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p>
    <w:p>
      <w:pPr>
        <w:rPr>
          <w:b/>
          <w:bCs/>
          <w:sz w:val="28"/>
          <w:szCs w:val="28"/>
        </w:rPr>
      </w:pPr>
    </w:p>
    <w:p>
      <w:pPr>
        <w:jc w:val="center"/>
        <w:rPr>
          <w:b/>
          <w:bCs/>
          <w:sz w:val="52"/>
          <w:szCs w:val="52"/>
        </w:rPr>
      </w:pPr>
      <w:r>
        <w:rPr>
          <w:rFonts w:hint="eastAsia"/>
          <w:b/>
          <w:bCs/>
          <w:sz w:val="52"/>
          <w:szCs w:val="52"/>
        </w:rPr>
        <w:t>房 地 产 估 价 报 告</w:t>
      </w:r>
    </w:p>
    <w:p>
      <w:pPr>
        <w:rPr>
          <w:b/>
          <w:bCs/>
          <w:sz w:val="28"/>
          <w:szCs w:val="28"/>
        </w:rPr>
      </w:pPr>
    </w:p>
    <w:p>
      <w:pPr>
        <w:spacing w:line="600" w:lineRule="exact"/>
        <w:ind w:left="2883" w:leftChars="342" w:right="450" w:hanging="2165" w:hangingChars="674"/>
        <w:jc w:val="left"/>
        <w:rPr>
          <w:spacing w:val="-12"/>
          <w:sz w:val="32"/>
          <w:szCs w:val="32"/>
        </w:rPr>
      </w:pPr>
      <w:r>
        <w:rPr>
          <w:rFonts w:hint="eastAsia"/>
          <w:b/>
          <w:sz w:val="32"/>
          <w:szCs w:val="32"/>
        </w:rPr>
        <w:t>估价项目名称</w:t>
      </w:r>
      <w:r>
        <w:rPr>
          <w:rFonts w:hint="eastAsia"/>
          <w:sz w:val="32"/>
          <w:szCs w:val="32"/>
        </w:rPr>
        <w:t>：</w:t>
      </w:r>
      <w:r>
        <w:rPr>
          <w:rFonts w:hint="eastAsia"/>
          <w:spacing w:val="-12"/>
          <w:sz w:val="32"/>
          <w:szCs w:val="32"/>
        </w:rPr>
        <w:t>贵溪市人民法院委托位于安徽省芜湖市鸠江区滨江新居</w:t>
      </w:r>
      <w:r>
        <w:rPr>
          <w:spacing w:val="-12"/>
          <w:sz w:val="32"/>
          <w:szCs w:val="32"/>
        </w:rPr>
        <w:t>12#楼2单元201室</w:t>
      </w:r>
      <w:r>
        <w:rPr>
          <w:rFonts w:hint="eastAsia"/>
          <w:spacing w:val="-12"/>
          <w:sz w:val="32"/>
          <w:szCs w:val="32"/>
        </w:rPr>
        <w:t>、镜湖区平湖秋月</w:t>
      </w:r>
      <w:r>
        <w:rPr>
          <w:spacing w:val="-12"/>
          <w:sz w:val="32"/>
          <w:szCs w:val="32"/>
        </w:rPr>
        <w:t>29#楼1-501室</w:t>
      </w:r>
      <w:r>
        <w:rPr>
          <w:rFonts w:hint="eastAsia"/>
          <w:spacing w:val="-12"/>
          <w:sz w:val="32"/>
          <w:szCs w:val="32"/>
        </w:rPr>
        <w:t>、镜湖区华强广场</w:t>
      </w:r>
      <w:r>
        <w:rPr>
          <w:spacing w:val="-12"/>
          <w:sz w:val="32"/>
          <w:szCs w:val="32"/>
        </w:rPr>
        <w:t>6#楼1单元2501室</w:t>
      </w:r>
      <w:r>
        <w:rPr>
          <w:rFonts w:hint="eastAsia"/>
          <w:spacing w:val="-12"/>
          <w:sz w:val="32"/>
          <w:szCs w:val="32"/>
        </w:rPr>
        <w:t>、镜湖区圣地雅歌</w:t>
      </w:r>
      <w:r>
        <w:rPr>
          <w:spacing w:val="-12"/>
          <w:sz w:val="32"/>
          <w:szCs w:val="32"/>
        </w:rPr>
        <w:t>3-05#楼1-101</w:t>
      </w:r>
      <w:r>
        <w:rPr>
          <w:rFonts w:hint="eastAsia"/>
          <w:spacing w:val="-12"/>
          <w:sz w:val="32"/>
          <w:szCs w:val="32"/>
        </w:rPr>
        <w:t>室及江西省鹰潭市</w:t>
      </w:r>
      <w:r>
        <w:rPr>
          <w:spacing w:val="-12"/>
          <w:sz w:val="32"/>
          <w:szCs w:val="32"/>
        </w:rPr>
        <w:t>38号路西侧和谐小区7栋4单元04052号</w:t>
      </w:r>
      <w:r>
        <w:rPr>
          <w:rFonts w:hint="eastAsia"/>
          <w:spacing w:val="-12"/>
          <w:sz w:val="32"/>
          <w:szCs w:val="32"/>
        </w:rPr>
        <w:t>、鹰潭市月湖区四海东路</w:t>
      </w:r>
      <w:r>
        <w:rPr>
          <w:spacing w:val="-12"/>
          <w:sz w:val="32"/>
          <w:szCs w:val="32"/>
        </w:rPr>
        <w:t>22号月湖明珠双水坑南苑B1栋02单元504室</w:t>
      </w:r>
      <w:r>
        <w:rPr>
          <w:rFonts w:hint="eastAsia"/>
          <w:spacing w:val="-12"/>
          <w:sz w:val="32"/>
          <w:szCs w:val="32"/>
        </w:rPr>
        <w:t>共计6处住宅用途房地产市场价格评估</w:t>
      </w:r>
    </w:p>
    <w:p>
      <w:pPr>
        <w:spacing w:line="600" w:lineRule="exact"/>
        <w:ind w:left="2883" w:leftChars="342" w:hanging="2165" w:hangingChars="674"/>
        <w:rPr>
          <w:spacing w:val="-12"/>
          <w:sz w:val="32"/>
          <w:szCs w:val="32"/>
        </w:rPr>
      </w:pPr>
      <w:r>
        <w:rPr>
          <w:rFonts w:hint="eastAsia"/>
          <w:b/>
          <w:sz w:val="32"/>
          <w:szCs w:val="32"/>
        </w:rPr>
        <w:t>房屋所有权人：</w:t>
      </w:r>
      <w:r>
        <w:rPr>
          <w:rFonts w:hint="eastAsia"/>
          <w:spacing w:val="-12"/>
          <w:sz w:val="32"/>
          <w:szCs w:val="32"/>
        </w:rPr>
        <w:t>陶克、于睿、石帆、龚亮明、胡小平、龚超、钱坤、叶君</w:t>
      </w:r>
    </w:p>
    <w:p>
      <w:pPr>
        <w:spacing w:line="600" w:lineRule="exact"/>
        <w:ind w:left="2883" w:leftChars="342" w:hanging="2165" w:hangingChars="674"/>
        <w:rPr>
          <w:spacing w:val="-12"/>
          <w:sz w:val="32"/>
          <w:szCs w:val="32"/>
        </w:rPr>
      </w:pPr>
      <w:r>
        <w:rPr>
          <w:rFonts w:hint="eastAsia"/>
          <w:b/>
          <w:sz w:val="32"/>
          <w:szCs w:val="32"/>
        </w:rPr>
        <w:t>委托方：</w:t>
      </w:r>
      <w:r>
        <w:rPr>
          <w:rFonts w:hint="eastAsia"/>
          <w:spacing w:val="-12"/>
          <w:sz w:val="32"/>
          <w:szCs w:val="32"/>
        </w:rPr>
        <w:t>贵溪市人民法院</w:t>
      </w:r>
    </w:p>
    <w:p>
      <w:pPr>
        <w:spacing w:line="600" w:lineRule="exact"/>
        <w:ind w:left="2883" w:leftChars="342" w:hanging="2165" w:hangingChars="674"/>
        <w:rPr>
          <w:sz w:val="32"/>
          <w:szCs w:val="32"/>
        </w:rPr>
      </w:pPr>
      <w:r>
        <w:rPr>
          <w:rFonts w:hint="eastAsia"/>
          <w:b/>
          <w:sz w:val="32"/>
          <w:szCs w:val="32"/>
        </w:rPr>
        <w:t>估价方：</w:t>
      </w:r>
      <w:r>
        <w:rPr>
          <w:rFonts w:hint="eastAsia"/>
          <w:sz w:val="32"/>
          <w:szCs w:val="32"/>
        </w:rPr>
        <w:t>江西省中唐房地产评估顾问有限公司</w:t>
      </w:r>
    </w:p>
    <w:p>
      <w:pPr>
        <w:spacing w:before="100" w:beforeAutospacing="1" w:after="100" w:afterAutospacing="1" w:line="360" w:lineRule="auto"/>
        <w:ind w:firstLine="803" w:firstLineChars="250"/>
        <w:rPr>
          <w:spacing w:val="10"/>
          <w:sz w:val="32"/>
          <w:szCs w:val="32"/>
        </w:rPr>
      </w:pPr>
      <w:r>
        <w:rPr>
          <w:rFonts w:hint="eastAsia"/>
          <w:b/>
          <w:sz w:val="32"/>
          <w:szCs w:val="32"/>
        </w:rPr>
        <w:t>估价人员：</w:t>
      </w:r>
      <w:r>
        <w:rPr>
          <w:rFonts w:hint="eastAsia"/>
          <w:sz w:val="32"/>
          <w:szCs w:val="32"/>
        </w:rPr>
        <w:t xml:space="preserve">谭  暄           3620160048   </w:t>
      </w:r>
      <w:r>
        <w:rPr>
          <w:rFonts w:hint="eastAsia"/>
          <w:spacing w:val="10"/>
          <w:sz w:val="32"/>
          <w:szCs w:val="32"/>
        </w:rPr>
        <w:t xml:space="preserve">               </w:t>
      </w:r>
    </w:p>
    <w:p>
      <w:pPr>
        <w:spacing w:line="600" w:lineRule="auto"/>
        <w:ind w:firstLine="540"/>
        <w:rPr>
          <w:spacing w:val="10"/>
          <w:sz w:val="32"/>
          <w:szCs w:val="32"/>
        </w:rPr>
      </w:pPr>
      <w:r>
        <w:rPr>
          <w:rFonts w:hint="eastAsia"/>
          <w:spacing w:val="10"/>
          <w:sz w:val="32"/>
          <w:szCs w:val="32"/>
        </w:rPr>
        <w:t xml:space="preserve">           </w:t>
      </w:r>
      <w:r>
        <w:rPr>
          <w:rFonts w:hint="eastAsia"/>
          <w:sz w:val="32"/>
          <w:szCs w:val="32"/>
        </w:rPr>
        <w:t>万莉莉           3620090008</w:t>
      </w:r>
    </w:p>
    <w:p>
      <w:pPr>
        <w:spacing w:line="600" w:lineRule="exact"/>
        <w:ind w:left="2883" w:leftChars="342" w:hanging="2165" w:hangingChars="674"/>
        <w:rPr>
          <w:sz w:val="32"/>
          <w:szCs w:val="32"/>
        </w:rPr>
      </w:pPr>
      <w:r>
        <w:rPr>
          <w:rFonts w:hint="eastAsia"/>
          <w:b/>
          <w:sz w:val="32"/>
          <w:szCs w:val="32"/>
        </w:rPr>
        <w:t>估价作业日期：</w:t>
      </w:r>
      <w:r>
        <w:rPr>
          <w:rFonts w:hint="eastAsia"/>
          <w:sz w:val="32"/>
          <w:szCs w:val="32"/>
        </w:rPr>
        <w:t>2021年10月10日至2021年10月22日</w:t>
      </w:r>
    </w:p>
    <w:p>
      <w:pPr>
        <w:spacing w:line="600" w:lineRule="exact"/>
        <w:ind w:left="2883" w:leftChars="342" w:hanging="2165" w:hangingChars="674"/>
        <w:rPr>
          <w:b/>
          <w:bCs/>
          <w:sz w:val="32"/>
          <w:szCs w:val="32"/>
        </w:rPr>
        <w:sectPr>
          <w:headerReference r:id="rId3" w:type="default"/>
          <w:footerReference r:id="rId4" w:type="default"/>
          <w:footerReference r:id="rId5" w:type="even"/>
          <w:pgSz w:w="11907" w:h="16840"/>
          <w:pgMar w:top="1304" w:right="1572" w:bottom="1246" w:left="1361" w:header="851" w:footer="851" w:gutter="0"/>
          <w:pgNumType w:start="1"/>
          <w:cols w:space="720" w:num="1"/>
          <w:docGrid w:type="lines" w:linePitch="312" w:charSpace="0"/>
        </w:sectPr>
      </w:pPr>
      <w:r>
        <w:rPr>
          <w:rFonts w:hint="eastAsia"/>
          <w:b/>
          <w:sz w:val="32"/>
          <w:szCs w:val="32"/>
        </w:rPr>
        <w:t>估价报告编号：赣中唐房估[2021]鹰字第10004号</w:t>
      </w:r>
    </w:p>
    <w:p>
      <w:pPr>
        <w:spacing w:line="460" w:lineRule="exact"/>
        <w:jc w:val="center"/>
        <w:rPr>
          <w:b/>
          <w:bCs/>
          <w:sz w:val="32"/>
          <w:szCs w:val="32"/>
        </w:rPr>
      </w:pPr>
      <w:r>
        <w:rPr>
          <w:rFonts w:hint="eastAsia"/>
          <w:b/>
          <w:bCs/>
          <w:sz w:val="32"/>
          <w:szCs w:val="32"/>
        </w:rPr>
        <w:t>致委托方函</w:t>
      </w:r>
    </w:p>
    <w:p>
      <w:pPr>
        <w:spacing w:line="440" w:lineRule="exact"/>
        <w:rPr>
          <w:sz w:val="28"/>
          <w:szCs w:val="28"/>
        </w:rPr>
      </w:pPr>
      <w:r>
        <w:rPr>
          <w:rFonts w:hint="eastAsia"/>
          <w:sz w:val="28"/>
          <w:szCs w:val="28"/>
        </w:rPr>
        <w:t>贵溪市人民法院：</w:t>
      </w:r>
    </w:p>
    <w:p>
      <w:pPr>
        <w:spacing w:line="440" w:lineRule="exact"/>
        <w:ind w:firstLine="557" w:firstLineChars="199"/>
        <w:rPr>
          <w:sz w:val="28"/>
          <w:szCs w:val="28"/>
        </w:rPr>
      </w:pPr>
      <w:r>
        <w:rPr>
          <w:rFonts w:hint="eastAsia"/>
          <w:sz w:val="28"/>
          <w:szCs w:val="28"/>
        </w:rPr>
        <w:t>应贵方委托，我公司派遣房地产专业估价人员，对贵方委托的位于安徽省芜湖市鸠江区滨江新居</w:t>
      </w:r>
      <w:r>
        <w:rPr>
          <w:sz w:val="28"/>
          <w:szCs w:val="28"/>
        </w:rPr>
        <w:t>12#楼2单元201室</w:t>
      </w:r>
      <w:r>
        <w:rPr>
          <w:rFonts w:hint="eastAsia"/>
          <w:sz w:val="28"/>
          <w:szCs w:val="28"/>
        </w:rPr>
        <w:t>、镜湖区平湖秋月</w:t>
      </w:r>
      <w:r>
        <w:rPr>
          <w:sz w:val="28"/>
          <w:szCs w:val="28"/>
        </w:rPr>
        <w:t>29#楼1-501室</w:t>
      </w:r>
      <w:r>
        <w:rPr>
          <w:rFonts w:hint="eastAsia"/>
          <w:sz w:val="28"/>
          <w:szCs w:val="28"/>
        </w:rPr>
        <w:t>、镜湖区华强广场</w:t>
      </w:r>
      <w:r>
        <w:rPr>
          <w:sz w:val="28"/>
          <w:szCs w:val="28"/>
        </w:rPr>
        <w:t>6#楼1单元2501室</w:t>
      </w:r>
      <w:r>
        <w:rPr>
          <w:rFonts w:hint="eastAsia"/>
          <w:sz w:val="28"/>
          <w:szCs w:val="28"/>
        </w:rPr>
        <w:t>、镜湖区圣地雅歌</w:t>
      </w:r>
      <w:r>
        <w:rPr>
          <w:sz w:val="28"/>
          <w:szCs w:val="28"/>
        </w:rPr>
        <w:t>3-05#楼1-101</w:t>
      </w:r>
      <w:r>
        <w:rPr>
          <w:rFonts w:hint="eastAsia"/>
          <w:sz w:val="28"/>
          <w:szCs w:val="28"/>
        </w:rPr>
        <w:t>室及江西省鹰潭市</w:t>
      </w:r>
      <w:r>
        <w:rPr>
          <w:sz w:val="28"/>
          <w:szCs w:val="28"/>
        </w:rPr>
        <w:t>38号路西侧和谐小区7栋4单元04052号</w:t>
      </w:r>
      <w:r>
        <w:rPr>
          <w:rFonts w:hint="eastAsia"/>
          <w:sz w:val="28"/>
          <w:szCs w:val="28"/>
        </w:rPr>
        <w:t>、鹰潭市月湖区四海东路</w:t>
      </w:r>
      <w:r>
        <w:rPr>
          <w:sz w:val="28"/>
          <w:szCs w:val="28"/>
        </w:rPr>
        <w:t>22号月湖明珠双水坑南苑B1栋02单元504室</w:t>
      </w:r>
      <w:r>
        <w:rPr>
          <w:rFonts w:hint="eastAsia"/>
          <w:sz w:val="28"/>
          <w:szCs w:val="28"/>
        </w:rPr>
        <w:t>共计6处住宅用途房地产进行价格评估，估价目的为委托方执行（2021）贵法技委评字32号石帆、陶克、叶君、胡小萍刑事退赔纠纷一案提供价值参考依据。</w:t>
      </w:r>
    </w:p>
    <w:p>
      <w:pPr>
        <w:spacing w:line="440" w:lineRule="exact"/>
        <w:ind w:firstLine="570"/>
        <w:rPr>
          <w:b/>
          <w:sz w:val="28"/>
          <w:szCs w:val="28"/>
        </w:rPr>
      </w:pPr>
      <w:r>
        <w:rPr>
          <w:rFonts w:hint="eastAsia"/>
          <w:b/>
          <w:sz w:val="28"/>
          <w:szCs w:val="28"/>
        </w:rPr>
        <w:t>(一</w:t>
      </w:r>
      <w:r>
        <w:rPr>
          <w:b/>
          <w:sz w:val="28"/>
          <w:szCs w:val="28"/>
        </w:rPr>
        <w:t>)估价对象</w:t>
      </w:r>
      <w:r>
        <w:rPr>
          <w:rFonts w:hint="eastAsia"/>
          <w:b/>
          <w:sz w:val="28"/>
          <w:szCs w:val="28"/>
        </w:rPr>
        <w:t>：</w:t>
      </w:r>
    </w:p>
    <w:p>
      <w:pPr>
        <w:spacing w:line="500" w:lineRule="exact"/>
        <w:ind w:firstLine="546" w:firstLineChars="195"/>
        <w:rPr>
          <w:sz w:val="28"/>
          <w:szCs w:val="28"/>
        </w:rPr>
      </w:pPr>
      <w:r>
        <w:rPr>
          <w:rFonts w:hint="eastAsia"/>
          <w:sz w:val="28"/>
          <w:szCs w:val="28"/>
        </w:rPr>
        <w:t>依据委托方提供的《房地产权登记信息》、《产权证信息》及估价人员现场查勘，估价对象状况如下：</w:t>
      </w:r>
    </w:p>
    <w:p>
      <w:pPr>
        <w:spacing w:line="500" w:lineRule="exact"/>
        <w:ind w:firstLine="546" w:firstLineChars="195"/>
        <w:rPr>
          <w:sz w:val="28"/>
          <w:szCs w:val="28"/>
        </w:rPr>
      </w:pPr>
      <w:r>
        <w:rPr>
          <w:rFonts w:hint="eastAsia"/>
          <w:sz w:val="28"/>
          <w:szCs w:val="28"/>
        </w:rPr>
        <w:t>估价对象1位于芜湖市鸠江区银湖北路西侧、四湾路北侧，所在建筑物共6层，估价对象位于第2层，规划及现状用途为住宅，内部为简单装修，现状为自住，具体情况详见《估价对象现状照片》。《房地产权登记信息》附记显示：集体土地安置，转让需补交土地收益和建设规费面积：</w:t>
      </w:r>
      <w:r>
        <w:rPr>
          <w:sz w:val="28"/>
          <w:szCs w:val="28"/>
        </w:rPr>
        <w:t>88.5</w:t>
      </w:r>
      <w:r>
        <w:rPr>
          <w:rFonts w:hint="eastAsia"/>
          <w:sz w:val="28"/>
          <w:szCs w:val="28"/>
        </w:rPr>
        <w:t>平方米</w:t>
      </w:r>
      <w:r>
        <w:rPr>
          <w:sz w:val="28"/>
          <w:szCs w:val="28"/>
        </w:rPr>
        <w:t>*交易价格*5%</w:t>
      </w:r>
      <w:r>
        <w:rPr>
          <w:rFonts w:hint="eastAsia"/>
          <w:sz w:val="28"/>
          <w:szCs w:val="28"/>
        </w:rPr>
        <w:t>。</w:t>
      </w:r>
    </w:p>
    <w:p>
      <w:pPr>
        <w:spacing w:line="500" w:lineRule="exact"/>
        <w:ind w:firstLine="546" w:firstLineChars="195"/>
        <w:rPr>
          <w:sz w:val="28"/>
          <w:szCs w:val="28"/>
        </w:rPr>
      </w:pPr>
      <w:r>
        <w:rPr>
          <w:rFonts w:hint="eastAsia"/>
          <w:sz w:val="28"/>
          <w:szCs w:val="28"/>
        </w:rPr>
        <w:t>估价对象2位于芜湖市镜湖区黄山东路以南、平湖路以西，所在建筑物共18层，估价对象位于第5层，规划用途为住宅，由于非估价方原因，估价人员未能进入内部查勘其装修状况，本次评估设定其内部为普通装修，具体情况详见《估价对象现状照片》。</w:t>
      </w:r>
    </w:p>
    <w:p>
      <w:pPr>
        <w:spacing w:line="500" w:lineRule="exact"/>
        <w:ind w:firstLine="546" w:firstLineChars="195"/>
        <w:rPr>
          <w:sz w:val="28"/>
          <w:szCs w:val="28"/>
        </w:rPr>
      </w:pPr>
      <w:r>
        <w:rPr>
          <w:rFonts w:hint="eastAsia"/>
          <w:sz w:val="28"/>
          <w:szCs w:val="28"/>
        </w:rPr>
        <w:t>估价对象3位于芜湖市镜湖区芜纺支路以北、长江中路以西，所在建筑物共34层，估价对象位于第25层，规划用途为住宅，由于非估价方原因，估价人员未能进入内部查勘其装修状况，本次评估设定其内部为普通装修，具体情况详见《估价对象现状照片》。</w:t>
      </w:r>
    </w:p>
    <w:p>
      <w:pPr>
        <w:spacing w:line="500" w:lineRule="exact"/>
        <w:ind w:firstLine="546" w:firstLineChars="195"/>
        <w:rPr>
          <w:sz w:val="28"/>
          <w:szCs w:val="28"/>
        </w:rPr>
      </w:pPr>
      <w:r>
        <w:rPr>
          <w:rFonts w:hint="eastAsia"/>
          <w:sz w:val="28"/>
          <w:szCs w:val="28"/>
        </w:rPr>
        <w:t>估价对象4位于芜湖市镜湖区九华中路以南、梅莲路以北，所在建筑物共4层，估价对象位于第1层，带入户花园，规划用途为住宅，由于非估价方原因，估价人员未能进入内部查勘其装修状况，本次评估设定其内部为精装修，具体情况详见《估价对象现状照片》。</w:t>
      </w:r>
    </w:p>
    <w:p>
      <w:pPr>
        <w:spacing w:line="500" w:lineRule="exact"/>
        <w:ind w:firstLine="546" w:firstLineChars="195"/>
        <w:rPr>
          <w:sz w:val="28"/>
          <w:szCs w:val="28"/>
        </w:rPr>
      </w:pPr>
      <w:r>
        <w:rPr>
          <w:rFonts w:hint="eastAsia"/>
          <w:sz w:val="28"/>
          <w:szCs w:val="28"/>
        </w:rPr>
        <w:t>估价对象5位于鹰潭市月湖区体育馆路以北、创景路以西，所在建筑物共7层，1层为杂物间，估价对象住宅位于第6层，杂物间位于第1层，规划用途为住宅、杂物间，由于非估价方原因，估价人员未能进入内部查勘其装修状况，本次评估设定其内部为普通装修，具体情况详见《估价对象现状照片》。</w:t>
      </w:r>
    </w:p>
    <w:p>
      <w:pPr>
        <w:spacing w:line="500" w:lineRule="exact"/>
        <w:ind w:firstLine="546" w:firstLineChars="195"/>
        <w:rPr>
          <w:sz w:val="28"/>
          <w:szCs w:val="28"/>
        </w:rPr>
      </w:pPr>
      <w:r>
        <w:rPr>
          <w:rFonts w:hint="eastAsia"/>
          <w:sz w:val="28"/>
          <w:szCs w:val="28"/>
        </w:rPr>
        <w:t>估价对象6位于鹰潭市月湖区四海东路以南、南站路以东，所在建筑物共16层，估价对象位于第5层，规划及现状用途为住宅，内部为精装修，现状为自住，具体情况详见《估价对象现状照片》。</w:t>
      </w:r>
    </w:p>
    <w:p>
      <w:pPr>
        <w:spacing w:after="156" w:afterLines="50" w:line="500" w:lineRule="exact"/>
        <w:jc w:val="center"/>
        <w:rPr>
          <w:b/>
          <w:snapToGrid w:val="0"/>
          <w:kern w:val="0"/>
          <w:sz w:val="28"/>
          <w:szCs w:val="20"/>
        </w:rPr>
      </w:pPr>
      <w:r>
        <w:rPr>
          <w:rFonts w:hint="eastAsia"/>
          <w:b/>
          <w:snapToGrid w:val="0"/>
          <w:kern w:val="0"/>
          <w:sz w:val="28"/>
          <w:szCs w:val="20"/>
        </w:rPr>
        <w:t>房地产状况明细表</w:t>
      </w: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0" w:type="dxa"/>
          <w:bottom w:w="0" w:type="dxa"/>
          <w:right w:w="0" w:type="dxa"/>
        </w:tblCellMar>
      </w:tblPr>
      <w:tblGrid>
        <w:gridCol w:w="688"/>
        <w:gridCol w:w="1091"/>
        <w:gridCol w:w="1798"/>
        <w:gridCol w:w="2200"/>
        <w:gridCol w:w="688"/>
        <w:gridCol w:w="723"/>
        <w:gridCol w:w="724"/>
        <w:gridCol w:w="107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99" w:hRule="atLeast"/>
        </w:trPr>
        <w:tc>
          <w:tcPr>
            <w:tcW w:w="383"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b/>
                <w:sz w:val="20"/>
                <w:szCs w:val="20"/>
              </w:rPr>
            </w:pPr>
            <w:r>
              <w:rPr>
                <w:rFonts w:hint="eastAsia" w:asciiTheme="minorEastAsia" w:hAnsiTheme="minorEastAsia" w:eastAsiaTheme="minorEastAsia"/>
                <w:b/>
                <w:sz w:val="20"/>
                <w:szCs w:val="20"/>
              </w:rPr>
              <w:t>序号</w:t>
            </w:r>
          </w:p>
        </w:tc>
        <w:tc>
          <w:tcPr>
            <w:tcW w:w="607"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b/>
                <w:sz w:val="20"/>
                <w:szCs w:val="20"/>
              </w:rPr>
            </w:pPr>
            <w:r>
              <w:rPr>
                <w:rFonts w:hint="eastAsia" w:asciiTheme="minorEastAsia" w:hAnsiTheme="minorEastAsia" w:eastAsiaTheme="minorEastAsia"/>
                <w:b/>
                <w:sz w:val="20"/>
                <w:szCs w:val="20"/>
              </w:rPr>
              <w:t>房屋所有权人</w:t>
            </w:r>
          </w:p>
        </w:tc>
        <w:tc>
          <w:tcPr>
            <w:tcW w:w="1000"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b/>
                <w:sz w:val="20"/>
                <w:szCs w:val="20"/>
              </w:rPr>
            </w:pPr>
            <w:r>
              <w:rPr>
                <w:rFonts w:hint="eastAsia" w:asciiTheme="minorEastAsia" w:hAnsiTheme="minorEastAsia" w:eastAsiaTheme="minorEastAsia"/>
                <w:b/>
                <w:sz w:val="20"/>
                <w:szCs w:val="20"/>
              </w:rPr>
              <w:t>不动产权证书号/房产证号</w:t>
            </w:r>
          </w:p>
        </w:tc>
        <w:tc>
          <w:tcPr>
            <w:tcW w:w="1224"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b/>
                <w:sz w:val="20"/>
                <w:szCs w:val="20"/>
              </w:rPr>
            </w:pPr>
            <w:r>
              <w:rPr>
                <w:rFonts w:hint="eastAsia" w:asciiTheme="minorEastAsia" w:hAnsiTheme="minorEastAsia" w:eastAsiaTheme="minorEastAsia"/>
                <w:b/>
                <w:sz w:val="20"/>
                <w:szCs w:val="20"/>
              </w:rPr>
              <w:t>坐落</w:t>
            </w:r>
          </w:p>
        </w:tc>
        <w:tc>
          <w:tcPr>
            <w:tcW w:w="383"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b/>
                <w:sz w:val="20"/>
                <w:szCs w:val="20"/>
              </w:rPr>
            </w:pPr>
            <w:r>
              <w:rPr>
                <w:rFonts w:hint="eastAsia" w:asciiTheme="minorEastAsia" w:hAnsiTheme="minorEastAsia" w:eastAsiaTheme="minorEastAsia"/>
                <w:b/>
                <w:sz w:val="20"/>
                <w:szCs w:val="20"/>
              </w:rPr>
              <w:t>结构</w:t>
            </w:r>
          </w:p>
        </w:tc>
        <w:tc>
          <w:tcPr>
            <w:tcW w:w="402"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b/>
                <w:sz w:val="20"/>
                <w:szCs w:val="20"/>
              </w:rPr>
            </w:pPr>
            <w:r>
              <w:rPr>
                <w:rFonts w:hint="eastAsia" w:asciiTheme="minorEastAsia" w:hAnsiTheme="minorEastAsia" w:eastAsiaTheme="minorEastAsia"/>
                <w:b/>
                <w:sz w:val="20"/>
                <w:szCs w:val="20"/>
              </w:rPr>
              <w:t>楼层</w:t>
            </w:r>
          </w:p>
        </w:tc>
        <w:tc>
          <w:tcPr>
            <w:tcW w:w="402"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b/>
                <w:sz w:val="20"/>
                <w:szCs w:val="20"/>
              </w:rPr>
            </w:pPr>
            <w:r>
              <w:rPr>
                <w:rFonts w:hint="eastAsia" w:asciiTheme="minorEastAsia" w:hAnsiTheme="minorEastAsia" w:eastAsiaTheme="minorEastAsia"/>
                <w:b/>
                <w:sz w:val="20"/>
                <w:szCs w:val="20"/>
              </w:rPr>
              <w:t>用途</w:t>
            </w:r>
          </w:p>
        </w:tc>
        <w:tc>
          <w:tcPr>
            <w:tcW w:w="598"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b/>
                <w:sz w:val="20"/>
                <w:szCs w:val="20"/>
              </w:rPr>
            </w:pPr>
            <w:r>
              <w:rPr>
                <w:rFonts w:hint="eastAsia" w:asciiTheme="minorEastAsia" w:hAnsiTheme="minorEastAsia" w:eastAsiaTheme="minorEastAsia"/>
                <w:b/>
                <w:sz w:val="20"/>
                <w:szCs w:val="20"/>
              </w:rPr>
              <w:t>建筑面积（㎡）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99" w:hRule="atLeast"/>
        </w:trPr>
        <w:tc>
          <w:tcPr>
            <w:tcW w:w="383"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w:t>
            </w:r>
          </w:p>
        </w:tc>
        <w:tc>
          <w:tcPr>
            <w:tcW w:w="607"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陶克</w:t>
            </w:r>
          </w:p>
        </w:tc>
        <w:tc>
          <w:tcPr>
            <w:tcW w:w="1000"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皖（2018）芜湖市不动产权第0497778号</w:t>
            </w:r>
          </w:p>
        </w:tc>
        <w:tc>
          <w:tcPr>
            <w:tcW w:w="1224"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鸠江区滨江新居12#楼2单元201室</w:t>
            </w:r>
          </w:p>
        </w:tc>
        <w:tc>
          <w:tcPr>
            <w:tcW w:w="383"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402"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2/6F</w:t>
            </w:r>
          </w:p>
        </w:tc>
        <w:tc>
          <w:tcPr>
            <w:tcW w:w="402"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住宅</w:t>
            </w:r>
          </w:p>
        </w:tc>
        <w:tc>
          <w:tcPr>
            <w:tcW w:w="598"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88.5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1080" w:hRule="atLeast"/>
        </w:trPr>
        <w:tc>
          <w:tcPr>
            <w:tcW w:w="383"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w:t>
            </w:r>
          </w:p>
        </w:tc>
        <w:tc>
          <w:tcPr>
            <w:tcW w:w="607"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于睿、石帆</w:t>
            </w:r>
          </w:p>
        </w:tc>
        <w:tc>
          <w:tcPr>
            <w:tcW w:w="1000"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皖（2016）芜湖市不动产权第0101373号、皖（2016）芜湖市不动产权第0101374号</w:t>
            </w:r>
          </w:p>
        </w:tc>
        <w:tc>
          <w:tcPr>
            <w:tcW w:w="1224"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镜湖区平湖秋月29#楼1-501室</w:t>
            </w:r>
          </w:p>
        </w:tc>
        <w:tc>
          <w:tcPr>
            <w:tcW w:w="383"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402"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5/18F</w:t>
            </w:r>
          </w:p>
        </w:tc>
        <w:tc>
          <w:tcPr>
            <w:tcW w:w="402"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住宅</w:t>
            </w:r>
          </w:p>
        </w:tc>
        <w:tc>
          <w:tcPr>
            <w:tcW w:w="598"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186.25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990" w:hRule="atLeast"/>
        </w:trPr>
        <w:tc>
          <w:tcPr>
            <w:tcW w:w="383"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3</w:t>
            </w:r>
          </w:p>
        </w:tc>
        <w:tc>
          <w:tcPr>
            <w:tcW w:w="607"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于睿、石帆</w:t>
            </w:r>
          </w:p>
        </w:tc>
        <w:tc>
          <w:tcPr>
            <w:tcW w:w="1000"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皖（2016）芜湖市不动产权第0013221号、皖（2016）芜湖市不动产权第0013222号</w:t>
            </w:r>
          </w:p>
        </w:tc>
        <w:tc>
          <w:tcPr>
            <w:tcW w:w="1224"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镜湖区华强广场6#楼1单元2501室</w:t>
            </w:r>
          </w:p>
        </w:tc>
        <w:tc>
          <w:tcPr>
            <w:tcW w:w="383"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402"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25/34F</w:t>
            </w:r>
          </w:p>
        </w:tc>
        <w:tc>
          <w:tcPr>
            <w:tcW w:w="402"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住宅</w:t>
            </w:r>
          </w:p>
        </w:tc>
        <w:tc>
          <w:tcPr>
            <w:tcW w:w="598"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204.95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1395" w:hRule="atLeast"/>
        </w:trPr>
        <w:tc>
          <w:tcPr>
            <w:tcW w:w="383"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w:t>
            </w:r>
          </w:p>
        </w:tc>
        <w:tc>
          <w:tcPr>
            <w:tcW w:w="607"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于睿、石帆</w:t>
            </w:r>
          </w:p>
        </w:tc>
        <w:tc>
          <w:tcPr>
            <w:tcW w:w="1000"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皖（2017）芜湖市不动产权第0252027号、皖（2017）芜湖市不动产权第0252028号</w:t>
            </w:r>
          </w:p>
        </w:tc>
        <w:tc>
          <w:tcPr>
            <w:tcW w:w="1224"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镜湖区圣地雅歌3-05#楼1-101室</w:t>
            </w:r>
          </w:p>
        </w:tc>
        <w:tc>
          <w:tcPr>
            <w:tcW w:w="383"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402"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1/4F</w:t>
            </w:r>
          </w:p>
        </w:tc>
        <w:tc>
          <w:tcPr>
            <w:tcW w:w="402"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住宅</w:t>
            </w:r>
          </w:p>
        </w:tc>
        <w:tc>
          <w:tcPr>
            <w:tcW w:w="598"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129.97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99" w:hRule="atLeast"/>
        </w:trPr>
        <w:tc>
          <w:tcPr>
            <w:tcW w:w="383" w:type="pct"/>
            <w:vMerge w:val="restar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w:t>
            </w:r>
          </w:p>
        </w:tc>
        <w:tc>
          <w:tcPr>
            <w:tcW w:w="607" w:type="pct"/>
            <w:vMerge w:val="restar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龚亮明、胡小平、龚超</w:t>
            </w:r>
          </w:p>
        </w:tc>
        <w:tc>
          <w:tcPr>
            <w:tcW w:w="1000" w:type="pct"/>
            <w:vMerge w:val="restar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10012286</w:t>
            </w:r>
          </w:p>
        </w:tc>
        <w:tc>
          <w:tcPr>
            <w:tcW w:w="1224"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市38号路西侧和谐小区7栋4单元04052号</w:t>
            </w:r>
          </w:p>
        </w:tc>
        <w:tc>
          <w:tcPr>
            <w:tcW w:w="383" w:type="pct"/>
            <w:vMerge w:val="restar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框架</w:t>
            </w:r>
          </w:p>
        </w:tc>
        <w:tc>
          <w:tcPr>
            <w:tcW w:w="402"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6/7F</w:t>
            </w:r>
          </w:p>
        </w:tc>
        <w:tc>
          <w:tcPr>
            <w:tcW w:w="402"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住宅</w:t>
            </w:r>
          </w:p>
        </w:tc>
        <w:tc>
          <w:tcPr>
            <w:tcW w:w="598"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69.01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99" w:hRule="atLeast"/>
        </w:trPr>
        <w:tc>
          <w:tcPr>
            <w:tcW w:w="383" w:type="pct"/>
            <w:vMerge w:val="continue"/>
            <w:vAlign w:val="center"/>
          </w:tcPr>
          <w:p>
            <w:pPr>
              <w:rPr>
                <w:rFonts w:cs="宋体" w:asciiTheme="minorEastAsia" w:hAnsiTheme="minorEastAsia" w:eastAsiaTheme="minorEastAsia"/>
                <w:sz w:val="20"/>
                <w:szCs w:val="20"/>
              </w:rPr>
            </w:pPr>
          </w:p>
        </w:tc>
        <w:tc>
          <w:tcPr>
            <w:tcW w:w="607" w:type="pct"/>
            <w:vMerge w:val="continue"/>
            <w:vAlign w:val="center"/>
          </w:tcPr>
          <w:p>
            <w:pPr>
              <w:rPr>
                <w:rFonts w:cs="宋体" w:asciiTheme="minorEastAsia" w:hAnsiTheme="minorEastAsia" w:eastAsiaTheme="minorEastAsia"/>
                <w:sz w:val="20"/>
                <w:szCs w:val="20"/>
              </w:rPr>
            </w:pPr>
          </w:p>
        </w:tc>
        <w:tc>
          <w:tcPr>
            <w:tcW w:w="1000" w:type="pct"/>
            <w:vMerge w:val="continue"/>
            <w:vAlign w:val="center"/>
          </w:tcPr>
          <w:p>
            <w:pPr>
              <w:rPr>
                <w:rFonts w:cs="宋体" w:asciiTheme="minorEastAsia" w:hAnsiTheme="minorEastAsia" w:eastAsiaTheme="minorEastAsia"/>
                <w:sz w:val="20"/>
                <w:szCs w:val="20"/>
              </w:rPr>
            </w:pPr>
          </w:p>
        </w:tc>
        <w:tc>
          <w:tcPr>
            <w:tcW w:w="1224"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4017号</w:t>
            </w:r>
          </w:p>
        </w:tc>
        <w:tc>
          <w:tcPr>
            <w:tcW w:w="383" w:type="pct"/>
            <w:vMerge w:val="continue"/>
            <w:vAlign w:val="center"/>
          </w:tcPr>
          <w:p>
            <w:pPr>
              <w:rPr>
                <w:rFonts w:cs="宋体" w:asciiTheme="minorEastAsia" w:hAnsiTheme="minorEastAsia" w:eastAsiaTheme="minorEastAsia"/>
                <w:sz w:val="20"/>
                <w:szCs w:val="20"/>
              </w:rPr>
            </w:pPr>
          </w:p>
        </w:tc>
        <w:tc>
          <w:tcPr>
            <w:tcW w:w="402"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1/7F</w:t>
            </w:r>
          </w:p>
        </w:tc>
        <w:tc>
          <w:tcPr>
            <w:tcW w:w="402"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杂物间</w:t>
            </w:r>
          </w:p>
        </w:tc>
        <w:tc>
          <w:tcPr>
            <w:tcW w:w="598"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9.54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885" w:hRule="atLeast"/>
        </w:trPr>
        <w:tc>
          <w:tcPr>
            <w:tcW w:w="383"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w:t>
            </w:r>
          </w:p>
        </w:tc>
        <w:tc>
          <w:tcPr>
            <w:tcW w:w="607"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钱坤、叶君</w:t>
            </w:r>
          </w:p>
        </w:tc>
        <w:tc>
          <w:tcPr>
            <w:tcW w:w="1000"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赣（2021）鹰潭市不动产权第0001251号</w:t>
            </w:r>
          </w:p>
        </w:tc>
        <w:tc>
          <w:tcPr>
            <w:tcW w:w="1224"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鹰潭市月湖区四海东路22号月湖明珠双水坑南苑B1栋02单元504室</w:t>
            </w:r>
          </w:p>
        </w:tc>
        <w:tc>
          <w:tcPr>
            <w:tcW w:w="383"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402"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5/16F</w:t>
            </w:r>
          </w:p>
        </w:tc>
        <w:tc>
          <w:tcPr>
            <w:tcW w:w="402"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住宅</w:t>
            </w:r>
          </w:p>
        </w:tc>
        <w:tc>
          <w:tcPr>
            <w:tcW w:w="598"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118.27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360" w:hRule="atLeast"/>
        </w:trPr>
        <w:tc>
          <w:tcPr>
            <w:tcW w:w="4402" w:type="pct"/>
            <w:gridSpan w:val="7"/>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b/>
                <w:bCs/>
                <w:sz w:val="20"/>
                <w:szCs w:val="20"/>
              </w:rPr>
            </w:pPr>
            <w:r>
              <w:rPr>
                <w:rFonts w:hint="eastAsia" w:asciiTheme="minorEastAsia" w:hAnsiTheme="minorEastAsia" w:eastAsiaTheme="minorEastAsia"/>
                <w:b/>
                <w:bCs/>
                <w:sz w:val="20"/>
                <w:szCs w:val="20"/>
              </w:rPr>
              <w:t>合计</w:t>
            </w:r>
          </w:p>
        </w:tc>
        <w:tc>
          <w:tcPr>
            <w:tcW w:w="598" w:type="pct"/>
            <w:shd w:val="clear" w:color="auto" w:fill="auto"/>
            <w:tcMar>
              <w:top w:w="15" w:type="dxa"/>
              <w:left w:w="15" w:type="dxa"/>
              <w:bottom w:w="0" w:type="dxa"/>
              <w:right w:w="15" w:type="dxa"/>
            </w:tcMar>
            <w:vAlign w:val="center"/>
          </w:tcPr>
          <w:p>
            <w:pPr>
              <w:jc w:val="center"/>
              <w:rPr>
                <w:rFonts w:cs="宋体" w:asciiTheme="minorEastAsia" w:hAnsiTheme="minorEastAsia" w:eastAsiaTheme="minorEastAsia"/>
                <w:b/>
                <w:bCs/>
                <w:sz w:val="20"/>
                <w:szCs w:val="20"/>
              </w:rPr>
            </w:pPr>
            <w:r>
              <w:rPr>
                <w:rFonts w:hint="eastAsia" w:asciiTheme="minorEastAsia" w:hAnsiTheme="minorEastAsia" w:eastAsiaTheme="minorEastAsia"/>
                <w:b/>
                <w:bCs/>
                <w:sz w:val="20"/>
                <w:szCs w:val="20"/>
              </w:rPr>
              <w:t>806.49</w:t>
            </w:r>
          </w:p>
        </w:tc>
      </w:tr>
    </w:tbl>
    <w:p>
      <w:pPr>
        <w:spacing w:line="440" w:lineRule="exact"/>
        <w:ind w:firstLine="703" w:firstLineChars="250"/>
        <w:rPr>
          <w:sz w:val="28"/>
          <w:szCs w:val="28"/>
        </w:rPr>
      </w:pPr>
      <w:r>
        <w:rPr>
          <w:rFonts w:hint="eastAsia"/>
          <w:b/>
          <w:sz w:val="28"/>
          <w:szCs w:val="28"/>
        </w:rPr>
        <w:t>(二)</w:t>
      </w:r>
      <w:r>
        <w:rPr>
          <w:b/>
          <w:sz w:val="28"/>
          <w:szCs w:val="28"/>
        </w:rPr>
        <w:t>估价目的</w:t>
      </w:r>
      <w:r>
        <w:rPr>
          <w:rFonts w:hint="eastAsia"/>
          <w:b/>
          <w:sz w:val="28"/>
          <w:szCs w:val="28"/>
        </w:rPr>
        <w:t>：</w:t>
      </w:r>
      <w:r>
        <w:rPr>
          <w:rFonts w:hint="eastAsia"/>
          <w:sz w:val="28"/>
          <w:szCs w:val="28"/>
        </w:rPr>
        <w:t>为委托方</w:t>
      </w:r>
      <w:r>
        <w:rPr>
          <w:rFonts w:hint="eastAsia"/>
          <w:color w:val="auto"/>
          <w:sz w:val="28"/>
          <w:szCs w:val="28"/>
        </w:rPr>
        <w:t>执行（2021）贵法技委评字32号</w:t>
      </w:r>
      <w:r>
        <w:rPr>
          <w:rFonts w:hint="eastAsia"/>
          <w:sz w:val="28"/>
          <w:szCs w:val="28"/>
        </w:rPr>
        <w:t>石帆、陶克、叶君、胡小萍刑事退赔纠纷一案提供价值参考依据。</w:t>
      </w:r>
    </w:p>
    <w:p>
      <w:pPr>
        <w:spacing w:line="460" w:lineRule="exact"/>
        <w:ind w:firstLine="691" w:firstLineChars="246"/>
        <w:rPr>
          <w:rFonts w:cs="Arial"/>
          <w:kern w:val="0"/>
          <w:sz w:val="28"/>
          <w:szCs w:val="28"/>
        </w:rPr>
      </w:pPr>
      <w:r>
        <w:rPr>
          <w:rFonts w:hint="eastAsia" w:cs="Arial"/>
          <w:b/>
          <w:kern w:val="0"/>
          <w:sz w:val="28"/>
          <w:szCs w:val="28"/>
        </w:rPr>
        <w:t>(三)价值时点：</w:t>
      </w:r>
      <w:r>
        <w:rPr>
          <w:rFonts w:hint="eastAsia"/>
          <w:sz w:val="28"/>
        </w:rPr>
        <w:t>二〇二一年十月十日</w:t>
      </w:r>
      <w:r>
        <w:rPr>
          <w:rFonts w:cs="Arial"/>
          <w:kern w:val="0"/>
          <w:sz w:val="28"/>
          <w:szCs w:val="28"/>
        </w:rPr>
        <w:t>。</w:t>
      </w:r>
    </w:p>
    <w:p>
      <w:pPr>
        <w:spacing w:line="460" w:lineRule="exact"/>
        <w:ind w:firstLine="689" w:firstLineChars="245"/>
        <w:rPr>
          <w:rFonts w:cs="Arial"/>
          <w:b/>
          <w:kern w:val="0"/>
          <w:sz w:val="28"/>
          <w:szCs w:val="28"/>
        </w:rPr>
      </w:pPr>
      <w:r>
        <w:rPr>
          <w:rFonts w:hint="eastAsia" w:cs="Arial"/>
          <w:b/>
          <w:kern w:val="0"/>
          <w:sz w:val="28"/>
          <w:szCs w:val="28"/>
        </w:rPr>
        <w:t>(四)价值类型：</w:t>
      </w:r>
      <w:r>
        <w:rPr>
          <w:rFonts w:hint="eastAsia" w:cs="Arial"/>
          <w:kern w:val="0"/>
          <w:sz w:val="28"/>
          <w:szCs w:val="28"/>
        </w:rPr>
        <w:t>本次估价的价格是指公开市场价格。</w:t>
      </w:r>
    </w:p>
    <w:p>
      <w:pPr>
        <w:spacing w:line="460" w:lineRule="exact"/>
        <w:ind w:firstLine="689" w:firstLineChars="245"/>
        <w:rPr>
          <w:rFonts w:cs="Arial"/>
          <w:b/>
          <w:kern w:val="0"/>
          <w:sz w:val="28"/>
          <w:szCs w:val="28"/>
        </w:rPr>
      </w:pPr>
      <w:r>
        <w:rPr>
          <w:rFonts w:hint="eastAsia" w:cs="Arial"/>
          <w:b/>
          <w:kern w:val="0"/>
          <w:sz w:val="28"/>
          <w:szCs w:val="28"/>
        </w:rPr>
        <w:t>(五)估价方法：</w:t>
      </w:r>
      <w:r>
        <w:rPr>
          <w:rFonts w:hint="eastAsia" w:cs="Arial"/>
          <w:kern w:val="0"/>
          <w:sz w:val="28"/>
          <w:szCs w:val="28"/>
        </w:rPr>
        <w:t>比较法。</w:t>
      </w:r>
    </w:p>
    <w:p>
      <w:pPr>
        <w:spacing w:line="460" w:lineRule="exact"/>
        <w:ind w:firstLine="689" w:firstLineChars="245"/>
        <w:rPr>
          <w:rFonts w:cs="宋体"/>
          <w:kern w:val="0"/>
          <w:sz w:val="24"/>
        </w:rPr>
      </w:pPr>
      <w:r>
        <w:rPr>
          <w:rFonts w:hint="eastAsia" w:cs="Arial"/>
          <w:b/>
          <w:kern w:val="0"/>
          <w:sz w:val="28"/>
          <w:szCs w:val="28"/>
        </w:rPr>
        <w:t>(六)</w:t>
      </w:r>
      <w:r>
        <w:rPr>
          <w:rFonts w:cs="Arial"/>
          <w:b/>
          <w:kern w:val="0"/>
          <w:sz w:val="28"/>
          <w:szCs w:val="28"/>
        </w:rPr>
        <w:t>估价依据</w:t>
      </w:r>
      <w:r>
        <w:rPr>
          <w:rFonts w:hint="eastAsia" w:cs="Arial"/>
          <w:b/>
          <w:kern w:val="0"/>
          <w:sz w:val="28"/>
          <w:szCs w:val="28"/>
        </w:rPr>
        <w:t>：</w:t>
      </w:r>
      <w:r>
        <w:rPr>
          <w:sz w:val="28"/>
        </w:rPr>
        <w:t>中华人民共和国国家标准《房地产估价规范》(GB/T50291-</w:t>
      </w:r>
      <w:r>
        <w:rPr>
          <w:rFonts w:hint="eastAsia"/>
          <w:sz w:val="28"/>
        </w:rPr>
        <w:t>2015</w:t>
      </w:r>
      <w:r>
        <w:rPr>
          <w:sz w:val="28"/>
        </w:rPr>
        <w:t>)</w:t>
      </w:r>
      <w:r>
        <w:rPr>
          <w:rFonts w:hint="eastAsia"/>
          <w:sz w:val="28"/>
        </w:rPr>
        <w:t>、</w:t>
      </w:r>
      <w:r>
        <w:rPr>
          <w:sz w:val="28"/>
        </w:rPr>
        <w:t>《中华人民共和国城市房地产管理法》（20</w:t>
      </w:r>
      <w:r>
        <w:rPr>
          <w:rFonts w:hint="eastAsia"/>
          <w:sz w:val="28"/>
        </w:rPr>
        <w:t>19第三次</w:t>
      </w:r>
      <w:r>
        <w:rPr>
          <w:sz w:val="28"/>
        </w:rPr>
        <w:t>修正）</w:t>
      </w:r>
      <w:r>
        <w:rPr>
          <w:rFonts w:hint="eastAsia"/>
          <w:sz w:val="28"/>
          <w:szCs w:val="28"/>
        </w:rPr>
        <w:t>；</w:t>
      </w:r>
      <w:r>
        <w:rPr>
          <w:rFonts w:cs="Arial"/>
          <w:kern w:val="0"/>
          <w:sz w:val="28"/>
          <w:szCs w:val="28"/>
        </w:rPr>
        <w:t>全国人大常委会、国务院、建设部、国土资源部以及</w:t>
      </w:r>
      <w:r>
        <w:rPr>
          <w:rFonts w:hint="eastAsia" w:cs="Arial"/>
          <w:kern w:val="0"/>
          <w:sz w:val="28"/>
          <w:szCs w:val="28"/>
        </w:rPr>
        <w:t>江西省</w:t>
      </w:r>
      <w:r>
        <w:rPr>
          <w:rFonts w:cs="Arial"/>
          <w:kern w:val="0"/>
          <w:sz w:val="28"/>
          <w:szCs w:val="28"/>
        </w:rPr>
        <w:t>人民政府有关部门颁布的</w:t>
      </w:r>
      <w:r>
        <w:rPr>
          <w:rFonts w:hint="eastAsia" w:cs="Arial"/>
          <w:kern w:val="0"/>
          <w:sz w:val="28"/>
          <w:szCs w:val="28"/>
        </w:rPr>
        <w:t>相</w:t>
      </w:r>
      <w:r>
        <w:rPr>
          <w:rFonts w:cs="Arial"/>
          <w:kern w:val="0"/>
          <w:sz w:val="28"/>
          <w:szCs w:val="28"/>
        </w:rPr>
        <w:t>关法律、法规和政策文件；</w:t>
      </w:r>
      <w:r>
        <w:rPr>
          <w:rFonts w:hint="eastAsia" w:cs="Arial"/>
          <w:kern w:val="0"/>
          <w:sz w:val="28"/>
          <w:szCs w:val="28"/>
        </w:rPr>
        <w:t>委托方</w:t>
      </w:r>
      <w:r>
        <w:rPr>
          <w:rFonts w:cs="Arial"/>
          <w:kern w:val="0"/>
          <w:sz w:val="28"/>
          <w:szCs w:val="28"/>
        </w:rPr>
        <w:t>提供的</w:t>
      </w:r>
      <w:r>
        <w:rPr>
          <w:rFonts w:hint="eastAsia" w:cs="Arial"/>
          <w:kern w:val="0"/>
          <w:sz w:val="28"/>
          <w:szCs w:val="28"/>
        </w:rPr>
        <w:t>相关</w:t>
      </w:r>
      <w:r>
        <w:rPr>
          <w:rFonts w:cs="Arial"/>
          <w:kern w:val="0"/>
          <w:sz w:val="28"/>
          <w:szCs w:val="28"/>
        </w:rPr>
        <w:t>资料；本公司所掌握的</w:t>
      </w:r>
      <w:r>
        <w:rPr>
          <w:rFonts w:hint="eastAsia" w:cs="Arial"/>
          <w:kern w:val="0"/>
          <w:sz w:val="28"/>
          <w:szCs w:val="28"/>
        </w:rPr>
        <w:t>芜湖市、鹰潭市</w:t>
      </w:r>
      <w:r>
        <w:rPr>
          <w:rFonts w:cs="Arial"/>
          <w:kern w:val="0"/>
          <w:sz w:val="28"/>
          <w:szCs w:val="28"/>
        </w:rPr>
        <w:t>房地产市场的有关资料及估价人员实地查勘、调查所获取的资料。</w:t>
      </w:r>
    </w:p>
    <w:p>
      <w:pPr>
        <w:spacing w:line="460" w:lineRule="exact"/>
        <w:ind w:firstLine="562" w:firstLineChars="200"/>
        <w:rPr>
          <w:sz w:val="28"/>
          <w:szCs w:val="28"/>
        </w:rPr>
      </w:pPr>
      <w:r>
        <w:rPr>
          <w:rFonts w:hint="eastAsia" w:cs="Arial"/>
          <w:b/>
          <w:kern w:val="0"/>
          <w:sz w:val="28"/>
          <w:szCs w:val="28"/>
        </w:rPr>
        <w:t>(七)</w:t>
      </w:r>
      <w:r>
        <w:rPr>
          <w:rFonts w:cs="Arial"/>
          <w:b/>
          <w:kern w:val="0"/>
          <w:sz w:val="28"/>
          <w:szCs w:val="28"/>
        </w:rPr>
        <w:t>估价结果</w:t>
      </w:r>
      <w:r>
        <w:rPr>
          <w:rFonts w:hint="eastAsia" w:cs="Arial"/>
          <w:b/>
          <w:kern w:val="0"/>
          <w:sz w:val="28"/>
          <w:szCs w:val="28"/>
        </w:rPr>
        <w:t>：</w:t>
      </w:r>
      <w:r>
        <w:rPr>
          <w:rFonts w:hint="eastAsia" w:cs="Arial"/>
          <w:kern w:val="0"/>
          <w:sz w:val="28"/>
          <w:szCs w:val="28"/>
        </w:rPr>
        <w:t>本公司</w:t>
      </w:r>
      <w:r>
        <w:rPr>
          <w:rFonts w:cs="Arial"/>
          <w:kern w:val="0"/>
          <w:sz w:val="28"/>
          <w:szCs w:val="28"/>
        </w:rPr>
        <w:t>估价人员</w:t>
      </w:r>
      <w:r>
        <w:rPr>
          <w:rFonts w:hint="eastAsia" w:cs="Arial"/>
          <w:kern w:val="0"/>
          <w:sz w:val="28"/>
          <w:szCs w:val="28"/>
        </w:rPr>
        <w:t>依据委托人</w:t>
      </w:r>
      <w:r>
        <w:rPr>
          <w:rFonts w:hint="eastAsia"/>
          <w:sz w:val="28"/>
          <w:szCs w:val="28"/>
        </w:rPr>
        <w:t>提供的资料，经实地查勘，结合平时估价实践中积累的资料、经验，我公司房地产专业估价人员根据估价目的，遵循估价原则，按照估价程序，选用适宜的估价方法，并在综合分析影响估价对象房地产价格因素的基础上，对估价对象房地产在价值时点2021年10月10日的客观合理价格进行估算和判定，得出估价结果为如下：</w:t>
      </w:r>
    </w:p>
    <w:p>
      <w:pPr>
        <w:spacing w:line="440" w:lineRule="exact"/>
        <w:ind w:firstLine="562" w:firstLineChars="200"/>
        <w:rPr>
          <w:b/>
          <w:sz w:val="28"/>
          <w:szCs w:val="28"/>
        </w:rPr>
      </w:pPr>
      <w:r>
        <w:rPr>
          <w:rFonts w:hint="eastAsia"/>
          <w:b/>
          <w:sz w:val="28"/>
          <w:szCs w:val="28"/>
        </w:rPr>
        <w:t>房地产公开市场价格：人民币1306.29万元；</w:t>
      </w:r>
    </w:p>
    <w:p>
      <w:pPr>
        <w:spacing w:line="440" w:lineRule="exact"/>
        <w:ind w:firstLine="551" w:firstLineChars="196"/>
        <w:rPr>
          <w:sz w:val="28"/>
          <w:szCs w:val="28"/>
        </w:rPr>
      </w:pPr>
      <w:r>
        <w:rPr>
          <w:rFonts w:hint="eastAsia"/>
          <w:b/>
          <w:sz w:val="28"/>
          <w:szCs w:val="28"/>
        </w:rPr>
        <w:t>人民币大写：壹仟叁佰零陆万贰仟玖佰元整</w:t>
      </w:r>
      <w:r>
        <w:rPr>
          <w:rFonts w:hint="eastAsia"/>
          <w:sz w:val="28"/>
          <w:szCs w:val="28"/>
        </w:rPr>
        <w:t xml:space="preserve">(具体结果详见下表)。 </w:t>
      </w:r>
    </w:p>
    <w:p>
      <w:pPr>
        <w:spacing w:line="440" w:lineRule="exact"/>
        <w:ind w:firstLine="437"/>
        <w:jc w:val="center"/>
        <w:rPr>
          <w:b/>
          <w:bCs/>
          <w:sz w:val="28"/>
          <w:szCs w:val="28"/>
        </w:rPr>
      </w:pPr>
      <w:r>
        <w:rPr>
          <w:rFonts w:hint="eastAsia"/>
          <w:b/>
          <w:bCs/>
          <w:sz w:val="28"/>
          <w:szCs w:val="28"/>
        </w:rPr>
        <w:t>房地产结果明细表</w:t>
      </w: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532"/>
        <w:gridCol w:w="857"/>
        <w:gridCol w:w="1695"/>
        <w:gridCol w:w="1486"/>
        <w:gridCol w:w="532"/>
        <w:gridCol w:w="816"/>
        <w:gridCol w:w="560"/>
        <w:gridCol w:w="844"/>
        <w:gridCol w:w="927"/>
        <w:gridCol w:w="92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290" w:type="pct"/>
            <w:shd w:val="clear" w:color="auto" w:fill="auto"/>
            <w:vAlign w:val="center"/>
          </w:tcPr>
          <w:p>
            <w:pPr>
              <w:widowControl/>
              <w:jc w:val="center"/>
              <w:rPr>
                <w:rFonts w:cs="宋体"/>
                <w:b/>
                <w:color w:val="auto"/>
                <w:kern w:val="0"/>
                <w:sz w:val="20"/>
                <w:szCs w:val="20"/>
              </w:rPr>
            </w:pPr>
            <w:r>
              <w:rPr>
                <w:rFonts w:hint="eastAsia" w:cs="宋体"/>
                <w:b/>
                <w:color w:val="auto"/>
                <w:kern w:val="0"/>
                <w:sz w:val="20"/>
                <w:szCs w:val="20"/>
              </w:rPr>
              <w:t>序号</w:t>
            </w:r>
          </w:p>
        </w:tc>
        <w:tc>
          <w:tcPr>
            <w:tcW w:w="467" w:type="pct"/>
            <w:shd w:val="clear" w:color="auto" w:fill="auto"/>
            <w:vAlign w:val="center"/>
          </w:tcPr>
          <w:p>
            <w:pPr>
              <w:widowControl/>
              <w:jc w:val="center"/>
              <w:rPr>
                <w:rFonts w:cs="宋体"/>
                <w:b/>
                <w:color w:val="auto"/>
                <w:kern w:val="0"/>
                <w:sz w:val="20"/>
                <w:szCs w:val="20"/>
              </w:rPr>
            </w:pPr>
            <w:r>
              <w:rPr>
                <w:rFonts w:hint="eastAsia" w:cs="宋体"/>
                <w:b/>
                <w:color w:val="auto"/>
                <w:kern w:val="0"/>
                <w:sz w:val="20"/>
                <w:szCs w:val="20"/>
              </w:rPr>
              <w:t>房屋所有权人</w:t>
            </w:r>
          </w:p>
        </w:tc>
        <w:tc>
          <w:tcPr>
            <w:tcW w:w="924" w:type="pct"/>
            <w:shd w:val="clear" w:color="auto" w:fill="auto"/>
            <w:vAlign w:val="center"/>
          </w:tcPr>
          <w:p>
            <w:pPr>
              <w:widowControl/>
              <w:jc w:val="center"/>
              <w:rPr>
                <w:rFonts w:cs="宋体"/>
                <w:b/>
                <w:color w:val="auto"/>
                <w:kern w:val="0"/>
                <w:sz w:val="20"/>
                <w:szCs w:val="20"/>
              </w:rPr>
            </w:pPr>
            <w:r>
              <w:rPr>
                <w:rFonts w:hint="eastAsia" w:cs="宋体"/>
                <w:b/>
                <w:color w:val="auto"/>
                <w:kern w:val="0"/>
                <w:sz w:val="20"/>
                <w:szCs w:val="20"/>
              </w:rPr>
              <w:t>不动产权证书号/房产证号</w:t>
            </w:r>
          </w:p>
        </w:tc>
        <w:tc>
          <w:tcPr>
            <w:tcW w:w="810" w:type="pct"/>
            <w:shd w:val="clear" w:color="auto" w:fill="auto"/>
            <w:vAlign w:val="center"/>
          </w:tcPr>
          <w:p>
            <w:pPr>
              <w:widowControl/>
              <w:jc w:val="center"/>
              <w:rPr>
                <w:rFonts w:cs="宋体"/>
                <w:b/>
                <w:color w:val="auto"/>
                <w:kern w:val="0"/>
                <w:sz w:val="20"/>
                <w:szCs w:val="20"/>
              </w:rPr>
            </w:pPr>
            <w:r>
              <w:rPr>
                <w:rFonts w:hint="eastAsia" w:cs="宋体"/>
                <w:b/>
                <w:color w:val="auto"/>
                <w:kern w:val="0"/>
                <w:sz w:val="20"/>
                <w:szCs w:val="20"/>
              </w:rPr>
              <w:t>坐落</w:t>
            </w:r>
          </w:p>
        </w:tc>
        <w:tc>
          <w:tcPr>
            <w:tcW w:w="290" w:type="pct"/>
            <w:shd w:val="clear" w:color="auto" w:fill="auto"/>
            <w:vAlign w:val="center"/>
          </w:tcPr>
          <w:p>
            <w:pPr>
              <w:widowControl/>
              <w:jc w:val="center"/>
              <w:rPr>
                <w:rFonts w:cs="宋体"/>
                <w:b/>
                <w:color w:val="auto"/>
                <w:kern w:val="0"/>
                <w:sz w:val="20"/>
                <w:szCs w:val="20"/>
              </w:rPr>
            </w:pPr>
            <w:r>
              <w:rPr>
                <w:rFonts w:hint="eastAsia" w:cs="宋体"/>
                <w:b/>
                <w:color w:val="auto"/>
                <w:kern w:val="0"/>
                <w:sz w:val="20"/>
                <w:szCs w:val="20"/>
              </w:rPr>
              <w:t>结构</w:t>
            </w:r>
          </w:p>
        </w:tc>
        <w:tc>
          <w:tcPr>
            <w:tcW w:w="445" w:type="pct"/>
            <w:shd w:val="clear" w:color="auto" w:fill="auto"/>
            <w:vAlign w:val="center"/>
          </w:tcPr>
          <w:p>
            <w:pPr>
              <w:widowControl/>
              <w:jc w:val="center"/>
              <w:rPr>
                <w:rFonts w:cs="宋体"/>
                <w:b/>
                <w:color w:val="auto"/>
                <w:kern w:val="0"/>
                <w:sz w:val="20"/>
                <w:szCs w:val="20"/>
              </w:rPr>
            </w:pPr>
            <w:r>
              <w:rPr>
                <w:rFonts w:hint="eastAsia" w:cs="宋体"/>
                <w:b/>
                <w:color w:val="auto"/>
                <w:kern w:val="0"/>
                <w:sz w:val="20"/>
                <w:szCs w:val="20"/>
              </w:rPr>
              <w:t>楼层</w:t>
            </w:r>
          </w:p>
        </w:tc>
        <w:tc>
          <w:tcPr>
            <w:tcW w:w="305" w:type="pct"/>
            <w:shd w:val="clear" w:color="auto" w:fill="auto"/>
            <w:vAlign w:val="center"/>
          </w:tcPr>
          <w:p>
            <w:pPr>
              <w:widowControl/>
              <w:jc w:val="center"/>
              <w:rPr>
                <w:rFonts w:cs="宋体"/>
                <w:b/>
                <w:color w:val="auto"/>
                <w:kern w:val="0"/>
                <w:sz w:val="20"/>
                <w:szCs w:val="20"/>
              </w:rPr>
            </w:pPr>
            <w:r>
              <w:rPr>
                <w:rFonts w:hint="eastAsia" w:cs="宋体"/>
                <w:b/>
                <w:color w:val="auto"/>
                <w:kern w:val="0"/>
                <w:sz w:val="20"/>
                <w:szCs w:val="20"/>
              </w:rPr>
              <w:t>用途</w:t>
            </w:r>
          </w:p>
        </w:tc>
        <w:tc>
          <w:tcPr>
            <w:tcW w:w="460" w:type="pct"/>
            <w:shd w:val="clear" w:color="auto" w:fill="auto"/>
            <w:vAlign w:val="center"/>
          </w:tcPr>
          <w:p>
            <w:pPr>
              <w:widowControl/>
              <w:jc w:val="center"/>
              <w:rPr>
                <w:rFonts w:cs="宋体"/>
                <w:b/>
                <w:color w:val="auto"/>
                <w:kern w:val="0"/>
                <w:sz w:val="20"/>
                <w:szCs w:val="20"/>
              </w:rPr>
            </w:pPr>
            <w:r>
              <w:rPr>
                <w:rFonts w:hint="eastAsia" w:cs="宋体"/>
                <w:b/>
                <w:color w:val="auto"/>
                <w:kern w:val="0"/>
                <w:sz w:val="20"/>
                <w:szCs w:val="20"/>
              </w:rPr>
              <w:t>建筑面积（㎡）</w:t>
            </w:r>
          </w:p>
        </w:tc>
        <w:tc>
          <w:tcPr>
            <w:tcW w:w="505" w:type="pct"/>
            <w:shd w:val="clear" w:color="auto" w:fill="auto"/>
            <w:vAlign w:val="center"/>
          </w:tcPr>
          <w:p>
            <w:pPr>
              <w:widowControl/>
              <w:jc w:val="center"/>
              <w:rPr>
                <w:rFonts w:cs="宋体"/>
                <w:b/>
                <w:color w:val="auto"/>
                <w:kern w:val="0"/>
                <w:sz w:val="20"/>
                <w:szCs w:val="20"/>
              </w:rPr>
            </w:pPr>
            <w:r>
              <w:rPr>
                <w:rFonts w:hint="eastAsia" w:cs="宋体"/>
                <w:b/>
                <w:color w:val="auto"/>
                <w:kern w:val="0"/>
                <w:sz w:val="20"/>
                <w:szCs w:val="20"/>
              </w:rPr>
              <w:t>评估单价（元/㎡）</w:t>
            </w:r>
          </w:p>
        </w:tc>
        <w:tc>
          <w:tcPr>
            <w:tcW w:w="504" w:type="pct"/>
            <w:shd w:val="clear" w:color="auto" w:fill="auto"/>
            <w:vAlign w:val="center"/>
          </w:tcPr>
          <w:p>
            <w:pPr>
              <w:widowControl/>
              <w:jc w:val="center"/>
              <w:rPr>
                <w:rFonts w:cs="宋体"/>
                <w:b/>
                <w:color w:val="auto"/>
                <w:kern w:val="0"/>
                <w:sz w:val="20"/>
                <w:szCs w:val="20"/>
              </w:rPr>
            </w:pPr>
            <w:r>
              <w:rPr>
                <w:rFonts w:hint="eastAsia" w:cs="宋体"/>
                <w:b/>
                <w:color w:val="auto"/>
                <w:kern w:val="0"/>
                <w:sz w:val="20"/>
                <w:szCs w:val="20"/>
              </w:rPr>
              <w:t>市场价格（万元）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290"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1</w:t>
            </w:r>
          </w:p>
        </w:tc>
        <w:tc>
          <w:tcPr>
            <w:tcW w:w="467"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陶克</w:t>
            </w:r>
          </w:p>
        </w:tc>
        <w:tc>
          <w:tcPr>
            <w:tcW w:w="924"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皖（2018）芜湖市不动产权第0497778号</w:t>
            </w:r>
          </w:p>
        </w:tc>
        <w:tc>
          <w:tcPr>
            <w:tcW w:w="810"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鸠江区滨江新居12#楼2单元201室</w:t>
            </w:r>
          </w:p>
        </w:tc>
        <w:tc>
          <w:tcPr>
            <w:tcW w:w="290"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钢混</w:t>
            </w:r>
          </w:p>
        </w:tc>
        <w:tc>
          <w:tcPr>
            <w:tcW w:w="445"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2/6F</w:t>
            </w:r>
          </w:p>
        </w:tc>
        <w:tc>
          <w:tcPr>
            <w:tcW w:w="305"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住宅</w:t>
            </w:r>
          </w:p>
        </w:tc>
        <w:tc>
          <w:tcPr>
            <w:tcW w:w="460"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88.5</w:t>
            </w:r>
          </w:p>
        </w:tc>
        <w:tc>
          <w:tcPr>
            <w:tcW w:w="505"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 xml:space="preserve">5080 </w:t>
            </w:r>
          </w:p>
        </w:tc>
        <w:tc>
          <w:tcPr>
            <w:tcW w:w="504"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 xml:space="preserve">44.96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80" w:hRule="atLeast"/>
        </w:trPr>
        <w:tc>
          <w:tcPr>
            <w:tcW w:w="290"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2</w:t>
            </w:r>
          </w:p>
        </w:tc>
        <w:tc>
          <w:tcPr>
            <w:tcW w:w="467"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于睿、石帆</w:t>
            </w:r>
          </w:p>
        </w:tc>
        <w:tc>
          <w:tcPr>
            <w:tcW w:w="924"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皖（2016）芜湖市不动产权第0101373号、皖（2016）芜湖市不动产权第0101374号</w:t>
            </w:r>
          </w:p>
        </w:tc>
        <w:tc>
          <w:tcPr>
            <w:tcW w:w="810"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镜湖区平湖秋月29#楼1-501室</w:t>
            </w:r>
          </w:p>
        </w:tc>
        <w:tc>
          <w:tcPr>
            <w:tcW w:w="290"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钢混</w:t>
            </w:r>
          </w:p>
        </w:tc>
        <w:tc>
          <w:tcPr>
            <w:tcW w:w="445"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5/18F</w:t>
            </w:r>
          </w:p>
        </w:tc>
        <w:tc>
          <w:tcPr>
            <w:tcW w:w="305"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住宅</w:t>
            </w:r>
          </w:p>
        </w:tc>
        <w:tc>
          <w:tcPr>
            <w:tcW w:w="460"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186.25</w:t>
            </w:r>
          </w:p>
        </w:tc>
        <w:tc>
          <w:tcPr>
            <w:tcW w:w="505"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 xml:space="preserve">16750 </w:t>
            </w:r>
          </w:p>
        </w:tc>
        <w:tc>
          <w:tcPr>
            <w:tcW w:w="504"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 xml:space="preserve">311.97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90" w:hRule="atLeast"/>
        </w:trPr>
        <w:tc>
          <w:tcPr>
            <w:tcW w:w="290"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3</w:t>
            </w:r>
          </w:p>
        </w:tc>
        <w:tc>
          <w:tcPr>
            <w:tcW w:w="467"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于睿、石帆</w:t>
            </w:r>
          </w:p>
        </w:tc>
        <w:tc>
          <w:tcPr>
            <w:tcW w:w="924"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皖（2016）芜湖市不动产权第0013221号、皖（2016）芜湖市不动产权第0013222号</w:t>
            </w:r>
          </w:p>
        </w:tc>
        <w:tc>
          <w:tcPr>
            <w:tcW w:w="810"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镜湖区华强广场6#楼1单元2501室</w:t>
            </w:r>
          </w:p>
        </w:tc>
        <w:tc>
          <w:tcPr>
            <w:tcW w:w="290"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钢混</w:t>
            </w:r>
          </w:p>
        </w:tc>
        <w:tc>
          <w:tcPr>
            <w:tcW w:w="445"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25/34F</w:t>
            </w:r>
          </w:p>
        </w:tc>
        <w:tc>
          <w:tcPr>
            <w:tcW w:w="305"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住宅</w:t>
            </w:r>
          </w:p>
        </w:tc>
        <w:tc>
          <w:tcPr>
            <w:tcW w:w="460"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204.95</w:t>
            </w:r>
          </w:p>
        </w:tc>
        <w:tc>
          <w:tcPr>
            <w:tcW w:w="505"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 xml:space="preserve">23870 </w:t>
            </w:r>
          </w:p>
        </w:tc>
        <w:tc>
          <w:tcPr>
            <w:tcW w:w="504"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 xml:space="preserve">489.22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95" w:hRule="atLeast"/>
        </w:trPr>
        <w:tc>
          <w:tcPr>
            <w:tcW w:w="290"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4</w:t>
            </w:r>
          </w:p>
        </w:tc>
        <w:tc>
          <w:tcPr>
            <w:tcW w:w="467"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于睿、石帆</w:t>
            </w:r>
          </w:p>
        </w:tc>
        <w:tc>
          <w:tcPr>
            <w:tcW w:w="924"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皖（2017）芜湖市不动产权第0252027号、皖（2017）芜湖市不动产权第0252028号</w:t>
            </w:r>
          </w:p>
        </w:tc>
        <w:tc>
          <w:tcPr>
            <w:tcW w:w="810"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镜湖区圣地雅歌3-05#楼1-101</w:t>
            </w:r>
          </w:p>
        </w:tc>
        <w:tc>
          <w:tcPr>
            <w:tcW w:w="290"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钢混</w:t>
            </w:r>
          </w:p>
        </w:tc>
        <w:tc>
          <w:tcPr>
            <w:tcW w:w="445"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1/4F</w:t>
            </w:r>
          </w:p>
        </w:tc>
        <w:tc>
          <w:tcPr>
            <w:tcW w:w="305"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住宅</w:t>
            </w:r>
          </w:p>
        </w:tc>
        <w:tc>
          <w:tcPr>
            <w:tcW w:w="460"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129.97</w:t>
            </w:r>
          </w:p>
        </w:tc>
        <w:tc>
          <w:tcPr>
            <w:tcW w:w="505"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 xml:space="preserve">23030 </w:t>
            </w:r>
          </w:p>
        </w:tc>
        <w:tc>
          <w:tcPr>
            <w:tcW w:w="504"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 xml:space="preserve">299.32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290" w:type="pct"/>
            <w:vMerge w:val="restar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5</w:t>
            </w:r>
          </w:p>
        </w:tc>
        <w:tc>
          <w:tcPr>
            <w:tcW w:w="467" w:type="pct"/>
            <w:vMerge w:val="restar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龚亮明、胡小平、龚超</w:t>
            </w:r>
          </w:p>
        </w:tc>
        <w:tc>
          <w:tcPr>
            <w:tcW w:w="924" w:type="pct"/>
            <w:vMerge w:val="restar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10012286</w:t>
            </w:r>
          </w:p>
        </w:tc>
        <w:tc>
          <w:tcPr>
            <w:tcW w:w="810"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市38号路西侧和谐小区7栋4单元04052号</w:t>
            </w:r>
          </w:p>
        </w:tc>
        <w:tc>
          <w:tcPr>
            <w:tcW w:w="290" w:type="pct"/>
            <w:vMerge w:val="restar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框架</w:t>
            </w:r>
          </w:p>
        </w:tc>
        <w:tc>
          <w:tcPr>
            <w:tcW w:w="445"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6/7F</w:t>
            </w:r>
          </w:p>
        </w:tc>
        <w:tc>
          <w:tcPr>
            <w:tcW w:w="305"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住宅</w:t>
            </w:r>
          </w:p>
        </w:tc>
        <w:tc>
          <w:tcPr>
            <w:tcW w:w="460"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69.01</w:t>
            </w:r>
          </w:p>
        </w:tc>
        <w:tc>
          <w:tcPr>
            <w:tcW w:w="505" w:type="pct"/>
            <w:vMerge w:val="restar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 xml:space="preserve">6260 </w:t>
            </w:r>
          </w:p>
        </w:tc>
        <w:tc>
          <w:tcPr>
            <w:tcW w:w="504" w:type="pct"/>
            <w:vMerge w:val="restar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 xml:space="preserve">49.17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290" w:type="pct"/>
            <w:vMerge w:val="continue"/>
            <w:vAlign w:val="center"/>
          </w:tcPr>
          <w:p>
            <w:pPr>
              <w:widowControl/>
              <w:jc w:val="left"/>
              <w:rPr>
                <w:rFonts w:cs="宋体"/>
                <w:color w:val="auto"/>
                <w:kern w:val="0"/>
                <w:sz w:val="20"/>
                <w:szCs w:val="20"/>
              </w:rPr>
            </w:pPr>
          </w:p>
        </w:tc>
        <w:tc>
          <w:tcPr>
            <w:tcW w:w="467" w:type="pct"/>
            <w:vMerge w:val="continue"/>
            <w:vAlign w:val="center"/>
          </w:tcPr>
          <w:p>
            <w:pPr>
              <w:widowControl/>
              <w:jc w:val="left"/>
              <w:rPr>
                <w:rFonts w:cs="宋体"/>
                <w:color w:val="auto"/>
                <w:kern w:val="0"/>
                <w:sz w:val="20"/>
                <w:szCs w:val="20"/>
              </w:rPr>
            </w:pPr>
          </w:p>
        </w:tc>
        <w:tc>
          <w:tcPr>
            <w:tcW w:w="924" w:type="pct"/>
            <w:vMerge w:val="continue"/>
            <w:vAlign w:val="center"/>
          </w:tcPr>
          <w:p>
            <w:pPr>
              <w:widowControl/>
              <w:jc w:val="left"/>
              <w:rPr>
                <w:rFonts w:cs="宋体"/>
                <w:color w:val="auto"/>
                <w:kern w:val="0"/>
                <w:sz w:val="20"/>
                <w:szCs w:val="20"/>
              </w:rPr>
            </w:pPr>
          </w:p>
        </w:tc>
        <w:tc>
          <w:tcPr>
            <w:tcW w:w="810"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4017号</w:t>
            </w:r>
          </w:p>
        </w:tc>
        <w:tc>
          <w:tcPr>
            <w:tcW w:w="290" w:type="pct"/>
            <w:vMerge w:val="continue"/>
            <w:vAlign w:val="center"/>
          </w:tcPr>
          <w:p>
            <w:pPr>
              <w:widowControl/>
              <w:jc w:val="left"/>
              <w:rPr>
                <w:rFonts w:cs="宋体"/>
                <w:color w:val="auto"/>
                <w:kern w:val="0"/>
                <w:sz w:val="20"/>
                <w:szCs w:val="20"/>
              </w:rPr>
            </w:pPr>
          </w:p>
        </w:tc>
        <w:tc>
          <w:tcPr>
            <w:tcW w:w="445"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1/7F</w:t>
            </w:r>
          </w:p>
        </w:tc>
        <w:tc>
          <w:tcPr>
            <w:tcW w:w="305"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杂物间</w:t>
            </w:r>
          </w:p>
        </w:tc>
        <w:tc>
          <w:tcPr>
            <w:tcW w:w="460"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9.54</w:t>
            </w:r>
          </w:p>
        </w:tc>
        <w:tc>
          <w:tcPr>
            <w:tcW w:w="505" w:type="pct"/>
            <w:vMerge w:val="continue"/>
            <w:vAlign w:val="center"/>
          </w:tcPr>
          <w:p>
            <w:pPr>
              <w:widowControl/>
              <w:jc w:val="left"/>
              <w:rPr>
                <w:rFonts w:cs="宋体"/>
                <w:color w:val="auto"/>
                <w:kern w:val="0"/>
                <w:sz w:val="20"/>
                <w:szCs w:val="20"/>
              </w:rPr>
            </w:pPr>
          </w:p>
        </w:tc>
        <w:tc>
          <w:tcPr>
            <w:tcW w:w="504" w:type="pct"/>
            <w:vMerge w:val="continue"/>
            <w:vAlign w:val="center"/>
          </w:tcPr>
          <w:p>
            <w:pPr>
              <w:widowControl/>
              <w:jc w:val="left"/>
              <w:rPr>
                <w:rFonts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85" w:hRule="atLeast"/>
        </w:trPr>
        <w:tc>
          <w:tcPr>
            <w:tcW w:w="290"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6</w:t>
            </w:r>
          </w:p>
        </w:tc>
        <w:tc>
          <w:tcPr>
            <w:tcW w:w="467"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钱坤、叶君</w:t>
            </w:r>
          </w:p>
        </w:tc>
        <w:tc>
          <w:tcPr>
            <w:tcW w:w="924"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赣（2021）鹰潭市不动产权第0001251号</w:t>
            </w:r>
          </w:p>
        </w:tc>
        <w:tc>
          <w:tcPr>
            <w:tcW w:w="810"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鹰潭市月湖区四海东路22号月湖明珠双水坑南苑B1栋02单元504室</w:t>
            </w:r>
          </w:p>
        </w:tc>
        <w:tc>
          <w:tcPr>
            <w:tcW w:w="290"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钢混</w:t>
            </w:r>
          </w:p>
        </w:tc>
        <w:tc>
          <w:tcPr>
            <w:tcW w:w="445"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5/16F</w:t>
            </w:r>
          </w:p>
        </w:tc>
        <w:tc>
          <w:tcPr>
            <w:tcW w:w="305"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住宅</w:t>
            </w:r>
          </w:p>
        </w:tc>
        <w:tc>
          <w:tcPr>
            <w:tcW w:w="460"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118.27</w:t>
            </w:r>
          </w:p>
        </w:tc>
        <w:tc>
          <w:tcPr>
            <w:tcW w:w="505"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 xml:space="preserve">9440 </w:t>
            </w:r>
          </w:p>
        </w:tc>
        <w:tc>
          <w:tcPr>
            <w:tcW w:w="504" w:type="pct"/>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 xml:space="preserve">111.65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0" w:hRule="atLeast"/>
        </w:trPr>
        <w:tc>
          <w:tcPr>
            <w:tcW w:w="3531" w:type="pct"/>
            <w:gridSpan w:val="7"/>
            <w:shd w:val="clear" w:color="auto" w:fill="auto"/>
            <w:vAlign w:val="center"/>
          </w:tcPr>
          <w:p>
            <w:pPr>
              <w:widowControl/>
              <w:jc w:val="center"/>
              <w:rPr>
                <w:rFonts w:cs="宋体"/>
                <w:b/>
                <w:bCs/>
                <w:color w:val="auto"/>
                <w:kern w:val="0"/>
                <w:sz w:val="20"/>
                <w:szCs w:val="20"/>
              </w:rPr>
            </w:pPr>
            <w:r>
              <w:rPr>
                <w:rFonts w:hint="eastAsia" w:cs="宋体"/>
                <w:b/>
                <w:bCs/>
                <w:color w:val="auto"/>
                <w:kern w:val="0"/>
                <w:sz w:val="20"/>
                <w:szCs w:val="20"/>
              </w:rPr>
              <w:t>合计</w:t>
            </w:r>
          </w:p>
        </w:tc>
        <w:tc>
          <w:tcPr>
            <w:tcW w:w="460" w:type="pct"/>
            <w:shd w:val="clear" w:color="auto" w:fill="auto"/>
            <w:vAlign w:val="center"/>
          </w:tcPr>
          <w:p>
            <w:pPr>
              <w:widowControl/>
              <w:jc w:val="center"/>
              <w:rPr>
                <w:rFonts w:cs="宋体"/>
                <w:b/>
                <w:bCs/>
                <w:color w:val="auto"/>
                <w:kern w:val="0"/>
                <w:sz w:val="20"/>
                <w:szCs w:val="20"/>
              </w:rPr>
            </w:pPr>
            <w:r>
              <w:rPr>
                <w:rFonts w:hint="eastAsia" w:cs="宋体"/>
                <w:b/>
                <w:bCs/>
                <w:color w:val="auto"/>
                <w:kern w:val="0"/>
                <w:sz w:val="20"/>
                <w:szCs w:val="20"/>
              </w:rPr>
              <w:t>806.49</w:t>
            </w:r>
          </w:p>
        </w:tc>
        <w:tc>
          <w:tcPr>
            <w:tcW w:w="505" w:type="pct"/>
            <w:shd w:val="clear" w:color="auto" w:fill="auto"/>
            <w:vAlign w:val="center"/>
          </w:tcPr>
          <w:p>
            <w:pPr>
              <w:widowControl/>
              <w:jc w:val="center"/>
              <w:rPr>
                <w:rFonts w:cs="宋体"/>
                <w:b/>
                <w:bCs/>
                <w:color w:val="auto"/>
                <w:kern w:val="0"/>
                <w:sz w:val="20"/>
                <w:szCs w:val="20"/>
              </w:rPr>
            </w:pPr>
            <w:r>
              <w:rPr>
                <w:rFonts w:hint="eastAsia" w:cs="宋体"/>
                <w:b/>
                <w:bCs/>
                <w:color w:val="auto"/>
                <w:kern w:val="0"/>
                <w:sz w:val="20"/>
                <w:szCs w:val="20"/>
              </w:rPr>
              <w:t>——</w:t>
            </w:r>
          </w:p>
        </w:tc>
        <w:tc>
          <w:tcPr>
            <w:tcW w:w="504" w:type="pct"/>
            <w:shd w:val="clear" w:color="auto" w:fill="auto"/>
            <w:vAlign w:val="center"/>
          </w:tcPr>
          <w:p>
            <w:pPr>
              <w:widowControl/>
              <w:jc w:val="center"/>
              <w:rPr>
                <w:rFonts w:cs="宋体"/>
                <w:b/>
                <w:bCs/>
                <w:color w:val="auto"/>
                <w:kern w:val="0"/>
                <w:sz w:val="20"/>
                <w:szCs w:val="20"/>
              </w:rPr>
            </w:pPr>
            <w:r>
              <w:rPr>
                <w:rFonts w:hint="eastAsia" w:cs="宋体"/>
                <w:b/>
                <w:bCs/>
                <w:color w:val="auto"/>
                <w:kern w:val="0"/>
                <w:sz w:val="20"/>
                <w:szCs w:val="20"/>
              </w:rPr>
              <w:t xml:space="preserve">1306.29 </w:t>
            </w:r>
          </w:p>
        </w:tc>
      </w:tr>
    </w:tbl>
    <w:p>
      <w:pPr>
        <w:spacing w:line="300" w:lineRule="exact"/>
        <w:ind w:firstLine="413" w:firstLineChars="196"/>
        <w:rPr>
          <w:rFonts w:cs="Arial"/>
          <w:b/>
          <w:kern w:val="0"/>
          <w:szCs w:val="21"/>
        </w:rPr>
      </w:pPr>
      <w:r>
        <w:rPr>
          <w:rFonts w:hint="eastAsia" w:cs="Arial"/>
          <w:b/>
          <w:kern w:val="0"/>
          <w:szCs w:val="21"/>
        </w:rPr>
        <w:t>特别提示：</w:t>
      </w:r>
    </w:p>
    <w:p>
      <w:pPr>
        <w:spacing w:line="300" w:lineRule="exact"/>
        <w:ind w:firstLine="413" w:firstLineChars="196"/>
        <w:rPr>
          <w:rFonts w:cs="Arial"/>
          <w:b/>
          <w:kern w:val="0"/>
          <w:szCs w:val="21"/>
        </w:rPr>
      </w:pPr>
      <w:r>
        <w:rPr>
          <w:rFonts w:hint="eastAsia" w:cs="Arial"/>
          <w:b/>
          <w:kern w:val="0"/>
          <w:szCs w:val="21"/>
        </w:rPr>
        <w:t>1、估价结果不包含估价对象使用及处置时的水电费、司法诉讼费用、拍卖佣金、交易税费及其他应付费用。</w:t>
      </w:r>
    </w:p>
    <w:p>
      <w:pPr>
        <w:spacing w:line="300" w:lineRule="exact"/>
        <w:ind w:firstLine="413" w:firstLineChars="196"/>
        <w:rPr>
          <w:rFonts w:cs="Arial"/>
          <w:b/>
          <w:kern w:val="0"/>
          <w:szCs w:val="21"/>
        </w:rPr>
      </w:pPr>
      <w:r>
        <w:rPr>
          <w:rFonts w:hint="eastAsia" w:cs="Arial"/>
          <w:b/>
          <w:kern w:val="0"/>
          <w:szCs w:val="21"/>
        </w:rPr>
        <w:t>2、由于非估价方原因，估价人员未能进入估价对象2-5房产内部查勘其装修状况，评估依据现场查勘情况设定其内部为简单装修、普通装修、精装修，若有资料证明与实际不符，应作相应调整，买受人需要承担与实际情况不符带来的风险，特此说明。</w:t>
      </w:r>
    </w:p>
    <w:p>
      <w:pPr>
        <w:spacing w:line="300" w:lineRule="exact"/>
        <w:ind w:firstLine="413" w:firstLineChars="196"/>
        <w:rPr>
          <w:rFonts w:cs="Arial"/>
          <w:b/>
          <w:kern w:val="0"/>
          <w:szCs w:val="21"/>
        </w:rPr>
      </w:pPr>
      <w:r>
        <w:rPr>
          <w:rFonts w:hint="eastAsia" w:cs="Arial"/>
          <w:b/>
          <w:kern w:val="0"/>
          <w:szCs w:val="21"/>
        </w:rPr>
        <w:t>3、委托方提供的《房地产权登记信息》未显示估价对象1-4是否存在抵押权，由于估价人员未能进入估价对象2-5内部查勘，无法确定估价对象是否存在租赁权，本次评估结合估价目的，不考虑抵押、租赁、担保等他项权对估价结果的影响。</w:t>
      </w:r>
    </w:p>
    <w:p>
      <w:pPr>
        <w:spacing w:line="300" w:lineRule="exact"/>
        <w:ind w:firstLine="413" w:firstLineChars="196"/>
        <w:rPr>
          <w:rFonts w:cs="Arial"/>
          <w:b/>
          <w:kern w:val="0"/>
          <w:szCs w:val="21"/>
        </w:rPr>
      </w:pPr>
      <w:r>
        <w:rPr>
          <w:rFonts w:hint="eastAsia" w:cs="Arial"/>
          <w:b/>
          <w:kern w:val="0"/>
          <w:szCs w:val="21"/>
        </w:rPr>
        <w:t>4、估价价格仅为估价委托人执行（2021）贵法技委评字32号石帆、陶克、叶君、胡小萍刑事退赔纠纷一案提供价值参考依据，不作他用，评估结果不等于估价对象实际成交价，特此说明。</w:t>
      </w:r>
    </w:p>
    <w:p>
      <w:pPr>
        <w:spacing w:line="300" w:lineRule="exact"/>
        <w:ind w:firstLine="413" w:firstLineChars="196"/>
        <w:rPr>
          <w:rFonts w:cs="Arial"/>
          <w:b/>
          <w:kern w:val="0"/>
          <w:szCs w:val="21"/>
        </w:rPr>
      </w:pPr>
      <w:r>
        <w:rPr>
          <w:rFonts w:hint="eastAsia" w:cs="Arial"/>
          <w:b/>
          <w:kern w:val="0"/>
          <w:szCs w:val="21"/>
        </w:rPr>
        <w:t>5、本估价报告的全文为一个不可分割的整体，报告使用者请详细查阅本报告的估价师声明、估价的假设与限制条件、房地产估价结果报告，以对本报告有一个全面正确的了解。</w:t>
      </w:r>
    </w:p>
    <w:p>
      <w:pPr>
        <w:spacing w:line="400" w:lineRule="exact"/>
        <w:rPr>
          <w:sz w:val="28"/>
          <w:szCs w:val="28"/>
        </w:rPr>
      </w:pPr>
      <w:r>
        <w:rPr>
          <w:rFonts w:hint="eastAsia"/>
          <w:sz w:val="28"/>
          <w:szCs w:val="28"/>
        </w:rPr>
        <w:t>此房地产估价报告自完成之日起，一年内有效。</w:t>
      </w:r>
    </w:p>
    <w:p>
      <w:pPr>
        <w:spacing w:line="400" w:lineRule="exact"/>
        <w:ind w:firstLine="573"/>
        <w:rPr>
          <w:sz w:val="28"/>
          <w:szCs w:val="28"/>
        </w:rPr>
      </w:pPr>
      <w:r>
        <w:rPr>
          <w:rFonts w:hint="eastAsia"/>
          <w:sz w:val="28"/>
          <w:szCs w:val="28"/>
        </w:rPr>
        <w:t>附此函及房地产估价报告一份。</w:t>
      </w:r>
    </w:p>
    <w:p>
      <w:pPr>
        <w:pStyle w:val="11"/>
        <w:spacing w:line="400" w:lineRule="exact"/>
        <w:rPr>
          <w:color w:val="000000"/>
          <w:shd w:val="clear" w:color="auto" w:fill="FFFFFF"/>
        </w:rPr>
      </w:pPr>
      <w:r>
        <w:rPr>
          <w:rFonts w:hint="eastAsia"/>
          <w:shd w:val="clear" w:color="auto" w:fill="FFFFFF"/>
        </w:rPr>
        <w:t xml:space="preserve">            此    致</w:t>
      </w:r>
    </w:p>
    <w:p>
      <w:pPr>
        <w:spacing w:line="400" w:lineRule="exact"/>
        <w:rPr>
          <w:sz w:val="28"/>
          <w:szCs w:val="28"/>
          <w:shd w:val="clear" w:color="auto" w:fill="FFFFFF"/>
        </w:rPr>
      </w:pPr>
      <w:r>
        <w:rPr>
          <w:rFonts w:hint="eastAsia"/>
          <w:sz w:val="28"/>
          <w:szCs w:val="28"/>
          <w:shd w:val="clear" w:color="auto" w:fill="FFFFFF"/>
        </w:rPr>
        <w:t xml:space="preserve">                              </w:t>
      </w:r>
      <w:r>
        <w:rPr>
          <w:rFonts w:hint="eastAsia"/>
          <w:sz w:val="28"/>
          <w:szCs w:val="28"/>
        </w:rPr>
        <w:t xml:space="preserve"> 江西省中唐房地产评估顾问有限公司</w:t>
      </w:r>
    </w:p>
    <w:p>
      <w:pPr>
        <w:spacing w:line="400" w:lineRule="exact"/>
        <w:ind w:firstLine="5320" w:firstLineChars="1900"/>
        <w:rPr>
          <w:sz w:val="28"/>
          <w:szCs w:val="28"/>
        </w:rPr>
      </w:pPr>
      <w:r>
        <w:rPr>
          <w:rFonts w:hint="eastAsia"/>
          <w:sz w:val="28"/>
          <w:szCs w:val="28"/>
        </w:rPr>
        <w:t>法定代表人：</w:t>
      </w:r>
    </w:p>
    <w:p>
      <w:pPr>
        <w:spacing w:line="400" w:lineRule="exact"/>
        <w:ind w:firstLine="5320" w:firstLineChars="1900"/>
        <w:rPr>
          <w:b/>
          <w:bCs/>
          <w:sz w:val="28"/>
          <w:szCs w:val="28"/>
        </w:rPr>
      </w:pPr>
      <w:r>
        <w:rPr>
          <w:rFonts w:hint="eastAsia"/>
          <w:sz w:val="28"/>
          <w:szCs w:val="28"/>
        </w:rPr>
        <w:t>2021年10月22日</w:t>
      </w:r>
    </w:p>
    <w:p>
      <w:pPr>
        <w:jc w:val="center"/>
        <w:rPr>
          <w:b/>
          <w:bCs/>
          <w:sz w:val="28"/>
          <w:szCs w:val="28"/>
        </w:rPr>
        <w:sectPr>
          <w:footerReference r:id="rId6" w:type="default"/>
          <w:pgSz w:w="11907" w:h="16840"/>
          <w:pgMar w:top="1304" w:right="1361" w:bottom="1246" w:left="1588" w:header="851" w:footer="850" w:gutter="0"/>
          <w:pgNumType w:start="1"/>
          <w:cols w:space="720" w:num="1"/>
          <w:docGrid w:type="lines" w:linePitch="312" w:charSpace="0"/>
        </w:sectPr>
      </w:pPr>
    </w:p>
    <w:p>
      <w:pPr>
        <w:spacing w:line="500" w:lineRule="exact"/>
        <w:ind w:left="2249" w:hanging="2249" w:hangingChars="700"/>
        <w:jc w:val="center"/>
        <w:rPr>
          <w:b/>
          <w:color w:val="auto"/>
          <w:sz w:val="32"/>
          <w:szCs w:val="32"/>
        </w:rPr>
      </w:pPr>
      <w:r>
        <w:rPr>
          <w:b/>
          <w:color w:val="auto"/>
          <w:sz w:val="32"/>
          <w:szCs w:val="32"/>
        </w:rPr>
        <w:t>目   录</w:t>
      </w:r>
    </w:p>
    <w:p>
      <w:pPr>
        <w:pStyle w:val="21"/>
        <w:tabs>
          <w:tab w:val="right" w:leader="dot" w:pos="8302"/>
        </w:tabs>
        <w:rPr>
          <w:rFonts w:ascii="宋体" w:hAnsi="宋体"/>
          <w:b w:val="0"/>
          <w:bCs w:val="0"/>
          <w:caps w:val="0"/>
          <w:sz w:val="28"/>
          <w:szCs w:val="28"/>
        </w:rPr>
      </w:pPr>
      <w:r>
        <w:rPr>
          <w:rFonts w:ascii="宋体" w:hAnsi="宋体"/>
          <w:bCs w:val="0"/>
          <w:caps w:val="0"/>
          <w:sz w:val="28"/>
          <w:szCs w:val="28"/>
        </w:rPr>
        <w:t>注册房地产估价师声明</w:t>
      </w:r>
      <w:r>
        <w:rPr>
          <w:rFonts w:ascii="宋体" w:hAnsi="宋体"/>
          <w:b w:val="0"/>
          <w:bCs w:val="0"/>
          <w:caps w:val="0"/>
          <w:sz w:val="28"/>
          <w:szCs w:val="28"/>
        </w:rPr>
        <w:tab/>
      </w:r>
      <w:r>
        <w:rPr>
          <w:rFonts w:hint="eastAsia" w:ascii="宋体" w:hAnsi="宋体"/>
          <w:b w:val="0"/>
          <w:bCs w:val="0"/>
          <w:caps w:val="0"/>
          <w:sz w:val="28"/>
          <w:szCs w:val="28"/>
        </w:rPr>
        <w:t>6</w:t>
      </w:r>
    </w:p>
    <w:p>
      <w:pPr>
        <w:pStyle w:val="21"/>
        <w:tabs>
          <w:tab w:val="right" w:leader="dot" w:pos="8302"/>
        </w:tabs>
        <w:rPr>
          <w:rFonts w:ascii="宋体" w:hAnsi="宋体"/>
          <w:b w:val="0"/>
          <w:bCs w:val="0"/>
          <w:caps w:val="0"/>
          <w:sz w:val="28"/>
          <w:szCs w:val="28"/>
        </w:rPr>
      </w:pPr>
      <w:r>
        <w:rPr>
          <w:rFonts w:ascii="宋体" w:hAnsi="宋体"/>
          <w:bCs w:val="0"/>
          <w:caps w:val="0"/>
          <w:sz w:val="28"/>
          <w:szCs w:val="28"/>
        </w:rPr>
        <w:t>估价假设和限制条件</w:t>
      </w:r>
      <w:r>
        <w:rPr>
          <w:rFonts w:ascii="宋体" w:hAnsi="宋体"/>
          <w:b w:val="0"/>
          <w:bCs w:val="0"/>
          <w:caps w:val="0"/>
          <w:sz w:val="28"/>
          <w:szCs w:val="28"/>
        </w:rPr>
        <w:tab/>
      </w:r>
      <w:r>
        <w:rPr>
          <w:rFonts w:hint="eastAsia" w:ascii="宋体" w:hAnsi="宋体"/>
          <w:b w:val="0"/>
          <w:bCs w:val="0"/>
          <w:caps w:val="0"/>
          <w:sz w:val="28"/>
          <w:szCs w:val="28"/>
        </w:rPr>
        <w:t>7</w:t>
      </w:r>
    </w:p>
    <w:p>
      <w:pPr>
        <w:pStyle w:val="21"/>
        <w:tabs>
          <w:tab w:val="right" w:leader="dot" w:pos="8302"/>
        </w:tabs>
        <w:rPr>
          <w:rFonts w:ascii="宋体" w:hAnsi="宋体"/>
          <w:b w:val="0"/>
          <w:bCs w:val="0"/>
          <w:caps w:val="0"/>
          <w:sz w:val="28"/>
          <w:szCs w:val="28"/>
        </w:rPr>
      </w:pPr>
      <w:r>
        <w:rPr>
          <w:rFonts w:ascii="宋体" w:hAnsi="宋体"/>
          <w:bCs w:val="0"/>
          <w:caps w:val="0"/>
          <w:sz w:val="28"/>
          <w:szCs w:val="28"/>
        </w:rPr>
        <w:t>估价结果报告</w:t>
      </w:r>
      <w:r>
        <w:rPr>
          <w:rFonts w:ascii="宋体" w:hAnsi="宋体"/>
          <w:b w:val="0"/>
          <w:bCs w:val="0"/>
          <w:caps w:val="0"/>
          <w:sz w:val="28"/>
          <w:szCs w:val="28"/>
        </w:rPr>
        <w:tab/>
      </w:r>
      <w:r>
        <w:rPr>
          <w:rFonts w:hint="eastAsia" w:ascii="宋体" w:hAnsi="宋体"/>
          <w:b w:val="0"/>
          <w:bCs w:val="0"/>
          <w:caps w:val="0"/>
          <w:sz w:val="28"/>
          <w:szCs w:val="28"/>
        </w:rPr>
        <w:t>9</w:t>
      </w:r>
    </w:p>
    <w:p>
      <w:pPr>
        <w:pStyle w:val="25"/>
        <w:rPr>
          <w:rFonts w:ascii="宋体" w:hAnsi="宋体"/>
          <w:smallCaps w:val="0"/>
          <w:sz w:val="28"/>
          <w:szCs w:val="28"/>
        </w:rPr>
      </w:pPr>
      <w:r>
        <w:rPr>
          <w:rFonts w:ascii="宋体" w:hAnsi="宋体"/>
          <w:smallCaps w:val="0"/>
          <w:sz w:val="28"/>
          <w:szCs w:val="28"/>
        </w:rPr>
        <w:t>（一）估价委托人</w:t>
      </w:r>
      <w:r>
        <w:rPr>
          <w:rFonts w:ascii="宋体" w:hAnsi="宋体"/>
          <w:smallCaps w:val="0"/>
          <w:sz w:val="28"/>
          <w:szCs w:val="28"/>
        </w:rPr>
        <w:tab/>
      </w:r>
      <w:r>
        <w:rPr>
          <w:rFonts w:hint="eastAsia" w:ascii="宋体" w:hAnsi="宋体"/>
          <w:smallCaps w:val="0"/>
          <w:sz w:val="28"/>
          <w:szCs w:val="28"/>
        </w:rPr>
        <w:t>9</w:t>
      </w:r>
    </w:p>
    <w:p>
      <w:pPr>
        <w:pStyle w:val="25"/>
        <w:rPr>
          <w:rFonts w:ascii="宋体" w:hAnsi="宋体"/>
          <w:smallCaps w:val="0"/>
          <w:sz w:val="28"/>
          <w:szCs w:val="28"/>
        </w:rPr>
      </w:pPr>
      <w:r>
        <w:rPr>
          <w:rFonts w:ascii="宋体" w:hAnsi="宋体"/>
          <w:smallCaps w:val="0"/>
          <w:sz w:val="28"/>
          <w:szCs w:val="28"/>
        </w:rPr>
        <w:t>（二）房地产估价机构</w:t>
      </w:r>
      <w:r>
        <w:rPr>
          <w:rFonts w:ascii="宋体" w:hAnsi="宋体"/>
          <w:smallCaps w:val="0"/>
          <w:sz w:val="28"/>
          <w:szCs w:val="28"/>
        </w:rPr>
        <w:tab/>
      </w:r>
      <w:r>
        <w:rPr>
          <w:rFonts w:hint="eastAsia" w:ascii="宋体" w:hAnsi="宋体"/>
          <w:smallCaps w:val="0"/>
          <w:sz w:val="28"/>
          <w:szCs w:val="28"/>
        </w:rPr>
        <w:t>9</w:t>
      </w:r>
    </w:p>
    <w:p>
      <w:pPr>
        <w:pStyle w:val="25"/>
        <w:rPr>
          <w:rFonts w:ascii="宋体" w:hAnsi="宋体"/>
          <w:smallCaps w:val="0"/>
          <w:sz w:val="28"/>
          <w:szCs w:val="28"/>
        </w:rPr>
      </w:pPr>
      <w:r>
        <w:rPr>
          <w:rFonts w:ascii="宋体" w:hAnsi="宋体"/>
          <w:smallCaps w:val="0"/>
          <w:sz w:val="28"/>
          <w:szCs w:val="28"/>
        </w:rPr>
        <w:t>（三）估价</w:t>
      </w:r>
      <w:r>
        <w:rPr>
          <w:rFonts w:hint="eastAsia" w:ascii="宋体" w:hAnsi="宋体"/>
          <w:smallCaps w:val="0"/>
          <w:sz w:val="28"/>
          <w:szCs w:val="28"/>
        </w:rPr>
        <w:t>对象</w:t>
      </w:r>
      <w:r>
        <w:rPr>
          <w:rFonts w:ascii="宋体" w:hAnsi="宋体"/>
          <w:smallCaps w:val="0"/>
          <w:sz w:val="28"/>
          <w:szCs w:val="28"/>
        </w:rPr>
        <w:tab/>
      </w:r>
      <w:r>
        <w:rPr>
          <w:rFonts w:hint="eastAsia" w:ascii="宋体" w:hAnsi="宋体"/>
          <w:smallCaps w:val="0"/>
          <w:sz w:val="28"/>
          <w:szCs w:val="28"/>
        </w:rPr>
        <w:t>9</w:t>
      </w:r>
    </w:p>
    <w:p>
      <w:pPr>
        <w:pStyle w:val="25"/>
        <w:rPr>
          <w:rFonts w:ascii="宋体" w:hAnsi="宋体"/>
          <w:smallCaps w:val="0"/>
          <w:sz w:val="28"/>
          <w:szCs w:val="28"/>
        </w:rPr>
      </w:pPr>
      <w:r>
        <w:rPr>
          <w:rFonts w:ascii="宋体" w:hAnsi="宋体"/>
          <w:smallCaps w:val="0"/>
          <w:sz w:val="28"/>
          <w:szCs w:val="28"/>
        </w:rPr>
        <w:t>（四）</w:t>
      </w:r>
      <w:r>
        <w:rPr>
          <w:rFonts w:hint="eastAsia" w:ascii="宋体" w:hAnsi="宋体"/>
          <w:smallCaps w:val="0"/>
          <w:sz w:val="28"/>
          <w:szCs w:val="28"/>
        </w:rPr>
        <w:t>估价目的</w:t>
      </w:r>
      <w:r>
        <w:rPr>
          <w:rFonts w:ascii="宋体" w:hAnsi="宋体"/>
          <w:smallCaps w:val="0"/>
          <w:sz w:val="28"/>
          <w:szCs w:val="28"/>
        </w:rPr>
        <w:tab/>
      </w:r>
      <w:r>
        <w:rPr>
          <w:rFonts w:hint="eastAsia" w:ascii="宋体" w:hAnsi="宋体"/>
          <w:smallCaps w:val="0"/>
          <w:sz w:val="28"/>
          <w:szCs w:val="28"/>
        </w:rPr>
        <w:t>18</w:t>
      </w:r>
    </w:p>
    <w:p>
      <w:pPr>
        <w:pStyle w:val="25"/>
        <w:rPr>
          <w:rFonts w:ascii="宋体" w:hAnsi="宋体"/>
          <w:smallCaps w:val="0"/>
          <w:sz w:val="28"/>
          <w:szCs w:val="28"/>
        </w:rPr>
      </w:pPr>
      <w:r>
        <w:rPr>
          <w:rFonts w:ascii="宋体" w:hAnsi="宋体"/>
          <w:smallCaps w:val="0"/>
          <w:sz w:val="28"/>
          <w:szCs w:val="28"/>
        </w:rPr>
        <w:t>（五）价值时点</w:t>
      </w:r>
      <w:r>
        <w:rPr>
          <w:rFonts w:ascii="宋体" w:hAnsi="宋体"/>
          <w:smallCaps w:val="0"/>
          <w:sz w:val="28"/>
          <w:szCs w:val="28"/>
        </w:rPr>
        <w:tab/>
      </w:r>
      <w:r>
        <w:rPr>
          <w:rFonts w:hint="eastAsia" w:ascii="宋体" w:hAnsi="宋体"/>
          <w:smallCaps w:val="0"/>
          <w:sz w:val="28"/>
          <w:szCs w:val="28"/>
        </w:rPr>
        <w:t>18</w:t>
      </w:r>
    </w:p>
    <w:p>
      <w:pPr>
        <w:pStyle w:val="25"/>
        <w:rPr>
          <w:rFonts w:ascii="宋体" w:hAnsi="宋体"/>
          <w:smallCaps w:val="0"/>
          <w:sz w:val="28"/>
          <w:szCs w:val="28"/>
        </w:rPr>
      </w:pPr>
      <w:r>
        <w:rPr>
          <w:rFonts w:ascii="宋体" w:hAnsi="宋体"/>
          <w:smallCaps w:val="0"/>
          <w:sz w:val="28"/>
          <w:szCs w:val="28"/>
        </w:rPr>
        <w:t>（六）价值</w:t>
      </w:r>
      <w:r>
        <w:rPr>
          <w:rFonts w:hint="eastAsia" w:ascii="宋体" w:hAnsi="宋体"/>
          <w:smallCaps w:val="0"/>
          <w:sz w:val="28"/>
          <w:szCs w:val="28"/>
        </w:rPr>
        <w:t>定义</w:t>
      </w:r>
      <w:r>
        <w:rPr>
          <w:rFonts w:ascii="宋体" w:hAnsi="宋体"/>
          <w:smallCaps w:val="0"/>
          <w:sz w:val="28"/>
          <w:szCs w:val="28"/>
        </w:rPr>
        <w:tab/>
      </w:r>
      <w:r>
        <w:rPr>
          <w:rFonts w:hint="eastAsia" w:ascii="宋体" w:hAnsi="宋体"/>
          <w:smallCaps w:val="0"/>
          <w:sz w:val="28"/>
          <w:szCs w:val="28"/>
        </w:rPr>
        <w:t>18</w:t>
      </w:r>
    </w:p>
    <w:p>
      <w:pPr>
        <w:pStyle w:val="25"/>
        <w:rPr>
          <w:rFonts w:ascii="宋体" w:hAnsi="宋体"/>
          <w:smallCaps w:val="0"/>
          <w:sz w:val="28"/>
          <w:szCs w:val="28"/>
        </w:rPr>
      </w:pPr>
      <w:r>
        <w:rPr>
          <w:rFonts w:ascii="宋体" w:hAnsi="宋体"/>
          <w:smallCaps w:val="0"/>
          <w:sz w:val="28"/>
          <w:szCs w:val="28"/>
        </w:rPr>
        <w:t>（七）估价</w:t>
      </w:r>
      <w:r>
        <w:rPr>
          <w:rFonts w:hint="eastAsia" w:ascii="宋体" w:hAnsi="宋体"/>
          <w:smallCaps w:val="0"/>
          <w:sz w:val="28"/>
          <w:szCs w:val="28"/>
        </w:rPr>
        <w:t>依据</w:t>
      </w:r>
      <w:r>
        <w:rPr>
          <w:rFonts w:ascii="宋体" w:hAnsi="宋体"/>
          <w:smallCaps w:val="0"/>
          <w:sz w:val="28"/>
          <w:szCs w:val="28"/>
        </w:rPr>
        <w:tab/>
      </w:r>
      <w:r>
        <w:rPr>
          <w:rFonts w:hint="eastAsia" w:ascii="宋体" w:hAnsi="宋体"/>
          <w:smallCaps w:val="0"/>
          <w:sz w:val="28"/>
          <w:szCs w:val="28"/>
        </w:rPr>
        <w:t>18</w:t>
      </w:r>
    </w:p>
    <w:p>
      <w:pPr>
        <w:pStyle w:val="25"/>
        <w:rPr>
          <w:rFonts w:ascii="宋体" w:hAnsi="宋体"/>
          <w:smallCaps w:val="0"/>
          <w:sz w:val="28"/>
          <w:szCs w:val="28"/>
        </w:rPr>
      </w:pPr>
      <w:r>
        <w:rPr>
          <w:rFonts w:ascii="宋体" w:hAnsi="宋体"/>
          <w:smallCaps w:val="0"/>
          <w:sz w:val="28"/>
          <w:szCs w:val="28"/>
        </w:rPr>
        <w:t>（八）估价</w:t>
      </w:r>
      <w:r>
        <w:rPr>
          <w:rFonts w:hint="eastAsia" w:ascii="宋体" w:hAnsi="宋体"/>
          <w:smallCaps w:val="0"/>
          <w:sz w:val="28"/>
          <w:szCs w:val="28"/>
        </w:rPr>
        <w:t>原则</w:t>
      </w:r>
      <w:r>
        <w:rPr>
          <w:rFonts w:ascii="宋体" w:hAnsi="宋体"/>
          <w:smallCaps w:val="0"/>
          <w:sz w:val="28"/>
          <w:szCs w:val="28"/>
        </w:rPr>
        <w:tab/>
      </w:r>
      <w:r>
        <w:rPr>
          <w:rFonts w:hint="eastAsia" w:ascii="宋体" w:hAnsi="宋体"/>
          <w:smallCaps w:val="0"/>
          <w:sz w:val="28"/>
          <w:szCs w:val="28"/>
        </w:rPr>
        <w:t>21</w:t>
      </w:r>
    </w:p>
    <w:p>
      <w:pPr>
        <w:pStyle w:val="25"/>
        <w:rPr>
          <w:rFonts w:ascii="宋体" w:hAnsi="宋体"/>
          <w:smallCaps w:val="0"/>
          <w:sz w:val="28"/>
          <w:szCs w:val="28"/>
        </w:rPr>
      </w:pPr>
      <w:r>
        <w:rPr>
          <w:rFonts w:ascii="宋体" w:hAnsi="宋体"/>
          <w:smallCaps w:val="0"/>
          <w:sz w:val="28"/>
          <w:szCs w:val="28"/>
        </w:rPr>
        <w:t>（九）估价方法</w:t>
      </w:r>
      <w:r>
        <w:rPr>
          <w:rFonts w:ascii="宋体" w:hAnsi="宋体"/>
          <w:smallCaps w:val="0"/>
          <w:sz w:val="28"/>
          <w:szCs w:val="28"/>
        </w:rPr>
        <w:tab/>
      </w:r>
      <w:r>
        <w:rPr>
          <w:rFonts w:hint="eastAsia" w:ascii="宋体" w:hAnsi="宋体"/>
          <w:smallCaps w:val="0"/>
          <w:sz w:val="28"/>
          <w:szCs w:val="28"/>
        </w:rPr>
        <w:t>22</w:t>
      </w:r>
    </w:p>
    <w:p>
      <w:pPr>
        <w:pStyle w:val="25"/>
        <w:rPr>
          <w:rFonts w:ascii="宋体" w:hAnsi="宋体"/>
          <w:smallCaps w:val="0"/>
          <w:sz w:val="28"/>
          <w:szCs w:val="28"/>
        </w:rPr>
      </w:pPr>
      <w:r>
        <w:rPr>
          <w:rFonts w:ascii="宋体" w:hAnsi="宋体"/>
          <w:smallCaps w:val="0"/>
          <w:sz w:val="28"/>
          <w:szCs w:val="28"/>
        </w:rPr>
        <w:t>（十）估价结果</w:t>
      </w:r>
      <w:r>
        <w:rPr>
          <w:rFonts w:ascii="宋体" w:hAnsi="宋体"/>
          <w:smallCaps w:val="0"/>
          <w:sz w:val="28"/>
          <w:szCs w:val="28"/>
        </w:rPr>
        <w:tab/>
      </w:r>
      <w:r>
        <w:rPr>
          <w:rFonts w:hint="eastAsia" w:ascii="宋体" w:hAnsi="宋体"/>
          <w:smallCaps w:val="0"/>
          <w:sz w:val="28"/>
          <w:szCs w:val="28"/>
        </w:rPr>
        <w:t>23</w:t>
      </w:r>
    </w:p>
    <w:p>
      <w:pPr>
        <w:pStyle w:val="25"/>
        <w:rPr>
          <w:rFonts w:ascii="宋体" w:hAnsi="宋体"/>
          <w:smallCaps w:val="0"/>
          <w:sz w:val="28"/>
          <w:szCs w:val="28"/>
        </w:rPr>
      </w:pPr>
      <w:r>
        <w:rPr>
          <w:rFonts w:ascii="宋体" w:hAnsi="宋体"/>
          <w:smallCaps w:val="0"/>
          <w:sz w:val="28"/>
          <w:szCs w:val="28"/>
        </w:rPr>
        <w:t>（十一）实地查勘</w:t>
      </w:r>
      <w:r>
        <w:rPr>
          <w:rFonts w:hint="eastAsia" w:ascii="宋体" w:hAnsi="宋体"/>
          <w:smallCaps w:val="0"/>
          <w:sz w:val="28"/>
          <w:szCs w:val="28"/>
        </w:rPr>
        <w:t>日</w:t>
      </w:r>
      <w:r>
        <w:rPr>
          <w:rFonts w:ascii="宋体" w:hAnsi="宋体"/>
          <w:smallCaps w:val="0"/>
          <w:sz w:val="28"/>
          <w:szCs w:val="28"/>
        </w:rPr>
        <w:t>期</w:t>
      </w:r>
      <w:r>
        <w:rPr>
          <w:rFonts w:ascii="宋体" w:hAnsi="宋体"/>
          <w:smallCaps w:val="0"/>
          <w:sz w:val="28"/>
          <w:szCs w:val="28"/>
        </w:rPr>
        <w:tab/>
      </w:r>
      <w:r>
        <w:rPr>
          <w:rFonts w:hint="eastAsia" w:ascii="宋体" w:hAnsi="宋体"/>
          <w:smallCaps w:val="0"/>
          <w:sz w:val="28"/>
          <w:szCs w:val="28"/>
        </w:rPr>
        <w:t>23</w:t>
      </w:r>
    </w:p>
    <w:p>
      <w:pPr>
        <w:pStyle w:val="25"/>
        <w:rPr>
          <w:rFonts w:ascii="宋体" w:hAnsi="宋体"/>
          <w:smallCaps w:val="0"/>
          <w:sz w:val="28"/>
          <w:szCs w:val="28"/>
        </w:rPr>
      </w:pPr>
      <w:r>
        <w:rPr>
          <w:rFonts w:ascii="宋体" w:hAnsi="宋体"/>
          <w:smallCaps w:val="0"/>
          <w:sz w:val="28"/>
          <w:szCs w:val="28"/>
        </w:rPr>
        <w:t>（十二）</w:t>
      </w:r>
      <w:r>
        <w:rPr>
          <w:rFonts w:hint="eastAsia" w:ascii="宋体" w:hAnsi="宋体"/>
          <w:smallCaps w:val="0"/>
          <w:sz w:val="28"/>
          <w:szCs w:val="28"/>
        </w:rPr>
        <w:t>注册房地产估价师</w:t>
      </w:r>
      <w:r>
        <w:rPr>
          <w:rFonts w:ascii="宋体" w:hAnsi="宋体"/>
          <w:smallCaps w:val="0"/>
          <w:sz w:val="28"/>
          <w:szCs w:val="28"/>
        </w:rPr>
        <w:tab/>
      </w:r>
      <w:r>
        <w:rPr>
          <w:rFonts w:hint="eastAsia" w:ascii="宋体" w:hAnsi="宋体"/>
          <w:smallCaps w:val="0"/>
          <w:sz w:val="28"/>
          <w:szCs w:val="28"/>
        </w:rPr>
        <w:t>23</w:t>
      </w:r>
    </w:p>
    <w:p>
      <w:pPr>
        <w:pStyle w:val="25"/>
        <w:rPr>
          <w:rFonts w:ascii="宋体" w:hAnsi="宋体"/>
          <w:smallCaps w:val="0"/>
          <w:sz w:val="28"/>
          <w:szCs w:val="28"/>
        </w:rPr>
      </w:pPr>
      <w:r>
        <w:rPr>
          <w:rFonts w:ascii="宋体" w:hAnsi="宋体"/>
          <w:smallCaps w:val="0"/>
          <w:sz w:val="28"/>
          <w:szCs w:val="28"/>
        </w:rPr>
        <w:t>（十三）估价作业期</w:t>
      </w:r>
      <w:r>
        <w:rPr>
          <w:rFonts w:ascii="宋体" w:hAnsi="宋体"/>
          <w:smallCaps w:val="0"/>
          <w:sz w:val="28"/>
          <w:szCs w:val="28"/>
        </w:rPr>
        <w:tab/>
      </w:r>
      <w:r>
        <w:rPr>
          <w:rFonts w:hint="eastAsia" w:ascii="宋体" w:hAnsi="宋体"/>
          <w:smallCaps w:val="0"/>
          <w:sz w:val="28"/>
          <w:szCs w:val="28"/>
        </w:rPr>
        <w:t>23</w:t>
      </w:r>
    </w:p>
    <w:p>
      <w:pPr>
        <w:pStyle w:val="25"/>
        <w:rPr>
          <w:rFonts w:ascii="宋体" w:hAnsi="宋体"/>
          <w:smallCaps w:val="0"/>
          <w:sz w:val="28"/>
          <w:szCs w:val="28"/>
        </w:rPr>
      </w:pPr>
      <w:r>
        <w:rPr>
          <w:rFonts w:ascii="宋体" w:hAnsi="宋体"/>
          <w:smallCaps w:val="0"/>
          <w:sz w:val="28"/>
          <w:szCs w:val="28"/>
        </w:rPr>
        <w:t>（十</w:t>
      </w:r>
      <w:r>
        <w:rPr>
          <w:rFonts w:hint="eastAsia" w:ascii="宋体" w:hAnsi="宋体"/>
          <w:smallCaps w:val="0"/>
          <w:sz w:val="28"/>
          <w:szCs w:val="28"/>
        </w:rPr>
        <w:t>四</w:t>
      </w:r>
      <w:r>
        <w:rPr>
          <w:rFonts w:ascii="宋体" w:hAnsi="宋体"/>
          <w:smallCaps w:val="0"/>
          <w:sz w:val="28"/>
          <w:szCs w:val="28"/>
        </w:rPr>
        <w:t>）</w:t>
      </w:r>
      <w:r>
        <w:rPr>
          <w:rFonts w:hint="eastAsia" w:ascii="宋体" w:hAnsi="宋体"/>
          <w:smallCaps w:val="0"/>
          <w:sz w:val="28"/>
          <w:szCs w:val="28"/>
        </w:rPr>
        <w:t>估价报告应用的有效期</w:t>
      </w:r>
      <w:r>
        <w:rPr>
          <w:rFonts w:ascii="宋体" w:hAnsi="宋体"/>
          <w:smallCaps w:val="0"/>
          <w:sz w:val="28"/>
          <w:szCs w:val="28"/>
        </w:rPr>
        <w:tab/>
      </w:r>
      <w:r>
        <w:rPr>
          <w:rFonts w:hint="eastAsia" w:ascii="宋体" w:hAnsi="宋体"/>
          <w:smallCaps w:val="0"/>
          <w:sz w:val="28"/>
          <w:szCs w:val="28"/>
        </w:rPr>
        <w:t>23</w:t>
      </w:r>
    </w:p>
    <w:p>
      <w:pPr>
        <w:spacing w:line="500" w:lineRule="exact"/>
        <w:jc w:val="left"/>
        <w:rPr>
          <w:color w:val="auto"/>
          <w:sz w:val="28"/>
          <w:szCs w:val="28"/>
        </w:rPr>
        <w:sectPr>
          <w:headerReference r:id="rId7" w:type="default"/>
          <w:footerReference r:id="rId8" w:type="default"/>
          <w:pgSz w:w="11906" w:h="16838"/>
          <w:pgMar w:top="1418" w:right="1531" w:bottom="1418" w:left="1758" w:header="851" w:footer="662" w:gutter="0"/>
          <w:cols w:space="425" w:num="1"/>
          <w:docGrid w:linePitch="538" w:charSpace="2242"/>
        </w:sectPr>
      </w:pPr>
      <w:r>
        <w:rPr>
          <w:b/>
          <w:color w:val="auto"/>
          <w:sz w:val="28"/>
          <w:szCs w:val="28"/>
        </w:rPr>
        <w:t>附件</w:t>
      </w:r>
      <w:r>
        <w:rPr>
          <w:color w:val="auto"/>
          <w:sz w:val="28"/>
          <w:szCs w:val="28"/>
        </w:rPr>
        <w:t>………………………………………………………………</w:t>
      </w:r>
      <w:r>
        <w:rPr>
          <w:rFonts w:hint="eastAsia"/>
          <w:color w:val="auto"/>
          <w:sz w:val="28"/>
          <w:szCs w:val="28"/>
        </w:rPr>
        <w:t xml:space="preserve"> </w:t>
      </w:r>
      <w:r>
        <w:rPr>
          <w:color w:val="auto"/>
          <w:sz w:val="28"/>
          <w:szCs w:val="28"/>
        </w:rPr>
        <w:t>…</w:t>
      </w:r>
      <w:r>
        <w:rPr>
          <w:rFonts w:hint="eastAsia"/>
          <w:color w:val="auto"/>
          <w:sz w:val="28"/>
          <w:szCs w:val="28"/>
        </w:rPr>
        <w:t xml:space="preserve"> 24</w:t>
      </w:r>
    </w:p>
    <w:p>
      <w:pPr>
        <w:jc w:val="center"/>
        <w:rPr>
          <w:b/>
          <w:bCs/>
          <w:sz w:val="32"/>
          <w:szCs w:val="32"/>
        </w:rPr>
      </w:pPr>
      <w:r>
        <w:rPr>
          <w:rFonts w:hint="eastAsia"/>
          <w:b/>
          <w:bCs/>
          <w:sz w:val="32"/>
          <w:szCs w:val="32"/>
        </w:rPr>
        <w:t>估价师声明</w:t>
      </w:r>
    </w:p>
    <w:p>
      <w:pPr>
        <w:spacing w:line="440" w:lineRule="exact"/>
        <w:ind w:firstLine="562" w:firstLineChars="200"/>
        <w:rPr>
          <w:b/>
          <w:sz w:val="28"/>
          <w:szCs w:val="28"/>
        </w:rPr>
      </w:pPr>
      <w:r>
        <w:rPr>
          <w:rFonts w:hint="eastAsia"/>
          <w:b/>
          <w:sz w:val="28"/>
          <w:szCs w:val="28"/>
        </w:rPr>
        <w:t>我们郑重声明：</w:t>
      </w:r>
    </w:p>
    <w:p>
      <w:pPr>
        <w:pStyle w:val="37"/>
        <w:wordWrap/>
        <w:spacing w:line="440" w:lineRule="exact"/>
        <w:ind w:firstLine="560"/>
        <w:rPr>
          <w:sz w:val="28"/>
          <w:szCs w:val="28"/>
        </w:rPr>
      </w:pPr>
      <w:r>
        <w:rPr>
          <w:rFonts w:hint="eastAsia"/>
          <w:sz w:val="28"/>
          <w:szCs w:val="28"/>
        </w:rPr>
        <w:t>一、我们在本估价报告中对事实的说明是真实的和准确的，没有虚假记载、误导性陈述和重大遗漏。</w:t>
      </w:r>
    </w:p>
    <w:p>
      <w:pPr>
        <w:pStyle w:val="37"/>
        <w:wordWrap/>
        <w:spacing w:line="440" w:lineRule="exact"/>
        <w:ind w:firstLine="560"/>
        <w:rPr>
          <w:sz w:val="28"/>
          <w:szCs w:val="28"/>
        </w:rPr>
      </w:pPr>
      <w:r>
        <w:rPr>
          <w:rFonts w:hint="eastAsia"/>
          <w:sz w:val="28"/>
          <w:szCs w:val="28"/>
        </w:rPr>
        <w:t>二、本估价报告中的分析、意见和结论是我们独立、客观、公正的专业分析、意见和结论，但受到本估价报告中已经说明的估价假设和限制条件的限制。</w:t>
      </w:r>
    </w:p>
    <w:p>
      <w:pPr>
        <w:pStyle w:val="37"/>
        <w:wordWrap/>
        <w:spacing w:line="440" w:lineRule="exact"/>
        <w:ind w:firstLine="560"/>
        <w:rPr>
          <w:sz w:val="28"/>
          <w:szCs w:val="28"/>
        </w:rPr>
      </w:pPr>
      <w:r>
        <w:rPr>
          <w:rFonts w:hint="eastAsia"/>
          <w:sz w:val="28"/>
          <w:szCs w:val="28"/>
        </w:rPr>
        <w:t>三、我们与本估价报告中的估价对象没有现实或潜在的利益，与估价委托人及估价利害关系人没有利害关系。</w:t>
      </w:r>
    </w:p>
    <w:p>
      <w:pPr>
        <w:pStyle w:val="37"/>
        <w:wordWrap/>
        <w:spacing w:line="440" w:lineRule="exact"/>
        <w:ind w:firstLine="560"/>
        <w:rPr>
          <w:sz w:val="28"/>
          <w:szCs w:val="28"/>
        </w:rPr>
      </w:pPr>
      <w:r>
        <w:rPr>
          <w:rFonts w:hint="eastAsia"/>
          <w:sz w:val="28"/>
          <w:szCs w:val="28"/>
        </w:rPr>
        <w:t>四、我们对本估价报告中的估价对象、估价委托人及估价利害关系人没有偏见。</w:t>
      </w:r>
    </w:p>
    <w:p>
      <w:pPr>
        <w:pStyle w:val="37"/>
        <w:wordWrap/>
        <w:spacing w:line="440" w:lineRule="exact"/>
        <w:ind w:firstLine="560"/>
        <w:rPr>
          <w:sz w:val="28"/>
          <w:szCs w:val="28"/>
        </w:rPr>
      </w:pPr>
      <w:r>
        <w:rPr>
          <w:rFonts w:hint="eastAsia"/>
          <w:sz w:val="28"/>
          <w:szCs w:val="28"/>
        </w:rPr>
        <w:t>五、我们依照《房地产估价规范》（中华人民共和国国家标准</w:t>
      </w:r>
      <w:r>
        <w:rPr>
          <w:sz w:val="28"/>
          <w:szCs w:val="28"/>
        </w:rPr>
        <w:t>GB/T50291</w:t>
      </w:r>
      <w:r>
        <w:rPr>
          <w:rFonts w:hint="eastAsia"/>
          <w:sz w:val="28"/>
          <w:szCs w:val="28"/>
        </w:rPr>
        <w:t>－2015）及《房地产估价基本术语标准》（中华人民共和国国家标准</w:t>
      </w:r>
      <w:r>
        <w:rPr>
          <w:sz w:val="28"/>
          <w:szCs w:val="28"/>
        </w:rPr>
        <w:t>GB/T50899</w:t>
      </w:r>
      <w:r>
        <w:rPr>
          <w:rFonts w:hint="eastAsia"/>
          <w:sz w:val="28"/>
          <w:szCs w:val="28"/>
        </w:rPr>
        <w:t>－</w:t>
      </w:r>
      <w:r>
        <w:rPr>
          <w:sz w:val="28"/>
          <w:szCs w:val="28"/>
        </w:rPr>
        <w:t>2013</w:t>
      </w:r>
      <w:r>
        <w:rPr>
          <w:rFonts w:hint="eastAsia"/>
          <w:sz w:val="28"/>
          <w:szCs w:val="28"/>
        </w:rPr>
        <w:t>）进行分析，形成意见和结论，撰写本估价报告。</w:t>
      </w:r>
    </w:p>
    <w:p>
      <w:pPr>
        <w:pStyle w:val="37"/>
        <w:wordWrap/>
        <w:spacing w:line="440" w:lineRule="exact"/>
        <w:ind w:firstLine="560"/>
        <w:rPr>
          <w:sz w:val="28"/>
          <w:szCs w:val="28"/>
        </w:rPr>
      </w:pPr>
      <w:r>
        <w:rPr>
          <w:rFonts w:hint="eastAsia"/>
          <w:sz w:val="28"/>
          <w:szCs w:val="28"/>
        </w:rPr>
        <w:t>六、我们已对本估价报告中的估价对象进行了实地查勘。但评估人员对评估标的物的勘察，限于标的物的外观和使用状况。评估人员不承担对评估标的物建筑结构质量进行调查的责任，也不承担对其他被遮盖、未暴露及难于接触到的部分进行检视的责任。</w:t>
      </w:r>
    </w:p>
    <w:p>
      <w:pPr>
        <w:pStyle w:val="37"/>
        <w:wordWrap/>
        <w:spacing w:line="440" w:lineRule="exact"/>
        <w:ind w:firstLine="560"/>
        <w:rPr>
          <w:sz w:val="28"/>
          <w:szCs w:val="28"/>
        </w:rPr>
      </w:pPr>
      <w:r>
        <w:rPr>
          <w:rFonts w:hint="eastAsia"/>
          <w:sz w:val="28"/>
          <w:szCs w:val="28"/>
        </w:rPr>
        <w:t>七、注册估价师执行房地产估价业务的目的是对估价对象价值进行估算并发表专业意见，对估价对象法律权属确认或发表意见超出注册估价师执业范围，注册估价师不承担验证委托人和相关当事方提供的估价对象法律权属资料真实性、合法性和完整性的责任。</w:t>
      </w:r>
    </w:p>
    <w:p>
      <w:pPr>
        <w:tabs>
          <w:tab w:val="left" w:pos="-420"/>
        </w:tabs>
        <w:spacing w:line="440" w:lineRule="exact"/>
        <w:ind w:firstLine="562" w:firstLineChars="201"/>
        <w:rPr>
          <w:sz w:val="28"/>
          <w:szCs w:val="28"/>
        </w:rPr>
      </w:pPr>
      <w:r>
        <w:rPr>
          <w:rFonts w:hint="eastAsia"/>
          <w:sz w:val="28"/>
          <w:szCs w:val="28"/>
        </w:rPr>
        <w:t>八、没有人对本估价报告提供重要专业帮助。</w:t>
      </w:r>
    </w:p>
    <w:p>
      <w:pPr>
        <w:spacing w:before="100" w:beforeAutospacing="1" w:after="100" w:afterAutospacing="1" w:line="360" w:lineRule="auto"/>
        <w:rPr>
          <w:spacing w:val="10"/>
          <w:sz w:val="28"/>
          <w:szCs w:val="28"/>
          <w:u w:val="single"/>
        </w:rPr>
      </w:pPr>
    </w:p>
    <w:p>
      <w:pPr>
        <w:rPr>
          <w:b/>
          <w:bCs/>
          <w:sz w:val="28"/>
          <w:szCs w:val="28"/>
        </w:rPr>
        <w:sectPr>
          <w:footerReference r:id="rId9" w:type="default"/>
          <w:pgSz w:w="11907" w:h="16840"/>
          <w:pgMar w:top="1304" w:right="1467" w:bottom="1134" w:left="1361" w:header="851" w:footer="851" w:gutter="0"/>
          <w:cols w:space="720" w:num="1"/>
          <w:docGrid w:type="lines" w:linePitch="312" w:charSpace="0"/>
        </w:sectPr>
      </w:pPr>
    </w:p>
    <w:p>
      <w:pPr>
        <w:spacing w:line="520" w:lineRule="exact"/>
        <w:jc w:val="center"/>
        <w:rPr>
          <w:b/>
          <w:bCs/>
          <w:sz w:val="32"/>
          <w:szCs w:val="32"/>
        </w:rPr>
      </w:pPr>
      <w:r>
        <w:rPr>
          <w:rFonts w:hint="eastAsia"/>
          <w:b/>
          <w:bCs/>
          <w:sz w:val="32"/>
          <w:szCs w:val="32"/>
        </w:rPr>
        <w:t>估价的假设和限制条件</w:t>
      </w:r>
    </w:p>
    <w:p>
      <w:pPr>
        <w:adjustRightInd w:val="0"/>
        <w:snapToGrid w:val="0"/>
        <w:spacing w:line="520" w:lineRule="exact"/>
        <w:ind w:firstLine="562" w:firstLineChars="200"/>
        <w:rPr>
          <w:b/>
          <w:sz w:val="28"/>
          <w:szCs w:val="28"/>
        </w:rPr>
      </w:pPr>
      <w:r>
        <w:rPr>
          <w:rFonts w:hint="eastAsia"/>
          <w:b/>
          <w:sz w:val="28"/>
          <w:szCs w:val="28"/>
        </w:rPr>
        <w:t>1、一般假设</w:t>
      </w:r>
    </w:p>
    <w:p>
      <w:pPr>
        <w:adjustRightInd w:val="0"/>
        <w:snapToGrid w:val="0"/>
        <w:spacing w:line="520" w:lineRule="exact"/>
        <w:ind w:firstLine="560" w:firstLineChars="200"/>
        <w:rPr>
          <w:sz w:val="28"/>
          <w:szCs w:val="28"/>
        </w:rPr>
      </w:pPr>
      <w:r>
        <w:rPr>
          <w:rFonts w:hint="eastAsia"/>
          <w:sz w:val="28"/>
          <w:szCs w:val="28"/>
        </w:rPr>
        <w:t>（1）本次估价所依据的估价对象权属、面积、用途等资料，以估价委托人提供的资料为准，若提供的资料失实或有任何隐匿，本公司不承担任何责任。</w:t>
      </w:r>
    </w:p>
    <w:p>
      <w:pPr>
        <w:adjustRightInd w:val="0"/>
        <w:snapToGrid w:val="0"/>
        <w:spacing w:line="520" w:lineRule="exact"/>
        <w:ind w:left="126" w:leftChars="60" w:firstLine="420" w:firstLineChars="150"/>
        <w:rPr>
          <w:sz w:val="28"/>
          <w:szCs w:val="28"/>
        </w:rPr>
      </w:pPr>
      <w:r>
        <w:rPr>
          <w:rFonts w:hint="eastAsia"/>
          <w:sz w:val="28"/>
          <w:szCs w:val="28"/>
        </w:rPr>
        <w:t>（2）我们已对本评估报告中的估价对象进行了实地查勘，但对估价对象的现场勘察仅限于其外观和使用现状，对房屋安全、质量缺陷及环境污染等，因公司不具备相应专业资质，本次估价以估价对象不存在安全隐患、无重大环境污染并处于完好状态并达到估价委托人所提供的使用功能为假设前提。</w:t>
      </w:r>
    </w:p>
    <w:p>
      <w:pPr>
        <w:snapToGrid w:val="0"/>
        <w:spacing w:line="520" w:lineRule="exact"/>
        <w:ind w:firstLine="560" w:firstLineChars="200"/>
        <w:rPr>
          <w:color w:val="auto"/>
          <w:sz w:val="28"/>
          <w:szCs w:val="28"/>
        </w:rPr>
      </w:pPr>
      <w:r>
        <w:rPr>
          <w:rFonts w:hint="eastAsia"/>
          <w:sz w:val="28"/>
          <w:szCs w:val="28"/>
        </w:rPr>
        <w:t>（3）我们评估的是房地产公开市场价格，公开市场价格是基于以下假设条件</w:t>
      </w:r>
      <w:r>
        <w:rPr>
          <w:rFonts w:hint="eastAsia"/>
          <w:color w:val="auto"/>
          <w:sz w:val="28"/>
          <w:szCs w:val="28"/>
        </w:rPr>
        <w:t>：</w:t>
      </w:r>
    </w:p>
    <w:p>
      <w:pPr>
        <w:snapToGrid w:val="0"/>
        <w:spacing w:line="520" w:lineRule="exact"/>
        <w:ind w:firstLine="840" w:firstLineChars="300"/>
        <w:rPr>
          <w:color w:val="auto"/>
          <w:sz w:val="28"/>
          <w:szCs w:val="28"/>
        </w:rPr>
      </w:pPr>
      <w:r>
        <w:rPr>
          <w:rFonts w:hint="eastAsia"/>
          <w:color w:val="auto"/>
          <w:sz w:val="28"/>
          <w:szCs w:val="28"/>
        </w:rPr>
        <w:t>①交易双方是自愿地进行交易的；</w:t>
      </w:r>
    </w:p>
    <w:p>
      <w:pPr>
        <w:snapToGrid w:val="0"/>
        <w:spacing w:line="520" w:lineRule="exact"/>
        <w:ind w:firstLine="840" w:firstLineChars="300"/>
        <w:rPr>
          <w:color w:val="auto"/>
          <w:sz w:val="28"/>
          <w:szCs w:val="28"/>
        </w:rPr>
      </w:pPr>
      <w:r>
        <w:rPr>
          <w:rFonts w:hint="eastAsia"/>
          <w:color w:val="auto"/>
          <w:sz w:val="28"/>
          <w:szCs w:val="28"/>
        </w:rPr>
        <w:t>②交易双方进行交易的目的是追求各自利益的最大化；</w:t>
      </w:r>
    </w:p>
    <w:p>
      <w:pPr>
        <w:snapToGrid w:val="0"/>
        <w:spacing w:line="520" w:lineRule="exact"/>
        <w:ind w:firstLine="840" w:firstLineChars="300"/>
        <w:rPr>
          <w:color w:val="auto"/>
          <w:sz w:val="28"/>
          <w:szCs w:val="28"/>
        </w:rPr>
      </w:pPr>
      <w:r>
        <w:rPr>
          <w:rFonts w:hint="eastAsia"/>
          <w:color w:val="auto"/>
          <w:sz w:val="28"/>
          <w:szCs w:val="28"/>
        </w:rPr>
        <w:t>③交易双方具有必要的专业知识并了解交易对象；</w:t>
      </w:r>
    </w:p>
    <w:p>
      <w:pPr>
        <w:snapToGrid w:val="0"/>
        <w:spacing w:line="520" w:lineRule="exact"/>
        <w:ind w:firstLine="840" w:firstLineChars="300"/>
        <w:rPr>
          <w:color w:val="auto"/>
          <w:sz w:val="28"/>
          <w:szCs w:val="28"/>
        </w:rPr>
      </w:pPr>
      <w:r>
        <w:rPr>
          <w:rFonts w:hint="eastAsia"/>
          <w:color w:val="auto"/>
          <w:sz w:val="28"/>
          <w:szCs w:val="28"/>
        </w:rPr>
        <w:t>④交易双方掌握必要的市场信息；</w:t>
      </w:r>
    </w:p>
    <w:p>
      <w:pPr>
        <w:snapToGrid w:val="0"/>
        <w:spacing w:line="520" w:lineRule="exact"/>
        <w:ind w:firstLine="840" w:firstLineChars="300"/>
        <w:rPr>
          <w:color w:val="auto"/>
          <w:sz w:val="28"/>
          <w:szCs w:val="28"/>
        </w:rPr>
      </w:pPr>
      <w:r>
        <w:rPr>
          <w:rFonts w:hint="eastAsia"/>
          <w:color w:val="auto"/>
          <w:sz w:val="28"/>
          <w:szCs w:val="28"/>
        </w:rPr>
        <w:t>⑤交易双方有较充裕的时间进行交易；</w:t>
      </w:r>
    </w:p>
    <w:p>
      <w:pPr>
        <w:snapToGrid w:val="0"/>
        <w:spacing w:line="520" w:lineRule="exact"/>
        <w:ind w:firstLine="840" w:firstLineChars="300"/>
        <w:rPr>
          <w:color w:val="auto"/>
          <w:sz w:val="28"/>
          <w:szCs w:val="28"/>
        </w:rPr>
      </w:pPr>
      <w:r>
        <w:rPr>
          <w:rFonts w:hint="eastAsia"/>
          <w:color w:val="auto"/>
          <w:sz w:val="28"/>
          <w:szCs w:val="28"/>
        </w:rPr>
        <w:t>⑥不存在买者因特殊兴趣而给予附加出价。</w:t>
      </w:r>
    </w:p>
    <w:p>
      <w:pPr>
        <w:adjustRightInd w:val="0"/>
        <w:snapToGrid w:val="0"/>
        <w:spacing w:line="520" w:lineRule="exact"/>
        <w:ind w:firstLine="562" w:firstLineChars="200"/>
        <w:rPr>
          <w:b/>
          <w:sz w:val="28"/>
          <w:szCs w:val="28"/>
        </w:rPr>
      </w:pPr>
      <w:r>
        <w:rPr>
          <w:rFonts w:hint="eastAsia"/>
          <w:b/>
          <w:sz w:val="28"/>
          <w:szCs w:val="28"/>
        </w:rPr>
        <w:t>2、未定事项假设</w:t>
      </w:r>
    </w:p>
    <w:p>
      <w:pPr>
        <w:spacing w:line="520" w:lineRule="exact"/>
        <w:ind w:firstLine="548" w:firstLineChars="196"/>
        <w:rPr>
          <w:sz w:val="28"/>
        </w:rPr>
      </w:pPr>
      <w:r>
        <w:rPr>
          <w:rFonts w:hint="eastAsia"/>
          <w:sz w:val="28"/>
        </w:rPr>
        <w:t>委托方未提供估价对象的《不动产权证书》，本次评估根据《房地产权登记信息》、《产权证信息》确定估价对象面积、坐落等基础数据。</w:t>
      </w:r>
    </w:p>
    <w:p>
      <w:pPr>
        <w:spacing w:line="520" w:lineRule="exact"/>
        <w:ind w:firstLine="548" w:firstLineChars="196"/>
        <w:rPr>
          <w:sz w:val="28"/>
        </w:rPr>
      </w:pPr>
      <w:r>
        <w:rPr>
          <w:rFonts w:hint="eastAsia"/>
          <w:sz w:val="28"/>
        </w:rPr>
        <w:t>由于非估价方原因，估价人员未能进入估价对象2-5房产内部查勘其装修状况，评估依据现场查勘情况设定其内部为简单装修、普通装修、精装修，若有资料证明与实际不符，应作相应调整，买受人需要承担与实际情况不符带来的风险。</w:t>
      </w:r>
    </w:p>
    <w:p>
      <w:pPr>
        <w:adjustRightInd w:val="0"/>
        <w:snapToGrid w:val="0"/>
        <w:spacing w:line="520" w:lineRule="exact"/>
        <w:ind w:firstLine="562" w:firstLineChars="200"/>
        <w:rPr>
          <w:b/>
          <w:sz w:val="28"/>
          <w:szCs w:val="28"/>
        </w:rPr>
      </w:pPr>
      <w:r>
        <w:rPr>
          <w:rFonts w:hint="eastAsia"/>
          <w:b/>
          <w:sz w:val="28"/>
          <w:szCs w:val="28"/>
        </w:rPr>
        <w:t>3、背离事实假设</w:t>
      </w:r>
    </w:p>
    <w:p>
      <w:pPr>
        <w:pStyle w:val="37"/>
        <w:wordWrap/>
        <w:adjustRightInd w:val="0"/>
        <w:snapToGrid w:val="0"/>
        <w:spacing w:line="520" w:lineRule="exact"/>
        <w:ind w:firstLine="560"/>
        <w:rPr>
          <w:color w:val="000000"/>
          <w:sz w:val="28"/>
        </w:rPr>
      </w:pPr>
      <w:r>
        <w:rPr>
          <w:rFonts w:hint="eastAsia"/>
          <w:color w:val="000000"/>
          <w:sz w:val="28"/>
        </w:rPr>
        <w:t>不考虑估价对象被查封、原有的担保物权及其他优先受偿权对估价结果的影响。</w:t>
      </w:r>
    </w:p>
    <w:p>
      <w:pPr>
        <w:pStyle w:val="37"/>
        <w:wordWrap/>
        <w:adjustRightInd w:val="0"/>
        <w:snapToGrid w:val="0"/>
        <w:spacing w:line="520" w:lineRule="exact"/>
        <w:ind w:firstLine="560"/>
        <w:rPr>
          <w:color w:val="000000"/>
          <w:sz w:val="28"/>
        </w:rPr>
      </w:pPr>
      <w:r>
        <w:rPr>
          <w:rFonts w:hint="eastAsia"/>
          <w:color w:val="000000"/>
          <w:sz w:val="28"/>
        </w:rPr>
        <w:t>不考虑可能存在的租赁权对估价对象价格的影响。</w:t>
      </w:r>
    </w:p>
    <w:p>
      <w:pPr>
        <w:adjustRightInd w:val="0"/>
        <w:snapToGrid w:val="0"/>
        <w:spacing w:line="520" w:lineRule="exact"/>
        <w:ind w:firstLine="562" w:firstLineChars="200"/>
        <w:rPr>
          <w:b/>
          <w:sz w:val="28"/>
          <w:szCs w:val="28"/>
        </w:rPr>
      </w:pPr>
      <w:r>
        <w:rPr>
          <w:rFonts w:hint="eastAsia"/>
          <w:b/>
          <w:sz w:val="28"/>
          <w:szCs w:val="28"/>
        </w:rPr>
        <w:t>4、不相一致假设</w:t>
      </w:r>
    </w:p>
    <w:p>
      <w:pPr>
        <w:adjustRightInd w:val="0"/>
        <w:snapToGrid w:val="0"/>
        <w:spacing w:line="520" w:lineRule="exact"/>
        <w:ind w:firstLine="560" w:firstLineChars="200"/>
        <w:rPr>
          <w:sz w:val="28"/>
          <w:szCs w:val="28"/>
        </w:rPr>
      </w:pPr>
      <w:r>
        <w:rPr>
          <w:rFonts w:hint="eastAsia"/>
          <w:sz w:val="28"/>
          <w:szCs w:val="28"/>
        </w:rPr>
        <w:t>估价人员于2021年10月10日至2021年10月11日对估价对象进行了现场查勘，本次评估设定价值时点为2021年10月10日。</w:t>
      </w:r>
    </w:p>
    <w:p>
      <w:pPr>
        <w:adjustRightInd w:val="0"/>
        <w:snapToGrid w:val="0"/>
        <w:spacing w:line="520" w:lineRule="exact"/>
        <w:ind w:firstLine="562" w:firstLineChars="200"/>
        <w:rPr>
          <w:b/>
          <w:sz w:val="28"/>
          <w:szCs w:val="28"/>
        </w:rPr>
      </w:pPr>
      <w:r>
        <w:rPr>
          <w:rFonts w:hint="eastAsia"/>
          <w:b/>
          <w:sz w:val="28"/>
          <w:szCs w:val="28"/>
        </w:rPr>
        <w:t>5、依据不足假设</w:t>
      </w:r>
    </w:p>
    <w:p>
      <w:pPr>
        <w:adjustRightInd w:val="0"/>
        <w:snapToGrid w:val="0"/>
        <w:spacing w:line="520" w:lineRule="exact"/>
        <w:ind w:firstLine="560" w:firstLineChars="200"/>
        <w:rPr>
          <w:sz w:val="28"/>
          <w:szCs w:val="28"/>
        </w:rPr>
      </w:pPr>
      <w:r>
        <w:rPr>
          <w:rFonts w:hint="eastAsia"/>
          <w:sz w:val="28"/>
          <w:szCs w:val="28"/>
        </w:rPr>
        <w:t>本次估价对象无依据不足事项，无依据不足假设。</w:t>
      </w:r>
    </w:p>
    <w:p>
      <w:pPr>
        <w:adjustRightInd w:val="0"/>
        <w:snapToGrid w:val="0"/>
        <w:spacing w:line="520" w:lineRule="exact"/>
        <w:ind w:firstLine="562" w:firstLineChars="200"/>
        <w:rPr>
          <w:b/>
          <w:sz w:val="28"/>
          <w:szCs w:val="28"/>
        </w:rPr>
      </w:pPr>
      <w:r>
        <w:rPr>
          <w:rFonts w:hint="eastAsia"/>
          <w:b/>
          <w:sz w:val="28"/>
          <w:szCs w:val="28"/>
        </w:rPr>
        <w:t>6、估价报告使用限制</w:t>
      </w:r>
    </w:p>
    <w:p>
      <w:pPr>
        <w:adjustRightInd w:val="0"/>
        <w:snapToGrid w:val="0"/>
        <w:spacing w:line="520" w:lineRule="exact"/>
        <w:ind w:firstLine="560" w:firstLineChars="200"/>
        <w:rPr>
          <w:sz w:val="28"/>
          <w:szCs w:val="28"/>
        </w:rPr>
      </w:pPr>
      <w:r>
        <w:rPr>
          <w:rFonts w:hint="eastAsia"/>
          <w:sz w:val="28"/>
          <w:szCs w:val="28"/>
        </w:rPr>
        <w:t>（1）价值时点后，估价报告有效期内估价对象的质量及价格标准发生变化，并对估价对象估价价值产生明显影响时，不能直接使用本估价结论。</w:t>
      </w:r>
    </w:p>
    <w:p>
      <w:pPr>
        <w:adjustRightInd w:val="0"/>
        <w:snapToGrid w:val="0"/>
        <w:spacing w:line="520" w:lineRule="exact"/>
        <w:ind w:firstLine="560" w:firstLineChars="200"/>
        <w:rPr>
          <w:sz w:val="28"/>
          <w:szCs w:val="28"/>
        </w:rPr>
      </w:pPr>
      <w:r>
        <w:rPr>
          <w:rFonts w:hint="eastAsia"/>
          <w:sz w:val="28"/>
          <w:szCs w:val="28"/>
        </w:rPr>
        <w:t>（2）本报告估价结果仅作为委托方在本次估价目的下使用，不得做其他用途。未经本估价机构和估价人员同意，估价报告不得向委托人及报告审查部门以外的单位及个人提供，凡因使用估价报告不当而引起的后果，估价机构和估价人员不承担相应的责任。</w:t>
      </w:r>
    </w:p>
    <w:p>
      <w:pPr>
        <w:adjustRightInd w:val="0"/>
        <w:snapToGrid w:val="0"/>
        <w:spacing w:line="520" w:lineRule="exact"/>
        <w:ind w:firstLine="560" w:firstLineChars="200"/>
        <w:rPr>
          <w:sz w:val="28"/>
          <w:szCs w:val="28"/>
        </w:rPr>
      </w:pPr>
      <w:r>
        <w:rPr>
          <w:rFonts w:hint="eastAsia"/>
          <w:sz w:val="28"/>
          <w:szCs w:val="28"/>
        </w:rPr>
        <w:t>（3）本估价报告的全部或其部分内容不得发表于任何公开媒体上，报告解释权为本评估机构所有。</w:t>
      </w:r>
    </w:p>
    <w:p>
      <w:pPr>
        <w:adjustRightInd w:val="0"/>
        <w:snapToGrid w:val="0"/>
        <w:spacing w:line="520" w:lineRule="exact"/>
        <w:ind w:firstLine="560" w:firstLineChars="200"/>
        <w:rPr>
          <w:sz w:val="28"/>
          <w:szCs w:val="28"/>
        </w:rPr>
      </w:pPr>
      <w:r>
        <w:rPr>
          <w:rFonts w:hint="eastAsia"/>
          <w:sz w:val="28"/>
          <w:szCs w:val="28"/>
        </w:rPr>
        <w:t>（4）本次估价结果受价值时点的限制，且本估价报告使用期限自估价报告出具之日2021年10月22日</w:t>
      </w:r>
      <w:r>
        <w:rPr>
          <w:rFonts w:hint="eastAsia"/>
          <w:color w:val="auto"/>
          <w:sz w:val="28"/>
          <w:szCs w:val="28"/>
        </w:rPr>
        <w:t>起至2022年10月21日壹</w:t>
      </w:r>
      <w:r>
        <w:rPr>
          <w:rFonts w:hint="eastAsia"/>
          <w:sz w:val="28"/>
          <w:szCs w:val="28"/>
        </w:rPr>
        <w:t>年内有效。若报告使用期限内，房地产市场、建筑市场或估价对象自身状况发生重大变化，估价结果也需做相应调整或委托估价机构重新估价。</w:t>
      </w:r>
    </w:p>
    <w:p>
      <w:pPr>
        <w:adjustRightInd w:val="0"/>
        <w:snapToGrid w:val="0"/>
        <w:spacing w:line="520" w:lineRule="exact"/>
        <w:ind w:firstLine="560" w:firstLineChars="200"/>
        <w:rPr>
          <w:sz w:val="28"/>
          <w:szCs w:val="28"/>
        </w:rPr>
      </w:pPr>
      <w:r>
        <w:rPr>
          <w:rFonts w:hint="eastAsia"/>
          <w:sz w:val="28"/>
          <w:szCs w:val="28"/>
        </w:rPr>
        <w:t>（5）本估价报告复印无效。</w:t>
      </w:r>
    </w:p>
    <w:p>
      <w:pPr>
        <w:adjustRightInd w:val="0"/>
        <w:snapToGrid w:val="0"/>
        <w:spacing w:line="520" w:lineRule="exact"/>
        <w:ind w:firstLine="560" w:firstLineChars="200"/>
        <w:rPr>
          <w:sz w:val="28"/>
          <w:szCs w:val="28"/>
        </w:rPr>
      </w:pPr>
    </w:p>
    <w:p>
      <w:pPr>
        <w:adjustRightInd w:val="0"/>
        <w:snapToGrid w:val="0"/>
        <w:spacing w:line="360" w:lineRule="auto"/>
        <w:rPr>
          <w:b/>
          <w:bCs/>
          <w:sz w:val="28"/>
          <w:szCs w:val="28"/>
        </w:rPr>
      </w:pPr>
    </w:p>
    <w:p>
      <w:pPr>
        <w:adjustRightInd w:val="0"/>
        <w:snapToGrid w:val="0"/>
        <w:spacing w:line="360" w:lineRule="auto"/>
        <w:rPr>
          <w:sz w:val="28"/>
          <w:szCs w:val="28"/>
        </w:rPr>
        <w:sectPr>
          <w:pgSz w:w="11907" w:h="16840"/>
          <w:pgMar w:top="1304" w:right="1467" w:bottom="1134" w:left="1361" w:header="851" w:footer="851" w:gutter="0"/>
          <w:cols w:space="720" w:num="1"/>
          <w:docGrid w:type="lines" w:linePitch="312" w:charSpace="0"/>
        </w:sectPr>
      </w:pPr>
    </w:p>
    <w:p>
      <w:pPr>
        <w:spacing w:line="500" w:lineRule="exact"/>
        <w:jc w:val="center"/>
        <w:rPr>
          <w:b/>
          <w:bCs/>
          <w:sz w:val="32"/>
          <w:szCs w:val="32"/>
        </w:rPr>
      </w:pPr>
      <w:r>
        <w:rPr>
          <w:rFonts w:hint="eastAsia"/>
          <w:b/>
          <w:bCs/>
          <w:sz w:val="32"/>
          <w:szCs w:val="32"/>
        </w:rPr>
        <w:t>房地产估价结果报告</w:t>
      </w:r>
    </w:p>
    <w:p>
      <w:pPr>
        <w:tabs>
          <w:tab w:val="left" w:pos="975"/>
        </w:tabs>
        <w:spacing w:line="560" w:lineRule="exact"/>
        <w:ind w:firstLine="562" w:firstLineChars="200"/>
        <w:rPr>
          <w:b/>
          <w:bCs/>
          <w:sz w:val="28"/>
          <w:szCs w:val="28"/>
        </w:rPr>
      </w:pPr>
      <w:r>
        <w:rPr>
          <w:rFonts w:hint="eastAsia"/>
          <w:b/>
          <w:bCs/>
          <w:sz w:val="28"/>
          <w:szCs w:val="28"/>
        </w:rPr>
        <w:t>（一）委托方及产权人</w:t>
      </w:r>
    </w:p>
    <w:p>
      <w:pPr>
        <w:spacing w:line="460" w:lineRule="exact"/>
        <w:ind w:firstLine="560" w:firstLineChars="200"/>
        <w:rPr>
          <w:sz w:val="28"/>
          <w:szCs w:val="28"/>
        </w:rPr>
      </w:pPr>
      <w:r>
        <w:rPr>
          <w:rFonts w:hint="eastAsia"/>
          <w:sz w:val="28"/>
          <w:szCs w:val="28"/>
        </w:rPr>
        <w:t>委托方: 贵溪市人民法院</w:t>
      </w:r>
    </w:p>
    <w:p>
      <w:pPr>
        <w:spacing w:line="460" w:lineRule="exact"/>
        <w:ind w:firstLine="560" w:firstLineChars="200"/>
        <w:rPr>
          <w:sz w:val="28"/>
          <w:szCs w:val="28"/>
        </w:rPr>
      </w:pPr>
      <w:r>
        <w:rPr>
          <w:rFonts w:hint="eastAsia"/>
          <w:sz w:val="28"/>
          <w:szCs w:val="28"/>
        </w:rPr>
        <w:t>房屋所有权人: 陶克、于睿、石帆、龚亮明、胡小平、龚超、钱坤、叶君</w:t>
      </w:r>
    </w:p>
    <w:p>
      <w:pPr>
        <w:spacing w:line="560" w:lineRule="exact"/>
        <w:ind w:firstLine="562" w:firstLineChars="200"/>
        <w:rPr>
          <w:b/>
          <w:bCs/>
          <w:sz w:val="28"/>
          <w:szCs w:val="28"/>
        </w:rPr>
      </w:pPr>
      <w:r>
        <w:rPr>
          <w:rFonts w:hint="eastAsia"/>
          <w:b/>
          <w:bCs/>
          <w:sz w:val="28"/>
          <w:szCs w:val="28"/>
        </w:rPr>
        <w:t>（二）估价方</w:t>
      </w:r>
    </w:p>
    <w:p>
      <w:pPr>
        <w:spacing w:line="460" w:lineRule="exact"/>
        <w:ind w:firstLine="560" w:firstLineChars="200"/>
        <w:rPr>
          <w:sz w:val="28"/>
          <w:szCs w:val="28"/>
        </w:rPr>
      </w:pPr>
      <w:r>
        <w:rPr>
          <w:rFonts w:hint="eastAsia"/>
          <w:sz w:val="28"/>
          <w:szCs w:val="28"/>
        </w:rPr>
        <w:t>单位名称：江西省中唐房地产评估顾问有限公司</w:t>
      </w:r>
    </w:p>
    <w:p>
      <w:pPr>
        <w:spacing w:line="460" w:lineRule="exact"/>
        <w:ind w:firstLine="560" w:firstLineChars="200"/>
        <w:rPr>
          <w:sz w:val="28"/>
          <w:szCs w:val="28"/>
        </w:rPr>
      </w:pPr>
      <w:r>
        <w:rPr>
          <w:rFonts w:hint="eastAsia"/>
          <w:sz w:val="28"/>
          <w:szCs w:val="28"/>
        </w:rPr>
        <w:t>单位地址：南昌市东湖区省政府大院东四路23号</w:t>
      </w:r>
    </w:p>
    <w:p>
      <w:pPr>
        <w:spacing w:line="460" w:lineRule="exact"/>
        <w:ind w:firstLine="560" w:firstLineChars="200"/>
        <w:rPr>
          <w:sz w:val="28"/>
          <w:szCs w:val="28"/>
        </w:rPr>
      </w:pPr>
      <w:r>
        <w:rPr>
          <w:rFonts w:hint="eastAsia"/>
          <w:sz w:val="28"/>
          <w:szCs w:val="28"/>
        </w:rPr>
        <w:t>法人代表：胡永忠</w:t>
      </w:r>
    </w:p>
    <w:p>
      <w:pPr>
        <w:spacing w:line="460" w:lineRule="exact"/>
        <w:ind w:firstLine="560" w:firstLineChars="200"/>
        <w:rPr>
          <w:sz w:val="28"/>
          <w:szCs w:val="28"/>
        </w:rPr>
      </w:pPr>
      <w:r>
        <w:rPr>
          <w:rFonts w:hint="eastAsia"/>
          <w:sz w:val="28"/>
          <w:szCs w:val="28"/>
        </w:rPr>
        <w:t>资格等级及编号：壹级</w:t>
      </w:r>
    </w:p>
    <w:p>
      <w:pPr>
        <w:spacing w:line="460" w:lineRule="exact"/>
        <w:ind w:firstLine="560" w:firstLineChars="200"/>
        <w:rPr>
          <w:sz w:val="28"/>
          <w:szCs w:val="28"/>
        </w:rPr>
      </w:pPr>
      <w:r>
        <w:rPr>
          <w:rFonts w:hint="eastAsia"/>
          <w:sz w:val="28"/>
          <w:szCs w:val="28"/>
        </w:rPr>
        <w:t>资格证书号：赣建房评字58号</w:t>
      </w:r>
    </w:p>
    <w:p>
      <w:pPr>
        <w:spacing w:line="560" w:lineRule="exact"/>
        <w:ind w:firstLine="562" w:firstLineChars="200"/>
        <w:rPr>
          <w:b/>
          <w:bCs/>
          <w:sz w:val="28"/>
          <w:szCs w:val="28"/>
        </w:rPr>
      </w:pPr>
      <w:r>
        <w:rPr>
          <w:rFonts w:hint="eastAsia"/>
          <w:b/>
          <w:bCs/>
          <w:sz w:val="28"/>
          <w:szCs w:val="28"/>
        </w:rPr>
        <w:t>（三）估价对象：</w:t>
      </w:r>
    </w:p>
    <w:p>
      <w:pPr>
        <w:spacing w:line="520" w:lineRule="exact"/>
        <w:ind w:firstLine="560" w:firstLineChars="200"/>
        <w:rPr>
          <w:sz w:val="28"/>
          <w:szCs w:val="28"/>
        </w:rPr>
      </w:pPr>
      <w:r>
        <w:rPr>
          <w:rFonts w:hint="eastAsia"/>
          <w:sz w:val="28"/>
          <w:szCs w:val="28"/>
        </w:rPr>
        <w:t>估价对象为位于安徽省芜湖市鸠江区滨江新居</w:t>
      </w:r>
      <w:r>
        <w:rPr>
          <w:sz w:val="28"/>
          <w:szCs w:val="28"/>
        </w:rPr>
        <w:t>12#楼2单元201室</w:t>
      </w:r>
      <w:r>
        <w:rPr>
          <w:rFonts w:hint="eastAsia"/>
          <w:sz w:val="28"/>
          <w:szCs w:val="28"/>
        </w:rPr>
        <w:t>、镜湖区平湖秋月</w:t>
      </w:r>
      <w:r>
        <w:rPr>
          <w:sz w:val="28"/>
          <w:szCs w:val="28"/>
        </w:rPr>
        <w:t>29#楼1-501室</w:t>
      </w:r>
      <w:r>
        <w:rPr>
          <w:rFonts w:hint="eastAsia"/>
          <w:sz w:val="28"/>
          <w:szCs w:val="28"/>
        </w:rPr>
        <w:t>、镜湖区华强广场</w:t>
      </w:r>
      <w:r>
        <w:rPr>
          <w:sz w:val="28"/>
          <w:szCs w:val="28"/>
        </w:rPr>
        <w:t>6#楼1单元2501室</w:t>
      </w:r>
      <w:r>
        <w:rPr>
          <w:rFonts w:hint="eastAsia"/>
          <w:sz w:val="28"/>
          <w:szCs w:val="28"/>
        </w:rPr>
        <w:t>、镜湖区圣地雅歌</w:t>
      </w:r>
      <w:r>
        <w:rPr>
          <w:sz w:val="28"/>
          <w:szCs w:val="28"/>
        </w:rPr>
        <w:t>3-05#楼1-101</w:t>
      </w:r>
      <w:r>
        <w:rPr>
          <w:rFonts w:hint="eastAsia"/>
          <w:sz w:val="28"/>
          <w:szCs w:val="28"/>
        </w:rPr>
        <w:t>室及江西省鹰潭市</w:t>
      </w:r>
      <w:r>
        <w:rPr>
          <w:sz w:val="28"/>
          <w:szCs w:val="28"/>
        </w:rPr>
        <w:t>38号路西侧和谐小区7栋4单元04052号</w:t>
      </w:r>
      <w:r>
        <w:rPr>
          <w:rFonts w:hint="eastAsia"/>
          <w:sz w:val="28"/>
          <w:szCs w:val="28"/>
        </w:rPr>
        <w:t>、鹰潭市月湖区四海东路</w:t>
      </w:r>
      <w:r>
        <w:rPr>
          <w:sz w:val="28"/>
          <w:szCs w:val="28"/>
        </w:rPr>
        <w:t>22号月湖明珠双水坑南苑B1栋02单元504室</w:t>
      </w:r>
      <w:r>
        <w:rPr>
          <w:rFonts w:hint="eastAsia"/>
          <w:sz w:val="28"/>
          <w:szCs w:val="28"/>
        </w:rPr>
        <w:t>共计6处住宅用途房地产，包括了房屋所有权、分摊土地面积，建筑面积。现将估价对象1-6区位状况、实物状况、权益状况概述如下：</w:t>
      </w:r>
    </w:p>
    <w:p>
      <w:pPr>
        <w:spacing w:line="520" w:lineRule="exact"/>
        <w:ind w:firstLine="562" w:firstLineChars="200"/>
        <w:rPr>
          <w:b/>
          <w:sz w:val="28"/>
          <w:szCs w:val="28"/>
        </w:rPr>
      </w:pPr>
      <w:r>
        <w:rPr>
          <w:rFonts w:hint="eastAsia"/>
          <w:b/>
          <w:sz w:val="28"/>
          <w:szCs w:val="28"/>
        </w:rPr>
        <w:t>估价对象1：鸠江区滨江新居</w:t>
      </w:r>
      <w:r>
        <w:rPr>
          <w:b/>
          <w:sz w:val="28"/>
          <w:szCs w:val="28"/>
        </w:rPr>
        <w:t>12#楼2单元201室</w:t>
      </w:r>
    </w:p>
    <w:p>
      <w:pPr>
        <w:spacing w:line="520" w:lineRule="exact"/>
        <w:ind w:firstLine="560" w:firstLineChars="200"/>
        <w:rPr>
          <w:sz w:val="28"/>
          <w:szCs w:val="28"/>
        </w:rPr>
      </w:pPr>
      <w:r>
        <w:rPr>
          <w:rFonts w:hint="eastAsia" w:ascii="仿宋_GB2312" w:eastAsia="仿宋_GB2312"/>
          <w:sz w:val="28"/>
          <w:szCs w:val="28"/>
        </w:rPr>
        <w:t>1</w:t>
      </w:r>
      <w:r>
        <w:rPr>
          <w:rFonts w:hint="eastAsia"/>
          <w:sz w:val="28"/>
          <w:szCs w:val="28"/>
        </w:rPr>
        <w:t>、区位状况</w:t>
      </w:r>
    </w:p>
    <w:p>
      <w:pPr>
        <w:spacing w:line="520" w:lineRule="exact"/>
        <w:ind w:firstLine="560" w:firstLineChars="200"/>
        <w:rPr>
          <w:sz w:val="28"/>
          <w:szCs w:val="28"/>
        </w:rPr>
      </w:pPr>
      <w:r>
        <w:rPr>
          <w:rFonts w:hint="eastAsia"/>
          <w:sz w:val="28"/>
          <w:szCs w:val="28"/>
        </w:rPr>
        <w:t>（1）坐落</w:t>
      </w:r>
    </w:p>
    <w:p>
      <w:pPr>
        <w:spacing w:line="520" w:lineRule="exact"/>
        <w:ind w:firstLine="560" w:firstLineChars="200"/>
        <w:rPr>
          <w:sz w:val="28"/>
          <w:szCs w:val="28"/>
        </w:rPr>
      </w:pPr>
      <w:r>
        <w:rPr>
          <w:rFonts w:hint="eastAsia"/>
          <w:sz w:val="28"/>
          <w:szCs w:val="28"/>
        </w:rPr>
        <w:t>估价对象位于芜湖市鸠江区银湖北路西侧、四湾路北侧。</w:t>
      </w:r>
    </w:p>
    <w:p>
      <w:pPr>
        <w:spacing w:line="520" w:lineRule="exact"/>
        <w:ind w:firstLine="560" w:firstLineChars="200"/>
        <w:rPr>
          <w:sz w:val="28"/>
          <w:szCs w:val="28"/>
        </w:rPr>
      </w:pPr>
      <w:r>
        <w:rPr>
          <w:rFonts w:hint="eastAsia"/>
          <w:sz w:val="28"/>
          <w:szCs w:val="28"/>
        </w:rPr>
        <w:t>（2）楼层</w:t>
      </w:r>
    </w:p>
    <w:p>
      <w:pPr>
        <w:spacing w:line="520" w:lineRule="exact"/>
        <w:ind w:firstLine="560" w:firstLineChars="200"/>
        <w:rPr>
          <w:sz w:val="28"/>
          <w:szCs w:val="28"/>
        </w:rPr>
      </w:pPr>
      <w:r>
        <w:rPr>
          <w:rFonts w:hint="eastAsia"/>
          <w:sz w:val="28"/>
          <w:szCs w:val="28"/>
        </w:rPr>
        <w:t>估价对象所在建筑物共6层，估价对象位于第2层。</w:t>
      </w:r>
    </w:p>
    <w:p>
      <w:pPr>
        <w:spacing w:line="520" w:lineRule="exact"/>
        <w:ind w:firstLine="560" w:firstLineChars="200"/>
        <w:rPr>
          <w:color w:val="auto"/>
          <w:sz w:val="28"/>
          <w:szCs w:val="28"/>
        </w:rPr>
      </w:pPr>
      <w:r>
        <w:rPr>
          <w:rFonts w:hint="eastAsia"/>
          <w:sz w:val="28"/>
          <w:szCs w:val="28"/>
        </w:rPr>
        <w:t>（3）交通</w:t>
      </w:r>
    </w:p>
    <w:p>
      <w:pPr>
        <w:spacing w:line="520" w:lineRule="exact"/>
        <w:ind w:firstLine="560" w:firstLineChars="200"/>
        <w:rPr>
          <w:color w:val="auto"/>
          <w:sz w:val="28"/>
          <w:szCs w:val="28"/>
        </w:rPr>
      </w:pPr>
      <w:r>
        <w:rPr>
          <w:rFonts w:hint="eastAsia"/>
          <w:color w:val="auto"/>
          <w:sz w:val="28"/>
          <w:szCs w:val="28"/>
        </w:rPr>
        <w:t>估价对象周围有长江北路、银湖北路等交通干道，道路通达度较好，路网密集度一般，有3路、204路、214路等公交线路，交通便捷度一般。</w:t>
      </w:r>
    </w:p>
    <w:p>
      <w:pPr>
        <w:spacing w:line="520" w:lineRule="exact"/>
        <w:ind w:firstLine="560" w:firstLineChars="200"/>
        <w:rPr>
          <w:sz w:val="28"/>
          <w:szCs w:val="28"/>
        </w:rPr>
      </w:pPr>
      <w:r>
        <w:rPr>
          <w:rFonts w:hint="eastAsia"/>
          <w:sz w:val="28"/>
          <w:szCs w:val="28"/>
        </w:rPr>
        <w:t>（4）环境及配套设施</w:t>
      </w:r>
    </w:p>
    <w:p>
      <w:pPr>
        <w:spacing w:line="520" w:lineRule="exact"/>
        <w:ind w:firstLine="560" w:firstLineChars="200"/>
        <w:rPr>
          <w:sz w:val="28"/>
          <w:szCs w:val="28"/>
        </w:rPr>
      </w:pPr>
      <w:r>
        <w:rPr>
          <w:rFonts w:hint="eastAsia"/>
          <w:color w:val="auto"/>
          <w:sz w:val="28"/>
        </w:rPr>
        <w:t>估价对象位于芜湖市鸠江区,周围交通路网密集度一般，道路通达度较好，交通便捷度一般。有益安小区、四湾社区等居住社区，周围配套设施较少，整体环境一般。</w:t>
      </w:r>
    </w:p>
    <w:p>
      <w:pPr>
        <w:spacing w:line="520" w:lineRule="exact"/>
        <w:rPr>
          <w:rFonts w:ascii="仿宋_GB2312" w:eastAsia="仿宋_GB2312"/>
          <w:sz w:val="28"/>
          <w:szCs w:val="28"/>
        </w:rPr>
      </w:pPr>
      <w:r>
        <w:rPr>
          <w:rFonts w:hint="eastAsia" w:ascii="仿宋_GB2312" w:eastAsia="仿宋_GB2312"/>
          <w:sz w:val="28"/>
          <w:szCs w:val="28"/>
        </w:rPr>
        <w:t xml:space="preserve">  </w:t>
      </w:r>
      <w:r>
        <w:rPr>
          <w:rFonts w:hint="eastAsia"/>
          <w:sz w:val="28"/>
          <w:szCs w:val="28"/>
        </w:rPr>
        <w:t xml:space="preserve">   2、实物状况</w:t>
      </w:r>
    </w:p>
    <w:p>
      <w:pPr>
        <w:spacing w:line="520" w:lineRule="exact"/>
        <w:ind w:firstLine="560" w:firstLineChars="200"/>
        <w:rPr>
          <w:sz w:val="28"/>
          <w:szCs w:val="28"/>
        </w:rPr>
      </w:pPr>
      <w:r>
        <w:rPr>
          <w:rFonts w:hint="eastAsia"/>
          <w:sz w:val="28"/>
          <w:szCs w:val="28"/>
        </w:rPr>
        <w:t>外墙：涂料、墙砖；</w:t>
      </w:r>
    </w:p>
    <w:p>
      <w:pPr>
        <w:spacing w:line="520" w:lineRule="exact"/>
        <w:ind w:firstLine="560" w:firstLineChars="200"/>
        <w:rPr>
          <w:sz w:val="28"/>
          <w:szCs w:val="28"/>
        </w:rPr>
      </w:pPr>
      <w:r>
        <w:rPr>
          <w:rFonts w:hint="eastAsia"/>
          <w:sz w:val="28"/>
          <w:szCs w:val="28"/>
        </w:rPr>
        <w:t>内装修：客厅及餐厅地面为地砖，卧室地面为地板，墙面和顶棚为涂料；厨房和卫生间地面和墙面为瓷砖，顶棚为吊顶；</w:t>
      </w:r>
    </w:p>
    <w:p>
      <w:pPr>
        <w:spacing w:line="530" w:lineRule="exact"/>
        <w:ind w:firstLine="560" w:firstLineChars="200"/>
        <w:rPr>
          <w:sz w:val="28"/>
          <w:szCs w:val="28"/>
        </w:rPr>
      </w:pPr>
      <w:r>
        <w:rPr>
          <w:rFonts w:hint="eastAsia"/>
          <w:sz w:val="28"/>
          <w:szCs w:val="28"/>
        </w:rPr>
        <w:t>门窗：防盗门、铝合金外窗；</w:t>
      </w:r>
    </w:p>
    <w:p>
      <w:pPr>
        <w:spacing w:line="530" w:lineRule="exact"/>
        <w:ind w:firstLine="560" w:firstLineChars="200"/>
        <w:rPr>
          <w:sz w:val="28"/>
          <w:szCs w:val="28"/>
        </w:rPr>
      </w:pPr>
      <w:r>
        <w:rPr>
          <w:rFonts w:hint="eastAsia"/>
          <w:sz w:val="28"/>
          <w:szCs w:val="28"/>
        </w:rPr>
        <w:t>维护状况：一般；</w:t>
      </w:r>
    </w:p>
    <w:p>
      <w:pPr>
        <w:spacing w:line="530" w:lineRule="exact"/>
        <w:ind w:firstLine="560" w:firstLineChars="200"/>
        <w:rPr>
          <w:sz w:val="28"/>
          <w:szCs w:val="28"/>
        </w:rPr>
      </w:pPr>
      <w:r>
        <w:rPr>
          <w:rFonts w:hint="eastAsia"/>
          <w:sz w:val="28"/>
          <w:szCs w:val="28"/>
        </w:rPr>
        <w:t>利用状况：自住。</w:t>
      </w:r>
    </w:p>
    <w:p>
      <w:pPr>
        <w:spacing w:line="530" w:lineRule="exact"/>
        <w:ind w:firstLine="560" w:firstLineChars="200"/>
        <w:rPr>
          <w:sz w:val="28"/>
          <w:szCs w:val="28"/>
        </w:rPr>
      </w:pPr>
      <w:r>
        <w:rPr>
          <w:rFonts w:hint="eastAsia"/>
          <w:sz w:val="28"/>
          <w:szCs w:val="28"/>
        </w:rPr>
        <w:t>具体情况详见《估价对象现状照片》。</w:t>
      </w:r>
    </w:p>
    <w:p>
      <w:pPr>
        <w:spacing w:line="520" w:lineRule="exact"/>
        <w:ind w:firstLine="560" w:firstLineChars="200"/>
        <w:rPr>
          <w:sz w:val="28"/>
          <w:szCs w:val="28"/>
        </w:rPr>
      </w:pPr>
      <w:r>
        <w:rPr>
          <w:rFonts w:hint="eastAsia"/>
          <w:sz w:val="28"/>
          <w:szCs w:val="28"/>
        </w:rPr>
        <w:t>3、权益状况</w:t>
      </w:r>
    </w:p>
    <w:p>
      <w:pPr>
        <w:spacing w:line="520" w:lineRule="exact"/>
        <w:ind w:firstLine="560" w:firstLineChars="200"/>
        <w:rPr>
          <w:sz w:val="28"/>
          <w:szCs w:val="28"/>
        </w:rPr>
      </w:pPr>
      <w:r>
        <w:rPr>
          <w:rFonts w:hint="eastAsia"/>
          <w:sz w:val="28"/>
          <w:szCs w:val="28"/>
        </w:rPr>
        <w:t>（1）房屋权益状况</w:t>
      </w:r>
    </w:p>
    <w:p>
      <w:pPr>
        <w:spacing w:after="156" w:afterLines="50" w:line="500" w:lineRule="exact"/>
        <w:jc w:val="center"/>
        <w:rPr>
          <w:b/>
          <w:snapToGrid w:val="0"/>
          <w:kern w:val="0"/>
          <w:sz w:val="28"/>
          <w:szCs w:val="20"/>
        </w:rPr>
      </w:pPr>
      <w:r>
        <w:rPr>
          <w:rFonts w:hint="eastAsia"/>
          <w:b/>
          <w:snapToGrid w:val="0"/>
          <w:kern w:val="0"/>
          <w:sz w:val="28"/>
          <w:szCs w:val="20"/>
        </w:rPr>
        <w:t>房地产状况明细表</w:t>
      </w:r>
    </w:p>
    <w:tbl>
      <w:tblPr>
        <w:tblStyle w:val="28"/>
        <w:tblW w:w="5000" w:type="pct"/>
        <w:tblInd w:w="0" w:type="dxa"/>
        <w:tblLayout w:type="autofit"/>
        <w:tblCellMar>
          <w:top w:w="0" w:type="dxa"/>
          <w:left w:w="108" w:type="dxa"/>
          <w:bottom w:w="0" w:type="dxa"/>
          <w:right w:w="108" w:type="dxa"/>
        </w:tblCellMar>
      </w:tblPr>
      <w:tblGrid>
        <w:gridCol w:w="1226"/>
        <w:gridCol w:w="2019"/>
        <w:gridCol w:w="2472"/>
        <w:gridCol w:w="774"/>
        <w:gridCol w:w="811"/>
        <w:gridCol w:w="811"/>
        <w:gridCol w:w="1208"/>
      </w:tblGrid>
      <w:tr>
        <w:tblPrEx>
          <w:tblCellMar>
            <w:top w:w="0" w:type="dxa"/>
            <w:left w:w="108" w:type="dxa"/>
            <w:bottom w:w="0" w:type="dxa"/>
            <w:right w:w="108" w:type="dxa"/>
          </w:tblCellMar>
        </w:tblPrEx>
        <w:trPr>
          <w:trHeight w:val="499" w:hRule="atLeast"/>
        </w:trPr>
        <w:tc>
          <w:tcPr>
            <w:tcW w:w="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sz w:val="20"/>
                <w:szCs w:val="20"/>
              </w:rPr>
            </w:pPr>
            <w:r>
              <w:rPr>
                <w:rFonts w:hint="eastAsia"/>
                <w:b/>
                <w:sz w:val="20"/>
                <w:szCs w:val="20"/>
              </w:rPr>
              <w:t>房屋所有权人</w:t>
            </w:r>
          </w:p>
        </w:tc>
        <w:tc>
          <w:tcPr>
            <w:tcW w:w="1083" w:type="pct"/>
            <w:tcBorders>
              <w:top w:val="single" w:color="auto" w:sz="4" w:space="0"/>
              <w:left w:val="nil"/>
              <w:bottom w:val="single" w:color="auto" w:sz="4" w:space="0"/>
              <w:right w:val="single" w:color="auto" w:sz="4" w:space="0"/>
            </w:tcBorders>
            <w:shd w:val="clear" w:color="auto" w:fill="auto"/>
            <w:vAlign w:val="center"/>
          </w:tcPr>
          <w:p>
            <w:pPr>
              <w:widowControl/>
              <w:jc w:val="center"/>
              <w:rPr>
                <w:b/>
                <w:sz w:val="20"/>
                <w:szCs w:val="20"/>
              </w:rPr>
            </w:pPr>
            <w:r>
              <w:rPr>
                <w:rFonts w:hint="eastAsia"/>
                <w:b/>
                <w:sz w:val="20"/>
                <w:szCs w:val="20"/>
              </w:rPr>
              <w:t>不动产权证书号</w:t>
            </w:r>
          </w:p>
        </w:tc>
        <w:tc>
          <w:tcPr>
            <w:tcW w:w="1326" w:type="pct"/>
            <w:tcBorders>
              <w:top w:val="single" w:color="auto" w:sz="4" w:space="0"/>
              <w:left w:val="nil"/>
              <w:bottom w:val="single" w:color="auto" w:sz="4" w:space="0"/>
              <w:right w:val="single" w:color="auto" w:sz="4" w:space="0"/>
            </w:tcBorders>
            <w:shd w:val="clear" w:color="auto" w:fill="auto"/>
            <w:vAlign w:val="center"/>
          </w:tcPr>
          <w:p>
            <w:pPr>
              <w:widowControl/>
              <w:jc w:val="center"/>
              <w:rPr>
                <w:b/>
                <w:sz w:val="20"/>
                <w:szCs w:val="20"/>
              </w:rPr>
            </w:pPr>
            <w:r>
              <w:rPr>
                <w:rFonts w:hint="eastAsia"/>
                <w:b/>
                <w:sz w:val="20"/>
                <w:szCs w:val="20"/>
              </w:rPr>
              <w:t>坐落</w:t>
            </w:r>
          </w:p>
        </w:tc>
        <w:tc>
          <w:tcPr>
            <w:tcW w:w="415" w:type="pct"/>
            <w:tcBorders>
              <w:top w:val="single" w:color="auto" w:sz="4" w:space="0"/>
              <w:left w:val="nil"/>
              <w:bottom w:val="single" w:color="auto" w:sz="4" w:space="0"/>
              <w:right w:val="single" w:color="auto" w:sz="4" w:space="0"/>
            </w:tcBorders>
            <w:shd w:val="clear" w:color="auto" w:fill="auto"/>
            <w:vAlign w:val="center"/>
          </w:tcPr>
          <w:p>
            <w:pPr>
              <w:widowControl/>
              <w:jc w:val="center"/>
              <w:rPr>
                <w:b/>
                <w:sz w:val="20"/>
                <w:szCs w:val="20"/>
              </w:rPr>
            </w:pPr>
            <w:r>
              <w:rPr>
                <w:rFonts w:hint="eastAsia"/>
                <w:b/>
                <w:sz w:val="20"/>
                <w:szCs w:val="20"/>
              </w:rPr>
              <w:t>结构</w:t>
            </w:r>
          </w:p>
        </w:tc>
        <w:tc>
          <w:tcPr>
            <w:tcW w:w="435" w:type="pct"/>
            <w:tcBorders>
              <w:top w:val="single" w:color="auto" w:sz="4" w:space="0"/>
              <w:left w:val="nil"/>
              <w:bottom w:val="single" w:color="auto" w:sz="4" w:space="0"/>
              <w:right w:val="single" w:color="auto" w:sz="4" w:space="0"/>
            </w:tcBorders>
            <w:shd w:val="clear" w:color="auto" w:fill="auto"/>
            <w:vAlign w:val="center"/>
          </w:tcPr>
          <w:p>
            <w:pPr>
              <w:widowControl/>
              <w:jc w:val="center"/>
              <w:rPr>
                <w:b/>
                <w:sz w:val="20"/>
                <w:szCs w:val="20"/>
              </w:rPr>
            </w:pPr>
            <w:r>
              <w:rPr>
                <w:rFonts w:hint="eastAsia"/>
                <w:b/>
                <w:sz w:val="20"/>
                <w:szCs w:val="20"/>
              </w:rPr>
              <w:t>楼层</w:t>
            </w:r>
          </w:p>
        </w:tc>
        <w:tc>
          <w:tcPr>
            <w:tcW w:w="435" w:type="pct"/>
            <w:tcBorders>
              <w:top w:val="single" w:color="auto" w:sz="4" w:space="0"/>
              <w:left w:val="nil"/>
              <w:bottom w:val="single" w:color="auto" w:sz="4" w:space="0"/>
              <w:right w:val="single" w:color="auto" w:sz="4" w:space="0"/>
            </w:tcBorders>
            <w:shd w:val="clear" w:color="auto" w:fill="auto"/>
            <w:vAlign w:val="center"/>
          </w:tcPr>
          <w:p>
            <w:pPr>
              <w:widowControl/>
              <w:jc w:val="center"/>
              <w:rPr>
                <w:b/>
                <w:sz w:val="20"/>
                <w:szCs w:val="20"/>
              </w:rPr>
            </w:pPr>
            <w:r>
              <w:rPr>
                <w:rFonts w:hint="eastAsia"/>
                <w:b/>
                <w:sz w:val="20"/>
                <w:szCs w:val="20"/>
              </w:rPr>
              <w:t>用途</w:t>
            </w:r>
          </w:p>
        </w:tc>
        <w:tc>
          <w:tcPr>
            <w:tcW w:w="648" w:type="pct"/>
            <w:tcBorders>
              <w:top w:val="single" w:color="auto" w:sz="4" w:space="0"/>
              <w:left w:val="nil"/>
              <w:bottom w:val="single" w:color="auto" w:sz="4" w:space="0"/>
              <w:right w:val="single" w:color="auto" w:sz="4" w:space="0"/>
            </w:tcBorders>
            <w:shd w:val="clear" w:color="auto" w:fill="auto"/>
            <w:vAlign w:val="center"/>
          </w:tcPr>
          <w:p>
            <w:pPr>
              <w:widowControl/>
              <w:jc w:val="center"/>
              <w:rPr>
                <w:b/>
                <w:sz w:val="20"/>
                <w:szCs w:val="20"/>
              </w:rPr>
            </w:pPr>
            <w:r>
              <w:rPr>
                <w:rFonts w:hint="eastAsia"/>
                <w:b/>
                <w:sz w:val="20"/>
                <w:szCs w:val="20"/>
              </w:rPr>
              <w:t>建筑面积（㎡）</w:t>
            </w:r>
          </w:p>
        </w:tc>
      </w:tr>
      <w:tr>
        <w:trPr>
          <w:trHeight w:val="499" w:hRule="atLeast"/>
        </w:trPr>
        <w:tc>
          <w:tcPr>
            <w:tcW w:w="658" w:type="pct"/>
            <w:tcBorders>
              <w:top w:val="nil"/>
              <w:left w:val="single" w:color="auto" w:sz="4" w:space="0"/>
              <w:bottom w:val="single" w:color="auto" w:sz="4" w:space="0"/>
              <w:right w:val="single" w:color="auto" w:sz="4" w:space="0"/>
            </w:tcBorders>
            <w:shd w:val="clear" w:color="auto" w:fill="auto"/>
            <w:vAlign w:val="center"/>
          </w:tcPr>
          <w:p>
            <w:pPr>
              <w:widowControl/>
              <w:jc w:val="center"/>
              <w:rPr>
                <w:sz w:val="20"/>
                <w:szCs w:val="20"/>
              </w:rPr>
            </w:pPr>
            <w:r>
              <w:rPr>
                <w:rFonts w:hint="eastAsia"/>
                <w:sz w:val="20"/>
                <w:szCs w:val="20"/>
              </w:rPr>
              <w:t>陶克</w:t>
            </w:r>
          </w:p>
        </w:tc>
        <w:tc>
          <w:tcPr>
            <w:tcW w:w="1083" w:type="pct"/>
            <w:tcBorders>
              <w:top w:val="nil"/>
              <w:left w:val="nil"/>
              <w:bottom w:val="single" w:color="auto" w:sz="4" w:space="0"/>
              <w:right w:val="single" w:color="auto" w:sz="4" w:space="0"/>
            </w:tcBorders>
            <w:shd w:val="clear" w:color="auto" w:fill="auto"/>
            <w:vAlign w:val="center"/>
          </w:tcPr>
          <w:p>
            <w:pPr>
              <w:widowControl/>
              <w:jc w:val="center"/>
              <w:rPr>
                <w:sz w:val="20"/>
                <w:szCs w:val="20"/>
              </w:rPr>
            </w:pPr>
            <w:r>
              <w:rPr>
                <w:rFonts w:hint="eastAsia"/>
                <w:sz w:val="20"/>
                <w:szCs w:val="20"/>
              </w:rPr>
              <w:t>皖（2018）芜湖市不动产权第0497778号</w:t>
            </w:r>
          </w:p>
        </w:tc>
        <w:tc>
          <w:tcPr>
            <w:tcW w:w="1326" w:type="pct"/>
            <w:tcBorders>
              <w:top w:val="nil"/>
              <w:left w:val="nil"/>
              <w:bottom w:val="single" w:color="auto" w:sz="4" w:space="0"/>
              <w:right w:val="single" w:color="auto" w:sz="4" w:space="0"/>
            </w:tcBorders>
            <w:shd w:val="clear" w:color="auto" w:fill="auto"/>
            <w:vAlign w:val="center"/>
          </w:tcPr>
          <w:p>
            <w:pPr>
              <w:widowControl/>
              <w:jc w:val="center"/>
              <w:rPr>
                <w:sz w:val="20"/>
                <w:szCs w:val="20"/>
              </w:rPr>
            </w:pPr>
            <w:r>
              <w:rPr>
                <w:rFonts w:hint="eastAsia"/>
                <w:sz w:val="20"/>
                <w:szCs w:val="20"/>
              </w:rPr>
              <w:t>鸠江区滨江新居12#楼2单元201室</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sz w:val="20"/>
                <w:szCs w:val="20"/>
              </w:rPr>
            </w:pPr>
            <w:r>
              <w:rPr>
                <w:rFonts w:hint="eastAsia"/>
                <w:sz w:val="20"/>
                <w:szCs w:val="20"/>
              </w:rPr>
              <w:t>钢混</w:t>
            </w:r>
          </w:p>
        </w:tc>
        <w:tc>
          <w:tcPr>
            <w:tcW w:w="435" w:type="pct"/>
            <w:tcBorders>
              <w:top w:val="nil"/>
              <w:left w:val="nil"/>
              <w:bottom w:val="single" w:color="auto" w:sz="4" w:space="0"/>
              <w:right w:val="single" w:color="auto" w:sz="4" w:space="0"/>
            </w:tcBorders>
            <w:shd w:val="clear" w:color="auto" w:fill="auto"/>
            <w:vAlign w:val="center"/>
          </w:tcPr>
          <w:p>
            <w:pPr>
              <w:widowControl/>
              <w:jc w:val="center"/>
              <w:rPr>
                <w:sz w:val="20"/>
                <w:szCs w:val="20"/>
              </w:rPr>
            </w:pPr>
            <w:r>
              <w:rPr>
                <w:rFonts w:hint="eastAsia"/>
                <w:sz w:val="20"/>
                <w:szCs w:val="20"/>
              </w:rPr>
              <w:t>2/6F</w:t>
            </w:r>
          </w:p>
        </w:tc>
        <w:tc>
          <w:tcPr>
            <w:tcW w:w="435" w:type="pct"/>
            <w:tcBorders>
              <w:top w:val="nil"/>
              <w:left w:val="nil"/>
              <w:bottom w:val="single" w:color="auto" w:sz="4" w:space="0"/>
              <w:right w:val="single" w:color="auto" w:sz="4" w:space="0"/>
            </w:tcBorders>
            <w:shd w:val="clear" w:color="auto" w:fill="auto"/>
            <w:vAlign w:val="center"/>
          </w:tcPr>
          <w:p>
            <w:pPr>
              <w:widowControl/>
              <w:jc w:val="center"/>
              <w:rPr>
                <w:sz w:val="20"/>
                <w:szCs w:val="20"/>
              </w:rPr>
            </w:pPr>
            <w:r>
              <w:rPr>
                <w:rFonts w:hint="eastAsia"/>
                <w:sz w:val="20"/>
                <w:szCs w:val="20"/>
              </w:rPr>
              <w:t>住宅</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sz w:val="20"/>
                <w:szCs w:val="20"/>
              </w:rPr>
            </w:pPr>
            <w:r>
              <w:rPr>
                <w:rFonts w:hint="eastAsia"/>
                <w:sz w:val="20"/>
                <w:szCs w:val="20"/>
              </w:rPr>
              <w:t>88.5</w:t>
            </w:r>
          </w:p>
        </w:tc>
      </w:tr>
    </w:tbl>
    <w:p>
      <w:pPr>
        <w:spacing w:line="520" w:lineRule="exact"/>
        <w:ind w:firstLine="560" w:firstLineChars="200"/>
        <w:rPr>
          <w:sz w:val="28"/>
          <w:szCs w:val="28"/>
        </w:rPr>
      </w:pPr>
      <w:r>
        <w:rPr>
          <w:rFonts w:hint="eastAsia"/>
          <w:sz w:val="28"/>
          <w:szCs w:val="28"/>
        </w:rPr>
        <w:t>（2）土地权益状况</w:t>
      </w:r>
    </w:p>
    <w:p>
      <w:pPr>
        <w:spacing w:line="520" w:lineRule="exact"/>
        <w:ind w:firstLine="560" w:firstLineChars="200"/>
        <w:rPr>
          <w:sz w:val="28"/>
          <w:szCs w:val="28"/>
        </w:rPr>
      </w:pPr>
      <w:r>
        <w:rPr>
          <w:rFonts w:hint="eastAsia"/>
          <w:color w:val="auto"/>
          <w:sz w:val="28"/>
          <w:szCs w:val="28"/>
        </w:rPr>
        <w:t>委托方</w:t>
      </w:r>
      <w:r>
        <w:rPr>
          <w:color w:val="auto"/>
          <w:sz w:val="28"/>
          <w:szCs w:val="28"/>
        </w:rPr>
        <w:t>提供的</w:t>
      </w:r>
      <w:r>
        <w:rPr>
          <w:rFonts w:hint="eastAsia"/>
          <w:sz w:val="28"/>
          <w:szCs w:val="28"/>
        </w:rPr>
        <w:t>《房地产权登记信息》附记显示：集体土地安置，转让需补交土地收益和建设规费面积：</w:t>
      </w:r>
      <w:r>
        <w:rPr>
          <w:sz w:val="28"/>
          <w:szCs w:val="28"/>
        </w:rPr>
        <w:t>88.5</w:t>
      </w:r>
      <w:r>
        <w:rPr>
          <w:rFonts w:hint="eastAsia"/>
          <w:sz w:val="28"/>
          <w:szCs w:val="28"/>
        </w:rPr>
        <w:t>平方米</w:t>
      </w:r>
      <w:r>
        <w:rPr>
          <w:sz w:val="28"/>
          <w:szCs w:val="28"/>
        </w:rPr>
        <w:t>*交易价格*5%</w:t>
      </w:r>
      <w:r>
        <w:rPr>
          <w:rFonts w:hint="eastAsia"/>
          <w:sz w:val="28"/>
          <w:szCs w:val="28"/>
        </w:rPr>
        <w:t>。依据估价人员现场查勘，估价对象所在宗地地势平坦，形状较规则，实际开发程度为宗地外“六通”（通路、通电、供水、排水、通讯、通燃气），宗地内场地平整。</w:t>
      </w:r>
    </w:p>
    <w:p>
      <w:pPr>
        <w:spacing w:line="520" w:lineRule="exact"/>
        <w:ind w:firstLine="560" w:firstLineChars="200"/>
        <w:rPr>
          <w:sz w:val="28"/>
          <w:szCs w:val="28"/>
        </w:rPr>
      </w:pPr>
      <w:r>
        <w:rPr>
          <w:rFonts w:hint="eastAsia"/>
          <w:sz w:val="28"/>
          <w:szCs w:val="28"/>
        </w:rPr>
        <w:t>（3）他项权利状况</w:t>
      </w:r>
    </w:p>
    <w:p>
      <w:pPr>
        <w:spacing w:line="520" w:lineRule="exact"/>
        <w:ind w:firstLine="560" w:firstLineChars="200"/>
        <w:rPr>
          <w:sz w:val="28"/>
          <w:szCs w:val="28"/>
        </w:rPr>
      </w:pPr>
      <w:r>
        <w:rPr>
          <w:rFonts w:hint="eastAsia"/>
          <w:sz w:val="28"/>
          <w:szCs w:val="28"/>
        </w:rPr>
        <w:t>委托方提供的《房地产权登记信息》等资料未显示估价对象存在抵押权，除此之外，委托方提供的相关资料及估价人员现场查勘未发现估价对象存在担保、租赁等其他他项权利。</w:t>
      </w:r>
    </w:p>
    <w:p>
      <w:pPr>
        <w:spacing w:line="520" w:lineRule="exact"/>
        <w:ind w:firstLine="560" w:firstLineChars="200"/>
        <w:rPr>
          <w:sz w:val="28"/>
          <w:szCs w:val="28"/>
        </w:rPr>
      </w:pPr>
    </w:p>
    <w:p>
      <w:pPr>
        <w:spacing w:line="520" w:lineRule="exact"/>
        <w:ind w:firstLine="562" w:firstLineChars="200"/>
        <w:rPr>
          <w:b/>
          <w:sz w:val="28"/>
          <w:szCs w:val="28"/>
        </w:rPr>
      </w:pPr>
      <w:r>
        <w:rPr>
          <w:rFonts w:hint="eastAsia"/>
          <w:b/>
          <w:sz w:val="28"/>
          <w:szCs w:val="28"/>
        </w:rPr>
        <w:t>估价对象2：镜湖区平湖秋月</w:t>
      </w:r>
      <w:r>
        <w:rPr>
          <w:b/>
          <w:sz w:val="28"/>
          <w:szCs w:val="28"/>
        </w:rPr>
        <w:t>29#楼1-501室</w:t>
      </w:r>
    </w:p>
    <w:p>
      <w:pPr>
        <w:spacing w:line="520" w:lineRule="exact"/>
        <w:ind w:firstLine="560" w:firstLineChars="200"/>
        <w:rPr>
          <w:sz w:val="28"/>
          <w:szCs w:val="28"/>
        </w:rPr>
      </w:pPr>
      <w:r>
        <w:rPr>
          <w:rFonts w:hint="eastAsia" w:ascii="仿宋_GB2312" w:eastAsia="仿宋_GB2312"/>
          <w:sz w:val="28"/>
          <w:szCs w:val="28"/>
        </w:rPr>
        <w:t>1</w:t>
      </w:r>
      <w:r>
        <w:rPr>
          <w:rFonts w:hint="eastAsia"/>
          <w:sz w:val="28"/>
          <w:szCs w:val="28"/>
        </w:rPr>
        <w:t>、区位状况</w:t>
      </w:r>
    </w:p>
    <w:p>
      <w:pPr>
        <w:spacing w:line="520" w:lineRule="exact"/>
        <w:ind w:firstLine="560" w:firstLineChars="200"/>
        <w:rPr>
          <w:sz w:val="28"/>
          <w:szCs w:val="28"/>
        </w:rPr>
      </w:pPr>
      <w:r>
        <w:rPr>
          <w:rFonts w:hint="eastAsia"/>
          <w:sz w:val="28"/>
          <w:szCs w:val="28"/>
        </w:rPr>
        <w:t>（1）坐落</w:t>
      </w:r>
    </w:p>
    <w:p>
      <w:pPr>
        <w:spacing w:line="520" w:lineRule="exact"/>
        <w:ind w:firstLine="560" w:firstLineChars="200"/>
        <w:rPr>
          <w:sz w:val="28"/>
          <w:szCs w:val="28"/>
        </w:rPr>
      </w:pPr>
      <w:r>
        <w:rPr>
          <w:rFonts w:hint="eastAsia"/>
          <w:sz w:val="28"/>
          <w:szCs w:val="28"/>
        </w:rPr>
        <w:t>估价对象位于芜湖市镜湖区黄山东路以南、平湖路以西。</w:t>
      </w:r>
    </w:p>
    <w:p>
      <w:pPr>
        <w:spacing w:line="520" w:lineRule="exact"/>
        <w:ind w:firstLine="560" w:firstLineChars="200"/>
        <w:rPr>
          <w:sz w:val="28"/>
          <w:szCs w:val="28"/>
        </w:rPr>
      </w:pPr>
      <w:r>
        <w:rPr>
          <w:rFonts w:hint="eastAsia"/>
          <w:sz w:val="28"/>
          <w:szCs w:val="28"/>
        </w:rPr>
        <w:t>（2）楼层</w:t>
      </w:r>
    </w:p>
    <w:p>
      <w:pPr>
        <w:spacing w:line="520" w:lineRule="exact"/>
        <w:ind w:firstLine="560" w:firstLineChars="200"/>
        <w:rPr>
          <w:sz w:val="28"/>
          <w:szCs w:val="28"/>
        </w:rPr>
      </w:pPr>
      <w:r>
        <w:rPr>
          <w:rFonts w:hint="eastAsia"/>
          <w:sz w:val="28"/>
          <w:szCs w:val="28"/>
        </w:rPr>
        <w:t>估价对象所在建筑物共18层，估价对象位于第5层。</w:t>
      </w:r>
    </w:p>
    <w:p>
      <w:pPr>
        <w:spacing w:line="520" w:lineRule="exact"/>
        <w:ind w:firstLine="560" w:firstLineChars="200"/>
        <w:rPr>
          <w:color w:val="auto"/>
          <w:sz w:val="28"/>
          <w:szCs w:val="28"/>
        </w:rPr>
      </w:pPr>
      <w:r>
        <w:rPr>
          <w:rFonts w:hint="eastAsia"/>
          <w:sz w:val="28"/>
          <w:szCs w:val="28"/>
        </w:rPr>
        <w:t>（3）交通</w:t>
      </w:r>
    </w:p>
    <w:p>
      <w:pPr>
        <w:spacing w:line="520" w:lineRule="exact"/>
        <w:ind w:firstLine="560" w:firstLineChars="200"/>
        <w:rPr>
          <w:color w:val="auto"/>
          <w:sz w:val="28"/>
          <w:szCs w:val="28"/>
        </w:rPr>
      </w:pPr>
      <w:r>
        <w:rPr>
          <w:rFonts w:hint="eastAsia"/>
          <w:color w:val="auto"/>
          <w:sz w:val="28"/>
          <w:szCs w:val="28"/>
        </w:rPr>
        <w:t>估价对象周围有黄山东路、平湖路、戈江路等交通干道，道路通达度较好，路网密集度较好，有34路、104路、38路、15路等多条公交线路，交通便捷度较好。</w:t>
      </w:r>
    </w:p>
    <w:p>
      <w:pPr>
        <w:spacing w:line="520" w:lineRule="exact"/>
        <w:ind w:firstLine="560" w:firstLineChars="200"/>
        <w:rPr>
          <w:sz w:val="28"/>
          <w:szCs w:val="28"/>
        </w:rPr>
      </w:pPr>
      <w:r>
        <w:rPr>
          <w:rFonts w:hint="eastAsia"/>
          <w:sz w:val="28"/>
          <w:szCs w:val="28"/>
        </w:rPr>
        <w:t>（4）环境及配套设施</w:t>
      </w:r>
    </w:p>
    <w:p>
      <w:pPr>
        <w:spacing w:line="520" w:lineRule="exact"/>
        <w:ind w:firstLine="560" w:firstLineChars="200"/>
        <w:rPr>
          <w:sz w:val="28"/>
          <w:szCs w:val="28"/>
        </w:rPr>
      </w:pPr>
      <w:r>
        <w:rPr>
          <w:rFonts w:hint="eastAsia"/>
          <w:color w:val="auto"/>
          <w:sz w:val="28"/>
        </w:rPr>
        <w:t>估价对象位于芜湖市</w:t>
      </w:r>
      <w:r>
        <w:rPr>
          <w:rFonts w:hint="eastAsia"/>
          <w:sz w:val="28"/>
          <w:szCs w:val="28"/>
        </w:rPr>
        <w:t>镜湖区</w:t>
      </w:r>
      <w:r>
        <w:rPr>
          <w:rFonts w:hint="eastAsia"/>
          <w:color w:val="auto"/>
          <w:sz w:val="28"/>
        </w:rPr>
        <w:t>,周围交通路网密集度较好，道路通达度较好，交通便捷度较好。有西洋里社区、雅乐苑南区、东方龙城等多处居住社区，有皖南医学院第二附属医院、芜湖市第二人民医院、芜湖市第三人民医院、芜湖市第二十七中学东方龙城分校、芜湖市第十四中学、环城南路幼儿园、万达广场（镜湖店）、鼎湖1876·国际商业广场、中国工商银行、徽商银行、中国邮政储蓄银行、交通银行、西洋湖公园等配套设施，周围配套设施齐全，居住人口较多，整体环境较好。</w:t>
      </w:r>
    </w:p>
    <w:p>
      <w:pPr>
        <w:spacing w:line="520" w:lineRule="exact"/>
        <w:rPr>
          <w:rFonts w:ascii="仿宋_GB2312" w:eastAsia="仿宋_GB2312"/>
          <w:sz w:val="28"/>
          <w:szCs w:val="28"/>
        </w:rPr>
      </w:pPr>
      <w:r>
        <w:rPr>
          <w:rFonts w:hint="eastAsia" w:ascii="仿宋_GB2312" w:eastAsia="仿宋_GB2312"/>
          <w:sz w:val="28"/>
          <w:szCs w:val="28"/>
        </w:rPr>
        <w:t xml:space="preserve">  </w:t>
      </w:r>
      <w:r>
        <w:rPr>
          <w:rFonts w:hint="eastAsia"/>
          <w:sz w:val="28"/>
          <w:szCs w:val="28"/>
        </w:rPr>
        <w:t xml:space="preserve">   2、实物状况</w:t>
      </w:r>
    </w:p>
    <w:p>
      <w:pPr>
        <w:spacing w:line="520" w:lineRule="exact"/>
        <w:ind w:firstLine="560" w:firstLineChars="200"/>
        <w:rPr>
          <w:sz w:val="28"/>
          <w:szCs w:val="28"/>
        </w:rPr>
      </w:pPr>
      <w:r>
        <w:rPr>
          <w:rFonts w:hint="eastAsia"/>
          <w:sz w:val="28"/>
          <w:szCs w:val="28"/>
        </w:rPr>
        <w:t>外墙：涂料；</w:t>
      </w:r>
    </w:p>
    <w:p>
      <w:pPr>
        <w:spacing w:line="520" w:lineRule="exact"/>
        <w:ind w:firstLine="560" w:firstLineChars="200"/>
        <w:rPr>
          <w:sz w:val="28"/>
          <w:szCs w:val="28"/>
        </w:rPr>
      </w:pPr>
      <w:r>
        <w:rPr>
          <w:rFonts w:hint="eastAsia"/>
          <w:sz w:val="28"/>
          <w:szCs w:val="28"/>
        </w:rPr>
        <w:t>内装修：未进入，设定为普通装修；</w:t>
      </w:r>
    </w:p>
    <w:p>
      <w:pPr>
        <w:spacing w:line="530" w:lineRule="exact"/>
        <w:ind w:firstLine="560" w:firstLineChars="200"/>
        <w:rPr>
          <w:sz w:val="28"/>
          <w:szCs w:val="28"/>
        </w:rPr>
      </w:pPr>
      <w:r>
        <w:rPr>
          <w:rFonts w:hint="eastAsia"/>
          <w:sz w:val="28"/>
          <w:szCs w:val="28"/>
        </w:rPr>
        <w:t>门窗：防盗门、铝合金外窗；</w:t>
      </w:r>
    </w:p>
    <w:p>
      <w:pPr>
        <w:spacing w:line="530" w:lineRule="exact"/>
        <w:ind w:firstLine="560" w:firstLineChars="200"/>
        <w:rPr>
          <w:sz w:val="28"/>
          <w:szCs w:val="28"/>
        </w:rPr>
      </w:pPr>
      <w:r>
        <w:rPr>
          <w:rFonts w:hint="eastAsia"/>
          <w:sz w:val="28"/>
          <w:szCs w:val="28"/>
        </w:rPr>
        <w:t>维护状况：设定为一般；</w:t>
      </w:r>
    </w:p>
    <w:p>
      <w:pPr>
        <w:spacing w:line="530" w:lineRule="exact"/>
        <w:ind w:firstLine="560" w:firstLineChars="200"/>
        <w:rPr>
          <w:sz w:val="28"/>
          <w:szCs w:val="28"/>
        </w:rPr>
      </w:pPr>
      <w:r>
        <w:rPr>
          <w:rFonts w:hint="eastAsia"/>
          <w:sz w:val="28"/>
          <w:szCs w:val="28"/>
        </w:rPr>
        <w:t>利用状况：设定为一般。</w:t>
      </w:r>
    </w:p>
    <w:p>
      <w:pPr>
        <w:spacing w:line="530" w:lineRule="exact"/>
        <w:ind w:firstLine="560" w:firstLineChars="200"/>
        <w:rPr>
          <w:sz w:val="28"/>
          <w:szCs w:val="28"/>
        </w:rPr>
      </w:pPr>
      <w:r>
        <w:rPr>
          <w:rFonts w:hint="eastAsia"/>
          <w:sz w:val="28"/>
          <w:szCs w:val="28"/>
        </w:rPr>
        <w:t>具体情况详见《估价对象现状照片》。</w:t>
      </w:r>
    </w:p>
    <w:p>
      <w:pPr>
        <w:spacing w:line="520" w:lineRule="exact"/>
        <w:ind w:firstLine="560" w:firstLineChars="200"/>
        <w:rPr>
          <w:sz w:val="28"/>
          <w:szCs w:val="28"/>
        </w:rPr>
      </w:pPr>
      <w:r>
        <w:rPr>
          <w:rFonts w:hint="eastAsia"/>
          <w:sz w:val="28"/>
          <w:szCs w:val="28"/>
        </w:rPr>
        <w:t>3、权益状况</w:t>
      </w:r>
    </w:p>
    <w:p>
      <w:pPr>
        <w:spacing w:line="520" w:lineRule="exact"/>
        <w:ind w:firstLine="560" w:firstLineChars="200"/>
        <w:rPr>
          <w:sz w:val="28"/>
          <w:szCs w:val="28"/>
        </w:rPr>
      </w:pPr>
      <w:r>
        <w:rPr>
          <w:rFonts w:hint="eastAsia"/>
          <w:sz w:val="28"/>
          <w:szCs w:val="28"/>
        </w:rPr>
        <w:t>（1）房屋权益状况</w:t>
      </w:r>
    </w:p>
    <w:p>
      <w:pPr>
        <w:spacing w:after="156" w:afterLines="50" w:line="500" w:lineRule="exact"/>
        <w:jc w:val="center"/>
        <w:rPr>
          <w:b/>
          <w:snapToGrid w:val="0"/>
          <w:kern w:val="0"/>
          <w:sz w:val="28"/>
          <w:szCs w:val="20"/>
        </w:rPr>
      </w:pPr>
      <w:r>
        <w:rPr>
          <w:rFonts w:hint="eastAsia"/>
          <w:b/>
          <w:snapToGrid w:val="0"/>
          <w:kern w:val="0"/>
          <w:sz w:val="28"/>
          <w:szCs w:val="20"/>
        </w:rPr>
        <w:t>房地产状况明细表</w:t>
      </w:r>
    </w:p>
    <w:tbl>
      <w:tblPr>
        <w:tblStyle w:val="28"/>
        <w:tblW w:w="5000" w:type="pct"/>
        <w:tblInd w:w="0" w:type="dxa"/>
        <w:tblLayout w:type="autofit"/>
        <w:tblCellMar>
          <w:top w:w="0" w:type="dxa"/>
          <w:left w:w="108" w:type="dxa"/>
          <w:bottom w:w="0" w:type="dxa"/>
          <w:right w:w="108" w:type="dxa"/>
        </w:tblCellMar>
      </w:tblPr>
      <w:tblGrid>
        <w:gridCol w:w="1226"/>
        <w:gridCol w:w="2994"/>
        <w:gridCol w:w="1501"/>
        <w:gridCol w:w="774"/>
        <w:gridCol w:w="811"/>
        <w:gridCol w:w="811"/>
        <w:gridCol w:w="1204"/>
      </w:tblGrid>
      <w:tr>
        <w:tblPrEx>
          <w:tblCellMar>
            <w:top w:w="0" w:type="dxa"/>
            <w:left w:w="108" w:type="dxa"/>
            <w:bottom w:w="0" w:type="dxa"/>
            <w:right w:w="108" w:type="dxa"/>
          </w:tblCellMar>
        </w:tblPrEx>
        <w:trPr>
          <w:trHeight w:val="499" w:hRule="atLeast"/>
        </w:trPr>
        <w:tc>
          <w:tcPr>
            <w:tcW w:w="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sz w:val="20"/>
                <w:szCs w:val="20"/>
              </w:rPr>
            </w:pPr>
            <w:r>
              <w:rPr>
                <w:rFonts w:hint="eastAsia"/>
                <w:b/>
                <w:sz w:val="20"/>
                <w:szCs w:val="20"/>
              </w:rPr>
              <w:t>房屋所有权人</w:t>
            </w:r>
          </w:p>
        </w:tc>
        <w:tc>
          <w:tcPr>
            <w:tcW w:w="1606" w:type="pct"/>
            <w:tcBorders>
              <w:top w:val="single" w:color="auto" w:sz="4" w:space="0"/>
              <w:left w:val="nil"/>
              <w:bottom w:val="single" w:color="auto" w:sz="4" w:space="0"/>
              <w:right w:val="single" w:color="auto" w:sz="4" w:space="0"/>
            </w:tcBorders>
            <w:shd w:val="clear" w:color="auto" w:fill="auto"/>
            <w:vAlign w:val="center"/>
          </w:tcPr>
          <w:p>
            <w:pPr>
              <w:widowControl/>
              <w:jc w:val="center"/>
              <w:rPr>
                <w:b/>
                <w:sz w:val="20"/>
                <w:szCs w:val="20"/>
              </w:rPr>
            </w:pPr>
            <w:r>
              <w:rPr>
                <w:rFonts w:hint="eastAsia"/>
                <w:b/>
                <w:sz w:val="20"/>
                <w:szCs w:val="20"/>
              </w:rPr>
              <w:t>不动产权证书号</w:t>
            </w:r>
          </w:p>
        </w:tc>
        <w:tc>
          <w:tcPr>
            <w:tcW w:w="805" w:type="pct"/>
            <w:tcBorders>
              <w:top w:val="single" w:color="auto" w:sz="4" w:space="0"/>
              <w:left w:val="nil"/>
              <w:bottom w:val="single" w:color="auto" w:sz="4" w:space="0"/>
              <w:right w:val="single" w:color="auto" w:sz="4" w:space="0"/>
            </w:tcBorders>
            <w:shd w:val="clear" w:color="auto" w:fill="auto"/>
            <w:vAlign w:val="center"/>
          </w:tcPr>
          <w:p>
            <w:pPr>
              <w:widowControl/>
              <w:jc w:val="center"/>
              <w:rPr>
                <w:b/>
                <w:sz w:val="20"/>
                <w:szCs w:val="20"/>
              </w:rPr>
            </w:pPr>
            <w:r>
              <w:rPr>
                <w:rFonts w:hint="eastAsia"/>
                <w:b/>
                <w:sz w:val="20"/>
                <w:szCs w:val="20"/>
              </w:rPr>
              <w:t>坐落</w:t>
            </w:r>
          </w:p>
        </w:tc>
        <w:tc>
          <w:tcPr>
            <w:tcW w:w="415" w:type="pct"/>
            <w:tcBorders>
              <w:top w:val="single" w:color="auto" w:sz="4" w:space="0"/>
              <w:left w:val="nil"/>
              <w:bottom w:val="single" w:color="auto" w:sz="4" w:space="0"/>
              <w:right w:val="single" w:color="auto" w:sz="4" w:space="0"/>
            </w:tcBorders>
            <w:shd w:val="clear" w:color="auto" w:fill="auto"/>
            <w:vAlign w:val="center"/>
          </w:tcPr>
          <w:p>
            <w:pPr>
              <w:widowControl/>
              <w:jc w:val="center"/>
              <w:rPr>
                <w:b/>
                <w:sz w:val="20"/>
                <w:szCs w:val="20"/>
              </w:rPr>
            </w:pPr>
            <w:r>
              <w:rPr>
                <w:rFonts w:hint="eastAsia"/>
                <w:b/>
                <w:sz w:val="20"/>
                <w:szCs w:val="20"/>
              </w:rPr>
              <w:t>结构</w:t>
            </w:r>
          </w:p>
        </w:tc>
        <w:tc>
          <w:tcPr>
            <w:tcW w:w="435" w:type="pct"/>
            <w:tcBorders>
              <w:top w:val="single" w:color="auto" w:sz="4" w:space="0"/>
              <w:left w:val="nil"/>
              <w:bottom w:val="single" w:color="auto" w:sz="4" w:space="0"/>
              <w:right w:val="single" w:color="auto" w:sz="4" w:space="0"/>
            </w:tcBorders>
            <w:shd w:val="clear" w:color="auto" w:fill="auto"/>
            <w:vAlign w:val="center"/>
          </w:tcPr>
          <w:p>
            <w:pPr>
              <w:widowControl/>
              <w:jc w:val="center"/>
              <w:rPr>
                <w:b/>
                <w:sz w:val="20"/>
                <w:szCs w:val="20"/>
              </w:rPr>
            </w:pPr>
            <w:r>
              <w:rPr>
                <w:rFonts w:hint="eastAsia"/>
                <w:b/>
                <w:sz w:val="20"/>
                <w:szCs w:val="20"/>
              </w:rPr>
              <w:t>楼层</w:t>
            </w:r>
          </w:p>
        </w:tc>
        <w:tc>
          <w:tcPr>
            <w:tcW w:w="435" w:type="pct"/>
            <w:tcBorders>
              <w:top w:val="single" w:color="auto" w:sz="4" w:space="0"/>
              <w:left w:val="nil"/>
              <w:bottom w:val="single" w:color="auto" w:sz="4" w:space="0"/>
              <w:right w:val="single" w:color="auto" w:sz="4" w:space="0"/>
            </w:tcBorders>
            <w:shd w:val="clear" w:color="auto" w:fill="auto"/>
            <w:vAlign w:val="center"/>
          </w:tcPr>
          <w:p>
            <w:pPr>
              <w:widowControl/>
              <w:jc w:val="center"/>
              <w:rPr>
                <w:b/>
                <w:sz w:val="20"/>
                <w:szCs w:val="20"/>
              </w:rPr>
            </w:pPr>
            <w:r>
              <w:rPr>
                <w:rFonts w:hint="eastAsia"/>
                <w:b/>
                <w:sz w:val="20"/>
                <w:szCs w:val="20"/>
              </w:rPr>
              <w:t>用途</w:t>
            </w:r>
          </w:p>
        </w:tc>
        <w:tc>
          <w:tcPr>
            <w:tcW w:w="647" w:type="pct"/>
            <w:tcBorders>
              <w:top w:val="single" w:color="auto" w:sz="4" w:space="0"/>
              <w:left w:val="nil"/>
              <w:bottom w:val="single" w:color="auto" w:sz="4" w:space="0"/>
              <w:right w:val="single" w:color="auto" w:sz="4" w:space="0"/>
            </w:tcBorders>
            <w:shd w:val="clear" w:color="auto" w:fill="auto"/>
            <w:vAlign w:val="center"/>
          </w:tcPr>
          <w:p>
            <w:pPr>
              <w:widowControl/>
              <w:jc w:val="center"/>
              <w:rPr>
                <w:b/>
                <w:sz w:val="20"/>
                <w:szCs w:val="20"/>
              </w:rPr>
            </w:pPr>
            <w:r>
              <w:rPr>
                <w:rFonts w:hint="eastAsia"/>
                <w:b/>
                <w:sz w:val="20"/>
                <w:szCs w:val="20"/>
              </w:rPr>
              <w:t>建筑面积（㎡）</w:t>
            </w:r>
          </w:p>
        </w:tc>
      </w:tr>
      <w:tr>
        <w:trPr>
          <w:trHeight w:val="1080" w:hRule="atLeast"/>
        </w:trPr>
        <w:tc>
          <w:tcPr>
            <w:tcW w:w="658" w:type="pct"/>
            <w:tcBorders>
              <w:top w:val="nil"/>
              <w:left w:val="single" w:color="auto" w:sz="4" w:space="0"/>
              <w:bottom w:val="single" w:color="auto" w:sz="4" w:space="0"/>
              <w:right w:val="single" w:color="auto" w:sz="4" w:space="0"/>
            </w:tcBorders>
            <w:shd w:val="clear" w:color="auto" w:fill="auto"/>
            <w:vAlign w:val="center"/>
          </w:tcPr>
          <w:p>
            <w:pPr>
              <w:widowControl/>
              <w:jc w:val="center"/>
              <w:rPr>
                <w:sz w:val="20"/>
                <w:szCs w:val="20"/>
              </w:rPr>
            </w:pPr>
            <w:r>
              <w:rPr>
                <w:rFonts w:hint="eastAsia"/>
                <w:sz w:val="20"/>
                <w:szCs w:val="20"/>
              </w:rPr>
              <w:t>于睿、石帆</w:t>
            </w:r>
          </w:p>
        </w:tc>
        <w:tc>
          <w:tcPr>
            <w:tcW w:w="1606" w:type="pct"/>
            <w:tcBorders>
              <w:top w:val="nil"/>
              <w:left w:val="nil"/>
              <w:bottom w:val="single" w:color="auto" w:sz="4" w:space="0"/>
              <w:right w:val="single" w:color="auto" w:sz="4" w:space="0"/>
            </w:tcBorders>
            <w:shd w:val="clear" w:color="auto" w:fill="auto"/>
            <w:vAlign w:val="center"/>
          </w:tcPr>
          <w:p>
            <w:pPr>
              <w:widowControl/>
              <w:jc w:val="center"/>
              <w:rPr>
                <w:sz w:val="20"/>
                <w:szCs w:val="20"/>
              </w:rPr>
            </w:pPr>
            <w:r>
              <w:rPr>
                <w:rFonts w:hint="eastAsia"/>
                <w:sz w:val="20"/>
                <w:szCs w:val="20"/>
              </w:rPr>
              <w:t>皖（2016）芜湖市不动产权第0101373号、皖（2016）芜湖市不动产权第0101374号</w:t>
            </w:r>
          </w:p>
        </w:tc>
        <w:tc>
          <w:tcPr>
            <w:tcW w:w="805" w:type="pct"/>
            <w:tcBorders>
              <w:top w:val="nil"/>
              <w:left w:val="nil"/>
              <w:bottom w:val="single" w:color="auto" w:sz="4" w:space="0"/>
              <w:right w:val="single" w:color="auto" w:sz="4" w:space="0"/>
            </w:tcBorders>
            <w:shd w:val="clear" w:color="auto" w:fill="auto"/>
            <w:vAlign w:val="center"/>
          </w:tcPr>
          <w:p>
            <w:pPr>
              <w:widowControl/>
              <w:jc w:val="center"/>
              <w:rPr>
                <w:sz w:val="20"/>
                <w:szCs w:val="20"/>
              </w:rPr>
            </w:pPr>
            <w:r>
              <w:rPr>
                <w:rFonts w:hint="eastAsia"/>
                <w:sz w:val="20"/>
                <w:szCs w:val="20"/>
              </w:rPr>
              <w:t>镜湖区平湖秋月29#楼1-501室</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sz w:val="20"/>
                <w:szCs w:val="20"/>
              </w:rPr>
            </w:pPr>
            <w:r>
              <w:rPr>
                <w:rFonts w:hint="eastAsia"/>
                <w:sz w:val="20"/>
                <w:szCs w:val="20"/>
              </w:rPr>
              <w:t>钢混</w:t>
            </w:r>
          </w:p>
        </w:tc>
        <w:tc>
          <w:tcPr>
            <w:tcW w:w="435" w:type="pct"/>
            <w:tcBorders>
              <w:top w:val="nil"/>
              <w:left w:val="nil"/>
              <w:bottom w:val="single" w:color="auto" w:sz="4" w:space="0"/>
              <w:right w:val="single" w:color="auto" w:sz="4" w:space="0"/>
            </w:tcBorders>
            <w:shd w:val="clear" w:color="auto" w:fill="auto"/>
            <w:vAlign w:val="center"/>
          </w:tcPr>
          <w:p>
            <w:pPr>
              <w:widowControl/>
              <w:jc w:val="center"/>
              <w:rPr>
                <w:sz w:val="20"/>
                <w:szCs w:val="20"/>
              </w:rPr>
            </w:pPr>
            <w:r>
              <w:rPr>
                <w:rFonts w:hint="eastAsia"/>
                <w:sz w:val="20"/>
                <w:szCs w:val="20"/>
              </w:rPr>
              <w:t>5/18F</w:t>
            </w:r>
          </w:p>
        </w:tc>
        <w:tc>
          <w:tcPr>
            <w:tcW w:w="435" w:type="pct"/>
            <w:tcBorders>
              <w:top w:val="nil"/>
              <w:left w:val="nil"/>
              <w:bottom w:val="single" w:color="auto" w:sz="4" w:space="0"/>
              <w:right w:val="single" w:color="auto" w:sz="4" w:space="0"/>
            </w:tcBorders>
            <w:shd w:val="clear" w:color="auto" w:fill="auto"/>
            <w:vAlign w:val="center"/>
          </w:tcPr>
          <w:p>
            <w:pPr>
              <w:widowControl/>
              <w:jc w:val="center"/>
              <w:rPr>
                <w:sz w:val="20"/>
                <w:szCs w:val="20"/>
              </w:rPr>
            </w:pPr>
            <w:r>
              <w:rPr>
                <w:rFonts w:hint="eastAsia"/>
                <w:sz w:val="20"/>
                <w:szCs w:val="20"/>
              </w:rPr>
              <w:t>住宅</w:t>
            </w:r>
          </w:p>
        </w:tc>
        <w:tc>
          <w:tcPr>
            <w:tcW w:w="647" w:type="pct"/>
            <w:tcBorders>
              <w:top w:val="nil"/>
              <w:left w:val="nil"/>
              <w:bottom w:val="single" w:color="auto" w:sz="4" w:space="0"/>
              <w:right w:val="single" w:color="auto" w:sz="4" w:space="0"/>
            </w:tcBorders>
            <w:shd w:val="clear" w:color="auto" w:fill="auto"/>
            <w:vAlign w:val="center"/>
          </w:tcPr>
          <w:p>
            <w:pPr>
              <w:widowControl/>
              <w:jc w:val="center"/>
              <w:rPr>
                <w:sz w:val="20"/>
                <w:szCs w:val="20"/>
              </w:rPr>
            </w:pPr>
            <w:r>
              <w:rPr>
                <w:rFonts w:hint="eastAsia"/>
                <w:sz w:val="20"/>
                <w:szCs w:val="20"/>
              </w:rPr>
              <w:t>186.25</w:t>
            </w:r>
          </w:p>
        </w:tc>
      </w:tr>
    </w:tbl>
    <w:p>
      <w:pPr>
        <w:spacing w:line="520" w:lineRule="exact"/>
        <w:ind w:firstLine="560" w:firstLineChars="200"/>
        <w:rPr>
          <w:sz w:val="28"/>
          <w:szCs w:val="28"/>
        </w:rPr>
      </w:pPr>
      <w:r>
        <w:rPr>
          <w:rFonts w:hint="eastAsia"/>
          <w:sz w:val="28"/>
          <w:szCs w:val="28"/>
        </w:rPr>
        <w:t>（2）土地权益状况</w:t>
      </w:r>
    </w:p>
    <w:p>
      <w:pPr>
        <w:spacing w:line="520" w:lineRule="exact"/>
        <w:ind w:firstLine="560" w:firstLineChars="200"/>
        <w:rPr>
          <w:sz w:val="28"/>
          <w:szCs w:val="28"/>
        </w:rPr>
      </w:pPr>
      <w:r>
        <w:rPr>
          <w:rFonts w:hint="eastAsia"/>
          <w:color w:val="auto"/>
          <w:sz w:val="28"/>
          <w:szCs w:val="28"/>
        </w:rPr>
        <w:t>委托方</w:t>
      </w:r>
      <w:r>
        <w:rPr>
          <w:color w:val="auto"/>
          <w:sz w:val="28"/>
          <w:szCs w:val="28"/>
        </w:rPr>
        <w:t>提供的</w:t>
      </w:r>
      <w:r>
        <w:rPr>
          <w:rFonts w:hint="eastAsia"/>
          <w:sz w:val="28"/>
          <w:szCs w:val="28"/>
        </w:rPr>
        <w:t>《房地产权登记信息》，</w:t>
      </w:r>
      <w:r>
        <w:rPr>
          <w:rFonts w:hint="eastAsia"/>
          <w:color w:val="auto"/>
          <w:sz w:val="28"/>
          <w:szCs w:val="28"/>
        </w:rPr>
        <w:t>估价对象所在宗地土地使用期限为2005年2月28日起2055年2月27日</w:t>
      </w:r>
      <w:r>
        <w:rPr>
          <w:rFonts w:hint="eastAsia"/>
          <w:sz w:val="28"/>
          <w:szCs w:val="28"/>
        </w:rPr>
        <w:t>。依据估价人员现场查勘，估价对象所在宗地地势平坦，形状较规则，实际开发程度为宗地外“六通”（通路、通电、供水、排水、通讯、通燃气），宗地内场地平整。</w:t>
      </w:r>
    </w:p>
    <w:p>
      <w:pPr>
        <w:spacing w:line="520" w:lineRule="exact"/>
        <w:ind w:firstLine="560" w:firstLineChars="200"/>
        <w:rPr>
          <w:sz w:val="28"/>
          <w:szCs w:val="28"/>
        </w:rPr>
      </w:pPr>
      <w:r>
        <w:rPr>
          <w:rFonts w:hint="eastAsia"/>
          <w:sz w:val="28"/>
          <w:szCs w:val="28"/>
        </w:rPr>
        <w:t>（3）他项权利状况</w:t>
      </w:r>
    </w:p>
    <w:p>
      <w:pPr>
        <w:spacing w:line="520" w:lineRule="exact"/>
        <w:ind w:firstLine="560" w:firstLineChars="200"/>
        <w:rPr>
          <w:sz w:val="28"/>
          <w:szCs w:val="28"/>
        </w:rPr>
      </w:pPr>
      <w:r>
        <w:rPr>
          <w:rFonts w:hint="eastAsia"/>
          <w:sz w:val="28"/>
          <w:szCs w:val="28"/>
        </w:rPr>
        <w:t>委托方提供的《房地产权登记信息》等资料未显示估价对象存在抵押权，除此之外，委托方提供的相关资料及估价人员现场查勘未发现估价对象存在担保、租赁等其他他项权利。</w:t>
      </w:r>
    </w:p>
    <w:p>
      <w:pPr>
        <w:spacing w:line="520" w:lineRule="exact"/>
        <w:ind w:firstLine="562" w:firstLineChars="200"/>
        <w:rPr>
          <w:b/>
          <w:sz w:val="28"/>
          <w:szCs w:val="28"/>
        </w:rPr>
      </w:pPr>
      <w:r>
        <w:rPr>
          <w:rFonts w:hint="eastAsia"/>
          <w:b/>
          <w:sz w:val="28"/>
          <w:szCs w:val="28"/>
        </w:rPr>
        <w:t>估价对象3：镜湖区华强广场</w:t>
      </w:r>
      <w:r>
        <w:rPr>
          <w:b/>
          <w:sz w:val="28"/>
          <w:szCs w:val="28"/>
        </w:rPr>
        <w:t>6#楼1单元2501室</w:t>
      </w:r>
    </w:p>
    <w:p>
      <w:pPr>
        <w:spacing w:line="520" w:lineRule="exact"/>
        <w:ind w:firstLine="560" w:firstLineChars="200"/>
        <w:rPr>
          <w:sz w:val="28"/>
          <w:szCs w:val="28"/>
        </w:rPr>
      </w:pPr>
      <w:r>
        <w:rPr>
          <w:rFonts w:hint="eastAsia" w:ascii="仿宋_GB2312" w:eastAsia="仿宋_GB2312"/>
          <w:sz w:val="28"/>
          <w:szCs w:val="28"/>
        </w:rPr>
        <w:t>1</w:t>
      </w:r>
      <w:r>
        <w:rPr>
          <w:rFonts w:hint="eastAsia"/>
          <w:sz w:val="28"/>
          <w:szCs w:val="28"/>
        </w:rPr>
        <w:t>、区位状况</w:t>
      </w:r>
    </w:p>
    <w:p>
      <w:pPr>
        <w:spacing w:line="520" w:lineRule="exact"/>
        <w:ind w:firstLine="560" w:firstLineChars="200"/>
        <w:rPr>
          <w:sz w:val="28"/>
          <w:szCs w:val="28"/>
        </w:rPr>
      </w:pPr>
      <w:r>
        <w:rPr>
          <w:rFonts w:hint="eastAsia"/>
          <w:sz w:val="28"/>
          <w:szCs w:val="28"/>
        </w:rPr>
        <w:t>（1）坐落</w:t>
      </w:r>
    </w:p>
    <w:p>
      <w:pPr>
        <w:spacing w:line="520" w:lineRule="exact"/>
        <w:ind w:firstLine="560" w:firstLineChars="200"/>
        <w:rPr>
          <w:sz w:val="28"/>
          <w:szCs w:val="28"/>
        </w:rPr>
      </w:pPr>
      <w:r>
        <w:rPr>
          <w:rFonts w:hint="eastAsia"/>
          <w:sz w:val="28"/>
          <w:szCs w:val="28"/>
        </w:rPr>
        <w:t>估价对象位于芜湖市镜湖区芜纺支路以北、长江中路以西。</w:t>
      </w:r>
    </w:p>
    <w:p>
      <w:pPr>
        <w:spacing w:line="520" w:lineRule="exact"/>
        <w:ind w:firstLine="560" w:firstLineChars="200"/>
        <w:rPr>
          <w:sz w:val="28"/>
          <w:szCs w:val="28"/>
        </w:rPr>
      </w:pPr>
      <w:r>
        <w:rPr>
          <w:rFonts w:hint="eastAsia"/>
          <w:sz w:val="28"/>
          <w:szCs w:val="28"/>
        </w:rPr>
        <w:t>（2）楼层</w:t>
      </w:r>
    </w:p>
    <w:p>
      <w:pPr>
        <w:spacing w:line="520" w:lineRule="exact"/>
        <w:ind w:firstLine="560" w:firstLineChars="200"/>
        <w:rPr>
          <w:sz w:val="28"/>
          <w:szCs w:val="28"/>
        </w:rPr>
      </w:pPr>
      <w:r>
        <w:rPr>
          <w:rFonts w:hint="eastAsia"/>
          <w:sz w:val="28"/>
          <w:szCs w:val="28"/>
        </w:rPr>
        <w:t>估价对象所在建筑物共34层，估价对象位于第25层。</w:t>
      </w:r>
    </w:p>
    <w:p>
      <w:pPr>
        <w:spacing w:line="520" w:lineRule="exact"/>
        <w:ind w:firstLine="560" w:firstLineChars="200"/>
        <w:rPr>
          <w:color w:val="auto"/>
          <w:sz w:val="28"/>
          <w:szCs w:val="28"/>
        </w:rPr>
      </w:pPr>
      <w:r>
        <w:rPr>
          <w:rFonts w:hint="eastAsia"/>
          <w:sz w:val="28"/>
          <w:szCs w:val="28"/>
        </w:rPr>
        <w:t>（3）交通</w:t>
      </w:r>
    </w:p>
    <w:p>
      <w:pPr>
        <w:spacing w:line="520" w:lineRule="exact"/>
        <w:ind w:firstLine="560" w:firstLineChars="200"/>
        <w:rPr>
          <w:color w:val="auto"/>
          <w:sz w:val="28"/>
          <w:szCs w:val="28"/>
        </w:rPr>
      </w:pPr>
      <w:r>
        <w:rPr>
          <w:rFonts w:hint="eastAsia"/>
          <w:color w:val="auto"/>
          <w:sz w:val="28"/>
          <w:szCs w:val="28"/>
        </w:rPr>
        <w:t>估价对象周围有吉和路、长江中路、银湖南路等交通干道，道路通达度较好，路网密集度较好，有3路、25路、35路、14路、109路、115路等多条公交线路，交通便捷度较好。</w:t>
      </w:r>
    </w:p>
    <w:p>
      <w:pPr>
        <w:spacing w:line="520" w:lineRule="exact"/>
        <w:ind w:firstLine="560" w:firstLineChars="200"/>
        <w:rPr>
          <w:sz w:val="28"/>
          <w:szCs w:val="28"/>
        </w:rPr>
      </w:pPr>
      <w:r>
        <w:rPr>
          <w:rFonts w:hint="eastAsia"/>
          <w:sz w:val="28"/>
          <w:szCs w:val="28"/>
        </w:rPr>
        <w:t>（4）环境及配套设施</w:t>
      </w:r>
    </w:p>
    <w:p>
      <w:pPr>
        <w:spacing w:line="520" w:lineRule="exact"/>
        <w:ind w:firstLine="560" w:firstLineChars="200"/>
        <w:rPr>
          <w:sz w:val="28"/>
          <w:szCs w:val="28"/>
        </w:rPr>
      </w:pPr>
      <w:r>
        <w:rPr>
          <w:rFonts w:hint="eastAsia"/>
          <w:color w:val="auto"/>
          <w:sz w:val="28"/>
        </w:rPr>
        <w:t>估价对象位于芜湖市</w:t>
      </w:r>
      <w:r>
        <w:rPr>
          <w:rFonts w:hint="eastAsia"/>
          <w:sz w:val="28"/>
          <w:szCs w:val="28"/>
        </w:rPr>
        <w:t>镜湖区</w:t>
      </w:r>
      <w:r>
        <w:rPr>
          <w:rFonts w:hint="eastAsia"/>
          <w:color w:val="auto"/>
          <w:sz w:val="28"/>
        </w:rPr>
        <w:t>,周围交通路网密集度较好，道路通达度较好，交通便捷度较好。有东方花园、信达·外滩府、芜湖八佰伴、世茂滨江花园等多处居住社区，有皖江口腔医院、皖南医学院戈矶山医院、芜湖市第十一中学、安徽师范大学附属外国语学校、狮子山小学、世茂商业街、中山路商业步行街、中国农业银行、</w:t>
      </w:r>
      <w:r>
        <w:rPr>
          <w:color w:val="auto"/>
          <w:sz w:val="28"/>
        </w:rPr>
        <w:t>上海浦东发展银行</w:t>
      </w:r>
      <w:r>
        <w:rPr>
          <w:rFonts w:hint="eastAsia"/>
          <w:color w:val="auto"/>
          <w:sz w:val="28"/>
        </w:rPr>
        <w:t>、中国工商银行、中国邮政储蓄银行、兴业银行、芜湖滨江公园、赭山公园、鸠兹风景区等配套设施，周围配套设施齐全，居住人口较多，整体环境较好。</w:t>
      </w:r>
    </w:p>
    <w:p>
      <w:pPr>
        <w:spacing w:line="520" w:lineRule="exact"/>
        <w:rPr>
          <w:rFonts w:ascii="仿宋_GB2312" w:eastAsia="仿宋_GB2312"/>
          <w:sz w:val="28"/>
          <w:szCs w:val="28"/>
        </w:rPr>
      </w:pPr>
      <w:r>
        <w:rPr>
          <w:rFonts w:hint="eastAsia" w:ascii="仿宋_GB2312" w:eastAsia="仿宋_GB2312"/>
          <w:sz w:val="28"/>
          <w:szCs w:val="28"/>
        </w:rPr>
        <w:t xml:space="preserve">  </w:t>
      </w:r>
      <w:r>
        <w:rPr>
          <w:rFonts w:hint="eastAsia"/>
          <w:sz w:val="28"/>
          <w:szCs w:val="28"/>
        </w:rPr>
        <w:t xml:space="preserve">   2、实物状况</w:t>
      </w:r>
    </w:p>
    <w:p>
      <w:pPr>
        <w:spacing w:line="520" w:lineRule="exact"/>
        <w:ind w:firstLine="560" w:firstLineChars="200"/>
        <w:rPr>
          <w:sz w:val="28"/>
          <w:szCs w:val="28"/>
        </w:rPr>
      </w:pPr>
      <w:r>
        <w:rPr>
          <w:rFonts w:hint="eastAsia"/>
          <w:sz w:val="28"/>
          <w:szCs w:val="28"/>
        </w:rPr>
        <w:t>外墙：涂料；</w:t>
      </w:r>
    </w:p>
    <w:p>
      <w:pPr>
        <w:spacing w:line="520" w:lineRule="exact"/>
        <w:ind w:firstLine="560" w:firstLineChars="200"/>
        <w:rPr>
          <w:sz w:val="28"/>
          <w:szCs w:val="28"/>
        </w:rPr>
      </w:pPr>
      <w:r>
        <w:rPr>
          <w:rFonts w:hint="eastAsia"/>
          <w:sz w:val="28"/>
          <w:szCs w:val="28"/>
        </w:rPr>
        <w:t>内装修：未进入，设定为普通装修；</w:t>
      </w:r>
    </w:p>
    <w:p>
      <w:pPr>
        <w:spacing w:line="530" w:lineRule="exact"/>
        <w:ind w:firstLine="560" w:firstLineChars="200"/>
        <w:rPr>
          <w:sz w:val="28"/>
          <w:szCs w:val="28"/>
        </w:rPr>
      </w:pPr>
      <w:r>
        <w:rPr>
          <w:rFonts w:hint="eastAsia"/>
          <w:sz w:val="28"/>
          <w:szCs w:val="28"/>
        </w:rPr>
        <w:t>门窗：防盗门、铝合金外窗；</w:t>
      </w:r>
    </w:p>
    <w:p>
      <w:pPr>
        <w:spacing w:line="530" w:lineRule="exact"/>
        <w:ind w:firstLine="560" w:firstLineChars="200"/>
        <w:rPr>
          <w:sz w:val="28"/>
          <w:szCs w:val="28"/>
        </w:rPr>
      </w:pPr>
      <w:r>
        <w:rPr>
          <w:rFonts w:hint="eastAsia"/>
          <w:sz w:val="28"/>
          <w:szCs w:val="28"/>
        </w:rPr>
        <w:t>维护状况：设定为一般；</w:t>
      </w:r>
    </w:p>
    <w:p>
      <w:pPr>
        <w:spacing w:line="530" w:lineRule="exact"/>
        <w:ind w:firstLine="560" w:firstLineChars="200"/>
        <w:rPr>
          <w:sz w:val="28"/>
          <w:szCs w:val="28"/>
        </w:rPr>
      </w:pPr>
      <w:r>
        <w:rPr>
          <w:rFonts w:hint="eastAsia"/>
          <w:sz w:val="28"/>
          <w:szCs w:val="28"/>
        </w:rPr>
        <w:t>利用状况：设定为一般。</w:t>
      </w:r>
    </w:p>
    <w:p>
      <w:pPr>
        <w:spacing w:line="530" w:lineRule="exact"/>
        <w:ind w:firstLine="560" w:firstLineChars="200"/>
        <w:rPr>
          <w:sz w:val="28"/>
          <w:szCs w:val="28"/>
        </w:rPr>
      </w:pPr>
      <w:r>
        <w:rPr>
          <w:rFonts w:hint="eastAsia"/>
          <w:sz w:val="28"/>
          <w:szCs w:val="28"/>
        </w:rPr>
        <w:t>具体情况详见《估价对象现状照片》。</w:t>
      </w:r>
    </w:p>
    <w:p>
      <w:pPr>
        <w:spacing w:line="520" w:lineRule="exact"/>
        <w:ind w:firstLine="560" w:firstLineChars="200"/>
        <w:rPr>
          <w:sz w:val="28"/>
          <w:szCs w:val="28"/>
        </w:rPr>
      </w:pPr>
      <w:r>
        <w:rPr>
          <w:rFonts w:hint="eastAsia"/>
          <w:sz w:val="28"/>
          <w:szCs w:val="28"/>
        </w:rPr>
        <w:t>3、权益状况</w:t>
      </w:r>
    </w:p>
    <w:p>
      <w:pPr>
        <w:spacing w:line="520" w:lineRule="exact"/>
        <w:ind w:firstLine="560" w:firstLineChars="200"/>
        <w:rPr>
          <w:sz w:val="28"/>
          <w:szCs w:val="28"/>
        </w:rPr>
      </w:pPr>
      <w:r>
        <w:rPr>
          <w:rFonts w:hint="eastAsia"/>
          <w:sz w:val="28"/>
          <w:szCs w:val="28"/>
        </w:rPr>
        <w:t>（1）房屋权益状况</w:t>
      </w:r>
    </w:p>
    <w:p>
      <w:pPr>
        <w:spacing w:after="156" w:afterLines="50" w:line="500" w:lineRule="exact"/>
        <w:jc w:val="center"/>
        <w:rPr>
          <w:b/>
          <w:snapToGrid w:val="0"/>
          <w:kern w:val="0"/>
          <w:sz w:val="28"/>
          <w:szCs w:val="20"/>
        </w:rPr>
      </w:pPr>
      <w:r>
        <w:rPr>
          <w:rFonts w:hint="eastAsia"/>
          <w:b/>
          <w:snapToGrid w:val="0"/>
          <w:kern w:val="0"/>
          <w:sz w:val="28"/>
          <w:szCs w:val="20"/>
        </w:rPr>
        <w:t>房地产状况明细表</w:t>
      </w:r>
    </w:p>
    <w:tbl>
      <w:tblPr>
        <w:tblStyle w:val="28"/>
        <w:tblW w:w="5000" w:type="pct"/>
        <w:tblInd w:w="0" w:type="dxa"/>
        <w:tblLayout w:type="autofit"/>
        <w:tblCellMar>
          <w:top w:w="0" w:type="dxa"/>
          <w:left w:w="108" w:type="dxa"/>
          <w:bottom w:w="0" w:type="dxa"/>
          <w:right w:w="108" w:type="dxa"/>
        </w:tblCellMar>
      </w:tblPr>
      <w:tblGrid>
        <w:gridCol w:w="1226"/>
        <w:gridCol w:w="2569"/>
        <w:gridCol w:w="1920"/>
        <w:gridCol w:w="774"/>
        <w:gridCol w:w="817"/>
        <w:gridCol w:w="811"/>
        <w:gridCol w:w="1204"/>
      </w:tblGrid>
      <w:tr>
        <w:trPr>
          <w:trHeight w:val="499" w:hRule="atLeast"/>
        </w:trPr>
        <w:tc>
          <w:tcPr>
            <w:tcW w:w="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b/>
                <w:color w:val="auto"/>
                <w:kern w:val="0"/>
                <w:sz w:val="20"/>
                <w:szCs w:val="20"/>
              </w:rPr>
            </w:pPr>
            <w:r>
              <w:rPr>
                <w:rFonts w:hint="eastAsia" w:cs="宋体"/>
                <w:b/>
                <w:color w:val="auto"/>
                <w:kern w:val="0"/>
                <w:sz w:val="20"/>
                <w:szCs w:val="20"/>
              </w:rPr>
              <w:t>房屋所有权人</w:t>
            </w:r>
          </w:p>
        </w:tc>
        <w:tc>
          <w:tcPr>
            <w:tcW w:w="137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color w:val="auto"/>
                <w:kern w:val="0"/>
                <w:sz w:val="20"/>
                <w:szCs w:val="20"/>
              </w:rPr>
            </w:pPr>
            <w:r>
              <w:rPr>
                <w:rFonts w:hint="eastAsia" w:cs="宋体"/>
                <w:b/>
                <w:color w:val="auto"/>
                <w:kern w:val="0"/>
                <w:sz w:val="20"/>
                <w:szCs w:val="20"/>
              </w:rPr>
              <w:t>不动产权证书号</w:t>
            </w:r>
          </w:p>
        </w:tc>
        <w:tc>
          <w:tcPr>
            <w:tcW w:w="103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color w:val="auto"/>
                <w:kern w:val="0"/>
                <w:sz w:val="20"/>
                <w:szCs w:val="20"/>
              </w:rPr>
            </w:pPr>
            <w:r>
              <w:rPr>
                <w:rFonts w:hint="eastAsia" w:cs="宋体"/>
                <w:b/>
                <w:color w:val="auto"/>
                <w:kern w:val="0"/>
                <w:sz w:val="20"/>
                <w:szCs w:val="20"/>
              </w:rPr>
              <w:t>坐落</w:t>
            </w:r>
          </w:p>
        </w:tc>
        <w:tc>
          <w:tcPr>
            <w:tcW w:w="41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color w:val="auto"/>
                <w:kern w:val="0"/>
                <w:sz w:val="20"/>
                <w:szCs w:val="20"/>
              </w:rPr>
            </w:pPr>
            <w:r>
              <w:rPr>
                <w:rFonts w:hint="eastAsia" w:cs="宋体"/>
                <w:b/>
                <w:color w:val="auto"/>
                <w:kern w:val="0"/>
                <w:sz w:val="20"/>
                <w:szCs w:val="20"/>
              </w:rPr>
              <w:t>结构</w:t>
            </w:r>
          </w:p>
        </w:tc>
        <w:tc>
          <w:tcPr>
            <w:tcW w:w="4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color w:val="auto"/>
                <w:kern w:val="0"/>
                <w:sz w:val="20"/>
                <w:szCs w:val="20"/>
              </w:rPr>
            </w:pPr>
            <w:r>
              <w:rPr>
                <w:rFonts w:hint="eastAsia" w:cs="宋体"/>
                <w:b/>
                <w:color w:val="auto"/>
                <w:kern w:val="0"/>
                <w:sz w:val="20"/>
                <w:szCs w:val="20"/>
              </w:rPr>
              <w:t>楼层</w:t>
            </w:r>
          </w:p>
        </w:tc>
        <w:tc>
          <w:tcPr>
            <w:tcW w:w="43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color w:val="auto"/>
                <w:kern w:val="0"/>
                <w:sz w:val="20"/>
                <w:szCs w:val="20"/>
              </w:rPr>
            </w:pPr>
            <w:r>
              <w:rPr>
                <w:rFonts w:hint="eastAsia" w:cs="宋体"/>
                <w:b/>
                <w:color w:val="auto"/>
                <w:kern w:val="0"/>
                <w:sz w:val="20"/>
                <w:szCs w:val="20"/>
              </w:rPr>
              <w:t>用途</w:t>
            </w:r>
          </w:p>
        </w:tc>
        <w:tc>
          <w:tcPr>
            <w:tcW w:w="64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color w:val="auto"/>
                <w:kern w:val="0"/>
                <w:sz w:val="20"/>
                <w:szCs w:val="20"/>
              </w:rPr>
            </w:pPr>
            <w:r>
              <w:rPr>
                <w:rFonts w:hint="eastAsia" w:cs="宋体"/>
                <w:b/>
                <w:color w:val="auto"/>
                <w:kern w:val="0"/>
                <w:sz w:val="20"/>
                <w:szCs w:val="20"/>
              </w:rPr>
              <w:t>建筑面积（㎡）</w:t>
            </w:r>
          </w:p>
        </w:tc>
      </w:tr>
      <w:tr>
        <w:trPr>
          <w:trHeight w:val="990" w:hRule="atLeast"/>
        </w:trPr>
        <w:tc>
          <w:tcPr>
            <w:tcW w:w="65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于睿、石帆</w:t>
            </w:r>
          </w:p>
        </w:tc>
        <w:tc>
          <w:tcPr>
            <w:tcW w:w="1378" w:type="pct"/>
            <w:tcBorders>
              <w:top w:val="nil"/>
              <w:left w:val="nil"/>
              <w:bottom w:val="single" w:color="auto" w:sz="4" w:space="0"/>
              <w:right w:val="single" w:color="auto" w:sz="4" w:space="0"/>
            </w:tcBorders>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皖（2016）芜湖市不动产权第0013221号、皖（2016）芜湖市不动产权第0013222号</w:t>
            </w:r>
          </w:p>
        </w:tc>
        <w:tc>
          <w:tcPr>
            <w:tcW w:w="1030" w:type="pct"/>
            <w:tcBorders>
              <w:top w:val="nil"/>
              <w:left w:val="nil"/>
              <w:bottom w:val="single" w:color="auto" w:sz="4" w:space="0"/>
              <w:right w:val="single" w:color="auto" w:sz="4" w:space="0"/>
            </w:tcBorders>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镜湖区华强广场6#楼1单元2501室</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钢混</w:t>
            </w:r>
          </w:p>
        </w:tc>
        <w:tc>
          <w:tcPr>
            <w:tcW w:w="438" w:type="pct"/>
            <w:tcBorders>
              <w:top w:val="nil"/>
              <w:left w:val="nil"/>
              <w:bottom w:val="single" w:color="auto" w:sz="4" w:space="0"/>
              <w:right w:val="single" w:color="auto" w:sz="4" w:space="0"/>
            </w:tcBorders>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25/34F</w:t>
            </w:r>
          </w:p>
        </w:tc>
        <w:tc>
          <w:tcPr>
            <w:tcW w:w="435" w:type="pct"/>
            <w:tcBorders>
              <w:top w:val="nil"/>
              <w:left w:val="nil"/>
              <w:bottom w:val="single" w:color="auto" w:sz="4" w:space="0"/>
              <w:right w:val="single" w:color="auto" w:sz="4" w:space="0"/>
            </w:tcBorders>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住宅</w:t>
            </w:r>
          </w:p>
        </w:tc>
        <w:tc>
          <w:tcPr>
            <w:tcW w:w="647" w:type="pct"/>
            <w:tcBorders>
              <w:top w:val="nil"/>
              <w:left w:val="nil"/>
              <w:bottom w:val="single" w:color="auto" w:sz="4" w:space="0"/>
              <w:right w:val="single" w:color="auto" w:sz="4" w:space="0"/>
            </w:tcBorders>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204.95</w:t>
            </w:r>
          </w:p>
        </w:tc>
      </w:tr>
    </w:tbl>
    <w:p>
      <w:pPr>
        <w:spacing w:line="520" w:lineRule="exact"/>
        <w:ind w:firstLine="560" w:firstLineChars="200"/>
        <w:rPr>
          <w:sz w:val="28"/>
          <w:szCs w:val="28"/>
        </w:rPr>
      </w:pPr>
      <w:r>
        <w:rPr>
          <w:rFonts w:hint="eastAsia"/>
          <w:sz w:val="28"/>
          <w:szCs w:val="28"/>
        </w:rPr>
        <w:t>（2）土地权益状况</w:t>
      </w:r>
    </w:p>
    <w:p>
      <w:pPr>
        <w:spacing w:line="520" w:lineRule="exact"/>
        <w:ind w:firstLine="560" w:firstLineChars="200"/>
        <w:rPr>
          <w:sz w:val="28"/>
          <w:szCs w:val="28"/>
        </w:rPr>
      </w:pPr>
      <w:r>
        <w:rPr>
          <w:rFonts w:hint="eastAsia"/>
          <w:color w:val="auto"/>
          <w:sz w:val="28"/>
          <w:szCs w:val="28"/>
        </w:rPr>
        <w:t>委托方</w:t>
      </w:r>
      <w:r>
        <w:rPr>
          <w:color w:val="auto"/>
          <w:sz w:val="28"/>
          <w:szCs w:val="28"/>
        </w:rPr>
        <w:t>提供的</w:t>
      </w:r>
      <w:r>
        <w:rPr>
          <w:rFonts w:hint="eastAsia"/>
          <w:sz w:val="28"/>
          <w:szCs w:val="28"/>
        </w:rPr>
        <w:t>《房地产权登记信息》，</w:t>
      </w:r>
      <w:r>
        <w:rPr>
          <w:rFonts w:hint="eastAsia"/>
          <w:color w:val="auto"/>
          <w:sz w:val="28"/>
          <w:szCs w:val="28"/>
        </w:rPr>
        <w:t>估价对象所在宗地土地使用期限为2012年2月2日起2082年2月1日</w:t>
      </w:r>
      <w:r>
        <w:rPr>
          <w:rFonts w:hint="eastAsia"/>
          <w:sz w:val="28"/>
          <w:szCs w:val="28"/>
        </w:rPr>
        <w:t>。依据估价人员现场查勘，估价对象所在宗地地势平坦，形状较规则，实际开发程度为宗地外“六通”（通路、通电、供水、排水、通讯、通燃气），宗地内场地平整。</w:t>
      </w:r>
    </w:p>
    <w:p>
      <w:pPr>
        <w:spacing w:line="520" w:lineRule="exact"/>
        <w:ind w:firstLine="560" w:firstLineChars="200"/>
        <w:rPr>
          <w:sz w:val="28"/>
          <w:szCs w:val="28"/>
        </w:rPr>
      </w:pPr>
      <w:r>
        <w:rPr>
          <w:rFonts w:hint="eastAsia"/>
          <w:sz w:val="28"/>
          <w:szCs w:val="28"/>
        </w:rPr>
        <w:t>（3）他项权利状况</w:t>
      </w:r>
    </w:p>
    <w:p>
      <w:pPr>
        <w:spacing w:line="520" w:lineRule="exact"/>
        <w:ind w:firstLine="560" w:firstLineChars="200"/>
        <w:rPr>
          <w:sz w:val="28"/>
          <w:szCs w:val="28"/>
        </w:rPr>
      </w:pPr>
      <w:r>
        <w:rPr>
          <w:rFonts w:hint="eastAsia"/>
          <w:sz w:val="28"/>
          <w:szCs w:val="28"/>
        </w:rPr>
        <w:t>委托方提供的《房地产权登记信息》等资料未显示估价对象存在抵押权，除此之外，委托方提供的相关资料及估价人员现场查勘未发现估价对象存在担保、租赁等其他他项权利。</w:t>
      </w:r>
    </w:p>
    <w:p>
      <w:pPr>
        <w:spacing w:line="520" w:lineRule="exact"/>
        <w:ind w:firstLine="562" w:firstLineChars="200"/>
        <w:rPr>
          <w:b/>
          <w:sz w:val="28"/>
          <w:szCs w:val="28"/>
        </w:rPr>
      </w:pPr>
      <w:r>
        <w:rPr>
          <w:rFonts w:hint="eastAsia"/>
          <w:b/>
          <w:sz w:val="28"/>
          <w:szCs w:val="28"/>
        </w:rPr>
        <w:t>估价对象4：镜湖区圣地雅歌</w:t>
      </w:r>
      <w:r>
        <w:rPr>
          <w:b/>
          <w:sz w:val="28"/>
          <w:szCs w:val="28"/>
        </w:rPr>
        <w:t>3-05#楼1-101室</w:t>
      </w:r>
    </w:p>
    <w:p>
      <w:pPr>
        <w:spacing w:line="520" w:lineRule="exact"/>
        <w:ind w:firstLine="560" w:firstLineChars="200"/>
        <w:rPr>
          <w:sz w:val="28"/>
          <w:szCs w:val="28"/>
        </w:rPr>
      </w:pPr>
      <w:r>
        <w:rPr>
          <w:rFonts w:hint="eastAsia" w:ascii="仿宋_GB2312" w:eastAsia="仿宋_GB2312"/>
          <w:sz w:val="28"/>
          <w:szCs w:val="28"/>
        </w:rPr>
        <w:t>1</w:t>
      </w:r>
      <w:r>
        <w:rPr>
          <w:rFonts w:hint="eastAsia"/>
          <w:sz w:val="28"/>
          <w:szCs w:val="28"/>
        </w:rPr>
        <w:t>、区位状况</w:t>
      </w:r>
    </w:p>
    <w:p>
      <w:pPr>
        <w:spacing w:line="520" w:lineRule="exact"/>
        <w:ind w:firstLine="560" w:firstLineChars="200"/>
        <w:rPr>
          <w:sz w:val="28"/>
          <w:szCs w:val="28"/>
        </w:rPr>
      </w:pPr>
      <w:r>
        <w:rPr>
          <w:rFonts w:hint="eastAsia"/>
          <w:sz w:val="28"/>
          <w:szCs w:val="28"/>
        </w:rPr>
        <w:t>（1）坐落</w:t>
      </w:r>
    </w:p>
    <w:p>
      <w:pPr>
        <w:spacing w:line="520" w:lineRule="exact"/>
        <w:ind w:firstLine="560" w:firstLineChars="200"/>
        <w:rPr>
          <w:sz w:val="28"/>
          <w:szCs w:val="28"/>
        </w:rPr>
      </w:pPr>
      <w:r>
        <w:rPr>
          <w:rFonts w:hint="eastAsia"/>
          <w:sz w:val="28"/>
          <w:szCs w:val="28"/>
        </w:rPr>
        <w:t>估价对象位于芜湖市镜湖区九华中路以南、梅莲路以北。</w:t>
      </w:r>
    </w:p>
    <w:p>
      <w:pPr>
        <w:spacing w:line="520" w:lineRule="exact"/>
        <w:ind w:firstLine="560" w:firstLineChars="200"/>
        <w:rPr>
          <w:sz w:val="28"/>
          <w:szCs w:val="28"/>
        </w:rPr>
      </w:pPr>
      <w:r>
        <w:rPr>
          <w:rFonts w:hint="eastAsia"/>
          <w:sz w:val="28"/>
          <w:szCs w:val="28"/>
        </w:rPr>
        <w:t>（2）楼层</w:t>
      </w:r>
    </w:p>
    <w:p>
      <w:pPr>
        <w:spacing w:line="520" w:lineRule="exact"/>
        <w:ind w:firstLine="560" w:firstLineChars="200"/>
        <w:rPr>
          <w:sz w:val="28"/>
          <w:szCs w:val="28"/>
        </w:rPr>
      </w:pPr>
      <w:r>
        <w:rPr>
          <w:rFonts w:hint="eastAsia"/>
          <w:sz w:val="28"/>
          <w:szCs w:val="28"/>
        </w:rPr>
        <w:t>估价对象所在建筑物共4层，估价对象位于第1层，为带花园一层洋房。</w:t>
      </w:r>
    </w:p>
    <w:p>
      <w:pPr>
        <w:spacing w:line="520" w:lineRule="exact"/>
        <w:ind w:firstLine="560" w:firstLineChars="200"/>
        <w:rPr>
          <w:color w:val="auto"/>
          <w:sz w:val="28"/>
          <w:szCs w:val="28"/>
        </w:rPr>
      </w:pPr>
      <w:r>
        <w:rPr>
          <w:rFonts w:hint="eastAsia"/>
          <w:sz w:val="28"/>
          <w:szCs w:val="28"/>
        </w:rPr>
        <w:t>（3）交通</w:t>
      </w:r>
    </w:p>
    <w:p>
      <w:pPr>
        <w:spacing w:line="520" w:lineRule="exact"/>
        <w:ind w:firstLine="560" w:firstLineChars="200"/>
        <w:rPr>
          <w:color w:val="auto"/>
          <w:sz w:val="28"/>
          <w:szCs w:val="28"/>
        </w:rPr>
      </w:pPr>
      <w:r>
        <w:rPr>
          <w:rFonts w:hint="eastAsia"/>
          <w:color w:val="auto"/>
          <w:sz w:val="28"/>
          <w:szCs w:val="28"/>
        </w:rPr>
        <w:t>估价对象周围有九华中路、赭山中路、文化路等交通干道，道路通达度较好，路网密集度较好，有108路、38路、19路、32路等多条公交线路，临近芜湖站，交通便捷度较好。</w:t>
      </w:r>
    </w:p>
    <w:p>
      <w:pPr>
        <w:spacing w:line="520" w:lineRule="exact"/>
        <w:ind w:firstLine="560" w:firstLineChars="200"/>
        <w:rPr>
          <w:sz w:val="28"/>
          <w:szCs w:val="28"/>
        </w:rPr>
      </w:pPr>
      <w:r>
        <w:rPr>
          <w:rFonts w:hint="eastAsia"/>
          <w:sz w:val="28"/>
          <w:szCs w:val="28"/>
        </w:rPr>
        <w:t>（4）环境及配套设施</w:t>
      </w:r>
    </w:p>
    <w:p>
      <w:pPr>
        <w:spacing w:line="520" w:lineRule="exact"/>
        <w:ind w:firstLine="560" w:firstLineChars="200"/>
        <w:rPr>
          <w:color w:val="auto"/>
          <w:sz w:val="28"/>
        </w:rPr>
      </w:pPr>
      <w:r>
        <w:rPr>
          <w:rFonts w:hint="eastAsia"/>
          <w:color w:val="auto"/>
          <w:sz w:val="28"/>
        </w:rPr>
        <w:t>估价对象位于芜湖市</w:t>
      </w:r>
      <w:r>
        <w:rPr>
          <w:rFonts w:hint="eastAsia"/>
          <w:sz w:val="28"/>
          <w:szCs w:val="28"/>
        </w:rPr>
        <w:t>镜湖区</w:t>
      </w:r>
      <w:r>
        <w:rPr>
          <w:rFonts w:hint="eastAsia"/>
          <w:color w:val="auto"/>
          <w:sz w:val="28"/>
        </w:rPr>
        <w:t>,周围交通路网密集度较好，道路通达度较好，交通便捷度较好。有天和苑、泰华园、香樟城市花园等多处居住社区，有芜湖市第五人民医院、芜湖广济医院、芜湖市天河幼儿园、芜湖市梅莲路小学、赭山小学、ABC幼儿园圣地雅歌园、芜湖汇鑫商业广场、联盛国际商业广场、中国农业银行、徽商银行、中国工商银行、中国邮政储蓄银行、汀棠公园、赭山公园等配套设施，周围配套设施齐全，居住人口较多，整体环境较好。</w:t>
      </w:r>
    </w:p>
    <w:p>
      <w:pPr>
        <w:spacing w:line="520" w:lineRule="exact"/>
        <w:rPr>
          <w:rFonts w:ascii="仿宋_GB2312" w:eastAsia="仿宋_GB2312"/>
          <w:sz w:val="28"/>
          <w:szCs w:val="28"/>
        </w:rPr>
      </w:pPr>
      <w:r>
        <w:rPr>
          <w:rFonts w:hint="eastAsia" w:ascii="仿宋_GB2312" w:eastAsia="仿宋_GB2312"/>
          <w:sz w:val="28"/>
          <w:szCs w:val="28"/>
        </w:rPr>
        <w:t xml:space="preserve">  </w:t>
      </w:r>
      <w:r>
        <w:rPr>
          <w:rFonts w:hint="eastAsia"/>
          <w:sz w:val="28"/>
          <w:szCs w:val="28"/>
        </w:rPr>
        <w:t xml:space="preserve">   2、实物状况</w:t>
      </w:r>
    </w:p>
    <w:p>
      <w:pPr>
        <w:spacing w:line="520" w:lineRule="exact"/>
        <w:ind w:firstLine="560" w:firstLineChars="200"/>
        <w:rPr>
          <w:sz w:val="28"/>
          <w:szCs w:val="28"/>
        </w:rPr>
      </w:pPr>
      <w:r>
        <w:rPr>
          <w:rFonts w:hint="eastAsia"/>
          <w:sz w:val="28"/>
          <w:szCs w:val="28"/>
        </w:rPr>
        <w:t>外墙：涂料；</w:t>
      </w:r>
    </w:p>
    <w:p>
      <w:pPr>
        <w:spacing w:line="520" w:lineRule="exact"/>
        <w:ind w:firstLine="560" w:firstLineChars="200"/>
        <w:rPr>
          <w:sz w:val="28"/>
          <w:szCs w:val="28"/>
        </w:rPr>
      </w:pPr>
      <w:r>
        <w:rPr>
          <w:rFonts w:hint="eastAsia"/>
          <w:sz w:val="28"/>
          <w:szCs w:val="28"/>
        </w:rPr>
        <w:t>内装修：未进入，设定为精装修；</w:t>
      </w:r>
    </w:p>
    <w:p>
      <w:pPr>
        <w:spacing w:line="530" w:lineRule="exact"/>
        <w:ind w:firstLine="560" w:firstLineChars="200"/>
        <w:rPr>
          <w:sz w:val="28"/>
          <w:szCs w:val="28"/>
        </w:rPr>
      </w:pPr>
      <w:r>
        <w:rPr>
          <w:rFonts w:hint="eastAsia"/>
          <w:sz w:val="28"/>
          <w:szCs w:val="28"/>
        </w:rPr>
        <w:t>门窗：防盗门、铝合金外窗；</w:t>
      </w:r>
    </w:p>
    <w:p>
      <w:pPr>
        <w:spacing w:line="530" w:lineRule="exact"/>
        <w:ind w:firstLine="560" w:firstLineChars="200"/>
        <w:rPr>
          <w:sz w:val="28"/>
          <w:szCs w:val="28"/>
        </w:rPr>
      </w:pPr>
      <w:r>
        <w:rPr>
          <w:rFonts w:hint="eastAsia"/>
          <w:sz w:val="28"/>
          <w:szCs w:val="28"/>
        </w:rPr>
        <w:t>维护状况：设定为一般；</w:t>
      </w:r>
    </w:p>
    <w:p>
      <w:pPr>
        <w:spacing w:line="530" w:lineRule="exact"/>
        <w:ind w:firstLine="560" w:firstLineChars="200"/>
        <w:rPr>
          <w:sz w:val="28"/>
          <w:szCs w:val="28"/>
        </w:rPr>
      </w:pPr>
      <w:r>
        <w:rPr>
          <w:rFonts w:hint="eastAsia"/>
          <w:sz w:val="28"/>
          <w:szCs w:val="28"/>
        </w:rPr>
        <w:t>利用状况：设定为一般。</w:t>
      </w:r>
    </w:p>
    <w:p>
      <w:pPr>
        <w:spacing w:line="530" w:lineRule="exact"/>
        <w:ind w:firstLine="560" w:firstLineChars="200"/>
        <w:rPr>
          <w:sz w:val="28"/>
          <w:szCs w:val="28"/>
        </w:rPr>
      </w:pPr>
      <w:r>
        <w:rPr>
          <w:rFonts w:hint="eastAsia"/>
          <w:sz w:val="28"/>
          <w:szCs w:val="28"/>
        </w:rPr>
        <w:t>具体情况详见《估价对象现状照片》。</w:t>
      </w:r>
    </w:p>
    <w:p>
      <w:pPr>
        <w:spacing w:line="520" w:lineRule="exact"/>
        <w:ind w:firstLine="560" w:firstLineChars="200"/>
        <w:rPr>
          <w:sz w:val="28"/>
          <w:szCs w:val="28"/>
        </w:rPr>
      </w:pPr>
      <w:r>
        <w:rPr>
          <w:rFonts w:hint="eastAsia"/>
          <w:sz w:val="28"/>
          <w:szCs w:val="28"/>
        </w:rPr>
        <w:t>3、权益状况</w:t>
      </w:r>
    </w:p>
    <w:p>
      <w:pPr>
        <w:spacing w:line="520" w:lineRule="exact"/>
        <w:ind w:firstLine="560" w:firstLineChars="200"/>
        <w:rPr>
          <w:sz w:val="28"/>
          <w:szCs w:val="28"/>
        </w:rPr>
      </w:pPr>
      <w:r>
        <w:rPr>
          <w:rFonts w:hint="eastAsia"/>
          <w:sz w:val="28"/>
          <w:szCs w:val="28"/>
        </w:rPr>
        <w:t>（1）房屋权益状况</w:t>
      </w:r>
    </w:p>
    <w:p>
      <w:pPr>
        <w:spacing w:after="156" w:afterLines="50" w:line="500" w:lineRule="exact"/>
        <w:jc w:val="center"/>
        <w:rPr>
          <w:b/>
          <w:snapToGrid w:val="0"/>
          <w:kern w:val="0"/>
          <w:sz w:val="28"/>
          <w:szCs w:val="20"/>
        </w:rPr>
      </w:pPr>
      <w:r>
        <w:rPr>
          <w:rFonts w:hint="eastAsia"/>
          <w:b/>
          <w:snapToGrid w:val="0"/>
          <w:kern w:val="0"/>
          <w:sz w:val="28"/>
          <w:szCs w:val="20"/>
        </w:rPr>
        <w:t>房地产状况明细表</w:t>
      </w:r>
    </w:p>
    <w:tbl>
      <w:tblPr>
        <w:tblStyle w:val="28"/>
        <w:tblW w:w="5000" w:type="pct"/>
        <w:tblInd w:w="0" w:type="dxa"/>
        <w:tblLayout w:type="autofit"/>
        <w:tblCellMar>
          <w:top w:w="0" w:type="dxa"/>
          <w:left w:w="108" w:type="dxa"/>
          <w:bottom w:w="0" w:type="dxa"/>
          <w:right w:w="108" w:type="dxa"/>
        </w:tblCellMar>
      </w:tblPr>
      <w:tblGrid>
        <w:gridCol w:w="1227"/>
        <w:gridCol w:w="2850"/>
        <w:gridCol w:w="1640"/>
        <w:gridCol w:w="774"/>
        <w:gridCol w:w="811"/>
        <w:gridCol w:w="811"/>
        <w:gridCol w:w="1208"/>
      </w:tblGrid>
      <w:tr>
        <w:trPr>
          <w:trHeight w:val="499" w:hRule="atLeast"/>
        </w:trPr>
        <w:tc>
          <w:tcPr>
            <w:tcW w:w="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b/>
                <w:color w:val="auto"/>
                <w:kern w:val="0"/>
                <w:sz w:val="20"/>
                <w:szCs w:val="20"/>
              </w:rPr>
            </w:pPr>
            <w:r>
              <w:rPr>
                <w:rFonts w:hint="eastAsia" w:cs="宋体"/>
                <w:b/>
                <w:color w:val="auto"/>
                <w:kern w:val="0"/>
                <w:sz w:val="20"/>
                <w:szCs w:val="20"/>
              </w:rPr>
              <w:t>房屋所有权人</w:t>
            </w:r>
          </w:p>
        </w:tc>
        <w:tc>
          <w:tcPr>
            <w:tcW w:w="152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color w:val="auto"/>
                <w:kern w:val="0"/>
                <w:sz w:val="20"/>
                <w:szCs w:val="20"/>
              </w:rPr>
            </w:pPr>
            <w:r>
              <w:rPr>
                <w:rFonts w:hint="eastAsia" w:cs="宋体"/>
                <w:b/>
                <w:color w:val="auto"/>
                <w:kern w:val="0"/>
                <w:sz w:val="20"/>
                <w:szCs w:val="20"/>
              </w:rPr>
              <w:t>不动产权证书号</w:t>
            </w:r>
          </w:p>
        </w:tc>
        <w:tc>
          <w:tcPr>
            <w:tcW w:w="88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color w:val="auto"/>
                <w:kern w:val="0"/>
                <w:sz w:val="20"/>
                <w:szCs w:val="20"/>
              </w:rPr>
            </w:pPr>
            <w:r>
              <w:rPr>
                <w:rFonts w:hint="eastAsia" w:cs="宋体"/>
                <w:b/>
                <w:color w:val="auto"/>
                <w:kern w:val="0"/>
                <w:sz w:val="20"/>
                <w:szCs w:val="20"/>
              </w:rPr>
              <w:t>坐落</w:t>
            </w:r>
          </w:p>
        </w:tc>
        <w:tc>
          <w:tcPr>
            <w:tcW w:w="41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color w:val="auto"/>
                <w:kern w:val="0"/>
                <w:sz w:val="20"/>
                <w:szCs w:val="20"/>
              </w:rPr>
            </w:pPr>
            <w:r>
              <w:rPr>
                <w:rFonts w:hint="eastAsia" w:cs="宋体"/>
                <w:b/>
                <w:color w:val="auto"/>
                <w:kern w:val="0"/>
                <w:sz w:val="20"/>
                <w:szCs w:val="20"/>
              </w:rPr>
              <w:t>结构</w:t>
            </w:r>
          </w:p>
        </w:tc>
        <w:tc>
          <w:tcPr>
            <w:tcW w:w="43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color w:val="auto"/>
                <w:kern w:val="0"/>
                <w:sz w:val="20"/>
                <w:szCs w:val="20"/>
              </w:rPr>
            </w:pPr>
            <w:r>
              <w:rPr>
                <w:rFonts w:hint="eastAsia" w:cs="宋体"/>
                <w:b/>
                <w:color w:val="auto"/>
                <w:kern w:val="0"/>
                <w:sz w:val="20"/>
                <w:szCs w:val="20"/>
              </w:rPr>
              <w:t>楼层</w:t>
            </w:r>
          </w:p>
        </w:tc>
        <w:tc>
          <w:tcPr>
            <w:tcW w:w="43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color w:val="auto"/>
                <w:kern w:val="0"/>
                <w:sz w:val="20"/>
                <w:szCs w:val="20"/>
              </w:rPr>
            </w:pPr>
            <w:r>
              <w:rPr>
                <w:rFonts w:hint="eastAsia" w:cs="宋体"/>
                <w:b/>
                <w:color w:val="auto"/>
                <w:kern w:val="0"/>
                <w:sz w:val="20"/>
                <w:szCs w:val="20"/>
              </w:rPr>
              <w:t>用途</w:t>
            </w:r>
          </w:p>
        </w:tc>
        <w:tc>
          <w:tcPr>
            <w:tcW w:w="64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color w:val="auto"/>
                <w:kern w:val="0"/>
                <w:sz w:val="20"/>
                <w:szCs w:val="20"/>
              </w:rPr>
            </w:pPr>
            <w:r>
              <w:rPr>
                <w:rFonts w:hint="eastAsia" w:cs="宋体"/>
                <w:b/>
                <w:color w:val="auto"/>
                <w:kern w:val="0"/>
                <w:sz w:val="20"/>
                <w:szCs w:val="20"/>
              </w:rPr>
              <w:t>建筑面积（㎡）</w:t>
            </w:r>
          </w:p>
        </w:tc>
      </w:tr>
      <w:tr>
        <w:trPr>
          <w:trHeight w:val="1395" w:hRule="atLeast"/>
        </w:trPr>
        <w:tc>
          <w:tcPr>
            <w:tcW w:w="65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于睿、石帆</w:t>
            </w:r>
          </w:p>
        </w:tc>
        <w:tc>
          <w:tcPr>
            <w:tcW w:w="1529" w:type="pct"/>
            <w:tcBorders>
              <w:top w:val="nil"/>
              <w:left w:val="nil"/>
              <w:bottom w:val="single" w:color="auto" w:sz="4" w:space="0"/>
              <w:right w:val="single" w:color="auto" w:sz="4" w:space="0"/>
            </w:tcBorders>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皖（2017）芜湖市不动产权第0252027号、皖（2017）芜湖市不动产权第0252028号</w:t>
            </w:r>
          </w:p>
        </w:tc>
        <w:tc>
          <w:tcPr>
            <w:tcW w:w="880" w:type="pct"/>
            <w:tcBorders>
              <w:top w:val="nil"/>
              <w:left w:val="nil"/>
              <w:bottom w:val="single" w:color="auto" w:sz="4" w:space="0"/>
              <w:right w:val="single" w:color="auto" w:sz="4" w:space="0"/>
            </w:tcBorders>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镜湖区圣地雅歌3-05#楼1-101室</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钢混</w:t>
            </w:r>
          </w:p>
        </w:tc>
        <w:tc>
          <w:tcPr>
            <w:tcW w:w="435" w:type="pct"/>
            <w:tcBorders>
              <w:top w:val="nil"/>
              <w:left w:val="nil"/>
              <w:bottom w:val="single" w:color="auto" w:sz="4" w:space="0"/>
              <w:right w:val="single" w:color="auto" w:sz="4" w:space="0"/>
            </w:tcBorders>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1/4F</w:t>
            </w:r>
          </w:p>
        </w:tc>
        <w:tc>
          <w:tcPr>
            <w:tcW w:w="435" w:type="pct"/>
            <w:tcBorders>
              <w:top w:val="nil"/>
              <w:left w:val="nil"/>
              <w:bottom w:val="single" w:color="auto" w:sz="4" w:space="0"/>
              <w:right w:val="single" w:color="auto" w:sz="4" w:space="0"/>
            </w:tcBorders>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住宅</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129.97</w:t>
            </w:r>
          </w:p>
        </w:tc>
      </w:tr>
    </w:tbl>
    <w:p>
      <w:pPr>
        <w:spacing w:line="520" w:lineRule="exact"/>
        <w:ind w:firstLine="560" w:firstLineChars="200"/>
        <w:rPr>
          <w:sz w:val="28"/>
          <w:szCs w:val="28"/>
        </w:rPr>
      </w:pPr>
      <w:r>
        <w:rPr>
          <w:rFonts w:hint="eastAsia"/>
          <w:sz w:val="28"/>
          <w:szCs w:val="28"/>
        </w:rPr>
        <w:t>（2）土地权益状况</w:t>
      </w:r>
    </w:p>
    <w:p>
      <w:pPr>
        <w:spacing w:line="520" w:lineRule="exact"/>
        <w:ind w:firstLine="560" w:firstLineChars="200"/>
        <w:rPr>
          <w:sz w:val="28"/>
          <w:szCs w:val="28"/>
        </w:rPr>
      </w:pPr>
      <w:r>
        <w:rPr>
          <w:rFonts w:hint="eastAsia"/>
          <w:color w:val="auto"/>
          <w:sz w:val="28"/>
          <w:szCs w:val="28"/>
        </w:rPr>
        <w:t>委托方</w:t>
      </w:r>
      <w:r>
        <w:rPr>
          <w:color w:val="auto"/>
          <w:sz w:val="28"/>
          <w:szCs w:val="28"/>
        </w:rPr>
        <w:t>提供的</w:t>
      </w:r>
      <w:r>
        <w:rPr>
          <w:rFonts w:hint="eastAsia"/>
          <w:sz w:val="28"/>
          <w:szCs w:val="28"/>
        </w:rPr>
        <w:t>《房地产权登记信息》，</w:t>
      </w:r>
      <w:r>
        <w:rPr>
          <w:rFonts w:hint="eastAsia"/>
          <w:color w:val="auto"/>
          <w:sz w:val="28"/>
          <w:szCs w:val="28"/>
        </w:rPr>
        <w:t>估价对象所在宗地土地使用期限为2006年6月6日起2056年6月5日</w:t>
      </w:r>
      <w:r>
        <w:rPr>
          <w:rFonts w:hint="eastAsia"/>
          <w:sz w:val="28"/>
          <w:szCs w:val="28"/>
        </w:rPr>
        <w:t>。依据估价人员现场查勘，估价对象所在宗地地势平坦，形状较规则，实际开发程度为宗地外“六通”（通路、通电、供水、排水、通讯、通燃气），宗地内场地平整。</w:t>
      </w:r>
    </w:p>
    <w:p>
      <w:pPr>
        <w:spacing w:line="520" w:lineRule="exact"/>
        <w:ind w:firstLine="560" w:firstLineChars="200"/>
        <w:rPr>
          <w:sz w:val="28"/>
          <w:szCs w:val="28"/>
        </w:rPr>
      </w:pPr>
      <w:r>
        <w:rPr>
          <w:rFonts w:hint="eastAsia"/>
          <w:sz w:val="28"/>
          <w:szCs w:val="28"/>
        </w:rPr>
        <w:t>（3）他项权利状况</w:t>
      </w:r>
    </w:p>
    <w:p>
      <w:pPr>
        <w:spacing w:line="520" w:lineRule="exact"/>
        <w:ind w:firstLine="560" w:firstLineChars="200"/>
        <w:rPr>
          <w:sz w:val="28"/>
          <w:szCs w:val="28"/>
        </w:rPr>
      </w:pPr>
      <w:r>
        <w:rPr>
          <w:rFonts w:hint="eastAsia"/>
          <w:sz w:val="28"/>
          <w:szCs w:val="28"/>
        </w:rPr>
        <w:t>委托方提供的《房地产权登记信息》等资料未显示估价对象存在抵押权，除此之外，委托方提供的相关资料及估价人员现场查勘未发现估价对象存在担保、租赁等其他他项权利。</w:t>
      </w:r>
    </w:p>
    <w:p>
      <w:pPr>
        <w:spacing w:line="520" w:lineRule="exact"/>
        <w:ind w:firstLine="562" w:firstLineChars="200"/>
        <w:rPr>
          <w:b/>
          <w:sz w:val="28"/>
          <w:szCs w:val="28"/>
        </w:rPr>
      </w:pPr>
      <w:r>
        <w:rPr>
          <w:rFonts w:hint="eastAsia"/>
          <w:b/>
          <w:sz w:val="28"/>
          <w:szCs w:val="28"/>
        </w:rPr>
        <w:t>估价对象5：鹰潭市</w:t>
      </w:r>
      <w:r>
        <w:rPr>
          <w:b/>
          <w:sz w:val="28"/>
          <w:szCs w:val="28"/>
        </w:rPr>
        <w:t>38号路西侧和谐小区7栋4单元04052号</w:t>
      </w:r>
      <w:r>
        <w:rPr>
          <w:rFonts w:hint="eastAsia"/>
          <w:b/>
          <w:sz w:val="28"/>
          <w:szCs w:val="28"/>
        </w:rPr>
        <w:t>住宅、</w:t>
      </w:r>
      <w:r>
        <w:rPr>
          <w:b/>
          <w:sz w:val="28"/>
          <w:szCs w:val="28"/>
        </w:rPr>
        <w:t>4017号</w:t>
      </w:r>
      <w:r>
        <w:rPr>
          <w:rFonts w:hint="eastAsia"/>
          <w:b/>
          <w:sz w:val="28"/>
          <w:szCs w:val="28"/>
        </w:rPr>
        <w:t>杂物间</w:t>
      </w:r>
    </w:p>
    <w:p>
      <w:pPr>
        <w:spacing w:line="520" w:lineRule="exact"/>
        <w:ind w:firstLine="560" w:firstLineChars="200"/>
        <w:rPr>
          <w:sz w:val="28"/>
          <w:szCs w:val="28"/>
        </w:rPr>
      </w:pPr>
      <w:r>
        <w:rPr>
          <w:rFonts w:hint="eastAsia" w:ascii="仿宋_GB2312" w:eastAsia="仿宋_GB2312"/>
          <w:sz w:val="28"/>
          <w:szCs w:val="28"/>
        </w:rPr>
        <w:t>1</w:t>
      </w:r>
      <w:r>
        <w:rPr>
          <w:rFonts w:hint="eastAsia"/>
          <w:sz w:val="28"/>
          <w:szCs w:val="28"/>
        </w:rPr>
        <w:t>、区位状况</w:t>
      </w:r>
    </w:p>
    <w:p>
      <w:pPr>
        <w:spacing w:line="520" w:lineRule="exact"/>
        <w:ind w:firstLine="560" w:firstLineChars="200"/>
        <w:rPr>
          <w:sz w:val="28"/>
          <w:szCs w:val="28"/>
        </w:rPr>
      </w:pPr>
      <w:r>
        <w:rPr>
          <w:rFonts w:hint="eastAsia"/>
          <w:sz w:val="28"/>
          <w:szCs w:val="28"/>
        </w:rPr>
        <w:t>（1）坐落</w:t>
      </w:r>
    </w:p>
    <w:p>
      <w:pPr>
        <w:spacing w:line="520" w:lineRule="exact"/>
        <w:ind w:firstLine="560" w:firstLineChars="200"/>
        <w:rPr>
          <w:sz w:val="28"/>
          <w:szCs w:val="28"/>
        </w:rPr>
      </w:pPr>
      <w:r>
        <w:rPr>
          <w:rFonts w:hint="eastAsia"/>
          <w:sz w:val="28"/>
          <w:szCs w:val="28"/>
        </w:rPr>
        <w:t>估价对象位于鹰潭市月湖区体育馆路以北、创景路以西。</w:t>
      </w:r>
    </w:p>
    <w:p>
      <w:pPr>
        <w:spacing w:line="520" w:lineRule="exact"/>
        <w:ind w:firstLine="560" w:firstLineChars="200"/>
        <w:rPr>
          <w:sz w:val="28"/>
          <w:szCs w:val="28"/>
        </w:rPr>
      </w:pPr>
      <w:r>
        <w:rPr>
          <w:rFonts w:hint="eastAsia"/>
          <w:sz w:val="28"/>
          <w:szCs w:val="28"/>
        </w:rPr>
        <w:t>（2）楼层</w:t>
      </w:r>
    </w:p>
    <w:p>
      <w:pPr>
        <w:spacing w:line="520" w:lineRule="exact"/>
        <w:ind w:firstLine="560" w:firstLineChars="200"/>
        <w:rPr>
          <w:sz w:val="28"/>
          <w:szCs w:val="28"/>
        </w:rPr>
      </w:pPr>
      <w:r>
        <w:rPr>
          <w:rFonts w:hint="eastAsia"/>
          <w:sz w:val="28"/>
          <w:szCs w:val="28"/>
        </w:rPr>
        <w:t>估价对象所在建筑物共7层，估价对象住宅位于第6层，杂物间位于第1层。</w:t>
      </w:r>
    </w:p>
    <w:p>
      <w:pPr>
        <w:spacing w:line="520" w:lineRule="exact"/>
        <w:ind w:firstLine="560" w:firstLineChars="200"/>
        <w:rPr>
          <w:color w:val="auto"/>
          <w:sz w:val="28"/>
          <w:szCs w:val="28"/>
        </w:rPr>
      </w:pPr>
      <w:r>
        <w:rPr>
          <w:rFonts w:hint="eastAsia"/>
          <w:sz w:val="28"/>
          <w:szCs w:val="28"/>
        </w:rPr>
        <w:t>（3）交通</w:t>
      </w:r>
    </w:p>
    <w:p>
      <w:pPr>
        <w:spacing w:line="520" w:lineRule="exact"/>
        <w:ind w:firstLine="560" w:firstLineChars="200"/>
        <w:rPr>
          <w:color w:val="auto"/>
          <w:sz w:val="28"/>
          <w:szCs w:val="28"/>
        </w:rPr>
      </w:pPr>
      <w:r>
        <w:rPr>
          <w:rFonts w:hint="eastAsia"/>
          <w:color w:val="auto"/>
          <w:sz w:val="28"/>
          <w:szCs w:val="28"/>
        </w:rPr>
        <w:t>估价对象周围有体育馆路、龙虎山中大道、和谐路等交通干道，道路通达度较好，路网密集度较好，有20路、6路等公交线路，交通便捷度一般。</w:t>
      </w:r>
    </w:p>
    <w:p>
      <w:pPr>
        <w:spacing w:line="520" w:lineRule="exact"/>
        <w:ind w:firstLine="560" w:firstLineChars="200"/>
        <w:rPr>
          <w:sz w:val="28"/>
          <w:szCs w:val="28"/>
        </w:rPr>
      </w:pPr>
      <w:r>
        <w:rPr>
          <w:rFonts w:hint="eastAsia"/>
          <w:sz w:val="28"/>
          <w:szCs w:val="28"/>
        </w:rPr>
        <w:t>（4）环境及配套设施</w:t>
      </w:r>
    </w:p>
    <w:p>
      <w:pPr>
        <w:spacing w:line="520" w:lineRule="exact"/>
        <w:ind w:firstLine="560" w:firstLineChars="200"/>
        <w:rPr>
          <w:color w:val="auto"/>
          <w:sz w:val="28"/>
        </w:rPr>
      </w:pPr>
      <w:r>
        <w:rPr>
          <w:rFonts w:hint="eastAsia"/>
          <w:color w:val="auto"/>
          <w:sz w:val="28"/>
        </w:rPr>
        <w:t>估价对象位于鹰潭市月湖区,周围交通路网密集度较好，道路通达度较好，交通便捷度一般。有瑞和国际、水岸华府、阳光巴黎等多处居住社区，有鹰潭市第三医院、白露街道办事处白露社区卫生服务站、鹰潭市高新区中心幼儿园、鹰潭和谐幼儿园、中国建设银行、鹰潭农商银行、鹰潭月湖恒通村镇银行、中国银行、中国工商银行、月湖岩公园、体育公园、鹰潭体育馆等配套设施，周围配套设施齐全，居住人口较多，整体环境较好。</w:t>
      </w:r>
    </w:p>
    <w:p>
      <w:pPr>
        <w:spacing w:line="520" w:lineRule="exact"/>
        <w:rPr>
          <w:rFonts w:ascii="仿宋_GB2312" w:eastAsia="仿宋_GB2312"/>
          <w:sz w:val="28"/>
          <w:szCs w:val="28"/>
        </w:rPr>
      </w:pPr>
      <w:r>
        <w:rPr>
          <w:rFonts w:hint="eastAsia" w:ascii="仿宋_GB2312" w:eastAsia="仿宋_GB2312"/>
          <w:sz w:val="28"/>
          <w:szCs w:val="28"/>
        </w:rPr>
        <w:t xml:space="preserve">  </w:t>
      </w:r>
      <w:r>
        <w:rPr>
          <w:rFonts w:hint="eastAsia"/>
          <w:sz w:val="28"/>
          <w:szCs w:val="28"/>
        </w:rPr>
        <w:t xml:space="preserve">   2、实物状况</w:t>
      </w:r>
    </w:p>
    <w:p>
      <w:pPr>
        <w:spacing w:line="520" w:lineRule="exact"/>
        <w:ind w:firstLine="560" w:firstLineChars="200"/>
        <w:rPr>
          <w:sz w:val="28"/>
          <w:szCs w:val="28"/>
        </w:rPr>
      </w:pPr>
      <w:r>
        <w:rPr>
          <w:rFonts w:hint="eastAsia"/>
          <w:sz w:val="28"/>
          <w:szCs w:val="28"/>
        </w:rPr>
        <w:t>外墙：涂料；</w:t>
      </w:r>
    </w:p>
    <w:p>
      <w:pPr>
        <w:spacing w:line="520" w:lineRule="exact"/>
        <w:ind w:firstLine="560" w:firstLineChars="200"/>
        <w:rPr>
          <w:sz w:val="28"/>
          <w:szCs w:val="28"/>
        </w:rPr>
      </w:pPr>
      <w:r>
        <w:rPr>
          <w:rFonts w:hint="eastAsia"/>
          <w:sz w:val="28"/>
          <w:szCs w:val="28"/>
        </w:rPr>
        <w:t>内装修：未进入，设定为简单装修；</w:t>
      </w:r>
    </w:p>
    <w:p>
      <w:pPr>
        <w:spacing w:line="530" w:lineRule="exact"/>
        <w:ind w:firstLine="560" w:firstLineChars="200"/>
        <w:rPr>
          <w:sz w:val="28"/>
          <w:szCs w:val="28"/>
        </w:rPr>
      </w:pPr>
      <w:r>
        <w:rPr>
          <w:rFonts w:hint="eastAsia"/>
          <w:sz w:val="28"/>
          <w:szCs w:val="28"/>
        </w:rPr>
        <w:t>门窗：防盗门、铝合金外窗；</w:t>
      </w:r>
    </w:p>
    <w:p>
      <w:pPr>
        <w:spacing w:line="530" w:lineRule="exact"/>
        <w:ind w:firstLine="560" w:firstLineChars="200"/>
        <w:rPr>
          <w:sz w:val="28"/>
          <w:szCs w:val="28"/>
        </w:rPr>
      </w:pPr>
      <w:r>
        <w:rPr>
          <w:rFonts w:hint="eastAsia"/>
          <w:sz w:val="28"/>
          <w:szCs w:val="28"/>
        </w:rPr>
        <w:t>维护状况：设定为一般；</w:t>
      </w:r>
    </w:p>
    <w:p>
      <w:pPr>
        <w:spacing w:line="530" w:lineRule="exact"/>
        <w:ind w:firstLine="560" w:firstLineChars="200"/>
        <w:rPr>
          <w:sz w:val="28"/>
          <w:szCs w:val="28"/>
        </w:rPr>
      </w:pPr>
      <w:r>
        <w:rPr>
          <w:rFonts w:hint="eastAsia"/>
          <w:sz w:val="28"/>
          <w:szCs w:val="28"/>
        </w:rPr>
        <w:t>利用状况：设定为一般。</w:t>
      </w:r>
    </w:p>
    <w:p>
      <w:pPr>
        <w:spacing w:line="530" w:lineRule="exact"/>
        <w:ind w:firstLine="560" w:firstLineChars="200"/>
        <w:rPr>
          <w:sz w:val="28"/>
          <w:szCs w:val="28"/>
        </w:rPr>
      </w:pPr>
      <w:r>
        <w:rPr>
          <w:rFonts w:hint="eastAsia"/>
          <w:sz w:val="28"/>
          <w:szCs w:val="28"/>
        </w:rPr>
        <w:t>具体情况详见《估价对象现状照片》。</w:t>
      </w:r>
    </w:p>
    <w:p>
      <w:pPr>
        <w:spacing w:line="520" w:lineRule="exact"/>
        <w:ind w:firstLine="560" w:firstLineChars="200"/>
        <w:rPr>
          <w:sz w:val="28"/>
          <w:szCs w:val="28"/>
        </w:rPr>
      </w:pPr>
      <w:r>
        <w:rPr>
          <w:rFonts w:hint="eastAsia"/>
          <w:sz w:val="28"/>
          <w:szCs w:val="28"/>
        </w:rPr>
        <w:t>3、权益状况</w:t>
      </w:r>
    </w:p>
    <w:p>
      <w:pPr>
        <w:spacing w:line="520" w:lineRule="exact"/>
        <w:ind w:firstLine="560" w:firstLineChars="200"/>
        <w:rPr>
          <w:sz w:val="28"/>
          <w:szCs w:val="28"/>
        </w:rPr>
      </w:pPr>
      <w:r>
        <w:rPr>
          <w:rFonts w:hint="eastAsia"/>
          <w:sz w:val="28"/>
          <w:szCs w:val="28"/>
        </w:rPr>
        <w:t>（1）房屋权益状况</w:t>
      </w:r>
    </w:p>
    <w:p>
      <w:pPr>
        <w:spacing w:after="156" w:afterLines="50" w:line="500" w:lineRule="exact"/>
        <w:jc w:val="center"/>
        <w:rPr>
          <w:b/>
          <w:snapToGrid w:val="0"/>
          <w:kern w:val="0"/>
          <w:sz w:val="28"/>
          <w:szCs w:val="20"/>
        </w:rPr>
      </w:pPr>
      <w:r>
        <w:rPr>
          <w:rFonts w:hint="eastAsia"/>
          <w:b/>
          <w:snapToGrid w:val="0"/>
          <w:kern w:val="0"/>
          <w:sz w:val="28"/>
          <w:szCs w:val="20"/>
        </w:rPr>
        <w:t>房地产状况明细表</w:t>
      </w:r>
    </w:p>
    <w:tbl>
      <w:tblPr>
        <w:tblStyle w:val="28"/>
        <w:tblW w:w="5000" w:type="pct"/>
        <w:tblInd w:w="0" w:type="dxa"/>
        <w:tblLayout w:type="autofit"/>
        <w:tblCellMar>
          <w:top w:w="0" w:type="dxa"/>
          <w:left w:w="108" w:type="dxa"/>
          <w:bottom w:w="0" w:type="dxa"/>
          <w:right w:w="108" w:type="dxa"/>
        </w:tblCellMar>
      </w:tblPr>
      <w:tblGrid>
        <w:gridCol w:w="1226"/>
        <w:gridCol w:w="2019"/>
        <w:gridCol w:w="2472"/>
        <w:gridCol w:w="774"/>
        <w:gridCol w:w="811"/>
        <w:gridCol w:w="811"/>
        <w:gridCol w:w="1208"/>
      </w:tblGrid>
      <w:tr>
        <w:trPr>
          <w:trHeight w:val="499" w:hRule="atLeast"/>
        </w:trPr>
        <w:tc>
          <w:tcPr>
            <w:tcW w:w="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b/>
                <w:color w:val="auto"/>
                <w:kern w:val="0"/>
                <w:sz w:val="20"/>
                <w:szCs w:val="20"/>
              </w:rPr>
            </w:pPr>
            <w:r>
              <w:rPr>
                <w:rFonts w:hint="eastAsia" w:cs="宋体"/>
                <w:b/>
                <w:color w:val="auto"/>
                <w:kern w:val="0"/>
                <w:sz w:val="20"/>
                <w:szCs w:val="20"/>
              </w:rPr>
              <w:t>房屋所有权人</w:t>
            </w:r>
          </w:p>
        </w:tc>
        <w:tc>
          <w:tcPr>
            <w:tcW w:w="108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color w:val="auto"/>
                <w:kern w:val="0"/>
                <w:sz w:val="20"/>
                <w:szCs w:val="20"/>
              </w:rPr>
            </w:pPr>
            <w:r>
              <w:rPr>
                <w:rFonts w:hint="eastAsia" w:cs="宋体"/>
                <w:b/>
                <w:color w:val="auto"/>
                <w:kern w:val="0"/>
                <w:sz w:val="20"/>
                <w:szCs w:val="20"/>
              </w:rPr>
              <w:t>房产证号</w:t>
            </w:r>
          </w:p>
        </w:tc>
        <w:tc>
          <w:tcPr>
            <w:tcW w:w="132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color w:val="auto"/>
                <w:kern w:val="0"/>
                <w:sz w:val="20"/>
                <w:szCs w:val="20"/>
              </w:rPr>
            </w:pPr>
            <w:r>
              <w:rPr>
                <w:rFonts w:hint="eastAsia" w:cs="宋体"/>
                <w:b/>
                <w:color w:val="auto"/>
                <w:kern w:val="0"/>
                <w:sz w:val="20"/>
                <w:szCs w:val="20"/>
              </w:rPr>
              <w:t>坐落</w:t>
            </w:r>
          </w:p>
        </w:tc>
        <w:tc>
          <w:tcPr>
            <w:tcW w:w="41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color w:val="auto"/>
                <w:kern w:val="0"/>
                <w:sz w:val="20"/>
                <w:szCs w:val="20"/>
              </w:rPr>
            </w:pPr>
            <w:r>
              <w:rPr>
                <w:rFonts w:hint="eastAsia" w:cs="宋体"/>
                <w:b/>
                <w:color w:val="auto"/>
                <w:kern w:val="0"/>
                <w:sz w:val="20"/>
                <w:szCs w:val="20"/>
              </w:rPr>
              <w:t>结构</w:t>
            </w:r>
          </w:p>
        </w:tc>
        <w:tc>
          <w:tcPr>
            <w:tcW w:w="43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color w:val="auto"/>
                <w:kern w:val="0"/>
                <w:sz w:val="20"/>
                <w:szCs w:val="20"/>
              </w:rPr>
            </w:pPr>
            <w:r>
              <w:rPr>
                <w:rFonts w:hint="eastAsia" w:cs="宋体"/>
                <w:b/>
                <w:color w:val="auto"/>
                <w:kern w:val="0"/>
                <w:sz w:val="20"/>
                <w:szCs w:val="20"/>
              </w:rPr>
              <w:t>楼层</w:t>
            </w:r>
          </w:p>
        </w:tc>
        <w:tc>
          <w:tcPr>
            <w:tcW w:w="43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color w:val="auto"/>
                <w:kern w:val="0"/>
                <w:sz w:val="20"/>
                <w:szCs w:val="20"/>
              </w:rPr>
            </w:pPr>
            <w:r>
              <w:rPr>
                <w:rFonts w:hint="eastAsia" w:cs="宋体"/>
                <w:b/>
                <w:color w:val="auto"/>
                <w:kern w:val="0"/>
                <w:sz w:val="20"/>
                <w:szCs w:val="20"/>
              </w:rPr>
              <w:t>用途</w:t>
            </w:r>
          </w:p>
        </w:tc>
        <w:tc>
          <w:tcPr>
            <w:tcW w:w="64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color w:val="auto"/>
                <w:kern w:val="0"/>
                <w:sz w:val="20"/>
                <w:szCs w:val="20"/>
              </w:rPr>
            </w:pPr>
            <w:r>
              <w:rPr>
                <w:rFonts w:hint="eastAsia" w:cs="宋体"/>
                <w:b/>
                <w:color w:val="auto"/>
                <w:kern w:val="0"/>
                <w:sz w:val="20"/>
                <w:szCs w:val="20"/>
              </w:rPr>
              <w:t>建筑面积（㎡）</w:t>
            </w:r>
          </w:p>
        </w:tc>
      </w:tr>
      <w:tr>
        <w:tblPrEx>
          <w:tblCellMar>
            <w:top w:w="0" w:type="dxa"/>
            <w:left w:w="108" w:type="dxa"/>
            <w:bottom w:w="0" w:type="dxa"/>
            <w:right w:w="108" w:type="dxa"/>
          </w:tblCellMar>
        </w:tblPrEx>
        <w:trPr>
          <w:trHeight w:val="499" w:hRule="atLeast"/>
        </w:trPr>
        <w:tc>
          <w:tcPr>
            <w:tcW w:w="65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龚亮明、胡小平、龚超</w:t>
            </w:r>
          </w:p>
        </w:tc>
        <w:tc>
          <w:tcPr>
            <w:tcW w:w="10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10012286</w:t>
            </w:r>
          </w:p>
        </w:tc>
        <w:tc>
          <w:tcPr>
            <w:tcW w:w="1326" w:type="pct"/>
            <w:tcBorders>
              <w:top w:val="nil"/>
              <w:left w:val="nil"/>
              <w:bottom w:val="single" w:color="auto" w:sz="4" w:space="0"/>
              <w:right w:val="single" w:color="auto" w:sz="4" w:space="0"/>
            </w:tcBorders>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市38号路西侧和谐小区7栋4单元04052号</w:t>
            </w:r>
          </w:p>
        </w:tc>
        <w:tc>
          <w:tcPr>
            <w:tcW w:w="415"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框架</w:t>
            </w:r>
          </w:p>
        </w:tc>
        <w:tc>
          <w:tcPr>
            <w:tcW w:w="435" w:type="pct"/>
            <w:tcBorders>
              <w:top w:val="nil"/>
              <w:left w:val="nil"/>
              <w:bottom w:val="single" w:color="auto" w:sz="4" w:space="0"/>
              <w:right w:val="single" w:color="auto" w:sz="4" w:space="0"/>
            </w:tcBorders>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6/7F</w:t>
            </w:r>
          </w:p>
        </w:tc>
        <w:tc>
          <w:tcPr>
            <w:tcW w:w="435" w:type="pct"/>
            <w:tcBorders>
              <w:top w:val="nil"/>
              <w:left w:val="nil"/>
              <w:bottom w:val="single" w:color="auto" w:sz="4" w:space="0"/>
              <w:right w:val="single" w:color="auto" w:sz="4" w:space="0"/>
            </w:tcBorders>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住宅</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69.01</w:t>
            </w:r>
          </w:p>
        </w:tc>
      </w:tr>
      <w:tr>
        <w:tblPrEx>
          <w:tblCellMar>
            <w:top w:w="0" w:type="dxa"/>
            <w:left w:w="108" w:type="dxa"/>
            <w:bottom w:w="0" w:type="dxa"/>
            <w:right w:w="108" w:type="dxa"/>
          </w:tblCellMar>
        </w:tblPrEx>
        <w:trPr>
          <w:trHeight w:val="499" w:hRule="atLeast"/>
        </w:trPr>
        <w:tc>
          <w:tcPr>
            <w:tcW w:w="658" w:type="pct"/>
            <w:vMerge w:val="continue"/>
            <w:tcBorders>
              <w:top w:val="nil"/>
              <w:left w:val="single" w:color="auto" w:sz="4" w:space="0"/>
              <w:bottom w:val="single" w:color="auto" w:sz="4" w:space="0"/>
              <w:right w:val="single" w:color="auto" w:sz="4" w:space="0"/>
            </w:tcBorders>
            <w:vAlign w:val="center"/>
          </w:tcPr>
          <w:p>
            <w:pPr>
              <w:widowControl/>
              <w:jc w:val="left"/>
              <w:rPr>
                <w:rFonts w:cs="宋体"/>
                <w:color w:val="auto"/>
                <w:kern w:val="0"/>
                <w:sz w:val="20"/>
                <w:szCs w:val="20"/>
              </w:rPr>
            </w:pPr>
          </w:p>
        </w:tc>
        <w:tc>
          <w:tcPr>
            <w:tcW w:w="1083" w:type="pct"/>
            <w:vMerge w:val="continue"/>
            <w:tcBorders>
              <w:top w:val="nil"/>
              <w:left w:val="single" w:color="auto" w:sz="4" w:space="0"/>
              <w:bottom w:val="single" w:color="auto" w:sz="4" w:space="0"/>
              <w:right w:val="single" w:color="auto" w:sz="4" w:space="0"/>
            </w:tcBorders>
            <w:vAlign w:val="center"/>
          </w:tcPr>
          <w:p>
            <w:pPr>
              <w:widowControl/>
              <w:jc w:val="left"/>
              <w:rPr>
                <w:rFonts w:cs="宋体"/>
                <w:color w:val="auto"/>
                <w:kern w:val="0"/>
                <w:sz w:val="20"/>
                <w:szCs w:val="20"/>
              </w:rPr>
            </w:pPr>
          </w:p>
        </w:tc>
        <w:tc>
          <w:tcPr>
            <w:tcW w:w="1326" w:type="pct"/>
            <w:tcBorders>
              <w:top w:val="nil"/>
              <w:left w:val="nil"/>
              <w:bottom w:val="single" w:color="auto" w:sz="4" w:space="0"/>
              <w:right w:val="single" w:color="auto" w:sz="4" w:space="0"/>
            </w:tcBorders>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4017号</w:t>
            </w:r>
          </w:p>
        </w:tc>
        <w:tc>
          <w:tcPr>
            <w:tcW w:w="415" w:type="pct"/>
            <w:vMerge w:val="continue"/>
            <w:tcBorders>
              <w:top w:val="nil"/>
              <w:left w:val="single" w:color="auto" w:sz="4" w:space="0"/>
              <w:bottom w:val="single" w:color="auto" w:sz="4" w:space="0"/>
              <w:right w:val="single" w:color="auto" w:sz="4" w:space="0"/>
            </w:tcBorders>
            <w:vAlign w:val="center"/>
          </w:tcPr>
          <w:p>
            <w:pPr>
              <w:widowControl/>
              <w:jc w:val="left"/>
              <w:rPr>
                <w:rFonts w:cs="宋体"/>
                <w:color w:val="auto"/>
                <w:kern w:val="0"/>
                <w:sz w:val="20"/>
                <w:szCs w:val="20"/>
              </w:rPr>
            </w:pPr>
          </w:p>
        </w:tc>
        <w:tc>
          <w:tcPr>
            <w:tcW w:w="435" w:type="pct"/>
            <w:tcBorders>
              <w:top w:val="nil"/>
              <w:left w:val="nil"/>
              <w:bottom w:val="single" w:color="auto" w:sz="4" w:space="0"/>
              <w:right w:val="single" w:color="auto" w:sz="4" w:space="0"/>
            </w:tcBorders>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1/7F</w:t>
            </w:r>
          </w:p>
        </w:tc>
        <w:tc>
          <w:tcPr>
            <w:tcW w:w="435" w:type="pct"/>
            <w:tcBorders>
              <w:top w:val="nil"/>
              <w:left w:val="nil"/>
              <w:bottom w:val="single" w:color="auto" w:sz="4" w:space="0"/>
              <w:right w:val="single" w:color="auto" w:sz="4" w:space="0"/>
            </w:tcBorders>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杂物间</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9.54</w:t>
            </w:r>
          </w:p>
        </w:tc>
      </w:tr>
    </w:tbl>
    <w:p>
      <w:pPr>
        <w:spacing w:line="520" w:lineRule="exact"/>
        <w:ind w:firstLine="560" w:firstLineChars="200"/>
        <w:rPr>
          <w:sz w:val="28"/>
          <w:szCs w:val="28"/>
        </w:rPr>
      </w:pPr>
      <w:r>
        <w:rPr>
          <w:rFonts w:hint="eastAsia"/>
          <w:sz w:val="28"/>
          <w:szCs w:val="28"/>
        </w:rPr>
        <w:t>（2）土地权益状况</w:t>
      </w:r>
    </w:p>
    <w:p>
      <w:pPr>
        <w:spacing w:line="520" w:lineRule="exact"/>
        <w:ind w:firstLine="560" w:firstLineChars="200"/>
        <w:rPr>
          <w:sz w:val="28"/>
          <w:szCs w:val="28"/>
        </w:rPr>
      </w:pPr>
      <w:r>
        <w:rPr>
          <w:rFonts w:hint="eastAsia"/>
          <w:color w:val="auto"/>
          <w:sz w:val="28"/>
          <w:szCs w:val="28"/>
        </w:rPr>
        <w:t>委托方</w:t>
      </w:r>
      <w:r>
        <w:rPr>
          <w:color w:val="auto"/>
          <w:sz w:val="28"/>
          <w:szCs w:val="28"/>
        </w:rPr>
        <w:t>提供的</w:t>
      </w:r>
      <w:r>
        <w:rPr>
          <w:rFonts w:hint="eastAsia"/>
          <w:sz w:val="28"/>
          <w:szCs w:val="28"/>
        </w:rPr>
        <w:t>《产权证信息》未显示估价对象土地状况。依据估价人员现场查勘，估价对象所在宗地地势平坦，形状较规则，实际开发程度为宗地外“六通”（通路、通电、供水、排水、通讯、通燃气），宗地内场地平整。</w:t>
      </w:r>
    </w:p>
    <w:p>
      <w:pPr>
        <w:spacing w:line="520" w:lineRule="exact"/>
        <w:ind w:firstLine="560" w:firstLineChars="200"/>
        <w:rPr>
          <w:sz w:val="28"/>
          <w:szCs w:val="28"/>
        </w:rPr>
      </w:pPr>
      <w:r>
        <w:rPr>
          <w:rFonts w:hint="eastAsia"/>
          <w:sz w:val="28"/>
          <w:szCs w:val="28"/>
        </w:rPr>
        <w:t>（3）他项权利状况</w:t>
      </w:r>
    </w:p>
    <w:p>
      <w:pPr>
        <w:spacing w:line="520" w:lineRule="exact"/>
        <w:ind w:firstLine="560" w:firstLineChars="200"/>
        <w:rPr>
          <w:sz w:val="28"/>
          <w:szCs w:val="28"/>
        </w:rPr>
      </w:pPr>
      <w:r>
        <w:rPr>
          <w:rFonts w:hint="eastAsia"/>
          <w:sz w:val="28"/>
          <w:szCs w:val="28"/>
        </w:rPr>
        <w:t>依据委托方提供的《产权证信息》，估价对象不存在抵押权，除此之外，委托方提供的相关资料及估价人员现场查勘未发现估价对象存在担保、租赁等其他他项权利。</w:t>
      </w:r>
    </w:p>
    <w:p>
      <w:pPr>
        <w:spacing w:line="520" w:lineRule="exact"/>
        <w:ind w:firstLine="562" w:firstLineChars="200"/>
        <w:rPr>
          <w:b/>
          <w:sz w:val="28"/>
          <w:szCs w:val="28"/>
        </w:rPr>
      </w:pPr>
      <w:r>
        <w:rPr>
          <w:rFonts w:hint="eastAsia"/>
          <w:b/>
          <w:sz w:val="28"/>
          <w:szCs w:val="28"/>
        </w:rPr>
        <w:t>估价对象6：鹰潭市月湖区四海东路</w:t>
      </w:r>
      <w:r>
        <w:rPr>
          <w:b/>
          <w:sz w:val="28"/>
          <w:szCs w:val="28"/>
        </w:rPr>
        <w:t>22号月湖明珠双水坑南苑B1栋02单元504室</w:t>
      </w:r>
    </w:p>
    <w:p>
      <w:pPr>
        <w:spacing w:line="520" w:lineRule="exact"/>
        <w:ind w:firstLine="560" w:firstLineChars="200"/>
        <w:rPr>
          <w:sz w:val="28"/>
          <w:szCs w:val="28"/>
        </w:rPr>
      </w:pPr>
      <w:r>
        <w:rPr>
          <w:rFonts w:hint="eastAsia" w:ascii="仿宋_GB2312" w:eastAsia="仿宋_GB2312"/>
          <w:sz w:val="28"/>
          <w:szCs w:val="28"/>
        </w:rPr>
        <w:t>1</w:t>
      </w:r>
      <w:r>
        <w:rPr>
          <w:rFonts w:hint="eastAsia"/>
          <w:sz w:val="28"/>
          <w:szCs w:val="28"/>
        </w:rPr>
        <w:t>、区位状况</w:t>
      </w:r>
    </w:p>
    <w:p>
      <w:pPr>
        <w:spacing w:line="520" w:lineRule="exact"/>
        <w:ind w:firstLine="560" w:firstLineChars="200"/>
        <w:rPr>
          <w:sz w:val="28"/>
          <w:szCs w:val="28"/>
        </w:rPr>
      </w:pPr>
      <w:r>
        <w:rPr>
          <w:rFonts w:hint="eastAsia"/>
          <w:sz w:val="28"/>
          <w:szCs w:val="28"/>
        </w:rPr>
        <w:t>（1）坐落</w:t>
      </w:r>
    </w:p>
    <w:p>
      <w:pPr>
        <w:spacing w:line="520" w:lineRule="exact"/>
        <w:ind w:firstLine="560" w:firstLineChars="200"/>
        <w:rPr>
          <w:sz w:val="28"/>
          <w:szCs w:val="28"/>
        </w:rPr>
      </w:pPr>
      <w:r>
        <w:rPr>
          <w:rFonts w:hint="eastAsia"/>
          <w:sz w:val="28"/>
          <w:szCs w:val="28"/>
        </w:rPr>
        <w:t>估价对象位于鹰潭市月湖区四海东路以南、南站路以东。</w:t>
      </w:r>
    </w:p>
    <w:p>
      <w:pPr>
        <w:spacing w:line="520" w:lineRule="exact"/>
        <w:ind w:firstLine="560" w:firstLineChars="200"/>
        <w:rPr>
          <w:sz w:val="28"/>
          <w:szCs w:val="28"/>
        </w:rPr>
      </w:pPr>
      <w:r>
        <w:rPr>
          <w:rFonts w:hint="eastAsia"/>
          <w:sz w:val="28"/>
          <w:szCs w:val="28"/>
        </w:rPr>
        <w:t>（2）楼层</w:t>
      </w:r>
    </w:p>
    <w:p>
      <w:pPr>
        <w:spacing w:line="520" w:lineRule="exact"/>
        <w:ind w:firstLine="560" w:firstLineChars="200"/>
        <w:rPr>
          <w:sz w:val="28"/>
          <w:szCs w:val="28"/>
        </w:rPr>
      </w:pPr>
      <w:r>
        <w:rPr>
          <w:rFonts w:hint="eastAsia"/>
          <w:sz w:val="28"/>
          <w:szCs w:val="28"/>
        </w:rPr>
        <w:t>估价对象所在建筑物共16层，估价对象位于第5层。</w:t>
      </w:r>
    </w:p>
    <w:p>
      <w:pPr>
        <w:spacing w:line="520" w:lineRule="exact"/>
        <w:ind w:firstLine="560" w:firstLineChars="200"/>
        <w:rPr>
          <w:color w:val="auto"/>
          <w:sz w:val="28"/>
          <w:szCs w:val="28"/>
        </w:rPr>
      </w:pPr>
      <w:r>
        <w:rPr>
          <w:rFonts w:hint="eastAsia"/>
          <w:sz w:val="28"/>
          <w:szCs w:val="28"/>
        </w:rPr>
        <w:t>（3）交通</w:t>
      </w:r>
    </w:p>
    <w:p>
      <w:pPr>
        <w:spacing w:line="520" w:lineRule="exact"/>
        <w:ind w:firstLine="560" w:firstLineChars="200"/>
        <w:rPr>
          <w:color w:val="auto"/>
          <w:sz w:val="28"/>
          <w:szCs w:val="28"/>
        </w:rPr>
      </w:pPr>
      <w:r>
        <w:rPr>
          <w:rFonts w:hint="eastAsia"/>
          <w:color w:val="auto"/>
          <w:sz w:val="28"/>
          <w:szCs w:val="28"/>
        </w:rPr>
        <w:t>估价对象周围有南站路、环城东路等交通干道，道路通达度较好，路网密集度较好，有29路、2路、3路、6路等公交线路，交通便捷度较好。</w:t>
      </w:r>
    </w:p>
    <w:p>
      <w:pPr>
        <w:spacing w:line="520" w:lineRule="exact"/>
        <w:ind w:firstLine="560" w:firstLineChars="200"/>
        <w:rPr>
          <w:sz w:val="28"/>
          <w:szCs w:val="28"/>
        </w:rPr>
      </w:pPr>
      <w:r>
        <w:rPr>
          <w:rFonts w:hint="eastAsia"/>
          <w:sz w:val="28"/>
          <w:szCs w:val="28"/>
        </w:rPr>
        <w:t>（4）环境及配套设施</w:t>
      </w:r>
    </w:p>
    <w:p>
      <w:pPr>
        <w:spacing w:line="520" w:lineRule="exact"/>
        <w:ind w:firstLine="560" w:firstLineChars="200"/>
        <w:rPr>
          <w:color w:val="auto"/>
          <w:sz w:val="28"/>
        </w:rPr>
      </w:pPr>
      <w:r>
        <w:rPr>
          <w:rFonts w:hint="eastAsia"/>
          <w:color w:val="auto"/>
          <w:sz w:val="28"/>
        </w:rPr>
        <w:t>估价对象位于鹰潭市月湖区,周围交通路网密集度较好，道路通达度较好，交通便捷度较好。有三角线社区、雅苑城、四海广场等多处居住社区，有鹰潭市中医院、江边街道金谷园社区卫生服务站、鹰潭市第二中学、鹰潭市第二小学、铁路西幼儿园、阳光幼儿园、中国工商银行、中国银行、中国邮政储蓄银行、鹰潭公园、东湖公园等配套设施，周围配套设施齐全，居住人口较多，整体环境较好。</w:t>
      </w:r>
    </w:p>
    <w:p>
      <w:pPr>
        <w:spacing w:line="520" w:lineRule="exact"/>
        <w:rPr>
          <w:rFonts w:ascii="仿宋_GB2312" w:eastAsia="仿宋_GB2312"/>
          <w:sz w:val="28"/>
          <w:szCs w:val="28"/>
        </w:rPr>
      </w:pPr>
      <w:r>
        <w:rPr>
          <w:rFonts w:hint="eastAsia" w:ascii="仿宋_GB2312" w:eastAsia="仿宋_GB2312"/>
          <w:sz w:val="28"/>
          <w:szCs w:val="28"/>
        </w:rPr>
        <w:t xml:space="preserve">  </w:t>
      </w:r>
      <w:r>
        <w:rPr>
          <w:rFonts w:hint="eastAsia"/>
          <w:sz w:val="28"/>
          <w:szCs w:val="28"/>
        </w:rPr>
        <w:t xml:space="preserve">   2、实物状况</w:t>
      </w:r>
    </w:p>
    <w:p>
      <w:pPr>
        <w:spacing w:line="520" w:lineRule="exact"/>
        <w:ind w:firstLine="560" w:firstLineChars="200"/>
        <w:rPr>
          <w:sz w:val="28"/>
          <w:szCs w:val="28"/>
        </w:rPr>
      </w:pPr>
      <w:r>
        <w:rPr>
          <w:rFonts w:hint="eastAsia"/>
          <w:sz w:val="28"/>
          <w:szCs w:val="28"/>
        </w:rPr>
        <w:t>外墙：涂料；</w:t>
      </w:r>
    </w:p>
    <w:p>
      <w:pPr>
        <w:spacing w:line="520" w:lineRule="exact"/>
        <w:ind w:firstLine="560" w:firstLineChars="200"/>
        <w:rPr>
          <w:sz w:val="28"/>
          <w:szCs w:val="28"/>
        </w:rPr>
      </w:pPr>
      <w:r>
        <w:rPr>
          <w:rFonts w:hint="eastAsia"/>
          <w:sz w:val="28"/>
          <w:szCs w:val="28"/>
        </w:rPr>
        <w:t>内装修：客厅及餐厅地面为地砖，墙面为墙砖，顶棚为石膏板吊顶；卧室地面为地板，墙面为壁纸、和顶棚为涂料；厨房和卫生间地面和墙面为瓷砖，顶棚为吊顶；</w:t>
      </w:r>
    </w:p>
    <w:p>
      <w:pPr>
        <w:spacing w:line="530" w:lineRule="exact"/>
        <w:ind w:firstLine="560" w:firstLineChars="200"/>
        <w:rPr>
          <w:sz w:val="28"/>
          <w:szCs w:val="28"/>
        </w:rPr>
      </w:pPr>
      <w:r>
        <w:rPr>
          <w:rFonts w:hint="eastAsia"/>
          <w:sz w:val="28"/>
          <w:szCs w:val="28"/>
        </w:rPr>
        <w:t>门窗：防盗门、铝合金外窗；</w:t>
      </w:r>
    </w:p>
    <w:p>
      <w:pPr>
        <w:spacing w:line="530" w:lineRule="exact"/>
        <w:ind w:firstLine="560" w:firstLineChars="200"/>
        <w:rPr>
          <w:sz w:val="28"/>
          <w:szCs w:val="28"/>
        </w:rPr>
      </w:pPr>
      <w:r>
        <w:rPr>
          <w:rFonts w:hint="eastAsia"/>
          <w:sz w:val="28"/>
          <w:szCs w:val="28"/>
        </w:rPr>
        <w:t>维护状况：较好；</w:t>
      </w:r>
    </w:p>
    <w:p>
      <w:pPr>
        <w:spacing w:line="530" w:lineRule="exact"/>
        <w:ind w:firstLine="560" w:firstLineChars="200"/>
        <w:rPr>
          <w:sz w:val="28"/>
          <w:szCs w:val="28"/>
        </w:rPr>
      </w:pPr>
      <w:r>
        <w:rPr>
          <w:rFonts w:hint="eastAsia"/>
          <w:sz w:val="28"/>
          <w:szCs w:val="28"/>
        </w:rPr>
        <w:t>利用状况：自住。</w:t>
      </w:r>
    </w:p>
    <w:p>
      <w:pPr>
        <w:spacing w:line="530" w:lineRule="exact"/>
        <w:ind w:firstLine="560" w:firstLineChars="200"/>
        <w:rPr>
          <w:sz w:val="28"/>
          <w:szCs w:val="28"/>
        </w:rPr>
      </w:pPr>
      <w:r>
        <w:rPr>
          <w:rFonts w:hint="eastAsia"/>
          <w:sz w:val="28"/>
          <w:szCs w:val="28"/>
        </w:rPr>
        <w:t>具体情况详见《估价对象现状照片》。</w:t>
      </w:r>
    </w:p>
    <w:p>
      <w:pPr>
        <w:spacing w:line="520" w:lineRule="exact"/>
        <w:ind w:firstLine="560" w:firstLineChars="200"/>
        <w:rPr>
          <w:sz w:val="28"/>
          <w:szCs w:val="28"/>
        </w:rPr>
      </w:pPr>
      <w:r>
        <w:rPr>
          <w:rFonts w:hint="eastAsia"/>
          <w:sz w:val="28"/>
          <w:szCs w:val="28"/>
        </w:rPr>
        <w:t>3、权益状况</w:t>
      </w:r>
    </w:p>
    <w:p>
      <w:pPr>
        <w:spacing w:line="520" w:lineRule="exact"/>
        <w:ind w:firstLine="560" w:firstLineChars="200"/>
        <w:rPr>
          <w:sz w:val="28"/>
          <w:szCs w:val="28"/>
        </w:rPr>
      </w:pPr>
      <w:r>
        <w:rPr>
          <w:rFonts w:hint="eastAsia"/>
          <w:sz w:val="28"/>
          <w:szCs w:val="28"/>
        </w:rPr>
        <w:t>（1）房屋权益状况</w:t>
      </w:r>
    </w:p>
    <w:p>
      <w:pPr>
        <w:spacing w:after="156" w:afterLines="50" w:line="500" w:lineRule="exact"/>
        <w:jc w:val="center"/>
        <w:rPr>
          <w:b/>
          <w:snapToGrid w:val="0"/>
          <w:kern w:val="0"/>
          <w:sz w:val="28"/>
          <w:szCs w:val="20"/>
        </w:rPr>
      </w:pPr>
      <w:r>
        <w:rPr>
          <w:rFonts w:hint="eastAsia"/>
          <w:b/>
          <w:snapToGrid w:val="0"/>
          <w:kern w:val="0"/>
          <w:sz w:val="28"/>
          <w:szCs w:val="20"/>
        </w:rPr>
        <w:t>房地产状况明细表</w:t>
      </w:r>
    </w:p>
    <w:tbl>
      <w:tblPr>
        <w:tblStyle w:val="28"/>
        <w:tblW w:w="5000" w:type="pct"/>
        <w:tblInd w:w="0" w:type="dxa"/>
        <w:tblLayout w:type="autofit"/>
        <w:tblCellMar>
          <w:top w:w="0" w:type="dxa"/>
          <w:left w:w="108" w:type="dxa"/>
          <w:bottom w:w="0" w:type="dxa"/>
          <w:right w:w="108" w:type="dxa"/>
        </w:tblCellMar>
      </w:tblPr>
      <w:tblGrid>
        <w:gridCol w:w="1226"/>
        <w:gridCol w:w="2019"/>
        <w:gridCol w:w="2472"/>
        <w:gridCol w:w="774"/>
        <w:gridCol w:w="811"/>
        <w:gridCol w:w="811"/>
        <w:gridCol w:w="1208"/>
      </w:tblGrid>
      <w:tr>
        <w:tblPrEx>
          <w:tblCellMar>
            <w:top w:w="0" w:type="dxa"/>
            <w:left w:w="108" w:type="dxa"/>
            <w:bottom w:w="0" w:type="dxa"/>
            <w:right w:w="108" w:type="dxa"/>
          </w:tblCellMar>
        </w:tblPrEx>
        <w:trPr>
          <w:trHeight w:val="499" w:hRule="atLeast"/>
        </w:trPr>
        <w:tc>
          <w:tcPr>
            <w:tcW w:w="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b/>
                <w:color w:val="auto"/>
                <w:kern w:val="0"/>
                <w:sz w:val="20"/>
                <w:szCs w:val="20"/>
              </w:rPr>
            </w:pPr>
            <w:r>
              <w:rPr>
                <w:rFonts w:hint="eastAsia" w:cs="宋体"/>
                <w:b/>
                <w:color w:val="auto"/>
                <w:kern w:val="0"/>
                <w:sz w:val="20"/>
                <w:szCs w:val="20"/>
              </w:rPr>
              <w:t>房屋所有权人</w:t>
            </w:r>
          </w:p>
        </w:tc>
        <w:tc>
          <w:tcPr>
            <w:tcW w:w="108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color w:val="auto"/>
                <w:kern w:val="0"/>
                <w:sz w:val="20"/>
                <w:szCs w:val="20"/>
              </w:rPr>
            </w:pPr>
            <w:r>
              <w:rPr>
                <w:rFonts w:hint="eastAsia" w:cs="宋体"/>
                <w:b/>
                <w:color w:val="auto"/>
                <w:kern w:val="0"/>
                <w:sz w:val="20"/>
                <w:szCs w:val="20"/>
              </w:rPr>
              <w:t>不动产权证书号</w:t>
            </w:r>
          </w:p>
        </w:tc>
        <w:tc>
          <w:tcPr>
            <w:tcW w:w="132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color w:val="auto"/>
                <w:kern w:val="0"/>
                <w:sz w:val="20"/>
                <w:szCs w:val="20"/>
              </w:rPr>
            </w:pPr>
            <w:r>
              <w:rPr>
                <w:rFonts w:hint="eastAsia" w:cs="宋体"/>
                <w:b/>
                <w:color w:val="auto"/>
                <w:kern w:val="0"/>
                <w:sz w:val="20"/>
                <w:szCs w:val="20"/>
              </w:rPr>
              <w:t>坐落</w:t>
            </w:r>
          </w:p>
        </w:tc>
        <w:tc>
          <w:tcPr>
            <w:tcW w:w="41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color w:val="auto"/>
                <w:kern w:val="0"/>
                <w:sz w:val="20"/>
                <w:szCs w:val="20"/>
              </w:rPr>
            </w:pPr>
            <w:r>
              <w:rPr>
                <w:rFonts w:hint="eastAsia" w:cs="宋体"/>
                <w:b/>
                <w:color w:val="auto"/>
                <w:kern w:val="0"/>
                <w:sz w:val="20"/>
                <w:szCs w:val="20"/>
              </w:rPr>
              <w:t>结构</w:t>
            </w:r>
          </w:p>
        </w:tc>
        <w:tc>
          <w:tcPr>
            <w:tcW w:w="43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color w:val="auto"/>
                <w:kern w:val="0"/>
                <w:sz w:val="20"/>
                <w:szCs w:val="20"/>
              </w:rPr>
            </w:pPr>
            <w:r>
              <w:rPr>
                <w:rFonts w:hint="eastAsia" w:cs="宋体"/>
                <w:b/>
                <w:color w:val="auto"/>
                <w:kern w:val="0"/>
                <w:sz w:val="20"/>
                <w:szCs w:val="20"/>
              </w:rPr>
              <w:t>楼层</w:t>
            </w:r>
          </w:p>
        </w:tc>
        <w:tc>
          <w:tcPr>
            <w:tcW w:w="43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color w:val="auto"/>
                <w:kern w:val="0"/>
                <w:sz w:val="20"/>
                <w:szCs w:val="20"/>
              </w:rPr>
            </w:pPr>
            <w:r>
              <w:rPr>
                <w:rFonts w:hint="eastAsia" w:cs="宋体"/>
                <w:b/>
                <w:color w:val="auto"/>
                <w:kern w:val="0"/>
                <w:sz w:val="20"/>
                <w:szCs w:val="20"/>
              </w:rPr>
              <w:t>用途</w:t>
            </w:r>
          </w:p>
        </w:tc>
        <w:tc>
          <w:tcPr>
            <w:tcW w:w="64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b/>
                <w:color w:val="auto"/>
                <w:kern w:val="0"/>
                <w:sz w:val="20"/>
                <w:szCs w:val="20"/>
              </w:rPr>
            </w:pPr>
            <w:r>
              <w:rPr>
                <w:rFonts w:hint="eastAsia" w:cs="宋体"/>
                <w:b/>
                <w:color w:val="auto"/>
                <w:kern w:val="0"/>
                <w:sz w:val="20"/>
                <w:szCs w:val="20"/>
              </w:rPr>
              <w:t>建筑面积（㎡）</w:t>
            </w:r>
          </w:p>
        </w:tc>
      </w:tr>
      <w:tr>
        <w:tblPrEx>
          <w:tblCellMar>
            <w:top w:w="0" w:type="dxa"/>
            <w:left w:w="108" w:type="dxa"/>
            <w:bottom w:w="0" w:type="dxa"/>
            <w:right w:w="108" w:type="dxa"/>
          </w:tblCellMar>
        </w:tblPrEx>
        <w:trPr>
          <w:trHeight w:val="885" w:hRule="atLeast"/>
        </w:trPr>
        <w:tc>
          <w:tcPr>
            <w:tcW w:w="65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钱坤、叶君</w:t>
            </w:r>
          </w:p>
        </w:tc>
        <w:tc>
          <w:tcPr>
            <w:tcW w:w="1083" w:type="pct"/>
            <w:tcBorders>
              <w:top w:val="nil"/>
              <w:left w:val="nil"/>
              <w:bottom w:val="single" w:color="auto" w:sz="4" w:space="0"/>
              <w:right w:val="single" w:color="auto" w:sz="4" w:space="0"/>
            </w:tcBorders>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赣（2021）鹰潭市不动产权第0001251号</w:t>
            </w:r>
          </w:p>
        </w:tc>
        <w:tc>
          <w:tcPr>
            <w:tcW w:w="1326" w:type="pct"/>
            <w:tcBorders>
              <w:top w:val="nil"/>
              <w:left w:val="nil"/>
              <w:bottom w:val="single" w:color="auto" w:sz="4" w:space="0"/>
              <w:right w:val="single" w:color="auto" w:sz="4" w:space="0"/>
            </w:tcBorders>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鹰潭市月湖区四海东路22号月湖明珠双水坑南苑B1栋02单元504室</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钢混</w:t>
            </w:r>
          </w:p>
        </w:tc>
        <w:tc>
          <w:tcPr>
            <w:tcW w:w="435" w:type="pct"/>
            <w:tcBorders>
              <w:top w:val="nil"/>
              <w:left w:val="nil"/>
              <w:bottom w:val="single" w:color="auto" w:sz="4" w:space="0"/>
              <w:right w:val="single" w:color="auto" w:sz="4" w:space="0"/>
            </w:tcBorders>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5/16F</w:t>
            </w:r>
          </w:p>
        </w:tc>
        <w:tc>
          <w:tcPr>
            <w:tcW w:w="435" w:type="pct"/>
            <w:tcBorders>
              <w:top w:val="nil"/>
              <w:left w:val="nil"/>
              <w:bottom w:val="single" w:color="auto" w:sz="4" w:space="0"/>
              <w:right w:val="single" w:color="auto" w:sz="4" w:space="0"/>
            </w:tcBorders>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住宅</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color w:val="auto"/>
                <w:kern w:val="0"/>
                <w:sz w:val="20"/>
                <w:szCs w:val="20"/>
              </w:rPr>
            </w:pPr>
            <w:r>
              <w:rPr>
                <w:rFonts w:hint="eastAsia" w:cs="宋体"/>
                <w:color w:val="auto"/>
                <w:kern w:val="0"/>
                <w:sz w:val="20"/>
                <w:szCs w:val="20"/>
              </w:rPr>
              <w:t>118.27</w:t>
            </w:r>
          </w:p>
        </w:tc>
      </w:tr>
    </w:tbl>
    <w:p>
      <w:pPr>
        <w:spacing w:line="520" w:lineRule="exact"/>
        <w:ind w:firstLine="560" w:firstLineChars="200"/>
        <w:rPr>
          <w:sz w:val="28"/>
          <w:szCs w:val="28"/>
        </w:rPr>
      </w:pPr>
      <w:r>
        <w:rPr>
          <w:rFonts w:hint="eastAsia"/>
          <w:sz w:val="28"/>
          <w:szCs w:val="28"/>
        </w:rPr>
        <w:t>（2）土地权益状况</w:t>
      </w:r>
    </w:p>
    <w:p>
      <w:pPr>
        <w:spacing w:line="520" w:lineRule="exact"/>
        <w:ind w:firstLine="560" w:firstLineChars="200"/>
        <w:rPr>
          <w:sz w:val="28"/>
          <w:szCs w:val="28"/>
        </w:rPr>
      </w:pPr>
      <w:r>
        <w:rPr>
          <w:rFonts w:hint="eastAsia"/>
          <w:color w:val="auto"/>
          <w:sz w:val="28"/>
          <w:szCs w:val="28"/>
        </w:rPr>
        <w:t>委托方</w:t>
      </w:r>
      <w:r>
        <w:rPr>
          <w:color w:val="auto"/>
          <w:sz w:val="28"/>
          <w:szCs w:val="28"/>
        </w:rPr>
        <w:t>提供的</w:t>
      </w:r>
      <w:r>
        <w:rPr>
          <w:rFonts w:hint="eastAsia"/>
          <w:sz w:val="28"/>
          <w:szCs w:val="28"/>
        </w:rPr>
        <w:t>《产权证信息》未显示估价对象土地状况。依据估价人员现场查勘，估价对象所在宗地地势平坦，形状较规则，实际开发程度为宗地外“六通”（通路、通电、供水、排水、通讯、通燃气），宗地内场地平整。</w:t>
      </w:r>
    </w:p>
    <w:p>
      <w:pPr>
        <w:spacing w:line="520" w:lineRule="exact"/>
        <w:ind w:firstLine="560" w:firstLineChars="200"/>
        <w:rPr>
          <w:sz w:val="28"/>
          <w:szCs w:val="28"/>
        </w:rPr>
      </w:pPr>
      <w:r>
        <w:rPr>
          <w:rFonts w:hint="eastAsia"/>
          <w:sz w:val="28"/>
          <w:szCs w:val="28"/>
        </w:rPr>
        <w:t>（3）他项权利状况</w:t>
      </w:r>
    </w:p>
    <w:p>
      <w:pPr>
        <w:spacing w:line="520" w:lineRule="exact"/>
        <w:ind w:firstLine="560" w:firstLineChars="200"/>
        <w:rPr>
          <w:sz w:val="28"/>
          <w:szCs w:val="28"/>
        </w:rPr>
      </w:pPr>
      <w:r>
        <w:rPr>
          <w:rFonts w:hint="eastAsia"/>
          <w:sz w:val="28"/>
          <w:szCs w:val="28"/>
        </w:rPr>
        <w:t>依据委托方提供的《产权证信息》，估价对象存在抵押权，除此之外，委托方提供的相关资料及估价人员现场查勘未发现估价对象存在担保、租赁等其他他项权利。</w:t>
      </w:r>
    </w:p>
    <w:p>
      <w:pPr>
        <w:spacing w:line="450" w:lineRule="exact"/>
        <w:ind w:firstLine="562" w:firstLineChars="200"/>
        <w:rPr>
          <w:b/>
          <w:sz w:val="28"/>
        </w:rPr>
      </w:pPr>
      <w:r>
        <w:rPr>
          <w:rFonts w:hint="eastAsia"/>
          <w:b/>
          <w:sz w:val="28"/>
        </w:rPr>
        <w:t>（四）估价目的：</w:t>
      </w:r>
    </w:p>
    <w:p>
      <w:pPr>
        <w:spacing w:line="450" w:lineRule="exact"/>
        <w:ind w:firstLine="560" w:firstLineChars="200"/>
        <w:rPr>
          <w:sz w:val="28"/>
          <w:szCs w:val="28"/>
        </w:rPr>
      </w:pPr>
      <w:r>
        <w:rPr>
          <w:rFonts w:hint="eastAsia"/>
          <w:sz w:val="28"/>
          <w:szCs w:val="28"/>
        </w:rPr>
        <w:t>为委托方</w:t>
      </w:r>
      <w:r>
        <w:rPr>
          <w:rFonts w:hint="eastAsia"/>
          <w:color w:val="auto"/>
          <w:sz w:val="28"/>
          <w:szCs w:val="28"/>
        </w:rPr>
        <w:t>执行（2021）贵法技委评字32号石帆、陶克、叶君、胡小萍刑事退赔纠纷一案提供价值参考依据。</w:t>
      </w:r>
    </w:p>
    <w:p>
      <w:pPr>
        <w:spacing w:line="450" w:lineRule="exact"/>
        <w:ind w:firstLine="562" w:firstLineChars="200"/>
        <w:rPr>
          <w:b/>
          <w:bCs/>
          <w:sz w:val="28"/>
          <w:szCs w:val="28"/>
        </w:rPr>
      </w:pPr>
      <w:r>
        <w:rPr>
          <w:rFonts w:hint="eastAsia"/>
          <w:b/>
          <w:bCs/>
          <w:sz w:val="28"/>
          <w:szCs w:val="28"/>
        </w:rPr>
        <w:t>（五）价值时点：</w:t>
      </w:r>
    </w:p>
    <w:p>
      <w:pPr>
        <w:spacing w:line="450" w:lineRule="exact"/>
        <w:ind w:firstLine="560" w:firstLineChars="200"/>
        <w:rPr>
          <w:sz w:val="28"/>
          <w:szCs w:val="28"/>
        </w:rPr>
      </w:pPr>
      <w:r>
        <w:rPr>
          <w:rFonts w:hint="eastAsia"/>
          <w:sz w:val="28"/>
          <w:szCs w:val="28"/>
        </w:rPr>
        <w:t>2021年10月10日</w:t>
      </w:r>
    </w:p>
    <w:p>
      <w:pPr>
        <w:spacing w:line="450" w:lineRule="exact"/>
        <w:ind w:firstLine="562" w:firstLineChars="200"/>
        <w:rPr>
          <w:b/>
          <w:bCs/>
          <w:sz w:val="28"/>
          <w:szCs w:val="28"/>
        </w:rPr>
      </w:pPr>
      <w:r>
        <w:rPr>
          <w:rFonts w:hint="eastAsia"/>
          <w:b/>
          <w:bCs/>
          <w:sz w:val="28"/>
          <w:szCs w:val="28"/>
        </w:rPr>
        <w:t>（六）价值定义：</w:t>
      </w:r>
    </w:p>
    <w:p>
      <w:pPr>
        <w:spacing w:line="450" w:lineRule="exact"/>
        <w:ind w:firstLine="560" w:firstLineChars="200"/>
        <w:rPr>
          <w:sz w:val="28"/>
          <w:szCs w:val="28"/>
        </w:rPr>
      </w:pPr>
      <w:r>
        <w:rPr>
          <w:rFonts w:hint="eastAsia"/>
          <w:sz w:val="28"/>
          <w:szCs w:val="28"/>
        </w:rPr>
        <w:t>公开市场价格。</w:t>
      </w:r>
    </w:p>
    <w:p>
      <w:pPr>
        <w:pStyle w:val="24"/>
        <w:spacing w:line="450" w:lineRule="exact"/>
        <w:rPr>
          <w:rFonts w:ascii="宋体" w:hAnsi="宋体" w:eastAsia="宋体"/>
          <w:szCs w:val="28"/>
        </w:rPr>
      </w:pPr>
      <w:r>
        <w:rPr>
          <w:rFonts w:hint="eastAsia" w:ascii="宋体" w:hAnsi="宋体" w:eastAsia="宋体"/>
          <w:color w:val="000000"/>
          <w:szCs w:val="28"/>
        </w:rPr>
        <w:t>公开市场：指产权转让双方进行产权转让的目的在于最大限度的追求经济利益，并掌握必要的市场信息，有较充裕的时间进行产权转让，对产权转让对象具有必要的专业知识，产权转让条件公开并不具有排他性。同时在产权转让期间</w:t>
      </w:r>
      <w:r>
        <w:rPr>
          <w:rFonts w:hint="eastAsia" w:ascii="宋体" w:hAnsi="宋体" w:eastAsia="宋体"/>
          <w:szCs w:val="28"/>
        </w:rPr>
        <w:t>，房地产市场保持稳定，且房地产买卖程序符合国家法律规定。</w:t>
      </w:r>
    </w:p>
    <w:p>
      <w:pPr>
        <w:spacing w:line="450" w:lineRule="exact"/>
        <w:ind w:firstLine="560" w:firstLineChars="200"/>
        <w:rPr>
          <w:color w:val="auto"/>
          <w:sz w:val="28"/>
          <w:szCs w:val="28"/>
        </w:rPr>
      </w:pPr>
      <w:r>
        <w:rPr>
          <w:rFonts w:hint="eastAsia"/>
          <w:color w:val="auto"/>
          <w:sz w:val="28"/>
          <w:szCs w:val="28"/>
        </w:rPr>
        <w:t>公开市场价格：指在公开市场上最可能形成或成立的价格。</w:t>
      </w:r>
    </w:p>
    <w:p>
      <w:pPr>
        <w:spacing w:line="450" w:lineRule="exact"/>
        <w:ind w:firstLine="562" w:firstLineChars="200"/>
        <w:rPr>
          <w:b/>
          <w:bCs/>
          <w:color w:val="auto"/>
          <w:sz w:val="28"/>
          <w:szCs w:val="28"/>
        </w:rPr>
      </w:pPr>
      <w:r>
        <w:rPr>
          <w:rFonts w:hint="eastAsia"/>
          <w:b/>
          <w:bCs/>
          <w:color w:val="auto"/>
          <w:sz w:val="28"/>
          <w:szCs w:val="28"/>
        </w:rPr>
        <w:t>（七）估价依据：</w:t>
      </w:r>
    </w:p>
    <w:p>
      <w:pPr>
        <w:tabs>
          <w:tab w:val="left" w:pos="267"/>
        </w:tabs>
        <w:adjustRightInd w:val="0"/>
        <w:snapToGrid w:val="0"/>
        <w:spacing w:line="500" w:lineRule="exact"/>
        <w:ind w:firstLine="275" w:firstLineChars="98"/>
        <w:rPr>
          <w:color w:val="auto"/>
          <w:kern w:val="0"/>
          <w:sz w:val="28"/>
          <w:szCs w:val="28"/>
        </w:rPr>
      </w:pPr>
      <w:r>
        <w:rPr>
          <w:b/>
          <w:color w:val="auto"/>
          <w:kern w:val="0"/>
          <w:sz w:val="28"/>
          <w:szCs w:val="28"/>
        </w:rPr>
        <w:t>（</w:t>
      </w:r>
      <w:r>
        <w:rPr>
          <w:rFonts w:hint="eastAsia"/>
          <w:b/>
          <w:color w:val="auto"/>
          <w:kern w:val="0"/>
          <w:sz w:val="28"/>
          <w:szCs w:val="28"/>
        </w:rPr>
        <w:t>1</w:t>
      </w:r>
      <w:r>
        <w:rPr>
          <w:b/>
          <w:color w:val="auto"/>
          <w:kern w:val="0"/>
          <w:sz w:val="28"/>
          <w:szCs w:val="28"/>
        </w:rPr>
        <w:t>）</w:t>
      </w:r>
      <w:r>
        <w:rPr>
          <w:rFonts w:hint="eastAsia"/>
          <w:b/>
          <w:color w:val="auto"/>
          <w:kern w:val="0"/>
          <w:sz w:val="28"/>
          <w:szCs w:val="28"/>
        </w:rPr>
        <w:t>相关法律法规</w:t>
      </w:r>
    </w:p>
    <w:p>
      <w:pPr>
        <w:tabs>
          <w:tab w:val="left" w:pos="267"/>
        </w:tabs>
        <w:adjustRightInd w:val="0"/>
        <w:snapToGrid w:val="0"/>
        <w:spacing w:line="500" w:lineRule="exact"/>
        <w:ind w:firstLine="570"/>
        <w:rPr>
          <w:kern w:val="0"/>
          <w:sz w:val="28"/>
          <w:szCs w:val="28"/>
        </w:rPr>
      </w:pPr>
      <w:r>
        <w:rPr>
          <w:rFonts w:hint="eastAsia"/>
          <w:color w:val="auto"/>
          <w:kern w:val="0"/>
          <w:sz w:val="28"/>
          <w:szCs w:val="28"/>
        </w:rPr>
        <w:t>1、</w:t>
      </w:r>
      <w:r>
        <w:rPr>
          <w:color w:val="auto"/>
          <w:kern w:val="0"/>
          <w:sz w:val="28"/>
          <w:szCs w:val="28"/>
        </w:rPr>
        <w:t>《中华人民共和国资</w:t>
      </w:r>
      <w:r>
        <w:rPr>
          <w:kern w:val="0"/>
          <w:sz w:val="28"/>
          <w:szCs w:val="28"/>
        </w:rPr>
        <w:t>产评估法》（中华人民共和国主席令第四十六号，2016年7月2日中华人民共和国第十二届全国人民代表大会常务委员会第二十一次会议通过并公布，2016年12月1日起施行）</w:t>
      </w:r>
      <w:r>
        <w:rPr>
          <w:rFonts w:hint="eastAsia"/>
          <w:kern w:val="0"/>
          <w:sz w:val="28"/>
          <w:szCs w:val="28"/>
        </w:rPr>
        <w:t>；</w:t>
      </w:r>
    </w:p>
    <w:p>
      <w:pPr>
        <w:tabs>
          <w:tab w:val="left" w:pos="267"/>
        </w:tabs>
        <w:adjustRightInd w:val="0"/>
        <w:snapToGrid w:val="0"/>
        <w:spacing w:line="500" w:lineRule="exact"/>
        <w:ind w:firstLine="570"/>
        <w:rPr>
          <w:kern w:val="0"/>
          <w:sz w:val="28"/>
          <w:szCs w:val="28"/>
        </w:rPr>
      </w:pPr>
      <w:r>
        <w:rPr>
          <w:rFonts w:hint="eastAsia"/>
          <w:kern w:val="0"/>
          <w:sz w:val="28"/>
          <w:szCs w:val="28"/>
        </w:rPr>
        <w:t>2、</w:t>
      </w:r>
      <w:r>
        <w:rPr>
          <w:kern w:val="0"/>
          <w:sz w:val="28"/>
          <w:szCs w:val="28"/>
        </w:rPr>
        <w:t>《中华人民共和国物权法》（中华人民共和国主席令第六十二 号，2007年3月16日第十届全国人民代表大会常务委员会第五次会议 通过并公布，2007年10月1日施行）</w:t>
      </w:r>
      <w:r>
        <w:rPr>
          <w:rFonts w:hint="eastAsia"/>
          <w:kern w:val="0"/>
          <w:sz w:val="28"/>
          <w:szCs w:val="28"/>
        </w:rPr>
        <w:t>；</w:t>
      </w:r>
    </w:p>
    <w:p>
      <w:pPr>
        <w:tabs>
          <w:tab w:val="left" w:pos="267"/>
        </w:tabs>
        <w:adjustRightInd w:val="0"/>
        <w:snapToGrid w:val="0"/>
        <w:spacing w:line="520" w:lineRule="exact"/>
        <w:ind w:firstLine="570"/>
        <w:rPr>
          <w:color w:val="auto"/>
          <w:kern w:val="0"/>
          <w:sz w:val="28"/>
          <w:szCs w:val="28"/>
        </w:rPr>
      </w:pPr>
      <w:r>
        <w:rPr>
          <w:rFonts w:hint="eastAsia"/>
          <w:kern w:val="0"/>
          <w:sz w:val="28"/>
          <w:szCs w:val="28"/>
        </w:rPr>
        <w:t>3、</w:t>
      </w:r>
      <w:r>
        <w:rPr>
          <w:color w:val="auto"/>
          <w:kern w:val="0"/>
          <w:sz w:val="28"/>
          <w:szCs w:val="28"/>
        </w:rPr>
        <w:t>《中华人民共和国城市房地产管理法》（20</w:t>
      </w:r>
      <w:r>
        <w:rPr>
          <w:rFonts w:hint="eastAsia"/>
          <w:color w:val="auto"/>
          <w:kern w:val="0"/>
          <w:sz w:val="28"/>
          <w:szCs w:val="28"/>
        </w:rPr>
        <w:t>19</w:t>
      </w:r>
      <w:r>
        <w:rPr>
          <w:color w:val="auto"/>
          <w:kern w:val="0"/>
          <w:sz w:val="28"/>
          <w:szCs w:val="28"/>
        </w:rPr>
        <w:t>年修正本）（中华人民共和国主席令第十八号，</w:t>
      </w:r>
      <w:r>
        <w:rPr>
          <w:rFonts w:hint="eastAsia"/>
          <w:color w:val="auto"/>
          <w:kern w:val="0"/>
          <w:sz w:val="28"/>
          <w:szCs w:val="28"/>
        </w:rPr>
        <w:t>根据2019年8月26日《全国人民代表大会常务委员会关于修改&lt;中华人民共和国土地管理法&gt;、&lt;中华人民共和国城市房地产管理法&gt;的决定》第三次修正</w:t>
      </w:r>
      <w:r>
        <w:rPr>
          <w:color w:val="auto"/>
          <w:kern w:val="0"/>
          <w:sz w:val="28"/>
          <w:szCs w:val="28"/>
        </w:rPr>
        <w:t>）；</w:t>
      </w:r>
    </w:p>
    <w:p>
      <w:pPr>
        <w:tabs>
          <w:tab w:val="left" w:pos="267"/>
        </w:tabs>
        <w:adjustRightInd w:val="0"/>
        <w:snapToGrid w:val="0"/>
        <w:spacing w:line="500" w:lineRule="exact"/>
        <w:ind w:firstLine="570"/>
        <w:rPr>
          <w:kern w:val="0"/>
          <w:sz w:val="28"/>
          <w:szCs w:val="28"/>
        </w:rPr>
      </w:pPr>
      <w:r>
        <w:rPr>
          <w:rFonts w:hint="eastAsia"/>
          <w:color w:val="auto"/>
          <w:kern w:val="0"/>
          <w:sz w:val="28"/>
          <w:szCs w:val="28"/>
        </w:rPr>
        <w:t>4</w:t>
      </w:r>
      <w:r>
        <w:rPr>
          <w:color w:val="auto"/>
          <w:kern w:val="0"/>
          <w:sz w:val="28"/>
          <w:szCs w:val="28"/>
        </w:rPr>
        <w:t>、《中华人民共和国土地管理法》（20</w:t>
      </w:r>
      <w:r>
        <w:rPr>
          <w:rFonts w:hint="eastAsia"/>
          <w:color w:val="auto"/>
          <w:kern w:val="0"/>
          <w:sz w:val="28"/>
          <w:szCs w:val="28"/>
        </w:rPr>
        <w:t>19</w:t>
      </w:r>
      <w:r>
        <w:rPr>
          <w:color w:val="auto"/>
          <w:kern w:val="0"/>
          <w:sz w:val="28"/>
          <w:szCs w:val="28"/>
        </w:rPr>
        <w:t>年修正本）（中华人民共和国主席令第二十八号，</w:t>
      </w:r>
      <w:r>
        <w:rPr>
          <w:rFonts w:hint="eastAsia"/>
          <w:color w:val="auto"/>
          <w:kern w:val="0"/>
          <w:sz w:val="28"/>
          <w:szCs w:val="28"/>
        </w:rPr>
        <w:t>根据2019年8月26日《全国人民代表大会常务委员会关于修改&lt;中华人民共和国土地管理法&gt;、&lt;中华人民共和国城市房地产管理法&gt;的决定》第三次修正</w:t>
      </w:r>
      <w:r>
        <w:rPr>
          <w:color w:val="auto"/>
          <w:kern w:val="0"/>
          <w:sz w:val="28"/>
          <w:szCs w:val="28"/>
        </w:rPr>
        <w:t>）</w:t>
      </w:r>
      <w:r>
        <w:rPr>
          <w:kern w:val="0"/>
          <w:sz w:val="28"/>
          <w:szCs w:val="28"/>
        </w:rPr>
        <w:t>；</w:t>
      </w:r>
    </w:p>
    <w:p>
      <w:pPr>
        <w:tabs>
          <w:tab w:val="left" w:pos="267"/>
        </w:tabs>
        <w:adjustRightInd w:val="0"/>
        <w:snapToGrid w:val="0"/>
        <w:spacing w:line="500" w:lineRule="exact"/>
        <w:ind w:firstLine="570"/>
        <w:rPr>
          <w:kern w:val="0"/>
          <w:sz w:val="28"/>
          <w:szCs w:val="28"/>
        </w:rPr>
      </w:pPr>
      <w:r>
        <w:rPr>
          <w:rFonts w:hint="eastAsia"/>
          <w:kern w:val="0"/>
          <w:sz w:val="28"/>
          <w:szCs w:val="28"/>
        </w:rPr>
        <w:t>5</w:t>
      </w:r>
      <w:r>
        <w:rPr>
          <w:kern w:val="0"/>
          <w:sz w:val="28"/>
          <w:szCs w:val="28"/>
        </w:rPr>
        <w:t>、《中华人民共和国城乡规划法》（中华人民共和国主席令第二 十三号令，2015年4月24日第十二届全国人民代表大会常务委员会第 十四次会议《全国人民代表大会常务委员会关于修改〈中华人民共和国港口法〉等七部法律的决定》通过并颁布施行）</w:t>
      </w:r>
    </w:p>
    <w:p>
      <w:pPr>
        <w:tabs>
          <w:tab w:val="left" w:pos="267"/>
        </w:tabs>
        <w:adjustRightInd w:val="0"/>
        <w:snapToGrid w:val="0"/>
        <w:spacing w:line="500" w:lineRule="exact"/>
        <w:ind w:firstLine="570"/>
        <w:rPr>
          <w:kern w:val="0"/>
          <w:sz w:val="28"/>
          <w:szCs w:val="28"/>
        </w:rPr>
      </w:pPr>
      <w:r>
        <w:rPr>
          <w:rFonts w:hint="eastAsia"/>
          <w:kern w:val="0"/>
          <w:sz w:val="28"/>
          <w:szCs w:val="28"/>
        </w:rPr>
        <w:t>6、《中华人民共和国民事诉讼法》(中华人民共和国主席令第59号,</w:t>
      </w:r>
      <w:r>
        <w:rPr>
          <w:kern w:val="0"/>
          <w:sz w:val="28"/>
          <w:szCs w:val="28"/>
        </w:rPr>
        <w:t xml:space="preserve"> </w:t>
      </w:r>
      <w:r>
        <w:rPr>
          <w:rFonts w:hint="eastAsia"/>
          <w:kern w:val="0"/>
          <w:sz w:val="28"/>
          <w:szCs w:val="28"/>
        </w:rPr>
        <w:t>2007年10月28日全国人民代表大会常务委员会第一次修正，2012年8月31日第二次修正，2017年6月27日第三次修正并实施)；</w:t>
      </w:r>
    </w:p>
    <w:p>
      <w:pPr>
        <w:pStyle w:val="22"/>
        <w:snapToGrid w:val="0"/>
        <w:spacing w:line="500" w:lineRule="exact"/>
        <w:ind w:left="0" w:firstLine="560" w:firstLineChars="200"/>
        <w:rPr>
          <w:sz w:val="28"/>
          <w:szCs w:val="28"/>
        </w:rPr>
      </w:pPr>
      <w:r>
        <w:rPr>
          <w:rFonts w:hint="eastAsia"/>
          <w:sz w:val="28"/>
          <w:szCs w:val="28"/>
        </w:rPr>
        <w:t>7、《最高人民法院关于人民法院网络司法拍卖若干问题的规定》(法释[2016]18号)；</w:t>
      </w:r>
    </w:p>
    <w:p>
      <w:pPr>
        <w:pStyle w:val="22"/>
        <w:snapToGrid w:val="0"/>
        <w:spacing w:line="500" w:lineRule="exact"/>
        <w:ind w:left="0" w:firstLine="560" w:firstLineChars="200"/>
        <w:rPr>
          <w:sz w:val="28"/>
          <w:szCs w:val="28"/>
        </w:rPr>
      </w:pPr>
      <w:r>
        <w:rPr>
          <w:rFonts w:hint="eastAsia"/>
          <w:sz w:val="28"/>
          <w:szCs w:val="28"/>
        </w:rPr>
        <w:t>8、《最高人民法院关于适用〈中华人民共和国民法典〉有关担保制度的解释》（法释〔</w:t>
      </w:r>
      <w:r>
        <w:rPr>
          <w:sz w:val="28"/>
          <w:szCs w:val="28"/>
        </w:rPr>
        <w:t>2020〕28号）</w:t>
      </w:r>
      <w:r>
        <w:rPr>
          <w:rFonts w:hint="eastAsia"/>
          <w:sz w:val="28"/>
          <w:szCs w:val="28"/>
        </w:rPr>
        <w:t>；</w:t>
      </w:r>
    </w:p>
    <w:p>
      <w:pPr>
        <w:pStyle w:val="22"/>
        <w:snapToGrid w:val="0"/>
        <w:spacing w:line="500" w:lineRule="exact"/>
        <w:ind w:left="0" w:firstLine="560" w:firstLineChars="200"/>
        <w:rPr>
          <w:sz w:val="28"/>
          <w:szCs w:val="28"/>
        </w:rPr>
      </w:pPr>
      <w:r>
        <w:rPr>
          <w:rFonts w:hint="eastAsia"/>
          <w:sz w:val="28"/>
          <w:szCs w:val="28"/>
        </w:rPr>
        <w:t>9、《最高人民法院关于审理建筑物区分所有权纠纷案件适用法律若干问题的解释》（法释</w:t>
      </w:r>
      <w:r>
        <w:rPr>
          <w:sz w:val="28"/>
          <w:szCs w:val="28"/>
        </w:rPr>
        <w:t>[2009]7号发</w:t>
      </w:r>
      <w:r>
        <w:rPr>
          <w:rFonts w:hint="eastAsia"/>
          <w:sz w:val="28"/>
          <w:szCs w:val="28"/>
        </w:rPr>
        <w:t>布，法释〔</w:t>
      </w:r>
      <w:r>
        <w:rPr>
          <w:sz w:val="28"/>
          <w:szCs w:val="28"/>
        </w:rPr>
        <w:t>2020〕17号修改）</w:t>
      </w:r>
      <w:r>
        <w:rPr>
          <w:rFonts w:hint="eastAsia"/>
          <w:sz w:val="28"/>
          <w:szCs w:val="28"/>
        </w:rPr>
        <w:t>；</w:t>
      </w:r>
    </w:p>
    <w:p>
      <w:pPr>
        <w:pStyle w:val="22"/>
        <w:snapToGrid w:val="0"/>
        <w:spacing w:line="500" w:lineRule="exact"/>
        <w:ind w:left="0" w:firstLine="560" w:firstLineChars="200"/>
        <w:rPr>
          <w:sz w:val="28"/>
          <w:szCs w:val="28"/>
        </w:rPr>
      </w:pPr>
      <w:r>
        <w:rPr>
          <w:rFonts w:hint="eastAsia"/>
          <w:sz w:val="28"/>
          <w:szCs w:val="28"/>
        </w:rPr>
        <w:t>10、《最高人民法院关于人民法院民事执行中拍卖、变卖财产的规定》（法释</w:t>
      </w:r>
      <w:r>
        <w:rPr>
          <w:sz w:val="28"/>
          <w:szCs w:val="28"/>
        </w:rPr>
        <w:t>[2004]16号发布，法释〔2020〕21号修改）</w:t>
      </w:r>
      <w:r>
        <w:rPr>
          <w:rFonts w:hint="eastAsia"/>
          <w:sz w:val="28"/>
          <w:szCs w:val="28"/>
        </w:rPr>
        <w:t>；</w:t>
      </w:r>
    </w:p>
    <w:p>
      <w:pPr>
        <w:tabs>
          <w:tab w:val="left" w:pos="267"/>
        </w:tabs>
        <w:adjustRightInd w:val="0"/>
        <w:snapToGrid w:val="0"/>
        <w:spacing w:line="500" w:lineRule="exact"/>
        <w:ind w:firstLine="570"/>
        <w:rPr>
          <w:kern w:val="0"/>
          <w:sz w:val="28"/>
          <w:szCs w:val="28"/>
        </w:rPr>
      </w:pPr>
      <w:r>
        <w:rPr>
          <w:rFonts w:hint="eastAsia"/>
          <w:kern w:val="0"/>
          <w:sz w:val="28"/>
          <w:szCs w:val="28"/>
        </w:rPr>
        <w:t>11、《司法鉴定程序通则》（中华人民共和国司法部令第132号，2016年3月2日）；</w:t>
      </w:r>
    </w:p>
    <w:p>
      <w:pPr>
        <w:tabs>
          <w:tab w:val="left" w:pos="4998"/>
        </w:tabs>
        <w:adjustRightInd w:val="0"/>
        <w:snapToGrid w:val="0"/>
        <w:spacing w:line="500" w:lineRule="exact"/>
        <w:ind w:firstLine="560" w:firstLineChars="200"/>
        <w:rPr>
          <w:kern w:val="0"/>
          <w:sz w:val="28"/>
          <w:szCs w:val="28"/>
        </w:rPr>
      </w:pPr>
      <w:r>
        <w:rPr>
          <w:rFonts w:hint="eastAsia"/>
          <w:kern w:val="0"/>
          <w:sz w:val="28"/>
          <w:szCs w:val="28"/>
        </w:rPr>
        <w:t>12</w:t>
      </w:r>
      <w:r>
        <w:rPr>
          <w:kern w:val="0"/>
          <w:sz w:val="28"/>
          <w:szCs w:val="28"/>
        </w:rPr>
        <w:t>、《城市房地产开发经营管理条例》（中华人民共和国国务院令 第248号，2007年7月20日国务院常务会议通过；根据2011年1月8日国务院令第588号《国务院关于废止和修改部分行政法规的决定》修订公布并实施）；</w:t>
      </w:r>
    </w:p>
    <w:p>
      <w:pPr>
        <w:tabs>
          <w:tab w:val="left" w:pos="4998"/>
        </w:tabs>
        <w:adjustRightInd w:val="0"/>
        <w:snapToGrid w:val="0"/>
        <w:spacing w:line="500" w:lineRule="exact"/>
        <w:ind w:firstLine="560" w:firstLineChars="200"/>
        <w:rPr>
          <w:kern w:val="0"/>
          <w:sz w:val="28"/>
          <w:szCs w:val="28"/>
        </w:rPr>
      </w:pPr>
      <w:r>
        <w:rPr>
          <w:rFonts w:hint="eastAsia"/>
          <w:kern w:val="0"/>
          <w:sz w:val="28"/>
          <w:szCs w:val="28"/>
        </w:rPr>
        <w:t>13</w:t>
      </w:r>
      <w:r>
        <w:rPr>
          <w:kern w:val="0"/>
          <w:sz w:val="28"/>
          <w:szCs w:val="28"/>
        </w:rPr>
        <w:t xml:space="preserve">、《中华人民共和国城镇国有土地使用权出让和转让暂行条例》 （中华人民共和国国务院令第55号，1990年5月19日公布并实施）； </w:t>
      </w:r>
      <w:r>
        <w:rPr>
          <w:rFonts w:hint="eastAsia"/>
          <w:kern w:val="0"/>
          <w:sz w:val="28"/>
          <w:szCs w:val="28"/>
        </w:rPr>
        <w:t xml:space="preserve">  </w:t>
      </w:r>
    </w:p>
    <w:p>
      <w:pPr>
        <w:tabs>
          <w:tab w:val="left" w:pos="4998"/>
        </w:tabs>
        <w:adjustRightInd w:val="0"/>
        <w:snapToGrid w:val="0"/>
        <w:spacing w:line="500" w:lineRule="exact"/>
        <w:ind w:firstLine="560" w:firstLineChars="200"/>
        <w:rPr>
          <w:kern w:val="0"/>
          <w:sz w:val="28"/>
          <w:szCs w:val="28"/>
        </w:rPr>
      </w:pPr>
      <w:r>
        <w:rPr>
          <w:rFonts w:hint="eastAsia"/>
          <w:kern w:val="0"/>
          <w:sz w:val="28"/>
          <w:szCs w:val="28"/>
        </w:rPr>
        <w:t>14</w:t>
      </w:r>
      <w:r>
        <w:rPr>
          <w:kern w:val="0"/>
          <w:sz w:val="28"/>
          <w:szCs w:val="28"/>
        </w:rPr>
        <w:t>、《中华人民共和国房产税暂行条例》（国发（1986）90号，1986 年9月15日国务院发布，同年10月1日正式实施；根据2011年1月8日国务院令第588号《国务院关于废止和修改部分行政法规的决定》修订公布并实施）；</w:t>
      </w:r>
    </w:p>
    <w:p>
      <w:pPr>
        <w:tabs>
          <w:tab w:val="left" w:pos="4998"/>
        </w:tabs>
        <w:adjustRightInd w:val="0"/>
        <w:snapToGrid w:val="0"/>
        <w:spacing w:line="500" w:lineRule="exact"/>
        <w:ind w:firstLine="560" w:firstLineChars="200"/>
        <w:rPr>
          <w:kern w:val="0"/>
          <w:sz w:val="28"/>
          <w:szCs w:val="28"/>
        </w:rPr>
      </w:pPr>
      <w:r>
        <w:rPr>
          <w:rFonts w:hint="eastAsia"/>
          <w:kern w:val="0"/>
          <w:sz w:val="28"/>
          <w:szCs w:val="28"/>
        </w:rPr>
        <w:t>15</w:t>
      </w:r>
      <w:r>
        <w:rPr>
          <w:kern w:val="0"/>
          <w:sz w:val="28"/>
          <w:szCs w:val="28"/>
        </w:rPr>
        <w:t xml:space="preserve">、《国家税务总局关于全面推开营业税改征增值税试点的通知》 （财税〔2016〕36号，2016年3月23日公布,2016年5月1日执行）； </w:t>
      </w:r>
    </w:p>
    <w:p>
      <w:pPr>
        <w:tabs>
          <w:tab w:val="left" w:pos="4998"/>
        </w:tabs>
        <w:adjustRightInd w:val="0"/>
        <w:snapToGrid w:val="0"/>
        <w:spacing w:line="500" w:lineRule="exact"/>
        <w:ind w:firstLine="560" w:firstLineChars="200"/>
        <w:rPr>
          <w:kern w:val="0"/>
          <w:sz w:val="28"/>
          <w:szCs w:val="28"/>
        </w:rPr>
      </w:pPr>
      <w:r>
        <w:rPr>
          <w:rFonts w:hint="eastAsia"/>
          <w:kern w:val="0"/>
          <w:sz w:val="28"/>
          <w:szCs w:val="28"/>
        </w:rPr>
        <w:t>16</w:t>
      </w:r>
      <w:r>
        <w:rPr>
          <w:kern w:val="0"/>
          <w:sz w:val="28"/>
          <w:szCs w:val="28"/>
        </w:rPr>
        <w:t>、《财政部税务总局关于调整增值税税率的通知》（财税 〔2018〕32号，2018年4月4日发布，2018年5月1日执行）；</w:t>
      </w:r>
    </w:p>
    <w:p>
      <w:pPr>
        <w:tabs>
          <w:tab w:val="left" w:pos="4998"/>
        </w:tabs>
        <w:adjustRightInd w:val="0"/>
        <w:snapToGrid w:val="0"/>
        <w:spacing w:line="500" w:lineRule="exact"/>
        <w:ind w:firstLine="560" w:firstLineChars="200"/>
        <w:rPr>
          <w:kern w:val="0"/>
          <w:sz w:val="28"/>
          <w:szCs w:val="28"/>
        </w:rPr>
      </w:pPr>
      <w:r>
        <w:rPr>
          <w:kern w:val="0"/>
          <w:sz w:val="28"/>
          <w:szCs w:val="28"/>
        </w:rPr>
        <w:t>1</w:t>
      </w:r>
      <w:r>
        <w:rPr>
          <w:rFonts w:hint="eastAsia"/>
          <w:kern w:val="0"/>
          <w:sz w:val="28"/>
          <w:szCs w:val="28"/>
        </w:rPr>
        <w:t>7</w:t>
      </w:r>
      <w:r>
        <w:rPr>
          <w:kern w:val="0"/>
          <w:sz w:val="28"/>
          <w:szCs w:val="28"/>
        </w:rPr>
        <w:t>、《中华人民共和国增值税暂行条例》（2017修正本）（中华人 民共和国国务院令第691号，根据2017年10月30日国务院第191次常务会议通过《国务院关于废止〈中华人民共和国营业税暂行条例〉和修改〈中华人民共和国增值税暂行条例〉的决定》第二次修订，2017年11月19日公布并实施）；</w:t>
      </w:r>
    </w:p>
    <w:p>
      <w:pPr>
        <w:tabs>
          <w:tab w:val="left" w:pos="4998"/>
        </w:tabs>
        <w:adjustRightInd w:val="0"/>
        <w:snapToGrid w:val="0"/>
        <w:spacing w:line="500" w:lineRule="exact"/>
        <w:ind w:firstLine="560" w:firstLineChars="200"/>
        <w:rPr>
          <w:kern w:val="0"/>
          <w:sz w:val="28"/>
          <w:szCs w:val="28"/>
        </w:rPr>
      </w:pPr>
      <w:r>
        <w:rPr>
          <w:kern w:val="0"/>
          <w:sz w:val="28"/>
          <w:szCs w:val="28"/>
        </w:rPr>
        <w:t>1</w:t>
      </w:r>
      <w:r>
        <w:rPr>
          <w:rFonts w:hint="eastAsia"/>
          <w:kern w:val="0"/>
          <w:sz w:val="28"/>
          <w:szCs w:val="28"/>
        </w:rPr>
        <w:t>8</w:t>
      </w:r>
      <w:r>
        <w:rPr>
          <w:kern w:val="0"/>
          <w:sz w:val="28"/>
          <w:szCs w:val="28"/>
        </w:rPr>
        <w:t>、《国务院关于修改〈征收教育费附加的暂行规定〉的决定》 （中华人民共和国国务院令第448号，2005年8月20日公布，同年10 月1日实施）；</w:t>
      </w:r>
    </w:p>
    <w:p>
      <w:pPr>
        <w:tabs>
          <w:tab w:val="left" w:pos="4998"/>
        </w:tabs>
        <w:adjustRightInd w:val="0"/>
        <w:snapToGrid w:val="0"/>
        <w:spacing w:line="500" w:lineRule="exact"/>
        <w:ind w:firstLine="560" w:firstLineChars="200"/>
        <w:rPr>
          <w:kern w:val="0"/>
          <w:sz w:val="28"/>
          <w:szCs w:val="28"/>
        </w:rPr>
      </w:pPr>
      <w:r>
        <w:rPr>
          <w:kern w:val="0"/>
          <w:sz w:val="28"/>
          <w:szCs w:val="28"/>
        </w:rPr>
        <w:t>1</w:t>
      </w:r>
      <w:r>
        <w:rPr>
          <w:rFonts w:hint="eastAsia"/>
          <w:kern w:val="0"/>
          <w:sz w:val="28"/>
          <w:szCs w:val="28"/>
        </w:rPr>
        <w:t>9</w:t>
      </w:r>
      <w:r>
        <w:rPr>
          <w:kern w:val="0"/>
          <w:sz w:val="28"/>
          <w:szCs w:val="28"/>
        </w:rPr>
        <w:t>、《城市房地产转让管理规定》（中华人民共和国建设部令第96号，2001年7月23日建设部第45次常务会议审议通过《建设部关于修改＜城市房地产转让管理规定＞的决定》），2001年8月15日公布并实施）</w:t>
      </w:r>
      <w:r>
        <w:rPr>
          <w:rFonts w:hint="eastAsia"/>
          <w:kern w:val="0"/>
          <w:sz w:val="28"/>
          <w:szCs w:val="28"/>
        </w:rPr>
        <w:t>。</w:t>
      </w:r>
    </w:p>
    <w:p>
      <w:pPr>
        <w:tabs>
          <w:tab w:val="left" w:pos="4998"/>
        </w:tabs>
        <w:adjustRightInd w:val="0"/>
        <w:snapToGrid w:val="0"/>
        <w:spacing w:line="500" w:lineRule="exact"/>
        <w:ind w:firstLine="562" w:firstLineChars="200"/>
        <w:rPr>
          <w:b/>
          <w:kern w:val="0"/>
          <w:sz w:val="28"/>
          <w:szCs w:val="28"/>
        </w:rPr>
      </w:pPr>
      <w:r>
        <w:rPr>
          <w:b/>
          <w:kern w:val="0"/>
          <w:sz w:val="28"/>
          <w:szCs w:val="28"/>
        </w:rPr>
        <w:t>（</w:t>
      </w:r>
      <w:r>
        <w:rPr>
          <w:rFonts w:hint="eastAsia"/>
          <w:b/>
          <w:kern w:val="0"/>
          <w:sz w:val="28"/>
          <w:szCs w:val="28"/>
        </w:rPr>
        <w:t>2</w:t>
      </w:r>
      <w:r>
        <w:rPr>
          <w:b/>
          <w:kern w:val="0"/>
          <w:sz w:val="28"/>
          <w:szCs w:val="28"/>
        </w:rPr>
        <w:t>）技术标准</w:t>
      </w:r>
    </w:p>
    <w:p>
      <w:pPr>
        <w:tabs>
          <w:tab w:val="left" w:pos="4998"/>
        </w:tabs>
        <w:adjustRightInd w:val="0"/>
        <w:snapToGrid w:val="0"/>
        <w:spacing w:line="500" w:lineRule="exact"/>
        <w:ind w:firstLine="560" w:firstLineChars="200"/>
        <w:rPr>
          <w:kern w:val="0"/>
          <w:sz w:val="28"/>
          <w:szCs w:val="28"/>
        </w:rPr>
      </w:pPr>
      <w:r>
        <w:rPr>
          <w:kern w:val="0"/>
          <w:sz w:val="28"/>
          <w:szCs w:val="28"/>
        </w:rPr>
        <w:t>1、《房地产估价规范》（GB/T 50291-2015）；</w:t>
      </w:r>
    </w:p>
    <w:p>
      <w:pPr>
        <w:tabs>
          <w:tab w:val="left" w:pos="4998"/>
        </w:tabs>
        <w:adjustRightInd w:val="0"/>
        <w:snapToGrid w:val="0"/>
        <w:spacing w:line="500" w:lineRule="exact"/>
        <w:ind w:firstLine="560" w:firstLineChars="200"/>
        <w:rPr>
          <w:kern w:val="0"/>
          <w:sz w:val="28"/>
          <w:szCs w:val="28"/>
        </w:rPr>
      </w:pPr>
      <w:r>
        <w:rPr>
          <w:kern w:val="0"/>
          <w:sz w:val="28"/>
          <w:szCs w:val="28"/>
        </w:rPr>
        <w:t>2、《城镇土地估价规程》（GB/T 18508-2014）；</w:t>
      </w:r>
    </w:p>
    <w:p>
      <w:pPr>
        <w:tabs>
          <w:tab w:val="left" w:pos="4998"/>
        </w:tabs>
        <w:adjustRightInd w:val="0"/>
        <w:snapToGrid w:val="0"/>
        <w:spacing w:line="500" w:lineRule="exact"/>
        <w:ind w:firstLine="560" w:firstLineChars="200"/>
        <w:rPr>
          <w:kern w:val="0"/>
          <w:sz w:val="28"/>
          <w:szCs w:val="28"/>
        </w:rPr>
      </w:pPr>
      <w:r>
        <w:rPr>
          <w:kern w:val="0"/>
          <w:sz w:val="28"/>
          <w:szCs w:val="28"/>
        </w:rPr>
        <w:t>3、《房地产估价基本术语标准》（GB/T 50899-2013）</w:t>
      </w:r>
      <w:r>
        <w:rPr>
          <w:rFonts w:hint="eastAsia"/>
          <w:kern w:val="0"/>
          <w:sz w:val="28"/>
          <w:szCs w:val="28"/>
        </w:rPr>
        <w:t>。</w:t>
      </w:r>
    </w:p>
    <w:p>
      <w:pPr>
        <w:spacing w:line="460" w:lineRule="exact"/>
        <w:ind w:firstLine="540" w:firstLineChars="192"/>
        <w:rPr>
          <w:sz w:val="28"/>
          <w:szCs w:val="28"/>
        </w:rPr>
      </w:pPr>
      <w:r>
        <w:rPr>
          <w:b/>
          <w:kern w:val="0"/>
          <w:sz w:val="28"/>
          <w:szCs w:val="28"/>
        </w:rPr>
        <w:t>（</w:t>
      </w:r>
      <w:r>
        <w:rPr>
          <w:rFonts w:hint="eastAsia"/>
          <w:b/>
          <w:kern w:val="0"/>
          <w:sz w:val="28"/>
          <w:szCs w:val="28"/>
        </w:rPr>
        <w:t>3</w:t>
      </w:r>
      <w:r>
        <w:rPr>
          <w:b/>
          <w:kern w:val="0"/>
          <w:sz w:val="28"/>
          <w:szCs w:val="28"/>
        </w:rPr>
        <w:t>）估价委托人提供的有关资料</w:t>
      </w:r>
      <w:r>
        <w:rPr>
          <w:rFonts w:hint="eastAsia"/>
          <w:sz w:val="28"/>
          <w:szCs w:val="28"/>
        </w:rPr>
        <w:t>：</w:t>
      </w:r>
    </w:p>
    <w:p>
      <w:pPr>
        <w:spacing w:line="460" w:lineRule="exact"/>
        <w:ind w:left="701" w:leftChars="267" w:hanging="140" w:hangingChars="50"/>
        <w:rPr>
          <w:sz w:val="28"/>
          <w:szCs w:val="28"/>
        </w:rPr>
      </w:pPr>
      <w:r>
        <w:rPr>
          <w:rFonts w:hint="eastAsia"/>
          <w:sz w:val="28"/>
          <w:szCs w:val="28"/>
        </w:rPr>
        <w:t>1、《贵溪市人民法院司法技术委托书》【（2021）贵法技委评字32号】；</w:t>
      </w:r>
    </w:p>
    <w:p>
      <w:pPr>
        <w:spacing w:line="460" w:lineRule="exact"/>
        <w:ind w:left="701" w:leftChars="267" w:hanging="140" w:hangingChars="50"/>
        <w:rPr>
          <w:sz w:val="28"/>
          <w:szCs w:val="28"/>
        </w:rPr>
      </w:pPr>
      <w:r>
        <w:rPr>
          <w:rFonts w:hint="eastAsia"/>
          <w:sz w:val="28"/>
          <w:szCs w:val="28"/>
        </w:rPr>
        <w:t>2、委托方提供的《房地产权登记信息》、《产权证信息》</w:t>
      </w:r>
      <w:r>
        <w:rPr>
          <w:rFonts w:hint="eastAsia"/>
          <w:color w:val="auto"/>
          <w:sz w:val="28"/>
          <w:szCs w:val="28"/>
        </w:rPr>
        <w:t>复印</w:t>
      </w:r>
      <w:r>
        <w:rPr>
          <w:rFonts w:hint="eastAsia"/>
          <w:sz w:val="28"/>
          <w:szCs w:val="28"/>
        </w:rPr>
        <w:t>件。</w:t>
      </w:r>
    </w:p>
    <w:p>
      <w:pPr>
        <w:adjustRightInd w:val="0"/>
        <w:snapToGrid w:val="0"/>
        <w:spacing w:line="500" w:lineRule="exact"/>
        <w:ind w:left="-10" w:leftChars="-5" w:firstLine="562" w:firstLineChars="200"/>
        <w:rPr>
          <w:b/>
          <w:kern w:val="0"/>
          <w:sz w:val="28"/>
          <w:szCs w:val="28"/>
        </w:rPr>
      </w:pPr>
      <w:r>
        <w:rPr>
          <w:b/>
          <w:kern w:val="0"/>
          <w:sz w:val="28"/>
          <w:szCs w:val="28"/>
        </w:rPr>
        <w:t>（</w:t>
      </w:r>
      <w:r>
        <w:rPr>
          <w:rFonts w:hint="eastAsia"/>
          <w:b/>
          <w:kern w:val="0"/>
          <w:sz w:val="28"/>
          <w:szCs w:val="28"/>
        </w:rPr>
        <w:t>4</w:t>
      </w:r>
      <w:r>
        <w:rPr>
          <w:b/>
          <w:kern w:val="0"/>
          <w:sz w:val="28"/>
          <w:szCs w:val="28"/>
        </w:rPr>
        <w:t>）</w:t>
      </w:r>
      <w:r>
        <w:rPr>
          <w:rFonts w:hint="eastAsia"/>
          <w:b/>
          <w:kern w:val="0"/>
          <w:sz w:val="28"/>
          <w:szCs w:val="28"/>
        </w:rPr>
        <w:t>估价人员调查收集的相关资料</w:t>
      </w:r>
    </w:p>
    <w:p>
      <w:pPr>
        <w:autoSpaceDE w:val="0"/>
        <w:autoSpaceDN w:val="0"/>
        <w:adjustRightInd w:val="0"/>
        <w:snapToGrid w:val="0"/>
        <w:spacing w:line="500" w:lineRule="exact"/>
        <w:ind w:firstLine="540"/>
        <w:textAlignment w:val="bottom"/>
        <w:rPr>
          <w:sz w:val="28"/>
          <w:szCs w:val="28"/>
        </w:rPr>
      </w:pPr>
      <w:r>
        <w:rPr>
          <w:rFonts w:hint="eastAsia"/>
          <w:sz w:val="28"/>
          <w:szCs w:val="28"/>
        </w:rPr>
        <w:t>1、估价人员现场勘察、调查、收集的相关资料；</w:t>
      </w:r>
    </w:p>
    <w:p>
      <w:pPr>
        <w:spacing w:line="520" w:lineRule="exact"/>
        <w:ind w:firstLine="560" w:firstLineChars="200"/>
        <w:rPr>
          <w:sz w:val="28"/>
          <w:szCs w:val="28"/>
        </w:rPr>
      </w:pPr>
      <w:r>
        <w:rPr>
          <w:rFonts w:hint="eastAsia"/>
          <w:sz w:val="28"/>
          <w:szCs w:val="28"/>
        </w:rPr>
        <w:t>2、本公司掌握的有关信息资料。</w:t>
      </w:r>
    </w:p>
    <w:p>
      <w:pPr>
        <w:spacing w:line="530" w:lineRule="exact"/>
        <w:ind w:firstLine="413" w:firstLineChars="147"/>
        <w:rPr>
          <w:b/>
          <w:bCs/>
          <w:sz w:val="28"/>
          <w:szCs w:val="28"/>
        </w:rPr>
      </w:pPr>
      <w:r>
        <w:rPr>
          <w:rFonts w:hint="eastAsia"/>
          <w:b/>
          <w:bCs/>
          <w:sz w:val="28"/>
          <w:szCs w:val="28"/>
        </w:rPr>
        <w:t>（八）估价原则：</w:t>
      </w:r>
    </w:p>
    <w:p>
      <w:pPr>
        <w:spacing w:line="530" w:lineRule="exact"/>
        <w:ind w:firstLine="560" w:firstLineChars="200"/>
        <w:rPr>
          <w:sz w:val="28"/>
          <w:szCs w:val="28"/>
        </w:rPr>
      </w:pPr>
      <w:r>
        <w:rPr>
          <w:rFonts w:hint="eastAsia"/>
          <w:sz w:val="28"/>
          <w:szCs w:val="28"/>
        </w:rPr>
        <w:t>1、合法原则</w:t>
      </w:r>
    </w:p>
    <w:p>
      <w:pPr>
        <w:spacing w:line="530" w:lineRule="exact"/>
        <w:ind w:firstLine="560" w:firstLineChars="200"/>
        <w:rPr>
          <w:sz w:val="28"/>
          <w:szCs w:val="28"/>
        </w:rPr>
      </w:pPr>
      <w:r>
        <w:rPr>
          <w:rFonts w:hint="eastAsia"/>
          <w:sz w:val="28"/>
          <w:szCs w:val="28"/>
        </w:rPr>
        <w:t>要求房地产估价应以估价对象的合法权益为前提进行。</w:t>
      </w:r>
    </w:p>
    <w:p>
      <w:pPr>
        <w:spacing w:line="530" w:lineRule="exact"/>
        <w:ind w:firstLine="560" w:firstLineChars="200"/>
        <w:rPr>
          <w:sz w:val="28"/>
          <w:szCs w:val="28"/>
        </w:rPr>
      </w:pPr>
      <w:r>
        <w:rPr>
          <w:rFonts w:hint="eastAsia"/>
          <w:sz w:val="28"/>
          <w:szCs w:val="28"/>
        </w:rPr>
        <w:t>合法权益包括合法产权、合法使用、合法处分等方面。</w:t>
      </w:r>
    </w:p>
    <w:p>
      <w:pPr>
        <w:spacing w:line="530" w:lineRule="exact"/>
        <w:ind w:firstLine="560" w:firstLineChars="200"/>
        <w:rPr>
          <w:sz w:val="28"/>
          <w:szCs w:val="28"/>
        </w:rPr>
      </w:pPr>
      <w:r>
        <w:rPr>
          <w:rFonts w:hint="eastAsia"/>
          <w:sz w:val="28"/>
          <w:szCs w:val="28"/>
        </w:rPr>
        <w:t>2、最高最佳使用原则</w:t>
      </w:r>
    </w:p>
    <w:p>
      <w:pPr>
        <w:spacing w:line="530" w:lineRule="exact"/>
        <w:ind w:firstLine="560" w:firstLineChars="200"/>
        <w:rPr>
          <w:sz w:val="28"/>
          <w:szCs w:val="28"/>
        </w:rPr>
      </w:pPr>
      <w:r>
        <w:rPr>
          <w:rFonts w:hint="eastAsia"/>
          <w:sz w:val="28"/>
          <w:szCs w:val="28"/>
        </w:rPr>
        <w:t>要求房地产估价应以估价对象的最高最佳使用为前提进行。</w:t>
      </w:r>
    </w:p>
    <w:p>
      <w:pPr>
        <w:spacing w:line="530" w:lineRule="exact"/>
        <w:ind w:firstLine="560" w:firstLineChars="200"/>
        <w:rPr>
          <w:sz w:val="28"/>
          <w:szCs w:val="28"/>
        </w:rPr>
      </w:pPr>
      <w:r>
        <w:rPr>
          <w:rFonts w:hint="eastAsia"/>
          <w:sz w:val="28"/>
          <w:szCs w:val="28"/>
        </w:rPr>
        <w:t>最高最佳使用指法律上允许、技术上可能、经济上可行，经过充分合理的论证，能使估价对象的价值达到最大的一种最可能的使用。</w:t>
      </w:r>
    </w:p>
    <w:p>
      <w:pPr>
        <w:spacing w:line="530" w:lineRule="exact"/>
        <w:ind w:firstLine="560" w:firstLineChars="200"/>
        <w:rPr>
          <w:sz w:val="28"/>
          <w:szCs w:val="28"/>
        </w:rPr>
      </w:pPr>
      <w:r>
        <w:rPr>
          <w:rFonts w:hint="eastAsia"/>
          <w:sz w:val="28"/>
          <w:szCs w:val="28"/>
        </w:rPr>
        <w:t>3、替代原则</w:t>
      </w:r>
    </w:p>
    <w:p>
      <w:pPr>
        <w:spacing w:line="530" w:lineRule="exact"/>
        <w:ind w:firstLine="544" w:firstLineChars="200"/>
        <w:rPr>
          <w:spacing w:val="-4"/>
          <w:sz w:val="28"/>
          <w:szCs w:val="28"/>
        </w:rPr>
      </w:pPr>
      <w:r>
        <w:rPr>
          <w:rFonts w:hint="eastAsia"/>
          <w:spacing w:val="-4"/>
          <w:sz w:val="28"/>
          <w:szCs w:val="28"/>
        </w:rPr>
        <w:t>要求房地产估价结果不得明显偏离类似房地产在同等条件下的正常价格。</w:t>
      </w:r>
    </w:p>
    <w:p>
      <w:pPr>
        <w:spacing w:line="530" w:lineRule="exact"/>
        <w:ind w:firstLine="560" w:firstLineChars="200"/>
        <w:rPr>
          <w:sz w:val="28"/>
          <w:szCs w:val="28"/>
        </w:rPr>
      </w:pPr>
      <w:r>
        <w:rPr>
          <w:rFonts w:hint="eastAsia"/>
          <w:sz w:val="28"/>
          <w:szCs w:val="28"/>
        </w:rPr>
        <w:t>类似房地产是指与估价对象处在同一供求范围内，并在用途、规模、档次、建筑结构等方面与估价对象相同或相近的房地产。</w:t>
      </w:r>
    </w:p>
    <w:p>
      <w:pPr>
        <w:spacing w:line="530" w:lineRule="exact"/>
        <w:ind w:firstLine="560" w:firstLineChars="200"/>
        <w:rPr>
          <w:sz w:val="28"/>
          <w:szCs w:val="28"/>
        </w:rPr>
      </w:pPr>
      <w:r>
        <w:rPr>
          <w:rFonts w:hint="eastAsia"/>
          <w:sz w:val="28"/>
          <w:szCs w:val="28"/>
        </w:rPr>
        <w:t>同一供求圈上指与估价对象具有替代关系，价格会相互影响的房地产所处的区域范围。</w:t>
      </w:r>
    </w:p>
    <w:p>
      <w:pPr>
        <w:spacing w:line="530" w:lineRule="exact"/>
        <w:ind w:firstLine="560" w:firstLineChars="200"/>
        <w:rPr>
          <w:sz w:val="28"/>
          <w:szCs w:val="28"/>
        </w:rPr>
      </w:pPr>
      <w:r>
        <w:rPr>
          <w:rFonts w:hint="eastAsia"/>
          <w:sz w:val="28"/>
          <w:szCs w:val="28"/>
        </w:rPr>
        <w:t>4、价值时点原则</w:t>
      </w:r>
    </w:p>
    <w:p>
      <w:pPr>
        <w:pStyle w:val="24"/>
        <w:tabs>
          <w:tab w:val="left" w:pos="0"/>
        </w:tabs>
        <w:spacing w:line="530" w:lineRule="exact"/>
        <w:ind w:right="-61" w:rightChars="-29" w:firstLine="544"/>
        <w:rPr>
          <w:rFonts w:ascii="宋体" w:hAnsi="宋体" w:eastAsia="宋体"/>
          <w:color w:val="000000"/>
          <w:spacing w:val="-4"/>
          <w:szCs w:val="28"/>
        </w:rPr>
      </w:pPr>
      <w:r>
        <w:rPr>
          <w:rFonts w:hint="eastAsia" w:ascii="宋体" w:hAnsi="宋体" w:eastAsia="宋体"/>
          <w:color w:val="000000"/>
          <w:spacing w:val="-4"/>
          <w:szCs w:val="28"/>
        </w:rPr>
        <w:t>要求房地产估价结果应是估价对象在价值时点时的客观合理价格或价值。</w:t>
      </w:r>
    </w:p>
    <w:p>
      <w:pPr>
        <w:pStyle w:val="24"/>
        <w:spacing w:line="530" w:lineRule="exact"/>
        <w:ind w:firstLine="544"/>
        <w:rPr>
          <w:rFonts w:ascii="宋体" w:hAnsi="宋体" w:eastAsia="宋体"/>
          <w:color w:val="000000"/>
          <w:szCs w:val="28"/>
        </w:rPr>
      </w:pPr>
      <w:r>
        <w:rPr>
          <w:rFonts w:hint="eastAsia" w:ascii="宋体" w:hAnsi="宋体" w:eastAsia="宋体"/>
          <w:color w:val="000000"/>
          <w:spacing w:val="-4"/>
          <w:szCs w:val="28"/>
        </w:rPr>
        <w:t>价值时点是评估房地产价格的时间界定。由于房地产市场是不断变化的，因此在不同价值时点，同一项房地产往往具有不同的价格水平。本次评估对房地产的市场情况及其自身情况的界定，均以其在价值时点的状况为准</w:t>
      </w:r>
      <w:r>
        <w:rPr>
          <w:rFonts w:hint="eastAsia" w:ascii="宋体" w:hAnsi="宋体" w:eastAsia="宋体"/>
          <w:color w:val="000000"/>
          <w:szCs w:val="28"/>
        </w:rPr>
        <w:t>。</w:t>
      </w:r>
    </w:p>
    <w:p>
      <w:pPr>
        <w:spacing w:line="530" w:lineRule="exact"/>
        <w:ind w:firstLine="560" w:firstLineChars="200"/>
        <w:rPr>
          <w:sz w:val="28"/>
          <w:szCs w:val="28"/>
        </w:rPr>
      </w:pPr>
      <w:r>
        <w:rPr>
          <w:rFonts w:hint="eastAsia"/>
          <w:sz w:val="28"/>
          <w:szCs w:val="28"/>
        </w:rPr>
        <w:t>5、公平原则</w:t>
      </w:r>
    </w:p>
    <w:p>
      <w:pPr>
        <w:spacing w:line="530" w:lineRule="exact"/>
        <w:ind w:firstLine="560" w:firstLineChars="200"/>
        <w:rPr>
          <w:sz w:val="28"/>
          <w:szCs w:val="28"/>
        </w:rPr>
      </w:pPr>
      <w:r>
        <w:rPr>
          <w:rFonts w:hint="eastAsia"/>
          <w:sz w:val="28"/>
          <w:szCs w:val="28"/>
        </w:rPr>
        <w:t>要求房地产估价人员应站在中立的立场上，求出一个对各方当事人来说都是公平合理的价格。</w:t>
      </w:r>
    </w:p>
    <w:p>
      <w:pPr>
        <w:autoSpaceDE w:val="0"/>
        <w:autoSpaceDN w:val="0"/>
        <w:spacing w:line="530" w:lineRule="exact"/>
        <w:ind w:firstLine="562" w:firstLineChars="200"/>
        <w:textAlignment w:val="bottom"/>
        <w:rPr>
          <w:b/>
          <w:bCs/>
          <w:sz w:val="28"/>
          <w:szCs w:val="28"/>
        </w:rPr>
      </w:pPr>
      <w:r>
        <w:rPr>
          <w:rFonts w:hint="eastAsia"/>
          <w:b/>
          <w:bCs/>
          <w:sz w:val="28"/>
          <w:szCs w:val="28"/>
        </w:rPr>
        <w:t>（九）估价方法</w:t>
      </w:r>
    </w:p>
    <w:p>
      <w:pPr>
        <w:pStyle w:val="24"/>
        <w:tabs>
          <w:tab w:val="center" w:pos="4588"/>
        </w:tabs>
        <w:spacing w:line="360" w:lineRule="auto"/>
        <w:rPr>
          <w:rFonts w:ascii="宋体" w:hAnsi="宋体" w:eastAsia="宋体"/>
          <w:kern w:val="0"/>
          <w:szCs w:val="28"/>
        </w:rPr>
      </w:pPr>
      <w:r>
        <w:rPr>
          <w:rFonts w:hint="eastAsia" w:ascii="宋体" w:hAnsi="宋体" w:eastAsia="宋体"/>
          <w:kern w:val="0"/>
          <w:szCs w:val="28"/>
        </w:rPr>
        <w:t>1、估价方法的确定</w:t>
      </w:r>
      <w:r>
        <w:rPr>
          <w:rFonts w:ascii="宋体" w:hAnsi="宋体" w:eastAsia="宋体"/>
          <w:kern w:val="0"/>
          <w:szCs w:val="28"/>
        </w:rPr>
        <w:tab/>
      </w:r>
    </w:p>
    <w:p>
      <w:pPr>
        <w:pStyle w:val="24"/>
        <w:spacing w:line="360" w:lineRule="auto"/>
        <w:rPr>
          <w:rFonts w:ascii="宋体" w:hAnsi="宋体" w:eastAsia="宋体"/>
          <w:kern w:val="0"/>
          <w:szCs w:val="28"/>
        </w:rPr>
      </w:pPr>
      <w:r>
        <w:rPr>
          <w:rFonts w:hint="eastAsia" w:ascii="宋体" w:hAnsi="宋体" w:eastAsia="宋体"/>
          <w:kern w:val="0"/>
          <w:szCs w:val="28"/>
        </w:rPr>
        <w:t>①选用方法的理由</w:t>
      </w:r>
    </w:p>
    <w:p>
      <w:pPr>
        <w:pStyle w:val="24"/>
        <w:spacing w:line="360" w:lineRule="auto"/>
        <w:rPr>
          <w:rFonts w:ascii="宋体" w:hAnsi="宋体" w:eastAsia="宋体"/>
          <w:kern w:val="0"/>
          <w:szCs w:val="28"/>
        </w:rPr>
      </w:pPr>
      <w:r>
        <w:rPr>
          <w:rFonts w:ascii="宋体" w:hAnsi="宋体" w:eastAsia="宋体"/>
          <w:kern w:val="0"/>
          <w:szCs w:val="28"/>
        </w:rPr>
        <w:t>比较法：估价对象所在区域市场</w:t>
      </w:r>
      <w:r>
        <w:rPr>
          <w:rFonts w:hint="eastAsia" w:ascii="宋体" w:hAnsi="宋体" w:eastAsia="宋体"/>
          <w:kern w:val="0"/>
          <w:szCs w:val="28"/>
        </w:rPr>
        <w:t>有一定</w:t>
      </w:r>
      <w:r>
        <w:rPr>
          <w:rFonts w:ascii="宋体" w:hAnsi="宋体" w:eastAsia="宋体"/>
          <w:kern w:val="0"/>
          <w:szCs w:val="28"/>
        </w:rPr>
        <w:t>交易，存在类似房地产可比实例，符合比较法的适用条件，其计算结果能够反映该区域类似房地产的市场成交水平，故本次估价适宜选用比较法。</w:t>
      </w:r>
    </w:p>
    <w:p>
      <w:pPr>
        <w:pStyle w:val="24"/>
        <w:spacing w:line="360" w:lineRule="auto"/>
        <w:rPr>
          <w:rFonts w:ascii="宋体" w:hAnsi="宋体" w:eastAsia="宋体"/>
          <w:kern w:val="0"/>
          <w:szCs w:val="28"/>
        </w:rPr>
      </w:pPr>
      <w:r>
        <w:rPr>
          <w:rFonts w:hint="eastAsia" w:ascii="宋体" w:hAnsi="宋体" w:eastAsia="宋体"/>
          <w:kern w:val="0"/>
          <w:szCs w:val="28"/>
        </w:rPr>
        <w:t>②</w:t>
      </w:r>
      <w:r>
        <w:rPr>
          <w:rFonts w:ascii="宋体" w:hAnsi="宋体" w:eastAsia="宋体"/>
          <w:kern w:val="0"/>
          <w:szCs w:val="28"/>
        </w:rPr>
        <w:t>未选用方法的理由</w:t>
      </w:r>
    </w:p>
    <w:p>
      <w:pPr>
        <w:pStyle w:val="24"/>
        <w:spacing w:line="360" w:lineRule="auto"/>
        <w:rPr>
          <w:rFonts w:ascii="宋体" w:hAnsi="宋体" w:eastAsia="宋体"/>
          <w:kern w:val="0"/>
          <w:szCs w:val="28"/>
        </w:rPr>
      </w:pPr>
      <w:r>
        <w:rPr>
          <w:rFonts w:ascii="宋体" w:hAnsi="宋体" w:eastAsia="宋体"/>
          <w:kern w:val="0"/>
          <w:szCs w:val="28"/>
        </w:rPr>
        <w:t>收益法：</w:t>
      </w:r>
      <w:r>
        <w:rPr>
          <w:rFonts w:hint="eastAsia" w:ascii="宋体" w:hAnsi="宋体" w:eastAsia="宋体"/>
          <w:kern w:val="0"/>
          <w:szCs w:val="28"/>
        </w:rPr>
        <w:t>根据估价人员对估价对象所在区域的调查，估价对象</w:t>
      </w:r>
      <w:r>
        <w:rPr>
          <w:rFonts w:ascii="宋体" w:hAnsi="宋体" w:eastAsia="宋体"/>
          <w:kern w:val="0"/>
          <w:szCs w:val="28"/>
        </w:rPr>
        <w:t>作为</w:t>
      </w:r>
      <w:r>
        <w:rPr>
          <w:rFonts w:hint="eastAsia" w:ascii="宋体" w:hAnsi="宋体" w:eastAsia="宋体"/>
          <w:kern w:val="0"/>
          <w:szCs w:val="28"/>
        </w:rPr>
        <w:t>住宅，不属于收益性房地产，潜在收益租金水平低，初步测算结果与实际市场价格水平相差较大，故本次估价不适宜选用收益法。</w:t>
      </w:r>
    </w:p>
    <w:p>
      <w:pPr>
        <w:pStyle w:val="24"/>
        <w:spacing w:line="360" w:lineRule="auto"/>
        <w:rPr>
          <w:rFonts w:ascii="宋体" w:hAnsi="宋体" w:eastAsia="宋体"/>
          <w:kern w:val="0"/>
          <w:szCs w:val="28"/>
        </w:rPr>
      </w:pPr>
      <w:r>
        <w:rPr>
          <w:rFonts w:ascii="宋体" w:hAnsi="宋体" w:eastAsia="宋体"/>
          <w:kern w:val="0"/>
          <w:szCs w:val="28"/>
        </w:rPr>
        <w:t>成本法：成本法通过建筑成本累加得到估价对象价格，其较难客观反映房地产的市场水平，不适宜采用成本法进行评估。</w:t>
      </w:r>
    </w:p>
    <w:p>
      <w:pPr>
        <w:pStyle w:val="24"/>
        <w:spacing w:line="360" w:lineRule="auto"/>
        <w:rPr>
          <w:rFonts w:ascii="宋体" w:hAnsi="宋体" w:eastAsia="宋体"/>
          <w:kern w:val="0"/>
          <w:szCs w:val="28"/>
        </w:rPr>
      </w:pPr>
      <w:r>
        <w:rPr>
          <w:rFonts w:ascii="宋体" w:hAnsi="宋体" w:eastAsia="宋体"/>
          <w:kern w:val="0"/>
          <w:szCs w:val="28"/>
        </w:rPr>
        <w:t>假设开发法：由于假设开发法通常用作可供开发的土地、在建工程、可重新改造或改变用途的旧房等类型房地产的估价方法，估价对象为已建成的房地产，故本次估价不适宜选用假设开发法</w:t>
      </w:r>
      <w:r>
        <w:rPr>
          <w:rFonts w:hint="eastAsia" w:ascii="宋体" w:hAnsi="宋体" w:eastAsia="宋体"/>
          <w:kern w:val="0"/>
          <w:szCs w:val="28"/>
        </w:rPr>
        <w:t>。</w:t>
      </w:r>
    </w:p>
    <w:p>
      <w:pPr>
        <w:pStyle w:val="24"/>
        <w:spacing w:line="360" w:lineRule="auto"/>
        <w:rPr>
          <w:rFonts w:ascii="宋体" w:hAnsi="宋体" w:eastAsia="宋体"/>
          <w:kern w:val="0"/>
          <w:szCs w:val="28"/>
        </w:rPr>
      </w:pPr>
      <w:r>
        <w:rPr>
          <w:rFonts w:hint="eastAsia" w:ascii="宋体" w:hAnsi="宋体" w:eastAsia="宋体"/>
          <w:kern w:val="0"/>
          <w:szCs w:val="28"/>
        </w:rPr>
        <w:t>2、</w:t>
      </w:r>
      <w:r>
        <w:rPr>
          <w:rFonts w:ascii="宋体" w:hAnsi="宋体" w:eastAsia="宋体"/>
          <w:kern w:val="0"/>
          <w:szCs w:val="28"/>
        </w:rPr>
        <w:t>选用方法的定义</w:t>
      </w:r>
    </w:p>
    <w:p>
      <w:pPr>
        <w:spacing w:line="360" w:lineRule="auto"/>
        <w:ind w:firstLine="560" w:firstLineChars="200"/>
        <w:rPr>
          <w:kern w:val="0"/>
          <w:sz w:val="28"/>
          <w:szCs w:val="28"/>
        </w:rPr>
      </w:pPr>
      <w:r>
        <w:rPr>
          <w:rFonts w:hint="eastAsia"/>
          <w:kern w:val="0"/>
          <w:sz w:val="28"/>
          <w:szCs w:val="28"/>
        </w:rPr>
        <w:t>比较法是选取一定数量的可比实例，将它们与估价对象进行比较，根据其间的差异对可比实例成交价格进行处理后得到估价对象价值或价格的方法。比较法的本质是以房地产的实际成交价格为正常成交价格来求取房地产的价值，其理论依据是房地产价格形成的替代原理</w:t>
      </w:r>
      <w:r>
        <w:rPr>
          <w:kern w:val="0"/>
          <w:sz w:val="28"/>
          <w:szCs w:val="28"/>
        </w:rPr>
        <w:t>——</w:t>
      </w:r>
      <w:r>
        <w:rPr>
          <w:rFonts w:hint="eastAsia"/>
          <w:kern w:val="0"/>
          <w:sz w:val="28"/>
          <w:szCs w:val="28"/>
        </w:rPr>
        <w:t>同一种商品在同一个市场上具有相同的市场价值。</w:t>
      </w:r>
    </w:p>
    <w:p>
      <w:pPr>
        <w:pStyle w:val="24"/>
        <w:spacing w:line="530" w:lineRule="exact"/>
        <w:rPr>
          <w:rFonts w:ascii="宋体" w:hAnsi="宋体" w:eastAsia="宋体"/>
          <w:color w:val="000000"/>
          <w:kern w:val="0"/>
          <w:szCs w:val="28"/>
        </w:rPr>
      </w:pPr>
      <w:r>
        <w:rPr>
          <w:rFonts w:hint="eastAsia" w:ascii="宋体" w:hAnsi="宋体" w:eastAsia="宋体"/>
          <w:color w:val="000000"/>
          <w:kern w:val="0"/>
          <w:szCs w:val="28"/>
        </w:rPr>
        <w:t>比较法公式：估价对象价格=可比实例价格×交易情况修正×市场状况调整系数×房地产状况调整系数</w:t>
      </w:r>
      <w:r>
        <w:rPr>
          <w:rFonts w:ascii="宋体" w:hAnsi="宋体" w:eastAsia="宋体"/>
          <w:color w:val="000000"/>
          <w:kern w:val="0"/>
          <w:szCs w:val="28"/>
        </w:rPr>
        <w:t>。</w:t>
      </w:r>
    </w:p>
    <w:p>
      <w:pPr>
        <w:spacing w:line="530" w:lineRule="exact"/>
        <w:ind w:firstLine="413" w:firstLineChars="147"/>
        <w:jc w:val="left"/>
        <w:rPr>
          <w:b/>
          <w:bCs/>
          <w:sz w:val="28"/>
          <w:szCs w:val="28"/>
        </w:rPr>
      </w:pPr>
      <w:r>
        <w:rPr>
          <w:rFonts w:hint="eastAsia"/>
          <w:b/>
          <w:bCs/>
          <w:sz w:val="28"/>
          <w:szCs w:val="28"/>
        </w:rPr>
        <w:t>（十）估价结果</w:t>
      </w:r>
    </w:p>
    <w:p>
      <w:pPr>
        <w:spacing w:line="530" w:lineRule="exact"/>
        <w:ind w:firstLine="570"/>
        <w:rPr>
          <w:sz w:val="28"/>
          <w:szCs w:val="28"/>
        </w:rPr>
      </w:pPr>
      <w:r>
        <w:rPr>
          <w:rFonts w:hint="eastAsia"/>
          <w:sz w:val="28"/>
          <w:szCs w:val="28"/>
        </w:rPr>
        <w:t>估价人员根据估价目的，遵循估价原则，按照估价程序，运用科学的估价方法，在认真分析现有资料的基础上，经过全面细致的测算，并结合估价经验和对影响估价对象价值的因素的分析，确定估价对象在价值时点2021年10月10日的价格如下:</w:t>
      </w:r>
    </w:p>
    <w:p>
      <w:pPr>
        <w:spacing w:line="530" w:lineRule="exact"/>
        <w:ind w:firstLine="570"/>
        <w:rPr>
          <w:b/>
          <w:color w:val="auto"/>
          <w:sz w:val="28"/>
          <w:szCs w:val="28"/>
        </w:rPr>
      </w:pPr>
      <w:r>
        <w:rPr>
          <w:rFonts w:hint="eastAsia"/>
          <w:b/>
          <w:color w:val="auto"/>
          <w:sz w:val="28"/>
          <w:szCs w:val="28"/>
        </w:rPr>
        <w:t>房地产公开市场价格：人民币1306.29万元；</w:t>
      </w:r>
    </w:p>
    <w:p>
      <w:pPr>
        <w:spacing w:line="530" w:lineRule="exact"/>
        <w:ind w:firstLine="570"/>
        <w:rPr>
          <w:b/>
          <w:color w:val="auto"/>
          <w:sz w:val="28"/>
          <w:szCs w:val="28"/>
        </w:rPr>
      </w:pPr>
      <w:r>
        <w:rPr>
          <w:rFonts w:hint="eastAsia"/>
          <w:b/>
          <w:color w:val="auto"/>
          <w:sz w:val="28"/>
          <w:szCs w:val="28"/>
        </w:rPr>
        <w:t>人民币大写：壹仟叁佰零陆万贰仟玖佰元整。</w:t>
      </w:r>
    </w:p>
    <w:p>
      <w:pPr>
        <w:spacing w:line="530" w:lineRule="exact"/>
        <w:ind w:firstLine="437"/>
        <w:rPr>
          <w:color w:val="auto"/>
          <w:sz w:val="28"/>
          <w:szCs w:val="28"/>
        </w:rPr>
      </w:pPr>
      <w:r>
        <w:rPr>
          <w:rFonts w:hint="eastAsia"/>
          <w:color w:val="auto"/>
          <w:sz w:val="28"/>
          <w:szCs w:val="28"/>
        </w:rPr>
        <w:t>(具体结果详见房地产结果明细表)</w:t>
      </w:r>
    </w:p>
    <w:p>
      <w:pPr>
        <w:spacing w:line="550" w:lineRule="exact"/>
        <w:ind w:firstLine="562" w:firstLineChars="200"/>
        <w:rPr>
          <w:b/>
          <w:sz w:val="28"/>
          <w:szCs w:val="28"/>
        </w:rPr>
      </w:pPr>
      <w:r>
        <w:rPr>
          <w:rFonts w:hint="eastAsia"/>
          <w:b/>
          <w:sz w:val="28"/>
          <w:szCs w:val="28"/>
        </w:rPr>
        <w:t>(十一)实地查勘日期</w:t>
      </w:r>
    </w:p>
    <w:p>
      <w:pPr>
        <w:spacing w:line="550" w:lineRule="exact"/>
        <w:ind w:firstLine="840" w:firstLineChars="300"/>
        <w:rPr>
          <w:sz w:val="28"/>
        </w:rPr>
      </w:pPr>
      <w:r>
        <w:rPr>
          <w:rFonts w:hint="eastAsia"/>
          <w:sz w:val="28"/>
        </w:rPr>
        <w:t>二〇二一年十月十日</w:t>
      </w:r>
    </w:p>
    <w:p>
      <w:pPr>
        <w:pStyle w:val="11"/>
        <w:spacing w:line="430" w:lineRule="exact"/>
        <w:ind w:firstLine="562" w:firstLineChars="200"/>
        <w:rPr>
          <w:b/>
          <w:color w:val="000000"/>
        </w:rPr>
      </w:pPr>
      <w:r>
        <w:rPr>
          <w:rFonts w:hint="eastAsia"/>
          <w:b/>
          <w:color w:val="000000"/>
        </w:rPr>
        <w:t>（十二）估价人员</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7"/>
        <w:gridCol w:w="2097"/>
        <w:gridCol w:w="2097"/>
        <w:gridCol w:w="3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097" w:type="dxa"/>
            <w:vAlign w:val="center"/>
          </w:tcPr>
          <w:p>
            <w:pPr>
              <w:adjustRightInd w:val="0"/>
              <w:snapToGrid w:val="0"/>
              <w:jc w:val="center"/>
              <w:rPr>
                <w:rFonts w:cs="仿宋_GB2312"/>
                <w:snapToGrid w:val="0"/>
                <w:kern w:val="0"/>
                <w:sz w:val="28"/>
                <w:szCs w:val="28"/>
              </w:rPr>
            </w:pPr>
            <w:r>
              <w:rPr>
                <w:rFonts w:hint="eastAsia" w:cs="仿宋_GB2312"/>
                <w:snapToGrid w:val="0"/>
                <w:kern w:val="0"/>
                <w:sz w:val="28"/>
                <w:szCs w:val="28"/>
              </w:rPr>
              <w:t>姓名</w:t>
            </w:r>
          </w:p>
        </w:tc>
        <w:tc>
          <w:tcPr>
            <w:tcW w:w="2097" w:type="dxa"/>
            <w:vAlign w:val="center"/>
          </w:tcPr>
          <w:p>
            <w:pPr>
              <w:adjustRightInd w:val="0"/>
              <w:snapToGrid w:val="0"/>
              <w:jc w:val="center"/>
              <w:rPr>
                <w:rFonts w:cs="仿宋_GB2312"/>
                <w:snapToGrid w:val="0"/>
                <w:kern w:val="0"/>
                <w:sz w:val="28"/>
                <w:szCs w:val="28"/>
              </w:rPr>
            </w:pPr>
            <w:r>
              <w:rPr>
                <w:rFonts w:hint="eastAsia" w:cs="仿宋_GB2312"/>
                <w:snapToGrid w:val="0"/>
                <w:kern w:val="0"/>
                <w:sz w:val="28"/>
                <w:szCs w:val="28"/>
              </w:rPr>
              <w:t>注册号</w:t>
            </w:r>
          </w:p>
        </w:tc>
        <w:tc>
          <w:tcPr>
            <w:tcW w:w="2097" w:type="dxa"/>
            <w:vAlign w:val="center"/>
          </w:tcPr>
          <w:p>
            <w:pPr>
              <w:adjustRightInd w:val="0"/>
              <w:snapToGrid w:val="0"/>
              <w:jc w:val="center"/>
              <w:rPr>
                <w:rFonts w:cs="仿宋_GB2312"/>
                <w:snapToGrid w:val="0"/>
                <w:kern w:val="0"/>
                <w:sz w:val="28"/>
                <w:szCs w:val="28"/>
              </w:rPr>
            </w:pPr>
            <w:r>
              <w:rPr>
                <w:rFonts w:hint="eastAsia" w:cs="仿宋_GB2312"/>
                <w:snapToGrid w:val="0"/>
                <w:kern w:val="0"/>
                <w:sz w:val="28"/>
                <w:szCs w:val="28"/>
              </w:rPr>
              <w:t>签名</w:t>
            </w:r>
          </w:p>
        </w:tc>
        <w:tc>
          <w:tcPr>
            <w:tcW w:w="3062" w:type="dxa"/>
            <w:vAlign w:val="center"/>
          </w:tcPr>
          <w:p>
            <w:pPr>
              <w:adjustRightInd w:val="0"/>
              <w:snapToGrid w:val="0"/>
              <w:jc w:val="center"/>
              <w:rPr>
                <w:rFonts w:cs="仿宋_GB2312"/>
                <w:snapToGrid w:val="0"/>
                <w:kern w:val="0"/>
                <w:sz w:val="28"/>
                <w:szCs w:val="28"/>
              </w:rPr>
            </w:pPr>
            <w:r>
              <w:rPr>
                <w:rFonts w:hint="eastAsia" w:cs="仿宋_GB2312"/>
                <w:snapToGrid w:val="0"/>
                <w:kern w:val="0"/>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2097" w:type="dxa"/>
            <w:vAlign w:val="center"/>
          </w:tcPr>
          <w:p>
            <w:pPr>
              <w:adjustRightInd w:val="0"/>
              <w:snapToGrid w:val="0"/>
              <w:jc w:val="center"/>
              <w:rPr>
                <w:rFonts w:cs="仿宋_GB2312"/>
                <w:snapToGrid w:val="0"/>
                <w:kern w:val="0"/>
                <w:sz w:val="28"/>
                <w:szCs w:val="28"/>
              </w:rPr>
            </w:pPr>
            <w:r>
              <w:rPr>
                <w:rFonts w:hint="eastAsia" w:cs="仿宋_GB2312"/>
                <w:sz w:val="28"/>
                <w:szCs w:val="28"/>
              </w:rPr>
              <w:t xml:space="preserve"> 万莉莉</w:t>
            </w:r>
            <w:r>
              <w:rPr>
                <w:rFonts w:hint="eastAsia" w:cs="仿宋_GB2312"/>
                <w:sz w:val="28"/>
                <w:szCs w:val="28"/>
              </w:rPr>
              <w:tab/>
            </w:r>
          </w:p>
        </w:tc>
        <w:tc>
          <w:tcPr>
            <w:tcW w:w="2097" w:type="dxa"/>
            <w:vAlign w:val="center"/>
          </w:tcPr>
          <w:p>
            <w:pPr>
              <w:adjustRightInd w:val="0"/>
              <w:snapToGrid w:val="0"/>
              <w:jc w:val="center"/>
              <w:rPr>
                <w:rFonts w:cs="仿宋_GB2312"/>
                <w:snapToGrid w:val="0"/>
                <w:kern w:val="0"/>
                <w:sz w:val="28"/>
                <w:szCs w:val="28"/>
              </w:rPr>
            </w:pPr>
            <w:r>
              <w:rPr>
                <w:rFonts w:hint="eastAsia" w:cs="仿宋_GB2312"/>
                <w:sz w:val="28"/>
                <w:szCs w:val="28"/>
              </w:rPr>
              <w:t>3620090008</w:t>
            </w:r>
          </w:p>
        </w:tc>
        <w:tc>
          <w:tcPr>
            <w:tcW w:w="2097" w:type="dxa"/>
            <w:vAlign w:val="center"/>
          </w:tcPr>
          <w:p>
            <w:pPr>
              <w:adjustRightInd w:val="0"/>
              <w:snapToGrid w:val="0"/>
              <w:jc w:val="center"/>
              <w:rPr>
                <w:rFonts w:cs="仿宋_GB2312"/>
                <w:snapToGrid w:val="0"/>
                <w:kern w:val="0"/>
                <w:sz w:val="28"/>
                <w:szCs w:val="28"/>
              </w:rPr>
            </w:pPr>
          </w:p>
        </w:tc>
        <w:tc>
          <w:tcPr>
            <w:tcW w:w="3062" w:type="dxa"/>
            <w:vAlign w:val="center"/>
          </w:tcPr>
          <w:p>
            <w:pPr>
              <w:adjustRightInd w:val="0"/>
              <w:snapToGrid w:val="0"/>
              <w:jc w:val="right"/>
              <w:rPr>
                <w:rFonts w:cs="仿宋_GB2312"/>
                <w:snapToGrid w:val="0"/>
                <w:kern w:val="0"/>
                <w:sz w:val="28"/>
                <w:szCs w:val="28"/>
              </w:rPr>
            </w:pPr>
            <w:r>
              <w:rPr>
                <w:rFonts w:hint="eastAsia"/>
                <w:sz w:val="28"/>
                <w:szCs w:val="28"/>
              </w:rPr>
              <w:t>2021年10月22日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2097" w:type="dxa"/>
            <w:vAlign w:val="center"/>
          </w:tcPr>
          <w:p>
            <w:pPr>
              <w:adjustRightInd w:val="0"/>
              <w:snapToGrid w:val="0"/>
              <w:jc w:val="center"/>
              <w:rPr>
                <w:rFonts w:cs="仿宋_GB2312"/>
                <w:sz w:val="28"/>
                <w:szCs w:val="28"/>
              </w:rPr>
            </w:pPr>
            <w:r>
              <w:rPr>
                <w:rFonts w:hint="eastAsia" w:cs="仿宋_GB2312"/>
                <w:sz w:val="28"/>
                <w:szCs w:val="28"/>
              </w:rPr>
              <w:t>谭  暄</w:t>
            </w:r>
          </w:p>
        </w:tc>
        <w:tc>
          <w:tcPr>
            <w:tcW w:w="2097" w:type="dxa"/>
            <w:vAlign w:val="center"/>
          </w:tcPr>
          <w:p>
            <w:pPr>
              <w:adjustRightInd w:val="0"/>
              <w:snapToGrid w:val="0"/>
              <w:jc w:val="center"/>
              <w:rPr>
                <w:rFonts w:cs="仿宋_GB2312"/>
                <w:sz w:val="28"/>
                <w:szCs w:val="28"/>
              </w:rPr>
            </w:pPr>
            <w:r>
              <w:rPr>
                <w:rFonts w:hint="eastAsia" w:cs="仿宋_GB2312"/>
                <w:sz w:val="28"/>
                <w:szCs w:val="28"/>
              </w:rPr>
              <w:t>3620160048</w:t>
            </w:r>
          </w:p>
        </w:tc>
        <w:tc>
          <w:tcPr>
            <w:tcW w:w="2097" w:type="dxa"/>
            <w:vAlign w:val="center"/>
          </w:tcPr>
          <w:p>
            <w:pPr>
              <w:adjustRightInd w:val="0"/>
              <w:snapToGrid w:val="0"/>
              <w:jc w:val="center"/>
              <w:rPr>
                <w:rFonts w:cs="仿宋_GB2312"/>
                <w:sz w:val="28"/>
                <w:szCs w:val="28"/>
              </w:rPr>
            </w:pPr>
          </w:p>
        </w:tc>
        <w:tc>
          <w:tcPr>
            <w:tcW w:w="3062" w:type="dxa"/>
            <w:vAlign w:val="center"/>
          </w:tcPr>
          <w:p>
            <w:pPr>
              <w:adjustRightInd w:val="0"/>
              <w:snapToGrid w:val="0"/>
              <w:jc w:val="right"/>
              <w:rPr>
                <w:rFonts w:cs="仿宋_GB2312"/>
                <w:snapToGrid w:val="0"/>
                <w:kern w:val="0"/>
                <w:sz w:val="28"/>
                <w:szCs w:val="28"/>
              </w:rPr>
            </w:pPr>
            <w:r>
              <w:rPr>
                <w:rFonts w:hint="eastAsia"/>
                <w:sz w:val="28"/>
                <w:szCs w:val="28"/>
              </w:rPr>
              <w:t>2021年10月22日</w:t>
            </w:r>
          </w:p>
        </w:tc>
      </w:tr>
    </w:tbl>
    <w:p>
      <w:pPr>
        <w:spacing w:before="100" w:beforeAutospacing="1" w:after="100" w:afterAutospacing="1" w:line="430" w:lineRule="exact"/>
        <w:ind w:firstLine="562" w:firstLineChars="200"/>
        <w:rPr>
          <w:spacing w:val="10"/>
          <w:sz w:val="28"/>
          <w:szCs w:val="28"/>
          <w:u w:val="single"/>
        </w:rPr>
      </w:pPr>
      <w:r>
        <w:rPr>
          <w:rFonts w:hint="eastAsia"/>
          <w:b/>
          <w:bCs/>
          <w:sz w:val="28"/>
          <w:szCs w:val="28"/>
        </w:rPr>
        <w:t>（十三）估价作业日期：</w:t>
      </w:r>
    </w:p>
    <w:p>
      <w:pPr>
        <w:spacing w:before="100" w:beforeAutospacing="1" w:after="100" w:afterAutospacing="1" w:line="430" w:lineRule="exact"/>
        <w:ind w:firstLine="840" w:firstLineChars="300"/>
        <w:rPr>
          <w:sz w:val="28"/>
          <w:szCs w:val="28"/>
        </w:rPr>
      </w:pPr>
      <w:r>
        <w:rPr>
          <w:rFonts w:hint="eastAsia"/>
          <w:sz w:val="28"/>
          <w:szCs w:val="28"/>
        </w:rPr>
        <w:t>2021年10月10日至2021年10月22日</w:t>
      </w:r>
    </w:p>
    <w:p>
      <w:pPr>
        <w:spacing w:before="100" w:beforeAutospacing="1" w:after="100" w:afterAutospacing="1" w:line="430" w:lineRule="exact"/>
        <w:ind w:firstLine="551" w:firstLineChars="196"/>
        <w:rPr>
          <w:spacing w:val="10"/>
          <w:sz w:val="28"/>
          <w:szCs w:val="28"/>
          <w:u w:val="single"/>
        </w:rPr>
      </w:pPr>
      <w:r>
        <w:rPr>
          <w:rFonts w:hint="eastAsia"/>
          <w:b/>
          <w:bCs/>
          <w:sz w:val="28"/>
          <w:szCs w:val="28"/>
        </w:rPr>
        <w:t>（十四）估价报告应用的有效期：</w:t>
      </w:r>
    </w:p>
    <w:p>
      <w:pPr>
        <w:spacing w:line="430" w:lineRule="exact"/>
        <w:ind w:left="141" w:leftChars="67" w:firstLine="560" w:firstLineChars="200"/>
        <w:rPr>
          <w:sz w:val="28"/>
          <w:szCs w:val="28"/>
        </w:rPr>
      </w:pPr>
      <w:r>
        <w:rPr>
          <w:rFonts w:hint="eastAsia"/>
          <w:sz w:val="28"/>
          <w:szCs w:val="28"/>
        </w:rPr>
        <w:t>本估价报告应用的有效</w:t>
      </w:r>
      <w:r>
        <w:rPr>
          <w:rFonts w:hint="eastAsia"/>
          <w:color w:val="auto"/>
          <w:sz w:val="28"/>
          <w:szCs w:val="28"/>
        </w:rPr>
        <w:t>期，自报告提交日期2021年10月22日起至2022年10月21日止的壹年内有效</w:t>
      </w:r>
      <w:r>
        <w:rPr>
          <w:rFonts w:hint="eastAsia"/>
          <w:sz w:val="28"/>
          <w:szCs w:val="28"/>
        </w:rPr>
        <w:t>。</w:t>
      </w:r>
    </w:p>
    <w:p>
      <w:pPr>
        <w:spacing w:line="430" w:lineRule="exact"/>
        <w:ind w:firstLine="4060" w:firstLineChars="1450"/>
        <w:rPr>
          <w:sz w:val="28"/>
          <w:szCs w:val="28"/>
        </w:rPr>
      </w:pPr>
      <w:r>
        <w:rPr>
          <w:rFonts w:hint="eastAsia"/>
          <w:sz w:val="28"/>
          <w:szCs w:val="28"/>
        </w:rPr>
        <w:t xml:space="preserve">江西省中唐房地产评估顾问有限公司　　　　         </w:t>
      </w:r>
    </w:p>
    <w:p>
      <w:pPr>
        <w:spacing w:line="430" w:lineRule="exact"/>
        <w:ind w:firstLine="4760" w:firstLineChars="1700"/>
        <w:rPr>
          <w:sz w:val="28"/>
          <w:szCs w:val="28"/>
        </w:rPr>
      </w:pPr>
      <w:r>
        <w:rPr>
          <w:rFonts w:hint="eastAsia"/>
          <w:sz w:val="28"/>
          <w:szCs w:val="28"/>
        </w:rPr>
        <w:t xml:space="preserve"> 2021年10月22日</w:t>
      </w:r>
    </w:p>
    <w:p>
      <w:pPr>
        <w:spacing w:line="430" w:lineRule="exact"/>
        <w:rPr>
          <w:sz w:val="28"/>
          <w:szCs w:val="28"/>
        </w:rPr>
        <w:sectPr>
          <w:footerReference r:id="rId10" w:type="default"/>
          <w:footerReference r:id="rId11" w:type="even"/>
          <w:pgSz w:w="11906" w:h="16838"/>
          <w:pgMar w:top="1134" w:right="1361" w:bottom="1134" w:left="1440" w:header="851" w:footer="737" w:gutter="0"/>
          <w:cols w:space="720" w:num="1"/>
          <w:docGrid w:type="lines" w:linePitch="312" w:charSpace="0"/>
        </w:sectPr>
      </w:pPr>
    </w:p>
    <w:p>
      <w:pPr>
        <w:jc w:val="center"/>
        <w:rPr>
          <w:b/>
          <w:bCs/>
          <w:sz w:val="36"/>
          <w:szCs w:val="36"/>
        </w:rPr>
      </w:pPr>
      <w:r>
        <w:drawing>
          <wp:inline distT="0" distB="0" distL="0" distR="0">
            <wp:extent cx="5274310" cy="7031990"/>
            <wp:effectExtent l="0" t="0" r="2540" b="16510"/>
            <wp:docPr id="49" name="图片 6" descr="C:\Users\ADMINI~1\AppData\Local\Temp\WeChat Files\740ca225c3edd69f0cf7f5665c593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6" descr="C:\Users\ADMINI~1\AppData\Local\Temp\WeChat Files\740ca225c3edd69f0cf7f5665c593e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274310" cy="7032413"/>
                    </a:xfrm>
                    <a:prstGeom prst="rect">
                      <a:avLst/>
                    </a:prstGeom>
                    <a:noFill/>
                    <a:ln>
                      <a:noFill/>
                    </a:ln>
                  </pic:spPr>
                </pic:pic>
              </a:graphicData>
            </a:graphic>
          </wp:inline>
        </w:drawing>
      </w:r>
      <w:bookmarkStart w:id="0" w:name="_GoBack"/>
      <w:bookmarkEnd w:id="0"/>
    </w:p>
    <w:p>
      <w:pPr>
        <w:jc w:val="center"/>
        <w:rPr>
          <w:b/>
          <w:bCs/>
          <w:sz w:val="36"/>
          <w:szCs w:val="36"/>
        </w:rPr>
      </w:pPr>
    </w:p>
    <w:p>
      <w:pPr>
        <w:jc w:val="center"/>
        <w:rPr>
          <w:b/>
          <w:bCs/>
          <w:sz w:val="32"/>
          <w:szCs w:val="32"/>
        </w:rPr>
      </w:pPr>
    </w:p>
    <w:p>
      <w:pPr>
        <w:rPr>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rPr>
          <w:sz w:val="28"/>
          <w:szCs w:val="28"/>
        </w:rPr>
      </w:pPr>
    </w:p>
    <w:p>
      <w:pPr>
        <w:jc w:val="center"/>
        <w:rPr>
          <w:sz w:val="28"/>
          <w:szCs w:val="28"/>
        </w:rPr>
      </w:pPr>
    </w:p>
    <w:p>
      <w:pPr>
        <w:rPr>
          <w:sz w:val="28"/>
          <w:szCs w:val="28"/>
        </w:rPr>
      </w:pPr>
    </w:p>
    <w:p>
      <w:pPr>
        <w:rPr>
          <w:sz w:val="28"/>
          <w:szCs w:val="28"/>
        </w:rPr>
      </w:pPr>
    </w:p>
    <w:p/>
    <w:p/>
    <w:p/>
    <w:p/>
    <w:p/>
    <w:p/>
    <w:p/>
    <w:p/>
    <w:p/>
    <w:p/>
    <w:p/>
    <w:p/>
    <w:p/>
    <w:p/>
    <w:p/>
    <w:p/>
    <w:p/>
    <w:p/>
    <w:p/>
    <w:p/>
    <w:p/>
    <w:p/>
    <w:p/>
    <w:p/>
    <w:p/>
    <w:p/>
    <w:p/>
    <w:p/>
    <w:p/>
    <w:p/>
    <w:p/>
    <w:p/>
    <w:p/>
    <w:p/>
    <w:p/>
    <w:p/>
    <w:p/>
    <w:p/>
    <w:p/>
    <w:p/>
    <w:p/>
    <w:p/>
    <w:p>
      <w:pPr>
        <w:jc w:val="left"/>
        <w:rPr>
          <w:b/>
          <w:sz w:val="28"/>
        </w:rPr>
      </w:pPr>
    </w:p>
    <w:p>
      <w:pPr>
        <w:jc w:val="center"/>
      </w:pPr>
    </w:p>
    <w:p>
      <w:pPr>
        <w:jc w:val="center"/>
      </w:pPr>
    </w:p>
    <w:p>
      <w:pPr>
        <w:tabs>
          <w:tab w:val="left" w:pos="2520"/>
        </w:tabs>
      </w:pPr>
      <w:r>
        <w:tab/>
      </w:r>
    </w:p>
    <w:p>
      <w:pPr>
        <w:spacing w:line="480" w:lineRule="auto"/>
        <w:jc w:val="center"/>
        <w:rPr>
          <w:b/>
          <w:sz w:val="30"/>
          <w:szCs w:val="30"/>
        </w:rPr>
      </w:pPr>
    </w:p>
    <w:p>
      <w:pPr>
        <w:spacing w:line="480" w:lineRule="auto"/>
        <w:rPr>
          <w:b/>
          <w:sz w:val="30"/>
          <w:szCs w:val="30"/>
        </w:rPr>
      </w:pPr>
    </w:p>
    <w:sectPr>
      <w:headerReference r:id="rId12" w:type="default"/>
      <w:footerReference r:id="rId13" w:type="default"/>
      <w:footerReference r:id="rId14" w:type="even"/>
      <w:pgSz w:w="11906" w:h="16838"/>
      <w:pgMar w:top="623" w:right="926" w:bottom="19" w:left="1620" w:header="935"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幼圆">
    <w:altName w:val="宋体"/>
    <w:panose1 w:val="02010509060101010101"/>
    <w:charset w:val="86"/>
    <w:family w:val="modern"/>
    <w:pitch w:val="default"/>
    <w:sig w:usb0="00000000" w:usb1="00000000" w:usb2="0000001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360" w:wrap="around" w:vAnchor="text" w:hAnchor="page" w:x="10787" w:y="1"/>
      <w:rPr>
        <w:rStyle w:val="30"/>
        <w:sz w:val="24"/>
        <w:u w:val="single"/>
      </w:rPr>
    </w:pPr>
  </w:p>
  <w:p>
    <w:pPr>
      <w:pStyle w:val="13"/>
      <w:ind w:right="360"/>
      <w:rPr>
        <w:rFonts w:eastAsia="华文行楷"/>
        <w:sz w:val="24"/>
        <w:shd w:val="pct10" w:color="auto" w:fill="FFFFF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0"/>
      </w:rPr>
    </w:pPr>
    <w:r>
      <w:fldChar w:fldCharType="begin"/>
    </w:r>
    <w:r>
      <w:rPr>
        <w:rStyle w:val="30"/>
      </w:rPr>
      <w:instrText xml:space="preserve">PAGE  </w:instrText>
    </w:r>
    <w:r>
      <w:fldChar w:fldCharType="end"/>
    </w:r>
  </w:p>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6" w:space="0"/>
        <w:bottom w:val="none" w:color="auto" w:sz="0" w:space="0"/>
      </w:pBdr>
      <w:jc w:val="both"/>
      <w:rPr>
        <w:rFonts w:ascii="幼圆" w:eastAsia="幼圆"/>
        <w:i/>
        <w:sz w:val="21"/>
        <w:szCs w:val="21"/>
      </w:rPr>
    </w:pPr>
    <w:r>
      <w:rPr>
        <w:rFonts w:ascii="仿宋_GB2312" w:hAnsi="Times New Roman" w:eastAsia="仿宋_GB2312"/>
        <w:b/>
        <w:bCs/>
        <w:sz w:val="20"/>
      </w:rPr>
      <w:pict>
        <v:line id="_x0000_s2054" o:spid="_x0000_s2054" o:spt="20" style="position:absolute;left:0pt;margin-left:0pt;margin-top:-3.05pt;height:0pt;width:450pt;z-index:251661312;mso-width-relative:page;mso-height-relative:page;" coordsize="21600,21600">
          <v:path arrowok="t"/>
          <v:fill focussize="0,0"/>
          <v:stroke/>
          <v:imagedata o:title=""/>
          <o:lock v:ext="edit"/>
        </v:line>
      </w:pict>
    </w:r>
    <w:r>
      <w:rPr>
        <w:rFonts w:ascii="仿宋_GB2312" w:hAnsi="Times New Roman" w:eastAsia="仿宋_GB2312"/>
        <w:b/>
        <w:bCs/>
        <w:sz w:val="20"/>
      </w:rPr>
      <w:pict>
        <v:line id="_x0000_s2056" o:spid="_x0000_s2056" o:spt="20" style="position:absolute;left:0pt;margin-left:0pt;margin-top:-3.05pt;height:0pt;width:450pt;z-index:251662336;mso-width-relative:page;mso-height-relative:page;" coordsize="21600,21600">
          <v:path arrowok="t"/>
          <v:fill focussize="0,0"/>
          <v:stroke/>
          <v:imagedata o:title=""/>
          <o:lock v:ext="edit"/>
        </v:line>
      </w:pict>
    </w:r>
    <w:r>
      <w:rPr>
        <w:rFonts w:hint="eastAsia" w:ascii="幼圆" w:eastAsia="幼圆"/>
        <w:i/>
        <w:sz w:val="21"/>
        <w:szCs w:val="21"/>
      </w:rPr>
      <w:t>江西省中唐房地产评估顾问有限公司   Tel: 0791-86383031</w:t>
    </w:r>
  </w:p>
  <w:p>
    <w:pPr>
      <w:pStyle w:val="19"/>
      <w:rPr>
        <w:rFonts w:ascii="仿宋_GB2312" w:hAnsi="Times New Roman" w:eastAsia="仿宋_GB2312"/>
        <w:b/>
        <w:bCs/>
        <w:sz w:val="21"/>
      </w:rPr>
    </w:pPr>
    <w:r>
      <w:rPr>
        <w:rFonts w:hint="eastAsia"/>
      </w:rPr>
      <w:t xml:space="preserve">Jiangxi Zhongtang Real Estate Apprasing &amp;Consulting Co., Ltd                             </w:t>
    </w:r>
    <w:r>
      <w:rPr>
        <w:rFonts w:hint="eastAsia" w:ascii="仿宋_GB2312" w:hAnsi="Times New Roman" w:eastAsia="仿宋_GB2312"/>
        <w:b/>
        <w:bCs/>
        <w:sz w:val="21"/>
      </w:rPr>
      <w:t xml:space="preserve">  </w:t>
    </w:r>
    <w:r>
      <w:fldChar w:fldCharType="begin"/>
    </w:r>
    <w:r>
      <w:rPr>
        <w:rStyle w:val="30"/>
      </w:rPr>
      <w:instrText xml:space="preserve"> PAGE </w:instrText>
    </w:r>
    <w:r>
      <w:fldChar w:fldCharType="separate"/>
    </w:r>
    <w:r>
      <w:rPr>
        <w:rStyle w:val="30"/>
      </w:rPr>
      <w:t>3</w:t>
    </w:r>
    <w:r>
      <w:fldChar w:fldCharType="end"/>
    </w:r>
    <w:r>
      <w:rPr>
        <w:rFonts w:hint="eastAsia" w:ascii="仿宋_GB2312" w:hAnsi="Times New Roman" w:eastAsia="仿宋_GB2312"/>
        <w:b/>
        <w:bCs/>
        <w:sz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0"/>
        <w:b/>
      </w:rPr>
    </w:pPr>
    <w:r>
      <w:rPr>
        <w:rStyle w:val="30"/>
        <w:b/>
      </w:rPr>
      <w:fldChar w:fldCharType="begin"/>
    </w:r>
    <w:r>
      <w:rPr>
        <w:rStyle w:val="30"/>
        <w:b/>
      </w:rPr>
      <w:instrText xml:space="preserve">PAGE  </w:instrText>
    </w:r>
    <w:r>
      <w:rPr>
        <w:rStyle w:val="30"/>
        <w:b/>
      </w:rPr>
      <w:fldChar w:fldCharType="separate"/>
    </w:r>
    <w:r>
      <w:rPr>
        <w:rStyle w:val="30"/>
        <w:b/>
      </w:rPr>
      <w:t>5</w:t>
    </w:r>
    <w:r>
      <w:rPr>
        <w:rStyle w:val="30"/>
        <w:b/>
      </w:rPr>
      <w:fldChar w:fldCharType="end"/>
    </w:r>
  </w:p>
  <w:p>
    <w:pPr>
      <w:pStyle w:val="20"/>
      <w:pBdr>
        <w:top w:val="single" w:color="auto" w:sz="6" w:space="0"/>
        <w:bottom w:val="none" w:color="auto" w:sz="0" w:space="0"/>
      </w:pBdr>
      <w:jc w:val="both"/>
      <w:rPr>
        <w:rFonts w:ascii="幼圆" w:eastAsia="幼圆"/>
        <w:i/>
        <w:sz w:val="21"/>
      </w:rPr>
    </w:pPr>
    <w:r>
      <w:rPr>
        <w:rFonts w:hint="eastAsia" w:ascii="幼圆" w:eastAsia="幼圆"/>
        <w:i/>
        <w:sz w:val="21"/>
      </w:rPr>
      <w:t>江西省中唐房地产评估顾问有限公司   Tel: 0791-86383031</w:t>
    </w:r>
  </w:p>
  <w:p>
    <w:pPr>
      <w:pStyle w:val="20"/>
      <w:pBdr>
        <w:top w:val="single" w:color="auto" w:sz="6" w:space="0"/>
        <w:bottom w:val="none" w:color="auto" w:sz="0" w:space="0"/>
      </w:pBdr>
      <w:jc w:val="both"/>
      <w:rPr>
        <w:rFonts w:ascii="幼圆" w:eastAsia="幼圆"/>
        <w:i/>
      </w:rPr>
    </w:pPr>
    <w:r>
      <w:rPr>
        <w:rFonts w:hint="eastAsia" w:ascii="幼圆" w:eastAsia="幼圆"/>
        <w:i/>
      </w:rPr>
      <w:t>Jiangxi Zhongtang Real Estate Apprasing &amp;Consulting Co., Ltd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6" w:space="0"/>
        <w:bottom w:val="none" w:color="auto" w:sz="0" w:space="0"/>
      </w:pBdr>
      <w:jc w:val="both"/>
      <w:rPr>
        <w:rFonts w:ascii="幼圆" w:eastAsia="幼圆"/>
        <w:i/>
        <w:sz w:val="21"/>
        <w:szCs w:val="21"/>
      </w:rPr>
    </w:pPr>
    <w:r>
      <w:rPr>
        <w:rFonts w:ascii="仿宋_GB2312" w:hAnsi="Times New Roman" w:eastAsia="仿宋_GB2312"/>
        <w:b/>
        <w:bCs/>
        <w:sz w:val="20"/>
      </w:rPr>
      <w:pict>
        <v:line id="_x0000_s2055" o:spid="_x0000_s2055" o:spt="20" style="position:absolute;left:0pt;margin-left:0pt;margin-top:-3.05pt;height:0pt;width:450pt;z-index:251661312;mso-width-relative:page;mso-height-relative:page;" coordsize="21600,21600">
          <v:path arrowok="t"/>
          <v:fill focussize="0,0"/>
          <v:stroke/>
          <v:imagedata o:title=""/>
          <o:lock v:ext="edit"/>
        </v:line>
      </w:pict>
    </w:r>
    <w:r>
      <w:rPr>
        <w:rFonts w:hint="eastAsia" w:ascii="幼圆" w:eastAsia="幼圆"/>
        <w:i/>
        <w:sz w:val="21"/>
        <w:szCs w:val="21"/>
      </w:rPr>
      <w:t>江西省中唐房地产评估顾问有限公司   Tel: 0791-6383031</w:t>
    </w:r>
  </w:p>
  <w:p>
    <w:pPr>
      <w:pStyle w:val="20"/>
      <w:pBdr>
        <w:top w:val="single" w:color="auto" w:sz="6" w:space="0"/>
        <w:bottom w:val="none" w:color="auto" w:sz="0" w:space="0"/>
      </w:pBdr>
      <w:jc w:val="both"/>
      <w:rPr>
        <w:rFonts w:ascii="幼圆" w:eastAsia="幼圆"/>
        <w:i/>
      </w:rPr>
    </w:pPr>
    <w:r>
      <w:rPr>
        <w:rFonts w:hint="eastAsia"/>
      </w:rPr>
      <w:t xml:space="preserve">Jiangxi Zhongtang Real Estate Apprasing &amp;Consulting Co., Ltd                       </w:t>
    </w:r>
    <w:r>
      <w:rPr>
        <w:rFonts w:hint="eastAsia" w:ascii="仿宋_GB2312" w:hAnsi="Times New Roman" w:eastAsia="仿宋_GB2312"/>
        <w:b/>
        <w:bCs/>
        <w:sz w:val="21"/>
      </w:rPr>
      <w:t xml:space="preserve">  </w:t>
    </w:r>
    <w:r>
      <w:fldChar w:fldCharType="begin"/>
    </w:r>
    <w:r>
      <w:rPr>
        <w:rStyle w:val="30"/>
      </w:rPr>
      <w:instrText xml:space="preserve"> PAGE </w:instrText>
    </w:r>
    <w:r>
      <w:fldChar w:fldCharType="separate"/>
    </w:r>
    <w:r>
      <w:rPr>
        <w:rStyle w:val="30"/>
      </w:rPr>
      <w:t>8</w:t>
    </w:r>
    <w:r>
      <w:fldChar w:fldCharType="end"/>
    </w:r>
    <w:r>
      <w:rPr>
        <w:rFonts w:hint="eastAsia" w:ascii="仿宋_GB2312" w:hAnsi="Times New Roman" w:eastAsia="仿宋_GB2312"/>
        <w:b/>
        <w:bCs/>
        <w:sz w:val="21"/>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6" w:space="0"/>
        <w:bottom w:val="none" w:color="auto" w:sz="0" w:space="0"/>
      </w:pBdr>
      <w:jc w:val="both"/>
      <w:rPr>
        <w:rFonts w:ascii="幼圆" w:eastAsia="幼圆"/>
        <w:i/>
        <w:sz w:val="21"/>
        <w:szCs w:val="21"/>
      </w:rPr>
    </w:pPr>
    <w:r>
      <w:rPr>
        <w:rFonts w:ascii="仿宋_GB2312" w:hAnsi="Times New Roman" w:eastAsia="仿宋_GB2312"/>
        <w:b/>
        <w:bCs/>
        <w:sz w:val="20"/>
      </w:rPr>
      <w:pict>
        <v:line id="_x0000_s2052" o:spid="_x0000_s2052" o:spt="20" style="position:absolute;left:0pt;margin-left:0pt;margin-top:-1.55pt;height:0pt;width:450pt;z-index:251659264;mso-width-relative:page;mso-height-relative:page;" coordsize="21600,21600">
          <v:path arrowok="t"/>
          <v:fill focussize="0,0"/>
          <v:stroke/>
          <v:imagedata o:title=""/>
          <o:lock v:ext="edit"/>
        </v:line>
      </w:pict>
    </w:r>
    <w:r>
      <w:rPr>
        <w:rFonts w:ascii="仿宋_GB2312" w:hAnsi="Times New Roman" w:eastAsia="仿宋_GB2312"/>
        <w:b/>
        <w:bCs/>
        <w:sz w:val="20"/>
      </w:rPr>
      <w:pict>
        <v:line id="_x0000_s2053" o:spid="_x0000_s2053" o:spt="20" style="position:absolute;left:0pt;margin-left:0pt;margin-top:-3.05pt;height:0pt;width:450pt;z-index:251660288;mso-width-relative:page;mso-height-relative:page;" coordsize="21600,21600">
          <v:path arrowok="t"/>
          <v:fill focussize="0,0"/>
          <v:stroke/>
          <v:imagedata o:title=""/>
          <o:lock v:ext="edit"/>
        </v:line>
      </w:pict>
    </w:r>
    <w:r>
      <w:rPr>
        <w:rFonts w:hint="eastAsia" w:ascii="幼圆" w:eastAsia="幼圆"/>
        <w:i/>
        <w:sz w:val="21"/>
        <w:szCs w:val="21"/>
      </w:rPr>
      <w:t>江西省中唐房地产评估顾问有限公司   Tel: 0791-86383031</w:t>
    </w:r>
  </w:p>
  <w:p>
    <w:pPr>
      <w:pStyle w:val="19"/>
      <w:ind w:right="360"/>
      <w:rPr>
        <w:rFonts w:ascii="仿宋_GB2312" w:hAnsi="Times New Roman" w:eastAsia="仿宋_GB2312"/>
        <w:b/>
        <w:bCs/>
        <w:sz w:val="21"/>
      </w:rPr>
    </w:pPr>
    <w:r>
      <w:rPr>
        <w:rFonts w:hint="eastAsia"/>
      </w:rPr>
      <w:t xml:space="preserve">Jiangxi Zhongtang Real Estate Apprasing &amp;Consulting Co., Ltd                                     </w:t>
    </w:r>
    <w:r>
      <w:fldChar w:fldCharType="begin"/>
    </w:r>
    <w:r>
      <w:rPr>
        <w:rStyle w:val="30"/>
      </w:rPr>
      <w:instrText xml:space="preserve"> PAGE </w:instrText>
    </w:r>
    <w:r>
      <w:fldChar w:fldCharType="separate"/>
    </w:r>
    <w:r>
      <w:rPr>
        <w:rStyle w:val="30"/>
      </w:rPr>
      <w:t>23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0"/>
      </w:rPr>
    </w:pPr>
    <w:r>
      <w:fldChar w:fldCharType="begin"/>
    </w:r>
    <w:r>
      <w:rPr>
        <w:rStyle w:val="30"/>
      </w:rPr>
      <w:instrText xml:space="preserve">PAGE  </w:instrText>
    </w:r>
    <w:r>
      <w:fldChar w:fldCharType="end"/>
    </w:r>
  </w:p>
  <w:p>
    <w:pPr>
      <w:pStyle w:val="19"/>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0"/>
      </w:rPr>
    </w:pPr>
    <w:r>
      <w:fldChar w:fldCharType="begin"/>
    </w:r>
    <w:r>
      <w:rPr>
        <w:rStyle w:val="30"/>
      </w:rPr>
      <w:instrText xml:space="preserve">PAGE  </w:instrText>
    </w:r>
    <w:r>
      <w:fldChar w:fldCharType="separate"/>
    </w:r>
    <w:r>
      <w:rPr>
        <w:rStyle w:val="30"/>
      </w:rPr>
      <w:t>35</w:t>
    </w:r>
    <w:r>
      <w:fldChar w:fldCharType="end"/>
    </w:r>
  </w:p>
  <w:p>
    <w:pPr>
      <w:pStyle w:val="20"/>
      <w:pBdr>
        <w:top w:val="single" w:color="auto" w:sz="6" w:space="0"/>
        <w:bottom w:val="none" w:color="auto" w:sz="0" w:space="0"/>
      </w:pBdr>
      <w:ind w:right="360"/>
      <w:jc w:val="both"/>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0"/>
      </w:rPr>
    </w:pPr>
    <w:r>
      <w:fldChar w:fldCharType="begin"/>
    </w:r>
    <w:r>
      <w:rPr>
        <w:rStyle w:val="30"/>
      </w:rPr>
      <w:instrText xml:space="preserve">PAGE  </w:instrText>
    </w:r>
    <w:r>
      <w:fldChar w:fldCharType="end"/>
    </w:r>
  </w:p>
  <w:p>
    <w:pPr>
      <w:pStyle w:val="1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幼圆" w:eastAsia="幼圆"/>
        <w:i/>
        <w:sz w:val="21"/>
        <w:szCs w:val="21"/>
      </w:rPr>
    </w:pPr>
    <w:r>
      <w:rPr>
        <w:rFonts w:hint="eastAsia" w:ascii="幼圆" w:eastAsia="幼圆"/>
        <w:i/>
        <w:sz w:val="21"/>
        <w:szCs w:val="21"/>
      </w:rPr>
      <w:t>房地产估价报告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幼圆" w:eastAsia="幼圆"/>
        <w:i/>
      </w:rPr>
    </w:pPr>
    <w:r>
      <w:rPr>
        <w:rFonts w:hint="eastAsia" w:ascii="幼圆" w:eastAsia="幼圆"/>
        <w:i/>
      </w:rPr>
      <w:t>房地产评估报告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0"/>
      <w:numFmt w:val="decimal"/>
      <w:lvlText w:val="%1"/>
      <w:legacy w:legacy="1" w:legacySpace="0" w:legacyIndent="0"/>
      <w:lvlJc w:val="left"/>
      <w:pPr>
        <w:ind w:left="0" w:firstLine="0"/>
      </w:pPr>
      <w:rPr>
        <w:rFonts w:hint="eastAsia" w:ascii="宋体" w:hAnsi="Times New Roman" w:eastAsia="宋体"/>
      </w:rPr>
    </w:lvl>
    <w:lvl w:ilvl="1" w:tentative="0">
      <w:start w:val="0"/>
      <w:numFmt w:val="decimal"/>
      <w:lvlText w:val="%2"/>
      <w:legacy w:legacy="1" w:legacySpace="0" w:legacyIndent="0"/>
      <w:lvlJc w:val="left"/>
      <w:pPr>
        <w:ind w:left="0" w:firstLine="0"/>
      </w:pPr>
      <w:rPr>
        <w:rFonts w:hint="eastAsia" w:ascii="宋体" w:hAnsi="Times New Roman" w:eastAsia="宋体"/>
      </w:rPr>
    </w:lvl>
    <w:lvl w:ilvl="2" w:tentative="0">
      <w:start w:val="0"/>
      <w:numFmt w:val="decimal"/>
      <w:lvlText w:val="%3"/>
      <w:legacy w:legacy="1" w:legacySpace="0" w:legacyIndent="0"/>
      <w:lvlJc w:val="left"/>
      <w:pPr>
        <w:ind w:left="0" w:firstLine="0"/>
      </w:pPr>
      <w:rPr>
        <w:rFonts w:hint="eastAsia" w:ascii="宋体" w:hAnsi="Times New Roman" w:eastAsia="宋体"/>
      </w:rPr>
    </w:lvl>
    <w:lvl w:ilvl="3" w:tentative="0">
      <w:start w:val="0"/>
      <w:numFmt w:val="decimal"/>
      <w:pStyle w:val="5"/>
      <w:lvlText w:val="%4"/>
      <w:legacy w:legacy="1" w:legacySpace="0" w:legacyIndent="0"/>
      <w:lvlJc w:val="left"/>
      <w:pPr>
        <w:ind w:left="0" w:firstLine="0"/>
      </w:pPr>
      <w:rPr>
        <w:rFonts w:hint="eastAsia" w:ascii="宋体" w:hAnsi="Times New Roman" w:eastAsia="宋体"/>
      </w:rPr>
    </w:lvl>
    <w:lvl w:ilvl="4" w:tentative="0">
      <w:start w:val="0"/>
      <w:numFmt w:val="decimal"/>
      <w:pStyle w:val="6"/>
      <w:lvlText w:val="%5"/>
      <w:legacy w:legacy="1" w:legacySpace="0" w:legacyIndent="0"/>
      <w:lvlJc w:val="left"/>
      <w:pPr>
        <w:ind w:left="0" w:firstLine="0"/>
      </w:pPr>
      <w:rPr>
        <w:rFonts w:hint="eastAsia" w:ascii="宋体" w:hAnsi="Times New Roman" w:eastAsia="宋体"/>
      </w:rPr>
    </w:lvl>
    <w:lvl w:ilvl="5" w:tentative="0">
      <w:start w:val="0"/>
      <w:numFmt w:val="decimal"/>
      <w:pStyle w:val="7"/>
      <w:lvlText w:val="%6"/>
      <w:legacy w:legacy="1" w:legacySpace="0" w:legacyIndent="0"/>
      <w:lvlJc w:val="left"/>
      <w:pPr>
        <w:ind w:left="0" w:firstLine="0"/>
      </w:pPr>
      <w:rPr>
        <w:rFonts w:hint="eastAsia" w:ascii="宋体" w:hAnsi="Times New Roman" w:eastAsia="宋体"/>
      </w:rPr>
    </w:lvl>
    <w:lvl w:ilvl="6" w:tentative="0">
      <w:start w:val="0"/>
      <w:numFmt w:val="decimal"/>
      <w:pStyle w:val="8"/>
      <w:lvlText w:val="%7"/>
      <w:legacy w:legacy="1" w:legacySpace="0" w:legacyIndent="0"/>
      <w:lvlJc w:val="left"/>
      <w:pPr>
        <w:ind w:left="0" w:firstLine="0"/>
      </w:pPr>
      <w:rPr>
        <w:rFonts w:hint="eastAsia" w:ascii="宋体" w:hAnsi="Times New Roman" w:eastAsia="宋体"/>
      </w:rPr>
    </w:lvl>
    <w:lvl w:ilvl="7" w:tentative="0">
      <w:start w:val="0"/>
      <w:numFmt w:val="decimal"/>
      <w:pStyle w:val="9"/>
      <w:lvlText w:val="%8"/>
      <w:legacy w:legacy="1" w:legacySpace="0" w:legacyIndent="0"/>
      <w:lvlJc w:val="left"/>
      <w:pPr>
        <w:ind w:left="0" w:firstLine="0"/>
      </w:pPr>
      <w:rPr>
        <w:rFonts w:hint="eastAsia" w:ascii="宋体" w:hAnsi="Times New Roman" w:eastAsia="宋体"/>
      </w:rPr>
    </w:lvl>
    <w:lvl w:ilvl="8" w:tentative="0">
      <w:start w:val="0"/>
      <w:numFmt w:val="decimal"/>
      <w:pStyle w:val="10"/>
      <w:lvlText w:val="%9"/>
      <w:legacy w:legacy="1" w:legacySpace="0" w:legacyIndent="0"/>
      <w:lvlJc w:val="left"/>
      <w:pPr>
        <w:ind w:left="0" w:firstLine="0"/>
      </w:pPr>
      <w:rPr>
        <w:rFonts w:hint="eastAsia" w:ascii="宋体" w:hAnsi="Times New Roman" w:eastAsia="宋体"/>
      </w:rPr>
    </w:lvl>
  </w:abstractNum>
  <w:abstractNum w:abstractNumId="1">
    <w:nsid w:val="00000008"/>
    <w:multiLevelType w:val="multilevel"/>
    <w:tmpl w:val="00000008"/>
    <w:lvl w:ilvl="0" w:tentative="0">
      <w:start w:val="1"/>
      <w:numFmt w:val="upperLetter"/>
      <w:pStyle w:val="3"/>
      <w:lvlText w:val="%1、"/>
      <w:lvlJc w:val="left"/>
      <w:pPr>
        <w:tabs>
          <w:tab w:val="left" w:pos="1238"/>
        </w:tabs>
        <w:ind w:left="1238" w:hanging="720"/>
      </w:pPr>
      <w:rPr>
        <w:rFonts w:hint="eastAsia"/>
      </w:rPr>
    </w:lvl>
    <w:lvl w:ilvl="1" w:tentative="0">
      <w:start w:val="1"/>
      <w:numFmt w:val="lowerLetter"/>
      <w:lvlText w:val="%2、"/>
      <w:lvlJc w:val="left"/>
      <w:pPr>
        <w:tabs>
          <w:tab w:val="left" w:pos="1658"/>
        </w:tabs>
        <w:ind w:left="1658" w:hanging="720"/>
      </w:pPr>
      <w:rPr>
        <w:rFonts w:hint="eastAsia"/>
      </w:rPr>
    </w:lvl>
    <w:lvl w:ilvl="2" w:tentative="0">
      <w:start w:val="1"/>
      <w:numFmt w:val="lowerRoman"/>
      <w:lvlText w:val="%3."/>
      <w:lvlJc w:val="right"/>
      <w:pPr>
        <w:tabs>
          <w:tab w:val="left" w:pos="1778"/>
        </w:tabs>
        <w:ind w:left="1778" w:hanging="420"/>
      </w:pPr>
    </w:lvl>
    <w:lvl w:ilvl="3" w:tentative="0">
      <w:start w:val="1"/>
      <w:numFmt w:val="decimal"/>
      <w:lvlText w:val="%4."/>
      <w:lvlJc w:val="left"/>
      <w:pPr>
        <w:tabs>
          <w:tab w:val="left" w:pos="2198"/>
        </w:tabs>
        <w:ind w:left="2198" w:hanging="420"/>
      </w:pPr>
    </w:lvl>
    <w:lvl w:ilvl="4" w:tentative="0">
      <w:start w:val="1"/>
      <w:numFmt w:val="lowerLetter"/>
      <w:lvlText w:val="%5)"/>
      <w:lvlJc w:val="left"/>
      <w:pPr>
        <w:tabs>
          <w:tab w:val="left" w:pos="2618"/>
        </w:tabs>
        <w:ind w:left="2618" w:hanging="420"/>
      </w:pPr>
    </w:lvl>
    <w:lvl w:ilvl="5" w:tentative="0">
      <w:start w:val="1"/>
      <w:numFmt w:val="lowerRoman"/>
      <w:lvlText w:val="%6."/>
      <w:lvlJc w:val="right"/>
      <w:pPr>
        <w:tabs>
          <w:tab w:val="left" w:pos="3038"/>
        </w:tabs>
        <w:ind w:left="3038" w:hanging="420"/>
      </w:pPr>
    </w:lvl>
    <w:lvl w:ilvl="6" w:tentative="0">
      <w:start w:val="1"/>
      <w:numFmt w:val="decimal"/>
      <w:lvlText w:val="%7."/>
      <w:lvlJc w:val="left"/>
      <w:pPr>
        <w:tabs>
          <w:tab w:val="left" w:pos="3458"/>
        </w:tabs>
        <w:ind w:left="3458" w:hanging="420"/>
      </w:pPr>
    </w:lvl>
    <w:lvl w:ilvl="7" w:tentative="0">
      <w:start w:val="1"/>
      <w:numFmt w:val="lowerLetter"/>
      <w:lvlText w:val="%8)"/>
      <w:lvlJc w:val="left"/>
      <w:pPr>
        <w:tabs>
          <w:tab w:val="left" w:pos="3878"/>
        </w:tabs>
        <w:ind w:left="3878" w:hanging="420"/>
      </w:pPr>
    </w:lvl>
    <w:lvl w:ilvl="8" w:tentative="0">
      <w:start w:val="1"/>
      <w:numFmt w:val="lowerRoman"/>
      <w:lvlText w:val="%9."/>
      <w:lvlJc w:val="right"/>
      <w:pPr>
        <w:tabs>
          <w:tab w:val="left" w:pos="4298"/>
        </w:tabs>
        <w:ind w:left="4298" w:hanging="420"/>
      </w:pPr>
    </w:lvl>
  </w:abstractNum>
  <w:abstractNum w:abstractNumId="2">
    <w:nsid w:val="0000000C"/>
    <w:multiLevelType w:val="multilevel"/>
    <w:tmpl w:val="0000000C"/>
    <w:lvl w:ilvl="0" w:tentative="0">
      <w:start w:val="1"/>
      <w:numFmt w:val="upperLetter"/>
      <w:pStyle w:val="4"/>
      <w:lvlText w:val="%1、"/>
      <w:lvlJc w:val="left"/>
      <w:pPr>
        <w:tabs>
          <w:tab w:val="left" w:pos="1280"/>
        </w:tabs>
        <w:ind w:left="1280" w:hanging="720"/>
      </w:pPr>
      <w:rPr>
        <w:rFonts w:hint="eastAsia"/>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I0ODg4ZTA3OGJiODU4YjVkNmZhYmNmN2NjZDUyNjIifQ=="/>
  </w:docVars>
  <w:rsids>
    <w:rsidRoot w:val="00172A27"/>
    <w:rsid w:val="0000171F"/>
    <w:rsid w:val="000023D5"/>
    <w:rsid w:val="00002411"/>
    <w:rsid w:val="000024D8"/>
    <w:rsid w:val="00002A31"/>
    <w:rsid w:val="00003DFA"/>
    <w:rsid w:val="00004006"/>
    <w:rsid w:val="00004069"/>
    <w:rsid w:val="00004E84"/>
    <w:rsid w:val="000058D8"/>
    <w:rsid w:val="00006954"/>
    <w:rsid w:val="00011BC6"/>
    <w:rsid w:val="00014623"/>
    <w:rsid w:val="000159E3"/>
    <w:rsid w:val="00017687"/>
    <w:rsid w:val="00017F13"/>
    <w:rsid w:val="000239CE"/>
    <w:rsid w:val="00023E19"/>
    <w:rsid w:val="000257AF"/>
    <w:rsid w:val="0002730A"/>
    <w:rsid w:val="000302FB"/>
    <w:rsid w:val="00030CA7"/>
    <w:rsid w:val="00031BFA"/>
    <w:rsid w:val="00032094"/>
    <w:rsid w:val="000326D8"/>
    <w:rsid w:val="000340DB"/>
    <w:rsid w:val="00035475"/>
    <w:rsid w:val="000359C9"/>
    <w:rsid w:val="00036D94"/>
    <w:rsid w:val="00036E3D"/>
    <w:rsid w:val="00037198"/>
    <w:rsid w:val="00042401"/>
    <w:rsid w:val="000429A5"/>
    <w:rsid w:val="00042CC5"/>
    <w:rsid w:val="000450A9"/>
    <w:rsid w:val="00053522"/>
    <w:rsid w:val="00053702"/>
    <w:rsid w:val="0005593A"/>
    <w:rsid w:val="000619E9"/>
    <w:rsid w:val="000622E9"/>
    <w:rsid w:val="00063D3D"/>
    <w:rsid w:val="0006412D"/>
    <w:rsid w:val="0006463C"/>
    <w:rsid w:val="000648E0"/>
    <w:rsid w:val="00064D54"/>
    <w:rsid w:val="00067620"/>
    <w:rsid w:val="00067BD5"/>
    <w:rsid w:val="0007065D"/>
    <w:rsid w:val="00071BC2"/>
    <w:rsid w:val="000737DC"/>
    <w:rsid w:val="00075EE7"/>
    <w:rsid w:val="000764FC"/>
    <w:rsid w:val="000770EC"/>
    <w:rsid w:val="000773A4"/>
    <w:rsid w:val="00086CB0"/>
    <w:rsid w:val="00087F36"/>
    <w:rsid w:val="0009031E"/>
    <w:rsid w:val="00090C20"/>
    <w:rsid w:val="00091512"/>
    <w:rsid w:val="000918D8"/>
    <w:rsid w:val="0009348B"/>
    <w:rsid w:val="000948FB"/>
    <w:rsid w:val="00094C85"/>
    <w:rsid w:val="000960DA"/>
    <w:rsid w:val="000A24E6"/>
    <w:rsid w:val="000A33B3"/>
    <w:rsid w:val="000A44AD"/>
    <w:rsid w:val="000A44F1"/>
    <w:rsid w:val="000A4E43"/>
    <w:rsid w:val="000A5C34"/>
    <w:rsid w:val="000A5DC3"/>
    <w:rsid w:val="000A64E6"/>
    <w:rsid w:val="000A7AFA"/>
    <w:rsid w:val="000A7D55"/>
    <w:rsid w:val="000B257E"/>
    <w:rsid w:val="000B2FA6"/>
    <w:rsid w:val="000B3D73"/>
    <w:rsid w:val="000B4BEC"/>
    <w:rsid w:val="000B7A37"/>
    <w:rsid w:val="000B7E9F"/>
    <w:rsid w:val="000C0340"/>
    <w:rsid w:val="000C07C7"/>
    <w:rsid w:val="000C099B"/>
    <w:rsid w:val="000C1E90"/>
    <w:rsid w:val="000C2684"/>
    <w:rsid w:val="000C3765"/>
    <w:rsid w:val="000C39ED"/>
    <w:rsid w:val="000C4068"/>
    <w:rsid w:val="000C5685"/>
    <w:rsid w:val="000D1991"/>
    <w:rsid w:val="000D2380"/>
    <w:rsid w:val="000D4A0E"/>
    <w:rsid w:val="000D5704"/>
    <w:rsid w:val="000D5F3C"/>
    <w:rsid w:val="000D614E"/>
    <w:rsid w:val="000D7B28"/>
    <w:rsid w:val="000D7FB2"/>
    <w:rsid w:val="000E11CA"/>
    <w:rsid w:val="000E279D"/>
    <w:rsid w:val="000E36B5"/>
    <w:rsid w:val="000E3FC5"/>
    <w:rsid w:val="000E49CF"/>
    <w:rsid w:val="000E56A8"/>
    <w:rsid w:val="000E6F0A"/>
    <w:rsid w:val="000E6F7A"/>
    <w:rsid w:val="000F06EC"/>
    <w:rsid w:val="000F07E7"/>
    <w:rsid w:val="000F235A"/>
    <w:rsid w:val="000F36E4"/>
    <w:rsid w:val="000F3A48"/>
    <w:rsid w:val="000F4C2E"/>
    <w:rsid w:val="000F5F50"/>
    <w:rsid w:val="000F6633"/>
    <w:rsid w:val="000F671B"/>
    <w:rsid w:val="000F6A17"/>
    <w:rsid w:val="000F6C39"/>
    <w:rsid w:val="00101979"/>
    <w:rsid w:val="00101CBD"/>
    <w:rsid w:val="00105256"/>
    <w:rsid w:val="0010673C"/>
    <w:rsid w:val="00107060"/>
    <w:rsid w:val="0010760E"/>
    <w:rsid w:val="00110111"/>
    <w:rsid w:val="00110F09"/>
    <w:rsid w:val="00111B90"/>
    <w:rsid w:val="00111D6F"/>
    <w:rsid w:val="0011296D"/>
    <w:rsid w:val="0011523A"/>
    <w:rsid w:val="00115923"/>
    <w:rsid w:val="00120F2B"/>
    <w:rsid w:val="00125588"/>
    <w:rsid w:val="001261A6"/>
    <w:rsid w:val="00126524"/>
    <w:rsid w:val="0012686E"/>
    <w:rsid w:val="00130DC4"/>
    <w:rsid w:val="001363F1"/>
    <w:rsid w:val="00140A7F"/>
    <w:rsid w:val="00141090"/>
    <w:rsid w:val="00143A17"/>
    <w:rsid w:val="001442E1"/>
    <w:rsid w:val="00146839"/>
    <w:rsid w:val="0014768B"/>
    <w:rsid w:val="00150953"/>
    <w:rsid w:val="00153A29"/>
    <w:rsid w:val="00153AA1"/>
    <w:rsid w:val="00155E10"/>
    <w:rsid w:val="00156A61"/>
    <w:rsid w:val="00156EC5"/>
    <w:rsid w:val="0016066B"/>
    <w:rsid w:val="0016085B"/>
    <w:rsid w:val="00161A7F"/>
    <w:rsid w:val="00162AEC"/>
    <w:rsid w:val="00163256"/>
    <w:rsid w:val="00164284"/>
    <w:rsid w:val="00167498"/>
    <w:rsid w:val="00167567"/>
    <w:rsid w:val="00167BF6"/>
    <w:rsid w:val="001709DC"/>
    <w:rsid w:val="001717F7"/>
    <w:rsid w:val="001727CD"/>
    <w:rsid w:val="00172A27"/>
    <w:rsid w:val="001730D9"/>
    <w:rsid w:val="00173548"/>
    <w:rsid w:val="00176D82"/>
    <w:rsid w:val="001775FE"/>
    <w:rsid w:val="00177D29"/>
    <w:rsid w:val="00182A9A"/>
    <w:rsid w:val="00182E0C"/>
    <w:rsid w:val="00184CB2"/>
    <w:rsid w:val="00184F03"/>
    <w:rsid w:val="00185193"/>
    <w:rsid w:val="00187C07"/>
    <w:rsid w:val="001906E6"/>
    <w:rsid w:val="00190A56"/>
    <w:rsid w:val="00190DD5"/>
    <w:rsid w:val="00192E13"/>
    <w:rsid w:val="00195089"/>
    <w:rsid w:val="001956BB"/>
    <w:rsid w:val="001960F3"/>
    <w:rsid w:val="00196456"/>
    <w:rsid w:val="00196F40"/>
    <w:rsid w:val="00197B8A"/>
    <w:rsid w:val="001A1FF3"/>
    <w:rsid w:val="001A3EAE"/>
    <w:rsid w:val="001A55DF"/>
    <w:rsid w:val="001A7658"/>
    <w:rsid w:val="001A7920"/>
    <w:rsid w:val="001B1D44"/>
    <w:rsid w:val="001B1DA3"/>
    <w:rsid w:val="001B592B"/>
    <w:rsid w:val="001B6638"/>
    <w:rsid w:val="001B680C"/>
    <w:rsid w:val="001B6A3D"/>
    <w:rsid w:val="001B74A1"/>
    <w:rsid w:val="001B74DE"/>
    <w:rsid w:val="001B7D6A"/>
    <w:rsid w:val="001C032E"/>
    <w:rsid w:val="001C1934"/>
    <w:rsid w:val="001C1CAE"/>
    <w:rsid w:val="001C32D6"/>
    <w:rsid w:val="001C695A"/>
    <w:rsid w:val="001D0A0E"/>
    <w:rsid w:val="001D11F5"/>
    <w:rsid w:val="001D1363"/>
    <w:rsid w:val="001D1BF5"/>
    <w:rsid w:val="001D2295"/>
    <w:rsid w:val="001D502F"/>
    <w:rsid w:val="001E08F0"/>
    <w:rsid w:val="001E4448"/>
    <w:rsid w:val="001E6166"/>
    <w:rsid w:val="001E72D3"/>
    <w:rsid w:val="001E79C4"/>
    <w:rsid w:val="001E7A80"/>
    <w:rsid w:val="001F1A08"/>
    <w:rsid w:val="001F1A84"/>
    <w:rsid w:val="001F3EA0"/>
    <w:rsid w:val="001F5DF9"/>
    <w:rsid w:val="001F5E7D"/>
    <w:rsid w:val="001F60EA"/>
    <w:rsid w:val="001F64D2"/>
    <w:rsid w:val="001F658F"/>
    <w:rsid w:val="001F67CD"/>
    <w:rsid w:val="001F67E9"/>
    <w:rsid w:val="001F6961"/>
    <w:rsid w:val="001F6F96"/>
    <w:rsid w:val="001F71F4"/>
    <w:rsid w:val="002036E1"/>
    <w:rsid w:val="00205034"/>
    <w:rsid w:val="00205172"/>
    <w:rsid w:val="0021014E"/>
    <w:rsid w:val="00210D70"/>
    <w:rsid w:val="00211772"/>
    <w:rsid w:val="002207A0"/>
    <w:rsid w:val="00223343"/>
    <w:rsid w:val="00225572"/>
    <w:rsid w:val="00226E9C"/>
    <w:rsid w:val="00226F1E"/>
    <w:rsid w:val="00227A11"/>
    <w:rsid w:val="002303E5"/>
    <w:rsid w:val="00233984"/>
    <w:rsid w:val="00234422"/>
    <w:rsid w:val="0023641D"/>
    <w:rsid w:val="002367A6"/>
    <w:rsid w:val="00237A60"/>
    <w:rsid w:val="00241A3A"/>
    <w:rsid w:val="00241DAD"/>
    <w:rsid w:val="00242C0F"/>
    <w:rsid w:val="00243923"/>
    <w:rsid w:val="0024435E"/>
    <w:rsid w:val="002453C5"/>
    <w:rsid w:val="00245A98"/>
    <w:rsid w:val="002467D1"/>
    <w:rsid w:val="002477FB"/>
    <w:rsid w:val="00247EC5"/>
    <w:rsid w:val="00247FD9"/>
    <w:rsid w:val="00251CBE"/>
    <w:rsid w:val="00253885"/>
    <w:rsid w:val="0025527C"/>
    <w:rsid w:val="002574CD"/>
    <w:rsid w:val="00260AAF"/>
    <w:rsid w:val="00263496"/>
    <w:rsid w:val="00263772"/>
    <w:rsid w:val="00265099"/>
    <w:rsid w:val="00265FB5"/>
    <w:rsid w:val="002702AD"/>
    <w:rsid w:val="0027200B"/>
    <w:rsid w:val="00272E91"/>
    <w:rsid w:val="002751C2"/>
    <w:rsid w:val="00275601"/>
    <w:rsid w:val="0027639F"/>
    <w:rsid w:val="002815B6"/>
    <w:rsid w:val="00284D30"/>
    <w:rsid w:val="00284EED"/>
    <w:rsid w:val="0028534F"/>
    <w:rsid w:val="00285816"/>
    <w:rsid w:val="00286F10"/>
    <w:rsid w:val="002902C9"/>
    <w:rsid w:val="00291414"/>
    <w:rsid w:val="00291C1D"/>
    <w:rsid w:val="00291F83"/>
    <w:rsid w:val="002922D8"/>
    <w:rsid w:val="0029255A"/>
    <w:rsid w:val="00293599"/>
    <w:rsid w:val="00293DC8"/>
    <w:rsid w:val="00294EC9"/>
    <w:rsid w:val="00295B52"/>
    <w:rsid w:val="00295FF5"/>
    <w:rsid w:val="002A3C27"/>
    <w:rsid w:val="002A3EF5"/>
    <w:rsid w:val="002A5418"/>
    <w:rsid w:val="002A6D31"/>
    <w:rsid w:val="002A70A6"/>
    <w:rsid w:val="002A7F96"/>
    <w:rsid w:val="002A7FDC"/>
    <w:rsid w:val="002B12B0"/>
    <w:rsid w:val="002B27F8"/>
    <w:rsid w:val="002B37BB"/>
    <w:rsid w:val="002B42C3"/>
    <w:rsid w:val="002B6E7D"/>
    <w:rsid w:val="002B75C2"/>
    <w:rsid w:val="002C0770"/>
    <w:rsid w:val="002C0BEF"/>
    <w:rsid w:val="002C2415"/>
    <w:rsid w:val="002C735E"/>
    <w:rsid w:val="002C7982"/>
    <w:rsid w:val="002D1D46"/>
    <w:rsid w:val="002D418C"/>
    <w:rsid w:val="002D527A"/>
    <w:rsid w:val="002D528E"/>
    <w:rsid w:val="002E16FE"/>
    <w:rsid w:val="002E1E4C"/>
    <w:rsid w:val="002E2F2C"/>
    <w:rsid w:val="002E31AF"/>
    <w:rsid w:val="002E5CE5"/>
    <w:rsid w:val="002E6C1E"/>
    <w:rsid w:val="002E718C"/>
    <w:rsid w:val="002E7A19"/>
    <w:rsid w:val="002E7EA2"/>
    <w:rsid w:val="002F090B"/>
    <w:rsid w:val="002F1FAB"/>
    <w:rsid w:val="002F2F66"/>
    <w:rsid w:val="002F3EC0"/>
    <w:rsid w:val="002F500E"/>
    <w:rsid w:val="002F529E"/>
    <w:rsid w:val="002F6474"/>
    <w:rsid w:val="002F65EC"/>
    <w:rsid w:val="003056A6"/>
    <w:rsid w:val="003060E7"/>
    <w:rsid w:val="003135D9"/>
    <w:rsid w:val="00314296"/>
    <w:rsid w:val="003148BE"/>
    <w:rsid w:val="00317D3A"/>
    <w:rsid w:val="00320FCB"/>
    <w:rsid w:val="0032208E"/>
    <w:rsid w:val="00322B95"/>
    <w:rsid w:val="00322E7A"/>
    <w:rsid w:val="0032615E"/>
    <w:rsid w:val="003262E4"/>
    <w:rsid w:val="00330411"/>
    <w:rsid w:val="00331AE3"/>
    <w:rsid w:val="0033365C"/>
    <w:rsid w:val="003357F1"/>
    <w:rsid w:val="003374D3"/>
    <w:rsid w:val="0034004E"/>
    <w:rsid w:val="003412EF"/>
    <w:rsid w:val="0034492F"/>
    <w:rsid w:val="00344BEE"/>
    <w:rsid w:val="003453F6"/>
    <w:rsid w:val="00347435"/>
    <w:rsid w:val="00351286"/>
    <w:rsid w:val="00351548"/>
    <w:rsid w:val="00351A6F"/>
    <w:rsid w:val="00351AB1"/>
    <w:rsid w:val="0035216A"/>
    <w:rsid w:val="0035284E"/>
    <w:rsid w:val="00352C9B"/>
    <w:rsid w:val="00352D4E"/>
    <w:rsid w:val="003573B0"/>
    <w:rsid w:val="0035779F"/>
    <w:rsid w:val="00360D1E"/>
    <w:rsid w:val="003624DE"/>
    <w:rsid w:val="003663EE"/>
    <w:rsid w:val="003711A1"/>
    <w:rsid w:val="003713B9"/>
    <w:rsid w:val="003719AF"/>
    <w:rsid w:val="00371C82"/>
    <w:rsid w:val="00371D13"/>
    <w:rsid w:val="00372541"/>
    <w:rsid w:val="00372BC9"/>
    <w:rsid w:val="003738BA"/>
    <w:rsid w:val="00374DAD"/>
    <w:rsid w:val="00374FF9"/>
    <w:rsid w:val="00375A7C"/>
    <w:rsid w:val="00377B1B"/>
    <w:rsid w:val="003801DF"/>
    <w:rsid w:val="00383266"/>
    <w:rsid w:val="00383BEF"/>
    <w:rsid w:val="00383FD0"/>
    <w:rsid w:val="00384AB6"/>
    <w:rsid w:val="00385CC4"/>
    <w:rsid w:val="00387508"/>
    <w:rsid w:val="00387B06"/>
    <w:rsid w:val="003905B4"/>
    <w:rsid w:val="003924D2"/>
    <w:rsid w:val="00393DAD"/>
    <w:rsid w:val="003949DF"/>
    <w:rsid w:val="003967E0"/>
    <w:rsid w:val="003A0282"/>
    <w:rsid w:val="003A07F6"/>
    <w:rsid w:val="003A0AAF"/>
    <w:rsid w:val="003A1ED6"/>
    <w:rsid w:val="003A2623"/>
    <w:rsid w:val="003A3E82"/>
    <w:rsid w:val="003A4BE3"/>
    <w:rsid w:val="003A649A"/>
    <w:rsid w:val="003B110D"/>
    <w:rsid w:val="003B128F"/>
    <w:rsid w:val="003B1A66"/>
    <w:rsid w:val="003B1C09"/>
    <w:rsid w:val="003B21B4"/>
    <w:rsid w:val="003B2928"/>
    <w:rsid w:val="003B3EB9"/>
    <w:rsid w:val="003B4692"/>
    <w:rsid w:val="003B6674"/>
    <w:rsid w:val="003B6B98"/>
    <w:rsid w:val="003C4D72"/>
    <w:rsid w:val="003C541C"/>
    <w:rsid w:val="003C6124"/>
    <w:rsid w:val="003C6467"/>
    <w:rsid w:val="003D04D4"/>
    <w:rsid w:val="003D0DF5"/>
    <w:rsid w:val="003D115E"/>
    <w:rsid w:val="003D325E"/>
    <w:rsid w:val="003D47C8"/>
    <w:rsid w:val="003D4F5C"/>
    <w:rsid w:val="003E23E4"/>
    <w:rsid w:val="003E2C9E"/>
    <w:rsid w:val="003E3323"/>
    <w:rsid w:val="003E40D1"/>
    <w:rsid w:val="003E7754"/>
    <w:rsid w:val="003E7FE4"/>
    <w:rsid w:val="003F2150"/>
    <w:rsid w:val="003F2C9E"/>
    <w:rsid w:val="003F6177"/>
    <w:rsid w:val="003F6A54"/>
    <w:rsid w:val="003F77E5"/>
    <w:rsid w:val="00400FA2"/>
    <w:rsid w:val="004012ED"/>
    <w:rsid w:val="004014E4"/>
    <w:rsid w:val="0040272B"/>
    <w:rsid w:val="00402BAA"/>
    <w:rsid w:val="00404096"/>
    <w:rsid w:val="004074FB"/>
    <w:rsid w:val="004104AF"/>
    <w:rsid w:val="004113D4"/>
    <w:rsid w:val="00411909"/>
    <w:rsid w:val="00412278"/>
    <w:rsid w:val="0041291E"/>
    <w:rsid w:val="00413382"/>
    <w:rsid w:val="00414C88"/>
    <w:rsid w:val="00415567"/>
    <w:rsid w:val="0041708B"/>
    <w:rsid w:val="00421B86"/>
    <w:rsid w:val="004251B8"/>
    <w:rsid w:val="0042611B"/>
    <w:rsid w:val="004273F6"/>
    <w:rsid w:val="004275B2"/>
    <w:rsid w:val="00431F8F"/>
    <w:rsid w:val="0043250A"/>
    <w:rsid w:val="00433DF4"/>
    <w:rsid w:val="00434BCF"/>
    <w:rsid w:val="004368DB"/>
    <w:rsid w:val="0043798F"/>
    <w:rsid w:val="00437E6F"/>
    <w:rsid w:val="00441FB2"/>
    <w:rsid w:val="00443C65"/>
    <w:rsid w:val="0044589F"/>
    <w:rsid w:val="004466A7"/>
    <w:rsid w:val="004473E3"/>
    <w:rsid w:val="004501D3"/>
    <w:rsid w:val="00451904"/>
    <w:rsid w:val="004521F5"/>
    <w:rsid w:val="00452393"/>
    <w:rsid w:val="004531F5"/>
    <w:rsid w:val="00453D06"/>
    <w:rsid w:val="00455042"/>
    <w:rsid w:val="00455120"/>
    <w:rsid w:val="004566B1"/>
    <w:rsid w:val="00461543"/>
    <w:rsid w:val="004619CE"/>
    <w:rsid w:val="00462470"/>
    <w:rsid w:val="004645C5"/>
    <w:rsid w:val="0046588F"/>
    <w:rsid w:val="004671CA"/>
    <w:rsid w:val="00470D33"/>
    <w:rsid w:val="004714A4"/>
    <w:rsid w:val="00472917"/>
    <w:rsid w:val="0047361A"/>
    <w:rsid w:val="00473702"/>
    <w:rsid w:val="00474096"/>
    <w:rsid w:val="00475E43"/>
    <w:rsid w:val="00476AAD"/>
    <w:rsid w:val="004775EA"/>
    <w:rsid w:val="00477F1F"/>
    <w:rsid w:val="00480DCD"/>
    <w:rsid w:val="00482193"/>
    <w:rsid w:val="00493AAE"/>
    <w:rsid w:val="00495001"/>
    <w:rsid w:val="00496202"/>
    <w:rsid w:val="004A36DB"/>
    <w:rsid w:val="004A4F4C"/>
    <w:rsid w:val="004A5E3E"/>
    <w:rsid w:val="004A67F9"/>
    <w:rsid w:val="004B043B"/>
    <w:rsid w:val="004B171F"/>
    <w:rsid w:val="004B1AC0"/>
    <w:rsid w:val="004B1CF9"/>
    <w:rsid w:val="004B34B3"/>
    <w:rsid w:val="004B46F3"/>
    <w:rsid w:val="004B4E2F"/>
    <w:rsid w:val="004B63C4"/>
    <w:rsid w:val="004B6438"/>
    <w:rsid w:val="004B6C89"/>
    <w:rsid w:val="004C0752"/>
    <w:rsid w:val="004C107E"/>
    <w:rsid w:val="004C31E0"/>
    <w:rsid w:val="004C34F2"/>
    <w:rsid w:val="004C3B61"/>
    <w:rsid w:val="004C6288"/>
    <w:rsid w:val="004D0D25"/>
    <w:rsid w:val="004D21CF"/>
    <w:rsid w:val="004D3CD7"/>
    <w:rsid w:val="004D5FB4"/>
    <w:rsid w:val="004D704A"/>
    <w:rsid w:val="004D7830"/>
    <w:rsid w:val="004E29C1"/>
    <w:rsid w:val="004E38FC"/>
    <w:rsid w:val="004E3F0E"/>
    <w:rsid w:val="004E5389"/>
    <w:rsid w:val="004E5782"/>
    <w:rsid w:val="004E7327"/>
    <w:rsid w:val="004F00E4"/>
    <w:rsid w:val="004F0853"/>
    <w:rsid w:val="004F0D40"/>
    <w:rsid w:val="004F2DDF"/>
    <w:rsid w:val="004F37E4"/>
    <w:rsid w:val="004F4468"/>
    <w:rsid w:val="004F560E"/>
    <w:rsid w:val="0050083E"/>
    <w:rsid w:val="00500D9F"/>
    <w:rsid w:val="0050244D"/>
    <w:rsid w:val="0050250D"/>
    <w:rsid w:val="00502538"/>
    <w:rsid w:val="005029EA"/>
    <w:rsid w:val="0050305F"/>
    <w:rsid w:val="005068B5"/>
    <w:rsid w:val="00507DF6"/>
    <w:rsid w:val="005107AA"/>
    <w:rsid w:val="005119F7"/>
    <w:rsid w:val="005127D0"/>
    <w:rsid w:val="0051305A"/>
    <w:rsid w:val="0051315B"/>
    <w:rsid w:val="00514630"/>
    <w:rsid w:val="00516BF4"/>
    <w:rsid w:val="0052078E"/>
    <w:rsid w:val="00520D7B"/>
    <w:rsid w:val="00520E33"/>
    <w:rsid w:val="0052105F"/>
    <w:rsid w:val="0052226D"/>
    <w:rsid w:val="00522643"/>
    <w:rsid w:val="00522F40"/>
    <w:rsid w:val="00524BAF"/>
    <w:rsid w:val="0052506C"/>
    <w:rsid w:val="0052525F"/>
    <w:rsid w:val="00526DB8"/>
    <w:rsid w:val="00527278"/>
    <w:rsid w:val="00531302"/>
    <w:rsid w:val="00532669"/>
    <w:rsid w:val="0053447D"/>
    <w:rsid w:val="0053499D"/>
    <w:rsid w:val="00537D5A"/>
    <w:rsid w:val="00540A52"/>
    <w:rsid w:val="0054199A"/>
    <w:rsid w:val="00542D35"/>
    <w:rsid w:val="00544A3C"/>
    <w:rsid w:val="00545519"/>
    <w:rsid w:val="005455DD"/>
    <w:rsid w:val="00546AD1"/>
    <w:rsid w:val="005470C0"/>
    <w:rsid w:val="00550C40"/>
    <w:rsid w:val="00551DA9"/>
    <w:rsid w:val="00552594"/>
    <w:rsid w:val="00553AC7"/>
    <w:rsid w:val="00553C6F"/>
    <w:rsid w:val="005568A7"/>
    <w:rsid w:val="00560C61"/>
    <w:rsid w:val="0056183B"/>
    <w:rsid w:val="00561C48"/>
    <w:rsid w:val="00563211"/>
    <w:rsid w:val="00563793"/>
    <w:rsid w:val="00563BBC"/>
    <w:rsid w:val="005641E7"/>
    <w:rsid w:val="0056437D"/>
    <w:rsid w:val="00566C4B"/>
    <w:rsid w:val="00566F0F"/>
    <w:rsid w:val="00566FF1"/>
    <w:rsid w:val="0057257F"/>
    <w:rsid w:val="00572C99"/>
    <w:rsid w:val="00573692"/>
    <w:rsid w:val="00574601"/>
    <w:rsid w:val="00576B14"/>
    <w:rsid w:val="00576D21"/>
    <w:rsid w:val="00580D88"/>
    <w:rsid w:val="00583E1C"/>
    <w:rsid w:val="00583FC9"/>
    <w:rsid w:val="005840CD"/>
    <w:rsid w:val="005843F9"/>
    <w:rsid w:val="00584610"/>
    <w:rsid w:val="0058485F"/>
    <w:rsid w:val="00590486"/>
    <w:rsid w:val="005908DC"/>
    <w:rsid w:val="00590B5D"/>
    <w:rsid w:val="00591551"/>
    <w:rsid w:val="0059170B"/>
    <w:rsid w:val="00591A60"/>
    <w:rsid w:val="00592E7B"/>
    <w:rsid w:val="00594627"/>
    <w:rsid w:val="005A0EA3"/>
    <w:rsid w:val="005A3175"/>
    <w:rsid w:val="005A31A8"/>
    <w:rsid w:val="005A3942"/>
    <w:rsid w:val="005A4CCB"/>
    <w:rsid w:val="005B2CA6"/>
    <w:rsid w:val="005B6E8A"/>
    <w:rsid w:val="005C0001"/>
    <w:rsid w:val="005D01B3"/>
    <w:rsid w:val="005D0AF3"/>
    <w:rsid w:val="005D246D"/>
    <w:rsid w:val="005D28E0"/>
    <w:rsid w:val="005D41E2"/>
    <w:rsid w:val="005D5BB7"/>
    <w:rsid w:val="005E1097"/>
    <w:rsid w:val="005E1FBC"/>
    <w:rsid w:val="005E2E10"/>
    <w:rsid w:val="005E3269"/>
    <w:rsid w:val="005E3F30"/>
    <w:rsid w:val="005E69FD"/>
    <w:rsid w:val="005E6A3E"/>
    <w:rsid w:val="005E6F1D"/>
    <w:rsid w:val="005F0415"/>
    <w:rsid w:val="005F0908"/>
    <w:rsid w:val="005F102F"/>
    <w:rsid w:val="005F1339"/>
    <w:rsid w:val="005F1607"/>
    <w:rsid w:val="005F1947"/>
    <w:rsid w:val="005F29BC"/>
    <w:rsid w:val="0060449C"/>
    <w:rsid w:val="00604770"/>
    <w:rsid w:val="00604C3D"/>
    <w:rsid w:val="0060725C"/>
    <w:rsid w:val="00610705"/>
    <w:rsid w:val="006119DB"/>
    <w:rsid w:val="00613454"/>
    <w:rsid w:val="0061351A"/>
    <w:rsid w:val="00616AD3"/>
    <w:rsid w:val="006205BD"/>
    <w:rsid w:val="00621E98"/>
    <w:rsid w:val="006228A0"/>
    <w:rsid w:val="00625D6C"/>
    <w:rsid w:val="00627F97"/>
    <w:rsid w:val="006312F3"/>
    <w:rsid w:val="00632A70"/>
    <w:rsid w:val="00632F23"/>
    <w:rsid w:val="00635F03"/>
    <w:rsid w:val="00636534"/>
    <w:rsid w:val="00641C6C"/>
    <w:rsid w:val="006430F8"/>
    <w:rsid w:val="0064353C"/>
    <w:rsid w:val="00645615"/>
    <w:rsid w:val="00646B5E"/>
    <w:rsid w:val="0065099A"/>
    <w:rsid w:val="00650C80"/>
    <w:rsid w:val="00651F16"/>
    <w:rsid w:val="006534FF"/>
    <w:rsid w:val="0065366B"/>
    <w:rsid w:val="00653716"/>
    <w:rsid w:val="00657887"/>
    <w:rsid w:val="0066014B"/>
    <w:rsid w:val="00662040"/>
    <w:rsid w:val="00662FD9"/>
    <w:rsid w:val="0066375F"/>
    <w:rsid w:val="00665458"/>
    <w:rsid w:val="006665E8"/>
    <w:rsid w:val="00667619"/>
    <w:rsid w:val="00667BE4"/>
    <w:rsid w:val="006715DD"/>
    <w:rsid w:val="00672C76"/>
    <w:rsid w:val="00674916"/>
    <w:rsid w:val="00675C0C"/>
    <w:rsid w:val="00683389"/>
    <w:rsid w:val="00683574"/>
    <w:rsid w:val="00685F48"/>
    <w:rsid w:val="00686747"/>
    <w:rsid w:val="00686B5D"/>
    <w:rsid w:val="00687232"/>
    <w:rsid w:val="00687425"/>
    <w:rsid w:val="006901F8"/>
    <w:rsid w:val="0069365B"/>
    <w:rsid w:val="00694687"/>
    <w:rsid w:val="006A0C70"/>
    <w:rsid w:val="006A3015"/>
    <w:rsid w:val="006A3A1D"/>
    <w:rsid w:val="006A5B28"/>
    <w:rsid w:val="006A623B"/>
    <w:rsid w:val="006A62A3"/>
    <w:rsid w:val="006B021F"/>
    <w:rsid w:val="006B18C6"/>
    <w:rsid w:val="006B328C"/>
    <w:rsid w:val="006C0DE3"/>
    <w:rsid w:val="006C1C6D"/>
    <w:rsid w:val="006C1F62"/>
    <w:rsid w:val="006C562D"/>
    <w:rsid w:val="006C640A"/>
    <w:rsid w:val="006C7287"/>
    <w:rsid w:val="006C797C"/>
    <w:rsid w:val="006D299A"/>
    <w:rsid w:val="006D39EE"/>
    <w:rsid w:val="006D4308"/>
    <w:rsid w:val="006D47A5"/>
    <w:rsid w:val="006D7D4F"/>
    <w:rsid w:val="006E4859"/>
    <w:rsid w:val="006E4B2D"/>
    <w:rsid w:val="006E5183"/>
    <w:rsid w:val="006F1CA1"/>
    <w:rsid w:val="006F3062"/>
    <w:rsid w:val="006F3C29"/>
    <w:rsid w:val="00702368"/>
    <w:rsid w:val="00702C70"/>
    <w:rsid w:val="0070538B"/>
    <w:rsid w:val="00706EDD"/>
    <w:rsid w:val="00707730"/>
    <w:rsid w:val="0071029B"/>
    <w:rsid w:val="007107D1"/>
    <w:rsid w:val="00710846"/>
    <w:rsid w:val="00712068"/>
    <w:rsid w:val="007122BE"/>
    <w:rsid w:val="00712E18"/>
    <w:rsid w:val="00713022"/>
    <w:rsid w:val="007138C3"/>
    <w:rsid w:val="0071667D"/>
    <w:rsid w:val="007166D8"/>
    <w:rsid w:val="007228D0"/>
    <w:rsid w:val="00723D71"/>
    <w:rsid w:val="00725153"/>
    <w:rsid w:val="0072679D"/>
    <w:rsid w:val="007300CB"/>
    <w:rsid w:val="00730B37"/>
    <w:rsid w:val="00732289"/>
    <w:rsid w:val="007324FE"/>
    <w:rsid w:val="00733916"/>
    <w:rsid w:val="00733AE9"/>
    <w:rsid w:val="0073436B"/>
    <w:rsid w:val="0073748A"/>
    <w:rsid w:val="00743341"/>
    <w:rsid w:val="00747B17"/>
    <w:rsid w:val="00752366"/>
    <w:rsid w:val="0075683B"/>
    <w:rsid w:val="00756FE8"/>
    <w:rsid w:val="007571EF"/>
    <w:rsid w:val="0075788F"/>
    <w:rsid w:val="007609A3"/>
    <w:rsid w:val="00761148"/>
    <w:rsid w:val="007619C5"/>
    <w:rsid w:val="00761C6A"/>
    <w:rsid w:val="00761CB6"/>
    <w:rsid w:val="0076243A"/>
    <w:rsid w:val="007635BD"/>
    <w:rsid w:val="007645EB"/>
    <w:rsid w:val="007650D5"/>
    <w:rsid w:val="0076587D"/>
    <w:rsid w:val="00766F49"/>
    <w:rsid w:val="007676EC"/>
    <w:rsid w:val="00767D20"/>
    <w:rsid w:val="0077144A"/>
    <w:rsid w:val="007751A8"/>
    <w:rsid w:val="007753FB"/>
    <w:rsid w:val="007760FE"/>
    <w:rsid w:val="00776ABB"/>
    <w:rsid w:val="00782B86"/>
    <w:rsid w:val="00783843"/>
    <w:rsid w:val="00783ACA"/>
    <w:rsid w:val="00785A9B"/>
    <w:rsid w:val="007870BE"/>
    <w:rsid w:val="00792A49"/>
    <w:rsid w:val="0079301F"/>
    <w:rsid w:val="00793EC4"/>
    <w:rsid w:val="00795247"/>
    <w:rsid w:val="00797DED"/>
    <w:rsid w:val="007A18D8"/>
    <w:rsid w:val="007A3E51"/>
    <w:rsid w:val="007A529E"/>
    <w:rsid w:val="007A5AD7"/>
    <w:rsid w:val="007A5FC8"/>
    <w:rsid w:val="007B2529"/>
    <w:rsid w:val="007B2711"/>
    <w:rsid w:val="007B2F78"/>
    <w:rsid w:val="007B766C"/>
    <w:rsid w:val="007C064C"/>
    <w:rsid w:val="007C1D2E"/>
    <w:rsid w:val="007C2989"/>
    <w:rsid w:val="007C4386"/>
    <w:rsid w:val="007C4609"/>
    <w:rsid w:val="007C4ADD"/>
    <w:rsid w:val="007C503E"/>
    <w:rsid w:val="007C5951"/>
    <w:rsid w:val="007C61A2"/>
    <w:rsid w:val="007C61DB"/>
    <w:rsid w:val="007C734C"/>
    <w:rsid w:val="007C75DF"/>
    <w:rsid w:val="007C7AB1"/>
    <w:rsid w:val="007C7B07"/>
    <w:rsid w:val="007D0081"/>
    <w:rsid w:val="007D07A7"/>
    <w:rsid w:val="007D1AD8"/>
    <w:rsid w:val="007D34F1"/>
    <w:rsid w:val="007D4221"/>
    <w:rsid w:val="007E0046"/>
    <w:rsid w:val="007E1434"/>
    <w:rsid w:val="007E2DB2"/>
    <w:rsid w:val="007E2F94"/>
    <w:rsid w:val="007E6B11"/>
    <w:rsid w:val="007E7AED"/>
    <w:rsid w:val="007F0CC2"/>
    <w:rsid w:val="007F187A"/>
    <w:rsid w:val="007F1CB0"/>
    <w:rsid w:val="007F2AAD"/>
    <w:rsid w:val="007F37E7"/>
    <w:rsid w:val="007F488E"/>
    <w:rsid w:val="007F56B9"/>
    <w:rsid w:val="008014B1"/>
    <w:rsid w:val="00801EFD"/>
    <w:rsid w:val="00801FBE"/>
    <w:rsid w:val="0080207D"/>
    <w:rsid w:val="00802349"/>
    <w:rsid w:val="0080388B"/>
    <w:rsid w:val="00804D12"/>
    <w:rsid w:val="00813418"/>
    <w:rsid w:val="0081355F"/>
    <w:rsid w:val="00814FD0"/>
    <w:rsid w:val="008152D2"/>
    <w:rsid w:val="00815C6E"/>
    <w:rsid w:val="00815D70"/>
    <w:rsid w:val="008164C3"/>
    <w:rsid w:val="008169CF"/>
    <w:rsid w:val="008177E5"/>
    <w:rsid w:val="00821C51"/>
    <w:rsid w:val="008246FE"/>
    <w:rsid w:val="008255B8"/>
    <w:rsid w:val="00826066"/>
    <w:rsid w:val="0082677B"/>
    <w:rsid w:val="00827FF0"/>
    <w:rsid w:val="00832633"/>
    <w:rsid w:val="00834EAA"/>
    <w:rsid w:val="008358F6"/>
    <w:rsid w:val="00835B74"/>
    <w:rsid w:val="00835BF2"/>
    <w:rsid w:val="008362E0"/>
    <w:rsid w:val="00837705"/>
    <w:rsid w:val="0084061E"/>
    <w:rsid w:val="00840941"/>
    <w:rsid w:val="0084183F"/>
    <w:rsid w:val="00843935"/>
    <w:rsid w:val="008444AD"/>
    <w:rsid w:val="008457DD"/>
    <w:rsid w:val="00845A25"/>
    <w:rsid w:val="00846655"/>
    <w:rsid w:val="00847178"/>
    <w:rsid w:val="008501ED"/>
    <w:rsid w:val="008522A6"/>
    <w:rsid w:val="00852DD6"/>
    <w:rsid w:val="00853366"/>
    <w:rsid w:val="00853407"/>
    <w:rsid w:val="00853588"/>
    <w:rsid w:val="00853C06"/>
    <w:rsid w:val="00857750"/>
    <w:rsid w:val="00857E45"/>
    <w:rsid w:val="00861B31"/>
    <w:rsid w:val="00863486"/>
    <w:rsid w:val="008653C9"/>
    <w:rsid w:val="00871DB3"/>
    <w:rsid w:val="00871FEF"/>
    <w:rsid w:val="00872DC6"/>
    <w:rsid w:val="00872F6A"/>
    <w:rsid w:val="00873D56"/>
    <w:rsid w:val="00874347"/>
    <w:rsid w:val="00874F98"/>
    <w:rsid w:val="008774C6"/>
    <w:rsid w:val="00877553"/>
    <w:rsid w:val="00877CA4"/>
    <w:rsid w:val="008814B1"/>
    <w:rsid w:val="0088217D"/>
    <w:rsid w:val="008832B2"/>
    <w:rsid w:val="0088511A"/>
    <w:rsid w:val="00885BF2"/>
    <w:rsid w:val="00886527"/>
    <w:rsid w:val="0088741D"/>
    <w:rsid w:val="008875CE"/>
    <w:rsid w:val="00887C95"/>
    <w:rsid w:val="00890119"/>
    <w:rsid w:val="008927F2"/>
    <w:rsid w:val="008934D3"/>
    <w:rsid w:val="00893F95"/>
    <w:rsid w:val="00894B75"/>
    <w:rsid w:val="00895C51"/>
    <w:rsid w:val="008A11D0"/>
    <w:rsid w:val="008A1FBC"/>
    <w:rsid w:val="008A302B"/>
    <w:rsid w:val="008A76E6"/>
    <w:rsid w:val="008A7DEE"/>
    <w:rsid w:val="008B18C3"/>
    <w:rsid w:val="008B42BC"/>
    <w:rsid w:val="008B49DF"/>
    <w:rsid w:val="008B529F"/>
    <w:rsid w:val="008B5ABE"/>
    <w:rsid w:val="008B79E6"/>
    <w:rsid w:val="008C4863"/>
    <w:rsid w:val="008C4D5C"/>
    <w:rsid w:val="008C6D59"/>
    <w:rsid w:val="008D2562"/>
    <w:rsid w:val="008D423E"/>
    <w:rsid w:val="008D597B"/>
    <w:rsid w:val="008D64AC"/>
    <w:rsid w:val="008D6A90"/>
    <w:rsid w:val="008E0465"/>
    <w:rsid w:val="008E194E"/>
    <w:rsid w:val="008E238B"/>
    <w:rsid w:val="008E33BA"/>
    <w:rsid w:val="008E424A"/>
    <w:rsid w:val="008E431C"/>
    <w:rsid w:val="008F08E6"/>
    <w:rsid w:val="008F16F5"/>
    <w:rsid w:val="008F1FBB"/>
    <w:rsid w:val="008F407D"/>
    <w:rsid w:val="008F4894"/>
    <w:rsid w:val="008F5FC1"/>
    <w:rsid w:val="008F79CA"/>
    <w:rsid w:val="00900238"/>
    <w:rsid w:val="00901F6E"/>
    <w:rsid w:val="00901FBC"/>
    <w:rsid w:val="009032D8"/>
    <w:rsid w:val="00904A09"/>
    <w:rsid w:val="00904F68"/>
    <w:rsid w:val="009070AA"/>
    <w:rsid w:val="0090749F"/>
    <w:rsid w:val="00907A5D"/>
    <w:rsid w:val="00907CA9"/>
    <w:rsid w:val="00910C26"/>
    <w:rsid w:val="00911DF2"/>
    <w:rsid w:val="0091375B"/>
    <w:rsid w:val="009139BE"/>
    <w:rsid w:val="009140FD"/>
    <w:rsid w:val="009141B9"/>
    <w:rsid w:val="0091484D"/>
    <w:rsid w:val="00915B7F"/>
    <w:rsid w:val="00915F91"/>
    <w:rsid w:val="00916CE6"/>
    <w:rsid w:val="00920E2D"/>
    <w:rsid w:val="0092100C"/>
    <w:rsid w:val="00925154"/>
    <w:rsid w:val="00925F15"/>
    <w:rsid w:val="0092623A"/>
    <w:rsid w:val="009263BE"/>
    <w:rsid w:val="00927117"/>
    <w:rsid w:val="00931521"/>
    <w:rsid w:val="00932C14"/>
    <w:rsid w:val="00933907"/>
    <w:rsid w:val="00933D75"/>
    <w:rsid w:val="00935960"/>
    <w:rsid w:val="00936D6C"/>
    <w:rsid w:val="0094269B"/>
    <w:rsid w:val="00943A82"/>
    <w:rsid w:val="0094464E"/>
    <w:rsid w:val="009456A1"/>
    <w:rsid w:val="00945B5F"/>
    <w:rsid w:val="00946554"/>
    <w:rsid w:val="00946ADE"/>
    <w:rsid w:val="009479BE"/>
    <w:rsid w:val="00947A88"/>
    <w:rsid w:val="00950231"/>
    <w:rsid w:val="00950DBC"/>
    <w:rsid w:val="0095241A"/>
    <w:rsid w:val="00953193"/>
    <w:rsid w:val="009567BC"/>
    <w:rsid w:val="00956CE9"/>
    <w:rsid w:val="00956E55"/>
    <w:rsid w:val="00962D14"/>
    <w:rsid w:val="0096324B"/>
    <w:rsid w:val="00963C77"/>
    <w:rsid w:val="0096422A"/>
    <w:rsid w:val="00965F59"/>
    <w:rsid w:val="0096678B"/>
    <w:rsid w:val="0097005F"/>
    <w:rsid w:val="009714CE"/>
    <w:rsid w:val="009721E1"/>
    <w:rsid w:val="0097333F"/>
    <w:rsid w:val="0097599B"/>
    <w:rsid w:val="00977AE2"/>
    <w:rsid w:val="0098561D"/>
    <w:rsid w:val="00987694"/>
    <w:rsid w:val="00990049"/>
    <w:rsid w:val="009916A6"/>
    <w:rsid w:val="00993F4A"/>
    <w:rsid w:val="009956B6"/>
    <w:rsid w:val="00997199"/>
    <w:rsid w:val="009A42E1"/>
    <w:rsid w:val="009A510F"/>
    <w:rsid w:val="009A56D9"/>
    <w:rsid w:val="009A5C2C"/>
    <w:rsid w:val="009A6732"/>
    <w:rsid w:val="009B0144"/>
    <w:rsid w:val="009B1F6C"/>
    <w:rsid w:val="009B2060"/>
    <w:rsid w:val="009B2DE0"/>
    <w:rsid w:val="009B30E5"/>
    <w:rsid w:val="009B316E"/>
    <w:rsid w:val="009B4149"/>
    <w:rsid w:val="009B5389"/>
    <w:rsid w:val="009B5BE6"/>
    <w:rsid w:val="009B70B3"/>
    <w:rsid w:val="009B7D18"/>
    <w:rsid w:val="009B7E50"/>
    <w:rsid w:val="009C05E5"/>
    <w:rsid w:val="009C15E9"/>
    <w:rsid w:val="009C161F"/>
    <w:rsid w:val="009C44F5"/>
    <w:rsid w:val="009D0522"/>
    <w:rsid w:val="009D0735"/>
    <w:rsid w:val="009D080C"/>
    <w:rsid w:val="009D0C06"/>
    <w:rsid w:val="009D2AF9"/>
    <w:rsid w:val="009D5BEA"/>
    <w:rsid w:val="009D63E4"/>
    <w:rsid w:val="009D6620"/>
    <w:rsid w:val="009D7F62"/>
    <w:rsid w:val="009E07D5"/>
    <w:rsid w:val="009E0DF2"/>
    <w:rsid w:val="009E1292"/>
    <w:rsid w:val="009E28BC"/>
    <w:rsid w:val="009E55D7"/>
    <w:rsid w:val="009E5CED"/>
    <w:rsid w:val="009E6F44"/>
    <w:rsid w:val="009E70D8"/>
    <w:rsid w:val="009F4A5F"/>
    <w:rsid w:val="009F7176"/>
    <w:rsid w:val="009F71F8"/>
    <w:rsid w:val="009F76EB"/>
    <w:rsid w:val="00A003C4"/>
    <w:rsid w:val="00A01E25"/>
    <w:rsid w:val="00A03BAA"/>
    <w:rsid w:val="00A07896"/>
    <w:rsid w:val="00A10607"/>
    <w:rsid w:val="00A110E4"/>
    <w:rsid w:val="00A11C29"/>
    <w:rsid w:val="00A12DFB"/>
    <w:rsid w:val="00A13DBD"/>
    <w:rsid w:val="00A140F0"/>
    <w:rsid w:val="00A15AFB"/>
    <w:rsid w:val="00A171B2"/>
    <w:rsid w:val="00A17564"/>
    <w:rsid w:val="00A2287F"/>
    <w:rsid w:val="00A23834"/>
    <w:rsid w:val="00A24BE7"/>
    <w:rsid w:val="00A24E3E"/>
    <w:rsid w:val="00A258C6"/>
    <w:rsid w:val="00A25E1E"/>
    <w:rsid w:val="00A2764A"/>
    <w:rsid w:val="00A27725"/>
    <w:rsid w:val="00A27D66"/>
    <w:rsid w:val="00A301D8"/>
    <w:rsid w:val="00A351BE"/>
    <w:rsid w:val="00A35E7F"/>
    <w:rsid w:val="00A403E8"/>
    <w:rsid w:val="00A40D1C"/>
    <w:rsid w:val="00A420C3"/>
    <w:rsid w:val="00A444EA"/>
    <w:rsid w:val="00A44642"/>
    <w:rsid w:val="00A4635D"/>
    <w:rsid w:val="00A46782"/>
    <w:rsid w:val="00A47449"/>
    <w:rsid w:val="00A50984"/>
    <w:rsid w:val="00A50ECD"/>
    <w:rsid w:val="00A55BC8"/>
    <w:rsid w:val="00A5683D"/>
    <w:rsid w:val="00A64529"/>
    <w:rsid w:val="00A656CE"/>
    <w:rsid w:val="00A70565"/>
    <w:rsid w:val="00A71200"/>
    <w:rsid w:val="00A737A3"/>
    <w:rsid w:val="00A7396B"/>
    <w:rsid w:val="00A74B54"/>
    <w:rsid w:val="00A759B9"/>
    <w:rsid w:val="00A7632F"/>
    <w:rsid w:val="00A77445"/>
    <w:rsid w:val="00A77883"/>
    <w:rsid w:val="00A81002"/>
    <w:rsid w:val="00A8399D"/>
    <w:rsid w:val="00A85936"/>
    <w:rsid w:val="00A85EA3"/>
    <w:rsid w:val="00A86569"/>
    <w:rsid w:val="00A86B5A"/>
    <w:rsid w:val="00A959DE"/>
    <w:rsid w:val="00A95F1D"/>
    <w:rsid w:val="00AA2E0E"/>
    <w:rsid w:val="00AA3B1E"/>
    <w:rsid w:val="00AA44CF"/>
    <w:rsid w:val="00AA480A"/>
    <w:rsid w:val="00AA6E04"/>
    <w:rsid w:val="00AB0092"/>
    <w:rsid w:val="00AB4CFE"/>
    <w:rsid w:val="00AB5FAE"/>
    <w:rsid w:val="00AB761F"/>
    <w:rsid w:val="00AC082F"/>
    <w:rsid w:val="00AC0FA2"/>
    <w:rsid w:val="00AC1200"/>
    <w:rsid w:val="00AD1079"/>
    <w:rsid w:val="00AD109D"/>
    <w:rsid w:val="00AD2C1A"/>
    <w:rsid w:val="00AD3442"/>
    <w:rsid w:val="00AD3FB5"/>
    <w:rsid w:val="00AD400D"/>
    <w:rsid w:val="00AD66A6"/>
    <w:rsid w:val="00AD6A0D"/>
    <w:rsid w:val="00AD75EE"/>
    <w:rsid w:val="00AE069B"/>
    <w:rsid w:val="00AE07FC"/>
    <w:rsid w:val="00AE4186"/>
    <w:rsid w:val="00AE42A8"/>
    <w:rsid w:val="00AE509B"/>
    <w:rsid w:val="00AE643F"/>
    <w:rsid w:val="00AE6A54"/>
    <w:rsid w:val="00AE748F"/>
    <w:rsid w:val="00AF0F7A"/>
    <w:rsid w:val="00AF14E9"/>
    <w:rsid w:val="00AF312F"/>
    <w:rsid w:val="00AF4F6B"/>
    <w:rsid w:val="00AF596C"/>
    <w:rsid w:val="00AF5E1F"/>
    <w:rsid w:val="00AF643D"/>
    <w:rsid w:val="00AF7579"/>
    <w:rsid w:val="00AF7B87"/>
    <w:rsid w:val="00B006CE"/>
    <w:rsid w:val="00B007D3"/>
    <w:rsid w:val="00B00884"/>
    <w:rsid w:val="00B03458"/>
    <w:rsid w:val="00B066B9"/>
    <w:rsid w:val="00B0760B"/>
    <w:rsid w:val="00B078BE"/>
    <w:rsid w:val="00B106A2"/>
    <w:rsid w:val="00B11E71"/>
    <w:rsid w:val="00B1333E"/>
    <w:rsid w:val="00B1531F"/>
    <w:rsid w:val="00B155E2"/>
    <w:rsid w:val="00B15D25"/>
    <w:rsid w:val="00B16A33"/>
    <w:rsid w:val="00B17EE0"/>
    <w:rsid w:val="00B2137E"/>
    <w:rsid w:val="00B228D9"/>
    <w:rsid w:val="00B27361"/>
    <w:rsid w:val="00B30082"/>
    <w:rsid w:val="00B31C84"/>
    <w:rsid w:val="00B32D73"/>
    <w:rsid w:val="00B355BA"/>
    <w:rsid w:val="00B37308"/>
    <w:rsid w:val="00B40E67"/>
    <w:rsid w:val="00B415F3"/>
    <w:rsid w:val="00B420BD"/>
    <w:rsid w:val="00B440A1"/>
    <w:rsid w:val="00B44CC8"/>
    <w:rsid w:val="00B45576"/>
    <w:rsid w:val="00B5234E"/>
    <w:rsid w:val="00B527C0"/>
    <w:rsid w:val="00B52DB5"/>
    <w:rsid w:val="00B543A8"/>
    <w:rsid w:val="00B55058"/>
    <w:rsid w:val="00B55E1F"/>
    <w:rsid w:val="00B62AD1"/>
    <w:rsid w:val="00B64821"/>
    <w:rsid w:val="00B648EE"/>
    <w:rsid w:val="00B657EC"/>
    <w:rsid w:val="00B671DE"/>
    <w:rsid w:val="00B67E5A"/>
    <w:rsid w:val="00B74296"/>
    <w:rsid w:val="00B765D5"/>
    <w:rsid w:val="00B80250"/>
    <w:rsid w:val="00B80C14"/>
    <w:rsid w:val="00B80C9B"/>
    <w:rsid w:val="00B80DEA"/>
    <w:rsid w:val="00B80F71"/>
    <w:rsid w:val="00B8151C"/>
    <w:rsid w:val="00B84D86"/>
    <w:rsid w:val="00B86379"/>
    <w:rsid w:val="00B86840"/>
    <w:rsid w:val="00B90480"/>
    <w:rsid w:val="00B90B82"/>
    <w:rsid w:val="00B91BCA"/>
    <w:rsid w:val="00B91DA9"/>
    <w:rsid w:val="00B93004"/>
    <w:rsid w:val="00B9382A"/>
    <w:rsid w:val="00B965CE"/>
    <w:rsid w:val="00B9671B"/>
    <w:rsid w:val="00B96781"/>
    <w:rsid w:val="00B9726F"/>
    <w:rsid w:val="00B9741A"/>
    <w:rsid w:val="00B97FA4"/>
    <w:rsid w:val="00BA0527"/>
    <w:rsid w:val="00BA17DE"/>
    <w:rsid w:val="00BA19B8"/>
    <w:rsid w:val="00BA35EC"/>
    <w:rsid w:val="00BA3FA8"/>
    <w:rsid w:val="00BA41B6"/>
    <w:rsid w:val="00BA5790"/>
    <w:rsid w:val="00BA5CE1"/>
    <w:rsid w:val="00BA6180"/>
    <w:rsid w:val="00BA6575"/>
    <w:rsid w:val="00BB2E42"/>
    <w:rsid w:val="00BB363A"/>
    <w:rsid w:val="00BB40C9"/>
    <w:rsid w:val="00BB464D"/>
    <w:rsid w:val="00BB599B"/>
    <w:rsid w:val="00BB695B"/>
    <w:rsid w:val="00BB6F75"/>
    <w:rsid w:val="00BC005D"/>
    <w:rsid w:val="00BC0BD0"/>
    <w:rsid w:val="00BC0FD1"/>
    <w:rsid w:val="00BC446D"/>
    <w:rsid w:val="00BC644C"/>
    <w:rsid w:val="00BC6E40"/>
    <w:rsid w:val="00BD0D79"/>
    <w:rsid w:val="00BD315E"/>
    <w:rsid w:val="00BD3316"/>
    <w:rsid w:val="00BD4620"/>
    <w:rsid w:val="00BD46BC"/>
    <w:rsid w:val="00BD5D92"/>
    <w:rsid w:val="00BD5FE8"/>
    <w:rsid w:val="00BD6C35"/>
    <w:rsid w:val="00BD6D17"/>
    <w:rsid w:val="00BE10D8"/>
    <w:rsid w:val="00BE127C"/>
    <w:rsid w:val="00BE2297"/>
    <w:rsid w:val="00BE2DFD"/>
    <w:rsid w:val="00BE3099"/>
    <w:rsid w:val="00BE3ECB"/>
    <w:rsid w:val="00BE4788"/>
    <w:rsid w:val="00BE50D3"/>
    <w:rsid w:val="00BE57B6"/>
    <w:rsid w:val="00BE5C2C"/>
    <w:rsid w:val="00BE738D"/>
    <w:rsid w:val="00BF0261"/>
    <w:rsid w:val="00BF13C3"/>
    <w:rsid w:val="00BF1E6C"/>
    <w:rsid w:val="00BF386F"/>
    <w:rsid w:val="00BF4E78"/>
    <w:rsid w:val="00BF5781"/>
    <w:rsid w:val="00BF76C4"/>
    <w:rsid w:val="00BF7D74"/>
    <w:rsid w:val="00C00357"/>
    <w:rsid w:val="00C00C96"/>
    <w:rsid w:val="00C02146"/>
    <w:rsid w:val="00C02BC8"/>
    <w:rsid w:val="00C02E20"/>
    <w:rsid w:val="00C032FB"/>
    <w:rsid w:val="00C03D97"/>
    <w:rsid w:val="00C05C09"/>
    <w:rsid w:val="00C05EFA"/>
    <w:rsid w:val="00C0661F"/>
    <w:rsid w:val="00C06D44"/>
    <w:rsid w:val="00C10427"/>
    <w:rsid w:val="00C10AA6"/>
    <w:rsid w:val="00C1139E"/>
    <w:rsid w:val="00C11429"/>
    <w:rsid w:val="00C122F2"/>
    <w:rsid w:val="00C13673"/>
    <w:rsid w:val="00C152D7"/>
    <w:rsid w:val="00C15AD1"/>
    <w:rsid w:val="00C173E9"/>
    <w:rsid w:val="00C17E11"/>
    <w:rsid w:val="00C22C25"/>
    <w:rsid w:val="00C23B2C"/>
    <w:rsid w:val="00C23B85"/>
    <w:rsid w:val="00C248E9"/>
    <w:rsid w:val="00C25DB3"/>
    <w:rsid w:val="00C26CB5"/>
    <w:rsid w:val="00C26E27"/>
    <w:rsid w:val="00C27982"/>
    <w:rsid w:val="00C30884"/>
    <w:rsid w:val="00C34A1E"/>
    <w:rsid w:val="00C36BC3"/>
    <w:rsid w:val="00C37696"/>
    <w:rsid w:val="00C40D1D"/>
    <w:rsid w:val="00C415CE"/>
    <w:rsid w:val="00C42230"/>
    <w:rsid w:val="00C42AAB"/>
    <w:rsid w:val="00C4308F"/>
    <w:rsid w:val="00C43A92"/>
    <w:rsid w:val="00C43AE0"/>
    <w:rsid w:val="00C443E4"/>
    <w:rsid w:val="00C464CC"/>
    <w:rsid w:val="00C47D51"/>
    <w:rsid w:val="00C50C67"/>
    <w:rsid w:val="00C53B17"/>
    <w:rsid w:val="00C555CE"/>
    <w:rsid w:val="00C557CA"/>
    <w:rsid w:val="00C5784B"/>
    <w:rsid w:val="00C60347"/>
    <w:rsid w:val="00C607F8"/>
    <w:rsid w:val="00C60F41"/>
    <w:rsid w:val="00C6181D"/>
    <w:rsid w:val="00C6194D"/>
    <w:rsid w:val="00C61BE8"/>
    <w:rsid w:val="00C63414"/>
    <w:rsid w:val="00C63713"/>
    <w:rsid w:val="00C63D30"/>
    <w:rsid w:val="00C63EB6"/>
    <w:rsid w:val="00C6555F"/>
    <w:rsid w:val="00C656CF"/>
    <w:rsid w:val="00C66B2F"/>
    <w:rsid w:val="00C67CF7"/>
    <w:rsid w:val="00C67F14"/>
    <w:rsid w:val="00C71D03"/>
    <w:rsid w:val="00C72D49"/>
    <w:rsid w:val="00C72E72"/>
    <w:rsid w:val="00C76D3A"/>
    <w:rsid w:val="00C81A47"/>
    <w:rsid w:val="00C81AE2"/>
    <w:rsid w:val="00C81F43"/>
    <w:rsid w:val="00C83563"/>
    <w:rsid w:val="00C84846"/>
    <w:rsid w:val="00C84958"/>
    <w:rsid w:val="00C8732B"/>
    <w:rsid w:val="00C878FA"/>
    <w:rsid w:val="00C87E24"/>
    <w:rsid w:val="00C91022"/>
    <w:rsid w:val="00C91A87"/>
    <w:rsid w:val="00C91FF0"/>
    <w:rsid w:val="00C923A3"/>
    <w:rsid w:val="00C9417B"/>
    <w:rsid w:val="00C95F06"/>
    <w:rsid w:val="00C9620F"/>
    <w:rsid w:val="00C976D7"/>
    <w:rsid w:val="00CA0567"/>
    <w:rsid w:val="00CA202C"/>
    <w:rsid w:val="00CA3512"/>
    <w:rsid w:val="00CA5D3C"/>
    <w:rsid w:val="00CA5D73"/>
    <w:rsid w:val="00CB11AE"/>
    <w:rsid w:val="00CB1F13"/>
    <w:rsid w:val="00CB2613"/>
    <w:rsid w:val="00CB2F72"/>
    <w:rsid w:val="00CB461A"/>
    <w:rsid w:val="00CB4AF9"/>
    <w:rsid w:val="00CB4C75"/>
    <w:rsid w:val="00CC0DCD"/>
    <w:rsid w:val="00CC20E6"/>
    <w:rsid w:val="00CC33FB"/>
    <w:rsid w:val="00CC399D"/>
    <w:rsid w:val="00CC54BF"/>
    <w:rsid w:val="00CC5B8B"/>
    <w:rsid w:val="00CC5CEB"/>
    <w:rsid w:val="00CC686D"/>
    <w:rsid w:val="00CC68E6"/>
    <w:rsid w:val="00CD1C6D"/>
    <w:rsid w:val="00CD2A44"/>
    <w:rsid w:val="00CD3277"/>
    <w:rsid w:val="00CD4AA1"/>
    <w:rsid w:val="00CD72F7"/>
    <w:rsid w:val="00CE04B3"/>
    <w:rsid w:val="00CE1C3B"/>
    <w:rsid w:val="00CE3865"/>
    <w:rsid w:val="00CE609F"/>
    <w:rsid w:val="00CE745D"/>
    <w:rsid w:val="00CF242A"/>
    <w:rsid w:val="00CF6F5A"/>
    <w:rsid w:val="00D023D7"/>
    <w:rsid w:val="00D02A90"/>
    <w:rsid w:val="00D02EC8"/>
    <w:rsid w:val="00D0304C"/>
    <w:rsid w:val="00D030FF"/>
    <w:rsid w:val="00D04B19"/>
    <w:rsid w:val="00D064A8"/>
    <w:rsid w:val="00D06F3A"/>
    <w:rsid w:val="00D148EB"/>
    <w:rsid w:val="00D14F48"/>
    <w:rsid w:val="00D156D2"/>
    <w:rsid w:val="00D167A7"/>
    <w:rsid w:val="00D173FB"/>
    <w:rsid w:val="00D1785D"/>
    <w:rsid w:val="00D204B1"/>
    <w:rsid w:val="00D2214E"/>
    <w:rsid w:val="00D228FD"/>
    <w:rsid w:val="00D22B76"/>
    <w:rsid w:val="00D249C3"/>
    <w:rsid w:val="00D2583D"/>
    <w:rsid w:val="00D26099"/>
    <w:rsid w:val="00D26F8E"/>
    <w:rsid w:val="00D27053"/>
    <w:rsid w:val="00D32C52"/>
    <w:rsid w:val="00D34CB3"/>
    <w:rsid w:val="00D360F0"/>
    <w:rsid w:val="00D36408"/>
    <w:rsid w:val="00D37732"/>
    <w:rsid w:val="00D4264D"/>
    <w:rsid w:val="00D42E42"/>
    <w:rsid w:val="00D4310C"/>
    <w:rsid w:val="00D442AC"/>
    <w:rsid w:val="00D45614"/>
    <w:rsid w:val="00D45F35"/>
    <w:rsid w:val="00D47F21"/>
    <w:rsid w:val="00D510D6"/>
    <w:rsid w:val="00D53E58"/>
    <w:rsid w:val="00D55CC7"/>
    <w:rsid w:val="00D57C0F"/>
    <w:rsid w:val="00D6039D"/>
    <w:rsid w:val="00D605C5"/>
    <w:rsid w:val="00D64AA5"/>
    <w:rsid w:val="00D650C8"/>
    <w:rsid w:val="00D66416"/>
    <w:rsid w:val="00D705CC"/>
    <w:rsid w:val="00D741C9"/>
    <w:rsid w:val="00D746CE"/>
    <w:rsid w:val="00D7481C"/>
    <w:rsid w:val="00D74D0A"/>
    <w:rsid w:val="00D75B7B"/>
    <w:rsid w:val="00D767C3"/>
    <w:rsid w:val="00D80B4D"/>
    <w:rsid w:val="00D80CF6"/>
    <w:rsid w:val="00D812C7"/>
    <w:rsid w:val="00D85A71"/>
    <w:rsid w:val="00D85B21"/>
    <w:rsid w:val="00D85DDF"/>
    <w:rsid w:val="00D866B5"/>
    <w:rsid w:val="00D86DED"/>
    <w:rsid w:val="00D916AD"/>
    <w:rsid w:val="00D946B7"/>
    <w:rsid w:val="00D96139"/>
    <w:rsid w:val="00D96489"/>
    <w:rsid w:val="00D96CB4"/>
    <w:rsid w:val="00D9706D"/>
    <w:rsid w:val="00DA1E1A"/>
    <w:rsid w:val="00DA35F1"/>
    <w:rsid w:val="00DA5BCA"/>
    <w:rsid w:val="00DA6326"/>
    <w:rsid w:val="00DA79A8"/>
    <w:rsid w:val="00DB0170"/>
    <w:rsid w:val="00DB0D4C"/>
    <w:rsid w:val="00DB352E"/>
    <w:rsid w:val="00DB5F74"/>
    <w:rsid w:val="00DC0FBB"/>
    <w:rsid w:val="00DC11B6"/>
    <w:rsid w:val="00DC593A"/>
    <w:rsid w:val="00DC77C1"/>
    <w:rsid w:val="00DD09AD"/>
    <w:rsid w:val="00DD0B6F"/>
    <w:rsid w:val="00DD0FE1"/>
    <w:rsid w:val="00DD3344"/>
    <w:rsid w:val="00DD3AE7"/>
    <w:rsid w:val="00DD5C08"/>
    <w:rsid w:val="00DD629B"/>
    <w:rsid w:val="00DE478C"/>
    <w:rsid w:val="00DE4B19"/>
    <w:rsid w:val="00DE6ABB"/>
    <w:rsid w:val="00DE78AC"/>
    <w:rsid w:val="00DE7D03"/>
    <w:rsid w:val="00E023D3"/>
    <w:rsid w:val="00E03964"/>
    <w:rsid w:val="00E044FA"/>
    <w:rsid w:val="00E04BA4"/>
    <w:rsid w:val="00E050BB"/>
    <w:rsid w:val="00E12E25"/>
    <w:rsid w:val="00E1307B"/>
    <w:rsid w:val="00E14231"/>
    <w:rsid w:val="00E14682"/>
    <w:rsid w:val="00E171CC"/>
    <w:rsid w:val="00E175DA"/>
    <w:rsid w:val="00E20688"/>
    <w:rsid w:val="00E20D2A"/>
    <w:rsid w:val="00E21DEF"/>
    <w:rsid w:val="00E22380"/>
    <w:rsid w:val="00E23275"/>
    <w:rsid w:val="00E242EB"/>
    <w:rsid w:val="00E25456"/>
    <w:rsid w:val="00E2685D"/>
    <w:rsid w:val="00E27D37"/>
    <w:rsid w:val="00E30438"/>
    <w:rsid w:val="00E30563"/>
    <w:rsid w:val="00E30F3E"/>
    <w:rsid w:val="00E316DE"/>
    <w:rsid w:val="00E3236F"/>
    <w:rsid w:val="00E332E6"/>
    <w:rsid w:val="00E34930"/>
    <w:rsid w:val="00E369AF"/>
    <w:rsid w:val="00E43C71"/>
    <w:rsid w:val="00E448B4"/>
    <w:rsid w:val="00E45602"/>
    <w:rsid w:val="00E4639E"/>
    <w:rsid w:val="00E47BAC"/>
    <w:rsid w:val="00E50824"/>
    <w:rsid w:val="00E50ECC"/>
    <w:rsid w:val="00E51353"/>
    <w:rsid w:val="00E53579"/>
    <w:rsid w:val="00E53C3A"/>
    <w:rsid w:val="00E55608"/>
    <w:rsid w:val="00E56D69"/>
    <w:rsid w:val="00E57F75"/>
    <w:rsid w:val="00E60140"/>
    <w:rsid w:val="00E60AE8"/>
    <w:rsid w:val="00E63155"/>
    <w:rsid w:val="00E6450E"/>
    <w:rsid w:val="00E65385"/>
    <w:rsid w:val="00E65D73"/>
    <w:rsid w:val="00E67480"/>
    <w:rsid w:val="00E70EFA"/>
    <w:rsid w:val="00E71DB8"/>
    <w:rsid w:val="00E7514C"/>
    <w:rsid w:val="00E7692A"/>
    <w:rsid w:val="00E81FBD"/>
    <w:rsid w:val="00E82288"/>
    <w:rsid w:val="00E83AE4"/>
    <w:rsid w:val="00E84C27"/>
    <w:rsid w:val="00E8509E"/>
    <w:rsid w:val="00E8575A"/>
    <w:rsid w:val="00E861E4"/>
    <w:rsid w:val="00E86464"/>
    <w:rsid w:val="00E8672E"/>
    <w:rsid w:val="00E87A05"/>
    <w:rsid w:val="00E92988"/>
    <w:rsid w:val="00E933FE"/>
    <w:rsid w:val="00E96595"/>
    <w:rsid w:val="00E9794A"/>
    <w:rsid w:val="00EA1D99"/>
    <w:rsid w:val="00EA2B43"/>
    <w:rsid w:val="00EA4FE7"/>
    <w:rsid w:val="00EA5EB7"/>
    <w:rsid w:val="00EA6505"/>
    <w:rsid w:val="00EA6FB1"/>
    <w:rsid w:val="00EB12C9"/>
    <w:rsid w:val="00EB1ED5"/>
    <w:rsid w:val="00EB25F9"/>
    <w:rsid w:val="00EB4383"/>
    <w:rsid w:val="00EB7266"/>
    <w:rsid w:val="00EC2175"/>
    <w:rsid w:val="00EC6B11"/>
    <w:rsid w:val="00ED42FC"/>
    <w:rsid w:val="00ED5B65"/>
    <w:rsid w:val="00ED5C06"/>
    <w:rsid w:val="00ED7929"/>
    <w:rsid w:val="00ED7D2E"/>
    <w:rsid w:val="00EE0A2F"/>
    <w:rsid w:val="00EE0C55"/>
    <w:rsid w:val="00EE1A17"/>
    <w:rsid w:val="00EE1B18"/>
    <w:rsid w:val="00EE3225"/>
    <w:rsid w:val="00EE3E2E"/>
    <w:rsid w:val="00EE4D8F"/>
    <w:rsid w:val="00EE5B0E"/>
    <w:rsid w:val="00EF0168"/>
    <w:rsid w:val="00EF0343"/>
    <w:rsid w:val="00EF0598"/>
    <w:rsid w:val="00EF0866"/>
    <w:rsid w:val="00EF0DF4"/>
    <w:rsid w:val="00EF10F3"/>
    <w:rsid w:val="00EF167C"/>
    <w:rsid w:val="00EF3242"/>
    <w:rsid w:val="00EF490A"/>
    <w:rsid w:val="00EF4C75"/>
    <w:rsid w:val="00EF54DD"/>
    <w:rsid w:val="00F03078"/>
    <w:rsid w:val="00F03533"/>
    <w:rsid w:val="00F079F3"/>
    <w:rsid w:val="00F07A97"/>
    <w:rsid w:val="00F10108"/>
    <w:rsid w:val="00F11572"/>
    <w:rsid w:val="00F20463"/>
    <w:rsid w:val="00F20AA7"/>
    <w:rsid w:val="00F220A8"/>
    <w:rsid w:val="00F22AB5"/>
    <w:rsid w:val="00F24604"/>
    <w:rsid w:val="00F26341"/>
    <w:rsid w:val="00F26629"/>
    <w:rsid w:val="00F26728"/>
    <w:rsid w:val="00F26891"/>
    <w:rsid w:val="00F276AA"/>
    <w:rsid w:val="00F276FD"/>
    <w:rsid w:val="00F27A08"/>
    <w:rsid w:val="00F30460"/>
    <w:rsid w:val="00F32A33"/>
    <w:rsid w:val="00F32F40"/>
    <w:rsid w:val="00F375BA"/>
    <w:rsid w:val="00F40D1F"/>
    <w:rsid w:val="00F427F7"/>
    <w:rsid w:val="00F43D25"/>
    <w:rsid w:val="00F450C1"/>
    <w:rsid w:val="00F453DC"/>
    <w:rsid w:val="00F455E7"/>
    <w:rsid w:val="00F50549"/>
    <w:rsid w:val="00F50EBA"/>
    <w:rsid w:val="00F5158A"/>
    <w:rsid w:val="00F51DCD"/>
    <w:rsid w:val="00F51E33"/>
    <w:rsid w:val="00F51FB1"/>
    <w:rsid w:val="00F52C9C"/>
    <w:rsid w:val="00F53834"/>
    <w:rsid w:val="00F548B6"/>
    <w:rsid w:val="00F54B27"/>
    <w:rsid w:val="00F54FC1"/>
    <w:rsid w:val="00F55B46"/>
    <w:rsid w:val="00F5678A"/>
    <w:rsid w:val="00F578AB"/>
    <w:rsid w:val="00F57C33"/>
    <w:rsid w:val="00F60012"/>
    <w:rsid w:val="00F60EAA"/>
    <w:rsid w:val="00F611E3"/>
    <w:rsid w:val="00F612CD"/>
    <w:rsid w:val="00F619AC"/>
    <w:rsid w:val="00F62285"/>
    <w:rsid w:val="00F62DBB"/>
    <w:rsid w:val="00F6310C"/>
    <w:rsid w:val="00F63786"/>
    <w:rsid w:val="00F64A80"/>
    <w:rsid w:val="00F667DD"/>
    <w:rsid w:val="00F67836"/>
    <w:rsid w:val="00F67EE6"/>
    <w:rsid w:val="00F70969"/>
    <w:rsid w:val="00F712C2"/>
    <w:rsid w:val="00F72557"/>
    <w:rsid w:val="00F755A3"/>
    <w:rsid w:val="00F76063"/>
    <w:rsid w:val="00F762DB"/>
    <w:rsid w:val="00F765D1"/>
    <w:rsid w:val="00F80340"/>
    <w:rsid w:val="00F8193D"/>
    <w:rsid w:val="00F81CC6"/>
    <w:rsid w:val="00F8271F"/>
    <w:rsid w:val="00F82CDC"/>
    <w:rsid w:val="00F84440"/>
    <w:rsid w:val="00F846E5"/>
    <w:rsid w:val="00F8556B"/>
    <w:rsid w:val="00F867EB"/>
    <w:rsid w:val="00F90117"/>
    <w:rsid w:val="00F909F4"/>
    <w:rsid w:val="00F95419"/>
    <w:rsid w:val="00F9648E"/>
    <w:rsid w:val="00F97FAC"/>
    <w:rsid w:val="00FA0BF8"/>
    <w:rsid w:val="00FA2C31"/>
    <w:rsid w:val="00FA4DE0"/>
    <w:rsid w:val="00FA5F8D"/>
    <w:rsid w:val="00FB0821"/>
    <w:rsid w:val="00FB2296"/>
    <w:rsid w:val="00FB3998"/>
    <w:rsid w:val="00FB3E2D"/>
    <w:rsid w:val="00FB5172"/>
    <w:rsid w:val="00FB5E42"/>
    <w:rsid w:val="00FB6B96"/>
    <w:rsid w:val="00FC5B16"/>
    <w:rsid w:val="00FC6950"/>
    <w:rsid w:val="00FD0000"/>
    <w:rsid w:val="00FD0275"/>
    <w:rsid w:val="00FD02EC"/>
    <w:rsid w:val="00FD07BE"/>
    <w:rsid w:val="00FD0C07"/>
    <w:rsid w:val="00FD1B47"/>
    <w:rsid w:val="00FD4F4D"/>
    <w:rsid w:val="00FE12E2"/>
    <w:rsid w:val="00FE14C3"/>
    <w:rsid w:val="00FE1CDD"/>
    <w:rsid w:val="00FE20FC"/>
    <w:rsid w:val="00FE2D7E"/>
    <w:rsid w:val="00FE4D95"/>
    <w:rsid w:val="00FE567D"/>
    <w:rsid w:val="00FE6931"/>
    <w:rsid w:val="00FE6EE4"/>
    <w:rsid w:val="00FE6FF5"/>
    <w:rsid w:val="00FE7370"/>
    <w:rsid w:val="00FE7C1D"/>
    <w:rsid w:val="00FE7C5F"/>
    <w:rsid w:val="00FF1C53"/>
    <w:rsid w:val="00FF3D2C"/>
    <w:rsid w:val="00FF59EB"/>
    <w:rsid w:val="00FF5C95"/>
    <w:rsid w:val="00FF6CE1"/>
    <w:rsid w:val="00FF7775"/>
    <w:rsid w:val="03416136"/>
    <w:rsid w:val="152A669D"/>
    <w:rsid w:val="161A619C"/>
    <w:rsid w:val="1C2929F5"/>
    <w:rsid w:val="2A1A6303"/>
    <w:rsid w:val="3CD84660"/>
    <w:rsid w:val="4AF92E88"/>
    <w:rsid w:val="4E7F299C"/>
    <w:rsid w:val="521154E3"/>
    <w:rsid w:val="581433C5"/>
    <w:rsid w:val="5F6D60ED"/>
    <w:rsid w:val="60F57EA1"/>
    <w:rsid w:val="615C6915"/>
    <w:rsid w:val="6A16399C"/>
    <w:rsid w:val="6D8F2E08"/>
    <w:rsid w:val="76444A68"/>
    <w:rsid w:val="77B32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color w:val="000000"/>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numPr>
        <w:ilvl w:val="0"/>
        <w:numId w:val="1"/>
      </w:numPr>
      <w:tabs>
        <w:tab w:val="left" w:pos="945"/>
        <w:tab w:val="clear" w:pos="1238"/>
      </w:tabs>
      <w:adjustRightInd w:val="0"/>
      <w:snapToGrid w:val="0"/>
      <w:spacing w:line="560" w:lineRule="exact"/>
      <w:outlineLvl w:val="1"/>
    </w:pPr>
    <w:rPr>
      <w:rFonts w:ascii="楷体_GB2312" w:hAnsi="Times New Roman" w:eastAsia="楷体_GB2312"/>
      <w:color w:val="auto"/>
      <w:sz w:val="28"/>
    </w:rPr>
  </w:style>
  <w:style w:type="paragraph" w:styleId="4">
    <w:name w:val="heading 3"/>
    <w:basedOn w:val="1"/>
    <w:next w:val="1"/>
    <w:qFormat/>
    <w:uiPriority w:val="0"/>
    <w:pPr>
      <w:keepNext/>
      <w:numPr>
        <w:ilvl w:val="0"/>
        <w:numId w:val="2"/>
      </w:numPr>
      <w:tabs>
        <w:tab w:val="left" w:pos="1045"/>
        <w:tab w:val="clear" w:pos="1280"/>
      </w:tabs>
      <w:adjustRightInd w:val="0"/>
      <w:snapToGrid w:val="0"/>
      <w:spacing w:line="520" w:lineRule="exact"/>
      <w:outlineLvl w:val="2"/>
    </w:pPr>
    <w:rPr>
      <w:rFonts w:ascii="楷体_GB2312" w:hAnsi="Times New Roman" w:eastAsia="楷体_GB2312"/>
      <w:color w:val="auto"/>
      <w:sz w:val="28"/>
      <w:szCs w:val="20"/>
    </w:rPr>
  </w:style>
  <w:style w:type="paragraph" w:styleId="5">
    <w:name w:val="heading 4"/>
    <w:basedOn w:val="1"/>
    <w:next w:val="1"/>
    <w:qFormat/>
    <w:uiPriority w:val="0"/>
    <w:pPr>
      <w:keepNext/>
      <w:keepLines/>
      <w:numPr>
        <w:ilvl w:val="3"/>
        <w:numId w:val="3"/>
      </w:numPr>
      <w:spacing w:before="280" w:after="290" w:line="376" w:lineRule="atLeast"/>
      <w:jc w:val="left"/>
      <w:outlineLvl w:val="3"/>
    </w:pPr>
    <w:rPr>
      <w:rFonts w:ascii="Arial" w:hAnsi="Arial" w:eastAsia="黑体"/>
      <w:b/>
      <w:color w:val="auto"/>
      <w:sz w:val="28"/>
      <w:szCs w:val="20"/>
    </w:rPr>
  </w:style>
  <w:style w:type="paragraph" w:styleId="6">
    <w:name w:val="heading 5"/>
    <w:basedOn w:val="1"/>
    <w:next w:val="1"/>
    <w:qFormat/>
    <w:uiPriority w:val="0"/>
    <w:pPr>
      <w:keepNext/>
      <w:keepLines/>
      <w:numPr>
        <w:ilvl w:val="4"/>
        <w:numId w:val="3"/>
      </w:numPr>
      <w:spacing w:before="280" w:after="290" w:line="376" w:lineRule="atLeast"/>
      <w:jc w:val="left"/>
      <w:outlineLvl w:val="4"/>
    </w:pPr>
    <w:rPr>
      <w:rFonts w:ascii="Arial" w:hAnsi="Arial"/>
      <w:b/>
      <w:color w:val="auto"/>
      <w:sz w:val="28"/>
      <w:szCs w:val="20"/>
    </w:rPr>
  </w:style>
  <w:style w:type="paragraph" w:styleId="7">
    <w:name w:val="heading 6"/>
    <w:basedOn w:val="1"/>
    <w:next w:val="1"/>
    <w:qFormat/>
    <w:uiPriority w:val="0"/>
    <w:pPr>
      <w:keepNext/>
      <w:keepLines/>
      <w:numPr>
        <w:ilvl w:val="5"/>
        <w:numId w:val="3"/>
      </w:numPr>
      <w:spacing w:before="240" w:after="64" w:line="320" w:lineRule="atLeast"/>
      <w:jc w:val="left"/>
      <w:outlineLvl w:val="5"/>
    </w:pPr>
    <w:rPr>
      <w:rFonts w:ascii="Arial" w:hAnsi="Arial" w:eastAsia="黑体"/>
      <w:b/>
      <w:color w:val="auto"/>
      <w:sz w:val="24"/>
      <w:szCs w:val="20"/>
    </w:rPr>
  </w:style>
  <w:style w:type="paragraph" w:styleId="8">
    <w:name w:val="heading 7"/>
    <w:basedOn w:val="1"/>
    <w:next w:val="1"/>
    <w:qFormat/>
    <w:uiPriority w:val="0"/>
    <w:pPr>
      <w:keepNext/>
      <w:keepLines/>
      <w:numPr>
        <w:ilvl w:val="6"/>
        <w:numId w:val="3"/>
      </w:numPr>
      <w:spacing w:before="240" w:after="64" w:line="320" w:lineRule="atLeast"/>
      <w:jc w:val="left"/>
      <w:outlineLvl w:val="6"/>
    </w:pPr>
    <w:rPr>
      <w:rFonts w:ascii="Arial" w:hAnsi="Arial"/>
      <w:b/>
      <w:color w:val="auto"/>
      <w:sz w:val="24"/>
      <w:szCs w:val="20"/>
    </w:rPr>
  </w:style>
  <w:style w:type="paragraph" w:styleId="9">
    <w:name w:val="heading 8"/>
    <w:basedOn w:val="1"/>
    <w:next w:val="1"/>
    <w:qFormat/>
    <w:uiPriority w:val="0"/>
    <w:pPr>
      <w:keepNext/>
      <w:keepLines/>
      <w:numPr>
        <w:ilvl w:val="7"/>
        <w:numId w:val="3"/>
      </w:numPr>
      <w:spacing w:before="240" w:after="64" w:line="320" w:lineRule="atLeast"/>
      <w:jc w:val="left"/>
      <w:outlineLvl w:val="7"/>
    </w:pPr>
    <w:rPr>
      <w:rFonts w:ascii="Arial" w:hAnsi="Arial" w:eastAsia="黑体"/>
      <w:color w:val="auto"/>
      <w:sz w:val="24"/>
      <w:szCs w:val="20"/>
    </w:rPr>
  </w:style>
  <w:style w:type="paragraph" w:styleId="10">
    <w:name w:val="heading 9"/>
    <w:basedOn w:val="1"/>
    <w:next w:val="1"/>
    <w:qFormat/>
    <w:uiPriority w:val="0"/>
    <w:pPr>
      <w:keepNext/>
      <w:keepLines/>
      <w:numPr>
        <w:ilvl w:val="8"/>
        <w:numId w:val="3"/>
      </w:numPr>
      <w:spacing w:before="240" w:after="64" w:line="320" w:lineRule="atLeast"/>
      <w:jc w:val="left"/>
      <w:outlineLvl w:val="8"/>
    </w:pPr>
    <w:rPr>
      <w:rFonts w:ascii="Arial" w:hAnsi="Arial" w:eastAsia="黑体"/>
      <w:color w:val="auto"/>
      <w:sz w:val="24"/>
      <w:szCs w:val="20"/>
    </w:rPr>
  </w:style>
  <w:style w:type="character" w:default="1" w:styleId="29">
    <w:name w:val="Default Paragraph Font"/>
    <w:semiHidden/>
    <w:unhideWhenUsed/>
    <w:qFormat/>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styleId="11">
    <w:name w:val="Salutation"/>
    <w:basedOn w:val="1"/>
    <w:next w:val="1"/>
    <w:qFormat/>
    <w:uiPriority w:val="0"/>
    <w:rPr>
      <w:rFonts w:ascii="Times New Roman" w:hAnsi="Times New Roman"/>
      <w:color w:val="auto"/>
      <w:sz w:val="28"/>
    </w:rPr>
  </w:style>
  <w:style w:type="paragraph" w:styleId="12">
    <w:name w:val="Body Text 3"/>
    <w:basedOn w:val="1"/>
    <w:qFormat/>
    <w:uiPriority w:val="0"/>
    <w:pPr>
      <w:adjustRightInd w:val="0"/>
      <w:snapToGrid w:val="0"/>
      <w:spacing w:line="600" w:lineRule="exact"/>
    </w:pPr>
    <w:rPr>
      <w:rFonts w:ascii="楷体_GB2312" w:hAnsi="Times New Roman" w:eastAsia="楷体_GB2312"/>
      <w:b/>
      <w:bCs/>
      <w:color w:val="auto"/>
      <w:sz w:val="48"/>
      <w:szCs w:val="20"/>
    </w:rPr>
  </w:style>
  <w:style w:type="paragraph" w:styleId="13">
    <w:name w:val="Body Text"/>
    <w:basedOn w:val="1"/>
    <w:qFormat/>
    <w:uiPriority w:val="0"/>
    <w:rPr>
      <w:rFonts w:ascii="Times New Roman" w:hAnsi="Times New Roman" w:eastAsia="楷体_GB2312"/>
      <w:color w:val="auto"/>
      <w:sz w:val="28"/>
      <w:szCs w:val="20"/>
    </w:rPr>
  </w:style>
  <w:style w:type="paragraph" w:styleId="14">
    <w:name w:val="Body Text Indent"/>
    <w:basedOn w:val="1"/>
    <w:qFormat/>
    <w:uiPriority w:val="0"/>
    <w:pPr>
      <w:spacing w:line="560" w:lineRule="exact"/>
      <w:ind w:left="1" w:firstLine="480" w:firstLineChars="200"/>
    </w:pPr>
    <w:rPr>
      <w:rFonts w:ascii="楷体_GB2312" w:eastAsia="楷体_GB2312"/>
      <w:sz w:val="24"/>
    </w:rPr>
  </w:style>
  <w:style w:type="paragraph" w:styleId="15">
    <w:name w:val="Plain Text"/>
    <w:basedOn w:val="1"/>
    <w:uiPriority w:val="0"/>
    <w:rPr>
      <w:rFonts w:hAnsi="Courier New"/>
      <w:color w:val="auto"/>
      <w:sz w:val="28"/>
      <w:szCs w:val="20"/>
    </w:rPr>
  </w:style>
  <w:style w:type="paragraph" w:styleId="16">
    <w:name w:val="Date"/>
    <w:basedOn w:val="1"/>
    <w:next w:val="1"/>
    <w:uiPriority w:val="0"/>
    <w:rPr>
      <w:rFonts w:ascii="Times New Roman" w:hAnsi="Times New Roman" w:eastAsia="仿宋_GB2312"/>
      <w:color w:val="auto"/>
      <w:sz w:val="30"/>
      <w:szCs w:val="20"/>
    </w:rPr>
  </w:style>
  <w:style w:type="paragraph" w:styleId="17">
    <w:name w:val="Body Text Indent 2"/>
    <w:basedOn w:val="1"/>
    <w:qFormat/>
    <w:uiPriority w:val="0"/>
    <w:pPr>
      <w:spacing w:line="560" w:lineRule="exact"/>
      <w:ind w:left="-181" w:leftChars="-86" w:firstLine="480" w:firstLineChars="200"/>
    </w:pPr>
    <w:rPr>
      <w:rFonts w:ascii="楷体_GB2312" w:eastAsia="楷体_GB2312"/>
      <w:sz w:val="24"/>
    </w:rPr>
  </w:style>
  <w:style w:type="paragraph" w:styleId="18">
    <w:name w:val="Balloon Text"/>
    <w:basedOn w:val="1"/>
    <w:qFormat/>
    <w:uiPriority w:val="0"/>
    <w:rPr>
      <w:sz w:val="18"/>
      <w:szCs w:val="18"/>
    </w:rPr>
  </w:style>
  <w:style w:type="paragraph" w:styleId="19">
    <w:name w:val="footer"/>
    <w:basedOn w:val="1"/>
    <w:link w:val="60"/>
    <w:uiPriority w:val="0"/>
    <w:pPr>
      <w:tabs>
        <w:tab w:val="center" w:pos="4153"/>
        <w:tab w:val="right" w:pos="8306"/>
      </w:tabs>
      <w:snapToGrid w:val="0"/>
      <w:jc w:val="left"/>
    </w:pPr>
    <w:rPr>
      <w:sz w:val="18"/>
      <w:szCs w:val="18"/>
    </w:rPr>
  </w:style>
  <w:style w:type="paragraph" w:styleId="20">
    <w:name w:val="header"/>
    <w:basedOn w:val="1"/>
    <w:link w:val="59"/>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spacing w:before="120" w:after="120"/>
      <w:jc w:val="left"/>
    </w:pPr>
    <w:rPr>
      <w:rFonts w:ascii="Times New Roman" w:hAnsi="Times New Roman"/>
      <w:b/>
      <w:bCs/>
      <w:caps/>
      <w:color w:val="auto"/>
      <w:sz w:val="20"/>
      <w:szCs w:val="20"/>
    </w:rPr>
  </w:style>
  <w:style w:type="paragraph" w:styleId="22">
    <w:name w:val="List"/>
    <w:basedOn w:val="1"/>
    <w:uiPriority w:val="0"/>
    <w:pPr>
      <w:autoSpaceDE w:val="0"/>
      <w:autoSpaceDN w:val="0"/>
      <w:adjustRightInd w:val="0"/>
      <w:spacing w:line="312" w:lineRule="atLeast"/>
      <w:ind w:left="420" w:hanging="420"/>
      <w:textAlignment w:val="baseline"/>
    </w:pPr>
    <w:rPr>
      <w:rFonts w:ascii="Times New Roman" w:hAnsi="Times New Roman"/>
      <w:color w:val="auto"/>
      <w:kern w:val="0"/>
      <w:szCs w:val="20"/>
    </w:rPr>
  </w:style>
  <w:style w:type="paragraph" w:styleId="23">
    <w:name w:val="footnote text"/>
    <w:basedOn w:val="1"/>
    <w:qFormat/>
    <w:uiPriority w:val="0"/>
    <w:pPr>
      <w:snapToGrid w:val="0"/>
      <w:jc w:val="left"/>
    </w:pPr>
    <w:rPr>
      <w:sz w:val="18"/>
      <w:szCs w:val="18"/>
    </w:rPr>
  </w:style>
  <w:style w:type="paragraph" w:styleId="24">
    <w:name w:val="Body Text Indent 3"/>
    <w:basedOn w:val="1"/>
    <w:link w:val="58"/>
    <w:uiPriority w:val="0"/>
    <w:pPr>
      <w:ind w:firstLine="560" w:firstLineChars="200"/>
    </w:pPr>
    <w:rPr>
      <w:rFonts w:ascii="楷体_GB2312" w:hAnsi="Times New Roman" w:eastAsia="楷体_GB2312"/>
      <w:color w:val="auto"/>
      <w:sz w:val="28"/>
      <w:szCs w:val="20"/>
    </w:rPr>
  </w:style>
  <w:style w:type="paragraph" w:styleId="25">
    <w:name w:val="toc 2"/>
    <w:basedOn w:val="1"/>
    <w:next w:val="1"/>
    <w:qFormat/>
    <w:uiPriority w:val="39"/>
    <w:pPr>
      <w:tabs>
        <w:tab w:val="right" w:leader="dot" w:pos="8302"/>
      </w:tabs>
      <w:spacing w:line="500" w:lineRule="exact"/>
      <w:ind w:left="210"/>
      <w:jc w:val="left"/>
    </w:pPr>
    <w:rPr>
      <w:rFonts w:ascii="Times New Roman" w:hAnsi="Times New Roman"/>
      <w:smallCaps/>
      <w:color w:val="auto"/>
      <w:sz w:val="20"/>
      <w:szCs w:val="20"/>
    </w:rPr>
  </w:style>
  <w:style w:type="paragraph" w:styleId="26">
    <w:name w:val="Body Text 2"/>
    <w:basedOn w:val="1"/>
    <w:qFormat/>
    <w:uiPriority w:val="0"/>
    <w:pPr>
      <w:snapToGrid w:val="0"/>
      <w:spacing w:line="280" w:lineRule="exact"/>
    </w:pPr>
    <w:rPr>
      <w:rFonts w:ascii="楷体_GB2312" w:eastAsia="楷体_GB2312"/>
      <w:sz w:val="20"/>
    </w:rPr>
  </w:style>
  <w:style w:type="paragraph" w:styleId="27">
    <w:name w:val="Normal (Web)"/>
    <w:basedOn w:val="1"/>
    <w:qFormat/>
    <w:uiPriority w:val="99"/>
    <w:pPr>
      <w:widowControl/>
      <w:spacing w:before="100" w:beforeAutospacing="1" w:after="100" w:afterAutospacing="1"/>
      <w:jc w:val="left"/>
    </w:pPr>
    <w:rPr>
      <w:color w:val="auto"/>
      <w:kern w:val="0"/>
      <w:sz w:val="18"/>
      <w:szCs w:val="18"/>
    </w:rPr>
  </w:style>
  <w:style w:type="character" w:styleId="30">
    <w:name w:val="page number"/>
    <w:basedOn w:val="29"/>
    <w:uiPriority w:val="0"/>
  </w:style>
  <w:style w:type="character" w:styleId="31">
    <w:name w:val="Emphasis"/>
    <w:basedOn w:val="29"/>
    <w:qFormat/>
    <w:uiPriority w:val="20"/>
    <w:rPr>
      <w:i/>
      <w:iCs/>
    </w:rPr>
  </w:style>
  <w:style w:type="character" w:styleId="32">
    <w:name w:val="Hyperlink"/>
    <w:basedOn w:val="29"/>
    <w:qFormat/>
    <w:uiPriority w:val="0"/>
    <w:rPr>
      <w:color w:val="0000FF"/>
      <w:u w:val="single"/>
    </w:rPr>
  </w:style>
  <w:style w:type="character" w:styleId="33">
    <w:name w:val="footnote reference"/>
    <w:basedOn w:val="29"/>
    <w:uiPriority w:val="0"/>
    <w:rPr>
      <w:vertAlign w:val="superscript"/>
    </w:rPr>
  </w:style>
  <w:style w:type="character" w:customStyle="1" w:styleId="34">
    <w:name w:val="标题1"/>
    <w:basedOn w:val="29"/>
    <w:qFormat/>
    <w:uiPriority w:val="0"/>
  </w:style>
  <w:style w:type="character" w:customStyle="1" w:styleId="35">
    <w:name w:val="albumcount"/>
    <w:basedOn w:val="29"/>
    <w:uiPriority w:val="0"/>
  </w:style>
  <w:style w:type="character" w:customStyle="1" w:styleId="36">
    <w:name w:val="DF正文1.5 Char"/>
    <w:link w:val="37"/>
    <w:uiPriority w:val="0"/>
    <w:rPr>
      <w:rFonts w:ascii="宋体" w:hAnsi="宋体"/>
      <w:kern w:val="2"/>
      <w:sz w:val="24"/>
      <w:szCs w:val="24"/>
    </w:rPr>
  </w:style>
  <w:style w:type="paragraph" w:customStyle="1" w:styleId="37">
    <w:name w:val="DF正文1.5"/>
    <w:basedOn w:val="1"/>
    <w:link w:val="36"/>
    <w:qFormat/>
    <w:uiPriority w:val="0"/>
    <w:pPr>
      <w:wordWrap w:val="0"/>
      <w:topLinePunct/>
      <w:spacing w:line="360" w:lineRule="auto"/>
      <w:ind w:firstLine="200" w:firstLineChars="200"/>
    </w:pPr>
    <w:rPr>
      <w:color w:val="auto"/>
      <w:sz w:val="24"/>
    </w:rPr>
  </w:style>
  <w:style w:type="character" w:customStyle="1" w:styleId="38">
    <w:name w:val="headline-content"/>
    <w:basedOn w:val="29"/>
    <w:qFormat/>
    <w:uiPriority w:val="0"/>
  </w:style>
  <w:style w:type="character" w:customStyle="1" w:styleId="39">
    <w:name w:val="apple-converted-space"/>
    <w:basedOn w:val="29"/>
    <w:uiPriority w:val="0"/>
  </w:style>
  <w:style w:type="paragraph" w:customStyle="1" w:styleId="40">
    <w:name w:val="xl28"/>
    <w:basedOn w:val="1"/>
    <w:qFormat/>
    <w:uiPriority w:val="0"/>
    <w:pPr>
      <w:widowControl/>
      <w:pBdr>
        <w:bottom w:val="single" w:color="auto" w:sz="4" w:space="0"/>
        <w:right w:val="single" w:color="auto" w:sz="4" w:space="0"/>
      </w:pBdr>
      <w:spacing w:before="100" w:beforeAutospacing="1" w:after="100" w:afterAutospacing="1"/>
      <w:jc w:val="center"/>
      <w:textAlignment w:val="top"/>
    </w:pPr>
    <w:rPr>
      <w:color w:val="FF0000"/>
      <w:kern w:val="0"/>
      <w:sz w:val="20"/>
      <w:szCs w:val="20"/>
    </w:rPr>
  </w:style>
  <w:style w:type="paragraph" w:customStyle="1" w:styleId="41">
    <w:name w:val="xl35"/>
    <w:basedOn w:val="1"/>
    <w:uiPriority w:val="0"/>
    <w:pPr>
      <w:widowControl/>
      <w:pBdr>
        <w:top w:val="single" w:color="auto" w:sz="4" w:space="0"/>
        <w:bottom w:val="single" w:color="auto" w:sz="4" w:space="0"/>
        <w:right w:val="single" w:color="auto" w:sz="4" w:space="0"/>
      </w:pBdr>
      <w:spacing w:before="100" w:beforeAutospacing="1" w:after="100" w:afterAutospacing="1"/>
      <w:jc w:val="center"/>
      <w:textAlignment w:val="top"/>
    </w:pPr>
    <w:rPr>
      <w:b/>
      <w:bCs/>
      <w:color w:val="auto"/>
      <w:kern w:val="0"/>
      <w:sz w:val="20"/>
      <w:szCs w:val="20"/>
    </w:rPr>
  </w:style>
  <w:style w:type="paragraph" w:customStyle="1" w:styleId="42">
    <w:name w:val="xl2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top"/>
    </w:pPr>
    <w:rPr>
      <w:color w:val="auto"/>
      <w:kern w:val="0"/>
      <w:sz w:val="20"/>
      <w:szCs w:val="20"/>
    </w:rPr>
  </w:style>
  <w:style w:type="paragraph" w:customStyle="1" w:styleId="43">
    <w:name w:val="xl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color w:val="auto"/>
      <w:kern w:val="0"/>
      <w:sz w:val="20"/>
      <w:szCs w:val="20"/>
    </w:rPr>
  </w:style>
  <w:style w:type="paragraph" w:customStyle="1" w:styleId="44">
    <w:name w:val="pic-info"/>
    <w:basedOn w:val="1"/>
    <w:qFormat/>
    <w:uiPriority w:val="0"/>
    <w:pPr>
      <w:widowControl/>
      <w:spacing w:before="100" w:beforeAutospacing="1" w:after="100" w:afterAutospacing="1"/>
      <w:jc w:val="left"/>
    </w:pPr>
    <w:rPr>
      <w:rFonts w:cs="宋体"/>
      <w:color w:val="auto"/>
      <w:kern w:val="0"/>
      <w:sz w:val="24"/>
    </w:rPr>
  </w:style>
  <w:style w:type="paragraph" w:customStyle="1" w:styleId="45">
    <w:name w:val="font5"/>
    <w:basedOn w:val="1"/>
    <w:qFormat/>
    <w:uiPriority w:val="0"/>
    <w:pPr>
      <w:widowControl/>
      <w:spacing w:before="100" w:beforeAutospacing="1" w:after="100" w:afterAutospacing="1"/>
      <w:jc w:val="left"/>
    </w:pPr>
    <w:rPr>
      <w:rFonts w:hint="eastAsia"/>
      <w:color w:val="auto"/>
      <w:kern w:val="0"/>
      <w:sz w:val="18"/>
      <w:szCs w:val="18"/>
    </w:rPr>
  </w:style>
  <w:style w:type="paragraph" w:customStyle="1" w:styleId="46">
    <w:name w:val="Char Char Char"/>
    <w:basedOn w:val="1"/>
    <w:next w:val="1"/>
    <w:qFormat/>
    <w:uiPriority w:val="0"/>
    <w:pPr>
      <w:widowControl/>
      <w:spacing w:line="360" w:lineRule="auto"/>
      <w:jc w:val="left"/>
    </w:pPr>
    <w:rPr>
      <w:rFonts w:ascii="Times New Roman" w:hAnsi="Times New Roman"/>
      <w:color w:val="auto"/>
      <w:kern w:val="0"/>
      <w:szCs w:val="20"/>
      <w:lang w:eastAsia="en-US"/>
    </w:rPr>
  </w:style>
  <w:style w:type="paragraph" w:customStyle="1" w:styleId="47">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auto"/>
      <w:kern w:val="0"/>
      <w:sz w:val="20"/>
      <w:szCs w:val="20"/>
    </w:rPr>
  </w:style>
  <w:style w:type="paragraph" w:customStyle="1" w:styleId="48">
    <w:name w:val="ww"/>
    <w:basedOn w:val="1"/>
    <w:qFormat/>
    <w:uiPriority w:val="0"/>
    <w:pPr>
      <w:autoSpaceDE w:val="0"/>
      <w:autoSpaceDN w:val="0"/>
      <w:adjustRightInd w:val="0"/>
      <w:spacing w:before="120" w:line="440" w:lineRule="atLeast"/>
      <w:ind w:firstLine="510"/>
      <w:textAlignment w:val="baseline"/>
    </w:pPr>
    <w:rPr>
      <w:rFonts w:ascii="Times New Roman" w:hAnsi="Times New Roman"/>
      <w:color w:val="auto"/>
      <w:kern w:val="0"/>
      <w:sz w:val="20"/>
      <w:szCs w:val="20"/>
    </w:rPr>
  </w:style>
  <w:style w:type="paragraph" w:customStyle="1" w:styleId="49">
    <w:name w:val="HTML Top of Form"/>
    <w:basedOn w:val="1"/>
    <w:next w:val="1"/>
    <w:uiPriority w:val="0"/>
    <w:pPr>
      <w:widowControl/>
      <w:pBdr>
        <w:bottom w:val="single" w:color="auto" w:sz="6" w:space="1"/>
      </w:pBdr>
      <w:jc w:val="center"/>
    </w:pPr>
    <w:rPr>
      <w:rFonts w:ascii="Arial" w:hAnsi="Arial" w:cs="Arial"/>
      <w:vanish/>
      <w:color w:val="auto"/>
      <w:kern w:val="0"/>
      <w:sz w:val="16"/>
      <w:szCs w:val="16"/>
    </w:rPr>
  </w:style>
  <w:style w:type="paragraph" w:customStyle="1" w:styleId="50">
    <w:name w:val="HTML Bottom of Form"/>
    <w:basedOn w:val="1"/>
    <w:next w:val="1"/>
    <w:qFormat/>
    <w:uiPriority w:val="0"/>
    <w:pPr>
      <w:widowControl/>
      <w:pBdr>
        <w:top w:val="single" w:color="auto" w:sz="6" w:space="1"/>
      </w:pBdr>
      <w:jc w:val="center"/>
    </w:pPr>
    <w:rPr>
      <w:rFonts w:ascii="Arial" w:hAnsi="Arial" w:cs="Arial"/>
      <w:vanish/>
      <w:color w:val="auto"/>
      <w:kern w:val="0"/>
      <w:sz w:val="16"/>
      <w:szCs w:val="16"/>
    </w:rPr>
  </w:style>
  <w:style w:type="paragraph" w:customStyle="1" w:styleId="51">
    <w:name w:val="xl29"/>
    <w:basedOn w:val="1"/>
    <w:qFormat/>
    <w:uiPriority w:val="0"/>
    <w:pPr>
      <w:widowControl/>
      <w:pBdr>
        <w:bottom w:val="single" w:color="auto" w:sz="4" w:space="0"/>
        <w:right w:val="single" w:color="auto" w:sz="4" w:space="0"/>
      </w:pBdr>
      <w:spacing w:before="100" w:beforeAutospacing="1" w:after="100" w:afterAutospacing="1"/>
      <w:jc w:val="center"/>
      <w:textAlignment w:val="top"/>
    </w:pPr>
    <w:rPr>
      <w:color w:val="auto"/>
      <w:kern w:val="0"/>
      <w:sz w:val="20"/>
      <w:szCs w:val="20"/>
    </w:rPr>
  </w:style>
  <w:style w:type="paragraph" w:customStyle="1" w:styleId="52">
    <w:name w:val="xl30"/>
    <w:basedOn w:val="1"/>
    <w:qFormat/>
    <w:uiPriority w:val="0"/>
    <w:pPr>
      <w:widowControl/>
      <w:spacing w:before="100" w:beforeAutospacing="1" w:after="100" w:afterAutospacing="1"/>
      <w:jc w:val="center"/>
    </w:pPr>
    <w:rPr>
      <w:rFonts w:hint="eastAsia" w:ascii="仿宋_GB2312" w:eastAsia="仿宋_GB2312"/>
      <w:color w:val="auto"/>
      <w:kern w:val="0"/>
      <w:sz w:val="24"/>
    </w:rPr>
  </w:style>
  <w:style w:type="paragraph" w:customStyle="1" w:styleId="53">
    <w:name w:val="xl3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top"/>
    </w:pPr>
    <w:rPr>
      <w:b/>
      <w:bCs/>
      <w:color w:val="auto"/>
      <w:kern w:val="0"/>
      <w:sz w:val="20"/>
      <w:szCs w:val="20"/>
    </w:rPr>
  </w:style>
  <w:style w:type="paragraph" w:customStyle="1" w:styleId="54">
    <w:name w:val="album-div"/>
    <w:basedOn w:val="1"/>
    <w:qFormat/>
    <w:uiPriority w:val="0"/>
    <w:pPr>
      <w:widowControl/>
      <w:spacing w:before="100" w:beforeAutospacing="1" w:after="100" w:afterAutospacing="1"/>
      <w:jc w:val="left"/>
    </w:pPr>
    <w:rPr>
      <w:rFonts w:cs="宋体"/>
      <w:color w:val="auto"/>
      <w:kern w:val="0"/>
      <w:sz w:val="24"/>
    </w:rPr>
  </w:style>
  <w:style w:type="paragraph" w:customStyle="1" w:styleId="55">
    <w:name w:val="xl2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color w:val="auto"/>
      <w:kern w:val="0"/>
      <w:sz w:val="20"/>
      <w:szCs w:val="20"/>
    </w:rPr>
  </w:style>
  <w:style w:type="paragraph" w:customStyle="1" w:styleId="56">
    <w:name w:val="xl34"/>
    <w:basedOn w:val="1"/>
    <w:uiPriority w:val="0"/>
    <w:pPr>
      <w:widowControl/>
      <w:pBdr>
        <w:top w:val="single" w:color="auto" w:sz="4" w:space="0"/>
        <w:bottom w:val="single" w:color="auto" w:sz="4" w:space="0"/>
      </w:pBdr>
      <w:spacing w:before="100" w:beforeAutospacing="1" w:after="100" w:afterAutospacing="1"/>
      <w:jc w:val="center"/>
      <w:textAlignment w:val="top"/>
    </w:pPr>
    <w:rPr>
      <w:b/>
      <w:bCs/>
      <w:color w:val="auto"/>
      <w:kern w:val="0"/>
      <w:sz w:val="20"/>
      <w:szCs w:val="20"/>
    </w:rPr>
  </w:style>
  <w:style w:type="paragraph" w:customStyle="1" w:styleId="57">
    <w:name w:val="xl3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color w:val="auto"/>
      <w:kern w:val="0"/>
      <w:sz w:val="20"/>
      <w:szCs w:val="20"/>
    </w:rPr>
  </w:style>
  <w:style w:type="character" w:customStyle="1" w:styleId="58">
    <w:name w:val="正文文本缩进 3 Char"/>
    <w:basedOn w:val="29"/>
    <w:link w:val="24"/>
    <w:qFormat/>
    <w:uiPriority w:val="0"/>
    <w:rPr>
      <w:rFonts w:ascii="楷体_GB2312" w:eastAsia="楷体_GB2312"/>
      <w:kern w:val="2"/>
      <w:sz w:val="28"/>
    </w:rPr>
  </w:style>
  <w:style w:type="character" w:customStyle="1" w:styleId="59">
    <w:name w:val="页眉 Char"/>
    <w:basedOn w:val="29"/>
    <w:link w:val="20"/>
    <w:uiPriority w:val="0"/>
    <w:rPr>
      <w:rFonts w:ascii="宋体" w:hAnsi="宋体"/>
      <w:color w:val="000000"/>
      <w:kern w:val="2"/>
      <w:sz w:val="18"/>
      <w:szCs w:val="18"/>
    </w:rPr>
  </w:style>
  <w:style w:type="character" w:customStyle="1" w:styleId="60">
    <w:name w:val="页脚 Char"/>
    <w:basedOn w:val="29"/>
    <w:link w:val="19"/>
    <w:qFormat/>
    <w:uiPriority w:val="0"/>
    <w:rPr>
      <w:rFonts w:ascii="宋体" w:hAnsi="宋体"/>
      <w:color w:val="000000"/>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4"/>
    <customShpInfo spid="_x0000_s2056"/>
    <customShpInfo spid="_x0000_s2055"/>
    <customShpInfo spid="_x0000_s2052"/>
    <customShpInfo spid="_x0000_s205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C70D43-1933-4C71-BD7E-FD63938297A7}">
  <ds:schemaRefs/>
</ds:datastoreItem>
</file>

<file path=docProps/app.xml><?xml version="1.0" encoding="utf-8"?>
<Properties xmlns="http://schemas.openxmlformats.org/officeDocument/2006/extended-properties" xmlns:vt="http://schemas.openxmlformats.org/officeDocument/2006/docPropsVTypes">
  <Template>Normal.dotm</Template>
  <Company>XLC</Company>
  <Pages>36</Pages>
  <Words>12839</Words>
  <Characters>14055</Characters>
  <Lines>106</Lines>
  <Paragraphs>29</Paragraphs>
  <TotalTime>0</TotalTime>
  <ScaleCrop>false</ScaleCrop>
  <LinksUpToDate>false</LinksUpToDate>
  <CharactersWithSpaces>14270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2020-08-03T06:20:00Z</dcterms:created>
  <dc:creator>XLC</dc:creator>
  <cp:lastModifiedBy>笨笨</cp:lastModifiedBy>
  <cp:lastPrinted>2021-06-29T03:41:00Z</cp:lastPrinted>
  <dcterms:modified xsi:type="dcterms:W3CDTF">2022-06-21T02:21:41Z</dcterms:modified>
  <cp:revision>319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DB7639A4F5524F83A48B480309538FAD</vt:lpwstr>
  </property>
</Properties>
</file>