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宋体" w:hAnsi="宋体" w:eastAsia="宋体"/>
          <w:b/>
          <w:bCs/>
          <w:color w:val="000000"/>
          <w:sz w:val="48"/>
          <w:lang w:eastAsia="zh-CN"/>
        </w:rPr>
      </w:pPr>
      <w:bookmarkStart w:id="0" w:name="PO_二维码"/>
      <w:bookmarkEnd w:id="0"/>
    </w:p>
    <w:p>
      <w:pPr>
        <w:keepNext w:val="0"/>
        <w:keepLines w:val="0"/>
        <w:pageBreakBefore w:val="0"/>
        <w:widowControl w:val="0"/>
        <w:kinsoku/>
        <w:wordWrap/>
        <w:overflowPunct/>
        <w:topLinePunct w:val="0"/>
        <w:autoSpaceDE/>
        <w:autoSpaceDN/>
        <w:bidi w:val="0"/>
        <w:adjustRightInd/>
        <w:snapToGrid/>
        <w:spacing w:before="0" w:after="0" w:line="720" w:lineRule="auto"/>
        <w:ind w:left="0" w:leftChars="0"/>
        <w:jc w:val="both"/>
        <w:textAlignment w:val="auto"/>
        <w:rPr>
          <w:rFonts w:hint="eastAsia" w:ascii="楷体_GB2312" w:hAnsi="楷体_GB2312" w:eastAsia="楷体_GB2312" w:cs="楷体_GB2312"/>
          <w:b/>
          <w:bCs/>
          <w:color w:val="000000"/>
          <w:sz w:val="48"/>
        </w:rPr>
      </w:pPr>
    </w:p>
    <w:p>
      <w:pPr>
        <w:keepNext w:val="0"/>
        <w:keepLines w:val="0"/>
        <w:pageBreakBefore w:val="0"/>
        <w:widowControl w:val="0"/>
        <w:kinsoku/>
        <w:wordWrap/>
        <w:overflowPunct/>
        <w:topLinePunct w:val="0"/>
        <w:autoSpaceDE/>
        <w:autoSpaceDN/>
        <w:bidi w:val="0"/>
        <w:adjustRightInd/>
        <w:snapToGrid/>
        <w:spacing w:before="0" w:after="0" w:line="720" w:lineRule="auto"/>
        <w:ind w:left="0" w:leftChars="0"/>
        <w:jc w:val="center"/>
        <w:textAlignment w:val="auto"/>
        <w:rPr>
          <w:rFonts w:hint="eastAsia" w:ascii="楷体_GB2312" w:hAnsi="楷体_GB2312" w:eastAsia="楷体_GB2312" w:cs="楷体_GB2312"/>
          <w:b/>
          <w:bCs/>
          <w:color w:val="000000"/>
          <w:sz w:val="48"/>
        </w:rPr>
      </w:pPr>
    </w:p>
    <w:p>
      <w:pPr>
        <w:keepNext w:val="0"/>
        <w:keepLines w:val="0"/>
        <w:pageBreakBefore w:val="0"/>
        <w:widowControl w:val="0"/>
        <w:kinsoku/>
        <w:wordWrap/>
        <w:overflowPunct/>
        <w:topLinePunct w:val="0"/>
        <w:autoSpaceDE/>
        <w:autoSpaceDN/>
        <w:bidi w:val="0"/>
        <w:adjustRightInd/>
        <w:snapToGrid/>
        <w:spacing w:before="0" w:after="0" w:line="720" w:lineRule="auto"/>
        <w:ind w:left="0" w:leftChars="0"/>
        <w:jc w:val="center"/>
        <w:textAlignment w:val="auto"/>
        <w:rPr>
          <w:rFonts w:hint="eastAsia" w:ascii="楷体_GB2312" w:hAnsi="楷体_GB2312" w:eastAsia="楷体_GB2312" w:cs="楷体_GB2312"/>
          <w:b/>
          <w:bCs/>
          <w:color w:val="000000"/>
          <w:sz w:val="16"/>
          <w:szCs w:val="6"/>
          <w:lang w:eastAsia="zh-CN"/>
        </w:rPr>
      </w:pPr>
      <w:r>
        <w:rPr>
          <w:rFonts w:hint="eastAsia" w:ascii="楷体_GB2312" w:hAnsi="楷体_GB2312" w:eastAsia="楷体_GB2312" w:cs="楷体_GB2312"/>
          <w:b/>
          <w:bCs/>
          <w:color w:val="000000"/>
          <w:sz w:val="48"/>
        </w:rPr>
        <w:t>涉执房地产处置司法评估报告</w:t>
      </w:r>
    </w:p>
    <w:p>
      <w:pPr>
        <w:keepNext w:val="0"/>
        <w:keepLines w:val="0"/>
        <w:pageBreakBefore w:val="0"/>
        <w:widowControl w:val="0"/>
        <w:kinsoku/>
        <w:wordWrap/>
        <w:overflowPunct/>
        <w:topLinePunct w:val="0"/>
        <w:autoSpaceDE/>
        <w:autoSpaceDN/>
        <w:bidi w:val="0"/>
        <w:adjustRightInd/>
        <w:snapToGrid/>
        <w:spacing w:before="0" w:after="0" w:line="720" w:lineRule="auto"/>
        <w:ind w:left="0" w:leftChars="0"/>
        <w:jc w:val="center"/>
        <w:textAlignment w:val="auto"/>
        <w:rPr>
          <w:rFonts w:ascii="宋体" w:hAnsi="宋体"/>
          <w:b/>
          <w:bCs/>
          <w:color w:val="000000"/>
          <w:sz w:val="48"/>
        </w:rPr>
      </w:pPr>
    </w:p>
    <w:p>
      <w:pPr>
        <w:rPr>
          <w:rFonts w:ascii="宋体" w:hAnsi="宋体"/>
          <w:b/>
          <w:bCs/>
          <w:color w:val="000000"/>
          <w:sz w:val="48"/>
        </w:rPr>
      </w:pPr>
    </w:p>
    <w:p>
      <w:pPr>
        <w:pStyle w:val="2"/>
        <w:rPr>
          <w:rFonts w:ascii="宋体" w:hAnsi="宋体"/>
          <w:b/>
          <w:bCs/>
          <w:color w:val="000000"/>
          <w:sz w:val="48"/>
        </w:rPr>
      </w:pPr>
    </w:p>
    <w:p>
      <w:pPr>
        <w:keepNext w:val="0"/>
        <w:keepLines w:val="0"/>
        <w:pageBreakBefore w:val="0"/>
        <w:widowControl w:val="0"/>
        <w:kinsoku/>
        <w:wordWrap/>
        <w:overflowPunct/>
        <w:topLinePunct w:val="0"/>
        <w:autoSpaceDE/>
        <w:autoSpaceDN/>
        <w:bidi w:val="0"/>
        <w:adjustRightInd/>
        <w:snapToGrid/>
        <w:spacing w:before="0" w:after="0" w:line="480" w:lineRule="auto"/>
        <w:ind w:left="0" w:leftChars="0"/>
        <w:textAlignment w:val="auto"/>
        <w:rPr>
          <w:rFonts w:hint="eastAsia" w:ascii="楷体_GB2312" w:hAnsi="楷体_GB2312" w:eastAsia="楷体_GB2312" w:cs="楷体_GB2312"/>
          <w:color w:val="FF0000"/>
          <w:sz w:val="32"/>
          <w:szCs w:val="32"/>
          <w:highlight w:val="none"/>
          <w:lang w:eastAsia="zh-CN"/>
        </w:rPr>
      </w:pPr>
      <w:r>
        <w:rPr>
          <w:rFonts w:hint="eastAsia" w:ascii="楷体_GB2312" w:hAnsi="宋体" w:eastAsia="楷体_GB2312" w:cs="宋体"/>
          <w:b/>
          <w:bCs/>
          <w:color w:val="000000"/>
          <w:spacing w:val="-5"/>
          <w:sz w:val="32"/>
          <w:szCs w:val="32"/>
        </w:rPr>
        <w:t>估 价 报 告 编 号</w:t>
      </w:r>
      <w:r>
        <w:rPr>
          <w:rFonts w:hint="eastAsia" w:ascii="楷体_GB2312" w:hAnsi="宋体" w:eastAsia="楷体_GB2312" w:cs="宋体"/>
          <w:b/>
          <w:bCs/>
          <w:color w:val="000000"/>
          <w:spacing w:val="20"/>
          <w:sz w:val="32"/>
          <w:szCs w:val="32"/>
        </w:rPr>
        <w:t>：</w:t>
      </w:r>
      <w:r>
        <w:rPr>
          <w:rFonts w:hint="eastAsia" w:eastAsia="楷体_GB2312"/>
          <w:color w:val="auto"/>
          <w:sz w:val="32"/>
          <w:szCs w:val="32"/>
          <w:lang w:val="en-US" w:eastAsia="zh-CN"/>
        </w:rPr>
        <w:t>赣仁信房估字[2022]第0022号</w:t>
      </w:r>
    </w:p>
    <w:p>
      <w:pPr>
        <w:keepNext w:val="0"/>
        <w:keepLines w:val="0"/>
        <w:pageBreakBefore w:val="0"/>
        <w:widowControl w:val="0"/>
        <w:kinsoku/>
        <w:wordWrap/>
        <w:overflowPunct/>
        <w:topLinePunct w:val="0"/>
        <w:autoSpaceDE/>
        <w:autoSpaceDN/>
        <w:bidi w:val="0"/>
        <w:adjustRightInd/>
        <w:snapToGrid/>
        <w:spacing w:before="0" w:after="0" w:line="480" w:lineRule="auto"/>
        <w:ind w:left="2959" w:leftChars="0" w:hanging="2959" w:hangingChars="921"/>
        <w:textAlignment w:val="auto"/>
        <w:rPr>
          <w:rFonts w:hint="eastAsia" w:ascii="楷体_GB2312" w:hAnsi="宋体" w:eastAsia="楷体_GB2312"/>
          <w:sz w:val="32"/>
          <w:szCs w:val="32"/>
          <w:lang w:eastAsia="zh-CN"/>
        </w:rPr>
      </w:pPr>
      <w:r>
        <w:rPr>
          <w:rFonts w:hint="eastAsia" w:ascii="楷体_GB2312" w:hAnsi="宋体" w:eastAsia="楷体_GB2312"/>
          <w:b/>
          <w:bCs/>
          <w:color w:val="000000"/>
          <w:sz w:val="32"/>
          <w:szCs w:val="32"/>
        </w:rPr>
        <w:t>估 价 项 目 名 称</w:t>
      </w:r>
      <w:r>
        <w:rPr>
          <w:rFonts w:hint="eastAsia" w:ascii="楷体_GB2312" w:hAnsi="宋体" w:eastAsia="楷体_GB2312"/>
          <w:sz w:val="32"/>
          <w:szCs w:val="32"/>
        </w:rPr>
        <w:t>：</w:t>
      </w:r>
      <w:r>
        <w:rPr>
          <w:rFonts w:hint="eastAsia" w:eastAsia="楷体_GB2312"/>
          <w:color w:val="000000"/>
          <w:sz w:val="32"/>
          <w:szCs w:val="32"/>
          <w:lang w:val="en-US" w:eastAsia="zh-CN"/>
        </w:rPr>
        <w:t>赣州经济技术开发区人民法院执行申请人中国工商银行股份有限公司赣州开发区支行与被执行人宋路明借款合同纠纷一案涉及的沙河镇站东商贸城二街5号第四层</w:t>
      </w:r>
      <w:r>
        <w:rPr>
          <w:rFonts w:hint="eastAsia" w:ascii="楷体_GB2312" w:hAnsi="楷体_GB2312" w:eastAsia="楷体_GB2312" w:cs="楷体_GB2312"/>
          <w:color w:val="auto"/>
          <w:sz w:val="32"/>
          <w:szCs w:val="32"/>
          <w:lang w:val="en-US" w:eastAsia="zh-CN"/>
        </w:rPr>
        <w:t>涉执房地产处置司法评估</w:t>
      </w:r>
    </w:p>
    <w:p>
      <w:pPr>
        <w:keepNext w:val="0"/>
        <w:keepLines w:val="0"/>
        <w:pageBreakBefore w:val="0"/>
        <w:widowControl w:val="0"/>
        <w:kinsoku/>
        <w:wordWrap/>
        <w:overflowPunct/>
        <w:topLinePunct w:val="0"/>
        <w:autoSpaceDE/>
        <w:autoSpaceDN/>
        <w:bidi w:val="0"/>
        <w:adjustRightInd/>
        <w:snapToGrid/>
        <w:spacing w:before="0" w:after="0" w:line="480" w:lineRule="auto"/>
        <w:ind w:left="2249" w:leftChars="0" w:hanging="2249" w:hangingChars="700"/>
        <w:textAlignment w:val="auto"/>
        <w:rPr>
          <w:rFonts w:hint="eastAsia" w:ascii="楷体_GB2312" w:hAnsi="宋体" w:eastAsia="楷体_GB2312"/>
          <w:sz w:val="32"/>
          <w:szCs w:val="32"/>
          <w:lang w:val="en-US" w:eastAsia="zh-CN"/>
        </w:rPr>
      </w:pPr>
      <w:r>
        <w:rPr>
          <w:rFonts w:hint="eastAsia" w:ascii="楷体_GB2312" w:hAnsi="宋体" w:eastAsia="楷体_GB2312" w:cs="宋体"/>
          <w:b/>
          <w:bCs/>
          <w:sz w:val="32"/>
          <w:szCs w:val="32"/>
        </w:rPr>
        <w:t>估  价  委 托 人</w:t>
      </w:r>
      <w:r>
        <w:rPr>
          <w:rFonts w:hint="eastAsia" w:ascii="楷体_GB2312" w:hAnsi="宋体" w:eastAsia="楷体_GB2312" w:cs="宋体"/>
          <w:b/>
          <w:bCs/>
          <w:w w:val="96"/>
          <w:sz w:val="32"/>
          <w:szCs w:val="32"/>
        </w:rPr>
        <w:t>：</w:t>
      </w:r>
      <w:r>
        <w:rPr>
          <w:rFonts w:hint="eastAsia" w:ascii="楷体_GB2312" w:hAnsi="宋体" w:eastAsia="楷体_GB2312"/>
          <w:sz w:val="32"/>
          <w:szCs w:val="32"/>
          <w:lang w:eastAsia="zh-CN"/>
        </w:rPr>
        <w:t>赣州经济技术开发区人民法院</w:t>
      </w:r>
    </w:p>
    <w:p>
      <w:pPr>
        <w:keepNext w:val="0"/>
        <w:keepLines w:val="0"/>
        <w:pageBreakBefore w:val="0"/>
        <w:widowControl w:val="0"/>
        <w:kinsoku/>
        <w:wordWrap/>
        <w:overflowPunct/>
        <w:topLinePunct w:val="0"/>
        <w:autoSpaceDE/>
        <w:autoSpaceDN/>
        <w:bidi w:val="0"/>
        <w:adjustRightInd/>
        <w:snapToGrid/>
        <w:spacing w:before="0" w:after="0" w:line="480" w:lineRule="auto"/>
        <w:ind w:left="1969" w:leftChars="0" w:hanging="1969" w:hangingChars="700"/>
        <w:textAlignment w:val="auto"/>
        <w:rPr>
          <w:rFonts w:hint="eastAsia" w:ascii="楷体_GB2312" w:hAnsi="宋体" w:eastAsia="楷体_GB2312"/>
          <w:b/>
          <w:sz w:val="32"/>
          <w:szCs w:val="32"/>
          <w:lang w:eastAsia="zh-CN"/>
        </w:rPr>
      </w:pPr>
      <w:r>
        <w:rPr>
          <w:rFonts w:hint="eastAsia" w:ascii="楷体_GB2312" w:hAnsi="宋体" w:eastAsia="楷体_GB2312" w:cs="宋体"/>
          <w:b/>
          <w:bCs/>
          <w:spacing w:val="-20"/>
          <w:sz w:val="32"/>
          <w:szCs w:val="32"/>
        </w:rPr>
        <w:t>房 地 产 估 价 机 构：</w:t>
      </w:r>
      <w:r>
        <w:rPr>
          <w:rFonts w:hint="eastAsia" w:ascii="楷体_GB2312" w:hAnsi="宋体" w:eastAsia="楷体_GB2312"/>
          <w:sz w:val="32"/>
          <w:szCs w:val="32"/>
          <w:lang w:eastAsia="zh-CN"/>
        </w:rPr>
        <w:t>江西仁信房地产资产评估有限公司</w:t>
      </w:r>
    </w:p>
    <w:p>
      <w:pPr>
        <w:keepNext w:val="0"/>
        <w:keepLines w:val="0"/>
        <w:pageBreakBefore w:val="0"/>
        <w:widowControl w:val="0"/>
        <w:kinsoku/>
        <w:wordWrap/>
        <w:overflowPunct/>
        <w:topLinePunct w:val="0"/>
        <w:autoSpaceDE/>
        <w:autoSpaceDN/>
        <w:bidi w:val="0"/>
        <w:adjustRightInd/>
        <w:snapToGrid/>
        <w:spacing w:before="0" w:after="0" w:line="480" w:lineRule="auto"/>
        <w:ind w:left="2403" w:leftChars="0" w:hanging="2403" w:hangingChars="700"/>
        <w:textAlignment w:val="auto"/>
        <w:rPr>
          <w:rFonts w:ascii="楷体_GB2312" w:hAnsi="宋体" w:eastAsia="楷体_GB2312"/>
          <w:sz w:val="32"/>
          <w:szCs w:val="32"/>
        </w:rPr>
      </w:pPr>
      <w:r>
        <w:rPr>
          <w:rFonts w:hint="eastAsia" w:ascii="楷体_GB2312" w:hAnsi="宋体" w:eastAsia="楷体_GB2312" w:cs="宋体"/>
          <w:b/>
          <w:bCs/>
          <w:spacing w:val="11"/>
          <w:sz w:val="32"/>
          <w:szCs w:val="32"/>
        </w:rPr>
        <w:t>注册房地产估价</w:t>
      </w:r>
      <w:r>
        <w:rPr>
          <w:rFonts w:hint="eastAsia" w:ascii="楷体_GB2312" w:hAnsi="宋体" w:eastAsia="楷体_GB2312" w:cs="宋体"/>
          <w:b/>
          <w:bCs/>
          <w:sz w:val="32"/>
          <w:szCs w:val="32"/>
        </w:rPr>
        <w:t>师：</w:t>
      </w:r>
      <w:r>
        <w:rPr>
          <w:rFonts w:hint="eastAsia" w:ascii="楷体_GB2312" w:hAnsi="宋体" w:eastAsia="楷体_GB2312"/>
          <w:sz w:val="32"/>
          <w:szCs w:val="32"/>
          <w:lang w:eastAsia="zh-CN"/>
        </w:rPr>
        <w:t>孔祥之（注册号：4120180204）</w:t>
      </w:r>
    </w:p>
    <w:p>
      <w:pPr>
        <w:keepNext w:val="0"/>
        <w:keepLines w:val="0"/>
        <w:pageBreakBefore w:val="0"/>
        <w:widowControl w:val="0"/>
        <w:kinsoku/>
        <w:wordWrap/>
        <w:overflowPunct/>
        <w:topLinePunct w:val="0"/>
        <w:autoSpaceDE/>
        <w:autoSpaceDN/>
        <w:bidi w:val="0"/>
        <w:adjustRightInd/>
        <w:snapToGrid/>
        <w:spacing w:before="0" w:after="0" w:line="480" w:lineRule="auto"/>
        <w:ind w:left="0" w:leftChars="0" w:firstLine="3040" w:firstLineChars="950"/>
        <w:textAlignment w:val="auto"/>
        <w:rPr>
          <w:rFonts w:ascii="楷体_GB2312" w:hAnsi="宋体" w:eastAsia="楷体_GB2312" w:cs="宋体"/>
          <w:b/>
          <w:sz w:val="32"/>
          <w:szCs w:val="32"/>
        </w:rPr>
      </w:pPr>
      <w:r>
        <w:rPr>
          <w:rFonts w:hint="eastAsia" w:ascii="楷体_GB2312" w:hAnsi="宋体" w:eastAsia="楷体_GB2312"/>
          <w:sz w:val="32"/>
          <w:szCs w:val="32"/>
          <w:lang w:eastAsia="zh-CN"/>
        </w:rPr>
        <w:t>许  瑜</w:t>
      </w:r>
      <w:r>
        <w:rPr>
          <w:rFonts w:hint="eastAsia" w:ascii="楷体_GB2312" w:hAnsi="宋体" w:eastAsia="楷体_GB2312"/>
          <w:sz w:val="32"/>
          <w:szCs w:val="32"/>
        </w:rPr>
        <w:t>（注册号：</w:t>
      </w:r>
      <w:r>
        <w:rPr>
          <w:rFonts w:hint="eastAsia" w:ascii="楷体_GB2312" w:hAnsi="宋体" w:eastAsia="楷体_GB2312"/>
          <w:sz w:val="32"/>
          <w:szCs w:val="32"/>
          <w:lang w:eastAsia="zh-CN"/>
        </w:rPr>
        <w:t>3620000070</w:t>
      </w:r>
      <w:r>
        <w:rPr>
          <w:rFonts w:hint="eastAsia" w:ascii="楷体_GB2312" w:hAnsi="宋体" w:eastAsia="楷体_GB2312"/>
          <w:sz w:val="32"/>
          <w:szCs w:val="32"/>
        </w:rPr>
        <w:t>）</w:t>
      </w:r>
    </w:p>
    <w:p>
      <w:pPr>
        <w:keepNext w:val="0"/>
        <w:keepLines w:val="0"/>
        <w:pageBreakBefore w:val="0"/>
        <w:widowControl w:val="0"/>
        <w:kinsoku/>
        <w:wordWrap/>
        <w:overflowPunct/>
        <w:topLinePunct w:val="0"/>
        <w:autoSpaceDE/>
        <w:autoSpaceDN/>
        <w:bidi w:val="0"/>
        <w:adjustRightInd/>
        <w:snapToGrid/>
        <w:spacing w:before="0" w:after="0" w:line="480" w:lineRule="auto"/>
        <w:ind w:left="2403" w:leftChars="0" w:hanging="2403" w:hangingChars="700"/>
        <w:textAlignment w:val="auto"/>
        <w:rPr>
          <w:rFonts w:hint="eastAsia" w:ascii="楷体_GB2312" w:hAnsi="宋体" w:eastAsia="楷体_GB2312"/>
          <w:sz w:val="32"/>
          <w:szCs w:val="32"/>
          <w:lang w:eastAsia="zh-CN"/>
        </w:rPr>
      </w:pPr>
      <w:r>
        <w:rPr>
          <w:rFonts w:hint="eastAsia" w:ascii="楷体_GB2312" w:hAnsi="宋体" w:eastAsia="楷体_GB2312" w:cs="宋体"/>
          <w:b/>
          <w:bCs/>
          <w:spacing w:val="11"/>
          <w:sz w:val="32"/>
          <w:szCs w:val="32"/>
        </w:rPr>
        <w:t>估价报告出具日期：</w:t>
      </w:r>
      <w:r>
        <w:rPr>
          <w:rFonts w:hint="eastAsia" w:ascii="楷体_GB2312" w:hAnsi="宋体" w:eastAsia="楷体_GB2312"/>
          <w:sz w:val="32"/>
          <w:szCs w:val="32"/>
          <w:lang w:eastAsia="zh-CN"/>
        </w:rPr>
        <w:t>二〇二二年四月二十一日</w:t>
      </w:r>
    </w:p>
    <w:p>
      <w:pPr>
        <w:spacing w:before="0" w:after="0" w:line="360" w:lineRule="auto"/>
        <w:jc w:val="center"/>
        <w:rPr>
          <w:rFonts w:hint="eastAsia" w:ascii="楷体_GB2312" w:hAnsi="楷体_GB2312" w:eastAsia="楷体_GB2312" w:cs="楷体_GB2312"/>
          <w:b/>
          <w:color w:val="000000"/>
          <w:sz w:val="36"/>
          <w:szCs w:val="36"/>
          <w:lang w:val="zh-CN"/>
        </w:rPr>
      </w:pPr>
      <w:r>
        <w:rPr>
          <w:rFonts w:ascii="幼圆"/>
          <w:color w:val="000000"/>
        </w:rPr>
        <w:br w:type="page"/>
      </w:r>
      <w:r>
        <w:rPr>
          <w:rFonts w:hint="eastAsia" w:ascii="楷体_GB2312" w:hAnsi="楷体_GB2312" w:eastAsia="楷体_GB2312" w:cs="楷体_GB2312"/>
          <w:b/>
          <w:color w:val="000000"/>
          <w:sz w:val="36"/>
          <w:szCs w:val="36"/>
          <w:lang w:val="zh-CN"/>
        </w:rPr>
        <w:t>致估价委托人函</w:t>
      </w:r>
    </w:p>
    <w:p>
      <w:pPr>
        <w:pStyle w:val="10"/>
        <w:keepNext w:val="0"/>
        <w:keepLines w:val="0"/>
        <w:pageBreakBefore w:val="0"/>
        <w:widowControl w:val="0"/>
        <w:kinsoku/>
        <w:wordWrap/>
        <w:overflowPunct/>
        <w:topLinePunct w:val="0"/>
        <w:autoSpaceDE/>
        <w:autoSpaceDN/>
        <w:bidi w:val="0"/>
        <w:adjustRightInd/>
        <w:snapToGrid/>
        <w:spacing w:before="0" w:after="0" w:line="480" w:lineRule="exact"/>
        <w:textAlignment w:val="auto"/>
        <w:rPr>
          <w:rFonts w:hint="eastAsia" w:ascii="仿宋_GB2312" w:hAnsi="仿宋_GB2312" w:eastAsia="仿宋_GB2312" w:cs="仿宋_GB2312"/>
          <w:color w:val="000000"/>
          <w:spacing w:val="0"/>
          <w:sz w:val="28"/>
          <w:szCs w:val="28"/>
          <w:highlight w:val="none"/>
        </w:rPr>
      </w:pPr>
      <w:r>
        <w:rPr>
          <w:rFonts w:hint="eastAsia" w:ascii="仿宋_GB2312" w:hAnsi="仿宋_GB2312" w:eastAsia="仿宋_GB2312" w:cs="仿宋_GB2312"/>
          <w:color w:val="000000"/>
          <w:spacing w:val="0"/>
          <w:sz w:val="28"/>
          <w:szCs w:val="28"/>
          <w:highlight w:val="none"/>
          <w:lang w:val="en-US" w:eastAsia="zh-CN"/>
        </w:rPr>
        <w:t>赣州经济技术开发区人民法院</w:t>
      </w:r>
      <w:r>
        <w:rPr>
          <w:rFonts w:hint="eastAsia" w:ascii="仿宋_GB2312" w:hAnsi="仿宋_GB2312" w:eastAsia="仿宋_GB2312" w:cs="仿宋_GB2312"/>
          <w:color w:val="000000"/>
          <w:spacing w:val="0"/>
          <w:sz w:val="28"/>
          <w:szCs w:val="28"/>
          <w:highlight w:val="none"/>
        </w:rPr>
        <w:t>：</w:t>
      </w:r>
    </w:p>
    <w:p>
      <w:pPr>
        <w:keepNext w:val="0"/>
        <w:keepLines w:val="0"/>
        <w:pageBreakBefore w:val="0"/>
        <w:widowControl/>
        <w:kinsoku/>
        <w:wordWrap/>
        <w:overflowPunct/>
        <w:topLinePunct w:val="0"/>
        <w:autoSpaceDE/>
        <w:autoSpaceDN/>
        <w:bidi w:val="0"/>
        <w:adjustRightInd/>
        <w:snapToGrid w:val="0"/>
        <w:spacing w:before="0" w:after="0" w:line="480" w:lineRule="exact"/>
        <w:ind w:left="0" w:leftChars="0" w:right="0" w:firstLine="560" w:firstLineChars="20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承蒙委托，我公司对贵院</w:t>
      </w:r>
      <w:r>
        <w:rPr>
          <w:rFonts w:hint="eastAsia" w:ascii="仿宋_GB2312" w:hAnsi="仿宋_GB2312" w:eastAsia="仿宋_GB2312" w:cs="仿宋_GB2312"/>
          <w:sz w:val="28"/>
          <w:szCs w:val="28"/>
          <w:highlight w:val="none"/>
          <w:lang w:eastAsia="zh-CN"/>
        </w:rPr>
        <w:t>执行申请人中国工商银行股份有限公司赣州开发区支行与被执行人宋路明借款合同纠纷一案</w:t>
      </w:r>
      <w:r>
        <w:rPr>
          <w:rFonts w:hint="eastAsia" w:ascii="仿宋_GB2312" w:hAnsi="仿宋_GB2312" w:eastAsia="仿宋_GB2312" w:cs="仿宋_GB2312"/>
          <w:sz w:val="28"/>
          <w:szCs w:val="28"/>
          <w:highlight w:val="none"/>
          <w:lang w:val="en-US" w:eastAsia="zh-CN"/>
        </w:rPr>
        <w:t>涉及沙河镇站东商贸城二街5号第四层房</w:t>
      </w:r>
      <w:r>
        <w:rPr>
          <w:rFonts w:hint="eastAsia" w:ascii="仿宋_GB2312" w:hAnsi="仿宋_GB2312" w:eastAsia="仿宋_GB2312" w:cs="仿宋_GB2312"/>
          <w:sz w:val="28"/>
          <w:szCs w:val="28"/>
          <w:highlight w:val="none"/>
        </w:rPr>
        <w:t>地产价格进行了估价，</w:t>
      </w:r>
      <w:r>
        <w:rPr>
          <w:rFonts w:hint="eastAsia" w:ascii="仿宋_GB2312" w:hAnsi="仿宋_GB2312" w:eastAsia="仿宋_GB2312" w:cs="仿宋_GB2312"/>
          <w:sz w:val="28"/>
          <w:szCs w:val="28"/>
          <w:highlight w:val="none"/>
          <w:lang w:val="en-US" w:eastAsia="zh-CN"/>
        </w:rPr>
        <w:t>价值时点为2022年4月19日，</w:t>
      </w:r>
      <w:r>
        <w:rPr>
          <w:rFonts w:hint="eastAsia" w:ascii="仿宋_GB2312" w:hAnsi="仿宋_GB2312" w:eastAsia="仿宋_GB2312" w:cs="仿宋_GB2312"/>
          <w:sz w:val="28"/>
          <w:szCs w:val="28"/>
          <w:highlight w:val="none"/>
        </w:rPr>
        <w:t>估价对象房屋总建筑面积为</w:t>
      </w:r>
      <w:r>
        <w:rPr>
          <w:rFonts w:hint="eastAsia" w:ascii="仿宋_GB2312" w:hAnsi="仿宋_GB2312" w:eastAsia="仿宋_GB2312" w:cs="仿宋_GB2312"/>
          <w:caps/>
          <w:sz w:val="28"/>
          <w:szCs w:val="28"/>
          <w:lang w:val="en-US" w:eastAsia="zh-CN"/>
        </w:rPr>
        <w:t>103.51平方米</w:t>
      </w:r>
      <w:r>
        <w:rPr>
          <w:rFonts w:hint="eastAsia" w:ascii="仿宋_GB2312" w:hAnsi="仿宋_GB2312" w:eastAsia="仿宋_GB2312" w:cs="仿宋_GB2312"/>
          <w:sz w:val="28"/>
          <w:szCs w:val="28"/>
          <w:highlight w:val="none"/>
        </w:rPr>
        <w:t>，估价目的是为人民法院确定财产处置参考价提供参考依据。</w:t>
      </w:r>
    </w:p>
    <w:p>
      <w:pPr>
        <w:keepNext w:val="0"/>
        <w:keepLines w:val="0"/>
        <w:pageBreakBefore w:val="0"/>
        <w:widowControl w:val="0"/>
        <w:tabs>
          <w:tab w:val="left" w:pos="267"/>
        </w:tabs>
        <w:kinsoku/>
        <w:wordWrap/>
        <w:overflowPunct/>
        <w:topLinePunct w:val="0"/>
        <w:autoSpaceDE/>
        <w:autoSpaceDN/>
        <w:bidi w:val="0"/>
        <w:adjustRightInd w:val="0"/>
        <w:snapToGrid w:val="0"/>
        <w:spacing w:before="0" w:after="0" w:line="480" w:lineRule="exact"/>
        <w:ind w:firstLine="560" w:firstLineChars="200"/>
        <w:textAlignment w:val="auto"/>
        <w:rPr>
          <w:rFonts w:hint="eastAsia" w:ascii="仿宋_GB2312" w:hAnsi="仿宋_GB2312" w:eastAsia="仿宋_GB2312" w:cs="仿宋_GB2312"/>
          <w:snapToGrid w:val="0"/>
          <w:color w:val="auto"/>
          <w:kern w:val="0"/>
          <w:sz w:val="28"/>
          <w:szCs w:val="20"/>
          <w:shd w:val="clear" w:color="auto" w:fill="auto"/>
        </w:rPr>
      </w:pPr>
      <w:r>
        <w:rPr>
          <w:rFonts w:hint="eastAsia" w:ascii="仿宋_GB2312" w:hAnsi="仿宋_GB2312" w:eastAsia="仿宋_GB2312" w:cs="仿宋_GB2312"/>
          <w:snapToGrid w:val="0"/>
          <w:color w:val="auto"/>
          <w:kern w:val="0"/>
          <w:sz w:val="28"/>
          <w:szCs w:val="20"/>
        </w:rPr>
        <w:t>经过实地查勘和市场调查，遵照《中华人民共和国城市房地产管理法》、《中华人民共和国资产评估法》、《房地产估价规范》、《房地产估价基本术语标准》及其他相关法规，遵循估价原则，按照估价程序，根据估价目的和贵方提供的相关资料，结合估价师的经验，</w:t>
      </w:r>
      <w:r>
        <w:rPr>
          <w:rFonts w:hint="eastAsia" w:eastAsia="仿宋_GB2312"/>
          <w:snapToGrid w:val="0"/>
          <w:color w:val="auto"/>
          <w:kern w:val="0"/>
          <w:sz w:val="28"/>
          <w:szCs w:val="20"/>
          <w:lang w:eastAsia="zh-CN"/>
        </w:rPr>
        <w:t>选用比较法进行测算</w:t>
      </w:r>
      <w:r>
        <w:rPr>
          <w:rFonts w:hint="eastAsia" w:ascii="仿宋_GB2312" w:hAnsi="仿宋_GB2312" w:eastAsia="仿宋_GB2312" w:cs="仿宋_GB2312"/>
          <w:snapToGrid w:val="0"/>
          <w:color w:val="auto"/>
          <w:kern w:val="0"/>
          <w:sz w:val="28"/>
          <w:szCs w:val="20"/>
        </w:rPr>
        <w:t>，在综合分析影响估价对象房地产价格因素的基础上测算出估价对象</w:t>
      </w:r>
      <w:r>
        <w:rPr>
          <w:rFonts w:hint="eastAsia" w:ascii="仿宋_GB2312" w:hAnsi="仿宋_GB2312" w:eastAsia="仿宋_GB2312" w:cs="仿宋_GB2312"/>
          <w:snapToGrid w:val="0"/>
          <w:color w:val="auto"/>
          <w:kern w:val="0"/>
          <w:sz w:val="28"/>
          <w:szCs w:val="20"/>
          <w:lang w:val="en-US" w:eastAsia="zh-CN"/>
        </w:rPr>
        <w:t>在价值时点</w:t>
      </w:r>
      <w:r>
        <w:rPr>
          <w:rFonts w:hint="eastAsia" w:ascii="仿宋_GB2312" w:hAnsi="仿宋_GB2312" w:eastAsia="仿宋_GB2312" w:cs="仿宋_GB2312"/>
          <w:snapToGrid w:val="0"/>
          <w:color w:val="auto"/>
          <w:kern w:val="0"/>
          <w:sz w:val="28"/>
          <w:szCs w:val="20"/>
          <w:lang w:eastAsia="zh-CN"/>
        </w:rPr>
        <w:t>2022年4月19日</w:t>
      </w:r>
      <w:r>
        <w:rPr>
          <w:rFonts w:hint="eastAsia" w:ascii="仿宋_GB2312" w:hAnsi="仿宋_GB2312" w:eastAsia="仿宋_GB2312" w:cs="仿宋_GB2312"/>
          <w:snapToGrid w:val="0"/>
          <w:color w:val="auto"/>
          <w:kern w:val="0"/>
          <w:sz w:val="28"/>
          <w:szCs w:val="20"/>
        </w:rPr>
        <w:t>的</w:t>
      </w:r>
      <w:r>
        <w:rPr>
          <w:rFonts w:hint="eastAsia" w:ascii="仿宋_GB2312" w:hAnsi="仿宋_GB2312" w:eastAsia="仿宋_GB2312" w:cs="仿宋_GB2312"/>
          <w:snapToGrid w:val="0"/>
          <w:color w:val="auto"/>
          <w:kern w:val="0"/>
          <w:sz w:val="28"/>
          <w:szCs w:val="20"/>
          <w:lang w:val="en-US" w:eastAsia="zh-CN"/>
        </w:rPr>
        <w:t>房地产</w:t>
      </w:r>
      <w:r>
        <w:rPr>
          <w:rFonts w:hint="eastAsia" w:ascii="仿宋_GB2312" w:hAnsi="仿宋_GB2312" w:eastAsia="仿宋_GB2312" w:cs="仿宋_GB2312"/>
          <w:snapToGrid w:val="0"/>
          <w:color w:val="auto"/>
          <w:kern w:val="0"/>
          <w:sz w:val="28"/>
          <w:szCs w:val="20"/>
          <w:shd w:val="clear" w:color="auto" w:fill="auto"/>
        </w:rPr>
        <w:t>市场价值为</w:t>
      </w:r>
      <w:r>
        <w:rPr>
          <w:rFonts w:hint="eastAsia" w:ascii="仿宋_GB2312" w:hAnsi="仿宋_GB2312" w:eastAsia="仿宋_GB2312" w:cs="仿宋_GB2312"/>
          <w:b/>
          <w:bCs/>
          <w:snapToGrid w:val="0"/>
          <w:color w:val="000000" w:themeColor="text1"/>
          <w:kern w:val="0"/>
          <w:sz w:val="28"/>
          <w:szCs w:val="20"/>
          <w:shd w:val="clear" w:color="auto" w:fill="auto"/>
          <w:lang w:val="en-US" w:eastAsia="zh-CN"/>
          <w14:textFill>
            <w14:solidFill>
              <w14:schemeClr w14:val="tx1"/>
            </w14:solidFill>
          </w14:textFill>
        </w:rPr>
        <w:t>63.60万元</w:t>
      </w:r>
      <w:r>
        <w:rPr>
          <w:rFonts w:hint="eastAsia" w:ascii="仿宋_GB2312" w:hAnsi="仿宋_GB2312" w:eastAsia="仿宋_GB2312" w:cs="仿宋_GB2312"/>
          <w:snapToGrid w:val="0"/>
          <w:color w:val="000000" w:themeColor="text1"/>
          <w:kern w:val="0"/>
          <w:sz w:val="28"/>
          <w:szCs w:val="20"/>
          <w:shd w:val="clear" w:color="auto" w:fill="auto"/>
          <w14:textFill>
            <w14:solidFill>
              <w14:schemeClr w14:val="tx1"/>
            </w14:solidFill>
          </w14:textFill>
        </w:rPr>
        <w:t>，</w:t>
      </w:r>
      <w:r>
        <w:rPr>
          <w:rFonts w:hint="eastAsia" w:ascii="仿宋_GB2312" w:hAnsi="仿宋_GB2312" w:eastAsia="仿宋_GB2312" w:cs="仿宋_GB2312"/>
          <w:snapToGrid w:val="0"/>
          <w:color w:val="auto"/>
          <w:kern w:val="0"/>
          <w:sz w:val="28"/>
          <w:szCs w:val="20"/>
          <w:shd w:val="clear" w:color="auto" w:fill="auto"/>
        </w:rPr>
        <w:t>人民币大写：</w:t>
      </w:r>
      <w:r>
        <w:rPr>
          <w:rFonts w:hint="eastAsia" w:ascii="仿宋_GB2312" w:hAnsi="仿宋_GB2312" w:eastAsia="仿宋_GB2312" w:cs="仿宋_GB2312"/>
          <w:b/>
          <w:bCs/>
          <w:color w:val="auto"/>
          <w:w w:val="100"/>
          <w:sz w:val="28"/>
          <w:szCs w:val="28"/>
          <w:highlight w:val="none"/>
          <w:lang w:val="en-US" w:eastAsia="zh-CN"/>
        </w:rPr>
        <w:t>陆拾叁万陆仟</w:t>
      </w:r>
      <w:r>
        <w:rPr>
          <w:rFonts w:hint="eastAsia" w:ascii="仿宋_GB2312" w:hAnsi="仿宋_GB2312" w:eastAsia="仿宋_GB2312" w:cs="仿宋_GB2312"/>
          <w:color w:val="auto"/>
          <w:w w:val="100"/>
          <w:sz w:val="28"/>
          <w:szCs w:val="28"/>
          <w:highlight w:val="none"/>
          <w:lang w:val="en-US" w:eastAsia="zh-CN"/>
        </w:rPr>
        <w:t>元整</w:t>
      </w:r>
      <w:r>
        <w:rPr>
          <w:rFonts w:hint="eastAsia" w:ascii="仿宋_GB2312" w:hAnsi="仿宋_GB2312" w:eastAsia="仿宋_GB2312" w:cs="仿宋_GB2312"/>
          <w:snapToGrid w:val="0"/>
          <w:color w:val="auto"/>
          <w:kern w:val="0"/>
          <w:sz w:val="28"/>
          <w:szCs w:val="20"/>
          <w:shd w:val="clear" w:color="auto" w:fill="auto"/>
          <w:lang w:eastAsia="zh-CN"/>
        </w:rPr>
        <w:t>，</w:t>
      </w:r>
      <w:r>
        <w:rPr>
          <w:rFonts w:hint="eastAsia" w:ascii="仿宋_GB2312" w:hAnsi="宋体" w:eastAsia="仿宋_GB2312"/>
          <w:color w:val="auto"/>
          <w:sz w:val="28"/>
          <w:shd w:val="clear" w:color="auto" w:fill="auto"/>
        </w:rPr>
        <w:t>具体详见</w:t>
      </w:r>
      <w:r>
        <w:rPr>
          <w:rFonts w:hint="eastAsia" w:ascii="仿宋_GB2312" w:hAnsi="宋体" w:eastAsia="仿宋_GB2312"/>
          <w:color w:val="auto"/>
          <w:sz w:val="28"/>
          <w:shd w:val="clear" w:color="auto" w:fill="auto"/>
          <w:lang w:val="en-US" w:eastAsia="zh-CN"/>
        </w:rPr>
        <w:t>下页</w:t>
      </w:r>
      <w:r>
        <w:rPr>
          <w:rFonts w:hint="eastAsia" w:ascii="仿宋_GB2312" w:hAnsi="宋体" w:eastAsia="仿宋_GB2312"/>
          <w:color w:val="auto"/>
          <w:sz w:val="28"/>
          <w:shd w:val="clear" w:color="auto" w:fill="auto"/>
        </w:rPr>
        <w:t>《评估结果明细表》</w:t>
      </w:r>
      <w:r>
        <w:rPr>
          <w:rFonts w:hint="eastAsia" w:ascii="仿宋_GB2312" w:hAnsi="仿宋_GB2312" w:eastAsia="仿宋_GB2312" w:cs="仿宋_GB2312"/>
          <w:snapToGrid w:val="0"/>
          <w:color w:val="auto"/>
          <w:kern w:val="0"/>
          <w:sz w:val="28"/>
          <w:szCs w:val="20"/>
          <w:shd w:val="clear" w:color="auto" w:fill="auto"/>
        </w:rPr>
        <w:t>。</w:t>
      </w:r>
    </w:p>
    <w:p>
      <w:pPr>
        <w:spacing w:before="0" w:after="0" w:line="520" w:lineRule="exact"/>
        <w:jc w:val="center"/>
        <w:rPr>
          <w:rFonts w:hint="eastAsia" w:ascii="仿宋_GB2312" w:eastAsia="仿宋_GB2312"/>
          <w:b/>
          <w:sz w:val="28"/>
          <w:szCs w:val="28"/>
        </w:rPr>
      </w:pPr>
      <w:r>
        <w:rPr>
          <w:rFonts w:hint="eastAsia" w:ascii="仿宋_GB2312" w:eastAsia="仿宋_GB2312"/>
          <w:b/>
          <w:sz w:val="28"/>
          <w:szCs w:val="28"/>
        </w:rPr>
        <w:t>评估结果明细表</w:t>
      </w:r>
    </w:p>
    <w:tbl>
      <w:tblPr>
        <w:tblStyle w:val="25"/>
        <w:tblW w:w="55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2"/>
        <w:gridCol w:w="915"/>
        <w:gridCol w:w="1350"/>
        <w:gridCol w:w="1205"/>
        <w:gridCol w:w="650"/>
        <w:gridCol w:w="1225"/>
        <w:gridCol w:w="1225"/>
        <w:gridCol w:w="1101"/>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default" w:ascii="仿宋_GB2312" w:hAnsi="宋体" w:eastAsia="仿宋_GB2312" w:cs="仿宋_GB2312"/>
                <w:b w:val="0"/>
                <w:bCs w:val="0"/>
                <w:i w:val="0"/>
                <w:color w:val="000000"/>
                <w:sz w:val="20"/>
                <w:szCs w:val="20"/>
                <w:u w:val="none"/>
                <w:lang w:val="en-US" w:eastAsia="zh-CN"/>
              </w:rPr>
            </w:pPr>
            <w:r>
              <w:rPr>
                <w:rFonts w:hint="eastAsia" w:ascii="仿宋_GB2312" w:hAnsi="宋体" w:eastAsia="仿宋_GB2312" w:cs="仿宋_GB2312"/>
                <w:b w:val="0"/>
                <w:bCs w:val="0"/>
                <w:i w:val="0"/>
                <w:color w:val="000000"/>
                <w:sz w:val="20"/>
                <w:szCs w:val="20"/>
                <w:u w:val="none"/>
                <w:lang w:val="en-US" w:eastAsia="zh-CN"/>
              </w:rPr>
              <w:t>不动产权证号</w:t>
            </w:r>
          </w:p>
        </w:tc>
        <w:tc>
          <w:tcPr>
            <w:tcW w:w="9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default" w:ascii="仿宋_GB2312" w:hAnsi="宋体" w:eastAsia="仿宋_GB2312" w:cs="仿宋_GB2312"/>
                <w:b w:val="0"/>
                <w:bCs w:val="0"/>
                <w:i w:val="0"/>
                <w:color w:val="000000"/>
                <w:sz w:val="20"/>
                <w:szCs w:val="20"/>
                <w:u w:val="none"/>
                <w:lang w:val="en-US" w:eastAsia="zh-CN"/>
              </w:rPr>
            </w:pPr>
            <w:r>
              <w:rPr>
                <w:rFonts w:hint="eastAsia" w:ascii="仿宋_GB2312" w:hAnsi="宋体" w:eastAsia="仿宋_GB2312" w:cs="仿宋_GB2312"/>
                <w:b w:val="0"/>
                <w:bCs w:val="0"/>
                <w:i w:val="0"/>
                <w:color w:val="000000"/>
                <w:sz w:val="20"/>
                <w:szCs w:val="20"/>
                <w:u w:val="none"/>
                <w:lang w:val="en-US" w:eastAsia="zh-CN"/>
              </w:rPr>
              <w:t>权利人</w:t>
            </w:r>
          </w:p>
        </w:tc>
        <w:tc>
          <w:tcPr>
            <w:tcW w:w="13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仿宋_GB2312" w:hAnsi="宋体" w:eastAsia="仿宋_GB2312" w:cs="仿宋_GB2312"/>
                <w:b w:val="0"/>
                <w:bCs w:val="0"/>
                <w:i w:val="0"/>
                <w:color w:val="000000"/>
                <w:sz w:val="20"/>
                <w:szCs w:val="20"/>
                <w:u w:val="none"/>
                <w:lang w:val="en-US" w:eastAsia="zh-CN"/>
              </w:rPr>
            </w:pPr>
            <w:r>
              <w:rPr>
                <w:rFonts w:hint="eastAsia" w:ascii="仿宋_GB2312" w:hAnsi="宋体" w:eastAsia="仿宋_GB2312" w:cs="仿宋_GB2312"/>
                <w:b w:val="0"/>
                <w:bCs w:val="0"/>
                <w:i w:val="0"/>
                <w:color w:val="000000"/>
                <w:sz w:val="20"/>
                <w:szCs w:val="20"/>
                <w:u w:val="none"/>
                <w:lang w:val="en-US" w:eastAsia="zh-CN"/>
              </w:rPr>
              <w:t>座落</w:t>
            </w:r>
          </w:p>
        </w:tc>
        <w:tc>
          <w:tcPr>
            <w:tcW w:w="1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仿宋_GB2312" w:hAnsi="宋体" w:eastAsia="仿宋_GB2312" w:cs="仿宋_GB2312"/>
                <w:b w:val="0"/>
                <w:bCs w:val="0"/>
                <w:i w:val="0"/>
                <w:color w:val="000000"/>
                <w:sz w:val="20"/>
                <w:szCs w:val="20"/>
                <w:u w:val="none"/>
                <w:lang w:val="en-US" w:eastAsia="zh-CN"/>
              </w:rPr>
            </w:pPr>
            <w:r>
              <w:rPr>
                <w:rFonts w:hint="eastAsia" w:ascii="仿宋_GB2312" w:hAnsi="宋体" w:eastAsia="仿宋_GB2312" w:cs="仿宋_GB2312"/>
                <w:b w:val="0"/>
                <w:bCs w:val="0"/>
                <w:i w:val="0"/>
                <w:color w:val="000000"/>
                <w:sz w:val="20"/>
                <w:szCs w:val="20"/>
                <w:u w:val="none"/>
                <w:lang w:val="en-US" w:eastAsia="zh-CN"/>
              </w:rPr>
              <w:t>实际楼层/总楼层</w:t>
            </w:r>
          </w:p>
        </w:tc>
        <w:tc>
          <w:tcPr>
            <w:tcW w:w="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仿宋_GB2312" w:hAnsi="宋体" w:eastAsia="仿宋_GB2312" w:cs="仿宋_GB2312"/>
                <w:b w:val="0"/>
                <w:bCs w:val="0"/>
                <w:i w:val="0"/>
                <w:color w:val="000000"/>
                <w:sz w:val="20"/>
                <w:szCs w:val="20"/>
                <w:u w:val="none"/>
                <w:lang w:val="en-US" w:eastAsia="zh-CN"/>
              </w:rPr>
            </w:pPr>
            <w:r>
              <w:rPr>
                <w:rFonts w:hint="eastAsia" w:ascii="仿宋_GB2312" w:hAnsi="宋体" w:eastAsia="仿宋_GB2312" w:cs="仿宋_GB2312"/>
                <w:b w:val="0"/>
                <w:bCs w:val="0"/>
                <w:i w:val="0"/>
                <w:color w:val="000000"/>
                <w:sz w:val="20"/>
                <w:szCs w:val="20"/>
                <w:u w:val="none"/>
                <w:lang w:val="en-US" w:eastAsia="zh-CN"/>
              </w:rPr>
              <w:t>建成年代</w:t>
            </w:r>
          </w:p>
        </w:tc>
        <w:tc>
          <w:tcPr>
            <w:tcW w:w="12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仿宋_GB2312" w:hAnsi="宋体" w:eastAsia="仿宋_GB2312" w:cs="仿宋_GB2312"/>
                <w:b w:val="0"/>
                <w:bCs w:val="0"/>
                <w:i w:val="0"/>
                <w:color w:val="000000"/>
                <w:sz w:val="20"/>
                <w:szCs w:val="20"/>
                <w:u w:val="none"/>
                <w:lang w:val="en-US" w:eastAsia="zh-CN"/>
              </w:rPr>
            </w:pPr>
            <w:r>
              <w:rPr>
                <w:rFonts w:hint="eastAsia" w:ascii="仿宋_GB2312" w:hAnsi="宋体" w:eastAsia="仿宋_GB2312" w:cs="仿宋_GB2312"/>
                <w:b w:val="0"/>
                <w:bCs w:val="0"/>
                <w:i w:val="0"/>
                <w:color w:val="000000"/>
                <w:sz w:val="20"/>
                <w:szCs w:val="20"/>
                <w:u w:val="none"/>
                <w:lang w:val="en-US" w:eastAsia="zh-CN"/>
              </w:rPr>
              <w:t>实际用途</w:t>
            </w:r>
          </w:p>
        </w:tc>
        <w:tc>
          <w:tcPr>
            <w:tcW w:w="12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default" w:ascii="仿宋_GB2312" w:hAnsi="宋体" w:eastAsia="仿宋_GB2312" w:cs="仿宋_GB2312"/>
                <w:b w:val="0"/>
                <w:bCs w:val="0"/>
                <w:i w:val="0"/>
                <w:color w:val="000000"/>
                <w:sz w:val="20"/>
                <w:szCs w:val="20"/>
                <w:u w:val="none"/>
                <w:lang w:val="en-US" w:eastAsia="zh-CN"/>
              </w:rPr>
            </w:pPr>
            <w:r>
              <w:rPr>
                <w:rFonts w:hint="eastAsia" w:ascii="仿宋_GB2312" w:hAnsi="宋体" w:eastAsia="仿宋_GB2312" w:cs="仿宋_GB2312"/>
                <w:b w:val="0"/>
                <w:bCs w:val="0"/>
                <w:i w:val="0"/>
                <w:color w:val="000000"/>
                <w:sz w:val="20"/>
                <w:szCs w:val="20"/>
                <w:u w:val="none"/>
                <w:lang w:val="en-US" w:eastAsia="zh-CN"/>
              </w:rPr>
              <w:t>建筑面积（㎡）</w:t>
            </w:r>
          </w:p>
        </w:tc>
        <w:tc>
          <w:tcPr>
            <w:tcW w:w="11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仿宋_GB2312" w:hAnsi="宋体" w:eastAsia="仿宋_GB2312" w:cs="仿宋_GB2312"/>
                <w:b w:val="0"/>
                <w:bCs w:val="0"/>
                <w:i w:val="0"/>
                <w:color w:val="000000"/>
                <w:sz w:val="20"/>
                <w:szCs w:val="20"/>
                <w:u w:val="none"/>
                <w:lang w:val="en-US" w:eastAsia="zh-CN"/>
              </w:rPr>
            </w:pPr>
            <w:r>
              <w:rPr>
                <w:rFonts w:hint="eastAsia" w:ascii="仿宋_GB2312" w:hAnsi="宋体" w:eastAsia="仿宋_GB2312" w:cs="仿宋_GB2312"/>
                <w:b w:val="0"/>
                <w:bCs w:val="0"/>
                <w:i w:val="0"/>
                <w:color w:val="000000"/>
                <w:sz w:val="20"/>
                <w:szCs w:val="20"/>
                <w:u w:val="none"/>
                <w:lang w:val="en-US" w:eastAsia="zh-CN"/>
              </w:rPr>
              <w:t>评估单价（元/㎡）</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仿宋_GB2312" w:hAnsi="宋体" w:eastAsia="仿宋_GB2312" w:cs="仿宋_GB2312"/>
                <w:b w:val="0"/>
                <w:bCs w:val="0"/>
                <w:i w:val="0"/>
                <w:color w:val="000000"/>
                <w:sz w:val="20"/>
                <w:szCs w:val="20"/>
                <w:u w:val="none"/>
                <w:lang w:val="en-US" w:eastAsia="zh-CN"/>
              </w:rPr>
            </w:pPr>
            <w:r>
              <w:rPr>
                <w:rFonts w:hint="eastAsia" w:ascii="仿宋_GB2312" w:hAnsi="宋体" w:eastAsia="仿宋_GB2312" w:cs="仿宋_GB2312"/>
                <w:b w:val="0"/>
                <w:bCs w:val="0"/>
                <w:i w:val="0"/>
                <w:color w:val="000000"/>
                <w:sz w:val="20"/>
                <w:szCs w:val="20"/>
                <w:u w:val="none"/>
                <w:lang w:val="en-US" w:eastAsia="zh-CN"/>
              </w:rPr>
              <w:t>评估价值（万元）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4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default" w:ascii="仿宋_GB2312" w:hAnsi="宋体" w:eastAsia="仿宋_GB2312" w:cs="仿宋_GB2312"/>
                <w:b w:val="0"/>
                <w:bCs w:val="0"/>
                <w:i w:val="0"/>
                <w:color w:val="000000"/>
                <w:sz w:val="20"/>
                <w:szCs w:val="20"/>
                <w:u w:val="none"/>
                <w:lang w:val="en-US" w:eastAsia="zh-CN"/>
              </w:rPr>
            </w:pPr>
            <w:r>
              <w:rPr>
                <w:rFonts w:hint="eastAsia" w:ascii="仿宋_GB2312" w:hAnsi="宋体" w:eastAsia="仿宋_GB2312" w:cs="仿宋_GB2312"/>
                <w:b w:val="0"/>
                <w:bCs w:val="0"/>
                <w:i w:val="0"/>
                <w:color w:val="000000"/>
                <w:sz w:val="20"/>
                <w:szCs w:val="20"/>
                <w:u w:val="none"/>
                <w:lang w:val="en-US" w:eastAsia="zh-CN"/>
              </w:rPr>
              <w:t>赣（2018）赣州市不动产权第0003572号</w:t>
            </w:r>
          </w:p>
        </w:tc>
        <w:tc>
          <w:tcPr>
            <w:tcW w:w="9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default" w:ascii="仿宋_GB2312" w:hAnsi="宋体" w:eastAsia="仿宋_GB2312" w:cs="仿宋_GB2312"/>
                <w:b w:val="0"/>
                <w:bCs w:val="0"/>
                <w:i w:val="0"/>
                <w:color w:val="000000"/>
                <w:sz w:val="20"/>
                <w:szCs w:val="20"/>
                <w:u w:val="none"/>
                <w:lang w:val="en-US" w:eastAsia="zh-CN"/>
              </w:rPr>
            </w:pPr>
            <w:r>
              <w:rPr>
                <w:rFonts w:hint="eastAsia" w:ascii="仿宋_GB2312" w:hAnsi="宋体" w:eastAsia="仿宋_GB2312" w:cs="仿宋_GB2312"/>
                <w:b w:val="0"/>
                <w:bCs w:val="0"/>
                <w:i w:val="0"/>
                <w:color w:val="000000"/>
                <w:sz w:val="20"/>
                <w:szCs w:val="20"/>
                <w:u w:val="none"/>
                <w:lang w:val="en-US" w:eastAsia="zh-CN"/>
              </w:rPr>
              <w:t>宋路明</w:t>
            </w:r>
          </w:p>
        </w:tc>
        <w:tc>
          <w:tcPr>
            <w:tcW w:w="13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仿宋_GB2312" w:hAnsi="宋体" w:eastAsia="仿宋_GB2312" w:cs="仿宋_GB2312"/>
                <w:b w:val="0"/>
                <w:bCs w:val="0"/>
                <w:i w:val="0"/>
                <w:color w:val="000000"/>
                <w:sz w:val="20"/>
                <w:szCs w:val="20"/>
                <w:u w:val="none"/>
                <w:lang w:val="en-US" w:eastAsia="zh-CN"/>
              </w:rPr>
            </w:pPr>
            <w:r>
              <w:rPr>
                <w:rFonts w:hint="eastAsia" w:ascii="仿宋_GB2312" w:hAnsi="宋体" w:eastAsia="仿宋_GB2312" w:cs="仿宋_GB2312"/>
                <w:b w:val="0"/>
                <w:bCs w:val="0"/>
                <w:i w:val="0"/>
                <w:color w:val="000000"/>
                <w:sz w:val="20"/>
                <w:szCs w:val="20"/>
                <w:u w:val="none"/>
                <w:lang w:val="en-US" w:eastAsia="zh-CN"/>
              </w:rPr>
              <w:t>沙河镇站东商贸城二街5号第四层</w:t>
            </w:r>
          </w:p>
        </w:tc>
        <w:tc>
          <w:tcPr>
            <w:tcW w:w="1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default" w:ascii="仿宋_GB2312" w:hAnsi="宋体" w:eastAsia="仿宋_GB2312" w:cs="仿宋_GB2312"/>
                <w:b w:val="0"/>
                <w:bCs w:val="0"/>
                <w:i w:val="0"/>
                <w:color w:val="000000"/>
                <w:sz w:val="20"/>
                <w:szCs w:val="20"/>
                <w:u w:val="none"/>
                <w:lang w:val="en-US" w:eastAsia="zh-CN"/>
              </w:rPr>
            </w:pPr>
            <w:r>
              <w:rPr>
                <w:rFonts w:hint="eastAsia" w:ascii="仿宋_GB2312" w:hAnsi="宋体" w:eastAsia="仿宋_GB2312" w:cs="仿宋_GB2312"/>
                <w:b w:val="0"/>
                <w:bCs w:val="0"/>
                <w:i w:val="0"/>
                <w:color w:val="000000"/>
                <w:sz w:val="20"/>
                <w:szCs w:val="20"/>
                <w:u w:val="none"/>
                <w:lang w:val="en-US" w:eastAsia="zh-CN"/>
              </w:rPr>
              <w:t>4/7</w:t>
            </w:r>
          </w:p>
        </w:tc>
        <w:tc>
          <w:tcPr>
            <w:tcW w:w="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default" w:ascii="仿宋_GB2312" w:hAnsi="宋体" w:eastAsia="仿宋_GB2312" w:cs="仿宋_GB2312"/>
                <w:b w:val="0"/>
                <w:bCs w:val="0"/>
                <w:i w:val="0"/>
                <w:color w:val="000000"/>
                <w:sz w:val="20"/>
                <w:szCs w:val="20"/>
                <w:u w:val="none"/>
                <w:lang w:val="en-US" w:eastAsia="zh-CN"/>
              </w:rPr>
            </w:pPr>
            <w:r>
              <w:rPr>
                <w:rFonts w:hint="eastAsia" w:ascii="仿宋_GB2312" w:hAnsi="宋体" w:eastAsia="仿宋_GB2312" w:cs="仿宋_GB2312"/>
                <w:b w:val="0"/>
                <w:bCs w:val="0"/>
                <w:i w:val="0"/>
                <w:color w:val="000000"/>
                <w:sz w:val="20"/>
                <w:szCs w:val="20"/>
                <w:u w:val="none"/>
                <w:lang w:val="en-US" w:eastAsia="zh-CN"/>
              </w:rPr>
              <w:t>2003年</w:t>
            </w:r>
          </w:p>
        </w:tc>
        <w:tc>
          <w:tcPr>
            <w:tcW w:w="12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仿宋_GB2312" w:hAnsi="宋体" w:eastAsia="仿宋_GB2312" w:cs="仿宋_GB2312"/>
                <w:b w:val="0"/>
                <w:bCs w:val="0"/>
                <w:i w:val="0"/>
                <w:color w:val="000000"/>
                <w:sz w:val="20"/>
                <w:szCs w:val="20"/>
                <w:u w:val="none"/>
                <w:lang w:val="en-US" w:eastAsia="zh-CN"/>
              </w:rPr>
            </w:pPr>
            <w:r>
              <w:rPr>
                <w:rFonts w:hint="eastAsia" w:ascii="仿宋_GB2312" w:hAnsi="宋体" w:eastAsia="仿宋_GB2312" w:cs="仿宋_GB2312"/>
                <w:b w:val="0"/>
                <w:bCs w:val="0"/>
                <w:i w:val="0"/>
                <w:color w:val="000000"/>
                <w:sz w:val="20"/>
                <w:szCs w:val="20"/>
                <w:u w:val="none"/>
                <w:lang w:val="en-US" w:eastAsia="zh-CN"/>
              </w:rPr>
              <w:t>住宅</w:t>
            </w:r>
          </w:p>
        </w:tc>
        <w:tc>
          <w:tcPr>
            <w:tcW w:w="12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default" w:ascii="仿宋_GB2312" w:hAnsi="宋体" w:eastAsia="仿宋_GB2312" w:cs="仿宋_GB2312"/>
                <w:b w:val="0"/>
                <w:bCs w:val="0"/>
                <w:i w:val="0"/>
                <w:color w:val="000000"/>
                <w:sz w:val="20"/>
                <w:szCs w:val="20"/>
                <w:u w:val="none"/>
                <w:lang w:val="en-US" w:eastAsia="zh-CN"/>
              </w:rPr>
            </w:pPr>
            <w:r>
              <w:rPr>
                <w:rFonts w:hint="default" w:ascii="仿宋_GB2312" w:hAnsi="宋体" w:eastAsia="仿宋_GB2312" w:cs="仿宋_GB2312"/>
                <w:b w:val="0"/>
                <w:bCs w:val="0"/>
                <w:i w:val="0"/>
                <w:color w:val="000000"/>
                <w:sz w:val="20"/>
                <w:szCs w:val="20"/>
                <w:u w:val="none"/>
                <w:lang w:val="en-US" w:eastAsia="zh-CN"/>
              </w:rPr>
              <w:t>103.51</w:t>
            </w:r>
          </w:p>
        </w:tc>
        <w:tc>
          <w:tcPr>
            <w:tcW w:w="11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default" w:ascii="仿宋_GB2312" w:hAnsi="宋体" w:eastAsia="仿宋_GB2312" w:cs="仿宋_GB2312"/>
                <w:b w:val="0"/>
                <w:bCs w:val="0"/>
                <w:i w:val="0"/>
                <w:color w:val="000000"/>
                <w:sz w:val="20"/>
                <w:szCs w:val="20"/>
                <w:u w:val="none"/>
                <w:lang w:val="en-US" w:eastAsia="zh-CN"/>
              </w:rPr>
            </w:pPr>
            <w:r>
              <w:rPr>
                <w:rFonts w:hint="default" w:ascii="仿宋_GB2312" w:hAnsi="宋体" w:eastAsia="仿宋_GB2312" w:cs="仿宋_GB2312"/>
                <w:b w:val="0"/>
                <w:bCs w:val="0"/>
                <w:i w:val="0"/>
                <w:color w:val="000000"/>
                <w:sz w:val="20"/>
                <w:szCs w:val="20"/>
                <w:u w:val="none"/>
                <w:lang w:val="en-US" w:eastAsia="zh-CN"/>
              </w:rPr>
              <w:t>6144</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default" w:ascii="仿宋_GB2312" w:hAnsi="宋体" w:eastAsia="仿宋_GB2312" w:cs="仿宋_GB2312"/>
                <w:b w:val="0"/>
                <w:bCs w:val="0"/>
                <w:i w:val="0"/>
                <w:color w:val="000000"/>
                <w:sz w:val="20"/>
                <w:szCs w:val="20"/>
                <w:u w:val="none"/>
                <w:lang w:val="en-US" w:eastAsia="zh-CN"/>
              </w:rPr>
            </w:pPr>
            <w:r>
              <w:rPr>
                <w:rFonts w:hint="default" w:ascii="仿宋_GB2312" w:hAnsi="宋体" w:eastAsia="仿宋_GB2312" w:cs="仿宋_GB2312"/>
                <w:b w:val="0"/>
                <w:bCs w:val="0"/>
                <w:i w:val="0"/>
                <w:color w:val="000000"/>
                <w:sz w:val="20"/>
                <w:szCs w:val="20"/>
                <w:u w:val="none"/>
                <w:lang w:val="en-US" w:eastAsia="zh-CN"/>
              </w:rPr>
              <w:t>63.6</w:t>
            </w:r>
          </w:p>
        </w:tc>
      </w:tr>
    </w:tbl>
    <w:p>
      <w:pPr>
        <w:keepNext w:val="0"/>
        <w:keepLines w:val="0"/>
        <w:pageBreakBefore w:val="0"/>
        <w:kinsoku/>
        <w:wordWrap/>
        <w:overflowPunct/>
        <w:topLinePunct w:val="0"/>
        <w:autoSpaceDE/>
        <w:autoSpaceDN/>
        <w:bidi w:val="0"/>
        <w:adjustRightInd/>
        <w:snapToGrid/>
        <w:spacing w:before="0" w:after="0" w:line="240" w:lineRule="auto"/>
        <w:rPr>
          <w:rFonts w:hint="eastAsia" w:ascii="仿宋_GB2312" w:eastAsia="仿宋_GB2312"/>
          <w:color w:val="000000"/>
          <w:kern w:val="0"/>
          <w:sz w:val="24"/>
          <w:szCs w:val="24"/>
          <w:lang w:bidi="ar"/>
        </w:rPr>
      </w:pPr>
    </w:p>
    <w:p>
      <w:pPr>
        <w:keepNext w:val="0"/>
        <w:keepLines w:val="0"/>
        <w:pageBreakBefore w:val="0"/>
        <w:kinsoku/>
        <w:wordWrap/>
        <w:overflowPunct/>
        <w:topLinePunct w:val="0"/>
        <w:autoSpaceDE/>
        <w:autoSpaceDN/>
        <w:bidi w:val="0"/>
        <w:adjustRightInd/>
        <w:snapToGrid/>
        <w:spacing w:before="0" w:after="0" w:line="240" w:lineRule="auto"/>
        <w:rPr>
          <w:rFonts w:ascii="仿宋_GB2312" w:eastAsia="仿宋_GB2312"/>
          <w:color w:val="000000"/>
          <w:kern w:val="0"/>
          <w:sz w:val="24"/>
          <w:szCs w:val="24"/>
          <w:lang w:bidi="ar"/>
        </w:rPr>
      </w:pPr>
      <w:r>
        <w:rPr>
          <w:rFonts w:hint="eastAsia" w:ascii="仿宋_GB2312" w:eastAsia="仿宋_GB2312"/>
          <w:color w:val="000000"/>
          <w:kern w:val="0"/>
          <w:sz w:val="24"/>
          <w:szCs w:val="24"/>
          <w:lang w:bidi="ar"/>
        </w:rPr>
        <w:t xml:space="preserve">特别提示： </w:t>
      </w:r>
    </w:p>
    <w:p>
      <w:pPr>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ind w:left="0" w:leftChars="0" w:firstLine="420" w:firstLineChars="200"/>
        <w:jc w:val="left"/>
        <w:textAlignment w:val="center"/>
        <w:rPr>
          <w:rFonts w:hint="eastAsia" w:ascii="仿宋_GB2312" w:eastAsia="仿宋_GB2312"/>
          <w:color w:val="000000"/>
          <w:kern w:val="0"/>
          <w:sz w:val="21"/>
          <w:szCs w:val="21"/>
          <w:lang w:val="en-US" w:eastAsia="zh-CN" w:bidi="ar"/>
        </w:rPr>
      </w:pPr>
      <w:r>
        <w:rPr>
          <w:rFonts w:hint="eastAsia" w:ascii="仿宋_GB2312" w:eastAsia="仿宋_GB2312"/>
          <w:color w:val="000000"/>
          <w:kern w:val="0"/>
          <w:sz w:val="21"/>
          <w:szCs w:val="21"/>
          <w:lang w:val="en-US" w:eastAsia="zh-CN" w:bidi="ar"/>
        </w:rPr>
        <w:t>1、本报告仅限于估价委托人执行申请人中国工商银行股份有限公司赣州开发区支行与被执行人宋路明借款合同纠纷一案使用，不作他用。</w:t>
      </w:r>
    </w:p>
    <w:p>
      <w:pPr>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ind w:left="0" w:leftChars="0" w:firstLine="420" w:firstLineChars="200"/>
        <w:jc w:val="left"/>
        <w:textAlignment w:val="center"/>
        <w:rPr>
          <w:rFonts w:hint="eastAsia" w:ascii="仿宋_GB2312" w:eastAsia="仿宋_GB2312"/>
          <w:color w:val="000000"/>
          <w:kern w:val="0"/>
          <w:sz w:val="21"/>
          <w:szCs w:val="21"/>
          <w:lang w:val="en-US" w:eastAsia="zh-CN" w:bidi="ar"/>
        </w:rPr>
      </w:pPr>
      <w:r>
        <w:rPr>
          <w:rFonts w:hint="eastAsia" w:ascii="仿宋_GB2312" w:eastAsia="仿宋_GB2312"/>
          <w:color w:val="000000"/>
          <w:kern w:val="0"/>
          <w:sz w:val="21"/>
          <w:szCs w:val="21"/>
          <w:lang w:val="en-US" w:eastAsia="zh-CN" w:bidi="ar"/>
        </w:rPr>
        <w:t>2、本次评估委托方提供的《不动产登记信息查询结果》中未注明估价对象的楼层和实际用途，故本次评估的估价对象楼层和用途根据我司人员现场查勘确认后确定。</w:t>
      </w:r>
    </w:p>
    <w:p>
      <w:pPr>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ind w:left="0" w:leftChars="0" w:firstLine="420" w:firstLineChars="200"/>
        <w:jc w:val="left"/>
        <w:textAlignment w:val="center"/>
        <w:rPr>
          <w:rFonts w:hint="eastAsia" w:ascii="仿宋_GB2312" w:eastAsia="仿宋_GB2312"/>
          <w:color w:val="000000"/>
          <w:kern w:val="0"/>
          <w:sz w:val="21"/>
          <w:szCs w:val="21"/>
          <w:lang w:val="en-US" w:eastAsia="zh-CN" w:bidi="ar"/>
        </w:rPr>
      </w:pPr>
      <w:r>
        <w:rPr>
          <w:rFonts w:hint="eastAsia" w:ascii="仿宋_GB2312" w:eastAsia="仿宋_GB2312"/>
          <w:color w:val="000000"/>
          <w:kern w:val="0"/>
          <w:sz w:val="21"/>
          <w:szCs w:val="21"/>
          <w:lang w:val="en-US" w:eastAsia="zh-CN" w:bidi="ar"/>
        </w:rPr>
        <w:t>3.本估价报告的全文为一个不可分割的整体，报告使用者请详细查阅本报告的估价师声明、估价的假设与限制条件、房地产估价结果报告，以对本报告有一个全面正确的了解。</w:t>
      </w:r>
    </w:p>
    <w:p>
      <w:pPr>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ind w:left="0" w:leftChars="0" w:firstLine="420" w:firstLineChars="200"/>
        <w:jc w:val="left"/>
        <w:textAlignment w:val="center"/>
        <w:rPr>
          <w:rFonts w:hint="default" w:ascii="仿宋_GB2312" w:eastAsia="仿宋_GB2312"/>
          <w:color w:val="000000"/>
          <w:kern w:val="0"/>
          <w:sz w:val="21"/>
          <w:szCs w:val="21"/>
          <w:lang w:val="en-US" w:eastAsia="zh-CN" w:bidi="ar"/>
        </w:rPr>
      </w:pPr>
      <w:r>
        <w:rPr>
          <w:rFonts w:hint="eastAsia" w:ascii="仿宋_GB2312" w:eastAsia="仿宋_GB2312"/>
          <w:color w:val="000000"/>
          <w:kern w:val="0"/>
          <w:sz w:val="21"/>
          <w:szCs w:val="21"/>
          <w:lang w:val="en-US" w:eastAsia="zh-CN" w:bidi="ar"/>
        </w:rPr>
        <w:t>4.估价结果未扣除处置时应缴纳的评估费、拍卖费、诉讼费、律师费等财产处置费用。</w:t>
      </w:r>
    </w:p>
    <w:p>
      <w:pPr>
        <w:keepNext w:val="0"/>
        <w:keepLines w:val="0"/>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仿宋_GB2312" w:hAnsi="宋体" w:eastAsia="仿宋_GB2312"/>
          <w:color w:val="000000"/>
          <w:spacing w:val="14"/>
          <w:sz w:val="28"/>
          <w:szCs w:val="28"/>
          <w:lang w:eastAsia="zh-CN"/>
        </w:rPr>
      </w:pPr>
      <w:r>
        <w:rPr>
          <w:rFonts w:hint="eastAsia" w:ascii="仿宋_GB2312" w:hAnsi="宋体" w:eastAsia="仿宋_GB2312"/>
          <w:color w:val="000000"/>
          <w:spacing w:val="14"/>
          <w:sz w:val="24"/>
          <w:lang w:val="en-US" w:eastAsia="zh-CN"/>
        </w:rPr>
        <w:t xml:space="preserve">                     </w:t>
      </w:r>
      <w:r>
        <w:rPr>
          <w:rFonts w:hint="eastAsia" w:ascii="仿宋_GB2312" w:hAnsi="宋体" w:eastAsia="仿宋_GB2312"/>
          <w:color w:val="000000"/>
          <w:spacing w:val="14"/>
          <w:sz w:val="28"/>
          <w:szCs w:val="28"/>
          <w:lang w:eastAsia="zh-CN"/>
        </w:rPr>
        <w:t>江西仁信房地产资产评估有限公司</w:t>
      </w:r>
    </w:p>
    <w:p>
      <w:pPr>
        <w:keepNext w:val="0"/>
        <w:keepLines w:val="0"/>
        <w:pageBreakBefore w:val="0"/>
        <w:widowControl w:val="0"/>
        <w:kinsoku/>
        <w:wordWrap/>
        <w:overflowPunct/>
        <w:topLinePunct w:val="0"/>
        <w:autoSpaceDE/>
        <w:autoSpaceDN/>
        <w:bidi w:val="0"/>
        <w:adjustRightInd/>
        <w:snapToGrid/>
        <w:spacing w:before="0" w:after="0" w:line="560" w:lineRule="exact"/>
        <w:ind w:firstLine="4312" w:firstLineChars="1400"/>
        <w:jc w:val="both"/>
        <w:textAlignment w:val="auto"/>
        <w:rPr>
          <w:rFonts w:hint="eastAsia" w:ascii="仿宋_GB2312" w:hAnsi="宋体" w:eastAsia="仿宋_GB2312"/>
          <w:color w:val="000000"/>
          <w:spacing w:val="14"/>
          <w:sz w:val="28"/>
          <w:szCs w:val="28"/>
        </w:rPr>
      </w:pPr>
      <w:r>
        <w:rPr>
          <w:rFonts w:hint="eastAsia" w:ascii="仿宋_GB2312" w:hAnsi="宋体" w:eastAsia="仿宋_GB2312"/>
          <w:color w:val="000000"/>
          <w:spacing w:val="14"/>
          <w:sz w:val="28"/>
          <w:szCs w:val="28"/>
        </w:rPr>
        <w:t>法人代表：</w:t>
      </w:r>
    </w:p>
    <w:p>
      <w:pPr>
        <w:keepNext w:val="0"/>
        <w:keepLines w:val="0"/>
        <w:pageBreakBefore w:val="0"/>
        <w:widowControl w:val="0"/>
        <w:kinsoku/>
        <w:wordWrap/>
        <w:overflowPunct/>
        <w:topLinePunct w:val="0"/>
        <w:autoSpaceDE/>
        <w:autoSpaceDN/>
        <w:bidi w:val="0"/>
        <w:adjustRightInd/>
        <w:snapToGrid/>
        <w:spacing w:before="0" w:after="0" w:line="560" w:lineRule="exact"/>
        <w:ind w:firstLine="4928" w:firstLineChars="1600"/>
        <w:jc w:val="both"/>
        <w:textAlignment w:val="auto"/>
        <w:rPr>
          <w:rFonts w:hint="eastAsia" w:ascii="仿宋_GB2312" w:hAnsi="仿宋_GB2312" w:eastAsia="仿宋_GB2312" w:cs="仿宋_GB2312"/>
          <w:color w:val="000000"/>
          <w:spacing w:val="14"/>
          <w:sz w:val="28"/>
          <w:szCs w:val="28"/>
          <w:lang w:eastAsia="zh-CN"/>
        </w:rPr>
      </w:pPr>
      <w:r>
        <w:rPr>
          <w:rFonts w:hint="eastAsia" w:ascii="仿宋_GB2312" w:hAnsi="宋体" w:eastAsia="仿宋_GB2312"/>
          <w:color w:val="000000"/>
          <w:spacing w:val="14"/>
          <w:sz w:val="28"/>
          <w:szCs w:val="28"/>
          <w:lang w:eastAsia="zh-CN"/>
        </w:rPr>
        <w:t>二〇二二年四月二十一日</w:t>
      </w:r>
    </w:p>
    <w:p>
      <w:pPr>
        <w:rPr>
          <w:rFonts w:ascii="楷体_GB2312" w:hAnsi="楷体_GB2312" w:eastAsia="楷体_GB2312" w:cs="楷体_GB2312"/>
          <w:b/>
          <w:color w:val="000000"/>
          <w:sz w:val="36"/>
          <w:szCs w:val="36"/>
          <w:lang w:val="zh-CN"/>
        </w:rPr>
      </w:pPr>
      <w:r>
        <w:rPr>
          <w:rFonts w:hint="eastAsia" w:ascii="楷体_GB2312" w:hAnsi="楷体_GB2312" w:eastAsia="楷体_GB2312" w:cs="楷体_GB2312"/>
          <w:b/>
          <w:color w:val="000000"/>
          <w:sz w:val="36"/>
          <w:szCs w:val="36"/>
          <w:lang w:val="zh-CN"/>
        </w:rPr>
        <w:br w:type="page"/>
      </w:r>
    </w:p>
    <w:p>
      <w:pPr>
        <w:spacing w:before="0" w:after="0" w:line="360" w:lineRule="auto"/>
        <w:jc w:val="center"/>
        <w:rPr>
          <w:b/>
          <w:color w:val="000000"/>
          <w:sz w:val="36"/>
          <w:szCs w:val="36"/>
          <w:lang w:val="zh-CN"/>
        </w:rPr>
      </w:pPr>
      <w:r>
        <w:rPr>
          <w:rFonts w:hint="eastAsia" w:ascii="楷体_GB2312" w:hAnsi="楷体_GB2312" w:eastAsia="楷体_GB2312" w:cs="楷体_GB2312"/>
          <w:b/>
          <w:color w:val="000000"/>
          <w:sz w:val="36"/>
          <w:szCs w:val="36"/>
          <w:lang w:val="zh-CN"/>
        </w:rPr>
        <w:t>目 录</w:t>
      </w:r>
    </w:p>
    <w:p>
      <w:pPr>
        <w:pStyle w:val="15"/>
        <w:keepNext w:val="0"/>
        <w:keepLines w:val="0"/>
        <w:pageBreakBefore w:val="0"/>
        <w:widowControl w:val="0"/>
        <w:tabs>
          <w:tab w:val="right" w:leader="dot" w:pos="9026"/>
        </w:tabs>
        <w:kinsoku/>
        <w:wordWrap/>
        <w:overflowPunct/>
        <w:topLinePunct w:val="0"/>
        <w:autoSpaceDE/>
        <w:autoSpaceDN/>
        <w:bidi w:val="0"/>
        <w:adjustRightInd/>
        <w:snapToGrid/>
        <w:spacing w:before="0" w:after="0" w:line="520" w:lineRule="exact"/>
        <w:ind w:left="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color w:val="000000"/>
          <w:sz w:val="28"/>
          <w:szCs w:val="28"/>
        </w:rPr>
        <w:instrText xml:space="preserve"> TOC \o "1-3" \h \z \u </w:instrText>
      </w:r>
      <w:r>
        <w:rPr>
          <w:rFonts w:hint="eastAsia" w:ascii="仿宋_GB2312" w:hAnsi="仿宋_GB2312" w:eastAsia="仿宋_GB2312" w:cs="仿宋_GB2312"/>
          <w:color w:val="000000"/>
          <w:sz w:val="28"/>
          <w:szCs w:val="28"/>
        </w:rPr>
        <w:fldChar w:fldCharType="separate"/>
      </w: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_Toc9494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eastAsia="zh-CN"/>
        </w:rPr>
        <w:t xml:space="preserve">一、 </w:t>
      </w:r>
      <w:r>
        <w:rPr>
          <w:rFonts w:hint="eastAsia" w:ascii="仿宋_GB2312" w:hAnsi="仿宋_GB2312" w:eastAsia="仿宋_GB2312" w:cs="仿宋_GB2312"/>
          <w:bCs w:val="0"/>
          <w:kern w:val="2"/>
          <w:sz w:val="28"/>
          <w:szCs w:val="28"/>
          <w:lang w:val="zh-CN" w:eastAsia="zh-CN" w:bidi="ar-SA"/>
        </w:rPr>
        <w:t>估价师声明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_Toc9494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5"/>
        <w:keepNext w:val="0"/>
        <w:keepLines w:val="0"/>
        <w:pageBreakBefore w:val="0"/>
        <w:widowControl w:val="0"/>
        <w:tabs>
          <w:tab w:val="right" w:leader="dot" w:pos="9026"/>
        </w:tabs>
        <w:kinsoku/>
        <w:wordWrap/>
        <w:overflowPunct/>
        <w:topLinePunct w:val="0"/>
        <w:autoSpaceDE/>
        <w:autoSpaceDN/>
        <w:bidi w:val="0"/>
        <w:adjustRightInd/>
        <w:snapToGrid/>
        <w:spacing w:before="0" w:after="0" w:line="520" w:lineRule="exact"/>
        <w:ind w:left="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_Toc15559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kern w:val="2"/>
          <w:sz w:val="28"/>
          <w:szCs w:val="28"/>
          <w:lang w:val="zh-CN" w:eastAsia="zh-CN" w:bidi="ar-SA"/>
        </w:rPr>
        <w:t>二、 估价的假设和限制条件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_Toc15559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5"/>
        <w:keepNext w:val="0"/>
        <w:keepLines w:val="0"/>
        <w:pageBreakBefore w:val="0"/>
        <w:widowControl w:val="0"/>
        <w:tabs>
          <w:tab w:val="right" w:leader="dot" w:pos="9026"/>
        </w:tabs>
        <w:kinsoku/>
        <w:wordWrap/>
        <w:overflowPunct/>
        <w:topLinePunct w:val="0"/>
        <w:autoSpaceDE/>
        <w:autoSpaceDN/>
        <w:bidi w:val="0"/>
        <w:adjustRightInd/>
        <w:snapToGrid/>
        <w:spacing w:before="0" w:after="0" w:line="520" w:lineRule="exact"/>
        <w:ind w:left="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_Toc22501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kern w:val="2"/>
          <w:sz w:val="28"/>
          <w:szCs w:val="28"/>
          <w:lang w:val="zh-CN" w:eastAsia="zh-CN" w:bidi="ar-SA"/>
        </w:rPr>
        <w:t>三、估价结果报告</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_Toc22501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8"/>
        <w:keepNext w:val="0"/>
        <w:keepLines w:val="0"/>
        <w:pageBreakBefore w:val="0"/>
        <w:widowControl w:val="0"/>
        <w:tabs>
          <w:tab w:val="right" w:leader="dot" w:pos="9026"/>
        </w:tabs>
        <w:kinsoku/>
        <w:wordWrap/>
        <w:overflowPunct/>
        <w:topLinePunct w:val="0"/>
        <w:autoSpaceDE/>
        <w:autoSpaceDN/>
        <w:bidi w:val="0"/>
        <w:adjustRightInd/>
        <w:snapToGrid/>
        <w:spacing w:before="0" w:after="0" w:line="520" w:lineRule="exact"/>
        <w:ind w:left="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_Toc15588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（一）估价委托人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_Toc15588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8"/>
        <w:keepNext w:val="0"/>
        <w:keepLines w:val="0"/>
        <w:pageBreakBefore w:val="0"/>
        <w:widowControl w:val="0"/>
        <w:tabs>
          <w:tab w:val="right" w:leader="dot" w:pos="9026"/>
        </w:tabs>
        <w:kinsoku/>
        <w:wordWrap/>
        <w:overflowPunct/>
        <w:topLinePunct w:val="0"/>
        <w:autoSpaceDE/>
        <w:autoSpaceDN/>
        <w:bidi w:val="0"/>
        <w:adjustRightInd/>
        <w:snapToGrid/>
        <w:spacing w:before="0" w:after="0" w:line="520" w:lineRule="exact"/>
        <w:ind w:left="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_Toc5133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（二）房地产估价机构</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_Toc5133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8"/>
        <w:keepNext w:val="0"/>
        <w:keepLines w:val="0"/>
        <w:pageBreakBefore w:val="0"/>
        <w:widowControl w:val="0"/>
        <w:tabs>
          <w:tab w:val="right" w:leader="dot" w:pos="9026"/>
        </w:tabs>
        <w:kinsoku/>
        <w:wordWrap/>
        <w:overflowPunct/>
        <w:topLinePunct w:val="0"/>
        <w:autoSpaceDE/>
        <w:autoSpaceDN/>
        <w:bidi w:val="0"/>
        <w:adjustRightInd/>
        <w:snapToGrid/>
        <w:spacing w:before="0" w:after="0" w:line="520" w:lineRule="exact"/>
        <w:ind w:left="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_Toc16528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（三）估价目的</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_Toc16528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8"/>
        <w:keepNext w:val="0"/>
        <w:keepLines w:val="0"/>
        <w:pageBreakBefore w:val="0"/>
        <w:widowControl w:val="0"/>
        <w:tabs>
          <w:tab w:val="right" w:leader="dot" w:pos="9026"/>
        </w:tabs>
        <w:kinsoku/>
        <w:wordWrap/>
        <w:overflowPunct/>
        <w:topLinePunct w:val="0"/>
        <w:autoSpaceDE/>
        <w:autoSpaceDN/>
        <w:bidi w:val="0"/>
        <w:adjustRightInd/>
        <w:snapToGrid/>
        <w:spacing w:before="0" w:after="0" w:line="520" w:lineRule="exact"/>
        <w:ind w:left="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_Toc6080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（四）估价对象</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_Toc6080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8"/>
        <w:keepNext w:val="0"/>
        <w:keepLines w:val="0"/>
        <w:pageBreakBefore w:val="0"/>
        <w:widowControl w:val="0"/>
        <w:tabs>
          <w:tab w:val="right" w:leader="dot" w:pos="9026"/>
        </w:tabs>
        <w:kinsoku/>
        <w:wordWrap/>
        <w:overflowPunct/>
        <w:topLinePunct w:val="0"/>
        <w:autoSpaceDE/>
        <w:autoSpaceDN/>
        <w:bidi w:val="0"/>
        <w:adjustRightInd/>
        <w:snapToGrid/>
        <w:spacing w:before="0" w:after="0" w:line="520" w:lineRule="exact"/>
        <w:ind w:left="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_Toc25588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（五）价值时点</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_Toc25588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8"/>
        <w:keepNext w:val="0"/>
        <w:keepLines w:val="0"/>
        <w:pageBreakBefore w:val="0"/>
        <w:widowControl w:val="0"/>
        <w:tabs>
          <w:tab w:val="right" w:leader="dot" w:pos="9026"/>
        </w:tabs>
        <w:kinsoku/>
        <w:wordWrap/>
        <w:overflowPunct/>
        <w:topLinePunct w:val="0"/>
        <w:autoSpaceDE/>
        <w:autoSpaceDN/>
        <w:bidi w:val="0"/>
        <w:adjustRightInd/>
        <w:snapToGrid/>
        <w:spacing w:before="0" w:after="0" w:line="520" w:lineRule="exact"/>
        <w:ind w:left="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_Toc4668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（六）价值类型</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_Toc4668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8"/>
        <w:keepNext w:val="0"/>
        <w:keepLines w:val="0"/>
        <w:pageBreakBefore w:val="0"/>
        <w:widowControl w:val="0"/>
        <w:tabs>
          <w:tab w:val="right" w:leader="dot" w:pos="9026"/>
        </w:tabs>
        <w:kinsoku/>
        <w:wordWrap/>
        <w:overflowPunct/>
        <w:topLinePunct w:val="0"/>
        <w:autoSpaceDE/>
        <w:autoSpaceDN/>
        <w:bidi w:val="0"/>
        <w:adjustRightInd/>
        <w:snapToGrid/>
        <w:spacing w:before="0" w:after="0" w:line="520" w:lineRule="exact"/>
        <w:ind w:left="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_Toc30251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（七）估价原则</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_Toc30251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8"/>
        <w:keepNext w:val="0"/>
        <w:keepLines w:val="0"/>
        <w:pageBreakBefore w:val="0"/>
        <w:widowControl w:val="0"/>
        <w:tabs>
          <w:tab w:val="right" w:leader="dot" w:pos="9026"/>
        </w:tabs>
        <w:kinsoku/>
        <w:wordWrap/>
        <w:overflowPunct/>
        <w:topLinePunct w:val="0"/>
        <w:autoSpaceDE/>
        <w:autoSpaceDN/>
        <w:bidi w:val="0"/>
        <w:adjustRightInd/>
        <w:snapToGrid/>
        <w:spacing w:before="0" w:after="0" w:line="520" w:lineRule="exact"/>
        <w:ind w:left="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_Toc18361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（八）估价依据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_Toc18361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8"/>
        <w:keepNext w:val="0"/>
        <w:keepLines w:val="0"/>
        <w:pageBreakBefore w:val="0"/>
        <w:widowControl w:val="0"/>
        <w:tabs>
          <w:tab w:val="right" w:leader="dot" w:pos="9026"/>
        </w:tabs>
        <w:kinsoku/>
        <w:wordWrap/>
        <w:overflowPunct/>
        <w:topLinePunct w:val="0"/>
        <w:autoSpaceDE/>
        <w:autoSpaceDN/>
        <w:bidi w:val="0"/>
        <w:adjustRightInd/>
        <w:snapToGrid/>
        <w:spacing w:before="0" w:after="0" w:line="520" w:lineRule="exact"/>
        <w:ind w:left="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_Toc15851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（九）估价方法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_Toc15851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8"/>
        <w:keepNext w:val="0"/>
        <w:keepLines w:val="0"/>
        <w:pageBreakBefore w:val="0"/>
        <w:widowControl w:val="0"/>
        <w:tabs>
          <w:tab w:val="right" w:leader="dot" w:pos="9026"/>
        </w:tabs>
        <w:kinsoku/>
        <w:wordWrap/>
        <w:overflowPunct/>
        <w:topLinePunct w:val="0"/>
        <w:autoSpaceDE/>
        <w:autoSpaceDN/>
        <w:bidi w:val="0"/>
        <w:adjustRightInd/>
        <w:snapToGrid/>
        <w:spacing w:before="0" w:after="0" w:line="520" w:lineRule="exact"/>
        <w:ind w:left="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_Toc12785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（十）估价结果</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_Toc12785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8"/>
        <w:keepNext w:val="0"/>
        <w:keepLines w:val="0"/>
        <w:pageBreakBefore w:val="0"/>
        <w:widowControl w:val="0"/>
        <w:tabs>
          <w:tab w:val="right" w:leader="dot" w:pos="9026"/>
        </w:tabs>
        <w:kinsoku/>
        <w:wordWrap/>
        <w:overflowPunct/>
        <w:topLinePunct w:val="0"/>
        <w:autoSpaceDE/>
        <w:autoSpaceDN/>
        <w:bidi w:val="0"/>
        <w:adjustRightInd/>
        <w:snapToGrid/>
        <w:spacing w:before="0" w:after="0" w:line="520" w:lineRule="exact"/>
        <w:ind w:left="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_Toc19579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（十二）实地查勘期</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_Toc19579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8"/>
        <w:keepNext w:val="0"/>
        <w:keepLines w:val="0"/>
        <w:pageBreakBefore w:val="0"/>
        <w:widowControl w:val="0"/>
        <w:tabs>
          <w:tab w:val="right" w:leader="dot" w:pos="9026"/>
        </w:tabs>
        <w:kinsoku/>
        <w:wordWrap/>
        <w:overflowPunct/>
        <w:topLinePunct w:val="0"/>
        <w:autoSpaceDE/>
        <w:autoSpaceDN/>
        <w:bidi w:val="0"/>
        <w:adjustRightInd/>
        <w:snapToGrid/>
        <w:spacing w:before="0" w:after="0" w:line="520" w:lineRule="exact"/>
        <w:ind w:left="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_Toc27065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（十三）估价作业日期</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_Toc27065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5"/>
        <w:keepNext w:val="0"/>
        <w:keepLines w:val="0"/>
        <w:pageBreakBefore w:val="0"/>
        <w:widowControl w:val="0"/>
        <w:tabs>
          <w:tab w:val="right" w:leader="dot" w:pos="9026"/>
        </w:tabs>
        <w:kinsoku/>
        <w:wordWrap/>
        <w:overflowPunct/>
        <w:topLinePunct w:val="0"/>
        <w:autoSpaceDE/>
        <w:autoSpaceDN/>
        <w:bidi w:val="0"/>
        <w:adjustRightInd/>
        <w:snapToGrid/>
        <w:spacing w:before="0" w:after="0" w:line="520" w:lineRule="exact"/>
        <w:ind w:left="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_Toc6495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kern w:val="2"/>
          <w:sz w:val="28"/>
          <w:szCs w:val="28"/>
          <w:lang w:val="zh-CN" w:eastAsia="zh-CN" w:bidi="ar-SA"/>
        </w:rPr>
        <w:t>四、附 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_Toc6495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keepNext w:val="0"/>
        <w:keepLines w:val="0"/>
        <w:pageBreakBefore w:val="0"/>
        <w:widowControl w:val="0"/>
        <w:kinsoku/>
        <w:wordWrap/>
        <w:overflowPunct/>
        <w:topLinePunct w:val="0"/>
        <w:autoSpaceDE/>
        <w:autoSpaceDN/>
        <w:bidi w:val="0"/>
        <w:adjustRightInd/>
        <w:snapToGrid/>
        <w:spacing w:before="0" w:after="0" w:line="520" w:lineRule="exact"/>
        <w:ind w:left="0" w:leftChars="0"/>
        <w:jc w:val="left"/>
        <w:textAlignment w:val="auto"/>
        <w:rPr>
          <w:rFonts w:hint="eastAsia" w:ascii="仿宋" w:hAnsi="仿宋" w:eastAsia="仿宋" w:cs="仿宋"/>
          <w:sz w:val="24"/>
          <w:szCs w:val="24"/>
          <w:lang w:val="en-US" w:eastAsia="zh-CN"/>
        </w:rPr>
      </w:pPr>
      <w:r>
        <w:rPr>
          <w:rFonts w:hint="eastAsia" w:ascii="仿宋_GB2312" w:hAnsi="仿宋_GB2312" w:eastAsia="仿宋_GB2312" w:cs="仿宋_GB2312"/>
          <w:color w:val="000000"/>
          <w:sz w:val="28"/>
          <w:szCs w:val="28"/>
        </w:rPr>
        <w:fldChar w:fldCharType="end"/>
      </w:r>
      <w:r>
        <w:rPr>
          <w:rFonts w:hint="eastAsia" w:ascii="楷体_GB2312" w:hAnsi="楷体_GB2312" w:eastAsia="楷体_GB2312" w:cs="楷体_GB2312"/>
          <w:color w:val="000000"/>
          <w:lang w:val="en-US" w:eastAsia="zh-CN"/>
        </w:rPr>
        <w:t xml:space="preserve"> </w:t>
      </w:r>
      <w:r>
        <w:rPr>
          <w:rFonts w:hint="eastAsia" w:ascii="仿宋" w:hAnsi="仿宋" w:eastAsia="仿宋" w:cs="仿宋"/>
          <w:sz w:val="24"/>
          <w:lang w:val="en-US" w:eastAsia="zh-CN"/>
        </w:rPr>
        <w:t xml:space="preserve"> </w:t>
      </w:r>
      <w:r>
        <w:rPr>
          <w:rFonts w:hint="eastAsia" w:ascii="仿宋" w:hAnsi="仿宋" w:eastAsia="仿宋" w:cs="仿宋"/>
          <w:sz w:val="24"/>
          <w:szCs w:val="24"/>
          <w:lang w:val="en-US" w:eastAsia="zh-CN"/>
        </w:rPr>
        <w:t xml:space="preserve">  1、房地产估价委托书复印件</w:t>
      </w:r>
    </w:p>
    <w:p>
      <w:pPr>
        <w:keepNext w:val="0"/>
        <w:keepLines w:val="0"/>
        <w:pageBreakBefore w:val="0"/>
        <w:widowControl w:val="0"/>
        <w:kinsoku/>
        <w:wordWrap/>
        <w:overflowPunct/>
        <w:topLinePunct w:val="0"/>
        <w:autoSpaceDE/>
        <w:autoSpaceDN/>
        <w:bidi w:val="0"/>
        <w:adjustRightInd/>
        <w:snapToGrid/>
        <w:spacing w:before="0" w:after="0" w:line="52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楷体_GB2312" w:hAnsi="楷体_GB2312" w:eastAsia="楷体_GB2312" w:cs="楷体_GB2312"/>
          <w:color w:val="000000"/>
          <w:sz w:val="24"/>
          <w:szCs w:val="24"/>
          <w:lang w:val="en-US" w:eastAsia="zh-CN"/>
        </w:rPr>
        <w:t>、</w:t>
      </w:r>
      <w:r>
        <w:rPr>
          <w:rFonts w:hint="eastAsia" w:ascii="仿宋" w:hAnsi="仿宋" w:eastAsia="仿宋" w:cs="仿宋"/>
          <w:sz w:val="24"/>
          <w:szCs w:val="24"/>
        </w:rPr>
        <w:t>估价对象位置图</w:t>
      </w:r>
    </w:p>
    <w:p>
      <w:pPr>
        <w:keepNext w:val="0"/>
        <w:keepLines w:val="0"/>
        <w:pageBreakBefore w:val="0"/>
        <w:widowControl w:val="0"/>
        <w:kinsoku/>
        <w:wordWrap/>
        <w:overflowPunct/>
        <w:topLinePunct w:val="0"/>
        <w:autoSpaceDE/>
        <w:autoSpaceDN/>
        <w:bidi w:val="0"/>
        <w:adjustRightInd/>
        <w:snapToGrid/>
        <w:spacing w:before="0" w:after="0" w:line="520" w:lineRule="exact"/>
        <w:ind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r>
        <w:rPr>
          <w:rFonts w:hint="eastAsia" w:ascii="楷体_GB2312" w:hAnsi="楷体_GB2312" w:eastAsia="楷体_GB2312" w:cs="楷体_GB2312"/>
          <w:color w:val="000000"/>
          <w:sz w:val="24"/>
          <w:szCs w:val="24"/>
          <w:lang w:val="en-US" w:eastAsia="zh-CN"/>
        </w:rPr>
        <w:t>、</w:t>
      </w:r>
      <w:r>
        <w:rPr>
          <w:rFonts w:hint="eastAsia" w:ascii="仿宋" w:hAnsi="仿宋" w:eastAsia="仿宋" w:cs="仿宋"/>
          <w:sz w:val="24"/>
          <w:szCs w:val="24"/>
        </w:rPr>
        <w:t>估价对象</w:t>
      </w:r>
      <w:r>
        <w:rPr>
          <w:rFonts w:hint="eastAsia" w:ascii="仿宋" w:hAnsi="仿宋" w:eastAsia="仿宋" w:cs="仿宋"/>
          <w:sz w:val="24"/>
          <w:szCs w:val="24"/>
          <w:lang w:val="en-US" w:eastAsia="zh-CN"/>
        </w:rPr>
        <w:t>现状照片</w:t>
      </w:r>
    </w:p>
    <w:p>
      <w:pPr>
        <w:keepNext w:val="0"/>
        <w:keepLines w:val="0"/>
        <w:pageBreakBefore w:val="0"/>
        <w:widowControl w:val="0"/>
        <w:kinsoku/>
        <w:wordWrap/>
        <w:overflowPunct/>
        <w:topLinePunct w:val="0"/>
        <w:autoSpaceDE/>
        <w:autoSpaceDN/>
        <w:bidi w:val="0"/>
        <w:adjustRightInd/>
        <w:snapToGrid/>
        <w:spacing w:before="0" w:after="0" w:line="52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楷体_GB2312" w:hAnsi="楷体_GB2312" w:eastAsia="楷体_GB2312" w:cs="楷体_GB2312"/>
          <w:color w:val="000000"/>
          <w:sz w:val="24"/>
          <w:szCs w:val="24"/>
          <w:lang w:val="en-US" w:eastAsia="zh-CN"/>
        </w:rPr>
        <w:t>、</w:t>
      </w:r>
      <w:r>
        <w:rPr>
          <w:rFonts w:hint="eastAsia" w:ascii="仿宋" w:hAnsi="仿宋" w:eastAsia="仿宋" w:cs="仿宋"/>
          <w:sz w:val="24"/>
          <w:szCs w:val="24"/>
        </w:rPr>
        <w:t>估价对象</w:t>
      </w:r>
      <w:r>
        <w:rPr>
          <w:rFonts w:hint="eastAsia" w:ascii="仿宋" w:hAnsi="仿宋" w:eastAsia="仿宋" w:cs="仿宋"/>
          <w:sz w:val="24"/>
          <w:szCs w:val="24"/>
          <w:lang w:val="en-US" w:eastAsia="zh-CN"/>
        </w:rPr>
        <w:t>产权</w:t>
      </w:r>
      <w:r>
        <w:rPr>
          <w:rFonts w:hint="eastAsia" w:ascii="仿宋" w:hAnsi="仿宋" w:eastAsia="仿宋" w:cs="仿宋"/>
          <w:sz w:val="24"/>
          <w:szCs w:val="24"/>
        </w:rPr>
        <w:t>资料复印件</w:t>
      </w:r>
    </w:p>
    <w:p>
      <w:pPr>
        <w:keepNext w:val="0"/>
        <w:keepLines w:val="0"/>
        <w:pageBreakBefore w:val="0"/>
        <w:widowControl w:val="0"/>
        <w:kinsoku/>
        <w:wordWrap/>
        <w:overflowPunct/>
        <w:topLinePunct w:val="0"/>
        <w:autoSpaceDE/>
        <w:autoSpaceDN/>
        <w:bidi w:val="0"/>
        <w:adjustRightInd/>
        <w:snapToGrid/>
        <w:spacing w:before="0" w:after="0" w:line="52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楷体_GB2312" w:hAnsi="楷体_GB2312" w:eastAsia="楷体_GB2312" w:cs="楷体_GB2312"/>
          <w:color w:val="000000"/>
          <w:sz w:val="24"/>
          <w:szCs w:val="24"/>
          <w:lang w:val="en-US" w:eastAsia="zh-CN"/>
        </w:rPr>
        <w:t>、</w:t>
      </w:r>
      <w:r>
        <w:rPr>
          <w:rFonts w:hint="eastAsia" w:ascii="仿宋" w:hAnsi="仿宋" w:eastAsia="仿宋" w:cs="仿宋"/>
          <w:sz w:val="24"/>
          <w:szCs w:val="24"/>
        </w:rPr>
        <w:t>房地产估价机构企业营业执照复印件</w:t>
      </w:r>
    </w:p>
    <w:p>
      <w:pPr>
        <w:keepNext w:val="0"/>
        <w:keepLines w:val="0"/>
        <w:pageBreakBefore w:val="0"/>
        <w:widowControl w:val="0"/>
        <w:kinsoku/>
        <w:wordWrap/>
        <w:overflowPunct/>
        <w:topLinePunct w:val="0"/>
        <w:autoSpaceDE/>
        <w:autoSpaceDN/>
        <w:bidi w:val="0"/>
        <w:adjustRightInd/>
        <w:snapToGrid/>
        <w:spacing w:before="0" w:after="0" w:line="52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楷体_GB2312" w:hAnsi="楷体_GB2312" w:eastAsia="楷体_GB2312" w:cs="楷体_GB2312"/>
          <w:color w:val="000000"/>
          <w:sz w:val="24"/>
          <w:szCs w:val="24"/>
          <w:lang w:val="en-US" w:eastAsia="zh-CN"/>
        </w:rPr>
        <w:t>、</w:t>
      </w:r>
      <w:r>
        <w:rPr>
          <w:rFonts w:hint="eastAsia" w:ascii="仿宋" w:hAnsi="仿宋" w:eastAsia="仿宋" w:cs="仿宋"/>
          <w:sz w:val="24"/>
          <w:szCs w:val="24"/>
        </w:rPr>
        <w:t>房地产估价机构资质证书复印件</w:t>
      </w:r>
    </w:p>
    <w:p>
      <w:pPr>
        <w:keepNext w:val="0"/>
        <w:keepLines w:val="0"/>
        <w:pageBreakBefore w:val="0"/>
        <w:widowControl w:val="0"/>
        <w:kinsoku/>
        <w:wordWrap/>
        <w:overflowPunct/>
        <w:topLinePunct w:val="0"/>
        <w:autoSpaceDE/>
        <w:autoSpaceDN/>
        <w:bidi w:val="0"/>
        <w:adjustRightInd/>
        <w:snapToGrid/>
        <w:spacing w:before="0" w:after="0" w:line="52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楷体_GB2312" w:hAnsi="楷体_GB2312" w:eastAsia="楷体_GB2312" w:cs="楷体_GB2312"/>
          <w:color w:val="000000"/>
          <w:sz w:val="24"/>
          <w:szCs w:val="24"/>
          <w:lang w:val="en-US" w:eastAsia="zh-CN"/>
        </w:rPr>
        <w:t>、</w:t>
      </w:r>
      <w:r>
        <w:rPr>
          <w:rFonts w:hint="eastAsia" w:ascii="仿宋" w:hAnsi="仿宋" w:eastAsia="仿宋" w:cs="仿宋"/>
          <w:sz w:val="24"/>
          <w:szCs w:val="24"/>
        </w:rPr>
        <w:t>注册房地产估价师执业证书复印件</w:t>
      </w:r>
    </w:p>
    <w:p>
      <w:pPr>
        <w:rPr>
          <w:sz w:val="24"/>
          <w:szCs w:val="24"/>
        </w:rPr>
        <w:sectPr>
          <w:footerReference r:id="rId7" w:type="first"/>
          <w:headerReference r:id="rId5" w:type="default"/>
          <w:footerReference r:id="rId6" w:type="even"/>
          <w:pgSz w:w="11906" w:h="16838"/>
          <w:pgMar w:top="1701" w:right="1440" w:bottom="1440" w:left="1440" w:header="680" w:footer="992" w:gutter="0"/>
          <w:pgNumType w:fmt="numberInDash" w:start="1"/>
          <w:cols w:space="720" w:num="1"/>
          <w:docGrid w:type="lines" w:linePitch="312" w:charSpace="0"/>
        </w:sectPr>
      </w:pPr>
    </w:p>
    <w:p>
      <w:pPr>
        <w:pStyle w:val="23"/>
        <w:widowControl w:val="0"/>
        <w:numPr>
          <w:ilvl w:val="0"/>
          <w:numId w:val="2"/>
        </w:numPr>
        <w:wordWrap/>
        <w:adjustRightInd/>
        <w:snapToGrid/>
        <w:spacing w:before="0" w:after="0" w:line="360" w:lineRule="auto"/>
        <w:ind w:left="0" w:leftChars="0" w:right="0"/>
        <w:textAlignment w:val="auto"/>
        <w:rPr>
          <w:rFonts w:hint="eastAsia"/>
          <w:lang w:val="zh-CN" w:eastAsia="zh-CN"/>
        </w:rPr>
      </w:pPr>
      <w:bookmarkStart w:id="1" w:name="_Toc9494"/>
      <w:bookmarkStart w:id="2" w:name="_Toc8742"/>
      <w:r>
        <w:rPr>
          <w:rFonts w:hint="eastAsia" w:ascii="楷体_GB2312" w:hAnsi="楷体_GB2312" w:eastAsia="楷体_GB2312" w:cs="楷体_GB2312"/>
          <w:b/>
          <w:bCs w:val="0"/>
          <w:color w:val="000000"/>
          <w:kern w:val="2"/>
          <w:sz w:val="36"/>
          <w:szCs w:val="36"/>
          <w:lang w:val="zh-CN" w:eastAsia="zh-CN" w:bidi="ar-SA"/>
        </w:rPr>
        <w:t>估价师声明</w:t>
      </w:r>
      <w:bookmarkEnd w:id="1"/>
      <w:bookmarkEnd w:id="2"/>
    </w:p>
    <w:p>
      <w:pPr>
        <w:rPr>
          <w:rFonts w:hint="eastAsia"/>
          <w:lang w:val="zh-CN" w:eastAsia="zh-CN"/>
        </w:rPr>
      </w:pPr>
    </w:p>
    <w:p>
      <w:pPr>
        <w:keepNext w:val="0"/>
        <w:keepLines w:val="0"/>
        <w:pageBreakBefore w:val="0"/>
        <w:widowControl/>
        <w:kinsoku/>
        <w:wordWrap/>
        <w:overflowPunct/>
        <w:topLinePunct w:val="0"/>
        <w:autoSpaceDE/>
        <w:autoSpaceDN/>
        <w:bidi w:val="0"/>
        <w:adjustRightInd/>
        <w:snapToGrid w:val="0"/>
        <w:spacing w:before="0" w:after="0" w:line="360" w:lineRule="auto"/>
        <w:ind w:left="0" w:leftChars="0" w:right="0" w:firstLine="560" w:firstLineChars="200"/>
        <w:jc w:val="both"/>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对本报告我们特作如下郑重声明：</w:t>
      </w:r>
    </w:p>
    <w:p>
      <w:pPr>
        <w:keepNext w:val="0"/>
        <w:keepLines w:val="0"/>
        <w:pageBreakBefore w:val="0"/>
        <w:widowControl/>
        <w:kinsoku/>
        <w:wordWrap/>
        <w:overflowPunct/>
        <w:topLinePunct w:val="0"/>
        <w:autoSpaceDE/>
        <w:autoSpaceDN/>
        <w:bidi w:val="0"/>
        <w:adjustRightInd w:val="0"/>
        <w:snapToGrid w:val="0"/>
        <w:spacing w:before="0" w:after="0" w:line="360" w:lineRule="auto"/>
        <w:ind w:left="0" w:leftChars="0" w:right="0" w:firstLine="560" w:firstLineChars="200"/>
        <w:jc w:val="both"/>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1、注册房地产估价师在估价报告中对事实的说明是真实和准确的，没有虚假记载、误导性陈述和重大遗漏。</w:t>
      </w:r>
    </w:p>
    <w:p>
      <w:pPr>
        <w:keepNext w:val="0"/>
        <w:keepLines w:val="0"/>
        <w:pageBreakBefore w:val="0"/>
        <w:widowControl/>
        <w:kinsoku/>
        <w:wordWrap/>
        <w:overflowPunct/>
        <w:topLinePunct w:val="0"/>
        <w:autoSpaceDE/>
        <w:autoSpaceDN/>
        <w:bidi w:val="0"/>
        <w:adjustRightInd w:val="0"/>
        <w:snapToGrid w:val="0"/>
        <w:spacing w:before="0" w:after="0" w:line="360" w:lineRule="auto"/>
        <w:ind w:left="0" w:leftChars="0" w:right="0" w:firstLine="560" w:firstLineChars="200"/>
        <w:jc w:val="both"/>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2、估价报告中的分析、意见和结论是注册房地产估价师独立、客观、公正的专业分析、意见和结论，但受到估价报告中已说明的估价假设和限制条件的限制。</w:t>
      </w:r>
    </w:p>
    <w:p>
      <w:pPr>
        <w:keepNext w:val="0"/>
        <w:keepLines w:val="0"/>
        <w:pageBreakBefore w:val="0"/>
        <w:widowControl/>
        <w:kinsoku/>
        <w:wordWrap/>
        <w:overflowPunct/>
        <w:topLinePunct w:val="0"/>
        <w:autoSpaceDE/>
        <w:autoSpaceDN/>
        <w:bidi w:val="0"/>
        <w:adjustRightInd w:val="0"/>
        <w:snapToGrid w:val="0"/>
        <w:spacing w:before="0" w:after="0" w:line="360" w:lineRule="auto"/>
        <w:ind w:left="0" w:leftChars="0" w:right="0" w:firstLine="560" w:firstLineChars="200"/>
        <w:jc w:val="both"/>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3、注册房地产估价师与估价报告中的估价对象没有现实或潜在的利益，与估价委托人及估价利害关系人没有利害关系，也对估价对象、估价委托人及估价利害关系人没有偏见。</w:t>
      </w:r>
    </w:p>
    <w:p>
      <w:pPr>
        <w:keepNext w:val="0"/>
        <w:keepLines w:val="0"/>
        <w:pageBreakBefore w:val="0"/>
        <w:widowControl/>
        <w:kinsoku/>
        <w:wordWrap/>
        <w:overflowPunct/>
        <w:topLinePunct w:val="0"/>
        <w:autoSpaceDE/>
        <w:autoSpaceDN/>
        <w:bidi w:val="0"/>
        <w:adjustRightInd w:val="0"/>
        <w:snapToGrid w:val="0"/>
        <w:spacing w:before="0" w:after="0" w:line="360" w:lineRule="auto"/>
        <w:ind w:left="0" w:leftChars="0" w:right="0" w:firstLine="560" w:firstLineChars="200"/>
        <w:jc w:val="both"/>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4、注册房地产估价师是按照中华人民共和国国家标准《房地产估价规范》(GB/T50291－2015)</w:t>
      </w:r>
      <w:r>
        <w:rPr>
          <w:rFonts w:hint="eastAsia" w:ascii="仿宋_GB2312" w:hAnsi="宋体" w:eastAsia="仿宋_GB2312"/>
          <w:sz w:val="28"/>
          <w:szCs w:val="28"/>
          <w:highlight w:val="none"/>
          <w:lang w:val="en-US" w:eastAsia="zh-CN"/>
        </w:rPr>
        <w:t>和</w:t>
      </w:r>
      <w:r>
        <w:rPr>
          <w:rFonts w:hint="eastAsia" w:ascii="仿宋_GB2312" w:hAnsi="宋体" w:eastAsia="仿宋_GB2312"/>
          <w:sz w:val="28"/>
          <w:szCs w:val="28"/>
          <w:highlight w:val="none"/>
        </w:rPr>
        <w:t>《房地产估价基本术语标准》(GB/T50899－2013)的规定进行估价工作</w:t>
      </w:r>
      <w:r>
        <w:rPr>
          <w:rFonts w:hint="eastAsia" w:ascii="仿宋_GB2312" w:hAnsi="宋体" w:eastAsia="仿宋_GB2312"/>
          <w:color w:val="000000"/>
          <w:sz w:val="28"/>
          <w:szCs w:val="28"/>
        </w:rPr>
        <w:t>，形成意见和结论</w:t>
      </w:r>
      <w:r>
        <w:rPr>
          <w:rFonts w:hint="eastAsia" w:ascii="仿宋_GB2312" w:hAnsi="宋体" w:eastAsia="仿宋_GB2312"/>
          <w:sz w:val="28"/>
          <w:szCs w:val="28"/>
          <w:highlight w:val="none"/>
        </w:rPr>
        <w:t>，撰写估价报告。</w:t>
      </w:r>
    </w:p>
    <w:p>
      <w:pPr>
        <w:keepNext w:val="0"/>
        <w:keepLines w:val="0"/>
        <w:pageBreakBefore w:val="0"/>
        <w:widowControl/>
        <w:kinsoku/>
        <w:wordWrap/>
        <w:overflowPunct/>
        <w:topLinePunct w:val="0"/>
        <w:autoSpaceDE/>
        <w:autoSpaceDN/>
        <w:bidi w:val="0"/>
        <w:adjustRightInd w:val="0"/>
        <w:snapToGrid w:val="0"/>
        <w:spacing w:before="0" w:after="0" w:line="360" w:lineRule="auto"/>
        <w:ind w:left="0" w:leftChars="0" w:right="0" w:firstLine="560" w:firstLineChars="200"/>
        <w:jc w:val="both"/>
        <w:textAlignment w:val="auto"/>
        <w:rPr>
          <w:rFonts w:ascii="仿宋_GB2312" w:hAnsi="宋体" w:eastAsia="仿宋_GB2312"/>
          <w:sz w:val="28"/>
          <w:szCs w:val="28"/>
          <w:highlight w:val="none"/>
        </w:rPr>
      </w:pPr>
      <w:r>
        <w:rPr>
          <w:rFonts w:hint="eastAsia" w:ascii="仿宋_GB2312" w:hAnsi="宋体" w:eastAsia="仿宋_GB2312"/>
          <w:sz w:val="28"/>
          <w:szCs w:val="28"/>
          <w:highlight w:val="none"/>
        </w:rPr>
        <w:t>5、</w:t>
      </w:r>
      <w:r>
        <w:rPr>
          <w:rFonts w:hint="eastAsia" w:ascii="仿宋_GB2312" w:hAnsi="宋体" w:eastAsia="仿宋_GB2312"/>
          <w:color w:val="000000"/>
          <w:sz w:val="28"/>
          <w:szCs w:val="28"/>
        </w:rPr>
        <w:t>房地产估价师已于</w:t>
      </w:r>
      <w:r>
        <w:rPr>
          <w:rFonts w:hint="eastAsia" w:ascii="仿宋_GB2312" w:hAnsi="宋体" w:eastAsia="仿宋_GB2312"/>
          <w:color w:val="000000"/>
          <w:sz w:val="28"/>
          <w:szCs w:val="28"/>
          <w:lang w:eastAsia="zh-CN"/>
        </w:rPr>
        <w:t>2022年4月19日</w:t>
      </w:r>
      <w:r>
        <w:rPr>
          <w:rFonts w:hint="eastAsia" w:ascii="仿宋_GB2312" w:hAnsi="宋体" w:eastAsia="仿宋_GB2312"/>
          <w:color w:val="000000"/>
          <w:sz w:val="28"/>
          <w:szCs w:val="28"/>
        </w:rPr>
        <w:t>对本报告中的估价对象进行了实地查勘并进行记录，但仅限于估价对象的外观与目前维护管理状况，尤其因提供资料有限，我们不承担对估价对象建筑结构质量、建筑面积数量准确性和相应权益的责任，也不承担其他被掩盖、未暴露及难于接触到的部分进行检视的责任</w:t>
      </w:r>
      <w:r>
        <w:rPr>
          <w:rFonts w:hint="eastAsia" w:ascii="仿宋_GB2312" w:hAnsi="宋体" w:eastAsia="仿宋_GB2312"/>
          <w:sz w:val="28"/>
          <w:szCs w:val="28"/>
          <w:highlight w:val="none"/>
        </w:rPr>
        <w:t>。</w:t>
      </w:r>
    </w:p>
    <w:p>
      <w:pPr>
        <w:keepNext w:val="0"/>
        <w:keepLines w:val="0"/>
        <w:pageBreakBefore w:val="0"/>
        <w:kinsoku/>
        <w:wordWrap/>
        <w:overflowPunct/>
        <w:topLinePunct w:val="0"/>
        <w:autoSpaceDE/>
        <w:autoSpaceDN/>
        <w:bidi w:val="0"/>
        <w:snapToGrid w:val="0"/>
        <w:spacing w:before="0" w:after="0" w:line="360" w:lineRule="auto"/>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6、随着时间、市场行情及相关条件的变化，该估价结果需做相应的调整。</w:t>
      </w:r>
    </w:p>
    <w:p>
      <w:pPr>
        <w:keepNext w:val="0"/>
        <w:keepLines w:val="0"/>
        <w:pageBreakBefore w:val="0"/>
        <w:widowControl/>
        <w:kinsoku/>
        <w:wordWrap/>
        <w:overflowPunct/>
        <w:topLinePunct w:val="0"/>
        <w:autoSpaceDE/>
        <w:autoSpaceDN/>
        <w:bidi w:val="0"/>
        <w:adjustRightInd w:val="0"/>
        <w:snapToGrid w:val="0"/>
        <w:spacing w:before="0" w:after="0" w:line="360" w:lineRule="auto"/>
        <w:ind w:left="0" w:leftChars="0" w:right="0" w:firstLine="560" w:firstLineChars="200"/>
        <w:jc w:val="both"/>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lang w:val="en-US" w:eastAsia="zh-CN"/>
        </w:rPr>
        <w:t>7</w:t>
      </w:r>
      <w:r>
        <w:rPr>
          <w:rFonts w:ascii="仿宋_GB2312" w:hAnsi="宋体" w:eastAsia="仿宋_GB2312"/>
          <w:sz w:val="28"/>
          <w:szCs w:val="28"/>
          <w:highlight w:val="none"/>
        </w:rPr>
        <w:t>、没有其他专业人员对本估价报告提供重要专业帮助。</w:t>
      </w:r>
    </w:p>
    <w:p>
      <w:pPr>
        <w:pStyle w:val="23"/>
        <w:keepNext w:val="0"/>
        <w:keepLines w:val="0"/>
        <w:pageBreakBefore w:val="0"/>
        <w:kinsoku/>
        <w:wordWrap/>
        <w:overflowPunct/>
        <w:topLinePunct w:val="0"/>
        <w:autoSpaceDE/>
        <w:autoSpaceDN/>
        <w:bidi w:val="0"/>
        <w:spacing w:before="0" w:after="0" w:line="360" w:lineRule="auto"/>
        <w:ind w:left="0" w:leftChars="0" w:right="0"/>
        <w:textAlignment w:val="auto"/>
        <w:outlineLvl w:val="9"/>
        <w:rPr>
          <w:rFonts w:hint="eastAsia" w:ascii="仿宋_GB2312"/>
          <w:color w:val="000000"/>
          <w:sz w:val="28"/>
          <w:szCs w:val="28"/>
          <w:highlight w:val="none"/>
          <w:lang w:val="en-US" w:eastAsia="zh-CN"/>
        </w:rPr>
        <w:sectPr>
          <w:footerReference r:id="rId8" w:type="default"/>
          <w:pgSz w:w="11906" w:h="16838"/>
          <w:pgMar w:top="1701" w:right="1440" w:bottom="873" w:left="1440" w:header="680" w:footer="992" w:gutter="0"/>
          <w:pgNumType w:fmt="decimal" w:start="1"/>
          <w:cols w:space="720" w:num="1"/>
          <w:docGrid w:type="lines" w:linePitch="312" w:charSpace="0"/>
        </w:sectPr>
      </w:pPr>
    </w:p>
    <w:p>
      <w:pPr>
        <w:pStyle w:val="23"/>
        <w:keepNext w:val="0"/>
        <w:keepLines w:val="0"/>
        <w:pageBreakBefore w:val="0"/>
        <w:widowControl w:val="0"/>
        <w:numPr>
          <w:ilvl w:val="0"/>
          <w:numId w:val="2"/>
        </w:numPr>
        <w:kinsoku/>
        <w:wordWrap/>
        <w:overflowPunct/>
        <w:topLinePunct w:val="0"/>
        <w:autoSpaceDE/>
        <w:autoSpaceDN/>
        <w:bidi w:val="0"/>
        <w:adjustRightInd/>
        <w:snapToGrid/>
        <w:spacing w:before="0" w:after="0" w:line="360" w:lineRule="auto"/>
        <w:ind w:left="0" w:leftChars="0" w:right="0" w:firstLine="0" w:firstLineChars="0"/>
        <w:textAlignment w:val="auto"/>
        <w:rPr>
          <w:rFonts w:hint="eastAsia" w:ascii="楷体_GB2312" w:hAnsi="楷体_GB2312" w:eastAsia="楷体_GB2312" w:cs="楷体_GB2312"/>
          <w:b/>
          <w:bCs w:val="0"/>
          <w:color w:val="000000"/>
          <w:kern w:val="2"/>
          <w:sz w:val="36"/>
          <w:szCs w:val="36"/>
          <w:lang w:val="zh-CN" w:eastAsia="zh-CN" w:bidi="ar-SA"/>
        </w:rPr>
      </w:pPr>
      <w:bookmarkStart w:id="3" w:name="_Toc15559"/>
      <w:bookmarkStart w:id="4" w:name="_Toc22183"/>
      <w:r>
        <w:rPr>
          <w:rFonts w:hint="eastAsia" w:ascii="楷体_GB2312" w:hAnsi="楷体_GB2312" w:eastAsia="楷体_GB2312" w:cs="楷体_GB2312"/>
          <w:b/>
          <w:bCs w:val="0"/>
          <w:color w:val="000000"/>
          <w:kern w:val="2"/>
          <w:sz w:val="36"/>
          <w:szCs w:val="36"/>
          <w:lang w:val="zh-CN" w:eastAsia="zh-CN" w:bidi="ar-SA"/>
        </w:rPr>
        <w:t>估价的假设和限制条件</w:t>
      </w:r>
      <w:bookmarkEnd w:id="3"/>
      <w:bookmarkEnd w:id="4"/>
    </w:p>
    <w:p>
      <w:pPr>
        <w:keepNext w:val="0"/>
        <w:keepLines w:val="0"/>
        <w:pageBreakBefore w:val="0"/>
        <w:widowControl/>
        <w:kinsoku/>
        <w:wordWrap/>
        <w:overflowPunct/>
        <w:topLinePunct w:val="0"/>
        <w:autoSpaceDE/>
        <w:autoSpaceDN/>
        <w:bidi w:val="0"/>
        <w:adjustRightInd/>
        <w:snapToGrid w:val="0"/>
        <w:spacing w:before="0" w:after="0" w:line="360" w:lineRule="auto"/>
        <w:ind w:left="0" w:leftChars="0" w:right="0" w:firstLine="562" w:firstLineChars="200"/>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1</w:t>
      </w:r>
      <w:r>
        <w:rPr>
          <w:rFonts w:hint="eastAsia" w:ascii="仿宋_GB2312" w:hAnsi="仿宋_GB2312" w:eastAsia="仿宋_GB2312" w:cs="仿宋_GB2312"/>
          <w:b/>
          <w:bCs/>
          <w:sz w:val="28"/>
          <w:szCs w:val="28"/>
          <w:highlight w:val="none"/>
          <w:lang w:eastAsia="zh-CN"/>
        </w:rPr>
        <w:t>、</w:t>
      </w:r>
      <w:r>
        <w:rPr>
          <w:rFonts w:hint="eastAsia" w:ascii="仿宋_GB2312" w:hAnsi="仿宋_GB2312" w:eastAsia="仿宋_GB2312" w:cs="仿宋_GB2312"/>
          <w:b/>
          <w:bCs/>
          <w:sz w:val="28"/>
          <w:szCs w:val="28"/>
          <w:highlight w:val="none"/>
        </w:rPr>
        <w:t>一般假设</w:t>
      </w:r>
    </w:p>
    <w:p>
      <w:pPr>
        <w:keepNext w:val="0"/>
        <w:keepLines w:val="0"/>
        <w:pageBreakBefore w:val="0"/>
        <w:widowControl/>
        <w:kinsoku/>
        <w:wordWrap/>
        <w:overflowPunct/>
        <w:topLinePunct w:val="0"/>
        <w:autoSpaceDE/>
        <w:autoSpaceDN/>
        <w:bidi w:val="0"/>
        <w:adjustRightInd w:val="0"/>
        <w:snapToGrid w:val="0"/>
        <w:spacing w:before="0" w:after="0" w:line="360" w:lineRule="auto"/>
        <w:ind w:left="0" w:leftChars="0" w:right="0" w:firstLine="560" w:firstLineChars="200"/>
        <w:jc w:val="both"/>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（1）注册房地产估价师对估价委托人提供的估价对象权属、 面积等资料进行了检查，但未予以核实，在无理由怀疑其合法性、真实性、准确性和完整性的情况下，假定估价委托人提供的资料合法、真实、准确、完整，且估价对象可在公开市场上自由转让。若估价委托人提供的资料失实或有任何隐匿，本公司不承担任何责任。</w:t>
      </w:r>
    </w:p>
    <w:p>
      <w:pPr>
        <w:keepNext w:val="0"/>
        <w:keepLines w:val="0"/>
        <w:pageBreakBefore w:val="0"/>
        <w:widowControl/>
        <w:kinsoku/>
        <w:wordWrap/>
        <w:overflowPunct/>
        <w:topLinePunct w:val="0"/>
        <w:autoSpaceDE/>
        <w:autoSpaceDN/>
        <w:bidi w:val="0"/>
        <w:adjustRightInd w:val="0"/>
        <w:snapToGrid w:val="0"/>
        <w:spacing w:before="0" w:after="0" w:line="360" w:lineRule="auto"/>
        <w:ind w:left="0" w:leftChars="0" w:right="0" w:firstLine="560" w:firstLineChars="200"/>
        <w:jc w:val="both"/>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（2）注册房地产估价师对估价对象的查勘仅限于其外观和使用状况</w:t>
      </w:r>
      <w:r>
        <w:rPr>
          <w:rFonts w:hint="eastAsia" w:ascii="仿宋_GB2312" w:hAnsi="宋体" w:eastAsia="仿宋_GB2312"/>
          <w:sz w:val="28"/>
          <w:szCs w:val="28"/>
          <w:highlight w:val="none"/>
          <w:lang w:eastAsia="zh-CN"/>
        </w:rPr>
        <w:t>，</w:t>
      </w:r>
      <w:r>
        <w:rPr>
          <w:rFonts w:hint="eastAsia" w:ascii="仿宋_GB2312" w:hAnsi="宋体" w:eastAsia="仿宋_GB2312"/>
          <w:sz w:val="28"/>
          <w:szCs w:val="28"/>
          <w:highlight w:val="none"/>
        </w:rPr>
        <w:t>并未进行结构测量和设备测试以确认估价对象是否存在结构性损害或其他缺陷</w:t>
      </w:r>
      <w:r>
        <w:rPr>
          <w:rFonts w:hint="eastAsia" w:ascii="仿宋_GB2312" w:hAnsi="宋体" w:eastAsia="仿宋_GB2312"/>
          <w:sz w:val="28"/>
          <w:szCs w:val="28"/>
          <w:highlight w:val="none"/>
          <w:lang w:eastAsia="zh-CN"/>
        </w:rPr>
        <w:t>；</w:t>
      </w:r>
      <w:r>
        <w:rPr>
          <w:rFonts w:hint="eastAsia" w:ascii="仿宋_GB2312" w:hAnsi="宋体" w:eastAsia="仿宋_GB2312"/>
          <w:sz w:val="28"/>
          <w:szCs w:val="28"/>
          <w:highlight w:val="none"/>
        </w:rPr>
        <w:t>已对房屋安全、环境污染等影响估价对象价值的重大因素给予了关注，在无理由怀疑估价对象存在安全隐患且无相应的专业机构进行鉴定、检测的情况下，假定估价对象能正常安全使用。</w:t>
      </w:r>
    </w:p>
    <w:p>
      <w:pPr>
        <w:keepNext w:val="0"/>
        <w:keepLines w:val="0"/>
        <w:pageBreakBefore w:val="0"/>
        <w:widowControl/>
        <w:kinsoku/>
        <w:wordWrap/>
        <w:overflowPunct/>
        <w:topLinePunct w:val="0"/>
        <w:autoSpaceDE/>
        <w:autoSpaceDN/>
        <w:bidi w:val="0"/>
        <w:adjustRightInd w:val="0"/>
        <w:snapToGrid w:val="0"/>
        <w:spacing w:before="0" w:after="0" w:line="360" w:lineRule="auto"/>
        <w:ind w:left="0" w:leftChars="0" w:right="0" w:firstLine="560" w:firstLineChars="200"/>
        <w:jc w:val="both"/>
        <w:textAlignment w:val="auto"/>
        <w:rPr>
          <w:rFonts w:hint="eastAsia" w:ascii="仿宋_GB2312" w:hAnsi="宋体" w:eastAsia="仿宋_GB2312"/>
          <w:color w:val="000000" w:themeColor="text1"/>
          <w:sz w:val="28"/>
          <w:szCs w:val="28"/>
          <w:highlight w:val="none"/>
          <w14:textFill>
            <w14:solidFill>
              <w14:schemeClr w14:val="tx1"/>
            </w14:solidFill>
          </w14:textFill>
        </w:rPr>
      </w:pPr>
      <w:r>
        <w:rPr>
          <w:rFonts w:hint="eastAsia" w:ascii="仿宋_GB2312" w:hAnsi="宋体" w:eastAsia="仿宋_GB2312"/>
          <w:color w:val="000000" w:themeColor="text1"/>
          <w:sz w:val="28"/>
          <w:szCs w:val="28"/>
          <w:highlight w:val="none"/>
          <w14:textFill>
            <w14:solidFill>
              <w14:schemeClr w14:val="tx1"/>
            </w14:solidFill>
          </w14:textFill>
        </w:rPr>
        <w:t>（</w:t>
      </w:r>
      <w:r>
        <w:rPr>
          <w:rFonts w:hint="eastAsia" w:ascii="仿宋_GB2312" w:hAnsi="宋体" w:eastAsia="仿宋_GB2312"/>
          <w:color w:val="000000" w:themeColor="text1"/>
          <w:sz w:val="28"/>
          <w:szCs w:val="28"/>
          <w:highlight w:val="none"/>
          <w:lang w:val="en-US" w:eastAsia="zh-CN"/>
          <w14:textFill>
            <w14:solidFill>
              <w14:schemeClr w14:val="tx1"/>
            </w14:solidFill>
          </w14:textFill>
        </w:rPr>
        <w:t>3</w:t>
      </w:r>
      <w:r>
        <w:rPr>
          <w:rFonts w:hint="eastAsia" w:ascii="仿宋_GB2312" w:hAnsi="宋体" w:eastAsia="仿宋_GB2312"/>
          <w:color w:val="000000" w:themeColor="text1"/>
          <w:sz w:val="28"/>
          <w:szCs w:val="28"/>
          <w:highlight w:val="none"/>
          <w14:textFill>
            <w14:solidFill>
              <w14:schemeClr w14:val="tx1"/>
            </w14:solidFill>
          </w14:textFill>
        </w:rPr>
        <w:t>）估价对象的运作方式、程序符合国家和地方的有关法律法规。在价值时点的房地产市场为公开、平等、自愿的交易市场。</w:t>
      </w:r>
    </w:p>
    <w:p>
      <w:pPr>
        <w:keepNext w:val="0"/>
        <w:keepLines w:val="0"/>
        <w:pageBreakBefore w:val="0"/>
        <w:widowControl/>
        <w:kinsoku/>
        <w:wordWrap/>
        <w:overflowPunct/>
        <w:topLinePunct w:val="0"/>
        <w:autoSpaceDE/>
        <w:autoSpaceDN/>
        <w:bidi w:val="0"/>
        <w:adjustRightInd w:val="0"/>
        <w:snapToGrid w:val="0"/>
        <w:spacing w:before="0" w:after="0" w:line="360" w:lineRule="auto"/>
        <w:ind w:left="0" w:leftChars="0" w:right="0" w:firstLine="560" w:firstLineChars="200"/>
        <w:jc w:val="both"/>
        <w:textAlignment w:val="auto"/>
        <w:rPr>
          <w:rFonts w:hint="eastAsia" w:ascii="仿宋_GB2312" w:hAnsi="宋体" w:eastAsia="仿宋_GB2312"/>
          <w:color w:val="000000" w:themeColor="text1"/>
          <w:sz w:val="28"/>
          <w:szCs w:val="28"/>
          <w:highlight w:val="none"/>
          <w14:textFill>
            <w14:solidFill>
              <w14:schemeClr w14:val="tx1"/>
            </w14:solidFill>
          </w14:textFill>
        </w:rPr>
      </w:pPr>
      <w:r>
        <w:rPr>
          <w:rFonts w:hint="eastAsia" w:ascii="仿宋_GB2312" w:hAnsi="宋体" w:eastAsia="仿宋_GB2312"/>
          <w:color w:val="000000" w:themeColor="text1"/>
          <w:sz w:val="28"/>
          <w:szCs w:val="28"/>
          <w:highlight w:val="none"/>
          <w:lang w:val="en-US" w:eastAsia="zh-CN"/>
          <w14:textFill>
            <w14:solidFill>
              <w14:schemeClr w14:val="tx1"/>
            </w14:solidFill>
          </w14:textFill>
        </w:rPr>
        <w:t>（4）</w:t>
      </w:r>
      <w:r>
        <w:rPr>
          <w:rFonts w:hint="eastAsia" w:ascii="仿宋_GB2312" w:hAnsi="宋体" w:eastAsia="仿宋_GB2312"/>
          <w:color w:val="000000" w:themeColor="text1"/>
          <w:sz w:val="28"/>
          <w:szCs w:val="28"/>
          <w:highlight w:val="none"/>
          <w14:textFill>
            <w14:solidFill>
              <w14:schemeClr w14:val="tx1"/>
            </w14:solidFill>
          </w14:textFill>
        </w:rPr>
        <w:t>人民法院未明确</w:t>
      </w:r>
      <w:r>
        <w:rPr>
          <w:rFonts w:hint="eastAsia" w:ascii="仿宋_GB2312" w:hAnsi="宋体" w:eastAsia="仿宋_GB2312"/>
          <w:color w:val="000000" w:themeColor="text1"/>
          <w:sz w:val="28"/>
          <w:szCs w:val="28"/>
          <w:highlight w:val="none"/>
          <w:lang w:val="en-US" w:eastAsia="zh-CN"/>
          <w14:textFill>
            <w14:solidFill>
              <w14:schemeClr w14:val="tx1"/>
            </w14:solidFill>
          </w14:textFill>
        </w:rPr>
        <w:t>估价对象是否</w:t>
      </w:r>
      <w:r>
        <w:rPr>
          <w:rFonts w:hint="eastAsia" w:ascii="仿宋_GB2312" w:hAnsi="宋体" w:eastAsia="仿宋_GB2312"/>
          <w:color w:val="000000" w:themeColor="text1"/>
          <w:sz w:val="28"/>
          <w:szCs w:val="28"/>
          <w:highlight w:val="none"/>
          <w14:textFill>
            <w14:solidFill>
              <w14:schemeClr w14:val="tx1"/>
            </w14:solidFill>
          </w14:textFill>
        </w:rPr>
        <w:t>存在租赁权、用益物权及占有使用情况，</w:t>
      </w:r>
      <w:r>
        <w:rPr>
          <w:rFonts w:hint="eastAsia" w:ascii="仿宋_GB2312" w:hAnsi="宋体" w:eastAsia="仿宋_GB2312"/>
          <w:color w:val="000000" w:themeColor="text1"/>
          <w:sz w:val="28"/>
          <w:szCs w:val="28"/>
          <w:highlight w:val="none"/>
          <w:lang w:val="en-US" w:eastAsia="zh-CN"/>
          <w14:textFill>
            <w14:solidFill>
              <w14:schemeClr w14:val="tx1"/>
            </w14:solidFill>
          </w14:textFill>
        </w:rPr>
        <w:t>经估价师现场查勘，估价对象现为闲置状态</w:t>
      </w:r>
      <w:r>
        <w:rPr>
          <w:rFonts w:hint="eastAsia" w:ascii="仿宋_GB2312" w:hAnsi="宋体" w:eastAsia="仿宋_GB2312"/>
          <w:color w:val="000000" w:themeColor="text1"/>
          <w:sz w:val="28"/>
          <w:szCs w:val="28"/>
          <w:highlight w:val="none"/>
          <w14:textFill>
            <w14:solidFill>
              <w14:schemeClr w14:val="tx1"/>
            </w14:solidFill>
          </w14:textFill>
        </w:rPr>
        <w:t>，</w:t>
      </w:r>
      <w:r>
        <w:rPr>
          <w:rFonts w:hint="eastAsia" w:ascii="仿宋_GB2312" w:hAnsi="宋体" w:eastAsia="仿宋_GB2312"/>
          <w:color w:val="000000" w:themeColor="text1"/>
          <w:sz w:val="28"/>
          <w:szCs w:val="28"/>
          <w:highlight w:val="none"/>
          <w:lang w:val="en-US" w:eastAsia="zh-CN"/>
          <w14:textFill>
            <w14:solidFill>
              <w14:schemeClr w14:val="tx1"/>
            </w14:solidFill>
          </w14:textFill>
        </w:rPr>
        <w:t>根据本次评估目的</w:t>
      </w:r>
      <w:r>
        <w:rPr>
          <w:rFonts w:hint="eastAsia" w:ascii="仿宋_GB2312" w:hAnsi="宋体" w:eastAsia="仿宋_GB2312"/>
          <w:color w:val="000000" w:themeColor="text1"/>
          <w:sz w:val="28"/>
          <w:szCs w:val="28"/>
          <w:highlight w:val="none"/>
          <w14:textFill>
            <w14:solidFill>
              <w14:schemeClr w14:val="tx1"/>
            </w14:solidFill>
          </w14:textFill>
        </w:rPr>
        <w:t>是为人民法院确定财产处置参考价提供参考依据，故评估不考虑租赁权、用益物权及占有使用情况。</w:t>
      </w:r>
    </w:p>
    <w:p>
      <w:pPr>
        <w:keepNext w:val="0"/>
        <w:keepLines w:val="0"/>
        <w:pageBreakBefore w:val="0"/>
        <w:widowControl/>
        <w:kinsoku/>
        <w:wordWrap/>
        <w:overflowPunct/>
        <w:topLinePunct w:val="0"/>
        <w:autoSpaceDE/>
        <w:autoSpaceDN/>
        <w:bidi w:val="0"/>
        <w:adjustRightInd w:val="0"/>
        <w:snapToGrid w:val="0"/>
        <w:spacing w:before="0" w:after="0" w:line="360" w:lineRule="auto"/>
        <w:ind w:left="0" w:leftChars="0" w:right="0" w:firstLine="560" w:firstLineChars="200"/>
        <w:jc w:val="both"/>
        <w:textAlignment w:val="auto"/>
        <w:rPr>
          <w:rFonts w:hint="eastAsia" w:ascii="仿宋_GB2312" w:hAnsi="宋体" w:eastAsia="仿宋_GB2312"/>
          <w:color w:val="000000" w:themeColor="text1"/>
          <w:sz w:val="28"/>
          <w:szCs w:val="28"/>
          <w:highlight w:val="none"/>
          <w:lang w:val="en-US" w:eastAsia="zh-CN"/>
          <w14:textFill>
            <w14:solidFill>
              <w14:schemeClr w14:val="tx1"/>
            </w14:solidFill>
          </w14:textFill>
        </w:rPr>
      </w:pPr>
      <w:r>
        <w:rPr>
          <w:rFonts w:hint="eastAsia" w:ascii="仿宋_GB2312" w:hAnsi="宋体" w:eastAsia="仿宋_GB2312"/>
          <w:color w:val="000000" w:themeColor="text1"/>
          <w:sz w:val="28"/>
          <w:szCs w:val="28"/>
          <w:highlight w:val="none"/>
          <w14:textFill>
            <w14:solidFill>
              <w14:schemeClr w14:val="tx1"/>
            </w14:solidFill>
          </w14:textFill>
        </w:rPr>
        <w:t>（</w:t>
      </w:r>
      <w:r>
        <w:rPr>
          <w:rFonts w:hint="eastAsia" w:ascii="仿宋_GB2312" w:hAnsi="宋体" w:eastAsia="仿宋_GB2312"/>
          <w:color w:val="000000" w:themeColor="text1"/>
          <w:sz w:val="28"/>
          <w:szCs w:val="28"/>
          <w:highlight w:val="none"/>
          <w:lang w:val="en-US" w:eastAsia="zh-CN"/>
          <w14:textFill>
            <w14:solidFill>
              <w14:schemeClr w14:val="tx1"/>
            </w14:solidFill>
          </w14:textFill>
        </w:rPr>
        <w:t>5</w:t>
      </w:r>
      <w:r>
        <w:rPr>
          <w:rFonts w:hint="eastAsia" w:ascii="仿宋_GB2312" w:hAnsi="宋体" w:eastAsia="仿宋_GB2312"/>
          <w:color w:val="000000" w:themeColor="text1"/>
          <w:sz w:val="28"/>
          <w:szCs w:val="28"/>
          <w:highlight w:val="none"/>
          <w14:textFill>
            <w14:solidFill>
              <w14:schemeClr w14:val="tx1"/>
            </w14:solidFill>
          </w14:textFill>
        </w:rPr>
        <w:t>）</w:t>
      </w:r>
      <w:r>
        <w:rPr>
          <w:rFonts w:hint="eastAsia" w:ascii="仿宋_GB2312" w:hAnsi="宋体" w:eastAsia="仿宋_GB2312"/>
          <w:color w:val="000000" w:themeColor="text1"/>
          <w:sz w:val="28"/>
          <w:szCs w:val="28"/>
          <w:highlight w:val="none"/>
          <w:lang w:val="en-US" w:eastAsia="zh-CN"/>
          <w14:textFill>
            <w14:solidFill>
              <w14:schemeClr w14:val="tx1"/>
            </w14:solidFill>
          </w14:textFill>
        </w:rPr>
        <w:t>人民法院未明确估价对象是否存在欠缴税金及相关费用的，本次评估不考虑欠缴税金及相关费用。</w:t>
      </w:r>
    </w:p>
    <w:p>
      <w:pPr>
        <w:keepNext w:val="0"/>
        <w:keepLines w:val="0"/>
        <w:pageBreakBefore w:val="0"/>
        <w:widowControl/>
        <w:kinsoku/>
        <w:wordWrap/>
        <w:overflowPunct/>
        <w:topLinePunct w:val="0"/>
        <w:autoSpaceDE/>
        <w:autoSpaceDN/>
        <w:bidi w:val="0"/>
        <w:adjustRightInd w:val="0"/>
        <w:snapToGrid w:val="0"/>
        <w:spacing w:before="0" w:after="0" w:line="360" w:lineRule="auto"/>
        <w:ind w:left="0" w:leftChars="0" w:right="0" w:firstLine="560" w:firstLineChars="200"/>
        <w:jc w:val="both"/>
        <w:textAlignment w:val="auto"/>
        <w:rPr>
          <w:rFonts w:hint="default" w:ascii="仿宋_GB2312" w:hAnsi="宋体" w:eastAsia="仿宋_GB2312"/>
          <w:color w:val="000000" w:themeColor="text1"/>
          <w:sz w:val="28"/>
          <w:szCs w:val="28"/>
          <w:highlight w:val="none"/>
          <w:lang w:val="en-US"/>
          <w14:textFill>
            <w14:solidFill>
              <w14:schemeClr w14:val="tx1"/>
            </w14:solidFill>
          </w14:textFill>
        </w:rPr>
      </w:pPr>
      <w:r>
        <w:rPr>
          <w:rFonts w:hint="eastAsia" w:ascii="仿宋_GB2312" w:hAnsi="宋体" w:eastAsia="仿宋_GB2312"/>
          <w:color w:val="000000" w:themeColor="text1"/>
          <w:sz w:val="28"/>
          <w:szCs w:val="28"/>
          <w:highlight w:val="none"/>
          <w14:textFill>
            <w14:solidFill>
              <w14:schemeClr w14:val="tx1"/>
            </w14:solidFill>
          </w14:textFill>
        </w:rPr>
        <w:t>（</w:t>
      </w:r>
      <w:r>
        <w:rPr>
          <w:rFonts w:hint="eastAsia" w:ascii="仿宋_GB2312" w:hAnsi="宋体" w:eastAsia="仿宋_GB2312"/>
          <w:color w:val="000000" w:themeColor="text1"/>
          <w:sz w:val="28"/>
          <w:szCs w:val="28"/>
          <w:highlight w:val="none"/>
          <w:lang w:val="en-US" w:eastAsia="zh-CN"/>
          <w14:textFill>
            <w14:solidFill>
              <w14:schemeClr w14:val="tx1"/>
            </w14:solidFill>
          </w14:textFill>
        </w:rPr>
        <w:t>6</w:t>
      </w:r>
      <w:r>
        <w:rPr>
          <w:rFonts w:hint="eastAsia" w:ascii="仿宋_GB2312" w:hAnsi="宋体" w:eastAsia="仿宋_GB2312"/>
          <w:color w:val="000000" w:themeColor="text1"/>
          <w:sz w:val="28"/>
          <w:szCs w:val="28"/>
          <w:highlight w:val="none"/>
          <w14:textFill>
            <w14:solidFill>
              <w14:schemeClr w14:val="tx1"/>
            </w14:solidFill>
          </w14:textFill>
        </w:rPr>
        <w:t>）人民法院未书面明确评估对象交易税费负担方式，</w:t>
      </w:r>
      <w:r>
        <w:rPr>
          <w:rFonts w:hint="eastAsia" w:ascii="仿宋_GB2312" w:hAnsi="宋体" w:eastAsia="仿宋_GB2312"/>
          <w:color w:val="000000" w:themeColor="text1"/>
          <w:sz w:val="28"/>
          <w:szCs w:val="28"/>
          <w:highlight w:val="none"/>
          <w:lang w:val="en-US" w:eastAsia="zh-CN"/>
          <w14:textFill>
            <w14:solidFill>
              <w14:schemeClr w14:val="tx1"/>
            </w14:solidFill>
          </w14:textFill>
        </w:rPr>
        <w:t>本次评估按照法律法规规定，假定转让人和买受人各自负担</w:t>
      </w:r>
      <w:r>
        <w:rPr>
          <w:rFonts w:hint="eastAsia" w:ascii="仿宋_GB2312" w:hAnsi="宋体" w:eastAsia="仿宋_GB2312"/>
          <w:color w:val="000000" w:themeColor="text1"/>
          <w:sz w:val="28"/>
          <w:szCs w:val="28"/>
          <w:highlight w:val="none"/>
          <w14:textFill>
            <w14:solidFill>
              <w14:schemeClr w14:val="tx1"/>
            </w14:solidFill>
          </w14:textFill>
        </w:rPr>
        <w:t>交易税费。</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leftChars="0" w:right="0" w:firstLine="562" w:firstLineChars="200"/>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2</w:t>
      </w:r>
      <w:r>
        <w:rPr>
          <w:rFonts w:hint="eastAsia" w:ascii="仿宋_GB2312" w:hAnsi="仿宋_GB2312" w:eastAsia="仿宋_GB2312" w:cs="仿宋_GB2312"/>
          <w:b/>
          <w:bCs/>
          <w:sz w:val="28"/>
          <w:szCs w:val="28"/>
          <w:highlight w:val="none"/>
          <w:lang w:eastAsia="zh-CN"/>
        </w:rPr>
        <w:t>、</w:t>
      </w:r>
      <w:r>
        <w:rPr>
          <w:rFonts w:hint="eastAsia" w:ascii="仿宋_GB2312" w:hAnsi="仿宋_GB2312" w:eastAsia="仿宋_GB2312" w:cs="仿宋_GB2312"/>
          <w:b/>
          <w:bCs/>
          <w:sz w:val="28"/>
          <w:szCs w:val="28"/>
          <w:highlight w:val="none"/>
        </w:rPr>
        <w:t>未定事项假设</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0" w:leftChars="0" w:right="0" w:firstLine="560" w:firstLineChars="200"/>
        <w:jc w:val="both"/>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lang w:eastAsia="zh-CN"/>
        </w:rPr>
        <w:t>（</w:t>
      </w:r>
      <w:r>
        <w:rPr>
          <w:rFonts w:hint="eastAsia" w:ascii="仿宋_GB2312" w:hAnsi="宋体" w:eastAsia="仿宋_GB2312"/>
          <w:sz w:val="28"/>
          <w:szCs w:val="28"/>
          <w:highlight w:val="none"/>
          <w:lang w:val="en-US" w:eastAsia="zh-CN"/>
        </w:rPr>
        <w:t>1</w:t>
      </w:r>
      <w:r>
        <w:rPr>
          <w:rFonts w:hint="eastAsia" w:ascii="仿宋_GB2312" w:hAnsi="宋体" w:eastAsia="仿宋_GB2312"/>
          <w:sz w:val="28"/>
          <w:szCs w:val="28"/>
          <w:highlight w:val="none"/>
          <w:lang w:eastAsia="zh-CN"/>
        </w:rPr>
        <w:t>）</w:t>
      </w:r>
      <w:r>
        <w:rPr>
          <w:rFonts w:hint="eastAsia" w:ascii="仿宋_GB2312" w:hAnsi="宋体" w:eastAsia="仿宋_GB2312"/>
          <w:sz w:val="28"/>
          <w:szCs w:val="28"/>
          <w:highlight w:val="none"/>
        </w:rPr>
        <w:t>本次估价对象现场查勘时，</w:t>
      </w:r>
      <w:r>
        <w:rPr>
          <w:rFonts w:hint="eastAsia" w:ascii="仿宋_GB2312" w:hAnsi="宋体" w:eastAsia="仿宋_GB2312"/>
          <w:sz w:val="28"/>
          <w:szCs w:val="28"/>
          <w:highlight w:val="none"/>
          <w:lang w:val="en-US" w:eastAsia="zh-CN"/>
        </w:rPr>
        <w:t>估价人员</w:t>
      </w:r>
      <w:r>
        <w:rPr>
          <w:rFonts w:hint="eastAsia" w:ascii="仿宋_GB2312" w:hAnsi="宋体" w:eastAsia="仿宋_GB2312"/>
          <w:sz w:val="28"/>
          <w:szCs w:val="28"/>
          <w:highlight w:val="none"/>
        </w:rPr>
        <w:t>未对其做建筑物基础、房屋结构上的测量和实验，本次估价假设其无建筑物基础、结构等方面重大质量问题。</w:t>
      </w:r>
    </w:p>
    <w:p>
      <w:pPr>
        <w:keepNext w:val="0"/>
        <w:keepLines w:val="0"/>
        <w:pageBreakBefore w:val="0"/>
        <w:widowControl/>
        <w:kinsoku/>
        <w:wordWrap/>
        <w:overflowPunct/>
        <w:topLinePunct w:val="0"/>
        <w:autoSpaceDE/>
        <w:autoSpaceDN/>
        <w:bidi w:val="0"/>
        <w:adjustRightInd/>
        <w:snapToGrid w:val="0"/>
        <w:spacing w:before="0" w:after="0" w:line="360" w:lineRule="auto"/>
        <w:ind w:left="0" w:leftChars="0" w:right="0" w:firstLine="562" w:firstLineChars="200"/>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3</w:t>
      </w:r>
      <w:r>
        <w:rPr>
          <w:rFonts w:hint="eastAsia" w:ascii="仿宋_GB2312" w:hAnsi="仿宋_GB2312" w:eastAsia="仿宋_GB2312" w:cs="仿宋_GB2312"/>
          <w:b/>
          <w:bCs/>
          <w:sz w:val="28"/>
          <w:szCs w:val="28"/>
          <w:highlight w:val="none"/>
          <w:lang w:eastAsia="zh-CN"/>
        </w:rPr>
        <w:t>、</w:t>
      </w:r>
      <w:r>
        <w:rPr>
          <w:rFonts w:hint="eastAsia" w:ascii="仿宋_GB2312" w:hAnsi="仿宋_GB2312" w:eastAsia="仿宋_GB2312" w:cs="仿宋_GB2312"/>
          <w:b/>
          <w:bCs/>
          <w:sz w:val="28"/>
          <w:szCs w:val="28"/>
          <w:highlight w:val="none"/>
        </w:rPr>
        <w:t>背离事实假设</w:t>
      </w:r>
    </w:p>
    <w:p>
      <w:pPr>
        <w:keepNext w:val="0"/>
        <w:keepLines w:val="0"/>
        <w:pageBreakBefore w:val="0"/>
        <w:widowControl/>
        <w:kinsoku/>
        <w:wordWrap/>
        <w:overflowPunct/>
        <w:topLinePunct w:val="0"/>
        <w:autoSpaceDE/>
        <w:autoSpaceDN/>
        <w:bidi w:val="0"/>
        <w:adjustRightInd w:val="0"/>
        <w:snapToGrid w:val="0"/>
        <w:spacing w:before="0" w:after="0" w:line="360" w:lineRule="auto"/>
        <w:ind w:left="0" w:leftChars="0" w:right="0" w:firstLine="560" w:firstLineChars="200"/>
        <w:jc w:val="both"/>
        <w:textAlignment w:val="auto"/>
        <w:rPr>
          <w:rFonts w:hint="eastAsia" w:ascii="仿宋_GB2312" w:hAnsi="宋体" w:eastAsia="仿宋_GB2312"/>
          <w:kern w:val="0"/>
          <w:sz w:val="28"/>
          <w:szCs w:val="28"/>
        </w:rPr>
      </w:pPr>
      <w:r>
        <w:rPr>
          <w:rFonts w:hint="eastAsia" w:ascii="仿宋_GB2312" w:hAnsi="宋体" w:eastAsia="仿宋_GB2312"/>
          <w:kern w:val="0"/>
          <w:sz w:val="28"/>
          <w:szCs w:val="28"/>
        </w:rPr>
        <w:t>（1）估价结果是为人民法院确定财产处置参考价提供参考依据，估价时没有考虑国家宏观经济政策发生变化、市场供应发生变化、市场结构转变、遇有自然力和其他不可抗力等因素对房地产价值的影响，也没有考虑估价对象将来可能承担违约责任的事宜，以及特殊交易方式下的特殊交易价格等对拟评估价值的影响。当上述条件发生变化时，评估结果一般亦会发生变化。</w:t>
      </w:r>
    </w:p>
    <w:p>
      <w:pPr>
        <w:keepNext w:val="0"/>
        <w:keepLines w:val="0"/>
        <w:pageBreakBefore w:val="0"/>
        <w:widowControl/>
        <w:kinsoku/>
        <w:wordWrap/>
        <w:overflowPunct/>
        <w:topLinePunct w:val="0"/>
        <w:autoSpaceDE/>
        <w:autoSpaceDN/>
        <w:bidi w:val="0"/>
        <w:adjustRightInd w:val="0"/>
        <w:snapToGrid w:val="0"/>
        <w:spacing w:before="0" w:after="0" w:line="360" w:lineRule="auto"/>
        <w:ind w:left="0" w:leftChars="0" w:right="0" w:firstLine="560" w:firstLineChars="200"/>
        <w:jc w:val="both"/>
        <w:textAlignment w:val="auto"/>
        <w:rPr>
          <w:rFonts w:hint="eastAsia" w:ascii="仿宋_GB2312" w:hAnsi="宋体" w:eastAsia="仿宋_GB2312"/>
          <w:kern w:val="0"/>
          <w:sz w:val="28"/>
          <w:szCs w:val="28"/>
        </w:rPr>
      </w:pPr>
      <w:r>
        <w:rPr>
          <w:rFonts w:hint="eastAsia" w:ascii="仿宋_GB2312" w:hAnsi="宋体" w:eastAsia="仿宋_GB2312"/>
          <w:kern w:val="0"/>
          <w:sz w:val="28"/>
          <w:szCs w:val="28"/>
        </w:rPr>
        <w:t>（</w:t>
      </w:r>
      <w:r>
        <w:rPr>
          <w:rFonts w:hint="eastAsia" w:ascii="仿宋_GB2312" w:hAnsi="宋体" w:eastAsia="仿宋_GB2312"/>
          <w:kern w:val="0"/>
          <w:sz w:val="28"/>
          <w:szCs w:val="28"/>
          <w:lang w:val="en-US" w:eastAsia="zh-CN"/>
        </w:rPr>
        <w:t>2</w:t>
      </w:r>
      <w:r>
        <w:rPr>
          <w:rFonts w:hint="eastAsia" w:ascii="仿宋_GB2312" w:hAnsi="宋体" w:eastAsia="仿宋_GB2312"/>
          <w:kern w:val="0"/>
          <w:sz w:val="28"/>
          <w:szCs w:val="28"/>
        </w:rPr>
        <w:t>）涉执房地产处置司法评估不应考虑评估对象被查封以及原有的担保物权和其他优先受偿权情况，</w:t>
      </w:r>
      <w:r>
        <w:rPr>
          <w:rFonts w:hint="eastAsia" w:ascii="仿宋_GB2312" w:hAnsi="宋体" w:eastAsia="仿宋_GB2312"/>
          <w:kern w:val="0"/>
          <w:sz w:val="28"/>
          <w:szCs w:val="28"/>
          <w:lang w:val="en-US" w:eastAsia="zh-CN"/>
        </w:rPr>
        <w:t>本次评估假设估价对象</w:t>
      </w:r>
      <w:r>
        <w:rPr>
          <w:rFonts w:hint="eastAsia" w:ascii="仿宋_GB2312" w:hAnsi="宋体" w:eastAsia="仿宋_GB2312"/>
          <w:kern w:val="0"/>
          <w:sz w:val="28"/>
          <w:szCs w:val="28"/>
        </w:rPr>
        <w:t>为没有查封、未设立担保物权及其他优先受偿权的财产进行评估。</w:t>
      </w:r>
    </w:p>
    <w:p>
      <w:pPr>
        <w:keepNext w:val="0"/>
        <w:keepLines w:val="0"/>
        <w:pageBreakBefore w:val="0"/>
        <w:widowControl/>
        <w:kinsoku/>
        <w:wordWrap/>
        <w:overflowPunct/>
        <w:topLinePunct w:val="0"/>
        <w:autoSpaceDE/>
        <w:autoSpaceDN/>
        <w:bidi w:val="0"/>
        <w:adjustRightInd/>
        <w:snapToGrid w:val="0"/>
        <w:spacing w:before="0" w:after="0" w:line="360" w:lineRule="auto"/>
        <w:ind w:left="0" w:leftChars="0" w:right="0" w:firstLine="562" w:firstLineChars="200"/>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4</w:t>
      </w:r>
      <w:r>
        <w:rPr>
          <w:rFonts w:hint="eastAsia" w:ascii="仿宋_GB2312" w:hAnsi="仿宋_GB2312" w:eastAsia="仿宋_GB2312" w:cs="仿宋_GB2312"/>
          <w:b/>
          <w:bCs/>
          <w:sz w:val="28"/>
          <w:szCs w:val="28"/>
          <w:highlight w:val="none"/>
          <w:lang w:eastAsia="zh-CN"/>
        </w:rPr>
        <w:t>、</w:t>
      </w:r>
      <w:r>
        <w:rPr>
          <w:rFonts w:hint="eastAsia" w:ascii="仿宋_GB2312" w:hAnsi="仿宋_GB2312" w:eastAsia="仿宋_GB2312" w:cs="仿宋_GB2312"/>
          <w:b/>
          <w:bCs/>
          <w:sz w:val="28"/>
          <w:szCs w:val="28"/>
          <w:highlight w:val="none"/>
        </w:rPr>
        <w:t>不相一致假设</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0" w:leftChars="0" w:right="0" w:firstLine="560" w:firstLineChars="200"/>
        <w:jc w:val="both"/>
        <w:textAlignment w:val="auto"/>
        <w:rPr>
          <w:rFonts w:hint="eastAsia" w:ascii="仿宋_GB2312" w:hAnsi="宋体" w:eastAsia="仿宋_GB2312"/>
          <w:sz w:val="28"/>
          <w:szCs w:val="28"/>
          <w:highlight w:val="none"/>
        </w:rPr>
      </w:pPr>
      <w:r>
        <w:rPr>
          <w:rFonts w:hint="eastAsia" w:ascii="仿宋_GB2312" w:hAnsi="宋体" w:eastAsia="仿宋_GB2312"/>
          <w:kern w:val="0"/>
          <w:sz w:val="28"/>
          <w:szCs w:val="28"/>
        </w:rPr>
        <w:t>本次估价</w:t>
      </w:r>
      <w:r>
        <w:rPr>
          <w:rFonts w:hint="eastAsia" w:ascii="仿宋_GB2312" w:hAnsi="宋体" w:eastAsia="仿宋_GB2312"/>
          <w:kern w:val="0"/>
          <w:sz w:val="28"/>
          <w:szCs w:val="28"/>
          <w:lang w:val="en-US" w:eastAsia="zh-CN"/>
        </w:rPr>
        <w:t>无</w:t>
      </w:r>
      <w:r>
        <w:rPr>
          <w:rFonts w:hint="eastAsia" w:ascii="仿宋_GB2312" w:hAnsi="仿宋_GB2312" w:eastAsia="仿宋_GB2312" w:cs="仿宋_GB2312"/>
          <w:snapToGrid w:val="0"/>
          <w:kern w:val="0"/>
          <w:sz w:val="28"/>
          <w:szCs w:val="28"/>
        </w:rPr>
        <w:t>不相一致假设</w:t>
      </w:r>
      <w:r>
        <w:rPr>
          <w:rFonts w:hint="eastAsia" w:ascii="仿宋_GB2312" w:hAnsi="宋体" w:eastAsia="仿宋_GB2312"/>
          <w:sz w:val="28"/>
          <w:szCs w:val="28"/>
          <w:highlight w:val="none"/>
        </w:rPr>
        <w:t>。</w:t>
      </w:r>
    </w:p>
    <w:p>
      <w:pPr>
        <w:keepNext w:val="0"/>
        <w:keepLines w:val="0"/>
        <w:pageBreakBefore w:val="0"/>
        <w:widowControl/>
        <w:kinsoku/>
        <w:wordWrap/>
        <w:overflowPunct/>
        <w:topLinePunct w:val="0"/>
        <w:autoSpaceDE/>
        <w:autoSpaceDN/>
        <w:bidi w:val="0"/>
        <w:adjustRightInd/>
        <w:snapToGrid w:val="0"/>
        <w:spacing w:before="0" w:after="0" w:line="360" w:lineRule="auto"/>
        <w:ind w:left="0" w:leftChars="0" w:right="0" w:firstLine="562" w:firstLineChars="200"/>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5</w:t>
      </w:r>
      <w:r>
        <w:rPr>
          <w:rFonts w:hint="eastAsia" w:ascii="仿宋_GB2312" w:hAnsi="仿宋_GB2312" w:eastAsia="仿宋_GB2312" w:cs="仿宋_GB2312"/>
          <w:b/>
          <w:bCs/>
          <w:sz w:val="28"/>
          <w:szCs w:val="28"/>
          <w:highlight w:val="none"/>
          <w:lang w:eastAsia="zh-CN"/>
        </w:rPr>
        <w:t>、</w:t>
      </w:r>
      <w:r>
        <w:rPr>
          <w:rFonts w:hint="eastAsia" w:ascii="仿宋_GB2312" w:hAnsi="仿宋_GB2312" w:eastAsia="仿宋_GB2312" w:cs="仿宋_GB2312"/>
          <w:b/>
          <w:bCs/>
          <w:sz w:val="28"/>
          <w:szCs w:val="28"/>
          <w:highlight w:val="none"/>
        </w:rPr>
        <w:t>依据不足假设</w:t>
      </w:r>
      <w:r>
        <w:rPr>
          <w:rFonts w:hint="eastAsia" w:ascii="仿宋_GB2312" w:hAnsi="仿宋_GB2312" w:eastAsia="仿宋_GB2312" w:cs="仿宋_GB2312"/>
          <w:b/>
          <w:bCs/>
          <w:sz w:val="28"/>
          <w:szCs w:val="28"/>
          <w:highlight w:val="none"/>
        </w:rPr>
        <w:tab/>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0" w:leftChars="0" w:right="0" w:firstLine="560" w:firstLineChars="200"/>
        <w:jc w:val="both"/>
        <w:textAlignment w:val="auto"/>
        <w:rPr>
          <w:rFonts w:hint="eastAsia" w:ascii="仿宋_GB2312" w:hAnsi="宋体" w:eastAsia="仿宋_GB2312"/>
          <w:kern w:val="0"/>
          <w:sz w:val="28"/>
          <w:szCs w:val="28"/>
          <w:lang w:val="en-US" w:eastAsia="zh-CN"/>
        </w:rPr>
      </w:pPr>
      <w:r>
        <w:rPr>
          <w:rFonts w:hint="eastAsia" w:ascii="仿宋_GB2312" w:hAnsi="宋体" w:eastAsia="仿宋_GB2312"/>
          <w:kern w:val="0"/>
          <w:sz w:val="28"/>
          <w:szCs w:val="28"/>
          <w:lang w:val="en-US" w:eastAsia="zh-CN"/>
        </w:rPr>
        <w:t>本次评估委托方提供的《不动产登记信息查询结果》中未注明估价对象的楼层和实际用途，故本次评估的估价对象楼层和用途根据我司人员现场查勘确认后确定。</w:t>
      </w:r>
    </w:p>
    <w:p>
      <w:pPr>
        <w:keepNext w:val="0"/>
        <w:keepLines w:val="0"/>
        <w:pageBreakBefore w:val="0"/>
        <w:widowControl/>
        <w:kinsoku/>
        <w:wordWrap/>
        <w:overflowPunct/>
        <w:topLinePunct w:val="0"/>
        <w:autoSpaceDE/>
        <w:autoSpaceDN/>
        <w:bidi w:val="0"/>
        <w:adjustRightInd/>
        <w:snapToGrid w:val="0"/>
        <w:spacing w:before="0" w:after="0" w:line="360" w:lineRule="auto"/>
        <w:ind w:left="0" w:leftChars="0" w:right="0" w:firstLine="562" w:firstLineChars="200"/>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6</w:t>
      </w:r>
      <w:r>
        <w:rPr>
          <w:rFonts w:hint="eastAsia" w:ascii="仿宋_GB2312" w:hAnsi="仿宋_GB2312" w:eastAsia="仿宋_GB2312" w:cs="仿宋_GB2312"/>
          <w:b/>
          <w:bCs/>
          <w:sz w:val="28"/>
          <w:szCs w:val="28"/>
          <w:highlight w:val="none"/>
          <w:lang w:eastAsia="zh-CN"/>
        </w:rPr>
        <w:t>、</w:t>
      </w:r>
      <w:r>
        <w:rPr>
          <w:rFonts w:hint="eastAsia" w:ascii="仿宋_GB2312" w:hAnsi="仿宋_GB2312" w:eastAsia="仿宋_GB2312" w:cs="仿宋_GB2312"/>
          <w:b/>
          <w:bCs/>
          <w:sz w:val="28"/>
          <w:szCs w:val="28"/>
          <w:highlight w:val="none"/>
        </w:rPr>
        <w:t>估价报告使用限制</w:t>
      </w:r>
    </w:p>
    <w:p>
      <w:pPr>
        <w:keepNext w:val="0"/>
        <w:keepLines w:val="0"/>
        <w:pageBreakBefore w:val="0"/>
        <w:widowControl/>
        <w:kinsoku/>
        <w:wordWrap/>
        <w:overflowPunct/>
        <w:topLinePunct w:val="0"/>
        <w:autoSpaceDE/>
        <w:autoSpaceDN/>
        <w:bidi w:val="0"/>
        <w:adjustRightInd w:val="0"/>
        <w:snapToGrid w:val="0"/>
        <w:spacing w:before="0" w:after="0" w:line="360" w:lineRule="auto"/>
        <w:ind w:left="0" w:leftChars="0" w:right="0" w:firstLine="560" w:firstLineChars="200"/>
        <w:jc w:val="both"/>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（1）本估价报告</w:t>
      </w:r>
      <w:r>
        <w:rPr>
          <w:rFonts w:hint="eastAsia" w:ascii="仿宋_GB2312" w:hAnsi="仿宋_GB2312" w:eastAsia="仿宋_GB2312" w:cs="仿宋_GB2312"/>
          <w:snapToGrid w:val="0"/>
          <w:kern w:val="0"/>
          <w:sz w:val="28"/>
          <w:szCs w:val="28"/>
        </w:rPr>
        <w:t>结果</w:t>
      </w:r>
      <w:r>
        <w:rPr>
          <w:rFonts w:hint="eastAsia" w:ascii="仿宋_GB2312" w:hAnsi="宋体" w:eastAsia="仿宋_GB2312"/>
          <w:sz w:val="28"/>
          <w:szCs w:val="28"/>
          <w:highlight w:val="none"/>
        </w:rPr>
        <w:t>仅</w:t>
      </w:r>
      <w:r>
        <w:rPr>
          <w:rFonts w:hint="eastAsia" w:ascii="仿宋_GB2312" w:hAnsi="宋体" w:eastAsia="仿宋_GB2312"/>
          <w:sz w:val="28"/>
          <w:szCs w:val="28"/>
          <w:highlight w:val="none"/>
          <w:lang w:eastAsia="zh-CN"/>
        </w:rPr>
        <w:t>为委托方在本次估价目的下使用</w:t>
      </w:r>
      <w:r>
        <w:rPr>
          <w:rFonts w:hint="eastAsia" w:ascii="仿宋_GB2312" w:hAnsi="宋体" w:eastAsia="仿宋_GB2312"/>
          <w:sz w:val="28"/>
          <w:szCs w:val="28"/>
          <w:highlight w:val="none"/>
        </w:rPr>
        <w:t>，不作其他估价目的之用。如果估价条件或目的发生变化，估价报告需做相应调整。</w:t>
      </w:r>
    </w:p>
    <w:p>
      <w:pPr>
        <w:keepNext w:val="0"/>
        <w:keepLines w:val="0"/>
        <w:pageBreakBefore w:val="0"/>
        <w:widowControl/>
        <w:kinsoku/>
        <w:wordWrap/>
        <w:overflowPunct/>
        <w:topLinePunct w:val="0"/>
        <w:autoSpaceDE/>
        <w:autoSpaceDN/>
        <w:bidi w:val="0"/>
        <w:adjustRightInd w:val="0"/>
        <w:snapToGrid w:val="0"/>
        <w:spacing w:before="0" w:after="0" w:line="360" w:lineRule="auto"/>
        <w:ind w:left="0" w:leftChars="0" w:right="0" w:firstLine="560" w:firstLineChars="200"/>
        <w:jc w:val="both"/>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（2）未经本估价机构书面同意，本报告的全部或任何一部分均不得向估价委托人、报告使用者、报告审查部门之外的单位和个人提供，也不得以任何形式公开发表，</w:t>
      </w:r>
      <w:r>
        <w:rPr>
          <w:rFonts w:ascii="仿宋_GB2312" w:hAnsi="宋体" w:eastAsia="仿宋_GB2312"/>
          <w:sz w:val="28"/>
          <w:szCs w:val="28"/>
          <w:highlight w:val="none"/>
        </w:rPr>
        <w:t>报告解释权为本</w:t>
      </w:r>
      <w:r>
        <w:rPr>
          <w:rFonts w:hint="eastAsia" w:ascii="仿宋_GB2312" w:hAnsi="宋体" w:eastAsia="仿宋_GB2312"/>
          <w:sz w:val="28"/>
          <w:szCs w:val="28"/>
          <w:highlight w:val="none"/>
        </w:rPr>
        <w:t>估价</w:t>
      </w:r>
      <w:r>
        <w:rPr>
          <w:rFonts w:ascii="仿宋_GB2312" w:hAnsi="宋体" w:eastAsia="仿宋_GB2312"/>
          <w:sz w:val="28"/>
          <w:szCs w:val="28"/>
          <w:highlight w:val="none"/>
        </w:rPr>
        <w:t>机构所有</w:t>
      </w:r>
      <w:r>
        <w:rPr>
          <w:rFonts w:hint="eastAsia" w:ascii="仿宋_GB2312" w:hAnsi="宋体" w:eastAsia="仿宋_GB2312"/>
          <w:sz w:val="28"/>
          <w:szCs w:val="28"/>
          <w:highlight w:val="none"/>
        </w:rPr>
        <w:t>。</w:t>
      </w:r>
    </w:p>
    <w:p>
      <w:pPr>
        <w:keepNext w:val="0"/>
        <w:keepLines w:val="0"/>
        <w:pageBreakBefore w:val="0"/>
        <w:widowControl/>
        <w:kinsoku/>
        <w:wordWrap/>
        <w:overflowPunct/>
        <w:topLinePunct w:val="0"/>
        <w:autoSpaceDE/>
        <w:autoSpaceDN/>
        <w:bidi w:val="0"/>
        <w:adjustRightInd w:val="0"/>
        <w:snapToGrid w:val="0"/>
        <w:spacing w:before="0" w:after="0" w:line="360" w:lineRule="auto"/>
        <w:ind w:left="0" w:leftChars="0" w:right="0" w:firstLine="560" w:firstLineChars="200"/>
        <w:jc w:val="both"/>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（3）本报告必须完整使用方为有效，对仅使用本报告中部分内容而导致可能的损失，本估价机构不承担责任。</w:t>
      </w:r>
    </w:p>
    <w:p>
      <w:pPr>
        <w:keepNext w:val="0"/>
        <w:keepLines w:val="0"/>
        <w:pageBreakBefore w:val="0"/>
        <w:widowControl/>
        <w:kinsoku/>
        <w:wordWrap/>
        <w:overflowPunct/>
        <w:topLinePunct w:val="0"/>
        <w:autoSpaceDE/>
        <w:autoSpaceDN/>
        <w:bidi w:val="0"/>
        <w:adjustRightInd w:val="0"/>
        <w:snapToGrid w:val="0"/>
        <w:spacing w:before="0" w:after="0" w:line="360" w:lineRule="auto"/>
        <w:ind w:left="0" w:leftChars="0" w:right="0" w:firstLine="560" w:firstLineChars="200"/>
        <w:jc w:val="both"/>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4）本次估价结果受价值时点的限制，且本估价报告使用期限自估价报告出具之日起为壹年。若报告使用期限内，房地产市场、建筑市场或估价对象自身状况发生重大变化，估价结果也需做相应调整或委托估价机构重新估价。</w:t>
      </w:r>
    </w:p>
    <w:p>
      <w:pPr>
        <w:keepNext w:val="0"/>
        <w:keepLines w:val="0"/>
        <w:pageBreakBefore w:val="0"/>
        <w:tabs>
          <w:tab w:val="left" w:pos="267"/>
        </w:tabs>
        <w:kinsoku/>
        <w:wordWrap/>
        <w:overflowPunct/>
        <w:topLinePunct w:val="0"/>
        <w:autoSpaceDE/>
        <w:autoSpaceDN/>
        <w:bidi w:val="0"/>
        <w:adjustRightInd w:val="0"/>
        <w:snapToGrid w:val="0"/>
        <w:spacing w:before="0" w:after="0" w:line="360" w:lineRule="auto"/>
        <w:ind w:firstLine="560" w:firstLineChars="200"/>
        <w:jc w:val="lef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（5）应当按照法律规定和评估报告载明的用途、使用人、使用期限等使用范围使用评估报告。否则，房地产估价机构和注册房地产估价师依法不承担责任；</w:t>
      </w:r>
    </w:p>
    <w:p>
      <w:pPr>
        <w:keepNext w:val="0"/>
        <w:keepLines w:val="0"/>
        <w:pageBreakBefore w:val="0"/>
        <w:tabs>
          <w:tab w:val="left" w:pos="267"/>
        </w:tabs>
        <w:kinsoku/>
        <w:wordWrap/>
        <w:overflowPunct/>
        <w:topLinePunct w:val="0"/>
        <w:autoSpaceDE/>
        <w:autoSpaceDN/>
        <w:bidi w:val="0"/>
        <w:adjustRightInd w:val="0"/>
        <w:snapToGrid w:val="0"/>
        <w:spacing w:before="0" w:after="0" w:line="360" w:lineRule="auto"/>
        <w:ind w:firstLine="560" w:firstLineChars="200"/>
        <w:jc w:val="lef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（6）评估结果仅为人民法院确定财产处置参考价服务，不是评估对象处置可实现的成交价格，也不应当被视为对评估对象处置成交价格的保证；</w:t>
      </w:r>
    </w:p>
    <w:p>
      <w:pPr>
        <w:keepNext w:val="0"/>
        <w:keepLines w:val="0"/>
        <w:pageBreakBefore w:val="0"/>
        <w:tabs>
          <w:tab w:val="left" w:pos="267"/>
        </w:tabs>
        <w:kinsoku/>
        <w:wordWrap/>
        <w:overflowPunct/>
        <w:topLinePunct w:val="0"/>
        <w:autoSpaceDE/>
        <w:autoSpaceDN/>
        <w:bidi w:val="0"/>
        <w:adjustRightInd w:val="0"/>
        <w:snapToGrid w:val="0"/>
        <w:spacing w:before="0" w:after="0" w:line="360" w:lineRule="auto"/>
        <w:ind w:firstLine="560" w:firstLineChars="200"/>
        <w:jc w:val="left"/>
        <w:textAlignment w:val="auto"/>
        <w:rPr>
          <w:rFonts w:hint="eastAsia" w:ascii="仿宋_GB2312" w:hAnsi="仿宋_GB2312" w:eastAsia="仿宋_GB2312" w:cs="仿宋_GB2312"/>
          <w:snapToGrid w:val="0"/>
          <w:kern w:val="0"/>
          <w:sz w:val="28"/>
          <w:szCs w:val="20"/>
          <w:lang w:val="en-US" w:eastAsia="zh-CN"/>
        </w:rPr>
      </w:pPr>
      <w:r>
        <w:rPr>
          <w:rFonts w:hint="eastAsia" w:ascii="仿宋_GB2312" w:hAnsi="仿宋_GB2312" w:eastAsia="仿宋_GB2312" w:cs="仿宋_GB2312"/>
          <w:snapToGrid w:val="0"/>
          <w:kern w:val="0"/>
          <w:sz w:val="28"/>
          <w:szCs w:val="28"/>
          <w:lang w:val="en-US" w:eastAsia="zh-CN"/>
        </w:rPr>
        <w:t>（7）</w:t>
      </w:r>
      <w:r>
        <w:rPr>
          <w:rFonts w:hint="eastAsia" w:ascii="仿宋_GB2312" w:hAnsi="仿宋_GB2312" w:eastAsia="仿宋_GB2312" w:cs="仿宋_GB2312"/>
          <w:snapToGrid w:val="0"/>
          <w:kern w:val="0"/>
          <w:sz w:val="28"/>
          <w:szCs w:val="20"/>
          <w:lang w:val="en-US" w:eastAsia="zh-CN"/>
        </w:rPr>
        <w:t>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pPr>
        <w:keepNext w:val="0"/>
        <w:keepLines w:val="0"/>
        <w:pageBreakBefore w:val="0"/>
        <w:tabs>
          <w:tab w:val="left" w:pos="267"/>
        </w:tabs>
        <w:kinsoku/>
        <w:wordWrap/>
        <w:overflowPunct/>
        <w:topLinePunct w:val="0"/>
        <w:autoSpaceDE/>
        <w:autoSpaceDN/>
        <w:bidi w:val="0"/>
        <w:adjustRightInd w:val="0"/>
        <w:snapToGrid w:val="0"/>
        <w:spacing w:before="0" w:after="0" w:line="360" w:lineRule="auto"/>
        <w:ind w:firstLine="560" w:firstLineChars="200"/>
        <w:jc w:val="lef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（8）</w:t>
      </w:r>
      <w:r>
        <w:rPr>
          <w:rFonts w:hint="eastAsia" w:ascii="仿宋_GB2312" w:hAnsi="仿宋_GB2312" w:eastAsia="仿宋_GB2312" w:cs="仿宋_GB2312"/>
          <w:snapToGrid w:val="0"/>
          <w:color w:val="auto"/>
          <w:kern w:val="0"/>
          <w:sz w:val="28"/>
          <w:szCs w:val="28"/>
          <w:lang w:val="en-US" w:eastAsia="zh-CN"/>
        </w:rPr>
        <w:t>在评估报告使用期限或者评估结果有效期内，评估报告或者评估结果未使用之前，如果评估对象状况或者房地产市场状况发生明显变化的，评估结果应当进行相应调整后才可使用；</w:t>
      </w:r>
    </w:p>
    <w:p>
      <w:pPr>
        <w:keepNext w:val="0"/>
        <w:keepLines w:val="0"/>
        <w:pageBreakBefore w:val="0"/>
        <w:tabs>
          <w:tab w:val="left" w:pos="267"/>
        </w:tabs>
        <w:kinsoku/>
        <w:wordWrap/>
        <w:overflowPunct/>
        <w:topLinePunct w:val="0"/>
        <w:autoSpaceDE/>
        <w:autoSpaceDN/>
        <w:bidi w:val="0"/>
        <w:adjustRightInd w:val="0"/>
        <w:snapToGrid w:val="0"/>
        <w:spacing w:before="0" w:after="0" w:line="360" w:lineRule="auto"/>
        <w:ind w:firstLine="560" w:firstLineChars="200"/>
        <w:jc w:val="left"/>
        <w:textAlignment w:val="auto"/>
        <w:rPr>
          <w:rFonts w:hint="default"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9）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p>
    <w:p>
      <w:pPr>
        <w:pStyle w:val="23"/>
        <w:spacing w:before="0" w:after="0" w:line="360" w:lineRule="auto"/>
        <w:rPr>
          <w:rFonts w:hint="eastAsia" w:ascii="楷体_GB2312" w:hAnsi="楷体_GB2312" w:eastAsia="楷体_GB2312" w:cs="楷体_GB2312"/>
          <w:b/>
          <w:bCs w:val="0"/>
          <w:color w:val="000000"/>
          <w:kern w:val="2"/>
          <w:sz w:val="36"/>
          <w:szCs w:val="36"/>
          <w:lang w:val="zh-CN" w:eastAsia="zh-CN" w:bidi="ar-SA"/>
        </w:rPr>
      </w:pPr>
      <w:bookmarkStart w:id="5" w:name="_Toc22501"/>
    </w:p>
    <w:p>
      <w:pPr>
        <w:pStyle w:val="23"/>
        <w:spacing w:before="0" w:after="0" w:line="360" w:lineRule="auto"/>
        <w:rPr>
          <w:rFonts w:hint="eastAsia" w:ascii="楷体_GB2312" w:hAnsi="楷体_GB2312" w:eastAsia="楷体_GB2312" w:cs="楷体_GB2312"/>
          <w:b/>
          <w:bCs w:val="0"/>
          <w:color w:val="000000"/>
          <w:kern w:val="2"/>
          <w:sz w:val="36"/>
          <w:szCs w:val="36"/>
          <w:lang w:val="zh-CN" w:eastAsia="zh-CN" w:bidi="ar-SA"/>
        </w:rPr>
      </w:pPr>
    </w:p>
    <w:p>
      <w:pPr>
        <w:rPr>
          <w:rFonts w:hint="eastAsia" w:ascii="楷体_GB2312" w:hAnsi="楷体_GB2312" w:eastAsia="楷体_GB2312" w:cs="楷体_GB2312"/>
          <w:b/>
          <w:bCs w:val="0"/>
          <w:color w:val="000000"/>
          <w:kern w:val="2"/>
          <w:sz w:val="36"/>
          <w:szCs w:val="36"/>
          <w:lang w:val="zh-CN" w:eastAsia="zh-CN" w:bidi="ar-SA"/>
        </w:rPr>
      </w:pPr>
      <w:r>
        <w:rPr>
          <w:rFonts w:hint="eastAsia" w:ascii="楷体_GB2312" w:hAnsi="楷体_GB2312" w:eastAsia="楷体_GB2312" w:cs="楷体_GB2312"/>
          <w:b/>
          <w:bCs w:val="0"/>
          <w:color w:val="000000"/>
          <w:kern w:val="2"/>
          <w:sz w:val="36"/>
          <w:szCs w:val="36"/>
          <w:lang w:val="zh-CN" w:eastAsia="zh-CN" w:bidi="ar-SA"/>
        </w:rPr>
        <w:br w:type="page"/>
      </w:r>
    </w:p>
    <w:p>
      <w:pPr>
        <w:pStyle w:val="23"/>
        <w:spacing w:before="0" w:after="0" w:line="360" w:lineRule="auto"/>
        <w:rPr>
          <w:rFonts w:hint="eastAsia" w:ascii="楷体_GB2312" w:hAnsi="楷体_GB2312" w:eastAsia="楷体_GB2312" w:cs="楷体_GB2312"/>
          <w:b/>
          <w:bCs w:val="0"/>
          <w:color w:val="000000"/>
          <w:kern w:val="2"/>
          <w:sz w:val="36"/>
          <w:szCs w:val="36"/>
          <w:lang w:val="zh-CN" w:eastAsia="zh-CN" w:bidi="ar-SA"/>
        </w:rPr>
      </w:pPr>
      <w:r>
        <w:rPr>
          <w:rFonts w:hint="eastAsia" w:ascii="楷体_GB2312" w:hAnsi="楷体_GB2312" w:eastAsia="楷体_GB2312" w:cs="楷体_GB2312"/>
          <w:b/>
          <w:bCs w:val="0"/>
          <w:color w:val="000000"/>
          <w:kern w:val="2"/>
          <w:sz w:val="36"/>
          <w:szCs w:val="36"/>
          <w:lang w:val="zh-CN" w:eastAsia="zh-CN" w:bidi="ar-SA"/>
        </w:rPr>
        <w:t>三、估价结果报告</w:t>
      </w:r>
      <w:bookmarkEnd w:id="5"/>
    </w:p>
    <w:p>
      <w:pPr>
        <w:pStyle w:val="4"/>
        <w:keepLines w:val="0"/>
        <w:pageBreakBefore w:val="0"/>
        <w:widowControl w:val="0"/>
        <w:kinsoku/>
        <w:wordWrap/>
        <w:overflowPunct/>
        <w:topLinePunct w:val="0"/>
        <w:autoSpaceDE/>
        <w:autoSpaceDN/>
        <w:bidi w:val="0"/>
        <w:adjustRightInd/>
        <w:snapToGrid/>
        <w:spacing w:before="0" w:after="0" w:line="360" w:lineRule="auto"/>
        <w:ind w:right="0" w:firstLine="562" w:firstLineChars="200"/>
        <w:jc w:val="left"/>
        <w:textAlignment w:val="auto"/>
        <w:rPr>
          <w:rFonts w:ascii="仿宋_GB2312" w:hAnsi="仿宋_GB2312" w:eastAsia="仿宋_GB2312" w:cs="仿宋_GB2312"/>
          <w:color w:val="000000"/>
          <w:sz w:val="28"/>
          <w:szCs w:val="28"/>
        </w:rPr>
      </w:pPr>
      <w:bookmarkStart w:id="6" w:name="_Toc15588"/>
      <w:r>
        <w:rPr>
          <w:rFonts w:hint="eastAsia" w:ascii="仿宋_GB2312" w:hAnsi="仿宋_GB2312" w:eastAsia="仿宋_GB2312" w:cs="仿宋_GB2312"/>
          <w:color w:val="000000"/>
          <w:sz w:val="28"/>
          <w:szCs w:val="28"/>
        </w:rPr>
        <w:t>（一）估价委托人</w:t>
      </w:r>
      <w:bookmarkEnd w:id="6"/>
    </w:p>
    <w:p>
      <w:pPr>
        <w:keepLines w:val="0"/>
        <w:pageBreakBefore w:val="0"/>
        <w:widowControl w:val="0"/>
        <w:kinsoku/>
        <w:wordWrap/>
        <w:overflowPunct/>
        <w:topLinePunct w:val="0"/>
        <w:autoSpaceDE/>
        <w:autoSpaceDN/>
        <w:bidi w:val="0"/>
        <w:adjustRightInd/>
        <w:snapToGrid/>
        <w:spacing w:before="0" w:after="0" w:line="360" w:lineRule="auto"/>
        <w:ind w:right="0" w:firstLine="560" w:firstLineChars="200"/>
        <w:textAlignment w:val="auto"/>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rPr>
        <w:t>委托人：</w:t>
      </w:r>
      <w:r>
        <w:rPr>
          <w:rFonts w:hint="eastAsia" w:ascii="仿宋_GB2312" w:hAnsi="宋体" w:eastAsia="仿宋_GB2312"/>
          <w:color w:val="000000"/>
          <w:sz w:val="28"/>
          <w:szCs w:val="28"/>
          <w:lang w:eastAsia="zh-CN"/>
        </w:rPr>
        <w:t>赣州经济技术开发区人民法院</w:t>
      </w:r>
    </w:p>
    <w:p>
      <w:pPr>
        <w:pStyle w:val="4"/>
        <w:keepLines w:val="0"/>
        <w:pageBreakBefore w:val="0"/>
        <w:widowControl w:val="0"/>
        <w:kinsoku/>
        <w:wordWrap/>
        <w:overflowPunct/>
        <w:topLinePunct w:val="0"/>
        <w:autoSpaceDE/>
        <w:autoSpaceDN/>
        <w:bidi w:val="0"/>
        <w:adjustRightInd/>
        <w:snapToGrid/>
        <w:spacing w:before="0" w:after="0" w:line="360" w:lineRule="auto"/>
        <w:ind w:right="0" w:firstLine="562" w:firstLineChars="200"/>
        <w:jc w:val="left"/>
        <w:textAlignment w:val="auto"/>
        <w:rPr>
          <w:rFonts w:ascii="仿宋_GB2312" w:hAnsi="仿宋_GB2312" w:eastAsia="仿宋_GB2312" w:cs="仿宋_GB2312"/>
          <w:color w:val="000000"/>
          <w:sz w:val="28"/>
          <w:szCs w:val="28"/>
        </w:rPr>
      </w:pPr>
      <w:bookmarkStart w:id="7" w:name="_Toc5133"/>
      <w:r>
        <w:rPr>
          <w:rFonts w:hint="eastAsia" w:ascii="仿宋_GB2312" w:hAnsi="仿宋_GB2312" w:eastAsia="仿宋_GB2312" w:cs="仿宋_GB2312"/>
          <w:color w:val="000000"/>
          <w:sz w:val="28"/>
          <w:szCs w:val="28"/>
        </w:rPr>
        <w:t>（二）房地产估价机构</w:t>
      </w:r>
      <w:bookmarkEnd w:id="7"/>
    </w:p>
    <w:p>
      <w:pPr>
        <w:keepLines w:val="0"/>
        <w:pageBreakBefore w:val="0"/>
        <w:widowControl w:val="0"/>
        <w:kinsoku/>
        <w:wordWrap/>
        <w:overflowPunct/>
        <w:topLinePunct w:val="0"/>
        <w:autoSpaceDE/>
        <w:autoSpaceDN/>
        <w:bidi w:val="0"/>
        <w:adjustRightInd/>
        <w:snapToGrid/>
        <w:spacing w:before="0" w:after="0" w:line="360" w:lineRule="auto"/>
        <w:ind w:right="0" w:firstLine="560" w:firstLineChars="200"/>
        <w:textAlignment w:val="auto"/>
        <w:rPr>
          <w:rFonts w:hint="default" w:ascii="仿宋_GB2312" w:hAnsi="宋体" w:eastAsia="仿宋_GB2312"/>
          <w:color w:val="000000"/>
          <w:sz w:val="28"/>
          <w:szCs w:val="28"/>
          <w:lang w:val="en-US" w:eastAsia="zh-CN"/>
        </w:rPr>
      </w:pPr>
      <w:r>
        <w:rPr>
          <w:rFonts w:hint="default" w:ascii="仿宋_GB2312" w:hAnsi="宋体" w:eastAsia="仿宋_GB2312"/>
          <w:color w:val="000000"/>
          <w:sz w:val="28"/>
          <w:szCs w:val="28"/>
          <w:lang w:val="en-US" w:eastAsia="zh-CN"/>
        </w:rPr>
        <w:t>机构名称：江西仁信房地产资产评估有限公司</w:t>
      </w:r>
    </w:p>
    <w:p>
      <w:pPr>
        <w:keepLines w:val="0"/>
        <w:pageBreakBefore w:val="0"/>
        <w:widowControl w:val="0"/>
        <w:kinsoku/>
        <w:wordWrap/>
        <w:overflowPunct/>
        <w:topLinePunct w:val="0"/>
        <w:autoSpaceDE/>
        <w:autoSpaceDN/>
        <w:bidi w:val="0"/>
        <w:adjustRightInd/>
        <w:snapToGrid/>
        <w:spacing w:before="0" w:after="0" w:line="360" w:lineRule="auto"/>
        <w:ind w:right="0" w:firstLine="560" w:firstLineChars="200"/>
        <w:textAlignment w:val="auto"/>
        <w:rPr>
          <w:rFonts w:hint="default" w:ascii="仿宋_GB2312" w:hAnsi="宋体" w:eastAsia="仿宋_GB2312"/>
          <w:color w:val="000000"/>
          <w:sz w:val="28"/>
          <w:szCs w:val="28"/>
          <w:lang w:val="en-US" w:eastAsia="zh-CN"/>
        </w:rPr>
      </w:pPr>
      <w:r>
        <w:rPr>
          <w:rFonts w:hint="default" w:ascii="仿宋_GB2312" w:hAnsi="宋体" w:eastAsia="仿宋_GB2312"/>
          <w:color w:val="000000"/>
          <w:sz w:val="28"/>
          <w:szCs w:val="28"/>
          <w:lang w:val="en-US" w:eastAsia="zh-CN"/>
        </w:rPr>
        <w:t>机构住所：江西省南昌市红谷滩区赣江南大道1888号滨江商务中心</w:t>
      </w:r>
    </w:p>
    <w:p>
      <w:pPr>
        <w:keepLines w:val="0"/>
        <w:pageBreakBefore w:val="0"/>
        <w:widowControl w:val="0"/>
        <w:kinsoku/>
        <w:wordWrap/>
        <w:overflowPunct/>
        <w:topLinePunct w:val="0"/>
        <w:autoSpaceDE/>
        <w:autoSpaceDN/>
        <w:bidi w:val="0"/>
        <w:adjustRightInd/>
        <w:snapToGrid/>
        <w:spacing w:before="0" w:after="0" w:line="360" w:lineRule="auto"/>
        <w:ind w:right="0" w:firstLine="1960" w:firstLineChars="700"/>
        <w:textAlignment w:val="auto"/>
        <w:rPr>
          <w:rFonts w:hint="default" w:ascii="仿宋_GB2312" w:hAnsi="宋体" w:eastAsia="仿宋_GB2312"/>
          <w:color w:val="000000"/>
          <w:sz w:val="28"/>
          <w:szCs w:val="28"/>
          <w:lang w:val="en-US" w:eastAsia="zh-CN"/>
        </w:rPr>
      </w:pPr>
      <w:r>
        <w:rPr>
          <w:rFonts w:hint="default" w:ascii="仿宋_GB2312" w:hAnsi="宋体" w:eastAsia="仿宋_GB2312"/>
          <w:color w:val="000000"/>
          <w:sz w:val="28"/>
          <w:szCs w:val="28"/>
          <w:lang w:val="en-US" w:eastAsia="zh-CN"/>
        </w:rPr>
        <w:t>2#楼2916室</w:t>
      </w:r>
    </w:p>
    <w:p>
      <w:pPr>
        <w:keepLines w:val="0"/>
        <w:pageBreakBefore w:val="0"/>
        <w:widowControl w:val="0"/>
        <w:kinsoku/>
        <w:wordWrap/>
        <w:overflowPunct/>
        <w:topLinePunct w:val="0"/>
        <w:autoSpaceDE/>
        <w:autoSpaceDN/>
        <w:bidi w:val="0"/>
        <w:adjustRightInd/>
        <w:snapToGrid/>
        <w:spacing w:before="0" w:after="0" w:line="360" w:lineRule="auto"/>
        <w:ind w:right="0" w:firstLine="560" w:firstLineChars="200"/>
        <w:textAlignment w:val="auto"/>
        <w:rPr>
          <w:rFonts w:hint="eastAsia" w:ascii="仿宋_GB2312" w:hAnsi="宋体" w:eastAsia="仿宋_GB2312"/>
          <w:color w:val="000000"/>
          <w:sz w:val="28"/>
          <w:szCs w:val="28"/>
          <w:lang w:val="en-US" w:eastAsia="zh-CN"/>
        </w:rPr>
      </w:pPr>
      <w:r>
        <w:rPr>
          <w:rFonts w:hint="default" w:ascii="仿宋_GB2312" w:hAnsi="宋体" w:eastAsia="仿宋_GB2312"/>
          <w:color w:val="000000"/>
          <w:sz w:val="28"/>
          <w:szCs w:val="28"/>
          <w:lang w:val="en-US" w:eastAsia="zh-CN"/>
        </w:rPr>
        <w:t>统一社会信用代码：91</w:t>
      </w:r>
      <w:r>
        <w:rPr>
          <w:rFonts w:hint="eastAsia" w:ascii="仿宋_GB2312" w:hAnsi="宋体" w:eastAsia="仿宋_GB2312"/>
          <w:color w:val="000000"/>
          <w:sz w:val="28"/>
          <w:szCs w:val="28"/>
          <w:lang w:val="en-US" w:eastAsia="zh-CN"/>
        </w:rPr>
        <w:t>3610007542051843</w:t>
      </w:r>
    </w:p>
    <w:p>
      <w:pPr>
        <w:keepLines w:val="0"/>
        <w:pageBreakBefore w:val="0"/>
        <w:widowControl w:val="0"/>
        <w:kinsoku/>
        <w:wordWrap/>
        <w:overflowPunct/>
        <w:topLinePunct w:val="0"/>
        <w:autoSpaceDE/>
        <w:autoSpaceDN/>
        <w:bidi w:val="0"/>
        <w:adjustRightInd/>
        <w:snapToGrid/>
        <w:spacing w:before="0" w:after="0" w:line="360" w:lineRule="auto"/>
        <w:ind w:right="0" w:firstLine="560" w:firstLineChars="200"/>
        <w:textAlignment w:val="auto"/>
        <w:rPr>
          <w:rFonts w:hint="default"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证书编号</w:t>
      </w:r>
      <w:r>
        <w:rPr>
          <w:rFonts w:hint="default" w:ascii="仿宋_GB2312" w:hAnsi="宋体" w:eastAsia="仿宋_GB2312"/>
          <w:color w:val="000000"/>
          <w:sz w:val="28"/>
          <w:szCs w:val="28"/>
          <w:lang w:val="en-US" w:eastAsia="zh-CN"/>
        </w:rPr>
        <w:t>：</w:t>
      </w:r>
      <w:r>
        <w:rPr>
          <w:rFonts w:hint="eastAsia" w:ascii="仿宋_GB2312" w:hAnsi="宋体" w:eastAsia="仿宋_GB2312"/>
          <w:color w:val="000000"/>
          <w:sz w:val="28"/>
          <w:szCs w:val="28"/>
          <w:lang w:val="en-US" w:eastAsia="zh-CN"/>
        </w:rPr>
        <w:t>赣建房评字102号</w:t>
      </w:r>
    </w:p>
    <w:p>
      <w:pPr>
        <w:keepLines w:val="0"/>
        <w:pageBreakBefore w:val="0"/>
        <w:widowControl w:val="0"/>
        <w:kinsoku/>
        <w:wordWrap/>
        <w:overflowPunct/>
        <w:topLinePunct w:val="0"/>
        <w:autoSpaceDE/>
        <w:autoSpaceDN/>
        <w:bidi w:val="0"/>
        <w:adjustRightInd/>
        <w:snapToGrid/>
        <w:spacing w:before="0" w:after="0" w:line="360" w:lineRule="auto"/>
        <w:ind w:right="0" w:firstLine="560" w:firstLineChars="200"/>
        <w:textAlignment w:val="auto"/>
        <w:rPr>
          <w:rFonts w:hint="default" w:ascii="仿宋_GB2312" w:hAnsi="宋体" w:eastAsia="仿宋_GB2312"/>
          <w:color w:val="000000"/>
          <w:sz w:val="28"/>
          <w:szCs w:val="28"/>
          <w:lang w:val="en-US" w:eastAsia="zh-CN"/>
        </w:rPr>
      </w:pPr>
      <w:r>
        <w:rPr>
          <w:rFonts w:hint="default" w:ascii="仿宋_GB2312" w:hAnsi="宋体" w:eastAsia="仿宋_GB2312"/>
          <w:color w:val="000000"/>
          <w:sz w:val="28"/>
          <w:szCs w:val="28"/>
          <w:lang w:val="en-US" w:eastAsia="zh-CN"/>
        </w:rPr>
        <w:t>备案等级：</w:t>
      </w:r>
      <w:r>
        <w:rPr>
          <w:rFonts w:hint="eastAsia" w:ascii="仿宋_GB2312" w:hAnsi="宋体" w:eastAsia="仿宋_GB2312"/>
          <w:color w:val="000000"/>
          <w:sz w:val="28"/>
          <w:szCs w:val="28"/>
          <w:lang w:val="en-US" w:eastAsia="zh-CN"/>
        </w:rPr>
        <w:t>贰</w:t>
      </w:r>
      <w:r>
        <w:rPr>
          <w:rFonts w:hint="default" w:ascii="仿宋_GB2312" w:hAnsi="宋体" w:eastAsia="仿宋_GB2312"/>
          <w:color w:val="000000"/>
          <w:sz w:val="28"/>
          <w:szCs w:val="28"/>
          <w:lang w:val="en-US" w:eastAsia="zh-CN"/>
        </w:rPr>
        <w:t>级</w:t>
      </w:r>
    </w:p>
    <w:p>
      <w:pPr>
        <w:keepLines w:val="0"/>
        <w:pageBreakBefore w:val="0"/>
        <w:widowControl w:val="0"/>
        <w:kinsoku/>
        <w:wordWrap/>
        <w:overflowPunct/>
        <w:topLinePunct w:val="0"/>
        <w:autoSpaceDE/>
        <w:autoSpaceDN/>
        <w:bidi w:val="0"/>
        <w:adjustRightInd/>
        <w:snapToGrid/>
        <w:spacing w:before="0" w:after="0" w:line="360" w:lineRule="auto"/>
        <w:ind w:right="0" w:firstLine="560" w:firstLineChars="200"/>
        <w:textAlignment w:val="auto"/>
        <w:rPr>
          <w:rFonts w:hint="default" w:ascii="仿宋_GB2312" w:hAnsi="宋体" w:eastAsia="仿宋_GB2312"/>
          <w:color w:val="000000"/>
          <w:sz w:val="28"/>
          <w:szCs w:val="28"/>
          <w:lang w:val="en-US" w:eastAsia="zh-CN"/>
        </w:rPr>
      </w:pPr>
      <w:r>
        <w:rPr>
          <w:rFonts w:hint="default" w:ascii="仿宋_GB2312" w:hAnsi="宋体" w:eastAsia="仿宋_GB2312"/>
          <w:color w:val="000000"/>
          <w:sz w:val="28"/>
          <w:szCs w:val="28"/>
          <w:lang w:val="en-US" w:eastAsia="zh-CN"/>
        </w:rPr>
        <w:t>有 效 期：至</w:t>
      </w:r>
      <w:r>
        <w:rPr>
          <w:rFonts w:hint="eastAsia" w:ascii="仿宋_GB2312" w:hAnsi="宋体" w:eastAsia="仿宋_GB2312"/>
          <w:color w:val="000000"/>
          <w:sz w:val="28"/>
          <w:szCs w:val="28"/>
          <w:lang w:val="en-US" w:eastAsia="zh-CN"/>
        </w:rPr>
        <w:t>2023</w:t>
      </w:r>
      <w:r>
        <w:rPr>
          <w:rFonts w:hint="default" w:ascii="仿宋_GB2312" w:hAnsi="宋体" w:eastAsia="仿宋_GB2312"/>
          <w:color w:val="000000"/>
          <w:sz w:val="28"/>
          <w:szCs w:val="28"/>
          <w:lang w:val="en-US" w:eastAsia="zh-CN"/>
        </w:rPr>
        <w:t>年</w:t>
      </w:r>
      <w:r>
        <w:rPr>
          <w:rFonts w:hint="eastAsia" w:ascii="仿宋_GB2312" w:hAnsi="宋体" w:eastAsia="仿宋_GB2312"/>
          <w:color w:val="000000"/>
          <w:sz w:val="28"/>
          <w:szCs w:val="28"/>
          <w:lang w:val="en-US" w:eastAsia="zh-CN"/>
        </w:rPr>
        <w:t>11</w:t>
      </w:r>
      <w:r>
        <w:rPr>
          <w:rFonts w:hint="default" w:ascii="仿宋_GB2312" w:hAnsi="宋体" w:eastAsia="仿宋_GB2312"/>
          <w:color w:val="000000"/>
          <w:sz w:val="28"/>
          <w:szCs w:val="28"/>
          <w:lang w:val="en-US" w:eastAsia="zh-CN"/>
        </w:rPr>
        <w:t>月</w:t>
      </w:r>
      <w:r>
        <w:rPr>
          <w:rFonts w:hint="eastAsia" w:ascii="仿宋_GB2312" w:hAnsi="宋体" w:eastAsia="仿宋_GB2312"/>
          <w:color w:val="000000"/>
          <w:sz w:val="28"/>
          <w:szCs w:val="28"/>
          <w:lang w:val="en-US" w:eastAsia="zh-CN"/>
        </w:rPr>
        <w:t>11</w:t>
      </w:r>
      <w:r>
        <w:rPr>
          <w:rFonts w:hint="default" w:ascii="仿宋_GB2312" w:hAnsi="宋体" w:eastAsia="仿宋_GB2312"/>
          <w:color w:val="000000"/>
          <w:sz w:val="28"/>
          <w:szCs w:val="28"/>
          <w:lang w:val="en-US" w:eastAsia="zh-CN"/>
        </w:rPr>
        <w:t>日</w:t>
      </w:r>
    </w:p>
    <w:p>
      <w:pPr>
        <w:keepLines w:val="0"/>
        <w:pageBreakBefore w:val="0"/>
        <w:widowControl w:val="0"/>
        <w:kinsoku/>
        <w:wordWrap/>
        <w:overflowPunct/>
        <w:topLinePunct w:val="0"/>
        <w:autoSpaceDE/>
        <w:autoSpaceDN/>
        <w:bidi w:val="0"/>
        <w:adjustRightInd/>
        <w:snapToGrid/>
        <w:spacing w:before="0" w:after="0" w:line="360" w:lineRule="auto"/>
        <w:ind w:right="0" w:firstLine="560" w:firstLineChars="200"/>
        <w:textAlignment w:val="auto"/>
        <w:rPr>
          <w:rFonts w:hint="default" w:ascii="仿宋_GB2312" w:hAnsi="宋体" w:eastAsia="仿宋_GB2312"/>
          <w:color w:val="000000"/>
          <w:sz w:val="28"/>
          <w:szCs w:val="28"/>
          <w:lang w:val="en-US" w:eastAsia="zh-CN"/>
        </w:rPr>
      </w:pPr>
      <w:r>
        <w:rPr>
          <w:rFonts w:hint="default" w:ascii="仿宋_GB2312" w:hAnsi="宋体" w:eastAsia="仿宋_GB2312"/>
          <w:color w:val="000000"/>
          <w:sz w:val="28"/>
          <w:szCs w:val="28"/>
          <w:lang w:val="en-US" w:eastAsia="zh-CN"/>
        </w:rPr>
        <w:t>法定代表人：欧胜华</w:t>
      </w:r>
    </w:p>
    <w:p>
      <w:pPr>
        <w:keepLines w:val="0"/>
        <w:pageBreakBefore w:val="0"/>
        <w:widowControl w:val="0"/>
        <w:kinsoku/>
        <w:wordWrap/>
        <w:overflowPunct/>
        <w:topLinePunct w:val="0"/>
        <w:autoSpaceDE/>
        <w:autoSpaceDN/>
        <w:bidi w:val="0"/>
        <w:adjustRightInd/>
        <w:snapToGrid/>
        <w:spacing w:before="0" w:after="0" w:line="360" w:lineRule="auto"/>
        <w:ind w:right="0" w:firstLine="560" w:firstLineChars="200"/>
        <w:textAlignment w:val="auto"/>
        <w:rPr>
          <w:rFonts w:hint="default" w:ascii="仿宋_GB2312" w:hAnsi="宋体" w:eastAsia="仿宋_GB2312"/>
          <w:color w:val="000000"/>
          <w:sz w:val="28"/>
          <w:szCs w:val="28"/>
          <w:lang w:val="en-US" w:eastAsia="zh-CN"/>
        </w:rPr>
      </w:pPr>
      <w:r>
        <w:rPr>
          <w:rFonts w:hint="default" w:ascii="仿宋_GB2312" w:hAnsi="宋体" w:eastAsia="仿宋_GB2312"/>
          <w:color w:val="000000"/>
          <w:sz w:val="28"/>
          <w:szCs w:val="28"/>
          <w:lang w:val="en-US" w:eastAsia="zh-CN"/>
        </w:rPr>
        <w:t>联 系 电话：0791-87678282</w:t>
      </w:r>
    </w:p>
    <w:p>
      <w:pPr>
        <w:pStyle w:val="4"/>
        <w:keepLines w:val="0"/>
        <w:pageBreakBefore w:val="0"/>
        <w:widowControl w:val="0"/>
        <w:kinsoku/>
        <w:wordWrap/>
        <w:overflowPunct/>
        <w:topLinePunct w:val="0"/>
        <w:autoSpaceDE/>
        <w:autoSpaceDN/>
        <w:bidi w:val="0"/>
        <w:adjustRightInd/>
        <w:snapToGrid/>
        <w:spacing w:before="0" w:after="0" w:line="360" w:lineRule="auto"/>
        <w:ind w:right="0" w:firstLine="562" w:firstLineChars="200"/>
        <w:jc w:val="left"/>
        <w:textAlignment w:val="auto"/>
        <w:rPr>
          <w:rFonts w:ascii="仿宋_GB2312" w:hAnsi="仿宋_GB2312" w:eastAsia="仿宋_GB2312" w:cs="仿宋_GB2312"/>
          <w:color w:val="000000"/>
          <w:sz w:val="28"/>
          <w:szCs w:val="28"/>
        </w:rPr>
      </w:pPr>
      <w:bookmarkStart w:id="8" w:name="_Toc16528"/>
      <w:r>
        <w:rPr>
          <w:rFonts w:hint="eastAsia" w:ascii="仿宋_GB2312" w:hAnsi="仿宋_GB2312" w:eastAsia="仿宋_GB2312" w:cs="仿宋_GB2312"/>
          <w:color w:val="000000"/>
          <w:sz w:val="28"/>
          <w:szCs w:val="28"/>
        </w:rPr>
        <w:t>（三）估价目的</w:t>
      </w:r>
      <w:bookmarkEnd w:id="8"/>
    </w:p>
    <w:p>
      <w:pPr>
        <w:keepLines w:val="0"/>
        <w:pageBreakBefore w:val="0"/>
        <w:widowControl w:val="0"/>
        <w:kinsoku/>
        <w:wordWrap/>
        <w:overflowPunct/>
        <w:topLinePunct w:val="0"/>
        <w:autoSpaceDE/>
        <w:autoSpaceDN/>
        <w:bidi w:val="0"/>
        <w:adjustRightInd/>
        <w:snapToGrid/>
        <w:spacing w:before="0" w:after="0" w:line="360" w:lineRule="auto"/>
        <w:ind w:right="0" w:firstLine="560" w:firstLineChars="200"/>
        <w:textAlignment w:val="auto"/>
        <w:rPr>
          <w:rFonts w:hint="eastAsia" w:ascii="仿宋_GB2312" w:hAnsi="宋体" w:eastAsia="仿宋_GB2312"/>
          <w:color w:val="000000"/>
          <w:sz w:val="28"/>
          <w:szCs w:val="28"/>
          <w:lang w:eastAsia="zh-CN"/>
        </w:rPr>
      </w:pPr>
      <w:r>
        <w:rPr>
          <w:rFonts w:hint="eastAsia" w:ascii="仿宋_GB2312" w:hAnsi="仿宋_GB2312" w:eastAsia="仿宋_GB2312" w:cs="仿宋_GB2312"/>
          <w:snapToGrid w:val="0"/>
          <w:kern w:val="0"/>
          <w:sz w:val="28"/>
          <w:szCs w:val="20"/>
        </w:rPr>
        <w:t>为人民法院确定财产处置参考价提供参考依据</w:t>
      </w:r>
      <w:r>
        <w:rPr>
          <w:rFonts w:hint="eastAsia" w:ascii="仿宋_GB2312" w:hAnsi="仿宋_GB2312" w:eastAsia="仿宋_GB2312" w:cs="仿宋_GB2312"/>
          <w:snapToGrid w:val="0"/>
          <w:kern w:val="0"/>
          <w:sz w:val="28"/>
          <w:szCs w:val="20"/>
          <w:lang w:eastAsia="zh-CN"/>
        </w:rPr>
        <w:t>。</w:t>
      </w:r>
    </w:p>
    <w:p>
      <w:pPr>
        <w:pStyle w:val="4"/>
        <w:keepLines w:val="0"/>
        <w:pageBreakBefore w:val="0"/>
        <w:widowControl w:val="0"/>
        <w:kinsoku/>
        <w:wordWrap/>
        <w:overflowPunct/>
        <w:topLinePunct w:val="0"/>
        <w:autoSpaceDE/>
        <w:autoSpaceDN/>
        <w:bidi w:val="0"/>
        <w:adjustRightInd/>
        <w:snapToGrid/>
        <w:spacing w:before="0" w:after="0" w:line="360" w:lineRule="auto"/>
        <w:ind w:right="0" w:firstLine="562" w:firstLineChars="200"/>
        <w:jc w:val="left"/>
        <w:textAlignment w:val="auto"/>
        <w:rPr>
          <w:rFonts w:ascii="仿宋_GB2312" w:hAnsi="仿宋_GB2312" w:eastAsia="仿宋_GB2312" w:cs="仿宋_GB2312"/>
          <w:color w:val="000000"/>
          <w:sz w:val="28"/>
          <w:szCs w:val="28"/>
        </w:rPr>
      </w:pPr>
      <w:bookmarkStart w:id="9" w:name="_Toc6080"/>
      <w:r>
        <w:rPr>
          <w:rFonts w:hint="eastAsia" w:ascii="仿宋_GB2312" w:hAnsi="仿宋_GB2312" w:eastAsia="仿宋_GB2312" w:cs="仿宋_GB2312"/>
          <w:color w:val="000000"/>
          <w:sz w:val="28"/>
          <w:szCs w:val="28"/>
        </w:rPr>
        <w:t>（四）估价对象</w:t>
      </w:r>
      <w:bookmarkEnd w:id="9"/>
    </w:p>
    <w:p>
      <w:pPr>
        <w:keepLines w:val="0"/>
        <w:pageBreakBefore w:val="0"/>
        <w:widowControl w:val="0"/>
        <w:kinsoku/>
        <w:wordWrap/>
        <w:overflowPunct/>
        <w:topLinePunct w:val="0"/>
        <w:autoSpaceDE/>
        <w:autoSpaceDN/>
        <w:bidi w:val="0"/>
        <w:adjustRightInd/>
        <w:snapToGrid/>
        <w:spacing w:before="0" w:after="0" w:line="360" w:lineRule="auto"/>
        <w:ind w:right="0" w:firstLine="560" w:firstLineChars="200"/>
        <w:textAlignment w:val="auto"/>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rPr>
        <w:t xml:space="preserve"> 1、估价对象</w:t>
      </w:r>
      <w:r>
        <w:rPr>
          <w:rFonts w:hint="eastAsia" w:ascii="仿宋_GB2312" w:hAnsi="宋体" w:eastAsia="仿宋_GB2312"/>
          <w:color w:val="000000"/>
          <w:sz w:val="28"/>
          <w:szCs w:val="28"/>
          <w:lang w:val="en-US" w:eastAsia="zh-CN"/>
        </w:rPr>
        <w:t>范围</w:t>
      </w:r>
    </w:p>
    <w:p>
      <w:pPr>
        <w:keepLines w:val="0"/>
        <w:pageBreakBefore w:val="0"/>
        <w:widowControl w:val="0"/>
        <w:kinsoku/>
        <w:wordWrap/>
        <w:overflowPunct/>
        <w:topLinePunct w:val="0"/>
        <w:autoSpaceDE/>
        <w:autoSpaceDN/>
        <w:bidi w:val="0"/>
        <w:adjustRightInd/>
        <w:snapToGrid/>
        <w:spacing w:before="0" w:after="0" w:line="360" w:lineRule="auto"/>
        <w:ind w:right="0" w:firstLine="560" w:firstLineChars="200"/>
        <w:textAlignment w:val="auto"/>
        <w:rPr>
          <w:rFonts w:hint="eastAsia" w:ascii="仿宋_GB2312" w:hAnsi="宋体" w:eastAsia="仿宋_GB2312"/>
          <w:color w:val="000000"/>
          <w:sz w:val="28"/>
          <w:szCs w:val="28"/>
        </w:rPr>
      </w:pPr>
      <w:r>
        <w:rPr>
          <w:rFonts w:hint="eastAsia" w:ascii="仿宋_GB2312" w:hAnsi="仿宋_GB2312" w:eastAsia="仿宋_GB2312" w:cs="仿宋_GB2312"/>
          <w:snapToGrid w:val="0"/>
          <w:color w:val="auto"/>
          <w:kern w:val="0"/>
          <w:sz w:val="28"/>
          <w:szCs w:val="20"/>
        </w:rPr>
        <w:t>估价对</w:t>
      </w:r>
      <w:r>
        <w:rPr>
          <w:rFonts w:hint="eastAsia" w:ascii="仿宋_GB2312" w:hAnsi="仿宋_GB2312" w:eastAsia="仿宋_GB2312" w:cs="仿宋_GB2312"/>
          <w:snapToGrid w:val="0"/>
          <w:color w:val="auto"/>
          <w:kern w:val="0"/>
          <w:sz w:val="28"/>
          <w:szCs w:val="20"/>
          <w:lang w:val="en-US" w:eastAsia="zh-CN"/>
        </w:rPr>
        <w:t>象为沙河镇站东商贸城二街5号第四层房地产</w:t>
      </w:r>
      <w:r>
        <w:rPr>
          <w:rFonts w:hint="eastAsia" w:ascii="仿宋_GB2312" w:hAnsi="仿宋_GB2312" w:eastAsia="仿宋_GB2312" w:cs="仿宋_GB2312"/>
          <w:snapToGrid w:val="0"/>
          <w:color w:val="auto"/>
          <w:kern w:val="0"/>
          <w:sz w:val="28"/>
          <w:szCs w:val="20"/>
        </w:rPr>
        <w:t>，</w:t>
      </w:r>
      <w:r>
        <w:rPr>
          <w:rFonts w:hint="eastAsia" w:ascii="仿宋_GB2312" w:hAnsi="仿宋_GB2312" w:eastAsia="仿宋_GB2312" w:cs="仿宋_GB2312"/>
          <w:snapToGrid w:val="0"/>
          <w:color w:val="auto"/>
          <w:kern w:val="0"/>
          <w:sz w:val="28"/>
          <w:szCs w:val="20"/>
          <w:lang w:val="en-US" w:eastAsia="zh-CN"/>
        </w:rPr>
        <w:t>权利人为宋路明</w:t>
      </w:r>
      <w:r>
        <w:rPr>
          <w:rFonts w:hint="eastAsia" w:ascii="仿宋_GB2312" w:hAnsi="仿宋_GB2312" w:eastAsia="仿宋_GB2312" w:cs="仿宋_GB2312"/>
          <w:snapToGrid w:val="0"/>
          <w:color w:val="auto"/>
          <w:kern w:val="0"/>
          <w:sz w:val="28"/>
          <w:szCs w:val="20"/>
        </w:rPr>
        <w:t>，</w:t>
      </w:r>
      <w:r>
        <w:rPr>
          <w:rFonts w:hint="eastAsia" w:ascii="仿宋_GB2312" w:hAnsi="仿宋_GB2312" w:eastAsia="仿宋_GB2312" w:cs="仿宋_GB2312"/>
          <w:snapToGrid w:val="0"/>
          <w:color w:val="auto"/>
          <w:kern w:val="0"/>
          <w:sz w:val="28"/>
          <w:szCs w:val="20"/>
          <w:lang w:val="en-US" w:eastAsia="zh-CN"/>
        </w:rPr>
        <w:t>估价对象房屋总</w:t>
      </w:r>
      <w:r>
        <w:rPr>
          <w:rFonts w:hint="eastAsia" w:ascii="仿宋_GB2312" w:hAnsi="仿宋_GB2312" w:eastAsia="仿宋_GB2312" w:cs="仿宋_GB2312"/>
          <w:snapToGrid w:val="0"/>
          <w:color w:val="auto"/>
          <w:kern w:val="0"/>
          <w:sz w:val="28"/>
          <w:szCs w:val="20"/>
        </w:rPr>
        <w:t>建筑面积为</w:t>
      </w:r>
      <w:r>
        <w:rPr>
          <w:rFonts w:hint="eastAsia" w:ascii="仿宋_GB2312" w:hAnsi="仿宋_GB2312" w:eastAsia="仿宋_GB2312" w:cs="仿宋_GB2312"/>
          <w:snapToGrid w:val="0"/>
          <w:color w:val="auto"/>
          <w:kern w:val="0"/>
          <w:sz w:val="28"/>
          <w:szCs w:val="20"/>
          <w:lang w:val="en-US" w:eastAsia="zh-CN"/>
        </w:rPr>
        <w:t>103.51平方米</w:t>
      </w:r>
      <w:r>
        <w:rPr>
          <w:rFonts w:hint="eastAsia" w:ascii="仿宋_GB2312" w:hAnsi="仿宋_GB2312" w:eastAsia="仿宋_GB2312" w:cs="仿宋_GB2312"/>
          <w:snapToGrid w:val="0"/>
          <w:color w:val="auto"/>
          <w:kern w:val="0"/>
          <w:sz w:val="28"/>
          <w:szCs w:val="20"/>
        </w:rPr>
        <w:t>，</w:t>
      </w:r>
      <w:r>
        <w:rPr>
          <w:rFonts w:hint="eastAsia" w:ascii="仿宋_GB2312" w:hAnsi="仿宋_GB2312" w:eastAsia="仿宋_GB2312" w:cs="仿宋_GB2312"/>
          <w:snapToGrid w:val="0"/>
          <w:color w:val="auto"/>
          <w:kern w:val="0"/>
          <w:sz w:val="28"/>
          <w:szCs w:val="20"/>
          <w:lang w:eastAsia="zh-CN"/>
        </w:rPr>
        <w:t>房屋</w:t>
      </w:r>
      <w:r>
        <w:rPr>
          <w:rFonts w:hint="eastAsia" w:ascii="仿宋_GB2312" w:hAnsi="仿宋_GB2312" w:eastAsia="仿宋_GB2312" w:cs="仿宋_GB2312"/>
          <w:snapToGrid w:val="0"/>
          <w:color w:val="auto"/>
          <w:kern w:val="0"/>
          <w:sz w:val="28"/>
          <w:szCs w:val="20"/>
          <w:lang w:val="en-US" w:eastAsia="zh-CN"/>
        </w:rPr>
        <w:t>实际</w:t>
      </w:r>
      <w:r>
        <w:rPr>
          <w:rFonts w:hint="eastAsia" w:ascii="仿宋_GB2312" w:hAnsi="仿宋_GB2312" w:eastAsia="仿宋_GB2312" w:cs="仿宋_GB2312"/>
          <w:snapToGrid w:val="0"/>
          <w:color w:val="auto"/>
          <w:kern w:val="0"/>
          <w:sz w:val="28"/>
          <w:szCs w:val="20"/>
        </w:rPr>
        <w:t>用途为</w:t>
      </w:r>
      <w:r>
        <w:rPr>
          <w:rFonts w:hint="eastAsia" w:ascii="仿宋_GB2312" w:hAnsi="仿宋_GB2312" w:eastAsia="仿宋_GB2312" w:cs="仿宋_GB2312"/>
          <w:snapToGrid w:val="0"/>
          <w:color w:val="auto"/>
          <w:kern w:val="0"/>
          <w:sz w:val="28"/>
          <w:szCs w:val="20"/>
          <w:lang w:val="en-US" w:eastAsia="zh-CN"/>
        </w:rPr>
        <w:t>住宅</w:t>
      </w:r>
      <w:r>
        <w:rPr>
          <w:rFonts w:hint="eastAsia" w:ascii="仿宋_GB2312" w:hAnsi="仿宋_GB2312" w:eastAsia="仿宋_GB2312" w:cs="仿宋_GB2312"/>
          <w:snapToGrid w:val="0"/>
          <w:color w:val="auto"/>
          <w:kern w:val="0"/>
          <w:sz w:val="28"/>
          <w:szCs w:val="20"/>
        </w:rPr>
        <w:t>。</w:t>
      </w:r>
      <w:r>
        <w:rPr>
          <w:rFonts w:hint="eastAsia" w:eastAsia="仿宋_GB2312"/>
          <w:snapToGrid w:val="0"/>
          <w:color w:val="auto"/>
          <w:kern w:val="0"/>
          <w:sz w:val="28"/>
          <w:szCs w:val="20"/>
          <w:lang w:val="en-US" w:eastAsia="zh-CN"/>
        </w:rPr>
        <w:t>本次评估的对象包括房屋的所有权、分摊的土地使用权和确保其正常使用功能不可分割的基本设备设施及不可移动的装饰装修，现</w:t>
      </w:r>
      <w:r>
        <w:rPr>
          <w:rFonts w:hint="eastAsia" w:eastAsia="仿宋_GB2312"/>
          <w:snapToGrid w:val="0"/>
          <w:kern w:val="0"/>
          <w:sz w:val="28"/>
          <w:szCs w:val="20"/>
          <w:lang w:val="en-US" w:eastAsia="zh-CN"/>
        </w:rPr>
        <w:t>将估价对象基本状况概述如下：</w:t>
      </w:r>
    </w:p>
    <w:p>
      <w:pPr>
        <w:keepLines w:val="0"/>
        <w:pageBreakBefore w:val="0"/>
        <w:widowControl w:val="0"/>
        <w:numPr>
          <w:ilvl w:val="0"/>
          <w:numId w:val="3"/>
        </w:numPr>
        <w:kinsoku/>
        <w:wordWrap/>
        <w:overflowPunct/>
        <w:topLinePunct w:val="0"/>
        <w:autoSpaceDE/>
        <w:autoSpaceDN/>
        <w:bidi w:val="0"/>
        <w:adjustRightInd/>
        <w:snapToGrid/>
        <w:spacing w:before="0" w:after="0" w:line="360" w:lineRule="auto"/>
        <w:ind w:right="0" w:firstLine="560" w:firstLineChars="200"/>
        <w:textAlignment w:val="auto"/>
        <w:rPr>
          <w:rFonts w:hint="eastAsia" w:ascii="仿宋_GB2312" w:hAnsi="宋体" w:eastAsia="仿宋_GB2312"/>
          <w:color w:val="auto"/>
          <w:sz w:val="28"/>
          <w:szCs w:val="28"/>
          <w:lang w:val="en-US" w:eastAsia="zh-CN"/>
        </w:rPr>
      </w:pPr>
      <w:r>
        <w:rPr>
          <w:rFonts w:hint="eastAsia" w:ascii="仿宋_GB2312" w:hAnsi="宋体" w:eastAsia="仿宋_GB2312"/>
          <w:color w:val="000000"/>
          <w:sz w:val="28"/>
          <w:szCs w:val="28"/>
          <w:lang w:val="en-US" w:eastAsia="zh-CN"/>
        </w:rPr>
        <w:t>建筑物基本状况</w:t>
      </w:r>
    </w:p>
    <w:p>
      <w:pPr>
        <w:keepLines w:val="0"/>
        <w:pageBreakBefore w:val="0"/>
        <w:widowControl w:val="0"/>
        <w:kinsoku/>
        <w:wordWrap/>
        <w:overflowPunct/>
        <w:topLinePunct w:val="0"/>
        <w:autoSpaceDE/>
        <w:autoSpaceDN/>
        <w:bidi w:val="0"/>
        <w:adjustRightInd/>
        <w:snapToGrid/>
        <w:spacing w:before="0" w:after="0" w:line="360" w:lineRule="auto"/>
        <w:ind w:right="0" w:firstLine="560" w:firstLineChars="200"/>
        <w:textAlignment w:val="auto"/>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根据估价委托人提供的《不动产登记信息查询结果》及估价师现场勘察。建筑物基本状况如下表：</w:t>
      </w:r>
    </w:p>
    <w:p>
      <w:pPr>
        <w:keepLines w:val="0"/>
        <w:pageBreakBefore w:val="0"/>
        <w:widowControl w:val="0"/>
        <w:numPr>
          <w:ilvl w:val="0"/>
          <w:numId w:val="0"/>
        </w:numPr>
        <w:kinsoku/>
        <w:wordWrap/>
        <w:overflowPunct/>
        <w:topLinePunct w:val="0"/>
        <w:autoSpaceDE/>
        <w:autoSpaceDN/>
        <w:bidi w:val="0"/>
        <w:adjustRightInd/>
        <w:snapToGrid/>
        <w:spacing w:before="0" w:after="0" w:line="540" w:lineRule="exact"/>
        <w:ind w:right="34" w:rightChars="0"/>
        <w:jc w:val="center"/>
        <w:textAlignment w:val="auto"/>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建筑物基本状况表</w:t>
      </w:r>
    </w:p>
    <w:tbl>
      <w:tblPr>
        <w:tblStyle w:val="25"/>
        <w:tblW w:w="10315" w:type="dxa"/>
        <w:jc w:val="center"/>
        <w:shd w:val="clear" w:color="auto" w:fill="auto"/>
        <w:tblLayout w:type="fixed"/>
        <w:tblCellMar>
          <w:top w:w="0" w:type="dxa"/>
          <w:left w:w="0" w:type="dxa"/>
          <w:bottom w:w="0" w:type="dxa"/>
          <w:right w:w="0" w:type="dxa"/>
        </w:tblCellMar>
      </w:tblPr>
      <w:tblGrid>
        <w:gridCol w:w="1327"/>
        <w:gridCol w:w="862"/>
        <w:gridCol w:w="1813"/>
        <w:gridCol w:w="1700"/>
        <w:gridCol w:w="1450"/>
        <w:gridCol w:w="1450"/>
        <w:gridCol w:w="1713"/>
      </w:tblGrid>
      <w:tr>
        <w:tblPrEx>
          <w:shd w:val="clear" w:color="auto" w:fill="auto"/>
          <w:tblCellMar>
            <w:top w:w="0" w:type="dxa"/>
            <w:left w:w="0" w:type="dxa"/>
            <w:bottom w:w="0" w:type="dxa"/>
            <w:right w:w="0" w:type="dxa"/>
          </w:tblCellMar>
        </w:tblPrEx>
        <w:trPr>
          <w:trHeight w:val="90" w:hRule="atLeast"/>
          <w:jc w:val="center"/>
        </w:trPr>
        <w:tc>
          <w:tcPr>
            <w:tcW w:w="1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default" w:ascii="仿宋_GB2312" w:hAnsi="宋体" w:eastAsia="仿宋_GB2312" w:cs="仿宋_GB2312"/>
                <w:b w:val="0"/>
                <w:bCs w:val="0"/>
                <w:i w:val="0"/>
                <w:color w:val="000000"/>
                <w:sz w:val="20"/>
                <w:szCs w:val="20"/>
                <w:u w:val="none"/>
                <w:lang w:val="en-US" w:eastAsia="zh-CN"/>
              </w:rPr>
            </w:pPr>
            <w:r>
              <w:rPr>
                <w:rFonts w:hint="eastAsia" w:ascii="仿宋_GB2312" w:hAnsi="宋体" w:eastAsia="仿宋_GB2312" w:cs="仿宋_GB2312"/>
                <w:b w:val="0"/>
                <w:bCs w:val="0"/>
                <w:i w:val="0"/>
                <w:color w:val="000000"/>
                <w:sz w:val="20"/>
                <w:szCs w:val="20"/>
                <w:u w:val="none"/>
                <w:lang w:val="en-US" w:eastAsia="zh-CN"/>
              </w:rPr>
              <w:t>不动产权证号</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仿宋_GB2312" w:hAnsi="宋体" w:eastAsia="仿宋_GB2312" w:cs="仿宋_GB2312"/>
                <w:b w:val="0"/>
                <w:bCs w:val="0"/>
                <w:i w:val="0"/>
                <w:color w:val="000000"/>
                <w:sz w:val="20"/>
                <w:szCs w:val="20"/>
                <w:u w:val="none"/>
                <w:lang w:val="en-US" w:eastAsia="zh-CN"/>
              </w:rPr>
            </w:pPr>
            <w:r>
              <w:rPr>
                <w:rFonts w:hint="eastAsia" w:ascii="仿宋_GB2312" w:hAnsi="宋体" w:eastAsia="仿宋_GB2312" w:cs="仿宋_GB2312"/>
                <w:b w:val="0"/>
                <w:bCs w:val="0"/>
                <w:i w:val="0"/>
                <w:color w:val="000000"/>
                <w:sz w:val="20"/>
                <w:szCs w:val="20"/>
                <w:u w:val="none"/>
                <w:lang w:val="en-US" w:eastAsia="zh-CN"/>
              </w:rPr>
              <w:t>权利人</w:t>
            </w:r>
          </w:p>
        </w:tc>
        <w:tc>
          <w:tcPr>
            <w:tcW w:w="1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default" w:ascii="仿宋_GB2312" w:hAnsi="宋体" w:eastAsia="仿宋_GB2312" w:cs="仿宋_GB2312"/>
                <w:b w:val="0"/>
                <w:bCs w:val="0"/>
                <w:i w:val="0"/>
                <w:color w:val="000000"/>
                <w:sz w:val="20"/>
                <w:szCs w:val="20"/>
                <w:u w:val="none"/>
                <w:lang w:val="en-US" w:eastAsia="zh-CN"/>
              </w:rPr>
            </w:pPr>
            <w:r>
              <w:rPr>
                <w:rFonts w:hint="eastAsia" w:ascii="仿宋_GB2312" w:hAnsi="宋体" w:eastAsia="仿宋_GB2312" w:cs="仿宋_GB2312"/>
                <w:b w:val="0"/>
                <w:bCs w:val="0"/>
                <w:i w:val="0"/>
                <w:color w:val="000000"/>
                <w:sz w:val="20"/>
                <w:szCs w:val="20"/>
                <w:u w:val="none"/>
                <w:lang w:val="en-US" w:eastAsia="zh-CN"/>
              </w:rPr>
              <w:t>座落</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default" w:ascii="仿宋_GB2312" w:hAnsi="宋体" w:eastAsia="仿宋_GB2312" w:cs="仿宋_GB2312"/>
                <w:b w:val="0"/>
                <w:bCs w:val="0"/>
                <w:i w:val="0"/>
                <w:color w:val="000000"/>
                <w:sz w:val="20"/>
                <w:szCs w:val="20"/>
                <w:u w:val="none"/>
                <w:lang w:val="en-US" w:eastAsia="zh-CN"/>
              </w:rPr>
            </w:pPr>
            <w:r>
              <w:rPr>
                <w:rFonts w:hint="eastAsia" w:ascii="仿宋_GB2312" w:hAnsi="宋体" w:eastAsia="仿宋_GB2312" w:cs="仿宋_GB2312"/>
                <w:b w:val="0"/>
                <w:bCs w:val="0"/>
                <w:i w:val="0"/>
                <w:color w:val="000000"/>
                <w:sz w:val="20"/>
                <w:szCs w:val="20"/>
                <w:u w:val="none"/>
                <w:lang w:val="en-US" w:eastAsia="zh-CN"/>
              </w:rPr>
              <w:t>实际楼层/总楼层</w:t>
            </w: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仿宋_GB2312" w:hAnsi="宋体" w:eastAsia="仿宋_GB2312" w:cs="仿宋_GB2312"/>
                <w:b w:val="0"/>
                <w:bCs w:val="0"/>
                <w:i w:val="0"/>
                <w:color w:val="000000"/>
                <w:sz w:val="20"/>
                <w:szCs w:val="20"/>
                <w:u w:val="none"/>
                <w:lang w:val="en-US" w:eastAsia="zh-CN"/>
              </w:rPr>
            </w:pPr>
            <w:r>
              <w:rPr>
                <w:rFonts w:hint="eastAsia" w:ascii="仿宋_GB2312" w:hAnsi="宋体" w:eastAsia="仿宋_GB2312" w:cs="仿宋_GB2312"/>
                <w:b w:val="0"/>
                <w:bCs w:val="0"/>
                <w:i w:val="0"/>
                <w:color w:val="000000"/>
                <w:sz w:val="20"/>
                <w:szCs w:val="20"/>
                <w:u w:val="none"/>
                <w:lang w:val="en-US" w:eastAsia="zh-CN"/>
              </w:rPr>
              <w:t>建成年代</w:t>
            </w: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default" w:ascii="仿宋_GB2312" w:hAnsi="宋体" w:eastAsia="仿宋_GB2312" w:cs="仿宋_GB2312"/>
                <w:b w:val="0"/>
                <w:bCs w:val="0"/>
                <w:i w:val="0"/>
                <w:color w:val="000000"/>
                <w:sz w:val="20"/>
                <w:szCs w:val="20"/>
                <w:u w:val="none"/>
                <w:lang w:val="en-US" w:eastAsia="zh-CN"/>
              </w:rPr>
            </w:pPr>
            <w:r>
              <w:rPr>
                <w:rFonts w:hint="eastAsia" w:ascii="仿宋_GB2312" w:hAnsi="宋体" w:eastAsia="仿宋_GB2312" w:cs="仿宋_GB2312"/>
                <w:b w:val="0"/>
                <w:bCs w:val="0"/>
                <w:i w:val="0"/>
                <w:color w:val="000000"/>
                <w:sz w:val="20"/>
                <w:szCs w:val="20"/>
                <w:u w:val="none"/>
                <w:lang w:val="en-US" w:eastAsia="zh-CN"/>
              </w:rPr>
              <w:t>实际用途</w:t>
            </w:r>
          </w:p>
        </w:tc>
        <w:tc>
          <w:tcPr>
            <w:tcW w:w="1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default" w:ascii="仿宋_GB2312" w:hAnsi="宋体" w:eastAsia="仿宋_GB2312" w:cs="仿宋_GB2312"/>
                <w:b w:val="0"/>
                <w:bCs w:val="0"/>
                <w:i w:val="0"/>
                <w:color w:val="000000"/>
                <w:sz w:val="20"/>
                <w:szCs w:val="20"/>
                <w:u w:val="none"/>
                <w:lang w:val="en-US" w:eastAsia="zh-CN"/>
              </w:rPr>
            </w:pPr>
            <w:r>
              <w:rPr>
                <w:rFonts w:hint="eastAsia" w:ascii="仿宋_GB2312" w:hAnsi="宋体" w:eastAsia="仿宋_GB2312" w:cs="仿宋_GB2312"/>
                <w:b w:val="0"/>
                <w:bCs w:val="0"/>
                <w:i w:val="0"/>
                <w:color w:val="000000"/>
                <w:sz w:val="20"/>
                <w:szCs w:val="20"/>
                <w:u w:val="none"/>
                <w:lang w:val="en-US" w:eastAsia="zh-CN"/>
              </w:rPr>
              <w:t>建筑面积（㎡）</w:t>
            </w:r>
          </w:p>
        </w:tc>
      </w:tr>
      <w:tr>
        <w:tblPrEx>
          <w:shd w:val="clear" w:color="auto" w:fill="auto"/>
          <w:tblCellMar>
            <w:top w:w="0" w:type="dxa"/>
            <w:left w:w="0" w:type="dxa"/>
            <w:bottom w:w="0" w:type="dxa"/>
            <w:right w:w="0" w:type="dxa"/>
          </w:tblCellMar>
        </w:tblPrEx>
        <w:trPr>
          <w:trHeight w:val="479" w:hRule="atLeast"/>
          <w:jc w:val="center"/>
        </w:trPr>
        <w:tc>
          <w:tcPr>
            <w:tcW w:w="1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default" w:ascii="仿宋_GB2312" w:hAnsi="宋体" w:eastAsia="仿宋_GB2312" w:cs="仿宋_GB2312"/>
                <w:b w:val="0"/>
                <w:bCs w:val="0"/>
                <w:i w:val="0"/>
                <w:color w:val="000000"/>
                <w:sz w:val="20"/>
                <w:szCs w:val="20"/>
                <w:u w:val="none"/>
                <w:lang w:val="en-US" w:eastAsia="zh-CN"/>
              </w:rPr>
            </w:pPr>
            <w:r>
              <w:rPr>
                <w:rFonts w:hint="eastAsia" w:ascii="仿宋_GB2312" w:hAnsi="宋体" w:eastAsia="仿宋_GB2312" w:cs="仿宋_GB2312"/>
                <w:b w:val="0"/>
                <w:bCs w:val="0"/>
                <w:i w:val="0"/>
                <w:color w:val="000000"/>
                <w:sz w:val="20"/>
                <w:szCs w:val="20"/>
                <w:u w:val="none"/>
                <w:lang w:val="en-US" w:eastAsia="zh-CN"/>
              </w:rPr>
              <w:t>赣（2018）赣州市不动产权第0003572号</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仿宋_GB2312" w:hAnsi="宋体" w:eastAsia="仿宋_GB2312" w:cs="仿宋_GB2312"/>
                <w:b w:val="0"/>
                <w:bCs w:val="0"/>
                <w:i w:val="0"/>
                <w:color w:val="000000"/>
                <w:sz w:val="20"/>
                <w:szCs w:val="20"/>
                <w:u w:val="none"/>
                <w:lang w:val="en-US" w:eastAsia="zh-CN"/>
              </w:rPr>
            </w:pPr>
            <w:r>
              <w:rPr>
                <w:rFonts w:hint="eastAsia" w:ascii="仿宋_GB2312" w:hAnsi="宋体" w:eastAsia="仿宋_GB2312" w:cs="仿宋_GB2312"/>
                <w:b w:val="0"/>
                <w:bCs w:val="0"/>
                <w:i w:val="0"/>
                <w:color w:val="000000"/>
                <w:sz w:val="20"/>
                <w:szCs w:val="20"/>
                <w:u w:val="none"/>
                <w:lang w:val="en-US" w:eastAsia="zh-CN"/>
              </w:rPr>
              <w:t>宋路明</w:t>
            </w:r>
          </w:p>
        </w:tc>
        <w:tc>
          <w:tcPr>
            <w:tcW w:w="1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仿宋_GB2312" w:hAnsi="宋体" w:eastAsia="仿宋_GB2312" w:cs="仿宋_GB2312"/>
                <w:b w:val="0"/>
                <w:bCs w:val="0"/>
                <w:i w:val="0"/>
                <w:color w:val="000000"/>
                <w:sz w:val="20"/>
                <w:szCs w:val="20"/>
                <w:u w:val="none"/>
                <w:lang w:val="en-US" w:eastAsia="zh-CN"/>
              </w:rPr>
            </w:pPr>
            <w:r>
              <w:rPr>
                <w:rFonts w:hint="eastAsia" w:ascii="仿宋_GB2312" w:hAnsi="宋体" w:eastAsia="仿宋_GB2312" w:cs="仿宋_GB2312"/>
                <w:b w:val="0"/>
                <w:bCs w:val="0"/>
                <w:i w:val="0"/>
                <w:color w:val="000000"/>
                <w:sz w:val="20"/>
                <w:szCs w:val="20"/>
                <w:u w:val="none"/>
                <w:lang w:val="en-US" w:eastAsia="zh-CN"/>
              </w:rPr>
              <w:t>沙河镇站东商贸城二街5号第四层</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default" w:ascii="仿宋_GB2312" w:hAnsi="宋体" w:eastAsia="仿宋_GB2312" w:cs="仿宋_GB2312"/>
                <w:b w:val="0"/>
                <w:bCs w:val="0"/>
                <w:i w:val="0"/>
                <w:color w:val="000000"/>
                <w:sz w:val="20"/>
                <w:szCs w:val="20"/>
                <w:u w:val="none"/>
                <w:lang w:val="en-US" w:eastAsia="zh-CN"/>
              </w:rPr>
            </w:pPr>
            <w:r>
              <w:rPr>
                <w:rFonts w:hint="eastAsia" w:ascii="仿宋_GB2312" w:hAnsi="宋体" w:eastAsia="仿宋_GB2312" w:cs="仿宋_GB2312"/>
                <w:b w:val="0"/>
                <w:bCs w:val="0"/>
                <w:i w:val="0"/>
                <w:color w:val="000000"/>
                <w:sz w:val="20"/>
                <w:szCs w:val="20"/>
                <w:u w:val="none"/>
                <w:lang w:val="en-US" w:eastAsia="zh-CN"/>
              </w:rPr>
              <w:t>4/7</w:t>
            </w: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仿宋_GB2312" w:hAnsi="宋体" w:eastAsia="仿宋_GB2312" w:cs="仿宋_GB2312"/>
                <w:b w:val="0"/>
                <w:bCs w:val="0"/>
                <w:i w:val="0"/>
                <w:color w:val="000000"/>
                <w:sz w:val="20"/>
                <w:szCs w:val="20"/>
                <w:u w:val="none"/>
                <w:lang w:val="en-US" w:eastAsia="zh-CN"/>
              </w:rPr>
            </w:pPr>
            <w:r>
              <w:rPr>
                <w:rFonts w:hint="eastAsia" w:ascii="仿宋_GB2312" w:hAnsi="宋体" w:eastAsia="仿宋_GB2312" w:cs="仿宋_GB2312"/>
                <w:b w:val="0"/>
                <w:bCs w:val="0"/>
                <w:i w:val="0"/>
                <w:color w:val="000000"/>
                <w:sz w:val="20"/>
                <w:szCs w:val="20"/>
                <w:u w:val="none"/>
                <w:lang w:val="en-US" w:eastAsia="zh-CN"/>
              </w:rPr>
              <w:t>2003年</w:t>
            </w: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default" w:ascii="仿宋_GB2312" w:hAnsi="宋体" w:eastAsia="仿宋_GB2312" w:cs="仿宋_GB2312"/>
                <w:b w:val="0"/>
                <w:bCs w:val="0"/>
                <w:i w:val="0"/>
                <w:color w:val="000000"/>
                <w:sz w:val="20"/>
                <w:szCs w:val="20"/>
                <w:u w:val="none"/>
                <w:lang w:val="en-US" w:eastAsia="zh-CN"/>
              </w:rPr>
            </w:pPr>
            <w:r>
              <w:rPr>
                <w:rFonts w:hint="eastAsia" w:ascii="仿宋_GB2312" w:hAnsi="宋体" w:eastAsia="仿宋_GB2312" w:cs="仿宋_GB2312"/>
                <w:b w:val="0"/>
                <w:bCs w:val="0"/>
                <w:i w:val="0"/>
                <w:color w:val="000000"/>
                <w:sz w:val="20"/>
                <w:szCs w:val="20"/>
                <w:u w:val="none"/>
                <w:lang w:val="en-US" w:eastAsia="zh-CN"/>
              </w:rPr>
              <w:t>住宅</w:t>
            </w:r>
          </w:p>
        </w:tc>
        <w:tc>
          <w:tcPr>
            <w:tcW w:w="1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仿宋_GB2312" w:hAnsi="宋体" w:eastAsia="仿宋_GB2312" w:cs="仿宋_GB2312"/>
                <w:b w:val="0"/>
                <w:bCs w:val="0"/>
                <w:i w:val="0"/>
                <w:color w:val="000000"/>
                <w:sz w:val="20"/>
                <w:szCs w:val="20"/>
                <w:u w:val="none"/>
                <w:lang w:val="en-US" w:eastAsia="zh-CN"/>
              </w:rPr>
            </w:pPr>
            <w:r>
              <w:rPr>
                <w:rFonts w:hint="default" w:ascii="仿宋_GB2312" w:hAnsi="宋体" w:eastAsia="仿宋_GB2312" w:cs="仿宋_GB2312"/>
                <w:b w:val="0"/>
                <w:bCs w:val="0"/>
                <w:i w:val="0"/>
                <w:color w:val="000000"/>
                <w:sz w:val="20"/>
                <w:szCs w:val="20"/>
                <w:u w:val="none"/>
                <w:lang w:val="en-US" w:eastAsia="zh-CN"/>
              </w:rPr>
              <w:t>103.51</w:t>
            </w:r>
          </w:p>
        </w:tc>
      </w:tr>
      <w:tr>
        <w:tblPrEx>
          <w:shd w:val="clear" w:color="auto" w:fill="auto"/>
          <w:tblCellMar>
            <w:top w:w="0" w:type="dxa"/>
            <w:left w:w="0" w:type="dxa"/>
            <w:bottom w:w="0" w:type="dxa"/>
            <w:right w:w="0" w:type="dxa"/>
          </w:tblCellMar>
        </w:tblPrEx>
        <w:trPr>
          <w:trHeight w:val="479" w:hRule="atLeast"/>
          <w:jc w:val="center"/>
        </w:trPr>
        <w:tc>
          <w:tcPr>
            <w:tcW w:w="1031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
              <w:rPr>
                <w:rFonts w:hint="eastAsia" w:ascii="仿宋_GB2312" w:hAnsi="宋体" w:eastAsia="仿宋_GB2312" w:cs="仿宋_GB2312"/>
                <w:b w:val="0"/>
                <w:bCs w:val="0"/>
                <w:i w:val="0"/>
                <w:color w:val="auto"/>
                <w:kern w:val="0"/>
                <w:sz w:val="24"/>
                <w:szCs w:val="24"/>
                <w:u w:val="none"/>
                <w:lang w:val="en-US" w:eastAsia="zh-CN" w:bidi="ar"/>
              </w:rPr>
            </w:pPr>
            <w:r>
              <w:rPr>
                <w:rFonts w:hint="eastAsia" w:ascii="仿宋_GB2312" w:hAnsi="宋体" w:eastAsia="仿宋_GB2312" w:cs="仿宋_GB2312"/>
                <w:b w:val="0"/>
                <w:bCs w:val="0"/>
                <w:i w:val="0"/>
                <w:color w:val="auto"/>
                <w:kern w:val="0"/>
                <w:sz w:val="24"/>
                <w:szCs w:val="24"/>
                <w:u w:val="none"/>
                <w:lang w:val="en-US" w:eastAsia="zh-CN" w:bidi="ar"/>
              </w:rPr>
              <w:t>装饰装修情况：</w:t>
            </w:r>
            <w:bookmarkStart w:id="18" w:name="_GoBack"/>
            <w:r>
              <w:rPr>
                <w:rFonts w:hint="eastAsia" w:ascii="仿宋_GB2312" w:hAnsi="宋体" w:eastAsia="仿宋_GB2312" w:cs="仿宋_GB2312"/>
                <w:b w:val="0"/>
                <w:bCs w:val="0"/>
                <w:i w:val="0"/>
                <w:color w:val="auto"/>
                <w:kern w:val="0"/>
                <w:sz w:val="24"/>
                <w:szCs w:val="24"/>
                <w:u w:val="none"/>
                <w:lang w:val="en-US" w:eastAsia="zh-CN" w:bidi="ar"/>
              </w:rPr>
              <w:t>装修为简装，户型为三室两厅。</w:t>
            </w:r>
            <w:r>
              <w:rPr>
                <w:rFonts w:hint="eastAsia" w:ascii="仿宋_GB2312" w:hAnsi="宋体" w:eastAsia="仿宋_GB2312" w:cs="仿宋_GB2312"/>
                <w:b w:val="0"/>
                <w:bCs w:val="0"/>
                <w:i w:val="0"/>
                <w:color w:val="000000"/>
                <w:kern w:val="0"/>
                <w:sz w:val="24"/>
                <w:szCs w:val="24"/>
                <w:u w:val="none"/>
                <w:lang w:val="en-US" w:eastAsia="zh-CN" w:bidi="ar"/>
              </w:rPr>
              <w:t>外墙为水泥；入户门为防盗门；客厅：墙面为乳胶漆、地面地砖、天花木制夹板造型吊顶；厨房：墙面瓷砖到顶、地面地砖、天花塑扣板吊顶；卧室：墙面为乳胶漆、地面地砖；卫生间：墙面瓷砖到顶、地面地砖、天花为塑扣板吊顶。</w:t>
            </w:r>
            <w:bookmarkEnd w:id="18"/>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center"/>
              <w:rPr>
                <w:rFonts w:hint="eastAsia" w:ascii="仿宋_GB2312" w:hAnsi="宋体" w:eastAsia="仿宋_GB2312" w:cs="仿宋_GB2312"/>
                <w:b w:val="0"/>
                <w:bCs w:val="0"/>
                <w:i w:val="0"/>
                <w:color w:val="000000"/>
                <w:sz w:val="20"/>
                <w:szCs w:val="20"/>
                <w:u w:val="none"/>
                <w:lang w:val="en-US" w:eastAsia="zh-CN"/>
              </w:rPr>
            </w:pPr>
            <w:r>
              <w:rPr>
                <w:rFonts w:hint="eastAsia" w:ascii="仿宋_GB2312" w:hAnsi="宋体" w:eastAsia="仿宋_GB2312" w:cs="仿宋_GB2312"/>
                <w:b w:val="0"/>
                <w:bCs w:val="0"/>
                <w:i w:val="0"/>
                <w:color w:val="auto"/>
                <w:kern w:val="0"/>
                <w:sz w:val="24"/>
                <w:szCs w:val="24"/>
                <w:u w:val="none"/>
                <w:lang w:val="en-US" w:eastAsia="zh-CN" w:bidi="ar"/>
              </w:rPr>
              <w:t>现状使用情况：目前为空置。</w:t>
            </w:r>
          </w:p>
        </w:tc>
      </w:tr>
    </w:tbl>
    <w:p>
      <w:pPr>
        <w:keepLines w:val="0"/>
        <w:pageBreakBefore w:val="0"/>
        <w:widowControl w:val="0"/>
        <w:kinsoku/>
        <w:wordWrap/>
        <w:overflowPunct/>
        <w:topLinePunct w:val="0"/>
        <w:autoSpaceDE/>
        <w:autoSpaceDN/>
        <w:bidi w:val="0"/>
        <w:adjustRightInd/>
        <w:snapToGrid/>
        <w:spacing w:before="0" w:after="0" w:line="360" w:lineRule="auto"/>
        <w:ind w:right="0" w:firstLine="560" w:firstLineChars="200"/>
        <w:textAlignment w:val="auto"/>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3、估价对象权益状况</w:t>
      </w:r>
    </w:p>
    <w:p>
      <w:pPr>
        <w:keepLines w:val="0"/>
        <w:pageBreakBefore w:val="0"/>
        <w:widowControl w:val="0"/>
        <w:kinsoku/>
        <w:wordWrap/>
        <w:overflowPunct/>
        <w:topLinePunct w:val="0"/>
        <w:autoSpaceDE/>
        <w:autoSpaceDN/>
        <w:bidi w:val="0"/>
        <w:adjustRightInd/>
        <w:snapToGrid/>
        <w:spacing w:before="0" w:after="0" w:line="360" w:lineRule="auto"/>
        <w:ind w:right="0" w:firstLine="560" w:firstLineChars="200"/>
        <w:textAlignment w:val="auto"/>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根据委托方提供的资料及现场调查，估价对象于价值时点已被法院查封，存在抵押。根据本次估价目的是为</w:t>
      </w:r>
      <w:r>
        <w:rPr>
          <w:rFonts w:hint="eastAsia" w:ascii="仿宋_GB2312" w:hAnsi="仿宋_GB2312" w:eastAsia="仿宋_GB2312" w:cs="仿宋_GB2312"/>
          <w:snapToGrid w:val="0"/>
          <w:kern w:val="0"/>
          <w:sz w:val="28"/>
          <w:szCs w:val="20"/>
        </w:rPr>
        <w:t>人民法院确定财产处置参考价提供参考依据</w:t>
      </w:r>
      <w:r>
        <w:rPr>
          <w:rFonts w:hint="eastAsia" w:ascii="仿宋_GB2312" w:hAnsi="宋体" w:eastAsia="仿宋_GB2312"/>
          <w:color w:val="000000"/>
          <w:sz w:val="28"/>
          <w:szCs w:val="28"/>
          <w:lang w:val="en-US" w:eastAsia="zh-CN"/>
        </w:rPr>
        <w:t>，故本次评估未考虑估价对象被查封以及原有的担保物权和其他优先受偿权的影响。</w:t>
      </w:r>
    </w:p>
    <w:p>
      <w:pPr>
        <w:keepLines w:val="0"/>
        <w:pageBreakBefore w:val="0"/>
        <w:widowControl w:val="0"/>
        <w:kinsoku/>
        <w:wordWrap/>
        <w:overflowPunct/>
        <w:topLinePunct w:val="0"/>
        <w:autoSpaceDE/>
        <w:autoSpaceDN/>
        <w:bidi w:val="0"/>
        <w:adjustRightInd/>
        <w:snapToGrid/>
        <w:spacing w:before="0" w:after="0" w:line="360" w:lineRule="auto"/>
        <w:ind w:right="0" w:firstLine="560" w:firstLineChars="200"/>
        <w:textAlignment w:val="auto"/>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val="en-US" w:eastAsia="zh-CN"/>
        </w:rPr>
        <w:t>4</w:t>
      </w:r>
      <w:r>
        <w:rPr>
          <w:rFonts w:hint="eastAsia" w:ascii="仿宋_GB2312" w:hAnsi="宋体" w:eastAsia="仿宋_GB2312"/>
          <w:color w:val="000000"/>
          <w:sz w:val="28"/>
          <w:szCs w:val="28"/>
          <w:lang w:eastAsia="zh-CN"/>
        </w:rPr>
        <w:t>、委估对象</w:t>
      </w:r>
      <w:r>
        <w:rPr>
          <w:rFonts w:hint="eastAsia" w:ascii="仿宋_GB2312" w:hAnsi="宋体" w:eastAsia="仿宋_GB2312"/>
          <w:color w:val="000000"/>
          <w:sz w:val="28"/>
          <w:szCs w:val="28"/>
          <w:lang w:val="en-US" w:eastAsia="zh-CN"/>
        </w:rPr>
        <w:t>区位</w:t>
      </w:r>
      <w:r>
        <w:rPr>
          <w:rFonts w:hint="eastAsia" w:ascii="仿宋_GB2312" w:hAnsi="宋体" w:eastAsia="仿宋_GB2312"/>
          <w:color w:val="000000"/>
          <w:sz w:val="28"/>
          <w:szCs w:val="28"/>
          <w:lang w:eastAsia="zh-CN"/>
        </w:rPr>
        <w:t>状况</w:t>
      </w:r>
    </w:p>
    <w:p>
      <w:pPr>
        <w:keepLines w:val="0"/>
        <w:pageBreakBefore w:val="0"/>
        <w:widowControl w:val="0"/>
        <w:kinsoku/>
        <w:wordWrap/>
        <w:overflowPunct/>
        <w:topLinePunct w:val="0"/>
        <w:autoSpaceDE/>
        <w:autoSpaceDN/>
        <w:bidi w:val="0"/>
        <w:adjustRightInd/>
        <w:snapToGrid/>
        <w:spacing w:before="0" w:after="0" w:line="540" w:lineRule="exact"/>
        <w:ind w:right="0" w:firstLine="560" w:firstLineChars="200"/>
        <w:textAlignment w:val="auto"/>
        <w:rPr>
          <w:rFonts w:hint="eastAsia" w:ascii="仿宋_GB2312" w:hAnsi="宋体" w:eastAsia="仿宋_GB2312"/>
          <w:color w:val="000000"/>
          <w:sz w:val="28"/>
          <w:szCs w:val="28"/>
          <w:lang w:eastAsia="zh-CN"/>
        </w:rPr>
      </w:pPr>
      <w:r>
        <w:rPr>
          <w:rFonts w:hint="default" w:ascii="仿宋_GB2312" w:hAnsi="宋体" w:eastAsia="仿宋_GB2312"/>
          <w:color w:val="000000"/>
          <w:sz w:val="28"/>
          <w:szCs w:val="28"/>
          <w:lang w:eastAsia="zh-CN"/>
        </w:rPr>
        <w:t>赣州，</w:t>
      </w:r>
      <w:r>
        <w:rPr>
          <w:rFonts w:hint="default" w:ascii="仿宋_GB2312" w:hAnsi="宋体" w:eastAsia="仿宋_GB2312"/>
          <w:color w:val="000000"/>
          <w:sz w:val="28"/>
          <w:szCs w:val="28"/>
          <w:lang w:eastAsia="zh-CN"/>
        </w:rPr>
        <w:fldChar w:fldCharType="begin"/>
      </w:r>
      <w:r>
        <w:rPr>
          <w:rFonts w:hint="default" w:ascii="仿宋_GB2312" w:hAnsi="宋体" w:eastAsia="仿宋_GB2312"/>
          <w:color w:val="000000"/>
          <w:sz w:val="28"/>
          <w:szCs w:val="28"/>
          <w:lang w:eastAsia="zh-CN"/>
        </w:rPr>
        <w:instrText xml:space="preserve"> HYPERLINK "https://baike.so.com/doc/3077221-3243305.html" \t "https://baike.so.com/doc/_blank" </w:instrText>
      </w:r>
      <w:r>
        <w:rPr>
          <w:rFonts w:hint="default" w:ascii="仿宋_GB2312" w:hAnsi="宋体" w:eastAsia="仿宋_GB2312"/>
          <w:color w:val="000000"/>
          <w:sz w:val="28"/>
          <w:szCs w:val="28"/>
          <w:lang w:eastAsia="zh-CN"/>
        </w:rPr>
        <w:fldChar w:fldCharType="separate"/>
      </w:r>
      <w:r>
        <w:rPr>
          <w:rFonts w:hint="default" w:ascii="仿宋_GB2312" w:hAnsi="宋体" w:eastAsia="仿宋_GB2312"/>
          <w:color w:val="000000"/>
          <w:sz w:val="28"/>
          <w:szCs w:val="28"/>
          <w:lang w:eastAsia="zh-CN"/>
        </w:rPr>
        <w:t>江西省</w:t>
      </w:r>
      <w:r>
        <w:rPr>
          <w:rFonts w:hint="default" w:ascii="仿宋_GB2312" w:hAnsi="宋体" w:eastAsia="仿宋_GB2312"/>
          <w:color w:val="000000"/>
          <w:sz w:val="28"/>
          <w:szCs w:val="28"/>
          <w:lang w:eastAsia="zh-CN"/>
        </w:rPr>
        <w:fldChar w:fldCharType="end"/>
      </w:r>
      <w:r>
        <w:rPr>
          <w:rFonts w:hint="default" w:ascii="仿宋_GB2312" w:hAnsi="宋体" w:eastAsia="仿宋_GB2312"/>
          <w:color w:val="000000"/>
          <w:sz w:val="28"/>
          <w:szCs w:val="28"/>
          <w:lang w:eastAsia="zh-CN"/>
        </w:rPr>
        <w:t>省辖市，简称“虔”，别称“虔城”，也称“赣南”，位于江西省南部，是江西省的南大门，是江西省面积最大、人口最多的地级市。赣州地处中亚热带南缘属亚热带季风气候区，地形以山地、丘陵为主，总面积39379.64平方千米，占江西省总面积的23.6%，下辖3个市辖区、14个县、1个县级市。2016年末全市户籍人口为970.78万人，比上年末增加10.15万人。</w:t>
      </w:r>
    </w:p>
    <w:p>
      <w:pPr>
        <w:keepLines w:val="0"/>
        <w:pageBreakBefore w:val="0"/>
        <w:widowControl w:val="0"/>
        <w:kinsoku/>
        <w:wordWrap/>
        <w:overflowPunct/>
        <w:topLinePunct w:val="0"/>
        <w:autoSpaceDE/>
        <w:autoSpaceDN/>
        <w:bidi w:val="0"/>
        <w:adjustRightInd/>
        <w:snapToGrid/>
        <w:spacing w:before="0" w:after="0" w:line="540" w:lineRule="exact"/>
        <w:ind w:right="0" w:firstLine="560" w:firstLineChars="200"/>
        <w:textAlignment w:val="auto"/>
        <w:rPr>
          <w:rFonts w:hint="default" w:ascii="仿宋_GB2312" w:hAnsi="宋体" w:eastAsia="仿宋_GB2312"/>
          <w:color w:val="000000"/>
          <w:sz w:val="28"/>
          <w:szCs w:val="28"/>
          <w:lang w:eastAsia="zh-CN"/>
        </w:rPr>
      </w:pPr>
      <w:r>
        <w:rPr>
          <w:rFonts w:hint="default" w:ascii="仿宋_GB2312" w:hAnsi="宋体" w:eastAsia="仿宋_GB2312"/>
          <w:color w:val="000000"/>
          <w:sz w:val="28"/>
          <w:szCs w:val="28"/>
          <w:lang w:eastAsia="zh-CN"/>
        </w:rPr>
        <w:t>赣州是江西省省域副中心城市，拥有4个国家级开发区和1个综合保税区，是全国稀有金属产业基地和先进制造业基地、原中央苏区振兴发展示范区、红色文化传承创新区和著名的红色旅游目的地，是全国区域性综合交通枢纽、赣粤闽湘四省通衢的区域性现代化中心城市。赣州都市区是江西南部重点培育和发展的都市区。</w:t>
      </w:r>
    </w:p>
    <w:p>
      <w:pPr>
        <w:keepLines w:val="0"/>
        <w:pageBreakBefore w:val="0"/>
        <w:widowControl w:val="0"/>
        <w:kinsoku/>
        <w:wordWrap/>
        <w:overflowPunct/>
        <w:topLinePunct w:val="0"/>
        <w:autoSpaceDE/>
        <w:autoSpaceDN/>
        <w:bidi w:val="0"/>
        <w:adjustRightInd/>
        <w:snapToGrid/>
        <w:spacing w:before="0" w:after="0" w:line="540" w:lineRule="exact"/>
        <w:ind w:right="0" w:firstLine="560" w:firstLineChars="200"/>
        <w:textAlignment w:val="auto"/>
        <w:rPr>
          <w:rFonts w:hint="default" w:ascii="仿宋_GB2312" w:hAnsi="宋体" w:eastAsia="仿宋_GB2312"/>
          <w:color w:val="000000"/>
          <w:sz w:val="28"/>
          <w:szCs w:val="28"/>
          <w:lang w:eastAsia="zh-CN"/>
        </w:rPr>
      </w:pPr>
      <w:r>
        <w:rPr>
          <w:rFonts w:hint="default" w:ascii="仿宋_GB2312" w:hAnsi="宋体" w:eastAsia="仿宋_GB2312"/>
          <w:color w:val="000000"/>
          <w:sz w:val="28"/>
          <w:szCs w:val="28"/>
          <w:lang w:eastAsia="zh-CN"/>
        </w:rPr>
        <w:t>赣州是国家历史文化名城、全国文明城市、国家森林城市、原中央苏区所在地、万里长征的起点城市，也是</w:t>
      </w:r>
      <w:r>
        <w:rPr>
          <w:rFonts w:hint="default" w:ascii="仿宋_GB2312" w:hAnsi="宋体" w:eastAsia="仿宋_GB2312"/>
          <w:color w:val="000000"/>
          <w:sz w:val="28"/>
          <w:szCs w:val="28"/>
          <w:lang w:eastAsia="zh-CN"/>
        </w:rPr>
        <w:fldChar w:fldCharType="begin"/>
      </w:r>
      <w:r>
        <w:rPr>
          <w:rFonts w:hint="default" w:ascii="仿宋_GB2312" w:hAnsi="宋体" w:eastAsia="仿宋_GB2312"/>
          <w:color w:val="000000"/>
          <w:sz w:val="28"/>
          <w:szCs w:val="28"/>
          <w:lang w:eastAsia="zh-CN"/>
        </w:rPr>
        <w:instrText xml:space="preserve"> HYPERLINK "https://baike.so.com/doc/5338128-5573567.html" \t "https://baike.so.com/doc/_blank" </w:instrText>
      </w:r>
      <w:r>
        <w:rPr>
          <w:rFonts w:hint="default" w:ascii="仿宋_GB2312" w:hAnsi="宋体" w:eastAsia="仿宋_GB2312"/>
          <w:color w:val="000000"/>
          <w:sz w:val="28"/>
          <w:szCs w:val="28"/>
          <w:lang w:eastAsia="zh-CN"/>
        </w:rPr>
        <w:fldChar w:fldCharType="separate"/>
      </w:r>
      <w:r>
        <w:rPr>
          <w:rFonts w:hint="default" w:ascii="仿宋_GB2312" w:hAnsi="宋体" w:eastAsia="仿宋_GB2312"/>
          <w:color w:val="000000"/>
          <w:sz w:val="28"/>
          <w:szCs w:val="28"/>
          <w:lang w:eastAsia="zh-CN"/>
        </w:rPr>
        <w:t>客家人</w:t>
      </w:r>
      <w:r>
        <w:rPr>
          <w:rFonts w:hint="default" w:ascii="仿宋_GB2312" w:hAnsi="宋体" w:eastAsia="仿宋_GB2312"/>
          <w:color w:val="000000"/>
          <w:sz w:val="28"/>
          <w:szCs w:val="28"/>
          <w:lang w:eastAsia="zh-CN"/>
        </w:rPr>
        <w:fldChar w:fldCharType="end"/>
      </w:r>
      <w:r>
        <w:rPr>
          <w:rFonts w:hint="default" w:ascii="仿宋_GB2312" w:hAnsi="宋体" w:eastAsia="仿宋_GB2312"/>
          <w:color w:val="000000"/>
          <w:sz w:val="28"/>
          <w:szCs w:val="28"/>
          <w:lang w:eastAsia="zh-CN"/>
        </w:rPr>
        <w:t>主要聚居地之一，</w:t>
      </w:r>
      <w:r>
        <w:rPr>
          <w:rFonts w:hint="default" w:ascii="仿宋_GB2312" w:hAnsi="宋体" w:eastAsia="仿宋_GB2312"/>
          <w:color w:val="000000"/>
          <w:sz w:val="28"/>
          <w:szCs w:val="28"/>
          <w:lang w:eastAsia="zh-CN"/>
        </w:rPr>
        <w:fldChar w:fldCharType="begin"/>
      </w:r>
      <w:r>
        <w:rPr>
          <w:rFonts w:hint="default" w:ascii="仿宋_GB2312" w:hAnsi="宋体" w:eastAsia="仿宋_GB2312"/>
          <w:color w:val="000000"/>
          <w:sz w:val="28"/>
          <w:szCs w:val="28"/>
          <w:lang w:eastAsia="zh-CN"/>
        </w:rPr>
        <w:instrText xml:space="preserve"> HYPERLINK "https://baike.so.com/doc/4434611-4642558.html" \t "https://baike.so.com/doc/_blank" </w:instrText>
      </w:r>
      <w:r>
        <w:rPr>
          <w:rFonts w:hint="default" w:ascii="仿宋_GB2312" w:hAnsi="宋体" w:eastAsia="仿宋_GB2312"/>
          <w:color w:val="000000"/>
          <w:sz w:val="28"/>
          <w:szCs w:val="28"/>
          <w:lang w:eastAsia="zh-CN"/>
        </w:rPr>
        <w:fldChar w:fldCharType="separate"/>
      </w:r>
      <w:r>
        <w:rPr>
          <w:rFonts w:hint="default" w:ascii="仿宋_GB2312" w:hAnsi="宋体" w:eastAsia="仿宋_GB2312"/>
          <w:color w:val="000000"/>
          <w:sz w:val="28"/>
          <w:szCs w:val="28"/>
          <w:lang w:eastAsia="zh-CN"/>
        </w:rPr>
        <w:t>客家文化</w:t>
      </w:r>
      <w:r>
        <w:rPr>
          <w:rFonts w:hint="default" w:ascii="仿宋_GB2312" w:hAnsi="宋体" w:eastAsia="仿宋_GB2312"/>
          <w:color w:val="000000"/>
          <w:sz w:val="28"/>
          <w:szCs w:val="28"/>
          <w:lang w:eastAsia="zh-CN"/>
        </w:rPr>
        <w:fldChar w:fldCharType="end"/>
      </w:r>
      <w:r>
        <w:rPr>
          <w:rFonts w:hint="default" w:ascii="仿宋_GB2312" w:hAnsi="宋体" w:eastAsia="仿宋_GB2312"/>
          <w:color w:val="000000"/>
          <w:sz w:val="28"/>
          <w:szCs w:val="28"/>
          <w:lang w:eastAsia="zh-CN"/>
        </w:rPr>
        <w:t>浓厚。</w:t>
      </w:r>
      <w:r>
        <w:rPr>
          <w:rFonts w:hint="default" w:ascii="仿宋_GB2312" w:hAnsi="宋体" w:eastAsia="仿宋_GB2312"/>
          <w:color w:val="000000"/>
          <w:sz w:val="28"/>
          <w:szCs w:val="28"/>
          <w:lang w:eastAsia="zh-CN"/>
        </w:rPr>
        <w:fldChar w:fldCharType="begin"/>
      </w:r>
      <w:r>
        <w:rPr>
          <w:rFonts w:hint="default" w:ascii="仿宋_GB2312" w:hAnsi="宋体" w:eastAsia="仿宋_GB2312"/>
          <w:color w:val="000000"/>
          <w:sz w:val="28"/>
          <w:szCs w:val="28"/>
          <w:lang w:eastAsia="zh-CN"/>
        </w:rPr>
        <w:instrText xml:space="preserve"> HYPERLINK "https://baike.so.com/doc/982864-1038983.html" \t "https://baike.so.com/doc/_blank" </w:instrText>
      </w:r>
      <w:r>
        <w:rPr>
          <w:rFonts w:hint="default" w:ascii="仿宋_GB2312" w:hAnsi="宋体" w:eastAsia="仿宋_GB2312"/>
          <w:color w:val="000000"/>
          <w:sz w:val="28"/>
          <w:szCs w:val="28"/>
          <w:lang w:eastAsia="zh-CN"/>
        </w:rPr>
        <w:fldChar w:fldCharType="separate"/>
      </w:r>
      <w:r>
        <w:rPr>
          <w:rFonts w:hint="default" w:ascii="仿宋_GB2312" w:hAnsi="宋体" w:eastAsia="仿宋_GB2312"/>
          <w:color w:val="000000"/>
          <w:sz w:val="28"/>
          <w:szCs w:val="28"/>
          <w:lang w:eastAsia="zh-CN"/>
        </w:rPr>
        <w:t>文天祥</w:t>
      </w:r>
      <w:r>
        <w:rPr>
          <w:rFonts w:hint="default" w:ascii="仿宋_GB2312" w:hAnsi="宋体" w:eastAsia="仿宋_GB2312"/>
          <w:color w:val="000000"/>
          <w:sz w:val="28"/>
          <w:szCs w:val="28"/>
          <w:lang w:eastAsia="zh-CN"/>
        </w:rPr>
        <w:fldChar w:fldCharType="end"/>
      </w:r>
      <w:r>
        <w:rPr>
          <w:rFonts w:hint="default" w:ascii="仿宋_GB2312" w:hAnsi="宋体" w:eastAsia="仿宋_GB2312"/>
          <w:color w:val="000000"/>
          <w:sz w:val="28"/>
          <w:szCs w:val="28"/>
          <w:lang w:eastAsia="zh-CN"/>
        </w:rPr>
        <w:t>、</w:t>
      </w:r>
      <w:r>
        <w:rPr>
          <w:rFonts w:hint="default" w:ascii="仿宋_GB2312" w:hAnsi="宋体" w:eastAsia="仿宋_GB2312"/>
          <w:color w:val="000000"/>
          <w:sz w:val="28"/>
          <w:szCs w:val="28"/>
          <w:lang w:eastAsia="zh-CN"/>
        </w:rPr>
        <w:fldChar w:fldCharType="begin"/>
      </w:r>
      <w:r>
        <w:rPr>
          <w:rFonts w:hint="default" w:ascii="仿宋_GB2312" w:hAnsi="宋体" w:eastAsia="仿宋_GB2312"/>
          <w:color w:val="000000"/>
          <w:sz w:val="28"/>
          <w:szCs w:val="28"/>
          <w:lang w:eastAsia="zh-CN"/>
        </w:rPr>
        <w:instrText xml:space="preserve"> HYPERLINK "https://baike.so.com/doc/1135193-1200892.html" \t "https://baike.so.com/doc/_blank" </w:instrText>
      </w:r>
      <w:r>
        <w:rPr>
          <w:rFonts w:hint="default" w:ascii="仿宋_GB2312" w:hAnsi="宋体" w:eastAsia="仿宋_GB2312"/>
          <w:color w:val="000000"/>
          <w:sz w:val="28"/>
          <w:szCs w:val="28"/>
          <w:lang w:eastAsia="zh-CN"/>
        </w:rPr>
        <w:fldChar w:fldCharType="separate"/>
      </w:r>
      <w:r>
        <w:rPr>
          <w:rFonts w:hint="default" w:ascii="仿宋_GB2312" w:hAnsi="宋体" w:eastAsia="仿宋_GB2312"/>
          <w:color w:val="000000"/>
          <w:sz w:val="28"/>
          <w:szCs w:val="28"/>
          <w:lang w:eastAsia="zh-CN"/>
        </w:rPr>
        <w:t>周敦颐</w:t>
      </w:r>
      <w:r>
        <w:rPr>
          <w:rFonts w:hint="default" w:ascii="仿宋_GB2312" w:hAnsi="宋体" w:eastAsia="仿宋_GB2312"/>
          <w:color w:val="000000"/>
          <w:sz w:val="28"/>
          <w:szCs w:val="28"/>
          <w:lang w:eastAsia="zh-CN"/>
        </w:rPr>
        <w:fldChar w:fldCharType="end"/>
      </w:r>
      <w:r>
        <w:rPr>
          <w:rFonts w:hint="default" w:ascii="仿宋_GB2312" w:hAnsi="宋体" w:eastAsia="仿宋_GB2312"/>
          <w:color w:val="000000"/>
          <w:sz w:val="28"/>
          <w:szCs w:val="28"/>
          <w:lang w:eastAsia="zh-CN"/>
        </w:rPr>
        <w:t>、</w:t>
      </w:r>
      <w:r>
        <w:rPr>
          <w:rFonts w:hint="default" w:ascii="仿宋_GB2312" w:hAnsi="宋体" w:eastAsia="仿宋_GB2312"/>
          <w:color w:val="000000"/>
          <w:sz w:val="28"/>
          <w:szCs w:val="28"/>
          <w:lang w:eastAsia="zh-CN"/>
        </w:rPr>
        <w:fldChar w:fldCharType="begin"/>
      </w:r>
      <w:r>
        <w:rPr>
          <w:rFonts w:hint="default" w:ascii="仿宋_GB2312" w:hAnsi="宋体" w:eastAsia="仿宋_GB2312"/>
          <w:color w:val="000000"/>
          <w:sz w:val="28"/>
          <w:szCs w:val="28"/>
          <w:lang w:eastAsia="zh-CN"/>
        </w:rPr>
        <w:instrText xml:space="preserve"> HYPERLINK "https://baike.so.com/doc/2843683-24562624.html" \t "https://baike.so.com/doc/_blank" </w:instrText>
      </w:r>
      <w:r>
        <w:rPr>
          <w:rFonts w:hint="default" w:ascii="仿宋_GB2312" w:hAnsi="宋体" w:eastAsia="仿宋_GB2312"/>
          <w:color w:val="000000"/>
          <w:sz w:val="28"/>
          <w:szCs w:val="28"/>
          <w:lang w:eastAsia="zh-CN"/>
        </w:rPr>
        <w:fldChar w:fldCharType="separate"/>
      </w:r>
      <w:r>
        <w:rPr>
          <w:rFonts w:hint="default" w:ascii="仿宋_GB2312" w:hAnsi="宋体" w:eastAsia="仿宋_GB2312"/>
          <w:color w:val="000000"/>
          <w:sz w:val="28"/>
          <w:szCs w:val="28"/>
          <w:lang w:eastAsia="zh-CN"/>
        </w:rPr>
        <w:t>海瑞</w:t>
      </w:r>
      <w:r>
        <w:rPr>
          <w:rFonts w:hint="default" w:ascii="仿宋_GB2312" w:hAnsi="宋体" w:eastAsia="仿宋_GB2312"/>
          <w:color w:val="000000"/>
          <w:sz w:val="28"/>
          <w:szCs w:val="28"/>
          <w:lang w:eastAsia="zh-CN"/>
        </w:rPr>
        <w:fldChar w:fldCharType="end"/>
      </w:r>
      <w:r>
        <w:rPr>
          <w:rFonts w:hint="default" w:ascii="仿宋_GB2312" w:hAnsi="宋体" w:eastAsia="仿宋_GB2312"/>
          <w:color w:val="000000"/>
          <w:sz w:val="28"/>
          <w:szCs w:val="28"/>
          <w:lang w:eastAsia="zh-CN"/>
        </w:rPr>
        <w:t>、</w:t>
      </w:r>
      <w:r>
        <w:rPr>
          <w:rFonts w:hint="default" w:ascii="仿宋_GB2312" w:hAnsi="宋体" w:eastAsia="仿宋_GB2312"/>
          <w:color w:val="000000"/>
          <w:sz w:val="28"/>
          <w:szCs w:val="28"/>
          <w:lang w:eastAsia="zh-CN"/>
        </w:rPr>
        <w:fldChar w:fldCharType="begin"/>
      </w:r>
      <w:r>
        <w:rPr>
          <w:rFonts w:hint="default" w:ascii="仿宋_GB2312" w:hAnsi="宋体" w:eastAsia="仿宋_GB2312"/>
          <w:color w:val="000000"/>
          <w:sz w:val="28"/>
          <w:szCs w:val="28"/>
          <w:lang w:eastAsia="zh-CN"/>
        </w:rPr>
        <w:instrText xml:space="preserve"> HYPERLINK "https://baike.so.com/doc/5367830-5603602.html" \t "https://baike.so.com/doc/_blank" </w:instrText>
      </w:r>
      <w:r>
        <w:rPr>
          <w:rFonts w:hint="default" w:ascii="仿宋_GB2312" w:hAnsi="宋体" w:eastAsia="仿宋_GB2312"/>
          <w:color w:val="000000"/>
          <w:sz w:val="28"/>
          <w:szCs w:val="28"/>
          <w:lang w:eastAsia="zh-CN"/>
        </w:rPr>
        <w:fldChar w:fldCharType="separate"/>
      </w:r>
      <w:r>
        <w:rPr>
          <w:rFonts w:hint="default" w:ascii="仿宋_GB2312" w:hAnsi="宋体" w:eastAsia="仿宋_GB2312"/>
          <w:color w:val="000000"/>
          <w:sz w:val="28"/>
          <w:szCs w:val="28"/>
          <w:lang w:eastAsia="zh-CN"/>
        </w:rPr>
        <w:t>王守仁</w:t>
      </w:r>
      <w:r>
        <w:rPr>
          <w:rFonts w:hint="default" w:ascii="仿宋_GB2312" w:hAnsi="宋体" w:eastAsia="仿宋_GB2312"/>
          <w:color w:val="000000"/>
          <w:sz w:val="28"/>
          <w:szCs w:val="28"/>
          <w:lang w:eastAsia="zh-CN"/>
        </w:rPr>
        <w:fldChar w:fldCharType="end"/>
      </w:r>
      <w:r>
        <w:rPr>
          <w:rFonts w:hint="default" w:ascii="仿宋_GB2312" w:hAnsi="宋体" w:eastAsia="仿宋_GB2312"/>
          <w:color w:val="000000"/>
          <w:sz w:val="28"/>
          <w:szCs w:val="28"/>
          <w:lang w:eastAsia="zh-CN"/>
        </w:rPr>
        <w:t>、</w:t>
      </w:r>
      <w:r>
        <w:rPr>
          <w:rFonts w:hint="default" w:ascii="仿宋_GB2312" w:hAnsi="宋体" w:eastAsia="仿宋_GB2312"/>
          <w:color w:val="000000"/>
          <w:sz w:val="28"/>
          <w:szCs w:val="28"/>
          <w:lang w:eastAsia="zh-CN"/>
        </w:rPr>
        <w:fldChar w:fldCharType="begin"/>
      </w:r>
      <w:r>
        <w:rPr>
          <w:rFonts w:hint="default" w:ascii="仿宋_GB2312" w:hAnsi="宋体" w:eastAsia="仿宋_GB2312"/>
          <w:color w:val="000000"/>
          <w:sz w:val="28"/>
          <w:szCs w:val="28"/>
          <w:lang w:eastAsia="zh-CN"/>
        </w:rPr>
        <w:instrText xml:space="preserve"> HYPERLINK "https://baike.so.com/doc/5352152-5587610.html" \t "https://baike.so.com/doc/_blank" </w:instrText>
      </w:r>
      <w:r>
        <w:rPr>
          <w:rFonts w:hint="default" w:ascii="仿宋_GB2312" w:hAnsi="宋体" w:eastAsia="仿宋_GB2312"/>
          <w:color w:val="000000"/>
          <w:sz w:val="28"/>
          <w:szCs w:val="28"/>
          <w:lang w:eastAsia="zh-CN"/>
        </w:rPr>
        <w:fldChar w:fldCharType="separate"/>
      </w:r>
      <w:r>
        <w:rPr>
          <w:rFonts w:hint="default" w:ascii="仿宋_GB2312" w:hAnsi="宋体" w:eastAsia="仿宋_GB2312"/>
          <w:color w:val="000000"/>
          <w:sz w:val="28"/>
          <w:szCs w:val="28"/>
          <w:lang w:eastAsia="zh-CN"/>
        </w:rPr>
        <w:t>辛弃疾</w:t>
      </w:r>
      <w:r>
        <w:rPr>
          <w:rFonts w:hint="default" w:ascii="仿宋_GB2312" w:hAnsi="宋体" w:eastAsia="仿宋_GB2312"/>
          <w:color w:val="000000"/>
          <w:sz w:val="28"/>
          <w:szCs w:val="28"/>
          <w:lang w:eastAsia="zh-CN"/>
        </w:rPr>
        <w:fldChar w:fldCharType="end"/>
      </w:r>
      <w:r>
        <w:rPr>
          <w:rFonts w:hint="default" w:ascii="仿宋_GB2312" w:hAnsi="宋体" w:eastAsia="仿宋_GB2312"/>
          <w:color w:val="000000"/>
          <w:sz w:val="28"/>
          <w:szCs w:val="28"/>
          <w:lang w:eastAsia="zh-CN"/>
        </w:rPr>
        <w:t>和中共第一代核心领导人皆在赣南主政过。赣州是中国魅力城市之一，有着千里赣江第一城、江南宋城、红色故都、客家摇篮、世界橙乡、世界钨都、稀土王国、和世界风水堪舆文化发源地等美誉。</w:t>
      </w:r>
    </w:p>
    <w:p>
      <w:pPr>
        <w:keepLines w:val="0"/>
        <w:pageBreakBefore w:val="0"/>
        <w:widowControl w:val="0"/>
        <w:kinsoku/>
        <w:wordWrap/>
        <w:overflowPunct/>
        <w:topLinePunct w:val="0"/>
        <w:autoSpaceDE/>
        <w:autoSpaceDN/>
        <w:bidi w:val="0"/>
        <w:adjustRightInd/>
        <w:snapToGrid/>
        <w:spacing w:before="0" w:after="0" w:line="360" w:lineRule="auto"/>
        <w:ind w:right="0" w:firstLine="560" w:firstLineChars="200"/>
        <w:textAlignment w:val="auto"/>
        <w:rPr>
          <w:rFonts w:hint="eastAsia" w:ascii="仿宋_GB2312" w:hAnsi="宋体" w:eastAsia="仿宋_GB2312"/>
          <w:color w:val="000000"/>
          <w:sz w:val="28"/>
          <w:szCs w:val="28"/>
          <w:lang w:eastAsia="zh-CN"/>
        </w:rPr>
      </w:pPr>
      <w:r>
        <w:rPr>
          <w:rFonts w:hint="eastAsia" w:ascii="仿宋_GB2312" w:hAnsi="宋体" w:eastAsia="仿宋_GB2312"/>
          <w:color w:val="auto"/>
          <w:sz w:val="28"/>
          <w:szCs w:val="28"/>
          <w:lang w:eastAsia="zh-CN"/>
        </w:rPr>
        <w:t>估价对象位于</w:t>
      </w:r>
      <w:r>
        <w:rPr>
          <w:rFonts w:hint="eastAsia" w:ascii="仿宋_GB2312" w:hAnsi="宋体" w:eastAsia="仿宋_GB2312"/>
          <w:color w:val="auto"/>
          <w:sz w:val="28"/>
          <w:szCs w:val="28"/>
          <w:lang w:val="en-US" w:eastAsia="zh-CN"/>
        </w:rPr>
        <w:t>站东商贸城周边</w:t>
      </w:r>
      <w:r>
        <w:rPr>
          <w:rFonts w:hint="eastAsia" w:ascii="仿宋_GB2312" w:hAnsi="宋体" w:eastAsia="仿宋_GB2312"/>
          <w:color w:val="auto"/>
          <w:sz w:val="28"/>
          <w:szCs w:val="28"/>
          <w:lang w:eastAsia="zh-CN"/>
        </w:rPr>
        <w:t>,紧邻</w:t>
      </w:r>
      <w:r>
        <w:rPr>
          <w:rFonts w:hint="eastAsia" w:ascii="仿宋_GB2312" w:hAnsi="宋体" w:eastAsia="仿宋_GB2312"/>
          <w:color w:val="auto"/>
          <w:sz w:val="28"/>
          <w:szCs w:val="28"/>
          <w:lang w:val="en-US" w:eastAsia="zh-CN"/>
        </w:rPr>
        <w:t>环站东大道</w:t>
      </w:r>
      <w:r>
        <w:rPr>
          <w:rFonts w:hint="eastAsia" w:ascii="仿宋_GB2312" w:hAnsi="宋体" w:eastAsia="仿宋_GB2312"/>
          <w:color w:val="auto"/>
          <w:sz w:val="28"/>
          <w:szCs w:val="28"/>
          <w:lang w:eastAsia="zh-CN"/>
        </w:rPr>
        <w:t>，交通</w:t>
      </w:r>
      <w:r>
        <w:rPr>
          <w:rFonts w:hint="eastAsia" w:ascii="仿宋_GB2312" w:hAnsi="宋体" w:eastAsia="仿宋_GB2312"/>
          <w:color w:val="auto"/>
          <w:sz w:val="28"/>
          <w:szCs w:val="28"/>
          <w:lang w:val="en-US" w:eastAsia="zh-CN"/>
        </w:rPr>
        <w:t>条件较便利</w:t>
      </w:r>
      <w:r>
        <w:rPr>
          <w:rFonts w:hint="eastAsia" w:ascii="仿宋_GB2312" w:hAnsi="宋体" w:eastAsia="仿宋_GB2312"/>
          <w:color w:val="auto"/>
          <w:sz w:val="28"/>
          <w:szCs w:val="28"/>
          <w:lang w:eastAsia="zh-CN"/>
        </w:rPr>
        <w:t>；</w:t>
      </w:r>
      <w:r>
        <w:rPr>
          <w:rFonts w:hint="eastAsia" w:ascii="仿宋_GB2312" w:hAnsi="宋体" w:eastAsia="仿宋_GB2312"/>
          <w:color w:val="auto"/>
          <w:sz w:val="28"/>
          <w:szCs w:val="28"/>
          <w:lang w:val="en-US" w:eastAsia="zh-CN"/>
        </w:rPr>
        <w:t>附近有赣州火车站、</w:t>
      </w:r>
      <w:r>
        <w:rPr>
          <w:rFonts w:hint="eastAsia" w:ascii="仿宋_GB2312" w:hAnsi="宋体" w:eastAsia="仿宋_GB2312"/>
          <w:color w:val="auto"/>
          <w:sz w:val="28"/>
          <w:szCs w:val="28"/>
          <w:lang w:eastAsia="zh-CN"/>
        </w:rPr>
        <w:t>赣南医学院第三附属医院、赣州市铁路小学</w:t>
      </w:r>
      <w:r>
        <w:rPr>
          <w:rFonts w:hint="eastAsia" w:ascii="仿宋_GB2312" w:hAnsi="宋体" w:eastAsia="仿宋_GB2312"/>
          <w:color w:val="auto"/>
          <w:sz w:val="28"/>
          <w:szCs w:val="28"/>
          <w:lang w:val="en-US" w:eastAsia="zh-CN"/>
        </w:rPr>
        <w:t>、</w:t>
      </w:r>
      <w:r>
        <w:rPr>
          <w:rFonts w:hint="eastAsia" w:ascii="仿宋_GB2312" w:hAnsi="宋体" w:eastAsia="仿宋_GB2312"/>
          <w:color w:val="auto"/>
          <w:sz w:val="28"/>
          <w:szCs w:val="28"/>
          <w:lang w:eastAsia="zh-CN"/>
        </w:rPr>
        <w:t>茨章贡区第七保育院</w:t>
      </w:r>
      <w:r>
        <w:rPr>
          <w:rFonts w:hint="eastAsia" w:ascii="仿宋_GB2312" w:hAnsi="宋体" w:eastAsia="仿宋_GB2312"/>
          <w:color w:val="auto"/>
          <w:sz w:val="28"/>
          <w:szCs w:val="28"/>
          <w:lang w:val="en-US" w:eastAsia="zh-CN"/>
        </w:rPr>
        <w:t>、</w:t>
      </w:r>
      <w:r>
        <w:rPr>
          <w:rFonts w:hint="eastAsia" w:ascii="仿宋_GB2312" w:hAnsi="宋体" w:eastAsia="仿宋_GB2312"/>
          <w:color w:val="auto"/>
          <w:sz w:val="28"/>
          <w:szCs w:val="28"/>
          <w:lang w:eastAsia="zh-CN"/>
        </w:rPr>
        <w:t>中国农业银行</w:t>
      </w:r>
      <w:r>
        <w:rPr>
          <w:rFonts w:hint="eastAsia" w:ascii="仿宋_GB2312" w:hAnsi="宋体" w:eastAsia="仿宋_GB2312"/>
          <w:color w:val="auto"/>
          <w:sz w:val="28"/>
          <w:szCs w:val="28"/>
          <w:lang w:val="en-US" w:eastAsia="zh-CN"/>
        </w:rPr>
        <w:t>等</w:t>
      </w:r>
      <w:r>
        <w:rPr>
          <w:rFonts w:hint="eastAsia" w:ascii="仿宋_GB2312" w:hAnsi="宋体" w:eastAsia="仿宋_GB2312"/>
          <w:color w:val="auto"/>
          <w:sz w:val="28"/>
          <w:szCs w:val="28"/>
          <w:lang w:eastAsia="zh-CN"/>
        </w:rPr>
        <w:t>公共服务设施，周边商业氛围</w:t>
      </w:r>
      <w:r>
        <w:rPr>
          <w:rFonts w:hint="eastAsia" w:ascii="仿宋_GB2312" w:hAnsi="宋体" w:eastAsia="仿宋_GB2312"/>
          <w:color w:val="auto"/>
          <w:sz w:val="28"/>
          <w:szCs w:val="28"/>
          <w:lang w:val="en-US" w:eastAsia="zh-CN"/>
        </w:rPr>
        <w:t>较好</w:t>
      </w:r>
      <w:r>
        <w:rPr>
          <w:rFonts w:hint="eastAsia" w:ascii="仿宋_GB2312" w:hAnsi="宋体" w:eastAsia="仿宋_GB2312"/>
          <w:color w:val="auto"/>
          <w:sz w:val="28"/>
          <w:szCs w:val="28"/>
          <w:lang w:eastAsia="zh-CN"/>
        </w:rPr>
        <w:t>，人流量</w:t>
      </w:r>
      <w:r>
        <w:rPr>
          <w:rFonts w:hint="eastAsia" w:ascii="仿宋_GB2312" w:hAnsi="宋体" w:eastAsia="仿宋_GB2312"/>
          <w:color w:val="auto"/>
          <w:sz w:val="28"/>
          <w:szCs w:val="28"/>
          <w:lang w:val="en-US" w:eastAsia="zh-CN"/>
        </w:rPr>
        <w:t>较多</w:t>
      </w:r>
      <w:r>
        <w:rPr>
          <w:rFonts w:hint="eastAsia" w:ascii="仿宋_GB2312" w:hAnsi="宋体" w:eastAsia="仿宋_GB2312"/>
          <w:color w:val="auto"/>
          <w:sz w:val="28"/>
          <w:szCs w:val="28"/>
          <w:lang w:eastAsia="zh-CN"/>
        </w:rPr>
        <w:t>，公共交通便利。</w:t>
      </w:r>
    </w:p>
    <w:p>
      <w:pPr>
        <w:pStyle w:val="4"/>
        <w:keepLines w:val="0"/>
        <w:pageBreakBefore w:val="0"/>
        <w:widowControl w:val="0"/>
        <w:kinsoku/>
        <w:wordWrap/>
        <w:overflowPunct/>
        <w:topLinePunct w:val="0"/>
        <w:autoSpaceDE/>
        <w:autoSpaceDN/>
        <w:bidi w:val="0"/>
        <w:adjustRightInd/>
        <w:snapToGrid/>
        <w:spacing w:before="0" w:after="0" w:line="360" w:lineRule="auto"/>
        <w:ind w:right="0" w:firstLine="562" w:firstLineChars="200"/>
        <w:jc w:val="left"/>
        <w:textAlignment w:val="auto"/>
        <w:rPr>
          <w:rFonts w:ascii="仿宋_GB2312" w:hAnsi="仿宋_GB2312" w:eastAsia="仿宋_GB2312" w:cs="仿宋_GB2312"/>
          <w:color w:val="000000"/>
          <w:sz w:val="28"/>
          <w:szCs w:val="28"/>
        </w:rPr>
      </w:pPr>
      <w:bookmarkStart w:id="10" w:name="_Toc25588"/>
      <w:r>
        <w:rPr>
          <w:rFonts w:hint="eastAsia" w:ascii="仿宋_GB2312" w:hAnsi="仿宋_GB2312" w:eastAsia="仿宋_GB2312" w:cs="仿宋_GB2312"/>
          <w:color w:val="000000"/>
          <w:sz w:val="28"/>
          <w:szCs w:val="28"/>
        </w:rPr>
        <w:t>（五）价值时点</w:t>
      </w:r>
      <w:bookmarkEnd w:id="10"/>
    </w:p>
    <w:p>
      <w:pPr>
        <w:keepLines w:val="0"/>
        <w:pageBreakBefore w:val="0"/>
        <w:widowControl w:val="0"/>
        <w:kinsoku/>
        <w:wordWrap/>
        <w:overflowPunct/>
        <w:topLinePunct w:val="0"/>
        <w:autoSpaceDE/>
        <w:autoSpaceDN/>
        <w:bidi w:val="0"/>
        <w:adjustRightInd/>
        <w:snapToGrid/>
        <w:spacing w:before="0" w:after="0" w:line="360" w:lineRule="auto"/>
        <w:ind w:right="0" w:firstLine="560" w:firstLineChars="200"/>
        <w:textAlignment w:val="auto"/>
        <w:rPr>
          <w:rFonts w:hint="default" w:ascii="仿宋_GB2312" w:hAnsi="仿宋_GB2312" w:eastAsia="仿宋_GB2312" w:cs="仿宋_GB2312"/>
          <w:caps/>
          <w:sz w:val="28"/>
          <w:szCs w:val="28"/>
          <w:lang w:val="en-US" w:eastAsia="zh-CN"/>
        </w:rPr>
      </w:pPr>
      <w:r>
        <w:rPr>
          <w:rFonts w:hint="eastAsia" w:ascii="仿宋_GB2312" w:hAnsi="仿宋_GB2312" w:eastAsia="仿宋_GB2312" w:cs="仿宋_GB2312"/>
          <w:caps/>
          <w:sz w:val="28"/>
          <w:szCs w:val="28"/>
          <w:lang w:val="en-US" w:eastAsia="zh-CN"/>
        </w:rPr>
        <w:t>涉执房地产处置司法评估的价值时点一般设定为估价对象实地查勘完成之日，即2022年4月19日。</w:t>
      </w:r>
    </w:p>
    <w:p>
      <w:pPr>
        <w:pStyle w:val="4"/>
        <w:keepLines w:val="0"/>
        <w:pageBreakBefore w:val="0"/>
        <w:widowControl w:val="0"/>
        <w:kinsoku/>
        <w:wordWrap/>
        <w:overflowPunct/>
        <w:topLinePunct w:val="0"/>
        <w:autoSpaceDE/>
        <w:autoSpaceDN/>
        <w:bidi w:val="0"/>
        <w:adjustRightInd/>
        <w:snapToGrid/>
        <w:spacing w:before="0" w:after="0" w:line="360" w:lineRule="auto"/>
        <w:ind w:right="0" w:firstLine="562" w:firstLineChars="200"/>
        <w:jc w:val="left"/>
        <w:textAlignment w:val="auto"/>
        <w:rPr>
          <w:rFonts w:ascii="仿宋_GB2312" w:hAnsi="仿宋_GB2312" w:eastAsia="仿宋_GB2312" w:cs="仿宋_GB2312"/>
          <w:color w:val="000000"/>
          <w:sz w:val="28"/>
          <w:szCs w:val="28"/>
        </w:rPr>
      </w:pPr>
      <w:bookmarkStart w:id="11" w:name="_Toc4668"/>
      <w:r>
        <w:rPr>
          <w:rFonts w:hint="eastAsia" w:ascii="仿宋_GB2312" w:hAnsi="仿宋_GB2312" w:eastAsia="仿宋_GB2312" w:cs="仿宋_GB2312"/>
          <w:color w:val="000000"/>
          <w:sz w:val="28"/>
          <w:szCs w:val="28"/>
        </w:rPr>
        <w:t>（六）价值类型</w:t>
      </w:r>
      <w:bookmarkEnd w:id="11"/>
    </w:p>
    <w:p>
      <w:pPr>
        <w:keepLines w:val="0"/>
        <w:pageBreakBefore w:val="0"/>
        <w:widowControl w:val="0"/>
        <w:kinsoku/>
        <w:wordWrap/>
        <w:overflowPunct/>
        <w:topLinePunct w:val="0"/>
        <w:autoSpaceDE/>
        <w:autoSpaceDN/>
        <w:bidi w:val="0"/>
        <w:adjustRightInd/>
        <w:snapToGrid/>
        <w:spacing w:before="0" w:after="0" w:line="360" w:lineRule="auto"/>
        <w:ind w:right="0" w:firstLine="560" w:firstLineChars="200"/>
        <w:textAlignment w:val="auto"/>
        <w:rPr>
          <w:rFonts w:ascii="仿宋_GB2312" w:hAnsi="仿宋_GB2312" w:eastAsia="仿宋_GB2312" w:cs="仿宋_GB2312"/>
          <w:caps/>
          <w:sz w:val="28"/>
          <w:szCs w:val="28"/>
        </w:rPr>
      </w:pPr>
      <w:r>
        <w:rPr>
          <w:rFonts w:hint="eastAsia" w:ascii="仿宋_GB2312" w:hAnsi="仿宋_GB2312" w:eastAsia="仿宋_GB2312" w:cs="仿宋_GB2312"/>
          <w:caps/>
          <w:sz w:val="28"/>
          <w:szCs w:val="28"/>
        </w:rPr>
        <w:t>估价中采用市场价值标准，即所评估出的客观合理价格应是在公开市场上最可能形成或成立的价格。</w:t>
      </w:r>
    </w:p>
    <w:p>
      <w:pPr>
        <w:keepLines w:val="0"/>
        <w:pageBreakBefore w:val="0"/>
        <w:widowControl w:val="0"/>
        <w:kinsoku/>
        <w:wordWrap/>
        <w:overflowPunct/>
        <w:topLinePunct w:val="0"/>
        <w:autoSpaceDE/>
        <w:autoSpaceDN/>
        <w:bidi w:val="0"/>
        <w:adjustRightInd/>
        <w:snapToGrid/>
        <w:spacing w:before="0" w:after="0" w:line="600" w:lineRule="exact"/>
        <w:ind w:right="0" w:firstLine="560" w:firstLineChars="200"/>
        <w:textAlignment w:val="auto"/>
        <w:rPr>
          <w:rFonts w:ascii="仿宋_GB2312" w:hAnsi="仿宋_GB2312" w:eastAsia="仿宋_GB2312" w:cs="仿宋_GB2312"/>
          <w:caps/>
          <w:sz w:val="28"/>
          <w:szCs w:val="28"/>
        </w:rPr>
      </w:pPr>
      <w:r>
        <w:rPr>
          <w:rFonts w:hint="eastAsia" w:ascii="仿宋_GB2312" w:hAnsi="仿宋_GB2312" w:eastAsia="仿宋_GB2312" w:cs="仿宋_GB2312"/>
          <w:caps/>
          <w:sz w:val="28"/>
          <w:szCs w:val="28"/>
        </w:rPr>
        <w:t>公开市场：指交易双方进行交易的目的在于最大限度地追求经济利益，并掌握必要的市场信息，有比较充裕的时间进行交易，对交易对象具有必要的专业知识，交易条件并不具有排他性。</w:t>
      </w:r>
    </w:p>
    <w:p>
      <w:pPr>
        <w:keepLines w:val="0"/>
        <w:pageBreakBefore w:val="0"/>
        <w:widowControl w:val="0"/>
        <w:kinsoku/>
        <w:wordWrap/>
        <w:overflowPunct/>
        <w:topLinePunct w:val="0"/>
        <w:autoSpaceDE/>
        <w:autoSpaceDN/>
        <w:bidi w:val="0"/>
        <w:adjustRightInd/>
        <w:snapToGrid/>
        <w:spacing w:before="0" w:after="0" w:line="600" w:lineRule="exact"/>
        <w:ind w:right="0" w:firstLine="560" w:firstLineChars="200"/>
        <w:textAlignment w:val="auto"/>
        <w:rPr>
          <w:rFonts w:ascii="仿宋_GB2312" w:hAnsi="仿宋_GB2312" w:eastAsia="仿宋_GB2312" w:cs="仿宋_GB2312"/>
          <w:caps/>
          <w:sz w:val="28"/>
          <w:szCs w:val="28"/>
        </w:rPr>
      </w:pPr>
      <w:r>
        <w:rPr>
          <w:rFonts w:hint="eastAsia" w:ascii="仿宋_GB2312" w:hAnsi="仿宋_GB2312" w:eastAsia="仿宋_GB2312" w:cs="仿宋_GB2312"/>
          <w:caps/>
          <w:sz w:val="28"/>
          <w:szCs w:val="28"/>
        </w:rPr>
        <w:t>公开市场价值：指在公开市场上最可能形成的价格。</w:t>
      </w:r>
    </w:p>
    <w:p>
      <w:pPr>
        <w:pStyle w:val="4"/>
        <w:keepLines w:val="0"/>
        <w:pageBreakBefore w:val="0"/>
        <w:widowControl w:val="0"/>
        <w:kinsoku/>
        <w:wordWrap/>
        <w:overflowPunct/>
        <w:topLinePunct w:val="0"/>
        <w:autoSpaceDE/>
        <w:autoSpaceDN/>
        <w:bidi w:val="0"/>
        <w:adjustRightInd/>
        <w:snapToGrid/>
        <w:spacing w:before="0" w:after="0" w:line="600" w:lineRule="exact"/>
        <w:ind w:right="0" w:firstLine="562" w:firstLineChars="200"/>
        <w:jc w:val="left"/>
        <w:textAlignment w:val="auto"/>
        <w:rPr>
          <w:rFonts w:ascii="仿宋_GB2312" w:hAnsi="仿宋_GB2312" w:eastAsia="仿宋_GB2312" w:cs="仿宋_GB2312"/>
          <w:color w:val="000000"/>
          <w:sz w:val="28"/>
          <w:szCs w:val="28"/>
        </w:rPr>
      </w:pPr>
      <w:bookmarkStart w:id="12" w:name="_Toc30251"/>
      <w:r>
        <w:rPr>
          <w:rFonts w:hint="eastAsia" w:ascii="仿宋_GB2312" w:hAnsi="仿宋_GB2312" w:eastAsia="仿宋_GB2312" w:cs="仿宋_GB2312"/>
          <w:color w:val="000000"/>
          <w:sz w:val="28"/>
          <w:szCs w:val="28"/>
        </w:rPr>
        <w:t>（七）估价原则</w:t>
      </w:r>
      <w:bookmarkEnd w:id="12"/>
    </w:p>
    <w:p>
      <w:pPr>
        <w:keepLines w:val="0"/>
        <w:pageBreakBefore w:val="0"/>
        <w:widowControl w:val="0"/>
        <w:kinsoku/>
        <w:wordWrap/>
        <w:overflowPunct/>
        <w:topLinePunct w:val="0"/>
        <w:autoSpaceDE/>
        <w:autoSpaceDN/>
        <w:bidi w:val="0"/>
        <w:adjustRightInd/>
        <w:snapToGrid/>
        <w:spacing w:before="0" w:after="0" w:line="600" w:lineRule="exact"/>
        <w:ind w:right="0" w:firstLine="560" w:firstLineChars="200"/>
        <w:textAlignment w:val="auto"/>
        <w:rPr>
          <w:rFonts w:ascii="仿宋_GB2312" w:hAnsi="仿宋_GB2312" w:eastAsia="仿宋_GB2312" w:cs="仿宋_GB2312"/>
          <w:caps/>
          <w:sz w:val="28"/>
          <w:szCs w:val="28"/>
        </w:rPr>
      </w:pPr>
      <w:r>
        <w:rPr>
          <w:rFonts w:hint="eastAsia" w:ascii="仿宋_GB2312" w:hAnsi="仿宋_GB2312" w:eastAsia="仿宋_GB2312" w:cs="仿宋_GB2312"/>
          <w:caps/>
          <w:sz w:val="28"/>
          <w:szCs w:val="28"/>
        </w:rPr>
        <w:t>本次估价遵循的房地产估价原则有：独立、客观、公正原则、合法原则、价值时点原则、替代原则、最高最佳利用原则。</w:t>
      </w:r>
    </w:p>
    <w:p>
      <w:pPr>
        <w:keepLines w:val="0"/>
        <w:pageBreakBefore w:val="0"/>
        <w:widowControl w:val="0"/>
        <w:kinsoku/>
        <w:wordWrap/>
        <w:overflowPunct/>
        <w:topLinePunct w:val="0"/>
        <w:autoSpaceDE/>
        <w:autoSpaceDN/>
        <w:bidi w:val="0"/>
        <w:adjustRightInd/>
        <w:snapToGrid/>
        <w:spacing w:before="0" w:after="0" w:line="600" w:lineRule="exact"/>
        <w:ind w:right="0" w:firstLine="560" w:firstLineChars="200"/>
        <w:textAlignment w:val="auto"/>
        <w:rPr>
          <w:rFonts w:hint="eastAsia" w:ascii="仿宋_GB2312" w:hAnsi="仿宋_GB2312" w:eastAsia="仿宋_GB2312" w:cs="仿宋_GB2312"/>
          <w:caps/>
          <w:sz w:val="28"/>
          <w:szCs w:val="28"/>
        </w:rPr>
      </w:pPr>
      <w:r>
        <w:rPr>
          <w:rFonts w:hint="eastAsia" w:ascii="仿宋_GB2312" w:hAnsi="仿宋_GB2312" w:eastAsia="仿宋_GB2312" w:cs="仿宋_GB2312"/>
          <w:caps/>
          <w:sz w:val="28"/>
          <w:szCs w:val="28"/>
        </w:rPr>
        <w:t>1、独立、客观、公正原则</w:t>
      </w:r>
    </w:p>
    <w:p>
      <w:pPr>
        <w:keepLines w:val="0"/>
        <w:pageBreakBefore w:val="0"/>
        <w:widowControl w:val="0"/>
        <w:kinsoku/>
        <w:wordWrap/>
        <w:overflowPunct/>
        <w:topLinePunct w:val="0"/>
        <w:autoSpaceDE/>
        <w:autoSpaceDN/>
        <w:bidi w:val="0"/>
        <w:adjustRightInd/>
        <w:snapToGrid/>
        <w:spacing w:before="0" w:after="0" w:line="600" w:lineRule="exact"/>
        <w:ind w:right="0" w:firstLine="560" w:firstLineChars="200"/>
        <w:textAlignment w:val="auto"/>
        <w:rPr>
          <w:rFonts w:hint="eastAsia" w:ascii="仿宋_GB2312" w:hAnsi="仿宋_GB2312" w:eastAsia="仿宋_GB2312" w:cs="仿宋_GB2312"/>
          <w:caps/>
          <w:sz w:val="28"/>
          <w:szCs w:val="28"/>
        </w:rPr>
      </w:pPr>
      <w:r>
        <w:rPr>
          <w:rFonts w:hint="eastAsia" w:ascii="仿宋_GB2312" w:hAnsi="仿宋_GB2312" w:eastAsia="仿宋_GB2312" w:cs="仿宋_GB2312"/>
          <w:caps/>
          <w:sz w:val="28"/>
          <w:szCs w:val="28"/>
        </w:rPr>
        <w:t>独立、客观、公正原则要求房地产估价师站地中立的产场上，评估出对各方当事人来说均是公平合理的价格。</w:t>
      </w:r>
    </w:p>
    <w:p>
      <w:pPr>
        <w:keepLines w:val="0"/>
        <w:pageBreakBefore w:val="0"/>
        <w:widowControl w:val="0"/>
        <w:kinsoku/>
        <w:wordWrap/>
        <w:overflowPunct/>
        <w:topLinePunct w:val="0"/>
        <w:autoSpaceDE/>
        <w:autoSpaceDN/>
        <w:bidi w:val="0"/>
        <w:adjustRightInd/>
        <w:snapToGrid/>
        <w:spacing w:before="0" w:after="0" w:line="600" w:lineRule="exact"/>
        <w:ind w:right="0" w:firstLine="560" w:firstLineChars="200"/>
        <w:textAlignment w:val="auto"/>
        <w:rPr>
          <w:rFonts w:hint="eastAsia" w:ascii="仿宋_GB2312" w:hAnsi="仿宋_GB2312" w:eastAsia="仿宋_GB2312" w:cs="仿宋_GB2312"/>
          <w:caps/>
          <w:sz w:val="28"/>
          <w:szCs w:val="28"/>
        </w:rPr>
      </w:pPr>
      <w:r>
        <w:rPr>
          <w:rFonts w:hint="eastAsia" w:ascii="仿宋_GB2312" w:hAnsi="仿宋_GB2312" w:eastAsia="仿宋_GB2312" w:cs="仿宋_GB2312"/>
          <w:caps/>
          <w:sz w:val="28"/>
          <w:szCs w:val="28"/>
        </w:rPr>
        <w:t>2、合法原则</w:t>
      </w:r>
    </w:p>
    <w:p>
      <w:pPr>
        <w:keepLines w:val="0"/>
        <w:pageBreakBefore w:val="0"/>
        <w:widowControl w:val="0"/>
        <w:kinsoku/>
        <w:wordWrap/>
        <w:overflowPunct/>
        <w:topLinePunct w:val="0"/>
        <w:autoSpaceDE/>
        <w:autoSpaceDN/>
        <w:bidi w:val="0"/>
        <w:adjustRightInd/>
        <w:snapToGrid/>
        <w:spacing w:before="0" w:after="0" w:line="600" w:lineRule="exact"/>
        <w:ind w:right="0" w:firstLine="560" w:firstLineChars="200"/>
        <w:textAlignment w:val="auto"/>
        <w:rPr>
          <w:rFonts w:hint="eastAsia" w:ascii="仿宋_GB2312" w:hAnsi="宋体" w:eastAsia="仿宋_GB2312"/>
          <w:color w:val="000000"/>
          <w:sz w:val="28"/>
          <w:szCs w:val="28"/>
        </w:rPr>
      </w:pPr>
      <w:r>
        <w:rPr>
          <w:rFonts w:hint="eastAsia" w:ascii="仿宋_GB2312" w:hAnsi="仿宋_GB2312" w:eastAsia="仿宋_GB2312" w:cs="仿宋_GB2312"/>
          <w:caps/>
          <w:sz w:val="28"/>
          <w:szCs w:val="28"/>
        </w:rPr>
        <w:t>合法原则要求房地产估价应以估价对象的合法权益为前提进行。合法权益包括合法产权、合法使用、合法处分等方面，在合法产权方面，应以房地产权属证书和有关证件为依据；在合法使用方面，应以城市规划、土地用途管制等为依据；在合法处分方面，应以法律、法规或合同等允许的处分方式为依据；在其他方面，</w:t>
      </w:r>
      <w:r>
        <w:rPr>
          <w:rFonts w:hint="eastAsia" w:ascii="仿宋_GB2312" w:hAnsi="宋体" w:eastAsia="仿宋_GB2312"/>
          <w:color w:val="000000"/>
          <w:sz w:val="28"/>
          <w:szCs w:val="28"/>
        </w:rPr>
        <w:t>如评估出的价格必须符合国家的价格政策。</w:t>
      </w:r>
    </w:p>
    <w:p>
      <w:pPr>
        <w:keepLines w:val="0"/>
        <w:pageBreakBefore w:val="0"/>
        <w:widowControl w:val="0"/>
        <w:kinsoku/>
        <w:wordWrap/>
        <w:overflowPunct/>
        <w:topLinePunct w:val="0"/>
        <w:autoSpaceDE/>
        <w:autoSpaceDN/>
        <w:bidi w:val="0"/>
        <w:adjustRightInd/>
        <w:snapToGrid/>
        <w:spacing w:before="0" w:after="0" w:line="600" w:lineRule="exact"/>
        <w:ind w:right="0" w:firstLine="560" w:firstLineChars="200"/>
        <w:textAlignment w:val="auto"/>
        <w:rPr>
          <w:rFonts w:hint="eastAsia" w:ascii="仿宋_GB2312" w:hAnsi="仿宋_GB2312" w:eastAsia="仿宋_GB2312" w:cs="仿宋_GB2312"/>
          <w:caps/>
          <w:sz w:val="28"/>
          <w:szCs w:val="28"/>
        </w:rPr>
      </w:pPr>
      <w:r>
        <w:rPr>
          <w:rFonts w:hint="eastAsia" w:ascii="仿宋_GB2312" w:hAnsi="仿宋_GB2312" w:eastAsia="仿宋_GB2312" w:cs="仿宋_GB2312"/>
          <w:caps/>
          <w:sz w:val="28"/>
          <w:szCs w:val="28"/>
        </w:rPr>
        <w:t>3、价值时点原则</w:t>
      </w:r>
    </w:p>
    <w:p>
      <w:pPr>
        <w:keepLines w:val="0"/>
        <w:pageBreakBefore w:val="0"/>
        <w:widowControl w:val="0"/>
        <w:kinsoku/>
        <w:wordWrap/>
        <w:overflowPunct/>
        <w:topLinePunct w:val="0"/>
        <w:autoSpaceDE/>
        <w:autoSpaceDN/>
        <w:bidi w:val="0"/>
        <w:adjustRightInd/>
        <w:snapToGrid/>
        <w:spacing w:before="0" w:after="0" w:line="600" w:lineRule="exact"/>
        <w:ind w:right="0" w:firstLine="560" w:firstLineChars="200"/>
        <w:textAlignment w:val="auto"/>
        <w:rPr>
          <w:rFonts w:hint="eastAsia" w:ascii="仿宋_GB2312" w:hAnsi="仿宋_GB2312" w:eastAsia="仿宋_GB2312" w:cs="仿宋_GB2312"/>
          <w:caps/>
          <w:sz w:val="28"/>
          <w:szCs w:val="28"/>
        </w:rPr>
      </w:pPr>
      <w:r>
        <w:rPr>
          <w:rFonts w:hint="eastAsia" w:ascii="仿宋_GB2312" w:hAnsi="仿宋_GB2312" w:eastAsia="仿宋_GB2312" w:cs="仿宋_GB2312"/>
          <w:caps/>
          <w:sz w:val="28"/>
          <w:szCs w:val="28"/>
        </w:rPr>
        <w:t>房地产市场是不断变化的，房地产价格具有很强的时间性，它是某一时点上的价格。在不同时点，同一宗房地产往往会有不同的价格。价值时点原则是指求取某一时点上的价格，所以在评估一宗房地产的价格时，必须假定市场停止在价值时点上，同时估价对象房地产的状况通常也是以其在该时点时的状况为准。</w:t>
      </w:r>
    </w:p>
    <w:p>
      <w:pPr>
        <w:keepLines w:val="0"/>
        <w:pageBreakBefore w:val="0"/>
        <w:widowControl w:val="0"/>
        <w:kinsoku/>
        <w:wordWrap/>
        <w:overflowPunct/>
        <w:topLinePunct w:val="0"/>
        <w:autoSpaceDE/>
        <w:autoSpaceDN/>
        <w:bidi w:val="0"/>
        <w:adjustRightInd/>
        <w:snapToGrid/>
        <w:spacing w:before="0" w:after="0" w:line="600" w:lineRule="exact"/>
        <w:ind w:right="0" w:firstLine="560" w:firstLineChars="200"/>
        <w:textAlignment w:val="auto"/>
        <w:rPr>
          <w:rFonts w:hint="eastAsia" w:ascii="仿宋_GB2312" w:hAnsi="仿宋_GB2312" w:eastAsia="仿宋_GB2312" w:cs="仿宋_GB2312"/>
          <w:caps/>
          <w:sz w:val="28"/>
          <w:szCs w:val="28"/>
        </w:rPr>
      </w:pPr>
      <w:r>
        <w:rPr>
          <w:rFonts w:hint="eastAsia" w:ascii="仿宋_GB2312" w:hAnsi="仿宋_GB2312" w:eastAsia="仿宋_GB2312" w:cs="仿宋_GB2312"/>
          <w:caps/>
          <w:sz w:val="28"/>
          <w:szCs w:val="28"/>
        </w:rPr>
        <w:t>4、替代原则</w:t>
      </w:r>
    </w:p>
    <w:p>
      <w:pPr>
        <w:keepLines w:val="0"/>
        <w:pageBreakBefore w:val="0"/>
        <w:widowControl w:val="0"/>
        <w:kinsoku/>
        <w:wordWrap/>
        <w:overflowPunct/>
        <w:topLinePunct w:val="0"/>
        <w:autoSpaceDE/>
        <w:autoSpaceDN/>
        <w:bidi w:val="0"/>
        <w:adjustRightInd/>
        <w:snapToGrid/>
        <w:spacing w:before="0" w:after="0" w:line="600" w:lineRule="exact"/>
        <w:ind w:right="0" w:firstLine="560" w:firstLineChars="200"/>
        <w:textAlignment w:val="auto"/>
        <w:rPr>
          <w:rFonts w:hint="eastAsia" w:ascii="仿宋_GB2312" w:hAnsi="仿宋_GB2312" w:eastAsia="仿宋_GB2312" w:cs="仿宋_GB2312"/>
          <w:caps/>
          <w:sz w:val="28"/>
          <w:szCs w:val="28"/>
        </w:rPr>
      </w:pPr>
      <w:r>
        <w:rPr>
          <w:rFonts w:hint="eastAsia" w:ascii="仿宋_GB2312" w:hAnsi="仿宋_GB2312" w:eastAsia="仿宋_GB2312" w:cs="仿宋_GB2312"/>
          <w:caps/>
          <w:sz w:val="28"/>
          <w:szCs w:val="28"/>
        </w:rPr>
        <w:t>根据市场运行规律，在同一商品市场中，商品或提供服务的效用相同或大致相似时，价格低者吸引需求，即有两个以上互有替代性的商品或服务同时存在时，商品或服务的价格中经过相互影响与比较之后来决定。房地产价格也同样遵循替代规律，受其它具有相同使用价值的房地产，即同类型具有替代可能的房地产价格所牵制。换言之，具有相同使用价值、替代可能的房地产之间，会相互影响和竞争，使价格相互牵制而趋于一致。</w:t>
      </w:r>
    </w:p>
    <w:p>
      <w:pPr>
        <w:keepLines w:val="0"/>
        <w:pageBreakBefore w:val="0"/>
        <w:widowControl w:val="0"/>
        <w:kinsoku/>
        <w:wordWrap/>
        <w:overflowPunct/>
        <w:topLinePunct w:val="0"/>
        <w:autoSpaceDE/>
        <w:autoSpaceDN/>
        <w:bidi w:val="0"/>
        <w:adjustRightInd/>
        <w:snapToGrid/>
        <w:spacing w:before="0" w:after="0" w:line="600" w:lineRule="exact"/>
        <w:ind w:right="0" w:firstLine="560" w:firstLineChars="200"/>
        <w:textAlignment w:val="auto"/>
        <w:rPr>
          <w:rFonts w:hint="eastAsia" w:ascii="仿宋_GB2312" w:hAnsi="仿宋_GB2312" w:eastAsia="仿宋_GB2312" w:cs="仿宋_GB2312"/>
          <w:caps/>
          <w:sz w:val="28"/>
          <w:szCs w:val="28"/>
        </w:rPr>
      </w:pPr>
      <w:r>
        <w:rPr>
          <w:rFonts w:hint="eastAsia" w:ascii="仿宋_GB2312" w:hAnsi="仿宋_GB2312" w:eastAsia="仿宋_GB2312" w:cs="仿宋_GB2312"/>
          <w:caps/>
          <w:sz w:val="28"/>
          <w:szCs w:val="28"/>
        </w:rPr>
        <w:t>5、最高最佳利用原则</w:t>
      </w:r>
    </w:p>
    <w:p>
      <w:pPr>
        <w:keepLines w:val="0"/>
        <w:pageBreakBefore w:val="0"/>
        <w:widowControl w:val="0"/>
        <w:kinsoku/>
        <w:wordWrap/>
        <w:overflowPunct/>
        <w:topLinePunct w:val="0"/>
        <w:autoSpaceDE/>
        <w:autoSpaceDN/>
        <w:bidi w:val="0"/>
        <w:adjustRightInd/>
        <w:snapToGrid/>
        <w:spacing w:before="0" w:after="0" w:line="600" w:lineRule="exact"/>
        <w:ind w:right="0" w:firstLine="560" w:firstLineChars="200"/>
        <w:textAlignment w:val="auto"/>
        <w:rPr>
          <w:rFonts w:hint="eastAsia" w:ascii="仿宋_GB2312" w:hAnsi="仿宋_GB2312" w:eastAsia="仿宋_GB2312" w:cs="仿宋_GB2312"/>
          <w:caps/>
          <w:sz w:val="28"/>
          <w:szCs w:val="28"/>
        </w:rPr>
      </w:pPr>
      <w:r>
        <w:rPr>
          <w:rFonts w:hint="eastAsia" w:ascii="仿宋_GB2312" w:hAnsi="仿宋_GB2312" w:eastAsia="仿宋_GB2312" w:cs="仿宋_GB2312"/>
          <w:caps/>
          <w:sz w:val="28"/>
          <w:szCs w:val="28"/>
        </w:rPr>
        <w:t>所谓最高最佳利用是估价对象一种最可能的使用，这种最可能的使用是法律上允许、技术上可能、财务上可行、经过充分合理的论证，并能给予估价对象带来最高价值的使用。它的一种具体表现，是以能使估价对象获利最多的用途和开发强度来衡量。这是因为在房地产市场中，每位房地产拥有者在主观上都试图充分地发挥房地产的潜力，采用最高最佳利用方式，取得最大的收益。</w:t>
      </w:r>
    </w:p>
    <w:p>
      <w:pPr>
        <w:pStyle w:val="4"/>
        <w:keepLines w:val="0"/>
        <w:pageBreakBefore w:val="0"/>
        <w:widowControl w:val="0"/>
        <w:kinsoku/>
        <w:wordWrap/>
        <w:overflowPunct/>
        <w:topLinePunct w:val="0"/>
        <w:autoSpaceDE/>
        <w:autoSpaceDN/>
        <w:bidi w:val="0"/>
        <w:adjustRightInd/>
        <w:snapToGrid/>
        <w:spacing w:before="0" w:after="0" w:line="600" w:lineRule="exact"/>
        <w:ind w:right="0" w:firstLine="562" w:firstLineChars="200"/>
        <w:jc w:val="left"/>
        <w:textAlignment w:val="auto"/>
        <w:rPr>
          <w:rFonts w:hint="eastAsia" w:ascii="仿宋_GB2312" w:hAnsi="仿宋_GB2312" w:eastAsia="仿宋_GB2312" w:cs="仿宋_GB2312"/>
          <w:color w:val="000000"/>
          <w:sz w:val="28"/>
          <w:szCs w:val="28"/>
        </w:rPr>
      </w:pPr>
      <w:bookmarkStart w:id="13" w:name="_Toc18361"/>
      <w:r>
        <w:rPr>
          <w:rFonts w:hint="eastAsia" w:ascii="仿宋_GB2312" w:hAnsi="仿宋_GB2312" w:eastAsia="仿宋_GB2312" w:cs="仿宋_GB2312"/>
          <w:color w:val="000000"/>
          <w:sz w:val="28"/>
          <w:szCs w:val="28"/>
        </w:rPr>
        <w:t>（八）估价依据</w:t>
      </w:r>
      <w:bookmarkEnd w:id="13"/>
    </w:p>
    <w:p>
      <w:pPr>
        <w:keepLines w:val="0"/>
        <w:pageBreakBefore w:val="0"/>
        <w:widowControl w:val="0"/>
        <w:kinsoku/>
        <w:wordWrap/>
        <w:overflowPunct/>
        <w:topLinePunct w:val="0"/>
        <w:autoSpaceDE/>
        <w:autoSpaceDN/>
        <w:bidi w:val="0"/>
        <w:adjustRightInd/>
        <w:snapToGrid/>
        <w:spacing w:before="0" w:after="0" w:line="600" w:lineRule="exact"/>
        <w:ind w:right="0" w:firstLine="560" w:firstLineChars="200"/>
        <w:textAlignment w:val="auto"/>
        <w:rPr>
          <w:rFonts w:hint="eastAsia" w:ascii="仿宋_GB2312" w:hAnsi="仿宋_GB2312" w:eastAsia="仿宋_GB2312" w:cs="仿宋_GB2312"/>
          <w:caps/>
          <w:sz w:val="28"/>
          <w:szCs w:val="28"/>
        </w:rPr>
      </w:pPr>
      <w:bookmarkStart w:id="14" w:name="_Toc15851"/>
      <w:r>
        <w:rPr>
          <w:rFonts w:hint="eastAsia" w:ascii="仿宋_GB2312" w:hAnsi="仿宋_GB2312" w:eastAsia="仿宋_GB2312" w:cs="仿宋_GB2312"/>
          <w:caps/>
          <w:sz w:val="28"/>
          <w:szCs w:val="28"/>
          <w:lang w:val="en-US" w:eastAsia="zh-CN"/>
        </w:rPr>
        <w:t>1、法律、法规和政策文件</w:t>
      </w:r>
    </w:p>
    <w:p>
      <w:pPr>
        <w:keepLines w:val="0"/>
        <w:pageBreakBefore w:val="0"/>
        <w:widowControl w:val="0"/>
        <w:kinsoku/>
        <w:wordWrap/>
        <w:overflowPunct/>
        <w:topLinePunct w:val="0"/>
        <w:autoSpaceDE/>
        <w:autoSpaceDN/>
        <w:bidi w:val="0"/>
        <w:adjustRightInd/>
        <w:snapToGrid/>
        <w:spacing w:before="0" w:after="0" w:line="600" w:lineRule="exact"/>
        <w:ind w:right="0" w:firstLine="560" w:firstLineChars="200"/>
        <w:textAlignment w:val="auto"/>
        <w:rPr>
          <w:rFonts w:hint="eastAsia" w:ascii="仿宋_GB2312" w:hAnsi="仿宋_GB2312" w:eastAsia="仿宋_GB2312" w:cs="仿宋_GB2312"/>
          <w:caps/>
          <w:sz w:val="28"/>
          <w:szCs w:val="28"/>
        </w:rPr>
      </w:pPr>
      <w:r>
        <w:rPr>
          <w:rFonts w:hint="eastAsia" w:ascii="仿宋_GB2312" w:hAnsi="仿宋_GB2312" w:eastAsia="仿宋_GB2312" w:cs="仿宋_GB2312"/>
          <w:caps/>
          <w:sz w:val="28"/>
          <w:szCs w:val="28"/>
          <w:lang w:val="en-US" w:eastAsia="zh-CN"/>
        </w:rPr>
        <w:t>（1）《中华人民共和国房地产管理法》（中华人民共和国主席令第二十九号，1995年1月1日起施行，2019年8月26日第十三届全国人民代表大会常务委员会第十二次会议《关于修改〈中华人民共和国土地管理法〉、〈中华人民共和国城市房地产管理法〉的决定》第三次修正）；</w:t>
      </w:r>
    </w:p>
    <w:p>
      <w:pPr>
        <w:keepLines w:val="0"/>
        <w:pageBreakBefore w:val="0"/>
        <w:widowControl w:val="0"/>
        <w:kinsoku/>
        <w:wordWrap/>
        <w:overflowPunct/>
        <w:topLinePunct w:val="0"/>
        <w:autoSpaceDE/>
        <w:autoSpaceDN/>
        <w:bidi w:val="0"/>
        <w:adjustRightInd/>
        <w:snapToGrid/>
        <w:spacing w:before="0" w:after="0" w:line="600" w:lineRule="exact"/>
        <w:ind w:right="0" w:firstLine="560" w:firstLineChars="200"/>
        <w:textAlignment w:val="auto"/>
        <w:rPr>
          <w:rFonts w:hint="eastAsia" w:ascii="仿宋_GB2312" w:hAnsi="仿宋_GB2312" w:eastAsia="仿宋_GB2312" w:cs="仿宋_GB2312"/>
          <w:caps/>
          <w:sz w:val="28"/>
          <w:szCs w:val="28"/>
        </w:rPr>
      </w:pPr>
      <w:r>
        <w:rPr>
          <w:rFonts w:hint="eastAsia" w:ascii="仿宋_GB2312" w:hAnsi="仿宋_GB2312" w:eastAsia="仿宋_GB2312" w:cs="仿宋_GB2312"/>
          <w:caps/>
          <w:sz w:val="28"/>
          <w:szCs w:val="28"/>
          <w:lang w:val="en-US" w:eastAsia="zh-CN"/>
        </w:rPr>
        <w:t>（2）《中华人民共和国土地管理法》（1986年6月25日第六届全国人民代表大会常务委员会第十六次会议通过；2019年8月26日第十三届全国人民代表大会常务委员会第十二次会议《关于修改〈中华人民共和国土地管理法〉、〈中华人民共和国城市房地产管理法〉的决定》第三次修正）；</w:t>
      </w:r>
    </w:p>
    <w:p>
      <w:pPr>
        <w:keepLines w:val="0"/>
        <w:pageBreakBefore w:val="0"/>
        <w:widowControl w:val="0"/>
        <w:kinsoku/>
        <w:wordWrap/>
        <w:overflowPunct/>
        <w:topLinePunct w:val="0"/>
        <w:autoSpaceDE/>
        <w:autoSpaceDN/>
        <w:bidi w:val="0"/>
        <w:adjustRightInd/>
        <w:snapToGrid/>
        <w:spacing w:before="0" w:after="0" w:line="600" w:lineRule="exact"/>
        <w:ind w:right="0" w:firstLine="560" w:firstLineChars="200"/>
        <w:textAlignment w:val="auto"/>
        <w:rPr>
          <w:rFonts w:hint="eastAsia" w:ascii="仿宋_GB2312" w:hAnsi="仿宋_GB2312" w:eastAsia="仿宋_GB2312" w:cs="仿宋_GB2312"/>
          <w:caps/>
          <w:sz w:val="28"/>
          <w:szCs w:val="28"/>
        </w:rPr>
      </w:pPr>
      <w:r>
        <w:rPr>
          <w:rFonts w:hint="eastAsia" w:ascii="仿宋_GB2312" w:hAnsi="仿宋_GB2312" w:eastAsia="仿宋_GB2312" w:cs="仿宋_GB2312"/>
          <w:caps/>
          <w:sz w:val="28"/>
          <w:szCs w:val="28"/>
          <w:lang w:val="en-US" w:eastAsia="zh-CN"/>
        </w:rPr>
        <w:t>（3）《中华人民共和国资产评估法》（中华人民共和国主席令第四十六号，自2016年12月1日起施行）；</w:t>
      </w:r>
    </w:p>
    <w:p>
      <w:pPr>
        <w:keepLines w:val="0"/>
        <w:pageBreakBefore w:val="0"/>
        <w:widowControl w:val="0"/>
        <w:kinsoku/>
        <w:wordWrap/>
        <w:overflowPunct/>
        <w:topLinePunct w:val="0"/>
        <w:autoSpaceDE/>
        <w:autoSpaceDN/>
        <w:bidi w:val="0"/>
        <w:adjustRightInd/>
        <w:snapToGrid/>
        <w:spacing w:before="0" w:after="0" w:line="600" w:lineRule="exact"/>
        <w:ind w:right="0" w:firstLine="560" w:firstLineChars="200"/>
        <w:textAlignment w:val="auto"/>
        <w:rPr>
          <w:rFonts w:hint="eastAsia" w:ascii="仿宋_GB2312" w:hAnsi="仿宋_GB2312" w:eastAsia="仿宋_GB2312" w:cs="仿宋_GB2312"/>
          <w:caps/>
          <w:sz w:val="28"/>
          <w:szCs w:val="28"/>
        </w:rPr>
      </w:pPr>
      <w:r>
        <w:rPr>
          <w:rFonts w:hint="eastAsia" w:ascii="仿宋_GB2312" w:hAnsi="仿宋_GB2312" w:eastAsia="仿宋_GB2312" w:cs="仿宋_GB2312"/>
          <w:caps/>
          <w:sz w:val="28"/>
          <w:szCs w:val="28"/>
          <w:lang w:val="en-US" w:eastAsia="zh-CN"/>
        </w:rPr>
        <w:t>（4）《中华人民共和国民法典》（中华人民共和国主席令第四十五号，自2021年1月1日起施行）；</w:t>
      </w:r>
    </w:p>
    <w:p>
      <w:pPr>
        <w:keepLines w:val="0"/>
        <w:pageBreakBefore w:val="0"/>
        <w:widowControl w:val="0"/>
        <w:kinsoku/>
        <w:wordWrap/>
        <w:overflowPunct/>
        <w:topLinePunct w:val="0"/>
        <w:autoSpaceDE/>
        <w:autoSpaceDN/>
        <w:bidi w:val="0"/>
        <w:adjustRightInd/>
        <w:snapToGrid/>
        <w:spacing w:before="0" w:after="0" w:line="600" w:lineRule="exact"/>
        <w:ind w:right="0" w:firstLine="560" w:firstLineChars="200"/>
        <w:textAlignment w:val="auto"/>
        <w:rPr>
          <w:rFonts w:hint="eastAsia" w:ascii="仿宋_GB2312" w:hAnsi="仿宋_GB2312" w:eastAsia="仿宋_GB2312" w:cs="仿宋_GB2312"/>
          <w:caps/>
          <w:sz w:val="28"/>
          <w:szCs w:val="28"/>
        </w:rPr>
      </w:pPr>
      <w:r>
        <w:rPr>
          <w:rFonts w:hint="eastAsia" w:ascii="仿宋_GB2312" w:hAnsi="仿宋_GB2312" w:eastAsia="仿宋_GB2312" w:cs="仿宋_GB2312"/>
          <w:caps/>
          <w:sz w:val="28"/>
          <w:szCs w:val="28"/>
          <w:lang w:val="en-US" w:eastAsia="zh-CN"/>
        </w:rPr>
        <w:t>（5）《最高人民法院关于人民法院民事执行中拍卖、变卖财产的规定》（法释〔2004〕16号2004年11月15日）；</w:t>
      </w:r>
    </w:p>
    <w:p>
      <w:pPr>
        <w:keepLines w:val="0"/>
        <w:pageBreakBefore w:val="0"/>
        <w:widowControl w:val="0"/>
        <w:kinsoku/>
        <w:wordWrap/>
        <w:overflowPunct/>
        <w:topLinePunct w:val="0"/>
        <w:autoSpaceDE/>
        <w:autoSpaceDN/>
        <w:bidi w:val="0"/>
        <w:adjustRightInd/>
        <w:snapToGrid/>
        <w:spacing w:before="0" w:after="0" w:line="600" w:lineRule="exact"/>
        <w:ind w:right="0" w:firstLine="560" w:firstLineChars="200"/>
        <w:textAlignment w:val="auto"/>
        <w:rPr>
          <w:rFonts w:hint="eastAsia" w:ascii="仿宋_GB2312" w:hAnsi="仿宋_GB2312" w:eastAsia="仿宋_GB2312" w:cs="仿宋_GB2312"/>
          <w:caps/>
          <w:sz w:val="28"/>
          <w:szCs w:val="28"/>
        </w:rPr>
      </w:pPr>
      <w:r>
        <w:rPr>
          <w:rFonts w:hint="eastAsia" w:ascii="仿宋_GB2312" w:hAnsi="仿宋_GB2312" w:eastAsia="仿宋_GB2312" w:cs="仿宋_GB2312"/>
          <w:caps/>
          <w:sz w:val="28"/>
          <w:szCs w:val="28"/>
          <w:lang w:val="en-US" w:eastAsia="zh-CN"/>
        </w:rPr>
        <w:t>（6）《司法鉴定程序通则》（中华人民共和国司法部令第132号，2016年3月2日）。</w:t>
      </w:r>
    </w:p>
    <w:p>
      <w:pPr>
        <w:keepLines w:val="0"/>
        <w:pageBreakBefore w:val="0"/>
        <w:widowControl w:val="0"/>
        <w:kinsoku/>
        <w:wordWrap/>
        <w:overflowPunct/>
        <w:topLinePunct w:val="0"/>
        <w:autoSpaceDE/>
        <w:autoSpaceDN/>
        <w:bidi w:val="0"/>
        <w:adjustRightInd/>
        <w:snapToGrid/>
        <w:spacing w:before="0" w:after="0" w:line="600" w:lineRule="exact"/>
        <w:ind w:right="0" w:firstLine="560" w:firstLineChars="200"/>
        <w:textAlignment w:val="auto"/>
        <w:rPr>
          <w:rFonts w:hint="eastAsia" w:ascii="仿宋_GB2312" w:hAnsi="仿宋_GB2312" w:eastAsia="仿宋_GB2312" w:cs="仿宋_GB2312"/>
          <w:caps/>
          <w:sz w:val="28"/>
          <w:szCs w:val="28"/>
        </w:rPr>
      </w:pPr>
      <w:r>
        <w:rPr>
          <w:rFonts w:hint="eastAsia" w:ascii="仿宋_GB2312" w:hAnsi="仿宋_GB2312" w:eastAsia="仿宋_GB2312" w:cs="仿宋_GB2312"/>
          <w:caps/>
          <w:sz w:val="28"/>
          <w:szCs w:val="28"/>
          <w:lang w:val="en-US" w:eastAsia="zh-CN"/>
        </w:rPr>
        <w:t>2.技术标准、规程、规范</w:t>
      </w:r>
    </w:p>
    <w:p>
      <w:pPr>
        <w:keepLines w:val="0"/>
        <w:pageBreakBefore w:val="0"/>
        <w:widowControl w:val="0"/>
        <w:kinsoku/>
        <w:wordWrap/>
        <w:overflowPunct/>
        <w:topLinePunct w:val="0"/>
        <w:autoSpaceDE/>
        <w:autoSpaceDN/>
        <w:bidi w:val="0"/>
        <w:adjustRightInd/>
        <w:snapToGrid/>
        <w:spacing w:before="0" w:after="0" w:line="600" w:lineRule="exact"/>
        <w:ind w:right="0" w:firstLine="560" w:firstLineChars="200"/>
        <w:textAlignment w:val="auto"/>
        <w:rPr>
          <w:rFonts w:hint="eastAsia" w:ascii="仿宋_GB2312" w:hAnsi="仿宋_GB2312" w:eastAsia="仿宋_GB2312" w:cs="仿宋_GB2312"/>
          <w:caps/>
          <w:sz w:val="28"/>
          <w:szCs w:val="28"/>
        </w:rPr>
      </w:pPr>
      <w:r>
        <w:rPr>
          <w:rFonts w:hint="eastAsia" w:ascii="仿宋_GB2312" w:hAnsi="仿宋_GB2312" w:eastAsia="仿宋_GB2312" w:cs="仿宋_GB2312"/>
          <w:caps/>
          <w:sz w:val="28"/>
          <w:szCs w:val="28"/>
          <w:lang w:val="en-US" w:eastAsia="zh-CN"/>
        </w:rPr>
        <w:t>（1）《房地产估价规范》（GB/T 50291-2015）；</w:t>
      </w:r>
    </w:p>
    <w:p>
      <w:pPr>
        <w:keepLines w:val="0"/>
        <w:pageBreakBefore w:val="0"/>
        <w:widowControl w:val="0"/>
        <w:kinsoku/>
        <w:wordWrap/>
        <w:overflowPunct/>
        <w:topLinePunct w:val="0"/>
        <w:autoSpaceDE/>
        <w:autoSpaceDN/>
        <w:bidi w:val="0"/>
        <w:adjustRightInd/>
        <w:snapToGrid/>
        <w:spacing w:before="0" w:after="0" w:line="600" w:lineRule="exact"/>
        <w:ind w:right="0" w:firstLine="560" w:firstLineChars="200"/>
        <w:textAlignment w:val="auto"/>
        <w:rPr>
          <w:rFonts w:hint="eastAsia" w:ascii="仿宋_GB2312" w:hAnsi="仿宋_GB2312" w:eastAsia="仿宋_GB2312" w:cs="仿宋_GB2312"/>
          <w:caps/>
          <w:sz w:val="28"/>
          <w:szCs w:val="28"/>
        </w:rPr>
      </w:pPr>
      <w:r>
        <w:rPr>
          <w:rFonts w:hint="eastAsia" w:ascii="仿宋_GB2312" w:hAnsi="仿宋_GB2312" w:eastAsia="仿宋_GB2312" w:cs="仿宋_GB2312"/>
          <w:caps/>
          <w:sz w:val="28"/>
          <w:szCs w:val="28"/>
          <w:lang w:val="en-US" w:eastAsia="zh-CN"/>
        </w:rPr>
        <w:t>（2）《房地产估价基本术语标准》（GB/T50899-2013，2014年2月1日实施）；</w:t>
      </w:r>
    </w:p>
    <w:p>
      <w:pPr>
        <w:keepLines w:val="0"/>
        <w:pageBreakBefore w:val="0"/>
        <w:widowControl w:val="0"/>
        <w:kinsoku/>
        <w:wordWrap/>
        <w:overflowPunct/>
        <w:topLinePunct w:val="0"/>
        <w:autoSpaceDE/>
        <w:autoSpaceDN/>
        <w:bidi w:val="0"/>
        <w:adjustRightInd/>
        <w:snapToGrid/>
        <w:spacing w:before="0" w:after="0" w:line="600" w:lineRule="exact"/>
        <w:ind w:right="0" w:firstLine="560" w:firstLineChars="200"/>
        <w:textAlignment w:val="auto"/>
        <w:rPr>
          <w:rFonts w:hint="eastAsia" w:ascii="仿宋_GB2312" w:hAnsi="仿宋_GB2312" w:eastAsia="仿宋_GB2312" w:cs="仿宋_GB2312"/>
          <w:caps/>
          <w:sz w:val="28"/>
          <w:szCs w:val="28"/>
        </w:rPr>
      </w:pPr>
      <w:r>
        <w:rPr>
          <w:rFonts w:hint="eastAsia" w:ascii="仿宋_GB2312" w:hAnsi="仿宋_GB2312" w:eastAsia="仿宋_GB2312" w:cs="仿宋_GB2312"/>
          <w:caps/>
          <w:sz w:val="28"/>
          <w:szCs w:val="28"/>
          <w:lang w:val="en-US" w:eastAsia="zh-CN"/>
        </w:rPr>
        <w:t>（3）《房地产估价报告评审标准（试行）》；</w:t>
      </w:r>
    </w:p>
    <w:p>
      <w:pPr>
        <w:keepLines w:val="0"/>
        <w:pageBreakBefore w:val="0"/>
        <w:widowControl w:val="0"/>
        <w:kinsoku/>
        <w:wordWrap/>
        <w:overflowPunct/>
        <w:topLinePunct w:val="0"/>
        <w:autoSpaceDE/>
        <w:autoSpaceDN/>
        <w:bidi w:val="0"/>
        <w:adjustRightInd/>
        <w:snapToGrid/>
        <w:spacing w:before="0" w:after="0" w:line="600" w:lineRule="exact"/>
        <w:ind w:right="0" w:firstLine="560" w:firstLineChars="200"/>
        <w:textAlignment w:val="auto"/>
        <w:rPr>
          <w:rFonts w:hint="eastAsia" w:ascii="仿宋_GB2312" w:hAnsi="仿宋_GB2312" w:eastAsia="仿宋_GB2312" w:cs="仿宋_GB2312"/>
          <w:caps/>
          <w:sz w:val="28"/>
          <w:szCs w:val="28"/>
        </w:rPr>
      </w:pPr>
      <w:r>
        <w:rPr>
          <w:rFonts w:hint="eastAsia" w:ascii="仿宋_GB2312" w:hAnsi="仿宋_GB2312" w:eastAsia="仿宋_GB2312" w:cs="仿宋_GB2312"/>
          <w:caps/>
          <w:sz w:val="28"/>
          <w:szCs w:val="28"/>
          <w:lang w:val="en-US" w:eastAsia="zh-CN"/>
        </w:rPr>
        <w:t>（4）关于印发《涉执房地产处置司法评估指导意见（试行）》的通知（中房学〔2021〕37号）。</w:t>
      </w:r>
    </w:p>
    <w:p>
      <w:pPr>
        <w:keepLines w:val="0"/>
        <w:pageBreakBefore w:val="0"/>
        <w:widowControl w:val="0"/>
        <w:kinsoku/>
        <w:wordWrap/>
        <w:overflowPunct/>
        <w:topLinePunct w:val="0"/>
        <w:autoSpaceDE/>
        <w:autoSpaceDN/>
        <w:bidi w:val="0"/>
        <w:adjustRightInd/>
        <w:snapToGrid/>
        <w:spacing w:before="0" w:after="0" w:line="600" w:lineRule="exact"/>
        <w:ind w:right="0" w:firstLine="560" w:firstLineChars="200"/>
        <w:textAlignment w:val="auto"/>
        <w:rPr>
          <w:rFonts w:hint="eastAsia" w:ascii="仿宋_GB2312" w:hAnsi="仿宋_GB2312" w:eastAsia="仿宋_GB2312" w:cs="仿宋_GB2312"/>
          <w:caps/>
          <w:sz w:val="28"/>
          <w:szCs w:val="28"/>
          <w:lang w:val="en-US" w:eastAsia="zh-CN"/>
        </w:rPr>
      </w:pPr>
      <w:r>
        <w:rPr>
          <w:rFonts w:hint="eastAsia" w:ascii="仿宋_GB2312" w:hAnsi="仿宋_GB2312" w:eastAsia="仿宋_GB2312" w:cs="仿宋_GB2312"/>
          <w:caps/>
          <w:sz w:val="28"/>
          <w:szCs w:val="28"/>
          <w:lang w:val="en-US" w:eastAsia="zh-CN"/>
        </w:rPr>
        <w:t>3.其他资料</w:t>
      </w:r>
    </w:p>
    <w:p>
      <w:pPr>
        <w:keepLines w:val="0"/>
        <w:pageBreakBefore w:val="0"/>
        <w:widowControl w:val="0"/>
        <w:kinsoku/>
        <w:wordWrap/>
        <w:overflowPunct/>
        <w:topLinePunct w:val="0"/>
        <w:autoSpaceDE/>
        <w:autoSpaceDN/>
        <w:bidi w:val="0"/>
        <w:adjustRightInd/>
        <w:snapToGrid/>
        <w:spacing w:before="0" w:after="0" w:line="600" w:lineRule="exact"/>
        <w:ind w:right="0" w:firstLine="560" w:firstLineChars="200"/>
        <w:textAlignment w:val="auto"/>
        <w:rPr>
          <w:rFonts w:hint="eastAsia" w:ascii="仿宋_GB2312" w:hAnsi="仿宋_GB2312" w:eastAsia="仿宋_GB2312" w:cs="仿宋_GB2312"/>
          <w:caps/>
          <w:sz w:val="28"/>
          <w:szCs w:val="28"/>
          <w:lang w:val="en-US" w:eastAsia="zh-CN"/>
        </w:rPr>
      </w:pPr>
      <w:r>
        <w:rPr>
          <w:rFonts w:hint="eastAsia" w:ascii="仿宋_GB2312" w:hAnsi="仿宋_GB2312" w:eastAsia="仿宋_GB2312" w:cs="仿宋_GB2312"/>
          <w:caps/>
          <w:sz w:val="28"/>
          <w:szCs w:val="28"/>
          <w:lang w:val="en-US" w:eastAsia="zh-CN"/>
        </w:rPr>
        <w:t>（1）《赣州经济技术开发区人民法院委托书》（2022）法技委字80号；</w:t>
      </w:r>
    </w:p>
    <w:p>
      <w:pPr>
        <w:keepLines w:val="0"/>
        <w:pageBreakBefore w:val="0"/>
        <w:widowControl w:val="0"/>
        <w:kinsoku/>
        <w:wordWrap/>
        <w:overflowPunct/>
        <w:topLinePunct w:val="0"/>
        <w:autoSpaceDE/>
        <w:autoSpaceDN/>
        <w:bidi w:val="0"/>
        <w:adjustRightInd/>
        <w:snapToGrid/>
        <w:spacing w:before="0" w:after="0" w:line="600" w:lineRule="exact"/>
        <w:ind w:right="0" w:firstLine="560" w:firstLineChars="200"/>
        <w:textAlignment w:val="auto"/>
        <w:rPr>
          <w:rFonts w:hint="eastAsia" w:ascii="仿宋_GB2312" w:hAnsi="仿宋_GB2312" w:eastAsia="仿宋_GB2312" w:cs="仿宋_GB2312"/>
          <w:caps/>
          <w:sz w:val="28"/>
          <w:szCs w:val="28"/>
          <w:lang w:val="en-US" w:eastAsia="zh-CN"/>
        </w:rPr>
      </w:pPr>
      <w:r>
        <w:rPr>
          <w:rFonts w:hint="eastAsia" w:ascii="仿宋_GB2312" w:hAnsi="仿宋_GB2312" w:eastAsia="仿宋_GB2312" w:cs="仿宋_GB2312"/>
          <w:caps/>
          <w:sz w:val="28"/>
          <w:szCs w:val="28"/>
          <w:lang w:val="en-US" w:eastAsia="zh-CN"/>
        </w:rPr>
        <w:t>（2）《不动产登记信息查询结果》等权属资料；</w:t>
      </w:r>
    </w:p>
    <w:p>
      <w:pPr>
        <w:keepLines w:val="0"/>
        <w:pageBreakBefore w:val="0"/>
        <w:widowControl w:val="0"/>
        <w:kinsoku/>
        <w:wordWrap/>
        <w:overflowPunct/>
        <w:topLinePunct w:val="0"/>
        <w:autoSpaceDE/>
        <w:autoSpaceDN/>
        <w:bidi w:val="0"/>
        <w:adjustRightInd/>
        <w:snapToGrid/>
        <w:spacing w:before="0" w:after="0" w:line="600" w:lineRule="exact"/>
        <w:ind w:right="0" w:firstLine="560" w:firstLineChars="200"/>
        <w:textAlignment w:val="auto"/>
        <w:rPr>
          <w:rFonts w:hint="eastAsia" w:ascii="仿宋_GB2312" w:hAnsi="仿宋_GB2312" w:eastAsia="仿宋_GB2312" w:cs="仿宋_GB2312"/>
          <w:caps/>
          <w:sz w:val="28"/>
          <w:szCs w:val="28"/>
          <w:lang w:val="en-US" w:eastAsia="zh-CN"/>
        </w:rPr>
      </w:pPr>
      <w:r>
        <w:rPr>
          <w:rFonts w:hint="eastAsia" w:ascii="仿宋_GB2312" w:hAnsi="仿宋_GB2312" w:eastAsia="仿宋_GB2312" w:cs="仿宋_GB2312"/>
          <w:caps/>
          <w:sz w:val="28"/>
          <w:szCs w:val="28"/>
          <w:lang w:val="en-US" w:eastAsia="zh-CN"/>
        </w:rPr>
        <w:t>（3）估价人员实地查勘和市场调查所取得的资料。</w:t>
      </w:r>
    </w:p>
    <w:p>
      <w:pPr>
        <w:pStyle w:val="4"/>
        <w:keepLines w:val="0"/>
        <w:pageBreakBefore w:val="0"/>
        <w:widowControl w:val="0"/>
        <w:kinsoku/>
        <w:wordWrap/>
        <w:overflowPunct/>
        <w:topLinePunct w:val="0"/>
        <w:autoSpaceDE/>
        <w:autoSpaceDN/>
        <w:bidi w:val="0"/>
        <w:adjustRightInd/>
        <w:snapToGrid/>
        <w:spacing w:before="0" w:after="0" w:line="600" w:lineRule="exact"/>
        <w:ind w:right="0" w:firstLine="562" w:firstLineChars="200"/>
        <w:jc w:val="left"/>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（九）估价方法</w:t>
      </w:r>
      <w:bookmarkEnd w:id="14"/>
    </w:p>
    <w:p>
      <w:pPr>
        <w:keepLines w:val="0"/>
        <w:pageBreakBefore w:val="0"/>
        <w:widowControl w:val="0"/>
        <w:kinsoku/>
        <w:wordWrap/>
        <w:overflowPunct/>
        <w:topLinePunct w:val="0"/>
        <w:autoSpaceDE/>
        <w:autoSpaceDN/>
        <w:bidi w:val="0"/>
        <w:adjustRightInd/>
        <w:snapToGrid/>
        <w:spacing w:before="0" w:after="0" w:line="600" w:lineRule="exact"/>
        <w:ind w:right="0" w:firstLine="560" w:firstLineChars="200"/>
        <w:textAlignment w:val="auto"/>
        <w:rPr>
          <w:rFonts w:hint="eastAsia" w:ascii="仿宋_GB2312" w:hAnsi="宋体" w:eastAsia="仿宋_GB2312"/>
          <w:color w:val="000000"/>
          <w:sz w:val="28"/>
          <w:szCs w:val="28"/>
        </w:rPr>
      </w:pPr>
      <w:bookmarkStart w:id="15" w:name="_Toc12785"/>
      <w:r>
        <w:rPr>
          <w:rFonts w:hint="eastAsia" w:ascii="仿宋_GB2312" w:hAnsi="宋体" w:eastAsia="仿宋_GB2312"/>
          <w:color w:val="000000"/>
          <w:sz w:val="28"/>
          <w:szCs w:val="28"/>
        </w:rPr>
        <w:t>1、估价技术路线</w:t>
      </w:r>
    </w:p>
    <w:p>
      <w:pPr>
        <w:keepLines w:val="0"/>
        <w:pageBreakBefore w:val="0"/>
        <w:widowControl w:val="0"/>
        <w:kinsoku/>
        <w:wordWrap/>
        <w:overflowPunct/>
        <w:topLinePunct w:val="0"/>
        <w:autoSpaceDE/>
        <w:autoSpaceDN/>
        <w:bidi w:val="0"/>
        <w:adjustRightInd/>
        <w:snapToGrid/>
        <w:spacing w:before="0" w:after="0" w:line="600" w:lineRule="exact"/>
        <w:ind w:right="0"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根据《房地产估价规范》等，通行的评估方法有比较法、收益法、成本法、假设开发法等。注册房地产估价师在认真分析所掌握的资料并对估价对象进行实地勘察后，根据估价对象的特点及本身的实际情况，遵照国家标准《房地产估价规范》，分析如下：</w:t>
      </w:r>
    </w:p>
    <w:p>
      <w:pPr>
        <w:keepLines w:val="0"/>
        <w:pageBreakBefore w:val="0"/>
        <w:widowControl w:val="0"/>
        <w:kinsoku/>
        <w:wordWrap/>
        <w:overflowPunct/>
        <w:topLinePunct w:val="0"/>
        <w:autoSpaceDE/>
        <w:autoSpaceDN/>
        <w:bidi w:val="0"/>
        <w:adjustRightInd/>
        <w:snapToGrid/>
        <w:spacing w:before="0" w:after="0" w:line="600" w:lineRule="exact"/>
        <w:ind w:right="0"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（1）比较法：估价对象作为住宅类物业，当地类似物业较多，且区域内房地产交易市场上该类物业交易实例较多，因此可采用比较法进行评估。</w:t>
      </w:r>
    </w:p>
    <w:p>
      <w:pPr>
        <w:keepLines w:val="0"/>
        <w:pageBreakBefore w:val="0"/>
        <w:widowControl w:val="0"/>
        <w:kinsoku/>
        <w:wordWrap/>
        <w:overflowPunct/>
        <w:topLinePunct w:val="0"/>
        <w:autoSpaceDE/>
        <w:autoSpaceDN/>
        <w:bidi w:val="0"/>
        <w:adjustRightInd/>
        <w:snapToGrid/>
        <w:spacing w:before="0" w:after="0" w:line="600" w:lineRule="exact"/>
        <w:ind w:right="0"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（2）收益法：估价对象为住宅类物业，周边同类型物业出租较</w:t>
      </w:r>
      <w:r>
        <w:rPr>
          <w:rFonts w:hint="eastAsia" w:ascii="仿宋_GB2312" w:hAnsi="宋体" w:eastAsia="仿宋_GB2312"/>
          <w:color w:val="000000"/>
          <w:sz w:val="28"/>
          <w:szCs w:val="28"/>
          <w:lang w:val="en-US" w:eastAsia="zh-CN"/>
        </w:rPr>
        <w:t>少</w:t>
      </w:r>
      <w:r>
        <w:rPr>
          <w:rFonts w:hint="eastAsia" w:ascii="仿宋_GB2312" w:hAnsi="宋体" w:eastAsia="仿宋_GB2312"/>
          <w:color w:val="000000"/>
          <w:sz w:val="28"/>
          <w:szCs w:val="28"/>
        </w:rPr>
        <w:t>，同时，当地租售</w:t>
      </w:r>
      <w:r>
        <w:rPr>
          <w:rFonts w:hint="eastAsia" w:ascii="仿宋_GB2312" w:hAnsi="宋体" w:eastAsia="仿宋_GB2312"/>
          <w:color w:val="000000"/>
          <w:sz w:val="28"/>
          <w:szCs w:val="28"/>
          <w:lang w:val="en-US" w:eastAsia="zh-CN"/>
        </w:rPr>
        <w:t>比较低</w:t>
      </w:r>
      <w:r>
        <w:rPr>
          <w:rFonts w:hint="eastAsia" w:ascii="仿宋_GB2312" w:hAnsi="宋体" w:eastAsia="仿宋_GB2312"/>
          <w:color w:val="000000"/>
          <w:sz w:val="28"/>
          <w:szCs w:val="28"/>
        </w:rPr>
        <w:t>，现行租金水平</w:t>
      </w:r>
      <w:r>
        <w:rPr>
          <w:rFonts w:hint="eastAsia" w:ascii="仿宋_GB2312" w:hAnsi="宋体" w:eastAsia="仿宋_GB2312"/>
          <w:color w:val="000000"/>
          <w:sz w:val="28"/>
          <w:szCs w:val="28"/>
          <w:lang w:val="en-US" w:eastAsia="zh-CN"/>
        </w:rPr>
        <w:t>难以</w:t>
      </w:r>
      <w:r>
        <w:rPr>
          <w:rFonts w:hint="eastAsia" w:ascii="仿宋_GB2312" w:hAnsi="宋体" w:eastAsia="仿宋_GB2312"/>
          <w:color w:val="000000"/>
          <w:sz w:val="28"/>
          <w:szCs w:val="28"/>
        </w:rPr>
        <w:t>反映正常市场价值，故</w:t>
      </w:r>
      <w:r>
        <w:rPr>
          <w:rFonts w:hint="eastAsia" w:ascii="仿宋_GB2312" w:hAnsi="宋体" w:eastAsia="仿宋_GB2312"/>
          <w:color w:val="000000"/>
          <w:sz w:val="28"/>
          <w:szCs w:val="28"/>
          <w:lang w:val="en-US" w:eastAsia="zh-CN"/>
        </w:rPr>
        <w:t>不</w:t>
      </w:r>
      <w:r>
        <w:rPr>
          <w:rFonts w:hint="eastAsia" w:ascii="仿宋_GB2312" w:hAnsi="宋体" w:eastAsia="仿宋_GB2312"/>
          <w:color w:val="000000"/>
          <w:sz w:val="28"/>
          <w:szCs w:val="28"/>
        </w:rPr>
        <w:t>适宜采用收益法。</w:t>
      </w:r>
    </w:p>
    <w:p>
      <w:pPr>
        <w:keepLines w:val="0"/>
        <w:pageBreakBefore w:val="0"/>
        <w:widowControl w:val="0"/>
        <w:kinsoku/>
        <w:wordWrap/>
        <w:overflowPunct/>
        <w:topLinePunct w:val="0"/>
        <w:autoSpaceDE/>
        <w:autoSpaceDN/>
        <w:bidi w:val="0"/>
        <w:adjustRightInd/>
        <w:snapToGrid/>
        <w:spacing w:before="0" w:after="0" w:line="600" w:lineRule="exact"/>
        <w:ind w:right="0"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（3）成本法：估价对象为楼房的一部分，不是独立开发建设的整体房地产，且现时</w:t>
      </w:r>
      <w:r>
        <w:rPr>
          <w:rFonts w:hint="eastAsia" w:ascii="仿宋_GB2312" w:hAnsi="宋体" w:eastAsia="仿宋_GB2312"/>
          <w:color w:val="000000"/>
          <w:sz w:val="28"/>
          <w:szCs w:val="28"/>
          <w:lang w:val="en-US" w:eastAsia="zh-CN"/>
        </w:rPr>
        <w:t>住宅</w:t>
      </w:r>
      <w:r>
        <w:rPr>
          <w:rFonts w:hint="eastAsia" w:ascii="仿宋_GB2312" w:hAnsi="宋体" w:eastAsia="仿宋_GB2312"/>
          <w:color w:val="000000"/>
          <w:sz w:val="28"/>
          <w:szCs w:val="28"/>
        </w:rPr>
        <w:t>房地产价格与成本关联性弱，房地产的开发成本不能准确反映房地产的实际市场价值，故不适宜采用成本法。</w:t>
      </w:r>
    </w:p>
    <w:p>
      <w:pPr>
        <w:keepLines w:val="0"/>
        <w:pageBreakBefore w:val="0"/>
        <w:widowControl w:val="0"/>
        <w:kinsoku/>
        <w:wordWrap/>
        <w:overflowPunct/>
        <w:topLinePunct w:val="0"/>
        <w:autoSpaceDE/>
        <w:autoSpaceDN/>
        <w:bidi w:val="0"/>
        <w:adjustRightInd/>
        <w:snapToGrid/>
        <w:spacing w:before="0" w:after="0" w:line="600" w:lineRule="exact"/>
        <w:ind w:right="0"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（4）假设开发法：估价对象属已建成物业，本次估价是以现状用途使用对其价值最为有利为前提进行估价，不适宜更新改造、改变用途、重新开发，故不适宜采用假设开发法。</w:t>
      </w:r>
    </w:p>
    <w:p>
      <w:pPr>
        <w:keepLines w:val="0"/>
        <w:pageBreakBefore w:val="0"/>
        <w:widowControl w:val="0"/>
        <w:kinsoku/>
        <w:wordWrap/>
        <w:overflowPunct/>
        <w:topLinePunct w:val="0"/>
        <w:autoSpaceDE/>
        <w:autoSpaceDN/>
        <w:bidi w:val="0"/>
        <w:adjustRightInd/>
        <w:snapToGrid/>
        <w:spacing w:before="0" w:after="0" w:line="600" w:lineRule="exact"/>
        <w:ind w:right="0"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根据估价对象的特点及本身的实际情况，遵照国家标准《房地产估价规范》，经研究，在此次评估中，选取比较法作为本次估价采用的基本方法来求取估价对象价值。</w:t>
      </w:r>
    </w:p>
    <w:p>
      <w:pPr>
        <w:keepLines w:val="0"/>
        <w:pageBreakBefore w:val="0"/>
        <w:widowControl w:val="0"/>
        <w:kinsoku/>
        <w:wordWrap/>
        <w:overflowPunct/>
        <w:topLinePunct w:val="0"/>
        <w:autoSpaceDE/>
        <w:autoSpaceDN/>
        <w:bidi w:val="0"/>
        <w:adjustRightInd/>
        <w:snapToGrid/>
        <w:spacing w:before="0" w:after="0" w:line="600" w:lineRule="exact"/>
        <w:ind w:right="0"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2、本次选用估价方法定义</w:t>
      </w:r>
    </w:p>
    <w:p>
      <w:pPr>
        <w:keepLines w:val="0"/>
        <w:pageBreakBefore w:val="0"/>
        <w:widowControl w:val="0"/>
        <w:kinsoku/>
        <w:wordWrap/>
        <w:overflowPunct/>
        <w:topLinePunct w:val="0"/>
        <w:autoSpaceDE/>
        <w:autoSpaceDN/>
        <w:bidi w:val="0"/>
        <w:adjustRightInd/>
        <w:snapToGrid/>
        <w:spacing w:before="0" w:after="0" w:line="600" w:lineRule="exact"/>
        <w:ind w:right="0"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比较法原理：将估价对象与价值时点有过交易的类似房地产进行比较，对于这些类似房地产的已知价格作适当的修正，以此估算对象的客观合理价格或价值的方法。</w:t>
      </w:r>
    </w:p>
    <w:p>
      <w:pPr>
        <w:keepLines w:val="0"/>
        <w:pageBreakBefore w:val="0"/>
        <w:widowControl w:val="0"/>
        <w:kinsoku/>
        <w:wordWrap/>
        <w:overflowPunct/>
        <w:topLinePunct w:val="0"/>
        <w:autoSpaceDE/>
        <w:autoSpaceDN/>
        <w:bidi w:val="0"/>
        <w:adjustRightInd/>
        <w:snapToGrid/>
        <w:spacing w:before="0" w:after="0" w:line="600" w:lineRule="exact"/>
        <w:ind w:right="0"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比较法公式：估价对象价格=可比实例价格×交易情况修正×市场状况调整系数×房地产状况调整系数</w:t>
      </w:r>
    </w:p>
    <w:p>
      <w:pPr>
        <w:pStyle w:val="4"/>
        <w:keepLines w:val="0"/>
        <w:pageBreakBefore w:val="0"/>
        <w:widowControl w:val="0"/>
        <w:kinsoku/>
        <w:wordWrap/>
        <w:overflowPunct/>
        <w:topLinePunct w:val="0"/>
        <w:autoSpaceDE/>
        <w:autoSpaceDN/>
        <w:bidi w:val="0"/>
        <w:adjustRightInd/>
        <w:snapToGrid/>
        <w:spacing w:before="0" w:after="0" w:line="600" w:lineRule="exact"/>
        <w:ind w:right="0" w:firstLine="562" w:firstLineChars="200"/>
        <w:jc w:val="left"/>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（十）估价结果</w:t>
      </w:r>
      <w:bookmarkEnd w:id="15"/>
    </w:p>
    <w:p>
      <w:pPr>
        <w:keepLines w:val="0"/>
        <w:pageBreakBefore w:val="0"/>
        <w:widowControl w:val="0"/>
        <w:kinsoku/>
        <w:wordWrap/>
        <w:overflowPunct/>
        <w:topLinePunct w:val="0"/>
        <w:autoSpaceDE/>
        <w:autoSpaceDN/>
        <w:bidi w:val="0"/>
        <w:adjustRightInd/>
        <w:snapToGrid/>
        <w:spacing w:before="0" w:after="0" w:line="600" w:lineRule="exact"/>
        <w:ind w:right="0" w:firstLine="560" w:firstLineChars="200"/>
        <w:textAlignment w:val="auto"/>
        <w:rPr>
          <w:rFonts w:hint="eastAsia" w:ascii="仿宋_GB2312" w:hAnsi="宋体" w:eastAsia="仿宋_GB2312"/>
          <w:color w:val="auto"/>
          <w:sz w:val="28"/>
          <w:shd w:val="clear" w:color="auto" w:fill="auto"/>
          <w:lang w:eastAsia="zh-CN"/>
        </w:rPr>
      </w:pPr>
      <w:r>
        <w:rPr>
          <w:rFonts w:hint="eastAsia" w:ascii="仿宋_GB2312" w:hAnsi="仿宋_GB2312" w:eastAsia="仿宋_GB2312" w:cs="仿宋_GB2312"/>
          <w:snapToGrid w:val="0"/>
          <w:kern w:val="0"/>
          <w:sz w:val="28"/>
          <w:szCs w:val="20"/>
        </w:rPr>
        <w:t>估价人员根据估价目的，遵循估价原则，根据市场调查，在认真分析所掌握资料与影响估价对象价值诸因素的基础上，结合估价对象的个别因素和使用现状，采用科学的估价方法进行分析、测算和判断，最终确定估价对象于价值时点</w:t>
      </w:r>
      <w:r>
        <w:rPr>
          <w:rFonts w:hint="eastAsia" w:ascii="仿宋_GB2312" w:hAnsi="仿宋_GB2312" w:eastAsia="仿宋_GB2312" w:cs="仿宋_GB2312"/>
          <w:snapToGrid w:val="0"/>
          <w:kern w:val="0"/>
          <w:sz w:val="28"/>
          <w:szCs w:val="20"/>
          <w:lang w:eastAsia="zh-CN"/>
        </w:rPr>
        <w:t>2022年4月19日</w:t>
      </w:r>
      <w:r>
        <w:rPr>
          <w:rFonts w:hint="eastAsia" w:ascii="仿宋_GB2312" w:hAnsi="仿宋_GB2312" w:eastAsia="仿宋_GB2312" w:cs="仿宋_GB2312"/>
          <w:snapToGrid w:val="0"/>
          <w:color w:val="auto"/>
          <w:kern w:val="0"/>
          <w:sz w:val="28"/>
          <w:szCs w:val="20"/>
        </w:rPr>
        <w:t>的</w:t>
      </w:r>
      <w:r>
        <w:rPr>
          <w:rFonts w:hint="eastAsia" w:ascii="仿宋_GB2312" w:hAnsi="仿宋_GB2312" w:eastAsia="仿宋_GB2312" w:cs="仿宋_GB2312"/>
          <w:snapToGrid w:val="0"/>
          <w:color w:val="auto"/>
          <w:kern w:val="0"/>
          <w:sz w:val="28"/>
          <w:szCs w:val="20"/>
          <w:lang w:val="en-US" w:eastAsia="zh-CN"/>
        </w:rPr>
        <w:t>房地产</w:t>
      </w:r>
      <w:r>
        <w:rPr>
          <w:rFonts w:hint="eastAsia" w:ascii="仿宋_GB2312" w:hAnsi="仿宋_GB2312" w:eastAsia="仿宋_GB2312" w:cs="仿宋_GB2312"/>
          <w:snapToGrid w:val="0"/>
          <w:color w:val="auto"/>
          <w:kern w:val="0"/>
          <w:sz w:val="28"/>
          <w:szCs w:val="20"/>
          <w:shd w:val="clear" w:color="auto" w:fill="auto"/>
        </w:rPr>
        <w:t>市场价值为</w:t>
      </w:r>
      <w:r>
        <w:rPr>
          <w:rFonts w:hint="eastAsia" w:ascii="仿宋_GB2312" w:hAnsi="仿宋_GB2312" w:eastAsia="仿宋_GB2312" w:cs="仿宋_GB2312"/>
          <w:b/>
          <w:bCs/>
          <w:snapToGrid w:val="0"/>
          <w:color w:val="auto"/>
          <w:kern w:val="0"/>
          <w:sz w:val="28"/>
          <w:szCs w:val="20"/>
          <w:shd w:val="clear" w:color="auto" w:fill="auto"/>
          <w:lang w:val="en-US" w:eastAsia="zh-CN"/>
        </w:rPr>
        <w:t>63.60万元</w:t>
      </w:r>
      <w:r>
        <w:rPr>
          <w:rFonts w:hint="eastAsia" w:ascii="仿宋_GB2312" w:hAnsi="仿宋_GB2312" w:eastAsia="仿宋_GB2312" w:cs="仿宋_GB2312"/>
          <w:b w:val="0"/>
          <w:bCs w:val="0"/>
          <w:snapToGrid w:val="0"/>
          <w:color w:val="auto"/>
          <w:kern w:val="0"/>
          <w:sz w:val="28"/>
          <w:szCs w:val="20"/>
          <w:shd w:val="clear" w:color="auto" w:fill="auto"/>
          <w:lang w:eastAsia="zh-CN"/>
        </w:rPr>
        <w:t>，</w:t>
      </w:r>
      <w:r>
        <w:rPr>
          <w:rFonts w:hint="eastAsia" w:ascii="仿宋_GB2312" w:hAnsi="仿宋_GB2312" w:eastAsia="仿宋_GB2312" w:cs="仿宋_GB2312"/>
          <w:snapToGrid w:val="0"/>
          <w:color w:val="auto"/>
          <w:kern w:val="0"/>
          <w:sz w:val="28"/>
          <w:szCs w:val="20"/>
          <w:shd w:val="clear" w:color="auto" w:fill="auto"/>
        </w:rPr>
        <w:t>人民币大写：</w:t>
      </w:r>
      <w:r>
        <w:rPr>
          <w:rFonts w:hint="eastAsia" w:ascii="仿宋_GB2312" w:hAnsi="仿宋_GB2312" w:eastAsia="仿宋_GB2312" w:cs="仿宋_GB2312"/>
          <w:b/>
          <w:bCs/>
          <w:color w:val="auto"/>
          <w:w w:val="100"/>
          <w:sz w:val="28"/>
          <w:szCs w:val="28"/>
          <w:highlight w:val="none"/>
          <w:lang w:val="en-US" w:eastAsia="zh-CN"/>
        </w:rPr>
        <w:t>陆拾叁万陆仟元</w:t>
      </w:r>
      <w:r>
        <w:rPr>
          <w:rFonts w:hint="eastAsia" w:ascii="仿宋_GB2312" w:hAnsi="仿宋_GB2312" w:eastAsia="仿宋_GB2312" w:cs="仿宋_GB2312"/>
          <w:color w:val="auto"/>
          <w:w w:val="100"/>
          <w:sz w:val="28"/>
          <w:szCs w:val="28"/>
          <w:highlight w:val="none"/>
          <w:lang w:val="en-US" w:eastAsia="zh-CN"/>
        </w:rPr>
        <w:t>整</w:t>
      </w:r>
      <w:r>
        <w:rPr>
          <w:rFonts w:hint="eastAsia" w:ascii="仿宋_GB2312" w:hAnsi="仿宋_GB2312" w:eastAsia="仿宋_GB2312" w:cs="仿宋_GB2312"/>
          <w:snapToGrid w:val="0"/>
          <w:color w:val="auto"/>
          <w:kern w:val="0"/>
          <w:sz w:val="28"/>
          <w:szCs w:val="20"/>
          <w:shd w:val="clear" w:color="auto" w:fill="auto"/>
          <w:lang w:eastAsia="zh-CN"/>
        </w:rPr>
        <w:t>，</w:t>
      </w:r>
      <w:r>
        <w:rPr>
          <w:rFonts w:hint="eastAsia" w:ascii="仿宋_GB2312" w:hAnsi="宋体" w:eastAsia="仿宋_GB2312"/>
          <w:color w:val="auto"/>
          <w:sz w:val="28"/>
          <w:shd w:val="clear" w:color="auto" w:fill="auto"/>
        </w:rPr>
        <w:t>具体详见《评估结果明细表》</w:t>
      </w:r>
      <w:r>
        <w:rPr>
          <w:rFonts w:hint="eastAsia" w:ascii="仿宋_GB2312" w:hAnsi="宋体" w:eastAsia="仿宋_GB2312"/>
          <w:color w:val="auto"/>
          <w:sz w:val="28"/>
          <w:shd w:val="clear" w:color="auto" w:fill="auto"/>
          <w:lang w:eastAsia="zh-CN"/>
        </w:rPr>
        <w:t>。</w:t>
      </w:r>
    </w:p>
    <w:p>
      <w:pPr>
        <w:keepLines w:val="0"/>
        <w:pageBreakBefore w:val="0"/>
        <w:widowControl w:val="0"/>
        <w:kinsoku/>
        <w:wordWrap/>
        <w:overflowPunct/>
        <w:topLinePunct w:val="0"/>
        <w:autoSpaceDE/>
        <w:autoSpaceDN/>
        <w:bidi w:val="0"/>
        <w:adjustRightInd/>
        <w:snapToGrid/>
        <w:spacing w:before="0" w:after="0" w:line="540" w:lineRule="exact"/>
        <w:ind w:right="34" w:firstLine="562"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b/>
          <w:color w:val="000000"/>
          <w:kern w:val="2"/>
          <w:sz w:val="28"/>
          <w:szCs w:val="28"/>
          <w:lang w:val="en-US" w:eastAsia="zh-CN" w:bidi="ar-SA"/>
        </w:rPr>
        <w:t>（十一）注册房地产估价师</w:t>
      </w:r>
    </w:p>
    <w:p>
      <w:pPr>
        <w:spacing w:before="0" w:after="0" w:line="52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 xml:space="preserve">参加本次估价的注册房地产估价师为： </w:t>
      </w:r>
    </w:p>
    <w:tbl>
      <w:tblPr>
        <w:tblStyle w:val="25"/>
        <w:tblW w:w="9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7"/>
        <w:gridCol w:w="1991"/>
        <w:gridCol w:w="2329"/>
        <w:gridCol w:w="2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2237" w:type="dxa"/>
            <w:vAlign w:val="center"/>
          </w:tcPr>
          <w:p>
            <w:pPr>
              <w:pStyle w:val="53"/>
              <w:jc w:val="center"/>
              <w:rPr>
                <w:rFonts w:ascii="仿宋_GB2312" w:eastAsia="仿宋_GB2312"/>
                <w:sz w:val="28"/>
                <w:szCs w:val="28"/>
              </w:rPr>
            </w:pPr>
            <w:r>
              <w:rPr>
                <w:rFonts w:hint="eastAsia" w:ascii="仿宋_GB2312" w:eastAsia="仿宋_GB2312"/>
                <w:sz w:val="28"/>
                <w:szCs w:val="28"/>
              </w:rPr>
              <w:t>姓名</w:t>
            </w:r>
          </w:p>
        </w:tc>
        <w:tc>
          <w:tcPr>
            <w:tcW w:w="1991" w:type="dxa"/>
            <w:vAlign w:val="center"/>
          </w:tcPr>
          <w:p>
            <w:pPr>
              <w:pStyle w:val="53"/>
              <w:jc w:val="center"/>
              <w:rPr>
                <w:rFonts w:ascii="仿宋_GB2312" w:eastAsia="仿宋_GB2312"/>
                <w:sz w:val="28"/>
                <w:szCs w:val="28"/>
              </w:rPr>
            </w:pPr>
            <w:r>
              <w:rPr>
                <w:rFonts w:hint="eastAsia" w:ascii="仿宋_GB2312" w:eastAsia="仿宋_GB2312"/>
                <w:sz w:val="28"/>
                <w:szCs w:val="28"/>
              </w:rPr>
              <w:t>注册号</w:t>
            </w:r>
          </w:p>
        </w:tc>
        <w:tc>
          <w:tcPr>
            <w:tcW w:w="2329" w:type="dxa"/>
            <w:vAlign w:val="center"/>
          </w:tcPr>
          <w:p>
            <w:pPr>
              <w:pStyle w:val="53"/>
              <w:jc w:val="center"/>
              <w:rPr>
                <w:rFonts w:ascii="仿宋_GB2312" w:eastAsia="仿宋_GB2312"/>
                <w:sz w:val="28"/>
                <w:szCs w:val="28"/>
              </w:rPr>
            </w:pPr>
            <w:r>
              <w:rPr>
                <w:rFonts w:hint="eastAsia" w:ascii="仿宋_GB2312" w:eastAsia="仿宋_GB2312"/>
                <w:sz w:val="28"/>
                <w:szCs w:val="28"/>
              </w:rPr>
              <w:t>签名</w:t>
            </w:r>
          </w:p>
        </w:tc>
        <w:tc>
          <w:tcPr>
            <w:tcW w:w="2681" w:type="dxa"/>
            <w:vAlign w:val="center"/>
          </w:tcPr>
          <w:p>
            <w:pPr>
              <w:pStyle w:val="53"/>
              <w:jc w:val="center"/>
              <w:rPr>
                <w:rFonts w:ascii="仿宋_GB2312" w:eastAsia="仿宋_GB2312"/>
                <w:sz w:val="28"/>
                <w:szCs w:val="28"/>
              </w:rPr>
            </w:pPr>
            <w:r>
              <w:rPr>
                <w:rFonts w:hint="eastAsia" w:ascii="仿宋_GB2312" w:eastAsia="仿宋_GB2312"/>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2237" w:type="dxa"/>
            <w:vAlign w:val="center"/>
          </w:tcPr>
          <w:p>
            <w:pPr>
              <w:pStyle w:val="53"/>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孔祥之</w:t>
            </w:r>
          </w:p>
        </w:tc>
        <w:tc>
          <w:tcPr>
            <w:tcW w:w="1991" w:type="dxa"/>
            <w:vAlign w:val="center"/>
          </w:tcPr>
          <w:p>
            <w:pPr>
              <w:pStyle w:val="53"/>
              <w:jc w:val="center"/>
              <w:rPr>
                <w:rFonts w:hint="eastAsia" w:ascii="仿宋_GB2312" w:eastAsia="仿宋_GB2312"/>
                <w:sz w:val="28"/>
                <w:szCs w:val="28"/>
                <w:lang w:eastAsia="zh-CN"/>
              </w:rPr>
            </w:pPr>
            <w:r>
              <w:rPr>
                <w:rFonts w:hint="eastAsia" w:ascii="仿宋_GB2312" w:eastAsia="仿宋_GB2312"/>
                <w:sz w:val="28"/>
                <w:szCs w:val="28"/>
                <w:lang w:eastAsia="zh-CN"/>
              </w:rPr>
              <w:t>4120180204</w:t>
            </w:r>
          </w:p>
        </w:tc>
        <w:tc>
          <w:tcPr>
            <w:tcW w:w="2329" w:type="dxa"/>
            <w:vAlign w:val="center"/>
          </w:tcPr>
          <w:p>
            <w:pPr>
              <w:pStyle w:val="53"/>
              <w:jc w:val="center"/>
              <w:rPr>
                <w:rFonts w:ascii="仿宋_GB2312" w:eastAsia="仿宋_GB2312"/>
                <w:sz w:val="28"/>
                <w:szCs w:val="28"/>
              </w:rPr>
            </w:pPr>
          </w:p>
        </w:tc>
        <w:tc>
          <w:tcPr>
            <w:tcW w:w="2681" w:type="dxa"/>
            <w:vAlign w:val="center"/>
          </w:tcPr>
          <w:p>
            <w:pPr>
              <w:pStyle w:val="53"/>
              <w:jc w:val="center"/>
              <w:rPr>
                <w:rFonts w:hint="eastAsia" w:ascii="仿宋_GB2312" w:eastAsia="仿宋_GB2312"/>
                <w:sz w:val="28"/>
                <w:szCs w:val="28"/>
                <w:lang w:eastAsia="zh-CN"/>
              </w:rPr>
            </w:pPr>
            <w:r>
              <w:rPr>
                <w:rFonts w:hint="eastAsia" w:ascii="仿宋_GB2312" w:hAnsi="宋体" w:eastAsia="仿宋_GB2312"/>
                <w:color w:val="000000"/>
                <w:sz w:val="28"/>
                <w:szCs w:val="28"/>
                <w:lang w:eastAsia="zh-CN"/>
              </w:rPr>
              <w:t>2022年4月21日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jc w:val="center"/>
        </w:trPr>
        <w:tc>
          <w:tcPr>
            <w:tcW w:w="2237" w:type="dxa"/>
            <w:vAlign w:val="center"/>
          </w:tcPr>
          <w:p>
            <w:pPr>
              <w:pStyle w:val="53"/>
              <w:jc w:val="center"/>
              <w:rPr>
                <w:rFonts w:hint="eastAsia" w:ascii="仿宋_GB2312" w:eastAsia="仿宋_GB2312"/>
                <w:sz w:val="28"/>
                <w:szCs w:val="28"/>
                <w:lang w:eastAsia="zh-CN"/>
              </w:rPr>
            </w:pPr>
            <w:r>
              <w:rPr>
                <w:rFonts w:hint="eastAsia" w:ascii="仿宋_GB2312" w:eastAsia="仿宋_GB2312"/>
                <w:sz w:val="28"/>
                <w:szCs w:val="28"/>
                <w:lang w:eastAsia="zh-CN"/>
              </w:rPr>
              <w:t>许  瑜</w:t>
            </w:r>
          </w:p>
        </w:tc>
        <w:tc>
          <w:tcPr>
            <w:tcW w:w="1991" w:type="dxa"/>
            <w:vAlign w:val="center"/>
          </w:tcPr>
          <w:p>
            <w:pPr>
              <w:pStyle w:val="53"/>
              <w:jc w:val="center"/>
              <w:rPr>
                <w:rFonts w:hint="eastAsia" w:ascii="仿宋_GB2312" w:eastAsia="仿宋_GB2312"/>
                <w:sz w:val="28"/>
                <w:szCs w:val="28"/>
                <w:lang w:eastAsia="zh-CN"/>
              </w:rPr>
            </w:pPr>
            <w:r>
              <w:rPr>
                <w:rFonts w:hint="eastAsia" w:ascii="仿宋_GB2312" w:eastAsia="仿宋_GB2312"/>
                <w:sz w:val="28"/>
                <w:szCs w:val="28"/>
                <w:lang w:eastAsia="zh-CN"/>
              </w:rPr>
              <w:t>3620000070</w:t>
            </w:r>
          </w:p>
        </w:tc>
        <w:tc>
          <w:tcPr>
            <w:tcW w:w="2329" w:type="dxa"/>
            <w:vAlign w:val="center"/>
          </w:tcPr>
          <w:p>
            <w:pPr>
              <w:pStyle w:val="53"/>
              <w:jc w:val="center"/>
              <w:rPr>
                <w:rFonts w:ascii="仿宋_GB2312" w:eastAsia="仿宋_GB2312"/>
                <w:sz w:val="28"/>
                <w:szCs w:val="28"/>
              </w:rPr>
            </w:pPr>
          </w:p>
        </w:tc>
        <w:tc>
          <w:tcPr>
            <w:tcW w:w="2681" w:type="dxa"/>
            <w:vAlign w:val="center"/>
          </w:tcPr>
          <w:p>
            <w:pPr>
              <w:pStyle w:val="53"/>
              <w:jc w:val="center"/>
              <w:rPr>
                <w:rFonts w:hint="eastAsia" w:ascii="仿宋_GB2312" w:eastAsia="仿宋_GB2312"/>
                <w:sz w:val="28"/>
                <w:szCs w:val="28"/>
                <w:lang w:eastAsia="zh-CN"/>
              </w:rPr>
            </w:pPr>
            <w:r>
              <w:rPr>
                <w:rFonts w:hint="eastAsia" w:ascii="仿宋_GB2312" w:hAnsi="宋体" w:eastAsia="仿宋_GB2312"/>
                <w:color w:val="000000"/>
                <w:sz w:val="28"/>
                <w:szCs w:val="28"/>
                <w:lang w:eastAsia="zh-CN"/>
              </w:rPr>
              <w:t>2022年4月21日</w:t>
            </w:r>
          </w:p>
        </w:tc>
      </w:tr>
    </w:tbl>
    <w:p>
      <w:pPr>
        <w:pStyle w:val="4"/>
        <w:keepLines w:val="0"/>
        <w:spacing w:before="156" w:beforeLines="50" w:after="0" w:line="600" w:lineRule="exact"/>
        <w:ind w:firstLine="562" w:firstLineChars="200"/>
        <w:jc w:val="left"/>
        <w:rPr>
          <w:rFonts w:ascii="仿宋_GB2312" w:hAnsi="仿宋_GB2312" w:eastAsia="仿宋_GB2312" w:cs="仿宋_GB2312"/>
          <w:color w:val="000000"/>
          <w:sz w:val="28"/>
          <w:szCs w:val="28"/>
        </w:rPr>
      </w:pPr>
      <w:bookmarkStart w:id="16" w:name="_Toc19579"/>
      <w:r>
        <w:rPr>
          <w:rFonts w:hint="eastAsia" w:ascii="仿宋_GB2312" w:hAnsi="仿宋_GB2312" w:eastAsia="仿宋_GB2312" w:cs="仿宋_GB2312"/>
          <w:color w:val="000000"/>
          <w:sz w:val="28"/>
          <w:szCs w:val="28"/>
        </w:rPr>
        <w:t>（十二）实地查勘期</w:t>
      </w:r>
      <w:bookmarkEnd w:id="16"/>
    </w:p>
    <w:p>
      <w:pPr>
        <w:spacing w:before="0" w:after="0" w:line="600" w:lineRule="exact"/>
        <w:ind w:right="34" w:firstLine="560" w:firstLineChars="200"/>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2022年4月19日</w:t>
      </w:r>
    </w:p>
    <w:p>
      <w:pPr>
        <w:pStyle w:val="4"/>
        <w:keepLines w:val="0"/>
        <w:spacing w:before="156" w:beforeLines="50" w:after="0" w:line="600" w:lineRule="exact"/>
        <w:ind w:firstLine="562" w:firstLineChars="200"/>
        <w:jc w:val="left"/>
        <w:rPr>
          <w:rFonts w:hint="eastAsia" w:ascii="仿宋_GB2312" w:hAnsi="仿宋_GB2312" w:eastAsia="仿宋_GB2312" w:cs="仿宋_GB2312"/>
          <w:color w:val="auto"/>
          <w:sz w:val="28"/>
          <w:szCs w:val="28"/>
        </w:rPr>
      </w:pPr>
      <w:bookmarkStart w:id="17" w:name="_Toc27065"/>
      <w:r>
        <w:rPr>
          <w:rFonts w:hint="eastAsia" w:ascii="仿宋_GB2312" w:hAnsi="仿宋_GB2312" w:eastAsia="仿宋_GB2312" w:cs="仿宋_GB2312"/>
          <w:color w:val="auto"/>
          <w:sz w:val="28"/>
          <w:szCs w:val="28"/>
        </w:rPr>
        <w:t>（十三）估价作业日期</w:t>
      </w:r>
      <w:bookmarkEnd w:id="17"/>
    </w:p>
    <w:p>
      <w:pPr>
        <w:spacing w:before="0" w:after="0" w:line="600" w:lineRule="exact"/>
        <w:ind w:right="34" w:firstLine="560" w:firstLineChars="200"/>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lang w:eastAsia="zh-CN"/>
        </w:rPr>
        <w:t>2022年4月19日</w:t>
      </w:r>
      <w:r>
        <w:rPr>
          <w:rFonts w:hint="eastAsia" w:ascii="仿宋_GB2312" w:hAnsi="宋体" w:eastAsia="仿宋_GB2312"/>
          <w:color w:val="auto"/>
          <w:sz w:val="28"/>
          <w:szCs w:val="28"/>
        </w:rPr>
        <w:t>至</w:t>
      </w:r>
      <w:r>
        <w:rPr>
          <w:rFonts w:hint="eastAsia" w:ascii="仿宋_GB2312" w:hAnsi="宋体" w:eastAsia="仿宋_GB2312"/>
          <w:color w:val="auto"/>
          <w:sz w:val="28"/>
          <w:szCs w:val="28"/>
          <w:lang w:eastAsia="zh-CN"/>
        </w:rPr>
        <w:t>2022年4月21日</w:t>
      </w:r>
    </w:p>
    <w:p>
      <w:pPr>
        <w:tabs>
          <w:tab w:val="left" w:pos="267"/>
        </w:tabs>
        <w:adjustRightInd w:val="0"/>
        <w:snapToGrid w:val="0"/>
        <w:spacing w:before="0" w:after="0" w:line="520" w:lineRule="exact"/>
        <w:jc w:val="left"/>
        <w:rPr>
          <w:rFonts w:hint="eastAsia" w:ascii="仿宋_GB2312" w:hAnsi="宋体" w:eastAsia="仿宋_GB2312"/>
          <w:color w:val="000000"/>
          <w:sz w:val="28"/>
          <w:szCs w:val="28"/>
        </w:rPr>
      </w:pPr>
    </w:p>
    <w:sectPr>
      <w:footerReference r:id="rId9" w:type="default"/>
      <w:pgSz w:w="11906" w:h="16838"/>
      <w:pgMar w:top="1701" w:right="1440" w:bottom="1440" w:left="1440" w:header="680"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隶书">
    <w:altName w:val="微软雅黑"/>
    <w:panose1 w:val="0201050906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9"/>
      </w:rPr>
    </w:pPr>
    <w:r>
      <w:fldChar w:fldCharType="begin"/>
    </w:r>
    <w:r>
      <w:rPr>
        <w:rStyle w:val="29"/>
      </w:rPr>
      <w:instrText xml:space="preserve">PAGE  </w:instrText>
    </w:r>
    <w:r>
      <w:fldChar w:fldCharType="separate"/>
    </w:r>
    <w:r>
      <w:rPr>
        <w:rStyle w:val="29"/>
      </w:rPr>
      <w:t>25</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9"/>
      </w:rPr>
    </w:pPr>
    <w:r>
      <w:fldChar w:fldCharType="begin"/>
    </w:r>
    <w:r>
      <w:rPr>
        <w:rStyle w:val="29"/>
      </w:rPr>
      <w:instrText xml:space="preserve">PAGE  </w:instrText>
    </w:r>
    <w:r>
      <w:fldChar w:fldCharType="separate"/>
    </w:r>
    <w:r>
      <w:rPr>
        <w:rStyle w:val="29"/>
      </w:rPr>
      <w:t>25</w:t>
    </w:r>
    <w:r>
      <w:fldChar w:fldCharType="end"/>
    </w:r>
  </w:p>
  <w:p>
    <w:pPr>
      <w:pStyle w:val="1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513"/>
        <w:tab w:val="clear" w:pos="4153"/>
        <w:tab w:val="clear" w:pos="8306"/>
      </w:tabs>
      <w:rPr>
        <w:rFonts w:hint="default" w:ascii="Times New Roman" w:hAnsi="Times New Roman" w:cs="Times New Roman"/>
        <w:sz w:val="21"/>
        <w:szCs w:val="21"/>
      </w:rPr>
    </w:pPr>
    <w:r>
      <w:rPr>
        <w:rFonts w:ascii="Arial" w:hAnsi="Arial" w:eastAsia="幼圆" w:cs="Times New Roman"/>
        <w:color w:val="auto"/>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3"/>
                            <w:rPr>
                              <w:rFonts w:hint="default" w:ascii="Arial" w:hAnsi="Arial" w:eastAsia="微软雅黑" w:cs="Arial"/>
                              <w:sz w:val="18"/>
                              <w:szCs w:val="18"/>
                              <w:lang w:eastAsia="zh-CN"/>
                            </w:rPr>
                          </w:pPr>
                          <w:r>
                            <w:rPr>
                              <w:rFonts w:hint="default" w:ascii="Arial" w:hAnsi="Arial" w:cs="Arial"/>
                              <w:sz w:val="18"/>
                              <w:szCs w:val="18"/>
                              <w:lang w:eastAsia="zh-CN"/>
                            </w:rPr>
                            <w:fldChar w:fldCharType="begin"/>
                          </w:r>
                          <w:r>
                            <w:rPr>
                              <w:rFonts w:hint="default" w:ascii="Arial" w:hAnsi="Arial" w:cs="Arial"/>
                              <w:sz w:val="18"/>
                              <w:szCs w:val="18"/>
                              <w:lang w:eastAsia="zh-CN"/>
                            </w:rPr>
                            <w:instrText xml:space="preserve"> PAGE  \* MERGEFORMAT </w:instrText>
                          </w:r>
                          <w:r>
                            <w:rPr>
                              <w:rFonts w:hint="default" w:ascii="Arial" w:hAnsi="Arial" w:cs="Arial"/>
                              <w:sz w:val="18"/>
                              <w:szCs w:val="18"/>
                              <w:lang w:eastAsia="zh-CN"/>
                            </w:rPr>
                            <w:fldChar w:fldCharType="separate"/>
                          </w:r>
                          <w:r>
                            <w:rPr>
                              <w:rFonts w:hint="default" w:ascii="Arial" w:hAnsi="Arial" w:cs="Arial"/>
                              <w:sz w:val="18"/>
                              <w:szCs w:val="18"/>
                              <w:lang w:eastAsia="zh-CN"/>
                            </w:rPr>
                            <w:t>1</w:t>
                          </w:r>
                          <w:r>
                            <w:rPr>
                              <w:rFonts w:hint="default" w:ascii="Arial" w:hAnsi="Arial" w:cs="Arial"/>
                              <w:sz w:val="18"/>
                              <w:szCs w:val="18"/>
                              <w:lang w:eastAsia="zh-CN"/>
                            </w:rPr>
                            <w:fldChar w:fldCharType="end"/>
                          </w:r>
                        </w:p>
                      </w:txbxContent>
                    </wps:txbx>
                    <wps:bodyPr wrap="none" lIns="0" tIns="0" rIns="0" bIns="0" upright="1">
                      <a:spAutoFit/>
                    </wps:bodyPr>
                  </wps:wsp>
                </a:graphicData>
              </a:graphic>
            </wp:anchor>
          </w:drawing>
        </mc:Choice>
        <mc:Fallback>
          <w:pict>
            <v:rect id="文本框 7"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FHWg2PEAQAAjwMAAA4AAAAAAAAAAQAgAAAAHwEAAGRycy9lMm9Eb2MueG1s&#10;UEsFBgAAAAAGAAYAWQEAAFUFAAAAAA==&#10;">
              <v:fill on="f" focussize="0,0"/>
              <v:stroke on="f"/>
              <v:imagedata o:title=""/>
              <o:lock v:ext="edit" aspectratio="f"/>
              <v:textbox inset="0mm,0mm,0mm,0mm" style="mso-fit-shape-to-text:t;">
                <w:txbxContent>
                  <w:p>
                    <w:pPr>
                      <w:pStyle w:val="13"/>
                      <w:rPr>
                        <w:rFonts w:hint="default" w:ascii="Arial" w:hAnsi="Arial" w:eastAsia="微软雅黑" w:cs="Arial"/>
                        <w:sz w:val="18"/>
                        <w:szCs w:val="18"/>
                        <w:lang w:eastAsia="zh-CN"/>
                      </w:rPr>
                    </w:pPr>
                    <w:r>
                      <w:rPr>
                        <w:rFonts w:hint="default" w:ascii="Arial" w:hAnsi="Arial" w:cs="Arial"/>
                        <w:sz w:val="18"/>
                        <w:szCs w:val="18"/>
                        <w:lang w:eastAsia="zh-CN"/>
                      </w:rPr>
                      <w:fldChar w:fldCharType="begin"/>
                    </w:r>
                    <w:r>
                      <w:rPr>
                        <w:rFonts w:hint="default" w:ascii="Arial" w:hAnsi="Arial" w:cs="Arial"/>
                        <w:sz w:val="18"/>
                        <w:szCs w:val="18"/>
                        <w:lang w:eastAsia="zh-CN"/>
                      </w:rPr>
                      <w:instrText xml:space="preserve"> PAGE  \* MERGEFORMAT </w:instrText>
                    </w:r>
                    <w:r>
                      <w:rPr>
                        <w:rFonts w:hint="default" w:ascii="Arial" w:hAnsi="Arial" w:cs="Arial"/>
                        <w:sz w:val="18"/>
                        <w:szCs w:val="18"/>
                        <w:lang w:eastAsia="zh-CN"/>
                      </w:rPr>
                      <w:fldChar w:fldCharType="separate"/>
                    </w:r>
                    <w:r>
                      <w:rPr>
                        <w:rFonts w:hint="default" w:ascii="Arial" w:hAnsi="Arial" w:cs="Arial"/>
                        <w:sz w:val="18"/>
                        <w:szCs w:val="18"/>
                        <w:lang w:eastAsia="zh-CN"/>
                      </w:rPr>
                      <w:t>1</w:t>
                    </w:r>
                    <w:r>
                      <w:rPr>
                        <w:rFonts w:hint="default" w:ascii="Arial" w:hAnsi="Arial" w:cs="Arial"/>
                        <w:sz w:val="18"/>
                        <w:szCs w:val="18"/>
                        <w:lang w:eastAsia="zh-CN"/>
                      </w:rPr>
                      <w:fldChar w:fldCharType="end"/>
                    </w:r>
                  </w:p>
                </w:txbxContent>
              </v:textbox>
            </v:rect>
          </w:pict>
        </mc:Fallback>
      </mc:AlternateContent>
    </w:r>
    <w:r>
      <w:rPr>
        <w:rFonts w:hint="eastAsia"/>
        <w:lang w:eastAsia="zh-CN"/>
      </w:rPr>
      <w:tab/>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keepNext w:val="0"/>
      <w:keepLines w:val="0"/>
      <w:pageBreakBefore w:val="0"/>
      <w:widowControl w:val="0"/>
      <w:pBdr>
        <w:bottom w:val="none" w:color="auto" w:sz="0" w:space="0"/>
      </w:pBdr>
      <w:tabs>
        <w:tab w:val="left" w:pos="720"/>
      </w:tabs>
      <w:kinsoku/>
      <w:wordWrap/>
      <w:overflowPunct/>
      <w:topLinePunct w:val="0"/>
      <w:autoSpaceDE/>
      <w:autoSpaceDN/>
      <w:bidi w:val="0"/>
      <w:adjustRightInd/>
      <w:snapToGrid w:val="0"/>
      <w:spacing w:before="0" w:after="0" w:line="240" w:lineRule="atLeast"/>
      <w:ind w:firstLine="1152" w:firstLineChars="400"/>
      <w:jc w:val="distribute"/>
      <w:textAlignment w:val="top"/>
      <w:rPr>
        <w:rFonts w:hint="eastAsia" w:eastAsia="隶书"/>
        <w:w w:val="80"/>
        <w:position w:val="6"/>
        <w:sz w:val="36"/>
      </w:rPr>
    </w:pPr>
    <w:r>
      <w:rPr>
        <w:rFonts w:hint="eastAsia" w:ascii="Times New Roman" w:hAnsi="Times New Roman" w:eastAsia="隶书" w:cs="Times New Roman"/>
        <w:color w:val="auto"/>
        <w:w w:val="80"/>
        <w:kern w:val="2"/>
        <w:position w:val="6"/>
        <w:sz w:val="36"/>
        <w:szCs w:val="18"/>
        <w:lang w:val="en-US" w:eastAsia="zh-CN" w:bidi="ar-SA"/>
      </w:rPr>
      <w:drawing>
        <wp:anchor distT="0" distB="0" distL="114300" distR="114300" simplePos="0" relativeHeight="251661312" behindDoc="0" locked="0" layoutInCell="1" allowOverlap="1">
          <wp:simplePos x="0" y="0"/>
          <wp:positionH relativeFrom="column">
            <wp:posOffset>71755</wp:posOffset>
          </wp:positionH>
          <wp:positionV relativeFrom="paragraph">
            <wp:posOffset>49530</wp:posOffset>
          </wp:positionV>
          <wp:extent cx="609600" cy="250825"/>
          <wp:effectExtent l="0" t="0" r="0" b="15875"/>
          <wp:wrapNone/>
          <wp:docPr id="20" name="图片 23" descr="16389321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3" descr="1638932167(1)"/>
                  <pic:cNvPicPr>
                    <a:picLocks noChangeAspect="1"/>
                  </pic:cNvPicPr>
                </pic:nvPicPr>
                <pic:blipFill>
                  <a:blip r:embed="rId1"/>
                  <a:stretch>
                    <a:fillRect/>
                  </a:stretch>
                </pic:blipFill>
                <pic:spPr>
                  <a:xfrm>
                    <a:off x="0" y="0"/>
                    <a:ext cx="609600" cy="250825"/>
                  </a:xfrm>
                  <a:prstGeom prst="rect">
                    <a:avLst/>
                  </a:prstGeom>
                  <a:noFill/>
                  <a:ln>
                    <a:noFill/>
                  </a:ln>
                </pic:spPr>
              </pic:pic>
            </a:graphicData>
          </a:graphic>
        </wp:anchor>
      </w:drawing>
    </w:r>
    <w:r>
      <w:rPr>
        <w:rFonts w:hint="eastAsia" w:ascii="Times New Roman" w:hAnsi="Times New Roman" w:eastAsia="隶书"/>
        <w:w w:val="80"/>
        <w:position w:val="6"/>
        <w:sz w:val="36"/>
      </w:rPr>
      <w:t xml:space="preserve">江 西 </w:t>
    </w:r>
    <w:r>
      <w:rPr>
        <w:rFonts w:hint="eastAsia" w:eastAsia="隶书"/>
        <w:w w:val="80"/>
        <w:position w:val="6"/>
        <w:sz w:val="36"/>
      </w:rPr>
      <w:t>仁</w:t>
    </w:r>
    <w:r>
      <w:rPr>
        <w:rFonts w:hint="eastAsia" w:eastAsia="隶书"/>
        <w:w w:val="80"/>
        <w:position w:val="6"/>
      </w:rPr>
      <w:t xml:space="preserve">  </w:t>
    </w:r>
    <w:r>
      <w:rPr>
        <w:rFonts w:hint="eastAsia" w:eastAsia="隶书"/>
        <w:w w:val="80"/>
        <w:position w:val="6"/>
        <w:sz w:val="36"/>
      </w:rPr>
      <w:t xml:space="preserve">信 </w:t>
    </w:r>
    <w:r>
      <w:rPr>
        <w:rFonts w:hint="eastAsia" w:eastAsia="隶书"/>
        <w:w w:val="80"/>
        <w:position w:val="6"/>
      </w:rPr>
      <w:t xml:space="preserve"> </w:t>
    </w:r>
    <w:r>
      <w:rPr>
        <w:rFonts w:hint="eastAsia" w:eastAsia="隶书"/>
        <w:w w:val="80"/>
        <w:position w:val="6"/>
        <w:sz w:val="36"/>
      </w:rPr>
      <w:t>房</w:t>
    </w:r>
    <w:r>
      <w:rPr>
        <w:rFonts w:hint="eastAsia" w:eastAsia="隶书"/>
        <w:w w:val="80"/>
        <w:position w:val="6"/>
      </w:rPr>
      <w:t xml:space="preserve"> </w:t>
    </w:r>
    <w:r>
      <w:rPr>
        <w:rFonts w:hint="eastAsia" w:eastAsia="隶书"/>
        <w:w w:val="80"/>
        <w:position w:val="6"/>
        <w:sz w:val="36"/>
      </w:rPr>
      <w:t>地</w:t>
    </w:r>
    <w:r>
      <w:rPr>
        <w:rFonts w:hint="eastAsia" w:eastAsia="隶书"/>
        <w:w w:val="80"/>
        <w:position w:val="6"/>
      </w:rPr>
      <w:t xml:space="preserve"> </w:t>
    </w:r>
    <w:r>
      <w:rPr>
        <w:rFonts w:hint="eastAsia" w:eastAsia="隶书"/>
        <w:w w:val="80"/>
        <w:position w:val="6"/>
        <w:sz w:val="36"/>
      </w:rPr>
      <w:t>产</w:t>
    </w:r>
    <w:r>
      <w:rPr>
        <w:rFonts w:hint="eastAsia" w:eastAsia="隶书"/>
        <w:w w:val="80"/>
        <w:position w:val="6"/>
      </w:rPr>
      <w:t xml:space="preserve"> </w:t>
    </w:r>
    <w:r>
      <w:rPr>
        <w:rFonts w:hint="eastAsia" w:ascii="Times New Roman" w:hAnsi="Times New Roman" w:eastAsia="隶书"/>
        <w:w w:val="80"/>
        <w:position w:val="6"/>
        <w:sz w:val="36"/>
      </w:rPr>
      <w:t xml:space="preserve">资 产 </w:t>
    </w:r>
    <w:r>
      <w:rPr>
        <w:rFonts w:hint="eastAsia" w:eastAsia="隶书"/>
        <w:w w:val="80"/>
        <w:position w:val="6"/>
        <w:sz w:val="36"/>
      </w:rPr>
      <w:t>评</w:t>
    </w:r>
    <w:r>
      <w:rPr>
        <w:rFonts w:hint="eastAsia" w:eastAsia="隶书"/>
        <w:w w:val="80"/>
        <w:position w:val="6"/>
      </w:rPr>
      <w:t xml:space="preserve"> </w:t>
    </w:r>
    <w:r>
      <w:rPr>
        <w:rFonts w:hint="eastAsia" w:eastAsia="隶书"/>
        <w:w w:val="80"/>
        <w:position w:val="6"/>
        <w:sz w:val="36"/>
      </w:rPr>
      <w:t>估</w:t>
    </w:r>
    <w:r>
      <w:rPr>
        <w:rFonts w:hint="eastAsia" w:eastAsia="隶书"/>
        <w:w w:val="80"/>
        <w:position w:val="6"/>
      </w:rPr>
      <w:t xml:space="preserve"> </w:t>
    </w:r>
    <w:r>
      <w:rPr>
        <w:rFonts w:hint="eastAsia" w:eastAsia="隶书"/>
        <w:w w:val="80"/>
        <w:position w:val="6"/>
        <w:sz w:val="36"/>
      </w:rPr>
      <w:t>有</w:t>
    </w:r>
    <w:r>
      <w:rPr>
        <w:rFonts w:hint="eastAsia" w:eastAsia="隶书"/>
        <w:w w:val="80"/>
        <w:position w:val="6"/>
      </w:rPr>
      <w:t xml:space="preserve"> </w:t>
    </w:r>
    <w:r>
      <w:rPr>
        <w:rFonts w:hint="eastAsia" w:eastAsia="隶书"/>
        <w:w w:val="80"/>
        <w:position w:val="6"/>
        <w:sz w:val="36"/>
      </w:rPr>
      <w:t>限</w:t>
    </w:r>
    <w:r>
      <w:rPr>
        <w:rFonts w:hint="eastAsia" w:eastAsia="隶书"/>
        <w:w w:val="80"/>
        <w:position w:val="6"/>
      </w:rPr>
      <w:t xml:space="preserve"> </w:t>
    </w:r>
    <w:r>
      <w:rPr>
        <w:rFonts w:hint="eastAsia" w:eastAsia="隶书"/>
        <w:w w:val="80"/>
        <w:position w:val="6"/>
        <w:sz w:val="36"/>
      </w:rPr>
      <w:t>公</w:t>
    </w:r>
    <w:r>
      <w:rPr>
        <w:rFonts w:hint="eastAsia" w:eastAsia="隶书"/>
        <w:w w:val="80"/>
        <w:position w:val="6"/>
      </w:rPr>
      <w:t xml:space="preserve"> </w:t>
    </w:r>
    <w:r>
      <w:rPr>
        <w:rFonts w:hint="eastAsia" w:eastAsia="隶书"/>
        <w:w w:val="80"/>
        <w:position w:val="6"/>
        <w:sz w:val="36"/>
      </w:rPr>
      <w:t>司</w:t>
    </w:r>
  </w:p>
  <w:p>
    <w:pPr>
      <w:pStyle w:val="14"/>
      <w:keepNext w:val="0"/>
      <w:keepLines w:val="0"/>
      <w:pageBreakBefore w:val="0"/>
      <w:widowControl w:val="0"/>
      <w:kinsoku/>
      <w:wordWrap/>
      <w:overflowPunct/>
      <w:topLinePunct w:val="0"/>
      <w:autoSpaceDE/>
      <w:autoSpaceDN/>
      <w:bidi w:val="0"/>
      <w:adjustRightInd/>
      <w:snapToGrid w:val="0"/>
      <w:spacing w:before="0" w:after="0" w:line="240" w:lineRule="atLeast"/>
      <w:jc w:val="distribute"/>
    </w:pPr>
    <w:r>
      <w:rPr>
        <w:rFonts w:hint="eastAsia" w:ascii="仿宋" w:hAnsi="仿宋" w:eastAsia="仿宋" w:cs="仿宋"/>
      </w:rPr>
      <w:t>地址：江西省南昌市红谷滩区赣江南大道1888号滨江商务中心2#楼2916室  联系电话：0791-87678282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5CC75D"/>
    <w:multiLevelType w:val="singleLevel"/>
    <w:tmpl w:val="9F5CC75D"/>
    <w:lvl w:ilvl="0" w:tentative="0">
      <w:start w:val="2"/>
      <w:numFmt w:val="decimal"/>
      <w:suff w:val="nothing"/>
      <w:lvlText w:val="%1、"/>
      <w:lvlJc w:val="left"/>
    </w:lvl>
  </w:abstractNum>
  <w:abstractNum w:abstractNumId="1">
    <w:nsid w:val="00000009"/>
    <w:multiLevelType w:val="multilevel"/>
    <w:tmpl w:val="00000009"/>
    <w:lvl w:ilvl="0" w:tentative="0">
      <w:start w:val="1"/>
      <w:numFmt w:val="chineseCountingThousand"/>
      <w:lvlText w:val="%1"/>
      <w:lvlJc w:val="left"/>
      <w:pPr>
        <w:tabs>
          <w:tab w:val="left" w:pos="3032"/>
        </w:tabs>
        <w:ind w:left="2600" w:firstLine="0"/>
      </w:pPr>
      <w:rPr>
        <w:rFonts w:hint="eastAsia"/>
      </w:rPr>
    </w:lvl>
    <w:lvl w:ilvl="1" w:tentative="0">
      <w:start w:val="1"/>
      <w:numFmt w:val="chineseCountingThousand"/>
      <w:lvlText w:val="（%2）"/>
      <w:lvlJc w:val="left"/>
      <w:pPr>
        <w:tabs>
          <w:tab w:val="left" w:pos="5568"/>
        </w:tabs>
        <w:ind w:left="5220" w:firstLine="0"/>
      </w:pPr>
      <w:rPr>
        <w:rFonts w:hint="eastAsia"/>
      </w:rPr>
    </w:lvl>
    <w:lvl w:ilvl="2" w:tentative="0">
      <w:start w:val="1"/>
      <w:numFmt w:val="decimal"/>
      <w:lvlText w:val="%3"/>
      <w:lvlJc w:val="left"/>
      <w:pPr>
        <w:tabs>
          <w:tab w:val="left" w:pos="3320"/>
        </w:tabs>
        <w:ind w:left="2600" w:firstLine="0"/>
      </w:pPr>
      <w:rPr>
        <w:rFonts w:hint="eastAsia"/>
      </w:rPr>
    </w:lvl>
    <w:lvl w:ilvl="3" w:tentative="0">
      <w:start w:val="1"/>
      <w:numFmt w:val="decimal"/>
      <w:pStyle w:val="5"/>
      <w:lvlText w:val="(%4)"/>
      <w:lvlJc w:val="left"/>
      <w:pPr>
        <w:tabs>
          <w:tab w:val="left" w:pos="6264"/>
        </w:tabs>
        <w:ind w:left="5400" w:firstLine="0"/>
      </w:pPr>
      <w:rPr>
        <w:rFonts w:hint="eastAsia"/>
      </w:rPr>
    </w:lvl>
    <w:lvl w:ilvl="4" w:tentative="0">
      <w:start w:val="1"/>
      <w:numFmt w:val="decimal"/>
      <w:lvlText w:val="%1.%2.%3.%4.%5"/>
      <w:lvlJc w:val="left"/>
      <w:pPr>
        <w:tabs>
          <w:tab w:val="left" w:pos="3608"/>
        </w:tabs>
        <w:ind w:left="2600" w:firstLine="0"/>
      </w:pPr>
      <w:rPr>
        <w:rFonts w:hint="eastAsia"/>
      </w:rPr>
    </w:lvl>
    <w:lvl w:ilvl="5" w:tentative="0">
      <w:start w:val="1"/>
      <w:numFmt w:val="decimal"/>
      <w:lvlText w:val="%1.%2.%3.%4.%5.%6"/>
      <w:lvlJc w:val="left"/>
      <w:pPr>
        <w:tabs>
          <w:tab w:val="left" w:pos="3752"/>
        </w:tabs>
        <w:ind w:left="3752" w:hanging="1152"/>
      </w:pPr>
      <w:rPr>
        <w:rFonts w:hint="eastAsia"/>
      </w:rPr>
    </w:lvl>
    <w:lvl w:ilvl="6" w:tentative="0">
      <w:start w:val="1"/>
      <w:numFmt w:val="decimal"/>
      <w:lvlText w:val="%1.%2.%3.%4.%5.%6.%7"/>
      <w:lvlJc w:val="left"/>
      <w:pPr>
        <w:tabs>
          <w:tab w:val="left" w:pos="3896"/>
        </w:tabs>
        <w:ind w:left="3896" w:hanging="1296"/>
      </w:pPr>
      <w:rPr>
        <w:rFonts w:hint="eastAsia"/>
      </w:rPr>
    </w:lvl>
    <w:lvl w:ilvl="7" w:tentative="0">
      <w:start w:val="1"/>
      <w:numFmt w:val="decimal"/>
      <w:lvlText w:val="%1.%2.%3.%4.%5.%6.%7.%8"/>
      <w:lvlJc w:val="left"/>
      <w:pPr>
        <w:tabs>
          <w:tab w:val="left" w:pos="4040"/>
        </w:tabs>
        <w:ind w:left="4040" w:hanging="1440"/>
      </w:pPr>
      <w:rPr>
        <w:rFonts w:hint="eastAsia"/>
      </w:rPr>
    </w:lvl>
    <w:lvl w:ilvl="8" w:tentative="0">
      <w:start w:val="1"/>
      <w:numFmt w:val="decimal"/>
      <w:lvlText w:val="%1.%2.%3.%4.%5.%6.%7.%8.%9"/>
      <w:lvlJc w:val="left"/>
      <w:pPr>
        <w:tabs>
          <w:tab w:val="left" w:pos="4184"/>
        </w:tabs>
        <w:ind w:left="4184" w:hanging="1584"/>
      </w:pPr>
      <w:rPr>
        <w:rFonts w:hint="eastAsia"/>
      </w:rPr>
    </w:lvl>
  </w:abstractNum>
  <w:abstractNum w:abstractNumId="2">
    <w:nsid w:val="0626A5AE"/>
    <w:multiLevelType w:val="singleLevel"/>
    <w:tmpl w:val="0626A5AE"/>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3D"/>
    <w:rsid w:val="00573A10"/>
    <w:rsid w:val="006B323D"/>
    <w:rsid w:val="00B8541E"/>
    <w:rsid w:val="00C573A1"/>
    <w:rsid w:val="00F45C5C"/>
    <w:rsid w:val="01233D22"/>
    <w:rsid w:val="01A7423E"/>
    <w:rsid w:val="01AB3099"/>
    <w:rsid w:val="022E06FE"/>
    <w:rsid w:val="02481859"/>
    <w:rsid w:val="02884848"/>
    <w:rsid w:val="02F719D3"/>
    <w:rsid w:val="03371F85"/>
    <w:rsid w:val="037369AA"/>
    <w:rsid w:val="03D32A90"/>
    <w:rsid w:val="041601BE"/>
    <w:rsid w:val="04331494"/>
    <w:rsid w:val="04D9659A"/>
    <w:rsid w:val="055D04B8"/>
    <w:rsid w:val="0596272F"/>
    <w:rsid w:val="05A47F04"/>
    <w:rsid w:val="05B90ABC"/>
    <w:rsid w:val="05CE7AE2"/>
    <w:rsid w:val="05DF4184"/>
    <w:rsid w:val="069D469A"/>
    <w:rsid w:val="07475605"/>
    <w:rsid w:val="07660115"/>
    <w:rsid w:val="077A4739"/>
    <w:rsid w:val="08127977"/>
    <w:rsid w:val="08CB5277"/>
    <w:rsid w:val="093F33C4"/>
    <w:rsid w:val="0A87316F"/>
    <w:rsid w:val="0B0E55EC"/>
    <w:rsid w:val="0B801200"/>
    <w:rsid w:val="0BB36F64"/>
    <w:rsid w:val="0C291242"/>
    <w:rsid w:val="0C7A27F5"/>
    <w:rsid w:val="0C9C25E4"/>
    <w:rsid w:val="0D76511E"/>
    <w:rsid w:val="0D7905E5"/>
    <w:rsid w:val="0D946B82"/>
    <w:rsid w:val="0E706D37"/>
    <w:rsid w:val="0F6807AC"/>
    <w:rsid w:val="109E2848"/>
    <w:rsid w:val="10BA5229"/>
    <w:rsid w:val="11365688"/>
    <w:rsid w:val="11991058"/>
    <w:rsid w:val="11AD55A1"/>
    <w:rsid w:val="11FA7EA3"/>
    <w:rsid w:val="12144431"/>
    <w:rsid w:val="12281D2F"/>
    <w:rsid w:val="12EA2FB5"/>
    <w:rsid w:val="13676C27"/>
    <w:rsid w:val="136E58A7"/>
    <w:rsid w:val="138B2F2D"/>
    <w:rsid w:val="13DF2B54"/>
    <w:rsid w:val="1447660A"/>
    <w:rsid w:val="145F33FE"/>
    <w:rsid w:val="158C531C"/>
    <w:rsid w:val="159E35CC"/>
    <w:rsid w:val="15C71161"/>
    <w:rsid w:val="17732985"/>
    <w:rsid w:val="18F840EF"/>
    <w:rsid w:val="1A7D0BEB"/>
    <w:rsid w:val="1AEF2EA9"/>
    <w:rsid w:val="1BEB5F0A"/>
    <w:rsid w:val="1C0A277B"/>
    <w:rsid w:val="1C5F2CA6"/>
    <w:rsid w:val="1CC809C9"/>
    <w:rsid w:val="1D4E1F36"/>
    <w:rsid w:val="1DBB348C"/>
    <w:rsid w:val="1DBF6A83"/>
    <w:rsid w:val="21285A35"/>
    <w:rsid w:val="21F259B1"/>
    <w:rsid w:val="21FC17B9"/>
    <w:rsid w:val="235D5315"/>
    <w:rsid w:val="23B11D50"/>
    <w:rsid w:val="24863533"/>
    <w:rsid w:val="24866E0A"/>
    <w:rsid w:val="24A41778"/>
    <w:rsid w:val="24AF2CE3"/>
    <w:rsid w:val="25421E95"/>
    <w:rsid w:val="255E22C6"/>
    <w:rsid w:val="263470C6"/>
    <w:rsid w:val="26AF79E1"/>
    <w:rsid w:val="27E908C2"/>
    <w:rsid w:val="283C3A4B"/>
    <w:rsid w:val="287E083A"/>
    <w:rsid w:val="28B37E47"/>
    <w:rsid w:val="28F607D9"/>
    <w:rsid w:val="29347D94"/>
    <w:rsid w:val="29807FD8"/>
    <w:rsid w:val="29B43DE8"/>
    <w:rsid w:val="2A185B8A"/>
    <w:rsid w:val="2A34429E"/>
    <w:rsid w:val="2A9C3FFB"/>
    <w:rsid w:val="2ACD704E"/>
    <w:rsid w:val="2C551C35"/>
    <w:rsid w:val="2D0458C3"/>
    <w:rsid w:val="2DD31D41"/>
    <w:rsid w:val="2DDB6949"/>
    <w:rsid w:val="2E1B3259"/>
    <w:rsid w:val="2E627E7E"/>
    <w:rsid w:val="2E885C91"/>
    <w:rsid w:val="2F5248A3"/>
    <w:rsid w:val="2F666855"/>
    <w:rsid w:val="2F80689B"/>
    <w:rsid w:val="2FAC4FAA"/>
    <w:rsid w:val="3025241D"/>
    <w:rsid w:val="30325782"/>
    <w:rsid w:val="30550F83"/>
    <w:rsid w:val="31362566"/>
    <w:rsid w:val="317D4509"/>
    <w:rsid w:val="325F3293"/>
    <w:rsid w:val="32614222"/>
    <w:rsid w:val="32A96DB0"/>
    <w:rsid w:val="32BC010C"/>
    <w:rsid w:val="32E8193A"/>
    <w:rsid w:val="33CE078A"/>
    <w:rsid w:val="342A329E"/>
    <w:rsid w:val="3476433E"/>
    <w:rsid w:val="3502437E"/>
    <w:rsid w:val="35162145"/>
    <w:rsid w:val="3548480A"/>
    <w:rsid w:val="357629CE"/>
    <w:rsid w:val="35B57B28"/>
    <w:rsid w:val="365827F3"/>
    <w:rsid w:val="388F7F96"/>
    <w:rsid w:val="38E9080F"/>
    <w:rsid w:val="395939BD"/>
    <w:rsid w:val="39BB06E6"/>
    <w:rsid w:val="39ED015D"/>
    <w:rsid w:val="39F11330"/>
    <w:rsid w:val="3A2D2860"/>
    <w:rsid w:val="3ACA27F9"/>
    <w:rsid w:val="3B15105C"/>
    <w:rsid w:val="3B2A528F"/>
    <w:rsid w:val="3B79592A"/>
    <w:rsid w:val="3B975F88"/>
    <w:rsid w:val="3BA524B8"/>
    <w:rsid w:val="3C002816"/>
    <w:rsid w:val="3D11579E"/>
    <w:rsid w:val="3D437CA1"/>
    <w:rsid w:val="3E1B3565"/>
    <w:rsid w:val="3E1D4A16"/>
    <w:rsid w:val="3F5214EA"/>
    <w:rsid w:val="3F971C27"/>
    <w:rsid w:val="3FF95728"/>
    <w:rsid w:val="40172D4E"/>
    <w:rsid w:val="41974E70"/>
    <w:rsid w:val="41C16751"/>
    <w:rsid w:val="41C57A27"/>
    <w:rsid w:val="42590028"/>
    <w:rsid w:val="42D53C07"/>
    <w:rsid w:val="43144A19"/>
    <w:rsid w:val="437D1805"/>
    <w:rsid w:val="43916D00"/>
    <w:rsid w:val="441C16D9"/>
    <w:rsid w:val="446144BD"/>
    <w:rsid w:val="446A4A6F"/>
    <w:rsid w:val="44CF5F4B"/>
    <w:rsid w:val="454E4F8A"/>
    <w:rsid w:val="45573E97"/>
    <w:rsid w:val="45DE30BD"/>
    <w:rsid w:val="460660EB"/>
    <w:rsid w:val="469914B8"/>
    <w:rsid w:val="46D11AE3"/>
    <w:rsid w:val="47095284"/>
    <w:rsid w:val="472B6BCB"/>
    <w:rsid w:val="47B234C1"/>
    <w:rsid w:val="489668AA"/>
    <w:rsid w:val="49146937"/>
    <w:rsid w:val="494A0C37"/>
    <w:rsid w:val="4A167933"/>
    <w:rsid w:val="4A566626"/>
    <w:rsid w:val="4A79698F"/>
    <w:rsid w:val="4C214D9F"/>
    <w:rsid w:val="4C863CEE"/>
    <w:rsid w:val="4D4B481E"/>
    <w:rsid w:val="4DF5270B"/>
    <w:rsid w:val="4E2D581B"/>
    <w:rsid w:val="4E8F1228"/>
    <w:rsid w:val="4ED000A4"/>
    <w:rsid w:val="4F0E6CCD"/>
    <w:rsid w:val="4F570D9C"/>
    <w:rsid w:val="4FAA5423"/>
    <w:rsid w:val="4FFE533A"/>
    <w:rsid w:val="50C4589D"/>
    <w:rsid w:val="50D030AF"/>
    <w:rsid w:val="50DE6AF6"/>
    <w:rsid w:val="51444FAB"/>
    <w:rsid w:val="52316F15"/>
    <w:rsid w:val="53821700"/>
    <w:rsid w:val="53A37FC5"/>
    <w:rsid w:val="547A71BD"/>
    <w:rsid w:val="549F10CB"/>
    <w:rsid w:val="551A447B"/>
    <w:rsid w:val="55932E05"/>
    <w:rsid w:val="55946FAE"/>
    <w:rsid w:val="55E30050"/>
    <w:rsid w:val="55E50BAB"/>
    <w:rsid w:val="56165167"/>
    <w:rsid w:val="56AF3198"/>
    <w:rsid w:val="56CA0430"/>
    <w:rsid w:val="58967EA7"/>
    <w:rsid w:val="58EA446A"/>
    <w:rsid w:val="592C18B7"/>
    <w:rsid w:val="59684DEE"/>
    <w:rsid w:val="5A5206FB"/>
    <w:rsid w:val="5ADE3E72"/>
    <w:rsid w:val="5B7B12FA"/>
    <w:rsid w:val="5C3C7905"/>
    <w:rsid w:val="5C4869C0"/>
    <w:rsid w:val="5CB2636A"/>
    <w:rsid w:val="5D90217D"/>
    <w:rsid w:val="5E7C1979"/>
    <w:rsid w:val="5F0F1A42"/>
    <w:rsid w:val="608032D7"/>
    <w:rsid w:val="61A4070A"/>
    <w:rsid w:val="621D4AFA"/>
    <w:rsid w:val="622E6E16"/>
    <w:rsid w:val="62972576"/>
    <w:rsid w:val="629B50CA"/>
    <w:rsid w:val="62B73DA2"/>
    <w:rsid w:val="6420469B"/>
    <w:rsid w:val="64650285"/>
    <w:rsid w:val="654800D9"/>
    <w:rsid w:val="655C1705"/>
    <w:rsid w:val="65623669"/>
    <w:rsid w:val="656B0938"/>
    <w:rsid w:val="65B12D33"/>
    <w:rsid w:val="666A61B3"/>
    <w:rsid w:val="675320FA"/>
    <w:rsid w:val="67A516C0"/>
    <w:rsid w:val="67F42C77"/>
    <w:rsid w:val="67FF081B"/>
    <w:rsid w:val="68B917C1"/>
    <w:rsid w:val="691B7648"/>
    <w:rsid w:val="695015E4"/>
    <w:rsid w:val="69F7175B"/>
    <w:rsid w:val="6A9B19B3"/>
    <w:rsid w:val="6B2D1B18"/>
    <w:rsid w:val="6B4C5161"/>
    <w:rsid w:val="6B517D6C"/>
    <w:rsid w:val="6B6B4784"/>
    <w:rsid w:val="6BE55505"/>
    <w:rsid w:val="6C7771FE"/>
    <w:rsid w:val="6E4F1A0A"/>
    <w:rsid w:val="6E51179D"/>
    <w:rsid w:val="6E5311E6"/>
    <w:rsid w:val="6F086690"/>
    <w:rsid w:val="6F3454B5"/>
    <w:rsid w:val="6F5312B4"/>
    <w:rsid w:val="6FA912FC"/>
    <w:rsid w:val="6FEF0E65"/>
    <w:rsid w:val="707323E5"/>
    <w:rsid w:val="70992E6C"/>
    <w:rsid w:val="70B460FA"/>
    <w:rsid w:val="70F13AF2"/>
    <w:rsid w:val="71613E81"/>
    <w:rsid w:val="71B8574F"/>
    <w:rsid w:val="72B11133"/>
    <w:rsid w:val="72BA3D01"/>
    <w:rsid w:val="72BF0C44"/>
    <w:rsid w:val="72DD3D70"/>
    <w:rsid w:val="753A24A7"/>
    <w:rsid w:val="75813E5B"/>
    <w:rsid w:val="75AF2788"/>
    <w:rsid w:val="76A14D45"/>
    <w:rsid w:val="778554F1"/>
    <w:rsid w:val="7829345B"/>
    <w:rsid w:val="79320809"/>
    <w:rsid w:val="793B6647"/>
    <w:rsid w:val="797B7905"/>
    <w:rsid w:val="79F055BB"/>
    <w:rsid w:val="7B066AD6"/>
    <w:rsid w:val="7B5249CF"/>
    <w:rsid w:val="7BDC06CF"/>
    <w:rsid w:val="7BEC10C7"/>
    <w:rsid w:val="7C605CE5"/>
    <w:rsid w:val="7E2272E3"/>
    <w:rsid w:val="7EBE6385"/>
    <w:rsid w:val="7EF41428"/>
    <w:rsid w:val="7F6374B1"/>
    <w:rsid w:val="7F8868BB"/>
    <w:rsid w:val="7FD51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240" w:after="60" w:line="276"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spacing w:line="360" w:lineRule="auto"/>
      <w:ind w:left="128"/>
      <w:jc w:val="left"/>
      <w:outlineLvl w:val="0"/>
    </w:pPr>
    <w:rPr>
      <w:rFonts w:ascii="宋体" w:hAnsi="宋体" w:eastAsia="仿宋_GB2312"/>
      <w:b/>
      <w:sz w:val="28"/>
    </w:rPr>
  </w:style>
  <w:style w:type="paragraph" w:styleId="4">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5">
    <w:name w:val="heading 4"/>
    <w:basedOn w:val="1"/>
    <w:next w:val="1"/>
    <w:qFormat/>
    <w:uiPriority w:val="0"/>
    <w:pPr>
      <w:keepNext/>
      <w:keepLines/>
      <w:numPr>
        <w:ilvl w:val="3"/>
        <w:numId w:val="1"/>
      </w:numPr>
      <w:outlineLvl w:val="3"/>
    </w:pPr>
    <w:rPr>
      <w:rFonts w:ascii="华文细黑" w:hAnsi="Arial" w:eastAsia="华文细黑"/>
      <w:b/>
      <w:bCs/>
      <w:sz w:val="22"/>
      <w:szCs w:val="22"/>
      <w:u w:val="single"/>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beforeLines="0" w:beforeAutospacing="0"/>
    </w:pPr>
    <w:rPr>
      <w:rFonts w:ascii="Arial" w:hAnsi="Arial"/>
      <w:sz w:val="24"/>
    </w:rPr>
  </w:style>
  <w:style w:type="paragraph" w:styleId="6">
    <w:name w:val="annotation text"/>
    <w:basedOn w:val="1"/>
    <w:qFormat/>
    <w:uiPriority w:val="0"/>
    <w:pPr>
      <w:jc w:val="left"/>
    </w:pPr>
  </w:style>
  <w:style w:type="paragraph" w:styleId="7">
    <w:name w:val="Body Text"/>
    <w:basedOn w:val="1"/>
    <w:qFormat/>
    <w:uiPriority w:val="0"/>
    <w:rPr>
      <w:sz w:val="30"/>
      <w:szCs w:val="20"/>
    </w:rPr>
  </w:style>
  <w:style w:type="paragraph" w:styleId="8">
    <w:name w:val="Body Text Indent"/>
    <w:basedOn w:val="1"/>
    <w:qFormat/>
    <w:uiPriority w:val="0"/>
    <w:pPr>
      <w:spacing w:line="300" w:lineRule="auto"/>
      <w:ind w:firstLine="480" w:firstLineChars="200"/>
    </w:pPr>
    <w:rPr>
      <w:rFonts w:ascii="宋体" w:hAnsi="宋体"/>
      <w:sz w:val="24"/>
    </w:rPr>
  </w:style>
  <w:style w:type="paragraph" w:styleId="9">
    <w:name w:val="Plain Text"/>
    <w:basedOn w:val="1"/>
    <w:qFormat/>
    <w:uiPriority w:val="0"/>
    <w:rPr>
      <w:rFonts w:ascii="宋体" w:hAnsi="Courier New"/>
      <w:szCs w:val="21"/>
    </w:rPr>
  </w:style>
  <w:style w:type="paragraph" w:styleId="10">
    <w:name w:val="Date"/>
    <w:basedOn w:val="1"/>
    <w:next w:val="1"/>
    <w:qFormat/>
    <w:uiPriority w:val="0"/>
    <w:rPr>
      <w:rFonts w:ascii="楷体_GB2312" w:eastAsia="楷体_GB2312"/>
      <w:spacing w:val="10"/>
      <w:sz w:val="24"/>
      <w:szCs w:val="20"/>
    </w:rPr>
  </w:style>
  <w:style w:type="paragraph" w:styleId="11">
    <w:name w:val="Body Text Indent 2"/>
    <w:basedOn w:val="1"/>
    <w:qFormat/>
    <w:uiPriority w:val="0"/>
    <w:pPr>
      <w:spacing w:after="120" w:line="480" w:lineRule="auto"/>
      <w:ind w:left="420" w:leftChars="200"/>
    </w:pPr>
  </w:style>
  <w:style w:type="paragraph" w:styleId="12">
    <w:name w:val="Balloon Text"/>
    <w:basedOn w:val="1"/>
    <w:qFormat/>
    <w:uiPriority w:val="0"/>
    <w:rPr>
      <w:sz w:val="18"/>
      <w:szCs w:val="18"/>
    </w:rPr>
  </w:style>
  <w:style w:type="paragraph" w:styleId="13">
    <w:name w:val="footer"/>
    <w:basedOn w:val="1"/>
    <w:qFormat/>
    <w:uiPriority w:val="0"/>
    <w:pPr>
      <w:tabs>
        <w:tab w:val="center" w:pos="4153"/>
        <w:tab w:val="right" w:pos="8306"/>
      </w:tabs>
      <w:snapToGrid w:val="0"/>
      <w:jc w:val="left"/>
    </w:pPr>
    <w:rPr>
      <w:rFonts w:ascii="Arial" w:hAnsi="Arial" w:eastAsia="幼圆"/>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rFonts w:ascii="Arial" w:hAnsi="Arial" w:eastAsia="幼圆"/>
      <w:sz w:val="18"/>
      <w:szCs w:val="18"/>
    </w:rPr>
  </w:style>
  <w:style w:type="paragraph" w:styleId="15">
    <w:name w:val="toc 1"/>
    <w:basedOn w:val="1"/>
    <w:next w:val="1"/>
    <w:qFormat/>
    <w:uiPriority w:val="39"/>
  </w:style>
  <w:style w:type="paragraph" w:styleId="16">
    <w:name w:val="Body Text Indent 3"/>
    <w:basedOn w:val="1"/>
    <w:qFormat/>
    <w:uiPriority w:val="0"/>
    <w:pPr>
      <w:spacing w:after="120"/>
      <w:ind w:left="420" w:leftChars="200"/>
    </w:pPr>
    <w:rPr>
      <w:sz w:val="16"/>
      <w:szCs w:val="16"/>
    </w:rPr>
  </w:style>
  <w:style w:type="paragraph" w:styleId="17">
    <w:name w:val="table of figures"/>
    <w:basedOn w:val="1"/>
    <w:next w:val="1"/>
    <w:qFormat/>
    <w:uiPriority w:val="0"/>
    <w:pPr>
      <w:spacing w:before="120" w:after="120"/>
      <w:ind w:left="840" w:hanging="420"/>
      <w:jc w:val="center"/>
    </w:pPr>
    <w:rPr>
      <w:rFonts w:eastAsia="黑体"/>
      <w:szCs w:val="20"/>
    </w:rPr>
  </w:style>
  <w:style w:type="paragraph" w:styleId="18">
    <w:name w:val="toc 2"/>
    <w:basedOn w:val="1"/>
    <w:next w:val="1"/>
    <w:qFormat/>
    <w:uiPriority w:val="39"/>
    <w:pPr>
      <w:ind w:left="420" w:leftChars="200"/>
    </w:pPr>
  </w:style>
  <w:style w:type="paragraph" w:styleId="19">
    <w:name w:val="Body Text 2"/>
    <w:basedOn w:val="1"/>
    <w:qFormat/>
    <w:uiPriority w:val="0"/>
    <w:pPr>
      <w:spacing w:after="120" w:line="480" w:lineRule="auto"/>
    </w:pPr>
  </w:style>
  <w:style w:type="paragraph" w:styleId="2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Arial Unicode MS"/>
      <w:kern w:val="0"/>
      <w:sz w:val="20"/>
      <w:szCs w:val="20"/>
    </w:rPr>
  </w:style>
  <w:style w:type="paragraph" w:styleId="21">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22">
    <w:name w:val="index 1"/>
    <w:basedOn w:val="1"/>
    <w:next w:val="1"/>
    <w:qFormat/>
    <w:uiPriority w:val="0"/>
    <w:pPr>
      <w:spacing w:before="0" w:after="0"/>
      <w:jc w:val="center"/>
    </w:pPr>
    <w:rPr>
      <w:rFonts w:ascii="仿宋_GB2312" w:hAnsi="Verdana" w:eastAsia="仿宋_GB2312"/>
      <w:bCs/>
      <w:snapToGrid w:val="0"/>
      <w:color w:val="000000"/>
      <w:sz w:val="18"/>
      <w:szCs w:val="18"/>
    </w:rPr>
  </w:style>
  <w:style w:type="paragraph" w:styleId="23">
    <w:name w:val="Title"/>
    <w:basedOn w:val="1"/>
    <w:next w:val="1"/>
    <w:link w:val="109"/>
    <w:qFormat/>
    <w:uiPriority w:val="0"/>
    <w:pPr>
      <w:jc w:val="center"/>
      <w:outlineLvl w:val="0"/>
    </w:pPr>
    <w:rPr>
      <w:rFonts w:ascii="Cambria" w:hAnsi="Cambria"/>
      <w:b/>
      <w:bCs/>
      <w:sz w:val="32"/>
      <w:szCs w:val="32"/>
    </w:rPr>
  </w:style>
  <w:style w:type="paragraph" w:styleId="24">
    <w:name w:val="annotation subject"/>
    <w:basedOn w:val="6"/>
    <w:next w:val="6"/>
    <w:qFormat/>
    <w:uiPriority w:val="0"/>
    <w:rPr>
      <w:b/>
      <w:bCs/>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0"/>
    <w:rPr>
      <w:b/>
      <w:bCs/>
    </w:rPr>
  </w:style>
  <w:style w:type="character" w:styleId="29">
    <w:name w:val="page number"/>
    <w:basedOn w:val="27"/>
    <w:qFormat/>
    <w:uiPriority w:val="0"/>
  </w:style>
  <w:style w:type="character" w:styleId="30">
    <w:name w:val="FollowedHyperlink"/>
    <w:basedOn w:val="27"/>
    <w:qFormat/>
    <w:uiPriority w:val="0"/>
    <w:rPr>
      <w:color w:val="338DE6"/>
      <w:u w:val="none"/>
    </w:rPr>
  </w:style>
  <w:style w:type="character" w:styleId="31">
    <w:name w:val="Emphasis"/>
    <w:basedOn w:val="27"/>
    <w:qFormat/>
    <w:uiPriority w:val="0"/>
  </w:style>
  <w:style w:type="character" w:styleId="32">
    <w:name w:val="HTML Definition"/>
    <w:basedOn w:val="27"/>
    <w:qFormat/>
    <w:uiPriority w:val="0"/>
  </w:style>
  <w:style w:type="character" w:styleId="33">
    <w:name w:val="HTML Variable"/>
    <w:basedOn w:val="27"/>
    <w:qFormat/>
    <w:uiPriority w:val="0"/>
  </w:style>
  <w:style w:type="character" w:styleId="34">
    <w:name w:val="Hyperlink"/>
    <w:qFormat/>
    <w:uiPriority w:val="99"/>
    <w:rPr>
      <w:rFonts w:eastAsia="仿宋_GB2312"/>
      <w:color w:val="0162BC"/>
      <w:sz w:val="24"/>
      <w:u w:val="none"/>
    </w:rPr>
  </w:style>
  <w:style w:type="character" w:styleId="35">
    <w:name w:val="HTML Code"/>
    <w:basedOn w:val="27"/>
    <w:qFormat/>
    <w:uiPriority w:val="0"/>
    <w:rPr>
      <w:rFonts w:hint="default" w:ascii="serif" w:hAnsi="serif" w:eastAsia="serif" w:cs="serif"/>
      <w:sz w:val="21"/>
      <w:szCs w:val="21"/>
    </w:rPr>
  </w:style>
  <w:style w:type="character" w:styleId="36">
    <w:name w:val="annotation reference"/>
    <w:qFormat/>
    <w:uiPriority w:val="0"/>
    <w:rPr>
      <w:rFonts w:eastAsia="仿宋_GB2312"/>
      <w:sz w:val="21"/>
      <w:szCs w:val="21"/>
    </w:rPr>
  </w:style>
  <w:style w:type="character" w:styleId="37">
    <w:name w:val="HTML Cite"/>
    <w:basedOn w:val="27"/>
    <w:qFormat/>
    <w:uiPriority w:val="0"/>
  </w:style>
  <w:style w:type="character" w:styleId="38">
    <w:name w:val="HTML Keyboard"/>
    <w:basedOn w:val="27"/>
    <w:qFormat/>
    <w:uiPriority w:val="0"/>
    <w:rPr>
      <w:rFonts w:hint="default" w:ascii="serif" w:hAnsi="serif" w:eastAsia="serif" w:cs="serif"/>
      <w:sz w:val="21"/>
      <w:szCs w:val="21"/>
    </w:rPr>
  </w:style>
  <w:style w:type="character" w:styleId="39">
    <w:name w:val="HTML Sample"/>
    <w:basedOn w:val="27"/>
    <w:qFormat/>
    <w:uiPriority w:val="0"/>
    <w:rPr>
      <w:rFonts w:ascii="serif" w:hAnsi="serif" w:eastAsia="serif" w:cs="serif"/>
      <w:sz w:val="21"/>
      <w:szCs w:val="21"/>
    </w:rPr>
  </w:style>
  <w:style w:type="paragraph" w:customStyle="1" w:styleId="40">
    <w:name w:val="xl62"/>
    <w:basedOn w:val="1"/>
    <w:qFormat/>
    <w:uiPriority w:val="0"/>
    <w:pPr>
      <w:widowControl/>
      <w:pBdr>
        <w:top w:val="single" w:color="auto" w:sz="4" w:space="0"/>
        <w:lef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41">
    <w:name w:val="xl38"/>
    <w:basedOn w:val="1"/>
    <w:qFormat/>
    <w:uiPriority w:val="0"/>
    <w:pPr>
      <w:widowControl/>
      <w:spacing w:before="100" w:beforeAutospacing="1" w:after="100" w:afterAutospacing="1"/>
      <w:jc w:val="center"/>
    </w:pPr>
    <w:rPr>
      <w:rFonts w:ascii="Arial Unicode MS" w:hAnsi="Arial Unicode MS" w:eastAsia="Arial Unicode MS" w:cs="Arial Unicode MS"/>
      <w:b/>
      <w:bCs/>
      <w:kern w:val="0"/>
      <w:sz w:val="32"/>
      <w:szCs w:val="32"/>
    </w:rPr>
  </w:style>
  <w:style w:type="paragraph" w:customStyle="1" w:styleId="42">
    <w:name w:val="xl24"/>
    <w:basedOn w:val="1"/>
    <w:qFormat/>
    <w:uiPriority w:val="0"/>
    <w:pPr>
      <w:widowControl/>
      <w:spacing w:before="100" w:beforeAutospacing="1" w:after="100" w:afterAutospacing="1"/>
      <w:jc w:val="center"/>
      <w:textAlignment w:val="center"/>
    </w:pPr>
    <w:rPr>
      <w:rFonts w:ascii="宋体" w:hAnsi="宋体"/>
      <w:kern w:val="0"/>
      <w:sz w:val="24"/>
    </w:rPr>
  </w:style>
  <w:style w:type="paragraph" w:customStyle="1" w:styleId="43">
    <w:name w:val="xl40"/>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rPr>
  </w:style>
  <w:style w:type="paragraph" w:customStyle="1" w:styleId="44">
    <w:name w:val="xl67"/>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45">
    <w:name w:val="Char Char Char"/>
    <w:basedOn w:val="1"/>
    <w:next w:val="1"/>
    <w:qFormat/>
    <w:uiPriority w:val="0"/>
    <w:pPr>
      <w:widowControl/>
      <w:spacing w:line="360" w:lineRule="auto"/>
      <w:jc w:val="left"/>
    </w:pPr>
    <w:rPr>
      <w:kern w:val="0"/>
      <w:szCs w:val="20"/>
      <w:lang w:eastAsia="en-US"/>
    </w:rPr>
  </w:style>
  <w:style w:type="paragraph" w:customStyle="1" w:styleId="46">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rPr>
  </w:style>
  <w:style w:type="paragraph" w:customStyle="1" w:styleId="47">
    <w:name w:val="xl68"/>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48">
    <w:name w:val="xl33"/>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49">
    <w:name w:val="xl52"/>
    <w:basedOn w:val="1"/>
    <w:qFormat/>
    <w:uiPriority w:val="0"/>
    <w:pPr>
      <w:widowControl/>
      <w:pBdr>
        <w:top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50">
    <w:name w:val="xl7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51">
    <w:name w:val="xl50"/>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52">
    <w:name w:val="xl35"/>
    <w:basedOn w:val="1"/>
    <w:qFormat/>
    <w:uiPriority w:val="0"/>
    <w:pPr>
      <w:widowControl/>
      <w:pBdr>
        <w:top w:val="single" w:color="auto" w:sz="4" w:space="0"/>
        <w:left w:val="single" w:color="auto" w:sz="8"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styleId="53">
    <w:name w:val="No Spacing"/>
    <w:qFormat/>
    <w:uiPriority w:val="1"/>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54">
    <w:name w:val="xl71"/>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55">
    <w:name w:val="xl28"/>
    <w:basedOn w:val="1"/>
    <w:qFormat/>
    <w:uiPriority w:val="0"/>
    <w:pPr>
      <w:widowControl/>
      <w:pBdr>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56">
    <w:name w:val="Char"/>
    <w:basedOn w:val="1"/>
    <w:qFormat/>
    <w:uiPriority w:val="0"/>
    <w:pPr>
      <w:snapToGrid w:val="0"/>
      <w:spacing w:line="360" w:lineRule="auto"/>
      <w:ind w:firstLine="200" w:firstLineChars="200"/>
    </w:pPr>
    <w:rPr>
      <w:rFonts w:eastAsia="仿宋_GB2312"/>
      <w:sz w:val="24"/>
    </w:rPr>
  </w:style>
  <w:style w:type="paragraph" w:customStyle="1" w:styleId="57">
    <w:name w:val="xl53"/>
    <w:basedOn w:val="1"/>
    <w:qFormat/>
    <w:uiPriority w:val="0"/>
    <w:pPr>
      <w:widowControl/>
      <w:pBdr>
        <w:left w:val="single" w:color="auto" w:sz="8"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58">
    <w:name w:val="xl27"/>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59">
    <w:name w:val="xl63"/>
    <w:basedOn w:val="1"/>
    <w:qFormat/>
    <w:uiPriority w:val="0"/>
    <w:pPr>
      <w:widowControl/>
      <w:pBdr>
        <w:lef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60">
    <w:name w:val="xl32"/>
    <w:basedOn w:val="1"/>
    <w:qFormat/>
    <w:uiPriority w:val="0"/>
    <w:pPr>
      <w:widowControl/>
      <w:pBdr>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61">
    <w:name w:val="xl76"/>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62">
    <w:name w:val="xl58"/>
    <w:basedOn w:val="1"/>
    <w:qFormat/>
    <w:uiPriority w:val="0"/>
    <w:pPr>
      <w:widowControl/>
      <w:pBdr>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63">
    <w:name w:val="xl60"/>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64">
    <w:name w:val="报告正文"/>
    <w:basedOn w:val="1"/>
    <w:qFormat/>
    <w:uiPriority w:val="0"/>
    <w:pPr>
      <w:spacing w:line="336" w:lineRule="auto"/>
      <w:ind w:left="2603"/>
    </w:pPr>
    <w:rPr>
      <w:rFonts w:ascii="华文细黑" w:eastAsia="华文细黑" w:cs="宋体"/>
      <w:sz w:val="22"/>
    </w:rPr>
  </w:style>
  <w:style w:type="paragraph" w:customStyle="1" w:styleId="65">
    <w:name w:val="xl41"/>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rPr>
  </w:style>
  <w:style w:type="paragraph" w:customStyle="1" w:styleId="66">
    <w:name w:val="xl73"/>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67">
    <w:name w:val="xl51"/>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68">
    <w:name w:val="xl30"/>
    <w:basedOn w:val="1"/>
    <w:qFormat/>
    <w:uiPriority w:val="0"/>
    <w:pPr>
      <w:widowControl/>
      <w:pBdr>
        <w:top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69">
    <w:name w:val="xl48"/>
    <w:basedOn w:val="1"/>
    <w:qFormat/>
    <w:uiPriority w:val="0"/>
    <w:pPr>
      <w:widowControl/>
      <w:pBdr>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70">
    <w:name w:val="xl2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71">
    <w:name w:val="报告正文 Char Char Char"/>
    <w:basedOn w:val="1"/>
    <w:qFormat/>
    <w:uiPriority w:val="0"/>
    <w:pPr>
      <w:spacing w:line="336" w:lineRule="auto"/>
      <w:ind w:left="2603"/>
    </w:pPr>
    <w:rPr>
      <w:rFonts w:ascii="华文细黑" w:eastAsia="华文细黑" w:cs="宋体"/>
      <w:sz w:val="22"/>
    </w:rPr>
  </w:style>
  <w:style w:type="paragraph" w:customStyle="1" w:styleId="72">
    <w:name w:val="xl7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73">
    <w:name w:val="xl55"/>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74">
    <w:name w:val="xl42"/>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rPr>
  </w:style>
  <w:style w:type="paragraph" w:customStyle="1" w:styleId="75">
    <w:name w:val="xl6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76">
    <w:name w:val="font6"/>
    <w:basedOn w:val="1"/>
    <w:qFormat/>
    <w:uiPriority w:val="0"/>
    <w:pPr>
      <w:widowControl/>
      <w:spacing w:before="100" w:beforeAutospacing="1" w:after="100" w:afterAutospacing="1"/>
      <w:jc w:val="left"/>
    </w:pPr>
    <w:rPr>
      <w:rFonts w:eastAsia="Arial Unicode MS"/>
      <w:kern w:val="0"/>
      <w:sz w:val="24"/>
    </w:rPr>
  </w:style>
  <w:style w:type="paragraph" w:customStyle="1" w:styleId="77">
    <w:name w:val="xl56"/>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78">
    <w:name w:val="列出段落1"/>
    <w:basedOn w:val="1"/>
    <w:qFormat/>
    <w:uiPriority w:val="0"/>
    <w:pPr>
      <w:ind w:firstLine="420" w:firstLineChars="200"/>
    </w:pPr>
    <w:rPr>
      <w:szCs w:val="21"/>
    </w:rPr>
  </w:style>
  <w:style w:type="paragraph" w:customStyle="1" w:styleId="79">
    <w:name w:val="xl7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80">
    <w:name w:val="font7"/>
    <w:basedOn w:val="1"/>
    <w:qFormat/>
    <w:uiPriority w:val="0"/>
    <w:pPr>
      <w:widowControl/>
      <w:spacing w:before="100" w:beforeAutospacing="1" w:after="100" w:afterAutospacing="1"/>
      <w:jc w:val="left"/>
    </w:pPr>
    <w:rPr>
      <w:rFonts w:eastAsia="Arial Unicode MS"/>
      <w:kern w:val="0"/>
      <w:sz w:val="24"/>
    </w:rPr>
  </w:style>
  <w:style w:type="paragraph" w:customStyle="1" w:styleId="81">
    <w:name w:val="xl7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82">
    <w:name w:val="xl78"/>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83">
    <w:name w:val="pic-info"/>
    <w:basedOn w:val="1"/>
    <w:qFormat/>
    <w:uiPriority w:val="0"/>
    <w:pPr>
      <w:widowControl/>
      <w:spacing w:before="100" w:beforeAutospacing="1" w:after="100" w:afterAutospacing="1"/>
      <w:jc w:val="left"/>
    </w:pPr>
    <w:rPr>
      <w:rFonts w:ascii="宋体" w:hAnsi="宋体" w:cs="宋体"/>
      <w:kern w:val="0"/>
      <w:sz w:val="24"/>
    </w:rPr>
  </w:style>
  <w:style w:type="paragraph" w:customStyle="1" w:styleId="84">
    <w:name w:val="xl57"/>
    <w:basedOn w:val="1"/>
    <w:qFormat/>
    <w:uiPriority w:val="0"/>
    <w:pPr>
      <w:widowControl/>
      <w:pBdr>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85">
    <w:name w:val="xl6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86">
    <w:name w:val="p15"/>
    <w:basedOn w:val="1"/>
    <w:qFormat/>
    <w:uiPriority w:val="0"/>
    <w:pPr>
      <w:widowControl/>
      <w:spacing w:before="100" w:beforeAutospacing="1" w:after="100" w:afterAutospacing="1"/>
      <w:jc w:val="left"/>
    </w:pPr>
    <w:rPr>
      <w:rFonts w:ascii="宋体" w:hAnsi="宋体" w:cs="宋体"/>
      <w:kern w:val="0"/>
      <w:sz w:val="24"/>
    </w:rPr>
  </w:style>
  <w:style w:type="paragraph" w:customStyle="1" w:styleId="87">
    <w:name w:val="xl5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88">
    <w:name w:val="xl61"/>
    <w:basedOn w:val="1"/>
    <w:qFormat/>
    <w:uiPriority w:val="0"/>
    <w:pPr>
      <w:widowControl/>
      <w:pBdr>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89">
    <w:name w:val="_Style 79"/>
    <w:basedOn w:val="3"/>
    <w:next w:val="1"/>
    <w:qFormat/>
    <w:uiPriority w:val="39"/>
    <w:pPr>
      <w:keepLines/>
      <w:widowControl/>
      <w:spacing w:before="480" w:line="276" w:lineRule="auto"/>
      <w:ind w:left="0"/>
      <w:outlineLvl w:val="9"/>
    </w:pPr>
    <w:rPr>
      <w:rFonts w:ascii="Cambria" w:hAnsi="Cambria" w:eastAsia="宋体"/>
      <w:bCs/>
      <w:color w:val="365F91"/>
      <w:kern w:val="0"/>
      <w:szCs w:val="28"/>
    </w:rPr>
  </w:style>
  <w:style w:type="paragraph" w:customStyle="1" w:styleId="90">
    <w:name w:val="xl7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91">
    <w:name w:val="xl59"/>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92">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93">
    <w:name w:val="xl37"/>
    <w:basedOn w:val="1"/>
    <w:qFormat/>
    <w:uiPriority w:val="0"/>
    <w:pPr>
      <w:widowControl/>
      <w:pBdr>
        <w:left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94">
    <w:name w:val="xl49"/>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95">
    <w:name w:val="xl31"/>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96">
    <w:name w:val="xl47"/>
    <w:basedOn w:val="1"/>
    <w:qFormat/>
    <w:uiPriority w:val="0"/>
    <w:pPr>
      <w:widowControl/>
      <w:pBdr>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97">
    <w:name w:val="xl29"/>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98">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99">
    <w:name w:val="xl44"/>
    <w:basedOn w:val="1"/>
    <w:qFormat/>
    <w:uiPriority w:val="0"/>
    <w:pPr>
      <w:widowControl/>
      <w:pBdr>
        <w:top w:val="single" w:color="auto" w:sz="8"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00">
    <w:name w:val="xl39"/>
    <w:basedOn w:val="1"/>
    <w:qFormat/>
    <w:uiPriority w:val="0"/>
    <w:pPr>
      <w:widowControl/>
      <w:pBdr>
        <w:bottom w:val="single" w:color="auto" w:sz="8"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101">
    <w:name w:val="表格内文字"/>
    <w:basedOn w:val="1"/>
    <w:qFormat/>
    <w:uiPriority w:val="0"/>
    <w:pPr>
      <w:spacing w:after="0" w:line="240" w:lineRule="auto"/>
      <w:textAlignment w:val="bottom"/>
    </w:pPr>
    <w:rPr>
      <w:rFonts w:ascii="华文细黑" w:eastAsia="华文细黑"/>
      <w:snapToGrid w:val="0"/>
      <w:szCs w:val="18"/>
    </w:rPr>
  </w:style>
  <w:style w:type="paragraph" w:customStyle="1" w:styleId="102">
    <w:name w:val="xl34"/>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03">
    <w:name w:val="xl46"/>
    <w:basedOn w:val="1"/>
    <w:qFormat/>
    <w:uiPriority w:val="0"/>
    <w:pPr>
      <w:widowControl/>
      <w:pBdr>
        <w:top w:val="single" w:color="auto" w:sz="8"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04">
    <w:name w:val="xl65"/>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05">
    <w:name w:val="xl45"/>
    <w:basedOn w:val="1"/>
    <w:qFormat/>
    <w:uiPriority w:val="0"/>
    <w:pPr>
      <w:widowControl/>
      <w:pBdr>
        <w:top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06">
    <w:name w:val="_Style 26"/>
    <w:basedOn w:val="1"/>
    <w:qFormat/>
    <w:uiPriority w:val="0"/>
    <w:pPr>
      <w:snapToGrid w:val="0"/>
      <w:spacing w:line="360" w:lineRule="auto"/>
      <w:ind w:firstLine="200" w:firstLineChars="200"/>
    </w:pPr>
  </w:style>
  <w:style w:type="paragraph" w:customStyle="1" w:styleId="107">
    <w:name w:val="xl36"/>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08">
    <w:name w:val="xl6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character" w:customStyle="1" w:styleId="109">
    <w:name w:val="标题 Char"/>
    <w:basedOn w:val="27"/>
    <w:link w:val="23"/>
    <w:qFormat/>
    <w:uiPriority w:val="0"/>
    <w:rPr>
      <w:rFonts w:ascii="Cambria" w:hAnsi="Cambria" w:cs="Times New Roman"/>
      <w:b/>
      <w:bCs/>
      <w:kern w:val="2"/>
      <w:sz w:val="32"/>
      <w:szCs w:val="32"/>
    </w:rPr>
  </w:style>
  <w:style w:type="character" w:customStyle="1" w:styleId="110">
    <w:name w:val="apple-converted-space"/>
    <w:basedOn w:val="27"/>
    <w:qFormat/>
    <w:uiPriority w:val="0"/>
  </w:style>
  <w:style w:type="character" w:customStyle="1" w:styleId="111">
    <w:name w:val="newtxt1"/>
    <w:basedOn w:val="27"/>
    <w:qFormat/>
    <w:uiPriority w:val="0"/>
  </w:style>
  <w:style w:type="character" w:customStyle="1" w:styleId="112">
    <w:name w:val="description"/>
    <w:basedOn w:val="27"/>
    <w:qFormat/>
    <w:uiPriority w:val="0"/>
  </w:style>
  <w:style w:type="character" w:customStyle="1" w:styleId="113">
    <w:name w:val="font31"/>
    <w:basedOn w:val="27"/>
    <w:qFormat/>
    <w:uiPriority w:val="0"/>
    <w:rPr>
      <w:rFonts w:hint="default" w:ascii="仿宋_GB2312" w:eastAsia="仿宋_GB2312" w:cs="仿宋_GB2312"/>
      <w:color w:val="000000"/>
      <w:sz w:val="20"/>
      <w:szCs w:val="20"/>
      <w:u w:val="none"/>
    </w:rPr>
  </w:style>
  <w:style w:type="character" w:customStyle="1" w:styleId="114">
    <w:name w:val="font21"/>
    <w:basedOn w:val="27"/>
    <w:qFormat/>
    <w:uiPriority w:val="0"/>
    <w:rPr>
      <w:rFonts w:hint="eastAsia" w:ascii="宋体" w:hAnsi="宋体" w:eastAsia="宋体" w:cs="宋体"/>
      <w:color w:val="000000"/>
      <w:sz w:val="18"/>
      <w:szCs w:val="18"/>
      <w:u w:val="none"/>
    </w:rPr>
  </w:style>
  <w:style w:type="character" w:customStyle="1" w:styleId="115">
    <w:name w:val="font11"/>
    <w:basedOn w:val="27"/>
    <w:qFormat/>
    <w:uiPriority w:val="0"/>
    <w:rPr>
      <w:rFonts w:hint="eastAsia" w:ascii="仿宋_GB2312" w:eastAsia="仿宋_GB2312" w:cs="仿宋_GB2312"/>
      <w:color w:val="000000"/>
      <w:sz w:val="18"/>
      <w:szCs w:val="18"/>
      <w:u w:val="none"/>
    </w:rPr>
  </w:style>
  <w:style w:type="character" w:customStyle="1" w:styleId="116">
    <w:name w:val="font01"/>
    <w:basedOn w:val="27"/>
    <w:qFormat/>
    <w:uiPriority w:val="0"/>
    <w:rPr>
      <w:rFonts w:hint="default" w:ascii="仿宋_GB2312" w:eastAsia="仿宋_GB2312" w:cs="仿宋_GB2312"/>
      <w:color w:val="000000"/>
      <w:sz w:val="22"/>
      <w:szCs w:val="22"/>
      <w:u w:val="none"/>
    </w:rPr>
  </w:style>
  <w:style w:type="character" w:customStyle="1" w:styleId="117">
    <w:name w:val="font41"/>
    <w:basedOn w:val="27"/>
    <w:qFormat/>
    <w:uiPriority w:val="0"/>
    <w:rPr>
      <w:rFonts w:hint="eastAsia" w:ascii="宋体" w:hAnsi="宋体" w:eastAsia="宋体" w:cs="宋体"/>
      <w:color w:val="000000"/>
      <w:sz w:val="22"/>
      <w:szCs w:val="22"/>
      <w:u w:val="none"/>
    </w:rPr>
  </w:style>
  <w:style w:type="character" w:customStyle="1" w:styleId="118">
    <w:name w:val="fontstrikethrough"/>
    <w:basedOn w:val="27"/>
    <w:qFormat/>
    <w:uiPriority w:val="0"/>
    <w:rPr>
      <w:strike/>
    </w:rPr>
  </w:style>
  <w:style w:type="character" w:customStyle="1" w:styleId="119">
    <w:name w:val="fontborder"/>
    <w:basedOn w:val="27"/>
    <w:qFormat/>
    <w:uiPriority w:val="0"/>
    <w:rPr>
      <w:bdr w:val="single" w:color="000000" w:sz="6" w:space="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LEGEND (Beijing) Limited</Company>
  <Pages>24</Pages>
  <Words>7424</Words>
  <Characters>7743</Characters>
  <Lines>1</Lines>
  <Paragraphs>1</Paragraphs>
  <TotalTime>27</TotalTime>
  <ScaleCrop>false</ScaleCrop>
  <LinksUpToDate>false</LinksUpToDate>
  <CharactersWithSpaces>7828</CharactersWithSpaces>
  <Application>WPS Office_11.1.0.11648_F1E327BC-269C-435d-A152-05C5408002CA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2018-09-18T05:29:00Z</dcterms:created>
  <dc:creator>Legend User</dc:creator>
  <cp:lastModifiedBy>Administrator</cp:lastModifiedBy>
  <cp:lastPrinted>2022-04-25T08:20:00Z</cp:lastPrinted>
  <dcterms:modified xsi:type="dcterms:W3CDTF">2022-05-31T03:21:33Z</dcterms:modified>
  <dc:title>房 地 产 估 价 报 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2052-11.1.0.11648</vt:lpwstr>
  </property>
  <property fmtid="{D5CDD505-2E9C-101B-9397-08002B2CF9AE}" pid="3" name="ICV">
    <vt:lpwstr>BE661B05D6564811948F3CE8BBA2AC7B</vt:lpwstr>
  </property>
  <property fmtid="{D5CDD505-2E9C-101B-9397-08002B2CF9AE}" pid="4" name="commondata">
    <vt:lpwstr>eyJoZGlkIjoiNThmNTU2YWE2ODM0ZDMwOWM2YzI2ZWJlMzdlNjNlZGMifQ==</vt:lpwstr>
  </property>
</Properties>
</file>