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80" w:lineRule="auto"/>
        <w:jc w:val="center"/>
        <w:rPr>
          <w:rFonts w:ascii="Arial" w:hAnsi="Arial" w:eastAsia="隶书" w:cs="Arial"/>
          <w:color w:val="auto"/>
          <w:sz w:val="28"/>
          <w:szCs w:val="28"/>
          <w:highlight w:val="none"/>
        </w:rPr>
      </w:pPr>
    </w:p>
    <w:p>
      <w:pPr>
        <w:pStyle w:val="6"/>
        <w:spacing w:line="480" w:lineRule="auto"/>
        <w:rPr>
          <w:rFonts w:ascii="Arial" w:hAnsi="Arial" w:eastAsia="隶书" w:cs="Arial"/>
          <w:color w:val="auto"/>
          <w:sz w:val="28"/>
          <w:szCs w:val="28"/>
          <w:highlight w:val="none"/>
        </w:rPr>
      </w:pPr>
    </w:p>
    <w:p>
      <w:pPr>
        <w:pStyle w:val="6"/>
        <w:spacing w:line="480" w:lineRule="auto"/>
        <w:rPr>
          <w:rFonts w:ascii="Arial" w:hAnsi="Arial" w:eastAsia="隶书" w:cs="Arial"/>
          <w:color w:val="auto"/>
          <w:sz w:val="28"/>
          <w:szCs w:val="28"/>
          <w:highlight w:val="none"/>
        </w:rPr>
      </w:pPr>
    </w:p>
    <w:tbl>
      <w:tblPr>
        <w:tblStyle w:val="15"/>
        <w:tblW w:w="6181" w:type="dxa"/>
        <w:jc w:val="center"/>
        <w:tblLayout w:type="fixed"/>
        <w:tblCellMar>
          <w:top w:w="0" w:type="dxa"/>
          <w:left w:w="108" w:type="dxa"/>
          <w:bottom w:w="0" w:type="dxa"/>
          <w:right w:w="108" w:type="dxa"/>
        </w:tblCellMar>
      </w:tblPr>
      <w:tblGrid>
        <w:gridCol w:w="6181"/>
      </w:tblGrid>
      <w:tr>
        <w:tblPrEx>
          <w:tblCellMar>
            <w:top w:w="0" w:type="dxa"/>
            <w:left w:w="108" w:type="dxa"/>
            <w:bottom w:w="0" w:type="dxa"/>
            <w:right w:w="108" w:type="dxa"/>
          </w:tblCellMar>
        </w:tblPrEx>
        <w:trPr>
          <w:trHeight w:val="877" w:hRule="atLeast"/>
          <w:jc w:val="center"/>
        </w:trPr>
        <w:tc>
          <w:tcPr>
            <w:tcW w:w="6181" w:type="dxa"/>
            <w:vAlign w:val="center"/>
          </w:tcPr>
          <w:p>
            <w:pPr>
              <w:pStyle w:val="6"/>
              <w:jc w:val="center"/>
              <w:rPr>
                <w:rFonts w:ascii="Arial" w:hAnsi="Arial" w:eastAsia="隶书" w:cs="Arial"/>
                <w:b/>
                <w:bCs/>
                <w:color w:val="auto"/>
                <w:sz w:val="44"/>
                <w:highlight w:val="none"/>
              </w:rPr>
            </w:pPr>
            <w:r>
              <w:rPr>
                <w:rFonts w:hint="eastAsia" w:ascii="Arial" w:hAnsi="Arial" w:eastAsia="隶书" w:cs="Arial"/>
                <w:b/>
                <w:bCs/>
                <w:color w:val="auto"/>
                <w:sz w:val="44"/>
                <w:highlight w:val="none"/>
              </w:rPr>
              <w:t>涉执房地产处置司法评估报告</w:t>
            </w:r>
          </w:p>
        </w:tc>
      </w:tr>
      <w:tr>
        <w:tblPrEx>
          <w:tblCellMar>
            <w:top w:w="0" w:type="dxa"/>
            <w:left w:w="108" w:type="dxa"/>
            <w:bottom w:w="0" w:type="dxa"/>
            <w:right w:w="108" w:type="dxa"/>
          </w:tblCellMar>
        </w:tblPrEx>
        <w:trPr>
          <w:trHeight w:val="340" w:hRule="atLeast"/>
          <w:jc w:val="center"/>
        </w:trPr>
        <w:tc>
          <w:tcPr>
            <w:tcW w:w="6181" w:type="dxa"/>
            <w:tcBorders>
              <w:bottom w:val="single" w:color="auto" w:sz="4" w:space="0"/>
            </w:tcBorders>
            <w:vAlign w:val="bottom"/>
          </w:tcPr>
          <w:p>
            <w:pPr>
              <w:pStyle w:val="6"/>
              <w:spacing w:line="500" w:lineRule="exact"/>
              <w:jc w:val="center"/>
              <w:rPr>
                <w:rFonts w:ascii="Arial" w:hAnsi="Arial" w:eastAsia="隶书" w:cs="Arial"/>
                <w:b/>
                <w:bCs/>
                <w:color w:val="auto"/>
                <w:sz w:val="28"/>
                <w:szCs w:val="28"/>
                <w:highlight w:val="none"/>
              </w:rPr>
            </w:pPr>
            <w:r>
              <w:rPr>
                <w:rFonts w:hint="eastAsia" w:ascii="Arial" w:hAnsi="Arial" w:eastAsia="隶书" w:cs="Arial"/>
                <w:b/>
                <w:bCs/>
                <w:color w:val="auto"/>
                <w:sz w:val="32"/>
                <w:highlight w:val="none"/>
                <w:lang w:eastAsia="zh-CN"/>
              </w:rPr>
              <w:t>湖北省十堰市竹溪县城关镇鄂陕大道899号金叶花园4幢1单元202号</w:t>
            </w:r>
            <w:r>
              <w:rPr>
                <w:rFonts w:hint="eastAsia" w:ascii="Arial" w:hAnsi="Arial" w:eastAsia="隶书" w:cs="Arial"/>
                <w:b/>
                <w:bCs/>
                <w:color w:val="auto"/>
                <w:sz w:val="32"/>
                <w:highlight w:val="none"/>
              </w:rPr>
              <w:t>建筑面积</w:t>
            </w:r>
            <w:r>
              <w:rPr>
                <w:rFonts w:hint="eastAsia" w:ascii="Arial" w:hAnsi="Arial" w:eastAsia="隶书" w:cs="Arial"/>
                <w:b/>
                <w:bCs/>
                <w:color w:val="auto"/>
                <w:sz w:val="32"/>
                <w:highlight w:val="none"/>
                <w:lang w:eastAsia="zh-CN"/>
              </w:rPr>
              <w:t>130.16</w:t>
            </w:r>
            <w:r>
              <w:rPr>
                <w:rFonts w:hint="eastAsia" w:ascii="Arial" w:hAnsi="Arial" w:eastAsia="隶书" w:cs="Arial"/>
                <w:b/>
                <w:bCs/>
                <w:color w:val="auto"/>
                <w:sz w:val="32"/>
                <w:highlight w:val="none"/>
              </w:rPr>
              <w:t>平方米住宅房地产市场价值评估</w:t>
            </w:r>
          </w:p>
        </w:tc>
      </w:tr>
      <w:tr>
        <w:tblPrEx>
          <w:tblCellMar>
            <w:top w:w="0" w:type="dxa"/>
            <w:left w:w="108" w:type="dxa"/>
            <w:bottom w:w="0" w:type="dxa"/>
            <w:right w:w="108" w:type="dxa"/>
          </w:tblCellMar>
        </w:tblPrEx>
        <w:trPr>
          <w:trHeight w:val="547" w:hRule="atLeast"/>
          <w:jc w:val="center"/>
        </w:trPr>
        <w:tc>
          <w:tcPr>
            <w:tcW w:w="6181" w:type="dxa"/>
            <w:tcBorders>
              <w:top w:val="single" w:color="auto" w:sz="4" w:space="0"/>
            </w:tcBorders>
            <w:vAlign w:val="center"/>
          </w:tcPr>
          <w:p>
            <w:pPr>
              <w:pStyle w:val="6"/>
              <w:spacing w:line="500" w:lineRule="exact"/>
              <w:jc w:val="center"/>
              <w:rPr>
                <w:rFonts w:ascii="Arial" w:hAnsi="Arial" w:eastAsia="隶书" w:cs="Arial"/>
                <w:b/>
                <w:bCs/>
                <w:color w:val="auto"/>
                <w:sz w:val="32"/>
                <w:highlight w:val="none"/>
              </w:rPr>
            </w:pPr>
            <w:r>
              <w:rPr>
                <w:rFonts w:hint="eastAsia" w:ascii="Arial" w:hAnsi="Arial" w:eastAsia="隶书" w:cs="Arial"/>
                <w:b/>
                <w:bCs/>
                <w:color w:val="auto"/>
                <w:sz w:val="32"/>
                <w:highlight w:val="none"/>
                <w:lang w:eastAsia="zh-CN"/>
              </w:rPr>
              <w:t>武天评报房字【2022】128号</w:t>
            </w:r>
            <w:r>
              <w:rPr>
                <w:rFonts w:hint="eastAsia" w:ascii="Arial" w:hAnsi="Arial" w:eastAsia="隶书" w:cs="Arial"/>
                <w:b/>
                <w:bCs/>
                <w:color w:val="auto"/>
                <w:sz w:val="32"/>
                <w:highlight w:val="none"/>
              </w:rPr>
              <w:t xml:space="preserve"> </w:t>
            </w:r>
          </w:p>
        </w:tc>
      </w:tr>
    </w:tbl>
    <w:p>
      <w:pPr>
        <w:pStyle w:val="6"/>
        <w:jc w:val="center"/>
        <w:rPr>
          <w:rFonts w:ascii="Arial" w:hAnsi="Arial" w:eastAsia="隶书" w:cs="Arial"/>
          <w:color w:val="auto"/>
          <w:sz w:val="44"/>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color w:val="auto"/>
          <w:sz w:val="32"/>
          <w:highlight w:val="none"/>
        </w:rPr>
      </w:pPr>
    </w:p>
    <w:p>
      <w:pPr>
        <w:rPr>
          <w:rFonts w:ascii="Arial" w:hAnsi="Arial" w:eastAsia="隶书" w:cs="Arial"/>
          <w:color w:val="auto"/>
          <w:sz w:val="32"/>
          <w:highlight w:val="none"/>
        </w:rPr>
      </w:pPr>
    </w:p>
    <w:p>
      <w:pPr>
        <w:rPr>
          <w:rFonts w:ascii="Arial" w:hAnsi="Arial" w:eastAsia="隶书" w:cs="Arial"/>
          <w:color w:val="auto"/>
          <w:sz w:val="32"/>
          <w:highlight w:val="none"/>
        </w:rPr>
      </w:pPr>
    </w:p>
    <w:p>
      <w:pPr>
        <w:jc w:val="center"/>
        <w:rPr>
          <w:rFonts w:ascii="Arial" w:hAnsi="Arial" w:eastAsia="隶书" w:cs="Arial"/>
          <w:color w:val="auto"/>
          <w:sz w:val="32"/>
          <w:highlight w:val="none"/>
        </w:rPr>
      </w:pPr>
    </w:p>
    <w:p>
      <w:pPr>
        <w:jc w:val="center"/>
        <w:rPr>
          <w:rFonts w:ascii="Arial" w:hAnsi="Arial" w:eastAsia="隶书" w:cs="Arial"/>
          <w:b/>
          <w:bCs/>
          <w:color w:val="auto"/>
          <w:sz w:val="32"/>
          <w:highlight w:val="none"/>
        </w:rPr>
      </w:pPr>
      <w:r>
        <w:rPr>
          <w:rFonts w:ascii="Arial" w:hAnsi="Arial" w:eastAsia="隶书" w:cs="Arial"/>
          <w:b/>
          <w:bCs/>
          <w:color w:val="auto"/>
          <w:sz w:val="32"/>
          <w:highlight w:val="none"/>
        </w:rPr>
        <w:t>武汉天马房地资产评估有限公司</w:t>
      </w:r>
    </w:p>
    <w:p>
      <w:pPr>
        <w:jc w:val="center"/>
        <w:rPr>
          <w:rFonts w:hint="eastAsia" w:ascii="Arial" w:hAnsi="Arial" w:eastAsia="隶书" w:cs="Arial"/>
          <w:b/>
          <w:bCs/>
          <w:color w:val="auto"/>
          <w:sz w:val="32"/>
          <w:highlight w:val="none"/>
          <w:lang w:eastAsia="zh-CN"/>
        </w:rPr>
        <w:sectPr>
          <w:headerReference r:id="rId3" w:type="default"/>
          <w:type w:val="nextColumn"/>
          <w:pgSz w:w="11906" w:h="16838"/>
          <w:pgMar w:top="1417" w:right="1418" w:bottom="1417" w:left="1418" w:header="851" w:footer="992" w:gutter="283"/>
          <w:cols w:space="0" w:num="1"/>
          <w:docGrid w:linePitch="634" w:charSpace="-4096"/>
        </w:sectPr>
      </w:pPr>
      <w:r>
        <w:rPr>
          <w:rFonts w:hint="eastAsia" w:ascii="Arial" w:hAnsi="Arial" w:eastAsia="隶书" w:cs="Arial"/>
          <w:b/>
          <w:bCs/>
          <w:color w:val="auto"/>
          <w:sz w:val="32"/>
          <w:highlight w:val="none"/>
          <w:lang w:eastAsia="zh-CN"/>
        </w:rPr>
        <w:t>2022年6月21日</w:t>
      </w:r>
    </w:p>
    <w:p>
      <w:pPr>
        <w:spacing w:line="480" w:lineRule="auto"/>
        <w:outlineLvl w:val="0"/>
        <w:rPr>
          <w:rFonts w:ascii="Arial" w:hAnsi="Arial" w:cs="Arial"/>
          <w:color w:val="auto"/>
          <w:sz w:val="28"/>
          <w:szCs w:val="28"/>
          <w:highlight w:val="none"/>
        </w:rPr>
      </w:pPr>
    </w:p>
    <w:p>
      <w:pPr>
        <w:spacing w:line="480" w:lineRule="auto"/>
        <w:outlineLvl w:val="0"/>
        <w:rPr>
          <w:rFonts w:ascii="Arial" w:hAnsi="Arial" w:cs="Arial"/>
          <w:color w:val="auto"/>
          <w:sz w:val="28"/>
          <w:szCs w:val="28"/>
          <w:highlight w:val="none"/>
        </w:rPr>
      </w:pPr>
    </w:p>
    <w:p>
      <w:pPr>
        <w:spacing w:line="480" w:lineRule="auto"/>
        <w:outlineLvl w:val="0"/>
        <w:rPr>
          <w:rFonts w:ascii="Arial" w:hAnsi="Arial" w:cs="Arial"/>
          <w:color w:val="auto"/>
          <w:sz w:val="28"/>
          <w:szCs w:val="28"/>
          <w:highlight w:val="none"/>
        </w:rPr>
      </w:pPr>
    </w:p>
    <w:p>
      <w:pPr>
        <w:jc w:val="center"/>
        <w:rPr>
          <w:rFonts w:ascii="Arial" w:hAnsi="Arial" w:cs="Arial"/>
          <w:b/>
          <w:bCs/>
          <w:color w:val="auto"/>
          <w:sz w:val="44"/>
          <w:highlight w:val="none"/>
        </w:rPr>
      </w:pPr>
      <w:r>
        <w:rPr>
          <w:rFonts w:hint="eastAsia" w:ascii="Arial" w:hAnsi="Arial" w:cs="Arial"/>
          <w:b/>
          <w:bCs/>
          <w:color w:val="auto"/>
          <w:sz w:val="44"/>
          <w:highlight w:val="none"/>
        </w:rPr>
        <w:t>涉执房地产处置司法评估报告</w:t>
      </w:r>
    </w:p>
    <w:p>
      <w:pPr>
        <w:pStyle w:val="7"/>
        <w:tabs>
          <w:tab w:val="left" w:pos="2425"/>
        </w:tabs>
        <w:rPr>
          <w:rFonts w:ascii="Arial" w:hAnsi="Arial" w:eastAsia="仿宋_GB2312" w:cs="Arial"/>
          <w:color w:val="auto"/>
          <w:highlight w:val="none"/>
        </w:rPr>
      </w:pPr>
    </w:p>
    <w:p>
      <w:pPr>
        <w:tabs>
          <w:tab w:val="left" w:pos="2425"/>
        </w:tabs>
        <w:rPr>
          <w:rFonts w:ascii="Arial" w:hAnsi="Arial" w:eastAsia="仿宋_GB2312" w:cs="Arial"/>
          <w:color w:val="auto"/>
          <w:sz w:val="32"/>
          <w:highlight w:val="none"/>
        </w:rPr>
      </w:pPr>
    </w:p>
    <w:tbl>
      <w:tblPr>
        <w:tblStyle w:val="15"/>
        <w:tblW w:w="8450" w:type="dxa"/>
        <w:tblInd w:w="305" w:type="dxa"/>
        <w:tblLayout w:type="fixed"/>
        <w:tblCellMar>
          <w:top w:w="0" w:type="dxa"/>
          <w:left w:w="108" w:type="dxa"/>
          <w:bottom w:w="0" w:type="dxa"/>
          <w:right w:w="108" w:type="dxa"/>
        </w:tblCellMar>
      </w:tblPr>
      <w:tblGrid>
        <w:gridCol w:w="2638"/>
        <w:gridCol w:w="426"/>
        <w:gridCol w:w="5386"/>
      </w:tblGrid>
      <w:tr>
        <w:tblPrEx>
          <w:tblCellMar>
            <w:top w:w="0" w:type="dxa"/>
            <w:left w:w="108" w:type="dxa"/>
            <w:bottom w:w="0" w:type="dxa"/>
            <w:right w:w="108" w:type="dxa"/>
          </w:tblCellMar>
        </w:tblPrEx>
        <w:trPr>
          <w:cantSplit/>
          <w:trHeight w:val="2194" w:hRule="exact"/>
        </w:trPr>
        <w:tc>
          <w:tcPr>
            <w:tcW w:w="2638" w:type="dxa"/>
            <w:vAlign w:val="center"/>
          </w:tcPr>
          <w:p>
            <w:pPr>
              <w:tabs>
                <w:tab w:val="left" w:pos="7781"/>
              </w:tabs>
              <w:ind w:left="-108" w:right="-108"/>
              <w:jc w:val="distribute"/>
              <w:rPr>
                <w:rFonts w:ascii="Arial" w:hAnsi="Arial" w:eastAsia="楷体_GB2312" w:cs="Arial"/>
                <w:color w:val="auto"/>
                <w:sz w:val="32"/>
                <w:highlight w:val="none"/>
              </w:rPr>
            </w:pPr>
            <w:r>
              <w:rPr>
                <w:rFonts w:ascii="Arial" w:hAnsi="Arial" w:eastAsia="楷体_GB2312" w:cs="Arial"/>
                <w:color w:val="auto"/>
                <w:sz w:val="32"/>
                <w:highlight w:val="none"/>
              </w:rPr>
              <w:t>估价项目名称</w:t>
            </w:r>
          </w:p>
        </w:tc>
        <w:tc>
          <w:tcPr>
            <w:tcW w:w="426" w:type="dxa"/>
            <w:vAlign w:val="center"/>
          </w:tcPr>
          <w:p>
            <w:pPr>
              <w:tabs>
                <w:tab w:val="left" w:pos="7781"/>
              </w:tabs>
              <w:spacing w:line="560" w:lineRule="exact"/>
              <w:ind w:right="-108"/>
              <w:rPr>
                <w:rFonts w:ascii="Arial" w:hAnsi="Arial" w:eastAsia="楷体_GB2312" w:cs="Arial"/>
                <w:color w:val="auto"/>
                <w:sz w:val="32"/>
                <w:highlight w:val="none"/>
              </w:rPr>
            </w:pPr>
            <w:r>
              <w:rPr>
                <w:rFonts w:ascii="Arial" w:hAnsi="Arial" w:eastAsia="楷体_GB2312" w:cs="Arial"/>
                <w:color w:val="auto"/>
                <w:sz w:val="32"/>
                <w:highlight w:val="none"/>
              </w:rPr>
              <w:t>：</w:t>
            </w:r>
          </w:p>
        </w:tc>
        <w:tc>
          <w:tcPr>
            <w:tcW w:w="5386" w:type="dxa"/>
            <w:vAlign w:val="center"/>
          </w:tcPr>
          <w:p>
            <w:pPr>
              <w:pStyle w:val="6"/>
              <w:spacing w:line="560" w:lineRule="exact"/>
              <w:jc w:val="left"/>
              <w:rPr>
                <w:rFonts w:ascii="Arial" w:hAnsi="Arial" w:eastAsia="楷体_GB2312" w:cs="Arial"/>
                <w:color w:val="auto"/>
                <w:sz w:val="32"/>
                <w:highlight w:val="none"/>
              </w:rPr>
            </w:pPr>
            <w:r>
              <w:rPr>
                <w:rFonts w:hint="eastAsia" w:ascii="Arial" w:hAnsi="Arial" w:eastAsia="楷体_GB2312" w:cs="Arial"/>
                <w:color w:val="auto"/>
                <w:sz w:val="32"/>
                <w:highlight w:val="none"/>
                <w:lang w:eastAsia="zh-CN"/>
              </w:rPr>
              <w:t>湖北省十堰市竹溪县城关镇鄂陕大道899号金叶花园4幢1单元202号</w:t>
            </w:r>
            <w:r>
              <w:rPr>
                <w:rFonts w:hint="eastAsia" w:ascii="Arial" w:hAnsi="Arial" w:eastAsia="楷体_GB2312" w:cs="Arial"/>
                <w:color w:val="auto"/>
                <w:sz w:val="32"/>
                <w:highlight w:val="none"/>
              </w:rPr>
              <w:t>建筑面积</w:t>
            </w:r>
            <w:r>
              <w:rPr>
                <w:rFonts w:hint="eastAsia" w:ascii="Arial" w:hAnsi="Arial" w:eastAsia="楷体_GB2312" w:cs="Arial"/>
                <w:color w:val="auto"/>
                <w:sz w:val="32"/>
                <w:highlight w:val="none"/>
                <w:lang w:eastAsia="zh-CN"/>
              </w:rPr>
              <w:t>130.16</w:t>
            </w:r>
            <w:r>
              <w:rPr>
                <w:rFonts w:hint="eastAsia" w:ascii="Arial" w:hAnsi="Arial" w:eastAsia="楷体_GB2312" w:cs="Arial"/>
                <w:color w:val="auto"/>
                <w:sz w:val="32"/>
                <w:highlight w:val="none"/>
              </w:rPr>
              <w:t>平方米住宅房地产市场价值评估</w:t>
            </w:r>
          </w:p>
        </w:tc>
      </w:tr>
      <w:tr>
        <w:tblPrEx>
          <w:tblCellMar>
            <w:top w:w="0" w:type="dxa"/>
            <w:left w:w="108" w:type="dxa"/>
            <w:bottom w:w="0" w:type="dxa"/>
            <w:right w:w="108" w:type="dxa"/>
          </w:tblCellMar>
        </w:tblPrEx>
        <w:trPr>
          <w:cantSplit/>
          <w:trHeight w:val="1050" w:hRule="exact"/>
        </w:trPr>
        <w:tc>
          <w:tcPr>
            <w:tcW w:w="2638" w:type="dxa"/>
            <w:vAlign w:val="center"/>
          </w:tcPr>
          <w:p>
            <w:pPr>
              <w:tabs>
                <w:tab w:val="left" w:pos="7781"/>
              </w:tabs>
              <w:ind w:left="-108" w:right="-108"/>
              <w:jc w:val="distribute"/>
              <w:rPr>
                <w:rFonts w:ascii="Arial" w:hAnsi="Arial" w:eastAsia="楷体_GB2312" w:cs="Arial"/>
                <w:color w:val="auto"/>
                <w:sz w:val="32"/>
                <w:highlight w:val="none"/>
              </w:rPr>
            </w:pPr>
            <w:r>
              <w:rPr>
                <w:rFonts w:hint="eastAsia" w:ascii="Arial" w:hAnsi="Arial" w:eastAsia="楷体_GB2312" w:cs="Arial"/>
                <w:color w:val="auto"/>
                <w:sz w:val="32"/>
                <w:highlight w:val="none"/>
              </w:rPr>
              <w:t>估价</w:t>
            </w:r>
            <w:r>
              <w:rPr>
                <w:rFonts w:ascii="Arial" w:hAnsi="Arial" w:eastAsia="楷体_GB2312" w:cs="Arial"/>
                <w:color w:val="auto"/>
                <w:sz w:val="32"/>
                <w:highlight w:val="none"/>
              </w:rPr>
              <w:t>委托</w:t>
            </w:r>
            <w:r>
              <w:rPr>
                <w:rFonts w:hint="eastAsia" w:ascii="Arial" w:hAnsi="Arial" w:eastAsia="楷体_GB2312" w:cs="Arial"/>
                <w:color w:val="auto"/>
                <w:sz w:val="32"/>
                <w:highlight w:val="none"/>
              </w:rPr>
              <w:t>人</w:t>
            </w:r>
          </w:p>
        </w:tc>
        <w:tc>
          <w:tcPr>
            <w:tcW w:w="426" w:type="dxa"/>
            <w:vAlign w:val="center"/>
          </w:tcPr>
          <w:p>
            <w:pPr>
              <w:tabs>
                <w:tab w:val="left" w:pos="7781"/>
              </w:tabs>
              <w:spacing w:line="560" w:lineRule="exact"/>
              <w:ind w:left="-108" w:right="-108"/>
              <w:jc w:val="center"/>
              <w:rPr>
                <w:rFonts w:ascii="Arial" w:hAnsi="Arial" w:eastAsia="楷体_GB2312" w:cs="Arial"/>
                <w:b/>
                <w:color w:val="auto"/>
                <w:sz w:val="32"/>
                <w:highlight w:val="none"/>
              </w:rPr>
            </w:pPr>
            <w:r>
              <w:rPr>
                <w:rFonts w:ascii="Arial" w:hAnsi="Arial" w:eastAsia="楷体_GB2312" w:cs="Arial"/>
                <w:color w:val="auto"/>
                <w:sz w:val="32"/>
                <w:highlight w:val="none"/>
              </w:rPr>
              <w:t>：</w:t>
            </w:r>
          </w:p>
        </w:tc>
        <w:tc>
          <w:tcPr>
            <w:tcW w:w="5386" w:type="dxa"/>
            <w:vAlign w:val="center"/>
          </w:tcPr>
          <w:p>
            <w:pPr>
              <w:pStyle w:val="7"/>
              <w:tabs>
                <w:tab w:val="left" w:pos="5306"/>
                <w:tab w:val="left" w:pos="7781"/>
              </w:tabs>
              <w:spacing w:line="560" w:lineRule="exact"/>
              <w:ind w:left="-108" w:right="-108"/>
              <w:rPr>
                <w:rFonts w:hint="eastAsia" w:ascii="Arial" w:hAnsi="Arial" w:eastAsia="楷体_GB2312" w:cs="Arial"/>
                <w:color w:val="auto"/>
                <w:sz w:val="32"/>
                <w:szCs w:val="24"/>
                <w:highlight w:val="none"/>
                <w:lang w:eastAsia="zh-CN"/>
              </w:rPr>
            </w:pPr>
            <w:r>
              <w:rPr>
                <w:rFonts w:hint="eastAsia" w:ascii="Arial" w:hAnsi="Arial" w:eastAsia="楷体_GB2312" w:cs="Arial"/>
                <w:color w:val="auto"/>
                <w:sz w:val="32"/>
                <w:szCs w:val="24"/>
                <w:highlight w:val="none"/>
                <w:lang w:eastAsia="zh-CN"/>
              </w:rPr>
              <w:t>湖北省竹溪县人民法院</w:t>
            </w:r>
          </w:p>
        </w:tc>
      </w:tr>
      <w:tr>
        <w:tblPrEx>
          <w:tblCellMar>
            <w:top w:w="0" w:type="dxa"/>
            <w:left w:w="108" w:type="dxa"/>
            <w:bottom w:w="0" w:type="dxa"/>
            <w:right w:w="108" w:type="dxa"/>
          </w:tblCellMar>
        </w:tblPrEx>
        <w:trPr>
          <w:cantSplit/>
          <w:trHeight w:val="976" w:hRule="exact"/>
        </w:trPr>
        <w:tc>
          <w:tcPr>
            <w:tcW w:w="2638" w:type="dxa"/>
            <w:vAlign w:val="center"/>
          </w:tcPr>
          <w:p>
            <w:pPr>
              <w:tabs>
                <w:tab w:val="left" w:pos="7781"/>
              </w:tabs>
              <w:ind w:left="-108" w:right="-108"/>
              <w:jc w:val="distribute"/>
              <w:rPr>
                <w:rFonts w:ascii="Arial" w:hAnsi="Arial" w:eastAsia="楷体_GB2312" w:cs="Arial"/>
                <w:color w:val="auto"/>
                <w:sz w:val="32"/>
                <w:highlight w:val="none"/>
              </w:rPr>
            </w:pPr>
            <w:r>
              <w:rPr>
                <w:rFonts w:hint="eastAsia" w:ascii="Arial" w:hAnsi="Arial" w:eastAsia="楷体_GB2312" w:cs="Arial"/>
                <w:color w:val="auto"/>
                <w:sz w:val="32"/>
                <w:highlight w:val="none"/>
              </w:rPr>
              <w:t>房地产</w:t>
            </w:r>
            <w:r>
              <w:rPr>
                <w:rFonts w:ascii="Arial" w:hAnsi="Arial" w:eastAsia="楷体_GB2312" w:cs="Arial"/>
                <w:color w:val="auto"/>
                <w:sz w:val="32"/>
                <w:highlight w:val="none"/>
              </w:rPr>
              <w:t>估价</w:t>
            </w:r>
            <w:r>
              <w:rPr>
                <w:rFonts w:hint="eastAsia" w:ascii="Arial" w:hAnsi="Arial" w:eastAsia="楷体_GB2312" w:cs="Arial"/>
                <w:color w:val="auto"/>
                <w:sz w:val="32"/>
                <w:highlight w:val="none"/>
              </w:rPr>
              <w:t>机构</w:t>
            </w:r>
          </w:p>
        </w:tc>
        <w:tc>
          <w:tcPr>
            <w:tcW w:w="426" w:type="dxa"/>
            <w:vAlign w:val="center"/>
          </w:tcPr>
          <w:p>
            <w:pPr>
              <w:pStyle w:val="7"/>
              <w:tabs>
                <w:tab w:val="left" w:pos="5306"/>
                <w:tab w:val="left" w:pos="7781"/>
              </w:tabs>
              <w:spacing w:line="560" w:lineRule="exact"/>
              <w:ind w:left="-108" w:right="-108"/>
              <w:jc w:val="center"/>
              <w:rPr>
                <w:rFonts w:ascii="Arial" w:hAnsi="Arial" w:eastAsia="楷体_GB2312" w:cs="Arial"/>
                <w:color w:val="auto"/>
                <w:sz w:val="32"/>
                <w:highlight w:val="none"/>
              </w:rPr>
            </w:pPr>
            <w:r>
              <w:rPr>
                <w:rFonts w:ascii="Arial" w:hAnsi="Arial" w:eastAsia="楷体_GB2312" w:cs="Arial"/>
                <w:color w:val="auto"/>
                <w:sz w:val="32"/>
                <w:highlight w:val="none"/>
              </w:rPr>
              <w:t>：</w:t>
            </w:r>
          </w:p>
        </w:tc>
        <w:tc>
          <w:tcPr>
            <w:tcW w:w="5386" w:type="dxa"/>
            <w:vAlign w:val="center"/>
          </w:tcPr>
          <w:p>
            <w:pPr>
              <w:pStyle w:val="7"/>
              <w:tabs>
                <w:tab w:val="left" w:pos="5306"/>
                <w:tab w:val="left" w:pos="7781"/>
              </w:tabs>
              <w:spacing w:line="560" w:lineRule="exact"/>
              <w:ind w:left="-108" w:right="-108"/>
              <w:rPr>
                <w:rFonts w:ascii="Arial" w:hAnsi="Arial" w:eastAsia="楷体_GB2312" w:cs="Arial"/>
                <w:color w:val="auto"/>
                <w:sz w:val="32"/>
                <w:szCs w:val="24"/>
                <w:highlight w:val="none"/>
              </w:rPr>
            </w:pPr>
            <w:r>
              <w:rPr>
                <w:rFonts w:ascii="Arial" w:hAnsi="Arial" w:eastAsia="楷体_GB2312" w:cs="Arial"/>
                <w:color w:val="auto"/>
                <w:sz w:val="32"/>
                <w:szCs w:val="24"/>
                <w:highlight w:val="none"/>
              </w:rPr>
              <w:t>武汉天马房地资产评估有限公司</w:t>
            </w:r>
          </w:p>
        </w:tc>
      </w:tr>
      <w:tr>
        <w:tblPrEx>
          <w:tblCellMar>
            <w:top w:w="0" w:type="dxa"/>
            <w:left w:w="108" w:type="dxa"/>
            <w:bottom w:w="0" w:type="dxa"/>
            <w:right w:w="108" w:type="dxa"/>
          </w:tblCellMar>
        </w:tblPrEx>
        <w:trPr>
          <w:cantSplit/>
          <w:trHeight w:val="1714" w:hRule="exact"/>
        </w:trPr>
        <w:tc>
          <w:tcPr>
            <w:tcW w:w="2638" w:type="dxa"/>
            <w:vAlign w:val="center"/>
          </w:tcPr>
          <w:p>
            <w:pPr>
              <w:tabs>
                <w:tab w:val="left" w:pos="7781"/>
              </w:tabs>
              <w:ind w:left="-108" w:right="-108"/>
              <w:jc w:val="distribute"/>
              <w:rPr>
                <w:rFonts w:ascii="Arial" w:hAnsi="Arial" w:eastAsia="楷体_GB2312" w:cs="Arial"/>
                <w:color w:val="auto"/>
                <w:sz w:val="32"/>
                <w:highlight w:val="none"/>
              </w:rPr>
            </w:pPr>
            <w:r>
              <w:rPr>
                <w:rFonts w:hint="eastAsia" w:ascii="Arial" w:hAnsi="Arial" w:eastAsia="楷体_GB2312" w:cs="Arial"/>
                <w:color w:val="auto"/>
                <w:sz w:val="32"/>
                <w:highlight w:val="none"/>
              </w:rPr>
              <w:t>注册房地产估价师</w:t>
            </w:r>
          </w:p>
        </w:tc>
        <w:tc>
          <w:tcPr>
            <w:tcW w:w="426" w:type="dxa"/>
            <w:vAlign w:val="center"/>
          </w:tcPr>
          <w:p>
            <w:pPr>
              <w:pStyle w:val="7"/>
              <w:tabs>
                <w:tab w:val="left" w:pos="5306"/>
                <w:tab w:val="left" w:pos="7781"/>
              </w:tabs>
              <w:spacing w:line="560" w:lineRule="exact"/>
              <w:ind w:left="-108" w:right="-108"/>
              <w:jc w:val="center"/>
              <w:rPr>
                <w:rFonts w:ascii="Arial" w:hAnsi="Arial" w:eastAsia="楷体_GB2312" w:cs="Arial"/>
                <w:color w:val="auto"/>
                <w:sz w:val="32"/>
                <w:highlight w:val="none"/>
              </w:rPr>
            </w:pPr>
            <w:r>
              <w:rPr>
                <w:rFonts w:ascii="Arial" w:hAnsi="Arial" w:eastAsia="楷体_GB2312" w:cs="Arial"/>
                <w:color w:val="auto"/>
                <w:sz w:val="32"/>
                <w:highlight w:val="none"/>
              </w:rPr>
              <w:t>：</w:t>
            </w:r>
          </w:p>
        </w:tc>
        <w:tc>
          <w:tcPr>
            <w:tcW w:w="5386" w:type="dxa"/>
            <w:vAlign w:val="center"/>
          </w:tcPr>
          <w:p>
            <w:pPr>
              <w:tabs>
                <w:tab w:val="left" w:pos="7781"/>
              </w:tabs>
              <w:spacing w:line="560" w:lineRule="exact"/>
              <w:ind w:left="-108" w:right="357"/>
              <w:rPr>
                <w:rFonts w:ascii="Arial" w:hAnsi="Arial" w:eastAsia="楷体_GB2312" w:cs="Arial"/>
                <w:color w:val="auto"/>
                <w:sz w:val="32"/>
                <w:szCs w:val="20"/>
                <w:highlight w:val="none"/>
              </w:rPr>
            </w:pPr>
            <w:r>
              <w:rPr>
                <w:rFonts w:hint="eastAsia" w:ascii="Arial" w:hAnsi="Arial" w:eastAsia="楷体_GB2312" w:cs="Arial"/>
                <w:color w:val="auto"/>
                <w:sz w:val="32"/>
                <w:szCs w:val="20"/>
                <w:highlight w:val="none"/>
              </w:rPr>
              <w:t>吴锦霞 4220170016</w:t>
            </w:r>
          </w:p>
          <w:p>
            <w:pPr>
              <w:tabs>
                <w:tab w:val="left" w:pos="7781"/>
              </w:tabs>
              <w:spacing w:line="560" w:lineRule="exact"/>
              <w:ind w:left="-108" w:right="357"/>
              <w:rPr>
                <w:rFonts w:hint="eastAsia" w:ascii="Arial" w:hAnsi="Arial" w:eastAsia="楷体_GB2312" w:cs="Arial"/>
                <w:color w:val="auto"/>
                <w:sz w:val="32"/>
                <w:szCs w:val="20"/>
                <w:highlight w:val="none"/>
                <w:lang w:eastAsia="zh-CN"/>
              </w:rPr>
            </w:pPr>
            <w:r>
              <w:rPr>
                <w:rFonts w:hint="eastAsia" w:ascii="Arial" w:hAnsi="Arial" w:eastAsia="楷体_GB2312" w:cs="Arial"/>
                <w:color w:val="auto"/>
                <w:sz w:val="32"/>
                <w:szCs w:val="20"/>
                <w:highlight w:val="none"/>
                <w:lang w:val="en-US" w:eastAsia="zh-CN"/>
              </w:rPr>
              <w:t>戴  娜</w:t>
            </w:r>
            <w:r>
              <w:rPr>
                <w:rFonts w:hint="eastAsia" w:ascii="Arial" w:hAnsi="Arial" w:eastAsia="楷体_GB2312" w:cs="Arial"/>
                <w:color w:val="auto"/>
                <w:sz w:val="32"/>
                <w:szCs w:val="20"/>
                <w:highlight w:val="none"/>
              </w:rPr>
              <w:t xml:space="preserve"> </w:t>
            </w:r>
            <w:r>
              <w:rPr>
                <w:rFonts w:hint="eastAsia" w:ascii="Arial" w:hAnsi="Arial" w:eastAsia="楷体_GB2312" w:cs="Arial"/>
                <w:color w:val="auto"/>
                <w:sz w:val="32"/>
                <w:szCs w:val="20"/>
                <w:highlight w:val="none"/>
                <w:lang w:eastAsia="zh-CN"/>
              </w:rPr>
              <w:t>4220180052</w:t>
            </w:r>
          </w:p>
        </w:tc>
      </w:tr>
      <w:tr>
        <w:tblPrEx>
          <w:tblCellMar>
            <w:top w:w="0" w:type="dxa"/>
            <w:left w:w="108" w:type="dxa"/>
            <w:bottom w:w="0" w:type="dxa"/>
            <w:right w:w="108" w:type="dxa"/>
          </w:tblCellMar>
        </w:tblPrEx>
        <w:trPr>
          <w:cantSplit/>
          <w:trHeight w:val="700" w:hRule="exact"/>
        </w:trPr>
        <w:tc>
          <w:tcPr>
            <w:tcW w:w="2638" w:type="dxa"/>
            <w:vAlign w:val="center"/>
          </w:tcPr>
          <w:p>
            <w:pPr>
              <w:tabs>
                <w:tab w:val="left" w:pos="7781"/>
              </w:tabs>
              <w:ind w:left="-108" w:right="-108"/>
              <w:jc w:val="distribute"/>
              <w:rPr>
                <w:rFonts w:ascii="Arial" w:hAnsi="Arial" w:eastAsia="楷体_GB2312" w:cs="Arial"/>
                <w:color w:val="auto"/>
                <w:sz w:val="32"/>
                <w:highlight w:val="none"/>
              </w:rPr>
            </w:pPr>
            <w:r>
              <w:rPr>
                <w:rFonts w:ascii="Arial" w:hAnsi="Arial" w:eastAsia="楷体_GB2312" w:cs="Arial"/>
                <w:color w:val="auto"/>
                <w:sz w:val="32"/>
                <w:highlight w:val="none"/>
              </w:rPr>
              <w:t>估价</w:t>
            </w:r>
            <w:r>
              <w:rPr>
                <w:rFonts w:hint="eastAsia" w:ascii="Arial" w:hAnsi="Arial" w:eastAsia="楷体_GB2312" w:cs="Arial"/>
                <w:color w:val="auto"/>
                <w:sz w:val="32"/>
                <w:highlight w:val="none"/>
              </w:rPr>
              <w:t>报告出具日</w:t>
            </w:r>
            <w:r>
              <w:rPr>
                <w:rFonts w:ascii="Arial" w:hAnsi="Arial" w:eastAsia="楷体_GB2312" w:cs="Arial"/>
                <w:color w:val="auto"/>
                <w:sz w:val="32"/>
                <w:highlight w:val="none"/>
              </w:rPr>
              <w:t>期</w:t>
            </w:r>
          </w:p>
        </w:tc>
        <w:tc>
          <w:tcPr>
            <w:tcW w:w="426" w:type="dxa"/>
            <w:vAlign w:val="center"/>
          </w:tcPr>
          <w:p>
            <w:pPr>
              <w:tabs>
                <w:tab w:val="left" w:pos="7781"/>
              </w:tabs>
              <w:spacing w:line="560" w:lineRule="exact"/>
              <w:ind w:left="-108" w:right="-108"/>
              <w:jc w:val="center"/>
              <w:rPr>
                <w:rFonts w:ascii="Arial" w:hAnsi="Arial" w:eastAsia="楷体_GB2312" w:cs="Arial"/>
                <w:b/>
                <w:color w:val="auto"/>
                <w:sz w:val="32"/>
                <w:highlight w:val="none"/>
              </w:rPr>
            </w:pPr>
            <w:r>
              <w:rPr>
                <w:rFonts w:ascii="Arial" w:hAnsi="Arial" w:eastAsia="楷体_GB2312" w:cs="Arial"/>
                <w:color w:val="auto"/>
                <w:sz w:val="32"/>
                <w:highlight w:val="none"/>
              </w:rPr>
              <w:t>：</w:t>
            </w:r>
          </w:p>
        </w:tc>
        <w:tc>
          <w:tcPr>
            <w:tcW w:w="5386" w:type="dxa"/>
            <w:vAlign w:val="center"/>
          </w:tcPr>
          <w:p>
            <w:pPr>
              <w:pStyle w:val="7"/>
              <w:tabs>
                <w:tab w:val="left" w:pos="5306"/>
                <w:tab w:val="left" w:pos="7781"/>
              </w:tabs>
              <w:spacing w:line="560" w:lineRule="exact"/>
              <w:ind w:left="-108" w:right="-108"/>
              <w:rPr>
                <w:rFonts w:hint="eastAsia" w:ascii="Arial" w:hAnsi="Arial" w:eastAsia="楷体_GB2312" w:cs="Arial"/>
                <w:color w:val="auto"/>
                <w:sz w:val="32"/>
                <w:szCs w:val="24"/>
                <w:highlight w:val="none"/>
                <w:lang w:eastAsia="zh-CN"/>
              </w:rPr>
            </w:pPr>
            <w:r>
              <w:rPr>
                <w:rFonts w:hint="eastAsia" w:ascii="Arial" w:hAnsi="Arial" w:eastAsia="楷体_GB2312" w:cs="Arial"/>
                <w:color w:val="auto"/>
                <w:sz w:val="32"/>
                <w:szCs w:val="24"/>
                <w:highlight w:val="none"/>
                <w:lang w:eastAsia="zh-CN"/>
              </w:rPr>
              <w:t>2022年6月21日</w:t>
            </w:r>
          </w:p>
        </w:tc>
      </w:tr>
      <w:tr>
        <w:tblPrEx>
          <w:tblCellMar>
            <w:top w:w="0" w:type="dxa"/>
            <w:left w:w="108" w:type="dxa"/>
            <w:bottom w:w="0" w:type="dxa"/>
            <w:right w:w="108" w:type="dxa"/>
          </w:tblCellMar>
        </w:tblPrEx>
        <w:trPr>
          <w:cantSplit/>
          <w:trHeight w:val="841" w:hRule="exact"/>
        </w:trPr>
        <w:tc>
          <w:tcPr>
            <w:tcW w:w="2638" w:type="dxa"/>
            <w:vAlign w:val="center"/>
          </w:tcPr>
          <w:p>
            <w:pPr>
              <w:tabs>
                <w:tab w:val="left" w:pos="7781"/>
              </w:tabs>
              <w:ind w:left="-108" w:right="-108"/>
              <w:jc w:val="distribute"/>
              <w:rPr>
                <w:rFonts w:ascii="Arial" w:hAnsi="Arial" w:eastAsia="楷体_GB2312" w:cs="Arial"/>
                <w:color w:val="auto"/>
                <w:sz w:val="32"/>
                <w:highlight w:val="none"/>
              </w:rPr>
            </w:pPr>
            <w:r>
              <w:rPr>
                <w:rFonts w:ascii="Arial" w:hAnsi="Arial" w:eastAsia="楷体_GB2312" w:cs="Arial"/>
                <w:color w:val="auto"/>
                <w:sz w:val="32"/>
                <w:highlight w:val="none"/>
              </w:rPr>
              <w:t>估价报告编号</w:t>
            </w:r>
          </w:p>
        </w:tc>
        <w:tc>
          <w:tcPr>
            <w:tcW w:w="426" w:type="dxa"/>
            <w:vAlign w:val="center"/>
          </w:tcPr>
          <w:p>
            <w:pPr>
              <w:tabs>
                <w:tab w:val="left" w:pos="7781"/>
              </w:tabs>
              <w:spacing w:line="560" w:lineRule="exact"/>
              <w:ind w:left="-108" w:right="-108"/>
              <w:jc w:val="distribute"/>
              <w:rPr>
                <w:rFonts w:ascii="Arial" w:hAnsi="Arial" w:eastAsia="楷体_GB2312" w:cs="Arial"/>
                <w:color w:val="auto"/>
                <w:sz w:val="32"/>
                <w:highlight w:val="none"/>
              </w:rPr>
            </w:pPr>
            <w:r>
              <w:rPr>
                <w:rFonts w:ascii="Arial" w:hAnsi="Arial" w:eastAsia="楷体_GB2312" w:cs="Arial"/>
                <w:color w:val="auto"/>
                <w:sz w:val="32"/>
                <w:highlight w:val="none"/>
              </w:rPr>
              <w:t>：</w:t>
            </w:r>
          </w:p>
        </w:tc>
        <w:tc>
          <w:tcPr>
            <w:tcW w:w="5386" w:type="dxa"/>
            <w:vAlign w:val="center"/>
          </w:tcPr>
          <w:p>
            <w:pPr>
              <w:pStyle w:val="7"/>
              <w:tabs>
                <w:tab w:val="left" w:pos="5306"/>
                <w:tab w:val="left" w:pos="7781"/>
              </w:tabs>
              <w:spacing w:line="560" w:lineRule="exact"/>
              <w:ind w:left="-108" w:right="-108"/>
              <w:rPr>
                <w:rFonts w:ascii="Arial" w:hAnsi="Arial" w:eastAsia="楷体_GB2312" w:cs="Arial"/>
                <w:color w:val="auto"/>
                <w:sz w:val="32"/>
                <w:szCs w:val="24"/>
                <w:highlight w:val="none"/>
              </w:rPr>
            </w:pPr>
            <w:r>
              <w:rPr>
                <w:rFonts w:hint="eastAsia" w:ascii="Arial" w:hAnsi="Arial" w:eastAsia="楷体_GB2312" w:cs="Arial"/>
                <w:color w:val="auto"/>
                <w:sz w:val="32"/>
                <w:szCs w:val="24"/>
                <w:highlight w:val="none"/>
                <w:lang w:eastAsia="zh-CN"/>
              </w:rPr>
              <w:t>武天评报房字【2022】128号</w:t>
            </w:r>
            <w:r>
              <w:rPr>
                <w:rFonts w:hint="eastAsia" w:ascii="Arial" w:hAnsi="Arial" w:eastAsia="楷体_GB2312" w:cs="Arial"/>
                <w:color w:val="auto"/>
                <w:sz w:val="32"/>
                <w:szCs w:val="24"/>
                <w:highlight w:val="none"/>
              </w:rPr>
              <w:t xml:space="preserve"> </w:t>
            </w:r>
          </w:p>
        </w:tc>
      </w:tr>
    </w:tbl>
    <w:p>
      <w:pPr>
        <w:tabs>
          <w:tab w:val="left" w:pos="2328"/>
          <w:tab w:val="left" w:pos="2522"/>
        </w:tabs>
        <w:rPr>
          <w:rFonts w:ascii="Arial" w:hAnsi="Arial" w:eastAsia="仿宋_GB2312" w:cs="Arial"/>
          <w:color w:val="auto"/>
          <w:sz w:val="32"/>
          <w:highlight w:val="none"/>
        </w:rPr>
      </w:pPr>
    </w:p>
    <w:p>
      <w:pPr>
        <w:spacing w:line="480" w:lineRule="auto"/>
        <w:rPr>
          <w:rFonts w:ascii="Arial" w:hAnsi="Arial" w:eastAsia="楷体_GB2312" w:cs="Arial"/>
          <w:color w:val="auto"/>
          <w:sz w:val="32"/>
          <w:highlight w:val="none"/>
        </w:rPr>
      </w:pPr>
    </w:p>
    <w:p>
      <w:pPr>
        <w:jc w:val="right"/>
        <w:rPr>
          <w:rFonts w:ascii="Arial" w:hAnsi="Arial" w:cs="Arial"/>
          <w:color w:val="auto"/>
          <w:highlight w:val="none"/>
        </w:rPr>
        <w:sectPr>
          <w:footerReference r:id="rId6" w:type="first"/>
          <w:headerReference r:id="rId4" w:type="default"/>
          <w:footerReference r:id="rId5" w:type="default"/>
          <w:type w:val="nextColumn"/>
          <w:pgSz w:w="11906" w:h="16838"/>
          <w:pgMar w:top="1417" w:right="1418" w:bottom="1417" w:left="1418" w:header="964" w:footer="964" w:gutter="283"/>
          <w:cols w:space="0" w:num="1"/>
          <w:titlePg/>
          <w:docGrid w:linePitch="312" w:charSpace="0"/>
        </w:sectPr>
      </w:pPr>
    </w:p>
    <w:p>
      <w:pPr>
        <w:jc w:val="center"/>
        <w:outlineLvl w:val="0"/>
        <w:rPr>
          <w:rFonts w:ascii="Arial" w:hAnsi="Arial" w:cs="Arial"/>
          <w:color w:val="auto"/>
          <w:sz w:val="36"/>
          <w:highlight w:val="none"/>
        </w:rPr>
      </w:pPr>
      <w:bookmarkStart w:id="0" w:name="_Toc24451"/>
      <w:bookmarkStart w:id="1" w:name="_Toc16489"/>
      <w:bookmarkStart w:id="2" w:name="_Toc6582982"/>
      <w:bookmarkStart w:id="3" w:name="_Toc31512"/>
      <w:bookmarkStart w:id="4" w:name="_Toc21322"/>
      <w:bookmarkStart w:id="5" w:name="_Toc149"/>
      <w:bookmarkStart w:id="6" w:name="_Toc23701"/>
      <w:bookmarkStart w:id="7" w:name="_Toc42270300"/>
      <w:bookmarkStart w:id="8" w:name="_Toc47685213"/>
      <w:bookmarkStart w:id="9" w:name="_Toc28718"/>
      <w:bookmarkStart w:id="10" w:name="_Toc25044"/>
      <w:bookmarkStart w:id="11" w:name="_Toc496866274"/>
      <w:bookmarkStart w:id="12" w:name="_Toc27113"/>
      <w:bookmarkStart w:id="13" w:name="_Toc782"/>
      <w:bookmarkStart w:id="14" w:name="_Toc17332"/>
      <w:bookmarkStart w:id="15" w:name="_Toc19118"/>
      <w:bookmarkStart w:id="16" w:name="_Toc26393"/>
      <w:bookmarkStart w:id="17" w:name="_Toc20505"/>
      <w:bookmarkStart w:id="18" w:name="_Toc27334"/>
      <w:bookmarkStart w:id="19" w:name="_Toc8558"/>
      <w:bookmarkStart w:id="20" w:name="_Toc42262857"/>
      <w:bookmarkStart w:id="21" w:name="_Toc25143"/>
      <w:bookmarkStart w:id="22" w:name="_Toc481154284"/>
      <w:bookmarkStart w:id="23" w:name="_Toc6640"/>
      <w:bookmarkStart w:id="24" w:name="_Toc14164"/>
      <w:bookmarkStart w:id="25" w:name="_Toc7823"/>
      <w:bookmarkStart w:id="26" w:name="_Toc53738858"/>
      <w:bookmarkStart w:id="27" w:name="_Toc481154365"/>
      <w:bookmarkStart w:id="28" w:name="_Toc42246200"/>
      <w:bookmarkStart w:id="29" w:name="_Toc536626358"/>
      <w:bookmarkStart w:id="30" w:name="_Toc13667"/>
      <w:bookmarkStart w:id="31" w:name="_Toc382"/>
      <w:bookmarkStart w:id="32" w:name="_Toc12116"/>
      <w:bookmarkStart w:id="33" w:name="_Toc4084"/>
      <w:bookmarkStart w:id="34" w:name="_Toc481497997"/>
      <w:bookmarkStart w:id="35" w:name="_Toc20878"/>
      <w:bookmarkStart w:id="36" w:name="_Toc12019460"/>
      <w:bookmarkStart w:id="37" w:name="_Toc497747166"/>
      <w:bookmarkStart w:id="38" w:name="_Toc7012"/>
      <w:bookmarkStart w:id="39" w:name="_Toc1490899"/>
      <w:bookmarkStart w:id="40" w:name="_Toc11214"/>
      <w:bookmarkStart w:id="41" w:name="_Toc9945"/>
      <w:bookmarkStart w:id="42" w:name="_Toc26099"/>
      <w:bookmarkStart w:id="43" w:name="_Toc12642"/>
      <w:bookmarkStart w:id="44" w:name="_Toc10307"/>
      <w:bookmarkStart w:id="45" w:name="_Toc27946"/>
      <w:bookmarkStart w:id="46" w:name="_Toc535914982"/>
      <w:bookmarkStart w:id="47" w:name="_Toc489428760"/>
      <w:bookmarkStart w:id="48" w:name="_Toc24093"/>
      <w:bookmarkStart w:id="49" w:name="_Toc31448"/>
      <w:bookmarkStart w:id="50" w:name="_Toc481590220"/>
      <w:bookmarkStart w:id="51" w:name="_Toc31107"/>
      <w:bookmarkStart w:id="52" w:name="_Toc10046"/>
      <w:bookmarkStart w:id="53" w:name="_Toc19723"/>
      <w:bookmarkStart w:id="54" w:name="_Toc9780"/>
      <w:bookmarkStart w:id="55" w:name="_Toc20667813"/>
      <w:bookmarkStart w:id="56" w:name="_Toc517262197"/>
      <w:bookmarkStart w:id="57" w:name="_Toc524451668"/>
      <w:bookmarkStart w:id="58" w:name="_Toc535913149"/>
      <w:bookmarkStart w:id="59" w:name="_Toc8821275"/>
      <w:bookmarkStart w:id="60" w:name="_Toc7713"/>
      <w:bookmarkStart w:id="61" w:name="_Toc524451630"/>
      <w:bookmarkStart w:id="62" w:name="_Toc45612179"/>
      <w:bookmarkStart w:id="63" w:name="_Toc19561"/>
      <w:bookmarkStart w:id="64" w:name="_Toc492"/>
      <w:bookmarkStart w:id="65" w:name="_Toc47683779"/>
      <w:bookmarkStart w:id="66" w:name="_Toc850"/>
      <w:bookmarkStart w:id="67" w:name="_Toc517706569"/>
      <w:bookmarkStart w:id="68" w:name="_Toc445462110"/>
      <w:bookmarkStart w:id="69" w:name="_Toc23958"/>
      <w:bookmarkStart w:id="70" w:name="_Toc19223"/>
      <w:bookmarkStart w:id="71" w:name="_Toc18617"/>
      <w:bookmarkStart w:id="72" w:name="_Toc535918510"/>
      <w:bookmarkStart w:id="73" w:name="_Toc10579609"/>
      <w:bookmarkStart w:id="74" w:name="_Toc8386"/>
      <w:bookmarkStart w:id="75" w:name="_Toc11607"/>
      <w:bookmarkStart w:id="76" w:name="_Toc10083"/>
      <w:bookmarkStart w:id="77" w:name="_Toc5235"/>
      <w:bookmarkStart w:id="78" w:name="_Toc517251462"/>
      <w:bookmarkStart w:id="79" w:name="_Toc12899"/>
      <w:bookmarkStart w:id="80" w:name="_Toc19347"/>
      <w:bookmarkStart w:id="81" w:name="_Toc2946"/>
      <w:bookmarkStart w:id="82" w:name="_Toc496863942"/>
      <w:bookmarkStart w:id="83" w:name="_Toc488418155"/>
      <w:bookmarkStart w:id="84" w:name="_Toc517251383"/>
      <w:bookmarkStart w:id="85" w:name="_Toc12966"/>
      <w:r>
        <w:rPr>
          <w:rFonts w:ascii="Arial" w:hAnsi="Arial" w:cs="Arial"/>
          <w:b/>
          <w:bCs/>
          <w:color w:val="auto"/>
          <w:sz w:val="36"/>
          <w:highlight w:val="none"/>
        </w:rPr>
        <w:t>致估价委托人函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440" w:lineRule="exact"/>
        <w:rPr>
          <w:rFonts w:ascii="Arial" w:hAnsi="Arial" w:eastAsia="仿宋_GB2312" w:cs="Arial"/>
          <w:color w:val="auto"/>
          <w:sz w:val="28"/>
          <w:highlight w:val="none"/>
        </w:rPr>
      </w:pPr>
      <w:r>
        <w:rPr>
          <w:rFonts w:hint="eastAsia" w:ascii="Arial" w:hAnsi="Arial" w:eastAsia="仿宋_GB2312" w:cs="Arial"/>
          <w:color w:val="auto"/>
          <w:sz w:val="28"/>
          <w:highlight w:val="none"/>
          <w:lang w:eastAsia="zh-CN"/>
        </w:rPr>
        <w:t>湖北省竹溪县人民法院</w:t>
      </w:r>
      <w:r>
        <w:rPr>
          <w:rFonts w:ascii="Arial" w:hAnsi="Arial" w:eastAsia="仿宋_GB2312" w:cs="Arial"/>
          <w:color w:val="auto"/>
          <w:sz w:val="28"/>
          <w:highlight w:val="none"/>
        </w:rPr>
        <w:t>：</w:t>
      </w:r>
    </w:p>
    <w:p>
      <w:pPr>
        <w:spacing w:line="4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受贵院委托，根据《中华人民共和国城市房地产管理法》、《中华人民共和国土地管理法》以及最高人民法院关于《关于人民法院确定财产处置参考价若干问题的规定》（法释〔2018〕15号）等相关规定，依照《房地产估价规范》（GB/T50291-2015）</w:t>
      </w:r>
      <w:r>
        <w:rPr>
          <w:rFonts w:hint="eastAsia" w:ascii="Arial" w:hAnsi="Arial" w:eastAsia="仿宋_GB2312" w:cs="Arial"/>
          <w:color w:val="auto"/>
          <w:sz w:val="28"/>
          <w:highlight w:val="none"/>
        </w:rPr>
        <w:t>、中华人民共和国国家标准《房地产估价基本术语标准》</w:t>
      </w:r>
      <w:r>
        <w:rPr>
          <w:rFonts w:ascii="Arial" w:hAnsi="Arial" w:eastAsia="仿宋_GB2312" w:cs="Arial"/>
          <w:color w:val="auto"/>
          <w:sz w:val="28"/>
          <w:highlight w:val="none"/>
        </w:rPr>
        <w:t>（GB/T50</w:t>
      </w:r>
      <w:r>
        <w:rPr>
          <w:rFonts w:hint="eastAsia" w:ascii="Arial" w:hAnsi="Arial" w:eastAsia="仿宋_GB2312" w:cs="Arial"/>
          <w:color w:val="auto"/>
          <w:sz w:val="28"/>
          <w:highlight w:val="none"/>
        </w:rPr>
        <w:t>899</w:t>
      </w:r>
      <w:r>
        <w:rPr>
          <w:rFonts w:ascii="Arial" w:hAnsi="Arial" w:eastAsia="仿宋_GB2312" w:cs="Arial"/>
          <w:color w:val="auto"/>
          <w:sz w:val="28"/>
          <w:highlight w:val="none"/>
        </w:rPr>
        <w:t>-</w:t>
      </w:r>
      <w:r>
        <w:rPr>
          <w:rFonts w:hint="eastAsia" w:ascii="Arial" w:hAnsi="Arial" w:eastAsia="仿宋_GB2312" w:cs="Arial"/>
          <w:color w:val="auto"/>
          <w:sz w:val="28"/>
          <w:highlight w:val="none"/>
        </w:rPr>
        <w:t>2013</w:t>
      </w:r>
      <w:r>
        <w:rPr>
          <w:rFonts w:ascii="Arial" w:hAnsi="Arial" w:eastAsia="仿宋_GB2312" w:cs="Arial"/>
          <w:color w:val="auto"/>
          <w:sz w:val="28"/>
          <w:highlight w:val="none"/>
        </w:rPr>
        <w:t>）和贵方提供的相关资料，遵循房地产估价原则，首先听取办案法官关于案件情况的介绍，了解司法鉴定工作对本次评估的要求，并对估价对象进行了实地查勘，查阅了有关文件、产权资料和其他相关资料，完成了在现时条件下可以进行的评估工作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Arial" w:hAnsi="Arial" w:eastAsia="仿宋_GB2312" w:cs="Arial"/>
          <w:color w:val="auto"/>
          <w:sz w:val="28"/>
          <w:highlight w:val="none"/>
        </w:rPr>
      </w:pPr>
      <w:r>
        <w:rPr>
          <w:rFonts w:ascii="Arial" w:hAnsi="Arial" w:eastAsia="仿宋_GB2312" w:cs="Arial"/>
          <w:color w:val="auto"/>
          <w:sz w:val="28"/>
          <w:highlight w:val="none"/>
        </w:rPr>
        <w:t>估价目的是为</w:t>
      </w:r>
      <w:r>
        <w:rPr>
          <w:rFonts w:hint="eastAsia" w:ascii="Arial" w:hAnsi="Arial" w:eastAsia="仿宋_GB2312" w:cs="Arial"/>
          <w:color w:val="auto"/>
          <w:sz w:val="28"/>
          <w:highlight w:val="none"/>
          <w:lang w:eastAsia="zh-CN"/>
        </w:rPr>
        <w:t>湖北省竹溪县人民法院</w:t>
      </w:r>
      <w:r>
        <w:rPr>
          <w:rFonts w:hint="eastAsia" w:ascii="Arial" w:hAnsi="Arial" w:eastAsia="仿宋_GB2312" w:cs="Arial"/>
          <w:color w:val="auto"/>
          <w:sz w:val="28"/>
          <w:highlight w:val="none"/>
        </w:rPr>
        <w:t>确定财产处置参考价</w:t>
      </w:r>
      <w:r>
        <w:rPr>
          <w:rFonts w:ascii="Arial" w:hAnsi="Arial" w:eastAsia="仿宋_GB2312" w:cs="Arial"/>
          <w:color w:val="auto"/>
          <w:sz w:val="28"/>
          <w:highlight w:val="none"/>
        </w:rPr>
        <w:t>提供参考依据而评估房地产市场价值。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Arial" w:hAnsi="Arial" w:eastAsia="仿宋_GB2312" w:cs="Arial"/>
          <w:color w:val="auto"/>
          <w:sz w:val="28"/>
          <w:highlight w:val="none"/>
        </w:rPr>
      </w:pPr>
      <w:r>
        <w:rPr>
          <w:rFonts w:ascii="Arial" w:hAnsi="Arial" w:eastAsia="仿宋_GB2312" w:cs="Arial"/>
          <w:color w:val="auto"/>
          <w:sz w:val="28"/>
          <w:highlight w:val="none"/>
        </w:rPr>
        <w:t>估价人员遵循各项估价原则，根据估价目的和国家有关房地产估价的规范、规定，按照估价程序，经过实地查勘与市场调查，</w:t>
      </w:r>
      <w:r>
        <w:rPr>
          <w:rFonts w:hint="eastAsia" w:ascii="Arial" w:hAnsi="Arial" w:eastAsia="仿宋_GB2312" w:cs="Arial"/>
          <w:color w:val="auto"/>
          <w:sz w:val="28"/>
          <w:highlight w:val="none"/>
        </w:rPr>
        <w:t>我们采用比较法和收益法评估确定，</w:t>
      </w:r>
      <w:r>
        <w:rPr>
          <w:rFonts w:ascii="Arial" w:hAnsi="Arial" w:eastAsia="仿宋_GB2312" w:cs="Arial"/>
          <w:color w:val="auto"/>
          <w:sz w:val="28"/>
          <w:highlight w:val="none"/>
        </w:rPr>
        <w:t>估价</w:t>
      </w:r>
      <w:r>
        <w:rPr>
          <w:rFonts w:hint="eastAsia" w:ascii="Arial" w:hAnsi="Arial" w:eastAsia="仿宋_GB2312" w:cs="Arial"/>
          <w:color w:val="auto"/>
          <w:sz w:val="28"/>
          <w:highlight w:val="none"/>
        </w:rPr>
        <w:t>对象</w:t>
      </w:r>
      <w:r>
        <w:rPr>
          <w:rFonts w:ascii="Arial" w:hAnsi="Arial" w:eastAsia="仿宋_GB2312" w:cs="Arial"/>
          <w:color w:val="auto"/>
          <w:sz w:val="28"/>
          <w:highlight w:val="none"/>
        </w:rPr>
        <w:t>在价值时点</w:t>
      </w:r>
      <w:r>
        <w:rPr>
          <w:rFonts w:hint="eastAsia" w:ascii="Arial" w:hAnsi="Arial" w:eastAsia="仿宋_GB2312" w:cs="Arial"/>
          <w:color w:val="auto"/>
          <w:sz w:val="28"/>
          <w:highlight w:val="none"/>
          <w:lang w:eastAsia="zh-CN"/>
        </w:rPr>
        <w:t>2022年5月23日</w:t>
      </w:r>
      <w:r>
        <w:rPr>
          <w:rFonts w:ascii="Arial" w:hAnsi="Arial" w:eastAsia="仿宋_GB2312" w:cs="Arial"/>
          <w:color w:val="auto"/>
          <w:sz w:val="28"/>
          <w:highlight w:val="none"/>
        </w:rPr>
        <w:t>满足各项</w:t>
      </w:r>
      <w:r>
        <w:rPr>
          <w:rFonts w:hint="eastAsia" w:ascii="Arial" w:hAnsi="Arial" w:eastAsia="仿宋_GB2312" w:cs="Arial"/>
          <w:color w:val="auto"/>
          <w:sz w:val="28"/>
          <w:highlight w:val="none"/>
        </w:rPr>
        <w:t>假设及</w:t>
      </w:r>
      <w:r>
        <w:rPr>
          <w:rFonts w:ascii="Arial" w:hAnsi="Arial" w:eastAsia="仿宋_GB2312" w:cs="Arial"/>
          <w:color w:val="auto"/>
          <w:sz w:val="28"/>
          <w:highlight w:val="none"/>
        </w:rPr>
        <w:t>限制条件下的</w:t>
      </w:r>
      <w:r>
        <w:rPr>
          <w:rFonts w:ascii="Arial" w:hAnsi="Arial" w:eastAsia="黑体" w:cs="Arial"/>
          <w:b/>
          <w:color w:val="auto"/>
          <w:sz w:val="28"/>
          <w:highlight w:val="none"/>
        </w:rPr>
        <w:t>房地产</w:t>
      </w:r>
      <w:r>
        <w:rPr>
          <w:rFonts w:hint="eastAsia" w:ascii="Arial" w:hAnsi="Arial" w:eastAsia="黑体" w:cs="Arial"/>
          <w:b/>
          <w:color w:val="auto"/>
          <w:sz w:val="28"/>
          <w:highlight w:val="none"/>
        </w:rPr>
        <w:t>市场</w:t>
      </w:r>
      <w:r>
        <w:rPr>
          <w:rFonts w:ascii="Arial" w:hAnsi="Arial" w:eastAsia="黑体" w:cs="Arial"/>
          <w:b/>
          <w:color w:val="auto"/>
          <w:sz w:val="28"/>
          <w:highlight w:val="none"/>
        </w:rPr>
        <w:t>总价：</w:t>
      </w:r>
      <w:r>
        <w:rPr>
          <w:rFonts w:hint="eastAsia" w:ascii="Arial" w:hAnsi="Arial" w:eastAsia="仿宋_GB2312" w:cs="Arial"/>
          <w:b/>
          <w:color w:val="auto"/>
          <w:sz w:val="28"/>
          <w:highlight w:val="none"/>
        </w:rPr>
        <w:t>RMB</w:t>
      </w:r>
      <w:r>
        <w:rPr>
          <w:rFonts w:hint="eastAsia" w:ascii="Arial" w:hAnsi="Arial" w:eastAsia="仿宋_GB2312" w:cs="Arial"/>
          <w:b/>
          <w:color w:val="auto"/>
          <w:sz w:val="28"/>
          <w:highlight w:val="none"/>
          <w:lang w:val="en-US" w:eastAsia="zh-CN"/>
        </w:rPr>
        <w:t>30.24</w:t>
      </w:r>
      <w:r>
        <w:rPr>
          <w:rFonts w:hint="eastAsia" w:ascii="Arial" w:hAnsi="Arial" w:eastAsia="仿宋_GB2312" w:cs="Arial"/>
          <w:b/>
          <w:color w:val="auto"/>
          <w:sz w:val="28"/>
          <w:highlight w:val="none"/>
        </w:rPr>
        <w:t>万元</w:t>
      </w:r>
      <w:r>
        <w:rPr>
          <w:rFonts w:ascii="Arial" w:hAnsi="Arial" w:eastAsia="仿宋_GB2312" w:cs="Arial"/>
          <w:color w:val="auto"/>
          <w:sz w:val="28"/>
          <w:highlight w:val="none"/>
        </w:rPr>
        <w:t>（</w:t>
      </w:r>
      <w:r>
        <w:rPr>
          <w:rFonts w:hint="eastAsia" w:ascii="Arial" w:hAnsi="Arial" w:eastAsia="仿宋_GB2312" w:cs="Arial"/>
          <w:color w:val="auto"/>
          <w:sz w:val="28"/>
          <w:highlight w:val="none"/>
        </w:rPr>
        <w:t>大写</w:t>
      </w:r>
      <w:r>
        <w:rPr>
          <w:rFonts w:ascii="Arial" w:hAnsi="Arial" w:eastAsia="仿宋_GB2312" w:cs="Arial"/>
          <w:color w:val="auto"/>
          <w:sz w:val="28"/>
          <w:highlight w:val="none"/>
        </w:rPr>
        <w:t>人民币</w:t>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=303400 \* CHINESENUM4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 302400 \* CHINESENUM2 \* MERGEFORMAT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t>叁拾万贰仟肆佰</w:t>
      </w:r>
      <w:r>
        <w:rPr>
          <w:rFonts w:ascii="Arial" w:hAnsi="Arial" w:eastAsia="黑体" w:cs="Arial"/>
          <w:b/>
          <w:color w:val="auto"/>
          <w:sz w:val="28"/>
          <w:highlight w:val="none"/>
        </w:rPr>
        <w:fldChar w:fldCharType="end"/>
      </w:r>
      <w:r>
        <w:rPr>
          <w:rFonts w:ascii="Arial" w:hAnsi="Arial" w:eastAsia="黑体" w:cs="Arial"/>
          <w:b/>
          <w:color w:val="auto"/>
          <w:sz w:val="28"/>
          <w:highlight w:val="none"/>
        </w:rPr>
        <w:t>元整</w:t>
      </w:r>
      <w:r>
        <w:rPr>
          <w:rFonts w:ascii="Arial" w:hAnsi="Arial" w:eastAsia="黑体" w:cs="Arial"/>
          <w:b/>
          <w:color w:val="auto"/>
          <w:sz w:val="28"/>
          <w:highlight w:val="none"/>
        </w:rPr>
        <w:fldChar w:fldCharType="end"/>
      </w:r>
      <w:r>
        <w:rPr>
          <w:rFonts w:ascii="Arial" w:hAnsi="Arial" w:eastAsia="仿宋_GB2312" w:cs="Arial"/>
          <w:color w:val="auto"/>
          <w:sz w:val="28"/>
          <w:highlight w:val="none"/>
        </w:rPr>
        <w:t>）；</w:t>
      </w:r>
      <w:r>
        <w:rPr>
          <w:rFonts w:ascii="Arial" w:hAnsi="Arial" w:eastAsia="黑体" w:cs="Arial"/>
          <w:b/>
          <w:color w:val="auto"/>
          <w:sz w:val="28"/>
          <w:highlight w:val="none"/>
        </w:rPr>
        <w:t>房地产</w:t>
      </w:r>
      <w:r>
        <w:rPr>
          <w:rFonts w:hint="eastAsia" w:ascii="Arial" w:hAnsi="Arial" w:eastAsia="黑体" w:cs="Arial"/>
          <w:b/>
          <w:color w:val="auto"/>
          <w:sz w:val="28"/>
          <w:highlight w:val="none"/>
        </w:rPr>
        <w:t>市场</w:t>
      </w:r>
      <w:r>
        <w:rPr>
          <w:rFonts w:ascii="Arial" w:hAnsi="Arial" w:eastAsia="黑体" w:cs="Arial"/>
          <w:b/>
          <w:color w:val="auto"/>
          <w:sz w:val="28"/>
          <w:highlight w:val="none"/>
        </w:rPr>
        <w:t>单价：</w:t>
      </w:r>
      <w:r>
        <w:rPr>
          <w:rFonts w:ascii="Arial" w:hAnsi="Arial" w:eastAsia="仿宋_GB2312" w:cs="Arial"/>
          <w:b/>
          <w:color w:val="auto"/>
          <w:sz w:val="28"/>
          <w:highlight w:val="none"/>
        </w:rPr>
        <w:t>RMB</w:t>
      </w:r>
      <w:r>
        <w:rPr>
          <w:rFonts w:hint="eastAsia" w:ascii="Arial" w:hAnsi="Arial" w:eastAsia="仿宋_GB2312" w:cs="Arial"/>
          <w:b/>
          <w:color w:val="auto"/>
          <w:sz w:val="28"/>
          <w:highlight w:val="none"/>
        </w:rPr>
        <w:fldChar w:fldCharType="begin"/>
      </w:r>
      <w:r>
        <w:rPr>
          <w:rFonts w:hint="eastAsia" w:ascii="Arial" w:hAnsi="Arial" w:eastAsia="仿宋_GB2312" w:cs="Arial"/>
          <w:b/>
          <w:color w:val="auto"/>
          <w:sz w:val="28"/>
          <w:highlight w:val="none"/>
        </w:rPr>
        <w:instrText xml:space="preserve"> =(2385+2261)/2 \# "0" </w:instrText>
      </w:r>
      <w:r>
        <w:rPr>
          <w:rFonts w:hint="eastAsia" w:ascii="Arial" w:hAnsi="Arial" w:eastAsia="仿宋_GB2312" w:cs="Arial"/>
          <w:b/>
          <w:color w:val="auto"/>
          <w:sz w:val="28"/>
          <w:highlight w:val="none"/>
        </w:rPr>
        <w:fldChar w:fldCharType="separate"/>
      </w:r>
      <w:r>
        <w:rPr>
          <w:rFonts w:hint="eastAsia" w:ascii="Arial" w:hAnsi="Arial" w:eastAsia="仿宋_GB2312" w:cs="Arial"/>
          <w:b/>
          <w:color w:val="auto"/>
          <w:sz w:val="28"/>
          <w:highlight w:val="none"/>
        </w:rPr>
        <w:t>2323</w:t>
      </w:r>
      <w:r>
        <w:rPr>
          <w:rFonts w:hint="eastAsia" w:ascii="Arial" w:hAnsi="Arial" w:eastAsia="仿宋_GB2312" w:cs="Arial"/>
          <w:b/>
          <w:color w:val="auto"/>
          <w:sz w:val="28"/>
          <w:highlight w:val="none"/>
        </w:rPr>
        <w:fldChar w:fldCharType="end"/>
      </w:r>
      <w:r>
        <w:rPr>
          <w:rFonts w:hint="eastAsia" w:ascii="Arial" w:hAnsi="Arial" w:eastAsia="仿宋_GB2312" w:cs="Arial"/>
          <w:b/>
          <w:color w:val="auto"/>
          <w:sz w:val="28"/>
          <w:highlight w:val="none"/>
        </w:rPr>
        <w:t>元/平方米</w:t>
      </w:r>
      <w:r>
        <w:rPr>
          <w:rFonts w:ascii="Arial" w:hAnsi="Arial" w:eastAsia="仿宋_GB2312" w:cs="Arial"/>
          <w:color w:val="auto"/>
          <w:sz w:val="28"/>
          <w:highlight w:val="none"/>
        </w:rPr>
        <w:t>（</w:t>
      </w:r>
      <w:r>
        <w:rPr>
          <w:rFonts w:hint="eastAsia" w:ascii="Arial" w:hAnsi="Arial" w:eastAsia="仿宋_GB2312" w:cs="Arial"/>
          <w:color w:val="auto"/>
          <w:sz w:val="28"/>
          <w:highlight w:val="none"/>
        </w:rPr>
        <w:t>大写</w:t>
      </w:r>
      <w:r>
        <w:rPr>
          <w:rFonts w:ascii="Arial" w:hAnsi="Arial" w:eastAsia="仿宋_GB2312" w:cs="Arial"/>
          <w:color w:val="auto"/>
          <w:sz w:val="28"/>
          <w:highlight w:val="none"/>
        </w:rPr>
        <w:t>人民币</w:t>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=2331 \* CHINESENUM4 \* MERGEFORMAT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 2323 \* CHINESENUM2 \* MERGEFORMAT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t>贰仟叁佰贰拾叁</w:t>
      </w:r>
      <w:r>
        <w:rPr>
          <w:rFonts w:ascii="Arial" w:hAnsi="Arial" w:eastAsia="黑体" w:cs="Arial"/>
          <w:b/>
          <w:color w:val="auto"/>
          <w:sz w:val="28"/>
          <w:highlight w:val="none"/>
        </w:rPr>
        <w:fldChar w:fldCharType="end"/>
      </w:r>
      <w:r>
        <w:rPr>
          <w:rFonts w:ascii="Arial" w:hAnsi="Arial" w:eastAsia="黑体" w:cs="Arial"/>
          <w:b/>
          <w:color w:val="auto"/>
          <w:sz w:val="28"/>
          <w:highlight w:val="none"/>
        </w:rPr>
        <w:t>元整</w:t>
      </w:r>
      <w:r>
        <w:rPr>
          <w:rFonts w:ascii="Arial" w:hAnsi="Arial" w:eastAsia="黑体" w:cs="Arial"/>
          <w:b/>
          <w:color w:val="auto"/>
          <w:sz w:val="28"/>
          <w:highlight w:val="none"/>
        </w:rPr>
        <w:fldChar w:fldCharType="end"/>
      </w:r>
      <w:r>
        <w:rPr>
          <w:rFonts w:ascii="Arial" w:hAnsi="Arial" w:eastAsia="仿宋_GB2312" w:cs="Arial"/>
          <w:color w:val="auto"/>
          <w:sz w:val="28"/>
          <w:highlight w:val="none"/>
        </w:rPr>
        <w:t>每平方米）。</w:t>
      </w:r>
      <w:r>
        <w:rPr>
          <w:rFonts w:hint="eastAsia" w:ascii="Arial" w:hAnsi="Arial" w:eastAsia="仿宋_GB2312" w:cs="Arial"/>
          <w:color w:val="auto"/>
          <w:sz w:val="28"/>
          <w:highlight w:val="none"/>
        </w:rPr>
        <w:t>详见《估价结果明细表》。</w:t>
      </w:r>
    </w:p>
    <w:p>
      <w:pPr>
        <w:spacing w:line="440" w:lineRule="exact"/>
        <w:ind w:firstLine="480" w:firstLineChars="200"/>
        <w:jc w:val="center"/>
        <w:rPr>
          <w:rFonts w:ascii="Arial" w:hAnsi="Arial" w:eastAsia="仿宋_GB2312" w:cs="Arial"/>
          <w:color w:val="auto"/>
          <w:sz w:val="24"/>
          <w:highlight w:val="none"/>
        </w:rPr>
      </w:pPr>
      <w:r>
        <w:rPr>
          <w:rFonts w:hint="eastAsia" w:ascii="Arial" w:hAnsi="Arial" w:eastAsia="仿宋_GB2312" w:cs="Arial"/>
          <w:color w:val="auto"/>
          <w:sz w:val="24"/>
          <w:highlight w:val="none"/>
        </w:rPr>
        <w:t>估价结果明细表</w:t>
      </w:r>
    </w:p>
    <w:tbl>
      <w:tblPr>
        <w:tblStyle w:val="15"/>
        <w:tblW w:w="8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864"/>
        <w:gridCol w:w="708"/>
        <w:gridCol w:w="1033"/>
        <w:gridCol w:w="825"/>
        <w:gridCol w:w="115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9"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估价对象</w:t>
            </w:r>
          </w:p>
        </w:tc>
        <w:tc>
          <w:tcPr>
            <w:tcW w:w="864"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权利人</w:t>
            </w:r>
          </w:p>
        </w:tc>
        <w:tc>
          <w:tcPr>
            <w:tcW w:w="708"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房屋用途</w:t>
            </w:r>
          </w:p>
        </w:tc>
        <w:tc>
          <w:tcPr>
            <w:tcW w:w="1033"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所在楼层/总楼层</w:t>
            </w:r>
          </w:p>
        </w:tc>
        <w:tc>
          <w:tcPr>
            <w:tcW w:w="825"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建筑面积(</w:t>
            </w:r>
            <w:r>
              <w:rPr>
                <w:rFonts w:hint="eastAsia" w:ascii="Segoe UI Emoji" w:hAnsi="Segoe UI Emoji" w:eastAsia="Segoe UI Emoji" w:cs="Segoe UI Emoji"/>
                <w:color w:val="auto"/>
                <w:sz w:val="18"/>
                <w:szCs w:val="18"/>
                <w:highlight w:val="none"/>
              </w:rPr>
              <w:t>㎡</w:t>
            </w:r>
            <w:r>
              <w:rPr>
                <w:rFonts w:hint="eastAsia" w:ascii="Arial" w:hAnsi="Arial" w:eastAsia="仿宋_GB2312" w:cs="Arial"/>
                <w:color w:val="auto"/>
                <w:sz w:val="18"/>
                <w:szCs w:val="18"/>
                <w:highlight w:val="none"/>
              </w:rPr>
              <w:t>)</w:t>
            </w:r>
          </w:p>
        </w:tc>
        <w:tc>
          <w:tcPr>
            <w:tcW w:w="1157"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房地产市场单价(元/</w:t>
            </w:r>
            <w:r>
              <w:rPr>
                <w:rFonts w:hint="eastAsia" w:ascii="Segoe UI Emoji" w:hAnsi="Segoe UI Emoji" w:eastAsia="Segoe UI Emoji" w:cs="Segoe UI Emoji"/>
                <w:color w:val="auto"/>
                <w:sz w:val="18"/>
                <w:szCs w:val="18"/>
                <w:highlight w:val="none"/>
              </w:rPr>
              <w:t>㎡</w:t>
            </w:r>
            <w:r>
              <w:rPr>
                <w:rFonts w:hint="eastAsia" w:ascii="Arial" w:hAnsi="Arial" w:eastAsia="仿宋_GB2312" w:cs="Arial"/>
                <w:color w:val="auto"/>
                <w:sz w:val="18"/>
                <w:szCs w:val="18"/>
                <w:highlight w:val="none"/>
              </w:rPr>
              <w:t>)</w:t>
            </w:r>
          </w:p>
        </w:tc>
        <w:tc>
          <w:tcPr>
            <w:tcW w:w="1168"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房地产市场总价（万元）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9" w:type="dxa"/>
            <w:vAlign w:val="center"/>
          </w:tcPr>
          <w:p>
            <w:pPr>
              <w:autoSpaceDE w:val="0"/>
              <w:autoSpaceDN w:val="0"/>
              <w:adjustRightInd w:val="0"/>
              <w:jc w:val="center"/>
              <w:rPr>
                <w:rFonts w:hint="eastAsia" w:ascii="Arial" w:hAnsi="Arial" w:eastAsia="仿宋_GB2312" w:cs="Arial"/>
                <w:color w:val="auto"/>
                <w:sz w:val="18"/>
                <w:szCs w:val="18"/>
                <w:highlight w:val="none"/>
                <w:lang w:eastAsia="zh-CN"/>
              </w:rPr>
            </w:pPr>
            <w:r>
              <w:rPr>
                <w:rFonts w:hint="eastAsia" w:ascii="Arial" w:hAnsi="Arial" w:eastAsia="仿宋_GB2312" w:cs="Arial"/>
                <w:color w:val="auto"/>
                <w:sz w:val="18"/>
                <w:szCs w:val="18"/>
                <w:highlight w:val="none"/>
                <w:lang w:eastAsia="zh-CN"/>
              </w:rPr>
              <w:t>十堰市竹溪县城关镇鄂陕大道899号金叶花园4幢1单元202号</w:t>
            </w:r>
          </w:p>
        </w:tc>
        <w:tc>
          <w:tcPr>
            <w:tcW w:w="864" w:type="dxa"/>
            <w:vAlign w:val="center"/>
          </w:tcPr>
          <w:p>
            <w:pPr>
              <w:widowControl/>
              <w:jc w:val="center"/>
              <w:textAlignment w:val="center"/>
              <w:rPr>
                <w:rFonts w:hint="eastAsia" w:ascii="Arial" w:hAnsi="Arial" w:eastAsia="仿宋_GB2312" w:cs="Arial"/>
                <w:color w:val="auto"/>
                <w:sz w:val="18"/>
                <w:szCs w:val="18"/>
                <w:highlight w:val="none"/>
                <w:lang w:eastAsia="zh-CN"/>
              </w:rPr>
            </w:pPr>
            <w:r>
              <w:rPr>
                <w:rFonts w:hint="eastAsia" w:ascii="Arial" w:hAnsi="Arial" w:eastAsia="仿宋_GB2312" w:cs="Arial"/>
                <w:color w:val="auto"/>
                <w:sz w:val="18"/>
                <w:szCs w:val="18"/>
                <w:highlight w:val="none"/>
                <w:lang w:eastAsia="zh-CN"/>
              </w:rPr>
              <w:t>沈德安</w:t>
            </w:r>
          </w:p>
        </w:tc>
        <w:tc>
          <w:tcPr>
            <w:tcW w:w="708"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住宅</w:t>
            </w:r>
          </w:p>
        </w:tc>
        <w:tc>
          <w:tcPr>
            <w:tcW w:w="1033"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lang w:val="en-US" w:eastAsia="zh-CN"/>
              </w:rPr>
              <w:t>2</w:t>
            </w:r>
            <w:r>
              <w:rPr>
                <w:rFonts w:hint="eastAsia" w:ascii="Arial" w:hAnsi="Arial" w:eastAsia="仿宋_GB2312" w:cs="Arial"/>
                <w:color w:val="auto"/>
                <w:sz w:val="18"/>
                <w:szCs w:val="18"/>
                <w:highlight w:val="none"/>
              </w:rPr>
              <w:t>层/7层</w:t>
            </w:r>
          </w:p>
        </w:tc>
        <w:tc>
          <w:tcPr>
            <w:tcW w:w="825" w:type="dxa"/>
            <w:vAlign w:val="center"/>
          </w:tcPr>
          <w:p>
            <w:pPr>
              <w:widowControl/>
              <w:autoSpaceDE w:val="0"/>
              <w:adjustRightInd w:val="0"/>
              <w:jc w:val="center"/>
              <w:rPr>
                <w:rFonts w:hint="eastAsia" w:ascii="Arial" w:hAnsi="Arial" w:eastAsia="仿宋_GB2312" w:cs="Arial"/>
                <w:color w:val="auto"/>
                <w:sz w:val="18"/>
                <w:szCs w:val="18"/>
                <w:highlight w:val="none"/>
                <w:lang w:eastAsia="zh-CN"/>
              </w:rPr>
            </w:pPr>
            <w:r>
              <w:rPr>
                <w:rFonts w:hint="eastAsia" w:ascii="Arial" w:hAnsi="Arial" w:eastAsia="仿宋_GB2312" w:cs="Arial"/>
                <w:color w:val="auto"/>
                <w:sz w:val="18"/>
                <w:szCs w:val="18"/>
                <w:highlight w:val="none"/>
                <w:lang w:eastAsia="zh-CN"/>
              </w:rPr>
              <w:t>130.16</w:t>
            </w:r>
          </w:p>
        </w:tc>
        <w:tc>
          <w:tcPr>
            <w:tcW w:w="1157" w:type="dxa"/>
            <w:vAlign w:val="center"/>
          </w:tcPr>
          <w:p>
            <w:pPr>
              <w:tabs>
                <w:tab w:val="left" w:pos="374"/>
              </w:tabs>
              <w:autoSpaceDE w:val="0"/>
              <w:adjustRightInd w:val="0"/>
              <w:jc w:val="center"/>
              <w:rPr>
                <w:rFonts w:hint="default" w:ascii="Arial" w:hAnsi="Arial" w:eastAsia="仿宋_GB2312" w:cs="Arial"/>
                <w:color w:val="auto"/>
                <w:sz w:val="18"/>
                <w:szCs w:val="18"/>
                <w:highlight w:val="none"/>
                <w:lang w:val="en-US" w:eastAsia="zh-CN"/>
              </w:rPr>
            </w:pPr>
            <w:r>
              <w:rPr>
                <w:rFonts w:hint="eastAsia" w:ascii="Arial" w:hAnsi="Arial" w:eastAsia="仿宋_GB2312" w:cs="Arial"/>
                <w:color w:val="auto"/>
                <w:sz w:val="18"/>
                <w:szCs w:val="18"/>
                <w:highlight w:val="none"/>
                <w:lang w:val="en-US" w:eastAsia="zh-CN"/>
              </w:rPr>
              <w:t>2323</w:t>
            </w:r>
          </w:p>
        </w:tc>
        <w:tc>
          <w:tcPr>
            <w:tcW w:w="1168" w:type="dxa"/>
            <w:vAlign w:val="center"/>
          </w:tcPr>
          <w:p>
            <w:pPr>
              <w:widowControl/>
              <w:autoSpaceDE w:val="0"/>
              <w:adjustRightInd w:val="0"/>
              <w:jc w:val="center"/>
              <w:rPr>
                <w:rFonts w:hint="default" w:ascii="Arial" w:hAnsi="Arial" w:eastAsia="仿宋_GB2312" w:cs="Arial"/>
                <w:color w:val="auto"/>
                <w:sz w:val="18"/>
                <w:szCs w:val="18"/>
                <w:highlight w:val="none"/>
                <w:lang w:val="en-US" w:eastAsia="zh-CN"/>
              </w:rPr>
            </w:pPr>
            <w:r>
              <w:rPr>
                <w:rFonts w:hint="eastAsia" w:ascii="Arial" w:hAnsi="Arial" w:eastAsia="仿宋_GB2312" w:cs="Arial"/>
                <w:color w:val="auto"/>
                <w:sz w:val="18"/>
                <w:szCs w:val="18"/>
                <w:highlight w:val="none"/>
                <w:lang w:val="en-US" w:eastAsia="zh-CN"/>
              </w:rPr>
              <w:t>30.24</w:t>
            </w:r>
          </w:p>
        </w:tc>
      </w:tr>
    </w:tbl>
    <w:p>
      <w:pPr>
        <w:pStyle w:val="8"/>
        <w:tabs>
          <w:tab w:val="left" w:pos="6570"/>
        </w:tabs>
        <w:spacing w:line="300" w:lineRule="exact"/>
        <w:ind w:left="96" w:firstLine="488"/>
        <w:rPr>
          <w:rFonts w:ascii="Arial" w:hAnsi="Arial" w:eastAsia="仿宋_GB2312" w:cs="Arial"/>
          <w:color w:val="auto"/>
          <w:highlight w:val="none"/>
        </w:rPr>
      </w:pPr>
    </w:p>
    <w:p>
      <w:pPr>
        <w:pStyle w:val="8"/>
        <w:tabs>
          <w:tab w:val="left" w:pos="6570"/>
        </w:tabs>
        <w:spacing w:line="440" w:lineRule="exact"/>
        <w:rPr>
          <w:rFonts w:ascii="Arial" w:hAnsi="Arial" w:eastAsia="仿宋_GB2312" w:cs="Arial"/>
          <w:color w:val="auto"/>
          <w:highlight w:val="none"/>
        </w:rPr>
      </w:pPr>
      <w:r>
        <w:rPr>
          <w:rFonts w:hint="eastAsia" w:ascii="Arial" w:hAnsi="Arial" w:eastAsia="仿宋_GB2312" w:cs="Arial"/>
          <w:color w:val="auto"/>
          <w:highlight w:val="none"/>
        </w:rPr>
        <w:t>本报告使用者在使用本报告之前须完整阅读报告全文，尤其是其中的“估价假设和限制条件”部分内容，以免因报告使用不当，造成损失。估价的</w:t>
      </w:r>
      <w:r>
        <w:rPr>
          <w:rFonts w:ascii="Arial" w:hAnsi="Arial" w:eastAsia="仿宋_GB2312" w:cs="Arial"/>
          <w:color w:val="auto"/>
          <w:highlight w:val="none"/>
        </w:rPr>
        <w:t>详细结果和有关说明，请见以下《房地产估价结果报告》。</w:t>
      </w:r>
    </w:p>
    <w:p>
      <w:pPr>
        <w:spacing w:line="440" w:lineRule="exact"/>
        <w:ind w:firstLine="560" w:firstLineChars="200"/>
        <w:jc w:val="left"/>
        <w:rPr>
          <w:rFonts w:ascii="Arial" w:hAnsi="Arial" w:eastAsia="仿宋_GB2312" w:cs="Arial"/>
          <w:color w:val="auto"/>
          <w:sz w:val="28"/>
          <w:highlight w:val="none"/>
        </w:rPr>
      </w:pPr>
      <w:r>
        <w:rPr>
          <w:rFonts w:ascii="Arial" w:hAnsi="Arial" w:eastAsia="仿宋_GB2312" w:cs="Arial"/>
          <w:color w:val="auto"/>
          <w:sz w:val="28"/>
          <w:highlight w:val="none"/>
        </w:rPr>
        <w:t>特此函告！</w:t>
      </w:r>
    </w:p>
    <w:p>
      <w:pPr>
        <w:spacing w:line="440" w:lineRule="exact"/>
        <w:ind w:firstLine="560" w:firstLineChars="200"/>
        <w:jc w:val="right"/>
        <w:rPr>
          <w:rFonts w:ascii="Arial" w:hAnsi="Arial" w:eastAsia="仿宋_GB2312" w:cs="Arial"/>
          <w:color w:val="auto"/>
          <w:sz w:val="28"/>
          <w:highlight w:val="none"/>
        </w:rPr>
      </w:pPr>
      <w:r>
        <w:rPr>
          <w:rFonts w:ascii="Arial" w:hAnsi="Arial" w:eastAsia="仿宋_GB2312" w:cs="Arial"/>
          <w:color w:val="auto"/>
          <w:sz w:val="28"/>
          <w:highlight w:val="none"/>
        </w:rPr>
        <w:t>武汉天马房地资产评估有限公司</w:t>
      </w:r>
    </w:p>
    <w:p>
      <w:pPr>
        <w:spacing w:line="440" w:lineRule="exact"/>
        <w:ind w:firstLine="560" w:firstLineChars="200"/>
        <w:jc w:val="right"/>
        <w:rPr>
          <w:rFonts w:ascii="Arial" w:hAnsi="Arial" w:eastAsia="仿宋_GB2312" w:cs="Arial"/>
          <w:color w:val="auto"/>
          <w:sz w:val="28"/>
          <w:highlight w:val="none"/>
        </w:rPr>
      </w:pPr>
      <w:r>
        <w:rPr>
          <w:rFonts w:ascii="Arial" w:hAnsi="Arial" w:eastAsia="仿宋_GB2312" w:cs="Arial"/>
          <w:color w:val="auto"/>
          <w:sz w:val="28"/>
          <w:highlight w:val="none"/>
        </w:rPr>
        <w:t>法定代表人：马小军</w:t>
      </w:r>
    </w:p>
    <w:p>
      <w:pPr>
        <w:spacing w:line="440" w:lineRule="exact"/>
        <w:ind w:firstLine="560" w:firstLineChars="200"/>
        <w:jc w:val="right"/>
        <w:rPr>
          <w:rFonts w:hint="eastAsia" w:ascii="Arial" w:hAnsi="Arial" w:eastAsia="仿宋_GB2312" w:cs="Arial"/>
          <w:color w:val="auto"/>
          <w:sz w:val="28"/>
          <w:highlight w:val="none"/>
          <w:lang w:eastAsia="zh-CN"/>
        </w:rPr>
      </w:pPr>
      <w:r>
        <w:rPr>
          <w:rFonts w:hint="eastAsia" w:ascii="Arial" w:hAnsi="Arial" w:eastAsia="仿宋_GB2312" w:cs="Arial"/>
          <w:color w:val="auto"/>
          <w:sz w:val="28"/>
          <w:highlight w:val="none"/>
          <w:lang w:eastAsia="zh-CN"/>
        </w:rPr>
        <w:t>2022年6月21日</w:t>
      </w:r>
    </w:p>
    <w:p>
      <w:pPr>
        <w:spacing w:line="480" w:lineRule="exact"/>
        <w:jc w:val="right"/>
        <w:rPr>
          <w:rFonts w:ascii="Arial" w:hAnsi="Arial" w:cs="Arial"/>
          <w:color w:val="auto"/>
          <w:highlight w:val="none"/>
        </w:rPr>
        <w:sectPr>
          <w:headerReference r:id="rId7" w:type="first"/>
          <w:footerReference r:id="rId8" w:type="first"/>
          <w:type w:val="nextColumn"/>
          <w:pgSz w:w="11906" w:h="16838"/>
          <w:pgMar w:top="1417" w:right="1418" w:bottom="1417" w:left="1418" w:header="964" w:footer="964" w:gutter="283"/>
          <w:cols w:space="0" w:num="1"/>
          <w:titlePg/>
          <w:docGrid w:linePitch="312" w:charSpace="0"/>
        </w:sectPr>
      </w:pPr>
    </w:p>
    <w:p>
      <w:pPr>
        <w:jc w:val="center"/>
        <w:rPr>
          <w:rFonts w:ascii="Arial" w:hAnsi="Arial" w:eastAsia="楷体_GB2312" w:cs="Arial"/>
          <w:b/>
          <w:bCs/>
          <w:color w:val="auto"/>
          <w:sz w:val="28"/>
          <w:szCs w:val="28"/>
          <w:highlight w:val="none"/>
        </w:rPr>
      </w:pPr>
      <w:r>
        <w:rPr>
          <w:rFonts w:hint="eastAsia" w:ascii="黑体" w:hAnsi="黑体" w:eastAsia="黑体" w:cs="黑体"/>
          <w:b/>
          <w:bCs/>
          <w:color w:val="auto"/>
          <w:sz w:val="30"/>
          <w:szCs w:val="30"/>
          <w:highlight w:val="none"/>
        </w:rPr>
        <w:t>目  录</w:t>
      </w:r>
    </w:p>
    <w:p>
      <w:pPr>
        <w:pStyle w:val="11"/>
        <w:tabs>
          <w:tab w:val="right" w:leader="dot" w:pos="8787"/>
          <w:tab w:val="clear" w:pos="8776"/>
        </w:tabs>
        <w:rPr>
          <w:rFonts w:hint="default" w:ascii="Arial" w:hAnsi="Arial" w:eastAsia="楷体_GB2312" w:cs="Arial"/>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TOC \o "1-2" \h \z \u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fldChar w:fldCharType="begin"/>
      </w:r>
      <w:r>
        <w:rPr>
          <w:rFonts w:hint="default" w:ascii="Arial" w:hAnsi="Arial" w:eastAsia="楷体_GB2312" w:cs="Arial"/>
          <w:highlight w:val="none"/>
        </w:rPr>
        <w:instrText xml:space="preserve"> HYPERLINK \l _Toc27601 </w:instrText>
      </w:r>
      <w:r>
        <w:rPr>
          <w:rFonts w:hint="default" w:ascii="Arial" w:hAnsi="Arial" w:eastAsia="楷体_GB2312" w:cs="Arial"/>
          <w:highlight w:val="none"/>
        </w:rPr>
        <w:fldChar w:fldCharType="separate"/>
      </w:r>
      <w:r>
        <w:rPr>
          <w:rFonts w:hint="default" w:ascii="Arial" w:hAnsi="Arial" w:eastAsia="楷体_GB2312" w:cs="Arial"/>
          <w:bCs/>
          <w:highlight w:val="none"/>
        </w:rPr>
        <w:t>注册房地产估价师声明</w:t>
      </w:r>
      <w:bookmarkStart w:id="138" w:name="_GoBack"/>
      <w:bookmarkEnd w:id="138"/>
      <w:r>
        <w:rPr>
          <w:rFonts w:hint="default" w:ascii="Arial" w:hAnsi="Arial" w:eastAsia="楷体_GB2312" w:cs="Arial"/>
        </w:rPr>
        <w:tab/>
      </w:r>
      <w:r>
        <w:rPr>
          <w:rFonts w:hint="default" w:ascii="Arial" w:hAnsi="Arial" w:eastAsia="楷体_GB2312" w:cs="Arial"/>
        </w:rPr>
        <w:fldChar w:fldCharType="begin"/>
      </w:r>
      <w:r>
        <w:rPr>
          <w:rFonts w:hint="default" w:ascii="Arial" w:hAnsi="Arial" w:eastAsia="楷体_GB2312" w:cs="Arial"/>
        </w:rPr>
        <w:instrText xml:space="preserve"> PAGEREF _Toc27601 \h </w:instrText>
      </w:r>
      <w:r>
        <w:rPr>
          <w:rFonts w:hint="default" w:ascii="Arial" w:hAnsi="Arial" w:eastAsia="楷体_GB2312" w:cs="Arial"/>
        </w:rPr>
        <w:fldChar w:fldCharType="separate"/>
      </w:r>
      <w:r>
        <w:rPr>
          <w:rFonts w:hint="default" w:ascii="Arial" w:hAnsi="Arial" w:eastAsia="楷体_GB2312" w:cs="Arial"/>
        </w:rPr>
        <w:t>1</w:t>
      </w:r>
      <w:r>
        <w:rPr>
          <w:rFonts w:hint="default" w:ascii="Arial" w:hAnsi="Arial" w:eastAsia="楷体_GB2312" w:cs="Arial"/>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rPr>
          <w:rFonts w:hint="default" w:ascii="Arial" w:hAnsi="Arial" w:eastAsia="楷体_GB2312" w:cs="Arial"/>
        </w:rPr>
      </w:pPr>
      <w:r>
        <w:rPr>
          <w:rFonts w:hint="default" w:ascii="Arial" w:hAnsi="Arial" w:eastAsia="楷体_GB2312" w:cs="Arial"/>
          <w:color w:val="auto"/>
          <w:highlight w:val="none"/>
        </w:rPr>
        <w:fldChar w:fldCharType="begin"/>
      </w:r>
      <w:r>
        <w:rPr>
          <w:rFonts w:hint="default" w:ascii="Arial" w:hAnsi="Arial" w:eastAsia="楷体_GB2312" w:cs="Arial"/>
          <w:highlight w:val="none"/>
        </w:rPr>
        <w:instrText xml:space="preserve"> HYPERLINK \l _Toc24537 </w:instrText>
      </w:r>
      <w:r>
        <w:rPr>
          <w:rFonts w:hint="default" w:ascii="Arial" w:hAnsi="Arial" w:eastAsia="楷体_GB2312" w:cs="Arial"/>
          <w:highlight w:val="none"/>
        </w:rPr>
        <w:fldChar w:fldCharType="separate"/>
      </w:r>
      <w:r>
        <w:rPr>
          <w:rFonts w:hint="default" w:ascii="Arial" w:hAnsi="Arial" w:eastAsia="楷体_GB2312" w:cs="Arial"/>
          <w:bCs/>
          <w:szCs w:val="20"/>
          <w:highlight w:val="none"/>
        </w:rPr>
        <w:t>估价的假设和限制条件</w:t>
      </w:r>
      <w:r>
        <w:rPr>
          <w:rFonts w:hint="default" w:ascii="Arial" w:hAnsi="Arial" w:eastAsia="楷体_GB2312" w:cs="Arial"/>
        </w:rPr>
        <w:tab/>
      </w:r>
      <w:r>
        <w:rPr>
          <w:rFonts w:hint="default" w:ascii="Arial" w:hAnsi="Arial" w:eastAsia="楷体_GB2312" w:cs="Arial"/>
        </w:rPr>
        <w:fldChar w:fldCharType="begin"/>
      </w:r>
      <w:r>
        <w:rPr>
          <w:rFonts w:hint="default" w:ascii="Arial" w:hAnsi="Arial" w:eastAsia="楷体_GB2312" w:cs="Arial"/>
        </w:rPr>
        <w:instrText xml:space="preserve"> PAGEREF _Toc24537 \h </w:instrText>
      </w:r>
      <w:r>
        <w:rPr>
          <w:rFonts w:hint="default" w:ascii="Arial" w:hAnsi="Arial" w:eastAsia="楷体_GB2312" w:cs="Arial"/>
        </w:rPr>
        <w:fldChar w:fldCharType="separate"/>
      </w:r>
      <w:r>
        <w:rPr>
          <w:rFonts w:hint="default" w:ascii="Arial" w:hAnsi="Arial" w:eastAsia="楷体_GB2312" w:cs="Arial"/>
        </w:rPr>
        <w:t>2</w:t>
      </w:r>
      <w:r>
        <w:rPr>
          <w:rFonts w:hint="default" w:ascii="Arial" w:hAnsi="Arial" w:eastAsia="楷体_GB2312" w:cs="Arial"/>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_Toc4371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房地产估价结果报告</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_Toc4371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6</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_Toc20897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一、估价委托人</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_Toc20897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6</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_Toc24245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二、房地产估价机构</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_Toc24245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6</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_Toc10486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三、估价目的</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_Toc10486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6</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_Toc7339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四、估价对象</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_Toc7339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6</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_Toc5457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五、价值时点</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_Toc5457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11</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_Toc3713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六、价值类型</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_Toc3713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11</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_Toc7739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七、估价原则</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_Toc7739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12</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_Toc20250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八、估价依据</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_Toc20250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12</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_Toc26248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九、估价方法</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_Toc26248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16</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_Toc912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十、估价结果</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_Toc912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17</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_Toc7727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十一、注册房地产估价师</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_Toc7727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18</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_Toc26141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十二、实地查勘期</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_Toc26141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18</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_Toc16414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十三、估价作业期</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_Toc16414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18</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_Toc28972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附  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_Toc28972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_Toc25470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 《</w:t>
      </w:r>
      <w:r>
        <w:rPr>
          <w:rFonts w:hint="default" w:ascii="Arial" w:hAnsi="Arial" w:eastAsia="楷体_GB2312" w:cs="Arial"/>
          <w:color w:val="auto"/>
          <w:highlight w:val="none"/>
          <w:lang w:eastAsia="zh-CN"/>
        </w:rPr>
        <w:t>湖北省竹溪县人民法院价格评估委托书</w:t>
      </w:r>
      <w:r>
        <w:rPr>
          <w:rFonts w:hint="default" w:ascii="Arial" w:hAnsi="Arial" w:eastAsia="楷体_GB2312" w:cs="Arial"/>
          <w:color w:val="auto"/>
          <w:highlight w:val="none"/>
        </w:rPr>
        <w:t>》（</w:t>
      </w:r>
      <w:r>
        <w:rPr>
          <w:rFonts w:hint="default" w:ascii="Arial" w:hAnsi="Arial" w:eastAsia="楷体_GB2312" w:cs="Arial"/>
          <w:color w:val="auto"/>
          <w:highlight w:val="none"/>
          <w:lang w:eastAsia="zh-CN"/>
        </w:rPr>
        <w:t>(2022）溪法技委字第17号</w:t>
      </w:r>
      <w:r>
        <w:rPr>
          <w:rFonts w:hint="default" w:ascii="Arial" w:hAnsi="Arial" w:eastAsia="楷体_GB2312" w:cs="Arial"/>
          <w:color w:val="auto"/>
          <w:highlight w:val="none"/>
        </w:rPr>
        <w:t>）</w:t>
      </w:r>
      <w:r>
        <w:rPr>
          <w:rFonts w:hint="default" w:ascii="Arial" w:hAnsi="Arial" w:eastAsia="楷体_GB2312" w:cs="Arial"/>
          <w:color w:val="auto"/>
          <w:highlight w:val="none"/>
          <w:lang w:val="en-US" w:eastAsia="zh-CN"/>
        </w:rPr>
        <w:t>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_Toc25470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_Toc29697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 xml:space="preserve">2、 </w:t>
      </w:r>
      <w:r>
        <w:rPr>
          <w:rFonts w:hint="default" w:ascii="Arial" w:hAnsi="Arial" w:eastAsia="楷体_GB2312" w:cs="Arial"/>
          <w:color w:val="auto"/>
          <w:highlight w:val="none"/>
          <w:lang w:eastAsia="zh-CN"/>
        </w:rPr>
        <w:t>《</w:t>
      </w:r>
      <w:r>
        <w:rPr>
          <w:rFonts w:hint="default" w:ascii="Arial" w:hAnsi="Arial" w:eastAsia="楷体_GB2312" w:cs="Arial"/>
          <w:color w:val="auto"/>
          <w:highlight w:val="none"/>
          <w:lang w:val="en-US" w:eastAsia="zh-CN"/>
        </w:rPr>
        <w:t>工作联系函</w:t>
      </w:r>
      <w:r>
        <w:rPr>
          <w:rFonts w:hint="default" w:ascii="Arial" w:hAnsi="Arial" w:eastAsia="楷体_GB2312" w:cs="Arial"/>
          <w:color w:val="auto"/>
          <w:highlight w:val="none"/>
          <w:lang w:eastAsia="zh-CN"/>
        </w:rPr>
        <w:t>》</w:t>
      </w:r>
      <w:r>
        <w:rPr>
          <w:rFonts w:hint="default" w:ascii="Arial" w:hAnsi="Arial" w:eastAsia="楷体_GB2312" w:cs="Arial"/>
          <w:color w:val="auto"/>
          <w:highlight w:val="none"/>
          <w:lang w:val="en-US" w:eastAsia="zh-CN"/>
        </w:rPr>
        <w:t>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_Toc29697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_Toc25665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3、 估价对象位置图</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_Toc25665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_Toc26010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4、 估价对象照片</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_Toc26010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_Toc1263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 xml:space="preserve">5、 </w:t>
      </w:r>
      <w:r>
        <w:rPr>
          <w:rFonts w:hint="default" w:ascii="Arial" w:hAnsi="Arial" w:eastAsia="楷体_GB2312" w:cs="Arial"/>
          <w:color w:val="auto"/>
          <w:highlight w:val="none"/>
          <w:lang w:eastAsia="zh-CN"/>
        </w:rPr>
        <w:t>《不动产登记信息》</w:t>
      </w:r>
      <w:r>
        <w:rPr>
          <w:rFonts w:hint="default" w:ascii="Arial" w:hAnsi="Arial" w:eastAsia="楷体_GB2312" w:cs="Arial"/>
          <w:color w:val="auto"/>
          <w:highlight w:val="none"/>
        </w:rPr>
        <w:t>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_Toc1263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_Toc12224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 xml:space="preserve">6、 </w:t>
      </w:r>
      <w:r>
        <w:rPr>
          <w:rFonts w:hint="default" w:ascii="Arial" w:hAnsi="Arial" w:eastAsia="楷体_GB2312" w:cs="Arial"/>
          <w:color w:val="auto"/>
          <w:highlight w:val="none"/>
          <w:lang w:eastAsia="zh-CN"/>
        </w:rPr>
        <w:t>《湖北省竹溪县人民法院执行裁定书》</w:t>
      </w:r>
      <w:r>
        <w:rPr>
          <w:rFonts w:hint="default" w:ascii="Arial" w:hAnsi="Arial" w:eastAsia="楷体_GB2312" w:cs="Arial"/>
          <w:color w:val="auto"/>
          <w:highlight w:val="none"/>
          <w:lang w:val="en-US" w:eastAsia="zh-CN"/>
        </w:rPr>
        <w:t>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_Toc12224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_Toc31757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7、 房地产估价机构营业执照复印件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_Toc31757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_Toc15192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8、 房地产估价机构资质证书复印件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_Toc15192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pStyle w:val="11"/>
        <w:tabs>
          <w:tab w:val="right" w:leader="dot" w:pos="8787"/>
          <w:tab w:val="clear" w:pos="8776"/>
        </w:tabs>
        <w:ind w:firstLine="560" w:firstLineChars="200"/>
        <w:rPr>
          <w:rFonts w:hint="default" w:ascii="Arial" w:hAnsi="Arial" w:eastAsia="楷体_GB2312" w:cs="Arial"/>
          <w:color w:val="auto"/>
          <w:highlight w:val="none"/>
        </w:rPr>
      </w:pP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HYPERLINK \l _Toc12694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9、 注册房地产估价师资格证书复印件</w:t>
      </w:r>
      <w:r>
        <w:rPr>
          <w:rFonts w:hint="default" w:ascii="Arial" w:hAnsi="Arial" w:eastAsia="楷体_GB2312" w:cs="Arial"/>
          <w:color w:val="auto"/>
          <w:highlight w:val="none"/>
        </w:rPr>
        <w:tab/>
      </w:r>
      <w:r>
        <w:rPr>
          <w:rFonts w:hint="default" w:ascii="Arial" w:hAnsi="Arial" w:eastAsia="楷体_GB2312" w:cs="Arial"/>
          <w:color w:val="auto"/>
          <w:highlight w:val="none"/>
        </w:rPr>
        <w:fldChar w:fldCharType="begin"/>
      </w:r>
      <w:r>
        <w:rPr>
          <w:rFonts w:hint="default" w:ascii="Arial" w:hAnsi="Arial" w:eastAsia="楷体_GB2312" w:cs="Arial"/>
          <w:color w:val="auto"/>
          <w:highlight w:val="none"/>
        </w:rPr>
        <w:instrText xml:space="preserve"> PAGEREF _Toc12694 \h </w:instrText>
      </w:r>
      <w:r>
        <w:rPr>
          <w:rFonts w:hint="default" w:ascii="Arial" w:hAnsi="Arial" w:eastAsia="楷体_GB2312" w:cs="Arial"/>
          <w:color w:val="auto"/>
          <w:highlight w:val="none"/>
        </w:rPr>
        <w:fldChar w:fldCharType="separate"/>
      </w:r>
      <w:r>
        <w:rPr>
          <w:rFonts w:hint="default" w:ascii="Arial" w:hAnsi="Arial" w:eastAsia="楷体_GB2312" w:cs="Arial"/>
          <w:color w:val="auto"/>
          <w:highlight w:val="none"/>
        </w:rPr>
        <w:t>19</w:t>
      </w:r>
      <w:r>
        <w:rPr>
          <w:rFonts w:hint="default" w:ascii="Arial" w:hAnsi="Arial" w:eastAsia="楷体_GB2312" w:cs="Arial"/>
          <w:color w:val="auto"/>
          <w:highlight w:val="none"/>
        </w:rPr>
        <w:fldChar w:fldCharType="end"/>
      </w:r>
      <w:r>
        <w:rPr>
          <w:rFonts w:hint="default" w:ascii="Arial" w:hAnsi="Arial" w:eastAsia="楷体_GB2312" w:cs="Arial"/>
          <w:color w:val="auto"/>
          <w:highlight w:val="none"/>
        </w:rPr>
        <w:fldChar w:fldCharType="end"/>
      </w:r>
    </w:p>
    <w:p>
      <w:pPr>
        <w:rPr>
          <w:rFonts w:hint="default" w:ascii="Arial" w:hAnsi="Arial" w:cs="Arial"/>
          <w:color w:val="auto"/>
          <w:highlight w:val="none"/>
        </w:rPr>
        <w:sectPr>
          <w:headerReference r:id="rId9" w:type="default"/>
          <w:footerReference r:id="rId10" w:type="default"/>
          <w:type w:val="nextColumn"/>
          <w:pgSz w:w="11906" w:h="16838"/>
          <w:pgMar w:top="1417" w:right="1418" w:bottom="1417" w:left="1418" w:header="964" w:footer="964" w:gutter="283"/>
          <w:pgNumType w:fmt="lowerRoman" w:start="1"/>
          <w:cols w:space="0" w:num="1"/>
          <w:docGrid w:linePitch="634" w:charSpace="-4096"/>
        </w:sectPr>
      </w:pPr>
      <w:r>
        <w:rPr>
          <w:rFonts w:hint="default" w:ascii="Arial" w:hAnsi="Arial" w:eastAsia="楷体_GB2312" w:cs="Arial"/>
          <w:color w:val="auto"/>
          <w:highlight w:val="none"/>
        </w:rPr>
        <w:fldChar w:fldCharType="end"/>
      </w:r>
    </w:p>
    <w:p>
      <w:pPr>
        <w:jc w:val="center"/>
        <w:outlineLvl w:val="0"/>
        <w:rPr>
          <w:rFonts w:ascii="Arial" w:hAnsi="Arial" w:cs="Arial"/>
          <w:b/>
          <w:bCs/>
          <w:color w:val="auto"/>
          <w:sz w:val="36"/>
          <w:highlight w:val="none"/>
        </w:rPr>
      </w:pPr>
      <w:bookmarkStart w:id="86" w:name="_Toc27601"/>
      <w:bookmarkStart w:id="87" w:name="_Toc130975217"/>
      <w:r>
        <w:rPr>
          <w:rFonts w:hint="eastAsia" w:ascii="Arial" w:hAnsi="Arial" w:cs="Arial"/>
          <w:b/>
          <w:bCs/>
          <w:color w:val="auto"/>
          <w:sz w:val="36"/>
          <w:highlight w:val="none"/>
        </w:rPr>
        <w:t>注册房地产</w:t>
      </w:r>
      <w:r>
        <w:rPr>
          <w:rFonts w:ascii="Arial" w:hAnsi="Arial" w:cs="Arial"/>
          <w:b/>
          <w:bCs/>
          <w:color w:val="auto"/>
          <w:sz w:val="36"/>
          <w:highlight w:val="none"/>
        </w:rPr>
        <w:t>估价师声明</w:t>
      </w:r>
      <w:bookmarkEnd w:id="86"/>
    </w:p>
    <w:p>
      <w:pPr>
        <w:spacing w:line="500" w:lineRule="exact"/>
        <w:ind w:firstLine="560" w:firstLineChars="200"/>
        <w:rPr>
          <w:rFonts w:ascii="Arial" w:hAnsi="Arial" w:eastAsia="仿宋_GB2312" w:cs="Arial"/>
          <w:color w:val="auto"/>
          <w:sz w:val="28"/>
          <w:highlight w:val="none"/>
        </w:rPr>
      </w:pP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我们</w:t>
      </w:r>
      <w:r>
        <w:rPr>
          <w:rFonts w:hint="eastAsia" w:ascii="Arial" w:hAnsi="Arial" w:eastAsia="仿宋_GB2312" w:cs="Arial"/>
          <w:color w:val="auto"/>
          <w:sz w:val="28"/>
          <w:highlight w:val="none"/>
        </w:rPr>
        <w:t>根据自己的专业知识和职业道德，在此</w:t>
      </w:r>
      <w:r>
        <w:rPr>
          <w:rFonts w:ascii="Arial" w:hAnsi="Arial" w:eastAsia="仿宋_GB2312" w:cs="Arial"/>
          <w:color w:val="auto"/>
          <w:sz w:val="28"/>
          <w:highlight w:val="none"/>
        </w:rPr>
        <w:t>郑重声明：</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（一）我们在本估价报告中对事实的说明是真实和准确的，没有虚假记载、误导性陈述和重大遗漏。</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（二）本估价报告中的分析、意见和结论是我们独立、客观、公正的专业分析、意见和结论，但受到本估价报告中已经说明的估价假设和限制条件的限制。</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（三）注册房地产估价师与估价报告中的估价对象没有现实或潜在的利益，与估价委托人及估价利害关系人没有利害关系，也对估价对象、估价委托人及利害关系人没有偏见</w:t>
      </w:r>
      <w:r>
        <w:rPr>
          <w:rFonts w:ascii="Arial" w:hAnsi="Arial" w:eastAsia="仿宋_GB2312" w:cs="Arial"/>
          <w:color w:val="auto"/>
          <w:sz w:val="28"/>
          <w:highlight w:val="none"/>
        </w:rPr>
        <w:t>。</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（四）我们是依照中华人民共和国国家标准</w:t>
      </w:r>
      <w:r>
        <w:rPr>
          <w:rFonts w:ascii="Arial" w:hAnsi="Arial" w:eastAsia="仿宋_GB2312" w:cs="Arial"/>
          <w:color w:val="auto"/>
          <w:sz w:val="28"/>
          <w:highlight w:val="none"/>
        </w:rPr>
        <w:t>《房地产估价规范》（GB/T50291-2015）、《房地产估价基本术语标准》（GB/T50899-2013）</w:t>
      </w:r>
      <w:r>
        <w:rPr>
          <w:rFonts w:hint="eastAsia" w:ascii="Arial" w:hAnsi="Arial" w:eastAsia="仿宋_GB2312" w:cs="Arial"/>
          <w:color w:val="auto"/>
          <w:sz w:val="28"/>
          <w:highlight w:val="none"/>
        </w:rPr>
        <w:t>进行工作，撰写本估价报告。</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（五）</w:t>
      </w:r>
      <w:r>
        <w:rPr>
          <w:rFonts w:ascii="Arial" w:hAnsi="Arial" w:eastAsia="仿宋_GB2312" w:cs="Arial"/>
          <w:color w:val="auto"/>
          <w:sz w:val="28"/>
          <w:highlight w:val="none"/>
        </w:rPr>
        <w:t>我们在本估价项目中没有得到他人的重要专业帮助</w:t>
      </w:r>
      <w:r>
        <w:rPr>
          <w:rFonts w:hint="eastAsia" w:ascii="Arial" w:hAnsi="Arial" w:eastAsia="仿宋_GB2312" w:cs="Arial"/>
          <w:color w:val="auto"/>
          <w:sz w:val="28"/>
          <w:highlight w:val="none"/>
        </w:rPr>
        <w:t>。</w:t>
      </w:r>
    </w:p>
    <w:p>
      <w:pPr>
        <w:spacing w:line="400" w:lineRule="exact"/>
        <w:ind w:firstLine="560" w:firstLineChars="200"/>
        <w:rPr>
          <w:rFonts w:ascii="Arial" w:hAnsi="Arial" w:eastAsia="仿宋_GB2312" w:cs="Arial"/>
          <w:color w:val="auto"/>
          <w:sz w:val="28"/>
          <w:highlight w:val="none"/>
        </w:rPr>
      </w:pPr>
    </w:p>
    <w:p>
      <w:pPr>
        <w:tabs>
          <w:tab w:val="left" w:pos="735"/>
        </w:tabs>
        <w:overflowPunct w:val="0"/>
        <w:spacing w:line="4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注册房地产估价师</w:t>
      </w:r>
    </w:p>
    <w:p>
      <w:pPr>
        <w:tabs>
          <w:tab w:val="left" w:pos="735"/>
        </w:tabs>
        <w:overflowPunct w:val="0"/>
        <w:spacing w:line="400" w:lineRule="exact"/>
        <w:jc w:val="center"/>
        <w:rPr>
          <w:rFonts w:ascii="仿宋_GB2312" w:eastAsia="仿宋_GB2312"/>
          <w:color w:val="auto"/>
          <w:sz w:val="28"/>
          <w:szCs w:val="28"/>
          <w:highlight w:val="none"/>
        </w:rPr>
      </w:pPr>
    </w:p>
    <w:tbl>
      <w:tblPr>
        <w:tblStyle w:val="15"/>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50" w:type="dxa"/>
            <w:vAlign w:val="center"/>
          </w:tcPr>
          <w:p>
            <w:pPr>
              <w:tabs>
                <w:tab w:val="left" w:pos="735"/>
              </w:tabs>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姓名</w:t>
            </w:r>
          </w:p>
        </w:tc>
        <w:tc>
          <w:tcPr>
            <w:tcW w:w="2250"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注册号</w:t>
            </w:r>
          </w:p>
        </w:tc>
        <w:tc>
          <w:tcPr>
            <w:tcW w:w="2251"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签名</w:t>
            </w:r>
          </w:p>
        </w:tc>
        <w:tc>
          <w:tcPr>
            <w:tcW w:w="2251"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50" w:type="dxa"/>
            <w:vAlign w:val="center"/>
          </w:tcPr>
          <w:p>
            <w:pPr>
              <w:tabs>
                <w:tab w:val="left" w:pos="735"/>
              </w:tabs>
              <w:wordWrap w:val="0"/>
              <w:overflowPunct w:val="0"/>
              <w:spacing w:line="312" w:lineRule="auto"/>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吴锦霞</w:t>
            </w:r>
          </w:p>
        </w:tc>
        <w:tc>
          <w:tcPr>
            <w:tcW w:w="2250" w:type="dxa"/>
            <w:vAlign w:val="center"/>
          </w:tcPr>
          <w:p>
            <w:pPr>
              <w:tabs>
                <w:tab w:val="left" w:pos="735"/>
              </w:tabs>
              <w:wordWrap w:val="0"/>
              <w:overflowPunct w:val="0"/>
              <w:spacing w:line="312" w:lineRule="auto"/>
              <w:jc w:val="center"/>
              <w:rPr>
                <w:rFonts w:ascii="Arial" w:hAnsi="Arial" w:eastAsia="仿宋_GB2312" w:cs="Arial"/>
                <w:color w:val="auto"/>
                <w:sz w:val="28"/>
                <w:szCs w:val="28"/>
                <w:highlight w:val="none"/>
              </w:rPr>
            </w:pPr>
            <w:r>
              <w:rPr>
                <w:rFonts w:ascii="Arial" w:hAnsi="Arial" w:eastAsia="仿宋_GB2312" w:cs="Arial"/>
                <w:color w:val="auto"/>
                <w:sz w:val="28"/>
                <w:szCs w:val="28"/>
                <w:highlight w:val="none"/>
              </w:rPr>
              <w:t>4220170016</w:t>
            </w:r>
          </w:p>
        </w:tc>
        <w:tc>
          <w:tcPr>
            <w:tcW w:w="2251" w:type="dxa"/>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c>
          <w:tcPr>
            <w:tcW w:w="2251" w:type="dxa"/>
            <w:vAlign w:val="center"/>
          </w:tcPr>
          <w:p>
            <w:pPr>
              <w:tabs>
                <w:tab w:val="left" w:pos="735"/>
              </w:tabs>
              <w:wordWrap w:val="0"/>
              <w:overflowPunct w:val="0"/>
              <w:spacing w:line="312" w:lineRule="auto"/>
              <w:jc w:val="center"/>
              <w:rPr>
                <w:rFonts w:ascii="Arial" w:hAnsi="Arial" w:eastAsia="仿宋_GB2312"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250" w:type="dxa"/>
            <w:vAlign w:val="center"/>
          </w:tcPr>
          <w:p>
            <w:pPr>
              <w:tabs>
                <w:tab w:val="left" w:pos="735"/>
              </w:tabs>
              <w:wordWrap w:val="0"/>
              <w:overflowPunct w:val="0"/>
              <w:spacing w:line="312" w:lineRule="auto"/>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戴  娜</w:t>
            </w:r>
          </w:p>
        </w:tc>
        <w:tc>
          <w:tcPr>
            <w:tcW w:w="2250" w:type="dxa"/>
            <w:vAlign w:val="center"/>
          </w:tcPr>
          <w:p>
            <w:pPr>
              <w:tabs>
                <w:tab w:val="left" w:pos="735"/>
              </w:tabs>
              <w:wordWrap w:val="0"/>
              <w:overflowPunct w:val="0"/>
              <w:spacing w:line="312" w:lineRule="auto"/>
              <w:jc w:val="center"/>
              <w:rPr>
                <w:rFonts w:hint="eastAsia" w:ascii="仿宋_GB2312" w:eastAsia="仿宋_GB2312"/>
                <w:color w:val="auto"/>
                <w:sz w:val="28"/>
                <w:szCs w:val="28"/>
                <w:highlight w:val="none"/>
                <w:lang w:eastAsia="zh-CN"/>
              </w:rPr>
            </w:pPr>
            <w:r>
              <w:rPr>
                <w:rFonts w:hint="eastAsia" w:ascii="Arial" w:hAnsi="Arial" w:eastAsia="仿宋_GB2312" w:cs="Arial"/>
                <w:color w:val="auto"/>
                <w:sz w:val="28"/>
                <w:szCs w:val="28"/>
                <w:highlight w:val="none"/>
                <w:lang w:eastAsia="zh-CN"/>
              </w:rPr>
              <w:t>4220180052</w:t>
            </w:r>
          </w:p>
        </w:tc>
        <w:tc>
          <w:tcPr>
            <w:tcW w:w="2251" w:type="dxa"/>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c>
          <w:tcPr>
            <w:tcW w:w="2251" w:type="dxa"/>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r>
    </w:tbl>
    <w:p>
      <w:pPr>
        <w:tabs>
          <w:tab w:val="left" w:pos="735"/>
        </w:tabs>
        <w:overflowPunct w:val="0"/>
        <w:spacing w:line="400" w:lineRule="exact"/>
        <w:jc w:val="center"/>
        <w:rPr>
          <w:rFonts w:ascii="仿宋_GB2312" w:eastAsia="仿宋_GB2312"/>
          <w:color w:val="auto"/>
          <w:sz w:val="28"/>
          <w:szCs w:val="28"/>
          <w:highlight w:val="none"/>
        </w:rPr>
      </w:pPr>
    </w:p>
    <w:p>
      <w:pPr>
        <w:jc w:val="center"/>
        <w:outlineLvl w:val="0"/>
        <w:rPr>
          <w:rFonts w:ascii="Arial" w:hAnsi="Arial" w:cs="Arial"/>
          <w:b/>
          <w:bCs/>
          <w:color w:val="auto"/>
          <w:sz w:val="36"/>
          <w:szCs w:val="20"/>
          <w:highlight w:val="none"/>
        </w:rPr>
      </w:pPr>
    </w:p>
    <w:p>
      <w:pPr>
        <w:jc w:val="center"/>
        <w:outlineLvl w:val="0"/>
        <w:rPr>
          <w:rFonts w:ascii="Arial" w:hAnsi="Arial" w:cs="Arial"/>
          <w:b/>
          <w:bCs/>
          <w:color w:val="auto"/>
          <w:sz w:val="36"/>
          <w:szCs w:val="20"/>
          <w:highlight w:val="none"/>
        </w:rPr>
      </w:pPr>
      <w:r>
        <w:rPr>
          <w:rFonts w:ascii="Arial" w:hAnsi="Arial" w:cs="Arial"/>
          <w:b/>
          <w:bCs/>
          <w:color w:val="auto"/>
          <w:sz w:val="36"/>
          <w:szCs w:val="20"/>
          <w:highlight w:val="none"/>
        </w:rPr>
        <w:br w:type="page"/>
      </w:r>
      <w:bookmarkStart w:id="88" w:name="_Toc24537"/>
      <w:r>
        <w:rPr>
          <w:rFonts w:ascii="Arial" w:hAnsi="Arial" w:cs="Arial"/>
          <w:b/>
          <w:bCs/>
          <w:color w:val="auto"/>
          <w:sz w:val="36"/>
          <w:szCs w:val="20"/>
          <w:highlight w:val="none"/>
        </w:rPr>
        <w:t>估价的假设和限制条件</w:t>
      </w:r>
      <w:bookmarkEnd w:id="87"/>
      <w:bookmarkEnd w:id="88"/>
    </w:p>
    <w:p>
      <w:pPr>
        <w:spacing w:line="530" w:lineRule="exact"/>
        <w:rPr>
          <w:rFonts w:ascii="Arial" w:hAnsi="Arial" w:eastAsia="仿宋_GB2312" w:cs="Arial"/>
          <w:color w:val="auto"/>
          <w:sz w:val="28"/>
          <w:highlight w:val="none"/>
        </w:rPr>
      </w:pPr>
    </w:p>
    <w:p>
      <w:pPr>
        <w:spacing w:line="530" w:lineRule="exact"/>
        <w:ind w:firstLine="561"/>
        <w:rPr>
          <w:rFonts w:ascii="Arial" w:hAnsi="Arial" w:eastAsia="仿宋_GB2312" w:cs="Arial"/>
          <w:b/>
          <w:color w:val="auto"/>
          <w:sz w:val="28"/>
          <w:highlight w:val="none"/>
        </w:rPr>
      </w:pPr>
      <w:r>
        <w:rPr>
          <w:rFonts w:hint="eastAsia" w:ascii="Arial" w:hAnsi="Arial" w:eastAsia="仿宋_GB2312" w:cs="Arial"/>
          <w:b/>
          <w:color w:val="auto"/>
          <w:sz w:val="28"/>
          <w:highlight w:val="none"/>
        </w:rPr>
        <w:t>（</w:t>
      </w:r>
      <w:r>
        <w:rPr>
          <w:rFonts w:ascii="Arial" w:hAnsi="Arial" w:eastAsia="仿宋_GB2312" w:cs="Arial"/>
          <w:b/>
          <w:color w:val="auto"/>
          <w:sz w:val="28"/>
          <w:highlight w:val="none"/>
        </w:rPr>
        <w:t>一</w:t>
      </w:r>
      <w:r>
        <w:rPr>
          <w:rFonts w:hint="eastAsia" w:ascii="Arial" w:hAnsi="Arial" w:eastAsia="仿宋_GB2312" w:cs="Arial"/>
          <w:b/>
          <w:color w:val="auto"/>
          <w:sz w:val="28"/>
          <w:highlight w:val="none"/>
        </w:rPr>
        <w:t>）一般</w:t>
      </w:r>
      <w:r>
        <w:rPr>
          <w:rFonts w:ascii="Arial" w:hAnsi="Arial" w:eastAsia="仿宋_GB2312" w:cs="Arial"/>
          <w:b/>
          <w:color w:val="auto"/>
          <w:sz w:val="28"/>
          <w:highlight w:val="none"/>
        </w:rPr>
        <w:t>假设</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1、本次评估是以</w:t>
      </w:r>
      <w:r>
        <w:rPr>
          <w:rFonts w:ascii="Arial" w:hAnsi="Arial" w:eastAsia="仿宋_GB2312" w:cs="Arial"/>
          <w:color w:val="auto"/>
          <w:sz w:val="28"/>
          <w:highlight w:val="none"/>
        </w:rPr>
        <w:t>估价对象</w:t>
      </w:r>
      <w:r>
        <w:rPr>
          <w:rFonts w:hint="eastAsia" w:ascii="Arial" w:hAnsi="Arial" w:eastAsia="仿宋_GB2312" w:cs="Arial"/>
          <w:color w:val="auto"/>
          <w:sz w:val="28"/>
          <w:highlight w:val="none"/>
        </w:rPr>
        <w:t>在价值时点时的房地产</w:t>
      </w:r>
      <w:r>
        <w:rPr>
          <w:rFonts w:ascii="Arial" w:hAnsi="Arial" w:eastAsia="仿宋_GB2312" w:cs="Arial"/>
          <w:color w:val="auto"/>
          <w:sz w:val="28"/>
          <w:highlight w:val="none"/>
        </w:rPr>
        <w:t>状况</w:t>
      </w:r>
      <w:r>
        <w:rPr>
          <w:rFonts w:hint="eastAsia" w:ascii="Arial" w:hAnsi="Arial" w:eastAsia="仿宋_GB2312" w:cs="Arial"/>
          <w:color w:val="auto"/>
          <w:sz w:val="28"/>
          <w:highlight w:val="none"/>
        </w:rPr>
        <w:t>为依据进行的。</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2、</w:t>
      </w:r>
      <w:r>
        <w:rPr>
          <w:rFonts w:ascii="Arial" w:hAnsi="Arial" w:eastAsia="仿宋_GB2312" w:cs="Arial"/>
          <w:color w:val="auto"/>
          <w:sz w:val="28"/>
          <w:highlight w:val="none"/>
        </w:rPr>
        <w:t>我们假设在估价对象土地使用权法定年期内，该物业所有权人对该物业享有自由及不受干预的使用、转让、收益、处分等合法权益</w:t>
      </w:r>
      <w:r>
        <w:rPr>
          <w:rFonts w:hint="eastAsia" w:ascii="Arial" w:hAnsi="Arial" w:eastAsia="仿宋_GB2312" w:cs="Arial"/>
          <w:color w:val="auto"/>
          <w:sz w:val="28"/>
          <w:highlight w:val="none"/>
        </w:rPr>
        <w:t>。</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3、估价委托人提供了估价对象的</w:t>
      </w:r>
      <w:r>
        <w:rPr>
          <w:rFonts w:hint="eastAsia" w:ascii="Arial" w:hAnsi="Arial" w:eastAsia="仿宋_GB2312" w:cs="Arial"/>
          <w:color w:val="auto"/>
          <w:sz w:val="28"/>
          <w:highlight w:val="none"/>
          <w:lang w:eastAsia="zh-CN"/>
        </w:rPr>
        <w:t>《不动产登记信息》</w:t>
      </w:r>
      <w:r>
        <w:rPr>
          <w:rFonts w:hint="eastAsia" w:ascii="Arial" w:hAnsi="Arial" w:eastAsia="仿宋_GB2312" w:cs="Arial"/>
          <w:color w:val="auto"/>
          <w:sz w:val="28"/>
          <w:highlight w:val="none"/>
          <w:lang w:val="en-US" w:eastAsia="zh-CN"/>
        </w:rPr>
        <w:t>复印件</w:t>
      </w:r>
      <w:r>
        <w:rPr>
          <w:rFonts w:hint="eastAsia" w:ascii="Arial" w:hAnsi="Arial" w:eastAsia="仿宋_GB2312" w:cs="Arial"/>
          <w:color w:val="auto"/>
          <w:sz w:val="28"/>
          <w:highlight w:val="none"/>
        </w:rPr>
        <w:t>、</w:t>
      </w:r>
      <w:r>
        <w:rPr>
          <w:rFonts w:hint="eastAsia" w:ascii="Arial" w:hAnsi="Arial" w:eastAsia="仿宋_GB2312" w:cs="Arial"/>
          <w:color w:val="auto"/>
          <w:sz w:val="28"/>
          <w:highlight w:val="none"/>
          <w:lang w:eastAsia="zh-CN"/>
        </w:rPr>
        <w:t>《湖北省竹溪县人民法院执行裁定书》</w:t>
      </w:r>
      <w:r>
        <w:rPr>
          <w:rFonts w:hint="eastAsia" w:ascii="Arial" w:hAnsi="Arial" w:eastAsia="仿宋_GB2312" w:cs="Arial"/>
          <w:color w:val="auto"/>
          <w:sz w:val="28"/>
          <w:highlight w:val="none"/>
        </w:rPr>
        <w:t>等产权资料，估价人员对上述资料进行了审慎检查，本次评估以估价委托人提供的与估价对象有关的法律文件、权属证明及相关资料真实、准确、合法为前提</w:t>
      </w:r>
      <w:r>
        <w:rPr>
          <w:rFonts w:ascii="Arial" w:hAnsi="Arial" w:eastAsia="仿宋_GB2312" w:cs="Arial"/>
          <w:color w:val="auto"/>
          <w:sz w:val="28"/>
          <w:highlight w:val="none"/>
        </w:rPr>
        <w:t>。</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4、本次评估假定估价对象已经处在交易过程中，可以模拟市场状况进行估价。</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5、本次评估假定估价对象所处市场为公开市场，在该市场上交易双方地位平等，彼此都有获取足够市场信息的机会和时间，双方的交易行为都是在自愿的、理智的，而非强制或不受限制的条件下进行的。</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6</w:t>
      </w:r>
      <w:r>
        <w:rPr>
          <w:rFonts w:ascii="Arial" w:hAnsi="Arial" w:eastAsia="仿宋_GB2312" w:cs="Arial"/>
          <w:color w:val="auto"/>
          <w:sz w:val="28"/>
          <w:highlight w:val="none"/>
        </w:rPr>
        <w:t>、本次</w:t>
      </w:r>
      <w:r>
        <w:rPr>
          <w:rFonts w:hint="eastAsia" w:ascii="Arial" w:hAnsi="Arial" w:eastAsia="仿宋_GB2312" w:cs="Arial"/>
          <w:color w:val="auto"/>
          <w:sz w:val="28"/>
          <w:highlight w:val="none"/>
        </w:rPr>
        <w:t>评估</w:t>
      </w:r>
      <w:r>
        <w:rPr>
          <w:rFonts w:ascii="Arial" w:hAnsi="Arial" w:eastAsia="仿宋_GB2312" w:cs="Arial"/>
          <w:color w:val="auto"/>
          <w:sz w:val="28"/>
          <w:highlight w:val="none"/>
        </w:rPr>
        <w:t>中估价对象的建筑面积来源于</w:t>
      </w:r>
      <w:r>
        <w:rPr>
          <w:rFonts w:hint="eastAsia" w:ascii="Arial" w:hAnsi="Arial" w:eastAsia="仿宋_GB2312" w:cs="Arial"/>
          <w:color w:val="auto"/>
          <w:sz w:val="28"/>
          <w:highlight w:val="none"/>
        </w:rPr>
        <w:t>估价委托人提供的</w:t>
      </w:r>
      <w:r>
        <w:rPr>
          <w:rFonts w:hint="eastAsia" w:ascii="Arial" w:hAnsi="Arial" w:eastAsia="仿宋_GB2312" w:cs="Arial"/>
          <w:color w:val="auto"/>
          <w:sz w:val="28"/>
          <w:highlight w:val="none"/>
          <w:lang w:eastAsia="zh-CN"/>
        </w:rPr>
        <w:t>《不动产登记信息》</w:t>
      </w:r>
      <w:r>
        <w:rPr>
          <w:rFonts w:ascii="Arial" w:hAnsi="Arial" w:eastAsia="仿宋_GB2312" w:cs="Arial"/>
          <w:color w:val="auto"/>
          <w:sz w:val="28"/>
          <w:highlight w:val="none"/>
        </w:rPr>
        <w:t>。注册房地产估价师</w:t>
      </w:r>
      <w:r>
        <w:rPr>
          <w:rFonts w:hint="eastAsia" w:ascii="Arial" w:hAnsi="Arial" w:eastAsia="仿宋_GB2312" w:cs="Arial"/>
          <w:color w:val="auto"/>
          <w:sz w:val="28"/>
          <w:highlight w:val="none"/>
        </w:rPr>
        <w:t>不</w:t>
      </w:r>
      <w:r>
        <w:rPr>
          <w:rFonts w:ascii="Arial" w:hAnsi="Arial" w:eastAsia="仿宋_GB2312" w:cs="Arial"/>
          <w:color w:val="auto"/>
          <w:sz w:val="28"/>
          <w:highlight w:val="none"/>
        </w:rPr>
        <w:t>对房屋建筑面积进行专业测量，经实地查勘观察，估价对象房屋建筑面积与</w:t>
      </w:r>
      <w:r>
        <w:rPr>
          <w:rFonts w:hint="eastAsia" w:ascii="Arial" w:hAnsi="Arial" w:eastAsia="仿宋_GB2312" w:cs="Arial"/>
          <w:color w:val="auto"/>
          <w:sz w:val="28"/>
          <w:highlight w:val="none"/>
          <w:lang w:eastAsia="zh-CN"/>
        </w:rPr>
        <w:t>《不动产登记信息》</w:t>
      </w:r>
      <w:r>
        <w:rPr>
          <w:rFonts w:ascii="Arial" w:hAnsi="Arial" w:eastAsia="仿宋_GB2312" w:cs="Arial"/>
          <w:color w:val="auto"/>
          <w:sz w:val="28"/>
          <w:highlight w:val="none"/>
        </w:rPr>
        <w:t>记载的建筑面积大体相当。</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7、</w:t>
      </w:r>
      <w:r>
        <w:rPr>
          <w:rFonts w:ascii="Arial" w:hAnsi="Arial" w:eastAsia="仿宋_GB2312" w:cs="Arial"/>
          <w:color w:val="auto"/>
          <w:sz w:val="28"/>
          <w:highlight w:val="none"/>
        </w:rPr>
        <w:t>估价对象房屋</w:t>
      </w:r>
      <w:r>
        <w:rPr>
          <w:rFonts w:hint="eastAsia" w:ascii="Arial" w:hAnsi="Arial" w:eastAsia="仿宋_GB2312" w:cs="Arial"/>
          <w:color w:val="auto"/>
          <w:sz w:val="28"/>
          <w:highlight w:val="none"/>
        </w:rPr>
        <w:t>登记</w:t>
      </w:r>
      <w:r>
        <w:rPr>
          <w:rFonts w:ascii="Arial" w:hAnsi="Arial" w:eastAsia="仿宋_GB2312" w:cs="Arial"/>
          <w:color w:val="auto"/>
          <w:sz w:val="28"/>
          <w:highlight w:val="none"/>
        </w:rPr>
        <w:t>用途为</w:t>
      </w:r>
      <w:r>
        <w:rPr>
          <w:rFonts w:hint="eastAsia" w:ascii="Arial" w:hAnsi="Arial" w:eastAsia="仿宋_GB2312" w:cs="Arial"/>
          <w:color w:val="auto"/>
          <w:sz w:val="28"/>
          <w:highlight w:val="none"/>
        </w:rPr>
        <w:t>住宅</w:t>
      </w:r>
      <w:r>
        <w:rPr>
          <w:rFonts w:ascii="Arial" w:hAnsi="Arial" w:eastAsia="仿宋_GB2312" w:cs="Arial"/>
          <w:color w:val="auto"/>
          <w:sz w:val="28"/>
          <w:highlight w:val="none"/>
        </w:rPr>
        <w:t>，</w:t>
      </w:r>
      <w:r>
        <w:rPr>
          <w:rFonts w:hint="eastAsia" w:ascii="Arial" w:hAnsi="Arial" w:eastAsia="仿宋_GB2312" w:cs="Arial"/>
          <w:color w:val="auto"/>
          <w:sz w:val="28"/>
          <w:highlight w:val="none"/>
        </w:rPr>
        <w:t>实际用途为住宅</w:t>
      </w:r>
      <w:r>
        <w:rPr>
          <w:rFonts w:ascii="Arial" w:hAnsi="Arial" w:eastAsia="仿宋_GB2312" w:cs="Arial"/>
          <w:color w:val="auto"/>
          <w:sz w:val="28"/>
          <w:highlight w:val="none"/>
        </w:rPr>
        <w:t>，遵循合法原则并进行最高最佳利用分析，估价对象在合法前提下的最高最佳利用用途</w:t>
      </w:r>
      <w:r>
        <w:rPr>
          <w:rFonts w:hint="eastAsia" w:ascii="Arial" w:hAnsi="Arial" w:eastAsia="仿宋_GB2312" w:cs="Arial"/>
          <w:color w:val="auto"/>
          <w:sz w:val="28"/>
          <w:highlight w:val="none"/>
        </w:rPr>
        <w:t>为住宅。本次评估以估价对象能以登记用途持续使用为前提。</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8、估价对象土地使用权类型为出让，估价结果已考虑该因素对房地产价格的影响。</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9、注册房地产估价师对估价对象的实地查勘仅限于对估价对象的外观和使用状况的一般性查看，未对主体结构、隐蔽工程等内在质量进行专业测试。本报告以估价对象内在质量符合国家有关标准并足以维持其正常使用为前提。</w:t>
      </w:r>
    </w:p>
    <w:p>
      <w:pPr>
        <w:spacing w:line="530" w:lineRule="exact"/>
        <w:ind w:firstLine="560"/>
        <w:rPr>
          <w:rFonts w:ascii="Arial" w:hAnsi="Arial" w:eastAsia="仿宋_GB2312" w:cs="Arial"/>
          <w:color w:val="auto"/>
          <w:sz w:val="28"/>
          <w:highlight w:val="none"/>
        </w:rPr>
      </w:pPr>
      <w:r>
        <w:rPr>
          <w:rFonts w:hint="eastAsia" w:ascii="Arial" w:hAnsi="Arial" w:eastAsia="仿宋_GB2312" w:cs="Arial"/>
          <w:color w:val="auto"/>
          <w:sz w:val="28"/>
          <w:highlight w:val="none"/>
        </w:rPr>
        <w:t>10、假设在估价报告使用期限内，国家的产业政策、金融政策、税收政策等宏观环境相对稳定；估价对象现时状况和内外部条件无重大变化。</w:t>
      </w:r>
    </w:p>
    <w:p>
      <w:pPr>
        <w:spacing w:line="530" w:lineRule="exact"/>
        <w:ind w:firstLine="561"/>
        <w:rPr>
          <w:rFonts w:ascii="Arial" w:hAnsi="Arial" w:eastAsia="仿宋_GB2312" w:cs="Arial"/>
          <w:color w:val="auto"/>
          <w:sz w:val="28"/>
          <w:highlight w:val="none"/>
        </w:rPr>
      </w:pPr>
      <w:r>
        <w:rPr>
          <w:rFonts w:hint="eastAsia" w:ascii="Arial" w:hAnsi="Arial" w:eastAsia="仿宋_GB2312" w:cs="Arial"/>
          <w:color w:val="auto"/>
          <w:sz w:val="28"/>
          <w:highlight w:val="none"/>
        </w:rPr>
        <w:t>11、注册房地产估价师于2022年</w:t>
      </w:r>
      <w:r>
        <w:rPr>
          <w:rFonts w:hint="eastAsia" w:ascii="Arial" w:hAnsi="Arial" w:eastAsia="仿宋_GB2312" w:cs="Arial"/>
          <w:color w:val="auto"/>
          <w:sz w:val="28"/>
          <w:highlight w:val="none"/>
          <w:lang w:val="en-US" w:eastAsia="zh-CN"/>
        </w:rPr>
        <w:t>5</w:t>
      </w:r>
      <w:r>
        <w:rPr>
          <w:rFonts w:hint="eastAsia" w:ascii="Arial" w:hAnsi="Arial" w:eastAsia="仿宋_GB2312" w:cs="Arial"/>
          <w:color w:val="auto"/>
          <w:sz w:val="28"/>
          <w:highlight w:val="none"/>
        </w:rPr>
        <w:t>月</w:t>
      </w:r>
      <w:r>
        <w:rPr>
          <w:rFonts w:hint="eastAsia" w:ascii="Arial" w:hAnsi="Arial" w:eastAsia="仿宋_GB2312" w:cs="Arial"/>
          <w:color w:val="auto"/>
          <w:sz w:val="28"/>
          <w:highlight w:val="none"/>
          <w:lang w:val="en-US" w:eastAsia="zh-CN"/>
        </w:rPr>
        <w:t>23</w:t>
      </w:r>
      <w:r>
        <w:rPr>
          <w:rFonts w:hint="eastAsia" w:ascii="Arial" w:hAnsi="Arial" w:eastAsia="仿宋_GB2312" w:cs="Arial"/>
          <w:color w:val="auto"/>
          <w:sz w:val="28"/>
          <w:highlight w:val="none"/>
        </w:rPr>
        <w:t>日与</w:t>
      </w:r>
      <w:r>
        <w:rPr>
          <w:rFonts w:hint="eastAsia" w:ascii="Arial" w:hAnsi="Arial" w:eastAsia="仿宋_GB2312" w:cs="Arial"/>
          <w:color w:val="auto"/>
          <w:sz w:val="28"/>
          <w:highlight w:val="none"/>
          <w:lang w:val="en-US" w:eastAsia="zh-CN"/>
        </w:rPr>
        <w:t>估价</w:t>
      </w:r>
      <w:r>
        <w:rPr>
          <w:rFonts w:hint="eastAsia" w:ascii="Arial" w:hAnsi="Arial" w:eastAsia="仿宋_GB2312" w:cs="Arial"/>
          <w:color w:val="auto"/>
          <w:sz w:val="28"/>
          <w:highlight w:val="none"/>
        </w:rPr>
        <w:t>委托人代表共同对估价对象进行了实地查勘，并进行了现场拍照（实地查勘照片见附件）。</w:t>
      </w:r>
    </w:p>
    <w:p>
      <w:pPr>
        <w:spacing w:line="530" w:lineRule="exact"/>
        <w:ind w:firstLine="561"/>
        <w:rPr>
          <w:rFonts w:ascii="Arial" w:hAnsi="Arial" w:eastAsia="仿宋_GB2312" w:cs="Arial"/>
          <w:color w:val="auto"/>
          <w:sz w:val="28"/>
          <w:highlight w:val="none"/>
        </w:rPr>
      </w:pPr>
      <w:r>
        <w:rPr>
          <w:rFonts w:hint="eastAsia" w:ascii="Arial" w:hAnsi="Arial" w:eastAsia="仿宋_GB2312" w:cs="Arial"/>
          <w:color w:val="auto"/>
          <w:sz w:val="28"/>
          <w:highlight w:val="none"/>
        </w:rPr>
        <w:t>12、</w:t>
      </w:r>
      <w:r>
        <w:rPr>
          <w:rFonts w:ascii="Arial" w:hAnsi="Arial" w:eastAsia="仿宋_GB2312" w:cs="Arial"/>
          <w:color w:val="auto"/>
          <w:sz w:val="28"/>
          <w:highlight w:val="none"/>
        </w:rPr>
        <w:t>估价对象由</w:t>
      </w:r>
      <w:r>
        <w:rPr>
          <w:rFonts w:hint="eastAsia" w:ascii="Arial" w:hAnsi="Arial" w:eastAsia="仿宋_GB2312" w:cs="Arial"/>
          <w:color w:val="auto"/>
          <w:sz w:val="28"/>
          <w:highlight w:val="none"/>
        </w:rPr>
        <w:t>估价委托人</w:t>
      </w:r>
      <w:r>
        <w:rPr>
          <w:rFonts w:ascii="Arial" w:hAnsi="Arial" w:eastAsia="仿宋_GB2312" w:cs="Arial"/>
          <w:color w:val="auto"/>
          <w:sz w:val="28"/>
          <w:highlight w:val="none"/>
        </w:rPr>
        <w:t>现场指认，估价人员根据估价委托人提供的产权资料进行了必要的审慎核实。本次估价以估价委托人领勘准确无误为估价前提。若与实际不符，应重新估价</w:t>
      </w:r>
      <w:r>
        <w:rPr>
          <w:rFonts w:hint="eastAsia" w:ascii="Arial" w:hAnsi="Arial" w:eastAsia="仿宋_GB2312" w:cs="Arial"/>
          <w:color w:val="auto"/>
          <w:sz w:val="28"/>
          <w:highlight w:val="none"/>
        </w:rPr>
        <w:t>。</w:t>
      </w:r>
    </w:p>
    <w:p>
      <w:pPr>
        <w:spacing w:line="530" w:lineRule="exact"/>
        <w:ind w:firstLine="561"/>
        <w:rPr>
          <w:rFonts w:hint="eastAsia" w:ascii="Arial" w:hAnsi="Arial" w:eastAsia="仿宋_GB2312" w:cs="Arial"/>
          <w:color w:val="auto"/>
          <w:sz w:val="28"/>
          <w:highlight w:val="none"/>
        </w:rPr>
      </w:pPr>
      <w:r>
        <w:rPr>
          <w:rFonts w:hint="eastAsia" w:ascii="Arial" w:hAnsi="Arial" w:eastAsia="仿宋_GB2312" w:cs="Arial"/>
          <w:color w:val="auto"/>
          <w:sz w:val="28"/>
          <w:highlight w:val="none"/>
        </w:rPr>
        <w:t>13、实地查勘时，我公司注册房地产估价师在</w:t>
      </w:r>
      <w:r>
        <w:rPr>
          <w:rFonts w:hint="eastAsia" w:ascii="Arial" w:hAnsi="Arial" w:eastAsia="仿宋_GB2312" w:cs="Arial"/>
          <w:color w:val="auto"/>
          <w:sz w:val="28"/>
          <w:highlight w:val="none"/>
          <w:lang w:val="en-US" w:eastAsia="zh-CN"/>
        </w:rPr>
        <w:t>小区</w:t>
      </w:r>
      <w:r>
        <w:rPr>
          <w:rFonts w:hint="eastAsia" w:ascii="Arial" w:hAnsi="Arial" w:eastAsia="仿宋_GB2312" w:cs="Arial"/>
          <w:color w:val="auto"/>
          <w:sz w:val="28"/>
          <w:highlight w:val="none"/>
        </w:rPr>
        <w:t>物业管理处调查了解，估价对象于价值时点存在欠缴物业服务费用情况，其具体欠缴费用金额</w:t>
      </w:r>
      <w:r>
        <w:rPr>
          <w:rFonts w:hint="eastAsia" w:ascii="Arial" w:hAnsi="Arial" w:eastAsia="仿宋_GB2312" w:cs="Arial"/>
          <w:color w:val="auto"/>
          <w:sz w:val="28"/>
          <w:highlight w:val="none"/>
          <w:lang w:val="en-US" w:eastAsia="zh-CN"/>
        </w:rPr>
        <w:t>最终以小区物业出具证明为准</w:t>
      </w:r>
      <w:r>
        <w:rPr>
          <w:rFonts w:hint="eastAsia" w:ascii="Arial" w:hAnsi="Arial" w:eastAsia="仿宋_GB2312" w:cs="Arial"/>
          <w:color w:val="auto"/>
          <w:sz w:val="28"/>
          <w:highlight w:val="none"/>
        </w:rPr>
        <w:t>，本次评估不考虑该欠缴物业</w:t>
      </w:r>
      <w:r>
        <w:rPr>
          <w:rFonts w:hint="eastAsia" w:ascii="Arial" w:hAnsi="Arial" w:eastAsia="仿宋_GB2312" w:cs="Arial"/>
          <w:color w:val="auto"/>
          <w:sz w:val="28"/>
          <w:highlight w:val="none"/>
          <w:lang w:val="en-US" w:eastAsia="zh-CN"/>
        </w:rPr>
        <w:t>服务</w:t>
      </w:r>
      <w:r>
        <w:rPr>
          <w:rFonts w:hint="eastAsia" w:ascii="Arial" w:hAnsi="Arial" w:eastAsia="仿宋_GB2312" w:cs="Arial"/>
          <w:color w:val="auto"/>
          <w:sz w:val="28"/>
          <w:highlight w:val="none"/>
        </w:rPr>
        <w:t>费用对估价结果的影响。</w:t>
      </w:r>
    </w:p>
    <w:p>
      <w:pPr>
        <w:spacing w:line="530" w:lineRule="exact"/>
        <w:ind w:firstLine="561"/>
        <w:rPr>
          <w:rFonts w:ascii="Arial" w:hAnsi="Arial" w:eastAsia="仿宋_GB2312" w:cs="Arial"/>
          <w:b/>
          <w:color w:val="auto"/>
          <w:sz w:val="28"/>
          <w:highlight w:val="none"/>
        </w:rPr>
      </w:pPr>
      <w:r>
        <w:rPr>
          <w:rFonts w:hint="eastAsia" w:ascii="Arial" w:hAnsi="Arial" w:eastAsia="仿宋_GB2312" w:cs="Arial"/>
          <w:b/>
          <w:color w:val="auto"/>
          <w:sz w:val="28"/>
          <w:highlight w:val="none"/>
        </w:rPr>
        <w:t>（二）未定事项</w:t>
      </w:r>
      <w:r>
        <w:rPr>
          <w:rFonts w:ascii="Arial" w:hAnsi="Arial" w:eastAsia="仿宋_GB2312" w:cs="Arial"/>
          <w:b/>
          <w:color w:val="auto"/>
          <w:sz w:val="28"/>
          <w:highlight w:val="none"/>
        </w:rPr>
        <w:t>假设</w:t>
      </w:r>
    </w:p>
    <w:p>
      <w:pPr>
        <w:spacing w:line="530" w:lineRule="exact"/>
        <w:ind w:firstLine="561"/>
        <w:rPr>
          <w:rFonts w:ascii="Arial" w:hAnsi="Arial" w:eastAsia="仿宋_GB2312" w:cs="Arial"/>
          <w:color w:val="auto"/>
          <w:sz w:val="28"/>
          <w:highlight w:val="none"/>
        </w:rPr>
      </w:pPr>
      <w:r>
        <w:rPr>
          <w:rFonts w:hint="eastAsia" w:ascii="Arial" w:hAnsi="Arial" w:eastAsia="仿宋_GB2312" w:cs="Arial"/>
          <w:color w:val="auto"/>
          <w:sz w:val="28"/>
          <w:highlight w:val="none"/>
        </w:rPr>
        <w:t>无未定事项假设。</w:t>
      </w:r>
    </w:p>
    <w:p>
      <w:pPr>
        <w:spacing w:line="530" w:lineRule="exact"/>
        <w:ind w:firstLine="561"/>
        <w:rPr>
          <w:rFonts w:ascii="Arial" w:hAnsi="Arial" w:eastAsia="仿宋_GB2312" w:cs="Arial"/>
          <w:color w:val="auto"/>
          <w:sz w:val="28"/>
          <w:highlight w:val="none"/>
        </w:rPr>
      </w:pPr>
      <w:r>
        <w:rPr>
          <w:rFonts w:hint="eastAsia" w:ascii="Arial" w:hAnsi="Arial" w:eastAsia="仿宋_GB2312" w:cs="Arial"/>
          <w:b/>
          <w:color w:val="auto"/>
          <w:sz w:val="28"/>
          <w:highlight w:val="none"/>
        </w:rPr>
        <w:t>（三）背离事实</w:t>
      </w:r>
      <w:r>
        <w:rPr>
          <w:rFonts w:ascii="Arial" w:hAnsi="Arial" w:eastAsia="仿宋_GB2312" w:cs="Arial"/>
          <w:b/>
          <w:color w:val="auto"/>
          <w:sz w:val="28"/>
          <w:highlight w:val="none"/>
        </w:rPr>
        <w:t>假设</w:t>
      </w:r>
    </w:p>
    <w:p>
      <w:pPr>
        <w:spacing w:line="530" w:lineRule="exact"/>
        <w:ind w:firstLine="561"/>
        <w:rPr>
          <w:rFonts w:ascii="Arial" w:hAnsi="Arial" w:eastAsia="仿宋_GB2312" w:cs="Arial"/>
          <w:color w:val="auto"/>
          <w:sz w:val="28"/>
          <w:highlight w:val="none"/>
        </w:rPr>
      </w:pPr>
      <w:r>
        <w:rPr>
          <w:rFonts w:hint="eastAsia" w:ascii="Arial" w:hAnsi="Arial" w:eastAsia="仿宋_GB2312" w:cs="Arial"/>
          <w:color w:val="auto"/>
          <w:sz w:val="28"/>
          <w:highlight w:val="none"/>
          <w:lang w:val="en-US" w:eastAsia="zh-CN"/>
        </w:rPr>
        <w:t>1</w:t>
      </w:r>
      <w:r>
        <w:rPr>
          <w:rFonts w:hint="eastAsia" w:ascii="Arial" w:hAnsi="Arial" w:eastAsia="仿宋_GB2312" w:cs="Arial"/>
          <w:color w:val="auto"/>
          <w:sz w:val="28"/>
          <w:highlight w:val="none"/>
        </w:rPr>
        <w:t>、</w:t>
      </w:r>
      <w:r>
        <w:rPr>
          <w:rFonts w:hint="eastAsia" w:ascii="Arial" w:hAnsi="Arial" w:eastAsia="仿宋_GB2312" w:cs="Arial"/>
          <w:color w:val="auto"/>
          <w:sz w:val="28"/>
          <w:szCs w:val="20"/>
          <w:highlight w:val="none"/>
        </w:rPr>
        <w:t>根据估价委托人提供的</w:t>
      </w:r>
      <w:r>
        <w:rPr>
          <w:rFonts w:hint="eastAsia" w:ascii="Arial" w:hAnsi="Arial" w:eastAsia="仿宋_GB2312" w:cs="Arial"/>
          <w:color w:val="auto"/>
          <w:sz w:val="28"/>
          <w:szCs w:val="20"/>
          <w:highlight w:val="none"/>
          <w:lang w:eastAsia="zh-CN"/>
        </w:rPr>
        <w:t>《湖北省竹溪县人民法院执行裁定书》</w:t>
      </w:r>
      <w:r>
        <w:rPr>
          <w:rFonts w:hint="eastAsia" w:ascii="Arial" w:hAnsi="Arial" w:eastAsia="仿宋_GB2312" w:cs="Arial"/>
          <w:color w:val="auto"/>
          <w:sz w:val="28"/>
          <w:szCs w:val="20"/>
          <w:highlight w:val="none"/>
        </w:rPr>
        <w:t>复印件记载，至价值时点</w:t>
      </w:r>
      <w:r>
        <w:rPr>
          <w:rFonts w:hint="eastAsia" w:ascii="Arial" w:hAnsi="Arial" w:eastAsia="仿宋_GB2312" w:cs="Arial"/>
          <w:color w:val="auto"/>
          <w:sz w:val="28"/>
          <w:highlight w:val="none"/>
        </w:rPr>
        <w:t>估价对象存在查封情况。由于本次估价目的是为人民法院确定财产处置参考价提供参考依据，故估价中未考虑估价对象查封情况对估价结果的影响，并以此为估价前提，敬请报告使用者关注。</w:t>
      </w:r>
    </w:p>
    <w:p>
      <w:pPr>
        <w:spacing w:line="530" w:lineRule="exact"/>
        <w:ind w:firstLine="562" w:firstLineChars="200"/>
        <w:rPr>
          <w:rFonts w:ascii="Arial" w:hAnsi="Arial" w:eastAsia="仿宋_GB2312" w:cs="Arial"/>
          <w:b/>
          <w:color w:val="auto"/>
          <w:sz w:val="28"/>
          <w:highlight w:val="none"/>
        </w:rPr>
      </w:pPr>
      <w:r>
        <w:rPr>
          <w:rFonts w:hint="eastAsia" w:ascii="Arial" w:hAnsi="Arial" w:eastAsia="仿宋_GB2312" w:cs="Arial"/>
          <w:b/>
          <w:color w:val="auto"/>
          <w:sz w:val="28"/>
          <w:highlight w:val="none"/>
        </w:rPr>
        <w:t>（四）不相一致</w:t>
      </w:r>
      <w:r>
        <w:rPr>
          <w:rFonts w:ascii="Arial" w:hAnsi="Arial" w:eastAsia="仿宋_GB2312" w:cs="Arial"/>
          <w:b/>
          <w:color w:val="auto"/>
          <w:sz w:val="28"/>
          <w:highlight w:val="none"/>
        </w:rPr>
        <w:t>假设</w:t>
      </w:r>
    </w:p>
    <w:p>
      <w:pPr>
        <w:spacing w:line="530" w:lineRule="exact"/>
        <w:ind w:firstLine="561"/>
        <w:rPr>
          <w:rFonts w:ascii="Arial" w:hAnsi="Arial" w:eastAsia="仿宋_GB2312" w:cs="Arial"/>
          <w:color w:val="auto"/>
          <w:sz w:val="28"/>
          <w:highlight w:val="none"/>
        </w:rPr>
      </w:pPr>
      <w:r>
        <w:rPr>
          <w:rFonts w:hint="eastAsia" w:ascii="Arial" w:hAnsi="Arial" w:eastAsia="仿宋_GB2312" w:cs="Arial"/>
          <w:bCs/>
          <w:color w:val="auto"/>
          <w:sz w:val="28"/>
          <w:highlight w:val="none"/>
        </w:rPr>
        <w:t>无不相一致假设。</w:t>
      </w:r>
    </w:p>
    <w:p>
      <w:pPr>
        <w:spacing w:line="530" w:lineRule="exact"/>
        <w:ind w:firstLine="562" w:firstLineChars="200"/>
        <w:rPr>
          <w:rFonts w:ascii="Arial" w:hAnsi="Arial" w:eastAsia="仿宋_GB2312" w:cs="Arial"/>
          <w:color w:val="auto"/>
          <w:sz w:val="28"/>
          <w:highlight w:val="none"/>
        </w:rPr>
      </w:pPr>
      <w:r>
        <w:rPr>
          <w:rFonts w:hint="eastAsia" w:ascii="Arial" w:hAnsi="Arial" w:eastAsia="仿宋_GB2312" w:cs="Arial"/>
          <w:b/>
          <w:color w:val="auto"/>
          <w:sz w:val="28"/>
          <w:highlight w:val="none"/>
        </w:rPr>
        <w:t>（五）依据不足</w:t>
      </w:r>
      <w:r>
        <w:rPr>
          <w:rFonts w:ascii="Arial" w:hAnsi="Arial" w:eastAsia="仿宋_GB2312" w:cs="Arial"/>
          <w:b/>
          <w:color w:val="auto"/>
          <w:sz w:val="28"/>
          <w:highlight w:val="none"/>
        </w:rPr>
        <w:t>假设</w:t>
      </w:r>
    </w:p>
    <w:p>
      <w:pPr>
        <w:spacing w:line="530"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1、本次估价委托人提供现有权属资料</w:t>
      </w:r>
      <w:r>
        <w:rPr>
          <w:rFonts w:hint="eastAsia" w:ascii="Arial" w:hAnsi="Arial" w:eastAsia="仿宋_GB2312" w:cs="Arial"/>
          <w:color w:val="auto"/>
          <w:sz w:val="28"/>
          <w:szCs w:val="20"/>
          <w:highlight w:val="none"/>
          <w:lang w:val="en-US" w:eastAsia="zh-CN"/>
        </w:rPr>
        <w:t>记载房屋用途为住宅，</w:t>
      </w:r>
      <w:r>
        <w:rPr>
          <w:rFonts w:hint="eastAsia" w:ascii="Arial" w:hAnsi="Arial" w:eastAsia="仿宋_GB2312" w:cs="Arial"/>
          <w:color w:val="auto"/>
          <w:sz w:val="28"/>
          <w:szCs w:val="20"/>
          <w:highlight w:val="none"/>
        </w:rPr>
        <w:t>未记载</w:t>
      </w:r>
      <w:r>
        <w:rPr>
          <w:rFonts w:hint="eastAsia" w:ascii="Arial" w:hAnsi="Arial" w:eastAsia="仿宋_GB2312" w:cs="Arial"/>
          <w:color w:val="auto"/>
          <w:sz w:val="28"/>
          <w:szCs w:val="20"/>
          <w:highlight w:val="none"/>
          <w:lang w:val="en-US" w:eastAsia="zh-CN"/>
        </w:rPr>
        <w:t>土地用途及</w:t>
      </w:r>
      <w:r>
        <w:rPr>
          <w:rFonts w:hint="eastAsia" w:ascii="Arial" w:hAnsi="Arial" w:eastAsia="仿宋_GB2312" w:cs="Arial"/>
          <w:color w:val="auto"/>
          <w:sz w:val="28"/>
          <w:szCs w:val="20"/>
          <w:highlight w:val="none"/>
        </w:rPr>
        <w:t>分摊土地</w:t>
      </w:r>
      <w:r>
        <w:rPr>
          <w:rFonts w:hint="eastAsia" w:ascii="Arial" w:hAnsi="Arial" w:eastAsia="仿宋_GB2312" w:cs="Arial"/>
          <w:color w:val="auto"/>
          <w:sz w:val="28"/>
          <w:highlight w:val="none"/>
        </w:rPr>
        <w:t>使用权面积，本次</w:t>
      </w:r>
      <w:r>
        <w:rPr>
          <w:rFonts w:hint="eastAsia" w:ascii="Arial" w:hAnsi="Arial" w:eastAsia="仿宋_GB2312" w:cs="Arial"/>
          <w:color w:val="auto"/>
          <w:sz w:val="28"/>
          <w:highlight w:val="none"/>
          <w:lang w:val="en-US" w:eastAsia="zh-CN"/>
        </w:rPr>
        <w:t>评估根据我公司搜集的同一小区住宅楼的国有土地使用证记载内容合理设定其项下土地用途为住宅用地、</w:t>
      </w:r>
      <w:r>
        <w:rPr>
          <w:rFonts w:hint="eastAsia" w:ascii="Arial" w:hAnsi="Arial" w:eastAsia="仿宋_GB2312" w:cs="Arial"/>
          <w:color w:val="auto"/>
          <w:sz w:val="28"/>
          <w:highlight w:val="none"/>
        </w:rPr>
        <w:t>假设其土地使用权能合法分摊，并以此为估价前提，敬请</w:t>
      </w:r>
      <w:r>
        <w:rPr>
          <w:rFonts w:hint="eastAsia" w:ascii="Arial" w:hAnsi="Arial" w:eastAsia="仿宋_GB2312" w:cs="Arial"/>
          <w:color w:val="auto"/>
          <w:sz w:val="28"/>
          <w:szCs w:val="20"/>
          <w:highlight w:val="none"/>
        </w:rPr>
        <w:t>报告使用者关注。</w:t>
      </w:r>
    </w:p>
    <w:p>
      <w:pPr>
        <w:spacing w:line="530" w:lineRule="exact"/>
        <w:ind w:firstLine="560" w:firstLineChars="200"/>
        <w:rPr>
          <w:rFonts w:hint="eastAsia" w:ascii="Arial" w:hAnsi="Arial" w:eastAsia="仿宋_GB2312" w:cs="Arial"/>
          <w:color w:val="auto"/>
          <w:sz w:val="28"/>
          <w:highlight w:val="none"/>
        </w:rPr>
      </w:pPr>
      <w:r>
        <w:rPr>
          <w:rFonts w:hint="eastAsia" w:ascii="Arial" w:hAnsi="Arial" w:eastAsia="仿宋_GB2312" w:cs="Arial"/>
          <w:color w:val="auto"/>
          <w:sz w:val="28"/>
          <w:highlight w:val="none"/>
        </w:rPr>
        <w:t>2、根据委托人提供产权资料及估价师现场调查，估价对象建成时间约为2004年，若与实际不符，最终以相关政府部门认定为准，并对估价结果作相应调整，敬请报告使用者关注。</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lang w:val="en-US" w:eastAsia="zh-CN"/>
        </w:rPr>
        <w:t>3、</w:t>
      </w:r>
      <w:r>
        <w:rPr>
          <w:rFonts w:hint="eastAsia" w:ascii="Arial" w:hAnsi="Arial" w:eastAsia="仿宋_GB2312" w:cs="Arial"/>
          <w:color w:val="auto"/>
          <w:sz w:val="28"/>
          <w:highlight w:val="none"/>
        </w:rPr>
        <w:t>注册房地产估价师于2022年</w:t>
      </w:r>
      <w:r>
        <w:rPr>
          <w:rFonts w:hint="eastAsia" w:ascii="Arial" w:hAnsi="Arial" w:eastAsia="仿宋_GB2312" w:cs="Arial"/>
          <w:color w:val="auto"/>
          <w:sz w:val="28"/>
          <w:highlight w:val="none"/>
          <w:lang w:val="en-US" w:eastAsia="zh-CN"/>
        </w:rPr>
        <w:t>5</w:t>
      </w:r>
      <w:r>
        <w:rPr>
          <w:rFonts w:hint="eastAsia" w:ascii="Arial" w:hAnsi="Arial" w:eastAsia="仿宋_GB2312" w:cs="Arial"/>
          <w:color w:val="auto"/>
          <w:sz w:val="28"/>
          <w:highlight w:val="none"/>
        </w:rPr>
        <w:t>月</w:t>
      </w:r>
      <w:r>
        <w:rPr>
          <w:rFonts w:hint="eastAsia" w:ascii="Arial" w:hAnsi="Arial" w:eastAsia="仿宋_GB2312" w:cs="Arial"/>
          <w:color w:val="auto"/>
          <w:sz w:val="28"/>
          <w:highlight w:val="none"/>
          <w:lang w:val="en-US" w:eastAsia="zh-CN"/>
        </w:rPr>
        <w:t>23</w:t>
      </w:r>
      <w:r>
        <w:rPr>
          <w:rFonts w:hint="eastAsia" w:ascii="Arial" w:hAnsi="Arial" w:eastAsia="仿宋_GB2312" w:cs="Arial"/>
          <w:color w:val="auto"/>
          <w:sz w:val="28"/>
          <w:highlight w:val="none"/>
        </w:rPr>
        <w:t>日与</w:t>
      </w:r>
      <w:r>
        <w:rPr>
          <w:rFonts w:hint="eastAsia" w:ascii="Arial" w:hAnsi="Arial" w:eastAsia="仿宋_GB2312" w:cs="Arial"/>
          <w:color w:val="auto"/>
          <w:sz w:val="28"/>
          <w:highlight w:val="none"/>
          <w:lang w:val="en-US" w:eastAsia="zh-CN"/>
        </w:rPr>
        <w:t>估价委托</w:t>
      </w:r>
      <w:r>
        <w:rPr>
          <w:rFonts w:hint="eastAsia" w:ascii="Arial" w:hAnsi="Arial" w:eastAsia="仿宋_GB2312" w:cs="Arial"/>
          <w:color w:val="auto"/>
          <w:sz w:val="28"/>
          <w:highlight w:val="none"/>
        </w:rPr>
        <w:t>委派</w:t>
      </w:r>
      <w:r>
        <w:rPr>
          <w:rFonts w:hint="eastAsia" w:ascii="Arial" w:hAnsi="Arial" w:eastAsia="仿宋_GB2312" w:cs="Arial"/>
          <w:color w:val="auto"/>
          <w:sz w:val="28"/>
          <w:highlight w:val="none"/>
          <w:lang w:val="en-US" w:eastAsia="zh-CN"/>
        </w:rPr>
        <w:t>工作人员</w:t>
      </w:r>
      <w:r>
        <w:rPr>
          <w:rFonts w:hint="eastAsia" w:ascii="Arial" w:hAnsi="Arial" w:eastAsia="仿宋_GB2312" w:cs="Arial"/>
          <w:color w:val="auto"/>
          <w:sz w:val="28"/>
          <w:highlight w:val="none"/>
        </w:rPr>
        <w:t>共同对估价对象进行了实地查勘，但因被申请人原因，注册房地产估价师及领勘人不能进入估价对象内部进行实地查勘，估价人员对估价对象的外部状况和区位状况进行了实地查勘。</w:t>
      </w:r>
      <w:r>
        <w:rPr>
          <w:rFonts w:hint="eastAsia" w:ascii="Arial" w:hAnsi="Arial" w:eastAsia="仿宋_GB2312" w:cs="Arial"/>
          <w:bCs/>
          <w:color w:val="auto"/>
          <w:sz w:val="28"/>
          <w:highlight w:val="none"/>
        </w:rPr>
        <w:t>估价对象入户门为</w:t>
      </w:r>
      <w:r>
        <w:rPr>
          <w:rFonts w:hint="eastAsia" w:ascii="Arial" w:hAnsi="Arial" w:eastAsia="仿宋_GB2312" w:cs="Arial"/>
          <w:bCs/>
          <w:color w:val="auto"/>
          <w:sz w:val="28"/>
          <w:highlight w:val="none"/>
          <w:lang w:val="en-US" w:eastAsia="zh-CN"/>
        </w:rPr>
        <w:t>防盗门</w:t>
      </w:r>
      <w:r>
        <w:rPr>
          <w:rFonts w:hint="eastAsia" w:ascii="Arial" w:hAnsi="Arial" w:eastAsia="仿宋_GB2312" w:cs="Arial"/>
          <w:bCs/>
          <w:color w:val="auto"/>
          <w:sz w:val="28"/>
          <w:highlight w:val="none"/>
        </w:rPr>
        <w:t>，窗为铝合金玻璃窗，</w:t>
      </w:r>
      <w:r>
        <w:rPr>
          <w:rFonts w:hint="eastAsia" w:ascii="Arial" w:hAnsi="Arial" w:eastAsia="仿宋_GB2312" w:cs="Arial"/>
          <w:color w:val="auto"/>
          <w:sz w:val="28"/>
          <w:highlight w:val="none"/>
        </w:rPr>
        <w:t>估价师通过实地查勘及向小区物业管理处了解</w:t>
      </w:r>
      <w:r>
        <w:rPr>
          <w:rFonts w:hint="eastAsia" w:ascii="Arial" w:hAnsi="Arial" w:eastAsia="仿宋_GB2312" w:cs="Arial"/>
          <w:color w:val="auto"/>
          <w:sz w:val="28"/>
          <w:highlight w:val="none"/>
          <w:lang w:eastAsia="zh-CN"/>
        </w:rPr>
        <w:t>，</w:t>
      </w:r>
      <w:r>
        <w:rPr>
          <w:rFonts w:hint="eastAsia" w:ascii="Arial" w:hAnsi="Arial" w:eastAsia="仿宋_GB2312" w:cs="Arial"/>
          <w:color w:val="auto"/>
          <w:sz w:val="28"/>
          <w:highlight w:val="none"/>
          <w:lang w:val="en-US" w:eastAsia="zh-CN"/>
        </w:rPr>
        <w:t>估价对象室内已装修；</w:t>
      </w:r>
      <w:r>
        <w:rPr>
          <w:rFonts w:hint="eastAsia" w:ascii="Arial" w:hAnsi="Arial" w:eastAsia="仿宋_GB2312" w:cs="Arial"/>
          <w:color w:val="auto"/>
          <w:sz w:val="28"/>
          <w:highlight w:val="none"/>
        </w:rPr>
        <w:t>经与</w:t>
      </w:r>
      <w:r>
        <w:rPr>
          <w:rFonts w:hint="eastAsia" w:ascii="Arial" w:hAnsi="Arial" w:eastAsia="仿宋_GB2312" w:cs="Arial"/>
          <w:color w:val="auto"/>
          <w:sz w:val="28"/>
          <w:highlight w:val="none"/>
          <w:lang w:val="en-US" w:eastAsia="zh-CN"/>
        </w:rPr>
        <w:t>估价</w:t>
      </w:r>
      <w:r>
        <w:rPr>
          <w:rFonts w:hint="eastAsia" w:ascii="Arial" w:hAnsi="Arial" w:eastAsia="仿宋_GB2312" w:cs="Arial"/>
          <w:color w:val="auto"/>
          <w:sz w:val="28"/>
          <w:highlight w:val="none"/>
        </w:rPr>
        <w:t>委托人书面沟通确定，本次评估</w:t>
      </w:r>
      <w:r>
        <w:rPr>
          <w:rFonts w:hint="eastAsia" w:ascii="Arial" w:hAnsi="Arial" w:eastAsia="仿宋_GB2312" w:cs="Arial"/>
          <w:color w:val="auto"/>
          <w:sz w:val="28"/>
          <w:highlight w:val="none"/>
          <w:lang w:val="en-US" w:eastAsia="zh-CN"/>
        </w:rPr>
        <w:t>以其室内</w:t>
      </w:r>
      <w:r>
        <w:rPr>
          <w:rFonts w:hint="eastAsia" w:ascii="Arial" w:hAnsi="Arial" w:eastAsia="仿宋_GB2312" w:cs="Arial"/>
          <w:color w:val="auto"/>
          <w:sz w:val="28"/>
          <w:highlight w:val="none"/>
        </w:rPr>
        <w:t>满足居住</w:t>
      </w:r>
      <w:r>
        <w:rPr>
          <w:rFonts w:hint="eastAsia" w:ascii="Arial" w:hAnsi="Arial" w:eastAsia="仿宋_GB2312" w:cs="Arial"/>
          <w:color w:val="auto"/>
          <w:sz w:val="28"/>
          <w:highlight w:val="none"/>
          <w:lang w:val="en-US" w:eastAsia="zh-CN"/>
        </w:rPr>
        <w:t>所</w:t>
      </w:r>
      <w:r>
        <w:rPr>
          <w:rFonts w:hint="eastAsia" w:ascii="Arial" w:hAnsi="Arial" w:eastAsia="仿宋_GB2312" w:cs="Arial"/>
          <w:color w:val="auto"/>
          <w:sz w:val="28"/>
          <w:highlight w:val="none"/>
        </w:rPr>
        <w:t>要求的</w:t>
      </w:r>
      <w:r>
        <w:rPr>
          <w:rFonts w:hint="eastAsia" w:ascii="Arial" w:hAnsi="Arial" w:eastAsia="仿宋_GB2312" w:cs="Arial"/>
          <w:color w:val="auto"/>
          <w:sz w:val="28"/>
          <w:highlight w:val="none"/>
          <w:lang w:val="en-US" w:eastAsia="zh-CN"/>
        </w:rPr>
        <w:t>一般</w:t>
      </w:r>
      <w:r>
        <w:rPr>
          <w:rFonts w:hint="eastAsia" w:ascii="Arial" w:hAnsi="Arial" w:eastAsia="仿宋_GB2312" w:cs="Arial"/>
          <w:color w:val="auto"/>
          <w:sz w:val="28"/>
          <w:highlight w:val="none"/>
        </w:rPr>
        <w:t>装修为估价假设前提，敬请报告使用者关注。</w:t>
      </w:r>
    </w:p>
    <w:p>
      <w:pPr>
        <w:spacing w:line="530" w:lineRule="exact"/>
        <w:ind w:firstLine="561"/>
        <w:rPr>
          <w:rFonts w:ascii="Arial" w:hAnsi="Arial" w:eastAsia="仿宋_GB2312" w:cs="Arial"/>
          <w:b/>
          <w:color w:val="auto"/>
          <w:sz w:val="28"/>
          <w:highlight w:val="none"/>
        </w:rPr>
      </w:pPr>
      <w:r>
        <w:rPr>
          <w:rFonts w:hint="eastAsia" w:ascii="Arial" w:hAnsi="Arial" w:eastAsia="仿宋_GB2312" w:cs="Arial"/>
          <w:b/>
          <w:color w:val="auto"/>
          <w:sz w:val="28"/>
          <w:highlight w:val="none"/>
        </w:rPr>
        <w:t>（六）估价报告使用限制</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1、本报告所确定的房地产价值是在本次评估特定目的及限制条件下的公开市场价值，未考虑强制处分、快速变现、处置费用、交易税费等因素的影响，敬请报告使用者关注。</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2、本次估价结果按照法律法规规定，交易税费正常负担情况下的价格，敬请报告使用者关注。</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3、本报告的估价结果是在本次评估特定的估价目的下形成的，不对其他用途和目的负责。若改变用途或估价目的，需另行评估。</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4、本次估价结果包含估价对象的房屋所有权、所分摊的土地使用权，以及确保其正常使用功能不可分割的公共配套及附属设施、室内装饰装修的权利价值，不包含室内可移动家具家电的价值，敬请报告使用者关注。</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5、本报告的估价结果是估价师通过专业测算提出的公允评估意见，而不应被视为估价机构和估价师对估价对象在市场上可实现价格的保证。</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6、本次估价未考虑因财产拍卖（或者变卖）日期与价值时点不一致，估价对象状况或者房地产市场状况的变化会对估价结果产生影响。财产拍卖或者变卖之日与价值时点不一致，可能导致评估结果对应的评估对象状况、房地产市场状况、欠缴税费状况等于财产拍卖或者变卖时的相应状况不一致，发生明显变化的，估价结果应当进行相应调整后才可使用，敬请报告使用者关注。</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7、本报告的估价结果是在正常市场状况条件下形成的，未考虑国家宏观经济政策发生变化及遇有不可抗力等情况对房地产价格可能产生的影响。</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8、本报告必须完整使用方为有效，对仅使用本报告中部分内容而可能导致的损失，本评估机构不承担责任。</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9、</w:t>
      </w:r>
      <w:r>
        <w:rPr>
          <w:rFonts w:ascii="Arial" w:hAnsi="Arial" w:eastAsia="仿宋_GB2312" w:cs="Arial"/>
          <w:color w:val="auto"/>
          <w:sz w:val="28"/>
          <w:highlight w:val="none"/>
        </w:rPr>
        <w:t>本报告的</w:t>
      </w:r>
      <w:r>
        <w:rPr>
          <w:rFonts w:hint="eastAsia" w:ascii="Arial" w:hAnsi="Arial" w:eastAsia="仿宋_GB2312" w:cs="Arial"/>
          <w:color w:val="auto"/>
          <w:sz w:val="28"/>
          <w:highlight w:val="none"/>
        </w:rPr>
        <w:t>使用期限</w:t>
      </w:r>
      <w:r>
        <w:rPr>
          <w:rFonts w:ascii="Arial" w:hAnsi="Arial" w:eastAsia="仿宋_GB2312" w:cs="Arial"/>
          <w:color w:val="auto"/>
          <w:sz w:val="28"/>
          <w:highlight w:val="none"/>
        </w:rPr>
        <w:t>自估价报告出具之日起为一年</w:t>
      </w:r>
      <w:r>
        <w:rPr>
          <w:rFonts w:hint="eastAsia" w:ascii="Arial" w:hAnsi="Arial" w:eastAsia="仿宋_GB2312" w:cs="Arial"/>
          <w:color w:val="auto"/>
          <w:sz w:val="28"/>
          <w:highlight w:val="none"/>
        </w:rPr>
        <w:t>。</w:t>
      </w:r>
      <w:r>
        <w:rPr>
          <w:rFonts w:ascii="Arial" w:hAnsi="Arial" w:eastAsia="仿宋_GB2312" w:cs="Arial"/>
          <w:color w:val="auto"/>
          <w:sz w:val="28"/>
          <w:highlight w:val="none"/>
        </w:rPr>
        <w:t>在</w:t>
      </w:r>
      <w:r>
        <w:rPr>
          <w:rFonts w:hint="eastAsia" w:ascii="Arial" w:hAnsi="Arial" w:eastAsia="仿宋_GB2312" w:cs="Arial"/>
          <w:color w:val="auto"/>
          <w:sz w:val="28"/>
          <w:highlight w:val="none"/>
        </w:rPr>
        <w:t>使用</w:t>
      </w:r>
      <w:r>
        <w:rPr>
          <w:rFonts w:ascii="Arial" w:hAnsi="Arial" w:eastAsia="仿宋_GB2312" w:cs="Arial"/>
          <w:color w:val="auto"/>
          <w:sz w:val="28"/>
          <w:highlight w:val="none"/>
        </w:rPr>
        <w:t>期</w:t>
      </w:r>
      <w:r>
        <w:rPr>
          <w:rFonts w:hint="eastAsia" w:ascii="Arial" w:hAnsi="Arial" w:eastAsia="仿宋_GB2312" w:cs="Arial"/>
          <w:color w:val="auto"/>
          <w:sz w:val="28"/>
          <w:highlight w:val="none"/>
        </w:rPr>
        <w:t>限</w:t>
      </w:r>
      <w:r>
        <w:rPr>
          <w:rFonts w:ascii="Arial" w:hAnsi="Arial" w:eastAsia="仿宋_GB2312" w:cs="Arial"/>
          <w:color w:val="auto"/>
          <w:sz w:val="28"/>
          <w:highlight w:val="none"/>
        </w:rPr>
        <w:t>内实现估价目的时，可以评估结果作为价格</w:t>
      </w:r>
      <w:r>
        <w:rPr>
          <w:rFonts w:hint="eastAsia" w:ascii="Arial" w:hAnsi="Arial" w:eastAsia="仿宋_GB2312" w:cs="Arial"/>
          <w:color w:val="auto"/>
          <w:sz w:val="28"/>
          <w:highlight w:val="none"/>
        </w:rPr>
        <w:t>参考</w:t>
      </w:r>
      <w:r>
        <w:rPr>
          <w:rFonts w:ascii="Arial" w:hAnsi="Arial" w:eastAsia="仿宋_GB2312" w:cs="Arial"/>
          <w:color w:val="auto"/>
          <w:sz w:val="28"/>
          <w:highlight w:val="none"/>
        </w:rPr>
        <w:t>依据。超过</w:t>
      </w:r>
      <w:r>
        <w:rPr>
          <w:rFonts w:hint="eastAsia" w:ascii="Arial" w:hAnsi="Arial" w:eastAsia="仿宋_GB2312" w:cs="Arial"/>
          <w:color w:val="auto"/>
          <w:sz w:val="28"/>
          <w:highlight w:val="none"/>
        </w:rPr>
        <w:t>使用</w:t>
      </w:r>
      <w:r>
        <w:rPr>
          <w:rFonts w:ascii="Arial" w:hAnsi="Arial" w:eastAsia="仿宋_GB2312" w:cs="Arial"/>
          <w:color w:val="auto"/>
          <w:sz w:val="28"/>
          <w:highlight w:val="none"/>
        </w:rPr>
        <w:t>期</w:t>
      </w:r>
      <w:r>
        <w:rPr>
          <w:rFonts w:hint="eastAsia" w:ascii="Arial" w:hAnsi="Arial" w:eastAsia="仿宋_GB2312" w:cs="Arial"/>
          <w:color w:val="auto"/>
          <w:sz w:val="28"/>
          <w:highlight w:val="none"/>
        </w:rPr>
        <w:t>限</w:t>
      </w:r>
      <w:r>
        <w:rPr>
          <w:rFonts w:ascii="Arial" w:hAnsi="Arial" w:eastAsia="仿宋_GB2312" w:cs="Arial"/>
          <w:color w:val="auto"/>
          <w:sz w:val="28"/>
          <w:highlight w:val="none"/>
        </w:rPr>
        <w:t>范围或在</w:t>
      </w:r>
      <w:r>
        <w:rPr>
          <w:rFonts w:hint="eastAsia" w:ascii="Arial" w:hAnsi="Arial" w:eastAsia="仿宋_GB2312" w:cs="Arial"/>
          <w:color w:val="auto"/>
          <w:sz w:val="28"/>
          <w:highlight w:val="none"/>
        </w:rPr>
        <w:t>使用</w:t>
      </w:r>
      <w:r>
        <w:rPr>
          <w:rFonts w:ascii="Arial" w:hAnsi="Arial" w:eastAsia="仿宋_GB2312" w:cs="Arial"/>
          <w:color w:val="auto"/>
          <w:sz w:val="28"/>
          <w:highlight w:val="none"/>
        </w:rPr>
        <w:t>期</w:t>
      </w:r>
      <w:r>
        <w:rPr>
          <w:rFonts w:hint="eastAsia" w:ascii="Arial" w:hAnsi="Arial" w:eastAsia="仿宋_GB2312" w:cs="Arial"/>
          <w:color w:val="auto"/>
          <w:sz w:val="28"/>
          <w:highlight w:val="none"/>
        </w:rPr>
        <w:t>限</w:t>
      </w:r>
      <w:r>
        <w:rPr>
          <w:rFonts w:ascii="Arial" w:hAnsi="Arial" w:eastAsia="仿宋_GB2312" w:cs="Arial"/>
          <w:color w:val="auto"/>
          <w:sz w:val="28"/>
          <w:highlight w:val="none"/>
        </w:rPr>
        <w:t>范围内估价对象</w:t>
      </w:r>
      <w:r>
        <w:rPr>
          <w:rFonts w:hint="eastAsia" w:ascii="Arial" w:hAnsi="Arial" w:eastAsia="仿宋_GB2312" w:cs="Arial"/>
          <w:color w:val="auto"/>
          <w:sz w:val="28"/>
          <w:highlight w:val="none"/>
        </w:rPr>
        <w:t>的状况或房地产</w:t>
      </w:r>
      <w:r>
        <w:rPr>
          <w:rFonts w:ascii="Arial" w:hAnsi="Arial" w:eastAsia="仿宋_GB2312" w:cs="Arial"/>
          <w:color w:val="auto"/>
          <w:sz w:val="28"/>
          <w:highlight w:val="none"/>
        </w:rPr>
        <w:t>市场有较大变化的，需</w:t>
      </w:r>
      <w:r>
        <w:rPr>
          <w:rFonts w:hint="eastAsia" w:ascii="Arial" w:hAnsi="Arial" w:eastAsia="仿宋_GB2312" w:cs="Arial"/>
          <w:color w:val="auto"/>
          <w:sz w:val="28"/>
          <w:highlight w:val="none"/>
        </w:rPr>
        <w:t>另</w:t>
      </w:r>
      <w:r>
        <w:rPr>
          <w:rFonts w:ascii="Arial" w:hAnsi="Arial" w:eastAsia="仿宋_GB2312" w:cs="Arial"/>
          <w:color w:val="auto"/>
          <w:sz w:val="28"/>
          <w:highlight w:val="none"/>
        </w:rPr>
        <w:t>行评估</w:t>
      </w:r>
      <w:r>
        <w:rPr>
          <w:rFonts w:hint="eastAsia" w:ascii="Arial" w:hAnsi="Arial" w:eastAsia="仿宋_GB2312" w:cs="Arial"/>
          <w:color w:val="auto"/>
          <w:sz w:val="28"/>
          <w:highlight w:val="none"/>
        </w:rPr>
        <w:t>。</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10、本报告仅供估价委托人使用，非为法律规定的情况，未经本评估机构许可，不得提供给除政府主管部门以外的任何单位和个人，其全部或部分内容不得刊载于任何文件、公告或公开媒体上。</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11、本次估价涉案当事人、利害关系人收到估价报告后五日内可对估价报告的参照标准、计算方法或者估价结果等向人民法院提出书面异议；当事人、利害关系人对估价机构作出的说明仍有异议的，可以提请人民法院委托评估行业组织进行专业技术评审。</w:t>
      </w:r>
    </w:p>
    <w:p>
      <w:pPr>
        <w:spacing w:line="53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12、本报告由武汉天马房地资产评估有限公司负责解释。</w:t>
      </w:r>
    </w:p>
    <w:p>
      <w:pPr>
        <w:spacing w:before="50" w:line="560" w:lineRule="exact"/>
        <w:ind w:firstLine="390"/>
        <w:rPr>
          <w:rFonts w:ascii="Arial" w:hAnsi="Arial" w:cs="Arial"/>
          <w:color w:val="auto"/>
          <w:sz w:val="36"/>
          <w:highlight w:val="none"/>
        </w:rPr>
        <w:sectPr>
          <w:footerReference r:id="rId11" w:type="default"/>
          <w:type w:val="nextColumn"/>
          <w:pgSz w:w="11906" w:h="16838"/>
          <w:pgMar w:top="1417" w:right="1418" w:bottom="1417" w:left="1418" w:header="964" w:footer="964" w:gutter="283"/>
          <w:pgNumType w:start="1"/>
          <w:cols w:space="0" w:num="1"/>
          <w:docGrid w:linePitch="634" w:charSpace="-4096"/>
        </w:sectPr>
      </w:pPr>
    </w:p>
    <w:p>
      <w:pPr>
        <w:jc w:val="center"/>
        <w:outlineLvl w:val="0"/>
        <w:rPr>
          <w:rFonts w:ascii="Arial" w:hAnsi="Arial" w:cs="Arial"/>
          <w:b/>
          <w:bCs/>
          <w:color w:val="auto"/>
          <w:sz w:val="36"/>
          <w:highlight w:val="none"/>
        </w:rPr>
      </w:pPr>
      <w:bookmarkStart w:id="89" w:name="_Toc130975218"/>
      <w:bookmarkStart w:id="90" w:name="_Toc4371"/>
      <w:r>
        <w:rPr>
          <w:rFonts w:ascii="Arial" w:hAnsi="Arial" w:cs="Arial"/>
          <w:b/>
          <w:bCs/>
          <w:color w:val="auto"/>
          <w:sz w:val="36"/>
          <w:highlight w:val="none"/>
        </w:rPr>
        <w:t>房地产估价结果报告</w:t>
      </w:r>
      <w:bookmarkEnd w:id="89"/>
      <w:bookmarkEnd w:id="90"/>
    </w:p>
    <w:p>
      <w:pPr>
        <w:spacing w:line="300" w:lineRule="exact"/>
        <w:ind w:firstLine="560" w:firstLineChars="200"/>
        <w:rPr>
          <w:rFonts w:ascii="Arial" w:hAnsi="Arial" w:eastAsia="仿宋_GB2312" w:cs="Arial"/>
          <w:color w:val="auto"/>
          <w:sz w:val="28"/>
          <w:highlight w:val="none"/>
        </w:rPr>
      </w:pPr>
    </w:p>
    <w:p>
      <w:pPr>
        <w:spacing w:line="560" w:lineRule="exact"/>
        <w:ind w:firstLine="562" w:firstLineChars="200"/>
        <w:outlineLvl w:val="1"/>
        <w:rPr>
          <w:rFonts w:ascii="Arial" w:hAnsi="Arial" w:eastAsia="仿宋_GB2312" w:cs="Arial"/>
          <w:b/>
          <w:color w:val="auto"/>
          <w:sz w:val="28"/>
          <w:highlight w:val="none"/>
        </w:rPr>
      </w:pPr>
      <w:bookmarkStart w:id="91" w:name="_Toc130975219"/>
      <w:bookmarkStart w:id="92" w:name="_Toc20897"/>
      <w:r>
        <w:rPr>
          <w:rFonts w:ascii="Arial" w:hAnsi="Arial" w:eastAsia="仿宋_GB2312" w:cs="Arial"/>
          <w:b/>
          <w:color w:val="auto"/>
          <w:sz w:val="28"/>
          <w:highlight w:val="none"/>
        </w:rPr>
        <w:t>一、</w:t>
      </w:r>
      <w:bookmarkEnd w:id="91"/>
      <w:r>
        <w:rPr>
          <w:rFonts w:ascii="Arial" w:hAnsi="Arial" w:eastAsia="仿宋_GB2312" w:cs="Arial"/>
          <w:b/>
          <w:color w:val="auto"/>
          <w:sz w:val="28"/>
          <w:highlight w:val="none"/>
        </w:rPr>
        <w:t>估价委托人</w:t>
      </w:r>
      <w:bookmarkEnd w:id="92"/>
      <w:r>
        <w:rPr>
          <w:rFonts w:ascii="Arial" w:hAnsi="Arial" w:eastAsia="仿宋_GB2312" w:cs="Arial"/>
          <w:b/>
          <w:color w:val="auto"/>
          <w:sz w:val="28"/>
          <w:highlight w:val="none"/>
        </w:rPr>
        <w:tab/>
      </w:r>
    </w:p>
    <w:p>
      <w:pPr>
        <w:spacing w:line="560" w:lineRule="exact"/>
        <w:ind w:firstLine="560" w:firstLineChars="200"/>
        <w:rPr>
          <w:rFonts w:hint="eastAsia" w:ascii="Arial" w:hAnsi="Arial" w:eastAsia="仿宋_GB2312" w:cs="Arial"/>
          <w:color w:val="auto"/>
          <w:sz w:val="28"/>
          <w:highlight w:val="none"/>
          <w:lang w:eastAsia="zh-CN"/>
        </w:rPr>
      </w:pPr>
      <w:bookmarkStart w:id="93" w:name="_Toc137012903"/>
      <w:bookmarkStart w:id="94" w:name="_Toc130975221"/>
      <w:r>
        <w:rPr>
          <w:rFonts w:ascii="Arial" w:hAnsi="Arial" w:eastAsia="仿宋_GB2312" w:cs="Arial"/>
          <w:color w:val="auto"/>
          <w:sz w:val="28"/>
          <w:highlight w:val="none"/>
        </w:rPr>
        <w:t>单位名称：</w:t>
      </w:r>
      <w:bookmarkEnd w:id="93"/>
      <w:r>
        <w:rPr>
          <w:rFonts w:hint="eastAsia" w:ascii="Arial" w:hAnsi="Arial" w:eastAsia="仿宋_GB2312" w:cs="Arial"/>
          <w:color w:val="auto"/>
          <w:sz w:val="28"/>
          <w:highlight w:val="none"/>
          <w:lang w:eastAsia="zh-CN"/>
        </w:rPr>
        <w:t>湖北省竹溪县人民法院</w:t>
      </w:r>
    </w:p>
    <w:p>
      <w:pPr>
        <w:spacing w:line="560" w:lineRule="exact"/>
        <w:ind w:firstLine="560" w:firstLineChars="200"/>
        <w:rPr>
          <w:rFonts w:hint="eastAsia" w:ascii="Arial" w:hAnsi="Arial" w:eastAsia="仿宋_GB2312" w:cs="Arial"/>
          <w:color w:val="auto"/>
          <w:sz w:val="28"/>
          <w:highlight w:val="none"/>
          <w:lang w:eastAsia="zh-CN"/>
        </w:rPr>
      </w:pPr>
      <w:r>
        <w:rPr>
          <w:rFonts w:ascii="Arial" w:hAnsi="Arial" w:eastAsia="仿宋_GB2312" w:cs="Arial"/>
          <w:color w:val="auto"/>
          <w:sz w:val="28"/>
          <w:highlight w:val="none"/>
        </w:rPr>
        <w:t>联系人：</w:t>
      </w:r>
      <w:r>
        <w:rPr>
          <w:rFonts w:hint="eastAsia" w:ascii="Arial" w:hAnsi="Arial" w:eastAsia="仿宋_GB2312" w:cs="Arial"/>
          <w:color w:val="auto"/>
          <w:sz w:val="28"/>
          <w:highlight w:val="none"/>
          <w:lang w:eastAsia="zh-CN"/>
        </w:rPr>
        <w:t>伍俊杰</w:t>
      </w:r>
    </w:p>
    <w:p>
      <w:pPr>
        <w:spacing w:line="560" w:lineRule="exact"/>
        <w:ind w:firstLine="560" w:firstLineChars="200"/>
        <w:rPr>
          <w:rFonts w:hint="eastAsia" w:ascii="Arial" w:hAnsi="Arial" w:eastAsia="仿宋_GB2312" w:cs="Arial"/>
          <w:color w:val="auto"/>
          <w:sz w:val="28"/>
          <w:highlight w:val="none"/>
          <w:lang w:eastAsia="zh-CN"/>
        </w:rPr>
      </w:pPr>
      <w:r>
        <w:rPr>
          <w:rFonts w:hint="eastAsia" w:ascii="Arial" w:hAnsi="Arial" w:eastAsia="仿宋_GB2312" w:cs="Arial"/>
          <w:color w:val="auto"/>
          <w:sz w:val="28"/>
          <w:highlight w:val="none"/>
        </w:rPr>
        <w:t>联系电话：</w:t>
      </w:r>
      <w:r>
        <w:rPr>
          <w:rFonts w:hint="eastAsia" w:ascii="Arial" w:hAnsi="Arial" w:eastAsia="仿宋_GB2312" w:cs="Arial"/>
          <w:color w:val="auto"/>
          <w:sz w:val="28"/>
          <w:highlight w:val="none"/>
          <w:lang w:eastAsia="zh-CN"/>
        </w:rPr>
        <w:t>18120535701</w:t>
      </w:r>
    </w:p>
    <w:p>
      <w:pPr>
        <w:spacing w:line="560" w:lineRule="exact"/>
        <w:ind w:firstLine="562" w:firstLineChars="200"/>
        <w:outlineLvl w:val="1"/>
        <w:rPr>
          <w:rFonts w:ascii="Arial" w:hAnsi="Arial" w:eastAsia="仿宋_GB2312" w:cs="Arial"/>
          <w:b/>
          <w:color w:val="auto"/>
          <w:sz w:val="28"/>
          <w:highlight w:val="none"/>
        </w:rPr>
      </w:pPr>
      <w:bookmarkStart w:id="95" w:name="_Toc24245"/>
      <w:r>
        <w:rPr>
          <w:rFonts w:ascii="Arial" w:hAnsi="Arial" w:eastAsia="仿宋_GB2312" w:cs="Arial"/>
          <w:b/>
          <w:color w:val="auto"/>
          <w:sz w:val="28"/>
          <w:highlight w:val="none"/>
        </w:rPr>
        <w:t>二、</w:t>
      </w:r>
      <w:r>
        <w:rPr>
          <w:rFonts w:hint="eastAsia" w:ascii="Arial" w:hAnsi="Arial" w:eastAsia="仿宋_GB2312" w:cs="Arial"/>
          <w:b/>
          <w:color w:val="auto"/>
          <w:sz w:val="28"/>
          <w:highlight w:val="none"/>
        </w:rPr>
        <w:t>房地产</w:t>
      </w:r>
      <w:r>
        <w:rPr>
          <w:rFonts w:ascii="Arial" w:hAnsi="Arial" w:eastAsia="仿宋_GB2312" w:cs="Arial"/>
          <w:b/>
          <w:color w:val="auto"/>
          <w:sz w:val="28"/>
          <w:highlight w:val="none"/>
        </w:rPr>
        <w:t>估价</w:t>
      </w:r>
      <w:r>
        <w:rPr>
          <w:rFonts w:hint="eastAsia" w:ascii="Arial" w:hAnsi="Arial" w:eastAsia="仿宋_GB2312" w:cs="Arial"/>
          <w:b/>
          <w:color w:val="auto"/>
          <w:sz w:val="28"/>
          <w:highlight w:val="none"/>
        </w:rPr>
        <w:t>机构</w:t>
      </w:r>
      <w:bookmarkEnd w:id="95"/>
    </w:p>
    <w:p>
      <w:pPr>
        <w:spacing w:line="560" w:lineRule="exact"/>
        <w:ind w:firstLine="560" w:firstLineChars="200"/>
        <w:rPr>
          <w:rFonts w:ascii="Arial" w:hAnsi="Arial" w:eastAsia="仿宋_GB2312" w:cs="Arial"/>
          <w:color w:val="auto"/>
          <w:sz w:val="28"/>
          <w:highlight w:val="none"/>
        </w:rPr>
      </w:pPr>
      <w:bookmarkStart w:id="96" w:name="_Toc137012909"/>
      <w:r>
        <w:rPr>
          <w:rFonts w:ascii="Arial" w:hAnsi="Arial" w:eastAsia="仿宋_GB2312" w:cs="Arial"/>
          <w:color w:val="auto"/>
          <w:sz w:val="28"/>
          <w:highlight w:val="none"/>
        </w:rPr>
        <w:t>单位名称：武汉天马房地资产评估有限公司</w:t>
      </w:r>
      <w:bookmarkEnd w:id="96"/>
    </w:p>
    <w:p>
      <w:pPr>
        <w:spacing w:line="560" w:lineRule="exact"/>
        <w:ind w:firstLine="560" w:firstLineChars="200"/>
        <w:rPr>
          <w:rFonts w:ascii="Arial" w:hAnsi="Arial" w:eastAsia="仿宋_GB2312" w:cs="Arial"/>
          <w:color w:val="auto"/>
          <w:sz w:val="28"/>
          <w:highlight w:val="none"/>
        </w:rPr>
      </w:pPr>
      <w:bookmarkStart w:id="97" w:name="_Toc137012910"/>
      <w:r>
        <w:rPr>
          <w:rFonts w:ascii="Arial" w:hAnsi="Arial" w:eastAsia="仿宋_GB2312" w:cs="Arial"/>
          <w:color w:val="auto"/>
          <w:sz w:val="28"/>
          <w:highlight w:val="none"/>
        </w:rPr>
        <w:t>住</w:t>
      </w:r>
      <w:r>
        <w:rPr>
          <w:rFonts w:hint="eastAsia" w:ascii="Arial" w:hAnsi="Arial" w:eastAsia="仿宋_GB2312" w:cs="Arial"/>
          <w:color w:val="auto"/>
          <w:sz w:val="28"/>
          <w:highlight w:val="none"/>
        </w:rPr>
        <w:t xml:space="preserve">    </w:t>
      </w:r>
      <w:r>
        <w:rPr>
          <w:rFonts w:ascii="Arial" w:hAnsi="Arial" w:eastAsia="仿宋_GB2312" w:cs="Arial"/>
          <w:color w:val="auto"/>
          <w:sz w:val="28"/>
          <w:highlight w:val="none"/>
        </w:rPr>
        <w:t>所：</w:t>
      </w:r>
      <w:bookmarkEnd w:id="97"/>
      <w:bookmarkStart w:id="98" w:name="_Toc137012911"/>
      <w:r>
        <w:rPr>
          <w:rFonts w:hint="eastAsia" w:ascii="Arial" w:hAnsi="Arial" w:eastAsia="仿宋_GB2312" w:cs="Arial"/>
          <w:color w:val="auto"/>
          <w:sz w:val="28"/>
          <w:highlight w:val="none"/>
        </w:rPr>
        <w:t>武汉东湖新技术开发区高新大道770号光谷科技大厦4层402室</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法人代表：马小军</w:t>
      </w:r>
      <w:bookmarkEnd w:id="98"/>
    </w:p>
    <w:p>
      <w:pPr>
        <w:spacing w:line="560" w:lineRule="exact"/>
        <w:ind w:firstLine="560" w:firstLineChars="200"/>
        <w:rPr>
          <w:rFonts w:ascii="Arial" w:hAnsi="Arial" w:eastAsia="仿宋_GB2312" w:cs="Arial"/>
          <w:color w:val="auto"/>
          <w:sz w:val="28"/>
          <w:highlight w:val="none"/>
        </w:rPr>
      </w:pPr>
      <w:bookmarkStart w:id="99" w:name="_Toc137012912"/>
      <w:r>
        <w:rPr>
          <w:rFonts w:ascii="Arial" w:hAnsi="Arial" w:eastAsia="仿宋_GB2312" w:cs="Arial"/>
          <w:color w:val="auto"/>
          <w:sz w:val="28"/>
          <w:highlight w:val="none"/>
        </w:rPr>
        <w:t>资格等级：国家一级</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资格证号：</w:t>
      </w:r>
      <w:bookmarkEnd w:id="99"/>
      <w:bookmarkStart w:id="100" w:name="_Toc137012913"/>
      <w:r>
        <w:rPr>
          <w:rFonts w:ascii="Arial" w:hAnsi="Arial" w:eastAsia="仿宋_GB2312" w:cs="Arial"/>
          <w:color w:val="auto"/>
          <w:sz w:val="28"/>
          <w:highlight w:val="none"/>
        </w:rPr>
        <w:t>建房估证字【2012】067号</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联系人：</w:t>
      </w:r>
      <w:bookmarkEnd w:id="100"/>
      <w:bookmarkStart w:id="101" w:name="_Toc137012914"/>
      <w:r>
        <w:rPr>
          <w:rFonts w:hint="eastAsia" w:ascii="Arial" w:hAnsi="Arial" w:eastAsia="仿宋_GB2312" w:cs="Arial"/>
          <w:color w:val="auto"/>
          <w:sz w:val="28"/>
          <w:highlight w:val="none"/>
        </w:rPr>
        <w:t>明铖</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联系电话：</w:t>
      </w:r>
      <w:bookmarkEnd w:id="101"/>
      <w:r>
        <w:rPr>
          <w:rFonts w:hint="eastAsia" w:ascii="Arial" w:hAnsi="Arial" w:eastAsia="仿宋_GB2312" w:cs="Arial"/>
          <w:color w:val="auto"/>
          <w:sz w:val="28"/>
          <w:highlight w:val="none"/>
        </w:rPr>
        <w:t>15671219488</w:t>
      </w:r>
    </w:p>
    <w:bookmarkEnd w:id="94"/>
    <w:p>
      <w:pPr>
        <w:spacing w:line="560" w:lineRule="exact"/>
        <w:ind w:firstLine="562" w:firstLineChars="200"/>
        <w:outlineLvl w:val="1"/>
        <w:rPr>
          <w:rFonts w:ascii="Arial" w:hAnsi="Arial" w:eastAsia="仿宋_GB2312" w:cs="Arial"/>
          <w:b/>
          <w:color w:val="auto"/>
          <w:sz w:val="28"/>
          <w:highlight w:val="none"/>
        </w:rPr>
      </w:pPr>
      <w:bookmarkStart w:id="102" w:name="_Toc391563000"/>
      <w:bookmarkStart w:id="103" w:name="_Toc10486"/>
      <w:bookmarkStart w:id="104" w:name="_Toc130975225"/>
      <w:r>
        <w:rPr>
          <w:rFonts w:hint="eastAsia" w:ascii="Arial" w:hAnsi="Arial" w:eastAsia="仿宋_GB2312" w:cs="Arial"/>
          <w:b/>
          <w:color w:val="auto"/>
          <w:sz w:val="28"/>
          <w:highlight w:val="none"/>
        </w:rPr>
        <w:t>三</w:t>
      </w:r>
      <w:r>
        <w:rPr>
          <w:rFonts w:ascii="Arial" w:hAnsi="Arial" w:eastAsia="仿宋_GB2312" w:cs="Arial"/>
          <w:b/>
          <w:color w:val="auto"/>
          <w:sz w:val="28"/>
          <w:highlight w:val="none"/>
        </w:rPr>
        <w:t>、估价目的</w:t>
      </w:r>
      <w:bookmarkEnd w:id="102"/>
      <w:bookmarkEnd w:id="103"/>
    </w:p>
    <w:p>
      <w:pPr>
        <w:spacing w:line="560" w:lineRule="exact"/>
        <w:ind w:firstLine="560" w:firstLineChars="200"/>
        <w:rPr>
          <w:rFonts w:ascii="Arial" w:hAnsi="Arial" w:eastAsia="仿宋_GB2312" w:cs="Arial"/>
          <w:color w:val="auto"/>
          <w:sz w:val="28"/>
          <w:highlight w:val="none"/>
        </w:rPr>
      </w:pPr>
      <w:bookmarkStart w:id="105" w:name="_Toc391563001"/>
      <w:r>
        <w:rPr>
          <w:rFonts w:ascii="Arial" w:hAnsi="Arial" w:eastAsia="仿宋_GB2312" w:cs="Arial"/>
          <w:color w:val="auto"/>
          <w:sz w:val="28"/>
          <w:highlight w:val="none"/>
        </w:rPr>
        <w:t>估价目的是为</w:t>
      </w:r>
      <w:r>
        <w:rPr>
          <w:rFonts w:hint="eastAsia" w:ascii="Arial" w:hAnsi="Arial" w:eastAsia="仿宋_GB2312" w:cs="Arial"/>
          <w:color w:val="auto"/>
          <w:sz w:val="28"/>
          <w:highlight w:val="none"/>
          <w:lang w:eastAsia="zh-CN"/>
        </w:rPr>
        <w:t>湖北省竹溪县人民法院</w:t>
      </w:r>
      <w:r>
        <w:rPr>
          <w:rFonts w:hint="eastAsia" w:ascii="Arial" w:hAnsi="Arial" w:eastAsia="仿宋_GB2312" w:cs="Arial"/>
          <w:color w:val="auto"/>
          <w:sz w:val="28"/>
          <w:highlight w:val="none"/>
        </w:rPr>
        <w:t>确定财产处置参考价</w:t>
      </w:r>
      <w:r>
        <w:rPr>
          <w:rFonts w:ascii="Arial" w:hAnsi="Arial" w:eastAsia="仿宋_GB2312" w:cs="Arial"/>
          <w:color w:val="auto"/>
          <w:sz w:val="28"/>
          <w:highlight w:val="none"/>
        </w:rPr>
        <w:t>提供参考依据而评估房地产市场价值。</w:t>
      </w:r>
    </w:p>
    <w:p>
      <w:pPr>
        <w:spacing w:line="560" w:lineRule="exact"/>
        <w:ind w:firstLine="562" w:firstLineChars="200"/>
        <w:outlineLvl w:val="1"/>
        <w:rPr>
          <w:rFonts w:ascii="Arial" w:hAnsi="Arial" w:eastAsia="仿宋_GB2312" w:cs="Arial"/>
          <w:b/>
          <w:color w:val="auto"/>
          <w:sz w:val="28"/>
          <w:highlight w:val="none"/>
        </w:rPr>
      </w:pPr>
      <w:bookmarkStart w:id="106" w:name="_Toc7339"/>
      <w:r>
        <w:rPr>
          <w:rFonts w:hint="eastAsia" w:ascii="Arial" w:hAnsi="Arial" w:eastAsia="仿宋_GB2312" w:cs="Arial"/>
          <w:b/>
          <w:color w:val="auto"/>
          <w:sz w:val="28"/>
          <w:highlight w:val="none"/>
        </w:rPr>
        <w:t>四</w:t>
      </w:r>
      <w:r>
        <w:rPr>
          <w:rFonts w:ascii="Arial" w:hAnsi="Arial" w:eastAsia="仿宋_GB2312" w:cs="Arial"/>
          <w:b/>
          <w:color w:val="auto"/>
          <w:sz w:val="28"/>
          <w:highlight w:val="none"/>
        </w:rPr>
        <w:t>、估价对象</w:t>
      </w:r>
      <w:bookmarkEnd w:id="105"/>
      <w:bookmarkEnd w:id="106"/>
    </w:p>
    <w:p>
      <w:pPr>
        <w:pStyle w:val="8"/>
        <w:tabs>
          <w:tab w:val="left" w:pos="6570"/>
        </w:tabs>
        <w:spacing w:line="560" w:lineRule="exact"/>
        <w:ind w:left="0" w:firstLine="560" w:firstLineChars="200"/>
        <w:rPr>
          <w:rFonts w:ascii="Arial" w:hAnsi="Arial" w:eastAsia="仿宋_GB2312" w:cs="Arial"/>
          <w:color w:val="auto"/>
          <w:highlight w:val="none"/>
        </w:rPr>
      </w:pPr>
      <w:r>
        <w:rPr>
          <w:rFonts w:ascii="Arial" w:hAnsi="Arial" w:eastAsia="仿宋_GB2312" w:cs="Arial"/>
          <w:color w:val="auto"/>
          <w:highlight w:val="none"/>
        </w:rPr>
        <w:t>（一）估价对象范围</w:t>
      </w:r>
    </w:p>
    <w:p>
      <w:pPr>
        <w:pStyle w:val="8"/>
        <w:tabs>
          <w:tab w:val="left" w:pos="6570"/>
        </w:tabs>
        <w:spacing w:line="560" w:lineRule="exact"/>
        <w:ind w:left="0" w:firstLine="560" w:firstLineChars="200"/>
        <w:rPr>
          <w:rFonts w:ascii="Arial" w:hAnsi="Arial" w:eastAsia="仿宋_GB2312" w:cs="Arial"/>
          <w:color w:val="auto"/>
          <w:highlight w:val="none"/>
        </w:rPr>
      </w:pPr>
      <w:r>
        <w:rPr>
          <w:rFonts w:ascii="Arial" w:hAnsi="Arial" w:eastAsia="仿宋_GB2312" w:cs="Arial"/>
          <w:color w:val="auto"/>
          <w:highlight w:val="none"/>
        </w:rPr>
        <w:t>（1）实物范围：</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估价对象为</w:t>
      </w:r>
      <w:r>
        <w:rPr>
          <w:rFonts w:hint="eastAsia" w:ascii="Arial" w:hAnsi="Arial" w:eastAsia="仿宋_GB2312" w:cs="Arial"/>
          <w:color w:val="auto"/>
          <w:sz w:val="28"/>
          <w:highlight w:val="none"/>
          <w:lang w:eastAsia="zh-CN"/>
        </w:rPr>
        <w:t>湖北省十堰市竹溪县城关镇鄂陕大道899号金叶花园4幢1单元202号</w:t>
      </w:r>
      <w:r>
        <w:rPr>
          <w:rFonts w:hint="eastAsia" w:ascii="Arial" w:hAnsi="Arial" w:eastAsia="仿宋_GB2312" w:cs="Arial"/>
          <w:color w:val="auto"/>
          <w:sz w:val="28"/>
          <w:highlight w:val="none"/>
          <w:lang w:val="en-US" w:eastAsia="zh-CN"/>
        </w:rPr>
        <w:t>房地产</w:t>
      </w:r>
      <w:r>
        <w:rPr>
          <w:rFonts w:ascii="Arial" w:hAnsi="Arial" w:eastAsia="仿宋_GB2312" w:cs="Arial"/>
          <w:color w:val="auto"/>
          <w:sz w:val="28"/>
          <w:highlight w:val="none"/>
        </w:rPr>
        <w:t>，</w:t>
      </w:r>
      <w:r>
        <w:rPr>
          <w:rFonts w:hint="eastAsia" w:ascii="Arial" w:hAnsi="Arial" w:eastAsia="仿宋_GB2312" w:cs="Arial"/>
          <w:color w:val="auto"/>
          <w:sz w:val="28"/>
          <w:highlight w:val="none"/>
          <w:lang w:val="en-US" w:eastAsia="zh-CN"/>
        </w:rPr>
        <w:t>不动产</w:t>
      </w:r>
      <w:r>
        <w:rPr>
          <w:rFonts w:hint="eastAsia" w:ascii="Arial" w:hAnsi="Arial" w:eastAsia="仿宋_GB2312" w:cs="Arial"/>
          <w:color w:val="auto"/>
          <w:sz w:val="28"/>
          <w:highlight w:val="none"/>
        </w:rPr>
        <w:t>登记用途</w:t>
      </w:r>
      <w:r>
        <w:rPr>
          <w:rFonts w:ascii="Arial" w:hAnsi="Arial" w:eastAsia="仿宋_GB2312" w:cs="Arial"/>
          <w:color w:val="auto"/>
          <w:sz w:val="28"/>
          <w:highlight w:val="none"/>
        </w:rPr>
        <w:t>为</w:t>
      </w:r>
      <w:r>
        <w:rPr>
          <w:rFonts w:hint="eastAsia" w:ascii="Arial" w:hAnsi="Arial" w:eastAsia="仿宋_GB2312" w:cs="Arial"/>
          <w:color w:val="auto"/>
          <w:sz w:val="28"/>
          <w:highlight w:val="none"/>
        </w:rPr>
        <w:t>住宅，</w:t>
      </w:r>
      <w:r>
        <w:rPr>
          <w:rFonts w:hint="eastAsia" w:ascii="Arial" w:hAnsi="Arial" w:eastAsia="仿宋_GB2312" w:cs="Arial"/>
          <w:color w:val="auto"/>
          <w:sz w:val="28"/>
          <w:highlight w:val="none"/>
          <w:lang w:val="en-US" w:eastAsia="zh-CN"/>
        </w:rPr>
        <w:t>房屋</w:t>
      </w:r>
      <w:r>
        <w:rPr>
          <w:rFonts w:hint="eastAsia" w:ascii="Arial" w:hAnsi="Arial" w:eastAsia="仿宋_GB2312" w:cs="Arial"/>
          <w:color w:val="auto"/>
          <w:sz w:val="28"/>
          <w:highlight w:val="none"/>
        </w:rPr>
        <w:t>建筑面积</w:t>
      </w:r>
      <w:r>
        <w:rPr>
          <w:rFonts w:hint="eastAsia" w:ascii="Arial" w:hAnsi="Arial" w:eastAsia="仿宋_GB2312" w:cs="Arial"/>
          <w:color w:val="auto"/>
          <w:sz w:val="28"/>
          <w:highlight w:val="none"/>
          <w:lang w:eastAsia="zh-CN"/>
        </w:rPr>
        <w:t>130.16</w:t>
      </w:r>
      <w:r>
        <w:rPr>
          <w:rFonts w:hint="eastAsia" w:ascii="Arial" w:hAnsi="Arial" w:eastAsia="仿宋_GB2312" w:cs="Arial"/>
          <w:color w:val="auto"/>
          <w:sz w:val="28"/>
          <w:highlight w:val="none"/>
        </w:rPr>
        <w:t>平方米；土地使用权类型为出让，本次评估假设其土地使用权能合法分摊。</w:t>
      </w:r>
    </w:p>
    <w:p>
      <w:pPr>
        <w:pStyle w:val="8"/>
        <w:tabs>
          <w:tab w:val="left" w:pos="6570"/>
        </w:tabs>
        <w:spacing w:line="560" w:lineRule="exact"/>
        <w:ind w:left="0" w:firstLine="560" w:firstLineChars="200"/>
        <w:rPr>
          <w:rFonts w:ascii="Arial" w:hAnsi="Arial" w:eastAsia="仿宋_GB2312" w:cs="Arial"/>
          <w:color w:val="auto"/>
          <w:highlight w:val="none"/>
        </w:rPr>
      </w:pPr>
      <w:r>
        <w:rPr>
          <w:rFonts w:ascii="Arial" w:hAnsi="Arial" w:eastAsia="仿宋_GB2312" w:cs="Arial"/>
          <w:color w:val="auto"/>
          <w:highlight w:val="none"/>
        </w:rPr>
        <w:t>（2）房地产权利价值范围：</w:t>
      </w:r>
    </w:p>
    <w:p>
      <w:pPr>
        <w:pStyle w:val="8"/>
        <w:tabs>
          <w:tab w:val="left" w:pos="6570"/>
        </w:tabs>
        <w:spacing w:line="560" w:lineRule="exact"/>
        <w:ind w:left="0" w:firstLine="560" w:firstLineChars="200"/>
        <w:rPr>
          <w:rFonts w:ascii="Arial" w:hAnsi="Arial" w:eastAsia="仿宋_GB2312" w:cs="Arial"/>
          <w:color w:val="auto"/>
          <w:sz w:val="18"/>
          <w:szCs w:val="18"/>
          <w:highlight w:val="none"/>
        </w:rPr>
      </w:pPr>
      <w:r>
        <w:rPr>
          <w:rFonts w:hint="eastAsia" w:ascii="Arial" w:hAnsi="Arial" w:eastAsia="仿宋_GB2312" w:cs="Arial"/>
          <w:color w:val="auto"/>
          <w:highlight w:val="none"/>
        </w:rPr>
        <w:t>本次估价结果包含估价对象的房屋所有权、所分摊的土地使用权，以及确保其正常使用功能不可分割的公共配套及附属设施、室内装饰装修的权利价值，不包含室内可移动家具家电等室内物品的价值。</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（二）估价对象实物状况</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（1）建筑物实物状况</w:t>
      </w:r>
    </w:p>
    <w:p>
      <w:pPr>
        <w:pStyle w:val="8"/>
        <w:tabs>
          <w:tab w:val="left" w:pos="6570"/>
        </w:tabs>
        <w:spacing w:line="53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估价对象为</w:t>
      </w:r>
      <w:r>
        <w:rPr>
          <w:rFonts w:hint="eastAsia" w:ascii="Arial" w:hAnsi="Arial" w:eastAsia="仿宋_GB2312" w:cs="Arial"/>
          <w:color w:val="auto"/>
          <w:highlight w:val="none"/>
          <w:lang w:eastAsia="zh-CN"/>
        </w:rPr>
        <w:t>湖北省十堰市竹溪县城关镇鄂陕大道899号金叶花园4幢1单元202号</w:t>
      </w:r>
      <w:r>
        <w:rPr>
          <w:rFonts w:hint="eastAsia" w:ascii="Arial" w:hAnsi="Arial" w:eastAsia="仿宋_GB2312" w:cs="Arial"/>
          <w:color w:val="auto"/>
          <w:highlight w:val="none"/>
        </w:rPr>
        <w:t>住宅房地产，整栋房屋外墙为</w:t>
      </w:r>
      <w:r>
        <w:rPr>
          <w:rFonts w:hint="eastAsia" w:ascii="Arial" w:hAnsi="Arial" w:eastAsia="仿宋_GB2312" w:cs="Arial"/>
          <w:color w:val="auto"/>
          <w:highlight w:val="none"/>
          <w:lang w:val="en-US" w:eastAsia="zh-CN"/>
        </w:rPr>
        <w:t>水泥砂浆，</w:t>
      </w:r>
      <w:r>
        <w:rPr>
          <w:rFonts w:hint="eastAsia" w:ascii="Arial" w:hAnsi="Arial" w:eastAsia="仿宋_GB2312" w:cs="Arial"/>
          <w:color w:val="auto"/>
          <w:highlight w:val="none"/>
        </w:rPr>
        <w:t>建成时间约为2004年，房屋为</w:t>
      </w:r>
      <w:r>
        <w:rPr>
          <w:rFonts w:hint="eastAsia" w:ascii="Arial" w:hAnsi="Arial" w:eastAsia="仿宋_GB2312" w:cs="Arial"/>
          <w:color w:val="auto"/>
          <w:highlight w:val="none"/>
          <w:lang w:val="en-US" w:eastAsia="zh-CN"/>
        </w:rPr>
        <w:t>混合</w:t>
      </w:r>
      <w:r>
        <w:rPr>
          <w:rFonts w:hint="eastAsia" w:ascii="Arial" w:hAnsi="Arial" w:eastAsia="仿宋_GB2312" w:cs="Arial"/>
          <w:color w:val="auto"/>
          <w:highlight w:val="none"/>
        </w:rPr>
        <w:t>结构步梯房，</w:t>
      </w:r>
      <w:r>
        <w:rPr>
          <w:rFonts w:hint="eastAsia" w:ascii="Arial" w:hAnsi="Arial" w:eastAsia="仿宋_GB2312" w:cs="Arial"/>
          <w:color w:val="auto"/>
          <w:highlight w:val="none"/>
          <w:lang w:val="en-US" w:eastAsia="zh-CN"/>
        </w:rPr>
        <w:t>总楼层为7层。本次估价对象位于第2层，其入户门有“2•02”标识，房屋建筑面积130.16平方米，房屋登记用途为住宅，</w:t>
      </w:r>
      <w:r>
        <w:rPr>
          <w:rFonts w:ascii="Arial" w:hAnsi="Arial" w:eastAsia="仿宋_GB2312" w:cs="Arial"/>
          <w:color w:val="auto"/>
          <w:sz w:val="28"/>
          <w:szCs w:val="28"/>
          <w:highlight w:val="none"/>
        </w:rPr>
        <w:t>实地查勘时，</w:t>
      </w:r>
      <w:r>
        <w:rPr>
          <w:rFonts w:hint="eastAsia" w:ascii="Arial" w:hAnsi="Arial" w:eastAsia="仿宋_GB2312" w:cs="Arial"/>
          <w:color w:val="auto"/>
          <w:sz w:val="28"/>
          <w:szCs w:val="28"/>
          <w:highlight w:val="none"/>
        </w:rPr>
        <w:t>因被申请人原因，</w:t>
      </w:r>
      <w:r>
        <w:rPr>
          <w:rFonts w:ascii="Arial" w:hAnsi="Arial" w:eastAsia="仿宋_GB2312" w:cs="Arial"/>
          <w:color w:val="auto"/>
          <w:sz w:val="28"/>
          <w:szCs w:val="28"/>
          <w:highlight w:val="none"/>
        </w:rPr>
        <w:t>注册房地产估价师及领勘人不能进入估价对象内部进行实地查勘，</w:t>
      </w:r>
      <w:r>
        <w:rPr>
          <w:rFonts w:hint="eastAsia" w:ascii="Arial" w:hAnsi="Arial" w:eastAsia="仿宋_GB2312" w:cs="Arial"/>
          <w:color w:val="auto"/>
          <w:sz w:val="28"/>
          <w:szCs w:val="28"/>
          <w:highlight w:val="none"/>
          <w:lang w:val="en-US" w:eastAsia="zh-CN"/>
        </w:rPr>
        <w:t>其室内使用状况未知，</w:t>
      </w:r>
      <w:r>
        <w:rPr>
          <w:rFonts w:ascii="Arial" w:hAnsi="Arial" w:eastAsia="仿宋_GB2312" w:cs="Arial"/>
          <w:color w:val="auto"/>
          <w:sz w:val="28"/>
          <w:highlight w:val="none"/>
        </w:rPr>
        <w:t>估价人员对估价对象的外部状况和区位状况进行了实地查勘。</w:t>
      </w:r>
      <w:r>
        <w:rPr>
          <w:rFonts w:hint="eastAsia" w:ascii="Arial" w:hAnsi="Arial" w:eastAsia="仿宋_GB2312" w:cs="Arial"/>
          <w:bCs/>
          <w:color w:val="auto"/>
          <w:sz w:val="28"/>
          <w:highlight w:val="none"/>
        </w:rPr>
        <w:t>估价对象入户门为</w:t>
      </w:r>
      <w:r>
        <w:rPr>
          <w:rFonts w:hint="eastAsia" w:ascii="Arial" w:hAnsi="Arial" w:eastAsia="仿宋_GB2312" w:cs="Arial"/>
          <w:bCs/>
          <w:color w:val="auto"/>
          <w:sz w:val="28"/>
          <w:highlight w:val="none"/>
          <w:lang w:val="en-US" w:eastAsia="zh-CN"/>
        </w:rPr>
        <w:t>防盗门</w:t>
      </w:r>
      <w:r>
        <w:rPr>
          <w:rFonts w:hint="eastAsia" w:ascii="Arial" w:hAnsi="Arial" w:eastAsia="仿宋_GB2312" w:cs="Arial"/>
          <w:bCs/>
          <w:color w:val="auto"/>
          <w:sz w:val="28"/>
          <w:highlight w:val="none"/>
        </w:rPr>
        <w:t>，窗为铝合金玻璃窗，</w:t>
      </w:r>
      <w:r>
        <w:rPr>
          <w:rFonts w:hint="eastAsia" w:ascii="Arial" w:hAnsi="Arial" w:eastAsia="仿宋_GB2312" w:cs="Arial"/>
          <w:color w:val="auto"/>
          <w:sz w:val="28"/>
          <w:highlight w:val="none"/>
        </w:rPr>
        <w:t>估价师通过实地查勘及向小区物业管理处了解</w:t>
      </w:r>
      <w:r>
        <w:rPr>
          <w:rFonts w:hint="eastAsia" w:ascii="Arial" w:hAnsi="Arial" w:eastAsia="仿宋_GB2312" w:cs="Arial"/>
          <w:color w:val="auto"/>
          <w:sz w:val="28"/>
          <w:highlight w:val="none"/>
          <w:lang w:eastAsia="zh-CN"/>
        </w:rPr>
        <w:t>，</w:t>
      </w:r>
      <w:r>
        <w:rPr>
          <w:rFonts w:hint="eastAsia" w:ascii="Arial" w:hAnsi="Arial" w:eastAsia="仿宋_GB2312" w:cs="Arial"/>
          <w:color w:val="auto"/>
          <w:sz w:val="28"/>
          <w:highlight w:val="none"/>
          <w:lang w:val="en-US" w:eastAsia="zh-CN"/>
        </w:rPr>
        <w:t>估价对象室内已装修；</w:t>
      </w:r>
      <w:r>
        <w:rPr>
          <w:rFonts w:hint="eastAsia" w:ascii="Arial" w:hAnsi="Arial" w:eastAsia="仿宋_GB2312" w:cs="Arial"/>
          <w:color w:val="auto"/>
          <w:sz w:val="28"/>
          <w:highlight w:val="none"/>
        </w:rPr>
        <w:t>经与</w:t>
      </w:r>
      <w:r>
        <w:rPr>
          <w:rFonts w:hint="eastAsia" w:ascii="Arial" w:hAnsi="Arial" w:eastAsia="仿宋_GB2312" w:cs="Arial"/>
          <w:color w:val="auto"/>
          <w:sz w:val="28"/>
          <w:highlight w:val="none"/>
          <w:lang w:val="en-US" w:eastAsia="zh-CN"/>
        </w:rPr>
        <w:t>估价</w:t>
      </w:r>
      <w:r>
        <w:rPr>
          <w:rFonts w:hint="eastAsia" w:ascii="Arial" w:hAnsi="Arial" w:eastAsia="仿宋_GB2312" w:cs="Arial"/>
          <w:color w:val="auto"/>
          <w:sz w:val="28"/>
          <w:highlight w:val="none"/>
        </w:rPr>
        <w:t>委托人书面沟通确定，本次评估</w:t>
      </w:r>
      <w:r>
        <w:rPr>
          <w:rFonts w:hint="eastAsia" w:ascii="Arial" w:hAnsi="Arial" w:eastAsia="仿宋_GB2312" w:cs="Arial"/>
          <w:color w:val="auto"/>
          <w:sz w:val="28"/>
          <w:highlight w:val="none"/>
          <w:lang w:val="en-US" w:eastAsia="zh-CN"/>
        </w:rPr>
        <w:t>以其室内</w:t>
      </w:r>
      <w:r>
        <w:rPr>
          <w:rFonts w:hint="eastAsia" w:ascii="Arial" w:hAnsi="Arial" w:eastAsia="仿宋_GB2312" w:cs="Arial"/>
          <w:color w:val="auto"/>
          <w:sz w:val="28"/>
          <w:highlight w:val="none"/>
        </w:rPr>
        <w:t>满足居住</w:t>
      </w:r>
      <w:r>
        <w:rPr>
          <w:rFonts w:hint="eastAsia" w:ascii="Arial" w:hAnsi="Arial" w:eastAsia="仿宋_GB2312" w:cs="Arial"/>
          <w:color w:val="auto"/>
          <w:sz w:val="28"/>
          <w:highlight w:val="none"/>
          <w:lang w:val="en-US" w:eastAsia="zh-CN"/>
        </w:rPr>
        <w:t>所</w:t>
      </w:r>
      <w:r>
        <w:rPr>
          <w:rFonts w:hint="eastAsia" w:ascii="Arial" w:hAnsi="Arial" w:eastAsia="仿宋_GB2312" w:cs="Arial"/>
          <w:color w:val="auto"/>
          <w:sz w:val="28"/>
          <w:highlight w:val="none"/>
        </w:rPr>
        <w:t>要求的</w:t>
      </w:r>
      <w:r>
        <w:rPr>
          <w:rFonts w:hint="eastAsia" w:ascii="Arial" w:hAnsi="Arial" w:eastAsia="仿宋_GB2312" w:cs="Arial"/>
          <w:color w:val="auto"/>
          <w:sz w:val="28"/>
          <w:highlight w:val="none"/>
          <w:lang w:val="en-US" w:eastAsia="zh-CN"/>
        </w:rPr>
        <w:t>一般</w:t>
      </w:r>
      <w:r>
        <w:rPr>
          <w:rFonts w:hint="eastAsia" w:ascii="Arial" w:hAnsi="Arial" w:eastAsia="仿宋_GB2312" w:cs="Arial"/>
          <w:color w:val="auto"/>
          <w:sz w:val="28"/>
          <w:highlight w:val="none"/>
        </w:rPr>
        <w:t>装修为估价假设前提</w:t>
      </w:r>
      <w:r>
        <w:rPr>
          <w:rFonts w:hint="eastAsia" w:ascii="Arial" w:hAnsi="Arial" w:eastAsia="仿宋_GB2312" w:cs="Arial"/>
          <w:color w:val="auto"/>
          <w:sz w:val="28"/>
          <w:highlight w:val="none"/>
          <w:lang w:eastAsia="zh-CN"/>
        </w:rPr>
        <w:t>。</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估价对象所在房屋承重构件完好无损，非承重墙完好坚固，整体面层平整基本完好，地基基础有足够的承载力，无不均匀沉降，楼地面平整，门窗基本完好。上下水管道通畅，维护、保养较好。</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w:t>
      </w:r>
      <w:r>
        <w:rPr>
          <w:rFonts w:ascii="Arial" w:hAnsi="Arial" w:eastAsia="仿宋_GB2312" w:cs="Arial"/>
          <w:color w:val="auto"/>
          <w:highlight w:val="none"/>
        </w:rPr>
        <w:t>土地</w:t>
      </w:r>
      <w:r>
        <w:rPr>
          <w:rFonts w:hint="eastAsia" w:ascii="Arial" w:hAnsi="Arial" w:eastAsia="仿宋_GB2312" w:cs="Arial"/>
          <w:color w:val="auto"/>
          <w:highlight w:val="none"/>
        </w:rPr>
        <w:t>实物</w:t>
      </w:r>
      <w:r>
        <w:rPr>
          <w:rFonts w:ascii="Arial" w:hAnsi="Arial" w:eastAsia="仿宋_GB2312" w:cs="Arial"/>
          <w:color w:val="auto"/>
          <w:highlight w:val="none"/>
        </w:rPr>
        <w:t>状况</w:t>
      </w:r>
    </w:p>
    <w:p>
      <w:pPr>
        <w:pStyle w:val="8"/>
        <w:tabs>
          <w:tab w:val="left" w:pos="6570"/>
        </w:tabs>
        <w:spacing w:line="560" w:lineRule="exact"/>
        <w:ind w:left="0" w:firstLine="560" w:firstLineChars="200"/>
        <w:jc w:val="left"/>
        <w:rPr>
          <w:rFonts w:ascii="Arial" w:hAnsi="Arial" w:eastAsia="仿宋_GB2312" w:cs="Arial"/>
          <w:color w:val="auto"/>
          <w:highlight w:val="none"/>
        </w:rPr>
      </w:pPr>
      <w:r>
        <w:rPr>
          <w:rFonts w:ascii="Arial" w:hAnsi="Arial" w:eastAsia="仿宋_GB2312" w:cs="Arial"/>
          <w:color w:val="auto"/>
          <w:highlight w:val="none"/>
        </w:rPr>
        <w:t>根据估价委托人提供的</w:t>
      </w:r>
      <w:r>
        <w:rPr>
          <w:rFonts w:hint="eastAsia" w:ascii="Arial" w:hAnsi="Arial" w:eastAsia="仿宋_GB2312" w:cs="Arial"/>
          <w:color w:val="auto"/>
          <w:highlight w:val="none"/>
          <w:lang w:eastAsia="zh-CN"/>
        </w:rPr>
        <w:t>《不动产登记信息》</w:t>
      </w:r>
      <w:r>
        <w:rPr>
          <w:rFonts w:hint="eastAsia" w:ascii="Arial" w:hAnsi="Arial" w:eastAsia="仿宋_GB2312" w:cs="Arial"/>
          <w:color w:val="auto"/>
          <w:highlight w:val="none"/>
        </w:rPr>
        <w:t>复印件，结合估价</w:t>
      </w:r>
      <w:r>
        <w:rPr>
          <w:rFonts w:ascii="Arial" w:hAnsi="Arial" w:eastAsia="仿宋_GB2312" w:cs="Arial"/>
          <w:color w:val="auto"/>
          <w:highlight w:val="none"/>
        </w:rPr>
        <w:t>人员实地查勘，</w:t>
      </w:r>
      <w:r>
        <w:rPr>
          <w:rFonts w:hint="eastAsia" w:ascii="Arial" w:hAnsi="Arial" w:eastAsia="仿宋_GB2312" w:cs="Arial"/>
          <w:color w:val="auto"/>
          <w:highlight w:val="none"/>
        </w:rPr>
        <w:t>估价对象所在宗地位于</w:t>
      </w:r>
      <w:r>
        <w:rPr>
          <w:rFonts w:hint="eastAsia" w:ascii="Arial" w:hAnsi="Arial" w:eastAsia="仿宋_GB2312" w:cs="Arial"/>
          <w:color w:val="auto"/>
          <w:highlight w:val="none"/>
          <w:lang w:eastAsia="zh-CN"/>
        </w:rPr>
        <w:t>竹溪县城关镇鄂陕大道899号金叶花园</w:t>
      </w:r>
      <w:r>
        <w:rPr>
          <w:rFonts w:hint="eastAsia" w:ascii="Arial" w:hAnsi="Arial" w:eastAsia="仿宋_GB2312" w:cs="Arial"/>
          <w:color w:val="auto"/>
          <w:highlight w:val="none"/>
        </w:rPr>
        <w:t>，所在小区</w:t>
      </w:r>
      <w:r>
        <w:rPr>
          <w:rFonts w:hint="eastAsia" w:ascii="Arial" w:hAnsi="Arial" w:eastAsia="仿宋_GB2312" w:cs="Arial"/>
          <w:color w:val="auto"/>
          <w:highlight w:val="none"/>
          <w:lang w:eastAsia="zh-CN"/>
        </w:rPr>
        <w:t>东临居民楼，南至居民楼，西至区间小路，北至鄂陕大道</w:t>
      </w:r>
      <w:r>
        <w:rPr>
          <w:rFonts w:hint="eastAsia" w:ascii="Arial" w:hAnsi="Arial" w:eastAsia="仿宋_GB2312" w:cs="Arial"/>
          <w:color w:val="auto"/>
          <w:highlight w:val="none"/>
        </w:rPr>
        <w:t>。地势较平缓，地质状况良好；宗地红线内、外六通（通给水、通排水、通电、通路、通讯、通气）一平（宗地红线范围内土地平整）；地上已建成多栋住宅楼，已投入使用。</w:t>
      </w:r>
    </w:p>
    <w:p>
      <w:pPr>
        <w:pStyle w:val="8"/>
        <w:tabs>
          <w:tab w:val="left" w:pos="6570"/>
        </w:tabs>
        <w:spacing w:line="560" w:lineRule="exact"/>
        <w:ind w:left="0" w:firstLine="560" w:firstLineChars="200"/>
        <w:rPr>
          <w:rFonts w:ascii="Arial" w:hAnsi="Arial" w:eastAsia="仿宋_GB2312" w:cs="Arial"/>
          <w:color w:val="auto"/>
          <w:highlight w:val="none"/>
        </w:rPr>
      </w:pPr>
      <w:r>
        <w:rPr>
          <w:rFonts w:ascii="Arial" w:hAnsi="Arial" w:eastAsia="仿宋_GB2312" w:cs="Arial"/>
          <w:color w:val="auto"/>
          <w:highlight w:val="none"/>
        </w:rPr>
        <w:t>（</w:t>
      </w:r>
      <w:r>
        <w:rPr>
          <w:rFonts w:hint="eastAsia" w:ascii="Arial" w:hAnsi="Arial" w:eastAsia="仿宋_GB2312" w:cs="Arial"/>
          <w:color w:val="auto"/>
          <w:highlight w:val="none"/>
        </w:rPr>
        <w:t>三</w:t>
      </w:r>
      <w:r>
        <w:rPr>
          <w:rFonts w:ascii="Arial" w:hAnsi="Arial" w:eastAsia="仿宋_GB2312" w:cs="Arial"/>
          <w:color w:val="auto"/>
          <w:highlight w:val="none"/>
        </w:rPr>
        <w:t>）</w:t>
      </w:r>
      <w:r>
        <w:rPr>
          <w:rFonts w:hint="eastAsia" w:ascii="Arial" w:hAnsi="Arial" w:eastAsia="仿宋_GB2312" w:cs="Arial"/>
          <w:color w:val="auto"/>
          <w:highlight w:val="none"/>
        </w:rPr>
        <w:t>估价对象</w:t>
      </w:r>
      <w:r>
        <w:rPr>
          <w:rFonts w:ascii="Arial" w:hAnsi="Arial" w:eastAsia="仿宋_GB2312" w:cs="Arial"/>
          <w:color w:val="auto"/>
          <w:highlight w:val="none"/>
        </w:rPr>
        <w:t>权</w:t>
      </w:r>
      <w:r>
        <w:rPr>
          <w:rFonts w:hint="eastAsia" w:ascii="Arial" w:hAnsi="Arial" w:eastAsia="仿宋_GB2312" w:cs="Arial"/>
          <w:color w:val="auto"/>
          <w:highlight w:val="none"/>
        </w:rPr>
        <w:t>益</w:t>
      </w:r>
      <w:r>
        <w:rPr>
          <w:rFonts w:ascii="Arial" w:hAnsi="Arial" w:eastAsia="仿宋_GB2312" w:cs="Arial"/>
          <w:color w:val="auto"/>
          <w:highlight w:val="none"/>
        </w:rPr>
        <w:t>状况</w:t>
      </w:r>
    </w:p>
    <w:p>
      <w:pPr>
        <w:spacing w:line="560"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1、房地产权属登记状况</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根据估价委托人提供的</w:t>
      </w:r>
      <w:r>
        <w:rPr>
          <w:rFonts w:hint="eastAsia" w:ascii="Arial" w:hAnsi="Arial" w:eastAsia="仿宋_GB2312" w:cs="Arial"/>
          <w:color w:val="auto"/>
          <w:sz w:val="28"/>
          <w:highlight w:val="none"/>
          <w:lang w:eastAsia="zh-CN"/>
        </w:rPr>
        <w:t>《不动产登记信息》</w:t>
      </w:r>
      <w:r>
        <w:rPr>
          <w:rFonts w:hint="eastAsia" w:ascii="Arial" w:hAnsi="Arial" w:eastAsia="仿宋_GB2312" w:cs="Arial"/>
          <w:color w:val="auto"/>
          <w:sz w:val="28"/>
          <w:highlight w:val="none"/>
        </w:rPr>
        <w:t>复印件记载，估价对象房地产登记状况如下：</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①</w:t>
      </w:r>
      <w:r>
        <w:rPr>
          <w:rFonts w:hint="eastAsia" w:ascii="Arial" w:hAnsi="Arial" w:eastAsia="仿宋_GB2312" w:cs="Arial"/>
          <w:color w:val="auto"/>
          <w:sz w:val="28"/>
          <w:highlight w:val="none"/>
        </w:rPr>
        <w:t>权利人</w:t>
      </w:r>
      <w:r>
        <w:rPr>
          <w:rFonts w:ascii="Arial" w:hAnsi="Arial" w:eastAsia="仿宋_GB2312" w:cs="Arial"/>
          <w:color w:val="auto"/>
          <w:sz w:val="28"/>
          <w:highlight w:val="none"/>
        </w:rPr>
        <w:t>：</w:t>
      </w:r>
      <w:r>
        <w:rPr>
          <w:rFonts w:hint="eastAsia" w:ascii="Arial" w:hAnsi="Arial" w:eastAsia="仿宋_GB2312" w:cs="Arial"/>
          <w:color w:val="auto"/>
          <w:sz w:val="28"/>
          <w:highlight w:val="none"/>
          <w:lang w:eastAsia="zh-CN"/>
        </w:rPr>
        <w:t>沈德安</w:t>
      </w:r>
      <w:r>
        <w:rPr>
          <w:rFonts w:ascii="Arial" w:hAnsi="Arial" w:eastAsia="仿宋_GB2312" w:cs="Arial"/>
          <w:color w:val="auto"/>
          <w:sz w:val="28"/>
          <w:highlight w:val="none"/>
        </w:rPr>
        <w:t>；</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②</w:t>
      </w:r>
      <w:r>
        <w:rPr>
          <w:rFonts w:hint="eastAsia" w:ascii="Arial" w:hAnsi="Arial" w:eastAsia="仿宋_GB2312" w:cs="Arial"/>
          <w:color w:val="auto"/>
          <w:sz w:val="28"/>
          <w:highlight w:val="none"/>
        </w:rPr>
        <w:t>共有情况：单独所有；</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③</w:t>
      </w:r>
      <w:r>
        <w:rPr>
          <w:rFonts w:hint="eastAsia" w:ascii="Arial" w:hAnsi="Arial" w:eastAsia="仿宋_GB2312" w:cs="Arial"/>
          <w:color w:val="auto"/>
          <w:sz w:val="28"/>
          <w:highlight w:val="none"/>
        </w:rPr>
        <w:t>不动产</w:t>
      </w:r>
      <w:r>
        <w:rPr>
          <w:rFonts w:ascii="Arial" w:hAnsi="Arial" w:eastAsia="仿宋_GB2312" w:cs="Arial"/>
          <w:color w:val="auto"/>
          <w:sz w:val="28"/>
          <w:highlight w:val="none"/>
        </w:rPr>
        <w:t>坐落：</w:t>
      </w:r>
      <w:r>
        <w:rPr>
          <w:rFonts w:hint="eastAsia" w:ascii="Arial" w:hAnsi="Arial" w:eastAsia="仿宋_GB2312" w:cs="Arial"/>
          <w:color w:val="auto"/>
          <w:sz w:val="28"/>
          <w:highlight w:val="none"/>
          <w:lang w:eastAsia="zh-CN"/>
        </w:rPr>
        <w:t>湖北省十堰市竹溪县城关镇鄂陕大道899号金叶花园4幢1单元202号</w:t>
      </w:r>
      <w:r>
        <w:rPr>
          <w:rFonts w:ascii="Arial" w:hAnsi="Arial" w:eastAsia="仿宋_GB2312" w:cs="Arial"/>
          <w:color w:val="auto"/>
          <w:sz w:val="28"/>
          <w:highlight w:val="none"/>
        </w:rPr>
        <w:t>；</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④</w:t>
      </w:r>
      <w:r>
        <w:rPr>
          <w:rFonts w:ascii="Arial" w:hAnsi="Arial" w:eastAsia="仿宋_GB2312" w:cs="Arial"/>
          <w:color w:val="auto"/>
          <w:sz w:val="28"/>
          <w:szCs w:val="20"/>
          <w:highlight w:val="none"/>
        </w:rPr>
        <w:t>所在楼层/总楼层：</w:t>
      </w:r>
      <w:r>
        <w:rPr>
          <w:rFonts w:hint="eastAsia" w:ascii="Arial" w:hAnsi="Arial" w:eastAsia="仿宋_GB2312" w:cs="Arial"/>
          <w:color w:val="auto"/>
          <w:sz w:val="28"/>
          <w:szCs w:val="20"/>
          <w:highlight w:val="none"/>
          <w:lang w:val="en-US" w:eastAsia="zh-CN"/>
        </w:rPr>
        <w:t>2/7</w:t>
      </w:r>
      <w:r>
        <w:rPr>
          <w:rFonts w:ascii="Arial" w:hAnsi="Arial" w:eastAsia="仿宋_GB2312" w:cs="Arial"/>
          <w:color w:val="auto"/>
          <w:sz w:val="28"/>
          <w:highlight w:val="none"/>
        </w:rPr>
        <w:t>；</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5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⑤</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highlight w:val="none"/>
        </w:rPr>
        <w:t>不动产单元号：</w:t>
      </w:r>
      <w:r>
        <w:rPr>
          <w:rFonts w:hint="eastAsia" w:ascii="Arial" w:hAnsi="Arial" w:eastAsia="仿宋_GB2312" w:cs="Arial"/>
          <w:color w:val="auto"/>
          <w:sz w:val="28"/>
          <w:highlight w:val="none"/>
          <w:lang w:eastAsia="zh-CN"/>
        </w:rPr>
        <w:t>420324018009GB00401F00020016</w:t>
      </w:r>
      <w:r>
        <w:rPr>
          <w:rFonts w:hint="eastAsia" w:ascii="Arial" w:hAnsi="Arial" w:eastAsia="仿宋_GB2312" w:cs="Arial"/>
          <w:color w:val="auto"/>
          <w:sz w:val="28"/>
          <w:highlight w:val="none"/>
        </w:rPr>
        <w:t>；</w:t>
      </w:r>
    </w:p>
    <w:p>
      <w:pPr>
        <w:spacing w:line="560" w:lineRule="exact"/>
        <w:ind w:firstLine="560" w:firstLineChars="200"/>
        <w:rPr>
          <w:rFonts w:hint="eastAsia" w:ascii="Arial" w:hAnsi="Arial" w:eastAsia="仿宋_GB2312" w:cs="Arial"/>
          <w:color w:val="auto"/>
          <w:sz w:val="28"/>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6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⑥</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highlight w:val="none"/>
        </w:rPr>
        <w:t>建筑面积：</w:t>
      </w:r>
      <w:r>
        <w:rPr>
          <w:rFonts w:hint="eastAsia" w:ascii="Arial" w:hAnsi="Arial" w:eastAsia="仿宋_GB2312" w:cs="Arial"/>
          <w:color w:val="auto"/>
          <w:sz w:val="28"/>
          <w:highlight w:val="none"/>
          <w:lang w:eastAsia="zh-CN"/>
        </w:rPr>
        <w:t>130.16</w:t>
      </w:r>
      <w:r>
        <w:rPr>
          <w:rFonts w:hint="eastAsia" w:ascii="Arial" w:hAnsi="Arial" w:eastAsia="仿宋_GB2312" w:cs="Arial"/>
          <w:color w:val="auto"/>
          <w:sz w:val="28"/>
          <w:highlight w:val="none"/>
        </w:rPr>
        <w:t>平方米；</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t>⑦</w:t>
      </w:r>
      <w:r>
        <w:rPr>
          <w:rFonts w:hint="eastAsia" w:ascii="Arial" w:hAnsi="Arial" w:eastAsia="仿宋_GB2312" w:cs="Arial"/>
          <w:color w:val="auto"/>
          <w:sz w:val="28"/>
          <w:szCs w:val="20"/>
          <w:highlight w:val="none"/>
        </w:rPr>
        <w:t>权利性质：出让/市场化商品房</w:t>
      </w:r>
      <w:r>
        <w:rPr>
          <w:rFonts w:ascii="Arial" w:hAnsi="Arial" w:eastAsia="仿宋_GB2312" w:cs="Arial"/>
          <w:color w:val="auto"/>
          <w:sz w:val="28"/>
          <w:szCs w:val="20"/>
          <w:highlight w:val="none"/>
        </w:rPr>
        <w:t>；</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8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⑧</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用途：住宅</w:t>
      </w:r>
      <w:r>
        <w:rPr>
          <w:rFonts w:ascii="Arial" w:hAnsi="Arial" w:eastAsia="仿宋_GB2312" w:cs="Arial"/>
          <w:color w:val="auto"/>
          <w:sz w:val="28"/>
          <w:szCs w:val="20"/>
          <w:highlight w:val="none"/>
        </w:rPr>
        <w:t>；</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9 \* GB3 \* MERGEFORMAT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⑨</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房屋结构：</w:t>
      </w:r>
      <w:r>
        <w:rPr>
          <w:rFonts w:hint="eastAsia" w:ascii="Arial" w:hAnsi="Arial" w:eastAsia="仿宋_GB2312" w:cs="Arial"/>
          <w:color w:val="auto"/>
          <w:sz w:val="28"/>
          <w:szCs w:val="20"/>
          <w:highlight w:val="none"/>
          <w:lang w:val="en-US" w:eastAsia="zh-CN"/>
        </w:rPr>
        <w:t>混合</w:t>
      </w:r>
      <w:r>
        <w:rPr>
          <w:rFonts w:hint="eastAsia" w:ascii="Arial" w:hAnsi="Arial" w:eastAsia="仿宋_GB2312" w:cs="Arial"/>
          <w:color w:val="auto"/>
          <w:sz w:val="28"/>
          <w:szCs w:val="20"/>
          <w:highlight w:val="none"/>
        </w:rPr>
        <w:t>结构；</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10 \* GB3 \* MERGEFORMAT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⑩</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不动产权证号</w:t>
      </w:r>
      <w:r>
        <w:rPr>
          <w:rFonts w:ascii="Arial" w:hAnsi="Arial" w:eastAsia="仿宋_GB2312" w:cs="Arial"/>
          <w:color w:val="auto"/>
          <w:sz w:val="28"/>
          <w:szCs w:val="20"/>
          <w:highlight w:val="none"/>
        </w:rPr>
        <w:t>：</w:t>
      </w:r>
      <w:r>
        <w:rPr>
          <w:rFonts w:hint="eastAsia" w:ascii="Arial" w:hAnsi="Arial" w:eastAsia="仿宋_GB2312" w:cs="Arial"/>
          <w:color w:val="auto"/>
          <w:spacing w:val="-6"/>
          <w:sz w:val="28"/>
          <w:szCs w:val="20"/>
          <w:highlight w:val="none"/>
          <w:lang w:val="en-US" w:eastAsia="zh-CN"/>
        </w:rPr>
        <w:t>20140487</w:t>
      </w:r>
      <w:r>
        <w:rPr>
          <w:rFonts w:hint="eastAsia" w:ascii="Arial" w:hAnsi="Arial" w:eastAsia="仿宋_GB2312" w:cs="Arial"/>
          <w:color w:val="auto"/>
          <w:sz w:val="28"/>
          <w:szCs w:val="20"/>
          <w:highlight w:val="none"/>
        </w:rPr>
        <w:t>；</w:t>
      </w:r>
    </w:p>
    <w:p>
      <w:pPr>
        <w:spacing w:line="560"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⑪登簿时间：201</w:t>
      </w:r>
      <w:r>
        <w:rPr>
          <w:rFonts w:hint="eastAsia" w:ascii="Arial" w:hAnsi="Arial" w:eastAsia="仿宋_GB2312" w:cs="Arial"/>
          <w:color w:val="auto"/>
          <w:sz w:val="28"/>
          <w:szCs w:val="20"/>
          <w:highlight w:val="none"/>
          <w:lang w:val="en-US" w:eastAsia="zh-CN"/>
        </w:rPr>
        <w:t>4</w:t>
      </w:r>
      <w:r>
        <w:rPr>
          <w:rFonts w:hint="eastAsia" w:ascii="Arial" w:hAnsi="Arial" w:eastAsia="仿宋_GB2312" w:cs="Arial"/>
          <w:color w:val="auto"/>
          <w:sz w:val="28"/>
          <w:szCs w:val="20"/>
          <w:highlight w:val="none"/>
        </w:rPr>
        <w:t>年</w:t>
      </w:r>
      <w:r>
        <w:rPr>
          <w:rFonts w:hint="eastAsia" w:ascii="Arial" w:hAnsi="Arial" w:eastAsia="仿宋_GB2312" w:cs="Arial"/>
          <w:color w:val="auto"/>
          <w:sz w:val="28"/>
          <w:szCs w:val="20"/>
          <w:highlight w:val="none"/>
          <w:lang w:val="en-US" w:eastAsia="zh-CN"/>
        </w:rPr>
        <w:t>2</w:t>
      </w:r>
      <w:r>
        <w:rPr>
          <w:rFonts w:hint="eastAsia" w:ascii="Arial" w:hAnsi="Arial" w:eastAsia="仿宋_GB2312" w:cs="Arial"/>
          <w:color w:val="auto"/>
          <w:sz w:val="28"/>
          <w:szCs w:val="20"/>
          <w:highlight w:val="none"/>
        </w:rPr>
        <w:t>月</w:t>
      </w:r>
      <w:r>
        <w:rPr>
          <w:rFonts w:hint="eastAsia" w:ascii="Arial" w:hAnsi="Arial" w:eastAsia="仿宋_GB2312" w:cs="Arial"/>
          <w:color w:val="auto"/>
          <w:sz w:val="28"/>
          <w:szCs w:val="20"/>
          <w:highlight w:val="none"/>
          <w:lang w:val="en-US" w:eastAsia="zh-CN"/>
        </w:rPr>
        <w:t>20</w:t>
      </w:r>
      <w:r>
        <w:rPr>
          <w:rFonts w:hint="eastAsia" w:ascii="Arial" w:hAnsi="Arial" w:eastAsia="仿宋_GB2312" w:cs="Arial"/>
          <w:color w:val="auto"/>
          <w:sz w:val="28"/>
          <w:szCs w:val="20"/>
          <w:highlight w:val="none"/>
        </w:rPr>
        <w:t>日。</w:t>
      </w:r>
    </w:p>
    <w:p>
      <w:pPr>
        <w:spacing w:line="560"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本次估价委托人提供估价对象的权属资料未记载</w:t>
      </w:r>
      <w:r>
        <w:rPr>
          <w:rFonts w:hint="eastAsia" w:ascii="Arial" w:hAnsi="Arial" w:eastAsia="仿宋_GB2312" w:cs="Arial"/>
          <w:color w:val="auto"/>
          <w:sz w:val="28"/>
          <w:szCs w:val="20"/>
          <w:highlight w:val="none"/>
          <w:lang w:val="en-US" w:eastAsia="zh-CN"/>
        </w:rPr>
        <w:t>土地用途及</w:t>
      </w:r>
      <w:r>
        <w:rPr>
          <w:rFonts w:hint="eastAsia" w:ascii="Arial" w:hAnsi="Arial" w:eastAsia="仿宋_GB2312" w:cs="Arial"/>
          <w:color w:val="auto"/>
          <w:sz w:val="28"/>
          <w:szCs w:val="20"/>
          <w:highlight w:val="none"/>
        </w:rPr>
        <w:t>分摊土地</w:t>
      </w:r>
      <w:r>
        <w:rPr>
          <w:rFonts w:hint="eastAsia" w:ascii="Arial" w:hAnsi="Arial" w:eastAsia="仿宋_GB2312" w:cs="Arial"/>
          <w:color w:val="auto"/>
          <w:sz w:val="28"/>
          <w:highlight w:val="none"/>
        </w:rPr>
        <w:t>使用权面积，本次</w:t>
      </w:r>
      <w:r>
        <w:rPr>
          <w:rFonts w:hint="eastAsia" w:ascii="Arial" w:hAnsi="Arial" w:eastAsia="仿宋_GB2312" w:cs="Arial"/>
          <w:color w:val="auto"/>
          <w:sz w:val="28"/>
          <w:highlight w:val="none"/>
          <w:lang w:val="en-US" w:eastAsia="zh-CN"/>
        </w:rPr>
        <w:t>评估根据我公司搜集的同一小区住宅楼的国有土地使用证记载内容合理设定其项下土地用途为住宅用地、并</w:t>
      </w:r>
      <w:r>
        <w:rPr>
          <w:rFonts w:hint="eastAsia" w:ascii="Arial" w:hAnsi="Arial" w:eastAsia="仿宋_GB2312" w:cs="Arial"/>
          <w:color w:val="auto"/>
          <w:sz w:val="28"/>
          <w:highlight w:val="none"/>
        </w:rPr>
        <w:t>假设其土地使用权能合法分摊</w:t>
      </w:r>
      <w:r>
        <w:rPr>
          <w:rFonts w:hint="eastAsia" w:ascii="Arial" w:hAnsi="Arial" w:eastAsia="仿宋_GB2312" w:cs="Arial"/>
          <w:color w:val="auto"/>
          <w:sz w:val="28"/>
          <w:szCs w:val="20"/>
          <w:highlight w:val="none"/>
        </w:rPr>
        <w:t>。</w:t>
      </w:r>
    </w:p>
    <w:p>
      <w:pPr>
        <w:spacing w:line="560"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highlight w:val="none"/>
        </w:rPr>
        <w:t>2、他项权利状况</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1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①</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用益物权设立情况：无用益物权设立情况；</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2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②</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担保物权设立情况：估价对象</w:t>
      </w:r>
      <w:r>
        <w:rPr>
          <w:rFonts w:hint="eastAsia" w:ascii="Arial" w:hAnsi="Arial" w:eastAsia="仿宋_GB2312" w:cs="Arial"/>
          <w:color w:val="auto"/>
          <w:sz w:val="28"/>
          <w:szCs w:val="20"/>
          <w:highlight w:val="none"/>
          <w:lang w:val="en-US" w:eastAsia="zh-CN"/>
        </w:rPr>
        <w:t>无</w:t>
      </w:r>
      <w:r>
        <w:rPr>
          <w:rFonts w:hint="eastAsia" w:ascii="Arial" w:hAnsi="Arial" w:eastAsia="仿宋_GB2312" w:cs="Arial"/>
          <w:color w:val="auto"/>
          <w:sz w:val="28"/>
          <w:szCs w:val="20"/>
          <w:highlight w:val="none"/>
        </w:rPr>
        <w:t>抵押情况；</w:t>
      </w:r>
      <w:r>
        <w:rPr>
          <w:rFonts w:ascii="Arial" w:hAnsi="Arial" w:eastAsia="仿宋_GB2312" w:cs="Arial"/>
          <w:color w:val="auto"/>
          <w:sz w:val="28"/>
          <w:szCs w:val="20"/>
          <w:highlight w:val="none"/>
        </w:rPr>
        <w:t xml:space="preserve">    </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3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③</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土地使用管制：无土地使用管制；</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4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④</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房屋出租或者占用情况：</w:t>
      </w:r>
      <w:r>
        <w:rPr>
          <w:rFonts w:hint="eastAsia" w:ascii="Arial" w:hAnsi="Arial" w:eastAsia="仿宋_GB2312" w:cs="Arial"/>
          <w:color w:val="auto"/>
          <w:sz w:val="28"/>
          <w:szCs w:val="20"/>
          <w:highlight w:val="none"/>
          <w:lang w:val="en-US" w:eastAsia="zh-CN"/>
        </w:rPr>
        <w:t>其出租或占用情况不详</w:t>
      </w:r>
      <w:r>
        <w:rPr>
          <w:rFonts w:hint="eastAsia" w:ascii="Arial" w:hAnsi="Arial" w:eastAsia="仿宋_GB2312" w:cs="Arial"/>
          <w:color w:val="auto"/>
          <w:sz w:val="28"/>
          <w:szCs w:val="20"/>
          <w:highlight w:val="none"/>
        </w:rPr>
        <w:t>；</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5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⑤</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拖欠税款情况：</w:t>
      </w:r>
      <w:r>
        <w:rPr>
          <w:rFonts w:hint="eastAsia" w:ascii="Arial" w:hAnsi="Arial" w:eastAsia="仿宋_GB2312" w:cs="Arial"/>
          <w:color w:val="auto"/>
          <w:sz w:val="28"/>
          <w:highlight w:val="none"/>
        </w:rPr>
        <w:t>实地查勘时，我公司注册房地产估价师在</w:t>
      </w:r>
      <w:r>
        <w:rPr>
          <w:rFonts w:hint="eastAsia" w:ascii="Arial" w:hAnsi="Arial" w:eastAsia="仿宋_GB2312" w:cs="Arial"/>
          <w:color w:val="auto"/>
          <w:sz w:val="28"/>
          <w:highlight w:val="none"/>
          <w:lang w:val="en-US" w:eastAsia="zh-CN"/>
        </w:rPr>
        <w:t>小区</w:t>
      </w:r>
      <w:r>
        <w:rPr>
          <w:rFonts w:hint="eastAsia" w:ascii="Arial" w:hAnsi="Arial" w:eastAsia="仿宋_GB2312" w:cs="Arial"/>
          <w:color w:val="auto"/>
          <w:sz w:val="28"/>
          <w:highlight w:val="none"/>
        </w:rPr>
        <w:t>物业管理处调查了解，估价对象于价值时点存在欠缴物业服务费用情况，其具体欠缴费用金额</w:t>
      </w:r>
      <w:r>
        <w:rPr>
          <w:rFonts w:hint="eastAsia" w:ascii="Arial" w:hAnsi="Arial" w:eastAsia="仿宋_GB2312" w:cs="Arial"/>
          <w:color w:val="auto"/>
          <w:sz w:val="28"/>
          <w:highlight w:val="none"/>
          <w:lang w:val="en-US" w:eastAsia="zh-CN"/>
        </w:rPr>
        <w:t>最终以小区物业出具证明为准</w:t>
      </w:r>
      <w:r>
        <w:rPr>
          <w:rFonts w:hint="eastAsia" w:ascii="Arial" w:hAnsi="Arial" w:eastAsia="仿宋_GB2312" w:cs="Arial"/>
          <w:color w:val="auto"/>
          <w:sz w:val="28"/>
          <w:highlight w:val="none"/>
        </w:rPr>
        <w:t>，本次评估不考虑该欠缴物业</w:t>
      </w:r>
      <w:r>
        <w:rPr>
          <w:rFonts w:hint="eastAsia" w:ascii="Arial" w:hAnsi="Arial" w:eastAsia="仿宋_GB2312" w:cs="Arial"/>
          <w:color w:val="auto"/>
          <w:sz w:val="28"/>
          <w:highlight w:val="none"/>
          <w:lang w:val="en-US" w:eastAsia="zh-CN"/>
        </w:rPr>
        <w:t>服务</w:t>
      </w:r>
      <w:r>
        <w:rPr>
          <w:rFonts w:hint="eastAsia" w:ascii="Arial" w:hAnsi="Arial" w:eastAsia="仿宋_GB2312" w:cs="Arial"/>
          <w:color w:val="auto"/>
          <w:sz w:val="28"/>
          <w:highlight w:val="none"/>
        </w:rPr>
        <w:t>费用对估价结果的影响</w:t>
      </w:r>
      <w:r>
        <w:rPr>
          <w:rFonts w:hint="eastAsia" w:ascii="Arial" w:hAnsi="Arial" w:eastAsia="仿宋_GB2312" w:cs="Arial"/>
          <w:color w:val="auto"/>
          <w:sz w:val="28"/>
          <w:szCs w:val="20"/>
          <w:highlight w:val="none"/>
        </w:rPr>
        <w:t>；</w:t>
      </w:r>
    </w:p>
    <w:p>
      <w:pPr>
        <w:spacing w:line="560" w:lineRule="exact"/>
        <w:ind w:firstLine="560" w:firstLineChars="200"/>
        <w:rPr>
          <w:rFonts w:ascii="Arial" w:hAnsi="Arial" w:eastAsia="仿宋_GB2312" w:cs="Arial"/>
          <w:color w:val="auto"/>
          <w:sz w:val="28"/>
          <w:szCs w:val="20"/>
          <w:highlight w:val="none"/>
        </w:rPr>
      </w:pPr>
      <w:r>
        <w:rPr>
          <w:rFonts w:ascii="Arial" w:hAnsi="Arial" w:eastAsia="仿宋_GB2312" w:cs="Arial"/>
          <w:color w:val="auto"/>
          <w:sz w:val="28"/>
          <w:szCs w:val="20"/>
          <w:highlight w:val="none"/>
        </w:rPr>
        <w:fldChar w:fldCharType="begin"/>
      </w:r>
      <w:r>
        <w:rPr>
          <w:rFonts w:ascii="Arial" w:hAnsi="Arial" w:eastAsia="仿宋_GB2312" w:cs="Arial"/>
          <w:color w:val="auto"/>
          <w:sz w:val="28"/>
          <w:szCs w:val="20"/>
          <w:highlight w:val="none"/>
        </w:rPr>
        <w:instrText xml:space="preserve"> = 6 \* GB3 </w:instrText>
      </w:r>
      <w:r>
        <w:rPr>
          <w:rFonts w:ascii="Arial" w:hAnsi="Arial" w:eastAsia="仿宋_GB2312" w:cs="Arial"/>
          <w:color w:val="auto"/>
          <w:sz w:val="28"/>
          <w:szCs w:val="20"/>
          <w:highlight w:val="none"/>
        </w:rPr>
        <w:fldChar w:fldCharType="separate"/>
      </w:r>
      <w:r>
        <w:rPr>
          <w:rFonts w:ascii="Arial" w:hAnsi="Arial" w:eastAsia="仿宋_GB2312" w:cs="Arial"/>
          <w:color w:val="auto"/>
          <w:sz w:val="28"/>
          <w:szCs w:val="20"/>
          <w:highlight w:val="none"/>
        </w:rPr>
        <w:t>⑥</w:t>
      </w:r>
      <w:r>
        <w:rPr>
          <w:rFonts w:ascii="Arial" w:hAnsi="Arial" w:eastAsia="仿宋_GB2312" w:cs="Arial"/>
          <w:color w:val="auto"/>
          <w:sz w:val="28"/>
          <w:szCs w:val="20"/>
          <w:highlight w:val="none"/>
        </w:rPr>
        <w:fldChar w:fldCharType="end"/>
      </w:r>
      <w:r>
        <w:rPr>
          <w:rFonts w:hint="eastAsia" w:ascii="Arial" w:hAnsi="Arial" w:eastAsia="仿宋_GB2312" w:cs="Arial"/>
          <w:color w:val="auto"/>
          <w:sz w:val="28"/>
          <w:szCs w:val="20"/>
          <w:highlight w:val="none"/>
        </w:rPr>
        <w:t>其他特殊情况：根据估价委托人提供的</w:t>
      </w:r>
      <w:r>
        <w:rPr>
          <w:rFonts w:hint="eastAsia" w:ascii="Arial" w:hAnsi="Arial" w:eastAsia="仿宋_GB2312" w:cs="Arial"/>
          <w:color w:val="auto"/>
          <w:sz w:val="28"/>
          <w:szCs w:val="20"/>
          <w:highlight w:val="none"/>
          <w:lang w:eastAsia="zh-CN"/>
        </w:rPr>
        <w:t>《湖北省竹溪县人民法院执行裁定书》</w:t>
      </w:r>
      <w:r>
        <w:rPr>
          <w:rFonts w:hint="eastAsia" w:ascii="Arial" w:hAnsi="Arial" w:eastAsia="仿宋_GB2312" w:cs="Arial"/>
          <w:color w:val="auto"/>
          <w:sz w:val="28"/>
          <w:szCs w:val="20"/>
          <w:highlight w:val="none"/>
        </w:rPr>
        <w:t>复印件记载，至价值时点</w:t>
      </w:r>
      <w:r>
        <w:rPr>
          <w:rFonts w:hint="eastAsia" w:ascii="Arial" w:hAnsi="Arial" w:eastAsia="仿宋_GB2312" w:cs="Arial"/>
          <w:color w:val="auto"/>
          <w:sz w:val="28"/>
          <w:highlight w:val="none"/>
        </w:rPr>
        <w:t>估价对象存在查封情况</w:t>
      </w:r>
      <w:r>
        <w:rPr>
          <w:rFonts w:hint="eastAsia" w:ascii="Arial" w:hAnsi="Arial" w:eastAsia="仿宋_GB2312" w:cs="Arial"/>
          <w:color w:val="auto"/>
          <w:sz w:val="28"/>
          <w:szCs w:val="20"/>
          <w:highlight w:val="none"/>
        </w:rPr>
        <w:t>。</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（四）估价对象区位状况</w:t>
      </w:r>
      <w:bookmarkStart w:id="107" w:name="_Toc391563002"/>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十堰市，是湖北省地级市，别称车城，中国卡车之都。“仙山、秀水、汽车城”三张名片驰名中外。地处中国华中地区、湖北省西北部，汉江中上游，秦巴山区汉水谷地，北抵秦岭，南依巴山，汉江和武当山横贯全境，是鄂、豫、陕、渝毗邻地区唯一的区域性中心城市，鄂西生态文化旅游圈的核心城市，秦巴山区三大中心城市之首。独特的地理位置，使十堰自古有“南跨荆襄、北枕商洛、东抚南阳、西掖汉中”之誉，并“南船北马、川陕咽喉、四省通衢”之称。十堰是5A级旅游胜地、世界文化遗产、天下第一仙山武当山所在地。十堰是南水北调中线工程源头丹江口水库所在地和核心水源区，是“北方的大水井”。十堰是“中国第一、世界前三”的商用车生产基地，拥有千亿级的制造业存量资产和年产100万辆汽车生产能力。十堰是东风的“延安”、现代制造业高地、近代民族工业摇篮，区位优势独特，医疗和高等教育资源富集。十堰全市总面积23680平方千米，常住人口为320.9万人。市区总人口148.58万，其中中心城区人口为103.34万，比2010年增加26.55万，凸显出中心城区对全市及周边人口有着较强聚集能力。十堰有着悠久的人文历史。距今100万年前，这里就有古人类产生，“郧县人”的发现，改变人类起源的一元说。十堰，因利用水源在原郧阳府的原郧县十堰区神定河拦河筑出6条堰、黄龙区犟河拦河筑出4条堰而得名。近年来，十堰先后荣获全国文明城市、国家卫生城市等一系列荣誉称号。</w:t>
      </w:r>
    </w:p>
    <w:p>
      <w:pPr>
        <w:pStyle w:val="8"/>
        <w:tabs>
          <w:tab w:val="left" w:pos="6570"/>
        </w:tabs>
        <w:spacing w:line="560" w:lineRule="exact"/>
        <w:ind w:left="0" w:firstLine="560" w:firstLineChars="200"/>
        <w:rPr>
          <w:rFonts w:hint="eastAsia" w:ascii="Arial" w:hAnsi="Arial" w:eastAsia="仿宋_GB2312" w:cs="Arial"/>
          <w:color w:val="auto"/>
          <w:highlight w:val="none"/>
        </w:rPr>
      </w:pPr>
      <w:r>
        <w:rPr>
          <w:rFonts w:hint="eastAsia" w:ascii="Arial" w:hAnsi="Arial" w:eastAsia="仿宋_GB2312" w:cs="Arial"/>
          <w:color w:val="auto"/>
          <w:highlight w:val="none"/>
        </w:rPr>
        <w:t>竹溪县位于鄂、渝、陕三省交界的秦巴山区，西接陕西省平利、镇坪、旬阳三县，南交重庆市巫溪县，东邻本省竹山县，地处东经109°29′-110°8′，北纬31°32′-32°31′。县境南北长104公里，东西宽51公里，总面积3296平方公里。截止2010年底，竹溪县辖8个镇、7个乡、302个村委会、4个社区、15个农林特场，1658个村民小组。全县总人口36.8万。</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估价对象位于</w:t>
      </w:r>
      <w:r>
        <w:rPr>
          <w:rFonts w:hint="eastAsia" w:ascii="Arial" w:hAnsi="Arial" w:eastAsia="仿宋_GB2312" w:cs="Arial"/>
          <w:color w:val="auto"/>
          <w:highlight w:val="none"/>
          <w:lang w:eastAsia="zh-CN"/>
        </w:rPr>
        <w:t>湖北省十堰市竹溪县城关镇鄂陕大道899号金叶花园4幢1单元202号</w:t>
      </w:r>
      <w:r>
        <w:rPr>
          <w:rFonts w:hint="eastAsia" w:ascii="Arial" w:hAnsi="Arial" w:eastAsia="仿宋_GB2312" w:cs="Arial"/>
          <w:color w:val="auto"/>
          <w:highlight w:val="none"/>
        </w:rPr>
        <w:t>，其详细区位状况如下：</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1、位置状况</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估价对象位于</w:t>
      </w:r>
      <w:r>
        <w:rPr>
          <w:rFonts w:hint="eastAsia" w:ascii="Arial" w:hAnsi="Arial" w:eastAsia="仿宋_GB2312" w:cs="Arial"/>
          <w:color w:val="auto"/>
          <w:highlight w:val="none"/>
          <w:lang w:eastAsia="zh-CN"/>
        </w:rPr>
        <w:t>竹溪县城关镇鄂陕大道899号金叶花园</w:t>
      </w:r>
      <w:r>
        <w:rPr>
          <w:rFonts w:hint="eastAsia" w:ascii="Arial" w:hAnsi="Arial" w:eastAsia="仿宋_GB2312" w:cs="Arial"/>
          <w:color w:val="auto"/>
          <w:highlight w:val="none"/>
        </w:rPr>
        <w:t>，其所在小区</w:t>
      </w:r>
      <w:r>
        <w:rPr>
          <w:rFonts w:hint="eastAsia" w:ascii="Arial" w:hAnsi="Arial" w:eastAsia="仿宋_GB2312" w:cs="Arial"/>
          <w:color w:val="auto"/>
          <w:highlight w:val="none"/>
          <w:lang w:eastAsia="zh-CN"/>
        </w:rPr>
        <w:t>东临居民楼，南至居民楼，西至区间小路，北至鄂陕大道</w:t>
      </w:r>
      <w:r>
        <w:rPr>
          <w:rFonts w:hint="eastAsia" w:ascii="Arial" w:hAnsi="Arial" w:eastAsia="仿宋_GB2312" w:cs="Arial"/>
          <w:color w:val="auto"/>
          <w:highlight w:val="none"/>
        </w:rPr>
        <w:t>。</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2、交通状况</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（1）道路状况</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估价对象主要通过</w:t>
      </w:r>
      <w:r>
        <w:rPr>
          <w:rFonts w:hint="eastAsia" w:ascii="Arial" w:hAnsi="Arial" w:eastAsia="仿宋_GB2312" w:cs="Arial"/>
          <w:color w:val="auto"/>
          <w:highlight w:val="none"/>
          <w:lang w:val="en-US" w:eastAsia="zh-CN"/>
        </w:rPr>
        <w:t>北</w:t>
      </w:r>
      <w:r>
        <w:rPr>
          <w:rFonts w:hint="eastAsia" w:ascii="Arial" w:hAnsi="Arial" w:eastAsia="仿宋_GB2312" w:cs="Arial"/>
          <w:color w:val="auto"/>
          <w:highlight w:val="none"/>
        </w:rPr>
        <w:t>侧的</w:t>
      </w:r>
      <w:r>
        <w:rPr>
          <w:rFonts w:hint="eastAsia" w:ascii="Arial" w:hAnsi="Arial" w:eastAsia="仿宋_GB2312" w:cs="Arial"/>
          <w:color w:val="auto"/>
          <w:highlight w:val="none"/>
          <w:lang w:eastAsia="zh-CN"/>
        </w:rPr>
        <w:t>鄂</w:t>
      </w:r>
      <w:r>
        <w:rPr>
          <w:rFonts w:hint="eastAsia" w:ascii="Arial" w:hAnsi="Arial" w:eastAsia="仿宋_GB2312" w:cs="Arial"/>
          <w:color w:val="auto"/>
          <w:highlight w:val="none"/>
          <w:lang w:val="en-US" w:eastAsia="zh-CN"/>
        </w:rPr>
        <w:t>陕</w:t>
      </w:r>
      <w:r>
        <w:rPr>
          <w:rFonts w:hint="eastAsia" w:ascii="Arial" w:hAnsi="Arial" w:eastAsia="仿宋_GB2312" w:cs="Arial"/>
          <w:color w:val="auto"/>
          <w:highlight w:val="none"/>
        </w:rPr>
        <w:t>大道与外界联系，形成该区域内外连接的交通网络，交通网络较优，车流量较大，道路状况较优。</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（2）出入可利用的交通工具</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自驾车：周边道路通达，可自驾车出入。</w:t>
      </w:r>
    </w:p>
    <w:p>
      <w:pPr>
        <w:pStyle w:val="8"/>
        <w:tabs>
          <w:tab w:val="left" w:pos="6570"/>
        </w:tabs>
        <w:spacing w:line="560" w:lineRule="exact"/>
        <w:ind w:left="0" w:firstLine="560" w:firstLineChars="200"/>
        <w:rPr>
          <w:rFonts w:hint="eastAsia" w:ascii="Arial" w:hAnsi="Arial" w:eastAsia="仿宋_GB2312" w:cs="Arial"/>
          <w:color w:val="auto"/>
          <w:highlight w:val="none"/>
          <w:lang w:eastAsia="zh-CN"/>
        </w:rPr>
      </w:pPr>
      <w:r>
        <w:rPr>
          <w:rFonts w:hint="eastAsia" w:ascii="Arial" w:hAnsi="Arial" w:eastAsia="仿宋_GB2312" w:cs="Arial"/>
          <w:color w:val="auto"/>
          <w:highlight w:val="none"/>
        </w:rPr>
        <w:t>公交车：估价对象所在小区临近“</w:t>
      </w:r>
      <w:r>
        <w:rPr>
          <w:rFonts w:hint="eastAsia" w:ascii="Arial" w:hAnsi="Arial" w:eastAsia="仿宋_GB2312" w:cs="Arial"/>
          <w:color w:val="auto"/>
          <w:highlight w:val="none"/>
          <w:lang w:val="en-US" w:eastAsia="zh-CN"/>
        </w:rPr>
        <w:t>金叶花园</w:t>
      </w:r>
      <w:r>
        <w:rPr>
          <w:rFonts w:hint="eastAsia" w:ascii="Arial" w:hAnsi="Arial" w:eastAsia="仿宋_GB2312" w:cs="Arial"/>
          <w:color w:val="auto"/>
          <w:highlight w:val="none"/>
        </w:rPr>
        <w:t>”公交站，有</w:t>
      </w:r>
      <w:r>
        <w:rPr>
          <w:rFonts w:hint="eastAsia" w:ascii="Arial" w:hAnsi="Arial" w:eastAsia="仿宋_GB2312" w:cs="Arial"/>
          <w:color w:val="auto"/>
          <w:highlight w:val="none"/>
          <w:lang w:val="en-US" w:eastAsia="zh-CN"/>
        </w:rPr>
        <w:t>竹溪10</w:t>
      </w:r>
      <w:r>
        <w:rPr>
          <w:rFonts w:hint="eastAsia" w:ascii="Arial" w:hAnsi="Arial" w:eastAsia="仿宋_GB2312" w:cs="Arial"/>
          <w:color w:val="auto"/>
          <w:highlight w:val="none"/>
        </w:rPr>
        <w:t>路、</w:t>
      </w:r>
      <w:r>
        <w:rPr>
          <w:rFonts w:hint="eastAsia" w:ascii="Arial" w:hAnsi="Arial" w:eastAsia="仿宋_GB2312" w:cs="Arial"/>
          <w:color w:val="auto"/>
          <w:highlight w:val="none"/>
          <w:lang w:val="en-US" w:eastAsia="zh-CN"/>
        </w:rPr>
        <w:t>竹溪12</w:t>
      </w:r>
      <w:r>
        <w:rPr>
          <w:rFonts w:hint="eastAsia" w:ascii="Arial" w:hAnsi="Arial" w:eastAsia="仿宋_GB2312" w:cs="Arial"/>
          <w:color w:val="auto"/>
          <w:highlight w:val="none"/>
        </w:rPr>
        <w:t>路、</w:t>
      </w:r>
      <w:r>
        <w:rPr>
          <w:rFonts w:hint="eastAsia" w:ascii="Arial" w:hAnsi="Arial" w:eastAsia="仿宋_GB2312" w:cs="Arial"/>
          <w:color w:val="auto"/>
          <w:highlight w:val="none"/>
          <w:lang w:val="en-US" w:eastAsia="zh-CN"/>
        </w:rPr>
        <w:t>竹溪13</w:t>
      </w:r>
      <w:r>
        <w:rPr>
          <w:rFonts w:hint="eastAsia" w:ascii="Arial" w:hAnsi="Arial" w:eastAsia="仿宋_GB2312" w:cs="Arial"/>
          <w:color w:val="auto"/>
          <w:highlight w:val="none"/>
        </w:rPr>
        <w:t>路、</w:t>
      </w:r>
      <w:r>
        <w:rPr>
          <w:rFonts w:hint="eastAsia" w:ascii="Arial" w:hAnsi="Arial" w:eastAsia="仿宋_GB2312" w:cs="Arial"/>
          <w:color w:val="auto"/>
          <w:highlight w:val="none"/>
          <w:lang w:val="en-US" w:eastAsia="zh-CN"/>
        </w:rPr>
        <w:t>竹溪6</w:t>
      </w:r>
      <w:r>
        <w:rPr>
          <w:rFonts w:hint="eastAsia" w:ascii="Arial" w:hAnsi="Arial" w:eastAsia="仿宋_GB2312" w:cs="Arial"/>
          <w:color w:val="auto"/>
          <w:highlight w:val="none"/>
        </w:rPr>
        <w:t>路</w:t>
      </w:r>
      <w:r>
        <w:rPr>
          <w:rFonts w:hint="eastAsia" w:ascii="Arial" w:hAnsi="Arial" w:eastAsia="仿宋_GB2312" w:cs="Arial"/>
          <w:color w:val="auto"/>
          <w:szCs w:val="28"/>
          <w:highlight w:val="none"/>
        </w:rPr>
        <w:t>等多路</w:t>
      </w:r>
      <w:r>
        <w:rPr>
          <w:rFonts w:ascii="Arial" w:hAnsi="Arial" w:eastAsia="仿宋_GB2312" w:cs="Arial"/>
          <w:color w:val="auto"/>
          <w:szCs w:val="28"/>
          <w:highlight w:val="none"/>
        </w:rPr>
        <w:t>公交线</w:t>
      </w:r>
      <w:r>
        <w:rPr>
          <w:rFonts w:hint="eastAsia" w:ascii="Arial" w:hAnsi="Arial" w:eastAsia="仿宋_GB2312" w:cs="Arial"/>
          <w:color w:val="auto"/>
          <w:szCs w:val="28"/>
          <w:highlight w:val="none"/>
        </w:rPr>
        <w:t>路途径</w:t>
      </w:r>
      <w:r>
        <w:rPr>
          <w:rFonts w:hint="eastAsia" w:ascii="Arial" w:hAnsi="Arial" w:eastAsia="仿宋_GB2312" w:cs="Arial"/>
          <w:color w:val="auto"/>
          <w:szCs w:val="28"/>
          <w:highlight w:val="none"/>
          <w:lang w:eastAsia="zh-CN"/>
        </w:rPr>
        <w:t>，</w:t>
      </w:r>
      <w:r>
        <w:rPr>
          <w:rFonts w:hint="eastAsia" w:ascii="Arial" w:hAnsi="Arial" w:eastAsia="仿宋_GB2312" w:cs="Arial"/>
          <w:color w:val="auto"/>
          <w:highlight w:val="none"/>
        </w:rPr>
        <w:t>交通便捷度为较优</w:t>
      </w:r>
      <w:r>
        <w:rPr>
          <w:rFonts w:hint="eastAsia" w:ascii="Arial" w:hAnsi="Arial" w:eastAsia="仿宋_GB2312" w:cs="Arial"/>
          <w:color w:val="auto"/>
          <w:szCs w:val="28"/>
          <w:highlight w:val="none"/>
          <w:lang w:eastAsia="zh-CN"/>
        </w:rPr>
        <w:t>。</w:t>
      </w:r>
    </w:p>
    <w:p>
      <w:pPr>
        <w:pStyle w:val="8"/>
        <w:tabs>
          <w:tab w:val="left" w:pos="6570"/>
        </w:tabs>
        <w:spacing w:line="56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（3）交通管制情况</w:t>
      </w:r>
    </w:p>
    <w:p>
      <w:pPr>
        <w:pStyle w:val="8"/>
        <w:tabs>
          <w:tab w:val="left" w:pos="6570"/>
        </w:tabs>
        <w:spacing w:line="560" w:lineRule="exact"/>
        <w:rPr>
          <w:rFonts w:ascii="Arial" w:hAnsi="Arial" w:eastAsia="仿宋_GB2312" w:cs="Arial"/>
          <w:color w:val="auto"/>
          <w:highlight w:val="none"/>
        </w:rPr>
      </w:pPr>
      <w:r>
        <w:rPr>
          <w:rFonts w:hint="eastAsia" w:ascii="Arial" w:hAnsi="Arial" w:eastAsia="仿宋_GB2312" w:cs="Arial"/>
          <w:color w:val="auto"/>
          <w:highlight w:val="none"/>
        </w:rPr>
        <w:t>无交通管制情况。</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（4）停车方便程度</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估价对象设有配套停车位，停车方便度</w:t>
      </w:r>
      <w:r>
        <w:rPr>
          <w:rFonts w:hint="eastAsia" w:ascii="Arial" w:hAnsi="Arial" w:eastAsia="仿宋_GB2312" w:cs="Arial"/>
          <w:color w:val="auto"/>
          <w:highlight w:val="none"/>
          <w:lang w:val="en-US" w:eastAsia="zh-CN"/>
        </w:rPr>
        <w:t>较优</w:t>
      </w:r>
      <w:r>
        <w:rPr>
          <w:rFonts w:hint="eastAsia" w:ascii="Arial" w:hAnsi="Arial" w:eastAsia="仿宋_GB2312" w:cs="Arial"/>
          <w:color w:val="auto"/>
          <w:highlight w:val="none"/>
        </w:rPr>
        <w:t>。</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3、环境状况</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（1）自然环境</w:t>
      </w:r>
    </w:p>
    <w:p>
      <w:pPr>
        <w:pStyle w:val="8"/>
        <w:tabs>
          <w:tab w:val="left" w:pos="6570"/>
        </w:tabs>
        <w:spacing w:line="53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周边卫生状况、环境、空气质量状况等一般，有轻度噪声污染，该区域内绿化状况一般，估价对象周边自然环境总体评价一般。</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（2）人文环境</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该区域内无特殊人文建筑，人文环境一般。</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（3）景观</w:t>
      </w:r>
    </w:p>
    <w:p>
      <w:pPr>
        <w:pStyle w:val="8"/>
        <w:tabs>
          <w:tab w:val="left" w:pos="6570"/>
        </w:tabs>
        <w:spacing w:line="530"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估价对象位于</w:t>
      </w:r>
      <w:r>
        <w:rPr>
          <w:rFonts w:hint="eastAsia" w:ascii="Arial" w:hAnsi="Arial" w:eastAsia="仿宋_GB2312" w:cs="Arial"/>
          <w:color w:val="auto"/>
          <w:highlight w:val="none"/>
          <w:lang w:val="en-US" w:eastAsia="zh-CN"/>
        </w:rPr>
        <w:t>竹溪县鄂陕大道南</w:t>
      </w:r>
      <w:r>
        <w:rPr>
          <w:rFonts w:hint="eastAsia" w:ascii="Arial" w:hAnsi="Arial" w:eastAsia="仿宋_GB2312" w:cs="Arial"/>
          <w:color w:val="auto"/>
          <w:highlight w:val="none"/>
        </w:rPr>
        <w:t>侧，所在楼层无特殊景观。</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4、外部配套设施情况</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（1）基础设施情况</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区域已达到宗地红线内、外六通（通给水、通排水、通电、通路、通讯、通燃气），宗地红线内场地平整，能满足住宅用房的需要。</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（2）公共服务设施</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估价对象所在小区周边分布有</w:t>
      </w:r>
      <w:r>
        <w:rPr>
          <w:rFonts w:hint="eastAsia" w:ascii="Arial" w:hAnsi="Arial" w:eastAsia="仿宋_GB2312" w:cs="Arial"/>
          <w:color w:val="auto"/>
          <w:highlight w:val="none"/>
          <w:lang w:val="en-US" w:eastAsia="zh-CN"/>
        </w:rPr>
        <w:t>竹溪县密云小学</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城关镇中心小学</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烧田小学</w:t>
      </w:r>
      <w:r>
        <w:rPr>
          <w:rFonts w:hint="eastAsia" w:ascii="Arial" w:hAnsi="Arial" w:eastAsia="仿宋_GB2312" w:cs="Arial"/>
          <w:color w:val="auto"/>
          <w:highlight w:val="none"/>
        </w:rPr>
        <w:t>等教育机构；有</w:t>
      </w:r>
      <w:r>
        <w:rPr>
          <w:rFonts w:hint="eastAsia" w:ascii="Arial" w:hAnsi="Arial" w:eastAsia="仿宋_GB2312" w:cs="Arial"/>
          <w:color w:val="auto"/>
          <w:highlight w:val="none"/>
          <w:lang w:val="en-US" w:eastAsia="zh-CN"/>
        </w:rPr>
        <w:t>济民诊所</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竹溪县妇幼保健院</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城关镇卫生院</w:t>
      </w:r>
      <w:r>
        <w:rPr>
          <w:rFonts w:hint="eastAsia" w:ascii="Arial" w:hAnsi="Arial" w:eastAsia="仿宋_GB2312" w:cs="Arial"/>
          <w:color w:val="auto"/>
          <w:highlight w:val="none"/>
        </w:rPr>
        <w:t>等医疗配套；有中国</w:t>
      </w:r>
      <w:r>
        <w:rPr>
          <w:rFonts w:hint="eastAsia" w:ascii="Arial" w:hAnsi="Arial" w:eastAsia="仿宋_GB2312" w:cs="Arial"/>
          <w:color w:val="auto"/>
          <w:highlight w:val="none"/>
          <w:lang w:val="en-US" w:eastAsia="zh-CN"/>
        </w:rPr>
        <w:t>农业银行（竹溪城关支行）</w:t>
      </w:r>
      <w:r>
        <w:rPr>
          <w:rFonts w:hint="eastAsia" w:ascii="Arial" w:hAnsi="Arial" w:eastAsia="仿宋_GB2312" w:cs="Arial"/>
          <w:color w:val="auto"/>
          <w:highlight w:val="none"/>
        </w:rPr>
        <w:t>、中国</w:t>
      </w:r>
      <w:r>
        <w:rPr>
          <w:rFonts w:hint="eastAsia" w:ascii="Arial" w:hAnsi="Arial" w:eastAsia="仿宋_GB2312" w:cs="Arial"/>
          <w:color w:val="auto"/>
          <w:highlight w:val="none"/>
          <w:lang w:val="en-US" w:eastAsia="zh-CN"/>
        </w:rPr>
        <w:t>邮政储蓄银行、</w:t>
      </w:r>
      <w:r>
        <w:rPr>
          <w:rFonts w:hint="eastAsia" w:ascii="Arial" w:hAnsi="Arial" w:eastAsia="仿宋_GB2312" w:cs="Arial"/>
          <w:color w:val="auto"/>
          <w:highlight w:val="none"/>
        </w:rPr>
        <w:t>竹溪县农村商业银行(联社建设路支行)等金融机构；</w:t>
      </w:r>
      <w:r>
        <w:rPr>
          <w:rFonts w:hint="eastAsia" w:ascii="Arial" w:hAnsi="Arial" w:eastAsia="仿宋_GB2312" w:cs="Arial"/>
          <w:color w:val="auto"/>
          <w:highlight w:val="none"/>
          <w:lang w:val="en-US" w:eastAsia="zh-CN"/>
        </w:rPr>
        <w:t>金叶生鲜批发城市</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兔喜快递超市</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优鲜生活超市（鄂陕大道店）</w:t>
      </w: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聚源购物中心</w:t>
      </w:r>
      <w:r>
        <w:rPr>
          <w:rFonts w:hint="eastAsia" w:ascii="Arial" w:hAnsi="Arial" w:eastAsia="仿宋_GB2312" w:cs="Arial"/>
          <w:color w:val="auto"/>
          <w:highlight w:val="none"/>
        </w:rPr>
        <w:t>等便民设施；周边公共配套设施齐全度一般。</w:t>
      </w:r>
    </w:p>
    <w:p>
      <w:pPr>
        <w:spacing w:line="536" w:lineRule="exact"/>
        <w:ind w:firstLine="562" w:firstLineChars="200"/>
        <w:outlineLvl w:val="1"/>
        <w:rPr>
          <w:rFonts w:ascii="Arial" w:hAnsi="Arial" w:eastAsia="仿宋_GB2312" w:cs="Arial"/>
          <w:b/>
          <w:color w:val="auto"/>
          <w:sz w:val="28"/>
          <w:highlight w:val="none"/>
        </w:rPr>
      </w:pPr>
      <w:bookmarkStart w:id="108" w:name="_Toc5457"/>
      <w:r>
        <w:rPr>
          <w:rFonts w:hint="eastAsia" w:ascii="Arial" w:hAnsi="Arial" w:eastAsia="仿宋_GB2312" w:cs="Arial"/>
          <w:b/>
          <w:color w:val="auto"/>
          <w:sz w:val="28"/>
          <w:highlight w:val="none"/>
        </w:rPr>
        <w:t>五、价值时点</w:t>
      </w:r>
      <w:bookmarkEnd w:id="107"/>
      <w:bookmarkEnd w:id="108"/>
    </w:p>
    <w:p>
      <w:pPr>
        <w:pStyle w:val="8"/>
        <w:tabs>
          <w:tab w:val="left" w:pos="6570"/>
        </w:tabs>
        <w:spacing w:line="536" w:lineRule="exact"/>
        <w:ind w:left="0" w:firstLine="560" w:firstLineChars="200"/>
        <w:rPr>
          <w:rFonts w:hint="eastAsia" w:ascii="Arial" w:hAnsi="Arial" w:eastAsia="仿宋_GB2312" w:cs="Arial"/>
          <w:color w:val="auto"/>
          <w:highlight w:val="none"/>
          <w:lang w:eastAsia="zh-CN"/>
        </w:rPr>
      </w:pPr>
      <w:r>
        <w:rPr>
          <w:rFonts w:hint="eastAsia" w:ascii="Arial" w:hAnsi="Arial" w:eastAsia="仿宋_GB2312" w:cs="Arial"/>
          <w:color w:val="auto"/>
          <w:highlight w:val="none"/>
          <w:lang w:eastAsia="zh-CN"/>
        </w:rPr>
        <w:t>2022年5月23日</w:t>
      </w:r>
    </w:p>
    <w:p>
      <w:pPr>
        <w:spacing w:line="536"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根据估价目的要求，本次评估确定价值时点为</w:t>
      </w:r>
      <w:r>
        <w:rPr>
          <w:rFonts w:hint="eastAsia" w:ascii="Arial" w:hAnsi="Arial" w:eastAsia="仿宋_GB2312" w:cs="Arial"/>
          <w:color w:val="auto"/>
          <w:sz w:val="28"/>
          <w:highlight w:val="none"/>
          <w:lang w:eastAsia="zh-CN"/>
        </w:rPr>
        <w:t>2022年5月23日</w:t>
      </w:r>
      <w:r>
        <w:rPr>
          <w:rFonts w:ascii="Arial" w:hAnsi="Arial" w:eastAsia="仿宋_GB2312" w:cs="Arial"/>
          <w:color w:val="auto"/>
          <w:sz w:val="28"/>
          <w:highlight w:val="none"/>
        </w:rPr>
        <w:t>，与实地查勘</w:t>
      </w:r>
      <w:r>
        <w:rPr>
          <w:rFonts w:hint="eastAsia" w:ascii="Arial" w:hAnsi="Arial" w:eastAsia="仿宋_GB2312" w:cs="Arial"/>
          <w:color w:val="auto"/>
          <w:sz w:val="28"/>
          <w:highlight w:val="none"/>
        </w:rPr>
        <w:t>完成</w:t>
      </w:r>
      <w:r>
        <w:rPr>
          <w:rFonts w:ascii="Arial" w:hAnsi="Arial" w:eastAsia="仿宋_GB2312" w:cs="Arial"/>
          <w:color w:val="auto"/>
          <w:sz w:val="28"/>
          <w:highlight w:val="none"/>
        </w:rPr>
        <w:t>日一致。</w:t>
      </w:r>
    </w:p>
    <w:bookmarkEnd w:id="104"/>
    <w:p>
      <w:pPr>
        <w:spacing w:line="536" w:lineRule="exact"/>
        <w:ind w:firstLine="562" w:firstLineChars="200"/>
        <w:outlineLvl w:val="1"/>
        <w:rPr>
          <w:rFonts w:ascii="Arial" w:hAnsi="Arial" w:eastAsia="仿宋_GB2312" w:cs="Arial"/>
          <w:b/>
          <w:color w:val="auto"/>
          <w:sz w:val="28"/>
          <w:highlight w:val="none"/>
        </w:rPr>
      </w:pPr>
      <w:bookmarkStart w:id="109" w:name="_Toc391563003"/>
      <w:bookmarkStart w:id="110" w:name="_Toc3713"/>
      <w:bookmarkStart w:id="111" w:name="_Toc130975227"/>
      <w:r>
        <w:rPr>
          <w:rFonts w:hint="eastAsia" w:ascii="Arial" w:hAnsi="Arial" w:eastAsia="仿宋_GB2312" w:cs="Arial"/>
          <w:b/>
          <w:color w:val="auto"/>
          <w:sz w:val="28"/>
          <w:highlight w:val="none"/>
        </w:rPr>
        <w:t>六、价值类型</w:t>
      </w:r>
      <w:bookmarkEnd w:id="109"/>
      <w:bookmarkEnd w:id="110"/>
    </w:p>
    <w:p>
      <w:pPr>
        <w:spacing w:line="536" w:lineRule="exact"/>
        <w:ind w:firstLine="560" w:firstLineChars="200"/>
        <w:rPr>
          <w:rFonts w:ascii="Arial" w:hAnsi="Arial" w:eastAsia="仿宋_GB2312" w:cs="Arial"/>
          <w:color w:val="auto"/>
          <w:sz w:val="28"/>
          <w:highlight w:val="none"/>
        </w:rPr>
      </w:pPr>
      <w:bookmarkStart w:id="112" w:name="_Toc391563004"/>
      <w:r>
        <w:rPr>
          <w:rFonts w:hint="eastAsia" w:ascii="Arial" w:hAnsi="Arial" w:eastAsia="仿宋_GB2312" w:cs="Arial"/>
          <w:color w:val="auto"/>
          <w:sz w:val="28"/>
          <w:highlight w:val="none"/>
        </w:rPr>
        <w:t>根据估价目的，本次估价采用的价值类型为市场价值，是指估价对象经适当营销后，由熟悉情况、谨慎行事且不受强迫的交易双方，以公平交易方式在价值时点自愿进行交易的金额</w:t>
      </w:r>
      <w:r>
        <w:rPr>
          <w:rFonts w:ascii="Arial" w:hAnsi="Arial" w:eastAsia="仿宋_GB2312" w:cs="Arial"/>
          <w:color w:val="auto"/>
          <w:sz w:val="28"/>
          <w:highlight w:val="none"/>
        </w:rPr>
        <w:t>。</w:t>
      </w:r>
    </w:p>
    <w:p>
      <w:pPr>
        <w:spacing w:line="536" w:lineRule="exact"/>
        <w:ind w:firstLine="562" w:firstLineChars="200"/>
        <w:outlineLvl w:val="1"/>
        <w:rPr>
          <w:rFonts w:ascii="Arial" w:hAnsi="Arial" w:eastAsia="仿宋_GB2312" w:cs="Arial"/>
          <w:b/>
          <w:color w:val="auto"/>
          <w:sz w:val="28"/>
          <w:highlight w:val="none"/>
        </w:rPr>
      </w:pPr>
      <w:bookmarkStart w:id="113" w:name="_Toc7739"/>
      <w:r>
        <w:rPr>
          <w:rFonts w:hint="eastAsia" w:ascii="Arial" w:hAnsi="Arial" w:eastAsia="仿宋_GB2312" w:cs="Arial"/>
          <w:b/>
          <w:color w:val="auto"/>
          <w:sz w:val="28"/>
          <w:highlight w:val="none"/>
        </w:rPr>
        <w:t>七、估价原则</w:t>
      </w:r>
      <w:bookmarkEnd w:id="112"/>
      <w:bookmarkEnd w:id="113"/>
    </w:p>
    <w:p>
      <w:pPr>
        <w:snapToGrid w:val="0"/>
        <w:spacing w:line="536"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本次估价过程中，遵循的主要原则为：</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1、独立、客观、公正原则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要求站在中立的立场上，实事求是、公平正直地评估出对各方估价利害关系人均是公平合理的价值或价格的原则。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w:t>
      </w:r>
      <w:r>
        <w:rPr>
          <w:rFonts w:ascii="Arial" w:hAnsi="Arial" w:eastAsia="仿宋_GB2312" w:cs="Arial"/>
          <w:color w:val="auto"/>
          <w:highlight w:val="none"/>
        </w:rPr>
        <w:t>、合法原则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要求估价结果是在依法判定的估价对象状况下的价值或价格的原则</w:t>
      </w:r>
      <w:r>
        <w:rPr>
          <w:rFonts w:ascii="Arial" w:hAnsi="Arial" w:eastAsia="仿宋_GB2312" w:cs="Arial"/>
          <w:color w:val="auto"/>
          <w:highlight w:val="none"/>
        </w:rPr>
        <w:t>。</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3</w:t>
      </w:r>
      <w:r>
        <w:rPr>
          <w:rFonts w:ascii="Arial" w:hAnsi="Arial" w:eastAsia="仿宋_GB2312" w:cs="Arial"/>
          <w:color w:val="auto"/>
          <w:highlight w:val="none"/>
        </w:rPr>
        <w:t>、价值时点原则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要求估价结果是在根据估价目的的确定的某一特定时间的价值或价格的原则</w:t>
      </w:r>
      <w:r>
        <w:rPr>
          <w:rFonts w:ascii="Arial" w:hAnsi="Arial" w:eastAsia="仿宋_GB2312" w:cs="Arial"/>
          <w:color w:val="auto"/>
          <w:highlight w:val="none"/>
        </w:rPr>
        <w:t>。</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4</w:t>
      </w:r>
      <w:r>
        <w:rPr>
          <w:rFonts w:ascii="Arial" w:hAnsi="Arial" w:eastAsia="仿宋_GB2312" w:cs="Arial"/>
          <w:color w:val="auto"/>
          <w:highlight w:val="none"/>
        </w:rPr>
        <w:t>、替代原则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要求估价结果与估价对象的类似房地产在同等条件下的价值或价格偏差在合理范围内的原则。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5</w:t>
      </w:r>
      <w:r>
        <w:rPr>
          <w:rFonts w:ascii="Arial" w:hAnsi="Arial" w:eastAsia="仿宋_GB2312" w:cs="Arial"/>
          <w:color w:val="auto"/>
          <w:highlight w:val="none"/>
        </w:rPr>
        <w:t>、最高最佳</w:t>
      </w:r>
      <w:r>
        <w:rPr>
          <w:rFonts w:hint="eastAsia" w:ascii="Arial" w:hAnsi="Arial" w:eastAsia="仿宋_GB2312" w:cs="Arial"/>
          <w:color w:val="auto"/>
          <w:highlight w:val="none"/>
        </w:rPr>
        <w:t>利</w:t>
      </w:r>
      <w:r>
        <w:rPr>
          <w:rFonts w:ascii="Arial" w:hAnsi="Arial" w:eastAsia="仿宋_GB2312" w:cs="Arial"/>
          <w:color w:val="auto"/>
          <w:highlight w:val="none"/>
        </w:rPr>
        <w:t>用原则</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要求估价结果是在估价对象</w:t>
      </w:r>
      <w:r>
        <w:rPr>
          <w:rFonts w:ascii="Arial" w:hAnsi="Arial" w:eastAsia="仿宋_GB2312" w:cs="Arial"/>
          <w:color w:val="auto"/>
          <w:highlight w:val="none"/>
        </w:rPr>
        <w:t>最高最佳</w:t>
      </w:r>
      <w:r>
        <w:rPr>
          <w:rFonts w:hint="eastAsia" w:ascii="Arial" w:hAnsi="Arial" w:eastAsia="仿宋_GB2312" w:cs="Arial"/>
          <w:color w:val="auto"/>
          <w:highlight w:val="none"/>
        </w:rPr>
        <w:t>利</w:t>
      </w:r>
      <w:r>
        <w:rPr>
          <w:rFonts w:ascii="Arial" w:hAnsi="Arial" w:eastAsia="仿宋_GB2312" w:cs="Arial"/>
          <w:color w:val="auto"/>
          <w:highlight w:val="none"/>
        </w:rPr>
        <w:t>用</w:t>
      </w:r>
      <w:r>
        <w:rPr>
          <w:rFonts w:hint="eastAsia" w:ascii="Arial" w:hAnsi="Arial" w:eastAsia="仿宋_GB2312" w:cs="Arial"/>
          <w:color w:val="auto"/>
          <w:highlight w:val="none"/>
        </w:rPr>
        <w:t>状况下的价值或价格的原则。即房地产在法律上允许、技术上可能、财务上可行并使价值最大的合理、可能的利用，包括最佳的用途、规模、档次等。</w:t>
      </w:r>
    </w:p>
    <w:p>
      <w:pPr>
        <w:pStyle w:val="5"/>
        <w:spacing w:line="536" w:lineRule="exact"/>
        <w:ind w:left="0" w:firstLine="562" w:firstLineChars="200"/>
        <w:outlineLvl w:val="1"/>
        <w:rPr>
          <w:rFonts w:ascii="Arial" w:hAnsi="Arial" w:eastAsia="仿宋_GB2312" w:cs="Arial"/>
          <w:b/>
          <w:color w:val="auto"/>
          <w:highlight w:val="none"/>
        </w:rPr>
      </w:pPr>
      <w:bookmarkStart w:id="114" w:name="_Toc391563005"/>
      <w:bookmarkStart w:id="115" w:name="_Toc20250"/>
      <w:r>
        <w:rPr>
          <w:rFonts w:hint="eastAsia" w:ascii="Arial" w:hAnsi="Arial" w:eastAsia="仿宋_GB2312" w:cs="Arial"/>
          <w:b/>
          <w:color w:val="auto"/>
          <w:highlight w:val="none"/>
        </w:rPr>
        <w:t>八</w:t>
      </w:r>
      <w:r>
        <w:rPr>
          <w:rFonts w:ascii="Arial" w:hAnsi="Arial" w:eastAsia="仿宋_GB2312" w:cs="Arial"/>
          <w:b/>
          <w:color w:val="auto"/>
          <w:highlight w:val="none"/>
        </w:rPr>
        <w:t>、估价依据</w:t>
      </w:r>
      <w:bookmarkEnd w:id="114"/>
      <w:bookmarkEnd w:id="115"/>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（一）行为依据</w:t>
      </w:r>
    </w:p>
    <w:p>
      <w:pPr>
        <w:pStyle w:val="8"/>
        <w:tabs>
          <w:tab w:val="left" w:pos="6570"/>
        </w:tabs>
        <w:spacing w:line="536" w:lineRule="exact"/>
        <w:ind w:left="0" w:firstLine="536" w:firstLineChars="200"/>
        <w:rPr>
          <w:rFonts w:ascii="Arial" w:hAnsi="Arial" w:eastAsia="仿宋_GB2312" w:cs="Arial"/>
          <w:color w:val="auto"/>
          <w:spacing w:val="-6"/>
          <w:highlight w:val="none"/>
        </w:rPr>
      </w:pPr>
      <w:r>
        <w:rPr>
          <w:rFonts w:hint="eastAsia" w:ascii="Arial" w:hAnsi="Arial" w:eastAsia="仿宋_GB2312" w:cs="Arial"/>
          <w:color w:val="auto"/>
          <w:spacing w:val="-6"/>
          <w:highlight w:val="none"/>
        </w:rPr>
        <w:t>1、《</w:t>
      </w:r>
      <w:r>
        <w:rPr>
          <w:rFonts w:hint="eastAsia" w:ascii="Arial" w:hAnsi="Arial" w:eastAsia="仿宋_GB2312" w:cs="Arial"/>
          <w:color w:val="auto"/>
          <w:spacing w:val="-6"/>
          <w:highlight w:val="none"/>
          <w:lang w:eastAsia="zh-CN"/>
        </w:rPr>
        <w:t>湖北省竹溪县人民法院</w:t>
      </w:r>
      <w:r>
        <w:rPr>
          <w:rFonts w:hint="eastAsia" w:ascii="Arial" w:hAnsi="Arial" w:eastAsia="仿宋_GB2312" w:cs="Arial"/>
          <w:color w:val="auto"/>
          <w:spacing w:val="-6"/>
          <w:highlight w:val="none"/>
          <w:lang w:val="en-US" w:eastAsia="zh-CN"/>
        </w:rPr>
        <w:t>价格评估</w:t>
      </w:r>
      <w:r>
        <w:rPr>
          <w:rFonts w:hint="eastAsia" w:ascii="Arial" w:hAnsi="Arial" w:eastAsia="仿宋_GB2312" w:cs="Arial"/>
          <w:color w:val="auto"/>
          <w:spacing w:val="-6"/>
          <w:highlight w:val="none"/>
        </w:rPr>
        <w:t>委托书》（（2022）</w:t>
      </w:r>
      <w:r>
        <w:rPr>
          <w:rFonts w:hint="eastAsia" w:ascii="Arial" w:hAnsi="Arial" w:eastAsia="仿宋_GB2312" w:cs="Arial"/>
          <w:color w:val="auto"/>
          <w:spacing w:val="-6"/>
          <w:highlight w:val="none"/>
          <w:lang w:val="en-US" w:eastAsia="zh-CN"/>
        </w:rPr>
        <w:t>溪法技委字第17</w:t>
      </w:r>
      <w:r>
        <w:rPr>
          <w:rFonts w:hint="eastAsia" w:ascii="Arial" w:hAnsi="Arial" w:eastAsia="仿宋_GB2312" w:cs="Arial"/>
          <w:color w:val="auto"/>
          <w:spacing w:val="-6"/>
          <w:highlight w:val="none"/>
        </w:rPr>
        <w:t>号）。</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（二）法律、法规和政策性文件</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1、国家法律、法规、规章及政策性文件</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（1）《中华人民共和国土地管理法》（2004年8月28日中华人民共和国主席令第28号、自1999年1月1日起施行、2004年8月28日第二次修正、2019年8月26日第三次修正）；</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（2）《中华人民共和国城市房地产管理法》（中华人民共和国主席令第72号、自1995年1月1日起施行、2009年8月27日第二次修正、2019年8月26日第三次修正）；</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（3）《中华人民共和国资产评估法》（中华人民共和国主席令第46号、2016年12月1日起施行）；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（4）《中华人民共和国民法典》（中华人民共和国主席令13届第45号、2021年1月1日起施行）；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（5）《中华人民共和国契税法》（中华人民共和国第十三届全国人民代表大会常务委员会第二十一次会议于2020年8月11日通过，2021年9月1日起施行）；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（6）《中华人民共和国城市维护建设税暂行条例》（国发〔1985〕19号、1985年度起施行）；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（7）《中华人民共和国房产税暂行条例》（国发[1986]90号、自1986年10月1日起施行、2011年1月8日修订）；</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（8）《国务院关于修改〈征收教育费附加的暂行规定〉的决定》（中华人民共和国国务院令第448号、2005年10月1日起施行）；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（9）《国务院关于修改〈中华人民共和国城镇土地使用税暂行条例〉的决定》（中华人民共和国国务院令第483号、2007年1月1日起施行）；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（10）《纳税人转让不动产增值税征收管理暂行办法》（国家税务总局公告2016年第14号、自2016年5月1日起施行）；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（11）《财政部关于统一地方教育附加政策有关问题的通知》（财综（2010）98号、2010年11月7日起施行）；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 xml:space="preserve">（12）《关于全面推开营业税改征增值税试点的通知》（财税（2016）36号、自2016年5月1日起施行）； </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（13）《关于营改增后契税、房产税、土地增值税、个人所得税计税依据问题的通知》（财税（2016）43号、自2016年5月1日起施行）。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2、地方法规、规章及政策性文件</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（1）《湖北省土地管理实施办法（1999）》（1999年9月27日湖北省第九届人民代表大会常务委员会第十二次会议修订）；</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（2）《湖北省契税征收管理实施办法》（修订）（湖北省人民政府令2000年第190号、2000年2月21日起施行）；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（3）《湖北省城镇土地使用税实施办法》（湖北省人民政府令第302号、2007年5月19日起施行）；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（4）《湖北省城镇国有土地使用权出让和转让实施办法》（湖北省人民政府令1993年第45号，1993年6月17日起施行）；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w:t>
      </w:r>
      <w:r>
        <w:rPr>
          <w:rFonts w:hint="eastAsia" w:ascii="Arial" w:hAnsi="Arial" w:eastAsia="仿宋_GB2312" w:cs="Arial"/>
          <w:color w:val="auto"/>
          <w:highlight w:val="none"/>
          <w:lang w:val="en-US" w:eastAsia="zh-CN"/>
        </w:rPr>
        <w:t>5</w:t>
      </w:r>
      <w:r>
        <w:rPr>
          <w:rFonts w:hint="eastAsia" w:ascii="Arial" w:hAnsi="Arial" w:eastAsia="仿宋_GB2312" w:cs="Arial"/>
          <w:color w:val="auto"/>
          <w:highlight w:val="none"/>
        </w:rPr>
        <w:t>）《湖北省地方税务局、湖北省国家税务局关于不动产销售和出租代征增值税若干问题的通知》（鄂地税发（2016）58号、2016年4月7日施行）；</w:t>
      </w:r>
    </w:p>
    <w:p>
      <w:pPr>
        <w:pStyle w:val="8"/>
        <w:tabs>
          <w:tab w:val="left" w:pos="6570"/>
        </w:tabs>
        <w:spacing w:line="536" w:lineRule="exact"/>
        <w:ind w:left="0" w:firstLine="560" w:firstLineChars="200"/>
        <w:rPr>
          <w:rFonts w:hint="eastAsia" w:ascii="Arial" w:hAnsi="Arial" w:eastAsia="仿宋_GB2312" w:cs="Arial"/>
          <w:color w:val="auto"/>
          <w:highlight w:val="none"/>
        </w:rPr>
      </w:pPr>
      <w:r>
        <w:rPr>
          <w:rFonts w:hint="eastAsia" w:ascii="Arial" w:hAnsi="Arial" w:eastAsia="仿宋_GB2312" w:cs="Arial"/>
          <w:color w:val="auto"/>
          <w:highlight w:val="none"/>
        </w:rPr>
        <w:t>（6）十堰市物价局2005年印发的《关于公布十堰市城区2005年房屋重置价格标准的通知》（十价房（2005）年06号）。</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（三）技术标准、规程、规范</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1、中华人民共和国国家标准《土地利用现状分类》（GB/T21010-2017）；</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2、《城市用地分类与规划建设用地标准》(GB50137-2011)；</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3、《建筑工程建筑面积计算规范》（GB/T 50353-2013）；</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4、《房地产估价基本术语标准》（GB/T50899-2013、中华人民共和国住房和城乡建设部、中华人民共和国国家质量监督检验检疫总局2013年6月26日联合发布、2014年2月1日实施）；</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5、《房地产估价规范》（GB/T50291-2015、中华人民共和国住房和城乡建设部、中华人民共和国国家质量监督检验检疫总局联合发布、2015年4月8日发布、2015年12月1日实施）；</w:t>
      </w:r>
    </w:p>
    <w:p>
      <w:pPr>
        <w:spacing w:line="536" w:lineRule="exact"/>
        <w:ind w:firstLine="552" w:firstLineChars="200"/>
        <w:rPr>
          <w:rFonts w:ascii="Arial" w:hAnsi="Arial" w:eastAsia="仿宋_GB2312" w:cs="Arial"/>
          <w:color w:val="auto"/>
          <w:spacing w:val="-2"/>
          <w:sz w:val="28"/>
          <w:szCs w:val="28"/>
          <w:highlight w:val="none"/>
        </w:rPr>
      </w:pPr>
      <w:r>
        <w:rPr>
          <w:rFonts w:hint="eastAsia" w:ascii="Arial" w:hAnsi="Arial" w:eastAsia="仿宋_GB2312" w:cs="Arial"/>
          <w:color w:val="auto"/>
          <w:spacing w:val="-2"/>
          <w:sz w:val="28"/>
          <w:szCs w:val="28"/>
          <w:highlight w:val="none"/>
        </w:rPr>
        <w:t>6、《</w:t>
      </w:r>
      <w:r>
        <w:rPr>
          <w:rFonts w:ascii="Arial" w:hAnsi="Arial" w:eastAsia="仿宋_GB2312" w:cs="Arial"/>
          <w:color w:val="auto"/>
          <w:spacing w:val="-2"/>
          <w:sz w:val="28"/>
          <w:szCs w:val="28"/>
          <w:highlight w:val="none"/>
        </w:rPr>
        <w:t>最高人民法院关于人民法院委托评估、拍卖和变卖工作的若干规定</w:t>
      </w:r>
      <w:r>
        <w:rPr>
          <w:rFonts w:hint="eastAsia" w:ascii="Arial" w:hAnsi="Arial" w:eastAsia="仿宋_GB2312" w:cs="Arial"/>
          <w:color w:val="auto"/>
          <w:spacing w:val="-2"/>
          <w:sz w:val="28"/>
          <w:szCs w:val="28"/>
          <w:highlight w:val="none"/>
        </w:rPr>
        <w:t>》（法释［2009］16号，自2009年11月20日起施行）；</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7、</w:t>
      </w:r>
      <w:r>
        <w:rPr>
          <w:rFonts w:ascii="Arial" w:hAnsi="Arial" w:eastAsia="仿宋_GB2312" w:cs="Arial"/>
          <w:color w:val="auto"/>
          <w:spacing w:val="-2"/>
          <w:szCs w:val="28"/>
          <w:highlight w:val="none"/>
        </w:rPr>
        <w:t>《最高人民法院关于人民法院委托评估、拍卖工作的若干规定》</w:t>
      </w:r>
      <w:r>
        <w:rPr>
          <w:rFonts w:hint="eastAsia" w:ascii="Arial" w:hAnsi="Arial" w:eastAsia="仿宋_GB2312" w:cs="Arial"/>
          <w:color w:val="auto"/>
          <w:spacing w:val="-2"/>
          <w:szCs w:val="28"/>
          <w:highlight w:val="none"/>
        </w:rPr>
        <w:t>（</w:t>
      </w:r>
      <w:r>
        <w:rPr>
          <w:rFonts w:ascii="Arial" w:hAnsi="Arial" w:eastAsia="仿宋_GB2312" w:cs="Arial"/>
          <w:color w:val="auto"/>
          <w:spacing w:val="-2"/>
          <w:szCs w:val="28"/>
          <w:highlight w:val="none"/>
        </w:rPr>
        <w:t>法释〔2011〕21号</w:t>
      </w:r>
      <w:r>
        <w:rPr>
          <w:rFonts w:hint="eastAsia" w:ascii="Arial" w:hAnsi="Arial" w:eastAsia="仿宋_GB2312" w:cs="Arial"/>
          <w:color w:val="auto"/>
          <w:spacing w:val="-2"/>
          <w:szCs w:val="28"/>
          <w:highlight w:val="none"/>
        </w:rPr>
        <w:t>，</w:t>
      </w:r>
      <w:r>
        <w:rPr>
          <w:rFonts w:ascii="Arial" w:hAnsi="Arial" w:eastAsia="仿宋_GB2312" w:cs="Arial"/>
          <w:color w:val="auto"/>
          <w:spacing w:val="-2"/>
          <w:szCs w:val="28"/>
          <w:highlight w:val="none"/>
        </w:rPr>
        <w:t>自2012年1月1日起施行</w:t>
      </w:r>
      <w:r>
        <w:rPr>
          <w:rFonts w:hint="eastAsia" w:ascii="Arial" w:hAnsi="Arial" w:eastAsia="仿宋_GB2312" w:cs="Arial"/>
          <w:color w:val="auto"/>
          <w:spacing w:val="-2"/>
          <w:szCs w:val="28"/>
          <w:highlight w:val="none"/>
        </w:rPr>
        <w:t>）；</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8、</w:t>
      </w:r>
      <w:r>
        <w:rPr>
          <w:rFonts w:ascii="Arial" w:hAnsi="Arial" w:eastAsia="仿宋_GB2312" w:cs="Arial"/>
          <w:color w:val="auto"/>
          <w:spacing w:val="-2"/>
          <w:szCs w:val="28"/>
          <w:highlight w:val="none"/>
        </w:rPr>
        <w:t>《最高人民法院关于人民法院确定财产处置参考价若干问题的规定》（法释〔2018〕15号</w:t>
      </w:r>
      <w:r>
        <w:rPr>
          <w:rFonts w:hint="eastAsia" w:ascii="Arial" w:hAnsi="Arial" w:eastAsia="仿宋_GB2312" w:cs="Arial"/>
          <w:color w:val="auto"/>
          <w:spacing w:val="-2"/>
          <w:szCs w:val="28"/>
          <w:highlight w:val="none"/>
        </w:rPr>
        <w:t>，</w:t>
      </w:r>
      <w:r>
        <w:rPr>
          <w:rFonts w:ascii="Arial" w:hAnsi="Arial" w:eastAsia="仿宋_GB2312" w:cs="Arial"/>
          <w:color w:val="auto"/>
          <w:spacing w:val="-2"/>
          <w:szCs w:val="28"/>
          <w:highlight w:val="none"/>
        </w:rPr>
        <w:t>自</w:t>
      </w:r>
      <w:r>
        <w:rPr>
          <w:rFonts w:hint="eastAsia" w:ascii="Arial" w:hAnsi="Arial" w:eastAsia="仿宋_GB2312" w:cs="Arial"/>
          <w:color w:val="auto"/>
          <w:spacing w:val="-2"/>
          <w:szCs w:val="28"/>
          <w:highlight w:val="none"/>
        </w:rPr>
        <w:t>2018年9月1日起施行）；</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9、《人民法院委托评估工作规范》（法办〔2018〕273号，最高人民法院与中国资产评估协会、中国土地估价师与土地登记代理人协会、中国房地产估价师与房地产经纪人学会、中国矿业权评估师协会、中国珠宝玉石首饰行业协会联合制定，2018年12月10日印发）；</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10、《对外委托司法鉴定、评估工作操作指引》（武中法（2021）12号，武汉市中级人民法院，自2021年5月27日实行）；</w:t>
      </w:r>
    </w:p>
    <w:p>
      <w:pPr>
        <w:pStyle w:val="8"/>
        <w:tabs>
          <w:tab w:val="left" w:pos="6570"/>
        </w:tabs>
        <w:spacing w:line="536" w:lineRule="exact"/>
        <w:ind w:left="0" w:firstLine="552" w:firstLineChars="200"/>
        <w:rPr>
          <w:rFonts w:ascii="Arial" w:hAnsi="Arial" w:eastAsia="仿宋_GB2312" w:cs="Arial"/>
          <w:color w:val="auto"/>
          <w:spacing w:val="-2"/>
          <w:szCs w:val="28"/>
          <w:highlight w:val="none"/>
        </w:rPr>
      </w:pPr>
      <w:r>
        <w:rPr>
          <w:rFonts w:hint="eastAsia" w:ascii="Arial" w:hAnsi="Arial" w:eastAsia="仿宋_GB2312" w:cs="Arial"/>
          <w:color w:val="auto"/>
          <w:spacing w:val="-2"/>
          <w:szCs w:val="28"/>
          <w:highlight w:val="none"/>
        </w:rPr>
        <w:t>11、《关于印发&lt;涉执房地产处置司法评估指导意见（试行）&gt;的通知》（中房学[2021]37号，中国房地产估价师与房地产经纪人学会，自2021年9月1日起施行）。</w:t>
      </w:r>
    </w:p>
    <w:p>
      <w:pPr>
        <w:pStyle w:val="8"/>
        <w:tabs>
          <w:tab w:val="left" w:pos="6570"/>
        </w:tabs>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（四）估价委托人提供的资料</w:t>
      </w:r>
    </w:p>
    <w:p>
      <w:pPr>
        <w:pStyle w:val="5"/>
        <w:spacing w:line="536" w:lineRule="exact"/>
        <w:ind w:left="279" w:leftChars="133" w:firstLine="268" w:firstLineChars="96"/>
        <w:rPr>
          <w:rFonts w:ascii="Arial" w:hAnsi="Arial" w:eastAsia="仿宋_GB2312" w:cs="Arial"/>
          <w:color w:val="auto"/>
          <w:highlight w:val="none"/>
        </w:rPr>
      </w:pPr>
      <w:r>
        <w:rPr>
          <w:rFonts w:hint="eastAsia" w:ascii="Arial" w:hAnsi="Arial" w:eastAsia="仿宋_GB2312" w:cs="Arial"/>
          <w:color w:val="auto"/>
          <w:highlight w:val="none"/>
        </w:rPr>
        <w:t>1、</w:t>
      </w:r>
      <w:r>
        <w:rPr>
          <w:rFonts w:hint="eastAsia" w:ascii="Arial" w:hAnsi="Arial" w:eastAsia="仿宋_GB2312" w:cs="Arial"/>
          <w:color w:val="auto"/>
          <w:highlight w:val="none"/>
          <w:lang w:eastAsia="zh-CN"/>
        </w:rPr>
        <w:t>《不动产登记信息》</w:t>
      </w:r>
      <w:r>
        <w:rPr>
          <w:rFonts w:hint="eastAsia" w:ascii="Arial" w:hAnsi="Arial" w:eastAsia="仿宋_GB2312" w:cs="Arial"/>
          <w:color w:val="auto"/>
          <w:highlight w:val="none"/>
        </w:rPr>
        <w:t>复印件；</w:t>
      </w:r>
    </w:p>
    <w:p>
      <w:pPr>
        <w:pStyle w:val="5"/>
        <w:spacing w:line="536" w:lineRule="exact"/>
        <w:ind w:left="279" w:leftChars="133" w:firstLine="268" w:firstLineChars="96"/>
        <w:rPr>
          <w:rFonts w:ascii="Arial" w:hAnsi="Arial" w:eastAsia="仿宋_GB2312" w:cs="Arial"/>
          <w:color w:val="auto"/>
          <w:highlight w:val="none"/>
        </w:rPr>
      </w:pPr>
      <w:r>
        <w:rPr>
          <w:rFonts w:hint="eastAsia" w:ascii="Arial" w:hAnsi="Arial" w:eastAsia="仿宋_GB2312" w:cs="Arial"/>
          <w:color w:val="auto"/>
          <w:highlight w:val="none"/>
          <w:lang w:val="en-US" w:eastAsia="zh-CN"/>
        </w:rPr>
        <w:t>2</w:t>
      </w:r>
      <w:r>
        <w:rPr>
          <w:rFonts w:hint="eastAsia" w:ascii="Arial" w:hAnsi="Arial" w:eastAsia="仿宋_GB2312" w:cs="Arial"/>
          <w:color w:val="auto"/>
          <w:highlight w:val="none"/>
        </w:rPr>
        <w:t>、</w:t>
      </w:r>
      <w:r>
        <w:rPr>
          <w:rFonts w:hint="eastAsia" w:ascii="Arial" w:hAnsi="Arial" w:eastAsia="仿宋_GB2312" w:cs="Arial"/>
          <w:color w:val="auto"/>
          <w:highlight w:val="none"/>
          <w:lang w:eastAsia="zh-CN"/>
        </w:rPr>
        <w:t>《湖北省竹溪县人民法院执行裁定书》</w:t>
      </w:r>
      <w:r>
        <w:rPr>
          <w:rFonts w:hint="eastAsia" w:ascii="Arial" w:hAnsi="Arial" w:eastAsia="仿宋_GB2312" w:cs="Arial"/>
          <w:color w:val="auto"/>
          <w:highlight w:val="none"/>
        </w:rPr>
        <w:t>复印件；</w:t>
      </w:r>
    </w:p>
    <w:p>
      <w:pPr>
        <w:pStyle w:val="5"/>
        <w:spacing w:line="536" w:lineRule="exact"/>
        <w:ind w:left="0" w:firstLine="548" w:firstLineChars="196"/>
        <w:rPr>
          <w:rFonts w:ascii="Arial" w:hAnsi="Arial" w:eastAsia="仿宋_GB2312" w:cs="Arial"/>
          <w:color w:val="auto"/>
          <w:highlight w:val="none"/>
        </w:rPr>
      </w:pPr>
      <w:r>
        <w:rPr>
          <w:rFonts w:hint="eastAsia" w:ascii="Arial" w:hAnsi="Arial" w:eastAsia="仿宋_GB2312" w:cs="Arial"/>
          <w:color w:val="auto"/>
          <w:highlight w:val="none"/>
          <w:lang w:val="en-US" w:eastAsia="zh-CN"/>
        </w:rPr>
        <w:t>3</w:t>
      </w:r>
      <w:r>
        <w:rPr>
          <w:rFonts w:hint="eastAsia" w:ascii="Arial" w:hAnsi="Arial" w:eastAsia="仿宋_GB2312" w:cs="Arial"/>
          <w:color w:val="auto"/>
          <w:highlight w:val="none"/>
        </w:rPr>
        <w:t>、估价委托人提供的其它有关资料。</w:t>
      </w:r>
    </w:p>
    <w:p>
      <w:pPr>
        <w:pStyle w:val="5"/>
        <w:spacing w:line="536" w:lineRule="exact"/>
        <w:ind w:left="0" w:firstLine="560" w:firstLineChars="200"/>
        <w:rPr>
          <w:rFonts w:ascii="Arial" w:hAnsi="Arial" w:eastAsia="仿宋_GB2312" w:cs="Arial"/>
          <w:color w:val="auto"/>
          <w:highlight w:val="none"/>
        </w:rPr>
      </w:pPr>
      <w:r>
        <w:rPr>
          <w:rFonts w:hint="eastAsia" w:ascii="Arial" w:hAnsi="Arial" w:eastAsia="仿宋_GB2312" w:cs="Arial"/>
          <w:color w:val="auto"/>
          <w:highlight w:val="none"/>
        </w:rPr>
        <w:t>（五）估价机构和估价人员掌握和搜集的资料</w:t>
      </w:r>
    </w:p>
    <w:p>
      <w:pPr>
        <w:pStyle w:val="5"/>
        <w:spacing w:line="536" w:lineRule="exact"/>
        <w:ind w:left="0" w:firstLine="548" w:firstLineChars="196"/>
        <w:rPr>
          <w:rFonts w:ascii="Arial" w:hAnsi="Arial" w:eastAsia="仿宋_GB2312" w:cs="Arial"/>
          <w:color w:val="auto"/>
          <w:highlight w:val="none"/>
        </w:rPr>
      </w:pPr>
      <w:r>
        <w:rPr>
          <w:rFonts w:hint="eastAsia" w:ascii="Arial" w:hAnsi="Arial" w:eastAsia="仿宋_GB2312" w:cs="Arial"/>
          <w:color w:val="auto"/>
          <w:highlight w:val="none"/>
        </w:rPr>
        <w:t>1、实地查勘记录的影像资料和文字记录资料；</w:t>
      </w:r>
    </w:p>
    <w:p>
      <w:pPr>
        <w:pStyle w:val="5"/>
        <w:spacing w:line="536" w:lineRule="exact"/>
        <w:ind w:left="0" w:firstLine="548" w:firstLineChars="196"/>
        <w:rPr>
          <w:rFonts w:ascii="Arial" w:hAnsi="Arial" w:eastAsia="仿宋_GB2312" w:cs="Arial"/>
          <w:color w:val="auto"/>
          <w:highlight w:val="none"/>
        </w:rPr>
      </w:pPr>
      <w:r>
        <w:rPr>
          <w:rFonts w:hint="eastAsia" w:ascii="Arial" w:hAnsi="Arial" w:eastAsia="仿宋_GB2312" w:cs="Arial"/>
          <w:color w:val="auto"/>
          <w:highlight w:val="none"/>
        </w:rPr>
        <w:t>2、《十堰市统计年鉴》；</w:t>
      </w:r>
    </w:p>
    <w:p>
      <w:pPr>
        <w:pStyle w:val="5"/>
        <w:spacing w:line="560" w:lineRule="exact"/>
        <w:ind w:left="0" w:firstLine="548" w:firstLineChars="196"/>
        <w:rPr>
          <w:rFonts w:ascii="Arial" w:hAnsi="Arial" w:eastAsia="仿宋_GB2312" w:cs="Arial"/>
          <w:color w:val="auto"/>
          <w:sz w:val="28"/>
          <w:highlight w:val="none"/>
        </w:rPr>
      </w:pPr>
      <w:r>
        <w:rPr>
          <w:rFonts w:hint="eastAsia" w:ascii="Arial" w:hAnsi="Arial" w:eastAsia="仿宋_GB2312" w:cs="Arial"/>
          <w:color w:val="auto"/>
          <w:highlight w:val="none"/>
        </w:rPr>
        <w:t>3、、人民银行公布的资金存、贷款利率；</w:t>
      </w:r>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lang w:val="en-US" w:eastAsia="zh-CN"/>
        </w:rPr>
        <w:t>4</w:t>
      </w:r>
      <w:r>
        <w:rPr>
          <w:rFonts w:hint="eastAsia" w:ascii="Arial" w:hAnsi="Arial" w:eastAsia="仿宋_GB2312" w:cs="Arial"/>
          <w:color w:val="auto"/>
          <w:sz w:val="28"/>
          <w:highlight w:val="none"/>
        </w:rPr>
        <w:t>、注册房地产估价师调查收集的</w:t>
      </w:r>
      <w:r>
        <w:rPr>
          <w:rFonts w:hint="eastAsia" w:ascii="Arial" w:hAnsi="Arial" w:eastAsia="仿宋_GB2312" w:cs="Arial"/>
          <w:color w:val="auto"/>
          <w:sz w:val="28"/>
          <w:highlight w:val="none"/>
          <w:lang w:val="en-US" w:eastAsia="zh-CN"/>
        </w:rPr>
        <w:t>当地</w:t>
      </w:r>
      <w:r>
        <w:rPr>
          <w:rFonts w:hint="eastAsia" w:ascii="Arial" w:hAnsi="Arial" w:eastAsia="仿宋_GB2312" w:cs="Arial"/>
          <w:color w:val="auto"/>
          <w:sz w:val="28"/>
          <w:highlight w:val="none"/>
        </w:rPr>
        <w:t>同类房地产销售数据资料；</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lang w:val="en-US" w:eastAsia="zh-CN"/>
        </w:rPr>
        <w:t>5</w:t>
      </w:r>
      <w:r>
        <w:rPr>
          <w:rFonts w:hint="eastAsia" w:ascii="Arial" w:hAnsi="Arial" w:eastAsia="仿宋_GB2312" w:cs="Arial"/>
          <w:color w:val="auto"/>
          <w:sz w:val="28"/>
          <w:highlight w:val="none"/>
        </w:rPr>
        <w:t>、注册房地产估价师调查收集的</w:t>
      </w:r>
      <w:r>
        <w:rPr>
          <w:rFonts w:hint="eastAsia" w:ascii="Arial" w:hAnsi="Arial" w:eastAsia="仿宋_GB2312" w:cs="Arial"/>
          <w:color w:val="auto"/>
          <w:sz w:val="28"/>
          <w:highlight w:val="none"/>
          <w:lang w:val="en-US" w:eastAsia="zh-CN"/>
        </w:rPr>
        <w:t>当地</w:t>
      </w:r>
      <w:r>
        <w:rPr>
          <w:rFonts w:hint="eastAsia" w:ascii="Arial" w:hAnsi="Arial" w:eastAsia="仿宋_GB2312" w:cs="Arial"/>
          <w:color w:val="auto"/>
          <w:sz w:val="28"/>
          <w:highlight w:val="none"/>
        </w:rPr>
        <w:t>同类房地产租赁数据资料；</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lang w:val="en-US" w:eastAsia="zh-CN"/>
        </w:rPr>
        <w:t>6</w:t>
      </w:r>
      <w:r>
        <w:rPr>
          <w:rFonts w:hint="eastAsia" w:ascii="Arial" w:hAnsi="Arial" w:eastAsia="仿宋_GB2312" w:cs="Arial"/>
          <w:color w:val="auto"/>
          <w:sz w:val="28"/>
          <w:highlight w:val="none"/>
        </w:rPr>
        <w:t>、估价机构及估价人员掌握的其他相关信息资料。</w:t>
      </w:r>
    </w:p>
    <w:p>
      <w:pPr>
        <w:spacing w:line="536" w:lineRule="exact"/>
        <w:ind w:firstLine="562" w:firstLineChars="200"/>
        <w:outlineLvl w:val="1"/>
        <w:rPr>
          <w:rFonts w:ascii="Arial" w:hAnsi="Arial" w:eastAsia="仿宋_GB2312" w:cs="Arial"/>
          <w:b/>
          <w:color w:val="auto"/>
          <w:sz w:val="28"/>
          <w:highlight w:val="none"/>
        </w:rPr>
      </w:pPr>
      <w:bookmarkStart w:id="116" w:name="_Toc26248"/>
      <w:r>
        <w:rPr>
          <w:rFonts w:hint="eastAsia" w:ascii="Arial" w:hAnsi="Arial" w:eastAsia="仿宋_GB2312" w:cs="Arial"/>
          <w:b/>
          <w:color w:val="auto"/>
          <w:sz w:val="28"/>
          <w:highlight w:val="none"/>
        </w:rPr>
        <w:t>九、估价方法</w:t>
      </w:r>
      <w:bookmarkEnd w:id="111"/>
      <w:bookmarkEnd w:id="116"/>
    </w:p>
    <w:p>
      <w:pPr>
        <w:spacing w:line="536" w:lineRule="exact"/>
        <w:ind w:firstLine="560" w:firstLineChars="200"/>
        <w:rPr>
          <w:rFonts w:ascii="Arial" w:hAnsi="Arial" w:eastAsia="仿宋_GB2312" w:cs="Arial"/>
          <w:color w:val="auto"/>
          <w:sz w:val="28"/>
          <w:highlight w:val="none"/>
        </w:rPr>
      </w:pPr>
      <w:bookmarkStart w:id="117" w:name="_Toc130975228"/>
      <w:r>
        <w:rPr>
          <w:rFonts w:hint="eastAsia" w:ascii="Arial" w:hAnsi="Arial" w:eastAsia="仿宋_GB2312" w:cs="Arial"/>
          <w:color w:val="auto"/>
          <w:sz w:val="28"/>
          <w:highlight w:val="none"/>
        </w:rPr>
        <w:t>根据《房地产估价规范》，通行房地产的估价方法有比较法、收益法、成本法以及假设开发法等四种方法。估价方法的选择应按照《房地产估价规范》的要求，根据当地房地产市场发育情况并结合估价对象的具体特点及估价目的等适当选择，当估价对象仅适用一种估价方法进行估价时，可只选用一种方法进行估价。当估价对象适用两种或两种以上估价方法进行估价时，宜同时选用所有适用的估价方法进行估价，不得随意取舍；当必须取舍时，应在估价报告中说明并陈述理由。</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（一）估价思路</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根据本次评估的特定目的，注册房地产估价师严格遵循房地产估价原则，在认真分析研究所掌握的资料，进行实地查勘和对邻近地区的调查之后，针对估价对象的实际情况，经过反复研究决定，本次估价采用比较法和收益法两种估价方法分别对估价对象价值进行评估，最后将两种估价方法求得的估价结果进行综合分析处理，确定估价对象最终评估价值。</w:t>
      </w:r>
    </w:p>
    <w:bookmarkEnd w:id="117"/>
    <w:p>
      <w:pPr>
        <w:pStyle w:val="12"/>
        <w:numPr>
          <w:ilvl w:val="0"/>
          <w:numId w:val="1"/>
        </w:numPr>
        <w:spacing w:line="536" w:lineRule="exact"/>
        <w:ind w:firstLine="560" w:firstLineChars="200"/>
        <w:rPr>
          <w:rFonts w:ascii="Arial" w:hAnsi="Arial" w:cs="Arial"/>
          <w:color w:val="auto"/>
          <w:highlight w:val="none"/>
        </w:rPr>
      </w:pPr>
      <w:bookmarkStart w:id="118" w:name="_Toc391563007"/>
      <w:r>
        <w:rPr>
          <w:rFonts w:hint="eastAsia" w:ascii="Arial" w:hAnsi="Arial" w:cs="Arial"/>
          <w:color w:val="auto"/>
          <w:highlight w:val="none"/>
        </w:rPr>
        <w:t>方法选择依据</w:t>
      </w:r>
    </w:p>
    <w:p>
      <w:pPr>
        <w:pStyle w:val="12"/>
        <w:spacing w:line="536" w:lineRule="exact"/>
        <w:ind w:firstLine="560" w:firstLineChars="200"/>
        <w:rPr>
          <w:rFonts w:ascii="Arial" w:hAnsi="Arial" w:cs="Arial"/>
          <w:color w:val="auto"/>
          <w:highlight w:val="none"/>
        </w:rPr>
      </w:pPr>
      <w:r>
        <w:rPr>
          <w:rFonts w:hint="eastAsia" w:ascii="Arial" w:hAnsi="Arial" w:cs="Arial"/>
          <w:color w:val="auto"/>
          <w:highlight w:val="none"/>
        </w:rPr>
        <w:t>1、估价对象所在区域存在类似房地产交易较活跃，故可采用比较法进行估价。</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2、估价对象属于收益性房地产，预期收益较易确定，故可采用收益法进行估价。</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3、估价对象属于已建成房地产，且不存在重新开发、更新改造或改变用途的可能，故无法采用假设开发法进行估价。</w:t>
      </w:r>
    </w:p>
    <w:p>
      <w:pPr>
        <w:spacing w:line="536"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highlight w:val="none"/>
        </w:rPr>
        <w:t>4、成本法适用于很少发生交易且无潜在经济收入的房地产或可假定为独立的开发建设项目进行重新开发建设的房地产，估价对象为整栋建筑物单套物业，不可独立重新开发建设；同时估价对象周边有类似成交案例，故本次评估不适用于采用成本法进行估价。</w:t>
      </w:r>
    </w:p>
    <w:p>
      <w:pPr>
        <w:spacing w:line="536"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（三）方法定义及公式</w:t>
      </w:r>
    </w:p>
    <w:p>
      <w:pPr>
        <w:spacing w:line="536"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1、比较法</w:t>
      </w:r>
    </w:p>
    <w:p>
      <w:pPr>
        <w:spacing w:line="536" w:lineRule="exact"/>
        <w:ind w:firstLine="560" w:firstLineChars="200"/>
        <w:rPr>
          <w:rFonts w:ascii="Arial" w:hAnsi="Arial" w:eastAsia="仿宋_GB2312" w:cs="Arial"/>
          <w:color w:val="auto"/>
          <w:sz w:val="28"/>
          <w:szCs w:val="28"/>
          <w:highlight w:val="none"/>
        </w:rPr>
      </w:pPr>
      <w:r>
        <w:rPr>
          <w:rFonts w:hint="eastAsia" w:ascii="Arial" w:hAnsi="Arial" w:eastAsia="仿宋_GB2312" w:cs="Arial"/>
          <w:color w:val="auto"/>
          <w:sz w:val="28"/>
          <w:szCs w:val="28"/>
          <w:highlight w:val="none"/>
        </w:rPr>
        <w:t xml:space="preserve">比较法是选取一定数量的可比实例，将它们与估价对象进行比较，根据其间的差异对可比实例成交价格进行处理后得到估价对象价值或价格的方法。其公式为： </w:t>
      </w:r>
    </w:p>
    <w:p>
      <w:pPr>
        <w:spacing w:line="536"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8"/>
          <w:highlight w:val="none"/>
        </w:rPr>
        <w:t>估价对象房地产价格＝可比实例成交价格×交易情况修正系数</w:t>
      </w:r>
      <w:r>
        <w:rPr>
          <w:rFonts w:ascii="Arial" w:hAnsi="Arial" w:eastAsia="仿宋_GB2312" w:cs="Arial"/>
          <w:color w:val="auto"/>
          <w:sz w:val="28"/>
          <w:szCs w:val="28"/>
          <w:highlight w:val="none"/>
        </w:rPr>
        <w:t>×</w:t>
      </w:r>
      <w:r>
        <w:rPr>
          <w:rFonts w:hint="eastAsia" w:ascii="Arial" w:hAnsi="Arial" w:eastAsia="仿宋_GB2312" w:cs="Arial"/>
          <w:color w:val="auto"/>
          <w:sz w:val="28"/>
          <w:szCs w:val="28"/>
          <w:highlight w:val="none"/>
        </w:rPr>
        <w:t>市场状况调整系数×房地产状况调整系数</w:t>
      </w:r>
    </w:p>
    <w:p>
      <w:pPr>
        <w:spacing w:line="536" w:lineRule="exact"/>
        <w:ind w:firstLine="560" w:firstLineChars="200"/>
        <w:rPr>
          <w:rFonts w:ascii="Arial" w:hAnsi="Arial" w:eastAsia="仿宋_GB2312" w:cs="Arial"/>
          <w:color w:val="auto"/>
          <w:sz w:val="28"/>
          <w:szCs w:val="20"/>
          <w:highlight w:val="none"/>
        </w:rPr>
      </w:pPr>
      <w:r>
        <w:rPr>
          <w:rFonts w:hint="eastAsia" w:ascii="Arial" w:hAnsi="Arial" w:eastAsia="仿宋_GB2312" w:cs="Arial"/>
          <w:color w:val="auto"/>
          <w:sz w:val="28"/>
          <w:szCs w:val="20"/>
          <w:highlight w:val="none"/>
        </w:rPr>
        <w:t>2、收益法</w:t>
      </w:r>
    </w:p>
    <w:p>
      <w:pPr>
        <w:spacing w:line="536"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所谓收益法，是预计估价对象未来的正常净收益，选用适当的资本化率（还原利率）将其折现到价值时点后累加，以此估算估价对象的客观合理价格或价值的方法。其基本公式为：</w:t>
      </w:r>
    </w:p>
    <w:p>
      <w:pPr>
        <w:spacing w:line="56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drawing>
          <wp:anchor distT="0" distB="0" distL="114300" distR="114300" simplePos="0" relativeHeight="251661312" behindDoc="0" locked="0" layoutInCell="1" allowOverlap="1">
            <wp:simplePos x="0" y="0"/>
            <wp:positionH relativeFrom="column">
              <wp:posOffset>115570</wp:posOffset>
            </wp:positionH>
            <wp:positionV relativeFrom="paragraph">
              <wp:posOffset>131445</wp:posOffset>
            </wp:positionV>
            <wp:extent cx="4721860" cy="614045"/>
            <wp:effectExtent l="0" t="0" r="0" b="10795"/>
            <wp:wrapNone/>
            <wp:docPr id="1" name="对象 161"/>
            <wp:cNvGraphicFramePr/>
            <a:graphic xmlns:a="http://schemas.openxmlformats.org/drawingml/2006/main">
              <a:graphicData uri="http://schemas.openxmlformats.org/drawingml/2006/picture">
                <pic:pic xmlns:pic="http://schemas.openxmlformats.org/drawingml/2006/picture">
                  <pic:nvPicPr>
                    <pic:cNvPr id="1" name="对象 161"/>
                    <pic:cNvPicPr/>
                  </pic:nvPicPr>
                  <pic:blipFill>
                    <a:blip r:embed="rId15"/>
                    <a:stretch>
                      <a:fillRect/>
                    </a:stretch>
                  </pic:blipFill>
                  <pic:spPr>
                    <a:xfrm>
                      <a:off x="0" y="0"/>
                      <a:ext cx="4721860" cy="614045"/>
                    </a:xfrm>
                    <a:prstGeom prst="rect">
                      <a:avLst/>
                    </a:prstGeom>
                    <a:noFill/>
                    <a:ln>
                      <a:noFill/>
                    </a:ln>
                  </pic:spPr>
                </pic:pic>
              </a:graphicData>
            </a:graphic>
          </wp:anchor>
        </w:drawing>
      </w:r>
    </w:p>
    <w:p>
      <w:pPr>
        <w:spacing w:line="520" w:lineRule="exact"/>
        <w:ind w:firstLine="560" w:firstLineChars="200"/>
        <w:rPr>
          <w:rFonts w:ascii="Arial" w:hAnsi="Arial" w:eastAsia="仿宋_GB2312" w:cs="Arial"/>
          <w:color w:val="auto"/>
          <w:sz w:val="28"/>
          <w:highlight w:val="none"/>
        </w:rPr>
      </w:pPr>
    </w:p>
    <w:p>
      <w:pPr>
        <w:spacing w:line="52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式中：</w:t>
      </w:r>
      <w:r>
        <w:rPr>
          <w:rFonts w:ascii="Arial" w:hAnsi="Arial" w:eastAsia="仿宋_GB2312" w:cs="Arial"/>
          <w:color w:val="auto"/>
          <w:sz w:val="28"/>
          <w:highlight w:val="none"/>
        </w:rPr>
        <w:t>Ｖ</w:t>
      </w:r>
      <w:r>
        <w:rPr>
          <w:rFonts w:hint="eastAsia" w:ascii="Arial" w:hAnsi="Arial" w:eastAsia="仿宋_GB2312" w:cs="Arial"/>
          <w:color w:val="auto"/>
          <w:sz w:val="28"/>
          <w:highlight w:val="none"/>
        </w:rPr>
        <w:t>--收益价值（元或元/</w:t>
      </w:r>
      <w:r>
        <w:rPr>
          <w:rFonts w:hint="eastAsia" w:ascii="宋体" w:hAnsi="宋体" w:cs="宋体"/>
          <w:color w:val="auto"/>
          <w:sz w:val="28"/>
          <w:highlight w:val="none"/>
        </w:rPr>
        <w:t>㎡</w:t>
      </w:r>
      <w:r>
        <w:rPr>
          <w:rFonts w:hint="eastAsia" w:ascii="仿宋_GB2312" w:hAnsi="仿宋_GB2312" w:eastAsia="仿宋_GB2312" w:cs="仿宋_GB2312"/>
          <w:color w:val="auto"/>
          <w:sz w:val="28"/>
          <w:highlight w:val="none"/>
        </w:rPr>
        <w:t>）；</w:t>
      </w:r>
    </w:p>
    <w:p>
      <w:pPr>
        <w:spacing w:line="520" w:lineRule="exact"/>
        <w:ind w:firstLine="560" w:firstLineChars="200"/>
        <w:rPr>
          <w:rFonts w:ascii="Arial" w:hAnsi="Arial" w:eastAsia="仿宋_GB2312" w:cs="Arial"/>
          <w:color w:val="auto"/>
          <w:sz w:val="28"/>
          <w:highlight w:val="none"/>
        </w:rPr>
      </w:pPr>
      <w:r>
        <w:rPr>
          <w:rFonts w:ascii="Arial" w:hAnsi="Arial" w:eastAsia="仿宋_GB2312" w:cs="Arial"/>
          <w:color w:val="auto"/>
          <w:sz w:val="28"/>
          <w:highlight w:val="none"/>
        </w:rPr>
        <w:t>　　　</w:t>
      </w:r>
      <w:r>
        <w:rPr>
          <w:rFonts w:hint="eastAsia" w:ascii="Arial" w:hAnsi="Arial" w:eastAsia="仿宋_GB2312" w:cs="Arial"/>
          <w:color w:val="auto"/>
          <w:sz w:val="28"/>
          <w:highlight w:val="none"/>
        </w:rPr>
        <w:t>Ai--未来第i年的净收益（元或元/</w:t>
      </w:r>
      <w:r>
        <w:rPr>
          <w:rFonts w:hint="eastAsia" w:ascii="宋体" w:hAnsi="宋体" w:cs="宋体"/>
          <w:color w:val="auto"/>
          <w:sz w:val="28"/>
          <w:highlight w:val="none"/>
        </w:rPr>
        <w:t>㎡</w:t>
      </w:r>
      <w:r>
        <w:rPr>
          <w:rFonts w:hint="eastAsia" w:ascii="仿宋_GB2312" w:hAnsi="仿宋_GB2312" w:eastAsia="仿宋_GB2312" w:cs="仿宋_GB2312"/>
          <w:color w:val="auto"/>
          <w:sz w:val="28"/>
          <w:highlight w:val="none"/>
        </w:rPr>
        <w:t>）；</w:t>
      </w:r>
    </w:p>
    <w:p>
      <w:pPr>
        <w:spacing w:line="520" w:lineRule="exact"/>
        <w:ind w:firstLine="1400" w:firstLineChars="500"/>
        <w:rPr>
          <w:rFonts w:ascii="Arial" w:hAnsi="Arial" w:eastAsia="仿宋_GB2312" w:cs="Arial"/>
          <w:color w:val="auto"/>
          <w:sz w:val="28"/>
          <w:highlight w:val="none"/>
        </w:rPr>
      </w:pPr>
      <w:r>
        <w:rPr>
          <w:rFonts w:hint="eastAsia" w:ascii="Arial" w:hAnsi="Arial" w:eastAsia="仿宋_GB2312" w:cs="Arial"/>
          <w:color w:val="auto"/>
          <w:sz w:val="28"/>
          <w:highlight w:val="none"/>
        </w:rPr>
        <w:t>Yi--未来第i年的报酬率（%）</w:t>
      </w:r>
    </w:p>
    <w:p>
      <w:pPr>
        <w:pStyle w:val="19"/>
        <w:spacing w:line="520" w:lineRule="exact"/>
        <w:ind w:firstLine="1400" w:firstLineChars="500"/>
        <w:outlineLvl w:val="9"/>
        <w:rPr>
          <w:rFonts w:hint="default" w:ascii="Arial" w:hAnsi="Arial" w:cs="Arial"/>
          <w:color w:val="auto"/>
          <w:highlight w:val="none"/>
        </w:rPr>
      </w:pPr>
      <w:r>
        <w:rPr>
          <w:rFonts w:ascii="Arial" w:hAnsi="Arial" w:cs="Arial"/>
          <w:color w:val="auto"/>
          <w:highlight w:val="none"/>
        </w:rPr>
        <w:t>n--收益期（年）</w:t>
      </w:r>
    </w:p>
    <w:bookmarkEnd w:id="118"/>
    <w:p>
      <w:pPr>
        <w:spacing w:line="560" w:lineRule="exact"/>
        <w:ind w:firstLine="562" w:firstLineChars="200"/>
        <w:outlineLvl w:val="1"/>
        <w:rPr>
          <w:rFonts w:ascii="Arial" w:hAnsi="Arial" w:eastAsia="仿宋_GB2312" w:cs="Arial"/>
          <w:b/>
          <w:color w:val="auto"/>
          <w:sz w:val="28"/>
          <w:highlight w:val="none"/>
        </w:rPr>
      </w:pPr>
      <w:bookmarkStart w:id="119" w:name="_Toc524451681"/>
      <w:bookmarkStart w:id="120" w:name="_Toc912"/>
      <w:r>
        <w:rPr>
          <w:rFonts w:ascii="Arial" w:hAnsi="Arial" w:eastAsia="仿宋_GB2312" w:cs="Arial"/>
          <w:b/>
          <w:color w:val="auto"/>
          <w:sz w:val="28"/>
          <w:highlight w:val="none"/>
        </w:rPr>
        <w:t>十、估价结果</w:t>
      </w:r>
      <w:bookmarkEnd w:id="119"/>
      <w:bookmarkEnd w:id="120"/>
    </w:p>
    <w:p>
      <w:pPr>
        <w:spacing w:line="560" w:lineRule="exact"/>
        <w:ind w:firstLine="560" w:firstLineChars="200"/>
        <w:jc w:val="left"/>
        <w:rPr>
          <w:rFonts w:hint="eastAsia" w:ascii="Arial" w:hAnsi="Arial" w:eastAsia="仿宋_GB2312" w:cs="Arial"/>
          <w:color w:val="auto"/>
          <w:sz w:val="28"/>
          <w:highlight w:val="none"/>
        </w:rPr>
      </w:pPr>
      <w:r>
        <w:rPr>
          <w:rFonts w:ascii="Arial" w:hAnsi="Arial" w:eastAsia="仿宋_GB2312" w:cs="Arial"/>
          <w:color w:val="auto"/>
          <w:sz w:val="28"/>
          <w:highlight w:val="none"/>
        </w:rPr>
        <w:t>估价人员遵循各项估价原则，根据估价目的和国家有关房地产估价的规范、规定，按照估价程序，经过实地查勘与市场调查，</w:t>
      </w:r>
      <w:r>
        <w:rPr>
          <w:rFonts w:hint="eastAsia" w:ascii="Arial" w:hAnsi="Arial" w:eastAsia="仿宋_GB2312" w:cs="Arial"/>
          <w:color w:val="auto"/>
          <w:sz w:val="28"/>
          <w:highlight w:val="none"/>
        </w:rPr>
        <w:t>我们采用比较法和收益法评估确定，</w:t>
      </w:r>
      <w:r>
        <w:rPr>
          <w:rFonts w:ascii="Arial" w:hAnsi="Arial" w:eastAsia="仿宋_GB2312" w:cs="Arial"/>
          <w:color w:val="auto"/>
          <w:sz w:val="28"/>
          <w:highlight w:val="none"/>
        </w:rPr>
        <w:t>估价</w:t>
      </w:r>
      <w:r>
        <w:rPr>
          <w:rFonts w:hint="eastAsia" w:ascii="Arial" w:hAnsi="Arial" w:eastAsia="仿宋_GB2312" w:cs="Arial"/>
          <w:color w:val="auto"/>
          <w:sz w:val="28"/>
          <w:highlight w:val="none"/>
        </w:rPr>
        <w:t>对象</w:t>
      </w:r>
      <w:r>
        <w:rPr>
          <w:rFonts w:ascii="Arial" w:hAnsi="Arial" w:eastAsia="仿宋_GB2312" w:cs="Arial"/>
          <w:color w:val="auto"/>
          <w:sz w:val="28"/>
          <w:highlight w:val="none"/>
        </w:rPr>
        <w:t>在价值时点</w:t>
      </w:r>
      <w:r>
        <w:rPr>
          <w:rFonts w:hint="eastAsia" w:ascii="Arial" w:hAnsi="Arial" w:eastAsia="仿宋_GB2312" w:cs="Arial"/>
          <w:color w:val="auto"/>
          <w:sz w:val="28"/>
          <w:highlight w:val="none"/>
          <w:lang w:eastAsia="zh-CN"/>
        </w:rPr>
        <w:t>2022年5月23日</w:t>
      </w:r>
      <w:r>
        <w:rPr>
          <w:rFonts w:ascii="Arial" w:hAnsi="Arial" w:eastAsia="仿宋_GB2312" w:cs="Arial"/>
          <w:color w:val="auto"/>
          <w:sz w:val="28"/>
          <w:highlight w:val="none"/>
        </w:rPr>
        <w:t>满足各项</w:t>
      </w:r>
      <w:r>
        <w:rPr>
          <w:rFonts w:hint="eastAsia" w:ascii="Arial" w:hAnsi="Arial" w:eastAsia="仿宋_GB2312" w:cs="Arial"/>
          <w:color w:val="auto"/>
          <w:sz w:val="28"/>
          <w:highlight w:val="none"/>
        </w:rPr>
        <w:t>假设及</w:t>
      </w:r>
      <w:r>
        <w:rPr>
          <w:rFonts w:ascii="Arial" w:hAnsi="Arial" w:eastAsia="仿宋_GB2312" w:cs="Arial"/>
          <w:color w:val="auto"/>
          <w:sz w:val="28"/>
          <w:highlight w:val="none"/>
        </w:rPr>
        <w:t>限制条件下的</w:t>
      </w:r>
      <w:r>
        <w:rPr>
          <w:rFonts w:ascii="Arial" w:hAnsi="Arial" w:eastAsia="黑体" w:cs="Arial"/>
          <w:b/>
          <w:color w:val="auto"/>
          <w:sz w:val="28"/>
          <w:highlight w:val="none"/>
        </w:rPr>
        <w:t>房地产</w:t>
      </w:r>
      <w:r>
        <w:rPr>
          <w:rFonts w:hint="eastAsia" w:ascii="Arial" w:hAnsi="Arial" w:eastAsia="黑体" w:cs="Arial"/>
          <w:b/>
          <w:color w:val="auto"/>
          <w:sz w:val="28"/>
          <w:highlight w:val="none"/>
        </w:rPr>
        <w:t>市场</w:t>
      </w:r>
      <w:r>
        <w:rPr>
          <w:rFonts w:ascii="Arial" w:hAnsi="Arial" w:eastAsia="黑体" w:cs="Arial"/>
          <w:b/>
          <w:color w:val="auto"/>
          <w:sz w:val="28"/>
          <w:highlight w:val="none"/>
        </w:rPr>
        <w:t>总价：</w:t>
      </w:r>
      <w:r>
        <w:rPr>
          <w:rFonts w:hint="eastAsia" w:ascii="Arial" w:hAnsi="Arial" w:eastAsia="仿宋_GB2312" w:cs="Arial"/>
          <w:b/>
          <w:color w:val="auto"/>
          <w:sz w:val="28"/>
          <w:highlight w:val="none"/>
        </w:rPr>
        <w:t>RMB</w:t>
      </w:r>
      <w:r>
        <w:rPr>
          <w:rFonts w:hint="eastAsia" w:ascii="Arial" w:hAnsi="Arial" w:eastAsia="仿宋_GB2312" w:cs="Arial"/>
          <w:b/>
          <w:color w:val="auto"/>
          <w:sz w:val="28"/>
          <w:highlight w:val="none"/>
          <w:lang w:val="en-US" w:eastAsia="zh-CN"/>
        </w:rPr>
        <w:t>30.24</w:t>
      </w:r>
      <w:r>
        <w:rPr>
          <w:rFonts w:hint="eastAsia" w:ascii="Arial" w:hAnsi="Arial" w:eastAsia="仿宋_GB2312" w:cs="Arial"/>
          <w:b/>
          <w:color w:val="auto"/>
          <w:sz w:val="28"/>
          <w:highlight w:val="none"/>
        </w:rPr>
        <w:t>万元</w:t>
      </w:r>
      <w:r>
        <w:rPr>
          <w:rFonts w:ascii="Arial" w:hAnsi="Arial" w:eastAsia="仿宋_GB2312" w:cs="Arial"/>
          <w:color w:val="auto"/>
          <w:sz w:val="28"/>
          <w:highlight w:val="none"/>
        </w:rPr>
        <w:t>（</w:t>
      </w:r>
      <w:r>
        <w:rPr>
          <w:rFonts w:hint="eastAsia" w:ascii="Arial" w:hAnsi="Arial" w:eastAsia="仿宋_GB2312" w:cs="Arial"/>
          <w:color w:val="auto"/>
          <w:sz w:val="28"/>
          <w:highlight w:val="none"/>
        </w:rPr>
        <w:t>大写</w:t>
      </w:r>
      <w:r>
        <w:rPr>
          <w:rFonts w:ascii="Arial" w:hAnsi="Arial" w:eastAsia="仿宋_GB2312" w:cs="Arial"/>
          <w:color w:val="auto"/>
          <w:sz w:val="28"/>
          <w:highlight w:val="none"/>
        </w:rPr>
        <w:t>人民币</w:t>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=303400 \* CHINESENUM4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 302400 \* CHINESENUM2 \* MERGEFORMAT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t>叁拾万贰仟肆佰</w:t>
      </w:r>
      <w:r>
        <w:rPr>
          <w:rFonts w:ascii="Arial" w:hAnsi="Arial" w:eastAsia="黑体" w:cs="Arial"/>
          <w:b/>
          <w:color w:val="auto"/>
          <w:sz w:val="28"/>
          <w:highlight w:val="none"/>
        </w:rPr>
        <w:fldChar w:fldCharType="end"/>
      </w:r>
      <w:r>
        <w:rPr>
          <w:rFonts w:ascii="Arial" w:hAnsi="Arial" w:eastAsia="黑体" w:cs="Arial"/>
          <w:b/>
          <w:color w:val="auto"/>
          <w:sz w:val="28"/>
          <w:highlight w:val="none"/>
        </w:rPr>
        <w:t>元整</w:t>
      </w:r>
      <w:r>
        <w:rPr>
          <w:rFonts w:ascii="Arial" w:hAnsi="Arial" w:eastAsia="黑体" w:cs="Arial"/>
          <w:b/>
          <w:color w:val="auto"/>
          <w:sz w:val="28"/>
          <w:highlight w:val="none"/>
        </w:rPr>
        <w:fldChar w:fldCharType="end"/>
      </w:r>
      <w:r>
        <w:rPr>
          <w:rFonts w:ascii="Arial" w:hAnsi="Arial" w:eastAsia="仿宋_GB2312" w:cs="Arial"/>
          <w:color w:val="auto"/>
          <w:sz w:val="28"/>
          <w:highlight w:val="none"/>
        </w:rPr>
        <w:t>）；</w:t>
      </w:r>
      <w:r>
        <w:rPr>
          <w:rFonts w:ascii="Arial" w:hAnsi="Arial" w:eastAsia="黑体" w:cs="Arial"/>
          <w:b/>
          <w:color w:val="auto"/>
          <w:sz w:val="28"/>
          <w:highlight w:val="none"/>
        </w:rPr>
        <w:t>房地产</w:t>
      </w:r>
      <w:r>
        <w:rPr>
          <w:rFonts w:hint="eastAsia" w:ascii="Arial" w:hAnsi="Arial" w:eastAsia="黑体" w:cs="Arial"/>
          <w:b/>
          <w:color w:val="auto"/>
          <w:sz w:val="28"/>
          <w:highlight w:val="none"/>
        </w:rPr>
        <w:t>市场</w:t>
      </w:r>
      <w:r>
        <w:rPr>
          <w:rFonts w:ascii="Arial" w:hAnsi="Arial" w:eastAsia="黑体" w:cs="Arial"/>
          <w:b/>
          <w:color w:val="auto"/>
          <w:sz w:val="28"/>
          <w:highlight w:val="none"/>
        </w:rPr>
        <w:t>单价：</w:t>
      </w:r>
      <w:r>
        <w:rPr>
          <w:rFonts w:ascii="Arial" w:hAnsi="Arial" w:eastAsia="仿宋_GB2312" w:cs="Arial"/>
          <w:b/>
          <w:color w:val="auto"/>
          <w:sz w:val="28"/>
          <w:highlight w:val="none"/>
        </w:rPr>
        <w:t>RMB</w:t>
      </w:r>
      <w:r>
        <w:rPr>
          <w:rFonts w:hint="eastAsia" w:ascii="Arial" w:hAnsi="Arial" w:eastAsia="仿宋_GB2312" w:cs="Arial"/>
          <w:b/>
          <w:color w:val="auto"/>
          <w:sz w:val="28"/>
          <w:highlight w:val="none"/>
        </w:rPr>
        <w:fldChar w:fldCharType="begin"/>
      </w:r>
      <w:r>
        <w:rPr>
          <w:rFonts w:hint="eastAsia" w:ascii="Arial" w:hAnsi="Arial" w:eastAsia="仿宋_GB2312" w:cs="Arial"/>
          <w:b/>
          <w:color w:val="auto"/>
          <w:sz w:val="28"/>
          <w:highlight w:val="none"/>
        </w:rPr>
        <w:instrText xml:space="preserve"> =(2385+2261)/2 \# "0" </w:instrText>
      </w:r>
      <w:r>
        <w:rPr>
          <w:rFonts w:hint="eastAsia" w:ascii="Arial" w:hAnsi="Arial" w:eastAsia="仿宋_GB2312" w:cs="Arial"/>
          <w:b/>
          <w:color w:val="auto"/>
          <w:sz w:val="28"/>
          <w:highlight w:val="none"/>
        </w:rPr>
        <w:fldChar w:fldCharType="separate"/>
      </w:r>
      <w:r>
        <w:rPr>
          <w:rFonts w:hint="eastAsia" w:ascii="Arial" w:hAnsi="Arial" w:eastAsia="仿宋_GB2312" w:cs="Arial"/>
          <w:b/>
          <w:color w:val="auto"/>
          <w:sz w:val="28"/>
          <w:highlight w:val="none"/>
        </w:rPr>
        <w:t>2323</w:t>
      </w:r>
      <w:r>
        <w:rPr>
          <w:rFonts w:hint="eastAsia" w:ascii="Arial" w:hAnsi="Arial" w:eastAsia="仿宋_GB2312" w:cs="Arial"/>
          <w:b/>
          <w:color w:val="auto"/>
          <w:sz w:val="28"/>
          <w:highlight w:val="none"/>
        </w:rPr>
        <w:fldChar w:fldCharType="end"/>
      </w:r>
      <w:r>
        <w:rPr>
          <w:rFonts w:hint="eastAsia" w:ascii="Arial" w:hAnsi="Arial" w:eastAsia="仿宋_GB2312" w:cs="Arial"/>
          <w:b/>
          <w:color w:val="auto"/>
          <w:sz w:val="28"/>
          <w:highlight w:val="none"/>
        </w:rPr>
        <w:t>元/平方米</w:t>
      </w:r>
      <w:r>
        <w:rPr>
          <w:rFonts w:ascii="Arial" w:hAnsi="Arial" w:eastAsia="仿宋_GB2312" w:cs="Arial"/>
          <w:color w:val="auto"/>
          <w:sz w:val="28"/>
          <w:highlight w:val="none"/>
        </w:rPr>
        <w:t>（</w:t>
      </w:r>
      <w:r>
        <w:rPr>
          <w:rFonts w:hint="eastAsia" w:ascii="Arial" w:hAnsi="Arial" w:eastAsia="仿宋_GB2312" w:cs="Arial"/>
          <w:color w:val="auto"/>
          <w:sz w:val="28"/>
          <w:highlight w:val="none"/>
        </w:rPr>
        <w:t>大写</w:t>
      </w:r>
      <w:r>
        <w:rPr>
          <w:rFonts w:ascii="Arial" w:hAnsi="Arial" w:eastAsia="仿宋_GB2312" w:cs="Arial"/>
          <w:color w:val="auto"/>
          <w:sz w:val="28"/>
          <w:highlight w:val="none"/>
        </w:rPr>
        <w:t>人民币</w:t>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=2331 \* CHINESENUM4 \* MERGEFORMAT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fldChar w:fldCharType="begin"/>
      </w:r>
      <w:r>
        <w:rPr>
          <w:rFonts w:ascii="Arial" w:hAnsi="Arial" w:eastAsia="黑体" w:cs="Arial"/>
          <w:b/>
          <w:color w:val="auto"/>
          <w:sz w:val="28"/>
          <w:highlight w:val="none"/>
        </w:rPr>
        <w:instrText xml:space="preserve"> = 2323 \* CHINESENUM2 \* MERGEFORMAT </w:instrText>
      </w:r>
      <w:r>
        <w:rPr>
          <w:rFonts w:ascii="Arial" w:hAnsi="Arial" w:eastAsia="黑体" w:cs="Arial"/>
          <w:b/>
          <w:color w:val="auto"/>
          <w:sz w:val="28"/>
          <w:highlight w:val="none"/>
        </w:rPr>
        <w:fldChar w:fldCharType="separate"/>
      </w:r>
      <w:r>
        <w:rPr>
          <w:rFonts w:ascii="Arial" w:hAnsi="Arial" w:eastAsia="黑体" w:cs="Arial"/>
          <w:b/>
          <w:color w:val="auto"/>
          <w:sz w:val="28"/>
          <w:highlight w:val="none"/>
        </w:rPr>
        <w:t>贰仟叁佰贰拾叁</w:t>
      </w:r>
      <w:r>
        <w:rPr>
          <w:rFonts w:ascii="Arial" w:hAnsi="Arial" w:eastAsia="黑体" w:cs="Arial"/>
          <w:b/>
          <w:color w:val="auto"/>
          <w:sz w:val="28"/>
          <w:highlight w:val="none"/>
        </w:rPr>
        <w:fldChar w:fldCharType="end"/>
      </w:r>
      <w:r>
        <w:rPr>
          <w:rFonts w:ascii="Arial" w:hAnsi="Arial" w:eastAsia="黑体" w:cs="Arial"/>
          <w:b/>
          <w:color w:val="auto"/>
          <w:sz w:val="28"/>
          <w:highlight w:val="none"/>
        </w:rPr>
        <w:t>元整</w:t>
      </w:r>
      <w:r>
        <w:rPr>
          <w:rFonts w:ascii="Arial" w:hAnsi="Arial" w:eastAsia="黑体" w:cs="Arial"/>
          <w:b/>
          <w:color w:val="auto"/>
          <w:sz w:val="28"/>
          <w:highlight w:val="none"/>
        </w:rPr>
        <w:fldChar w:fldCharType="end"/>
      </w:r>
      <w:r>
        <w:rPr>
          <w:rFonts w:ascii="Arial" w:hAnsi="Arial" w:eastAsia="仿宋_GB2312" w:cs="Arial"/>
          <w:color w:val="auto"/>
          <w:sz w:val="28"/>
          <w:highlight w:val="none"/>
        </w:rPr>
        <w:t>每平方米）。</w:t>
      </w:r>
      <w:r>
        <w:rPr>
          <w:rFonts w:hint="eastAsia" w:ascii="Arial" w:hAnsi="Arial" w:eastAsia="仿宋_GB2312" w:cs="Arial"/>
          <w:color w:val="auto"/>
          <w:sz w:val="28"/>
          <w:highlight w:val="none"/>
        </w:rPr>
        <w:t>详见《估价结果明细表》。</w:t>
      </w:r>
    </w:p>
    <w:p>
      <w:pPr>
        <w:spacing w:line="560" w:lineRule="exact"/>
        <w:ind w:firstLine="480" w:firstLineChars="200"/>
        <w:jc w:val="center"/>
        <w:rPr>
          <w:rFonts w:ascii="Arial" w:hAnsi="Arial" w:eastAsia="仿宋_GB2312" w:cs="Arial"/>
          <w:color w:val="auto"/>
          <w:sz w:val="24"/>
          <w:highlight w:val="none"/>
        </w:rPr>
      </w:pPr>
      <w:r>
        <w:rPr>
          <w:rFonts w:hint="eastAsia" w:ascii="Arial" w:hAnsi="Arial" w:eastAsia="仿宋_GB2312" w:cs="Arial"/>
          <w:color w:val="auto"/>
          <w:sz w:val="24"/>
          <w:highlight w:val="none"/>
        </w:rPr>
        <w:t>估价结果明细表</w:t>
      </w:r>
    </w:p>
    <w:tbl>
      <w:tblPr>
        <w:tblStyle w:val="15"/>
        <w:tblW w:w="8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864"/>
        <w:gridCol w:w="708"/>
        <w:gridCol w:w="1033"/>
        <w:gridCol w:w="825"/>
        <w:gridCol w:w="115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9"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估价对象</w:t>
            </w:r>
          </w:p>
        </w:tc>
        <w:tc>
          <w:tcPr>
            <w:tcW w:w="864"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权利人</w:t>
            </w:r>
          </w:p>
        </w:tc>
        <w:tc>
          <w:tcPr>
            <w:tcW w:w="708"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房屋用途</w:t>
            </w:r>
          </w:p>
        </w:tc>
        <w:tc>
          <w:tcPr>
            <w:tcW w:w="1033"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所在楼层/总楼层</w:t>
            </w:r>
          </w:p>
        </w:tc>
        <w:tc>
          <w:tcPr>
            <w:tcW w:w="825"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建筑面积(</w:t>
            </w:r>
            <w:r>
              <w:rPr>
                <w:rFonts w:hint="eastAsia" w:ascii="Segoe UI Emoji" w:hAnsi="Segoe UI Emoji" w:eastAsia="Segoe UI Emoji" w:cs="Segoe UI Emoji"/>
                <w:color w:val="auto"/>
                <w:sz w:val="18"/>
                <w:szCs w:val="18"/>
                <w:highlight w:val="none"/>
              </w:rPr>
              <w:t>㎡</w:t>
            </w:r>
            <w:r>
              <w:rPr>
                <w:rFonts w:hint="eastAsia" w:ascii="Arial" w:hAnsi="Arial" w:eastAsia="仿宋_GB2312" w:cs="Arial"/>
                <w:color w:val="auto"/>
                <w:sz w:val="18"/>
                <w:szCs w:val="18"/>
                <w:highlight w:val="none"/>
              </w:rPr>
              <w:t>)</w:t>
            </w:r>
          </w:p>
        </w:tc>
        <w:tc>
          <w:tcPr>
            <w:tcW w:w="1157"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房地产市场单价(元/</w:t>
            </w:r>
            <w:r>
              <w:rPr>
                <w:rFonts w:hint="eastAsia" w:ascii="Segoe UI Emoji" w:hAnsi="Segoe UI Emoji" w:eastAsia="Segoe UI Emoji" w:cs="Segoe UI Emoji"/>
                <w:color w:val="auto"/>
                <w:sz w:val="18"/>
                <w:szCs w:val="18"/>
                <w:highlight w:val="none"/>
              </w:rPr>
              <w:t>㎡</w:t>
            </w:r>
            <w:r>
              <w:rPr>
                <w:rFonts w:hint="eastAsia" w:ascii="Arial" w:hAnsi="Arial" w:eastAsia="仿宋_GB2312" w:cs="Arial"/>
                <w:color w:val="auto"/>
                <w:sz w:val="18"/>
                <w:szCs w:val="18"/>
                <w:highlight w:val="none"/>
              </w:rPr>
              <w:t>)</w:t>
            </w:r>
          </w:p>
        </w:tc>
        <w:tc>
          <w:tcPr>
            <w:tcW w:w="1168"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房地产市场总价（万元）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9" w:type="dxa"/>
            <w:vAlign w:val="center"/>
          </w:tcPr>
          <w:p>
            <w:pPr>
              <w:autoSpaceDE w:val="0"/>
              <w:autoSpaceDN w:val="0"/>
              <w:adjustRightInd w:val="0"/>
              <w:jc w:val="center"/>
              <w:rPr>
                <w:rFonts w:hint="eastAsia" w:ascii="Arial" w:hAnsi="Arial" w:eastAsia="仿宋_GB2312" w:cs="Arial"/>
                <w:color w:val="auto"/>
                <w:sz w:val="18"/>
                <w:szCs w:val="18"/>
                <w:highlight w:val="none"/>
                <w:lang w:eastAsia="zh-CN"/>
              </w:rPr>
            </w:pPr>
            <w:r>
              <w:rPr>
                <w:rFonts w:hint="eastAsia" w:ascii="Arial" w:hAnsi="Arial" w:eastAsia="仿宋_GB2312" w:cs="Arial"/>
                <w:color w:val="auto"/>
                <w:sz w:val="18"/>
                <w:szCs w:val="18"/>
                <w:highlight w:val="none"/>
                <w:lang w:eastAsia="zh-CN"/>
              </w:rPr>
              <w:t>十堰市竹溪县城关镇鄂陕大道899号金叶花园4幢1单元202号</w:t>
            </w:r>
          </w:p>
        </w:tc>
        <w:tc>
          <w:tcPr>
            <w:tcW w:w="864" w:type="dxa"/>
            <w:vAlign w:val="center"/>
          </w:tcPr>
          <w:p>
            <w:pPr>
              <w:widowControl/>
              <w:jc w:val="center"/>
              <w:textAlignment w:val="center"/>
              <w:rPr>
                <w:rFonts w:hint="eastAsia" w:ascii="Arial" w:hAnsi="Arial" w:eastAsia="仿宋_GB2312" w:cs="Arial"/>
                <w:color w:val="auto"/>
                <w:sz w:val="18"/>
                <w:szCs w:val="18"/>
                <w:highlight w:val="none"/>
                <w:lang w:eastAsia="zh-CN"/>
              </w:rPr>
            </w:pPr>
            <w:r>
              <w:rPr>
                <w:rFonts w:hint="eastAsia" w:ascii="Arial" w:hAnsi="Arial" w:eastAsia="仿宋_GB2312" w:cs="Arial"/>
                <w:color w:val="auto"/>
                <w:sz w:val="18"/>
                <w:szCs w:val="18"/>
                <w:highlight w:val="none"/>
                <w:lang w:eastAsia="zh-CN"/>
              </w:rPr>
              <w:t>沈德安</w:t>
            </w:r>
          </w:p>
        </w:tc>
        <w:tc>
          <w:tcPr>
            <w:tcW w:w="708"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rPr>
              <w:t>住宅</w:t>
            </w:r>
          </w:p>
        </w:tc>
        <w:tc>
          <w:tcPr>
            <w:tcW w:w="1033" w:type="dxa"/>
            <w:vAlign w:val="center"/>
          </w:tcPr>
          <w:p>
            <w:pPr>
              <w:autoSpaceDE w:val="0"/>
              <w:autoSpaceDN w:val="0"/>
              <w:adjustRightInd w:val="0"/>
              <w:jc w:val="center"/>
              <w:rPr>
                <w:rFonts w:ascii="Arial" w:hAnsi="Arial" w:eastAsia="仿宋_GB2312" w:cs="Arial"/>
                <w:color w:val="auto"/>
                <w:sz w:val="18"/>
                <w:szCs w:val="18"/>
                <w:highlight w:val="none"/>
              </w:rPr>
            </w:pPr>
            <w:r>
              <w:rPr>
                <w:rFonts w:hint="eastAsia" w:ascii="Arial" w:hAnsi="Arial" w:eastAsia="仿宋_GB2312" w:cs="Arial"/>
                <w:color w:val="auto"/>
                <w:sz w:val="18"/>
                <w:szCs w:val="18"/>
                <w:highlight w:val="none"/>
                <w:lang w:val="en-US" w:eastAsia="zh-CN"/>
              </w:rPr>
              <w:t>2</w:t>
            </w:r>
            <w:r>
              <w:rPr>
                <w:rFonts w:hint="eastAsia" w:ascii="Arial" w:hAnsi="Arial" w:eastAsia="仿宋_GB2312" w:cs="Arial"/>
                <w:color w:val="auto"/>
                <w:sz w:val="18"/>
                <w:szCs w:val="18"/>
                <w:highlight w:val="none"/>
              </w:rPr>
              <w:t>层/7层</w:t>
            </w:r>
          </w:p>
        </w:tc>
        <w:tc>
          <w:tcPr>
            <w:tcW w:w="825" w:type="dxa"/>
            <w:vAlign w:val="center"/>
          </w:tcPr>
          <w:p>
            <w:pPr>
              <w:widowControl/>
              <w:autoSpaceDE w:val="0"/>
              <w:adjustRightInd w:val="0"/>
              <w:jc w:val="center"/>
              <w:rPr>
                <w:rFonts w:hint="eastAsia" w:ascii="Arial" w:hAnsi="Arial" w:eastAsia="仿宋_GB2312" w:cs="Arial"/>
                <w:color w:val="auto"/>
                <w:sz w:val="18"/>
                <w:szCs w:val="18"/>
                <w:highlight w:val="none"/>
                <w:lang w:eastAsia="zh-CN"/>
              </w:rPr>
            </w:pPr>
            <w:r>
              <w:rPr>
                <w:rFonts w:hint="eastAsia" w:ascii="Arial" w:hAnsi="Arial" w:eastAsia="仿宋_GB2312" w:cs="Arial"/>
                <w:color w:val="auto"/>
                <w:sz w:val="18"/>
                <w:szCs w:val="18"/>
                <w:highlight w:val="none"/>
                <w:lang w:eastAsia="zh-CN"/>
              </w:rPr>
              <w:t>130.16</w:t>
            </w:r>
          </w:p>
        </w:tc>
        <w:tc>
          <w:tcPr>
            <w:tcW w:w="1157" w:type="dxa"/>
            <w:vAlign w:val="center"/>
          </w:tcPr>
          <w:p>
            <w:pPr>
              <w:tabs>
                <w:tab w:val="left" w:pos="374"/>
              </w:tabs>
              <w:autoSpaceDE w:val="0"/>
              <w:adjustRightInd w:val="0"/>
              <w:jc w:val="center"/>
              <w:rPr>
                <w:rFonts w:hint="default" w:ascii="Arial" w:hAnsi="Arial" w:eastAsia="仿宋_GB2312" w:cs="Arial"/>
                <w:color w:val="auto"/>
                <w:sz w:val="18"/>
                <w:szCs w:val="18"/>
                <w:highlight w:val="none"/>
                <w:lang w:val="en-US" w:eastAsia="zh-CN"/>
              </w:rPr>
            </w:pPr>
            <w:r>
              <w:rPr>
                <w:rFonts w:hint="eastAsia" w:ascii="Arial" w:hAnsi="Arial" w:eastAsia="仿宋_GB2312" w:cs="Arial"/>
                <w:color w:val="auto"/>
                <w:sz w:val="18"/>
                <w:szCs w:val="18"/>
                <w:highlight w:val="none"/>
                <w:lang w:val="en-US" w:eastAsia="zh-CN"/>
              </w:rPr>
              <w:t>2323</w:t>
            </w:r>
          </w:p>
        </w:tc>
        <w:tc>
          <w:tcPr>
            <w:tcW w:w="1168" w:type="dxa"/>
            <w:vAlign w:val="center"/>
          </w:tcPr>
          <w:p>
            <w:pPr>
              <w:widowControl/>
              <w:autoSpaceDE w:val="0"/>
              <w:adjustRightInd w:val="0"/>
              <w:jc w:val="center"/>
              <w:rPr>
                <w:rFonts w:hint="default" w:ascii="Arial" w:hAnsi="Arial" w:eastAsia="仿宋_GB2312" w:cs="Arial"/>
                <w:color w:val="auto"/>
                <w:sz w:val="18"/>
                <w:szCs w:val="18"/>
                <w:highlight w:val="none"/>
                <w:lang w:val="en-US" w:eastAsia="zh-CN"/>
              </w:rPr>
            </w:pPr>
            <w:r>
              <w:rPr>
                <w:rFonts w:hint="eastAsia" w:ascii="Arial" w:hAnsi="Arial" w:eastAsia="仿宋_GB2312" w:cs="Arial"/>
                <w:color w:val="auto"/>
                <w:sz w:val="18"/>
                <w:szCs w:val="18"/>
                <w:highlight w:val="none"/>
                <w:lang w:val="en-US" w:eastAsia="zh-CN"/>
              </w:rPr>
              <w:t>30.24</w:t>
            </w:r>
          </w:p>
        </w:tc>
      </w:tr>
    </w:tbl>
    <w:p>
      <w:pPr>
        <w:pStyle w:val="8"/>
        <w:tabs>
          <w:tab w:val="left" w:pos="6570"/>
        </w:tabs>
        <w:spacing w:line="480" w:lineRule="exact"/>
        <w:ind w:left="0" w:firstLine="562" w:firstLineChars="200"/>
        <w:outlineLvl w:val="1"/>
        <w:rPr>
          <w:rFonts w:ascii="Arial" w:hAnsi="Arial" w:eastAsia="仿宋_GB2312" w:cs="Arial"/>
          <w:b/>
          <w:color w:val="auto"/>
          <w:szCs w:val="24"/>
          <w:highlight w:val="none"/>
        </w:rPr>
      </w:pPr>
    </w:p>
    <w:p>
      <w:pPr>
        <w:pStyle w:val="8"/>
        <w:tabs>
          <w:tab w:val="left" w:pos="6570"/>
        </w:tabs>
        <w:spacing w:line="480" w:lineRule="exact"/>
        <w:ind w:left="0" w:firstLine="562" w:firstLineChars="200"/>
        <w:outlineLvl w:val="1"/>
        <w:rPr>
          <w:rFonts w:ascii="Arial" w:hAnsi="Arial" w:eastAsia="仿宋_GB2312" w:cs="Arial"/>
          <w:b/>
          <w:color w:val="auto"/>
          <w:szCs w:val="24"/>
          <w:highlight w:val="none"/>
        </w:rPr>
      </w:pPr>
      <w:bookmarkStart w:id="121" w:name="_Toc7727"/>
      <w:r>
        <w:rPr>
          <w:rFonts w:hint="eastAsia" w:ascii="Arial" w:hAnsi="Arial" w:eastAsia="仿宋_GB2312" w:cs="Arial"/>
          <w:b/>
          <w:color w:val="auto"/>
          <w:szCs w:val="24"/>
          <w:highlight w:val="none"/>
        </w:rPr>
        <w:t>十一</w:t>
      </w:r>
      <w:r>
        <w:rPr>
          <w:rFonts w:ascii="Arial" w:hAnsi="Arial" w:eastAsia="仿宋_GB2312" w:cs="Arial"/>
          <w:b/>
          <w:color w:val="auto"/>
          <w:szCs w:val="24"/>
          <w:highlight w:val="none"/>
        </w:rPr>
        <w:t>、</w:t>
      </w:r>
      <w:r>
        <w:rPr>
          <w:rFonts w:hint="eastAsia" w:ascii="Arial" w:hAnsi="Arial" w:eastAsia="仿宋_GB2312" w:cs="Arial"/>
          <w:b/>
          <w:color w:val="auto"/>
          <w:szCs w:val="24"/>
          <w:highlight w:val="none"/>
        </w:rPr>
        <w:t>注册房地产</w:t>
      </w:r>
      <w:r>
        <w:rPr>
          <w:rFonts w:ascii="Arial" w:hAnsi="Arial" w:eastAsia="仿宋_GB2312" w:cs="Arial"/>
          <w:b/>
          <w:color w:val="auto"/>
          <w:szCs w:val="24"/>
          <w:highlight w:val="none"/>
        </w:rPr>
        <w:t>估价</w:t>
      </w:r>
      <w:r>
        <w:rPr>
          <w:rFonts w:hint="eastAsia" w:ascii="Arial" w:hAnsi="Arial" w:eastAsia="仿宋_GB2312" w:cs="Arial"/>
          <w:b/>
          <w:color w:val="auto"/>
          <w:szCs w:val="24"/>
          <w:highlight w:val="none"/>
        </w:rPr>
        <w:t>师</w:t>
      </w:r>
      <w:bookmarkEnd w:id="121"/>
    </w:p>
    <w:p>
      <w:pPr>
        <w:spacing w:line="200" w:lineRule="exact"/>
        <w:ind w:firstLine="420" w:firstLineChars="200"/>
        <w:rPr>
          <w:rFonts w:ascii="Arial" w:hAnsi="Arial" w:eastAsia="仿宋_GB2312" w:cs="Arial"/>
          <w:color w:val="auto"/>
          <w:highlight w:val="none"/>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2249"/>
        <w:gridCol w:w="225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48" w:type="pct"/>
            <w:vAlign w:val="center"/>
          </w:tcPr>
          <w:p>
            <w:pPr>
              <w:tabs>
                <w:tab w:val="left" w:pos="735"/>
              </w:tabs>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姓名</w:t>
            </w:r>
          </w:p>
        </w:tc>
        <w:tc>
          <w:tcPr>
            <w:tcW w:w="1249" w:type="pct"/>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注册号</w:t>
            </w:r>
          </w:p>
        </w:tc>
        <w:tc>
          <w:tcPr>
            <w:tcW w:w="1251" w:type="pct"/>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签名</w:t>
            </w:r>
          </w:p>
        </w:tc>
        <w:tc>
          <w:tcPr>
            <w:tcW w:w="1251" w:type="pct"/>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248" w:type="pct"/>
            <w:vAlign w:val="center"/>
          </w:tcPr>
          <w:p>
            <w:pPr>
              <w:tabs>
                <w:tab w:val="left" w:pos="735"/>
              </w:tabs>
              <w:wordWrap w:val="0"/>
              <w:overflowPunct w:val="0"/>
              <w:spacing w:line="312" w:lineRule="auto"/>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吴锦霞</w:t>
            </w:r>
          </w:p>
        </w:tc>
        <w:tc>
          <w:tcPr>
            <w:tcW w:w="1249" w:type="pct"/>
            <w:vAlign w:val="center"/>
          </w:tcPr>
          <w:p>
            <w:pPr>
              <w:tabs>
                <w:tab w:val="left" w:pos="735"/>
              </w:tabs>
              <w:wordWrap w:val="0"/>
              <w:overflowPunct w:val="0"/>
              <w:spacing w:line="312" w:lineRule="auto"/>
              <w:jc w:val="center"/>
              <w:rPr>
                <w:rFonts w:ascii="Arial" w:hAnsi="Arial" w:eastAsia="仿宋_GB2312" w:cs="Arial"/>
                <w:color w:val="auto"/>
                <w:sz w:val="28"/>
                <w:szCs w:val="28"/>
                <w:highlight w:val="none"/>
              </w:rPr>
            </w:pPr>
            <w:r>
              <w:rPr>
                <w:rFonts w:ascii="Arial" w:hAnsi="Arial" w:eastAsia="仿宋_GB2312" w:cs="Arial"/>
                <w:color w:val="auto"/>
                <w:sz w:val="28"/>
                <w:szCs w:val="28"/>
                <w:highlight w:val="none"/>
              </w:rPr>
              <w:t>4220170016</w:t>
            </w:r>
          </w:p>
        </w:tc>
        <w:tc>
          <w:tcPr>
            <w:tcW w:w="1251" w:type="pct"/>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c>
          <w:tcPr>
            <w:tcW w:w="1251" w:type="pct"/>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248" w:type="dxa"/>
            <w:vAlign w:val="center"/>
          </w:tcPr>
          <w:p>
            <w:pPr>
              <w:tabs>
                <w:tab w:val="left" w:pos="735"/>
              </w:tabs>
              <w:wordWrap w:val="0"/>
              <w:overflowPunct w:val="0"/>
              <w:spacing w:line="312" w:lineRule="auto"/>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戴  娜</w:t>
            </w:r>
          </w:p>
        </w:tc>
        <w:tc>
          <w:tcPr>
            <w:tcW w:w="2249" w:type="dxa"/>
            <w:vAlign w:val="center"/>
          </w:tcPr>
          <w:p>
            <w:pPr>
              <w:tabs>
                <w:tab w:val="left" w:pos="735"/>
              </w:tabs>
              <w:wordWrap w:val="0"/>
              <w:overflowPunct w:val="0"/>
              <w:spacing w:line="312" w:lineRule="auto"/>
              <w:jc w:val="center"/>
              <w:rPr>
                <w:rFonts w:hint="eastAsia" w:ascii="仿宋_GB2312" w:eastAsia="仿宋_GB2312"/>
                <w:color w:val="auto"/>
                <w:sz w:val="28"/>
                <w:szCs w:val="28"/>
                <w:highlight w:val="none"/>
                <w:lang w:eastAsia="zh-CN"/>
              </w:rPr>
            </w:pPr>
            <w:r>
              <w:rPr>
                <w:rFonts w:hint="eastAsia" w:ascii="Arial" w:hAnsi="Arial" w:eastAsia="仿宋_GB2312" w:cs="Arial"/>
                <w:color w:val="auto"/>
                <w:sz w:val="28"/>
                <w:szCs w:val="28"/>
                <w:highlight w:val="none"/>
                <w:lang w:eastAsia="zh-CN"/>
              </w:rPr>
              <w:t>4220180052</w:t>
            </w:r>
          </w:p>
        </w:tc>
        <w:tc>
          <w:tcPr>
            <w:tcW w:w="1251" w:type="pct"/>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c>
          <w:tcPr>
            <w:tcW w:w="1251" w:type="pct"/>
            <w:vAlign w:val="center"/>
          </w:tcPr>
          <w:p>
            <w:pPr>
              <w:tabs>
                <w:tab w:val="left" w:pos="735"/>
              </w:tabs>
              <w:wordWrap w:val="0"/>
              <w:overflowPunct w:val="0"/>
              <w:spacing w:line="312" w:lineRule="auto"/>
              <w:jc w:val="center"/>
              <w:rPr>
                <w:rFonts w:ascii="仿宋_GB2312" w:eastAsia="仿宋_GB2312"/>
                <w:color w:val="auto"/>
                <w:sz w:val="28"/>
                <w:szCs w:val="28"/>
                <w:highlight w:val="none"/>
              </w:rPr>
            </w:pPr>
          </w:p>
        </w:tc>
      </w:tr>
    </w:tbl>
    <w:p>
      <w:pPr>
        <w:spacing w:line="460" w:lineRule="exact"/>
        <w:jc w:val="center"/>
        <w:rPr>
          <w:rFonts w:ascii="Arial" w:hAnsi="Arial" w:eastAsia="仿宋_GB2312" w:cs="Arial"/>
          <w:color w:val="auto"/>
          <w:sz w:val="28"/>
          <w:highlight w:val="none"/>
        </w:rPr>
      </w:pPr>
    </w:p>
    <w:p>
      <w:pPr>
        <w:spacing w:line="460" w:lineRule="exact"/>
        <w:jc w:val="center"/>
        <w:rPr>
          <w:rFonts w:ascii="Arial" w:hAnsi="Arial" w:eastAsia="仿宋_GB2312" w:cs="Arial"/>
          <w:color w:val="auto"/>
          <w:sz w:val="28"/>
          <w:highlight w:val="none"/>
        </w:rPr>
      </w:pPr>
      <w:r>
        <w:rPr>
          <w:rFonts w:hint="eastAsia" w:ascii="Arial" w:hAnsi="Arial" w:eastAsia="仿宋_GB2312" w:cs="Arial"/>
          <w:color w:val="auto"/>
          <w:sz w:val="28"/>
          <w:highlight w:val="none"/>
        </w:rPr>
        <w:t>助理估价人员</w:t>
      </w:r>
    </w:p>
    <w:tbl>
      <w:tblPr>
        <w:tblStyle w:val="15"/>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3001"/>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000" w:type="dxa"/>
            <w:vAlign w:val="center"/>
          </w:tcPr>
          <w:p>
            <w:pPr>
              <w:tabs>
                <w:tab w:val="left" w:pos="735"/>
              </w:tabs>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姓  名</w:t>
            </w:r>
          </w:p>
        </w:tc>
        <w:tc>
          <w:tcPr>
            <w:tcW w:w="3001"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签名</w:t>
            </w:r>
          </w:p>
        </w:tc>
        <w:tc>
          <w:tcPr>
            <w:tcW w:w="3001"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000" w:type="dxa"/>
            <w:vAlign w:val="center"/>
          </w:tcPr>
          <w:p>
            <w:pPr>
              <w:tabs>
                <w:tab w:val="left" w:pos="735"/>
              </w:tabs>
              <w:wordWrap w:val="0"/>
              <w:overflowPunct w:val="0"/>
              <w:spacing w:line="312" w:lineRule="auto"/>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胡  佳</w:t>
            </w:r>
          </w:p>
        </w:tc>
        <w:tc>
          <w:tcPr>
            <w:tcW w:w="3001"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p>
        </w:tc>
        <w:tc>
          <w:tcPr>
            <w:tcW w:w="3001" w:type="dxa"/>
            <w:vAlign w:val="center"/>
          </w:tcPr>
          <w:p>
            <w:pPr>
              <w:tabs>
                <w:tab w:val="left" w:pos="735"/>
              </w:tabs>
              <w:wordWrap w:val="0"/>
              <w:overflowPunct w:val="0"/>
              <w:spacing w:line="312" w:lineRule="auto"/>
              <w:jc w:val="center"/>
              <w:rPr>
                <w:rFonts w:ascii="仿宋_GB2312" w:eastAsia="仿宋_GB2312"/>
                <w:b/>
                <w:color w:val="auto"/>
                <w:sz w:val="28"/>
                <w:szCs w:val="28"/>
                <w:highlight w:val="none"/>
              </w:rPr>
            </w:pPr>
          </w:p>
        </w:tc>
      </w:tr>
    </w:tbl>
    <w:p>
      <w:pPr>
        <w:spacing w:line="560" w:lineRule="exact"/>
        <w:ind w:firstLine="562" w:firstLineChars="200"/>
        <w:outlineLvl w:val="1"/>
        <w:rPr>
          <w:rFonts w:ascii="Arial" w:hAnsi="Arial" w:eastAsia="仿宋_GB2312" w:cs="Arial"/>
          <w:b/>
          <w:color w:val="auto"/>
          <w:sz w:val="28"/>
          <w:highlight w:val="none"/>
        </w:rPr>
      </w:pPr>
    </w:p>
    <w:p>
      <w:pPr>
        <w:spacing w:line="560" w:lineRule="exact"/>
        <w:ind w:firstLine="562" w:firstLineChars="200"/>
        <w:outlineLvl w:val="1"/>
        <w:rPr>
          <w:rFonts w:ascii="Arial" w:hAnsi="Arial" w:eastAsia="仿宋_GB2312" w:cs="Arial"/>
          <w:b/>
          <w:color w:val="auto"/>
          <w:sz w:val="28"/>
          <w:highlight w:val="none"/>
        </w:rPr>
      </w:pPr>
      <w:bookmarkStart w:id="122" w:name="_Toc26141"/>
      <w:r>
        <w:rPr>
          <w:rFonts w:ascii="Arial" w:hAnsi="Arial" w:eastAsia="仿宋_GB2312" w:cs="Arial"/>
          <w:b/>
          <w:color w:val="auto"/>
          <w:sz w:val="28"/>
          <w:highlight w:val="none"/>
        </w:rPr>
        <w:t>十</w:t>
      </w:r>
      <w:r>
        <w:rPr>
          <w:rFonts w:hint="eastAsia" w:ascii="Arial" w:hAnsi="Arial" w:eastAsia="仿宋_GB2312" w:cs="Arial"/>
          <w:b/>
          <w:color w:val="auto"/>
          <w:sz w:val="28"/>
          <w:highlight w:val="none"/>
        </w:rPr>
        <w:t>二</w:t>
      </w:r>
      <w:r>
        <w:rPr>
          <w:rFonts w:ascii="Arial" w:hAnsi="Arial" w:eastAsia="仿宋_GB2312" w:cs="Arial"/>
          <w:b/>
          <w:color w:val="auto"/>
          <w:sz w:val="28"/>
          <w:highlight w:val="none"/>
        </w:rPr>
        <w:t>、</w:t>
      </w:r>
      <w:r>
        <w:rPr>
          <w:rFonts w:hint="eastAsia" w:ascii="Arial" w:hAnsi="Arial" w:eastAsia="仿宋_GB2312" w:cs="Arial"/>
          <w:b/>
          <w:color w:val="auto"/>
          <w:sz w:val="28"/>
          <w:highlight w:val="none"/>
        </w:rPr>
        <w:t>实地查勘期</w:t>
      </w:r>
      <w:bookmarkEnd w:id="122"/>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本次估价实地查勘时间为</w:t>
      </w:r>
      <w:r>
        <w:rPr>
          <w:rFonts w:hint="eastAsia" w:ascii="Arial" w:hAnsi="Arial" w:eastAsia="仿宋_GB2312" w:cs="Arial"/>
          <w:color w:val="auto"/>
          <w:sz w:val="28"/>
          <w:highlight w:val="none"/>
          <w:lang w:eastAsia="zh-CN"/>
        </w:rPr>
        <w:t>2022年5月23日</w:t>
      </w:r>
      <w:r>
        <w:rPr>
          <w:rFonts w:hint="eastAsia" w:ascii="Arial" w:hAnsi="Arial" w:eastAsia="仿宋_GB2312" w:cs="Arial"/>
          <w:color w:val="auto"/>
          <w:sz w:val="28"/>
          <w:highlight w:val="none"/>
        </w:rPr>
        <w:t>，即为实地查勘完成日。</w:t>
      </w:r>
    </w:p>
    <w:p>
      <w:pPr>
        <w:spacing w:line="560" w:lineRule="exact"/>
        <w:ind w:firstLine="562" w:firstLineChars="200"/>
        <w:outlineLvl w:val="1"/>
        <w:rPr>
          <w:rFonts w:ascii="Arial" w:hAnsi="Arial" w:eastAsia="仿宋_GB2312" w:cs="Arial"/>
          <w:b/>
          <w:color w:val="auto"/>
          <w:sz w:val="28"/>
          <w:highlight w:val="none"/>
        </w:rPr>
      </w:pPr>
      <w:bookmarkStart w:id="123" w:name="_Toc16414"/>
      <w:r>
        <w:rPr>
          <w:rFonts w:ascii="Arial" w:hAnsi="Arial" w:eastAsia="仿宋_GB2312" w:cs="Arial"/>
          <w:b/>
          <w:color w:val="auto"/>
          <w:sz w:val="28"/>
          <w:highlight w:val="none"/>
        </w:rPr>
        <w:t>十</w:t>
      </w:r>
      <w:r>
        <w:rPr>
          <w:rFonts w:hint="eastAsia" w:ascii="Arial" w:hAnsi="Arial" w:eastAsia="仿宋_GB2312" w:cs="Arial"/>
          <w:b/>
          <w:color w:val="auto"/>
          <w:sz w:val="28"/>
          <w:highlight w:val="none"/>
        </w:rPr>
        <w:t>三</w:t>
      </w:r>
      <w:r>
        <w:rPr>
          <w:rFonts w:ascii="Arial" w:hAnsi="Arial" w:eastAsia="仿宋_GB2312" w:cs="Arial"/>
          <w:b/>
          <w:color w:val="auto"/>
          <w:sz w:val="28"/>
          <w:highlight w:val="none"/>
        </w:rPr>
        <w:t>、估价作业期</w:t>
      </w:r>
      <w:bookmarkEnd w:id="123"/>
    </w:p>
    <w:p>
      <w:pPr>
        <w:spacing w:line="560" w:lineRule="exact"/>
        <w:ind w:firstLine="560" w:firstLineChars="200"/>
        <w:rPr>
          <w:rFonts w:ascii="Arial" w:hAnsi="Arial" w:eastAsia="仿宋_GB2312" w:cs="Arial"/>
          <w:color w:val="auto"/>
          <w:sz w:val="28"/>
          <w:highlight w:val="none"/>
        </w:rPr>
      </w:pPr>
      <w:r>
        <w:rPr>
          <w:rFonts w:hint="eastAsia" w:ascii="Arial" w:hAnsi="Arial" w:eastAsia="仿宋_GB2312" w:cs="Arial"/>
          <w:color w:val="auto"/>
          <w:sz w:val="28"/>
          <w:highlight w:val="none"/>
        </w:rPr>
        <w:t>本次估价工作时间自收到估价委托书原件之日</w:t>
      </w:r>
      <w:r>
        <w:rPr>
          <w:rFonts w:hint="eastAsia" w:ascii="Arial" w:hAnsi="Arial" w:eastAsia="仿宋_GB2312" w:cs="Arial"/>
          <w:color w:val="auto"/>
          <w:sz w:val="28"/>
          <w:highlight w:val="none"/>
          <w:lang w:eastAsia="zh-CN"/>
        </w:rPr>
        <w:t>2022年5月23日</w:t>
      </w:r>
      <w:r>
        <w:rPr>
          <w:rFonts w:hint="eastAsia" w:ascii="Arial" w:hAnsi="Arial" w:eastAsia="仿宋_GB2312" w:cs="Arial"/>
          <w:color w:val="auto"/>
          <w:sz w:val="28"/>
          <w:highlight w:val="none"/>
        </w:rPr>
        <w:t>起至</w:t>
      </w:r>
      <w:r>
        <w:rPr>
          <w:rFonts w:hint="eastAsia" w:ascii="Arial" w:hAnsi="Arial" w:eastAsia="仿宋_GB2312" w:cs="Arial"/>
          <w:color w:val="auto"/>
          <w:sz w:val="28"/>
          <w:highlight w:val="none"/>
          <w:lang w:eastAsia="zh-CN"/>
        </w:rPr>
        <w:t>2022年6月21日</w:t>
      </w:r>
      <w:r>
        <w:rPr>
          <w:rFonts w:hint="eastAsia" w:ascii="Arial" w:hAnsi="Arial" w:eastAsia="仿宋_GB2312" w:cs="Arial"/>
          <w:color w:val="auto"/>
          <w:sz w:val="28"/>
          <w:highlight w:val="none"/>
        </w:rPr>
        <w:t>出具估价报告时止。</w:t>
      </w:r>
    </w:p>
    <w:p>
      <w:pPr>
        <w:spacing w:line="600" w:lineRule="exact"/>
        <w:ind w:firstLine="516"/>
        <w:rPr>
          <w:rFonts w:ascii="Arial" w:hAnsi="Arial" w:eastAsia="仿宋_GB2312" w:cs="Arial"/>
          <w:color w:val="auto"/>
          <w:sz w:val="36"/>
          <w:highlight w:val="none"/>
        </w:rPr>
        <w:sectPr>
          <w:footerReference r:id="rId12" w:type="default"/>
          <w:type w:val="nextColumn"/>
          <w:pgSz w:w="11906" w:h="16838"/>
          <w:pgMar w:top="1417" w:right="1418" w:bottom="1417" w:left="1418" w:header="964" w:footer="964" w:gutter="283"/>
          <w:cols w:space="0" w:num="1"/>
          <w:docGrid w:linePitch="634" w:charSpace="-4096"/>
        </w:sectPr>
      </w:pPr>
    </w:p>
    <w:p>
      <w:pPr>
        <w:jc w:val="center"/>
        <w:outlineLvl w:val="0"/>
        <w:rPr>
          <w:rFonts w:ascii="Arial" w:hAnsi="Arial" w:cs="Arial"/>
          <w:b/>
          <w:bCs/>
          <w:color w:val="auto"/>
          <w:sz w:val="36"/>
          <w:highlight w:val="none"/>
        </w:rPr>
      </w:pPr>
      <w:bookmarkStart w:id="124" w:name="_Toc130975232"/>
      <w:bookmarkStart w:id="125" w:name="_Toc129687000"/>
      <w:bookmarkStart w:id="126" w:name="_Toc28972"/>
      <w:r>
        <w:rPr>
          <w:rFonts w:ascii="Arial" w:hAnsi="Arial" w:cs="Arial"/>
          <w:b/>
          <w:bCs/>
          <w:color w:val="auto"/>
          <w:sz w:val="36"/>
          <w:highlight w:val="none"/>
        </w:rPr>
        <w:t>附</w:t>
      </w:r>
      <w:r>
        <w:rPr>
          <w:rFonts w:hint="eastAsia" w:ascii="Arial" w:hAnsi="Arial" w:cs="Arial"/>
          <w:b/>
          <w:bCs/>
          <w:color w:val="auto"/>
          <w:sz w:val="36"/>
          <w:highlight w:val="none"/>
        </w:rPr>
        <w:t xml:space="preserve">  </w:t>
      </w:r>
      <w:r>
        <w:rPr>
          <w:rFonts w:ascii="Arial" w:hAnsi="Arial" w:cs="Arial"/>
          <w:b/>
          <w:bCs/>
          <w:color w:val="auto"/>
          <w:sz w:val="36"/>
          <w:highlight w:val="none"/>
        </w:rPr>
        <w:t>件</w:t>
      </w:r>
      <w:bookmarkEnd w:id="124"/>
      <w:bookmarkEnd w:id="125"/>
      <w:bookmarkEnd w:id="126"/>
    </w:p>
    <w:p>
      <w:pPr>
        <w:spacing w:line="540" w:lineRule="exact"/>
        <w:jc w:val="center"/>
        <w:outlineLvl w:val="0"/>
        <w:rPr>
          <w:rFonts w:ascii="Arial" w:hAnsi="Arial" w:cs="Arial"/>
          <w:b/>
          <w:bCs/>
          <w:color w:val="auto"/>
          <w:sz w:val="36"/>
          <w:highlight w:val="none"/>
        </w:rPr>
      </w:pPr>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27" w:name="_Toc25470"/>
      <w:r>
        <w:rPr>
          <w:rFonts w:hint="eastAsia" w:ascii="Arial" w:hAnsi="Arial" w:eastAsia="仿宋_GB2312" w:cs="Arial"/>
          <w:color w:val="auto"/>
          <w:sz w:val="28"/>
          <w:highlight w:val="none"/>
        </w:rPr>
        <w:t>《</w:t>
      </w:r>
      <w:r>
        <w:rPr>
          <w:rFonts w:hint="eastAsia" w:ascii="Arial" w:hAnsi="Arial" w:eastAsia="仿宋_GB2312" w:cs="Arial"/>
          <w:color w:val="auto"/>
          <w:sz w:val="28"/>
          <w:highlight w:val="none"/>
          <w:lang w:eastAsia="zh-CN"/>
        </w:rPr>
        <w:t>湖北省竹溪县人民法院价格评估委托书</w:t>
      </w:r>
      <w:r>
        <w:rPr>
          <w:rFonts w:hint="eastAsia" w:ascii="Arial" w:hAnsi="Arial" w:eastAsia="仿宋_GB2312" w:cs="Arial"/>
          <w:color w:val="auto"/>
          <w:sz w:val="28"/>
          <w:highlight w:val="none"/>
        </w:rPr>
        <w:t>》（</w:t>
      </w:r>
      <w:r>
        <w:rPr>
          <w:rFonts w:hint="eastAsia" w:ascii="Arial" w:hAnsi="Arial" w:eastAsia="仿宋_GB2312" w:cs="Arial"/>
          <w:color w:val="auto"/>
          <w:sz w:val="28"/>
          <w:highlight w:val="none"/>
          <w:lang w:eastAsia="zh-CN"/>
        </w:rPr>
        <w:t>(2022）溪法技委字第17号</w:t>
      </w:r>
      <w:r>
        <w:rPr>
          <w:rFonts w:hint="eastAsia" w:ascii="Arial" w:hAnsi="Arial" w:eastAsia="仿宋_GB2312" w:cs="Arial"/>
          <w:color w:val="auto"/>
          <w:sz w:val="28"/>
          <w:highlight w:val="none"/>
        </w:rPr>
        <w:t>）</w:t>
      </w:r>
      <w:r>
        <w:rPr>
          <w:rFonts w:hint="eastAsia" w:ascii="Arial" w:hAnsi="Arial" w:eastAsia="仿宋_GB2312" w:cs="Arial"/>
          <w:color w:val="auto"/>
          <w:sz w:val="28"/>
          <w:highlight w:val="none"/>
          <w:lang w:val="en-US" w:eastAsia="zh-CN"/>
        </w:rPr>
        <w:t>复印件</w:t>
      </w:r>
      <w:bookmarkEnd w:id="127"/>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28" w:name="_Toc29697"/>
      <w:r>
        <w:rPr>
          <w:rFonts w:hint="eastAsia" w:ascii="Arial" w:hAnsi="Arial" w:eastAsia="仿宋_GB2312" w:cs="Arial"/>
          <w:color w:val="auto"/>
          <w:sz w:val="28"/>
          <w:highlight w:val="none"/>
          <w:lang w:eastAsia="zh-CN"/>
        </w:rPr>
        <w:t>《</w:t>
      </w:r>
      <w:r>
        <w:rPr>
          <w:rFonts w:hint="eastAsia" w:ascii="Arial" w:hAnsi="Arial" w:eastAsia="仿宋_GB2312" w:cs="Arial"/>
          <w:color w:val="auto"/>
          <w:sz w:val="28"/>
          <w:highlight w:val="none"/>
          <w:lang w:val="en-US" w:eastAsia="zh-CN"/>
        </w:rPr>
        <w:t>工作联系函</w:t>
      </w:r>
      <w:r>
        <w:rPr>
          <w:rFonts w:hint="eastAsia" w:ascii="Arial" w:hAnsi="Arial" w:eastAsia="仿宋_GB2312" w:cs="Arial"/>
          <w:color w:val="auto"/>
          <w:sz w:val="28"/>
          <w:highlight w:val="none"/>
          <w:lang w:eastAsia="zh-CN"/>
        </w:rPr>
        <w:t>》</w:t>
      </w:r>
      <w:r>
        <w:rPr>
          <w:rFonts w:hint="eastAsia" w:ascii="Arial" w:hAnsi="Arial" w:eastAsia="仿宋_GB2312" w:cs="Arial"/>
          <w:color w:val="auto"/>
          <w:sz w:val="28"/>
          <w:highlight w:val="none"/>
          <w:lang w:val="en-US" w:eastAsia="zh-CN"/>
        </w:rPr>
        <w:t>复印件</w:t>
      </w:r>
      <w:bookmarkEnd w:id="128"/>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29" w:name="_Toc25665"/>
      <w:r>
        <w:rPr>
          <w:rFonts w:hint="eastAsia" w:ascii="Arial" w:hAnsi="Arial" w:eastAsia="仿宋_GB2312" w:cs="Arial"/>
          <w:color w:val="auto"/>
          <w:sz w:val="28"/>
          <w:highlight w:val="none"/>
        </w:rPr>
        <w:t>估价对象位置图</w:t>
      </w:r>
      <w:bookmarkEnd w:id="129"/>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30" w:name="_Toc26010"/>
      <w:r>
        <w:rPr>
          <w:rFonts w:hint="eastAsia" w:ascii="Arial" w:hAnsi="Arial" w:eastAsia="仿宋_GB2312" w:cs="Arial"/>
          <w:color w:val="auto"/>
          <w:sz w:val="28"/>
          <w:highlight w:val="none"/>
        </w:rPr>
        <w:t>估价对象照片</w:t>
      </w:r>
      <w:bookmarkEnd w:id="130"/>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31" w:name="_Toc1263"/>
      <w:bookmarkStart w:id="132" w:name="_Toc23471"/>
      <w:r>
        <w:rPr>
          <w:rFonts w:hint="eastAsia" w:ascii="Arial" w:hAnsi="Arial" w:eastAsia="仿宋_GB2312" w:cs="Arial"/>
          <w:color w:val="auto"/>
          <w:sz w:val="28"/>
          <w:highlight w:val="none"/>
          <w:lang w:eastAsia="zh-CN"/>
        </w:rPr>
        <w:t>《不动产登记信息》</w:t>
      </w:r>
      <w:r>
        <w:rPr>
          <w:rFonts w:hint="eastAsia" w:ascii="Arial" w:hAnsi="Arial" w:eastAsia="仿宋_GB2312" w:cs="Arial"/>
          <w:color w:val="auto"/>
          <w:sz w:val="28"/>
          <w:highlight w:val="none"/>
        </w:rPr>
        <w:t>复印件</w:t>
      </w:r>
      <w:bookmarkEnd w:id="131"/>
    </w:p>
    <w:bookmarkEnd w:id="132"/>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33" w:name="_Toc244"/>
      <w:bookmarkStart w:id="134" w:name="_Toc12224"/>
      <w:r>
        <w:rPr>
          <w:rFonts w:hint="eastAsia" w:ascii="Arial" w:hAnsi="Arial" w:eastAsia="仿宋_GB2312" w:cs="Arial"/>
          <w:color w:val="auto"/>
          <w:sz w:val="28"/>
          <w:highlight w:val="none"/>
          <w:lang w:eastAsia="zh-CN"/>
        </w:rPr>
        <w:t>《湖北省竹溪县人民法院执行裁定书》</w:t>
      </w:r>
      <w:bookmarkEnd w:id="133"/>
      <w:r>
        <w:rPr>
          <w:rFonts w:hint="eastAsia" w:ascii="Arial" w:hAnsi="Arial" w:eastAsia="仿宋_GB2312" w:cs="Arial"/>
          <w:color w:val="auto"/>
          <w:sz w:val="28"/>
          <w:highlight w:val="none"/>
          <w:lang w:val="en-US" w:eastAsia="zh-CN"/>
        </w:rPr>
        <w:t>复印件</w:t>
      </w:r>
      <w:bookmarkEnd w:id="134"/>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35" w:name="_Toc31757"/>
      <w:r>
        <w:rPr>
          <w:rFonts w:hint="eastAsia" w:ascii="Arial" w:hAnsi="Arial" w:eastAsia="仿宋_GB2312" w:cs="Arial"/>
          <w:color w:val="auto"/>
          <w:sz w:val="28"/>
          <w:highlight w:val="none"/>
        </w:rPr>
        <w:t>房地产估价机构营业执照复印件</w:t>
      </w:r>
      <w:bookmarkEnd w:id="135"/>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36" w:name="_Toc15192"/>
      <w:r>
        <w:rPr>
          <w:rFonts w:hint="eastAsia" w:ascii="Arial" w:hAnsi="Arial" w:eastAsia="仿宋_GB2312" w:cs="Arial"/>
          <w:color w:val="auto"/>
          <w:sz w:val="28"/>
          <w:highlight w:val="none"/>
        </w:rPr>
        <w:t>房地产估价机构资质证书复印件</w:t>
      </w:r>
      <w:bookmarkEnd w:id="136"/>
    </w:p>
    <w:p>
      <w:pPr>
        <w:numPr>
          <w:ilvl w:val="0"/>
          <w:numId w:val="2"/>
        </w:numPr>
        <w:tabs>
          <w:tab w:val="left" w:pos="1701"/>
        </w:tabs>
        <w:spacing w:line="560" w:lineRule="exact"/>
        <w:ind w:firstLine="280" w:firstLineChars="100"/>
        <w:jc w:val="left"/>
        <w:outlineLvl w:val="1"/>
        <w:rPr>
          <w:rFonts w:ascii="Arial" w:hAnsi="Arial" w:eastAsia="仿宋_GB2312" w:cs="Arial"/>
          <w:color w:val="auto"/>
          <w:sz w:val="28"/>
          <w:highlight w:val="none"/>
        </w:rPr>
      </w:pPr>
      <w:bookmarkStart w:id="137" w:name="_Toc12694"/>
      <w:r>
        <w:rPr>
          <w:rFonts w:hint="eastAsia" w:ascii="Arial" w:hAnsi="Arial" w:eastAsia="仿宋_GB2312" w:cs="Arial"/>
          <w:color w:val="auto"/>
          <w:sz w:val="28"/>
          <w:highlight w:val="none"/>
        </w:rPr>
        <w:t>注册房地产估价师资格证书复印件</w:t>
      </w:r>
      <w:bookmarkEnd w:id="137"/>
    </w:p>
    <w:p>
      <w:pPr>
        <w:rPr>
          <w:color w:val="auto"/>
          <w:highlight w:val="none"/>
        </w:rPr>
      </w:pPr>
    </w:p>
    <w:sectPr>
      <w:footerReference r:id="rId13" w:type="default"/>
      <w:pgSz w:w="11906" w:h="16838"/>
      <w:pgMar w:top="1417" w:right="1418" w:bottom="1417" w:left="1418" w:header="964" w:footer="907" w:gutter="283"/>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top w:val="double" w:color="auto" w:sz="6" w:space="1"/>
      </w:pBdr>
      <w:tabs>
        <w:tab w:val="center" w:pos="4320"/>
        <w:tab w:val="right" w:pos="8400"/>
        <w:tab w:val="clear" w:pos="4153"/>
        <w:tab w:val="clear" w:pos="8306"/>
      </w:tabs>
      <w:adjustRightInd w:val="0"/>
      <w:snapToGrid/>
      <w:spacing w:line="240" w:lineRule="atLeast"/>
      <w:ind w:right="13"/>
      <w:textAlignment w:val="baseline"/>
    </w:pPr>
    <w:r>
      <w:rPr>
        <w:rFonts w:hint="eastAsia" w:ascii="Arial" w:hAnsi="Arial" w:eastAsia="幼圆"/>
        <w:kern w:val="0"/>
        <w:sz w:val="21"/>
        <w:szCs w:val="20"/>
      </w:rPr>
      <w:t>武汉天马房地资产评估有限公司</w:t>
    </w:r>
    <w:r>
      <w:rPr>
        <w:rFonts w:ascii="Arial" w:hAnsi="Arial" w:eastAsia="幼圆"/>
        <w:kern w:val="0"/>
        <w:sz w:val="21"/>
        <w:szCs w:val="20"/>
      </w:rPr>
      <w:t xml:space="preserve">       </w:t>
    </w:r>
    <w:r>
      <w:rPr>
        <w:rFonts w:hint="eastAsia" w:ascii="宋体" w:hAnsi="宋体" w:cs="宋体"/>
        <w:kern w:val="0"/>
        <w:sz w:val="21"/>
        <w:szCs w:val="20"/>
      </w:rPr>
      <w:t>　</w:t>
    </w:r>
    <w:r>
      <w:rPr>
        <w:rFonts w:hint="eastAsia" w:ascii="Arial" w:hAnsi="Arial" w:eastAsia="幼圆"/>
        <w:kern w:val="0"/>
        <w:sz w:val="21"/>
        <w:szCs w:val="20"/>
      </w:rPr>
      <w:t xml:space="preserve">       </w:t>
    </w:r>
    <w:r>
      <w:rPr>
        <w:rFonts w:hint="eastAsia" w:ascii="宋体" w:hAnsi="宋体" w:cs="宋体"/>
        <w:kern w:val="0"/>
        <w:sz w:val="21"/>
        <w:szCs w:val="20"/>
      </w:rPr>
      <w:t>　　　</w:t>
    </w:r>
    <w:r>
      <w:rPr>
        <w:rFonts w:ascii="Arial" w:hAnsi="Arial" w:eastAsia="幼圆"/>
        <w:kern w:val="0"/>
        <w:sz w:val="21"/>
        <w:szCs w:val="20"/>
      </w:rPr>
      <w:t xml:space="preserve">                   </w:t>
    </w:r>
    <w:r>
      <w:rPr>
        <w:rFonts w:hint="eastAsia" w:ascii="Arial" w:hAnsi="Arial" w:eastAsia="幼圆"/>
        <w:kern w:val="0"/>
        <w:sz w:val="21"/>
        <w:szCs w:val="20"/>
      </w:rPr>
      <w:t xml:space="preserve">   </w:t>
    </w:r>
    <w:r>
      <w:rPr>
        <w:rFonts w:ascii="Arial" w:hAnsi="Arial" w:eastAsia="幼圆"/>
        <w:kern w:val="0"/>
        <w:sz w:val="21"/>
        <w:szCs w:val="20"/>
      </w:rPr>
      <w:t xml:space="preserve">  </w:t>
    </w:r>
    <w:r>
      <w:rPr>
        <w:rFonts w:hint="eastAsia" w:ascii="宋体" w:hAnsi="宋体" w:cs="宋体"/>
        <w:kern w:val="0"/>
        <w:sz w:val="21"/>
        <w:szCs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top w:val="double" w:color="auto" w:sz="6" w:space="1"/>
      </w:pBdr>
      <w:tabs>
        <w:tab w:val="center" w:pos="4320"/>
        <w:tab w:val="right" w:pos="8400"/>
        <w:tab w:val="clear" w:pos="4153"/>
        <w:tab w:val="clear" w:pos="8306"/>
      </w:tabs>
      <w:adjustRightInd w:val="0"/>
      <w:snapToGrid/>
      <w:spacing w:line="240" w:lineRule="atLeast"/>
      <w:ind w:right="13"/>
      <w:textAlignment w:val="baseline"/>
    </w:pPr>
    <w:r>
      <w:rPr>
        <w:rFonts w:hint="eastAsia" w:ascii="Arial" w:hAnsi="Arial" w:eastAsia="幼圆"/>
        <w:kern w:val="0"/>
        <w:sz w:val="21"/>
        <w:szCs w:val="20"/>
      </w:rPr>
      <w:t>武汉天马房地资产评估有限公司</w:t>
    </w:r>
    <w:r>
      <w:rPr>
        <w:rFonts w:ascii="Arial" w:hAnsi="Arial" w:eastAsia="幼圆"/>
        <w:kern w:val="0"/>
        <w:sz w:val="21"/>
        <w:szCs w:val="20"/>
      </w:rPr>
      <w:t xml:space="preserve">       </w:t>
    </w:r>
    <w:r>
      <w:rPr>
        <w:rFonts w:hint="eastAsia" w:ascii="宋体" w:hAnsi="宋体" w:cs="宋体"/>
        <w:kern w:val="0"/>
        <w:sz w:val="21"/>
        <w:szCs w:val="20"/>
      </w:rPr>
      <w:t>　</w:t>
    </w:r>
    <w:r>
      <w:rPr>
        <w:rFonts w:hint="eastAsia" w:ascii="Arial" w:hAnsi="Arial" w:eastAsia="幼圆"/>
        <w:kern w:val="0"/>
        <w:sz w:val="21"/>
        <w:szCs w:val="20"/>
      </w:rPr>
      <w:t xml:space="preserve">       </w:t>
    </w:r>
    <w:r>
      <w:rPr>
        <w:rFonts w:ascii="Arial" w:hAnsi="Arial" w:eastAsia="幼圆"/>
        <w:kern w:val="0"/>
        <w:sz w:val="21"/>
        <w:szCs w:val="20"/>
      </w:rPr>
      <w:t xml:space="preserve">                 </w:t>
    </w:r>
    <w:r>
      <w:rPr>
        <w:rFonts w:hint="eastAsia" w:ascii="Arial" w:hAnsi="Arial" w:eastAsia="幼圆"/>
        <w:kern w:val="0"/>
        <w:sz w:val="21"/>
        <w:szCs w:val="20"/>
      </w:rPr>
      <w:t xml:space="preserve">   </w:t>
    </w:r>
    <w:r>
      <w:rPr>
        <w:rFonts w:ascii="Arial" w:hAnsi="Arial" w:eastAsia="幼圆"/>
        <w:kern w:val="0"/>
        <w:sz w:val="21"/>
        <w:szCs w:val="20"/>
      </w:rPr>
      <w:t xml:space="preserve">  </w:t>
    </w:r>
    <w:r>
      <w:rPr>
        <w:rFonts w:hint="eastAsia" w:ascii="宋体" w:hAnsi="宋体" w:cs="宋体"/>
        <w:kern w:val="0"/>
        <w:sz w:val="21"/>
        <w:szCs w:val="20"/>
      </w:rPr>
      <w:t xml:space="preserve">　　 </w:t>
    </w:r>
    <w:r>
      <w:rPr>
        <w:rFonts w:ascii="宋体" w:hAnsi="宋体" w:cs="宋体"/>
        <w:kern w:val="0"/>
        <w:sz w:val="21"/>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top w:val="double" w:color="auto" w:sz="6" w:space="1"/>
      </w:pBdr>
      <w:tabs>
        <w:tab w:val="center" w:pos="4320"/>
        <w:tab w:val="right" w:pos="8400"/>
        <w:tab w:val="clear" w:pos="4153"/>
        <w:tab w:val="clear" w:pos="8306"/>
      </w:tabs>
      <w:adjustRightInd w:val="0"/>
      <w:snapToGrid/>
      <w:spacing w:line="240" w:lineRule="atLeast"/>
      <w:ind w:right="13"/>
      <w:textAlignment w:val="baseline"/>
    </w:pPr>
    <w:r>
      <w:rPr>
        <w:rFonts w:hint="eastAsia" w:ascii="Arial" w:hAnsi="Arial" w:eastAsia="幼圆"/>
        <w:kern w:val="0"/>
        <w:sz w:val="21"/>
        <w:szCs w:val="20"/>
      </w:rPr>
      <w:t>武汉天马房地资产评估有限公司</w:t>
    </w:r>
    <w:r>
      <w:rPr>
        <w:rFonts w:ascii="Arial" w:hAnsi="Arial" w:eastAsia="幼圆"/>
        <w:kern w:val="0"/>
        <w:sz w:val="21"/>
        <w:szCs w:val="20"/>
      </w:rPr>
      <w:t xml:space="preserve">       </w:t>
    </w:r>
    <w:r>
      <w:rPr>
        <w:rFonts w:hint="eastAsia" w:ascii="Arial" w:hAnsi="Arial" w:eastAsia="幼圆"/>
        <w:kern w:val="0"/>
        <w:sz w:val="21"/>
        <w:szCs w:val="20"/>
      </w:rPr>
      <w:t>　       　　　</w:t>
    </w:r>
    <w:r>
      <w:rPr>
        <w:rFonts w:ascii="Arial" w:hAnsi="Arial" w:eastAsia="幼圆"/>
        <w:kern w:val="0"/>
        <w:sz w:val="21"/>
        <w:szCs w:val="20"/>
      </w:rPr>
      <w:t xml:space="preserve">                   </w:t>
    </w:r>
    <w:r>
      <w:rPr>
        <w:rFonts w:hint="eastAsia" w:ascii="Arial" w:hAnsi="Arial" w:eastAsia="幼圆"/>
        <w:kern w:val="0"/>
        <w:sz w:val="21"/>
        <w:szCs w:val="20"/>
      </w:rPr>
      <w:t xml:space="preserve">     </w:t>
    </w:r>
    <w:r>
      <w:rPr>
        <w:rFonts w:ascii="Arial" w:hAnsi="Arial" w:eastAsia="幼圆"/>
        <w:kern w:val="0"/>
        <w:sz w:val="21"/>
        <w:szCs w:val="20"/>
      </w:rPr>
      <w:t xml:space="preserve">  </w:t>
    </w:r>
    <w:r>
      <w:rPr>
        <w:rFonts w:hint="eastAsia" w:ascii="Arial" w:hAnsi="Arial" w:eastAsia="幼圆"/>
        <w:kern w:val="0"/>
        <w:sz w:val="21"/>
        <w:szCs w:val="20"/>
      </w:rPr>
      <w:t>　　</w:t>
    </w:r>
    <w:r>
      <w:rPr>
        <w:rFonts w:ascii="Arial" w:hAnsi="Arial" w:eastAsia="幼圆"/>
        <w:kern w:val="0"/>
        <w:sz w:val="21"/>
        <w:szCs w:val="20"/>
      </w:rPr>
      <w:t xml:space="preserve"> </w:t>
    </w:r>
    <w:r>
      <w:fldChar w:fldCharType="begin"/>
    </w:r>
    <w:r>
      <w:rPr>
        <w:rStyle w:val="17"/>
      </w:rPr>
      <w:instrText xml:space="preserve"> PAGE </w:instrText>
    </w:r>
    <w:r>
      <w:fldChar w:fldCharType="separate"/>
    </w:r>
    <w:r>
      <w:rPr>
        <w:rStyle w:val="17"/>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top w:val="double" w:color="auto" w:sz="6" w:space="1"/>
      </w:pBdr>
      <w:tabs>
        <w:tab w:val="center" w:pos="4320"/>
        <w:tab w:val="right" w:pos="8400"/>
        <w:tab w:val="clear" w:pos="4153"/>
        <w:tab w:val="clear" w:pos="8306"/>
      </w:tabs>
      <w:adjustRightInd w:val="0"/>
      <w:snapToGrid/>
      <w:spacing w:line="240" w:lineRule="atLeast"/>
      <w:ind w:right="13"/>
      <w:textAlignment w:val="baseline"/>
      <w:rPr>
        <w:rFonts w:ascii="Arial" w:hAnsi="Arial" w:cs="Arial"/>
        <w:sz w:val="21"/>
        <w:szCs w:val="21"/>
      </w:rPr>
    </w:pPr>
    <w:r>
      <w:rPr>
        <w:rFonts w:hint="eastAsia" w:ascii="Arial" w:hAnsi="Arial" w:eastAsia="幼圆" w:cs="Arial"/>
        <w:kern w:val="0"/>
        <w:sz w:val="21"/>
        <w:szCs w:val="20"/>
      </w:rPr>
      <w:t>武汉天马房地资产评估有限公司</w:t>
    </w:r>
    <w:r>
      <w:rPr>
        <w:rFonts w:ascii="Arial" w:hAnsi="Arial" w:eastAsia="幼圆"/>
        <w:kern w:val="0"/>
        <w:sz w:val="21"/>
        <w:szCs w:val="20"/>
      </w:rPr>
      <w:t xml:space="preserve">       </w:t>
    </w:r>
    <w:r>
      <w:rPr>
        <w:rFonts w:hint="eastAsia" w:ascii="Arial" w:hAnsi="Arial" w:eastAsia="幼圆"/>
        <w:kern w:val="0"/>
        <w:sz w:val="21"/>
        <w:szCs w:val="20"/>
      </w:rPr>
      <w:t>　       　　　</w:t>
    </w:r>
    <w:r>
      <w:rPr>
        <w:rFonts w:ascii="Arial" w:hAnsi="Arial" w:eastAsia="幼圆"/>
        <w:kern w:val="0"/>
        <w:sz w:val="21"/>
        <w:szCs w:val="20"/>
      </w:rPr>
      <w:t xml:space="preserve"> </w:t>
    </w:r>
    <w:r>
      <w:rPr>
        <w:rFonts w:hint="eastAsia" w:ascii="Arial" w:hAnsi="Arial" w:eastAsia="幼圆"/>
        <w:kern w:val="0"/>
        <w:sz w:val="21"/>
        <w:szCs w:val="20"/>
      </w:rPr>
      <w:t xml:space="preserve">   </w:t>
    </w:r>
    <w:r>
      <w:rPr>
        <w:rFonts w:ascii="Arial" w:hAnsi="Arial" w:eastAsia="幼圆"/>
        <w:kern w:val="0"/>
        <w:sz w:val="21"/>
        <w:szCs w:val="20"/>
      </w:rPr>
      <w:t xml:space="preserve">                  </w:t>
    </w:r>
    <w:r>
      <w:rPr>
        <w:rFonts w:hint="eastAsia" w:ascii="Arial" w:hAnsi="Arial" w:eastAsia="幼圆"/>
        <w:kern w:val="0"/>
        <w:sz w:val="21"/>
        <w:szCs w:val="20"/>
      </w:rPr>
      <w:t xml:space="preserve">   </w:t>
    </w:r>
    <w:r>
      <w:rPr>
        <w:rFonts w:ascii="Arial" w:hAnsi="Arial" w:eastAsia="幼圆"/>
        <w:kern w:val="0"/>
        <w:sz w:val="21"/>
        <w:szCs w:val="20"/>
      </w:rPr>
      <w:t xml:space="preserve">  </w:t>
    </w:r>
    <w:r>
      <w:rPr>
        <w:rFonts w:hint="eastAsia" w:ascii="Arial" w:hAnsi="Arial" w:eastAsia="幼圆"/>
        <w:kern w:val="0"/>
        <w:sz w:val="21"/>
        <w:szCs w:val="20"/>
      </w:rPr>
      <w:t>　</w:t>
    </w:r>
    <w:r>
      <w:rPr>
        <w:rFonts w:hint="eastAsia" w:ascii="Arial" w:hAnsi="Arial" w:eastAsia="幼圆"/>
        <w:kern w:val="0"/>
        <w:sz w:val="21"/>
        <w:szCs w:val="21"/>
      </w:rPr>
      <w:t>　</w:t>
    </w:r>
    <w:r>
      <w:rPr>
        <w:rFonts w:ascii="Arial" w:hAnsi="Arial" w:cs="Arial"/>
        <w:sz w:val="21"/>
        <w:szCs w:val="21"/>
      </w:rPr>
      <w:fldChar w:fldCharType="begin"/>
    </w:r>
    <w:r>
      <w:rPr>
        <w:rStyle w:val="17"/>
        <w:rFonts w:ascii="Arial" w:hAnsi="Arial" w:cs="Arial"/>
        <w:sz w:val="21"/>
        <w:szCs w:val="21"/>
      </w:rPr>
      <w:instrText xml:space="preserve"> PAGE </w:instrText>
    </w:r>
    <w:r>
      <w:rPr>
        <w:rFonts w:ascii="Arial" w:hAnsi="Arial" w:cs="Arial"/>
        <w:sz w:val="21"/>
        <w:szCs w:val="21"/>
      </w:rPr>
      <w:fldChar w:fldCharType="separate"/>
    </w:r>
    <w:r>
      <w:rPr>
        <w:rStyle w:val="17"/>
        <w:rFonts w:ascii="Arial" w:hAnsi="Arial" w:cs="Arial"/>
        <w:sz w:val="21"/>
        <w:szCs w:val="21"/>
      </w:rPr>
      <w:t>5</w:t>
    </w:r>
    <w:r>
      <w:rPr>
        <w:rFonts w:ascii="Arial" w:hAnsi="Arial" w:cs="Arial"/>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top w:val="double" w:color="auto" w:sz="6" w:space="0"/>
      </w:pBdr>
      <w:tabs>
        <w:tab w:val="center" w:pos="4320"/>
        <w:tab w:val="right" w:pos="8400"/>
        <w:tab w:val="clear" w:pos="4153"/>
        <w:tab w:val="clear" w:pos="8306"/>
      </w:tabs>
      <w:adjustRightInd w:val="0"/>
      <w:snapToGrid/>
      <w:spacing w:line="240" w:lineRule="atLeast"/>
      <w:ind w:right="13"/>
      <w:textAlignment w:val="baseline"/>
    </w:pPr>
    <w:r>
      <w:rPr>
        <w:rFonts w:hint="eastAsia" w:ascii="Arial" w:hAnsi="Arial" w:eastAsia="幼圆"/>
        <w:kern w:val="0"/>
        <w:sz w:val="21"/>
        <w:szCs w:val="20"/>
      </w:rPr>
      <w:t>武汉天马房地资产评估有限公司</w:t>
    </w:r>
    <w:r>
      <w:rPr>
        <w:rFonts w:ascii="Arial" w:hAnsi="Arial" w:eastAsia="幼圆"/>
        <w:kern w:val="0"/>
        <w:sz w:val="21"/>
        <w:szCs w:val="20"/>
      </w:rPr>
      <w:t xml:space="preserve">     </w:t>
    </w:r>
    <w:r>
      <w:rPr>
        <w:rFonts w:hint="eastAsia" w:ascii="Arial" w:hAnsi="Arial" w:eastAsia="幼圆"/>
        <w:kern w:val="0"/>
        <w:sz w:val="21"/>
        <w:szCs w:val="20"/>
      </w:rPr>
      <w:t>　       　　</w:t>
    </w:r>
    <w:r>
      <w:rPr>
        <w:rFonts w:hint="eastAsia" w:ascii="宋体" w:hAnsi="宋体" w:cs="宋体"/>
        <w:kern w:val="0"/>
        <w:sz w:val="21"/>
        <w:szCs w:val="20"/>
      </w:rPr>
      <w:t>　　　　　　　　　  　　　　　  　</w:t>
    </w:r>
    <w:r>
      <w:rPr>
        <w:rFonts w:ascii="Arial" w:hAnsi="Arial" w:eastAsia="幼圆"/>
        <w:kern w:val="0"/>
        <w:sz w:val="21"/>
        <w:szCs w:val="20"/>
      </w:rPr>
      <w:fldChar w:fldCharType="begin"/>
    </w:r>
    <w:r>
      <w:rPr>
        <w:rFonts w:ascii="Arial" w:hAnsi="Arial" w:eastAsia="幼圆"/>
        <w:kern w:val="0"/>
        <w:sz w:val="21"/>
        <w:szCs w:val="20"/>
      </w:rPr>
      <w:instrText xml:space="preserve"> PAGE </w:instrText>
    </w:r>
    <w:r>
      <w:rPr>
        <w:rFonts w:ascii="Arial" w:hAnsi="Arial" w:eastAsia="幼圆"/>
        <w:kern w:val="0"/>
        <w:sz w:val="21"/>
        <w:szCs w:val="20"/>
      </w:rPr>
      <w:fldChar w:fldCharType="separate"/>
    </w:r>
    <w:r>
      <w:rPr>
        <w:rFonts w:ascii="Arial" w:hAnsi="Arial" w:eastAsia="幼圆"/>
        <w:kern w:val="0"/>
        <w:sz w:val="21"/>
        <w:szCs w:val="20"/>
      </w:rPr>
      <w:t>19</w:t>
    </w:r>
    <w:r>
      <w:rPr>
        <w:rFonts w:ascii="Arial" w:hAnsi="Arial" w:eastAsia="幼圆"/>
        <w:kern w:val="0"/>
        <w:sz w:val="21"/>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top w:val="double" w:color="auto" w:sz="6" w:space="1"/>
      </w:pBdr>
      <w:tabs>
        <w:tab w:val="center" w:pos="4320"/>
        <w:tab w:val="right" w:pos="8400"/>
        <w:tab w:val="clear" w:pos="4153"/>
        <w:tab w:val="clear" w:pos="8306"/>
      </w:tabs>
      <w:adjustRightInd w:val="0"/>
      <w:snapToGrid/>
      <w:spacing w:line="240" w:lineRule="atLeast"/>
      <w:ind w:right="13"/>
      <w:textAlignment w:val="baseline"/>
    </w:pPr>
    <w:r>
      <w:rPr>
        <w:rFonts w:hint="eastAsia" w:ascii="Arial" w:hAnsi="Arial" w:eastAsia="幼圆"/>
        <w:kern w:val="0"/>
        <w:sz w:val="21"/>
      </w:rPr>
      <w:t xml:space="preserve">武汉天马房地资产评估有限公司                          </w:t>
    </w:r>
    <w:r>
      <w:rPr>
        <w:rFonts w:ascii="Arial" w:hAnsi="Arial" w:eastAsia="幼圆"/>
        <w:kern w:val="0"/>
        <w:sz w:val="21"/>
      </w:rPr>
      <w:t xml:space="preserve">               </w:t>
    </w:r>
    <w:r>
      <w:rPr>
        <w:rFonts w:hint="eastAsia" w:ascii="Arial" w:hAnsi="Arial" w:eastAsia="幼圆"/>
        <w:kern w:val="0"/>
        <w:sz w:val="21"/>
      </w:rPr>
      <w:t xml:space="preserve">   </w:t>
    </w:r>
    <w:r>
      <w:rPr>
        <w:rFonts w:ascii="Arial" w:hAnsi="Arial" w:eastAsia="幼圆"/>
        <w:kern w:val="0"/>
        <w:sz w:val="21"/>
      </w:rPr>
      <w:t xml:space="preserve">   </w:t>
    </w:r>
    <w:r>
      <w:rPr>
        <w:rFonts w:hint="eastAsia" w:ascii="Arial" w:hAnsi="Arial" w:eastAsia="幼圆"/>
        <w:kern w:val="0"/>
        <w:sz w:val="21"/>
      </w:rPr>
      <w:t>　　</w:t>
    </w:r>
    <w:r>
      <w:rPr>
        <w:rFonts w:ascii="Arial" w:hAnsi="Arial" w:eastAsia="幼圆"/>
        <w:kern w:val="0"/>
        <w:sz w:val="21"/>
      </w:rPr>
      <w:fldChar w:fldCharType="begin"/>
    </w:r>
    <w:r>
      <w:rPr>
        <w:rFonts w:ascii="Arial" w:hAnsi="Arial" w:eastAsia="幼圆"/>
        <w:kern w:val="0"/>
        <w:sz w:val="21"/>
      </w:rPr>
      <w:instrText xml:space="preserve"> PAGE </w:instrText>
    </w:r>
    <w:r>
      <w:rPr>
        <w:rFonts w:ascii="Arial" w:hAnsi="Arial" w:eastAsia="幼圆"/>
        <w:kern w:val="0"/>
        <w:sz w:val="21"/>
      </w:rPr>
      <w:fldChar w:fldCharType="separate"/>
    </w:r>
    <w:r>
      <w:rPr>
        <w:rFonts w:ascii="Arial" w:hAnsi="Arial" w:eastAsia="幼圆"/>
        <w:kern w:val="0"/>
        <w:sz w:val="21"/>
      </w:rPr>
      <w:t>61</w:t>
    </w:r>
    <w:r>
      <w:rPr>
        <w:rFonts w:ascii="Arial" w:hAnsi="Arial" w:eastAsia="幼圆"/>
        <w:kern w:val="0"/>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double" w:color="auto" w:sz="6" w:space="1"/>
      </w:pBdr>
      <w:tabs>
        <w:tab w:val="center" w:pos="4320"/>
        <w:tab w:val="right" w:pos="8640"/>
        <w:tab w:val="clear" w:pos="4153"/>
        <w:tab w:val="clear" w:pos="8306"/>
      </w:tabs>
      <w:adjustRightInd w:val="0"/>
      <w:snapToGrid/>
      <w:spacing w:line="240" w:lineRule="atLeast"/>
      <w:jc w:val="left"/>
      <w:textAlignment w:val="baseline"/>
      <w:rPr>
        <w:rFonts w:eastAsia="幼圆"/>
      </w:rPr>
    </w:pPr>
    <w:r>
      <w:rPr>
        <w:rFonts w:ascii="Arial" w:hAnsi="Arial" w:eastAsia="幼圆" w:cs="Arial"/>
        <w:w w:val="90"/>
        <w:kern w:val="0"/>
      </w:rPr>
      <w:drawing>
        <wp:anchor distT="0" distB="0" distL="114300" distR="114300" simplePos="0" relativeHeight="251659264" behindDoc="0" locked="0" layoutInCell="1" allowOverlap="1">
          <wp:simplePos x="0" y="0"/>
          <wp:positionH relativeFrom="column">
            <wp:posOffset>5434330</wp:posOffset>
          </wp:positionH>
          <wp:positionV relativeFrom="paragraph">
            <wp:posOffset>-78740</wp:posOffset>
          </wp:positionV>
          <wp:extent cx="142875" cy="228600"/>
          <wp:effectExtent l="0" t="0" r="9525" b="0"/>
          <wp:wrapNone/>
          <wp:docPr id="22" name="图片 4" descr="天马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天马LOGO"/>
                  <pic:cNvPicPr>
                    <a:picLocks noChangeAspect="1"/>
                  </pic:cNvPicPr>
                </pic:nvPicPr>
                <pic:blipFill>
                  <a:blip r:embed="rId1"/>
                  <a:stretch>
                    <a:fillRect/>
                  </a:stretch>
                </pic:blipFill>
                <pic:spPr>
                  <a:xfrm>
                    <a:off x="0" y="0"/>
                    <a:ext cx="142875" cy="228600"/>
                  </a:xfrm>
                  <a:prstGeom prst="rect">
                    <a:avLst/>
                  </a:prstGeom>
                  <a:noFill/>
                  <a:ln>
                    <a:noFill/>
                  </a:ln>
                </pic:spPr>
              </pic:pic>
            </a:graphicData>
          </a:graphic>
        </wp:anchor>
      </w:drawing>
    </w:r>
    <w:r>
      <w:rPr>
        <w:rFonts w:hint="eastAsia" w:ascii="幼圆" w:hAnsi="幼圆" w:eastAsia="幼圆" w:cs="幼圆"/>
        <w:w w:val="90"/>
      </w:rPr>
      <w:t>武汉市东湖新技术开发区关山大道332号保利·时代K17地块三区1栋1单元14层03室住宅房地产市场价值评估</w:t>
    </w:r>
    <w:r>
      <w:rPr>
        <w:rFonts w:hint="eastAsia" w:ascii="幼圆" w:hAnsi="幼圆" w:eastAsia="幼圆" w:cs="幼圆"/>
        <w:b/>
        <w:bCs/>
        <w:w w:val="90"/>
      </w:rPr>
      <w:t xml:space="preserve"> </w:t>
    </w:r>
    <w:r>
      <w:rPr>
        <w:rFonts w:hint="eastAsia" w:ascii="Arial" w:hAnsi="Arial" w:eastAsia="隶书" w:cs="Arial"/>
        <w:b/>
        <w:bCs/>
        <w:w w:val="90"/>
      </w:rPr>
      <w:t xml:space="preserve"> </w:t>
    </w:r>
    <w:r>
      <w:rPr>
        <w:rFonts w:hint="eastAsia" w:ascii="Arial" w:hAnsi="Arial" w:eastAsia="隶书" w:cs="Arial"/>
        <w:b/>
        <w:bCs/>
      </w:rPr>
      <w:t xml:space="preserve">  </w:t>
    </w:r>
    <w:r>
      <w:rPr>
        <w:rFonts w:hint="eastAsia" w:ascii="Arial" w:hAnsi="Arial" w:eastAsia="幼圆" w:cs="Arial"/>
        <w:kern w:val="0"/>
      </w:rPr>
      <w:t xml:space="preserve">  </w:t>
    </w:r>
    <w:r>
      <w:rPr>
        <w:rFonts w:hint="eastAsia" w:ascii="Arial" w:hAnsi="Arial" w:eastAsia="幼圆" w:cs="Arial"/>
        <w:kern w:val="0"/>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double" w:color="auto" w:sz="8" w:space="1"/>
      </w:pBdr>
      <w:jc w:val="left"/>
      <w:rPr>
        <w:rFonts w:eastAsia="幼圆"/>
      </w:rPr>
    </w:pPr>
    <w:r>
      <w:rPr>
        <w:rFonts w:ascii="幼圆" w:hAnsi="幼圆" w:eastAsia="幼圆" w:cs="幼圆"/>
        <w:kern w:val="0"/>
      </w:rPr>
      <w:drawing>
        <wp:anchor distT="0" distB="0" distL="114300" distR="114300" simplePos="0" relativeHeight="251660288" behindDoc="0" locked="0" layoutInCell="1" allowOverlap="1">
          <wp:simplePos x="0" y="0"/>
          <wp:positionH relativeFrom="column">
            <wp:posOffset>5367655</wp:posOffset>
          </wp:positionH>
          <wp:positionV relativeFrom="paragraph">
            <wp:posOffset>-88265</wp:posOffset>
          </wp:positionV>
          <wp:extent cx="142875" cy="228600"/>
          <wp:effectExtent l="0" t="0" r="9525" b="0"/>
          <wp:wrapNone/>
          <wp:docPr id="23" name="图片 2" descr="天马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天马LOGO"/>
                  <pic:cNvPicPr>
                    <a:picLocks noChangeAspect="1"/>
                  </pic:cNvPicPr>
                </pic:nvPicPr>
                <pic:blipFill>
                  <a:blip r:embed="rId1"/>
                  <a:stretch>
                    <a:fillRect/>
                  </a:stretch>
                </pic:blipFill>
                <pic:spPr>
                  <a:xfrm>
                    <a:off x="0" y="0"/>
                    <a:ext cx="142875" cy="228600"/>
                  </a:xfrm>
                  <a:prstGeom prst="rect">
                    <a:avLst/>
                  </a:prstGeom>
                  <a:noFill/>
                  <a:ln>
                    <a:noFill/>
                  </a:ln>
                </pic:spPr>
              </pic:pic>
            </a:graphicData>
          </a:graphic>
        </wp:anchor>
      </w:drawing>
    </w:r>
    <w:r>
      <w:rPr>
        <w:rFonts w:hint="eastAsia" w:ascii="幼圆" w:hAnsi="幼圆" w:eastAsia="幼圆" w:cs="幼圆"/>
        <w:kern w:val="0"/>
        <w:lang w:eastAsia="zh-CN"/>
      </w:rPr>
      <w:t>湖北省十堰市竹溪县城关镇鄂陕大道899号金叶花园4幢1单元202号</w:t>
    </w:r>
    <w:r>
      <w:rPr>
        <w:rFonts w:hint="eastAsia" w:ascii="幼圆" w:hAnsi="幼圆" w:eastAsia="幼圆" w:cs="幼圆"/>
        <w:kern w:val="0"/>
      </w:rPr>
      <w:t>住宅房地产市场价值评估</w:t>
    </w:r>
    <w:r>
      <w:rPr>
        <w:rFonts w:ascii="Arial" w:hAnsi="Arial" w:eastAsia="幼圆" w:cs="Arial"/>
        <w:b/>
        <w:bCs/>
        <w:w w:val="80"/>
      </w:rPr>
      <w:t xml:space="preserve"> </w:t>
    </w:r>
    <w:r>
      <w:rPr>
        <w:rFonts w:hint="eastAsia" w:ascii="Arial" w:hAnsi="Arial" w:eastAsia="隶书" w:cs="Arial"/>
        <w:b/>
        <w:bCs/>
        <w:w w:val="80"/>
      </w:rPr>
      <w:t xml:space="preserve"> </w:t>
    </w:r>
    <w:r>
      <w:rPr>
        <w:rFonts w:hint="eastAsia" w:ascii="Arial" w:hAnsi="Arial" w:eastAsia="隶书" w:cs="Arial"/>
        <w:b/>
        <w:bCs/>
      </w:rPr>
      <w:t xml:space="preserve">  </w:t>
    </w:r>
    <w:r>
      <w:rPr>
        <w:rFonts w:hint="eastAsia" w:ascii="Arial" w:hAnsi="Arial" w:eastAsia="幼圆" w:cs="Arial"/>
        <w:kern w:val="0"/>
      </w:rPr>
      <w:t xml:space="preserve">  </w:t>
    </w:r>
    <w:r>
      <w:rPr>
        <w:rFonts w:hint="eastAsia" w:ascii="Arial" w:hAnsi="Arial" w:eastAsia="幼圆" w:cs="Arial"/>
        <w:kern w:val="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double" w:color="auto" w:sz="6" w:space="1"/>
      </w:pBdr>
      <w:tabs>
        <w:tab w:val="center" w:pos="4320"/>
        <w:tab w:val="right" w:pos="8640"/>
        <w:tab w:val="clear" w:pos="4153"/>
        <w:tab w:val="clear" w:pos="8306"/>
      </w:tabs>
      <w:adjustRightInd w:val="0"/>
      <w:snapToGrid/>
      <w:spacing w:line="240" w:lineRule="atLeast"/>
      <w:jc w:val="left"/>
      <w:textAlignment w:val="baseline"/>
      <w:rPr>
        <w:rFonts w:eastAsia="幼圆"/>
      </w:rPr>
    </w:pPr>
    <w:r>
      <w:rPr>
        <w:rFonts w:ascii="幼圆" w:hAnsi="幼圆" w:eastAsia="幼圆" w:cs="幼圆"/>
        <w:spacing w:val="-6"/>
        <w:kern w:val="0"/>
        <w:sz w:val="16"/>
        <w:szCs w:val="16"/>
      </w:rPr>
      <w:drawing>
        <wp:anchor distT="0" distB="0" distL="114300" distR="114300" simplePos="0" relativeHeight="251660288" behindDoc="0" locked="0" layoutInCell="1" allowOverlap="1">
          <wp:simplePos x="0" y="0"/>
          <wp:positionH relativeFrom="column">
            <wp:posOffset>5405755</wp:posOffset>
          </wp:positionH>
          <wp:positionV relativeFrom="paragraph">
            <wp:posOffset>-69215</wp:posOffset>
          </wp:positionV>
          <wp:extent cx="142875" cy="228600"/>
          <wp:effectExtent l="0" t="0" r="9525" b="0"/>
          <wp:wrapNone/>
          <wp:docPr id="24" name="图片 6" descr="天马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天马LOGO"/>
                  <pic:cNvPicPr>
                    <a:picLocks noChangeAspect="1"/>
                  </pic:cNvPicPr>
                </pic:nvPicPr>
                <pic:blipFill>
                  <a:blip r:embed="rId1"/>
                  <a:stretch>
                    <a:fillRect/>
                  </a:stretch>
                </pic:blipFill>
                <pic:spPr>
                  <a:xfrm>
                    <a:off x="0" y="0"/>
                    <a:ext cx="142875" cy="228600"/>
                  </a:xfrm>
                  <a:prstGeom prst="rect">
                    <a:avLst/>
                  </a:prstGeom>
                  <a:noFill/>
                  <a:ln>
                    <a:noFill/>
                  </a:ln>
                </pic:spPr>
              </pic:pic>
            </a:graphicData>
          </a:graphic>
        </wp:anchor>
      </w:drawing>
    </w:r>
    <w:r>
      <w:rPr>
        <w:rFonts w:hint="eastAsia" w:ascii="幼圆" w:hAnsi="幼圆" w:eastAsia="幼圆" w:cs="幼圆"/>
        <w:kern w:val="0"/>
        <w:lang w:eastAsia="zh-CN"/>
      </w:rPr>
      <w:t>湖北省十堰市竹溪县城关镇鄂陕大道899号金叶花园4幢1单元202号</w:t>
    </w:r>
    <w:r>
      <w:rPr>
        <w:rFonts w:hint="eastAsia" w:ascii="幼圆" w:hAnsi="幼圆" w:eastAsia="幼圆" w:cs="幼圆"/>
        <w:kern w:val="0"/>
      </w:rPr>
      <w:t>住宅房地产市场价值评估</w:t>
    </w:r>
    <w:r>
      <w:rPr>
        <w:rFonts w:ascii="Arial" w:hAnsi="Arial" w:eastAsia="幼圆" w:cs="Arial"/>
        <w:b/>
        <w:bCs/>
        <w:spacing w:val="-6"/>
        <w:w w:val="80"/>
      </w:rPr>
      <w:t xml:space="preserve"> </w:t>
    </w:r>
    <w:r>
      <w:rPr>
        <w:rFonts w:hint="eastAsia" w:ascii="Arial" w:hAnsi="Arial" w:eastAsia="隶书" w:cs="Arial"/>
        <w:b/>
        <w:bCs/>
        <w:spacing w:val="-6"/>
      </w:rPr>
      <w:t xml:space="preserve"> </w:t>
    </w:r>
    <w:r>
      <w:rPr>
        <w:rFonts w:hint="eastAsia" w:ascii="Arial" w:hAnsi="Arial" w:eastAsia="隶书" w:cs="Arial"/>
        <w:b/>
        <w:bCs/>
      </w:rPr>
      <w:t xml:space="preserve">  </w:t>
    </w:r>
    <w:r>
      <w:rPr>
        <w:rFonts w:hint="eastAsia" w:ascii="Arial" w:hAnsi="Arial" w:eastAsia="幼圆" w:cs="Arial"/>
        <w:kern w:val="0"/>
      </w:rPr>
      <w:t xml:space="preserve">  </w:t>
    </w:r>
    <w:r>
      <w:rPr>
        <w:rFonts w:hint="eastAsia" w:ascii="Arial" w:hAnsi="Arial" w:eastAsia="幼圆" w:cs="Arial"/>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79F40"/>
    <w:multiLevelType w:val="multilevel"/>
    <w:tmpl w:val="BEF79F40"/>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54349DB0"/>
    <w:multiLevelType w:val="singleLevel"/>
    <w:tmpl w:val="54349DB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mVmYmIwZmM3YzI3NGQ4Y2EwYTFiYThhOWZjYjIifQ=="/>
  </w:docVars>
  <w:rsids>
    <w:rsidRoot w:val="00000000"/>
    <w:rsid w:val="08AC0EE9"/>
    <w:rsid w:val="0DBE239D"/>
    <w:rsid w:val="10706C36"/>
    <w:rsid w:val="126237FB"/>
    <w:rsid w:val="16363DD7"/>
    <w:rsid w:val="182E7779"/>
    <w:rsid w:val="18654E39"/>
    <w:rsid w:val="19FC1B6B"/>
    <w:rsid w:val="1C9E0E60"/>
    <w:rsid w:val="1CD6073B"/>
    <w:rsid w:val="1D767C68"/>
    <w:rsid w:val="1EEB18FC"/>
    <w:rsid w:val="21812005"/>
    <w:rsid w:val="2DCA7BF7"/>
    <w:rsid w:val="31B5613B"/>
    <w:rsid w:val="335C581D"/>
    <w:rsid w:val="35F11CEF"/>
    <w:rsid w:val="361B2A05"/>
    <w:rsid w:val="37765C6B"/>
    <w:rsid w:val="39FE10E6"/>
    <w:rsid w:val="4297107F"/>
    <w:rsid w:val="429C281F"/>
    <w:rsid w:val="443A2613"/>
    <w:rsid w:val="48991934"/>
    <w:rsid w:val="4ACB2F9F"/>
    <w:rsid w:val="4D2D2DF1"/>
    <w:rsid w:val="4E826CBD"/>
    <w:rsid w:val="4ECC61A8"/>
    <w:rsid w:val="5022090B"/>
    <w:rsid w:val="50975C2E"/>
    <w:rsid w:val="53AA27E6"/>
    <w:rsid w:val="565C1185"/>
    <w:rsid w:val="56DE5AAA"/>
    <w:rsid w:val="57F3334B"/>
    <w:rsid w:val="57FC29BD"/>
    <w:rsid w:val="5E3D597F"/>
    <w:rsid w:val="629638C3"/>
    <w:rsid w:val="639D6537"/>
    <w:rsid w:val="6BCF6A74"/>
    <w:rsid w:val="784D6035"/>
    <w:rsid w:val="7B342760"/>
    <w:rsid w:val="7C765E51"/>
    <w:rsid w:val="7C8F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BodyText"/>
    <w:qFormat/>
    <w:uiPriority w:val="0"/>
    <w:pPr>
      <w:widowControl w:val="0"/>
      <w:jc w:val="both"/>
    </w:pPr>
    <w:rPr>
      <w:rFonts w:ascii="Calibri" w:hAnsi="Calibri" w:eastAsia="宋体" w:cs="Times New Roman"/>
      <w:b/>
      <w:color w:val="FF0000"/>
      <w:kern w:val="2"/>
      <w:sz w:val="72"/>
      <w:lang w:val="en-US" w:eastAsia="zh-CN" w:bidi="ar-SA"/>
    </w:rPr>
  </w:style>
  <w:style w:type="paragraph" w:styleId="3">
    <w:name w:val="annotation text"/>
    <w:basedOn w:val="1"/>
    <w:qFormat/>
    <w:uiPriority w:val="0"/>
    <w:pPr>
      <w:jc w:val="left"/>
    </w:pPr>
    <w:rPr>
      <w:szCs w:val="20"/>
    </w:rPr>
  </w:style>
  <w:style w:type="paragraph" w:styleId="4">
    <w:name w:val="Body Text"/>
    <w:basedOn w:val="1"/>
    <w:qFormat/>
    <w:uiPriority w:val="0"/>
    <w:pPr>
      <w:tabs>
        <w:tab w:val="left" w:pos="567"/>
      </w:tabs>
    </w:pPr>
    <w:rPr>
      <w:rFonts w:ascii="仿宋_GB2312" w:eastAsia="仿宋_GB2312"/>
      <w:kern w:val="0"/>
      <w:sz w:val="28"/>
      <w:szCs w:val="20"/>
    </w:rPr>
  </w:style>
  <w:style w:type="paragraph" w:styleId="5">
    <w:name w:val="Block Text"/>
    <w:basedOn w:val="1"/>
    <w:qFormat/>
    <w:uiPriority w:val="0"/>
    <w:pPr>
      <w:ind w:left="540" w:right="-90" w:firstLine="570"/>
    </w:pPr>
    <w:rPr>
      <w:sz w:val="28"/>
      <w:szCs w:val="20"/>
    </w:rPr>
  </w:style>
  <w:style w:type="paragraph" w:styleId="6">
    <w:name w:val="Plain Text"/>
    <w:basedOn w:val="1"/>
    <w:qFormat/>
    <w:uiPriority w:val="0"/>
    <w:rPr>
      <w:rFonts w:ascii="宋体" w:hAnsi="Courier New"/>
      <w:szCs w:val="20"/>
    </w:rPr>
  </w:style>
  <w:style w:type="paragraph" w:styleId="7">
    <w:name w:val="Date"/>
    <w:basedOn w:val="1"/>
    <w:next w:val="1"/>
    <w:qFormat/>
    <w:uiPriority w:val="0"/>
    <w:rPr>
      <w:sz w:val="28"/>
      <w:szCs w:val="20"/>
    </w:rPr>
  </w:style>
  <w:style w:type="paragraph" w:styleId="8">
    <w:name w:val="Body Text Indent 2"/>
    <w:basedOn w:val="1"/>
    <w:qFormat/>
    <w:uiPriority w:val="0"/>
    <w:pPr>
      <w:ind w:left="97" w:firstLine="485"/>
    </w:pPr>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776"/>
      </w:tabs>
      <w:spacing w:line="560" w:lineRule="exact"/>
    </w:pPr>
    <w:rPr>
      <w:rFonts w:ascii="Arial" w:hAnsi="Arial" w:eastAsia="楷体_GB2312" w:cs="Arial"/>
      <w:bCs/>
      <w:sz w:val="28"/>
      <w:szCs w:val="28"/>
    </w:rPr>
  </w:style>
  <w:style w:type="paragraph" w:styleId="12">
    <w:name w:val="Body Text Indent 3"/>
    <w:basedOn w:val="1"/>
    <w:qFormat/>
    <w:uiPriority w:val="0"/>
    <w:pPr>
      <w:ind w:firstLine="588"/>
    </w:pPr>
    <w:rPr>
      <w:rFonts w:ascii="仿宋_GB2312" w:eastAsia="仿宋_GB2312"/>
      <w:sz w:val="28"/>
      <w:szCs w:val="20"/>
    </w:rPr>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styleId="17">
    <w:name w:val="page number"/>
    <w:basedOn w:val="16"/>
    <w:qFormat/>
    <w:uiPriority w:val="0"/>
  </w:style>
  <w:style w:type="character" w:styleId="18">
    <w:name w:val="annotation reference"/>
    <w:qFormat/>
    <w:uiPriority w:val="0"/>
    <w:rPr>
      <w:sz w:val="21"/>
      <w:szCs w:val="21"/>
    </w:rPr>
  </w:style>
  <w:style w:type="paragraph" w:customStyle="1" w:styleId="19">
    <w:name w:val="5节"/>
    <w:basedOn w:val="1"/>
    <w:qFormat/>
    <w:uiPriority w:val="0"/>
    <w:pPr>
      <w:spacing w:line="500" w:lineRule="atLeast"/>
      <w:ind w:firstLine="567"/>
      <w:outlineLvl w:val="2"/>
    </w:pPr>
    <w:rPr>
      <w:rFonts w:hint="eastAsia" w:ascii="仿宋_GB2312" w:hAnsi="Courier New" w:eastAsia="仿宋_GB2312"/>
      <w:sz w:val="28"/>
      <w:szCs w:val="20"/>
    </w:rPr>
  </w:style>
  <w:style w:type="paragraph" w:customStyle="1" w:styleId="20">
    <w:name w:val="报告正文"/>
    <w:basedOn w:val="1"/>
    <w:qFormat/>
    <w:uiPriority w:val="0"/>
    <w:pPr>
      <w:spacing w:line="500" w:lineRule="atLeast"/>
      <w:ind w:firstLine="567"/>
    </w:pPr>
    <w:rPr>
      <w:rFonts w:ascii="仿宋_GB2312" w:hAnsi="Courier New" w:eastAsia="仿宋_GB2312"/>
      <w:sz w:val="28"/>
      <w:szCs w:val="20"/>
    </w:rPr>
  </w:style>
  <w:style w:type="character" w:customStyle="1" w:styleId="21">
    <w:name w:val="font11"/>
    <w:basedOn w:val="16"/>
    <w:qFormat/>
    <w:uiPriority w:val="0"/>
    <w:rPr>
      <w:rFonts w:hint="eastAsia" w:ascii="楷体" w:hAnsi="楷体" w:eastAsia="楷体" w:cs="楷体"/>
      <w:color w:val="000000"/>
      <w:sz w:val="20"/>
      <w:szCs w:val="20"/>
      <w:u w:val="none"/>
    </w:rPr>
  </w:style>
  <w:style w:type="character" w:customStyle="1" w:styleId="22">
    <w:name w:val="font01"/>
    <w:basedOn w:val="16"/>
    <w:qFormat/>
    <w:uiPriority w:val="0"/>
    <w:rPr>
      <w:rFonts w:hint="eastAsia" w:ascii="楷体" w:hAnsi="楷体" w:eastAsia="楷体" w:cs="楷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32119</Words>
  <Characters>35626</Characters>
  <Lines>0</Lines>
  <Paragraphs>0</Paragraphs>
  <TotalTime>1</TotalTime>
  <ScaleCrop>false</ScaleCrop>
  <LinksUpToDate>false</LinksUpToDate>
  <CharactersWithSpaces>35950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2022-06-07T07:28:00Z</dcterms:created>
  <dc:creator>HP</dc:creator>
  <cp:lastModifiedBy>Administrator</cp:lastModifiedBy>
  <cp:lastPrinted>2022-06-22T02:09:00Z</cp:lastPrinted>
  <dcterms:modified xsi:type="dcterms:W3CDTF">2022-06-22T06:10:34Z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5AD37AF8EA6B4556BFC3CE10E80B402A</vt:lpwstr>
  </property>
</Properties>
</file>