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480" w:lineRule="auto"/>
        <w:jc w:val="center"/>
        <w:rPr>
          <w:rFonts w:eastAsia="黑体"/>
          <w:sz w:val="36"/>
          <w:szCs w:val="36"/>
        </w:rPr>
      </w:pPr>
      <w:bookmarkStart w:id="0" w:name="_Toc384888992"/>
      <w:bookmarkStart w:id="1" w:name="_Toc430088334"/>
      <w:bookmarkStart w:id="2" w:name="_Toc377971399"/>
      <w:r>
        <w:rPr>
          <w:rFonts w:hint="eastAsia" w:ascii="黑体" w:eastAsia="黑体"/>
          <w:sz w:val="44"/>
          <w:szCs w:val="44"/>
        </w:rPr>
        <w:t xml:space="preserve"> </w:t>
      </w:r>
    </w:p>
    <w:p>
      <w:pPr>
        <w:widowControl w:val="0"/>
        <w:adjustRightInd w:val="0"/>
        <w:snapToGrid w:val="0"/>
        <w:spacing w:line="360" w:lineRule="auto"/>
        <w:rPr>
          <w:rFonts w:eastAsia="黑体"/>
          <w:sz w:val="48"/>
          <w:szCs w:val="48"/>
        </w:rPr>
      </w:pPr>
      <w:r>
        <w:rPr>
          <w:rFonts w:hint="eastAsia" w:eastAsia="黑体"/>
          <w:sz w:val="48"/>
          <w:szCs w:val="48"/>
        </w:rPr>
        <w:t xml:space="preserve">         </w:t>
      </w:r>
    </w:p>
    <w:p>
      <w:pPr>
        <w:pStyle w:val="2"/>
        <w:spacing w:line="360" w:lineRule="exact"/>
        <w:ind w:firstLine="2200" w:firstLineChars="500"/>
        <w:jc w:val="both"/>
        <w:rPr>
          <w:b w:val="0"/>
          <w:bCs w:val="0"/>
        </w:rPr>
      </w:pPr>
    </w:p>
    <w:p>
      <w:pPr>
        <w:pStyle w:val="2"/>
        <w:keepNext/>
        <w:keepLines/>
        <w:pageBreakBefore w:val="0"/>
        <w:widowControl/>
        <w:kinsoku/>
        <w:wordWrap/>
        <w:overflowPunct/>
        <w:topLinePunct w:val="0"/>
        <w:autoSpaceDE/>
        <w:autoSpaceDN/>
        <w:bidi w:val="0"/>
        <w:adjustRightInd/>
        <w:snapToGrid/>
        <w:spacing w:before="0" w:after="0" w:line="460" w:lineRule="exact"/>
        <w:ind w:firstLine="2650" w:firstLineChars="600"/>
        <w:jc w:val="both"/>
        <w:textAlignment w:val="auto"/>
        <w:rPr>
          <w:bCs w:val="0"/>
        </w:rPr>
      </w:pPr>
      <w:r>
        <w:rPr>
          <w:rFonts w:hint="eastAsia"/>
          <w:bCs w:val="0"/>
        </w:rPr>
        <w:t>房地产估价报告</w:t>
      </w:r>
    </w:p>
    <w:p>
      <w:pPr>
        <w:pStyle w:val="2"/>
        <w:spacing w:before="0" w:after="0" w:line="460" w:lineRule="exact"/>
        <w:ind w:firstLine="562" w:firstLineChars="200"/>
        <w:jc w:val="both"/>
        <w:rPr>
          <w:b w:val="0"/>
          <w:bCs w:val="0"/>
          <w:sz w:val="28"/>
          <w:szCs w:val="28"/>
        </w:rPr>
      </w:pPr>
      <w:r>
        <w:rPr>
          <w:rFonts w:hint="eastAsia"/>
          <w:sz w:val="28"/>
          <w:szCs w:val="28"/>
        </w:rPr>
        <w:t>报告编号：</w:t>
      </w:r>
      <w:r>
        <w:rPr>
          <w:rFonts w:hint="eastAsia"/>
          <w:b w:val="0"/>
          <w:bCs w:val="0"/>
          <w:sz w:val="28"/>
          <w:szCs w:val="28"/>
        </w:rPr>
        <w:t>甬仲恒估字（2021）第SF061号</w:t>
      </w:r>
    </w:p>
    <w:p>
      <w:pPr>
        <w:pStyle w:val="2"/>
        <w:spacing w:before="0" w:after="0" w:line="460" w:lineRule="exact"/>
        <w:ind w:left="838" w:leftChars="232" w:hanging="281" w:hangingChars="100"/>
        <w:jc w:val="both"/>
        <w:rPr>
          <w:b w:val="0"/>
          <w:bCs w:val="0"/>
          <w:sz w:val="28"/>
          <w:szCs w:val="28"/>
        </w:rPr>
      </w:pPr>
      <w:r>
        <w:rPr>
          <w:rFonts w:hint="eastAsia"/>
          <w:sz w:val="28"/>
          <w:szCs w:val="28"/>
        </w:rPr>
        <w:t>估价项目名称：</w:t>
      </w:r>
      <w:r>
        <w:rPr>
          <w:rFonts w:hint="eastAsia"/>
          <w:b w:val="0"/>
          <w:bCs w:val="0"/>
          <w:sz w:val="28"/>
          <w:szCs w:val="28"/>
        </w:rPr>
        <w:t>位于宁波市象山县丹西街道锦河苑</w:t>
      </w:r>
    </w:p>
    <w:p>
      <w:pPr>
        <w:pStyle w:val="2"/>
        <w:spacing w:before="0" w:after="0" w:line="460" w:lineRule="exact"/>
        <w:ind w:left="837" w:leftChars="232" w:hanging="280" w:hangingChars="100"/>
        <w:jc w:val="both"/>
        <w:rPr>
          <w:b w:val="0"/>
          <w:bCs w:val="0"/>
          <w:sz w:val="28"/>
          <w:szCs w:val="28"/>
        </w:rPr>
      </w:pPr>
      <w:r>
        <w:rPr>
          <w:rFonts w:hint="eastAsia"/>
          <w:b w:val="0"/>
          <w:bCs w:val="0"/>
          <w:sz w:val="28"/>
          <w:szCs w:val="28"/>
        </w:rPr>
        <w:t>3号楼305室的住宅房地产市场价值评估</w:t>
      </w:r>
    </w:p>
    <w:p>
      <w:pPr>
        <w:pStyle w:val="2"/>
        <w:spacing w:before="0" w:after="0" w:line="460" w:lineRule="exact"/>
        <w:ind w:firstLine="562" w:firstLineChars="200"/>
        <w:jc w:val="both"/>
        <w:rPr>
          <w:b w:val="0"/>
          <w:bCs w:val="0"/>
          <w:sz w:val="28"/>
          <w:szCs w:val="28"/>
        </w:rPr>
      </w:pPr>
      <w:r>
        <w:rPr>
          <w:rFonts w:hint="eastAsia"/>
          <w:sz w:val="28"/>
          <w:szCs w:val="28"/>
        </w:rPr>
        <w:t>估价委托人：</w:t>
      </w:r>
      <w:r>
        <w:rPr>
          <w:rFonts w:hint="eastAsia"/>
          <w:b w:val="0"/>
          <w:bCs w:val="0"/>
          <w:sz w:val="28"/>
          <w:szCs w:val="28"/>
        </w:rPr>
        <w:t>宁波市海曙区人民法院</w:t>
      </w:r>
    </w:p>
    <w:p>
      <w:pPr>
        <w:widowControl w:val="0"/>
        <w:adjustRightInd w:val="0"/>
        <w:snapToGrid w:val="0"/>
        <w:spacing w:line="460" w:lineRule="exact"/>
        <w:ind w:firstLine="562" w:firstLineChars="200"/>
        <w:jc w:val="both"/>
        <w:rPr>
          <w:sz w:val="28"/>
          <w:szCs w:val="28"/>
        </w:rPr>
      </w:pPr>
      <w:r>
        <w:rPr>
          <w:rFonts w:hint="eastAsia"/>
          <w:b/>
          <w:bCs/>
          <w:sz w:val="28"/>
          <w:szCs w:val="28"/>
        </w:rPr>
        <w:t>房地产估价机构：</w:t>
      </w:r>
      <w:r>
        <w:rPr>
          <w:rFonts w:hint="eastAsia"/>
          <w:sz w:val="28"/>
          <w:szCs w:val="28"/>
        </w:rPr>
        <w:t>宁波仲恒房地产估价有限公司</w:t>
      </w:r>
    </w:p>
    <w:p>
      <w:pPr>
        <w:widowControl w:val="0"/>
        <w:adjustRightInd w:val="0"/>
        <w:snapToGrid w:val="0"/>
        <w:spacing w:line="460" w:lineRule="exact"/>
        <w:ind w:firstLine="562" w:firstLineChars="200"/>
        <w:jc w:val="both"/>
        <w:rPr>
          <w:sz w:val="28"/>
          <w:szCs w:val="28"/>
        </w:rPr>
      </w:pPr>
      <w:r>
        <w:rPr>
          <w:rFonts w:hint="eastAsia"/>
          <w:b/>
          <w:bCs/>
          <w:sz w:val="28"/>
          <w:szCs w:val="28"/>
        </w:rPr>
        <w:t>注册房地产估价师：</w:t>
      </w:r>
      <w:r>
        <w:rPr>
          <w:rFonts w:hint="eastAsia"/>
          <w:sz w:val="28"/>
          <w:szCs w:val="28"/>
        </w:rPr>
        <w:t xml:space="preserve">  </w:t>
      </w:r>
      <w:r>
        <w:rPr>
          <w:rFonts w:hint="eastAsia"/>
          <w:sz w:val="28"/>
          <w:szCs w:val="28"/>
          <w:lang w:val="en-US" w:eastAsia="zh-CN"/>
        </w:rPr>
        <w:t>***</w:t>
      </w:r>
      <w:r>
        <w:rPr>
          <w:rFonts w:hint="eastAsia"/>
          <w:sz w:val="28"/>
          <w:szCs w:val="28"/>
        </w:rPr>
        <w:t>（注册号</w:t>
      </w:r>
      <w:r>
        <w:rPr>
          <w:rFonts w:hint="eastAsia"/>
          <w:sz w:val="28"/>
          <w:szCs w:val="28"/>
          <w:lang w:val="en-US" w:eastAsia="zh-CN"/>
        </w:rPr>
        <w:t>***</w:t>
      </w:r>
      <w:r>
        <w:rPr>
          <w:rFonts w:hint="eastAsia"/>
          <w:sz w:val="28"/>
          <w:szCs w:val="28"/>
        </w:rPr>
        <w:t>）</w:t>
      </w:r>
    </w:p>
    <w:p>
      <w:pPr>
        <w:widowControl w:val="0"/>
        <w:adjustRightInd w:val="0"/>
        <w:snapToGrid w:val="0"/>
        <w:spacing w:line="460" w:lineRule="exact"/>
        <w:ind w:firstLine="3360" w:firstLineChars="1200"/>
        <w:rPr>
          <w:sz w:val="28"/>
          <w:szCs w:val="28"/>
        </w:rPr>
      </w:pPr>
      <w:r>
        <w:rPr>
          <w:rFonts w:hint="eastAsia"/>
          <w:sz w:val="28"/>
          <w:szCs w:val="28"/>
          <w:lang w:val="en-US" w:eastAsia="zh-CN"/>
        </w:rPr>
        <w:t>***</w:t>
      </w:r>
      <w:r>
        <w:rPr>
          <w:rFonts w:hint="eastAsia"/>
          <w:sz w:val="28"/>
          <w:szCs w:val="28"/>
        </w:rPr>
        <w:t>（注册号</w:t>
      </w:r>
      <w:r>
        <w:rPr>
          <w:rFonts w:hint="eastAsia"/>
          <w:sz w:val="28"/>
          <w:szCs w:val="28"/>
          <w:lang w:val="en-US" w:eastAsia="zh-CN"/>
        </w:rPr>
        <w:t>***</w:t>
      </w:r>
      <w:r>
        <w:rPr>
          <w:rFonts w:hint="eastAsia"/>
          <w:sz w:val="28"/>
          <w:szCs w:val="28"/>
        </w:rPr>
        <w:t>）</w:t>
      </w:r>
    </w:p>
    <w:p>
      <w:pPr>
        <w:widowControl w:val="0"/>
        <w:adjustRightInd w:val="0"/>
        <w:snapToGrid w:val="0"/>
        <w:spacing w:line="460" w:lineRule="exact"/>
        <w:ind w:firstLine="562" w:firstLineChars="200"/>
        <w:jc w:val="both"/>
        <w:rPr>
          <w:sz w:val="28"/>
          <w:szCs w:val="28"/>
        </w:rPr>
      </w:pPr>
      <w:r>
        <w:rPr>
          <w:rFonts w:hint="eastAsia"/>
          <w:b/>
          <w:bCs/>
          <w:sz w:val="28"/>
          <w:szCs w:val="28"/>
        </w:rPr>
        <w:t>估价报告出具日期：</w:t>
      </w:r>
      <w:r>
        <w:rPr>
          <w:rFonts w:hint="eastAsia"/>
          <w:sz w:val="28"/>
          <w:szCs w:val="28"/>
        </w:rPr>
        <w:t>2022年1月11日</w:t>
      </w:r>
    </w:p>
    <w:p>
      <w:pPr>
        <w:widowControl w:val="0"/>
        <w:adjustRightInd w:val="0"/>
        <w:snapToGrid w:val="0"/>
        <w:spacing w:line="500" w:lineRule="exact"/>
        <w:rPr>
          <w:rFonts w:ascii="Times New Roman" w:hAnsi="Times New Roman" w:cs="Times New Roman"/>
          <w:sz w:val="32"/>
        </w:rPr>
      </w:pPr>
    </w:p>
    <w:p>
      <w:pPr>
        <w:widowControl w:val="0"/>
        <w:adjustRightInd w:val="0"/>
        <w:snapToGrid w:val="0"/>
        <w:spacing w:line="500" w:lineRule="exact"/>
        <w:rPr>
          <w:rFonts w:ascii="Times New Roman" w:hAnsi="Times New Roman" w:cs="Times New Roman"/>
          <w:sz w:val="32"/>
        </w:rPr>
      </w:pPr>
    </w:p>
    <w:p>
      <w:pPr>
        <w:widowControl w:val="0"/>
        <w:adjustRightInd w:val="0"/>
        <w:snapToGrid w:val="0"/>
        <w:spacing w:line="500" w:lineRule="exact"/>
        <w:rPr>
          <w:rFonts w:ascii="Times New Roman" w:hAnsi="Times New Roman" w:cs="Times New Roman"/>
          <w:sz w:val="32"/>
        </w:rPr>
      </w:pPr>
    </w:p>
    <w:p>
      <w:pPr>
        <w:widowControl w:val="0"/>
        <w:adjustRightInd w:val="0"/>
        <w:snapToGrid w:val="0"/>
        <w:spacing w:line="480" w:lineRule="auto"/>
        <w:jc w:val="center"/>
        <w:rPr>
          <w:rFonts w:eastAsia="黑体"/>
          <w:sz w:val="36"/>
          <w:szCs w:val="36"/>
        </w:rPr>
      </w:pPr>
    </w:p>
    <w:p>
      <w:pPr>
        <w:widowControl w:val="0"/>
        <w:adjustRightInd w:val="0"/>
        <w:snapToGrid w:val="0"/>
        <w:spacing w:line="360" w:lineRule="auto"/>
        <w:rPr>
          <w:rFonts w:eastAsia="黑体"/>
          <w:sz w:val="48"/>
          <w:szCs w:val="48"/>
        </w:rPr>
      </w:pPr>
      <w:r>
        <w:rPr>
          <w:rFonts w:hint="eastAsia" w:eastAsia="黑体"/>
          <w:sz w:val="48"/>
          <w:szCs w:val="48"/>
        </w:rPr>
        <w:t xml:space="preserve">         </w:t>
      </w:r>
    </w:p>
    <w:p>
      <w:pPr>
        <w:widowControl w:val="0"/>
        <w:adjustRightInd w:val="0"/>
        <w:snapToGrid w:val="0"/>
        <w:spacing w:line="360" w:lineRule="auto"/>
        <w:rPr>
          <w:rFonts w:eastAsia="黑体"/>
          <w:sz w:val="48"/>
          <w:szCs w:val="48"/>
        </w:rPr>
      </w:pPr>
    </w:p>
    <w:p>
      <w:pPr>
        <w:widowControl w:val="0"/>
        <w:adjustRightInd w:val="0"/>
        <w:snapToGrid w:val="0"/>
        <w:spacing w:line="360" w:lineRule="auto"/>
        <w:rPr>
          <w:spacing w:val="-4"/>
          <w:sz w:val="32"/>
          <w:szCs w:val="32"/>
        </w:rPr>
      </w:pPr>
    </w:p>
    <w:p>
      <w:pPr>
        <w:widowControl w:val="0"/>
        <w:adjustRightInd w:val="0"/>
        <w:snapToGrid w:val="0"/>
        <w:spacing w:line="360" w:lineRule="auto"/>
        <w:rPr>
          <w:rFonts w:eastAsia="黑体"/>
          <w:sz w:val="32"/>
        </w:rPr>
        <w:sectPr>
          <w:headerReference r:id="rId3" w:type="default"/>
          <w:footerReference r:id="rId4" w:type="default"/>
          <w:footerReference r:id="rId5" w:type="even"/>
          <w:pgSz w:w="11907" w:h="16840"/>
          <w:pgMar w:top="1247" w:right="1474" w:bottom="1247" w:left="1758" w:header="850" w:footer="964" w:gutter="0"/>
          <w:cols w:space="720" w:num="1"/>
          <w:docGrid w:type="lines" w:linePitch="326" w:charSpace="0"/>
        </w:sectPr>
      </w:pPr>
      <w:r>
        <w:rPr>
          <w:rFonts w:hint="eastAsia" w:eastAsia="黑体"/>
          <w:sz w:val="32"/>
        </w:rPr>
        <w:t xml:space="preserve">         </w:t>
      </w:r>
    </w:p>
    <w:p>
      <w:pPr>
        <w:widowControl w:val="0"/>
        <w:adjustRightInd w:val="0"/>
        <w:snapToGrid w:val="0"/>
        <w:spacing w:line="360" w:lineRule="auto"/>
        <w:rPr>
          <w:rFonts w:ascii="黑体" w:eastAsia="黑体"/>
          <w:sz w:val="44"/>
          <w:szCs w:val="44"/>
        </w:rPr>
      </w:pPr>
      <w:r>
        <w:rPr>
          <w:rFonts w:hint="eastAsia" w:eastAsia="黑体"/>
          <w:sz w:val="48"/>
          <w:szCs w:val="48"/>
        </w:rPr>
        <w:t xml:space="preserve">     </w:t>
      </w:r>
      <w:r>
        <w:rPr>
          <w:rFonts w:hint="eastAsia" w:ascii="黑体" w:eastAsia="黑体"/>
          <w:sz w:val="44"/>
          <w:szCs w:val="44"/>
        </w:rPr>
        <w:t xml:space="preserve">     </w:t>
      </w:r>
      <w:bookmarkStart w:id="3" w:name="_Toc437939617"/>
      <w:bookmarkStart w:id="4" w:name="_Toc502309753"/>
      <w:r>
        <w:rPr>
          <w:rFonts w:hint="eastAsia" w:ascii="黑体" w:eastAsia="黑体"/>
          <w:sz w:val="44"/>
          <w:szCs w:val="44"/>
        </w:rPr>
        <w:t>致 估 价 委 托 人 函</w:t>
      </w:r>
      <w:bookmarkEnd w:id="0"/>
      <w:bookmarkEnd w:id="1"/>
      <w:bookmarkEnd w:id="2"/>
      <w:bookmarkEnd w:id="3"/>
      <w:bookmarkEnd w:id="4"/>
    </w:p>
    <w:p>
      <w:pPr>
        <w:widowControl w:val="0"/>
        <w:spacing w:line="520" w:lineRule="exact"/>
        <w:jc w:val="both"/>
        <w:rPr>
          <w:sz w:val="28"/>
          <w:szCs w:val="28"/>
        </w:rPr>
      </w:pPr>
      <w:r>
        <w:rPr>
          <w:rFonts w:hint="eastAsia"/>
          <w:sz w:val="28"/>
          <w:szCs w:val="28"/>
        </w:rPr>
        <w:t>宁波市海曙区人民法院</w:t>
      </w:r>
      <w:r>
        <w:rPr>
          <w:rFonts w:hint="eastAsia"/>
          <w:bCs/>
          <w:sz w:val="28"/>
          <w:szCs w:val="28"/>
        </w:rPr>
        <w:t>：</w:t>
      </w:r>
    </w:p>
    <w:p>
      <w:pPr>
        <w:widowControl w:val="0"/>
        <w:adjustRightInd w:val="0"/>
        <w:snapToGrid w:val="0"/>
        <w:spacing w:line="520" w:lineRule="exact"/>
        <w:ind w:firstLine="560" w:firstLineChars="200"/>
        <w:jc w:val="both"/>
        <w:rPr>
          <w:kern w:val="15"/>
          <w:sz w:val="28"/>
          <w:szCs w:val="28"/>
        </w:rPr>
      </w:pPr>
      <w:r>
        <w:rPr>
          <w:kern w:val="15"/>
          <w:sz w:val="28"/>
          <w:szCs w:val="28"/>
        </w:rPr>
        <w:t>受贵</w:t>
      </w:r>
      <w:r>
        <w:rPr>
          <w:rFonts w:hint="eastAsia"/>
          <w:kern w:val="15"/>
          <w:sz w:val="28"/>
          <w:szCs w:val="28"/>
        </w:rPr>
        <w:t>院</w:t>
      </w:r>
      <w:r>
        <w:rPr>
          <w:kern w:val="15"/>
          <w:sz w:val="28"/>
          <w:szCs w:val="28"/>
        </w:rPr>
        <w:t>委托，本公司秉着客观、公正、科学、独立的原则，对</w:t>
      </w:r>
      <w:r>
        <w:rPr>
          <w:rFonts w:hint="eastAsia"/>
          <w:kern w:val="15"/>
          <w:sz w:val="28"/>
          <w:szCs w:val="28"/>
        </w:rPr>
        <w:t>位于宁波市象山县丹西街道锦河苑3号楼305室的住宅房地产进行市场价值评估。</w:t>
      </w:r>
    </w:p>
    <w:p>
      <w:pPr>
        <w:widowControl w:val="0"/>
        <w:adjustRightInd w:val="0"/>
        <w:snapToGrid w:val="0"/>
        <w:spacing w:line="520" w:lineRule="exact"/>
        <w:ind w:firstLine="562" w:firstLineChars="200"/>
        <w:jc w:val="both"/>
        <w:rPr>
          <w:sz w:val="28"/>
        </w:rPr>
      </w:pPr>
      <w:r>
        <w:rPr>
          <w:rFonts w:hint="eastAsia"/>
          <w:b/>
          <w:kern w:val="15"/>
          <w:sz w:val="28"/>
          <w:szCs w:val="28"/>
        </w:rPr>
        <w:t>估价目的：</w:t>
      </w:r>
      <w:r>
        <w:rPr>
          <w:rFonts w:hint="eastAsia"/>
          <w:sz w:val="28"/>
          <w:szCs w:val="28"/>
        </w:rPr>
        <w:t>为房地产进行司法处置提供价值参考依据而评估房地产市场价值。</w:t>
      </w:r>
    </w:p>
    <w:p>
      <w:pPr>
        <w:widowControl w:val="0"/>
        <w:spacing w:line="520" w:lineRule="exact"/>
        <w:ind w:firstLine="562" w:firstLineChars="200"/>
        <w:jc w:val="both"/>
        <w:rPr>
          <w:rFonts w:hint="eastAsia"/>
          <w:kern w:val="15"/>
          <w:sz w:val="28"/>
          <w:szCs w:val="28"/>
        </w:rPr>
      </w:pPr>
      <w:r>
        <w:rPr>
          <w:rFonts w:hint="eastAsia"/>
          <w:b/>
          <w:kern w:val="15"/>
          <w:sz w:val="28"/>
          <w:szCs w:val="28"/>
        </w:rPr>
        <w:t>估价对象：</w:t>
      </w:r>
      <w:r>
        <w:rPr>
          <w:rFonts w:hint="eastAsia"/>
          <w:kern w:val="15"/>
          <w:sz w:val="28"/>
          <w:szCs w:val="28"/>
        </w:rPr>
        <w:t>根据“象房权证丹城镇字第0130659号”《房屋所有权证》、“象国用（2004）第01-3174号”《国有土地使用证》及</w:t>
      </w:r>
      <w:r>
        <w:rPr>
          <w:kern w:val="15"/>
          <w:sz w:val="28"/>
          <w:szCs w:val="28"/>
        </w:rPr>
        <w:t>编号“D20211008-0002198”《</w:t>
      </w:r>
      <w:r>
        <w:rPr>
          <w:rFonts w:hint="eastAsia"/>
          <w:kern w:val="15"/>
          <w:sz w:val="28"/>
          <w:szCs w:val="28"/>
        </w:rPr>
        <w:t>象山县</w:t>
      </w:r>
      <w:r>
        <w:rPr>
          <w:kern w:val="15"/>
          <w:sz w:val="28"/>
          <w:szCs w:val="28"/>
        </w:rPr>
        <w:t>不动产登记情况证明》</w:t>
      </w:r>
      <w:r>
        <w:rPr>
          <w:rFonts w:hint="eastAsia"/>
          <w:kern w:val="15"/>
          <w:sz w:val="28"/>
          <w:szCs w:val="28"/>
        </w:rPr>
        <w:t>记载：权利人为</w:t>
      </w:r>
      <w:r>
        <w:rPr>
          <w:rFonts w:hint="eastAsia"/>
          <w:kern w:val="15"/>
          <w:sz w:val="28"/>
          <w:szCs w:val="28"/>
          <w:lang w:val="en-US" w:eastAsia="zh-CN"/>
        </w:rPr>
        <w:t>***</w:t>
      </w:r>
      <w:r>
        <w:rPr>
          <w:rFonts w:hint="eastAsia"/>
          <w:kern w:val="15"/>
          <w:sz w:val="28"/>
          <w:szCs w:val="28"/>
        </w:rPr>
        <w:t>，房屋坐落为宁波市象山县丹西街道锦河苑3号楼305室,建筑面积为114.62㎡（其中公用共有</w:t>
      </w:r>
      <w:r>
        <w:rPr>
          <w:kern w:val="15"/>
          <w:sz w:val="28"/>
          <w:szCs w:val="28"/>
        </w:rPr>
        <w:t>部位占</w:t>
      </w:r>
      <w:r>
        <w:rPr>
          <w:rFonts w:hint="eastAsia"/>
          <w:kern w:val="15"/>
          <w:sz w:val="28"/>
          <w:szCs w:val="28"/>
        </w:rPr>
        <w:t>11.23㎡），</w:t>
      </w:r>
      <w:r>
        <w:rPr>
          <w:rFonts w:hint="eastAsia"/>
          <w:kern w:val="15"/>
          <w:sz w:val="28"/>
          <w:szCs w:val="28"/>
          <w:lang w:eastAsia="zh-CN"/>
        </w:rPr>
        <w:t>混合结构，</w:t>
      </w:r>
      <w:r>
        <w:rPr>
          <w:rFonts w:hint="eastAsia"/>
          <w:kern w:val="15"/>
          <w:sz w:val="28"/>
          <w:szCs w:val="28"/>
        </w:rPr>
        <w:t>房屋总层数6层，规划用途为住宅；土地用途为住宅，使用权类型为出让，土地使用权面积(分摊)39.4平方米，土地使用权终止日期为2067年06月16日。估价</w:t>
      </w:r>
      <w:r>
        <w:rPr>
          <w:kern w:val="15"/>
          <w:sz w:val="28"/>
          <w:szCs w:val="28"/>
        </w:rPr>
        <w:t>对象</w:t>
      </w:r>
      <w:r>
        <w:rPr>
          <w:rFonts w:hint="eastAsia"/>
          <w:kern w:val="15"/>
          <w:sz w:val="28"/>
          <w:szCs w:val="28"/>
        </w:rPr>
        <w:t>有</w:t>
      </w:r>
      <w:r>
        <w:rPr>
          <w:kern w:val="15"/>
          <w:sz w:val="28"/>
          <w:szCs w:val="28"/>
        </w:rPr>
        <w:t>查封</w:t>
      </w:r>
      <w:r>
        <w:rPr>
          <w:rFonts w:hint="eastAsia"/>
          <w:kern w:val="15"/>
          <w:sz w:val="28"/>
          <w:szCs w:val="28"/>
        </w:rPr>
        <w:t>、</w:t>
      </w:r>
      <w:r>
        <w:rPr>
          <w:kern w:val="15"/>
          <w:sz w:val="28"/>
          <w:szCs w:val="28"/>
        </w:rPr>
        <w:t>有抵押。</w:t>
      </w:r>
    </w:p>
    <w:p>
      <w:pPr>
        <w:widowControl w:val="0"/>
        <w:spacing w:line="520" w:lineRule="exact"/>
        <w:ind w:firstLine="560" w:firstLineChars="200"/>
        <w:jc w:val="both"/>
        <w:rPr>
          <w:kern w:val="15"/>
          <w:sz w:val="28"/>
          <w:szCs w:val="28"/>
        </w:rPr>
      </w:pPr>
      <w:r>
        <w:rPr>
          <w:rFonts w:hint="eastAsia"/>
          <w:kern w:val="15"/>
          <w:sz w:val="28"/>
          <w:szCs w:val="28"/>
        </w:rPr>
        <w:t>经</w:t>
      </w:r>
      <w:r>
        <w:rPr>
          <w:kern w:val="15"/>
          <w:sz w:val="28"/>
          <w:szCs w:val="28"/>
        </w:rPr>
        <w:t>现场查勘，</w:t>
      </w:r>
      <w:r>
        <w:rPr>
          <w:rFonts w:hint="eastAsia"/>
          <w:kern w:val="15"/>
          <w:sz w:val="28"/>
          <w:szCs w:val="28"/>
        </w:rPr>
        <w:t>小区无物业管理。本次估价结果不考虑估价对象抵押权等权益状况限制，包含室内固定装修的价值，不包含室内动产的价值。</w:t>
      </w:r>
    </w:p>
    <w:p>
      <w:pPr>
        <w:widowControl w:val="0"/>
        <w:spacing w:line="520" w:lineRule="exact"/>
        <w:ind w:firstLine="560" w:firstLineChars="200"/>
        <w:jc w:val="both"/>
        <w:rPr>
          <w:rFonts w:hint="eastAsia"/>
          <w:kern w:val="15"/>
          <w:sz w:val="28"/>
          <w:szCs w:val="28"/>
        </w:rPr>
      </w:pPr>
      <w:r>
        <w:rPr>
          <w:rFonts w:hint="eastAsia"/>
          <w:kern w:val="15"/>
          <w:sz w:val="28"/>
          <w:szCs w:val="28"/>
        </w:rPr>
        <w:t>经估价人员现场查勘，估价对象为宁波市象山县丹西街道锦河苑3号楼305室的住宅房地产，所在</w:t>
      </w:r>
      <w:r>
        <w:rPr>
          <w:kern w:val="15"/>
          <w:sz w:val="28"/>
          <w:szCs w:val="28"/>
        </w:rPr>
        <w:t>地块</w:t>
      </w:r>
      <w:r>
        <w:rPr>
          <w:rFonts w:hint="eastAsia"/>
          <w:kern w:val="15"/>
          <w:sz w:val="28"/>
          <w:szCs w:val="28"/>
        </w:rPr>
        <w:t>东近天安路，南邻金都花苑，西近顺达路，北临锦河路。所在小区无物业管理，整体维护状况一般，所在建筑物南北朝向，外墙涂料，混合结构，共6层，北侧底层为临街店铺，南侧底层为车库</w:t>
      </w:r>
      <w:r>
        <w:rPr>
          <w:rFonts w:hint="eastAsia"/>
          <w:kern w:val="15"/>
          <w:sz w:val="28"/>
          <w:szCs w:val="28"/>
          <w:lang w:eastAsia="zh-CN"/>
        </w:rPr>
        <w:t>及夹层，</w:t>
      </w:r>
      <w:r>
        <w:rPr>
          <w:rFonts w:hint="eastAsia"/>
          <w:kern w:val="15"/>
          <w:sz w:val="28"/>
          <w:szCs w:val="28"/>
        </w:rPr>
        <w:t>估价对象位于第3层中间套，所在单元设电子防盗门禁出入，室内已装修，布局为三室两厅一卫一厨房两阳台，目前处于使用状态。</w:t>
      </w:r>
    </w:p>
    <w:p>
      <w:pPr>
        <w:widowControl w:val="0"/>
        <w:spacing w:line="520" w:lineRule="exact"/>
        <w:ind w:firstLine="562" w:firstLineChars="200"/>
        <w:jc w:val="both"/>
        <w:rPr>
          <w:b/>
          <w:bCs/>
          <w:kern w:val="15"/>
          <w:sz w:val="28"/>
          <w:szCs w:val="28"/>
        </w:rPr>
      </w:pPr>
      <w:r>
        <w:rPr>
          <w:rFonts w:hint="eastAsia"/>
          <w:b/>
          <w:color w:val="000000"/>
          <w:kern w:val="15"/>
          <w:sz w:val="28"/>
          <w:szCs w:val="28"/>
        </w:rPr>
        <w:t>价值时点</w:t>
      </w:r>
      <w:r>
        <w:rPr>
          <w:rFonts w:hint="eastAsia"/>
          <w:b/>
          <w:bCs/>
          <w:color w:val="000000"/>
          <w:kern w:val="15"/>
          <w:sz w:val="28"/>
          <w:szCs w:val="28"/>
        </w:rPr>
        <w:t>：</w:t>
      </w:r>
      <w:r>
        <w:rPr>
          <w:rFonts w:hint="eastAsia"/>
          <w:sz w:val="28"/>
          <w:szCs w:val="28"/>
        </w:rPr>
        <w:t>为实地查勘日2021年12月31日 。</w:t>
      </w:r>
    </w:p>
    <w:p>
      <w:pPr>
        <w:widowControl w:val="0"/>
        <w:spacing w:line="520" w:lineRule="exact"/>
        <w:ind w:firstLine="562" w:firstLineChars="200"/>
        <w:jc w:val="both"/>
        <w:rPr>
          <w:bCs/>
          <w:color w:val="000000"/>
          <w:kern w:val="15"/>
          <w:sz w:val="28"/>
          <w:szCs w:val="28"/>
        </w:rPr>
      </w:pPr>
      <w:r>
        <w:rPr>
          <w:rFonts w:hint="eastAsia"/>
          <w:b/>
          <w:kern w:val="15"/>
          <w:sz w:val="28"/>
          <w:szCs w:val="28"/>
        </w:rPr>
        <w:t>价值类型</w:t>
      </w:r>
      <w:r>
        <w:rPr>
          <w:rFonts w:hint="eastAsia"/>
          <w:bCs/>
          <w:kern w:val="15"/>
          <w:sz w:val="28"/>
          <w:szCs w:val="28"/>
        </w:rPr>
        <w:t>：</w:t>
      </w:r>
      <w:r>
        <w:rPr>
          <w:rFonts w:hint="eastAsia"/>
          <w:bCs/>
          <w:color w:val="000000"/>
          <w:kern w:val="15"/>
          <w:sz w:val="28"/>
          <w:szCs w:val="28"/>
        </w:rPr>
        <w:t>为公开的市场价值。</w:t>
      </w:r>
    </w:p>
    <w:p>
      <w:pPr>
        <w:widowControl w:val="0"/>
        <w:spacing w:line="520" w:lineRule="exact"/>
        <w:ind w:firstLine="562" w:firstLineChars="200"/>
        <w:jc w:val="both"/>
        <w:rPr>
          <w:bCs/>
          <w:color w:val="000000"/>
          <w:kern w:val="15"/>
          <w:sz w:val="28"/>
          <w:szCs w:val="28"/>
        </w:rPr>
      </w:pPr>
      <w:r>
        <w:rPr>
          <w:rFonts w:hint="eastAsia"/>
          <w:b/>
          <w:color w:val="000000"/>
          <w:kern w:val="15"/>
          <w:sz w:val="28"/>
          <w:szCs w:val="28"/>
        </w:rPr>
        <w:t>估价方法</w:t>
      </w:r>
      <w:r>
        <w:rPr>
          <w:rFonts w:hint="eastAsia"/>
          <w:bCs/>
          <w:color w:val="000000"/>
          <w:kern w:val="15"/>
          <w:sz w:val="28"/>
          <w:szCs w:val="28"/>
        </w:rPr>
        <w:t>：</w:t>
      </w:r>
      <w:r>
        <w:rPr>
          <w:rFonts w:hint="eastAsia"/>
          <w:bCs/>
          <w:kern w:val="15"/>
          <w:sz w:val="28"/>
          <w:szCs w:val="28"/>
        </w:rPr>
        <w:t>采用比较法。</w:t>
      </w:r>
    </w:p>
    <w:p>
      <w:pPr>
        <w:widowControl w:val="0"/>
        <w:spacing w:line="520" w:lineRule="exact"/>
        <w:ind w:firstLine="562" w:firstLineChars="200"/>
        <w:jc w:val="both"/>
        <w:rPr>
          <w:sz w:val="28"/>
          <w:szCs w:val="28"/>
        </w:rPr>
      </w:pPr>
      <w:r>
        <w:rPr>
          <w:rFonts w:hint="eastAsia"/>
          <w:b/>
          <w:kern w:val="15"/>
          <w:sz w:val="28"/>
          <w:szCs w:val="28"/>
        </w:rPr>
        <w:t>估价结果</w:t>
      </w:r>
      <w:r>
        <w:rPr>
          <w:rFonts w:hint="eastAsia"/>
          <w:bCs/>
          <w:kern w:val="15"/>
          <w:sz w:val="28"/>
          <w:szCs w:val="28"/>
        </w:rPr>
        <w:t>：</w:t>
      </w:r>
      <w:r>
        <w:rPr>
          <w:rFonts w:hint="eastAsia"/>
          <w:sz w:val="28"/>
          <w:szCs w:val="28"/>
        </w:rPr>
        <w:t>估价人员经实地查勘和市场调查，根据国家、地方有关法律、法规和规范标准，遵循估价原则，依据估价目的，按照估价程序，采用科学方法，对现有估价资料及数据进行综合分析，确定估价对象在市场上有足够的买方和卖方，并且进入市场无障碍的条件下，于价值时点2021年12月31日的市场价值为人民币人民币14</w:t>
      </w:r>
      <w:r>
        <w:rPr>
          <w:rFonts w:hint="eastAsia"/>
          <w:sz w:val="28"/>
          <w:szCs w:val="28"/>
          <w:lang w:val="en-US" w:eastAsia="zh-CN"/>
        </w:rPr>
        <w:t>5.3</w:t>
      </w:r>
      <w:r>
        <w:rPr>
          <w:rFonts w:hint="eastAsia"/>
          <w:sz w:val="28"/>
          <w:szCs w:val="28"/>
        </w:rPr>
        <w:t>万元，大写人民币</w:t>
      </w:r>
      <w:r>
        <w:rPr>
          <w:rFonts w:hint="eastAsia"/>
          <w:sz w:val="28"/>
          <w:szCs w:val="28"/>
          <w:lang w:eastAsia="zh-CN"/>
        </w:rPr>
        <w:t>壹佰肆拾伍万叁仟</w:t>
      </w:r>
      <w:r>
        <w:rPr>
          <w:rFonts w:hint="eastAsia"/>
          <w:sz w:val="28"/>
          <w:szCs w:val="28"/>
        </w:rPr>
        <w:t>元整，单价为人民币</w:t>
      </w:r>
      <w:r>
        <w:rPr>
          <w:rFonts w:hint="eastAsia"/>
          <w:sz w:val="28"/>
          <w:szCs w:val="28"/>
          <w:lang w:val="en-US" w:eastAsia="zh-CN"/>
        </w:rPr>
        <w:t>12677</w:t>
      </w:r>
      <w:r>
        <w:rPr>
          <w:rFonts w:hint="eastAsia"/>
          <w:sz w:val="28"/>
          <w:szCs w:val="28"/>
        </w:rPr>
        <w:t>元/平方米。</w:t>
      </w:r>
    </w:p>
    <w:p>
      <w:pPr>
        <w:widowControl w:val="0"/>
        <w:spacing w:line="520" w:lineRule="exact"/>
        <w:jc w:val="both"/>
        <w:rPr>
          <w:sz w:val="28"/>
          <w:szCs w:val="28"/>
        </w:rPr>
      </w:pPr>
      <w:r>
        <w:rPr>
          <w:rFonts w:hint="eastAsia"/>
          <w:sz w:val="28"/>
          <w:szCs w:val="28"/>
        </w:rPr>
        <w:t xml:space="preserve">    白坯房地产价值：大写人民币</w:t>
      </w:r>
      <w:r>
        <w:rPr>
          <w:rFonts w:hint="eastAsia"/>
          <w:sz w:val="28"/>
          <w:szCs w:val="28"/>
          <w:lang w:eastAsia="zh-CN"/>
        </w:rPr>
        <w:t>壹佰叁拾伍万陆仟</w:t>
      </w:r>
      <w:r>
        <w:rPr>
          <w:rFonts w:hint="eastAsia"/>
          <w:sz w:val="28"/>
          <w:szCs w:val="28"/>
        </w:rPr>
        <w:t>元整（￥</w:t>
      </w:r>
      <w:r>
        <w:rPr>
          <w:rFonts w:hint="eastAsia"/>
          <w:sz w:val="28"/>
          <w:szCs w:val="28"/>
          <w:lang w:val="en-US" w:eastAsia="zh-CN"/>
        </w:rPr>
        <w:t>135.6</w:t>
      </w:r>
      <w:r>
        <w:rPr>
          <w:rFonts w:hint="eastAsia"/>
          <w:sz w:val="28"/>
          <w:szCs w:val="28"/>
        </w:rPr>
        <w:t>万元）；</w:t>
      </w:r>
    </w:p>
    <w:p>
      <w:pPr>
        <w:widowControl w:val="0"/>
        <w:spacing w:line="520" w:lineRule="exact"/>
        <w:jc w:val="both"/>
        <w:rPr>
          <w:rFonts w:hint="eastAsia"/>
          <w:sz w:val="28"/>
          <w:szCs w:val="28"/>
        </w:rPr>
      </w:pPr>
      <w:r>
        <w:rPr>
          <w:rFonts w:hint="eastAsia"/>
          <w:sz w:val="28"/>
          <w:szCs w:val="28"/>
        </w:rPr>
        <w:t xml:space="preserve">    室内固定装修价值:大写人民币玖万柒仟元整（￥</w:t>
      </w:r>
      <w:r>
        <w:rPr>
          <w:sz w:val="28"/>
          <w:szCs w:val="28"/>
        </w:rPr>
        <w:t>9.7</w:t>
      </w:r>
      <w:r>
        <w:rPr>
          <w:rFonts w:hint="eastAsia"/>
          <w:sz w:val="28"/>
          <w:szCs w:val="28"/>
        </w:rPr>
        <w:t>万元）。</w:t>
      </w:r>
    </w:p>
    <w:p>
      <w:pPr>
        <w:widowControl w:val="0"/>
        <w:spacing w:line="520" w:lineRule="exact"/>
        <w:ind w:firstLine="560" w:firstLineChars="200"/>
        <w:jc w:val="both"/>
        <w:rPr>
          <w:sz w:val="28"/>
          <w:szCs w:val="28"/>
        </w:rPr>
      </w:pPr>
      <w:r>
        <w:rPr>
          <w:rFonts w:hint="eastAsia"/>
          <w:sz w:val="28"/>
          <w:szCs w:val="28"/>
        </w:rPr>
        <w:t xml:space="preserve">          </w:t>
      </w:r>
    </w:p>
    <w:p>
      <w:pPr>
        <w:widowControl w:val="0"/>
        <w:adjustRightInd w:val="0"/>
        <w:snapToGrid w:val="0"/>
        <w:spacing w:line="520" w:lineRule="exact"/>
        <w:ind w:firstLine="560" w:firstLineChars="200"/>
        <w:rPr>
          <w:bCs/>
          <w:sz w:val="28"/>
          <w:szCs w:val="28"/>
        </w:rPr>
      </w:pPr>
      <w:r>
        <w:rPr>
          <w:bCs/>
          <w:sz w:val="28"/>
          <w:szCs w:val="28"/>
        </w:rPr>
        <w:t>特此函告</w:t>
      </w:r>
      <w:r>
        <w:rPr>
          <w:rFonts w:hint="eastAsia"/>
          <w:bCs/>
          <w:sz w:val="28"/>
          <w:szCs w:val="28"/>
        </w:rPr>
        <w:t>贵院</w:t>
      </w:r>
    </w:p>
    <w:p>
      <w:pPr>
        <w:widowControl w:val="0"/>
        <w:adjustRightInd w:val="0"/>
        <w:snapToGrid w:val="0"/>
        <w:spacing w:line="520" w:lineRule="exact"/>
        <w:ind w:firstLine="560" w:firstLineChars="200"/>
        <w:rPr>
          <w:bCs/>
          <w:sz w:val="28"/>
          <w:szCs w:val="28"/>
        </w:rPr>
      </w:pPr>
    </w:p>
    <w:p>
      <w:pPr>
        <w:widowControl w:val="0"/>
        <w:spacing w:line="520" w:lineRule="exact"/>
        <w:rPr>
          <w:rFonts w:ascii="仿宋" w:hAnsi="仿宋" w:eastAsia="仿宋"/>
          <w:b/>
        </w:rPr>
      </w:pPr>
      <w:r>
        <w:rPr>
          <w:rFonts w:hint="eastAsia" w:ascii="仿宋" w:hAnsi="仿宋" w:eastAsia="仿宋"/>
          <w:b/>
        </w:rPr>
        <w:t>特别提示：</w:t>
      </w:r>
    </w:p>
    <w:p>
      <w:pPr>
        <w:widowControl w:val="0"/>
        <w:spacing w:line="520" w:lineRule="exact"/>
        <w:rPr>
          <w:rFonts w:ascii="仿宋" w:hAnsi="仿宋" w:eastAsia="仿宋"/>
          <w:b/>
        </w:rPr>
      </w:pPr>
      <w:r>
        <w:rPr>
          <w:rFonts w:hint="eastAsia" w:ascii="仿宋" w:hAnsi="仿宋" w:eastAsia="仿宋"/>
          <w:b/>
        </w:rPr>
        <w:t>1.本估价报告应用的有效期自2022年01月1</w:t>
      </w:r>
      <w:r>
        <w:rPr>
          <w:rFonts w:ascii="仿宋" w:hAnsi="仿宋" w:eastAsia="仿宋"/>
          <w:b/>
        </w:rPr>
        <w:t>1</w:t>
      </w:r>
      <w:r>
        <w:rPr>
          <w:rFonts w:hint="eastAsia" w:ascii="仿宋" w:hAnsi="仿宋" w:eastAsia="仿宋"/>
          <w:b/>
        </w:rPr>
        <w:t>日至2023年1月</w:t>
      </w:r>
      <w:r>
        <w:rPr>
          <w:rFonts w:ascii="仿宋" w:hAnsi="仿宋" w:eastAsia="仿宋"/>
          <w:b/>
        </w:rPr>
        <w:t>10</w:t>
      </w:r>
      <w:r>
        <w:rPr>
          <w:rFonts w:hint="eastAsia" w:ascii="仿宋" w:hAnsi="仿宋" w:eastAsia="仿宋"/>
          <w:b/>
        </w:rPr>
        <w:t>日止。</w:t>
      </w:r>
    </w:p>
    <w:p>
      <w:pPr>
        <w:widowControl w:val="0"/>
        <w:spacing w:line="520" w:lineRule="exact"/>
        <w:rPr>
          <w:rFonts w:ascii="仿宋" w:hAnsi="仿宋" w:eastAsia="仿宋"/>
          <w:b/>
        </w:rPr>
      </w:pPr>
      <w:r>
        <w:rPr>
          <w:rFonts w:ascii="仿宋" w:hAnsi="仿宋" w:eastAsia="仿宋"/>
          <w:b/>
        </w:rPr>
        <w:t>2.估价结果未考虑估价对象抵押、担保、其他优先受偿权和查封的因素。</w:t>
      </w:r>
    </w:p>
    <w:p>
      <w:pPr>
        <w:widowControl w:val="0"/>
        <w:spacing w:line="520" w:lineRule="exact"/>
        <w:rPr>
          <w:rFonts w:ascii="仿宋" w:hAnsi="仿宋" w:eastAsia="仿宋"/>
          <w:b/>
        </w:rPr>
      </w:pPr>
      <w:r>
        <w:rPr>
          <w:rFonts w:ascii="仿宋" w:hAnsi="仿宋" w:eastAsia="仿宋"/>
          <w:b/>
        </w:rPr>
        <w:t>3.估价结果未考虑可能拖欠</w:t>
      </w:r>
      <w:r>
        <w:rPr>
          <w:rFonts w:hint="eastAsia" w:ascii="仿宋" w:hAnsi="仿宋" w:eastAsia="仿宋"/>
          <w:b/>
        </w:rPr>
        <w:t>的</w:t>
      </w:r>
      <w:r>
        <w:rPr>
          <w:rFonts w:ascii="仿宋" w:hAnsi="仿宋" w:eastAsia="仿宋"/>
          <w:b/>
        </w:rPr>
        <w:t xml:space="preserve">水电费以及拍卖过程发生的处置费用和税金。  </w:t>
      </w:r>
    </w:p>
    <w:p>
      <w:pPr>
        <w:widowControl w:val="0"/>
        <w:spacing w:line="520" w:lineRule="exact"/>
        <w:rPr>
          <w:b/>
          <w:szCs w:val="21"/>
        </w:rPr>
      </w:pPr>
      <w:r>
        <w:rPr>
          <w:rFonts w:ascii="仿宋" w:hAnsi="仿宋" w:eastAsia="仿宋"/>
          <w:b/>
        </w:rPr>
        <w:t>4.报告使用人须仔细阅读本估价报告全文。</w:t>
      </w:r>
    </w:p>
    <w:p>
      <w:pPr>
        <w:widowControl w:val="0"/>
        <w:spacing w:line="440" w:lineRule="exact"/>
        <w:jc w:val="right"/>
        <w:rPr>
          <w:bCs/>
          <w:sz w:val="28"/>
          <w:szCs w:val="28"/>
        </w:rPr>
      </w:pPr>
    </w:p>
    <w:p>
      <w:pPr>
        <w:widowControl w:val="0"/>
        <w:spacing w:line="440" w:lineRule="exact"/>
        <w:jc w:val="right"/>
        <w:rPr>
          <w:bCs/>
          <w:color w:val="000000"/>
          <w:sz w:val="28"/>
          <w:szCs w:val="28"/>
        </w:rPr>
      </w:pPr>
      <w:r>
        <w:rPr>
          <w:rFonts w:hint="eastAsia"/>
          <w:bCs/>
          <w:color w:val="000000"/>
          <w:sz w:val="28"/>
          <w:szCs w:val="28"/>
        </w:rPr>
        <w:t>宁波仲恒房地产估价有限公司</w:t>
      </w:r>
    </w:p>
    <w:p>
      <w:pPr>
        <w:widowControl w:val="0"/>
        <w:wordWrap w:val="0"/>
        <w:spacing w:line="440" w:lineRule="exact"/>
        <w:jc w:val="right"/>
        <w:rPr>
          <w:bCs/>
          <w:color w:val="000000"/>
          <w:sz w:val="28"/>
          <w:szCs w:val="28"/>
        </w:rPr>
      </w:pPr>
      <w:r>
        <w:rPr>
          <w:rFonts w:hint="eastAsia"/>
          <w:bCs/>
          <w:color w:val="000000"/>
          <w:sz w:val="28"/>
          <w:szCs w:val="28"/>
        </w:rPr>
        <w:t>法定代表人：</w:t>
      </w:r>
      <w:r>
        <w:rPr>
          <w:rFonts w:hint="eastAsia"/>
          <w:bCs/>
          <w:color w:val="000000"/>
          <w:sz w:val="28"/>
          <w:szCs w:val="28"/>
          <w:lang w:val="en-US" w:eastAsia="zh-CN"/>
        </w:rPr>
        <w:t>***</w:t>
      </w:r>
      <w:r>
        <w:rPr>
          <w:rFonts w:hint="eastAsia"/>
          <w:bCs/>
          <w:color w:val="000000"/>
          <w:sz w:val="28"/>
          <w:szCs w:val="28"/>
        </w:rPr>
        <w:t xml:space="preserve">    </w:t>
      </w:r>
    </w:p>
    <w:p>
      <w:pPr>
        <w:widowControl w:val="0"/>
        <w:wordWrap w:val="0"/>
        <w:spacing w:line="440" w:lineRule="exact"/>
        <w:ind w:right="280"/>
        <w:jc w:val="right"/>
        <w:rPr>
          <w:rFonts w:hint="eastAsia" w:eastAsia="宋体"/>
          <w:bCs/>
          <w:sz w:val="28"/>
          <w:szCs w:val="28"/>
          <w:lang w:val="en-US" w:eastAsia="zh-CN"/>
        </w:rPr>
        <w:sectPr>
          <w:headerReference r:id="rId6" w:type="default"/>
          <w:footerReference r:id="rId7" w:type="default"/>
          <w:pgSz w:w="11907" w:h="16840"/>
          <w:pgMar w:top="1247" w:right="1474" w:bottom="1247" w:left="1758" w:header="850" w:footer="964" w:gutter="0"/>
          <w:cols w:space="720" w:num="1"/>
          <w:docGrid w:type="lines" w:linePitch="326" w:charSpace="0"/>
        </w:sectPr>
      </w:pPr>
      <w:r>
        <w:rPr>
          <w:rFonts w:hint="eastAsia"/>
          <w:bCs/>
          <w:sz w:val="28"/>
          <w:szCs w:val="28"/>
        </w:rPr>
        <w:t>二〇二二年一月十一日</w:t>
      </w:r>
      <w:r>
        <w:rPr>
          <w:rFonts w:hint="eastAsia"/>
          <w:bCs/>
          <w:sz w:val="28"/>
          <w:szCs w:val="28"/>
          <w:lang w:val="en-US" w:eastAsia="zh-CN"/>
        </w:rPr>
        <w:t xml:space="preserve"> </w:t>
      </w:r>
    </w:p>
    <w:p>
      <w:pPr>
        <w:widowControl w:val="0"/>
        <w:spacing w:line="440" w:lineRule="exact"/>
        <w:ind w:right="560"/>
        <w:jc w:val="center"/>
        <w:rPr>
          <w:bCs/>
          <w:sz w:val="28"/>
          <w:szCs w:val="28"/>
        </w:rPr>
      </w:pPr>
      <w:r>
        <w:rPr>
          <w:rFonts w:hint="eastAsia" w:ascii="黑体" w:eastAsia="黑体"/>
          <w:sz w:val="44"/>
          <w:szCs w:val="44"/>
        </w:rPr>
        <w:t>目  录</w:t>
      </w:r>
    </w:p>
    <w:p>
      <w:pPr>
        <w:pStyle w:val="14"/>
        <w:tabs>
          <w:tab w:val="right" w:leader="dot" w:pos="8665"/>
        </w:tabs>
        <w:spacing w:line="500" w:lineRule="exact"/>
        <w:rPr>
          <w:rFonts w:cs="Times New Roman"/>
          <w:kern w:val="2"/>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"_Toc502309753" </w:instrText>
      </w:r>
      <w:r>
        <w:fldChar w:fldCharType="separate"/>
      </w:r>
      <w:r>
        <w:rPr>
          <w:rStyle w:val="21"/>
          <w:rFonts w:hint="eastAsia"/>
          <w:color w:val="auto"/>
          <w:sz w:val="28"/>
          <w:szCs w:val="28"/>
        </w:rPr>
        <w:t>致</w:t>
      </w:r>
      <w:r>
        <w:rPr>
          <w:rStyle w:val="21"/>
          <w:color w:val="auto"/>
          <w:sz w:val="28"/>
          <w:szCs w:val="28"/>
        </w:rPr>
        <w:t xml:space="preserve"> </w:t>
      </w:r>
      <w:r>
        <w:rPr>
          <w:rStyle w:val="21"/>
          <w:rFonts w:hint="eastAsia"/>
          <w:color w:val="auto"/>
          <w:sz w:val="28"/>
          <w:szCs w:val="28"/>
        </w:rPr>
        <w:t>估</w:t>
      </w:r>
      <w:r>
        <w:rPr>
          <w:rStyle w:val="21"/>
          <w:color w:val="auto"/>
          <w:sz w:val="28"/>
          <w:szCs w:val="28"/>
        </w:rPr>
        <w:t xml:space="preserve"> </w:t>
      </w:r>
      <w:r>
        <w:rPr>
          <w:rStyle w:val="21"/>
          <w:rFonts w:hint="eastAsia"/>
          <w:color w:val="auto"/>
          <w:sz w:val="28"/>
          <w:szCs w:val="28"/>
        </w:rPr>
        <w:t>价</w:t>
      </w:r>
      <w:r>
        <w:rPr>
          <w:rStyle w:val="21"/>
          <w:color w:val="auto"/>
          <w:sz w:val="28"/>
          <w:szCs w:val="28"/>
        </w:rPr>
        <w:t xml:space="preserve"> </w:t>
      </w:r>
      <w:r>
        <w:rPr>
          <w:rStyle w:val="21"/>
          <w:rFonts w:hint="eastAsia"/>
          <w:color w:val="auto"/>
          <w:sz w:val="28"/>
          <w:szCs w:val="28"/>
        </w:rPr>
        <w:t>委</w:t>
      </w:r>
      <w:r>
        <w:rPr>
          <w:rStyle w:val="21"/>
          <w:color w:val="auto"/>
          <w:sz w:val="28"/>
          <w:szCs w:val="28"/>
        </w:rPr>
        <w:t xml:space="preserve"> </w:t>
      </w:r>
      <w:r>
        <w:rPr>
          <w:rStyle w:val="21"/>
          <w:rFonts w:hint="eastAsia"/>
          <w:color w:val="auto"/>
          <w:sz w:val="28"/>
          <w:szCs w:val="28"/>
        </w:rPr>
        <w:t>托</w:t>
      </w:r>
      <w:r>
        <w:rPr>
          <w:rStyle w:val="21"/>
          <w:color w:val="auto"/>
          <w:sz w:val="28"/>
          <w:szCs w:val="28"/>
        </w:rPr>
        <w:t xml:space="preserve"> </w:t>
      </w:r>
      <w:r>
        <w:rPr>
          <w:rStyle w:val="21"/>
          <w:rFonts w:hint="eastAsia"/>
          <w:color w:val="auto"/>
          <w:sz w:val="28"/>
          <w:szCs w:val="28"/>
        </w:rPr>
        <w:t>人</w:t>
      </w:r>
      <w:r>
        <w:rPr>
          <w:rStyle w:val="21"/>
          <w:color w:val="auto"/>
          <w:sz w:val="28"/>
          <w:szCs w:val="28"/>
        </w:rPr>
        <w:t xml:space="preserve"> </w:t>
      </w:r>
      <w:r>
        <w:rPr>
          <w:rStyle w:val="21"/>
          <w:rFonts w:hint="eastAsia"/>
          <w:color w:val="auto"/>
          <w:sz w:val="28"/>
          <w:szCs w:val="28"/>
        </w:rPr>
        <w:t>函</w:t>
      </w:r>
      <w:r>
        <w:rPr>
          <w:sz w:val="28"/>
          <w:szCs w:val="28"/>
        </w:rPr>
        <w:tab/>
      </w:r>
      <w:r>
        <w:rPr>
          <w:sz w:val="28"/>
          <w:szCs w:val="28"/>
        </w:rPr>
        <w:fldChar w:fldCharType="begin"/>
      </w:r>
      <w:r>
        <w:rPr>
          <w:sz w:val="28"/>
          <w:szCs w:val="28"/>
        </w:rPr>
        <w:instrText xml:space="preserve"> PAGEREF _Toc502309753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665"/>
        </w:tabs>
        <w:spacing w:line="500" w:lineRule="exact"/>
        <w:rPr>
          <w:rFonts w:cs="Times New Roman"/>
          <w:kern w:val="2"/>
          <w:sz w:val="28"/>
          <w:szCs w:val="28"/>
        </w:rPr>
      </w:pPr>
      <w:r>
        <w:fldChar w:fldCharType="begin"/>
      </w:r>
      <w:r>
        <w:instrText xml:space="preserve"> HYPERLINK \l "_Toc502309754" </w:instrText>
      </w:r>
      <w:r>
        <w:fldChar w:fldCharType="separate"/>
      </w:r>
      <w:r>
        <w:rPr>
          <w:rStyle w:val="21"/>
          <w:rFonts w:hint="eastAsia"/>
          <w:color w:val="auto"/>
          <w:sz w:val="28"/>
          <w:szCs w:val="28"/>
        </w:rPr>
        <w:t>估</w:t>
      </w:r>
      <w:r>
        <w:rPr>
          <w:rStyle w:val="21"/>
          <w:color w:val="auto"/>
          <w:sz w:val="28"/>
          <w:szCs w:val="28"/>
        </w:rPr>
        <w:t xml:space="preserve"> </w:t>
      </w:r>
      <w:r>
        <w:rPr>
          <w:rStyle w:val="21"/>
          <w:rFonts w:hint="eastAsia"/>
          <w:color w:val="auto"/>
          <w:sz w:val="28"/>
          <w:szCs w:val="28"/>
        </w:rPr>
        <w:t>价</w:t>
      </w:r>
      <w:r>
        <w:rPr>
          <w:rStyle w:val="21"/>
          <w:color w:val="auto"/>
          <w:sz w:val="28"/>
          <w:szCs w:val="28"/>
        </w:rPr>
        <w:t xml:space="preserve"> </w:t>
      </w:r>
      <w:r>
        <w:rPr>
          <w:rStyle w:val="21"/>
          <w:rFonts w:hint="eastAsia"/>
          <w:color w:val="auto"/>
          <w:sz w:val="28"/>
          <w:szCs w:val="28"/>
        </w:rPr>
        <w:t>师</w:t>
      </w:r>
      <w:r>
        <w:rPr>
          <w:rStyle w:val="21"/>
          <w:color w:val="auto"/>
          <w:sz w:val="28"/>
          <w:szCs w:val="28"/>
        </w:rPr>
        <w:t xml:space="preserve"> </w:t>
      </w:r>
      <w:r>
        <w:rPr>
          <w:rStyle w:val="21"/>
          <w:rFonts w:hint="eastAsia"/>
          <w:color w:val="auto"/>
          <w:sz w:val="28"/>
          <w:szCs w:val="28"/>
        </w:rPr>
        <w:t>声</w:t>
      </w:r>
      <w:r>
        <w:rPr>
          <w:rStyle w:val="21"/>
          <w:color w:val="auto"/>
          <w:sz w:val="28"/>
          <w:szCs w:val="28"/>
        </w:rPr>
        <w:t xml:space="preserve"> </w:t>
      </w:r>
      <w:r>
        <w:rPr>
          <w:rStyle w:val="21"/>
          <w:rFonts w:hint="eastAsia"/>
          <w:color w:val="auto"/>
          <w:sz w:val="28"/>
          <w:szCs w:val="28"/>
        </w:rPr>
        <w:t>明</w:t>
      </w:r>
      <w:r>
        <w:rPr>
          <w:sz w:val="28"/>
          <w:szCs w:val="28"/>
        </w:rPr>
        <w:tab/>
      </w:r>
      <w:r>
        <w:rPr>
          <w:sz w:val="28"/>
          <w:szCs w:val="28"/>
        </w:rPr>
        <w:fldChar w:fldCharType="begin"/>
      </w:r>
      <w:r>
        <w:rPr>
          <w:sz w:val="28"/>
          <w:szCs w:val="28"/>
        </w:rPr>
        <w:instrText xml:space="preserve"> PAGEREF _Toc502309754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8665"/>
        </w:tabs>
        <w:spacing w:line="500" w:lineRule="exact"/>
        <w:rPr>
          <w:rFonts w:cs="Times New Roman"/>
          <w:kern w:val="2"/>
          <w:sz w:val="28"/>
          <w:szCs w:val="28"/>
        </w:rPr>
      </w:pPr>
      <w:r>
        <w:fldChar w:fldCharType="begin"/>
      </w:r>
      <w:r>
        <w:instrText xml:space="preserve"> HYPERLINK \l "_Toc502309755" </w:instrText>
      </w:r>
      <w:r>
        <w:fldChar w:fldCharType="separate"/>
      </w:r>
      <w:r>
        <w:rPr>
          <w:rStyle w:val="21"/>
          <w:rFonts w:hint="eastAsia"/>
          <w:color w:val="auto"/>
          <w:sz w:val="28"/>
          <w:szCs w:val="28"/>
        </w:rPr>
        <w:t>估价的假设和限制条件</w:t>
      </w:r>
      <w:r>
        <w:rPr>
          <w:sz w:val="28"/>
          <w:szCs w:val="28"/>
        </w:rPr>
        <w:tab/>
      </w:r>
      <w:r>
        <w:rPr>
          <w:sz w:val="28"/>
          <w:szCs w:val="28"/>
        </w:rPr>
        <w:fldChar w:fldCharType="begin"/>
      </w:r>
      <w:r>
        <w:rPr>
          <w:sz w:val="28"/>
          <w:szCs w:val="28"/>
        </w:rPr>
        <w:instrText xml:space="preserve"> PAGEREF _Toc502309755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4"/>
        <w:tabs>
          <w:tab w:val="right" w:leader="dot" w:pos="8665"/>
        </w:tabs>
        <w:spacing w:line="500" w:lineRule="exact"/>
        <w:rPr>
          <w:rFonts w:cs="Times New Roman"/>
          <w:kern w:val="2"/>
          <w:sz w:val="28"/>
          <w:szCs w:val="28"/>
        </w:rPr>
      </w:pPr>
      <w:r>
        <w:fldChar w:fldCharType="begin"/>
      </w:r>
      <w:r>
        <w:instrText xml:space="preserve"> HYPERLINK \l "_Toc502309756" </w:instrText>
      </w:r>
      <w:r>
        <w:fldChar w:fldCharType="separate"/>
      </w:r>
      <w:r>
        <w:rPr>
          <w:rStyle w:val="21"/>
          <w:rFonts w:hint="eastAsia"/>
          <w:color w:val="auto"/>
          <w:sz w:val="28"/>
          <w:szCs w:val="28"/>
        </w:rPr>
        <w:t>房地产估价结果报告</w:t>
      </w:r>
      <w:r>
        <w:rPr>
          <w:sz w:val="28"/>
          <w:szCs w:val="28"/>
        </w:rPr>
        <w:tab/>
      </w:r>
      <w:r>
        <w:rPr>
          <w:sz w:val="28"/>
          <w:szCs w:val="28"/>
        </w:rPr>
        <w:fldChar w:fldCharType="begin"/>
      </w:r>
      <w:r>
        <w:rPr>
          <w:sz w:val="28"/>
          <w:szCs w:val="28"/>
        </w:rPr>
        <w:instrText xml:space="preserve"> PAGEREF _Toc502309756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"_Toc502309757" </w:instrText>
      </w:r>
      <w:r>
        <w:fldChar w:fldCharType="separate"/>
      </w:r>
      <w:r>
        <w:rPr>
          <w:rStyle w:val="21"/>
          <w:rFonts w:hint="eastAsia"/>
          <w:bCs/>
          <w:color w:val="auto"/>
          <w:sz w:val="28"/>
          <w:szCs w:val="28"/>
        </w:rPr>
        <w:t>一、估价委托人</w:t>
      </w:r>
      <w:r>
        <w:rPr>
          <w:sz w:val="28"/>
          <w:szCs w:val="28"/>
        </w:rPr>
        <w:tab/>
      </w:r>
      <w:r>
        <w:rPr>
          <w:sz w:val="28"/>
          <w:szCs w:val="28"/>
        </w:rPr>
        <w:fldChar w:fldCharType="begin"/>
      </w:r>
      <w:r>
        <w:rPr>
          <w:sz w:val="28"/>
          <w:szCs w:val="28"/>
        </w:rPr>
        <w:instrText xml:space="preserve"> PAGEREF _Toc502309757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"_Toc502309758" </w:instrText>
      </w:r>
      <w:r>
        <w:fldChar w:fldCharType="separate"/>
      </w:r>
      <w:r>
        <w:rPr>
          <w:rStyle w:val="21"/>
          <w:rFonts w:hint="eastAsia"/>
          <w:color w:val="auto"/>
          <w:sz w:val="28"/>
          <w:szCs w:val="28"/>
        </w:rPr>
        <w:t>二、房地产</w:t>
      </w:r>
      <w:r>
        <w:rPr>
          <w:rStyle w:val="21"/>
          <w:rFonts w:hint="eastAsia"/>
          <w:bCs/>
          <w:color w:val="auto"/>
          <w:sz w:val="28"/>
          <w:szCs w:val="28"/>
        </w:rPr>
        <w:t>估价机构</w:t>
      </w:r>
      <w:r>
        <w:rPr>
          <w:sz w:val="28"/>
          <w:szCs w:val="28"/>
        </w:rPr>
        <w:tab/>
      </w:r>
      <w:r>
        <w:rPr>
          <w:sz w:val="28"/>
          <w:szCs w:val="28"/>
        </w:rPr>
        <w:fldChar w:fldCharType="begin"/>
      </w:r>
      <w:r>
        <w:rPr>
          <w:sz w:val="28"/>
          <w:szCs w:val="28"/>
        </w:rPr>
        <w:instrText xml:space="preserve"> PAGEREF _Toc502309758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"_Toc502309759" </w:instrText>
      </w:r>
      <w:r>
        <w:fldChar w:fldCharType="separate"/>
      </w:r>
      <w:r>
        <w:rPr>
          <w:rStyle w:val="21"/>
          <w:rFonts w:hint="eastAsia"/>
          <w:bCs/>
          <w:color w:val="auto"/>
          <w:sz w:val="28"/>
          <w:szCs w:val="28"/>
        </w:rPr>
        <w:t>三、</w:t>
      </w:r>
      <w:r>
        <w:rPr>
          <w:rStyle w:val="21"/>
          <w:rFonts w:hint="eastAsia"/>
          <w:color w:val="auto"/>
          <w:sz w:val="28"/>
          <w:szCs w:val="28"/>
        </w:rPr>
        <w:t>估价目的</w:t>
      </w:r>
      <w:r>
        <w:rPr>
          <w:sz w:val="28"/>
          <w:szCs w:val="28"/>
        </w:rPr>
        <w:tab/>
      </w:r>
      <w:r>
        <w:rPr>
          <w:sz w:val="28"/>
          <w:szCs w:val="28"/>
        </w:rPr>
        <w:fldChar w:fldCharType="begin"/>
      </w:r>
      <w:r>
        <w:rPr>
          <w:sz w:val="28"/>
          <w:szCs w:val="28"/>
        </w:rPr>
        <w:instrText xml:space="preserve"> PAGEREF _Toc502309759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"_Toc502309760" </w:instrText>
      </w:r>
      <w:r>
        <w:fldChar w:fldCharType="separate"/>
      </w:r>
      <w:r>
        <w:rPr>
          <w:rStyle w:val="21"/>
          <w:rFonts w:hint="eastAsia"/>
          <w:color w:val="auto"/>
          <w:sz w:val="28"/>
          <w:szCs w:val="28"/>
        </w:rPr>
        <w:t>四、</w:t>
      </w:r>
      <w:r>
        <w:rPr>
          <w:rStyle w:val="21"/>
          <w:rFonts w:hint="eastAsia"/>
          <w:bCs/>
          <w:color w:val="auto"/>
          <w:sz w:val="28"/>
          <w:szCs w:val="28"/>
        </w:rPr>
        <w:t>估价对象</w:t>
      </w:r>
      <w:r>
        <w:rPr>
          <w:sz w:val="28"/>
          <w:szCs w:val="28"/>
        </w:rPr>
        <w:tab/>
      </w:r>
      <w:r>
        <w:rPr>
          <w:sz w:val="28"/>
          <w:szCs w:val="28"/>
        </w:rPr>
        <w:fldChar w:fldCharType="begin"/>
      </w:r>
      <w:r>
        <w:rPr>
          <w:sz w:val="28"/>
          <w:szCs w:val="28"/>
        </w:rPr>
        <w:instrText xml:space="preserve"> PAGEREF _Toc502309760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"_Toc502309761" </w:instrText>
      </w:r>
      <w:r>
        <w:fldChar w:fldCharType="separate"/>
      </w:r>
      <w:r>
        <w:rPr>
          <w:rStyle w:val="21"/>
          <w:rFonts w:hint="eastAsia"/>
          <w:color w:val="auto"/>
          <w:sz w:val="28"/>
          <w:szCs w:val="28"/>
        </w:rPr>
        <w:t>五、价值时点</w:t>
      </w:r>
      <w:r>
        <w:rPr>
          <w:sz w:val="28"/>
          <w:szCs w:val="28"/>
        </w:rPr>
        <w:tab/>
      </w:r>
      <w:r>
        <w:rPr>
          <w:sz w:val="28"/>
          <w:szCs w:val="28"/>
        </w:rPr>
        <w:fldChar w:fldCharType="begin"/>
      </w:r>
      <w:r>
        <w:rPr>
          <w:sz w:val="28"/>
          <w:szCs w:val="28"/>
        </w:rPr>
        <w:instrText xml:space="preserve"> PAGEREF _Toc502309761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"_Toc502309762" </w:instrText>
      </w:r>
      <w:r>
        <w:fldChar w:fldCharType="separate"/>
      </w:r>
      <w:r>
        <w:rPr>
          <w:rStyle w:val="21"/>
          <w:rFonts w:hint="eastAsia"/>
          <w:color w:val="auto"/>
          <w:sz w:val="28"/>
          <w:szCs w:val="28"/>
        </w:rPr>
        <w:t>六、价值类型</w:t>
      </w:r>
      <w:r>
        <w:rPr>
          <w:sz w:val="28"/>
          <w:szCs w:val="28"/>
        </w:rPr>
        <w:tab/>
      </w:r>
      <w:r>
        <w:rPr>
          <w:sz w:val="28"/>
          <w:szCs w:val="28"/>
        </w:rPr>
        <w:fldChar w:fldCharType="begin"/>
      </w:r>
      <w:r>
        <w:rPr>
          <w:sz w:val="28"/>
          <w:szCs w:val="28"/>
        </w:rPr>
        <w:instrText xml:space="preserve"> PAGEREF _Toc502309762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"_Toc502309763" </w:instrText>
      </w:r>
      <w:r>
        <w:fldChar w:fldCharType="separate"/>
      </w:r>
      <w:r>
        <w:rPr>
          <w:rStyle w:val="21"/>
          <w:rFonts w:hint="eastAsia"/>
          <w:color w:val="auto"/>
          <w:sz w:val="28"/>
          <w:szCs w:val="28"/>
        </w:rPr>
        <w:t>七、估价原则</w:t>
      </w:r>
      <w:r>
        <w:rPr>
          <w:sz w:val="28"/>
          <w:szCs w:val="28"/>
        </w:rPr>
        <w:tab/>
      </w:r>
      <w:r>
        <w:rPr>
          <w:sz w:val="28"/>
          <w:szCs w:val="28"/>
        </w:rPr>
        <w:fldChar w:fldCharType="begin"/>
      </w:r>
      <w:r>
        <w:rPr>
          <w:sz w:val="28"/>
          <w:szCs w:val="28"/>
        </w:rPr>
        <w:instrText xml:space="preserve"> PAGEREF _Toc502309763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"_Toc502309764" </w:instrText>
      </w:r>
      <w:r>
        <w:fldChar w:fldCharType="separate"/>
      </w:r>
      <w:r>
        <w:rPr>
          <w:rStyle w:val="21"/>
          <w:rFonts w:hint="eastAsia"/>
          <w:color w:val="auto"/>
          <w:sz w:val="28"/>
          <w:szCs w:val="28"/>
        </w:rPr>
        <w:t>八、估价依据</w:t>
      </w:r>
      <w:r>
        <w:rPr>
          <w:sz w:val="28"/>
          <w:szCs w:val="28"/>
        </w:rPr>
        <w:tab/>
      </w:r>
      <w:r>
        <w:rPr>
          <w:sz w:val="28"/>
          <w:szCs w:val="28"/>
        </w:rPr>
        <w:fldChar w:fldCharType="begin"/>
      </w:r>
      <w:r>
        <w:rPr>
          <w:sz w:val="28"/>
          <w:szCs w:val="28"/>
        </w:rPr>
        <w:instrText xml:space="preserve"> PAGEREF _Toc502309764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"_Toc502309765" </w:instrText>
      </w:r>
      <w:r>
        <w:fldChar w:fldCharType="separate"/>
      </w:r>
      <w:r>
        <w:rPr>
          <w:rStyle w:val="21"/>
          <w:rFonts w:hint="eastAsia"/>
          <w:color w:val="auto"/>
          <w:sz w:val="28"/>
          <w:szCs w:val="28"/>
        </w:rPr>
        <w:t>九、估价方法</w:t>
      </w:r>
      <w:r>
        <w:rPr>
          <w:sz w:val="28"/>
          <w:szCs w:val="28"/>
        </w:rPr>
        <w:tab/>
      </w:r>
      <w:r>
        <w:rPr>
          <w:sz w:val="28"/>
          <w:szCs w:val="28"/>
        </w:rPr>
        <w:fldChar w:fldCharType="begin"/>
      </w:r>
      <w:r>
        <w:rPr>
          <w:sz w:val="28"/>
          <w:szCs w:val="28"/>
        </w:rPr>
        <w:instrText xml:space="preserve"> PAGEREF _Toc502309765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"_Toc502309766" </w:instrText>
      </w:r>
      <w:r>
        <w:fldChar w:fldCharType="separate"/>
      </w:r>
      <w:r>
        <w:rPr>
          <w:rStyle w:val="21"/>
          <w:rFonts w:hint="eastAsia"/>
          <w:color w:val="auto"/>
          <w:sz w:val="28"/>
          <w:szCs w:val="28"/>
        </w:rPr>
        <w:t>十、估价结果</w:t>
      </w:r>
      <w:r>
        <w:rPr>
          <w:sz w:val="28"/>
          <w:szCs w:val="28"/>
        </w:rPr>
        <w:tab/>
      </w:r>
      <w:r>
        <w:rPr>
          <w:sz w:val="28"/>
          <w:szCs w:val="28"/>
        </w:rPr>
        <w:fldChar w:fldCharType="begin"/>
      </w:r>
      <w:r>
        <w:rPr>
          <w:sz w:val="28"/>
          <w:szCs w:val="28"/>
        </w:rPr>
        <w:instrText xml:space="preserve"> PAGEREF _Toc502309766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"_Toc502309767" </w:instrText>
      </w:r>
      <w:r>
        <w:fldChar w:fldCharType="separate"/>
      </w:r>
      <w:r>
        <w:rPr>
          <w:rStyle w:val="21"/>
          <w:rFonts w:hint="eastAsia"/>
          <w:color w:val="auto"/>
          <w:sz w:val="28"/>
          <w:szCs w:val="28"/>
        </w:rPr>
        <w:t>十一、注册房地产估价师</w:t>
      </w:r>
      <w:r>
        <w:rPr>
          <w:sz w:val="28"/>
          <w:szCs w:val="28"/>
        </w:rPr>
        <w:tab/>
      </w:r>
      <w:r>
        <w:rPr>
          <w:sz w:val="28"/>
          <w:szCs w:val="28"/>
        </w:rPr>
        <w:fldChar w:fldCharType="begin"/>
      </w:r>
      <w:r>
        <w:rPr>
          <w:sz w:val="28"/>
          <w:szCs w:val="28"/>
        </w:rPr>
        <w:instrText xml:space="preserve"> PAGEREF _Toc502309767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"_Toc502309768" </w:instrText>
      </w:r>
      <w:r>
        <w:fldChar w:fldCharType="separate"/>
      </w:r>
      <w:r>
        <w:rPr>
          <w:rStyle w:val="21"/>
          <w:rFonts w:hint="eastAsia"/>
          <w:color w:val="auto"/>
          <w:sz w:val="28"/>
          <w:szCs w:val="28"/>
        </w:rPr>
        <w:t>十二、实地查勘期</w:t>
      </w:r>
      <w:r>
        <w:rPr>
          <w:sz w:val="28"/>
          <w:szCs w:val="28"/>
        </w:rPr>
        <w:tab/>
      </w:r>
      <w:r>
        <w:rPr>
          <w:sz w:val="28"/>
          <w:szCs w:val="28"/>
        </w:rPr>
        <w:fldChar w:fldCharType="begin"/>
      </w:r>
      <w:r>
        <w:rPr>
          <w:sz w:val="28"/>
          <w:szCs w:val="28"/>
        </w:rPr>
        <w:instrText xml:space="preserve"> PAGEREF _Toc502309768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665"/>
        </w:tabs>
        <w:spacing w:line="500" w:lineRule="exact"/>
        <w:ind w:left="480"/>
        <w:rPr>
          <w:rFonts w:cs="Times New Roman"/>
          <w:kern w:val="2"/>
          <w:sz w:val="28"/>
          <w:szCs w:val="28"/>
        </w:rPr>
      </w:pPr>
      <w:r>
        <w:fldChar w:fldCharType="begin"/>
      </w:r>
      <w:r>
        <w:instrText xml:space="preserve"> HYPERLINK \l "_Toc502309770" </w:instrText>
      </w:r>
      <w:r>
        <w:fldChar w:fldCharType="separate"/>
      </w:r>
      <w:r>
        <w:rPr>
          <w:rStyle w:val="21"/>
          <w:rFonts w:hint="eastAsia"/>
          <w:color w:val="auto"/>
          <w:sz w:val="28"/>
          <w:szCs w:val="28"/>
        </w:rPr>
        <w:t>十三、估价作业期</w:t>
      </w:r>
      <w:r>
        <w:rPr>
          <w:sz w:val="28"/>
          <w:szCs w:val="28"/>
        </w:rPr>
        <w:tab/>
      </w:r>
      <w:r>
        <w:rPr>
          <w:sz w:val="28"/>
          <w:szCs w:val="28"/>
        </w:rPr>
        <w:fldChar w:fldCharType="begin"/>
      </w:r>
      <w:r>
        <w:rPr>
          <w:sz w:val="28"/>
          <w:szCs w:val="28"/>
        </w:rPr>
        <w:instrText xml:space="preserve"> PAGEREF _Toc502309770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4"/>
        <w:tabs>
          <w:tab w:val="right" w:leader="dot" w:pos="8665"/>
        </w:tabs>
        <w:spacing w:line="500" w:lineRule="exact"/>
        <w:rPr>
          <w:rFonts w:cs="Times New Roman"/>
          <w:kern w:val="2"/>
          <w:sz w:val="28"/>
          <w:szCs w:val="28"/>
        </w:rPr>
      </w:pPr>
      <w:r>
        <w:fldChar w:fldCharType="begin"/>
      </w:r>
      <w:r>
        <w:instrText xml:space="preserve"> HYPERLINK \l "_Toc502309771" </w:instrText>
      </w:r>
      <w:r>
        <w:fldChar w:fldCharType="separate"/>
      </w:r>
      <w:r>
        <w:rPr>
          <w:rStyle w:val="21"/>
          <w:rFonts w:hint="eastAsia"/>
          <w:color w:val="auto"/>
          <w:sz w:val="28"/>
          <w:szCs w:val="28"/>
        </w:rPr>
        <w:t>附</w:t>
      </w:r>
      <w:r>
        <w:rPr>
          <w:rStyle w:val="21"/>
          <w:color w:val="auto"/>
          <w:sz w:val="28"/>
          <w:szCs w:val="28"/>
        </w:rPr>
        <w:t xml:space="preserve">  </w:t>
      </w:r>
      <w:r>
        <w:rPr>
          <w:rStyle w:val="21"/>
          <w:rFonts w:hint="eastAsia"/>
          <w:color w:val="auto"/>
          <w:sz w:val="28"/>
          <w:szCs w:val="28"/>
        </w:rPr>
        <w:t>件</w:t>
      </w:r>
      <w:r>
        <w:rPr>
          <w:sz w:val="28"/>
          <w:szCs w:val="28"/>
        </w:rPr>
        <w:tab/>
      </w:r>
      <w:r>
        <w:rPr>
          <w:sz w:val="28"/>
          <w:szCs w:val="28"/>
        </w:rPr>
        <w:fldChar w:fldCharType="begin"/>
      </w:r>
      <w:r>
        <w:rPr>
          <w:sz w:val="28"/>
          <w:szCs w:val="28"/>
        </w:rPr>
        <w:instrText xml:space="preserve"> PAGEREF _Toc502309771 \h </w:instrText>
      </w:r>
      <w:r>
        <w:rPr>
          <w:sz w:val="28"/>
          <w:szCs w:val="28"/>
        </w:rPr>
        <w:fldChar w:fldCharType="separate"/>
      </w:r>
      <w:r>
        <w:rPr>
          <w:sz w:val="28"/>
          <w:szCs w:val="28"/>
        </w:rPr>
        <w:t>15</w:t>
      </w:r>
      <w:r>
        <w:rPr>
          <w:sz w:val="28"/>
          <w:szCs w:val="28"/>
        </w:rPr>
        <w:fldChar w:fldCharType="end"/>
      </w:r>
      <w:r>
        <w:rPr>
          <w:sz w:val="28"/>
          <w:szCs w:val="28"/>
        </w:rPr>
        <w:fldChar w:fldCharType="end"/>
      </w:r>
    </w:p>
    <w:p>
      <w:pPr>
        <w:spacing w:line="500" w:lineRule="exact"/>
      </w:pPr>
      <w:r>
        <w:rPr>
          <w:sz w:val="28"/>
          <w:szCs w:val="28"/>
        </w:rPr>
        <w:fldChar w:fldCharType="end"/>
      </w:r>
      <w:r>
        <w:rPr>
          <w:rFonts w:hint="eastAsia"/>
          <w:sz w:val="28"/>
          <w:szCs w:val="28"/>
        </w:rPr>
        <w:t xml:space="preserve">   </w:t>
      </w:r>
      <w:r>
        <w:fldChar w:fldCharType="begin"/>
      </w:r>
      <w:r>
        <w:instrText xml:space="preserve"> HYPERLINK \l "_Toc375739467" </w:instrText>
      </w:r>
      <w:r>
        <w:fldChar w:fldCharType="separate"/>
      </w:r>
      <w:r>
        <w:rPr>
          <w:rFonts w:hint="eastAsia"/>
        </w:rPr>
        <w:t>附件1、估价对象现场图片；</w:t>
      </w:r>
      <w:r>
        <w:rPr>
          <w:rFonts w:hint="eastAsia"/>
        </w:rPr>
        <w:fldChar w:fldCharType="end"/>
      </w:r>
    </w:p>
    <w:p>
      <w:pPr>
        <w:spacing w:line="520" w:lineRule="exact"/>
        <w:ind w:firstLine="424" w:firstLineChars="177"/>
      </w:pPr>
      <w:r>
        <w:rPr>
          <w:rFonts w:hint="eastAsia"/>
        </w:rPr>
        <w:t>附件</w:t>
      </w:r>
      <w:r>
        <w:t>2、委托人提供的“（2021）浙0203委评字第208号”《宁波市海曙区人民法院司法评估委托书》的复印件；</w:t>
      </w:r>
    </w:p>
    <w:p>
      <w:pPr>
        <w:pStyle w:val="14"/>
        <w:tabs>
          <w:tab w:val="right" w:leader="dot" w:pos="8552"/>
        </w:tabs>
        <w:spacing w:line="520" w:lineRule="exact"/>
        <w:ind w:firstLine="424" w:firstLineChars="177"/>
      </w:pPr>
      <w:r>
        <w:fldChar w:fldCharType="begin"/>
      </w:r>
      <w:r>
        <w:instrText xml:space="preserve"> HYPERLINK \l "_Toc375739470" </w:instrText>
      </w:r>
      <w:r>
        <w:fldChar w:fldCharType="separate"/>
      </w:r>
      <w:r>
        <w:rPr>
          <w:rFonts w:hint="eastAsia"/>
        </w:rPr>
        <w:t>附件3、委托人提供的“象房权证丹城镇字第0130659号”《房屋所有权证》、“象国用（2004）第01-3174号”《国有土地使用证》及</w:t>
      </w:r>
      <w:r>
        <w:t>编号“D20211008-0002198”《</w:t>
      </w:r>
      <w:r>
        <w:rPr>
          <w:rFonts w:hint="eastAsia"/>
        </w:rPr>
        <w:t>象山县</w:t>
      </w:r>
      <w:r>
        <w:t>不动产登记情况证明》</w:t>
      </w:r>
      <w:r>
        <w:rPr>
          <w:rFonts w:hint="eastAsia"/>
        </w:rPr>
        <w:t>复印件；</w:t>
      </w:r>
      <w:r>
        <w:rPr>
          <w:rFonts w:hint="eastAsia"/>
        </w:rPr>
        <w:fldChar w:fldCharType="end"/>
      </w:r>
    </w:p>
    <w:p>
      <w:pPr>
        <w:pStyle w:val="14"/>
        <w:tabs>
          <w:tab w:val="right" w:leader="dot" w:pos="8552"/>
        </w:tabs>
        <w:spacing w:line="520" w:lineRule="exact"/>
        <w:ind w:firstLine="424" w:firstLineChars="177"/>
      </w:pPr>
      <w:r>
        <w:fldChar w:fldCharType="begin"/>
      </w:r>
      <w:r>
        <w:instrText xml:space="preserve"> HYPERLINK \l "_Toc375739474" </w:instrText>
      </w:r>
      <w:r>
        <w:fldChar w:fldCharType="separate"/>
      </w:r>
      <w:r>
        <w:rPr>
          <w:rFonts w:hint="eastAsia"/>
        </w:rPr>
        <w:t>附件4、房地产估价师注册证书复印件；</w:t>
      </w:r>
      <w:r>
        <w:rPr>
          <w:rFonts w:hint="eastAsia"/>
        </w:rPr>
        <w:fldChar w:fldCharType="end"/>
      </w:r>
    </w:p>
    <w:p>
      <w:pPr>
        <w:pStyle w:val="14"/>
        <w:tabs>
          <w:tab w:val="right" w:leader="dot" w:pos="8552"/>
        </w:tabs>
        <w:spacing w:line="520" w:lineRule="exact"/>
        <w:ind w:firstLine="424" w:firstLineChars="177"/>
      </w:pPr>
      <w:r>
        <w:fldChar w:fldCharType="begin"/>
      </w:r>
      <w:r>
        <w:instrText xml:space="preserve"> HYPERLINK \l "_Toc375739472" </w:instrText>
      </w:r>
      <w:r>
        <w:fldChar w:fldCharType="separate"/>
      </w:r>
      <w:r>
        <w:rPr>
          <w:rFonts w:hint="eastAsia"/>
        </w:rPr>
        <w:t>附件5、房地产估价机构资质证书复印件；</w:t>
      </w:r>
      <w:r>
        <w:rPr>
          <w:rFonts w:hint="eastAsia"/>
        </w:rPr>
        <w:fldChar w:fldCharType="end"/>
      </w:r>
    </w:p>
    <w:p>
      <w:pPr>
        <w:pStyle w:val="14"/>
        <w:tabs>
          <w:tab w:val="right" w:leader="dot" w:pos="8552"/>
        </w:tabs>
        <w:spacing w:line="520" w:lineRule="exact"/>
        <w:ind w:firstLine="424" w:firstLineChars="177"/>
        <w:rPr>
          <w:rFonts w:ascii="黑体" w:eastAsia="黑体"/>
          <w:sz w:val="44"/>
          <w:szCs w:val="44"/>
        </w:rPr>
        <w:sectPr>
          <w:pgSz w:w="11907" w:h="16840"/>
          <w:pgMar w:top="1247" w:right="1474" w:bottom="1247" w:left="1758" w:header="850" w:footer="964" w:gutter="0"/>
          <w:cols w:space="720" w:num="1"/>
          <w:docGrid w:type="lines" w:linePitch="326" w:charSpace="0"/>
        </w:sectPr>
      </w:pPr>
      <w:r>
        <w:fldChar w:fldCharType="begin"/>
      </w:r>
      <w:r>
        <w:instrText xml:space="preserve"> HYPERLINK \l "_Toc375739473" </w:instrText>
      </w:r>
      <w:r>
        <w:fldChar w:fldCharType="separate"/>
      </w:r>
      <w:r>
        <w:rPr>
          <w:rFonts w:hint="eastAsia"/>
        </w:rPr>
        <w:t>附件6、房地产估价机构营业执照复印件。</w:t>
      </w:r>
      <w:r>
        <w:rPr>
          <w:rFonts w:hint="eastAsia"/>
        </w:rPr>
        <w:fldChar w:fldCharType="end"/>
      </w:r>
      <w:bookmarkStart w:id="5" w:name="_Toc437939618"/>
      <w:bookmarkStart w:id="6" w:name="_Toc502309754"/>
      <w:bookmarkStart w:id="7" w:name="_Toc384888993"/>
      <w:bookmarkStart w:id="8" w:name="_Toc377971400"/>
    </w:p>
    <w:p>
      <w:pPr>
        <w:widowControl w:val="0"/>
        <w:spacing w:line="520" w:lineRule="exact"/>
        <w:ind w:firstLine="2860" w:firstLineChars="650"/>
        <w:outlineLvl w:val="0"/>
        <w:rPr>
          <w:rFonts w:ascii="黑体" w:eastAsia="黑体"/>
          <w:sz w:val="44"/>
          <w:szCs w:val="44"/>
        </w:rPr>
      </w:pPr>
      <w:r>
        <w:rPr>
          <w:rFonts w:hint="eastAsia" w:ascii="黑体" w:eastAsia="黑体"/>
          <w:sz w:val="44"/>
          <w:szCs w:val="44"/>
        </w:rPr>
        <w:t>估 价 师 声 明</w:t>
      </w:r>
      <w:bookmarkEnd w:id="5"/>
      <w:bookmarkEnd w:id="6"/>
      <w:bookmarkEnd w:id="7"/>
      <w:bookmarkEnd w:id="8"/>
    </w:p>
    <w:p>
      <w:pPr>
        <w:widowControl w:val="0"/>
        <w:spacing w:line="520" w:lineRule="exact"/>
        <w:jc w:val="both"/>
        <w:rPr>
          <w:bCs/>
          <w:sz w:val="28"/>
        </w:rPr>
      </w:pPr>
      <w:r>
        <w:rPr>
          <w:rFonts w:hint="eastAsia"/>
          <w:bCs/>
          <w:sz w:val="28"/>
        </w:rPr>
        <w:t>我们郑重声明：</w:t>
      </w:r>
    </w:p>
    <w:p>
      <w:pPr>
        <w:widowControl w:val="0"/>
        <w:spacing w:line="520" w:lineRule="exact"/>
        <w:ind w:firstLine="560" w:firstLineChars="200"/>
        <w:jc w:val="both"/>
        <w:rPr>
          <w:bCs/>
          <w:sz w:val="28"/>
        </w:rPr>
      </w:pPr>
      <w:r>
        <w:rPr>
          <w:rFonts w:hint="eastAsia"/>
          <w:bCs/>
          <w:sz w:val="28"/>
        </w:rPr>
        <w:t>1、我们在估价报告中对事实的说明是真实的和准确的，没有虚假记载、误导性陈述和重大遗漏。</w:t>
      </w:r>
    </w:p>
    <w:p>
      <w:pPr>
        <w:widowControl w:val="0"/>
        <w:spacing w:line="520" w:lineRule="exact"/>
        <w:ind w:firstLine="560" w:firstLineChars="200"/>
        <w:jc w:val="both"/>
        <w:rPr>
          <w:sz w:val="28"/>
        </w:rPr>
      </w:pPr>
      <w:r>
        <w:rPr>
          <w:rFonts w:hint="eastAsia"/>
          <w:bCs/>
          <w:sz w:val="28"/>
        </w:rPr>
        <w:t>2、估价报告中的分析、意见和结论是我们独立、客观、公正的专业分析、意见和结论，但受到估价报告中已说明的假设和限制条件的限制。</w:t>
      </w:r>
    </w:p>
    <w:p>
      <w:pPr>
        <w:widowControl w:val="0"/>
        <w:spacing w:line="520" w:lineRule="exact"/>
        <w:ind w:firstLine="560" w:firstLineChars="200"/>
        <w:jc w:val="both"/>
        <w:rPr>
          <w:sz w:val="28"/>
        </w:rPr>
      </w:pPr>
      <w:r>
        <w:rPr>
          <w:rFonts w:hint="eastAsia"/>
          <w:bCs/>
          <w:sz w:val="28"/>
        </w:rPr>
        <w:t>3、我们与本报告中的估价对象没有现实或潜在的利益，与估价委托人及估价利害关系人没有利害关系，也对估价对象、估价委托人及估价利害关系人没有偏见。</w:t>
      </w:r>
    </w:p>
    <w:p>
      <w:pPr>
        <w:widowControl w:val="0"/>
        <w:spacing w:line="520" w:lineRule="exact"/>
        <w:ind w:firstLine="560" w:firstLineChars="200"/>
        <w:jc w:val="both"/>
        <w:rPr>
          <w:sz w:val="28"/>
        </w:rPr>
      </w:pPr>
      <w:r>
        <w:rPr>
          <w:rFonts w:hint="eastAsia"/>
          <w:bCs/>
          <w:sz w:val="28"/>
        </w:rPr>
        <w:t>4、我们按照中华人民共和国国家标准GB/T50291-2015《房地产估价规范》和GB/T50899-2013《房地产估价基本术语标准》规定进行估价工作，撰写估价报告。</w:t>
      </w:r>
    </w:p>
    <w:p>
      <w:pPr>
        <w:widowControl w:val="0"/>
        <w:spacing w:line="520" w:lineRule="exact"/>
        <w:ind w:firstLine="560" w:firstLineChars="200"/>
        <w:jc w:val="both"/>
        <w:rPr>
          <w:bCs/>
          <w:sz w:val="28"/>
        </w:rPr>
      </w:pPr>
      <w:r>
        <w:rPr>
          <w:rFonts w:hint="eastAsia"/>
          <w:bCs/>
          <w:sz w:val="28"/>
        </w:rPr>
        <w:t>5、我司注册房地产估价师已2021年12月31日对本估价报告中的估价对象进行了实地查勘，并对查勘的客观性、真实性、公正性承担责任，但我们对估价对象的现场查勘仅限于其外观和使用状况，对被遮盖、未暴露及难以接触到的部分，依据委托人提供的资料进行估价，我们不承担对估价对象建筑结构质量进行调查的责任。</w:t>
      </w:r>
    </w:p>
    <w:p>
      <w:pPr>
        <w:widowControl w:val="0"/>
        <w:spacing w:line="520" w:lineRule="exact"/>
        <w:ind w:firstLine="560" w:firstLineChars="200"/>
        <w:jc w:val="both"/>
        <w:rPr>
          <w:bCs/>
          <w:sz w:val="28"/>
        </w:rPr>
      </w:pPr>
      <w:r>
        <w:rPr>
          <w:rFonts w:hint="eastAsia"/>
          <w:bCs/>
          <w:sz w:val="28"/>
        </w:rPr>
        <w:t>6、没有人对本估价报告提供了重要专业帮助。</w:t>
      </w:r>
    </w:p>
    <w:p>
      <w:pPr>
        <w:widowControl w:val="0"/>
        <w:spacing w:line="520" w:lineRule="exact"/>
        <w:ind w:firstLine="560" w:firstLineChars="200"/>
        <w:jc w:val="both"/>
        <w:rPr>
          <w:bCs/>
          <w:sz w:val="28"/>
        </w:rPr>
      </w:pPr>
      <w:r>
        <w:rPr>
          <w:rFonts w:hint="eastAsia"/>
          <w:bCs/>
          <w:sz w:val="28"/>
        </w:rPr>
        <w:t>7、本估价报告依据了委托人提供的相关资料，委托人对资料的真实性负责。因资料失实造成估价结果有误的，估价机构和估价人员不承担相应的责任。</w:t>
      </w:r>
    </w:p>
    <w:p>
      <w:pPr>
        <w:widowControl w:val="0"/>
        <w:spacing w:line="520" w:lineRule="exact"/>
        <w:ind w:firstLine="560" w:firstLineChars="200"/>
        <w:jc w:val="both"/>
        <w:rPr>
          <w:bCs/>
          <w:sz w:val="28"/>
        </w:rPr>
      </w:pPr>
      <w:r>
        <w:rPr>
          <w:rFonts w:hint="eastAsia"/>
          <w:bCs/>
          <w:sz w:val="28"/>
        </w:rPr>
        <w:t>8、本估价评估结果仅作为委托人在本次估价目的下使用，不得做其它用途。未经本估价机构和估价人员同意，估价报告不得向委托人及报告审查部门以外的单位及个人提供，凡因委托人使用估价报告不当而引起的后果，估价机构和估价人员不承担相应的责任。</w:t>
      </w:r>
    </w:p>
    <w:p>
      <w:pPr>
        <w:widowControl w:val="0"/>
        <w:spacing w:line="520" w:lineRule="exact"/>
        <w:ind w:firstLine="560" w:firstLineChars="200"/>
        <w:jc w:val="both"/>
        <w:rPr>
          <w:bCs/>
          <w:sz w:val="28"/>
        </w:rPr>
      </w:pPr>
      <w:r>
        <w:rPr>
          <w:rFonts w:hint="eastAsia"/>
          <w:bCs/>
          <w:sz w:val="28"/>
        </w:rPr>
        <w:t>9、本估价报告的全部或部分内容不得发表于任何公开媒体上，报告解释权为本估价机构所有。</w:t>
      </w:r>
    </w:p>
    <w:p>
      <w:pPr>
        <w:widowControl w:val="0"/>
        <w:spacing w:line="520" w:lineRule="exact"/>
        <w:ind w:firstLine="560" w:firstLineChars="200"/>
        <w:rPr>
          <w:bCs/>
          <w:sz w:val="28"/>
        </w:rPr>
      </w:pPr>
      <w:r>
        <w:rPr>
          <w:rFonts w:hint="eastAsia"/>
          <w:bCs/>
          <w:sz w:val="28"/>
        </w:rPr>
        <w:t>参加估价的注册房地产估价师</w:t>
      </w:r>
    </w:p>
    <w:p>
      <w:pPr>
        <w:widowControl w:val="0"/>
        <w:spacing w:line="500" w:lineRule="exact"/>
        <w:ind w:firstLine="560" w:firstLineChars="200"/>
        <w:rPr>
          <w:bCs/>
          <w:sz w:val="2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918"/>
        <w:gridCol w:w="3474"/>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widowControl w:val="0"/>
              <w:adjustRightInd w:val="0"/>
              <w:snapToGrid w:val="0"/>
              <w:spacing w:line="500" w:lineRule="exact"/>
              <w:jc w:val="center"/>
              <w:rPr>
                <w:sz w:val="28"/>
                <w:szCs w:val="28"/>
              </w:rPr>
            </w:pPr>
            <w:r>
              <w:rPr>
                <w:rFonts w:hint="eastAsia"/>
                <w:sz w:val="28"/>
                <w:szCs w:val="28"/>
              </w:rPr>
              <w:t>姓名</w:t>
            </w:r>
          </w:p>
        </w:tc>
        <w:tc>
          <w:tcPr>
            <w:tcW w:w="1918" w:type="dxa"/>
            <w:vAlign w:val="center"/>
          </w:tcPr>
          <w:p>
            <w:pPr>
              <w:widowControl w:val="0"/>
              <w:adjustRightInd w:val="0"/>
              <w:snapToGrid w:val="0"/>
              <w:spacing w:line="500" w:lineRule="exact"/>
              <w:jc w:val="center"/>
              <w:rPr>
                <w:sz w:val="28"/>
                <w:szCs w:val="28"/>
              </w:rPr>
            </w:pPr>
            <w:r>
              <w:rPr>
                <w:rFonts w:hint="eastAsia"/>
                <w:sz w:val="28"/>
                <w:szCs w:val="28"/>
              </w:rPr>
              <w:t>注册号</w:t>
            </w:r>
          </w:p>
        </w:tc>
        <w:tc>
          <w:tcPr>
            <w:tcW w:w="3474" w:type="dxa"/>
            <w:vAlign w:val="center"/>
          </w:tcPr>
          <w:p>
            <w:pPr>
              <w:widowControl w:val="0"/>
              <w:adjustRightInd w:val="0"/>
              <w:snapToGrid w:val="0"/>
              <w:spacing w:line="500" w:lineRule="exact"/>
              <w:jc w:val="center"/>
              <w:rPr>
                <w:sz w:val="28"/>
                <w:szCs w:val="28"/>
              </w:rPr>
            </w:pPr>
            <w:r>
              <w:rPr>
                <w:rFonts w:hint="eastAsia"/>
                <w:sz w:val="28"/>
                <w:szCs w:val="28"/>
              </w:rPr>
              <w:t>签   名</w:t>
            </w:r>
          </w:p>
        </w:tc>
        <w:tc>
          <w:tcPr>
            <w:tcW w:w="2267" w:type="dxa"/>
            <w:vAlign w:val="center"/>
          </w:tcPr>
          <w:p>
            <w:pPr>
              <w:widowControl w:val="0"/>
              <w:adjustRightInd w:val="0"/>
              <w:snapToGrid w:val="0"/>
              <w:spacing w:line="500" w:lineRule="exact"/>
              <w:jc w:val="center"/>
              <w:rPr>
                <w:sz w:val="28"/>
                <w:szCs w:val="28"/>
              </w:rPr>
            </w:pPr>
            <w:r>
              <w:rPr>
                <w:rFonts w:hint="eastAsia"/>
                <w:sz w:val="28"/>
                <w:szCs w:val="28"/>
              </w:rPr>
              <w:t>签 名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670" w:type="dxa"/>
            <w:vAlign w:val="center"/>
          </w:tcPr>
          <w:p>
            <w:pPr>
              <w:widowControl w:val="0"/>
              <w:adjustRightInd w:val="0"/>
              <w:snapToGrid w:val="0"/>
              <w:spacing w:line="500" w:lineRule="exact"/>
              <w:jc w:val="center"/>
              <w:rPr>
                <w:rFonts w:hint="default" w:eastAsia="宋体"/>
                <w:sz w:val="28"/>
                <w:szCs w:val="28"/>
                <w:lang w:val="en-US" w:eastAsia="zh-CN"/>
              </w:rPr>
            </w:pPr>
            <w:r>
              <w:rPr>
                <w:rFonts w:hint="eastAsia"/>
                <w:sz w:val="28"/>
                <w:szCs w:val="28"/>
                <w:lang w:val="en-US" w:eastAsia="zh-CN"/>
              </w:rPr>
              <w:t>***</w:t>
            </w:r>
          </w:p>
        </w:tc>
        <w:tc>
          <w:tcPr>
            <w:tcW w:w="1918" w:type="dxa"/>
            <w:vAlign w:val="center"/>
          </w:tcPr>
          <w:p>
            <w:pPr>
              <w:widowControl w:val="0"/>
              <w:adjustRightInd w:val="0"/>
              <w:snapToGrid w:val="0"/>
              <w:spacing w:line="500" w:lineRule="exact"/>
              <w:jc w:val="center"/>
              <w:rPr>
                <w:rFonts w:hint="default" w:eastAsia="宋体"/>
                <w:sz w:val="28"/>
                <w:szCs w:val="28"/>
                <w:lang w:val="en-US" w:eastAsia="zh-CN"/>
              </w:rPr>
            </w:pPr>
            <w:r>
              <w:rPr>
                <w:rFonts w:hint="eastAsia"/>
                <w:sz w:val="28"/>
                <w:szCs w:val="28"/>
                <w:lang w:val="en-US" w:eastAsia="zh-CN"/>
              </w:rPr>
              <w:t>***</w:t>
            </w:r>
          </w:p>
        </w:tc>
        <w:tc>
          <w:tcPr>
            <w:tcW w:w="3474" w:type="dxa"/>
            <w:vAlign w:val="center"/>
          </w:tcPr>
          <w:p>
            <w:pPr>
              <w:widowControl w:val="0"/>
              <w:adjustRightInd w:val="0"/>
              <w:snapToGrid w:val="0"/>
              <w:spacing w:line="500" w:lineRule="exact"/>
              <w:jc w:val="center"/>
              <w:rPr>
                <w:sz w:val="28"/>
                <w:szCs w:val="28"/>
              </w:rPr>
            </w:pPr>
          </w:p>
        </w:tc>
        <w:tc>
          <w:tcPr>
            <w:tcW w:w="2267" w:type="dxa"/>
            <w:vAlign w:val="center"/>
          </w:tcPr>
          <w:p>
            <w:pPr>
              <w:widowControl w:val="0"/>
              <w:adjustRightInd w:val="0"/>
              <w:snapToGrid w:val="0"/>
              <w:spacing w:line="500" w:lineRule="exact"/>
              <w:jc w:val="center"/>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670" w:type="dxa"/>
            <w:vAlign w:val="center"/>
          </w:tcPr>
          <w:p>
            <w:pPr>
              <w:widowControl w:val="0"/>
              <w:adjustRightInd w:val="0"/>
              <w:snapToGrid w:val="0"/>
              <w:spacing w:line="500" w:lineRule="exact"/>
              <w:jc w:val="center"/>
              <w:rPr>
                <w:rFonts w:hint="default" w:eastAsia="宋体"/>
                <w:color w:val="000000"/>
                <w:sz w:val="28"/>
                <w:szCs w:val="28"/>
                <w:lang w:val="en-US" w:eastAsia="zh-CN"/>
              </w:rPr>
            </w:pPr>
            <w:r>
              <w:rPr>
                <w:rFonts w:hint="eastAsia"/>
                <w:color w:val="000000"/>
                <w:sz w:val="28"/>
                <w:szCs w:val="28"/>
                <w:lang w:val="en-US" w:eastAsia="zh-CN"/>
              </w:rPr>
              <w:t>***</w:t>
            </w:r>
          </w:p>
        </w:tc>
        <w:tc>
          <w:tcPr>
            <w:tcW w:w="1918" w:type="dxa"/>
            <w:vAlign w:val="center"/>
          </w:tcPr>
          <w:p>
            <w:pPr>
              <w:widowControl w:val="0"/>
              <w:adjustRightInd w:val="0"/>
              <w:snapToGrid w:val="0"/>
              <w:spacing w:line="500" w:lineRule="exact"/>
              <w:jc w:val="center"/>
              <w:rPr>
                <w:rFonts w:hint="default" w:eastAsia="宋体"/>
                <w:color w:val="FF0000"/>
                <w:sz w:val="28"/>
                <w:szCs w:val="28"/>
                <w:lang w:val="en-US" w:eastAsia="zh-CN"/>
              </w:rPr>
            </w:pPr>
            <w:r>
              <w:rPr>
                <w:rFonts w:hint="eastAsia"/>
                <w:sz w:val="28"/>
                <w:szCs w:val="28"/>
                <w:lang w:val="en-US" w:eastAsia="zh-CN"/>
              </w:rPr>
              <w:t>***</w:t>
            </w:r>
          </w:p>
        </w:tc>
        <w:tc>
          <w:tcPr>
            <w:tcW w:w="3474" w:type="dxa"/>
            <w:vAlign w:val="center"/>
          </w:tcPr>
          <w:p>
            <w:pPr>
              <w:widowControl w:val="0"/>
              <w:adjustRightInd w:val="0"/>
              <w:snapToGrid w:val="0"/>
              <w:spacing w:line="500" w:lineRule="exact"/>
              <w:jc w:val="center"/>
              <w:rPr>
                <w:sz w:val="28"/>
                <w:szCs w:val="28"/>
              </w:rPr>
            </w:pPr>
          </w:p>
        </w:tc>
        <w:tc>
          <w:tcPr>
            <w:tcW w:w="2267" w:type="dxa"/>
            <w:vAlign w:val="center"/>
          </w:tcPr>
          <w:p>
            <w:pPr>
              <w:widowControl w:val="0"/>
              <w:tabs>
                <w:tab w:val="left" w:pos="226"/>
              </w:tabs>
              <w:adjustRightInd w:val="0"/>
              <w:snapToGrid w:val="0"/>
              <w:spacing w:line="500" w:lineRule="exact"/>
              <w:jc w:val="center"/>
              <w:rPr>
                <w:sz w:val="28"/>
                <w:szCs w:val="28"/>
              </w:rPr>
            </w:pPr>
            <w:r>
              <w:rPr>
                <w:rFonts w:hint="eastAsia"/>
                <w:sz w:val="28"/>
                <w:szCs w:val="28"/>
              </w:rPr>
              <w:t xml:space="preserve">   年  月  日</w:t>
            </w:r>
          </w:p>
        </w:tc>
      </w:tr>
    </w:tbl>
    <w:p>
      <w:pPr>
        <w:widowControl w:val="0"/>
        <w:spacing w:line="560" w:lineRule="exact"/>
        <w:outlineLvl w:val="0"/>
        <w:rPr>
          <w:rFonts w:ascii="黑体" w:eastAsia="黑体"/>
          <w:sz w:val="44"/>
          <w:szCs w:val="44"/>
        </w:rPr>
      </w:pPr>
      <w:bookmarkStart w:id="9" w:name="_Toc377971401"/>
      <w:bookmarkStart w:id="10" w:name="_Toc384888994"/>
      <w:bookmarkStart w:id="11" w:name="_Toc437939619"/>
    </w:p>
    <w:p>
      <w:pPr>
        <w:widowControl w:val="0"/>
        <w:spacing w:line="560" w:lineRule="exact"/>
        <w:outlineLvl w:val="0"/>
        <w:rPr>
          <w:rFonts w:ascii="黑体" w:eastAsia="黑体"/>
          <w:sz w:val="44"/>
          <w:szCs w:val="44"/>
        </w:rPr>
        <w:sectPr>
          <w:pgSz w:w="11907" w:h="16840"/>
          <w:pgMar w:top="1247" w:right="1474" w:bottom="1247" w:left="1758" w:header="850" w:footer="964" w:gutter="0"/>
          <w:cols w:space="720" w:num="1"/>
          <w:docGrid w:type="lines" w:linePitch="326" w:charSpace="0"/>
        </w:sectPr>
      </w:pPr>
    </w:p>
    <w:p>
      <w:pPr>
        <w:widowControl w:val="0"/>
        <w:spacing w:line="560" w:lineRule="exact"/>
        <w:ind w:firstLine="2310" w:firstLineChars="525"/>
        <w:outlineLvl w:val="0"/>
        <w:rPr>
          <w:rFonts w:ascii="黑体" w:eastAsia="黑体"/>
          <w:sz w:val="44"/>
          <w:szCs w:val="44"/>
        </w:rPr>
      </w:pPr>
      <w:bookmarkStart w:id="12" w:name="_Toc502309755"/>
      <w:r>
        <w:rPr>
          <w:rFonts w:hint="eastAsia" w:ascii="黑体" w:eastAsia="黑体"/>
          <w:sz w:val="44"/>
          <w:szCs w:val="44"/>
        </w:rPr>
        <w:t>估价的假设和限制条件</w:t>
      </w:r>
      <w:bookmarkEnd w:id="9"/>
      <w:bookmarkEnd w:id="10"/>
      <w:bookmarkEnd w:id="11"/>
      <w:bookmarkEnd w:id="12"/>
    </w:p>
    <w:p>
      <w:pPr>
        <w:pStyle w:val="25"/>
        <w:widowControl w:val="0"/>
        <w:adjustRightInd w:val="0"/>
        <w:spacing w:line="500" w:lineRule="exact"/>
        <w:ind w:left="0"/>
        <w:jc w:val="both"/>
      </w:pPr>
      <w:bookmarkStart w:id="13" w:name="_Toc377971402"/>
      <w:bookmarkStart w:id="14" w:name="_Toc384888995"/>
    </w:p>
    <w:p>
      <w:pPr>
        <w:pStyle w:val="25"/>
        <w:widowControl w:val="0"/>
        <w:adjustRightInd w:val="0"/>
        <w:spacing w:line="480" w:lineRule="exact"/>
        <w:ind w:left="0"/>
        <w:jc w:val="both"/>
        <w:rPr>
          <w:b/>
        </w:rPr>
      </w:pPr>
      <w:r>
        <w:t>本估价报告中的分析、意见和结论是我们自己公正的专业分析、意见和结论，但受以下及本估价报告中已说明的假设和限制条件的限制。</w:t>
      </w:r>
      <w:r>
        <w:rPr>
          <w:rFonts w:hint="eastAsia"/>
          <w:b/>
        </w:rPr>
        <w:t>一、估价假设条件</w:t>
      </w:r>
    </w:p>
    <w:p>
      <w:pPr>
        <w:pStyle w:val="25"/>
        <w:widowControl w:val="0"/>
        <w:adjustRightInd w:val="0"/>
        <w:spacing w:line="480" w:lineRule="exact"/>
        <w:ind w:left="0" w:firstLine="0" w:firstLineChars="0"/>
        <w:jc w:val="both"/>
      </w:pPr>
      <w:r>
        <w:rPr>
          <w:rFonts w:hint="eastAsia"/>
        </w:rPr>
        <w:t>（一）一般假设</w:t>
      </w:r>
    </w:p>
    <w:p>
      <w:pPr>
        <w:pStyle w:val="25"/>
        <w:widowControl w:val="0"/>
        <w:adjustRightInd w:val="0"/>
        <w:spacing w:line="480" w:lineRule="exact"/>
        <w:ind w:left="0"/>
        <w:jc w:val="both"/>
      </w:pPr>
      <w:r>
        <w:rPr>
          <w:rFonts w:hint="eastAsia"/>
        </w:rPr>
        <w:t>1、根据“象房权证丹城镇字第0130659号”《房屋所有权证》、“象国用（2004）第01-3174号”《国有土地使用证》及编号“D20211008-0002198”《象山县不动产登记情况证明》记载资料，我们对其权属、面积、用途等资料进行了检查和尽职核实，在无发现其他可疑因素的情况下，假设估价委托人提供的资料合法、真实、准确、完整。</w:t>
      </w:r>
    </w:p>
    <w:p>
      <w:pPr>
        <w:pStyle w:val="25"/>
        <w:widowControl w:val="0"/>
        <w:adjustRightInd w:val="0"/>
        <w:spacing w:line="480" w:lineRule="exact"/>
        <w:ind w:left="0"/>
        <w:jc w:val="both"/>
      </w:pPr>
      <w:r>
        <w:rPr>
          <w:rFonts w:hint="eastAsia"/>
        </w:rPr>
        <w:t>2、我们已对房屋安全、环境污染等影响估价对象价值的重大因素给予了关注，在无理由怀疑估价对象存在隐患且无相应的专业机构进行鉴定、检测的情况下，假设估价对象能正常安全使用。</w:t>
      </w:r>
    </w:p>
    <w:p>
      <w:pPr>
        <w:spacing w:line="480" w:lineRule="exact"/>
        <w:rPr>
          <w:rFonts w:cs="Times New Roman"/>
          <w:sz w:val="28"/>
          <w:szCs w:val="28"/>
        </w:rPr>
      </w:pPr>
      <w:r>
        <w:rPr>
          <w:rFonts w:hint="eastAsia" w:cs="Times New Roman"/>
          <w:sz w:val="28"/>
          <w:szCs w:val="28"/>
        </w:rPr>
        <w:t>（二）未定事项假设</w:t>
      </w:r>
    </w:p>
    <w:p>
      <w:pPr>
        <w:spacing w:line="480" w:lineRule="exact"/>
        <w:ind w:firstLine="560"/>
        <w:rPr>
          <w:rFonts w:cs="Times New Roman"/>
          <w:sz w:val="28"/>
          <w:szCs w:val="28"/>
        </w:rPr>
      </w:pPr>
      <w:r>
        <w:rPr>
          <w:rFonts w:hint="eastAsia" w:cs="Times New Roman"/>
          <w:sz w:val="28"/>
          <w:szCs w:val="28"/>
        </w:rPr>
        <w:t>无未定事项假设。</w:t>
      </w:r>
    </w:p>
    <w:p>
      <w:pPr>
        <w:spacing w:line="480" w:lineRule="exact"/>
        <w:rPr>
          <w:rFonts w:cs="Times New Roman"/>
          <w:sz w:val="28"/>
          <w:szCs w:val="28"/>
        </w:rPr>
      </w:pPr>
      <w:r>
        <w:rPr>
          <w:rFonts w:hint="eastAsia" w:cs="Times New Roman"/>
          <w:sz w:val="28"/>
          <w:szCs w:val="28"/>
        </w:rPr>
        <w:t>（三）背离事实假设</w:t>
      </w:r>
    </w:p>
    <w:p>
      <w:pPr>
        <w:pStyle w:val="25"/>
        <w:widowControl w:val="0"/>
        <w:adjustRightInd w:val="0"/>
        <w:spacing w:line="480" w:lineRule="exact"/>
        <w:ind w:left="0"/>
        <w:jc w:val="both"/>
        <w:rPr>
          <w:color w:val="000000"/>
        </w:rPr>
      </w:pPr>
      <w:r>
        <w:rPr>
          <w:rFonts w:hint="eastAsia"/>
          <w:color w:val="000000"/>
        </w:rPr>
        <w:t>估价结果不考虑估价对象担保、抵押、租赁、典当、其他优先受偿权及查封等他项权利的限制。</w:t>
      </w:r>
    </w:p>
    <w:p>
      <w:pPr>
        <w:spacing w:line="480" w:lineRule="exact"/>
        <w:rPr>
          <w:rFonts w:cs="Times New Roman"/>
          <w:sz w:val="28"/>
          <w:szCs w:val="28"/>
        </w:rPr>
      </w:pPr>
      <w:r>
        <w:rPr>
          <w:rFonts w:hint="eastAsia" w:cs="Times New Roman"/>
          <w:sz w:val="28"/>
          <w:szCs w:val="28"/>
        </w:rPr>
        <w:t>（四）不相一致假设</w:t>
      </w:r>
    </w:p>
    <w:p>
      <w:pPr>
        <w:spacing w:line="480" w:lineRule="exact"/>
        <w:ind w:firstLine="570"/>
        <w:rPr>
          <w:rFonts w:cs="Times New Roman"/>
          <w:sz w:val="28"/>
          <w:szCs w:val="28"/>
        </w:rPr>
      </w:pPr>
      <w:r>
        <w:rPr>
          <w:rFonts w:hint="eastAsia" w:cs="Times New Roman"/>
          <w:sz w:val="28"/>
          <w:szCs w:val="28"/>
        </w:rPr>
        <w:t>无</w:t>
      </w:r>
      <w:r>
        <w:rPr>
          <w:rFonts w:cs="Times New Roman"/>
          <w:sz w:val="28"/>
          <w:szCs w:val="28"/>
        </w:rPr>
        <w:t>不相一致假设。</w:t>
      </w:r>
    </w:p>
    <w:p>
      <w:pPr>
        <w:spacing w:line="480" w:lineRule="exact"/>
        <w:rPr>
          <w:rFonts w:cs="Times New Roman"/>
          <w:sz w:val="28"/>
          <w:szCs w:val="28"/>
        </w:rPr>
      </w:pPr>
      <w:r>
        <w:rPr>
          <w:rFonts w:hint="eastAsia" w:cs="Times New Roman"/>
          <w:sz w:val="28"/>
          <w:szCs w:val="28"/>
        </w:rPr>
        <w:t>（五）依据不足假设</w:t>
      </w:r>
    </w:p>
    <w:p>
      <w:pPr>
        <w:spacing w:line="480" w:lineRule="exact"/>
        <w:ind w:firstLine="560"/>
        <w:rPr>
          <w:rFonts w:cs="Times New Roman"/>
          <w:sz w:val="28"/>
          <w:szCs w:val="28"/>
        </w:rPr>
      </w:pPr>
      <w:r>
        <w:rPr>
          <w:rFonts w:hint="eastAsia" w:cs="Times New Roman"/>
          <w:sz w:val="28"/>
          <w:szCs w:val="28"/>
        </w:rPr>
        <w:t>无依据不足假设。</w:t>
      </w:r>
    </w:p>
    <w:p>
      <w:pPr>
        <w:spacing w:line="480" w:lineRule="exact"/>
        <w:rPr>
          <w:b/>
          <w:bCs/>
          <w:kern w:val="2"/>
          <w:sz w:val="28"/>
          <w:szCs w:val="28"/>
        </w:rPr>
      </w:pPr>
      <w:r>
        <w:rPr>
          <w:b/>
          <w:bCs/>
          <w:kern w:val="2"/>
          <w:sz w:val="28"/>
          <w:szCs w:val="28"/>
        </w:rPr>
        <w:t>二、估价限制条件</w:t>
      </w:r>
    </w:p>
    <w:p>
      <w:pPr>
        <w:pStyle w:val="25"/>
        <w:widowControl w:val="0"/>
        <w:adjustRightInd w:val="0"/>
        <w:spacing w:line="460" w:lineRule="exact"/>
        <w:ind w:left="0"/>
        <w:jc w:val="both"/>
        <w:rPr>
          <w:bCs/>
          <w:kern w:val="2"/>
        </w:rPr>
      </w:pPr>
      <w:r>
        <w:rPr>
          <w:rFonts w:hint="eastAsia"/>
        </w:rPr>
        <w:t>1、</w:t>
      </w:r>
      <w:r>
        <w:rPr>
          <w:bCs/>
          <w:kern w:val="2"/>
        </w:rPr>
        <w:t>本报告之评估价值为实地查勘日2021年12月31日之委托房地产司法处置的参考价格。</w:t>
      </w:r>
      <w:r>
        <w:rPr>
          <w:rFonts w:hint="eastAsia"/>
        </w:rPr>
        <w:t>估价报告应用的有效期自完成估价报告之日起壹年，即202</w:t>
      </w:r>
      <w:r>
        <w:t>2</w:t>
      </w:r>
      <w:r>
        <w:rPr>
          <w:rFonts w:hint="eastAsia"/>
        </w:rPr>
        <w:t>年1月</w:t>
      </w:r>
      <w:r>
        <w:t>11</w:t>
      </w:r>
      <w:r>
        <w:rPr>
          <w:rFonts w:hint="eastAsia"/>
        </w:rPr>
        <w:t>日至202</w:t>
      </w:r>
      <w:r>
        <w:t>3</w:t>
      </w:r>
      <w:r>
        <w:rPr>
          <w:rFonts w:hint="eastAsia"/>
        </w:rPr>
        <w:t>年1月</w:t>
      </w:r>
      <w:r>
        <w:t>10</w:t>
      </w:r>
      <w:r>
        <w:rPr>
          <w:rFonts w:hint="eastAsia"/>
        </w:rPr>
        <w:t>日止，如超过有效期，本估价报告中的房地产价格应作相应调整或重新评估。</w:t>
      </w:r>
    </w:p>
    <w:p>
      <w:pPr>
        <w:pStyle w:val="25"/>
        <w:spacing w:line="480" w:lineRule="exact"/>
        <w:jc w:val="both"/>
        <w:rPr>
          <w:rFonts w:hint="eastAsia"/>
          <w:bCs/>
          <w:kern w:val="2"/>
        </w:rPr>
      </w:pPr>
      <w:r>
        <w:rPr>
          <w:rFonts w:hint="eastAsia"/>
          <w:bCs/>
          <w:kern w:val="2"/>
        </w:rPr>
        <w:t>2、本房地产估价报告评估结果未考虑将来市场价格的波动及国家相关税费政策变化对房地产价格的影响。</w:t>
      </w:r>
    </w:p>
    <w:p>
      <w:pPr>
        <w:pStyle w:val="25"/>
        <w:widowControl w:val="0"/>
        <w:adjustRightInd w:val="0"/>
        <w:spacing w:line="480" w:lineRule="exact"/>
        <w:ind w:left="0" w:firstLine="0" w:firstLineChars="0"/>
        <w:jc w:val="both"/>
      </w:pPr>
      <w:r>
        <w:t xml:space="preserve">    </w:t>
      </w:r>
      <w:r>
        <w:rPr>
          <w:rFonts w:hint="eastAsia"/>
        </w:rPr>
        <w:t>3、价值时点后，估价报告有效期内，如估价对象的质量及价格标准发生变化，并对估价对象价值产生明显影响时，不能直接使用本估价结果。</w:t>
      </w:r>
    </w:p>
    <w:p>
      <w:pPr>
        <w:pStyle w:val="25"/>
        <w:widowControl w:val="0"/>
        <w:adjustRightInd w:val="0"/>
        <w:spacing w:line="480" w:lineRule="exact"/>
        <w:ind w:left="0" w:firstLine="570" w:firstLineChars="0"/>
        <w:jc w:val="both"/>
      </w:pPr>
      <w:r>
        <w:rPr>
          <w:rFonts w:hint="eastAsia"/>
        </w:rPr>
        <w:t>4、在本估价报告中，未考虑拍卖市场上特殊或不正常及其他不可抗力因素对估价结果的影响。本报告之估价结果所得出的市场价格，仅供委托人对了解估价对象提供价格参考，最终实际数额由市场供需、拍卖付款方式、政府有关部门各项税费缴纳等具体情况确定。</w:t>
      </w:r>
    </w:p>
    <w:p>
      <w:pPr>
        <w:pStyle w:val="25"/>
        <w:widowControl w:val="0"/>
        <w:adjustRightInd w:val="0"/>
        <w:spacing w:line="480" w:lineRule="exact"/>
        <w:ind w:left="0" w:firstLine="570" w:firstLineChars="0"/>
        <w:jc w:val="both"/>
      </w:pPr>
      <w:r>
        <w:t>5、本估价结果仅为房地产进行司法处置提供价值参考依据，不得用于其它用途。</w:t>
      </w:r>
    </w:p>
    <w:p>
      <w:pPr>
        <w:pStyle w:val="25"/>
        <w:widowControl w:val="0"/>
        <w:adjustRightInd w:val="0"/>
        <w:spacing w:line="480" w:lineRule="exact"/>
        <w:ind w:left="0" w:firstLine="570" w:firstLineChars="0"/>
      </w:pPr>
      <w:r>
        <w:t>6</w:t>
      </w:r>
      <w:r>
        <w:rPr>
          <w:rFonts w:hint="eastAsia"/>
        </w:rPr>
        <w:t>、本估价报告使用者为估价委托人（宁波市海曙区人民法院）。</w:t>
      </w:r>
    </w:p>
    <w:p>
      <w:pPr>
        <w:pStyle w:val="25"/>
        <w:widowControl w:val="0"/>
        <w:adjustRightInd w:val="0"/>
        <w:spacing w:line="460" w:lineRule="exact"/>
        <w:ind w:left="0" w:firstLine="570" w:firstLineChars="0"/>
        <w:jc w:val="both"/>
      </w:pPr>
      <w:r>
        <w:rPr>
          <w:rFonts w:hint="eastAsia"/>
        </w:rPr>
        <w:t>7、根据《最高人民法院关于人民法院确定财产处置参考价若干问题的规定》（法释</w:t>
      </w:r>
      <w:r>
        <w:rPr>
          <w:rFonts w:hint="eastAsia" w:cs="宋体"/>
        </w:rPr>
        <w:t>[</w:t>
      </w:r>
      <w:r>
        <w:rPr>
          <w:rFonts w:hint="eastAsia"/>
        </w:rPr>
        <w:t>2018</w:t>
      </w:r>
      <w:r>
        <w:rPr>
          <w:rFonts w:hint="eastAsia" w:cs="宋体"/>
        </w:rPr>
        <w:t>]</w:t>
      </w:r>
      <w:r>
        <w:rPr>
          <w:rFonts w:hint="eastAsia"/>
        </w:rPr>
        <w:t>15号），当事人、利害关系人对评估报告有异议的，可以在收到评估报告五日内以书面形式向人民法院提出，逾期视为认同。</w:t>
      </w:r>
    </w:p>
    <w:p>
      <w:pPr>
        <w:pStyle w:val="25"/>
        <w:widowControl w:val="0"/>
        <w:adjustRightInd w:val="0"/>
        <w:spacing w:line="460" w:lineRule="exact"/>
        <w:ind w:left="0" w:firstLine="570" w:firstLineChars="0"/>
        <w:jc w:val="both"/>
        <w:rPr>
          <w:rFonts w:hint="eastAsia"/>
        </w:rPr>
      </w:pPr>
      <w:r>
        <w:rPr>
          <w:rFonts w:hint="eastAsia"/>
        </w:rPr>
        <w:t>8、本估价报告以委托人提供的相关资料的真实性为前提，如果资料失实或有所隐匿导致估价结果失实，本公司不承担任何责任。</w:t>
      </w:r>
    </w:p>
    <w:p>
      <w:pPr>
        <w:pStyle w:val="25"/>
        <w:widowControl w:val="0"/>
        <w:adjustRightInd w:val="0"/>
        <w:spacing w:line="460" w:lineRule="exact"/>
        <w:ind w:left="0" w:firstLine="570" w:firstLineChars="0"/>
        <w:jc w:val="both"/>
        <w:rPr>
          <w:rFonts w:hint="eastAsia"/>
        </w:rPr>
      </w:pPr>
      <w:r>
        <w:rPr>
          <w:rFonts w:hint="eastAsia"/>
        </w:rPr>
        <w:t>9、本报告必须经估价机构加盖公章、注册房地产估价师签字后方可使用，估价机构仅对本报告的原件承担责任，对任何形式的复制件概不认可且不承担责任。</w:t>
      </w:r>
    </w:p>
    <w:p>
      <w:pPr>
        <w:pStyle w:val="25"/>
        <w:widowControl w:val="0"/>
        <w:adjustRightInd w:val="0"/>
        <w:spacing w:line="460" w:lineRule="exact"/>
        <w:ind w:left="0" w:firstLine="570" w:firstLineChars="0"/>
        <w:jc w:val="both"/>
        <w:rPr>
          <w:rFonts w:hint="eastAsia"/>
        </w:rPr>
      </w:pPr>
      <w:r>
        <w:rPr>
          <w:rFonts w:hint="eastAsia"/>
        </w:rPr>
        <w:t>10、本报告若出现文字或数字因打印、校对及其他原因发生误差时，请委托人通知本估价机构更正，否则误差部分无效。</w:t>
      </w:r>
    </w:p>
    <w:p>
      <w:pPr>
        <w:pStyle w:val="25"/>
        <w:widowControl w:val="0"/>
        <w:adjustRightInd w:val="0"/>
        <w:spacing w:line="460" w:lineRule="exact"/>
        <w:ind w:left="0" w:firstLine="570" w:firstLineChars="0"/>
        <w:jc w:val="both"/>
        <w:rPr>
          <w:rFonts w:hint="eastAsia"/>
        </w:rPr>
      </w:pPr>
      <w:r>
        <w:rPr>
          <w:rFonts w:hint="eastAsia"/>
        </w:rPr>
        <w:t>11、本报告中的货币单位除特殊说明外，均为人民币。</w:t>
      </w:r>
    </w:p>
    <w:p>
      <w:pPr>
        <w:pStyle w:val="25"/>
        <w:widowControl w:val="0"/>
        <w:adjustRightInd w:val="0"/>
        <w:spacing w:line="460" w:lineRule="exact"/>
        <w:ind w:left="0" w:firstLine="570" w:firstLineChars="0"/>
        <w:jc w:val="both"/>
        <w:rPr>
          <w:rFonts w:hint="eastAsia"/>
        </w:rPr>
        <w:sectPr>
          <w:pgSz w:w="11907" w:h="16840"/>
          <w:pgMar w:top="1247" w:right="1474" w:bottom="1247" w:left="1758" w:header="850" w:footer="964" w:gutter="0"/>
          <w:cols w:space="720" w:num="1"/>
          <w:docGrid w:type="lines" w:linePitch="326" w:charSpace="0"/>
        </w:sectPr>
      </w:pPr>
      <w:r>
        <w:rPr>
          <w:rFonts w:hint="eastAsia"/>
        </w:rPr>
        <w:t>12、未经本估价单位同意，评估报告的全部或任何一部分内容不得使用于其它与本项目无关的任何公开文件，通告或报告中，也不得以任何形式公开发表。</w:t>
      </w:r>
    </w:p>
    <w:p>
      <w:pPr>
        <w:widowControl w:val="0"/>
        <w:spacing w:line="500" w:lineRule="exact"/>
        <w:jc w:val="center"/>
        <w:outlineLvl w:val="0"/>
        <w:rPr>
          <w:rFonts w:ascii="黑体" w:eastAsia="黑体"/>
          <w:sz w:val="44"/>
          <w:szCs w:val="44"/>
        </w:rPr>
      </w:pPr>
      <w:bookmarkStart w:id="15" w:name="_Toc502309756"/>
      <w:bookmarkStart w:id="16" w:name="_Toc437939620"/>
      <w:r>
        <w:rPr>
          <w:rFonts w:hint="eastAsia" w:ascii="黑体" w:eastAsia="黑体"/>
          <w:sz w:val="44"/>
          <w:szCs w:val="44"/>
        </w:rPr>
        <w:t>房地产估价结果报告</w:t>
      </w:r>
      <w:bookmarkEnd w:id="13"/>
      <w:bookmarkEnd w:id="14"/>
      <w:bookmarkEnd w:id="15"/>
      <w:bookmarkEnd w:id="16"/>
    </w:p>
    <w:p>
      <w:pPr>
        <w:widowControl w:val="0"/>
        <w:adjustRightInd w:val="0"/>
        <w:snapToGrid w:val="0"/>
        <w:spacing w:line="480" w:lineRule="exact"/>
        <w:outlineLvl w:val="1"/>
        <w:rPr>
          <w:sz w:val="28"/>
          <w:szCs w:val="28"/>
        </w:rPr>
      </w:pPr>
      <w:bookmarkStart w:id="17" w:name="_Toc437939621"/>
      <w:bookmarkStart w:id="18" w:name="_Toc502309757"/>
      <w:bookmarkStart w:id="19" w:name="_Toc377971403"/>
      <w:bookmarkStart w:id="20" w:name="_Toc384888996"/>
      <w:r>
        <w:rPr>
          <w:rFonts w:hint="eastAsia" w:ascii="黑体" w:eastAsia="黑体"/>
          <w:bCs/>
          <w:sz w:val="28"/>
          <w:szCs w:val="28"/>
        </w:rPr>
        <w:t>一、估价委托人</w:t>
      </w:r>
      <w:bookmarkEnd w:id="17"/>
      <w:bookmarkEnd w:id="18"/>
      <w:bookmarkEnd w:id="19"/>
      <w:bookmarkEnd w:id="20"/>
    </w:p>
    <w:p>
      <w:pPr>
        <w:widowControl w:val="0"/>
        <w:adjustRightInd w:val="0"/>
        <w:snapToGrid w:val="0"/>
        <w:spacing w:line="480" w:lineRule="exact"/>
        <w:ind w:firstLine="523" w:firstLineChars="187"/>
        <w:rPr>
          <w:b/>
          <w:bCs/>
          <w:sz w:val="28"/>
          <w:szCs w:val="28"/>
        </w:rPr>
      </w:pPr>
      <w:r>
        <w:rPr>
          <w:rFonts w:hint="eastAsia"/>
          <w:sz w:val="28"/>
          <w:szCs w:val="28"/>
        </w:rPr>
        <w:t>名     称：宁波市海曙区人民法院</w:t>
      </w:r>
    </w:p>
    <w:p>
      <w:pPr>
        <w:widowControl w:val="0"/>
        <w:adjustRightInd w:val="0"/>
        <w:snapToGrid w:val="0"/>
        <w:spacing w:line="480" w:lineRule="exact"/>
        <w:ind w:firstLine="523" w:firstLineChars="187"/>
        <w:jc w:val="both"/>
        <w:rPr>
          <w:sz w:val="28"/>
          <w:szCs w:val="28"/>
        </w:rPr>
      </w:pPr>
      <w:r>
        <w:rPr>
          <w:rFonts w:hint="eastAsia"/>
          <w:sz w:val="28"/>
          <w:szCs w:val="28"/>
        </w:rPr>
        <w:t>地     址：</w:t>
      </w:r>
      <w:r>
        <w:rPr>
          <w:rFonts w:hint="eastAsia"/>
          <w:sz w:val="28"/>
        </w:rPr>
        <w:t>宁波市海曙区环城</w:t>
      </w:r>
      <w:r>
        <w:rPr>
          <w:rFonts w:hint="eastAsia"/>
          <w:sz w:val="28"/>
          <w:lang w:eastAsia="zh-CN"/>
        </w:rPr>
        <w:t>西</w:t>
      </w:r>
      <w:r>
        <w:rPr>
          <w:rFonts w:hint="eastAsia"/>
          <w:sz w:val="28"/>
        </w:rPr>
        <w:t>路北段200号</w:t>
      </w:r>
    </w:p>
    <w:p>
      <w:pPr>
        <w:widowControl w:val="0"/>
        <w:adjustRightInd w:val="0"/>
        <w:snapToGrid w:val="0"/>
        <w:spacing w:line="480" w:lineRule="exact"/>
        <w:outlineLvl w:val="1"/>
        <w:rPr>
          <w:rFonts w:ascii="黑体" w:eastAsia="黑体"/>
          <w:sz w:val="28"/>
          <w:szCs w:val="28"/>
        </w:rPr>
      </w:pPr>
      <w:bookmarkStart w:id="21" w:name="_Toc377971404"/>
      <w:bookmarkStart w:id="22" w:name="_Toc437939622"/>
      <w:bookmarkStart w:id="23" w:name="_Toc384888997"/>
      <w:bookmarkStart w:id="24" w:name="_Toc502309758"/>
      <w:r>
        <w:rPr>
          <w:rFonts w:hint="eastAsia" w:ascii="黑体" w:eastAsia="黑体"/>
          <w:sz w:val="28"/>
          <w:szCs w:val="28"/>
        </w:rPr>
        <w:t>二、房地产</w:t>
      </w:r>
      <w:r>
        <w:rPr>
          <w:rFonts w:hint="eastAsia" w:ascii="黑体" w:eastAsia="黑体"/>
          <w:bCs/>
          <w:sz w:val="28"/>
          <w:szCs w:val="28"/>
        </w:rPr>
        <w:t>估价机构</w:t>
      </w:r>
      <w:bookmarkEnd w:id="21"/>
      <w:bookmarkEnd w:id="22"/>
      <w:bookmarkEnd w:id="23"/>
      <w:bookmarkEnd w:id="24"/>
    </w:p>
    <w:p>
      <w:pPr>
        <w:widowControl w:val="0"/>
        <w:adjustRightInd w:val="0"/>
        <w:snapToGrid w:val="0"/>
        <w:spacing w:line="480" w:lineRule="exact"/>
        <w:ind w:firstLine="523" w:firstLineChars="187"/>
        <w:rPr>
          <w:bCs/>
          <w:sz w:val="28"/>
          <w:szCs w:val="28"/>
        </w:rPr>
      </w:pPr>
      <w:r>
        <w:rPr>
          <w:rFonts w:hint="eastAsia"/>
          <w:sz w:val="28"/>
          <w:szCs w:val="28"/>
        </w:rPr>
        <w:t>估价机构名称：</w:t>
      </w:r>
      <w:r>
        <w:rPr>
          <w:rFonts w:hint="eastAsia"/>
          <w:bCs/>
          <w:sz w:val="28"/>
          <w:szCs w:val="28"/>
        </w:rPr>
        <w:t>宁波仲恒房地产估价有限公司</w:t>
      </w:r>
    </w:p>
    <w:p>
      <w:pPr>
        <w:widowControl w:val="0"/>
        <w:adjustRightInd w:val="0"/>
        <w:snapToGrid w:val="0"/>
        <w:spacing w:line="480" w:lineRule="exact"/>
        <w:ind w:firstLine="523" w:firstLineChars="187"/>
        <w:rPr>
          <w:sz w:val="28"/>
          <w:szCs w:val="28"/>
        </w:rPr>
      </w:pPr>
      <w:r>
        <w:rPr>
          <w:rFonts w:hint="eastAsia"/>
          <w:bCs/>
          <w:sz w:val="28"/>
          <w:szCs w:val="28"/>
        </w:rPr>
        <w:t>地址：宁波市鄞州区彩虹南路</w:t>
      </w:r>
      <w:r>
        <w:rPr>
          <w:rFonts w:ascii="Times New Roman" w:hAnsi="Times New Roman" w:cs="Times New Roman"/>
          <w:bCs/>
          <w:sz w:val="28"/>
          <w:szCs w:val="28"/>
        </w:rPr>
        <w:t>16</w:t>
      </w:r>
      <w:r>
        <w:rPr>
          <w:rFonts w:hint="eastAsia"/>
          <w:bCs/>
          <w:sz w:val="28"/>
          <w:szCs w:val="28"/>
        </w:rPr>
        <w:t>号（</w:t>
      </w:r>
      <w:r>
        <w:rPr>
          <w:rFonts w:ascii="Times New Roman" w:hAnsi="Times New Roman" w:cs="Times New Roman"/>
          <w:bCs/>
          <w:sz w:val="28"/>
          <w:szCs w:val="28"/>
        </w:rPr>
        <w:t>10-2</w:t>
      </w:r>
      <w:r>
        <w:rPr>
          <w:bCs/>
          <w:sz w:val="28"/>
          <w:szCs w:val="28"/>
        </w:rPr>
        <w:t>）</w:t>
      </w:r>
      <w:r>
        <w:rPr>
          <w:rFonts w:hint="eastAsia"/>
          <w:bCs/>
          <w:sz w:val="28"/>
          <w:szCs w:val="28"/>
        </w:rPr>
        <w:t>(集中办公区）</w:t>
      </w:r>
    </w:p>
    <w:p>
      <w:pPr>
        <w:widowControl w:val="0"/>
        <w:adjustRightInd w:val="0"/>
        <w:snapToGrid w:val="0"/>
        <w:spacing w:line="480" w:lineRule="exact"/>
        <w:ind w:firstLine="523" w:firstLineChars="187"/>
        <w:rPr>
          <w:sz w:val="28"/>
          <w:szCs w:val="28"/>
        </w:rPr>
      </w:pPr>
      <w:r>
        <w:rPr>
          <w:rFonts w:hint="eastAsia"/>
          <w:sz w:val="28"/>
          <w:szCs w:val="28"/>
        </w:rPr>
        <w:t>法人代表：</w:t>
      </w:r>
      <w:r>
        <w:rPr>
          <w:rFonts w:hint="eastAsia"/>
          <w:sz w:val="28"/>
          <w:szCs w:val="28"/>
          <w:lang w:val="en-US" w:eastAsia="zh-CN"/>
        </w:rPr>
        <w:t>***</w:t>
      </w:r>
      <w:r>
        <w:rPr>
          <w:rFonts w:hint="eastAsia"/>
          <w:sz w:val="28"/>
          <w:szCs w:val="28"/>
        </w:rPr>
        <w:t xml:space="preserve">          资质等级：壹级</w:t>
      </w:r>
    </w:p>
    <w:p>
      <w:pPr>
        <w:widowControl w:val="0"/>
        <w:adjustRightInd w:val="0"/>
        <w:snapToGrid w:val="0"/>
        <w:spacing w:line="480" w:lineRule="exact"/>
        <w:ind w:firstLine="523" w:firstLineChars="187"/>
        <w:rPr>
          <w:sz w:val="28"/>
          <w:szCs w:val="28"/>
        </w:rPr>
      </w:pPr>
      <w:r>
        <w:rPr>
          <w:rFonts w:hint="eastAsia"/>
          <w:sz w:val="28"/>
          <w:szCs w:val="28"/>
        </w:rPr>
        <w:t>证书编号：浙建房估证字</w:t>
      </w:r>
      <w:r>
        <w:rPr>
          <w:rFonts w:hint="eastAsia" w:ascii="Times New Roman" w:hAnsi="Times New Roman" w:cs="Times New Roman"/>
          <w:sz w:val="28"/>
          <w:szCs w:val="28"/>
        </w:rPr>
        <w:t>[2001]015</w:t>
      </w:r>
      <w:r>
        <w:rPr>
          <w:rFonts w:hint="eastAsia"/>
          <w:sz w:val="28"/>
          <w:szCs w:val="28"/>
        </w:rPr>
        <w:t>号</w:t>
      </w:r>
    </w:p>
    <w:p>
      <w:pPr>
        <w:widowControl w:val="0"/>
        <w:adjustRightInd w:val="0"/>
        <w:snapToGrid w:val="0"/>
        <w:spacing w:line="480" w:lineRule="exact"/>
        <w:ind w:firstLine="523" w:firstLineChars="187"/>
        <w:rPr>
          <w:bCs/>
          <w:sz w:val="28"/>
          <w:szCs w:val="28"/>
        </w:rPr>
      </w:pPr>
      <w:r>
        <w:rPr>
          <w:rFonts w:hint="eastAsia"/>
          <w:sz w:val="28"/>
          <w:szCs w:val="28"/>
        </w:rPr>
        <w:t>电话（传真）：</w:t>
      </w:r>
      <w:r>
        <w:rPr>
          <w:rFonts w:ascii="Times New Roman" w:hAnsi="Times New Roman" w:cs="Times New Roman"/>
          <w:sz w:val="28"/>
          <w:szCs w:val="28"/>
        </w:rPr>
        <w:t>0574-87620828</w:t>
      </w:r>
    </w:p>
    <w:p>
      <w:pPr>
        <w:widowControl w:val="0"/>
        <w:adjustRightInd w:val="0"/>
        <w:snapToGrid w:val="0"/>
        <w:spacing w:line="480" w:lineRule="exact"/>
        <w:outlineLvl w:val="1"/>
        <w:rPr>
          <w:rFonts w:ascii="黑体" w:eastAsia="黑体"/>
          <w:sz w:val="28"/>
          <w:szCs w:val="28"/>
        </w:rPr>
      </w:pPr>
      <w:bookmarkStart w:id="25" w:name="_Toc502309759"/>
      <w:bookmarkStart w:id="26" w:name="_Toc437939623"/>
      <w:bookmarkStart w:id="27" w:name="_Toc384888998"/>
      <w:bookmarkStart w:id="28" w:name="_Toc377971405"/>
      <w:r>
        <w:rPr>
          <w:rFonts w:hint="eastAsia" w:ascii="黑体" w:eastAsia="黑体"/>
          <w:bCs/>
          <w:sz w:val="28"/>
          <w:szCs w:val="28"/>
        </w:rPr>
        <w:t>三、</w:t>
      </w:r>
      <w:r>
        <w:rPr>
          <w:rFonts w:hint="eastAsia" w:ascii="黑体" w:eastAsia="黑体"/>
          <w:sz w:val="28"/>
          <w:szCs w:val="28"/>
        </w:rPr>
        <w:t>估价目的</w:t>
      </w:r>
      <w:bookmarkEnd w:id="25"/>
      <w:bookmarkEnd w:id="26"/>
    </w:p>
    <w:p>
      <w:pPr>
        <w:widowControl w:val="0"/>
        <w:adjustRightInd w:val="0"/>
        <w:snapToGrid w:val="0"/>
        <w:spacing w:line="480" w:lineRule="exact"/>
        <w:ind w:firstLine="560" w:firstLineChars="200"/>
        <w:jc w:val="both"/>
        <w:rPr>
          <w:sz w:val="28"/>
        </w:rPr>
      </w:pPr>
      <w:r>
        <w:rPr>
          <w:rFonts w:hint="eastAsia"/>
          <w:sz w:val="28"/>
          <w:szCs w:val="28"/>
        </w:rPr>
        <w:t>为房地产进行司法处置提供价值参考依据而评估房地产市场价值。</w:t>
      </w:r>
    </w:p>
    <w:p>
      <w:pPr>
        <w:widowControl w:val="0"/>
        <w:adjustRightInd w:val="0"/>
        <w:snapToGrid w:val="0"/>
        <w:spacing w:line="480" w:lineRule="exact"/>
        <w:jc w:val="both"/>
        <w:outlineLvl w:val="1"/>
        <w:rPr>
          <w:rFonts w:ascii="黑体" w:eastAsia="黑体"/>
          <w:bCs/>
          <w:sz w:val="28"/>
          <w:szCs w:val="28"/>
        </w:rPr>
      </w:pPr>
      <w:bookmarkStart w:id="29" w:name="_Toc502309760"/>
      <w:bookmarkStart w:id="30" w:name="_Toc437939624"/>
      <w:r>
        <w:rPr>
          <w:rFonts w:hint="eastAsia" w:ascii="黑体" w:eastAsia="黑体"/>
          <w:sz w:val="28"/>
          <w:szCs w:val="28"/>
        </w:rPr>
        <w:t>四、</w:t>
      </w:r>
      <w:r>
        <w:rPr>
          <w:rFonts w:hint="eastAsia" w:ascii="黑体" w:eastAsia="黑体"/>
          <w:bCs/>
          <w:sz w:val="28"/>
          <w:szCs w:val="28"/>
        </w:rPr>
        <w:t>估价对象</w:t>
      </w:r>
      <w:bookmarkEnd w:id="27"/>
      <w:bookmarkEnd w:id="28"/>
      <w:bookmarkEnd w:id="29"/>
      <w:bookmarkEnd w:id="30"/>
    </w:p>
    <w:p>
      <w:pPr>
        <w:widowControl w:val="0"/>
        <w:adjustRightInd w:val="0"/>
        <w:snapToGrid w:val="0"/>
        <w:spacing w:line="480" w:lineRule="exact"/>
        <w:ind w:firstLine="560" w:firstLineChars="200"/>
        <w:rPr>
          <w:sz w:val="28"/>
          <w:szCs w:val="28"/>
        </w:rPr>
      </w:pPr>
      <w:r>
        <w:rPr>
          <w:rFonts w:hint="eastAsia"/>
          <w:sz w:val="28"/>
          <w:szCs w:val="28"/>
        </w:rPr>
        <w:t>1、估价对象区位状况</w:t>
      </w:r>
    </w:p>
    <w:p>
      <w:pPr>
        <w:widowControl w:val="0"/>
        <w:spacing w:line="500" w:lineRule="exact"/>
        <w:ind w:firstLine="560" w:firstLineChars="200"/>
        <w:jc w:val="both"/>
        <w:rPr>
          <w:sz w:val="28"/>
          <w:szCs w:val="28"/>
        </w:rPr>
      </w:pPr>
      <w:r>
        <w:rPr>
          <w:sz w:val="28"/>
          <w:szCs w:val="28"/>
        </w:rPr>
        <w:t>估价对象所在象山县位于浙江省东部沿海中段，宁波市的东南部，在象山港与三门湾之间。其地理位置北临象山港，与鄞州区、奉化市隔港相望；东北遥对舟山市普陀区的六横岛和宁波市北仑区的梅山岛；东濒大目洋；南接猫头洋，隔三门湾与台州市的三门县相峙；西连宁海县，象山半岛自宁海县紫溪、梅林至一市东延入海。全县辖有3个街道、10个镇和5个乡，2020年末全县总户数182530户，户籍人口544194人，其中，城镇户籍人口204168人。</w:t>
      </w:r>
    </w:p>
    <w:p>
      <w:pPr>
        <w:widowControl w:val="0"/>
        <w:spacing w:line="500" w:lineRule="exact"/>
        <w:ind w:firstLine="560" w:firstLineChars="200"/>
        <w:jc w:val="both"/>
        <w:rPr>
          <w:sz w:val="28"/>
          <w:szCs w:val="28"/>
        </w:rPr>
      </w:pPr>
      <w:r>
        <w:rPr>
          <w:rFonts w:hint="eastAsia"/>
          <w:sz w:val="28"/>
          <w:szCs w:val="28"/>
        </w:rPr>
        <w:t>据统计资料，2020年象山县地区生产总值563亿元，按可比价格计算，同比增长1.6%。按户籍人口计算，人均生产总值103226元（按年平均汇率折算为14965美元），比上年增长1.8%。全年完成财政总收入81.68亿元，比上年增长6.3%。2021年前三季度象山县地区生产总值454.86亿元，按可比价格计算，同比增长10.1%。</w:t>
      </w:r>
    </w:p>
    <w:p>
      <w:pPr>
        <w:widowControl w:val="0"/>
        <w:spacing w:line="540" w:lineRule="exact"/>
        <w:ind w:firstLine="560" w:firstLineChars="200"/>
        <w:jc w:val="both"/>
        <w:rPr>
          <w:kern w:val="15"/>
          <w:sz w:val="28"/>
          <w:szCs w:val="28"/>
        </w:rPr>
      </w:pPr>
      <w:r>
        <w:rPr>
          <w:rFonts w:hint="eastAsia"/>
          <w:kern w:val="15"/>
          <w:sz w:val="28"/>
          <w:szCs w:val="28"/>
        </w:rPr>
        <w:t>估价对象为象山县</w:t>
      </w:r>
      <w:r>
        <w:rPr>
          <w:kern w:val="15"/>
          <w:sz w:val="28"/>
          <w:szCs w:val="28"/>
        </w:rPr>
        <w:t>丹西街道</w:t>
      </w:r>
      <w:r>
        <w:rPr>
          <w:rFonts w:hint="eastAsia"/>
          <w:kern w:val="15"/>
          <w:sz w:val="28"/>
          <w:szCs w:val="28"/>
        </w:rPr>
        <w:t>锦河苑3幢305室，位于</w:t>
      </w:r>
      <w:r>
        <w:rPr>
          <w:kern w:val="15"/>
          <w:sz w:val="28"/>
          <w:szCs w:val="28"/>
        </w:rPr>
        <w:t>象山县中心城区，</w:t>
      </w:r>
      <w:r>
        <w:rPr>
          <w:rFonts w:hint="eastAsia"/>
          <w:kern w:val="15"/>
          <w:sz w:val="28"/>
          <w:szCs w:val="28"/>
        </w:rPr>
        <w:t>所在</w:t>
      </w:r>
      <w:r>
        <w:rPr>
          <w:kern w:val="15"/>
          <w:sz w:val="28"/>
          <w:szCs w:val="28"/>
        </w:rPr>
        <w:t>地块</w:t>
      </w:r>
      <w:r>
        <w:rPr>
          <w:rFonts w:hint="eastAsia"/>
          <w:kern w:val="15"/>
          <w:sz w:val="28"/>
          <w:szCs w:val="28"/>
        </w:rPr>
        <w:t>东近天安路，南邻金都花苑，西近顺达路，北临锦河路。附近有新峰小区</w:t>
      </w:r>
      <w:r>
        <w:rPr>
          <w:kern w:val="15"/>
          <w:sz w:val="28"/>
          <w:szCs w:val="28"/>
        </w:rPr>
        <w:t>、蓬莱小区、</w:t>
      </w:r>
      <w:r>
        <w:rPr>
          <w:rFonts w:hint="eastAsia"/>
          <w:kern w:val="15"/>
          <w:sz w:val="28"/>
          <w:szCs w:val="28"/>
        </w:rPr>
        <w:t>瀛洲</w:t>
      </w:r>
      <w:r>
        <w:rPr>
          <w:kern w:val="15"/>
          <w:sz w:val="28"/>
          <w:szCs w:val="28"/>
        </w:rPr>
        <w:t>小区、</w:t>
      </w:r>
      <w:r>
        <w:rPr>
          <w:rFonts w:hint="eastAsia"/>
          <w:kern w:val="15"/>
          <w:sz w:val="28"/>
          <w:szCs w:val="28"/>
        </w:rPr>
        <w:t>瑶琳</w:t>
      </w:r>
      <w:r>
        <w:rPr>
          <w:kern w:val="15"/>
          <w:sz w:val="28"/>
          <w:szCs w:val="28"/>
        </w:rPr>
        <w:t>小区等众多</w:t>
      </w:r>
      <w:r>
        <w:rPr>
          <w:rFonts w:hint="eastAsia"/>
          <w:kern w:val="15"/>
          <w:sz w:val="28"/>
          <w:szCs w:val="28"/>
        </w:rPr>
        <w:t>住宅</w:t>
      </w:r>
      <w:r>
        <w:rPr>
          <w:kern w:val="15"/>
          <w:sz w:val="28"/>
          <w:szCs w:val="28"/>
        </w:rPr>
        <w:t>小区，</w:t>
      </w:r>
      <w:r>
        <w:rPr>
          <w:rFonts w:hint="eastAsia"/>
          <w:kern w:val="15"/>
          <w:sz w:val="28"/>
          <w:szCs w:val="28"/>
        </w:rPr>
        <w:t>居住聚集度</w:t>
      </w:r>
      <w:r>
        <w:rPr>
          <w:kern w:val="15"/>
          <w:sz w:val="28"/>
          <w:szCs w:val="28"/>
        </w:rPr>
        <w:t>高</w:t>
      </w:r>
      <w:r>
        <w:rPr>
          <w:rFonts w:hint="eastAsia"/>
          <w:kern w:val="15"/>
          <w:sz w:val="28"/>
          <w:szCs w:val="28"/>
        </w:rPr>
        <w:t>；区域内有蓬莱菜场、人民广场</w:t>
      </w:r>
      <w:r>
        <w:rPr>
          <w:kern w:val="15"/>
          <w:sz w:val="28"/>
          <w:szCs w:val="28"/>
        </w:rPr>
        <w:t>、</w:t>
      </w:r>
      <w:r>
        <w:rPr>
          <w:rFonts w:hint="eastAsia"/>
          <w:kern w:val="15"/>
          <w:sz w:val="28"/>
          <w:szCs w:val="28"/>
        </w:rPr>
        <w:t>天安壹街商业广场、红枫幼儿园、丹城第三小学、丹城</w:t>
      </w:r>
      <w:r>
        <w:rPr>
          <w:kern w:val="15"/>
          <w:sz w:val="28"/>
          <w:szCs w:val="28"/>
        </w:rPr>
        <w:t>第二中学、</w:t>
      </w:r>
      <w:r>
        <w:rPr>
          <w:rFonts w:hint="eastAsia"/>
          <w:kern w:val="15"/>
          <w:sz w:val="28"/>
          <w:szCs w:val="28"/>
        </w:rPr>
        <w:t>象山县</w:t>
      </w:r>
      <w:r>
        <w:rPr>
          <w:kern w:val="15"/>
          <w:sz w:val="28"/>
          <w:szCs w:val="28"/>
        </w:rPr>
        <w:t>第一人民医院、</w:t>
      </w:r>
      <w:r>
        <w:rPr>
          <w:rFonts w:hint="eastAsia"/>
          <w:kern w:val="15"/>
          <w:sz w:val="28"/>
          <w:szCs w:val="28"/>
        </w:rPr>
        <w:t>象山中医院东海银行、建设银行、中国银行等，城市公共</w:t>
      </w:r>
      <w:r>
        <w:rPr>
          <w:kern w:val="15"/>
          <w:sz w:val="28"/>
          <w:szCs w:val="28"/>
        </w:rPr>
        <w:t>配套齐全</w:t>
      </w:r>
      <w:r>
        <w:rPr>
          <w:rFonts w:hint="eastAsia"/>
          <w:kern w:val="15"/>
          <w:sz w:val="28"/>
          <w:szCs w:val="28"/>
        </w:rPr>
        <w:t>。估价对象紧邻</w:t>
      </w:r>
      <w:r>
        <w:rPr>
          <w:kern w:val="15"/>
          <w:sz w:val="28"/>
          <w:szCs w:val="28"/>
        </w:rPr>
        <w:t>城市主干道</w:t>
      </w:r>
      <w:r>
        <w:rPr>
          <w:rFonts w:hint="eastAsia"/>
          <w:kern w:val="15"/>
          <w:sz w:val="28"/>
          <w:szCs w:val="28"/>
        </w:rPr>
        <w:t>丹峰东路及天安路，附近设“蓬莱菜场北、蓬莱菜场</w:t>
      </w:r>
      <w:r>
        <w:rPr>
          <w:kern w:val="15"/>
          <w:sz w:val="28"/>
          <w:szCs w:val="28"/>
        </w:rPr>
        <w:t>西</w:t>
      </w:r>
      <w:r>
        <w:rPr>
          <w:rFonts w:hint="eastAsia"/>
          <w:kern w:val="15"/>
          <w:sz w:val="28"/>
          <w:szCs w:val="28"/>
        </w:rPr>
        <w:t>”等公交站点，有106路、108路、120路等公交车线路通过，交通便捷。</w:t>
      </w:r>
    </w:p>
    <w:p>
      <w:pPr>
        <w:widowControl w:val="0"/>
        <w:adjustRightInd w:val="0"/>
        <w:snapToGrid w:val="0"/>
        <w:spacing w:line="480" w:lineRule="exact"/>
        <w:ind w:firstLine="560" w:firstLineChars="200"/>
        <w:rPr>
          <w:sz w:val="28"/>
          <w:szCs w:val="28"/>
        </w:rPr>
      </w:pPr>
      <w:r>
        <w:rPr>
          <w:rFonts w:hint="eastAsia"/>
          <w:sz w:val="28"/>
          <w:szCs w:val="28"/>
        </w:rPr>
        <w:t>2、估价对象权益状况</w:t>
      </w:r>
    </w:p>
    <w:p>
      <w:pPr>
        <w:widowControl w:val="0"/>
        <w:spacing w:line="520" w:lineRule="exact"/>
        <w:ind w:firstLine="560" w:firstLineChars="200"/>
        <w:jc w:val="both"/>
        <w:rPr>
          <w:rFonts w:hint="eastAsia"/>
          <w:kern w:val="15"/>
          <w:sz w:val="28"/>
          <w:szCs w:val="28"/>
        </w:rPr>
      </w:pPr>
      <w:r>
        <w:rPr>
          <w:rFonts w:hint="eastAsia"/>
          <w:kern w:val="15"/>
          <w:sz w:val="28"/>
          <w:szCs w:val="28"/>
        </w:rPr>
        <w:t>根据“象房权证丹城镇字第0130659号”《房屋所有权证》、“象国用（2004）第01-3174号”《国有土地使用证》及</w:t>
      </w:r>
      <w:r>
        <w:rPr>
          <w:kern w:val="15"/>
          <w:sz w:val="28"/>
          <w:szCs w:val="28"/>
        </w:rPr>
        <w:t>编号“D20211008-0002198”《</w:t>
      </w:r>
      <w:r>
        <w:rPr>
          <w:rFonts w:hint="eastAsia"/>
          <w:kern w:val="15"/>
          <w:sz w:val="28"/>
          <w:szCs w:val="28"/>
        </w:rPr>
        <w:t>象山县</w:t>
      </w:r>
      <w:r>
        <w:rPr>
          <w:kern w:val="15"/>
          <w:sz w:val="28"/>
          <w:szCs w:val="28"/>
        </w:rPr>
        <w:t>不动产登记情况证明》</w:t>
      </w:r>
      <w:r>
        <w:rPr>
          <w:rFonts w:hint="eastAsia"/>
          <w:kern w:val="15"/>
          <w:sz w:val="28"/>
          <w:szCs w:val="28"/>
        </w:rPr>
        <w:t>记载：权利人为</w:t>
      </w:r>
      <w:r>
        <w:rPr>
          <w:rFonts w:hint="eastAsia"/>
          <w:kern w:val="15"/>
          <w:sz w:val="28"/>
          <w:szCs w:val="28"/>
          <w:lang w:val="en-US" w:eastAsia="zh-CN"/>
        </w:rPr>
        <w:t>***</w:t>
      </w:r>
      <w:bookmarkStart w:id="65" w:name="_GoBack"/>
      <w:bookmarkEnd w:id="65"/>
      <w:r>
        <w:rPr>
          <w:rFonts w:hint="eastAsia"/>
          <w:kern w:val="15"/>
          <w:sz w:val="28"/>
          <w:szCs w:val="28"/>
        </w:rPr>
        <w:t>，房屋坐落为宁波市象山县丹西街道锦河苑3号楼305室,建筑面积为114.62㎡（其中公用共有</w:t>
      </w:r>
      <w:r>
        <w:rPr>
          <w:kern w:val="15"/>
          <w:sz w:val="28"/>
          <w:szCs w:val="28"/>
        </w:rPr>
        <w:t>部位占</w:t>
      </w:r>
      <w:r>
        <w:rPr>
          <w:rFonts w:hint="eastAsia"/>
          <w:kern w:val="15"/>
          <w:sz w:val="28"/>
          <w:szCs w:val="28"/>
        </w:rPr>
        <w:t>11.23㎡），</w:t>
      </w:r>
      <w:r>
        <w:rPr>
          <w:rFonts w:hint="eastAsia"/>
          <w:kern w:val="15"/>
          <w:sz w:val="28"/>
          <w:szCs w:val="28"/>
          <w:lang w:eastAsia="zh-CN"/>
        </w:rPr>
        <w:t>混合结构，</w:t>
      </w:r>
      <w:r>
        <w:rPr>
          <w:rFonts w:hint="eastAsia"/>
          <w:kern w:val="15"/>
          <w:sz w:val="28"/>
          <w:szCs w:val="28"/>
        </w:rPr>
        <w:t>房屋总层数6层，规划用途为住宅；土地用途为住宅，使用权类型为出让，土地使用权面积(分摊)39.4平方米，土地使用权终止日期为2067年06月16日。估价</w:t>
      </w:r>
      <w:r>
        <w:rPr>
          <w:kern w:val="15"/>
          <w:sz w:val="28"/>
          <w:szCs w:val="28"/>
        </w:rPr>
        <w:t>对象</w:t>
      </w:r>
      <w:r>
        <w:rPr>
          <w:rFonts w:hint="eastAsia"/>
          <w:kern w:val="15"/>
          <w:sz w:val="28"/>
          <w:szCs w:val="28"/>
        </w:rPr>
        <w:t>有</w:t>
      </w:r>
      <w:r>
        <w:rPr>
          <w:kern w:val="15"/>
          <w:sz w:val="28"/>
          <w:szCs w:val="28"/>
        </w:rPr>
        <w:t>查封</w:t>
      </w:r>
      <w:r>
        <w:rPr>
          <w:rFonts w:hint="eastAsia"/>
          <w:kern w:val="15"/>
          <w:sz w:val="28"/>
          <w:szCs w:val="28"/>
        </w:rPr>
        <w:t>、</w:t>
      </w:r>
      <w:r>
        <w:rPr>
          <w:kern w:val="15"/>
          <w:sz w:val="28"/>
          <w:szCs w:val="28"/>
        </w:rPr>
        <w:t>有抵押。</w:t>
      </w:r>
    </w:p>
    <w:p>
      <w:pPr>
        <w:widowControl w:val="0"/>
        <w:spacing w:line="520" w:lineRule="exact"/>
        <w:ind w:firstLine="560" w:firstLineChars="200"/>
        <w:jc w:val="both"/>
        <w:rPr>
          <w:kern w:val="15"/>
          <w:sz w:val="28"/>
          <w:szCs w:val="28"/>
        </w:rPr>
      </w:pPr>
      <w:r>
        <w:rPr>
          <w:rFonts w:hint="eastAsia"/>
          <w:kern w:val="15"/>
          <w:sz w:val="28"/>
          <w:szCs w:val="28"/>
        </w:rPr>
        <w:t>经</w:t>
      </w:r>
      <w:r>
        <w:rPr>
          <w:kern w:val="15"/>
          <w:sz w:val="28"/>
          <w:szCs w:val="28"/>
        </w:rPr>
        <w:t>现场查勘，</w:t>
      </w:r>
      <w:r>
        <w:rPr>
          <w:rFonts w:hint="eastAsia"/>
          <w:kern w:val="15"/>
          <w:sz w:val="28"/>
          <w:szCs w:val="28"/>
        </w:rPr>
        <w:t>小区无物业管理。本次估价结果不考虑估价对象抵押权等权益状况限制，包含室内固定装修的价值，不包含室内动产的价值。</w:t>
      </w:r>
    </w:p>
    <w:p>
      <w:pPr>
        <w:spacing w:line="520" w:lineRule="exact"/>
        <w:ind w:firstLine="560" w:firstLineChars="200"/>
        <w:rPr>
          <w:rFonts w:cs="Arial"/>
          <w:sz w:val="28"/>
          <w:szCs w:val="28"/>
          <w:shd w:val="clear" w:color="auto" w:fill="FFFFFF"/>
        </w:rPr>
      </w:pPr>
      <w:r>
        <w:rPr>
          <w:rFonts w:hint="eastAsia" w:cs="Arial"/>
          <w:sz w:val="28"/>
          <w:szCs w:val="28"/>
          <w:shd w:val="clear" w:color="auto" w:fill="FFFFFF"/>
        </w:rPr>
        <w:t>3、估价对象实物状况</w:t>
      </w:r>
    </w:p>
    <w:p>
      <w:pPr>
        <w:widowControl w:val="0"/>
        <w:spacing w:line="520" w:lineRule="exact"/>
        <w:ind w:firstLine="560" w:firstLineChars="200"/>
        <w:jc w:val="both"/>
        <w:rPr>
          <w:kern w:val="15"/>
          <w:sz w:val="28"/>
          <w:szCs w:val="28"/>
        </w:rPr>
      </w:pPr>
      <w:r>
        <w:rPr>
          <w:rFonts w:hint="eastAsia"/>
          <w:kern w:val="15"/>
          <w:sz w:val="28"/>
          <w:szCs w:val="28"/>
        </w:rPr>
        <w:t>经估价人员现场查勘，估价对象为宁波市象山县丹西街道锦河苑3号楼305室的住宅房地产，所在</w:t>
      </w:r>
      <w:r>
        <w:rPr>
          <w:kern w:val="15"/>
          <w:sz w:val="28"/>
          <w:szCs w:val="28"/>
        </w:rPr>
        <w:t>地块</w:t>
      </w:r>
      <w:r>
        <w:rPr>
          <w:rFonts w:hint="eastAsia"/>
          <w:kern w:val="15"/>
          <w:sz w:val="28"/>
          <w:szCs w:val="28"/>
        </w:rPr>
        <w:t>东近天安路，南邻金都花苑，西近顺达路，北临锦河路。所在小区无物业管理，整体维护状况一般，所在建筑物南北朝向，外墙涂料，混合结构，共6层，北侧底层为临街店铺，南侧底层为车库</w:t>
      </w:r>
      <w:r>
        <w:rPr>
          <w:rFonts w:hint="eastAsia"/>
          <w:kern w:val="15"/>
          <w:sz w:val="28"/>
          <w:szCs w:val="28"/>
          <w:lang w:eastAsia="zh-CN"/>
        </w:rPr>
        <w:t>及夹层，</w:t>
      </w:r>
      <w:r>
        <w:rPr>
          <w:rFonts w:hint="eastAsia"/>
          <w:kern w:val="15"/>
          <w:sz w:val="28"/>
          <w:szCs w:val="28"/>
        </w:rPr>
        <w:t>估价对象位于第3层中间套，所在单元设电子防盗门禁出入，室内已装修，布局为三室两厅一卫一厨房两阳台，目前处于使用状态。室内</w:t>
      </w:r>
      <w:r>
        <w:rPr>
          <w:kern w:val="15"/>
          <w:sz w:val="28"/>
          <w:szCs w:val="28"/>
        </w:rPr>
        <w:t>装修</w:t>
      </w:r>
      <w:r>
        <w:rPr>
          <w:rFonts w:hint="eastAsia"/>
          <w:kern w:val="15"/>
          <w:sz w:val="28"/>
          <w:szCs w:val="28"/>
        </w:rPr>
        <w:t xml:space="preserve">情况如下表（以室内实际状况为准）：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992"/>
        <w:gridCol w:w="850"/>
        <w:gridCol w:w="12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15"/>
                <w:sz w:val="21"/>
                <w:szCs w:val="21"/>
              </w:rPr>
            </w:pPr>
            <w:bookmarkStart w:id="31" w:name="OLE_LINK1"/>
            <w:r>
              <w:rPr>
                <w:rFonts w:hint="eastAsia"/>
                <w:b/>
                <w:bCs/>
                <w:color w:val="000000"/>
                <w:sz w:val="21"/>
                <w:szCs w:val="21"/>
                <w:lang w:bidi="ar"/>
              </w:rPr>
              <w:t>位置</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b/>
                <w:bCs/>
                <w:color w:val="000000"/>
                <w:sz w:val="21"/>
                <w:szCs w:val="21"/>
                <w:lang w:bidi="ar"/>
              </w:rPr>
              <w:t>地面</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b/>
                <w:bCs/>
                <w:color w:val="000000"/>
                <w:sz w:val="21"/>
                <w:szCs w:val="21"/>
                <w:lang w:bidi="ar"/>
              </w:rPr>
              <w:t>墙面</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b/>
                <w:bCs/>
                <w:color w:val="000000"/>
                <w:sz w:val="21"/>
                <w:szCs w:val="21"/>
                <w:lang w:bidi="ar"/>
              </w:rPr>
              <w:t>顶棚</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附属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客厅</w:t>
            </w:r>
          </w:p>
        </w:tc>
        <w:tc>
          <w:tcPr>
            <w:tcW w:w="99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木地板</w:t>
            </w:r>
          </w:p>
        </w:tc>
        <w:tc>
          <w:tcPr>
            <w:tcW w:w="8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涂料</w:t>
            </w:r>
          </w:p>
        </w:tc>
        <w:tc>
          <w:tcPr>
            <w:tcW w:w="127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石膏吊顶</w:t>
            </w:r>
          </w:p>
        </w:tc>
        <w:tc>
          <w:tcPr>
            <w:tcW w:w="411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电视机背景墙、电视柜、鞋柜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餐厅</w:t>
            </w:r>
          </w:p>
        </w:tc>
        <w:tc>
          <w:tcPr>
            <w:tcW w:w="99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地砖</w:t>
            </w:r>
          </w:p>
        </w:tc>
        <w:tc>
          <w:tcPr>
            <w:tcW w:w="8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涂料</w:t>
            </w:r>
          </w:p>
        </w:tc>
        <w:tc>
          <w:tcPr>
            <w:tcW w:w="127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石膏吊顶</w:t>
            </w:r>
          </w:p>
        </w:tc>
        <w:tc>
          <w:tcPr>
            <w:tcW w:w="411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餐边柜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厨房</w:t>
            </w:r>
          </w:p>
        </w:tc>
        <w:tc>
          <w:tcPr>
            <w:tcW w:w="99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地砖</w:t>
            </w:r>
          </w:p>
        </w:tc>
        <w:tc>
          <w:tcPr>
            <w:tcW w:w="8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瓷砖</w:t>
            </w:r>
          </w:p>
        </w:tc>
        <w:tc>
          <w:tcPr>
            <w:tcW w:w="127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扣板顶</w:t>
            </w:r>
          </w:p>
        </w:tc>
        <w:tc>
          <w:tcPr>
            <w:tcW w:w="411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黑大理石灶台、上下厨柜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南卧（东）</w:t>
            </w:r>
          </w:p>
        </w:tc>
        <w:tc>
          <w:tcPr>
            <w:tcW w:w="99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木地板</w:t>
            </w:r>
          </w:p>
        </w:tc>
        <w:tc>
          <w:tcPr>
            <w:tcW w:w="85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涂料</w:t>
            </w:r>
          </w:p>
        </w:tc>
        <w:tc>
          <w:tcPr>
            <w:tcW w:w="127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涂料</w:t>
            </w:r>
          </w:p>
        </w:tc>
        <w:tc>
          <w:tcPr>
            <w:tcW w:w="4111"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kern w:val="15"/>
                <w:sz w:val="21"/>
                <w:szCs w:val="21"/>
              </w:rPr>
            </w:pPr>
            <w:r>
              <w:rPr>
                <w:rFonts w:hint="eastAsia"/>
                <w:color w:val="000000"/>
                <w:sz w:val="21"/>
                <w:szCs w:val="21"/>
                <w:lang w:bidi="ar"/>
              </w:rPr>
              <w:t>大衣橱、带阳台（木地板、书橱）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南卧（西）</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木地板</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涂料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涂料</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大衣橱、带阳台（地砖、壁柜、洗衣台）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北卧</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木地板</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涂料</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涂料</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矮柜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卫生间</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地砖</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瓷砖</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扣板顶</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kern w:val="15"/>
                <w:sz w:val="21"/>
                <w:szCs w:val="21"/>
              </w:rPr>
            </w:pPr>
            <w:r>
              <w:rPr>
                <w:rFonts w:hint="eastAsia"/>
                <w:color w:val="000000"/>
                <w:sz w:val="21"/>
                <w:szCs w:val="21"/>
                <w:lang w:bidi="ar"/>
              </w:rPr>
              <w:t>马桶、洗脸面盆台柜、淋浴房</w:t>
            </w:r>
          </w:p>
        </w:tc>
      </w:tr>
      <w:bookmarkEnd w:id="31"/>
    </w:tbl>
    <w:p>
      <w:pPr>
        <w:widowControl w:val="0"/>
        <w:tabs>
          <w:tab w:val="right" w:pos="8562"/>
        </w:tabs>
        <w:spacing w:line="420" w:lineRule="exact"/>
        <w:outlineLvl w:val="1"/>
        <w:rPr>
          <w:rFonts w:cs="Arial"/>
          <w:sz w:val="28"/>
          <w:szCs w:val="28"/>
          <w:shd w:val="clear" w:color="auto" w:fill="FFFFFF"/>
        </w:rPr>
      </w:pPr>
      <w:bookmarkStart w:id="32" w:name="_Toc377971407"/>
      <w:bookmarkStart w:id="33" w:name="_Toc437939625"/>
      <w:bookmarkStart w:id="34" w:name="_Toc502309761"/>
      <w:bookmarkStart w:id="35" w:name="_Toc384889000"/>
      <w:r>
        <w:rPr>
          <w:rFonts w:hint="eastAsia" w:ascii="黑体" w:eastAsia="黑体"/>
          <w:sz w:val="28"/>
          <w:szCs w:val="28"/>
        </w:rPr>
        <w:t>五</w:t>
      </w:r>
      <w:r>
        <w:rPr>
          <w:rFonts w:hint="eastAsia" w:cs="Arial"/>
          <w:sz w:val="28"/>
          <w:szCs w:val="28"/>
          <w:shd w:val="clear" w:color="auto" w:fill="FFFFFF"/>
        </w:rPr>
        <w:t>、</w:t>
      </w:r>
      <w:r>
        <w:rPr>
          <w:rFonts w:hint="eastAsia" w:ascii="黑体" w:hAnsi="黑体" w:eastAsia="黑体" w:cs="Arial"/>
          <w:sz w:val="28"/>
          <w:szCs w:val="28"/>
          <w:shd w:val="clear" w:color="auto" w:fill="FFFFFF"/>
        </w:rPr>
        <w:t>价值时点</w:t>
      </w:r>
      <w:bookmarkEnd w:id="32"/>
      <w:bookmarkEnd w:id="33"/>
      <w:bookmarkEnd w:id="34"/>
      <w:bookmarkEnd w:id="35"/>
    </w:p>
    <w:p>
      <w:pPr>
        <w:widowControl w:val="0"/>
        <w:tabs>
          <w:tab w:val="right" w:pos="8562"/>
        </w:tabs>
        <w:spacing w:line="500" w:lineRule="exact"/>
        <w:ind w:firstLine="560" w:firstLineChars="200"/>
        <w:rPr>
          <w:rFonts w:cs="Arial"/>
          <w:sz w:val="28"/>
          <w:szCs w:val="28"/>
          <w:shd w:val="clear" w:color="auto" w:fill="FFFFFF"/>
        </w:rPr>
      </w:pPr>
      <w:r>
        <w:rPr>
          <w:rFonts w:hint="eastAsia" w:cs="Arial"/>
          <w:sz w:val="28"/>
          <w:szCs w:val="28"/>
          <w:shd w:val="clear" w:color="auto" w:fill="FFFFFF"/>
        </w:rPr>
        <w:t>为实地查勘日2021年12月31日 。</w:t>
      </w:r>
      <w:r>
        <w:rPr>
          <w:rFonts w:cs="Arial"/>
          <w:sz w:val="28"/>
          <w:szCs w:val="28"/>
          <w:shd w:val="clear" w:color="auto" w:fill="FFFFFF"/>
        </w:rPr>
        <w:tab/>
      </w:r>
    </w:p>
    <w:p>
      <w:pPr>
        <w:widowControl w:val="0"/>
        <w:spacing w:line="500" w:lineRule="exact"/>
        <w:outlineLvl w:val="1"/>
        <w:rPr>
          <w:rFonts w:ascii="黑体" w:hAnsi="黑体" w:eastAsia="黑体" w:cs="Arial"/>
          <w:sz w:val="28"/>
          <w:szCs w:val="28"/>
          <w:shd w:val="clear" w:color="auto" w:fill="FFFFFF"/>
        </w:rPr>
      </w:pPr>
      <w:bookmarkStart w:id="36" w:name="_Toc377971408"/>
      <w:bookmarkStart w:id="37" w:name="_Toc384889001"/>
      <w:bookmarkStart w:id="38" w:name="_Toc502309762"/>
      <w:bookmarkStart w:id="39" w:name="_Toc437939626"/>
      <w:r>
        <w:rPr>
          <w:rFonts w:hint="eastAsia" w:ascii="黑体" w:hAnsi="黑体" w:eastAsia="黑体" w:cs="Arial"/>
          <w:sz w:val="28"/>
          <w:szCs w:val="28"/>
          <w:shd w:val="clear" w:color="auto" w:fill="FFFFFF"/>
        </w:rPr>
        <w:t>六、价值</w:t>
      </w:r>
      <w:bookmarkEnd w:id="36"/>
      <w:bookmarkEnd w:id="37"/>
      <w:r>
        <w:rPr>
          <w:rFonts w:hint="eastAsia" w:ascii="黑体" w:hAnsi="黑体" w:eastAsia="黑体" w:cs="Arial"/>
          <w:sz w:val="28"/>
          <w:szCs w:val="28"/>
          <w:shd w:val="clear" w:color="auto" w:fill="FFFFFF"/>
        </w:rPr>
        <w:t>类型</w:t>
      </w:r>
      <w:bookmarkEnd w:id="38"/>
      <w:bookmarkEnd w:id="39"/>
    </w:p>
    <w:p>
      <w:pPr>
        <w:widowControl w:val="0"/>
        <w:spacing w:line="520" w:lineRule="exact"/>
        <w:ind w:firstLine="560" w:firstLineChars="200"/>
        <w:jc w:val="both"/>
        <w:rPr>
          <w:rFonts w:cs="Arial"/>
          <w:sz w:val="28"/>
          <w:szCs w:val="28"/>
          <w:shd w:val="clear" w:color="auto" w:fill="FFFFFF"/>
        </w:rPr>
      </w:pPr>
      <w:bookmarkStart w:id="40" w:name="_Toc377971409"/>
      <w:bookmarkStart w:id="41" w:name="_Toc384889003"/>
      <w:bookmarkStart w:id="42" w:name="_Toc437939627"/>
      <w:bookmarkStart w:id="43" w:name="_Toc384889002"/>
      <w:r>
        <w:rPr>
          <w:rFonts w:hint="eastAsia" w:cs="Arial"/>
          <w:sz w:val="28"/>
          <w:szCs w:val="28"/>
          <w:shd w:val="clear" w:color="auto" w:fill="FFFFFF"/>
        </w:rPr>
        <w:t>本次估价采用为公开的市场价值。</w:t>
      </w:r>
    </w:p>
    <w:p>
      <w:pPr>
        <w:widowControl w:val="0"/>
        <w:spacing w:line="520" w:lineRule="exact"/>
        <w:ind w:firstLine="560" w:firstLineChars="200"/>
        <w:jc w:val="both"/>
        <w:rPr>
          <w:rFonts w:cs="Arial"/>
          <w:sz w:val="28"/>
          <w:szCs w:val="28"/>
          <w:shd w:val="clear" w:color="auto" w:fill="FFFFFF"/>
        </w:rPr>
      </w:pPr>
      <w:r>
        <w:rPr>
          <w:rFonts w:hint="eastAsia" w:cs="Arial"/>
          <w:sz w:val="28"/>
          <w:szCs w:val="28"/>
          <w:shd w:val="clear" w:color="auto" w:fill="FFFFFF"/>
        </w:rPr>
        <w:t>公开市场价值为估价对象经适当营销后，由熟悉情况、无利害关系、谨慎行事且不受强迫的交易双方以公平交易方式在价值时点自愿进行交易的金额。</w:t>
      </w:r>
    </w:p>
    <w:p>
      <w:pPr>
        <w:widowControl w:val="0"/>
        <w:spacing w:line="520" w:lineRule="exact"/>
        <w:outlineLvl w:val="1"/>
        <w:rPr>
          <w:rFonts w:ascii="黑体" w:hAnsi="黑体" w:eastAsia="黑体" w:cs="Arial"/>
          <w:sz w:val="28"/>
          <w:szCs w:val="28"/>
          <w:shd w:val="clear" w:color="auto" w:fill="FFFFFF"/>
        </w:rPr>
      </w:pPr>
      <w:bookmarkStart w:id="44" w:name="_Toc502309763"/>
      <w:r>
        <w:rPr>
          <w:rFonts w:hint="eastAsia" w:ascii="黑体" w:hAnsi="黑体" w:eastAsia="黑体" w:cs="Arial"/>
          <w:sz w:val="28"/>
          <w:szCs w:val="28"/>
          <w:shd w:val="clear" w:color="auto" w:fill="FFFFFF"/>
        </w:rPr>
        <w:t>七、估价原则</w:t>
      </w:r>
      <w:bookmarkEnd w:id="40"/>
      <w:bookmarkEnd w:id="41"/>
      <w:bookmarkEnd w:id="42"/>
      <w:bookmarkEnd w:id="44"/>
    </w:p>
    <w:p>
      <w:pPr>
        <w:widowControl w:val="0"/>
        <w:spacing w:line="520" w:lineRule="exact"/>
        <w:ind w:firstLine="560" w:firstLineChars="200"/>
        <w:outlineLvl w:val="1"/>
        <w:rPr>
          <w:rFonts w:ascii="黑体" w:hAnsi="黑体" w:eastAsia="黑体" w:cs="Arial"/>
          <w:sz w:val="28"/>
          <w:szCs w:val="28"/>
          <w:shd w:val="clear" w:color="auto" w:fill="FFFFFF"/>
        </w:rPr>
      </w:pPr>
      <w:r>
        <w:rPr>
          <w:rFonts w:hint="eastAsia" w:cs="Arial"/>
          <w:sz w:val="28"/>
          <w:szCs w:val="28"/>
          <w:shd w:val="clear" w:color="auto" w:fill="FFFFFF"/>
        </w:rPr>
        <w:t>1、独立、客观、公正原则：要求站在中立的立场上，实事求是、公平正直地评估出对各方估价利害关系人均是公平合理的价值或价格的原则。</w:t>
      </w:r>
    </w:p>
    <w:p>
      <w:pPr>
        <w:spacing w:line="520" w:lineRule="exact"/>
        <w:ind w:firstLine="539"/>
        <w:rPr>
          <w:rFonts w:cs="Arial"/>
          <w:sz w:val="28"/>
          <w:szCs w:val="28"/>
          <w:shd w:val="clear" w:color="auto" w:fill="FFFFFF"/>
        </w:rPr>
      </w:pPr>
      <w:r>
        <w:rPr>
          <w:rFonts w:hint="eastAsia" w:cs="Arial"/>
          <w:sz w:val="28"/>
          <w:szCs w:val="28"/>
          <w:shd w:val="clear" w:color="auto" w:fill="FFFFFF"/>
        </w:rPr>
        <w:t>2、合法原则：要求估价结果是在依法判定的估价对象状况下的价值或价格 的原则。</w:t>
      </w:r>
    </w:p>
    <w:p>
      <w:pPr>
        <w:spacing w:line="520" w:lineRule="exact"/>
        <w:ind w:firstLine="539"/>
        <w:rPr>
          <w:rFonts w:cs="Arial"/>
          <w:sz w:val="28"/>
          <w:szCs w:val="28"/>
          <w:shd w:val="clear" w:color="auto" w:fill="FFFFFF"/>
        </w:rPr>
      </w:pPr>
      <w:r>
        <w:rPr>
          <w:rFonts w:hint="eastAsia" w:cs="Arial"/>
          <w:sz w:val="28"/>
          <w:szCs w:val="28"/>
          <w:shd w:val="clear" w:color="auto" w:fill="FFFFFF"/>
        </w:rPr>
        <w:t>3、价值时点原则：要求估价结果是在根据估价目的确定的某一特定时间的价值或价格的原则。</w:t>
      </w:r>
    </w:p>
    <w:p>
      <w:pPr>
        <w:spacing w:line="520" w:lineRule="exact"/>
        <w:ind w:firstLine="539"/>
        <w:rPr>
          <w:rFonts w:cs="Arial"/>
          <w:sz w:val="28"/>
          <w:szCs w:val="28"/>
          <w:shd w:val="clear" w:color="auto" w:fill="FFFFFF"/>
        </w:rPr>
      </w:pPr>
      <w:r>
        <w:rPr>
          <w:rFonts w:hint="eastAsia" w:cs="Arial"/>
          <w:sz w:val="28"/>
          <w:szCs w:val="28"/>
          <w:shd w:val="clear" w:color="auto" w:fill="FFFFFF"/>
        </w:rPr>
        <w:t>4、替代原则：要求估价结果与估价对象的类似房地产在同等条件下的价值或价格偏差在合理范围内的原则。</w:t>
      </w:r>
    </w:p>
    <w:p>
      <w:pPr>
        <w:spacing w:line="520" w:lineRule="exact"/>
        <w:ind w:firstLine="539"/>
        <w:rPr>
          <w:rFonts w:cs="Arial"/>
          <w:sz w:val="28"/>
          <w:szCs w:val="28"/>
          <w:shd w:val="clear" w:color="auto" w:fill="FFFFFF"/>
        </w:rPr>
      </w:pPr>
      <w:r>
        <w:rPr>
          <w:rFonts w:hint="eastAsia" w:cs="Arial"/>
          <w:sz w:val="28"/>
          <w:szCs w:val="28"/>
          <w:shd w:val="clear" w:color="auto" w:fill="FFFFFF"/>
        </w:rPr>
        <w:t>5、最高最佳利用原则：要求估价结果是在估价对象最高最佳利用状况下的价值或价格的原则。最高最佳利用是指房地产在法律上允许、技术上可能、财务上可行、价值最大化。</w:t>
      </w:r>
    </w:p>
    <w:p>
      <w:pPr>
        <w:widowControl w:val="0"/>
        <w:spacing w:line="520" w:lineRule="exact"/>
        <w:outlineLvl w:val="1"/>
        <w:rPr>
          <w:rFonts w:ascii="黑体" w:hAnsi="黑体" w:eastAsia="黑体" w:cs="Arial"/>
          <w:sz w:val="28"/>
          <w:szCs w:val="28"/>
          <w:shd w:val="clear" w:color="auto" w:fill="FFFFFF"/>
        </w:rPr>
      </w:pPr>
      <w:bookmarkStart w:id="45" w:name="_Toc502309764"/>
      <w:bookmarkStart w:id="46" w:name="_Toc437939628"/>
      <w:r>
        <w:rPr>
          <w:rFonts w:hint="eastAsia" w:ascii="黑体" w:hAnsi="黑体" w:eastAsia="黑体" w:cs="Arial"/>
          <w:sz w:val="28"/>
          <w:szCs w:val="28"/>
          <w:shd w:val="clear" w:color="auto" w:fill="FFFFFF"/>
        </w:rPr>
        <w:t>八、估价依据</w:t>
      </w:r>
      <w:bookmarkEnd w:id="43"/>
      <w:bookmarkEnd w:id="45"/>
      <w:bookmarkEnd w:id="46"/>
    </w:p>
    <w:p>
      <w:pPr>
        <w:spacing w:line="520" w:lineRule="exact"/>
        <w:ind w:firstLine="539"/>
        <w:rPr>
          <w:rFonts w:cs="Arial"/>
          <w:sz w:val="28"/>
          <w:szCs w:val="28"/>
          <w:shd w:val="clear" w:color="auto" w:fill="FFFFFF"/>
        </w:rPr>
      </w:pPr>
      <w:r>
        <w:rPr>
          <w:rFonts w:hint="eastAsia" w:cs="Arial"/>
          <w:sz w:val="28"/>
          <w:szCs w:val="28"/>
          <w:shd w:val="clear" w:color="auto" w:fill="FFFFFF"/>
        </w:rPr>
        <w:t>1、《中华人民共和国民法典》；</w:t>
      </w:r>
    </w:p>
    <w:p>
      <w:pPr>
        <w:spacing w:line="520" w:lineRule="exact"/>
        <w:ind w:firstLine="539"/>
        <w:rPr>
          <w:rFonts w:cs="Arial"/>
          <w:sz w:val="28"/>
          <w:szCs w:val="28"/>
          <w:shd w:val="clear" w:color="auto" w:fill="FFFFFF"/>
        </w:rPr>
      </w:pPr>
      <w:r>
        <w:rPr>
          <w:rFonts w:hint="eastAsia" w:cs="Arial"/>
          <w:sz w:val="28"/>
          <w:szCs w:val="28"/>
          <w:shd w:val="clear" w:color="auto" w:fill="FFFFFF"/>
        </w:rPr>
        <w:t>2、《中华人民共和国城市房地产管理法》；</w:t>
      </w:r>
    </w:p>
    <w:p>
      <w:pPr>
        <w:spacing w:line="520" w:lineRule="exact"/>
        <w:ind w:firstLine="539"/>
        <w:rPr>
          <w:rFonts w:cs="Arial"/>
          <w:sz w:val="28"/>
          <w:szCs w:val="28"/>
          <w:shd w:val="clear" w:color="auto" w:fill="FFFFFF"/>
        </w:rPr>
      </w:pPr>
      <w:r>
        <w:rPr>
          <w:rFonts w:hint="eastAsia" w:cs="Arial"/>
          <w:sz w:val="28"/>
          <w:szCs w:val="28"/>
          <w:shd w:val="clear" w:color="auto" w:fill="FFFFFF"/>
        </w:rPr>
        <w:t>3、《中华人民共和国土地管理法》；</w:t>
      </w:r>
    </w:p>
    <w:p>
      <w:pPr>
        <w:spacing w:line="520" w:lineRule="exact"/>
        <w:ind w:firstLine="539"/>
        <w:rPr>
          <w:rFonts w:cs="Arial"/>
          <w:sz w:val="28"/>
          <w:szCs w:val="28"/>
          <w:shd w:val="clear" w:color="auto" w:fill="FFFFFF"/>
        </w:rPr>
      </w:pPr>
      <w:r>
        <w:rPr>
          <w:rFonts w:hint="eastAsia" w:cs="Arial"/>
          <w:sz w:val="28"/>
          <w:szCs w:val="28"/>
          <w:shd w:val="clear" w:color="auto" w:fill="FFFFFF"/>
        </w:rPr>
        <w:t>4、《中华人民共和国资产评估法》；</w:t>
      </w:r>
    </w:p>
    <w:p>
      <w:pPr>
        <w:spacing w:line="520" w:lineRule="exact"/>
        <w:ind w:firstLine="539"/>
        <w:rPr>
          <w:rFonts w:cs="Arial"/>
          <w:sz w:val="28"/>
          <w:szCs w:val="28"/>
          <w:shd w:val="clear" w:color="auto" w:fill="FFFFFF"/>
        </w:rPr>
      </w:pPr>
      <w:r>
        <w:rPr>
          <w:rFonts w:hint="eastAsia" w:cs="Arial"/>
          <w:sz w:val="28"/>
          <w:szCs w:val="28"/>
          <w:shd w:val="clear" w:color="auto" w:fill="FFFFFF"/>
        </w:rPr>
        <w:t>5、《最高人民法院关于人民法院民事执行中拍卖、变卖财产的规定》（法释[2009]16号）；</w:t>
      </w:r>
    </w:p>
    <w:p>
      <w:pPr>
        <w:spacing w:line="500" w:lineRule="exact"/>
        <w:ind w:firstLine="539"/>
        <w:rPr>
          <w:rFonts w:hint="eastAsia" w:cs="Arial"/>
          <w:sz w:val="28"/>
          <w:szCs w:val="28"/>
          <w:shd w:val="clear" w:color="auto" w:fill="FFFFFF"/>
        </w:rPr>
      </w:pPr>
      <w:r>
        <w:rPr>
          <w:rFonts w:hint="eastAsia" w:cs="Arial"/>
          <w:sz w:val="28"/>
          <w:szCs w:val="28"/>
          <w:shd w:val="clear" w:color="auto" w:fill="FFFFFF"/>
        </w:rPr>
        <w:t>6、《最高人民法院关于人民法院确定财产处置参考价若干问题的规定》（法释[2018]15号）</w:t>
      </w:r>
    </w:p>
    <w:p>
      <w:pPr>
        <w:spacing w:line="520" w:lineRule="exact"/>
        <w:ind w:firstLine="539"/>
        <w:rPr>
          <w:rFonts w:cs="Arial"/>
          <w:sz w:val="28"/>
          <w:szCs w:val="28"/>
          <w:shd w:val="clear" w:color="auto" w:fill="FFFFFF"/>
        </w:rPr>
      </w:pPr>
      <w:r>
        <w:rPr>
          <w:rFonts w:cs="Arial"/>
          <w:sz w:val="28"/>
          <w:szCs w:val="28"/>
          <w:shd w:val="clear" w:color="auto" w:fill="FFFFFF"/>
        </w:rPr>
        <w:t>7</w:t>
      </w:r>
      <w:r>
        <w:rPr>
          <w:rFonts w:hint="eastAsia" w:cs="Arial"/>
          <w:sz w:val="28"/>
          <w:szCs w:val="28"/>
          <w:shd w:val="clear" w:color="auto" w:fill="FFFFFF"/>
        </w:rPr>
        <w:t>、《房地产估价规范》（GB/T 50291－2015）；</w:t>
      </w:r>
    </w:p>
    <w:p>
      <w:pPr>
        <w:spacing w:line="520" w:lineRule="exact"/>
        <w:ind w:firstLine="539"/>
        <w:rPr>
          <w:rFonts w:cs="Arial"/>
          <w:sz w:val="28"/>
          <w:szCs w:val="28"/>
          <w:shd w:val="clear" w:color="auto" w:fill="FFFFFF"/>
        </w:rPr>
      </w:pPr>
      <w:r>
        <w:rPr>
          <w:rFonts w:cs="Arial"/>
          <w:sz w:val="28"/>
          <w:szCs w:val="28"/>
          <w:shd w:val="clear" w:color="auto" w:fill="FFFFFF"/>
        </w:rPr>
        <w:t>8</w:t>
      </w:r>
      <w:r>
        <w:rPr>
          <w:rFonts w:hint="eastAsia" w:cs="Arial"/>
          <w:sz w:val="28"/>
          <w:szCs w:val="28"/>
          <w:shd w:val="clear" w:color="auto" w:fill="FFFFFF"/>
        </w:rPr>
        <w:t>、《房地产估价基本术语标准》（GB/T 50899－2013）；</w:t>
      </w:r>
    </w:p>
    <w:p>
      <w:pPr>
        <w:spacing w:line="520" w:lineRule="exact"/>
        <w:ind w:firstLine="539"/>
        <w:rPr>
          <w:rFonts w:cs="Arial"/>
          <w:sz w:val="28"/>
          <w:szCs w:val="28"/>
          <w:shd w:val="clear" w:color="auto" w:fill="FFFFFF"/>
        </w:rPr>
      </w:pPr>
      <w:r>
        <w:rPr>
          <w:rFonts w:cs="Arial"/>
          <w:sz w:val="28"/>
          <w:szCs w:val="28"/>
          <w:shd w:val="clear" w:color="auto" w:fill="FFFFFF"/>
        </w:rPr>
        <w:t>9</w:t>
      </w:r>
      <w:r>
        <w:rPr>
          <w:rFonts w:hint="eastAsia" w:cs="Arial"/>
          <w:sz w:val="28"/>
          <w:szCs w:val="28"/>
          <w:shd w:val="clear" w:color="auto" w:fill="FFFFFF"/>
        </w:rPr>
        <w:t>、委托人提供的“（2021）浙0203委评字第208号”《宁波市海曙区人民法院司法评估委托书》；“象房权证丹城镇字第0130659号”《房屋所有权</w:t>
      </w:r>
      <w:r>
        <w:rPr>
          <w:rFonts w:cs="Arial"/>
          <w:sz w:val="28"/>
          <w:szCs w:val="28"/>
          <w:shd w:val="clear" w:color="auto" w:fill="FFFFFF"/>
        </w:rPr>
        <w:t>证</w:t>
      </w:r>
      <w:r>
        <w:rPr>
          <w:rFonts w:hint="eastAsia" w:cs="Arial"/>
          <w:sz w:val="28"/>
          <w:szCs w:val="28"/>
          <w:shd w:val="clear" w:color="auto" w:fill="FFFFFF"/>
        </w:rPr>
        <w:t>》和“象国用（2004）第01-3174号”《国有</w:t>
      </w:r>
      <w:r>
        <w:rPr>
          <w:rFonts w:cs="Arial"/>
          <w:sz w:val="28"/>
          <w:szCs w:val="28"/>
          <w:shd w:val="clear" w:color="auto" w:fill="FFFFFF"/>
        </w:rPr>
        <w:t>土地使用证</w:t>
      </w:r>
      <w:r>
        <w:rPr>
          <w:rFonts w:hint="eastAsia" w:cs="Arial"/>
          <w:sz w:val="28"/>
          <w:szCs w:val="28"/>
          <w:shd w:val="clear" w:color="auto" w:fill="FFFFFF"/>
        </w:rPr>
        <w:t>》</w:t>
      </w:r>
      <w:r>
        <w:rPr>
          <w:rFonts w:hint="eastAsia"/>
          <w:kern w:val="15"/>
          <w:sz w:val="28"/>
          <w:szCs w:val="28"/>
        </w:rPr>
        <w:t>及</w:t>
      </w:r>
      <w:r>
        <w:rPr>
          <w:kern w:val="15"/>
          <w:sz w:val="28"/>
          <w:szCs w:val="28"/>
        </w:rPr>
        <w:t>编号“D20211008-0002198”《</w:t>
      </w:r>
      <w:r>
        <w:rPr>
          <w:rFonts w:hint="eastAsia"/>
          <w:kern w:val="15"/>
          <w:sz w:val="28"/>
          <w:szCs w:val="28"/>
        </w:rPr>
        <w:t>象山县</w:t>
      </w:r>
      <w:r>
        <w:rPr>
          <w:kern w:val="15"/>
          <w:sz w:val="28"/>
          <w:szCs w:val="28"/>
        </w:rPr>
        <w:t>不动产登记情况证明》</w:t>
      </w:r>
      <w:r>
        <w:rPr>
          <w:rFonts w:hint="eastAsia" w:cs="Arial"/>
          <w:sz w:val="28"/>
          <w:szCs w:val="28"/>
          <w:shd w:val="clear" w:color="auto" w:fill="FFFFFF"/>
        </w:rPr>
        <w:t>的复印件；</w:t>
      </w:r>
    </w:p>
    <w:p>
      <w:pPr>
        <w:spacing w:line="520" w:lineRule="exact"/>
        <w:ind w:firstLine="539"/>
        <w:rPr>
          <w:rFonts w:cs="Arial"/>
          <w:sz w:val="28"/>
          <w:szCs w:val="28"/>
          <w:shd w:val="clear" w:color="auto" w:fill="FFFFFF"/>
        </w:rPr>
      </w:pPr>
      <w:r>
        <w:rPr>
          <w:rFonts w:cs="Arial"/>
          <w:sz w:val="28"/>
          <w:szCs w:val="28"/>
          <w:shd w:val="clear" w:color="auto" w:fill="FFFFFF"/>
        </w:rPr>
        <w:t>10</w:t>
      </w:r>
      <w:r>
        <w:rPr>
          <w:rFonts w:hint="eastAsia" w:cs="Arial"/>
          <w:sz w:val="28"/>
          <w:szCs w:val="28"/>
          <w:shd w:val="clear" w:color="auto" w:fill="FFFFFF"/>
        </w:rPr>
        <w:t>、评估方掌握的同类物业现行市场行情。</w:t>
      </w:r>
    </w:p>
    <w:p>
      <w:pPr>
        <w:spacing w:line="520" w:lineRule="exact"/>
        <w:rPr>
          <w:rFonts w:ascii="黑体" w:hAnsi="黑体" w:eastAsia="黑体" w:cs="Arial"/>
          <w:sz w:val="28"/>
          <w:szCs w:val="28"/>
          <w:shd w:val="clear" w:color="auto" w:fill="FFFFFF"/>
        </w:rPr>
      </w:pPr>
      <w:bookmarkStart w:id="47" w:name="_Toc377971410"/>
      <w:bookmarkStart w:id="48" w:name="_Toc502309765"/>
      <w:bookmarkStart w:id="49" w:name="_Toc384889004"/>
      <w:bookmarkStart w:id="50" w:name="_Toc437939629"/>
      <w:r>
        <w:rPr>
          <w:rFonts w:hint="eastAsia" w:ascii="黑体" w:hAnsi="黑体" w:eastAsia="黑体" w:cs="Arial"/>
          <w:sz w:val="28"/>
          <w:szCs w:val="28"/>
          <w:shd w:val="clear" w:color="auto" w:fill="FFFFFF"/>
        </w:rPr>
        <w:t>九、估价方法</w:t>
      </w:r>
      <w:bookmarkEnd w:id="47"/>
      <w:bookmarkEnd w:id="48"/>
      <w:bookmarkEnd w:id="49"/>
      <w:bookmarkEnd w:id="50"/>
    </w:p>
    <w:p>
      <w:pPr>
        <w:spacing w:line="520" w:lineRule="exact"/>
        <w:ind w:firstLine="539"/>
        <w:rPr>
          <w:rFonts w:cs="Arial"/>
          <w:sz w:val="28"/>
          <w:szCs w:val="28"/>
          <w:shd w:val="clear" w:color="auto" w:fill="FFFFFF"/>
        </w:rPr>
      </w:pPr>
      <w:bookmarkStart w:id="51" w:name="_Toc377971411"/>
      <w:bookmarkStart w:id="52" w:name="_Toc384889005"/>
      <w:bookmarkStart w:id="53" w:name="_Toc437939630"/>
      <w:r>
        <w:rPr>
          <w:rFonts w:hint="eastAsia" w:cs="Arial"/>
          <w:sz w:val="28"/>
          <w:szCs w:val="28"/>
          <w:shd w:val="clear" w:color="auto" w:fill="FFFFFF"/>
        </w:rPr>
        <w:t>根据《房地产估价规范》（GB/T50291-2015），房地产估价方法通常有比较法、收益法、成本法、假设开发法等估价方法。</w:t>
      </w:r>
    </w:p>
    <w:p>
      <w:pPr>
        <w:spacing w:line="520" w:lineRule="exact"/>
        <w:ind w:firstLine="539"/>
        <w:rPr>
          <w:rFonts w:cs="Arial"/>
          <w:sz w:val="28"/>
          <w:szCs w:val="28"/>
          <w:shd w:val="clear" w:color="auto" w:fill="FFFFFF"/>
        </w:rPr>
      </w:pPr>
      <w:r>
        <w:rPr>
          <w:rFonts w:hint="eastAsia" w:cs="Arial"/>
          <w:sz w:val="28"/>
          <w:szCs w:val="28"/>
          <w:shd w:val="clear" w:color="auto" w:fill="FFFFFF"/>
        </w:rPr>
        <w:t>估价人员根据现场勘察和委托方提供的资料，结合估价目的及估价对象的特点，确定本项目的估价技术思路及选用的方法。</w:t>
      </w:r>
    </w:p>
    <w:p>
      <w:pPr>
        <w:spacing w:line="520" w:lineRule="exact"/>
        <w:ind w:firstLine="539"/>
        <w:rPr>
          <w:rFonts w:cs="Arial"/>
          <w:sz w:val="28"/>
          <w:szCs w:val="28"/>
          <w:shd w:val="clear" w:color="auto" w:fill="FFFFFF"/>
        </w:rPr>
      </w:pPr>
      <w:r>
        <w:rPr>
          <w:rFonts w:cs="Arial"/>
          <w:sz w:val="28"/>
          <w:szCs w:val="28"/>
          <w:shd w:val="clear" w:color="auto" w:fill="FFFFFF"/>
        </w:rPr>
        <w:t>1、选用方法</w:t>
      </w:r>
      <w:r>
        <w:rPr>
          <w:rFonts w:hint="eastAsia" w:cs="Arial"/>
          <w:sz w:val="28"/>
          <w:szCs w:val="28"/>
          <w:shd w:val="clear" w:color="auto" w:fill="FFFFFF"/>
        </w:rPr>
        <w:t>及</w:t>
      </w:r>
      <w:r>
        <w:rPr>
          <w:rFonts w:cs="Arial"/>
          <w:sz w:val="28"/>
          <w:szCs w:val="28"/>
          <w:shd w:val="clear" w:color="auto" w:fill="FFFFFF"/>
        </w:rPr>
        <w:t>理由：</w:t>
      </w:r>
    </w:p>
    <w:p>
      <w:pPr>
        <w:spacing w:line="520" w:lineRule="exact"/>
        <w:ind w:firstLine="539"/>
        <w:rPr>
          <w:rFonts w:cs="Arial"/>
          <w:sz w:val="28"/>
          <w:szCs w:val="28"/>
          <w:shd w:val="clear" w:color="auto" w:fill="FFFFFF"/>
        </w:rPr>
      </w:pPr>
      <w:r>
        <w:rPr>
          <w:rFonts w:hint="eastAsia" w:cs="Arial"/>
          <w:sz w:val="28"/>
          <w:szCs w:val="28"/>
          <w:shd w:val="clear" w:color="auto" w:fill="FFFFFF"/>
        </w:rPr>
        <w:t>比较法是将估价对象与在价值时点近期发生过交易的类似房地产进行比较，对这些类似房地产的已知价格作适当修正，以此推算估价对象的客观合理价格或价值的方法。估价对象为住宅房地产，通过市场调查近期同一供需圈内有类似房地产交易实例易，故选用比较法。</w:t>
      </w:r>
    </w:p>
    <w:p>
      <w:pPr>
        <w:spacing w:line="520" w:lineRule="exact"/>
        <w:ind w:firstLine="539"/>
        <w:rPr>
          <w:rFonts w:cs="Arial"/>
          <w:sz w:val="28"/>
          <w:szCs w:val="28"/>
          <w:shd w:val="clear" w:color="auto" w:fill="FFFFFF"/>
        </w:rPr>
      </w:pPr>
      <w:r>
        <w:rPr>
          <w:rFonts w:cs="Arial"/>
          <w:sz w:val="28"/>
          <w:szCs w:val="28"/>
          <w:shd w:val="clear" w:color="auto" w:fill="FFFFFF"/>
        </w:rPr>
        <w:t>2、未选用方法</w:t>
      </w:r>
      <w:r>
        <w:rPr>
          <w:rFonts w:hint="eastAsia" w:cs="Arial"/>
          <w:sz w:val="28"/>
          <w:szCs w:val="28"/>
          <w:shd w:val="clear" w:color="auto" w:fill="FFFFFF"/>
        </w:rPr>
        <w:t>及</w:t>
      </w:r>
      <w:r>
        <w:rPr>
          <w:rFonts w:cs="Arial"/>
          <w:sz w:val="28"/>
          <w:szCs w:val="28"/>
          <w:shd w:val="clear" w:color="auto" w:fill="FFFFFF"/>
        </w:rPr>
        <w:t>理由：</w:t>
      </w:r>
    </w:p>
    <w:p>
      <w:pPr>
        <w:spacing w:line="520" w:lineRule="exact"/>
        <w:ind w:firstLine="539"/>
        <w:rPr>
          <w:rFonts w:cs="Arial"/>
          <w:sz w:val="28"/>
          <w:szCs w:val="28"/>
          <w:shd w:val="clear" w:color="auto" w:fill="FFFFFF"/>
        </w:rPr>
      </w:pPr>
      <w:r>
        <w:rPr>
          <w:rFonts w:hint="eastAsia" w:cs="Arial"/>
          <w:sz w:val="28"/>
          <w:szCs w:val="28"/>
          <w:shd w:val="clear" w:color="auto" w:fill="FFFFFF"/>
        </w:rPr>
        <w:t>收益法是预计估价对象未来的正常净收益，选用适当的报酬率将其折现到价值时点后累加，以此估算估价对象的客观合理价格的一种估价方法。经调查，估价对象住宅市场租赁价格与市场交易价格水平不匹配，租赁价格水平不能真实反映市场交易价格，故不选用收益法。</w:t>
      </w:r>
    </w:p>
    <w:p>
      <w:pPr>
        <w:spacing w:line="520" w:lineRule="exact"/>
        <w:ind w:firstLine="539"/>
        <w:rPr>
          <w:rFonts w:cs="Arial"/>
          <w:sz w:val="28"/>
          <w:szCs w:val="28"/>
          <w:shd w:val="clear" w:color="auto" w:fill="FFFFFF"/>
        </w:rPr>
      </w:pPr>
      <w:r>
        <w:rPr>
          <w:rFonts w:hint="eastAsia" w:cs="Arial"/>
          <w:sz w:val="28"/>
          <w:szCs w:val="28"/>
          <w:shd w:val="clear" w:color="auto" w:fill="FFFFFF"/>
        </w:rPr>
        <w:t>成本法是测算估价对象在价值时点的重置成本或重建成本和折旧，将重置成本或重建成本减去折旧得到的估价对象价值或价格方法，一般适用于测算可独立开发建设的整体房地产的价值或价格。而估价对象为整体房地产内的单套住宅房地产，其市场价值与重置成本关联度弱，故不选用成本法。</w:t>
      </w:r>
    </w:p>
    <w:p>
      <w:pPr>
        <w:spacing w:line="520" w:lineRule="exact"/>
        <w:ind w:firstLine="539"/>
        <w:rPr>
          <w:rFonts w:cs="Arial"/>
          <w:sz w:val="28"/>
          <w:szCs w:val="28"/>
          <w:shd w:val="clear" w:color="auto" w:fill="FFFFFF"/>
        </w:rPr>
      </w:pPr>
      <w:r>
        <w:rPr>
          <w:rFonts w:hint="eastAsia" w:cs="Arial"/>
          <w:sz w:val="28"/>
          <w:szCs w:val="28"/>
          <w:shd w:val="clear" w:color="auto" w:fill="FFFFFF"/>
        </w:rPr>
        <w:t>假设开发法适用于具有投资开发或再开发潜力房地产的估价。估价对象法定用途为住宅，目前为已建成且正常使用的小区内住宅房地产，不具投资开发或再开发的可能，故不选用假设开发法。</w:t>
      </w:r>
    </w:p>
    <w:p>
      <w:pPr>
        <w:spacing w:line="500" w:lineRule="exact"/>
        <w:outlineLvl w:val="1"/>
        <w:rPr>
          <w:rFonts w:ascii="黑体" w:eastAsia="黑体"/>
          <w:sz w:val="28"/>
          <w:szCs w:val="28"/>
        </w:rPr>
      </w:pPr>
      <w:bookmarkStart w:id="54" w:name="_Toc502309766"/>
      <w:r>
        <w:rPr>
          <w:rFonts w:hint="eastAsia" w:ascii="黑体" w:eastAsia="黑体"/>
          <w:sz w:val="28"/>
          <w:szCs w:val="28"/>
        </w:rPr>
        <w:t>十、估价结果</w:t>
      </w:r>
      <w:bookmarkEnd w:id="51"/>
      <w:bookmarkEnd w:id="52"/>
      <w:bookmarkEnd w:id="53"/>
      <w:bookmarkEnd w:id="54"/>
    </w:p>
    <w:p>
      <w:pPr>
        <w:widowControl w:val="0"/>
        <w:spacing w:line="520" w:lineRule="exact"/>
        <w:ind w:firstLine="560" w:firstLineChars="200"/>
        <w:jc w:val="both"/>
        <w:rPr>
          <w:sz w:val="28"/>
          <w:szCs w:val="28"/>
        </w:rPr>
      </w:pPr>
      <w:bookmarkStart w:id="55" w:name="_Toc502309767"/>
      <w:bookmarkStart w:id="56" w:name="_Toc437939631"/>
      <w:r>
        <w:rPr>
          <w:rFonts w:hint="eastAsia"/>
          <w:sz w:val="28"/>
          <w:szCs w:val="28"/>
        </w:rPr>
        <w:t>本估价机构根据估价目的，遵循估价原则，按照估价程序，采用科学、合理的估价方法，在认真分析现有资料的基础上，经过测算，结合估价经验与对影响房地产市场价格因素的分析，确定估价对象在市场上有足够的买方和卖方，并且进入市场无障碍的条件下，于价值时点2021年12月31日的市场价值为人民币14</w:t>
      </w:r>
      <w:r>
        <w:rPr>
          <w:rFonts w:hint="eastAsia"/>
          <w:sz w:val="28"/>
          <w:szCs w:val="28"/>
          <w:lang w:val="en-US" w:eastAsia="zh-CN"/>
        </w:rPr>
        <w:t>5.3</w:t>
      </w:r>
      <w:r>
        <w:rPr>
          <w:rFonts w:hint="eastAsia"/>
          <w:sz w:val="28"/>
          <w:szCs w:val="28"/>
        </w:rPr>
        <w:t>万元，大写人民币</w:t>
      </w:r>
      <w:r>
        <w:rPr>
          <w:rFonts w:hint="eastAsia"/>
          <w:sz w:val="28"/>
          <w:szCs w:val="28"/>
          <w:lang w:eastAsia="zh-CN"/>
        </w:rPr>
        <w:t>壹佰肆拾伍万叁仟</w:t>
      </w:r>
      <w:r>
        <w:rPr>
          <w:rFonts w:hint="eastAsia"/>
          <w:sz w:val="28"/>
          <w:szCs w:val="28"/>
        </w:rPr>
        <w:t>元整，单价为人民币</w:t>
      </w:r>
      <w:r>
        <w:rPr>
          <w:rFonts w:hint="eastAsia"/>
          <w:sz w:val="28"/>
          <w:szCs w:val="28"/>
          <w:lang w:val="en-US" w:eastAsia="zh-CN"/>
        </w:rPr>
        <w:t>12677</w:t>
      </w:r>
      <w:r>
        <w:rPr>
          <w:rFonts w:hint="eastAsia"/>
          <w:sz w:val="28"/>
          <w:szCs w:val="28"/>
        </w:rPr>
        <w:t>元/平方米。</w:t>
      </w:r>
    </w:p>
    <w:p>
      <w:pPr>
        <w:widowControl w:val="0"/>
        <w:spacing w:line="520" w:lineRule="exact"/>
        <w:jc w:val="both"/>
        <w:rPr>
          <w:sz w:val="28"/>
          <w:szCs w:val="28"/>
        </w:rPr>
      </w:pPr>
      <w:r>
        <w:rPr>
          <w:rFonts w:hint="eastAsia"/>
          <w:sz w:val="28"/>
          <w:szCs w:val="28"/>
        </w:rPr>
        <w:t xml:space="preserve">    白坯房地产价值：大写人民币</w:t>
      </w:r>
      <w:r>
        <w:rPr>
          <w:rFonts w:hint="eastAsia"/>
          <w:sz w:val="28"/>
          <w:szCs w:val="28"/>
          <w:lang w:eastAsia="zh-CN"/>
        </w:rPr>
        <w:t>壹佰叁拾伍万陆仟</w:t>
      </w:r>
      <w:r>
        <w:rPr>
          <w:rFonts w:hint="eastAsia"/>
          <w:sz w:val="28"/>
          <w:szCs w:val="28"/>
        </w:rPr>
        <w:t>元整（￥</w:t>
      </w:r>
      <w:r>
        <w:rPr>
          <w:rFonts w:hint="eastAsia"/>
          <w:sz w:val="28"/>
          <w:szCs w:val="28"/>
          <w:lang w:val="en-US" w:eastAsia="zh-CN"/>
        </w:rPr>
        <w:t>135.6</w:t>
      </w:r>
      <w:r>
        <w:rPr>
          <w:rFonts w:hint="eastAsia"/>
          <w:sz w:val="28"/>
          <w:szCs w:val="28"/>
        </w:rPr>
        <w:t>万元）；</w:t>
      </w:r>
    </w:p>
    <w:p>
      <w:pPr>
        <w:widowControl w:val="0"/>
        <w:spacing w:line="520" w:lineRule="exact"/>
        <w:jc w:val="both"/>
        <w:rPr>
          <w:rFonts w:hint="eastAsia"/>
          <w:sz w:val="28"/>
          <w:szCs w:val="28"/>
        </w:rPr>
      </w:pPr>
      <w:r>
        <w:rPr>
          <w:rFonts w:hint="eastAsia"/>
          <w:sz w:val="28"/>
          <w:szCs w:val="28"/>
        </w:rPr>
        <w:t xml:space="preserve">    室内固定装修价值:大写人民币玖万柒仟元整（￥</w:t>
      </w:r>
      <w:r>
        <w:rPr>
          <w:sz w:val="28"/>
          <w:szCs w:val="28"/>
        </w:rPr>
        <w:t>9.7</w:t>
      </w:r>
      <w:r>
        <w:rPr>
          <w:rFonts w:hint="eastAsia"/>
          <w:sz w:val="28"/>
          <w:szCs w:val="28"/>
        </w:rPr>
        <w:t>万元）。</w:t>
      </w:r>
    </w:p>
    <w:p>
      <w:pPr>
        <w:widowControl w:val="0"/>
        <w:spacing w:line="520" w:lineRule="exact"/>
        <w:ind w:firstLine="560" w:firstLineChars="200"/>
        <w:jc w:val="both"/>
        <w:rPr>
          <w:rFonts w:ascii="黑体" w:eastAsia="黑体"/>
          <w:sz w:val="28"/>
          <w:szCs w:val="28"/>
        </w:rPr>
      </w:pPr>
      <w:r>
        <w:rPr>
          <w:rFonts w:hint="eastAsia" w:ascii="黑体" w:eastAsia="黑体"/>
          <w:sz w:val="28"/>
          <w:szCs w:val="28"/>
        </w:rPr>
        <w:t>十一、注册房地产估价师</w:t>
      </w:r>
      <w:bookmarkEnd w:id="55"/>
      <w:bookmarkEnd w:id="56"/>
    </w:p>
    <w:p>
      <w:pPr>
        <w:spacing w:line="500" w:lineRule="exact"/>
        <w:ind w:firstLine="573"/>
        <w:rPr>
          <w:sz w:val="28"/>
          <w:szCs w:val="28"/>
        </w:rPr>
      </w:pPr>
      <w:r>
        <w:rPr>
          <w:rFonts w:hint="eastAsia"/>
          <w:sz w:val="28"/>
          <w:szCs w:val="28"/>
        </w:rPr>
        <w:t>参加估价的注册房地产估价师</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950"/>
        <w:gridCol w:w="3442"/>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widowControl w:val="0"/>
              <w:adjustRightInd w:val="0"/>
              <w:snapToGrid w:val="0"/>
              <w:spacing w:line="500" w:lineRule="exact"/>
              <w:jc w:val="center"/>
              <w:rPr>
                <w:sz w:val="28"/>
                <w:szCs w:val="28"/>
              </w:rPr>
            </w:pPr>
            <w:r>
              <w:rPr>
                <w:rFonts w:hint="eastAsia"/>
                <w:sz w:val="28"/>
                <w:szCs w:val="28"/>
              </w:rPr>
              <w:t>姓名</w:t>
            </w:r>
          </w:p>
        </w:tc>
        <w:tc>
          <w:tcPr>
            <w:tcW w:w="1950" w:type="dxa"/>
            <w:vAlign w:val="center"/>
          </w:tcPr>
          <w:p>
            <w:pPr>
              <w:widowControl w:val="0"/>
              <w:adjustRightInd w:val="0"/>
              <w:snapToGrid w:val="0"/>
              <w:spacing w:line="500" w:lineRule="exact"/>
              <w:jc w:val="center"/>
              <w:rPr>
                <w:sz w:val="28"/>
                <w:szCs w:val="28"/>
              </w:rPr>
            </w:pPr>
            <w:r>
              <w:rPr>
                <w:rFonts w:hint="eastAsia"/>
                <w:sz w:val="28"/>
                <w:szCs w:val="28"/>
              </w:rPr>
              <w:t>注册号</w:t>
            </w:r>
          </w:p>
        </w:tc>
        <w:tc>
          <w:tcPr>
            <w:tcW w:w="3442" w:type="dxa"/>
            <w:vAlign w:val="center"/>
          </w:tcPr>
          <w:p>
            <w:pPr>
              <w:widowControl w:val="0"/>
              <w:adjustRightInd w:val="0"/>
              <w:snapToGrid w:val="0"/>
              <w:spacing w:line="500" w:lineRule="exact"/>
              <w:jc w:val="center"/>
              <w:rPr>
                <w:sz w:val="28"/>
                <w:szCs w:val="28"/>
              </w:rPr>
            </w:pPr>
            <w:r>
              <w:rPr>
                <w:rFonts w:hint="eastAsia"/>
                <w:sz w:val="28"/>
                <w:szCs w:val="28"/>
              </w:rPr>
              <w:t>签   名</w:t>
            </w:r>
          </w:p>
        </w:tc>
        <w:tc>
          <w:tcPr>
            <w:tcW w:w="2267" w:type="dxa"/>
            <w:vAlign w:val="center"/>
          </w:tcPr>
          <w:p>
            <w:pPr>
              <w:widowControl w:val="0"/>
              <w:adjustRightInd w:val="0"/>
              <w:snapToGrid w:val="0"/>
              <w:spacing w:line="500" w:lineRule="exact"/>
              <w:jc w:val="center"/>
              <w:rPr>
                <w:sz w:val="28"/>
                <w:szCs w:val="28"/>
              </w:rPr>
            </w:pPr>
            <w:r>
              <w:rPr>
                <w:rFonts w:hint="eastAsia"/>
                <w:sz w:val="28"/>
                <w:szCs w:val="28"/>
              </w:rPr>
              <w:t>签 名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670" w:type="dxa"/>
            <w:vAlign w:val="center"/>
          </w:tcPr>
          <w:p>
            <w:pPr>
              <w:widowControl w:val="0"/>
              <w:adjustRightInd w:val="0"/>
              <w:snapToGrid w:val="0"/>
              <w:spacing w:line="500" w:lineRule="exact"/>
              <w:jc w:val="center"/>
              <w:rPr>
                <w:rFonts w:hint="default" w:eastAsia="宋体"/>
                <w:sz w:val="28"/>
                <w:szCs w:val="28"/>
                <w:lang w:val="en-US" w:eastAsia="zh-CN"/>
              </w:rPr>
            </w:pPr>
            <w:r>
              <w:rPr>
                <w:rFonts w:hint="eastAsia"/>
                <w:sz w:val="28"/>
                <w:szCs w:val="28"/>
                <w:lang w:val="en-US" w:eastAsia="zh-CN"/>
              </w:rPr>
              <w:t>***</w:t>
            </w:r>
          </w:p>
        </w:tc>
        <w:tc>
          <w:tcPr>
            <w:tcW w:w="1950" w:type="dxa"/>
            <w:vAlign w:val="center"/>
          </w:tcPr>
          <w:p>
            <w:pPr>
              <w:widowControl w:val="0"/>
              <w:adjustRightInd w:val="0"/>
              <w:snapToGrid w:val="0"/>
              <w:spacing w:line="500" w:lineRule="exact"/>
              <w:jc w:val="center"/>
              <w:rPr>
                <w:rFonts w:hint="default" w:eastAsia="宋体"/>
                <w:sz w:val="28"/>
                <w:szCs w:val="28"/>
                <w:lang w:val="en-US" w:eastAsia="zh-CN"/>
              </w:rPr>
            </w:pPr>
            <w:r>
              <w:rPr>
                <w:rFonts w:hint="eastAsia"/>
                <w:sz w:val="28"/>
                <w:szCs w:val="28"/>
                <w:lang w:val="en-US" w:eastAsia="zh-CN"/>
              </w:rPr>
              <w:t>***</w:t>
            </w:r>
          </w:p>
        </w:tc>
        <w:tc>
          <w:tcPr>
            <w:tcW w:w="3442" w:type="dxa"/>
            <w:vAlign w:val="center"/>
          </w:tcPr>
          <w:p>
            <w:pPr>
              <w:widowControl w:val="0"/>
              <w:adjustRightInd w:val="0"/>
              <w:snapToGrid w:val="0"/>
              <w:spacing w:line="500" w:lineRule="exact"/>
              <w:jc w:val="center"/>
              <w:rPr>
                <w:sz w:val="28"/>
                <w:szCs w:val="28"/>
              </w:rPr>
            </w:pPr>
          </w:p>
        </w:tc>
        <w:tc>
          <w:tcPr>
            <w:tcW w:w="2267" w:type="dxa"/>
            <w:vAlign w:val="center"/>
          </w:tcPr>
          <w:p>
            <w:pPr>
              <w:widowControl w:val="0"/>
              <w:adjustRightInd w:val="0"/>
              <w:snapToGrid w:val="0"/>
              <w:spacing w:line="500" w:lineRule="exact"/>
              <w:jc w:val="center"/>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670" w:type="dxa"/>
            <w:vAlign w:val="center"/>
          </w:tcPr>
          <w:p>
            <w:pPr>
              <w:widowControl w:val="0"/>
              <w:adjustRightInd w:val="0"/>
              <w:snapToGrid w:val="0"/>
              <w:spacing w:line="500" w:lineRule="exact"/>
              <w:jc w:val="center"/>
              <w:rPr>
                <w:rFonts w:hint="default" w:eastAsia="宋体"/>
                <w:sz w:val="28"/>
                <w:szCs w:val="28"/>
                <w:lang w:val="en-US" w:eastAsia="zh-CN"/>
              </w:rPr>
            </w:pPr>
            <w:r>
              <w:rPr>
                <w:rFonts w:hint="eastAsia"/>
                <w:sz w:val="28"/>
                <w:szCs w:val="28"/>
                <w:lang w:val="en-US" w:eastAsia="zh-CN"/>
              </w:rPr>
              <w:t>***</w:t>
            </w:r>
          </w:p>
        </w:tc>
        <w:tc>
          <w:tcPr>
            <w:tcW w:w="1950" w:type="dxa"/>
            <w:vAlign w:val="center"/>
          </w:tcPr>
          <w:p>
            <w:pPr>
              <w:widowControl w:val="0"/>
              <w:adjustRightInd w:val="0"/>
              <w:snapToGrid w:val="0"/>
              <w:spacing w:line="500" w:lineRule="exact"/>
              <w:jc w:val="center"/>
              <w:rPr>
                <w:rFonts w:hint="default" w:eastAsia="宋体"/>
                <w:color w:val="000000"/>
                <w:sz w:val="28"/>
                <w:szCs w:val="28"/>
                <w:lang w:val="en-US" w:eastAsia="zh-CN"/>
              </w:rPr>
            </w:pPr>
            <w:r>
              <w:rPr>
                <w:rFonts w:hint="eastAsia"/>
                <w:color w:val="000000"/>
                <w:sz w:val="28"/>
                <w:szCs w:val="28"/>
                <w:lang w:val="en-US" w:eastAsia="zh-CN"/>
              </w:rPr>
              <w:t>***</w:t>
            </w:r>
          </w:p>
        </w:tc>
        <w:tc>
          <w:tcPr>
            <w:tcW w:w="3442" w:type="dxa"/>
            <w:vAlign w:val="center"/>
          </w:tcPr>
          <w:p>
            <w:pPr>
              <w:widowControl w:val="0"/>
              <w:adjustRightInd w:val="0"/>
              <w:snapToGrid w:val="0"/>
              <w:spacing w:line="500" w:lineRule="exact"/>
              <w:jc w:val="center"/>
              <w:rPr>
                <w:sz w:val="28"/>
                <w:szCs w:val="28"/>
              </w:rPr>
            </w:pPr>
          </w:p>
        </w:tc>
        <w:tc>
          <w:tcPr>
            <w:tcW w:w="2267" w:type="dxa"/>
            <w:vAlign w:val="center"/>
          </w:tcPr>
          <w:p>
            <w:pPr>
              <w:widowControl w:val="0"/>
              <w:tabs>
                <w:tab w:val="left" w:pos="226"/>
              </w:tabs>
              <w:adjustRightInd w:val="0"/>
              <w:snapToGrid w:val="0"/>
              <w:spacing w:line="500" w:lineRule="exact"/>
              <w:jc w:val="center"/>
              <w:rPr>
                <w:sz w:val="28"/>
                <w:szCs w:val="28"/>
              </w:rPr>
            </w:pPr>
            <w:r>
              <w:rPr>
                <w:rFonts w:hint="eastAsia"/>
                <w:sz w:val="28"/>
                <w:szCs w:val="28"/>
              </w:rPr>
              <w:t xml:space="preserve">   年  月  日</w:t>
            </w:r>
          </w:p>
        </w:tc>
      </w:tr>
    </w:tbl>
    <w:p>
      <w:pPr>
        <w:spacing w:line="500" w:lineRule="exact"/>
        <w:outlineLvl w:val="1"/>
        <w:rPr>
          <w:rFonts w:ascii="黑体" w:eastAsia="黑体"/>
          <w:sz w:val="28"/>
          <w:szCs w:val="28"/>
        </w:rPr>
      </w:pPr>
      <w:bookmarkStart w:id="57" w:name="_Toc502309768"/>
      <w:bookmarkStart w:id="58" w:name="_Toc437939632"/>
      <w:bookmarkStart w:id="59" w:name="_Toc384889009"/>
      <w:bookmarkStart w:id="60" w:name="_Toc377971415"/>
      <w:r>
        <w:rPr>
          <w:rFonts w:hint="eastAsia" w:ascii="黑体" w:eastAsia="黑体"/>
          <w:sz w:val="28"/>
          <w:szCs w:val="28"/>
        </w:rPr>
        <w:t>十二、实地查勘期</w:t>
      </w:r>
      <w:bookmarkEnd w:id="57"/>
      <w:bookmarkEnd w:id="58"/>
      <w:r>
        <w:rPr>
          <w:rFonts w:hint="eastAsia" w:ascii="黑体" w:eastAsia="黑体"/>
          <w:sz w:val="28"/>
          <w:szCs w:val="28"/>
        </w:rPr>
        <w:t>：</w:t>
      </w:r>
      <w:r>
        <w:rPr>
          <w:rFonts w:hint="eastAsia"/>
          <w:sz w:val="28"/>
          <w:szCs w:val="28"/>
        </w:rPr>
        <w:t>2021年12月31日</w:t>
      </w:r>
    </w:p>
    <w:p>
      <w:pPr>
        <w:spacing w:line="500" w:lineRule="exact"/>
        <w:outlineLvl w:val="1"/>
        <w:rPr>
          <w:sz w:val="28"/>
          <w:szCs w:val="28"/>
        </w:rPr>
        <w:sectPr>
          <w:pgSz w:w="11907" w:h="16840"/>
          <w:pgMar w:top="1247" w:right="1474" w:bottom="1247" w:left="1758" w:header="850" w:footer="964" w:gutter="0"/>
          <w:cols w:space="720" w:num="1"/>
          <w:docGrid w:type="lines" w:linePitch="326" w:charSpace="0"/>
        </w:sectPr>
      </w:pPr>
      <w:bookmarkStart w:id="61" w:name="_Toc437939633"/>
      <w:bookmarkStart w:id="62" w:name="_Toc502309770"/>
      <w:r>
        <w:rPr>
          <w:rFonts w:hint="eastAsia" w:ascii="黑体" w:eastAsia="黑体"/>
          <w:sz w:val="28"/>
          <w:szCs w:val="28"/>
        </w:rPr>
        <w:t>十三、估价作业期</w:t>
      </w:r>
      <w:bookmarkEnd w:id="61"/>
      <w:bookmarkEnd w:id="62"/>
      <w:r>
        <w:rPr>
          <w:rFonts w:hint="eastAsia" w:ascii="黑体" w:eastAsia="黑体"/>
          <w:sz w:val="28"/>
          <w:szCs w:val="28"/>
        </w:rPr>
        <w:t>：</w:t>
      </w:r>
      <w:r>
        <w:rPr>
          <w:rFonts w:hint="eastAsia"/>
          <w:sz w:val="28"/>
          <w:szCs w:val="28"/>
        </w:rPr>
        <w:t>2021年12月23日至2022年01月1</w:t>
      </w:r>
      <w:r>
        <w:rPr>
          <w:sz w:val="28"/>
          <w:szCs w:val="28"/>
        </w:rPr>
        <w:t>1</w:t>
      </w:r>
      <w:r>
        <w:rPr>
          <w:rFonts w:hint="eastAsia"/>
          <w:sz w:val="28"/>
          <w:szCs w:val="28"/>
        </w:rPr>
        <w:t>日</w:t>
      </w:r>
      <w:bookmarkStart w:id="63" w:name="_Toc437939634"/>
      <w:bookmarkStart w:id="64" w:name="_Toc502309771"/>
    </w:p>
    <w:p>
      <w:pPr>
        <w:spacing w:line="500" w:lineRule="exact"/>
        <w:outlineLvl w:val="1"/>
        <w:rPr>
          <w:rFonts w:ascii="Times New Roman" w:hAnsi="Times New Roman" w:cs="Times New Roman"/>
          <w:sz w:val="28"/>
          <w:szCs w:val="28"/>
        </w:rPr>
      </w:pPr>
    </w:p>
    <w:p>
      <w:pPr>
        <w:widowControl w:val="0"/>
        <w:adjustRightInd w:val="0"/>
        <w:snapToGrid w:val="0"/>
        <w:spacing w:line="500" w:lineRule="exact"/>
        <w:jc w:val="center"/>
        <w:outlineLvl w:val="0"/>
        <w:rPr>
          <w:rFonts w:ascii="黑体" w:eastAsia="黑体"/>
          <w:sz w:val="44"/>
          <w:szCs w:val="44"/>
        </w:rPr>
      </w:pPr>
      <w:r>
        <w:rPr>
          <w:rFonts w:hint="eastAsia" w:ascii="黑体" w:eastAsia="黑体"/>
          <w:sz w:val="44"/>
          <w:szCs w:val="44"/>
        </w:rPr>
        <w:t>附  件</w:t>
      </w:r>
      <w:bookmarkEnd w:id="59"/>
      <w:bookmarkEnd w:id="60"/>
      <w:bookmarkEnd w:id="63"/>
      <w:bookmarkEnd w:id="64"/>
    </w:p>
    <w:p>
      <w:pPr>
        <w:spacing w:line="480" w:lineRule="auto"/>
        <w:ind w:firstLine="539"/>
        <w:rPr>
          <w:rFonts w:cs="Arial"/>
          <w:sz w:val="28"/>
          <w:szCs w:val="28"/>
          <w:shd w:val="clear" w:color="auto" w:fill="FFFFFF"/>
        </w:rPr>
      </w:pPr>
      <w:r>
        <w:rPr>
          <w:rFonts w:hint="eastAsia" w:cs="Arial"/>
          <w:sz w:val="28"/>
          <w:szCs w:val="28"/>
          <w:shd w:val="clear" w:color="auto" w:fill="FFFFFF"/>
        </w:rPr>
        <w:t>1、估价对象现场图片；</w:t>
      </w:r>
    </w:p>
    <w:p>
      <w:pPr>
        <w:spacing w:line="480" w:lineRule="auto"/>
        <w:ind w:firstLine="539"/>
        <w:rPr>
          <w:rFonts w:cs="Arial"/>
          <w:sz w:val="28"/>
          <w:szCs w:val="28"/>
          <w:shd w:val="clear" w:color="auto" w:fill="FFFFFF"/>
        </w:rPr>
      </w:pPr>
      <w:r>
        <w:rPr>
          <w:rFonts w:hint="eastAsia" w:cs="Arial"/>
          <w:sz w:val="28"/>
          <w:szCs w:val="28"/>
          <w:shd w:val="clear" w:color="auto" w:fill="FFFFFF"/>
        </w:rPr>
        <w:t>2、委托人提供的“（2021）浙0203委评字第208号”《宁波市海曙区人民法院司法评估委托书》的复印件；</w:t>
      </w:r>
    </w:p>
    <w:p>
      <w:pPr>
        <w:spacing w:line="480" w:lineRule="auto"/>
        <w:ind w:firstLine="539"/>
        <w:rPr>
          <w:rFonts w:cs="Arial"/>
          <w:sz w:val="28"/>
          <w:szCs w:val="28"/>
          <w:shd w:val="clear" w:color="auto" w:fill="FFFFFF"/>
        </w:rPr>
      </w:pPr>
      <w:r>
        <w:rPr>
          <w:rFonts w:hint="eastAsia" w:cs="Arial"/>
          <w:sz w:val="28"/>
          <w:szCs w:val="28"/>
          <w:shd w:val="clear" w:color="auto" w:fill="FFFFFF"/>
        </w:rPr>
        <w:t>3、委托人提供的“象房权证丹城镇字第0130659号”《房屋所有权</w:t>
      </w:r>
      <w:r>
        <w:rPr>
          <w:rFonts w:cs="Arial"/>
          <w:sz w:val="28"/>
          <w:szCs w:val="28"/>
          <w:shd w:val="clear" w:color="auto" w:fill="FFFFFF"/>
        </w:rPr>
        <w:t>证</w:t>
      </w:r>
      <w:r>
        <w:rPr>
          <w:rFonts w:hint="eastAsia" w:cs="Arial"/>
          <w:sz w:val="28"/>
          <w:szCs w:val="28"/>
          <w:shd w:val="clear" w:color="auto" w:fill="FFFFFF"/>
        </w:rPr>
        <w:t>》和“象国用（2004）第01-3174号”《国有</w:t>
      </w:r>
      <w:r>
        <w:rPr>
          <w:rFonts w:cs="Arial"/>
          <w:sz w:val="28"/>
          <w:szCs w:val="28"/>
          <w:shd w:val="clear" w:color="auto" w:fill="FFFFFF"/>
        </w:rPr>
        <w:t>土地使用证</w:t>
      </w:r>
      <w:r>
        <w:rPr>
          <w:rFonts w:hint="eastAsia" w:cs="Arial"/>
          <w:sz w:val="28"/>
          <w:szCs w:val="28"/>
          <w:shd w:val="clear" w:color="auto" w:fill="FFFFFF"/>
        </w:rPr>
        <w:t>》</w:t>
      </w:r>
      <w:r>
        <w:rPr>
          <w:rFonts w:hint="eastAsia"/>
          <w:kern w:val="15"/>
          <w:sz w:val="28"/>
          <w:szCs w:val="28"/>
        </w:rPr>
        <w:t>及</w:t>
      </w:r>
      <w:r>
        <w:rPr>
          <w:kern w:val="15"/>
          <w:sz w:val="28"/>
          <w:szCs w:val="28"/>
        </w:rPr>
        <w:t>编号“D20211008-0002198”《</w:t>
      </w:r>
      <w:r>
        <w:rPr>
          <w:rFonts w:hint="eastAsia"/>
          <w:kern w:val="15"/>
          <w:sz w:val="28"/>
          <w:szCs w:val="28"/>
        </w:rPr>
        <w:t>象山县</w:t>
      </w:r>
      <w:r>
        <w:rPr>
          <w:kern w:val="15"/>
          <w:sz w:val="28"/>
          <w:szCs w:val="28"/>
        </w:rPr>
        <w:t>不动产登记情况证明》</w:t>
      </w:r>
      <w:r>
        <w:rPr>
          <w:rFonts w:hint="eastAsia" w:cs="Arial"/>
          <w:sz w:val="28"/>
          <w:szCs w:val="28"/>
          <w:shd w:val="clear" w:color="auto" w:fill="FFFFFF"/>
        </w:rPr>
        <w:t>的复印件；</w:t>
      </w:r>
    </w:p>
    <w:p>
      <w:pPr>
        <w:spacing w:line="480" w:lineRule="auto"/>
        <w:ind w:firstLine="539"/>
        <w:rPr>
          <w:rFonts w:cs="Arial"/>
          <w:sz w:val="28"/>
          <w:szCs w:val="28"/>
          <w:shd w:val="clear" w:color="auto" w:fill="FFFFFF"/>
        </w:rPr>
      </w:pPr>
      <w:r>
        <w:rPr>
          <w:rFonts w:hint="eastAsia" w:cs="Arial"/>
          <w:sz w:val="28"/>
          <w:szCs w:val="28"/>
          <w:shd w:val="clear" w:color="auto" w:fill="FFFFFF"/>
        </w:rPr>
        <w:t>4、房地产估价师注册证书复印件；</w:t>
      </w:r>
    </w:p>
    <w:p>
      <w:pPr>
        <w:spacing w:line="480" w:lineRule="auto"/>
        <w:ind w:firstLine="539"/>
        <w:rPr>
          <w:rFonts w:cs="Arial"/>
          <w:sz w:val="28"/>
          <w:szCs w:val="28"/>
          <w:shd w:val="clear" w:color="auto" w:fill="FFFFFF"/>
        </w:rPr>
      </w:pPr>
      <w:r>
        <w:rPr>
          <w:rFonts w:hint="eastAsia" w:cs="Arial"/>
          <w:sz w:val="28"/>
          <w:szCs w:val="28"/>
          <w:shd w:val="clear" w:color="auto" w:fill="FFFFFF"/>
        </w:rPr>
        <w:t>5、房地产估价机构资质证书复印件；</w:t>
      </w:r>
    </w:p>
    <w:p>
      <w:pPr>
        <w:spacing w:line="480" w:lineRule="auto"/>
        <w:ind w:firstLine="539"/>
        <w:rPr>
          <w:rFonts w:cs="Arial"/>
          <w:sz w:val="28"/>
          <w:szCs w:val="28"/>
          <w:shd w:val="clear" w:color="auto" w:fill="FFFFFF"/>
        </w:rPr>
        <w:sectPr>
          <w:pgSz w:w="11907" w:h="16840"/>
          <w:pgMar w:top="1247" w:right="1474" w:bottom="1247" w:left="1758" w:header="850" w:footer="964" w:gutter="0"/>
          <w:cols w:space="720" w:num="1"/>
          <w:docGrid w:type="lines" w:linePitch="326" w:charSpace="0"/>
        </w:sectPr>
      </w:pPr>
      <w:r>
        <w:rPr>
          <w:rFonts w:hint="eastAsia" w:cs="Arial"/>
          <w:sz w:val="28"/>
          <w:szCs w:val="28"/>
          <w:shd w:val="clear" w:color="auto" w:fill="FFFFFF"/>
        </w:rPr>
        <w:t>6、房地产估价机构营业执照复印件。</w:t>
      </w:r>
    </w:p>
    <w:p>
      <w:pPr>
        <w:spacing w:line="500" w:lineRule="exact"/>
        <w:rPr>
          <w:rFonts w:cs="Arial"/>
          <w:sz w:val="28"/>
          <w:szCs w:val="28"/>
          <w:shd w:val="clear" w:color="auto" w:fill="FFFFFF"/>
        </w:rPr>
      </w:pPr>
    </w:p>
    <w:sectPr>
      <w:type w:val="continuous"/>
      <w:pgSz w:w="11907" w:h="16840"/>
      <w:pgMar w:top="1247" w:right="1474" w:bottom="1247" w:left="1758" w:header="850" w:footer="96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ind w:right="360"/>
    </w:pPr>
    <w:r>
      <w:rPr>
        <w:rFonts w:hint="eastAsia"/>
      </w:rPr>
      <w:t xml:space="preserve">                                                                       司法评估专用报告</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15</w:t>
    </w:r>
    <w:r>
      <w:fldChar w:fldCharType="end"/>
    </w:r>
  </w:p>
  <w:p>
    <w:pPr>
      <w:pStyle w:val="12"/>
      <w:ind w:right="360"/>
    </w:pPr>
    <w:r>
      <w:rPr>
        <w:rFonts w:hint="eastAsia"/>
      </w:rPr>
      <w:t xml:space="preserve">                                                                       司法评估专用报告</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700"/>
      </w:tabs>
      <w:snapToGrid w:val="0"/>
      <w:ind w:right="360" w:firstLine="240" w:firstLineChars="100"/>
      <w:rPr>
        <w:rFonts w:ascii="仿宋" w:hAnsi="仿宋" w:eastAsia="仿宋" w:cs="仿宋"/>
        <w:kern w:val="2"/>
      </w:rPr>
    </w:pPr>
    <w:r>
      <w:drawing>
        <wp:anchor distT="0" distB="0" distL="114300" distR="114300" simplePos="0" relativeHeight="251659264" behindDoc="0" locked="0" layoutInCell="1" allowOverlap="1">
          <wp:simplePos x="0" y="0"/>
          <wp:positionH relativeFrom="column">
            <wp:posOffset>2540</wp:posOffset>
          </wp:positionH>
          <wp:positionV relativeFrom="paragraph">
            <wp:posOffset>-90805</wp:posOffset>
          </wp:positionV>
          <wp:extent cx="341630" cy="341630"/>
          <wp:effectExtent l="0" t="0" r="1270" b="1270"/>
          <wp:wrapSquare wrapText="bothSides"/>
          <wp:docPr id="1" name="图片 1" descr="说明: 仲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仲恒LOGO"/>
                  <pic:cNvPicPr>
                    <a:picLocks noChangeAspect="1"/>
                  </pic:cNvPicPr>
                </pic:nvPicPr>
                <pic:blipFill>
                  <a:blip r:embed="rId1"/>
                  <a:stretch>
                    <a:fillRect/>
                  </a:stretch>
                </pic:blipFill>
                <pic:spPr>
                  <a:xfrm>
                    <a:off x="0" y="0"/>
                    <a:ext cx="341630" cy="341630"/>
                  </a:xfrm>
                  <a:prstGeom prst="rect">
                    <a:avLst/>
                  </a:prstGeom>
                  <a:noFill/>
                  <a:ln>
                    <a:noFill/>
                  </a:ln>
                </pic:spPr>
              </pic:pic>
            </a:graphicData>
          </a:graphic>
        </wp:anchor>
      </w:drawing>
    </w:r>
    <w:r>
      <w:rPr>
        <w:rFonts w:hint="eastAsia" w:ascii="仿宋" w:hAnsi="仿宋" w:eastAsia="仿宋" w:cs="仿宋"/>
        <w:b/>
        <w:kern w:val="2"/>
        <w:sz w:val="16"/>
        <w:szCs w:val="18"/>
      </w:rPr>
      <w:t xml:space="preserve">     地址(Add)：彩虹大厦10楼C区集中办公室（宁波市鄞州区彩虹南路16号）      邮编(Zip Code)：315100</w:t>
    </w:r>
  </w:p>
  <w:p>
    <w:pPr>
      <w:pBdr>
        <w:bottom w:val="single" w:color="auto" w:sz="6" w:space="1"/>
      </w:pBdr>
      <w:tabs>
        <w:tab w:val="center" w:pos="4153"/>
        <w:tab w:val="right" w:pos="8306"/>
      </w:tabs>
      <w:snapToGrid w:val="0"/>
      <w:rPr>
        <w:rFonts w:cs="Times New Roman"/>
        <w:sz w:val="18"/>
        <w:szCs w:val="18"/>
        <w:u w:val="single"/>
      </w:rPr>
    </w:pPr>
    <w:r>
      <w:rPr>
        <w:rFonts w:hint="eastAsia" w:ascii="仿宋" w:hAnsi="仿宋" w:eastAsia="仿宋" w:cs="仿宋"/>
        <w:b/>
        <w:sz w:val="16"/>
        <w:szCs w:val="18"/>
      </w:rPr>
      <w:t xml:space="preserve">        电话(Tel)：0574-87620828  87784292        </w:t>
    </w:r>
    <w:r>
      <w:rPr>
        <w:rFonts w:hint="eastAsia" w:ascii="仿宋" w:hAnsi="仿宋" w:eastAsia="仿宋" w:cs="仿宋"/>
        <w:sz w:val="18"/>
        <w:szCs w:val="18"/>
      </w:rPr>
      <w:t xml:space="preserve">                           </w:t>
    </w:r>
    <w:r>
      <w:rPr>
        <w:rFonts w:hint="eastAsia" w:ascii="仿宋" w:hAnsi="仿宋" w:eastAsia="仿宋" w:cs="仿宋"/>
        <w:b/>
        <w:sz w:val="16"/>
        <w:szCs w:val="18"/>
      </w:rPr>
      <w:t>传真(fax)：0574-87620828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700"/>
      </w:tabs>
      <w:snapToGrid w:val="0"/>
      <w:ind w:right="360" w:firstLine="240" w:firstLineChars="100"/>
      <w:rPr>
        <w:rFonts w:ascii="仿宋" w:hAnsi="仿宋" w:eastAsia="仿宋" w:cs="仿宋"/>
        <w:kern w:val="2"/>
      </w:rPr>
    </w:pPr>
    <w:r>
      <w:drawing>
        <wp:anchor distT="0" distB="0" distL="114300" distR="114300" simplePos="0" relativeHeight="251660288" behindDoc="0" locked="0" layoutInCell="1" allowOverlap="1">
          <wp:simplePos x="0" y="0"/>
          <wp:positionH relativeFrom="column">
            <wp:posOffset>2540</wp:posOffset>
          </wp:positionH>
          <wp:positionV relativeFrom="paragraph">
            <wp:posOffset>-90805</wp:posOffset>
          </wp:positionV>
          <wp:extent cx="341630" cy="341630"/>
          <wp:effectExtent l="0" t="0" r="1270" b="1270"/>
          <wp:wrapSquare wrapText="bothSides"/>
          <wp:docPr id="11" name="图片 1" descr="说明: 仲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说明: 仲恒LOGO"/>
                  <pic:cNvPicPr>
                    <a:picLocks noChangeAspect="1"/>
                  </pic:cNvPicPr>
                </pic:nvPicPr>
                <pic:blipFill>
                  <a:blip r:embed="rId1"/>
                  <a:stretch>
                    <a:fillRect/>
                  </a:stretch>
                </pic:blipFill>
                <pic:spPr>
                  <a:xfrm>
                    <a:off x="0" y="0"/>
                    <a:ext cx="341630" cy="341630"/>
                  </a:xfrm>
                  <a:prstGeom prst="rect">
                    <a:avLst/>
                  </a:prstGeom>
                  <a:noFill/>
                  <a:ln>
                    <a:noFill/>
                  </a:ln>
                </pic:spPr>
              </pic:pic>
            </a:graphicData>
          </a:graphic>
        </wp:anchor>
      </w:drawing>
    </w:r>
    <w:r>
      <w:rPr>
        <w:rFonts w:hint="eastAsia" w:ascii="仿宋" w:hAnsi="仿宋" w:eastAsia="仿宋" w:cs="仿宋"/>
        <w:b/>
        <w:kern w:val="2"/>
        <w:sz w:val="16"/>
        <w:szCs w:val="18"/>
      </w:rPr>
      <w:t xml:space="preserve">     地址(Add)：彩虹大厦10楼C区集中办公室（宁波市鄞州区彩虹南路16号）      邮编(Zip Code)：315100</w:t>
    </w:r>
  </w:p>
  <w:p>
    <w:pPr>
      <w:pBdr>
        <w:bottom w:val="single" w:color="auto" w:sz="6" w:space="1"/>
      </w:pBdr>
      <w:tabs>
        <w:tab w:val="center" w:pos="4153"/>
        <w:tab w:val="right" w:pos="8306"/>
      </w:tabs>
      <w:snapToGrid w:val="0"/>
      <w:rPr>
        <w:rFonts w:cs="Times New Roman"/>
        <w:sz w:val="18"/>
        <w:szCs w:val="18"/>
        <w:u w:val="single"/>
      </w:rPr>
    </w:pPr>
    <w:r>
      <w:rPr>
        <w:rFonts w:hint="eastAsia" w:ascii="仿宋" w:hAnsi="仿宋" w:eastAsia="仿宋" w:cs="仿宋"/>
        <w:b/>
        <w:sz w:val="16"/>
        <w:szCs w:val="18"/>
      </w:rPr>
      <w:t xml:space="preserve">        电话(Tel)：0574-87620828  87784292        </w:t>
    </w:r>
    <w:r>
      <w:rPr>
        <w:rFonts w:hint="eastAsia" w:ascii="仿宋" w:hAnsi="仿宋" w:eastAsia="仿宋" w:cs="仿宋"/>
        <w:sz w:val="18"/>
        <w:szCs w:val="18"/>
      </w:rPr>
      <w:t xml:space="preserve">                           </w:t>
    </w:r>
    <w:r>
      <w:rPr>
        <w:rFonts w:hint="eastAsia" w:ascii="仿宋" w:hAnsi="仿宋" w:eastAsia="仿宋" w:cs="仿宋"/>
        <w:b/>
        <w:sz w:val="16"/>
        <w:szCs w:val="18"/>
      </w:rPr>
      <w:t>传真(fax)：0574-87620828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C2B4D"/>
    <w:rsid w:val="00097C01"/>
    <w:rsid w:val="00124848"/>
    <w:rsid w:val="00126095"/>
    <w:rsid w:val="0020475F"/>
    <w:rsid w:val="0023462E"/>
    <w:rsid w:val="00301881"/>
    <w:rsid w:val="003D43F1"/>
    <w:rsid w:val="0041706C"/>
    <w:rsid w:val="004E237F"/>
    <w:rsid w:val="0054496E"/>
    <w:rsid w:val="00555D34"/>
    <w:rsid w:val="0063510D"/>
    <w:rsid w:val="006D6AE1"/>
    <w:rsid w:val="00741CEC"/>
    <w:rsid w:val="008C6904"/>
    <w:rsid w:val="00A21F99"/>
    <w:rsid w:val="00AD179A"/>
    <w:rsid w:val="00B12776"/>
    <w:rsid w:val="00B86948"/>
    <w:rsid w:val="00BE6AF8"/>
    <w:rsid w:val="00BE78DB"/>
    <w:rsid w:val="00D1424A"/>
    <w:rsid w:val="00EA580B"/>
    <w:rsid w:val="00EC7988"/>
    <w:rsid w:val="00EF31C2"/>
    <w:rsid w:val="00F01561"/>
    <w:rsid w:val="017C4C76"/>
    <w:rsid w:val="01EF019D"/>
    <w:rsid w:val="02100DEB"/>
    <w:rsid w:val="02B55C71"/>
    <w:rsid w:val="04F927E3"/>
    <w:rsid w:val="05000E6E"/>
    <w:rsid w:val="05CB6E62"/>
    <w:rsid w:val="064A695B"/>
    <w:rsid w:val="07AD3180"/>
    <w:rsid w:val="09226521"/>
    <w:rsid w:val="092E2FE0"/>
    <w:rsid w:val="0A1A48F1"/>
    <w:rsid w:val="15D66DE2"/>
    <w:rsid w:val="1625373B"/>
    <w:rsid w:val="179C31E1"/>
    <w:rsid w:val="19195253"/>
    <w:rsid w:val="19883837"/>
    <w:rsid w:val="19E51499"/>
    <w:rsid w:val="1AA60758"/>
    <w:rsid w:val="1BE81135"/>
    <w:rsid w:val="1C2559A9"/>
    <w:rsid w:val="1D5C7581"/>
    <w:rsid w:val="1E9153B8"/>
    <w:rsid w:val="203B2C16"/>
    <w:rsid w:val="21945B96"/>
    <w:rsid w:val="236C292E"/>
    <w:rsid w:val="24413393"/>
    <w:rsid w:val="26E34DA7"/>
    <w:rsid w:val="275D5A64"/>
    <w:rsid w:val="29737C38"/>
    <w:rsid w:val="2D775B8D"/>
    <w:rsid w:val="31CB318D"/>
    <w:rsid w:val="32026C34"/>
    <w:rsid w:val="33D3010D"/>
    <w:rsid w:val="35F864E9"/>
    <w:rsid w:val="365858EC"/>
    <w:rsid w:val="373B7656"/>
    <w:rsid w:val="38C17827"/>
    <w:rsid w:val="3B2F3668"/>
    <w:rsid w:val="3BC729D9"/>
    <w:rsid w:val="3C896EFE"/>
    <w:rsid w:val="3CC779AA"/>
    <w:rsid w:val="3CD35513"/>
    <w:rsid w:val="3DD7259D"/>
    <w:rsid w:val="3E907376"/>
    <w:rsid w:val="3F9D1A4B"/>
    <w:rsid w:val="4010089B"/>
    <w:rsid w:val="42A47131"/>
    <w:rsid w:val="43330972"/>
    <w:rsid w:val="44191BC5"/>
    <w:rsid w:val="484A0F3F"/>
    <w:rsid w:val="49613183"/>
    <w:rsid w:val="496E4DB0"/>
    <w:rsid w:val="4A3643B4"/>
    <w:rsid w:val="4BB83532"/>
    <w:rsid w:val="4BE84B4A"/>
    <w:rsid w:val="4CAE4C4A"/>
    <w:rsid w:val="4ED7562A"/>
    <w:rsid w:val="4F92254B"/>
    <w:rsid w:val="4FB4776D"/>
    <w:rsid w:val="502F2E92"/>
    <w:rsid w:val="50E026C2"/>
    <w:rsid w:val="53285A1C"/>
    <w:rsid w:val="53A4068D"/>
    <w:rsid w:val="54BF3C6A"/>
    <w:rsid w:val="55DC2E2D"/>
    <w:rsid w:val="56BF3DE8"/>
    <w:rsid w:val="5756532E"/>
    <w:rsid w:val="576D19ED"/>
    <w:rsid w:val="581B44AF"/>
    <w:rsid w:val="589D6CD7"/>
    <w:rsid w:val="598D66EB"/>
    <w:rsid w:val="5ADE37E7"/>
    <w:rsid w:val="5E155B52"/>
    <w:rsid w:val="5E4C6E42"/>
    <w:rsid w:val="5E672275"/>
    <w:rsid w:val="60BD57E2"/>
    <w:rsid w:val="6196418D"/>
    <w:rsid w:val="61A7302E"/>
    <w:rsid w:val="65634B2E"/>
    <w:rsid w:val="67D0381D"/>
    <w:rsid w:val="67FE2A02"/>
    <w:rsid w:val="67FE5B16"/>
    <w:rsid w:val="68B92CE9"/>
    <w:rsid w:val="69C45DD0"/>
    <w:rsid w:val="6A3729CE"/>
    <w:rsid w:val="6B1E6F04"/>
    <w:rsid w:val="6C1F788A"/>
    <w:rsid w:val="6F3E1476"/>
    <w:rsid w:val="70982EFD"/>
    <w:rsid w:val="737B7362"/>
    <w:rsid w:val="76D0766A"/>
    <w:rsid w:val="76F005EF"/>
    <w:rsid w:val="774E12F5"/>
    <w:rsid w:val="787F1FE0"/>
    <w:rsid w:val="78A01F0D"/>
    <w:rsid w:val="790E694C"/>
    <w:rsid w:val="79900343"/>
    <w:rsid w:val="7BFC2B4D"/>
    <w:rsid w:val="7DE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adjustRightInd w:val="0"/>
      <w:snapToGrid w:val="0"/>
      <w:spacing w:line="360" w:lineRule="auto"/>
      <w:jc w:val="center"/>
      <w:outlineLvl w:val="1"/>
    </w:pPr>
    <w:rPr>
      <w:sz w:val="36"/>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val="0"/>
      <w:snapToGrid w:val="0"/>
      <w:spacing w:line="360" w:lineRule="auto"/>
      <w:ind w:firstLine="567"/>
      <w:jc w:val="both"/>
    </w:pPr>
    <w:rPr>
      <w:kern w:val="2"/>
      <w:sz w:val="28"/>
    </w:rPr>
  </w:style>
  <w:style w:type="paragraph" w:styleId="5">
    <w:name w:val="Document Map"/>
    <w:basedOn w:val="1"/>
    <w:link w:val="22"/>
    <w:qFormat/>
    <w:uiPriority w:val="0"/>
    <w:rPr>
      <w:rFonts w:cs="Times New Roman"/>
      <w:sz w:val="18"/>
      <w:szCs w:val="18"/>
    </w:rPr>
  </w:style>
  <w:style w:type="paragraph" w:styleId="6">
    <w:name w:val="annotation text"/>
    <w:basedOn w:val="1"/>
    <w:qFormat/>
    <w:uiPriority w:val="0"/>
    <w:pPr>
      <w:jc w:val="left"/>
    </w:pPr>
  </w:style>
  <w:style w:type="paragraph" w:styleId="7">
    <w:name w:val="Body Text"/>
    <w:basedOn w:val="1"/>
    <w:qFormat/>
    <w:uiPriority w:val="0"/>
    <w:pPr>
      <w:jc w:val="center"/>
    </w:pPr>
    <w:rPr>
      <w:rFonts w:eastAsia="黑体"/>
      <w:sz w:val="32"/>
    </w:rPr>
  </w:style>
  <w:style w:type="paragraph" w:styleId="8">
    <w:name w:val="Body Text Indent"/>
    <w:basedOn w:val="1"/>
    <w:qFormat/>
    <w:uiPriority w:val="0"/>
    <w:pPr>
      <w:spacing w:line="400" w:lineRule="exact"/>
      <w:ind w:left="-105" w:firstLine="585"/>
    </w:pPr>
    <w:rPr>
      <w:sz w:val="28"/>
    </w:rPr>
  </w:style>
  <w:style w:type="paragraph" w:styleId="9">
    <w:name w:val="Date"/>
    <w:basedOn w:val="1"/>
    <w:next w:val="1"/>
    <w:qFormat/>
    <w:uiPriority w:val="0"/>
    <w:pPr>
      <w:ind w:left="100" w:leftChars="2500"/>
    </w:pPr>
  </w:style>
  <w:style w:type="paragraph" w:styleId="10">
    <w:name w:val="Body Text Indent 2"/>
    <w:basedOn w:val="1"/>
    <w:qFormat/>
    <w:uiPriority w:val="0"/>
    <w:pPr>
      <w:spacing w:line="520" w:lineRule="exact"/>
      <w:ind w:firstLine="480"/>
    </w:pPr>
    <w:rPr>
      <w:sz w:val="28"/>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qFormat/>
    <w:uiPriority w:val="0"/>
    <w:pPr>
      <w:spacing w:before="100" w:beforeAutospacing="1" w:after="100" w:afterAutospacing="1"/>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character" w:customStyle="1" w:styleId="22">
    <w:name w:val="文档结构图 Char"/>
    <w:link w:val="5"/>
    <w:qFormat/>
    <w:uiPriority w:val="0"/>
    <w:rPr>
      <w:rFonts w:ascii="宋体" w:hAnsi="宋体" w:cs="宋体"/>
      <w:sz w:val="18"/>
      <w:szCs w:val="18"/>
    </w:rPr>
  </w:style>
  <w:style w:type="character" w:customStyle="1" w:styleId="23">
    <w:name w:val="tpc_content"/>
    <w:basedOn w:val="19"/>
    <w:qFormat/>
    <w:uiPriority w:val="0"/>
  </w:style>
  <w:style w:type="character" w:customStyle="1" w:styleId="24">
    <w:name w:val="正文+四号 Char"/>
    <w:link w:val="25"/>
    <w:qFormat/>
    <w:uiPriority w:val="0"/>
    <w:rPr>
      <w:rFonts w:ascii="宋体" w:hAnsi="宋体" w:eastAsia="宋体"/>
      <w:sz w:val="28"/>
      <w:szCs w:val="28"/>
      <w:lang w:val="en-US" w:eastAsia="zh-CN" w:bidi="ar-SA"/>
    </w:rPr>
  </w:style>
  <w:style w:type="paragraph" w:customStyle="1" w:styleId="25">
    <w:name w:val="正文+四号"/>
    <w:basedOn w:val="1"/>
    <w:link w:val="24"/>
    <w:qFormat/>
    <w:uiPriority w:val="0"/>
    <w:pPr>
      <w:snapToGrid w:val="0"/>
      <w:spacing w:line="360" w:lineRule="auto"/>
      <w:ind w:left="1" w:firstLine="560" w:firstLineChars="200"/>
      <w:textAlignment w:val="bottom"/>
    </w:pPr>
    <w:rPr>
      <w:rFonts w:cs="Times New Roman"/>
      <w:sz w:val="28"/>
      <w:szCs w:val="28"/>
    </w:rPr>
  </w:style>
  <w:style w:type="character" w:customStyle="1" w:styleId="26">
    <w:name w:val="apple-converted-space"/>
    <w:basedOn w:val="19"/>
    <w:qFormat/>
    <w:uiPriority w:val="0"/>
  </w:style>
  <w:style w:type="paragraph" w:customStyle="1" w:styleId="27">
    <w:name w:val="Normal_46"/>
    <w:qFormat/>
    <w:uiPriority w:val="0"/>
    <w:pPr>
      <w:spacing w:before="120" w:after="240"/>
      <w:jc w:val="both"/>
    </w:pPr>
    <w:rPr>
      <w:rFonts w:ascii="Calibri" w:hAnsi="Calibri" w:eastAsia="Calibri" w:cs="Times New Roman"/>
      <w:sz w:val="22"/>
      <w:szCs w:val="22"/>
      <w:lang w:val="ru-RU" w:eastAsia="en-US" w:bidi="ar-SA"/>
    </w:rPr>
  </w:style>
  <w:style w:type="paragraph" w:customStyle="1" w:styleId="28">
    <w:name w:val="字元 字元1 Char Char 字元 字元 Char Char 字元 字元 字元 字元 字元 字元 字元 字元 Char Char 字元 字元 字元 Char Char 字元 字元 字元 Char Char Char"/>
    <w:basedOn w:val="1"/>
    <w:qFormat/>
    <w:uiPriority w:val="0"/>
    <w:pPr>
      <w:spacing w:after="160" w:line="240" w:lineRule="exact"/>
    </w:pPr>
    <w:rPr>
      <w:rFonts w:ascii="Times New Roman" w:hAnsi="Times New Roman" w:cs="Times New Roman"/>
      <w:kern w:val="2"/>
      <w:sz w:val="21"/>
    </w:rPr>
  </w:style>
  <w:style w:type="paragraph" w:customStyle="1" w:styleId="29">
    <w:name w:val="_Style 27"/>
    <w:basedOn w:val="2"/>
    <w:next w:val="1"/>
    <w:qFormat/>
    <w:uiPriority w:val="39"/>
    <w:pPr>
      <w:spacing w:before="480" w:after="0" w:line="276" w:lineRule="auto"/>
      <w:outlineLvl w:val="9"/>
    </w:pPr>
    <w:rPr>
      <w:rFonts w:ascii="Cambria" w:hAnsi="Cambria"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1347</Words>
  <Characters>7682</Characters>
  <Lines>64</Lines>
  <Paragraphs>18</Paragraphs>
  <TotalTime>76</TotalTime>
  <ScaleCrop>false</ScaleCrop>
  <LinksUpToDate>false</LinksUpToDate>
  <CharactersWithSpaces>9011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2022-01-07T06:41:00Z</dcterms:created>
  <dc:creator>风已静</dc:creator>
  <cp:lastModifiedBy>黑土茂斯</cp:lastModifiedBy>
  <cp:lastPrinted>2022-01-12T06:07:00Z</cp:lastPrinted>
  <dcterms:modified xsi:type="dcterms:W3CDTF">2022-01-12T07:52:27Z</dcterms:modified>
  <dc:title>关于新矸资产经营管理公司的房屋价评估报告</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E5C969CD5A3A43AA8C69717247D94CB3</vt:lpwstr>
  </property>
</Properties>
</file>