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045"/>
        </w:tabs>
        <w:spacing w:line="560" w:lineRule="exact"/>
        <w:ind w:left="-40" w:leftChars="-50" w:hanging="100" w:hangingChars="18"/>
        <w:jc w:val="center"/>
        <w:rPr>
          <w:rFonts w:eastAsia="黑体"/>
          <w:color w:val="000000" w:themeColor="text1"/>
          <w:spacing w:val="20"/>
          <w:sz w:val="52"/>
        </w:rPr>
      </w:pPr>
    </w:p>
    <w:p>
      <w:pPr>
        <w:tabs>
          <w:tab w:val="left" w:pos="3045"/>
        </w:tabs>
        <w:spacing w:line="560" w:lineRule="exact"/>
        <w:ind w:left="-40" w:leftChars="-50" w:hanging="100" w:hangingChars="18"/>
        <w:jc w:val="center"/>
        <w:rPr>
          <w:rFonts w:eastAsia="黑体"/>
          <w:color w:val="000000" w:themeColor="text1"/>
          <w:spacing w:val="20"/>
          <w:sz w:val="52"/>
        </w:rPr>
      </w:pPr>
    </w:p>
    <w:p>
      <w:pPr>
        <w:tabs>
          <w:tab w:val="left" w:pos="3045"/>
        </w:tabs>
        <w:spacing w:line="560" w:lineRule="exact"/>
        <w:ind w:left="-40" w:leftChars="-50" w:hanging="100" w:hangingChars="18"/>
        <w:jc w:val="center"/>
        <w:rPr>
          <w:rFonts w:eastAsia="黑体"/>
          <w:color w:val="000000" w:themeColor="text1"/>
          <w:spacing w:val="20"/>
          <w:sz w:val="52"/>
        </w:rPr>
      </w:pPr>
    </w:p>
    <w:p>
      <w:pPr>
        <w:tabs>
          <w:tab w:val="left" w:pos="3045"/>
        </w:tabs>
        <w:spacing w:line="560" w:lineRule="exact"/>
        <w:ind w:left="-40" w:leftChars="-50" w:hanging="100" w:hangingChars="18"/>
        <w:jc w:val="center"/>
        <w:rPr>
          <w:rFonts w:eastAsia="黑体"/>
          <w:color w:val="000000" w:themeColor="text1"/>
          <w:spacing w:val="20"/>
          <w:sz w:val="52"/>
        </w:rPr>
      </w:pPr>
    </w:p>
    <w:p>
      <w:pPr>
        <w:tabs>
          <w:tab w:val="left" w:pos="3045"/>
        </w:tabs>
        <w:spacing w:line="560" w:lineRule="exact"/>
        <w:ind w:left="-40" w:leftChars="-50" w:hanging="100" w:hangingChars="18"/>
        <w:jc w:val="center"/>
        <w:rPr>
          <w:rFonts w:eastAsia="黑体"/>
          <w:color w:val="000000" w:themeColor="text1"/>
          <w:spacing w:val="20"/>
          <w:sz w:val="52"/>
        </w:rPr>
      </w:pPr>
    </w:p>
    <w:p>
      <w:pPr>
        <w:tabs>
          <w:tab w:val="left" w:pos="3045"/>
        </w:tabs>
        <w:spacing w:line="560" w:lineRule="exact"/>
        <w:ind w:left="-40" w:leftChars="-50" w:hanging="100" w:hangingChars="18"/>
        <w:jc w:val="center"/>
        <w:rPr>
          <w:rFonts w:eastAsia="黑体"/>
          <w:color w:val="000000" w:themeColor="text1"/>
          <w:spacing w:val="20"/>
          <w:sz w:val="52"/>
        </w:rPr>
      </w:pPr>
      <w:r>
        <w:rPr>
          <w:rFonts w:eastAsia="黑体"/>
          <w:color w:val="000000" w:themeColor="text1"/>
          <w:spacing w:val="20"/>
          <w:sz w:val="52"/>
        </w:rPr>
        <w:t>房地产司法鉴定估价报告</w:t>
      </w:r>
    </w:p>
    <w:p>
      <w:pPr>
        <w:tabs>
          <w:tab w:val="left" w:pos="3045"/>
          <w:tab w:val="left" w:pos="3150"/>
        </w:tabs>
        <w:spacing w:line="500" w:lineRule="exact"/>
        <w:ind w:left="3776" w:leftChars="516" w:hanging="2332" w:hangingChars="833"/>
        <w:rPr>
          <w:color w:val="000000" w:themeColor="text1"/>
        </w:rPr>
      </w:pPr>
    </w:p>
    <w:p>
      <w:pPr>
        <w:tabs>
          <w:tab w:val="left" w:pos="3045"/>
          <w:tab w:val="left" w:pos="3150"/>
        </w:tabs>
        <w:spacing w:line="500" w:lineRule="exact"/>
        <w:rPr>
          <w:color w:val="000000" w:themeColor="text1"/>
        </w:rPr>
      </w:pPr>
    </w:p>
    <w:p>
      <w:pPr>
        <w:spacing w:line="720" w:lineRule="auto"/>
        <w:ind w:firstLine="640" w:firstLineChars="200"/>
        <w:jc w:val="left"/>
        <w:rPr>
          <w:rFonts w:ascii="楷体_GB2312" w:eastAsia="楷体_GB2312"/>
          <w:color w:val="auto"/>
          <w:sz w:val="32"/>
        </w:rPr>
      </w:pPr>
      <w:r>
        <w:rPr>
          <w:rFonts w:hint="eastAsia" w:ascii="楷体_GB2312" w:eastAsia="楷体_GB2312"/>
          <w:sz w:val="32"/>
        </w:rPr>
        <w:t>估价报告编号：四川(吉祥)房评</w:t>
      </w:r>
      <w:r>
        <w:rPr>
          <w:rFonts w:hint="eastAsia" w:ascii="楷体_GB2312" w:eastAsia="楷体_GB2312"/>
          <w:color w:val="auto"/>
          <w:sz w:val="32"/>
        </w:rPr>
        <w:t>（20</w:t>
      </w:r>
      <w:r>
        <w:rPr>
          <w:rFonts w:hint="eastAsia" w:ascii="楷体_GB2312" w:eastAsia="楷体_GB2312"/>
          <w:color w:val="auto"/>
          <w:sz w:val="32"/>
          <w:lang w:val="en-US" w:eastAsia="zh-CN"/>
        </w:rPr>
        <w:t>21</w:t>
      </w:r>
      <w:r>
        <w:rPr>
          <w:rFonts w:hint="eastAsia" w:ascii="楷体_GB2312" w:eastAsia="楷体_GB2312"/>
          <w:color w:val="auto"/>
          <w:sz w:val="32"/>
        </w:rPr>
        <w:t>）字第</w:t>
      </w:r>
      <w:r>
        <w:rPr>
          <w:rFonts w:hint="eastAsia" w:ascii="楷体_GB2312" w:eastAsia="楷体_GB2312"/>
          <w:color w:val="auto"/>
          <w:sz w:val="32"/>
          <w:lang w:val="en-US" w:eastAsia="zh-CN"/>
        </w:rPr>
        <w:t>091</w:t>
      </w:r>
      <w:r>
        <w:rPr>
          <w:rFonts w:hint="eastAsia" w:ascii="楷体_GB2312" w:eastAsia="楷体_GB2312"/>
          <w:color w:val="auto"/>
          <w:sz w:val="32"/>
        </w:rPr>
        <w:t>号</w:t>
      </w:r>
    </w:p>
    <w:p>
      <w:pPr>
        <w:spacing w:line="720" w:lineRule="auto"/>
        <w:jc w:val="left"/>
        <w:rPr>
          <w:rFonts w:ascii="楷体_GB2312" w:eastAsia="楷体_GB2312"/>
          <w:sz w:val="32"/>
        </w:rPr>
      </w:pPr>
    </w:p>
    <w:p>
      <w:pPr>
        <w:snapToGrid w:val="0"/>
        <w:spacing w:line="360" w:lineRule="auto"/>
        <w:ind w:left="2878" w:leftChars="228" w:hanging="2240" w:hangingChars="700"/>
        <w:rPr>
          <w:rFonts w:hint="eastAsia" w:ascii="楷体_GB2312" w:eastAsia="楷体_GB2312"/>
          <w:sz w:val="32"/>
          <w:szCs w:val="22"/>
          <w:lang w:eastAsia="zh-CN"/>
        </w:rPr>
      </w:pPr>
      <w:r>
        <w:rPr>
          <w:rFonts w:hint="eastAsia" w:ascii="楷体_GB2312" w:eastAsia="楷体_GB2312"/>
          <w:sz w:val="32"/>
        </w:rPr>
        <w:t>估价项目名称：</w:t>
      </w:r>
      <w:r>
        <w:rPr>
          <w:rFonts w:hint="eastAsia" w:ascii="楷体_GB2312" w:eastAsia="楷体_GB2312"/>
          <w:sz w:val="32"/>
          <w:lang w:eastAsia="zh-CN"/>
        </w:rPr>
        <w:t>四川平扬房地产开发有限公司</w:t>
      </w:r>
      <w:r>
        <w:rPr>
          <w:rFonts w:hint="eastAsia" w:ascii="楷体_GB2312" w:eastAsia="楷体_GB2312"/>
          <w:sz w:val="32"/>
        </w:rPr>
        <w:t>位于</w:t>
      </w:r>
      <w:r>
        <w:rPr>
          <w:rFonts w:hint="eastAsia" w:ascii="楷体_GB2312" w:eastAsia="楷体_GB2312"/>
          <w:sz w:val="32"/>
          <w:lang w:eastAsia="zh-CN"/>
        </w:rPr>
        <w:t>自贡市大安区何市镇新街</w:t>
      </w:r>
      <w:r>
        <w:rPr>
          <w:rFonts w:hint="eastAsia" w:ascii="楷体_GB2312" w:eastAsia="楷体_GB2312"/>
          <w:sz w:val="32"/>
          <w:lang w:val="en-US" w:eastAsia="zh-CN"/>
        </w:rPr>
        <w:t>252号</w:t>
      </w:r>
      <w:r>
        <w:rPr>
          <w:rFonts w:hint="eastAsia" w:ascii="楷体_GB2312" w:eastAsia="楷体_GB2312"/>
          <w:sz w:val="32"/>
        </w:rPr>
        <w:t>的</w:t>
      </w:r>
      <w:r>
        <w:rPr>
          <w:rFonts w:hint="eastAsia" w:ascii="楷体_GB2312" w:eastAsia="楷体_GB2312"/>
          <w:sz w:val="32"/>
          <w:lang w:eastAsia="zh-CN"/>
        </w:rPr>
        <w:t>商业、住宅及在建工程市场价值</w:t>
      </w:r>
      <w:r>
        <w:rPr>
          <w:rFonts w:hint="eastAsia" w:ascii="楷体_GB2312" w:eastAsia="楷体_GB2312"/>
          <w:sz w:val="32"/>
        </w:rPr>
        <w:t>评估</w:t>
      </w:r>
    </w:p>
    <w:p>
      <w:pPr>
        <w:snapToGrid w:val="0"/>
        <w:spacing w:line="360" w:lineRule="auto"/>
        <w:ind w:left="2718" w:leftChars="228" w:hanging="2080" w:hangingChars="650"/>
        <w:rPr>
          <w:rFonts w:ascii="楷体_GB2312" w:eastAsia="楷体_GB2312"/>
          <w:sz w:val="32"/>
        </w:rPr>
      </w:pPr>
    </w:p>
    <w:p>
      <w:pPr>
        <w:snapToGrid w:val="0"/>
        <w:spacing w:line="360" w:lineRule="auto"/>
        <w:ind w:firstLine="640" w:firstLineChars="200"/>
        <w:rPr>
          <w:rFonts w:hint="eastAsia" w:ascii="楷体_GB2312" w:eastAsia="楷体_GB2312"/>
          <w:sz w:val="32"/>
          <w:lang w:val="en-US" w:eastAsia="zh-CN"/>
        </w:rPr>
      </w:pPr>
      <w:r>
        <w:rPr>
          <w:rFonts w:hint="eastAsia" w:ascii="楷体_GB2312" w:eastAsia="楷体_GB2312"/>
          <w:sz w:val="32"/>
        </w:rPr>
        <w:t>估价委托人：</w:t>
      </w:r>
      <w:r>
        <w:rPr>
          <w:rFonts w:hint="eastAsia" w:ascii="楷体_GB2312" w:eastAsia="楷体_GB2312"/>
          <w:sz w:val="32"/>
          <w:lang w:eastAsia="zh-CN"/>
        </w:rPr>
        <w:t>四川省成都市中级人民法院</w:t>
      </w:r>
    </w:p>
    <w:p>
      <w:pPr>
        <w:snapToGrid w:val="0"/>
        <w:spacing w:line="360" w:lineRule="auto"/>
        <w:ind w:left="2718" w:leftChars="228" w:hanging="2080" w:hangingChars="650"/>
        <w:rPr>
          <w:rFonts w:ascii="楷体_GB2312" w:eastAsia="楷体_GB2312"/>
          <w:sz w:val="32"/>
        </w:rPr>
      </w:pPr>
    </w:p>
    <w:p>
      <w:pPr>
        <w:snapToGrid w:val="0"/>
        <w:spacing w:line="360" w:lineRule="auto"/>
        <w:ind w:firstLine="640" w:firstLineChars="200"/>
        <w:rPr>
          <w:rFonts w:ascii="楷体_GB2312" w:eastAsia="楷体_GB2312"/>
          <w:sz w:val="32"/>
        </w:rPr>
      </w:pPr>
      <w:r>
        <w:rPr>
          <w:rFonts w:hint="eastAsia" w:ascii="楷体_GB2312" w:eastAsia="楷体_GB2312"/>
          <w:sz w:val="32"/>
        </w:rPr>
        <w:t>房地产估价机构：</w:t>
      </w:r>
      <w:r>
        <w:rPr>
          <w:rFonts w:hint="eastAsia" w:ascii="楷体_GB2312" w:eastAsia="楷体_GB2312"/>
          <w:sz w:val="32"/>
          <w:lang w:eastAsia="zh-CN"/>
        </w:rPr>
        <w:t>四川吉祥房地产土地资产评估有限公司</w:t>
      </w:r>
      <w:r>
        <w:rPr>
          <w:rFonts w:ascii="楷体_GB2312" w:eastAsia="楷体_GB2312"/>
          <w:sz w:val="32"/>
        </w:rPr>
        <w:t xml:space="preserve"> </w:t>
      </w:r>
    </w:p>
    <w:p>
      <w:pPr>
        <w:snapToGrid w:val="0"/>
        <w:spacing w:line="360" w:lineRule="auto"/>
        <w:ind w:left="2718" w:leftChars="228" w:hanging="2080" w:hangingChars="650"/>
        <w:rPr>
          <w:rFonts w:ascii="楷体_GB2312" w:eastAsia="楷体_GB2312"/>
          <w:sz w:val="32"/>
        </w:rPr>
      </w:pPr>
    </w:p>
    <w:p>
      <w:pPr>
        <w:snapToGrid w:val="0"/>
        <w:spacing w:line="360" w:lineRule="auto"/>
        <w:ind w:firstLine="640" w:firstLineChars="200"/>
        <w:rPr>
          <w:rFonts w:ascii="楷体_GB2312" w:eastAsia="楷体_GB2312"/>
          <w:sz w:val="32"/>
        </w:rPr>
      </w:pPr>
      <w:r>
        <w:rPr>
          <w:rFonts w:hint="eastAsia" w:ascii="楷体_GB2312" w:eastAsia="楷体_GB2312"/>
          <w:sz w:val="32"/>
        </w:rPr>
        <w:t>注册房地产估价师：艾巧琳（注册号：5120050058）</w:t>
      </w:r>
    </w:p>
    <w:p>
      <w:pPr>
        <w:rPr>
          <w:rFonts w:ascii="仿宋_GB2312" w:eastAsia="仿宋_GB2312"/>
          <w:sz w:val="32"/>
        </w:rPr>
      </w:pPr>
      <w:r>
        <w:rPr>
          <w:rFonts w:hint="eastAsia" w:ascii="楷体_GB2312" w:hAnsi="黑体" w:eastAsia="楷体_GB2312"/>
          <w:sz w:val="32"/>
        </w:rPr>
        <w:t xml:space="preserve">                      </w:t>
      </w:r>
      <w:r>
        <w:rPr>
          <w:rFonts w:hint="eastAsia" w:ascii="楷体_GB2312" w:hAnsi="黑体" w:eastAsia="楷体_GB2312"/>
          <w:sz w:val="32"/>
          <w:lang w:val="en-US" w:eastAsia="zh-CN"/>
        </w:rPr>
        <w:t>高  涛</w:t>
      </w:r>
      <w:r>
        <w:rPr>
          <w:rFonts w:hint="eastAsia" w:ascii="楷体_GB2312" w:hAnsi="黑体" w:eastAsia="楷体_GB2312"/>
          <w:sz w:val="32"/>
        </w:rPr>
        <w:t>（注册号：</w:t>
      </w:r>
      <w:r>
        <w:rPr>
          <w:rFonts w:hint="eastAsia" w:ascii="楷体_GB2312" w:hAnsi="黑体" w:eastAsia="楷体_GB2312"/>
          <w:sz w:val="32"/>
          <w:lang w:eastAsia="zh-CN"/>
        </w:rPr>
        <w:t>5120180033</w:t>
      </w:r>
      <w:r>
        <w:rPr>
          <w:rFonts w:hint="eastAsia" w:ascii="楷体_GB2312" w:hAnsi="黑体" w:eastAsia="楷体_GB2312"/>
          <w:sz w:val="32"/>
        </w:rPr>
        <w:t>）</w:t>
      </w:r>
    </w:p>
    <w:p>
      <w:pPr>
        <w:snapToGrid w:val="0"/>
        <w:spacing w:line="360" w:lineRule="auto"/>
        <w:ind w:left="2718" w:leftChars="228" w:hanging="2080" w:hangingChars="650"/>
        <w:rPr>
          <w:rFonts w:ascii="楷体_GB2312" w:eastAsia="楷体_GB2312"/>
          <w:color w:val="auto"/>
          <w:sz w:val="32"/>
        </w:rPr>
      </w:pPr>
    </w:p>
    <w:p>
      <w:pPr>
        <w:snapToGrid w:val="0"/>
        <w:spacing w:line="360" w:lineRule="auto"/>
        <w:ind w:firstLine="640" w:firstLineChars="200"/>
        <w:rPr>
          <w:rFonts w:hint="eastAsia" w:ascii="楷体_GB2312" w:eastAsia="楷体_GB2312"/>
          <w:color w:val="auto"/>
          <w:sz w:val="32"/>
          <w:lang w:eastAsia="zh-CN"/>
        </w:rPr>
      </w:pPr>
      <w:r>
        <w:rPr>
          <w:rFonts w:hint="eastAsia" w:ascii="楷体_GB2312" w:eastAsia="楷体_GB2312"/>
          <w:color w:val="auto"/>
          <w:sz w:val="32"/>
        </w:rPr>
        <w:t>估价报告出具日期：</w:t>
      </w:r>
      <w:r>
        <w:rPr>
          <w:rFonts w:hint="eastAsia" w:ascii="楷体_GB2312" w:eastAsia="楷体_GB2312"/>
          <w:color w:val="auto"/>
          <w:sz w:val="32"/>
          <w:lang w:eastAsia="zh-CN"/>
        </w:rPr>
        <w:t>2021年9月22日</w:t>
      </w:r>
    </w:p>
    <w:p>
      <w:pPr>
        <w:adjustRightInd w:val="0"/>
        <w:snapToGrid w:val="0"/>
        <w:spacing w:line="600" w:lineRule="exact"/>
        <w:ind w:firstLine="3520" w:firstLineChars="1100"/>
        <w:jc w:val="both"/>
        <w:rPr>
          <w:rFonts w:ascii="黑体" w:hAnsi="黑体" w:eastAsia="黑体"/>
          <w:color w:val="000000" w:themeColor="text1"/>
          <w:sz w:val="32"/>
          <w:szCs w:val="32"/>
        </w:rPr>
      </w:pPr>
      <w:bookmarkStart w:id="0" w:name="_Toc436741742"/>
      <w:bookmarkStart w:id="1" w:name="_Toc482259833"/>
      <w:bookmarkStart w:id="2" w:name="_Toc27057"/>
      <w:bookmarkStart w:id="3" w:name="_Toc436744493"/>
      <w:bookmarkStart w:id="4" w:name="_Toc29166"/>
      <w:bookmarkStart w:id="5" w:name="_Toc436741939"/>
      <w:bookmarkStart w:id="6" w:name="_Toc20612"/>
      <w:bookmarkStart w:id="7" w:name="_Toc436741900"/>
      <w:bookmarkStart w:id="8" w:name="_Toc11704"/>
      <w:bookmarkStart w:id="9" w:name="_Toc437265323"/>
      <w:bookmarkStart w:id="10" w:name="_Toc29259"/>
      <w:bookmarkStart w:id="11" w:name="_Toc436741976"/>
      <w:bookmarkStart w:id="12" w:name="_Toc482259877"/>
      <w:bookmarkStart w:id="13" w:name="_Toc26772"/>
      <w:r>
        <w:rPr>
          <w:rFonts w:hint="eastAsia" w:ascii="黑体" w:hAnsi="黑体" w:eastAsia="黑体"/>
          <w:color w:val="000000" w:themeColor="text1"/>
          <w:sz w:val="32"/>
          <w:szCs w:val="32"/>
        </w:rPr>
        <w:t>致估价委托人的函</w:t>
      </w:r>
      <w:bookmarkEnd w:id="0"/>
      <w:bookmarkEnd w:id="1"/>
      <w:bookmarkEnd w:id="2"/>
      <w:bookmarkEnd w:id="3"/>
      <w:bookmarkEnd w:id="4"/>
      <w:bookmarkEnd w:id="5"/>
      <w:bookmarkEnd w:id="6"/>
      <w:bookmarkEnd w:id="7"/>
      <w:bookmarkEnd w:id="8"/>
      <w:bookmarkEnd w:id="9"/>
      <w:bookmarkEnd w:id="10"/>
      <w:bookmarkEnd w:id="11"/>
      <w:bookmarkEnd w:id="12"/>
      <w:bookmarkEnd w:id="13"/>
    </w:p>
    <w:p>
      <w:pPr>
        <w:adjustRightInd w:val="0"/>
        <w:snapToGrid w:val="0"/>
        <w:spacing w:line="600" w:lineRule="exact"/>
        <w:rPr>
          <w:rFonts w:ascii="仿宋_GB2312" w:eastAsia="仿宋_GB2312"/>
          <w:color w:val="000000" w:themeColor="text1"/>
        </w:rPr>
      </w:pPr>
      <w:r>
        <w:rPr>
          <w:rFonts w:hint="eastAsia" w:ascii="仿宋_GB2312" w:eastAsia="仿宋_GB2312"/>
          <w:color w:val="000000" w:themeColor="text1"/>
          <w:lang w:val="en-US" w:eastAsia="zh-CN"/>
        </w:rPr>
        <w:t>四川省成都市中级人民法院</w:t>
      </w:r>
      <w:r>
        <w:rPr>
          <w:rFonts w:hint="eastAsia" w:ascii="仿宋_GB2312" w:eastAsia="仿宋_GB2312"/>
          <w:color w:val="000000" w:themeColor="text1"/>
        </w:rPr>
        <w:t>：</w:t>
      </w:r>
    </w:p>
    <w:p>
      <w:pPr>
        <w:pStyle w:val="15"/>
        <w:adjustRightInd w:val="0"/>
        <w:snapToGrid w:val="0"/>
        <w:spacing w:line="600" w:lineRule="exact"/>
        <w:rPr>
          <w:color w:val="000000" w:themeColor="text1"/>
        </w:rPr>
      </w:pPr>
      <w:r>
        <w:rPr>
          <w:rFonts w:hint="eastAsia"/>
          <w:color w:val="000000" w:themeColor="text1"/>
        </w:rPr>
        <w:t>受贵院委托，本估价机构秉着独立、客观、公正、科学的原则，对</w:t>
      </w:r>
      <w:r>
        <w:rPr>
          <w:rFonts w:hint="eastAsia"/>
          <w:color w:val="000000" w:themeColor="text1"/>
          <w:lang w:eastAsia="zh-CN"/>
        </w:rPr>
        <w:t>（</w:t>
      </w:r>
      <w:r>
        <w:rPr>
          <w:rFonts w:hint="eastAsia"/>
          <w:color w:val="000000" w:themeColor="text1"/>
          <w:lang w:val="en-US" w:eastAsia="zh-CN"/>
        </w:rPr>
        <w:t>2021</w:t>
      </w:r>
      <w:r>
        <w:rPr>
          <w:rFonts w:hint="eastAsia"/>
          <w:color w:val="000000" w:themeColor="text1"/>
          <w:lang w:eastAsia="zh-CN"/>
        </w:rPr>
        <w:t>）川</w:t>
      </w:r>
      <w:r>
        <w:rPr>
          <w:rFonts w:hint="eastAsia"/>
          <w:color w:val="000000" w:themeColor="text1"/>
          <w:lang w:val="en-US" w:eastAsia="zh-CN"/>
        </w:rPr>
        <w:t>01执恢253号案</w:t>
      </w:r>
      <w:r>
        <w:rPr>
          <w:rFonts w:hint="eastAsia"/>
          <w:color w:val="000000" w:themeColor="text1"/>
        </w:rPr>
        <w:t>涉及</w:t>
      </w:r>
      <w:r>
        <w:rPr>
          <w:rFonts w:hint="eastAsia"/>
          <w:color w:val="000000" w:themeColor="text1"/>
          <w:lang w:eastAsia="zh-CN"/>
        </w:rPr>
        <w:t>四川平扬房地产开发有限公司位于自贡市大安区何市镇新街</w:t>
      </w:r>
      <w:r>
        <w:rPr>
          <w:rFonts w:hint="eastAsia"/>
          <w:color w:val="000000" w:themeColor="text1"/>
          <w:lang w:val="en-US" w:eastAsia="zh-CN"/>
        </w:rPr>
        <w:t>252号兴盛家园的的商业、住宅</w:t>
      </w:r>
      <w:r>
        <w:rPr>
          <w:rFonts w:hint="eastAsia"/>
          <w:color w:val="000000" w:themeColor="text1"/>
        </w:rPr>
        <w:t>用房地产</w:t>
      </w:r>
      <w:r>
        <w:rPr>
          <w:rFonts w:hint="eastAsia"/>
          <w:color w:val="000000" w:themeColor="text1"/>
          <w:lang w:eastAsia="zh-CN"/>
        </w:rPr>
        <w:t>及在建工程</w:t>
      </w:r>
      <w:r>
        <w:rPr>
          <w:rFonts w:hint="eastAsia"/>
          <w:color w:val="000000" w:themeColor="text1"/>
        </w:rPr>
        <w:t>进行市场价值评估。其基本情况如下：</w:t>
      </w:r>
    </w:p>
    <w:p>
      <w:pPr>
        <w:pStyle w:val="15"/>
        <w:numPr>
          <w:ilvl w:val="0"/>
          <w:numId w:val="2"/>
        </w:numPr>
        <w:adjustRightInd w:val="0"/>
        <w:snapToGrid w:val="0"/>
        <w:spacing w:line="600" w:lineRule="exact"/>
        <w:rPr>
          <w:color w:val="000000" w:themeColor="text1"/>
        </w:rPr>
      </w:pPr>
      <w:r>
        <w:rPr>
          <w:rFonts w:hint="eastAsia"/>
          <w:color w:val="000000" w:themeColor="text1"/>
        </w:rPr>
        <w:t>估价目的：</w:t>
      </w:r>
    </w:p>
    <w:p>
      <w:pPr>
        <w:pStyle w:val="15"/>
        <w:adjustRightInd w:val="0"/>
        <w:snapToGrid w:val="0"/>
        <w:spacing w:line="600" w:lineRule="exact"/>
        <w:ind w:firstLine="0"/>
        <w:rPr>
          <w:color w:val="000000" w:themeColor="text1"/>
        </w:rPr>
      </w:pPr>
      <w:r>
        <w:rPr>
          <w:rFonts w:hint="eastAsia"/>
          <w:color w:val="000000" w:themeColor="text1"/>
        </w:rPr>
        <w:t xml:space="preserve">    </w:t>
      </w:r>
      <w:r>
        <w:rPr>
          <w:rFonts w:hint="eastAsia"/>
          <w:color w:val="000000" w:themeColor="text1"/>
          <w:lang w:val="en-US" w:eastAsia="zh-CN"/>
        </w:rPr>
        <w:t>为人民法院确定财产处置参考价提供参考依据</w:t>
      </w:r>
      <w:r>
        <w:rPr>
          <w:rFonts w:hint="eastAsia" w:hAnsi="华文细黑"/>
          <w:color w:val="000000" w:themeColor="text1"/>
        </w:rPr>
        <w:t>。</w:t>
      </w:r>
      <w:r>
        <w:rPr>
          <w:rFonts w:hint="eastAsia"/>
          <w:color w:val="000000" w:themeColor="text1"/>
        </w:rPr>
        <w:t xml:space="preserve"> </w:t>
      </w:r>
    </w:p>
    <w:p>
      <w:pPr>
        <w:pStyle w:val="15"/>
        <w:numPr>
          <w:ilvl w:val="0"/>
          <w:numId w:val="2"/>
        </w:numPr>
        <w:adjustRightInd w:val="0"/>
        <w:snapToGrid w:val="0"/>
        <w:spacing w:line="600" w:lineRule="exact"/>
        <w:rPr>
          <w:color w:val="000000" w:themeColor="text1"/>
        </w:rPr>
      </w:pPr>
      <w:r>
        <w:rPr>
          <w:rFonts w:hint="eastAsia"/>
          <w:color w:val="000000" w:themeColor="text1"/>
        </w:rPr>
        <w:t>估价对象：</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0" w:firstLineChars="200"/>
        <w:textAlignment w:val="auto"/>
        <w:rPr>
          <w:rFonts w:hint="eastAsia"/>
          <w:color w:val="000000" w:themeColor="text1"/>
          <w:lang w:eastAsia="zh-CN"/>
        </w:rPr>
      </w:pPr>
      <w:r>
        <w:rPr>
          <w:rFonts w:hint="eastAsia"/>
          <w:color w:val="000000" w:themeColor="text1"/>
          <w:lang w:eastAsia="zh-CN"/>
        </w:rPr>
        <w:t>估价对象</w:t>
      </w:r>
      <w:r>
        <w:rPr>
          <w:rFonts w:hint="eastAsia"/>
          <w:color w:val="000000" w:themeColor="text1"/>
          <w:lang w:val="en-US" w:eastAsia="zh-CN"/>
        </w:rPr>
        <w:t>1为四川平扬房地产开发有限公司位于自贡市大安区何市镇新街252号兴盛家园建筑面积共计668.05平方米的商业用房地产，</w:t>
      </w:r>
      <w:r>
        <w:rPr>
          <w:rFonts w:hint="eastAsia"/>
          <w:color w:val="000000" w:themeColor="text1"/>
        </w:rPr>
        <w:t>包括该房屋所有权</w:t>
      </w:r>
      <w:r>
        <w:rPr>
          <w:rFonts w:hint="eastAsia"/>
          <w:color w:val="000000" w:themeColor="text1"/>
          <w:lang w:eastAsia="zh-CN"/>
        </w:rPr>
        <w:t>及其分摊占用</w:t>
      </w:r>
      <w:r>
        <w:rPr>
          <w:rFonts w:hint="eastAsia"/>
          <w:color w:val="000000" w:themeColor="text1"/>
        </w:rPr>
        <w:t>的国有出让</w:t>
      </w:r>
      <w:r>
        <w:rPr>
          <w:rFonts w:hint="eastAsia"/>
          <w:color w:val="000000" w:themeColor="text1"/>
          <w:lang w:val="en-US" w:eastAsia="zh-CN"/>
        </w:rPr>
        <w:t>住宅</w:t>
      </w:r>
      <w:r>
        <w:rPr>
          <w:rFonts w:hint="eastAsia"/>
          <w:color w:val="000000" w:themeColor="text1"/>
        </w:rPr>
        <w:t>用地使用权</w:t>
      </w:r>
      <w:r>
        <w:rPr>
          <w:rFonts w:hint="eastAsia"/>
          <w:color w:val="000000" w:themeColor="text1"/>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0" w:firstLineChars="200"/>
        <w:textAlignment w:val="auto"/>
        <w:rPr>
          <w:rFonts w:hint="eastAsia"/>
          <w:color w:val="000000" w:themeColor="text1"/>
          <w:lang w:eastAsia="zh-CN"/>
        </w:rPr>
      </w:pPr>
      <w:r>
        <w:rPr>
          <w:rFonts w:hint="eastAsia"/>
          <w:color w:val="000000" w:themeColor="text1"/>
          <w:lang w:eastAsia="zh-CN"/>
        </w:rPr>
        <w:t>估价对象</w:t>
      </w:r>
      <w:r>
        <w:rPr>
          <w:rFonts w:hint="eastAsia"/>
          <w:color w:val="000000" w:themeColor="text1"/>
          <w:lang w:val="en-US" w:eastAsia="zh-CN"/>
        </w:rPr>
        <w:t>2为四川平扬房地产开发有限公司位于自贡市大安区何市镇新街252号兴盛家园建筑面积共计497.29平方米的住宅用房地产，</w:t>
      </w:r>
      <w:r>
        <w:rPr>
          <w:rFonts w:hint="eastAsia"/>
          <w:color w:val="000000" w:themeColor="text1"/>
        </w:rPr>
        <w:t>包括该房屋所有权</w:t>
      </w:r>
      <w:r>
        <w:rPr>
          <w:rFonts w:hint="eastAsia"/>
          <w:color w:val="000000" w:themeColor="text1"/>
          <w:lang w:eastAsia="zh-CN"/>
        </w:rPr>
        <w:t>及其分摊占用</w:t>
      </w:r>
      <w:r>
        <w:rPr>
          <w:rFonts w:hint="eastAsia"/>
          <w:color w:val="000000" w:themeColor="text1"/>
        </w:rPr>
        <w:t>的国有出让</w:t>
      </w:r>
      <w:r>
        <w:rPr>
          <w:rFonts w:hint="eastAsia"/>
          <w:color w:val="000000" w:themeColor="text1"/>
          <w:lang w:val="en-US" w:eastAsia="zh-CN"/>
        </w:rPr>
        <w:t>住宅</w:t>
      </w:r>
      <w:r>
        <w:rPr>
          <w:rFonts w:hint="eastAsia"/>
          <w:color w:val="000000" w:themeColor="text1"/>
        </w:rPr>
        <w:t>用地使用权</w:t>
      </w:r>
      <w:r>
        <w:rPr>
          <w:rFonts w:hint="eastAsia"/>
          <w:color w:val="000000" w:themeColor="text1"/>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0" w:firstLineChars="200"/>
        <w:textAlignment w:val="auto"/>
        <w:rPr>
          <w:rFonts w:hint="eastAsia" w:eastAsia="仿宋_GB2312"/>
          <w:color w:val="000000" w:themeColor="text1"/>
          <w:lang w:val="en-US" w:eastAsia="zh-CN"/>
        </w:rPr>
      </w:pPr>
      <w:r>
        <w:rPr>
          <w:rFonts w:hint="eastAsia"/>
          <w:color w:val="000000" w:themeColor="text1"/>
          <w:lang w:eastAsia="zh-CN"/>
        </w:rPr>
        <w:t>估价对象</w:t>
      </w:r>
      <w:r>
        <w:rPr>
          <w:rFonts w:hint="eastAsia"/>
          <w:color w:val="000000" w:themeColor="text1"/>
          <w:lang w:val="en-US" w:eastAsia="zh-CN"/>
        </w:rPr>
        <w:t>3为四川平扬房地产开发有限公司位于自贡市大安区何市镇新街252号兴盛家园建筑面积共计5403.7平方米的在建工程，</w:t>
      </w:r>
      <w:r>
        <w:rPr>
          <w:rFonts w:hint="eastAsia"/>
          <w:color w:val="000000" w:themeColor="text1"/>
        </w:rPr>
        <w:t>包括该房屋所有权</w:t>
      </w:r>
      <w:r>
        <w:rPr>
          <w:rFonts w:hint="eastAsia"/>
          <w:color w:val="000000" w:themeColor="text1"/>
          <w:lang w:eastAsia="zh-CN"/>
        </w:rPr>
        <w:t>及其分摊占用</w:t>
      </w:r>
      <w:r>
        <w:rPr>
          <w:rFonts w:hint="eastAsia"/>
          <w:color w:val="000000" w:themeColor="text1"/>
        </w:rPr>
        <w:t>的国有出让</w:t>
      </w:r>
      <w:r>
        <w:rPr>
          <w:rFonts w:hint="eastAsia"/>
          <w:color w:val="000000" w:themeColor="text1"/>
          <w:lang w:val="en-US" w:eastAsia="zh-CN"/>
        </w:rPr>
        <w:t>住宅</w:t>
      </w:r>
      <w:r>
        <w:rPr>
          <w:rFonts w:hint="eastAsia"/>
          <w:color w:val="000000" w:themeColor="text1"/>
        </w:rPr>
        <w:t>用地使用权</w:t>
      </w:r>
      <w:r>
        <w:rPr>
          <w:rFonts w:hint="eastAsia"/>
          <w:color w:val="000000" w:themeColor="text1"/>
          <w:lang w:eastAsia="zh-CN"/>
        </w:rPr>
        <w:t>。</w:t>
      </w:r>
    </w:p>
    <w:p>
      <w:pPr>
        <w:numPr>
          <w:ilvl w:val="0"/>
          <w:numId w:val="2"/>
        </w:numPr>
        <w:adjustRightInd w:val="0"/>
        <w:snapToGrid w:val="0"/>
        <w:spacing w:line="600" w:lineRule="exact"/>
        <w:ind w:firstLine="560"/>
        <w:rPr>
          <w:rStyle w:val="28"/>
          <w:color w:val="000000" w:themeColor="text1"/>
        </w:rPr>
      </w:pPr>
      <w:r>
        <w:rPr>
          <w:rFonts w:hint="eastAsia" w:ascii="仿宋_GB2312" w:eastAsia="仿宋_GB2312"/>
          <w:color w:val="000000" w:themeColor="text1"/>
        </w:rPr>
        <w:t>价值时点：</w:t>
      </w:r>
      <w:r>
        <w:rPr>
          <w:rFonts w:hint="eastAsia" w:ascii="仿宋_GB2312" w:eastAsia="仿宋_GB2312"/>
          <w:color w:val="000000" w:themeColor="text1"/>
          <w:lang w:val="en-US" w:eastAsia="zh-CN"/>
        </w:rPr>
        <w:t>2021年3月25日</w:t>
      </w:r>
      <w:r>
        <w:rPr>
          <w:rStyle w:val="28"/>
          <w:rFonts w:hint="eastAsia"/>
          <w:color w:val="000000" w:themeColor="text1"/>
        </w:rPr>
        <w:t>。</w:t>
      </w:r>
    </w:p>
    <w:p>
      <w:pPr>
        <w:numPr>
          <w:ilvl w:val="0"/>
          <w:numId w:val="2"/>
        </w:numPr>
        <w:adjustRightInd w:val="0"/>
        <w:snapToGrid w:val="0"/>
        <w:spacing w:line="600" w:lineRule="exact"/>
        <w:ind w:firstLine="560"/>
        <w:rPr>
          <w:rStyle w:val="28"/>
          <w:color w:val="000000" w:themeColor="text1"/>
        </w:rPr>
      </w:pPr>
      <w:r>
        <w:rPr>
          <w:rStyle w:val="28"/>
          <w:rFonts w:hint="eastAsia" w:ascii="仿宋_GB2312"/>
          <w:color w:val="000000" w:themeColor="text1"/>
        </w:rPr>
        <w:t>价值类型：房地产市场价值。</w:t>
      </w:r>
    </w:p>
    <w:p>
      <w:pPr>
        <w:numPr>
          <w:ilvl w:val="0"/>
          <w:numId w:val="2"/>
        </w:numPr>
        <w:adjustRightInd w:val="0"/>
        <w:snapToGrid w:val="0"/>
        <w:spacing w:line="600" w:lineRule="exact"/>
        <w:ind w:firstLine="560"/>
        <w:rPr>
          <w:rFonts w:ascii="仿宋_GB2312" w:eastAsia="仿宋_GB2312"/>
          <w:color w:val="000000" w:themeColor="text1"/>
        </w:rPr>
      </w:pPr>
      <w:r>
        <w:rPr>
          <w:rFonts w:hint="eastAsia" w:ascii="仿宋_GB2312" w:eastAsia="仿宋_GB2312"/>
          <w:color w:val="000000" w:themeColor="text1"/>
        </w:rPr>
        <w:t>估价方法：</w:t>
      </w:r>
      <w:r>
        <w:rPr>
          <w:rFonts w:hint="eastAsia" w:ascii="仿宋_GB2312" w:eastAsia="仿宋_GB2312"/>
          <w:color w:val="000000" w:themeColor="text1"/>
          <w:lang w:eastAsia="zh-CN"/>
        </w:rPr>
        <w:t>估价对象</w:t>
      </w:r>
      <w:r>
        <w:rPr>
          <w:rFonts w:hint="eastAsia" w:ascii="仿宋_GB2312" w:eastAsia="仿宋_GB2312"/>
          <w:color w:val="000000" w:themeColor="text1"/>
          <w:lang w:val="en-US" w:eastAsia="zh-CN"/>
        </w:rPr>
        <w:t>1（商业）采用收益法，估价对象2（住宅）采用比较法，估价对象3（在建工程）采用假设开发法。</w:t>
      </w:r>
    </w:p>
    <w:p>
      <w:pPr>
        <w:numPr>
          <w:ilvl w:val="0"/>
          <w:numId w:val="2"/>
        </w:numPr>
        <w:adjustRightInd w:val="0"/>
        <w:snapToGrid w:val="0"/>
        <w:spacing w:line="600" w:lineRule="exact"/>
        <w:ind w:firstLine="560"/>
        <w:rPr>
          <w:rFonts w:ascii="仿宋_GB2312" w:eastAsia="仿宋_GB2312"/>
          <w:color w:val="000000" w:themeColor="text1"/>
        </w:rPr>
      </w:pPr>
      <w:r>
        <w:rPr>
          <w:rFonts w:hint="eastAsia" w:ascii="仿宋_GB2312" w:eastAsia="仿宋_GB2312"/>
          <w:color w:val="000000" w:themeColor="text1"/>
        </w:rPr>
        <w:t>估价结果：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0" w:firstLineChars="200"/>
        <w:textAlignment w:val="auto"/>
        <w:rPr>
          <w:rFonts w:hint="default" w:ascii="仿宋_GB2312" w:eastAsia="仿宋_GB2312"/>
          <w:color w:val="000000" w:themeColor="text1"/>
          <w:lang w:val="en-US" w:eastAsia="zh-CN"/>
        </w:rPr>
      </w:pPr>
      <w:r>
        <w:rPr>
          <w:rFonts w:hint="eastAsia" w:ascii="仿宋_GB2312" w:eastAsia="仿宋_GB2312"/>
          <w:color w:val="000000" w:themeColor="text1"/>
          <w:lang w:eastAsia="zh-CN"/>
        </w:rPr>
        <w:t>（</w:t>
      </w:r>
      <w:r>
        <w:rPr>
          <w:rFonts w:hint="eastAsia" w:ascii="仿宋_GB2312" w:eastAsia="仿宋_GB2312"/>
          <w:color w:val="000000" w:themeColor="text1"/>
          <w:lang w:val="en-US" w:eastAsia="zh-CN"/>
        </w:rPr>
        <w:t>1</w:t>
      </w:r>
      <w:r>
        <w:rPr>
          <w:rFonts w:hint="eastAsia" w:ascii="仿宋_GB2312" w:eastAsia="仿宋_GB2312"/>
          <w:color w:val="000000" w:themeColor="text1"/>
          <w:lang w:eastAsia="zh-CN"/>
        </w:rPr>
        <w:t>）估价对象</w:t>
      </w:r>
      <w:r>
        <w:rPr>
          <w:rFonts w:hint="eastAsia" w:ascii="仿宋_GB2312" w:eastAsia="仿宋_GB2312"/>
          <w:color w:val="000000" w:themeColor="text1"/>
          <w:lang w:val="en-US" w:eastAsia="zh-CN"/>
        </w:rPr>
        <w:t>1</w:t>
      </w:r>
    </w:p>
    <w:p>
      <w:pPr>
        <w:adjustRightInd w:val="0"/>
        <w:snapToGrid w:val="0"/>
        <w:spacing w:line="600" w:lineRule="exact"/>
        <w:ind w:left="560"/>
        <w:rPr>
          <w:rFonts w:hint="default" w:ascii="仿宋_GB2312" w:eastAsia="仿宋_GB2312"/>
          <w:color w:val="000000" w:themeColor="text1"/>
          <w:lang w:val="en-US" w:eastAsia="zh-CN"/>
        </w:rPr>
      </w:pPr>
      <w:r>
        <w:rPr>
          <w:rFonts w:hint="eastAsia" w:ascii="仿宋_GB2312" w:eastAsia="仿宋_GB2312"/>
          <w:color w:val="000000" w:themeColor="text1"/>
          <w:lang w:eastAsia="zh-CN"/>
        </w:rPr>
        <w:t>评估面积：</w:t>
      </w:r>
      <w:r>
        <w:rPr>
          <w:rFonts w:hint="eastAsia" w:ascii="仿宋_GB2312" w:eastAsia="仿宋_GB2312"/>
          <w:color w:val="000000" w:themeColor="text1"/>
          <w:lang w:val="en-US" w:eastAsia="zh-CN"/>
        </w:rPr>
        <w:t>668.05平方米</w:t>
      </w:r>
    </w:p>
    <w:p>
      <w:pPr>
        <w:adjustRightInd w:val="0"/>
        <w:snapToGrid w:val="0"/>
        <w:spacing w:line="600" w:lineRule="exact"/>
        <w:ind w:left="560"/>
        <w:rPr>
          <w:rFonts w:ascii="仿宋_GB2312" w:eastAsia="仿宋_GB2312"/>
          <w:color w:val="000000" w:themeColor="text1"/>
        </w:rPr>
      </w:pPr>
      <w:r>
        <w:rPr>
          <w:rFonts w:hint="eastAsia" w:ascii="仿宋_GB2312" w:eastAsia="仿宋_GB2312"/>
          <w:color w:val="000000" w:themeColor="text1"/>
        </w:rPr>
        <w:t>评估单价：</w:t>
      </w:r>
      <w:r>
        <w:rPr>
          <w:rFonts w:hint="eastAsia" w:ascii="仿宋_GB2312" w:eastAsia="仿宋_GB2312"/>
          <w:color w:val="000000" w:themeColor="text1"/>
          <w:lang w:val="en-US" w:eastAsia="zh-CN"/>
        </w:rPr>
        <w:t>6090</w:t>
      </w:r>
      <w:r>
        <w:rPr>
          <w:rFonts w:hint="eastAsia" w:ascii="仿宋_GB2312" w:eastAsia="仿宋_GB2312"/>
          <w:color w:val="000000" w:themeColor="text1"/>
        </w:rPr>
        <w:t>元/平方米（取整至十元位）</w:t>
      </w:r>
    </w:p>
    <w:p>
      <w:pPr>
        <w:adjustRightInd w:val="0"/>
        <w:snapToGrid w:val="0"/>
        <w:spacing w:line="600" w:lineRule="exact"/>
        <w:ind w:left="560"/>
        <w:rPr>
          <w:rFonts w:ascii="仿宋_GB2312" w:eastAsia="仿宋_GB2312"/>
          <w:color w:val="000000" w:themeColor="text1"/>
        </w:rPr>
      </w:pPr>
      <w:r>
        <w:rPr>
          <w:rFonts w:hint="eastAsia" w:ascii="仿宋_GB2312" w:eastAsia="仿宋_GB2312"/>
          <w:color w:val="000000" w:themeColor="text1"/>
        </w:rPr>
        <w:t>评估总价：</w:t>
      </w:r>
      <w:r>
        <w:rPr>
          <w:rFonts w:hint="eastAsia" w:ascii="仿宋_GB2312" w:eastAsia="仿宋_GB2312"/>
          <w:color w:val="000000" w:themeColor="text1"/>
          <w:lang w:val="en-US" w:eastAsia="zh-CN"/>
        </w:rPr>
        <w:t>406.83</w:t>
      </w:r>
      <w:r>
        <w:rPr>
          <w:rFonts w:hint="eastAsia" w:ascii="仿宋_GB2312" w:eastAsia="仿宋_GB2312"/>
          <w:color w:val="000000" w:themeColor="text1"/>
        </w:rPr>
        <w:t>万元</w:t>
      </w:r>
    </w:p>
    <w:p>
      <w:pPr>
        <w:numPr>
          <w:ilvl w:val="0"/>
          <w:numId w:val="3"/>
        </w:numPr>
        <w:adjustRightInd w:val="0"/>
        <w:snapToGrid w:val="0"/>
        <w:spacing w:line="600" w:lineRule="exact"/>
        <w:ind w:firstLine="560"/>
        <w:rPr>
          <w:rFonts w:hint="eastAsia" w:ascii="仿宋_GB2312" w:eastAsia="仿宋_GB2312"/>
          <w:color w:val="000000" w:themeColor="text1"/>
          <w:lang w:val="en-US" w:eastAsia="zh-CN"/>
        </w:rPr>
      </w:pPr>
      <w:r>
        <w:rPr>
          <w:rFonts w:hint="eastAsia" w:ascii="仿宋_GB2312" w:eastAsia="仿宋_GB2312"/>
          <w:color w:val="000000" w:themeColor="text1"/>
          <w:lang w:eastAsia="zh-CN"/>
        </w:rPr>
        <w:t>估价对象</w:t>
      </w:r>
      <w:r>
        <w:rPr>
          <w:rFonts w:hint="eastAsia" w:ascii="仿宋_GB2312" w:eastAsia="仿宋_GB2312"/>
          <w:color w:val="000000" w:themeColor="text1"/>
          <w:lang w:val="en-US" w:eastAsia="zh-CN"/>
        </w:rPr>
        <w:t>2</w:t>
      </w:r>
    </w:p>
    <w:p>
      <w:pPr>
        <w:adjustRightInd w:val="0"/>
        <w:snapToGrid w:val="0"/>
        <w:spacing w:line="600" w:lineRule="exact"/>
        <w:ind w:left="560"/>
        <w:rPr>
          <w:rFonts w:hint="default" w:ascii="仿宋_GB2312" w:eastAsia="仿宋_GB2312"/>
          <w:color w:val="000000" w:themeColor="text1"/>
          <w:lang w:val="en-US" w:eastAsia="zh-CN"/>
        </w:rPr>
      </w:pPr>
      <w:r>
        <w:rPr>
          <w:rFonts w:hint="eastAsia" w:ascii="仿宋_GB2312" w:eastAsia="仿宋_GB2312"/>
          <w:color w:val="000000" w:themeColor="text1"/>
          <w:lang w:eastAsia="zh-CN"/>
        </w:rPr>
        <w:t>评估面积：</w:t>
      </w:r>
      <w:r>
        <w:rPr>
          <w:rFonts w:hint="eastAsia" w:ascii="仿宋_GB2312" w:eastAsia="仿宋_GB2312"/>
          <w:color w:val="000000" w:themeColor="text1"/>
          <w:lang w:val="en-US" w:eastAsia="zh-CN"/>
        </w:rPr>
        <w:t>497.29平方米</w:t>
      </w:r>
    </w:p>
    <w:p>
      <w:pPr>
        <w:adjustRightInd w:val="0"/>
        <w:snapToGrid w:val="0"/>
        <w:spacing w:line="600" w:lineRule="exact"/>
        <w:ind w:left="560"/>
        <w:rPr>
          <w:rFonts w:ascii="仿宋_GB2312" w:eastAsia="仿宋_GB2312"/>
          <w:color w:val="000000" w:themeColor="text1"/>
        </w:rPr>
      </w:pPr>
      <w:r>
        <w:rPr>
          <w:rFonts w:hint="eastAsia" w:ascii="仿宋_GB2312" w:eastAsia="仿宋_GB2312"/>
          <w:color w:val="000000" w:themeColor="text1"/>
        </w:rPr>
        <w:t>评估单价：</w:t>
      </w:r>
      <w:r>
        <w:rPr>
          <w:rFonts w:hint="eastAsia" w:ascii="仿宋_GB2312" w:eastAsia="仿宋_GB2312"/>
          <w:color w:val="000000" w:themeColor="text1"/>
          <w:lang w:val="en-US" w:eastAsia="zh-CN"/>
        </w:rPr>
        <w:t>3120</w:t>
      </w:r>
      <w:r>
        <w:rPr>
          <w:rFonts w:hint="eastAsia" w:ascii="仿宋_GB2312" w:eastAsia="仿宋_GB2312"/>
          <w:color w:val="000000" w:themeColor="text1"/>
        </w:rPr>
        <w:t>元/平方米（取整至十元位）</w:t>
      </w:r>
    </w:p>
    <w:p>
      <w:pPr>
        <w:adjustRightInd w:val="0"/>
        <w:snapToGrid w:val="0"/>
        <w:spacing w:line="600" w:lineRule="exact"/>
        <w:ind w:left="560"/>
        <w:rPr>
          <w:rFonts w:ascii="仿宋_GB2312" w:eastAsia="仿宋_GB2312"/>
          <w:color w:val="000000" w:themeColor="text1"/>
        </w:rPr>
      </w:pPr>
      <w:r>
        <w:rPr>
          <w:rFonts w:hint="eastAsia" w:ascii="仿宋_GB2312" w:eastAsia="仿宋_GB2312"/>
          <w:color w:val="000000" w:themeColor="text1"/>
        </w:rPr>
        <w:t>评估总价：</w:t>
      </w:r>
      <w:r>
        <w:rPr>
          <w:rFonts w:hint="eastAsia" w:ascii="仿宋_GB2312" w:eastAsia="仿宋_GB2312"/>
          <w:color w:val="000000" w:themeColor="text1"/>
          <w:lang w:val="en-US" w:eastAsia="zh-CN"/>
        </w:rPr>
        <w:t>155.15</w:t>
      </w:r>
      <w:r>
        <w:rPr>
          <w:rFonts w:hint="eastAsia" w:ascii="仿宋_GB2312" w:eastAsia="仿宋_GB2312"/>
          <w:color w:val="000000" w:themeColor="text1"/>
        </w:rPr>
        <w:t>万元</w:t>
      </w:r>
    </w:p>
    <w:p>
      <w:pPr>
        <w:numPr>
          <w:ilvl w:val="0"/>
          <w:numId w:val="3"/>
        </w:numPr>
        <w:adjustRightInd w:val="0"/>
        <w:snapToGrid w:val="0"/>
        <w:spacing w:line="600" w:lineRule="exact"/>
        <w:ind w:firstLine="560"/>
        <w:rPr>
          <w:rFonts w:hint="default" w:ascii="仿宋_GB2312" w:hAnsi="Times New Roman" w:eastAsia="仿宋_GB2312" w:cs="Times New Roman"/>
          <w:color w:val="000000" w:themeColor="text1"/>
          <w:lang w:val="en-US" w:eastAsia="zh-CN"/>
        </w:rPr>
      </w:pPr>
      <w:r>
        <w:rPr>
          <w:rFonts w:hint="eastAsia" w:ascii="仿宋_GB2312" w:hAnsi="Times New Roman" w:eastAsia="仿宋_GB2312" w:cs="Times New Roman"/>
          <w:color w:val="000000" w:themeColor="text1"/>
          <w:lang w:val="en-US" w:eastAsia="zh-CN"/>
        </w:rPr>
        <w:t>估价对象3</w:t>
      </w:r>
    </w:p>
    <w:p>
      <w:pPr>
        <w:adjustRightInd w:val="0"/>
        <w:snapToGrid w:val="0"/>
        <w:spacing w:line="600" w:lineRule="exact"/>
        <w:ind w:left="560"/>
        <w:rPr>
          <w:rFonts w:hint="default" w:ascii="仿宋_GB2312" w:eastAsia="仿宋_GB2312"/>
          <w:color w:val="000000" w:themeColor="text1"/>
          <w:lang w:val="en-US" w:eastAsia="zh-CN"/>
        </w:rPr>
      </w:pPr>
      <w:r>
        <w:rPr>
          <w:rFonts w:hint="eastAsia" w:ascii="仿宋_GB2312" w:eastAsia="仿宋_GB2312"/>
          <w:color w:val="000000" w:themeColor="text1"/>
          <w:lang w:eastAsia="zh-CN"/>
        </w:rPr>
        <w:t>评估面积：</w:t>
      </w:r>
      <w:r>
        <w:rPr>
          <w:rFonts w:hint="eastAsia" w:ascii="仿宋_GB2312" w:eastAsia="仿宋_GB2312"/>
          <w:color w:val="000000" w:themeColor="text1"/>
          <w:lang w:val="en-US" w:eastAsia="zh-CN"/>
        </w:rPr>
        <w:t>5403.7平方米</w:t>
      </w:r>
    </w:p>
    <w:p>
      <w:pPr>
        <w:adjustRightInd w:val="0"/>
        <w:snapToGrid w:val="0"/>
        <w:spacing w:line="600" w:lineRule="exact"/>
        <w:ind w:left="560"/>
        <w:rPr>
          <w:rFonts w:ascii="仿宋_GB2312" w:eastAsia="仿宋_GB2312"/>
          <w:color w:val="000000" w:themeColor="text1"/>
        </w:rPr>
      </w:pPr>
      <w:r>
        <w:rPr>
          <w:rFonts w:hint="eastAsia" w:ascii="仿宋_GB2312" w:eastAsia="仿宋_GB2312"/>
          <w:color w:val="000000" w:themeColor="text1"/>
        </w:rPr>
        <w:t>评估单价：</w:t>
      </w:r>
      <w:r>
        <w:rPr>
          <w:rFonts w:hint="eastAsia" w:ascii="仿宋_GB2312" w:eastAsia="仿宋_GB2312"/>
          <w:color w:val="000000" w:themeColor="text1"/>
          <w:lang w:val="en-US" w:eastAsia="zh-CN"/>
        </w:rPr>
        <w:t>3000</w:t>
      </w:r>
      <w:r>
        <w:rPr>
          <w:rFonts w:hint="eastAsia" w:ascii="仿宋_GB2312" w:eastAsia="仿宋_GB2312"/>
          <w:color w:val="000000" w:themeColor="text1"/>
        </w:rPr>
        <w:t>元/平方米（取整至十元位）</w:t>
      </w:r>
    </w:p>
    <w:p>
      <w:pPr>
        <w:adjustRightInd w:val="0"/>
        <w:snapToGrid w:val="0"/>
        <w:spacing w:line="600" w:lineRule="exact"/>
        <w:ind w:left="560"/>
        <w:rPr>
          <w:rFonts w:ascii="仿宋_GB2312" w:eastAsia="仿宋_GB2312"/>
          <w:color w:val="000000" w:themeColor="text1"/>
        </w:rPr>
      </w:pPr>
      <w:r>
        <w:rPr>
          <w:rFonts w:hint="eastAsia" w:ascii="仿宋_GB2312" w:eastAsia="仿宋_GB2312"/>
          <w:color w:val="000000" w:themeColor="text1"/>
        </w:rPr>
        <w:t>评估总价：</w:t>
      </w:r>
      <w:r>
        <w:rPr>
          <w:rFonts w:hint="eastAsia" w:ascii="仿宋_GB2312" w:eastAsia="仿宋_GB2312"/>
          <w:color w:val="000000" w:themeColor="text1"/>
          <w:lang w:val="en-US" w:eastAsia="zh-CN"/>
        </w:rPr>
        <w:t>1621.11</w:t>
      </w:r>
      <w:r>
        <w:rPr>
          <w:rFonts w:hint="eastAsia" w:ascii="仿宋_GB2312" w:eastAsia="仿宋_GB2312"/>
          <w:color w:val="000000" w:themeColor="text1"/>
        </w:rPr>
        <w:t>万元</w:t>
      </w:r>
    </w:p>
    <w:p>
      <w:pPr>
        <w:adjustRightInd w:val="0"/>
        <w:snapToGrid w:val="0"/>
        <w:spacing w:line="600" w:lineRule="exact"/>
        <w:ind w:firstLine="560"/>
        <w:rPr>
          <w:rFonts w:hint="eastAsia" w:ascii="仿宋_GB2312" w:eastAsia="仿宋_GB2312"/>
          <w:color w:val="000000" w:themeColor="text1"/>
          <w:lang w:val="en-US" w:eastAsia="zh-CN"/>
        </w:rPr>
      </w:pPr>
      <w:r>
        <w:rPr>
          <w:rFonts w:hint="eastAsia" w:ascii="仿宋_GB2312" w:eastAsia="仿宋_GB2312"/>
          <w:color w:val="000000" w:themeColor="text1"/>
          <w:lang w:eastAsia="zh-CN"/>
        </w:rPr>
        <w:t>评估总额：</w:t>
      </w:r>
      <w:r>
        <w:rPr>
          <w:rFonts w:hint="eastAsia" w:ascii="仿宋_GB2312" w:eastAsia="仿宋_GB2312"/>
          <w:color w:val="000000" w:themeColor="text1"/>
          <w:lang w:val="en-US" w:eastAsia="zh-CN"/>
        </w:rPr>
        <w:t>2183.09万元</w:t>
      </w:r>
    </w:p>
    <w:p>
      <w:pPr>
        <w:adjustRightInd w:val="0"/>
        <w:snapToGrid w:val="0"/>
        <w:spacing w:line="600" w:lineRule="exact"/>
        <w:ind w:firstLine="560"/>
        <w:rPr>
          <w:rFonts w:hint="default" w:ascii="仿宋_GB2312" w:eastAsia="仿宋_GB2312"/>
          <w:color w:val="000000" w:themeColor="text1"/>
          <w:lang w:val="en-US" w:eastAsia="zh-CN"/>
        </w:rPr>
      </w:pPr>
      <w:r>
        <w:rPr>
          <w:rFonts w:hint="eastAsia" w:ascii="仿宋_GB2312" w:eastAsia="仿宋_GB2312"/>
          <w:color w:val="auto"/>
          <w:lang w:val="en-US" w:eastAsia="zh-CN"/>
        </w:rPr>
        <w:t>总额大写：人</w:t>
      </w:r>
      <w:r>
        <w:rPr>
          <w:rFonts w:hint="eastAsia" w:ascii="仿宋_GB2312" w:eastAsia="仿宋_GB2312"/>
          <w:color w:val="000000" w:themeColor="text1"/>
          <w:lang w:val="en-US" w:eastAsia="zh-CN"/>
        </w:rPr>
        <w:t>民币贰仟壹佰捌拾叁万零玖佰元整</w:t>
      </w:r>
    </w:p>
    <w:p>
      <w:pPr>
        <w:pStyle w:val="15"/>
        <w:adjustRightInd w:val="0"/>
        <w:snapToGrid w:val="0"/>
        <w:spacing w:line="600" w:lineRule="exact"/>
        <w:ind w:left="554" w:leftChars="198" w:firstLine="0"/>
        <w:rPr>
          <w:color w:val="000000" w:themeColor="text1"/>
        </w:rPr>
      </w:pPr>
      <w:r>
        <w:rPr>
          <w:rFonts w:hint="eastAsia"/>
          <w:color w:val="000000" w:themeColor="text1"/>
        </w:rPr>
        <w:t>7、特别提示：</w:t>
      </w:r>
    </w:p>
    <w:p>
      <w:pPr>
        <w:pStyle w:val="15"/>
        <w:adjustRightInd w:val="0"/>
        <w:snapToGrid w:val="0"/>
        <w:spacing w:line="600" w:lineRule="exact"/>
        <w:ind w:firstLine="540"/>
        <w:rPr>
          <w:rFonts w:hint="eastAsia"/>
          <w:color w:val="000000" w:themeColor="text1"/>
          <w:szCs w:val="22"/>
          <w:lang w:val="en-US" w:eastAsia="zh-CN"/>
        </w:rPr>
      </w:pPr>
      <w:r>
        <w:rPr>
          <w:rFonts w:hint="eastAsia"/>
          <w:color w:val="000000" w:themeColor="text1"/>
          <w:szCs w:val="22"/>
          <w:lang w:val="en-US" w:eastAsia="zh-CN"/>
        </w:rPr>
        <w:t>（1）因本次评估为司法鉴定评估，根据《房地产估价规范》，司法鉴定评估中“评估价值的影响因素包括房地产的瑕疵，但不应包括拍卖房地产被查封及拍卖房地产上的原有担保物权和其他优先受偿权，”即可不考虑抵押、查封等因素的影响，本次评估未考虑上述因素对价值的影响，在此提醒报告使用者注意。</w:t>
      </w:r>
    </w:p>
    <w:p>
      <w:pPr>
        <w:pStyle w:val="15"/>
        <w:adjustRightInd w:val="0"/>
        <w:snapToGrid w:val="0"/>
        <w:spacing w:line="600" w:lineRule="exact"/>
        <w:ind w:firstLine="540"/>
        <w:rPr>
          <w:rFonts w:hint="eastAsia"/>
          <w:color w:val="000000" w:themeColor="text1"/>
          <w:szCs w:val="22"/>
          <w:lang w:val="en-US" w:eastAsia="zh-CN"/>
        </w:rPr>
      </w:pPr>
      <w:r>
        <w:rPr>
          <w:rFonts w:hint="eastAsia"/>
          <w:color w:val="000000" w:themeColor="text1"/>
          <w:szCs w:val="22"/>
          <w:lang w:val="en-US" w:eastAsia="zh-CN"/>
        </w:rPr>
        <w:t>（2）本次估价我们未考虑估价对象可能存在的租约、物业管理费、水电费等对房地产价值的影响。</w:t>
      </w:r>
    </w:p>
    <w:p>
      <w:pPr>
        <w:pStyle w:val="15"/>
        <w:adjustRightInd w:val="0"/>
        <w:snapToGrid w:val="0"/>
        <w:spacing w:line="600" w:lineRule="exact"/>
        <w:ind w:firstLine="540"/>
        <w:rPr>
          <w:rFonts w:hint="eastAsia"/>
          <w:color w:val="auto"/>
          <w:szCs w:val="22"/>
          <w:lang w:val="en-US" w:eastAsia="zh-CN"/>
        </w:rPr>
      </w:pPr>
      <w:r>
        <w:rPr>
          <w:rFonts w:hint="eastAsia"/>
          <w:color w:val="auto"/>
          <w:szCs w:val="22"/>
          <w:lang w:val="en-US" w:eastAsia="zh-CN"/>
        </w:rPr>
        <w:t>（3）因四川省成都市中级人民法院未书面明确评估对象交易税费负担方式，本估价报告未考虑估价对象处置（拍卖、变卖等）时发生的交易税费、转让手续费等对估价结果的影响，故估价结果为估价对象于估价期日的市场价格。</w:t>
      </w:r>
    </w:p>
    <w:p>
      <w:pPr>
        <w:pStyle w:val="15"/>
        <w:adjustRightInd w:val="0"/>
        <w:snapToGrid w:val="0"/>
        <w:spacing w:line="600" w:lineRule="exact"/>
        <w:ind w:firstLine="540"/>
        <w:rPr>
          <w:rFonts w:hint="eastAsia"/>
          <w:color w:val="000000" w:themeColor="text1"/>
          <w:szCs w:val="22"/>
          <w:lang w:val="en-US" w:eastAsia="zh-CN"/>
        </w:rPr>
      </w:pPr>
      <w:r>
        <w:rPr>
          <w:rFonts w:hint="eastAsia"/>
          <w:color w:val="000000" w:themeColor="text1"/>
          <w:szCs w:val="22"/>
          <w:lang w:val="en-US" w:eastAsia="zh-CN"/>
        </w:rPr>
        <w:t>（4）本报告自2021年9月22日至2022年9月21日止壹年内有效。</w:t>
      </w:r>
    </w:p>
    <w:p>
      <w:pPr>
        <w:pStyle w:val="15"/>
        <w:adjustRightInd w:val="0"/>
        <w:snapToGrid w:val="0"/>
        <w:spacing w:line="600" w:lineRule="exact"/>
        <w:ind w:left="0" w:leftChars="0" w:firstLine="560" w:firstLineChars="200"/>
        <w:rPr>
          <w:rFonts w:hint="eastAsia"/>
          <w:color w:val="000000" w:themeColor="text1"/>
          <w:szCs w:val="22"/>
          <w:lang w:eastAsia="zh-CN"/>
        </w:rPr>
      </w:pPr>
      <w:r>
        <w:rPr>
          <w:rFonts w:hint="eastAsia" w:ascii="仿宋_GB2312" w:eastAsia="仿宋_GB2312"/>
          <w:color w:val="000000" w:themeColor="text1"/>
        </w:rPr>
        <w:t>特此函告。</w:t>
      </w:r>
    </w:p>
    <w:p>
      <w:pPr>
        <w:pStyle w:val="15"/>
        <w:ind w:left="360" w:firstLine="0"/>
        <w:jc w:val="left"/>
        <w:rPr>
          <w:rFonts w:ascii="宋体" w:hAnsi="宋体" w:eastAsia="宋体"/>
          <w:color w:val="000000" w:themeColor="text1"/>
          <w:szCs w:val="28"/>
        </w:rPr>
      </w:pPr>
    </w:p>
    <w:p>
      <w:pPr>
        <w:pStyle w:val="15"/>
        <w:ind w:left="360" w:firstLine="0"/>
        <w:jc w:val="right"/>
        <w:rPr>
          <w:rFonts w:ascii="宋体" w:hAnsi="宋体" w:eastAsia="宋体"/>
          <w:color w:val="000000" w:themeColor="text1"/>
          <w:sz w:val="18"/>
        </w:rPr>
      </w:pPr>
    </w:p>
    <w:p>
      <w:pPr>
        <w:spacing w:beforeLines="50" w:line="360" w:lineRule="auto"/>
        <w:ind w:firstLine="560" w:firstLineChars="200"/>
        <w:rPr>
          <w:rFonts w:ascii="仿宋_GB2312" w:eastAsia="仿宋_GB2312"/>
          <w:color w:val="000000" w:themeColor="text1"/>
        </w:rPr>
      </w:pPr>
    </w:p>
    <w:p>
      <w:pPr>
        <w:snapToGrid w:val="0"/>
        <w:spacing w:line="360" w:lineRule="auto"/>
        <w:jc w:val="right"/>
        <w:rPr>
          <w:rFonts w:ascii="仿宋_GB2312" w:eastAsia="仿宋_GB2312"/>
          <w:color w:val="000000" w:themeColor="text1"/>
          <w:szCs w:val="28"/>
        </w:rPr>
      </w:pPr>
    </w:p>
    <w:p>
      <w:pPr>
        <w:snapToGrid w:val="0"/>
        <w:spacing w:line="360" w:lineRule="auto"/>
        <w:jc w:val="right"/>
        <w:rPr>
          <w:rFonts w:hint="eastAsia" w:ascii="仿宋_GB2312" w:eastAsia="仿宋_GB2312"/>
          <w:color w:val="000000" w:themeColor="text1"/>
          <w:szCs w:val="28"/>
          <w:lang w:eastAsia="zh-CN"/>
        </w:rPr>
      </w:pPr>
      <w:r>
        <w:rPr>
          <w:rFonts w:hint="eastAsia" w:ascii="仿宋_GB2312" w:eastAsia="仿宋_GB2312"/>
          <w:color w:val="000000" w:themeColor="text1"/>
          <w:szCs w:val="28"/>
          <w:lang w:eastAsia="zh-CN"/>
        </w:rPr>
        <w:t>四川吉祥房地产土地资产评估有限公司</w:t>
      </w:r>
    </w:p>
    <w:p>
      <w:pPr>
        <w:snapToGrid w:val="0"/>
        <w:spacing w:line="360" w:lineRule="auto"/>
        <w:ind w:right="560" w:firstLine="6580" w:firstLineChars="2350"/>
        <w:rPr>
          <w:rFonts w:ascii="仿宋_GB2312" w:eastAsia="仿宋_GB2312"/>
          <w:color w:val="000000" w:themeColor="text1"/>
          <w:szCs w:val="28"/>
        </w:rPr>
      </w:pPr>
      <w:r>
        <w:rPr>
          <w:rFonts w:hint="eastAsia" w:ascii="仿宋_GB2312" w:eastAsia="仿宋_GB2312"/>
          <w:color w:val="000000" w:themeColor="text1"/>
          <w:szCs w:val="28"/>
        </w:rPr>
        <w:t>法定代表人：</w:t>
      </w:r>
    </w:p>
    <w:p>
      <w:pPr>
        <w:snapToGrid w:val="0"/>
        <w:spacing w:line="360" w:lineRule="auto"/>
        <w:ind w:right="840"/>
        <w:jc w:val="center"/>
        <w:rPr>
          <w:rFonts w:hint="eastAsia" w:ascii="仿宋_GB2312" w:eastAsia="仿宋_GB2312"/>
          <w:color w:val="000000" w:themeColor="text1"/>
          <w:szCs w:val="28"/>
          <w:lang w:eastAsia="zh-CN"/>
        </w:rPr>
        <w:sectPr>
          <w:headerReference r:id="rId3" w:type="default"/>
          <w:footerReference r:id="rId4" w:type="default"/>
          <w:pgSz w:w="11906" w:h="16838"/>
          <w:pgMar w:top="1134" w:right="862" w:bottom="1134" w:left="1255" w:header="851" w:footer="992" w:gutter="0"/>
          <w:cols w:space="720" w:num="1"/>
          <w:docGrid w:type="linesAndChars" w:linePitch="312" w:charSpace="0"/>
        </w:sectPr>
      </w:pPr>
      <w:r>
        <w:rPr>
          <w:rFonts w:hint="eastAsia" w:ascii="仿宋_GB2312" w:eastAsia="仿宋_GB2312"/>
          <w:color w:val="000000" w:themeColor="text1"/>
          <w:szCs w:val="28"/>
        </w:rPr>
        <w:t xml:space="preserve">                                          </w:t>
      </w:r>
      <w:r>
        <w:rPr>
          <w:rFonts w:hint="eastAsia" w:ascii="仿宋_GB2312" w:eastAsia="仿宋_GB2312"/>
          <w:color w:val="000000" w:themeColor="text1"/>
          <w:szCs w:val="28"/>
          <w:lang w:eastAsia="zh-CN"/>
        </w:rPr>
        <w:t>2021年9月22日</w:t>
      </w:r>
    </w:p>
    <w:p>
      <w:pPr>
        <w:adjustRightInd w:val="0"/>
        <w:snapToGrid w:val="0"/>
        <w:spacing w:line="600" w:lineRule="exact"/>
        <w:jc w:val="center"/>
        <w:outlineLvl w:val="9"/>
        <w:rPr>
          <w:rFonts w:ascii="黑体" w:hAnsi="Times New Roman" w:eastAsia="黑体" w:cs="Times New Roman"/>
          <w:color w:val="000000" w:themeColor="text1"/>
          <w:kern w:val="2"/>
          <w:sz w:val="36"/>
          <w:lang w:val="en-US" w:eastAsia="zh-CN" w:bidi="ar-SA"/>
        </w:rPr>
      </w:pPr>
      <w:bookmarkStart w:id="14" w:name="_Toc437265324"/>
      <w:bookmarkStart w:id="15" w:name="_Toc9201"/>
      <w:bookmarkStart w:id="16" w:name="_Toc436741743"/>
      <w:bookmarkStart w:id="17" w:name="_Toc436744494"/>
      <w:bookmarkStart w:id="18" w:name="_Toc30330"/>
      <w:bookmarkStart w:id="19" w:name="_Toc31892"/>
      <w:bookmarkStart w:id="20" w:name="_Toc25825"/>
      <w:bookmarkStart w:id="21" w:name="_Toc417"/>
      <w:bookmarkStart w:id="22" w:name="_Toc16185"/>
      <w:bookmarkStart w:id="23" w:name="_Toc18992"/>
      <w:bookmarkStart w:id="24" w:name="_Toc436741901"/>
      <w:bookmarkStart w:id="25" w:name="_Toc436741940"/>
      <w:bookmarkStart w:id="26" w:name="_Toc482259878"/>
      <w:bookmarkStart w:id="27" w:name="_Toc482259834"/>
      <w:bookmarkStart w:id="28" w:name="_Toc14131"/>
      <w:bookmarkStart w:id="29" w:name="_Toc6235"/>
      <w:bookmarkStart w:id="30" w:name="_Toc15999"/>
      <w:bookmarkStart w:id="31" w:name="_Toc436741977"/>
      <w:bookmarkStart w:id="32" w:name="_Toc18893"/>
      <w:r>
        <w:rPr>
          <w:rFonts w:hint="eastAsia" w:ascii="黑体" w:hAnsi="黑体" w:eastAsia="黑体"/>
          <w:color w:val="000000" w:themeColor="text1"/>
          <w:sz w:val="32"/>
          <w:szCs w:val="32"/>
        </w:rPr>
        <w:t>目 录</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ascii="黑体" w:hAnsi="黑体" w:eastAsia="黑体"/>
          <w:color w:val="000000" w:themeColor="text1"/>
          <w:sz w:val="32"/>
          <w:szCs w:val="32"/>
        </w:rPr>
        <w:fldChar w:fldCharType="begin"/>
      </w:r>
      <w:r>
        <w:rPr>
          <w:rFonts w:ascii="黑体" w:hAnsi="黑体" w:eastAsia="黑体"/>
          <w:color w:val="000000" w:themeColor="text1"/>
          <w:sz w:val="32"/>
          <w:szCs w:val="32"/>
        </w:rPr>
        <w:instrText xml:space="preserve">TOC \o "1-3" \h \z \u</w:instrText>
      </w:r>
      <w:r>
        <w:rPr>
          <w:rFonts w:ascii="黑体" w:hAnsi="黑体" w:eastAsia="黑体"/>
          <w:color w:val="000000" w:themeColor="text1"/>
          <w:sz w:val="32"/>
          <w:szCs w:val="32"/>
        </w:rPr>
        <w:fldChar w:fldCharType="separate"/>
      </w:r>
    </w:p>
    <w:p>
      <w:pPr>
        <w:pStyle w:val="14"/>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_Toc17860 </w:instrText>
      </w:r>
      <w:r>
        <w:rPr>
          <w:rFonts w:ascii="黑体" w:eastAsia="黑体"/>
        </w:rPr>
        <w:fldChar w:fldCharType="separate"/>
      </w:r>
      <w:r>
        <w:rPr>
          <w:rFonts w:hint="eastAsia" w:ascii="黑体" w:hAnsi="黑体" w:eastAsia="黑体" w:cs="黑体"/>
          <w:bCs/>
          <w:szCs w:val="32"/>
        </w:rPr>
        <w:t>一、估价师声明</w:t>
      </w:r>
      <w:r>
        <w:tab/>
      </w:r>
      <w:r>
        <w:fldChar w:fldCharType="begin"/>
      </w:r>
      <w:r>
        <w:instrText xml:space="preserve"> PAGEREF _Toc17860 \h </w:instrText>
      </w:r>
      <w:r>
        <w:fldChar w:fldCharType="separate"/>
      </w:r>
      <w:r>
        <w:t>1</w:t>
      </w:r>
      <w:r>
        <w:fldChar w:fldCharType="end"/>
      </w:r>
      <w:r>
        <w:rPr>
          <w:rFonts w:ascii="黑体" w:eastAsia="黑体"/>
          <w:color w:val="000000" w:themeColor="text1"/>
        </w:rPr>
        <w:fldChar w:fldCharType="end"/>
      </w:r>
    </w:p>
    <w:p>
      <w:pPr>
        <w:pStyle w:val="14"/>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_Toc24523 </w:instrText>
      </w:r>
      <w:r>
        <w:rPr>
          <w:rFonts w:ascii="黑体" w:eastAsia="黑体"/>
        </w:rPr>
        <w:fldChar w:fldCharType="separate"/>
      </w:r>
      <w:r>
        <w:rPr>
          <w:rFonts w:hint="eastAsia" w:ascii="黑体" w:hAnsi="黑体" w:eastAsia="黑体" w:cs="黑体"/>
          <w:bCs/>
          <w:szCs w:val="32"/>
        </w:rPr>
        <w:t>二、估价的假设和限制条件</w:t>
      </w:r>
      <w:r>
        <w:tab/>
      </w:r>
      <w:r>
        <w:fldChar w:fldCharType="begin"/>
      </w:r>
      <w:r>
        <w:instrText xml:space="preserve"> PAGEREF _Toc24523 \h </w:instrText>
      </w:r>
      <w:r>
        <w:fldChar w:fldCharType="separate"/>
      </w:r>
      <w:r>
        <w:t>2</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_Toc8724 </w:instrText>
      </w:r>
      <w:r>
        <w:rPr>
          <w:rFonts w:ascii="黑体" w:eastAsia="黑体"/>
        </w:rPr>
        <w:fldChar w:fldCharType="separate"/>
      </w:r>
      <w:r>
        <w:rPr>
          <w:rFonts w:hint="eastAsia" w:ascii="仿宋_GB2312" w:eastAsia="仿宋_GB2312"/>
          <w:szCs w:val="28"/>
        </w:rPr>
        <w:t>（一）估价假设条件</w:t>
      </w:r>
      <w:r>
        <w:tab/>
      </w:r>
      <w:r>
        <w:fldChar w:fldCharType="begin"/>
      </w:r>
      <w:r>
        <w:instrText xml:space="preserve"> PAGEREF _Toc8724 \h </w:instrText>
      </w:r>
      <w:r>
        <w:fldChar w:fldCharType="separate"/>
      </w:r>
      <w:r>
        <w:t>2</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_Toc32142 </w:instrText>
      </w:r>
      <w:r>
        <w:rPr>
          <w:rFonts w:ascii="黑体" w:eastAsia="黑体"/>
        </w:rPr>
        <w:fldChar w:fldCharType="separate"/>
      </w:r>
      <w:r>
        <w:rPr>
          <w:rFonts w:hint="eastAsia" w:ascii="仿宋_GB2312" w:eastAsia="仿宋_GB2312"/>
          <w:szCs w:val="28"/>
        </w:rPr>
        <w:t>（二）</w:t>
      </w:r>
      <w:r>
        <w:rPr>
          <w:rFonts w:hint="eastAsia" w:ascii="仿宋_GB2312" w:hAnsi="Times New Roman" w:eastAsia="仿宋_GB2312" w:cs="Times New Roman"/>
          <w:kern w:val="2"/>
          <w:szCs w:val="22"/>
          <w:lang w:val="en-US" w:eastAsia="zh-CN" w:bidi="ar-SA"/>
        </w:rPr>
        <w:t>估价中未考虑的因素及其他特别说明</w:t>
      </w:r>
      <w:r>
        <w:tab/>
      </w:r>
      <w:r>
        <w:fldChar w:fldCharType="begin"/>
      </w:r>
      <w:r>
        <w:instrText xml:space="preserve"> PAGEREF _Toc32142 \h </w:instrText>
      </w:r>
      <w:r>
        <w:fldChar w:fldCharType="separate"/>
      </w:r>
      <w:r>
        <w:t>4</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_Toc18896 </w:instrText>
      </w:r>
      <w:r>
        <w:rPr>
          <w:rFonts w:ascii="黑体" w:eastAsia="黑体"/>
        </w:rPr>
        <w:fldChar w:fldCharType="separate"/>
      </w:r>
      <w:r>
        <w:rPr>
          <w:rFonts w:hint="eastAsia" w:ascii="仿宋_GB2312" w:eastAsia="仿宋_GB2312"/>
          <w:szCs w:val="28"/>
        </w:rPr>
        <w:t>（</w:t>
      </w:r>
      <w:r>
        <w:rPr>
          <w:rFonts w:hint="eastAsia" w:ascii="仿宋_GB2312" w:eastAsia="仿宋_GB2312"/>
          <w:szCs w:val="28"/>
          <w:lang w:val="en-US" w:eastAsia="zh-CN"/>
        </w:rPr>
        <w:t>三</w:t>
      </w:r>
      <w:r>
        <w:rPr>
          <w:rFonts w:hint="eastAsia" w:ascii="仿宋_GB2312" w:eastAsia="仿宋_GB2312"/>
          <w:szCs w:val="28"/>
        </w:rPr>
        <w:t>）估价报告使用的限制条件</w:t>
      </w:r>
      <w:r>
        <w:tab/>
      </w:r>
      <w:r>
        <w:fldChar w:fldCharType="begin"/>
      </w:r>
      <w:r>
        <w:instrText xml:space="preserve"> PAGEREF _Toc18896 \h </w:instrText>
      </w:r>
      <w:r>
        <w:fldChar w:fldCharType="separate"/>
      </w:r>
      <w:r>
        <w:t>4</w:t>
      </w:r>
      <w:r>
        <w:fldChar w:fldCharType="end"/>
      </w:r>
      <w:r>
        <w:rPr>
          <w:rFonts w:ascii="黑体" w:eastAsia="黑体"/>
          <w:color w:val="000000" w:themeColor="text1"/>
        </w:rPr>
        <w:fldChar w:fldCharType="end"/>
      </w:r>
    </w:p>
    <w:p>
      <w:pPr>
        <w:pStyle w:val="14"/>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_Toc14316 </w:instrText>
      </w:r>
      <w:r>
        <w:rPr>
          <w:rFonts w:ascii="黑体" w:eastAsia="黑体"/>
        </w:rPr>
        <w:fldChar w:fldCharType="separate"/>
      </w:r>
      <w:r>
        <w:rPr>
          <w:rFonts w:hint="eastAsia" w:ascii="黑体" w:hAnsi="黑体" w:eastAsia="黑体" w:cs="黑体"/>
          <w:bCs/>
          <w:szCs w:val="32"/>
        </w:rPr>
        <w:t>三、估价结果报告</w:t>
      </w:r>
      <w:r>
        <w:tab/>
      </w:r>
      <w:r>
        <w:fldChar w:fldCharType="begin"/>
      </w:r>
      <w:r>
        <w:instrText xml:space="preserve"> PAGEREF _Toc14316 \h </w:instrText>
      </w:r>
      <w:r>
        <w:fldChar w:fldCharType="separate"/>
      </w:r>
      <w:r>
        <w:t>6</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_Toc26655 </w:instrText>
      </w:r>
      <w:r>
        <w:rPr>
          <w:rFonts w:ascii="黑体" w:eastAsia="黑体"/>
        </w:rPr>
        <w:fldChar w:fldCharType="separate"/>
      </w:r>
      <w:r>
        <w:rPr>
          <w:rFonts w:hint="eastAsia" w:ascii="仿宋_GB2312" w:hAnsi="仿宋_GB2312" w:eastAsia="仿宋_GB2312" w:cs="仿宋_GB2312"/>
          <w:bCs/>
          <w:szCs w:val="28"/>
        </w:rPr>
        <w:t>（一）估价委托人</w:t>
      </w:r>
      <w:r>
        <w:tab/>
      </w:r>
      <w:r>
        <w:fldChar w:fldCharType="begin"/>
      </w:r>
      <w:r>
        <w:instrText xml:space="preserve"> PAGEREF _Toc26655 \h </w:instrText>
      </w:r>
      <w:r>
        <w:fldChar w:fldCharType="separate"/>
      </w:r>
      <w:r>
        <w:t>6</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_Toc20065 </w:instrText>
      </w:r>
      <w:r>
        <w:rPr>
          <w:rFonts w:ascii="黑体" w:eastAsia="黑体"/>
        </w:rPr>
        <w:fldChar w:fldCharType="separate"/>
      </w:r>
      <w:r>
        <w:rPr>
          <w:rFonts w:hint="eastAsia" w:ascii="仿宋_GB2312" w:hAnsi="仿宋_GB2312" w:eastAsia="仿宋_GB2312" w:cs="仿宋_GB2312"/>
          <w:bCs/>
          <w:szCs w:val="28"/>
        </w:rPr>
        <w:t>（二）房地产估价机构</w:t>
      </w:r>
      <w:r>
        <w:tab/>
      </w:r>
      <w:r>
        <w:fldChar w:fldCharType="begin"/>
      </w:r>
      <w:r>
        <w:instrText xml:space="preserve"> PAGEREF _Toc20065 \h </w:instrText>
      </w:r>
      <w:r>
        <w:fldChar w:fldCharType="separate"/>
      </w:r>
      <w:r>
        <w:t>6</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_Toc17338 </w:instrText>
      </w:r>
      <w:r>
        <w:rPr>
          <w:rFonts w:ascii="黑体" w:eastAsia="黑体"/>
        </w:rPr>
        <w:fldChar w:fldCharType="separate"/>
      </w:r>
      <w:r>
        <w:rPr>
          <w:rFonts w:hint="eastAsia" w:ascii="仿宋_GB2312" w:hAnsi="仿宋_GB2312" w:eastAsia="仿宋_GB2312" w:cs="仿宋_GB2312"/>
          <w:bCs/>
          <w:szCs w:val="28"/>
        </w:rPr>
        <w:t>（三）估价目的</w:t>
      </w:r>
      <w:r>
        <w:tab/>
      </w:r>
      <w:r>
        <w:fldChar w:fldCharType="begin"/>
      </w:r>
      <w:r>
        <w:instrText xml:space="preserve"> PAGEREF _Toc17338 \h </w:instrText>
      </w:r>
      <w:r>
        <w:fldChar w:fldCharType="separate"/>
      </w:r>
      <w:r>
        <w:t>6</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_Toc1350 </w:instrText>
      </w:r>
      <w:r>
        <w:rPr>
          <w:rFonts w:ascii="黑体" w:eastAsia="黑体"/>
        </w:rPr>
        <w:fldChar w:fldCharType="separate"/>
      </w:r>
      <w:r>
        <w:rPr>
          <w:rFonts w:hint="eastAsia" w:ascii="仿宋_GB2312" w:hAnsi="仿宋_GB2312" w:eastAsia="仿宋_GB2312" w:cs="仿宋_GB2312"/>
          <w:bCs/>
          <w:szCs w:val="28"/>
        </w:rPr>
        <w:t>（四）估价对象</w:t>
      </w:r>
      <w:r>
        <w:tab/>
      </w:r>
      <w:r>
        <w:fldChar w:fldCharType="begin"/>
      </w:r>
      <w:r>
        <w:instrText xml:space="preserve"> PAGEREF _Toc1350 \h </w:instrText>
      </w:r>
      <w:r>
        <w:fldChar w:fldCharType="separate"/>
      </w:r>
      <w:r>
        <w:t>6</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_Toc13538 </w:instrText>
      </w:r>
      <w:r>
        <w:rPr>
          <w:rFonts w:ascii="黑体" w:eastAsia="黑体"/>
        </w:rPr>
        <w:fldChar w:fldCharType="separate"/>
      </w:r>
      <w:r>
        <w:rPr>
          <w:rFonts w:hint="eastAsia" w:ascii="仿宋_GB2312" w:hAnsi="仿宋_GB2312" w:eastAsia="仿宋_GB2312" w:cs="仿宋_GB2312"/>
          <w:bCs/>
          <w:szCs w:val="28"/>
        </w:rPr>
        <w:t>（五）价值时点</w:t>
      </w:r>
      <w:r>
        <w:tab/>
      </w:r>
      <w:r>
        <w:fldChar w:fldCharType="begin"/>
      </w:r>
      <w:r>
        <w:instrText xml:space="preserve"> PAGEREF _Toc13538 \h </w:instrText>
      </w:r>
      <w:r>
        <w:fldChar w:fldCharType="separate"/>
      </w:r>
      <w:r>
        <w:t>11</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_Toc16525 </w:instrText>
      </w:r>
      <w:r>
        <w:rPr>
          <w:rFonts w:ascii="黑体" w:eastAsia="黑体"/>
        </w:rPr>
        <w:fldChar w:fldCharType="separate"/>
      </w:r>
      <w:r>
        <w:rPr>
          <w:rFonts w:hint="eastAsia" w:ascii="仿宋_GB2312" w:hAnsi="仿宋_GB2312" w:eastAsia="仿宋_GB2312" w:cs="仿宋_GB2312"/>
          <w:bCs/>
          <w:szCs w:val="28"/>
        </w:rPr>
        <w:t>（六）价值类型</w:t>
      </w:r>
      <w:r>
        <w:tab/>
      </w:r>
      <w:r>
        <w:fldChar w:fldCharType="begin"/>
      </w:r>
      <w:r>
        <w:instrText xml:space="preserve"> PAGEREF _Toc16525 \h </w:instrText>
      </w:r>
      <w:r>
        <w:fldChar w:fldCharType="separate"/>
      </w:r>
      <w:r>
        <w:t>12</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_Toc4612 </w:instrText>
      </w:r>
      <w:r>
        <w:rPr>
          <w:rFonts w:ascii="黑体" w:eastAsia="黑体"/>
        </w:rPr>
        <w:fldChar w:fldCharType="separate"/>
      </w:r>
      <w:r>
        <w:rPr>
          <w:rFonts w:hint="eastAsia" w:ascii="仿宋_GB2312" w:hAnsi="仿宋_GB2312" w:eastAsia="仿宋_GB2312" w:cs="仿宋_GB2312"/>
          <w:bCs/>
          <w:szCs w:val="28"/>
        </w:rPr>
        <w:t>（七）估价原则</w:t>
      </w:r>
      <w:r>
        <w:tab/>
      </w:r>
      <w:r>
        <w:fldChar w:fldCharType="begin"/>
      </w:r>
      <w:r>
        <w:instrText xml:space="preserve"> PAGEREF _Toc4612 \h </w:instrText>
      </w:r>
      <w:r>
        <w:fldChar w:fldCharType="separate"/>
      </w:r>
      <w:r>
        <w:t>12</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_Toc24941 </w:instrText>
      </w:r>
      <w:r>
        <w:rPr>
          <w:rFonts w:ascii="黑体" w:eastAsia="黑体"/>
        </w:rPr>
        <w:fldChar w:fldCharType="separate"/>
      </w:r>
      <w:r>
        <w:rPr>
          <w:rFonts w:hint="eastAsia" w:ascii="仿宋_GB2312" w:hAnsi="仿宋_GB2312" w:eastAsia="仿宋_GB2312" w:cs="仿宋_GB2312"/>
          <w:bCs/>
          <w:szCs w:val="28"/>
        </w:rPr>
        <w:t>（八）估价依据</w:t>
      </w:r>
      <w:r>
        <w:tab/>
      </w:r>
      <w:r>
        <w:fldChar w:fldCharType="begin"/>
      </w:r>
      <w:r>
        <w:instrText xml:space="preserve"> PAGEREF _Toc24941 \h </w:instrText>
      </w:r>
      <w:r>
        <w:fldChar w:fldCharType="separate"/>
      </w:r>
      <w:r>
        <w:t>13</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_Toc1084 </w:instrText>
      </w:r>
      <w:r>
        <w:rPr>
          <w:rFonts w:ascii="黑体" w:eastAsia="黑体"/>
        </w:rPr>
        <w:fldChar w:fldCharType="separate"/>
      </w:r>
      <w:r>
        <w:rPr>
          <w:rFonts w:hint="eastAsia" w:ascii="仿宋_GB2312" w:hAnsi="仿宋_GB2312" w:eastAsia="仿宋_GB2312" w:cs="仿宋_GB2312"/>
          <w:bCs/>
          <w:szCs w:val="28"/>
        </w:rPr>
        <w:t>（九）估价方法</w:t>
      </w:r>
      <w:r>
        <w:tab/>
      </w:r>
      <w:r>
        <w:fldChar w:fldCharType="begin"/>
      </w:r>
      <w:r>
        <w:instrText xml:space="preserve"> PAGEREF _Toc1084 \h </w:instrText>
      </w:r>
      <w:r>
        <w:fldChar w:fldCharType="separate"/>
      </w:r>
      <w:r>
        <w:t>15</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_Toc4956 </w:instrText>
      </w:r>
      <w:r>
        <w:rPr>
          <w:rFonts w:ascii="黑体" w:eastAsia="黑体"/>
        </w:rPr>
        <w:fldChar w:fldCharType="separate"/>
      </w:r>
      <w:r>
        <w:rPr>
          <w:rFonts w:hint="eastAsia" w:ascii="仿宋_GB2312" w:hAnsi="仿宋_GB2312" w:eastAsia="仿宋_GB2312" w:cs="仿宋_GB2312"/>
          <w:bCs/>
          <w:szCs w:val="28"/>
        </w:rPr>
        <w:t>（十）估价结果</w:t>
      </w:r>
      <w:r>
        <w:tab/>
      </w:r>
      <w:r>
        <w:fldChar w:fldCharType="begin"/>
      </w:r>
      <w:r>
        <w:instrText xml:space="preserve"> PAGEREF _Toc4956 \h </w:instrText>
      </w:r>
      <w:r>
        <w:fldChar w:fldCharType="separate"/>
      </w:r>
      <w:r>
        <w:t>17</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_Toc16191 </w:instrText>
      </w:r>
      <w:r>
        <w:rPr>
          <w:rFonts w:ascii="黑体" w:eastAsia="黑体"/>
        </w:rPr>
        <w:fldChar w:fldCharType="separate"/>
      </w:r>
      <w:r>
        <w:rPr>
          <w:rFonts w:hint="eastAsia" w:ascii="仿宋_GB2312" w:hAnsi="仿宋_GB2312" w:eastAsia="仿宋_GB2312" w:cs="仿宋_GB2312"/>
          <w:bCs/>
          <w:szCs w:val="28"/>
        </w:rPr>
        <w:t>（十一） 注册房地产估价师</w:t>
      </w:r>
      <w:r>
        <w:tab/>
      </w:r>
      <w:r>
        <w:fldChar w:fldCharType="begin"/>
      </w:r>
      <w:r>
        <w:instrText xml:space="preserve"> PAGEREF _Toc16191 \h </w:instrText>
      </w:r>
      <w:r>
        <w:fldChar w:fldCharType="separate"/>
      </w:r>
      <w:r>
        <w:t>18</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_Toc12289 </w:instrText>
      </w:r>
      <w:r>
        <w:rPr>
          <w:rFonts w:ascii="黑体" w:eastAsia="黑体"/>
        </w:rPr>
        <w:fldChar w:fldCharType="separate"/>
      </w:r>
      <w:r>
        <w:rPr>
          <w:rFonts w:hint="eastAsia" w:ascii="仿宋_GB2312" w:hAnsi="仿宋_GB2312" w:eastAsia="仿宋_GB2312" w:cs="仿宋_GB2312"/>
          <w:bCs/>
          <w:szCs w:val="28"/>
        </w:rPr>
        <w:t>（十二）实地查勘期</w:t>
      </w:r>
      <w:r>
        <w:tab/>
      </w:r>
      <w:r>
        <w:fldChar w:fldCharType="begin"/>
      </w:r>
      <w:r>
        <w:instrText xml:space="preserve"> PAGEREF _Toc12289 \h </w:instrText>
      </w:r>
      <w:r>
        <w:fldChar w:fldCharType="separate"/>
      </w:r>
      <w:r>
        <w:t>18</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500" w:lineRule="exact"/>
        <w:textAlignment w:val="auto"/>
      </w:pPr>
      <w:r>
        <w:rPr>
          <w:rFonts w:ascii="黑体" w:eastAsia="黑体"/>
          <w:color w:val="000000" w:themeColor="text1"/>
        </w:rPr>
        <w:fldChar w:fldCharType="begin"/>
      </w:r>
      <w:r>
        <w:rPr>
          <w:rFonts w:ascii="黑体" w:eastAsia="黑体"/>
        </w:rPr>
        <w:instrText xml:space="preserve"> HYPERLINK \l _Toc16368 </w:instrText>
      </w:r>
      <w:r>
        <w:rPr>
          <w:rFonts w:ascii="黑体" w:eastAsia="黑体"/>
        </w:rPr>
        <w:fldChar w:fldCharType="separate"/>
      </w:r>
      <w:r>
        <w:rPr>
          <w:rFonts w:hint="eastAsia" w:ascii="仿宋_GB2312" w:hAnsi="仿宋_GB2312" w:eastAsia="仿宋_GB2312" w:cs="仿宋_GB2312"/>
          <w:bCs/>
          <w:szCs w:val="28"/>
        </w:rPr>
        <w:t>（十三）估价作业期</w:t>
      </w:r>
      <w:r>
        <w:tab/>
      </w:r>
      <w:r>
        <w:fldChar w:fldCharType="begin"/>
      </w:r>
      <w:r>
        <w:instrText xml:space="preserve"> PAGEREF _Toc16368 \h </w:instrText>
      </w:r>
      <w:r>
        <w:fldChar w:fldCharType="separate"/>
      </w:r>
      <w:r>
        <w:t>18</w:t>
      </w:r>
      <w:r>
        <w:fldChar w:fldCharType="end"/>
      </w:r>
      <w:r>
        <w:rPr>
          <w:rFonts w:ascii="黑体" w:eastAsia="黑体"/>
          <w:color w:val="000000" w:themeColor="text1"/>
        </w:rPr>
        <w:fldChar w:fldCharType="end"/>
      </w:r>
    </w:p>
    <w:p>
      <w:pPr>
        <w:pStyle w:val="14"/>
        <w:keepNext w:val="0"/>
        <w:keepLines w:val="0"/>
        <w:pageBreakBefore w:val="0"/>
        <w:widowControl w:val="0"/>
        <w:tabs>
          <w:tab w:val="right" w:leader="dot" w:pos="9789"/>
        </w:tabs>
        <w:kinsoku/>
        <w:wordWrap/>
        <w:overflowPunct/>
        <w:topLinePunct w:val="0"/>
        <w:autoSpaceDE/>
        <w:autoSpaceDN/>
        <w:bidi w:val="0"/>
        <w:adjustRightInd/>
        <w:snapToGrid/>
        <w:spacing w:line="400" w:lineRule="exact"/>
        <w:textAlignment w:val="auto"/>
      </w:pPr>
      <w:r>
        <w:rPr>
          <w:rFonts w:ascii="黑体" w:eastAsia="黑体"/>
          <w:color w:val="000000" w:themeColor="text1"/>
        </w:rPr>
        <w:fldChar w:fldCharType="begin"/>
      </w:r>
      <w:r>
        <w:rPr>
          <w:rFonts w:ascii="黑体" w:eastAsia="黑体"/>
        </w:rPr>
        <w:instrText xml:space="preserve"> HYPERLINK \l _Toc27444 </w:instrText>
      </w:r>
      <w:r>
        <w:rPr>
          <w:rFonts w:ascii="黑体" w:eastAsia="黑体"/>
        </w:rPr>
        <w:fldChar w:fldCharType="separate"/>
      </w:r>
      <w:r>
        <w:rPr>
          <w:rFonts w:hint="eastAsia" w:ascii="黑体" w:hAnsi="黑体" w:eastAsia="黑体" w:cs="黑体"/>
          <w:bCs w:val="0"/>
          <w:szCs w:val="32"/>
          <w:lang w:eastAsia="zh-CN"/>
        </w:rPr>
        <w:t>四</w:t>
      </w:r>
      <w:r>
        <w:rPr>
          <w:rFonts w:hint="eastAsia" w:ascii="黑体" w:hAnsi="黑体" w:eastAsia="黑体" w:cs="黑体"/>
          <w:bCs w:val="0"/>
          <w:szCs w:val="32"/>
        </w:rPr>
        <w:t>、附      件</w:t>
      </w:r>
      <w:r>
        <w:tab/>
      </w:r>
      <w:r>
        <w:fldChar w:fldCharType="begin"/>
      </w:r>
      <w:r>
        <w:instrText xml:space="preserve"> PAGEREF _Toc27444 \h </w:instrText>
      </w:r>
      <w:r>
        <w:fldChar w:fldCharType="separate"/>
      </w:r>
      <w:r>
        <w:t>19</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textAlignment w:val="auto"/>
      </w:pPr>
      <w:r>
        <w:rPr>
          <w:rFonts w:ascii="黑体" w:eastAsia="黑体"/>
          <w:color w:val="000000" w:themeColor="text1"/>
        </w:rPr>
        <w:fldChar w:fldCharType="begin"/>
      </w:r>
      <w:r>
        <w:rPr>
          <w:rFonts w:ascii="黑体" w:eastAsia="黑体"/>
        </w:rPr>
        <w:instrText xml:space="preserve"> HYPERLINK \l _Toc4897 </w:instrText>
      </w:r>
      <w:r>
        <w:rPr>
          <w:rFonts w:ascii="黑体" w:eastAsia="黑体"/>
        </w:rPr>
        <w:fldChar w:fldCharType="separate"/>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lang w:val="en-US" w:eastAsia="zh-CN"/>
        </w:rPr>
        <w:t>一）</w:t>
      </w:r>
      <w:r>
        <w:rPr>
          <w:rFonts w:hint="eastAsia" w:ascii="仿宋_GB2312" w:hAnsi="仿宋_GB2312" w:eastAsia="仿宋_GB2312" w:cs="仿宋_GB2312"/>
          <w:bCs/>
          <w:szCs w:val="28"/>
          <w:lang w:eastAsia="zh-CN"/>
        </w:rPr>
        <w:t>《房地产估价委托书》</w:t>
      </w:r>
      <w:r>
        <w:rPr>
          <w:rFonts w:hint="eastAsia" w:ascii="仿宋_GB2312" w:hAnsi="仿宋_GB2312" w:eastAsia="仿宋_GB2312" w:cs="仿宋_GB2312"/>
          <w:bCs/>
          <w:szCs w:val="28"/>
        </w:rPr>
        <w:t>（复印件）</w:t>
      </w:r>
      <w:r>
        <w:tab/>
      </w:r>
      <w:r>
        <w:fldChar w:fldCharType="begin"/>
      </w:r>
      <w:r>
        <w:instrText xml:space="preserve"> PAGEREF _Toc4897 \h </w:instrText>
      </w:r>
      <w:r>
        <w:fldChar w:fldCharType="separate"/>
      </w:r>
      <w:r>
        <w:t>19</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textAlignment w:val="auto"/>
      </w:pPr>
      <w:r>
        <w:rPr>
          <w:rFonts w:ascii="黑体" w:eastAsia="黑体"/>
          <w:color w:val="000000" w:themeColor="text1"/>
        </w:rPr>
        <w:fldChar w:fldCharType="begin"/>
      </w:r>
      <w:r>
        <w:rPr>
          <w:rFonts w:ascii="黑体" w:eastAsia="黑体"/>
        </w:rPr>
        <w:instrText xml:space="preserve"> HYPERLINK \l _Toc11611 </w:instrText>
      </w:r>
      <w:r>
        <w:rPr>
          <w:rFonts w:ascii="黑体" w:eastAsia="黑体"/>
        </w:rPr>
        <w:fldChar w:fldCharType="separate"/>
      </w:r>
      <w:r>
        <w:rPr>
          <w:rFonts w:hint="eastAsia" w:ascii="仿宋_GB2312" w:hAnsi="仿宋_GB2312" w:eastAsia="仿宋_GB2312" w:cs="仿宋_GB2312"/>
          <w:bCs/>
          <w:szCs w:val="28"/>
        </w:rPr>
        <w:t>（二）估价对象位置图</w:t>
      </w:r>
      <w:r>
        <w:tab/>
      </w:r>
      <w:r>
        <w:fldChar w:fldCharType="begin"/>
      </w:r>
      <w:r>
        <w:instrText xml:space="preserve"> PAGEREF _Toc11611 \h </w:instrText>
      </w:r>
      <w:r>
        <w:fldChar w:fldCharType="separate"/>
      </w:r>
      <w:r>
        <w:t>23</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textAlignment w:val="auto"/>
      </w:pPr>
      <w:r>
        <w:rPr>
          <w:rFonts w:ascii="黑体" w:eastAsia="黑体"/>
          <w:color w:val="000000" w:themeColor="text1"/>
        </w:rPr>
        <w:fldChar w:fldCharType="begin"/>
      </w:r>
      <w:r>
        <w:rPr>
          <w:rFonts w:ascii="黑体" w:eastAsia="黑体"/>
        </w:rPr>
        <w:instrText xml:space="preserve"> HYPERLINK \l _Toc15129 </w:instrText>
      </w:r>
      <w:r>
        <w:rPr>
          <w:rFonts w:ascii="黑体" w:eastAsia="黑体"/>
        </w:rPr>
        <w:fldChar w:fldCharType="separate"/>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lang w:val="en-US" w:eastAsia="zh-CN"/>
        </w:rPr>
        <w:t>三）</w:t>
      </w:r>
      <w:r>
        <w:rPr>
          <w:rFonts w:hint="eastAsia" w:ascii="仿宋_GB2312" w:hAnsi="仿宋_GB2312" w:eastAsia="仿宋_GB2312" w:cs="仿宋_GB2312"/>
          <w:bCs/>
          <w:szCs w:val="28"/>
        </w:rPr>
        <w:t>估价对象内部状况照片、外部状况照片、周围环境和景观照片</w:t>
      </w:r>
      <w:r>
        <w:tab/>
      </w:r>
      <w:r>
        <w:fldChar w:fldCharType="begin"/>
      </w:r>
      <w:r>
        <w:instrText xml:space="preserve"> PAGEREF _Toc15129 \h </w:instrText>
      </w:r>
      <w:r>
        <w:fldChar w:fldCharType="separate"/>
      </w:r>
      <w:r>
        <w:t>24</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textAlignment w:val="auto"/>
      </w:pPr>
      <w:r>
        <w:rPr>
          <w:rFonts w:ascii="黑体" w:eastAsia="黑体"/>
          <w:color w:val="000000" w:themeColor="text1"/>
        </w:rPr>
        <w:fldChar w:fldCharType="begin"/>
      </w:r>
      <w:r>
        <w:rPr>
          <w:rFonts w:ascii="黑体" w:eastAsia="黑体"/>
        </w:rPr>
        <w:instrText xml:space="preserve"> HYPERLINK \l _Toc1359 </w:instrText>
      </w:r>
      <w:r>
        <w:rPr>
          <w:rFonts w:ascii="黑体" w:eastAsia="黑体"/>
        </w:rPr>
        <w:fldChar w:fldCharType="separate"/>
      </w:r>
      <w:r>
        <w:rPr>
          <w:rFonts w:hint="eastAsia" w:ascii="仿宋_GB2312" w:hAnsi="仿宋_GB2312" w:eastAsia="仿宋_GB2312" w:cs="仿宋_GB2312"/>
          <w:bCs/>
          <w:kern w:val="2"/>
          <w:szCs w:val="28"/>
          <w:lang w:val="en-US" w:eastAsia="zh-CN" w:bidi="ar-SA"/>
        </w:rPr>
        <w:t>（四）《权益状况查档信息》</w:t>
      </w:r>
      <w:r>
        <w:tab/>
      </w:r>
      <w:r>
        <w:fldChar w:fldCharType="begin"/>
      </w:r>
      <w:r>
        <w:instrText xml:space="preserve"> PAGEREF _Toc1359 \h </w:instrText>
      </w:r>
      <w:r>
        <w:fldChar w:fldCharType="separate"/>
      </w:r>
      <w:r>
        <w:t>26</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textAlignment w:val="auto"/>
      </w:pPr>
      <w:r>
        <w:rPr>
          <w:rFonts w:ascii="黑体" w:eastAsia="黑体"/>
          <w:color w:val="000000" w:themeColor="text1"/>
        </w:rPr>
        <w:fldChar w:fldCharType="begin"/>
      </w:r>
      <w:r>
        <w:rPr>
          <w:rFonts w:ascii="黑体" w:eastAsia="黑体"/>
        </w:rPr>
        <w:instrText xml:space="preserve"> HYPERLINK \l _Toc5805 </w:instrText>
      </w:r>
      <w:r>
        <w:rPr>
          <w:rFonts w:ascii="黑体" w:eastAsia="黑体"/>
        </w:rPr>
        <w:fldChar w:fldCharType="separate"/>
      </w:r>
      <w:r>
        <w:rPr>
          <w:rFonts w:hint="eastAsia" w:ascii="仿宋_GB2312" w:hAnsi="仿宋_GB2312" w:eastAsia="仿宋_GB2312" w:cs="仿宋_GB2312"/>
          <w:bCs/>
          <w:kern w:val="2"/>
          <w:szCs w:val="28"/>
          <w:lang w:val="en-US" w:eastAsia="zh-CN" w:bidi="ar-SA"/>
        </w:rPr>
        <w:t>（五）现场查勘表</w:t>
      </w:r>
      <w:r>
        <w:tab/>
      </w:r>
      <w:r>
        <w:fldChar w:fldCharType="begin"/>
      </w:r>
      <w:r>
        <w:instrText xml:space="preserve"> PAGEREF _Toc5805 \h </w:instrText>
      </w:r>
      <w:r>
        <w:fldChar w:fldCharType="separate"/>
      </w:r>
      <w:r>
        <w:t>57</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textAlignment w:val="auto"/>
      </w:pPr>
      <w:r>
        <w:rPr>
          <w:rFonts w:ascii="黑体" w:eastAsia="黑体"/>
          <w:color w:val="000000" w:themeColor="text1"/>
        </w:rPr>
        <w:fldChar w:fldCharType="begin"/>
      </w:r>
      <w:r>
        <w:rPr>
          <w:rFonts w:ascii="黑体" w:eastAsia="黑体"/>
        </w:rPr>
        <w:instrText xml:space="preserve"> HYPERLINK \l _Toc15604 </w:instrText>
      </w:r>
      <w:r>
        <w:rPr>
          <w:rFonts w:ascii="黑体" w:eastAsia="黑体"/>
        </w:rPr>
        <w:fldChar w:fldCharType="separate"/>
      </w:r>
      <w:r>
        <w:rPr>
          <w:rFonts w:hint="eastAsia" w:ascii="仿宋_GB2312" w:hAnsi="仿宋_GB2312" w:eastAsia="仿宋_GB2312" w:cs="仿宋_GB2312"/>
          <w:bCs/>
          <w:kern w:val="2"/>
          <w:szCs w:val="28"/>
          <w:lang w:val="en-US" w:eastAsia="zh-CN" w:bidi="ar-SA"/>
        </w:rPr>
        <w:t>（六）专业帮助情况和相关专业意见</w:t>
      </w:r>
      <w:r>
        <w:tab/>
      </w:r>
      <w:r>
        <w:fldChar w:fldCharType="begin"/>
      </w:r>
      <w:r>
        <w:instrText xml:space="preserve"> PAGEREF _Toc15604 \h </w:instrText>
      </w:r>
      <w:r>
        <w:fldChar w:fldCharType="separate"/>
      </w:r>
      <w:r>
        <w:t>60</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textAlignment w:val="auto"/>
      </w:pPr>
      <w:r>
        <w:rPr>
          <w:rFonts w:ascii="黑体" w:eastAsia="黑体"/>
          <w:color w:val="000000" w:themeColor="text1"/>
        </w:rPr>
        <w:fldChar w:fldCharType="begin"/>
      </w:r>
      <w:r>
        <w:rPr>
          <w:rFonts w:ascii="黑体" w:eastAsia="黑体"/>
        </w:rPr>
        <w:instrText xml:space="preserve"> HYPERLINK \l _Toc20362 </w:instrText>
      </w:r>
      <w:r>
        <w:rPr>
          <w:rFonts w:ascii="黑体" w:eastAsia="黑体"/>
        </w:rPr>
        <w:fldChar w:fldCharType="separate"/>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lang w:val="en-US" w:eastAsia="zh-CN"/>
        </w:rPr>
        <w:t>七</w:t>
      </w:r>
      <w:r>
        <w:rPr>
          <w:rFonts w:hint="eastAsia" w:ascii="仿宋_GB2312" w:hAnsi="仿宋_GB2312" w:eastAsia="仿宋_GB2312" w:cs="仿宋_GB2312"/>
          <w:bCs/>
          <w:szCs w:val="28"/>
          <w:lang w:eastAsia="zh-CN"/>
        </w:rPr>
        <w:t>）《房地估价机构资质证书》、《营业执照》（复印件）</w:t>
      </w:r>
      <w:r>
        <w:tab/>
      </w:r>
      <w:r>
        <w:fldChar w:fldCharType="begin"/>
      </w:r>
      <w:r>
        <w:instrText xml:space="preserve"> PAGEREF _Toc20362 \h </w:instrText>
      </w:r>
      <w:r>
        <w:fldChar w:fldCharType="separate"/>
      </w:r>
      <w:r>
        <w:t>61</w:t>
      </w:r>
      <w:r>
        <w:fldChar w:fldCharType="end"/>
      </w:r>
      <w:r>
        <w:rPr>
          <w:rFonts w:ascii="黑体" w:eastAsia="黑体"/>
          <w:color w:val="000000" w:themeColor="text1"/>
        </w:rPr>
        <w:fldChar w:fldCharType="end"/>
      </w:r>
    </w:p>
    <w:p>
      <w:pPr>
        <w:pStyle w:val="16"/>
        <w:keepNext w:val="0"/>
        <w:keepLines w:val="0"/>
        <w:pageBreakBefore w:val="0"/>
        <w:widowControl w:val="0"/>
        <w:tabs>
          <w:tab w:val="right" w:leader="dot" w:pos="9789"/>
        </w:tabs>
        <w:kinsoku/>
        <w:wordWrap/>
        <w:overflowPunct/>
        <w:topLinePunct w:val="0"/>
        <w:autoSpaceDE/>
        <w:autoSpaceDN/>
        <w:bidi w:val="0"/>
        <w:adjustRightInd/>
        <w:snapToGrid/>
        <w:spacing w:line="400" w:lineRule="exact"/>
        <w:textAlignment w:val="auto"/>
      </w:pPr>
      <w:r>
        <w:rPr>
          <w:rFonts w:ascii="黑体" w:eastAsia="黑体"/>
          <w:color w:val="000000" w:themeColor="text1"/>
        </w:rPr>
        <w:fldChar w:fldCharType="begin"/>
      </w:r>
      <w:r>
        <w:rPr>
          <w:rFonts w:ascii="黑体" w:eastAsia="黑体"/>
        </w:rPr>
        <w:instrText xml:space="preserve"> HYPERLINK \l _Toc2165 </w:instrText>
      </w:r>
      <w:r>
        <w:rPr>
          <w:rFonts w:ascii="黑体" w:eastAsia="黑体"/>
        </w:rPr>
        <w:fldChar w:fldCharType="separate"/>
      </w:r>
      <w:r>
        <w:rPr>
          <w:rFonts w:hint="eastAsia" w:ascii="仿宋_GB2312" w:hAnsi="仿宋_GB2312" w:eastAsia="仿宋_GB2312" w:cs="仿宋_GB2312"/>
          <w:bCs/>
          <w:szCs w:val="28"/>
          <w:lang w:eastAsia="zh-CN"/>
        </w:rPr>
        <w:t>（</w:t>
      </w:r>
      <w:r>
        <w:rPr>
          <w:rFonts w:hint="eastAsia" w:ascii="仿宋_GB2312" w:hAnsi="仿宋_GB2312" w:eastAsia="仿宋_GB2312" w:cs="仿宋_GB2312"/>
          <w:bCs/>
          <w:szCs w:val="28"/>
          <w:lang w:val="en-US" w:eastAsia="zh-CN"/>
        </w:rPr>
        <w:t>八</w:t>
      </w:r>
      <w:r>
        <w:rPr>
          <w:rFonts w:hint="eastAsia" w:ascii="仿宋_GB2312" w:hAnsi="仿宋_GB2312" w:eastAsia="仿宋_GB2312" w:cs="仿宋_GB2312"/>
          <w:bCs/>
          <w:szCs w:val="28"/>
          <w:lang w:eastAsia="zh-CN"/>
        </w:rPr>
        <w:t>）《注册房地产估价师资格证书》（复印件）</w:t>
      </w:r>
      <w:r>
        <w:tab/>
      </w:r>
      <w:r>
        <w:fldChar w:fldCharType="begin"/>
      </w:r>
      <w:r>
        <w:instrText xml:space="preserve"> PAGEREF _Toc2165 \h </w:instrText>
      </w:r>
      <w:r>
        <w:fldChar w:fldCharType="separate"/>
      </w:r>
      <w:r>
        <w:t>63</w:t>
      </w:r>
      <w:r>
        <w:fldChar w:fldCharType="end"/>
      </w:r>
      <w:r>
        <w:rPr>
          <w:rFonts w:ascii="黑体" w:eastAsia="黑体"/>
          <w:color w:val="000000" w:themeColor="text1"/>
        </w:rPr>
        <w:fldChar w:fldCharType="end"/>
      </w:r>
    </w:p>
    <w:p>
      <w:pPr>
        <w:adjustRightInd w:val="0"/>
        <w:snapToGrid w:val="0"/>
        <w:spacing w:line="460" w:lineRule="exact"/>
        <w:jc w:val="center"/>
        <w:outlineLvl w:val="9"/>
        <w:rPr>
          <w:rStyle w:val="26"/>
          <w:rFonts w:ascii="黑体" w:hAnsi="黑体" w:eastAsia="黑体" w:cs="黑体"/>
          <w:bCs/>
          <w:color w:val="000000" w:themeColor="text1"/>
          <w:sz w:val="32"/>
          <w:szCs w:val="32"/>
        </w:rPr>
        <w:sectPr>
          <w:pgSz w:w="11906" w:h="16838"/>
          <w:pgMar w:top="1134" w:right="862" w:bottom="1134" w:left="1255" w:header="851" w:footer="992" w:gutter="0"/>
          <w:cols w:space="720" w:num="1"/>
          <w:docGrid w:type="linesAndChars" w:linePitch="312" w:charSpace="0"/>
        </w:sectPr>
      </w:pPr>
      <w:r>
        <w:rPr>
          <w:rFonts w:ascii="黑体" w:eastAsia="黑体"/>
          <w:color w:val="000000" w:themeColor="text1"/>
          <w:sz w:val="36"/>
        </w:rPr>
        <w:fldChar w:fldCharType="end"/>
      </w:r>
    </w:p>
    <w:p>
      <w:pPr>
        <w:spacing w:line="720" w:lineRule="auto"/>
        <w:jc w:val="center"/>
        <w:outlineLvl w:val="0"/>
        <w:rPr>
          <w:rStyle w:val="26"/>
          <w:rFonts w:ascii="黑体" w:hAnsi="黑体" w:eastAsia="黑体" w:cs="黑体"/>
          <w:bCs/>
          <w:color w:val="000000" w:themeColor="text1"/>
          <w:sz w:val="32"/>
          <w:szCs w:val="32"/>
        </w:rPr>
      </w:pPr>
      <w:bookmarkStart w:id="33" w:name="_Toc17860"/>
      <w:bookmarkStart w:id="34" w:name="_Toc437265325"/>
      <w:r>
        <w:rPr>
          <w:rStyle w:val="26"/>
          <w:rFonts w:hint="eastAsia" w:ascii="黑体" w:hAnsi="黑体" w:eastAsia="黑体" w:cs="黑体"/>
          <w:bCs/>
          <w:color w:val="000000" w:themeColor="text1"/>
          <w:sz w:val="32"/>
          <w:szCs w:val="32"/>
        </w:rPr>
        <w:t>一、估价师声明</w:t>
      </w:r>
      <w:bookmarkEnd w:id="33"/>
      <w:bookmarkEnd w:id="34"/>
    </w:p>
    <w:p>
      <w:pPr>
        <w:keepNext w:val="0"/>
        <w:keepLines w:val="0"/>
        <w:widowControl/>
        <w:suppressLineNumbers w:val="0"/>
        <w:jc w:val="center"/>
        <w:rPr>
          <w:rFonts w:hint="eastAsia" w:ascii="仿宋_GB2312" w:eastAsia="仿宋_GB2312"/>
          <w:color w:val="auto"/>
          <w:szCs w:val="22"/>
          <w:lang w:val="en-US" w:eastAsia="zh-CN"/>
        </w:rPr>
      </w:pPr>
      <w:bookmarkStart w:id="35" w:name="OLE_LINK33"/>
      <w:bookmarkStart w:id="36" w:name="OLE_LINK32"/>
      <w:r>
        <w:rPr>
          <w:rFonts w:hint="eastAsia" w:ascii="仿宋_GB2312" w:eastAsia="仿宋_GB2312"/>
          <w:color w:val="000000" w:themeColor="text1"/>
          <w:lang w:val="en-US" w:eastAsia="zh-CN"/>
        </w:rPr>
        <w:t xml:space="preserve">  </w:t>
      </w:r>
      <w:r>
        <w:rPr>
          <w:rFonts w:hint="eastAsia" w:ascii="仿宋_GB2312" w:eastAsia="仿宋_GB2312"/>
          <w:color w:val="auto"/>
          <w:lang w:val="en-US" w:eastAsia="zh-CN"/>
        </w:rPr>
        <w:t xml:space="preserve"> </w:t>
      </w:r>
      <w:r>
        <w:rPr>
          <w:rFonts w:hint="eastAsia" w:ascii="仿宋_GB2312" w:eastAsia="仿宋_GB2312"/>
          <w:color w:val="auto"/>
        </w:rPr>
        <w:t>本估价报告注册房地产估价师</w:t>
      </w:r>
      <w:r>
        <w:rPr>
          <w:rFonts w:hint="eastAsia" w:ascii="仿宋_GB2312" w:eastAsia="仿宋_GB2312"/>
          <w:color w:val="auto"/>
          <w:szCs w:val="22"/>
          <w:lang w:val="en-US" w:eastAsia="zh-CN"/>
        </w:rPr>
        <w:t>艾巧琳（注册号：5120050058）、高涛（注</w:t>
      </w:r>
    </w:p>
    <w:p>
      <w:pPr>
        <w:keepNext w:val="0"/>
        <w:keepLines w:val="0"/>
        <w:widowControl/>
        <w:suppressLineNumbers w:val="0"/>
        <w:jc w:val="both"/>
        <w:rPr>
          <w:rFonts w:ascii="仿宋_GB2312" w:eastAsia="仿宋_GB2312"/>
          <w:color w:val="auto"/>
        </w:rPr>
      </w:pPr>
      <w:r>
        <w:rPr>
          <w:rFonts w:hint="eastAsia" w:ascii="仿宋_GB2312" w:eastAsia="仿宋_GB2312"/>
          <w:color w:val="auto"/>
          <w:szCs w:val="22"/>
          <w:lang w:val="en-US" w:eastAsia="zh-CN"/>
        </w:rPr>
        <w:t>册号：5120180033）</w:t>
      </w:r>
      <w:r>
        <w:rPr>
          <w:rFonts w:hint="eastAsia" w:ascii="仿宋_GB2312" w:eastAsia="仿宋_GB2312"/>
          <w:color w:val="auto"/>
        </w:rPr>
        <w:t>郑重声明：</w:t>
      </w:r>
    </w:p>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rPr>
        <w:t>1、注册房地产估价师在本估价报告中对事实的说明是真实和准确的，没有虚假记载、误导性陈述和重大遗漏。</w:t>
      </w:r>
    </w:p>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rPr>
        <w:t>2、本估价报告中的分析、意见和结论是注册房地产估价师独立、客观、公正的专业分析、意见和结论，但受到本估价报告中已说明的估价假设和限制条件的限制。</w:t>
      </w:r>
    </w:p>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rPr>
        <w:t>3、注册房地产估价师与估价报告中的估价对象没有现实或潜在的利益，与估价委托人及估价厉害关系人没有利害关系，也对估价对象、估价委托人和估价利害关系人没有偏见。</w:t>
      </w:r>
    </w:p>
    <w:p>
      <w:pPr>
        <w:keepNext w:val="0"/>
        <w:keepLines w:val="0"/>
        <w:widowControl/>
        <w:suppressLineNumbers w:val="0"/>
        <w:jc w:val="center"/>
        <w:rPr>
          <w:rFonts w:hint="eastAsia" w:ascii="仿宋_GB2312" w:eastAsia="仿宋_GB2312"/>
          <w:color w:val="000000" w:themeColor="text1"/>
          <w:szCs w:val="22"/>
          <w:lang w:val="en-US" w:eastAsia="zh-CN"/>
        </w:rPr>
      </w:pPr>
      <w:r>
        <w:rPr>
          <w:rFonts w:hint="eastAsia" w:ascii="仿宋_GB2312" w:eastAsia="仿宋_GB2312"/>
          <w:color w:val="000000" w:themeColor="text1"/>
          <w:lang w:val="en-US" w:eastAsia="zh-CN"/>
        </w:rPr>
        <w:t xml:space="preserve">   </w:t>
      </w:r>
      <w:r>
        <w:rPr>
          <w:rFonts w:hint="eastAsia" w:ascii="仿宋_GB2312" w:eastAsia="仿宋_GB2312"/>
          <w:color w:val="auto"/>
        </w:rPr>
        <w:t>4、注册房地产估价师依照中华人民共和国国家标准《房地产估价规范》</w:t>
      </w:r>
      <w:r>
        <w:rPr>
          <w:rFonts w:hint="eastAsia" w:ascii="仿宋_GB2312" w:eastAsia="仿宋_GB2312"/>
          <w:color w:val="auto"/>
          <w:lang w:eastAsia="zh-CN"/>
        </w:rPr>
        <w:t>（</w:t>
      </w:r>
      <w:r>
        <w:rPr>
          <w:rFonts w:hint="eastAsia" w:ascii="仿宋_GB2312" w:eastAsia="仿宋_GB2312"/>
          <w:color w:val="auto"/>
          <w:lang w:val="en-US" w:eastAsia="zh-CN"/>
        </w:rPr>
        <w:t>GB/T  50291-2015)</w:t>
      </w:r>
      <w:r>
        <w:rPr>
          <w:rFonts w:hint="eastAsia" w:ascii="仿宋_GB2312" w:eastAsia="仿宋_GB2312"/>
          <w:color w:val="auto"/>
        </w:rPr>
        <w:t>、《房地产估价基本术语标准》</w:t>
      </w:r>
      <w:r>
        <w:rPr>
          <w:rFonts w:hint="eastAsia" w:ascii="仿宋_GB2312" w:eastAsia="仿宋_GB2312"/>
          <w:color w:val="auto"/>
          <w:lang w:val="en-US" w:eastAsia="zh-CN"/>
        </w:rPr>
        <w:t>(GB/T 50899-2013)</w:t>
      </w:r>
      <w:r>
        <w:rPr>
          <w:rFonts w:hint="eastAsia" w:ascii="仿宋_GB2312" w:eastAsia="仿宋_GB2312"/>
          <w:color w:val="auto"/>
        </w:rPr>
        <w:t>、《房地产司法鉴定评估指导意</w:t>
      </w:r>
      <w:r>
        <w:rPr>
          <w:rFonts w:hint="eastAsia" w:ascii="仿宋_GB2312" w:eastAsia="仿宋_GB2312"/>
          <w:color w:val="auto"/>
          <w:szCs w:val="22"/>
        </w:rPr>
        <w:t>见》</w:t>
      </w:r>
      <w:r>
        <w:rPr>
          <w:rFonts w:hint="eastAsia" w:ascii="仿宋_GB2312" w:eastAsia="仿宋_GB2312"/>
          <w:color w:val="auto"/>
          <w:szCs w:val="22"/>
          <w:lang w:eastAsia="zh-CN"/>
        </w:rPr>
        <w:t>、《</w:t>
      </w:r>
      <w:r>
        <w:rPr>
          <w:rFonts w:hint="eastAsia" w:ascii="仿宋_GB2312" w:eastAsia="仿宋_GB2312"/>
          <w:color w:val="auto"/>
          <w:szCs w:val="22"/>
          <w:lang w:val="en-US" w:eastAsia="zh-CN"/>
        </w:rPr>
        <w:t>最高人民法院关于人民法院确定财产处置参</w:t>
      </w:r>
      <w:r>
        <w:rPr>
          <w:rFonts w:hint="eastAsia" w:ascii="仿宋_GB2312" w:eastAsia="仿宋_GB2312"/>
          <w:color w:val="000000" w:themeColor="text1"/>
          <w:szCs w:val="22"/>
          <w:lang w:val="en-US" w:eastAsia="zh-CN"/>
        </w:rPr>
        <w:t>考价若</w:t>
      </w:r>
    </w:p>
    <w:p>
      <w:pPr>
        <w:keepNext w:val="0"/>
        <w:keepLines w:val="0"/>
        <w:widowControl/>
        <w:suppressLineNumbers w:val="0"/>
        <w:jc w:val="both"/>
        <w:rPr>
          <w:rFonts w:hint="eastAsia" w:ascii="仿宋_GB2312" w:eastAsia="仿宋_GB2312"/>
          <w:color w:val="000000" w:themeColor="text1"/>
          <w:szCs w:val="22"/>
        </w:rPr>
      </w:pPr>
      <w:r>
        <w:rPr>
          <w:rFonts w:hint="eastAsia" w:ascii="仿宋_GB2312" w:eastAsia="仿宋_GB2312"/>
          <w:color w:val="000000" w:themeColor="text1"/>
          <w:szCs w:val="22"/>
          <w:lang w:val="en-US" w:eastAsia="zh-CN"/>
        </w:rPr>
        <w:t>干问题的规定</w:t>
      </w:r>
      <w:r>
        <w:rPr>
          <w:rFonts w:hint="eastAsia" w:ascii="仿宋_GB2312" w:eastAsia="仿宋_GB2312"/>
          <w:color w:val="000000" w:themeColor="text1"/>
          <w:szCs w:val="22"/>
          <w:lang w:eastAsia="zh-CN"/>
        </w:rPr>
        <w:t>》</w:t>
      </w:r>
      <w:r>
        <w:rPr>
          <w:rFonts w:hint="eastAsia" w:ascii="仿宋_GB2312" w:eastAsia="仿宋_GB2312"/>
          <w:color w:val="000000" w:themeColor="text1"/>
          <w:szCs w:val="22"/>
        </w:rPr>
        <w:t>（试行）</w:t>
      </w:r>
      <w:r>
        <w:rPr>
          <w:rFonts w:hint="eastAsia" w:ascii="仿宋_GB2312" w:eastAsia="仿宋_GB2312"/>
          <w:color w:val="000000" w:themeColor="text1"/>
          <w:szCs w:val="22"/>
          <w:lang w:val="en-US" w:eastAsia="zh-CN"/>
        </w:rPr>
        <w:t>法释〔2018〕15号、《涉执房地产处置司法评估指导意见</w:t>
      </w:r>
      <w:r>
        <w:rPr>
          <w:rFonts w:hint="eastAsia" w:ascii="仿宋_GB2312" w:eastAsia="仿宋_GB2312"/>
          <w:color w:val="auto"/>
          <w:szCs w:val="22"/>
          <w:lang w:val="en-US" w:eastAsia="zh-CN"/>
        </w:rPr>
        <w:t>（试行）》</w:t>
      </w:r>
      <w:r>
        <w:rPr>
          <w:rFonts w:hint="eastAsia" w:ascii="仿宋_GB2312" w:hAnsi="宋体" w:eastAsia="仿宋_GB2312"/>
          <w:color w:val="auto"/>
          <w:sz w:val="28"/>
          <w:szCs w:val="22"/>
          <w:lang w:eastAsia="zh-CN"/>
        </w:rPr>
        <w:t>（</w:t>
      </w:r>
      <w:r>
        <w:rPr>
          <w:rFonts w:hint="eastAsia" w:ascii="仿宋_GB2312" w:hAnsi="宋体" w:eastAsia="仿宋_GB2312"/>
          <w:color w:val="auto"/>
          <w:sz w:val="28"/>
          <w:szCs w:val="22"/>
          <w:lang w:val="en-US" w:eastAsia="zh-CN"/>
        </w:rPr>
        <w:t>中房学【2021】37号）</w:t>
      </w:r>
      <w:r>
        <w:rPr>
          <w:rFonts w:hint="eastAsia" w:ascii="仿宋_GB2312" w:eastAsia="仿宋_GB2312"/>
          <w:color w:val="auto"/>
          <w:szCs w:val="22"/>
        </w:rPr>
        <w:t>进行</w:t>
      </w:r>
      <w:r>
        <w:rPr>
          <w:rFonts w:hint="eastAsia" w:ascii="仿宋_GB2312" w:eastAsia="仿宋_GB2312"/>
          <w:color w:val="000000" w:themeColor="text1"/>
          <w:szCs w:val="22"/>
        </w:rPr>
        <w:t>分析，形成意见和结论，撰写本估价报告。</w:t>
      </w:r>
    </w:p>
    <w:p>
      <w:pPr>
        <w:ind w:firstLine="560"/>
        <w:rPr>
          <w:rFonts w:ascii="仿宋_GB2312" w:eastAsia="仿宋_GB2312"/>
          <w:color w:val="000000" w:themeColor="text1"/>
        </w:rPr>
      </w:pPr>
    </w:p>
    <w:bookmarkEnd w:id="35"/>
    <w:bookmarkEnd w:id="36"/>
    <w:p>
      <w:pPr>
        <w:pStyle w:val="2"/>
        <w:jc w:val="center"/>
        <w:rPr>
          <w:rFonts w:ascii="黑体" w:hAnsi="黑体" w:eastAsia="黑体" w:cs="黑体"/>
          <w:color w:val="000000" w:themeColor="text1"/>
          <w:sz w:val="32"/>
          <w:szCs w:val="32"/>
        </w:rPr>
        <w:sectPr>
          <w:pgSz w:w="11906" w:h="16838"/>
          <w:pgMar w:top="1134" w:right="862" w:bottom="1134" w:left="1253" w:header="851" w:footer="992" w:gutter="0"/>
          <w:pgNumType w:start="1"/>
          <w:cols w:space="425" w:num="1"/>
          <w:docGrid w:type="linesAndChars" w:linePitch="312" w:charSpace="0"/>
        </w:sectPr>
      </w:pPr>
    </w:p>
    <w:p>
      <w:pPr>
        <w:ind w:firstLine="2880" w:firstLineChars="900"/>
        <w:rPr>
          <w:rFonts w:ascii="黑体" w:eastAsia="黑体"/>
          <w:color w:val="000000" w:themeColor="text1"/>
          <w:sz w:val="32"/>
        </w:rPr>
      </w:pPr>
      <w:bookmarkStart w:id="37" w:name="_Toc437265326"/>
      <w:bookmarkStart w:id="38" w:name="_Toc24523"/>
      <w:bookmarkStart w:id="39" w:name="_Toc214074527"/>
      <w:r>
        <w:rPr>
          <w:rStyle w:val="26"/>
          <w:rFonts w:hint="eastAsia" w:ascii="黑体" w:hAnsi="黑体" w:eastAsia="黑体" w:cs="黑体"/>
          <w:bCs/>
          <w:color w:val="000000" w:themeColor="text1"/>
          <w:sz w:val="32"/>
          <w:szCs w:val="32"/>
        </w:rPr>
        <w:t>二、估价的假设和限制条件</w:t>
      </w:r>
      <w:bookmarkEnd w:id="37"/>
      <w:bookmarkEnd w:id="38"/>
      <w:bookmarkEnd w:id="39"/>
    </w:p>
    <w:p>
      <w:pPr>
        <w:pStyle w:val="3"/>
        <w:spacing w:line="300" w:lineRule="exact"/>
        <w:ind w:firstLine="560" w:firstLineChars="200"/>
        <w:rPr>
          <w:rFonts w:ascii="仿宋_GB2312" w:eastAsia="仿宋_GB2312"/>
          <w:b w:val="0"/>
          <w:color w:val="000000" w:themeColor="text1"/>
          <w:sz w:val="28"/>
          <w:szCs w:val="28"/>
        </w:rPr>
      </w:pPr>
      <w:bookmarkStart w:id="40" w:name="_Toc460239397"/>
      <w:bookmarkStart w:id="41" w:name="_Toc464560857"/>
      <w:bookmarkStart w:id="42" w:name="_Toc4732"/>
      <w:bookmarkStart w:id="43" w:name="_Toc8724"/>
      <w:bookmarkStart w:id="44" w:name="_Toc6586"/>
      <w:bookmarkStart w:id="45" w:name="_Toc214074528"/>
      <w:r>
        <w:rPr>
          <w:rFonts w:hint="eastAsia" w:ascii="仿宋_GB2312" w:eastAsia="仿宋_GB2312"/>
          <w:b w:val="0"/>
          <w:color w:val="000000" w:themeColor="text1"/>
          <w:sz w:val="28"/>
          <w:szCs w:val="28"/>
        </w:rPr>
        <w:t>（一）估价假设条件</w:t>
      </w:r>
      <w:bookmarkEnd w:id="40"/>
      <w:bookmarkEnd w:id="41"/>
      <w:bookmarkEnd w:id="42"/>
      <w:bookmarkEnd w:id="43"/>
    </w:p>
    <w:bookmarkEnd w:id="44"/>
    <w:p>
      <w:pPr>
        <w:numPr>
          <w:ilvl w:val="0"/>
          <w:numId w:val="4"/>
        </w:num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rPr>
        <w:t>一般假设</w:t>
      </w:r>
    </w:p>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rPr>
        <w:t>（1）合法性前提。合法性是指估价对象必须合法使用、合法交易或合法处分为前提。</w:t>
      </w:r>
    </w:p>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rPr>
        <w:t>估价</w:t>
      </w:r>
      <w:r>
        <w:rPr>
          <w:rFonts w:hint="eastAsia" w:ascii="仿宋_GB2312" w:eastAsia="仿宋_GB2312"/>
          <w:color w:val="000000" w:themeColor="text1"/>
          <w:lang w:val="en-US" w:eastAsia="zh-CN"/>
        </w:rPr>
        <w:t>委托</w:t>
      </w:r>
      <w:r>
        <w:rPr>
          <w:rFonts w:hint="eastAsia" w:ascii="仿宋_GB2312" w:eastAsia="仿宋_GB2312"/>
          <w:color w:val="000000" w:themeColor="text1"/>
        </w:rPr>
        <w:t>人</w:t>
      </w:r>
      <w:r>
        <w:rPr>
          <w:rFonts w:hint="eastAsia" w:ascii="仿宋_GB2312" w:eastAsia="仿宋_GB2312"/>
          <w:color w:val="000000" w:themeColor="text1"/>
          <w:lang w:eastAsia="zh-CN"/>
        </w:rPr>
        <w:t>未</w:t>
      </w:r>
      <w:r>
        <w:rPr>
          <w:rFonts w:hint="eastAsia" w:ascii="仿宋_GB2312" w:eastAsia="仿宋_GB2312"/>
          <w:color w:val="000000" w:themeColor="text1"/>
        </w:rPr>
        <w:t>提供了估价对象</w:t>
      </w:r>
      <w:r>
        <w:rPr>
          <w:rFonts w:hint="eastAsia" w:ascii="仿宋_GB2312" w:eastAsia="仿宋_GB2312"/>
          <w:color w:val="000000" w:themeColor="text1"/>
          <w:lang w:eastAsia="zh-CN"/>
        </w:rPr>
        <w:t>《房屋所有权证》等相关权证，</w:t>
      </w:r>
      <w:r>
        <w:rPr>
          <w:rFonts w:hint="eastAsia" w:ascii="仿宋_GB2312" w:eastAsia="仿宋_GB2312"/>
          <w:color w:val="auto"/>
          <w:lang w:val="en-US" w:eastAsia="zh-CN"/>
        </w:rPr>
        <w:t>注册房地产估价师对估价对象进行了现场踏勘实物状况进行了核实，并通过自贡市不动产登记中心提供的《不动产登记查询结果通知书》对估价对象的权属状况进行了核实，权利人四川平扬房地产开发有限公司对估价对象享有占有、使用、收益、处分等权益，</w:t>
      </w:r>
      <w:r>
        <w:rPr>
          <w:rFonts w:hint="eastAsia" w:ascii="仿宋_GB2312" w:eastAsia="仿宋_GB2312"/>
          <w:color w:val="auto"/>
        </w:rPr>
        <w:t>在</w:t>
      </w:r>
      <w:r>
        <w:rPr>
          <w:rFonts w:hint="eastAsia" w:ascii="仿宋_GB2312" w:eastAsia="仿宋_GB2312"/>
          <w:color w:val="000000" w:themeColor="text1"/>
        </w:rPr>
        <w:t>无理由怀疑其合法性、真实性、准确性和完整性的情况下，假设厉害关系人提供的资料是合法、真实、准确和完整的。</w:t>
      </w:r>
    </w:p>
    <w:p>
      <w:pPr>
        <w:spacing w:line="360" w:lineRule="auto"/>
        <w:rPr>
          <w:rFonts w:ascii="仿宋_GB2312" w:eastAsia="仿宋_GB2312"/>
          <w:color w:val="000000" w:themeColor="text1"/>
        </w:rPr>
      </w:pPr>
      <w:r>
        <w:rPr>
          <w:rFonts w:hint="eastAsia" w:ascii="仿宋_GB2312" w:eastAsia="仿宋_GB2312"/>
          <w:color w:val="000000" w:themeColor="text1"/>
        </w:rPr>
        <w:t xml:space="preserve">    （2）价值时点的房地产市场是公开、公平、自愿的均衡市场。公开市场是指在该市场上交易双方进行交易的目的在于最大限度的追求经济利益，并掌握必要的市场信息，有较充裕的时间进行交易，对交易对象有必要的专业知识，交易条件公开且不具排他性。交易双方都具有完全市场信息，对交易对象具有必要的专业知识，不考虑特殊买家的附加出价。</w:t>
      </w:r>
    </w:p>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rPr>
        <w:t>（3）估</w:t>
      </w:r>
      <w:r>
        <w:rPr>
          <w:rFonts w:hint="eastAsia" w:ascii="仿宋_GB2312" w:eastAsia="仿宋_GB2312"/>
          <w:color w:val="auto"/>
        </w:rPr>
        <w:t>价对象保持现状用途（与设计用途、登记用途一致）——</w:t>
      </w:r>
      <w:r>
        <w:rPr>
          <w:rFonts w:hint="eastAsia" w:ascii="仿宋_GB2312" w:eastAsia="仿宋_GB2312"/>
          <w:color w:val="auto"/>
          <w:lang w:eastAsia="zh-CN"/>
        </w:rPr>
        <w:t>商业、</w:t>
      </w:r>
      <w:r>
        <w:rPr>
          <w:rFonts w:hint="eastAsia" w:ascii="仿宋_GB2312" w:eastAsia="仿宋_GB2312"/>
          <w:color w:val="auto"/>
          <w:lang w:val="en-US" w:eastAsia="zh-CN"/>
        </w:rPr>
        <w:t>住宅</w:t>
      </w:r>
      <w:r>
        <w:rPr>
          <w:rFonts w:hint="eastAsia" w:ascii="仿宋_GB2312" w:eastAsia="仿宋_GB2312"/>
          <w:color w:val="auto"/>
        </w:rPr>
        <w:t>用途继续使用</w:t>
      </w:r>
      <w:r>
        <w:rPr>
          <w:rFonts w:hint="eastAsia" w:ascii="仿宋_GB2312" w:eastAsia="仿宋_GB2312"/>
          <w:color w:val="auto"/>
          <w:lang w:eastAsia="zh-CN"/>
        </w:rPr>
        <w:t>，</w:t>
      </w:r>
      <w:r>
        <w:rPr>
          <w:rFonts w:hint="eastAsia" w:ascii="仿宋_GB2312" w:eastAsia="仿宋_GB2312"/>
          <w:color w:val="auto"/>
          <w:lang w:val="en-US" w:eastAsia="zh-CN"/>
        </w:rPr>
        <w:t>估价对象1建筑面积为668.05平方米，剩余使用年期为</w:t>
      </w:r>
      <w:r>
        <w:rPr>
          <w:rStyle w:val="28"/>
          <w:rFonts w:hint="eastAsia" w:eastAsia="仿宋_GB2312"/>
          <w:color w:val="auto"/>
          <w:szCs w:val="22"/>
          <w:lang w:val="en-US" w:eastAsia="zh-CN"/>
        </w:rPr>
        <w:t>33.39年，估价对象2建筑面积为497.29平方米，剩余使用年期为63.39年，估价对象3为在建工程，根据自贡市城市建设档案馆提供的《面积测绘成果》确定估价对象3的建筑面积为5403.7平方米，用途为住宅，剩余使用年期为63.39年</w:t>
      </w:r>
      <w:r>
        <w:rPr>
          <w:rFonts w:hint="eastAsia" w:ascii="仿宋_GB2312" w:eastAsia="仿宋_GB2312"/>
          <w:color w:val="auto"/>
        </w:rPr>
        <w:t>。</w:t>
      </w:r>
    </w:p>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rPr>
        <w:t>（4）在价值时点，注册房地产估价师对估价对象的现场查勘仅限于其外观和使用状况，对房屋安全、环境污染等因素进行给予了关注，注册房地产估价师无法对估价对象的隐蔽工程(地基、电气管线、供水管线等覆盖、掩盖工程）、建筑结构质量等进行专业检测。在无理由怀疑其存在安全隐患且无相应的专业机构进行鉴定、检测的情况下，本次估价以估价对象无质量缺陷、无环境污染为估价前提。</w:t>
      </w:r>
    </w:p>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rPr>
        <w:t>（5）房屋所有权人对估价对象拥有合法的占有权、使用权、收益权和处分权。本估价报告假设估价对象的处置不受可能影响其价值的债权限制和负有法律义务性质的开支所约束。</w:t>
      </w:r>
    </w:p>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rPr>
        <w:t>（6）本次估价是以估价对象当前状态，于价值时点当时市场状况下形成的客观合理价格为前提；在价值时点后，估价报告使用期限状况内，估价对象质量、使用功能布局、基础设施配套以及房地产市场等发生变化，均会对估价结果产生一定影响。如果对估价对象价值产生明显影响时，应对本估价结果进行必要的调整。</w:t>
      </w:r>
    </w:p>
    <w:p>
      <w:pPr>
        <w:spacing w:line="360" w:lineRule="auto"/>
        <w:ind w:firstLine="560" w:firstLineChars="200"/>
        <w:rPr>
          <w:rFonts w:ascii="仿宋_GB2312" w:eastAsia="仿宋_GB2312"/>
          <w:color w:val="000000" w:themeColor="text1"/>
        </w:rPr>
      </w:pPr>
      <w:bookmarkStart w:id="46" w:name="OLE_LINK15"/>
      <w:r>
        <w:rPr>
          <w:rFonts w:hint="eastAsia" w:ascii="仿宋_GB2312" w:eastAsia="仿宋_GB2312"/>
          <w:color w:val="000000" w:themeColor="text1"/>
        </w:rPr>
        <w:t>2、未定事项假设</w:t>
      </w:r>
    </w:p>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lang w:eastAsia="zh-CN"/>
        </w:rPr>
        <w:t>无</w:t>
      </w:r>
      <w:r>
        <w:rPr>
          <w:rFonts w:hint="eastAsia" w:ascii="仿宋_GB2312" w:eastAsia="仿宋_GB2312"/>
          <w:color w:val="000000" w:themeColor="text1"/>
        </w:rPr>
        <w:t>。</w:t>
      </w:r>
    </w:p>
    <w:bookmarkEnd w:id="46"/>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rPr>
        <w:t>3、背离实际情况假设</w:t>
      </w:r>
    </w:p>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lang w:eastAsia="zh-CN"/>
        </w:rPr>
        <w:t>无</w:t>
      </w:r>
      <w:r>
        <w:rPr>
          <w:rFonts w:hint="eastAsia" w:ascii="仿宋_GB2312" w:eastAsia="仿宋_GB2312"/>
          <w:color w:val="000000" w:themeColor="text1"/>
        </w:rPr>
        <w:t>。</w:t>
      </w:r>
    </w:p>
    <w:p>
      <w:pPr>
        <w:numPr>
          <w:ilvl w:val="0"/>
          <w:numId w:val="5"/>
        </w:numPr>
        <w:spacing w:line="360" w:lineRule="auto"/>
        <w:ind w:firstLine="560" w:firstLineChars="200"/>
        <w:rPr>
          <w:rFonts w:ascii="仿宋_GB2312" w:eastAsia="仿宋_GB2312"/>
          <w:color w:val="000000" w:themeColor="text1"/>
        </w:rPr>
      </w:pPr>
      <w:bookmarkStart w:id="47" w:name="OLE_LINK34"/>
      <w:r>
        <w:rPr>
          <w:rFonts w:hint="eastAsia" w:ascii="仿宋_GB2312" w:eastAsia="仿宋_GB2312"/>
          <w:color w:val="000000" w:themeColor="text1"/>
        </w:rPr>
        <w:t>不相一致假设</w:t>
      </w:r>
      <w:bookmarkEnd w:id="47"/>
    </w:p>
    <w:p>
      <w:pPr>
        <w:numPr>
          <w:ilvl w:val="0"/>
          <w:numId w:val="0"/>
        </w:num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lang w:eastAsia="zh-CN"/>
        </w:rPr>
        <w:t>本次估价，在价值时点，估价对象</w:t>
      </w:r>
      <w:r>
        <w:rPr>
          <w:rFonts w:hint="eastAsia" w:ascii="仿宋_GB2312" w:eastAsia="仿宋_GB2312"/>
          <w:color w:val="000000" w:themeColor="text1"/>
          <w:lang w:val="en-US" w:eastAsia="zh-CN"/>
        </w:rPr>
        <w:t>1地址已发生改变，但根据四川省成都市中级人民法院出具的《通知书》中内容，设定估价对象1地址不变，与查档资料中所记载地址保持一致。</w:t>
      </w:r>
    </w:p>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rPr>
        <w:t>5、依据不足假设</w:t>
      </w:r>
    </w:p>
    <w:p>
      <w:pPr>
        <w:spacing w:line="360" w:lineRule="auto"/>
        <w:ind w:firstLine="560" w:firstLineChars="200"/>
        <w:rPr>
          <w:rFonts w:hint="eastAsia" w:ascii="仿宋_GB2312" w:eastAsia="仿宋_GB2312"/>
          <w:color w:val="000000" w:themeColor="text1"/>
        </w:rPr>
      </w:pPr>
      <w:bookmarkStart w:id="48" w:name="_Toc15344"/>
      <w:bookmarkStart w:id="49" w:name="_Toc464560858"/>
      <w:bookmarkStart w:id="50" w:name="_Toc23566"/>
      <w:r>
        <w:rPr>
          <w:rFonts w:hint="eastAsia" w:ascii="仿宋_GB2312" w:eastAsia="仿宋_GB2312"/>
          <w:color w:val="000000" w:themeColor="text1"/>
          <w:lang w:eastAsia="zh-CN"/>
        </w:rPr>
        <w:t>无</w:t>
      </w:r>
      <w:r>
        <w:rPr>
          <w:rFonts w:hint="eastAsia" w:ascii="仿宋_GB2312" w:eastAsia="仿宋_GB2312"/>
          <w:color w:val="000000" w:themeColor="text1"/>
        </w:rPr>
        <w:t>。</w:t>
      </w:r>
    </w:p>
    <w:p>
      <w:pPr>
        <w:pStyle w:val="3"/>
        <w:spacing w:before="0" w:after="0" w:line="560" w:lineRule="exact"/>
        <w:ind w:firstLine="560" w:firstLineChars="200"/>
        <w:rPr>
          <w:rFonts w:hint="eastAsia"/>
          <w:color w:val="000000" w:themeColor="text1"/>
        </w:rPr>
      </w:pPr>
      <w:bookmarkStart w:id="51" w:name="_Toc32142"/>
      <w:r>
        <w:rPr>
          <w:rFonts w:hint="eastAsia" w:ascii="仿宋_GB2312" w:eastAsia="仿宋_GB2312"/>
          <w:b w:val="0"/>
          <w:color w:val="000000" w:themeColor="text1"/>
          <w:sz w:val="28"/>
          <w:szCs w:val="28"/>
        </w:rPr>
        <w:t>（二）</w:t>
      </w:r>
      <w:r>
        <w:rPr>
          <w:rFonts w:hint="eastAsia" w:ascii="仿宋_GB2312" w:hAnsi="Times New Roman" w:eastAsia="仿宋_GB2312" w:cs="Times New Roman"/>
          <w:color w:val="000000" w:themeColor="text1"/>
          <w:kern w:val="2"/>
          <w:sz w:val="28"/>
          <w:szCs w:val="22"/>
          <w:lang w:val="en-US" w:eastAsia="zh-CN" w:bidi="ar-SA"/>
        </w:rPr>
        <w:t>估价中未考虑的因素及其他特别说明</w:t>
      </w:r>
      <w:bookmarkEnd w:id="51"/>
    </w:p>
    <w:p>
      <w:pPr>
        <w:pStyle w:val="5"/>
        <w:ind w:firstLine="560" w:firstLineChars="200"/>
        <w:rPr>
          <w:rFonts w:hint="eastAsia" w:ascii="仿宋_GB2312" w:hAnsi="Times New Roman" w:eastAsia="仿宋_GB2312" w:cs="Times New Roman"/>
          <w:color w:val="000000" w:themeColor="text1"/>
          <w:kern w:val="2"/>
          <w:sz w:val="28"/>
          <w:szCs w:val="22"/>
          <w:lang w:val="en-US" w:eastAsia="zh-CN" w:bidi="ar-SA"/>
        </w:rPr>
      </w:pPr>
      <w:r>
        <w:rPr>
          <w:rFonts w:hint="eastAsia" w:ascii="仿宋_GB2312" w:eastAsia="仿宋_GB2312" w:cs="Times New Roman"/>
          <w:color w:val="000000" w:themeColor="text1"/>
          <w:kern w:val="2"/>
          <w:sz w:val="28"/>
          <w:szCs w:val="22"/>
          <w:lang w:val="en-US" w:eastAsia="zh-CN" w:bidi="ar-SA"/>
        </w:rPr>
        <w:t>1、</w:t>
      </w:r>
      <w:r>
        <w:rPr>
          <w:rFonts w:hint="eastAsia" w:ascii="仿宋_GB2312" w:hAnsi="Times New Roman" w:eastAsia="仿宋_GB2312" w:cs="Times New Roman"/>
          <w:color w:val="000000" w:themeColor="text1"/>
          <w:kern w:val="2"/>
          <w:sz w:val="28"/>
          <w:szCs w:val="22"/>
          <w:lang w:val="en-US" w:eastAsia="zh-CN" w:bidi="ar-SA"/>
        </w:rPr>
        <w:t>估价结果是反映估价对象在本报告目的下的市场价值参考，估价时没有考虑国家宏观经济政策发生变化、市场供应关系变化、市场结构转变、遇有自然力和其他不可抗力等因素对房地产价值的影响</w:t>
      </w:r>
      <w:r>
        <w:rPr>
          <w:rFonts w:hint="eastAsia" w:ascii="仿宋_GB2312" w:eastAsia="仿宋_GB2312" w:cs="Times New Roman"/>
          <w:color w:val="000000" w:themeColor="text1"/>
          <w:kern w:val="2"/>
          <w:sz w:val="28"/>
          <w:szCs w:val="22"/>
          <w:lang w:val="en-US" w:eastAsia="zh-CN" w:bidi="ar-SA"/>
        </w:rPr>
        <w:t>，</w:t>
      </w:r>
      <w:r>
        <w:rPr>
          <w:rFonts w:hint="eastAsia" w:ascii="仿宋_GB2312" w:hAnsi="Times New Roman" w:eastAsia="仿宋_GB2312" w:cs="Times New Roman"/>
          <w:color w:val="000000" w:themeColor="text1"/>
          <w:kern w:val="2"/>
          <w:sz w:val="28"/>
          <w:szCs w:val="22"/>
          <w:lang w:val="en-US" w:eastAsia="zh-CN" w:bidi="ar-SA"/>
        </w:rPr>
        <w:t>没有考虑估价对象将来可能强制短期变卖</w:t>
      </w:r>
      <w:r>
        <w:rPr>
          <w:rFonts w:hint="eastAsia" w:ascii="仿宋_GB2312" w:eastAsia="仿宋_GB2312" w:cs="Times New Roman"/>
          <w:color w:val="000000" w:themeColor="text1"/>
          <w:kern w:val="2"/>
          <w:sz w:val="28"/>
          <w:szCs w:val="22"/>
          <w:lang w:val="en-US" w:eastAsia="zh-CN" w:bidi="ar-SA"/>
        </w:rPr>
        <w:t>等</w:t>
      </w:r>
      <w:r>
        <w:rPr>
          <w:rFonts w:hint="eastAsia" w:ascii="仿宋_GB2312" w:hAnsi="Times New Roman" w:eastAsia="仿宋_GB2312" w:cs="Times New Roman"/>
          <w:color w:val="000000" w:themeColor="text1"/>
          <w:kern w:val="2"/>
          <w:sz w:val="28"/>
          <w:szCs w:val="22"/>
          <w:lang w:val="en-US" w:eastAsia="zh-CN" w:bidi="ar-SA"/>
        </w:rPr>
        <w:t>特殊交易方式下的特殊交易价格等对评估价值的影响</w:t>
      </w:r>
      <w:r>
        <w:rPr>
          <w:rFonts w:hint="eastAsia" w:ascii="仿宋_GB2312" w:eastAsia="仿宋_GB2312" w:cs="Times New Roman"/>
          <w:color w:val="000000" w:themeColor="text1"/>
          <w:kern w:val="2"/>
          <w:sz w:val="28"/>
          <w:szCs w:val="22"/>
          <w:lang w:val="en-US" w:eastAsia="zh-CN" w:bidi="ar-SA"/>
        </w:rPr>
        <w:t>，</w:t>
      </w:r>
      <w:r>
        <w:rPr>
          <w:rFonts w:hint="eastAsia" w:ascii="仿宋" w:hAnsi="仿宋" w:eastAsia="仿宋" w:cs="仿宋"/>
          <w:color w:val="auto"/>
          <w:szCs w:val="22"/>
          <w:lang w:val="en-US" w:eastAsia="zh-CN"/>
        </w:rPr>
        <w:t>也没有考虑估价对象处置（拍卖、变卖等）时发生的交易税费、转让手续费等对估价结果的影响</w:t>
      </w:r>
      <w:r>
        <w:rPr>
          <w:rFonts w:hint="eastAsia" w:ascii="仿宋_GB2312" w:hAnsi="Times New Roman" w:eastAsia="仿宋_GB2312" w:cs="Times New Roman"/>
          <w:color w:val="000000" w:themeColor="text1"/>
          <w:kern w:val="2"/>
          <w:sz w:val="28"/>
          <w:szCs w:val="22"/>
          <w:lang w:val="en-US" w:eastAsia="zh-CN" w:bidi="ar-SA"/>
        </w:rPr>
        <w:t>。当上述条件发生变化时，估价结果一般亦会发生变化。</w:t>
      </w:r>
    </w:p>
    <w:p>
      <w:pPr>
        <w:pStyle w:val="48"/>
        <w:numPr>
          <w:ilvl w:val="0"/>
          <w:numId w:val="0"/>
        </w:numPr>
        <w:ind w:leftChars="0" w:firstLine="560" w:firstLineChars="200"/>
        <w:rPr>
          <w:rFonts w:hint="eastAsia" w:ascii="仿宋_GB2312" w:hAnsi="Times New Roman" w:eastAsia="仿宋_GB2312" w:cs="Times New Roman"/>
          <w:color w:val="000000" w:themeColor="text1"/>
          <w:kern w:val="2"/>
          <w:sz w:val="28"/>
          <w:szCs w:val="22"/>
          <w:lang w:val="en-US" w:eastAsia="zh-CN" w:bidi="ar-SA"/>
        </w:rPr>
      </w:pPr>
      <w:r>
        <w:rPr>
          <w:rFonts w:hint="eastAsia" w:ascii="仿宋_GB2312" w:eastAsia="仿宋_GB2312" w:cs="Times New Roman"/>
          <w:color w:val="000000" w:themeColor="text1"/>
          <w:kern w:val="2"/>
          <w:sz w:val="28"/>
          <w:szCs w:val="22"/>
          <w:lang w:val="en-US" w:eastAsia="zh-CN" w:bidi="ar-SA"/>
        </w:rPr>
        <w:t>2、</w:t>
      </w:r>
      <w:r>
        <w:rPr>
          <w:rFonts w:hint="eastAsia" w:ascii="仿宋_GB2312" w:hAnsi="Times New Roman" w:eastAsia="仿宋_GB2312" w:cs="Times New Roman"/>
          <w:color w:val="000000" w:themeColor="text1"/>
          <w:kern w:val="2"/>
          <w:sz w:val="28"/>
          <w:szCs w:val="22"/>
          <w:lang w:val="en-US" w:eastAsia="zh-CN" w:bidi="ar-SA"/>
        </w:rPr>
        <w:t>本报告估价结果是在公开市场前提下求取的房地产市场价值，未考虑快速变现等处分方式带来的影响。</w:t>
      </w:r>
    </w:p>
    <w:p>
      <w:pPr>
        <w:pStyle w:val="48"/>
        <w:numPr>
          <w:ilvl w:val="0"/>
          <w:numId w:val="0"/>
        </w:numPr>
        <w:ind w:leftChars="0" w:firstLine="560" w:firstLineChars="200"/>
        <w:rPr>
          <w:rFonts w:hint="eastAsia" w:ascii="仿宋_GB2312" w:hAnsi="Times New Roman" w:eastAsia="仿宋_GB2312" w:cs="Times New Roman"/>
          <w:color w:val="000000" w:themeColor="text1"/>
          <w:kern w:val="2"/>
          <w:sz w:val="28"/>
          <w:szCs w:val="22"/>
          <w:lang w:val="en-US" w:eastAsia="zh-CN" w:bidi="ar-SA"/>
        </w:rPr>
      </w:pPr>
      <w:r>
        <w:rPr>
          <w:rFonts w:hint="eastAsia" w:ascii="仿宋_GB2312" w:eastAsia="仿宋_GB2312" w:cs="Times New Roman"/>
          <w:color w:val="000000" w:themeColor="text1"/>
          <w:kern w:val="2"/>
          <w:sz w:val="28"/>
          <w:szCs w:val="22"/>
          <w:lang w:val="en-US" w:eastAsia="zh-CN" w:bidi="ar-SA"/>
        </w:rPr>
        <w:t>3、</w:t>
      </w:r>
      <w:r>
        <w:rPr>
          <w:rFonts w:hint="eastAsia" w:ascii="仿宋_GB2312" w:hAnsi="Times New Roman" w:eastAsia="仿宋_GB2312" w:cs="Times New Roman"/>
          <w:color w:val="000000" w:themeColor="text1"/>
          <w:kern w:val="2"/>
          <w:sz w:val="28"/>
          <w:szCs w:val="22"/>
          <w:lang w:val="en-US" w:eastAsia="zh-CN" w:bidi="ar-SA"/>
        </w:rPr>
        <w:t>估价结果未考虑未来处置风险。</w:t>
      </w:r>
    </w:p>
    <w:p>
      <w:pPr>
        <w:pStyle w:val="48"/>
        <w:numPr>
          <w:ilvl w:val="0"/>
          <w:numId w:val="0"/>
        </w:numPr>
        <w:ind w:leftChars="0" w:firstLine="560" w:firstLineChars="200"/>
        <w:rPr>
          <w:rFonts w:hint="eastAsia" w:ascii="仿宋_GB2312" w:hAnsi="Times New Roman" w:eastAsia="仿宋_GB2312" w:cs="Times New Roman"/>
          <w:color w:val="000000" w:themeColor="text1"/>
          <w:kern w:val="2"/>
          <w:sz w:val="28"/>
          <w:szCs w:val="22"/>
          <w:lang w:val="en-US" w:eastAsia="zh-CN" w:bidi="ar-SA"/>
        </w:rPr>
      </w:pPr>
      <w:r>
        <w:rPr>
          <w:rFonts w:hint="eastAsia" w:ascii="仿宋_GB2312" w:eastAsia="仿宋_GB2312" w:cs="Times New Roman"/>
          <w:color w:val="000000" w:themeColor="text1"/>
          <w:kern w:val="2"/>
          <w:sz w:val="28"/>
          <w:szCs w:val="22"/>
          <w:lang w:val="en-US" w:eastAsia="zh-CN" w:bidi="ar-SA"/>
        </w:rPr>
        <w:t>4、</w:t>
      </w:r>
      <w:r>
        <w:rPr>
          <w:rFonts w:hint="eastAsia" w:ascii="仿宋_GB2312" w:hAnsi="Times New Roman" w:eastAsia="仿宋_GB2312" w:cs="Times New Roman"/>
          <w:color w:val="000000" w:themeColor="text1"/>
          <w:kern w:val="2"/>
          <w:sz w:val="28"/>
          <w:szCs w:val="22"/>
          <w:lang w:val="en-US" w:eastAsia="zh-CN" w:bidi="ar-SA"/>
        </w:rPr>
        <w:t>本次估价我们未考虑估价对象可能存在的物业管理费、水电费等影响其价值的因素限制。</w:t>
      </w:r>
    </w:p>
    <w:p>
      <w:pPr>
        <w:pStyle w:val="3"/>
        <w:spacing w:before="0" w:after="0" w:line="560" w:lineRule="exact"/>
        <w:ind w:firstLine="560" w:firstLineChars="200"/>
        <w:rPr>
          <w:rFonts w:ascii="仿宋_GB2312" w:eastAsia="仿宋_GB2312"/>
          <w:b w:val="0"/>
          <w:color w:val="000000" w:themeColor="text1"/>
          <w:sz w:val="28"/>
          <w:szCs w:val="28"/>
        </w:rPr>
      </w:pPr>
      <w:bookmarkStart w:id="52" w:name="_Toc18896"/>
      <w:r>
        <w:rPr>
          <w:rFonts w:hint="eastAsia" w:ascii="仿宋_GB2312" w:eastAsia="仿宋_GB2312"/>
          <w:b w:val="0"/>
          <w:color w:val="000000" w:themeColor="text1"/>
          <w:sz w:val="28"/>
          <w:szCs w:val="28"/>
        </w:rPr>
        <w:t>（</w:t>
      </w:r>
      <w:r>
        <w:rPr>
          <w:rFonts w:hint="eastAsia" w:ascii="仿宋_GB2312" w:eastAsia="仿宋_GB2312"/>
          <w:b w:val="0"/>
          <w:color w:val="000000" w:themeColor="text1"/>
          <w:sz w:val="28"/>
          <w:szCs w:val="28"/>
          <w:lang w:val="en-US" w:eastAsia="zh-CN"/>
        </w:rPr>
        <w:t>三</w:t>
      </w:r>
      <w:r>
        <w:rPr>
          <w:rFonts w:hint="eastAsia" w:ascii="仿宋_GB2312" w:eastAsia="仿宋_GB2312"/>
          <w:b w:val="0"/>
          <w:color w:val="000000" w:themeColor="text1"/>
          <w:sz w:val="28"/>
          <w:szCs w:val="28"/>
        </w:rPr>
        <w:t>）估价报告使用的限制条件</w:t>
      </w:r>
      <w:bookmarkEnd w:id="48"/>
      <w:bookmarkEnd w:id="49"/>
      <w:bookmarkEnd w:id="50"/>
      <w:bookmarkEnd w:id="52"/>
    </w:p>
    <w:p>
      <w:pPr>
        <w:spacing w:line="560" w:lineRule="exact"/>
        <w:ind w:firstLine="560"/>
        <w:rPr>
          <w:rFonts w:ascii="仿宋_GB2312" w:eastAsia="仿宋_GB2312"/>
          <w:color w:val="000000" w:themeColor="text1"/>
        </w:rPr>
      </w:pPr>
      <w:r>
        <w:rPr>
          <w:rFonts w:hint="eastAsia" w:ascii="仿宋_GB2312" w:eastAsia="仿宋_GB2312"/>
          <w:color w:val="000000" w:themeColor="text1"/>
        </w:rPr>
        <w:t>1、本估价报告不能作为确定估价对象权属和面积的依据。</w:t>
      </w:r>
    </w:p>
    <w:p>
      <w:pPr>
        <w:spacing w:line="560" w:lineRule="exact"/>
        <w:ind w:firstLine="560"/>
        <w:rPr>
          <w:rFonts w:ascii="仿宋_GB2312" w:eastAsia="仿宋_GB2312"/>
          <w:color w:val="000000" w:themeColor="text1"/>
        </w:rPr>
      </w:pPr>
      <w:r>
        <w:rPr>
          <w:rFonts w:hint="eastAsia" w:ascii="仿宋_GB2312" w:eastAsia="仿宋_GB2312"/>
          <w:color w:val="000000" w:themeColor="text1"/>
        </w:rPr>
        <w:t>2、估价委托人提供的资料和陈述的情况直接影响我们的估价分析和结论，因此估价委托人应对提供资料和陈述情况的合法性、真实性、完整性及其引起的法律后果负责；注册房地产估价师对所收集资料的真实性、准确性负责。房地产估价机构对估价结果的公正性、准确性负责。因估价委托人提供的资料和陈述的情况失实造成估价结果有误的，房地产估价机构和注册房地产估价师不承担相应责任。</w:t>
      </w:r>
    </w:p>
    <w:p>
      <w:pPr>
        <w:spacing w:line="600" w:lineRule="exact"/>
        <w:ind w:firstLine="560"/>
        <w:rPr>
          <w:rFonts w:ascii="仿宋_GB2312" w:eastAsia="仿宋_GB2312"/>
          <w:color w:val="000000" w:themeColor="text1"/>
        </w:rPr>
      </w:pPr>
      <w:r>
        <w:rPr>
          <w:rFonts w:hint="eastAsia" w:ascii="仿宋_GB2312" w:eastAsia="仿宋_GB2312"/>
          <w:color w:val="000000" w:themeColor="text1"/>
        </w:rPr>
        <w:t>3、本估价报告中，未考虑未来房地产市场变化风险、短期强制处分、房地产变现的不确定性和变现费用、房屋转让时应缴纳的有关税费等因素对估价对象价值的影响。</w:t>
      </w:r>
    </w:p>
    <w:p>
      <w:pPr>
        <w:spacing w:line="600" w:lineRule="exact"/>
        <w:ind w:firstLine="560"/>
        <w:rPr>
          <w:rFonts w:ascii="仿宋_GB2312" w:eastAsia="仿宋_GB2312"/>
          <w:color w:val="000000" w:themeColor="text1"/>
        </w:rPr>
      </w:pPr>
      <w:r>
        <w:rPr>
          <w:rFonts w:hint="eastAsia" w:ascii="仿宋_GB2312" w:eastAsia="仿宋_GB2312"/>
          <w:color w:val="000000" w:themeColor="text1"/>
        </w:rPr>
        <w:t>4、本估价报告必须完整使用方为有效。本估价结果包括地上房屋及其附属设施设备、不可移动的装饰装修，应分摊的土地使用权价值，若该土地使用权和附属的设施设备与房屋分割处置，本估价结果无效。</w:t>
      </w:r>
    </w:p>
    <w:p>
      <w:pPr>
        <w:spacing w:line="600" w:lineRule="exact"/>
        <w:ind w:firstLine="560"/>
        <w:rPr>
          <w:rStyle w:val="28"/>
          <w:color w:val="000000" w:themeColor="text1"/>
        </w:rPr>
      </w:pPr>
      <w:r>
        <w:rPr>
          <w:rFonts w:hint="eastAsia" w:ascii="仿宋_GB2312" w:eastAsia="仿宋_GB2312"/>
          <w:color w:val="000000" w:themeColor="text1"/>
        </w:rPr>
        <w:t>5、</w:t>
      </w:r>
      <w:r>
        <w:rPr>
          <w:rStyle w:val="28"/>
          <w:color w:val="000000" w:themeColor="text1"/>
        </w:rPr>
        <w:t>本估价报告自</w:t>
      </w:r>
      <w:r>
        <w:rPr>
          <w:rStyle w:val="28"/>
          <w:rFonts w:hint="eastAsia"/>
          <w:color w:val="000000" w:themeColor="text1"/>
        </w:rPr>
        <w:t>出具之日（</w:t>
      </w:r>
      <w:r>
        <w:rPr>
          <w:rFonts w:hint="eastAsia" w:ascii="仿宋_GB2312" w:eastAsia="仿宋_GB2312"/>
          <w:color w:val="000000" w:themeColor="text1"/>
          <w:lang w:eastAsia="zh-CN"/>
        </w:rPr>
        <w:t>2021年9月22日</w:t>
      </w:r>
      <w:r>
        <w:rPr>
          <w:rStyle w:val="28"/>
          <w:rFonts w:hint="eastAsia"/>
          <w:color w:val="000000" w:themeColor="text1"/>
        </w:rPr>
        <w:t>）</w:t>
      </w:r>
      <w:r>
        <w:rPr>
          <w:rStyle w:val="28"/>
          <w:color w:val="000000" w:themeColor="text1"/>
        </w:rPr>
        <w:t>起壹年内有效，</w:t>
      </w:r>
      <w:r>
        <w:rPr>
          <w:rStyle w:val="28"/>
          <w:rFonts w:hint="eastAsia"/>
          <w:color w:val="000000" w:themeColor="text1"/>
        </w:rPr>
        <w:t>超出</w:t>
      </w:r>
      <w:bookmarkStart w:id="53" w:name="OLE_LINK6"/>
      <w:r>
        <w:rPr>
          <w:rStyle w:val="28"/>
          <w:rFonts w:hint="eastAsia"/>
          <w:color w:val="000000" w:themeColor="text1"/>
        </w:rPr>
        <w:t>报告</w:t>
      </w:r>
      <w:bookmarkEnd w:id="53"/>
      <w:r>
        <w:rPr>
          <w:rStyle w:val="28"/>
          <w:rFonts w:hint="eastAsia"/>
          <w:color w:val="000000" w:themeColor="text1"/>
        </w:rPr>
        <w:t>有效使用期</w:t>
      </w:r>
      <w:r>
        <w:rPr>
          <w:rStyle w:val="28"/>
          <w:color w:val="000000" w:themeColor="text1"/>
        </w:rPr>
        <w:t>或者</w:t>
      </w:r>
      <w:r>
        <w:rPr>
          <w:rStyle w:val="28"/>
          <w:rFonts w:hint="eastAsia"/>
          <w:color w:val="000000" w:themeColor="text1"/>
        </w:rPr>
        <w:t>在</w:t>
      </w:r>
      <w:r>
        <w:rPr>
          <w:rStyle w:val="28"/>
          <w:color w:val="000000" w:themeColor="text1"/>
        </w:rPr>
        <w:t>估价</w:t>
      </w:r>
      <w:r>
        <w:rPr>
          <w:rStyle w:val="28"/>
          <w:rFonts w:hint="eastAsia"/>
          <w:color w:val="000000" w:themeColor="text1"/>
        </w:rPr>
        <w:t>报告有效使用期限内</w:t>
      </w:r>
      <w:r>
        <w:rPr>
          <w:rStyle w:val="28"/>
          <w:color w:val="000000" w:themeColor="text1"/>
        </w:rPr>
        <w:t>房地产市场价格波动较大时，其估价结果应作相应的调整或重新进行估价</w:t>
      </w:r>
      <w:r>
        <w:rPr>
          <w:rStyle w:val="28"/>
          <w:rFonts w:hint="eastAsia"/>
          <w:color w:val="000000" w:themeColor="text1"/>
        </w:rPr>
        <w:t>。</w:t>
      </w:r>
    </w:p>
    <w:p>
      <w:pPr>
        <w:spacing w:line="600" w:lineRule="exact"/>
        <w:ind w:firstLine="560"/>
        <w:rPr>
          <w:rFonts w:ascii="仿宋_GB2312" w:eastAsia="仿宋_GB2312"/>
          <w:color w:val="000000" w:themeColor="text1"/>
        </w:rPr>
      </w:pPr>
      <w:r>
        <w:rPr>
          <w:rFonts w:hint="eastAsia" w:ascii="仿宋_GB2312" w:eastAsia="仿宋_GB2312"/>
          <w:color w:val="000000" w:themeColor="text1"/>
        </w:rPr>
        <w:t>6、本</w:t>
      </w:r>
      <w:r>
        <w:rPr>
          <w:rStyle w:val="28"/>
          <w:color w:val="000000" w:themeColor="text1"/>
        </w:rPr>
        <w:t>估价</w:t>
      </w:r>
      <w:r>
        <w:rPr>
          <w:rFonts w:hint="eastAsia" w:ascii="仿宋_GB2312" w:eastAsia="仿宋_GB2312"/>
          <w:color w:val="000000" w:themeColor="text1"/>
        </w:rPr>
        <w:t>报告有效使用期限内，为确定之估价目的服务，不得用于其他目的。未经房地产估价机构同意，本</w:t>
      </w:r>
      <w:r>
        <w:rPr>
          <w:rStyle w:val="28"/>
          <w:color w:val="000000" w:themeColor="text1"/>
        </w:rPr>
        <w:t>估价</w:t>
      </w:r>
      <w:r>
        <w:rPr>
          <w:rFonts w:hint="eastAsia" w:ascii="仿宋_GB2312" w:eastAsia="仿宋_GB2312"/>
          <w:color w:val="000000" w:themeColor="text1"/>
        </w:rPr>
        <w:t>报告的全部内容或部分内容不得向估价委托人和估价报告审查部门之外的单位和个人提供，也不得发表于任何公开媒体。</w:t>
      </w:r>
    </w:p>
    <w:p>
      <w:pPr>
        <w:spacing w:line="600" w:lineRule="exact"/>
        <w:ind w:firstLine="560"/>
        <w:rPr>
          <w:rFonts w:ascii="仿宋_GB2312" w:eastAsia="仿宋_GB2312"/>
          <w:color w:val="000000" w:themeColor="text1"/>
        </w:rPr>
      </w:pPr>
      <w:r>
        <w:rPr>
          <w:rFonts w:hint="eastAsia" w:ascii="仿宋_GB2312" w:eastAsia="仿宋_GB2312"/>
          <w:color w:val="000000" w:themeColor="text1"/>
        </w:rPr>
        <w:t>7、本</w:t>
      </w:r>
      <w:r>
        <w:rPr>
          <w:rStyle w:val="28"/>
          <w:color w:val="000000" w:themeColor="text1"/>
        </w:rPr>
        <w:t>估价</w:t>
      </w:r>
      <w:r>
        <w:rPr>
          <w:rFonts w:hint="eastAsia" w:ascii="仿宋_GB2312" w:eastAsia="仿宋_GB2312"/>
          <w:color w:val="000000" w:themeColor="text1"/>
        </w:rPr>
        <w:t>报告应与估价对象的合法权证一并使用方才有效，房地产估价机构仅对正确使用本估价报告者负责。</w:t>
      </w:r>
    </w:p>
    <w:p>
      <w:pPr>
        <w:spacing w:line="600" w:lineRule="exact"/>
        <w:ind w:firstLine="560"/>
        <w:rPr>
          <w:rFonts w:ascii="仿宋_GB2312" w:eastAsia="仿宋_GB2312"/>
          <w:color w:val="000000" w:themeColor="text1"/>
        </w:rPr>
      </w:pPr>
      <w:r>
        <w:rPr>
          <w:rFonts w:hint="eastAsia" w:ascii="仿宋_GB2312" w:eastAsia="仿宋_GB2312"/>
          <w:color w:val="000000" w:themeColor="text1"/>
        </w:rPr>
        <w:t>8、本估价报告由“致估价委托人函”、“估价师声明”、“估价假设和限制条件”、“估价结果报告”和“附件”构成完整的估价报告。报告使用者应严格按照本估价报告全部完整地应用，我们不对任何割裂使用的应用行为负责。否则由此引起的后果与本房地产估价机构和注册房地产估价师无关。本估价报告法定代表人签字，至少两名专职注册房地产估价师签字，房地产估价机构盖章并作为一个整体时有效。</w:t>
      </w:r>
    </w:p>
    <w:p>
      <w:pPr>
        <w:spacing w:line="600" w:lineRule="exact"/>
        <w:ind w:firstLine="560"/>
        <w:rPr>
          <w:rFonts w:ascii="仿宋_GB2312" w:eastAsia="仿宋_GB2312"/>
          <w:color w:val="000000" w:themeColor="text1"/>
        </w:rPr>
        <w:sectPr>
          <w:footerReference r:id="rId5" w:type="default"/>
          <w:pgSz w:w="11906" w:h="16838"/>
          <w:pgMar w:top="1134" w:right="862" w:bottom="1134" w:left="1253" w:header="851" w:footer="992" w:gutter="0"/>
          <w:cols w:space="720" w:num="1"/>
          <w:docGrid w:type="linesAndChars" w:linePitch="312" w:charSpace="0"/>
        </w:sectPr>
      </w:pPr>
      <w:r>
        <w:rPr>
          <w:rFonts w:hint="eastAsia" w:ascii="仿宋_GB2312" w:eastAsia="仿宋_GB2312"/>
          <w:color w:val="000000" w:themeColor="text1"/>
        </w:rPr>
        <w:t>9、本估价报告内的文字或数字因打印、校对及其他原因出现误差时，请及时通知本房地产估价机构更正，否则，误差部分无效。</w:t>
      </w:r>
    </w:p>
    <w:p>
      <w:pPr>
        <w:spacing w:line="720" w:lineRule="auto"/>
        <w:jc w:val="center"/>
        <w:outlineLvl w:val="0"/>
        <w:rPr>
          <w:rFonts w:ascii="黑体" w:eastAsia="黑体"/>
          <w:color w:val="000000" w:themeColor="text1"/>
          <w:sz w:val="32"/>
          <w:szCs w:val="32"/>
        </w:rPr>
      </w:pPr>
      <w:bookmarkStart w:id="54" w:name="_Toc14316"/>
      <w:bookmarkStart w:id="55" w:name="_Toc437265331"/>
      <w:r>
        <w:rPr>
          <w:rStyle w:val="26"/>
          <w:rFonts w:hint="eastAsia" w:ascii="黑体" w:hAnsi="黑体" w:eastAsia="黑体" w:cs="黑体"/>
          <w:bCs/>
          <w:color w:val="000000" w:themeColor="text1"/>
          <w:sz w:val="32"/>
          <w:szCs w:val="32"/>
        </w:rPr>
        <w:t>三、估价结果报告</w:t>
      </w:r>
      <w:bookmarkEnd w:id="45"/>
      <w:bookmarkEnd w:id="54"/>
      <w:bookmarkEnd w:id="55"/>
    </w:p>
    <w:p>
      <w:pPr>
        <w:spacing w:line="600" w:lineRule="exact"/>
        <w:ind w:firstLine="560" w:firstLineChars="200"/>
        <w:rPr>
          <w:rStyle w:val="27"/>
          <w:rFonts w:ascii="仿宋_GB2312" w:hAnsi="仿宋_GB2312" w:eastAsia="仿宋_GB2312" w:cs="仿宋_GB2312"/>
          <w:b w:val="0"/>
          <w:bCs/>
          <w:color w:val="000000" w:themeColor="text1"/>
          <w:sz w:val="28"/>
          <w:szCs w:val="28"/>
        </w:rPr>
      </w:pPr>
      <w:bookmarkStart w:id="56" w:name="_Toc437265332"/>
      <w:bookmarkStart w:id="57" w:name="_Toc26655"/>
      <w:r>
        <w:rPr>
          <w:rStyle w:val="27"/>
          <w:rFonts w:hint="eastAsia" w:ascii="仿宋_GB2312" w:hAnsi="仿宋_GB2312" w:eastAsia="仿宋_GB2312" w:cs="仿宋_GB2312"/>
          <w:b w:val="0"/>
          <w:bCs/>
          <w:color w:val="000000" w:themeColor="text1"/>
          <w:sz w:val="28"/>
          <w:szCs w:val="28"/>
        </w:rPr>
        <w:t>（一）估价委托人</w:t>
      </w:r>
      <w:bookmarkEnd w:id="56"/>
    </w:p>
    <w:bookmarkEnd w:id="57"/>
    <w:p>
      <w:pPr>
        <w:ind w:firstLine="560" w:firstLineChars="200"/>
        <w:rPr>
          <w:rFonts w:hint="eastAsia" w:ascii="仿宋_GB2312" w:eastAsia="仿宋_GB2312"/>
          <w:color w:val="000000" w:themeColor="text1"/>
          <w:szCs w:val="28"/>
          <w:lang w:val="en-US" w:eastAsia="zh-CN"/>
        </w:rPr>
      </w:pPr>
      <w:bookmarkStart w:id="58" w:name="_Toc437265333"/>
      <w:r>
        <w:rPr>
          <w:rFonts w:hint="eastAsia" w:ascii="仿宋_GB2312" w:eastAsia="仿宋_GB2312"/>
          <w:color w:val="000000" w:themeColor="text1"/>
          <w:szCs w:val="28"/>
        </w:rPr>
        <w:t>估价委托人：</w:t>
      </w:r>
      <w:r>
        <w:rPr>
          <w:rFonts w:hint="eastAsia" w:ascii="仿宋_GB2312" w:eastAsia="仿宋_GB2312"/>
          <w:color w:val="000000" w:themeColor="text1"/>
          <w:szCs w:val="28"/>
          <w:lang w:val="en-US" w:eastAsia="zh-CN"/>
        </w:rPr>
        <w:t>四川省成都市中级人民法院</w:t>
      </w:r>
    </w:p>
    <w:p>
      <w:pPr>
        <w:ind w:firstLine="560" w:firstLineChars="200"/>
        <w:rPr>
          <w:rFonts w:hint="eastAsia" w:ascii="仿宋_GB2312" w:eastAsia="仿宋_GB2312"/>
          <w:color w:val="000000" w:themeColor="text1"/>
          <w:szCs w:val="28"/>
          <w:lang w:val="en-US" w:eastAsia="zh-CN"/>
        </w:rPr>
      </w:pPr>
      <w:r>
        <w:rPr>
          <w:rFonts w:hint="eastAsia" w:ascii="仿宋_GB2312" w:eastAsia="仿宋_GB2312"/>
          <w:color w:val="000000" w:themeColor="text1"/>
          <w:szCs w:val="28"/>
          <w:lang w:val="en-US" w:eastAsia="zh-CN"/>
        </w:rPr>
        <w:t>联系人：杨承庚</w:t>
      </w:r>
    </w:p>
    <w:p>
      <w:pPr>
        <w:ind w:firstLine="560" w:firstLineChars="200"/>
        <w:rPr>
          <w:rFonts w:hint="default" w:ascii="仿宋_GB2312" w:eastAsia="仿宋_GB2312"/>
          <w:color w:val="000000" w:themeColor="text1"/>
          <w:szCs w:val="28"/>
          <w:lang w:val="en-US" w:eastAsia="zh-CN"/>
        </w:rPr>
      </w:pPr>
      <w:r>
        <w:rPr>
          <w:rFonts w:hint="eastAsia" w:ascii="仿宋_GB2312" w:eastAsia="仿宋_GB2312"/>
          <w:color w:val="000000" w:themeColor="text1"/>
          <w:szCs w:val="28"/>
          <w:lang w:val="en-US" w:eastAsia="zh-CN"/>
        </w:rPr>
        <w:t>电话：028-82915603</w:t>
      </w:r>
    </w:p>
    <w:p>
      <w:pPr>
        <w:spacing w:line="600" w:lineRule="exact"/>
        <w:ind w:firstLine="560" w:firstLineChars="200"/>
        <w:rPr>
          <w:rStyle w:val="27"/>
          <w:rFonts w:ascii="仿宋_GB2312" w:hAnsi="仿宋_GB2312" w:eastAsia="仿宋_GB2312" w:cs="仿宋_GB2312"/>
          <w:b w:val="0"/>
          <w:bCs/>
          <w:color w:val="000000" w:themeColor="text1"/>
          <w:sz w:val="28"/>
          <w:szCs w:val="28"/>
        </w:rPr>
      </w:pPr>
      <w:bookmarkStart w:id="59" w:name="_Toc20065"/>
      <w:r>
        <w:rPr>
          <w:rStyle w:val="27"/>
          <w:rFonts w:hint="eastAsia" w:ascii="仿宋_GB2312" w:hAnsi="仿宋_GB2312" w:eastAsia="仿宋_GB2312" w:cs="仿宋_GB2312"/>
          <w:b w:val="0"/>
          <w:bCs/>
          <w:color w:val="000000" w:themeColor="text1"/>
          <w:sz w:val="28"/>
          <w:szCs w:val="28"/>
        </w:rPr>
        <w:t>（二）房地产估价机构</w:t>
      </w:r>
      <w:bookmarkEnd w:id="58"/>
    </w:p>
    <w:bookmarkEnd w:id="59"/>
    <w:p>
      <w:pPr>
        <w:spacing w:line="360" w:lineRule="auto"/>
        <w:ind w:firstLine="555"/>
        <w:rPr>
          <w:rFonts w:hint="eastAsia" w:ascii="仿宋_GB2312" w:eastAsia="仿宋_GB2312"/>
          <w:color w:val="000000" w:themeColor="text1"/>
          <w:szCs w:val="28"/>
          <w:highlight w:val="none"/>
          <w:lang w:eastAsia="zh-CN"/>
        </w:rPr>
      </w:pPr>
      <w:r>
        <w:rPr>
          <w:rFonts w:hint="eastAsia" w:ascii="仿宋_GB2312" w:eastAsia="仿宋_GB2312"/>
          <w:color w:val="000000" w:themeColor="text1"/>
          <w:szCs w:val="28"/>
          <w:highlight w:val="none"/>
        </w:rPr>
        <w:t>机构名称：</w:t>
      </w:r>
      <w:r>
        <w:rPr>
          <w:rFonts w:hint="eastAsia" w:ascii="仿宋_GB2312" w:eastAsia="仿宋_GB2312"/>
          <w:color w:val="000000" w:themeColor="text1"/>
          <w:szCs w:val="28"/>
          <w:highlight w:val="none"/>
          <w:lang w:eastAsia="zh-CN"/>
        </w:rPr>
        <w:t>四川吉祥房地产土地资产评估有限公司</w:t>
      </w:r>
    </w:p>
    <w:p>
      <w:pPr>
        <w:spacing w:line="360" w:lineRule="auto"/>
        <w:ind w:firstLine="555"/>
        <w:rPr>
          <w:rFonts w:ascii="仿宋_GB2312" w:eastAsia="仿宋_GB2312"/>
          <w:color w:val="000000" w:themeColor="text1"/>
          <w:szCs w:val="28"/>
          <w:highlight w:val="none"/>
        </w:rPr>
      </w:pPr>
      <w:r>
        <w:rPr>
          <w:rFonts w:hint="eastAsia" w:ascii="仿宋_GB2312" w:eastAsia="仿宋_GB2312"/>
          <w:color w:val="000000" w:themeColor="text1"/>
          <w:szCs w:val="28"/>
          <w:highlight w:val="none"/>
        </w:rPr>
        <w:t>法定代表人：黄德英</w:t>
      </w:r>
    </w:p>
    <w:p>
      <w:pPr>
        <w:spacing w:line="360" w:lineRule="auto"/>
        <w:ind w:firstLine="560" w:firstLineChars="200"/>
        <w:rPr>
          <w:rFonts w:ascii="仿宋_GB2312" w:eastAsia="仿宋_GB2312"/>
          <w:color w:val="000000" w:themeColor="text1"/>
          <w:highlight w:val="none"/>
        </w:rPr>
      </w:pPr>
      <w:r>
        <w:rPr>
          <w:rFonts w:hint="eastAsia" w:ascii="仿宋_GB2312" w:eastAsia="仿宋_GB2312"/>
          <w:color w:val="000000" w:themeColor="text1"/>
          <w:highlight w:val="none"/>
        </w:rPr>
        <w:t>住所：成都市武侯区一环路西一段</w:t>
      </w:r>
      <w:r>
        <w:rPr>
          <w:rFonts w:ascii="仿宋_GB2312" w:eastAsia="仿宋_GB2312"/>
          <w:color w:val="000000" w:themeColor="text1"/>
          <w:highlight w:val="none"/>
        </w:rPr>
        <w:t>130</w:t>
      </w:r>
      <w:r>
        <w:rPr>
          <w:rFonts w:hint="eastAsia" w:ascii="仿宋_GB2312" w:eastAsia="仿宋_GB2312"/>
          <w:color w:val="000000" w:themeColor="text1"/>
          <w:highlight w:val="none"/>
        </w:rPr>
        <w:t>号</w:t>
      </w:r>
      <w:r>
        <w:rPr>
          <w:rFonts w:ascii="仿宋_GB2312" w:eastAsia="仿宋_GB2312"/>
          <w:color w:val="000000" w:themeColor="text1"/>
          <w:highlight w:val="none"/>
        </w:rPr>
        <w:t>1</w:t>
      </w:r>
      <w:r>
        <w:rPr>
          <w:rFonts w:hint="eastAsia" w:ascii="仿宋_GB2312" w:eastAsia="仿宋_GB2312"/>
          <w:color w:val="000000" w:themeColor="text1"/>
          <w:highlight w:val="none"/>
        </w:rPr>
        <w:t>幢</w:t>
      </w:r>
      <w:r>
        <w:rPr>
          <w:rFonts w:ascii="仿宋_GB2312" w:eastAsia="仿宋_GB2312"/>
          <w:color w:val="000000" w:themeColor="text1"/>
          <w:highlight w:val="none"/>
        </w:rPr>
        <w:t>16</w:t>
      </w:r>
      <w:r>
        <w:rPr>
          <w:rFonts w:hint="eastAsia" w:ascii="仿宋_GB2312" w:eastAsia="仿宋_GB2312"/>
          <w:color w:val="000000" w:themeColor="text1"/>
          <w:highlight w:val="none"/>
        </w:rPr>
        <w:t>楼</w:t>
      </w:r>
      <w:r>
        <w:rPr>
          <w:rFonts w:ascii="仿宋_GB2312" w:eastAsia="仿宋_GB2312"/>
          <w:color w:val="000000" w:themeColor="text1"/>
          <w:highlight w:val="none"/>
        </w:rPr>
        <w:t>5</w:t>
      </w:r>
      <w:r>
        <w:rPr>
          <w:rFonts w:hint="eastAsia" w:ascii="仿宋_GB2312" w:eastAsia="仿宋_GB2312"/>
          <w:color w:val="000000" w:themeColor="text1"/>
          <w:highlight w:val="none"/>
        </w:rPr>
        <w:t>号</w:t>
      </w:r>
    </w:p>
    <w:p>
      <w:pPr>
        <w:spacing w:line="360" w:lineRule="auto"/>
        <w:ind w:firstLine="560" w:firstLineChars="200"/>
        <w:rPr>
          <w:rFonts w:ascii="仿宋_GB2312" w:eastAsia="仿宋_GB2312"/>
          <w:color w:val="000000" w:themeColor="text1"/>
          <w:highlight w:val="none"/>
        </w:rPr>
      </w:pPr>
      <w:r>
        <w:rPr>
          <w:rFonts w:hint="eastAsia" w:ascii="仿宋_GB2312" w:eastAsia="仿宋_GB2312"/>
          <w:color w:val="000000" w:themeColor="text1"/>
          <w:highlight w:val="none"/>
        </w:rPr>
        <w:t>统一社会信用代码：9151010</w:t>
      </w:r>
      <w:r>
        <w:rPr>
          <w:rFonts w:hint="eastAsia" w:ascii="仿宋_GB2312" w:eastAsia="仿宋_GB2312"/>
          <w:color w:val="000000" w:themeColor="text1"/>
          <w:highlight w:val="none"/>
          <w:lang w:eastAsia="zh-CN"/>
        </w:rPr>
        <w:t>6200</w:t>
      </w:r>
      <w:r>
        <w:rPr>
          <w:rFonts w:hint="eastAsia" w:ascii="仿宋_GB2312" w:eastAsia="仿宋_GB2312"/>
          <w:color w:val="000000" w:themeColor="text1"/>
          <w:highlight w:val="none"/>
        </w:rPr>
        <w:t>29151XD</w:t>
      </w:r>
    </w:p>
    <w:p>
      <w:pPr>
        <w:spacing w:line="360" w:lineRule="auto"/>
        <w:ind w:firstLine="555"/>
        <w:rPr>
          <w:rFonts w:ascii="仿宋_GB2312" w:eastAsia="仿宋_GB2312"/>
          <w:color w:val="000000" w:themeColor="text1"/>
          <w:highlight w:val="none"/>
        </w:rPr>
      </w:pPr>
      <w:r>
        <w:rPr>
          <w:rFonts w:hint="eastAsia" w:ascii="仿宋_GB2312" w:eastAsia="仿宋_GB2312"/>
          <w:color w:val="000000" w:themeColor="text1"/>
          <w:highlight w:val="none"/>
        </w:rPr>
        <w:t>机构类别：房地产价格评估机构</w:t>
      </w:r>
    </w:p>
    <w:p>
      <w:pPr>
        <w:spacing w:line="360" w:lineRule="auto"/>
        <w:ind w:firstLine="555"/>
        <w:rPr>
          <w:rFonts w:ascii="仿宋_GB2312" w:eastAsia="仿宋_GB2312"/>
          <w:color w:val="000000" w:themeColor="text1"/>
          <w:highlight w:val="none"/>
        </w:rPr>
      </w:pPr>
      <w:r>
        <w:rPr>
          <w:rFonts w:hint="eastAsia" w:ascii="仿宋_GB2312" w:eastAsia="仿宋_GB2312"/>
          <w:color w:val="000000" w:themeColor="text1"/>
          <w:highlight w:val="none"/>
        </w:rPr>
        <w:t>备案等级：壹级</w:t>
      </w:r>
    </w:p>
    <w:p>
      <w:pPr>
        <w:spacing w:line="360" w:lineRule="auto"/>
        <w:ind w:firstLine="555"/>
        <w:rPr>
          <w:rFonts w:ascii="仿宋_GB2312" w:eastAsia="仿宋_GB2312"/>
          <w:color w:val="000000" w:themeColor="text1"/>
          <w:highlight w:val="none"/>
        </w:rPr>
      </w:pPr>
      <w:r>
        <w:rPr>
          <w:rFonts w:hint="eastAsia" w:ascii="仿宋_GB2312" w:eastAsia="仿宋_GB2312"/>
          <w:color w:val="000000" w:themeColor="text1"/>
          <w:highlight w:val="none"/>
        </w:rPr>
        <w:t>证书编号：川建房估备字[2017]0032号</w:t>
      </w:r>
    </w:p>
    <w:p>
      <w:pPr>
        <w:spacing w:line="360" w:lineRule="auto"/>
        <w:ind w:firstLine="555"/>
        <w:rPr>
          <w:rFonts w:ascii="仿宋_GB2312" w:eastAsia="仿宋_GB2312"/>
          <w:color w:val="000000" w:themeColor="text1"/>
          <w:highlight w:val="none"/>
        </w:rPr>
      </w:pPr>
      <w:r>
        <w:rPr>
          <w:rFonts w:hint="eastAsia" w:ascii="仿宋_GB2312" w:eastAsia="仿宋_GB2312"/>
          <w:color w:val="000000" w:themeColor="text1"/>
          <w:highlight w:val="none"/>
        </w:rPr>
        <w:t>资质有效期：2017年8月30日——2020年8月30日</w:t>
      </w:r>
    </w:p>
    <w:p>
      <w:pPr>
        <w:spacing w:line="360" w:lineRule="auto"/>
        <w:ind w:firstLine="555"/>
        <w:rPr>
          <w:rFonts w:hint="eastAsia" w:ascii="仿宋_GB2312" w:eastAsia="仿宋_GB2312"/>
          <w:color w:val="000000" w:themeColor="text1"/>
          <w:highlight w:val="none"/>
          <w:lang w:eastAsia="zh-CN"/>
        </w:rPr>
      </w:pPr>
      <w:r>
        <w:rPr>
          <w:rFonts w:hint="eastAsia" w:ascii="仿宋_GB2312" w:eastAsia="仿宋_GB2312"/>
          <w:color w:val="000000" w:themeColor="text1"/>
          <w:highlight w:val="none"/>
        </w:rPr>
        <w:t>联系人：</w:t>
      </w:r>
      <w:r>
        <w:rPr>
          <w:rFonts w:hint="eastAsia" w:ascii="仿宋_GB2312" w:eastAsia="仿宋_GB2312"/>
          <w:color w:val="000000" w:themeColor="text1"/>
          <w:highlight w:val="none"/>
          <w:lang w:eastAsia="zh-CN"/>
        </w:rPr>
        <w:t>高涛</w:t>
      </w:r>
    </w:p>
    <w:p>
      <w:pPr>
        <w:spacing w:line="360" w:lineRule="auto"/>
        <w:ind w:firstLine="555"/>
        <w:rPr>
          <w:rFonts w:hint="default" w:ascii="仿宋_GB2312" w:eastAsia="仿宋_GB2312"/>
          <w:color w:val="000000" w:themeColor="text1"/>
          <w:lang w:val="en-US"/>
        </w:rPr>
      </w:pPr>
      <w:r>
        <w:rPr>
          <w:rFonts w:hint="eastAsia" w:ascii="仿宋_GB2312" w:eastAsia="仿宋_GB2312"/>
          <w:color w:val="000000" w:themeColor="text1"/>
          <w:highlight w:val="none"/>
        </w:rPr>
        <w:t>联系电话：</w:t>
      </w:r>
      <w:r>
        <w:rPr>
          <w:rFonts w:ascii="仿宋_GB2312" w:eastAsia="仿宋_GB2312"/>
          <w:color w:val="000000" w:themeColor="text1"/>
          <w:highlight w:val="none"/>
        </w:rPr>
        <w:t>028-</w:t>
      </w:r>
      <w:r>
        <w:rPr>
          <w:rFonts w:hint="eastAsia" w:ascii="仿宋_GB2312" w:eastAsia="仿宋_GB2312"/>
          <w:color w:val="000000" w:themeColor="text1"/>
          <w:highlight w:val="none"/>
          <w:lang w:val="en-US" w:eastAsia="zh-CN"/>
        </w:rPr>
        <w:t>87888886</w:t>
      </w:r>
    </w:p>
    <w:p>
      <w:pPr>
        <w:spacing w:line="600" w:lineRule="exact"/>
        <w:ind w:firstLine="560" w:firstLineChars="200"/>
        <w:rPr>
          <w:rStyle w:val="27"/>
          <w:rFonts w:ascii="仿宋_GB2312" w:hAnsi="仿宋_GB2312" w:eastAsia="仿宋_GB2312" w:cs="仿宋_GB2312"/>
          <w:b w:val="0"/>
          <w:bCs/>
          <w:color w:val="000000" w:themeColor="text1"/>
          <w:sz w:val="28"/>
          <w:szCs w:val="28"/>
        </w:rPr>
      </w:pPr>
      <w:bookmarkStart w:id="60" w:name="_Toc437265334"/>
      <w:bookmarkStart w:id="61" w:name="_Toc17338"/>
      <w:r>
        <w:rPr>
          <w:rStyle w:val="27"/>
          <w:rFonts w:hint="eastAsia" w:ascii="仿宋_GB2312" w:hAnsi="仿宋_GB2312" w:eastAsia="仿宋_GB2312" w:cs="仿宋_GB2312"/>
          <w:b w:val="0"/>
          <w:bCs/>
          <w:color w:val="000000" w:themeColor="text1"/>
          <w:sz w:val="28"/>
          <w:szCs w:val="28"/>
        </w:rPr>
        <w:t>（三）估价目的</w:t>
      </w:r>
      <w:bookmarkEnd w:id="60"/>
    </w:p>
    <w:bookmarkEnd w:id="61"/>
    <w:p>
      <w:pPr>
        <w:pStyle w:val="15"/>
        <w:adjustRightInd w:val="0"/>
        <w:snapToGrid w:val="0"/>
        <w:spacing w:line="600" w:lineRule="exact"/>
        <w:rPr>
          <w:color w:val="000000" w:themeColor="text1"/>
        </w:rPr>
      </w:pPr>
      <w:bookmarkStart w:id="62" w:name="_Toc437265335"/>
      <w:r>
        <w:rPr>
          <w:rFonts w:hint="eastAsia"/>
          <w:color w:val="000000" w:themeColor="text1"/>
        </w:rPr>
        <w:t xml:space="preserve"> </w:t>
      </w:r>
      <w:r>
        <w:rPr>
          <w:rFonts w:hint="eastAsia"/>
          <w:color w:val="000000" w:themeColor="text1"/>
          <w:lang w:val="en-US" w:eastAsia="zh-CN"/>
        </w:rPr>
        <w:t>为人民法院确定财产处置参考价提供参考依据</w:t>
      </w:r>
      <w:r>
        <w:rPr>
          <w:rFonts w:hint="eastAsia"/>
          <w:color w:val="000000" w:themeColor="text1"/>
        </w:rPr>
        <w:t>;</w:t>
      </w:r>
    </w:p>
    <w:p>
      <w:pPr>
        <w:spacing w:line="600" w:lineRule="exact"/>
        <w:ind w:firstLine="560" w:firstLineChars="200"/>
        <w:rPr>
          <w:rStyle w:val="27"/>
          <w:rFonts w:ascii="仿宋_GB2312" w:hAnsi="仿宋_GB2312" w:eastAsia="仿宋_GB2312" w:cs="仿宋_GB2312"/>
          <w:b w:val="0"/>
          <w:bCs/>
          <w:color w:val="000000" w:themeColor="text1"/>
          <w:sz w:val="28"/>
          <w:szCs w:val="28"/>
        </w:rPr>
      </w:pPr>
      <w:bookmarkStart w:id="63" w:name="_Toc1350"/>
      <w:r>
        <w:rPr>
          <w:rStyle w:val="27"/>
          <w:rFonts w:hint="eastAsia" w:ascii="仿宋_GB2312" w:hAnsi="仿宋_GB2312" w:eastAsia="仿宋_GB2312" w:cs="仿宋_GB2312"/>
          <w:b w:val="0"/>
          <w:bCs/>
          <w:color w:val="000000" w:themeColor="text1"/>
          <w:sz w:val="28"/>
          <w:szCs w:val="28"/>
        </w:rPr>
        <w:t>（四）估价对象</w:t>
      </w:r>
      <w:bookmarkEnd w:id="62"/>
    </w:p>
    <w:bookmarkEnd w:id="63"/>
    <w:p>
      <w:pPr>
        <w:adjustRightInd w:val="0"/>
        <w:spacing w:line="360" w:lineRule="auto"/>
        <w:ind w:firstLine="560" w:firstLineChars="200"/>
        <w:rPr>
          <w:rFonts w:ascii="仿宋_GB2312" w:eastAsia="仿宋_GB2312"/>
          <w:color w:val="000000" w:themeColor="text1"/>
        </w:rPr>
      </w:pPr>
      <w:r>
        <w:rPr>
          <w:rFonts w:ascii="仿宋_GB2312" w:eastAsia="仿宋_GB2312"/>
          <w:color w:val="000000" w:themeColor="text1"/>
        </w:rPr>
        <w:t>1</w:t>
      </w:r>
      <w:r>
        <w:rPr>
          <w:rFonts w:hint="eastAsia" w:ascii="仿宋_GB2312" w:eastAsia="仿宋_GB2312"/>
          <w:color w:val="000000" w:themeColor="text1"/>
        </w:rPr>
        <w:t>、估价对象范围</w:t>
      </w:r>
    </w:p>
    <w:p>
      <w:pPr>
        <w:adjustRightInd w:val="0"/>
        <w:spacing w:line="360" w:lineRule="auto"/>
        <w:ind w:firstLine="560" w:firstLineChars="200"/>
        <w:rPr>
          <w:rFonts w:hint="default" w:ascii="仿宋_GB2312" w:eastAsia="仿宋_GB2312"/>
          <w:color w:val="FF0000"/>
          <w:lang w:val="en-US" w:eastAsia="zh-CN"/>
        </w:rPr>
      </w:pPr>
      <w:r>
        <w:rPr>
          <w:rFonts w:hint="eastAsia" w:ascii="仿宋_GB2312" w:eastAsia="仿宋_GB2312"/>
          <w:color w:val="000000" w:themeColor="text1"/>
          <w:lang w:eastAsia="zh-CN"/>
        </w:rPr>
        <w:t>估价对象</w:t>
      </w:r>
      <w:r>
        <w:rPr>
          <w:rFonts w:hint="eastAsia" w:ascii="仿宋_GB2312" w:eastAsia="仿宋_GB2312"/>
          <w:color w:val="000000" w:themeColor="text1"/>
          <w:lang w:val="en-US" w:eastAsia="zh-CN"/>
        </w:rPr>
        <w:t>1为四川平扬房地产开发有限公司位于自贡市大安区何市镇新街252号兴盛家园建筑面积共计668.05平方米的商业用房地产，</w:t>
      </w:r>
      <w:r>
        <w:rPr>
          <w:rFonts w:hint="eastAsia" w:ascii="仿宋_GB2312" w:eastAsia="仿宋_GB2312"/>
          <w:color w:val="000000" w:themeColor="text1"/>
        </w:rPr>
        <w:t>包括该房屋所有权</w:t>
      </w:r>
      <w:r>
        <w:rPr>
          <w:rFonts w:hint="eastAsia" w:ascii="仿宋_GB2312" w:eastAsia="仿宋_GB2312"/>
          <w:color w:val="000000" w:themeColor="text1"/>
          <w:lang w:eastAsia="zh-CN"/>
        </w:rPr>
        <w:t>及其分摊占用</w:t>
      </w:r>
      <w:r>
        <w:rPr>
          <w:rFonts w:hint="eastAsia" w:ascii="仿宋_GB2312" w:eastAsia="仿宋_GB2312"/>
          <w:color w:val="000000" w:themeColor="text1"/>
        </w:rPr>
        <w:t>的国有出让</w:t>
      </w:r>
      <w:r>
        <w:rPr>
          <w:rFonts w:hint="eastAsia" w:ascii="仿宋_GB2312" w:eastAsia="仿宋_GB2312"/>
          <w:color w:val="000000" w:themeColor="text1"/>
          <w:lang w:val="en-US" w:eastAsia="zh-CN"/>
        </w:rPr>
        <w:t>住宅</w:t>
      </w:r>
      <w:r>
        <w:rPr>
          <w:rFonts w:hint="eastAsia" w:ascii="仿宋_GB2312" w:eastAsia="仿宋_GB2312"/>
          <w:color w:val="000000" w:themeColor="text1"/>
        </w:rPr>
        <w:t>用地使用权</w:t>
      </w:r>
      <w:r>
        <w:rPr>
          <w:rFonts w:hint="eastAsia" w:ascii="仿宋_GB2312" w:eastAsia="仿宋_GB2312"/>
          <w:color w:val="000000" w:themeColor="text1"/>
          <w:lang w:eastAsia="zh-CN"/>
        </w:rPr>
        <w:t>。</w:t>
      </w:r>
      <w:r>
        <w:rPr>
          <w:rFonts w:hint="eastAsia" w:ascii="仿宋_GB2312" w:eastAsia="仿宋_GB2312"/>
          <w:color w:val="auto"/>
          <w:lang w:val="en-US" w:eastAsia="zh-CN"/>
        </w:rPr>
        <w:t>详见下表：</w:t>
      </w:r>
    </w:p>
    <w:tbl>
      <w:tblPr>
        <w:tblStyle w:val="24"/>
        <w:tblW w:w="100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8"/>
        <w:gridCol w:w="779"/>
        <w:gridCol w:w="1347"/>
        <w:gridCol w:w="1305"/>
        <w:gridCol w:w="1247"/>
        <w:gridCol w:w="1127"/>
        <w:gridCol w:w="1303"/>
        <w:gridCol w:w="1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trPr>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权证编号（国有土地使用权证编号）</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权利人</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坐落</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栋号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所在层</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房屋编号</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用途</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自国用2014第043996号</w:t>
            </w:r>
          </w:p>
        </w:tc>
        <w:tc>
          <w:tcPr>
            <w:tcW w:w="7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自贡市大安区何市镇新街252号</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1-12-1铺</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合计</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668.05</w:t>
            </w:r>
          </w:p>
        </w:tc>
      </w:tr>
    </w:tbl>
    <w:p>
      <w:pPr>
        <w:adjustRightInd w:val="0"/>
        <w:spacing w:line="360" w:lineRule="auto"/>
        <w:ind w:firstLine="560" w:firstLineChars="200"/>
        <w:rPr>
          <w:rFonts w:hint="eastAsia" w:ascii="仿宋_GB2312" w:eastAsia="仿宋_GB2312"/>
          <w:color w:val="auto"/>
          <w:lang w:eastAsia="zh-CN"/>
        </w:rPr>
      </w:pPr>
      <w:r>
        <w:rPr>
          <w:rFonts w:hint="eastAsia" w:ascii="仿宋_GB2312" w:eastAsia="仿宋_GB2312"/>
          <w:color w:val="000000" w:themeColor="text1"/>
          <w:lang w:eastAsia="zh-CN"/>
        </w:rPr>
        <w:t>估价对象</w:t>
      </w:r>
      <w:r>
        <w:rPr>
          <w:rFonts w:hint="eastAsia" w:ascii="仿宋_GB2312" w:eastAsia="仿宋_GB2312"/>
          <w:color w:val="000000" w:themeColor="text1"/>
          <w:lang w:val="en-US" w:eastAsia="zh-CN"/>
        </w:rPr>
        <w:t>2为四川平扬房地产开发有限公司位于自贡市大安区何市镇新街252号兴盛家园建筑面积共计497.29平方米的住宅用房地产，</w:t>
      </w:r>
      <w:r>
        <w:rPr>
          <w:rFonts w:hint="eastAsia" w:ascii="仿宋_GB2312" w:eastAsia="仿宋_GB2312"/>
          <w:color w:val="000000" w:themeColor="text1"/>
        </w:rPr>
        <w:t>包括该房屋所有权</w:t>
      </w:r>
      <w:r>
        <w:rPr>
          <w:rFonts w:hint="eastAsia" w:ascii="仿宋_GB2312" w:eastAsia="仿宋_GB2312"/>
          <w:color w:val="000000" w:themeColor="text1"/>
          <w:lang w:eastAsia="zh-CN"/>
        </w:rPr>
        <w:t>及其分摊占用</w:t>
      </w:r>
      <w:r>
        <w:rPr>
          <w:rFonts w:hint="eastAsia" w:ascii="仿宋_GB2312" w:eastAsia="仿宋_GB2312"/>
          <w:color w:val="000000" w:themeColor="text1"/>
        </w:rPr>
        <w:t>的国有出让</w:t>
      </w:r>
      <w:r>
        <w:rPr>
          <w:rFonts w:hint="eastAsia" w:ascii="仿宋_GB2312" w:eastAsia="仿宋_GB2312"/>
          <w:color w:val="000000" w:themeColor="text1"/>
          <w:lang w:val="en-US" w:eastAsia="zh-CN"/>
        </w:rPr>
        <w:t>住宅</w:t>
      </w:r>
      <w:r>
        <w:rPr>
          <w:rFonts w:hint="eastAsia" w:ascii="仿宋_GB2312" w:eastAsia="仿宋_GB2312"/>
          <w:color w:val="000000" w:themeColor="text1"/>
        </w:rPr>
        <w:t>用地使用权</w:t>
      </w:r>
      <w:r>
        <w:rPr>
          <w:rFonts w:hint="eastAsia" w:ascii="仿宋_GB2312" w:eastAsia="仿宋_GB2312"/>
          <w:color w:val="000000" w:themeColor="text1"/>
          <w:lang w:eastAsia="zh-CN"/>
        </w:rPr>
        <w:t>。</w:t>
      </w:r>
      <w:r>
        <w:rPr>
          <w:rFonts w:hint="eastAsia" w:ascii="仿宋_GB2312" w:eastAsia="仿宋_GB2312"/>
          <w:color w:val="auto"/>
          <w:lang w:val="en-US" w:eastAsia="zh-CN"/>
        </w:rPr>
        <w:t>详见下表：</w:t>
      </w:r>
    </w:p>
    <w:tbl>
      <w:tblPr>
        <w:tblStyle w:val="24"/>
        <w:tblW w:w="100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61"/>
        <w:gridCol w:w="763"/>
        <w:gridCol w:w="1363"/>
        <w:gridCol w:w="1259"/>
        <w:gridCol w:w="1409"/>
        <w:gridCol w:w="1016"/>
        <w:gridCol w:w="1271"/>
        <w:gridCol w:w="1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 w:hRule="atLeast"/>
        </w:trPr>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权证编号（国有土地使用权证编号）</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权利人</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坐落</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栋号</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所在层</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房屋编号</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用途</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自国用2014第043996号</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自贡市大安区何市镇新街252号</w:t>
            </w: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2—5—12</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合计</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497.29</w:t>
            </w:r>
          </w:p>
        </w:tc>
      </w:tr>
    </w:tbl>
    <w:p>
      <w:pPr>
        <w:adjustRightInd w:val="0"/>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lang w:eastAsia="zh-CN"/>
        </w:rPr>
        <w:t>估价对象</w:t>
      </w:r>
      <w:r>
        <w:rPr>
          <w:rFonts w:hint="eastAsia" w:ascii="仿宋_GB2312" w:eastAsia="仿宋_GB2312"/>
          <w:color w:val="000000" w:themeColor="text1"/>
          <w:lang w:val="en-US" w:eastAsia="zh-CN"/>
        </w:rPr>
        <w:t>3为四川平扬房地产开发有限公司位于自贡市大安区何市镇新街252号兴盛家园建筑面积共计5403.7平方米的在建工程，</w:t>
      </w:r>
      <w:r>
        <w:rPr>
          <w:rFonts w:hint="eastAsia" w:ascii="仿宋_GB2312" w:eastAsia="仿宋_GB2312"/>
          <w:color w:val="000000" w:themeColor="text1"/>
        </w:rPr>
        <w:t>包括该房屋所有权</w:t>
      </w:r>
      <w:r>
        <w:rPr>
          <w:rFonts w:hint="eastAsia" w:ascii="仿宋_GB2312" w:eastAsia="仿宋_GB2312"/>
          <w:color w:val="000000" w:themeColor="text1"/>
          <w:lang w:eastAsia="zh-CN"/>
        </w:rPr>
        <w:t>及其分摊占用</w:t>
      </w:r>
      <w:r>
        <w:rPr>
          <w:rFonts w:hint="eastAsia" w:ascii="仿宋_GB2312" w:eastAsia="仿宋_GB2312"/>
          <w:color w:val="000000" w:themeColor="text1"/>
        </w:rPr>
        <w:t>的国有出让</w:t>
      </w:r>
      <w:r>
        <w:rPr>
          <w:rFonts w:hint="eastAsia" w:ascii="仿宋_GB2312" w:eastAsia="仿宋_GB2312"/>
          <w:color w:val="000000" w:themeColor="text1"/>
          <w:lang w:val="en-US" w:eastAsia="zh-CN"/>
        </w:rPr>
        <w:t>住宅</w:t>
      </w:r>
      <w:r>
        <w:rPr>
          <w:rFonts w:hint="eastAsia" w:ascii="仿宋_GB2312" w:eastAsia="仿宋_GB2312"/>
          <w:color w:val="000000" w:themeColor="text1"/>
        </w:rPr>
        <w:t>用地使用权。</w:t>
      </w:r>
    </w:p>
    <w:p>
      <w:pPr>
        <w:numPr>
          <w:ilvl w:val="0"/>
          <w:numId w:val="6"/>
        </w:numPr>
        <w:spacing w:line="360" w:lineRule="auto"/>
        <w:ind w:firstLine="560"/>
        <w:rPr>
          <w:rFonts w:ascii="仿宋_GB2312" w:eastAsia="仿宋_GB2312"/>
          <w:color w:val="000000" w:themeColor="text1"/>
        </w:rPr>
      </w:pPr>
      <w:r>
        <w:rPr>
          <w:rFonts w:hint="eastAsia" w:ascii="仿宋_GB2312" w:eastAsia="仿宋_GB2312"/>
          <w:color w:val="000000" w:themeColor="text1"/>
        </w:rPr>
        <w:t>估价对象基本状况</w:t>
      </w:r>
    </w:p>
    <w:tbl>
      <w:tblPr>
        <w:tblStyle w:val="24"/>
        <w:tblW w:w="9821" w:type="dxa"/>
        <w:tblInd w:w="0" w:type="dxa"/>
        <w:tblLayout w:type="fixed"/>
        <w:tblCellMar>
          <w:top w:w="15" w:type="dxa"/>
          <w:left w:w="15" w:type="dxa"/>
          <w:bottom w:w="15" w:type="dxa"/>
          <w:right w:w="15" w:type="dxa"/>
        </w:tblCellMar>
      </w:tblPr>
      <w:tblGrid>
        <w:gridCol w:w="1131"/>
        <w:gridCol w:w="901"/>
        <w:gridCol w:w="1636"/>
        <w:gridCol w:w="2420"/>
        <w:gridCol w:w="1484"/>
        <w:gridCol w:w="2249"/>
      </w:tblGrid>
      <w:tr>
        <w:tblPrEx>
          <w:tblLayout w:type="fixed"/>
          <w:tblCellMar>
            <w:top w:w="15" w:type="dxa"/>
            <w:left w:w="15" w:type="dxa"/>
            <w:bottom w:w="15" w:type="dxa"/>
            <w:right w:w="15" w:type="dxa"/>
          </w:tblCellMar>
        </w:tblPrEx>
        <w:trPr>
          <w:trHeight w:val="420" w:hRule="atLeast"/>
        </w:trPr>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 w:val="18"/>
                <w:szCs w:val="18"/>
              </w:rPr>
            </w:pPr>
            <w:r>
              <w:rPr>
                <w:rFonts w:hint="eastAsia" w:ascii="宋体" w:hAnsi="宋体" w:cs="宋体"/>
                <w:color w:val="000000" w:themeColor="text1"/>
                <w:kern w:val="0"/>
                <w:sz w:val="18"/>
                <w:szCs w:val="18"/>
              </w:rPr>
              <w:t>估价对象基本情况</w:t>
            </w:r>
          </w:p>
        </w:tc>
        <w:tc>
          <w:tcPr>
            <w:tcW w:w="901"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名称</w:t>
            </w:r>
          </w:p>
        </w:tc>
        <w:tc>
          <w:tcPr>
            <w:tcW w:w="778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lang w:val="en-US" w:eastAsia="zh-CN"/>
              </w:rPr>
              <w:t>兴盛家园</w:t>
            </w:r>
          </w:p>
        </w:tc>
      </w:tr>
      <w:tr>
        <w:tblPrEx>
          <w:tblLayout w:type="fixed"/>
          <w:tblCellMar>
            <w:top w:w="15" w:type="dxa"/>
            <w:left w:w="15" w:type="dxa"/>
            <w:bottom w:w="15" w:type="dxa"/>
            <w:right w:w="15" w:type="dxa"/>
          </w:tblCellMar>
        </w:tblPrEx>
        <w:trPr>
          <w:trHeight w:val="420" w:hRule="atLeast"/>
        </w:trPr>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宋体" w:hAnsi="宋体" w:cs="宋体"/>
                <w:color w:val="000000" w:themeColor="text1"/>
                <w:sz w:val="18"/>
                <w:szCs w:val="18"/>
              </w:rPr>
            </w:pPr>
          </w:p>
        </w:tc>
        <w:tc>
          <w:tcPr>
            <w:tcW w:w="901"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坐落</w:t>
            </w:r>
          </w:p>
        </w:tc>
        <w:tc>
          <w:tcPr>
            <w:tcW w:w="778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themeColor="text1"/>
                <w:kern w:val="0"/>
                <w:sz w:val="18"/>
                <w:szCs w:val="18"/>
                <w:lang w:val="en-US"/>
              </w:rPr>
            </w:pPr>
            <w:r>
              <w:rPr>
                <w:rFonts w:hint="default" w:ascii="宋体" w:hAnsi="宋体" w:cs="宋体"/>
                <w:color w:val="000000" w:themeColor="text1"/>
                <w:kern w:val="0"/>
                <w:sz w:val="18"/>
                <w:szCs w:val="18"/>
                <w:lang w:val="en-US" w:eastAsia="zh-CN"/>
              </w:rPr>
              <w:t>自贡市大安区何市镇新街252号</w:t>
            </w:r>
          </w:p>
        </w:tc>
      </w:tr>
      <w:tr>
        <w:tblPrEx>
          <w:tblLayout w:type="fixed"/>
          <w:tblCellMar>
            <w:top w:w="15" w:type="dxa"/>
            <w:left w:w="15" w:type="dxa"/>
            <w:bottom w:w="15" w:type="dxa"/>
            <w:right w:w="15" w:type="dxa"/>
          </w:tblCellMar>
        </w:tblPrEx>
        <w:trPr>
          <w:trHeight w:val="420" w:hRule="atLeast"/>
        </w:trPr>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宋体" w:hAnsi="宋体" w:cs="宋体"/>
                <w:color w:val="000000" w:themeColor="text1"/>
                <w:sz w:val="18"/>
                <w:szCs w:val="18"/>
              </w:rPr>
            </w:pPr>
          </w:p>
        </w:tc>
        <w:tc>
          <w:tcPr>
            <w:tcW w:w="901"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规模</w:t>
            </w:r>
          </w:p>
        </w:tc>
        <w:tc>
          <w:tcPr>
            <w:tcW w:w="1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建筑物面积</w:t>
            </w:r>
          </w:p>
        </w:tc>
        <w:tc>
          <w:tcPr>
            <w:tcW w:w="61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lang w:val="en-US" w:eastAsia="zh-CN"/>
              </w:rPr>
              <w:t>估价对象1建筑面积：668.05㎡；估价对象2建筑面积：1165.34㎡；估价对象3建筑面积：5403.7㎡</w:t>
            </w:r>
          </w:p>
        </w:tc>
      </w:tr>
      <w:tr>
        <w:tblPrEx>
          <w:tblLayout w:type="fixed"/>
          <w:tblCellMar>
            <w:top w:w="15" w:type="dxa"/>
            <w:left w:w="15" w:type="dxa"/>
            <w:bottom w:w="15" w:type="dxa"/>
            <w:right w:w="15" w:type="dxa"/>
          </w:tblCellMar>
        </w:tblPrEx>
        <w:trPr>
          <w:trHeight w:val="420" w:hRule="atLeast"/>
        </w:trPr>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宋体" w:hAnsi="宋体" w:cs="宋体"/>
                <w:color w:val="000000" w:themeColor="text1"/>
                <w:sz w:val="18"/>
                <w:szCs w:val="18"/>
              </w:rPr>
            </w:pPr>
          </w:p>
        </w:tc>
        <w:tc>
          <w:tcPr>
            <w:tcW w:w="901"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用途</w:t>
            </w:r>
          </w:p>
        </w:tc>
        <w:tc>
          <w:tcPr>
            <w:tcW w:w="1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规划用途</w:t>
            </w:r>
          </w:p>
        </w:tc>
        <w:tc>
          <w:tcPr>
            <w:tcW w:w="2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lang w:val="en-US" w:eastAsia="zh-CN"/>
              </w:rPr>
              <w:t>商住</w:t>
            </w:r>
          </w:p>
        </w:tc>
        <w:tc>
          <w:tcPr>
            <w:tcW w:w="14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实际用途</w:t>
            </w:r>
          </w:p>
        </w:tc>
        <w:tc>
          <w:tcPr>
            <w:tcW w:w="22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lang w:val="en-US" w:eastAsia="zh-CN"/>
              </w:rPr>
              <w:t>商业、住宅</w:t>
            </w:r>
          </w:p>
        </w:tc>
      </w:tr>
      <w:tr>
        <w:tblPrEx>
          <w:tblLayout w:type="fixed"/>
          <w:tblCellMar>
            <w:top w:w="15" w:type="dxa"/>
            <w:left w:w="15" w:type="dxa"/>
            <w:bottom w:w="15" w:type="dxa"/>
            <w:right w:w="15" w:type="dxa"/>
          </w:tblCellMar>
        </w:tblPrEx>
        <w:trPr>
          <w:trHeight w:val="420" w:hRule="atLeast"/>
        </w:trPr>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宋体" w:hAnsi="宋体" w:cs="宋体"/>
                <w:color w:val="000000" w:themeColor="text1"/>
                <w:sz w:val="18"/>
                <w:szCs w:val="18"/>
              </w:rPr>
            </w:pPr>
          </w:p>
        </w:tc>
        <w:tc>
          <w:tcPr>
            <w:tcW w:w="901" w:type="dxa"/>
            <w:vMerge w:val="continue"/>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rPr>
            </w:pPr>
          </w:p>
        </w:tc>
        <w:tc>
          <w:tcPr>
            <w:tcW w:w="1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登记用途</w:t>
            </w:r>
          </w:p>
        </w:tc>
        <w:tc>
          <w:tcPr>
            <w:tcW w:w="2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lang w:val="en-US" w:eastAsia="zh-CN"/>
              </w:rPr>
              <w:t>商业、住宅</w:t>
            </w:r>
          </w:p>
        </w:tc>
        <w:tc>
          <w:tcPr>
            <w:tcW w:w="14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rPr>
            </w:pPr>
          </w:p>
        </w:tc>
        <w:tc>
          <w:tcPr>
            <w:tcW w:w="22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rPr>
            </w:pPr>
          </w:p>
        </w:tc>
      </w:tr>
      <w:tr>
        <w:tblPrEx>
          <w:tblLayout w:type="fixed"/>
          <w:tblCellMar>
            <w:top w:w="15" w:type="dxa"/>
            <w:left w:w="15" w:type="dxa"/>
            <w:bottom w:w="15" w:type="dxa"/>
            <w:right w:w="15" w:type="dxa"/>
          </w:tblCellMar>
        </w:tblPrEx>
        <w:trPr>
          <w:trHeight w:val="540" w:hRule="atLeast"/>
        </w:trPr>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宋体" w:hAnsi="宋体" w:cs="宋体"/>
                <w:color w:val="000000" w:themeColor="text1"/>
                <w:sz w:val="18"/>
                <w:szCs w:val="18"/>
              </w:rPr>
            </w:pPr>
          </w:p>
        </w:tc>
        <w:tc>
          <w:tcPr>
            <w:tcW w:w="901"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权属</w:t>
            </w:r>
          </w:p>
        </w:tc>
        <w:tc>
          <w:tcPr>
            <w:tcW w:w="1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土地使用权性质</w:t>
            </w:r>
          </w:p>
        </w:tc>
        <w:tc>
          <w:tcPr>
            <w:tcW w:w="2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lang w:val="en-US" w:eastAsia="zh-CN"/>
              </w:rPr>
              <w:t>国有建设用地使用权</w:t>
            </w: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使用权类型</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lang w:val="en-US" w:eastAsia="zh-CN"/>
              </w:rPr>
              <w:t>出让</w:t>
            </w:r>
          </w:p>
        </w:tc>
      </w:tr>
      <w:tr>
        <w:tblPrEx>
          <w:tblLayout w:type="fixed"/>
          <w:tblCellMar>
            <w:top w:w="15" w:type="dxa"/>
            <w:left w:w="15" w:type="dxa"/>
            <w:bottom w:w="15" w:type="dxa"/>
            <w:right w:w="15" w:type="dxa"/>
          </w:tblCellMar>
        </w:tblPrEx>
        <w:trPr>
          <w:trHeight w:val="420" w:hRule="atLeast"/>
        </w:trPr>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宋体" w:hAnsi="宋体" w:cs="宋体"/>
                <w:color w:val="000000" w:themeColor="text1"/>
                <w:sz w:val="18"/>
                <w:szCs w:val="18"/>
              </w:rPr>
            </w:pPr>
          </w:p>
        </w:tc>
        <w:tc>
          <w:tcPr>
            <w:tcW w:w="901" w:type="dxa"/>
            <w:vMerge w:val="continue"/>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rPr>
            </w:pPr>
          </w:p>
        </w:tc>
        <w:tc>
          <w:tcPr>
            <w:tcW w:w="1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土地使用权人</w:t>
            </w:r>
          </w:p>
        </w:tc>
        <w:tc>
          <w:tcPr>
            <w:tcW w:w="61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lang w:val="en-US" w:eastAsia="zh-CN"/>
              </w:rPr>
              <w:t>四川平扬房地产开发有限公司</w:t>
            </w:r>
          </w:p>
        </w:tc>
      </w:tr>
      <w:tr>
        <w:tblPrEx>
          <w:tblLayout w:type="fixed"/>
          <w:tblCellMar>
            <w:top w:w="15" w:type="dxa"/>
            <w:left w:w="15" w:type="dxa"/>
            <w:bottom w:w="15" w:type="dxa"/>
            <w:right w:w="15" w:type="dxa"/>
          </w:tblCellMar>
        </w:tblPrEx>
        <w:trPr>
          <w:trHeight w:val="420" w:hRule="atLeast"/>
        </w:trPr>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宋体" w:hAnsi="宋体" w:cs="宋体"/>
                <w:color w:val="000000" w:themeColor="text1"/>
                <w:sz w:val="18"/>
                <w:szCs w:val="18"/>
              </w:rPr>
            </w:pPr>
          </w:p>
        </w:tc>
        <w:tc>
          <w:tcPr>
            <w:tcW w:w="901" w:type="dxa"/>
            <w:vMerge w:val="continue"/>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themeColor="text1"/>
                <w:kern w:val="0"/>
                <w:sz w:val="18"/>
                <w:szCs w:val="18"/>
              </w:rPr>
            </w:pPr>
          </w:p>
        </w:tc>
        <w:tc>
          <w:tcPr>
            <w:tcW w:w="16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房屋所有权人</w:t>
            </w:r>
          </w:p>
        </w:tc>
        <w:tc>
          <w:tcPr>
            <w:tcW w:w="615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0"/>
                <w:sz w:val="18"/>
                <w:szCs w:val="18"/>
                <w:lang w:val="en-US" w:eastAsia="zh-CN"/>
              </w:rPr>
            </w:pPr>
            <w:r>
              <w:rPr>
                <w:rFonts w:hint="eastAsia" w:ascii="宋体" w:hAnsi="宋体" w:cs="宋体"/>
                <w:color w:val="000000" w:themeColor="text1"/>
                <w:kern w:val="0"/>
                <w:sz w:val="18"/>
                <w:szCs w:val="18"/>
                <w:lang w:val="en-US" w:eastAsia="zh-CN"/>
              </w:rPr>
              <w:t>四川平扬房地产开发有限公司</w:t>
            </w:r>
          </w:p>
        </w:tc>
      </w:tr>
    </w:tbl>
    <w:p>
      <w:pPr>
        <w:numPr>
          <w:ilvl w:val="0"/>
          <w:numId w:val="6"/>
        </w:numPr>
        <w:spacing w:line="360" w:lineRule="auto"/>
        <w:ind w:firstLine="560"/>
        <w:rPr>
          <w:rFonts w:ascii="仿宋_GB2312" w:eastAsia="仿宋_GB2312"/>
          <w:color w:val="000000" w:themeColor="text1"/>
        </w:rPr>
      </w:pPr>
      <w:r>
        <w:rPr>
          <w:rFonts w:hint="eastAsia" w:ascii="仿宋_GB2312" w:eastAsia="仿宋_GB2312"/>
          <w:color w:val="000000" w:themeColor="text1"/>
        </w:rPr>
        <w:t>估价对象实物状况</w:t>
      </w:r>
    </w:p>
    <w:p>
      <w:pPr>
        <w:numPr>
          <w:ilvl w:val="0"/>
          <w:numId w:val="7"/>
        </w:numPr>
        <w:spacing w:line="360" w:lineRule="auto"/>
        <w:ind w:firstLine="560" w:firstLineChars="200"/>
        <w:rPr>
          <w:rStyle w:val="28"/>
          <w:color w:val="000000" w:themeColor="text1"/>
        </w:rPr>
      </w:pPr>
      <w:r>
        <w:rPr>
          <w:rStyle w:val="28"/>
          <w:rFonts w:hint="eastAsia"/>
          <w:color w:val="000000" w:themeColor="text1"/>
        </w:rPr>
        <w:t>土地实物状况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Style w:val="28"/>
          <w:rFonts w:hint="eastAsia" w:eastAsia="仿宋_GB2312"/>
          <w:color w:val="000000" w:themeColor="text1"/>
          <w:lang w:eastAsia="zh-CN"/>
        </w:rPr>
      </w:pPr>
      <w:bookmarkStart w:id="64" w:name="OLE_LINK19"/>
      <w:r>
        <w:rPr>
          <w:rStyle w:val="28"/>
          <w:rFonts w:hint="eastAsia" w:eastAsia="仿宋_GB2312"/>
          <w:color w:val="auto"/>
          <w:highlight w:val="none"/>
          <w:lang w:val="en-US" w:eastAsia="zh-CN"/>
        </w:rPr>
        <w:t>估价对象所在宗地坐落于</w:t>
      </w:r>
      <w:r>
        <w:rPr>
          <w:rStyle w:val="28"/>
          <w:rFonts w:hint="eastAsia" w:eastAsia="仿宋_GB2312"/>
          <w:lang w:val="en-US" w:eastAsia="zh-CN"/>
        </w:rPr>
        <w:t>自贡市大安区何市镇新街252号兴盛家园小区</w:t>
      </w:r>
      <w:r>
        <w:rPr>
          <w:rStyle w:val="28"/>
          <w:rFonts w:hint="eastAsia" w:eastAsia="仿宋_GB2312"/>
          <w:color w:val="auto"/>
          <w:highlight w:val="none"/>
          <w:lang w:val="en-US" w:eastAsia="zh-CN"/>
        </w:rPr>
        <w:t>，宗地性质为出让，用途为商住用地，东临待开发空地，南临待开发空地，西临待开发空地，北临太大路。宗地属丘陵地貌，形状较规则、地势有一定坡度，开发程</w:t>
      </w:r>
      <w:r>
        <w:rPr>
          <w:rStyle w:val="28"/>
          <w:rFonts w:hint="eastAsia" w:eastAsia="仿宋_GB2312"/>
          <w:color w:val="auto"/>
          <w:szCs w:val="22"/>
          <w:highlight w:val="none"/>
          <w:lang w:val="en-US" w:eastAsia="zh-CN"/>
        </w:rPr>
        <w:t>度已达“六通一平”（通上水、通下水、通电、通讯、通路、通气及场地平整），</w:t>
      </w:r>
      <w:r>
        <w:rPr>
          <w:rFonts w:hint="eastAsia" w:ascii="仿宋_GB2312" w:eastAsia="仿宋_GB2312"/>
          <w:color w:val="auto"/>
          <w:lang w:val="en-US" w:eastAsia="zh-CN"/>
        </w:rPr>
        <w:t>估价对象1用途为商业，剩余使用年期为</w:t>
      </w:r>
      <w:r>
        <w:rPr>
          <w:rStyle w:val="28"/>
          <w:rFonts w:hint="eastAsia" w:eastAsia="仿宋_GB2312"/>
          <w:color w:val="auto"/>
          <w:szCs w:val="22"/>
          <w:lang w:val="en-US" w:eastAsia="zh-CN"/>
        </w:rPr>
        <w:t>33.39年，估价对象2建筑面积为用途为住宅，剩余使用年期为63.39年，估价对象3为在建工程，根据自贡市城市建设档案馆提供的《面积测绘成果》确定估价对象3的建筑面积为5403.7平方米，用途为住宅，剩余使用年期为63.39年</w:t>
      </w:r>
      <w:r>
        <w:rPr>
          <w:rStyle w:val="28"/>
          <w:rFonts w:hint="eastAsia" w:eastAsia="仿宋_GB2312"/>
          <w:color w:val="000000" w:themeColor="text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Style w:val="28"/>
          <w:rFonts w:hint="eastAsia" w:eastAsia="仿宋_GB2312"/>
          <w:color w:val="000000" w:themeColor="text1"/>
          <w:lang w:eastAsia="zh-CN"/>
        </w:rPr>
      </w:pPr>
      <w:r>
        <w:rPr>
          <w:rStyle w:val="28"/>
          <w:rFonts w:hint="eastAsia" w:eastAsia="仿宋_GB2312"/>
          <w:color w:val="000000" w:themeColor="text1"/>
          <w:lang w:eastAsia="zh-CN"/>
        </w:rPr>
        <w:t>（</w:t>
      </w:r>
      <w:r>
        <w:rPr>
          <w:rStyle w:val="28"/>
          <w:rFonts w:hint="eastAsia" w:eastAsia="仿宋_GB2312"/>
          <w:color w:val="000000" w:themeColor="text1"/>
          <w:lang w:val="en-US" w:eastAsia="zh-CN"/>
        </w:rPr>
        <w:t>2</w:t>
      </w:r>
      <w:r>
        <w:rPr>
          <w:rStyle w:val="28"/>
          <w:rFonts w:hint="eastAsia" w:eastAsia="仿宋_GB2312"/>
          <w:color w:val="000000" w:themeColor="text1"/>
          <w:lang w:eastAsia="zh-CN"/>
        </w:rPr>
        <w:t>）建筑物实物状况</w:t>
      </w:r>
    </w:p>
    <w:bookmarkEnd w:id="64"/>
    <w:p>
      <w:pPr>
        <w:spacing w:line="360" w:lineRule="auto"/>
        <w:ind w:firstLine="560" w:firstLineChars="200"/>
        <w:rPr>
          <w:rFonts w:hint="eastAsia" w:ascii="仿宋_GB2312" w:eastAsia="仿宋_GB2312"/>
          <w:szCs w:val="28"/>
          <w:lang w:val="en-US" w:eastAsia="zh-CN"/>
        </w:rPr>
      </w:pPr>
      <w:r>
        <w:rPr>
          <w:rStyle w:val="28"/>
          <w:rFonts w:hint="eastAsia" w:eastAsia="仿宋_GB2312"/>
          <w:lang w:val="en-US" w:eastAsia="zh-CN"/>
        </w:rPr>
        <w:t>估价对象位于自贡市大安区何市镇新街252号兴盛家园小区</w:t>
      </w:r>
      <w:r>
        <w:rPr>
          <w:rFonts w:hint="eastAsia" w:ascii="仿宋_GB2312" w:eastAsia="仿宋_GB2312"/>
          <w:szCs w:val="22"/>
          <w:lang w:val="en-US" w:eastAsia="zh-CN"/>
        </w:rPr>
        <w:t>，建有7多栋多层混合结构的商住楼，</w:t>
      </w:r>
      <w:r>
        <w:rPr>
          <w:rFonts w:hint="eastAsia" w:ascii="仿宋_GB2312" w:hAnsi="宋体" w:eastAsia="仿宋_GB2312"/>
          <w:szCs w:val="28"/>
          <w:lang w:eastAsia="zh-CN"/>
        </w:rPr>
        <w:t>修建于</w:t>
      </w:r>
      <w:r>
        <w:rPr>
          <w:rFonts w:hint="eastAsia" w:ascii="仿宋_GB2312" w:hAnsi="宋体" w:eastAsia="仿宋_GB2312"/>
          <w:szCs w:val="28"/>
          <w:lang w:val="en-US" w:eastAsia="zh-CN"/>
        </w:rPr>
        <w:t>2014年</w:t>
      </w:r>
      <w:r>
        <w:rPr>
          <w:rFonts w:hint="eastAsia" w:ascii="仿宋_GB2312" w:hAnsi="宋体" w:eastAsia="仿宋_GB2312"/>
          <w:szCs w:val="28"/>
        </w:rPr>
        <w:t>，</w:t>
      </w:r>
      <w:r>
        <w:rPr>
          <w:rFonts w:hint="eastAsia" w:ascii="仿宋_GB2312" w:hAnsi="宋体" w:eastAsia="仿宋_GB2312"/>
          <w:szCs w:val="28"/>
          <w:lang w:val="en-US" w:eastAsia="zh-CN"/>
        </w:rPr>
        <w:t>建筑物</w:t>
      </w:r>
      <w:r>
        <w:rPr>
          <w:rFonts w:hint="eastAsia" w:ascii="仿宋_GB2312" w:hAnsi="宋体" w:eastAsia="仿宋_GB2312"/>
          <w:szCs w:val="28"/>
        </w:rPr>
        <w:t>外墙</w:t>
      </w:r>
      <w:r>
        <w:rPr>
          <w:rFonts w:hint="eastAsia" w:ascii="仿宋_GB2312" w:hAnsi="宋体" w:eastAsia="仿宋_GB2312"/>
          <w:szCs w:val="28"/>
          <w:lang w:val="en-US" w:eastAsia="zh-CN"/>
        </w:rPr>
        <w:t>贴墙砖</w:t>
      </w:r>
      <w:r>
        <w:rPr>
          <w:rStyle w:val="28"/>
          <w:rFonts w:hint="eastAsia" w:eastAsia="仿宋_GB2312"/>
          <w:szCs w:val="22"/>
          <w:lang w:val="en-US" w:eastAsia="zh-CN"/>
        </w:rPr>
        <w:t>。估价对象1为商业用途，所在位置位于兴盛家园第1至4栋，均为第一层，估价对象1商业房屋进深较深，部分房屋已进行装修，部分房屋为清水房；</w:t>
      </w:r>
      <w:r>
        <w:rPr>
          <w:rFonts w:hint="eastAsia" w:ascii="仿宋_GB2312" w:eastAsia="仿宋_GB2312"/>
          <w:szCs w:val="22"/>
          <w:lang w:val="en-US" w:eastAsia="zh-CN"/>
        </w:rPr>
        <w:t>估价对象2位于第3至5栋，均为第5层，用途为住宅，由于无法入户，本次查勘无法对房屋室内状况进行描述，仅以不动产登记中心所提供的房屋测绘图，确定房屋房号、区位及面积；估价对象3为小区内在建工程，根据自贡市城市建设档案馆提供的面积测绘成果，该在建工程共计11层，2个单元楼，为小区第6栋房屋，配备消防系统及电梯，室内无装修，根据估价人员现场勘察确定建筑物成新度8成，正常使用中，</w:t>
      </w:r>
      <w:r>
        <w:rPr>
          <w:rFonts w:hint="eastAsia" w:ascii="仿宋_GB2312" w:eastAsia="仿宋_GB2312"/>
          <w:szCs w:val="28"/>
          <w:lang w:val="en-US" w:eastAsia="zh-CN"/>
        </w:rPr>
        <w:t>房屋面积及分布数据如下表：</w:t>
      </w:r>
    </w:p>
    <w:tbl>
      <w:tblPr>
        <w:tblStyle w:val="24"/>
        <w:tblW w:w="100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99"/>
        <w:gridCol w:w="2478"/>
        <w:gridCol w:w="1699"/>
        <w:gridCol w:w="2430"/>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栋号</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所在层</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房屋编号</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用途</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1-11-2铺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1-12-1铺</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1-11</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在建工程（住宅）</w:t>
            </w:r>
          </w:p>
        </w:tc>
        <w:tc>
          <w:tcPr>
            <w:tcW w:w="1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5403.7</w:t>
            </w:r>
          </w:p>
        </w:tc>
      </w:tr>
    </w:tbl>
    <w:p>
      <w:pPr>
        <w:adjustRightInd w:val="0"/>
        <w:spacing w:line="360" w:lineRule="auto"/>
        <w:ind w:firstLine="560" w:firstLineChars="200"/>
        <w:rPr>
          <w:rFonts w:hint="eastAsia" w:ascii="仿宋_GB2312" w:eastAsia="仿宋_GB2312"/>
          <w:color w:val="000000" w:themeColor="text1"/>
          <w:szCs w:val="22"/>
        </w:rPr>
      </w:pPr>
      <w:r>
        <w:rPr>
          <w:rFonts w:hint="eastAsia" w:ascii="仿宋_GB2312" w:eastAsia="仿宋_GB2312"/>
          <w:color w:val="000000" w:themeColor="text1"/>
          <w:szCs w:val="22"/>
          <w:lang w:val="en-US" w:eastAsia="zh-CN"/>
        </w:rPr>
        <w:t>4、</w:t>
      </w:r>
      <w:r>
        <w:rPr>
          <w:rFonts w:hint="eastAsia" w:ascii="仿宋_GB2312" w:eastAsia="仿宋_GB2312"/>
          <w:color w:val="000000" w:themeColor="text1"/>
          <w:szCs w:val="22"/>
        </w:rPr>
        <w:t>估价对象权益状况</w:t>
      </w:r>
    </w:p>
    <w:p>
      <w:pPr>
        <w:adjustRightInd w:val="0"/>
        <w:spacing w:line="360" w:lineRule="auto"/>
        <w:ind w:firstLine="560" w:firstLineChars="200"/>
        <w:rPr>
          <w:rFonts w:hint="eastAsia" w:ascii="仿宋_GB2312" w:eastAsia="仿宋_GB2312"/>
          <w:color w:val="000000" w:themeColor="text1"/>
          <w:szCs w:val="22"/>
          <w:lang w:val="en-US" w:eastAsia="zh-CN"/>
        </w:rPr>
      </w:pPr>
      <w:r>
        <w:rPr>
          <w:rFonts w:hint="eastAsia" w:ascii="仿宋_GB2312" w:eastAsia="仿宋_GB2312"/>
          <w:color w:val="000000" w:themeColor="text1"/>
          <w:szCs w:val="22"/>
          <w:lang w:val="en-US" w:eastAsia="zh-CN"/>
        </w:rPr>
        <w:t>（1）不动产登记状况</w:t>
      </w:r>
    </w:p>
    <w:p>
      <w:pPr>
        <w:spacing w:line="360" w:lineRule="auto"/>
        <w:ind w:firstLine="560" w:firstLineChars="200"/>
        <w:rPr>
          <w:rFonts w:hint="eastAsia" w:ascii="仿宋_GB2312" w:eastAsia="仿宋_GB2312"/>
          <w:color w:val="auto"/>
          <w:szCs w:val="28"/>
          <w:lang w:val="en-US" w:eastAsia="zh-CN"/>
        </w:rPr>
      </w:pPr>
      <w:r>
        <w:rPr>
          <w:rFonts w:hint="eastAsia" w:ascii="仿宋_GB2312" w:eastAsia="仿宋_GB2312"/>
          <w:color w:val="auto"/>
          <w:szCs w:val="28"/>
          <w:lang w:val="en-US" w:eastAsia="zh-CN"/>
        </w:rPr>
        <w:t>本次评估，估价委托人未提供相关权证信息，根据本次评估目的，该行为多由产权人不配合产生，故无法对本次不动产权益状况进行描述。</w:t>
      </w:r>
    </w:p>
    <w:p>
      <w:pPr>
        <w:adjustRightInd w:val="0"/>
        <w:spacing w:line="360" w:lineRule="auto"/>
        <w:ind w:firstLine="560" w:firstLineChars="200"/>
        <w:rPr>
          <w:rFonts w:hint="eastAsia" w:ascii="仿宋_GB2312" w:eastAsia="仿宋_GB2312"/>
          <w:color w:val="000000" w:themeColor="text1"/>
          <w:szCs w:val="22"/>
          <w:lang w:val="en-US" w:eastAsia="zh-CN"/>
        </w:rPr>
      </w:pPr>
      <w:r>
        <w:rPr>
          <w:rFonts w:hint="eastAsia" w:ascii="仿宋_GB2312" w:eastAsia="仿宋_GB2312"/>
          <w:color w:val="auto"/>
          <w:szCs w:val="28"/>
          <w:lang w:val="en-US" w:eastAsia="zh-CN"/>
        </w:rPr>
        <w:t>另根据本次评估目的，由估价委托人及相关单位进行协助，注册房地产估价师对估价对象权益状况向自贡市自</w:t>
      </w:r>
      <w:r>
        <w:rPr>
          <w:rFonts w:hint="eastAsia" w:ascii="仿宋_GB2312" w:eastAsia="仿宋_GB2312"/>
          <w:szCs w:val="28"/>
          <w:lang w:val="en-US" w:eastAsia="zh-CN"/>
        </w:rPr>
        <w:t>然资源和规划局不动产登记中心及自贡市城市建设档案馆进行咨询，确定产权人为四川平扬房地产开发有限公司，用途为商服、住宅，宗地面积共计13853平方米，使用权类型为出让，商服土地使用权终止日期为2054年8月13日，住宅土地使用权终止日期为2084年8月13日</w:t>
      </w:r>
      <w:r>
        <w:rPr>
          <w:rFonts w:hint="eastAsia" w:ascii="仿宋_GB2312" w:eastAsia="仿宋_GB2312"/>
          <w:color w:val="000000" w:themeColor="text1"/>
          <w:szCs w:val="22"/>
          <w:lang w:val="en-US" w:eastAsia="zh-CN"/>
        </w:rPr>
        <w:t>。</w:t>
      </w:r>
    </w:p>
    <w:p>
      <w:pPr>
        <w:spacing w:line="360" w:lineRule="auto"/>
        <w:ind w:firstLine="560" w:firstLineChars="200"/>
        <w:rPr>
          <w:rFonts w:ascii="仿宋_GB2312" w:eastAsia="仿宋_GB2312"/>
          <w:color w:val="000000" w:themeColor="text1"/>
          <w:szCs w:val="28"/>
        </w:rPr>
      </w:pPr>
      <w:r>
        <w:rPr>
          <w:rFonts w:hint="eastAsia" w:ascii="仿宋_GB2312" w:eastAsia="仿宋_GB2312"/>
          <w:color w:val="000000" w:themeColor="text1"/>
          <w:szCs w:val="28"/>
        </w:rPr>
        <w:t>（</w:t>
      </w:r>
      <w:r>
        <w:rPr>
          <w:rFonts w:hint="eastAsia" w:ascii="仿宋_GB2312" w:eastAsia="仿宋_GB2312"/>
          <w:color w:val="000000" w:themeColor="text1"/>
          <w:szCs w:val="28"/>
          <w:lang w:val="en-US" w:eastAsia="zh-CN"/>
        </w:rPr>
        <w:t>2</w:t>
      </w:r>
      <w:r>
        <w:rPr>
          <w:rFonts w:hint="eastAsia" w:ascii="仿宋_GB2312" w:eastAsia="仿宋_GB2312"/>
          <w:color w:val="000000" w:themeColor="text1"/>
          <w:szCs w:val="28"/>
        </w:rPr>
        <w:t>）他项权利状况</w:t>
      </w:r>
    </w:p>
    <w:p>
      <w:pPr>
        <w:spacing w:line="360" w:lineRule="auto"/>
        <w:ind w:firstLine="560" w:firstLineChars="200"/>
        <w:rPr>
          <w:rFonts w:ascii="仿宋_GB2312" w:eastAsia="仿宋_GB2312"/>
          <w:szCs w:val="28"/>
        </w:rPr>
      </w:pPr>
      <w:bookmarkStart w:id="65" w:name="_Toc437265336"/>
      <w:r>
        <w:rPr>
          <w:rFonts w:hint="eastAsia" w:ascii="仿宋_GB2312" w:eastAsia="仿宋_GB2312"/>
          <w:szCs w:val="28"/>
          <w:lang w:val="en-US" w:eastAsia="zh-CN"/>
        </w:rPr>
        <w:t>在价值时点，估价对象未设置有租赁权，但已设置抵押权，并且已被四川省成都市中级人民法院查封。鉴于本次估价目的，根据</w:t>
      </w:r>
      <w:r>
        <w:rPr>
          <w:rFonts w:hint="eastAsia" w:ascii="仿宋_GB2312" w:eastAsia="仿宋_GB2312"/>
          <w:szCs w:val="28"/>
        </w:rPr>
        <w:t>《房地产司法鉴定评估指导意见》（试行）川建房法【2011】89号</w:t>
      </w:r>
      <w:r>
        <w:rPr>
          <w:rFonts w:hint="eastAsia" w:ascii="仿宋_GB2312" w:eastAsia="仿宋_GB2312"/>
          <w:szCs w:val="28"/>
          <w:lang w:val="en-US" w:eastAsia="zh-CN"/>
        </w:rPr>
        <w:t>，本次估价不考虑估价对象抵押、查封等权利限制事项对其价值的影响</w:t>
      </w:r>
      <w:r>
        <w:rPr>
          <w:rFonts w:hint="eastAsia" w:ascii="仿宋_GB2312" w:hAnsi="宋体" w:eastAsia="仿宋_GB2312"/>
          <w:szCs w:val="28"/>
        </w:rPr>
        <w:t>。</w:t>
      </w:r>
    </w:p>
    <w:p>
      <w:pPr>
        <w:numPr>
          <w:ilvl w:val="0"/>
          <w:numId w:val="0"/>
        </w:numPr>
        <w:spacing w:line="360" w:lineRule="auto"/>
        <w:ind w:left="560" w:leftChars="0"/>
        <w:rPr>
          <w:rStyle w:val="27"/>
          <w:rFonts w:hint="eastAsia" w:ascii="仿宋_GB2312" w:hAnsi="仿宋_GB2312" w:eastAsia="仿宋_GB2312" w:cs="仿宋_GB2312"/>
          <w:b w:val="0"/>
          <w:bCs/>
          <w:color w:val="000000" w:themeColor="text1"/>
          <w:sz w:val="28"/>
          <w:szCs w:val="28"/>
          <w:lang w:val="en-US" w:eastAsia="zh-CN"/>
        </w:rPr>
      </w:pPr>
      <w:bookmarkStart w:id="66" w:name="_Toc17623"/>
      <w:bookmarkStart w:id="67" w:name="_Toc19982"/>
      <w:r>
        <w:rPr>
          <w:rStyle w:val="27"/>
          <w:rFonts w:hint="eastAsia" w:ascii="仿宋_GB2312" w:hAnsi="仿宋_GB2312" w:eastAsia="仿宋_GB2312" w:cs="仿宋_GB2312"/>
          <w:b w:val="0"/>
          <w:bCs/>
          <w:color w:val="000000" w:themeColor="text1"/>
          <w:sz w:val="28"/>
          <w:szCs w:val="28"/>
          <w:lang w:val="en-US" w:eastAsia="zh-CN"/>
        </w:rPr>
        <w:t>5、区位状况</w:t>
      </w:r>
    </w:p>
    <w:bookmarkEnd w:id="66"/>
    <w:bookmarkEnd w:id="67"/>
    <w:p>
      <w:pPr>
        <w:spacing w:line="360" w:lineRule="auto"/>
        <w:ind w:firstLine="560" w:firstLineChars="200"/>
        <w:rPr>
          <w:rFonts w:ascii="仿宋_GB2312" w:eastAsia="仿宋_GB2312"/>
        </w:rPr>
      </w:pPr>
      <w:r>
        <w:rPr>
          <w:rFonts w:hint="eastAsia" w:ascii="仿宋_GB2312" w:eastAsia="仿宋_GB2312"/>
          <w:lang w:eastAsia="zh-CN"/>
        </w:rPr>
        <w:t>（</w:t>
      </w:r>
      <w:r>
        <w:rPr>
          <w:rFonts w:hint="eastAsia" w:ascii="仿宋_GB2312" w:eastAsia="仿宋_GB2312"/>
          <w:lang w:val="en-US" w:eastAsia="zh-CN"/>
        </w:rPr>
        <w:t>1）</w:t>
      </w:r>
      <w:r>
        <w:rPr>
          <w:rFonts w:hint="eastAsia" w:ascii="仿宋_GB2312" w:eastAsia="仿宋_GB2312"/>
        </w:rPr>
        <w:t>地理位置状况</w:t>
      </w:r>
    </w:p>
    <w:p>
      <w:pPr>
        <w:numPr>
          <w:ilvl w:val="0"/>
          <w:numId w:val="0"/>
        </w:numPr>
        <w:spacing w:line="360" w:lineRule="auto"/>
        <w:ind w:firstLine="560" w:firstLineChars="200"/>
        <w:rPr>
          <w:rFonts w:hint="eastAsia" w:ascii="仿宋_GB2312" w:eastAsia="仿宋_GB2312"/>
        </w:rPr>
      </w:pPr>
      <w:r>
        <w:rPr>
          <w:rFonts w:hint="eastAsia" w:ascii="仿宋_GB2312" w:eastAsia="仿宋_GB2312"/>
        </w:rPr>
        <w:t>根据注册房地产估价师现场调查，</w:t>
      </w:r>
      <w:r>
        <w:rPr>
          <w:rStyle w:val="28"/>
          <w:rFonts w:hint="eastAsia" w:eastAsia="仿宋_GB2312"/>
          <w:lang w:val="en-US" w:eastAsia="zh-CN"/>
        </w:rPr>
        <w:t>估价对象1（商业）、估价对象2（住宅）及估价对象3（在建工程）均位于自贡市自贡市大安区何市镇新街252号兴盛家园小区</w:t>
      </w:r>
      <w:r>
        <w:rPr>
          <w:rFonts w:hint="eastAsia" w:ascii="仿宋_GB2312" w:eastAsia="仿宋_GB2312"/>
          <w:szCs w:val="22"/>
          <w:lang w:val="en-US" w:eastAsia="zh-CN"/>
        </w:rPr>
        <w:t>，估价对象1为商业用房地产，分布兴盛家园1至4栋，均位于第1层，估价对象2（住宅）分布于兴盛家园第3、4、5栋，朝向为南，</w:t>
      </w:r>
      <w:r>
        <w:rPr>
          <w:rFonts w:hint="eastAsia" w:ascii="仿宋_GB2312" w:hAnsi="宋体" w:eastAsia="仿宋_GB2312"/>
          <w:szCs w:val="28"/>
          <w:lang w:eastAsia="zh-CN"/>
        </w:rPr>
        <w:t>所在楼栋共计</w:t>
      </w:r>
      <w:r>
        <w:rPr>
          <w:rFonts w:hint="eastAsia" w:ascii="仿宋_GB2312" w:hAnsi="宋体" w:eastAsia="仿宋_GB2312"/>
          <w:szCs w:val="28"/>
          <w:lang w:val="en-US" w:eastAsia="zh-CN"/>
        </w:rPr>
        <w:t>5层</w:t>
      </w:r>
      <w:r>
        <w:rPr>
          <w:rFonts w:hint="eastAsia" w:ascii="仿宋_GB2312" w:hAnsi="宋体" w:eastAsia="仿宋_GB2312"/>
          <w:szCs w:val="28"/>
        </w:rPr>
        <w:t>，估价对象</w:t>
      </w:r>
      <w:r>
        <w:rPr>
          <w:rFonts w:hint="eastAsia" w:ascii="仿宋_GB2312" w:hAnsi="宋体" w:eastAsia="仿宋_GB2312"/>
          <w:szCs w:val="28"/>
          <w:lang w:val="en-US" w:eastAsia="zh-CN"/>
        </w:rPr>
        <w:t>2（住宅）均</w:t>
      </w:r>
      <w:r>
        <w:rPr>
          <w:rFonts w:hint="eastAsia" w:ascii="仿宋_GB2312" w:hAnsi="宋体" w:eastAsia="仿宋_GB2312"/>
          <w:szCs w:val="28"/>
        </w:rPr>
        <w:t>位于</w:t>
      </w:r>
      <w:r>
        <w:rPr>
          <w:rFonts w:hint="eastAsia" w:ascii="仿宋_GB2312" w:hAnsi="宋体" w:eastAsia="仿宋_GB2312"/>
          <w:szCs w:val="28"/>
          <w:lang w:eastAsia="zh-CN"/>
        </w:rPr>
        <w:t>第</w:t>
      </w:r>
      <w:r>
        <w:rPr>
          <w:rFonts w:hint="eastAsia" w:ascii="仿宋_GB2312" w:hAnsi="宋体" w:eastAsia="仿宋_GB2312"/>
          <w:szCs w:val="28"/>
          <w:lang w:val="en-US" w:eastAsia="zh-CN"/>
        </w:rPr>
        <w:t>5层，估价对象3（在建工程），为小区规划第6栋房屋，估价对象3共计11层，位于1-11层</w:t>
      </w:r>
      <w:r>
        <w:rPr>
          <w:rFonts w:hint="eastAsia" w:ascii="仿宋_GB2312" w:eastAsia="仿宋_GB2312"/>
        </w:rPr>
        <w:t>。</w:t>
      </w:r>
    </w:p>
    <w:p>
      <w:pPr>
        <w:numPr>
          <w:ilvl w:val="0"/>
          <w:numId w:val="0"/>
        </w:numPr>
        <w:spacing w:line="360" w:lineRule="auto"/>
        <w:ind w:firstLine="560" w:firstLineChars="200"/>
        <w:rPr>
          <w:rFonts w:ascii="仿宋_GB2312" w:eastAsia="仿宋_GB2312"/>
        </w:rPr>
      </w:pPr>
      <w:r>
        <w:rPr>
          <w:rFonts w:hint="eastAsia" w:ascii="仿宋_GB2312" w:eastAsia="仿宋_GB2312"/>
          <w:lang w:eastAsia="zh-CN"/>
        </w:rPr>
        <w:t>（</w:t>
      </w:r>
      <w:r>
        <w:rPr>
          <w:rFonts w:hint="eastAsia" w:ascii="仿宋_GB2312" w:eastAsia="仿宋_GB2312"/>
          <w:lang w:val="en-US" w:eastAsia="zh-CN"/>
        </w:rPr>
        <w:t>2）</w:t>
      </w:r>
      <w:r>
        <w:rPr>
          <w:rFonts w:hint="eastAsia" w:ascii="仿宋_GB2312" w:eastAsia="仿宋_GB2312"/>
        </w:rPr>
        <w:t>交通状况</w:t>
      </w:r>
    </w:p>
    <w:p>
      <w:pPr>
        <w:spacing w:line="360" w:lineRule="auto"/>
        <w:ind w:firstLine="560" w:firstLineChars="200"/>
        <w:rPr>
          <w:rFonts w:ascii="仿宋_GB2312" w:eastAsia="仿宋_GB2312"/>
        </w:rPr>
      </w:pPr>
      <w:r>
        <w:rPr>
          <w:rFonts w:hint="eastAsia" w:ascii="仿宋_GB2312" w:eastAsia="仿宋_GB2312"/>
        </w:rPr>
        <w:t>估价对象</w:t>
      </w:r>
      <w:r>
        <w:rPr>
          <w:rFonts w:hint="eastAsia" w:ascii="仿宋_GB2312" w:eastAsia="仿宋_GB2312"/>
          <w:lang w:eastAsia="zh-CN"/>
        </w:rPr>
        <w:t>均</w:t>
      </w:r>
      <w:r>
        <w:rPr>
          <w:rFonts w:hint="eastAsia" w:ascii="仿宋_GB2312" w:eastAsia="仿宋_GB2312"/>
        </w:rPr>
        <w:t>位于</w:t>
      </w:r>
      <w:r>
        <w:rPr>
          <w:rStyle w:val="28"/>
          <w:rFonts w:hint="eastAsia" w:eastAsia="仿宋_GB2312"/>
          <w:lang w:val="en-US" w:eastAsia="zh-CN"/>
        </w:rPr>
        <w:t>自贡市大安区何市镇新街252号兴盛家园小区</w:t>
      </w:r>
      <w:r>
        <w:rPr>
          <w:rFonts w:hint="eastAsia" w:ascii="仿宋_GB2312" w:eastAsia="仿宋_GB2312"/>
        </w:rPr>
        <w:t>，区域内有</w:t>
      </w:r>
      <w:r>
        <w:rPr>
          <w:rFonts w:hint="eastAsia" w:ascii="仿宋_GB2312" w:eastAsia="仿宋_GB2312"/>
          <w:lang w:eastAsia="zh-CN"/>
        </w:rPr>
        <w:t>太大路</w:t>
      </w:r>
      <w:r>
        <w:rPr>
          <w:rFonts w:hint="eastAsia" w:ascii="仿宋_GB2312" w:eastAsia="仿宋_GB2312"/>
        </w:rPr>
        <w:t>等城市主次要交通道路</w:t>
      </w:r>
      <w:r>
        <w:rPr>
          <w:rFonts w:hint="eastAsia" w:ascii="仿宋_GB2312" w:eastAsia="仿宋_GB2312"/>
          <w:lang w:eastAsia="zh-CN"/>
        </w:rPr>
        <w:t>及其他乡村道路</w:t>
      </w:r>
      <w:r>
        <w:rPr>
          <w:rFonts w:hint="eastAsia" w:ascii="仿宋_GB2312" w:eastAsia="仿宋_GB2312"/>
        </w:rPr>
        <w:t>，</w:t>
      </w:r>
      <w:r>
        <w:rPr>
          <w:rFonts w:hint="eastAsia" w:ascii="仿宋_GB2312" w:eastAsia="仿宋_GB2312"/>
          <w:lang w:eastAsia="zh-CN"/>
        </w:rPr>
        <w:t>仅</w:t>
      </w:r>
      <w:r>
        <w:rPr>
          <w:rFonts w:hint="eastAsia" w:ascii="仿宋_GB2312" w:eastAsia="仿宋_GB2312"/>
        </w:rPr>
        <w:t>有</w:t>
      </w:r>
      <w:r>
        <w:rPr>
          <w:rFonts w:hint="eastAsia" w:ascii="仿宋_GB2312" w:eastAsia="仿宋_GB2312"/>
          <w:lang w:eastAsia="zh-CN"/>
        </w:rPr>
        <w:t>客运巴士</w:t>
      </w:r>
      <w:r>
        <w:rPr>
          <w:rFonts w:hint="eastAsia" w:ascii="仿宋_GB2312" w:eastAsia="仿宋_GB2312"/>
        </w:rPr>
        <w:t>等</w:t>
      </w:r>
      <w:r>
        <w:rPr>
          <w:rFonts w:hint="eastAsia" w:ascii="仿宋_GB2312" w:eastAsia="仿宋_GB2312"/>
          <w:lang w:eastAsia="zh-CN"/>
        </w:rPr>
        <w:t>一</w:t>
      </w:r>
      <w:r>
        <w:rPr>
          <w:rFonts w:hint="eastAsia" w:ascii="仿宋_GB2312" w:eastAsia="仿宋_GB2312"/>
        </w:rPr>
        <w:t>条公交线路，无交通管制，</w:t>
      </w:r>
      <w:r>
        <w:rPr>
          <w:rStyle w:val="28"/>
          <w:rFonts w:hint="eastAsia" w:ascii="仿宋_GB2312" w:hAnsi="微软雅黑"/>
        </w:rPr>
        <w:t>交通</w:t>
      </w:r>
      <w:r>
        <w:rPr>
          <w:rStyle w:val="28"/>
          <w:rFonts w:hint="eastAsia" w:ascii="仿宋_GB2312" w:hAnsi="微软雅黑" w:eastAsia="仿宋_GB2312"/>
          <w:lang w:eastAsia="zh-CN"/>
        </w:rPr>
        <w:t>便利程度一般</w:t>
      </w:r>
      <w:r>
        <w:rPr>
          <w:rFonts w:hint="eastAsia" w:ascii="仿宋_GB2312" w:eastAsia="仿宋_GB2312"/>
        </w:rPr>
        <w:t>。</w:t>
      </w:r>
    </w:p>
    <w:p>
      <w:pPr>
        <w:numPr>
          <w:ilvl w:val="0"/>
          <w:numId w:val="0"/>
        </w:numPr>
        <w:spacing w:line="360" w:lineRule="auto"/>
        <w:ind w:firstLine="560" w:firstLineChars="200"/>
        <w:rPr>
          <w:rFonts w:ascii="仿宋_GB2312" w:eastAsia="仿宋_GB2312"/>
        </w:rPr>
      </w:pPr>
      <w:r>
        <w:rPr>
          <w:rFonts w:hint="eastAsia" w:ascii="仿宋_GB2312" w:eastAsia="仿宋_GB2312"/>
          <w:lang w:val="en-US" w:eastAsia="zh-CN"/>
        </w:rPr>
        <w:t>（3）</w:t>
      </w:r>
      <w:r>
        <w:rPr>
          <w:rFonts w:hint="eastAsia" w:ascii="仿宋_GB2312" w:eastAsia="仿宋_GB2312"/>
        </w:rPr>
        <w:t>外部配套设施状况</w:t>
      </w:r>
    </w:p>
    <w:p>
      <w:pPr>
        <w:numPr>
          <w:ilvl w:val="0"/>
          <w:numId w:val="0"/>
        </w:numPr>
        <w:spacing w:line="360" w:lineRule="auto"/>
        <w:ind w:firstLine="560" w:firstLineChars="200"/>
        <w:rPr>
          <w:rFonts w:ascii="仿宋_GB2312" w:eastAsia="仿宋_GB2312"/>
        </w:rPr>
      </w:pPr>
      <w:r>
        <w:rPr>
          <w:rFonts w:hint="eastAsia" w:ascii="仿宋_GB2312" w:eastAsia="仿宋_GB2312"/>
          <w:lang w:val="en-US" w:eastAsia="zh-CN"/>
        </w:rPr>
        <w:t>1）</w:t>
      </w:r>
      <w:r>
        <w:rPr>
          <w:rFonts w:hint="eastAsia" w:ascii="仿宋_GB2312" w:eastAsia="仿宋_GB2312"/>
        </w:rPr>
        <w:t>基础设施</w:t>
      </w:r>
    </w:p>
    <w:p>
      <w:pPr>
        <w:spacing w:line="360" w:lineRule="auto"/>
        <w:ind w:firstLine="560" w:firstLineChars="200"/>
        <w:rPr>
          <w:rFonts w:ascii="仿宋_GB2312" w:eastAsia="仿宋_GB2312"/>
        </w:rPr>
      </w:pPr>
      <w:r>
        <w:rPr>
          <w:rFonts w:hint="eastAsia" w:ascii="仿宋_GB2312" w:eastAsia="仿宋_GB2312"/>
        </w:rPr>
        <w:t>估价对象</w:t>
      </w:r>
      <w:r>
        <w:rPr>
          <w:rFonts w:hint="eastAsia" w:ascii="仿宋_GB2312" w:eastAsia="仿宋_GB2312"/>
          <w:lang w:eastAsia="zh-CN"/>
        </w:rPr>
        <w:t>均</w:t>
      </w:r>
      <w:r>
        <w:rPr>
          <w:rFonts w:hint="eastAsia" w:ascii="仿宋_GB2312" w:eastAsia="仿宋_GB2312"/>
        </w:rPr>
        <w:t>位于</w:t>
      </w:r>
      <w:r>
        <w:rPr>
          <w:rStyle w:val="28"/>
          <w:rFonts w:hint="eastAsia" w:eastAsia="仿宋_GB2312"/>
          <w:lang w:val="en-US" w:eastAsia="zh-CN"/>
        </w:rPr>
        <w:t>自贡市大安区何市镇新街252号兴盛家园小区</w:t>
      </w:r>
      <w:r>
        <w:rPr>
          <w:rFonts w:hint="eastAsia" w:ascii="仿宋_GB2312" w:eastAsia="仿宋_GB2312"/>
        </w:rPr>
        <w:t>，区域内基础设施配套完善，达到“六通”（通上水、通下水、通电、通讯、通路、通气）。</w:t>
      </w:r>
    </w:p>
    <w:p>
      <w:pPr>
        <w:spacing w:line="360" w:lineRule="auto"/>
        <w:ind w:firstLine="560" w:firstLineChars="200"/>
        <w:rPr>
          <w:rFonts w:ascii="仿宋_GB2312" w:eastAsia="仿宋_GB2312"/>
        </w:rPr>
      </w:pPr>
      <w:r>
        <w:rPr>
          <w:rFonts w:hint="eastAsia" w:ascii="仿宋_GB2312" w:eastAsia="仿宋_GB2312"/>
        </w:rPr>
        <w:t>通上水：区域供水接是</w:t>
      </w:r>
      <w:r>
        <w:rPr>
          <w:rFonts w:hint="eastAsia" w:ascii="仿宋_GB2312" w:eastAsia="仿宋_GB2312"/>
          <w:lang w:eastAsia="zh-CN"/>
        </w:rPr>
        <w:t>自贡市</w:t>
      </w:r>
      <w:r>
        <w:rPr>
          <w:rFonts w:hint="eastAsia" w:ascii="仿宋_GB2312" w:eastAsia="仿宋_GB2312"/>
        </w:rPr>
        <w:t>市政供水管网，供水保证率为98%以上；</w:t>
      </w:r>
    </w:p>
    <w:p>
      <w:pPr>
        <w:spacing w:line="360" w:lineRule="auto"/>
        <w:ind w:firstLine="560" w:firstLineChars="200"/>
        <w:rPr>
          <w:rFonts w:ascii="仿宋_GB2312" w:eastAsia="仿宋_GB2312"/>
        </w:rPr>
      </w:pPr>
      <w:r>
        <w:rPr>
          <w:rFonts w:hint="eastAsia" w:ascii="仿宋_GB2312" w:eastAsia="仿宋_GB2312"/>
        </w:rPr>
        <w:t>通下水：区域排水排入</w:t>
      </w:r>
      <w:r>
        <w:rPr>
          <w:rFonts w:hint="eastAsia" w:ascii="仿宋_GB2312" w:eastAsia="仿宋_GB2312"/>
          <w:lang w:eastAsia="zh-CN"/>
        </w:rPr>
        <w:t>自贡市</w:t>
      </w:r>
      <w:r>
        <w:rPr>
          <w:rFonts w:hint="eastAsia" w:ascii="仿宋_GB2312" w:eastAsia="仿宋_GB2312"/>
        </w:rPr>
        <w:t>市政排污系统，实行雨、污分流，排水通畅；</w:t>
      </w:r>
    </w:p>
    <w:p>
      <w:pPr>
        <w:spacing w:line="360" w:lineRule="auto"/>
        <w:ind w:firstLine="560" w:firstLineChars="200"/>
        <w:rPr>
          <w:rFonts w:ascii="仿宋_GB2312" w:eastAsia="仿宋_GB2312"/>
        </w:rPr>
      </w:pPr>
      <w:r>
        <w:rPr>
          <w:rFonts w:hint="eastAsia" w:ascii="仿宋_GB2312" w:eastAsia="仿宋_GB2312"/>
        </w:rPr>
        <w:t>通电：区域供电来自国家电网，由</w:t>
      </w:r>
      <w:r>
        <w:rPr>
          <w:rFonts w:hint="eastAsia" w:ascii="仿宋_GB2312" w:eastAsia="仿宋_GB2312"/>
          <w:lang w:eastAsia="zh-CN"/>
        </w:rPr>
        <w:t>自贡市</w:t>
      </w:r>
      <w:r>
        <w:rPr>
          <w:rFonts w:hint="eastAsia" w:ascii="仿宋_GB2312" w:eastAsia="仿宋_GB2312"/>
        </w:rPr>
        <w:t>供电局提供，供电保证率达95%以上；</w:t>
      </w:r>
    </w:p>
    <w:p>
      <w:pPr>
        <w:spacing w:line="560" w:lineRule="exact"/>
        <w:ind w:firstLine="560" w:firstLineChars="200"/>
        <w:rPr>
          <w:rFonts w:ascii="仿宋_GB2312" w:eastAsia="仿宋_GB2312"/>
        </w:rPr>
      </w:pPr>
      <w:r>
        <w:rPr>
          <w:rFonts w:hint="eastAsia" w:ascii="仿宋_GB2312" w:eastAsia="仿宋_GB2312"/>
        </w:rPr>
        <w:t>通路：区域内道路呈网状分布，主次干道、支路分布密集，主次干道宽度为</w:t>
      </w:r>
      <w:r>
        <w:rPr>
          <w:rFonts w:hint="eastAsia" w:ascii="仿宋_GB2312" w:eastAsia="仿宋_GB2312"/>
          <w:lang w:val="en-US" w:eastAsia="zh-CN"/>
        </w:rPr>
        <w:t>10-20</w:t>
      </w:r>
      <w:r>
        <w:rPr>
          <w:rFonts w:hint="eastAsia" w:ascii="仿宋_GB2312" w:eastAsia="仿宋_GB2312"/>
        </w:rPr>
        <w:t xml:space="preserve"> 米，支路宽度约为</w:t>
      </w:r>
      <w:r>
        <w:rPr>
          <w:rFonts w:hint="eastAsia" w:ascii="仿宋_GB2312" w:eastAsia="仿宋_GB2312"/>
          <w:lang w:val="en-US" w:eastAsia="zh-CN"/>
        </w:rPr>
        <w:t>5-10</w:t>
      </w:r>
      <w:r>
        <w:rPr>
          <w:rFonts w:hint="eastAsia" w:ascii="仿宋_GB2312" w:eastAsia="仿宋_GB2312"/>
        </w:rPr>
        <w:t>米，路面为沥青</w:t>
      </w:r>
      <w:r>
        <w:rPr>
          <w:rFonts w:hint="eastAsia" w:ascii="仿宋_GB2312" w:eastAsia="仿宋_GB2312"/>
          <w:lang w:eastAsia="zh-CN"/>
        </w:rPr>
        <w:t>或混凝土</w:t>
      </w:r>
      <w:r>
        <w:rPr>
          <w:rFonts w:hint="eastAsia" w:ascii="仿宋_GB2312" w:eastAsia="仿宋_GB2312"/>
        </w:rPr>
        <w:t>路面，所有道路路况好、无交通管制、道路的通达度</w:t>
      </w:r>
      <w:r>
        <w:rPr>
          <w:rFonts w:hint="eastAsia" w:ascii="仿宋_GB2312" w:eastAsia="仿宋_GB2312"/>
          <w:lang w:eastAsia="zh-CN"/>
        </w:rPr>
        <w:t>较好</w:t>
      </w:r>
      <w:r>
        <w:rPr>
          <w:rFonts w:hint="eastAsia" w:ascii="仿宋_GB2312" w:eastAsia="仿宋_GB2312"/>
        </w:rPr>
        <w:t>；</w:t>
      </w:r>
    </w:p>
    <w:p>
      <w:pPr>
        <w:spacing w:line="560" w:lineRule="exact"/>
        <w:ind w:firstLine="560" w:firstLineChars="200"/>
        <w:rPr>
          <w:rFonts w:ascii="仿宋_GB2312" w:eastAsia="仿宋_GB2312"/>
        </w:rPr>
      </w:pPr>
      <w:r>
        <w:rPr>
          <w:rFonts w:hint="eastAsia" w:ascii="仿宋_GB2312" w:eastAsia="仿宋_GB2312"/>
        </w:rPr>
        <w:t>通讯：区域全被中国移动、中国联通等无线通讯网络覆盖，通讯效果好，中国电信线路也接入进该区域，所以区域内通讯畅通；</w:t>
      </w:r>
    </w:p>
    <w:p>
      <w:pPr>
        <w:spacing w:line="560" w:lineRule="exact"/>
        <w:ind w:firstLine="560" w:firstLineChars="200"/>
        <w:rPr>
          <w:rFonts w:ascii="仿宋_GB2312" w:eastAsia="仿宋_GB2312"/>
        </w:rPr>
      </w:pPr>
      <w:r>
        <w:rPr>
          <w:rFonts w:hint="eastAsia" w:ascii="仿宋_GB2312" w:eastAsia="仿宋_GB2312"/>
        </w:rPr>
        <w:t>通气：区域内供气由</w:t>
      </w:r>
      <w:r>
        <w:rPr>
          <w:rFonts w:hint="eastAsia" w:ascii="仿宋_GB2312" w:eastAsia="仿宋_GB2312"/>
          <w:lang w:eastAsia="zh-CN"/>
        </w:rPr>
        <w:t>自贡市</w:t>
      </w:r>
      <w:r>
        <w:rPr>
          <w:rFonts w:hint="eastAsia" w:ascii="仿宋_GB2312" w:eastAsia="仿宋_GB2312"/>
        </w:rPr>
        <w:t>天然气有限责任公司提供，供气保证率达到98%以上。</w:t>
      </w:r>
    </w:p>
    <w:p>
      <w:pPr>
        <w:numPr>
          <w:ilvl w:val="0"/>
          <w:numId w:val="0"/>
        </w:numPr>
        <w:tabs>
          <w:tab w:val="left" w:pos="839"/>
        </w:tabs>
        <w:spacing w:line="560" w:lineRule="exact"/>
        <w:ind w:firstLine="560" w:firstLineChars="200"/>
        <w:rPr>
          <w:rFonts w:ascii="仿宋_GB2312" w:eastAsia="仿宋_GB2312"/>
        </w:rPr>
      </w:pPr>
      <w:r>
        <w:rPr>
          <w:rFonts w:hint="eastAsia" w:ascii="仿宋_GB2312" w:eastAsia="仿宋_GB2312"/>
          <w:lang w:val="en-US" w:eastAsia="zh-CN"/>
        </w:rPr>
        <w:t>2）</w:t>
      </w:r>
      <w:r>
        <w:rPr>
          <w:rFonts w:hint="eastAsia" w:ascii="仿宋_GB2312" w:eastAsia="仿宋_GB2312"/>
        </w:rPr>
        <w:t>公共服务设施</w:t>
      </w:r>
    </w:p>
    <w:p>
      <w:pPr>
        <w:spacing w:line="560" w:lineRule="exact"/>
        <w:ind w:firstLine="560" w:firstLineChars="200"/>
        <w:rPr>
          <w:rFonts w:ascii="仿宋_GB2312" w:eastAsia="仿宋_GB2312"/>
        </w:rPr>
      </w:pPr>
      <w:r>
        <w:rPr>
          <w:rFonts w:hint="eastAsia" w:ascii="仿宋_GB2312" w:eastAsia="仿宋_GB2312"/>
        </w:rPr>
        <w:t>估价对象所在区域内的公共配套设施</w:t>
      </w:r>
      <w:r>
        <w:rPr>
          <w:rFonts w:hint="eastAsia" w:ascii="仿宋_GB2312" w:eastAsia="仿宋_GB2312"/>
          <w:lang w:eastAsia="zh-CN"/>
        </w:rPr>
        <w:t>较</w:t>
      </w:r>
      <w:r>
        <w:rPr>
          <w:rFonts w:hint="eastAsia" w:ascii="仿宋_GB2312" w:eastAsia="仿宋_GB2312"/>
        </w:rPr>
        <w:t>齐全，</w:t>
      </w:r>
      <w:r>
        <w:rPr>
          <w:rFonts w:hint="eastAsia" w:ascii="仿宋_GB2312" w:eastAsia="仿宋_GB2312"/>
          <w:lang w:val="en-US" w:eastAsia="zh-CN"/>
        </w:rPr>
        <w:t>一公里范围内分布</w:t>
      </w:r>
      <w:r>
        <w:rPr>
          <w:rFonts w:hint="eastAsia" w:ascii="仿宋_GB2312" w:eastAsia="仿宋_GB2312"/>
        </w:rPr>
        <w:t>金融服务机构分布有</w:t>
      </w:r>
      <w:r>
        <w:rPr>
          <w:rFonts w:hint="eastAsia" w:ascii="仿宋_GB2312" w:eastAsia="仿宋_GB2312"/>
          <w:lang w:eastAsia="zh-CN"/>
        </w:rPr>
        <w:t>四川省农村信用社、中国农业银行(自贡何市分理处)、中国邮政储蓄银行(仙市储蓄所)</w:t>
      </w:r>
      <w:r>
        <w:rPr>
          <w:rFonts w:hint="eastAsia" w:ascii="仿宋_GB2312" w:eastAsia="仿宋_GB2312"/>
        </w:rPr>
        <w:t>等；医疗卫生设施</w:t>
      </w:r>
      <w:r>
        <w:rPr>
          <w:rFonts w:hint="eastAsia" w:ascii="仿宋_GB2312" w:eastAsia="仿宋_GB2312"/>
          <w:lang w:eastAsia="zh-CN"/>
        </w:rPr>
        <w:t>仅有大安区何市中心卫生院</w:t>
      </w:r>
      <w:r>
        <w:rPr>
          <w:rFonts w:hint="eastAsia" w:ascii="仿宋_GB2312" w:eastAsia="仿宋_GB2312"/>
        </w:rPr>
        <w:t>；</w:t>
      </w:r>
      <w:r>
        <w:rPr>
          <w:rFonts w:hint="eastAsia" w:eastAsia="仿宋_GB2312"/>
          <w:szCs w:val="28"/>
          <w:lang w:eastAsia="zh-CN"/>
        </w:rPr>
        <w:t>教育设施分布有何市镇中心学校、自贡市三十四中</w:t>
      </w:r>
      <w:r>
        <w:rPr>
          <w:rFonts w:hint="eastAsia" w:ascii="仿宋_GB2312" w:eastAsia="仿宋_GB2312"/>
        </w:rPr>
        <w:t>等；</w:t>
      </w:r>
      <w:r>
        <w:rPr>
          <w:rFonts w:hint="eastAsia" w:ascii="仿宋_GB2312" w:eastAsia="仿宋_GB2312"/>
          <w:lang w:eastAsia="zh-CN"/>
        </w:rPr>
        <w:t>周边尚未进行商品房小区开发</w:t>
      </w:r>
      <w:r>
        <w:rPr>
          <w:rFonts w:hint="eastAsia" w:ascii="仿宋_GB2312" w:eastAsia="仿宋_GB2312"/>
        </w:rPr>
        <w:t>，区域内</w:t>
      </w:r>
      <w:r>
        <w:rPr>
          <w:rFonts w:hint="eastAsia" w:ascii="仿宋_GB2312" w:eastAsia="仿宋_GB2312"/>
          <w:lang w:eastAsia="zh-CN"/>
        </w:rPr>
        <w:t>无</w:t>
      </w:r>
      <w:r>
        <w:rPr>
          <w:rFonts w:hint="eastAsia" w:ascii="仿宋_GB2312" w:eastAsia="仿宋_GB2312"/>
        </w:rPr>
        <w:t>相关的配套生活小区</w:t>
      </w:r>
      <w:r>
        <w:rPr>
          <w:rFonts w:hint="eastAsia" w:ascii="仿宋_GB2312" w:eastAsia="仿宋_GB2312"/>
          <w:lang w:eastAsia="zh-CN"/>
        </w:rPr>
        <w:t>，且周边区域临街多为临街商业，无大型综合商业配套，商业氛围一般</w:t>
      </w:r>
      <w:r>
        <w:rPr>
          <w:rFonts w:hint="eastAsia" w:ascii="仿宋_GB2312" w:eastAsia="仿宋_GB2312"/>
        </w:rPr>
        <w:t>。</w:t>
      </w:r>
    </w:p>
    <w:p>
      <w:pPr>
        <w:numPr>
          <w:ilvl w:val="0"/>
          <w:numId w:val="0"/>
        </w:numPr>
        <w:spacing w:line="560" w:lineRule="exact"/>
        <w:ind w:firstLine="560" w:firstLineChars="200"/>
        <w:rPr>
          <w:rFonts w:ascii="仿宋_GB2312" w:eastAsia="仿宋_GB2312"/>
        </w:rPr>
      </w:pPr>
      <w:r>
        <w:rPr>
          <w:rFonts w:hint="eastAsia" w:ascii="仿宋_GB2312" w:eastAsia="仿宋_GB2312"/>
          <w:lang w:eastAsia="zh-CN"/>
        </w:rPr>
        <w:t>（</w:t>
      </w:r>
      <w:r>
        <w:rPr>
          <w:rFonts w:hint="eastAsia" w:ascii="仿宋_GB2312" w:eastAsia="仿宋_GB2312"/>
          <w:lang w:val="en-US" w:eastAsia="zh-CN"/>
        </w:rPr>
        <w:t>4）</w:t>
      </w:r>
      <w:r>
        <w:rPr>
          <w:rFonts w:hint="eastAsia" w:ascii="仿宋_GB2312" w:eastAsia="仿宋_GB2312"/>
        </w:rPr>
        <w:t>周围环境</w:t>
      </w:r>
    </w:p>
    <w:p>
      <w:pPr>
        <w:spacing w:line="560" w:lineRule="exact"/>
        <w:ind w:firstLine="560" w:firstLineChars="200"/>
        <w:rPr>
          <w:rFonts w:ascii="仿宋_GB2312" w:eastAsia="仿宋_GB2312"/>
        </w:rPr>
      </w:pPr>
      <w:r>
        <w:rPr>
          <w:rFonts w:hint="eastAsia" w:ascii="仿宋_GB2312" w:hAnsi="仿宋_GB2312" w:eastAsia="仿宋_GB2312" w:cs="仿宋_GB2312"/>
          <w:szCs w:val="28"/>
        </w:rPr>
        <w:t>估价对象位于</w:t>
      </w:r>
      <w:r>
        <w:rPr>
          <w:rStyle w:val="28"/>
          <w:rFonts w:hint="eastAsia" w:eastAsia="仿宋_GB2312"/>
          <w:lang w:val="en-US" w:eastAsia="zh-CN"/>
        </w:rPr>
        <w:t>自贡市大安区何市镇新街252号兴盛家园小区</w:t>
      </w:r>
      <w:r>
        <w:rPr>
          <w:rFonts w:hint="eastAsia" w:ascii="仿宋_GB2312" w:hAnsi="仿宋_GB2312" w:eastAsia="仿宋_GB2312" w:cs="仿宋_GB2312"/>
          <w:szCs w:val="28"/>
        </w:rPr>
        <w:t>，附近</w:t>
      </w:r>
      <w:r>
        <w:rPr>
          <w:rFonts w:hint="eastAsia" w:ascii="仿宋_GB2312" w:eastAsia="仿宋_GB2312"/>
          <w:lang w:eastAsia="zh-CN"/>
        </w:rPr>
        <w:t>无商品房小区和旅游景点</w:t>
      </w:r>
      <w:r>
        <w:rPr>
          <w:rFonts w:hint="eastAsia" w:ascii="仿宋_GB2312" w:hAnsi="仿宋_GB2312" w:eastAsia="仿宋_GB2312" w:cs="仿宋_GB2312"/>
          <w:szCs w:val="28"/>
        </w:rPr>
        <w:t>，</w:t>
      </w:r>
      <w:r>
        <w:rPr>
          <w:rFonts w:hint="eastAsia" w:ascii="仿宋_GB2312" w:hAnsi="仿宋_GB2312" w:eastAsia="仿宋_GB2312" w:cs="仿宋_GB2312"/>
          <w:szCs w:val="28"/>
          <w:lang w:eastAsia="zh-CN"/>
        </w:rPr>
        <w:t>但由于无污染源，使得</w:t>
      </w:r>
      <w:r>
        <w:rPr>
          <w:rFonts w:hint="eastAsia" w:ascii="仿宋_GB2312" w:hAnsi="仿宋_GB2312" w:eastAsia="仿宋_GB2312" w:cs="仿宋_GB2312"/>
          <w:szCs w:val="28"/>
        </w:rPr>
        <w:t>环境</w:t>
      </w:r>
      <w:r>
        <w:rPr>
          <w:rFonts w:hint="eastAsia" w:ascii="仿宋_GB2312" w:hAnsi="仿宋_GB2312" w:eastAsia="仿宋_GB2312" w:cs="仿宋_GB2312"/>
          <w:szCs w:val="28"/>
          <w:lang w:eastAsia="zh-CN"/>
        </w:rPr>
        <w:t>较好</w:t>
      </w:r>
      <w:r>
        <w:rPr>
          <w:rFonts w:hint="eastAsia" w:ascii="仿宋_GB2312" w:hAnsi="仿宋_GB2312" w:eastAsia="仿宋_GB2312" w:cs="仿宋_GB2312"/>
          <w:szCs w:val="28"/>
        </w:rPr>
        <w:t>。周边多为</w:t>
      </w:r>
      <w:r>
        <w:rPr>
          <w:rFonts w:hint="eastAsia" w:ascii="仿宋_GB2312" w:hAnsi="仿宋_GB2312" w:eastAsia="仿宋_GB2312" w:cs="仿宋_GB2312"/>
          <w:szCs w:val="28"/>
          <w:lang w:eastAsia="zh-CN"/>
        </w:rPr>
        <w:t>普通居民楼</w:t>
      </w:r>
      <w:r>
        <w:rPr>
          <w:rFonts w:hint="eastAsia" w:ascii="仿宋_GB2312" w:hAnsi="仿宋_GB2312" w:eastAsia="仿宋_GB2312" w:cs="仿宋_GB2312"/>
          <w:szCs w:val="28"/>
        </w:rPr>
        <w:t>，居住人群教育文化水平</w:t>
      </w:r>
      <w:r>
        <w:rPr>
          <w:rFonts w:hint="eastAsia" w:ascii="仿宋_GB2312" w:hAnsi="仿宋_GB2312" w:eastAsia="仿宋_GB2312" w:cs="仿宋_GB2312"/>
          <w:szCs w:val="28"/>
          <w:lang w:eastAsia="zh-CN"/>
        </w:rPr>
        <w:t>一般</w:t>
      </w:r>
      <w:r>
        <w:rPr>
          <w:rFonts w:hint="eastAsia" w:ascii="仿宋_GB2312" w:hAnsi="仿宋_GB2312" w:eastAsia="仿宋_GB2312" w:cs="仿宋_GB2312"/>
          <w:szCs w:val="28"/>
        </w:rPr>
        <w:t>，人文环境</w:t>
      </w:r>
      <w:r>
        <w:rPr>
          <w:rFonts w:hint="eastAsia" w:ascii="仿宋_GB2312" w:hAnsi="仿宋_GB2312" w:eastAsia="仿宋_GB2312" w:cs="仿宋_GB2312"/>
          <w:szCs w:val="28"/>
          <w:lang w:eastAsia="zh-CN"/>
        </w:rPr>
        <w:t>一般</w:t>
      </w:r>
      <w:r>
        <w:rPr>
          <w:rFonts w:hint="eastAsia" w:ascii="仿宋_GB2312" w:hAnsi="仿宋_GB2312" w:eastAsia="仿宋_GB2312" w:cs="仿宋_GB2312"/>
          <w:szCs w:val="28"/>
        </w:rPr>
        <w:t>，无污染源，整体环境状况</w:t>
      </w:r>
      <w:r>
        <w:rPr>
          <w:rFonts w:hint="eastAsia" w:ascii="仿宋_GB2312" w:hAnsi="仿宋_GB2312" w:eastAsia="仿宋_GB2312" w:cs="仿宋_GB2312"/>
          <w:szCs w:val="28"/>
          <w:lang w:eastAsia="zh-CN"/>
        </w:rPr>
        <w:t>一般</w:t>
      </w:r>
      <w:r>
        <w:rPr>
          <w:rFonts w:hint="eastAsia" w:ascii="仿宋_GB2312" w:eastAsia="仿宋_GB2312"/>
        </w:rPr>
        <w:t>。</w:t>
      </w:r>
    </w:p>
    <w:p>
      <w:pPr>
        <w:numPr>
          <w:ilvl w:val="0"/>
          <w:numId w:val="0"/>
        </w:numPr>
        <w:spacing w:line="360" w:lineRule="auto"/>
        <w:ind w:left="560" w:leftChars="0"/>
        <w:rPr>
          <w:rFonts w:ascii="仿宋_GB2312" w:eastAsia="仿宋_GB2312"/>
          <w:color w:val="000000" w:themeColor="text1"/>
        </w:rPr>
      </w:pPr>
      <w:bookmarkStart w:id="68" w:name="_Toc13538"/>
      <w:r>
        <w:rPr>
          <w:rStyle w:val="27"/>
          <w:rFonts w:hint="eastAsia" w:ascii="仿宋_GB2312" w:hAnsi="仿宋_GB2312" w:eastAsia="仿宋_GB2312" w:cs="仿宋_GB2312"/>
          <w:b w:val="0"/>
          <w:bCs/>
          <w:color w:val="000000" w:themeColor="text1"/>
          <w:sz w:val="28"/>
          <w:szCs w:val="28"/>
        </w:rPr>
        <w:t>（五）价值时点</w:t>
      </w:r>
      <w:bookmarkEnd w:id="65"/>
      <w:bookmarkEnd w:id="68"/>
    </w:p>
    <w:p>
      <w:pPr>
        <w:ind w:firstLine="560" w:firstLineChars="200"/>
        <w:rPr>
          <w:rStyle w:val="28"/>
          <w:color w:val="000000" w:themeColor="text1"/>
        </w:rPr>
      </w:pPr>
      <w:r>
        <w:rPr>
          <w:rFonts w:hint="eastAsia" w:ascii="仿宋_GB2312" w:eastAsia="仿宋_GB2312"/>
          <w:color w:val="000000" w:themeColor="text1"/>
          <w:lang w:val="en-US" w:eastAsia="zh-CN"/>
        </w:rPr>
        <w:t>2021年3月25日</w:t>
      </w:r>
      <w:r>
        <w:rPr>
          <w:rFonts w:hint="eastAsia" w:ascii="仿宋_GB2312" w:eastAsia="仿宋_GB2312"/>
          <w:color w:val="000000" w:themeColor="text1"/>
        </w:rPr>
        <w:t>。根据</w:t>
      </w:r>
      <w:r>
        <w:rPr>
          <w:rStyle w:val="28"/>
          <w:rFonts w:hint="eastAsia"/>
          <w:color w:val="000000" w:themeColor="text1"/>
        </w:rPr>
        <w:t>《房地产司法鉴定评估指导意见》川建房发[2011]89号， 原则上为评估委托之日或完成估价对象现场查勘之日，但鉴定评估委托书另有约定的除外</w:t>
      </w:r>
      <w:r>
        <w:rPr>
          <w:rFonts w:hint="eastAsia" w:ascii="仿宋_GB2312" w:eastAsia="仿宋_GB2312"/>
          <w:color w:val="000000" w:themeColor="text1"/>
        </w:rPr>
        <w:t>。针对本次估价对象，估价委托人未提出特殊要求，</w:t>
      </w:r>
      <w:r>
        <w:rPr>
          <w:rFonts w:hint="eastAsia" w:ascii="仿宋_GB2312" w:eastAsia="仿宋_GB2312"/>
          <w:color w:val="000000" w:themeColor="text1"/>
          <w:lang w:val="en-US" w:eastAsia="zh-CN"/>
        </w:rPr>
        <w:t>本次估价</w:t>
      </w:r>
      <w:r>
        <w:rPr>
          <w:rFonts w:hint="eastAsia" w:ascii="仿宋_GB2312" w:eastAsia="仿宋_GB2312"/>
          <w:color w:val="000000" w:themeColor="text1"/>
        </w:rPr>
        <w:t>确定</w:t>
      </w:r>
      <w:r>
        <w:rPr>
          <w:rFonts w:hint="eastAsia" w:ascii="仿宋_GB2312" w:eastAsia="仿宋_GB2312"/>
          <w:color w:val="000000" w:themeColor="text1"/>
          <w:lang w:val="en-US" w:eastAsia="zh-CN"/>
        </w:rPr>
        <w:t>以估价委托人</w:t>
      </w:r>
      <w:r>
        <w:rPr>
          <w:rStyle w:val="28"/>
          <w:rFonts w:hint="eastAsia"/>
          <w:color w:val="000000" w:themeColor="text1"/>
        </w:rPr>
        <w:t>委托之日</w:t>
      </w:r>
      <w:r>
        <w:rPr>
          <w:rFonts w:hint="eastAsia" w:ascii="仿宋_GB2312" w:eastAsia="仿宋_GB2312"/>
          <w:color w:val="000000" w:themeColor="text1"/>
          <w:lang w:val="en-US" w:eastAsia="zh-CN"/>
        </w:rPr>
        <w:t>2021年3月25日</w:t>
      </w:r>
      <w:r>
        <w:rPr>
          <w:rFonts w:hint="eastAsia" w:ascii="仿宋_GB2312" w:eastAsia="仿宋_GB2312"/>
          <w:color w:val="000000" w:themeColor="text1"/>
        </w:rPr>
        <w:t>为价值时点</w:t>
      </w:r>
      <w:r>
        <w:rPr>
          <w:rStyle w:val="28"/>
          <w:rFonts w:hint="eastAsia"/>
          <w:color w:val="000000" w:themeColor="text1"/>
        </w:rPr>
        <w:t>。</w:t>
      </w:r>
    </w:p>
    <w:p>
      <w:pPr>
        <w:spacing w:line="360" w:lineRule="auto"/>
        <w:ind w:firstLine="560" w:firstLineChars="200"/>
        <w:rPr>
          <w:rFonts w:ascii="仿宋_GB2312" w:hAnsi="黑体" w:eastAsia="仿宋_GB2312"/>
          <w:color w:val="000000" w:themeColor="text1"/>
        </w:rPr>
      </w:pPr>
      <w:bookmarkStart w:id="69" w:name="_Toc16525"/>
      <w:bookmarkStart w:id="70" w:name="_Toc437265337"/>
      <w:r>
        <w:rPr>
          <w:rStyle w:val="27"/>
          <w:rFonts w:hint="eastAsia" w:ascii="仿宋_GB2312" w:hAnsi="仿宋_GB2312" w:eastAsia="仿宋_GB2312" w:cs="仿宋_GB2312"/>
          <w:b w:val="0"/>
          <w:bCs/>
          <w:color w:val="000000" w:themeColor="text1"/>
          <w:sz w:val="28"/>
          <w:szCs w:val="28"/>
        </w:rPr>
        <w:t>（六）价值类型</w:t>
      </w:r>
      <w:bookmarkEnd w:id="69"/>
      <w:bookmarkEnd w:id="70"/>
    </w:p>
    <w:p>
      <w:pPr>
        <w:spacing w:line="600" w:lineRule="exact"/>
        <w:ind w:firstLine="560" w:firstLineChars="200"/>
        <w:rPr>
          <w:rFonts w:ascii="仿宋_GB2312" w:eastAsia="仿宋_GB2312"/>
          <w:color w:val="000000" w:themeColor="text1"/>
        </w:rPr>
      </w:pPr>
      <w:r>
        <w:rPr>
          <w:rFonts w:hint="eastAsia" w:ascii="仿宋_GB2312" w:eastAsia="仿宋_GB2312"/>
          <w:color w:val="000000" w:themeColor="text1"/>
        </w:rPr>
        <w:t>1、价值类型：市场价值，</w:t>
      </w:r>
      <w:r>
        <w:rPr>
          <w:rStyle w:val="28"/>
          <w:rFonts w:hint="eastAsia" w:ascii="仿宋_GB2312"/>
          <w:color w:val="000000" w:themeColor="text1"/>
        </w:rPr>
        <w:t>房地产市场价值是指估价对象于价值时点在公开市场上的最可能形成或成立的价格。</w:t>
      </w:r>
      <w:r>
        <w:rPr>
          <w:rStyle w:val="28"/>
          <w:rFonts w:hint="eastAsia"/>
          <w:color w:val="000000" w:themeColor="text1"/>
        </w:rPr>
        <w:t>本估价报告估价结果是在公开市场标准及满足估价的假设和限制条件下的价值</w:t>
      </w:r>
      <w:r>
        <w:rPr>
          <w:rFonts w:hint="eastAsia" w:ascii="仿宋_GB2312" w:eastAsia="仿宋_GB2312"/>
          <w:color w:val="000000" w:themeColor="text1"/>
        </w:rPr>
        <w:t>。</w:t>
      </w:r>
    </w:p>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rPr>
        <w:t>2、本估价报告的市场价值内涵为：在满足“估价的假设前提和限制条件</w:t>
      </w:r>
      <w:r>
        <w:rPr>
          <w:rFonts w:ascii="仿宋_GB2312" w:eastAsia="仿宋_GB2312"/>
          <w:color w:val="000000" w:themeColor="text1"/>
        </w:rPr>
        <w:t>”</w:t>
      </w:r>
      <w:r>
        <w:rPr>
          <w:rFonts w:hint="eastAsia" w:ascii="仿宋_GB2312" w:eastAsia="仿宋_GB2312"/>
          <w:color w:val="000000" w:themeColor="text1"/>
        </w:rPr>
        <w:t>的前提下，包含估价对象房屋所有权价值、不可移动的装饰装修、附属设施设备及其占用范围内应分摊的建设用地使用权价值。本次估价未考虑处置交易时当事双方各自应负担的税费、手续费等相关税费。</w:t>
      </w:r>
    </w:p>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rPr>
        <w:t>3、本次估价结果包括估价对象分摊占用的国有土地使用权，价值时点至剩余使用年限,土地开发程度为宗地外“六通”（通上水、通下水、通电、通讯、通路、通气）、宗地内“六通一平”（ 通气、通上水、通下水、通电、通讯、通路及场地平整）。</w:t>
      </w:r>
    </w:p>
    <w:p>
      <w:pPr>
        <w:spacing w:line="360" w:lineRule="auto"/>
        <w:ind w:firstLine="560" w:firstLineChars="200"/>
        <w:rPr>
          <w:rFonts w:ascii="仿宋_GB2312" w:eastAsia="仿宋_GB2312"/>
          <w:color w:val="000000" w:themeColor="text1"/>
        </w:rPr>
      </w:pPr>
      <w:r>
        <w:rPr>
          <w:rFonts w:hint="eastAsia" w:ascii="仿宋_GB2312" w:eastAsia="仿宋_GB2312"/>
          <w:color w:val="000000" w:themeColor="text1"/>
        </w:rPr>
        <w:t>4、币种为人民币，本估价结果中单价取整至</w:t>
      </w:r>
      <w:bookmarkStart w:id="71" w:name="OLE_LINK12"/>
      <w:r>
        <w:rPr>
          <w:rFonts w:hint="eastAsia" w:ascii="仿宋_GB2312" w:eastAsia="仿宋_GB2312"/>
          <w:color w:val="000000" w:themeColor="text1"/>
        </w:rPr>
        <w:t>十</w:t>
      </w:r>
      <w:bookmarkEnd w:id="71"/>
      <w:r>
        <w:rPr>
          <w:rFonts w:hint="eastAsia" w:ascii="仿宋_GB2312" w:eastAsia="仿宋_GB2312"/>
          <w:color w:val="000000" w:themeColor="text1"/>
        </w:rPr>
        <w:t>元位，总价取整至百元位。</w:t>
      </w:r>
    </w:p>
    <w:p>
      <w:pPr>
        <w:spacing w:line="360" w:lineRule="auto"/>
        <w:ind w:firstLine="560" w:firstLineChars="200"/>
        <w:rPr>
          <w:rFonts w:ascii="仿宋_GB2312" w:eastAsia="仿宋_GB2312"/>
          <w:color w:val="000000" w:themeColor="text1"/>
        </w:rPr>
      </w:pPr>
      <w:bookmarkStart w:id="72" w:name="_Toc437265338"/>
      <w:bookmarkStart w:id="73" w:name="_Toc4612"/>
      <w:r>
        <w:rPr>
          <w:rStyle w:val="27"/>
          <w:rFonts w:hint="eastAsia" w:ascii="仿宋_GB2312" w:hAnsi="仿宋_GB2312" w:eastAsia="仿宋_GB2312" w:cs="仿宋_GB2312"/>
          <w:b w:val="0"/>
          <w:bCs/>
          <w:color w:val="000000" w:themeColor="text1"/>
          <w:sz w:val="28"/>
          <w:szCs w:val="28"/>
        </w:rPr>
        <w:t>（七）估价原则</w:t>
      </w:r>
      <w:bookmarkEnd w:id="72"/>
      <w:bookmarkEnd w:id="73"/>
    </w:p>
    <w:p>
      <w:pPr>
        <w:spacing w:line="360" w:lineRule="auto"/>
        <w:ind w:firstLine="560" w:firstLineChars="200"/>
        <w:rPr>
          <w:rFonts w:ascii="仿宋_GB2312" w:hAnsi="黑体" w:eastAsia="仿宋_GB2312"/>
          <w:color w:val="000000" w:themeColor="text1"/>
        </w:rPr>
      </w:pPr>
      <w:r>
        <w:rPr>
          <w:rFonts w:hint="eastAsia" w:ascii="仿宋_GB2312" w:eastAsia="仿宋_GB2312"/>
          <w:color w:val="000000" w:themeColor="text1"/>
        </w:rPr>
        <w:t>本估价报告遵循的房地产估价原则有：独立、客观、公正、合法原则、价值时点原则、替代原则、最高最佳利用原则，并结合估价目的对估价对象进行评估</w:t>
      </w:r>
      <w:r>
        <w:rPr>
          <w:rFonts w:hint="eastAsia" w:ascii="仿宋_GB2312" w:hAnsi="黑体" w:eastAsia="仿宋_GB2312"/>
          <w:color w:val="000000" w:themeColor="text1"/>
        </w:rPr>
        <w:t>。</w:t>
      </w:r>
    </w:p>
    <w:p>
      <w:pPr>
        <w:spacing w:line="360" w:lineRule="auto"/>
        <w:rPr>
          <w:rFonts w:ascii="仿宋_GB2312" w:hAnsi="黑体" w:eastAsia="仿宋_GB2312"/>
          <w:color w:val="000000" w:themeColor="text1"/>
        </w:rPr>
      </w:pPr>
      <w:r>
        <w:rPr>
          <w:rFonts w:hint="eastAsia" w:ascii="仿宋_GB2312" w:hAnsi="黑体" w:eastAsia="仿宋_GB2312"/>
          <w:color w:val="000000" w:themeColor="text1"/>
        </w:rPr>
        <w:t xml:space="preserve">    1、遵循独立、客观、公正原则，评估价值应为对各方估价利害关系人均是公平合理的价值或价格。</w:t>
      </w:r>
    </w:p>
    <w:p>
      <w:pPr>
        <w:spacing w:line="360" w:lineRule="auto"/>
        <w:rPr>
          <w:rFonts w:ascii="仿宋_GB2312" w:hAnsi="黑体" w:eastAsia="仿宋_GB2312"/>
          <w:color w:val="000000" w:themeColor="text1"/>
        </w:rPr>
      </w:pPr>
      <w:r>
        <w:rPr>
          <w:rFonts w:hint="eastAsia" w:ascii="仿宋_GB2312" w:hAnsi="黑体" w:eastAsia="仿宋_GB2312"/>
          <w:color w:val="000000" w:themeColor="text1"/>
        </w:rPr>
        <w:t xml:space="preserve">    2、遵循合法原则，评估价值应为在依法判定的估价对象状况下的价值或价格。</w:t>
      </w:r>
    </w:p>
    <w:p>
      <w:pPr>
        <w:spacing w:line="360" w:lineRule="auto"/>
        <w:rPr>
          <w:rFonts w:ascii="仿宋_GB2312" w:hAnsi="黑体" w:eastAsia="仿宋_GB2312"/>
          <w:color w:val="000000" w:themeColor="text1"/>
        </w:rPr>
      </w:pPr>
      <w:r>
        <w:rPr>
          <w:rFonts w:hint="eastAsia" w:ascii="仿宋_GB2312" w:hAnsi="黑体" w:eastAsia="仿宋_GB2312"/>
          <w:color w:val="000000" w:themeColor="text1"/>
        </w:rPr>
        <w:t xml:space="preserve">    3、遵循价值时点原则，评估价值应为在根据估价目的确定的某一特定时间的价值或价格。</w:t>
      </w:r>
    </w:p>
    <w:p>
      <w:pPr>
        <w:spacing w:line="360" w:lineRule="auto"/>
        <w:rPr>
          <w:rFonts w:ascii="仿宋_GB2312" w:hAnsi="黑体" w:eastAsia="仿宋_GB2312"/>
          <w:color w:val="000000" w:themeColor="text1"/>
        </w:rPr>
      </w:pPr>
      <w:r>
        <w:rPr>
          <w:rFonts w:hint="eastAsia" w:ascii="仿宋_GB2312" w:hAnsi="黑体" w:eastAsia="仿宋_GB2312"/>
          <w:color w:val="000000" w:themeColor="text1"/>
        </w:rPr>
        <w:t xml:space="preserve">    4、遵循替代原则，评估价值与估价对象的类似房地产在同等条件下的价值或价格偏差应在合理范围内。</w:t>
      </w:r>
    </w:p>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5、遵循最高最佳利用原则。评估价值应为在估价对象最高最佳利用状况下的价值或价格。</w:t>
      </w:r>
    </w:p>
    <w:p>
      <w:pPr>
        <w:spacing w:line="360" w:lineRule="auto"/>
        <w:ind w:firstLine="560" w:firstLineChars="200"/>
        <w:rPr>
          <w:rStyle w:val="27"/>
          <w:rFonts w:hint="eastAsia" w:ascii="仿宋_GB2312" w:hAnsi="仿宋_GB2312" w:eastAsia="仿宋_GB2312" w:cs="仿宋_GB2312"/>
          <w:b w:val="0"/>
          <w:bCs/>
          <w:color w:val="000000" w:themeColor="text1"/>
          <w:sz w:val="28"/>
          <w:szCs w:val="28"/>
        </w:rPr>
      </w:pPr>
      <w:bookmarkStart w:id="74" w:name="_Toc437265339"/>
      <w:bookmarkStart w:id="75" w:name="_Toc24941"/>
      <w:r>
        <w:rPr>
          <w:rStyle w:val="27"/>
          <w:rFonts w:hint="eastAsia" w:ascii="仿宋_GB2312" w:hAnsi="仿宋_GB2312" w:eastAsia="仿宋_GB2312" w:cs="仿宋_GB2312"/>
          <w:b w:val="0"/>
          <w:bCs/>
          <w:color w:val="000000" w:themeColor="text1"/>
          <w:sz w:val="28"/>
          <w:szCs w:val="28"/>
        </w:rPr>
        <w:t>（八）估价依据</w:t>
      </w:r>
      <w:bookmarkEnd w:id="74"/>
    </w:p>
    <w:bookmarkEnd w:id="75"/>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1、本次评估依据的国家和地方的法律、法规和文件</w:t>
      </w:r>
    </w:p>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（1）</w:t>
      </w:r>
      <w:r>
        <w:rPr>
          <w:rFonts w:hint="eastAsia" w:ascii="仿宋_GB2312" w:eastAsia="仿宋_GB2312"/>
          <w:sz w:val="28"/>
        </w:rPr>
        <w:t>《中华人民共和国民法典》</w:t>
      </w:r>
      <w:r>
        <w:rPr>
          <w:rFonts w:hint="eastAsia" w:ascii="仿宋_GB2312" w:hAnsi="黑体" w:eastAsia="仿宋_GB2312"/>
          <w:color w:val="000000" w:themeColor="text1"/>
        </w:rPr>
        <w:t>（2020年5月28日第十三届全国人民代表大会第三次会议通过，自2021年1月1日起实施）</w:t>
      </w:r>
    </w:p>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（2）《中华人民共和国城市房地产管理法》（主席令第72号，2007年3月30日）</w:t>
      </w:r>
    </w:p>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（3）《中国人民共和国土地管理法》（主席令第28号，2004年8月28日）</w:t>
      </w:r>
    </w:p>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（4）《中华人民共和国城乡规划法》（主席令第74号，2007年10月28日）</w:t>
      </w:r>
    </w:p>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（5）《中华人民共和国担保法》（主席令第50号，1995年6月30日）</w:t>
      </w:r>
    </w:p>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（6）《中华人民共和国拍卖法》 （主席令第23号，2004年8月28日）</w:t>
      </w:r>
    </w:p>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（7）《中华人民共和国资产评估法》（主席令第46号，2016年7月2日）</w:t>
      </w:r>
    </w:p>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（8）《最高人民法院关于人民法院委托评估、拍卖工作的若干规定》法释[2011]21号，2010年8月16日。</w:t>
      </w:r>
    </w:p>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（9）最高人民法院关于实施《最高人民法院关于人民法院委托评估、拍卖工作的若干规定》有关问题的通知（法[2012]30号），2012年2月6日。</w:t>
      </w:r>
    </w:p>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（10)《四川省高级人民法院委托鉴定管理办法》和《四川省高级人民法院委托评估、拍卖和变卖管理办法》（川高发[2011]177号），2011年4月11日</w:t>
      </w:r>
    </w:p>
    <w:p>
      <w:pPr>
        <w:spacing w:line="360" w:lineRule="auto"/>
        <w:ind w:firstLine="560"/>
        <w:rPr>
          <w:rFonts w:hint="eastAsia" w:ascii="仿宋_GB2312" w:hAnsi="黑体" w:eastAsia="仿宋_GB2312"/>
          <w:color w:val="000000" w:themeColor="text1"/>
        </w:rPr>
      </w:pPr>
      <w:r>
        <w:rPr>
          <w:rFonts w:hint="eastAsia" w:ascii="仿宋_GB2312" w:hAnsi="黑体" w:eastAsia="仿宋_GB2312"/>
          <w:color w:val="000000" w:themeColor="text1"/>
        </w:rPr>
        <w:t>（11）《四川高级人民法院关于执行[四川省高级人民法院委托评估、拍卖和变卖管理办法] 的补充规定》（川高发[2012]720号），2012年10月31日</w:t>
      </w:r>
    </w:p>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2、采用技术规程</w:t>
      </w:r>
    </w:p>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（1）《房地产估价规范》（GB/T50291-2015）</w:t>
      </w:r>
    </w:p>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（2）《房地产估价基本术语标准》GB/T50899-2013</w:t>
      </w:r>
    </w:p>
    <w:p>
      <w:pPr>
        <w:spacing w:line="360" w:lineRule="auto"/>
        <w:ind w:firstLine="560"/>
        <w:rPr>
          <w:rFonts w:hint="eastAsia" w:ascii="仿宋_GB2312" w:hAnsi="黑体" w:eastAsia="仿宋_GB2312"/>
          <w:color w:val="000000" w:themeColor="text1"/>
        </w:rPr>
      </w:pPr>
      <w:r>
        <w:rPr>
          <w:rFonts w:hint="eastAsia" w:ascii="仿宋_GB2312" w:hAnsi="黑体" w:eastAsia="仿宋_GB2312"/>
          <w:color w:val="000000" w:themeColor="text1"/>
        </w:rPr>
        <w:t>（3）《房地产司法鉴定评估指导意见》（试行）川建房法【2011】89号，2011年3月22日。</w:t>
      </w:r>
    </w:p>
    <w:p>
      <w:pPr>
        <w:spacing w:line="360" w:lineRule="auto"/>
        <w:ind w:firstLine="560"/>
        <w:rPr>
          <w:rFonts w:hint="eastAsia" w:ascii="仿宋_GB2312" w:hAnsi="黑体" w:eastAsia="仿宋_GB2312"/>
          <w:color w:val="000000" w:themeColor="text1"/>
          <w:lang w:eastAsia="zh-CN"/>
        </w:rPr>
      </w:pPr>
      <w:r>
        <w:rPr>
          <w:rFonts w:hint="eastAsia" w:ascii="仿宋_GB2312" w:hAnsi="黑体" w:eastAsia="仿宋_GB2312"/>
          <w:color w:val="000000" w:themeColor="text1"/>
          <w:lang w:eastAsia="zh-CN"/>
        </w:rPr>
        <w:t>（</w:t>
      </w:r>
      <w:r>
        <w:rPr>
          <w:rFonts w:hint="eastAsia" w:ascii="仿宋_GB2312" w:hAnsi="黑体" w:eastAsia="仿宋_GB2312"/>
          <w:color w:val="000000" w:themeColor="text1"/>
          <w:lang w:val="en-US" w:eastAsia="zh-CN"/>
        </w:rPr>
        <w:t>4</w:t>
      </w:r>
      <w:r>
        <w:rPr>
          <w:rFonts w:hint="eastAsia" w:ascii="仿宋_GB2312" w:hAnsi="黑体" w:eastAsia="仿宋_GB2312"/>
          <w:color w:val="000000" w:themeColor="text1"/>
          <w:lang w:eastAsia="zh-CN"/>
        </w:rPr>
        <w:t>）《最高人民法院关于人民法院确定财产处置参考价若干问题的规定》</w:t>
      </w:r>
      <w:r>
        <w:rPr>
          <w:rFonts w:hint="eastAsia" w:ascii="仿宋_GB2312" w:hAnsi="黑体" w:eastAsia="仿宋_GB2312"/>
          <w:color w:val="000000" w:themeColor="text1"/>
          <w:lang w:val="en-US" w:eastAsia="zh-CN"/>
        </w:rPr>
        <w:t xml:space="preserve">法释〔2018〕15号自2018年9月1日起施行 </w:t>
      </w:r>
      <w:r>
        <w:rPr>
          <w:rFonts w:hint="eastAsia" w:ascii="仿宋_GB2312" w:hAnsi="黑体" w:eastAsia="仿宋_GB2312"/>
          <w:color w:val="000000" w:themeColor="text1"/>
          <w:lang w:eastAsia="zh-CN"/>
        </w:rPr>
        <w:t>、《人民法院委托评估工作规范》</w:t>
      </w:r>
      <w:r>
        <w:rPr>
          <w:rFonts w:hint="eastAsia" w:ascii="仿宋_GB2312" w:hAnsi="黑体" w:eastAsia="仿宋_GB2312"/>
          <w:color w:val="000000" w:themeColor="text1"/>
          <w:lang w:val="en-US" w:eastAsia="zh-CN"/>
        </w:rPr>
        <w:t>〔2018〕273号</w:t>
      </w:r>
      <w:r>
        <w:rPr>
          <w:rFonts w:hint="eastAsia" w:ascii="仿宋_GB2312" w:hAnsi="黑体" w:eastAsia="仿宋_GB2312"/>
          <w:color w:val="000000" w:themeColor="text1"/>
          <w:lang w:eastAsia="zh-CN"/>
        </w:rPr>
        <w:t>、《人民法院委托涉执财产处置司法评估指导意见》、《涉执房地产处置司法评估指导意见（试行）》</w:t>
      </w:r>
      <w:r>
        <w:rPr>
          <w:rFonts w:hint="eastAsia" w:ascii="仿宋_GB2312" w:hAnsi="宋体" w:eastAsia="仿宋_GB2312"/>
          <w:color w:val="auto"/>
          <w:sz w:val="28"/>
          <w:szCs w:val="22"/>
          <w:lang w:eastAsia="zh-CN"/>
        </w:rPr>
        <w:t>（</w:t>
      </w:r>
      <w:r>
        <w:rPr>
          <w:rFonts w:hint="eastAsia" w:ascii="仿宋_GB2312" w:hAnsi="宋体" w:eastAsia="仿宋_GB2312"/>
          <w:color w:val="auto"/>
          <w:sz w:val="28"/>
          <w:szCs w:val="22"/>
          <w:lang w:val="en-US" w:eastAsia="zh-CN"/>
        </w:rPr>
        <w:t>中房学【2021】37号）</w:t>
      </w:r>
      <w:r>
        <w:rPr>
          <w:rFonts w:hint="eastAsia" w:ascii="仿宋_GB2312" w:hAnsi="黑体" w:eastAsia="仿宋_GB2312"/>
          <w:color w:val="000000" w:themeColor="text1"/>
          <w:lang w:eastAsia="zh-CN"/>
        </w:rPr>
        <w:t>。</w:t>
      </w:r>
    </w:p>
    <w:p>
      <w:pPr>
        <w:spacing w:line="360" w:lineRule="auto"/>
        <w:ind w:firstLine="560"/>
        <w:rPr>
          <w:rFonts w:ascii="仿宋_GB2312" w:hAnsi="黑体" w:eastAsia="仿宋_GB2312"/>
          <w:color w:val="000000" w:themeColor="text1"/>
        </w:rPr>
      </w:pPr>
      <w:r>
        <w:rPr>
          <w:rFonts w:hint="eastAsia" w:ascii="仿宋_GB2312" w:hAnsi="黑体" w:eastAsia="仿宋_GB2312"/>
          <w:color w:val="000000" w:themeColor="text1"/>
        </w:rPr>
        <w:t>3、估价委托人提供的有关材料</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黑体" w:eastAsia="仿宋_GB2312"/>
          <w:color w:val="000000" w:themeColor="text1"/>
        </w:rPr>
      </w:pPr>
      <w:r>
        <w:rPr>
          <w:rFonts w:hint="eastAsia" w:ascii="仿宋_GB2312" w:hAnsi="黑体" w:eastAsia="仿宋_GB2312"/>
          <w:color w:val="000000" w:themeColor="text1"/>
        </w:rPr>
        <w:t>（1）</w:t>
      </w:r>
      <w:r>
        <w:rPr>
          <w:rFonts w:hint="eastAsia" w:ascii="仿宋_GB2312" w:hAnsi="黑体" w:eastAsia="仿宋_GB2312"/>
          <w:color w:val="000000" w:themeColor="text1"/>
          <w:lang w:eastAsia="zh-CN"/>
        </w:rPr>
        <w:t>《四川省成都市中级人民法院委托书》（</w:t>
      </w:r>
      <w:r>
        <w:rPr>
          <w:rFonts w:hint="eastAsia" w:ascii="仿宋_GB2312" w:hAnsi="黑体" w:eastAsia="仿宋_GB2312"/>
          <w:color w:val="000000" w:themeColor="text1"/>
          <w:lang w:val="en-US" w:eastAsia="zh-CN"/>
        </w:rPr>
        <w:t>2021</w:t>
      </w:r>
      <w:r>
        <w:rPr>
          <w:rFonts w:hint="eastAsia" w:ascii="仿宋_GB2312" w:hAnsi="黑体" w:eastAsia="仿宋_GB2312"/>
          <w:color w:val="000000" w:themeColor="text1"/>
          <w:lang w:eastAsia="zh-CN"/>
        </w:rPr>
        <w:t>）川</w:t>
      </w:r>
      <w:r>
        <w:rPr>
          <w:rFonts w:hint="eastAsia" w:ascii="仿宋_GB2312" w:hAnsi="黑体" w:eastAsia="仿宋_GB2312"/>
          <w:color w:val="000000" w:themeColor="text1"/>
          <w:lang w:val="en-US" w:eastAsia="zh-CN"/>
        </w:rPr>
        <w:t>01执恢25</w:t>
      </w:r>
      <w:r>
        <w:rPr>
          <w:rFonts w:hint="eastAsia" w:ascii="仿宋_GB2312" w:hAnsi="黑体" w:eastAsia="仿宋_GB2312"/>
          <w:color w:val="auto"/>
          <w:lang w:val="en-US" w:eastAsia="zh-CN"/>
        </w:rPr>
        <w:t>3号及附表</w:t>
      </w:r>
      <w:r>
        <w:rPr>
          <w:rFonts w:hint="eastAsia" w:ascii="仿宋_GB2312" w:hAnsi="黑体" w:eastAsia="仿宋_GB2312"/>
          <w:color w:val="auto"/>
        </w:rPr>
        <w:t>；</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黑体" w:eastAsia="仿宋_GB2312"/>
          <w:color w:val="000000" w:themeColor="text1"/>
          <w:lang w:eastAsia="zh-CN"/>
        </w:rPr>
      </w:pPr>
      <w:r>
        <w:rPr>
          <w:rFonts w:hint="eastAsia" w:ascii="仿宋_GB2312" w:hAnsi="黑体" w:eastAsia="仿宋_GB2312"/>
          <w:color w:val="000000" w:themeColor="text1"/>
        </w:rPr>
        <w:t>（</w:t>
      </w:r>
      <w:r>
        <w:rPr>
          <w:rFonts w:hint="eastAsia" w:ascii="仿宋_GB2312" w:hAnsi="黑体" w:eastAsia="仿宋_GB2312"/>
          <w:color w:val="000000" w:themeColor="text1"/>
          <w:lang w:val="en-US" w:eastAsia="zh-CN"/>
        </w:rPr>
        <w:t>2</w:t>
      </w:r>
      <w:r>
        <w:rPr>
          <w:rFonts w:hint="eastAsia" w:ascii="仿宋_GB2312" w:hAnsi="黑体" w:eastAsia="仿宋_GB2312"/>
          <w:color w:val="000000" w:themeColor="text1"/>
        </w:rPr>
        <w:t>）</w:t>
      </w:r>
      <w:r>
        <w:rPr>
          <w:rFonts w:hint="eastAsia" w:ascii="仿宋_GB2312" w:hAnsi="黑体" w:eastAsia="仿宋_GB2312"/>
          <w:color w:val="000000" w:themeColor="text1"/>
          <w:lang w:eastAsia="zh-CN"/>
        </w:rPr>
        <w:t>《自贡市自然资源规划和规划局不动产登记查询结果意见书》；</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黑体" w:eastAsia="仿宋_GB2312"/>
          <w:color w:val="000000" w:themeColor="text1"/>
          <w:lang w:eastAsia="zh-CN"/>
        </w:rPr>
      </w:pPr>
      <w:r>
        <w:rPr>
          <w:rFonts w:hint="eastAsia" w:ascii="仿宋_GB2312" w:hAnsi="黑体" w:eastAsia="仿宋_GB2312"/>
          <w:color w:val="000000" w:themeColor="text1"/>
          <w:lang w:eastAsia="zh-CN"/>
        </w:rPr>
        <w:t>（</w:t>
      </w:r>
      <w:r>
        <w:rPr>
          <w:rFonts w:hint="eastAsia" w:ascii="仿宋_GB2312" w:hAnsi="黑体" w:eastAsia="仿宋_GB2312"/>
          <w:color w:val="000000" w:themeColor="text1"/>
          <w:lang w:val="en-US" w:eastAsia="zh-CN"/>
        </w:rPr>
        <w:t>3</w:t>
      </w:r>
      <w:r>
        <w:rPr>
          <w:rFonts w:hint="eastAsia" w:ascii="仿宋_GB2312" w:hAnsi="黑体" w:eastAsia="仿宋_GB2312"/>
          <w:color w:val="000000" w:themeColor="text1"/>
          <w:lang w:eastAsia="zh-CN"/>
        </w:rPr>
        <w:t>）自贡市城市建设档案馆提供的《面积测绘成果》。</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仿宋_GB2312" w:hAnsi="黑体" w:eastAsia="仿宋_GB2312"/>
          <w:color w:val="000000" w:themeColor="text1"/>
        </w:rPr>
      </w:pPr>
      <w:r>
        <w:rPr>
          <w:rFonts w:hint="eastAsia" w:ascii="仿宋_GB2312" w:hAnsi="黑体" w:eastAsia="仿宋_GB2312"/>
          <w:color w:val="000000" w:themeColor="text1"/>
        </w:rPr>
        <w:t>4、注册房地产估价师掌握和收集的资料</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仿宋_GB2312" w:hAnsi="黑体" w:eastAsia="仿宋_GB2312"/>
          <w:color w:val="000000" w:themeColor="text1"/>
        </w:rPr>
      </w:pPr>
      <w:r>
        <w:rPr>
          <w:rFonts w:hint="eastAsia" w:ascii="仿宋_GB2312" w:hAnsi="黑体" w:eastAsia="仿宋_GB2312"/>
          <w:color w:val="000000" w:themeColor="text1"/>
        </w:rPr>
        <w:t>（</w:t>
      </w:r>
      <w:r>
        <w:rPr>
          <w:rFonts w:hint="eastAsia" w:ascii="仿宋_GB2312" w:hAnsi="黑体" w:eastAsia="仿宋_GB2312"/>
          <w:color w:val="000000" w:themeColor="text1"/>
          <w:lang w:val="en-US" w:eastAsia="zh-CN"/>
        </w:rPr>
        <w:t>1</w:t>
      </w:r>
      <w:r>
        <w:rPr>
          <w:rFonts w:hint="eastAsia" w:ascii="仿宋_GB2312" w:hAnsi="黑体" w:eastAsia="仿宋_GB2312"/>
          <w:color w:val="000000" w:themeColor="text1"/>
        </w:rPr>
        <w:t>）注册房地产估价师现场实地查看记录、调查所获取的资料，拍摄的现状照片；</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仿宋_GB2312" w:hAnsi="黑体" w:eastAsia="仿宋_GB2312"/>
          <w:color w:val="000000" w:themeColor="text1"/>
        </w:rPr>
      </w:pPr>
      <w:r>
        <w:rPr>
          <w:rFonts w:hint="eastAsia" w:ascii="仿宋_GB2312" w:hAnsi="黑体" w:eastAsia="仿宋_GB2312"/>
          <w:color w:val="000000" w:themeColor="text1"/>
        </w:rPr>
        <w:t>（</w:t>
      </w:r>
      <w:r>
        <w:rPr>
          <w:rFonts w:hint="eastAsia" w:ascii="仿宋_GB2312" w:hAnsi="黑体" w:eastAsia="仿宋_GB2312"/>
          <w:color w:val="000000" w:themeColor="text1"/>
          <w:lang w:val="en-US" w:eastAsia="zh-CN"/>
        </w:rPr>
        <w:t>2</w:t>
      </w:r>
      <w:r>
        <w:rPr>
          <w:rFonts w:hint="eastAsia" w:ascii="仿宋_GB2312" w:hAnsi="黑体" w:eastAsia="仿宋_GB2312"/>
          <w:color w:val="000000" w:themeColor="text1"/>
        </w:rPr>
        <w:t>）房地产估价机构建立的房地产交易实例库；</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仿宋_GB2312" w:hAnsi="黑体" w:eastAsia="仿宋_GB2312"/>
          <w:color w:val="000000" w:themeColor="text1"/>
        </w:rPr>
      </w:pPr>
      <w:r>
        <w:rPr>
          <w:rFonts w:hint="eastAsia" w:ascii="仿宋_GB2312" w:hAnsi="黑体" w:eastAsia="仿宋_GB2312"/>
          <w:color w:val="000000" w:themeColor="text1"/>
        </w:rPr>
        <w:t>（</w:t>
      </w:r>
      <w:r>
        <w:rPr>
          <w:rFonts w:hint="eastAsia" w:ascii="仿宋_GB2312" w:hAnsi="黑体" w:eastAsia="仿宋_GB2312"/>
          <w:color w:val="000000" w:themeColor="text1"/>
          <w:lang w:val="en-US" w:eastAsia="zh-CN"/>
        </w:rPr>
        <w:t>3</w:t>
      </w:r>
      <w:r>
        <w:rPr>
          <w:rFonts w:hint="eastAsia" w:ascii="仿宋_GB2312" w:hAnsi="黑体" w:eastAsia="仿宋_GB2312"/>
          <w:color w:val="000000" w:themeColor="text1"/>
        </w:rPr>
        <w:t>）注册房地产估价师实地勘察所获取的估价对象口岸位置、外观、成色等资料；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黑体" w:eastAsia="仿宋_GB2312"/>
          <w:color w:val="000000" w:themeColor="text1"/>
        </w:rPr>
      </w:pPr>
      <w:bookmarkStart w:id="76" w:name="_Toc437265340"/>
      <w:r>
        <w:rPr>
          <w:rFonts w:hint="eastAsia" w:ascii="仿宋_GB2312" w:hAnsi="黑体" w:eastAsia="仿宋_GB2312"/>
          <w:color w:val="000000" w:themeColor="text1"/>
        </w:rPr>
        <w:t>（</w:t>
      </w:r>
      <w:r>
        <w:rPr>
          <w:rFonts w:hint="eastAsia" w:ascii="仿宋_GB2312" w:hAnsi="黑体" w:eastAsia="仿宋_GB2312"/>
          <w:color w:val="000000" w:themeColor="text1"/>
          <w:lang w:val="en-US" w:eastAsia="zh-CN"/>
        </w:rPr>
        <w:t>4</w:t>
      </w:r>
      <w:r>
        <w:rPr>
          <w:rFonts w:hint="eastAsia" w:ascii="仿宋_GB2312" w:hAnsi="黑体" w:eastAsia="仿宋_GB2312"/>
          <w:color w:val="000000" w:themeColor="text1"/>
        </w:rPr>
        <w:t>）房地产估价机构和注册房地产估价师掌握和收集的其他材料。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Style w:val="27"/>
          <w:rFonts w:ascii="仿宋_GB2312" w:hAnsi="仿宋_GB2312" w:eastAsia="仿宋_GB2312" w:cs="仿宋_GB2312"/>
          <w:b w:val="0"/>
          <w:bCs/>
          <w:color w:val="000000" w:themeColor="text1"/>
          <w:sz w:val="28"/>
          <w:szCs w:val="28"/>
        </w:rPr>
      </w:pPr>
      <w:bookmarkStart w:id="77" w:name="_Toc1084"/>
      <w:r>
        <w:rPr>
          <w:rStyle w:val="27"/>
          <w:rFonts w:hint="eastAsia" w:ascii="仿宋_GB2312" w:hAnsi="仿宋_GB2312" w:eastAsia="仿宋_GB2312" w:cs="仿宋_GB2312"/>
          <w:b w:val="0"/>
          <w:bCs/>
          <w:color w:val="000000" w:themeColor="text1"/>
          <w:sz w:val="28"/>
          <w:szCs w:val="28"/>
        </w:rPr>
        <w:t>（九）估价方法</w:t>
      </w:r>
      <w:bookmarkEnd w:id="76"/>
    </w:p>
    <w:bookmarkEnd w:id="77"/>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000000" w:themeColor="text1"/>
        </w:rPr>
      </w:pPr>
      <w:bookmarkStart w:id="78" w:name="_Toc437265341"/>
      <w:r>
        <w:rPr>
          <w:rFonts w:hint="eastAsia" w:ascii="仿宋_GB2312" w:eastAsia="仿宋_GB2312"/>
          <w:color w:val="000000" w:themeColor="text1"/>
        </w:rPr>
        <w:t>1、估价方法的确定</w:t>
      </w:r>
    </w:p>
    <w:p>
      <w:pPr>
        <w:spacing w:line="360" w:lineRule="auto"/>
        <w:ind w:firstLine="560" w:firstLineChars="200"/>
        <w:rPr>
          <w:rFonts w:ascii="仿宋_GB2312" w:eastAsia="仿宋_GB2312"/>
        </w:rPr>
      </w:pPr>
      <w:r>
        <w:rPr>
          <w:rFonts w:hint="eastAsia" w:ascii="仿宋_GB2312" w:eastAsia="仿宋_GB2312"/>
        </w:rPr>
        <w:t>根据《房地产估价规范》（GB/T50291-2015），现行的房地产评估方法主要有比较法、收益法、成本法、假设开发法等。评估方法的选择是按照房地产估价规范，根据当地房地产市场发育状况，并结合该项目的具体特点及估价目的等，选择适当的房地产估价方法。</w:t>
      </w:r>
    </w:p>
    <w:p>
      <w:pPr>
        <w:spacing w:line="360" w:lineRule="auto"/>
        <w:ind w:firstLine="560" w:firstLineChars="200"/>
        <w:rPr>
          <w:rFonts w:ascii="仿宋_GB2312" w:eastAsia="仿宋_GB2312"/>
        </w:rPr>
      </w:pPr>
      <w:r>
        <w:rPr>
          <w:rFonts w:hint="eastAsia" w:ascii="仿宋_GB2312" w:eastAsia="仿宋_GB2312"/>
        </w:rPr>
        <w:t>注册房地产估价师通过实地调查，认真分析调查收集到的资料，在确定上述估价原则的基础上，根据估价对象的实际情况，结合本次评估目的，</w:t>
      </w:r>
      <w:r>
        <w:rPr>
          <w:rFonts w:hint="eastAsia" w:ascii="仿宋_GB2312" w:hAnsi="宋体" w:eastAsia="仿宋_GB2312"/>
          <w:szCs w:val="28"/>
        </w:rPr>
        <w:t>本次评估</w:t>
      </w:r>
      <w:r>
        <w:rPr>
          <w:rFonts w:hint="eastAsia" w:ascii="仿宋_GB2312" w:hAnsi="宋体" w:eastAsia="仿宋_GB2312"/>
          <w:szCs w:val="28"/>
          <w:lang w:eastAsia="zh-CN"/>
        </w:rPr>
        <w:t>估价对象</w:t>
      </w:r>
      <w:r>
        <w:rPr>
          <w:rFonts w:hint="eastAsia" w:ascii="仿宋_GB2312" w:hAnsi="宋体" w:eastAsia="仿宋_GB2312"/>
          <w:szCs w:val="28"/>
          <w:lang w:val="en-US" w:eastAsia="zh-CN"/>
        </w:rPr>
        <w:t>1（商业）采用收益法进行评估，估价对象2（住宅）采用比较法进行评估，估价对象3（在建工程）采用假设开发法进行评估</w:t>
      </w:r>
      <w:r>
        <w:rPr>
          <w:rFonts w:hint="eastAsia" w:ascii="仿宋_GB2312" w:eastAsia="仿宋_GB2312"/>
        </w:rPr>
        <w:t>。</w:t>
      </w:r>
    </w:p>
    <w:p>
      <w:pPr>
        <w:keepNext w:val="0"/>
        <w:keepLines w:val="0"/>
        <w:pageBreakBefore w:val="0"/>
        <w:widowControl w:val="0"/>
        <w:numPr>
          <w:ilvl w:val="0"/>
          <w:numId w:val="8"/>
        </w:numPr>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000000" w:themeColor="text1"/>
        </w:rPr>
      </w:pPr>
      <w:r>
        <w:rPr>
          <w:rFonts w:hint="eastAsia" w:ascii="仿宋_GB2312" w:eastAsia="仿宋_GB2312"/>
          <w:color w:val="000000" w:themeColor="text1"/>
        </w:rPr>
        <w:t>估价方法的定义、步骤及公式</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lang w:val="en-US" w:eastAsia="zh-CN"/>
        </w:rPr>
      </w:pPr>
      <w:bookmarkStart w:id="79" w:name="OLE_LINK9"/>
      <w:r>
        <w:rPr>
          <w:rFonts w:hint="eastAsia" w:ascii="仿宋" w:hAnsi="仿宋" w:eastAsia="仿宋" w:cs="仿宋"/>
          <w:lang w:val="en-US" w:eastAsia="zh-CN"/>
        </w:rPr>
        <w:t>I、收益法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ascii="仿宋_GB2312" w:eastAsia="仿宋_GB2312"/>
        </w:rPr>
      </w:pPr>
      <w:r>
        <w:rPr>
          <w:rFonts w:hint="eastAsia" w:ascii="仿宋_GB2312" w:eastAsia="仿宋_GB2312"/>
          <w:lang w:val="en-US" w:eastAsia="zh-CN"/>
        </w:rPr>
        <w:t>（1）</w:t>
      </w:r>
      <w:r>
        <w:rPr>
          <w:rFonts w:hint="eastAsia" w:ascii="仿宋_GB2312" w:eastAsia="仿宋_GB2312"/>
        </w:rPr>
        <w:t>收益法是预测估价对象未来的正常净收益，选用适当的报酬率或资本化率、收益乘数，将未来收益转换为价值来求取估价对象价值的方法。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ascii="仿宋_GB2312" w:eastAsia="仿宋_GB2312"/>
        </w:rPr>
      </w:pPr>
      <w:r>
        <w:rPr>
          <w:rFonts w:hint="eastAsia" w:ascii="仿宋_GB2312" w:eastAsia="仿宋_GB2312"/>
          <w:lang w:val="en-US" w:eastAsia="zh-CN"/>
        </w:rPr>
        <w:t>（2）</w:t>
      </w:r>
      <w:r>
        <w:rPr>
          <w:rFonts w:hint="eastAsia" w:ascii="仿宋_GB2312" w:eastAsia="仿宋_GB2312"/>
        </w:rPr>
        <w:t>收益法步骤：运用报酬率资本化估价一般分为4大步骤：①估计收益期或持有期；②预测未来净收益或期间收益和期末转售收益；③确定报酬率；④计算收益价值；</w:t>
      </w:r>
    </w:p>
    <w:p>
      <w:pPr>
        <w:keepNext w:val="0"/>
        <w:keepLines w:val="0"/>
        <w:pageBreakBefore w:val="0"/>
        <w:widowControl w:val="0"/>
        <w:kinsoku/>
        <w:wordWrap/>
        <w:overflowPunct/>
        <w:topLinePunct w:val="0"/>
        <w:autoSpaceDE/>
        <w:autoSpaceDN/>
        <w:bidi w:val="0"/>
        <w:adjustRightInd/>
        <w:snapToGrid/>
        <w:spacing w:line="100" w:lineRule="atLeast"/>
        <w:ind w:firstLine="560" w:firstLineChars="200"/>
        <w:textAlignment w:val="auto"/>
        <w:rPr>
          <w:rFonts w:ascii="仿宋_GB2312" w:eastAsia="仿宋_GB2312"/>
        </w:rPr>
      </w:pPr>
      <w:r>
        <w:rPr>
          <w:rFonts w:hint="eastAsia" w:ascii="仿宋_GB2312" w:eastAsia="仿宋_GB2312"/>
          <w:lang w:val="en-US" w:eastAsia="zh-CN"/>
        </w:rPr>
        <w:t>（3）</w:t>
      </w:r>
      <w:r>
        <w:rPr>
          <w:rFonts w:hint="eastAsia" w:ascii="仿宋_GB2312" w:eastAsia="仿宋_GB2312"/>
        </w:rPr>
        <w:t>收益法基本公式：               n      A</w:t>
      </w:r>
      <w:r>
        <w:rPr>
          <w:rFonts w:hint="eastAsia" w:ascii="仿宋_GB2312" w:eastAsia="仿宋_GB2312"/>
          <w:sz w:val="18"/>
          <w:szCs w:val="18"/>
        </w:rPr>
        <w:t>i</w:t>
      </w:r>
      <w:r>
        <w:rPr>
          <w:rFonts w:hint="eastAsia" w:ascii="仿宋_GB2312" w:eastAsia="仿宋_GB2312"/>
        </w:rPr>
        <w:t xml:space="preserve">            </w:t>
      </w:r>
    </w:p>
    <w:p>
      <w:pPr>
        <w:spacing w:line="100" w:lineRule="atLeast"/>
        <w:ind w:firstLine="560" w:firstLineChars="200"/>
        <w:rPr>
          <w:rFonts w:ascii="仿宋_GB2312" w:eastAsia="仿宋_GB2312"/>
          <w:szCs w:val="28"/>
        </w:rPr>
      </w:pPr>
      <w:r>
        <w:rPr>
          <w:rFonts w:hint="eastAsia" w:ascii="仿宋_GB2312" w:eastAsia="仿宋_GB2312"/>
        </w:rPr>
        <w:t xml:space="preserve">估价对象房地产的收益价值 </w:t>
      </w:r>
      <w:r>
        <w:rPr>
          <w:rFonts w:hint="eastAsia" w:ascii="仿宋_GB2312" w:eastAsia="仿宋_GB2312"/>
          <w:szCs w:val="28"/>
        </w:rPr>
        <w:t>V</w:t>
      </w:r>
      <w:r>
        <w:rPr>
          <w:rFonts w:ascii="仿宋_GB2312" w:eastAsia="仿宋_GB2312"/>
          <w:szCs w:val="28"/>
        </w:rPr>
        <w:t xml:space="preserve"> </w:t>
      </w:r>
      <w:r>
        <w:rPr>
          <w:rFonts w:hint="eastAsia" w:ascii="仿宋_GB2312" w:eastAsia="仿宋_GB2312"/>
          <w:szCs w:val="28"/>
        </w:rPr>
        <w:t>=</w:t>
      </w:r>
      <w:r>
        <w:rPr>
          <w:rFonts w:ascii="仿宋_GB2312" w:eastAsia="仿宋_GB2312"/>
          <w:szCs w:val="28"/>
        </w:rPr>
        <w:t xml:space="preserve"> </w:t>
      </w:r>
      <w:r>
        <w:rPr>
          <w:rFonts w:hint="eastAsia" w:ascii="仿宋_GB2312" w:eastAsia="仿宋_GB2312"/>
          <w:szCs w:val="28"/>
        </w:rPr>
        <w:t xml:space="preserve">∑  </w:t>
      </w:r>
      <w:r>
        <w:rPr>
          <w:rFonts w:ascii="仿宋_GB2312" w:eastAsia="仿宋_GB2312"/>
          <w:szCs w:val="28"/>
        </w:rPr>
        <w:t>----------</w:t>
      </w:r>
      <w:r>
        <w:rPr>
          <w:rFonts w:hint="eastAsia" w:ascii="仿宋_GB2312" w:eastAsia="仿宋_GB2312"/>
          <w:szCs w:val="28"/>
        </w:rPr>
        <w:t xml:space="preserve"> </w:t>
      </w:r>
    </w:p>
    <w:p>
      <w:pPr>
        <w:overflowPunct w:val="0"/>
        <w:adjustRightInd w:val="0"/>
        <w:snapToGrid w:val="0"/>
        <w:spacing w:line="240" w:lineRule="atLeast"/>
        <w:ind w:firstLine="1540" w:firstLineChars="550"/>
        <w:textAlignment w:val="top"/>
        <w:rPr>
          <w:rFonts w:ascii="仿宋_GB2312" w:eastAsia="仿宋_GB2312"/>
          <w:szCs w:val="28"/>
        </w:rPr>
      </w:pPr>
      <w:r>
        <w:rPr>
          <w:rFonts w:hint="eastAsia" w:ascii="仿宋_GB2312" w:eastAsia="仿宋_GB2312"/>
          <w:szCs w:val="28"/>
        </w:rPr>
        <w:t xml:space="preserve">                      </w:t>
      </w:r>
      <w:r>
        <w:rPr>
          <w:rFonts w:ascii="仿宋_GB2312" w:eastAsia="仿宋_GB2312"/>
          <w:szCs w:val="28"/>
        </w:rPr>
        <w:t xml:space="preserve">i=1  </w:t>
      </w:r>
      <w:r>
        <w:rPr>
          <w:rFonts w:hint="eastAsia" w:ascii="仿宋_GB2312" w:eastAsia="仿宋_GB2312"/>
          <w:szCs w:val="28"/>
        </w:rPr>
        <w:t>（</w:t>
      </w:r>
      <w:r>
        <w:rPr>
          <w:rFonts w:ascii="仿宋_GB2312" w:eastAsia="仿宋_GB2312"/>
          <w:szCs w:val="28"/>
        </w:rPr>
        <w:t>1</w:t>
      </w:r>
      <w:r>
        <w:rPr>
          <w:rFonts w:hint="eastAsia" w:ascii="仿宋_GB2312" w:eastAsia="仿宋_GB2312"/>
          <w:szCs w:val="28"/>
        </w:rPr>
        <w:t>＋Y）</w:t>
      </w:r>
      <w:r>
        <w:rPr>
          <w:rFonts w:hint="eastAsia" w:ascii="仿宋_GB2312" w:eastAsia="仿宋_GB2312"/>
          <w:sz w:val="18"/>
          <w:szCs w:val="18"/>
        </w:rPr>
        <w:t>i</w:t>
      </w:r>
      <w:r>
        <w:rPr>
          <w:rFonts w:hint="eastAsia" w:ascii="仿宋_GB2312" w:eastAsia="仿宋_GB2312"/>
          <w:szCs w:val="28"/>
        </w:rPr>
        <w:t xml:space="preserve">    </w:t>
      </w:r>
    </w:p>
    <w:p>
      <w:pPr>
        <w:spacing w:line="360" w:lineRule="auto"/>
        <w:ind w:firstLine="560" w:firstLineChars="200"/>
        <w:rPr>
          <w:rFonts w:ascii="仿宋_GB2312" w:eastAsia="仿宋_GB2312"/>
        </w:rPr>
      </w:pPr>
      <w:r>
        <w:rPr>
          <w:rFonts w:hint="eastAsia" w:ascii="仿宋_GB2312" w:eastAsia="仿宋_GB2312"/>
        </w:rPr>
        <w:t>式中  V ─估价对象在价值时点的收益价值；</w:t>
      </w:r>
    </w:p>
    <w:p>
      <w:pPr>
        <w:spacing w:line="360" w:lineRule="auto"/>
        <w:ind w:firstLine="560" w:firstLineChars="200"/>
        <w:rPr>
          <w:rFonts w:ascii="仿宋_GB2312" w:eastAsia="仿宋_GB2312"/>
        </w:rPr>
      </w:pPr>
      <w:r>
        <w:rPr>
          <w:rFonts w:hint="eastAsia" w:ascii="仿宋_GB2312" w:eastAsia="仿宋_GB2312"/>
        </w:rPr>
        <w:t xml:space="preserve">      A</w:t>
      </w:r>
      <w:r>
        <w:rPr>
          <w:rFonts w:hint="eastAsia" w:ascii="仿宋_GB2312" w:eastAsia="仿宋_GB2312"/>
          <w:sz w:val="18"/>
          <w:szCs w:val="18"/>
        </w:rPr>
        <w:t>i</w:t>
      </w:r>
      <w:r>
        <w:rPr>
          <w:rFonts w:hint="eastAsia" w:ascii="仿宋_GB2312" w:eastAsia="仿宋_GB2312"/>
        </w:rPr>
        <w:t xml:space="preserve"> ─估价对象未来各期的净收益；</w:t>
      </w:r>
    </w:p>
    <w:p>
      <w:pPr>
        <w:spacing w:line="360" w:lineRule="auto"/>
        <w:ind w:firstLine="560" w:firstLineChars="200"/>
        <w:rPr>
          <w:rFonts w:ascii="仿宋_GB2312" w:eastAsia="仿宋_GB2312"/>
        </w:rPr>
      </w:pPr>
      <w:r>
        <w:rPr>
          <w:rFonts w:hint="eastAsia" w:ascii="仿宋_GB2312" w:eastAsia="仿宋_GB2312"/>
        </w:rPr>
        <w:t xml:space="preserve">      Y ─ 估价对象未来各期的报酬率（％）；</w:t>
      </w:r>
    </w:p>
    <w:p>
      <w:pPr>
        <w:spacing w:line="360" w:lineRule="auto"/>
        <w:ind w:firstLine="560" w:firstLineChars="200"/>
        <w:rPr>
          <w:rFonts w:ascii="仿宋_GB2312" w:eastAsia="仿宋_GB2312"/>
        </w:rPr>
      </w:pPr>
      <w:r>
        <w:rPr>
          <w:rFonts w:hint="eastAsia" w:ascii="仿宋_GB2312" w:eastAsia="仿宋_GB2312"/>
        </w:rPr>
        <w:t xml:space="preserve">      n ─ 估价对象的收益期或持有期（年）。</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lang w:val="en-US" w:eastAsia="zh-CN"/>
        </w:rPr>
      </w:pPr>
      <w:r>
        <w:rPr>
          <w:rFonts w:hint="eastAsia" w:ascii="仿宋_GB2312" w:eastAsia="仿宋_GB2312"/>
          <w:lang w:val="en-US" w:eastAsia="zh-CN"/>
        </w:rPr>
        <w:t>II、比较法</w:t>
      </w:r>
    </w:p>
    <w:p>
      <w:pPr>
        <w:numPr>
          <w:ilvl w:val="0"/>
          <w:numId w:val="0"/>
        </w:numPr>
        <w:spacing w:line="360" w:lineRule="auto"/>
        <w:ind w:firstLine="560" w:firstLineChars="200"/>
        <w:rPr>
          <w:rFonts w:ascii="仿宋_GB2312" w:hAnsi="宋体" w:eastAsia="仿宋_GB2312"/>
          <w:szCs w:val="28"/>
        </w:rPr>
      </w:pPr>
      <w:r>
        <w:rPr>
          <w:rFonts w:hint="eastAsia" w:ascii="仿宋_GB2312" w:eastAsia="仿宋_GB2312"/>
          <w:lang w:val="en-US" w:eastAsia="zh-CN"/>
        </w:rPr>
        <w:t>（1）</w:t>
      </w:r>
      <w:r>
        <w:rPr>
          <w:rFonts w:hint="eastAsia" w:ascii="仿宋_GB2312" w:eastAsia="仿宋_GB2312"/>
        </w:rPr>
        <w:t>比较法的定义为:</w:t>
      </w:r>
      <w:r>
        <w:rPr>
          <w:rFonts w:hint="eastAsia" w:ascii="仿宋_GB2312" w:eastAsia="仿宋_GB2312"/>
          <w:color w:val="auto"/>
          <w:lang w:val="en-US" w:eastAsia="zh-CN"/>
        </w:rPr>
        <w:t>比较法是选取一定数量的可比实例，将它们与估价对象进行比较，根据其间的差异对可比实例成交价格进行处理后得到估价对象价值或</w:t>
      </w:r>
      <w:r>
        <w:rPr>
          <w:rFonts w:hint="eastAsia" w:ascii="仿宋_GB2312" w:eastAsia="仿宋_GB2312"/>
          <w:color w:val="auto"/>
        </w:rPr>
        <w:t>价格的方法。在房地</w:t>
      </w:r>
      <w:r>
        <w:rPr>
          <w:rFonts w:hint="eastAsia" w:ascii="仿宋_GB2312" w:eastAsia="仿宋_GB2312"/>
        </w:rPr>
        <w:t>产市场比较发达的情况下，是一种说服力强、使用范围广的估价方法。</w:t>
      </w:r>
      <w:r>
        <w:rPr>
          <w:rFonts w:hint="eastAsia" w:ascii="仿宋_GB2312" w:hAnsi="宋体" w:eastAsia="仿宋_GB2312"/>
          <w:szCs w:val="28"/>
        </w:rPr>
        <w:t>由于目前估价对象所在地区——</w:t>
      </w:r>
      <w:r>
        <w:rPr>
          <w:rFonts w:hint="eastAsia" w:ascii="仿宋_GB2312" w:hAnsi="宋体" w:eastAsia="仿宋_GB2312"/>
          <w:szCs w:val="28"/>
          <w:lang w:eastAsia="zh-CN"/>
        </w:rPr>
        <w:t>大安区</w:t>
      </w:r>
      <w:r>
        <w:rPr>
          <w:rFonts w:hint="eastAsia" w:ascii="仿宋_GB2312" w:hAnsi="宋体" w:eastAsia="仿宋_GB2312"/>
          <w:szCs w:val="28"/>
        </w:rPr>
        <w:t>的存量住宅用房地产市场较为活跃，与估价对象房地产类似的交易案例较多，故可采用比较法进行评估。</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ascii="仿宋_GB2312" w:eastAsia="仿宋_GB2312"/>
        </w:rPr>
      </w:pPr>
      <w:r>
        <w:rPr>
          <w:rFonts w:hint="eastAsia" w:ascii="仿宋_GB2312" w:eastAsia="仿宋_GB2312"/>
          <w:lang w:val="en-US" w:eastAsia="zh-CN"/>
        </w:rPr>
        <w:t>（2）</w:t>
      </w:r>
      <w:r>
        <w:rPr>
          <w:rFonts w:hint="eastAsia" w:ascii="仿宋_GB2312" w:eastAsia="仿宋_GB2312"/>
        </w:rPr>
        <w:t>步骤：运用比较法估价一般分为4大步骤：①搜集交易实例；②选取可比实例；③对可比实例成交价格进行处理；④计算比较价值；</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rPr>
      </w:pPr>
      <w:r>
        <w:rPr>
          <w:rFonts w:hint="eastAsia" w:ascii="仿宋_GB2312" w:eastAsia="仿宋_GB2312"/>
          <w:lang w:val="en-US" w:eastAsia="zh-CN"/>
        </w:rPr>
        <w:t>（3）</w:t>
      </w:r>
      <w:r>
        <w:rPr>
          <w:rFonts w:hint="eastAsia" w:ascii="仿宋_GB2312" w:eastAsia="仿宋_GB2312"/>
        </w:rPr>
        <w:t>基本公式：估价对象房地产的比较价值=可比实例成交价格×交易情况修正系数×市场状况调整系数×房地产状况调整系数</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lang w:val="en-US" w:eastAsia="zh-CN"/>
        </w:rPr>
      </w:pPr>
      <w:r>
        <w:rPr>
          <w:rFonts w:hint="eastAsia" w:ascii="仿宋_GB2312" w:eastAsia="仿宋_GB2312"/>
          <w:lang w:val="en-US" w:eastAsia="zh-CN"/>
        </w:rPr>
        <w:t>III、假设开发法</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lang w:val="en-US" w:eastAsia="zh-CN"/>
        </w:rPr>
      </w:pPr>
      <w:r>
        <w:rPr>
          <w:rFonts w:hint="eastAsia" w:ascii="仿宋_GB2312" w:eastAsia="仿宋_GB2312"/>
          <w:lang w:val="en-US" w:eastAsia="zh-CN"/>
        </w:rPr>
        <w:t>（1）假设开发法的定义为：预计</w:t>
      </w:r>
      <w:r>
        <w:rPr>
          <w:rFonts w:hint="eastAsia" w:ascii="仿宋_GB2312" w:eastAsia="仿宋_GB2312"/>
          <w:lang w:val="en-US" w:eastAsia="zh-CN"/>
        </w:rPr>
        <w:fldChar w:fldCharType="begin"/>
      </w:r>
      <w:r>
        <w:rPr>
          <w:rFonts w:hint="eastAsia" w:ascii="仿宋_GB2312" w:eastAsia="仿宋_GB2312"/>
          <w:lang w:val="en-US" w:eastAsia="zh-CN"/>
        </w:rPr>
        <w:instrText xml:space="preserve"> HYPERLINK "https://baike.baidu.com/item/%E4%BC%B0%E4%BB%B7%E5%AF%B9%E8%B1%A1" \t "https://baike.baidu.com/item/%E4%B8%AD%E5%8D%8E%E4%BA%BA%E6%B0%91%E5%85%B1%E5%92%8C%E5%9B%BD%E5%9B%BD%E5%AE%B6%E6%A0%87%E5%87%86%E6%88%BF%E5%9C%B0%E4%BA%A7%E4%BC%B0%E4%BB%B7%E8%A7%84%E8%8C%83/_blank" </w:instrText>
      </w:r>
      <w:r>
        <w:rPr>
          <w:rFonts w:hint="eastAsia" w:ascii="仿宋_GB2312" w:eastAsia="仿宋_GB2312"/>
          <w:lang w:val="en-US" w:eastAsia="zh-CN"/>
        </w:rPr>
        <w:fldChar w:fldCharType="separate"/>
      </w:r>
      <w:r>
        <w:rPr>
          <w:rFonts w:hint="eastAsia" w:ascii="仿宋_GB2312" w:eastAsia="仿宋_GB2312"/>
          <w:lang w:val="en-US" w:eastAsia="zh-CN"/>
        </w:rPr>
        <w:t>估价对象</w:t>
      </w:r>
      <w:r>
        <w:rPr>
          <w:rFonts w:hint="eastAsia" w:ascii="仿宋_GB2312" w:eastAsia="仿宋_GB2312"/>
          <w:lang w:val="en-US" w:eastAsia="zh-CN"/>
        </w:rPr>
        <w:fldChar w:fldCharType="end"/>
      </w:r>
      <w:r>
        <w:rPr>
          <w:rFonts w:hint="eastAsia" w:ascii="仿宋_GB2312" w:eastAsia="仿宋_GB2312"/>
          <w:lang w:val="en-US" w:eastAsia="zh-CN"/>
        </w:rPr>
        <w:t>开发完成后的价值，扣除预计的正常开发成本、税费和利润等，以此估算估价对象的客观合理价格或价值的方法。</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lang w:eastAsia="zh-CN"/>
        </w:rPr>
      </w:pPr>
      <w:r>
        <w:rPr>
          <w:rFonts w:hint="eastAsia" w:ascii="仿宋_GB2312" w:eastAsia="仿宋_GB2312"/>
          <w:lang w:val="en-US" w:eastAsia="zh-CN"/>
        </w:rPr>
        <w:t>（2）步骤：</w:t>
      </w:r>
      <w:r>
        <w:rPr>
          <w:rFonts w:hint="eastAsia" w:ascii="仿宋_GB2312" w:eastAsia="仿宋_GB2312"/>
        </w:rPr>
        <w:t>运用</w:t>
      </w:r>
      <w:r>
        <w:rPr>
          <w:rFonts w:hint="eastAsia" w:ascii="仿宋_GB2312" w:eastAsia="仿宋_GB2312"/>
          <w:lang w:eastAsia="zh-CN"/>
        </w:rPr>
        <w:t>假设开发法</w:t>
      </w:r>
      <w:r>
        <w:rPr>
          <w:rFonts w:hint="eastAsia" w:ascii="仿宋_GB2312" w:eastAsia="仿宋_GB2312"/>
        </w:rPr>
        <w:t>估价一般分为</w:t>
      </w:r>
      <w:r>
        <w:rPr>
          <w:rFonts w:hint="eastAsia" w:ascii="仿宋_GB2312" w:eastAsia="仿宋_GB2312"/>
          <w:lang w:val="en-US" w:eastAsia="zh-CN"/>
        </w:rPr>
        <w:t>6</w:t>
      </w:r>
      <w:r>
        <w:rPr>
          <w:rFonts w:hint="eastAsia" w:ascii="仿宋_GB2312" w:eastAsia="仿宋_GB2312"/>
        </w:rPr>
        <w:t>大步骤</w:t>
      </w:r>
      <w:r>
        <w:rPr>
          <w:rFonts w:hint="eastAsia" w:ascii="仿宋_GB2312" w:eastAsia="仿宋_GB2312"/>
          <w:lang w:eastAsia="zh-CN"/>
        </w:rPr>
        <w:t>：①调查待开发房地产的基本情况；②选择最佳的开发利用方式；③估计开发建设期；④预测开发完成后的房地产价值；⑥估算开发成本、管理费用、投资利息、销售税费、开发利润、投资者购买待开发房地产应负担的税费；⑦进行具体计算</w:t>
      </w:r>
    </w:p>
    <w:p>
      <w:pPr>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（3）基本公式：估价对象房地产价值=开发</w:t>
      </w:r>
      <w:r>
        <w:rPr>
          <w:rFonts w:hint="eastAsia" w:ascii="仿宋_GB2312" w:eastAsia="仿宋_GB2312" w:cs="Times New Roman"/>
          <w:color w:val="auto"/>
          <w:lang w:val="en-US" w:eastAsia="zh-CN"/>
        </w:rPr>
        <w:t>完成后</w:t>
      </w:r>
      <w:r>
        <w:rPr>
          <w:rFonts w:hint="eastAsia" w:ascii="仿宋_GB2312" w:hAnsi="Times New Roman" w:eastAsia="仿宋_GB2312" w:cs="Times New Roman"/>
          <w:color w:val="auto"/>
          <w:lang w:val="en-US" w:eastAsia="zh-CN"/>
        </w:rPr>
        <w:t>房地</w:t>
      </w:r>
      <w:r>
        <w:rPr>
          <w:rFonts w:hint="eastAsia" w:ascii="仿宋_GB2312" w:hAnsi="Times New Roman" w:eastAsia="仿宋_GB2312" w:cs="Times New Roman"/>
          <w:lang w:val="en-US" w:eastAsia="zh-CN"/>
        </w:rPr>
        <w:t>产价值-开发成本-管理费用、投资利息-销售税费-开发利润-投资者购买待开发房地产应负担的税费</w:t>
      </w:r>
    </w:p>
    <w:p>
      <w:pPr>
        <w:numPr>
          <w:ilvl w:val="0"/>
          <w:numId w:val="8"/>
        </w:numPr>
        <w:spacing w:line="360" w:lineRule="auto"/>
        <w:ind w:firstLine="560" w:firstLineChars="200"/>
        <w:rPr>
          <w:rFonts w:ascii="仿宋_GB2312" w:eastAsia="仿宋_GB2312"/>
        </w:rPr>
      </w:pPr>
      <w:r>
        <w:rPr>
          <w:rFonts w:hint="eastAsia" w:ascii="仿宋_GB2312" w:eastAsia="仿宋_GB2312"/>
        </w:rPr>
        <w:t>估价思路</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rPr>
      </w:pPr>
      <w:r>
        <w:rPr>
          <w:rFonts w:hint="eastAsia" w:ascii="仿宋_GB2312" w:eastAsia="仿宋_GB2312"/>
          <w:lang w:val="en-US" w:eastAsia="zh-CN"/>
        </w:rPr>
        <w:t>（1）估价对象1（商业）的估价思路为：</w:t>
      </w:r>
      <w:r>
        <w:rPr>
          <w:rFonts w:hint="eastAsia" w:ascii="仿宋_GB2312" w:eastAsia="仿宋_GB2312"/>
        </w:rPr>
        <w:t>收集估价对象周边类似的商业用房出租交易案例，选取3个或3个以上与估价对象具有可比性的租金收益案例，就影响租金收益价格的各个因素进行对比分析，然后对选取的可比实例租金收益价格进行修正，然后确定出估价对象的客观收益，在此基础上再扣减经营过程中产生的相关税费后得到估价对象的净收益，根据收益法的计算相关公式得到估价对象的价格。</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textAlignment w:val="auto"/>
        <w:rPr>
          <w:rFonts w:hint="default" w:ascii="仿宋_GB2312" w:eastAsia="仿宋_GB2312"/>
          <w:lang w:val="en-US" w:eastAsia="zh-CN"/>
        </w:rPr>
      </w:pPr>
      <w:r>
        <w:rPr>
          <w:rFonts w:hint="eastAsia" w:ascii="仿宋_GB2312" w:eastAsia="仿宋_GB2312"/>
          <w:lang w:eastAsia="zh-CN"/>
        </w:rPr>
        <w:t>（</w:t>
      </w:r>
      <w:r>
        <w:rPr>
          <w:rFonts w:hint="eastAsia" w:ascii="仿宋_GB2312" w:eastAsia="仿宋_GB2312"/>
          <w:lang w:val="en-US" w:eastAsia="zh-CN"/>
        </w:rPr>
        <w:t>2</w:t>
      </w:r>
      <w:r>
        <w:rPr>
          <w:rFonts w:hint="eastAsia" w:ascii="仿宋_GB2312" w:eastAsia="仿宋_GB2312"/>
          <w:lang w:eastAsia="zh-CN"/>
        </w:rPr>
        <w:t>）估价对象</w:t>
      </w:r>
      <w:r>
        <w:rPr>
          <w:rFonts w:hint="eastAsia" w:ascii="仿宋_GB2312" w:eastAsia="仿宋_GB2312"/>
          <w:lang w:val="en-US" w:eastAsia="zh-CN"/>
        </w:rPr>
        <w:t>2（住宅）的估价思路为：</w:t>
      </w:r>
      <w:r>
        <w:rPr>
          <w:rFonts w:hint="eastAsia" w:ascii="仿宋_GB2312" w:eastAsia="仿宋_GB2312"/>
        </w:rPr>
        <w:t>收集估价对象所在区域或周边的住宅用房交易案例，选取3个与估价对象具有可比性的交易案例，就影响房屋交易价格的交易情况、市场状况、房地产状况进行对比分析，然后对选取的可比实例交易价格进行修正，得到估价对象的比较价值。最后运用简单算术平均法求取估价对象的价格</w:t>
      </w:r>
      <w:r>
        <w:rPr>
          <w:rFonts w:hint="eastAsia" w:ascii="仿宋_GB2312" w:eastAsia="仿宋_GB2312"/>
          <w:lang w:eastAsia="zh-CN"/>
        </w:rPr>
        <w:t>。</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lang w:val="en-US" w:eastAsia="zh-CN"/>
        </w:rPr>
      </w:pPr>
      <w:r>
        <w:rPr>
          <w:rFonts w:hint="eastAsia" w:ascii="仿宋_GB2312" w:eastAsia="仿宋_GB2312"/>
          <w:lang w:eastAsia="zh-CN"/>
        </w:rPr>
        <w:t>（</w:t>
      </w:r>
      <w:r>
        <w:rPr>
          <w:rFonts w:hint="eastAsia" w:ascii="仿宋_GB2312" w:eastAsia="仿宋_GB2312"/>
          <w:lang w:val="en-US" w:eastAsia="zh-CN"/>
        </w:rPr>
        <w:t>3</w:t>
      </w:r>
      <w:r>
        <w:rPr>
          <w:rFonts w:hint="eastAsia" w:ascii="仿宋_GB2312" w:eastAsia="仿宋_GB2312"/>
          <w:lang w:eastAsia="zh-CN"/>
        </w:rPr>
        <w:t>）估价对象</w:t>
      </w:r>
      <w:r>
        <w:rPr>
          <w:rFonts w:hint="eastAsia" w:ascii="仿宋_GB2312" w:eastAsia="仿宋_GB2312"/>
          <w:lang w:val="en-US" w:eastAsia="zh-CN"/>
        </w:rPr>
        <w:t>3（在建工程）的估价思路为：收集调查估价对象所在区域和整体区域的房地产开发状况，确定估价对象最佳利用方式，估算开发周期，采用市场比较法预测出在建工程开发完成后的房地产价值，根据工程实际状况扣除开发成本、管理费用、投资利息、销售税费、开发利润和投资者购买待开发房地产应负担的税费，得到估价对象的价格</w:t>
      </w:r>
      <w:r>
        <w:rPr>
          <w:rFonts w:hint="eastAsia" w:ascii="仿宋_GB2312" w:eastAsia="仿宋_GB2312"/>
        </w:rPr>
        <w:t>。</w:t>
      </w:r>
    </w:p>
    <w:bookmarkEnd w:id="79"/>
    <w:p>
      <w:pPr>
        <w:keepNext w:val="0"/>
        <w:keepLines w:val="0"/>
        <w:pageBreakBefore w:val="0"/>
        <w:widowControl w:val="0"/>
        <w:kinsoku/>
        <w:wordWrap/>
        <w:overflowPunct/>
        <w:topLinePunct w:val="0"/>
        <w:autoSpaceDE/>
        <w:autoSpaceDN/>
        <w:bidi w:val="0"/>
        <w:spacing w:line="460" w:lineRule="exact"/>
        <w:ind w:firstLine="560" w:firstLineChars="200"/>
        <w:textAlignment w:val="auto"/>
        <w:rPr>
          <w:rFonts w:ascii="仿宋_GB2312" w:hAnsi="仿宋_GB2312" w:eastAsia="仿宋_GB2312" w:cs="仿宋_GB2312"/>
          <w:bCs/>
          <w:color w:val="000000" w:themeColor="text1"/>
          <w:szCs w:val="28"/>
        </w:rPr>
      </w:pPr>
      <w:bookmarkStart w:id="80" w:name="_Toc4956"/>
      <w:r>
        <w:rPr>
          <w:rStyle w:val="27"/>
          <w:rFonts w:hint="eastAsia" w:ascii="仿宋_GB2312" w:hAnsi="仿宋_GB2312" w:eastAsia="仿宋_GB2312" w:cs="仿宋_GB2312"/>
          <w:b w:val="0"/>
          <w:bCs/>
          <w:color w:val="000000" w:themeColor="text1"/>
          <w:sz w:val="28"/>
          <w:szCs w:val="28"/>
        </w:rPr>
        <w:t>（十）估价结果</w:t>
      </w:r>
      <w:bookmarkEnd w:id="78"/>
      <w:bookmarkEnd w:id="80"/>
    </w:p>
    <w:p>
      <w:pPr>
        <w:spacing w:line="360" w:lineRule="auto"/>
        <w:ind w:firstLine="560" w:firstLineChars="200"/>
        <w:rPr>
          <w:rFonts w:hint="eastAsia" w:ascii="仿宋_GB2312" w:eastAsia="仿宋_GB2312"/>
          <w:szCs w:val="22"/>
        </w:rPr>
      </w:pPr>
      <w:r>
        <w:rPr>
          <w:rFonts w:hint="eastAsia" w:ascii="仿宋_GB2312" w:eastAsia="仿宋_GB2312"/>
          <w:szCs w:val="22"/>
        </w:rPr>
        <w:t>本估价机构根据估价目的，遵循估价原则，采用科学合理的估价方法，在认真分析现有资料基础上，经过测算，结合估价经验与对影响房地产市场价格因素进行分析，确定估价对象在市场上有足够的买方，并且进入市场无障碍的条件下，于价值时点最可能实现的市场价值为：</w:t>
      </w:r>
    </w:p>
    <w:p>
      <w:pPr>
        <w:keepNext w:val="0"/>
        <w:keepLines w:val="0"/>
        <w:pageBreakBefore w:val="0"/>
        <w:widowControl w:val="0"/>
        <w:kinsoku/>
        <w:wordWrap/>
        <w:overflowPunct/>
        <w:topLinePunct w:val="0"/>
        <w:autoSpaceDE/>
        <w:autoSpaceDN/>
        <w:bidi w:val="0"/>
        <w:spacing w:line="460" w:lineRule="exact"/>
        <w:ind w:firstLine="560"/>
        <w:textAlignment w:val="auto"/>
        <w:rPr>
          <w:rFonts w:ascii="仿宋_GB2312" w:eastAsia="仿宋_GB2312"/>
          <w:color w:val="000000" w:themeColor="text1"/>
        </w:rPr>
      </w:pPr>
      <w:r>
        <w:rPr>
          <w:rFonts w:hint="eastAsia" w:ascii="仿宋_GB2312" w:eastAsia="仿宋_GB2312"/>
          <w:color w:val="000000" w:themeColor="text1"/>
        </w:rPr>
        <w:t>币种：人民币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0" w:firstLineChars="200"/>
        <w:textAlignment w:val="auto"/>
        <w:rPr>
          <w:rFonts w:hint="default" w:ascii="仿宋_GB2312" w:eastAsia="仿宋_GB2312"/>
          <w:color w:val="000000" w:themeColor="text1"/>
          <w:lang w:val="en-US" w:eastAsia="zh-CN"/>
        </w:rPr>
      </w:pPr>
      <w:r>
        <w:rPr>
          <w:rFonts w:hint="eastAsia" w:ascii="仿宋_GB2312" w:eastAsia="仿宋_GB2312"/>
          <w:color w:val="000000" w:themeColor="text1"/>
          <w:lang w:eastAsia="zh-CN"/>
        </w:rPr>
        <w:t>（</w:t>
      </w:r>
      <w:r>
        <w:rPr>
          <w:rFonts w:hint="eastAsia" w:ascii="仿宋_GB2312" w:eastAsia="仿宋_GB2312"/>
          <w:color w:val="000000" w:themeColor="text1"/>
          <w:lang w:val="en-US" w:eastAsia="zh-CN"/>
        </w:rPr>
        <w:t>1</w:t>
      </w:r>
      <w:r>
        <w:rPr>
          <w:rFonts w:hint="eastAsia" w:ascii="仿宋_GB2312" w:eastAsia="仿宋_GB2312"/>
          <w:color w:val="000000" w:themeColor="text1"/>
          <w:lang w:eastAsia="zh-CN"/>
        </w:rPr>
        <w:t>）估价对象</w:t>
      </w:r>
      <w:r>
        <w:rPr>
          <w:rFonts w:hint="eastAsia" w:ascii="仿宋_GB2312" w:eastAsia="仿宋_GB2312"/>
          <w:color w:val="000000" w:themeColor="text1"/>
          <w:lang w:val="en-US" w:eastAsia="zh-CN"/>
        </w:rPr>
        <w:t>1</w:t>
      </w:r>
    </w:p>
    <w:p>
      <w:pPr>
        <w:adjustRightInd w:val="0"/>
        <w:snapToGrid w:val="0"/>
        <w:spacing w:line="600" w:lineRule="exact"/>
        <w:ind w:left="560"/>
        <w:rPr>
          <w:rFonts w:hint="default" w:ascii="仿宋_GB2312" w:eastAsia="仿宋_GB2312"/>
          <w:color w:val="000000" w:themeColor="text1"/>
          <w:lang w:val="en-US" w:eastAsia="zh-CN"/>
        </w:rPr>
      </w:pPr>
      <w:r>
        <w:rPr>
          <w:rFonts w:hint="eastAsia" w:ascii="仿宋_GB2312" w:eastAsia="仿宋_GB2312"/>
          <w:color w:val="000000" w:themeColor="text1"/>
          <w:lang w:eastAsia="zh-CN"/>
        </w:rPr>
        <w:t>评估面积：</w:t>
      </w:r>
      <w:r>
        <w:rPr>
          <w:rFonts w:hint="eastAsia" w:ascii="仿宋_GB2312" w:eastAsia="仿宋_GB2312"/>
          <w:color w:val="000000" w:themeColor="text1"/>
          <w:lang w:val="en-US" w:eastAsia="zh-CN"/>
        </w:rPr>
        <w:t>668.05平方米</w:t>
      </w:r>
    </w:p>
    <w:p>
      <w:pPr>
        <w:adjustRightInd w:val="0"/>
        <w:snapToGrid w:val="0"/>
        <w:spacing w:line="600" w:lineRule="exact"/>
        <w:ind w:left="560"/>
        <w:rPr>
          <w:rFonts w:ascii="仿宋_GB2312" w:eastAsia="仿宋_GB2312"/>
          <w:color w:val="000000" w:themeColor="text1"/>
        </w:rPr>
      </w:pPr>
      <w:r>
        <w:rPr>
          <w:rFonts w:hint="eastAsia" w:ascii="仿宋_GB2312" w:eastAsia="仿宋_GB2312"/>
          <w:color w:val="000000" w:themeColor="text1"/>
        </w:rPr>
        <w:t>评估单价：</w:t>
      </w:r>
      <w:r>
        <w:rPr>
          <w:rFonts w:hint="eastAsia" w:ascii="仿宋_GB2312" w:eastAsia="仿宋_GB2312"/>
          <w:color w:val="000000" w:themeColor="text1"/>
          <w:lang w:val="en-US" w:eastAsia="zh-CN"/>
        </w:rPr>
        <w:t>6090</w:t>
      </w:r>
      <w:r>
        <w:rPr>
          <w:rFonts w:hint="eastAsia" w:ascii="仿宋_GB2312" w:eastAsia="仿宋_GB2312"/>
          <w:color w:val="000000" w:themeColor="text1"/>
        </w:rPr>
        <w:t>元/平方米（取整至十元位）</w:t>
      </w:r>
    </w:p>
    <w:p>
      <w:pPr>
        <w:adjustRightInd w:val="0"/>
        <w:snapToGrid w:val="0"/>
        <w:spacing w:line="600" w:lineRule="exact"/>
        <w:ind w:left="560"/>
        <w:rPr>
          <w:rFonts w:ascii="仿宋_GB2312" w:eastAsia="仿宋_GB2312"/>
          <w:color w:val="000000" w:themeColor="text1"/>
        </w:rPr>
      </w:pPr>
      <w:r>
        <w:rPr>
          <w:rFonts w:hint="eastAsia" w:ascii="仿宋_GB2312" w:eastAsia="仿宋_GB2312"/>
          <w:color w:val="000000" w:themeColor="text1"/>
        </w:rPr>
        <w:t>评估总价：</w:t>
      </w:r>
      <w:r>
        <w:rPr>
          <w:rFonts w:hint="eastAsia" w:ascii="仿宋_GB2312" w:eastAsia="仿宋_GB2312"/>
          <w:color w:val="000000" w:themeColor="text1"/>
          <w:lang w:val="en-US" w:eastAsia="zh-CN"/>
        </w:rPr>
        <w:t>406.83</w:t>
      </w:r>
      <w:r>
        <w:rPr>
          <w:rFonts w:hint="eastAsia" w:ascii="仿宋_GB2312" w:eastAsia="仿宋_GB2312"/>
          <w:color w:val="000000" w:themeColor="text1"/>
        </w:rPr>
        <w:t>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0" w:firstLineChars="200"/>
        <w:textAlignment w:val="auto"/>
        <w:rPr>
          <w:rFonts w:hint="eastAsia" w:ascii="仿宋_GB2312" w:eastAsia="仿宋_GB2312"/>
          <w:color w:val="000000" w:themeColor="text1"/>
          <w:lang w:val="en-US" w:eastAsia="zh-CN"/>
        </w:rPr>
      </w:pPr>
      <w:r>
        <w:rPr>
          <w:rFonts w:hint="eastAsia" w:ascii="仿宋_GB2312" w:eastAsia="仿宋_GB2312"/>
          <w:color w:val="000000" w:themeColor="text1"/>
          <w:lang w:eastAsia="zh-CN"/>
        </w:rPr>
        <w:t>（</w:t>
      </w:r>
      <w:r>
        <w:rPr>
          <w:rFonts w:hint="eastAsia" w:ascii="仿宋_GB2312" w:eastAsia="仿宋_GB2312"/>
          <w:color w:val="000000" w:themeColor="text1"/>
          <w:lang w:val="en-US" w:eastAsia="zh-CN"/>
        </w:rPr>
        <w:t>2</w:t>
      </w:r>
      <w:r>
        <w:rPr>
          <w:rFonts w:hint="eastAsia" w:ascii="仿宋_GB2312" w:eastAsia="仿宋_GB2312"/>
          <w:color w:val="000000" w:themeColor="text1"/>
          <w:lang w:eastAsia="zh-CN"/>
        </w:rPr>
        <w:t>）估价对象</w:t>
      </w:r>
      <w:r>
        <w:rPr>
          <w:rFonts w:hint="eastAsia" w:ascii="仿宋_GB2312" w:eastAsia="仿宋_GB2312"/>
          <w:color w:val="000000" w:themeColor="text1"/>
          <w:lang w:val="en-US" w:eastAsia="zh-CN"/>
        </w:rPr>
        <w:t>2</w:t>
      </w:r>
    </w:p>
    <w:p>
      <w:pPr>
        <w:adjustRightInd w:val="0"/>
        <w:snapToGrid w:val="0"/>
        <w:spacing w:line="600" w:lineRule="exact"/>
        <w:ind w:left="560"/>
        <w:rPr>
          <w:rFonts w:hint="default" w:ascii="仿宋_GB2312" w:eastAsia="仿宋_GB2312"/>
          <w:color w:val="000000" w:themeColor="text1"/>
          <w:lang w:val="en-US" w:eastAsia="zh-CN"/>
        </w:rPr>
      </w:pPr>
      <w:r>
        <w:rPr>
          <w:rFonts w:hint="eastAsia" w:ascii="仿宋_GB2312" w:eastAsia="仿宋_GB2312"/>
          <w:color w:val="000000" w:themeColor="text1"/>
          <w:lang w:eastAsia="zh-CN"/>
        </w:rPr>
        <w:t>评估面积：</w:t>
      </w:r>
      <w:r>
        <w:rPr>
          <w:rFonts w:hint="eastAsia" w:ascii="仿宋_GB2312" w:eastAsia="仿宋_GB2312"/>
          <w:color w:val="000000" w:themeColor="text1"/>
          <w:lang w:val="en-US" w:eastAsia="zh-CN"/>
        </w:rPr>
        <w:t>497.29平方米</w:t>
      </w:r>
    </w:p>
    <w:p>
      <w:pPr>
        <w:adjustRightInd w:val="0"/>
        <w:snapToGrid w:val="0"/>
        <w:spacing w:line="600" w:lineRule="exact"/>
        <w:ind w:left="560"/>
        <w:rPr>
          <w:rFonts w:ascii="仿宋_GB2312" w:eastAsia="仿宋_GB2312"/>
          <w:color w:val="000000" w:themeColor="text1"/>
        </w:rPr>
      </w:pPr>
      <w:r>
        <w:rPr>
          <w:rFonts w:hint="eastAsia" w:ascii="仿宋_GB2312" w:eastAsia="仿宋_GB2312"/>
          <w:color w:val="000000" w:themeColor="text1"/>
        </w:rPr>
        <w:t>评估单价：</w:t>
      </w:r>
      <w:r>
        <w:rPr>
          <w:rFonts w:hint="eastAsia" w:ascii="仿宋_GB2312" w:eastAsia="仿宋_GB2312"/>
          <w:color w:val="000000" w:themeColor="text1"/>
          <w:lang w:val="en-US" w:eastAsia="zh-CN"/>
        </w:rPr>
        <w:t>3120</w:t>
      </w:r>
      <w:r>
        <w:rPr>
          <w:rFonts w:hint="eastAsia" w:ascii="仿宋_GB2312" w:eastAsia="仿宋_GB2312"/>
          <w:color w:val="000000" w:themeColor="text1"/>
        </w:rPr>
        <w:t>元/平方米（取整至十元位）</w:t>
      </w:r>
    </w:p>
    <w:p>
      <w:pPr>
        <w:adjustRightInd w:val="0"/>
        <w:snapToGrid w:val="0"/>
        <w:spacing w:line="600" w:lineRule="exact"/>
        <w:ind w:left="560"/>
        <w:rPr>
          <w:rFonts w:ascii="仿宋_GB2312" w:eastAsia="仿宋_GB2312"/>
          <w:color w:val="000000" w:themeColor="text1"/>
        </w:rPr>
      </w:pPr>
      <w:r>
        <w:rPr>
          <w:rFonts w:hint="eastAsia" w:ascii="仿宋_GB2312" w:eastAsia="仿宋_GB2312"/>
          <w:color w:val="000000" w:themeColor="text1"/>
        </w:rPr>
        <w:t>评估总价：</w:t>
      </w:r>
      <w:r>
        <w:rPr>
          <w:rFonts w:hint="eastAsia" w:ascii="仿宋_GB2312" w:eastAsia="仿宋_GB2312"/>
          <w:color w:val="000000" w:themeColor="text1"/>
          <w:lang w:val="en-US" w:eastAsia="zh-CN"/>
        </w:rPr>
        <w:t>155.15</w:t>
      </w:r>
      <w:r>
        <w:rPr>
          <w:rFonts w:hint="eastAsia" w:ascii="仿宋_GB2312" w:eastAsia="仿宋_GB2312"/>
          <w:color w:val="000000" w:themeColor="text1"/>
        </w:rPr>
        <w:t>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560" w:firstLineChars="200"/>
        <w:textAlignment w:val="auto"/>
        <w:rPr>
          <w:rFonts w:hint="default" w:ascii="仿宋_GB2312" w:hAnsi="Times New Roman" w:eastAsia="仿宋_GB2312" w:cs="Times New Roman"/>
          <w:color w:val="000000" w:themeColor="text1"/>
          <w:lang w:val="en-US" w:eastAsia="zh-CN"/>
        </w:rPr>
      </w:pPr>
      <w:r>
        <w:rPr>
          <w:rFonts w:hint="eastAsia" w:ascii="仿宋_GB2312" w:eastAsia="仿宋_GB2312" w:cs="Times New Roman"/>
          <w:color w:val="000000" w:themeColor="text1"/>
          <w:lang w:val="en-US" w:eastAsia="zh-CN"/>
        </w:rPr>
        <w:t>（3）</w:t>
      </w:r>
      <w:r>
        <w:rPr>
          <w:rFonts w:hint="eastAsia" w:ascii="仿宋_GB2312" w:hAnsi="Times New Roman" w:eastAsia="仿宋_GB2312" w:cs="Times New Roman"/>
          <w:color w:val="000000" w:themeColor="text1"/>
          <w:lang w:val="en-US" w:eastAsia="zh-CN"/>
        </w:rPr>
        <w:t>估价对象3</w:t>
      </w:r>
    </w:p>
    <w:p>
      <w:pPr>
        <w:adjustRightInd w:val="0"/>
        <w:snapToGrid w:val="0"/>
        <w:spacing w:line="600" w:lineRule="exact"/>
        <w:ind w:left="560"/>
        <w:rPr>
          <w:rFonts w:hint="default" w:ascii="仿宋_GB2312" w:eastAsia="仿宋_GB2312"/>
          <w:color w:val="000000" w:themeColor="text1"/>
          <w:lang w:val="en-US" w:eastAsia="zh-CN"/>
        </w:rPr>
      </w:pPr>
      <w:r>
        <w:rPr>
          <w:rFonts w:hint="eastAsia" w:ascii="仿宋_GB2312" w:eastAsia="仿宋_GB2312"/>
          <w:color w:val="000000" w:themeColor="text1"/>
          <w:lang w:eastAsia="zh-CN"/>
        </w:rPr>
        <w:t>评估面积：</w:t>
      </w:r>
      <w:r>
        <w:rPr>
          <w:rFonts w:hint="eastAsia" w:ascii="仿宋_GB2312" w:eastAsia="仿宋_GB2312"/>
          <w:color w:val="000000" w:themeColor="text1"/>
          <w:lang w:val="en-US" w:eastAsia="zh-CN"/>
        </w:rPr>
        <w:t>5403.7平方米</w:t>
      </w:r>
    </w:p>
    <w:p>
      <w:pPr>
        <w:adjustRightInd w:val="0"/>
        <w:snapToGrid w:val="0"/>
        <w:spacing w:line="600" w:lineRule="exact"/>
        <w:ind w:left="560"/>
        <w:rPr>
          <w:rFonts w:ascii="仿宋_GB2312" w:eastAsia="仿宋_GB2312"/>
          <w:color w:val="000000" w:themeColor="text1"/>
        </w:rPr>
      </w:pPr>
      <w:r>
        <w:rPr>
          <w:rFonts w:hint="eastAsia" w:ascii="仿宋_GB2312" w:eastAsia="仿宋_GB2312"/>
          <w:color w:val="000000" w:themeColor="text1"/>
        </w:rPr>
        <w:t>评估单价：</w:t>
      </w:r>
      <w:r>
        <w:rPr>
          <w:rFonts w:hint="eastAsia" w:ascii="仿宋_GB2312" w:eastAsia="仿宋_GB2312"/>
          <w:color w:val="000000" w:themeColor="text1"/>
          <w:lang w:val="en-US" w:eastAsia="zh-CN"/>
        </w:rPr>
        <w:t>3000</w:t>
      </w:r>
      <w:r>
        <w:rPr>
          <w:rFonts w:hint="eastAsia" w:ascii="仿宋_GB2312" w:eastAsia="仿宋_GB2312"/>
          <w:color w:val="000000" w:themeColor="text1"/>
        </w:rPr>
        <w:t>元/平方米（取整至十元位）</w:t>
      </w:r>
    </w:p>
    <w:p>
      <w:pPr>
        <w:adjustRightInd w:val="0"/>
        <w:snapToGrid w:val="0"/>
        <w:spacing w:line="600" w:lineRule="exact"/>
        <w:ind w:left="560"/>
        <w:rPr>
          <w:rFonts w:ascii="仿宋_GB2312" w:eastAsia="仿宋_GB2312"/>
          <w:color w:val="000000" w:themeColor="text1"/>
        </w:rPr>
      </w:pPr>
      <w:r>
        <w:rPr>
          <w:rFonts w:hint="eastAsia" w:ascii="仿宋_GB2312" w:eastAsia="仿宋_GB2312"/>
          <w:color w:val="000000" w:themeColor="text1"/>
        </w:rPr>
        <w:t>评估总价：</w:t>
      </w:r>
      <w:r>
        <w:rPr>
          <w:rFonts w:hint="eastAsia" w:ascii="仿宋_GB2312" w:eastAsia="仿宋_GB2312"/>
          <w:color w:val="000000" w:themeColor="text1"/>
          <w:lang w:val="en-US" w:eastAsia="zh-CN"/>
        </w:rPr>
        <w:t>1621.11</w:t>
      </w:r>
      <w:r>
        <w:rPr>
          <w:rFonts w:hint="eastAsia" w:ascii="仿宋_GB2312" w:eastAsia="仿宋_GB2312"/>
          <w:color w:val="000000" w:themeColor="text1"/>
        </w:rPr>
        <w:t>万元</w:t>
      </w:r>
    </w:p>
    <w:p>
      <w:pPr>
        <w:adjustRightInd w:val="0"/>
        <w:snapToGrid w:val="0"/>
        <w:spacing w:line="600" w:lineRule="exact"/>
        <w:ind w:firstLine="560"/>
        <w:rPr>
          <w:rFonts w:hint="eastAsia" w:ascii="仿宋_GB2312" w:eastAsia="仿宋_GB2312"/>
          <w:color w:val="000000" w:themeColor="text1"/>
          <w:lang w:val="en-US" w:eastAsia="zh-CN"/>
        </w:rPr>
      </w:pPr>
      <w:r>
        <w:rPr>
          <w:rFonts w:hint="eastAsia" w:ascii="仿宋_GB2312" w:eastAsia="仿宋_GB2312"/>
          <w:color w:val="000000" w:themeColor="text1"/>
          <w:lang w:eastAsia="zh-CN"/>
        </w:rPr>
        <w:t>评估总额：</w:t>
      </w:r>
      <w:r>
        <w:rPr>
          <w:rFonts w:hint="eastAsia" w:ascii="仿宋_GB2312" w:eastAsia="仿宋_GB2312"/>
          <w:color w:val="000000" w:themeColor="text1"/>
          <w:lang w:val="en-US" w:eastAsia="zh-CN"/>
        </w:rPr>
        <w:t>2183.09万元</w:t>
      </w:r>
    </w:p>
    <w:p>
      <w:pPr>
        <w:adjustRightInd w:val="0"/>
        <w:snapToGrid w:val="0"/>
        <w:spacing w:line="600" w:lineRule="exact"/>
        <w:ind w:firstLine="560"/>
        <w:rPr>
          <w:rFonts w:ascii="宋体" w:hAnsi="宋体"/>
          <w:color w:val="000000" w:themeColor="text1"/>
          <w:sz w:val="18"/>
        </w:rPr>
      </w:pPr>
      <w:r>
        <w:rPr>
          <w:rFonts w:hint="eastAsia" w:ascii="仿宋_GB2312" w:eastAsia="仿宋_GB2312"/>
          <w:color w:val="auto"/>
          <w:lang w:val="en-US" w:eastAsia="zh-CN"/>
        </w:rPr>
        <w:t>总额大写：人</w:t>
      </w:r>
      <w:r>
        <w:rPr>
          <w:rFonts w:hint="eastAsia" w:ascii="仿宋_GB2312" w:eastAsia="仿宋_GB2312"/>
          <w:color w:val="000000" w:themeColor="text1"/>
          <w:lang w:val="en-US" w:eastAsia="zh-CN"/>
        </w:rPr>
        <w:t>民币贰仟壹佰捌拾叁万零玖佰元整</w:t>
      </w:r>
      <w:r>
        <w:rPr>
          <w:rFonts w:hint="eastAsia" w:ascii="仿宋_GB2312" w:eastAsia="仿宋_GB2312"/>
          <w:color w:val="000000" w:themeColor="text1"/>
        </w:rPr>
        <w:t xml:space="preserve">                </w:t>
      </w:r>
    </w:p>
    <w:p>
      <w:pPr>
        <w:keepNext w:val="0"/>
        <w:keepLines w:val="0"/>
        <w:pageBreakBefore w:val="0"/>
        <w:widowControl w:val="0"/>
        <w:numPr>
          <w:ilvl w:val="0"/>
          <w:numId w:val="9"/>
        </w:numPr>
        <w:kinsoku/>
        <w:wordWrap/>
        <w:overflowPunct/>
        <w:topLinePunct w:val="0"/>
        <w:autoSpaceDE/>
        <w:autoSpaceDN/>
        <w:bidi w:val="0"/>
        <w:spacing w:line="460" w:lineRule="exact"/>
        <w:ind w:firstLine="560" w:firstLineChars="200"/>
        <w:textAlignment w:val="auto"/>
        <w:rPr>
          <w:rStyle w:val="27"/>
          <w:rFonts w:hint="eastAsia" w:ascii="仿宋_GB2312" w:hAnsi="仿宋_GB2312" w:eastAsia="仿宋_GB2312" w:cs="仿宋_GB2312"/>
          <w:b w:val="0"/>
          <w:bCs/>
          <w:color w:val="000000" w:themeColor="text1"/>
          <w:sz w:val="28"/>
          <w:szCs w:val="28"/>
        </w:rPr>
      </w:pPr>
      <w:bookmarkStart w:id="81" w:name="_Toc437265342"/>
      <w:bookmarkStart w:id="82" w:name="_Toc16191"/>
      <w:r>
        <w:rPr>
          <w:rStyle w:val="27"/>
          <w:rFonts w:hint="eastAsia" w:ascii="仿宋_GB2312" w:hAnsi="仿宋_GB2312" w:eastAsia="仿宋_GB2312" w:cs="仿宋_GB2312"/>
          <w:b w:val="0"/>
          <w:bCs/>
          <w:color w:val="000000" w:themeColor="text1"/>
          <w:sz w:val="28"/>
          <w:szCs w:val="28"/>
        </w:rPr>
        <w:t>注册房地产估价师</w:t>
      </w:r>
      <w:bookmarkEnd w:id="81"/>
    </w:p>
    <w:bookmarkEnd w:id="82"/>
    <w:tbl>
      <w:tblPr>
        <w:tblStyle w:val="24"/>
        <w:tblW w:w="100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2436"/>
        <w:gridCol w:w="2551"/>
        <w:gridCol w:w="3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924" w:type="dxa"/>
            <w:vAlign w:val="center"/>
          </w:tcPr>
          <w:p>
            <w:pPr>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姓</w:t>
            </w:r>
            <w:r>
              <w:rPr>
                <w:rFonts w:hint="eastAsia" w:asciiTheme="minorEastAsia" w:hAnsiTheme="minorEastAsia" w:eastAsiaTheme="minorEastAsia" w:cstheme="minorEastAsia"/>
                <w:color w:val="000000" w:themeColor="text1"/>
                <w:kern w:val="0"/>
                <w:sz w:val="18"/>
                <w:szCs w:val="18"/>
                <w:lang w:val="en-US" w:eastAsia="zh-CN"/>
              </w:rPr>
              <w:t xml:space="preserve">  </w:t>
            </w:r>
            <w:r>
              <w:rPr>
                <w:rFonts w:hint="eastAsia" w:asciiTheme="minorEastAsia" w:hAnsiTheme="minorEastAsia" w:eastAsiaTheme="minorEastAsia" w:cstheme="minorEastAsia"/>
                <w:color w:val="000000" w:themeColor="text1"/>
                <w:kern w:val="0"/>
                <w:sz w:val="18"/>
                <w:szCs w:val="18"/>
              </w:rPr>
              <w:t>名</w:t>
            </w:r>
          </w:p>
        </w:tc>
        <w:tc>
          <w:tcPr>
            <w:tcW w:w="2436" w:type="dxa"/>
            <w:vAlign w:val="center"/>
          </w:tcPr>
          <w:p>
            <w:pPr>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注册号</w:t>
            </w:r>
          </w:p>
        </w:tc>
        <w:tc>
          <w:tcPr>
            <w:tcW w:w="2551" w:type="dxa"/>
            <w:vAlign w:val="center"/>
          </w:tcPr>
          <w:p>
            <w:pPr>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签名</w:t>
            </w:r>
          </w:p>
        </w:tc>
        <w:tc>
          <w:tcPr>
            <w:tcW w:w="3094" w:type="dxa"/>
            <w:vAlign w:val="center"/>
          </w:tcPr>
          <w:p>
            <w:pPr>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924" w:type="dxa"/>
            <w:vAlign w:val="center"/>
          </w:tcPr>
          <w:p>
            <w:pPr>
              <w:jc w:val="center"/>
              <w:rPr>
                <w:rFonts w:hint="default" w:asciiTheme="minorEastAsia" w:hAnsiTheme="minorEastAsia" w:eastAsiaTheme="minorEastAsia" w:cstheme="minorEastAsia"/>
                <w:color w:val="000000" w:themeColor="text1"/>
                <w:kern w:val="0"/>
                <w:sz w:val="18"/>
                <w:szCs w:val="18"/>
                <w:lang w:val="en-US" w:eastAsia="zh-CN"/>
              </w:rPr>
            </w:pPr>
            <w:r>
              <w:rPr>
                <w:rFonts w:hint="eastAsia" w:asciiTheme="minorEastAsia" w:hAnsiTheme="minorEastAsia" w:eastAsiaTheme="minorEastAsia" w:cstheme="minorEastAsia"/>
                <w:color w:val="000000" w:themeColor="text1"/>
                <w:kern w:val="0"/>
                <w:sz w:val="18"/>
                <w:szCs w:val="18"/>
              </w:rPr>
              <w:t>艾巧琳</w:t>
            </w:r>
          </w:p>
        </w:tc>
        <w:tc>
          <w:tcPr>
            <w:tcW w:w="2436" w:type="dxa"/>
            <w:vAlign w:val="center"/>
          </w:tcPr>
          <w:p>
            <w:pPr>
              <w:jc w:val="center"/>
              <w:rPr>
                <w:rFonts w:hint="eastAsia"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5120050058</w:t>
            </w:r>
          </w:p>
        </w:tc>
        <w:tc>
          <w:tcPr>
            <w:tcW w:w="2551" w:type="dxa"/>
            <w:vAlign w:val="center"/>
          </w:tcPr>
          <w:p>
            <w:pPr>
              <w:jc w:val="center"/>
              <w:rPr>
                <w:rFonts w:asciiTheme="minorEastAsia" w:hAnsiTheme="minorEastAsia" w:eastAsiaTheme="minorEastAsia" w:cstheme="minorEastAsia"/>
                <w:color w:val="000000" w:themeColor="text1"/>
                <w:kern w:val="0"/>
                <w:sz w:val="18"/>
                <w:szCs w:val="18"/>
              </w:rPr>
            </w:pPr>
          </w:p>
        </w:tc>
        <w:tc>
          <w:tcPr>
            <w:tcW w:w="3094" w:type="dxa"/>
            <w:vAlign w:val="center"/>
          </w:tcPr>
          <w:p>
            <w:pPr>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924"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高  涛</w:t>
            </w:r>
          </w:p>
        </w:tc>
        <w:tc>
          <w:tcPr>
            <w:tcW w:w="2436" w:type="dxa"/>
            <w:vAlign w:val="center"/>
          </w:tcPr>
          <w:p>
            <w:pPr>
              <w:jc w:val="center"/>
              <w:rPr>
                <w:rFonts w:hint="eastAsia" w:asciiTheme="minorEastAsia" w:hAnsiTheme="minorEastAsia" w:eastAsiaTheme="minorEastAsia" w:cstheme="minorEastAsia"/>
                <w:color w:val="000000" w:themeColor="text1"/>
                <w:kern w:val="0"/>
                <w:sz w:val="18"/>
                <w:szCs w:val="18"/>
                <w:lang w:eastAsia="zh-CN"/>
              </w:rPr>
            </w:pPr>
            <w:r>
              <w:rPr>
                <w:rFonts w:hint="eastAsia" w:asciiTheme="minorEastAsia" w:hAnsiTheme="minorEastAsia" w:eastAsiaTheme="minorEastAsia" w:cstheme="minorEastAsia"/>
                <w:color w:val="000000" w:themeColor="text1"/>
                <w:kern w:val="0"/>
                <w:sz w:val="18"/>
                <w:szCs w:val="18"/>
                <w:lang w:eastAsia="zh-CN"/>
              </w:rPr>
              <w:t>5120180033</w:t>
            </w:r>
          </w:p>
        </w:tc>
        <w:tc>
          <w:tcPr>
            <w:tcW w:w="2551" w:type="dxa"/>
            <w:vAlign w:val="center"/>
          </w:tcPr>
          <w:p>
            <w:pPr>
              <w:jc w:val="center"/>
              <w:rPr>
                <w:rFonts w:asciiTheme="minorEastAsia" w:hAnsiTheme="minorEastAsia" w:eastAsiaTheme="minorEastAsia" w:cstheme="minorEastAsia"/>
                <w:color w:val="000000" w:themeColor="text1"/>
                <w:kern w:val="0"/>
                <w:sz w:val="18"/>
                <w:szCs w:val="18"/>
              </w:rPr>
            </w:pPr>
          </w:p>
        </w:tc>
        <w:tc>
          <w:tcPr>
            <w:tcW w:w="3094" w:type="dxa"/>
            <w:vAlign w:val="center"/>
          </w:tcPr>
          <w:p>
            <w:pPr>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年   月   日</w:t>
            </w:r>
          </w:p>
        </w:tc>
      </w:tr>
    </w:tbl>
    <w:p>
      <w:pPr>
        <w:spacing w:line="600" w:lineRule="exact"/>
        <w:ind w:firstLine="560" w:firstLineChars="200"/>
        <w:rPr>
          <w:rStyle w:val="27"/>
          <w:rFonts w:ascii="仿宋_GB2312" w:hAnsi="仿宋_GB2312" w:eastAsia="仿宋_GB2312" w:cs="仿宋_GB2312"/>
          <w:b w:val="0"/>
          <w:bCs/>
          <w:color w:val="000000" w:themeColor="text1"/>
          <w:sz w:val="28"/>
          <w:szCs w:val="28"/>
        </w:rPr>
      </w:pPr>
      <w:bookmarkStart w:id="83" w:name="_Toc437265343"/>
      <w:bookmarkStart w:id="84" w:name="_Toc12289"/>
      <w:r>
        <w:rPr>
          <w:rStyle w:val="27"/>
          <w:rFonts w:hint="eastAsia" w:ascii="仿宋_GB2312" w:hAnsi="仿宋_GB2312" w:eastAsia="仿宋_GB2312" w:cs="仿宋_GB2312"/>
          <w:b w:val="0"/>
          <w:bCs/>
          <w:color w:val="000000" w:themeColor="text1"/>
          <w:sz w:val="28"/>
          <w:szCs w:val="28"/>
        </w:rPr>
        <w:t>（十二）实地查勘期</w:t>
      </w:r>
      <w:bookmarkEnd w:id="83"/>
    </w:p>
    <w:bookmarkEnd w:id="84"/>
    <w:p>
      <w:pPr>
        <w:spacing w:line="360" w:lineRule="auto"/>
        <w:ind w:firstLine="555"/>
        <w:rPr>
          <w:rFonts w:hint="default" w:ascii="仿宋_GB2312" w:eastAsia="仿宋_GB2312"/>
          <w:color w:val="000000" w:themeColor="text1"/>
          <w:lang w:val="en-US" w:eastAsia="zh-CN"/>
        </w:rPr>
      </w:pPr>
      <w:r>
        <w:rPr>
          <w:rFonts w:hint="eastAsia" w:ascii="仿宋_GB2312" w:eastAsia="仿宋_GB2312"/>
          <w:color w:val="000000" w:themeColor="text1"/>
          <w:lang w:val="en-US" w:eastAsia="zh-CN"/>
        </w:rPr>
        <w:t>2021年3月25日</w:t>
      </w:r>
    </w:p>
    <w:p>
      <w:pPr>
        <w:spacing w:line="600" w:lineRule="exact"/>
        <w:ind w:firstLine="560" w:firstLineChars="200"/>
        <w:rPr>
          <w:rStyle w:val="27"/>
          <w:rFonts w:ascii="仿宋_GB2312" w:hAnsi="仿宋_GB2312" w:eastAsia="仿宋_GB2312" w:cs="仿宋_GB2312"/>
          <w:b w:val="0"/>
          <w:bCs/>
          <w:color w:val="000000" w:themeColor="text1"/>
          <w:sz w:val="28"/>
          <w:szCs w:val="28"/>
        </w:rPr>
      </w:pPr>
      <w:bookmarkStart w:id="85" w:name="_Toc437265344"/>
      <w:bookmarkStart w:id="86" w:name="_Toc16368"/>
      <w:r>
        <w:rPr>
          <w:rStyle w:val="27"/>
          <w:rFonts w:hint="eastAsia" w:ascii="仿宋_GB2312" w:hAnsi="仿宋_GB2312" w:eastAsia="仿宋_GB2312" w:cs="仿宋_GB2312"/>
          <w:b w:val="0"/>
          <w:bCs/>
          <w:color w:val="000000" w:themeColor="text1"/>
          <w:sz w:val="28"/>
          <w:szCs w:val="28"/>
        </w:rPr>
        <w:t>（十三）估价作业期</w:t>
      </w:r>
      <w:bookmarkEnd w:id="85"/>
    </w:p>
    <w:bookmarkEnd w:id="86"/>
    <w:p>
      <w:pPr>
        <w:spacing w:line="360" w:lineRule="auto"/>
        <w:ind w:firstLine="555"/>
        <w:rPr>
          <w:rFonts w:hint="eastAsia" w:ascii="仿宋_GB2312" w:eastAsia="仿宋_GB2312"/>
          <w:color w:val="000000" w:themeColor="text1"/>
          <w:lang w:eastAsia="zh-CN"/>
        </w:rPr>
      </w:pPr>
      <w:r>
        <w:rPr>
          <w:rFonts w:hint="eastAsia" w:ascii="仿宋_GB2312" w:eastAsia="仿宋_GB2312"/>
          <w:color w:val="000000" w:themeColor="text1"/>
          <w:lang w:val="en-US" w:eastAsia="zh-CN"/>
        </w:rPr>
        <w:t>2021年3月25日</w:t>
      </w:r>
      <w:r>
        <w:rPr>
          <w:rFonts w:ascii="仿宋_GB2312" w:eastAsia="仿宋_GB2312"/>
          <w:color w:val="000000" w:themeColor="text1"/>
        </w:rPr>
        <w:t>--</w:t>
      </w:r>
      <w:r>
        <w:rPr>
          <w:rFonts w:hint="eastAsia" w:ascii="仿宋_GB2312" w:eastAsia="仿宋_GB2312"/>
          <w:color w:val="000000" w:themeColor="text1"/>
          <w:lang w:eastAsia="zh-CN"/>
        </w:rPr>
        <w:t>2021年9月22日</w:t>
      </w:r>
    </w:p>
    <w:p>
      <w:pPr>
        <w:spacing w:line="360" w:lineRule="auto"/>
        <w:ind w:firstLine="3640" w:firstLineChars="1300"/>
        <w:rPr>
          <w:rFonts w:hint="eastAsia" w:ascii="仿宋_GB2312" w:eastAsia="仿宋_GB2312"/>
          <w:color w:val="000000" w:themeColor="text1"/>
          <w:lang w:eastAsia="zh-CN"/>
        </w:rPr>
      </w:pPr>
      <w:r>
        <w:rPr>
          <w:rFonts w:hint="eastAsia" w:ascii="仿宋_GB2312" w:eastAsia="仿宋_GB2312"/>
          <w:color w:val="000000" w:themeColor="text1"/>
        </w:rPr>
        <w:t xml:space="preserve">   </w:t>
      </w:r>
      <w:r>
        <w:rPr>
          <w:rFonts w:hint="eastAsia" w:ascii="仿宋_GB2312" w:eastAsia="仿宋_GB2312"/>
          <w:color w:val="000000" w:themeColor="text1"/>
          <w:lang w:eastAsia="zh-CN"/>
        </w:rPr>
        <w:t>四川吉祥房地产土地资产评估有限公司</w:t>
      </w:r>
    </w:p>
    <w:p>
      <w:pPr>
        <w:spacing w:line="360" w:lineRule="auto"/>
        <w:ind w:firstLine="5740" w:firstLineChars="2050"/>
        <w:jc w:val="center"/>
        <w:rPr>
          <w:rFonts w:hint="eastAsia" w:ascii="仿宋_GB2312" w:hAnsi="仿宋_GB2312" w:eastAsia="仿宋_GB2312" w:cs="仿宋_GB2312"/>
          <w:color w:val="000000" w:themeColor="text1"/>
          <w:lang w:eastAsia="zh-CN"/>
        </w:rPr>
        <w:sectPr>
          <w:pgSz w:w="11906" w:h="16838"/>
          <w:pgMar w:top="1134" w:right="862" w:bottom="1134" w:left="1253" w:header="851" w:footer="992" w:gutter="0"/>
          <w:cols w:space="425" w:num="1"/>
          <w:docGrid w:type="linesAndChars" w:linePitch="312" w:charSpace="0"/>
        </w:sectPr>
      </w:pPr>
      <w:r>
        <w:rPr>
          <w:rFonts w:hint="eastAsia" w:ascii="仿宋_GB2312" w:hAnsi="仿宋_GB2312" w:eastAsia="仿宋_GB2312" w:cs="仿宋_GB2312"/>
          <w:color w:val="000000" w:themeColor="text1"/>
          <w:lang w:eastAsia="zh-CN"/>
        </w:rPr>
        <w:t>2021年9月22日</w:t>
      </w:r>
    </w:p>
    <w:p>
      <w:pPr>
        <w:pStyle w:val="2"/>
        <w:spacing w:before="0" w:after="0" w:line="480" w:lineRule="auto"/>
        <w:ind w:firstLine="643"/>
        <w:jc w:val="center"/>
        <w:rPr>
          <w:rFonts w:ascii="黑体" w:eastAsia="黑体"/>
          <w:color w:val="000000" w:themeColor="text1"/>
          <w:sz w:val="32"/>
          <w:szCs w:val="32"/>
        </w:rPr>
      </w:pPr>
      <w:bookmarkStart w:id="87" w:name="_Toc27444"/>
      <w:r>
        <w:rPr>
          <w:rFonts w:hint="eastAsia" w:ascii="黑体" w:hAnsi="黑体" w:eastAsia="黑体" w:cs="黑体"/>
          <w:bCs w:val="0"/>
          <w:color w:val="000000" w:themeColor="text1"/>
          <w:sz w:val="32"/>
          <w:szCs w:val="32"/>
          <w:lang w:eastAsia="zh-CN"/>
        </w:rPr>
        <w:t>四</w:t>
      </w:r>
      <w:r>
        <w:rPr>
          <w:rFonts w:hint="eastAsia" w:ascii="黑体" w:hAnsi="黑体" w:eastAsia="黑体" w:cs="黑体"/>
          <w:bCs w:val="0"/>
          <w:color w:val="000000" w:themeColor="text1"/>
          <w:sz w:val="32"/>
          <w:szCs w:val="32"/>
        </w:rPr>
        <w:t>、附      件</w:t>
      </w:r>
      <w:bookmarkEnd w:id="87"/>
    </w:p>
    <w:p>
      <w:pPr>
        <w:spacing w:line="600" w:lineRule="exact"/>
        <w:ind w:firstLine="560" w:firstLineChars="200"/>
        <w:rPr>
          <w:rStyle w:val="27"/>
          <w:rFonts w:hint="eastAsia" w:ascii="仿宋_GB2312" w:hAnsi="仿宋_GB2312" w:eastAsia="仿宋_GB2312" w:cs="仿宋_GB2312"/>
          <w:b w:val="0"/>
          <w:bCs/>
          <w:color w:val="000000" w:themeColor="text1"/>
          <w:sz w:val="28"/>
          <w:szCs w:val="28"/>
        </w:rPr>
      </w:pPr>
      <w:bookmarkStart w:id="88" w:name="_Toc16388"/>
      <w:bookmarkStart w:id="89" w:name="_Toc10265"/>
      <w:bookmarkStart w:id="90" w:name="_Toc4897"/>
      <w:r>
        <w:rPr>
          <w:rStyle w:val="27"/>
          <w:rFonts w:hint="eastAsia" w:ascii="仿宋_GB2312" w:hAnsi="仿宋_GB2312" w:eastAsia="仿宋_GB2312" w:cs="仿宋_GB2312"/>
          <w:b w:val="0"/>
          <w:bCs/>
          <w:color w:val="000000" w:themeColor="text1"/>
          <w:sz w:val="28"/>
          <w:szCs w:val="28"/>
          <w:lang w:eastAsia="zh-CN"/>
        </w:rPr>
        <w:t>（</w:t>
      </w:r>
      <w:r>
        <w:rPr>
          <w:rStyle w:val="27"/>
          <w:rFonts w:hint="eastAsia" w:ascii="仿宋_GB2312" w:hAnsi="仿宋_GB2312" w:eastAsia="仿宋_GB2312" w:cs="仿宋_GB2312"/>
          <w:b w:val="0"/>
          <w:bCs/>
          <w:color w:val="000000" w:themeColor="text1"/>
          <w:sz w:val="28"/>
          <w:szCs w:val="28"/>
          <w:lang w:val="en-US" w:eastAsia="zh-CN"/>
        </w:rPr>
        <w:t>一）</w:t>
      </w:r>
      <w:r>
        <w:rPr>
          <w:rStyle w:val="27"/>
          <w:rFonts w:hint="eastAsia" w:ascii="仿宋_GB2312" w:hAnsi="仿宋_GB2312" w:eastAsia="仿宋_GB2312" w:cs="仿宋_GB2312"/>
          <w:b w:val="0"/>
          <w:bCs/>
          <w:color w:val="000000" w:themeColor="text1"/>
          <w:sz w:val="28"/>
          <w:szCs w:val="28"/>
          <w:lang w:eastAsia="zh-CN"/>
        </w:rPr>
        <w:t>《房地产估价委托书》</w:t>
      </w:r>
      <w:r>
        <w:rPr>
          <w:rStyle w:val="27"/>
          <w:rFonts w:hint="eastAsia" w:ascii="仿宋_GB2312" w:hAnsi="仿宋_GB2312" w:eastAsia="仿宋_GB2312" w:cs="仿宋_GB2312"/>
          <w:b w:val="0"/>
          <w:bCs/>
          <w:color w:val="000000" w:themeColor="text1"/>
          <w:sz w:val="28"/>
          <w:szCs w:val="28"/>
          <w:lang w:val="en-US" w:eastAsia="zh-CN"/>
        </w:rPr>
        <w:t>及附表</w:t>
      </w:r>
      <w:r>
        <w:rPr>
          <w:rStyle w:val="27"/>
          <w:rFonts w:hint="eastAsia" w:ascii="仿宋_GB2312" w:hAnsi="仿宋_GB2312" w:eastAsia="仿宋_GB2312" w:cs="仿宋_GB2312"/>
          <w:b w:val="0"/>
          <w:bCs/>
          <w:color w:val="000000" w:themeColor="text1"/>
          <w:sz w:val="28"/>
          <w:szCs w:val="28"/>
        </w:rPr>
        <w:t>（复印件）</w:t>
      </w:r>
      <w:bookmarkEnd w:id="88"/>
      <w:bookmarkEnd w:id="89"/>
      <w:bookmarkEnd w:id="90"/>
      <w:bookmarkStart w:id="91" w:name="_Toc5485"/>
      <w:bookmarkStart w:id="92" w:name="_Toc9781"/>
      <w:bookmarkStart w:id="93" w:name="_Toc11611"/>
    </w:p>
    <w:p>
      <w:pPr>
        <w:spacing w:line="600" w:lineRule="exact"/>
        <w:ind w:firstLine="560" w:firstLineChars="200"/>
        <w:rPr>
          <w:rStyle w:val="27"/>
          <w:rFonts w:hint="eastAsia" w:ascii="仿宋_GB2312" w:hAnsi="仿宋_GB2312" w:eastAsia="仿宋_GB2312" w:cs="仿宋_GB2312"/>
          <w:b w:val="0"/>
          <w:bCs/>
          <w:color w:val="000000" w:themeColor="text1"/>
          <w:sz w:val="28"/>
          <w:szCs w:val="28"/>
        </w:rPr>
      </w:pPr>
      <w:r>
        <w:rPr>
          <w:rStyle w:val="27"/>
          <w:rFonts w:hint="eastAsia" w:ascii="仿宋_GB2312" w:hAnsi="仿宋_GB2312" w:eastAsia="仿宋_GB2312" w:cs="仿宋_GB2312"/>
          <w:b w:val="0"/>
          <w:bCs/>
          <w:color w:val="000000" w:themeColor="text1"/>
          <w:sz w:val="28"/>
          <w:szCs w:val="28"/>
        </w:rPr>
        <w:t>（二）估价对象位置图</w:t>
      </w:r>
      <w:bookmarkEnd w:id="91"/>
      <w:bookmarkEnd w:id="92"/>
      <w:bookmarkEnd w:id="93"/>
      <w:bookmarkStart w:id="94" w:name="_Toc32648"/>
      <w:bookmarkStart w:id="95" w:name="_Toc9875"/>
      <w:bookmarkStart w:id="96" w:name="_Toc15129"/>
    </w:p>
    <w:p>
      <w:pPr>
        <w:spacing w:line="600" w:lineRule="exact"/>
        <w:ind w:firstLine="560" w:firstLineChars="200"/>
        <w:rPr>
          <w:rStyle w:val="27"/>
          <w:rFonts w:hint="eastAsia" w:ascii="仿宋_GB2312" w:hAnsi="仿宋_GB2312" w:eastAsia="仿宋_GB2312" w:cs="仿宋_GB2312"/>
          <w:b w:val="0"/>
          <w:bCs/>
          <w:color w:val="000000" w:themeColor="text1"/>
          <w:sz w:val="28"/>
          <w:szCs w:val="28"/>
        </w:rPr>
      </w:pPr>
      <w:r>
        <w:rPr>
          <w:rStyle w:val="27"/>
          <w:rFonts w:hint="eastAsia" w:ascii="仿宋_GB2312" w:hAnsi="仿宋_GB2312" w:eastAsia="仿宋_GB2312" w:cs="仿宋_GB2312"/>
          <w:b w:val="0"/>
          <w:bCs/>
          <w:color w:val="000000" w:themeColor="text1"/>
          <w:sz w:val="28"/>
          <w:szCs w:val="28"/>
          <w:lang w:eastAsia="zh-CN"/>
        </w:rPr>
        <w:t>（</w:t>
      </w:r>
      <w:r>
        <w:rPr>
          <w:rStyle w:val="27"/>
          <w:rFonts w:hint="eastAsia" w:ascii="仿宋_GB2312" w:hAnsi="仿宋_GB2312" w:eastAsia="仿宋_GB2312" w:cs="仿宋_GB2312"/>
          <w:b w:val="0"/>
          <w:bCs/>
          <w:color w:val="000000" w:themeColor="text1"/>
          <w:sz w:val="28"/>
          <w:szCs w:val="28"/>
          <w:lang w:val="en-US" w:eastAsia="zh-CN"/>
        </w:rPr>
        <w:t>三）</w:t>
      </w:r>
      <w:r>
        <w:rPr>
          <w:rStyle w:val="27"/>
          <w:rFonts w:hint="eastAsia" w:ascii="仿宋_GB2312" w:hAnsi="仿宋_GB2312" w:eastAsia="仿宋_GB2312" w:cs="仿宋_GB2312"/>
          <w:b w:val="0"/>
          <w:bCs/>
          <w:color w:val="000000" w:themeColor="text1"/>
          <w:sz w:val="28"/>
          <w:szCs w:val="28"/>
        </w:rPr>
        <w:t>估价对象内部状况照片、外部状况照片、周围环境和景观照片</w:t>
      </w:r>
      <w:bookmarkEnd w:id="94"/>
      <w:bookmarkEnd w:id="95"/>
      <w:bookmarkEnd w:id="96"/>
      <w:bookmarkStart w:id="97" w:name="_Toc2096"/>
      <w:bookmarkStart w:id="98" w:name="_Toc10312"/>
      <w:bookmarkStart w:id="99" w:name="_Toc1359"/>
    </w:p>
    <w:p>
      <w:pPr>
        <w:pStyle w:val="3"/>
        <w:numPr>
          <w:ilvl w:val="0"/>
          <w:numId w:val="0"/>
        </w:numPr>
        <w:spacing w:before="0" w:after="0" w:line="360" w:lineRule="auto"/>
        <w:ind w:leftChars="200"/>
        <w:rPr>
          <w:rStyle w:val="27"/>
          <w:rFonts w:hint="eastAsia" w:ascii="仿宋_GB2312" w:hAnsi="仿宋_GB2312" w:eastAsia="仿宋_GB2312" w:cs="仿宋_GB2312"/>
          <w:b w:val="0"/>
          <w:bCs/>
          <w:color w:val="000000" w:themeColor="text1"/>
          <w:kern w:val="2"/>
          <w:sz w:val="28"/>
          <w:szCs w:val="28"/>
          <w:lang w:val="en-US" w:eastAsia="zh-CN" w:bidi="ar-SA"/>
        </w:rPr>
      </w:pPr>
      <w:r>
        <w:rPr>
          <w:rStyle w:val="27"/>
          <w:rFonts w:hint="eastAsia" w:ascii="仿宋_GB2312" w:hAnsi="仿宋_GB2312" w:eastAsia="仿宋_GB2312" w:cs="仿宋_GB2312"/>
          <w:b w:val="0"/>
          <w:bCs/>
          <w:color w:val="000000" w:themeColor="text1"/>
          <w:kern w:val="2"/>
          <w:sz w:val="28"/>
          <w:szCs w:val="28"/>
          <w:lang w:val="en-US" w:eastAsia="zh-CN" w:bidi="ar-SA"/>
        </w:rPr>
        <w:t>（四）《</w:t>
      </w:r>
      <w:bookmarkEnd w:id="97"/>
      <w:bookmarkEnd w:id="98"/>
      <w:r>
        <w:rPr>
          <w:rStyle w:val="27"/>
          <w:rFonts w:hint="eastAsia" w:ascii="仿宋_GB2312" w:hAnsi="仿宋_GB2312" w:eastAsia="仿宋_GB2312" w:cs="仿宋_GB2312"/>
          <w:b w:val="0"/>
          <w:bCs/>
          <w:color w:val="000000" w:themeColor="text1"/>
          <w:kern w:val="2"/>
          <w:sz w:val="28"/>
          <w:szCs w:val="28"/>
          <w:lang w:val="en-US" w:eastAsia="zh-CN" w:bidi="ar-SA"/>
        </w:rPr>
        <w:t>权益状况查档信息》</w:t>
      </w:r>
      <w:bookmarkEnd w:id="99"/>
      <w:bookmarkStart w:id="100" w:name="_Toc5805"/>
    </w:p>
    <w:p>
      <w:pPr>
        <w:pStyle w:val="3"/>
        <w:numPr>
          <w:ilvl w:val="0"/>
          <w:numId w:val="0"/>
        </w:numPr>
        <w:spacing w:before="0" w:after="0" w:line="360" w:lineRule="auto"/>
        <w:ind w:leftChars="200"/>
        <w:rPr>
          <w:rStyle w:val="27"/>
          <w:rFonts w:hint="eastAsia" w:ascii="仿宋_GB2312" w:hAnsi="仿宋_GB2312" w:eastAsia="仿宋_GB2312" w:cs="仿宋_GB2312"/>
          <w:b w:val="0"/>
          <w:bCs/>
          <w:color w:val="000000" w:themeColor="text1"/>
          <w:kern w:val="2"/>
          <w:sz w:val="28"/>
          <w:szCs w:val="28"/>
          <w:lang w:val="en-US" w:eastAsia="zh-CN" w:bidi="ar-SA"/>
        </w:rPr>
      </w:pPr>
      <w:r>
        <w:rPr>
          <w:rStyle w:val="27"/>
          <w:rFonts w:hint="eastAsia" w:ascii="仿宋_GB2312" w:hAnsi="仿宋_GB2312" w:eastAsia="仿宋_GB2312" w:cs="仿宋_GB2312"/>
          <w:b w:val="0"/>
          <w:bCs/>
          <w:color w:val="000000" w:themeColor="text1"/>
          <w:kern w:val="2"/>
          <w:sz w:val="28"/>
          <w:szCs w:val="28"/>
          <w:lang w:val="en-US" w:eastAsia="zh-CN" w:bidi="ar-SA"/>
        </w:rPr>
        <w:t>（五）现场查勘表</w:t>
      </w:r>
      <w:bookmarkEnd w:id="100"/>
      <w:bookmarkStart w:id="101" w:name="_Toc15604"/>
      <w:bookmarkStart w:id="102" w:name="_Toc16593"/>
      <w:bookmarkStart w:id="103" w:name="_Toc2206"/>
    </w:p>
    <w:p>
      <w:pPr>
        <w:pStyle w:val="3"/>
        <w:numPr>
          <w:ilvl w:val="0"/>
          <w:numId w:val="0"/>
        </w:numPr>
        <w:spacing w:before="0" w:after="0" w:line="360" w:lineRule="auto"/>
        <w:ind w:leftChars="200"/>
        <w:rPr>
          <w:rStyle w:val="27"/>
          <w:rFonts w:hint="eastAsia" w:ascii="仿宋_GB2312" w:hAnsi="仿宋_GB2312" w:eastAsia="仿宋_GB2312" w:cs="仿宋_GB2312"/>
          <w:b w:val="0"/>
          <w:bCs/>
          <w:color w:val="000000" w:themeColor="text1"/>
          <w:kern w:val="2"/>
          <w:sz w:val="28"/>
          <w:szCs w:val="28"/>
          <w:lang w:val="en-US" w:eastAsia="zh-CN" w:bidi="ar-SA"/>
        </w:rPr>
      </w:pPr>
      <w:r>
        <w:rPr>
          <w:rStyle w:val="27"/>
          <w:rFonts w:hint="eastAsia" w:ascii="仿宋_GB2312" w:hAnsi="仿宋_GB2312" w:eastAsia="仿宋_GB2312" w:cs="仿宋_GB2312"/>
          <w:b w:val="0"/>
          <w:bCs/>
          <w:color w:val="000000" w:themeColor="text1"/>
          <w:kern w:val="2"/>
          <w:sz w:val="28"/>
          <w:szCs w:val="28"/>
          <w:lang w:val="en-US" w:eastAsia="zh-CN" w:bidi="ar-SA"/>
        </w:rPr>
        <w:t>（六）专业帮助情况和相关专业意见</w:t>
      </w:r>
      <w:bookmarkEnd w:id="101"/>
      <w:bookmarkEnd w:id="102"/>
      <w:bookmarkEnd w:id="103"/>
    </w:p>
    <w:p>
      <w:pPr>
        <w:spacing w:line="600" w:lineRule="exact"/>
        <w:ind w:firstLine="560" w:firstLineChars="200"/>
        <w:rPr>
          <w:rStyle w:val="27"/>
          <w:rFonts w:hint="eastAsia" w:ascii="仿宋_GB2312" w:hAnsi="仿宋_GB2312" w:eastAsia="仿宋_GB2312" w:cs="仿宋_GB2312"/>
          <w:b w:val="0"/>
          <w:bCs/>
          <w:color w:val="000000" w:themeColor="text1"/>
          <w:sz w:val="28"/>
          <w:szCs w:val="28"/>
          <w:lang w:eastAsia="zh-CN"/>
        </w:rPr>
      </w:pPr>
      <w:bookmarkStart w:id="104" w:name="_Toc20362"/>
      <w:r>
        <w:rPr>
          <w:rStyle w:val="27"/>
          <w:rFonts w:hint="eastAsia" w:ascii="仿宋_GB2312" w:hAnsi="仿宋_GB2312" w:eastAsia="仿宋_GB2312" w:cs="仿宋_GB2312"/>
          <w:b w:val="0"/>
          <w:bCs/>
          <w:color w:val="000000" w:themeColor="text1"/>
          <w:sz w:val="28"/>
          <w:szCs w:val="28"/>
          <w:lang w:eastAsia="zh-CN"/>
        </w:rPr>
        <w:t>（</w:t>
      </w:r>
      <w:r>
        <w:rPr>
          <w:rStyle w:val="27"/>
          <w:rFonts w:hint="eastAsia" w:ascii="仿宋_GB2312" w:hAnsi="仿宋_GB2312" w:eastAsia="仿宋_GB2312" w:cs="仿宋_GB2312"/>
          <w:b w:val="0"/>
          <w:bCs/>
          <w:color w:val="000000" w:themeColor="text1"/>
          <w:sz w:val="28"/>
          <w:szCs w:val="28"/>
          <w:lang w:val="en-US" w:eastAsia="zh-CN"/>
        </w:rPr>
        <w:t>七</w:t>
      </w:r>
      <w:r>
        <w:rPr>
          <w:rStyle w:val="27"/>
          <w:rFonts w:hint="eastAsia" w:ascii="仿宋_GB2312" w:hAnsi="仿宋_GB2312" w:eastAsia="仿宋_GB2312" w:cs="仿宋_GB2312"/>
          <w:b w:val="0"/>
          <w:bCs/>
          <w:color w:val="000000" w:themeColor="text1"/>
          <w:sz w:val="28"/>
          <w:szCs w:val="28"/>
          <w:lang w:eastAsia="zh-CN"/>
        </w:rPr>
        <w:t>）《房地估价机构资质证书》、《营业执照》（复印件）</w:t>
      </w:r>
    </w:p>
    <w:bookmarkEnd w:id="104"/>
    <w:p>
      <w:pPr>
        <w:spacing w:line="600" w:lineRule="exact"/>
        <w:ind w:firstLine="560" w:firstLineChars="200"/>
        <w:rPr>
          <w:rStyle w:val="27"/>
          <w:rFonts w:hint="eastAsia" w:ascii="仿宋_GB2312" w:hAnsi="仿宋_GB2312" w:eastAsia="仿宋_GB2312" w:cs="仿宋_GB2312"/>
          <w:b w:val="0"/>
          <w:bCs/>
          <w:color w:val="000000" w:themeColor="text1"/>
          <w:sz w:val="28"/>
          <w:szCs w:val="28"/>
          <w:lang w:eastAsia="zh-CN"/>
        </w:rPr>
      </w:pPr>
      <w:bookmarkStart w:id="105" w:name="_Toc2165"/>
      <w:bookmarkStart w:id="106" w:name="_GoBack"/>
      <w:bookmarkEnd w:id="106"/>
      <w:r>
        <w:rPr>
          <w:rStyle w:val="27"/>
          <w:rFonts w:hint="eastAsia" w:ascii="仿宋_GB2312" w:hAnsi="仿宋_GB2312" w:eastAsia="仿宋_GB2312" w:cs="仿宋_GB2312"/>
          <w:b w:val="0"/>
          <w:bCs/>
          <w:color w:val="000000" w:themeColor="text1"/>
          <w:sz w:val="28"/>
          <w:szCs w:val="28"/>
          <w:lang w:eastAsia="zh-CN"/>
        </w:rPr>
        <w:t>（</w:t>
      </w:r>
      <w:r>
        <w:rPr>
          <w:rStyle w:val="27"/>
          <w:rFonts w:hint="eastAsia" w:ascii="仿宋_GB2312" w:hAnsi="仿宋_GB2312" w:eastAsia="仿宋_GB2312" w:cs="仿宋_GB2312"/>
          <w:b w:val="0"/>
          <w:bCs/>
          <w:color w:val="000000" w:themeColor="text1"/>
          <w:sz w:val="28"/>
          <w:szCs w:val="28"/>
          <w:lang w:val="en-US" w:eastAsia="zh-CN"/>
        </w:rPr>
        <w:t>八</w:t>
      </w:r>
      <w:r>
        <w:rPr>
          <w:rStyle w:val="27"/>
          <w:rFonts w:hint="eastAsia" w:ascii="仿宋_GB2312" w:hAnsi="仿宋_GB2312" w:eastAsia="仿宋_GB2312" w:cs="仿宋_GB2312"/>
          <w:b w:val="0"/>
          <w:bCs/>
          <w:color w:val="000000" w:themeColor="text1"/>
          <w:sz w:val="28"/>
          <w:szCs w:val="28"/>
          <w:lang w:eastAsia="zh-CN"/>
        </w:rPr>
        <w:t>）《注册房地产估价师资格证书》（复印件）</w:t>
      </w:r>
    </w:p>
    <w:bookmarkEnd w:id="105"/>
    <w:p>
      <w:pPr>
        <w:spacing w:before="0" w:after="0" w:line="360" w:lineRule="auto"/>
        <w:jc w:val="center"/>
        <w:outlineLvl w:val="9"/>
        <w:rPr>
          <w:rFonts w:hint="eastAsia" w:ascii="仿宋_GB2312" w:hAnsi="Times New Roman" w:eastAsia="仿宋_GB2312"/>
          <w:b w:val="0"/>
          <w:bCs/>
          <w:color w:val="000000" w:themeColor="text1"/>
          <w:kern w:val="2"/>
          <w:sz w:val="28"/>
          <w:lang w:eastAsia="zh-CN"/>
        </w:rPr>
      </w:pPr>
    </w:p>
    <w:sectPr>
      <w:pgSz w:w="11906" w:h="16838"/>
      <w:pgMar w:top="1134" w:right="862" w:bottom="1134" w:left="1255"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1"/>
      </w:pBdr>
    </w:pPr>
  </w:p>
  <w:p>
    <w:pPr>
      <w:spacing w:line="360" w:lineRule="exact"/>
      <w:rPr>
        <w:sz w:val="18"/>
        <w:szCs w:val="18"/>
      </w:rPr>
    </w:pPr>
    <w:r>
      <w:rPr>
        <w:rFonts w:hint="eastAsia"/>
        <w:sz w:val="18"/>
        <w:szCs w:val="18"/>
      </w:rPr>
      <w:t>Add: 成都市金牛区蜀西路52号（中国西部国际珠宝中心1栋403室）          Tel:85571234   85574321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1"/>
      </w:pBdr>
      <w:ind w:firstLine="360"/>
    </w:pPr>
    <w:r>
      <w:pict>
        <v:shape id="_x0000_s4098" o:spid="_x0000_s4098"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r>
                  <w:rPr>
                    <w:rFonts w:hint="eastAsia"/>
                    <w:sz w:val="18"/>
                  </w:rPr>
                  <w:t xml:space="preserve"> 页</w:t>
                </w:r>
              </w:p>
            </w:txbxContent>
          </v:textbox>
        </v:shape>
      </w:pict>
    </w:r>
  </w:p>
  <w:p>
    <w:pPr>
      <w:pStyle w:val="12"/>
      <w:ind w:firstLine="360"/>
      <w:rPr>
        <w:rFonts w:ascii="宋体" w:hAnsi="宋体"/>
        <w:szCs w:val="18"/>
      </w:rPr>
    </w:pPr>
    <w:r>
      <w:rPr>
        <w:rFonts w:hint="eastAsia"/>
        <w:szCs w:val="18"/>
      </w:rPr>
      <w:t>Add: 成都市金牛区蜀西路52号（中国西部国际珠宝中心1栋403室）</w:t>
    </w:r>
    <w:r>
      <w:rPr>
        <w:rFonts w:hint="eastAsia" w:ascii="宋体" w:hAnsi="宋体"/>
        <w:color w:val="000000"/>
      </w:rPr>
      <w:t xml:space="preserve">Tel:85571234   85574321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9789"/>
        <w:tab w:val="clear" w:pos="8306"/>
      </w:tabs>
      <w:wordWrap w:val="0"/>
      <w:ind w:firstLine="6300" w:firstLineChars="3500"/>
      <w:jc w:val="both"/>
      <w:rPr>
        <w:rFonts w:hint="eastAsia" w:eastAsia="宋体"/>
        <w:lang w:eastAsia="zh-CN"/>
      </w:rPr>
    </w:pPr>
    <w:r>
      <w:rPr>
        <w:rFonts w:hint="eastAsia"/>
        <w:lang w:eastAsia="zh-CN"/>
      </w:rPr>
      <w:t>四川吉祥房地产土地资产评估有限公司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pStyle w:val="51"/>
      <w:lvlText w:val=""/>
      <w:lvlJc w:val="left"/>
      <w:pPr>
        <w:tabs>
          <w:tab w:val="left" w:pos="1531"/>
        </w:tabs>
        <w:ind w:left="1418" w:hanging="118"/>
      </w:pPr>
      <w:rPr>
        <w:rFonts w:hint="default" w:ascii="Wingdings" w:hAnsi="Wingdings"/>
      </w:rPr>
    </w:lvl>
    <w:lvl w:ilvl="1" w:tentative="0">
      <w:start w:val="1"/>
      <w:numFmt w:val="bullet"/>
      <w:lvlText w:val=""/>
      <w:lvlJc w:val="left"/>
      <w:pPr>
        <w:tabs>
          <w:tab w:val="left" w:pos="3440"/>
        </w:tabs>
        <w:ind w:left="3440" w:hanging="420"/>
      </w:pPr>
      <w:rPr>
        <w:rFonts w:hint="default" w:ascii="Wingdings" w:hAnsi="Wingdings"/>
      </w:rPr>
    </w:lvl>
    <w:lvl w:ilvl="2" w:tentative="0">
      <w:start w:val="1"/>
      <w:numFmt w:val="bullet"/>
      <w:lvlText w:val=""/>
      <w:lvlJc w:val="left"/>
      <w:pPr>
        <w:tabs>
          <w:tab w:val="left" w:pos="3860"/>
        </w:tabs>
        <w:ind w:left="3860" w:hanging="420"/>
      </w:pPr>
      <w:rPr>
        <w:rFonts w:hint="default" w:ascii="Wingdings" w:hAnsi="Wingdings"/>
      </w:rPr>
    </w:lvl>
    <w:lvl w:ilvl="3" w:tentative="0">
      <w:start w:val="1"/>
      <w:numFmt w:val="bullet"/>
      <w:lvlText w:val=""/>
      <w:lvlJc w:val="left"/>
      <w:pPr>
        <w:tabs>
          <w:tab w:val="left" w:pos="4280"/>
        </w:tabs>
        <w:ind w:left="4280" w:hanging="420"/>
      </w:pPr>
      <w:rPr>
        <w:rFonts w:hint="default" w:ascii="Wingdings" w:hAnsi="Wingdings"/>
      </w:rPr>
    </w:lvl>
    <w:lvl w:ilvl="4" w:tentative="0">
      <w:start w:val="1"/>
      <w:numFmt w:val="bullet"/>
      <w:lvlText w:val=""/>
      <w:lvlJc w:val="left"/>
      <w:pPr>
        <w:tabs>
          <w:tab w:val="left" w:pos="4700"/>
        </w:tabs>
        <w:ind w:left="4700" w:hanging="420"/>
      </w:pPr>
      <w:rPr>
        <w:rFonts w:hint="default" w:ascii="Wingdings" w:hAnsi="Wingdings"/>
      </w:rPr>
    </w:lvl>
    <w:lvl w:ilvl="5" w:tentative="0">
      <w:start w:val="1"/>
      <w:numFmt w:val="bullet"/>
      <w:lvlText w:val=""/>
      <w:lvlJc w:val="left"/>
      <w:pPr>
        <w:tabs>
          <w:tab w:val="left" w:pos="5120"/>
        </w:tabs>
        <w:ind w:left="5120" w:hanging="420"/>
      </w:pPr>
      <w:rPr>
        <w:rFonts w:hint="default" w:ascii="Wingdings" w:hAnsi="Wingdings"/>
      </w:rPr>
    </w:lvl>
    <w:lvl w:ilvl="6" w:tentative="0">
      <w:start w:val="1"/>
      <w:numFmt w:val="bullet"/>
      <w:lvlText w:val=""/>
      <w:lvlJc w:val="left"/>
      <w:pPr>
        <w:tabs>
          <w:tab w:val="left" w:pos="5540"/>
        </w:tabs>
        <w:ind w:left="5540" w:hanging="420"/>
      </w:pPr>
      <w:rPr>
        <w:rFonts w:hint="default" w:ascii="Wingdings" w:hAnsi="Wingdings"/>
      </w:rPr>
    </w:lvl>
    <w:lvl w:ilvl="7" w:tentative="0">
      <w:start w:val="1"/>
      <w:numFmt w:val="bullet"/>
      <w:lvlText w:val=""/>
      <w:lvlJc w:val="left"/>
      <w:pPr>
        <w:tabs>
          <w:tab w:val="left" w:pos="5960"/>
        </w:tabs>
        <w:ind w:left="5960" w:hanging="420"/>
      </w:pPr>
      <w:rPr>
        <w:rFonts w:hint="default" w:ascii="Wingdings" w:hAnsi="Wingdings"/>
      </w:rPr>
    </w:lvl>
    <w:lvl w:ilvl="8" w:tentative="0">
      <w:start w:val="1"/>
      <w:numFmt w:val="bullet"/>
      <w:lvlText w:val=""/>
      <w:lvlJc w:val="left"/>
      <w:pPr>
        <w:tabs>
          <w:tab w:val="left" w:pos="6380"/>
        </w:tabs>
        <w:ind w:left="6380" w:hanging="420"/>
      </w:pPr>
      <w:rPr>
        <w:rFonts w:hint="default" w:ascii="Wingdings" w:hAnsi="Wingdings"/>
      </w:rPr>
    </w:lvl>
  </w:abstractNum>
  <w:abstractNum w:abstractNumId="1">
    <w:nsid w:val="2F333BE5"/>
    <w:multiLevelType w:val="singleLevel"/>
    <w:tmpl w:val="2F333BE5"/>
    <w:lvl w:ilvl="0" w:tentative="0">
      <w:start w:val="11"/>
      <w:numFmt w:val="chineseCounting"/>
      <w:suff w:val="nothing"/>
      <w:lvlText w:val="（%1）"/>
      <w:lvlJc w:val="left"/>
      <w:rPr>
        <w:rFonts w:hint="eastAsia"/>
      </w:rPr>
    </w:lvl>
  </w:abstractNum>
  <w:abstractNum w:abstractNumId="2">
    <w:nsid w:val="2F5C4D75"/>
    <w:multiLevelType w:val="singleLevel"/>
    <w:tmpl w:val="2F5C4D75"/>
    <w:lvl w:ilvl="0" w:tentative="0">
      <w:start w:val="2"/>
      <w:numFmt w:val="decimal"/>
      <w:suff w:val="nothing"/>
      <w:lvlText w:val="（%1）"/>
      <w:lvlJc w:val="left"/>
    </w:lvl>
  </w:abstractNum>
  <w:abstractNum w:abstractNumId="3">
    <w:nsid w:val="5645A96B"/>
    <w:multiLevelType w:val="singleLevel"/>
    <w:tmpl w:val="5645A96B"/>
    <w:lvl w:ilvl="0" w:tentative="0">
      <w:start w:val="1"/>
      <w:numFmt w:val="decimal"/>
      <w:suff w:val="nothing"/>
      <w:lvlText w:val="%1、"/>
      <w:lvlJc w:val="left"/>
      <w:rPr>
        <w:rFonts w:hint="eastAsia" w:ascii="楷体_GB2312" w:eastAsia="楷体_GB2312" w:cs="Times New Roman"/>
      </w:rPr>
    </w:lvl>
  </w:abstractNum>
  <w:abstractNum w:abstractNumId="4">
    <w:nsid w:val="576B9B18"/>
    <w:multiLevelType w:val="singleLevel"/>
    <w:tmpl w:val="576B9B18"/>
    <w:lvl w:ilvl="0" w:tentative="0">
      <w:start w:val="2"/>
      <w:numFmt w:val="decimal"/>
      <w:suff w:val="nothing"/>
      <w:lvlText w:val="%1、"/>
      <w:lvlJc w:val="left"/>
    </w:lvl>
  </w:abstractNum>
  <w:abstractNum w:abstractNumId="5">
    <w:nsid w:val="577A3630"/>
    <w:multiLevelType w:val="singleLevel"/>
    <w:tmpl w:val="577A3630"/>
    <w:lvl w:ilvl="0" w:tentative="0">
      <w:start w:val="2"/>
      <w:numFmt w:val="decimal"/>
      <w:suff w:val="nothing"/>
      <w:lvlText w:val="%1、"/>
      <w:lvlJc w:val="left"/>
    </w:lvl>
  </w:abstractNum>
  <w:abstractNum w:abstractNumId="6">
    <w:nsid w:val="57872397"/>
    <w:multiLevelType w:val="multilevel"/>
    <w:tmpl w:val="57872397"/>
    <w:lvl w:ilvl="0" w:tentative="0">
      <w:start w:val="1"/>
      <w:numFmt w:val="decimal"/>
      <w:suff w:val="nothing"/>
      <w:lvlText w:val="（%1）"/>
      <w:lvlJc w:val="left"/>
    </w:lvl>
    <w:lvl w:ilvl="1" w:tentative="0">
      <w:start w:val="5"/>
      <w:numFmt w:val="decimal"/>
      <w:lvlText w:val="%2、"/>
      <w:lvlJc w:val="left"/>
      <w:pPr>
        <w:ind w:left="1424" w:hanging="720"/>
      </w:pPr>
      <w:rPr>
        <w:rFonts w:hint="default"/>
      </w:rPr>
    </w:lvl>
    <w:lvl w:ilvl="2" w:tentative="0">
      <w:start w:val="3"/>
      <w:numFmt w:val="japaneseCounting"/>
      <w:lvlText w:val="（%3）"/>
      <w:lvlJc w:val="left"/>
      <w:pPr>
        <w:ind w:left="1736" w:hanging="885"/>
      </w:pPr>
      <w:rPr>
        <w:rFonts w:hint="default"/>
      </w:r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7">
    <w:nsid w:val="59799371"/>
    <w:multiLevelType w:val="singleLevel"/>
    <w:tmpl w:val="59799371"/>
    <w:lvl w:ilvl="0" w:tentative="0">
      <w:start w:val="1"/>
      <w:numFmt w:val="decimal"/>
      <w:suff w:val="nothing"/>
      <w:lvlText w:val="%1、"/>
      <w:lvlJc w:val="left"/>
    </w:lvl>
  </w:abstractNum>
  <w:abstractNum w:abstractNumId="8">
    <w:nsid w:val="5979981C"/>
    <w:multiLevelType w:val="singleLevel"/>
    <w:tmpl w:val="5979981C"/>
    <w:lvl w:ilvl="0" w:tentative="0">
      <w:start w:val="4"/>
      <w:numFmt w:val="decimal"/>
      <w:suff w:val="nothing"/>
      <w:lvlText w:val="%1、"/>
      <w:lvlJc w:val="left"/>
    </w:lvl>
  </w:abstractNum>
  <w:num w:numId="1">
    <w:abstractNumId w:val="0"/>
  </w:num>
  <w:num w:numId="2">
    <w:abstractNumId w:val="3"/>
  </w:num>
  <w:num w:numId="3">
    <w:abstractNumId w:val="2"/>
  </w:num>
  <w:num w:numId="4">
    <w:abstractNumId w:val="7"/>
  </w:num>
  <w:num w:numId="5">
    <w:abstractNumId w:val="8"/>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50"/>
  <w:drawingGridHorizontalSpacing w:val="251"/>
  <w:drawingGridVerticalSpacing w:val="191"/>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053"/>
    <w:rsid w:val="000004D8"/>
    <w:rsid w:val="0000078B"/>
    <w:rsid w:val="00002696"/>
    <w:rsid w:val="00002BC3"/>
    <w:rsid w:val="00003591"/>
    <w:rsid w:val="0000456B"/>
    <w:rsid w:val="00005F7F"/>
    <w:rsid w:val="00010B50"/>
    <w:rsid w:val="000114B3"/>
    <w:rsid w:val="00012268"/>
    <w:rsid w:val="00013136"/>
    <w:rsid w:val="00014F65"/>
    <w:rsid w:val="00017DB4"/>
    <w:rsid w:val="00025609"/>
    <w:rsid w:val="00026264"/>
    <w:rsid w:val="000274CE"/>
    <w:rsid w:val="000313AC"/>
    <w:rsid w:val="000328B8"/>
    <w:rsid w:val="00032FDC"/>
    <w:rsid w:val="00033285"/>
    <w:rsid w:val="000335D0"/>
    <w:rsid w:val="00033F7D"/>
    <w:rsid w:val="00035087"/>
    <w:rsid w:val="00035241"/>
    <w:rsid w:val="0003553A"/>
    <w:rsid w:val="00035F35"/>
    <w:rsid w:val="000379C7"/>
    <w:rsid w:val="00041CDC"/>
    <w:rsid w:val="000422E4"/>
    <w:rsid w:val="0004315B"/>
    <w:rsid w:val="00043FE1"/>
    <w:rsid w:val="000511D5"/>
    <w:rsid w:val="00052676"/>
    <w:rsid w:val="00054378"/>
    <w:rsid w:val="00054BDF"/>
    <w:rsid w:val="000550E6"/>
    <w:rsid w:val="00056289"/>
    <w:rsid w:val="00056430"/>
    <w:rsid w:val="00057638"/>
    <w:rsid w:val="00060BEB"/>
    <w:rsid w:val="000615D3"/>
    <w:rsid w:val="000631FD"/>
    <w:rsid w:val="00065E9E"/>
    <w:rsid w:val="00066987"/>
    <w:rsid w:val="00074930"/>
    <w:rsid w:val="0008025C"/>
    <w:rsid w:val="00085143"/>
    <w:rsid w:val="000856FB"/>
    <w:rsid w:val="00085D8B"/>
    <w:rsid w:val="00085EEB"/>
    <w:rsid w:val="00086D42"/>
    <w:rsid w:val="00087A42"/>
    <w:rsid w:val="00090B2C"/>
    <w:rsid w:val="00095E3C"/>
    <w:rsid w:val="0009613B"/>
    <w:rsid w:val="000A1720"/>
    <w:rsid w:val="000A3FF4"/>
    <w:rsid w:val="000A4F29"/>
    <w:rsid w:val="000A52D9"/>
    <w:rsid w:val="000A691F"/>
    <w:rsid w:val="000A7477"/>
    <w:rsid w:val="000B28F3"/>
    <w:rsid w:val="000B2B97"/>
    <w:rsid w:val="000B5E19"/>
    <w:rsid w:val="000B7F6C"/>
    <w:rsid w:val="000C07B3"/>
    <w:rsid w:val="000C25C1"/>
    <w:rsid w:val="000C2EEE"/>
    <w:rsid w:val="000C3B3B"/>
    <w:rsid w:val="000C5036"/>
    <w:rsid w:val="000C5683"/>
    <w:rsid w:val="000D1EB6"/>
    <w:rsid w:val="000D3FDE"/>
    <w:rsid w:val="000D5D91"/>
    <w:rsid w:val="000D6CDD"/>
    <w:rsid w:val="000E16A5"/>
    <w:rsid w:val="000E3369"/>
    <w:rsid w:val="000E3436"/>
    <w:rsid w:val="000E346F"/>
    <w:rsid w:val="000E68AA"/>
    <w:rsid w:val="000E6AFA"/>
    <w:rsid w:val="000F21EA"/>
    <w:rsid w:val="000F58D6"/>
    <w:rsid w:val="000F6449"/>
    <w:rsid w:val="0010053C"/>
    <w:rsid w:val="001005C3"/>
    <w:rsid w:val="00100B50"/>
    <w:rsid w:val="00104A22"/>
    <w:rsid w:val="00107062"/>
    <w:rsid w:val="00107435"/>
    <w:rsid w:val="00107DD3"/>
    <w:rsid w:val="0011042E"/>
    <w:rsid w:val="00111355"/>
    <w:rsid w:val="001129D2"/>
    <w:rsid w:val="00115EA7"/>
    <w:rsid w:val="001205AF"/>
    <w:rsid w:val="00122160"/>
    <w:rsid w:val="00122C48"/>
    <w:rsid w:val="00122CB4"/>
    <w:rsid w:val="001231D3"/>
    <w:rsid w:val="00127BC5"/>
    <w:rsid w:val="00130B49"/>
    <w:rsid w:val="00131DC3"/>
    <w:rsid w:val="001321A8"/>
    <w:rsid w:val="001327B5"/>
    <w:rsid w:val="0013355C"/>
    <w:rsid w:val="001378AF"/>
    <w:rsid w:val="00137A3B"/>
    <w:rsid w:val="001410AF"/>
    <w:rsid w:val="00142648"/>
    <w:rsid w:val="0014601E"/>
    <w:rsid w:val="001505B6"/>
    <w:rsid w:val="00150BD1"/>
    <w:rsid w:val="001528F3"/>
    <w:rsid w:val="00154B32"/>
    <w:rsid w:val="00155381"/>
    <w:rsid w:val="00157ADD"/>
    <w:rsid w:val="00157E9B"/>
    <w:rsid w:val="00160DAD"/>
    <w:rsid w:val="00162A37"/>
    <w:rsid w:val="00163397"/>
    <w:rsid w:val="0016528E"/>
    <w:rsid w:val="0016553F"/>
    <w:rsid w:val="0016668A"/>
    <w:rsid w:val="00166D8A"/>
    <w:rsid w:val="0017053C"/>
    <w:rsid w:val="00171161"/>
    <w:rsid w:val="00171B63"/>
    <w:rsid w:val="00172605"/>
    <w:rsid w:val="001731CF"/>
    <w:rsid w:val="001755CF"/>
    <w:rsid w:val="0017765E"/>
    <w:rsid w:val="00181184"/>
    <w:rsid w:val="00182303"/>
    <w:rsid w:val="00183476"/>
    <w:rsid w:val="00183499"/>
    <w:rsid w:val="00183CBF"/>
    <w:rsid w:val="0018460A"/>
    <w:rsid w:val="00185DDE"/>
    <w:rsid w:val="00185F4C"/>
    <w:rsid w:val="001863EA"/>
    <w:rsid w:val="00187C28"/>
    <w:rsid w:val="00190D43"/>
    <w:rsid w:val="00192594"/>
    <w:rsid w:val="00192B04"/>
    <w:rsid w:val="0019583D"/>
    <w:rsid w:val="001A089D"/>
    <w:rsid w:val="001A3295"/>
    <w:rsid w:val="001A38DB"/>
    <w:rsid w:val="001A3EAF"/>
    <w:rsid w:val="001A4A50"/>
    <w:rsid w:val="001A4D16"/>
    <w:rsid w:val="001A5776"/>
    <w:rsid w:val="001B2010"/>
    <w:rsid w:val="001B4DB0"/>
    <w:rsid w:val="001B55FC"/>
    <w:rsid w:val="001B6E2D"/>
    <w:rsid w:val="001B7578"/>
    <w:rsid w:val="001C0F00"/>
    <w:rsid w:val="001C156A"/>
    <w:rsid w:val="001C2F51"/>
    <w:rsid w:val="001C3BAA"/>
    <w:rsid w:val="001C452A"/>
    <w:rsid w:val="001C5AD1"/>
    <w:rsid w:val="001C6582"/>
    <w:rsid w:val="001C6760"/>
    <w:rsid w:val="001C7748"/>
    <w:rsid w:val="001D0B44"/>
    <w:rsid w:val="001D0EAC"/>
    <w:rsid w:val="001D220A"/>
    <w:rsid w:val="001D2617"/>
    <w:rsid w:val="001D2C77"/>
    <w:rsid w:val="001D3EB4"/>
    <w:rsid w:val="001D5009"/>
    <w:rsid w:val="001D518B"/>
    <w:rsid w:val="001D60BA"/>
    <w:rsid w:val="001E072B"/>
    <w:rsid w:val="001E0B45"/>
    <w:rsid w:val="001E3194"/>
    <w:rsid w:val="001E49A0"/>
    <w:rsid w:val="001E4E1E"/>
    <w:rsid w:val="001E5A67"/>
    <w:rsid w:val="001E692B"/>
    <w:rsid w:val="001F21FA"/>
    <w:rsid w:val="001F5113"/>
    <w:rsid w:val="001F5EA6"/>
    <w:rsid w:val="001F6035"/>
    <w:rsid w:val="001F66C0"/>
    <w:rsid w:val="002013B0"/>
    <w:rsid w:val="00202211"/>
    <w:rsid w:val="002036BD"/>
    <w:rsid w:val="00204BD1"/>
    <w:rsid w:val="00206015"/>
    <w:rsid w:val="002078F5"/>
    <w:rsid w:val="00207A23"/>
    <w:rsid w:val="00207D8D"/>
    <w:rsid w:val="002107F7"/>
    <w:rsid w:val="00210C77"/>
    <w:rsid w:val="00211F2B"/>
    <w:rsid w:val="00214A03"/>
    <w:rsid w:val="00214A0F"/>
    <w:rsid w:val="00216EB1"/>
    <w:rsid w:val="00220377"/>
    <w:rsid w:val="00220928"/>
    <w:rsid w:val="002212AB"/>
    <w:rsid w:val="00225945"/>
    <w:rsid w:val="002266F9"/>
    <w:rsid w:val="0022768A"/>
    <w:rsid w:val="002317E4"/>
    <w:rsid w:val="00231906"/>
    <w:rsid w:val="0023295F"/>
    <w:rsid w:val="0023572F"/>
    <w:rsid w:val="00236027"/>
    <w:rsid w:val="00236B19"/>
    <w:rsid w:val="00236D57"/>
    <w:rsid w:val="0023752F"/>
    <w:rsid w:val="00237578"/>
    <w:rsid w:val="00240F6A"/>
    <w:rsid w:val="00241BA9"/>
    <w:rsid w:val="00242719"/>
    <w:rsid w:val="002435D5"/>
    <w:rsid w:val="0024516C"/>
    <w:rsid w:val="0024555F"/>
    <w:rsid w:val="0024740F"/>
    <w:rsid w:val="00247D3F"/>
    <w:rsid w:val="00250BCD"/>
    <w:rsid w:val="002519B9"/>
    <w:rsid w:val="0025675F"/>
    <w:rsid w:val="00260BA4"/>
    <w:rsid w:val="002614D6"/>
    <w:rsid w:val="00261FD4"/>
    <w:rsid w:val="00265E9C"/>
    <w:rsid w:val="0026651F"/>
    <w:rsid w:val="00267050"/>
    <w:rsid w:val="002708BF"/>
    <w:rsid w:val="00271913"/>
    <w:rsid w:val="00273FE6"/>
    <w:rsid w:val="00280B58"/>
    <w:rsid w:val="00284EA5"/>
    <w:rsid w:val="00286D6A"/>
    <w:rsid w:val="00287544"/>
    <w:rsid w:val="00290D8C"/>
    <w:rsid w:val="00291119"/>
    <w:rsid w:val="00291678"/>
    <w:rsid w:val="002919EA"/>
    <w:rsid w:val="00292B84"/>
    <w:rsid w:val="0029434A"/>
    <w:rsid w:val="00297B89"/>
    <w:rsid w:val="002A132B"/>
    <w:rsid w:val="002A1D5A"/>
    <w:rsid w:val="002A23E8"/>
    <w:rsid w:val="002A33C9"/>
    <w:rsid w:val="002A37D5"/>
    <w:rsid w:val="002A4DB1"/>
    <w:rsid w:val="002A7AF6"/>
    <w:rsid w:val="002B022A"/>
    <w:rsid w:val="002B07B9"/>
    <w:rsid w:val="002B1517"/>
    <w:rsid w:val="002B22B8"/>
    <w:rsid w:val="002B579D"/>
    <w:rsid w:val="002B5A3E"/>
    <w:rsid w:val="002B5DB1"/>
    <w:rsid w:val="002B63E2"/>
    <w:rsid w:val="002B6B2E"/>
    <w:rsid w:val="002B6FC5"/>
    <w:rsid w:val="002C100D"/>
    <w:rsid w:val="002C4AEF"/>
    <w:rsid w:val="002C5072"/>
    <w:rsid w:val="002C71A0"/>
    <w:rsid w:val="002C788C"/>
    <w:rsid w:val="002D0825"/>
    <w:rsid w:val="002D1630"/>
    <w:rsid w:val="002D1753"/>
    <w:rsid w:val="002D1D34"/>
    <w:rsid w:val="002D2B65"/>
    <w:rsid w:val="002D30CF"/>
    <w:rsid w:val="002D5F56"/>
    <w:rsid w:val="002D77FC"/>
    <w:rsid w:val="002E0084"/>
    <w:rsid w:val="002E03F8"/>
    <w:rsid w:val="002E0865"/>
    <w:rsid w:val="002E1234"/>
    <w:rsid w:val="002E3F44"/>
    <w:rsid w:val="002E44ED"/>
    <w:rsid w:val="002E46A0"/>
    <w:rsid w:val="002E5089"/>
    <w:rsid w:val="002E61D2"/>
    <w:rsid w:val="002E7219"/>
    <w:rsid w:val="002E7788"/>
    <w:rsid w:val="002F0343"/>
    <w:rsid w:val="002F255F"/>
    <w:rsid w:val="002F3BC1"/>
    <w:rsid w:val="002F532D"/>
    <w:rsid w:val="002F62A9"/>
    <w:rsid w:val="002F689D"/>
    <w:rsid w:val="002F7621"/>
    <w:rsid w:val="002F7C04"/>
    <w:rsid w:val="00301D18"/>
    <w:rsid w:val="00305078"/>
    <w:rsid w:val="00307122"/>
    <w:rsid w:val="00311106"/>
    <w:rsid w:val="003122E9"/>
    <w:rsid w:val="00312F26"/>
    <w:rsid w:val="003135F7"/>
    <w:rsid w:val="003148CF"/>
    <w:rsid w:val="00314E38"/>
    <w:rsid w:val="0031708C"/>
    <w:rsid w:val="00320E66"/>
    <w:rsid w:val="0032121D"/>
    <w:rsid w:val="003226AD"/>
    <w:rsid w:val="00322736"/>
    <w:rsid w:val="00325108"/>
    <w:rsid w:val="00326AFB"/>
    <w:rsid w:val="00330861"/>
    <w:rsid w:val="00330C97"/>
    <w:rsid w:val="00331B25"/>
    <w:rsid w:val="003330C9"/>
    <w:rsid w:val="003359CA"/>
    <w:rsid w:val="00341510"/>
    <w:rsid w:val="0034308A"/>
    <w:rsid w:val="0034366B"/>
    <w:rsid w:val="00344367"/>
    <w:rsid w:val="00344792"/>
    <w:rsid w:val="003468ED"/>
    <w:rsid w:val="003515B4"/>
    <w:rsid w:val="00352B17"/>
    <w:rsid w:val="00355DB2"/>
    <w:rsid w:val="00356F7E"/>
    <w:rsid w:val="00360098"/>
    <w:rsid w:val="00360AC1"/>
    <w:rsid w:val="00361676"/>
    <w:rsid w:val="00363A0D"/>
    <w:rsid w:val="003652B0"/>
    <w:rsid w:val="00365A53"/>
    <w:rsid w:val="00365E8B"/>
    <w:rsid w:val="00366680"/>
    <w:rsid w:val="00366D49"/>
    <w:rsid w:val="0037314E"/>
    <w:rsid w:val="003744AF"/>
    <w:rsid w:val="0037513B"/>
    <w:rsid w:val="003754CF"/>
    <w:rsid w:val="00376633"/>
    <w:rsid w:val="00376DAE"/>
    <w:rsid w:val="003770BD"/>
    <w:rsid w:val="00380A43"/>
    <w:rsid w:val="00380BA7"/>
    <w:rsid w:val="00381E90"/>
    <w:rsid w:val="00383878"/>
    <w:rsid w:val="00384479"/>
    <w:rsid w:val="0039062D"/>
    <w:rsid w:val="00391A77"/>
    <w:rsid w:val="00391B9D"/>
    <w:rsid w:val="00392F51"/>
    <w:rsid w:val="00392FC9"/>
    <w:rsid w:val="0039407F"/>
    <w:rsid w:val="0039437B"/>
    <w:rsid w:val="0039478C"/>
    <w:rsid w:val="003975A7"/>
    <w:rsid w:val="00397B80"/>
    <w:rsid w:val="003A04BA"/>
    <w:rsid w:val="003A15F0"/>
    <w:rsid w:val="003A415F"/>
    <w:rsid w:val="003A4A64"/>
    <w:rsid w:val="003A6B66"/>
    <w:rsid w:val="003A6D79"/>
    <w:rsid w:val="003B0431"/>
    <w:rsid w:val="003B36EF"/>
    <w:rsid w:val="003B5082"/>
    <w:rsid w:val="003B5340"/>
    <w:rsid w:val="003B7595"/>
    <w:rsid w:val="003C0B76"/>
    <w:rsid w:val="003C0B79"/>
    <w:rsid w:val="003C0DDB"/>
    <w:rsid w:val="003C10E2"/>
    <w:rsid w:val="003C264A"/>
    <w:rsid w:val="003C3D0F"/>
    <w:rsid w:val="003C6265"/>
    <w:rsid w:val="003C6D84"/>
    <w:rsid w:val="003C6EA0"/>
    <w:rsid w:val="003C7A41"/>
    <w:rsid w:val="003D0FDE"/>
    <w:rsid w:val="003D21EF"/>
    <w:rsid w:val="003D2A44"/>
    <w:rsid w:val="003D2E28"/>
    <w:rsid w:val="003D61D6"/>
    <w:rsid w:val="003D6F10"/>
    <w:rsid w:val="003E1BA0"/>
    <w:rsid w:val="003E2939"/>
    <w:rsid w:val="003E35FB"/>
    <w:rsid w:val="003E3F26"/>
    <w:rsid w:val="003E452F"/>
    <w:rsid w:val="003E534E"/>
    <w:rsid w:val="003E75C1"/>
    <w:rsid w:val="003E7F29"/>
    <w:rsid w:val="003F0306"/>
    <w:rsid w:val="003F1DD1"/>
    <w:rsid w:val="003F74BF"/>
    <w:rsid w:val="00400CCB"/>
    <w:rsid w:val="0040206B"/>
    <w:rsid w:val="00402ECB"/>
    <w:rsid w:val="00404865"/>
    <w:rsid w:val="00406487"/>
    <w:rsid w:val="00410F9E"/>
    <w:rsid w:val="0041169D"/>
    <w:rsid w:val="004117DF"/>
    <w:rsid w:val="0041240D"/>
    <w:rsid w:val="00412BA9"/>
    <w:rsid w:val="00413CB4"/>
    <w:rsid w:val="004148A1"/>
    <w:rsid w:val="0041792C"/>
    <w:rsid w:val="004235B4"/>
    <w:rsid w:val="00426C8C"/>
    <w:rsid w:val="00426FB9"/>
    <w:rsid w:val="004277A0"/>
    <w:rsid w:val="004303D7"/>
    <w:rsid w:val="00432CE9"/>
    <w:rsid w:val="00434C20"/>
    <w:rsid w:val="0043530E"/>
    <w:rsid w:val="00435F23"/>
    <w:rsid w:val="004368DE"/>
    <w:rsid w:val="00440335"/>
    <w:rsid w:val="00441DEA"/>
    <w:rsid w:val="004451D6"/>
    <w:rsid w:val="00447F18"/>
    <w:rsid w:val="004511A9"/>
    <w:rsid w:val="0045250F"/>
    <w:rsid w:val="004529DC"/>
    <w:rsid w:val="00452F0B"/>
    <w:rsid w:val="004531EA"/>
    <w:rsid w:val="00456297"/>
    <w:rsid w:val="00457C1B"/>
    <w:rsid w:val="00461176"/>
    <w:rsid w:val="00462331"/>
    <w:rsid w:val="00462945"/>
    <w:rsid w:val="00463F72"/>
    <w:rsid w:val="00464B6B"/>
    <w:rsid w:val="00466BB3"/>
    <w:rsid w:val="00467ED9"/>
    <w:rsid w:val="004704AE"/>
    <w:rsid w:val="00471D45"/>
    <w:rsid w:val="00473236"/>
    <w:rsid w:val="00473574"/>
    <w:rsid w:val="004744B5"/>
    <w:rsid w:val="004745CA"/>
    <w:rsid w:val="0047471B"/>
    <w:rsid w:val="0047559E"/>
    <w:rsid w:val="00480C47"/>
    <w:rsid w:val="00481DFC"/>
    <w:rsid w:val="00486B0C"/>
    <w:rsid w:val="00487BBD"/>
    <w:rsid w:val="0049056D"/>
    <w:rsid w:val="00490FF9"/>
    <w:rsid w:val="00491C99"/>
    <w:rsid w:val="00493A75"/>
    <w:rsid w:val="00493E9F"/>
    <w:rsid w:val="0049443F"/>
    <w:rsid w:val="004949B8"/>
    <w:rsid w:val="0049737E"/>
    <w:rsid w:val="004A1128"/>
    <w:rsid w:val="004A1129"/>
    <w:rsid w:val="004A17D9"/>
    <w:rsid w:val="004A1B42"/>
    <w:rsid w:val="004A4C04"/>
    <w:rsid w:val="004A7104"/>
    <w:rsid w:val="004A74DD"/>
    <w:rsid w:val="004A77C9"/>
    <w:rsid w:val="004B2EFC"/>
    <w:rsid w:val="004B35E0"/>
    <w:rsid w:val="004B3C12"/>
    <w:rsid w:val="004B447F"/>
    <w:rsid w:val="004B4984"/>
    <w:rsid w:val="004B4BF9"/>
    <w:rsid w:val="004B5D29"/>
    <w:rsid w:val="004B605E"/>
    <w:rsid w:val="004B7D2A"/>
    <w:rsid w:val="004C4846"/>
    <w:rsid w:val="004C4926"/>
    <w:rsid w:val="004C4C5B"/>
    <w:rsid w:val="004C534B"/>
    <w:rsid w:val="004C6005"/>
    <w:rsid w:val="004C680A"/>
    <w:rsid w:val="004C6C5D"/>
    <w:rsid w:val="004C7278"/>
    <w:rsid w:val="004C7E88"/>
    <w:rsid w:val="004D0C50"/>
    <w:rsid w:val="004D15EA"/>
    <w:rsid w:val="004D312D"/>
    <w:rsid w:val="004D4EFA"/>
    <w:rsid w:val="004D6CE5"/>
    <w:rsid w:val="004E01E8"/>
    <w:rsid w:val="004E332B"/>
    <w:rsid w:val="004E6FD4"/>
    <w:rsid w:val="004F0848"/>
    <w:rsid w:val="004F0B72"/>
    <w:rsid w:val="004F2397"/>
    <w:rsid w:val="004F4935"/>
    <w:rsid w:val="004F5DD7"/>
    <w:rsid w:val="004F6491"/>
    <w:rsid w:val="00500AB2"/>
    <w:rsid w:val="00500F18"/>
    <w:rsid w:val="00501605"/>
    <w:rsid w:val="00501D2D"/>
    <w:rsid w:val="0050254A"/>
    <w:rsid w:val="00502A96"/>
    <w:rsid w:val="0050466A"/>
    <w:rsid w:val="0050706E"/>
    <w:rsid w:val="005108CA"/>
    <w:rsid w:val="0051174C"/>
    <w:rsid w:val="005123A1"/>
    <w:rsid w:val="00513896"/>
    <w:rsid w:val="00514629"/>
    <w:rsid w:val="00515351"/>
    <w:rsid w:val="00515CB1"/>
    <w:rsid w:val="005223A0"/>
    <w:rsid w:val="00523D13"/>
    <w:rsid w:val="00524699"/>
    <w:rsid w:val="0052486B"/>
    <w:rsid w:val="00527326"/>
    <w:rsid w:val="00532047"/>
    <w:rsid w:val="00532745"/>
    <w:rsid w:val="0053355F"/>
    <w:rsid w:val="00534E23"/>
    <w:rsid w:val="005356BA"/>
    <w:rsid w:val="0054037F"/>
    <w:rsid w:val="00541115"/>
    <w:rsid w:val="00541132"/>
    <w:rsid w:val="00541AEA"/>
    <w:rsid w:val="005443F0"/>
    <w:rsid w:val="00545763"/>
    <w:rsid w:val="005457E7"/>
    <w:rsid w:val="00546F33"/>
    <w:rsid w:val="00546F7B"/>
    <w:rsid w:val="00547E46"/>
    <w:rsid w:val="00550F4D"/>
    <w:rsid w:val="005522CB"/>
    <w:rsid w:val="00552D4C"/>
    <w:rsid w:val="005532CA"/>
    <w:rsid w:val="00554152"/>
    <w:rsid w:val="00554A25"/>
    <w:rsid w:val="005560C4"/>
    <w:rsid w:val="0055791F"/>
    <w:rsid w:val="005601AF"/>
    <w:rsid w:val="00563335"/>
    <w:rsid w:val="00563391"/>
    <w:rsid w:val="00563C8C"/>
    <w:rsid w:val="00564D7C"/>
    <w:rsid w:val="00570241"/>
    <w:rsid w:val="00570D88"/>
    <w:rsid w:val="0057621E"/>
    <w:rsid w:val="00580022"/>
    <w:rsid w:val="00581FEF"/>
    <w:rsid w:val="005870C0"/>
    <w:rsid w:val="0058715A"/>
    <w:rsid w:val="005871BB"/>
    <w:rsid w:val="005905D1"/>
    <w:rsid w:val="00591709"/>
    <w:rsid w:val="00592156"/>
    <w:rsid w:val="00592C39"/>
    <w:rsid w:val="00593B38"/>
    <w:rsid w:val="0059634F"/>
    <w:rsid w:val="00596520"/>
    <w:rsid w:val="005965EE"/>
    <w:rsid w:val="00596F0C"/>
    <w:rsid w:val="005A0B74"/>
    <w:rsid w:val="005A1141"/>
    <w:rsid w:val="005A2F1B"/>
    <w:rsid w:val="005A62F7"/>
    <w:rsid w:val="005A6D5A"/>
    <w:rsid w:val="005A78F3"/>
    <w:rsid w:val="005B290F"/>
    <w:rsid w:val="005B3248"/>
    <w:rsid w:val="005B3C0D"/>
    <w:rsid w:val="005B58AA"/>
    <w:rsid w:val="005B6B38"/>
    <w:rsid w:val="005B7AE4"/>
    <w:rsid w:val="005C0256"/>
    <w:rsid w:val="005D08C0"/>
    <w:rsid w:val="005D0FB8"/>
    <w:rsid w:val="005D1F71"/>
    <w:rsid w:val="005D32B1"/>
    <w:rsid w:val="005D44A6"/>
    <w:rsid w:val="005D6239"/>
    <w:rsid w:val="005D6BAB"/>
    <w:rsid w:val="005D6FE6"/>
    <w:rsid w:val="005D744C"/>
    <w:rsid w:val="005D74A5"/>
    <w:rsid w:val="005E0C45"/>
    <w:rsid w:val="005E1FC3"/>
    <w:rsid w:val="005E246B"/>
    <w:rsid w:val="005E28FC"/>
    <w:rsid w:val="005E63A7"/>
    <w:rsid w:val="005F06CC"/>
    <w:rsid w:val="005F0B65"/>
    <w:rsid w:val="005F1520"/>
    <w:rsid w:val="005F2C02"/>
    <w:rsid w:val="005F3EB6"/>
    <w:rsid w:val="005F4F78"/>
    <w:rsid w:val="005F5098"/>
    <w:rsid w:val="005F510C"/>
    <w:rsid w:val="005F6E38"/>
    <w:rsid w:val="006003C4"/>
    <w:rsid w:val="006005C3"/>
    <w:rsid w:val="00601858"/>
    <w:rsid w:val="00603460"/>
    <w:rsid w:val="006108A6"/>
    <w:rsid w:val="00610A1E"/>
    <w:rsid w:val="006116D3"/>
    <w:rsid w:val="00611BA0"/>
    <w:rsid w:val="00611CE4"/>
    <w:rsid w:val="00611CFA"/>
    <w:rsid w:val="006124C4"/>
    <w:rsid w:val="006137D7"/>
    <w:rsid w:val="0061406C"/>
    <w:rsid w:val="00614D33"/>
    <w:rsid w:val="006151E1"/>
    <w:rsid w:val="00615280"/>
    <w:rsid w:val="006156E1"/>
    <w:rsid w:val="00616552"/>
    <w:rsid w:val="00616CA1"/>
    <w:rsid w:val="00620C0F"/>
    <w:rsid w:val="006226BE"/>
    <w:rsid w:val="0062353F"/>
    <w:rsid w:val="0062398B"/>
    <w:rsid w:val="0062424E"/>
    <w:rsid w:val="006243A8"/>
    <w:rsid w:val="00624790"/>
    <w:rsid w:val="00625078"/>
    <w:rsid w:val="00625C8B"/>
    <w:rsid w:val="00627A1A"/>
    <w:rsid w:val="006319CC"/>
    <w:rsid w:val="00632373"/>
    <w:rsid w:val="00632F83"/>
    <w:rsid w:val="00635523"/>
    <w:rsid w:val="00635B63"/>
    <w:rsid w:val="006360F0"/>
    <w:rsid w:val="00636388"/>
    <w:rsid w:val="0063674F"/>
    <w:rsid w:val="0064025F"/>
    <w:rsid w:val="00640362"/>
    <w:rsid w:val="00641FC6"/>
    <w:rsid w:val="00643117"/>
    <w:rsid w:val="0064370A"/>
    <w:rsid w:val="0064469A"/>
    <w:rsid w:val="00650B86"/>
    <w:rsid w:val="00651236"/>
    <w:rsid w:val="00651CE2"/>
    <w:rsid w:val="00652599"/>
    <w:rsid w:val="00652CCE"/>
    <w:rsid w:val="00652D7A"/>
    <w:rsid w:val="00653F64"/>
    <w:rsid w:val="00655325"/>
    <w:rsid w:val="006601E4"/>
    <w:rsid w:val="00662A6C"/>
    <w:rsid w:val="006634E5"/>
    <w:rsid w:val="00665906"/>
    <w:rsid w:val="00665D8A"/>
    <w:rsid w:val="006669BC"/>
    <w:rsid w:val="006674E6"/>
    <w:rsid w:val="006705A1"/>
    <w:rsid w:val="0067449C"/>
    <w:rsid w:val="00676A54"/>
    <w:rsid w:val="00680ACC"/>
    <w:rsid w:val="006811FF"/>
    <w:rsid w:val="00683729"/>
    <w:rsid w:val="00683FB5"/>
    <w:rsid w:val="00685E18"/>
    <w:rsid w:val="006860D9"/>
    <w:rsid w:val="00686CD7"/>
    <w:rsid w:val="00686CFA"/>
    <w:rsid w:val="00686F32"/>
    <w:rsid w:val="00691CF6"/>
    <w:rsid w:val="0069202F"/>
    <w:rsid w:val="006929EB"/>
    <w:rsid w:val="00694125"/>
    <w:rsid w:val="00695F1D"/>
    <w:rsid w:val="0069614F"/>
    <w:rsid w:val="00697A41"/>
    <w:rsid w:val="006A2C8B"/>
    <w:rsid w:val="006A4EF6"/>
    <w:rsid w:val="006A5C61"/>
    <w:rsid w:val="006A5D90"/>
    <w:rsid w:val="006A7AC3"/>
    <w:rsid w:val="006B098C"/>
    <w:rsid w:val="006B0A38"/>
    <w:rsid w:val="006B100D"/>
    <w:rsid w:val="006B28D3"/>
    <w:rsid w:val="006B5BBE"/>
    <w:rsid w:val="006B5BE2"/>
    <w:rsid w:val="006B7302"/>
    <w:rsid w:val="006B7B2D"/>
    <w:rsid w:val="006C0773"/>
    <w:rsid w:val="006C08A7"/>
    <w:rsid w:val="006C1EAB"/>
    <w:rsid w:val="006C29B6"/>
    <w:rsid w:val="006C6072"/>
    <w:rsid w:val="006C66DF"/>
    <w:rsid w:val="006D58A7"/>
    <w:rsid w:val="006D697E"/>
    <w:rsid w:val="006E001C"/>
    <w:rsid w:val="006E0A0D"/>
    <w:rsid w:val="006E192E"/>
    <w:rsid w:val="006E1AAA"/>
    <w:rsid w:val="006E2556"/>
    <w:rsid w:val="006E27F2"/>
    <w:rsid w:val="006E7E52"/>
    <w:rsid w:val="006F01B7"/>
    <w:rsid w:val="006F2015"/>
    <w:rsid w:val="006F2C8D"/>
    <w:rsid w:val="006F5BDF"/>
    <w:rsid w:val="006F5D60"/>
    <w:rsid w:val="006F6599"/>
    <w:rsid w:val="006F738A"/>
    <w:rsid w:val="007002ED"/>
    <w:rsid w:val="00700EE4"/>
    <w:rsid w:val="00701517"/>
    <w:rsid w:val="007016AA"/>
    <w:rsid w:val="007016E4"/>
    <w:rsid w:val="007029F1"/>
    <w:rsid w:val="00703271"/>
    <w:rsid w:val="00703727"/>
    <w:rsid w:val="00704B60"/>
    <w:rsid w:val="0070586E"/>
    <w:rsid w:val="0070611E"/>
    <w:rsid w:val="0070786F"/>
    <w:rsid w:val="00711C15"/>
    <w:rsid w:val="007122B2"/>
    <w:rsid w:val="007123C8"/>
    <w:rsid w:val="00714430"/>
    <w:rsid w:val="00714D59"/>
    <w:rsid w:val="0071612B"/>
    <w:rsid w:val="00716273"/>
    <w:rsid w:val="007162CF"/>
    <w:rsid w:val="00717404"/>
    <w:rsid w:val="00717861"/>
    <w:rsid w:val="007234EA"/>
    <w:rsid w:val="00723E44"/>
    <w:rsid w:val="00725340"/>
    <w:rsid w:val="00725EC1"/>
    <w:rsid w:val="00727537"/>
    <w:rsid w:val="00730E55"/>
    <w:rsid w:val="00730E8D"/>
    <w:rsid w:val="00732891"/>
    <w:rsid w:val="00733281"/>
    <w:rsid w:val="00734A19"/>
    <w:rsid w:val="00737C9C"/>
    <w:rsid w:val="007402D5"/>
    <w:rsid w:val="0074483A"/>
    <w:rsid w:val="00746780"/>
    <w:rsid w:val="007511B1"/>
    <w:rsid w:val="0075144C"/>
    <w:rsid w:val="00754770"/>
    <w:rsid w:val="00757716"/>
    <w:rsid w:val="00757E2D"/>
    <w:rsid w:val="007614AC"/>
    <w:rsid w:val="00761D08"/>
    <w:rsid w:val="00770102"/>
    <w:rsid w:val="00771941"/>
    <w:rsid w:val="007721D5"/>
    <w:rsid w:val="00773BBF"/>
    <w:rsid w:val="00775804"/>
    <w:rsid w:val="00777E1E"/>
    <w:rsid w:val="00780425"/>
    <w:rsid w:val="00780704"/>
    <w:rsid w:val="00783010"/>
    <w:rsid w:val="00783627"/>
    <w:rsid w:val="00785662"/>
    <w:rsid w:val="007864A1"/>
    <w:rsid w:val="00786BAA"/>
    <w:rsid w:val="007875A3"/>
    <w:rsid w:val="0079012A"/>
    <w:rsid w:val="00791A76"/>
    <w:rsid w:val="00792A3B"/>
    <w:rsid w:val="00792DDD"/>
    <w:rsid w:val="00793C68"/>
    <w:rsid w:val="007A0270"/>
    <w:rsid w:val="007A02EF"/>
    <w:rsid w:val="007A1147"/>
    <w:rsid w:val="007A200D"/>
    <w:rsid w:val="007A3395"/>
    <w:rsid w:val="007B0CAA"/>
    <w:rsid w:val="007B0FFD"/>
    <w:rsid w:val="007B36A3"/>
    <w:rsid w:val="007C0B7E"/>
    <w:rsid w:val="007C4137"/>
    <w:rsid w:val="007C5E57"/>
    <w:rsid w:val="007C7379"/>
    <w:rsid w:val="007C7B1F"/>
    <w:rsid w:val="007C7B88"/>
    <w:rsid w:val="007D0F28"/>
    <w:rsid w:val="007D166E"/>
    <w:rsid w:val="007D1888"/>
    <w:rsid w:val="007D296A"/>
    <w:rsid w:val="007D3FCB"/>
    <w:rsid w:val="007D53A9"/>
    <w:rsid w:val="007D5EC2"/>
    <w:rsid w:val="007D6962"/>
    <w:rsid w:val="007E348B"/>
    <w:rsid w:val="007E7327"/>
    <w:rsid w:val="007F0334"/>
    <w:rsid w:val="007F0487"/>
    <w:rsid w:val="007F1553"/>
    <w:rsid w:val="007F3289"/>
    <w:rsid w:val="007F745F"/>
    <w:rsid w:val="00800802"/>
    <w:rsid w:val="00800AEF"/>
    <w:rsid w:val="00801D94"/>
    <w:rsid w:val="0080383F"/>
    <w:rsid w:val="008072E1"/>
    <w:rsid w:val="00807CC5"/>
    <w:rsid w:val="008114BA"/>
    <w:rsid w:val="00812361"/>
    <w:rsid w:val="008128CE"/>
    <w:rsid w:val="00814E70"/>
    <w:rsid w:val="00815F9E"/>
    <w:rsid w:val="0081655B"/>
    <w:rsid w:val="0082007F"/>
    <w:rsid w:val="0082010A"/>
    <w:rsid w:val="00822242"/>
    <w:rsid w:val="0082283D"/>
    <w:rsid w:val="00822981"/>
    <w:rsid w:val="00825371"/>
    <w:rsid w:val="00825E3B"/>
    <w:rsid w:val="0082771D"/>
    <w:rsid w:val="008301B4"/>
    <w:rsid w:val="008304FB"/>
    <w:rsid w:val="0083154E"/>
    <w:rsid w:val="008315E4"/>
    <w:rsid w:val="00831890"/>
    <w:rsid w:val="00832F5F"/>
    <w:rsid w:val="00834BFB"/>
    <w:rsid w:val="00835AFE"/>
    <w:rsid w:val="00840E3B"/>
    <w:rsid w:val="00841D9A"/>
    <w:rsid w:val="00842059"/>
    <w:rsid w:val="00843480"/>
    <w:rsid w:val="00845C88"/>
    <w:rsid w:val="00846478"/>
    <w:rsid w:val="008533BC"/>
    <w:rsid w:val="0085411F"/>
    <w:rsid w:val="0086199B"/>
    <w:rsid w:val="0086250D"/>
    <w:rsid w:val="0086354B"/>
    <w:rsid w:val="00864319"/>
    <w:rsid w:val="008647A0"/>
    <w:rsid w:val="008649E6"/>
    <w:rsid w:val="00864AA7"/>
    <w:rsid w:val="00867487"/>
    <w:rsid w:val="008706EF"/>
    <w:rsid w:val="00871533"/>
    <w:rsid w:val="0087439E"/>
    <w:rsid w:val="0088033F"/>
    <w:rsid w:val="00880BFD"/>
    <w:rsid w:val="00882AB3"/>
    <w:rsid w:val="00882E3C"/>
    <w:rsid w:val="008840E9"/>
    <w:rsid w:val="00887055"/>
    <w:rsid w:val="0088776E"/>
    <w:rsid w:val="00887F7C"/>
    <w:rsid w:val="00892B6A"/>
    <w:rsid w:val="0089325E"/>
    <w:rsid w:val="00893B0D"/>
    <w:rsid w:val="00895A7C"/>
    <w:rsid w:val="00896674"/>
    <w:rsid w:val="008976D4"/>
    <w:rsid w:val="008A0017"/>
    <w:rsid w:val="008A03A5"/>
    <w:rsid w:val="008A0BE3"/>
    <w:rsid w:val="008A51E0"/>
    <w:rsid w:val="008A7249"/>
    <w:rsid w:val="008A751D"/>
    <w:rsid w:val="008B2FEC"/>
    <w:rsid w:val="008B5BD0"/>
    <w:rsid w:val="008B6345"/>
    <w:rsid w:val="008B68C6"/>
    <w:rsid w:val="008B692D"/>
    <w:rsid w:val="008B79BB"/>
    <w:rsid w:val="008B7F8D"/>
    <w:rsid w:val="008C06CE"/>
    <w:rsid w:val="008C127D"/>
    <w:rsid w:val="008C1CEC"/>
    <w:rsid w:val="008C1F44"/>
    <w:rsid w:val="008C218F"/>
    <w:rsid w:val="008C2A2E"/>
    <w:rsid w:val="008D2084"/>
    <w:rsid w:val="008D218C"/>
    <w:rsid w:val="008D316F"/>
    <w:rsid w:val="008D39EA"/>
    <w:rsid w:val="008D42D4"/>
    <w:rsid w:val="008D6B66"/>
    <w:rsid w:val="008D7CA2"/>
    <w:rsid w:val="008E042F"/>
    <w:rsid w:val="008E0B62"/>
    <w:rsid w:val="008E364C"/>
    <w:rsid w:val="008E45CF"/>
    <w:rsid w:val="008E5ACF"/>
    <w:rsid w:val="008E6044"/>
    <w:rsid w:val="008E7354"/>
    <w:rsid w:val="008F0466"/>
    <w:rsid w:val="008F07B9"/>
    <w:rsid w:val="008F1F6D"/>
    <w:rsid w:val="008F3367"/>
    <w:rsid w:val="008F3A19"/>
    <w:rsid w:val="008F5D17"/>
    <w:rsid w:val="008F60B3"/>
    <w:rsid w:val="008F750B"/>
    <w:rsid w:val="009004CD"/>
    <w:rsid w:val="00900A80"/>
    <w:rsid w:val="00903B5D"/>
    <w:rsid w:val="009052A0"/>
    <w:rsid w:val="00905D7F"/>
    <w:rsid w:val="00907B3F"/>
    <w:rsid w:val="009121FC"/>
    <w:rsid w:val="00912323"/>
    <w:rsid w:val="00917DBE"/>
    <w:rsid w:val="00921686"/>
    <w:rsid w:val="00921C12"/>
    <w:rsid w:val="0092247E"/>
    <w:rsid w:val="0092272D"/>
    <w:rsid w:val="009227AD"/>
    <w:rsid w:val="00923F3E"/>
    <w:rsid w:val="009241CC"/>
    <w:rsid w:val="0092473F"/>
    <w:rsid w:val="00924BBD"/>
    <w:rsid w:val="00924E56"/>
    <w:rsid w:val="0092567A"/>
    <w:rsid w:val="00926A28"/>
    <w:rsid w:val="00930901"/>
    <w:rsid w:val="0093104C"/>
    <w:rsid w:val="00931466"/>
    <w:rsid w:val="00932F2F"/>
    <w:rsid w:val="00933CF6"/>
    <w:rsid w:val="00935264"/>
    <w:rsid w:val="00937CEC"/>
    <w:rsid w:val="009403CE"/>
    <w:rsid w:val="00940D74"/>
    <w:rsid w:val="0094188C"/>
    <w:rsid w:val="00944627"/>
    <w:rsid w:val="00945332"/>
    <w:rsid w:val="00947308"/>
    <w:rsid w:val="0094769E"/>
    <w:rsid w:val="00947A04"/>
    <w:rsid w:val="00952E21"/>
    <w:rsid w:val="00953163"/>
    <w:rsid w:val="00953440"/>
    <w:rsid w:val="009536E0"/>
    <w:rsid w:val="009549AE"/>
    <w:rsid w:val="00955AB8"/>
    <w:rsid w:val="00957204"/>
    <w:rsid w:val="009579D2"/>
    <w:rsid w:val="00960E93"/>
    <w:rsid w:val="00961965"/>
    <w:rsid w:val="0096275C"/>
    <w:rsid w:val="00963E10"/>
    <w:rsid w:val="009643A3"/>
    <w:rsid w:val="009706D9"/>
    <w:rsid w:val="00971880"/>
    <w:rsid w:val="00971AC4"/>
    <w:rsid w:val="00971F88"/>
    <w:rsid w:val="00972AC2"/>
    <w:rsid w:val="00974A10"/>
    <w:rsid w:val="009759C6"/>
    <w:rsid w:val="00976023"/>
    <w:rsid w:val="00980214"/>
    <w:rsid w:val="00986B26"/>
    <w:rsid w:val="00986D2A"/>
    <w:rsid w:val="0098720A"/>
    <w:rsid w:val="00990CA7"/>
    <w:rsid w:val="009919E8"/>
    <w:rsid w:val="00991BE9"/>
    <w:rsid w:val="009922BF"/>
    <w:rsid w:val="00993901"/>
    <w:rsid w:val="009958D7"/>
    <w:rsid w:val="00996643"/>
    <w:rsid w:val="00996FA7"/>
    <w:rsid w:val="009A0FA4"/>
    <w:rsid w:val="009A1E99"/>
    <w:rsid w:val="009A4289"/>
    <w:rsid w:val="009A54C5"/>
    <w:rsid w:val="009A606D"/>
    <w:rsid w:val="009B31B5"/>
    <w:rsid w:val="009B32F2"/>
    <w:rsid w:val="009B3E23"/>
    <w:rsid w:val="009B516B"/>
    <w:rsid w:val="009B60AD"/>
    <w:rsid w:val="009B730C"/>
    <w:rsid w:val="009C0909"/>
    <w:rsid w:val="009C1856"/>
    <w:rsid w:val="009C3A0B"/>
    <w:rsid w:val="009C3D79"/>
    <w:rsid w:val="009C464E"/>
    <w:rsid w:val="009D06AD"/>
    <w:rsid w:val="009D0C30"/>
    <w:rsid w:val="009D0CF2"/>
    <w:rsid w:val="009D2EFC"/>
    <w:rsid w:val="009D2FD9"/>
    <w:rsid w:val="009D44CC"/>
    <w:rsid w:val="009D477F"/>
    <w:rsid w:val="009D5375"/>
    <w:rsid w:val="009D6628"/>
    <w:rsid w:val="009D7882"/>
    <w:rsid w:val="009D7BC4"/>
    <w:rsid w:val="009D7D0C"/>
    <w:rsid w:val="009E0E6B"/>
    <w:rsid w:val="009E38DA"/>
    <w:rsid w:val="009E4145"/>
    <w:rsid w:val="009E633A"/>
    <w:rsid w:val="009E6A8B"/>
    <w:rsid w:val="009E7751"/>
    <w:rsid w:val="009F16FF"/>
    <w:rsid w:val="009F188E"/>
    <w:rsid w:val="009F1EBF"/>
    <w:rsid w:val="009F2EEB"/>
    <w:rsid w:val="009F3A6D"/>
    <w:rsid w:val="009F42AB"/>
    <w:rsid w:val="009F5055"/>
    <w:rsid w:val="00A01104"/>
    <w:rsid w:val="00A01BEA"/>
    <w:rsid w:val="00A01CB4"/>
    <w:rsid w:val="00A05163"/>
    <w:rsid w:val="00A06378"/>
    <w:rsid w:val="00A06F23"/>
    <w:rsid w:val="00A152C6"/>
    <w:rsid w:val="00A15817"/>
    <w:rsid w:val="00A16A24"/>
    <w:rsid w:val="00A202FB"/>
    <w:rsid w:val="00A20B81"/>
    <w:rsid w:val="00A22024"/>
    <w:rsid w:val="00A22616"/>
    <w:rsid w:val="00A23C51"/>
    <w:rsid w:val="00A24329"/>
    <w:rsid w:val="00A254F6"/>
    <w:rsid w:val="00A31371"/>
    <w:rsid w:val="00A317A5"/>
    <w:rsid w:val="00A31AD0"/>
    <w:rsid w:val="00A344BD"/>
    <w:rsid w:val="00A34665"/>
    <w:rsid w:val="00A36D94"/>
    <w:rsid w:val="00A3726B"/>
    <w:rsid w:val="00A37284"/>
    <w:rsid w:val="00A37CD4"/>
    <w:rsid w:val="00A40412"/>
    <w:rsid w:val="00A40AE5"/>
    <w:rsid w:val="00A42AE1"/>
    <w:rsid w:val="00A44447"/>
    <w:rsid w:val="00A46DCA"/>
    <w:rsid w:val="00A51038"/>
    <w:rsid w:val="00A51F36"/>
    <w:rsid w:val="00A5238B"/>
    <w:rsid w:val="00A52D42"/>
    <w:rsid w:val="00A5380B"/>
    <w:rsid w:val="00A54396"/>
    <w:rsid w:val="00A55DA5"/>
    <w:rsid w:val="00A560D3"/>
    <w:rsid w:val="00A56562"/>
    <w:rsid w:val="00A57069"/>
    <w:rsid w:val="00A579A5"/>
    <w:rsid w:val="00A61071"/>
    <w:rsid w:val="00A61100"/>
    <w:rsid w:val="00A61BC5"/>
    <w:rsid w:val="00A62AC0"/>
    <w:rsid w:val="00A62DB8"/>
    <w:rsid w:val="00A631F8"/>
    <w:rsid w:val="00A63603"/>
    <w:rsid w:val="00A64403"/>
    <w:rsid w:val="00A64F99"/>
    <w:rsid w:val="00A65C71"/>
    <w:rsid w:val="00A67AFC"/>
    <w:rsid w:val="00A75097"/>
    <w:rsid w:val="00A750B6"/>
    <w:rsid w:val="00A76822"/>
    <w:rsid w:val="00A77B1F"/>
    <w:rsid w:val="00A81413"/>
    <w:rsid w:val="00A823C8"/>
    <w:rsid w:val="00A826FA"/>
    <w:rsid w:val="00A85424"/>
    <w:rsid w:val="00A854E3"/>
    <w:rsid w:val="00A86B6F"/>
    <w:rsid w:val="00A87399"/>
    <w:rsid w:val="00A87F49"/>
    <w:rsid w:val="00A91549"/>
    <w:rsid w:val="00A9296A"/>
    <w:rsid w:val="00A92EE3"/>
    <w:rsid w:val="00A93BA0"/>
    <w:rsid w:val="00A93C48"/>
    <w:rsid w:val="00A942A8"/>
    <w:rsid w:val="00A96308"/>
    <w:rsid w:val="00AA0E22"/>
    <w:rsid w:val="00AA1228"/>
    <w:rsid w:val="00AA3DE4"/>
    <w:rsid w:val="00AA473E"/>
    <w:rsid w:val="00AA492E"/>
    <w:rsid w:val="00AA6E77"/>
    <w:rsid w:val="00AB0281"/>
    <w:rsid w:val="00AB1CFA"/>
    <w:rsid w:val="00AB2D7C"/>
    <w:rsid w:val="00AB30BF"/>
    <w:rsid w:val="00AB6C7F"/>
    <w:rsid w:val="00AB6CCD"/>
    <w:rsid w:val="00AB7FF8"/>
    <w:rsid w:val="00AC579F"/>
    <w:rsid w:val="00AC6510"/>
    <w:rsid w:val="00AC6FD1"/>
    <w:rsid w:val="00AC785F"/>
    <w:rsid w:val="00AD032B"/>
    <w:rsid w:val="00AD1562"/>
    <w:rsid w:val="00AD1DDC"/>
    <w:rsid w:val="00AD1DDE"/>
    <w:rsid w:val="00AD2601"/>
    <w:rsid w:val="00AD4ACD"/>
    <w:rsid w:val="00AD60CF"/>
    <w:rsid w:val="00AD6C93"/>
    <w:rsid w:val="00AE061E"/>
    <w:rsid w:val="00AE08DE"/>
    <w:rsid w:val="00AE0D54"/>
    <w:rsid w:val="00AE0D8B"/>
    <w:rsid w:val="00AE1A69"/>
    <w:rsid w:val="00AE3E5B"/>
    <w:rsid w:val="00AE542A"/>
    <w:rsid w:val="00AE6DC3"/>
    <w:rsid w:val="00AF00D6"/>
    <w:rsid w:val="00AF1E47"/>
    <w:rsid w:val="00AF3080"/>
    <w:rsid w:val="00AF39CC"/>
    <w:rsid w:val="00AF5242"/>
    <w:rsid w:val="00AF6558"/>
    <w:rsid w:val="00AF69B5"/>
    <w:rsid w:val="00B000FF"/>
    <w:rsid w:val="00B00D7F"/>
    <w:rsid w:val="00B0198F"/>
    <w:rsid w:val="00B01D67"/>
    <w:rsid w:val="00B106D2"/>
    <w:rsid w:val="00B11BA8"/>
    <w:rsid w:val="00B13068"/>
    <w:rsid w:val="00B1396B"/>
    <w:rsid w:val="00B14372"/>
    <w:rsid w:val="00B1643F"/>
    <w:rsid w:val="00B17508"/>
    <w:rsid w:val="00B21204"/>
    <w:rsid w:val="00B22CF0"/>
    <w:rsid w:val="00B23E14"/>
    <w:rsid w:val="00B246D4"/>
    <w:rsid w:val="00B24790"/>
    <w:rsid w:val="00B25D55"/>
    <w:rsid w:val="00B265E6"/>
    <w:rsid w:val="00B277ED"/>
    <w:rsid w:val="00B304C3"/>
    <w:rsid w:val="00B30E19"/>
    <w:rsid w:val="00B3389D"/>
    <w:rsid w:val="00B33D5D"/>
    <w:rsid w:val="00B34EDA"/>
    <w:rsid w:val="00B3705B"/>
    <w:rsid w:val="00B372E4"/>
    <w:rsid w:val="00B3759C"/>
    <w:rsid w:val="00B377DA"/>
    <w:rsid w:val="00B404C0"/>
    <w:rsid w:val="00B43731"/>
    <w:rsid w:val="00B44EC2"/>
    <w:rsid w:val="00B4573F"/>
    <w:rsid w:val="00B4581A"/>
    <w:rsid w:val="00B458F8"/>
    <w:rsid w:val="00B45E3F"/>
    <w:rsid w:val="00B47845"/>
    <w:rsid w:val="00B500F2"/>
    <w:rsid w:val="00B51450"/>
    <w:rsid w:val="00B5213F"/>
    <w:rsid w:val="00B5294B"/>
    <w:rsid w:val="00B52E78"/>
    <w:rsid w:val="00B55A2E"/>
    <w:rsid w:val="00B55F1E"/>
    <w:rsid w:val="00B56FF2"/>
    <w:rsid w:val="00B57EED"/>
    <w:rsid w:val="00B60E67"/>
    <w:rsid w:val="00B6126C"/>
    <w:rsid w:val="00B639A7"/>
    <w:rsid w:val="00B6554F"/>
    <w:rsid w:val="00B65D56"/>
    <w:rsid w:val="00B667FD"/>
    <w:rsid w:val="00B668D8"/>
    <w:rsid w:val="00B70B58"/>
    <w:rsid w:val="00B71B8D"/>
    <w:rsid w:val="00B71D7E"/>
    <w:rsid w:val="00B736BC"/>
    <w:rsid w:val="00B74D79"/>
    <w:rsid w:val="00B75180"/>
    <w:rsid w:val="00B75FC9"/>
    <w:rsid w:val="00B7676D"/>
    <w:rsid w:val="00B77067"/>
    <w:rsid w:val="00B80E2B"/>
    <w:rsid w:val="00B81991"/>
    <w:rsid w:val="00B827F6"/>
    <w:rsid w:val="00B82F15"/>
    <w:rsid w:val="00B837C7"/>
    <w:rsid w:val="00B84DC4"/>
    <w:rsid w:val="00B8629F"/>
    <w:rsid w:val="00B864F0"/>
    <w:rsid w:val="00B869A2"/>
    <w:rsid w:val="00B906C0"/>
    <w:rsid w:val="00B920F1"/>
    <w:rsid w:val="00B922B5"/>
    <w:rsid w:val="00B93E6C"/>
    <w:rsid w:val="00B95006"/>
    <w:rsid w:val="00B955BB"/>
    <w:rsid w:val="00B96715"/>
    <w:rsid w:val="00B96DD6"/>
    <w:rsid w:val="00BA12F2"/>
    <w:rsid w:val="00BA1DCA"/>
    <w:rsid w:val="00BA34F5"/>
    <w:rsid w:val="00BA3781"/>
    <w:rsid w:val="00BA3798"/>
    <w:rsid w:val="00BA3E0F"/>
    <w:rsid w:val="00BA7732"/>
    <w:rsid w:val="00BB0582"/>
    <w:rsid w:val="00BB1311"/>
    <w:rsid w:val="00BB2D0D"/>
    <w:rsid w:val="00BB314A"/>
    <w:rsid w:val="00BB44D3"/>
    <w:rsid w:val="00BB639B"/>
    <w:rsid w:val="00BB7D00"/>
    <w:rsid w:val="00BC011D"/>
    <w:rsid w:val="00BC34D3"/>
    <w:rsid w:val="00BC3DF8"/>
    <w:rsid w:val="00BC4389"/>
    <w:rsid w:val="00BC4B6D"/>
    <w:rsid w:val="00BC658F"/>
    <w:rsid w:val="00BC7201"/>
    <w:rsid w:val="00BD06DC"/>
    <w:rsid w:val="00BD08B1"/>
    <w:rsid w:val="00BD2720"/>
    <w:rsid w:val="00BD2855"/>
    <w:rsid w:val="00BD4494"/>
    <w:rsid w:val="00BD4A01"/>
    <w:rsid w:val="00BD5CB4"/>
    <w:rsid w:val="00BD6B33"/>
    <w:rsid w:val="00BD76DE"/>
    <w:rsid w:val="00BE11EB"/>
    <w:rsid w:val="00BE15BE"/>
    <w:rsid w:val="00BE1DD1"/>
    <w:rsid w:val="00BE52E8"/>
    <w:rsid w:val="00BE7BFE"/>
    <w:rsid w:val="00BF0318"/>
    <w:rsid w:val="00BF12BB"/>
    <w:rsid w:val="00BF1E21"/>
    <w:rsid w:val="00BF3ED6"/>
    <w:rsid w:val="00BF524A"/>
    <w:rsid w:val="00BF526B"/>
    <w:rsid w:val="00BF5837"/>
    <w:rsid w:val="00C00C2C"/>
    <w:rsid w:val="00C00D9A"/>
    <w:rsid w:val="00C02B93"/>
    <w:rsid w:val="00C03139"/>
    <w:rsid w:val="00C03419"/>
    <w:rsid w:val="00C03482"/>
    <w:rsid w:val="00C03882"/>
    <w:rsid w:val="00C04842"/>
    <w:rsid w:val="00C05722"/>
    <w:rsid w:val="00C06131"/>
    <w:rsid w:val="00C0789D"/>
    <w:rsid w:val="00C10391"/>
    <w:rsid w:val="00C1091F"/>
    <w:rsid w:val="00C11CF3"/>
    <w:rsid w:val="00C13157"/>
    <w:rsid w:val="00C13352"/>
    <w:rsid w:val="00C13928"/>
    <w:rsid w:val="00C2106C"/>
    <w:rsid w:val="00C225D9"/>
    <w:rsid w:val="00C22E0C"/>
    <w:rsid w:val="00C23041"/>
    <w:rsid w:val="00C23AB9"/>
    <w:rsid w:val="00C23DEC"/>
    <w:rsid w:val="00C24848"/>
    <w:rsid w:val="00C26F5A"/>
    <w:rsid w:val="00C2711A"/>
    <w:rsid w:val="00C30D13"/>
    <w:rsid w:val="00C314BD"/>
    <w:rsid w:val="00C338C0"/>
    <w:rsid w:val="00C33CD8"/>
    <w:rsid w:val="00C347BA"/>
    <w:rsid w:val="00C34866"/>
    <w:rsid w:val="00C35585"/>
    <w:rsid w:val="00C36297"/>
    <w:rsid w:val="00C367F0"/>
    <w:rsid w:val="00C369E9"/>
    <w:rsid w:val="00C3789D"/>
    <w:rsid w:val="00C40379"/>
    <w:rsid w:val="00C4196D"/>
    <w:rsid w:val="00C41DD1"/>
    <w:rsid w:val="00C41DDA"/>
    <w:rsid w:val="00C434AF"/>
    <w:rsid w:val="00C436BC"/>
    <w:rsid w:val="00C43890"/>
    <w:rsid w:val="00C441EB"/>
    <w:rsid w:val="00C450F9"/>
    <w:rsid w:val="00C4733C"/>
    <w:rsid w:val="00C51325"/>
    <w:rsid w:val="00C52589"/>
    <w:rsid w:val="00C55219"/>
    <w:rsid w:val="00C5549A"/>
    <w:rsid w:val="00C55BD2"/>
    <w:rsid w:val="00C574F5"/>
    <w:rsid w:val="00C609FF"/>
    <w:rsid w:val="00C61357"/>
    <w:rsid w:val="00C64139"/>
    <w:rsid w:val="00C66446"/>
    <w:rsid w:val="00C70D3C"/>
    <w:rsid w:val="00C7150D"/>
    <w:rsid w:val="00C72245"/>
    <w:rsid w:val="00C72808"/>
    <w:rsid w:val="00C72899"/>
    <w:rsid w:val="00C7343F"/>
    <w:rsid w:val="00C7502A"/>
    <w:rsid w:val="00C75F93"/>
    <w:rsid w:val="00C762DA"/>
    <w:rsid w:val="00C7724D"/>
    <w:rsid w:val="00C80446"/>
    <w:rsid w:val="00C806B3"/>
    <w:rsid w:val="00C80BC5"/>
    <w:rsid w:val="00C822D7"/>
    <w:rsid w:val="00C82882"/>
    <w:rsid w:val="00C85166"/>
    <w:rsid w:val="00C851D0"/>
    <w:rsid w:val="00C86898"/>
    <w:rsid w:val="00C87793"/>
    <w:rsid w:val="00C90922"/>
    <w:rsid w:val="00C90C43"/>
    <w:rsid w:val="00C92439"/>
    <w:rsid w:val="00C92715"/>
    <w:rsid w:val="00C93BA8"/>
    <w:rsid w:val="00C955EF"/>
    <w:rsid w:val="00C966AA"/>
    <w:rsid w:val="00C97007"/>
    <w:rsid w:val="00C9793A"/>
    <w:rsid w:val="00C97CEC"/>
    <w:rsid w:val="00CA09C1"/>
    <w:rsid w:val="00CA0D83"/>
    <w:rsid w:val="00CA0DC7"/>
    <w:rsid w:val="00CA44F1"/>
    <w:rsid w:val="00CA4CAD"/>
    <w:rsid w:val="00CA640A"/>
    <w:rsid w:val="00CA784C"/>
    <w:rsid w:val="00CA7AB4"/>
    <w:rsid w:val="00CB0020"/>
    <w:rsid w:val="00CB1FC0"/>
    <w:rsid w:val="00CB3431"/>
    <w:rsid w:val="00CB34F4"/>
    <w:rsid w:val="00CB4E35"/>
    <w:rsid w:val="00CB779D"/>
    <w:rsid w:val="00CB7927"/>
    <w:rsid w:val="00CC4A05"/>
    <w:rsid w:val="00CC5117"/>
    <w:rsid w:val="00CC5EAC"/>
    <w:rsid w:val="00CC7A77"/>
    <w:rsid w:val="00CD0365"/>
    <w:rsid w:val="00CD04FA"/>
    <w:rsid w:val="00CD0D9C"/>
    <w:rsid w:val="00CD5752"/>
    <w:rsid w:val="00CD656F"/>
    <w:rsid w:val="00CD6CDF"/>
    <w:rsid w:val="00CD7E5F"/>
    <w:rsid w:val="00CD7E83"/>
    <w:rsid w:val="00CE03B6"/>
    <w:rsid w:val="00CE045F"/>
    <w:rsid w:val="00CE491F"/>
    <w:rsid w:val="00CE50A7"/>
    <w:rsid w:val="00CE518A"/>
    <w:rsid w:val="00CF237D"/>
    <w:rsid w:val="00CF2A32"/>
    <w:rsid w:val="00CF4074"/>
    <w:rsid w:val="00CF4CD7"/>
    <w:rsid w:val="00CF5795"/>
    <w:rsid w:val="00CF6904"/>
    <w:rsid w:val="00CF6A0C"/>
    <w:rsid w:val="00CF7BF8"/>
    <w:rsid w:val="00D00DA1"/>
    <w:rsid w:val="00D028F1"/>
    <w:rsid w:val="00D035EC"/>
    <w:rsid w:val="00D03CC9"/>
    <w:rsid w:val="00D05F5A"/>
    <w:rsid w:val="00D06E80"/>
    <w:rsid w:val="00D11306"/>
    <w:rsid w:val="00D1165B"/>
    <w:rsid w:val="00D12C3B"/>
    <w:rsid w:val="00D1300B"/>
    <w:rsid w:val="00D13D97"/>
    <w:rsid w:val="00D17832"/>
    <w:rsid w:val="00D20399"/>
    <w:rsid w:val="00D225CD"/>
    <w:rsid w:val="00D22A60"/>
    <w:rsid w:val="00D22F14"/>
    <w:rsid w:val="00D23B4A"/>
    <w:rsid w:val="00D23F6A"/>
    <w:rsid w:val="00D27700"/>
    <w:rsid w:val="00D27FA2"/>
    <w:rsid w:val="00D306D2"/>
    <w:rsid w:val="00D3105A"/>
    <w:rsid w:val="00D318FB"/>
    <w:rsid w:val="00D31A24"/>
    <w:rsid w:val="00D334FC"/>
    <w:rsid w:val="00D34835"/>
    <w:rsid w:val="00D35641"/>
    <w:rsid w:val="00D36C14"/>
    <w:rsid w:val="00D3732A"/>
    <w:rsid w:val="00D37710"/>
    <w:rsid w:val="00D37713"/>
    <w:rsid w:val="00D43D34"/>
    <w:rsid w:val="00D44B3D"/>
    <w:rsid w:val="00D44D93"/>
    <w:rsid w:val="00D45DFA"/>
    <w:rsid w:val="00D536C7"/>
    <w:rsid w:val="00D549F7"/>
    <w:rsid w:val="00D551FE"/>
    <w:rsid w:val="00D56334"/>
    <w:rsid w:val="00D56FEB"/>
    <w:rsid w:val="00D60E65"/>
    <w:rsid w:val="00D60F10"/>
    <w:rsid w:val="00D60F5A"/>
    <w:rsid w:val="00D61C11"/>
    <w:rsid w:val="00D63AED"/>
    <w:rsid w:val="00D646BD"/>
    <w:rsid w:val="00D65EE2"/>
    <w:rsid w:val="00D66115"/>
    <w:rsid w:val="00D704CE"/>
    <w:rsid w:val="00D737EE"/>
    <w:rsid w:val="00D745AF"/>
    <w:rsid w:val="00D7723E"/>
    <w:rsid w:val="00D80819"/>
    <w:rsid w:val="00D80F0C"/>
    <w:rsid w:val="00D8229A"/>
    <w:rsid w:val="00D83DFD"/>
    <w:rsid w:val="00D85926"/>
    <w:rsid w:val="00D8735D"/>
    <w:rsid w:val="00D906D2"/>
    <w:rsid w:val="00D9272E"/>
    <w:rsid w:val="00DA216E"/>
    <w:rsid w:val="00DA2326"/>
    <w:rsid w:val="00DA272D"/>
    <w:rsid w:val="00DA359A"/>
    <w:rsid w:val="00DA58B7"/>
    <w:rsid w:val="00DA6266"/>
    <w:rsid w:val="00DA70B7"/>
    <w:rsid w:val="00DA7479"/>
    <w:rsid w:val="00DB1833"/>
    <w:rsid w:val="00DB3180"/>
    <w:rsid w:val="00DB3F01"/>
    <w:rsid w:val="00DB5E0A"/>
    <w:rsid w:val="00DB751D"/>
    <w:rsid w:val="00DC16A7"/>
    <w:rsid w:val="00DC1F00"/>
    <w:rsid w:val="00DC2AD8"/>
    <w:rsid w:val="00DC3AD8"/>
    <w:rsid w:val="00DC54E5"/>
    <w:rsid w:val="00DC69AA"/>
    <w:rsid w:val="00DD2C5E"/>
    <w:rsid w:val="00DD3873"/>
    <w:rsid w:val="00DD4115"/>
    <w:rsid w:val="00DE08CC"/>
    <w:rsid w:val="00DE27CE"/>
    <w:rsid w:val="00DE3491"/>
    <w:rsid w:val="00DE408E"/>
    <w:rsid w:val="00DE48BB"/>
    <w:rsid w:val="00DE4E46"/>
    <w:rsid w:val="00DE5F62"/>
    <w:rsid w:val="00DE7C5B"/>
    <w:rsid w:val="00DF07FA"/>
    <w:rsid w:val="00DF1BB0"/>
    <w:rsid w:val="00DF240D"/>
    <w:rsid w:val="00DF333F"/>
    <w:rsid w:val="00DF7644"/>
    <w:rsid w:val="00E00094"/>
    <w:rsid w:val="00E00610"/>
    <w:rsid w:val="00E00B75"/>
    <w:rsid w:val="00E03798"/>
    <w:rsid w:val="00E0397E"/>
    <w:rsid w:val="00E05B95"/>
    <w:rsid w:val="00E10244"/>
    <w:rsid w:val="00E12573"/>
    <w:rsid w:val="00E147DA"/>
    <w:rsid w:val="00E150C5"/>
    <w:rsid w:val="00E1665E"/>
    <w:rsid w:val="00E20DC6"/>
    <w:rsid w:val="00E21F4F"/>
    <w:rsid w:val="00E2313C"/>
    <w:rsid w:val="00E2372C"/>
    <w:rsid w:val="00E242F2"/>
    <w:rsid w:val="00E24A97"/>
    <w:rsid w:val="00E258F3"/>
    <w:rsid w:val="00E26D31"/>
    <w:rsid w:val="00E27815"/>
    <w:rsid w:val="00E27AF7"/>
    <w:rsid w:val="00E27C9D"/>
    <w:rsid w:val="00E304E5"/>
    <w:rsid w:val="00E30AAC"/>
    <w:rsid w:val="00E30AD3"/>
    <w:rsid w:val="00E311D8"/>
    <w:rsid w:val="00E31FA8"/>
    <w:rsid w:val="00E33579"/>
    <w:rsid w:val="00E344B0"/>
    <w:rsid w:val="00E3465B"/>
    <w:rsid w:val="00E35ACC"/>
    <w:rsid w:val="00E36697"/>
    <w:rsid w:val="00E41CB5"/>
    <w:rsid w:val="00E4653D"/>
    <w:rsid w:val="00E47FE3"/>
    <w:rsid w:val="00E51C05"/>
    <w:rsid w:val="00E52792"/>
    <w:rsid w:val="00E52AE6"/>
    <w:rsid w:val="00E532D7"/>
    <w:rsid w:val="00E54350"/>
    <w:rsid w:val="00E60074"/>
    <w:rsid w:val="00E62CAA"/>
    <w:rsid w:val="00E648A6"/>
    <w:rsid w:val="00E672BF"/>
    <w:rsid w:val="00E6763F"/>
    <w:rsid w:val="00E70CD6"/>
    <w:rsid w:val="00E7113F"/>
    <w:rsid w:val="00E72176"/>
    <w:rsid w:val="00E75815"/>
    <w:rsid w:val="00E75C6E"/>
    <w:rsid w:val="00E80FA3"/>
    <w:rsid w:val="00E81A1C"/>
    <w:rsid w:val="00E82A84"/>
    <w:rsid w:val="00E830D2"/>
    <w:rsid w:val="00E83AEF"/>
    <w:rsid w:val="00E84053"/>
    <w:rsid w:val="00E84937"/>
    <w:rsid w:val="00E849E4"/>
    <w:rsid w:val="00E92B8B"/>
    <w:rsid w:val="00E941B6"/>
    <w:rsid w:val="00E979D3"/>
    <w:rsid w:val="00E97BBB"/>
    <w:rsid w:val="00EA02D2"/>
    <w:rsid w:val="00EA09D3"/>
    <w:rsid w:val="00EA38EA"/>
    <w:rsid w:val="00EA3A7D"/>
    <w:rsid w:val="00EA3C69"/>
    <w:rsid w:val="00EA40DB"/>
    <w:rsid w:val="00EA4A84"/>
    <w:rsid w:val="00EA773B"/>
    <w:rsid w:val="00EA780D"/>
    <w:rsid w:val="00EB02DA"/>
    <w:rsid w:val="00EB038A"/>
    <w:rsid w:val="00EB0393"/>
    <w:rsid w:val="00EB23C2"/>
    <w:rsid w:val="00EB347F"/>
    <w:rsid w:val="00EB5DB5"/>
    <w:rsid w:val="00EB724B"/>
    <w:rsid w:val="00EB7CDC"/>
    <w:rsid w:val="00EC0C6C"/>
    <w:rsid w:val="00EC1ABB"/>
    <w:rsid w:val="00EC25DC"/>
    <w:rsid w:val="00EC3329"/>
    <w:rsid w:val="00EC44A9"/>
    <w:rsid w:val="00EC66E1"/>
    <w:rsid w:val="00EC73F2"/>
    <w:rsid w:val="00EC7403"/>
    <w:rsid w:val="00ED0185"/>
    <w:rsid w:val="00ED01B3"/>
    <w:rsid w:val="00ED0F9C"/>
    <w:rsid w:val="00ED306E"/>
    <w:rsid w:val="00ED51FF"/>
    <w:rsid w:val="00ED62D0"/>
    <w:rsid w:val="00ED633E"/>
    <w:rsid w:val="00EE56B5"/>
    <w:rsid w:val="00EE67C1"/>
    <w:rsid w:val="00EE7DBC"/>
    <w:rsid w:val="00EF0FF4"/>
    <w:rsid w:val="00EF1F16"/>
    <w:rsid w:val="00EF27F9"/>
    <w:rsid w:val="00EF2A59"/>
    <w:rsid w:val="00EF4FB1"/>
    <w:rsid w:val="00EF590D"/>
    <w:rsid w:val="00EF61D3"/>
    <w:rsid w:val="00EF6C8F"/>
    <w:rsid w:val="00EF714F"/>
    <w:rsid w:val="00EF748C"/>
    <w:rsid w:val="00EF7EB0"/>
    <w:rsid w:val="00F02F52"/>
    <w:rsid w:val="00F11D87"/>
    <w:rsid w:val="00F1762A"/>
    <w:rsid w:val="00F21AE5"/>
    <w:rsid w:val="00F21D65"/>
    <w:rsid w:val="00F24704"/>
    <w:rsid w:val="00F24BB2"/>
    <w:rsid w:val="00F25E2B"/>
    <w:rsid w:val="00F26663"/>
    <w:rsid w:val="00F30251"/>
    <w:rsid w:val="00F30880"/>
    <w:rsid w:val="00F324B4"/>
    <w:rsid w:val="00F3470C"/>
    <w:rsid w:val="00F36A2D"/>
    <w:rsid w:val="00F37E24"/>
    <w:rsid w:val="00F40B65"/>
    <w:rsid w:val="00F40C07"/>
    <w:rsid w:val="00F41F8D"/>
    <w:rsid w:val="00F449DE"/>
    <w:rsid w:val="00F44DA9"/>
    <w:rsid w:val="00F455DE"/>
    <w:rsid w:val="00F4595B"/>
    <w:rsid w:val="00F470F2"/>
    <w:rsid w:val="00F479FB"/>
    <w:rsid w:val="00F50361"/>
    <w:rsid w:val="00F50BCA"/>
    <w:rsid w:val="00F50DAC"/>
    <w:rsid w:val="00F51A62"/>
    <w:rsid w:val="00F51AD8"/>
    <w:rsid w:val="00F51EAF"/>
    <w:rsid w:val="00F523DC"/>
    <w:rsid w:val="00F52975"/>
    <w:rsid w:val="00F537AB"/>
    <w:rsid w:val="00F55977"/>
    <w:rsid w:val="00F5658D"/>
    <w:rsid w:val="00F57367"/>
    <w:rsid w:val="00F603DC"/>
    <w:rsid w:val="00F6167A"/>
    <w:rsid w:val="00F6464F"/>
    <w:rsid w:val="00F6536B"/>
    <w:rsid w:val="00F65A07"/>
    <w:rsid w:val="00F66065"/>
    <w:rsid w:val="00F674B7"/>
    <w:rsid w:val="00F80ADA"/>
    <w:rsid w:val="00F831E8"/>
    <w:rsid w:val="00F90805"/>
    <w:rsid w:val="00F9204A"/>
    <w:rsid w:val="00F921F5"/>
    <w:rsid w:val="00F93128"/>
    <w:rsid w:val="00F935A7"/>
    <w:rsid w:val="00F9409C"/>
    <w:rsid w:val="00F9479A"/>
    <w:rsid w:val="00F97054"/>
    <w:rsid w:val="00F975A8"/>
    <w:rsid w:val="00FA1F2A"/>
    <w:rsid w:val="00FA4712"/>
    <w:rsid w:val="00FA6305"/>
    <w:rsid w:val="00FA6397"/>
    <w:rsid w:val="00FA7D72"/>
    <w:rsid w:val="00FA7F35"/>
    <w:rsid w:val="00FB0B12"/>
    <w:rsid w:val="00FB13BD"/>
    <w:rsid w:val="00FB2576"/>
    <w:rsid w:val="00FB34D2"/>
    <w:rsid w:val="00FB3F3B"/>
    <w:rsid w:val="00FB46BB"/>
    <w:rsid w:val="00FB4F02"/>
    <w:rsid w:val="00FB7B2E"/>
    <w:rsid w:val="00FC1FA4"/>
    <w:rsid w:val="00FC4476"/>
    <w:rsid w:val="00FC6BBC"/>
    <w:rsid w:val="00FD0AD6"/>
    <w:rsid w:val="00FD121E"/>
    <w:rsid w:val="00FD1AC3"/>
    <w:rsid w:val="00FD25DB"/>
    <w:rsid w:val="00FD2F5E"/>
    <w:rsid w:val="00FD517F"/>
    <w:rsid w:val="00FD5C54"/>
    <w:rsid w:val="00FD5EB9"/>
    <w:rsid w:val="00FD6162"/>
    <w:rsid w:val="00FD62E6"/>
    <w:rsid w:val="00FE1DAD"/>
    <w:rsid w:val="00FE31EC"/>
    <w:rsid w:val="00FE47B5"/>
    <w:rsid w:val="00FE50DD"/>
    <w:rsid w:val="00FE6161"/>
    <w:rsid w:val="00FE701B"/>
    <w:rsid w:val="00FF0620"/>
    <w:rsid w:val="00FF0C32"/>
    <w:rsid w:val="00FF2CBC"/>
    <w:rsid w:val="00FF6BFD"/>
    <w:rsid w:val="010321AC"/>
    <w:rsid w:val="013B09B2"/>
    <w:rsid w:val="018D1D97"/>
    <w:rsid w:val="0192621F"/>
    <w:rsid w:val="01D83C64"/>
    <w:rsid w:val="01FC19D7"/>
    <w:rsid w:val="02277D98"/>
    <w:rsid w:val="026F4D46"/>
    <w:rsid w:val="03101F14"/>
    <w:rsid w:val="032E6740"/>
    <w:rsid w:val="033A79B0"/>
    <w:rsid w:val="0388056A"/>
    <w:rsid w:val="03B94DAE"/>
    <w:rsid w:val="03FD60C2"/>
    <w:rsid w:val="043964FE"/>
    <w:rsid w:val="044048F3"/>
    <w:rsid w:val="045F6684"/>
    <w:rsid w:val="046F0426"/>
    <w:rsid w:val="04843CF7"/>
    <w:rsid w:val="049A6A89"/>
    <w:rsid w:val="0500640C"/>
    <w:rsid w:val="05DD726E"/>
    <w:rsid w:val="05F77758"/>
    <w:rsid w:val="060A33BE"/>
    <w:rsid w:val="06483C08"/>
    <w:rsid w:val="068927C3"/>
    <w:rsid w:val="06B144A0"/>
    <w:rsid w:val="07017515"/>
    <w:rsid w:val="07700078"/>
    <w:rsid w:val="07774EF7"/>
    <w:rsid w:val="07C40FCD"/>
    <w:rsid w:val="07C74156"/>
    <w:rsid w:val="07E1778C"/>
    <w:rsid w:val="080B61C9"/>
    <w:rsid w:val="081D70A5"/>
    <w:rsid w:val="08217D48"/>
    <w:rsid w:val="082A4DC6"/>
    <w:rsid w:val="08352586"/>
    <w:rsid w:val="0886108C"/>
    <w:rsid w:val="08CE136B"/>
    <w:rsid w:val="091057D0"/>
    <w:rsid w:val="09210314"/>
    <w:rsid w:val="092239E0"/>
    <w:rsid w:val="09A2275D"/>
    <w:rsid w:val="0A025B9A"/>
    <w:rsid w:val="0A3C1656"/>
    <w:rsid w:val="0A3C70D8"/>
    <w:rsid w:val="0A567C82"/>
    <w:rsid w:val="0A631516"/>
    <w:rsid w:val="0AA62F9B"/>
    <w:rsid w:val="0B2C758B"/>
    <w:rsid w:val="0B3C1E9D"/>
    <w:rsid w:val="0B79587C"/>
    <w:rsid w:val="0B80116D"/>
    <w:rsid w:val="0BA31784"/>
    <w:rsid w:val="0BB25B0E"/>
    <w:rsid w:val="0BE61692"/>
    <w:rsid w:val="0BF80FAF"/>
    <w:rsid w:val="0C0B3E50"/>
    <w:rsid w:val="0C176FC1"/>
    <w:rsid w:val="0C1B1EEC"/>
    <w:rsid w:val="0C3669CA"/>
    <w:rsid w:val="0C6312CE"/>
    <w:rsid w:val="0C9308B1"/>
    <w:rsid w:val="0CD22346"/>
    <w:rsid w:val="0CE31C7E"/>
    <w:rsid w:val="0CE97FBB"/>
    <w:rsid w:val="0D0424D7"/>
    <w:rsid w:val="0D3B6681"/>
    <w:rsid w:val="0D542EEE"/>
    <w:rsid w:val="0D903C4C"/>
    <w:rsid w:val="0DB67BCD"/>
    <w:rsid w:val="0DD90D94"/>
    <w:rsid w:val="0DE66BD9"/>
    <w:rsid w:val="0E021734"/>
    <w:rsid w:val="0E1F4EDB"/>
    <w:rsid w:val="0E3B1786"/>
    <w:rsid w:val="0E516288"/>
    <w:rsid w:val="0E575CBC"/>
    <w:rsid w:val="0E7215DA"/>
    <w:rsid w:val="0EAC73C7"/>
    <w:rsid w:val="0EC10C24"/>
    <w:rsid w:val="0EEE2122"/>
    <w:rsid w:val="0EF209AD"/>
    <w:rsid w:val="0F1A3753"/>
    <w:rsid w:val="0F3C5217"/>
    <w:rsid w:val="0F452E2E"/>
    <w:rsid w:val="0F665DD1"/>
    <w:rsid w:val="0F8659F3"/>
    <w:rsid w:val="0FA53767"/>
    <w:rsid w:val="0FA93030"/>
    <w:rsid w:val="0FE626AC"/>
    <w:rsid w:val="0FF32A24"/>
    <w:rsid w:val="10191B47"/>
    <w:rsid w:val="1077454E"/>
    <w:rsid w:val="109B3089"/>
    <w:rsid w:val="10C43BA5"/>
    <w:rsid w:val="11424E9A"/>
    <w:rsid w:val="11953E67"/>
    <w:rsid w:val="11B12800"/>
    <w:rsid w:val="11B4471C"/>
    <w:rsid w:val="11C86649"/>
    <w:rsid w:val="120963A4"/>
    <w:rsid w:val="12805BA4"/>
    <w:rsid w:val="12887171"/>
    <w:rsid w:val="12A50396"/>
    <w:rsid w:val="12C15B53"/>
    <w:rsid w:val="12EB648C"/>
    <w:rsid w:val="132801F8"/>
    <w:rsid w:val="135A075E"/>
    <w:rsid w:val="1378197A"/>
    <w:rsid w:val="138A3DC6"/>
    <w:rsid w:val="13C04130"/>
    <w:rsid w:val="13FA6606"/>
    <w:rsid w:val="14304A6B"/>
    <w:rsid w:val="14386639"/>
    <w:rsid w:val="14BD11A5"/>
    <w:rsid w:val="14DB4B78"/>
    <w:rsid w:val="14F30C06"/>
    <w:rsid w:val="152C7D1A"/>
    <w:rsid w:val="15353059"/>
    <w:rsid w:val="1556100F"/>
    <w:rsid w:val="15B65BEE"/>
    <w:rsid w:val="15D766E2"/>
    <w:rsid w:val="160E07BD"/>
    <w:rsid w:val="16375BE2"/>
    <w:rsid w:val="16414873"/>
    <w:rsid w:val="16414FFB"/>
    <w:rsid w:val="164C60A4"/>
    <w:rsid w:val="16741F63"/>
    <w:rsid w:val="16BF1997"/>
    <w:rsid w:val="16F64D55"/>
    <w:rsid w:val="1727417C"/>
    <w:rsid w:val="17440125"/>
    <w:rsid w:val="175A50C0"/>
    <w:rsid w:val="17D95953"/>
    <w:rsid w:val="17F54914"/>
    <w:rsid w:val="180524BC"/>
    <w:rsid w:val="181A1823"/>
    <w:rsid w:val="182B30B6"/>
    <w:rsid w:val="188D4E80"/>
    <w:rsid w:val="18AA017E"/>
    <w:rsid w:val="18AF5775"/>
    <w:rsid w:val="18EE0BF6"/>
    <w:rsid w:val="19467187"/>
    <w:rsid w:val="195C6CAB"/>
    <w:rsid w:val="195F7C70"/>
    <w:rsid w:val="19714DC3"/>
    <w:rsid w:val="19804697"/>
    <w:rsid w:val="19845E4F"/>
    <w:rsid w:val="19962308"/>
    <w:rsid w:val="19BB0FE3"/>
    <w:rsid w:val="19E10FFF"/>
    <w:rsid w:val="1A2E7004"/>
    <w:rsid w:val="1A7E4981"/>
    <w:rsid w:val="1A885114"/>
    <w:rsid w:val="1A9C65C5"/>
    <w:rsid w:val="1AD17980"/>
    <w:rsid w:val="1AFF5C5A"/>
    <w:rsid w:val="1B014DDE"/>
    <w:rsid w:val="1B3D20DD"/>
    <w:rsid w:val="1C1314B3"/>
    <w:rsid w:val="1C2B3148"/>
    <w:rsid w:val="1C85420B"/>
    <w:rsid w:val="1C925823"/>
    <w:rsid w:val="1CA402F8"/>
    <w:rsid w:val="1CD7613C"/>
    <w:rsid w:val="1D021DF9"/>
    <w:rsid w:val="1D2F1B6F"/>
    <w:rsid w:val="1D814D9D"/>
    <w:rsid w:val="1D823AC8"/>
    <w:rsid w:val="1D8B3E1F"/>
    <w:rsid w:val="1DAD3670"/>
    <w:rsid w:val="1DB07632"/>
    <w:rsid w:val="1DDA2008"/>
    <w:rsid w:val="1DF0513B"/>
    <w:rsid w:val="1DFB164D"/>
    <w:rsid w:val="1E2F7256"/>
    <w:rsid w:val="1E48483A"/>
    <w:rsid w:val="1E6010FA"/>
    <w:rsid w:val="1E6226AF"/>
    <w:rsid w:val="1E655C65"/>
    <w:rsid w:val="1E6F24FC"/>
    <w:rsid w:val="1E78195F"/>
    <w:rsid w:val="1EAC5EF7"/>
    <w:rsid w:val="1EBB0BAC"/>
    <w:rsid w:val="1EC82807"/>
    <w:rsid w:val="1EE821FA"/>
    <w:rsid w:val="1F2D657C"/>
    <w:rsid w:val="1F86301C"/>
    <w:rsid w:val="200C6F98"/>
    <w:rsid w:val="200E47D2"/>
    <w:rsid w:val="20400C61"/>
    <w:rsid w:val="20791657"/>
    <w:rsid w:val="20795DD4"/>
    <w:rsid w:val="20817C0F"/>
    <w:rsid w:val="20BB20C0"/>
    <w:rsid w:val="20CE61B0"/>
    <w:rsid w:val="20D11476"/>
    <w:rsid w:val="20F2221A"/>
    <w:rsid w:val="2120654C"/>
    <w:rsid w:val="214D19A7"/>
    <w:rsid w:val="216F0DB6"/>
    <w:rsid w:val="217E1DFE"/>
    <w:rsid w:val="21D71593"/>
    <w:rsid w:val="220448CC"/>
    <w:rsid w:val="22230780"/>
    <w:rsid w:val="224750CA"/>
    <w:rsid w:val="225F2771"/>
    <w:rsid w:val="226C530A"/>
    <w:rsid w:val="2285790B"/>
    <w:rsid w:val="228B5575"/>
    <w:rsid w:val="228C7DBD"/>
    <w:rsid w:val="2340661F"/>
    <w:rsid w:val="23680A25"/>
    <w:rsid w:val="239E66A5"/>
    <w:rsid w:val="23A65A51"/>
    <w:rsid w:val="23BC73C1"/>
    <w:rsid w:val="23C857BA"/>
    <w:rsid w:val="23EF04F7"/>
    <w:rsid w:val="240A34D9"/>
    <w:rsid w:val="240F46B6"/>
    <w:rsid w:val="241E6FDB"/>
    <w:rsid w:val="246022F8"/>
    <w:rsid w:val="248E2A06"/>
    <w:rsid w:val="24BA292E"/>
    <w:rsid w:val="25002B44"/>
    <w:rsid w:val="25053949"/>
    <w:rsid w:val="25591026"/>
    <w:rsid w:val="25614063"/>
    <w:rsid w:val="25635698"/>
    <w:rsid w:val="25776D4B"/>
    <w:rsid w:val="262D6C2F"/>
    <w:rsid w:val="26A47C14"/>
    <w:rsid w:val="26B759B0"/>
    <w:rsid w:val="26C169A0"/>
    <w:rsid w:val="26E06BC6"/>
    <w:rsid w:val="26E34DC9"/>
    <w:rsid w:val="26F7286F"/>
    <w:rsid w:val="26FE3001"/>
    <w:rsid w:val="27046083"/>
    <w:rsid w:val="27575417"/>
    <w:rsid w:val="27947476"/>
    <w:rsid w:val="27B01329"/>
    <w:rsid w:val="27BD3D12"/>
    <w:rsid w:val="27EA6A04"/>
    <w:rsid w:val="280E3599"/>
    <w:rsid w:val="282D3BA2"/>
    <w:rsid w:val="283C3DDC"/>
    <w:rsid w:val="285E01C8"/>
    <w:rsid w:val="286031A9"/>
    <w:rsid w:val="28A21F3F"/>
    <w:rsid w:val="28A71D8C"/>
    <w:rsid w:val="28B766B1"/>
    <w:rsid w:val="28C3596E"/>
    <w:rsid w:val="28CE7A28"/>
    <w:rsid w:val="28D4783B"/>
    <w:rsid w:val="29122351"/>
    <w:rsid w:val="29124DCF"/>
    <w:rsid w:val="29222A2C"/>
    <w:rsid w:val="2951176F"/>
    <w:rsid w:val="297837D9"/>
    <w:rsid w:val="2A723B67"/>
    <w:rsid w:val="2A7C4A34"/>
    <w:rsid w:val="2A8374E7"/>
    <w:rsid w:val="2A9867EE"/>
    <w:rsid w:val="2ACB5134"/>
    <w:rsid w:val="2AE076F4"/>
    <w:rsid w:val="2AE87BAC"/>
    <w:rsid w:val="2B80355C"/>
    <w:rsid w:val="2B812956"/>
    <w:rsid w:val="2B881AE2"/>
    <w:rsid w:val="2BA7533C"/>
    <w:rsid w:val="2BBD43D2"/>
    <w:rsid w:val="2BD56EFF"/>
    <w:rsid w:val="2BFC3EB7"/>
    <w:rsid w:val="2C571D68"/>
    <w:rsid w:val="2CA10EB0"/>
    <w:rsid w:val="2CB10291"/>
    <w:rsid w:val="2CDB5F76"/>
    <w:rsid w:val="2CF30BCC"/>
    <w:rsid w:val="2CF55A0E"/>
    <w:rsid w:val="2D2C3FB8"/>
    <w:rsid w:val="2D494642"/>
    <w:rsid w:val="2D4D0658"/>
    <w:rsid w:val="2D5C3045"/>
    <w:rsid w:val="2DA71A44"/>
    <w:rsid w:val="2DDD533E"/>
    <w:rsid w:val="2E5A506D"/>
    <w:rsid w:val="2E5E0E30"/>
    <w:rsid w:val="2E995B0B"/>
    <w:rsid w:val="2EEC200B"/>
    <w:rsid w:val="2EF16BBD"/>
    <w:rsid w:val="2EFC4824"/>
    <w:rsid w:val="2EFE35EC"/>
    <w:rsid w:val="2F2A5716"/>
    <w:rsid w:val="2F401A95"/>
    <w:rsid w:val="2F4A7366"/>
    <w:rsid w:val="2F5F2900"/>
    <w:rsid w:val="2F6973D6"/>
    <w:rsid w:val="2FB9361E"/>
    <w:rsid w:val="2FC17A65"/>
    <w:rsid w:val="301522CC"/>
    <w:rsid w:val="303C73AF"/>
    <w:rsid w:val="30443104"/>
    <w:rsid w:val="304C189F"/>
    <w:rsid w:val="30A25FB8"/>
    <w:rsid w:val="30F05F59"/>
    <w:rsid w:val="30F912A6"/>
    <w:rsid w:val="31096A30"/>
    <w:rsid w:val="313A1A62"/>
    <w:rsid w:val="3155248F"/>
    <w:rsid w:val="317B5B3D"/>
    <w:rsid w:val="318E32F8"/>
    <w:rsid w:val="31DB351A"/>
    <w:rsid w:val="326D41CB"/>
    <w:rsid w:val="32B367A3"/>
    <w:rsid w:val="32E93B15"/>
    <w:rsid w:val="335B7EC7"/>
    <w:rsid w:val="335C1508"/>
    <w:rsid w:val="33693003"/>
    <w:rsid w:val="337C2DDD"/>
    <w:rsid w:val="33A651CD"/>
    <w:rsid w:val="34274551"/>
    <w:rsid w:val="343018AE"/>
    <w:rsid w:val="3439623F"/>
    <w:rsid w:val="3439693A"/>
    <w:rsid w:val="344E5D26"/>
    <w:rsid w:val="34895840"/>
    <w:rsid w:val="34D26808"/>
    <w:rsid w:val="350D2195"/>
    <w:rsid w:val="35571310"/>
    <w:rsid w:val="356928AF"/>
    <w:rsid w:val="35A93699"/>
    <w:rsid w:val="35B33D01"/>
    <w:rsid w:val="35F53AAB"/>
    <w:rsid w:val="363A525E"/>
    <w:rsid w:val="364D45C4"/>
    <w:rsid w:val="36692452"/>
    <w:rsid w:val="36C97D0A"/>
    <w:rsid w:val="36D07EB1"/>
    <w:rsid w:val="36D657FF"/>
    <w:rsid w:val="36E75ACD"/>
    <w:rsid w:val="371C71C0"/>
    <w:rsid w:val="373B05AC"/>
    <w:rsid w:val="375D0761"/>
    <w:rsid w:val="376F398F"/>
    <w:rsid w:val="37710120"/>
    <w:rsid w:val="37871CF5"/>
    <w:rsid w:val="378828AA"/>
    <w:rsid w:val="378C70B1"/>
    <w:rsid w:val="37BD1A7F"/>
    <w:rsid w:val="37C13D08"/>
    <w:rsid w:val="37D474A6"/>
    <w:rsid w:val="380D0904"/>
    <w:rsid w:val="385A4E68"/>
    <w:rsid w:val="38697999"/>
    <w:rsid w:val="38A44122"/>
    <w:rsid w:val="38A77A19"/>
    <w:rsid w:val="38CB0BA5"/>
    <w:rsid w:val="38F15BB6"/>
    <w:rsid w:val="38F3743C"/>
    <w:rsid w:val="390C66E9"/>
    <w:rsid w:val="39134D54"/>
    <w:rsid w:val="3A22372E"/>
    <w:rsid w:val="3AAA4845"/>
    <w:rsid w:val="3AC635F6"/>
    <w:rsid w:val="3AC661F3"/>
    <w:rsid w:val="3AF32C18"/>
    <w:rsid w:val="3B014B33"/>
    <w:rsid w:val="3B0911E6"/>
    <w:rsid w:val="3B6C30BA"/>
    <w:rsid w:val="3B94244F"/>
    <w:rsid w:val="3B97166D"/>
    <w:rsid w:val="3BD84107"/>
    <w:rsid w:val="3C27053B"/>
    <w:rsid w:val="3C2F264D"/>
    <w:rsid w:val="3C6639FC"/>
    <w:rsid w:val="3CC53674"/>
    <w:rsid w:val="3CC63350"/>
    <w:rsid w:val="3CF1490A"/>
    <w:rsid w:val="3CF47A8D"/>
    <w:rsid w:val="3CF70A12"/>
    <w:rsid w:val="3D22095C"/>
    <w:rsid w:val="3D66465B"/>
    <w:rsid w:val="3D6657CD"/>
    <w:rsid w:val="3DBA2D5A"/>
    <w:rsid w:val="3DE709E5"/>
    <w:rsid w:val="3DEB3F9A"/>
    <w:rsid w:val="3E0A613A"/>
    <w:rsid w:val="3E0E13A0"/>
    <w:rsid w:val="3E632F64"/>
    <w:rsid w:val="3E8E316E"/>
    <w:rsid w:val="3E9C23C7"/>
    <w:rsid w:val="3ECF3E9B"/>
    <w:rsid w:val="3F4A762B"/>
    <w:rsid w:val="3FC840B3"/>
    <w:rsid w:val="3FEA085B"/>
    <w:rsid w:val="40142EAD"/>
    <w:rsid w:val="401E37BD"/>
    <w:rsid w:val="402A4B5F"/>
    <w:rsid w:val="404B0E09"/>
    <w:rsid w:val="40554B51"/>
    <w:rsid w:val="406642C3"/>
    <w:rsid w:val="406C28D7"/>
    <w:rsid w:val="407A64A6"/>
    <w:rsid w:val="40B04227"/>
    <w:rsid w:val="40D75531"/>
    <w:rsid w:val="40DD0378"/>
    <w:rsid w:val="40F3251B"/>
    <w:rsid w:val="40F731BA"/>
    <w:rsid w:val="413C75B4"/>
    <w:rsid w:val="41810B6D"/>
    <w:rsid w:val="41B31DFB"/>
    <w:rsid w:val="41B468D5"/>
    <w:rsid w:val="41B71AE3"/>
    <w:rsid w:val="41C96A46"/>
    <w:rsid w:val="41E25CFD"/>
    <w:rsid w:val="41F74DD4"/>
    <w:rsid w:val="420E64CC"/>
    <w:rsid w:val="422A0923"/>
    <w:rsid w:val="427E47F2"/>
    <w:rsid w:val="42A631E7"/>
    <w:rsid w:val="42D504B3"/>
    <w:rsid w:val="42F51939"/>
    <w:rsid w:val="43223BAA"/>
    <w:rsid w:val="43235F94"/>
    <w:rsid w:val="437C6314"/>
    <w:rsid w:val="43A73ABE"/>
    <w:rsid w:val="43B46C66"/>
    <w:rsid w:val="440235AB"/>
    <w:rsid w:val="4444383D"/>
    <w:rsid w:val="445C5D5C"/>
    <w:rsid w:val="446753C6"/>
    <w:rsid w:val="446C728D"/>
    <w:rsid w:val="447C3E96"/>
    <w:rsid w:val="44A9167C"/>
    <w:rsid w:val="44C415F0"/>
    <w:rsid w:val="44D87944"/>
    <w:rsid w:val="44F96A93"/>
    <w:rsid w:val="450B75E9"/>
    <w:rsid w:val="45134C1C"/>
    <w:rsid w:val="45243182"/>
    <w:rsid w:val="45793CB5"/>
    <w:rsid w:val="458745F8"/>
    <w:rsid w:val="45915E03"/>
    <w:rsid w:val="45A06EE2"/>
    <w:rsid w:val="45BB13C6"/>
    <w:rsid w:val="45D81DA4"/>
    <w:rsid w:val="45F46B9B"/>
    <w:rsid w:val="464F1321"/>
    <w:rsid w:val="469556B0"/>
    <w:rsid w:val="46C929B2"/>
    <w:rsid w:val="46D27A3E"/>
    <w:rsid w:val="46FC5122"/>
    <w:rsid w:val="47400072"/>
    <w:rsid w:val="474E31A2"/>
    <w:rsid w:val="4752142D"/>
    <w:rsid w:val="47537093"/>
    <w:rsid w:val="47565A99"/>
    <w:rsid w:val="47EE3D01"/>
    <w:rsid w:val="48212BE3"/>
    <w:rsid w:val="48293873"/>
    <w:rsid w:val="48501715"/>
    <w:rsid w:val="48902659"/>
    <w:rsid w:val="48A64E85"/>
    <w:rsid w:val="49194200"/>
    <w:rsid w:val="49425135"/>
    <w:rsid w:val="498502AC"/>
    <w:rsid w:val="49894DB7"/>
    <w:rsid w:val="49974039"/>
    <w:rsid w:val="49C744B1"/>
    <w:rsid w:val="49C84B9F"/>
    <w:rsid w:val="4A057900"/>
    <w:rsid w:val="4A1B482A"/>
    <w:rsid w:val="4A200019"/>
    <w:rsid w:val="4A2322BB"/>
    <w:rsid w:val="4A2453E6"/>
    <w:rsid w:val="4A3168A9"/>
    <w:rsid w:val="4A506A7B"/>
    <w:rsid w:val="4AB31263"/>
    <w:rsid w:val="4AE301E8"/>
    <w:rsid w:val="4AEB2345"/>
    <w:rsid w:val="4B495478"/>
    <w:rsid w:val="4B77419C"/>
    <w:rsid w:val="4B7F10BD"/>
    <w:rsid w:val="4B892751"/>
    <w:rsid w:val="4BCA04E6"/>
    <w:rsid w:val="4C1B4955"/>
    <w:rsid w:val="4C206102"/>
    <w:rsid w:val="4C2B2194"/>
    <w:rsid w:val="4C493AC9"/>
    <w:rsid w:val="4C4E1B48"/>
    <w:rsid w:val="4C507900"/>
    <w:rsid w:val="4C671669"/>
    <w:rsid w:val="4C8D5544"/>
    <w:rsid w:val="4CB229E2"/>
    <w:rsid w:val="4CB73607"/>
    <w:rsid w:val="4CC06FD4"/>
    <w:rsid w:val="4D0A701E"/>
    <w:rsid w:val="4D207EF1"/>
    <w:rsid w:val="4D3B4EC4"/>
    <w:rsid w:val="4D4E2860"/>
    <w:rsid w:val="4DAF40D7"/>
    <w:rsid w:val="4DE1796D"/>
    <w:rsid w:val="4DEF6ACB"/>
    <w:rsid w:val="4DFE209F"/>
    <w:rsid w:val="4E0A39C3"/>
    <w:rsid w:val="4E730444"/>
    <w:rsid w:val="4E9D21D0"/>
    <w:rsid w:val="4EC20032"/>
    <w:rsid w:val="4F1D089A"/>
    <w:rsid w:val="4F40762B"/>
    <w:rsid w:val="4F50584F"/>
    <w:rsid w:val="4F932A9A"/>
    <w:rsid w:val="4FEC0743"/>
    <w:rsid w:val="500E23E4"/>
    <w:rsid w:val="5073399C"/>
    <w:rsid w:val="511101D6"/>
    <w:rsid w:val="51122012"/>
    <w:rsid w:val="512B6DA8"/>
    <w:rsid w:val="516673B9"/>
    <w:rsid w:val="518F29BA"/>
    <w:rsid w:val="51BC13D9"/>
    <w:rsid w:val="52005C9B"/>
    <w:rsid w:val="52023B18"/>
    <w:rsid w:val="521C13EE"/>
    <w:rsid w:val="5256763E"/>
    <w:rsid w:val="525C54AC"/>
    <w:rsid w:val="52835B8E"/>
    <w:rsid w:val="52890FF8"/>
    <w:rsid w:val="52AC2999"/>
    <w:rsid w:val="52B66E3F"/>
    <w:rsid w:val="52BE3E97"/>
    <w:rsid w:val="52F45028"/>
    <w:rsid w:val="538D66F5"/>
    <w:rsid w:val="539A3B2C"/>
    <w:rsid w:val="53BF72F1"/>
    <w:rsid w:val="53D16BF9"/>
    <w:rsid w:val="53E4083B"/>
    <w:rsid w:val="541E19EA"/>
    <w:rsid w:val="544C40C5"/>
    <w:rsid w:val="54537B65"/>
    <w:rsid w:val="547C2834"/>
    <w:rsid w:val="548E6F8C"/>
    <w:rsid w:val="54D52E03"/>
    <w:rsid w:val="5570445E"/>
    <w:rsid w:val="55984CF8"/>
    <w:rsid w:val="55A03514"/>
    <w:rsid w:val="55A77192"/>
    <w:rsid w:val="55ED7906"/>
    <w:rsid w:val="560B273A"/>
    <w:rsid w:val="56210DE4"/>
    <w:rsid w:val="565E518D"/>
    <w:rsid w:val="56624141"/>
    <w:rsid w:val="566662CB"/>
    <w:rsid w:val="56803C35"/>
    <w:rsid w:val="56814607"/>
    <w:rsid w:val="56A62938"/>
    <w:rsid w:val="56B55151"/>
    <w:rsid w:val="56E1153C"/>
    <w:rsid w:val="575A3D76"/>
    <w:rsid w:val="57751FF1"/>
    <w:rsid w:val="57D21924"/>
    <w:rsid w:val="58067F76"/>
    <w:rsid w:val="58533B7C"/>
    <w:rsid w:val="585D122E"/>
    <w:rsid w:val="58DA6CC7"/>
    <w:rsid w:val="593D6AA6"/>
    <w:rsid w:val="593E6D79"/>
    <w:rsid w:val="595C2AFD"/>
    <w:rsid w:val="598361E9"/>
    <w:rsid w:val="59B0463C"/>
    <w:rsid w:val="59FE3934"/>
    <w:rsid w:val="5A2E1CB0"/>
    <w:rsid w:val="5A420041"/>
    <w:rsid w:val="5A453B38"/>
    <w:rsid w:val="5A540ABF"/>
    <w:rsid w:val="5A6951E1"/>
    <w:rsid w:val="5B1F3D66"/>
    <w:rsid w:val="5B253396"/>
    <w:rsid w:val="5B4B09C8"/>
    <w:rsid w:val="5B5828EC"/>
    <w:rsid w:val="5B5C4456"/>
    <w:rsid w:val="5B8254D2"/>
    <w:rsid w:val="5B8E68C9"/>
    <w:rsid w:val="5B9601D2"/>
    <w:rsid w:val="5B962DFC"/>
    <w:rsid w:val="5BAD4D86"/>
    <w:rsid w:val="5BAF7A77"/>
    <w:rsid w:val="5BD71823"/>
    <w:rsid w:val="5C052A04"/>
    <w:rsid w:val="5C3E6CE3"/>
    <w:rsid w:val="5C463CEF"/>
    <w:rsid w:val="5C5D6E0A"/>
    <w:rsid w:val="5C60569C"/>
    <w:rsid w:val="5CBA122E"/>
    <w:rsid w:val="5CC52E42"/>
    <w:rsid w:val="5CFD60EF"/>
    <w:rsid w:val="5D653226"/>
    <w:rsid w:val="5D7D47EF"/>
    <w:rsid w:val="5E0B245E"/>
    <w:rsid w:val="5E0B315A"/>
    <w:rsid w:val="5E194D84"/>
    <w:rsid w:val="5EDC5A30"/>
    <w:rsid w:val="5F0E1581"/>
    <w:rsid w:val="5F157440"/>
    <w:rsid w:val="5F331A1C"/>
    <w:rsid w:val="5F5112A7"/>
    <w:rsid w:val="5F5B5046"/>
    <w:rsid w:val="5F5D2DF8"/>
    <w:rsid w:val="5F963F8E"/>
    <w:rsid w:val="5FB05A09"/>
    <w:rsid w:val="6005151C"/>
    <w:rsid w:val="60160C30"/>
    <w:rsid w:val="602A15C9"/>
    <w:rsid w:val="60365EEF"/>
    <w:rsid w:val="603F3186"/>
    <w:rsid w:val="60583CFB"/>
    <w:rsid w:val="60584F6D"/>
    <w:rsid w:val="605E5B45"/>
    <w:rsid w:val="608503FA"/>
    <w:rsid w:val="60AF7A9C"/>
    <w:rsid w:val="60C4608D"/>
    <w:rsid w:val="60FF32BA"/>
    <w:rsid w:val="61174416"/>
    <w:rsid w:val="61AE7A80"/>
    <w:rsid w:val="61CF61FE"/>
    <w:rsid w:val="61F103C5"/>
    <w:rsid w:val="622E70A1"/>
    <w:rsid w:val="625D2F9E"/>
    <w:rsid w:val="62680180"/>
    <w:rsid w:val="62860945"/>
    <w:rsid w:val="62A24E62"/>
    <w:rsid w:val="62AF3A4D"/>
    <w:rsid w:val="636769A5"/>
    <w:rsid w:val="63AC6E0A"/>
    <w:rsid w:val="63B81E3C"/>
    <w:rsid w:val="63ED1601"/>
    <w:rsid w:val="63F35708"/>
    <w:rsid w:val="64570681"/>
    <w:rsid w:val="647C671A"/>
    <w:rsid w:val="649A2B5F"/>
    <w:rsid w:val="64C11500"/>
    <w:rsid w:val="65090AD4"/>
    <w:rsid w:val="652C1242"/>
    <w:rsid w:val="65330578"/>
    <w:rsid w:val="65470EA3"/>
    <w:rsid w:val="655962D4"/>
    <w:rsid w:val="655A64ED"/>
    <w:rsid w:val="659351B4"/>
    <w:rsid w:val="65D21CC3"/>
    <w:rsid w:val="65E96B28"/>
    <w:rsid w:val="66147824"/>
    <w:rsid w:val="66171303"/>
    <w:rsid w:val="66237DD3"/>
    <w:rsid w:val="66E13918"/>
    <w:rsid w:val="67A33E09"/>
    <w:rsid w:val="67C70239"/>
    <w:rsid w:val="67CA1A55"/>
    <w:rsid w:val="67D06445"/>
    <w:rsid w:val="683F52C8"/>
    <w:rsid w:val="68546A0B"/>
    <w:rsid w:val="686C0B5C"/>
    <w:rsid w:val="68AF0F88"/>
    <w:rsid w:val="68B5736D"/>
    <w:rsid w:val="68B66FDB"/>
    <w:rsid w:val="691142D1"/>
    <w:rsid w:val="692B188F"/>
    <w:rsid w:val="69303421"/>
    <w:rsid w:val="69367529"/>
    <w:rsid w:val="69732C11"/>
    <w:rsid w:val="69B709AD"/>
    <w:rsid w:val="69DA3CB0"/>
    <w:rsid w:val="6A146F17"/>
    <w:rsid w:val="6A7D4113"/>
    <w:rsid w:val="6A854519"/>
    <w:rsid w:val="6AB65269"/>
    <w:rsid w:val="6AD40C71"/>
    <w:rsid w:val="6B0A61AB"/>
    <w:rsid w:val="6B172B72"/>
    <w:rsid w:val="6BAF04E7"/>
    <w:rsid w:val="6C840E1F"/>
    <w:rsid w:val="6C992E5F"/>
    <w:rsid w:val="6CA71C3B"/>
    <w:rsid w:val="6CF91B5B"/>
    <w:rsid w:val="6D03730C"/>
    <w:rsid w:val="6D066C70"/>
    <w:rsid w:val="6D1F304B"/>
    <w:rsid w:val="6D3135B1"/>
    <w:rsid w:val="6D3467E9"/>
    <w:rsid w:val="6D522803"/>
    <w:rsid w:val="6D6418A8"/>
    <w:rsid w:val="6D8A74C3"/>
    <w:rsid w:val="6D8B70AC"/>
    <w:rsid w:val="6D982693"/>
    <w:rsid w:val="6D9B1A83"/>
    <w:rsid w:val="6DC22C3C"/>
    <w:rsid w:val="6DC97659"/>
    <w:rsid w:val="6DDE778A"/>
    <w:rsid w:val="6DE27E5A"/>
    <w:rsid w:val="6E36320F"/>
    <w:rsid w:val="6E4F5863"/>
    <w:rsid w:val="6E8B1F02"/>
    <w:rsid w:val="6E9B37C4"/>
    <w:rsid w:val="6ED638B7"/>
    <w:rsid w:val="6EDB13EF"/>
    <w:rsid w:val="6EEC2748"/>
    <w:rsid w:val="6EFB20EF"/>
    <w:rsid w:val="6F4B44D3"/>
    <w:rsid w:val="6FC65BB4"/>
    <w:rsid w:val="6FFB1B7A"/>
    <w:rsid w:val="700E16CA"/>
    <w:rsid w:val="702B2960"/>
    <w:rsid w:val="70342865"/>
    <w:rsid w:val="70940740"/>
    <w:rsid w:val="70B4243D"/>
    <w:rsid w:val="70BE4E07"/>
    <w:rsid w:val="70F2449B"/>
    <w:rsid w:val="710241B5"/>
    <w:rsid w:val="712C543B"/>
    <w:rsid w:val="7137124E"/>
    <w:rsid w:val="714B01A0"/>
    <w:rsid w:val="72105642"/>
    <w:rsid w:val="72513F19"/>
    <w:rsid w:val="73402A36"/>
    <w:rsid w:val="734C3640"/>
    <w:rsid w:val="73D82A9B"/>
    <w:rsid w:val="73FC59DC"/>
    <w:rsid w:val="74235B8E"/>
    <w:rsid w:val="7431181E"/>
    <w:rsid w:val="74565667"/>
    <w:rsid w:val="74846437"/>
    <w:rsid w:val="74987CA4"/>
    <w:rsid w:val="74C01F7A"/>
    <w:rsid w:val="75394D9D"/>
    <w:rsid w:val="75660FA8"/>
    <w:rsid w:val="75D369D1"/>
    <w:rsid w:val="75FD210D"/>
    <w:rsid w:val="76197B86"/>
    <w:rsid w:val="76230470"/>
    <w:rsid w:val="76276E68"/>
    <w:rsid w:val="76457916"/>
    <w:rsid w:val="7696299F"/>
    <w:rsid w:val="76B94A11"/>
    <w:rsid w:val="76BF02E0"/>
    <w:rsid w:val="77255014"/>
    <w:rsid w:val="772705BA"/>
    <w:rsid w:val="77476F3F"/>
    <w:rsid w:val="77DD4EB4"/>
    <w:rsid w:val="77DD7433"/>
    <w:rsid w:val="77DE77F4"/>
    <w:rsid w:val="77F5035D"/>
    <w:rsid w:val="78073AFA"/>
    <w:rsid w:val="780F569B"/>
    <w:rsid w:val="781D7260"/>
    <w:rsid w:val="78482365"/>
    <w:rsid w:val="78501970"/>
    <w:rsid w:val="789207C9"/>
    <w:rsid w:val="78A526FF"/>
    <w:rsid w:val="78D3635C"/>
    <w:rsid w:val="79762A4F"/>
    <w:rsid w:val="79B634B3"/>
    <w:rsid w:val="79BC6911"/>
    <w:rsid w:val="7A0228F0"/>
    <w:rsid w:val="7A2C36B8"/>
    <w:rsid w:val="7AE30426"/>
    <w:rsid w:val="7AF447B2"/>
    <w:rsid w:val="7B5A26C9"/>
    <w:rsid w:val="7B7934A2"/>
    <w:rsid w:val="7BD305A0"/>
    <w:rsid w:val="7BD712BD"/>
    <w:rsid w:val="7C0D501B"/>
    <w:rsid w:val="7C0D5F13"/>
    <w:rsid w:val="7C50775D"/>
    <w:rsid w:val="7C5E6C17"/>
    <w:rsid w:val="7C7D1A4A"/>
    <w:rsid w:val="7C877DDC"/>
    <w:rsid w:val="7CB44961"/>
    <w:rsid w:val="7D011CA4"/>
    <w:rsid w:val="7D2F72F0"/>
    <w:rsid w:val="7E54384F"/>
    <w:rsid w:val="7E835C85"/>
    <w:rsid w:val="7E9349B9"/>
    <w:rsid w:val="7E9A3152"/>
    <w:rsid w:val="7EC313A5"/>
    <w:rsid w:val="7ECB0495"/>
    <w:rsid w:val="7EEC43E4"/>
    <w:rsid w:val="7EED054A"/>
    <w:rsid w:val="7F0171EB"/>
    <w:rsid w:val="7F04016F"/>
    <w:rsid w:val="7F28160A"/>
    <w:rsid w:val="7F464700"/>
    <w:rsid w:val="7F7C471A"/>
    <w:rsid w:val="7FBC34F8"/>
    <w:rsid w:val="7FD065BE"/>
    <w:rsid w:val="7FF7007E"/>
  </w:rsids>
  <m:mathPr>
    <m:lMargin m:val="0"/>
    <m:mathFont m:val="Cambria Math"/>
    <m:rMargin m:val="0"/>
    <m:wrapIndent m:val="1440"/>
    <m:brkBin m:val="before"/>
    <m:brkBinSub m:val="--"/>
    <m:defJc m:val="centerGroup"/>
    <m:intLim m:val="subSup"/>
    <m:naryLim m:val="undOvr"/>
    <m:smallFrac m:val="1"/>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qFormat="1" w:unhideWhenUsed="0" w:uiPriority="99"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qFormat/>
    <w:uiPriority w:val="99"/>
    <w:pPr>
      <w:keepNext/>
      <w:keepLines/>
      <w:spacing w:before="260" w:after="260" w:line="413" w:lineRule="auto"/>
      <w:outlineLvl w:val="1"/>
    </w:pPr>
    <w:rPr>
      <w:rFonts w:ascii="Arial" w:hAnsi="Arial" w:eastAsia="黑体"/>
      <w:b/>
      <w:kern w:val="0"/>
      <w:sz w:val="32"/>
    </w:rPr>
  </w:style>
  <w:style w:type="character" w:default="1" w:styleId="18">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0"/>
    <w:semiHidden/>
    <w:qFormat/>
    <w:uiPriority w:val="99"/>
    <w:rPr>
      <w:b/>
      <w:bCs/>
    </w:rPr>
  </w:style>
  <w:style w:type="paragraph" w:styleId="5">
    <w:name w:val="annotation text"/>
    <w:basedOn w:val="1"/>
    <w:link w:val="29"/>
    <w:semiHidden/>
    <w:qFormat/>
    <w:uiPriority w:val="99"/>
    <w:pPr>
      <w:jc w:val="left"/>
    </w:pPr>
  </w:style>
  <w:style w:type="paragraph" w:styleId="6">
    <w:name w:val="Body Text Indent"/>
    <w:basedOn w:val="1"/>
    <w:link w:val="38"/>
    <w:qFormat/>
    <w:uiPriority w:val="99"/>
    <w:pPr>
      <w:ind w:firstLine="555"/>
      <w:jc w:val="center"/>
    </w:pPr>
    <w:rPr>
      <w:rFonts w:ascii="仿宋_GB2312" w:eastAsia="仿宋_GB2312"/>
    </w:rPr>
  </w:style>
  <w:style w:type="paragraph" w:styleId="7">
    <w:name w:val="List Continue"/>
    <w:basedOn w:val="1"/>
    <w:qFormat/>
    <w:uiPriority w:val="99"/>
    <w:pPr>
      <w:spacing w:after="120"/>
    </w:pPr>
    <w:rPr>
      <w:sz w:val="21"/>
      <w:szCs w:val="24"/>
    </w:rPr>
  </w:style>
  <w:style w:type="paragraph" w:styleId="8">
    <w:name w:val="Plain Text"/>
    <w:basedOn w:val="1"/>
    <w:link w:val="35"/>
    <w:qFormat/>
    <w:uiPriority w:val="99"/>
    <w:rPr>
      <w:rFonts w:ascii="宋体" w:hAnsi="Courier New" w:cs="方正小标宋简体"/>
      <w:sz w:val="21"/>
      <w:szCs w:val="21"/>
    </w:rPr>
  </w:style>
  <w:style w:type="paragraph" w:styleId="9">
    <w:name w:val="Date"/>
    <w:basedOn w:val="1"/>
    <w:next w:val="1"/>
    <w:link w:val="34"/>
    <w:qFormat/>
    <w:uiPriority w:val="99"/>
    <w:rPr>
      <w:rFonts w:eastAsia="楷体_GB2312"/>
      <w:sz w:val="32"/>
    </w:rPr>
  </w:style>
  <w:style w:type="paragraph" w:styleId="10">
    <w:name w:val="Body Text Indent 2"/>
    <w:basedOn w:val="1"/>
    <w:link w:val="37"/>
    <w:qFormat/>
    <w:uiPriority w:val="99"/>
    <w:pPr>
      <w:ind w:left="570"/>
    </w:pPr>
    <w:rPr>
      <w:rFonts w:ascii="仿宋_GB2312" w:eastAsia="仿宋_GB2312"/>
    </w:rPr>
  </w:style>
  <w:style w:type="paragraph" w:styleId="11">
    <w:name w:val="Balloon Text"/>
    <w:basedOn w:val="1"/>
    <w:link w:val="33"/>
    <w:semiHidden/>
    <w:qFormat/>
    <w:uiPriority w:val="99"/>
    <w:rPr>
      <w:sz w:val="18"/>
      <w:szCs w:val="18"/>
    </w:rPr>
  </w:style>
  <w:style w:type="paragraph" w:styleId="12">
    <w:name w:val="footer"/>
    <w:basedOn w:val="1"/>
    <w:link w:val="36"/>
    <w:qFormat/>
    <w:uiPriority w:val="99"/>
    <w:pPr>
      <w:tabs>
        <w:tab w:val="center" w:pos="4153"/>
        <w:tab w:val="right" w:pos="8306"/>
      </w:tabs>
      <w:snapToGrid w:val="0"/>
      <w:jc w:val="left"/>
    </w:pPr>
    <w:rPr>
      <w:sz w:val="18"/>
    </w:rPr>
  </w:style>
  <w:style w:type="paragraph" w:styleId="13">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Body Text Indent 3"/>
    <w:basedOn w:val="1"/>
    <w:link w:val="31"/>
    <w:qFormat/>
    <w:uiPriority w:val="99"/>
    <w:pPr>
      <w:ind w:firstLine="555"/>
    </w:pPr>
    <w:rPr>
      <w:rFonts w:ascii="仿宋_GB2312" w:eastAsia="仿宋_GB2312"/>
    </w:rPr>
  </w:style>
  <w:style w:type="paragraph" w:styleId="16">
    <w:name w:val="toc 2"/>
    <w:basedOn w:val="1"/>
    <w:next w:val="1"/>
    <w:qFormat/>
    <w:uiPriority w:val="39"/>
    <w:pPr>
      <w:ind w:left="420" w:leftChars="200"/>
    </w:p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9">
    <w:name w:val="Strong"/>
    <w:basedOn w:val="18"/>
    <w:qFormat/>
    <w:uiPriority w:val="99"/>
    <w:rPr>
      <w:rFonts w:cs="Times New Roman"/>
      <w:b/>
      <w:bCs/>
    </w:rPr>
  </w:style>
  <w:style w:type="character" w:styleId="20">
    <w:name w:val="page number"/>
    <w:basedOn w:val="18"/>
    <w:qFormat/>
    <w:uiPriority w:val="99"/>
    <w:rPr>
      <w:rFonts w:cs="Times New Roman"/>
    </w:rPr>
  </w:style>
  <w:style w:type="character" w:styleId="21">
    <w:name w:val="FollowedHyperlink"/>
    <w:basedOn w:val="18"/>
    <w:unhideWhenUsed/>
    <w:qFormat/>
    <w:uiPriority w:val="99"/>
    <w:rPr>
      <w:color w:val="800080"/>
      <w:u w:val="single"/>
    </w:rPr>
  </w:style>
  <w:style w:type="character" w:styleId="22">
    <w:name w:val="Hyperlink"/>
    <w:basedOn w:val="18"/>
    <w:qFormat/>
    <w:uiPriority w:val="99"/>
    <w:rPr>
      <w:rFonts w:cs="Times New Roman"/>
      <w:color w:val="0000FF"/>
      <w:u w:val="single"/>
    </w:rPr>
  </w:style>
  <w:style w:type="character" w:styleId="23">
    <w:name w:val="annotation reference"/>
    <w:basedOn w:val="18"/>
    <w:semiHidden/>
    <w:qFormat/>
    <w:uiPriority w:val="99"/>
    <w:rPr>
      <w:rFonts w:cs="Times New Roman"/>
      <w:sz w:val="21"/>
      <w:szCs w:val="21"/>
    </w:r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标题 1 Char"/>
    <w:basedOn w:val="18"/>
    <w:link w:val="2"/>
    <w:qFormat/>
    <w:locked/>
    <w:uiPriority w:val="0"/>
    <w:rPr>
      <w:b/>
      <w:kern w:val="44"/>
      <w:sz w:val="44"/>
    </w:rPr>
  </w:style>
  <w:style w:type="character" w:customStyle="1" w:styleId="27">
    <w:name w:val="标题 2 Char"/>
    <w:basedOn w:val="18"/>
    <w:link w:val="3"/>
    <w:qFormat/>
    <w:locked/>
    <w:uiPriority w:val="99"/>
    <w:rPr>
      <w:rFonts w:ascii="Arial" w:hAnsi="Arial" w:eastAsia="黑体"/>
      <w:b/>
      <w:sz w:val="32"/>
    </w:rPr>
  </w:style>
  <w:style w:type="character" w:customStyle="1" w:styleId="28">
    <w:name w:val="样式 (中文) 仿宋_GB2312 四号"/>
    <w:qFormat/>
    <w:uiPriority w:val="0"/>
    <w:rPr>
      <w:rFonts w:eastAsia="仿宋_GB2312"/>
      <w:sz w:val="28"/>
    </w:rPr>
  </w:style>
  <w:style w:type="character" w:customStyle="1" w:styleId="29">
    <w:name w:val="批注文字 Char"/>
    <w:basedOn w:val="18"/>
    <w:link w:val="5"/>
    <w:semiHidden/>
    <w:qFormat/>
    <w:uiPriority w:val="99"/>
    <w:rPr>
      <w:sz w:val="28"/>
      <w:szCs w:val="20"/>
    </w:rPr>
  </w:style>
  <w:style w:type="character" w:customStyle="1" w:styleId="30">
    <w:name w:val="批注主题 Char"/>
    <w:basedOn w:val="29"/>
    <w:link w:val="4"/>
    <w:semiHidden/>
    <w:qFormat/>
    <w:uiPriority w:val="99"/>
    <w:rPr>
      <w:b/>
      <w:bCs/>
    </w:rPr>
  </w:style>
  <w:style w:type="character" w:customStyle="1" w:styleId="31">
    <w:name w:val="正文文本缩进 3 Char"/>
    <w:basedOn w:val="18"/>
    <w:link w:val="15"/>
    <w:semiHidden/>
    <w:qFormat/>
    <w:uiPriority w:val="99"/>
    <w:rPr>
      <w:sz w:val="16"/>
      <w:szCs w:val="16"/>
    </w:rPr>
  </w:style>
  <w:style w:type="character" w:customStyle="1" w:styleId="32">
    <w:name w:val="页眉 Char"/>
    <w:basedOn w:val="18"/>
    <w:link w:val="13"/>
    <w:semiHidden/>
    <w:qFormat/>
    <w:uiPriority w:val="99"/>
    <w:rPr>
      <w:sz w:val="18"/>
      <w:szCs w:val="18"/>
    </w:rPr>
  </w:style>
  <w:style w:type="character" w:customStyle="1" w:styleId="33">
    <w:name w:val="批注框文本 Char"/>
    <w:basedOn w:val="18"/>
    <w:link w:val="11"/>
    <w:semiHidden/>
    <w:qFormat/>
    <w:uiPriority w:val="99"/>
    <w:rPr>
      <w:sz w:val="0"/>
      <w:szCs w:val="0"/>
    </w:rPr>
  </w:style>
  <w:style w:type="character" w:customStyle="1" w:styleId="34">
    <w:name w:val="日期 Char"/>
    <w:basedOn w:val="18"/>
    <w:link w:val="9"/>
    <w:semiHidden/>
    <w:qFormat/>
    <w:uiPriority w:val="99"/>
    <w:rPr>
      <w:sz w:val="28"/>
      <w:szCs w:val="20"/>
    </w:rPr>
  </w:style>
  <w:style w:type="character" w:customStyle="1" w:styleId="35">
    <w:name w:val="纯文本 Char"/>
    <w:basedOn w:val="18"/>
    <w:link w:val="8"/>
    <w:semiHidden/>
    <w:qFormat/>
    <w:uiPriority w:val="99"/>
    <w:rPr>
      <w:rFonts w:ascii="宋体" w:hAnsi="Courier New" w:cs="Courier New"/>
      <w:szCs w:val="21"/>
    </w:rPr>
  </w:style>
  <w:style w:type="character" w:customStyle="1" w:styleId="36">
    <w:name w:val="页脚 Char"/>
    <w:basedOn w:val="18"/>
    <w:link w:val="12"/>
    <w:semiHidden/>
    <w:qFormat/>
    <w:uiPriority w:val="99"/>
    <w:rPr>
      <w:sz w:val="18"/>
      <w:szCs w:val="18"/>
    </w:rPr>
  </w:style>
  <w:style w:type="character" w:customStyle="1" w:styleId="37">
    <w:name w:val="正文文本缩进 2 Char"/>
    <w:basedOn w:val="18"/>
    <w:link w:val="10"/>
    <w:semiHidden/>
    <w:qFormat/>
    <w:uiPriority w:val="99"/>
    <w:rPr>
      <w:sz w:val="28"/>
      <w:szCs w:val="20"/>
    </w:rPr>
  </w:style>
  <w:style w:type="character" w:customStyle="1" w:styleId="38">
    <w:name w:val="正文文本缩进 Char"/>
    <w:basedOn w:val="18"/>
    <w:link w:val="6"/>
    <w:semiHidden/>
    <w:qFormat/>
    <w:uiPriority w:val="99"/>
    <w:rPr>
      <w:sz w:val="28"/>
      <w:szCs w:val="20"/>
    </w:rPr>
  </w:style>
  <w:style w:type="paragraph" w:customStyle="1" w:styleId="39">
    <w:name w:val="向"/>
    <w:basedOn w:val="8"/>
    <w:qFormat/>
    <w:uiPriority w:val="99"/>
    <w:pPr>
      <w:spacing w:line="360" w:lineRule="auto"/>
      <w:ind w:firstLine="567"/>
    </w:pPr>
    <w:rPr>
      <w:rFonts w:ascii="仿宋_GB2312" w:eastAsia="仿宋_GB2312" w:cs="Times New Roman"/>
      <w:sz w:val="28"/>
      <w:szCs w:val="20"/>
    </w:rPr>
  </w:style>
  <w:style w:type="paragraph" w:customStyle="1" w:styleId="40">
    <w:name w:val="Char Char Char Char Char Char Char Char Char1 Char Char Char Char"/>
    <w:basedOn w:val="1"/>
    <w:qFormat/>
    <w:uiPriority w:val="99"/>
    <w:rPr>
      <w:rFonts w:ascii="Tahoma" w:hAnsi="Tahoma"/>
      <w:sz w:val="24"/>
    </w:rPr>
  </w:style>
  <w:style w:type="paragraph" w:customStyle="1" w:styleId="41">
    <w:name w:val="纯文本1"/>
    <w:basedOn w:val="1"/>
    <w:qFormat/>
    <w:uiPriority w:val="99"/>
    <w:pPr>
      <w:adjustRightInd w:val="0"/>
      <w:textAlignment w:val="baseline"/>
    </w:pPr>
    <w:rPr>
      <w:rFonts w:ascii="宋体"/>
      <w:kern w:val="0"/>
      <w:sz w:val="21"/>
    </w:rPr>
  </w:style>
  <w:style w:type="paragraph" w:customStyle="1" w:styleId="42">
    <w:name w:val="封面标题"/>
    <w:basedOn w:val="8"/>
    <w:qFormat/>
    <w:uiPriority w:val="99"/>
    <w:pPr>
      <w:spacing w:line="240" w:lineRule="atLeast"/>
      <w:jc w:val="center"/>
    </w:pPr>
    <w:rPr>
      <w:rFonts w:cs="Times New Roman"/>
      <w:sz w:val="44"/>
      <w:szCs w:val="20"/>
    </w:rPr>
  </w:style>
  <w:style w:type="paragraph" w:customStyle="1" w:styleId="43">
    <w:name w:val="Char Char Char Char Char Char Char Char Char Char Char Char Char Char Char"/>
    <w:basedOn w:val="1"/>
    <w:qFormat/>
    <w:uiPriority w:val="99"/>
    <w:rPr>
      <w:rFonts w:ascii="Tahoma" w:hAnsi="Tahoma"/>
      <w:sz w:val="24"/>
    </w:rPr>
  </w:style>
  <w:style w:type="paragraph" w:customStyle="1" w:styleId="44">
    <w:name w:val="报告正文"/>
    <w:basedOn w:val="8"/>
    <w:qFormat/>
    <w:uiPriority w:val="99"/>
    <w:pPr>
      <w:spacing w:line="360" w:lineRule="auto"/>
      <w:ind w:firstLine="567"/>
    </w:pPr>
    <w:rPr>
      <w:rFonts w:ascii="仿宋_GB2312" w:eastAsia="仿宋_GB2312"/>
      <w:sz w:val="28"/>
      <w:szCs w:val="20"/>
    </w:rPr>
  </w:style>
  <w:style w:type="paragraph" w:customStyle="1" w:styleId="45">
    <w:name w:val="列出段落1"/>
    <w:basedOn w:val="1"/>
    <w:qFormat/>
    <w:uiPriority w:val="99"/>
    <w:pPr>
      <w:ind w:firstLine="420" w:firstLineChars="200"/>
    </w:pPr>
  </w:style>
  <w:style w:type="character" w:customStyle="1" w:styleId="46">
    <w:name w:val="apple-converted-space"/>
    <w:basedOn w:val="18"/>
    <w:qFormat/>
    <w:uiPriority w:val="0"/>
  </w:style>
  <w:style w:type="character" w:customStyle="1" w:styleId="47">
    <w:name w:val="样式 仿宋_GB2312"/>
    <w:qFormat/>
    <w:uiPriority w:val="0"/>
    <w:rPr>
      <w:rFonts w:ascii="仿宋_GB2312" w:hAnsi="仿宋_GB2312" w:eastAsia="仿宋_GB2312"/>
      <w:b/>
      <w:kern w:val="0"/>
      <w:sz w:val="28"/>
    </w:rPr>
  </w:style>
  <w:style w:type="paragraph" w:customStyle="1" w:styleId="48">
    <w:name w:val="报告正文 Char Char Char"/>
    <w:basedOn w:val="1"/>
    <w:qFormat/>
    <w:uiPriority w:val="0"/>
    <w:pPr>
      <w:spacing w:line="336" w:lineRule="auto"/>
      <w:ind w:left="2603"/>
    </w:pPr>
    <w:rPr>
      <w:rFonts w:ascii="华文细黑" w:eastAsia="华文细黑"/>
      <w:sz w:val="22"/>
    </w:rPr>
  </w:style>
  <w:style w:type="paragraph" w:customStyle="1" w:styleId="49">
    <w:name w:val="报告正文 Char"/>
    <w:basedOn w:val="1"/>
    <w:qFormat/>
    <w:uiPriority w:val="0"/>
    <w:pPr>
      <w:spacing w:line="336" w:lineRule="auto"/>
      <w:ind w:left="2603"/>
    </w:pPr>
    <w:rPr>
      <w:rFonts w:ascii="华文细黑" w:eastAsia="华文细黑"/>
      <w:sz w:val="22"/>
    </w:rPr>
  </w:style>
  <w:style w:type="paragraph" w:customStyle="1" w:styleId="50">
    <w:name w:val="charcharchar"/>
    <w:basedOn w:val="1"/>
    <w:qFormat/>
    <w:uiPriority w:val="0"/>
    <w:pPr>
      <w:widowControl/>
      <w:adjustRightInd/>
      <w:spacing w:line="336" w:lineRule="auto"/>
      <w:ind w:left="2603"/>
    </w:pPr>
    <w:rPr>
      <w:rFonts w:ascii="华文细黑" w:hAnsi="华文细黑" w:eastAsia="华文细黑" w:cs="宋体"/>
      <w:kern w:val="0"/>
      <w:sz w:val="22"/>
      <w:szCs w:val="22"/>
    </w:rPr>
  </w:style>
  <w:style w:type="paragraph" w:customStyle="1" w:styleId="51">
    <w:name w:val="项目符号"/>
    <w:basedOn w:val="48"/>
    <w:next w:val="48"/>
    <w:qFormat/>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1187D2-4562-4432-8AD6-6ED7F5741167}">
  <ds:schemaRefs/>
</ds:datastoreItem>
</file>

<file path=docProps/app.xml><?xml version="1.0" encoding="utf-8"?>
<Properties xmlns="http://schemas.openxmlformats.org/officeDocument/2006/extended-properties" xmlns:vt="http://schemas.openxmlformats.org/officeDocument/2006/docPropsVTypes">
  <Template>Normal</Template>
  <Company>CD</Company>
  <Pages>67</Pages>
  <Words>11302</Words>
  <Characters>12232</Characters>
  <Lines>69</Lines>
  <Paragraphs>19</Paragraphs>
  <TotalTime>0</TotalTime>
  <ScaleCrop>false</ScaleCrop>
  <LinksUpToDate>false</LinksUpToDate>
  <CharactersWithSpaces>12532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2015-12-01T07:01:00Z</dcterms:created>
  <dc:creator>静艾悦</dc:creator>
  <cp:lastModifiedBy>朱兵</cp:lastModifiedBy>
  <cp:lastPrinted>2021-09-26T07:30:00Z</cp:lastPrinted>
  <dcterms:modified xsi:type="dcterms:W3CDTF">2022-04-29T04:11:59Z</dcterms:modified>
  <dc:title>房地产估价报告</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19856DBF3E8F4413B1A483EEFEE372BF</vt:lpwstr>
  </property>
</Properties>
</file>