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opLinePunct/>
        <w:adjustRightInd w:val="0"/>
        <w:snapToGrid w:val="0"/>
        <w:spacing w:beforeLines="900"/>
        <w:jc w:val="left"/>
        <w:rPr>
          <w:rFonts w:hint="default" w:ascii="Times New Roman" w:hAnsi="Times New Roman" w:eastAsia="微软雅黑" w:cs="Times New Roman"/>
          <w:b/>
          <w:sz w:val="24"/>
          <w:szCs w:val="24"/>
        </w:rPr>
      </w:pPr>
      <w:bookmarkStart w:id="208" w:name="_GoBack"/>
      <w:r>
        <w:rPr>
          <w:rFonts w:hint="default" w:ascii="Times New Roman" w:hAnsi="Times New Roman" w:eastAsia="微软雅黑" w:cs="Times New Roman"/>
          <w:b/>
          <w:i/>
          <w:sz w:val="6"/>
          <w:szCs w:val="24"/>
        </w:rPr>
        <w:t>同致地产 同致地产 同致地产 同</w:t>
      </w:r>
      <w:r>
        <w:rPr>
          <w:rFonts w:hint="default" w:ascii="Times New Roman" w:hAnsi="Times New Roman" w:eastAsia="微软雅黑" w:cs="Times New Roman"/>
          <w:b/>
          <w:i/>
          <w:sz w:val="6"/>
          <w:szCs w:val="24"/>
        </w:rPr>
        <w:drawing>
          <wp:anchor distT="0" distB="0" distL="114300" distR="114300" simplePos="0" relativeHeight="251663360" behindDoc="0" locked="0" layoutInCell="1" allowOverlap="1">
            <wp:simplePos x="0" y="0"/>
            <wp:positionH relativeFrom="margin">
              <wp:posOffset>3810</wp:posOffset>
            </wp:positionH>
            <wp:positionV relativeFrom="page">
              <wp:posOffset>1892300</wp:posOffset>
            </wp:positionV>
            <wp:extent cx="1807845" cy="499745"/>
            <wp:effectExtent l="0" t="0" r="0" b="0"/>
            <wp:wrapNone/>
            <wp:docPr id="103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图片 35"/>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a:xfrm>
                      <a:off x="0" y="0"/>
                      <a:ext cx="1811020" cy="504190"/>
                    </a:xfrm>
                    <a:prstGeom prst="rect">
                      <a:avLst/>
                    </a:prstGeom>
                    <a:noFill/>
                    <a:ln>
                      <a:noFill/>
                    </a:ln>
                  </pic:spPr>
                </pic:pic>
              </a:graphicData>
            </a:graphic>
          </wp:anchor>
        </w:drawing>
      </w:r>
      <w:r>
        <w:rPr>
          <w:rFonts w:hint="default" w:ascii="Times New Roman" w:hAnsi="Times New Roman" w:eastAsia="微软雅黑" w:cs="Times New Roman"/>
          <w:b/>
          <w:i/>
          <w:sz w:val="6"/>
          <w:szCs w:val="24"/>
        </w:rPr>
        <w:t>致地产 同致地产 同致地产 同致地产 同致地产 同致地产 同致地产 同致地产 同致地产 同致地产 同致地产 同致地产 同致地产 同致地产 同致地产 同致地产 同致地产 同致地产 同致地产 同致地产 同致地产 同致地</w:t>
      </w:r>
      <w:r>
        <w:rPr>
          <w:rFonts w:hint="default" w:ascii="Times New Roman" w:hAnsi="Times New Roman" w:eastAsia="微软雅黑" w:cs="Times New Roman"/>
          <w:b/>
          <w:i/>
          <w:sz w:val="6"/>
          <w:szCs w:val="24"/>
        </w:rPr>
        <w:drawing>
          <wp:anchor distT="0" distB="0" distL="114300" distR="114300" simplePos="0" relativeHeight="251664384" behindDoc="0" locked="0" layoutInCell="1" allowOverlap="1">
            <wp:simplePos x="0" y="0"/>
            <wp:positionH relativeFrom="margin">
              <wp:align>right</wp:align>
            </wp:positionH>
            <wp:positionV relativeFrom="paragraph">
              <wp:posOffset>812165</wp:posOffset>
            </wp:positionV>
            <wp:extent cx="1924685" cy="478155"/>
            <wp:effectExtent l="0" t="0" r="0" b="0"/>
            <wp:wrapNone/>
            <wp:docPr id="1040" name="图片 2"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图片 2" descr="同致横标志"/>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a:xfrm>
                      <a:off x="0" y="0"/>
                      <a:ext cx="1924050" cy="481330"/>
                    </a:xfrm>
                    <a:prstGeom prst="rect">
                      <a:avLst/>
                    </a:prstGeom>
                    <a:noFill/>
                    <a:ln>
                      <a:noFill/>
                    </a:ln>
                  </pic:spPr>
                </pic:pic>
              </a:graphicData>
            </a:graphic>
          </wp:anchor>
        </w:drawing>
      </w:r>
      <w:r>
        <w:rPr>
          <w:rFonts w:hint="default" w:ascii="Times New Roman" w:hAnsi="Times New Roman" w:eastAsia="微软雅黑" w:cs="Times New Roman"/>
          <w:b/>
          <w:i/>
          <w:sz w:val="6"/>
          <w:szCs w:val="24"/>
        </w:rPr>
        <w:t>产 同致地产 同致地产 同致地产 同致地产 同致地产 同致地产 同</w:t>
      </w:r>
    </w:p>
    <w:tbl>
      <w:tblPr>
        <w:tblStyle w:val="43"/>
        <w:tblpPr w:leftFromText="181" w:rightFromText="181" w:vertAnchor="page" w:horzAnchor="page" w:tblpX="2131" w:tblpY="4996"/>
        <w:tblOverlap w:val="never"/>
        <w:tblW w:w="0" w:type="auto"/>
        <w:tblInd w:w="0" w:type="dxa"/>
        <w:tblLayout w:type="autofit"/>
        <w:tblCellMar>
          <w:top w:w="0" w:type="dxa"/>
          <w:left w:w="108" w:type="dxa"/>
          <w:bottom w:w="0" w:type="dxa"/>
          <w:right w:w="108" w:type="dxa"/>
        </w:tblCellMar>
      </w:tblPr>
      <w:tblGrid>
        <w:gridCol w:w="567"/>
        <w:gridCol w:w="6108"/>
      </w:tblGrid>
      <w:tr>
        <w:tblPrEx>
          <w:tblCellMar>
            <w:top w:w="0" w:type="dxa"/>
            <w:left w:w="108" w:type="dxa"/>
            <w:bottom w:w="0" w:type="dxa"/>
            <w:right w:w="108" w:type="dxa"/>
          </w:tblCellMar>
        </w:tblPrEx>
        <w:trPr>
          <w:trHeight w:val="510" w:hRule="atLeast"/>
        </w:trPr>
        <w:tc>
          <w:tcPr>
            <w:tcW w:w="567"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4"/>
                <w:szCs w:val="24"/>
              </w:rPr>
            </w:pPr>
            <w:r>
              <w:rPr>
                <w:rFonts w:hint="default" w:ascii="Times New Roman" w:hAnsi="Times New Roman" w:eastAsia="微软雅黑" w:cs="Times New Roman"/>
                <w:b/>
                <w:sz w:val="24"/>
                <w:szCs w:val="24"/>
              </w:rPr>
              <w:t>——</w:t>
            </w:r>
          </w:p>
        </w:tc>
        <w:tc>
          <w:tcPr>
            <w:tcW w:w="6108"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8"/>
                <w:szCs w:val="28"/>
              </w:rPr>
            </w:pPr>
            <w:r>
              <w:rPr>
                <w:rFonts w:hint="default" w:ascii="Times New Roman" w:hAnsi="Times New Roman" w:eastAsia="微软雅黑" w:cs="Times New Roman"/>
                <w:b/>
                <w:sz w:val="28"/>
                <w:szCs w:val="28"/>
              </w:rPr>
              <w:t>估价报告编号</w:t>
            </w:r>
            <w:r>
              <w:rPr>
                <w:rFonts w:hint="default" w:ascii="Times New Roman" w:hAnsi="Times New Roman" w:eastAsia="微软雅黑" w:cs="Times New Roman"/>
                <w:sz w:val="28"/>
                <w:szCs w:val="28"/>
              </w:rPr>
              <w:t>：</w:t>
            </w:r>
          </w:p>
        </w:tc>
      </w:tr>
      <w:tr>
        <w:tblPrEx>
          <w:tblCellMar>
            <w:top w:w="0" w:type="dxa"/>
            <w:left w:w="108" w:type="dxa"/>
            <w:bottom w:w="0" w:type="dxa"/>
            <w:right w:w="108" w:type="dxa"/>
          </w:tblCellMar>
        </w:tblPrEx>
        <w:trPr>
          <w:trHeight w:val="510" w:hRule="atLeast"/>
        </w:trPr>
        <w:tc>
          <w:tcPr>
            <w:tcW w:w="567" w:type="dxa"/>
            <w:tcMar>
              <w:left w:w="0" w:type="dxa"/>
              <w:right w:w="0" w:type="dxa"/>
            </w:tcMar>
            <w:vAlign w:val="center"/>
          </w:tcPr>
          <w:p>
            <w:pPr>
              <w:widowControl/>
              <w:topLinePunct/>
              <w:adjustRightInd w:val="0"/>
              <w:snapToGrid w:val="0"/>
              <w:rPr>
                <w:rFonts w:hint="default" w:ascii="Times New Roman" w:hAnsi="Times New Roman" w:eastAsia="微软雅黑" w:cs="Times New Roman"/>
                <w:sz w:val="24"/>
                <w:szCs w:val="24"/>
              </w:rPr>
            </w:pPr>
          </w:p>
        </w:tc>
        <w:tc>
          <w:tcPr>
            <w:tcW w:w="6108" w:type="dxa"/>
            <w:tcMar>
              <w:left w:w="0" w:type="dxa"/>
              <w:right w:w="0" w:type="dxa"/>
            </w:tcMar>
            <w:vAlign w:val="center"/>
          </w:tcPr>
          <w:p>
            <w:pPr>
              <w:widowControl/>
              <w:topLinePunct/>
              <w:adjustRightInd w:val="0"/>
              <w:snapToGrid w:val="0"/>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赣同致【2022】（九司）第05030号</w:t>
            </w:r>
          </w:p>
        </w:tc>
      </w:tr>
      <w:tr>
        <w:tblPrEx>
          <w:tblCellMar>
            <w:top w:w="0" w:type="dxa"/>
            <w:left w:w="108" w:type="dxa"/>
            <w:bottom w:w="0" w:type="dxa"/>
            <w:right w:w="108" w:type="dxa"/>
          </w:tblCellMar>
        </w:tblPrEx>
        <w:trPr>
          <w:trHeight w:val="510" w:hRule="atLeast"/>
        </w:trPr>
        <w:tc>
          <w:tcPr>
            <w:tcW w:w="567"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4"/>
                <w:szCs w:val="24"/>
              </w:rPr>
            </w:pPr>
            <w:r>
              <w:rPr>
                <w:rFonts w:hint="default" w:ascii="Times New Roman" w:hAnsi="Times New Roman" w:eastAsia="微软雅黑" w:cs="Times New Roman"/>
                <w:b/>
                <w:sz w:val="24"/>
                <w:szCs w:val="24"/>
              </w:rPr>
              <w:t>——</w:t>
            </w:r>
          </w:p>
        </w:tc>
        <w:tc>
          <w:tcPr>
            <w:tcW w:w="6108"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8"/>
                <w:szCs w:val="28"/>
              </w:rPr>
            </w:pPr>
            <w:r>
              <w:rPr>
                <w:rFonts w:hint="default" w:ascii="Times New Roman" w:hAnsi="Times New Roman" w:eastAsia="微软雅黑" w:cs="Times New Roman"/>
                <w:b/>
                <w:sz w:val="28"/>
                <w:szCs w:val="28"/>
              </w:rPr>
              <w:t>估价项目名称：</w:t>
            </w:r>
          </w:p>
        </w:tc>
      </w:tr>
      <w:tr>
        <w:tblPrEx>
          <w:tblCellMar>
            <w:top w:w="0" w:type="dxa"/>
            <w:left w:w="108" w:type="dxa"/>
            <w:bottom w:w="0" w:type="dxa"/>
            <w:right w:w="108" w:type="dxa"/>
          </w:tblCellMar>
        </w:tblPrEx>
        <w:trPr>
          <w:trHeight w:val="510" w:hRule="atLeast"/>
        </w:trPr>
        <w:tc>
          <w:tcPr>
            <w:tcW w:w="567" w:type="dxa"/>
            <w:tcMar>
              <w:left w:w="0" w:type="dxa"/>
              <w:right w:w="0" w:type="dxa"/>
            </w:tcMar>
            <w:vAlign w:val="center"/>
          </w:tcPr>
          <w:p>
            <w:pPr>
              <w:widowControl/>
              <w:topLinePunct/>
              <w:adjustRightInd w:val="0"/>
              <w:snapToGrid w:val="0"/>
              <w:rPr>
                <w:rFonts w:hint="default" w:ascii="Times New Roman" w:hAnsi="Times New Roman" w:eastAsia="微软雅黑" w:cs="Times New Roman"/>
                <w:sz w:val="24"/>
                <w:szCs w:val="28"/>
              </w:rPr>
            </w:pPr>
          </w:p>
        </w:tc>
        <w:tc>
          <w:tcPr>
            <w:tcW w:w="6108" w:type="dxa"/>
            <w:tcMar>
              <w:left w:w="0" w:type="dxa"/>
              <w:right w:w="0" w:type="dxa"/>
            </w:tcMar>
            <w:vAlign w:val="center"/>
          </w:tcPr>
          <w:p>
            <w:pPr>
              <w:widowControl/>
              <w:topLinePunct/>
              <w:adjustRightInd w:val="0"/>
              <w:snapToGrid w:val="0"/>
              <w:rPr>
                <w:rFonts w:hint="default" w:ascii="Times New Roman" w:hAnsi="Times New Roman" w:eastAsia="微软雅黑" w:cs="Times New Roman"/>
                <w:sz w:val="24"/>
                <w:szCs w:val="28"/>
              </w:rPr>
            </w:pPr>
            <w:bookmarkStart w:id="0" w:name="OLE_LINK7"/>
            <w:bookmarkStart w:id="1" w:name="OLE_LINK6"/>
            <w:r>
              <w:rPr>
                <w:rFonts w:hint="default" w:ascii="Times New Roman" w:hAnsi="Times New Roman" w:eastAsia="微软雅黑" w:cs="Times New Roman"/>
                <w:sz w:val="24"/>
                <w:szCs w:val="28"/>
              </w:rPr>
              <w:t>庐山市庐阳大道东盟时代豪苑14栋2-404房地产市场价值评估</w:t>
            </w:r>
            <w:bookmarkEnd w:id="0"/>
            <w:bookmarkEnd w:id="1"/>
          </w:p>
        </w:tc>
      </w:tr>
      <w:tr>
        <w:tblPrEx>
          <w:tblCellMar>
            <w:top w:w="0" w:type="dxa"/>
            <w:left w:w="108" w:type="dxa"/>
            <w:bottom w:w="0" w:type="dxa"/>
            <w:right w:w="108" w:type="dxa"/>
          </w:tblCellMar>
        </w:tblPrEx>
        <w:trPr>
          <w:trHeight w:val="510" w:hRule="atLeast"/>
        </w:trPr>
        <w:tc>
          <w:tcPr>
            <w:tcW w:w="567"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4"/>
                <w:szCs w:val="24"/>
              </w:rPr>
            </w:pPr>
            <w:r>
              <w:rPr>
                <w:rFonts w:hint="default" w:ascii="Times New Roman" w:hAnsi="Times New Roman" w:eastAsia="微软雅黑" w:cs="Times New Roman"/>
                <w:b/>
                <w:sz w:val="24"/>
                <w:szCs w:val="24"/>
              </w:rPr>
              <w:t>——</w:t>
            </w:r>
          </w:p>
        </w:tc>
        <w:tc>
          <w:tcPr>
            <w:tcW w:w="6108"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8"/>
                <w:szCs w:val="28"/>
              </w:rPr>
            </w:pPr>
            <w:r>
              <w:rPr>
                <w:rFonts w:hint="default" w:ascii="Times New Roman" w:hAnsi="Times New Roman" w:eastAsia="微软雅黑" w:cs="Times New Roman"/>
                <w:b/>
                <w:sz w:val="28"/>
                <w:szCs w:val="28"/>
              </w:rPr>
              <w:t>估价委托人：</w:t>
            </w:r>
          </w:p>
        </w:tc>
      </w:tr>
      <w:tr>
        <w:tblPrEx>
          <w:tblCellMar>
            <w:top w:w="0" w:type="dxa"/>
            <w:left w:w="108" w:type="dxa"/>
            <w:bottom w:w="0" w:type="dxa"/>
            <w:right w:w="108" w:type="dxa"/>
          </w:tblCellMar>
        </w:tblPrEx>
        <w:trPr>
          <w:trHeight w:val="510" w:hRule="atLeast"/>
        </w:trPr>
        <w:tc>
          <w:tcPr>
            <w:tcW w:w="567" w:type="dxa"/>
            <w:tcMar>
              <w:left w:w="0" w:type="dxa"/>
              <w:right w:w="0" w:type="dxa"/>
            </w:tcMar>
            <w:vAlign w:val="center"/>
          </w:tcPr>
          <w:p>
            <w:pPr>
              <w:widowControl/>
              <w:topLinePunct/>
              <w:adjustRightInd w:val="0"/>
              <w:snapToGrid w:val="0"/>
              <w:rPr>
                <w:rFonts w:hint="default" w:ascii="Times New Roman" w:hAnsi="Times New Roman" w:eastAsia="微软雅黑" w:cs="Times New Roman"/>
                <w:sz w:val="24"/>
                <w:szCs w:val="28"/>
              </w:rPr>
            </w:pPr>
          </w:p>
        </w:tc>
        <w:tc>
          <w:tcPr>
            <w:tcW w:w="6108" w:type="dxa"/>
            <w:tcMar>
              <w:left w:w="0" w:type="dxa"/>
              <w:right w:w="0" w:type="dxa"/>
            </w:tcMar>
            <w:vAlign w:val="center"/>
          </w:tcPr>
          <w:p>
            <w:pPr>
              <w:widowControl/>
              <w:topLinePunct/>
              <w:adjustRightInd w:val="0"/>
              <w:snapToGrid w:val="0"/>
              <w:rPr>
                <w:rFonts w:hint="default" w:ascii="Times New Roman" w:hAnsi="Times New Roman" w:eastAsia="微软雅黑" w:cs="Times New Roman"/>
                <w:sz w:val="24"/>
                <w:szCs w:val="28"/>
              </w:rPr>
            </w:pPr>
            <w:r>
              <w:rPr>
                <w:rFonts w:hint="default" w:ascii="Times New Roman" w:hAnsi="Times New Roman" w:eastAsia="微软雅黑" w:cs="Times New Roman"/>
                <w:sz w:val="24"/>
                <w:szCs w:val="28"/>
              </w:rPr>
              <w:t>庐山市人民法院</w:t>
            </w:r>
          </w:p>
        </w:tc>
      </w:tr>
      <w:tr>
        <w:tblPrEx>
          <w:tblCellMar>
            <w:top w:w="0" w:type="dxa"/>
            <w:left w:w="108" w:type="dxa"/>
            <w:bottom w:w="0" w:type="dxa"/>
            <w:right w:w="108" w:type="dxa"/>
          </w:tblCellMar>
        </w:tblPrEx>
        <w:trPr>
          <w:trHeight w:val="510" w:hRule="atLeast"/>
        </w:trPr>
        <w:tc>
          <w:tcPr>
            <w:tcW w:w="567"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4"/>
                <w:szCs w:val="24"/>
              </w:rPr>
            </w:pPr>
            <w:r>
              <w:rPr>
                <w:rFonts w:hint="default" w:ascii="Times New Roman" w:hAnsi="Times New Roman" w:eastAsia="微软雅黑" w:cs="Times New Roman"/>
                <w:b/>
                <w:sz w:val="24"/>
                <w:szCs w:val="24"/>
              </w:rPr>
              <w:t>——</w:t>
            </w:r>
          </w:p>
        </w:tc>
        <w:tc>
          <w:tcPr>
            <w:tcW w:w="6108"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8"/>
                <w:szCs w:val="28"/>
              </w:rPr>
            </w:pPr>
            <w:r>
              <w:rPr>
                <w:rFonts w:hint="default" w:ascii="Times New Roman" w:hAnsi="Times New Roman" w:eastAsia="微软雅黑" w:cs="Times New Roman"/>
                <w:b/>
                <w:sz w:val="28"/>
                <w:szCs w:val="28"/>
              </w:rPr>
              <w:t>房地产估价机构：</w:t>
            </w:r>
          </w:p>
        </w:tc>
      </w:tr>
      <w:tr>
        <w:tblPrEx>
          <w:tblCellMar>
            <w:top w:w="0" w:type="dxa"/>
            <w:left w:w="108" w:type="dxa"/>
            <w:bottom w:w="0" w:type="dxa"/>
            <w:right w:w="108" w:type="dxa"/>
          </w:tblCellMar>
        </w:tblPrEx>
        <w:trPr>
          <w:trHeight w:val="510" w:hRule="atLeast"/>
        </w:trPr>
        <w:tc>
          <w:tcPr>
            <w:tcW w:w="567"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4"/>
                <w:szCs w:val="24"/>
              </w:rPr>
            </w:pPr>
          </w:p>
        </w:tc>
        <w:tc>
          <w:tcPr>
            <w:tcW w:w="6108"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8"/>
                <w:szCs w:val="28"/>
              </w:rPr>
            </w:pPr>
            <w:r>
              <w:rPr>
                <w:rFonts w:hint="default" w:ascii="Times New Roman" w:hAnsi="Times New Roman" w:eastAsia="微软雅黑" w:cs="Times New Roman"/>
                <w:sz w:val="24"/>
                <w:szCs w:val="28"/>
              </w:rPr>
              <w:t>江西同致房地产土地资产评估咨询有限公司</w:t>
            </w:r>
          </w:p>
        </w:tc>
      </w:tr>
      <w:tr>
        <w:tblPrEx>
          <w:tblCellMar>
            <w:top w:w="0" w:type="dxa"/>
            <w:left w:w="108" w:type="dxa"/>
            <w:bottom w:w="0" w:type="dxa"/>
            <w:right w:w="108" w:type="dxa"/>
          </w:tblCellMar>
        </w:tblPrEx>
        <w:trPr>
          <w:trHeight w:val="510" w:hRule="atLeast"/>
        </w:trPr>
        <w:tc>
          <w:tcPr>
            <w:tcW w:w="567"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4"/>
                <w:szCs w:val="24"/>
              </w:rPr>
            </w:pPr>
            <w:r>
              <w:rPr>
                <w:rFonts w:hint="default" w:ascii="Times New Roman" w:hAnsi="Times New Roman" w:eastAsia="微软雅黑" w:cs="Times New Roman"/>
                <w:b/>
                <w:sz w:val="24"/>
                <w:szCs w:val="24"/>
              </w:rPr>
              <w:t>——</w:t>
            </w:r>
          </w:p>
        </w:tc>
        <w:tc>
          <w:tcPr>
            <w:tcW w:w="6108"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8"/>
                <w:szCs w:val="28"/>
              </w:rPr>
            </w:pPr>
            <w:r>
              <w:rPr>
                <w:rFonts w:hint="default" w:ascii="Times New Roman" w:hAnsi="Times New Roman" w:cs="Times New Roman"/>
              </w:rPr>
              <w:pict>
                <v:shape id="文本框 3" o:spid="_x0000_s1026" o:spt="202" type="#_x0000_t202" style="position:absolute;left:0pt;margin-left:220.85pt;margin-top:7.95pt;height:94.15pt;width:128.75pt;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">
                  <v:path/>
                  <v:fill focussize="0,0"/>
                  <v:stroke on="f" joinstyle="miter"/>
                  <v:imagedata o:title=""/>
                  <o:lock v:ext="edit"/>
                  <v:textbox>
                    <w:txbxContent>
                      <w:p>
                        <w:pPr>
                          <w:jc w:val="center"/>
                          <w:rPr>
                            <w:rFonts w:ascii="微软雅黑" w:hAnsi="微软雅黑" w:eastAsia="微软雅黑" w:cs="微软雅黑"/>
                            <w:b/>
                            <w:bCs/>
                            <w:color w:val="C3AD72"/>
                            <w:sz w:val="52"/>
                            <w:szCs w:val="52"/>
                          </w:rPr>
                        </w:pPr>
                        <w:r>
                          <w:rPr>
                            <w:rFonts w:hint="eastAsia" w:ascii="微软雅黑" w:hAnsi="微软雅黑" w:eastAsia="微软雅黑" w:cs="微软雅黑"/>
                            <w:b/>
                            <w:bCs/>
                            <w:color w:val="C3AD72"/>
                            <w:sz w:val="52"/>
                            <w:szCs w:val="52"/>
                          </w:rPr>
                          <w:t>房地产估价报告</w:t>
                        </w:r>
                      </w:p>
                    </w:txbxContent>
                  </v:textbox>
                </v:shape>
              </w:pict>
            </w:r>
            <w:r>
              <w:rPr>
                <w:rFonts w:hint="default" w:ascii="Times New Roman" w:hAnsi="Times New Roman" w:eastAsia="微软雅黑" w:cs="Times New Roman"/>
                <w:b/>
                <w:sz w:val="28"/>
                <w:szCs w:val="28"/>
              </w:rPr>
              <w:t>注册房地产估价师：</w:t>
            </w:r>
          </w:p>
        </w:tc>
      </w:tr>
      <w:tr>
        <w:tblPrEx>
          <w:tblCellMar>
            <w:top w:w="0" w:type="dxa"/>
            <w:left w:w="108" w:type="dxa"/>
            <w:bottom w:w="0" w:type="dxa"/>
            <w:right w:w="108" w:type="dxa"/>
          </w:tblCellMar>
        </w:tblPrEx>
        <w:trPr>
          <w:trHeight w:val="510" w:hRule="atLeast"/>
        </w:trPr>
        <w:tc>
          <w:tcPr>
            <w:tcW w:w="567" w:type="dxa"/>
            <w:tcMar>
              <w:left w:w="0" w:type="dxa"/>
              <w:right w:w="0" w:type="dxa"/>
            </w:tcMar>
            <w:vAlign w:val="center"/>
          </w:tcPr>
          <w:p>
            <w:pPr>
              <w:widowControl/>
              <w:topLinePunct/>
              <w:adjustRightInd w:val="0"/>
              <w:snapToGrid w:val="0"/>
              <w:rPr>
                <w:rFonts w:hint="default" w:ascii="Times New Roman" w:hAnsi="Times New Roman" w:eastAsia="微软雅黑" w:cs="Times New Roman"/>
                <w:sz w:val="24"/>
                <w:szCs w:val="24"/>
              </w:rPr>
            </w:pPr>
          </w:p>
        </w:tc>
        <w:tc>
          <w:tcPr>
            <w:tcW w:w="6108" w:type="dxa"/>
            <w:tcMar>
              <w:left w:w="0" w:type="dxa"/>
              <w:right w:w="0" w:type="dxa"/>
            </w:tcMar>
            <w:vAlign w:val="center"/>
          </w:tcPr>
          <w:p>
            <w:pPr>
              <w:widowControl/>
              <w:topLinePunct/>
              <w:adjustRightInd w:val="0"/>
              <w:snapToGrid w:val="0"/>
              <w:rPr>
                <w:rFonts w:hint="default" w:ascii="Times New Roman" w:hAnsi="Times New Roman" w:eastAsia="微软雅黑" w:cs="Times New Roman"/>
                <w:sz w:val="24"/>
                <w:szCs w:val="28"/>
              </w:rPr>
            </w:pPr>
            <w:r>
              <w:rPr>
                <w:rFonts w:hint="default" w:ascii="Times New Roman" w:hAnsi="Times New Roman" w:eastAsia="微软雅黑" w:cs="Times New Roman"/>
                <w:sz w:val="24"/>
                <w:szCs w:val="28"/>
              </w:rPr>
              <w:t>陈茂旻（3620060002）</w:t>
            </w:r>
          </w:p>
          <w:p>
            <w:pPr>
              <w:widowControl/>
              <w:topLinePunct/>
              <w:adjustRightInd w:val="0"/>
              <w:snapToGrid w:val="0"/>
              <w:rPr>
                <w:rFonts w:hint="default" w:ascii="Times New Roman" w:hAnsi="Times New Roman" w:eastAsia="微软雅黑" w:cs="Times New Roman"/>
                <w:sz w:val="24"/>
                <w:szCs w:val="28"/>
              </w:rPr>
            </w:pPr>
            <w:r>
              <w:rPr>
                <w:rFonts w:hint="default" w:ascii="Times New Roman" w:hAnsi="Times New Roman" w:eastAsia="微软雅黑" w:cs="Times New Roman"/>
                <w:sz w:val="24"/>
                <w:szCs w:val="28"/>
              </w:rPr>
              <w:t>毛夏明（3620210022）</w:t>
            </w:r>
          </w:p>
        </w:tc>
      </w:tr>
      <w:tr>
        <w:tblPrEx>
          <w:tblCellMar>
            <w:top w:w="0" w:type="dxa"/>
            <w:left w:w="108" w:type="dxa"/>
            <w:bottom w:w="0" w:type="dxa"/>
            <w:right w:w="108" w:type="dxa"/>
          </w:tblCellMar>
        </w:tblPrEx>
        <w:trPr>
          <w:trHeight w:val="510" w:hRule="atLeast"/>
        </w:trPr>
        <w:tc>
          <w:tcPr>
            <w:tcW w:w="567"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4"/>
                <w:szCs w:val="24"/>
              </w:rPr>
            </w:pPr>
            <w:r>
              <w:rPr>
                <w:rFonts w:hint="default" w:ascii="Times New Roman" w:hAnsi="Times New Roman" w:eastAsia="微软雅黑" w:cs="Times New Roman"/>
                <w:b/>
                <w:sz w:val="24"/>
                <w:szCs w:val="24"/>
              </w:rPr>
              <w:t>——</w:t>
            </w:r>
          </w:p>
        </w:tc>
        <w:tc>
          <w:tcPr>
            <w:tcW w:w="6108" w:type="dxa"/>
            <w:tcMar>
              <w:left w:w="0" w:type="dxa"/>
              <w:right w:w="0" w:type="dxa"/>
            </w:tcMar>
            <w:vAlign w:val="center"/>
          </w:tcPr>
          <w:p>
            <w:pPr>
              <w:widowControl/>
              <w:topLinePunct/>
              <w:adjustRightInd w:val="0"/>
              <w:snapToGrid w:val="0"/>
              <w:rPr>
                <w:rFonts w:hint="default" w:ascii="Times New Roman" w:hAnsi="Times New Roman" w:eastAsia="微软雅黑" w:cs="Times New Roman"/>
                <w:sz w:val="24"/>
                <w:szCs w:val="28"/>
              </w:rPr>
            </w:pPr>
            <w:r>
              <w:rPr>
                <w:rFonts w:hint="default" w:ascii="Times New Roman" w:hAnsi="Times New Roman" w:eastAsia="微软雅黑" w:cs="Times New Roman"/>
                <w:b/>
                <w:sz w:val="28"/>
                <w:szCs w:val="28"/>
              </w:rPr>
              <w:t>估价报告出具日期：</w:t>
            </w:r>
          </w:p>
        </w:tc>
      </w:tr>
      <w:tr>
        <w:tblPrEx>
          <w:tblCellMar>
            <w:top w:w="0" w:type="dxa"/>
            <w:left w:w="108" w:type="dxa"/>
            <w:bottom w:w="0" w:type="dxa"/>
            <w:right w:w="108" w:type="dxa"/>
          </w:tblCellMar>
        </w:tblPrEx>
        <w:trPr>
          <w:trHeight w:val="510" w:hRule="atLeast"/>
        </w:trPr>
        <w:tc>
          <w:tcPr>
            <w:tcW w:w="567"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4"/>
                <w:szCs w:val="24"/>
              </w:rPr>
            </w:pPr>
          </w:p>
        </w:tc>
        <w:tc>
          <w:tcPr>
            <w:tcW w:w="6108" w:type="dxa"/>
            <w:tcMar>
              <w:left w:w="0" w:type="dxa"/>
              <w:right w:w="0" w:type="dxa"/>
            </w:tcMar>
            <w:vAlign w:val="center"/>
          </w:tcPr>
          <w:p>
            <w:pPr>
              <w:widowControl/>
              <w:topLinePunct/>
              <w:adjustRightInd w:val="0"/>
              <w:snapToGrid w:val="0"/>
              <w:rPr>
                <w:rFonts w:hint="default" w:ascii="Times New Roman" w:hAnsi="Times New Roman" w:eastAsia="微软雅黑" w:cs="Times New Roman"/>
                <w:b/>
                <w:sz w:val="28"/>
                <w:szCs w:val="28"/>
              </w:rPr>
            </w:pPr>
            <w:r>
              <w:rPr>
                <w:rFonts w:hint="default" w:ascii="Times New Roman" w:hAnsi="Times New Roman" w:eastAsia="微软雅黑" w:cs="Times New Roman"/>
                <w:sz w:val="24"/>
                <w:szCs w:val="28"/>
              </w:rPr>
              <w:t>二O二二年五月二十四日</w:t>
            </w:r>
          </w:p>
        </w:tc>
      </w:tr>
    </w:tbl>
    <w:p>
      <w:pPr>
        <w:widowControl/>
        <w:topLinePunct/>
        <w:adjustRightInd w:val="0"/>
        <w:snapToGrid w:val="0"/>
        <w:spacing w:line="288" w:lineRule="auto"/>
        <w:jc w:val="left"/>
        <w:rPr>
          <w:rFonts w:hint="default" w:ascii="Times New Roman" w:hAnsi="Times New Roman" w:eastAsia="微软雅黑" w:cs="Times New Roman"/>
        </w:rPr>
        <w:sectPr>
          <w:headerReference r:id="rId4" w:type="first"/>
          <w:headerReference r:id="rId3" w:type="default"/>
          <w:footerReference r:id="rId5" w:type="default"/>
          <w:pgSz w:w="11906" w:h="16838"/>
          <w:pgMar w:top="1701" w:right="1418" w:bottom="1418" w:left="1701" w:header="851" w:footer="992" w:gutter="0"/>
          <w:pgNumType w:start="0"/>
          <w:cols w:space="425" w:num="1"/>
          <w:titlePg/>
          <w:docGrid w:linePitch="312" w:charSpace="0"/>
        </w:sectPr>
      </w:pPr>
      <w:r>
        <w:rPr>
          <w:rFonts w:hint="default" w:ascii="Times New Roman" w:hAnsi="Times New Roman" w:cs="Times New Roman"/>
        </w:rPr>
        <w:drawing>
          <wp:anchor distT="0" distB="0" distL="114300" distR="114300" simplePos="0" relativeHeight="251659264" behindDoc="1" locked="0" layoutInCell="1" allowOverlap="1">
            <wp:simplePos x="0" y="0"/>
            <wp:positionH relativeFrom="margin">
              <wp:posOffset>3754120</wp:posOffset>
            </wp:positionH>
            <wp:positionV relativeFrom="page">
              <wp:posOffset>2877185</wp:posOffset>
            </wp:positionV>
            <wp:extent cx="2015490" cy="2015490"/>
            <wp:effectExtent l="0" t="0" r="0" b="0"/>
            <wp:wrapNone/>
            <wp:docPr id="1033" name="图片 7" descr="5984289f71421"/>
            <wp:cNvGraphicFramePr/>
            <a:graphic xmlns:a="http://schemas.openxmlformats.org/drawingml/2006/main">
              <a:graphicData uri="http://schemas.openxmlformats.org/drawingml/2006/picture">
                <pic:pic xmlns:pic="http://schemas.openxmlformats.org/drawingml/2006/picture">
                  <pic:nvPicPr>
                    <pic:cNvPr id="1033" name="图片 7" descr="5984289f71421"/>
                    <pic:cNvPicPr>
                      <a:picLocks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a:xfrm>
                      <a:off x="0" y="0"/>
                      <a:ext cx="2015490" cy="2015490"/>
                    </a:xfrm>
                    <a:prstGeom prst="rect">
                      <a:avLst/>
                    </a:prstGeom>
                    <a:noFill/>
                    <a:ln>
                      <a:noFill/>
                    </a:ln>
                  </pic:spPr>
                </pic:pic>
              </a:graphicData>
            </a:graphic>
          </wp:anchor>
        </w:drawing>
      </w:r>
      <w:r>
        <w:rPr>
          <w:rFonts w:hint="default" w:ascii="Times New Roman" w:hAnsi="Times New Roman" w:cs="Times New Roman"/>
        </w:rPr>
        <w:pict>
          <v:group id="Group 26" o:spid="_x0000_s1027" o:spt="203" style="position:absolute;left:0pt;margin-left:2.4pt;margin-top:487.65pt;height:66.45pt;width:437.6pt;z-index:251661312;mso-width-relative:page;mso-height-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">
            <o:lock v:ext="edit"/>
            <v:shape id="文本框 5" o:spid="_x0000_s1028" o:spt="202" type="#_x0000_t202" style="position:absolute;left:3372;top:14084;height:1292;width:707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">
              <v:path/>
              <v:fill focussize="0,0"/>
              <v:stroke weight="0.5pt" joinstyle="miter"/>
              <v:imagedata o:title=""/>
              <o:lock v:ext="edit"/>
              <v:textbox>
                <w:txbxContent>
                  <w:p>
                    <w:pPr>
                      <w:numPr>
                        <w:ilvl w:val="0"/>
                        <w:numId w:val="1"/>
                      </w:numPr>
                      <w:adjustRightInd w:val="0"/>
                      <w:snapToGrid w:val="0"/>
                      <w:spacing w:beforeLines="40"/>
                      <w:rPr>
                        <w:rFonts w:ascii="微软雅黑" w:hAnsi="微软雅黑" w:eastAsia="微软雅黑" w:cs="微软雅黑"/>
                        <w:bCs/>
                        <w:sz w:val="22"/>
                      </w:rPr>
                    </w:pPr>
                    <w:r>
                      <w:rPr>
                        <w:rFonts w:hint="eastAsia" w:ascii="微软雅黑" w:hAnsi="微软雅黑" w:eastAsia="微软雅黑" w:cs="微软雅黑"/>
                        <w:bCs/>
                        <w:sz w:val="22"/>
                      </w:rPr>
                      <w:t>地址：江西省南昌市红谷滩新区赣江北大道</w:t>
                    </w:r>
                    <w:r>
                      <w:rPr>
                        <w:rFonts w:ascii="微软雅黑" w:hAnsi="微软雅黑" w:eastAsia="微软雅黑" w:cs="微软雅黑"/>
                        <w:bCs/>
                        <w:sz w:val="22"/>
                      </w:rPr>
                      <w:t>1</w:t>
                    </w:r>
                    <w:r>
                      <w:rPr>
                        <w:rFonts w:hint="eastAsia" w:ascii="微软雅黑" w:hAnsi="微软雅黑" w:eastAsia="微软雅黑" w:cs="微软雅黑"/>
                        <w:bCs/>
                        <w:sz w:val="22"/>
                      </w:rPr>
                      <w:t>号中航广场</w:t>
                    </w:r>
                    <w:r>
                      <w:rPr>
                        <w:rFonts w:ascii="微软雅黑" w:hAnsi="微软雅黑" w:eastAsia="微软雅黑" w:cs="微软雅黑"/>
                        <w:bCs/>
                        <w:sz w:val="22"/>
                      </w:rPr>
                      <w:t>14</w:t>
                    </w:r>
                    <w:r>
                      <w:rPr>
                        <w:rFonts w:hint="eastAsia" w:ascii="微软雅黑" w:hAnsi="微软雅黑" w:eastAsia="微软雅黑" w:cs="微软雅黑"/>
                        <w:bCs/>
                        <w:sz w:val="22"/>
                      </w:rPr>
                      <w:t>楼</w:t>
                    </w:r>
                  </w:p>
                  <w:p>
                    <w:pPr>
                      <w:numPr>
                        <w:ilvl w:val="0"/>
                        <w:numId w:val="1"/>
                      </w:numPr>
                      <w:adjustRightInd w:val="0"/>
                      <w:snapToGrid w:val="0"/>
                      <w:rPr>
                        <w:rFonts w:ascii="微软雅黑" w:hAnsi="微软雅黑" w:eastAsia="微软雅黑" w:cs="微软雅黑"/>
                        <w:bCs/>
                        <w:sz w:val="22"/>
                      </w:rPr>
                    </w:pPr>
                    <w:r>
                      <w:rPr>
                        <w:rFonts w:hint="eastAsia" w:ascii="微软雅黑" w:hAnsi="微软雅黑" w:eastAsia="微软雅黑" w:cs="微软雅黑"/>
                        <w:bCs/>
                        <w:sz w:val="22"/>
                      </w:rPr>
                      <w:t>客服电话：</w:t>
                    </w:r>
                    <w:r>
                      <w:rPr>
                        <w:rFonts w:ascii="微软雅黑" w:hAnsi="微软雅黑" w:eastAsia="微软雅黑" w:cs="微软雅黑"/>
                        <w:bCs/>
                        <w:sz w:val="22"/>
                      </w:rPr>
                      <w:t>0791-86801000</w:t>
                    </w:r>
                  </w:p>
                </w:txbxContent>
              </v:textbox>
            </v:shape>
            <v:rect id="矩形 10" o:spid="_x0000_s1029" o:spt="1" style="position:absolute;left:1695;top:14084;height:339;width:135;v-text-anchor:middle;" fillcolor="#C3AD72"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">
              <v:path/>
              <v:fill on="t" focussize="0,0"/>
              <v:stroke on="f"/>
              <v:imagedata o:title=""/>
              <o:lock v:ext="edit"/>
            </v:rect>
            <v:rect id="矩形 11" o:spid="_x0000_s1030" o:spt="1" style="position:absolute;left:1695;top:14594;height:339;width:135;v-text-anchor:middle;" fillcolor="#A6A6A6"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">
              <v:path/>
              <v:fill on="t" focussize="0,0"/>
              <v:stroke on="f"/>
              <v:imagedata o:title=""/>
              <o:lock v:ext="edit"/>
            </v:rect>
            <v:rect id="矩形 12" o:spid="_x0000_s1031" o:spt="1" style="position:absolute;left:1695;top:15074;height:339;width:135;v-text-anchor:middle;" fillcolor="#7F7F7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">
              <v:path/>
              <v:fill on="t" focussize="0,0"/>
              <v:stroke on="f"/>
              <v:imagedata o:title=""/>
              <o:lock v:ext="edit"/>
            </v:rect>
            <v:shape id="Text Box 23" o:spid="_x0000_s1032" o:spt="202" type="#_x0000_t202" style="position:absolute;left:1968;top:14084;height:1287;width:131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">
              <v:path/>
              <v:fill focussize="0,0"/>
              <v:stroke joinstyle="miter"/>
              <v:imagedata o:title=""/>
              <o:lock v:ext="edit"/>
              <v:textbox inset="0mm,0mm,0mm,0mm">
                <w:txbxContent>
                  <w:p>
                    <w:r>
                      <w:drawing>
                        <wp:inline distT="0" distB="0" distL="0" distR="0">
                          <wp:extent cx="810895" cy="829310"/>
                          <wp:effectExtent l="0" t="0" r="0" b="0"/>
                          <wp:docPr id="1032" name="图片 27" descr="C:\Documents and Settings\Administrator\桌面\QQ截图2018021009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图片 27" descr="C:\Documents and Settings\Administrator\桌面\QQ截图201802100957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10895" cy="829310"/>
                                  </a:xfrm>
                                  <a:prstGeom prst="rect">
                                    <a:avLst/>
                                  </a:prstGeom>
                                  <a:noFill/>
                                  <a:ln>
                                    <a:noFill/>
                                  </a:ln>
                                </pic:spPr>
                              </pic:pic>
                            </a:graphicData>
                          </a:graphic>
                        </wp:inline>
                      </w:drawing>
                    </w:r>
                  </w:p>
                </w:txbxContent>
              </v:textbox>
            </v:shape>
          </v:group>
        </w:pict>
      </w:r>
      <w:r>
        <w:rPr>
          <w:rFonts w:hint="default" w:ascii="Times New Roman" w:hAnsi="Times New Roman" w:cs="Times New Roman"/>
        </w:rPr>
        <w:pict>
          <v:rect id="矩形 1" o:spid="_x0000_s1041" o:spt="1" style="position:absolute;left:0pt;margin-top:215.55pt;height:226.75pt;width:99.2pt;mso-position-horizontal:right;mso-position-horizontal-relative:margin;z-index:251660288;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">
            <v:path arrowok="t"/>
            <v:fill on="f" focussize="0,0"/>
            <v:stroke weight="4.5pt" color="#C0AD72"/>
            <v:imagedata o:title=""/>
            <o:lock v:ext="edit"/>
          </v:rect>
        </w:pict>
      </w:r>
    </w:p>
    <w:p>
      <w:pPr>
        <w:tabs>
          <w:tab w:val="left" w:pos="4998"/>
        </w:tabs>
        <w:spacing w:line="460" w:lineRule="exact"/>
        <w:jc w:val="center"/>
        <w:rPr>
          <w:rFonts w:hint="default" w:ascii="Times New Roman" w:hAnsi="Times New Roman" w:eastAsia="仿宋_GB2312" w:cs="Times New Roman"/>
          <w:b/>
          <w:snapToGrid w:val="0"/>
          <w:kern w:val="0"/>
          <w:sz w:val="32"/>
          <w:szCs w:val="32"/>
        </w:rPr>
      </w:pPr>
      <w:bookmarkStart w:id="2" w:name="_Toc448735641"/>
      <w:bookmarkStart w:id="3" w:name="_Toc435110940"/>
      <w:bookmarkStart w:id="4" w:name="_Toc435110678"/>
      <w:bookmarkStart w:id="5" w:name="_Toc435604001"/>
      <w:bookmarkStart w:id="6" w:name="_Toc499892123"/>
      <w:bookmarkStart w:id="7" w:name="_Toc435178263"/>
      <w:bookmarkStart w:id="8" w:name="_Toc502073648"/>
      <w:bookmarkStart w:id="9" w:name="_Toc435111749"/>
      <w:bookmarkStart w:id="10" w:name="_Toc528075294"/>
      <w:bookmarkStart w:id="11" w:name="_Toc437251012"/>
      <w:r>
        <w:rPr>
          <w:rFonts w:hint="default" w:ascii="Times New Roman" w:hAnsi="Times New Roman" w:eastAsia="仿宋_GB2312" w:cs="Times New Roman"/>
          <w:b/>
          <w:snapToGrid w:val="0"/>
          <w:kern w:val="0"/>
          <w:sz w:val="32"/>
          <w:szCs w:val="32"/>
        </w:rPr>
        <w:t>致</w:t>
      </w:r>
      <w:r>
        <w:rPr>
          <w:rFonts w:hint="default" w:ascii="Times New Roman" w:hAnsi="Times New Roman" w:eastAsia="仿宋_GB2312" w:cs="Times New Roman"/>
          <w:b/>
          <w:sz w:val="32"/>
          <w:szCs w:val="32"/>
        </w:rPr>
        <w:t>估价</w:t>
      </w:r>
      <w:r>
        <w:rPr>
          <w:rFonts w:hint="default" w:ascii="Times New Roman" w:hAnsi="Times New Roman" w:eastAsia="仿宋_GB2312" w:cs="Times New Roman"/>
          <w:b/>
          <w:snapToGrid w:val="0"/>
          <w:kern w:val="0"/>
          <w:sz w:val="32"/>
          <w:szCs w:val="32"/>
        </w:rPr>
        <w:t>委托人函</w:t>
      </w:r>
      <w:bookmarkEnd w:id="2"/>
      <w:bookmarkEnd w:id="3"/>
      <w:bookmarkEnd w:id="4"/>
      <w:bookmarkEnd w:id="5"/>
      <w:bookmarkEnd w:id="6"/>
      <w:bookmarkEnd w:id="7"/>
      <w:bookmarkEnd w:id="8"/>
      <w:bookmarkEnd w:id="9"/>
      <w:bookmarkEnd w:id="10"/>
      <w:bookmarkEnd w:id="11"/>
    </w:p>
    <w:p>
      <w:pPr>
        <w:adjustRightInd w:val="0"/>
        <w:snapToGrid w:val="0"/>
        <w:spacing w:line="46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庐山市人民法院：</w:t>
      </w:r>
    </w:p>
    <w:p>
      <w:pPr>
        <w:adjustRightInd w:val="0"/>
        <w:snapToGrid w:val="0"/>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承蒙委托，我公司对位于庐山市庐阳大道东盟时代豪苑14栋2-404房地产市场价值进行了估</w:t>
      </w:r>
      <w:r>
        <w:rPr>
          <w:rFonts w:hint="default" w:ascii="Times New Roman" w:hAnsi="Times New Roman" w:eastAsia="仿宋_GB2312" w:cs="Times New Roman"/>
          <w:caps/>
          <w:sz w:val="28"/>
          <w:szCs w:val="28"/>
        </w:rPr>
        <w:t>价，</w:t>
      </w:r>
      <w:r>
        <w:rPr>
          <w:rFonts w:hint="default" w:ascii="Times New Roman" w:hAnsi="Times New Roman" w:eastAsia="仿宋_GB2312" w:cs="Times New Roman"/>
          <w:caps/>
          <w:sz w:val="28"/>
          <w:szCs w:val="28"/>
        </w:rPr>
        <w:t>估价目的是</w:t>
      </w:r>
      <w:r>
        <w:rPr>
          <w:rFonts w:hint="default" w:ascii="Times New Roman" w:hAnsi="Times New Roman" w:eastAsia="仿宋_GB2312" w:cs="Times New Roman"/>
          <w:caps/>
          <w:sz w:val="28"/>
          <w:szCs w:val="28"/>
        </w:rPr>
        <w:t>为人民法院确定财产处置参考价提供参考依据。</w:t>
      </w:r>
    </w:p>
    <w:p>
      <w:pPr>
        <w:adjustRightInd w:val="0"/>
        <w:snapToGrid w:val="0"/>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价值时点：</w:t>
      </w:r>
      <w:r>
        <w:rPr>
          <w:rFonts w:hint="default" w:ascii="Times New Roman" w:hAnsi="Times New Roman" w:eastAsia="仿宋_GB2312" w:cs="Times New Roman"/>
          <w:caps/>
          <w:sz w:val="28"/>
          <w:szCs w:val="28"/>
        </w:rPr>
        <w:t>2022年05月17日，为委托评估之日</w:t>
      </w:r>
      <w:r>
        <w:rPr>
          <w:rFonts w:hint="default" w:ascii="Times New Roman" w:hAnsi="Times New Roman" w:eastAsia="仿宋_GB2312" w:cs="Times New Roman"/>
          <w:sz w:val="28"/>
          <w:szCs w:val="28"/>
        </w:rPr>
        <w:t>。</w:t>
      </w:r>
    </w:p>
    <w:p>
      <w:pPr>
        <w:snapToGrid w:val="0"/>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价值类型：市场价值。</w:t>
      </w:r>
    </w:p>
    <w:p>
      <w:pPr>
        <w:tabs>
          <w:tab w:val="left" w:pos="993"/>
        </w:tabs>
        <w:adjustRightInd w:val="0"/>
        <w:snapToGrid w:val="0"/>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估价人员根据估价目的和国家有关房地产估价的规范、规定，遵循估价原则，按照估价程序，经过实地查勘与市场调查，选用比较法对估价对象进行了测算，确定估价对象在满足全部假设和限制条件下于价值时点</w:t>
      </w:r>
      <w:r>
        <w:rPr>
          <w:rFonts w:hint="default" w:ascii="Times New Roman" w:hAnsi="Times New Roman" w:eastAsia="仿宋_GB2312" w:cs="Times New Roman"/>
          <w:sz w:val="28"/>
          <w:szCs w:val="28"/>
        </w:rPr>
        <w:t>2022年05月17日</w:t>
      </w:r>
      <w:r>
        <w:rPr>
          <w:rFonts w:hint="default" w:ascii="Times New Roman" w:hAnsi="Times New Roman" w:eastAsia="仿宋_GB2312" w:cs="Times New Roman"/>
          <w:sz w:val="28"/>
          <w:szCs w:val="28"/>
        </w:rPr>
        <w:t>的估价结果为</w:t>
      </w:r>
      <w:r>
        <w:rPr>
          <w:rFonts w:hint="default" w:ascii="Times New Roman" w:hAnsi="Times New Roman" w:eastAsia="仿宋_GB2312" w:cs="Times New Roman"/>
          <w:b/>
          <w:bCs/>
          <w:sz w:val="28"/>
          <w:szCs w:val="28"/>
        </w:rPr>
        <w:t>￥</w:t>
      </w:r>
      <w:r>
        <w:rPr>
          <w:rFonts w:hint="default" w:ascii="Times New Roman" w:hAnsi="Times New Roman" w:eastAsia="仿宋_GB2312" w:cs="Times New Roman"/>
          <w:b/>
          <w:bCs/>
          <w:sz w:val="28"/>
          <w:szCs w:val="28"/>
        </w:rPr>
        <w:t>608540元</w:t>
      </w:r>
      <w:r>
        <w:rPr>
          <w:rFonts w:hint="default" w:ascii="Times New Roman" w:hAnsi="Times New Roman" w:eastAsia="仿宋_GB2312" w:cs="Times New Roman"/>
          <w:b/>
          <w:bCs/>
          <w:sz w:val="28"/>
          <w:szCs w:val="28"/>
        </w:rPr>
        <w:t>，人民币大写</w:t>
      </w:r>
      <w:r>
        <w:rPr>
          <w:rFonts w:hint="default" w:ascii="Times New Roman" w:hAnsi="Times New Roman" w:eastAsia="仿宋_GB2312" w:cs="Times New Roman"/>
          <w:b/>
          <w:bCs/>
          <w:sz w:val="28"/>
          <w:szCs w:val="28"/>
        </w:rPr>
        <w:t>陆拾万零捌仟伍佰肆拾</w:t>
      </w:r>
      <w:r>
        <w:rPr>
          <w:rFonts w:hint="default" w:ascii="Times New Roman" w:hAnsi="Times New Roman" w:eastAsia="仿宋_GB2312" w:cs="Times New Roman"/>
          <w:b/>
          <w:bCs/>
          <w:sz w:val="28"/>
          <w:szCs w:val="28"/>
        </w:rPr>
        <w:t>元整。</w:t>
      </w:r>
    </w:p>
    <w:p>
      <w:pPr>
        <w:pStyle w:val="40"/>
        <w:adjustRightInd w:val="0"/>
        <w:snapToGrid w:val="0"/>
        <w:spacing w:before="0" w:beforeAutospacing="0" w:after="0" w:afterAutospacing="0" w:line="460" w:lineRule="exact"/>
        <w:jc w:val="center"/>
        <w:rPr>
          <w:rFonts w:hint="default" w:ascii="Times New Roman" w:hAnsi="Times New Roman" w:eastAsia="仿宋_GB2312" w:cs="Times New Roman"/>
        </w:rPr>
      </w:pPr>
      <w:r>
        <w:rPr>
          <w:rFonts w:hint="default" w:ascii="Times New Roman" w:hAnsi="Times New Roman" w:eastAsia="仿宋_GB2312" w:cs="Times New Roman"/>
          <w:b/>
          <w:bCs/>
          <w:kern w:val="2"/>
          <w:sz w:val="28"/>
          <w:szCs w:val="28"/>
        </w:rPr>
        <w:t>估价结果明细表</w:t>
      </w:r>
    </w:p>
    <w:tbl>
      <w:tblPr>
        <w:tblStyle w:val="44"/>
        <w:tblW w:w="4988"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1704"/>
        <w:gridCol w:w="847"/>
        <w:gridCol w:w="1831"/>
        <w:gridCol w:w="569"/>
        <w:gridCol w:w="502"/>
        <w:gridCol w:w="788"/>
        <w:gridCol w:w="763"/>
        <w:gridCol w:w="883"/>
        <w:gridCol w:w="10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953"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不动产权证书号</w:t>
            </w:r>
          </w:p>
        </w:tc>
        <w:tc>
          <w:tcPr>
            <w:tcW w:w="474"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权利人</w:t>
            </w:r>
          </w:p>
        </w:tc>
        <w:tc>
          <w:tcPr>
            <w:tcW w:w="1024"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坐落</w:t>
            </w:r>
          </w:p>
        </w:tc>
        <w:tc>
          <w:tcPr>
            <w:tcW w:w="318"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用途</w:t>
            </w:r>
          </w:p>
        </w:tc>
        <w:tc>
          <w:tcPr>
            <w:tcW w:w="281"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房屋结构</w:t>
            </w:r>
          </w:p>
        </w:tc>
        <w:tc>
          <w:tcPr>
            <w:tcW w:w="441"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所在层/总层数</w:t>
            </w:r>
          </w:p>
        </w:tc>
        <w:tc>
          <w:tcPr>
            <w:tcW w:w="427"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建筑面积（</w:t>
            </w:r>
            <w:r>
              <w:rPr>
                <w:rFonts w:hint="default" w:ascii="Times New Roman" w:hAnsi="Times New Roman" w:cs="Times New Roman"/>
                <w:b/>
                <w:bCs/>
              </w:rPr>
              <w:t>㎡</w:t>
            </w:r>
            <w:r>
              <w:rPr>
                <w:rFonts w:hint="default" w:ascii="Times New Roman" w:hAnsi="Times New Roman" w:eastAsia="仿宋_GB2312" w:cs="Times New Roman"/>
                <w:b/>
                <w:bCs/>
              </w:rPr>
              <w:t>）</w:t>
            </w:r>
          </w:p>
        </w:tc>
        <w:tc>
          <w:tcPr>
            <w:tcW w:w="494" w:type="pct"/>
            <w:vAlign w:val="center"/>
          </w:tcPr>
          <w:p>
            <w:pPr>
              <w:autoSpaceDE w:val="0"/>
              <w:autoSpaceDN w:val="0"/>
              <w:adjustRightInd w:val="0"/>
              <w:spacing w:line="0" w:lineRule="atLeast"/>
              <w:jc w:val="center"/>
              <w:rPr>
                <w:rFonts w:hint="default" w:ascii="Times New Roman" w:hAnsi="Times New Roman" w:eastAsia="仿宋_GB2312" w:cs="Times New Roman"/>
                <w:b/>
                <w:bCs/>
              </w:rPr>
            </w:pPr>
            <w:r>
              <w:rPr>
                <w:rFonts w:hint="default" w:ascii="Times New Roman" w:hAnsi="Times New Roman" w:eastAsia="仿宋_GB2312" w:cs="Times New Roman"/>
                <w:b/>
                <w:bCs/>
              </w:rPr>
              <w:t>评估</w:t>
            </w:r>
            <w:r>
              <w:rPr>
                <w:rFonts w:hint="default" w:ascii="Times New Roman" w:hAnsi="Times New Roman" w:eastAsia="仿宋_GB2312" w:cs="Times New Roman"/>
                <w:b/>
                <w:bCs/>
              </w:rPr>
              <w:t>单价（元</w:t>
            </w:r>
            <w:r>
              <w:rPr>
                <w:rFonts w:hint="default" w:ascii="Times New Roman" w:hAnsi="Times New Roman" w:eastAsia="仿宋_GB2312" w:cs="Times New Roman"/>
                <w:b/>
                <w:bCs/>
              </w:rPr>
              <w:t>/</w:t>
            </w:r>
            <w:r>
              <w:rPr>
                <w:rFonts w:hint="default" w:ascii="Times New Roman" w:hAnsi="Times New Roman" w:cs="Times New Roman"/>
                <w:b/>
                <w:bCs/>
              </w:rPr>
              <w:t>㎡</w:t>
            </w:r>
            <w:r>
              <w:rPr>
                <w:rFonts w:hint="default" w:ascii="Times New Roman" w:hAnsi="Times New Roman" w:eastAsia="仿宋_GB2312" w:cs="Times New Roman"/>
                <w:b/>
                <w:bCs/>
              </w:rPr>
              <w:t>）</w:t>
            </w:r>
          </w:p>
        </w:tc>
        <w:tc>
          <w:tcPr>
            <w:tcW w:w="587" w:type="pct"/>
            <w:vAlign w:val="center"/>
          </w:tcPr>
          <w:p>
            <w:pPr>
              <w:autoSpaceDE w:val="0"/>
              <w:autoSpaceDN w:val="0"/>
              <w:adjustRightInd w:val="0"/>
              <w:spacing w:line="0" w:lineRule="atLeast"/>
              <w:jc w:val="center"/>
              <w:rPr>
                <w:rFonts w:hint="default" w:ascii="Times New Roman" w:hAnsi="Times New Roman" w:eastAsia="仿宋_GB2312" w:cs="Times New Roman"/>
                <w:b/>
                <w:bCs/>
              </w:rPr>
            </w:pPr>
            <w:r>
              <w:rPr>
                <w:rFonts w:hint="default" w:ascii="Times New Roman" w:hAnsi="Times New Roman" w:eastAsia="仿宋_GB2312" w:cs="Times New Roman"/>
                <w:b/>
                <w:bCs/>
              </w:rPr>
              <w:t>评估总价</w:t>
            </w:r>
            <w:r>
              <w:rPr>
                <w:rFonts w:hint="default" w:ascii="Times New Roman" w:hAnsi="Times New Roman" w:eastAsia="仿宋_GB2312" w:cs="Times New Roman"/>
                <w:b/>
                <w:bCs/>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953"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赣（2019）庐山市不动产权第0005070号</w:t>
            </w:r>
          </w:p>
        </w:tc>
        <w:tc>
          <w:tcPr>
            <w:tcW w:w="474"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刘金春 李艳平</w:t>
            </w:r>
          </w:p>
        </w:tc>
        <w:tc>
          <w:tcPr>
            <w:tcW w:w="1024"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庐阳大道东盟时代豪苑14栋2-404</w:t>
            </w:r>
          </w:p>
        </w:tc>
        <w:tc>
          <w:tcPr>
            <w:tcW w:w="318"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住宅</w:t>
            </w:r>
          </w:p>
        </w:tc>
        <w:tc>
          <w:tcPr>
            <w:tcW w:w="281"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钢混</w:t>
            </w:r>
          </w:p>
        </w:tc>
        <w:tc>
          <w:tcPr>
            <w:tcW w:w="441" w:type="pct"/>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4/7</w:t>
            </w:r>
          </w:p>
        </w:tc>
        <w:tc>
          <w:tcPr>
            <w:tcW w:w="427" w:type="pct"/>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124.88</w:t>
            </w:r>
          </w:p>
        </w:tc>
        <w:tc>
          <w:tcPr>
            <w:tcW w:w="494" w:type="pct"/>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4873</w:t>
            </w:r>
          </w:p>
        </w:tc>
        <w:tc>
          <w:tcPr>
            <w:tcW w:w="587" w:type="pct"/>
            <w:vAlign w:val="center"/>
          </w:tcPr>
          <w:p>
            <w:pPr>
              <w:jc w:val="center"/>
              <w:rPr>
                <w:rFonts w:hint="default" w:ascii="Times New Roman" w:hAnsi="Times New Roman" w:eastAsia="仿宋_GB2312" w:cs="Times New Roman"/>
                <w:color w:val="000000"/>
                <w:highlight w:val="yellow"/>
              </w:rPr>
            </w:pPr>
            <w:r>
              <w:rPr>
                <w:rFonts w:hint="default" w:ascii="Times New Roman" w:hAnsi="Times New Roman" w:eastAsia="仿宋_GB2312" w:cs="Times New Roman"/>
                <w:color w:val="000000"/>
              </w:rPr>
              <w:t>608540</w:t>
            </w:r>
          </w:p>
        </w:tc>
      </w:tr>
    </w:tbl>
    <w:p>
      <w:pPr>
        <w:tabs>
          <w:tab w:val="left" w:pos="993"/>
        </w:tabs>
        <w:adjustRightInd w:val="0"/>
        <w:snapToGrid w:val="0"/>
        <w:spacing w:line="42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特别提示：</w:t>
      </w:r>
    </w:p>
    <w:p>
      <w:pPr>
        <w:widowControl/>
        <w:adjustRightInd w:val="0"/>
        <w:snapToGrid w:val="0"/>
        <w:spacing w:line="320" w:lineRule="exact"/>
        <w:ind w:firstLine="357"/>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t>、上述估价结果中不包含处置时的司法诉讼费用、拍卖佣金、过户税费及其他应付费用等。特提请报告使用者注意。</w:t>
      </w:r>
    </w:p>
    <w:p>
      <w:pPr>
        <w:widowControl/>
        <w:adjustRightInd w:val="0"/>
        <w:snapToGrid w:val="0"/>
        <w:spacing w:line="320" w:lineRule="exact"/>
        <w:ind w:firstLine="357"/>
        <w:rPr>
          <w:rFonts w:hint="default" w:ascii="Times New Roman" w:hAnsi="Times New Roman" w:cs="Times New Roman"/>
          <w:b/>
          <w:sz w:val="24"/>
          <w:szCs w:val="24"/>
        </w:rPr>
      </w:pP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rPr>
        <w:t>、报告使用人在使用本报告之前须对报告全文，特别是“估价的假设和限制条件”认真阅读，以免使用不当，造成损失！估价的详细结果、过程及有关说明，请见《估价结果报告》。本估价报告自出报告之日起一年内有效。</w:t>
      </w:r>
    </w:p>
    <w:p>
      <w:pPr>
        <w:widowControl/>
        <w:adjustRightInd w:val="0"/>
        <w:snapToGrid w:val="0"/>
        <w:spacing w:line="320" w:lineRule="exact"/>
        <w:ind w:firstLine="357"/>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3、因财产拍卖（或者变卖）日期与价值时点不一致，评估对象状况或者房地产市场状况的变化会对评估结果产生影响。提请报告使用者注意。</w:t>
      </w:r>
    </w:p>
    <w:p>
      <w:pPr>
        <w:widowControl/>
        <w:adjustRightInd w:val="0"/>
        <w:snapToGrid w:val="0"/>
        <w:spacing w:line="320" w:lineRule="exact"/>
        <w:ind w:firstLine="357"/>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4、评估结果不等于评估对象处置可实现的成交价，不应被认为是对评估对象处置成交价的保证。提请报告使用者注意。</w:t>
      </w:r>
    </w:p>
    <w:p>
      <w:pPr>
        <w:widowControl/>
        <w:adjustRightInd w:val="0"/>
        <w:snapToGrid w:val="0"/>
        <w:spacing w:line="320" w:lineRule="exact"/>
        <w:ind w:firstLine="357"/>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5、本次估价对象相关信息以委托方提供的《不动产产权情况表》为依据，若与实际情况不符，估价结果须做相应调整。</w:t>
      </w:r>
    </w:p>
    <w:p>
      <w:pPr>
        <w:snapToGrid w:val="0"/>
        <w:spacing w:line="560" w:lineRule="exact"/>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江西同致房地产土地资产评估咨询有限公司</w:t>
      </w:r>
    </w:p>
    <w:p>
      <w:pPr>
        <w:snapToGrid w:val="0"/>
        <w:spacing w:line="560" w:lineRule="exact"/>
        <w:ind w:right="560" w:firstLine="4200" w:firstLineChars="1500"/>
        <w:rPr>
          <w:rFonts w:hint="default" w:ascii="Times New Roman" w:hAnsi="Times New Roman" w:eastAsia="仿宋_GB2312" w:cs="Times New Roman"/>
          <w:sz w:val="28"/>
          <w:szCs w:val="28"/>
        </w:rPr>
      </w:pPr>
      <w:bookmarkStart w:id="12" w:name="_Toc383068120"/>
      <w:bookmarkStart w:id="13" w:name="_Toc384813569"/>
      <w:bookmarkStart w:id="14" w:name="_Toc387827680"/>
      <w:bookmarkStart w:id="15" w:name="_Toc155258955"/>
      <w:bookmarkStart w:id="16" w:name="_Toc382493601"/>
      <w:r>
        <w:rPr>
          <w:rFonts w:hint="default" w:ascii="Times New Roman" w:hAnsi="Times New Roman" w:eastAsia="仿宋_GB2312" w:cs="Times New Roman"/>
          <w:sz w:val="28"/>
          <w:szCs w:val="28"/>
        </w:rPr>
        <w:t>法定代表人：</w:t>
      </w:r>
      <w:bookmarkEnd w:id="12"/>
      <w:bookmarkEnd w:id="13"/>
      <w:bookmarkEnd w:id="14"/>
      <w:bookmarkEnd w:id="15"/>
      <w:bookmarkEnd w:id="16"/>
    </w:p>
    <w:p>
      <w:pPr>
        <w:snapToGrid w:val="0"/>
        <w:spacing w:line="560" w:lineRule="exact"/>
        <w:ind w:right="560" w:firstLine="4200" w:firstLineChars="1500"/>
        <w:rPr>
          <w:rFonts w:hint="default" w:ascii="Times New Roman" w:hAnsi="Times New Roman" w:eastAsia="仿宋_GB2312" w:cs="Times New Roman"/>
          <w:sz w:val="28"/>
          <w:szCs w:val="28"/>
        </w:rPr>
        <w:sectPr>
          <w:headerReference r:id="rId6" w:type="default"/>
          <w:pgSz w:w="11906" w:h="16838"/>
          <w:pgMar w:top="1814" w:right="1276" w:bottom="1418" w:left="1701" w:header="1418" w:footer="737" w:gutter="0"/>
          <w:pgNumType w:start="1"/>
          <w:cols w:space="425" w:num="1"/>
          <w:docGrid w:linePitch="312" w:charSpace="0"/>
        </w:sectPr>
      </w:pPr>
      <w:r>
        <w:rPr>
          <w:rFonts w:hint="default" w:ascii="Times New Roman" w:hAnsi="Times New Roman" w:eastAsia="仿宋_GB2312" w:cs="Times New Roman"/>
          <w:sz w:val="28"/>
          <w:szCs w:val="28"/>
        </w:rPr>
        <w:t>二O二二年五月二十四日</w:t>
      </w:r>
    </w:p>
    <w:p>
      <w:pPr>
        <w:tabs>
          <w:tab w:val="left" w:pos="4998"/>
        </w:tabs>
        <w:spacing w:line="480" w:lineRule="exact"/>
        <w:jc w:val="center"/>
        <w:rPr>
          <w:rFonts w:hint="default" w:ascii="Times New Roman" w:hAnsi="Times New Roman" w:cs="Times New Roman"/>
        </w:rPr>
      </w:pPr>
      <w:bookmarkStart w:id="17" w:name="_Toc297196345"/>
      <w:bookmarkStart w:id="18" w:name="_Toc297122050"/>
      <w:bookmarkStart w:id="19" w:name="_Toc435110679"/>
      <w:bookmarkStart w:id="20" w:name="_Toc367869492"/>
      <w:bookmarkStart w:id="21" w:name="_Toc301369710"/>
      <w:r>
        <w:rPr>
          <w:rFonts w:hint="default" w:ascii="Times New Roman" w:hAnsi="Times New Roman" w:eastAsia="仿宋_GB2312" w:cs="Times New Roman"/>
          <w:b/>
          <w:snapToGrid w:val="0"/>
          <w:kern w:val="0"/>
          <w:sz w:val="32"/>
          <w:szCs w:val="32"/>
        </w:rPr>
        <w:t>目录</w:t>
      </w:r>
      <w:r>
        <w:rPr>
          <w:rFonts w:hint="default" w:ascii="Times New Roman" w:hAnsi="Times New Roman" w:cs="Times New Roman"/>
          <w:b/>
          <w:bCs/>
        </w:rPr>
        <w:fldChar w:fldCharType="begin"/>
      </w:r>
      <w:r>
        <w:rPr>
          <w:rFonts w:hint="default" w:ascii="Times New Roman" w:hAnsi="Times New Roman" w:cs="Times New Roman"/>
          <w:b/>
          <w:bCs/>
        </w:rPr>
        <w:instrText xml:space="preserve"> TOC \o "1-3" \h \z \u </w:instrText>
      </w:r>
      <w:r>
        <w:rPr>
          <w:rFonts w:hint="default" w:ascii="Times New Roman" w:hAnsi="Times New Roman" w:cs="Times New Roman"/>
          <w:b/>
          <w:bCs/>
        </w:rPr>
        <w:fldChar w:fldCharType="separate"/>
      </w:r>
    </w:p>
    <w:p>
      <w:pPr>
        <w:pStyle w:val="29"/>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b w:val="0"/>
          <w:bCs w:val="0"/>
          <w:spacing w:val="0"/>
          <w:kern w:val="2"/>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"_Toc104623062" </w:instrText>
      </w:r>
      <w:r>
        <w:rPr>
          <w:rFonts w:hint="default" w:ascii="Times New Roman" w:hAnsi="Times New Roman" w:cs="Times New Roman"/>
        </w:rPr>
        <w:fldChar w:fldCharType="separate"/>
      </w:r>
      <w:r>
        <w:rPr>
          <w:rStyle w:val="50"/>
          <w:rFonts w:hint="default" w:ascii="Times New Roman" w:hAnsi="Times New Roman" w:cs="Times New Roman"/>
          <w:snapToGrid w:val="0"/>
        </w:rPr>
        <w:t>一、估价师声明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_Toc104623062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b w:val="0"/>
          <w:bCs w:val="0"/>
          <w:spacing w:val="0"/>
          <w:kern w:val="2"/>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"_Toc104623063" </w:instrText>
      </w:r>
      <w:r>
        <w:rPr>
          <w:rFonts w:hint="default" w:ascii="Times New Roman" w:hAnsi="Times New Roman" w:cs="Times New Roman"/>
        </w:rPr>
        <w:fldChar w:fldCharType="separate"/>
      </w:r>
      <w:r>
        <w:rPr>
          <w:rStyle w:val="50"/>
          <w:rFonts w:hint="default" w:ascii="Times New Roman" w:hAnsi="Times New Roman" w:cs="Times New Roman"/>
          <w:snapToGrid w:val="0"/>
        </w:rPr>
        <w:t>二、估价假设和限制条件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_Toc104623063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b w:val="0"/>
          <w:bCs w:val="0"/>
          <w:spacing w:val="0"/>
          <w:kern w:val="2"/>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"_Toc104623064" </w:instrText>
      </w:r>
      <w:r>
        <w:rPr>
          <w:rFonts w:hint="default" w:ascii="Times New Roman" w:hAnsi="Times New Roman" w:cs="Times New Roman"/>
        </w:rPr>
        <w:fldChar w:fldCharType="separate"/>
      </w:r>
      <w:r>
        <w:rPr>
          <w:rStyle w:val="50"/>
          <w:rFonts w:hint="default" w:ascii="Times New Roman" w:hAnsi="Times New Roman" w:cs="Times New Roman"/>
          <w:snapToGrid w:val="0"/>
        </w:rPr>
        <w:t>三、估价结果报告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_Toc104623064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"_Toc104623065"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（一）估价委托人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_Toc104623065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"_Toc104623066"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（二）房地产估价机构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_Toc104623066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"_Toc104623067"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（三）估价目的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_Toc104623067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"_Toc104623068"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（四）估价对象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_Toc104623068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"_Toc104623069"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（五）价值时点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_Toc104623069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"_Toc104623070"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（六）价值类型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_Toc104623070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"_Toc104623071"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（七）估价原则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_Toc104623071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"_Toc104623072"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（八）估价依据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_Toc104623072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"_Toc104623073"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（九）估价方法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_Toc104623073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"_Toc104623074"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（十）估价结果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_Toc104623074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"_Toc104623075"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（十一）注册房地产估价师</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_Toc104623075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"_Toc104623076"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（十二）实地查勘期</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_Toc104623076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8"/>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"_Toc104623077" </w:instrText>
      </w:r>
      <w:r>
        <w:rPr>
          <w:rFonts w:hint="default" w:ascii="Times New Roman" w:hAnsi="Times New Roman" w:cs="Times New Roman"/>
        </w:rPr>
        <w:fldChar w:fldCharType="separate"/>
      </w:r>
      <w:r>
        <w:rPr>
          <w:rStyle w:val="50"/>
          <w:rFonts w:hint="default" w:ascii="Times New Roman" w:hAnsi="Times New Roman" w:eastAsia="仿宋_GB2312" w:cs="Times New Roman"/>
        </w:rPr>
        <w:t>（十三）估价作业期</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_Toc104623077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cs="Times New Roman" w:eastAsiaTheme="minorEastAsia"/>
          <w:b w:val="0"/>
          <w:bCs w:val="0"/>
          <w:spacing w:val="0"/>
          <w:kern w:val="2"/>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"_Toc104623078" </w:instrText>
      </w:r>
      <w:r>
        <w:rPr>
          <w:rFonts w:hint="default" w:ascii="Times New Roman" w:hAnsi="Times New Roman" w:cs="Times New Roman"/>
        </w:rPr>
        <w:fldChar w:fldCharType="separate"/>
      </w:r>
      <w:r>
        <w:rPr>
          <w:rStyle w:val="50"/>
          <w:rFonts w:hint="default" w:ascii="Times New Roman" w:hAnsi="Times New Roman" w:cs="Times New Roman"/>
        </w:rPr>
        <w:t>四、</w:t>
      </w:r>
      <w:r>
        <w:rPr>
          <w:rStyle w:val="50"/>
          <w:rFonts w:hint="default" w:ascii="Times New Roman" w:hAnsi="Times New Roman" w:cs="Times New Roman"/>
          <w:lang w:val="zh-CN"/>
        </w:rPr>
        <w:t>附件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_Toc104623078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1"/>
        <w:tabs>
          <w:tab w:val="right" w:leader="dot" w:pos="9457"/>
        </w:tabs>
        <w:spacing w:before="0" w:line="440" w:lineRule="exact"/>
        <w:jc w:val="center"/>
        <w:rPr>
          <w:rFonts w:hint="default" w:ascii="Times New Roman" w:hAnsi="Times New Roman" w:cs="Times New Roman"/>
          <w:color w:val="auto"/>
        </w:rPr>
        <w:sectPr>
          <w:headerReference r:id="rId7" w:type="default"/>
          <w:footerReference r:id="rId8" w:type="default"/>
          <w:pgSz w:w="11906" w:h="16838"/>
          <w:pgMar w:top="1814" w:right="1247" w:bottom="1418" w:left="1701" w:header="850" w:footer="850" w:gutter="0"/>
          <w:cols w:space="720" w:num="1"/>
          <w:docGrid w:linePitch="286" w:charSpace="0"/>
        </w:sectPr>
      </w:pPr>
      <w:r>
        <w:rPr>
          <w:rFonts w:hint="default" w:ascii="Times New Roman" w:hAnsi="Times New Roman" w:cs="Times New Roman"/>
          <w:b w:val="0"/>
          <w:bCs w:val="0"/>
          <w:color w:val="auto"/>
        </w:rPr>
        <w:fldChar w:fldCharType="end"/>
      </w:r>
    </w:p>
    <w:p>
      <w:pPr>
        <w:pStyle w:val="2"/>
        <w:spacing w:before="0" w:after="0" w:line="480" w:lineRule="exact"/>
        <w:jc w:val="center"/>
        <w:rPr>
          <w:rFonts w:hint="default" w:ascii="Times New Roman" w:hAnsi="Times New Roman" w:eastAsia="仿宋_GB2312" w:cs="Times New Roman"/>
          <w:snapToGrid w:val="0"/>
          <w:kern w:val="0"/>
          <w:sz w:val="32"/>
          <w:szCs w:val="32"/>
        </w:rPr>
      </w:pPr>
      <w:bookmarkStart w:id="22" w:name="_Toc104623062"/>
      <w:r>
        <w:rPr>
          <w:rFonts w:hint="default" w:ascii="Times New Roman" w:hAnsi="Times New Roman" w:eastAsia="仿宋_GB2312" w:cs="Times New Roman"/>
          <w:snapToGrid w:val="0"/>
          <w:kern w:val="0"/>
          <w:sz w:val="32"/>
          <w:szCs w:val="32"/>
        </w:rPr>
        <w:t>一、估价师声明</w:t>
      </w:r>
      <w:bookmarkEnd w:id="17"/>
      <w:bookmarkEnd w:id="18"/>
      <w:bookmarkEnd w:id="19"/>
      <w:bookmarkEnd w:id="20"/>
      <w:bookmarkEnd w:id="21"/>
      <w:bookmarkEnd w:id="22"/>
    </w:p>
    <w:p>
      <w:pPr>
        <w:spacing w:line="500" w:lineRule="exact"/>
        <w:rPr>
          <w:rFonts w:hint="default" w:ascii="Times New Roman" w:hAnsi="Times New Roman" w:eastAsia="仿宋_GB2312" w:cs="Times New Roman"/>
          <w:b/>
          <w:bCs/>
          <w:sz w:val="28"/>
          <w:szCs w:val="28"/>
        </w:rPr>
      </w:pPr>
      <w:bookmarkStart w:id="23" w:name="_Toc362509711"/>
      <w:r>
        <w:rPr>
          <w:rFonts w:hint="default" w:ascii="Times New Roman" w:hAnsi="Times New Roman" w:eastAsia="仿宋_GB2312" w:cs="Times New Roman"/>
          <w:b/>
          <w:bCs/>
          <w:sz w:val="28"/>
          <w:szCs w:val="28"/>
        </w:rPr>
        <w:t>我们郑重声明：</w:t>
      </w:r>
      <w:bookmarkEnd w:id="23"/>
    </w:p>
    <w:p>
      <w:pPr>
        <w:pStyle w:val="102"/>
        <w:numPr>
          <w:ilvl w:val="0"/>
          <w:numId w:val="2"/>
        </w:numPr>
        <w:adjustRightInd w:val="0"/>
        <w:snapToGrid w:val="0"/>
        <w:spacing w:line="500" w:lineRule="exact"/>
        <w:ind w:left="420" w:hanging="42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我们在本估价报告中陈述的事实是真实的和准确的，没有虚假记载、误导性陈述和重大遗漏。</w:t>
      </w:r>
    </w:p>
    <w:p>
      <w:pPr>
        <w:pStyle w:val="102"/>
        <w:numPr>
          <w:ilvl w:val="0"/>
          <w:numId w:val="2"/>
        </w:numPr>
        <w:adjustRightInd w:val="0"/>
        <w:snapToGrid w:val="0"/>
        <w:spacing w:line="500" w:lineRule="exact"/>
        <w:ind w:left="420" w:hanging="42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本估价报告中的分析、意见和结论是我们自己独立、客观、公正的专业分析、意见和结论，但受到本估价报告中已说明的假设和限制条件的限制。</w:t>
      </w:r>
    </w:p>
    <w:p>
      <w:pPr>
        <w:pStyle w:val="102"/>
        <w:numPr>
          <w:ilvl w:val="0"/>
          <w:numId w:val="2"/>
        </w:numPr>
        <w:adjustRightInd w:val="0"/>
        <w:snapToGrid w:val="0"/>
        <w:spacing w:line="500" w:lineRule="exact"/>
        <w:ind w:left="420" w:hanging="42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我们与本估价报告中的估价对象没有现实或潜在的利益，也与估价委托人及估价利害关系人没有利害关系，也对估价对象、估价委托人及估价利害关系人没有偏见。</w:t>
      </w:r>
    </w:p>
    <w:p>
      <w:pPr>
        <w:pStyle w:val="102"/>
        <w:numPr>
          <w:ilvl w:val="0"/>
          <w:numId w:val="2"/>
        </w:numPr>
        <w:adjustRightInd w:val="0"/>
        <w:snapToGrid w:val="0"/>
        <w:spacing w:line="500" w:lineRule="exact"/>
        <w:ind w:left="420" w:hanging="420" w:firstLineChars="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z w:val="28"/>
          <w:szCs w:val="28"/>
        </w:rPr>
        <w:t>我们依照中华人民共和国国家标准《房地产估价规范》【</w:t>
      </w:r>
      <w:r>
        <w:rPr>
          <w:rFonts w:hint="default" w:ascii="Times New Roman" w:hAnsi="Times New Roman" w:eastAsia="仿宋_GB2312" w:cs="Times New Roman"/>
          <w:sz w:val="28"/>
          <w:szCs w:val="28"/>
        </w:rPr>
        <w:t>GB/T 50291-2015</w:t>
      </w:r>
      <w:r>
        <w:rPr>
          <w:rFonts w:hint="default" w:ascii="Times New Roman" w:hAnsi="Times New Roman" w:eastAsia="仿宋_GB2312" w:cs="Times New Roman"/>
          <w:sz w:val="28"/>
          <w:szCs w:val="28"/>
        </w:rPr>
        <w:t>】、《房地产估价基本术语标准》【</w:t>
      </w:r>
      <w:r>
        <w:rPr>
          <w:rFonts w:hint="default" w:ascii="Times New Roman" w:hAnsi="Times New Roman" w:eastAsia="仿宋_GB2312" w:cs="Times New Roman"/>
          <w:sz w:val="28"/>
          <w:szCs w:val="28"/>
        </w:rPr>
        <w:t>GB/T50899-2013</w:t>
      </w:r>
      <w:r>
        <w:rPr>
          <w:rFonts w:hint="default" w:ascii="Times New Roman" w:hAnsi="Times New Roman" w:eastAsia="仿宋_GB2312" w:cs="Times New Roman"/>
          <w:sz w:val="28"/>
          <w:szCs w:val="28"/>
        </w:rPr>
        <w:t>】进行分析，形成意见和结论，撰写本估价报告。</w:t>
      </w:r>
      <w:bookmarkStart w:id="24" w:name="_Toc435110680"/>
    </w:p>
    <w:p>
      <w:pPr>
        <w:numPr>
          <w:ilvl w:val="0"/>
          <w:numId w:val="2"/>
        </w:numPr>
        <w:spacing w:line="500" w:lineRule="exact"/>
        <w:rPr>
          <w:rFonts w:hint="default" w:ascii="Times New Roman" w:hAnsi="Times New Roman" w:eastAsia="仿宋_GB2312" w:cs="Times New Roman"/>
          <w:sz w:val="28"/>
        </w:rPr>
      </w:pPr>
      <w:r>
        <w:rPr>
          <w:rFonts w:hint="default" w:ascii="Times New Roman" w:hAnsi="Times New Roman" w:eastAsia="仿宋_GB2312" w:cs="Times New Roman"/>
          <w:sz w:val="28"/>
        </w:rPr>
        <w:t>估价作业过程中严格遵守职业道德。</w:t>
      </w:r>
    </w:p>
    <w:p>
      <w:pPr>
        <w:pStyle w:val="2"/>
        <w:spacing w:before="0" w:after="0" w:line="480" w:lineRule="exact"/>
        <w:jc w:val="center"/>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br w:type="page"/>
      </w:r>
      <w:bookmarkStart w:id="25" w:name="_Toc104623063"/>
      <w:r>
        <w:rPr>
          <w:rFonts w:hint="default" w:ascii="Times New Roman" w:hAnsi="Times New Roman" w:eastAsia="仿宋_GB2312" w:cs="Times New Roman"/>
          <w:snapToGrid w:val="0"/>
          <w:kern w:val="0"/>
          <w:sz w:val="32"/>
          <w:szCs w:val="32"/>
        </w:rPr>
        <w:t>二、估价假设和限制条件</w:t>
      </w:r>
      <w:bookmarkEnd w:id="24"/>
      <w:bookmarkEnd w:id="25"/>
    </w:p>
    <w:p>
      <w:pPr>
        <w:spacing w:line="480" w:lineRule="exact"/>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w:t>
      </w:r>
      <w:r>
        <w:rPr>
          <w:rFonts w:hint="default" w:ascii="Times New Roman" w:hAnsi="Times New Roman" w:eastAsia="仿宋_GB2312" w:cs="Times New Roman"/>
          <w:b/>
          <w:bCs/>
          <w:sz w:val="28"/>
          <w:szCs w:val="28"/>
        </w:rPr>
        <w:t>一般假设</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t>）在价值时点的房地产市场为公开、平等、自愿的交易市场。</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t>）估价对象产权明晰，手续齐全，可在公开市场上自由转让。</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t>）任何有关估价对象的运作方式、程序均符合国家、地方的有关法律、法规。</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t>）本次估价结果未考虑国家宏观经济政策发生重大变化以及遇有自然力和其他不可抗力对估价结论的影响。</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5</w:t>
      </w:r>
      <w:r>
        <w:rPr>
          <w:rFonts w:hint="default" w:ascii="Times New Roman" w:hAnsi="Times New Roman" w:eastAsia="仿宋_GB2312" w:cs="Times New Roman"/>
          <w:sz w:val="28"/>
          <w:szCs w:val="28"/>
        </w:rPr>
        <w:t>）本报告以估价对象在价值时点时的状况为依据进行的，且以该状况在估价报告使用期限内无重大变化为前提。</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6</w:t>
      </w:r>
      <w:r>
        <w:rPr>
          <w:rFonts w:hint="default" w:ascii="Times New Roman" w:hAnsi="Times New Roman" w:eastAsia="仿宋_GB2312" w:cs="Times New Roman"/>
          <w:sz w:val="28"/>
          <w:szCs w:val="28"/>
        </w:rPr>
        <w:t>）本次估价未考虑可能与估价对象产权人有关的债权及债务情况对估价结果的影响。</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7</w:t>
      </w:r>
      <w:r>
        <w:rPr>
          <w:rFonts w:hint="default" w:ascii="Times New Roman" w:hAnsi="Times New Roman" w:eastAsia="仿宋_GB2312" w:cs="Times New Roman"/>
          <w:sz w:val="28"/>
          <w:szCs w:val="28"/>
        </w:rPr>
        <w:t>）本报告估价结果没有考虑快速变现、税费转嫁等特殊的交易方式，以及可能发生的办理抵押登记、权利转移相关费用对估价对象房地产价值的影响，如上述条件发生变化，估价结果需做相应调整。</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（8）本报告以估价委托人领勘准确为估价前提。</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9</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本次估价是以估价委托人提供的与估价对象有关的法律文件、权属证明及相关资料真实、合法、准确、完整为前提。如因委托人提供资料有误而造成评估值失实，估价机构和估价人员不承担相应责任。</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10</w:t>
      </w:r>
      <w:r>
        <w:rPr>
          <w:rFonts w:hint="default" w:ascii="Times New Roman" w:hAnsi="Times New Roman" w:eastAsia="仿宋_GB2312" w:cs="Times New Roman"/>
          <w:sz w:val="28"/>
          <w:szCs w:val="28"/>
        </w:rPr>
        <w:t>）估价</w:t>
      </w:r>
      <w:r>
        <w:rPr>
          <w:rFonts w:hint="default" w:ascii="Times New Roman" w:hAnsi="Times New Roman" w:eastAsia="仿宋_GB2312" w:cs="Times New Roman"/>
          <w:sz w:val="28"/>
          <w:szCs w:val="28"/>
        </w:rPr>
        <w:t>人员</w:t>
      </w:r>
      <w:r>
        <w:rPr>
          <w:rFonts w:hint="default" w:ascii="Times New Roman" w:hAnsi="Times New Roman" w:eastAsia="仿宋_GB2312" w:cs="Times New Roman"/>
          <w:sz w:val="28"/>
          <w:szCs w:val="28"/>
        </w:rPr>
        <w:t>于</w:t>
      </w:r>
      <w:r>
        <w:rPr>
          <w:rFonts w:hint="default" w:ascii="Times New Roman" w:hAnsi="Times New Roman" w:eastAsia="仿宋_GB2312" w:cs="Times New Roman"/>
          <w:caps/>
          <w:sz w:val="28"/>
          <w:szCs w:val="28"/>
        </w:rPr>
        <w:t>2022年05月17日</w:t>
      </w:r>
      <w:r>
        <w:rPr>
          <w:rFonts w:hint="default" w:ascii="Times New Roman" w:hAnsi="Times New Roman" w:eastAsia="仿宋_GB2312" w:cs="Times New Roman"/>
          <w:sz w:val="28"/>
          <w:szCs w:val="28"/>
        </w:rPr>
        <w:t>对估价对象进行了实地查勘，但估价</w:t>
      </w:r>
      <w:r>
        <w:rPr>
          <w:rFonts w:hint="default" w:ascii="Times New Roman" w:hAnsi="Times New Roman" w:eastAsia="仿宋_GB2312" w:cs="Times New Roman"/>
          <w:sz w:val="28"/>
          <w:szCs w:val="28"/>
        </w:rPr>
        <w:t>人员</w:t>
      </w:r>
      <w:r>
        <w:rPr>
          <w:rFonts w:hint="default" w:ascii="Times New Roman" w:hAnsi="Times New Roman" w:eastAsia="仿宋_GB2312" w:cs="Times New Roman"/>
          <w:sz w:val="28"/>
          <w:szCs w:val="28"/>
        </w:rPr>
        <w:t>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实地查勘时估价对象状况与价值时点时状况一致。</w:t>
      </w:r>
    </w:p>
    <w:p>
      <w:pPr>
        <w:pStyle w:val="102"/>
        <w:adjustRightInd w:val="0"/>
        <w:snapToGrid w:val="0"/>
        <w:spacing w:line="500" w:lineRule="exact"/>
        <w:ind w:firstLineChars="0"/>
        <w:rPr>
          <w:rFonts w:hint="default" w:ascii="Times New Roman" w:hAnsi="Times New Roman" w:eastAsia="仿宋_GB2312" w:cs="Times New Roman"/>
          <w:sz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11</w:t>
      </w:r>
      <w:r>
        <w:rPr>
          <w:rFonts w:hint="default" w:ascii="Times New Roman" w:hAnsi="Times New Roman" w:eastAsia="仿宋_GB2312" w:cs="Times New Roman"/>
          <w:sz w:val="28"/>
          <w:szCs w:val="28"/>
        </w:rPr>
        <w:t>）本次估价对象的房屋权属及土地权属情况以</w:t>
      </w:r>
      <w:r>
        <w:rPr>
          <w:rFonts w:hint="default" w:ascii="Times New Roman" w:hAnsi="Times New Roman" w:eastAsia="仿宋_GB2312" w:cs="Times New Roman"/>
          <w:sz w:val="28"/>
        </w:rPr>
        <w:t>《不动产产权情况表》</w:t>
      </w:r>
      <w:r>
        <w:rPr>
          <w:rFonts w:hint="default" w:ascii="Times New Roman" w:hAnsi="Times New Roman" w:eastAsia="仿宋_GB2312" w:cs="Times New Roman"/>
          <w:sz w:val="28"/>
          <w:szCs w:val="28"/>
        </w:rPr>
        <w:t>为依据。如上述情况发生变化，估价结果需做相应调整。</w:t>
      </w:r>
    </w:p>
    <w:p>
      <w:pPr>
        <w:spacing w:line="480" w:lineRule="exact"/>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2.</w:t>
      </w:r>
      <w:r>
        <w:rPr>
          <w:rFonts w:hint="default" w:ascii="Times New Roman" w:hAnsi="Times New Roman" w:eastAsia="仿宋_GB2312" w:cs="Times New Roman"/>
          <w:b/>
          <w:bCs/>
          <w:sz w:val="28"/>
          <w:szCs w:val="28"/>
        </w:rPr>
        <w:t>未定事项假设</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rPr>
        <w:t>未定事项假设</w:t>
      </w:r>
      <w:r>
        <w:rPr>
          <w:rFonts w:hint="default" w:ascii="Times New Roman" w:hAnsi="Times New Roman" w:eastAsia="仿宋_GB2312" w:cs="Times New Roman"/>
          <w:sz w:val="28"/>
          <w:szCs w:val="28"/>
        </w:rPr>
        <w:t>。</w:t>
      </w:r>
    </w:p>
    <w:p>
      <w:pPr>
        <w:spacing w:line="480" w:lineRule="exact"/>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xml:space="preserve">3. </w:t>
      </w:r>
      <w:r>
        <w:rPr>
          <w:rFonts w:hint="default" w:ascii="Times New Roman" w:hAnsi="Times New Roman" w:eastAsia="仿宋_GB2312" w:cs="Times New Roman"/>
          <w:b/>
          <w:bCs/>
          <w:sz w:val="28"/>
          <w:szCs w:val="28"/>
        </w:rPr>
        <w:t>背离事实假设</w:t>
      </w:r>
    </w:p>
    <w:p>
      <w:pPr>
        <w:adjustRightInd w:val="0"/>
        <w:snapToGrid w:val="0"/>
        <w:spacing w:line="480" w:lineRule="exact"/>
        <w:ind w:firstLine="560" w:firstLineChars="200"/>
        <w:rPr>
          <w:rFonts w:hint="default" w:ascii="Times New Roman" w:hAnsi="Times New Roman" w:cs="Times New Roman"/>
          <w:sz w:val="28"/>
        </w:rPr>
      </w:pPr>
      <w:r>
        <w:rPr>
          <w:rFonts w:hint="default" w:ascii="Times New Roman" w:hAnsi="Times New Roman" w:eastAsia="仿宋_GB2312" w:cs="Times New Roman"/>
          <w:sz w:val="28"/>
        </w:rPr>
        <w:t>本次估价是</w:t>
      </w:r>
      <w:r>
        <w:rPr>
          <w:rFonts w:hint="default" w:ascii="Times New Roman" w:hAnsi="Times New Roman" w:eastAsia="仿宋_GB2312" w:cs="Times New Roman"/>
          <w:caps/>
          <w:sz w:val="28"/>
          <w:szCs w:val="28"/>
        </w:rPr>
        <w:t>为人民法院确定财产处置参考价提供参考依据</w:t>
      </w:r>
      <w:r>
        <w:rPr>
          <w:rFonts w:hint="default" w:ascii="Times New Roman" w:hAnsi="Times New Roman" w:eastAsia="仿宋_GB2312" w:cs="Times New Roman"/>
          <w:sz w:val="28"/>
        </w:rPr>
        <w:t>，涉执房地产处置司法评估不应考虑估价对象被查封以及原有的担保物权和其他优先受偿权情况，因为查封因拍卖而解除、原有的担保物权及其他优先受偿权因拍卖而消灭，本次估价对象视为没有查封、未设立担保物权及其他优先受偿权的财产进行评估。</w:t>
      </w:r>
    </w:p>
    <w:p>
      <w:pPr>
        <w:spacing w:line="480" w:lineRule="exact"/>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4.</w:t>
      </w:r>
      <w:r>
        <w:rPr>
          <w:rFonts w:hint="default" w:ascii="Times New Roman" w:hAnsi="Times New Roman" w:eastAsia="仿宋_GB2312" w:cs="Times New Roman"/>
          <w:b/>
          <w:bCs/>
          <w:sz w:val="28"/>
          <w:szCs w:val="28"/>
        </w:rPr>
        <w:t>不相一致假设</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无不相一致假设</w:t>
      </w:r>
      <w:r>
        <w:rPr>
          <w:rFonts w:hint="default" w:ascii="Times New Roman" w:hAnsi="Times New Roman" w:eastAsia="仿宋_GB2312" w:cs="Times New Roman"/>
          <w:sz w:val="28"/>
          <w:szCs w:val="28"/>
        </w:rPr>
        <w:t>。</w:t>
      </w:r>
    </w:p>
    <w:p>
      <w:pPr>
        <w:spacing w:line="480" w:lineRule="exact"/>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xml:space="preserve">5. </w:t>
      </w:r>
      <w:r>
        <w:rPr>
          <w:rFonts w:hint="default" w:ascii="Times New Roman" w:hAnsi="Times New Roman" w:eastAsia="仿宋_GB2312" w:cs="Times New Roman"/>
          <w:b/>
          <w:bCs/>
          <w:sz w:val="28"/>
          <w:szCs w:val="28"/>
        </w:rPr>
        <w:t>依据不足假设</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t xml:space="preserve"> 本次估价对象的相关信息以委托方提供的</w:t>
      </w:r>
      <w:r>
        <w:rPr>
          <w:rFonts w:hint="default" w:ascii="Times New Roman" w:hAnsi="Times New Roman" w:eastAsia="仿宋_GB2312" w:cs="Times New Roman"/>
          <w:sz w:val="28"/>
        </w:rPr>
        <w:t>《不动产产权情况表》</w:t>
      </w:r>
      <w:r>
        <w:rPr>
          <w:rFonts w:hint="default" w:ascii="Times New Roman" w:hAnsi="Times New Roman" w:eastAsia="仿宋_GB2312" w:cs="Times New Roman"/>
          <w:sz w:val="28"/>
          <w:szCs w:val="28"/>
        </w:rPr>
        <w:t>为依据，</w:t>
      </w:r>
      <w:r>
        <w:rPr>
          <w:rFonts w:hint="default" w:ascii="Times New Roman" w:hAnsi="Times New Roman" w:eastAsia="仿宋_GB2312" w:cs="Times New Roman"/>
          <w:caps/>
          <w:sz w:val="28"/>
          <w:szCs w:val="28"/>
        </w:rPr>
        <w:t>其</w:t>
      </w:r>
      <w:r>
        <w:rPr>
          <w:rFonts w:hint="default" w:ascii="Times New Roman" w:hAnsi="Times New Roman" w:eastAsia="仿宋_GB2312" w:cs="Times New Roman"/>
          <w:caps/>
          <w:sz w:val="28"/>
          <w:szCs w:val="28"/>
        </w:rPr>
        <w:t>未载明估价对象建筑物建成年份，根据委托方的介绍及估价人员的调查，估价对象建筑物建成于</w:t>
      </w:r>
      <w:r>
        <w:rPr>
          <w:rFonts w:hint="default" w:ascii="Times New Roman" w:hAnsi="Times New Roman" w:eastAsia="仿宋_GB2312" w:cs="Times New Roman"/>
          <w:caps/>
          <w:sz w:val="28"/>
          <w:szCs w:val="28"/>
        </w:rPr>
        <w:t>2010年</w:t>
      </w:r>
      <w:r>
        <w:rPr>
          <w:rFonts w:hint="default" w:ascii="Times New Roman" w:hAnsi="Times New Roman" w:eastAsia="仿宋_GB2312" w:cs="Times New Roman"/>
          <w:caps/>
          <w:sz w:val="28"/>
          <w:szCs w:val="28"/>
        </w:rPr>
        <w:t>。本次估价设定估价对象建筑物建成于</w:t>
      </w:r>
      <w:r>
        <w:rPr>
          <w:rFonts w:hint="default" w:ascii="Times New Roman" w:hAnsi="Times New Roman" w:eastAsia="仿宋_GB2312" w:cs="Times New Roman"/>
          <w:caps/>
          <w:sz w:val="28"/>
          <w:szCs w:val="28"/>
        </w:rPr>
        <w:t>2010年</w:t>
      </w:r>
      <w:r>
        <w:rPr>
          <w:rFonts w:hint="default" w:ascii="Times New Roman" w:hAnsi="Times New Roman" w:eastAsia="仿宋_GB2312" w:cs="Times New Roman"/>
          <w:caps/>
          <w:sz w:val="28"/>
          <w:szCs w:val="28"/>
        </w:rPr>
        <w:t>，</w:t>
      </w:r>
      <w:r>
        <w:rPr>
          <w:rFonts w:hint="default" w:ascii="Times New Roman" w:hAnsi="Times New Roman" w:eastAsia="仿宋_GB2312" w:cs="Times New Roman"/>
          <w:sz w:val="28"/>
          <w:szCs w:val="28"/>
        </w:rPr>
        <w:t>如实际情况与其不符，估价结果需做相应调整</w:t>
      </w:r>
      <w:r>
        <w:rPr>
          <w:rFonts w:hint="default" w:ascii="Times New Roman" w:hAnsi="Times New Roman" w:eastAsia="仿宋_GB2312" w:cs="Times New Roman"/>
          <w:sz w:val="28"/>
          <w:szCs w:val="28"/>
        </w:rPr>
        <w:t>。</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(2)本次估价对象相关信息以委托方提供的《不动产产权情况表》为依据，如实际情况与其不符，估价结果须做相应调整</w:t>
      </w:r>
      <w:r>
        <w:rPr>
          <w:rFonts w:hint="default" w:ascii="Times New Roman" w:hAnsi="Times New Roman" w:eastAsia="仿宋_GB2312" w:cs="Times New Roman"/>
          <w:sz w:val="28"/>
          <w:szCs w:val="28"/>
        </w:rPr>
        <w:t>。</w:t>
      </w:r>
    </w:p>
    <w:p>
      <w:pPr>
        <w:spacing w:line="480" w:lineRule="exact"/>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xml:space="preserve">6. </w:t>
      </w:r>
      <w:r>
        <w:rPr>
          <w:rFonts w:hint="default" w:ascii="Times New Roman" w:hAnsi="Times New Roman" w:eastAsia="仿宋_GB2312" w:cs="Times New Roman"/>
          <w:b/>
          <w:bCs/>
          <w:sz w:val="28"/>
          <w:szCs w:val="28"/>
        </w:rPr>
        <w:t>估价报告使用限制</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t>）本估价报告书仅</w:t>
      </w:r>
      <w:r>
        <w:rPr>
          <w:rFonts w:hint="default" w:ascii="Times New Roman" w:hAnsi="Times New Roman" w:eastAsia="仿宋_GB2312" w:cs="Times New Roman"/>
          <w:caps/>
          <w:sz w:val="28"/>
          <w:szCs w:val="28"/>
        </w:rPr>
        <w:t>为人民法院确定财产处置参考价提供参考依据</w:t>
      </w:r>
      <w:r>
        <w:rPr>
          <w:rFonts w:hint="default" w:ascii="Times New Roman" w:hAnsi="Times New Roman" w:eastAsia="仿宋_GB2312" w:cs="Times New Roman"/>
          <w:sz w:val="28"/>
          <w:szCs w:val="28"/>
        </w:rPr>
        <w:t>，不作其他估价目的之用。如果估价条件或目的发生变化，估价报告需做相应调整。</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t>）未经本估价机构书面同意，本报告的全部或任何一部分均不得向估价委托人、报告使用者、报告审查部门之外的单位和个人提供，也不得以任何形式公开发表。</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t>）本报告必须完整使用方为有效，对仅使用本报告中部分内容而导致可能的损失，本估价机构不承担责任。</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t>）本次估价结果受价值时点的限制，且本估价报告使用期限自估价报告出具之日</w:t>
      </w:r>
      <w:r>
        <w:rPr>
          <w:rFonts w:hint="default" w:ascii="Times New Roman" w:hAnsi="Times New Roman" w:eastAsia="仿宋_GB2312" w:cs="Times New Roman"/>
          <w:sz w:val="28"/>
          <w:szCs w:val="28"/>
        </w:rPr>
        <w:t>2022年05月24日</w:t>
      </w:r>
      <w:r>
        <w:rPr>
          <w:rFonts w:hint="default" w:ascii="Times New Roman" w:hAnsi="Times New Roman" w:eastAsia="仿宋_GB2312" w:cs="Times New Roman"/>
          <w:sz w:val="28"/>
          <w:szCs w:val="28"/>
        </w:rPr>
        <w:t>起为壹年。若报告使用期限内，房地产市场、建筑市场或估价对象自身状况发生重大变化，估价结果也需做相应调整或委托估价机构重新估价。</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5</w:t>
      </w:r>
      <w:r>
        <w:rPr>
          <w:rFonts w:hint="default" w:ascii="Times New Roman" w:hAnsi="Times New Roman" w:eastAsia="仿宋_GB2312" w:cs="Times New Roman"/>
          <w:sz w:val="28"/>
          <w:szCs w:val="28"/>
        </w:rPr>
        <w:t>）本次估价结果是指在目前房地产市场状况下、估价对象在现状利用条件下的房地产市场价值，包括国有出让土地使用权价值和与房屋有关的土建、安装、装修及室外附属工程价值，不包括可移动的家具、电器等物品价值。</w:t>
      </w:r>
    </w:p>
    <w:p>
      <w:pPr>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6</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本次评估未考虑快速变现而带来的价值损失。</w:t>
      </w:r>
    </w:p>
    <w:p>
      <w:pPr>
        <w:pStyle w:val="2"/>
        <w:spacing w:before="0" w:after="0" w:line="520" w:lineRule="exact"/>
        <w:jc w:val="center"/>
        <w:rPr>
          <w:rFonts w:hint="default" w:ascii="Times New Roman" w:hAnsi="Times New Roman" w:eastAsia="仿宋_GB2312" w:cs="Times New Roman"/>
          <w:b w:val="0"/>
          <w:bCs w:val="0"/>
          <w:snapToGrid w:val="0"/>
          <w:kern w:val="0"/>
          <w:sz w:val="32"/>
          <w:szCs w:val="32"/>
        </w:rPr>
      </w:pPr>
      <w:bookmarkStart w:id="26" w:name="_Toc254875137"/>
      <w:bookmarkStart w:id="27" w:name="_Toc297196349"/>
      <w:bookmarkStart w:id="28" w:name="_Toc254860123"/>
      <w:bookmarkStart w:id="29" w:name="_Toc301369712"/>
      <w:bookmarkStart w:id="30" w:name="_Toc297122054"/>
      <w:bookmarkStart w:id="31" w:name="_Toc243111712"/>
      <w:bookmarkStart w:id="32" w:name="_Toc243111683"/>
      <w:bookmarkStart w:id="33" w:name="_Toc270691065"/>
      <w:bookmarkStart w:id="34" w:name="_Toc367869494"/>
      <w:bookmarkStart w:id="35" w:name="_Toc269132866"/>
      <w:bookmarkStart w:id="36" w:name="_Toc135016170"/>
      <w:bookmarkStart w:id="37" w:name="_Toc130033720"/>
      <w:bookmarkStart w:id="38" w:name="_Toc435110681"/>
      <w:bookmarkStart w:id="39" w:name="_Toc257051888"/>
      <w:r>
        <w:rPr>
          <w:rFonts w:hint="default" w:ascii="Times New Roman" w:hAnsi="Times New Roman" w:eastAsia="仿宋_GB2312" w:cs="Times New Roman"/>
          <w:sz w:val="26"/>
          <w:szCs w:val="26"/>
        </w:rPr>
        <w:br w:type="page"/>
      </w:r>
      <w:bookmarkStart w:id="40" w:name="_Toc104623064"/>
      <w:r>
        <w:rPr>
          <w:rFonts w:hint="default" w:ascii="Times New Roman" w:hAnsi="Times New Roman" w:eastAsia="仿宋_GB2312" w:cs="Times New Roman"/>
          <w:snapToGrid w:val="0"/>
          <w:kern w:val="0"/>
          <w:sz w:val="32"/>
          <w:szCs w:val="32"/>
        </w:rPr>
        <w:t>三、估价结果报告</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Start w:id="41" w:name="_Toc435110682"/>
      <w:bookmarkStart w:id="42" w:name="_Toc301369713"/>
      <w:bookmarkStart w:id="43" w:name="_Toc367869495"/>
      <w:bookmarkStart w:id="44" w:name="_Toc135016185"/>
      <w:bookmarkStart w:id="45" w:name="_Toc299004833"/>
      <w:bookmarkStart w:id="46" w:name="_Toc243111699"/>
      <w:bookmarkStart w:id="47" w:name="_Toc94587045"/>
      <w:bookmarkStart w:id="48" w:name="_Toc301369729"/>
      <w:bookmarkStart w:id="49" w:name="_Toc367869511"/>
      <w:bookmarkStart w:id="50" w:name="_Toc299006852"/>
      <w:bookmarkStart w:id="51" w:name="_Toc269132882"/>
      <w:bookmarkStart w:id="52" w:name="_Toc299005654"/>
      <w:bookmarkStart w:id="53" w:name="_Toc254860139"/>
      <w:bookmarkStart w:id="54" w:name="_Toc243111728"/>
      <w:bookmarkStart w:id="55" w:name="_Toc299007139"/>
      <w:bookmarkStart w:id="56" w:name="_Toc94587103"/>
      <w:bookmarkStart w:id="57" w:name="_Toc298936786"/>
      <w:bookmarkStart w:id="58" w:name="_Toc298936729"/>
      <w:bookmarkStart w:id="59" w:name="_Toc254875153"/>
      <w:bookmarkStart w:id="60" w:name="_Toc254860169"/>
      <w:bookmarkStart w:id="61" w:name="_Toc270691081"/>
      <w:bookmarkStart w:id="62" w:name="_Toc301369583"/>
    </w:p>
    <w:p>
      <w:pPr>
        <w:pStyle w:val="3"/>
        <w:spacing w:before="0" w:after="0" w:line="560" w:lineRule="exact"/>
        <w:rPr>
          <w:rFonts w:hint="default" w:ascii="Times New Roman" w:hAnsi="Times New Roman" w:eastAsia="仿宋_GB2312" w:cs="Times New Roman"/>
          <w:b w:val="0"/>
          <w:bCs w:val="0"/>
          <w:snapToGrid w:val="0"/>
          <w:kern w:val="0"/>
        </w:rPr>
      </w:pPr>
      <w:bookmarkStart w:id="63" w:name="_Toc104623065"/>
      <w:r>
        <w:rPr>
          <w:rFonts w:hint="default" w:ascii="Times New Roman" w:hAnsi="Times New Roman" w:eastAsia="仿宋_GB2312" w:cs="Times New Roman"/>
          <w:sz w:val="28"/>
          <w:szCs w:val="28"/>
        </w:rPr>
        <w:t>（一）估价委托人</w:t>
      </w:r>
      <w:bookmarkEnd w:id="41"/>
      <w:bookmarkEnd w:id="42"/>
      <w:bookmarkEnd w:id="43"/>
      <w:bookmarkEnd w:id="63"/>
    </w:p>
    <w:p>
      <w:pPr>
        <w:spacing w:line="560" w:lineRule="exact"/>
        <w:ind w:firstLine="560" w:firstLineChars="200"/>
        <w:rPr>
          <w:rFonts w:hint="default" w:ascii="Times New Roman" w:hAnsi="Times New Roman" w:eastAsia="仿宋_GB2312" w:cs="Times New Roman"/>
          <w:caps/>
          <w:sz w:val="28"/>
          <w:szCs w:val="28"/>
        </w:rPr>
      </w:pPr>
      <w:bookmarkStart w:id="64" w:name="_Toc135016171"/>
      <w:bookmarkStart w:id="65" w:name="_Toc269132867"/>
      <w:bookmarkStart w:id="66" w:name="_Toc243111684"/>
      <w:bookmarkStart w:id="67" w:name="_Toc254860124"/>
      <w:bookmarkStart w:id="68" w:name="_Toc270691066"/>
      <w:bookmarkStart w:id="69" w:name="_Toc367869496"/>
      <w:bookmarkStart w:id="70" w:name="_Toc254875138"/>
      <w:bookmarkStart w:id="71" w:name="_Toc243111713"/>
      <w:bookmarkStart w:id="72" w:name="_Toc301369714"/>
      <w:bookmarkStart w:id="73" w:name="_Toc130033721"/>
      <w:r>
        <w:rPr>
          <w:rFonts w:hint="default" w:ascii="Times New Roman" w:hAnsi="Times New Roman" w:eastAsia="仿宋_GB2312" w:cs="Times New Roman"/>
          <w:caps/>
          <w:sz w:val="28"/>
          <w:szCs w:val="28"/>
        </w:rPr>
        <w:t>庐山市人民法院</w:t>
      </w:r>
    </w:p>
    <w:p>
      <w:pPr>
        <w:pStyle w:val="3"/>
        <w:spacing w:before="0" w:after="0" w:line="560" w:lineRule="exact"/>
        <w:rPr>
          <w:rFonts w:hint="default" w:ascii="Times New Roman" w:hAnsi="Times New Roman" w:eastAsia="仿宋_GB2312" w:cs="Times New Roman"/>
          <w:b w:val="0"/>
          <w:bCs w:val="0"/>
          <w:caps/>
          <w:sz w:val="28"/>
          <w:szCs w:val="28"/>
        </w:rPr>
      </w:pPr>
      <w:bookmarkStart w:id="74" w:name="_Toc435110683"/>
      <w:bookmarkStart w:id="75" w:name="_Toc104623066"/>
      <w:r>
        <w:rPr>
          <w:rFonts w:hint="default" w:ascii="Times New Roman" w:hAnsi="Times New Roman" w:eastAsia="仿宋_GB2312" w:cs="Times New Roman"/>
          <w:sz w:val="28"/>
          <w:szCs w:val="28"/>
        </w:rPr>
        <w:t>（二）房地产估价</w:t>
      </w:r>
      <w:bookmarkEnd w:id="64"/>
      <w:bookmarkEnd w:id="65"/>
      <w:bookmarkEnd w:id="66"/>
      <w:bookmarkEnd w:id="67"/>
      <w:bookmarkEnd w:id="68"/>
      <w:bookmarkEnd w:id="69"/>
      <w:bookmarkEnd w:id="70"/>
      <w:bookmarkEnd w:id="71"/>
      <w:bookmarkEnd w:id="72"/>
      <w:bookmarkEnd w:id="73"/>
      <w:r>
        <w:rPr>
          <w:rFonts w:hint="default" w:ascii="Times New Roman" w:hAnsi="Times New Roman" w:eastAsia="仿宋_GB2312" w:cs="Times New Roman"/>
          <w:sz w:val="28"/>
          <w:szCs w:val="28"/>
        </w:rPr>
        <w:t>机构</w:t>
      </w:r>
      <w:bookmarkEnd w:id="74"/>
      <w:bookmarkEnd w:id="75"/>
    </w:p>
    <w:p>
      <w:pPr>
        <w:adjustRightInd w:val="0"/>
        <w:snapToGrid w:val="0"/>
        <w:spacing w:line="560" w:lineRule="exact"/>
        <w:ind w:firstLine="560" w:firstLineChars="200"/>
        <w:rPr>
          <w:rFonts w:hint="default" w:ascii="Times New Roman" w:hAnsi="Times New Roman" w:eastAsia="仿宋_GB2312" w:cs="Times New Roman"/>
          <w:sz w:val="28"/>
          <w:szCs w:val="28"/>
        </w:rPr>
      </w:pPr>
      <w:bookmarkStart w:id="76" w:name="_Toc301369715"/>
      <w:bookmarkStart w:id="77" w:name="_Toc367869497"/>
      <w:bookmarkStart w:id="78" w:name="_Toc243111685"/>
      <w:bookmarkStart w:id="79" w:name="_Toc130033722"/>
      <w:bookmarkStart w:id="80" w:name="_Toc269132868"/>
      <w:bookmarkStart w:id="81" w:name="_Toc243111714"/>
      <w:bookmarkStart w:id="82" w:name="_Toc254860125"/>
      <w:bookmarkStart w:id="83" w:name="_Toc135016172"/>
      <w:bookmarkStart w:id="84" w:name="_Toc270691067"/>
      <w:bookmarkStart w:id="85" w:name="_Toc254875139"/>
      <w:r>
        <w:rPr>
          <w:rFonts w:hint="default" w:ascii="Times New Roman" w:hAnsi="Times New Roman" w:eastAsia="仿宋_GB2312" w:cs="Times New Roman"/>
          <w:sz w:val="28"/>
          <w:szCs w:val="28"/>
        </w:rPr>
        <w:t>单位名称：江西同致房地产土地资产评估咨询有限公司</w:t>
      </w:r>
    </w:p>
    <w:p>
      <w:pPr>
        <w:adjustRightInd w:val="0"/>
        <w:snapToGrid w:val="0"/>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住所：江西省南昌市红谷滩新区赣江北大道</w:t>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t>号中航国际广场</w:t>
      </w:r>
      <w:r>
        <w:rPr>
          <w:rFonts w:hint="default" w:ascii="Times New Roman" w:hAnsi="Times New Roman" w:eastAsia="仿宋_GB2312" w:cs="Times New Roman"/>
          <w:sz w:val="28"/>
          <w:szCs w:val="28"/>
        </w:rPr>
        <w:t>14</w:t>
      </w:r>
      <w:r>
        <w:rPr>
          <w:rFonts w:hint="default" w:ascii="Times New Roman" w:hAnsi="Times New Roman" w:eastAsia="仿宋_GB2312" w:cs="Times New Roman"/>
          <w:sz w:val="28"/>
          <w:szCs w:val="28"/>
        </w:rPr>
        <w:t>楼</w:t>
      </w:r>
    </w:p>
    <w:p>
      <w:pPr>
        <w:adjustRightInd w:val="0"/>
        <w:snapToGrid w:val="0"/>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房地产估价机构备案证书编号：赣建房评字</w:t>
      </w:r>
      <w:r>
        <w:rPr>
          <w:rFonts w:hint="default" w:ascii="Times New Roman" w:hAnsi="Times New Roman" w:eastAsia="仿宋_GB2312" w:cs="Times New Roman"/>
          <w:sz w:val="28"/>
          <w:szCs w:val="28"/>
        </w:rPr>
        <w:t>033</w:t>
      </w:r>
      <w:r>
        <w:rPr>
          <w:rFonts w:hint="default" w:ascii="Times New Roman" w:hAnsi="Times New Roman" w:eastAsia="仿宋_GB2312" w:cs="Times New Roman"/>
          <w:sz w:val="28"/>
          <w:szCs w:val="28"/>
        </w:rPr>
        <w:t>号</w:t>
      </w:r>
    </w:p>
    <w:p>
      <w:pPr>
        <w:adjustRightInd w:val="0"/>
        <w:snapToGrid w:val="0"/>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备案等级：</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1 \* CHINESENUM2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壹</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级</w:t>
      </w:r>
    </w:p>
    <w:p>
      <w:pPr>
        <w:adjustRightInd w:val="0"/>
        <w:snapToGrid w:val="0"/>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备案证书有效期：至</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rPr>
        <w:t>24</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t>日</w:t>
      </w:r>
    </w:p>
    <w:p>
      <w:pPr>
        <w:adjustRightInd w:val="0"/>
        <w:snapToGrid w:val="0"/>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法定代表人：龚兆华</w:t>
      </w:r>
    </w:p>
    <w:p>
      <w:pPr>
        <w:adjustRightInd w:val="0"/>
        <w:snapToGrid w:val="0"/>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r>
        <w:rPr>
          <w:rFonts w:hint="default" w:ascii="Times New Roman" w:hAnsi="Times New Roman" w:eastAsia="仿宋_GB2312" w:cs="Times New Roman"/>
          <w:sz w:val="28"/>
        </w:rPr>
        <w:t>0791-</w:t>
      </w:r>
      <w:r>
        <w:rPr>
          <w:rFonts w:hint="default" w:ascii="Times New Roman" w:hAnsi="Times New Roman" w:eastAsia="仿宋_GB2312" w:cs="Times New Roman"/>
          <w:sz w:val="28"/>
        </w:rPr>
        <w:t>86801000</w:t>
      </w:r>
    </w:p>
    <w:p>
      <w:pPr>
        <w:spacing w:line="560" w:lineRule="exact"/>
        <w:ind w:firstLine="560" w:firstLineChars="200"/>
        <w:rPr>
          <w:rFonts w:hint="default" w:ascii="Times New Roman" w:hAnsi="Times New Roman" w:eastAsia="仿宋_GB2312" w:cs="Times New Roman"/>
          <w:sz w:val="28"/>
          <w:szCs w:val="28"/>
        </w:rPr>
      </w:pPr>
      <w:bookmarkStart w:id="86" w:name="_Toc362509735"/>
      <w:r>
        <w:rPr>
          <w:rFonts w:hint="default" w:ascii="Times New Roman" w:hAnsi="Times New Roman" w:eastAsia="仿宋_GB2312" w:cs="Times New Roman"/>
          <w:sz w:val="28"/>
          <w:szCs w:val="28"/>
        </w:rPr>
        <w:t>邮政编码：</w:t>
      </w:r>
      <w:bookmarkEnd w:id="86"/>
      <w:r>
        <w:rPr>
          <w:rFonts w:hint="default" w:ascii="Times New Roman" w:hAnsi="Times New Roman" w:eastAsia="仿宋_GB2312" w:cs="Times New Roman"/>
          <w:sz w:val="28"/>
          <w:szCs w:val="28"/>
        </w:rPr>
        <w:t>330038</w:t>
      </w:r>
      <w:bookmarkStart w:id="87" w:name="_Toc435110684"/>
    </w:p>
    <w:p>
      <w:pPr>
        <w:pStyle w:val="3"/>
        <w:spacing w:before="0" w:after="0" w:line="560" w:lineRule="exact"/>
        <w:rPr>
          <w:rFonts w:hint="default" w:ascii="Times New Roman" w:hAnsi="Times New Roman" w:eastAsia="仿宋_GB2312" w:cs="Times New Roman"/>
          <w:b w:val="0"/>
          <w:bCs w:val="0"/>
          <w:sz w:val="28"/>
          <w:szCs w:val="28"/>
        </w:rPr>
      </w:pPr>
      <w:bookmarkStart w:id="88" w:name="_Toc104623067"/>
      <w:r>
        <w:rPr>
          <w:rFonts w:hint="default" w:ascii="Times New Roman" w:hAnsi="Times New Roman" w:eastAsia="仿宋_GB2312" w:cs="Times New Roman"/>
          <w:sz w:val="28"/>
          <w:szCs w:val="28"/>
        </w:rPr>
        <w:t>（三）估价目的</w:t>
      </w:r>
      <w:bookmarkEnd w:id="87"/>
      <w:bookmarkEnd w:id="88"/>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aps/>
          <w:sz w:val="28"/>
          <w:szCs w:val="28"/>
        </w:rPr>
        <w:t>为人民法院确定财产处置参考价提供参考依据</w:t>
      </w:r>
      <w:r>
        <w:rPr>
          <w:rFonts w:hint="default" w:ascii="Times New Roman" w:hAnsi="Times New Roman" w:eastAsia="仿宋_GB2312" w:cs="Times New Roman"/>
          <w:sz w:val="28"/>
          <w:szCs w:val="28"/>
        </w:rPr>
        <w:t>。</w:t>
      </w:r>
      <w:bookmarkStart w:id="89" w:name="_Toc435110685"/>
    </w:p>
    <w:p>
      <w:pPr>
        <w:pStyle w:val="3"/>
        <w:spacing w:before="0" w:after="0" w:line="560" w:lineRule="exact"/>
        <w:rPr>
          <w:rFonts w:hint="default" w:ascii="Times New Roman" w:hAnsi="Times New Roman" w:eastAsia="仿宋_GB2312" w:cs="Times New Roman"/>
          <w:b w:val="0"/>
          <w:bCs w:val="0"/>
          <w:sz w:val="28"/>
          <w:szCs w:val="28"/>
        </w:rPr>
      </w:pPr>
      <w:bookmarkStart w:id="90" w:name="_Toc104623068"/>
      <w:r>
        <w:rPr>
          <w:rFonts w:hint="default" w:ascii="Times New Roman" w:hAnsi="Times New Roman" w:eastAsia="仿宋_GB2312" w:cs="Times New Roman"/>
          <w:sz w:val="28"/>
          <w:szCs w:val="28"/>
        </w:rPr>
        <w:t>（四）估价对象</w:t>
      </w:r>
      <w:bookmarkEnd w:id="76"/>
      <w:bookmarkEnd w:id="77"/>
      <w:bookmarkEnd w:id="78"/>
      <w:bookmarkEnd w:id="79"/>
      <w:bookmarkEnd w:id="80"/>
      <w:bookmarkEnd w:id="81"/>
      <w:bookmarkEnd w:id="82"/>
      <w:bookmarkEnd w:id="83"/>
      <w:bookmarkEnd w:id="84"/>
      <w:bookmarkEnd w:id="85"/>
      <w:bookmarkEnd w:id="89"/>
      <w:bookmarkEnd w:id="90"/>
    </w:p>
    <w:p>
      <w:pPr>
        <w:adjustRightInd w:val="0"/>
        <w:snapToGrid w:val="0"/>
        <w:spacing w:line="560" w:lineRule="exact"/>
        <w:ind w:firstLine="562" w:firstLineChars="200"/>
        <w:rPr>
          <w:rFonts w:hint="default" w:ascii="Times New Roman" w:hAnsi="Times New Roman" w:eastAsia="仿宋_GB2312" w:cs="Times New Roman"/>
          <w:b/>
          <w:bCs/>
          <w:sz w:val="28"/>
          <w:szCs w:val="28"/>
        </w:rPr>
      </w:pPr>
      <w:bookmarkStart w:id="91" w:name="_Toc155258965"/>
      <w:bookmarkStart w:id="92" w:name="_Toc130033725"/>
      <w:bookmarkStart w:id="93" w:name="_Toc269132872"/>
      <w:bookmarkStart w:id="94" w:name="_Toc367869501"/>
      <w:bookmarkStart w:id="95" w:name="_Toc254860129"/>
      <w:bookmarkStart w:id="96" w:name="_Toc135016175"/>
      <w:bookmarkStart w:id="97" w:name="_Toc243111689"/>
      <w:bookmarkStart w:id="98" w:name="_Toc270691071"/>
      <w:bookmarkStart w:id="99" w:name="_Toc254875143"/>
      <w:bookmarkStart w:id="100" w:name="_Toc243111718"/>
      <w:bookmarkStart w:id="101" w:name="_Toc301369719"/>
      <w:r>
        <w:rPr>
          <w:rFonts w:hint="default" w:ascii="Times New Roman" w:hAnsi="Times New Roman" w:eastAsia="仿宋_GB2312" w:cs="Times New Roman"/>
          <w:b/>
          <w:bCs/>
          <w:sz w:val="28"/>
          <w:szCs w:val="28"/>
        </w:rPr>
        <w:t>1.</w:t>
      </w:r>
      <w:r>
        <w:rPr>
          <w:rFonts w:hint="default" w:ascii="Times New Roman" w:hAnsi="Times New Roman" w:eastAsia="仿宋_GB2312" w:cs="Times New Roman"/>
          <w:b/>
          <w:bCs/>
          <w:sz w:val="28"/>
          <w:szCs w:val="28"/>
        </w:rPr>
        <w:t>估价对象范围</w:t>
      </w:r>
    </w:p>
    <w:p>
      <w:pPr>
        <w:snapToGrid w:val="0"/>
        <w:spacing w:line="560" w:lineRule="exact"/>
        <w:ind w:firstLine="560" w:firstLineChars="200"/>
        <w:rPr>
          <w:rFonts w:hint="default" w:ascii="Times New Roman" w:hAnsi="Times New Roman" w:eastAsia="仿宋_GB2312" w:cs="Times New Roman"/>
          <w:caps/>
          <w:sz w:val="28"/>
          <w:szCs w:val="28"/>
        </w:rPr>
      </w:pPr>
      <w:r>
        <w:rPr>
          <w:rFonts w:hint="default" w:ascii="Times New Roman" w:hAnsi="Times New Roman" w:eastAsia="仿宋_GB2312" w:cs="Times New Roman"/>
          <w:caps/>
          <w:sz w:val="28"/>
          <w:szCs w:val="28"/>
        </w:rPr>
        <w:t>估价对象为庐山市庐阳大道东盟时代豪苑14栋2-404房地产</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包括房屋及相应的土地使用权，建筑面积</w:t>
      </w:r>
      <w:r>
        <w:rPr>
          <w:rFonts w:hint="default" w:ascii="Times New Roman" w:hAnsi="Times New Roman" w:eastAsia="仿宋_GB2312" w:cs="Times New Roman"/>
          <w:sz w:val="28"/>
          <w:szCs w:val="28"/>
        </w:rPr>
        <w:t>为</w:t>
      </w:r>
      <w:r>
        <w:rPr>
          <w:rFonts w:hint="default" w:ascii="Times New Roman" w:hAnsi="Times New Roman" w:eastAsia="仿宋_GB2312" w:cs="Times New Roman"/>
          <w:caps/>
          <w:sz w:val="28"/>
          <w:szCs w:val="28"/>
        </w:rPr>
        <w:t>124.88</w:t>
      </w:r>
      <w:r>
        <w:rPr>
          <w:rFonts w:hint="default" w:ascii="Times New Roman" w:hAnsi="Times New Roman" w:eastAsia="仿宋_GB2312" w:cs="Times New Roman"/>
          <w:caps/>
          <w:sz w:val="28"/>
          <w:szCs w:val="28"/>
        </w:rPr>
        <w:t>平方米。</w:t>
      </w:r>
    </w:p>
    <w:p>
      <w:pPr>
        <w:adjustRightInd w:val="0"/>
        <w:snapToGrid w:val="0"/>
        <w:spacing w:line="560" w:lineRule="exact"/>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2.</w:t>
      </w:r>
      <w:r>
        <w:rPr>
          <w:rFonts w:hint="default" w:ascii="Times New Roman" w:hAnsi="Times New Roman" w:eastAsia="仿宋_GB2312" w:cs="Times New Roman"/>
          <w:b/>
          <w:bCs/>
          <w:sz w:val="28"/>
          <w:szCs w:val="28"/>
        </w:rPr>
        <w:t>估价对象基本状况</w:t>
      </w:r>
    </w:p>
    <w:p>
      <w:pPr>
        <w:pStyle w:val="102"/>
        <w:adjustRightInd w:val="0"/>
        <w:snapToGrid w:val="0"/>
        <w:spacing w:line="560" w:lineRule="exact"/>
        <w:ind w:firstLine="56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根据委托人提供的</w:t>
      </w:r>
      <w:r>
        <w:rPr>
          <w:rFonts w:hint="default" w:ascii="Times New Roman" w:hAnsi="Times New Roman" w:eastAsia="仿宋_GB2312" w:cs="Times New Roman"/>
          <w:sz w:val="28"/>
        </w:rPr>
        <w:t>《不动产产权情况表》</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估价对象</w:t>
      </w:r>
      <w:r>
        <w:rPr>
          <w:rFonts w:hint="default" w:ascii="Times New Roman" w:hAnsi="Times New Roman" w:eastAsia="仿宋_GB2312" w:cs="Times New Roman"/>
          <w:sz w:val="28"/>
        </w:rPr>
        <w:t>基本</w:t>
      </w:r>
      <w:r>
        <w:rPr>
          <w:rFonts w:hint="default" w:ascii="Times New Roman" w:hAnsi="Times New Roman" w:eastAsia="仿宋_GB2312" w:cs="Times New Roman"/>
          <w:sz w:val="28"/>
        </w:rPr>
        <w:t>状况</w:t>
      </w:r>
      <w:r>
        <w:rPr>
          <w:rFonts w:hint="default" w:ascii="Times New Roman" w:hAnsi="Times New Roman" w:eastAsia="仿宋_GB2312" w:cs="Times New Roman"/>
          <w:sz w:val="28"/>
          <w:szCs w:val="28"/>
        </w:rPr>
        <w:t>详见下表：</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估价对象基本</w:t>
      </w:r>
      <w:r>
        <w:rPr>
          <w:rFonts w:hint="default" w:ascii="Times New Roman" w:hAnsi="Times New Roman" w:eastAsia="仿宋_GB2312" w:cs="Times New Roman"/>
          <w:b/>
          <w:sz w:val="28"/>
          <w:szCs w:val="28"/>
        </w:rPr>
        <w:t>状况</w:t>
      </w:r>
      <w:r>
        <w:rPr>
          <w:rFonts w:hint="default" w:ascii="Times New Roman" w:hAnsi="Times New Roman" w:eastAsia="仿宋_GB2312" w:cs="Times New Roman"/>
          <w:b/>
          <w:sz w:val="28"/>
          <w:szCs w:val="28"/>
        </w:rPr>
        <w:t>表</w:t>
      </w:r>
    </w:p>
    <w:tbl>
      <w:tblPr>
        <w:tblStyle w:val="43"/>
        <w:tblW w:w="4641"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1738"/>
        <w:gridCol w:w="814"/>
        <w:gridCol w:w="1878"/>
        <w:gridCol w:w="569"/>
        <w:gridCol w:w="569"/>
        <w:gridCol w:w="925"/>
        <w:gridCol w:w="850"/>
        <w:gridCol w:w="10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192" w:hRule="atLeast"/>
          <w:jc w:val="center"/>
        </w:trPr>
        <w:tc>
          <w:tcPr>
            <w:tcW w:w="1042"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不动产权证书号</w:t>
            </w:r>
          </w:p>
        </w:tc>
        <w:tc>
          <w:tcPr>
            <w:tcW w:w="488"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权利人</w:t>
            </w:r>
          </w:p>
        </w:tc>
        <w:tc>
          <w:tcPr>
            <w:tcW w:w="1125"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坐落</w:t>
            </w:r>
          </w:p>
        </w:tc>
        <w:tc>
          <w:tcPr>
            <w:tcW w:w="341"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用途</w:t>
            </w:r>
          </w:p>
        </w:tc>
        <w:tc>
          <w:tcPr>
            <w:tcW w:w="341"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房屋结构</w:t>
            </w:r>
          </w:p>
        </w:tc>
        <w:tc>
          <w:tcPr>
            <w:tcW w:w="554" w:type="pct"/>
            <w:vAlign w:val="center"/>
          </w:tcPr>
          <w:p>
            <w:pPr>
              <w:autoSpaceDE w:val="0"/>
              <w:autoSpaceDN w:val="0"/>
              <w:adjustRightInd w:val="0"/>
              <w:spacing w:line="0" w:lineRule="atLeast"/>
              <w:jc w:val="center"/>
              <w:rPr>
                <w:rFonts w:hint="default" w:ascii="Times New Roman" w:hAnsi="Times New Roman" w:eastAsia="仿宋_GB2312" w:cs="Times New Roman"/>
                <w:b/>
              </w:rPr>
            </w:pPr>
            <w:r>
              <w:rPr>
                <w:rFonts w:hint="default" w:ascii="Times New Roman" w:hAnsi="Times New Roman" w:eastAsia="仿宋_GB2312" w:cs="Times New Roman"/>
                <w:b/>
              </w:rPr>
              <w:t>建成年份</w:t>
            </w:r>
          </w:p>
        </w:tc>
        <w:tc>
          <w:tcPr>
            <w:tcW w:w="509" w:type="pct"/>
            <w:vAlign w:val="center"/>
          </w:tcPr>
          <w:p>
            <w:pPr>
              <w:autoSpaceDE w:val="0"/>
              <w:autoSpaceDN w:val="0"/>
              <w:adjustRightInd w:val="0"/>
              <w:spacing w:line="0" w:lineRule="atLeast"/>
              <w:jc w:val="center"/>
              <w:rPr>
                <w:rFonts w:hint="default" w:ascii="Times New Roman" w:hAnsi="Times New Roman" w:eastAsia="仿宋_GB2312" w:cs="Times New Roman"/>
                <w:b/>
              </w:rPr>
            </w:pPr>
            <w:r>
              <w:rPr>
                <w:rFonts w:hint="default" w:ascii="Times New Roman" w:hAnsi="Times New Roman" w:eastAsia="仿宋_GB2312" w:cs="Times New Roman"/>
                <w:b/>
              </w:rPr>
              <w:t>评估层/</w:t>
            </w:r>
          </w:p>
          <w:p>
            <w:pPr>
              <w:autoSpaceDE w:val="0"/>
              <w:autoSpaceDN w:val="0"/>
              <w:adjustRightInd w:val="0"/>
              <w:spacing w:line="0" w:lineRule="atLeast"/>
              <w:jc w:val="center"/>
              <w:rPr>
                <w:rFonts w:hint="default" w:ascii="Times New Roman" w:hAnsi="Times New Roman" w:eastAsia="仿宋_GB2312" w:cs="Times New Roman"/>
                <w:b/>
              </w:rPr>
            </w:pPr>
            <w:r>
              <w:rPr>
                <w:rFonts w:hint="default" w:ascii="Times New Roman" w:hAnsi="Times New Roman" w:eastAsia="仿宋_GB2312" w:cs="Times New Roman"/>
                <w:b/>
              </w:rPr>
              <w:t>总层数</w:t>
            </w:r>
          </w:p>
        </w:tc>
        <w:tc>
          <w:tcPr>
            <w:tcW w:w="599" w:type="pct"/>
            <w:vAlign w:val="center"/>
          </w:tcPr>
          <w:p>
            <w:pPr>
              <w:autoSpaceDE w:val="0"/>
              <w:autoSpaceDN w:val="0"/>
              <w:adjustRightInd w:val="0"/>
              <w:spacing w:line="0" w:lineRule="atLeast"/>
              <w:jc w:val="center"/>
              <w:rPr>
                <w:rFonts w:hint="default" w:ascii="Times New Roman" w:hAnsi="Times New Roman" w:eastAsia="仿宋_GB2312" w:cs="Times New Roman"/>
                <w:b/>
              </w:rPr>
            </w:pPr>
            <w:r>
              <w:rPr>
                <w:rFonts w:hint="default" w:ascii="Times New Roman" w:hAnsi="Times New Roman" w:eastAsia="仿宋_GB2312" w:cs="Times New Roman"/>
                <w:b/>
              </w:rPr>
              <w:t>建筑面积(M</w:t>
            </w:r>
            <w:r>
              <w:rPr>
                <w:rFonts w:hint="default" w:ascii="Times New Roman" w:hAnsi="Times New Roman" w:eastAsia="仿宋_GB2312" w:cs="Times New Roman"/>
                <w:b/>
                <w:vertAlign w:val="superscript"/>
              </w:rPr>
              <w:t>2</w:t>
            </w:r>
            <w:r>
              <w:rPr>
                <w:rFonts w:hint="default" w:ascii="Times New Roman" w:hAnsi="Times New Roman" w:eastAsia="仿宋_GB2312" w:cs="Times New Roman"/>
                <w:b/>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516" w:hRule="atLeast"/>
          <w:jc w:val="center"/>
        </w:trPr>
        <w:tc>
          <w:tcPr>
            <w:tcW w:w="1042"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赣（2019）庐山市不动产权第0005070号</w:t>
            </w:r>
          </w:p>
        </w:tc>
        <w:tc>
          <w:tcPr>
            <w:tcW w:w="488"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刘金春 李艳平</w:t>
            </w:r>
          </w:p>
        </w:tc>
        <w:tc>
          <w:tcPr>
            <w:tcW w:w="1125"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庐阳大道东盟时代豪苑14栋2-404</w:t>
            </w:r>
          </w:p>
        </w:tc>
        <w:tc>
          <w:tcPr>
            <w:tcW w:w="341"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住宅</w:t>
            </w:r>
          </w:p>
        </w:tc>
        <w:tc>
          <w:tcPr>
            <w:tcW w:w="341"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钢混</w:t>
            </w:r>
          </w:p>
        </w:tc>
        <w:tc>
          <w:tcPr>
            <w:tcW w:w="554" w:type="pct"/>
            <w:vAlign w:val="center"/>
          </w:tcPr>
          <w:p>
            <w:pPr>
              <w:autoSpaceDE w:val="0"/>
              <w:autoSpaceDN w:val="0"/>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rPr>
              <w:t>2010年</w:t>
            </w:r>
          </w:p>
        </w:tc>
        <w:tc>
          <w:tcPr>
            <w:tcW w:w="509" w:type="pct"/>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4/7</w:t>
            </w:r>
          </w:p>
        </w:tc>
        <w:tc>
          <w:tcPr>
            <w:tcW w:w="599" w:type="pct"/>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124.88</w:t>
            </w:r>
          </w:p>
        </w:tc>
      </w:tr>
    </w:tbl>
    <w:p>
      <w:pPr>
        <w:adjustRightInd w:val="0"/>
        <w:snapToGrid w:val="0"/>
        <w:spacing w:line="560" w:lineRule="exact"/>
        <w:ind w:firstLine="562" w:firstLineChars="200"/>
        <w:rPr>
          <w:rFonts w:hint="default" w:ascii="Times New Roman" w:hAnsi="Times New Roman" w:eastAsia="仿宋_GB2312" w:cs="Times New Roman"/>
          <w:b/>
          <w:sz w:val="28"/>
        </w:rPr>
      </w:pPr>
      <w:r>
        <w:rPr>
          <w:rFonts w:hint="default" w:ascii="Times New Roman" w:hAnsi="Times New Roman" w:eastAsia="仿宋_GB2312" w:cs="Times New Roman"/>
          <w:b/>
          <w:bCs/>
          <w:sz w:val="28"/>
          <w:szCs w:val="28"/>
        </w:rPr>
        <w:t>3.</w:t>
      </w:r>
      <w:r>
        <w:rPr>
          <w:rFonts w:hint="default" w:ascii="Times New Roman" w:hAnsi="Times New Roman" w:eastAsia="仿宋_GB2312" w:cs="Times New Roman"/>
          <w:b/>
          <w:bCs/>
          <w:sz w:val="28"/>
          <w:szCs w:val="28"/>
        </w:rPr>
        <w:t>土地</w:t>
      </w:r>
      <w:r>
        <w:rPr>
          <w:rFonts w:hint="default" w:ascii="Times New Roman" w:hAnsi="Times New Roman" w:eastAsia="仿宋_GB2312" w:cs="Times New Roman"/>
          <w:b/>
          <w:bCs/>
          <w:sz w:val="28"/>
          <w:szCs w:val="28"/>
        </w:rPr>
        <w:t>基本状况表</w:t>
      </w:r>
    </w:p>
    <w:tbl>
      <w:tblPr>
        <w:tblStyle w:val="43"/>
        <w:tblW w:w="845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1803"/>
        <w:gridCol w:w="891"/>
        <w:gridCol w:w="1931"/>
        <w:gridCol w:w="762"/>
        <w:gridCol w:w="638"/>
        <w:gridCol w:w="1577"/>
        <w:gridCol w:w="8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126" w:hRule="atLeast"/>
          <w:jc w:val="center"/>
        </w:trPr>
        <w:tc>
          <w:tcPr>
            <w:tcW w:w="1803" w:type="dxa"/>
            <w:vAlign w:val="center"/>
          </w:tcPr>
          <w:p>
            <w:pPr>
              <w:autoSpaceDE w:val="0"/>
              <w:autoSpaceDN w:val="0"/>
              <w:adjustRightInd w:val="0"/>
              <w:spacing w:line="0" w:lineRule="atLeast"/>
              <w:jc w:val="center"/>
              <w:rPr>
                <w:rFonts w:hint="default" w:ascii="Times New Roman" w:hAnsi="Times New Roman" w:eastAsia="仿宋_GB2312" w:cs="Times New Roman"/>
                <w:b/>
              </w:rPr>
            </w:pPr>
            <w:r>
              <w:rPr>
                <w:rFonts w:hint="default" w:ascii="Times New Roman" w:hAnsi="Times New Roman" w:eastAsia="仿宋_GB2312" w:cs="Times New Roman"/>
                <w:b/>
              </w:rPr>
              <w:t>不动产权证书号</w:t>
            </w:r>
          </w:p>
        </w:tc>
        <w:tc>
          <w:tcPr>
            <w:tcW w:w="891" w:type="dxa"/>
            <w:vAlign w:val="center"/>
          </w:tcPr>
          <w:p>
            <w:pPr>
              <w:autoSpaceDE w:val="0"/>
              <w:autoSpaceDN w:val="0"/>
              <w:adjustRightInd w:val="0"/>
              <w:spacing w:line="24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权利人</w:t>
            </w:r>
          </w:p>
        </w:tc>
        <w:tc>
          <w:tcPr>
            <w:tcW w:w="1931" w:type="dxa"/>
            <w:vAlign w:val="center"/>
          </w:tcPr>
          <w:p>
            <w:pPr>
              <w:autoSpaceDE w:val="0"/>
              <w:autoSpaceDN w:val="0"/>
              <w:adjustRightInd w:val="0"/>
              <w:spacing w:line="0" w:lineRule="atLeast"/>
              <w:jc w:val="center"/>
              <w:rPr>
                <w:rFonts w:hint="default" w:ascii="Times New Roman" w:hAnsi="Times New Roman" w:eastAsia="仿宋_GB2312" w:cs="Times New Roman"/>
                <w:b/>
              </w:rPr>
            </w:pPr>
            <w:r>
              <w:rPr>
                <w:rFonts w:hint="default" w:ascii="Times New Roman" w:hAnsi="Times New Roman" w:eastAsia="仿宋_GB2312" w:cs="Times New Roman"/>
                <w:b/>
              </w:rPr>
              <w:t>坐落</w:t>
            </w:r>
          </w:p>
        </w:tc>
        <w:tc>
          <w:tcPr>
            <w:tcW w:w="762" w:type="dxa"/>
            <w:vAlign w:val="center"/>
          </w:tcPr>
          <w:p>
            <w:pPr>
              <w:autoSpaceDE w:val="0"/>
              <w:autoSpaceDN w:val="0"/>
              <w:adjustRightInd w:val="0"/>
              <w:spacing w:line="24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使用权类型</w:t>
            </w:r>
          </w:p>
        </w:tc>
        <w:tc>
          <w:tcPr>
            <w:tcW w:w="638" w:type="dxa"/>
            <w:vAlign w:val="center"/>
          </w:tcPr>
          <w:p>
            <w:pPr>
              <w:autoSpaceDE w:val="0"/>
              <w:autoSpaceDN w:val="0"/>
              <w:adjustRightInd w:val="0"/>
              <w:spacing w:line="24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土地用途</w:t>
            </w:r>
          </w:p>
        </w:tc>
        <w:tc>
          <w:tcPr>
            <w:tcW w:w="1577" w:type="dxa"/>
            <w:vAlign w:val="center"/>
          </w:tcPr>
          <w:p>
            <w:pPr>
              <w:autoSpaceDE w:val="0"/>
              <w:autoSpaceDN w:val="0"/>
              <w:adjustRightInd w:val="0"/>
              <w:spacing w:line="24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土地终止日期</w:t>
            </w:r>
          </w:p>
        </w:tc>
        <w:tc>
          <w:tcPr>
            <w:tcW w:w="851" w:type="dxa"/>
            <w:vAlign w:val="center"/>
          </w:tcPr>
          <w:p>
            <w:pPr>
              <w:autoSpaceDE w:val="0"/>
              <w:autoSpaceDN w:val="0"/>
              <w:adjustRightInd w:val="0"/>
              <w:spacing w:line="240" w:lineRule="exact"/>
              <w:jc w:val="center"/>
              <w:rPr>
                <w:rFonts w:hint="default" w:ascii="Times New Roman" w:hAnsi="Times New Roman" w:eastAsia="仿宋_GB2312" w:cs="Times New Roman"/>
                <w:b/>
              </w:rPr>
            </w:pPr>
            <w:r>
              <w:rPr>
                <w:rFonts w:hint="default" w:ascii="Times New Roman" w:hAnsi="Times New Roman" w:eastAsia="仿宋_GB2312" w:cs="Times New Roman"/>
                <w:b/>
              </w:rPr>
              <w:t>土地使用权面积</w:t>
            </w:r>
            <w:r>
              <w:rPr>
                <w:rFonts w:hint="default" w:ascii="Times New Roman" w:hAnsi="Times New Roman" w:eastAsia="仿宋_GB2312" w:cs="Times New Roman"/>
                <w:b/>
              </w:rPr>
              <w:t xml:space="preserve"> (</w:t>
            </w:r>
            <w:r>
              <w:rPr>
                <w:rFonts w:hint="default" w:ascii="Times New Roman" w:hAnsi="Times New Roman" w:cs="Times New Roman"/>
                <w:b/>
              </w:rPr>
              <w:t>㎡</w:t>
            </w:r>
            <w:r>
              <w:rPr>
                <w:rFonts w:hint="default" w:ascii="Times New Roman" w:hAnsi="Times New Roman" w:eastAsia="仿宋_GB2312" w:cs="Times New Roman"/>
                <w:b/>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10" w:hRule="atLeast"/>
          <w:jc w:val="center"/>
        </w:trPr>
        <w:tc>
          <w:tcPr>
            <w:tcW w:w="1803"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赣（2019）庐山市不动产权第0005070号</w:t>
            </w:r>
          </w:p>
        </w:tc>
        <w:tc>
          <w:tcPr>
            <w:tcW w:w="891"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刘金春 李艳平</w:t>
            </w:r>
          </w:p>
        </w:tc>
        <w:tc>
          <w:tcPr>
            <w:tcW w:w="1931"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庐阳大道东盟时代豪苑14栋2-404</w:t>
            </w:r>
          </w:p>
        </w:tc>
        <w:tc>
          <w:tcPr>
            <w:tcW w:w="762" w:type="dxa"/>
            <w:vAlign w:val="center"/>
          </w:tcPr>
          <w:p>
            <w:pPr>
              <w:autoSpaceDE w:val="0"/>
              <w:autoSpaceDN w:val="0"/>
              <w:adjustRightInd w:val="0"/>
              <w:snapToGrid w:val="0"/>
              <w:spacing w:line="24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出让</w:t>
            </w:r>
          </w:p>
        </w:tc>
        <w:tc>
          <w:tcPr>
            <w:tcW w:w="638" w:type="dxa"/>
            <w:vAlign w:val="center"/>
          </w:tcPr>
          <w:p>
            <w:pPr>
              <w:autoSpaceDE w:val="0"/>
              <w:autoSpaceDN w:val="0"/>
              <w:adjustRightInd w:val="0"/>
              <w:snapToGrid w:val="0"/>
              <w:spacing w:line="24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城镇住宅用地</w:t>
            </w:r>
          </w:p>
        </w:tc>
        <w:tc>
          <w:tcPr>
            <w:tcW w:w="1577" w:type="dxa"/>
            <w:vAlign w:val="center"/>
          </w:tcPr>
          <w:p>
            <w:pPr>
              <w:autoSpaceDE w:val="0"/>
              <w:autoSpaceDN w:val="0"/>
              <w:adjustRightInd w:val="0"/>
              <w:snapToGrid w:val="0"/>
              <w:spacing w:line="24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2075年10月09日</w:t>
            </w:r>
          </w:p>
        </w:tc>
        <w:tc>
          <w:tcPr>
            <w:tcW w:w="851" w:type="dxa"/>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color w:val="000000"/>
              </w:rPr>
              <w:t>23.34</w:t>
            </w:r>
          </w:p>
        </w:tc>
      </w:tr>
    </w:tbl>
    <w:p>
      <w:pPr>
        <w:adjustRightInd w:val="0"/>
        <w:snapToGrid w:val="0"/>
        <w:spacing w:line="500" w:lineRule="exact"/>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4．</w:t>
      </w:r>
      <w:r>
        <w:rPr>
          <w:rFonts w:hint="default" w:ascii="Times New Roman" w:hAnsi="Times New Roman" w:eastAsia="仿宋_GB2312" w:cs="Times New Roman"/>
          <w:b/>
          <w:bCs/>
          <w:sz w:val="28"/>
          <w:szCs w:val="28"/>
        </w:rPr>
        <w:t>估价对象实物状况</w:t>
      </w:r>
    </w:p>
    <w:p>
      <w:pPr>
        <w:tabs>
          <w:tab w:val="left" w:pos="4998"/>
        </w:tabs>
        <w:spacing w:line="520" w:lineRule="exact"/>
        <w:ind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估价对象</w:t>
      </w:r>
      <w:r>
        <w:rPr>
          <w:rFonts w:hint="default" w:ascii="Times New Roman" w:hAnsi="Times New Roman" w:eastAsia="仿宋_GB2312" w:cs="Times New Roman"/>
          <w:sz w:val="28"/>
        </w:rPr>
        <w:t>位于庐山市庐阳大道东盟时代豪苑14栋2-404</w:t>
      </w:r>
      <w:r>
        <w:rPr>
          <w:rFonts w:hint="default" w:ascii="Times New Roman" w:hAnsi="Times New Roman" w:eastAsia="仿宋_GB2312" w:cs="Times New Roman"/>
          <w:sz w:val="28"/>
        </w:rPr>
        <w:t>，</w:t>
      </w:r>
      <w:r>
        <w:rPr>
          <w:rFonts w:hint="default" w:ascii="Times New Roman" w:hAnsi="Times New Roman" w:eastAsia="仿宋_GB2312" w:cs="Times New Roman"/>
          <w:sz w:val="28"/>
        </w:rPr>
        <w:t>竣工时间为2010年</w:t>
      </w:r>
      <w:r>
        <w:rPr>
          <w:rFonts w:hint="default" w:ascii="Times New Roman" w:hAnsi="Times New Roman" w:eastAsia="仿宋_GB2312" w:cs="Times New Roman"/>
          <w:sz w:val="28"/>
        </w:rPr>
        <w:t>，</w:t>
      </w:r>
      <w:r>
        <w:rPr>
          <w:rFonts w:hint="default" w:ascii="Times New Roman" w:hAnsi="Times New Roman" w:eastAsia="仿宋_GB2312" w:cs="Times New Roman"/>
          <w:sz w:val="28"/>
        </w:rPr>
        <w:t>钢混</w:t>
      </w:r>
      <w:r>
        <w:rPr>
          <w:rFonts w:hint="default" w:ascii="Times New Roman" w:hAnsi="Times New Roman" w:eastAsia="仿宋_GB2312" w:cs="Times New Roman"/>
          <w:sz w:val="28"/>
        </w:rPr>
        <w:t>结构</w:t>
      </w:r>
      <w:r>
        <w:rPr>
          <w:rFonts w:hint="default" w:ascii="Times New Roman" w:hAnsi="Times New Roman" w:eastAsia="仿宋_GB2312" w:cs="Times New Roman"/>
          <w:sz w:val="28"/>
        </w:rPr>
        <w:t>，</w:t>
      </w:r>
      <w:r>
        <w:rPr>
          <w:rFonts w:hint="default" w:ascii="Times New Roman" w:hAnsi="Times New Roman" w:eastAsia="仿宋_GB2312" w:cs="Times New Roman"/>
          <w:sz w:val="28"/>
        </w:rPr>
        <w:t>所在建筑物总楼层为7层</w:t>
      </w:r>
      <w:r>
        <w:rPr>
          <w:rFonts w:hint="default" w:ascii="Times New Roman" w:hAnsi="Times New Roman" w:eastAsia="仿宋_GB2312" w:cs="Times New Roman"/>
          <w:sz w:val="28"/>
        </w:rPr>
        <w:t>，估价对象位于第4层。建筑物外墙为涂料及墙砖，物业内部装修为天花吊顶，内墙为乳胶漆，客厅及卧室地面为地砖，厨房及卫生间为地砖地面，墙砖墙面，铝合金窗，防盗门</w:t>
      </w:r>
      <w:r>
        <w:rPr>
          <w:rFonts w:hint="default" w:ascii="Times New Roman" w:hAnsi="Times New Roman" w:eastAsia="仿宋_GB2312" w:cs="Times New Roman"/>
          <w:sz w:val="28"/>
          <w:szCs w:val="28"/>
        </w:rPr>
        <w:t>。至</w:t>
      </w:r>
      <w:r>
        <w:rPr>
          <w:rFonts w:hint="default" w:ascii="Times New Roman" w:hAnsi="Times New Roman" w:eastAsia="仿宋_GB2312" w:cs="Times New Roman"/>
          <w:sz w:val="28"/>
          <w:szCs w:val="28"/>
        </w:rPr>
        <w:t>价值时点</w:t>
      </w:r>
      <w:r>
        <w:rPr>
          <w:rFonts w:hint="default" w:ascii="Times New Roman" w:hAnsi="Times New Roman" w:eastAsia="仿宋_GB2312" w:cs="Times New Roman"/>
          <w:sz w:val="28"/>
        </w:rPr>
        <w:t>估价对象现状为空置。</w:t>
      </w:r>
    </w:p>
    <w:bookmarkEnd w:id="91"/>
    <w:p>
      <w:pPr>
        <w:pStyle w:val="3"/>
        <w:spacing w:before="0" w:after="0" w:line="500" w:lineRule="exact"/>
        <w:rPr>
          <w:rFonts w:hint="default" w:ascii="Times New Roman" w:hAnsi="Times New Roman" w:eastAsia="仿宋_GB2312" w:cs="Times New Roman"/>
          <w:b w:val="0"/>
          <w:bCs w:val="0"/>
          <w:sz w:val="28"/>
          <w:szCs w:val="28"/>
        </w:rPr>
      </w:pPr>
      <w:bookmarkStart w:id="102" w:name="_Toc435110686"/>
      <w:bookmarkStart w:id="103" w:name="_Toc104623069"/>
      <w:r>
        <w:rPr>
          <w:rFonts w:hint="default" w:ascii="Times New Roman" w:hAnsi="Times New Roman" w:eastAsia="仿宋_GB2312" w:cs="Times New Roman"/>
          <w:sz w:val="28"/>
          <w:szCs w:val="28"/>
        </w:rPr>
        <w:t>（五）</w:t>
      </w:r>
      <w:bookmarkEnd w:id="92"/>
      <w:bookmarkEnd w:id="93"/>
      <w:bookmarkEnd w:id="94"/>
      <w:bookmarkEnd w:id="95"/>
      <w:bookmarkEnd w:id="96"/>
      <w:bookmarkEnd w:id="97"/>
      <w:bookmarkEnd w:id="98"/>
      <w:bookmarkEnd w:id="99"/>
      <w:bookmarkEnd w:id="100"/>
      <w:bookmarkEnd w:id="101"/>
      <w:r>
        <w:rPr>
          <w:rFonts w:hint="default" w:ascii="Times New Roman" w:hAnsi="Times New Roman" w:eastAsia="仿宋_GB2312" w:cs="Times New Roman"/>
          <w:sz w:val="28"/>
          <w:szCs w:val="28"/>
        </w:rPr>
        <w:t>价值时点</w:t>
      </w:r>
      <w:bookmarkEnd w:id="102"/>
      <w:bookmarkEnd w:id="103"/>
    </w:p>
    <w:p>
      <w:pPr>
        <w:spacing w:line="500" w:lineRule="exact"/>
        <w:ind w:left="480"/>
        <w:rPr>
          <w:rFonts w:hint="default" w:ascii="Times New Roman" w:hAnsi="Times New Roman" w:eastAsia="仿宋_GB2312" w:cs="Times New Roman"/>
          <w:snapToGrid w:val="0"/>
          <w:kern w:val="0"/>
          <w:sz w:val="28"/>
          <w:szCs w:val="28"/>
        </w:rPr>
      </w:pPr>
      <w:r>
        <w:rPr>
          <w:rFonts w:hint="default" w:ascii="Times New Roman" w:hAnsi="Times New Roman" w:eastAsia="仿宋_GB2312" w:cs="Times New Roman"/>
          <w:snapToGrid w:val="0"/>
          <w:kern w:val="0"/>
          <w:sz w:val="28"/>
          <w:szCs w:val="28"/>
        </w:rPr>
        <w:t>2022年05月17日</w:t>
      </w:r>
      <w:bookmarkStart w:id="104" w:name="_Toc301369720"/>
      <w:bookmarkStart w:id="105" w:name="_Toc135016176"/>
      <w:bookmarkStart w:id="106" w:name="_Toc270691072"/>
      <w:bookmarkStart w:id="107" w:name="_Toc367869502"/>
      <w:bookmarkStart w:id="108" w:name="_Toc243111719"/>
      <w:bookmarkStart w:id="109" w:name="_Toc269132873"/>
      <w:bookmarkStart w:id="110" w:name="_Toc254875144"/>
      <w:bookmarkStart w:id="111" w:name="_Toc130033726"/>
      <w:bookmarkStart w:id="112" w:name="_Toc254860130"/>
      <w:bookmarkStart w:id="113" w:name="_Toc243111690"/>
      <w:bookmarkStart w:id="114" w:name="_Toc435110687"/>
      <w:r>
        <w:rPr>
          <w:rFonts w:hint="default" w:ascii="Times New Roman" w:hAnsi="Times New Roman" w:eastAsia="仿宋_GB2312" w:cs="Times New Roman"/>
          <w:snapToGrid w:val="0"/>
          <w:kern w:val="0"/>
          <w:sz w:val="28"/>
          <w:szCs w:val="28"/>
        </w:rPr>
        <w:t>，此价值时点为委托评估之日。</w:t>
      </w:r>
    </w:p>
    <w:p>
      <w:pPr>
        <w:pStyle w:val="3"/>
        <w:spacing w:before="0" w:after="0" w:line="500" w:lineRule="exact"/>
        <w:rPr>
          <w:rFonts w:hint="default" w:ascii="Times New Roman" w:hAnsi="Times New Roman" w:eastAsia="仿宋_GB2312" w:cs="Times New Roman"/>
          <w:b w:val="0"/>
          <w:bCs w:val="0"/>
          <w:snapToGrid w:val="0"/>
          <w:kern w:val="0"/>
          <w:sz w:val="28"/>
          <w:szCs w:val="28"/>
        </w:rPr>
      </w:pPr>
      <w:bookmarkStart w:id="115" w:name="_Toc104623070"/>
      <w:r>
        <w:rPr>
          <w:rFonts w:hint="default" w:ascii="Times New Roman" w:hAnsi="Times New Roman" w:eastAsia="仿宋_GB2312" w:cs="Times New Roman"/>
          <w:sz w:val="28"/>
          <w:szCs w:val="28"/>
        </w:rPr>
        <w:t>（六）价值</w:t>
      </w:r>
      <w:bookmarkEnd w:id="104"/>
      <w:bookmarkEnd w:id="105"/>
      <w:bookmarkEnd w:id="106"/>
      <w:bookmarkEnd w:id="107"/>
      <w:bookmarkEnd w:id="108"/>
      <w:bookmarkEnd w:id="109"/>
      <w:bookmarkEnd w:id="110"/>
      <w:bookmarkEnd w:id="111"/>
      <w:bookmarkEnd w:id="112"/>
      <w:bookmarkEnd w:id="113"/>
      <w:r>
        <w:rPr>
          <w:rFonts w:hint="default" w:ascii="Times New Roman" w:hAnsi="Times New Roman" w:eastAsia="仿宋_GB2312" w:cs="Times New Roman"/>
          <w:sz w:val="28"/>
          <w:szCs w:val="28"/>
        </w:rPr>
        <w:t>类型</w:t>
      </w:r>
      <w:bookmarkEnd w:id="114"/>
      <w:bookmarkEnd w:id="115"/>
    </w:p>
    <w:p>
      <w:pPr>
        <w:spacing w:line="500" w:lineRule="exact"/>
        <w:ind w:firstLine="560" w:firstLineChars="200"/>
        <w:rPr>
          <w:rFonts w:hint="default" w:ascii="Times New Roman" w:hAnsi="Times New Roman" w:eastAsia="仿宋_GB2312" w:cs="Times New Roman"/>
          <w:sz w:val="28"/>
          <w:szCs w:val="28"/>
        </w:rPr>
      </w:pPr>
      <w:bookmarkStart w:id="116" w:name="_Toc301369722"/>
      <w:bookmarkStart w:id="117" w:name="_Toc130033728"/>
      <w:bookmarkStart w:id="118" w:name="_Toc243111692"/>
      <w:bookmarkStart w:id="119" w:name="_Toc254875146"/>
      <w:bookmarkStart w:id="120" w:name="_Toc135016178"/>
      <w:bookmarkStart w:id="121" w:name="_Toc270691074"/>
      <w:bookmarkStart w:id="122" w:name="_Toc367869504"/>
      <w:bookmarkStart w:id="123" w:name="_Toc243111721"/>
      <w:bookmarkStart w:id="124" w:name="_Toc269132875"/>
      <w:bookmarkStart w:id="125" w:name="_Toc435110688"/>
      <w:bookmarkStart w:id="126" w:name="_Toc254860132"/>
      <w:r>
        <w:rPr>
          <w:rFonts w:hint="default" w:ascii="Times New Roman" w:hAnsi="Times New Roman" w:eastAsia="仿宋_GB2312" w:cs="Times New Roman"/>
          <w:sz w:val="28"/>
          <w:szCs w:val="28"/>
        </w:rPr>
        <w:t>本报告的估价结果是指估价对象在维持规划用途并正常使用的条件下，于价值时点</w:t>
      </w:r>
      <w:r>
        <w:rPr>
          <w:rFonts w:hint="default" w:ascii="Times New Roman" w:hAnsi="Times New Roman" w:eastAsia="仿宋_GB2312" w:cs="Times New Roman"/>
          <w:sz w:val="28"/>
          <w:szCs w:val="28"/>
        </w:rPr>
        <w:t>2022年05月17日</w:t>
      </w:r>
      <w:r>
        <w:rPr>
          <w:rFonts w:hint="default" w:ascii="Times New Roman" w:hAnsi="Times New Roman" w:eastAsia="仿宋_GB2312" w:cs="Times New Roman"/>
          <w:sz w:val="28"/>
          <w:szCs w:val="28"/>
        </w:rPr>
        <w:t>房地产市场价值。</w:t>
      </w:r>
    </w:p>
    <w:p>
      <w:p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本报告价格货币单位均为人民币。</w:t>
      </w:r>
    </w:p>
    <w:p>
      <w:pPr>
        <w:pStyle w:val="3"/>
        <w:spacing w:before="0" w:after="0" w:line="500" w:lineRule="exact"/>
        <w:rPr>
          <w:rFonts w:hint="default" w:ascii="Times New Roman" w:hAnsi="Times New Roman" w:eastAsia="仿宋_GB2312" w:cs="Times New Roman"/>
          <w:b w:val="0"/>
          <w:bCs w:val="0"/>
          <w:sz w:val="28"/>
          <w:szCs w:val="28"/>
        </w:rPr>
      </w:pPr>
      <w:bookmarkStart w:id="127" w:name="_Toc104623071"/>
      <w:r>
        <w:rPr>
          <w:rFonts w:hint="default" w:ascii="Times New Roman" w:hAnsi="Times New Roman" w:eastAsia="仿宋_GB2312" w:cs="Times New Roman"/>
          <w:sz w:val="28"/>
          <w:szCs w:val="28"/>
        </w:rPr>
        <w:t>（七）估价原则</w:t>
      </w:r>
      <w:bookmarkEnd w:id="116"/>
      <w:bookmarkEnd w:id="117"/>
      <w:bookmarkEnd w:id="118"/>
      <w:bookmarkEnd w:id="119"/>
      <w:bookmarkEnd w:id="120"/>
      <w:bookmarkEnd w:id="121"/>
      <w:bookmarkEnd w:id="122"/>
      <w:bookmarkEnd w:id="123"/>
      <w:bookmarkEnd w:id="124"/>
      <w:bookmarkEnd w:id="125"/>
      <w:bookmarkEnd w:id="126"/>
      <w:bookmarkEnd w:id="127"/>
    </w:p>
    <w:p>
      <w:pPr>
        <w:adjustRightInd w:val="0"/>
        <w:snapToGrid w:val="0"/>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本次估价遵循的房地产估价原则有：独立、客观、公正原则、合法原则、价值时点原则、替代原则、最高最佳利用原则。</w:t>
      </w:r>
    </w:p>
    <w:p>
      <w:pPr>
        <w:adjustRightInd w:val="0"/>
        <w:snapToGrid w:val="0"/>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t>独立、客观、公正原则</w:t>
      </w:r>
    </w:p>
    <w:p>
      <w:pPr>
        <w:adjustRightInd w:val="0"/>
        <w:snapToGrid w:val="0"/>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要求站在中立的立场上，实事求是、公平正直地评估出对各方估价利害关系人均是公平合理的价值或价格的原则。</w:t>
      </w:r>
    </w:p>
    <w:p>
      <w:pPr>
        <w:adjustRightInd w:val="0"/>
        <w:snapToGrid w:val="0"/>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t>合法原则</w:t>
      </w:r>
    </w:p>
    <w:p>
      <w:pPr>
        <w:adjustRightInd w:val="0"/>
        <w:snapToGrid w:val="0"/>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要求估价结果是依法判定的估价对象状况下的价值或价格的原则。</w:t>
      </w:r>
    </w:p>
    <w:p>
      <w:pPr>
        <w:adjustRightInd w:val="0"/>
        <w:snapToGrid w:val="0"/>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t>价值时点原则</w:t>
      </w:r>
    </w:p>
    <w:p>
      <w:pPr>
        <w:adjustRightInd w:val="0"/>
        <w:snapToGrid w:val="0"/>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要求估价结果是在根据估价目的确定的某一特定时间的价值或价格的原则。</w:t>
      </w:r>
    </w:p>
    <w:p>
      <w:pPr>
        <w:adjustRightInd w:val="0"/>
        <w:snapToGrid w:val="0"/>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t>替代原则</w:t>
      </w:r>
    </w:p>
    <w:p>
      <w:pPr>
        <w:adjustRightInd w:val="0"/>
        <w:snapToGrid w:val="0"/>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要求估价结果与估价对象的类似房地产在同等条件下的价值或价格偏差应在合理范围内的原则。</w:t>
      </w:r>
    </w:p>
    <w:p>
      <w:pPr>
        <w:adjustRightInd w:val="0"/>
        <w:snapToGrid w:val="0"/>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default" w:ascii="Times New Roman" w:hAnsi="Times New Roman" w:eastAsia="仿宋_GB2312" w:cs="Times New Roman"/>
          <w:sz w:val="28"/>
          <w:szCs w:val="28"/>
        </w:rPr>
        <w:t>最高最佳利用原则</w:t>
      </w:r>
    </w:p>
    <w:p>
      <w:pPr>
        <w:adjustRightInd w:val="0"/>
        <w:snapToGrid w:val="0"/>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要求估价结果是在估价对象最高最佳利用状况下的价值或价格。</w:t>
      </w:r>
      <w:bookmarkStart w:id="128" w:name="_Toc270691073"/>
      <w:bookmarkStart w:id="129" w:name="_Toc367869503"/>
      <w:bookmarkStart w:id="130" w:name="_Toc301369721"/>
      <w:bookmarkStart w:id="131" w:name="_Toc254860131"/>
      <w:bookmarkStart w:id="132" w:name="_Toc130033727"/>
      <w:bookmarkStart w:id="133" w:name="_Toc254875145"/>
      <w:bookmarkStart w:id="134" w:name="_Toc243111691"/>
      <w:bookmarkStart w:id="135" w:name="_Toc135016177"/>
      <w:bookmarkStart w:id="136" w:name="_Toc269132874"/>
      <w:bookmarkStart w:id="137" w:name="_Toc435110689"/>
      <w:bookmarkStart w:id="138" w:name="_Toc243111720"/>
    </w:p>
    <w:p>
      <w:pPr>
        <w:pStyle w:val="3"/>
        <w:spacing w:before="0" w:after="0" w:line="500" w:lineRule="exact"/>
        <w:rPr>
          <w:rFonts w:hint="default" w:ascii="Times New Roman" w:hAnsi="Times New Roman" w:eastAsia="仿宋_GB2312" w:cs="Times New Roman"/>
          <w:b w:val="0"/>
          <w:bCs w:val="0"/>
          <w:sz w:val="28"/>
          <w:szCs w:val="28"/>
        </w:rPr>
      </w:pPr>
      <w:bookmarkStart w:id="139" w:name="_Toc104623072"/>
      <w:r>
        <w:rPr>
          <w:rFonts w:hint="default" w:ascii="Times New Roman" w:hAnsi="Times New Roman" w:eastAsia="仿宋_GB2312" w:cs="Times New Roman"/>
          <w:sz w:val="28"/>
          <w:szCs w:val="28"/>
        </w:rPr>
        <w:t>（八）估价依据</w:t>
      </w:r>
      <w:bookmarkEnd w:id="128"/>
      <w:bookmarkEnd w:id="129"/>
      <w:bookmarkEnd w:id="130"/>
      <w:bookmarkEnd w:id="131"/>
      <w:bookmarkEnd w:id="132"/>
      <w:bookmarkEnd w:id="133"/>
      <w:bookmarkEnd w:id="134"/>
      <w:bookmarkEnd w:id="135"/>
      <w:bookmarkEnd w:id="136"/>
      <w:bookmarkEnd w:id="137"/>
      <w:bookmarkEnd w:id="138"/>
      <w:bookmarkEnd w:id="139"/>
    </w:p>
    <w:p>
      <w:pPr>
        <w:pStyle w:val="102"/>
        <w:numPr>
          <w:ilvl w:val="1"/>
          <w:numId w:val="3"/>
        </w:numPr>
        <w:tabs>
          <w:tab w:val="left" w:pos="993"/>
        </w:tabs>
        <w:adjustRightInd w:val="0"/>
        <w:snapToGrid w:val="0"/>
        <w:spacing w:line="500" w:lineRule="exact"/>
        <w:ind w:left="0" w:firstLine="633"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本次估价所依据的有关法律、法规和政策文件：</w:t>
      </w:r>
    </w:p>
    <w:p>
      <w:pPr>
        <w:pStyle w:val="21"/>
        <w:tabs>
          <w:tab w:val="left" w:pos="-360"/>
        </w:tabs>
        <w:snapToGrid w:val="0"/>
        <w:spacing w:line="503" w:lineRule="exact"/>
        <w:ind w:left="-2" w:leftChars="-1" w:firstLine="562" w:firstLineChars="2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bookmarkStart w:id="140" w:name="OLE_LINK2"/>
      <w:r>
        <w:rPr>
          <w:rFonts w:hint="default" w:ascii="Times New Roman" w:hAnsi="Times New Roman" w:eastAsia="仿宋_GB2312" w:cs="Times New Roman"/>
          <w:sz w:val="28"/>
          <w:szCs w:val="28"/>
        </w:rPr>
        <w:t>《中华人民共和国民法典》已由中华人民共和国第十三届全国人民代表大会第三次会议于2020年5月28日通过，于2021年1月1日正式实施；</w:t>
      </w:r>
    </w:p>
    <w:p>
      <w:pPr>
        <w:spacing w:line="503"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（2）《中华人民共和国城市房地产管理法》（2019年</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8月26日第十三届全国人民代表大会常务委员会第十二次会议通过、2020年</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1月</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1日起施行）；</w:t>
      </w:r>
    </w:p>
    <w:p>
      <w:pPr>
        <w:pStyle w:val="21"/>
        <w:tabs>
          <w:tab w:val="left" w:pos="-360"/>
        </w:tabs>
        <w:snapToGrid w:val="0"/>
        <w:spacing w:line="503"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t>《中华人民共和国土地管理法》</w:t>
      </w:r>
      <w:r>
        <w:rPr>
          <w:rFonts w:hint="default" w:ascii="Times New Roman" w:hAnsi="Times New Roman" w:eastAsia="仿宋_GB2312" w:cs="Times New Roman"/>
          <w:sz w:val="28"/>
          <w:szCs w:val="28"/>
        </w:rPr>
        <w:t>(2019年</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8月26日第十三届全国人民代表大会常务委员会第十二次会议通过、2020年</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1月</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1日起施行)；</w:t>
      </w:r>
    </w:p>
    <w:p>
      <w:pPr>
        <w:pStyle w:val="21"/>
        <w:tabs>
          <w:tab w:val="left" w:pos="-360"/>
        </w:tabs>
        <w:snapToGrid w:val="0"/>
        <w:spacing w:line="503"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t>《中华人民共和国资产评估法》（中华人民共和国主席令第46号，自2016年12月</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1日起施行）</w:t>
      </w:r>
    </w:p>
    <w:p>
      <w:pPr>
        <w:pStyle w:val="21"/>
        <w:tabs>
          <w:tab w:val="left" w:pos="-360"/>
        </w:tabs>
        <w:snapToGrid w:val="0"/>
        <w:spacing w:line="503"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（5）《中华人民共和国拍卖法》（第八届全国人民代表大会常务委员会第二十次会议审议于1996年</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7月</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5日审议通过，自1997年</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1月</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1日起施行。2015年</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4月24日第十二届全国人民代表大会常务委员会第十四次会议修正）</w:t>
      </w:r>
    </w:p>
    <w:p>
      <w:pPr>
        <w:pStyle w:val="21"/>
        <w:tabs>
          <w:tab w:val="left" w:pos="-360"/>
        </w:tabs>
        <w:snapToGrid w:val="0"/>
        <w:spacing w:line="503"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r>
        <w:rPr>
          <w:rFonts w:hint="default" w:ascii="Times New Roman" w:hAnsi="Times New Roman" w:eastAsia="仿宋_GB2312" w:cs="Times New Roman"/>
          <w:sz w:val="28"/>
          <w:szCs w:val="28"/>
        </w:rPr>
        <w:t>《中华人民共和国土地管理法实施条例》（中华人民共和国国务院令第743号，自2021年09月01日起施行）；</w:t>
      </w:r>
    </w:p>
    <w:p>
      <w:pPr>
        <w:pStyle w:val="21"/>
        <w:tabs>
          <w:tab w:val="left" w:pos="-360"/>
        </w:tabs>
        <w:snapToGrid w:val="0"/>
        <w:spacing w:line="503"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7</w:t>
      </w:r>
      <w:r>
        <w:rPr>
          <w:rFonts w:hint="default" w:ascii="Times New Roman" w:hAnsi="Times New Roman" w:eastAsia="仿宋_GB2312" w:cs="Times New Roman"/>
          <w:sz w:val="28"/>
          <w:szCs w:val="28"/>
        </w:rPr>
        <w:t>）《最高人民法院对外委托鉴定、评估、拍卖等工作管理规定》（法办发</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2007</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5号，自2007年</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9月</w:t>
      </w:r>
      <w:r>
        <w:rPr>
          <w:rFonts w:hint="default" w:ascii="Times New Roman" w:hAnsi="Times New Roman" w:eastAsia="仿宋_GB2312" w:cs="Times New Roman"/>
          <w:sz w:val="28"/>
          <w:szCs w:val="28"/>
        </w:rPr>
        <w:t>01</w:t>
      </w:r>
      <w:r>
        <w:rPr>
          <w:rFonts w:hint="default" w:ascii="Times New Roman" w:hAnsi="Times New Roman" w:eastAsia="仿宋_GB2312" w:cs="Times New Roman"/>
          <w:sz w:val="28"/>
          <w:szCs w:val="28"/>
        </w:rPr>
        <w:t>日施行）；</w:t>
      </w:r>
    </w:p>
    <w:p>
      <w:pPr>
        <w:pStyle w:val="21"/>
        <w:tabs>
          <w:tab w:val="left" w:pos="-360"/>
        </w:tabs>
        <w:snapToGrid w:val="0"/>
        <w:spacing w:line="503"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8</w:t>
      </w:r>
      <w:r>
        <w:rPr>
          <w:rFonts w:hint="default" w:ascii="Times New Roman" w:hAnsi="Times New Roman" w:eastAsia="仿宋_GB2312" w:cs="Times New Roman"/>
          <w:sz w:val="28"/>
          <w:szCs w:val="28"/>
        </w:rPr>
        <w:t>）《最高人民法院关于人民法院民事执行中查封、扣押、冻结财产的规定》（法释</w:t>
      </w:r>
      <w:r>
        <w:rPr>
          <w:rFonts w:hint="default" w:ascii="Times New Roman" w:hAnsi="Times New Roman" w:eastAsia="仿宋_GB2312" w:cs="Times New Roman"/>
          <w:sz w:val="28"/>
          <w:szCs w:val="28"/>
        </w:rPr>
        <w:t>【2004】15</w:t>
      </w:r>
      <w:r>
        <w:rPr>
          <w:rFonts w:hint="default" w:ascii="Times New Roman" w:hAnsi="Times New Roman" w:eastAsia="仿宋_GB2312" w:cs="Times New Roman"/>
          <w:sz w:val="28"/>
          <w:szCs w:val="28"/>
        </w:rPr>
        <w:t>号，2005年</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1月</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1日起施行）；</w:t>
      </w:r>
    </w:p>
    <w:p>
      <w:pPr>
        <w:pStyle w:val="21"/>
        <w:tabs>
          <w:tab w:val="left" w:pos="-360"/>
        </w:tabs>
        <w:snapToGrid w:val="0"/>
        <w:spacing w:line="503"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9</w:t>
      </w:r>
      <w:r>
        <w:rPr>
          <w:rFonts w:hint="default" w:ascii="Times New Roman" w:hAnsi="Times New Roman" w:eastAsia="仿宋_GB2312" w:cs="Times New Roman"/>
          <w:sz w:val="28"/>
          <w:szCs w:val="28"/>
        </w:rPr>
        <w:t>）《最高人民法院关于人民法院民事执行中拍卖、变卖财产的规定》（法释</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2004</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16号，自</w:t>
      </w:r>
      <w:r>
        <w:rPr>
          <w:rFonts w:hint="default" w:ascii="Times New Roman" w:hAnsi="Times New Roman" w:eastAsia="仿宋_GB2312" w:cs="Times New Roman"/>
          <w:sz w:val="28"/>
          <w:szCs w:val="28"/>
        </w:rPr>
        <w:t>2005</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rPr>
        <w:t>01</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rPr>
        <w:t>01</w:t>
      </w:r>
      <w:r>
        <w:rPr>
          <w:rFonts w:hint="default" w:ascii="Times New Roman" w:hAnsi="Times New Roman" w:eastAsia="仿宋_GB2312" w:cs="Times New Roman"/>
          <w:sz w:val="28"/>
          <w:szCs w:val="28"/>
        </w:rPr>
        <w:t>日起施行）；</w:t>
      </w:r>
    </w:p>
    <w:p>
      <w:pPr>
        <w:pStyle w:val="21"/>
        <w:tabs>
          <w:tab w:val="left" w:pos="-360"/>
        </w:tabs>
        <w:snapToGrid w:val="0"/>
        <w:spacing w:line="503"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）《最高人民法院关于人民法院委托评估、拍卖和变卖工作的若干规定》（法释</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2009</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16号，自2009年11月20日起施行 ）；</w:t>
      </w:r>
    </w:p>
    <w:p>
      <w:pPr>
        <w:pStyle w:val="21"/>
        <w:tabs>
          <w:tab w:val="left" w:pos="-360"/>
        </w:tabs>
        <w:snapToGrid w:val="0"/>
        <w:spacing w:line="503"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t>）《最高人民法院关于人民法院网络司法拍卖若干问题的规定》（法释</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2016</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18号，自2017年</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1月</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1日起施行）；</w:t>
      </w:r>
    </w:p>
    <w:p>
      <w:pPr>
        <w:pStyle w:val="21"/>
        <w:tabs>
          <w:tab w:val="left" w:pos="-360"/>
        </w:tabs>
        <w:snapToGrid w:val="0"/>
        <w:spacing w:line="503"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t>）《最高人民法院关于人民法院确定财产处置参考价若干问题的规定》（法释</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2018</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15号，自2018年</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9月</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rPr>
        <w:t>1日起施行）；</w:t>
      </w:r>
    </w:p>
    <w:p>
      <w:pPr>
        <w:pStyle w:val="21"/>
        <w:tabs>
          <w:tab w:val="left" w:pos="-360"/>
        </w:tabs>
        <w:snapToGrid w:val="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t>）《人民法院委托评估工作规范》（法办</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2018】273号，2018年12月10日起施行）</w:t>
      </w:r>
      <w:r>
        <w:rPr>
          <w:rFonts w:hint="default" w:ascii="Times New Roman" w:hAnsi="Times New Roman" w:eastAsia="仿宋_GB2312" w:cs="Times New Roman"/>
          <w:sz w:val="28"/>
          <w:szCs w:val="28"/>
        </w:rPr>
        <w:t>。</w:t>
      </w:r>
    </w:p>
    <w:bookmarkEnd w:id="140"/>
    <w:p>
      <w:pPr>
        <w:widowControl/>
        <w:snapToGrid w:val="0"/>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t>技术标准</w:t>
      </w:r>
      <w:r>
        <w:rPr>
          <w:rFonts w:hint="default" w:ascii="Times New Roman" w:hAnsi="Times New Roman" w:eastAsia="仿宋_GB2312" w:cs="Times New Roman"/>
          <w:caps/>
          <w:sz w:val="28"/>
          <w:szCs w:val="28"/>
        </w:rPr>
        <w:t>、规程、规范</w:t>
      </w:r>
    </w:p>
    <w:p>
      <w:pPr>
        <w:widowControl/>
        <w:snapToGrid w:val="0"/>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t>）《房地产估价规范》（</w:t>
      </w:r>
      <w:r>
        <w:rPr>
          <w:rFonts w:hint="default" w:ascii="Times New Roman" w:hAnsi="Times New Roman" w:eastAsia="仿宋_GB2312" w:cs="Times New Roman"/>
          <w:sz w:val="28"/>
          <w:szCs w:val="28"/>
        </w:rPr>
        <w:t>GB/T 50291-2015</w:t>
      </w:r>
      <w:r>
        <w:rPr>
          <w:rFonts w:hint="default" w:ascii="Times New Roman" w:hAnsi="Times New Roman" w:eastAsia="仿宋_GB2312" w:cs="Times New Roman"/>
          <w:sz w:val="28"/>
          <w:szCs w:val="28"/>
        </w:rPr>
        <w:t>）；</w:t>
      </w:r>
    </w:p>
    <w:p>
      <w:pPr>
        <w:widowControl/>
        <w:snapToGrid w:val="0"/>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t>）《房地产估价基本术语标准》（</w:t>
      </w:r>
      <w:r>
        <w:rPr>
          <w:rFonts w:hint="default" w:ascii="Times New Roman" w:hAnsi="Times New Roman" w:eastAsia="仿宋_GB2312" w:cs="Times New Roman"/>
          <w:sz w:val="28"/>
          <w:szCs w:val="28"/>
        </w:rPr>
        <w:t>GB/T50899-2013</w:t>
      </w:r>
      <w:r>
        <w:rPr>
          <w:rFonts w:hint="default" w:ascii="Times New Roman" w:hAnsi="Times New Roman" w:eastAsia="仿宋_GB2312" w:cs="Times New Roman"/>
          <w:sz w:val="28"/>
          <w:szCs w:val="28"/>
        </w:rPr>
        <w:t>）；</w:t>
      </w:r>
    </w:p>
    <w:p>
      <w:pPr>
        <w:widowControl/>
        <w:snapToGrid w:val="0"/>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000000"/>
          <w:sz w:val="28"/>
          <w:szCs w:val="28"/>
        </w:rPr>
        <w:t>江西省建设工程定额</w:t>
      </w:r>
      <w:r>
        <w:rPr>
          <w:rFonts w:hint="default" w:ascii="Times New Roman" w:hAnsi="Times New Roman" w:eastAsia="仿宋_GB2312" w:cs="Times New Roman"/>
          <w:sz w:val="28"/>
          <w:szCs w:val="28"/>
        </w:rPr>
        <w:t>》（2020年修正）。</w:t>
      </w:r>
    </w:p>
    <w:p>
      <w:pPr>
        <w:widowControl/>
        <w:snapToGrid w:val="0"/>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t>估价委托人提供的有关资料</w:t>
      </w:r>
    </w:p>
    <w:p>
      <w:pPr>
        <w:widowControl/>
        <w:snapToGrid w:val="0"/>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t>）《江西省庐山市人民法院司法技术委托书》[（2022）赣0483技委评字11号] 复印件；</w:t>
      </w:r>
    </w:p>
    <w:p>
      <w:pPr>
        <w:widowControl/>
        <w:snapToGrid w:val="0"/>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t>）《不动产产权情况表》复印件。</w:t>
      </w:r>
    </w:p>
    <w:p>
      <w:pPr>
        <w:widowControl/>
        <w:snapToGrid w:val="0"/>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t>房地产估价机构掌握的有关资料以及注册房地产估价师实地查勘所获取的资料</w:t>
      </w:r>
    </w:p>
    <w:p>
      <w:pPr>
        <w:pStyle w:val="3"/>
        <w:spacing w:before="0" w:after="0" w:line="500" w:lineRule="exact"/>
        <w:rPr>
          <w:rFonts w:hint="default" w:ascii="Times New Roman" w:hAnsi="Times New Roman" w:eastAsia="仿宋_GB2312" w:cs="Times New Roman"/>
          <w:sz w:val="28"/>
          <w:szCs w:val="28"/>
        </w:rPr>
      </w:pPr>
      <w:bookmarkStart w:id="141" w:name="_Toc104623073"/>
      <w:bookmarkStart w:id="142" w:name="_Toc435110690"/>
      <w:r>
        <w:rPr>
          <w:rFonts w:hint="default" w:ascii="Times New Roman" w:hAnsi="Times New Roman" w:eastAsia="仿宋_GB2312" w:cs="Times New Roman"/>
          <w:sz w:val="28"/>
          <w:szCs w:val="28"/>
        </w:rPr>
        <w:t>（九）</w:t>
      </w:r>
      <w:bookmarkStart w:id="143" w:name="_Toc254860133"/>
      <w:bookmarkStart w:id="144" w:name="_Toc130033729"/>
      <w:bookmarkStart w:id="145" w:name="_Toc243111693"/>
      <w:bookmarkStart w:id="146" w:name="_Toc301369723"/>
      <w:bookmarkStart w:id="147" w:name="_Toc270691075"/>
      <w:bookmarkStart w:id="148" w:name="_Toc243111722"/>
      <w:bookmarkStart w:id="149" w:name="_Toc254875147"/>
      <w:bookmarkStart w:id="150" w:name="_Toc269132876"/>
      <w:bookmarkStart w:id="151" w:name="_Toc367869505"/>
      <w:bookmarkStart w:id="152" w:name="_Toc135016179"/>
      <w:r>
        <w:rPr>
          <w:rFonts w:hint="default" w:ascii="Times New Roman" w:hAnsi="Times New Roman" w:eastAsia="仿宋_GB2312" w:cs="Times New Roman"/>
          <w:sz w:val="28"/>
          <w:szCs w:val="28"/>
        </w:rPr>
        <w:t>估价方法</w:t>
      </w:r>
      <w:bookmarkEnd w:id="141"/>
      <w:bookmarkEnd w:id="142"/>
      <w:bookmarkEnd w:id="143"/>
      <w:bookmarkEnd w:id="144"/>
      <w:bookmarkEnd w:id="145"/>
      <w:bookmarkEnd w:id="146"/>
      <w:bookmarkEnd w:id="147"/>
      <w:bookmarkEnd w:id="148"/>
      <w:bookmarkEnd w:id="149"/>
      <w:bookmarkEnd w:id="150"/>
      <w:bookmarkEnd w:id="151"/>
      <w:bookmarkEnd w:id="152"/>
    </w:p>
    <w:p>
      <w:pPr>
        <w:widowControl/>
        <w:snapToGrid w:val="0"/>
        <w:spacing w:line="500" w:lineRule="exact"/>
        <w:ind w:firstLine="560" w:firstLineChars="200"/>
        <w:jc w:val="left"/>
        <w:rPr>
          <w:rFonts w:hint="default" w:ascii="Times New Roman" w:hAnsi="Times New Roman" w:eastAsia="仿宋_GB2312" w:cs="Times New Roman"/>
          <w:sz w:val="28"/>
          <w:szCs w:val="28"/>
        </w:rPr>
      </w:pPr>
      <w:bookmarkStart w:id="153" w:name="_Toc130033730"/>
      <w:bookmarkStart w:id="154" w:name="_Toc135016180"/>
      <w:r>
        <w:rPr>
          <w:rFonts w:hint="default" w:ascii="Times New Roman" w:hAnsi="Times New Roman" w:eastAsia="仿宋_GB2312" w:cs="Times New Roman"/>
          <w:sz w:val="28"/>
          <w:szCs w:val="28"/>
        </w:rPr>
        <w:t>根据《房地产估价规范》（GB/T 50291-2015），通行的估价方法有比较法、收益法、成本法、假设开发法等。估价方法的选择应根据当地房地产市场发育情况并结合估价对象的具体特点及估价目的等，选择适当的估价方法。</w:t>
      </w:r>
    </w:p>
    <w:p>
      <w:pPr>
        <w:adjustRightInd w:val="0"/>
        <w:snapToGrid w:val="0"/>
        <w:spacing w:line="500" w:lineRule="exact"/>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w:t>
      </w:r>
      <w:r>
        <w:rPr>
          <w:rFonts w:hint="default" w:ascii="Times New Roman" w:hAnsi="Times New Roman" w:eastAsia="仿宋_GB2312" w:cs="Times New Roman"/>
          <w:b/>
          <w:bCs/>
          <w:sz w:val="28"/>
          <w:szCs w:val="28"/>
        </w:rPr>
        <w:t>、方法选用分析</w:t>
      </w:r>
    </w:p>
    <w:p>
      <w:pPr>
        <w:widowControl/>
        <w:snapToGrid w:val="0"/>
        <w:spacing w:line="50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50291-2015）、《房地产估价基本术语标准》（GB/T50899-2013），遵照国家有关法律、法规、估价技术标准，经过反复研究，最终选取比较法对估价对象住宅物业房地产进行估价，具体分析如下表：</w:t>
      </w:r>
    </w:p>
    <w:tbl>
      <w:tblPr>
        <w:tblStyle w:val="43"/>
        <w:tblW w:w="889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84"/>
        <w:gridCol w:w="3061"/>
        <w:gridCol w:w="3323"/>
        <w:gridCol w:w="9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 w:hRule="atLeast"/>
          <w:jc w:val="center"/>
        </w:trPr>
        <w:tc>
          <w:tcPr>
            <w:tcW w:w="1584" w:type="dxa"/>
            <w:tcBorders>
              <w:top w:val="double" w:color="auto" w:sz="4" w:space="0"/>
            </w:tcBorders>
            <w:vAlign w:val="center"/>
          </w:tcPr>
          <w:p>
            <w:pPr>
              <w:pStyle w:val="25"/>
              <w:tabs>
                <w:tab w:val="left" w:pos="630"/>
              </w:tabs>
              <w:spacing w:line="240" w:lineRule="exact"/>
              <w:ind w:left="-13" w:leftChars="-6" w:firstLine="0"/>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可选估</w:t>
            </w:r>
          </w:p>
          <w:p>
            <w:pPr>
              <w:pStyle w:val="25"/>
              <w:tabs>
                <w:tab w:val="left" w:pos="630"/>
              </w:tabs>
              <w:spacing w:line="240" w:lineRule="exact"/>
              <w:ind w:left="-13" w:leftChars="-6" w:firstLine="0"/>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价方法</w:t>
            </w:r>
          </w:p>
        </w:tc>
        <w:tc>
          <w:tcPr>
            <w:tcW w:w="3061" w:type="dxa"/>
            <w:tcBorders>
              <w:top w:val="double" w:color="auto" w:sz="4" w:space="0"/>
            </w:tcBorders>
            <w:vAlign w:val="center"/>
          </w:tcPr>
          <w:p>
            <w:pPr>
              <w:pStyle w:val="25"/>
              <w:tabs>
                <w:tab w:val="left" w:pos="630"/>
              </w:tabs>
              <w:spacing w:line="240" w:lineRule="exact"/>
              <w:ind w:left="-13" w:leftChars="-6" w:firstLine="0"/>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估价方法定义</w:t>
            </w:r>
          </w:p>
        </w:tc>
        <w:tc>
          <w:tcPr>
            <w:tcW w:w="3323" w:type="dxa"/>
            <w:tcBorders>
              <w:top w:val="double" w:color="auto" w:sz="4" w:space="0"/>
            </w:tcBorders>
            <w:vAlign w:val="center"/>
          </w:tcPr>
          <w:p>
            <w:pPr>
              <w:pStyle w:val="25"/>
              <w:tabs>
                <w:tab w:val="left" w:pos="630"/>
              </w:tabs>
              <w:spacing w:line="240" w:lineRule="exact"/>
              <w:ind w:left="-13" w:leftChars="-6" w:firstLine="0"/>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估价方法是否选择理由</w:t>
            </w:r>
          </w:p>
        </w:tc>
        <w:tc>
          <w:tcPr>
            <w:tcW w:w="923" w:type="dxa"/>
            <w:tcBorders>
              <w:top w:val="double" w:color="auto" w:sz="4" w:space="0"/>
            </w:tcBorders>
            <w:vAlign w:val="center"/>
          </w:tcPr>
          <w:p>
            <w:pPr>
              <w:pStyle w:val="25"/>
              <w:tabs>
                <w:tab w:val="left" w:pos="630"/>
              </w:tabs>
              <w:spacing w:line="240" w:lineRule="exact"/>
              <w:ind w:left="-13" w:leftChars="-6" w:firstLine="0"/>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是否</w:t>
            </w:r>
          </w:p>
          <w:p>
            <w:pPr>
              <w:pStyle w:val="25"/>
              <w:tabs>
                <w:tab w:val="left" w:pos="630"/>
              </w:tabs>
              <w:spacing w:line="240" w:lineRule="exact"/>
              <w:ind w:left="-13" w:leftChars="-6" w:firstLine="0"/>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选取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 w:hRule="atLeast"/>
          <w:jc w:val="center"/>
        </w:trPr>
        <w:tc>
          <w:tcPr>
            <w:tcW w:w="1584" w:type="dxa"/>
            <w:vAlign w:val="center"/>
          </w:tcPr>
          <w:p>
            <w:pPr>
              <w:spacing w:line="240" w:lineRule="exact"/>
              <w:ind w:firstLine="316" w:firstLineChars="150"/>
              <w:rPr>
                <w:rFonts w:hint="default" w:ascii="Times New Roman" w:hAnsi="Times New Roman" w:eastAsia="仿宋_GB2312" w:cs="Times New Roman"/>
                <w:b/>
                <w:bCs/>
              </w:rPr>
            </w:pPr>
            <w:r>
              <w:rPr>
                <w:rFonts w:hint="default" w:ascii="Times New Roman" w:hAnsi="Times New Roman" w:eastAsia="仿宋_GB2312" w:cs="Times New Roman"/>
                <w:b/>
                <w:bCs/>
              </w:rPr>
              <w:t>比较法</w:t>
            </w:r>
          </w:p>
        </w:tc>
        <w:tc>
          <w:tcPr>
            <w:tcW w:w="3061" w:type="dxa"/>
            <w:vAlign w:val="center"/>
          </w:tcPr>
          <w:p>
            <w:pPr>
              <w:spacing w:line="240" w:lineRule="exact"/>
              <w:rPr>
                <w:rFonts w:hint="default" w:ascii="Times New Roman" w:hAnsi="Times New Roman" w:eastAsia="仿宋_GB2312" w:cs="Times New Roman"/>
              </w:rPr>
            </w:pPr>
            <w:r>
              <w:rPr>
                <w:rFonts w:hint="default" w:ascii="Times New Roman" w:hAnsi="Times New Roman" w:eastAsia="仿宋_GB2312" w:cs="Times New Roman"/>
              </w:rPr>
              <w:t>选取一定数量的可比实例，将它们与估价对象进行比较，根据其间的差异对可比实例成交价格进行处理后得到估价对象价值或价格的方法。</w:t>
            </w:r>
          </w:p>
        </w:tc>
        <w:tc>
          <w:tcPr>
            <w:tcW w:w="3323" w:type="dxa"/>
            <w:vAlign w:val="center"/>
          </w:tcPr>
          <w:p>
            <w:pPr>
              <w:spacing w:line="240" w:lineRule="exact"/>
              <w:ind w:firstLine="210" w:firstLineChars="100"/>
              <w:rPr>
                <w:rFonts w:hint="default" w:ascii="Times New Roman" w:hAnsi="Times New Roman" w:eastAsia="仿宋_GB2312" w:cs="Times New Roman"/>
              </w:rPr>
            </w:pPr>
            <w:r>
              <w:rPr>
                <w:rFonts w:hint="default" w:ascii="Times New Roman" w:hAnsi="Times New Roman" w:eastAsia="仿宋_GB2312" w:cs="Times New Roman"/>
              </w:rPr>
              <w:t>估价对象规划用途住宅，所在区域与估价对象相似的可比成交案例（同一供需圈内、用途一致、邻近区域）较多，故本次评估选取比较法对估价对象进行估价。</w:t>
            </w:r>
          </w:p>
        </w:tc>
        <w:tc>
          <w:tcPr>
            <w:tcW w:w="923" w:type="dxa"/>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选取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 w:hRule="atLeast"/>
          <w:jc w:val="center"/>
        </w:trPr>
        <w:tc>
          <w:tcPr>
            <w:tcW w:w="1584" w:type="dxa"/>
            <w:vAlign w:val="center"/>
          </w:tcPr>
          <w:p>
            <w:pPr>
              <w:spacing w:line="240" w:lineRule="exact"/>
              <w:ind w:firstLine="316" w:firstLineChars="150"/>
              <w:rPr>
                <w:rFonts w:hint="default" w:ascii="Times New Roman" w:hAnsi="Times New Roman" w:eastAsia="仿宋_GB2312" w:cs="Times New Roman"/>
                <w:b/>
                <w:bCs/>
              </w:rPr>
            </w:pPr>
            <w:r>
              <w:rPr>
                <w:rFonts w:hint="default" w:ascii="Times New Roman" w:hAnsi="Times New Roman" w:eastAsia="仿宋_GB2312" w:cs="Times New Roman"/>
                <w:b/>
                <w:bCs/>
              </w:rPr>
              <w:t>收益法</w:t>
            </w:r>
          </w:p>
        </w:tc>
        <w:tc>
          <w:tcPr>
            <w:tcW w:w="3061" w:type="dxa"/>
            <w:vAlign w:val="center"/>
          </w:tcPr>
          <w:p>
            <w:pPr>
              <w:spacing w:line="240" w:lineRule="exact"/>
              <w:rPr>
                <w:rFonts w:hint="default" w:ascii="Times New Roman" w:hAnsi="Times New Roman" w:eastAsia="仿宋_GB2312" w:cs="Times New Roman"/>
              </w:rPr>
            </w:pPr>
            <w:r>
              <w:rPr>
                <w:rFonts w:hint="default" w:ascii="Times New Roman" w:hAnsi="Times New Roman" w:eastAsia="仿宋_GB2312" w:cs="Times New Roman"/>
              </w:rPr>
              <w:t>预测估价对象的未来收益，利用报酬率或资本化率、收益乘数将未来收益转换为价值得到估价对象价值或价格的方法。</w:t>
            </w:r>
          </w:p>
        </w:tc>
        <w:tc>
          <w:tcPr>
            <w:tcW w:w="3323" w:type="dxa"/>
            <w:vAlign w:val="center"/>
          </w:tcPr>
          <w:p>
            <w:pPr>
              <w:spacing w:line="240" w:lineRule="exact"/>
              <w:ind w:firstLine="210" w:firstLineChars="100"/>
              <w:rPr>
                <w:rFonts w:hint="default" w:ascii="Times New Roman" w:hAnsi="Times New Roman" w:eastAsia="仿宋_GB2312" w:cs="Times New Roman"/>
              </w:rPr>
            </w:pPr>
            <w:r>
              <w:rPr>
                <w:rFonts w:hint="default" w:ascii="Times New Roman" w:hAnsi="Times New Roman" w:eastAsia="仿宋_GB2312" w:cs="Times New Roman"/>
              </w:rPr>
              <w:t>收益法适宜用于收益性物业评估，即为有经济收益或有潜在经济收益的房地产，估价对象为住宅用途物业，其周边同类物业出租较少，不易收集、了解租金水平，故不选用收益法进行评估。</w:t>
            </w:r>
          </w:p>
        </w:tc>
        <w:tc>
          <w:tcPr>
            <w:tcW w:w="923" w:type="dxa"/>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不选取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 w:hRule="atLeast"/>
          <w:jc w:val="center"/>
        </w:trPr>
        <w:tc>
          <w:tcPr>
            <w:tcW w:w="1584" w:type="dxa"/>
            <w:vAlign w:val="center"/>
          </w:tcPr>
          <w:p>
            <w:pPr>
              <w:spacing w:line="240" w:lineRule="exact"/>
              <w:ind w:firstLine="211" w:firstLineChars="100"/>
              <w:rPr>
                <w:rFonts w:hint="default" w:ascii="Times New Roman" w:hAnsi="Times New Roman" w:eastAsia="仿宋_GB2312" w:cs="Times New Roman"/>
                <w:b/>
                <w:bCs/>
              </w:rPr>
            </w:pPr>
            <w:r>
              <w:rPr>
                <w:rFonts w:hint="default" w:ascii="Times New Roman" w:hAnsi="Times New Roman" w:eastAsia="仿宋_GB2312" w:cs="Times New Roman"/>
                <w:b/>
                <w:bCs/>
              </w:rPr>
              <w:t>假设开发法</w:t>
            </w:r>
          </w:p>
        </w:tc>
        <w:tc>
          <w:tcPr>
            <w:tcW w:w="3061" w:type="dxa"/>
            <w:vAlign w:val="center"/>
          </w:tcPr>
          <w:p>
            <w:pPr>
              <w:spacing w:line="240" w:lineRule="exact"/>
              <w:rPr>
                <w:rFonts w:hint="default" w:ascii="Times New Roman" w:hAnsi="Times New Roman" w:eastAsia="仿宋_GB2312" w:cs="Times New Roman"/>
              </w:rPr>
            </w:pPr>
            <w:r>
              <w:rPr>
                <w:rFonts w:hint="default" w:ascii="Times New Roman" w:hAnsi="Times New Roman" w:eastAsia="仿宋_GB2312" w:cs="Times New Roman"/>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23" w:type="dxa"/>
            <w:vAlign w:val="center"/>
          </w:tcPr>
          <w:p>
            <w:pPr>
              <w:spacing w:line="240" w:lineRule="exact"/>
              <w:ind w:firstLine="210" w:firstLineChars="100"/>
              <w:rPr>
                <w:rFonts w:hint="default" w:ascii="Times New Roman" w:hAnsi="Times New Roman" w:eastAsia="仿宋_GB2312" w:cs="Times New Roman"/>
              </w:rPr>
            </w:pPr>
            <w:r>
              <w:rPr>
                <w:rFonts w:hint="default" w:ascii="Times New Roman" w:hAnsi="Times New Roman" w:eastAsia="仿宋_GB2312" w:cs="Times New Roman"/>
              </w:rPr>
              <w:t>假设开发法适用于评估具有投资开发价值或再开发潜力的房地产，估价对象为已完成开发的住宅物业，故本次评估不选取假设开发法作为估价方法。</w:t>
            </w:r>
          </w:p>
        </w:tc>
        <w:tc>
          <w:tcPr>
            <w:tcW w:w="923" w:type="dxa"/>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不选取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 w:hRule="atLeast"/>
          <w:jc w:val="center"/>
        </w:trPr>
        <w:tc>
          <w:tcPr>
            <w:tcW w:w="1584" w:type="dxa"/>
            <w:tcBorders>
              <w:bottom w:val="double" w:color="auto" w:sz="4" w:space="0"/>
            </w:tcBorders>
            <w:vAlign w:val="center"/>
          </w:tcPr>
          <w:p>
            <w:pPr>
              <w:spacing w:line="240" w:lineRule="exact"/>
              <w:ind w:firstLine="316" w:firstLineChars="150"/>
              <w:rPr>
                <w:rFonts w:hint="default" w:ascii="Times New Roman" w:hAnsi="Times New Roman" w:eastAsia="仿宋_GB2312" w:cs="Times New Roman"/>
                <w:b/>
                <w:bCs/>
              </w:rPr>
            </w:pPr>
            <w:r>
              <w:rPr>
                <w:rFonts w:hint="default" w:ascii="Times New Roman" w:hAnsi="Times New Roman" w:eastAsia="仿宋_GB2312" w:cs="Times New Roman"/>
                <w:b/>
                <w:bCs/>
              </w:rPr>
              <w:t>成本法</w:t>
            </w:r>
          </w:p>
        </w:tc>
        <w:tc>
          <w:tcPr>
            <w:tcW w:w="3061" w:type="dxa"/>
            <w:tcBorders>
              <w:bottom w:val="double" w:color="auto" w:sz="4" w:space="0"/>
            </w:tcBorders>
            <w:vAlign w:val="center"/>
          </w:tcPr>
          <w:p>
            <w:pPr>
              <w:spacing w:line="240" w:lineRule="exact"/>
              <w:rPr>
                <w:rFonts w:hint="default" w:ascii="Times New Roman" w:hAnsi="Times New Roman" w:eastAsia="仿宋_GB2312" w:cs="Times New Roman"/>
              </w:rPr>
            </w:pPr>
            <w:r>
              <w:rPr>
                <w:rFonts w:hint="default" w:ascii="Times New Roman" w:hAnsi="Times New Roman" w:eastAsia="仿宋_GB2312" w:cs="Times New Roman"/>
              </w:rPr>
              <w:t>测算估价对象在价值时点的重置成本或重建成本和折旧，将重置成本或重建成本减去折旧得到估价对象价值或价格的方法。</w:t>
            </w:r>
          </w:p>
        </w:tc>
        <w:tc>
          <w:tcPr>
            <w:tcW w:w="3323" w:type="dxa"/>
            <w:tcBorders>
              <w:bottom w:val="double" w:color="auto" w:sz="4" w:space="0"/>
            </w:tcBorders>
            <w:vAlign w:val="center"/>
          </w:tcPr>
          <w:p>
            <w:pPr>
              <w:spacing w:line="240" w:lineRule="exact"/>
              <w:ind w:firstLine="210" w:firstLineChars="100"/>
              <w:rPr>
                <w:rFonts w:hint="default" w:ascii="Times New Roman" w:hAnsi="Times New Roman" w:eastAsia="仿宋_GB2312" w:cs="Times New Roman"/>
              </w:rPr>
            </w:pPr>
            <w:r>
              <w:rPr>
                <w:rFonts w:hint="default" w:ascii="Times New Roman" w:hAnsi="Times New Roman" w:eastAsia="仿宋_GB2312" w:cs="Times New Roman"/>
              </w:rPr>
              <w:t>运用成本法测算的结果不能较好反映估价对象市场价值，故不选取成本法进行评估。</w:t>
            </w:r>
          </w:p>
        </w:tc>
        <w:tc>
          <w:tcPr>
            <w:tcW w:w="923" w:type="dxa"/>
            <w:tcBorders>
              <w:bottom w:val="doub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不选取</w:t>
            </w:r>
          </w:p>
        </w:tc>
      </w:tr>
      <w:bookmarkEnd w:id="153"/>
      <w:bookmarkEnd w:id="154"/>
    </w:tbl>
    <w:p>
      <w:pPr>
        <w:pStyle w:val="35"/>
        <w:snapToGrid w:val="0"/>
        <w:spacing w:line="480" w:lineRule="exact"/>
        <w:ind w:firstLine="590"/>
        <w:rPr>
          <w:rFonts w:hint="default" w:ascii="Times New Roman" w:hAnsi="Times New Roman" w:eastAsia="仿宋_GB2312" w:cs="Times New Roman"/>
          <w:b/>
          <w:bCs/>
          <w:color w:val="000000"/>
        </w:rPr>
      </w:pPr>
      <w:bookmarkStart w:id="155" w:name="_Toc254860135"/>
      <w:bookmarkStart w:id="156" w:name="_Toc243111695"/>
      <w:bookmarkStart w:id="157" w:name="_Toc254875149"/>
      <w:bookmarkStart w:id="158" w:name="_Toc301369725"/>
      <w:bookmarkStart w:id="159" w:name="_Toc269132878"/>
      <w:bookmarkStart w:id="160" w:name="_Toc243111724"/>
      <w:bookmarkStart w:id="161" w:name="_Toc135016181"/>
      <w:bookmarkStart w:id="162" w:name="_Toc367869507"/>
      <w:bookmarkStart w:id="163" w:name="_Toc270691077"/>
      <w:bookmarkStart w:id="164" w:name="_Toc130033731"/>
      <w:r>
        <w:rPr>
          <w:rFonts w:hint="default" w:ascii="Times New Roman" w:hAnsi="Times New Roman" w:eastAsia="仿宋_GB2312" w:cs="Times New Roman"/>
          <w:b/>
          <w:bCs/>
          <w:color w:val="000000"/>
        </w:rPr>
        <w:t>2</w:t>
      </w:r>
      <w:r>
        <w:rPr>
          <w:rFonts w:hint="default" w:ascii="Times New Roman" w:hAnsi="Times New Roman" w:eastAsia="仿宋_GB2312" w:cs="Times New Roman"/>
          <w:b/>
          <w:bCs/>
          <w:color w:val="000000"/>
        </w:rPr>
        <w:t>．本次选用估价方法定义及基本公式</w:t>
      </w:r>
    </w:p>
    <w:p>
      <w:pPr>
        <w:adjustRightInd w:val="0"/>
        <w:snapToGrid w:val="0"/>
        <w:spacing w:line="500" w:lineRule="exact"/>
        <w:ind w:firstLine="584"/>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比较法</w:t>
      </w:r>
    </w:p>
    <w:p>
      <w:pPr>
        <w:snapToGrid w:val="0"/>
        <w:spacing w:line="5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比较法是选取一定数量的可比实例，将它们与估价对象进行比较，根据其间的差异对可比实例成交价格进行处理后得到估价对象价值或价格的方法。</w:t>
      </w:r>
    </w:p>
    <w:p>
      <w:pPr>
        <w:snapToGrid w:val="0"/>
        <w:spacing w:line="500" w:lineRule="exact"/>
        <w:ind w:firstLine="537" w:firstLineChars="192"/>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运用比较法求取估价对象的比较价值，基本公式如下：</w:t>
      </w:r>
    </w:p>
    <w:p>
      <w:pPr>
        <w:adjustRightInd w:val="0"/>
        <w:snapToGrid w:val="0"/>
        <w:spacing w:line="5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比较价值＝可比实例成交价格×交易情况修正系数×市场状况调整系数×房地产状况调整系数。</w:t>
      </w:r>
    </w:p>
    <w:p>
      <w:pPr>
        <w:pStyle w:val="3"/>
        <w:spacing w:before="0" w:after="0" w:line="500" w:lineRule="exact"/>
        <w:rPr>
          <w:rFonts w:hint="default" w:ascii="Times New Roman" w:hAnsi="Times New Roman" w:eastAsia="仿宋_GB2312" w:cs="Times New Roman"/>
          <w:b w:val="0"/>
          <w:bCs w:val="0"/>
          <w:sz w:val="28"/>
          <w:szCs w:val="28"/>
        </w:rPr>
      </w:pPr>
      <w:bookmarkStart w:id="165" w:name="_Toc435110691"/>
      <w:bookmarkStart w:id="166" w:name="_Toc4145952"/>
      <w:bookmarkStart w:id="167" w:name="_Toc104623074"/>
      <w:r>
        <w:rPr>
          <w:rFonts w:hint="default" w:ascii="Times New Roman" w:hAnsi="Times New Roman" w:eastAsia="仿宋_GB2312" w:cs="Times New Roman"/>
          <w:sz w:val="28"/>
          <w:szCs w:val="28"/>
        </w:rPr>
        <w:t>（十）估价结果</w:t>
      </w:r>
      <w:bookmarkEnd w:id="165"/>
      <w:bookmarkEnd w:id="166"/>
      <w:bookmarkEnd w:id="167"/>
    </w:p>
    <w:p>
      <w:pPr>
        <w:tabs>
          <w:tab w:val="left" w:pos="993"/>
        </w:tabs>
        <w:adjustRightInd w:val="0"/>
        <w:snapToGrid w:val="0"/>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人员根据估价目的和国家有关房地产估价的规范、规定，遵循估价原则，按照估价程序，经过实地查勘与市场调查，并进行了测算，确定估价对象在满足全部假设和限制条件下于价值时点2022年05月17日的估价结果为</w:t>
      </w:r>
      <w:bookmarkStart w:id="168" w:name="_Toc435110692"/>
      <w:r>
        <w:rPr>
          <w:rFonts w:hint="default" w:ascii="Times New Roman" w:hAnsi="Times New Roman" w:eastAsia="仿宋_GB2312" w:cs="Times New Roman"/>
          <w:b/>
          <w:bCs/>
          <w:sz w:val="28"/>
          <w:szCs w:val="28"/>
        </w:rPr>
        <w:t>￥</w:t>
      </w:r>
      <w:r>
        <w:rPr>
          <w:rFonts w:hint="default" w:ascii="Times New Roman" w:hAnsi="Times New Roman" w:eastAsia="仿宋_GB2312" w:cs="Times New Roman"/>
          <w:b/>
          <w:bCs/>
          <w:sz w:val="28"/>
          <w:szCs w:val="28"/>
        </w:rPr>
        <w:t>608540元</w:t>
      </w:r>
      <w:r>
        <w:rPr>
          <w:rFonts w:hint="default" w:ascii="Times New Roman" w:hAnsi="Times New Roman" w:eastAsia="仿宋_GB2312" w:cs="Times New Roman"/>
          <w:b/>
          <w:bCs/>
          <w:sz w:val="28"/>
          <w:szCs w:val="28"/>
        </w:rPr>
        <w:t>，人民币大写</w:t>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427800 \* CHINESENUM2</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陆拾万零捌仟伍佰肆拾</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rPr>
        <w:t>元整。</w:t>
      </w:r>
    </w:p>
    <w:p>
      <w:pPr>
        <w:pStyle w:val="40"/>
        <w:adjustRightInd w:val="0"/>
        <w:snapToGrid w:val="0"/>
        <w:spacing w:before="0" w:beforeAutospacing="0" w:after="0" w:afterAutospacing="0" w:line="460" w:lineRule="exact"/>
        <w:jc w:val="center"/>
        <w:rPr>
          <w:rFonts w:hint="default" w:ascii="Times New Roman" w:hAnsi="Times New Roman" w:eastAsia="仿宋_GB2312" w:cs="Times New Roman"/>
          <w:b/>
          <w:bCs/>
          <w:kern w:val="2"/>
          <w:sz w:val="28"/>
          <w:szCs w:val="28"/>
        </w:rPr>
      </w:pPr>
      <w:r>
        <w:rPr>
          <w:rFonts w:hint="default" w:ascii="Times New Roman" w:hAnsi="Times New Roman" w:eastAsia="仿宋_GB2312" w:cs="Times New Roman"/>
          <w:b/>
          <w:bCs/>
          <w:kern w:val="2"/>
          <w:sz w:val="28"/>
          <w:szCs w:val="28"/>
        </w:rPr>
        <w:t>估价结果明细表</w:t>
      </w:r>
    </w:p>
    <w:tbl>
      <w:tblPr>
        <w:tblStyle w:val="44"/>
        <w:tblW w:w="4988"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1789"/>
        <w:gridCol w:w="906"/>
        <w:gridCol w:w="1700"/>
        <w:gridCol w:w="570"/>
        <w:gridCol w:w="504"/>
        <w:gridCol w:w="794"/>
        <w:gridCol w:w="766"/>
        <w:gridCol w:w="884"/>
        <w:gridCol w:w="10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998"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不动产权证书号</w:t>
            </w:r>
          </w:p>
        </w:tc>
        <w:tc>
          <w:tcPr>
            <w:tcW w:w="505"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权利人</w:t>
            </w:r>
          </w:p>
        </w:tc>
        <w:tc>
          <w:tcPr>
            <w:tcW w:w="948"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坐落</w:t>
            </w:r>
          </w:p>
        </w:tc>
        <w:tc>
          <w:tcPr>
            <w:tcW w:w="318"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用途</w:t>
            </w:r>
          </w:p>
        </w:tc>
        <w:tc>
          <w:tcPr>
            <w:tcW w:w="281"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房屋结构</w:t>
            </w:r>
          </w:p>
        </w:tc>
        <w:tc>
          <w:tcPr>
            <w:tcW w:w="443"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所在层/总层数</w:t>
            </w:r>
          </w:p>
        </w:tc>
        <w:tc>
          <w:tcPr>
            <w:tcW w:w="427" w:type="pct"/>
            <w:vAlign w:val="center"/>
          </w:tcPr>
          <w:p>
            <w:pPr>
              <w:jc w:val="center"/>
              <w:rPr>
                <w:rFonts w:hint="default" w:ascii="Times New Roman" w:hAnsi="Times New Roman" w:eastAsia="仿宋_GB2312" w:cs="Times New Roman"/>
                <w:b/>
                <w:bCs/>
              </w:rPr>
            </w:pPr>
            <w:r>
              <w:rPr>
                <w:rFonts w:hint="default" w:ascii="Times New Roman" w:hAnsi="Times New Roman" w:eastAsia="仿宋_GB2312" w:cs="Times New Roman"/>
                <w:b/>
                <w:bCs/>
              </w:rPr>
              <w:t>建筑面积（</w:t>
            </w:r>
            <w:r>
              <w:rPr>
                <w:rFonts w:hint="default" w:ascii="Times New Roman" w:hAnsi="Times New Roman" w:cs="Times New Roman"/>
                <w:b/>
                <w:bCs/>
              </w:rPr>
              <w:t>㎡</w:t>
            </w:r>
            <w:r>
              <w:rPr>
                <w:rFonts w:hint="default" w:ascii="Times New Roman" w:hAnsi="Times New Roman" w:eastAsia="仿宋_GB2312" w:cs="Times New Roman"/>
                <w:b/>
                <w:bCs/>
              </w:rPr>
              <w:t>）</w:t>
            </w:r>
          </w:p>
        </w:tc>
        <w:tc>
          <w:tcPr>
            <w:tcW w:w="493" w:type="pct"/>
            <w:vAlign w:val="center"/>
          </w:tcPr>
          <w:p>
            <w:pPr>
              <w:autoSpaceDE w:val="0"/>
              <w:autoSpaceDN w:val="0"/>
              <w:adjustRightInd w:val="0"/>
              <w:spacing w:line="0" w:lineRule="atLeast"/>
              <w:jc w:val="center"/>
              <w:rPr>
                <w:rFonts w:hint="default" w:ascii="Times New Roman" w:hAnsi="Times New Roman" w:eastAsia="仿宋_GB2312" w:cs="Times New Roman"/>
                <w:b/>
                <w:bCs/>
              </w:rPr>
            </w:pPr>
            <w:r>
              <w:rPr>
                <w:rFonts w:hint="default" w:ascii="Times New Roman" w:hAnsi="Times New Roman" w:eastAsia="仿宋_GB2312" w:cs="Times New Roman"/>
                <w:b/>
                <w:bCs/>
              </w:rPr>
              <w:t>评估</w:t>
            </w:r>
            <w:r>
              <w:rPr>
                <w:rFonts w:hint="default" w:ascii="Times New Roman" w:hAnsi="Times New Roman" w:eastAsia="仿宋_GB2312" w:cs="Times New Roman"/>
                <w:b/>
                <w:bCs/>
              </w:rPr>
              <w:t>单价（元</w:t>
            </w:r>
            <w:r>
              <w:rPr>
                <w:rFonts w:hint="default" w:ascii="Times New Roman" w:hAnsi="Times New Roman" w:eastAsia="仿宋_GB2312" w:cs="Times New Roman"/>
                <w:b/>
                <w:bCs/>
              </w:rPr>
              <w:t>/</w:t>
            </w:r>
            <w:r>
              <w:rPr>
                <w:rFonts w:hint="default" w:ascii="Times New Roman" w:hAnsi="Times New Roman" w:cs="Times New Roman"/>
                <w:b/>
                <w:bCs/>
              </w:rPr>
              <w:t>㎡</w:t>
            </w:r>
            <w:r>
              <w:rPr>
                <w:rFonts w:hint="default" w:ascii="Times New Roman" w:hAnsi="Times New Roman" w:eastAsia="仿宋_GB2312" w:cs="Times New Roman"/>
                <w:b/>
                <w:bCs/>
              </w:rPr>
              <w:t>）</w:t>
            </w:r>
          </w:p>
        </w:tc>
        <w:tc>
          <w:tcPr>
            <w:tcW w:w="587" w:type="pct"/>
            <w:vAlign w:val="center"/>
          </w:tcPr>
          <w:p>
            <w:pPr>
              <w:autoSpaceDE w:val="0"/>
              <w:autoSpaceDN w:val="0"/>
              <w:adjustRightInd w:val="0"/>
              <w:spacing w:line="0" w:lineRule="atLeast"/>
              <w:jc w:val="center"/>
              <w:rPr>
                <w:rFonts w:hint="default" w:ascii="Times New Roman" w:hAnsi="Times New Roman" w:eastAsia="仿宋_GB2312" w:cs="Times New Roman"/>
                <w:b/>
                <w:bCs/>
              </w:rPr>
            </w:pPr>
            <w:r>
              <w:rPr>
                <w:rFonts w:hint="default" w:ascii="Times New Roman" w:hAnsi="Times New Roman" w:eastAsia="仿宋_GB2312" w:cs="Times New Roman"/>
                <w:b/>
                <w:bCs/>
              </w:rPr>
              <w:t>评估总价</w:t>
            </w:r>
            <w:r>
              <w:rPr>
                <w:rFonts w:hint="default" w:ascii="Times New Roman" w:hAnsi="Times New Roman" w:eastAsia="仿宋_GB2312" w:cs="Times New Roman"/>
                <w:b/>
                <w:bCs/>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998"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赣（2019）庐山市不动产权第0005070号</w:t>
            </w:r>
          </w:p>
        </w:tc>
        <w:tc>
          <w:tcPr>
            <w:tcW w:w="505"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刘金春 李艳平</w:t>
            </w:r>
          </w:p>
        </w:tc>
        <w:tc>
          <w:tcPr>
            <w:tcW w:w="948"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庐阳大道东盟时代豪苑14栋2-404</w:t>
            </w:r>
          </w:p>
        </w:tc>
        <w:tc>
          <w:tcPr>
            <w:tcW w:w="318"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住宅</w:t>
            </w:r>
          </w:p>
        </w:tc>
        <w:tc>
          <w:tcPr>
            <w:tcW w:w="281" w:type="pc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钢混</w:t>
            </w:r>
          </w:p>
        </w:tc>
        <w:tc>
          <w:tcPr>
            <w:tcW w:w="443" w:type="pct"/>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4/7</w:t>
            </w:r>
          </w:p>
        </w:tc>
        <w:tc>
          <w:tcPr>
            <w:tcW w:w="427" w:type="pct"/>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124.88</w:t>
            </w:r>
          </w:p>
        </w:tc>
        <w:tc>
          <w:tcPr>
            <w:tcW w:w="493" w:type="pct"/>
            <w:vAlign w:val="center"/>
          </w:tcPr>
          <w:p>
            <w:pPr>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4873</w:t>
            </w:r>
          </w:p>
        </w:tc>
        <w:tc>
          <w:tcPr>
            <w:tcW w:w="587" w:type="pct"/>
            <w:vAlign w:val="center"/>
          </w:tcPr>
          <w:p>
            <w:pPr>
              <w:jc w:val="center"/>
              <w:rPr>
                <w:rFonts w:hint="default" w:ascii="Times New Roman" w:hAnsi="Times New Roman" w:eastAsia="仿宋_GB2312" w:cs="Times New Roman"/>
                <w:color w:val="000000"/>
                <w:highlight w:val="yellow"/>
              </w:rPr>
            </w:pPr>
            <w:r>
              <w:rPr>
                <w:rFonts w:hint="default" w:ascii="Times New Roman" w:hAnsi="Times New Roman" w:eastAsia="仿宋_GB2312" w:cs="Times New Roman"/>
                <w:color w:val="000000"/>
              </w:rPr>
              <w:t>608540</w:t>
            </w:r>
          </w:p>
        </w:tc>
      </w:tr>
    </w:tbl>
    <w:p>
      <w:pPr>
        <w:tabs>
          <w:tab w:val="left" w:pos="993"/>
        </w:tabs>
        <w:adjustRightInd w:val="0"/>
        <w:snapToGrid w:val="0"/>
        <w:spacing w:line="42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特别提示：</w:t>
      </w:r>
    </w:p>
    <w:p>
      <w:pPr>
        <w:widowControl/>
        <w:adjustRightInd w:val="0"/>
        <w:snapToGrid w:val="0"/>
        <w:spacing w:line="380" w:lineRule="exact"/>
        <w:ind w:firstLine="357"/>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t>、上述估价结果中不包含处置时的司法诉讼费用、拍卖佣金、过户税费及其他应付费用等。特提请报告使用者注意。</w:t>
      </w:r>
    </w:p>
    <w:p>
      <w:pPr>
        <w:widowControl/>
        <w:adjustRightInd w:val="0"/>
        <w:snapToGrid w:val="0"/>
        <w:spacing w:line="380" w:lineRule="exact"/>
        <w:ind w:firstLine="357"/>
        <w:rPr>
          <w:rFonts w:hint="default" w:ascii="Times New Roman" w:hAnsi="Times New Roman" w:cs="Times New Roman"/>
          <w:b/>
          <w:sz w:val="24"/>
          <w:szCs w:val="24"/>
        </w:rPr>
      </w:pP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rPr>
        <w:t>、报告使用人在使用本报告之前须对报告全文，特别是“估价的假设和限制条件”认真阅读，以免使用不当，造成损失！估价的详细结果、过程及有关说明，请见《估价结果报告》。本估价报告自出报告之日起一年内有效。</w:t>
      </w:r>
    </w:p>
    <w:p>
      <w:pPr>
        <w:widowControl/>
        <w:adjustRightInd w:val="0"/>
        <w:snapToGrid w:val="0"/>
        <w:spacing w:line="380" w:lineRule="exact"/>
        <w:ind w:firstLine="357"/>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3、因财产拍卖（或者变卖）日期与价值时点不一致，评估对象状况或者房地产市场状况的变化会对评估结果产生影响。提请报告使用者注意。</w:t>
      </w:r>
    </w:p>
    <w:p>
      <w:pPr>
        <w:widowControl/>
        <w:adjustRightInd w:val="0"/>
        <w:snapToGrid w:val="0"/>
        <w:spacing w:line="380" w:lineRule="exact"/>
        <w:ind w:firstLine="357"/>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4、评估结果不等于评估对象处置可实现的成交价，不应被认为是对评估对象处置成交价的保证。提请报告使用者注意。</w:t>
      </w:r>
    </w:p>
    <w:p>
      <w:pPr>
        <w:widowControl/>
        <w:adjustRightInd w:val="0"/>
        <w:snapToGrid w:val="0"/>
        <w:spacing w:line="380" w:lineRule="exact"/>
        <w:ind w:firstLine="357"/>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5、本次估价对象相关信息以委托方提供的《不动产产权情况表》为依据，若与实际情况不符，估价结果须做相应调整。</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pStyle w:val="3"/>
        <w:spacing w:before="0" w:after="0" w:line="500" w:lineRule="exact"/>
        <w:rPr>
          <w:rFonts w:hint="default" w:ascii="Times New Roman" w:hAnsi="Times New Roman" w:eastAsia="仿宋_GB2312" w:cs="Times New Roman"/>
          <w:sz w:val="28"/>
          <w:szCs w:val="28"/>
        </w:rPr>
      </w:pPr>
      <w:bookmarkStart w:id="169" w:name="_Toc104623075"/>
      <w:r>
        <w:rPr>
          <w:rFonts w:hint="default" w:ascii="Times New Roman" w:hAnsi="Times New Roman" w:eastAsia="仿宋_GB2312" w:cs="Times New Roman"/>
          <w:sz w:val="28"/>
          <w:szCs w:val="28"/>
        </w:rPr>
        <w:t>（十一）</w:t>
      </w:r>
      <w:bookmarkEnd w:id="155"/>
      <w:bookmarkEnd w:id="156"/>
      <w:bookmarkEnd w:id="157"/>
      <w:bookmarkEnd w:id="158"/>
      <w:bookmarkEnd w:id="159"/>
      <w:bookmarkEnd w:id="160"/>
      <w:bookmarkEnd w:id="161"/>
      <w:bookmarkEnd w:id="162"/>
      <w:bookmarkEnd w:id="163"/>
      <w:bookmarkEnd w:id="164"/>
      <w:bookmarkStart w:id="170" w:name="_Toc387827702"/>
      <w:r>
        <w:rPr>
          <w:rFonts w:hint="default" w:ascii="Times New Roman" w:hAnsi="Times New Roman" w:eastAsia="仿宋_GB2312" w:cs="Times New Roman"/>
          <w:sz w:val="28"/>
          <w:szCs w:val="28"/>
        </w:rPr>
        <w:t>注册房地产估价师</w:t>
      </w:r>
      <w:bookmarkEnd w:id="168"/>
      <w:bookmarkEnd w:id="169"/>
      <w:bookmarkEnd w:id="170"/>
    </w:p>
    <w:p>
      <w:pPr>
        <w:adjustRightInd w:val="0"/>
        <w:snapToGrid w:val="0"/>
        <w:spacing w:line="500" w:lineRule="exact"/>
        <w:jc w:val="left"/>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参加估价的注册房地产估价师</w:t>
      </w:r>
    </w:p>
    <w:tbl>
      <w:tblPr>
        <w:tblStyle w:val="43"/>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042"/>
        <w:gridCol w:w="2494"/>
        <w:gridCol w:w="2835"/>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jc w:val="center"/>
        </w:trPr>
        <w:tc>
          <w:tcPr>
            <w:tcW w:w="1701"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042"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注册号</w:t>
            </w:r>
          </w:p>
        </w:tc>
        <w:tc>
          <w:tcPr>
            <w:tcW w:w="2494"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签名</w:t>
            </w:r>
          </w:p>
        </w:tc>
        <w:tc>
          <w:tcPr>
            <w:tcW w:w="2835"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签名日期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01"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陈茂</w:t>
            </w:r>
            <w:r>
              <w:rPr>
                <w:rFonts w:hint="default" w:ascii="Times New Roman" w:hAnsi="Times New Roman" w:cs="Times New Roman"/>
                <w:sz w:val="28"/>
                <w:szCs w:val="28"/>
              </w:rPr>
              <w:t>旻</w:t>
            </w:r>
          </w:p>
        </w:tc>
        <w:tc>
          <w:tcPr>
            <w:tcW w:w="2042"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3620060002</w:t>
            </w:r>
          </w:p>
        </w:tc>
        <w:tc>
          <w:tcPr>
            <w:tcW w:w="2494" w:type="dxa"/>
            <w:vAlign w:val="center"/>
          </w:tcPr>
          <w:p>
            <w:pPr>
              <w:spacing w:line="0" w:lineRule="atLeast"/>
              <w:jc w:val="center"/>
              <w:rPr>
                <w:rFonts w:hint="default" w:ascii="Times New Roman" w:hAnsi="Times New Roman" w:eastAsia="仿宋_GB2312" w:cs="Times New Roman"/>
                <w:sz w:val="28"/>
                <w:szCs w:val="28"/>
              </w:rPr>
            </w:pPr>
          </w:p>
        </w:tc>
        <w:tc>
          <w:tcPr>
            <w:tcW w:w="2835"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2022年05月24日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01"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毛夏明</w:t>
            </w:r>
          </w:p>
        </w:tc>
        <w:tc>
          <w:tcPr>
            <w:tcW w:w="2042"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3620210022</w:t>
            </w:r>
          </w:p>
        </w:tc>
        <w:tc>
          <w:tcPr>
            <w:tcW w:w="2494" w:type="dxa"/>
            <w:vAlign w:val="center"/>
          </w:tcPr>
          <w:p>
            <w:pPr>
              <w:spacing w:line="0" w:lineRule="atLeast"/>
              <w:jc w:val="center"/>
              <w:rPr>
                <w:rFonts w:hint="default" w:ascii="Times New Roman" w:hAnsi="Times New Roman" w:eastAsia="仿宋_GB2312" w:cs="Times New Roman"/>
                <w:sz w:val="28"/>
                <w:szCs w:val="28"/>
              </w:rPr>
            </w:pPr>
          </w:p>
        </w:tc>
        <w:tc>
          <w:tcPr>
            <w:tcW w:w="2835"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2022年05月24日</w:t>
            </w:r>
          </w:p>
        </w:tc>
      </w:tr>
    </w:tbl>
    <w:p>
      <w:pPr>
        <w:pStyle w:val="3"/>
        <w:spacing w:before="0" w:after="0" w:line="500" w:lineRule="exact"/>
        <w:rPr>
          <w:rFonts w:hint="default" w:ascii="Times New Roman" w:hAnsi="Times New Roman" w:eastAsia="仿宋_GB2312" w:cs="Times New Roman"/>
          <w:b w:val="0"/>
          <w:bCs w:val="0"/>
          <w:sz w:val="28"/>
          <w:szCs w:val="28"/>
        </w:rPr>
      </w:pPr>
      <w:bookmarkStart w:id="171" w:name="_Toc301369726"/>
      <w:bookmarkStart w:id="172" w:name="_Toc254875150"/>
      <w:bookmarkStart w:id="173" w:name="_Toc135016182"/>
      <w:bookmarkStart w:id="174" w:name="_Toc367869508"/>
      <w:bookmarkStart w:id="175" w:name="_Toc270691078"/>
      <w:bookmarkStart w:id="176" w:name="_Toc243111725"/>
      <w:bookmarkStart w:id="177" w:name="_Toc243111696"/>
      <w:bookmarkStart w:id="178" w:name="_Toc269132879"/>
      <w:bookmarkStart w:id="179" w:name="_Toc254860136"/>
      <w:bookmarkStart w:id="180" w:name="_Toc130033732"/>
      <w:bookmarkStart w:id="181" w:name="_Toc435110693"/>
      <w:bookmarkStart w:id="182" w:name="_Toc104623076"/>
      <w:r>
        <w:rPr>
          <w:rFonts w:hint="default" w:ascii="Times New Roman" w:hAnsi="Times New Roman" w:eastAsia="仿宋_GB2312" w:cs="Times New Roman"/>
          <w:sz w:val="28"/>
          <w:szCs w:val="28"/>
        </w:rPr>
        <w:t>（十二）</w:t>
      </w:r>
      <w:bookmarkEnd w:id="171"/>
      <w:bookmarkEnd w:id="172"/>
      <w:bookmarkEnd w:id="173"/>
      <w:bookmarkEnd w:id="174"/>
      <w:bookmarkEnd w:id="175"/>
      <w:bookmarkEnd w:id="176"/>
      <w:bookmarkEnd w:id="177"/>
      <w:bookmarkEnd w:id="178"/>
      <w:bookmarkEnd w:id="179"/>
      <w:bookmarkEnd w:id="180"/>
      <w:r>
        <w:rPr>
          <w:rFonts w:hint="default" w:ascii="Times New Roman" w:hAnsi="Times New Roman" w:eastAsia="仿宋_GB2312" w:cs="Times New Roman"/>
          <w:sz w:val="28"/>
          <w:szCs w:val="28"/>
        </w:rPr>
        <w:t>实地查勘期</w:t>
      </w:r>
      <w:bookmarkEnd w:id="181"/>
      <w:bookmarkEnd w:id="182"/>
    </w:p>
    <w:p>
      <w:pPr>
        <w:spacing w:line="500" w:lineRule="exact"/>
        <w:ind w:firstLine="560" w:firstLineChars="200"/>
        <w:rPr>
          <w:rFonts w:hint="default" w:ascii="Times New Roman" w:hAnsi="Times New Roman" w:eastAsia="仿宋_GB2312" w:cs="Times New Roman"/>
          <w:sz w:val="28"/>
          <w:szCs w:val="28"/>
        </w:rPr>
      </w:pPr>
      <w:bookmarkStart w:id="183" w:name="_Toc269132880"/>
      <w:bookmarkStart w:id="184" w:name="_Toc367869509"/>
      <w:bookmarkStart w:id="185" w:name="_Toc254875151"/>
      <w:bookmarkStart w:id="186" w:name="_Toc270691079"/>
      <w:bookmarkStart w:id="187" w:name="_Toc243111726"/>
      <w:bookmarkStart w:id="188" w:name="_Toc135016183"/>
      <w:bookmarkStart w:id="189" w:name="_Toc243111697"/>
      <w:bookmarkStart w:id="190" w:name="_Toc130033733"/>
      <w:bookmarkStart w:id="191" w:name="_Toc254860137"/>
      <w:bookmarkStart w:id="192" w:name="_Toc301369727"/>
      <w:bookmarkStart w:id="193" w:name="_Toc435110694"/>
      <w:r>
        <w:rPr>
          <w:rFonts w:hint="default" w:ascii="Times New Roman" w:hAnsi="Times New Roman" w:eastAsia="仿宋_GB2312" w:cs="Times New Roman"/>
          <w:sz w:val="28"/>
          <w:szCs w:val="28"/>
        </w:rPr>
        <w:t>2022年05月17日</w:t>
      </w:r>
    </w:p>
    <w:p>
      <w:pPr>
        <w:pStyle w:val="3"/>
        <w:spacing w:before="0" w:after="0" w:line="500" w:lineRule="exact"/>
        <w:rPr>
          <w:rFonts w:hint="default" w:ascii="Times New Roman" w:hAnsi="Times New Roman" w:eastAsia="仿宋_GB2312" w:cs="Times New Roman"/>
          <w:sz w:val="28"/>
          <w:szCs w:val="28"/>
        </w:rPr>
      </w:pPr>
      <w:bookmarkStart w:id="194" w:name="_Toc104623077"/>
      <w:r>
        <w:rPr>
          <w:rFonts w:hint="default" w:ascii="Times New Roman" w:hAnsi="Times New Roman" w:eastAsia="仿宋_GB2312" w:cs="Times New Roman"/>
          <w:sz w:val="28"/>
          <w:szCs w:val="28"/>
        </w:rPr>
        <w:t>（十三）</w:t>
      </w:r>
      <w:bookmarkEnd w:id="183"/>
      <w:bookmarkEnd w:id="184"/>
      <w:bookmarkEnd w:id="185"/>
      <w:bookmarkEnd w:id="186"/>
      <w:bookmarkEnd w:id="187"/>
      <w:bookmarkEnd w:id="188"/>
      <w:bookmarkEnd w:id="189"/>
      <w:bookmarkEnd w:id="190"/>
      <w:bookmarkEnd w:id="191"/>
      <w:bookmarkEnd w:id="192"/>
      <w:r>
        <w:rPr>
          <w:rFonts w:hint="default" w:ascii="Times New Roman" w:hAnsi="Times New Roman" w:eastAsia="仿宋_GB2312" w:cs="Times New Roman"/>
          <w:sz w:val="28"/>
          <w:szCs w:val="28"/>
        </w:rPr>
        <w:t>估价作业期</w:t>
      </w:r>
      <w:bookmarkEnd w:id="193"/>
      <w:bookmarkEnd w:id="194"/>
    </w:p>
    <w:p>
      <w:pPr>
        <w:spacing w:line="500" w:lineRule="exact"/>
        <w:ind w:firstLine="560" w:firstLineChars="200"/>
        <w:rPr>
          <w:rFonts w:hint="default" w:ascii="Times New Roman" w:hAnsi="Times New Roman" w:eastAsia="仿宋_GB2312" w:cs="Times New Roman"/>
          <w:sz w:val="28"/>
          <w:szCs w:val="28"/>
        </w:rPr>
      </w:pPr>
      <w:bookmarkStart w:id="195" w:name="_Toc299004801"/>
      <w:bookmarkStart w:id="196" w:name="_Toc254860138"/>
      <w:bookmarkStart w:id="197" w:name="_Toc130033734"/>
      <w:bookmarkStart w:id="198" w:name="_Toc299004832"/>
      <w:bookmarkStart w:id="199" w:name="_Toc269132881"/>
      <w:bookmarkStart w:id="200" w:name="_Toc243111698"/>
      <w:bookmarkStart w:id="201" w:name="_Toc254875152"/>
      <w:bookmarkStart w:id="202" w:name="_Toc243111727"/>
      <w:bookmarkStart w:id="203" w:name="_Toc135016184"/>
      <w:bookmarkStart w:id="204" w:name="_Toc270691080"/>
      <w:r>
        <w:rPr>
          <w:rFonts w:hint="default" w:ascii="Times New Roman" w:hAnsi="Times New Roman" w:eastAsia="仿宋_GB2312" w:cs="Times New Roman"/>
          <w:sz w:val="28"/>
          <w:szCs w:val="28"/>
        </w:rPr>
        <w:t>2022年05月17日至2022年05月24日</w:t>
      </w:r>
      <w:bookmarkEnd w:id="195"/>
      <w:bookmarkEnd w:id="196"/>
      <w:bookmarkEnd w:id="197"/>
      <w:bookmarkEnd w:id="198"/>
      <w:bookmarkEnd w:id="199"/>
      <w:bookmarkEnd w:id="200"/>
      <w:bookmarkEnd w:id="201"/>
      <w:bookmarkEnd w:id="202"/>
      <w:bookmarkEnd w:id="203"/>
      <w:bookmarkEnd w:id="204"/>
    </w:p>
    <w:p>
      <w:pPr>
        <w:ind w:firstLine="720" w:firstLineChars="200"/>
        <w:jc w:val="center"/>
        <w:outlineLvl w:val="0"/>
        <w:rPr>
          <w:rFonts w:hint="default" w:ascii="Times New Roman" w:hAnsi="Times New Roman" w:cs="Times New Roman"/>
        </w:rPr>
      </w:pPr>
      <w:r>
        <w:rPr>
          <w:rFonts w:hint="default" w:ascii="Times New Roman" w:hAnsi="Times New Roman" w:eastAsia="仿宋_GB2312" w:cs="Times New Roman"/>
          <w:snapToGrid w:val="0"/>
          <w:kern w:val="0"/>
          <w:sz w:val="36"/>
          <w:szCs w:val="36"/>
        </w:rPr>
        <w:br w:type="page"/>
      </w:r>
      <w:bookmarkStart w:id="205" w:name="_Toc104623078"/>
      <w:bookmarkStart w:id="206" w:name="_Toc435110698"/>
      <w:bookmarkStart w:id="207" w:name="_Toc16641"/>
      <w:r>
        <w:rPr>
          <w:rFonts w:hint="default" w:ascii="Times New Roman" w:hAnsi="Times New Roman" w:eastAsia="仿宋_GB2312" w:cs="Times New Roman"/>
          <w:b/>
          <w:bCs/>
          <w:spacing w:val="40"/>
          <w:kern w:val="0"/>
          <w:sz w:val="32"/>
          <w:szCs w:val="32"/>
        </w:rPr>
        <w:t>四、</w:t>
      </w:r>
      <w:r>
        <w:rPr>
          <w:rFonts w:hint="default" w:ascii="Times New Roman" w:hAnsi="Times New Roman" w:eastAsia="仿宋_GB2312" w:cs="Times New Roman"/>
          <w:b/>
          <w:bCs/>
          <w:spacing w:val="40"/>
          <w:kern w:val="0"/>
          <w:sz w:val="32"/>
          <w:szCs w:val="32"/>
          <w:lang w:val="zh-CN"/>
        </w:rPr>
        <w:t>附件</w:t>
      </w:r>
      <w:bookmarkEnd w:id="205"/>
    </w:p>
    <w:p>
      <w:pPr>
        <w:pStyle w:val="102"/>
        <w:numPr>
          <w:ilvl w:val="2"/>
          <w:numId w:val="4"/>
        </w:numPr>
        <w:adjustRightInd w:val="0"/>
        <w:snapToGrid w:val="0"/>
        <w:spacing w:line="500" w:lineRule="exact"/>
        <w:ind w:left="765" w:hanging="482"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估价对象状况照片</w:t>
      </w:r>
    </w:p>
    <w:p>
      <w:pPr>
        <w:pStyle w:val="102"/>
        <w:numPr>
          <w:ilvl w:val="2"/>
          <w:numId w:val="4"/>
        </w:numPr>
        <w:adjustRightInd w:val="0"/>
        <w:snapToGrid w:val="0"/>
        <w:spacing w:line="500" w:lineRule="exact"/>
        <w:ind w:left="765" w:hanging="482"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估价对象位置示意图</w:t>
      </w:r>
    </w:p>
    <w:p>
      <w:pPr>
        <w:pStyle w:val="102"/>
        <w:numPr>
          <w:ilvl w:val="2"/>
          <w:numId w:val="4"/>
        </w:numPr>
        <w:adjustRightInd w:val="0"/>
        <w:snapToGrid w:val="0"/>
        <w:spacing w:line="500" w:lineRule="exact"/>
        <w:ind w:left="765" w:hanging="482"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《江西省庐山市人民法院司法技术委托书》[（2022）赣0483技委评字11号]复印件</w:t>
      </w:r>
    </w:p>
    <w:p>
      <w:pPr>
        <w:pStyle w:val="102"/>
        <w:numPr>
          <w:ilvl w:val="2"/>
          <w:numId w:val="4"/>
        </w:numPr>
        <w:adjustRightInd w:val="0"/>
        <w:snapToGrid w:val="0"/>
        <w:spacing w:line="500" w:lineRule="exact"/>
        <w:ind w:left="765" w:hanging="482"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《不动产产权情况表》复印件</w:t>
      </w:r>
    </w:p>
    <w:p>
      <w:pPr>
        <w:pStyle w:val="102"/>
        <w:numPr>
          <w:ilvl w:val="2"/>
          <w:numId w:val="4"/>
        </w:numPr>
        <w:adjustRightInd w:val="0"/>
        <w:snapToGrid w:val="0"/>
        <w:spacing w:line="500" w:lineRule="exact"/>
        <w:ind w:left="765" w:hanging="482"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房地产估价机构营业执照复印件</w:t>
      </w:r>
    </w:p>
    <w:p>
      <w:pPr>
        <w:pStyle w:val="102"/>
        <w:numPr>
          <w:ilvl w:val="2"/>
          <w:numId w:val="4"/>
        </w:numPr>
        <w:adjustRightInd w:val="0"/>
        <w:snapToGrid w:val="0"/>
        <w:spacing w:line="500" w:lineRule="exact"/>
        <w:ind w:left="765" w:hanging="482"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房地产估价机构备案证书复印件</w:t>
      </w:r>
    </w:p>
    <w:p>
      <w:pPr>
        <w:pStyle w:val="102"/>
        <w:numPr>
          <w:ilvl w:val="2"/>
          <w:numId w:val="4"/>
        </w:numPr>
        <w:adjustRightInd w:val="0"/>
        <w:snapToGrid w:val="0"/>
        <w:spacing w:line="500" w:lineRule="exact"/>
        <w:ind w:left="765" w:hanging="482"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注册房地产估价师注册证书复印件</w:t>
      </w: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p>
    <w:p>
      <w:pPr>
        <w:pStyle w:val="102"/>
        <w:adjustRightInd w:val="0"/>
        <w:snapToGrid w:val="0"/>
        <w:spacing w:line="360" w:lineRule="auto"/>
        <w:ind w:firstLine="0" w:firstLineChars="0"/>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估价对象状况照片</w:t>
      </w:r>
    </w:p>
    <w:tbl>
      <w:tblPr>
        <w:tblStyle w:val="43"/>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9"/>
        <w:gridCol w:w="4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jc w:val="center"/>
        </w:trPr>
        <w:tc>
          <w:tcPr>
            <w:tcW w:w="4829" w:type="dxa"/>
            <w:tcBorders>
              <w:right w:val="single" w:color="auto" w:sz="6"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drawing>
                <wp:inline distT="0" distB="0" distL="0" distR="0">
                  <wp:extent cx="2851150" cy="2337435"/>
                  <wp:effectExtent l="19050" t="0" r="6129" b="0"/>
                  <wp:docPr id="21" name="图片 20" descr="微信图片_2022052010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微信图片_20220520103109.jpg"/>
                          <pic:cNvPicPr>
                            <a:picLocks noChangeAspect="1"/>
                          </pic:cNvPicPr>
                        </pic:nvPicPr>
                        <pic:blipFill>
                          <a:blip r:embed="rId16" cstate="email"/>
                          <a:stretch>
                            <a:fillRect/>
                          </a:stretch>
                        </pic:blipFill>
                        <pic:spPr>
                          <a:xfrm>
                            <a:off x="0" y="0"/>
                            <a:ext cx="2854197" cy="2340000"/>
                          </a:xfrm>
                          <a:prstGeom prst="rect">
                            <a:avLst/>
                          </a:prstGeom>
                        </pic:spPr>
                      </pic:pic>
                    </a:graphicData>
                  </a:graphic>
                </wp:inline>
              </w:drawing>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估价对象外观</w:t>
            </w:r>
          </w:p>
        </w:tc>
        <w:tc>
          <w:tcPr>
            <w:tcW w:w="4767" w:type="dxa"/>
            <w:tcBorders>
              <w:left w:val="single" w:color="auto" w:sz="6"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drawing>
                <wp:inline distT="0" distB="0" distL="0" distR="0">
                  <wp:extent cx="3002280" cy="2337435"/>
                  <wp:effectExtent l="19050" t="0" r="7455" b="0"/>
                  <wp:docPr id="3" name="图片 2" descr="微信图片_20220520103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220520103113.jpg"/>
                          <pic:cNvPicPr>
                            <a:picLocks noChangeAspect="1"/>
                          </pic:cNvPicPr>
                        </pic:nvPicPr>
                        <pic:blipFill>
                          <a:blip r:embed="rId17" cstate="email"/>
                          <a:stretch>
                            <a:fillRect/>
                          </a:stretch>
                        </pic:blipFill>
                        <pic:spPr>
                          <a:xfrm>
                            <a:off x="0" y="0"/>
                            <a:ext cx="3005421" cy="2340000"/>
                          </a:xfrm>
                          <a:prstGeom prst="rect">
                            <a:avLst/>
                          </a:prstGeom>
                        </pic:spPr>
                      </pic:pic>
                    </a:graphicData>
                  </a:graphic>
                </wp:inline>
              </w:drawing>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单元门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jc w:val="center"/>
        </w:trPr>
        <w:tc>
          <w:tcPr>
            <w:tcW w:w="4829" w:type="dxa"/>
            <w:tcBorders>
              <w:right w:val="single" w:color="auto" w:sz="6"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drawing>
                <wp:inline distT="0" distB="0" distL="0" distR="0">
                  <wp:extent cx="3021330" cy="2337435"/>
                  <wp:effectExtent l="19050" t="0" r="7454" b="0"/>
                  <wp:docPr id="4" name="图片 3" descr="微信图片_2022052010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图片_20220520103116.jpg"/>
                          <pic:cNvPicPr>
                            <a:picLocks noChangeAspect="1"/>
                          </pic:cNvPicPr>
                        </pic:nvPicPr>
                        <pic:blipFill>
                          <a:blip r:embed="rId18" cstate="email"/>
                          <a:stretch>
                            <a:fillRect/>
                          </a:stretch>
                        </pic:blipFill>
                        <pic:spPr>
                          <a:xfrm>
                            <a:off x="0" y="0"/>
                            <a:ext cx="3024489" cy="2340000"/>
                          </a:xfrm>
                          <a:prstGeom prst="rect">
                            <a:avLst/>
                          </a:prstGeom>
                        </pic:spPr>
                      </pic:pic>
                    </a:graphicData>
                  </a:graphic>
                </wp:inline>
              </w:drawing>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入户门</w:t>
            </w:r>
          </w:p>
        </w:tc>
        <w:tc>
          <w:tcPr>
            <w:tcW w:w="4767" w:type="dxa"/>
            <w:tcBorders>
              <w:left w:val="single" w:color="auto" w:sz="6"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drawing>
                <wp:inline distT="0" distB="0" distL="0" distR="0">
                  <wp:extent cx="3049905" cy="2337435"/>
                  <wp:effectExtent l="19050" t="0" r="0" b="0"/>
                  <wp:docPr id="9" name="图片 8" descr="微信图片_20220520103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微信图片_20220520103119.jpg"/>
                          <pic:cNvPicPr>
                            <a:picLocks noChangeAspect="1"/>
                          </pic:cNvPicPr>
                        </pic:nvPicPr>
                        <pic:blipFill>
                          <a:blip r:embed="rId19" cstate="email"/>
                          <a:stretch>
                            <a:fillRect/>
                          </a:stretch>
                        </pic:blipFill>
                        <pic:spPr>
                          <a:xfrm>
                            <a:off x="0" y="0"/>
                            <a:ext cx="3053176" cy="2340000"/>
                          </a:xfrm>
                          <a:prstGeom prst="rect">
                            <a:avLst/>
                          </a:prstGeom>
                        </pic:spPr>
                      </pic:pic>
                    </a:graphicData>
                  </a:graphic>
                </wp:inline>
              </w:drawing>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物业内部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jc w:val="center"/>
        </w:trPr>
        <w:tc>
          <w:tcPr>
            <w:tcW w:w="4829" w:type="dxa"/>
            <w:tcBorders>
              <w:right w:val="single" w:color="auto" w:sz="6"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drawing>
                <wp:inline distT="0" distB="0" distL="0" distR="0">
                  <wp:extent cx="2963545" cy="2337435"/>
                  <wp:effectExtent l="19050" t="0" r="8145" b="0"/>
                  <wp:docPr id="10" name="图片 9" descr="微信图片_20220520103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微信图片_20220520103123.jpg"/>
                          <pic:cNvPicPr>
                            <a:picLocks noChangeAspect="1"/>
                          </pic:cNvPicPr>
                        </pic:nvPicPr>
                        <pic:blipFill>
                          <a:blip r:embed="rId20" cstate="email"/>
                          <a:stretch>
                            <a:fillRect/>
                          </a:stretch>
                        </pic:blipFill>
                        <pic:spPr>
                          <a:xfrm>
                            <a:off x="0" y="0"/>
                            <a:ext cx="2966591" cy="2340000"/>
                          </a:xfrm>
                          <a:prstGeom prst="rect">
                            <a:avLst/>
                          </a:prstGeom>
                        </pic:spPr>
                      </pic:pic>
                    </a:graphicData>
                  </a:graphic>
                </wp:inline>
              </w:drawing>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物业内部</w:t>
            </w:r>
          </w:p>
        </w:tc>
        <w:tc>
          <w:tcPr>
            <w:tcW w:w="4767" w:type="dxa"/>
            <w:tcBorders>
              <w:left w:val="single" w:color="auto" w:sz="6"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drawing>
                <wp:inline distT="0" distB="0" distL="0" distR="0">
                  <wp:extent cx="3002280" cy="2337435"/>
                  <wp:effectExtent l="19050" t="0" r="7454" b="0"/>
                  <wp:docPr id="11" name="图片 10" descr="微信图片_20220520103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微信图片_20220520103126.jpg"/>
                          <pic:cNvPicPr>
                            <a:picLocks noChangeAspect="1"/>
                          </pic:cNvPicPr>
                        </pic:nvPicPr>
                        <pic:blipFill>
                          <a:blip r:embed="rId21" cstate="email"/>
                          <a:stretch>
                            <a:fillRect/>
                          </a:stretch>
                        </pic:blipFill>
                        <pic:spPr>
                          <a:xfrm>
                            <a:off x="0" y="0"/>
                            <a:ext cx="3005421" cy="2340000"/>
                          </a:xfrm>
                          <a:prstGeom prst="rect">
                            <a:avLst/>
                          </a:prstGeom>
                        </pic:spPr>
                      </pic:pic>
                    </a:graphicData>
                  </a:graphic>
                </wp:inline>
              </w:drawing>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物业内部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jc w:val="center"/>
        </w:trPr>
        <w:tc>
          <w:tcPr>
            <w:tcW w:w="4829" w:type="dxa"/>
            <w:tcBorders>
              <w:right w:val="single" w:color="auto" w:sz="6"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drawing>
                <wp:inline distT="0" distB="0" distL="0" distR="0">
                  <wp:extent cx="3044825" cy="2337435"/>
                  <wp:effectExtent l="19050" t="0" r="2651" b="0"/>
                  <wp:docPr id="12" name="图片 11" descr="微信图片_20220520103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微信图片_20220520103130.jpg"/>
                          <pic:cNvPicPr>
                            <a:picLocks noChangeAspect="1"/>
                          </pic:cNvPicPr>
                        </pic:nvPicPr>
                        <pic:blipFill>
                          <a:blip r:embed="rId22" cstate="email"/>
                          <a:stretch>
                            <a:fillRect/>
                          </a:stretch>
                        </pic:blipFill>
                        <pic:spPr>
                          <a:xfrm>
                            <a:off x="0" y="0"/>
                            <a:ext cx="3048367" cy="2340000"/>
                          </a:xfrm>
                          <a:prstGeom prst="rect">
                            <a:avLst/>
                          </a:prstGeom>
                        </pic:spPr>
                      </pic:pic>
                    </a:graphicData>
                  </a:graphic>
                </wp:inline>
              </w:drawing>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物业内部</w:t>
            </w:r>
          </w:p>
        </w:tc>
        <w:tc>
          <w:tcPr>
            <w:tcW w:w="4767" w:type="dxa"/>
            <w:tcBorders>
              <w:left w:val="single" w:color="auto" w:sz="6"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drawing>
                <wp:inline distT="0" distB="0" distL="0" distR="0">
                  <wp:extent cx="3025775" cy="2337435"/>
                  <wp:effectExtent l="19050" t="0" r="2650" b="0"/>
                  <wp:docPr id="14" name="图片 13" descr="微信图片_20220520103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微信图片_20220520103136.jpg"/>
                          <pic:cNvPicPr>
                            <a:picLocks noChangeAspect="1"/>
                          </pic:cNvPicPr>
                        </pic:nvPicPr>
                        <pic:blipFill>
                          <a:blip r:embed="rId23" cstate="email"/>
                          <a:stretch>
                            <a:fillRect/>
                          </a:stretch>
                        </pic:blipFill>
                        <pic:spPr>
                          <a:xfrm>
                            <a:off x="0" y="0"/>
                            <a:ext cx="3029300" cy="2340000"/>
                          </a:xfrm>
                          <a:prstGeom prst="rect">
                            <a:avLst/>
                          </a:prstGeom>
                        </pic:spPr>
                      </pic:pic>
                    </a:graphicData>
                  </a:graphic>
                </wp:inline>
              </w:drawing>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物业内部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jc w:val="center"/>
        </w:trPr>
        <w:tc>
          <w:tcPr>
            <w:tcW w:w="4829" w:type="dxa"/>
            <w:tcBorders>
              <w:right w:val="single" w:color="auto" w:sz="6"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drawing>
                <wp:inline distT="0" distB="0" distL="0" distR="0">
                  <wp:extent cx="3044825" cy="2337435"/>
                  <wp:effectExtent l="19050" t="0" r="2651" b="0"/>
                  <wp:docPr id="17" name="图片 16" descr="微信图片_20220520103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微信图片_20220520103140.jpg"/>
                          <pic:cNvPicPr>
                            <a:picLocks noChangeAspect="1"/>
                          </pic:cNvPicPr>
                        </pic:nvPicPr>
                        <pic:blipFill>
                          <a:blip r:embed="rId24" cstate="email"/>
                          <a:stretch>
                            <a:fillRect/>
                          </a:stretch>
                        </pic:blipFill>
                        <pic:spPr>
                          <a:xfrm>
                            <a:off x="0" y="0"/>
                            <a:ext cx="3048366" cy="2340000"/>
                          </a:xfrm>
                          <a:prstGeom prst="rect">
                            <a:avLst/>
                          </a:prstGeom>
                        </pic:spPr>
                      </pic:pic>
                    </a:graphicData>
                  </a:graphic>
                </wp:inline>
              </w:drawing>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物业内部</w:t>
            </w:r>
          </w:p>
        </w:tc>
        <w:tc>
          <w:tcPr>
            <w:tcW w:w="4767" w:type="dxa"/>
            <w:tcBorders>
              <w:left w:val="single" w:color="auto" w:sz="6"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drawing>
                <wp:inline distT="0" distB="0" distL="0" distR="0">
                  <wp:extent cx="2970530" cy="2337435"/>
                  <wp:effectExtent l="19050" t="0" r="1159" b="0"/>
                  <wp:docPr id="18" name="图片 17" descr="微信图片_2022052010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微信图片_20220520103144.jpg"/>
                          <pic:cNvPicPr>
                            <a:picLocks noChangeAspect="1"/>
                          </pic:cNvPicPr>
                        </pic:nvPicPr>
                        <pic:blipFill>
                          <a:blip r:embed="rId25" cstate="email"/>
                          <a:stretch>
                            <a:fillRect/>
                          </a:stretch>
                        </pic:blipFill>
                        <pic:spPr>
                          <a:xfrm>
                            <a:off x="0" y="0"/>
                            <a:ext cx="2973584" cy="2340000"/>
                          </a:xfrm>
                          <a:prstGeom prst="rect">
                            <a:avLst/>
                          </a:prstGeom>
                        </pic:spPr>
                      </pic:pic>
                    </a:graphicData>
                  </a:graphic>
                </wp:inline>
              </w:drawing>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物业内部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jc w:val="center"/>
        </w:trPr>
        <w:tc>
          <w:tcPr>
            <w:tcW w:w="4829" w:type="dxa"/>
            <w:tcBorders>
              <w:right w:val="single" w:color="auto" w:sz="6"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drawing>
                <wp:inline distT="0" distB="0" distL="0" distR="0">
                  <wp:extent cx="3526790" cy="2337435"/>
                  <wp:effectExtent l="19050" t="0" r="0" b="0"/>
                  <wp:docPr id="19" name="图片 18" descr="微信图片_2022052010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微信图片_20220520103146.jpg"/>
                          <pic:cNvPicPr>
                            <a:picLocks noChangeAspect="1"/>
                          </pic:cNvPicPr>
                        </pic:nvPicPr>
                        <pic:blipFill>
                          <a:blip r:embed="rId26" cstate="email"/>
                          <a:stretch>
                            <a:fillRect/>
                          </a:stretch>
                        </pic:blipFill>
                        <pic:spPr>
                          <a:xfrm>
                            <a:off x="0" y="0"/>
                            <a:ext cx="3530726" cy="2340000"/>
                          </a:xfrm>
                          <a:prstGeom prst="rect">
                            <a:avLst/>
                          </a:prstGeom>
                        </pic:spPr>
                      </pic:pic>
                    </a:graphicData>
                  </a:graphic>
                </wp:inline>
              </w:drawing>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物业内部</w:t>
            </w:r>
          </w:p>
        </w:tc>
        <w:tc>
          <w:tcPr>
            <w:tcW w:w="4767" w:type="dxa"/>
            <w:tcBorders>
              <w:left w:val="single" w:color="auto" w:sz="6"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drawing>
                <wp:inline distT="0" distB="0" distL="0" distR="0">
                  <wp:extent cx="2969895" cy="2334895"/>
                  <wp:effectExtent l="19050" t="0" r="1795" b="0"/>
                  <wp:docPr id="20" name="图片 19" descr="微信图片_2022052010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微信图片_20220520103149.jpg"/>
                          <pic:cNvPicPr>
                            <a:picLocks noChangeAspect="1"/>
                          </pic:cNvPicPr>
                        </pic:nvPicPr>
                        <pic:blipFill>
                          <a:blip r:embed="rId27" cstate="email"/>
                          <a:stretch>
                            <a:fillRect/>
                          </a:stretch>
                        </pic:blipFill>
                        <pic:spPr>
                          <a:xfrm>
                            <a:off x="0" y="0"/>
                            <a:ext cx="2976412" cy="2340000"/>
                          </a:xfrm>
                          <a:prstGeom prst="rect">
                            <a:avLst/>
                          </a:prstGeom>
                        </pic:spPr>
                      </pic:pic>
                    </a:graphicData>
                  </a:graphic>
                </wp:inline>
              </w:drawing>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物业内部</w:t>
            </w:r>
          </w:p>
        </w:tc>
      </w:tr>
    </w:tbl>
    <w:p>
      <w:pPr>
        <w:widowControl/>
        <w:jc w:val="center"/>
        <w:rPr>
          <w:rFonts w:hint="default" w:ascii="Times New Roman" w:hAnsi="Times New Roman" w:eastAsia="仿宋_GB2312" w:cs="Times New Roman"/>
          <w:b/>
          <w:bCs/>
          <w:sz w:val="32"/>
          <w:szCs w:val="32"/>
        </w:rPr>
      </w:pPr>
    </w:p>
    <w:p>
      <w:pPr>
        <w:widowControl/>
        <w:jc w:val="center"/>
        <w:rPr>
          <w:rFonts w:hint="default" w:ascii="Times New Roman" w:hAnsi="Times New Roman" w:eastAsia="仿宋_GB2312" w:cs="Times New Roman"/>
          <w:b/>
          <w:bCs/>
          <w:sz w:val="32"/>
          <w:szCs w:val="32"/>
        </w:rPr>
      </w:pPr>
    </w:p>
    <w:p>
      <w:pPr>
        <w:widowControl/>
        <w:rPr>
          <w:rFonts w:hint="default" w:ascii="Times New Roman" w:hAnsi="Times New Roman" w:eastAsia="仿宋_GB2312" w:cs="Times New Roman"/>
          <w:b/>
          <w:bCs/>
          <w:sz w:val="32"/>
          <w:szCs w:val="32"/>
        </w:rPr>
      </w:pPr>
    </w:p>
    <w:p>
      <w:pPr>
        <w:widowControl/>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估价对象位置示意图</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206"/>
    <w:bookmarkEnd w:id="207"/>
    <w:p>
      <w:pPr>
        <w:rPr>
          <w:rFonts w:hint="default" w:ascii="Times New Roman" w:hAnsi="Times New Roman" w:cs="Times New Roman"/>
          <w:kern w:val="0"/>
          <w:sz w:val="24"/>
          <w:szCs w:val="24"/>
        </w:rPr>
      </w:pPr>
    </w:p>
    <w:p>
      <w:pPr>
        <w:tabs>
          <w:tab w:val="left" w:pos="4998"/>
        </w:tabs>
        <w:spacing w:line="480" w:lineRule="auto"/>
        <w:jc w:val="center"/>
        <w:rPr>
          <w:rFonts w:hint="default" w:ascii="Times New Roman" w:hAnsi="Times New Roman" w:eastAsia="仿宋_GB2312" w:cs="Times New Roman"/>
          <w:b/>
          <w:sz w:val="32"/>
          <w:szCs w:val="32"/>
        </w:rPr>
      </w:pPr>
      <w:r>
        <w:rPr>
          <w:rFonts w:hint="default" w:ascii="Times New Roman" w:hAnsi="Times New Roman" w:cs="Times New Roman"/>
        </w:rPr>
        <w:pict>
          <v:shape id="_x0000_s1046" o:spid="_x0000_s1046" o:spt="61" type="#_x0000_t61" style="position:absolute;left:0pt;margin-left:92.25pt;margin-top:142.35pt;height:22.6pt;width:65.7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" adj="39633,44251">
            <v:path/>
            <v:fill focussize="0,0"/>
            <v:stroke joinstyle="miter"/>
            <v:imagedata o:title=""/>
            <o:lock v:ext="edit"/>
            <v:textbox>
              <w:txbxContent>
                <w:p>
                  <w:r>
                    <w:rPr>
                      <w:rFonts w:hint="eastAsia"/>
                    </w:rPr>
                    <w:t>估价对象</w:t>
                  </w:r>
                </w:p>
              </w:txbxContent>
            </v:textbox>
          </v:shape>
        </w:pict>
      </w:r>
      <w:r>
        <w:rPr>
          <w:rFonts w:hint="default" w:ascii="Times New Roman" w:hAnsi="Times New Roman" w:eastAsia="仿宋_GB2312" w:cs="Times New Roman"/>
          <w:b/>
          <w:sz w:val="32"/>
          <w:szCs w:val="32"/>
        </w:rPr>
        <w:drawing>
          <wp:inline distT="0" distB="0" distL="0" distR="0">
            <wp:extent cx="5688330" cy="4773295"/>
            <wp:effectExtent l="19050" t="0" r="7620" b="0"/>
            <wp:docPr id="22" name="图片 21" descr="16530139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1653013942(1).png"/>
                    <pic:cNvPicPr>
                      <a:picLocks noChangeAspect="1"/>
                    </pic:cNvPicPr>
                  </pic:nvPicPr>
                  <pic:blipFill>
                    <a:blip r:embed="rId28" cstate="email"/>
                    <a:stretch>
                      <a:fillRect/>
                    </a:stretch>
                  </pic:blipFill>
                  <pic:spPr>
                    <a:xfrm>
                      <a:off x="0" y="0"/>
                      <a:ext cx="5688330" cy="4773295"/>
                    </a:xfrm>
                    <a:prstGeom prst="rect">
                      <a:avLst/>
                    </a:prstGeom>
                  </pic:spPr>
                </pic:pic>
              </a:graphicData>
            </a:graphic>
          </wp:inline>
        </w:drawing>
      </w:r>
    </w:p>
    <w:p>
      <w:pPr>
        <w:tabs>
          <w:tab w:val="left" w:pos="4998"/>
        </w:tabs>
        <w:spacing w:line="480" w:lineRule="auto"/>
        <w:jc w:val="center"/>
        <w:rPr>
          <w:rFonts w:hint="default" w:ascii="Times New Roman" w:hAnsi="Times New Roman" w:eastAsia="仿宋_GB2312" w:cs="Times New Roman"/>
          <w:b/>
          <w:sz w:val="32"/>
          <w:szCs w:val="32"/>
        </w:rPr>
      </w:pPr>
    </w:p>
    <w:p>
      <w:pPr>
        <w:pStyle w:val="40"/>
        <w:adjustRightInd w:val="0"/>
        <w:snapToGrid w:val="0"/>
        <w:spacing w:before="0" w:beforeAutospacing="0" w:after="0" w:afterAutospacing="0" w:line="460" w:lineRule="exact"/>
        <w:jc w:val="center"/>
        <w:rPr>
          <w:rFonts w:hint="default" w:ascii="Times New Roman" w:hAnsi="Times New Roman" w:eastAsia="仿宋_GB2312" w:cs="Times New Roman"/>
          <w:b/>
          <w:sz w:val="28"/>
        </w:rPr>
      </w:pPr>
    </w:p>
    <w:bookmarkEnd w:id="208"/>
    <w:sectPr>
      <w:headerReference r:id="rId9" w:type="default"/>
      <w:footerReference r:id="rId10" w:type="default"/>
      <w:pgSz w:w="11906" w:h="16838"/>
      <w:pgMar w:top="1814" w:right="1247" w:bottom="1418" w:left="1701" w:header="1418" w:footer="73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体">
    <w:altName w:val="宋体"/>
    <w:panose1 w:val="00000000000000000000"/>
    <w:charset w:val="86"/>
    <w:family w:val="roma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819"/>
        <w:tab w:val="right" w:pos="9638"/>
      </w:tabs>
      <w:rPr>
        <w:rStyle w:val="66"/>
      </w:rPr>
    </w:pPr>
    <w:r>
      <w:rPr>
        <w:rStyle w:val="66"/>
        <w:rFonts w:hint="eastAsia" w:cs="宋体"/>
      </w:rPr>
      <w:t>地址：</w:t>
    </w:r>
    <w:r>
      <w:rPr>
        <w:rFonts w:hint="eastAsia" w:eastAsia="仿宋_GB2312"/>
        <w:bCs/>
        <w:sz w:val="18"/>
        <w:szCs w:val="18"/>
      </w:rPr>
      <w:t xml:space="preserve">江西省南昌市红谷滩新区赣江北大道1号中航国际广场14楼联系电话/客服电话：0791-86801000 </w:t>
    </w:r>
  </w:p>
  <w:p>
    <w:pPr>
      <w:pStyle w:val="27"/>
      <w:ind w:firstLine="8370" w:firstLineChars="4650"/>
      <w:rPr>
        <w:rStyle w:val="48"/>
        <w:szCs w:val="16"/>
      </w:rPr>
    </w:pPr>
    <w:r>
      <w:rPr>
        <w:rStyle w:val="66"/>
        <w:rFonts w:hint="eastAsia" w:cs="宋体"/>
      </w:rPr>
      <w:t>第</w:t>
    </w:r>
    <w:r>
      <w:rPr>
        <w:rStyle w:val="66"/>
      </w:rPr>
      <w:fldChar w:fldCharType="begin"/>
    </w:r>
    <w:r>
      <w:rPr>
        <w:rStyle w:val="66"/>
      </w:rPr>
      <w:instrText xml:space="preserve">PAGE   \* MERGEFORMAT</w:instrText>
    </w:r>
    <w:r>
      <w:rPr>
        <w:rStyle w:val="66"/>
      </w:rPr>
      <w:fldChar w:fldCharType="separate"/>
    </w:r>
    <w:r>
      <w:rPr>
        <w:rStyle w:val="66"/>
        <w:lang w:val="zh-CN"/>
      </w:rPr>
      <w:t>1</w:t>
    </w:r>
    <w:r>
      <w:rPr>
        <w:rStyle w:val="66"/>
      </w:rPr>
      <w:fldChar w:fldCharType="end"/>
    </w:r>
    <w:r>
      <w:rPr>
        <w:rStyle w:val="66"/>
        <w:rFonts w:hint="eastAsia" w:cs="宋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819"/>
        <w:tab w:val="right" w:pos="9638"/>
      </w:tabs>
      <w:rPr>
        <w:rStyle w:val="66"/>
      </w:rPr>
    </w:pPr>
    <w:r>
      <w:rPr>
        <w:rStyle w:val="66"/>
        <w:rFonts w:hint="eastAsia" w:cs="宋体"/>
      </w:rPr>
      <w:t>地址：</w:t>
    </w:r>
    <w:r>
      <w:rPr>
        <w:rFonts w:hint="eastAsia" w:eastAsia="仿宋_GB2312"/>
        <w:bCs/>
        <w:sz w:val="18"/>
        <w:szCs w:val="18"/>
      </w:rPr>
      <w:t xml:space="preserve">江西省南昌市红谷滩新区赣江北大道1号中航国际广场14楼联系电话/客服电话：0791-86801000 </w:t>
    </w:r>
  </w:p>
  <w:p>
    <w:pPr>
      <w:pBdr>
        <w:top w:val="single" w:color="auto" w:sz="4" w:space="1"/>
      </w:pBdr>
      <w:tabs>
        <w:tab w:val="center" w:pos="4819"/>
        <w:tab w:val="right" w:pos="9638"/>
      </w:tabs>
      <w:ind w:right="90"/>
      <w:jc w:val="right"/>
      <w:rPr>
        <w:rStyle w:val="66"/>
        <w:sz w:val="21"/>
        <w:szCs w:val="21"/>
      </w:rPr>
    </w:pPr>
    <w:r>
      <w:rPr>
        <w:rStyle w:val="66"/>
        <w:rFonts w:hint="eastAsia" w:cs="宋体"/>
      </w:rPr>
      <w:t>第</w:t>
    </w:r>
    <w:r>
      <w:rPr>
        <w:rStyle w:val="66"/>
      </w:rPr>
      <w:fldChar w:fldCharType="begin"/>
    </w:r>
    <w:r>
      <w:rPr>
        <w:rStyle w:val="66"/>
      </w:rPr>
      <w:instrText xml:space="preserve">PAGE   \* MERGEFORMAT</w:instrText>
    </w:r>
    <w:r>
      <w:rPr>
        <w:rStyle w:val="66"/>
      </w:rPr>
      <w:fldChar w:fldCharType="separate"/>
    </w:r>
    <w:r>
      <w:rPr>
        <w:rStyle w:val="66"/>
        <w:lang w:val="zh-CN"/>
      </w:rPr>
      <w:t>2</w:t>
    </w:r>
    <w:r>
      <w:rPr>
        <w:rStyle w:val="66"/>
      </w:rPr>
      <w:fldChar w:fldCharType="end"/>
    </w:r>
    <w:r>
      <w:rPr>
        <w:rStyle w:val="66"/>
        <w:rFonts w:hint="eastAsia" w:cs="宋体"/>
      </w:rPr>
      <w:t>页</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819"/>
        <w:tab w:val="right" w:pos="9638"/>
      </w:tabs>
      <w:rPr>
        <w:rStyle w:val="66"/>
      </w:rPr>
    </w:pPr>
    <w:r>
      <w:rPr>
        <w:rStyle w:val="66"/>
        <w:rFonts w:hint="eastAsia" w:cs="宋体"/>
      </w:rPr>
      <w:t>地址：</w:t>
    </w:r>
    <w:r>
      <w:rPr>
        <w:rFonts w:hint="eastAsia" w:eastAsia="仿宋_GB2312"/>
        <w:bCs/>
        <w:sz w:val="18"/>
        <w:szCs w:val="18"/>
      </w:rPr>
      <w:t xml:space="preserve">江西省南昌市红谷滩新区赣江北大道1号中航国际广场14楼       联系电话/客服电话：0791-86801000 </w:t>
    </w:r>
  </w:p>
  <w:p>
    <w:pPr>
      <w:pBdr>
        <w:top w:val="single" w:color="auto" w:sz="4" w:space="1"/>
      </w:pBdr>
      <w:tabs>
        <w:tab w:val="center" w:pos="4819"/>
        <w:tab w:val="right" w:pos="9638"/>
      </w:tabs>
      <w:ind w:right="90"/>
      <w:jc w:val="right"/>
    </w:pPr>
    <w:r>
      <w:rPr>
        <w:rStyle w:val="66"/>
        <w:rFonts w:hint="eastAsia" w:cs="宋体"/>
      </w:rPr>
      <w:t>第</w:t>
    </w:r>
    <w:r>
      <w:rPr>
        <w:rStyle w:val="66"/>
      </w:rPr>
      <w:fldChar w:fldCharType="begin"/>
    </w:r>
    <w:r>
      <w:rPr>
        <w:rStyle w:val="66"/>
      </w:rPr>
      <w:instrText xml:space="preserve">PAGE   \* MERGEFORMAT</w:instrText>
    </w:r>
    <w:r>
      <w:rPr>
        <w:rStyle w:val="66"/>
      </w:rPr>
      <w:fldChar w:fldCharType="separate"/>
    </w:r>
    <w:r>
      <w:rPr>
        <w:rStyle w:val="66"/>
        <w:lang w:val="zh-CN"/>
      </w:rPr>
      <w:t>21</w:t>
    </w:r>
    <w:r>
      <w:rPr>
        <w:rStyle w:val="66"/>
      </w:rPr>
      <w:fldChar w:fldCharType="end"/>
    </w:r>
    <w:r>
      <w:rPr>
        <w:rStyle w:val="66"/>
        <w:rFonts w:hint="eastAsia" w:cs="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both"/>
    </w:pPr>
    <w:r>
      <w:drawing>
        <wp:inline distT="0" distB="0" distL="0" distR="0">
          <wp:extent cx="1066800" cy="314325"/>
          <wp:effectExtent l="0" t="0" r="0" b="0"/>
          <wp:docPr id="1035" name="图片 19"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图片 19" descr="CA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314325"/>
                  </a:xfrm>
                  <a:prstGeom prst="rect">
                    <a:avLst/>
                  </a:prstGeom>
                  <a:noFill/>
                  <a:ln>
                    <a:noFill/>
                  </a:ln>
                </pic:spPr>
              </pic:pic>
            </a:graphicData>
          </a:graphic>
        </wp:inline>
      </w:drawing>
    </w:r>
    <w:r>
      <w:rPr>
        <w:rFonts w:hint="eastAsia" w:cs="宋体"/>
      </w:rPr>
      <w:t>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土地规划甲级资质</w:t>
    </w:r>
    <w:r>
      <w:drawing>
        <wp:inline distT="0" distB="0" distL="0" distR="0">
          <wp:extent cx="1057275" cy="266700"/>
          <wp:effectExtent l="0" t="0" r="0" b="0"/>
          <wp:docPr id="1038" name="图片 24"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图片 24" descr="同致横标志"/>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57275" cy="266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both"/>
    </w:pPr>
    <w:r>
      <w:drawing>
        <wp:inline distT="0" distB="0" distL="0" distR="0">
          <wp:extent cx="1066800" cy="314325"/>
          <wp:effectExtent l="0" t="0" r="0" b="0"/>
          <wp:docPr id="1076" name="图片 28"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图片 28" descr="CA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314325"/>
                  </a:xfrm>
                  <a:prstGeom prst="rect">
                    <a:avLst/>
                  </a:prstGeom>
                  <a:noFill/>
                  <a:ln>
                    <a:noFill/>
                  </a:ln>
                </pic:spPr>
              </pic:pic>
            </a:graphicData>
          </a:graphic>
        </wp:inline>
      </w:drawing>
    </w:r>
    <w:r>
      <w:rPr>
        <w:rFonts w:hint="eastAsia" w:cs="宋体"/>
      </w:rPr>
      <w:t xml:space="preserve">  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 xml:space="preserve">土地规划甲级资质       </w:t>
    </w:r>
    <w:r>
      <w:drawing>
        <wp:inline distT="0" distB="0" distL="0" distR="0">
          <wp:extent cx="1052830" cy="266065"/>
          <wp:effectExtent l="19050" t="0" r="0" b="0"/>
          <wp:docPr id="6" name="图片 21"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1" descr="同致横标志"/>
                  <pic:cNvPicPr>
                    <a:picLocks noChangeAspect="1" noChangeArrowheads="1"/>
                  </pic:cNvPicPr>
                </pic:nvPicPr>
                <pic:blipFill>
                  <a:blip r:embed="rId2"/>
                  <a:srcRect/>
                  <a:stretch>
                    <a:fillRect/>
                  </a:stretch>
                </pic:blipFill>
                <pic:spPr>
                  <a:xfrm>
                    <a:off x="0" y="0"/>
                    <a:ext cx="1052830" cy="26606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both"/>
    </w:pPr>
    <w:r>
      <w:rPr>
        <w:rFonts w:cs="宋体"/>
      </w:rPr>
      <w:drawing>
        <wp:inline distT="0" distB="0" distL="0" distR="0">
          <wp:extent cx="1066800" cy="314325"/>
          <wp:effectExtent l="0" t="0" r="0" b="0"/>
          <wp:docPr id="1075" name="图片 28"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图片 28" descr="CA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314325"/>
                  </a:xfrm>
                  <a:prstGeom prst="rect">
                    <a:avLst/>
                  </a:prstGeom>
                  <a:noFill/>
                  <a:ln>
                    <a:noFill/>
                  </a:ln>
                </pic:spPr>
              </pic:pic>
            </a:graphicData>
          </a:graphic>
        </wp:inline>
      </w:drawing>
    </w:r>
    <w:r>
      <w:rPr>
        <w:rFonts w:hint="eastAsia" w:cs="宋体"/>
      </w:rPr>
      <w:t xml:space="preserve">  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 xml:space="preserve">土地规划甲级资质    </w:t>
    </w:r>
    <w:r>
      <w:drawing>
        <wp:inline distT="0" distB="0" distL="0" distR="0">
          <wp:extent cx="1052830" cy="266065"/>
          <wp:effectExtent l="19050" t="0" r="0" b="0"/>
          <wp:docPr id="1059" name="图片 21"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图片 21" descr="同致横标志"/>
                  <pic:cNvPicPr>
                    <a:picLocks noChangeAspect="1" noChangeArrowheads="1"/>
                  </pic:cNvPicPr>
                </pic:nvPicPr>
                <pic:blipFill>
                  <a:blip r:embed="rId2"/>
                  <a:srcRect/>
                  <a:stretch>
                    <a:fillRect/>
                  </a:stretch>
                </pic:blipFill>
                <pic:spPr>
                  <a:xfrm>
                    <a:off x="0" y="0"/>
                    <a:ext cx="1052830" cy="26606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both"/>
      <w:rPr>
        <w:rFonts w:cs="宋体"/>
      </w:rPr>
    </w:pPr>
  </w:p>
  <w:p>
    <w:pPr>
      <w:pStyle w:val="28"/>
      <w:pBdr>
        <w:bottom w:val="single" w:color="auto" w:sz="4" w:space="1"/>
      </w:pBdr>
      <w:jc w:val="both"/>
      <w:rPr>
        <w:rFonts w:cs="宋体"/>
      </w:rPr>
    </w:pPr>
  </w:p>
  <w:p>
    <w:pPr>
      <w:pStyle w:val="28"/>
      <w:pBdr>
        <w:bottom w:val="single" w:color="auto" w:sz="4" w:space="1"/>
      </w:pBdr>
      <w:jc w:val="both"/>
    </w:pPr>
    <w:r>
      <w:drawing>
        <wp:inline distT="0" distB="0" distL="0" distR="0">
          <wp:extent cx="1066800" cy="314325"/>
          <wp:effectExtent l="0" t="0" r="0" b="0"/>
          <wp:docPr id="2" name="图片 28"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descr="CA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314325"/>
                  </a:xfrm>
                  <a:prstGeom prst="rect">
                    <a:avLst/>
                  </a:prstGeom>
                  <a:noFill/>
                  <a:ln>
                    <a:noFill/>
                  </a:ln>
                </pic:spPr>
              </pic:pic>
            </a:graphicData>
          </a:graphic>
        </wp:inline>
      </w:drawing>
    </w:r>
    <w:r>
      <w:rPr>
        <w:rFonts w:hint="eastAsia" w:cs="宋体"/>
      </w:rPr>
      <w:t xml:space="preserve">   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 xml:space="preserve">土地规划甲级资质     </w:t>
    </w:r>
    <w:r>
      <w:drawing>
        <wp:inline distT="0" distB="0" distL="0" distR="0">
          <wp:extent cx="1052830" cy="266065"/>
          <wp:effectExtent l="19050" t="0" r="0" b="0"/>
          <wp:docPr id="5" name="图片 21"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 descr="同致横标志"/>
                  <pic:cNvPicPr>
                    <a:picLocks noChangeAspect="1" noChangeArrowheads="1"/>
                  </pic:cNvPicPr>
                </pic:nvPicPr>
                <pic:blipFill>
                  <a:blip r:embed="rId2"/>
                  <a:srcRect/>
                  <a:stretch>
                    <a:fillRect/>
                  </a:stretch>
                </pic:blipFill>
                <pic:spPr>
                  <a:xfrm>
                    <a:off x="0" y="0"/>
                    <a:ext cx="1052830" cy="266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023A19"/>
    <w:multiLevelType w:val="multilevel"/>
    <w:tmpl w:val="32023A19"/>
    <w:lvl w:ilvl="0" w:tentative="0">
      <w:start w:val="1"/>
      <w:numFmt w:val="decimal"/>
      <w:lvlText w:val="（%1）"/>
      <w:lvlJc w:val="left"/>
      <w:pPr>
        <w:ind w:left="1728" w:hanging="1160"/>
      </w:pPr>
      <w:rPr>
        <w:rFonts w:hint="eastAsia"/>
      </w:rPr>
    </w:lvl>
    <w:lvl w:ilvl="1" w:tentative="0">
      <w:start w:val="1"/>
      <w:numFmt w:val="decimal"/>
      <w:lvlText w:val="%2."/>
      <w:lvlJc w:val="left"/>
      <w:pPr>
        <w:ind w:left="1360" w:hanging="360"/>
      </w:pPr>
      <w:rPr>
        <w:rFonts w:hint="eastAsia"/>
      </w:rPr>
    </w:lvl>
    <w:lvl w:ilvl="2" w:tentative="0">
      <w:start w:val="6"/>
      <w:numFmt w:val="bullet"/>
      <w:lvlText w:val="●"/>
      <w:lvlJc w:val="left"/>
      <w:pPr>
        <w:ind w:left="1840" w:hanging="360"/>
      </w:pPr>
      <w:rPr>
        <w:rFonts w:hint="eastAsia" w:ascii="仿宋_GB2312" w:hAnsi="仿宋" w:eastAsia="仿宋_GB2312"/>
      </w:rPr>
    </w:lvl>
    <w:lvl w:ilvl="3" w:tentative="0">
      <w:start w:val="1"/>
      <w:numFmt w:val="decimalEnclosedCircle"/>
      <w:lvlText w:val="%4"/>
      <w:lvlJc w:val="left"/>
      <w:pPr>
        <w:ind w:left="2320" w:hanging="360"/>
      </w:pPr>
      <w:rPr>
        <w:rFonts w:hint="default"/>
      </w:rPr>
    </w:lvl>
    <w:lvl w:ilvl="4" w:tentative="0">
      <w:start w:val="1"/>
      <w:numFmt w:val="lowerLetter"/>
      <w:lvlText w:val="%5)"/>
      <w:lvlJc w:val="left"/>
      <w:pPr>
        <w:ind w:left="2920" w:hanging="480"/>
      </w:pPr>
    </w:lvl>
    <w:lvl w:ilvl="5" w:tentative="0">
      <w:start w:val="1"/>
      <w:numFmt w:val="lowerRoman"/>
      <w:lvlText w:val="%6."/>
      <w:lvlJc w:val="right"/>
      <w:pPr>
        <w:ind w:left="3400" w:hanging="480"/>
      </w:pPr>
    </w:lvl>
    <w:lvl w:ilvl="6" w:tentative="0">
      <w:start w:val="1"/>
      <w:numFmt w:val="decimal"/>
      <w:lvlText w:val="%7."/>
      <w:lvlJc w:val="left"/>
      <w:pPr>
        <w:ind w:left="3880" w:hanging="480"/>
      </w:pPr>
    </w:lvl>
    <w:lvl w:ilvl="7" w:tentative="0">
      <w:start w:val="1"/>
      <w:numFmt w:val="lowerLetter"/>
      <w:lvlText w:val="%8)"/>
      <w:lvlJc w:val="left"/>
      <w:pPr>
        <w:ind w:left="4360" w:hanging="480"/>
      </w:pPr>
    </w:lvl>
    <w:lvl w:ilvl="8" w:tentative="0">
      <w:start w:val="1"/>
      <w:numFmt w:val="lowerRoman"/>
      <w:lvlText w:val="%9."/>
      <w:lvlJc w:val="right"/>
      <w:pPr>
        <w:ind w:left="4840" w:hanging="480"/>
      </w:pPr>
    </w:lvl>
  </w:abstractNum>
  <w:abstractNum w:abstractNumId="1">
    <w:nsid w:val="3CEA2244"/>
    <w:multiLevelType w:val="multilevel"/>
    <w:tmpl w:val="3CEA2244"/>
    <w:lvl w:ilvl="0" w:tentative="0">
      <w:start w:val="1"/>
      <w:numFmt w:val="decimal"/>
      <w:lvlText w:val="%1．"/>
      <w:lvlJc w:val="left"/>
      <w:pPr>
        <w:ind w:left="911" w:hanging="480"/>
      </w:pPr>
      <w:rPr>
        <w:rFonts w:hint="eastAsia"/>
        <w:b/>
        <w:bCs/>
        <w:i w:val="0"/>
        <w:iCs w:val="0"/>
      </w:rPr>
    </w:lvl>
    <w:lvl w:ilvl="1" w:tentative="0">
      <w:start w:val="1"/>
      <w:numFmt w:val="lowerLetter"/>
      <w:lvlText w:val="%2)"/>
      <w:lvlJc w:val="left"/>
      <w:pPr>
        <w:ind w:left="1391" w:hanging="480"/>
      </w:pPr>
      <w:rPr>
        <w:rFonts w:hint="eastAsia"/>
      </w:rPr>
    </w:lvl>
    <w:lvl w:ilvl="2" w:tentative="0">
      <w:start w:val="1"/>
      <w:numFmt w:val="decimal"/>
      <w:lvlText w:val="%3."/>
      <w:lvlJc w:val="left"/>
      <w:pPr>
        <w:ind w:left="1053" w:hanging="480"/>
      </w:pPr>
      <w:rPr>
        <w:rFonts w:hint="eastAsia"/>
      </w:rPr>
    </w:lvl>
    <w:lvl w:ilvl="3" w:tentative="0">
      <w:start w:val="1"/>
      <w:numFmt w:val="decimal"/>
      <w:lvlText w:val="%4."/>
      <w:lvlJc w:val="left"/>
      <w:pPr>
        <w:ind w:left="2351" w:hanging="480"/>
      </w:pPr>
      <w:rPr>
        <w:rFonts w:hint="eastAsia"/>
      </w:rPr>
    </w:lvl>
    <w:lvl w:ilvl="4" w:tentative="0">
      <w:start w:val="1"/>
      <w:numFmt w:val="lowerLetter"/>
      <w:lvlText w:val="%5)"/>
      <w:lvlJc w:val="left"/>
      <w:pPr>
        <w:ind w:left="2831" w:hanging="480"/>
      </w:pPr>
      <w:rPr>
        <w:rFonts w:hint="eastAsia"/>
      </w:rPr>
    </w:lvl>
    <w:lvl w:ilvl="5" w:tentative="0">
      <w:start w:val="1"/>
      <w:numFmt w:val="lowerRoman"/>
      <w:lvlText w:val="%6."/>
      <w:lvlJc w:val="right"/>
      <w:pPr>
        <w:ind w:left="3311" w:hanging="480"/>
      </w:pPr>
      <w:rPr>
        <w:rFonts w:hint="eastAsia"/>
      </w:rPr>
    </w:lvl>
    <w:lvl w:ilvl="6" w:tentative="0">
      <w:start w:val="1"/>
      <w:numFmt w:val="decimal"/>
      <w:lvlText w:val="%7."/>
      <w:lvlJc w:val="left"/>
      <w:pPr>
        <w:ind w:left="3791" w:hanging="480"/>
      </w:pPr>
      <w:rPr>
        <w:rFonts w:hint="eastAsia"/>
      </w:rPr>
    </w:lvl>
    <w:lvl w:ilvl="7" w:tentative="0">
      <w:start w:val="1"/>
      <w:numFmt w:val="lowerLetter"/>
      <w:lvlText w:val="%8)"/>
      <w:lvlJc w:val="left"/>
      <w:pPr>
        <w:ind w:left="4271" w:hanging="480"/>
      </w:pPr>
      <w:rPr>
        <w:rFonts w:hint="eastAsia"/>
      </w:rPr>
    </w:lvl>
    <w:lvl w:ilvl="8" w:tentative="0">
      <w:start w:val="1"/>
      <w:numFmt w:val="lowerRoman"/>
      <w:lvlText w:val="%9."/>
      <w:lvlJc w:val="right"/>
      <w:pPr>
        <w:ind w:left="4751" w:hanging="480"/>
      </w:pPr>
      <w:rPr>
        <w:rFonts w:hint="eastAsia"/>
      </w:rPr>
    </w:lvl>
  </w:abstractNum>
  <w:abstractNum w:abstractNumId="2">
    <w:nsid w:val="4EDD36DC"/>
    <w:multiLevelType w:val="multilevel"/>
    <w:tmpl w:val="4EDD36DC"/>
    <w:lvl w:ilvl="0" w:tentative="0">
      <w:start w:val="1"/>
      <w:numFmt w:val="decimal"/>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599E07B7"/>
    <w:multiLevelType w:val="singleLevel"/>
    <w:tmpl w:val="599E07B7"/>
    <w:lvl w:ilvl="0" w:tentative="0">
      <w:start w:val="1"/>
      <w:numFmt w:val="bullet"/>
      <w:lvlText w:val=""/>
      <w:lvlJc w:val="left"/>
      <w:pPr>
        <w:ind w:left="420" w:hanging="42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4"/>
  <w:doNotHyphenateCaps/>
  <w:drawingGridHorizontalSpacing w:val="105"/>
  <w:drawingGridVerticalSpacing w:val="143"/>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useFELayout/>
    <w:compatSetting w:name="compatibilityMode" w:uri="http://schemas.microsoft.com/office/word" w:val="12"/>
  </w:compat>
  <w:docVars>
    <w:docVar w:name="commondata" w:val="eyJoZGlkIjoiMTUwNzJkNGMzYzg5OTI4ODFhYjZkOWFiMDA0NzMxNmUifQ=="/>
  </w:docVars>
  <w:rsids>
    <w:rsidRoot w:val="00844239"/>
    <w:rsid w:val="0000139C"/>
    <w:rsid w:val="00001541"/>
    <w:rsid w:val="00001CDF"/>
    <w:rsid w:val="000023D0"/>
    <w:rsid w:val="00002A23"/>
    <w:rsid w:val="00002B9C"/>
    <w:rsid w:val="0000351A"/>
    <w:rsid w:val="000039E0"/>
    <w:rsid w:val="00003D1A"/>
    <w:rsid w:val="00004727"/>
    <w:rsid w:val="00004874"/>
    <w:rsid w:val="00004EDE"/>
    <w:rsid w:val="00005ABB"/>
    <w:rsid w:val="00005DC2"/>
    <w:rsid w:val="00005EB8"/>
    <w:rsid w:val="00005F14"/>
    <w:rsid w:val="00007EE8"/>
    <w:rsid w:val="000114E4"/>
    <w:rsid w:val="00011FC0"/>
    <w:rsid w:val="000121AD"/>
    <w:rsid w:val="000122C6"/>
    <w:rsid w:val="000125F2"/>
    <w:rsid w:val="00012E94"/>
    <w:rsid w:val="00013934"/>
    <w:rsid w:val="00013937"/>
    <w:rsid w:val="00013B70"/>
    <w:rsid w:val="00013D8E"/>
    <w:rsid w:val="00013F3D"/>
    <w:rsid w:val="00015759"/>
    <w:rsid w:val="00016558"/>
    <w:rsid w:val="00016613"/>
    <w:rsid w:val="00016938"/>
    <w:rsid w:val="000174CD"/>
    <w:rsid w:val="00017614"/>
    <w:rsid w:val="000177E6"/>
    <w:rsid w:val="00017F7A"/>
    <w:rsid w:val="00017FDB"/>
    <w:rsid w:val="0002006F"/>
    <w:rsid w:val="000203E3"/>
    <w:rsid w:val="00021318"/>
    <w:rsid w:val="00021AF6"/>
    <w:rsid w:val="00021F35"/>
    <w:rsid w:val="00022278"/>
    <w:rsid w:val="0002260A"/>
    <w:rsid w:val="00022A62"/>
    <w:rsid w:val="00023BA8"/>
    <w:rsid w:val="00023DDD"/>
    <w:rsid w:val="00025445"/>
    <w:rsid w:val="00030480"/>
    <w:rsid w:val="000308E9"/>
    <w:rsid w:val="00030B6C"/>
    <w:rsid w:val="00032961"/>
    <w:rsid w:val="00032B57"/>
    <w:rsid w:val="00033165"/>
    <w:rsid w:val="0003335C"/>
    <w:rsid w:val="00034A28"/>
    <w:rsid w:val="0003573F"/>
    <w:rsid w:val="00035DF9"/>
    <w:rsid w:val="00035FA4"/>
    <w:rsid w:val="000367B5"/>
    <w:rsid w:val="00036AE7"/>
    <w:rsid w:val="00037045"/>
    <w:rsid w:val="000378AB"/>
    <w:rsid w:val="000378E2"/>
    <w:rsid w:val="0004004C"/>
    <w:rsid w:val="0004075D"/>
    <w:rsid w:val="0004081C"/>
    <w:rsid w:val="00040F6F"/>
    <w:rsid w:val="00041D60"/>
    <w:rsid w:val="0004214F"/>
    <w:rsid w:val="0004249A"/>
    <w:rsid w:val="00042A84"/>
    <w:rsid w:val="00042B87"/>
    <w:rsid w:val="00043EF3"/>
    <w:rsid w:val="00043F48"/>
    <w:rsid w:val="000444C8"/>
    <w:rsid w:val="000444FA"/>
    <w:rsid w:val="00044567"/>
    <w:rsid w:val="0004709C"/>
    <w:rsid w:val="000476F2"/>
    <w:rsid w:val="00047B3B"/>
    <w:rsid w:val="00047BE6"/>
    <w:rsid w:val="00050460"/>
    <w:rsid w:val="00050ED1"/>
    <w:rsid w:val="000522BC"/>
    <w:rsid w:val="00052FCD"/>
    <w:rsid w:val="00053E37"/>
    <w:rsid w:val="000541D1"/>
    <w:rsid w:val="00054220"/>
    <w:rsid w:val="0005472B"/>
    <w:rsid w:val="000547A5"/>
    <w:rsid w:val="00054C5B"/>
    <w:rsid w:val="00054DEB"/>
    <w:rsid w:val="00055226"/>
    <w:rsid w:val="00055C09"/>
    <w:rsid w:val="00057D9A"/>
    <w:rsid w:val="00060050"/>
    <w:rsid w:val="00061170"/>
    <w:rsid w:val="000627AE"/>
    <w:rsid w:val="00062DCB"/>
    <w:rsid w:val="000632D2"/>
    <w:rsid w:val="00063F6E"/>
    <w:rsid w:val="00064485"/>
    <w:rsid w:val="000649B4"/>
    <w:rsid w:val="00064B37"/>
    <w:rsid w:val="00064CB6"/>
    <w:rsid w:val="000664CF"/>
    <w:rsid w:val="00066582"/>
    <w:rsid w:val="00070A38"/>
    <w:rsid w:val="000721EE"/>
    <w:rsid w:val="0007257B"/>
    <w:rsid w:val="00073DF9"/>
    <w:rsid w:val="00073EFD"/>
    <w:rsid w:val="000753F4"/>
    <w:rsid w:val="00075E56"/>
    <w:rsid w:val="00076718"/>
    <w:rsid w:val="00076A9B"/>
    <w:rsid w:val="00076E00"/>
    <w:rsid w:val="00077402"/>
    <w:rsid w:val="000807E4"/>
    <w:rsid w:val="00081238"/>
    <w:rsid w:val="0008143A"/>
    <w:rsid w:val="00082DBD"/>
    <w:rsid w:val="00083243"/>
    <w:rsid w:val="00083A42"/>
    <w:rsid w:val="00083AA8"/>
    <w:rsid w:val="00083DC1"/>
    <w:rsid w:val="00084016"/>
    <w:rsid w:val="000841AF"/>
    <w:rsid w:val="0008439A"/>
    <w:rsid w:val="00084AE9"/>
    <w:rsid w:val="000852BE"/>
    <w:rsid w:val="00085443"/>
    <w:rsid w:val="00085EA4"/>
    <w:rsid w:val="00085F82"/>
    <w:rsid w:val="000860BD"/>
    <w:rsid w:val="00086675"/>
    <w:rsid w:val="000869E4"/>
    <w:rsid w:val="000879A3"/>
    <w:rsid w:val="00087A7D"/>
    <w:rsid w:val="000906FC"/>
    <w:rsid w:val="00091245"/>
    <w:rsid w:val="0009224F"/>
    <w:rsid w:val="00092284"/>
    <w:rsid w:val="000930C1"/>
    <w:rsid w:val="00093547"/>
    <w:rsid w:val="0009359F"/>
    <w:rsid w:val="00093FCD"/>
    <w:rsid w:val="00094679"/>
    <w:rsid w:val="00095128"/>
    <w:rsid w:val="00095473"/>
    <w:rsid w:val="0009594D"/>
    <w:rsid w:val="00096014"/>
    <w:rsid w:val="00096108"/>
    <w:rsid w:val="0009711A"/>
    <w:rsid w:val="00097594"/>
    <w:rsid w:val="000A0863"/>
    <w:rsid w:val="000A0903"/>
    <w:rsid w:val="000A0AC8"/>
    <w:rsid w:val="000A153B"/>
    <w:rsid w:val="000A1C9D"/>
    <w:rsid w:val="000A1E03"/>
    <w:rsid w:val="000A208B"/>
    <w:rsid w:val="000A2EBC"/>
    <w:rsid w:val="000A36C7"/>
    <w:rsid w:val="000A3751"/>
    <w:rsid w:val="000A3F94"/>
    <w:rsid w:val="000A6201"/>
    <w:rsid w:val="000A6EB4"/>
    <w:rsid w:val="000A766E"/>
    <w:rsid w:val="000A77A9"/>
    <w:rsid w:val="000B0395"/>
    <w:rsid w:val="000B073B"/>
    <w:rsid w:val="000B0AD6"/>
    <w:rsid w:val="000B0AF7"/>
    <w:rsid w:val="000B4252"/>
    <w:rsid w:val="000B43D9"/>
    <w:rsid w:val="000B459A"/>
    <w:rsid w:val="000B4A6D"/>
    <w:rsid w:val="000B5B8B"/>
    <w:rsid w:val="000B5BD9"/>
    <w:rsid w:val="000B5E88"/>
    <w:rsid w:val="000B60BD"/>
    <w:rsid w:val="000B69E2"/>
    <w:rsid w:val="000B6DF8"/>
    <w:rsid w:val="000B6E09"/>
    <w:rsid w:val="000B7F7C"/>
    <w:rsid w:val="000C0112"/>
    <w:rsid w:val="000C30F1"/>
    <w:rsid w:val="000C3721"/>
    <w:rsid w:val="000C40BC"/>
    <w:rsid w:val="000C4669"/>
    <w:rsid w:val="000C47EF"/>
    <w:rsid w:val="000C53B0"/>
    <w:rsid w:val="000C5431"/>
    <w:rsid w:val="000C54E7"/>
    <w:rsid w:val="000C558C"/>
    <w:rsid w:val="000C57FB"/>
    <w:rsid w:val="000C5911"/>
    <w:rsid w:val="000C5A4F"/>
    <w:rsid w:val="000C5DAA"/>
    <w:rsid w:val="000C5EA7"/>
    <w:rsid w:val="000C5F2E"/>
    <w:rsid w:val="000C6A54"/>
    <w:rsid w:val="000C6A7D"/>
    <w:rsid w:val="000C767C"/>
    <w:rsid w:val="000C7C28"/>
    <w:rsid w:val="000D044E"/>
    <w:rsid w:val="000D0543"/>
    <w:rsid w:val="000D0D0E"/>
    <w:rsid w:val="000D0F45"/>
    <w:rsid w:val="000D1E22"/>
    <w:rsid w:val="000D1E8C"/>
    <w:rsid w:val="000D29D7"/>
    <w:rsid w:val="000D3683"/>
    <w:rsid w:val="000D3A46"/>
    <w:rsid w:val="000D3A8D"/>
    <w:rsid w:val="000D4284"/>
    <w:rsid w:val="000D4A99"/>
    <w:rsid w:val="000D52A8"/>
    <w:rsid w:val="000D52E1"/>
    <w:rsid w:val="000D5A67"/>
    <w:rsid w:val="000D5AF2"/>
    <w:rsid w:val="000D6489"/>
    <w:rsid w:val="000D69A9"/>
    <w:rsid w:val="000D7712"/>
    <w:rsid w:val="000D77AD"/>
    <w:rsid w:val="000D7A45"/>
    <w:rsid w:val="000D7CC8"/>
    <w:rsid w:val="000E08F0"/>
    <w:rsid w:val="000E0D36"/>
    <w:rsid w:val="000E167A"/>
    <w:rsid w:val="000E167B"/>
    <w:rsid w:val="000E1855"/>
    <w:rsid w:val="000E1CCC"/>
    <w:rsid w:val="000E28F8"/>
    <w:rsid w:val="000E292A"/>
    <w:rsid w:val="000E2AA1"/>
    <w:rsid w:val="000E3261"/>
    <w:rsid w:val="000E34A7"/>
    <w:rsid w:val="000E3A14"/>
    <w:rsid w:val="000E424B"/>
    <w:rsid w:val="000E4EB5"/>
    <w:rsid w:val="000E555B"/>
    <w:rsid w:val="000E5C9D"/>
    <w:rsid w:val="000E60F0"/>
    <w:rsid w:val="000E663E"/>
    <w:rsid w:val="000E6962"/>
    <w:rsid w:val="000E6D13"/>
    <w:rsid w:val="000E74BF"/>
    <w:rsid w:val="000F1279"/>
    <w:rsid w:val="000F14A2"/>
    <w:rsid w:val="000F2208"/>
    <w:rsid w:val="000F2565"/>
    <w:rsid w:val="000F4579"/>
    <w:rsid w:val="000F584B"/>
    <w:rsid w:val="000F6B6B"/>
    <w:rsid w:val="000F7436"/>
    <w:rsid w:val="00100563"/>
    <w:rsid w:val="001016CA"/>
    <w:rsid w:val="001019AF"/>
    <w:rsid w:val="00101BD7"/>
    <w:rsid w:val="001022FC"/>
    <w:rsid w:val="00102530"/>
    <w:rsid w:val="001025D0"/>
    <w:rsid w:val="001027D6"/>
    <w:rsid w:val="0010282A"/>
    <w:rsid w:val="001033BF"/>
    <w:rsid w:val="0010402E"/>
    <w:rsid w:val="001054B5"/>
    <w:rsid w:val="001055B1"/>
    <w:rsid w:val="0010593E"/>
    <w:rsid w:val="00105EE4"/>
    <w:rsid w:val="00106531"/>
    <w:rsid w:val="00106E22"/>
    <w:rsid w:val="001074FA"/>
    <w:rsid w:val="00107F04"/>
    <w:rsid w:val="00111762"/>
    <w:rsid w:val="001120C3"/>
    <w:rsid w:val="001121AD"/>
    <w:rsid w:val="00112610"/>
    <w:rsid w:val="0011261F"/>
    <w:rsid w:val="00112949"/>
    <w:rsid w:val="00113354"/>
    <w:rsid w:val="001141D7"/>
    <w:rsid w:val="0011480A"/>
    <w:rsid w:val="00114CD8"/>
    <w:rsid w:val="00114DA6"/>
    <w:rsid w:val="00115704"/>
    <w:rsid w:val="00116678"/>
    <w:rsid w:val="001174E7"/>
    <w:rsid w:val="0012174E"/>
    <w:rsid w:val="00121F05"/>
    <w:rsid w:val="00123132"/>
    <w:rsid w:val="00123688"/>
    <w:rsid w:val="00124552"/>
    <w:rsid w:val="00125181"/>
    <w:rsid w:val="00125503"/>
    <w:rsid w:val="00125740"/>
    <w:rsid w:val="00125D18"/>
    <w:rsid w:val="00130218"/>
    <w:rsid w:val="001302D2"/>
    <w:rsid w:val="001315C3"/>
    <w:rsid w:val="001316D1"/>
    <w:rsid w:val="001326A3"/>
    <w:rsid w:val="001327A1"/>
    <w:rsid w:val="00132824"/>
    <w:rsid w:val="00132CD0"/>
    <w:rsid w:val="00133EF6"/>
    <w:rsid w:val="001341E6"/>
    <w:rsid w:val="0013435F"/>
    <w:rsid w:val="001344AF"/>
    <w:rsid w:val="00134E7D"/>
    <w:rsid w:val="00134F24"/>
    <w:rsid w:val="001355CD"/>
    <w:rsid w:val="00136855"/>
    <w:rsid w:val="00136CC8"/>
    <w:rsid w:val="001371D5"/>
    <w:rsid w:val="0014060A"/>
    <w:rsid w:val="001414C1"/>
    <w:rsid w:val="00141753"/>
    <w:rsid w:val="00141857"/>
    <w:rsid w:val="00141CF6"/>
    <w:rsid w:val="00141D35"/>
    <w:rsid w:val="0014233D"/>
    <w:rsid w:val="00142346"/>
    <w:rsid w:val="001423D7"/>
    <w:rsid w:val="0014244D"/>
    <w:rsid w:val="001424E3"/>
    <w:rsid w:val="0014257F"/>
    <w:rsid w:val="00142AC9"/>
    <w:rsid w:val="00143CFF"/>
    <w:rsid w:val="001446AE"/>
    <w:rsid w:val="00144A57"/>
    <w:rsid w:val="00144C7F"/>
    <w:rsid w:val="0014501F"/>
    <w:rsid w:val="0014519B"/>
    <w:rsid w:val="001461CA"/>
    <w:rsid w:val="00147363"/>
    <w:rsid w:val="00147CA5"/>
    <w:rsid w:val="00151204"/>
    <w:rsid w:val="00151C05"/>
    <w:rsid w:val="00151FF6"/>
    <w:rsid w:val="00152992"/>
    <w:rsid w:val="001531E1"/>
    <w:rsid w:val="00153625"/>
    <w:rsid w:val="00153B9C"/>
    <w:rsid w:val="00153CFF"/>
    <w:rsid w:val="001545F8"/>
    <w:rsid w:val="00154688"/>
    <w:rsid w:val="00155FD3"/>
    <w:rsid w:val="00156C36"/>
    <w:rsid w:val="001570C4"/>
    <w:rsid w:val="00157BBF"/>
    <w:rsid w:val="00160814"/>
    <w:rsid w:val="00160A85"/>
    <w:rsid w:val="001611C6"/>
    <w:rsid w:val="00163066"/>
    <w:rsid w:val="00163674"/>
    <w:rsid w:val="00163B18"/>
    <w:rsid w:val="00164348"/>
    <w:rsid w:val="00164E3C"/>
    <w:rsid w:val="00165120"/>
    <w:rsid w:val="00165227"/>
    <w:rsid w:val="00165300"/>
    <w:rsid w:val="001662E3"/>
    <w:rsid w:val="001669C4"/>
    <w:rsid w:val="00166B98"/>
    <w:rsid w:val="0016749A"/>
    <w:rsid w:val="00167A5A"/>
    <w:rsid w:val="00167DEA"/>
    <w:rsid w:val="0017031B"/>
    <w:rsid w:val="00171787"/>
    <w:rsid w:val="00171AEB"/>
    <w:rsid w:val="00172000"/>
    <w:rsid w:val="0017406E"/>
    <w:rsid w:val="00174207"/>
    <w:rsid w:val="001743A5"/>
    <w:rsid w:val="00174B02"/>
    <w:rsid w:val="00176915"/>
    <w:rsid w:val="001769A8"/>
    <w:rsid w:val="00176AC9"/>
    <w:rsid w:val="00176D6D"/>
    <w:rsid w:val="001770A5"/>
    <w:rsid w:val="0017715E"/>
    <w:rsid w:val="00180BCD"/>
    <w:rsid w:val="001815B7"/>
    <w:rsid w:val="00181E16"/>
    <w:rsid w:val="001823DA"/>
    <w:rsid w:val="00182A99"/>
    <w:rsid w:val="00185604"/>
    <w:rsid w:val="001857BD"/>
    <w:rsid w:val="001864C6"/>
    <w:rsid w:val="0018738B"/>
    <w:rsid w:val="00187A14"/>
    <w:rsid w:val="00187AED"/>
    <w:rsid w:val="00187D62"/>
    <w:rsid w:val="00191275"/>
    <w:rsid w:val="0019168A"/>
    <w:rsid w:val="00192F84"/>
    <w:rsid w:val="0019322D"/>
    <w:rsid w:val="001934D6"/>
    <w:rsid w:val="0019483E"/>
    <w:rsid w:val="00194959"/>
    <w:rsid w:val="00195421"/>
    <w:rsid w:val="00195867"/>
    <w:rsid w:val="00195AC3"/>
    <w:rsid w:val="00196DBA"/>
    <w:rsid w:val="00197440"/>
    <w:rsid w:val="00197779"/>
    <w:rsid w:val="001A0105"/>
    <w:rsid w:val="001A19AA"/>
    <w:rsid w:val="001A25B4"/>
    <w:rsid w:val="001A2822"/>
    <w:rsid w:val="001A2D00"/>
    <w:rsid w:val="001A2EB8"/>
    <w:rsid w:val="001A33BF"/>
    <w:rsid w:val="001A41B1"/>
    <w:rsid w:val="001A44F8"/>
    <w:rsid w:val="001A4756"/>
    <w:rsid w:val="001A6787"/>
    <w:rsid w:val="001A6BEA"/>
    <w:rsid w:val="001A7692"/>
    <w:rsid w:val="001A7AD8"/>
    <w:rsid w:val="001B0E54"/>
    <w:rsid w:val="001B3484"/>
    <w:rsid w:val="001B5B01"/>
    <w:rsid w:val="001B6730"/>
    <w:rsid w:val="001B761A"/>
    <w:rsid w:val="001B7990"/>
    <w:rsid w:val="001B7DA8"/>
    <w:rsid w:val="001C031D"/>
    <w:rsid w:val="001C0B11"/>
    <w:rsid w:val="001C0F29"/>
    <w:rsid w:val="001C12B1"/>
    <w:rsid w:val="001C149B"/>
    <w:rsid w:val="001C1C42"/>
    <w:rsid w:val="001C1F07"/>
    <w:rsid w:val="001C2BD8"/>
    <w:rsid w:val="001C2F6B"/>
    <w:rsid w:val="001C3229"/>
    <w:rsid w:val="001C3311"/>
    <w:rsid w:val="001C4558"/>
    <w:rsid w:val="001C477A"/>
    <w:rsid w:val="001C5D05"/>
    <w:rsid w:val="001C6A7E"/>
    <w:rsid w:val="001C6C8C"/>
    <w:rsid w:val="001C6DFA"/>
    <w:rsid w:val="001C74EF"/>
    <w:rsid w:val="001D1802"/>
    <w:rsid w:val="001D2174"/>
    <w:rsid w:val="001D344A"/>
    <w:rsid w:val="001D3D63"/>
    <w:rsid w:val="001D4825"/>
    <w:rsid w:val="001D5342"/>
    <w:rsid w:val="001D5AC0"/>
    <w:rsid w:val="001D5EED"/>
    <w:rsid w:val="001D6379"/>
    <w:rsid w:val="001D7C53"/>
    <w:rsid w:val="001E0215"/>
    <w:rsid w:val="001E0B3C"/>
    <w:rsid w:val="001E1228"/>
    <w:rsid w:val="001E2271"/>
    <w:rsid w:val="001E336A"/>
    <w:rsid w:val="001E5817"/>
    <w:rsid w:val="001E6D75"/>
    <w:rsid w:val="001E766F"/>
    <w:rsid w:val="001E7F91"/>
    <w:rsid w:val="001F13FD"/>
    <w:rsid w:val="001F14CC"/>
    <w:rsid w:val="001F1A0A"/>
    <w:rsid w:val="001F25F6"/>
    <w:rsid w:val="001F27A4"/>
    <w:rsid w:val="001F3AA5"/>
    <w:rsid w:val="001F42BD"/>
    <w:rsid w:val="001F4A9D"/>
    <w:rsid w:val="001F51B0"/>
    <w:rsid w:val="001F5503"/>
    <w:rsid w:val="001F5570"/>
    <w:rsid w:val="001F745B"/>
    <w:rsid w:val="001F7FD5"/>
    <w:rsid w:val="002004C5"/>
    <w:rsid w:val="00200AEF"/>
    <w:rsid w:val="00200B27"/>
    <w:rsid w:val="00200F4F"/>
    <w:rsid w:val="00201B12"/>
    <w:rsid w:val="0020295F"/>
    <w:rsid w:val="00203DF1"/>
    <w:rsid w:val="00203E7D"/>
    <w:rsid w:val="00203EF4"/>
    <w:rsid w:val="00204076"/>
    <w:rsid w:val="002046BF"/>
    <w:rsid w:val="002046D3"/>
    <w:rsid w:val="00204823"/>
    <w:rsid w:val="0020507D"/>
    <w:rsid w:val="002055C5"/>
    <w:rsid w:val="00205763"/>
    <w:rsid w:val="00205A4F"/>
    <w:rsid w:val="00205FC4"/>
    <w:rsid w:val="0020656A"/>
    <w:rsid w:val="00207035"/>
    <w:rsid w:val="00207158"/>
    <w:rsid w:val="0021088F"/>
    <w:rsid w:val="00210DBD"/>
    <w:rsid w:val="00212445"/>
    <w:rsid w:val="002130F6"/>
    <w:rsid w:val="00214732"/>
    <w:rsid w:val="0021499F"/>
    <w:rsid w:val="00214DE4"/>
    <w:rsid w:val="0021579A"/>
    <w:rsid w:val="0021585D"/>
    <w:rsid w:val="00216036"/>
    <w:rsid w:val="0021773C"/>
    <w:rsid w:val="002211AA"/>
    <w:rsid w:val="00221347"/>
    <w:rsid w:val="0022193D"/>
    <w:rsid w:val="0022202A"/>
    <w:rsid w:val="002223F5"/>
    <w:rsid w:val="002230C7"/>
    <w:rsid w:val="00223C07"/>
    <w:rsid w:val="00223F79"/>
    <w:rsid w:val="002255C9"/>
    <w:rsid w:val="002259FC"/>
    <w:rsid w:val="002265F5"/>
    <w:rsid w:val="00226AB6"/>
    <w:rsid w:val="002272C1"/>
    <w:rsid w:val="00227954"/>
    <w:rsid w:val="002314C9"/>
    <w:rsid w:val="002315EB"/>
    <w:rsid w:val="0023168F"/>
    <w:rsid w:val="00231F19"/>
    <w:rsid w:val="0023253E"/>
    <w:rsid w:val="00232FB9"/>
    <w:rsid w:val="00232FE0"/>
    <w:rsid w:val="0023402F"/>
    <w:rsid w:val="002340EC"/>
    <w:rsid w:val="002343B8"/>
    <w:rsid w:val="00234FAB"/>
    <w:rsid w:val="0023661F"/>
    <w:rsid w:val="00236875"/>
    <w:rsid w:val="00236DB4"/>
    <w:rsid w:val="002374BA"/>
    <w:rsid w:val="0023773C"/>
    <w:rsid w:val="00240DA9"/>
    <w:rsid w:val="00242161"/>
    <w:rsid w:val="002424BE"/>
    <w:rsid w:val="00242635"/>
    <w:rsid w:val="002433D4"/>
    <w:rsid w:val="00243CB1"/>
    <w:rsid w:val="00244827"/>
    <w:rsid w:val="002448BD"/>
    <w:rsid w:val="002448E8"/>
    <w:rsid w:val="00245597"/>
    <w:rsid w:val="00245CEC"/>
    <w:rsid w:val="00247AF2"/>
    <w:rsid w:val="002501B0"/>
    <w:rsid w:val="002503F3"/>
    <w:rsid w:val="0025079B"/>
    <w:rsid w:val="00250EA8"/>
    <w:rsid w:val="00250FB8"/>
    <w:rsid w:val="00251A38"/>
    <w:rsid w:val="00251C3C"/>
    <w:rsid w:val="0025207F"/>
    <w:rsid w:val="00252DF7"/>
    <w:rsid w:val="0025314C"/>
    <w:rsid w:val="00253F3E"/>
    <w:rsid w:val="0025442D"/>
    <w:rsid w:val="002546CF"/>
    <w:rsid w:val="00255B88"/>
    <w:rsid w:val="00256552"/>
    <w:rsid w:val="002566D0"/>
    <w:rsid w:val="00256993"/>
    <w:rsid w:val="00260CDD"/>
    <w:rsid w:val="00261573"/>
    <w:rsid w:val="00261CFF"/>
    <w:rsid w:val="00261F5E"/>
    <w:rsid w:val="002631DD"/>
    <w:rsid w:val="0026338C"/>
    <w:rsid w:val="002636D7"/>
    <w:rsid w:val="002653A2"/>
    <w:rsid w:val="00265626"/>
    <w:rsid w:val="00265C52"/>
    <w:rsid w:val="00265D5D"/>
    <w:rsid w:val="00265EE5"/>
    <w:rsid w:val="002702C6"/>
    <w:rsid w:val="0027109E"/>
    <w:rsid w:val="002717C6"/>
    <w:rsid w:val="0027554F"/>
    <w:rsid w:val="00275737"/>
    <w:rsid w:val="0027626F"/>
    <w:rsid w:val="002762AB"/>
    <w:rsid w:val="002766E4"/>
    <w:rsid w:val="00277F5F"/>
    <w:rsid w:val="00280631"/>
    <w:rsid w:val="0028088E"/>
    <w:rsid w:val="00280A99"/>
    <w:rsid w:val="00282C0B"/>
    <w:rsid w:val="00282EF8"/>
    <w:rsid w:val="0028307B"/>
    <w:rsid w:val="00283646"/>
    <w:rsid w:val="0028430C"/>
    <w:rsid w:val="00284D46"/>
    <w:rsid w:val="00285566"/>
    <w:rsid w:val="00286162"/>
    <w:rsid w:val="0028671B"/>
    <w:rsid w:val="00287A4E"/>
    <w:rsid w:val="00287D88"/>
    <w:rsid w:val="002905A4"/>
    <w:rsid w:val="002906AB"/>
    <w:rsid w:val="00290C82"/>
    <w:rsid w:val="002916C6"/>
    <w:rsid w:val="00291CF2"/>
    <w:rsid w:val="00292395"/>
    <w:rsid w:val="00293376"/>
    <w:rsid w:val="002940CF"/>
    <w:rsid w:val="0029412E"/>
    <w:rsid w:val="00294431"/>
    <w:rsid w:val="002946CA"/>
    <w:rsid w:val="00295672"/>
    <w:rsid w:val="002967B3"/>
    <w:rsid w:val="00296C1B"/>
    <w:rsid w:val="002973B2"/>
    <w:rsid w:val="002A0D26"/>
    <w:rsid w:val="002A2D21"/>
    <w:rsid w:val="002A356B"/>
    <w:rsid w:val="002A35C6"/>
    <w:rsid w:val="002A3676"/>
    <w:rsid w:val="002A3C2E"/>
    <w:rsid w:val="002A3DA7"/>
    <w:rsid w:val="002A4406"/>
    <w:rsid w:val="002A443A"/>
    <w:rsid w:val="002A4477"/>
    <w:rsid w:val="002A4C35"/>
    <w:rsid w:val="002A52DE"/>
    <w:rsid w:val="002A60C8"/>
    <w:rsid w:val="002A6E16"/>
    <w:rsid w:val="002A79DD"/>
    <w:rsid w:val="002A7F6D"/>
    <w:rsid w:val="002B064E"/>
    <w:rsid w:val="002B1063"/>
    <w:rsid w:val="002B1481"/>
    <w:rsid w:val="002B1EF6"/>
    <w:rsid w:val="002B1F94"/>
    <w:rsid w:val="002B1FA9"/>
    <w:rsid w:val="002B2212"/>
    <w:rsid w:val="002B23D2"/>
    <w:rsid w:val="002B2B38"/>
    <w:rsid w:val="002B2BE5"/>
    <w:rsid w:val="002B3197"/>
    <w:rsid w:val="002B3833"/>
    <w:rsid w:val="002B3A22"/>
    <w:rsid w:val="002B4D9E"/>
    <w:rsid w:val="002B55F7"/>
    <w:rsid w:val="002B58AE"/>
    <w:rsid w:val="002B61E7"/>
    <w:rsid w:val="002B6A0D"/>
    <w:rsid w:val="002B7829"/>
    <w:rsid w:val="002C12D5"/>
    <w:rsid w:val="002C134C"/>
    <w:rsid w:val="002C24EE"/>
    <w:rsid w:val="002C3535"/>
    <w:rsid w:val="002C383F"/>
    <w:rsid w:val="002C4957"/>
    <w:rsid w:val="002C5717"/>
    <w:rsid w:val="002C6BC3"/>
    <w:rsid w:val="002C6CD6"/>
    <w:rsid w:val="002C7BCA"/>
    <w:rsid w:val="002D1A23"/>
    <w:rsid w:val="002D1CB1"/>
    <w:rsid w:val="002D1FC2"/>
    <w:rsid w:val="002D3869"/>
    <w:rsid w:val="002D485C"/>
    <w:rsid w:val="002D58D6"/>
    <w:rsid w:val="002D706E"/>
    <w:rsid w:val="002D731B"/>
    <w:rsid w:val="002D7486"/>
    <w:rsid w:val="002D7E71"/>
    <w:rsid w:val="002E00B6"/>
    <w:rsid w:val="002E0894"/>
    <w:rsid w:val="002E1A1D"/>
    <w:rsid w:val="002E2865"/>
    <w:rsid w:val="002E2FFA"/>
    <w:rsid w:val="002E3101"/>
    <w:rsid w:val="002E3177"/>
    <w:rsid w:val="002E3452"/>
    <w:rsid w:val="002E3EE4"/>
    <w:rsid w:val="002E57F8"/>
    <w:rsid w:val="002E58A3"/>
    <w:rsid w:val="002E5C8B"/>
    <w:rsid w:val="002E6290"/>
    <w:rsid w:val="002E6772"/>
    <w:rsid w:val="002E6E09"/>
    <w:rsid w:val="002E6E58"/>
    <w:rsid w:val="002E6EE8"/>
    <w:rsid w:val="002E7EB6"/>
    <w:rsid w:val="002F00C8"/>
    <w:rsid w:val="002F00D2"/>
    <w:rsid w:val="002F0B98"/>
    <w:rsid w:val="002F0D4A"/>
    <w:rsid w:val="002F0D6D"/>
    <w:rsid w:val="002F0ECF"/>
    <w:rsid w:val="002F0EDC"/>
    <w:rsid w:val="002F168A"/>
    <w:rsid w:val="002F1C1F"/>
    <w:rsid w:val="002F32B8"/>
    <w:rsid w:val="002F347A"/>
    <w:rsid w:val="002F49F4"/>
    <w:rsid w:val="002F5AAE"/>
    <w:rsid w:val="002F5B38"/>
    <w:rsid w:val="002F5D99"/>
    <w:rsid w:val="002F6261"/>
    <w:rsid w:val="002F6F2D"/>
    <w:rsid w:val="002F6FCA"/>
    <w:rsid w:val="00300667"/>
    <w:rsid w:val="003008E6"/>
    <w:rsid w:val="00300F3F"/>
    <w:rsid w:val="00301433"/>
    <w:rsid w:val="00301904"/>
    <w:rsid w:val="00301A14"/>
    <w:rsid w:val="00302312"/>
    <w:rsid w:val="00302710"/>
    <w:rsid w:val="003028B0"/>
    <w:rsid w:val="00302A21"/>
    <w:rsid w:val="00303511"/>
    <w:rsid w:val="0030415B"/>
    <w:rsid w:val="003042CE"/>
    <w:rsid w:val="0030697E"/>
    <w:rsid w:val="003069E1"/>
    <w:rsid w:val="00306F8B"/>
    <w:rsid w:val="00307CB9"/>
    <w:rsid w:val="00307FA7"/>
    <w:rsid w:val="003112BF"/>
    <w:rsid w:val="00311319"/>
    <w:rsid w:val="00311822"/>
    <w:rsid w:val="00311883"/>
    <w:rsid w:val="00311AC3"/>
    <w:rsid w:val="00311C35"/>
    <w:rsid w:val="003127C0"/>
    <w:rsid w:val="00312C88"/>
    <w:rsid w:val="0031373C"/>
    <w:rsid w:val="00313AAA"/>
    <w:rsid w:val="00314015"/>
    <w:rsid w:val="00314438"/>
    <w:rsid w:val="00315FDE"/>
    <w:rsid w:val="00316558"/>
    <w:rsid w:val="00316C2E"/>
    <w:rsid w:val="00316CD0"/>
    <w:rsid w:val="003173F7"/>
    <w:rsid w:val="0032016B"/>
    <w:rsid w:val="00322C3C"/>
    <w:rsid w:val="00322DF9"/>
    <w:rsid w:val="003232B5"/>
    <w:rsid w:val="00324602"/>
    <w:rsid w:val="00324733"/>
    <w:rsid w:val="0032487D"/>
    <w:rsid w:val="003248EF"/>
    <w:rsid w:val="00324BAC"/>
    <w:rsid w:val="00324CA1"/>
    <w:rsid w:val="00326372"/>
    <w:rsid w:val="003265F9"/>
    <w:rsid w:val="003266B7"/>
    <w:rsid w:val="0032688A"/>
    <w:rsid w:val="00326DAF"/>
    <w:rsid w:val="00326EF6"/>
    <w:rsid w:val="00327305"/>
    <w:rsid w:val="0033037B"/>
    <w:rsid w:val="003303DC"/>
    <w:rsid w:val="00330AB2"/>
    <w:rsid w:val="00330EF5"/>
    <w:rsid w:val="003312CC"/>
    <w:rsid w:val="00331530"/>
    <w:rsid w:val="0033173A"/>
    <w:rsid w:val="00331FE4"/>
    <w:rsid w:val="00332121"/>
    <w:rsid w:val="00332148"/>
    <w:rsid w:val="0033294B"/>
    <w:rsid w:val="003329C0"/>
    <w:rsid w:val="00332A30"/>
    <w:rsid w:val="00332CDE"/>
    <w:rsid w:val="0033344D"/>
    <w:rsid w:val="003339EE"/>
    <w:rsid w:val="00334247"/>
    <w:rsid w:val="0033466C"/>
    <w:rsid w:val="003354B6"/>
    <w:rsid w:val="00335758"/>
    <w:rsid w:val="00335ADD"/>
    <w:rsid w:val="00335F27"/>
    <w:rsid w:val="003361AF"/>
    <w:rsid w:val="00336EC9"/>
    <w:rsid w:val="00340262"/>
    <w:rsid w:val="00340ABF"/>
    <w:rsid w:val="00340BA8"/>
    <w:rsid w:val="00342398"/>
    <w:rsid w:val="003425BE"/>
    <w:rsid w:val="00342EAE"/>
    <w:rsid w:val="003434F2"/>
    <w:rsid w:val="0034351A"/>
    <w:rsid w:val="00343DA0"/>
    <w:rsid w:val="00344658"/>
    <w:rsid w:val="00345166"/>
    <w:rsid w:val="00345863"/>
    <w:rsid w:val="00345ED0"/>
    <w:rsid w:val="00346091"/>
    <w:rsid w:val="003468AD"/>
    <w:rsid w:val="00347A26"/>
    <w:rsid w:val="00347AD4"/>
    <w:rsid w:val="00347B56"/>
    <w:rsid w:val="00350A0E"/>
    <w:rsid w:val="00350BA2"/>
    <w:rsid w:val="00350FBE"/>
    <w:rsid w:val="00351280"/>
    <w:rsid w:val="0035227F"/>
    <w:rsid w:val="00352996"/>
    <w:rsid w:val="00352ACD"/>
    <w:rsid w:val="00352CEA"/>
    <w:rsid w:val="003538C7"/>
    <w:rsid w:val="00353A6B"/>
    <w:rsid w:val="00354234"/>
    <w:rsid w:val="0035426F"/>
    <w:rsid w:val="003542D0"/>
    <w:rsid w:val="00354474"/>
    <w:rsid w:val="0035490D"/>
    <w:rsid w:val="00354B7A"/>
    <w:rsid w:val="00354D92"/>
    <w:rsid w:val="003566D0"/>
    <w:rsid w:val="00356B63"/>
    <w:rsid w:val="00357A27"/>
    <w:rsid w:val="00357C88"/>
    <w:rsid w:val="00361676"/>
    <w:rsid w:val="00362131"/>
    <w:rsid w:val="00362251"/>
    <w:rsid w:val="00363692"/>
    <w:rsid w:val="00363A99"/>
    <w:rsid w:val="00364206"/>
    <w:rsid w:val="0036525A"/>
    <w:rsid w:val="003652C9"/>
    <w:rsid w:val="0036595E"/>
    <w:rsid w:val="00365D4A"/>
    <w:rsid w:val="003672BC"/>
    <w:rsid w:val="00370982"/>
    <w:rsid w:val="00370BEC"/>
    <w:rsid w:val="003721F8"/>
    <w:rsid w:val="00372DBE"/>
    <w:rsid w:val="00372E6A"/>
    <w:rsid w:val="00373AEE"/>
    <w:rsid w:val="00373F6D"/>
    <w:rsid w:val="003744B1"/>
    <w:rsid w:val="00376429"/>
    <w:rsid w:val="003765A6"/>
    <w:rsid w:val="00376A8B"/>
    <w:rsid w:val="0038006C"/>
    <w:rsid w:val="003808B2"/>
    <w:rsid w:val="00382768"/>
    <w:rsid w:val="00382AB8"/>
    <w:rsid w:val="00382D7E"/>
    <w:rsid w:val="0038331A"/>
    <w:rsid w:val="003833DF"/>
    <w:rsid w:val="0038367E"/>
    <w:rsid w:val="00383939"/>
    <w:rsid w:val="00383FF2"/>
    <w:rsid w:val="00384A4F"/>
    <w:rsid w:val="0038524B"/>
    <w:rsid w:val="00385612"/>
    <w:rsid w:val="00385F15"/>
    <w:rsid w:val="00386C92"/>
    <w:rsid w:val="00386DDB"/>
    <w:rsid w:val="00387B48"/>
    <w:rsid w:val="003902DA"/>
    <w:rsid w:val="003908B7"/>
    <w:rsid w:val="00390FB7"/>
    <w:rsid w:val="00391126"/>
    <w:rsid w:val="00391869"/>
    <w:rsid w:val="00392328"/>
    <w:rsid w:val="003927B5"/>
    <w:rsid w:val="00392C16"/>
    <w:rsid w:val="00393426"/>
    <w:rsid w:val="003938EB"/>
    <w:rsid w:val="00394058"/>
    <w:rsid w:val="00394108"/>
    <w:rsid w:val="00394146"/>
    <w:rsid w:val="00394C60"/>
    <w:rsid w:val="00395C7B"/>
    <w:rsid w:val="00395FAA"/>
    <w:rsid w:val="003969F9"/>
    <w:rsid w:val="00396B77"/>
    <w:rsid w:val="0039713A"/>
    <w:rsid w:val="00397245"/>
    <w:rsid w:val="00397498"/>
    <w:rsid w:val="003A02E2"/>
    <w:rsid w:val="003A0AB1"/>
    <w:rsid w:val="003A113B"/>
    <w:rsid w:val="003A1760"/>
    <w:rsid w:val="003A29AE"/>
    <w:rsid w:val="003A29B5"/>
    <w:rsid w:val="003A2C8E"/>
    <w:rsid w:val="003A2EB6"/>
    <w:rsid w:val="003A47BD"/>
    <w:rsid w:val="003A4936"/>
    <w:rsid w:val="003A4E84"/>
    <w:rsid w:val="003A5A7B"/>
    <w:rsid w:val="003A5C58"/>
    <w:rsid w:val="003A5E0C"/>
    <w:rsid w:val="003A63EE"/>
    <w:rsid w:val="003A72B0"/>
    <w:rsid w:val="003B09A2"/>
    <w:rsid w:val="003B16FC"/>
    <w:rsid w:val="003B1C2D"/>
    <w:rsid w:val="003B375A"/>
    <w:rsid w:val="003B4825"/>
    <w:rsid w:val="003B5910"/>
    <w:rsid w:val="003B5A96"/>
    <w:rsid w:val="003B5B1B"/>
    <w:rsid w:val="003B6B84"/>
    <w:rsid w:val="003B756D"/>
    <w:rsid w:val="003B7E43"/>
    <w:rsid w:val="003C0A87"/>
    <w:rsid w:val="003C0B0C"/>
    <w:rsid w:val="003C0B5E"/>
    <w:rsid w:val="003C1016"/>
    <w:rsid w:val="003C1BD2"/>
    <w:rsid w:val="003C27EA"/>
    <w:rsid w:val="003C2CD1"/>
    <w:rsid w:val="003C2DBE"/>
    <w:rsid w:val="003C30A3"/>
    <w:rsid w:val="003C3ABE"/>
    <w:rsid w:val="003C3CB9"/>
    <w:rsid w:val="003C4BF4"/>
    <w:rsid w:val="003C525D"/>
    <w:rsid w:val="003C54AF"/>
    <w:rsid w:val="003C5D38"/>
    <w:rsid w:val="003C6E1F"/>
    <w:rsid w:val="003C79D7"/>
    <w:rsid w:val="003C7A34"/>
    <w:rsid w:val="003C7E15"/>
    <w:rsid w:val="003C7F30"/>
    <w:rsid w:val="003D01FB"/>
    <w:rsid w:val="003D074F"/>
    <w:rsid w:val="003D0767"/>
    <w:rsid w:val="003D11AC"/>
    <w:rsid w:val="003D2576"/>
    <w:rsid w:val="003D318B"/>
    <w:rsid w:val="003D3E7A"/>
    <w:rsid w:val="003D4872"/>
    <w:rsid w:val="003D5746"/>
    <w:rsid w:val="003D5D7B"/>
    <w:rsid w:val="003D5DF4"/>
    <w:rsid w:val="003D671A"/>
    <w:rsid w:val="003D6C2D"/>
    <w:rsid w:val="003D6D32"/>
    <w:rsid w:val="003D7394"/>
    <w:rsid w:val="003D73F3"/>
    <w:rsid w:val="003D7B48"/>
    <w:rsid w:val="003D7CAA"/>
    <w:rsid w:val="003E0292"/>
    <w:rsid w:val="003E0431"/>
    <w:rsid w:val="003E05A9"/>
    <w:rsid w:val="003E0A49"/>
    <w:rsid w:val="003E0F1D"/>
    <w:rsid w:val="003E1205"/>
    <w:rsid w:val="003E21A8"/>
    <w:rsid w:val="003E2E25"/>
    <w:rsid w:val="003E2F67"/>
    <w:rsid w:val="003E340F"/>
    <w:rsid w:val="003E4438"/>
    <w:rsid w:val="003E55D1"/>
    <w:rsid w:val="003E561A"/>
    <w:rsid w:val="003E570C"/>
    <w:rsid w:val="003E5E34"/>
    <w:rsid w:val="003E6D31"/>
    <w:rsid w:val="003E7759"/>
    <w:rsid w:val="003E7913"/>
    <w:rsid w:val="003F0E71"/>
    <w:rsid w:val="003F158B"/>
    <w:rsid w:val="003F1AD0"/>
    <w:rsid w:val="003F2635"/>
    <w:rsid w:val="003F3E20"/>
    <w:rsid w:val="003F3FED"/>
    <w:rsid w:val="003F48DA"/>
    <w:rsid w:val="003F50F3"/>
    <w:rsid w:val="003F51E0"/>
    <w:rsid w:val="003F5A47"/>
    <w:rsid w:val="003F5B66"/>
    <w:rsid w:val="003F5E03"/>
    <w:rsid w:val="003F614B"/>
    <w:rsid w:val="003F62E3"/>
    <w:rsid w:val="003F6971"/>
    <w:rsid w:val="003F75B1"/>
    <w:rsid w:val="00400BEA"/>
    <w:rsid w:val="00400E4F"/>
    <w:rsid w:val="00401B09"/>
    <w:rsid w:val="00402E9D"/>
    <w:rsid w:val="00402FD9"/>
    <w:rsid w:val="004042A0"/>
    <w:rsid w:val="004047F7"/>
    <w:rsid w:val="00404A0A"/>
    <w:rsid w:val="00405F8B"/>
    <w:rsid w:val="004062A5"/>
    <w:rsid w:val="00407355"/>
    <w:rsid w:val="004076A5"/>
    <w:rsid w:val="004100D8"/>
    <w:rsid w:val="00410108"/>
    <w:rsid w:val="004109D4"/>
    <w:rsid w:val="00413827"/>
    <w:rsid w:val="00413FE2"/>
    <w:rsid w:val="00414015"/>
    <w:rsid w:val="00414816"/>
    <w:rsid w:val="00414E8E"/>
    <w:rsid w:val="00414EF7"/>
    <w:rsid w:val="00415342"/>
    <w:rsid w:val="004154B9"/>
    <w:rsid w:val="00415AE5"/>
    <w:rsid w:val="00415BD6"/>
    <w:rsid w:val="004163D0"/>
    <w:rsid w:val="00416A7A"/>
    <w:rsid w:val="00416EBE"/>
    <w:rsid w:val="0041793A"/>
    <w:rsid w:val="004205F5"/>
    <w:rsid w:val="00420BE5"/>
    <w:rsid w:val="00420F7C"/>
    <w:rsid w:val="00422048"/>
    <w:rsid w:val="00422842"/>
    <w:rsid w:val="00422E7D"/>
    <w:rsid w:val="0042374C"/>
    <w:rsid w:val="00423CFD"/>
    <w:rsid w:val="00424360"/>
    <w:rsid w:val="0042775B"/>
    <w:rsid w:val="00427962"/>
    <w:rsid w:val="00430F6F"/>
    <w:rsid w:val="004310A5"/>
    <w:rsid w:val="0043128A"/>
    <w:rsid w:val="00431E3A"/>
    <w:rsid w:val="00432DE2"/>
    <w:rsid w:val="00433AC2"/>
    <w:rsid w:val="00433E5C"/>
    <w:rsid w:val="00435766"/>
    <w:rsid w:val="004357CF"/>
    <w:rsid w:val="00436924"/>
    <w:rsid w:val="00436BB3"/>
    <w:rsid w:val="00437413"/>
    <w:rsid w:val="00441CCC"/>
    <w:rsid w:val="004433C0"/>
    <w:rsid w:val="0044389F"/>
    <w:rsid w:val="00446053"/>
    <w:rsid w:val="00446530"/>
    <w:rsid w:val="004469EC"/>
    <w:rsid w:val="00446FEC"/>
    <w:rsid w:val="0045074B"/>
    <w:rsid w:val="0045081F"/>
    <w:rsid w:val="00451246"/>
    <w:rsid w:val="004514EC"/>
    <w:rsid w:val="004519B8"/>
    <w:rsid w:val="00451CAD"/>
    <w:rsid w:val="004522DA"/>
    <w:rsid w:val="00452437"/>
    <w:rsid w:val="00452811"/>
    <w:rsid w:val="00452F0D"/>
    <w:rsid w:val="00453597"/>
    <w:rsid w:val="0045376F"/>
    <w:rsid w:val="00453BF3"/>
    <w:rsid w:val="00454532"/>
    <w:rsid w:val="00454740"/>
    <w:rsid w:val="00454E38"/>
    <w:rsid w:val="00455129"/>
    <w:rsid w:val="00455946"/>
    <w:rsid w:val="0045712A"/>
    <w:rsid w:val="004577B1"/>
    <w:rsid w:val="00460B5A"/>
    <w:rsid w:val="0046121A"/>
    <w:rsid w:val="004616E4"/>
    <w:rsid w:val="004618BF"/>
    <w:rsid w:val="004621BF"/>
    <w:rsid w:val="00462757"/>
    <w:rsid w:val="00462B07"/>
    <w:rsid w:val="004643FF"/>
    <w:rsid w:val="00464523"/>
    <w:rsid w:val="00464E84"/>
    <w:rsid w:val="00467483"/>
    <w:rsid w:val="00470E71"/>
    <w:rsid w:val="004710BE"/>
    <w:rsid w:val="0047164F"/>
    <w:rsid w:val="00471C21"/>
    <w:rsid w:val="00471C74"/>
    <w:rsid w:val="00471C98"/>
    <w:rsid w:val="004724E3"/>
    <w:rsid w:val="004724E8"/>
    <w:rsid w:val="004734CA"/>
    <w:rsid w:val="00473667"/>
    <w:rsid w:val="004741D6"/>
    <w:rsid w:val="00474ABB"/>
    <w:rsid w:val="00475008"/>
    <w:rsid w:val="00475100"/>
    <w:rsid w:val="004757EB"/>
    <w:rsid w:val="00476110"/>
    <w:rsid w:val="0047613D"/>
    <w:rsid w:val="0047673B"/>
    <w:rsid w:val="00476C17"/>
    <w:rsid w:val="00477225"/>
    <w:rsid w:val="00477686"/>
    <w:rsid w:val="00481949"/>
    <w:rsid w:val="00483257"/>
    <w:rsid w:val="004839D2"/>
    <w:rsid w:val="00483B26"/>
    <w:rsid w:val="00484455"/>
    <w:rsid w:val="00484927"/>
    <w:rsid w:val="00484C7D"/>
    <w:rsid w:val="004851C8"/>
    <w:rsid w:val="004857F1"/>
    <w:rsid w:val="0048583E"/>
    <w:rsid w:val="00485DFF"/>
    <w:rsid w:val="00486043"/>
    <w:rsid w:val="00486315"/>
    <w:rsid w:val="0048660E"/>
    <w:rsid w:val="00487D81"/>
    <w:rsid w:val="004900EB"/>
    <w:rsid w:val="00490542"/>
    <w:rsid w:val="00490DE2"/>
    <w:rsid w:val="0049110A"/>
    <w:rsid w:val="00491BE2"/>
    <w:rsid w:val="00492A5E"/>
    <w:rsid w:val="00492C75"/>
    <w:rsid w:val="00493681"/>
    <w:rsid w:val="00493E72"/>
    <w:rsid w:val="004955B0"/>
    <w:rsid w:val="00496867"/>
    <w:rsid w:val="00497648"/>
    <w:rsid w:val="00497F2B"/>
    <w:rsid w:val="00497F56"/>
    <w:rsid w:val="004A023F"/>
    <w:rsid w:val="004A09BE"/>
    <w:rsid w:val="004A1267"/>
    <w:rsid w:val="004A1C7A"/>
    <w:rsid w:val="004A2192"/>
    <w:rsid w:val="004A22AE"/>
    <w:rsid w:val="004A289E"/>
    <w:rsid w:val="004A3115"/>
    <w:rsid w:val="004A36DF"/>
    <w:rsid w:val="004A38A0"/>
    <w:rsid w:val="004A3D94"/>
    <w:rsid w:val="004A4201"/>
    <w:rsid w:val="004A4405"/>
    <w:rsid w:val="004A4B13"/>
    <w:rsid w:val="004A57F6"/>
    <w:rsid w:val="004A66C0"/>
    <w:rsid w:val="004A7FC0"/>
    <w:rsid w:val="004B02D2"/>
    <w:rsid w:val="004B098F"/>
    <w:rsid w:val="004B09CE"/>
    <w:rsid w:val="004B14DA"/>
    <w:rsid w:val="004B1526"/>
    <w:rsid w:val="004B1AF5"/>
    <w:rsid w:val="004B3A20"/>
    <w:rsid w:val="004B3B0B"/>
    <w:rsid w:val="004B3BC4"/>
    <w:rsid w:val="004B3BF1"/>
    <w:rsid w:val="004B48B8"/>
    <w:rsid w:val="004B4EDF"/>
    <w:rsid w:val="004B5016"/>
    <w:rsid w:val="004B50AF"/>
    <w:rsid w:val="004B5E87"/>
    <w:rsid w:val="004B5F30"/>
    <w:rsid w:val="004B7283"/>
    <w:rsid w:val="004B7415"/>
    <w:rsid w:val="004B74BE"/>
    <w:rsid w:val="004B74EC"/>
    <w:rsid w:val="004C09C4"/>
    <w:rsid w:val="004C11F7"/>
    <w:rsid w:val="004C15D6"/>
    <w:rsid w:val="004C1A02"/>
    <w:rsid w:val="004C1CF7"/>
    <w:rsid w:val="004C1EE0"/>
    <w:rsid w:val="004C2324"/>
    <w:rsid w:val="004C262A"/>
    <w:rsid w:val="004C29D1"/>
    <w:rsid w:val="004C2D87"/>
    <w:rsid w:val="004C3300"/>
    <w:rsid w:val="004C35DC"/>
    <w:rsid w:val="004C3C99"/>
    <w:rsid w:val="004C4033"/>
    <w:rsid w:val="004C406C"/>
    <w:rsid w:val="004C413B"/>
    <w:rsid w:val="004C431B"/>
    <w:rsid w:val="004C452F"/>
    <w:rsid w:val="004C50B5"/>
    <w:rsid w:val="004C5759"/>
    <w:rsid w:val="004C5898"/>
    <w:rsid w:val="004C69AD"/>
    <w:rsid w:val="004C6F1E"/>
    <w:rsid w:val="004C754E"/>
    <w:rsid w:val="004D03A3"/>
    <w:rsid w:val="004D0AB9"/>
    <w:rsid w:val="004D0C70"/>
    <w:rsid w:val="004D115A"/>
    <w:rsid w:val="004D1830"/>
    <w:rsid w:val="004D1C64"/>
    <w:rsid w:val="004D28D3"/>
    <w:rsid w:val="004D2ABA"/>
    <w:rsid w:val="004D3866"/>
    <w:rsid w:val="004D41E3"/>
    <w:rsid w:val="004D424E"/>
    <w:rsid w:val="004D4CD4"/>
    <w:rsid w:val="004D5BE1"/>
    <w:rsid w:val="004D61B9"/>
    <w:rsid w:val="004D626D"/>
    <w:rsid w:val="004D652C"/>
    <w:rsid w:val="004D66C3"/>
    <w:rsid w:val="004D77DE"/>
    <w:rsid w:val="004D7ADD"/>
    <w:rsid w:val="004D7EAA"/>
    <w:rsid w:val="004E03D1"/>
    <w:rsid w:val="004E0468"/>
    <w:rsid w:val="004E2CA4"/>
    <w:rsid w:val="004E327A"/>
    <w:rsid w:val="004E39AE"/>
    <w:rsid w:val="004E4439"/>
    <w:rsid w:val="004E4717"/>
    <w:rsid w:val="004E5666"/>
    <w:rsid w:val="004E6549"/>
    <w:rsid w:val="004E6E3C"/>
    <w:rsid w:val="004F0C6A"/>
    <w:rsid w:val="004F14A7"/>
    <w:rsid w:val="004F1859"/>
    <w:rsid w:val="004F1F83"/>
    <w:rsid w:val="004F2145"/>
    <w:rsid w:val="004F2E35"/>
    <w:rsid w:val="004F31E9"/>
    <w:rsid w:val="004F3F11"/>
    <w:rsid w:val="004F4843"/>
    <w:rsid w:val="004F4AA2"/>
    <w:rsid w:val="004F604E"/>
    <w:rsid w:val="004F6453"/>
    <w:rsid w:val="004F7057"/>
    <w:rsid w:val="004F7258"/>
    <w:rsid w:val="005001F8"/>
    <w:rsid w:val="00500ED3"/>
    <w:rsid w:val="0050175A"/>
    <w:rsid w:val="00501AF5"/>
    <w:rsid w:val="00502828"/>
    <w:rsid w:val="00503777"/>
    <w:rsid w:val="00503853"/>
    <w:rsid w:val="00504375"/>
    <w:rsid w:val="005045EA"/>
    <w:rsid w:val="0050549E"/>
    <w:rsid w:val="00505820"/>
    <w:rsid w:val="00505AD5"/>
    <w:rsid w:val="00505B7C"/>
    <w:rsid w:val="00506A39"/>
    <w:rsid w:val="00506AE8"/>
    <w:rsid w:val="00507DEE"/>
    <w:rsid w:val="005100FD"/>
    <w:rsid w:val="0051020C"/>
    <w:rsid w:val="00510A97"/>
    <w:rsid w:val="005111E4"/>
    <w:rsid w:val="0051148B"/>
    <w:rsid w:val="00511768"/>
    <w:rsid w:val="005130A1"/>
    <w:rsid w:val="00514023"/>
    <w:rsid w:val="00514D4F"/>
    <w:rsid w:val="00514E1B"/>
    <w:rsid w:val="00514F86"/>
    <w:rsid w:val="00517826"/>
    <w:rsid w:val="00517BE0"/>
    <w:rsid w:val="00520A51"/>
    <w:rsid w:val="0052112B"/>
    <w:rsid w:val="0052151E"/>
    <w:rsid w:val="00521947"/>
    <w:rsid w:val="0052203D"/>
    <w:rsid w:val="00522C42"/>
    <w:rsid w:val="00522F42"/>
    <w:rsid w:val="00523A4F"/>
    <w:rsid w:val="00524E6C"/>
    <w:rsid w:val="005250EA"/>
    <w:rsid w:val="00525A5E"/>
    <w:rsid w:val="00526157"/>
    <w:rsid w:val="005273C5"/>
    <w:rsid w:val="00527F80"/>
    <w:rsid w:val="00531006"/>
    <w:rsid w:val="005313BC"/>
    <w:rsid w:val="00532312"/>
    <w:rsid w:val="00532F43"/>
    <w:rsid w:val="00533813"/>
    <w:rsid w:val="00533D4B"/>
    <w:rsid w:val="00534B02"/>
    <w:rsid w:val="00534FF2"/>
    <w:rsid w:val="00535D98"/>
    <w:rsid w:val="005360B8"/>
    <w:rsid w:val="005361CB"/>
    <w:rsid w:val="005367F5"/>
    <w:rsid w:val="0053746F"/>
    <w:rsid w:val="00537910"/>
    <w:rsid w:val="005409E0"/>
    <w:rsid w:val="00541275"/>
    <w:rsid w:val="005426F6"/>
    <w:rsid w:val="00542EDE"/>
    <w:rsid w:val="0054378F"/>
    <w:rsid w:val="00543BD9"/>
    <w:rsid w:val="00543CEE"/>
    <w:rsid w:val="00543E8C"/>
    <w:rsid w:val="00544031"/>
    <w:rsid w:val="005442D8"/>
    <w:rsid w:val="00544E1A"/>
    <w:rsid w:val="005455C4"/>
    <w:rsid w:val="00545B93"/>
    <w:rsid w:val="00545EE6"/>
    <w:rsid w:val="00545F7C"/>
    <w:rsid w:val="0054675D"/>
    <w:rsid w:val="0054775F"/>
    <w:rsid w:val="0055092D"/>
    <w:rsid w:val="005513AB"/>
    <w:rsid w:val="0055141C"/>
    <w:rsid w:val="00552641"/>
    <w:rsid w:val="005554D9"/>
    <w:rsid w:val="0055565F"/>
    <w:rsid w:val="005556C7"/>
    <w:rsid w:val="005558A1"/>
    <w:rsid w:val="00556207"/>
    <w:rsid w:val="00556221"/>
    <w:rsid w:val="00556F24"/>
    <w:rsid w:val="005571BD"/>
    <w:rsid w:val="00557765"/>
    <w:rsid w:val="005577E4"/>
    <w:rsid w:val="00560BF2"/>
    <w:rsid w:val="00560D6D"/>
    <w:rsid w:val="005610C5"/>
    <w:rsid w:val="0056120B"/>
    <w:rsid w:val="005615EB"/>
    <w:rsid w:val="00561802"/>
    <w:rsid w:val="00561D19"/>
    <w:rsid w:val="00562698"/>
    <w:rsid w:val="00562E45"/>
    <w:rsid w:val="00562F5A"/>
    <w:rsid w:val="0056312B"/>
    <w:rsid w:val="00564AF4"/>
    <w:rsid w:val="0056598E"/>
    <w:rsid w:val="00565E22"/>
    <w:rsid w:val="00566E61"/>
    <w:rsid w:val="005673C0"/>
    <w:rsid w:val="00567E47"/>
    <w:rsid w:val="005703FB"/>
    <w:rsid w:val="005705F7"/>
    <w:rsid w:val="00570648"/>
    <w:rsid w:val="00570CBB"/>
    <w:rsid w:val="00571400"/>
    <w:rsid w:val="00572252"/>
    <w:rsid w:val="00573274"/>
    <w:rsid w:val="0057368A"/>
    <w:rsid w:val="00574F30"/>
    <w:rsid w:val="0057541B"/>
    <w:rsid w:val="005755B2"/>
    <w:rsid w:val="005758B4"/>
    <w:rsid w:val="00576190"/>
    <w:rsid w:val="00576650"/>
    <w:rsid w:val="00576B5F"/>
    <w:rsid w:val="00577D13"/>
    <w:rsid w:val="005801DA"/>
    <w:rsid w:val="0058048B"/>
    <w:rsid w:val="00580C28"/>
    <w:rsid w:val="00580CAD"/>
    <w:rsid w:val="00580D4E"/>
    <w:rsid w:val="00581311"/>
    <w:rsid w:val="00582033"/>
    <w:rsid w:val="0058224B"/>
    <w:rsid w:val="005833DE"/>
    <w:rsid w:val="0058478B"/>
    <w:rsid w:val="00585259"/>
    <w:rsid w:val="005853DD"/>
    <w:rsid w:val="00585602"/>
    <w:rsid w:val="00585949"/>
    <w:rsid w:val="00585950"/>
    <w:rsid w:val="005860AE"/>
    <w:rsid w:val="00586C08"/>
    <w:rsid w:val="0059028A"/>
    <w:rsid w:val="00590BA8"/>
    <w:rsid w:val="00591361"/>
    <w:rsid w:val="00591382"/>
    <w:rsid w:val="005921AB"/>
    <w:rsid w:val="00592F57"/>
    <w:rsid w:val="00594B1B"/>
    <w:rsid w:val="00595146"/>
    <w:rsid w:val="00595554"/>
    <w:rsid w:val="00595E26"/>
    <w:rsid w:val="0059693C"/>
    <w:rsid w:val="005979FC"/>
    <w:rsid w:val="005A01F7"/>
    <w:rsid w:val="005A088B"/>
    <w:rsid w:val="005A298C"/>
    <w:rsid w:val="005A2DD3"/>
    <w:rsid w:val="005A3F4E"/>
    <w:rsid w:val="005A444E"/>
    <w:rsid w:val="005A4985"/>
    <w:rsid w:val="005A5E2E"/>
    <w:rsid w:val="005A5E91"/>
    <w:rsid w:val="005A6462"/>
    <w:rsid w:val="005A65AE"/>
    <w:rsid w:val="005A66D6"/>
    <w:rsid w:val="005A6A32"/>
    <w:rsid w:val="005A6F3F"/>
    <w:rsid w:val="005B01F5"/>
    <w:rsid w:val="005B0384"/>
    <w:rsid w:val="005B07A5"/>
    <w:rsid w:val="005B09BD"/>
    <w:rsid w:val="005B1248"/>
    <w:rsid w:val="005B1766"/>
    <w:rsid w:val="005B211D"/>
    <w:rsid w:val="005B261C"/>
    <w:rsid w:val="005B2DCE"/>
    <w:rsid w:val="005B332D"/>
    <w:rsid w:val="005B34CC"/>
    <w:rsid w:val="005B37B2"/>
    <w:rsid w:val="005B3FBA"/>
    <w:rsid w:val="005B4B1D"/>
    <w:rsid w:val="005B52A1"/>
    <w:rsid w:val="005B5997"/>
    <w:rsid w:val="005B662A"/>
    <w:rsid w:val="005B7C96"/>
    <w:rsid w:val="005C0045"/>
    <w:rsid w:val="005C0B7F"/>
    <w:rsid w:val="005C169E"/>
    <w:rsid w:val="005C1A0C"/>
    <w:rsid w:val="005C1C7F"/>
    <w:rsid w:val="005C2021"/>
    <w:rsid w:val="005C20B7"/>
    <w:rsid w:val="005C32C2"/>
    <w:rsid w:val="005C384B"/>
    <w:rsid w:val="005C534E"/>
    <w:rsid w:val="005C65F5"/>
    <w:rsid w:val="005C6720"/>
    <w:rsid w:val="005C67AC"/>
    <w:rsid w:val="005C7377"/>
    <w:rsid w:val="005C76EF"/>
    <w:rsid w:val="005C7A90"/>
    <w:rsid w:val="005D030E"/>
    <w:rsid w:val="005D041B"/>
    <w:rsid w:val="005D1F41"/>
    <w:rsid w:val="005D200C"/>
    <w:rsid w:val="005D267A"/>
    <w:rsid w:val="005D31F7"/>
    <w:rsid w:val="005D3681"/>
    <w:rsid w:val="005D3BB0"/>
    <w:rsid w:val="005D3C58"/>
    <w:rsid w:val="005D4646"/>
    <w:rsid w:val="005D4CAF"/>
    <w:rsid w:val="005D546B"/>
    <w:rsid w:val="005D5708"/>
    <w:rsid w:val="005D5CB8"/>
    <w:rsid w:val="005D5CD0"/>
    <w:rsid w:val="005D6196"/>
    <w:rsid w:val="005D7258"/>
    <w:rsid w:val="005D7D20"/>
    <w:rsid w:val="005E1BD3"/>
    <w:rsid w:val="005E2170"/>
    <w:rsid w:val="005E25B4"/>
    <w:rsid w:val="005E2A6E"/>
    <w:rsid w:val="005E350D"/>
    <w:rsid w:val="005E369A"/>
    <w:rsid w:val="005E3E8B"/>
    <w:rsid w:val="005E3E9F"/>
    <w:rsid w:val="005E439D"/>
    <w:rsid w:val="005E5875"/>
    <w:rsid w:val="005E5E46"/>
    <w:rsid w:val="005E66DB"/>
    <w:rsid w:val="005F07F6"/>
    <w:rsid w:val="005F18D4"/>
    <w:rsid w:val="005F1D5D"/>
    <w:rsid w:val="005F288B"/>
    <w:rsid w:val="005F2F9D"/>
    <w:rsid w:val="005F3F13"/>
    <w:rsid w:val="005F3F66"/>
    <w:rsid w:val="005F4514"/>
    <w:rsid w:val="005F453B"/>
    <w:rsid w:val="005F4892"/>
    <w:rsid w:val="005F5E6A"/>
    <w:rsid w:val="005F6AB1"/>
    <w:rsid w:val="005F6B6E"/>
    <w:rsid w:val="005F7971"/>
    <w:rsid w:val="00600190"/>
    <w:rsid w:val="00600567"/>
    <w:rsid w:val="00600C65"/>
    <w:rsid w:val="00601B0C"/>
    <w:rsid w:val="00601F9E"/>
    <w:rsid w:val="0060283F"/>
    <w:rsid w:val="00604797"/>
    <w:rsid w:val="00604B47"/>
    <w:rsid w:val="00606442"/>
    <w:rsid w:val="00607564"/>
    <w:rsid w:val="00607947"/>
    <w:rsid w:val="006115D4"/>
    <w:rsid w:val="006115FC"/>
    <w:rsid w:val="00611A39"/>
    <w:rsid w:val="00611FEF"/>
    <w:rsid w:val="00612202"/>
    <w:rsid w:val="006122FB"/>
    <w:rsid w:val="00613126"/>
    <w:rsid w:val="00613E44"/>
    <w:rsid w:val="006145D4"/>
    <w:rsid w:val="00614AA5"/>
    <w:rsid w:val="00614BB7"/>
    <w:rsid w:val="00615568"/>
    <w:rsid w:val="006169B8"/>
    <w:rsid w:val="00616B9B"/>
    <w:rsid w:val="006172AC"/>
    <w:rsid w:val="0061747D"/>
    <w:rsid w:val="0061794A"/>
    <w:rsid w:val="0062088E"/>
    <w:rsid w:val="00620FC5"/>
    <w:rsid w:val="0062171B"/>
    <w:rsid w:val="00621DB7"/>
    <w:rsid w:val="0062235B"/>
    <w:rsid w:val="006224F3"/>
    <w:rsid w:val="00624207"/>
    <w:rsid w:val="00625098"/>
    <w:rsid w:val="00625363"/>
    <w:rsid w:val="00625F28"/>
    <w:rsid w:val="00626866"/>
    <w:rsid w:val="00627389"/>
    <w:rsid w:val="00627BCA"/>
    <w:rsid w:val="00630167"/>
    <w:rsid w:val="006302CE"/>
    <w:rsid w:val="006309A8"/>
    <w:rsid w:val="00631236"/>
    <w:rsid w:val="0063144A"/>
    <w:rsid w:val="00631C9C"/>
    <w:rsid w:val="006320D2"/>
    <w:rsid w:val="00632C11"/>
    <w:rsid w:val="00633C5A"/>
    <w:rsid w:val="0063437F"/>
    <w:rsid w:val="00634708"/>
    <w:rsid w:val="00634896"/>
    <w:rsid w:val="006364BA"/>
    <w:rsid w:val="00636819"/>
    <w:rsid w:val="006368A9"/>
    <w:rsid w:val="00637231"/>
    <w:rsid w:val="006375C4"/>
    <w:rsid w:val="00641F70"/>
    <w:rsid w:val="00642452"/>
    <w:rsid w:val="00643C05"/>
    <w:rsid w:val="00643E5E"/>
    <w:rsid w:val="00644063"/>
    <w:rsid w:val="006444ED"/>
    <w:rsid w:val="00644826"/>
    <w:rsid w:val="0064492D"/>
    <w:rsid w:val="00646161"/>
    <w:rsid w:val="00646C73"/>
    <w:rsid w:val="00647577"/>
    <w:rsid w:val="00647C15"/>
    <w:rsid w:val="00647C91"/>
    <w:rsid w:val="00647D6A"/>
    <w:rsid w:val="0065085A"/>
    <w:rsid w:val="00650C60"/>
    <w:rsid w:val="0065261B"/>
    <w:rsid w:val="006529B8"/>
    <w:rsid w:val="00653081"/>
    <w:rsid w:val="00653570"/>
    <w:rsid w:val="00654A05"/>
    <w:rsid w:val="006555D7"/>
    <w:rsid w:val="006566FC"/>
    <w:rsid w:val="00657240"/>
    <w:rsid w:val="0065761E"/>
    <w:rsid w:val="00657F2A"/>
    <w:rsid w:val="00657F53"/>
    <w:rsid w:val="00660018"/>
    <w:rsid w:val="00660932"/>
    <w:rsid w:val="00660B7F"/>
    <w:rsid w:val="00660E8B"/>
    <w:rsid w:val="00661C16"/>
    <w:rsid w:val="00661FBC"/>
    <w:rsid w:val="00662007"/>
    <w:rsid w:val="0066229B"/>
    <w:rsid w:val="00662BA8"/>
    <w:rsid w:val="00664004"/>
    <w:rsid w:val="00664714"/>
    <w:rsid w:val="00665157"/>
    <w:rsid w:val="006651A7"/>
    <w:rsid w:val="00665496"/>
    <w:rsid w:val="0066549C"/>
    <w:rsid w:val="006656E1"/>
    <w:rsid w:val="00665BAC"/>
    <w:rsid w:val="0066636E"/>
    <w:rsid w:val="00666AA1"/>
    <w:rsid w:val="00666D0D"/>
    <w:rsid w:val="00667B03"/>
    <w:rsid w:val="00671F4F"/>
    <w:rsid w:val="00671FBE"/>
    <w:rsid w:val="0067287B"/>
    <w:rsid w:val="00672983"/>
    <w:rsid w:val="00672B48"/>
    <w:rsid w:val="00672B57"/>
    <w:rsid w:val="00673AAF"/>
    <w:rsid w:val="00673C5C"/>
    <w:rsid w:val="00674951"/>
    <w:rsid w:val="006756F8"/>
    <w:rsid w:val="0067583F"/>
    <w:rsid w:val="0067622F"/>
    <w:rsid w:val="00677CBD"/>
    <w:rsid w:val="0068007D"/>
    <w:rsid w:val="00680DC8"/>
    <w:rsid w:val="0068154B"/>
    <w:rsid w:val="00681630"/>
    <w:rsid w:val="0068211A"/>
    <w:rsid w:val="00682D65"/>
    <w:rsid w:val="00682E4C"/>
    <w:rsid w:val="0068321C"/>
    <w:rsid w:val="006837AC"/>
    <w:rsid w:val="00684214"/>
    <w:rsid w:val="00684605"/>
    <w:rsid w:val="006846D4"/>
    <w:rsid w:val="0068618A"/>
    <w:rsid w:val="00687012"/>
    <w:rsid w:val="0068717A"/>
    <w:rsid w:val="00687414"/>
    <w:rsid w:val="006879A8"/>
    <w:rsid w:val="006909B1"/>
    <w:rsid w:val="00690CD2"/>
    <w:rsid w:val="0069115D"/>
    <w:rsid w:val="00692463"/>
    <w:rsid w:val="00692577"/>
    <w:rsid w:val="00693D6E"/>
    <w:rsid w:val="00694E65"/>
    <w:rsid w:val="00694E68"/>
    <w:rsid w:val="006954A3"/>
    <w:rsid w:val="00696103"/>
    <w:rsid w:val="006963E2"/>
    <w:rsid w:val="00697608"/>
    <w:rsid w:val="00697B80"/>
    <w:rsid w:val="006A001C"/>
    <w:rsid w:val="006A074D"/>
    <w:rsid w:val="006A078A"/>
    <w:rsid w:val="006A0B45"/>
    <w:rsid w:val="006A0B76"/>
    <w:rsid w:val="006A11C0"/>
    <w:rsid w:val="006A1FCD"/>
    <w:rsid w:val="006A3599"/>
    <w:rsid w:val="006A3804"/>
    <w:rsid w:val="006A3A09"/>
    <w:rsid w:val="006A3AC4"/>
    <w:rsid w:val="006A3C5A"/>
    <w:rsid w:val="006A4017"/>
    <w:rsid w:val="006A47A2"/>
    <w:rsid w:val="006A48C0"/>
    <w:rsid w:val="006A4B3F"/>
    <w:rsid w:val="006A4BE9"/>
    <w:rsid w:val="006A5D85"/>
    <w:rsid w:val="006A6405"/>
    <w:rsid w:val="006A6605"/>
    <w:rsid w:val="006A72A1"/>
    <w:rsid w:val="006A7C58"/>
    <w:rsid w:val="006B0266"/>
    <w:rsid w:val="006B0880"/>
    <w:rsid w:val="006B0E9F"/>
    <w:rsid w:val="006B0FA8"/>
    <w:rsid w:val="006B3027"/>
    <w:rsid w:val="006B3364"/>
    <w:rsid w:val="006B3488"/>
    <w:rsid w:val="006B3C3B"/>
    <w:rsid w:val="006B3DF5"/>
    <w:rsid w:val="006B43CF"/>
    <w:rsid w:val="006B47D5"/>
    <w:rsid w:val="006B4FE9"/>
    <w:rsid w:val="006B4FEF"/>
    <w:rsid w:val="006B52C7"/>
    <w:rsid w:val="006B721D"/>
    <w:rsid w:val="006B76E6"/>
    <w:rsid w:val="006B7D26"/>
    <w:rsid w:val="006B7FB4"/>
    <w:rsid w:val="006C000E"/>
    <w:rsid w:val="006C04FE"/>
    <w:rsid w:val="006C0905"/>
    <w:rsid w:val="006C177D"/>
    <w:rsid w:val="006C1840"/>
    <w:rsid w:val="006C244B"/>
    <w:rsid w:val="006C2A1A"/>
    <w:rsid w:val="006C4790"/>
    <w:rsid w:val="006C4B99"/>
    <w:rsid w:val="006C5442"/>
    <w:rsid w:val="006D03A7"/>
    <w:rsid w:val="006D0B1B"/>
    <w:rsid w:val="006D15C1"/>
    <w:rsid w:val="006D1624"/>
    <w:rsid w:val="006D1FF5"/>
    <w:rsid w:val="006D2BAF"/>
    <w:rsid w:val="006D3036"/>
    <w:rsid w:val="006D38C7"/>
    <w:rsid w:val="006D3B74"/>
    <w:rsid w:val="006D3B78"/>
    <w:rsid w:val="006D4470"/>
    <w:rsid w:val="006D532E"/>
    <w:rsid w:val="006D553A"/>
    <w:rsid w:val="006D5DCB"/>
    <w:rsid w:val="006D6EF2"/>
    <w:rsid w:val="006D7701"/>
    <w:rsid w:val="006E097D"/>
    <w:rsid w:val="006E140A"/>
    <w:rsid w:val="006E17D4"/>
    <w:rsid w:val="006E192E"/>
    <w:rsid w:val="006E1A58"/>
    <w:rsid w:val="006E2624"/>
    <w:rsid w:val="006E273A"/>
    <w:rsid w:val="006E2DE1"/>
    <w:rsid w:val="006E2FC8"/>
    <w:rsid w:val="006E328C"/>
    <w:rsid w:val="006E32EA"/>
    <w:rsid w:val="006E3B34"/>
    <w:rsid w:val="006E4D75"/>
    <w:rsid w:val="006E5576"/>
    <w:rsid w:val="006E5B75"/>
    <w:rsid w:val="006E6C46"/>
    <w:rsid w:val="006F00B6"/>
    <w:rsid w:val="006F15A5"/>
    <w:rsid w:val="006F1B1D"/>
    <w:rsid w:val="006F2C1F"/>
    <w:rsid w:val="006F37BC"/>
    <w:rsid w:val="006F3D87"/>
    <w:rsid w:val="006F40B8"/>
    <w:rsid w:val="006F417D"/>
    <w:rsid w:val="006F420C"/>
    <w:rsid w:val="006F43C4"/>
    <w:rsid w:val="006F49CC"/>
    <w:rsid w:val="006F4F99"/>
    <w:rsid w:val="006F53B2"/>
    <w:rsid w:val="006F559E"/>
    <w:rsid w:val="006F5BAE"/>
    <w:rsid w:val="006F6F5F"/>
    <w:rsid w:val="00700241"/>
    <w:rsid w:val="00700B41"/>
    <w:rsid w:val="00700EF8"/>
    <w:rsid w:val="007011BD"/>
    <w:rsid w:val="007011C0"/>
    <w:rsid w:val="007015A0"/>
    <w:rsid w:val="00701A59"/>
    <w:rsid w:val="00702FA5"/>
    <w:rsid w:val="007034FA"/>
    <w:rsid w:val="007038E1"/>
    <w:rsid w:val="0070620A"/>
    <w:rsid w:val="007062D5"/>
    <w:rsid w:val="00707116"/>
    <w:rsid w:val="00707457"/>
    <w:rsid w:val="00707459"/>
    <w:rsid w:val="00710887"/>
    <w:rsid w:val="00711B13"/>
    <w:rsid w:val="00711DF3"/>
    <w:rsid w:val="00711FCA"/>
    <w:rsid w:val="0071266A"/>
    <w:rsid w:val="00712E6F"/>
    <w:rsid w:val="007134EC"/>
    <w:rsid w:val="00713E74"/>
    <w:rsid w:val="00714BD9"/>
    <w:rsid w:val="00715855"/>
    <w:rsid w:val="007160E4"/>
    <w:rsid w:val="007161BB"/>
    <w:rsid w:val="0071650C"/>
    <w:rsid w:val="00716556"/>
    <w:rsid w:val="007175E3"/>
    <w:rsid w:val="0071768D"/>
    <w:rsid w:val="007178CE"/>
    <w:rsid w:val="00717C29"/>
    <w:rsid w:val="00717E91"/>
    <w:rsid w:val="00717EBD"/>
    <w:rsid w:val="007213E9"/>
    <w:rsid w:val="00721818"/>
    <w:rsid w:val="0072186F"/>
    <w:rsid w:val="00721DDC"/>
    <w:rsid w:val="007237AB"/>
    <w:rsid w:val="00723F42"/>
    <w:rsid w:val="00724BC5"/>
    <w:rsid w:val="0072573E"/>
    <w:rsid w:val="00725DA7"/>
    <w:rsid w:val="00726DF0"/>
    <w:rsid w:val="00727012"/>
    <w:rsid w:val="00727451"/>
    <w:rsid w:val="00730BDE"/>
    <w:rsid w:val="00730D01"/>
    <w:rsid w:val="00731762"/>
    <w:rsid w:val="007319A2"/>
    <w:rsid w:val="00732737"/>
    <w:rsid w:val="00732ED8"/>
    <w:rsid w:val="00733D86"/>
    <w:rsid w:val="00734231"/>
    <w:rsid w:val="00735D60"/>
    <w:rsid w:val="00735E0B"/>
    <w:rsid w:val="00736954"/>
    <w:rsid w:val="00737008"/>
    <w:rsid w:val="00740BFB"/>
    <w:rsid w:val="00740CF7"/>
    <w:rsid w:val="007421A8"/>
    <w:rsid w:val="00742227"/>
    <w:rsid w:val="0074255D"/>
    <w:rsid w:val="00743B0D"/>
    <w:rsid w:val="00744C11"/>
    <w:rsid w:val="0074510D"/>
    <w:rsid w:val="00745790"/>
    <w:rsid w:val="007468B1"/>
    <w:rsid w:val="00746930"/>
    <w:rsid w:val="00750173"/>
    <w:rsid w:val="00750249"/>
    <w:rsid w:val="00750390"/>
    <w:rsid w:val="007503AC"/>
    <w:rsid w:val="007507BD"/>
    <w:rsid w:val="0075098D"/>
    <w:rsid w:val="00750EFD"/>
    <w:rsid w:val="00751479"/>
    <w:rsid w:val="00751705"/>
    <w:rsid w:val="007518C2"/>
    <w:rsid w:val="00751BAE"/>
    <w:rsid w:val="007523C5"/>
    <w:rsid w:val="0075267E"/>
    <w:rsid w:val="00753033"/>
    <w:rsid w:val="00753A35"/>
    <w:rsid w:val="007542DA"/>
    <w:rsid w:val="00754A25"/>
    <w:rsid w:val="0075571E"/>
    <w:rsid w:val="00756147"/>
    <w:rsid w:val="0075645F"/>
    <w:rsid w:val="00756595"/>
    <w:rsid w:val="00757965"/>
    <w:rsid w:val="0076101E"/>
    <w:rsid w:val="0076111C"/>
    <w:rsid w:val="007612A8"/>
    <w:rsid w:val="00761445"/>
    <w:rsid w:val="007615C8"/>
    <w:rsid w:val="00761F1D"/>
    <w:rsid w:val="00762220"/>
    <w:rsid w:val="00762870"/>
    <w:rsid w:val="0076453F"/>
    <w:rsid w:val="00765156"/>
    <w:rsid w:val="007657EC"/>
    <w:rsid w:val="00765F92"/>
    <w:rsid w:val="007667A7"/>
    <w:rsid w:val="007669D5"/>
    <w:rsid w:val="007673F3"/>
    <w:rsid w:val="00767556"/>
    <w:rsid w:val="00767609"/>
    <w:rsid w:val="00767F69"/>
    <w:rsid w:val="00770636"/>
    <w:rsid w:val="00771061"/>
    <w:rsid w:val="00771977"/>
    <w:rsid w:val="00775DBB"/>
    <w:rsid w:val="0077634E"/>
    <w:rsid w:val="0077646D"/>
    <w:rsid w:val="00777567"/>
    <w:rsid w:val="00777AD8"/>
    <w:rsid w:val="00777FF6"/>
    <w:rsid w:val="00780293"/>
    <w:rsid w:val="00780B74"/>
    <w:rsid w:val="00780DAD"/>
    <w:rsid w:val="007812A9"/>
    <w:rsid w:val="007817FB"/>
    <w:rsid w:val="00781C72"/>
    <w:rsid w:val="00782F1C"/>
    <w:rsid w:val="00782FFC"/>
    <w:rsid w:val="007832FE"/>
    <w:rsid w:val="007838A9"/>
    <w:rsid w:val="00783E99"/>
    <w:rsid w:val="007841C2"/>
    <w:rsid w:val="007844E8"/>
    <w:rsid w:val="007847F0"/>
    <w:rsid w:val="00784BC7"/>
    <w:rsid w:val="00785214"/>
    <w:rsid w:val="007852F5"/>
    <w:rsid w:val="00785304"/>
    <w:rsid w:val="007867C2"/>
    <w:rsid w:val="007877FE"/>
    <w:rsid w:val="00790E90"/>
    <w:rsid w:val="00791521"/>
    <w:rsid w:val="00791A3F"/>
    <w:rsid w:val="00791E65"/>
    <w:rsid w:val="00791E69"/>
    <w:rsid w:val="00792091"/>
    <w:rsid w:val="007923AE"/>
    <w:rsid w:val="00792B90"/>
    <w:rsid w:val="00793133"/>
    <w:rsid w:val="00794D9A"/>
    <w:rsid w:val="00795542"/>
    <w:rsid w:val="007959B6"/>
    <w:rsid w:val="00795CBB"/>
    <w:rsid w:val="007961A4"/>
    <w:rsid w:val="00796892"/>
    <w:rsid w:val="00796B2B"/>
    <w:rsid w:val="00796EE0"/>
    <w:rsid w:val="0079722F"/>
    <w:rsid w:val="00797943"/>
    <w:rsid w:val="007A04DF"/>
    <w:rsid w:val="007A12F9"/>
    <w:rsid w:val="007A2011"/>
    <w:rsid w:val="007A26E7"/>
    <w:rsid w:val="007A27D5"/>
    <w:rsid w:val="007A29FC"/>
    <w:rsid w:val="007A2EF3"/>
    <w:rsid w:val="007A3EB5"/>
    <w:rsid w:val="007A40AA"/>
    <w:rsid w:val="007A4A17"/>
    <w:rsid w:val="007A4E67"/>
    <w:rsid w:val="007A6573"/>
    <w:rsid w:val="007A6AAD"/>
    <w:rsid w:val="007A6E14"/>
    <w:rsid w:val="007A7776"/>
    <w:rsid w:val="007A7C48"/>
    <w:rsid w:val="007B0630"/>
    <w:rsid w:val="007B0A76"/>
    <w:rsid w:val="007B13D9"/>
    <w:rsid w:val="007B14B9"/>
    <w:rsid w:val="007B1846"/>
    <w:rsid w:val="007B1FE8"/>
    <w:rsid w:val="007B23E1"/>
    <w:rsid w:val="007B27A5"/>
    <w:rsid w:val="007B294C"/>
    <w:rsid w:val="007B2E4E"/>
    <w:rsid w:val="007B38D7"/>
    <w:rsid w:val="007B3E1F"/>
    <w:rsid w:val="007B428B"/>
    <w:rsid w:val="007B4C3F"/>
    <w:rsid w:val="007B58ED"/>
    <w:rsid w:val="007B7FBB"/>
    <w:rsid w:val="007C01B0"/>
    <w:rsid w:val="007C042A"/>
    <w:rsid w:val="007C09D7"/>
    <w:rsid w:val="007C3025"/>
    <w:rsid w:val="007C35A4"/>
    <w:rsid w:val="007C3A40"/>
    <w:rsid w:val="007C3EC2"/>
    <w:rsid w:val="007C3F29"/>
    <w:rsid w:val="007C440B"/>
    <w:rsid w:val="007C4A38"/>
    <w:rsid w:val="007C4B99"/>
    <w:rsid w:val="007C4C97"/>
    <w:rsid w:val="007C54AB"/>
    <w:rsid w:val="007C585B"/>
    <w:rsid w:val="007C72E9"/>
    <w:rsid w:val="007C7653"/>
    <w:rsid w:val="007D154D"/>
    <w:rsid w:val="007D19ED"/>
    <w:rsid w:val="007D2019"/>
    <w:rsid w:val="007D2055"/>
    <w:rsid w:val="007D2BAA"/>
    <w:rsid w:val="007D3C16"/>
    <w:rsid w:val="007D41F6"/>
    <w:rsid w:val="007D48D7"/>
    <w:rsid w:val="007D4FEF"/>
    <w:rsid w:val="007D5526"/>
    <w:rsid w:val="007D564C"/>
    <w:rsid w:val="007D58BD"/>
    <w:rsid w:val="007D5B26"/>
    <w:rsid w:val="007D5CF5"/>
    <w:rsid w:val="007D5ECD"/>
    <w:rsid w:val="007D5FCD"/>
    <w:rsid w:val="007D6829"/>
    <w:rsid w:val="007D7145"/>
    <w:rsid w:val="007D78BF"/>
    <w:rsid w:val="007E079E"/>
    <w:rsid w:val="007E0DC6"/>
    <w:rsid w:val="007E1035"/>
    <w:rsid w:val="007E13A9"/>
    <w:rsid w:val="007E1D3C"/>
    <w:rsid w:val="007E2290"/>
    <w:rsid w:val="007E23F4"/>
    <w:rsid w:val="007E33EF"/>
    <w:rsid w:val="007E3F38"/>
    <w:rsid w:val="007E4A3E"/>
    <w:rsid w:val="007E555A"/>
    <w:rsid w:val="007E59D9"/>
    <w:rsid w:val="007E6B57"/>
    <w:rsid w:val="007E6CB2"/>
    <w:rsid w:val="007E72F6"/>
    <w:rsid w:val="007E7728"/>
    <w:rsid w:val="007E7B87"/>
    <w:rsid w:val="007F1B34"/>
    <w:rsid w:val="007F3303"/>
    <w:rsid w:val="007F407B"/>
    <w:rsid w:val="007F417E"/>
    <w:rsid w:val="007F4FCB"/>
    <w:rsid w:val="007F5421"/>
    <w:rsid w:val="007F5446"/>
    <w:rsid w:val="007F5758"/>
    <w:rsid w:val="007F6212"/>
    <w:rsid w:val="00801810"/>
    <w:rsid w:val="008023B1"/>
    <w:rsid w:val="0080281D"/>
    <w:rsid w:val="00802E5A"/>
    <w:rsid w:val="00803648"/>
    <w:rsid w:val="008057AF"/>
    <w:rsid w:val="0080663D"/>
    <w:rsid w:val="0080690F"/>
    <w:rsid w:val="00806A0B"/>
    <w:rsid w:val="00806BD5"/>
    <w:rsid w:val="008071C4"/>
    <w:rsid w:val="00807DFA"/>
    <w:rsid w:val="00807F66"/>
    <w:rsid w:val="008105B1"/>
    <w:rsid w:val="00811A8B"/>
    <w:rsid w:val="00812080"/>
    <w:rsid w:val="00813DC9"/>
    <w:rsid w:val="00813FD2"/>
    <w:rsid w:val="0081479A"/>
    <w:rsid w:val="00814ABE"/>
    <w:rsid w:val="008151B6"/>
    <w:rsid w:val="008155B1"/>
    <w:rsid w:val="008163C0"/>
    <w:rsid w:val="00816622"/>
    <w:rsid w:val="00817756"/>
    <w:rsid w:val="00817B8C"/>
    <w:rsid w:val="00820A9E"/>
    <w:rsid w:val="00820FE5"/>
    <w:rsid w:val="00821330"/>
    <w:rsid w:val="0082163C"/>
    <w:rsid w:val="00822416"/>
    <w:rsid w:val="008228EB"/>
    <w:rsid w:val="00822A25"/>
    <w:rsid w:val="00823726"/>
    <w:rsid w:val="00823B9D"/>
    <w:rsid w:val="008246B7"/>
    <w:rsid w:val="008248B6"/>
    <w:rsid w:val="00824AFB"/>
    <w:rsid w:val="00824F65"/>
    <w:rsid w:val="00825553"/>
    <w:rsid w:val="00825DBD"/>
    <w:rsid w:val="008271BD"/>
    <w:rsid w:val="008275C1"/>
    <w:rsid w:val="00827A0A"/>
    <w:rsid w:val="00827B8A"/>
    <w:rsid w:val="00830A41"/>
    <w:rsid w:val="00830CCA"/>
    <w:rsid w:val="008312C7"/>
    <w:rsid w:val="00831CCF"/>
    <w:rsid w:val="008346EE"/>
    <w:rsid w:val="00834EFD"/>
    <w:rsid w:val="00835367"/>
    <w:rsid w:val="00835BB8"/>
    <w:rsid w:val="008361B4"/>
    <w:rsid w:val="00837D24"/>
    <w:rsid w:val="00840056"/>
    <w:rsid w:val="00840644"/>
    <w:rsid w:val="00841149"/>
    <w:rsid w:val="0084179F"/>
    <w:rsid w:val="00841AF1"/>
    <w:rsid w:val="00841B37"/>
    <w:rsid w:val="00841C81"/>
    <w:rsid w:val="00842302"/>
    <w:rsid w:val="00842334"/>
    <w:rsid w:val="008425D3"/>
    <w:rsid w:val="0084276C"/>
    <w:rsid w:val="008427B1"/>
    <w:rsid w:val="008427CE"/>
    <w:rsid w:val="00842C04"/>
    <w:rsid w:val="00842D4E"/>
    <w:rsid w:val="008431E6"/>
    <w:rsid w:val="0084344B"/>
    <w:rsid w:val="00844239"/>
    <w:rsid w:val="008449E5"/>
    <w:rsid w:val="00844E48"/>
    <w:rsid w:val="0084517A"/>
    <w:rsid w:val="00845504"/>
    <w:rsid w:val="00846466"/>
    <w:rsid w:val="0084653E"/>
    <w:rsid w:val="008478CD"/>
    <w:rsid w:val="00850148"/>
    <w:rsid w:val="00850516"/>
    <w:rsid w:val="008506BC"/>
    <w:rsid w:val="0085114B"/>
    <w:rsid w:val="00851284"/>
    <w:rsid w:val="00851AA2"/>
    <w:rsid w:val="00852582"/>
    <w:rsid w:val="00852A13"/>
    <w:rsid w:val="00852CB7"/>
    <w:rsid w:val="00852FCE"/>
    <w:rsid w:val="008530DC"/>
    <w:rsid w:val="008535C8"/>
    <w:rsid w:val="00853604"/>
    <w:rsid w:val="00853F7C"/>
    <w:rsid w:val="00854BD6"/>
    <w:rsid w:val="008563CC"/>
    <w:rsid w:val="00856568"/>
    <w:rsid w:val="00856D01"/>
    <w:rsid w:val="00857497"/>
    <w:rsid w:val="00857B3F"/>
    <w:rsid w:val="00861432"/>
    <w:rsid w:val="00861DF1"/>
    <w:rsid w:val="00863782"/>
    <w:rsid w:val="00863FDE"/>
    <w:rsid w:val="00864955"/>
    <w:rsid w:val="00864999"/>
    <w:rsid w:val="00864ABC"/>
    <w:rsid w:val="00865225"/>
    <w:rsid w:val="008668EE"/>
    <w:rsid w:val="0086798C"/>
    <w:rsid w:val="00867B55"/>
    <w:rsid w:val="00870124"/>
    <w:rsid w:val="00871755"/>
    <w:rsid w:val="00871845"/>
    <w:rsid w:val="008719F9"/>
    <w:rsid w:val="00871F03"/>
    <w:rsid w:val="00873946"/>
    <w:rsid w:val="00873BFA"/>
    <w:rsid w:val="00874923"/>
    <w:rsid w:val="00874F33"/>
    <w:rsid w:val="00875D47"/>
    <w:rsid w:val="0087605D"/>
    <w:rsid w:val="00876608"/>
    <w:rsid w:val="00877078"/>
    <w:rsid w:val="0087770C"/>
    <w:rsid w:val="00877D3E"/>
    <w:rsid w:val="00880B70"/>
    <w:rsid w:val="008814DA"/>
    <w:rsid w:val="00881B3B"/>
    <w:rsid w:val="0088275A"/>
    <w:rsid w:val="00882CF8"/>
    <w:rsid w:val="008837EA"/>
    <w:rsid w:val="0088416A"/>
    <w:rsid w:val="00885111"/>
    <w:rsid w:val="008852A3"/>
    <w:rsid w:val="00886907"/>
    <w:rsid w:val="00886F63"/>
    <w:rsid w:val="008872C0"/>
    <w:rsid w:val="008878D0"/>
    <w:rsid w:val="00887CC3"/>
    <w:rsid w:val="0089174F"/>
    <w:rsid w:val="00891764"/>
    <w:rsid w:val="00891F94"/>
    <w:rsid w:val="00892BF0"/>
    <w:rsid w:val="00892E37"/>
    <w:rsid w:val="00892F18"/>
    <w:rsid w:val="008931E0"/>
    <w:rsid w:val="008932FA"/>
    <w:rsid w:val="008935C7"/>
    <w:rsid w:val="00895245"/>
    <w:rsid w:val="00895828"/>
    <w:rsid w:val="0089588D"/>
    <w:rsid w:val="00896224"/>
    <w:rsid w:val="008969BD"/>
    <w:rsid w:val="008973F6"/>
    <w:rsid w:val="008A0476"/>
    <w:rsid w:val="008A0B38"/>
    <w:rsid w:val="008A0BCE"/>
    <w:rsid w:val="008A13C3"/>
    <w:rsid w:val="008A1809"/>
    <w:rsid w:val="008A2885"/>
    <w:rsid w:val="008A2D4A"/>
    <w:rsid w:val="008A3942"/>
    <w:rsid w:val="008A5A00"/>
    <w:rsid w:val="008A67E9"/>
    <w:rsid w:val="008A7E4C"/>
    <w:rsid w:val="008B1298"/>
    <w:rsid w:val="008B2FDB"/>
    <w:rsid w:val="008B37B9"/>
    <w:rsid w:val="008B4237"/>
    <w:rsid w:val="008B5107"/>
    <w:rsid w:val="008B5437"/>
    <w:rsid w:val="008B5CC7"/>
    <w:rsid w:val="008C1F22"/>
    <w:rsid w:val="008C2593"/>
    <w:rsid w:val="008C3C1D"/>
    <w:rsid w:val="008C4716"/>
    <w:rsid w:val="008C4882"/>
    <w:rsid w:val="008C5430"/>
    <w:rsid w:val="008C5915"/>
    <w:rsid w:val="008C65AB"/>
    <w:rsid w:val="008C78C5"/>
    <w:rsid w:val="008C7A37"/>
    <w:rsid w:val="008C7E73"/>
    <w:rsid w:val="008D0219"/>
    <w:rsid w:val="008D1334"/>
    <w:rsid w:val="008D1BBF"/>
    <w:rsid w:val="008D220F"/>
    <w:rsid w:val="008D2BFE"/>
    <w:rsid w:val="008D31B3"/>
    <w:rsid w:val="008D31E1"/>
    <w:rsid w:val="008D3411"/>
    <w:rsid w:val="008D3D51"/>
    <w:rsid w:val="008D4E33"/>
    <w:rsid w:val="008D6406"/>
    <w:rsid w:val="008E0ADD"/>
    <w:rsid w:val="008E1349"/>
    <w:rsid w:val="008E197F"/>
    <w:rsid w:val="008E219D"/>
    <w:rsid w:val="008E421E"/>
    <w:rsid w:val="008E462E"/>
    <w:rsid w:val="008E4721"/>
    <w:rsid w:val="008E57F8"/>
    <w:rsid w:val="008E593B"/>
    <w:rsid w:val="008E5E30"/>
    <w:rsid w:val="008E6A36"/>
    <w:rsid w:val="008E7006"/>
    <w:rsid w:val="008E79E0"/>
    <w:rsid w:val="008E7DD0"/>
    <w:rsid w:val="008F034F"/>
    <w:rsid w:val="008F0A45"/>
    <w:rsid w:val="008F1085"/>
    <w:rsid w:val="008F20FD"/>
    <w:rsid w:val="008F21D7"/>
    <w:rsid w:val="008F28C5"/>
    <w:rsid w:val="008F2DED"/>
    <w:rsid w:val="008F2F49"/>
    <w:rsid w:val="008F3001"/>
    <w:rsid w:val="008F39B5"/>
    <w:rsid w:val="008F3CD8"/>
    <w:rsid w:val="008F4ECF"/>
    <w:rsid w:val="008F4F2D"/>
    <w:rsid w:val="008F5459"/>
    <w:rsid w:val="008F59CF"/>
    <w:rsid w:val="008F7BBA"/>
    <w:rsid w:val="008F7CE2"/>
    <w:rsid w:val="00901823"/>
    <w:rsid w:val="00901D8B"/>
    <w:rsid w:val="009038A0"/>
    <w:rsid w:val="00903C0F"/>
    <w:rsid w:val="009040B3"/>
    <w:rsid w:val="00904412"/>
    <w:rsid w:val="0090499C"/>
    <w:rsid w:val="00904CCE"/>
    <w:rsid w:val="00905D3D"/>
    <w:rsid w:val="009110F6"/>
    <w:rsid w:val="009115C9"/>
    <w:rsid w:val="00911EE5"/>
    <w:rsid w:val="0091238A"/>
    <w:rsid w:val="00912E6A"/>
    <w:rsid w:val="00913064"/>
    <w:rsid w:val="0091378C"/>
    <w:rsid w:val="0091399D"/>
    <w:rsid w:val="00914A13"/>
    <w:rsid w:val="00915094"/>
    <w:rsid w:val="00915A7A"/>
    <w:rsid w:val="00915D4C"/>
    <w:rsid w:val="00915DB2"/>
    <w:rsid w:val="00915F83"/>
    <w:rsid w:val="00916D41"/>
    <w:rsid w:val="0091741A"/>
    <w:rsid w:val="0091787F"/>
    <w:rsid w:val="009203B9"/>
    <w:rsid w:val="009216FD"/>
    <w:rsid w:val="00921D17"/>
    <w:rsid w:val="00922937"/>
    <w:rsid w:val="00922A82"/>
    <w:rsid w:val="0092466A"/>
    <w:rsid w:val="00924F4D"/>
    <w:rsid w:val="0092522D"/>
    <w:rsid w:val="00925F42"/>
    <w:rsid w:val="009271DC"/>
    <w:rsid w:val="00927666"/>
    <w:rsid w:val="00927680"/>
    <w:rsid w:val="00930442"/>
    <w:rsid w:val="00931195"/>
    <w:rsid w:val="00931DFA"/>
    <w:rsid w:val="0093201D"/>
    <w:rsid w:val="00933FCD"/>
    <w:rsid w:val="0093451A"/>
    <w:rsid w:val="0093558B"/>
    <w:rsid w:val="009362AA"/>
    <w:rsid w:val="009363AC"/>
    <w:rsid w:val="009363FD"/>
    <w:rsid w:val="00936408"/>
    <w:rsid w:val="0093694A"/>
    <w:rsid w:val="00936FEE"/>
    <w:rsid w:val="0093759B"/>
    <w:rsid w:val="00940A0B"/>
    <w:rsid w:val="00941347"/>
    <w:rsid w:val="00941805"/>
    <w:rsid w:val="0094183B"/>
    <w:rsid w:val="009418BD"/>
    <w:rsid w:val="009419F7"/>
    <w:rsid w:val="00942173"/>
    <w:rsid w:val="00942334"/>
    <w:rsid w:val="0094538B"/>
    <w:rsid w:val="009455DF"/>
    <w:rsid w:val="00945A16"/>
    <w:rsid w:val="00945C3F"/>
    <w:rsid w:val="0094600B"/>
    <w:rsid w:val="00946715"/>
    <w:rsid w:val="00946F88"/>
    <w:rsid w:val="0094721F"/>
    <w:rsid w:val="009478CA"/>
    <w:rsid w:val="00947CCC"/>
    <w:rsid w:val="00947E72"/>
    <w:rsid w:val="00951ABA"/>
    <w:rsid w:val="009531BE"/>
    <w:rsid w:val="009538FB"/>
    <w:rsid w:val="00953B78"/>
    <w:rsid w:val="009551E6"/>
    <w:rsid w:val="0095567D"/>
    <w:rsid w:val="00955F89"/>
    <w:rsid w:val="009568C1"/>
    <w:rsid w:val="00956D74"/>
    <w:rsid w:val="00956ED9"/>
    <w:rsid w:val="00961666"/>
    <w:rsid w:val="009617DA"/>
    <w:rsid w:val="00961AB1"/>
    <w:rsid w:val="00961F2F"/>
    <w:rsid w:val="00963D5B"/>
    <w:rsid w:val="00963D7C"/>
    <w:rsid w:val="00963E28"/>
    <w:rsid w:val="00964423"/>
    <w:rsid w:val="00965B10"/>
    <w:rsid w:val="00965FA2"/>
    <w:rsid w:val="00966089"/>
    <w:rsid w:val="00966A53"/>
    <w:rsid w:val="0096763D"/>
    <w:rsid w:val="009700C1"/>
    <w:rsid w:val="0097142F"/>
    <w:rsid w:val="009725B5"/>
    <w:rsid w:val="009726B2"/>
    <w:rsid w:val="009732A0"/>
    <w:rsid w:val="00973B72"/>
    <w:rsid w:val="00973F87"/>
    <w:rsid w:val="00974984"/>
    <w:rsid w:val="00974D60"/>
    <w:rsid w:val="009752F5"/>
    <w:rsid w:val="00975F8E"/>
    <w:rsid w:val="00975FCB"/>
    <w:rsid w:val="00976114"/>
    <w:rsid w:val="009761E3"/>
    <w:rsid w:val="00976539"/>
    <w:rsid w:val="00980AD0"/>
    <w:rsid w:val="00980CEB"/>
    <w:rsid w:val="00981AFF"/>
    <w:rsid w:val="00982B9D"/>
    <w:rsid w:val="00984C51"/>
    <w:rsid w:val="00985368"/>
    <w:rsid w:val="0098605B"/>
    <w:rsid w:val="00987193"/>
    <w:rsid w:val="009873A1"/>
    <w:rsid w:val="00987BD5"/>
    <w:rsid w:val="00987D4A"/>
    <w:rsid w:val="0099089B"/>
    <w:rsid w:val="00990B93"/>
    <w:rsid w:val="0099111E"/>
    <w:rsid w:val="00991DC6"/>
    <w:rsid w:val="00993DE9"/>
    <w:rsid w:val="009943D7"/>
    <w:rsid w:val="009946E9"/>
    <w:rsid w:val="00994ECF"/>
    <w:rsid w:val="0099505D"/>
    <w:rsid w:val="00995D17"/>
    <w:rsid w:val="00995D34"/>
    <w:rsid w:val="009963E0"/>
    <w:rsid w:val="00996940"/>
    <w:rsid w:val="009973C1"/>
    <w:rsid w:val="009A0604"/>
    <w:rsid w:val="009A0688"/>
    <w:rsid w:val="009A1D03"/>
    <w:rsid w:val="009A2090"/>
    <w:rsid w:val="009A248C"/>
    <w:rsid w:val="009A2794"/>
    <w:rsid w:val="009A2C11"/>
    <w:rsid w:val="009A3234"/>
    <w:rsid w:val="009A377F"/>
    <w:rsid w:val="009A3E86"/>
    <w:rsid w:val="009A5B11"/>
    <w:rsid w:val="009A5DE7"/>
    <w:rsid w:val="009A6587"/>
    <w:rsid w:val="009A6D0D"/>
    <w:rsid w:val="009B1A4C"/>
    <w:rsid w:val="009B1C99"/>
    <w:rsid w:val="009B1EF0"/>
    <w:rsid w:val="009B233E"/>
    <w:rsid w:val="009B36FB"/>
    <w:rsid w:val="009B3BFC"/>
    <w:rsid w:val="009B3C74"/>
    <w:rsid w:val="009B4C64"/>
    <w:rsid w:val="009B540E"/>
    <w:rsid w:val="009B545F"/>
    <w:rsid w:val="009B57D0"/>
    <w:rsid w:val="009B5A81"/>
    <w:rsid w:val="009B5C16"/>
    <w:rsid w:val="009B5DD8"/>
    <w:rsid w:val="009B6363"/>
    <w:rsid w:val="009B6ECA"/>
    <w:rsid w:val="009B6F39"/>
    <w:rsid w:val="009B78EE"/>
    <w:rsid w:val="009C0A00"/>
    <w:rsid w:val="009C19AC"/>
    <w:rsid w:val="009C31F8"/>
    <w:rsid w:val="009C3AB5"/>
    <w:rsid w:val="009C4694"/>
    <w:rsid w:val="009C5BC6"/>
    <w:rsid w:val="009C5C1E"/>
    <w:rsid w:val="009C5D43"/>
    <w:rsid w:val="009C7126"/>
    <w:rsid w:val="009C7B26"/>
    <w:rsid w:val="009D15E8"/>
    <w:rsid w:val="009D2608"/>
    <w:rsid w:val="009D292F"/>
    <w:rsid w:val="009D2950"/>
    <w:rsid w:val="009D37DD"/>
    <w:rsid w:val="009D37E2"/>
    <w:rsid w:val="009D391B"/>
    <w:rsid w:val="009D3950"/>
    <w:rsid w:val="009D398F"/>
    <w:rsid w:val="009D5A1D"/>
    <w:rsid w:val="009D5CFE"/>
    <w:rsid w:val="009D60DC"/>
    <w:rsid w:val="009D6639"/>
    <w:rsid w:val="009D6F41"/>
    <w:rsid w:val="009E1486"/>
    <w:rsid w:val="009E2AC0"/>
    <w:rsid w:val="009E2F3D"/>
    <w:rsid w:val="009E358D"/>
    <w:rsid w:val="009E362F"/>
    <w:rsid w:val="009E375D"/>
    <w:rsid w:val="009E5A42"/>
    <w:rsid w:val="009E603C"/>
    <w:rsid w:val="009E620A"/>
    <w:rsid w:val="009E694E"/>
    <w:rsid w:val="009E6A4C"/>
    <w:rsid w:val="009E7532"/>
    <w:rsid w:val="009E7A27"/>
    <w:rsid w:val="009E7D40"/>
    <w:rsid w:val="009E7E49"/>
    <w:rsid w:val="009F0A1A"/>
    <w:rsid w:val="009F3F75"/>
    <w:rsid w:val="009F4C19"/>
    <w:rsid w:val="009F52B1"/>
    <w:rsid w:val="009F6356"/>
    <w:rsid w:val="009F6E70"/>
    <w:rsid w:val="009F71D7"/>
    <w:rsid w:val="009F7364"/>
    <w:rsid w:val="009F7371"/>
    <w:rsid w:val="009F73E0"/>
    <w:rsid w:val="009F75E8"/>
    <w:rsid w:val="00A00763"/>
    <w:rsid w:val="00A00923"/>
    <w:rsid w:val="00A00BEE"/>
    <w:rsid w:val="00A014F2"/>
    <w:rsid w:val="00A01FB1"/>
    <w:rsid w:val="00A02017"/>
    <w:rsid w:val="00A024DC"/>
    <w:rsid w:val="00A0273C"/>
    <w:rsid w:val="00A02C24"/>
    <w:rsid w:val="00A03C23"/>
    <w:rsid w:val="00A05721"/>
    <w:rsid w:val="00A06F7E"/>
    <w:rsid w:val="00A1010F"/>
    <w:rsid w:val="00A111AF"/>
    <w:rsid w:val="00A11912"/>
    <w:rsid w:val="00A122C5"/>
    <w:rsid w:val="00A123A6"/>
    <w:rsid w:val="00A12964"/>
    <w:rsid w:val="00A13974"/>
    <w:rsid w:val="00A140FD"/>
    <w:rsid w:val="00A14521"/>
    <w:rsid w:val="00A157B8"/>
    <w:rsid w:val="00A15D13"/>
    <w:rsid w:val="00A16968"/>
    <w:rsid w:val="00A16A7F"/>
    <w:rsid w:val="00A17273"/>
    <w:rsid w:val="00A177D2"/>
    <w:rsid w:val="00A17DFC"/>
    <w:rsid w:val="00A21087"/>
    <w:rsid w:val="00A219A9"/>
    <w:rsid w:val="00A22061"/>
    <w:rsid w:val="00A22C18"/>
    <w:rsid w:val="00A23CC9"/>
    <w:rsid w:val="00A23E37"/>
    <w:rsid w:val="00A23F71"/>
    <w:rsid w:val="00A23FC3"/>
    <w:rsid w:val="00A24608"/>
    <w:rsid w:val="00A254EF"/>
    <w:rsid w:val="00A257FA"/>
    <w:rsid w:val="00A25EFA"/>
    <w:rsid w:val="00A26082"/>
    <w:rsid w:val="00A26B6F"/>
    <w:rsid w:val="00A26D27"/>
    <w:rsid w:val="00A30580"/>
    <w:rsid w:val="00A30768"/>
    <w:rsid w:val="00A31124"/>
    <w:rsid w:val="00A31267"/>
    <w:rsid w:val="00A317FC"/>
    <w:rsid w:val="00A31990"/>
    <w:rsid w:val="00A33E8F"/>
    <w:rsid w:val="00A34128"/>
    <w:rsid w:val="00A341F8"/>
    <w:rsid w:val="00A346FB"/>
    <w:rsid w:val="00A34B5C"/>
    <w:rsid w:val="00A35C53"/>
    <w:rsid w:val="00A3623B"/>
    <w:rsid w:val="00A36F2C"/>
    <w:rsid w:val="00A37005"/>
    <w:rsid w:val="00A379C7"/>
    <w:rsid w:val="00A41DE9"/>
    <w:rsid w:val="00A4281E"/>
    <w:rsid w:val="00A43B83"/>
    <w:rsid w:val="00A44407"/>
    <w:rsid w:val="00A46105"/>
    <w:rsid w:val="00A461A2"/>
    <w:rsid w:val="00A46588"/>
    <w:rsid w:val="00A46878"/>
    <w:rsid w:val="00A47322"/>
    <w:rsid w:val="00A47AC5"/>
    <w:rsid w:val="00A51FFD"/>
    <w:rsid w:val="00A53114"/>
    <w:rsid w:val="00A53612"/>
    <w:rsid w:val="00A538D2"/>
    <w:rsid w:val="00A54CBF"/>
    <w:rsid w:val="00A55347"/>
    <w:rsid w:val="00A57D87"/>
    <w:rsid w:val="00A57DCF"/>
    <w:rsid w:val="00A600BA"/>
    <w:rsid w:val="00A603BD"/>
    <w:rsid w:val="00A61731"/>
    <w:rsid w:val="00A61D73"/>
    <w:rsid w:val="00A61E01"/>
    <w:rsid w:val="00A61EA8"/>
    <w:rsid w:val="00A63166"/>
    <w:rsid w:val="00A63546"/>
    <w:rsid w:val="00A64261"/>
    <w:rsid w:val="00A648C6"/>
    <w:rsid w:val="00A658BA"/>
    <w:rsid w:val="00A65C41"/>
    <w:rsid w:val="00A66651"/>
    <w:rsid w:val="00A67379"/>
    <w:rsid w:val="00A678E3"/>
    <w:rsid w:val="00A70B20"/>
    <w:rsid w:val="00A70E58"/>
    <w:rsid w:val="00A72C65"/>
    <w:rsid w:val="00A73E9E"/>
    <w:rsid w:val="00A74482"/>
    <w:rsid w:val="00A747AF"/>
    <w:rsid w:val="00A747C1"/>
    <w:rsid w:val="00A76D54"/>
    <w:rsid w:val="00A76FD4"/>
    <w:rsid w:val="00A775F9"/>
    <w:rsid w:val="00A80244"/>
    <w:rsid w:val="00A80628"/>
    <w:rsid w:val="00A80C05"/>
    <w:rsid w:val="00A815CB"/>
    <w:rsid w:val="00A81B88"/>
    <w:rsid w:val="00A81BCE"/>
    <w:rsid w:val="00A81FB9"/>
    <w:rsid w:val="00A820E0"/>
    <w:rsid w:val="00A8294E"/>
    <w:rsid w:val="00A83F85"/>
    <w:rsid w:val="00A84504"/>
    <w:rsid w:val="00A845F5"/>
    <w:rsid w:val="00A847D7"/>
    <w:rsid w:val="00A84C71"/>
    <w:rsid w:val="00A84E04"/>
    <w:rsid w:val="00A857CE"/>
    <w:rsid w:val="00A864F3"/>
    <w:rsid w:val="00A86965"/>
    <w:rsid w:val="00A87516"/>
    <w:rsid w:val="00A90122"/>
    <w:rsid w:val="00A91A53"/>
    <w:rsid w:val="00A91DA9"/>
    <w:rsid w:val="00A92224"/>
    <w:rsid w:val="00A923E4"/>
    <w:rsid w:val="00A92DEF"/>
    <w:rsid w:val="00A930A7"/>
    <w:rsid w:val="00A93536"/>
    <w:rsid w:val="00A94291"/>
    <w:rsid w:val="00A94311"/>
    <w:rsid w:val="00A943C6"/>
    <w:rsid w:val="00A949FD"/>
    <w:rsid w:val="00A955ED"/>
    <w:rsid w:val="00A95C72"/>
    <w:rsid w:val="00A95E10"/>
    <w:rsid w:val="00A96097"/>
    <w:rsid w:val="00A96EE3"/>
    <w:rsid w:val="00A97FAE"/>
    <w:rsid w:val="00AA0362"/>
    <w:rsid w:val="00AA0823"/>
    <w:rsid w:val="00AA0E89"/>
    <w:rsid w:val="00AA10B9"/>
    <w:rsid w:val="00AA11E4"/>
    <w:rsid w:val="00AA2A78"/>
    <w:rsid w:val="00AA36A5"/>
    <w:rsid w:val="00AA46C3"/>
    <w:rsid w:val="00AA51E1"/>
    <w:rsid w:val="00AA543D"/>
    <w:rsid w:val="00AA6BBE"/>
    <w:rsid w:val="00AA76D7"/>
    <w:rsid w:val="00AB07CE"/>
    <w:rsid w:val="00AB0EC0"/>
    <w:rsid w:val="00AB13DA"/>
    <w:rsid w:val="00AB17F2"/>
    <w:rsid w:val="00AB25E5"/>
    <w:rsid w:val="00AB261A"/>
    <w:rsid w:val="00AB333C"/>
    <w:rsid w:val="00AB4374"/>
    <w:rsid w:val="00AB566B"/>
    <w:rsid w:val="00AB620F"/>
    <w:rsid w:val="00AB69C2"/>
    <w:rsid w:val="00AB6F5D"/>
    <w:rsid w:val="00AB7195"/>
    <w:rsid w:val="00AB71A2"/>
    <w:rsid w:val="00AB7D91"/>
    <w:rsid w:val="00AC0182"/>
    <w:rsid w:val="00AC0218"/>
    <w:rsid w:val="00AC102F"/>
    <w:rsid w:val="00AC1497"/>
    <w:rsid w:val="00AC1C37"/>
    <w:rsid w:val="00AC1FC3"/>
    <w:rsid w:val="00AC2DCB"/>
    <w:rsid w:val="00AC361A"/>
    <w:rsid w:val="00AC449E"/>
    <w:rsid w:val="00AC4778"/>
    <w:rsid w:val="00AC4D92"/>
    <w:rsid w:val="00AC52D7"/>
    <w:rsid w:val="00AC635A"/>
    <w:rsid w:val="00AC65CC"/>
    <w:rsid w:val="00AC75C6"/>
    <w:rsid w:val="00AC7C23"/>
    <w:rsid w:val="00AD01CA"/>
    <w:rsid w:val="00AD2465"/>
    <w:rsid w:val="00AD297B"/>
    <w:rsid w:val="00AD329F"/>
    <w:rsid w:val="00AD3C82"/>
    <w:rsid w:val="00AD537E"/>
    <w:rsid w:val="00AD59FC"/>
    <w:rsid w:val="00AD60B0"/>
    <w:rsid w:val="00AD62DD"/>
    <w:rsid w:val="00AD67EF"/>
    <w:rsid w:val="00AD6B7E"/>
    <w:rsid w:val="00AD70DB"/>
    <w:rsid w:val="00AD7585"/>
    <w:rsid w:val="00AD76FE"/>
    <w:rsid w:val="00AD7D0D"/>
    <w:rsid w:val="00AD7D37"/>
    <w:rsid w:val="00AD7FEE"/>
    <w:rsid w:val="00AE0E00"/>
    <w:rsid w:val="00AE0FA7"/>
    <w:rsid w:val="00AE34EA"/>
    <w:rsid w:val="00AE53DA"/>
    <w:rsid w:val="00AE5CFC"/>
    <w:rsid w:val="00AE72AE"/>
    <w:rsid w:val="00AE760B"/>
    <w:rsid w:val="00AF0F02"/>
    <w:rsid w:val="00AF1E15"/>
    <w:rsid w:val="00AF2921"/>
    <w:rsid w:val="00AF2ADB"/>
    <w:rsid w:val="00AF336A"/>
    <w:rsid w:val="00AF52FA"/>
    <w:rsid w:val="00AF559E"/>
    <w:rsid w:val="00AF7043"/>
    <w:rsid w:val="00AF723E"/>
    <w:rsid w:val="00AF785B"/>
    <w:rsid w:val="00B00430"/>
    <w:rsid w:val="00B011AF"/>
    <w:rsid w:val="00B01355"/>
    <w:rsid w:val="00B018B0"/>
    <w:rsid w:val="00B01CD9"/>
    <w:rsid w:val="00B025BA"/>
    <w:rsid w:val="00B03252"/>
    <w:rsid w:val="00B03592"/>
    <w:rsid w:val="00B03E94"/>
    <w:rsid w:val="00B04428"/>
    <w:rsid w:val="00B04A70"/>
    <w:rsid w:val="00B04D7F"/>
    <w:rsid w:val="00B05DFE"/>
    <w:rsid w:val="00B05EA6"/>
    <w:rsid w:val="00B066D3"/>
    <w:rsid w:val="00B06834"/>
    <w:rsid w:val="00B06BE6"/>
    <w:rsid w:val="00B100C2"/>
    <w:rsid w:val="00B103D0"/>
    <w:rsid w:val="00B104D5"/>
    <w:rsid w:val="00B11E16"/>
    <w:rsid w:val="00B11E50"/>
    <w:rsid w:val="00B120B7"/>
    <w:rsid w:val="00B12403"/>
    <w:rsid w:val="00B13061"/>
    <w:rsid w:val="00B130C2"/>
    <w:rsid w:val="00B13191"/>
    <w:rsid w:val="00B1631B"/>
    <w:rsid w:val="00B17EF9"/>
    <w:rsid w:val="00B17FB0"/>
    <w:rsid w:val="00B21781"/>
    <w:rsid w:val="00B21A13"/>
    <w:rsid w:val="00B22BC0"/>
    <w:rsid w:val="00B22E3E"/>
    <w:rsid w:val="00B23949"/>
    <w:rsid w:val="00B24515"/>
    <w:rsid w:val="00B246D0"/>
    <w:rsid w:val="00B24E71"/>
    <w:rsid w:val="00B268DC"/>
    <w:rsid w:val="00B27283"/>
    <w:rsid w:val="00B30672"/>
    <w:rsid w:val="00B3070B"/>
    <w:rsid w:val="00B30A0A"/>
    <w:rsid w:val="00B318D8"/>
    <w:rsid w:val="00B32DB4"/>
    <w:rsid w:val="00B32E22"/>
    <w:rsid w:val="00B333CB"/>
    <w:rsid w:val="00B339DC"/>
    <w:rsid w:val="00B339E5"/>
    <w:rsid w:val="00B33EDA"/>
    <w:rsid w:val="00B33F09"/>
    <w:rsid w:val="00B34487"/>
    <w:rsid w:val="00B34800"/>
    <w:rsid w:val="00B348BD"/>
    <w:rsid w:val="00B348EC"/>
    <w:rsid w:val="00B34D32"/>
    <w:rsid w:val="00B35E0E"/>
    <w:rsid w:val="00B365EC"/>
    <w:rsid w:val="00B36E0F"/>
    <w:rsid w:val="00B36E8E"/>
    <w:rsid w:val="00B37B5F"/>
    <w:rsid w:val="00B37BFA"/>
    <w:rsid w:val="00B37E40"/>
    <w:rsid w:val="00B40D7C"/>
    <w:rsid w:val="00B40E0E"/>
    <w:rsid w:val="00B41629"/>
    <w:rsid w:val="00B41F73"/>
    <w:rsid w:val="00B43890"/>
    <w:rsid w:val="00B43E59"/>
    <w:rsid w:val="00B4434E"/>
    <w:rsid w:val="00B44A30"/>
    <w:rsid w:val="00B44AFD"/>
    <w:rsid w:val="00B45121"/>
    <w:rsid w:val="00B45CD4"/>
    <w:rsid w:val="00B46EFE"/>
    <w:rsid w:val="00B476E6"/>
    <w:rsid w:val="00B504C9"/>
    <w:rsid w:val="00B51647"/>
    <w:rsid w:val="00B52506"/>
    <w:rsid w:val="00B52C86"/>
    <w:rsid w:val="00B53729"/>
    <w:rsid w:val="00B5375E"/>
    <w:rsid w:val="00B53F3C"/>
    <w:rsid w:val="00B53FEF"/>
    <w:rsid w:val="00B54348"/>
    <w:rsid w:val="00B544E3"/>
    <w:rsid w:val="00B5453B"/>
    <w:rsid w:val="00B546F8"/>
    <w:rsid w:val="00B547A3"/>
    <w:rsid w:val="00B5484E"/>
    <w:rsid w:val="00B54C43"/>
    <w:rsid w:val="00B54CB3"/>
    <w:rsid w:val="00B54ECF"/>
    <w:rsid w:val="00B55652"/>
    <w:rsid w:val="00B563CC"/>
    <w:rsid w:val="00B566A0"/>
    <w:rsid w:val="00B56C97"/>
    <w:rsid w:val="00B56FEE"/>
    <w:rsid w:val="00B57F88"/>
    <w:rsid w:val="00B57FB8"/>
    <w:rsid w:val="00B60FBD"/>
    <w:rsid w:val="00B63677"/>
    <w:rsid w:val="00B63934"/>
    <w:rsid w:val="00B6521E"/>
    <w:rsid w:val="00B652DE"/>
    <w:rsid w:val="00B656D8"/>
    <w:rsid w:val="00B65775"/>
    <w:rsid w:val="00B65D57"/>
    <w:rsid w:val="00B65EFB"/>
    <w:rsid w:val="00B662C8"/>
    <w:rsid w:val="00B674A4"/>
    <w:rsid w:val="00B67556"/>
    <w:rsid w:val="00B67C77"/>
    <w:rsid w:val="00B71BF9"/>
    <w:rsid w:val="00B722BE"/>
    <w:rsid w:val="00B72D65"/>
    <w:rsid w:val="00B7333E"/>
    <w:rsid w:val="00B73BD2"/>
    <w:rsid w:val="00B73EC3"/>
    <w:rsid w:val="00B74A32"/>
    <w:rsid w:val="00B75CA8"/>
    <w:rsid w:val="00B75D2B"/>
    <w:rsid w:val="00B764C9"/>
    <w:rsid w:val="00B76959"/>
    <w:rsid w:val="00B772AE"/>
    <w:rsid w:val="00B804FA"/>
    <w:rsid w:val="00B80FAD"/>
    <w:rsid w:val="00B81529"/>
    <w:rsid w:val="00B826D8"/>
    <w:rsid w:val="00B8280E"/>
    <w:rsid w:val="00B8310B"/>
    <w:rsid w:val="00B83114"/>
    <w:rsid w:val="00B83FF3"/>
    <w:rsid w:val="00B842DC"/>
    <w:rsid w:val="00B84372"/>
    <w:rsid w:val="00B84464"/>
    <w:rsid w:val="00B845FE"/>
    <w:rsid w:val="00B8513A"/>
    <w:rsid w:val="00B85197"/>
    <w:rsid w:val="00B86228"/>
    <w:rsid w:val="00B8673F"/>
    <w:rsid w:val="00B869D0"/>
    <w:rsid w:val="00B87169"/>
    <w:rsid w:val="00B874BA"/>
    <w:rsid w:val="00B87AC2"/>
    <w:rsid w:val="00B90112"/>
    <w:rsid w:val="00B91449"/>
    <w:rsid w:val="00B92039"/>
    <w:rsid w:val="00B92AD7"/>
    <w:rsid w:val="00B92CA2"/>
    <w:rsid w:val="00B92D7B"/>
    <w:rsid w:val="00B9401E"/>
    <w:rsid w:val="00B94699"/>
    <w:rsid w:val="00B951A9"/>
    <w:rsid w:val="00B955D3"/>
    <w:rsid w:val="00B95FD7"/>
    <w:rsid w:val="00B96A69"/>
    <w:rsid w:val="00B97672"/>
    <w:rsid w:val="00B9798E"/>
    <w:rsid w:val="00BA0A13"/>
    <w:rsid w:val="00BA1991"/>
    <w:rsid w:val="00BA1DDC"/>
    <w:rsid w:val="00BA3843"/>
    <w:rsid w:val="00BA38F7"/>
    <w:rsid w:val="00BA439F"/>
    <w:rsid w:val="00BA5872"/>
    <w:rsid w:val="00BA5893"/>
    <w:rsid w:val="00BA6411"/>
    <w:rsid w:val="00BA70DE"/>
    <w:rsid w:val="00BA7A4D"/>
    <w:rsid w:val="00BA7F9D"/>
    <w:rsid w:val="00BB044E"/>
    <w:rsid w:val="00BB04A2"/>
    <w:rsid w:val="00BB133C"/>
    <w:rsid w:val="00BB273C"/>
    <w:rsid w:val="00BB41DA"/>
    <w:rsid w:val="00BB4211"/>
    <w:rsid w:val="00BB4539"/>
    <w:rsid w:val="00BB460F"/>
    <w:rsid w:val="00BB5723"/>
    <w:rsid w:val="00BB675F"/>
    <w:rsid w:val="00BB6C55"/>
    <w:rsid w:val="00BB71BE"/>
    <w:rsid w:val="00BC037A"/>
    <w:rsid w:val="00BC1124"/>
    <w:rsid w:val="00BC1429"/>
    <w:rsid w:val="00BC15FB"/>
    <w:rsid w:val="00BC2101"/>
    <w:rsid w:val="00BC2995"/>
    <w:rsid w:val="00BC398A"/>
    <w:rsid w:val="00BC3B08"/>
    <w:rsid w:val="00BC407F"/>
    <w:rsid w:val="00BC4B72"/>
    <w:rsid w:val="00BC50D0"/>
    <w:rsid w:val="00BC55B0"/>
    <w:rsid w:val="00BC5C47"/>
    <w:rsid w:val="00BC7172"/>
    <w:rsid w:val="00BC74E9"/>
    <w:rsid w:val="00BC75B8"/>
    <w:rsid w:val="00BC7864"/>
    <w:rsid w:val="00BC7E87"/>
    <w:rsid w:val="00BD0130"/>
    <w:rsid w:val="00BD1373"/>
    <w:rsid w:val="00BD1581"/>
    <w:rsid w:val="00BD2462"/>
    <w:rsid w:val="00BD3A80"/>
    <w:rsid w:val="00BD3C9E"/>
    <w:rsid w:val="00BD41BE"/>
    <w:rsid w:val="00BD46E4"/>
    <w:rsid w:val="00BD4811"/>
    <w:rsid w:val="00BD4DC3"/>
    <w:rsid w:val="00BD525A"/>
    <w:rsid w:val="00BD56D8"/>
    <w:rsid w:val="00BD582D"/>
    <w:rsid w:val="00BD5ADA"/>
    <w:rsid w:val="00BD5E93"/>
    <w:rsid w:val="00BD6436"/>
    <w:rsid w:val="00BD66D3"/>
    <w:rsid w:val="00BD7703"/>
    <w:rsid w:val="00BD7A5F"/>
    <w:rsid w:val="00BD7E27"/>
    <w:rsid w:val="00BE15B9"/>
    <w:rsid w:val="00BE2FE1"/>
    <w:rsid w:val="00BE3254"/>
    <w:rsid w:val="00BE4F7E"/>
    <w:rsid w:val="00BE50B0"/>
    <w:rsid w:val="00BE682A"/>
    <w:rsid w:val="00BE6B09"/>
    <w:rsid w:val="00BE7614"/>
    <w:rsid w:val="00BE7ED6"/>
    <w:rsid w:val="00BF05C8"/>
    <w:rsid w:val="00BF0B8F"/>
    <w:rsid w:val="00BF0C4F"/>
    <w:rsid w:val="00BF102D"/>
    <w:rsid w:val="00BF1B56"/>
    <w:rsid w:val="00BF22A4"/>
    <w:rsid w:val="00BF2446"/>
    <w:rsid w:val="00BF2766"/>
    <w:rsid w:val="00BF49E2"/>
    <w:rsid w:val="00BF6191"/>
    <w:rsid w:val="00BF6590"/>
    <w:rsid w:val="00BF6A32"/>
    <w:rsid w:val="00BF70AE"/>
    <w:rsid w:val="00BF78AA"/>
    <w:rsid w:val="00BF790E"/>
    <w:rsid w:val="00BF7F5C"/>
    <w:rsid w:val="00C0006B"/>
    <w:rsid w:val="00C007BF"/>
    <w:rsid w:val="00C00923"/>
    <w:rsid w:val="00C0145A"/>
    <w:rsid w:val="00C0175F"/>
    <w:rsid w:val="00C02854"/>
    <w:rsid w:val="00C034A9"/>
    <w:rsid w:val="00C062DD"/>
    <w:rsid w:val="00C065FF"/>
    <w:rsid w:val="00C0697D"/>
    <w:rsid w:val="00C06AAF"/>
    <w:rsid w:val="00C07136"/>
    <w:rsid w:val="00C07386"/>
    <w:rsid w:val="00C10CC4"/>
    <w:rsid w:val="00C11707"/>
    <w:rsid w:val="00C1170C"/>
    <w:rsid w:val="00C11BEB"/>
    <w:rsid w:val="00C1240B"/>
    <w:rsid w:val="00C12BCE"/>
    <w:rsid w:val="00C12EBB"/>
    <w:rsid w:val="00C1339F"/>
    <w:rsid w:val="00C153B0"/>
    <w:rsid w:val="00C162ED"/>
    <w:rsid w:val="00C1686A"/>
    <w:rsid w:val="00C16872"/>
    <w:rsid w:val="00C16938"/>
    <w:rsid w:val="00C16CC5"/>
    <w:rsid w:val="00C17285"/>
    <w:rsid w:val="00C17EE7"/>
    <w:rsid w:val="00C20336"/>
    <w:rsid w:val="00C21D90"/>
    <w:rsid w:val="00C23020"/>
    <w:rsid w:val="00C232F8"/>
    <w:rsid w:val="00C24580"/>
    <w:rsid w:val="00C25AA9"/>
    <w:rsid w:val="00C26551"/>
    <w:rsid w:val="00C26BDB"/>
    <w:rsid w:val="00C26C08"/>
    <w:rsid w:val="00C306D7"/>
    <w:rsid w:val="00C34179"/>
    <w:rsid w:val="00C346A7"/>
    <w:rsid w:val="00C34A00"/>
    <w:rsid w:val="00C350E6"/>
    <w:rsid w:val="00C3511A"/>
    <w:rsid w:val="00C3533D"/>
    <w:rsid w:val="00C35B87"/>
    <w:rsid w:val="00C37200"/>
    <w:rsid w:val="00C3726F"/>
    <w:rsid w:val="00C37AFC"/>
    <w:rsid w:val="00C40623"/>
    <w:rsid w:val="00C40BDF"/>
    <w:rsid w:val="00C4107C"/>
    <w:rsid w:val="00C413B6"/>
    <w:rsid w:val="00C430DE"/>
    <w:rsid w:val="00C43593"/>
    <w:rsid w:val="00C442DC"/>
    <w:rsid w:val="00C44A13"/>
    <w:rsid w:val="00C451EF"/>
    <w:rsid w:val="00C4562E"/>
    <w:rsid w:val="00C45987"/>
    <w:rsid w:val="00C45A37"/>
    <w:rsid w:val="00C45B0F"/>
    <w:rsid w:val="00C479EA"/>
    <w:rsid w:val="00C47B6B"/>
    <w:rsid w:val="00C502D3"/>
    <w:rsid w:val="00C50F7F"/>
    <w:rsid w:val="00C5136D"/>
    <w:rsid w:val="00C51A7B"/>
    <w:rsid w:val="00C52350"/>
    <w:rsid w:val="00C52F6F"/>
    <w:rsid w:val="00C52F87"/>
    <w:rsid w:val="00C53139"/>
    <w:rsid w:val="00C532D1"/>
    <w:rsid w:val="00C54254"/>
    <w:rsid w:val="00C54413"/>
    <w:rsid w:val="00C55391"/>
    <w:rsid w:val="00C55588"/>
    <w:rsid w:val="00C56611"/>
    <w:rsid w:val="00C57624"/>
    <w:rsid w:val="00C57AF7"/>
    <w:rsid w:val="00C61313"/>
    <w:rsid w:val="00C61DE3"/>
    <w:rsid w:val="00C62550"/>
    <w:rsid w:val="00C632DF"/>
    <w:rsid w:val="00C63511"/>
    <w:rsid w:val="00C63D0C"/>
    <w:rsid w:val="00C63D9D"/>
    <w:rsid w:val="00C63F09"/>
    <w:rsid w:val="00C64239"/>
    <w:rsid w:val="00C6477D"/>
    <w:rsid w:val="00C647A3"/>
    <w:rsid w:val="00C64F7F"/>
    <w:rsid w:val="00C652A1"/>
    <w:rsid w:val="00C65559"/>
    <w:rsid w:val="00C659F9"/>
    <w:rsid w:val="00C661DC"/>
    <w:rsid w:val="00C66345"/>
    <w:rsid w:val="00C67230"/>
    <w:rsid w:val="00C707BA"/>
    <w:rsid w:val="00C70E00"/>
    <w:rsid w:val="00C7201C"/>
    <w:rsid w:val="00C73229"/>
    <w:rsid w:val="00C73336"/>
    <w:rsid w:val="00C73A9B"/>
    <w:rsid w:val="00C73EAE"/>
    <w:rsid w:val="00C74AFE"/>
    <w:rsid w:val="00C7536F"/>
    <w:rsid w:val="00C75425"/>
    <w:rsid w:val="00C76278"/>
    <w:rsid w:val="00C76838"/>
    <w:rsid w:val="00C7786A"/>
    <w:rsid w:val="00C77C78"/>
    <w:rsid w:val="00C80FA2"/>
    <w:rsid w:val="00C8297B"/>
    <w:rsid w:val="00C82B1D"/>
    <w:rsid w:val="00C82E65"/>
    <w:rsid w:val="00C838BA"/>
    <w:rsid w:val="00C8438F"/>
    <w:rsid w:val="00C846E1"/>
    <w:rsid w:val="00C84E8A"/>
    <w:rsid w:val="00C85984"/>
    <w:rsid w:val="00C86C69"/>
    <w:rsid w:val="00C87EFF"/>
    <w:rsid w:val="00C903B5"/>
    <w:rsid w:val="00C91A4F"/>
    <w:rsid w:val="00C92555"/>
    <w:rsid w:val="00C9369B"/>
    <w:rsid w:val="00C93FC7"/>
    <w:rsid w:val="00C9453A"/>
    <w:rsid w:val="00C94FB9"/>
    <w:rsid w:val="00C95939"/>
    <w:rsid w:val="00C95BE9"/>
    <w:rsid w:val="00C9628B"/>
    <w:rsid w:val="00C96301"/>
    <w:rsid w:val="00CA0297"/>
    <w:rsid w:val="00CA108E"/>
    <w:rsid w:val="00CA1EC2"/>
    <w:rsid w:val="00CA1EF8"/>
    <w:rsid w:val="00CA2291"/>
    <w:rsid w:val="00CA2745"/>
    <w:rsid w:val="00CA28C2"/>
    <w:rsid w:val="00CA2BA2"/>
    <w:rsid w:val="00CA36A9"/>
    <w:rsid w:val="00CA3C6B"/>
    <w:rsid w:val="00CA40EE"/>
    <w:rsid w:val="00CA46C1"/>
    <w:rsid w:val="00CA4A8D"/>
    <w:rsid w:val="00CA4C56"/>
    <w:rsid w:val="00CA51F0"/>
    <w:rsid w:val="00CA56C3"/>
    <w:rsid w:val="00CA5B54"/>
    <w:rsid w:val="00CA6029"/>
    <w:rsid w:val="00CA6D9E"/>
    <w:rsid w:val="00CA7486"/>
    <w:rsid w:val="00CA7879"/>
    <w:rsid w:val="00CB10AB"/>
    <w:rsid w:val="00CB12AC"/>
    <w:rsid w:val="00CB1968"/>
    <w:rsid w:val="00CB337C"/>
    <w:rsid w:val="00CB33FC"/>
    <w:rsid w:val="00CB3FBA"/>
    <w:rsid w:val="00CB59B6"/>
    <w:rsid w:val="00CB6556"/>
    <w:rsid w:val="00CB72B0"/>
    <w:rsid w:val="00CC06E1"/>
    <w:rsid w:val="00CC4A46"/>
    <w:rsid w:val="00CC72ED"/>
    <w:rsid w:val="00CC785D"/>
    <w:rsid w:val="00CC7B46"/>
    <w:rsid w:val="00CD0C0F"/>
    <w:rsid w:val="00CD1266"/>
    <w:rsid w:val="00CD184D"/>
    <w:rsid w:val="00CD184F"/>
    <w:rsid w:val="00CD1A9D"/>
    <w:rsid w:val="00CD20DD"/>
    <w:rsid w:val="00CD3259"/>
    <w:rsid w:val="00CD341E"/>
    <w:rsid w:val="00CD54AC"/>
    <w:rsid w:val="00CD5763"/>
    <w:rsid w:val="00CD63E5"/>
    <w:rsid w:val="00CD6495"/>
    <w:rsid w:val="00CD67AE"/>
    <w:rsid w:val="00CD728F"/>
    <w:rsid w:val="00CD7653"/>
    <w:rsid w:val="00CE0370"/>
    <w:rsid w:val="00CE04D3"/>
    <w:rsid w:val="00CE0820"/>
    <w:rsid w:val="00CE1079"/>
    <w:rsid w:val="00CE156C"/>
    <w:rsid w:val="00CE1A74"/>
    <w:rsid w:val="00CE1B93"/>
    <w:rsid w:val="00CE1F18"/>
    <w:rsid w:val="00CE1FA8"/>
    <w:rsid w:val="00CE20D7"/>
    <w:rsid w:val="00CE3826"/>
    <w:rsid w:val="00CE3A05"/>
    <w:rsid w:val="00CE4D2B"/>
    <w:rsid w:val="00CE6DA8"/>
    <w:rsid w:val="00CE7AE4"/>
    <w:rsid w:val="00CE7F3C"/>
    <w:rsid w:val="00CF037B"/>
    <w:rsid w:val="00CF037C"/>
    <w:rsid w:val="00CF0AD3"/>
    <w:rsid w:val="00CF2162"/>
    <w:rsid w:val="00CF315E"/>
    <w:rsid w:val="00CF3B6E"/>
    <w:rsid w:val="00CF4C8C"/>
    <w:rsid w:val="00CF5878"/>
    <w:rsid w:val="00CF5E40"/>
    <w:rsid w:val="00CF6578"/>
    <w:rsid w:val="00CF6A91"/>
    <w:rsid w:val="00CF7827"/>
    <w:rsid w:val="00CF7CCC"/>
    <w:rsid w:val="00D0059A"/>
    <w:rsid w:val="00D01490"/>
    <w:rsid w:val="00D01586"/>
    <w:rsid w:val="00D02B3B"/>
    <w:rsid w:val="00D02EDC"/>
    <w:rsid w:val="00D04A78"/>
    <w:rsid w:val="00D04BBD"/>
    <w:rsid w:val="00D04D03"/>
    <w:rsid w:val="00D04FA1"/>
    <w:rsid w:val="00D0662C"/>
    <w:rsid w:val="00D069D1"/>
    <w:rsid w:val="00D06E24"/>
    <w:rsid w:val="00D107D5"/>
    <w:rsid w:val="00D10BEE"/>
    <w:rsid w:val="00D10E4B"/>
    <w:rsid w:val="00D1153B"/>
    <w:rsid w:val="00D12035"/>
    <w:rsid w:val="00D12592"/>
    <w:rsid w:val="00D127FD"/>
    <w:rsid w:val="00D13612"/>
    <w:rsid w:val="00D14479"/>
    <w:rsid w:val="00D149D5"/>
    <w:rsid w:val="00D15C2E"/>
    <w:rsid w:val="00D16271"/>
    <w:rsid w:val="00D16D46"/>
    <w:rsid w:val="00D16D7F"/>
    <w:rsid w:val="00D17A9B"/>
    <w:rsid w:val="00D2139A"/>
    <w:rsid w:val="00D21A85"/>
    <w:rsid w:val="00D228CC"/>
    <w:rsid w:val="00D23089"/>
    <w:rsid w:val="00D23C95"/>
    <w:rsid w:val="00D24A7E"/>
    <w:rsid w:val="00D2643B"/>
    <w:rsid w:val="00D26783"/>
    <w:rsid w:val="00D277DA"/>
    <w:rsid w:val="00D27A09"/>
    <w:rsid w:val="00D3214F"/>
    <w:rsid w:val="00D3316E"/>
    <w:rsid w:val="00D3343F"/>
    <w:rsid w:val="00D3383B"/>
    <w:rsid w:val="00D349FF"/>
    <w:rsid w:val="00D34C4A"/>
    <w:rsid w:val="00D3501B"/>
    <w:rsid w:val="00D361FD"/>
    <w:rsid w:val="00D37154"/>
    <w:rsid w:val="00D3729A"/>
    <w:rsid w:val="00D400EA"/>
    <w:rsid w:val="00D40293"/>
    <w:rsid w:val="00D402A5"/>
    <w:rsid w:val="00D4045A"/>
    <w:rsid w:val="00D406D0"/>
    <w:rsid w:val="00D40A35"/>
    <w:rsid w:val="00D41089"/>
    <w:rsid w:val="00D41304"/>
    <w:rsid w:val="00D41AE9"/>
    <w:rsid w:val="00D41F3E"/>
    <w:rsid w:val="00D42F73"/>
    <w:rsid w:val="00D4320C"/>
    <w:rsid w:val="00D439E9"/>
    <w:rsid w:val="00D44B38"/>
    <w:rsid w:val="00D45880"/>
    <w:rsid w:val="00D458B1"/>
    <w:rsid w:val="00D459D3"/>
    <w:rsid w:val="00D4623E"/>
    <w:rsid w:val="00D46C2B"/>
    <w:rsid w:val="00D470F7"/>
    <w:rsid w:val="00D475D7"/>
    <w:rsid w:val="00D47840"/>
    <w:rsid w:val="00D478B9"/>
    <w:rsid w:val="00D5005E"/>
    <w:rsid w:val="00D5005F"/>
    <w:rsid w:val="00D508C7"/>
    <w:rsid w:val="00D50B85"/>
    <w:rsid w:val="00D516FE"/>
    <w:rsid w:val="00D51938"/>
    <w:rsid w:val="00D51EE2"/>
    <w:rsid w:val="00D52014"/>
    <w:rsid w:val="00D52289"/>
    <w:rsid w:val="00D52D6C"/>
    <w:rsid w:val="00D540E7"/>
    <w:rsid w:val="00D5483C"/>
    <w:rsid w:val="00D54C61"/>
    <w:rsid w:val="00D5503D"/>
    <w:rsid w:val="00D55619"/>
    <w:rsid w:val="00D55737"/>
    <w:rsid w:val="00D5580D"/>
    <w:rsid w:val="00D559EE"/>
    <w:rsid w:val="00D56103"/>
    <w:rsid w:val="00D56641"/>
    <w:rsid w:val="00D56654"/>
    <w:rsid w:val="00D56FD3"/>
    <w:rsid w:val="00D57ACB"/>
    <w:rsid w:val="00D57AFC"/>
    <w:rsid w:val="00D57D2B"/>
    <w:rsid w:val="00D603C6"/>
    <w:rsid w:val="00D60728"/>
    <w:rsid w:val="00D60B83"/>
    <w:rsid w:val="00D613FB"/>
    <w:rsid w:val="00D62065"/>
    <w:rsid w:val="00D623B9"/>
    <w:rsid w:val="00D62A22"/>
    <w:rsid w:val="00D62BFE"/>
    <w:rsid w:val="00D63A80"/>
    <w:rsid w:val="00D63E88"/>
    <w:rsid w:val="00D647BF"/>
    <w:rsid w:val="00D64D37"/>
    <w:rsid w:val="00D650C5"/>
    <w:rsid w:val="00D6549A"/>
    <w:rsid w:val="00D65C56"/>
    <w:rsid w:val="00D65D09"/>
    <w:rsid w:val="00D663C5"/>
    <w:rsid w:val="00D6744D"/>
    <w:rsid w:val="00D67A94"/>
    <w:rsid w:val="00D7018D"/>
    <w:rsid w:val="00D713AE"/>
    <w:rsid w:val="00D713CB"/>
    <w:rsid w:val="00D72AD6"/>
    <w:rsid w:val="00D72BFB"/>
    <w:rsid w:val="00D72E7A"/>
    <w:rsid w:val="00D733EA"/>
    <w:rsid w:val="00D75A54"/>
    <w:rsid w:val="00D7608D"/>
    <w:rsid w:val="00D76557"/>
    <w:rsid w:val="00D8066F"/>
    <w:rsid w:val="00D818F5"/>
    <w:rsid w:val="00D81A27"/>
    <w:rsid w:val="00D81F20"/>
    <w:rsid w:val="00D82B56"/>
    <w:rsid w:val="00D833A5"/>
    <w:rsid w:val="00D8420D"/>
    <w:rsid w:val="00D84A02"/>
    <w:rsid w:val="00D86175"/>
    <w:rsid w:val="00D86189"/>
    <w:rsid w:val="00D8618F"/>
    <w:rsid w:val="00D862F3"/>
    <w:rsid w:val="00D866E7"/>
    <w:rsid w:val="00D874E1"/>
    <w:rsid w:val="00D87824"/>
    <w:rsid w:val="00D87B4B"/>
    <w:rsid w:val="00D90413"/>
    <w:rsid w:val="00D910C3"/>
    <w:rsid w:val="00D913B8"/>
    <w:rsid w:val="00D919FA"/>
    <w:rsid w:val="00D922C8"/>
    <w:rsid w:val="00D93468"/>
    <w:rsid w:val="00D9463B"/>
    <w:rsid w:val="00D95501"/>
    <w:rsid w:val="00D975BF"/>
    <w:rsid w:val="00DA1878"/>
    <w:rsid w:val="00DA2800"/>
    <w:rsid w:val="00DA3599"/>
    <w:rsid w:val="00DA360A"/>
    <w:rsid w:val="00DA404D"/>
    <w:rsid w:val="00DA491A"/>
    <w:rsid w:val="00DA7128"/>
    <w:rsid w:val="00DA76D7"/>
    <w:rsid w:val="00DB0791"/>
    <w:rsid w:val="00DB0856"/>
    <w:rsid w:val="00DB1B31"/>
    <w:rsid w:val="00DB2630"/>
    <w:rsid w:val="00DB398B"/>
    <w:rsid w:val="00DB4057"/>
    <w:rsid w:val="00DB405F"/>
    <w:rsid w:val="00DB4656"/>
    <w:rsid w:val="00DB50A4"/>
    <w:rsid w:val="00DB5859"/>
    <w:rsid w:val="00DB5CEF"/>
    <w:rsid w:val="00DB5F04"/>
    <w:rsid w:val="00DB6731"/>
    <w:rsid w:val="00DB6902"/>
    <w:rsid w:val="00DB6939"/>
    <w:rsid w:val="00DB727F"/>
    <w:rsid w:val="00DB740C"/>
    <w:rsid w:val="00DB74BB"/>
    <w:rsid w:val="00DB77E8"/>
    <w:rsid w:val="00DC034B"/>
    <w:rsid w:val="00DC0958"/>
    <w:rsid w:val="00DC1520"/>
    <w:rsid w:val="00DC19C5"/>
    <w:rsid w:val="00DC1AC9"/>
    <w:rsid w:val="00DC49CC"/>
    <w:rsid w:val="00DC5FA1"/>
    <w:rsid w:val="00DC611E"/>
    <w:rsid w:val="00DC6528"/>
    <w:rsid w:val="00DC6F1F"/>
    <w:rsid w:val="00DC7539"/>
    <w:rsid w:val="00DC7667"/>
    <w:rsid w:val="00DD0028"/>
    <w:rsid w:val="00DD0C0B"/>
    <w:rsid w:val="00DD192C"/>
    <w:rsid w:val="00DD1F81"/>
    <w:rsid w:val="00DD228E"/>
    <w:rsid w:val="00DD3507"/>
    <w:rsid w:val="00DD49C4"/>
    <w:rsid w:val="00DD53D4"/>
    <w:rsid w:val="00DD6295"/>
    <w:rsid w:val="00DD64F5"/>
    <w:rsid w:val="00DD665C"/>
    <w:rsid w:val="00DD6870"/>
    <w:rsid w:val="00DD7185"/>
    <w:rsid w:val="00DE1133"/>
    <w:rsid w:val="00DE15FD"/>
    <w:rsid w:val="00DE1FB9"/>
    <w:rsid w:val="00DE2B92"/>
    <w:rsid w:val="00DE2C0D"/>
    <w:rsid w:val="00DE37C6"/>
    <w:rsid w:val="00DE38D8"/>
    <w:rsid w:val="00DE3C15"/>
    <w:rsid w:val="00DE402B"/>
    <w:rsid w:val="00DE49F6"/>
    <w:rsid w:val="00DE5B75"/>
    <w:rsid w:val="00DE65C4"/>
    <w:rsid w:val="00DE769A"/>
    <w:rsid w:val="00DF26AB"/>
    <w:rsid w:val="00DF29B9"/>
    <w:rsid w:val="00DF2D7C"/>
    <w:rsid w:val="00DF3B65"/>
    <w:rsid w:val="00DF4202"/>
    <w:rsid w:val="00DF443A"/>
    <w:rsid w:val="00DF4DD7"/>
    <w:rsid w:val="00DF50A6"/>
    <w:rsid w:val="00DF55F5"/>
    <w:rsid w:val="00DF57B1"/>
    <w:rsid w:val="00DF58C6"/>
    <w:rsid w:val="00DF592E"/>
    <w:rsid w:val="00DF6201"/>
    <w:rsid w:val="00DF636E"/>
    <w:rsid w:val="00DF6461"/>
    <w:rsid w:val="00DF6A24"/>
    <w:rsid w:val="00DF7658"/>
    <w:rsid w:val="00DF7731"/>
    <w:rsid w:val="00DF7C65"/>
    <w:rsid w:val="00E019A3"/>
    <w:rsid w:val="00E0202D"/>
    <w:rsid w:val="00E03243"/>
    <w:rsid w:val="00E037DA"/>
    <w:rsid w:val="00E03854"/>
    <w:rsid w:val="00E03C8F"/>
    <w:rsid w:val="00E03FE2"/>
    <w:rsid w:val="00E045C7"/>
    <w:rsid w:val="00E04AFD"/>
    <w:rsid w:val="00E06341"/>
    <w:rsid w:val="00E06352"/>
    <w:rsid w:val="00E10090"/>
    <w:rsid w:val="00E10B68"/>
    <w:rsid w:val="00E11A92"/>
    <w:rsid w:val="00E135B7"/>
    <w:rsid w:val="00E139C0"/>
    <w:rsid w:val="00E14432"/>
    <w:rsid w:val="00E14560"/>
    <w:rsid w:val="00E15170"/>
    <w:rsid w:val="00E16233"/>
    <w:rsid w:val="00E16807"/>
    <w:rsid w:val="00E200E1"/>
    <w:rsid w:val="00E20C0A"/>
    <w:rsid w:val="00E213BB"/>
    <w:rsid w:val="00E223BA"/>
    <w:rsid w:val="00E229D5"/>
    <w:rsid w:val="00E24F5A"/>
    <w:rsid w:val="00E2603B"/>
    <w:rsid w:val="00E26B35"/>
    <w:rsid w:val="00E26E6C"/>
    <w:rsid w:val="00E30182"/>
    <w:rsid w:val="00E30FB5"/>
    <w:rsid w:val="00E31485"/>
    <w:rsid w:val="00E31A1F"/>
    <w:rsid w:val="00E31D47"/>
    <w:rsid w:val="00E322D4"/>
    <w:rsid w:val="00E32FD8"/>
    <w:rsid w:val="00E345DC"/>
    <w:rsid w:val="00E3481A"/>
    <w:rsid w:val="00E3554F"/>
    <w:rsid w:val="00E36E2B"/>
    <w:rsid w:val="00E40CAD"/>
    <w:rsid w:val="00E416E6"/>
    <w:rsid w:val="00E419EF"/>
    <w:rsid w:val="00E41B29"/>
    <w:rsid w:val="00E41C33"/>
    <w:rsid w:val="00E41CDC"/>
    <w:rsid w:val="00E4363D"/>
    <w:rsid w:val="00E436BA"/>
    <w:rsid w:val="00E441C5"/>
    <w:rsid w:val="00E44B9A"/>
    <w:rsid w:val="00E44D13"/>
    <w:rsid w:val="00E465EA"/>
    <w:rsid w:val="00E46E5F"/>
    <w:rsid w:val="00E5048C"/>
    <w:rsid w:val="00E5054D"/>
    <w:rsid w:val="00E509CA"/>
    <w:rsid w:val="00E5170D"/>
    <w:rsid w:val="00E52042"/>
    <w:rsid w:val="00E520B2"/>
    <w:rsid w:val="00E52759"/>
    <w:rsid w:val="00E52782"/>
    <w:rsid w:val="00E53459"/>
    <w:rsid w:val="00E53757"/>
    <w:rsid w:val="00E539A7"/>
    <w:rsid w:val="00E53D95"/>
    <w:rsid w:val="00E553E2"/>
    <w:rsid w:val="00E563BE"/>
    <w:rsid w:val="00E57B3D"/>
    <w:rsid w:val="00E57BD6"/>
    <w:rsid w:val="00E6023D"/>
    <w:rsid w:val="00E60554"/>
    <w:rsid w:val="00E606B5"/>
    <w:rsid w:val="00E61260"/>
    <w:rsid w:val="00E615F4"/>
    <w:rsid w:val="00E6165B"/>
    <w:rsid w:val="00E6170C"/>
    <w:rsid w:val="00E61D94"/>
    <w:rsid w:val="00E63F8F"/>
    <w:rsid w:val="00E6477B"/>
    <w:rsid w:val="00E649C9"/>
    <w:rsid w:val="00E64B49"/>
    <w:rsid w:val="00E65E2B"/>
    <w:rsid w:val="00E66313"/>
    <w:rsid w:val="00E6688D"/>
    <w:rsid w:val="00E66AB3"/>
    <w:rsid w:val="00E66FF2"/>
    <w:rsid w:val="00E676E9"/>
    <w:rsid w:val="00E70234"/>
    <w:rsid w:val="00E708CD"/>
    <w:rsid w:val="00E70AE2"/>
    <w:rsid w:val="00E71B2F"/>
    <w:rsid w:val="00E7295C"/>
    <w:rsid w:val="00E72AFA"/>
    <w:rsid w:val="00E731A1"/>
    <w:rsid w:val="00E733BF"/>
    <w:rsid w:val="00E73CF5"/>
    <w:rsid w:val="00E757D2"/>
    <w:rsid w:val="00E76A30"/>
    <w:rsid w:val="00E77988"/>
    <w:rsid w:val="00E77A09"/>
    <w:rsid w:val="00E80275"/>
    <w:rsid w:val="00E80F8C"/>
    <w:rsid w:val="00E8166A"/>
    <w:rsid w:val="00E82633"/>
    <w:rsid w:val="00E836F8"/>
    <w:rsid w:val="00E8490C"/>
    <w:rsid w:val="00E84970"/>
    <w:rsid w:val="00E84B58"/>
    <w:rsid w:val="00E8595F"/>
    <w:rsid w:val="00E85E3B"/>
    <w:rsid w:val="00E860C3"/>
    <w:rsid w:val="00E86428"/>
    <w:rsid w:val="00E86738"/>
    <w:rsid w:val="00E872D8"/>
    <w:rsid w:val="00E87BDB"/>
    <w:rsid w:val="00E87D0F"/>
    <w:rsid w:val="00E90D2B"/>
    <w:rsid w:val="00E91612"/>
    <w:rsid w:val="00E9230E"/>
    <w:rsid w:val="00E933A8"/>
    <w:rsid w:val="00E94D4F"/>
    <w:rsid w:val="00E9517A"/>
    <w:rsid w:val="00E95802"/>
    <w:rsid w:val="00E969B4"/>
    <w:rsid w:val="00E9780B"/>
    <w:rsid w:val="00E97B42"/>
    <w:rsid w:val="00EA0057"/>
    <w:rsid w:val="00EA0941"/>
    <w:rsid w:val="00EA0DB6"/>
    <w:rsid w:val="00EA0F7F"/>
    <w:rsid w:val="00EA187D"/>
    <w:rsid w:val="00EA1C45"/>
    <w:rsid w:val="00EA1DC9"/>
    <w:rsid w:val="00EA2028"/>
    <w:rsid w:val="00EA486F"/>
    <w:rsid w:val="00EA65C4"/>
    <w:rsid w:val="00EA7559"/>
    <w:rsid w:val="00EA7FF8"/>
    <w:rsid w:val="00EB00FA"/>
    <w:rsid w:val="00EB01F7"/>
    <w:rsid w:val="00EB0FA2"/>
    <w:rsid w:val="00EB122D"/>
    <w:rsid w:val="00EB19DB"/>
    <w:rsid w:val="00EB1A9B"/>
    <w:rsid w:val="00EB2D44"/>
    <w:rsid w:val="00EB2E3A"/>
    <w:rsid w:val="00EB39D3"/>
    <w:rsid w:val="00EB3ACC"/>
    <w:rsid w:val="00EB3DA2"/>
    <w:rsid w:val="00EB3F7E"/>
    <w:rsid w:val="00EB408D"/>
    <w:rsid w:val="00EB46AE"/>
    <w:rsid w:val="00EB5D07"/>
    <w:rsid w:val="00EB71DF"/>
    <w:rsid w:val="00EB7D9A"/>
    <w:rsid w:val="00EB7E6A"/>
    <w:rsid w:val="00EC03D5"/>
    <w:rsid w:val="00EC0D80"/>
    <w:rsid w:val="00EC1380"/>
    <w:rsid w:val="00EC28A2"/>
    <w:rsid w:val="00EC2CF1"/>
    <w:rsid w:val="00EC31FB"/>
    <w:rsid w:val="00EC3636"/>
    <w:rsid w:val="00EC459C"/>
    <w:rsid w:val="00EC50AD"/>
    <w:rsid w:val="00EC5634"/>
    <w:rsid w:val="00EC62F4"/>
    <w:rsid w:val="00EC67FE"/>
    <w:rsid w:val="00EC6C00"/>
    <w:rsid w:val="00EC6CC5"/>
    <w:rsid w:val="00EC7657"/>
    <w:rsid w:val="00ED3CA0"/>
    <w:rsid w:val="00ED4D9F"/>
    <w:rsid w:val="00ED55A8"/>
    <w:rsid w:val="00ED5EC1"/>
    <w:rsid w:val="00ED65A5"/>
    <w:rsid w:val="00ED689F"/>
    <w:rsid w:val="00ED6933"/>
    <w:rsid w:val="00ED7157"/>
    <w:rsid w:val="00EE0DB4"/>
    <w:rsid w:val="00EE105A"/>
    <w:rsid w:val="00EE136A"/>
    <w:rsid w:val="00EE14BC"/>
    <w:rsid w:val="00EE33E9"/>
    <w:rsid w:val="00EE3709"/>
    <w:rsid w:val="00EE37A5"/>
    <w:rsid w:val="00EE3906"/>
    <w:rsid w:val="00EE58E6"/>
    <w:rsid w:val="00EE5A79"/>
    <w:rsid w:val="00EE5BC3"/>
    <w:rsid w:val="00EE65B4"/>
    <w:rsid w:val="00EE7087"/>
    <w:rsid w:val="00EE7772"/>
    <w:rsid w:val="00EF1DB4"/>
    <w:rsid w:val="00EF1FE5"/>
    <w:rsid w:val="00EF2A27"/>
    <w:rsid w:val="00EF3672"/>
    <w:rsid w:val="00EF45F6"/>
    <w:rsid w:val="00EF5F19"/>
    <w:rsid w:val="00EF6085"/>
    <w:rsid w:val="00EF6A0D"/>
    <w:rsid w:val="00EF7DE2"/>
    <w:rsid w:val="00F01AC2"/>
    <w:rsid w:val="00F02279"/>
    <w:rsid w:val="00F02633"/>
    <w:rsid w:val="00F02E58"/>
    <w:rsid w:val="00F033CC"/>
    <w:rsid w:val="00F04791"/>
    <w:rsid w:val="00F0480E"/>
    <w:rsid w:val="00F04B70"/>
    <w:rsid w:val="00F056FA"/>
    <w:rsid w:val="00F068F3"/>
    <w:rsid w:val="00F069FF"/>
    <w:rsid w:val="00F1086D"/>
    <w:rsid w:val="00F10CFF"/>
    <w:rsid w:val="00F11482"/>
    <w:rsid w:val="00F119FC"/>
    <w:rsid w:val="00F12F5C"/>
    <w:rsid w:val="00F15CB5"/>
    <w:rsid w:val="00F16125"/>
    <w:rsid w:val="00F170D6"/>
    <w:rsid w:val="00F2052D"/>
    <w:rsid w:val="00F20772"/>
    <w:rsid w:val="00F221D6"/>
    <w:rsid w:val="00F22ADD"/>
    <w:rsid w:val="00F22EBD"/>
    <w:rsid w:val="00F23A79"/>
    <w:rsid w:val="00F23B40"/>
    <w:rsid w:val="00F2431A"/>
    <w:rsid w:val="00F245DA"/>
    <w:rsid w:val="00F24823"/>
    <w:rsid w:val="00F24957"/>
    <w:rsid w:val="00F24CE3"/>
    <w:rsid w:val="00F24EFE"/>
    <w:rsid w:val="00F25321"/>
    <w:rsid w:val="00F2537D"/>
    <w:rsid w:val="00F25EB0"/>
    <w:rsid w:val="00F2613A"/>
    <w:rsid w:val="00F26F33"/>
    <w:rsid w:val="00F277FE"/>
    <w:rsid w:val="00F3109C"/>
    <w:rsid w:val="00F31522"/>
    <w:rsid w:val="00F3193E"/>
    <w:rsid w:val="00F326D4"/>
    <w:rsid w:val="00F32CD6"/>
    <w:rsid w:val="00F32EB6"/>
    <w:rsid w:val="00F33C0C"/>
    <w:rsid w:val="00F35631"/>
    <w:rsid w:val="00F357A4"/>
    <w:rsid w:val="00F35827"/>
    <w:rsid w:val="00F36682"/>
    <w:rsid w:val="00F366F3"/>
    <w:rsid w:val="00F37EB7"/>
    <w:rsid w:val="00F40056"/>
    <w:rsid w:val="00F405AC"/>
    <w:rsid w:val="00F415B1"/>
    <w:rsid w:val="00F4162E"/>
    <w:rsid w:val="00F4167D"/>
    <w:rsid w:val="00F42104"/>
    <w:rsid w:val="00F43259"/>
    <w:rsid w:val="00F4328A"/>
    <w:rsid w:val="00F44F3E"/>
    <w:rsid w:val="00F451BD"/>
    <w:rsid w:val="00F458DB"/>
    <w:rsid w:val="00F45BCD"/>
    <w:rsid w:val="00F50E15"/>
    <w:rsid w:val="00F5116E"/>
    <w:rsid w:val="00F532C5"/>
    <w:rsid w:val="00F53669"/>
    <w:rsid w:val="00F5408F"/>
    <w:rsid w:val="00F54B5D"/>
    <w:rsid w:val="00F56229"/>
    <w:rsid w:val="00F562BF"/>
    <w:rsid w:val="00F56693"/>
    <w:rsid w:val="00F567D7"/>
    <w:rsid w:val="00F60B29"/>
    <w:rsid w:val="00F60D71"/>
    <w:rsid w:val="00F60F67"/>
    <w:rsid w:val="00F618B9"/>
    <w:rsid w:val="00F61B12"/>
    <w:rsid w:val="00F61E2B"/>
    <w:rsid w:val="00F623E4"/>
    <w:rsid w:val="00F62944"/>
    <w:rsid w:val="00F634BC"/>
    <w:rsid w:val="00F63B10"/>
    <w:rsid w:val="00F641BC"/>
    <w:rsid w:val="00F64E3B"/>
    <w:rsid w:val="00F652E0"/>
    <w:rsid w:val="00F67257"/>
    <w:rsid w:val="00F710DF"/>
    <w:rsid w:val="00F71156"/>
    <w:rsid w:val="00F717B5"/>
    <w:rsid w:val="00F71A25"/>
    <w:rsid w:val="00F71AF6"/>
    <w:rsid w:val="00F71C8F"/>
    <w:rsid w:val="00F73041"/>
    <w:rsid w:val="00F74CF6"/>
    <w:rsid w:val="00F751F2"/>
    <w:rsid w:val="00F75BFF"/>
    <w:rsid w:val="00F76357"/>
    <w:rsid w:val="00F777A8"/>
    <w:rsid w:val="00F8076A"/>
    <w:rsid w:val="00F80FE7"/>
    <w:rsid w:val="00F8107D"/>
    <w:rsid w:val="00F81DDB"/>
    <w:rsid w:val="00F821C9"/>
    <w:rsid w:val="00F8250B"/>
    <w:rsid w:val="00F8296F"/>
    <w:rsid w:val="00F8307B"/>
    <w:rsid w:val="00F84416"/>
    <w:rsid w:val="00F84911"/>
    <w:rsid w:val="00F84A0E"/>
    <w:rsid w:val="00F84E79"/>
    <w:rsid w:val="00F85704"/>
    <w:rsid w:val="00F9210B"/>
    <w:rsid w:val="00F92763"/>
    <w:rsid w:val="00F93947"/>
    <w:rsid w:val="00F95266"/>
    <w:rsid w:val="00F958B1"/>
    <w:rsid w:val="00F95F12"/>
    <w:rsid w:val="00F969D7"/>
    <w:rsid w:val="00F970C1"/>
    <w:rsid w:val="00F97B3C"/>
    <w:rsid w:val="00FA0457"/>
    <w:rsid w:val="00FA1093"/>
    <w:rsid w:val="00FA1651"/>
    <w:rsid w:val="00FA1FE1"/>
    <w:rsid w:val="00FA21F8"/>
    <w:rsid w:val="00FA2BCE"/>
    <w:rsid w:val="00FA39B7"/>
    <w:rsid w:val="00FA537A"/>
    <w:rsid w:val="00FA66F2"/>
    <w:rsid w:val="00FA6E7A"/>
    <w:rsid w:val="00FB02EA"/>
    <w:rsid w:val="00FB0C46"/>
    <w:rsid w:val="00FB1615"/>
    <w:rsid w:val="00FB18D5"/>
    <w:rsid w:val="00FB319C"/>
    <w:rsid w:val="00FB3A88"/>
    <w:rsid w:val="00FB40D7"/>
    <w:rsid w:val="00FB4332"/>
    <w:rsid w:val="00FB43D2"/>
    <w:rsid w:val="00FB4699"/>
    <w:rsid w:val="00FB4EFD"/>
    <w:rsid w:val="00FB5116"/>
    <w:rsid w:val="00FB57E5"/>
    <w:rsid w:val="00FB5D22"/>
    <w:rsid w:val="00FB6C1C"/>
    <w:rsid w:val="00FB7504"/>
    <w:rsid w:val="00FB7E40"/>
    <w:rsid w:val="00FC0E44"/>
    <w:rsid w:val="00FC2623"/>
    <w:rsid w:val="00FC3132"/>
    <w:rsid w:val="00FC3EF4"/>
    <w:rsid w:val="00FC534D"/>
    <w:rsid w:val="00FC57DA"/>
    <w:rsid w:val="00FC59B9"/>
    <w:rsid w:val="00FC672E"/>
    <w:rsid w:val="00FC7CE8"/>
    <w:rsid w:val="00FD0141"/>
    <w:rsid w:val="00FD09E6"/>
    <w:rsid w:val="00FD0A60"/>
    <w:rsid w:val="00FD1477"/>
    <w:rsid w:val="00FD21AD"/>
    <w:rsid w:val="00FD2827"/>
    <w:rsid w:val="00FD3617"/>
    <w:rsid w:val="00FD3817"/>
    <w:rsid w:val="00FD3F49"/>
    <w:rsid w:val="00FD49DB"/>
    <w:rsid w:val="00FD4CBD"/>
    <w:rsid w:val="00FD5572"/>
    <w:rsid w:val="00FD60E1"/>
    <w:rsid w:val="00FD63E5"/>
    <w:rsid w:val="00FD776C"/>
    <w:rsid w:val="00FE0622"/>
    <w:rsid w:val="00FE0A94"/>
    <w:rsid w:val="00FE0A9E"/>
    <w:rsid w:val="00FE1090"/>
    <w:rsid w:val="00FE1EE2"/>
    <w:rsid w:val="00FE475B"/>
    <w:rsid w:val="00FE5120"/>
    <w:rsid w:val="00FE5207"/>
    <w:rsid w:val="00FE616A"/>
    <w:rsid w:val="00FE76ED"/>
    <w:rsid w:val="00FE7807"/>
    <w:rsid w:val="00FE7B30"/>
    <w:rsid w:val="00FF0A96"/>
    <w:rsid w:val="00FF1606"/>
    <w:rsid w:val="00FF1F24"/>
    <w:rsid w:val="00FF2E93"/>
    <w:rsid w:val="00FF4363"/>
    <w:rsid w:val="00FF48EA"/>
    <w:rsid w:val="00FF579A"/>
    <w:rsid w:val="00FF57F1"/>
    <w:rsid w:val="00FF6114"/>
    <w:rsid w:val="00FF7C22"/>
    <w:rsid w:val="00FF7D4C"/>
    <w:rsid w:val="0172383B"/>
    <w:rsid w:val="01E2520D"/>
    <w:rsid w:val="026F6D6A"/>
    <w:rsid w:val="03142C59"/>
    <w:rsid w:val="031633FF"/>
    <w:rsid w:val="03217689"/>
    <w:rsid w:val="03806638"/>
    <w:rsid w:val="04E12763"/>
    <w:rsid w:val="05C24554"/>
    <w:rsid w:val="065D593D"/>
    <w:rsid w:val="06B90216"/>
    <w:rsid w:val="06F81D18"/>
    <w:rsid w:val="08151C79"/>
    <w:rsid w:val="08D632D4"/>
    <w:rsid w:val="0A0817E5"/>
    <w:rsid w:val="0AB60EFB"/>
    <w:rsid w:val="0B4A1B68"/>
    <w:rsid w:val="0BA64506"/>
    <w:rsid w:val="0C037608"/>
    <w:rsid w:val="0C455BCA"/>
    <w:rsid w:val="0DAE324A"/>
    <w:rsid w:val="0DCC7974"/>
    <w:rsid w:val="0DE476D0"/>
    <w:rsid w:val="0EE8239A"/>
    <w:rsid w:val="0F0538C5"/>
    <w:rsid w:val="0F4D52DF"/>
    <w:rsid w:val="0FBB043D"/>
    <w:rsid w:val="12AB05FE"/>
    <w:rsid w:val="130D404C"/>
    <w:rsid w:val="13134B97"/>
    <w:rsid w:val="14505DBB"/>
    <w:rsid w:val="15D12F04"/>
    <w:rsid w:val="17BD624E"/>
    <w:rsid w:val="189C13D1"/>
    <w:rsid w:val="19A50A23"/>
    <w:rsid w:val="1A0A2FDB"/>
    <w:rsid w:val="1BE31CF2"/>
    <w:rsid w:val="1C140CAD"/>
    <w:rsid w:val="1CBD06D0"/>
    <w:rsid w:val="1D574E70"/>
    <w:rsid w:val="1DA03299"/>
    <w:rsid w:val="1E124910"/>
    <w:rsid w:val="1F0D7A38"/>
    <w:rsid w:val="1FA30EC2"/>
    <w:rsid w:val="20393792"/>
    <w:rsid w:val="20907D3B"/>
    <w:rsid w:val="211B157E"/>
    <w:rsid w:val="21FB0187"/>
    <w:rsid w:val="22004961"/>
    <w:rsid w:val="22E2610F"/>
    <w:rsid w:val="236D25D4"/>
    <w:rsid w:val="23D9018B"/>
    <w:rsid w:val="23EA3C55"/>
    <w:rsid w:val="25357DBD"/>
    <w:rsid w:val="25B43AB5"/>
    <w:rsid w:val="26ED7E81"/>
    <w:rsid w:val="2A284462"/>
    <w:rsid w:val="2AF81D42"/>
    <w:rsid w:val="2DF716DC"/>
    <w:rsid w:val="2E850184"/>
    <w:rsid w:val="2F1E33AD"/>
    <w:rsid w:val="2F42318E"/>
    <w:rsid w:val="2FB10CC3"/>
    <w:rsid w:val="2FBC1306"/>
    <w:rsid w:val="2FFB113C"/>
    <w:rsid w:val="308C593E"/>
    <w:rsid w:val="31D47BC2"/>
    <w:rsid w:val="334A2FAF"/>
    <w:rsid w:val="34EF058C"/>
    <w:rsid w:val="34FF18D4"/>
    <w:rsid w:val="35340278"/>
    <w:rsid w:val="3582168A"/>
    <w:rsid w:val="36490133"/>
    <w:rsid w:val="37D4218D"/>
    <w:rsid w:val="3BD16495"/>
    <w:rsid w:val="3E3E29F7"/>
    <w:rsid w:val="3FAB59A6"/>
    <w:rsid w:val="4214405D"/>
    <w:rsid w:val="445A43E1"/>
    <w:rsid w:val="458B2E52"/>
    <w:rsid w:val="48A80334"/>
    <w:rsid w:val="48CB2E57"/>
    <w:rsid w:val="49F24EFF"/>
    <w:rsid w:val="4B2D5F5F"/>
    <w:rsid w:val="4BF56CFD"/>
    <w:rsid w:val="4D9F3B17"/>
    <w:rsid w:val="4EAE480F"/>
    <w:rsid w:val="513C4B1C"/>
    <w:rsid w:val="52B637BA"/>
    <w:rsid w:val="53DF2391"/>
    <w:rsid w:val="54651396"/>
    <w:rsid w:val="54CB338A"/>
    <w:rsid w:val="55193A86"/>
    <w:rsid w:val="56011758"/>
    <w:rsid w:val="560E354A"/>
    <w:rsid w:val="565631E4"/>
    <w:rsid w:val="578E2710"/>
    <w:rsid w:val="58113188"/>
    <w:rsid w:val="58297A04"/>
    <w:rsid w:val="5953467A"/>
    <w:rsid w:val="59BE5287"/>
    <w:rsid w:val="5A7002FB"/>
    <w:rsid w:val="5B0E6FBB"/>
    <w:rsid w:val="5B5D291E"/>
    <w:rsid w:val="607B0FDF"/>
    <w:rsid w:val="6105763A"/>
    <w:rsid w:val="623F06F0"/>
    <w:rsid w:val="64DB1553"/>
    <w:rsid w:val="690226E8"/>
    <w:rsid w:val="69620A77"/>
    <w:rsid w:val="6A182392"/>
    <w:rsid w:val="6A9069A9"/>
    <w:rsid w:val="6AA6797E"/>
    <w:rsid w:val="6B01180E"/>
    <w:rsid w:val="6C484A8F"/>
    <w:rsid w:val="6D8A2486"/>
    <w:rsid w:val="6DD164D5"/>
    <w:rsid w:val="6E6803A9"/>
    <w:rsid w:val="6F073DAC"/>
    <w:rsid w:val="6F1260B1"/>
    <w:rsid w:val="6FDC6DF5"/>
    <w:rsid w:val="7298114E"/>
    <w:rsid w:val="731402DE"/>
    <w:rsid w:val="731831BC"/>
    <w:rsid w:val="74DC66A8"/>
    <w:rsid w:val="77602D92"/>
    <w:rsid w:val="782734E1"/>
    <w:rsid w:val="797B0B5D"/>
    <w:rsid w:val="7B74240A"/>
    <w:rsid w:val="7BDA2DBC"/>
    <w:rsid w:val="7D092BF4"/>
    <w:rsid w:val="7D6A38FA"/>
    <w:rsid w:val="7E25412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0" w:name="List Number"/>
    <w:lsdException w:uiPriority="99" w:name="List 2" w:locked="1"/>
    <w:lsdException w:uiPriority="99" w:name="List 3" w:locked="1"/>
    <w:lsdException w:uiPriority="0" w:name="List 4"/>
    <w:lsdException w:uiPriority="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0" w:name="Salutation"/>
    <w:lsdException w:qFormat="1" w:unhideWhenUsed="0" w:uiPriority="0" w:semiHidden="0" w:name="Date"/>
    <w:lsdException w:uiPriority="0" w:name="Body Text First Indent"/>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0"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3"/>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4"/>
    <w:qFormat/>
    <w:uiPriority w:val="99"/>
    <w:pPr>
      <w:keepNext/>
      <w:keepLines/>
      <w:spacing w:before="260" w:after="260" w:line="416" w:lineRule="auto"/>
      <w:outlineLvl w:val="2"/>
    </w:pPr>
    <w:rPr>
      <w:b/>
      <w:bCs/>
      <w:sz w:val="32"/>
      <w:szCs w:val="32"/>
    </w:rPr>
  </w:style>
  <w:style w:type="paragraph" w:styleId="5">
    <w:name w:val="heading 4"/>
    <w:basedOn w:val="1"/>
    <w:next w:val="1"/>
    <w:link w:val="55"/>
    <w:qFormat/>
    <w:uiPriority w:val="99"/>
    <w:pPr>
      <w:keepNext/>
      <w:keepLines/>
      <w:spacing w:before="280" w:after="290" w:line="376" w:lineRule="auto"/>
      <w:outlineLvl w:val="3"/>
    </w:pPr>
    <w:rPr>
      <w:rFonts w:ascii="Cambria" w:hAnsi="Cambria"/>
      <w:b/>
      <w:bCs/>
      <w:sz w:val="28"/>
      <w:szCs w:val="28"/>
    </w:rPr>
  </w:style>
  <w:style w:type="paragraph" w:styleId="6">
    <w:name w:val="heading 5"/>
    <w:basedOn w:val="1"/>
    <w:next w:val="1"/>
    <w:link w:val="56"/>
    <w:qFormat/>
    <w:uiPriority w:val="99"/>
    <w:pPr>
      <w:keepNext/>
      <w:keepLines/>
      <w:spacing w:before="280" w:after="290" w:line="376" w:lineRule="auto"/>
      <w:outlineLvl w:val="4"/>
    </w:pPr>
    <w:rPr>
      <w:rFonts w:ascii="Calibri" w:hAnsi="Calibri"/>
      <w:b/>
      <w:bCs/>
      <w:sz w:val="28"/>
      <w:szCs w:val="28"/>
    </w:rPr>
  </w:style>
  <w:style w:type="paragraph" w:styleId="7">
    <w:name w:val="heading 9"/>
    <w:basedOn w:val="1"/>
    <w:next w:val="1"/>
    <w:link w:val="164"/>
    <w:qFormat/>
    <w:uiPriority w:val="99"/>
    <w:pPr>
      <w:keepNext/>
      <w:keepLines/>
      <w:widowControl/>
      <w:spacing w:before="240" w:after="64" w:line="320" w:lineRule="auto"/>
      <w:jc w:val="left"/>
      <w:outlineLvl w:val="8"/>
    </w:pPr>
    <w:rPr>
      <w:rFonts w:ascii="Calibri" w:hAnsi="Calibri"/>
      <w:kern w:val="0"/>
    </w:rPr>
  </w:style>
  <w:style w:type="character" w:default="1" w:styleId="46">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qFormat/>
    <w:uiPriority w:val="99"/>
    <w:pPr>
      <w:ind w:left="1260"/>
      <w:jc w:val="left"/>
    </w:pPr>
    <w:rPr>
      <w:sz w:val="20"/>
      <w:szCs w:val="20"/>
    </w:rPr>
  </w:style>
  <w:style w:type="paragraph" w:styleId="9">
    <w:name w:val="index 8"/>
    <w:basedOn w:val="1"/>
    <w:next w:val="1"/>
    <w:qFormat/>
    <w:uiPriority w:val="99"/>
    <w:pPr>
      <w:ind w:left="1400" w:leftChars="1400"/>
    </w:pPr>
  </w:style>
  <w:style w:type="paragraph" w:styleId="10">
    <w:name w:val="Normal Indent"/>
    <w:basedOn w:val="1"/>
    <w:link w:val="145"/>
    <w:qFormat/>
    <w:uiPriority w:val="99"/>
    <w:pPr>
      <w:ind w:firstLine="420"/>
    </w:pPr>
  </w:style>
  <w:style w:type="paragraph" w:styleId="11">
    <w:name w:val="index 5"/>
    <w:basedOn w:val="1"/>
    <w:next w:val="1"/>
    <w:qFormat/>
    <w:uiPriority w:val="99"/>
    <w:pPr>
      <w:ind w:left="800" w:leftChars="800"/>
    </w:pPr>
  </w:style>
  <w:style w:type="paragraph" w:styleId="12">
    <w:name w:val="Document Map"/>
    <w:basedOn w:val="1"/>
    <w:link w:val="59"/>
    <w:qFormat/>
    <w:uiPriority w:val="99"/>
    <w:rPr>
      <w:rFonts w:ascii="宋体"/>
      <w:sz w:val="18"/>
      <w:szCs w:val="18"/>
    </w:rPr>
  </w:style>
  <w:style w:type="paragraph" w:styleId="13">
    <w:name w:val="annotation text"/>
    <w:basedOn w:val="1"/>
    <w:link w:val="57"/>
    <w:qFormat/>
    <w:uiPriority w:val="99"/>
    <w:pPr>
      <w:jc w:val="left"/>
    </w:pPr>
  </w:style>
  <w:style w:type="paragraph" w:styleId="14">
    <w:name w:val="index 6"/>
    <w:basedOn w:val="1"/>
    <w:next w:val="1"/>
    <w:qFormat/>
    <w:uiPriority w:val="99"/>
    <w:pPr>
      <w:ind w:left="1000" w:leftChars="1000"/>
    </w:pPr>
  </w:style>
  <w:style w:type="paragraph" w:styleId="15">
    <w:name w:val="Body Text"/>
    <w:basedOn w:val="1"/>
    <w:link w:val="60"/>
    <w:qFormat/>
    <w:uiPriority w:val="99"/>
    <w:rPr>
      <w:spacing w:val="20"/>
      <w:sz w:val="24"/>
      <w:szCs w:val="24"/>
    </w:rPr>
  </w:style>
  <w:style w:type="paragraph" w:styleId="16">
    <w:name w:val="Body Text Indent"/>
    <w:basedOn w:val="1"/>
    <w:link w:val="61"/>
    <w:qFormat/>
    <w:uiPriority w:val="99"/>
    <w:pPr>
      <w:adjustRightInd w:val="0"/>
      <w:spacing w:line="360" w:lineRule="auto"/>
      <w:ind w:firstLine="660"/>
      <w:textAlignment w:val="baseline"/>
    </w:pPr>
    <w:rPr>
      <w:rFonts w:ascii="宋体"/>
      <w:spacing w:val="20"/>
      <w:kern w:val="0"/>
      <w:sz w:val="28"/>
      <w:szCs w:val="28"/>
    </w:rPr>
  </w:style>
  <w:style w:type="paragraph" w:styleId="17">
    <w:name w:val="Block Text"/>
    <w:basedOn w:val="1"/>
    <w:qFormat/>
    <w:locked/>
    <w:uiPriority w:val="99"/>
    <w:pPr>
      <w:ind w:left="540" w:right="-90" w:firstLine="570"/>
    </w:pPr>
    <w:rPr>
      <w:sz w:val="28"/>
      <w:szCs w:val="28"/>
    </w:rPr>
  </w:style>
  <w:style w:type="paragraph" w:styleId="18">
    <w:name w:val="index 4"/>
    <w:basedOn w:val="1"/>
    <w:next w:val="1"/>
    <w:qFormat/>
    <w:uiPriority w:val="99"/>
    <w:pPr>
      <w:ind w:left="600" w:leftChars="600"/>
    </w:pPr>
  </w:style>
  <w:style w:type="paragraph" w:styleId="19">
    <w:name w:val="toc 5"/>
    <w:basedOn w:val="1"/>
    <w:next w:val="1"/>
    <w:qFormat/>
    <w:uiPriority w:val="99"/>
    <w:pPr>
      <w:ind w:left="840"/>
      <w:jc w:val="left"/>
    </w:pPr>
    <w:rPr>
      <w:sz w:val="20"/>
      <w:szCs w:val="20"/>
    </w:rPr>
  </w:style>
  <w:style w:type="paragraph" w:styleId="20">
    <w:name w:val="toc 3"/>
    <w:basedOn w:val="1"/>
    <w:next w:val="1"/>
    <w:qFormat/>
    <w:uiPriority w:val="99"/>
    <w:pPr>
      <w:ind w:left="420"/>
      <w:jc w:val="left"/>
    </w:pPr>
    <w:rPr>
      <w:sz w:val="20"/>
      <w:szCs w:val="20"/>
    </w:rPr>
  </w:style>
  <w:style w:type="paragraph" w:styleId="21">
    <w:name w:val="Plain Text"/>
    <w:basedOn w:val="1"/>
    <w:link w:val="62"/>
    <w:qFormat/>
    <w:uiPriority w:val="0"/>
    <w:pPr>
      <w:spacing w:line="500" w:lineRule="exact"/>
    </w:pPr>
    <w:rPr>
      <w:rFonts w:ascii="宋体" w:hAnsi="Courier New"/>
    </w:rPr>
  </w:style>
  <w:style w:type="paragraph" w:styleId="22">
    <w:name w:val="toc 8"/>
    <w:basedOn w:val="1"/>
    <w:next w:val="1"/>
    <w:qFormat/>
    <w:uiPriority w:val="99"/>
    <w:pPr>
      <w:ind w:left="1470"/>
      <w:jc w:val="left"/>
    </w:pPr>
    <w:rPr>
      <w:sz w:val="20"/>
      <w:szCs w:val="20"/>
    </w:rPr>
  </w:style>
  <w:style w:type="paragraph" w:styleId="23">
    <w:name w:val="index 3"/>
    <w:basedOn w:val="1"/>
    <w:next w:val="1"/>
    <w:qFormat/>
    <w:uiPriority w:val="99"/>
    <w:pPr>
      <w:ind w:left="400" w:leftChars="400"/>
    </w:pPr>
  </w:style>
  <w:style w:type="paragraph" w:styleId="24">
    <w:name w:val="Date"/>
    <w:basedOn w:val="1"/>
    <w:next w:val="1"/>
    <w:link w:val="63"/>
    <w:qFormat/>
    <w:uiPriority w:val="0"/>
    <w:pPr>
      <w:adjustRightInd w:val="0"/>
      <w:spacing w:line="312" w:lineRule="atLeast"/>
      <w:jc w:val="right"/>
      <w:textAlignment w:val="baseline"/>
    </w:pPr>
    <w:rPr>
      <w:rFonts w:ascii="宋体"/>
      <w:spacing w:val="20"/>
      <w:kern w:val="0"/>
      <w:sz w:val="28"/>
      <w:szCs w:val="28"/>
    </w:rPr>
  </w:style>
  <w:style w:type="paragraph" w:styleId="25">
    <w:name w:val="Body Text Indent 2"/>
    <w:basedOn w:val="1"/>
    <w:link w:val="64"/>
    <w:qFormat/>
    <w:uiPriority w:val="99"/>
    <w:pPr>
      <w:spacing w:line="360" w:lineRule="auto"/>
      <w:ind w:firstLine="624"/>
    </w:pPr>
    <w:rPr>
      <w:spacing w:val="20"/>
      <w:sz w:val="28"/>
      <w:szCs w:val="28"/>
    </w:rPr>
  </w:style>
  <w:style w:type="paragraph" w:styleId="26">
    <w:name w:val="Balloon Text"/>
    <w:basedOn w:val="1"/>
    <w:link w:val="65"/>
    <w:qFormat/>
    <w:uiPriority w:val="99"/>
    <w:rPr>
      <w:sz w:val="18"/>
      <w:szCs w:val="18"/>
    </w:rPr>
  </w:style>
  <w:style w:type="paragraph" w:styleId="27">
    <w:name w:val="footer"/>
    <w:basedOn w:val="1"/>
    <w:link w:val="66"/>
    <w:qFormat/>
    <w:uiPriority w:val="99"/>
    <w:pPr>
      <w:tabs>
        <w:tab w:val="center" w:pos="4153"/>
        <w:tab w:val="right" w:pos="8306"/>
      </w:tabs>
      <w:adjustRightInd w:val="0"/>
      <w:spacing w:line="240" w:lineRule="atLeast"/>
      <w:jc w:val="left"/>
      <w:textAlignment w:val="baseline"/>
    </w:pPr>
    <w:rPr>
      <w:kern w:val="0"/>
      <w:sz w:val="18"/>
      <w:szCs w:val="18"/>
    </w:rPr>
  </w:style>
  <w:style w:type="paragraph" w:styleId="28">
    <w:name w:val="header"/>
    <w:basedOn w:val="1"/>
    <w:link w:val="67"/>
    <w:qFormat/>
    <w:uiPriority w:val="99"/>
    <w:pPr>
      <w:tabs>
        <w:tab w:val="center" w:pos="4153"/>
        <w:tab w:val="right" w:pos="8306"/>
      </w:tabs>
      <w:snapToGrid w:val="0"/>
      <w:jc w:val="center"/>
    </w:pPr>
    <w:rPr>
      <w:sz w:val="18"/>
      <w:szCs w:val="18"/>
    </w:rPr>
  </w:style>
  <w:style w:type="paragraph" w:styleId="29">
    <w:name w:val="toc 1"/>
    <w:basedOn w:val="1"/>
    <w:next w:val="1"/>
    <w:qFormat/>
    <w:uiPriority w:val="39"/>
    <w:pPr>
      <w:tabs>
        <w:tab w:val="right" w:leader="dot" w:pos="9457"/>
      </w:tabs>
      <w:spacing w:line="360" w:lineRule="auto"/>
      <w:jc w:val="center"/>
      <w:outlineLvl w:val="0"/>
    </w:pPr>
    <w:rPr>
      <w:rFonts w:eastAsia="仿宋_GB2312"/>
      <w:b/>
      <w:bCs/>
      <w:spacing w:val="40"/>
      <w:kern w:val="0"/>
      <w:sz w:val="32"/>
      <w:szCs w:val="32"/>
    </w:rPr>
  </w:style>
  <w:style w:type="paragraph" w:styleId="30">
    <w:name w:val="toc 4"/>
    <w:basedOn w:val="1"/>
    <w:next w:val="1"/>
    <w:qFormat/>
    <w:uiPriority w:val="99"/>
    <w:pPr>
      <w:ind w:left="630"/>
      <w:jc w:val="left"/>
    </w:pPr>
    <w:rPr>
      <w:sz w:val="20"/>
      <w:szCs w:val="20"/>
    </w:rPr>
  </w:style>
  <w:style w:type="paragraph" w:styleId="31">
    <w:name w:val="index heading"/>
    <w:basedOn w:val="1"/>
    <w:next w:val="32"/>
    <w:qFormat/>
    <w:uiPriority w:val="99"/>
  </w:style>
  <w:style w:type="paragraph" w:styleId="32">
    <w:name w:val="index 1"/>
    <w:basedOn w:val="1"/>
    <w:next w:val="1"/>
    <w:qFormat/>
    <w:uiPriority w:val="99"/>
    <w:pPr>
      <w:spacing w:line="360" w:lineRule="auto"/>
      <w:jc w:val="center"/>
    </w:pPr>
    <w:rPr>
      <w:b/>
      <w:bCs/>
      <w:kern w:val="0"/>
      <w:sz w:val="30"/>
      <w:szCs w:val="30"/>
    </w:rPr>
  </w:style>
  <w:style w:type="paragraph" w:styleId="33">
    <w:name w:val="Subtitle"/>
    <w:basedOn w:val="1"/>
    <w:next w:val="1"/>
    <w:link w:val="68"/>
    <w:qFormat/>
    <w:uiPriority w:val="99"/>
    <w:pPr>
      <w:spacing w:before="240" w:after="60" w:line="312" w:lineRule="auto"/>
      <w:jc w:val="center"/>
      <w:outlineLvl w:val="1"/>
    </w:pPr>
    <w:rPr>
      <w:rFonts w:ascii="Cambria" w:hAnsi="Cambria"/>
      <w:b/>
      <w:bCs/>
      <w:kern w:val="28"/>
      <w:sz w:val="32"/>
      <w:szCs w:val="32"/>
    </w:rPr>
  </w:style>
  <w:style w:type="paragraph" w:styleId="34">
    <w:name w:val="toc 6"/>
    <w:basedOn w:val="1"/>
    <w:next w:val="1"/>
    <w:qFormat/>
    <w:uiPriority w:val="99"/>
    <w:pPr>
      <w:ind w:left="1050"/>
      <w:jc w:val="left"/>
    </w:pPr>
    <w:rPr>
      <w:sz w:val="20"/>
      <w:szCs w:val="20"/>
    </w:rPr>
  </w:style>
  <w:style w:type="paragraph" w:styleId="35">
    <w:name w:val="Body Text Indent 3"/>
    <w:basedOn w:val="1"/>
    <w:link w:val="69"/>
    <w:qFormat/>
    <w:uiPriority w:val="0"/>
    <w:pPr>
      <w:adjustRightInd w:val="0"/>
      <w:spacing w:line="360" w:lineRule="auto"/>
      <w:ind w:firstLine="660"/>
      <w:jc w:val="left"/>
      <w:textAlignment w:val="baseline"/>
    </w:pPr>
    <w:rPr>
      <w:rFonts w:ascii="宋体"/>
      <w:spacing w:val="20"/>
      <w:kern w:val="0"/>
      <w:sz w:val="28"/>
      <w:szCs w:val="28"/>
    </w:rPr>
  </w:style>
  <w:style w:type="paragraph" w:styleId="36">
    <w:name w:val="index 7"/>
    <w:basedOn w:val="1"/>
    <w:next w:val="1"/>
    <w:qFormat/>
    <w:uiPriority w:val="99"/>
    <w:pPr>
      <w:ind w:left="1200" w:leftChars="1200"/>
    </w:pPr>
  </w:style>
  <w:style w:type="paragraph" w:styleId="37">
    <w:name w:val="index 9"/>
    <w:basedOn w:val="1"/>
    <w:next w:val="1"/>
    <w:qFormat/>
    <w:uiPriority w:val="99"/>
    <w:pPr>
      <w:ind w:left="1600" w:leftChars="1600"/>
    </w:pPr>
  </w:style>
  <w:style w:type="paragraph" w:styleId="38">
    <w:name w:val="toc 2"/>
    <w:basedOn w:val="1"/>
    <w:next w:val="1"/>
    <w:qFormat/>
    <w:uiPriority w:val="39"/>
    <w:pPr>
      <w:tabs>
        <w:tab w:val="right" w:leader="dot" w:pos="9457"/>
      </w:tabs>
      <w:adjustRightInd w:val="0"/>
      <w:snapToGrid w:val="0"/>
      <w:spacing w:line="500" w:lineRule="exact"/>
      <w:ind w:left="29" w:hanging="29" w:hangingChars="12"/>
    </w:pPr>
    <w:rPr>
      <w:rFonts w:ascii="宋体" w:hAnsi="宋体" w:cs="宋体"/>
      <w:sz w:val="24"/>
      <w:szCs w:val="24"/>
    </w:rPr>
  </w:style>
  <w:style w:type="paragraph" w:styleId="39">
    <w:name w:val="toc 9"/>
    <w:basedOn w:val="1"/>
    <w:next w:val="1"/>
    <w:qFormat/>
    <w:uiPriority w:val="99"/>
    <w:pPr>
      <w:ind w:left="1680"/>
      <w:jc w:val="left"/>
    </w:pPr>
    <w:rPr>
      <w:sz w:val="20"/>
      <w:szCs w:val="20"/>
    </w:rPr>
  </w:style>
  <w:style w:type="paragraph" w:styleId="40">
    <w:name w:val="Normal (Web)"/>
    <w:basedOn w:val="1"/>
    <w:qFormat/>
    <w:uiPriority w:val="99"/>
    <w:pPr>
      <w:widowControl/>
      <w:spacing w:before="100" w:beforeAutospacing="1" w:after="100" w:afterAutospacing="1"/>
      <w:jc w:val="left"/>
    </w:pPr>
    <w:rPr>
      <w:rFonts w:ascii="Arial Unicode MS" w:eastAsia="Arial Unicode MS" w:cs="Arial Unicode MS"/>
      <w:kern w:val="0"/>
      <w:sz w:val="24"/>
      <w:szCs w:val="24"/>
    </w:rPr>
  </w:style>
  <w:style w:type="paragraph" w:styleId="41">
    <w:name w:val="index 2"/>
    <w:basedOn w:val="1"/>
    <w:next w:val="1"/>
    <w:qFormat/>
    <w:uiPriority w:val="99"/>
    <w:pPr>
      <w:ind w:left="200" w:leftChars="200"/>
    </w:pPr>
  </w:style>
  <w:style w:type="paragraph" w:styleId="42">
    <w:name w:val="annotation subject"/>
    <w:basedOn w:val="13"/>
    <w:next w:val="13"/>
    <w:link w:val="58"/>
    <w:qFormat/>
    <w:uiPriority w:val="99"/>
    <w:rPr>
      <w:b/>
      <w:bCs/>
    </w:rPr>
  </w:style>
  <w:style w:type="table" w:styleId="44">
    <w:name w:val="Table Grid"/>
    <w:basedOn w:val="4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5">
    <w:name w:val="Table Theme"/>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99"/>
    <w:rPr>
      <w:b/>
      <w:bCs/>
    </w:rPr>
  </w:style>
  <w:style w:type="character" w:styleId="48">
    <w:name w:val="page number"/>
    <w:basedOn w:val="46"/>
    <w:qFormat/>
    <w:uiPriority w:val="0"/>
  </w:style>
  <w:style w:type="character" w:styleId="49">
    <w:name w:val="FollowedHyperlink"/>
    <w:qFormat/>
    <w:uiPriority w:val="99"/>
    <w:rPr>
      <w:color w:val="800080"/>
      <w:u w:val="single"/>
    </w:rPr>
  </w:style>
  <w:style w:type="character" w:styleId="50">
    <w:name w:val="Hyperlink"/>
    <w:qFormat/>
    <w:uiPriority w:val="99"/>
    <w:rPr>
      <w:color w:val="0000FF"/>
      <w:u w:val="single"/>
    </w:rPr>
  </w:style>
  <w:style w:type="character" w:styleId="51">
    <w:name w:val="annotation reference"/>
    <w:qFormat/>
    <w:uiPriority w:val="99"/>
    <w:rPr>
      <w:sz w:val="21"/>
      <w:szCs w:val="21"/>
    </w:rPr>
  </w:style>
  <w:style w:type="character" w:customStyle="1" w:styleId="52">
    <w:name w:val="标题 1 Char"/>
    <w:link w:val="2"/>
    <w:qFormat/>
    <w:locked/>
    <w:uiPriority w:val="99"/>
    <w:rPr>
      <w:b/>
      <w:bCs/>
      <w:kern w:val="44"/>
      <w:sz w:val="44"/>
      <w:szCs w:val="44"/>
    </w:rPr>
  </w:style>
  <w:style w:type="character" w:customStyle="1" w:styleId="53">
    <w:name w:val="标题 2 Char"/>
    <w:link w:val="3"/>
    <w:qFormat/>
    <w:locked/>
    <w:uiPriority w:val="99"/>
    <w:rPr>
      <w:rFonts w:ascii="Arial" w:hAnsi="Arial" w:eastAsia="黑体" w:cs="Arial"/>
      <w:b/>
      <w:bCs/>
      <w:kern w:val="2"/>
      <w:sz w:val="32"/>
      <w:szCs w:val="32"/>
    </w:rPr>
  </w:style>
  <w:style w:type="character" w:customStyle="1" w:styleId="54">
    <w:name w:val="标题 3 Char"/>
    <w:link w:val="4"/>
    <w:qFormat/>
    <w:locked/>
    <w:uiPriority w:val="99"/>
    <w:rPr>
      <w:b/>
      <w:bCs/>
      <w:kern w:val="2"/>
      <w:sz w:val="32"/>
      <w:szCs w:val="32"/>
    </w:rPr>
  </w:style>
  <w:style w:type="character" w:customStyle="1" w:styleId="55">
    <w:name w:val="标题 4 Char"/>
    <w:link w:val="5"/>
    <w:qFormat/>
    <w:locked/>
    <w:uiPriority w:val="99"/>
    <w:rPr>
      <w:rFonts w:ascii="Cambria" w:hAnsi="Cambria" w:cs="Cambria"/>
      <w:b/>
      <w:bCs/>
      <w:kern w:val="2"/>
      <w:sz w:val="28"/>
      <w:szCs w:val="28"/>
    </w:rPr>
  </w:style>
  <w:style w:type="character" w:customStyle="1" w:styleId="56">
    <w:name w:val="标题 5 Char"/>
    <w:link w:val="6"/>
    <w:qFormat/>
    <w:locked/>
    <w:uiPriority w:val="99"/>
    <w:rPr>
      <w:rFonts w:ascii="Calibri" w:hAnsi="Calibri" w:cs="Calibri"/>
      <w:b/>
      <w:bCs/>
      <w:kern w:val="2"/>
      <w:sz w:val="28"/>
      <w:szCs w:val="28"/>
    </w:rPr>
  </w:style>
  <w:style w:type="character" w:customStyle="1" w:styleId="57">
    <w:name w:val="批注文字 Char"/>
    <w:link w:val="13"/>
    <w:qFormat/>
    <w:locked/>
    <w:uiPriority w:val="99"/>
    <w:rPr>
      <w:kern w:val="2"/>
      <w:sz w:val="21"/>
      <w:szCs w:val="21"/>
    </w:rPr>
  </w:style>
  <w:style w:type="character" w:customStyle="1" w:styleId="58">
    <w:name w:val="批注主题 Char"/>
    <w:link w:val="42"/>
    <w:qFormat/>
    <w:locked/>
    <w:uiPriority w:val="99"/>
    <w:rPr>
      <w:b/>
      <w:bCs/>
      <w:kern w:val="2"/>
      <w:sz w:val="21"/>
      <w:szCs w:val="21"/>
    </w:rPr>
  </w:style>
  <w:style w:type="character" w:customStyle="1" w:styleId="59">
    <w:name w:val="文档结构图 Char"/>
    <w:link w:val="12"/>
    <w:qFormat/>
    <w:locked/>
    <w:uiPriority w:val="99"/>
    <w:rPr>
      <w:rFonts w:ascii="宋体" w:cs="宋体"/>
      <w:kern w:val="2"/>
      <w:sz w:val="18"/>
      <w:szCs w:val="18"/>
    </w:rPr>
  </w:style>
  <w:style w:type="character" w:customStyle="1" w:styleId="60">
    <w:name w:val="正文文本 Char"/>
    <w:link w:val="15"/>
    <w:qFormat/>
    <w:locked/>
    <w:uiPriority w:val="99"/>
    <w:rPr>
      <w:spacing w:val="20"/>
      <w:kern w:val="2"/>
      <w:sz w:val="24"/>
      <w:szCs w:val="24"/>
    </w:rPr>
  </w:style>
  <w:style w:type="character" w:customStyle="1" w:styleId="61">
    <w:name w:val="正文文本缩进 Char"/>
    <w:link w:val="16"/>
    <w:qFormat/>
    <w:locked/>
    <w:uiPriority w:val="99"/>
    <w:rPr>
      <w:rFonts w:ascii="宋体" w:cs="宋体"/>
      <w:spacing w:val="20"/>
      <w:sz w:val="28"/>
      <w:szCs w:val="28"/>
    </w:rPr>
  </w:style>
  <w:style w:type="character" w:customStyle="1" w:styleId="62">
    <w:name w:val="纯文本 Char"/>
    <w:link w:val="21"/>
    <w:qFormat/>
    <w:locked/>
    <w:uiPriority w:val="99"/>
    <w:rPr>
      <w:rFonts w:ascii="宋体" w:hAnsi="Courier New" w:cs="宋体"/>
      <w:kern w:val="2"/>
      <w:sz w:val="21"/>
      <w:szCs w:val="21"/>
    </w:rPr>
  </w:style>
  <w:style w:type="character" w:customStyle="1" w:styleId="63">
    <w:name w:val="日期 Char"/>
    <w:link w:val="24"/>
    <w:qFormat/>
    <w:locked/>
    <w:uiPriority w:val="99"/>
    <w:rPr>
      <w:rFonts w:ascii="宋体" w:cs="宋体"/>
      <w:spacing w:val="20"/>
      <w:sz w:val="28"/>
      <w:szCs w:val="28"/>
    </w:rPr>
  </w:style>
  <w:style w:type="character" w:customStyle="1" w:styleId="64">
    <w:name w:val="正文文本缩进 2 Char"/>
    <w:link w:val="25"/>
    <w:qFormat/>
    <w:locked/>
    <w:uiPriority w:val="99"/>
    <w:rPr>
      <w:spacing w:val="20"/>
      <w:kern w:val="2"/>
      <w:sz w:val="28"/>
      <w:szCs w:val="28"/>
    </w:rPr>
  </w:style>
  <w:style w:type="character" w:customStyle="1" w:styleId="65">
    <w:name w:val="批注框文本 Char"/>
    <w:link w:val="26"/>
    <w:qFormat/>
    <w:locked/>
    <w:uiPriority w:val="99"/>
    <w:rPr>
      <w:kern w:val="2"/>
      <w:sz w:val="18"/>
      <w:szCs w:val="18"/>
    </w:rPr>
  </w:style>
  <w:style w:type="character" w:customStyle="1" w:styleId="66">
    <w:name w:val="页脚 Char"/>
    <w:link w:val="27"/>
    <w:qFormat/>
    <w:locked/>
    <w:uiPriority w:val="99"/>
    <w:rPr>
      <w:sz w:val="18"/>
      <w:szCs w:val="18"/>
    </w:rPr>
  </w:style>
  <w:style w:type="character" w:customStyle="1" w:styleId="67">
    <w:name w:val="页眉 Char"/>
    <w:link w:val="28"/>
    <w:qFormat/>
    <w:locked/>
    <w:uiPriority w:val="99"/>
    <w:rPr>
      <w:kern w:val="2"/>
      <w:sz w:val="18"/>
      <w:szCs w:val="18"/>
    </w:rPr>
  </w:style>
  <w:style w:type="character" w:customStyle="1" w:styleId="68">
    <w:name w:val="副标题 Char"/>
    <w:link w:val="33"/>
    <w:qFormat/>
    <w:locked/>
    <w:uiPriority w:val="99"/>
    <w:rPr>
      <w:rFonts w:ascii="Cambria" w:hAnsi="Cambria" w:cs="Cambria"/>
      <w:b/>
      <w:bCs/>
      <w:kern w:val="28"/>
      <w:sz w:val="32"/>
      <w:szCs w:val="32"/>
    </w:rPr>
  </w:style>
  <w:style w:type="character" w:customStyle="1" w:styleId="69">
    <w:name w:val="正文文本缩进 3 Char"/>
    <w:link w:val="35"/>
    <w:qFormat/>
    <w:locked/>
    <w:uiPriority w:val="0"/>
    <w:rPr>
      <w:rFonts w:ascii="宋体" w:cs="宋体"/>
      <w:spacing w:val="20"/>
      <w:sz w:val="28"/>
      <w:szCs w:val="28"/>
    </w:rPr>
  </w:style>
  <w:style w:type="paragraph" w:customStyle="1" w:styleId="70">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71">
    <w:name w:val="font6"/>
    <w:basedOn w:val="1"/>
    <w:qFormat/>
    <w:uiPriority w:val="99"/>
    <w:pPr>
      <w:widowControl/>
      <w:spacing w:before="100" w:beforeAutospacing="1" w:after="100" w:afterAutospacing="1"/>
      <w:jc w:val="left"/>
    </w:pPr>
    <w:rPr>
      <w:rFonts w:eastAsia="Arial Unicode MS"/>
      <w:kern w:val="0"/>
      <w:sz w:val="18"/>
      <w:szCs w:val="18"/>
    </w:rPr>
  </w:style>
  <w:style w:type="paragraph" w:customStyle="1" w:styleId="72">
    <w:name w:val="font7"/>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73">
    <w:name w:val="font8"/>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74">
    <w:name w:val="font9"/>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75">
    <w:name w:val="font10"/>
    <w:basedOn w:val="1"/>
    <w:qFormat/>
    <w:uiPriority w:val="99"/>
    <w:pPr>
      <w:widowControl/>
      <w:spacing w:before="100" w:beforeAutospacing="1" w:after="100" w:afterAutospacing="1"/>
      <w:jc w:val="left"/>
    </w:pPr>
    <w:rPr>
      <w:rFonts w:eastAsia="Arial Unicode MS"/>
      <w:color w:val="000000"/>
      <w:kern w:val="0"/>
      <w:sz w:val="18"/>
      <w:szCs w:val="18"/>
    </w:rPr>
  </w:style>
  <w:style w:type="paragraph" w:customStyle="1" w:styleId="76">
    <w:name w:val="font11"/>
    <w:basedOn w:val="1"/>
    <w:qFormat/>
    <w:uiPriority w:val="99"/>
    <w:pPr>
      <w:widowControl/>
      <w:spacing w:before="100" w:beforeAutospacing="1" w:after="100" w:afterAutospacing="1"/>
      <w:jc w:val="left"/>
    </w:pPr>
    <w:rPr>
      <w:rFonts w:eastAsia="Arial Unicode MS"/>
      <w:kern w:val="0"/>
      <w:sz w:val="16"/>
      <w:szCs w:val="16"/>
    </w:rPr>
  </w:style>
  <w:style w:type="paragraph" w:customStyle="1" w:styleId="77">
    <w:name w:val="xl2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8">
    <w:name w:val="xl2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9">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0">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1">
    <w:name w:val="xl28"/>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2">
    <w:name w:val="xl29"/>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3">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4">
    <w:name w:val="xl31"/>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5">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6">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7">
    <w:name w:val="xl3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8">
    <w:name w:val="xl35"/>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9">
    <w:name w:val="xl3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0">
    <w:name w:val="xl37"/>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1">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2">
    <w:name w:val="xl39"/>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3">
    <w:name w:val="font1"/>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94">
    <w:name w:val="xl40"/>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95">
    <w:name w:val="Char1 Char Char Char"/>
    <w:basedOn w:val="1"/>
    <w:qFormat/>
    <w:uiPriority w:val="99"/>
    <w:pPr>
      <w:widowControl/>
      <w:spacing w:after="160" w:line="240" w:lineRule="exact"/>
      <w:jc w:val="left"/>
    </w:pPr>
    <w:rPr>
      <w:rFonts w:ascii="Tahoma" w:hAnsi="Tahoma" w:cs="Tahoma"/>
      <w:kern w:val="0"/>
      <w:sz w:val="24"/>
      <w:szCs w:val="24"/>
      <w:lang w:eastAsia="en-US"/>
    </w:rPr>
  </w:style>
  <w:style w:type="paragraph" w:customStyle="1" w:styleId="96">
    <w:name w:val="Char1 Char Char Char1"/>
    <w:basedOn w:val="1"/>
    <w:qFormat/>
    <w:uiPriority w:val="99"/>
    <w:pPr>
      <w:widowControl/>
      <w:spacing w:after="160" w:line="240" w:lineRule="exact"/>
      <w:jc w:val="left"/>
    </w:pPr>
    <w:rPr>
      <w:rFonts w:ascii="Tahoma" w:hAnsi="Tahoma" w:cs="Tahoma"/>
      <w:kern w:val="0"/>
      <w:sz w:val="24"/>
      <w:szCs w:val="24"/>
      <w:lang w:eastAsia="en-US"/>
    </w:rPr>
  </w:style>
  <w:style w:type="character" w:customStyle="1" w:styleId="97">
    <w:name w:val="short_text1"/>
    <w:qFormat/>
    <w:uiPriority w:val="99"/>
    <w:rPr>
      <w:sz w:val="29"/>
      <w:szCs w:val="29"/>
    </w:rPr>
  </w:style>
  <w:style w:type="paragraph" w:customStyle="1" w:styleId="98">
    <w:name w:val="Default"/>
    <w:qFormat/>
    <w:uiPriority w:val="99"/>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99">
    <w:name w:val="apple-style-span"/>
    <w:basedOn w:val="46"/>
    <w:qFormat/>
    <w:uiPriority w:val="99"/>
  </w:style>
  <w:style w:type="character" w:customStyle="1" w:styleId="100">
    <w:name w:val="apple-converted-space"/>
    <w:basedOn w:val="46"/>
    <w:qFormat/>
    <w:uiPriority w:val="99"/>
  </w:style>
  <w:style w:type="paragraph" w:customStyle="1" w:styleId="101">
    <w:name w:val="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2">
    <w:name w:val="列出段落1"/>
    <w:basedOn w:val="1"/>
    <w:qFormat/>
    <w:uiPriority w:val="34"/>
    <w:pPr>
      <w:ind w:firstLine="420" w:firstLineChars="200"/>
    </w:pPr>
  </w:style>
  <w:style w:type="paragraph" w:customStyle="1" w:styleId="103">
    <w:name w:val="Char"/>
    <w:basedOn w:val="1"/>
    <w:qFormat/>
    <w:uiPriority w:val="99"/>
  </w:style>
  <w:style w:type="paragraph" w:customStyle="1" w:styleId="104">
    <w:name w:val="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5">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6">
    <w:name w:val="默认段落字体 Para Char Char Char Char Char Char Char"/>
    <w:basedOn w:val="1"/>
    <w:qFormat/>
    <w:uiPriority w:val="99"/>
    <w:rPr>
      <w:rFonts w:ascii="Tahoma" w:hAnsi="Tahoma" w:cs="Tahoma"/>
      <w:sz w:val="24"/>
      <w:szCs w:val="24"/>
    </w:rPr>
  </w:style>
  <w:style w:type="paragraph" w:customStyle="1" w:styleId="107">
    <w:name w:val="修订1"/>
    <w:hidden/>
    <w:qFormat/>
    <w:uiPriority w:val="99"/>
    <w:rPr>
      <w:rFonts w:ascii="Calibri" w:hAnsi="Calibri" w:eastAsia="宋体" w:cs="Calibri"/>
      <w:kern w:val="2"/>
      <w:sz w:val="21"/>
      <w:szCs w:val="21"/>
      <w:lang w:val="en-US" w:eastAsia="zh-CN" w:bidi="ar-SA"/>
    </w:rPr>
  </w:style>
  <w:style w:type="paragraph" w:customStyle="1" w:styleId="108">
    <w:name w:val="正文文本缩进 21"/>
    <w:basedOn w:val="1"/>
    <w:qFormat/>
    <w:uiPriority w:val="99"/>
    <w:pPr>
      <w:spacing w:after="120" w:line="480" w:lineRule="auto"/>
      <w:ind w:left="420" w:leftChars="200"/>
    </w:pPr>
  </w:style>
  <w:style w:type="paragraph" w:customStyle="1" w:styleId="109">
    <w:name w:val="样式1"/>
    <w:basedOn w:val="1"/>
    <w:qFormat/>
    <w:uiPriority w:val="99"/>
    <w:pPr>
      <w:spacing w:line="360" w:lineRule="auto"/>
      <w:ind w:firstLine="360" w:firstLineChars="150"/>
    </w:pPr>
    <w:rPr>
      <w:rFonts w:ascii="仿宋_GB2312" w:hAnsi="宋体" w:eastAsia="仿宋_GB2312" w:cs="仿宋_GB2312"/>
      <w:sz w:val="24"/>
      <w:szCs w:val="24"/>
    </w:rPr>
  </w:style>
  <w:style w:type="paragraph" w:customStyle="1" w:styleId="110">
    <w:name w:val="font12"/>
    <w:basedOn w:val="1"/>
    <w:qFormat/>
    <w:uiPriority w:val="99"/>
    <w:pPr>
      <w:widowControl/>
      <w:spacing w:before="100" w:beforeAutospacing="1" w:after="100" w:afterAutospacing="1"/>
      <w:jc w:val="left"/>
    </w:pPr>
    <w:rPr>
      <w:b/>
      <w:bCs/>
      <w:color w:val="000000"/>
      <w:kern w:val="0"/>
      <w:sz w:val="18"/>
      <w:szCs w:val="18"/>
    </w:rPr>
  </w:style>
  <w:style w:type="character" w:customStyle="1" w:styleId="111">
    <w:name w:val="unnamed11"/>
    <w:qFormat/>
    <w:uiPriority w:val="99"/>
    <w:rPr>
      <w:rFonts w:ascii="宋体" w:hAnsi="宋体" w:eastAsia="宋体" w:cs="宋体"/>
      <w:spacing w:val="240"/>
      <w:sz w:val="18"/>
      <w:szCs w:val="18"/>
    </w:rPr>
  </w:style>
  <w:style w:type="character" w:customStyle="1" w:styleId="112">
    <w:name w:val="duanl"/>
    <w:basedOn w:val="46"/>
    <w:qFormat/>
    <w:uiPriority w:val="99"/>
  </w:style>
  <w:style w:type="character" w:customStyle="1" w:styleId="113">
    <w:name w:val="divtxt1"/>
    <w:qFormat/>
    <w:uiPriority w:val="99"/>
    <w:rPr>
      <w:color w:val="000000"/>
      <w:spacing w:val="15"/>
    </w:rPr>
  </w:style>
  <w:style w:type="character" w:customStyle="1" w:styleId="114">
    <w:name w:val="bb1"/>
    <w:qFormat/>
    <w:uiPriority w:val="99"/>
    <w:rPr>
      <w:sz w:val="24"/>
      <w:szCs w:val="24"/>
    </w:rPr>
  </w:style>
  <w:style w:type="paragraph" w:customStyle="1" w:styleId="115">
    <w:name w:val="4"/>
    <w:basedOn w:val="1"/>
    <w:next w:val="35"/>
    <w:qFormat/>
    <w:uiPriority w:val="99"/>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116">
    <w:name w:val="3"/>
    <w:basedOn w:val="1"/>
    <w:next w:val="40"/>
    <w:qFormat/>
    <w:uiPriority w:val="99"/>
    <w:pPr>
      <w:widowControl/>
      <w:spacing w:before="100" w:after="100"/>
      <w:jc w:val="left"/>
    </w:pPr>
    <w:rPr>
      <w:rFonts w:ascii="宋体" w:hAnsi="宋体" w:cs="宋体"/>
      <w:kern w:val="0"/>
      <w:sz w:val="18"/>
      <w:szCs w:val="18"/>
    </w:rPr>
  </w:style>
  <w:style w:type="paragraph" w:customStyle="1" w:styleId="117">
    <w:name w:val="2"/>
    <w:basedOn w:val="1"/>
    <w:next w:val="35"/>
    <w:qFormat/>
    <w:uiPriority w:val="99"/>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118">
    <w:name w:val="1"/>
    <w:basedOn w:val="1"/>
    <w:next w:val="40"/>
    <w:qFormat/>
    <w:uiPriority w:val="99"/>
    <w:pPr>
      <w:widowControl/>
      <w:spacing w:before="100" w:after="100"/>
      <w:jc w:val="left"/>
    </w:pPr>
    <w:rPr>
      <w:rFonts w:ascii="宋体" w:hAnsi="宋体" w:cs="宋体"/>
      <w:kern w:val="0"/>
      <w:sz w:val="18"/>
      <w:szCs w:val="18"/>
    </w:rPr>
  </w:style>
  <w:style w:type="paragraph" w:customStyle="1" w:styleId="119">
    <w:name w:val="正文 + 宋体"/>
    <w:basedOn w:val="1"/>
    <w:link w:val="120"/>
    <w:qFormat/>
    <w:uiPriority w:val="99"/>
    <w:pPr>
      <w:adjustRightInd w:val="0"/>
      <w:snapToGrid w:val="0"/>
      <w:spacing w:line="360" w:lineRule="auto"/>
      <w:ind w:firstLine="527"/>
    </w:pPr>
    <w:rPr>
      <w:rFonts w:ascii="宋体"/>
      <w:sz w:val="26"/>
      <w:szCs w:val="26"/>
    </w:rPr>
  </w:style>
  <w:style w:type="character" w:customStyle="1" w:styleId="120">
    <w:name w:val="正文 + 宋体 Char"/>
    <w:link w:val="119"/>
    <w:qFormat/>
    <w:locked/>
    <w:uiPriority w:val="99"/>
    <w:rPr>
      <w:rFonts w:ascii="宋体" w:eastAsia="宋体" w:cs="宋体"/>
      <w:kern w:val="2"/>
      <w:sz w:val="26"/>
      <w:szCs w:val="26"/>
    </w:rPr>
  </w:style>
  <w:style w:type="character" w:customStyle="1" w:styleId="121">
    <w:name w:val="f101"/>
    <w:qFormat/>
    <w:uiPriority w:val="99"/>
    <w:rPr>
      <w:rFonts w:ascii="Arial" w:hAnsi="Arial" w:cs="Arial"/>
      <w:spacing w:val="480"/>
      <w:sz w:val="18"/>
      <w:szCs w:val="18"/>
    </w:rPr>
  </w:style>
  <w:style w:type="character" w:customStyle="1" w:styleId="122">
    <w:name w:val="f131"/>
    <w:basedOn w:val="46"/>
    <w:qFormat/>
    <w:uiPriority w:val="99"/>
  </w:style>
  <w:style w:type="character" w:customStyle="1" w:styleId="123">
    <w:name w:val="ts2"/>
    <w:qFormat/>
    <w:uiPriority w:val="99"/>
    <w:rPr>
      <w:rFonts w:ascii="楷体" w:eastAsia="楷体" w:cs="楷体"/>
      <w:sz w:val="24"/>
      <w:szCs w:val="24"/>
    </w:rPr>
  </w:style>
  <w:style w:type="paragraph" w:customStyle="1" w:styleId="124">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5">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26">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27">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character" w:customStyle="1" w:styleId="128">
    <w:name w:val="正文 + 宋体 Char1"/>
    <w:qFormat/>
    <w:uiPriority w:val="99"/>
    <w:rPr>
      <w:rFonts w:eastAsia="宋体"/>
      <w:kern w:val="2"/>
      <w:sz w:val="21"/>
      <w:szCs w:val="21"/>
      <w:lang w:val="en-US" w:eastAsia="zh-CN"/>
    </w:rPr>
  </w:style>
  <w:style w:type="paragraph" w:customStyle="1" w:styleId="129">
    <w:name w:val="xl41"/>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30">
    <w:name w:val="xl42"/>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31">
    <w:name w:val="xl4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32">
    <w:name w:val="普通(网站)1"/>
    <w:basedOn w:val="1"/>
    <w:qFormat/>
    <w:uiPriority w:val="99"/>
    <w:pPr>
      <w:widowControl/>
      <w:spacing w:before="100" w:after="100"/>
      <w:jc w:val="left"/>
    </w:pPr>
    <w:rPr>
      <w:rFonts w:ascii="宋体" w:hAnsi="宋体" w:cs="宋体"/>
      <w:kern w:val="0"/>
      <w:sz w:val="18"/>
      <w:szCs w:val="18"/>
    </w:rPr>
  </w:style>
  <w:style w:type="paragraph" w:customStyle="1" w:styleId="133">
    <w:name w:val="样式3"/>
    <w:basedOn w:val="1"/>
    <w:qFormat/>
    <w:uiPriority w:val="99"/>
    <w:pPr>
      <w:adjustRightInd w:val="0"/>
      <w:spacing w:line="400" w:lineRule="exact"/>
      <w:ind w:firstLine="737"/>
      <w:jc w:val="left"/>
      <w:textAlignment w:val="baseline"/>
    </w:pPr>
    <w:rPr>
      <w:rFonts w:ascii="仿宋体" w:cs="仿宋体"/>
      <w:spacing w:val="24"/>
      <w:kern w:val="0"/>
      <w:sz w:val="30"/>
      <w:szCs w:val="30"/>
    </w:rPr>
  </w:style>
  <w:style w:type="paragraph" w:customStyle="1" w:styleId="134">
    <w:name w:val="列出段落11"/>
    <w:basedOn w:val="1"/>
    <w:qFormat/>
    <w:uiPriority w:val="99"/>
    <w:pPr>
      <w:ind w:firstLine="420" w:firstLineChars="200"/>
    </w:pPr>
    <w:rPr>
      <w:rFonts w:ascii="Calibri" w:hAnsi="Calibri" w:cs="Calibri"/>
    </w:rPr>
  </w:style>
  <w:style w:type="character" w:customStyle="1" w:styleId="135">
    <w:name w:val="批注引用1"/>
    <w:qFormat/>
    <w:uiPriority w:val="99"/>
    <w:rPr>
      <w:sz w:val="21"/>
      <w:szCs w:val="21"/>
    </w:rPr>
  </w:style>
  <w:style w:type="paragraph" w:customStyle="1" w:styleId="136">
    <w:name w:val="彩色列表 - 强调文字颜色 11"/>
    <w:basedOn w:val="1"/>
    <w:qFormat/>
    <w:uiPriority w:val="99"/>
    <w:pPr>
      <w:ind w:firstLine="420" w:firstLineChars="200"/>
    </w:pPr>
    <w:rPr>
      <w:rFonts w:ascii="Calibri" w:hAnsi="Calibri" w:cs="Calibri"/>
    </w:rPr>
  </w:style>
  <w:style w:type="paragraph" w:customStyle="1" w:styleId="13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38">
    <w:name w:val="正文文本缩进 211"/>
    <w:basedOn w:val="1"/>
    <w:qFormat/>
    <w:uiPriority w:val="99"/>
    <w:pPr>
      <w:spacing w:after="120" w:line="480" w:lineRule="auto"/>
      <w:ind w:left="420" w:leftChars="200"/>
    </w:pPr>
  </w:style>
  <w:style w:type="paragraph" w:customStyle="1" w:styleId="139">
    <w:name w:val="引用1"/>
    <w:basedOn w:val="1"/>
    <w:next w:val="1"/>
    <w:link w:val="140"/>
    <w:qFormat/>
    <w:uiPriority w:val="99"/>
    <w:rPr>
      <w:i/>
      <w:iCs/>
      <w:color w:val="000000"/>
    </w:rPr>
  </w:style>
  <w:style w:type="character" w:customStyle="1" w:styleId="140">
    <w:name w:val="引用 Char"/>
    <w:link w:val="139"/>
    <w:qFormat/>
    <w:locked/>
    <w:uiPriority w:val="99"/>
    <w:rPr>
      <w:i/>
      <w:iCs/>
      <w:color w:val="000000"/>
      <w:kern w:val="2"/>
      <w:sz w:val="21"/>
      <w:szCs w:val="21"/>
    </w:rPr>
  </w:style>
  <w:style w:type="paragraph" w:customStyle="1" w:styleId="141">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42">
    <w:name w:val="报告正文"/>
    <w:basedOn w:val="1"/>
    <w:qFormat/>
    <w:uiPriority w:val="99"/>
    <w:pPr>
      <w:spacing w:line="500" w:lineRule="atLeast"/>
      <w:ind w:firstLine="567"/>
    </w:pPr>
    <w:rPr>
      <w:rFonts w:ascii="仿宋_GB2312" w:hAnsi="Courier New" w:eastAsia="仿宋_GB2312" w:cs="仿宋_GB2312"/>
      <w:sz w:val="28"/>
      <w:szCs w:val="28"/>
    </w:rPr>
  </w:style>
  <w:style w:type="paragraph" w:customStyle="1" w:styleId="143">
    <w:name w:val="模版-正文分散对齐"/>
    <w:basedOn w:val="1"/>
    <w:qFormat/>
    <w:uiPriority w:val="0"/>
    <w:pPr>
      <w:widowControl/>
      <w:adjustRightInd w:val="0"/>
      <w:snapToGrid w:val="0"/>
      <w:jc w:val="distribute"/>
    </w:pPr>
    <w:rPr>
      <w:rFonts w:eastAsia="华文细黑"/>
      <w:color w:val="000000"/>
      <w:sz w:val="18"/>
      <w:szCs w:val="22"/>
    </w:rPr>
  </w:style>
  <w:style w:type="paragraph" w:styleId="144">
    <w:name w:val="List Paragraph"/>
    <w:basedOn w:val="1"/>
    <w:unhideWhenUsed/>
    <w:qFormat/>
    <w:uiPriority w:val="34"/>
    <w:pPr>
      <w:ind w:firstLine="420" w:firstLineChars="200"/>
    </w:pPr>
  </w:style>
  <w:style w:type="character" w:customStyle="1" w:styleId="145">
    <w:name w:val="正文缩进 Char"/>
    <w:link w:val="10"/>
    <w:qFormat/>
    <w:uiPriority w:val="0"/>
    <w:rPr>
      <w:kern w:val="2"/>
      <w:sz w:val="21"/>
      <w:szCs w:val="21"/>
    </w:rPr>
  </w:style>
  <w:style w:type="paragraph" w:customStyle="1" w:styleId="146">
    <w:name w:val="p"/>
    <w:basedOn w:val="1"/>
    <w:qFormat/>
    <w:uiPriority w:val="0"/>
    <w:pPr>
      <w:widowControl/>
      <w:jc w:val="left"/>
    </w:pPr>
    <w:rPr>
      <w:rFonts w:ascii="宋体" w:hAnsi="宋体" w:cs="宋体"/>
      <w:kern w:val="0"/>
      <w:sz w:val="24"/>
      <w:szCs w:val="24"/>
    </w:rPr>
  </w:style>
  <w:style w:type="character" w:customStyle="1" w:styleId="147">
    <w:name w:val="bjh-strong"/>
    <w:basedOn w:val="46"/>
    <w:qFormat/>
    <w:uiPriority w:val="0"/>
  </w:style>
  <w:style w:type="character" w:customStyle="1" w:styleId="148">
    <w:name w:val="bjh-p"/>
    <w:basedOn w:val="46"/>
    <w:qFormat/>
    <w:uiPriority w:val="0"/>
  </w:style>
  <w:style w:type="paragraph" w:customStyle="1" w:styleId="149">
    <w:name w:val="修订2"/>
    <w:hidden/>
    <w:unhideWhenUsed/>
    <w:qFormat/>
    <w:uiPriority w:val="99"/>
    <w:rPr>
      <w:rFonts w:ascii="Times New Roman" w:hAnsi="Times New Roman" w:eastAsia="宋体" w:cs="Times New Roman"/>
      <w:kern w:val="2"/>
      <w:sz w:val="21"/>
      <w:szCs w:val="21"/>
      <w:lang w:val="en-US" w:eastAsia="zh-CN" w:bidi="ar-SA"/>
    </w:rPr>
  </w:style>
  <w:style w:type="character" w:customStyle="1" w:styleId="150">
    <w:name w:val="font41"/>
    <w:basedOn w:val="46"/>
    <w:qFormat/>
    <w:uiPriority w:val="0"/>
    <w:rPr>
      <w:rFonts w:ascii="仿宋_GB2312" w:eastAsia="仿宋_GB2312" w:cs="仿宋_GB2312"/>
      <w:color w:val="000000"/>
      <w:sz w:val="21"/>
      <w:szCs w:val="21"/>
      <w:u w:val="none"/>
    </w:rPr>
  </w:style>
  <w:style w:type="character" w:customStyle="1" w:styleId="151">
    <w:name w:val="font31"/>
    <w:basedOn w:val="46"/>
    <w:qFormat/>
    <w:uiPriority w:val="0"/>
    <w:rPr>
      <w:rFonts w:hint="default" w:ascii="Times New Roman" w:hAnsi="Times New Roman" w:cs="Times New Roman"/>
      <w:color w:val="000000"/>
      <w:sz w:val="21"/>
      <w:szCs w:val="21"/>
      <w:u w:val="none"/>
      <w:vertAlign w:val="superscript"/>
    </w:rPr>
  </w:style>
  <w:style w:type="paragraph" w:customStyle="1" w:styleId="152">
    <w:name w:val="模版-表格居中"/>
    <w:basedOn w:val="1"/>
    <w:qFormat/>
    <w:uiPriority w:val="99"/>
    <w:pPr>
      <w:spacing w:line="240" w:lineRule="exact"/>
      <w:jc w:val="center"/>
    </w:pPr>
    <w:rPr>
      <w:rFonts w:asciiTheme="minorHAnsi" w:hAnsiTheme="minorHAnsi" w:eastAsiaTheme="minorEastAsia" w:cstheme="minorBidi"/>
      <w:szCs w:val="22"/>
    </w:rPr>
  </w:style>
  <w:style w:type="paragraph" w:customStyle="1" w:styleId="153">
    <w:name w:val="模板-表格下段落"/>
    <w:qFormat/>
    <w:uiPriority w:val="99"/>
    <w:pPr>
      <w:spacing w:line="360" w:lineRule="auto"/>
      <w:jc w:val="center"/>
    </w:pPr>
    <w:rPr>
      <w:rFonts w:ascii="仿宋_GB2312" w:hAnsi="华文细黑" w:eastAsia="仿宋_GB2312" w:cs="仿宋_GB2312"/>
      <w:b/>
      <w:bCs/>
      <w:kern w:val="2"/>
      <w:sz w:val="28"/>
      <w:szCs w:val="28"/>
      <w:lang w:val="en-US" w:eastAsia="zh-CN" w:bidi="ar-SA"/>
    </w:rPr>
  </w:style>
  <w:style w:type="character" w:customStyle="1" w:styleId="154">
    <w:name w:val="font51"/>
    <w:basedOn w:val="46"/>
    <w:qFormat/>
    <w:uiPriority w:val="0"/>
    <w:rPr>
      <w:rFonts w:hint="eastAsia" w:ascii="仿宋_GB2312" w:eastAsia="仿宋_GB2312" w:cs="仿宋_GB2312"/>
      <w:b/>
      <w:color w:val="000000"/>
      <w:sz w:val="21"/>
      <w:szCs w:val="21"/>
      <w:u w:val="none"/>
    </w:rPr>
  </w:style>
  <w:style w:type="character" w:customStyle="1" w:styleId="155">
    <w:name w:val="font71"/>
    <w:basedOn w:val="46"/>
    <w:qFormat/>
    <w:uiPriority w:val="0"/>
    <w:rPr>
      <w:rFonts w:hint="default" w:ascii="Times New Roman" w:hAnsi="Times New Roman" w:cs="Times New Roman"/>
      <w:color w:val="00B050"/>
      <w:sz w:val="21"/>
      <w:szCs w:val="21"/>
      <w:u w:val="none"/>
    </w:rPr>
  </w:style>
  <w:style w:type="character" w:customStyle="1" w:styleId="156">
    <w:name w:val="font81"/>
    <w:basedOn w:val="46"/>
    <w:qFormat/>
    <w:uiPriority w:val="0"/>
    <w:rPr>
      <w:rFonts w:hint="eastAsia" w:ascii="仿宋_GB2312" w:eastAsia="仿宋_GB2312" w:cs="仿宋_GB2312"/>
      <w:color w:val="000000"/>
      <w:sz w:val="21"/>
      <w:szCs w:val="21"/>
      <w:u w:val="none"/>
    </w:rPr>
  </w:style>
  <w:style w:type="character" w:customStyle="1" w:styleId="157">
    <w:name w:val="font21"/>
    <w:basedOn w:val="46"/>
    <w:qFormat/>
    <w:uiPriority w:val="99"/>
    <w:rPr>
      <w:rFonts w:ascii="仿宋_GB2312" w:eastAsia="仿宋_GB2312" w:cs="仿宋_GB2312"/>
      <w:color w:val="00B050"/>
      <w:sz w:val="21"/>
      <w:szCs w:val="21"/>
      <w:u w:val="none"/>
    </w:rPr>
  </w:style>
  <w:style w:type="character" w:customStyle="1" w:styleId="158">
    <w:name w:val="标题 9 Char"/>
    <w:basedOn w:val="46"/>
    <w:link w:val="7"/>
    <w:semiHidden/>
    <w:qFormat/>
    <w:uiPriority w:val="0"/>
    <w:rPr>
      <w:rFonts w:asciiTheme="majorHAnsi" w:hAnsiTheme="majorHAnsi" w:eastAsiaTheme="majorEastAsia" w:cstheme="majorBidi"/>
      <w:kern w:val="2"/>
      <w:sz w:val="21"/>
      <w:szCs w:val="21"/>
    </w:rPr>
  </w:style>
  <w:style w:type="character" w:customStyle="1" w:styleId="159">
    <w:name w:val="标题 1 字符"/>
    <w:qFormat/>
    <w:locked/>
    <w:uiPriority w:val="99"/>
    <w:rPr>
      <w:b/>
      <w:bCs/>
      <w:kern w:val="44"/>
      <w:sz w:val="44"/>
      <w:szCs w:val="44"/>
    </w:rPr>
  </w:style>
  <w:style w:type="character" w:customStyle="1" w:styleId="160">
    <w:name w:val="标题 2 字符"/>
    <w:qFormat/>
    <w:locked/>
    <w:uiPriority w:val="99"/>
    <w:rPr>
      <w:rFonts w:ascii="Arial" w:hAnsi="Arial" w:eastAsia="黑体" w:cs="Arial"/>
      <w:b/>
      <w:bCs/>
      <w:kern w:val="2"/>
      <w:sz w:val="32"/>
      <w:szCs w:val="32"/>
    </w:rPr>
  </w:style>
  <w:style w:type="character" w:customStyle="1" w:styleId="161">
    <w:name w:val="标题 3 字符"/>
    <w:qFormat/>
    <w:locked/>
    <w:uiPriority w:val="99"/>
    <w:rPr>
      <w:b/>
      <w:bCs/>
      <w:sz w:val="32"/>
      <w:szCs w:val="32"/>
    </w:rPr>
  </w:style>
  <w:style w:type="character" w:customStyle="1" w:styleId="162">
    <w:name w:val="标题 4 字符"/>
    <w:qFormat/>
    <w:locked/>
    <w:uiPriority w:val="99"/>
    <w:rPr>
      <w:rFonts w:ascii="Cambria" w:hAnsi="Cambria" w:cs="Cambria"/>
      <w:b/>
      <w:bCs/>
      <w:kern w:val="2"/>
      <w:sz w:val="28"/>
      <w:szCs w:val="28"/>
    </w:rPr>
  </w:style>
  <w:style w:type="character" w:customStyle="1" w:styleId="163">
    <w:name w:val="标题 5 字符"/>
    <w:qFormat/>
    <w:locked/>
    <w:uiPriority w:val="99"/>
    <w:rPr>
      <w:b/>
      <w:bCs/>
      <w:kern w:val="2"/>
      <w:sz w:val="28"/>
      <w:szCs w:val="28"/>
    </w:rPr>
  </w:style>
  <w:style w:type="character" w:customStyle="1" w:styleId="164">
    <w:name w:val="标题 9 Char1"/>
    <w:link w:val="7"/>
    <w:qFormat/>
    <w:locked/>
    <w:uiPriority w:val="99"/>
    <w:rPr>
      <w:rFonts w:ascii="Calibri" w:hAnsi="Calibri"/>
      <w:sz w:val="21"/>
      <w:szCs w:val="21"/>
    </w:rPr>
  </w:style>
  <w:style w:type="paragraph" w:customStyle="1" w:styleId="165">
    <w:name w:val="_Style 163"/>
    <w:basedOn w:val="1"/>
    <w:next w:val="144"/>
    <w:qFormat/>
    <w:uiPriority w:val="34"/>
    <w:pPr>
      <w:ind w:firstLine="420" w:firstLineChars="200"/>
    </w:pPr>
  </w:style>
  <w:style w:type="character" w:customStyle="1" w:styleId="166">
    <w:name w:val="文档结构图 字符"/>
    <w:qFormat/>
    <w:locked/>
    <w:uiPriority w:val="99"/>
    <w:rPr>
      <w:rFonts w:ascii="宋体" w:cs="宋体"/>
      <w:kern w:val="2"/>
      <w:sz w:val="18"/>
      <w:szCs w:val="18"/>
    </w:rPr>
  </w:style>
  <w:style w:type="character" w:customStyle="1" w:styleId="167">
    <w:name w:val="批注文字 字符"/>
    <w:qFormat/>
    <w:locked/>
    <w:uiPriority w:val="99"/>
    <w:rPr>
      <w:kern w:val="2"/>
      <w:sz w:val="21"/>
      <w:szCs w:val="21"/>
    </w:rPr>
  </w:style>
  <w:style w:type="character" w:customStyle="1" w:styleId="168">
    <w:name w:val="正文文本 字符"/>
    <w:qFormat/>
    <w:locked/>
    <w:uiPriority w:val="99"/>
    <w:rPr>
      <w:sz w:val="21"/>
      <w:szCs w:val="21"/>
    </w:rPr>
  </w:style>
  <w:style w:type="character" w:customStyle="1" w:styleId="169">
    <w:name w:val="正文文本缩进 字符"/>
    <w:qFormat/>
    <w:locked/>
    <w:uiPriority w:val="99"/>
    <w:rPr>
      <w:sz w:val="21"/>
      <w:szCs w:val="21"/>
    </w:rPr>
  </w:style>
  <w:style w:type="character" w:customStyle="1" w:styleId="170">
    <w:name w:val="纯文本 字符"/>
    <w:qFormat/>
    <w:locked/>
    <w:uiPriority w:val="0"/>
    <w:rPr>
      <w:rFonts w:ascii="宋体" w:hAnsi="Courier New" w:cs="宋体"/>
      <w:kern w:val="2"/>
      <w:sz w:val="21"/>
      <w:szCs w:val="21"/>
    </w:rPr>
  </w:style>
  <w:style w:type="character" w:customStyle="1" w:styleId="171">
    <w:name w:val="日期 字符"/>
    <w:qFormat/>
    <w:locked/>
    <w:uiPriority w:val="0"/>
    <w:rPr>
      <w:sz w:val="21"/>
      <w:szCs w:val="21"/>
    </w:rPr>
  </w:style>
  <w:style w:type="character" w:customStyle="1" w:styleId="172">
    <w:name w:val="正文文本缩进 2 字符"/>
    <w:qFormat/>
    <w:locked/>
    <w:uiPriority w:val="99"/>
    <w:rPr>
      <w:sz w:val="21"/>
      <w:szCs w:val="21"/>
    </w:rPr>
  </w:style>
  <w:style w:type="character" w:customStyle="1" w:styleId="173">
    <w:name w:val="批注框文本 字符"/>
    <w:qFormat/>
    <w:locked/>
    <w:uiPriority w:val="99"/>
    <w:rPr>
      <w:kern w:val="2"/>
      <w:sz w:val="18"/>
      <w:szCs w:val="18"/>
    </w:rPr>
  </w:style>
  <w:style w:type="character" w:customStyle="1" w:styleId="174">
    <w:name w:val="页脚 字符"/>
    <w:qFormat/>
    <w:locked/>
    <w:uiPriority w:val="99"/>
    <w:rPr>
      <w:sz w:val="18"/>
      <w:szCs w:val="18"/>
    </w:rPr>
  </w:style>
  <w:style w:type="character" w:customStyle="1" w:styleId="175">
    <w:name w:val="页眉 字符"/>
    <w:qFormat/>
    <w:locked/>
    <w:uiPriority w:val="99"/>
    <w:rPr>
      <w:kern w:val="2"/>
      <w:sz w:val="18"/>
      <w:szCs w:val="18"/>
    </w:rPr>
  </w:style>
  <w:style w:type="character" w:customStyle="1" w:styleId="176">
    <w:name w:val="副标题 字符"/>
    <w:qFormat/>
    <w:locked/>
    <w:uiPriority w:val="99"/>
    <w:rPr>
      <w:rFonts w:ascii="Cambria" w:hAnsi="Cambria" w:cs="Cambria"/>
      <w:b/>
      <w:bCs/>
      <w:kern w:val="28"/>
      <w:sz w:val="32"/>
      <w:szCs w:val="32"/>
    </w:rPr>
  </w:style>
  <w:style w:type="character" w:customStyle="1" w:styleId="177">
    <w:name w:val="正文文本缩进 3 字符"/>
    <w:qFormat/>
    <w:locked/>
    <w:uiPriority w:val="0"/>
    <w:rPr>
      <w:rFonts w:ascii="宋体" w:cs="宋体"/>
      <w:spacing w:val="20"/>
      <w:sz w:val="28"/>
      <w:szCs w:val="28"/>
    </w:rPr>
  </w:style>
  <w:style w:type="character" w:customStyle="1" w:styleId="178">
    <w:name w:val="批注主题 字符"/>
    <w:qFormat/>
    <w:locked/>
    <w:uiPriority w:val="99"/>
    <w:rPr>
      <w:b/>
      <w:bCs/>
      <w:kern w:val="2"/>
      <w:sz w:val="21"/>
      <w:szCs w:val="21"/>
    </w:rPr>
  </w:style>
  <w:style w:type="character" w:customStyle="1" w:styleId="179">
    <w:name w:val="引用 Char2"/>
    <w:qFormat/>
    <w:locked/>
    <w:uiPriority w:val="99"/>
    <w:rPr>
      <w:i/>
      <w:iCs/>
      <w:color w:val="000000"/>
      <w:kern w:val="2"/>
      <w:sz w:val="21"/>
      <w:szCs w:val="21"/>
    </w:rPr>
  </w:style>
  <w:style w:type="paragraph" w:styleId="180">
    <w:name w:val="Quote"/>
    <w:basedOn w:val="1"/>
    <w:next w:val="1"/>
    <w:link w:val="181"/>
    <w:qFormat/>
    <w:uiPriority w:val="99"/>
    <w:rPr>
      <w:i/>
      <w:iCs/>
      <w:color w:val="000000"/>
    </w:rPr>
  </w:style>
  <w:style w:type="character" w:customStyle="1" w:styleId="181">
    <w:name w:val="引用 Char1"/>
    <w:basedOn w:val="46"/>
    <w:link w:val="180"/>
    <w:semiHidden/>
    <w:qFormat/>
    <w:uiPriority w:val="99"/>
    <w:rPr>
      <w:i/>
      <w:iCs/>
      <w:color w:val="000000" w:themeColor="text1"/>
      <w:kern w:val="2"/>
      <w:sz w:val="21"/>
      <w:szCs w:val="21"/>
    </w:rPr>
  </w:style>
  <w:style w:type="character" w:customStyle="1" w:styleId="182">
    <w:name w:val="newstitle1"/>
    <w:qFormat/>
    <w:uiPriority w:val="99"/>
    <w:rPr>
      <w:rFonts w:ascii="??" w:hAnsi="??" w:cs="??"/>
      <w:b/>
      <w:bCs/>
      <w:sz w:val="21"/>
      <w:szCs w:val="21"/>
    </w:rPr>
  </w:style>
  <w:style w:type="character" w:customStyle="1" w:styleId="183">
    <w:name w:val="Subtitle Char1"/>
    <w:qFormat/>
    <w:uiPriority w:val="99"/>
    <w:rPr>
      <w:rFonts w:ascii="Cambria" w:hAnsi="Cambria" w:cs="Cambria"/>
      <w:b/>
      <w:bCs/>
      <w:kern w:val="28"/>
      <w:sz w:val="32"/>
      <w:szCs w:val="32"/>
    </w:rPr>
  </w:style>
  <w:style w:type="character" w:customStyle="1" w:styleId="184">
    <w:name w:val="f14b1"/>
    <w:qFormat/>
    <w:uiPriority w:val="99"/>
    <w:rPr>
      <w:b/>
      <w:bCs/>
      <w:sz w:val="21"/>
      <w:szCs w:val="21"/>
    </w:rPr>
  </w:style>
  <w:style w:type="character" w:customStyle="1" w:styleId="185">
    <w:name w:val="Quote Char1"/>
    <w:qFormat/>
    <w:uiPriority w:val="99"/>
    <w:rPr>
      <w:i/>
      <w:iCs/>
      <w:color w:val="000000"/>
      <w:sz w:val="21"/>
      <w:szCs w:val="21"/>
    </w:rPr>
  </w:style>
  <w:style w:type="character" w:customStyle="1" w:styleId="186">
    <w:name w:val="Subtitle Char"/>
    <w:qFormat/>
    <w:locked/>
    <w:uiPriority w:val="99"/>
    <w:rPr>
      <w:rFonts w:ascii="Cambria" w:hAnsi="Cambria" w:cs="Cambria"/>
      <w:b/>
      <w:bCs/>
      <w:kern w:val="28"/>
      <w:sz w:val="32"/>
      <w:szCs w:val="32"/>
    </w:rPr>
  </w:style>
  <w:style w:type="character" w:customStyle="1" w:styleId="187">
    <w:name w:val="No Spacing Char"/>
    <w:link w:val="188"/>
    <w:qFormat/>
    <w:locked/>
    <w:uiPriority w:val="99"/>
    <w:rPr>
      <w:rFonts w:ascii="Cambria" w:hAnsi="Cambria" w:cs="Cambria"/>
      <w:sz w:val="22"/>
      <w:szCs w:val="22"/>
    </w:rPr>
  </w:style>
  <w:style w:type="paragraph" w:customStyle="1" w:styleId="188">
    <w:name w:val="无间隔1"/>
    <w:link w:val="187"/>
    <w:qFormat/>
    <w:uiPriority w:val="99"/>
    <w:rPr>
      <w:rFonts w:ascii="Cambria" w:hAnsi="Cambria" w:eastAsia="宋体" w:cs="Cambria"/>
      <w:sz w:val="22"/>
      <w:szCs w:val="22"/>
      <w:lang w:val="en-US" w:eastAsia="zh-CN" w:bidi="ar-SA"/>
    </w:rPr>
  </w:style>
  <w:style w:type="character" w:customStyle="1" w:styleId="189">
    <w:name w:val="text_big1"/>
    <w:qFormat/>
    <w:uiPriority w:val="99"/>
    <w:rPr>
      <w:color w:val="000000"/>
      <w:sz w:val="21"/>
      <w:szCs w:val="21"/>
    </w:rPr>
  </w:style>
  <w:style w:type="character" w:customStyle="1" w:styleId="190">
    <w:name w:val="Quote Char"/>
    <w:qFormat/>
    <w:locked/>
    <w:uiPriority w:val="99"/>
    <w:rPr>
      <w:i/>
      <w:iCs/>
      <w:color w:val="000000"/>
      <w:kern w:val="2"/>
      <w:sz w:val="21"/>
      <w:szCs w:val="21"/>
    </w:rPr>
  </w:style>
  <w:style w:type="paragraph" w:customStyle="1" w:styleId="191">
    <w:name w:val="Char2"/>
    <w:basedOn w:val="1"/>
    <w:qFormat/>
    <w:uiPriority w:val="99"/>
  </w:style>
  <w:style w:type="paragraph" w:customStyle="1" w:styleId="192">
    <w:name w:val="模版-正文顶头"/>
    <w:qFormat/>
    <w:uiPriority w:val="99"/>
    <w:pPr>
      <w:adjustRightInd w:val="0"/>
      <w:snapToGrid w:val="0"/>
      <w:spacing w:line="300" w:lineRule="exact"/>
      <w:jc w:val="both"/>
    </w:pPr>
    <w:rPr>
      <w:rFonts w:ascii="Times New Roman" w:hAnsi="Times New Roman" w:eastAsia="华文细黑" w:cs="Times New Roman"/>
      <w:kern w:val="2"/>
      <w:sz w:val="18"/>
      <w:szCs w:val="18"/>
      <w:lang w:val="en-US" w:eastAsia="zh-CN" w:bidi="ar-SA"/>
    </w:rPr>
  </w:style>
  <w:style w:type="paragraph" w:customStyle="1" w:styleId="193">
    <w:name w:val="List Paragraph1"/>
    <w:basedOn w:val="1"/>
    <w:qFormat/>
    <w:uiPriority w:val="99"/>
    <w:pPr>
      <w:ind w:firstLine="420" w:firstLineChars="200"/>
    </w:pPr>
    <w:rPr>
      <w:rFonts w:ascii="Calibri" w:hAnsi="Calibri" w:cs="Calibri"/>
    </w:rPr>
  </w:style>
  <w:style w:type="paragraph" w:customStyle="1" w:styleId="194">
    <w:name w:val="模版-正文居中"/>
    <w:basedOn w:val="1"/>
    <w:qFormat/>
    <w:uiPriority w:val="99"/>
    <w:pPr>
      <w:widowControl/>
      <w:adjustRightInd w:val="0"/>
      <w:snapToGrid w:val="0"/>
      <w:spacing w:line="300" w:lineRule="exact"/>
      <w:jc w:val="center"/>
    </w:pPr>
    <w:rPr>
      <w:rFonts w:eastAsia="华文细黑"/>
      <w:sz w:val="18"/>
      <w:szCs w:val="18"/>
    </w:rPr>
  </w:style>
  <w:style w:type="paragraph" w:customStyle="1" w:styleId="195">
    <w:name w:val="模版-附件内容加粗"/>
    <w:basedOn w:val="1"/>
    <w:qFormat/>
    <w:uiPriority w:val="99"/>
    <w:pPr>
      <w:widowControl/>
      <w:adjustRightInd w:val="0"/>
      <w:snapToGrid w:val="0"/>
      <w:spacing w:line="300" w:lineRule="exact"/>
      <w:ind w:firstLine="642"/>
      <w:jc w:val="center"/>
    </w:pPr>
    <w:rPr>
      <w:rFonts w:ascii="仿宋_GB2312" w:eastAsia="仿宋_GB2312" w:cs="仿宋_GB2312"/>
      <w:b/>
      <w:bCs/>
      <w:sz w:val="28"/>
      <w:szCs w:val="28"/>
    </w:rPr>
  </w:style>
  <w:style w:type="paragraph" w:customStyle="1" w:styleId="196">
    <w:name w:val="c_memo"/>
    <w:basedOn w:val="1"/>
    <w:qFormat/>
    <w:uiPriority w:val="99"/>
    <w:pPr>
      <w:widowControl/>
      <w:spacing w:before="100" w:beforeAutospacing="1" w:after="100" w:afterAutospacing="1"/>
      <w:jc w:val="left"/>
    </w:pPr>
    <w:rPr>
      <w:rFonts w:ascii="宋体" w:hAnsi="宋体" w:cs="宋体"/>
      <w:color w:val="333333"/>
      <w:kern w:val="0"/>
      <w:sz w:val="24"/>
      <w:szCs w:val="24"/>
    </w:rPr>
  </w:style>
  <w:style w:type="paragraph" w:customStyle="1" w:styleId="197">
    <w:name w:val="模版-正文空两格"/>
    <w:basedOn w:val="1"/>
    <w:qFormat/>
    <w:uiPriority w:val="99"/>
    <w:pPr>
      <w:widowControl/>
      <w:adjustRightInd w:val="0"/>
      <w:snapToGrid w:val="0"/>
      <w:spacing w:line="300" w:lineRule="exact"/>
      <w:ind w:firstLine="360"/>
    </w:pPr>
    <w:rPr>
      <w:rFonts w:eastAsia="华文细黑"/>
      <w:sz w:val="18"/>
      <w:szCs w:val="18"/>
    </w:rPr>
  </w:style>
  <w:style w:type="paragraph" w:customStyle="1" w:styleId="198">
    <w:name w:val="列出段落12"/>
    <w:basedOn w:val="1"/>
    <w:qFormat/>
    <w:uiPriority w:val="99"/>
    <w:pPr>
      <w:ind w:firstLine="420" w:firstLineChars="200"/>
    </w:pPr>
  </w:style>
  <w:style w:type="character" w:customStyle="1" w:styleId="199">
    <w:name w:val="标题 9 字符"/>
    <w:semiHidden/>
    <w:qFormat/>
    <w:locked/>
    <w:uiPriority w:val="99"/>
    <w:rPr>
      <w:rFonts w:ascii="Calibri" w:hAnsi="Calibri" w:eastAsia="宋体" w:cs="Calibri"/>
      <w:sz w:val="21"/>
      <w:szCs w:val="21"/>
    </w:rPr>
  </w:style>
  <w:style w:type="paragraph" w:customStyle="1" w:styleId="200">
    <w:name w:val="_Style 199"/>
    <w:basedOn w:val="1"/>
    <w:next w:val="144"/>
    <w:qFormat/>
    <w:uiPriority w:val="34"/>
    <w:pPr>
      <w:ind w:firstLine="420" w:firstLineChars="200"/>
    </w:pPr>
  </w:style>
  <w:style w:type="character" w:customStyle="1" w:styleId="201">
    <w:name w:val="引用 字符"/>
    <w:qFormat/>
    <w:locked/>
    <w:uiPriority w:val="99"/>
    <w:rPr>
      <w:i/>
      <w:iCs/>
      <w:color w:val="000000"/>
      <w:kern w:val="2"/>
      <w:sz w:val="21"/>
      <w:szCs w:val="21"/>
    </w:rPr>
  </w:style>
  <w:style w:type="paragraph" w:customStyle="1" w:styleId="202">
    <w:name w:val="_Style 201"/>
    <w:basedOn w:val="1"/>
    <w:next w:val="144"/>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9.png"/><Relationship Id="rId27" Type="http://schemas.openxmlformats.org/officeDocument/2006/relationships/image" Target="media/image18.jpeg"/><Relationship Id="rId26" Type="http://schemas.openxmlformats.org/officeDocument/2006/relationships/image" Target="media/image17.jpeg"/><Relationship Id="rId25" Type="http://schemas.openxmlformats.org/officeDocument/2006/relationships/image" Target="media/image16.jpeg"/><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9"/>
    <customShpInfo spid="_x0000_s1030"/>
    <customShpInfo spid="_x0000_s1031"/>
    <customShpInfo spid="_x0000_s1032"/>
    <customShpInfo spid="_x0000_s1027"/>
    <customShpInfo spid="_x0000_s1041"/>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574D66-E548-4D25-A801-979AA6A3FF1B}">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18</Pages>
  <Words>6629</Words>
  <Characters>7164</Characters>
  <Lines>171</Lines>
  <Paragraphs>48</Paragraphs>
  <TotalTime>17</TotalTime>
  <ScaleCrop>false</ScaleCrop>
  <LinksUpToDate>false</LinksUpToDate>
  <CharactersWithSpaces>7329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2022-05-28T01:28:00Z</dcterms:created>
  <dc:creator>yu</dc:creator>
  <cp:lastModifiedBy>毛夏明</cp:lastModifiedBy>
  <cp:lastPrinted>2021-06-29T01:28:00Z</cp:lastPrinted>
  <dcterms:modified xsi:type="dcterms:W3CDTF">2022-05-30T02:45:23Z</dcterms:modified>
  <dc:title>致 委 托 方 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0506E938CC134B86B211665D024351D5</vt:lpwstr>
  </property>
</Properties>
</file>