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bCs/>
          <w:sz w:val="44"/>
        </w:rPr>
        <w:t>涉执房地产处置司法评估报告</w:t>
      </w:r>
    </w:p>
    <w:p>
      <w:pPr>
        <w:spacing w:after="360" w:afterLines="150" w:line="360" w:lineRule="auto"/>
        <w:ind w:left="2557" w:hanging="2556" w:hangingChars="799"/>
        <w:jc w:val="right"/>
        <w:rPr>
          <w:rFonts w:ascii="宋体" w:hAnsi="宋体"/>
          <w:spacing w:val="20"/>
          <w:sz w:val="28"/>
          <w:szCs w:val="28"/>
        </w:rPr>
      </w:pPr>
    </w:p>
    <w:p>
      <w:pPr>
        <w:spacing w:after="360" w:afterLines="150" w:line="360" w:lineRule="auto"/>
        <w:ind w:left="2041" w:leftChars="-13" w:hanging="2068" w:hangingChars="669"/>
        <w:rPr>
          <w:rFonts w:ascii="宋体" w:hAnsi="宋体"/>
          <w:spacing w:val="20"/>
          <w:sz w:val="28"/>
          <w:szCs w:val="28"/>
        </w:rPr>
      </w:pPr>
      <w:r>
        <w:rPr>
          <w:rFonts w:ascii="宋体" w:hAnsi="宋体"/>
          <w:b/>
          <w:spacing w:val="24"/>
          <w:w w:val="93"/>
          <w:kern w:val="0"/>
          <w:sz w:val="28"/>
          <w:szCs w:val="28"/>
        </w:rPr>
        <w:t>估价项目名</w:t>
      </w:r>
      <w:r>
        <w:rPr>
          <w:rFonts w:ascii="宋体" w:hAnsi="宋体"/>
          <w:b/>
          <w:spacing w:val="-1"/>
          <w:w w:val="93"/>
          <w:kern w:val="0"/>
          <w:sz w:val="28"/>
          <w:szCs w:val="28"/>
        </w:rPr>
        <w:t>称</w:t>
      </w:r>
      <w:r>
        <w:rPr>
          <w:rFonts w:ascii="宋体" w:hAnsi="宋体"/>
          <w:spacing w:val="20"/>
          <w:sz w:val="28"/>
          <w:szCs w:val="28"/>
        </w:rPr>
        <w:t>：</w:t>
      </w:r>
      <w:bookmarkStart w:id="0" w:name="附1"/>
      <w:r>
        <w:rPr>
          <w:rFonts w:hint="eastAsia" w:ascii="宋体" w:hAnsi="宋体"/>
          <w:spacing w:val="20"/>
          <w:sz w:val="28"/>
          <w:szCs w:val="28"/>
          <w:lang w:eastAsia="zh-CN"/>
        </w:rPr>
        <w:t>阳春市春城街道东湖山庄御景园A幢商住楼2A703房</w:t>
      </w:r>
      <w:r>
        <w:rPr>
          <w:rFonts w:hint="eastAsia" w:ascii="宋体" w:hAnsi="宋体"/>
          <w:spacing w:val="20"/>
          <w:sz w:val="28"/>
          <w:szCs w:val="28"/>
        </w:rPr>
        <w:t>房</w:t>
      </w:r>
      <w:bookmarkEnd w:id="0"/>
      <w:r>
        <w:rPr>
          <w:rFonts w:hint="eastAsia" w:ascii="宋体" w:hAnsi="宋体"/>
          <w:spacing w:val="20"/>
          <w:sz w:val="28"/>
          <w:szCs w:val="28"/>
        </w:rPr>
        <w:t>地产市场价值评估</w:t>
      </w:r>
    </w:p>
    <w:p>
      <w:pPr>
        <w:spacing w:after="360" w:afterLines="150" w:line="360" w:lineRule="auto"/>
        <w:ind w:left="1980" w:leftChars="-17" w:hanging="2016" w:hangingChars="529"/>
        <w:rPr>
          <w:rFonts w:hint="eastAsia" w:ascii="宋体" w:hAnsi="宋体" w:eastAsia="宋体"/>
          <w:spacing w:val="20"/>
          <w:sz w:val="28"/>
          <w:szCs w:val="28"/>
          <w:lang w:eastAsia="zh-CN"/>
        </w:rPr>
      </w:pPr>
      <w:r>
        <w:rPr>
          <w:rFonts w:ascii="宋体" w:hAnsi="宋体"/>
          <w:b/>
          <w:spacing w:val="50"/>
          <w:kern w:val="0"/>
          <w:sz w:val="28"/>
          <w:szCs w:val="28"/>
        </w:rPr>
        <w:t>估价委托</w:t>
      </w:r>
      <w:r>
        <w:rPr>
          <w:rFonts w:hint="eastAsia" w:ascii="宋体" w:hAnsi="宋体"/>
          <w:b/>
          <w:kern w:val="0"/>
          <w:sz w:val="28"/>
          <w:szCs w:val="28"/>
        </w:rPr>
        <w:t>人</w:t>
      </w:r>
      <w:bookmarkStart w:id="1" w:name="附2"/>
      <w:r>
        <w:rPr>
          <w:rFonts w:ascii="宋体" w:hAnsi="宋体"/>
          <w:spacing w:val="20"/>
          <w:sz w:val="28"/>
          <w:szCs w:val="28"/>
        </w:rPr>
        <w:t>：</w:t>
      </w:r>
      <w:r>
        <w:rPr>
          <w:rFonts w:hint="eastAsia" w:ascii="宋体" w:hAnsi="宋体"/>
          <w:spacing w:val="20"/>
          <w:sz w:val="28"/>
          <w:szCs w:val="28"/>
          <w:lang w:eastAsia="zh-CN"/>
        </w:rPr>
        <w:t>阳春市人民法院</w:t>
      </w:r>
    </w:p>
    <w:bookmarkEnd w:id="1"/>
    <w:p>
      <w:pPr>
        <w:spacing w:after="360" w:afterLines="150" w:line="360" w:lineRule="auto"/>
        <w:ind w:left="3612" w:leftChars="-14" w:hanging="3641" w:hangingChars="718"/>
        <w:rPr>
          <w:rFonts w:ascii="宋体" w:hAnsi="宋体"/>
          <w:spacing w:val="20"/>
          <w:sz w:val="28"/>
          <w:szCs w:val="28"/>
        </w:rPr>
      </w:pPr>
      <w:r>
        <w:rPr>
          <w:rFonts w:ascii="宋体" w:hAnsi="宋体"/>
          <w:b/>
          <w:spacing w:val="113"/>
          <w:kern w:val="0"/>
          <w:sz w:val="28"/>
          <w:szCs w:val="28"/>
        </w:rPr>
        <w:t>估价机</w:t>
      </w:r>
      <w:r>
        <w:rPr>
          <w:rFonts w:ascii="宋体" w:hAnsi="宋体"/>
          <w:b/>
          <w:spacing w:val="2"/>
          <w:kern w:val="0"/>
          <w:sz w:val="28"/>
          <w:szCs w:val="28"/>
        </w:rPr>
        <w:t>构</w:t>
      </w:r>
      <w:r>
        <w:rPr>
          <w:rFonts w:ascii="宋体" w:hAnsi="宋体"/>
          <w:spacing w:val="20"/>
          <w:sz w:val="28"/>
          <w:szCs w:val="28"/>
        </w:rPr>
        <w:t>：广东腾业资产评估及土地房地产估价有限公司</w:t>
      </w:r>
    </w:p>
    <w:p>
      <w:pPr>
        <w:spacing w:after="360" w:afterLines="150" w:line="360" w:lineRule="auto"/>
        <w:ind w:left="1637" w:leftChars="-14" w:hanging="1666" w:hangingChars="718"/>
        <w:rPr>
          <w:rFonts w:ascii="宋体" w:hAnsi="宋体"/>
          <w:spacing w:val="20"/>
          <w:sz w:val="28"/>
          <w:szCs w:val="28"/>
        </w:rPr>
      </w:pPr>
      <w:r>
        <w:rPr>
          <w:rFonts w:ascii="宋体" w:hAnsi="宋体"/>
          <w:b/>
          <w:spacing w:val="29"/>
          <w:w w:val="62"/>
          <w:kern w:val="0"/>
          <w:sz w:val="28"/>
          <w:szCs w:val="28"/>
        </w:rPr>
        <w:t>注册房地产估价</w:t>
      </w:r>
      <w:r>
        <w:rPr>
          <w:rFonts w:ascii="宋体" w:hAnsi="宋体"/>
          <w:b/>
          <w:spacing w:val="1"/>
          <w:w w:val="62"/>
          <w:kern w:val="0"/>
          <w:sz w:val="28"/>
          <w:szCs w:val="28"/>
        </w:rPr>
        <w:t>师</w:t>
      </w:r>
      <w:r>
        <w:rPr>
          <w:rFonts w:ascii="宋体" w:hAnsi="宋体"/>
          <w:spacing w:val="20"/>
          <w:sz w:val="28"/>
          <w:szCs w:val="28"/>
        </w:rPr>
        <w:t>：</w:t>
      </w:r>
      <w:r>
        <w:rPr>
          <w:rFonts w:hint="eastAsia" w:ascii="宋体" w:hAnsi="宋体"/>
          <w:spacing w:val="20"/>
          <w:sz w:val="28"/>
          <w:szCs w:val="28"/>
        </w:rPr>
        <w:t>关新源（注册证号：4420110177）</w:t>
      </w:r>
    </w:p>
    <w:p>
      <w:pPr>
        <w:spacing w:after="360" w:afterLines="150" w:line="360" w:lineRule="auto"/>
        <w:ind w:left="2265" w:leftChars="1012" w:hanging="140" w:hangingChars="44"/>
        <w:rPr>
          <w:rFonts w:ascii="宋体" w:hAnsi="宋体"/>
          <w:spacing w:val="20"/>
          <w:sz w:val="28"/>
          <w:szCs w:val="28"/>
        </w:rPr>
      </w:pPr>
      <w:r>
        <w:rPr>
          <w:rFonts w:hint="eastAsia" w:ascii="宋体" w:hAnsi="宋体"/>
          <w:spacing w:val="20"/>
          <w:sz w:val="28"/>
          <w:szCs w:val="28"/>
        </w:rPr>
        <w:t>黄瑞泳（注册证号：4420090045）</w:t>
      </w:r>
    </w:p>
    <w:p>
      <w:pPr>
        <w:spacing w:after="360" w:afterLines="150" w:line="360" w:lineRule="auto"/>
        <w:ind w:left="2162" w:leftChars="-14" w:hanging="2191" w:hangingChars="718"/>
        <w:rPr>
          <w:rFonts w:hint="eastAsia" w:ascii="宋体" w:hAnsi="宋体" w:eastAsia="宋体"/>
          <w:spacing w:val="20"/>
          <w:sz w:val="28"/>
          <w:szCs w:val="28"/>
          <w:lang w:eastAsia="zh-CN"/>
        </w:rPr>
      </w:pPr>
      <w:r>
        <w:rPr>
          <w:rFonts w:hint="eastAsia" w:ascii="宋体" w:hAnsi="宋体"/>
          <w:b/>
          <w:spacing w:val="12"/>
          <w:kern w:val="0"/>
          <w:sz w:val="28"/>
          <w:szCs w:val="28"/>
        </w:rPr>
        <w:t>报告出具日</w:t>
      </w:r>
      <w:r>
        <w:rPr>
          <w:rFonts w:hint="eastAsia" w:ascii="宋体" w:hAnsi="宋体"/>
          <w:b/>
          <w:kern w:val="0"/>
          <w:sz w:val="28"/>
          <w:szCs w:val="28"/>
        </w:rPr>
        <w:t>期</w:t>
      </w:r>
      <w:bookmarkStart w:id="2" w:name="附4"/>
      <w:r>
        <w:rPr>
          <w:rFonts w:ascii="宋体" w:hAnsi="宋体"/>
          <w:spacing w:val="20"/>
          <w:sz w:val="28"/>
          <w:szCs w:val="28"/>
        </w:rPr>
        <w:t>：</w:t>
      </w:r>
      <w:bookmarkEnd w:id="2"/>
      <w:r>
        <w:rPr>
          <w:rFonts w:hint="eastAsia" w:ascii="宋体" w:hAnsi="宋体"/>
          <w:spacing w:val="20"/>
          <w:sz w:val="28"/>
          <w:szCs w:val="28"/>
          <w:lang w:eastAsia="zh-CN"/>
        </w:rPr>
        <w:t>2022年5月11日</w:t>
      </w:r>
    </w:p>
    <w:p>
      <w:pPr>
        <w:spacing w:after="360" w:afterLines="150" w:line="360" w:lineRule="auto"/>
        <w:rPr>
          <w:rFonts w:hint="eastAsia" w:ascii="宋体" w:hAnsi="宋体" w:eastAsia="宋体"/>
          <w:spacing w:val="20"/>
          <w:sz w:val="28"/>
          <w:szCs w:val="28"/>
          <w:lang w:eastAsia="zh-CN"/>
        </w:rPr>
      </w:pPr>
      <w:r>
        <w:rPr>
          <w:rFonts w:ascii="宋体" w:hAnsi="宋体"/>
          <w:b/>
          <w:spacing w:val="14"/>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2823845</wp:posOffset>
                </wp:positionH>
                <wp:positionV relativeFrom="paragraph">
                  <wp:posOffset>2534285</wp:posOffset>
                </wp:positionV>
                <wp:extent cx="220980" cy="220980"/>
                <wp:effectExtent l="13970" t="10160" r="12700" b="6985"/>
                <wp:wrapNone/>
                <wp:docPr id="1" name="矩形 2"/>
                <wp:cNvGraphicFramePr/>
                <a:graphic xmlns:a="http://schemas.openxmlformats.org/drawingml/2006/main">
                  <a:graphicData uri="http://schemas.microsoft.com/office/word/2010/wordprocessingShape">
                    <wps:wsp>
                      <wps:cNvSpPr>
                        <a:spLocks noChangeArrowheads="1"/>
                      </wps:cNvSpPr>
                      <wps:spPr bwMode="auto">
                        <a:xfrm>
                          <a:off x="0" y="0"/>
                          <a:ext cx="220980" cy="220980"/>
                        </a:xfrm>
                        <a:prstGeom prst="rect">
                          <a:avLst/>
                        </a:prstGeom>
                        <a:solidFill>
                          <a:srgbClr val="FFFFFF"/>
                        </a:solidFill>
                        <a:ln w="9525" cmpd="sng" algn="ctr">
                          <a:solidFill>
                            <a:srgbClr val="FFFFFF"/>
                          </a:solidFill>
                          <a:miter lim="800000"/>
                        </a:ln>
                        <a:effectLst/>
                      </wps:spPr>
                      <wps:bodyPr rot="0" vert="horz" wrap="square" lIns="91440" tIns="45720" rIns="91440" bIns="45720" anchor="t" anchorCtr="0" upright="1">
                        <a:noAutofit/>
                      </wps:bodyPr>
                    </wps:wsp>
                  </a:graphicData>
                </a:graphic>
              </wp:anchor>
            </w:drawing>
          </mc:Choice>
          <mc:Fallback>
            <w:pict>
              <v:rect id="矩形 2" o:spid="_x0000_s1026" o:spt="1" style="position:absolute;left:0pt;margin-left:222.35pt;margin-top:199.55pt;height:17.4pt;width:17.4pt;z-index:251659264;mso-width-relative:page;mso-height-relative:page;" fillcolor="#FFFFFF" filled="t" stroked="t" coordsize="21600,21600" o:gfxdata="UEsDBAoAAAAAAIdO4kAAAAAAAAAAAAAAAAAEAAAAZHJzL1BLAwQUAAAACACHTuJAeRB+/NkAAAAL&#10;AQAADwAAAGRycy9kb3ducmV2LnhtbE2Py07DMBBF90j8gzVI7KgTYmgT4lSiBLFhUQrdT+0hifAj&#10;it0XX49ZwW5Gc3Tn3Hp5soYdaAqDdxLyWQaMnPJ6cJ2Ej/fnmwWwENFpNN6RhDMFWDaXFzVW2h/d&#10;Gx02sWMpxIUKJfQxjhXnQfVkMcz8SC7dPv1kMaZ16rie8JjCreG3WXbPLQ4ufehxpFVP6muztxLW&#10;iE/r7xelHtvzq2hptW3JGymvr/LsAVikU/yD4Vc/qUOTnHZ+73RgRoIQYp5QCUVZ5sASIeblHbBd&#10;GoqiBN7U/H+H5gdQSwMEFAAAAAgAh07iQHpemdk/AgAAkgQAAA4AAABkcnMvZTJvRG9jLnhtbK1U&#10;S27bMBDdF+gdCO4b2YLTxkbkIHCQokDaBkh7AJqiJKIkhx3SltPLFOiuh8hxil6jQ0p2nXSTRbUQ&#10;OJrhm/fmo/OLnTVsqzBocBWfnkw4U05CrV1b8c+frl+dcRaicLUw4FTF71XgF8uXL857v1AldGBq&#10;hYxAXFj0vuJdjH5RFEF2yopwAl45cjaAVkQysS1qFD2hW1OUk8nrogesPYJUIdDXq8HJR0R8DiA0&#10;jZbqCuTGKhcHVFRGRJIUOu0DX2a2TaNk/Ng0QUVmKk5KY35TEjqv07tYnotFi8J3Wo4UxHMoPNFk&#10;hXaU9AB1JaJgG9T/QFktEQI08USCLQYhuSKkYjp5Upu7TniVtVCpgz8UPfw/WPlhe4tM1zQJnDlh&#10;qeG/v//89fCDlak2vQ8LCrnzt5jUBX8D8ktgDladcK26RIS+U6ImRtMUXzy6kIxAV9m6fw81QYtN&#10;hFymXYM2AVIB2C534/7QDbWLTNLHspzMz6hPklzjOWUQi/1ljyG+VWBZOlQcqdkZXGxvQhxC9yGZ&#10;PBhdX2tjsoHtemWQbQUNxnV+Mn/SeBxmHOsrPj8tT4mH9VSm4FrOhGlpd2TEnO/RjfA8YKsjbZHR&#10;tuJnk/SM2Y1L7FSe3FHFvopDN9ZQ31NFEYZRpkWmQwf4jbOexpgIft0IVJyZd466Mp/OZmnuszE7&#10;fVOSgcee9bFHOElQFY8kMR9XcdiVjUfddpRpmhU7uKRONjpXOfEbWI39p1HNfRrXKu3CsZ2j/v5K&#10;l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RB+/NkAAAALAQAADwAAAAAAAAABACAAAAAiAAAA&#10;ZHJzL2Rvd25yZXYueG1sUEsBAhQAFAAAAAgAh07iQHpemdk/AgAAkgQAAA4AAAAAAAAAAQAgAAAA&#10;KAEAAGRycy9lMm9Eb2MueG1sUEsFBgAAAAAGAAYAWQEAANkFAAAAAA==&#10;">
                <v:fill on="t" focussize="0,0"/>
                <v:stroke color="#FFFFFF" miterlimit="8" joinstyle="miter"/>
                <v:imagedata o:title=""/>
                <o:lock v:ext="edit" aspectratio="f"/>
              </v:rect>
            </w:pict>
          </mc:Fallback>
        </mc:AlternateContent>
      </w:r>
      <w:r>
        <w:rPr>
          <w:rFonts w:ascii="宋体" w:hAnsi="宋体"/>
          <w:b/>
          <w:spacing w:val="14"/>
          <w:kern w:val="0"/>
          <w:sz w:val="28"/>
          <w:szCs w:val="28"/>
        </w:rPr>
        <w:t>估价作业日</w:t>
      </w:r>
      <w:r>
        <w:rPr>
          <w:rFonts w:ascii="宋体" w:hAnsi="宋体"/>
          <w:b/>
          <w:kern w:val="0"/>
          <w:sz w:val="28"/>
          <w:szCs w:val="28"/>
        </w:rPr>
        <w:t>期</w:t>
      </w:r>
      <w:bookmarkStart w:id="3" w:name="附3"/>
      <w:r>
        <w:rPr>
          <w:rFonts w:ascii="宋体" w:hAnsi="宋体"/>
          <w:spacing w:val="20"/>
          <w:sz w:val="28"/>
          <w:szCs w:val="28"/>
        </w:rPr>
        <w:t>：</w:t>
      </w:r>
      <w:r>
        <w:rPr>
          <w:rFonts w:hint="eastAsia" w:ascii="宋体" w:hAnsi="宋体"/>
          <w:spacing w:val="20"/>
          <w:sz w:val="28"/>
          <w:szCs w:val="28"/>
          <w:lang w:eastAsia="zh-CN"/>
        </w:rPr>
        <w:t>2022年5月6日</w:t>
      </w:r>
      <w:r>
        <w:rPr>
          <w:rFonts w:ascii="宋体" w:hAnsi="宋体"/>
          <w:spacing w:val="20"/>
          <w:sz w:val="28"/>
          <w:szCs w:val="28"/>
        </w:rPr>
        <w:t>——</w:t>
      </w:r>
      <w:bookmarkEnd w:id="3"/>
      <w:r>
        <w:rPr>
          <w:rFonts w:hint="eastAsia" w:ascii="宋体" w:hAnsi="宋体"/>
          <w:spacing w:val="20"/>
          <w:sz w:val="28"/>
          <w:szCs w:val="28"/>
          <w:lang w:eastAsia="zh-CN"/>
        </w:rPr>
        <w:t>2022年5月11日</w:t>
      </w:r>
    </w:p>
    <w:p>
      <w:pPr>
        <w:spacing w:after="360" w:afterLines="150" w:line="360" w:lineRule="auto"/>
        <w:rPr>
          <w:rFonts w:ascii="宋体" w:hAnsi="宋体"/>
          <w:b/>
          <w:bCs/>
          <w:spacing w:val="20"/>
          <w:sz w:val="28"/>
          <w:szCs w:val="28"/>
        </w:rPr>
      </w:pPr>
      <w:r>
        <w:rPr>
          <w:rFonts w:ascii="宋体" w:hAnsi="宋体"/>
          <w:b/>
          <w:spacing w:val="24"/>
          <w:w w:val="93"/>
          <w:kern w:val="0"/>
          <w:sz w:val="28"/>
          <w:szCs w:val="28"/>
        </w:rPr>
        <w:t>估价</w:t>
      </w:r>
      <w:r>
        <w:rPr>
          <w:rFonts w:hint="eastAsia" w:ascii="宋体" w:hAnsi="宋体"/>
          <w:b/>
          <w:spacing w:val="24"/>
          <w:w w:val="93"/>
          <w:kern w:val="0"/>
          <w:sz w:val="28"/>
          <w:szCs w:val="28"/>
        </w:rPr>
        <w:t>报告编</w:t>
      </w:r>
      <w:r>
        <w:rPr>
          <w:rFonts w:hint="eastAsia" w:ascii="宋体" w:hAnsi="宋体"/>
          <w:b/>
          <w:spacing w:val="-1"/>
          <w:w w:val="93"/>
          <w:kern w:val="0"/>
          <w:sz w:val="28"/>
          <w:szCs w:val="28"/>
        </w:rPr>
        <w:t>号</w:t>
      </w:r>
      <w:bookmarkStart w:id="4" w:name="报告编号"/>
      <w:r>
        <w:rPr>
          <w:rFonts w:ascii="宋体" w:hAnsi="宋体"/>
          <w:spacing w:val="20"/>
          <w:sz w:val="28"/>
          <w:szCs w:val="28"/>
        </w:rPr>
        <w:t>：</w:t>
      </w:r>
      <w:bookmarkEnd w:id="4"/>
      <w:r>
        <w:rPr>
          <w:rFonts w:hint="eastAsia" w:ascii="宋体" w:hAnsi="宋体"/>
          <w:spacing w:val="20"/>
          <w:sz w:val="28"/>
          <w:szCs w:val="28"/>
        </w:rPr>
        <w:t>粤腾业报(22)YJ5-SF050320R号</w:t>
      </w:r>
    </w:p>
    <w:p>
      <w:pPr>
        <w:spacing w:after="360" w:afterLines="150" w:line="360" w:lineRule="auto"/>
        <w:rPr>
          <w:rFonts w:ascii="宋体" w:hAnsi="宋体"/>
          <w:b/>
          <w:bCs/>
          <w:spacing w:val="20"/>
          <w:sz w:val="28"/>
          <w:szCs w:val="28"/>
        </w:rPr>
      </w:pPr>
    </w:p>
    <w:p>
      <w:pPr>
        <w:spacing w:after="360" w:afterLines="150" w:line="360" w:lineRule="auto"/>
        <w:rPr>
          <w:rFonts w:ascii="宋体" w:hAnsi="宋体"/>
          <w:spacing w:val="20"/>
          <w:sz w:val="28"/>
          <w:szCs w:val="28"/>
          <w:highlight w:val="darkGreen"/>
        </w:rPr>
      </w:pPr>
      <w:r>
        <w:rPr>
          <w:rFonts w:ascii="宋体" w:hAnsi="宋体"/>
          <w:spacing w:val="20"/>
          <w:sz w:val="28"/>
          <w:szCs w:val="28"/>
        </w:rPr>
        <w:t xml:space="preserve"> </w:t>
      </w:r>
    </w:p>
    <w:p>
      <w:pPr>
        <w:pStyle w:val="2"/>
        <w:pageBreakBefore/>
        <w:spacing w:before="0" w:after="0" w:line="384" w:lineRule="auto"/>
        <w:jc w:val="center"/>
        <w:rPr>
          <w:rFonts w:ascii="宋体" w:hAnsi="宋体"/>
          <w:spacing w:val="20"/>
          <w:sz w:val="36"/>
          <w:szCs w:val="36"/>
        </w:rPr>
      </w:pPr>
      <w:bookmarkStart w:id="5" w:name="_Toc4425"/>
      <w:r>
        <w:rPr>
          <w:rFonts w:ascii="宋体" w:hAnsi="宋体"/>
          <w:spacing w:val="20"/>
          <w:sz w:val="36"/>
          <w:szCs w:val="36"/>
        </w:rPr>
        <w:t>致估价委托人函</w:t>
      </w:r>
      <w:bookmarkEnd w:id="5"/>
    </w:p>
    <w:p>
      <w:pPr>
        <w:spacing w:line="480" w:lineRule="exact"/>
        <w:jc w:val="both"/>
        <w:rPr>
          <w:rFonts w:ascii="宋体" w:hAnsi="宋体"/>
          <w:spacing w:val="20"/>
          <w:sz w:val="24"/>
        </w:rPr>
      </w:pPr>
      <w:bookmarkStart w:id="6" w:name="估价委托人"/>
      <w:r>
        <w:rPr>
          <w:rFonts w:hint="eastAsia" w:ascii="宋体" w:hAnsi="宋体"/>
          <w:b/>
          <w:spacing w:val="20"/>
          <w:sz w:val="24"/>
          <w:lang w:eastAsia="zh-CN"/>
        </w:rPr>
        <w:t>阳春市人民法院</w:t>
      </w:r>
      <w:r>
        <w:rPr>
          <w:rFonts w:ascii="宋体" w:hAnsi="宋体"/>
          <w:spacing w:val="20"/>
          <w:sz w:val="24"/>
        </w:rPr>
        <w:t>：</w:t>
      </w:r>
    </w:p>
    <w:bookmarkEnd w:id="6"/>
    <w:p>
      <w:pPr>
        <w:spacing w:line="480" w:lineRule="exact"/>
        <w:ind w:firstLine="529" w:firstLineChars="189"/>
        <w:jc w:val="both"/>
        <w:rPr>
          <w:rFonts w:ascii="宋体" w:hAnsi="宋体"/>
          <w:spacing w:val="20"/>
          <w:sz w:val="24"/>
        </w:rPr>
      </w:pPr>
      <w:r>
        <w:rPr>
          <w:rFonts w:hint="eastAsia" w:ascii="宋体" w:hAnsi="宋体"/>
          <w:spacing w:val="20"/>
          <w:sz w:val="24"/>
        </w:rPr>
        <w:t>承蒙委托，我司对位于</w:t>
      </w:r>
      <w:r>
        <w:rPr>
          <w:rFonts w:hint="eastAsia" w:ascii="宋体" w:hAnsi="宋体"/>
          <w:spacing w:val="20"/>
          <w:sz w:val="24"/>
          <w:lang w:eastAsia="zh-CN"/>
        </w:rPr>
        <w:t>阳春市春城街道东湖山庄御景园A幢商住楼2A703房</w:t>
      </w:r>
      <w:r>
        <w:rPr>
          <w:rFonts w:ascii="宋体" w:hAnsi="宋体"/>
          <w:spacing w:val="20"/>
          <w:sz w:val="24"/>
        </w:rPr>
        <w:t>房</w:t>
      </w:r>
      <w:r>
        <w:rPr>
          <w:rFonts w:hint="eastAsia" w:ascii="宋体" w:hAnsi="宋体"/>
          <w:spacing w:val="20"/>
          <w:sz w:val="24"/>
        </w:rPr>
        <w:t>地产的市场价值进行评估。经过实地查勘和市场调查，根据贵方提供的有关材料，及国家有关法规和制度，并遵循必要的估价程序与原则，在认真分析现有资料的基础上，结合估价人员经验和对影响房地产价值因素的分析，采用适当的估价方法，经过细致测算，现将估价结果报告如下：</w:t>
      </w:r>
    </w:p>
    <w:p>
      <w:pPr>
        <w:spacing w:line="480" w:lineRule="exact"/>
        <w:ind w:firstLine="531" w:firstLineChars="189"/>
        <w:jc w:val="both"/>
        <w:rPr>
          <w:rFonts w:ascii="宋体" w:hAnsi="宋体"/>
          <w:spacing w:val="20"/>
          <w:sz w:val="24"/>
        </w:rPr>
      </w:pPr>
      <w:r>
        <w:rPr>
          <w:rFonts w:hint="eastAsia" w:ascii="宋体" w:hAnsi="宋体"/>
          <w:b/>
          <w:spacing w:val="20"/>
          <w:sz w:val="24"/>
        </w:rPr>
        <w:t>估价目的</w:t>
      </w:r>
      <w:r>
        <w:rPr>
          <w:rFonts w:hint="eastAsia" w:ascii="宋体" w:hAnsi="宋体"/>
          <w:spacing w:val="20"/>
          <w:sz w:val="24"/>
        </w:rPr>
        <w:t>：</w:t>
      </w:r>
      <w:bookmarkStart w:id="7" w:name="文_估价目的"/>
      <w:r>
        <w:rPr>
          <w:rFonts w:hint="eastAsia" w:ascii="宋体" w:hAnsi="宋体"/>
          <w:spacing w:val="20"/>
          <w:sz w:val="24"/>
        </w:rPr>
        <w:t>为人民法院确定财产处置参考价提供参考依据。</w:t>
      </w:r>
      <w:bookmarkEnd w:id="7"/>
    </w:p>
    <w:p>
      <w:pPr>
        <w:spacing w:line="480" w:lineRule="exact"/>
        <w:ind w:firstLine="531" w:firstLineChars="189"/>
        <w:jc w:val="both"/>
        <w:rPr>
          <w:rFonts w:ascii="宋体" w:hAnsi="宋体"/>
          <w:spacing w:val="20"/>
          <w:sz w:val="24"/>
        </w:rPr>
      </w:pPr>
      <w:r>
        <w:rPr>
          <w:rFonts w:hint="eastAsia" w:ascii="宋体" w:hAnsi="宋体"/>
          <w:b/>
          <w:spacing w:val="20"/>
          <w:sz w:val="24"/>
        </w:rPr>
        <w:t>估价对象</w:t>
      </w:r>
      <w:r>
        <w:rPr>
          <w:rFonts w:hint="eastAsia" w:ascii="宋体" w:hAnsi="宋体"/>
          <w:spacing w:val="20"/>
          <w:sz w:val="24"/>
        </w:rPr>
        <w:t>：估价对象的名称、</w:t>
      </w:r>
      <w:r>
        <w:rPr>
          <w:rFonts w:ascii="宋体" w:hAnsi="宋体"/>
          <w:spacing w:val="20"/>
          <w:sz w:val="24"/>
        </w:rPr>
        <w:t>坐落</w:t>
      </w:r>
      <w:r>
        <w:rPr>
          <w:rFonts w:hint="eastAsia" w:ascii="宋体" w:hAnsi="宋体"/>
          <w:spacing w:val="20"/>
          <w:sz w:val="24"/>
        </w:rPr>
        <w:t>、</w:t>
      </w:r>
      <w:r>
        <w:rPr>
          <w:rFonts w:ascii="宋体" w:hAnsi="宋体"/>
          <w:spacing w:val="20"/>
          <w:sz w:val="24"/>
        </w:rPr>
        <w:t>范围</w:t>
      </w:r>
      <w:r>
        <w:rPr>
          <w:rFonts w:hint="eastAsia" w:ascii="宋体" w:hAnsi="宋体"/>
          <w:spacing w:val="20"/>
          <w:sz w:val="24"/>
        </w:rPr>
        <w:t>、规模、</w:t>
      </w:r>
      <w:r>
        <w:rPr>
          <w:rFonts w:ascii="宋体" w:hAnsi="宋体"/>
          <w:spacing w:val="20"/>
          <w:sz w:val="24"/>
        </w:rPr>
        <w:t>用途</w:t>
      </w:r>
      <w:r>
        <w:rPr>
          <w:rFonts w:hint="eastAsia" w:ascii="宋体" w:hAnsi="宋体"/>
          <w:spacing w:val="20"/>
          <w:sz w:val="24"/>
        </w:rPr>
        <w:t>、</w:t>
      </w:r>
      <w:r>
        <w:rPr>
          <w:rFonts w:ascii="宋体" w:hAnsi="宋体"/>
          <w:spacing w:val="20"/>
          <w:sz w:val="24"/>
        </w:rPr>
        <w:t>权</w:t>
      </w:r>
      <w:r>
        <w:rPr>
          <w:rFonts w:hint="eastAsia" w:ascii="宋体" w:hAnsi="宋体"/>
          <w:spacing w:val="20"/>
          <w:sz w:val="24"/>
        </w:rPr>
        <w:t>属等</w:t>
      </w:r>
      <w:r>
        <w:rPr>
          <w:rFonts w:ascii="宋体" w:hAnsi="宋体"/>
          <w:spacing w:val="20"/>
          <w:sz w:val="24"/>
        </w:rPr>
        <w:t>详</w:t>
      </w:r>
      <w:r>
        <w:rPr>
          <w:rFonts w:hint="eastAsia" w:ascii="宋体" w:hAnsi="宋体"/>
          <w:spacing w:val="20"/>
          <w:sz w:val="24"/>
        </w:rPr>
        <w:t>见《估价对象明细及评估结果汇总表》。</w:t>
      </w:r>
    </w:p>
    <w:p>
      <w:pPr>
        <w:spacing w:line="480" w:lineRule="exact"/>
        <w:ind w:firstLine="531" w:firstLineChars="189"/>
        <w:jc w:val="both"/>
        <w:rPr>
          <w:rFonts w:ascii="宋体" w:hAnsi="宋体"/>
          <w:spacing w:val="20"/>
          <w:sz w:val="24"/>
        </w:rPr>
      </w:pPr>
      <w:r>
        <w:rPr>
          <w:rFonts w:hint="eastAsia" w:ascii="宋体" w:hAnsi="宋体"/>
          <w:b/>
          <w:spacing w:val="20"/>
          <w:sz w:val="24"/>
        </w:rPr>
        <w:t>价值时点</w:t>
      </w:r>
      <w:r>
        <w:rPr>
          <w:rFonts w:hint="eastAsia" w:ascii="宋体" w:hAnsi="宋体"/>
          <w:spacing w:val="20"/>
          <w:sz w:val="24"/>
        </w:rPr>
        <w:t>：</w:t>
      </w:r>
      <w:bookmarkStart w:id="8" w:name="附6"/>
      <w:r>
        <w:rPr>
          <w:rFonts w:hint="eastAsia" w:ascii="宋体" w:hAnsi="宋体"/>
          <w:spacing w:val="20"/>
          <w:sz w:val="24"/>
          <w:lang w:eastAsia="zh-CN"/>
        </w:rPr>
        <w:t>2022年5月6日</w:t>
      </w:r>
      <w:r>
        <w:rPr>
          <w:rFonts w:hint="eastAsia" w:ascii="宋体" w:hAnsi="宋体"/>
          <w:spacing w:val="20"/>
          <w:sz w:val="24"/>
        </w:rPr>
        <w:t>。</w:t>
      </w:r>
      <w:bookmarkEnd w:id="8"/>
    </w:p>
    <w:p>
      <w:pPr>
        <w:spacing w:line="480" w:lineRule="exact"/>
        <w:ind w:firstLine="531" w:firstLineChars="189"/>
        <w:jc w:val="both"/>
        <w:rPr>
          <w:rFonts w:ascii="宋体" w:hAnsi="宋体"/>
          <w:spacing w:val="20"/>
          <w:sz w:val="24"/>
        </w:rPr>
      </w:pPr>
      <w:r>
        <w:rPr>
          <w:rFonts w:hint="eastAsia" w:ascii="宋体" w:hAnsi="宋体"/>
          <w:b/>
          <w:spacing w:val="20"/>
          <w:sz w:val="24"/>
        </w:rPr>
        <w:t>价值类型</w:t>
      </w:r>
      <w:r>
        <w:rPr>
          <w:rFonts w:hint="eastAsia" w:ascii="宋体" w:hAnsi="宋体"/>
          <w:spacing w:val="20"/>
          <w:sz w:val="24"/>
        </w:rPr>
        <w:t>：房地产市场价值，即估价对象经适当营销后，由熟悉情况、谨慎行事且不受强迫的交易双方，以公平交易方式在价值时点自愿进行交易的金额。</w:t>
      </w:r>
    </w:p>
    <w:p>
      <w:pPr>
        <w:spacing w:line="480" w:lineRule="exact"/>
        <w:ind w:firstLine="531" w:firstLineChars="189"/>
        <w:jc w:val="both"/>
        <w:rPr>
          <w:rFonts w:ascii="宋体" w:hAnsi="宋体"/>
          <w:spacing w:val="20"/>
          <w:sz w:val="24"/>
        </w:rPr>
      </w:pPr>
      <w:r>
        <w:rPr>
          <w:rFonts w:hint="eastAsia" w:ascii="宋体" w:hAnsi="宋体"/>
          <w:b/>
          <w:spacing w:val="20"/>
          <w:sz w:val="24"/>
        </w:rPr>
        <w:t>估价方法</w:t>
      </w:r>
      <w:r>
        <w:rPr>
          <w:rFonts w:hint="eastAsia" w:ascii="宋体" w:hAnsi="宋体"/>
          <w:spacing w:val="20"/>
          <w:sz w:val="24"/>
        </w:rPr>
        <w:t>：</w:t>
      </w:r>
      <w:bookmarkStart w:id="9" w:name="附7"/>
      <w:r>
        <w:rPr>
          <w:rFonts w:hint="eastAsia" w:ascii="宋体" w:hAnsi="宋体"/>
          <w:spacing w:val="20"/>
          <w:sz w:val="24"/>
        </w:rPr>
        <w:t>比较法。</w:t>
      </w:r>
      <w:bookmarkEnd w:id="9"/>
    </w:p>
    <w:p>
      <w:pPr>
        <w:spacing w:line="480" w:lineRule="exact"/>
        <w:ind w:firstLine="531" w:firstLineChars="189"/>
        <w:jc w:val="both"/>
        <w:rPr>
          <w:rFonts w:ascii="宋体" w:hAnsi="宋体"/>
          <w:spacing w:val="20"/>
          <w:sz w:val="24"/>
        </w:rPr>
      </w:pPr>
      <w:r>
        <w:rPr>
          <w:rFonts w:hint="eastAsia" w:ascii="宋体" w:hAnsi="宋体"/>
          <w:b/>
          <w:spacing w:val="20"/>
          <w:sz w:val="24"/>
        </w:rPr>
        <w:t>估价结果</w:t>
      </w:r>
      <w:r>
        <w:rPr>
          <w:rFonts w:hint="eastAsia" w:ascii="宋体" w:hAnsi="宋体"/>
          <w:spacing w:val="20"/>
          <w:sz w:val="24"/>
        </w:rPr>
        <w:t>：估价对象在价值时点符合本报告假设和限制条件状况下的市值为人民币</w:t>
      </w:r>
      <w:r>
        <w:rPr>
          <w:rFonts w:hint="eastAsia" w:ascii="宋体" w:hAnsi="宋体"/>
          <w:spacing w:val="20"/>
          <w:sz w:val="24"/>
          <w:lang w:eastAsia="zh-CN"/>
        </w:rPr>
        <w:t>44.20</w:t>
      </w:r>
      <w:r>
        <w:rPr>
          <w:rFonts w:hint="eastAsia" w:ascii="宋体" w:hAnsi="宋体"/>
          <w:spacing w:val="20"/>
          <w:sz w:val="24"/>
        </w:rPr>
        <w:t>万元，大写人民币</w:t>
      </w:r>
      <w:r>
        <w:rPr>
          <w:rFonts w:hint="eastAsia" w:ascii="宋体" w:hAnsi="宋体"/>
          <w:b/>
          <w:spacing w:val="20"/>
          <w:sz w:val="24"/>
          <w:lang w:eastAsia="zh-CN"/>
        </w:rPr>
        <w:t>肆拾肆万贰仟</w:t>
      </w:r>
      <w:r>
        <w:rPr>
          <w:rFonts w:hint="eastAsia" w:ascii="宋体" w:hAnsi="宋体"/>
          <w:b/>
          <w:spacing w:val="20"/>
          <w:sz w:val="24"/>
        </w:rPr>
        <w:t>元整</w:t>
      </w:r>
      <w:r>
        <w:rPr>
          <w:rFonts w:hint="eastAsia" w:ascii="宋体" w:hAnsi="宋体"/>
          <w:spacing w:val="20"/>
          <w:sz w:val="24"/>
        </w:rPr>
        <w:t>。预计转让时卖方税费及其他费用合计人民币</w:t>
      </w:r>
      <w:r>
        <w:rPr>
          <w:rFonts w:hint="eastAsia" w:ascii="宋体" w:hAnsi="宋体"/>
          <w:spacing w:val="20"/>
          <w:sz w:val="24"/>
          <w:lang w:eastAsia="zh-CN"/>
        </w:rPr>
        <w:t>0.88</w:t>
      </w:r>
      <w:r>
        <w:rPr>
          <w:rFonts w:hint="eastAsia" w:ascii="宋体" w:hAnsi="宋体"/>
          <w:spacing w:val="20"/>
          <w:sz w:val="24"/>
        </w:rPr>
        <w:t>万元，扣除预计转让时卖方税费及其他费用后房地产的评估净值为人民币</w:t>
      </w:r>
      <w:r>
        <w:rPr>
          <w:rFonts w:hint="eastAsia" w:ascii="宋体" w:hAnsi="宋体"/>
          <w:spacing w:val="20"/>
          <w:sz w:val="24"/>
          <w:lang w:eastAsia="zh-CN"/>
        </w:rPr>
        <w:t>43.32</w:t>
      </w:r>
      <w:r>
        <w:rPr>
          <w:rFonts w:hint="eastAsia" w:ascii="宋体" w:hAnsi="宋体"/>
          <w:spacing w:val="20"/>
          <w:sz w:val="24"/>
        </w:rPr>
        <w:t>万元，大写人民币</w:t>
      </w:r>
      <w:r>
        <w:rPr>
          <w:rFonts w:hint="eastAsia" w:ascii="宋体" w:hAnsi="宋体"/>
          <w:b/>
          <w:spacing w:val="20"/>
          <w:sz w:val="24"/>
          <w:lang w:eastAsia="zh-CN"/>
        </w:rPr>
        <w:t>肆拾叁万叁仟贰佰元</w:t>
      </w:r>
      <w:r>
        <w:rPr>
          <w:rFonts w:hint="eastAsia" w:ascii="宋体" w:hAnsi="宋体"/>
          <w:b/>
          <w:spacing w:val="20"/>
          <w:sz w:val="24"/>
        </w:rPr>
        <w:t>整</w:t>
      </w:r>
      <w:r>
        <w:rPr>
          <w:rFonts w:hint="eastAsia" w:ascii="宋体" w:hAnsi="宋体" w:cs="宋体"/>
          <w:b/>
          <w:sz w:val="24"/>
        </w:rPr>
        <w:t>。</w:t>
      </w:r>
      <w:r>
        <w:rPr>
          <w:rFonts w:hint="eastAsia" w:ascii="宋体" w:hAnsi="宋体"/>
          <w:spacing w:val="20"/>
          <w:sz w:val="24"/>
        </w:rPr>
        <w:t>估价对象评估单价、金额、特别提示等详见附表：</w:t>
      </w:r>
    </w:p>
    <w:p>
      <w:pPr>
        <w:spacing w:line="480" w:lineRule="exact"/>
        <w:ind w:firstLine="529" w:firstLineChars="189"/>
        <w:jc w:val="both"/>
        <w:rPr>
          <w:rFonts w:ascii="宋体" w:hAnsi="宋体"/>
          <w:spacing w:val="20"/>
          <w:sz w:val="24"/>
        </w:rPr>
      </w:pPr>
    </w:p>
    <w:p>
      <w:pPr>
        <w:spacing w:line="480" w:lineRule="exact"/>
        <w:ind w:firstLine="529" w:firstLineChars="189"/>
        <w:jc w:val="both"/>
        <w:rPr>
          <w:rFonts w:ascii="宋体" w:hAnsi="宋体"/>
          <w:spacing w:val="20"/>
          <w:sz w:val="24"/>
        </w:rPr>
      </w:pPr>
      <w:r>
        <w:rPr>
          <w:rFonts w:hint="eastAsia" w:ascii="宋体" w:hAnsi="宋体"/>
          <w:spacing w:val="20"/>
          <w:sz w:val="24"/>
        </w:rPr>
        <w:t>《估价对象明细及评估结果汇总表》。</w:t>
      </w:r>
    </w:p>
    <w:p>
      <w:pPr>
        <w:spacing w:line="480" w:lineRule="exact"/>
        <w:ind w:firstLine="529" w:firstLineChars="189"/>
        <w:jc w:val="both"/>
        <w:rPr>
          <w:rFonts w:ascii="宋体" w:hAnsi="宋体"/>
          <w:spacing w:val="20"/>
          <w:sz w:val="24"/>
        </w:rPr>
      </w:pPr>
      <w:r>
        <w:rPr>
          <w:rFonts w:hint="eastAsia" w:ascii="宋体" w:hAnsi="宋体"/>
          <w:spacing w:val="20"/>
          <w:sz w:val="24"/>
        </w:rPr>
        <w:t>以上估价结果在</w:t>
      </w:r>
      <w:bookmarkStart w:id="10" w:name="报告使用日期"/>
      <w:r>
        <w:rPr>
          <w:rFonts w:hint="eastAsia" w:ascii="宋体" w:hAnsi="宋体"/>
          <w:spacing w:val="20"/>
          <w:sz w:val="24"/>
          <w:lang w:eastAsia="zh-CN"/>
        </w:rPr>
        <w:t>2022年5月11日</w:t>
      </w:r>
      <w:r>
        <w:rPr>
          <w:rFonts w:hint="eastAsia" w:ascii="宋体" w:hAnsi="宋体"/>
          <w:spacing w:val="20"/>
          <w:sz w:val="24"/>
        </w:rPr>
        <w:t>至</w:t>
      </w:r>
      <w:r>
        <w:rPr>
          <w:rFonts w:hint="eastAsia" w:ascii="宋体" w:hAnsi="宋体"/>
          <w:spacing w:val="20"/>
          <w:sz w:val="24"/>
          <w:lang w:eastAsia="zh-CN"/>
        </w:rPr>
        <w:t>2023年05月10日</w:t>
      </w:r>
      <w:r>
        <w:rPr>
          <w:rFonts w:hint="eastAsia" w:ascii="宋体" w:hAnsi="宋体"/>
          <w:spacing w:val="20"/>
          <w:sz w:val="24"/>
        </w:rPr>
        <w:t>有</w:t>
      </w:r>
      <w:bookmarkEnd w:id="10"/>
      <w:r>
        <w:rPr>
          <w:rFonts w:hint="eastAsia" w:ascii="宋体" w:hAnsi="宋体"/>
          <w:spacing w:val="20"/>
          <w:sz w:val="24"/>
        </w:rPr>
        <w:t>效。</w:t>
      </w:r>
    </w:p>
    <w:p>
      <w:pPr>
        <w:pStyle w:val="16"/>
        <w:spacing w:after="120" w:afterLines="50" w:line="480" w:lineRule="exact"/>
        <w:jc w:val="right"/>
        <w:rPr>
          <w:rFonts w:hAnsi="宋体"/>
          <w:spacing w:val="20"/>
          <w:sz w:val="24"/>
          <w:szCs w:val="24"/>
        </w:rPr>
      </w:pPr>
      <w:r>
        <w:rPr>
          <w:rFonts w:hint="eastAsia" w:hAnsi="宋体"/>
          <w:spacing w:val="20"/>
          <w:sz w:val="24"/>
          <w:szCs w:val="24"/>
        </w:rPr>
        <w:t>广东腾业资产评估及土地房地产估价有限公司</w:t>
      </w:r>
    </w:p>
    <w:p>
      <w:pPr>
        <w:pStyle w:val="16"/>
        <w:spacing w:after="120" w:afterLines="50" w:line="480" w:lineRule="exact"/>
        <w:ind w:firstLine="4760" w:firstLineChars="1700"/>
        <w:jc w:val="both"/>
        <w:rPr>
          <w:rFonts w:hAnsi="宋体"/>
          <w:spacing w:val="20"/>
          <w:sz w:val="24"/>
          <w:szCs w:val="24"/>
        </w:rPr>
      </w:pPr>
      <w:r>
        <w:rPr>
          <w:rFonts w:hint="eastAsia" w:hAnsi="宋体"/>
          <w:spacing w:val="20"/>
          <w:sz w:val="24"/>
          <w:szCs w:val="24"/>
        </w:rPr>
        <w:t>法定代表人</w:t>
      </w:r>
      <w:r>
        <w:rPr>
          <w:rFonts w:hAnsi="宋体"/>
          <w:spacing w:val="20"/>
          <w:sz w:val="24"/>
          <w:szCs w:val="24"/>
        </w:rPr>
        <w:t>(</w:t>
      </w:r>
      <w:r>
        <w:rPr>
          <w:rFonts w:hint="eastAsia" w:hAnsi="宋体"/>
          <w:spacing w:val="20"/>
          <w:sz w:val="24"/>
          <w:szCs w:val="24"/>
        </w:rPr>
        <w:t>签章</w:t>
      </w:r>
      <w:r>
        <w:rPr>
          <w:rFonts w:hAnsi="宋体"/>
          <w:spacing w:val="20"/>
          <w:sz w:val="24"/>
          <w:szCs w:val="24"/>
        </w:rPr>
        <w:t>):</w:t>
      </w:r>
    </w:p>
    <w:p>
      <w:pPr>
        <w:spacing w:after="360" w:afterLines="150" w:line="360" w:lineRule="auto"/>
        <w:ind w:firstLine="4961" w:firstLineChars="1772"/>
        <w:rPr>
          <w:rFonts w:hint="eastAsia" w:ascii="宋体" w:hAnsi="宋体" w:eastAsia="宋体"/>
          <w:spacing w:val="20"/>
          <w:sz w:val="28"/>
          <w:szCs w:val="28"/>
          <w:lang w:eastAsia="zh-CN"/>
        </w:rPr>
      </w:pPr>
      <w:bookmarkStart w:id="11" w:name="签名日期"/>
      <w:r>
        <w:rPr>
          <w:rFonts w:hint="eastAsia" w:ascii="宋体" w:hAnsi="宋体"/>
          <w:spacing w:val="20"/>
          <w:sz w:val="24"/>
          <w:lang w:eastAsia="zh-CN"/>
        </w:rPr>
        <w:t>2022年5月11日</w:t>
      </w:r>
    </w:p>
    <w:bookmarkEnd w:id="11"/>
    <w:p>
      <w:pPr>
        <w:spacing w:after="360" w:afterLines="150" w:line="360" w:lineRule="auto"/>
        <w:rPr>
          <w:rFonts w:ascii="宋体" w:hAnsi="宋体"/>
          <w:spacing w:val="20"/>
          <w:sz w:val="28"/>
          <w:szCs w:val="28"/>
        </w:rPr>
        <w:sectPr>
          <w:headerReference r:id="rId4" w:type="first"/>
          <w:footerReference r:id="rId6" w:type="first"/>
          <w:headerReference r:id="rId3" w:type="default"/>
          <w:footerReference r:id="rId5" w:type="default"/>
          <w:type w:val="oddPage"/>
          <w:pgSz w:w="11906" w:h="16838"/>
          <w:pgMar w:top="1276" w:right="1286" w:bottom="1559" w:left="1418" w:header="851" w:footer="992" w:gutter="0"/>
          <w:pgNumType w:start="1"/>
          <w:cols w:space="720" w:num="1"/>
          <w:titlePg/>
          <w:docGrid w:linePitch="480" w:charSpace="934"/>
        </w:sectPr>
      </w:pPr>
    </w:p>
    <w:p>
      <w:pPr>
        <w:tabs>
          <w:tab w:val="left" w:pos="1065"/>
        </w:tabs>
        <w:jc w:val="center"/>
        <w:rPr>
          <w:rFonts w:ascii="宋体" w:hAnsi="宋体"/>
          <w:spacing w:val="22"/>
          <w:sz w:val="36"/>
          <w:szCs w:val="36"/>
        </w:rPr>
      </w:pPr>
      <w:r>
        <w:rPr>
          <w:rFonts w:ascii="宋体" w:hAnsi="宋体"/>
          <w:spacing w:val="22"/>
          <w:sz w:val="36"/>
          <w:szCs w:val="36"/>
        </w:rPr>
        <w:t>附：估价对象明细及评估结果汇总表</w:t>
      </w:r>
    </w:p>
    <w:tbl>
      <w:tblPr>
        <w:tblStyle w:val="33"/>
        <w:tblW w:w="0" w:type="auto"/>
        <w:jc w:val="center"/>
        <w:tblLayout w:type="fixed"/>
        <w:tblCellMar>
          <w:top w:w="0" w:type="dxa"/>
          <w:left w:w="108" w:type="dxa"/>
          <w:bottom w:w="0" w:type="dxa"/>
          <w:right w:w="108" w:type="dxa"/>
        </w:tblCellMar>
      </w:tblPr>
      <w:tblGrid>
        <w:gridCol w:w="1289"/>
        <w:gridCol w:w="2279"/>
        <w:gridCol w:w="1643"/>
        <w:gridCol w:w="717"/>
        <w:gridCol w:w="956"/>
        <w:gridCol w:w="917"/>
        <w:gridCol w:w="1061"/>
        <w:gridCol w:w="1061"/>
        <w:gridCol w:w="1061"/>
        <w:gridCol w:w="1046"/>
        <w:gridCol w:w="1046"/>
        <w:gridCol w:w="1109"/>
      </w:tblGrid>
      <w:tr>
        <w:tblPrEx>
          <w:tblCellMar>
            <w:top w:w="0" w:type="dxa"/>
            <w:left w:w="108" w:type="dxa"/>
            <w:bottom w:w="0" w:type="dxa"/>
            <w:right w:w="108" w:type="dxa"/>
          </w:tblCellMar>
        </w:tblPrEx>
        <w:trPr>
          <w:trHeight w:val="720" w:hRule="atLeast"/>
          <w:jc w:val="center"/>
        </w:trPr>
        <w:tc>
          <w:tcPr>
            <w:tcW w:w="12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权属人</w:t>
            </w:r>
          </w:p>
        </w:tc>
        <w:tc>
          <w:tcPr>
            <w:tcW w:w="2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地址</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房地产权证号</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用途</w:t>
            </w: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总层数</w:t>
            </w:r>
          </w:p>
        </w:tc>
        <w:tc>
          <w:tcPr>
            <w:tcW w:w="9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评估楼层</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土地面积（㎡)</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建筑面积（㎡)</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评估单价（元/㎡）</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评估总价（万元）</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预计假设转让时税费（万元）</w:t>
            </w: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0"/>
                <w:szCs w:val="20"/>
              </w:rPr>
            </w:pPr>
            <w:r>
              <w:rPr>
                <w:rFonts w:hint="eastAsia" w:ascii="宋体" w:hAnsi="宋体" w:cs="宋体"/>
                <w:b/>
                <w:bCs/>
                <w:kern w:val="0"/>
                <w:sz w:val="20"/>
                <w:szCs w:val="20"/>
              </w:rPr>
              <w:t>评估净值（万元）</w:t>
            </w:r>
          </w:p>
        </w:tc>
      </w:tr>
      <w:tr>
        <w:tblPrEx>
          <w:tblCellMar>
            <w:top w:w="0" w:type="dxa"/>
            <w:left w:w="108" w:type="dxa"/>
            <w:bottom w:w="0" w:type="dxa"/>
            <w:right w:w="108" w:type="dxa"/>
          </w:tblCellMar>
        </w:tblPrEx>
        <w:trPr>
          <w:trHeight w:val="1122" w:hRule="atLeast"/>
          <w:jc w:val="center"/>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陈凤兰</w:t>
            </w:r>
          </w:p>
        </w:tc>
        <w:tc>
          <w:tcPr>
            <w:tcW w:w="22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阳春市春城街道东湖山庄御景园A幢商住楼2A703房</w:t>
            </w:r>
          </w:p>
        </w:tc>
        <w:tc>
          <w:tcPr>
            <w:tcW w:w="16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《不动产登记资料查询结果证明》编号：20220124414732</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住宅</w:t>
            </w:r>
          </w:p>
        </w:tc>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共7层</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第7层</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133.94</w:t>
            </w:r>
          </w:p>
        </w:tc>
        <w:tc>
          <w:tcPr>
            <w:tcW w:w="10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kern w:val="0"/>
                <w:sz w:val="20"/>
                <w:szCs w:val="20"/>
              </w:rPr>
            </w:pPr>
            <w:r>
              <w:rPr>
                <w:rFonts w:hint="eastAsia" w:ascii="宋体" w:hAnsi="宋体" w:cs="宋体"/>
                <w:color w:val="000000"/>
                <w:kern w:val="0"/>
                <w:sz w:val="20"/>
                <w:szCs w:val="20"/>
                <w:lang w:val="en-US" w:eastAsia="zh-CN" w:bidi="ar"/>
              </w:rPr>
              <w:t>3</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val="en-US" w:eastAsia="zh-CN" w:bidi="ar"/>
              </w:rPr>
              <w:t>3</w:t>
            </w:r>
            <w:r>
              <w:rPr>
                <w:rFonts w:hint="eastAsia" w:ascii="宋体" w:hAnsi="宋体" w:cs="宋体"/>
                <w:color w:val="000000"/>
                <w:kern w:val="0"/>
                <w:sz w:val="20"/>
                <w:szCs w:val="20"/>
                <w:lang w:eastAsia="zh-CN" w:bidi="ar"/>
              </w:rPr>
              <w:t>00</w:t>
            </w:r>
            <w:r>
              <w:rPr>
                <w:rFonts w:hint="eastAsia" w:ascii="宋体" w:hAnsi="宋体" w:cs="宋体"/>
                <w:color w:val="000000"/>
                <w:kern w:val="0"/>
                <w:sz w:val="20"/>
                <w:szCs w:val="20"/>
                <w:lang w:bidi="ar"/>
              </w:rPr>
              <w:t xml:space="preserve"> </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kern w:val="0"/>
                <w:sz w:val="20"/>
                <w:szCs w:val="20"/>
              </w:rPr>
            </w:pPr>
            <w:r>
              <w:rPr>
                <w:rFonts w:hint="eastAsia" w:ascii="宋体" w:hAnsi="宋体" w:cs="宋体"/>
                <w:color w:val="000000"/>
                <w:kern w:val="0"/>
                <w:sz w:val="20"/>
                <w:szCs w:val="20"/>
                <w:lang w:eastAsia="zh-CN" w:bidi="ar"/>
              </w:rPr>
              <w:t>44.20</w:t>
            </w:r>
            <w:r>
              <w:rPr>
                <w:rFonts w:hint="eastAsia" w:ascii="宋体" w:hAnsi="宋体" w:cs="宋体"/>
                <w:color w:val="000000"/>
                <w:kern w:val="0"/>
                <w:sz w:val="20"/>
                <w:szCs w:val="20"/>
                <w:lang w:bidi="ar"/>
              </w:rPr>
              <w:t xml:space="preserve"> </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kern w:val="0"/>
                <w:sz w:val="20"/>
                <w:szCs w:val="20"/>
              </w:rPr>
            </w:pPr>
            <w:r>
              <w:rPr>
                <w:rFonts w:hint="eastAsia" w:ascii="宋体" w:hAnsi="宋体" w:cs="宋体"/>
                <w:color w:val="000000"/>
                <w:kern w:val="0"/>
                <w:sz w:val="20"/>
                <w:szCs w:val="20"/>
                <w:lang w:eastAsia="zh-CN" w:bidi="ar"/>
              </w:rPr>
              <w:t>0.88</w:t>
            </w:r>
          </w:p>
        </w:tc>
        <w:tc>
          <w:tcPr>
            <w:tcW w:w="110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kern w:val="0"/>
                <w:sz w:val="20"/>
                <w:szCs w:val="20"/>
              </w:rPr>
            </w:pPr>
            <w:r>
              <w:rPr>
                <w:rFonts w:hint="eastAsia" w:ascii="宋体" w:hAnsi="宋体" w:cs="宋体"/>
                <w:color w:val="000000"/>
                <w:kern w:val="0"/>
                <w:sz w:val="20"/>
                <w:szCs w:val="20"/>
                <w:lang w:eastAsia="zh-CN" w:bidi="ar"/>
              </w:rPr>
              <w:t>43.32</w:t>
            </w:r>
            <w:r>
              <w:rPr>
                <w:rFonts w:hint="eastAsia" w:ascii="宋体" w:hAnsi="宋体" w:cs="宋体"/>
                <w:color w:val="000000"/>
                <w:kern w:val="0"/>
                <w:sz w:val="20"/>
                <w:szCs w:val="20"/>
                <w:lang w:bidi="ar"/>
              </w:rPr>
              <w:t xml:space="preserve"> </w:t>
            </w:r>
          </w:p>
        </w:tc>
      </w:tr>
      <w:tr>
        <w:tblPrEx>
          <w:tblCellMar>
            <w:top w:w="0" w:type="dxa"/>
            <w:left w:w="108" w:type="dxa"/>
            <w:bottom w:w="0" w:type="dxa"/>
            <w:right w:w="108" w:type="dxa"/>
          </w:tblCellMar>
        </w:tblPrEx>
        <w:trPr>
          <w:trHeight w:val="593" w:hRule="atLeast"/>
          <w:jc w:val="center"/>
        </w:trPr>
        <w:tc>
          <w:tcPr>
            <w:tcW w:w="886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合计</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133.94</w:t>
            </w:r>
          </w:p>
        </w:tc>
        <w:tc>
          <w:tcPr>
            <w:tcW w:w="106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kern w:val="0"/>
                <w:sz w:val="20"/>
                <w:szCs w:val="20"/>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lang w:eastAsia="zh-CN"/>
              </w:rPr>
              <w:t>44.20</w:t>
            </w:r>
            <w:r>
              <w:rPr>
                <w:rFonts w:ascii="宋体" w:hAnsi="宋体" w:cs="宋体"/>
                <w:kern w:val="0"/>
                <w:sz w:val="20"/>
                <w:szCs w:val="20"/>
              </w:rPr>
              <w:t xml:space="preserve"> </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color w:val="000000"/>
                <w:kern w:val="0"/>
                <w:sz w:val="20"/>
                <w:szCs w:val="20"/>
                <w:lang w:eastAsia="zh-CN" w:bidi="ar"/>
              </w:rPr>
              <w:t>0.88</w:t>
            </w:r>
          </w:p>
        </w:tc>
        <w:tc>
          <w:tcPr>
            <w:tcW w:w="1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lang w:eastAsia="zh-CN"/>
              </w:rPr>
              <w:t>43.32</w:t>
            </w:r>
            <w:r>
              <w:rPr>
                <w:rFonts w:ascii="宋体" w:hAnsi="宋体" w:cs="宋体"/>
                <w:kern w:val="0"/>
                <w:sz w:val="20"/>
                <w:szCs w:val="20"/>
              </w:rPr>
              <w:t xml:space="preserve"> </w:t>
            </w:r>
          </w:p>
        </w:tc>
      </w:tr>
    </w:tbl>
    <w:p>
      <w:pPr>
        <w:spacing w:line="500" w:lineRule="exact"/>
        <w:rPr>
          <w:rFonts w:ascii="宋体" w:hAnsi="宋体"/>
          <w:b/>
          <w:spacing w:val="26"/>
          <w:sz w:val="24"/>
        </w:rPr>
      </w:pPr>
      <w:r>
        <w:rPr>
          <w:rFonts w:hint="eastAsia" w:ascii="宋体" w:hAnsi="宋体"/>
          <w:b/>
          <w:spacing w:val="26"/>
          <w:sz w:val="24"/>
        </w:rPr>
        <w:t>特别提示：</w:t>
      </w:r>
    </w:p>
    <w:p>
      <w:pPr>
        <w:spacing w:line="500" w:lineRule="exact"/>
        <w:rPr>
          <w:rFonts w:ascii="宋体" w:hAnsi="宋体"/>
          <w:spacing w:val="26"/>
          <w:sz w:val="24"/>
        </w:rPr>
      </w:pPr>
      <w:r>
        <w:rPr>
          <w:rFonts w:hint="eastAsia" w:ascii="宋体" w:hAnsi="宋体"/>
          <w:spacing w:val="26"/>
          <w:sz w:val="24"/>
        </w:rPr>
        <w:t>1．本报告估价结果为估价对象在价值时点的市场价值，该估价结果只为人民法院确定财产处置参考价提供参考依据，不做其他用途，请报告使用者注意。</w:t>
      </w:r>
    </w:p>
    <w:p>
      <w:pPr>
        <w:spacing w:line="500" w:lineRule="exact"/>
        <w:rPr>
          <w:rFonts w:ascii="宋体" w:hAnsi="宋体"/>
          <w:spacing w:val="26"/>
          <w:sz w:val="24"/>
        </w:rPr>
      </w:pPr>
      <w:r>
        <w:rPr>
          <w:rFonts w:hint="eastAsia" w:ascii="宋体" w:hAnsi="宋体"/>
          <w:spacing w:val="26"/>
          <w:sz w:val="24"/>
        </w:rPr>
        <w:t>2.</w:t>
      </w:r>
      <w:bookmarkStart w:id="12" w:name="_Toc229307128"/>
      <w:bookmarkStart w:id="13" w:name="_Toc229207508"/>
      <w:bookmarkStart w:id="14" w:name="_Toc229219547"/>
      <w:r>
        <w:rPr>
          <w:rFonts w:hint="eastAsia" w:ascii="宋体" w:hAnsi="宋体"/>
          <w:spacing w:val="26"/>
          <w:sz w:val="24"/>
        </w:rPr>
        <w:t xml:space="preserve"> 估价结果未考虑估价对象及其运营企业(或其拥有人)已承担的债务、或有债务及经营决策失误或市场运作失当对其价值的影响。</w:t>
      </w:r>
    </w:p>
    <w:p>
      <w:pPr>
        <w:spacing w:line="500" w:lineRule="exact"/>
        <w:rPr>
          <w:rFonts w:ascii="宋体" w:hAnsi="宋体"/>
          <w:spacing w:val="26"/>
          <w:sz w:val="24"/>
        </w:rPr>
      </w:pPr>
      <w:r>
        <w:rPr>
          <w:rFonts w:hint="eastAsia" w:ascii="宋体" w:hAnsi="宋体"/>
          <w:spacing w:val="26"/>
          <w:sz w:val="24"/>
        </w:rPr>
        <w:t>3.根据估价目的本次估价未考虑查封，抵押，租赁对估价结果的影响。</w:t>
      </w:r>
    </w:p>
    <w:p>
      <w:pPr>
        <w:spacing w:line="500" w:lineRule="exact"/>
        <w:rPr>
          <w:rFonts w:ascii="宋体" w:hAnsi="宋体"/>
          <w:spacing w:val="26"/>
          <w:sz w:val="24"/>
        </w:rPr>
      </w:pPr>
      <w:r>
        <w:rPr>
          <w:rFonts w:hint="eastAsia" w:ascii="宋体" w:hAnsi="宋体"/>
          <w:spacing w:val="26"/>
          <w:sz w:val="24"/>
        </w:rPr>
        <w:t>4. 本次评估净值为评估市值扣除预计假设卖方转让时应缴纳的税、费等款项，预计假设卖方转让税费是我司参考税费标准估算，此值仅供参考,实际应补缴的税费、税率应以政府相关部门核定为准，我司不承担以此为依据引起的相应法律责任。</w:t>
      </w:r>
    </w:p>
    <w:p>
      <w:pPr>
        <w:spacing w:line="500" w:lineRule="exact"/>
        <w:rPr>
          <w:rFonts w:ascii="宋体" w:hAnsi="宋体"/>
          <w:spacing w:val="26"/>
          <w:sz w:val="24"/>
        </w:rPr>
        <w:sectPr>
          <w:footerReference r:id="rId7" w:type="default"/>
          <w:type w:val="oddPage"/>
          <w:pgSz w:w="16838" w:h="11906" w:orient="landscape"/>
          <w:pgMar w:top="1418" w:right="1276" w:bottom="1287" w:left="1559" w:header="851" w:footer="992" w:gutter="0"/>
          <w:cols w:space="720" w:num="1"/>
          <w:titlePg/>
          <w:docGrid w:linePitch="312" w:charSpace="0"/>
        </w:sectPr>
      </w:pPr>
      <w:r>
        <w:rPr>
          <w:rFonts w:hint="eastAsia" w:ascii="宋体" w:hAnsi="宋体"/>
          <w:spacing w:val="26"/>
          <w:sz w:val="24"/>
        </w:rPr>
        <w:t>5.估价委托人未能提供估价对象的租赁资料，经调查了解后估价人员无法得知估价对象是否存在租赁权、用益物权及占有使用等情况，本次评估未考虑租赁或租约影响，评估价值为无租约限制价值，提请报告使用人留意。</w:t>
      </w:r>
    </w:p>
    <w:p>
      <w:pPr>
        <w:spacing w:line="500" w:lineRule="exact"/>
        <w:ind w:left="1276"/>
        <w:jc w:val="center"/>
        <w:rPr>
          <w:b/>
          <w:sz w:val="36"/>
        </w:rPr>
      </w:pPr>
      <w:r>
        <w:rPr>
          <w:b/>
          <w:sz w:val="36"/>
        </w:rPr>
        <w:t>目</w:t>
      </w:r>
      <w:r>
        <w:rPr>
          <w:rFonts w:hint="eastAsia"/>
          <w:b/>
          <w:sz w:val="36"/>
        </w:rPr>
        <w:t xml:space="preserve">  </w:t>
      </w:r>
      <w:r>
        <w:rPr>
          <w:b/>
          <w:sz w:val="36"/>
        </w:rPr>
        <w:t>录</w:t>
      </w:r>
      <w:bookmarkEnd w:id="12"/>
      <w:bookmarkEnd w:id="13"/>
      <w:bookmarkEnd w:id="14"/>
    </w:p>
    <w:p>
      <w:pPr>
        <w:pStyle w:val="23"/>
        <w:tabs>
          <w:tab w:val="right" w:leader="dot" w:pos="9201"/>
        </w:tabs>
      </w:pPr>
      <w:bookmarkStart w:id="15" w:name="_Toc229219548"/>
      <w:bookmarkStart w:id="16" w:name="_Toc229207509"/>
      <w:bookmarkStart w:id="17" w:name="_Toc203294632"/>
      <w:r>
        <w:rPr>
          <w:rFonts w:ascii="宋体" w:hAnsi="宋体"/>
          <w:bCs w:val="0"/>
          <w:smallCaps/>
          <w:szCs w:val="24"/>
        </w:rPr>
        <w:fldChar w:fldCharType="begin"/>
      </w:r>
      <w:r>
        <w:rPr>
          <w:rStyle w:val="40"/>
          <w:rFonts w:ascii="宋体" w:hAnsi="宋体"/>
          <w:bCs w:val="0"/>
          <w:smallCaps/>
          <w:color w:val="auto"/>
          <w:szCs w:val="24"/>
        </w:rPr>
        <w:instrText xml:space="preserve"> TOC \o "1-3" \h \z \u\N3-3 </w:instrText>
      </w:r>
      <w:r>
        <w:rPr>
          <w:rFonts w:ascii="宋体" w:hAnsi="宋体"/>
          <w:bCs w:val="0"/>
          <w:smallCaps/>
          <w:szCs w:val="24"/>
        </w:rPr>
        <w:fldChar w:fldCharType="separate"/>
      </w:r>
      <w:r>
        <w:rPr>
          <w:rFonts w:ascii="宋体" w:hAnsi="宋体"/>
          <w:bCs w:val="0"/>
          <w:smallCaps/>
          <w:szCs w:val="24"/>
        </w:rPr>
        <w:fldChar w:fldCharType="begin"/>
      </w:r>
      <w:r>
        <w:rPr>
          <w:rFonts w:ascii="宋体" w:hAnsi="宋体"/>
          <w:bCs w:val="0"/>
          <w:smallCaps/>
          <w:szCs w:val="24"/>
        </w:rPr>
        <w:instrText xml:space="preserve"> HYPERLINK \l _Toc4425 </w:instrText>
      </w:r>
      <w:r>
        <w:rPr>
          <w:rFonts w:ascii="宋体" w:hAnsi="宋体"/>
          <w:bCs w:val="0"/>
          <w:smallCaps/>
          <w:szCs w:val="24"/>
        </w:rPr>
        <w:fldChar w:fldCharType="separate"/>
      </w:r>
      <w:r>
        <w:rPr>
          <w:rFonts w:ascii="宋体" w:hAnsi="宋体"/>
          <w:spacing w:val="20"/>
          <w:szCs w:val="36"/>
        </w:rPr>
        <w:t>致估价委托人函</w:t>
      </w:r>
      <w:r>
        <w:tab/>
      </w:r>
      <w:r>
        <w:fldChar w:fldCharType="begin"/>
      </w:r>
      <w:r>
        <w:instrText xml:space="preserve"> PAGEREF _Toc4425 \h </w:instrText>
      </w:r>
      <w:r>
        <w:fldChar w:fldCharType="separate"/>
      </w:r>
      <w:r>
        <w:t>2</w:t>
      </w:r>
      <w:r>
        <w:fldChar w:fldCharType="end"/>
      </w:r>
      <w:r>
        <w:rPr>
          <w:rFonts w:ascii="宋体" w:hAnsi="宋体"/>
          <w:bCs w:val="0"/>
          <w:smallCaps/>
          <w:szCs w:val="24"/>
        </w:rPr>
        <w:fldChar w:fldCharType="end"/>
      </w:r>
    </w:p>
    <w:p>
      <w:pPr>
        <w:pStyle w:val="23"/>
        <w:tabs>
          <w:tab w:val="right" w:leader="dot" w:pos="9201"/>
        </w:tabs>
      </w:pPr>
      <w:r>
        <w:rPr>
          <w:rFonts w:ascii="宋体" w:hAnsi="宋体"/>
          <w:bCs w:val="0"/>
          <w:smallCaps/>
          <w:szCs w:val="24"/>
        </w:rPr>
        <w:fldChar w:fldCharType="begin"/>
      </w:r>
      <w:r>
        <w:rPr>
          <w:rFonts w:ascii="宋体" w:hAnsi="宋体"/>
          <w:bCs w:val="0"/>
          <w:smallCaps/>
          <w:szCs w:val="24"/>
        </w:rPr>
        <w:instrText xml:space="preserve"> HYPERLINK \l _Toc15781 </w:instrText>
      </w:r>
      <w:r>
        <w:rPr>
          <w:rFonts w:ascii="宋体" w:hAnsi="宋体"/>
          <w:bCs w:val="0"/>
          <w:smallCaps/>
          <w:szCs w:val="24"/>
        </w:rPr>
        <w:fldChar w:fldCharType="separate"/>
      </w:r>
      <w:r>
        <w:rPr>
          <w:rFonts w:hint="eastAsia" w:ascii="宋体" w:hAnsi="宋体"/>
          <w:spacing w:val="26"/>
          <w:szCs w:val="36"/>
        </w:rPr>
        <w:t>一</w:t>
      </w:r>
      <w:r>
        <w:rPr>
          <w:rFonts w:ascii="宋体" w:hAnsi="宋体"/>
          <w:spacing w:val="26"/>
          <w:szCs w:val="36"/>
        </w:rPr>
        <w:t>、注册房地产估价师声明</w:t>
      </w:r>
      <w:r>
        <w:tab/>
      </w:r>
      <w:r>
        <w:fldChar w:fldCharType="begin"/>
      </w:r>
      <w:r>
        <w:instrText xml:space="preserve"> PAGEREF _Toc15781 \h </w:instrText>
      </w:r>
      <w:r>
        <w:fldChar w:fldCharType="separate"/>
      </w:r>
      <w:r>
        <w:t>6</w:t>
      </w:r>
      <w:r>
        <w:fldChar w:fldCharType="end"/>
      </w:r>
      <w:r>
        <w:rPr>
          <w:rFonts w:ascii="宋体" w:hAnsi="宋体"/>
          <w:bCs w:val="0"/>
          <w:smallCaps/>
          <w:szCs w:val="24"/>
        </w:rPr>
        <w:fldChar w:fldCharType="end"/>
      </w:r>
    </w:p>
    <w:p>
      <w:pPr>
        <w:pStyle w:val="23"/>
        <w:tabs>
          <w:tab w:val="right" w:leader="dot" w:pos="9201"/>
        </w:tabs>
      </w:pPr>
      <w:r>
        <w:rPr>
          <w:rFonts w:ascii="宋体" w:hAnsi="宋体"/>
          <w:bCs w:val="0"/>
          <w:smallCaps/>
          <w:szCs w:val="24"/>
        </w:rPr>
        <w:fldChar w:fldCharType="begin"/>
      </w:r>
      <w:r>
        <w:rPr>
          <w:rFonts w:ascii="宋体" w:hAnsi="宋体"/>
          <w:bCs w:val="0"/>
          <w:smallCaps/>
          <w:szCs w:val="24"/>
        </w:rPr>
        <w:instrText xml:space="preserve"> HYPERLINK \l _Toc16427 </w:instrText>
      </w:r>
      <w:r>
        <w:rPr>
          <w:rFonts w:ascii="宋体" w:hAnsi="宋体"/>
          <w:bCs w:val="0"/>
          <w:smallCaps/>
          <w:szCs w:val="24"/>
        </w:rPr>
        <w:fldChar w:fldCharType="separate"/>
      </w:r>
      <w:r>
        <w:rPr>
          <w:rFonts w:hint="eastAsia" w:ascii="宋体" w:hAnsi="宋体"/>
          <w:spacing w:val="26"/>
          <w:szCs w:val="36"/>
        </w:rPr>
        <w:t>二</w:t>
      </w:r>
      <w:r>
        <w:rPr>
          <w:rFonts w:ascii="宋体" w:hAnsi="宋体"/>
          <w:spacing w:val="26"/>
          <w:szCs w:val="36"/>
        </w:rPr>
        <w:t>、估价假设和限制条件</w:t>
      </w:r>
      <w:r>
        <w:tab/>
      </w:r>
      <w:r>
        <w:fldChar w:fldCharType="begin"/>
      </w:r>
      <w:r>
        <w:instrText xml:space="preserve"> PAGEREF _Toc16427 \h </w:instrText>
      </w:r>
      <w:r>
        <w:fldChar w:fldCharType="separate"/>
      </w:r>
      <w:r>
        <w:t>7</w:t>
      </w:r>
      <w:r>
        <w:fldChar w:fldCharType="end"/>
      </w:r>
      <w:r>
        <w:rPr>
          <w:rFonts w:ascii="宋体" w:hAnsi="宋体"/>
          <w:bCs w:val="0"/>
          <w:smallCaps/>
          <w:szCs w:val="24"/>
        </w:rPr>
        <w:fldChar w:fldCharType="end"/>
      </w:r>
    </w:p>
    <w:p>
      <w:pPr>
        <w:pStyle w:val="23"/>
        <w:tabs>
          <w:tab w:val="right" w:leader="dot" w:pos="9201"/>
        </w:tabs>
      </w:pPr>
      <w:r>
        <w:rPr>
          <w:rFonts w:ascii="宋体" w:hAnsi="宋体"/>
          <w:bCs w:val="0"/>
          <w:smallCaps/>
          <w:szCs w:val="24"/>
        </w:rPr>
        <w:fldChar w:fldCharType="begin"/>
      </w:r>
      <w:r>
        <w:rPr>
          <w:rFonts w:ascii="宋体" w:hAnsi="宋体"/>
          <w:bCs w:val="0"/>
          <w:smallCaps/>
          <w:szCs w:val="24"/>
        </w:rPr>
        <w:instrText xml:space="preserve"> HYPERLINK \l _Toc4535 </w:instrText>
      </w:r>
      <w:r>
        <w:rPr>
          <w:rFonts w:ascii="宋体" w:hAnsi="宋体"/>
          <w:bCs w:val="0"/>
          <w:smallCaps/>
          <w:szCs w:val="24"/>
        </w:rPr>
        <w:fldChar w:fldCharType="separate"/>
      </w:r>
      <w:r>
        <w:rPr>
          <w:rFonts w:hint="eastAsia" w:ascii="宋体" w:hAnsi="宋体"/>
          <w:spacing w:val="22"/>
          <w:szCs w:val="36"/>
        </w:rPr>
        <w:t>三</w:t>
      </w:r>
      <w:r>
        <w:rPr>
          <w:rFonts w:ascii="宋体" w:hAnsi="宋体"/>
          <w:spacing w:val="22"/>
          <w:szCs w:val="36"/>
        </w:rPr>
        <w:t>、估价结果报告</w:t>
      </w:r>
      <w:r>
        <w:tab/>
      </w:r>
      <w:r>
        <w:fldChar w:fldCharType="begin"/>
      </w:r>
      <w:r>
        <w:instrText xml:space="preserve"> PAGEREF _Toc4535 \h </w:instrText>
      </w:r>
      <w:r>
        <w:fldChar w:fldCharType="separate"/>
      </w:r>
      <w:r>
        <w:t>11</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_Toc489 </w:instrText>
      </w:r>
      <w:r>
        <w:rPr>
          <w:rFonts w:ascii="宋体" w:hAnsi="宋体"/>
          <w:bCs w:val="0"/>
          <w:smallCaps/>
          <w:szCs w:val="24"/>
        </w:rPr>
        <w:fldChar w:fldCharType="separate"/>
      </w:r>
      <w:r>
        <w:rPr>
          <w:rFonts w:ascii="宋体" w:hAnsi="宋体" w:eastAsia="宋体"/>
          <w:bCs w:val="0"/>
          <w:spacing w:val="20"/>
          <w:szCs w:val="24"/>
        </w:rPr>
        <w:t>(一)估价委托人</w:t>
      </w:r>
      <w:r>
        <w:tab/>
      </w:r>
      <w:r>
        <w:fldChar w:fldCharType="begin"/>
      </w:r>
      <w:r>
        <w:instrText xml:space="preserve"> PAGEREF _Toc489 \h </w:instrText>
      </w:r>
      <w:r>
        <w:fldChar w:fldCharType="separate"/>
      </w:r>
      <w:r>
        <w:t>11</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_Toc29251 </w:instrText>
      </w:r>
      <w:r>
        <w:rPr>
          <w:rFonts w:ascii="宋体" w:hAnsi="宋体"/>
          <w:bCs w:val="0"/>
          <w:smallCaps/>
          <w:szCs w:val="24"/>
        </w:rPr>
        <w:fldChar w:fldCharType="separate"/>
      </w:r>
      <w:r>
        <w:rPr>
          <w:rFonts w:ascii="宋体" w:hAnsi="宋体" w:eastAsia="宋体"/>
          <w:bCs w:val="0"/>
          <w:spacing w:val="20"/>
          <w:szCs w:val="24"/>
        </w:rPr>
        <w:t>(二)估价机构</w:t>
      </w:r>
      <w:r>
        <w:tab/>
      </w:r>
      <w:r>
        <w:fldChar w:fldCharType="begin"/>
      </w:r>
      <w:r>
        <w:instrText xml:space="preserve"> PAGEREF _Toc29251 \h </w:instrText>
      </w:r>
      <w:r>
        <w:fldChar w:fldCharType="separate"/>
      </w:r>
      <w:r>
        <w:t>11</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_Toc20500 </w:instrText>
      </w:r>
      <w:r>
        <w:rPr>
          <w:rFonts w:ascii="宋体" w:hAnsi="宋体"/>
          <w:bCs w:val="0"/>
          <w:smallCaps/>
          <w:szCs w:val="24"/>
        </w:rPr>
        <w:fldChar w:fldCharType="separate"/>
      </w:r>
      <w:r>
        <w:rPr>
          <w:rFonts w:ascii="宋体" w:hAnsi="宋体" w:eastAsia="宋体"/>
          <w:bCs w:val="0"/>
          <w:spacing w:val="20"/>
          <w:szCs w:val="24"/>
        </w:rPr>
        <w:t>(三)估价目的</w:t>
      </w:r>
      <w:r>
        <w:tab/>
      </w:r>
      <w:r>
        <w:fldChar w:fldCharType="begin"/>
      </w:r>
      <w:r>
        <w:instrText xml:space="preserve"> PAGEREF _Toc20500 \h </w:instrText>
      </w:r>
      <w:r>
        <w:fldChar w:fldCharType="separate"/>
      </w:r>
      <w:r>
        <w:t>11</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_Toc5368 </w:instrText>
      </w:r>
      <w:r>
        <w:rPr>
          <w:rFonts w:ascii="宋体" w:hAnsi="宋体"/>
          <w:bCs w:val="0"/>
          <w:smallCaps/>
          <w:szCs w:val="24"/>
        </w:rPr>
        <w:fldChar w:fldCharType="separate"/>
      </w:r>
      <w:r>
        <w:rPr>
          <w:rFonts w:ascii="宋体" w:hAnsi="宋体" w:eastAsia="宋体"/>
          <w:bCs w:val="0"/>
          <w:spacing w:val="20"/>
          <w:szCs w:val="24"/>
        </w:rPr>
        <w:t>(四)估价对象</w:t>
      </w:r>
      <w:r>
        <w:tab/>
      </w:r>
      <w:r>
        <w:fldChar w:fldCharType="begin"/>
      </w:r>
      <w:r>
        <w:instrText xml:space="preserve"> PAGEREF _Toc5368 \h </w:instrText>
      </w:r>
      <w:r>
        <w:fldChar w:fldCharType="separate"/>
      </w:r>
      <w:r>
        <w:t>11</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_Toc10873 </w:instrText>
      </w:r>
      <w:r>
        <w:rPr>
          <w:rFonts w:ascii="宋体" w:hAnsi="宋体"/>
          <w:bCs w:val="0"/>
          <w:smallCaps/>
          <w:szCs w:val="24"/>
        </w:rPr>
        <w:fldChar w:fldCharType="separate"/>
      </w:r>
      <w:r>
        <w:rPr>
          <w:rFonts w:ascii="宋体" w:hAnsi="宋体" w:eastAsia="宋体"/>
          <w:bCs w:val="0"/>
          <w:spacing w:val="20"/>
          <w:szCs w:val="24"/>
        </w:rPr>
        <w:t>(五)价值时点</w:t>
      </w:r>
      <w:r>
        <w:tab/>
      </w:r>
      <w:r>
        <w:fldChar w:fldCharType="begin"/>
      </w:r>
      <w:r>
        <w:instrText xml:space="preserve"> PAGEREF _Toc10873 \h </w:instrText>
      </w:r>
      <w:r>
        <w:fldChar w:fldCharType="separate"/>
      </w:r>
      <w:r>
        <w:t>13</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_Toc32731 </w:instrText>
      </w:r>
      <w:r>
        <w:rPr>
          <w:rFonts w:ascii="宋体" w:hAnsi="宋体"/>
          <w:bCs w:val="0"/>
          <w:smallCaps/>
          <w:szCs w:val="24"/>
        </w:rPr>
        <w:fldChar w:fldCharType="separate"/>
      </w:r>
      <w:r>
        <w:rPr>
          <w:rFonts w:ascii="宋体" w:hAnsi="宋体" w:eastAsia="宋体"/>
          <w:spacing w:val="20"/>
          <w:szCs w:val="24"/>
        </w:rPr>
        <w:t>(六)价值类型</w:t>
      </w:r>
      <w:r>
        <w:tab/>
      </w:r>
      <w:r>
        <w:fldChar w:fldCharType="begin"/>
      </w:r>
      <w:r>
        <w:instrText xml:space="preserve"> PAGEREF _Toc32731 \h </w:instrText>
      </w:r>
      <w:r>
        <w:fldChar w:fldCharType="separate"/>
      </w:r>
      <w:r>
        <w:t>13</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_Toc14002 </w:instrText>
      </w:r>
      <w:r>
        <w:rPr>
          <w:rFonts w:ascii="宋体" w:hAnsi="宋体"/>
          <w:bCs w:val="0"/>
          <w:smallCaps/>
          <w:szCs w:val="24"/>
        </w:rPr>
        <w:fldChar w:fldCharType="separate"/>
      </w:r>
      <w:r>
        <w:rPr>
          <w:rFonts w:ascii="宋体" w:hAnsi="宋体" w:eastAsia="宋体"/>
          <w:spacing w:val="20"/>
          <w:szCs w:val="24"/>
        </w:rPr>
        <w:t>(七)估价依据</w:t>
      </w:r>
      <w:r>
        <w:tab/>
      </w:r>
      <w:r>
        <w:fldChar w:fldCharType="begin"/>
      </w:r>
      <w:r>
        <w:instrText xml:space="preserve"> PAGEREF _Toc14002 \h </w:instrText>
      </w:r>
      <w:r>
        <w:fldChar w:fldCharType="separate"/>
      </w:r>
      <w:r>
        <w:t>13</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_Toc17190 </w:instrText>
      </w:r>
      <w:r>
        <w:rPr>
          <w:rFonts w:ascii="宋体" w:hAnsi="宋体"/>
          <w:bCs w:val="0"/>
          <w:smallCaps/>
          <w:szCs w:val="24"/>
        </w:rPr>
        <w:fldChar w:fldCharType="separate"/>
      </w:r>
      <w:r>
        <w:rPr>
          <w:rFonts w:ascii="宋体" w:hAnsi="宋体" w:eastAsia="宋体"/>
          <w:spacing w:val="20"/>
          <w:szCs w:val="24"/>
        </w:rPr>
        <w:t>(八)估价原则</w:t>
      </w:r>
      <w:r>
        <w:tab/>
      </w:r>
      <w:r>
        <w:fldChar w:fldCharType="begin"/>
      </w:r>
      <w:r>
        <w:instrText xml:space="preserve"> PAGEREF _Toc17190 \h </w:instrText>
      </w:r>
      <w:r>
        <w:fldChar w:fldCharType="separate"/>
      </w:r>
      <w:r>
        <w:t>14</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_Toc18702 </w:instrText>
      </w:r>
      <w:r>
        <w:rPr>
          <w:rFonts w:ascii="宋体" w:hAnsi="宋体"/>
          <w:bCs w:val="0"/>
          <w:smallCaps/>
          <w:szCs w:val="24"/>
        </w:rPr>
        <w:fldChar w:fldCharType="separate"/>
      </w:r>
      <w:r>
        <w:rPr>
          <w:rFonts w:ascii="宋体" w:hAnsi="宋体" w:eastAsia="宋体"/>
          <w:spacing w:val="20"/>
          <w:szCs w:val="24"/>
        </w:rPr>
        <w:t>(九)估价方法</w:t>
      </w:r>
      <w:r>
        <w:tab/>
      </w:r>
      <w:r>
        <w:fldChar w:fldCharType="begin"/>
      </w:r>
      <w:r>
        <w:instrText xml:space="preserve"> PAGEREF _Toc18702 \h </w:instrText>
      </w:r>
      <w:r>
        <w:fldChar w:fldCharType="separate"/>
      </w:r>
      <w:r>
        <w:t>16</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_Toc15101 </w:instrText>
      </w:r>
      <w:r>
        <w:rPr>
          <w:rFonts w:ascii="宋体" w:hAnsi="宋体"/>
          <w:bCs w:val="0"/>
          <w:smallCaps/>
          <w:szCs w:val="24"/>
        </w:rPr>
        <w:fldChar w:fldCharType="separate"/>
      </w:r>
      <w:r>
        <w:rPr>
          <w:rFonts w:ascii="宋体" w:hAnsi="宋体" w:eastAsia="宋体"/>
          <w:spacing w:val="20"/>
          <w:szCs w:val="24"/>
        </w:rPr>
        <w:t>(十)估价结果</w:t>
      </w:r>
      <w:r>
        <w:tab/>
      </w:r>
      <w:r>
        <w:fldChar w:fldCharType="begin"/>
      </w:r>
      <w:r>
        <w:instrText xml:space="preserve"> PAGEREF _Toc15101 \h </w:instrText>
      </w:r>
      <w:r>
        <w:fldChar w:fldCharType="separate"/>
      </w:r>
      <w:r>
        <w:t>18</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_Toc2537 </w:instrText>
      </w:r>
      <w:r>
        <w:rPr>
          <w:rFonts w:ascii="宋体" w:hAnsi="宋体"/>
          <w:bCs w:val="0"/>
          <w:smallCaps/>
          <w:szCs w:val="24"/>
        </w:rPr>
        <w:fldChar w:fldCharType="separate"/>
      </w:r>
      <w:r>
        <w:rPr>
          <w:rFonts w:ascii="宋体" w:hAnsi="宋体" w:eastAsia="宋体" w:cs="宋体"/>
          <w:spacing w:val="20"/>
          <w:szCs w:val="24"/>
        </w:rPr>
        <w:t>(十一)</w:t>
      </w:r>
      <w:r>
        <w:rPr>
          <w:rFonts w:ascii="宋体" w:hAnsi="宋体" w:eastAsia="宋体"/>
          <w:spacing w:val="20"/>
          <w:szCs w:val="24"/>
        </w:rPr>
        <w:t>估价人员</w:t>
      </w:r>
      <w:r>
        <w:tab/>
      </w:r>
      <w:r>
        <w:fldChar w:fldCharType="begin"/>
      </w:r>
      <w:r>
        <w:instrText xml:space="preserve"> PAGEREF _Toc2537 \h </w:instrText>
      </w:r>
      <w:r>
        <w:fldChar w:fldCharType="separate"/>
      </w:r>
      <w:r>
        <w:t>18</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_Toc24558 </w:instrText>
      </w:r>
      <w:r>
        <w:rPr>
          <w:rFonts w:ascii="宋体" w:hAnsi="宋体"/>
          <w:bCs w:val="0"/>
          <w:smallCaps/>
          <w:szCs w:val="24"/>
        </w:rPr>
        <w:fldChar w:fldCharType="separate"/>
      </w:r>
      <w:r>
        <w:rPr>
          <w:rFonts w:ascii="宋体" w:hAnsi="宋体" w:eastAsia="宋体" w:cs="宋体"/>
          <w:spacing w:val="20"/>
          <w:szCs w:val="24"/>
        </w:rPr>
        <w:t>(十二)</w:t>
      </w:r>
      <w:r>
        <w:rPr>
          <w:rFonts w:ascii="宋体" w:hAnsi="宋体" w:eastAsia="宋体"/>
          <w:spacing w:val="20"/>
          <w:szCs w:val="24"/>
        </w:rPr>
        <w:t>实地勘查日期</w:t>
      </w:r>
      <w:r>
        <w:tab/>
      </w:r>
      <w:r>
        <w:fldChar w:fldCharType="begin"/>
      </w:r>
      <w:r>
        <w:instrText xml:space="preserve"> PAGEREF _Toc24558 \h </w:instrText>
      </w:r>
      <w:r>
        <w:fldChar w:fldCharType="separate"/>
      </w:r>
      <w:r>
        <w:t>18</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_Toc17074 </w:instrText>
      </w:r>
      <w:r>
        <w:rPr>
          <w:rFonts w:ascii="宋体" w:hAnsi="宋体"/>
          <w:bCs w:val="0"/>
          <w:smallCaps/>
          <w:szCs w:val="24"/>
        </w:rPr>
        <w:fldChar w:fldCharType="separate"/>
      </w:r>
      <w:r>
        <w:rPr>
          <w:rFonts w:ascii="宋体" w:hAnsi="宋体" w:eastAsia="宋体" w:cs="宋体"/>
          <w:spacing w:val="20"/>
          <w:szCs w:val="24"/>
        </w:rPr>
        <w:t>(十三)</w:t>
      </w:r>
      <w:r>
        <w:rPr>
          <w:rFonts w:ascii="宋体" w:hAnsi="宋体" w:eastAsia="宋体"/>
          <w:spacing w:val="20"/>
          <w:szCs w:val="24"/>
        </w:rPr>
        <w:t>估价作业日期</w:t>
      </w:r>
      <w:r>
        <w:tab/>
      </w:r>
      <w:r>
        <w:fldChar w:fldCharType="begin"/>
      </w:r>
      <w:r>
        <w:instrText xml:space="preserve"> PAGEREF _Toc17074 \h </w:instrText>
      </w:r>
      <w:r>
        <w:fldChar w:fldCharType="separate"/>
      </w:r>
      <w:r>
        <w:t>18</w:t>
      </w:r>
      <w:r>
        <w:fldChar w:fldCharType="end"/>
      </w:r>
      <w:r>
        <w:rPr>
          <w:rFonts w:ascii="宋体" w:hAnsi="宋体"/>
          <w:bCs w:val="0"/>
          <w:smallCaps/>
          <w:szCs w:val="24"/>
        </w:rPr>
        <w:fldChar w:fldCharType="end"/>
      </w:r>
    </w:p>
    <w:p>
      <w:pPr>
        <w:pStyle w:val="28"/>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_Toc9307 </w:instrText>
      </w:r>
      <w:r>
        <w:rPr>
          <w:rFonts w:ascii="宋体" w:hAnsi="宋体"/>
          <w:bCs w:val="0"/>
          <w:smallCaps/>
          <w:szCs w:val="24"/>
        </w:rPr>
        <w:fldChar w:fldCharType="separate"/>
      </w:r>
      <w:r>
        <w:rPr>
          <w:rFonts w:ascii="宋体" w:hAnsi="宋体" w:eastAsia="宋体" w:cs="宋体"/>
          <w:spacing w:val="20"/>
          <w:szCs w:val="24"/>
        </w:rPr>
        <w:t>(十四)</w:t>
      </w:r>
      <w:r>
        <w:rPr>
          <w:rFonts w:ascii="宋体" w:hAnsi="宋体" w:eastAsia="宋体"/>
          <w:spacing w:val="20"/>
          <w:szCs w:val="24"/>
        </w:rPr>
        <w:t>估价报告的应用有效期</w:t>
      </w:r>
      <w:r>
        <w:tab/>
      </w:r>
      <w:r>
        <w:fldChar w:fldCharType="begin"/>
      </w:r>
      <w:r>
        <w:instrText xml:space="preserve"> PAGEREF _Toc9307 \h </w:instrText>
      </w:r>
      <w:r>
        <w:fldChar w:fldCharType="separate"/>
      </w:r>
      <w:r>
        <w:t>18</w:t>
      </w:r>
      <w:r>
        <w:fldChar w:fldCharType="end"/>
      </w:r>
      <w:r>
        <w:rPr>
          <w:rFonts w:ascii="宋体" w:hAnsi="宋体"/>
          <w:bCs w:val="0"/>
          <w:smallCaps/>
          <w:szCs w:val="24"/>
        </w:rPr>
        <w:fldChar w:fldCharType="end"/>
      </w:r>
    </w:p>
    <w:p>
      <w:pPr>
        <w:pStyle w:val="23"/>
        <w:tabs>
          <w:tab w:val="right" w:leader="dot" w:pos="9201"/>
        </w:tabs>
      </w:pPr>
      <w:r>
        <w:rPr>
          <w:rFonts w:ascii="宋体" w:hAnsi="宋体"/>
          <w:bCs w:val="0"/>
          <w:smallCaps/>
          <w:szCs w:val="24"/>
        </w:rPr>
        <w:fldChar w:fldCharType="begin"/>
      </w:r>
      <w:r>
        <w:rPr>
          <w:rFonts w:ascii="宋体" w:hAnsi="宋体"/>
          <w:bCs w:val="0"/>
          <w:smallCaps/>
          <w:szCs w:val="24"/>
        </w:rPr>
        <w:instrText xml:space="preserve"> HYPERLINK \l _Toc30766 </w:instrText>
      </w:r>
      <w:r>
        <w:rPr>
          <w:rFonts w:ascii="宋体" w:hAnsi="宋体"/>
          <w:bCs w:val="0"/>
          <w:smallCaps/>
          <w:szCs w:val="24"/>
        </w:rPr>
        <w:fldChar w:fldCharType="separate"/>
      </w:r>
      <w:r>
        <w:rPr>
          <w:rFonts w:hint="eastAsia" w:ascii="宋体" w:hAnsi="宋体"/>
          <w:spacing w:val="20"/>
          <w:szCs w:val="36"/>
        </w:rPr>
        <w:t>四</w:t>
      </w:r>
      <w:r>
        <w:rPr>
          <w:rFonts w:ascii="宋体" w:hAnsi="宋体"/>
          <w:spacing w:val="20"/>
          <w:szCs w:val="36"/>
        </w:rPr>
        <w:t>、附件</w:t>
      </w:r>
      <w:r>
        <w:tab/>
      </w:r>
      <w:r>
        <w:fldChar w:fldCharType="begin"/>
      </w:r>
      <w:r>
        <w:instrText xml:space="preserve"> PAGEREF _Toc30766 \h </w:instrText>
      </w:r>
      <w:r>
        <w:fldChar w:fldCharType="separate"/>
      </w:r>
      <w:r>
        <w:t>19</w:t>
      </w:r>
      <w:r>
        <w:fldChar w:fldCharType="end"/>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_Toc3642 </w:instrText>
      </w:r>
      <w:r>
        <w:rPr>
          <w:rFonts w:ascii="宋体" w:hAnsi="宋体"/>
          <w:bCs w:val="0"/>
          <w:smallCaps/>
          <w:szCs w:val="24"/>
        </w:rPr>
        <w:fldChar w:fldCharType="separate"/>
      </w:r>
      <w:r>
        <w:rPr>
          <w:rFonts w:hAnsi="宋体"/>
          <w:spacing w:val="20"/>
          <w:szCs w:val="24"/>
        </w:rPr>
        <w:t>(一)估价对象的位置图与照片</w:t>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_Toc25527 </w:instrText>
      </w:r>
      <w:r>
        <w:rPr>
          <w:rFonts w:ascii="宋体" w:hAnsi="宋体"/>
          <w:bCs w:val="0"/>
          <w:smallCaps/>
          <w:szCs w:val="24"/>
        </w:rPr>
        <w:fldChar w:fldCharType="separate"/>
      </w:r>
      <w:r>
        <w:rPr>
          <w:rFonts w:hAnsi="宋体"/>
          <w:spacing w:val="20"/>
          <w:szCs w:val="24"/>
        </w:rPr>
        <w:t>1.估价对象地理位置图壹份</w:t>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_Toc30673 </w:instrText>
      </w:r>
      <w:r>
        <w:rPr>
          <w:rFonts w:ascii="宋体" w:hAnsi="宋体"/>
          <w:bCs w:val="0"/>
          <w:smallCaps/>
          <w:szCs w:val="24"/>
        </w:rPr>
        <w:fldChar w:fldCharType="separate"/>
      </w:r>
      <w:r>
        <w:rPr>
          <w:rFonts w:hAnsi="宋体"/>
          <w:spacing w:val="20"/>
          <w:szCs w:val="24"/>
        </w:rPr>
        <w:t>2</w:t>
      </w:r>
      <w:r>
        <w:rPr>
          <w:rFonts w:hint="eastAsia" w:hAnsi="宋体"/>
          <w:spacing w:val="20"/>
          <w:szCs w:val="24"/>
        </w:rPr>
        <w:t>．</w:t>
      </w:r>
      <w:r>
        <w:rPr>
          <w:rFonts w:hAnsi="宋体"/>
          <w:spacing w:val="20"/>
          <w:szCs w:val="24"/>
        </w:rPr>
        <w:t>估价对象现场实物照片壹份</w:t>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_Toc11141 </w:instrText>
      </w:r>
      <w:r>
        <w:rPr>
          <w:rFonts w:ascii="宋体" w:hAnsi="宋体"/>
          <w:bCs w:val="0"/>
          <w:smallCaps/>
          <w:szCs w:val="24"/>
        </w:rPr>
        <w:fldChar w:fldCharType="separate"/>
      </w:r>
      <w:r>
        <w:rPr>
          <w:rFonts w:hAnsi="宋体"/>
          <w:spacing w:val="20"/>
          <w:szCs w:val="24"/>
        </w:rPr>
        <w:t>(二)</w:t>
      </w:r>
      <w:r>
        <w:rPr>
          <w:rFonts w:hAnsi="宋体"/>
          <w:spacing w:val="20"/>
        </w:rPr>
        <w:t>委托人提供的资料（复印件）</w:t>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_Toc30550 </w:instrText>
      </w:r>
      <w:r>
        <w:rPr>
          <w:rFonts w:ascii="宋体" w:hAnsi="宋体"/>
          <w:bCs w:val="0"/>
          <w:smallCaps/>
          <w:szCs w:val="24"/>
        </w:rPr>
        <w:fldChar w:fldCharType="separate"/>
      </w:r>
      <w:r>
        <w:rPr>
          <w:rFonts w:hint="eastAsia" w:hAnsi="宋体"/>
          <w:bCs w:val="0"/>
          <w:spacing w:val="20"/>
        </w:rPr>
        <w:t>1．《广东省</w:t>
      </w:r>
      <w:r>
        <w:rPr>
          <w:rFonts w:hint="eastAsia" w:hAnsi="宋体"/>
          <w:bCs w:val="0"/>
          <w:spacing w:val="20"/>
          <w:lang w:eastAsia="zh-CN"/>
        </w:rPr>
        <w:t>阳春市人民法院</w:t>
      </w:r>
      <w:r>
        <w:rPr>
          <w:rFonts w:hint="eastAsia" w:hAnsi="宋体"/>
          <w:bCs w:val="0"/>
          <w:spacing w:val="20"/>
        </w:rPr>
        <w:t>司法评估委托书》</w:t>
      </w:r>
      <w:r>
        <w:rPr>
          <w:rFonts w:hint="eastAsia" w:hAnsi="宋体"/>
          <w:bCs w:val="0"/>
          <w:spacing w:val="20"/>
          <w:lang w:eastAsia="zh-CN"/>
        </w:rPr>
        <w:t>（2022）阳春法技鉴字第102号</w:t>
      </w:r>
      <w:r>
        <w:rPr>
          <w:rFonts w:hint="eastAsia" w:hAnsi="宋体"/>
          <w:bCs w:val="0"/>
          <w:spacing w:val="20"/>
        </w:rPr>
        <w:t>；</w:t>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_Toc31307 </w:instrText>
      </w:r>
      <w:r>
        <w:rPr>
          <w:rFonts w:ascii="宋体" w:hAnsi="宋体"/>
          <w:bCs w:val="0"/>
          <w:smallCaps/>
          <w:szCs w:val="24"/>
        </w:rPr>
        <w:fldChar w:fldCharType="separate"/>
      </w:r>
      <w:r>
        <w:rPr>
          <w:rFonts w:hint="eastAsia" w:hAnsi="宋体"/>
          <w:bCs w:val="0"/>
          <w:spacing w:val="20"/>
        </w:rPr>
        <w:t>2.《不动产登记资料查询结果证明》。</w:t>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_Toc11426 </w:instrText>
      </w:r>
      <w:r>
        <w:rPr>
          <w:rFonts w:ascii="宋体" w:hAnsi="宋体"/>
          <w:bCs w:val="0"/>
          <w:smallCaps/>
          <w:szCs w:val="24"/>
        </w:rPr>
        <w:fldChar w:fldCharType="separate"/>
      </w:r>
      <w:r>
        <w:rPr>
          <w:rFonts w:hint="eastAsia" w:hAnsi="宋体"/>
          <w:bCs w:val="0"/>
          <w:spacing w:val="20"/>
        </w:rPr>
        <w:t>3</w:t>
      </w:r>
      <w:r>
        <w:rPr>
          <w:rFonts w:hint="eastAsia" w:hAnsi="宋体"/>
          <w:spacing w:val="20"/>
        </w:rPr>
        <w:t>.</w:t>
      </w:r>
      <w:r>
        <w:rPr>
          <w:rFonts w:hint="eastAsia" w:ascii="宋体" w:hAnsi="宋体"/>
          <w:spacing w:val="20"/>
          <w:lang w:eastAsia="zh-CN"/>
        </w:rPr>
        <w:t>《广东省阳春市人民法院执行裁定书》（</w:t>
      </w:r>
      <w:r>
        <w:rPr>
          <w:rFonts w:hint="eastAsia" w:ascii="宋体" w:hAnsi="宋体"/>
          <w:spacing w:val="20"/>
          <w:lang w:val="en-US" w:eastAsia="zh-CN"/>
        </w:rPr>
        <w:t>2021</w:t>
      </w:r>
      <w:r>
        <w:rPr>
          <w:rFonts w:hint="eastAsia" w:ascii="宋体" w:hAnsi="宋体"/>
          <w:spacing w:val="20"/>
          <w:lang w:eastAsia="zh-CN"/>
        </w:rPr>
        <w:t>）粤</w:t>
      </w:r>
      <w:r>
        <w:rPr>
          <w:rFonts w:hint="eastAsia" w:ascii="宋体" w:hAnsi="宋体"/>
          <w:spacing w:val="20"/>
          <w:lang w:val="en-US" w:eastAsia="zh-CN"/>
        </w:rPr>
        <w:t>1781执20</w:t>
      </w:r>
      <w:r>
        <w:rPr>
          <w:rFonts w:hint="eastAsia" w:hAnsi="宋体"/>
          <w:spacing w:val="20"/>
          <w:lang w:val="en-US" w:eastAsia="zh-CN"/>
        </w:rPr>
        <w:t>2</w:t>
      </w:r>
      <w:r>
        <w:rPr>
          <w:rFonts w:hint="eastAsia" w:ascii="宋体" w:hAnsi="宋体"/>
          <w:spacing w:val="20"/>
          <w:lang w:val="en-US" w:eastAsia="zh-CN"/>
        </w:rPr>
        <w:t>5号</w:t>
      </w:r>
      <w:r>
        <w:rPr>
          <w:rFonts w:hint="eastAsia" w:hAnsi="宋体"/>
          <w:spacing w:val="20"/>
        </w:rPr>
        <w:t>。</w:t>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_Toc22699 </w:instrText>
      </w:r>
      <w:r>
        <w:rPr>
          <w:rFonts w:ascii="宋体" w:hAnsi="宋体"/>
          <w:bCs w:val="0"/>
          <w:smallCaps/>
          <w:szCs w:val="24"/>
        </w:rPr>
        <w:fldChar w:fldCharType="separate"/>
      </w:r>
      <w:r>
        <w:rPr>
          <w:rFonts w:hAnsi="宋体"/>
          <w:spacing w:val="20"/>
          <w:szCs w:val="24"/>
        </w:rPr>
        <w:t>(三)估价方资质证书等资料（复印件）</w:t>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_Toc27985 </w:instrText>
      </w:r>
      <w:r>
        <w:rPr>
          <w:rFonts w:ascii="宋体" w:hAnsi="宋体"/>
          <w:bCs w:val="0"/>
          <w:smallCaps/>
          <w:szCs w:val="24"/>
        </w:rPr>
        <w:fldChar w:fldCharType="separate"/>
      </w:r>
      <w:r>
        <w:rPr>
          <w:rFonts w:hAnsi="宋体"/>
          <w:spacing w:val="20"/>
          <w:szCs w:val="24"/>
        </w:rPr>
        <w:t>1</w:t>
      </w:r>
      <w:r>
        <w:rPr>
          <w:rFonts w:hint="eastAsia" w:hAnsi="宋体"/>
          <w:spacing w:val="20"/>
          <w:szCs w:val="24"/>
        </w:rPr>
        <w:t>．</w:t>
      </w:r>
      <w:r>
        <w:rPr>
          <w:rFonts w:hAnsi="宋体"/>
          <w:spacing w:val="20"/>
          <w:szCs w:val="24"/>
        </w:rPr>
        <w:t>估价方《企业法人营业执照》壹份</w:t>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_Toc32588 </w:instrText>
      </w:r>
      <w:r>
        <w:rPr>
          <w:rFonts w:ascii="宋体" w:hAnsi="宋体"/>
          <w:bCs w:val="0"/>
          <w:smallCaps/>
          <w:szCs w:val="24"/>
        </w:rPr>
        <w:fldChar w:fldCharType="separate"/>
      </w:r>
      <w:r>
        <w:rPr>
          <w:rFonts w:hAnsi="宋体"/>
          <w:spacing w:val="20"/>
          <w:szCs w:val="24"/>
        </w:rPr>
        <w:t>2</w:t>
      </w:r>
      <w:r>
        <w:rPr>
          <w:rFonts w:hint="eastAsia" w:hAnsi="宋体"/>
          <w:spacing w:val="20"/>
          <w:szCs w:val="24"/>
        </w:rPr>
        <w:t>．</w:t>
      </w:r>
      <w:r>
        <w:rPr>
          <w:rFonts w:hAnsi="宋体"/>
          <w:spacing w:val="20"/>
          <w:szCs w:val="24"/>
        </w:rPr>
        <w:t>估价方《房地产估价机构备案证书》壹份</w:t>
      </w:r>
      <w:r>
        <w:rPr>
          <w:rFonts w:ascii="宋体" w:hAnsi="宋体"/>
          <w:bCs w:val="0"/>
          <w:smallCaps/>
          <w:szCs w:val="24"/>
        </w:rPr>
        <w:fldChar w:fldCharType="end"/>
      </w:r>
    </w:p>
    <w:p>
      <w:pPr>
        <w:pStyle w:val="15"/>
        <w:tabs>
          <w:tab w:val="right" w:leader="dot" w:pos="9201"/>
          <w:tab w:val="clear" w:pos="9180"/>
        </w:tabs>
      </w:pPr>
      <w:r>
        <w:rPr>
          <w:rFonts w:ascii="宋体" w:hAnsi="宋体"/>
          <w:bCs w:val="0"/>
          <w:smallCaps/>
          <w:szCs w:val="24"/>
        </w:rPr>
        <w:fldChar w:fldCharType="begin"/>
      </w:r>
      <w:r>
        <w:rPr>
          <w:rFonts w:ascii="宋体" w:hAnsi="宋体"/>
          <w:bCs w:val="0"/>
          <w:smallCaps/>
          <w:szCs w:val="24"/>
        </w:rPr>
        <w:instrText xml:space="preserve"> HYPERLINK \l _Toc19205 </w:instrText>
      </w:r>
      <w:r>
        <w:rPr>
          <w:rFonts w:ascii="宋体" w:hAnsi="宋体"/>
          <w:bCs w:val="0"/>
          <w:smallCaps/>
          <w:szCs w:val="24"/>
        </w:rPr>
        <w:fldChar w:fldCharType="separate"/>
      </w:r>
      <w:r>
        <w:rPr>
          <w:rFonts w:hAnsi="宋体"/>
          <w:spacing w:val="20"/>
          <w:szCs w:val="24"/>
        </w:rPr>
        <w:t>3</w:t>
      </w:r>
      <w:r>
        <w:rPr>
          <w:rFonts w:hint="eastAsia" w:hAnsi="宋体"/>
          <w:spacing w:val="20"/>
          <w:szCs w:val="24"/>
        </w:rPr>
        <w:t>．</w:t>
      </w:r>
      <w:r>
        <w:rPr>
          <w:rFonts w:hAnsi="宋体"/>
          <w:spacing w:val="20"/>
          <w:szCs w:val="24"/>
        </w:rPr>
        <w:t>估价师《房地产估价师注册证》（或《执业资格证书》）贰份</w:t>
      </w:r>
      <w:r>
        <w:rPr>
          <w:rFonts w:ascii="宋体" w:hAnsi="宋体"/>
          <w:bCs w:val="0"/>
          <w:smallCaps/>
          <w:szCs w:val="24"/>
        </w:rPr>
        <w:fldChar w:fldCharType="end"/>
      </w:r>
    </w:p>
    <w:p>
      <w:pPr>
        <w:pStyle w:val="2"/>
        <w:spacing w:before="0" w:after="0" w:line="384" w:lineRule="auto"/>
        <w:jc w:val="center"/>
        <w:rPr>
          <w:rFonts w:ascii="宋体" w:hAnsi="宋体"/>
          <w:spacing w:val="26"/>
          <w:sz w:val="36"/>
          <w:szCs w:val="36"/>
        </w:rPr>
      </w:pPr>
      <w:r>
        <w:rPr>
          <w:rFonts w:ascii="宋体" w:hAnsi="宋体"/>
          <w:bCs w:val="0"/>
          <w:smallCaps/>
          <w:szCs w:val="24"/>
        </w:rPr>
        <w:fldChar w:fldCharType="end"/>
      </w:r>
      <w:bookmarkEnd w:id="15"/>
      <w:bookmarkEnd w:id="16"/>
      <w:bookmarkEnd w:id="17"/>
      <w:bookmarkStart w:id="18" w:name="_Toc229207510"/>
      <w:bookmarkStart w:id="19" w:name="_Toc15781"/>
      <w:bookmarkStart w:id="20" w:name="_Toc203294633"/>
      <w:bookmarkStart w:id="21" w:name="_Toc229219549"/>
      <w:r>
        <w:rPr>
          <w:rFonts w:ascii="宋体" w:hAnsi="宋体"/>
          <w:bCs w:val="0"/>
          <w:smallCaps/>
          <w:szCs w:val="24"/>
        </w:rPr>
        <w:br w:type="page"/>
      </w:r>
      <w:r>
        <w:rPr>
          <w:rFonts w:hint="eastAsia" w:ascii="宋体" w:hAnsi="宋体"/>
          <w:spacing w:val="26"/>
          <w:sz w:val="36"/>
          <w:szCs w:val="36"/>
        </w:rPr>
        <w:t>一</w:t>
      </w:r>
      <w:r>
        <w:rPr>
          <w:rFonts w:ascii="宋体" w:hAnsi="宋体"/>
          <w:spacing w:val="26"/>
          <w:sz w:val="36"/>
          <w:szCs w:val="36"/>
        </w:rPr>
        <w:t>、注册房地产估价师声明</w:t>
      </w:r>
      <w:bookmarkEnd w:id="18"/>
      <w:bookmarkEnd w:id="19"/>
      <w:bookmarkEnd w:id="20"/>
      <w:bookmarkEnd w:id="21"/>
    </w:p>
    <w:p>
      <w:pPr>
        <w:spacing w:line="384" w:lineRule="auto"/>
        <w:jc w:val="both"/>
        <w:rPr>
          <w:rFonts w:ascii="宋体" w:hAnsi="宋体"/>
          <w:b/>
          <w:spacing w:val="20"/>
          <w:sz w:val="24"/>
        </w:rPr>
      </w:pPr>
      <w:r>
        <w:rPr>
          <w:rFonts w:ascii="宋体" w:hAnsi="宋体"/>
          <w:b/>
          <w:spacing w:val="20"/>
          <w:sz w:val="24"/>
        </w:rPr>
        <w:t>我们郑重声明：</w:t>
      </w:r>
    </w:p>
    <w:p>
      <w:pPr>
        <w:spacing w:line="384" w:lineRule="auto"/>
        <w:ind w:firstLine="560" w:firstLineChars="200"/>
        <w:jc w:val="both"/>
        <w:rPr>
          <w:rFonts w:ascii="宋体" w:hAnsi="宋体"/>
          <w:spacing w:val="20"/>
          <w:sz w:val="24"/>
        </w:rPr>
      </w:pPr>
      <w:r>
        <w:rPr>
          <w:rFonts w:hint="eastAsia" w:ascii="宋体" w:hAnsi="宋体"/>
          <w:spacing w:val="20"/>
          <w:sz w:val="24"/>
        </w:rPr>
        <w:t>1.我们在本估价报告中对事实的说明是真实和准确的，没有虚假记载、误导性陈述和重大遗漏。</w:t>
      </w:r>
    </w:p>
    <w:p>
      <w:pPr>
        <w:spacing w:line="384" w:lineRule="auto"/>
        <w:ind w:firstLine="560" w:firstLineChars="200"/>
        <w:jc w:val="both"/>
        <w:rPr>
          <w:rFonts w:ascii="宋体" w:hAnsi="宋体"/>
          <w:spacing w:val="20"/>
          <w:sz w:val="24"/>
        </w:rPr>
      </w:pPr>
      <w:r>
        <w:rPr>
          <w:rFonts w:hint="eastAsia" w:ascii="宋体" w:hAnsi="宋体"/>
          <w:spacing w:val="20"/>
          <w:sz w:val="24"/>
        </w:rPr>
        <w:t>2.本估价报告中的分析、意见和结论是我们独立、客观、公正的专业分析、意见和结论，但受到本估价报告中已说明的估价假设和限制条件的限制。</w:t>
      </w:r>
    </w:p>
    <w:p>
      <w:pPr>
        <w:spacing w:line="384" w:lineRule="auto"/>
        <w:ind w:firstLine="560" w:firstLineChars="200"/>
        <w:jc w:val="both"/>
        <w:rPr>
          <w:rFonts w:ascii="宋体" w:hAnsi="宋体"/>
          <w:spacing w:val="20"/>
          <w:sz w:val="24"/>
        </w:rPr>
      </w:pPr>
      <w:r>
        <w:rPr>
          <w:rFonts w:hint="eastAsia" w:ascii="宋体" w:hAnsi="宋体"/>
          <w:spacing w:val="20"/>
          <w:sz w:val="24"/>
        </w:rPr>
        <w:t>3.我们与估价报告中的估价对象没有现实或潜在的利益，与估价委托人及估价利害关系人没有利害关系，也对估价对象、估价委托人及估价利害关系人没有偏见。</w:t>
      </w:r>
    </w:p>
    <w:p>
      <w:pPr>
        <w:spacing w:line="384" w:lineRule="auto"/>
        <w:ind w:firstLine="560" w:firstLineChars="200"/>
        <w:jc w:val="both"/>
        <w:rPr>
          <w:rFonts w:ascii="宋体" w:hAnsi="宋体"/>
          <w:spacing w:val="20"/>
          <w:sz w:val="24"/>
        </w:rPr>
      </w:pPr>
      <w:r>
        <w:rPr>
          <w:rFonts w:hint="eastAsia" w:ascii="宋体" w:hAnsi="宋体"/>
          <w:spacing w:val="20"/>
          <w:sz w:val="24"/>
        </w:rPr>
        <w:t>4.我们按照国家标准《房地产估价规范》（GB/T50291-2015）、《房地产估价基本术语标准》(GB/T50899-2013)进行分析，形成意见和结论，撰写估价报告。</w:t>
      </w:r>
    </w:p>
    <w:p>
      <w:pPr>
        <w:spacing w:line="384" w:lineRule="auto"/>
        <w:ind w:firstLine="560" w:firstLineChars="200"/>
        <w:jc w:val="both"/>
        <w:rPr>
          <w:rFonts w:ascii="宋体" w:hAnsi="宋体"/>
          <w:spacing w:val="20"/>
          <w:sz w:val="24"/>
        </w:rPr>
      </w:pPr>
      <w:r>
        <w:rPr>
          <w:rFonts w:ascii="宋体" w:hAnsi="宋体"/>
          <w:spacing w:val="20"/>
          <w:sz w:val="24"/>
        </w:rPr>
        <w:t>5.</w:t>
      </w:r>
      <w:r>
        <w:rPr>
          <w:rFonts w:hint="eastAsia" w:ascii="宋体" w:hAnsi="宋体"/>
          <w:spacing w:val="20"/>
          <w:sz w:val="24"/>
        </w:rPr>
        <w:t>我们估价人员已于</w:t>
      </w:r>
      <w:bookmarkStart w:id="22" w:name="附9"/>
      <w:r>
        <w:rPr>
          <w:rFonts w:hint="eastAsia" w:ascii="宋体" w:hAnsi="宋体"/>
          <w:spacing w:val="20"/>
          <w:sz w:val="24"/>
          <w:lang w:eastAsia="zh-CN"/>
        </w:rPr>
        <w:t>2022年5月6日</w:t>
      </w:r>
      <w:r>
        <w:rPr>
          <w:rFonts w:hint="eastAsia" w:ascii="宋体" w:hAnsi="宋体"/>
          <w:spacing w:val="20"/>
          <w:sz w:val="24"/>
        </w:rPr>
        <w:t>对</w:t>
      </w:r>
      <w:bookmarkEnd w:id="22"/>
      <w:r>
        <w:rPr>
          <w:rFonts w:hint="eastAsia" w:ascii="宋体" w:hAnsi="宋体"/>
          <w:spacing w:val="20"/>
          <w:sz w:val="24"/>
        </w:rPr>
        <w:t>本估价报告中的估价对象进行了实地查勘，估价人员对估价对象的查勘限于估价对象的外观和使用状况，估价人员不承担对估价对象建筑结构、设施质量进行调查的责任，也不承担对其他被遮掩未暴露及难以接触的部分进行勘查的责任。</w:t>
      </w:r>
    </w:p>
    <w:p>
      <w:pPr>
        <w:spacing w:line="384" w:lineRule="auto"/>
        <w:ind w:firstLine="560" w:firstLineChars="200"/>
        <w:jc w:val="both"/>
        <w:rPr>
          <w:rFonts w:ascii="宋体" w:hAnsi="宋体"/>
          <w:spacing w:val="20"/>
          <w:sz w:val="24"/>
        </w:rPr>
      </w:pPr>
      <w:r>
        <w:rPr>
          <w:rFonts w:ascii="宋体" w:hAnsi="宋体"/>
          <w:spacing w:val="20"/>
          <w:sz w:val="24"/>
        </w:rPr>
        <w:t>6.</w:t>
      </w:r>
      <w:r>
        <w:rPr>
          <w:rFonts w:hint="eastAsia" w:ascii="宋体" w:hAnsi="宋体"/>
          <w:spacing w:val="20"/>
          <w:sz w:val="24"/>
        </w:rPr>
        <w:t>没有人对本估价报告提供重要专业帮助。</w:t>
      </w:r>
    </w:p>
    <w:p>
      <w:pPr>
        <w:spacing w:line="384" w:lineRule="auto"/>
        <w:ind w:firstLine="560" w:firstLineChars="200"/>
        <w:jc w:val="both"/>
        <w:rPr>
          <w:rFonts w:ascii="宋体" w:hAnsi="宋体"/>
          <w:spacing w:val="20"/>
          <w:sz w:val="24"/>
        </w:rPr>
      </w:pPr>
      <w:r>
        <w:rPr>
          <w:rFonts w:ascii="宋体" w:hAnsi="宋体"/>
          <w:spacing w:val="20"/>
          <w:sz w:val="24"/>
        </w:rPr>
        <w:t>7.本报告估价结果仅作为委托人在本次估价目的下使用，不得做其他用途。未经本估价机构书面同意，本报告的主部或任何一部分均不得向委托人、报告使用者、报告审查部门以外的单位和个人提供，也不得以任何书面形式发表。</w:t>
      </w:r>
    </w:p>
    <w:p>
      <w:pPr>
        <w:spacing w:line="384" w:lineRule="auto"/>
        <w:ind w:firstLine="560" w:firstLineChars="200"/>
        <w:jc w:val="both"/>
        <w:rPr>
          <w:rFonts w:ascii="宋体" w:hAnsi="宋体"/>
          <w:spacing w:val="20"/>
          <w:sz w:val="24"/>
        </w:rPr>
      </w:pPr>
      <w:r>
        <w:rPr>
          <w:rFonts w:ascii="宋体" w:hAnsi="宋体"/>
          <w:spacing w:val="20"/>
          <w:sz w:val="24"/>
        </w:rPr>
        <w:t>8.本估价报告由广东腾业资产评估及土地房地产估价有限公司负责解释</w:t>
      </w:r>
      <w:r>
        <w:rPr>
          <w:rFonts w:hint="eastAsia" w:ascii="宋体" w:hAnsi="宋体"/>
          <w:spacing w:val="20"/>
          <w:sz w:val="24"/>
        </w:rPr>
        <w:t>。</w:t>
      </w:r>
    </w:p>
    <w:p>
      <w:pPr>
        <w:spacing w:line="384" w:lineRule="auto"/>
        <w:ind w:firstLine="640" w:firstLineChars="200"/>
        <w:jc w:val="both"/>
        <w:rPr>
          <w:rFonts w:ascii="宋体" w:hAnsi="宋体"/>
          <w:spacing w:val="20"/>
          <w:sz w:val="28"/>
          <w:szCs w:val="28"/>
        </w:rPr>
      </w:pPr>
    </w:p>
    <w:p>
      <w:pPr>
        <w:pStyle w:val="2"/>
        <w:spacing w:before="0" w:after="0" w:line="384" w:lineRule="auto"/>
        <w:jc w:val="center"/>
        <w:rPr>
          <w:rFonts w:ascii="宋体" w:hAnsi="宋体"/>
          <w:spacing w:val="26"/>
          <w:sz w:val="36"/>
          <w:szCs w:val="36"/>
        </w:rPr>
      </w:pPr>
      <w:bookmarkStart w:id="23" w:name="_Toc229207511"/>
      <w:bookmarkStart w:id="24" w:name="_Toc203294634"/>
      <w:bookmarkStart w:id="25" w:name="_Toc229219550"/>
      <w:r>
        <w:rPr>
          <w:rFonts w:ascii="宋体" w:hAnsi="宋体"/>
          <w:spacing w:val="26"/>
          <w:sz w:val="36"/>
          <w:szCs w:val="36"/>
        </w:rPr>
        <w:br w:type="page"/>
      </w:r>
      <w:bookmarkStart w:id="26" w:name="_Toc16427"/>
      <w:r>
        <w:rPr>
          <w:rFonts w:hint="eastAsia" w:ascii="宋体" w:hAnsi="宋体"/>
          <w:spacing w:val="26"/>
          <w:sz w:val="36"/>
          <w:szCs w:val="36"/>
        </w:rPr>
        <w:t>二</w:t>
      </w:r>
      <w:r>
        <w:rPr>
          <w:rFonts w:ascii="宋体" w:hAnsi="宋体"/>
          <w:spacing w:val="26"/>
          <w:sz w:val="36"/>
          <w:szCs w:val="36"/>
        </w:rPr>
        <w:t>、估价假设和限制条件</w:t>
      </w:r>
      <w:bookmarkEnd w:id="23"/>
      <w:bookmarkEnd w:id="24"/>
      <w:bookmarkEnd w:id="25"/>
      <w:bookmarkEnd w:id="26"/>
    </w:p>
    <w:p>
      <w:pPr>
        <w:spacing w:line="384" w:lineRule="auto"/>
        <w:ind w:firstLine="562" w:firstLineChars="200"/>
        <w:jc w:val="both"/>
        <w:rPr>
          <w:rFonts w:ascii="宋体" w:hAnsi="宋体"/>
          <w:b/>
          <w:bCs/>
          <w:spacing w:val="20"/>
          <w:sz w:val="24"/>
        </w:rPr>
      </w:pPr>
      <w:r>
        <w:rPr>
          <w:rFonts w:hint="eastAsia" w:ascii="宋体" w:hAnsi="宋体"/>
          <w:b/>
          <w:bCs/>
          <w:spacing w:val="20"/>
          <w:sz w:val="24"/>
        </w:rPr>
        <w:t>（一）估价假设条件</w:t>
      </w:r>
    </w:p>
    <w:p>
      <w:pPr>
        <w:spacing w:line="384" w:lineRule="auto"/>
        <w:ind w:firstLine="560" w:firstLineChars="200"/>
        <w:jc w:val="both"/>
        <w:rPr>
          <w:rFonts w:ascii="宋体" w:hAnsi="宋体"/>
          <w:bCs/>
          <w:spacing w:val="20"/>
          <w:sz w:val="24"/>
        </w:rPr>
      </w:pPr>
      <w:r>
        <w:rPr>
          <w:rFonts w:ascii="宋体" w:hAnsi="宋体"/>
          <w:bCs/>
          <w:spacing w:val="20"/>
          <w:sz w:val="24"/>
        </w:rPr>
        <w:t>1.</w:t>
      </w:r>
      <w:r>
        <w:rPr>
          <w:rFonts w:hint="eastAsia" w:ascii="宋体" w:hAnsi="宋体"/>
          <w:bCs/>
          <w:spacing w:val="20"/>
          <w:sz w:val="24"/>
        </w:rPr>
        <w:t>一般性假设</w:t>
      </w:r>
    </w:p>
    <w:p>
      <w:pPr>
        <w:spacing w:line="384" w:lineRule="auto"/>
        <w:ind w:firstLine="560" w:firstLineChars="200"/>
        <w:jc w:val="both"/>
        <w:rPr>
          <w:rFonts w:ascii="宋体" w:hAnsi="宋体"/>
          <w:bCs/>
          <w:spacing w:val="20"/>
          <w:sz w:val="24"/>
        </w:rPr>
      </w:pPr>
      <w:r>
        <w:rPr>
          <w:rFonts w:ascii="宋体" w:hAnsi="宋体"/>
          <w:bCs/>
          <w:spacing w:val="20"/>
          <w:sz w:val="24"/>
        </w:rPr>
        <w:t>1</w:t>
      </w:r>
      <w:r>
        <w:rPr>
          <w:rFonts w:hint="eastAsia" w:ascii="宋体" w:hAnsi="宋体"/>
          <w:bCs/>
          <w:spacing w:val="20"/>
          <w:sz w:val="24"/>
        </w:rPr>
        <w:t>）本报告评估价值除以下载明的内容以外，以估价对象产权完整，概不附带任何可影响价值之牵连、限制及开销，未受他项权利约束，可在公开市场上自由交易为估价的假设前提。</w:t>
      </w:r>
    </w:p>
    <w:p>
      <w:pPr>
        <w:spacing w:line="384" w:lineRule="auto"/>
        <w:ind w:firstLine="560" w:firstLineChars="200"/>
        <w:jc w:val="both"/>
        <w:rPr>
          <w:rFonts w:ascii="宋体" w:hAnsi="宋体"/>
          <w:bCs/>
          <w:spacing w:val="20"/>
          <w:sz w:val="24"/>
        </w:rPr>
      </w:pPr>
      <w:r>
        <w:rPr>
          <w:rFonts w:ascii="宋体" w:hAnsi="宋体"/>
          <w:bCs/>
          <w:spacing w:val="20"/>
          <w:sz w:val="24"/>
        </w:rPr>
        <w:t>2</w:t>
      </w:r>
      <w:r>
        <w:rPr>
          <w:rFonts w:hint="eastAsia" w:ascii="宋体" w:hAnsi="宋体"/>
          <w:bCs/>
          <w:spacing w:val="20"/>
          <w:sz w:val="24"/>
        </w:rPr>
        <w:t>）关于价值标准的假设前提：本报告采用市场价值标准。市场价值是指估价对象经适当营销后，由熟悉情况、谨慎行事且不受强迫的交易双方，以公平交易方式在价值时点自愿进行交易的金额。同时假设满足以下条件：</w:t>
      </w:r>
    </w:p>
    <w:p>
      <w:pPr>
        <w:spacing w:line="384" w:lineRule="auto"/>
        <w:ind w:firstLine="420" w:firstLineChars="150"/>
        <w:jc w:val="both"/>
        <w:rPr>
          <w:rFonts w:ascii="宋体" w:hAnsi="宋体"/>
          <w:bCs/>
          <w:spacing w:val="20"/>
          <w:sz w:val="24"/>
        </w:rPr>
      </w:pPr>
      <w:r>
        <w:rPr>
          <w:rFonts w:hint="eastAsia" w:ascii="宋体" w:hAnsi="宋体"/>
          <w:bCs/>
          <w:spacing w:val="20"/>
          <w:sz w:val="24"/>
        </w:rPr>
        <w:t>（1）房地产市场状况是公开、平等、自愿的交易市场；</w:t>
      </w:r>
    </w:p>
    <w:p>
      <w:pPr>
        <w:spacing w:line="384" w:lineRule="auto"/>
        <w:ind w:firstLine="420" w:firstLineChars="150"/>
        <w:jc w:val="both"/>
        <w:rPr>
          <w:rFonts w:ascii="宋体" w:hAnsi="宋体"/>
          <w:bCs/>
          <w:spacing w:val="20"/>
          <w:sz w:val="24"/>
        </w:rPr>
      </w:pPr>
      <w:r>
        <w:rPr>
          <w:rFonts w:hint="eastAsia" w:ascii="宋体" w:hAnsi="宋体"/>
          <w:bCs/>
          <w:spacing w:val="20"/>
          <w:sz w:val="24"/>
        </w:rPr>
        <w:t>（2）买卖双方有一段合理的洽谈交易时间，可以通盘考虑估价对象性质和市场情形进行议价；</w:t>
      </w:r>
    </w:p>
    <w:p>
      <w:pPr>
        <w:spacing w:line="384" w:lineRule="auto"/>
        <w:ind w:firstLine="420" w:firstLineChars="150"/>
        <w:jc w:val="both"/>
        <w:rPr>
          <w:rFonts w:ascii="宋体" w:hAnsi="宋体"/>
          <w:bCs/>
          <w:spacing w:val="20"/>
          <w:sz w:val="24"/>
        </w:rPr>
      </w:pPr>
      <w:r>
        <w:rPr>
          <w:rFonts w:hint="eastAsia" w:ascii="宋体" w:hAnsi="宋体"/>
          <w:bCs/>
          <w:spacing w:val="20"/>
          <w:sz w:val="24"/>
        </w:rPr>
        <w:t>（3）在估价有效期内房地产市场保持稳定；</w:t>
      </w:r>
    </w:p>
    <w:p>
      <w:pPr>
        <w:spacing w:line="384" w:lineRule="auto"/>
        <w:ind w:firstLine="420" w:firstLineChars="150"/>
        <w:jc w:val="both"/>
        <w:rPr>
          <w:rFonts w:ascii="宋体" w:hAnsi="宋体"/>
          <w:bCs/>
          <w:spacing w:val="20"/>
          <w:sz w:val="24"/>
        </w:rPr>
      </w:pPr>
      <w:r>
        <w:rPr>
          <w:rFonts w:hint="eastAsia" w:ascii="宋体" w:hAnsi="宋体"/>
          <w:bCs/>
          <w:spacing w:val="20"/>
          <w:sz w:val="24"/>
        </w:rPr>
        <w:t>（4）买卖双方不因任何特殊利益关系抬高或降低房地产交易价值；</w:t>
      </w:r>
    </w:p>
    <w:p>
      <w:pPr>
        <w:spacing w:line="384" w:lineRule="auto"/>
        <w:ind w:firstLine="420" w:firstLineChars="150"/>
        <w:jc w:val="both"/>
        <w:rPr>
          <w:rFonts w:ascii="宋体" w:hAnsi="宋体"/>
          <w:bCs/>
          <w:spacing w:val="20"/>
          <w:sz w:val="24"/>
        </w:rPr>
      </w:pPr>
      <w:r>
        <w:rPr>
          <w:rFonts w:hint="eastAsia" w:ascii="宋体" w:hAnsi="宋体"/>
          <w:bCs/>
          <w:spacing w:val="20"/>
          <w:sz w:val="24"/>
        </w:rPr>
        <w:t>（5）不考虑特殊买家的额外出价；</w:t>
      </w:r>
    </w:p>
    <w:p>
      <w:pPr>
        <w:spacing w:line="384" w:lineRule="auto"/>
        <w:ind w:firstLine="420" w:firstLineChars="150"/>
        <w:jc w:val="both"/>
        <w:rPr>
          <w:rFonts w:ascii="宋体" w:hAnsi="宋体"/>
          <w:bCs/>
          <w:spacing w:val="20"/>
          <w:sz w:val="24"/>
        </w:rPr>
      </w:pPr>
      <w:r>
        <w:rPr>
          <w:rFonts w:hint="eastAsia" w:ascii="宋体" w:hAnsi="宋体"/>
          <w:bCs/>
          <w:spacing w:val="20"/>
          <w:sz w:val="24"/>
        </w:rPr>
        <w:t>（6）估价不考虑未来不可预测、不可抗力或偶尔事件因素的影响。</w:t>
      </w:r>
    </w:p>
    <w:p>
      <w:pPr>
        <w:spacing w:line="384" w:lineRule="auto"/>
        <w:ind w:firstLine="560" w:firstLineChars="200"/>
        <w:jc w:val="both"/>
        <w:rPr>
          <w:rFonts w:ascii="宋体" w:hAnsi="宋体"/>
          <w:bCs/>
          <w:spacing w:val="20"/>
          <w:sz w:val="24"/>
        </w:rPr>
      </w:pPr>
      <w:r>
        <w:rPr>
          <w:rFonts w:ascii="宋体" w:hAnsi="宋体"/>
          <w:bCs/>
          <w:spacing w:val="20"/>
          <w:sz w:val="24"/>
        </w:rPr>
        <w:t>3）</w:t>
      </w:r>
      <w:r>
        <w:rPr>
          <w:rFonts w:hint="eastAsia" w:ascii="宋体" w:hAnsi="宋体"/>
          <w:bCs/>
          <w:spacing w:val="20"/>
          <w:sz w:val="24"/>
        </w:rPr>
        <w:t>关于估价对象的假设前提：</w:t>
      </w:r>
    </w:p>
    <w:p>
      <w:pPr>
        <w:spacing w:line="384" w:lineRule="auto"/>
        <w:ind w:firstLine="420" w:firstLineChars="150"/>
        <w:jc w:val="both"/>
        <w:rPr>
          <w:rFonts w:ascii="宋体" w:hAnsi="宋体"/>
          <w:bCs/>
          <w:spacing w:val="20"/>
          <w:sz w:val="24"/>
        </w:rPr>
      </w:pPr>
      <w:r>
        <w:rPr>
          <w:rFonts w:hint="eastAsia" w:ascii="宋体" w:hAnsi="宋体"/>
          <w:bCs/>
          <w:spacing w:val="20"/>
          <w:sz w:val="24"/>
        </w:rPr>
        <w:t>（1）估价对象的土地面积及建筑面积以委托人提供的</w:t>
      </w:r>
      <w:bookmarkStart w:id="27" w:name="附10"/>
      <w:r>
        <w:rPr>
          <w:rFonts w:hint="eastAsia" w:ascii="宋体" w:hAnsi="宋体"/>
          <w:bCs/>
          <w:spacing w:val="20"/>
          <w:sz w:val="24"/>
        </w:rPr>
        <w:t>《不动产登记资料查询答复书》等</w:t>
      </w:r>
      <w:bookmarkEnd w:id="27"/>
      <w:r>
        <w:rPr>
          <w:rFonts w:hint="eastAsia" w:ascii="宋体" w:hAnsi="宋体"/>
          <w:bCs/>
          <w:spacing w:val="20"/>
          <w:sz w:val="24"/>
        </w:rPr>
        <w:t>复印件为依据，我们并未进行实地丈量。</w:t>
      </w:r>
    </w:p>
    <w:p>
      <w:pPr>
        <w:spacing w:line="384" w:lineRule="auto"/>
        <w:ind w:firstLine="560" w:firstLineChars="200"/>
        <w:jc w:val="both"/>
        <w:rPr>
          <w:rFonts w:ascii="宋体" w:hAnsi="宋体"/>
          <w:bCs/>
          <w:spacing w:val="20"/>
          <w:sz w:val="24"/>
        </w:rPr>
      </w:pPr>
      <w:r>
        <w:rPr>
          <w:rFonts w:hint="eastAsia" w:ascii="宋体" w:hAnsi="宋体"/>
          <w:bCs/>
          <w:spacing w:val="20"/>
          <w:sz w:val="24"/>
        </w:rPr>
        <w:t>（2）估价人员实地查勘时确认，估价对象的实际用途与权属证明上的用途一致，本次评估假设按权属证明上的用途进行评估。</w:t>
      </w:r>
    </w:p>
    <w:p>
      <w:pPr>
        <w:spacing w:line="384" w:lineRule="auto"/>
        <w:ind w:firstLine="560" w:firstLineChars="200"/>
        <w:jc w:val="both"/>
        <w:rPr>
          <w:rFonts w:ascii="宋体" w:hAnsi="宋体"/>
          <w:bCs/>
          <w:spacing w:val="20"/>
          <w:sz w:val="24"/>
        </w:rPr>
      </w:pPr>
      <w:r>
        <w:rPr>
          <w:rFonts w:hint="eastAsia" w:ascii="宋体" w:hAnsi="宋体"/>
          <w:bCs/>
          <w:spacing w:val="20"/>
          <w:sz w:val="24"/>
        </w:rPr>
        <w:t>（3</w:t>
      </w:r>
      <w:r>
        <w:rPr>
          <w:rFonts w:ascii="宋体" w:hAnsi="宋体"/>
          <w:bCs/>
          <w:spacing w:val="20"/>
          <w:sz w:val="24"/>
        </w:rPr>
        <w:t>）</w:t>
      </w:r>
      <w:r>
        <w:rPr>
          <w:rFonts w:hint="eastAsia" w:ascii="宋体" w:hAnsi="宋体"/>
          <w:bCs/>
          <w:spacing w:val="20"/>
          <w:sz w:val="24"/>
        </w:rPr>
        <w:t>本估价报告中房地产估价所必需的情况和资料由估价委托人提供，估价师已对委托人提供的资料履行了必要的审核程序，但不对估价委托人提供的资料的真实性、合法性和完整性进行保证，其提供的资料的真实性、合法性和完整性、准确性由估价委托人负责。如委托人提供的资料数据缺乏合法性、真实性和完整性、准确性或估价委托人对估价对象有隐瞒重大问题和事实，我公司不承担由此带来的任何评估风险和责任。</w:t>
      </w:r>
    </w:p>
    <w:p>
      <w:pPr>
        <w:spacing w:line="384" w:lineRule="auto"/>
        <w:ind w:firstLine="560" w:firstLineChars="200"/>
        <w:jc w:val="both"/>
        <w:rPr>
          <w:rFonts w:ascii="宋体" w:hAnsi="宋体"/>
          <w:bCs/>
          <w:spacing w:val="20"/>
          <w:sz w:val="24"/>
        </w:rPr>
      </w:pPr>
      <w:r>
        <w:rPr>
          <w:rFonts w:hint="eastAsia" w:ascii="宋体" w:hAnsi="宋体"/>
          <w:bCs/>
          <w:spacing w:val="20"/>
          <w:sz w:val="24"/>
        </w:rPr>
        <w:t>（</w:t>
      </w:r>
      <w:r>
        <w:rPr>
          <w:rFonts w:ascii="宋体" w:hAnsi="宋体"/>
          <w:bCs/>
          <w:spacing w:val="20"/>
          <w:sz w:val="24"/>
        </w:rPr>
        <w:t>4</w:t>
      </w:r>
      <w:r>
        <w:rPr>
          <w:rFonts w:hint="eastAsia" w:ascii="宋体" w:hAnsi="宋体"/>
          <w:bCs/>
          <w:spacing w:val="20"/>
          <w:sz w:val="24"/>
        </w:rPr>
        <w:t>）估价人员对估价对象的查看，仅限于估价对象的外观与目前维护使用状况，我们不承担对估价对象建筑结构质量、建筑面积数量准确性和相应权益的责任，也不承担其他被遮盖，未暴露及难于接触到的部分进行检视的责任，我们不承担对建筑物结构质量进行调查的责任。本次评估假设估价对象的建筑质量是合格的、房屋是安全的、没有环境污染问题的前提下的评估结论。</w:t>
      </w:r>
    </w:p>
    <w:p>
      <w:pPr>
        <w:spacing w:line="384" w:lineRule="auto"/>
        <w:ind w:firstLine="560" w:firstLineChars="200"/>
        <w:jc w:val="both"/>
        <w:rPr>
          <w:rFonts w:ascii="宋体" w:hAnsi="宋体"/>
          <w:bCs/>
          <w:spacing w:val="20"/>
          <w:sz w:val="24"/>
        </w:rPr>
      </w:pPr>
      <w:r>
        <w:rPr>
          <w:rFonts w:hint="eastAsia" w:ascii="宋体" w:hAnsi="宋体"/>
          <w:bCs/>
          <w:spacing w:val="20"/>
          <w:sz w:val="24"/>
        </w:rPr>
        <w:t>（</w:t>
      </w:r>
      <w:r>
        <w:rPr>
          <w:rFonts w:ascii="宋体" w:hAnsi="宋体"/>
          <w:bCs/>
          <w:spacing w:val="20"/>
          <w:sz w:val="24"/>
        </w:rPr>
        <w:t>5</w:t>
      </w:r>
      <w:r>
        <w:rPr>
          <w:rFonts w:hint="eastAsia" w:ascii="宋体" w:hAnsi="宋体"/>
          <w:bCs/>
          <w:spacing w:val="20"/>
          <w:sz w:val="24"/>
        </w:rPr>
        <w:t>）假定所有权人是在公开市场上出售该房地产，且不包括所有权人凭借递延条件、售后返租、合作经营、管理协议等附加条件以抬高房地产权益价值的情况。</w:t>
      </w:r>
    </w:p>
    <w:p>
      <w:pPr>
        <w:spacing w:line="384" w:lineRule="auto"/>
        <w:ind w:firstLine="560" w:firstLineChars="200"/>
        <w:jc w:val="both"/>
        <w:rPr>
          <w:rFonts w:ascii="宋体" w:hAnsi="宋体"/>
          <w:bCs/>
          <w:spacing w:val="20"/>
          <w:sz w:val="24"/>
        </w:rPr>
      </w:pPr>
      <w:r>
        <w:rPr>
          <w:rFonts w:hint="eastAsia" w:ascii="宋体" w:hAnsi="宋体"/>
          <w:bCs/>
          <w:spacing w:val="20"/>
          <w:sz w:val="24"/>
        </w:rPr>
        <w:t>（6）估价委托人未明确估价对象存在欠缴税金及相关费用，本次评估假定评估对象不存在欠缴税金及相关费用。</w:t>
      </w:r>
    </w:p>
    <w:p>
      <w:pPr>
        <w:spacing w:line="384" w:lineRule="auto"/>
        <w:ind w:firstLine="560" w:firstLineChars="200"/>
        <w:jc w:val="both"/>
        <w:rPr>
          <w:rFonts w:ascii="宋体" w:hAnsi="宋体"/>
          <w:bCs/>
          <w:spacing w:val="20"/>
          <w:sz w:val="24"/>
        </w:rPr>
      </w:pPr>
      <w:r>
        <w:rPr>
          <w:rFonts w:hint="eastAsia" w:ascii="宋体" w:hAnsi="宋体"/>
          <w:bCs/>
          <w:spacing w:val="20"/>
          <w:sz w:val="24"/>
        </w:rPr>
        <w:t>（7）假定该房地产权益未附带可能影响其价值的他项权利及限制。</w:t>
      </w:r>
    </w:p>
    <w:p>
      <w:pPr>
        <w:spacing w:line="384" w:lineRule="auto"/>
        <w:ind w:firstLine="560" w:firstLineChars="200"/>
        <w:jc w:val="both"/>
        <w:rPr>
          <w:rFonts w:ascii="宋体" w:hAnsi="宋体"/>
          <w:bCs/>
          <w:spacing w:val="20"/>
          <w:sz w:val="24"/>
        </w:rPr>
      </w:pPr>
      <w:r>
        <w:rPr>
          <w:rFonts w:ascii="宋体" w:hAnsi="宋体"/>
          <w:bCs/>
          <w:spacing w:val="20"/>
          <w:sz w:val="24"/>
        </w:rPr>
        <w:t>2.</w:t>
      </w:r>
      <w:r>
        <w:rPr>
          <w:rFonts w:hint="eastAsia" w:ascii="宋体" w:hAnsi="宋体"/>
          <w:bCs/>
          <w:spacing w:val="20"/>
          <w:sz w:val="24"/>
        </w:rPr>
        <w:t>未定事项假设</w:t>
      </w:r>
    </w:p>
    <w:p>
      <w:pPr>
        <w:spacing w:line="384" w:lineRule="auto"/>
        <w:ind w:firstLine="560" w:firstLineChars="200"/>
        <w:jc w:val="both"/>
        <w:rPr>
          <w:rFonts w:ascii="宋体" w:hAnsi="宋体"/>
          <w:bCs/>
          <w:spacing w:val="20"/>
          <w:sz w:val="24"/>
        </w:rPr>
      </w:pPr>
      <w:r>
        <w:rPr>
          <w:rFonts w:hint="eastAsia" w:ascii="宋体" w:hAnsi="宋体"/>
          <w:bCs/>
          <w:spacing w:val="20"/>
          <w:sz w:val="24"/>
        </w:rPr>
        <w:t>估价对象不存在未定事项情况，故本估价报告没有未定事项假设。</w:t>
      </w:r>
    </w:p>
    <w:p>
      <w:pPr>
        <w:spacing w:line="384" w:lineRule="auto"/>
        <w:ind w:firstLine="560" w:firstLineChars="200"/>
        <w:jc w:val="both"/>
        <w:rPr>
          <w:rFonts w:ascii="宋体" w:hAnsi="宋体"/>
          <w:bCs/>
          <w:spacing w:val="20"/>
          <w:sz w:val="24"/>
        </w:rPr>
      </w:pPr>
      <w:r>
        <w:rPr>
          <w:rFonts w:ascii="宋体" w:hAnsi="宋体"/>
          <w:bCs/>
          <w:spacing w:val="20"/>
          <w:sz w:val="24"/>
        </w:rPr>
        <w:t>3.</w:t>
      </w:r>
      <w:r>
        <w:rPr>
          <w:rFonts w:hint="eastAsia" w:ascii="宋体" w:hAnsi="宋体"/>
          <w:bCs/>
          <w:spacing w:val="20"/>
          <w:sz w:val="24"/>
        </w:rPr>
        <w:t>背离事实假设</w:t>
      </w:r>
    </w:p>
    <w:p>
      <w:pPr>
        <w:spacing w:line="384" w:lineRule="auto"/>
        <w:ind w:firstLine="560" w:firstLineChars="200"/>
        <w:jc w:val="both"/>
        <w:rPr>
          <w:rFonts w:ascii="宋体" w:hAnsi="宋体"/>
          <w:bCs/>
          <w:spacing w:val="20"/>
          <w:sz w:val="24"/>
        </w:rPr>
      </w:pPr>
      <w:r>
        <w:rPr>
          <w:rFonts w:hint="eastAsia" w:ascii="宋体" w:hAnsi="宋体"/>
          <w:bCs/>
          <w:spacing w:val="20"/>
          <w:sz w:val="24"/>
        </w:rPr>
        <w:t>委托人提供的《不动产登记资料查询答复书》复印件记载，估价对象已抵押和已被查封。因涉执房地产处置司法评估结果不应当考虑评估对象被查封以及原有的担保物权和其他优先受偿权的影响，故本次评估不考虑估价对象已有抵押、查封等因素的影响。</w:t>
      </w:r>
    </w:p>
    <w:p>
      <w:pPr>
        <w:spacing w:line="384" w:lineRule="auto"/>
        <w:ind w:firstLine="560" w:firstLineChars="200"/>
        <w:jc w:val="both"/>
        <w:rPr>
          <w:rFonts w:ascii="宋体" w:hAnsi="宋体"/>
          <w:bCs/>
          <w:spacing w:val="20"/>
          <w:sz w:val="24"/>
        </w:rPr>
      </w:pPr>
      <w:r>
        <w:rPr>
          <w:rFonts w:ascii="宋体" w:hAnsi="宋体"/>
          <w:bCs/>
          <w:spacing w:val="20"/>
          <w:sz w:val="24"/>
        </w:rPr>
        <w:t>4.</w:t>
      </w:r>
      <w:r>
        <w:rPr>
          <w:rFonts w:hint="eastAsia" w:ascii="宋体" w:hAnsi="宋体"/>
          <w:bCs/>
          <w:spacing w:val="20"/>
          <w:sz w:val="24"/>
        </w:rPr>
        <w:t>不相一致假设</w:t>
      </w:r>
    </w:p>
    <w:p>
      <w:pPr>
        <w:spacing w:line="384" w:lineRule="auto"/>
        <w:ind w:firstLine="560" w:firstLineChars="200"/>
        <w:jc w:val="both"/>
        <w:rPr>
          <w:rFonts w:ascii="宋体" w:hAnsi="宋体"/>
          <w:bCs/>
          <w:spacing w:val="20"/>
          <w:sz w:val="24"/>
        </w:rPr>
      </w:pPr>
      <w:r>
        <w:rPr>
          <w:rFonts w:hint="eastAsia" w:ascii="宋体" w:hAnsi="宋体"/>
          <w:bCs/>
          <w:spacing w:val="20"/>
          <w:sz w:val="24"/>
        </w:rPr>
        <w:t>估价对象不存在不相一致情况，故本估价报告没有不相一致假设</w:t>
      </w:r>
      <w:r>
        <w:rPr>
          <w:rFonts w:ascii="宋体" w:hAnsi="宋体"/>
          <w:bCs/>
          <w:spacing w:val="20"/>
          <w:sz w:val="24"/>
        </w:rPr>
        <w:t>。</w:t>
      </w:r>
    </w:p>
    <w:p>
      <w:pPr>
        <w:spacing w:line="384" w:lineRule="auto"/>
        <w:ind w:firstLine="560" w:firstLineChars="200"/>
        <w:jc w:val="both"/>
        <w:rPr>
          <w:rFonts w:ascii="宋体" w:hAnsi="宋体"/>
          <w:bCs/>
          <w:spacing w:val="20"/>
          <w:sz w:val="24"/>
        </w:rPr>
      </w:pPr>
      <w:r>
        <w:rPr>
          <w:rFonts w:ascii="宋体" w:hAnsi="宋体"/>
          <w:bCs/>
          <w:spacing w:val="20"/>
          <w:sz w:val="24"/>
        </w:rPr>
        <w:t>5.</w:t>
      </w:r>
      <w:r>
        <w:rPr>
          <w:rFonts w:hint="eastAsia" w:ascii="宋体" w:hAnsi="宋体"/>
          <w:bCs/>
          <w:spacing w:val="20"/>
          <w:sz w:val="24"/>
        </w:rPr>
        <w:t>依据不足假设及有关说明</w:t>
      </w:r>
    </w:p>
    <w:p>
      <w:pPr>
        <w:spacing w:line="384" w:lineRule="auto"/>
        <w:ind w:firstLine="560" w:firstLineChars="200"/>
        <w:jc w:val="both"/>
        <w:rPr>
          <w:rFonts w:ascii="宋体" w:hAnsi="宋体"/>
          <w:bCs/>
          <w:spacing w:val="20"/>
          <w:sz w:val="24"/>
        </w:rPr>
      </w:pPr>
      <w:r>
        <w:rPr>
          <w:rFonts w:hint="eastAsia" w:ascii="宋体" w:hAnsi="宋体"/>
          <w:bCs/>
          <w:spacing w:val="20"/>
          <w:sz w:val="24"/>
        </w:rPr>
        <w:t>（1）对租赁或租约的考虑</w:t>
      </w:r>
    </w:p>
    <w:p>
      <w:pPr>
        <w:spacing w:line="384" w:lineRule="auto"/>
        <w:ind w:firstLine="560" w:firstLineChars="200"/>
        <w:jc w:val="both"/>
        <w:rPr>
          <w:rFonts w:ascii="宋体" w:hAnsi="宋体"/>
          <w:bCs/>
          <w:spacing w:val="20"/>
          <w:sz w:val="24"/>
        </w:rPr>
      </w:pPr>
      <w:r>
        <w:rPr>
          <w:rFonts w:hint="eastAsia" w:ascii="宋体" w:hAnsi="宋体"/>
          <w:bCs/>
          <w:spacing w:val="20"/>
          <w:sz w:val="24"/>
        </w:rPr>
        <w:t>估价委托人未能提供估价对象的租赁资料，经调查了解后估价人员无法得知估价对象是否存在租赁权、用益物权及占有使用等情况，本次评估未考虑租赁或租约影响，评估价值为无租约限制价值，提请报告使用人留意。</w:t>
      </w:r>
    </w:p>
    <w:p>
      <w:pPr>
        <w:spacing w:line="384" w:lineRule="auto"/>
        <w:ind w:firstLine="560" w:firstLineChars="200"/>
        <w:jc w:val="both"/>
        <w:rPr>
          <w:rFonts w:ascii="宋体" w:hAnsi="宋体"/>
          <w:bCs/>
          <w:spacing w:val="20"/>
          <w:sz w:val="24"/>
        </w:rPr>
      </w:pPr>
      <w:r>
        <w:rPr>
          <w:rFonts w:hint="eastAsia" w:ascii="宋体" w:hAnsi="宋体"/>
          <w:bCs/>
          <w:spacing w:val="20"/>
          <w:sz w:val="24"/>
        </w:rPr>
        <w:t>（2）对缴纳有关税费的说明</w:t>
      </w:r>
    </w:p>
    <w:p>
      <w:pPr>
        <w:spacing w:line="384" w:lineRule="auto"/>
        <w:ind w:firstLine="560" w:firstLineChars="200"/>
        <w:jc w:val="both"/>
        <w:rPr>
          <w:rFonts w:ascii="宋体" w:hAnsi="宋体"/>
          <w:bCs/>
          <w:spacing w:val="20"/>
          <w:sz w:val="24"/>
        </w:rPr>
      </w:pPr>
      <w:r>
        <w:rPr>
          <w:rFonts w:hint="eastAsia" w:ascii="宋体" w:hAnsi="宋体"/>
          <w:bCs/>
          <w:spacing w:val="20"/>
          <w:sz w:val="24"/>
        </w:rPr>
        <w:t>由于委托方要求计算房地产转让过程中预计卖方应缴纳的税费，经计算，估价对象转让时卖方税费为</w:t>
      </w:r>
      <w:r>
        <w:rPr>
          <w:rFonts w:hint="eastAsia" w:ascii="宋体" w:hAnsi="宋体"/>
          <w:bCs/>
          <w:spacing w:val="20"/>
          <w:sz w:val="24"/>
          <w:lang w:eastAsia="zh-CN"/>
        </w:rPr>
        <w:t>0.88</w:t>
      </w:r>
      <w:r>
        <w:rPr>
          <w:rFonts w:hint="eastAsia" w:ascii="宋体" w:hAnsi="宋体"/>
          <w:bCs/>
          <w:spacing w:val="20"/>
          <w:sz w:val="24"/>
        </w:rPr>
        <w:t>万元；本次评估中补缴的卖方税费为我司估算结果，数值仅供参考，具体数额以税务相关部门计算为准。</w:t>
      </w:r>
    </w:p>
    <w:p>
      <w:pPr>
        <w:spacing w:line="384" w:lineRule="auto"/>
        <w:ind w:firstLine="560" w:firstLineChars="200"/>
        <w:jc w:val="both"/>
        <w:rPr>
          <w:rFonts w:ascii="宋体" w:hAnsi="宋体"/>
          <w:bCs/>
          <w:spacing w:val="20"/>
          <w:sz w:val="24"/>
        </w:rPr>
      </w:pPr>
      <w:r>
        <w:rPr>
          <w:rFonts w:hint="eastAsia" w:ascii="宋体" w:hAnsi="宋体"/>
          <w:bCs/>
          <w:spacing w:val="20"/>
          <w:sz w:val="24"/>
        </w:rPr>
        <w:t>（3）对土地使用权及土地使用年限的说明</w:t>
      </w:r>
    </w:p>
    <w:p>
      <w:pPr>
        <w:spacing w:line="384" w:lineRule="auto"/>
        <w:ind w:firstLine="560" w:firstLineChars="200"/>
        <w:jc w:val="both"/>
        <w:rPr>
          <w:rFonts w:hint="eastAsia" w:ascii="宋体" w:hAnsi="宋体"/>
          <w:bCs/>
          <w:spacing w:val="20"/>
          <w:sz w:val="24"/>
        </w:rPr>
      </w:pPr>
      <w:r>
        <w:rPr>
          <w:rFonts w:hint="eastAsia" w:ascii="宋体" w:hAnsi="宋体"/>
          <w:bCs/>
          <w:spacing w:val="20"/>
          <w:sz w:val="24"/>
        </w:rPr>
        <w:t>估价对象所占用土地已办理有偿使用手续，已缴纳土地出让金。</w:t>
      </w:r>
    </w:p>
    <w:p>
      <w:pPr>
        <w:spacing w:line="384" w:lineRule="auto"/>
        <w:ind w:firstLine="560" w:firstLineChars="200"/>
        <w:jc w:val="both"/>
        <w:rPr>
          <w:rFonts w:hint="eastAsia" w:ascii="宋体" w:hAnsi="宋体"/>
          <w:bCs/>
          <w:spacing w:val="20"/>
          <w:sz w:val="24"/>
          <w:highlight w:val="none"/>
        </w:rPr>
      </w:pPr>
      <w:r>
        <w:rPr>
          <w:rFonts w:hint="eastAsia" w:ascii="宋体" w:hAnsi="宋体"/>
          <w:bCs/>
          <w:spacing w:val="20"/>
          <w:sz w:val="24"/>
          <w:highlight w:val="none"/>
        </w:rPr>
        <w:t>（</w:t>
      </w:r>
      <w:r>
        <w:rPr>
          <w:rFonts w:hint="eastAsia" w:ascii="宋体" w:hAnsi="宋体"/>
          <w:bCs/>
          <w:spacing w:val="20"/>
          <w:sz w:val="24"/>
          <w:highlight w:val="none"/>
          <w:lang w:val="en-US" w:eastAsia="zh-CN"/>
        </w:rPr>
        <w:t>4</w:t>
      </w:r>
      <w:r>
        <w:rPr>
          <w:rFonts w:hint="eastAsia" w:ascii="宋体" w:hAnsi="宋体"/>
          <w:bCs/>
          <w:spacing w:val="20"/>
          <w:sz w:val="24"/>
          <w:highlight w:val="none"/>
        </w:rPr>
        <w:t>）对估价对象内部状况的说明</w:t>
      </w:r>
    </w:p>
    <w:p>
      <w:pPr>
        <w:spacing w:line="384" w:lineRule="auto"/>
        <w:ind w:firstLine="560" w:firstLineChars="200"/>
        <w:jc w:val="both"/>
        <w:rPr>
          <w:rFonts w:hint="eastAsia" w:ascii="宋体" w:hAnsi="宋体"/>
          <w:bCs/>
          <w:spacing w:val="20"/>
          <w:sz w:val="24"/>
          <w:highlight w:val="none"/>
        </w:rPr>
      </w:pPr>
      <w:r>
        <w:rPr>
          <w:rFonts w:hint="eastAsia" w:ascii="宋体" w:hAnsi="宋体"/>
          <w:bCs/>
          <w:spacing w:val="20"/>
          <w:sz w:val="24"/>
          <w:highlight w:val="none"/>
        </w:rPr>
        <w:t>因受条件限制，我司估价人员未能进入室内查勘，无法了解室内装修及使用状况。</w:t>
      </w:r>
      <w:r>
        <w:rPr>
          <w:rFonts w:hint="eastAsia" w:ascii="宋体" w:hAnsi="宋体"/>
          <w:bCs/>
          <w:spacing w:val="20"/>
          <w:sz w:val="24"/>
          <w:highlight w:val="none"/>
          <w:lang w:eastAsia="zh-CN"/>
        </w:rPr>
        <w:t>本次评估假设室内为普通装修进行评估</w:t>
      </w:r>
      <w:r>
        <w:rPr>
          <w:rFonts w:hint="eastAsia" w:ascii="宋体" w:hAnsi="宋体"/>
          <w:bCs/>
          <w:spacing w:val="20"/>
          <w:sz w:val="24"/>
          <w:highlight w:val="none"/>
        </w:rPr>
        <w:t>，未考虑特殊装修及其使用状况对价值的影响。</w:t>
      </w:r>
    </w:p>
    <w:p>
      <w:pPr>
        <w:spacing w:line="384" w:lineRule="auto"/>
        <w:ind w:firstLine="562" w:firstLineChars="200"/>
        <w:jc w:val="both"/>
        <w:rPr>
          <w:rFonts w:ascii="宋体" w:hAnsi="宋体"/>
          <w:b/>
          <w:bCs/>
          <w:spacing w:val="20"/>
          <w:sz w:val="24"/>
        </w:rPr>
      </w:pPr>
      <w:r>
        <w:rPr>
          <w:rFonts w:hint="eastAsia" w:ascii="宋体" w:hAnsi="宋体"/>
          <w:b/>
          <w:bCs/>
          <w:spacing w:val="20"/>
          <w:sz w:val="24"/>
        </w:rPr>
        <w:t>（二）估价报告使用限制条件：</w:t>
      </w:r>
    </w:p>
    <w:p>
      <w:pPr>
        <w:spacing w:line="384" w:lineRule="auto"/>
        <w:ind w:firstLine="560" w:firstLineChars="200"/>
        <w:jc w:val="both"/>
        <w:rPr>
          <w:rFonts w:ascii="宋体" w:hAnsi="宋体"/>
          <w:bCs/>
          <w:spacing w:val="20"/>
          <w:sz w:val="24"/>
        </w:rPr>
      </w:pPr>
      <w:r>
        <w:rPr>
          <w:rFonts w:ascii="宋体" w:hAnsi="宋体"/>
          <w:bCs/>
          <w:spacing w:val="20"/>
          <w:sz w:val="24"/>
        </w:rPr>
        <w:t>1.</w:t>
      </w:r>
      <w:r>
        <w:rPr>
          <w:rFonts w:hint="eastAsia" w:ascii="宋体" w:hAnsi="宋体"/>
          <w:bCs/>
          <w:spacing w:val="20"/>
          <w:sz w:val="24"/>
        </w:rPr>
        <w:t>本报告估价结果为估价对象在价值时点的市场价值，仅</w:t>
      </w:r>
      <w:r>
        <w:rPr>
          <w:rFonts w:hint="eastAsia" w:ascii="宋体" w:hAnsi="宋体"/>
          <w:spacing w:val="20"/>
          <w:sz w:val="24"/>
        </w:rPr>
        <w:t>为为人民法院确定财产处置参考价提供参考依据</w:t>
      </w:r>
      <w:r>
        <w:rPr>
          <w:rFonts w:hint="eastAsia" w:ascii="宋体" w:hAnsi="宋体"/>
          <w:bCs/>
          <w:spacing w:val="20"/>
          <w:sz w:val="24"/>
        </w:rPr>
        <w:t>不得用作其他用途，其他用途的运用均属无效。</w:t>
      </w:r>
      <w:r>
        <w:rPr>
          <w:rFonts w:ascii="宋体" w:hAnsi="宋体"/>
          <w:bCs/>
          <w:spacing w:val="20"/>
          <w:sz w:val="24"/>
        </w:rPr>
        <w:t>本</w:t>
      </w:r>
      <w:r>
        <w:rPr>
          <w:rFonts w:hint="eastAsia" w:ascii="宋体" w:hAnsi="宋体"/>
          <w:bCs/>
          <w:spacing w:val="20"/>
          <w:sz w:val="24"/>
        </w:rPr>
        <w:t>估价机构不承担非本估价机构对本报告书的任何部分内容进行修改的责任。</w:t>
      </w:r>
      <w:r>
        <w:rPr>
          <w:rFonts w:ascii="宋体" w:hAnsi="宋体"/>
          <w:spacing w:val="20"/>
          <w:sz w:val="24"/>
        </w:rPr>
        <w:t>未经本估价机构书面同意，本报告的主部或任何一部分均不得向委托人、报告使用者、报告审查部门以外的单位和个人提供，也不得以任何书面形式发表。</w:t>
      </w:r>
    </w:p>
    <w:p>
      <w:pPr>
        <w:spacing w:line="384" w:lineRule="auto"/>
        <w:ind w:firstLine="560" w:firstLineChars="200"/>
        <w:jc w:val="both"/>
        <w:rPr>
          <w:rFonts w:ascii="宋体" w:hAnsi="宋体"/>
          <w:bCs/>
          <w:spacing w:val="20"/>
          <w:sz w:val="24"/>
        </w:rPr>
      </w:pPr>
      <w:r>
        <w:rPr>
          <w:rFonts w:ascii="宋体" w:hAnsi="宋体"/>
          <w:bCs/>
          <w:spacing w:val="20"/>
          <w:sz w:val="24"/>
        </w:rPr>
        <w:t>2.</w:t>
      </w:r>
      <w:r>
        <w:rPr>
          <w:rFonts w:hint="eastAsia" w:ascii="宋体" w:hAnsi="宋体"/>
          <w:bCs/>
          <w:spacing w:val="20"/>
          <w:sz w:val="24"/>
        </w:rPr>
        <w:t>在市场没有发生重大变化的前提下，本报告使用有效期为一年，自报告完成之日（</w:t>
      </w:r>
      <w:bookmarkStart w:id="28" w:name="附12"/>
      <w:r>
        <w:rPr>
          <w:rFonts w:hint="eastAsia" w:ascii="宋体" w:hAnsi="宋体"/>
          <w:bCs/>
          <w:spacing w:val="20"/>
          <w:sz w:val="24"/>
          <w:lang w:eastAsia="zh-CN"/>
        </w:rPr>
        <w:t>2022年5月11日</w:t>
      </w:r>
      <w:r>
        <w:rPr>
          <w:rFonts w:hint="eastAsia" w:ascii="宋体" w:hAnsi="宋体"/>
          <w:bCs/>
          <w:spacing w:val="20"/>
          <w:sz w:val="24"/>
        </w:rPr>
        <w:t>）</w:t>
      </w:r>
      <w:bookmarkEnd w:id="28"/>
      <w:r>
        <w:rPr>
          <w:rFonts w:hint="eastAsia" w:ascii="宋体" w:hAnsi="宋体"/>
          <w:bCs/>
          <w:spacing w:val="20"/>
          <w:sz w:val="24"/>
        </w:rPr>
        <w:t>起计。如超过有效期或价值时点之后、有效期之内，估价对象或国家经济形势、城市规划、房地产税收政策等发生变化，对估价对象价值产生明显影响时，委托人应及时委托估价机构对估价结果作相应调整或重新估价。</w:t>
      </w:r>
    </w:p>
    <w:p>
      <w:pPr>
        <w:spacing w:line="384" w:lineRule="auto"/>
        <w:ind w:firstLine="560" w:firstLineChars="200"/>
        <w:jc w:val="both"/>
        <w:rPr>
          <w:rFonts w:ascii="宋体" w:hAnsi="宋体"/>
          <w:bCs/>
          <w:spacing w:val="20"/>
          <w:sz w:val="24"/>
        </w:rPr>
      </w:pPr>
      <w:r>
        <w:rPr>
          <w:rFonts w:ascii="宋体" w:hAnsi="宋体"/>
          <w:bCs/>
          <w:spacing w:val="20"/>
          <w:sz w:val="24"/>
        </w:rPr>
        <w:t>3.</w:t>
      </w:r>
      <w:r>
        <w:rPr>
          <w:rFonts w:hint="eastAsia" w:ascii="宋体" w:hAnsi="宋体"/>
          <w:bCs/>
          <w:spacing w:val="20"/>
          <w:sz w:val="24"/>
        </w:rPr>
        <w:t>本估价报告未考虑未来国家宏观经济政策发生重大变化以及出现不可预测、不可抗力或偶然事件等因素对估价对象价值的影响。在本报告有效期内，若国家宏观经济政策或房地产市场状况发生重大变化，以及遇有自然力或其他不可抗力因素，对估价对象的价值产生明显影响时，不能使用本次估价结论。</w:t>
      </w:r>
    </w:p>
    <w:p>
      <w:pPr>
        <w:spacing w:line="384" w:lineRule="auto"/>
        <w:ind w:firstLine="560" w:firstLineChars="200"/>
        <w:jc w:val="both"/>
        <w:rPr>
          <w:rFonts w:ascii="宋体" w:hAnsi="宋体"/>
          <w:bCs/>
          <w:spacing w:val="20"/>
          <w:sz w:val="24"/>
        </w:rPr>
      </w:pPr>
      <w:r>
        <w:rPr>
          <w:rFonts w:hint="eastAsia" w:ascii="宋体" w:hAnsi="宋体"/>
          <w:bCs/>
          <w:spacing w:val="20"/>
          <w:sz w:val="24"/>
        </w:rPr>
        <w:t>4．本估价报告必须完整使用方为有效，对仅使用报告中部分内容所导致可能的损失，本评估公司不承担责任。</w:t>
      </w:r>
    </w:p>
    <w:p>
      <w:pPr>
        <w:spacing w:line="384" w:lineRule="auto"/>
        <w:ind w:firstLine="560" w:firstLineChars="200"/>
        <w:jc w:val="both"/>
        <w:rPr>
          <w:rFonts w:ascii="宋体" w:hAnsi="宋体"/>
          <w:bCs/>
          <w:spacing w:val="20"/>
          <w:sz w:val="24"/>
        </w:rPr>
      </w:pPr>
      <w:r>
        <w:rPr>
          <w:rFonts w:hint="eastAsia" w:ascii="宋体" w:hAnsi="宋体"/>
          <w:bCs/>
          <w:spacing w:val="20"/>
          <w:sz w:val="24"/>
        </w:rPr>
        <w:t>5．本报告的市场价值包含独用土地的市场地价，未包含未来发生交易或转让时应缴纳的各种税费款项，亦未考虑估价对象所负欠的抵押、担保、应缴税、费、债务、法律纠纷等可能影响其评估价值的任何限制。</w:t>
      </w:r>
    </w:p>
    <w:p>
      <w:pPr>
        <w:spacing w:line="384" w:lineRule="auto"/>
        <w:ind w:firstLine="560" w:firstLineChars="200"/>
        <w:jc w:val="both"/>
        <w:rPr>
          <w:rFonts w:ascii="宋体" w:hAnsi="宋体"/>
          <w:bCs/>
          <w:spacing w:val="20"/>
          <w:sz w:val="24"/>
        </w:rPr>
      </w:pPr>
      <w:r>
        <w:rPr>
          <w:rFonts w:hint="eastAsia" w:ascii="宋体" w:hAnsi="宋体"/>
          <w:bCs/>
          <w:spacing w:val="20"/>
          <w:sz w:val="24"/>
        </w:rPr>
        <w:t>6．本估价报告中所使用的货币均为人民币。</w:t>
      </w:r>
    </w:p>
    <w:p>
      <w:pPr>
        <w:spacing w:line="384" w:lineRule="auto"/>
        <w:ind w:firstLine="560" w:firstLineChars="200"/>
        <w:jc w:val="both"/>
        <w:rPr>
          <w:rFonts w:ascii="宋体" w:hAnsi="宋体"/>
          <w:bCs/>
          <w:spacing w:val="20"/>
          <w:sz w:val="24"/>
        </w:rPr>
      </w:pPr>
      <w:r>
        <w:rPr>
          <w:rFonts w:hint="eastAsia" w:ascii="宋体" w:hAnsi="宋体"/>
          <w:bCs/>
          <w:spacing w:val="20"/>
          <w:sz w:val="24"/>
        </w:rPr>
        <w:t>7．本次评估是基于上述假设和限制条件成立的，如以上假设和限制条件发生变化，本报告结果必须作相应调整。</w:t>
      </w:r>
    </w:p>
    <w:p>
      <w:pPr>
        <w:spacing w:line="384" w:lineRule="auto"/>
        <w:ind w:firstLine="560" w:firstLineChars="200"/>
        <w:jc w:val="both"/>
        <w:rPr>
          <w:rFonts w:ascii="宋体" w:hAnsi="宋体"/>
          <w:bCs/>
          <w:spacing w:val="20"/>
          <w:sz w:val="24"/>
        </w:rPr>
      </w:pPr>
      <w:r>
        <w:rPr>
          <w:rFonts w:ascii="宋体" w:hAnsi="宋体"/>
          <w:bCs/>
          <w:spacing w:val="20"/>
          <w:sz w:val="24"/>
        </w:rPr>
        <w:t>8.</w:t>
      </w:r>
      <w:r>
        <w:rPr>
          <w:rFonts w:hint="eastAsia" w:ascii="宋体" w:hAnsi="宋体"/>
          <w:bCs/>
          <w:spacing w:val="20"/>
          <w:sz w:val="24"/>
        </w:rPr>
        <w:t>本估价报告以原件为准，复印件无效，无估价师亲笔签名和估价机构加盖公章无效。本估价报告由广东腾业资产评估及土地房地产估价有限公司负责解释。</w:t>
      </w:r>
    </w:p>
    <w:p>
      <w:pPr>
        <w:spacing w:line="384" w:lineRule="auto"/>
        <w:ind w:firstLine="562" w:firstLineChars="200"/>
        <w:jc w:val="both"/>
        <w:rPr>
          <w:rFonts w:ascii="宋体" w:hAnsi="宋体"/>
          <w:b/>
          <w:bCs/>
          <w:spacing w:val="20"/>
          <w:sz w:val="24"/>
        </w:rPr>
      </w:pPr>
      <w:r>
        <w:rPr>
          <w:rFonts w:hint="eastAsia" w:ascii="宋体" w:hAnsi="宋体"/>
          <w:b/>
          <w:bCs/>
          <w:spacing w:val="20"/>
          <w:sz w:val="24"/>
        </w:rPr>
        <w:t>（三）特别事项说明：</w:t>
      </w:r>
    </w:p>
    <w:p>
      <w:pPr>
        <w:spacing w:line="384" w:lineRule="auto"/>
        <w:ind w:firstLine="560" w:firstLineChars="200"/>
        <w:jc w:val="both"/>
        <w:rPr>
          <w:rFonts w:ascii="宋体" w:hAnsi="宋体"/>
          <w:bCs/>
          <w:spacing w:val="20"/>
          <w:sz w:val="24"/>
        </w:rPr>
      </w:pPr>
      <w:r>
        <w:rPr>
          <w:rFonts w:hint="eastAsia" w:ascii="宋体" w:hAnsi="宋体"/>
          <w:bCs/>
          <w:spacing w:val="20"/>
          <w:sz w:val="24"/>
        </w:rPr>
        <w:t>报告所称“市场价格”，是指估价对象在外部经济环境保持稳定的前提下，为本报告书所确定的评估目的而提出的公允评估意见。该评估意见是指假定在充分发达的公开市场条件下，交易双方在交易地位平等、充分了解相关市场信息及交易双方独立和理智进行判断的前提下形成的公平市场价格。该价格并不代表估价对象在涉及产权变动或形态转变时的实际交易价格。</w:t>
      </w:r>
    </w:p>
    <w:p>
      <w:pPr>
        <w:pStyle w:val="2"/>
        <w:spacing w:before="0" w:after="0" w:line="384" w:lineRule="auto"/>
        <w:jc w:val="center"/>
        <w:rPr>
          <w:rFonts w:ascii="宋体" w:hAnsi="宋体"/>
          <w:spacing w:val="22"/>
          <w:sz w:val="36"/>
          <w:szCs w:val="36"/>
        </w:rPr>
        <w:sectPr>
          <w:pgSz w:w="11906" w:h="16838"/>
          <w:pgMar w:top="1276" w:right="1287" w:bottom="1559" w:left="1418" w:header="851" w:footer="992" w:gutter="0"/>
          <w:cols w:space="720" w:num="1"/>
          <w:titlePg/>
          <w:docGrid w:linePitch="312" w:charSpace="0"/>
        </w:sectPr>
      </w:pPr>
      <w:bookmarkStart w:id="29" w:name="_Toc229207512"/>
      <w:bookmarkStart w:id="30" w:name="_Toc203294635"/>
      <w:bookmarkStart w:id="31" w:name="_Toc229219551"/>
    </w:p>
    <w:p>
      <w:pPr>
        <w:pStyle w:val="2"/>
        <w:spacing w:before="0" w:after="0" w:line="384" w:lineRule="auto"/>
        <w:jc w:val="center"/>
        <w:rPr>
          <w:rFonts w:ascii="宋体" w:hAnsi="宋体"/>
          <w:spacing w:val="22"/>
          <w:sz w:val="36"/>
          <w:szCs w:val="36"/>
        </w:rPr>
      </w:pPr>
      <w:bookmarkStart w:id="32" w:name="_Toc4535"/>
      <w:r>
        <w:rPr>
          <w:rFonts w:hint="eastAsia" w:ascii="宋体" w:hAnsi="宋体"/>
          <w:spacing w:val="22"/>
          <w:sz w:val="36"/>
          <w:szCs w:val="36"/>
        </w:rPr>
        <w:t>三</w:t>
      </w:r>
      <w:r>
        <w:rPr>
          <w:rFonts w:ascii="宋体" w:hAnsi="宋体"/>
          <w:spacing w:val="22"/>
          <w:sz w:val="36"/>
          <w:szCs w:val="36"/>
        </w:rPr>
        <w:t>、估价结果报告</w:t>
      </w:r>
      <w:bookmarkEnd w:id="29"/>
      <w:bookmarkEnd w:id="30"/>
      <w:bookmarkEnd w:id="31"/>
      <w:bookmarkEnd w:id="32"/>
    </w:p>
    <w:p>
      <w:pPr>
        <w:pStyle w:val="3"/>
        <w:spacing w:before="0" w:after="0" w:line="384" w:lineRule="auto"/>
        <w:rPr>
          <w:rFonts w:ascii="宋体" w:hAnsi="宋体" w:eastAsia="宋体"/>
          <w:bCs w:val="0"/>
          <w:spacing w:val="20"/>
          <w:sz w:val="24"/>
          <w:szCs w:val="24"/>
        </w:rPr>
      </w:pPr>
      <w:bookmarkStart w:id="33" w:name="_Toc489"/>
      <w:bookmarkStart w:id="34" w:name="_Toc218328698"/>
      <w:r>
        <w:rPr>
          <w:rFonts w:ascii="宋体" w:hAnsi="宋体" w:eastAsia="宋体"/>
          <w:bCs w:val="0"/>
          <w:spacing w:val="20"/>
          <w:sz w:val="24"/>
          <w:szCs w:val="24"/>
        </w:rPr>
        <w:t>(一)估价委托人</w:t>
      </w:r>
      <w:bookmarkEnd w:id="33"/>
    </w:p>
    <w:p>
      <w:pPr>
        <w:spacing w:line="384" w:lineRule="auto"/>
        <w:ind w:firstLine="552"/>
        <w:rPr>
          <w:rFonts w:hint="eastAsia" w:ascii="宋体" w:hAnsi="宋体" w:eastAsia="宋体"/>
          <w:spacing w:val="20"/>
          <w:sz w:val="24"/>
          <w:lang w:eastAsia="zh-CN"/>
        </w:rPr>
      </w:pPr>
      <w:bookmarkStart w:id="35" w:name="附13"/>
      <w:r>
        <w:rPr>
          <w:rFonts w:hint="eastAsia" w:ascii="宋体" w:hAnsi="宋体"/>
          <w:spacing w:val="20"/>
          <w:sz w:val="24"/>
          <w:lang w:eastAsia="zh-CN"/>
        </w:rPr>
        <w:t>阳春市人民法院</w:t>
      </w:r>
    </w:p>
    <w:bookmarkEnd w:id="35"/>
    <w:p>
      <w:pPr>
        <w:pStyle w:val="3"/>
        <w:spacing w:before="0" w:after="0" w:line="384" w:lineRule="auto"/>
        <w:rPr>
          <w:rFonts w:ascii="宋体" w:hAnsi="宋体" w:eastAsia="宋体"/>
          <w:bCs w:val="0"/>
          <w:spacing w:val="20"/>
          <w:sz w:val="24"/>
          <w:szCs w:val="24"/>
        </w:rPr>
      </w:pPr>
      <w:bookmarkStart w:id="36" w:name="_Toc29251"/>
      <w:r>
        <w:rPr>
          <w:rFonts w:ascii="宋体" w:hAnsi="宋体" w:eastAsia="宋体"/>
          <w:bCs w:val="0"/>
          <w:spacing w:val="20"/>
          <w:sz w:val="24"/>
          <w:szCs w:val="24"/>
        </w:rPr>
        <w:t>(二)估价机构</w:t>
      </w:r>
      <w:bookmarkEnd w:id="36"/>
    </w:p>
    <w:p>
      <w:pPr>
        <w:pStyle w:val="16"/>
        <w:spacing w:line="384" w:lineRule="auto"/>
        <w:ind w:firstLine="537" w:firstLineChars="192"/>
        <w:rPr>
          <w:rFonts w:hAnsi="宋体"/>
          <w:spacing w:val="20"/>
          <w:sz w:val="24"/>
          <w:szCs w:val="24"/>
        </w:rPr>
      </w:pPr>
      <w:r>
        <w:rPr>
          <w:rFonts w:hAnsi="宋体"/>
          <w:spacing w:val="20"/>
          <w:sz w:val="24"/>
          <w:szCs w:val="24"/>
        </w:rPr>
        <w:t>广东腾业资产评估及土地房地产估价有限公司</w:t>
      </w:r>
    </w:p>
    <w:p>
      <w:pPr>
        <w:pStyle w:val="16"/>
        <w:spacing w:line="384" w:lineRule="auto"/>
        <w:ind w:firstLine="537" w:firstLineChars="192"/>
        <w:rPr>
          <w:rFonts w:hAnsi="宋体"/>
          <w:spacing w:val="20"/>
          <w:sz w:val="24"/>
          <w:szCs w:val="24"/>
        </w:rPr>
      </w:pPr>
      <w:r>
        <w:rPr>
          <w:rFonts w:hAnsi="宋体"/>
          <w:spacing w:val="20"/>
          <w:sz w:val="24"/>
          <w:szCs w:val="24"/>
        </w:rPr>
        <w:t>法定代表人:</w:t>
      </w:r>
      <w:r>
        <w:rPr>
          <w:rFonts w:hint="eastAsia" w:hAnsi="宋体" w:cs="宋体"/>
          <w:spacing w:val="20"/>
          <w:sz w:val="24"/>
          <w:szCs w:val="24"/>
        </w:rPr>
        <w:t>张任易</w:t>
      </w:r>
    </w:p>
    <w:p>
      <w:pPr>
        <w:pStyle w:val="16"/>
        <w:spacing w:line="384" w:lineRule="auto"/>
        <w:ind w:firstLine="537" w:firstLineChars="192"/>
        <w:rPr>
          <w:rFonts w:hAnsi="宋体"/>
          <w:spacing w:val="20"/>
          <w:sz w:val="24"/>
          <w:szCs w:val="24"/>
        </w:rPr>
      </w:pPr>
      <w:r>
        <w:rPr>
          <w:rFonts w:hAnsi="宋体"/>
          <w:spacing w:val="20"/>
          <w:sz w:val="24"/>
          <w:szCs w:val="24"/>
        </w:rPr>
        <w:t>地址:</w:t>
      </w:r>
      <w:r>
        <w:rPr>
          <w:rFonts w:hint="eastAsia" w:hAnsi="宋体"/>
          <w:spacing w:val="20"/>
          <w:sz w:val="24"/>
          <w:szCs w:val="24"/>
        </w:rPr>
        <w:t>广州市天河区体育东路140-148号九楼906房</w:t>
      </w:r>
    </w:p>
    <w:p>
      <w:pPr>
        <w:spacing w:line="384" w:lineRule="auto"/>
        <w:ind w:firstLine="537" w:firstLineChars="192"/>
        <w:rPr>
          <w:rFonts w:ascii="宋体" w:hAnsi="宋体"/>
          <w:spacing w:val="20"/>
          <w:sz w:val="24"/>
        </w:rPr>
      </w:pPr>
      <w:r>
        <w:rPr>
          <w:rFonts w:hint="eastAsia" w:ascii="宋体" w:hAnsi="宋体"/>
          <w:spacing w:val="20"/>
          <w:sz w:val="24"/>
        </w:rPr>
        <w:t>房地产估价机构备案等级:壹级，证书编号:粤房估备字壹0100022</w:t>
      </w:r>
    </w:p>
    <w:p>
      <w:pPr>
        <w:spacing w:line="384" w:lineRule="auto"/>
        <w:ind w:firstLine="562"/>
        <w:rPr>
          <w:rFonts w:ascii="宋体" w:hAnsi="宋体"/>
          <w:spacing w:val="20"/>
          <w:sz w:val="24"/>
        </w:rPr>
      </w:pPr>
      <w:r>
        <w:rPr>
          <w:rFonts w:ascii="宋体" w:hAnsi="宋体"/>
          <w:spacing w:val="20"/>
          <w:sz w:val="24"/>
        </w:rPr>
        <w:t>资格证有效期至：202</w:t>
      </w:r>
      <w:r>
        <w:rPr>
          <w:rFonts w:hint="eastAsia" w:ascii="宋体" w:hAnsi="宋体"/>
          <w:spacing w:val="20"/>
          <w:sz w:val="24"/>
        </w:rPr>
        <w:t>4</w:t>
      </w:r>
      <w:r>
        <w:rPr>
          <w:rFonts w:ascii="宋体" w:hAnsi="宋体"/>
          <w:spacing w:val="20"/>
          <w:sz w:val="24"/>
        </w:rPr>
        <w:t>年</w:t>
      </w:r>
      <w:r>
        <w:rPr>
          <w:rFonts w:hint="eastAsia" w:ascii="宋体" w:hAnsi="宋体"/>
          <w:spacing w:val="20"/>
          <w:sz w:val="24"/>
        </w:rPr>
        <w:t>4</w:t>
      </w:r>
      <w:r>
        <w:rPr>
          <w:rFonts w:ascii="宋体" w:hAnsi="宋体"/>
          <w:spacing w:val="20"/>
          <w:sz w:val="24"/>
        </w:rPr>
        <w:t>月</w:t>
      </w:r>
      <w:r>
        <w:rPr>
          <w:rFonts w:hint="eastAsia" w:ascii="宋体" w:hAnsi="宋体"/>
          <w:spacing w:val="20"/>
          <w:sz w:val="24"/>
        </w:rPr>
        <w:t>12</w:t>
      </w:r>
      <w:r>
        <w:rPr>
          <w:rFonts w:ascii="宋体" w:hAnsi="宋体"/>
          <w:spacing w:val="20"/>
          <w:sz w:val="24"/>
        </w:rPr>
        <w:t>日</w:t>
      </w:r>
    </w:p>
    <w:p>
      <w:pPr>
        <w:pStyle w:val="3"/>
        <w:spacing w:before="0" w:after="0" w:line="384" w:lineRule="auto"/>
        <w:rPr>
          <w:rFonts w:ascii="宋体" w:hAnsi="宋体" w:eastAsia="宋体"/>
          <w:bCs w:val="0"/>
          <w:spacing w:val="20"/>
          <w:sz w:val="24"/>
          <w:szCs w:val="24"/>
        </w:rPr>
      </w:pPr>
      <w:bookmarkStart w:id="37" w:name="_Toc20500"/>
      <w:r>
        <w:rPr>
          <w:rFonts w:ascii="宋体" w:hAnsi="宋体" w:eastAsia="宋体"/>
          <w:bCs w:val="0"/>
          <w:spacing w:val="20"/>
          <w:sz w:val="24"/>
          <w:szCs w:val="24"/>
        </w:rPr>
        <w:t>(三)估价目的</w:t>
      </w:r>
      <w:bookmarkEnd w:id="37"/>
    </w:p>
    <w:p>
      <w:pPr>
        <w:spacing w:line="384" w:lineRule="auto"/>
        <w:ind w:firstLine="560" w:firstLineChars="200"/>
        <w:rPr>
          <w:rFonts w:ascii="宋体" w:hAnsi="宋体"/>
          <w:b/>
          <w:spacing w:val="20"/>
          <w:sz w:val="24"/>
        </w:rPr>
      </w:pPr>
      <w:r>
        <w:rPr>
          <w:rFonts w:hint="eastAsia" w:ascii="宋体" w:hAnsi="宋体"/>
          <w:spacing w:val="20"/>
          <w:sz w:val="24"/>
        </w:rPr>
        <w:t>为人民法院确定财产处置参考价提供参考依据</w:t>
      </w:r>
    </w:p>
    <w:p>
      <w:pPr>
        <w:pStyle w:val="3"/>
        <w:spacing w:before="0" w:after="0" w:line="384" w:lineRule="auto"/>
        <w:rPr>
          <w:rFonts w:ascii="宋体" w:hAnsi="宋体" w:eastAsia="宋体"/>
          <w:bCs w:val="0"/>
          <w:spacing w:val="20"/>
          <w:sz w:val="24"/>
          <w:szCs w:val="24"/>
        </w:rPr>
      </w:pPr>
      <w:bookmarkStart w:id="38" w:name="_Toc5368"/>
      <w:r>
        <w:rPr>
          <w:rFonts w:ascii="宋体" w:hAnsi="宋体" w:eastAsia="宋体"/>
          <w:bCs w:val="0"/>
          <w:spacing w:val="20"/>
          <w:sz w:val="24"/>
          <w:szCs w:val="24"/>
        </w:rPr>
        <w:t>(四)估价对象</w:t>
      </w:r>
      <w:bookmarkEnd w:id="38"/>
    </w:p>
    <w:bookmarkEnd w:id="34"/>
    <w:p>
      <w:pPr>
        <w:spacing w:line="384" w:lineRule="auto"/>
        <w:ind w:firstLine="560" w:firstLineChars="200"/>
        <w:rPr>
          <w:rFonts w:ascii="宋体" w:hAnsi="宋体"/>
          <w:bCs/>
          <w:spacing w:val="20"/>
          <w:sz w:val="24"/>
        </w:rPr>
      </w:pPr>
      <w:r>
        <w:rPr>
          <w:rFonts w:ascii="宋体" w:hAnsi="宋体"/>
          <w:bCs/>
          <w:spacing w:val="20"/>
          <w:sz w:val="24"/>
        </w:rPr>
        <w:t>1.估价对象范围：</w:t>
      </w:r>
    </w:p>
    <w:p>
      <w:pPr>
        <w:spacing w:line="384" w:lineRule="auto"/>
        <w:ind w:firstLine="560" w:firstLineChars="200"/>
        <w:rPr>
          <w:rFonts w:ascii="宋体" w:hAnsi="宋体"/>
          <w:spacing w:val="20"/>
          <w:sz w:val="24"/>
        </w:rPr>
      </w:pPr>
      <w:r>
        <w:rPr>
          <w:rFonts w:hint="eastAsia" w:ascii="宋体" w:hAnsi="宋体"/>
          <w:spacing w:val="20"/>
          <w:sz w:val="24"/>
        </w:rPr>
        <w:t>估价对象的房屋所有权价值和占用的土地使用权价值，包含配套于房地产的供水、供电、通讯、排水、消防等必要设施设备的附属价值，但不包含构筑物、树木、动产、债权债务、特许经营权等其他财产价值。</w:t>
      </w:r>
    </w:p>
    <w:p>
      <w:pPr>
        <w:spacing w:line="384" w:lineRule="auto"/>
        <w:ind w:firstLine="560" w:firstLineChars="200"/>
        <w:rPr>
          <w:rFonts w:ascii="宋体" w:hAnsi="宋体"/>
          <w:bCs/>
          <w:spacing w:val="20"/>
          <w:sz w:val="24"/>
        </w:rPr>
      </w:pPr>
      <w:r>
        <w:rPr>
          <w:rFonts w:ascii="宋体" w:hAnsi="宋体"/>
          <w:bCs/>
          <w:spacing w:val="20"/>
          <w:sz w:val="24"/>
        </w:rPr>
        <w:t>2.</w:t>
      </w:r>
      <w:r>
        <w:rPr>
          <w:rFonts w:hint="eastAsia" w:ascii="宋体" w:hAnsi="宋体"/>
          <w:bCs/>
          <w:spacing w:val="20"/>
          <w:sz w:val="24"/>
        </w:rPr>
        <w:t>估价对象基本状况：</w:t>
      </w:r>
    </w:p>
    <w:p>
      <w:pPr>
        <w:spacing w:line="384" w:lineRule="auto"/>
        <w:ind w:firstLine="560" w:firstLineChars="200"/>
        <w:rPr>
          <w:rFonts w:ascii="宋体" w:hAnsi="宋体"/>
          <w:bCs/>
          <w:spacing w:val="20"/>
          <w:sz w:val="24"/>
        </w:rPr>
      </w:pPr>
      <w:r>
        <w:rPr>
          <w:rFonts w:ascii="宋体" w:hAnsi="宋体"/>
          <w:bCs/>
          <w:spacing w:val="20"/>
          <w:sz w:val="24"/>
        </w:rPr>
        <w:t>1</w:t>
      </w:r>
      <w:r>
        <w:rPr>
          <w:rFonts w:hint="eastAsia" w:ascii="宋体" w:hAnsi="宋体"/>
          <w:bCs/>
          <w:spacing w:val="20"/>
          <w:sz w:val="24"/>
        </w:rPr>
        <w:t>）估价对象名称：</w:t>
      </w:r>
      <w:r>
        <w:rPr>
          <w:rFonts w:hint="eastAsia" w:ascii="宋体" w:hAnsi="宋体"/>
          <w:bCs/>
          <w:spacing w:val="20"/>
          <w:sz w:val="24"/>
          <w:lang w:eastAsia="zh-CN"/>
        </w:rPr>
        <w:t>阳春市春城街道东湖山庄御景园A幢商住楼2A703房</w:t>
      </w:r>
      <w:r>
        <w:rPr>
          <w:rFonts w:hint="eastAsia" w:ascii="宋体" w:hAnsi="宋体"/>
          <w:bCs/>
          <w:spacing w:val="20"/>
          <w:sz w:val="24"/>
        </w:rPr>
        <w:t>。</w:t>
      </w:r>
    </w:p>
    <w:p>
      <w:pPr>
        <w:spacing w:line="384" w:lineRule="auto"/>
        <w:ind w:firstLine="560" w:firstLineChars="200"/>
        <w:rPr>
          <w:rFonts w:ascii="宋体" w:hAnsi="宋体"/>
          <w:bCs/>
          <w:spacing w:val="20"/>
          <w:sz w:val="24"/>
        </w:rPr>
      </w:pPr>
      <w:r>
        <w:rPr>
          <w:rFonts w:ascii="宋体" w:hAnsi="宋体"/>
          <w:bCs/>
          <w:spacing w:val="20"/>
          <w:sz w:val="24"/>
        </w:rPr>
        <w:t>2</w:t>
      </w:r>
      <w:r>
        <w:rPr>
          <w:rFonts w:hint="eastAsia" w:ascii="宋体" w:hAnsi="宋体"/>
          <w:bCs/>
          <w:spacing w:val="20"/>
          <w:sz w:val="24"/>
        </w:rPr>
        <w:t>）坐落及周边配套：估价对象</w:t>
      </w:r>
      <w:r>
        <w:rPr>
          <w:rFonts w:ascii="宋体" w:hAnsi="宋体"/>
          <w:bCs/>
          <w:spacing w:val="20"/>
          <w:sz w:val="24"/>
        </w:rPr>
        <w:t>坐落</w:t>
      </w:r>
      <w:r>
        <w:rPr>
          <w:rFonts w:hint="eastAsia" w:ascii="宋体" w:hAnsi="宋体"/>
          <w:bCs/>
          <w:spacing w:val="20"/>
          <w:sz w:val="24"/>
          <w:lang w:eastAsia="zh-CN"/>
        </w:rPr>
        <w:t>阳春市春城街道东湖山庄御景园A幢商住楼2A703房</w:t>
      </w:r>
      <w:r>
        <w:rPr>
          <w:rFonts w:hint="eastAsia" w:ascii="宋体" w:hAnsi="宋体"/>
          <w:bCs/>
          <w:spacing w:val="20"/>
          <w:sz w:val="24"/>
        </w:rPr>
        <w:t>，</w:t>
      </w:r>
      <w:r>
        <w:rPr>
          <w:rFonts w:ascii="宋体" w:hAnsi="宋体"/>
          <w:spacing w:val="20"/>
          <w:sz w:val="24"/>
        </w:rPr>
        <w:t>周边主要有</w:t>
      </w:r>
      <w:r>
        <w:rPr>
          <w:rFonts w:hint="eastAsia" w:ascii="宋体" w:hAnsi="宋体"/>
          <w:spacing w:val="20"/>
          <w:sz w:val="24"/>
          <w:lang w:eastAsia="zh-CN"/>
        </w:rPr>
        <w:t>富民路、广场路</w:t>
      </w:r>
      <w:r>
        <w:rPr>
          <w:rFonts w:ascii="宋体" w:hAnsi="宋体"/>
          <w:spacing w:val="20"/>
          <w:sz w:val="24"/>
        </w:rPr>
        <w:t>等构成的城市交通主干道路网，路面较宽，路况较好，对外交通出入便利度较好。估价对象</w:t>
      </w:r>
      <w:r>
        <w:rPr>
          <w:rFonts w:hint="eastAsia" w:ascii="宋体" w:hAnsi="宋体"/>
          <w:spacing w:val="20"/>
          <w:sz w:val="24"/>
        </w:rPr>
        <w:t>位临</w:t>
      </w:r>
      <w:r>
        <w:rPr>
          <w:rFonts w:hint="eastAsia" w:ascii="宋体" w:hAnsi="宋体"/>
          <w:spacing w:val="20"/>
          <w:sz w:val="24"/>
          <w:lang w:eastAsia="zh-CN"/>
        </w:rPr>
        <w:t>广场路</w:t>
      </w:r>
      <w:r>
        <w:rPr>
          <w:rFonts w:hint="eastAsia" w:ascii="宋体" w:hAnsi="宋体"/>
          <w:spacing w:val="20"/>
          <w:sz w:val="24"/>
        </w:rPr>
        <w:t>，</w:t>
      </w:r>
      <w:r>
        <w:rPr>
          <w:rFonts w:ascii="宋体" w:hAnsi="宋体"/>
          <w:spacing w:val="20"/>
          <w:sz w:val="24"/>
        </w:rPr>
        <w:t>道路的通达度好。交通管制情况：周边无较严格的道路交通管制。停车方便程度：所在</w:t>
      </w:r>
      <w:r>
        <w:rPr>
          <w:rFonts w:hint="eastAsia" w:ascii="宋体" w:hAnsi="宋体"/>
          <w:spacing w:val="20"/>
          <w:sz w:val="24"/>
          <w:lang w:eastAsia="zh-CN"/>
        </w:rPr>
        <w:t>商住小区</w:t>
      </w:r>
      <w:r>
        <w:rPr>
          <w:rFonts w:hint="eastAsia" w:ascii="宋体" w:hAnsi="宋体"/>
          <w:spacing w:val="20"/>
          <w:sz w:val="24"/>
        </w:rPr>
        <w:t>有停车场</w:t>
      </w:r>
      <w:r>
        <w:rPr>
          <w:rFonts w:ascii="宋体" w:hAnsi="宋体"/>
          <w:spacing w:val="20"/>
          <w:sz w:val="24"/>
        </w:rPr>
        <w:t>，停车方便度较高</w:t>
      </w:r>
      <w:r>
        <w:rPr>
          <w:rFonts w:hint="eastAsia" w:ascii="宋体" w:hAnsi="宋体"/>
          <w:spacing w:val="20"/>
          <w:sz w:val="24"/>
        </w:rPr>
        <w:t>。</w:t>
      </w:r>
      <w:r>
        <w:rPr>
          <w:rFonts w:ascii="宋体" w:hAnsi="宋体"/>
          <w:spacing w:val="26"/>
          <w:sz w:val="24"/>
        </w:rPr>
        <w:t>周边</w:t>
      </w:r>
      <w:r>
        <w:rPr>
          <w:rFonts w:hint="eastAsia" w:ascii="宋体" w:hAnsi="宋体"/>
          <w:spacing w:val="26"/>
          <w:sz w:val="24"/>
        </w:rPr>
        <w:t>有</w:t>
      </w:r>
      <w:r>
        <w:rPr>
          <w:rFonts w:hint="eastAsia" w:ascii="宋体" w:hAnsi="宋体"/>
          <w:spacing w:val="26"/>
          <w:sz w:val="24"/>
          <w:lang w:eastAsia="zh-CN"/>
        </w:rPr>
        <w:t>阳春东湖公园、中兴东湖广场、阳春市图书馆、阳春市府机关幼儿园、阳春农商银行、华润万家超市、青少年活动中心、阳春市政务服务中心</w:t>
      </w:r>
      <w:r>
        <w:rPr>
          <w:rFonts w:hint="eastAsia" w:ascii="宋体" w:hAnsi="宋体"/>
          <w:spacing w:val="26"/>
          <w:sz w:val="24"/>
        </w:rPr>
        <w:t>等</w:t>
      </w:r>
      <w:r>
        <w:rPr>
          <w:rFonts w:ascii="宋体" w:hAnsi="宋体"/>
          <w:spacing w:val="26"/>
          <w:sz w:val="24"/>
        </w:rPr>
        <w:t>各类公用服务设施，配套程度</w:t>
      </w:r>
      <w:r>
        <w:rPr>
          <w:rFonts w:hint="eastAsia" w:ascii="宋体" w:hAnsi="宋体"/>
          <w:spacing w:val="26"/>
          <w:sz w:val="24"/>
        </w:rPr>
        <w:t>较好。</w:t>
      </w:r>
    </w:p>
    <w:p>
      <w:pPr>
        <w:spacing w:line="384" w:lineRule="auto"/>
        <w:ind w:firstLine="560" w:firstLineChars="200"/>
        <w:rPr>
          <w:rFonts w:hint="eastAsia" w:ascii="宋体" w:hAnsi="宋体"/>
          <w:bCs/>
          <w:spacing w:val="20"/>
          <w:sz w:val="24"/>
        </w:rPr>
      </w:pPr>
      <w:r>
        <w:rPr>
          <w:rFonts w:ascii="宋体" w:hAnsi="宋体"/>
          <w:bCs/>
          <w:spacing w:val="20"/>
          <w:sz w:val="24"/>
        </w:rPr>
        <w:t>3</w:t>
      </w:r>
      <w:r>
        <w:rPr>
          <w:rFonts w:hint="eastAsia" w:ascii="宋体" w:hAnsi="宋体"/>
          <w:bCs/>
          <w:spacing w:val="20"/>
          <w:sz w:val="24"/>
        </w:rPr>
        <w:t>）规模：土地面积(共有)</w:t>
      </w:r>
      <w:r>
        <w:rPr>
          <w:rFonts w:hint="eastAsia" w:ascii="宋体" w:hAnsi="宋体"/>
          <w:bCs/>
          <w:spacing w:val="20"/>
          <w:sz w:val="24"/>
          <w:lang w:eastAsia="zh-CN"/>
        </w:rPr>
        <w:t>4750.00</w:t>
      </w:r>
      <w:r>
        <w:rPr>
          <w:rFonts w:hint="eastAsia" w:ascii="宋体" w:hAnsi="宋体"/>
          <w:bCs/>
          <w:spacing w:val="20"/>
          <w:sz w:val="24"/>
        </w:rPr>
        <w:t>平方米，建筑面积</w:t>
      </w:r>
      <w:r>
        <w:rPr>
          <w:rFonts w:hint="eastAsia" w:ascii="宋体" w:hAnsi="宋体"/>
          <w:bCs/>
          <w:spacing w:val="20"/>
          <w:sz w:val="24"/>
          <w:lang w:eastAsia="zh-CN"/>
        </w:rPr>
        <w:t>133.94</w:t>
      </w:r>
      <w:r>
        <w:rPr>
          <w:rFonts w:hint="eastAsia" w:ascii="宋体" w:hAnsi="宋体"/>
          <w:bCs/>
          <w:spacing w:val="20"/>
          <w:sz w:val="24"/>
        </w:rPr>
        <w:t>平方米。</w:t>
      </w:r>
    </w:p>
    <w:p>
      <w:pPr>
        <w:spacing w:line="384" w:lineRule="auto"/>
        <w:ind w:firstLine="560" w:firstLineChars="200"/>
        <w:rPr>
          <w:rFonts w:ascii="宋体" w:hAnsi="宋体"/>
          <w:bCs/>
          <w:spacing w:val="20"/>
          <w:sz w:val="24"/>
        </w:rPr>
      </w:pPr>
      <w:r>
        <w:rPr>
          <w:rFonts w:ascii="宋体" w:hAnsi="宋体"/>
          <w:bCs/>
          <w:spacing w:val="20"/>
          <w:sz w:val="24"/>
        </w:rPr>
        <w:t>4</w:t>
      </w:r>
      <w:r>
        <w:rPr>
          <w:rFonts w:hint="eastAsia" w:ascii="宋体" w:hAnsi="宋体"/>
          <w:bCs/>
          <w:spacing w:val="20"/>
          <w:sz w:val="24"/>
        </w:rPr>
        <w:t>）用途：</w:t>
      </w:r>
      <w:r>
        <w:rPr>
          <w:rFonts w:hint="eastAsia" w:ascii="宋体" w:hAnsi="宋体"/>
          <w:bCs/>
          <w:spacing w:val="20"/>
          <w:sz w:val="24"/>
          <w:lang w:eastAsia="zh-CN"/>
        </w:rPr>
        <w:t>住宅</w:t>
      </w:r>
      <w:r>
        <w:rPr>
          <w:rFonts w:hint="eastAsia" w:ascii="宋体" w:hAnsi="宋体"/>
          <w:bCs/>
          <w:spacing w:val="20"/>
          <w:sz w:val="24"/>
        </w:rPr>
        <w:t>。</w:t>
      </w:r>
    </w:p>
    <w:p>
      <w:pPr>
        <w:spacing w:line="384" w:lineRule="auto"/>
        <w:ind w:firstLine="560" w:firstLineChars="200"/>
        <w:rPr>
          <w:rFonts w:hint="eastAsia" w:ascii="宋体" w:hAnsi="宋体"/>
          <w:bCs/>
          <w:spacing w:val="20"/>
          <w:sz w:val="24"/>
        </w:rPr>
      </w:pPr>
      <w:r>
        <w:rPr>
          <w:rFonts w:ascii="宋体" w:hAnsi="宋体"/>
          <w:bCs/>
          <w:spacing w:val="20"/>
          <w:sz w:val="24"/>
        </w:rPr>
        <w:t>5</w:t>
      </w:r>
      <w:r>
        <w:rPr>
          <w:rFonts w:hint="eastAsia" w:ascii="宋体" w:hAnsi="宋体"/>
          <w:bCs/>
          <w:spacing w:val="20"/>
          <w:sz w:val="24"/>
        </w:rPr>
        <w:t>）权属证件：根据《不动产登记资料查询结果证明》显示，权属人：</w:t>
      </w:r>
      <w:r>
        <w:rPr>
          <w:rFonts w:hint="eastAsia" w:ascii="宋体" w:hAnsi="宋体"/>
          <w:bCs/>
          <w:spacing w:val="20"/>
          <w:sz w:val="24"/>
          <w:lang w:eastAsia="zh-CN"/>
        </w:rPr>
        <w:t>陈凤兰</w:t>
      </w:r>
      <w:r>
        <w:rPr>
          <w:rFonts w:hint="eastAsia" w:ascii="宋体" w:hAnsi="宋体"/>
          <w:bCs/>
          <w:spacing w:val="20"/>
          <w:sz w:val="24"/>
        </w:rPr>
        <w:t>。</w:t>
      </w:r>
    </w:p>
    <w:p>
      <w:pPr>
        <w:spacing w:line="384" w:lineRule="auto"/>
        <w:ind w:firstLine="560" w:firstLineChars="200"/>
        <w:rPr>
          <w:rFonts w:ascii="宋体" w:hAnsi="宋体"/>
          <w:spacing w:val="20"/>
          <w:sz w:val="24"/>
        </w:rPr>
      </w:pPr>
      <w:r>
        <w:rPr>
          <w:rFonts w:ascii="宋体" w:hAnsi="宋体"/>
          <w:bCs/>
          <w:spacing w:val="20"/>
          <w:sz w:val="24"/>
        </w:rPr>
        <w:t>3.估价对象</w:t>
      </w:r>
      <w:r>
        <w:rPr>
          <w:rFonts w:ascii="宋体" w:hAnsi="宋体"/>
          <w:spacing w:val="20"/>
          <w:sz w:val="24"/>
        </w:rPr>
        <w:t>土地实物状况：</w:t>
      </w:r>
    </w:p>
    <w:p>
      <w:pPr>
        <w:spacing w:line="384" w:lineRule="auto"/>
        <w:ind w:firstLine="560" w:firstLineChars="200"/>
        <w:rPr>
          <w:rFonts w:ascii="宋体" w:hAnsi="宋体"/>
          <w:bCs/>
          <w:spacing w:val="20"/>
          <w:sz w:val="24"/>
        </w:rPr>
      </w:pPr>
      <w:r>
        <w:rPr>
          <w:rFonts w:ascii="宋体" w:hAnsi="宋体"/>
          <w:spacing w:val="20"/>
          <w:sz w:val="24"/>
        </w:rPr>
        <w:t>1</w:t>
      </w:r>
      <w:r>
        <w:rPr>
          <w:rFonts w:hint="eastAsia" w:ascii="宋体" w:hAnsi="宋体"/>
          <w:spacing w:val="20"/>
          <w:sz w:val="24"/>
        </w:rPr>
        <w:t>）图幅地号：</w:t>
      </w:r>
      <w:r>
        <w:rPr>
          <w:rFonts w:hint="eastAsia" w:ascii="宋体" w:hAnsi="宋体"/>
          <w:bCs/>
          <w:spacing w:val="20"/>
          <w:sz w:val="24"/>
        </w:rPr>
        <w:t>未见记载</w:t>
      </w:r>
      <w:r>
        <w:rPr>
          <w:rFonts w:hint="eastAsia" w:ascii="宋体" w:hAnsi="宋体"/>
          <w:spacing w:val="20"/>
          <w:sz w:val="24"/>
        </w:rPr>
        <w:t>。</w:t>
      </w:r>
    </w:p>
    <w:p>
      <w:pPr>
        <w:spacing w:line="384" w:lineRule="auto"/>
        <w:ind w:firstLine="560" w:firstLineChars="200"/>
        <w:rPr>
          <w:rFonts w:hint="eastAsia" w:ascii="宋体" w:hAnsi="宋体"/>
          <w:bCs/>
          <w:spacing w:val="20"/>
          <w:sz w:val="24"/>
          <w:lang w:eastAsia="zh-CN"/>
        </w:rPr>
      </w:pPr>
      <w:r>
        <w:rPr>
          <w:rFonts w:hint="eastAsia" w:ascii="宋体" w:hAnsi="宋体"/>
          <w:spacing w:val="20"/>
          <w:sz w:val="24"/>
        </w:rPr>
        <w:t>2）土地四至：</w:t>
      </w:r>
      <w:r>
        <w:rPr>
          <w:rFonts w:hint="eastAsia" w:ascii="宋体" w:hAnsi="宋体"/>
          <w:bCs/>
          <w:spacing w:val="20"/>
          <w:sz w:val="24"/>
          <w:lang w:eastAsia="zh-CN"/>
        </w:rPr>
        <w:t>/</w:t>
      </w:r>
    </w:p>
    <w:p>
      <w:pPr>
        <w:spacing w:line="384" w:lineRule="auto"/>
        <w:ind w:firstLine="560" w:firstLineChars="200"/>
        <w:rPr>
          <w:rFonts w:ascii="宋体" w:hAnsi="宋体"/>
          <w:spacing w:val="20"/>
          <w:sz w:val="24"/>
        </w:rPr>
      </w:pPr>
      <w:r>
        <w:rPr>
          <w:rFonts w:hint="eastAsia" w:ascii="宋体" w:hAnsi="宋体"/>
          <w:spacing w:val="20"/>
          <w:sz w:val="24"/>
        </w:rPr>
        <w:t>3）土地使用终止日期：</w:t>
      </w:r>
      <w:r>
        <w:rPr>
          <w:rFonts w:hint="eastAsia" w:ascii="宋体" w:hAnsi="宋体"/>
          <w:spacing w:val="20"/>
          <w:sz w:val="24"/>
          <w:lang w:eastAsia="zh-CN"/>
        </w:rPr>
        <w:t>/</w:t>
      </w:r>
      <w:r>
        <w:rPr>
          <w:rFonts w:hint="eastAsia" w:ascii="宋体" w:hAnsi="宋体"/>
          <w:spacing w:val="20"/>
          <w:sz w:val="24"/>
        </w:rPr>
        <w:t>。</w:t>
      </w:r>
    </w:p>
    <w:p>
      <w:pPr>
        <w:spacing w:line="384" w:lineRule="auto"/>
        <w:ind w:firstLine="560" w:firstLineChars="200"/>
        <w:rPr>
          <w:rFonts w:ascii="宋体" w:hAnsi="宋体"/>
          <w:spacing w:val="20"/>
          <w:sz w:val="24"/>
        </w:rPr>
      </w:pPr>
      <w:r>
        <w:rPr>
          <w:rFonts w:hint="eastAsia" w:ascii="宋体" w:hAnsi="宋体"/>
          <w:spacing w:val="20"/>
          <w:sz w:val="24"/>
        </w:rPr>
        <w:t>4）开发程度：估价对象所在楼宇已建成</w:t>
      </w:r>
      <w:r>
        <w:rPr>
          <w:rFonts w:hint="eastAsia" w:ascii="宋体" w:hAnsi="宋体"/>
          <w:spacing w:val="20"/>
          <w:sz w:val="24"/>
          <w:lang w:eastAsia="zh-CN"/>
        </w:rPr>
        <w:t>7层</w:t>
      </w:r>
      <w:r>
        <w:rPr>
          <w:rFonts w:hint="eastAsia" w:ascii="宋体" w:hAnsi="宋体"/>
          <w:spacing w:val="20"/>
          <w:sz w:val="24"/>
        </w:rPr>
        <w:t>的商住楼。</w:t>
      </w:r>
    </w:p>
    <w:p>
      <w:pPr>
        <w:spacing w:line="384" w:lineRule="auto"/>
        <w:ind w:firstLine="560" w:firstLineChars="200"/>
        <w:rPr>
          <w:rFonts w:ascii="宋体" w:hAnsi="宋体"/>
          <w:spacing w:val="20"/>
          <w:sz w:val="24"/>
        </w:rPr>
      </w:pPr>
      <w:r>
        <w:rPr>
          <w:rFonts w:hint="eastAsia" w:ascii="宋体" w:hAnsi="宋体"/>
          <w:spacing w:val="20"/>
          <w:sz w:val="24"/>
        </w:rPr>
        <w:t>5）土地用途：</w:t>
      </w:r>
      <w:r>
        <w:rPr>
          <w:rFonts w:hint="eastAsia" w:ascii="宋体" w:hAnsi="宋体"/>
          <w:spacing w:val="20"/>
          <w:sz w:val="24"/>
          <w:lang w:eastAsia="zh-CN"/>
        </w:rPr>
        <w:t>/</w:t>
      </w:r>
      <w:r>
        <w:rPr>
          <w:rFonts w:hint="eastAsia" w:ascii="宋体" w:hAnsi="宋体"/>
          <w:spacing w:val="20"/>
          <w:sz w:val="24"/>
        </w:rPr>
        <w:t>。</w:t>
      </w:r>
    </w:p>
    <w:p>
      <w:pPr>
        <w:spacing w:line="384" w:lineRule="auto"/>
        <w:ind w:firstLine="560" w:firstLineChars="200"/>
        <w:rPr>
          <w:rFonts w:ascii="宋体" w:hAnsi="宋体"/>
          <w:spacing w:val="20"/>
          <w:sz w:val="24"/>
        </w:rPr>
      </w:pPr>
      <w:r>
        <w:rPr>
          <w:rFonts w:hint="eastAsia" w:ascii="宋体" w:hAnsi="宋体"/>
          <w:spacing w:val="20"/>
          <w:sz w:val="24"/>
        </w:rPr>
        <w:t>6）土地使用权取得方式：国有出让。</w:t>
      </w:r>
    </w:p>
    <w:p>
      <w:pPr>
        <w:spacing w:line="384" w:lineRule="auto"/>
        <w:ind w:firstLine="560" w:firstLineChars="200"/>
        <w:rPr>
          <w:rFonts w:ascii="宋体" w:hAnsi="宋体"/>
          <w:spacing w:val="20"/>
          <w:sz w:val="24"/>
        </w:rPr>
      </w:pPr>
      <w:r>
        <w:rPr>
          <w:rFonts w:hint="eastAsia" w:ascii="宋体" w:hAnsi="宋体"/>
          <w:spacing w:val="20"/>
          <w:sz w:val="24"/>
        </w:rPr>
        <w:t>7）土地性质：国有。</w:t>
      </w:r>
    </w:p>
    <w:p>
      <w:pPr>
        <w:spacing w:line="384" w:lineRule="auto"/>
        <w:ind w:firstLine="560" w:firstLineChars="200"/>
        <w:rPr>
          <w:rFonts w:ascii="宋体" w:hAnsi="宋体"/>
          <w:spacing w:val="20"/>
          <w:sz w:val="24"/>
        </w:rPr>
      </w:pPr>
      <w:r>
        <w:rPr>
          <w:rFonts w:ascii="宋体" w:hAnsi="宋体"/>
          <w:spacing w:val="20"/>
          <w:sz w:val="24"/>
        </w:rPr>
        <w:t>4</w:t>
      </w:r>
      <w:r>
        <w:rPr>
          <w:rFonts w:hint="eastAsia" w:ascii="宋体" w:hAnsi="宋体"/>
          <w:spacing w:val="20"/>
          <w:sz w:val="24"/>
        </w:rPr>
        <w:t>.</w:t>
      </w:r>
      <w:r>
        <w:rPr>
          <w:rFonts w:ascii="宋体" w:hAnsi="宋体"/>
          <w:spacing w:val="20"/>
          <w:sz w:val="24"/>
        </w:rPr>
        <w:t>估价对象建筑物实物状况：</w:t>
      </w:r>
    </w:p>
    <w:p>
      <w:pPr>
        <w:spacing w:line="384" w:lineRule="auto"/>
        <w:ind w:firstLine="560" w:firstLineChars="200"/>
        <w:rPr>
          <w:rFonts w:ascii="宋体" w:hAnsi="宋体"/>
          <w:spacing w:val="20"/>
          <w:sz w:val="24"/>
        </w:rPr>
      </w:pPr>
      <w:r>
        <w:rPr>
          <w:rFonts w:ascii="宋体" w:hAnsi="宋体"/>
          <w:spacing w:val="20"/>
          <w:sz w:val="24"/>
        </w:rPr>
        <w:t>1</w:t>
      </w:r>
      <w:r>
        <w:rPr>
          <w:rFonts w:hint="eastAsia" w:ascii="宋体" w:hAnsi="宋体"/>
          <w:spacing w:val="20"/>
          <w:sz w:val="24"/>
        </w:rPr>
        <w:t>）房屋所有权取得方式：未记载。</w:t>
      </w:r>
    </w:p>
    <w:p>
      <w:pPr>
        <w:spacing w:line="384" w:lineRule="auto"/>
        <w:ind w:firstLine="560" w:firstLineChars="200"/>
        <w:rPr>
          <w:rFonts w:ascii="宋体" w:hAnsi="宋体"/>
          <w:spacing w:val="20"/>
          <w:sz w:val="24"/>
        </w:rPr>
      </w:pPr>
      <w:r>
        <w:rPr>
          <w:rFonts w:ascii="宋体" w:hAnsi="宋体"/>
          <w:spacing w:val="20"/>
          <w:sz w:val="24"/>
        </w:rPr>
        <w:t>2</w:t>
      </w:r>
      <w:r>
        <w:rPr>
          <w:rFonts w:hint="eastAsia" w:ascii="宋体" w:hAnsi="宋体"/>
          <w:spacing w:val="20"/>
          <w:sz w:val="24"/>
        </w:rPr>
        <w:t>）建成时间：</w:t>
      </w:r>
      <w:r>
        <w:rPr>
          <w:rFonts w:hint="eastAsia" w:ascii="宋体" w:hAnsi="宋体"/>
          <w:bCs/>
          <w:spacing w:val="20"/>
          <w:sz w:val="24"/>
          <w:lang w:eastAsia="zh-CN"/>
        </w:rPr>
        <w:t>约建成于2008年</w:t>
      </w:r>
      <w:r>
        <w:rPr>
          <w:rFonts w:hint="eastAsia" w:ascii="宋体" w:hAnsi="宋体"/>
          <w:bCs/>
          <w:spacing w:val="20"/>
          <w:sz w:val="24"/>
        </w:rPr>
        <w:t>。</w:t>
      </w:r>
    </w:p>
    <w:p>
      <w:pPr>
        <w:spacing w:line="384" w:lineRule="auto"/>
        <w:ind w:firstLine="560" w:firstLineChars="200"/>
        <w:rPr>
          <w:rFonts w:ascii="宋体" w:hAnsi="宋体"/>
          <w:bCs/>
          <w:spacing w:val="20"/>
          <w:sz w:val="24"/>
        </w:rPr>
      </w:pPr>
      <w:r>
        <w:rPr>
          <w:rFonts w:ascii="宋体" w:hAnsi="宋体"/>
          <w:spacing w:val="20"/>
          <w:sz w:val="24"/>
        </w:rPr>
        <w:t>3</w:t>
      </w:r>
      <w:r>
        <w:rPr>
          <w:rFonts w:hint="eastAsia" w:ascii="宋体" w:hAnsi="宋体"/>
          <w:spacing w:val="20"/>
          <w:sz w:val="24"/>
        </w:rPr>
        <w:t>）建筑结构及总层数、所在楼层：</w:t>
      </w:r>
      <w:r>
        <w:rPr>
          <w:rFonts w:hint="eastAsia" w:ascii="宋体" w:hAnsi="宋体"/>
          <w:spacing w:val="20"/>
          <w:sz w:val="24"/>
          <w:lang w:eastAsia="zh-CN"/>
        </w:rPr>
        <w:t>估价对象的建筑结构未记载，估价对象所在住宅楼宇的总楼层为共7层，估价对象位于第7层</w:t>
      </w:r>
      <w:r>
        <w:rPr>
          <w:rFonts w:hint="eastAsia" w:ascii="宋体" w:hAnsi="宋体"/>
          <w:bCs/>
          <w:spacing w:val="20"/>
          <w:sz w:val="24"/>
        </w:rPr>
        <w:t>。</w:t>
      </w:r>
    </w:p>
    <w:p>
      <w:pPr>
        <w:spacing w:line="384" w:lineRule="auto"/>
        <w:ind w:firstLine="560" w:firstLineChars="200"/>
        <w:rPr>
          <w:rFonts w:ascii="宋体" w:hAnsi="宋体"/>
          <w:bCs/>
          <w:spacing w:val="20"/>
          <w:sz w:val="24"/>
        </w:rPr>
      </w:pPr>
      <w:r>
        <w:rPr>
          <w:rFonts w:ascii="宋体" w:hAnsi="宋体"/>
          <w:spacing w:val="20"/>
          <w:sz w:val="24"/>
        </w:rPr>
        <w:t>4</w:t>
      </w:r>
      <w:r>
        <w:rPr>
          <w:rFonts w:hint="eastAsia" w:ascii="宋体" w:hAnsi="宋体"/>
          <w:spacing w:val="20"/>
          <w:sz w:val="24"/>
        </w:rPr>
        <w:t>）设施设备：</w:t>
      </w:r>
      <w:r>
        <w:rPr>
          <w:rFonts w:hint="eastAsia" w:ascii="宋体" w:hAnsi="宋体"/>
          <w:bCs/>
          <w:spacing w:val="20"/>
          <w:sz w:val="24"/>
        </w:rPr>
        <w:t>估价对象所在住宅楼宇的水电、消防、通讯、照明等配套设施齐全。</w:t>
      </w:r>
    </w:p>
    <w:p>
      <w:pPr>
        <w:spacing w:line="384" w:lineRule="auto"/>
        <w:ind w:firstLine="560" w:firstLineChars="200"/>
        <w:rPr>
          <w:rFonts w:hint="eastAsia" w:ascii="宋体" w:hAnsi="宋体" w:eastAsia="宋体"/>
          <w:bCs/>
          <w:spacing w:val="20"/>
          <w:sz w:val="24"/>
          <w:lang w:eastAsia="zh-CN"/>
        </w:rPr>
      </w:pPr>
      <w:r>
        <w:rPr>
          <w:rFonts w:hint="eastAsia" w:ascii="宋体" w:hAnsi="宋体"/>
          <w:spacing w:val="20"/>
          <w:sz w:val="24"/>
        </w:rPr>
        <w:t>5）空间布局：</w:t>
      </w:r>
      <w:r>
        <w:rPr>
          <w:rFonts w:hint="eastAsia" w:ascii="宋体" w:hAnsi="宋体"/>
          <w:spacing w:val="20"/>
          <w:sz w:val="24"/>
          <w:lang w:eastAsia="zh-CN"/>
        </w:rPr>
        <w:t>由于被执行人不配合，我司估价人员无法进入室内进行查勘。</w:t>
      </w:r>
    </w:p>
    <w:p>
      <w:pPr>
        <w:spacing w:line="384" w:lineRule="auto"/>
        <w:ind w:firstLine="560" w:firstLineChars="200"/>
        <w:rPr>
          <w:rFonts w:hint="eastAsia" w:ascii="宋体" w:hAnsi="宋体" w:eastAsia="宋体"/>
          <w:spacing w:val="20"/>
          <w:sz w:val="24"/>
          <w:lang w:eastAsia="zh-CN"/>
        </w:rPr>
      </w:pPr>
      <w:r>
        <w:rPr>
          <w:rFonts w:hint="eastAsia" w:ascii="宋体" w:hAnsi="宋体"/>
          <w:spacing w:val="20"/>
          <w:sz w:val="24"/>
        </w:rPr>
        <w:t>6）</w:t>
      </w:r>
      <w:r>
        <w:rPr>
          <w:rFonts w:hint="eastAsia" w:ascii="宋体" w:hAnsi="宋体"/>
          <w:bCs/>
          <w:spacing w:val="20"/>
          <w:sz w:val="24"/>
        </w:rPr>
        <w:t>上落设施：</w:t>
      </w:r>
      <w:r>
        <w:rPr>
          <w:rFonts w:hint="eastAsia" w:ascii="宋体" w:hAnsi="宋体"/>
          <w:bCs/>
          <w:spacing w:val="20"/>
          <w:sz w:val="24"/>
          <w:lang w:eastAsia="zh-CN"/>
        </w:rPr>
        <w:t>步梯</w:t>
      </w:r>
      <w:r>
        <w:rPr>
          <w:rFonts w:hint="eastAsia" w:ascii="宋体" w:hAnsi="宋体"/>
          <w:bCs/>
          <w:color w:val="000000"/>
          <w:spacing w:val="20"/>
          <w:sz w:val="24"/>
          <w:lang w:eastAsia="zh-CN"/>
        </w:rPr>
        <w:t>（1梯4户）</w:t>
      </w:r>
    </w:p>
    <w:p>
      <w:pPr>
        <w:spacing w:line="384" w:lineRule="auto"/>
        <w:ind w:firstLine="560" w:firstLineChars="200"/>
        <w:rPr>
          <w:rFonts w:hint="eastAsia" w:ascii="宋体" w:hAnsi="宋体" w:eastAsia="宋体"/>
          <w:bCs/>
          <w:spacing w:val="20"/>
          <w:sz w:val="24"/>
          <w:lang w:eastAsia="zh-CN"/>
        </w:rPr>
      </w:pPr>
      <w:r>
        <w:rPr>
          <w:rFonts w:hint="eastAsia" w:ascii="宋体" w:hAnsi="宋体"/>
          <w:spacing w:val="20"/>
          <w:sz w:val="24"/>
        </w:rPr>
        <w:t>7）装饰装修：</w:t>
      </w:r>
      <w:r>
        <w:rPr>
          <w:rFonts w:hint="eastAsia" w:ascii="宋体" w:hAnsi="宋体"/>
          <w:spacing w:val="20"/>
          <w:sz w:val="24"/>
          <w:lang w:val="en-US" w:eastAsia="zh-CN"/>
        </w:rPr>
        <w:t>估价对象外观为小方砖，室内：</w:t>
      </w:r>
      <w:r>
        <w:rPr>
          <w:rFonts w:hint="eastAsia" w:ascii="宋体" w:hAnsi="宋体"/>
          <w:spacing w:val="20"/>
          <w:sz w:val="24"/>
          <w:lang w:eastAsia="zh-CN"/>
        </w:rPr>
        <w:t>由于被执行人不配合，我司估价人员无法进入室内进行查勘，本次评估假设室内为普通装修进行评估。</w:t>
      </w:r>
    </w:p>
    <w:p>
      <w:pPr>
        <w:spacing w:line="384" w:lineRule="auto"/>
        <w:ind w:firstLine="560" w:firstLineChars="200"/>
        <w:rPr>
          <w:rFonts w:ascii="宋体" w:hAnsi="宋体"/>
          <w:spacing w:val="20"/>
          <w:sz w:val="24"/>
        </w:rPr>
      </w:pPr>
      <w:r>
        <w:rPr>
          <w:rFonts w:hint="eastAsia" w:ascii="宋体" w:hAnsi="宋体"/>
          <w:spacing w:val="20"/>
          <w:sz w:val="24"/>
        </w:rPr>
        <w:t>8）层高：</w:t>
      </w:r>
      <w:r>
        <w:rPr>
          <w:rFonts w:hint="eastAsia" w:ascii="宋体" w:hAnsi="宋体"/>
          <w:bCs/>
          <w:spacing w:val="20"/>
          <w:sz w:val="24"/>
          <w:lang w:eastAsia="zh-CN"/>
        </w:rPr>
        <w:t>约3米</w:t>
      </w:r>
      <w:r>
        <w:rPr>
          <w:rFonts w:hint="eastAsia" w:ascii="宋体" w:hAnsi="宋体"/>
          <w:bCs/>
          <w:spacing w:val="20"/>
          <w:sz w:val="24"/>
        </w:rPr>
        <w:t>。</w:t>
      </w:r>
    </w:p>
    <w:p>
      <w:pPr>
        <w:spacing w:line="384" w:lineRule="auto"/>
        <w:ind w:firstLine="560" w:firstLineChars="200"/>
        <w:rPr>
          <w:rFonts w:ascii="宋体" w:hAnsi="宋体"/>
          <w:spacing w:val="20"/>
          <w:sz w:val="24"/>
        </w:rPr>
      </w:pPr>
      <w:r>
        <w:rPr>
          <w:rFonts w:hint="eastAsia" w:ascii="宋体" w:hAnsi="宋体"/>
          <w:spacing w:val="20"/>
          <w:sz w:val="24"/>
        </w:rPr>
        <w:t>9）</w:t>
      </w:r>
      <w:r>
        <w:rPr>
          <w:rFonts w:hint="eastAsia" w:ascii="宋体" w:hAnsi="宋体"/>
          <w:spacing w:val="20"/>
          <w:sz w:val="24"/>
          <w:lang w:eastAsia="zh-CN"/>
        </w:rPr>
        <w:t>朝向：南向（门口）</w:t>
      </w:r>
      <w:r>
        <w:rPr>
          <w:rFonts w:hint="eastAsia" w:ascii="宋体" w:hAnsi="宋体"/>
          <w:bCs/>
          <w:spacing w:val="20"/>
          <w:sz w:val="24"/>
        </w:rPr>
        <w:t>。</w:t>
      </w:r>
    </w:p>
    <w:p>
      <w:pPr>
        <w:spacing w:line="384" w:lineRule="auto"/>
        <w:ind w:firstLine="560" w:firstLineChars="200"/>
        <w:rPr>
          <w:rFonts w:ascii="宋体" w:hAnsi="宋体"/>
          <w:spacing w:val="20"/>
          <w:sz w:val="24"/>
        </w:rPr>
      </w:pPr>
      <w:r>
        <w:rPr>
          <w:rFonts w:hint="eastAsia" w:ascii="宋体" w:hAnsi="宋体"/>
          <w:spacing w:val="20"/>
          <w:sz w:val="24"/>
        </w:rPr>
        <w:t>10）通风采光：</w:t>
      </w:r>
      <w:r>
        <w:rPr>
          <w:rFonts w:hint="eastAsia" w:ascii="宋体" w:hAnsi="宋体"/>
          <w:bCs/>
          <w:spacing w:val="20"/>
          <w:sz w:val="24"/>
        </w:rPr>
        <w:t>较好。</w:t>
      </w:r>
    </w:p>
    <w:p>
      <w:pPr>
        <w:spacing w:line="384" w:lineRule="auto"/>
        <w:ind w:firstLine="560" w:firstLineChars="200"/>
        <w:rPr>
          <w:rFonts w:ascii="宋体" w:hAnsi="宋体"/>
          <w:spacing w:val="20"/>
          <w:sz w:val="24"/>
        </w:rPr>
      </w:pPr>
      <w:r>
        <w:rPr>
          <w:rFonts w:hint="eastAsia" w:ascii="宋体" w:hAnsi="宋体"/>
          <w:spacing w:val="20"/>
          <w:sz w:val="24"/>
        </w:rPr>
        <w:t>11）现状用途：</w:t>
      </w:r>
      <w:r>
        <w:rPr>
          <w:rFonts w:hint="eastAsia" w:ascii="宋体" w:hAnsi="宋体"/>
          <w:spacing w:val="20"/>
          <w:sz w:val="24"/>
          <w:lang w:eastAsia="zh-CN"/>
        </w:rPr>
        <w:t>住宅用途</w:t>
      </w:r>
      <w:r>
        <w:rPr>
          <w:rFonts w:hint="eastAsia" w:ascii="宋体" w:hAnsi="宋体"/>
          <w:spacing w:val="20"/>
          <w:sz w:val="24"/>
        </w:rPr>
        <w:t>。</w:t>
      </w:r>
    </w:p>
    <w:p>
      <w:pPr>
        <w:spacing w:line="384" w:lineRule="auto"/>
        <w:ind w:firstLine="560" w:firstLineChars="200"/>
        <w:rPr>
          <w:rFonts w:ascii="宋体" w:hAnsi="宋体"/>
          <w:bCs/>
          <w:spacing w:val="20"/>
          <w:sz w:val="24"/>
        </w:rPr>
      </w:pPr>
      <w:r>
        <w:rPr>
          <w:rFonts w:ascii="宋体" w:hAnsi="宋体"/>
          <w:spacing w:val="20"/>
          <w:sz w:val="24"/>
        </w:rPr>
        <w:t>1</w:t>
      </w:r>
      <w:r>
        <w:rPr>
          <w:rFonts w:hint="eastAsia" w:ascii="宋体" w:hAnsi="宋体"/>
          <w:spacing w:val="20"/>
          <w:sz w:val="24"/>
        </w:rPr>
        <w:t>2）维护状况：</w:t>
      </w:r>
      <w:r>
        <w:rPr>
          <w:rFonts w:hint="eastAsia" w:ascii="宋体" w:hAnsi="宋体"/>
          <w:bCs/>
          <w:spacing w:val="20"/>
          <w:sz w:val="24"/>
        </w:rPr>
        <w:t>根据估价人员现场勘查，所在楼宇有专业物业管理，维护保养情况较好，现场勘查房屋结构完好，属完好房，成新程度较高。</w:t>
      </w:r>
    </w:p>
    <w:p>
      <w:pPr>
        <w:pStyle w:val="3"/>
        <w:spacing w:before="0" w:after="0" w:line="384" w:lineRule="auto"/>
        <w:rPr>
          <w:rFonts w:ascii="宋体" w:hAnsi="宋体" w:eastAsia="宋体"/>
          <w:bCs w:val="0"/>
          <w:spacing w:val="20"/>
          <w:sz w:val="24"/>
          <w:szCs w:val="24"/>
        </w:rPr>
      </w:pPr>
      <w:r>
        <w:rPr>
          <w:rFonts w:ascii="宋体" w:hAnsi="宋体" w:eastAsia="宋体"/>
          <w:bCs w:val="0"/>
          <w:spacing w:val="20"/>
          <w:sz w:val="24"/>
          <w:szCs w:val="24"/>
        </w:rPr>
        <w:t xml:space="preserve"> </w:t>
      </w:r>
      <w:bookmarkStart w:id="39" w:name="_Toc10873"/>
      <w:r>
        <w:rPr>
          <w:rFonts w:ascii="宋体" w:hAnsi="宋体" w:eastAsia="宋体"/>
          <w:bCs w:val="0"/>
          <w:spacing w:val="20"/>
          <w:sz w:val="24"/>
          <w:szCs w:val="24"/>
        </w:rPr>
        <w:t>(五)价值时点</w:t>
      </w:r>
      <w:bookmarkEnd w:id="39"/>
    </w:p>
    <w:p>
      <w:pPr>
        <w:spacing w:line="384" w:lineRule="auto"/>
        <w:ind w:firstLine="537" w:firstLineChars="192"/>
        <w:rPr>
          <w:rFonts w:ascii="宋体" w:hAnsi="宋体"/>
          <w:spacing w:val="20"/>
          <w:sz w:val="24"/>
        </w:rPr>
      </w:pPr>
      <w:bookmarkStart w:id="40" w:name="附14"/>
      <w:r>
        <w:rPr>
          <w:rFonts w:hint="eastAsia" w:ascii="宋体" w:hAnsi="宋体" w:cs="Arial"/>
          <w:spacing w:val="20"/>
          <w:sz w:val="24"/>
        </w:rPr>
        <w:t>本报告的估价对象</w:t>
      </w:r>
      <w:r>
        <w:rPr>
          <w:rFonts w:ascii="宋体" w:hAnsi="宋体" w:cs="Arial"/>
          <w:spacing w:val="20"/>
          <w:sz w:val="24"/>
        </w:rPr>
        <w:t>现场勘查日</w:t>
      </w:r>
      <w:r>
        <w:rPr>
          <w:rFonts w:hint="eastAsia" w:ascii="宋体" w:hAnsi="宋体" w:cs="Arial"/>
          <w:spacing w:val="20"/>
          <w:sz w:val="24"/>
        </w:rPr>
        <w:t>为</w:t>
      </w:r>
      <w:r>
        <w:rPr>
          <w:rFonts w:hint="eastAsia" w:ascii="宋体" w:hAnsi="宋体" w:cs="Arial"/>
          <w:spacing w:val="20"/>
          <w:sz w:val="24"/>
          <w:lang w:eastAsia="zh-CN"/>
        </w:rPr>
        <w:t>2022年5月6日</w:t>
      </w:r>
      <w:r>
        <w:rPr>
          <w:rFonts w:hint="eastAsia" w:ascii="宋体" w:hAnsi="宋体" w:cs="Arial"/>
          <w:spacing w:val="20"/>
          <w:sz w:val="24"/>
        </w:rPr>
        <w:t>，</w:t>
      </w:r>
      <w:r>
        <w:rPr>
          <w:rFonts w:hint="eastAsia" w:ascii="宋体" w:hAnsi="宋体"/>
          <w:spacing w:val="20"/>
          <w:kern w:val="0"/>
          <w:sz w:val="24"/>
        </w:rPr>
        <w:t>因委托人未作特别要求</w:t>
      </w:r>
      <w:r>
        <w:rPr>
          <w:rFonts w:ascii="宋体" w:hAnsi="宋体"/>
          <w:spacing w:val="20"/>
          <w:kern w:val="0"/>
          <w:sz w:val="24"/>
        </w:rPr>
        <w:t>，故本报告</w:t>
      </w:r>
      <w:r>
        <w:rPr>
          <w:rFonts w:hint="eastAsia" w:ascii="宋体" w:hAnsi="宋体"/>
          <w:spacing w:val="20"/>
          <w:kern w:val="0"/>
          <w:sz w:val="24"/>
        </w:rPr>
        <w:t>估价对象</w:t>
      </w:r>
      <w:r>
        <w:rPr>
          <w:rFonts w:ascii="宋体" w:hAnsi="宋体"/>
          <w:spacing w:val="20"/>
          <w:kern w:val="0"/>
          <w:sz w:val="24"/>
        </w:rPr>
        <w:t>价值时点取</w:t>
      </w:r>
      <w:r>
        <w:rPr>
          <w:rFonts w:hint="eastAsia" w:ascii="宋体" w:hAnsi="宋体" w:cs="Arial"/>
          <w:spacing w:val="20"/>
          <w:sz w:val="24"/>
          <w:lang w:eastAsia="zh-CN"/>
        </w:rPr>
        <w:t>2022年5月6日</w:t>
      </w:r>
      <w:r>
        <w:rPr>
          <w:rFonts w:hint="eastAsia" w:ascii="宋体" w:hAnsi="宋体" w:cs="Arial"/>
          <w:spacing w:val="20"/>
          <w:sz w:val="24"/>
        </w:rPr>
        <w:t>。</w:t>
      </w:r>
    </w:p>
    <w:bookmarkEnd w:id="40"/>
    <w:p>
      <w:pPr>
        <w:pStyle w:val="3"/>
        <w:spacing w:before="0" w:after="0" w:line="384" w:lineRule="auto"/>
        <w:rPr>
          <w:rFonts w:ascii="宋体" w:hAnsi="宋体" w:eastAsia="宋体"/>
          <w:spacing w:val="20"/>
          <w:sz w:val="24"/>
          <w:szCs w:val="24"/>
        </w:rPr>
      </w:pPr>
      <w:bookmarkStart w:id="41" w:name="_Toc32731"/>
      <w:r>
        <w:rPr>
          <w:rFonts w:ascii="宋体" w:hAnsi="宋体" w:eastAsia="宋体"/>
          <w:spacing w:val="20"/>
          <w:sz w:val="24"/>
          <w:szCs w:val="24"/>
        </w:rPr>
        <w:t>(六)价值类型</w:t>
      </w:r>
      <w:bookmarkEnd w:id="41"/>
    </w:p>
    <w:p>
      <w:pPr>
        <w:spacing w:line="384" w:lineRule="auto"/>
        <w:ind w:firstLine="560" w:firstLineChars="200"/>
        <w:rPr>
          <w:rFonts w:ascii="宋体" w:hAnsi="宋体"/>
          <w:spacing w:val="20"/>
          <w:sz w:val="24"/>
        </w:rPr>
      </w:pPr>
      <w:r>
        <w:rPr>
          <w:rFonts w:hint="eastAsia" w:ascii="宋体" w:hAnsi="宋体"/>
          <w:spacing w:val="20"/>
          <w:sz w:val="24"/>
        </w:rPr>
        <w:t>本报告中的市场价值是指估价对象在公开市场（是指竞争性的、以最大限度追求经济利益为目的、所有市场主体均可平等自由参与交易的市场）上最可能形成或成立的价格。</w:t>
      </w:r>
    </w:p>
    <w:p>
      <w:pPr>
        <w:pStyle w:val="3"/>
        <w:spacing w:before="0" w:after="0" w:line="384" w:lineRule="auto"/>
        <w:rPr>
          <w:rFonts w:ascii="宋体" w:hAnsi="宋体" w:eastAsia="宋体"/>
          <w:spacing w:val="20"/>
          <w:sz w:val="24"/>
          <w:szCs w:val="24"/>
        </w:rPr>
      </w:pPr>
      <w:r>
        <w:rPr>
          <w:rFonts w:ascii="宋体" w:hAnsi="宋体" w:eastAsia="宋体"/>
          <w:spacing w:val="20"/>
          <w:sz w:val="24"/>
          <w:szCs w:val="24"/>
        </w:rPr>
        <w:t xml:space="preserve"> </w:t>
      </w:r>
      <w:bookmarkStart w:id="42" w:name="_Toc14002"/>
      <w:r>
        <w:rPr>
          <w:rFonts w:ascii="宋体" w:hAnsi="宋体" w:eastAsia="宋体"/>
          <w:spacing w:val="20"/>
          <w:sz w:val="24"/>
          <w:szCs w:val="24"/>
        </w:rPr>
        <w:t>(七)估价依据</w:t>
      </w:r>
      <w:bookmarkEnd w:id="42"/>
    </w:p>
    <w:p>
      <w:pPr>
        <w:tabs>
          <w:tab w:val="left" w:leader="hyphen" w:pos="7980"/>
        </w:tabs>
        <w:spacing w:line="384" w:lineRule="auto"/>
        <w:ind w:firstLine="520" w:firstLineChars="185"/>
        <w:rPr>
          <w:rFonts w:ascii="宋体" w:hAnsi="宋体"/>
          <w:b/>
          <w:spacing w:val="20"/>
          <w:sz w:val="24"/>
        </w:rPr>
      </w:pPr>
      <w:r>
        <w:rPr>
          <w:rFonts w:ascii="宋体" w:hAnsi="宋体"/>
          <w:b/>
          <w:spacing w:val="20"/>
          <w:sz w:val="24"/>
        </w:rPr>
        <w:t>1.国家有关部门颁布的法律、法规及政策</w:t>
      </w:r>
    </w:p>
    <w:p>
      <w:pPr>
        <w:tabs>
          <w:tab w:val="left" w:leader="hyphen" w:pos="7980"/>
        </w:tabs>
        <w:spacing w:line="384" w:lineRule="auto"/>
        <w:ind w:firstLine="518" w:firstLineChars="185"/>
        <w:rPr>
          <w:rFonts w:ascii="宋体" w:hAnsi="宋体"/>
          <w:spacing w:val="20"/>
          <w:sz w:val="24"/>
        </w:rPr>
      </w:pPr>
      <w:r>
        <w:rPr>
          <w:rFonts w:ascii="宋体" w:hAnsi="宋体"/>
          <w:spacing w:val="20"/>
          <w:sz w:val="24"/>
        </w:rPr>
        <w:t>1</w:t>
      </w:r>
      <w:r>
        <w:rPr>
          <w:rFonts w:hint="eastAsia" w:ascii="宋体" w:hAnsi="宋体"/>
          <w:spacing w:val="20"/>
          <w:sz w:val="24"/>
        </w:rPr>
        <w:t>）《中华人民共和国资产评估法》（中华人民共和国主席令第46号，中华人民共和国第十二届全国人民代表大会常务委员会第二十一次会议于2016年7月2日通过，自2016年12月1日起施行）；</w:t>
      </w:r>
    </w:p>
    <w:p>
      <w:pPr>
        <w:tabs>
          <w:tab w:val="left" w:leader="hyphen" w:pos="7980"/>
        </w:tabs>
        <w:spacing w:line="384" w:lineRule="auto"/>
        <w:ind w:firstLine="518" w:firstLineChars="185"/>
        <w:rPr>
          <w:rFonts w:ascii="宋体" w:hAnsi="宋体"/>
          <w:spacing w:val="20"/>
          <w:sz w:val="24"/>
        </w:rPr>
      </w:pPr>
      <w:r>
        <w:rPr>
          <w:rFonts w:hint="eastAsia" w:ascii="宋体" w:hAnsi="宋体"/>
          <w:spacing w:val="20"/>
          <w:sz w:val="24"/>
        </w:rPr>
        <w:t>2）《民法典》（自2021年1月1日起施行）；</w:t>
      </w:r>
    </w:p>
    <w:p>
      <w:pPr>
        <w:tabs>
          <w:tab w:val="left" w:leader="hyphen" w:pos="7980"/>
        </w:tabs>
        <w:spacing w:line="384" w:lineRule="auto"/>
        <w:ind w:firstLine="518" w:firstLineChars="185"/>
        <w:rPr>
          <w:rFonts w:ascii="宋体" w:hAnsi="宋体"/>
          <w:spacing w:val="20"/>
          <w:sz w:val="24"/>
        </w:rPr>
      </w:pPr>
      <w:r>
        <w:rPr>
          <w:rFonts w:hint="eastAsia" w:ascii="宋体" w:hAnsi="宋体"/>
          <w:spacing w:val="20"/>
          <w:sz w:val="24"/>
        </w:rPr>
        <w:t>3）《中华人民共和国城市房地产管理法》（2019年8月26日，十三届全国人大常委会第十二次会议表决通过关于修改土地管理法、城市房地产管理法的决定。本决定自2020年1月1日起施行）；</w:t>
      </w:r>
    </w:p>
    <w:p>
      <w:pPr>
        <w:tabs>
          <w:tab w:val="left" w:leader="hyphen" w:pos="7980"/>
        </w:tabs>
        <w:spacing w:line="384" w:lineRule="auto"/>
        <w:ind w:firstLine="518" w:firstLineChars="185"/>
        <w:rPr>
          <w:rFonts w:ascii="宋体" w:hAnsi="宋体"/>
          <w:spacing w:val="20"/>
          <w:sz w:val="24"/>
        </w:rPr>
      </w:pPr>
      <w:r>
        <w:rPr>
          <w:rFonts w:hint="eastAsia" w:ascii="宋体" w:hAnsi="宋体"/>
          <w:spacing w:val="20"/>
          <w:sz w:val="24"/>
        </w:rPr>
        <w:t>4）《中华人民共和国土地管理法》（2019年8月26日，十三届全国人大常委会第十二次会议表决通过关于修改土地管理法、城市房地产管理法的决定。本决定自2020年1月1日起施行）；</w:t>
      </w:r>
    </w:p>
    <w:p>
      <w:pPr>
        <w:tabs>
          <w:tab w:val="left" w:leader="hyphen" w:pos="7980"/>
        </w:tabs>
        <w:spacing w:line="384" w:lineRule="auto"/>
        <w:ind w:firstLine="518" w:firstLineChars="185"/>
        <w:rPr>
          <w:rFonts w:ascii="宋体" w:hAnsi="宋体"/>
          <w:spacing w:val="20"/>
          <w:sz w:val="24"/>
        </w:rPr>
      </w:pPr>
      <w:r>
        <w:rPr>
          <w:rFonts w:hint="eastAsia" w:ascii="宋体" w:hAnsi="宋体"/>
          <w:spacing w:val="20"/>
          <w:sz w:val="24"/>
        </w:rPr>
        <w:t>5）《中华人民共和国城乡规划法》（中华人民共和国主席令第74号,中华人民共和国第十届全国人民代表大会常务委员会第三十次会议通过，自2012年1月1日起施行）；</w:t>
      </w:r>
    </w:p>
    <w:p>
      <w:pPr>
        <w:tabs>
          <w:tab w:val="left" w:leader="hyphen" w:pos="7980"/>
        </w:tabs>
        <w:spacing w:line="384" w:lineRule="auto"/>
        <w:ind w:firstLine="518" w:firstLineChars="185"/>
        <w:rPr>
          <w:rFonts w:ascii="宋体" w:hAnsi="宋体"/>
          <w:spacing w:val="20"/>
          <w:sz w:val="24"/>
        </w:rPr>
      </w:pPr>
      <w:r>
        <w:rPr>
          <w:rFonts w:hint="eastAsia" w:ascii="宋体" w:hAnsi="宋体"/>
          <w:spacing w:val="20"/>
          <w:sz w:val="24"/>
        </w:rPr>
        <w:t>6）《中华人民共和国担保法》（中华人民共和国主席令第五十号,1995年6月30日第八届全国人民代表大会常务委员会第十四次会议通过）。</w:t>
      </w:r>
    </w:p>
    <w:p>
      <w:pPr>
        <w:tabs>
          <w:tab w:val="left" w:leader="hyphen" w:pos="7980"/>
        </w:tabs>
        <w:spacing w:line="384" w:lineRule="auto"/>
        <w:ind w:firstLine="520" w:firstLineChars="185"/>
        <w:rPr>
          <w:rFonts w:ascii="宋体" w:hAnsi="宋体"/>
          <w:b/>
          <w:spacing w:val="20"/>
          <w:sz w:val="24"/>
        </w:rPr>
      </w:pPr>
      <w:r>
        <w:rPr>
          <w:rFonts w:ascii="宋体" w:hAnsi="宋体"/>
          <w:b/>
          <w:spacing w:val="20"/>
          <w:sz w:val="24"/>
        </w:rPr>
        <w:t>2.有关技术标准</w:t>
      </w:r>
    </w:p>
    <w:p>
      <w:pPr>
        <w:tabs>
          <w:tab w:val="left" w:leader="hyphen" w:pos="7980"/>
        </w:tabs>
        <w:spacing w:line="384" w:lineRule="auto"/>
        <w:ind w:firstLine="518" w:firstLineChars="185"/>
        <w:rPr>
          <w:rFonts w:ascii="宋体" w:hAnsi="宋体"/>
          <w:spacing w:val="20"/>
          <w:sz w:val="24"/>
        </w:rPr>
      </w:pPr>
      <w:r>
        <w:rPr>
          <w:rFonts w:ascii="宋体" w:hAnsi="宋体"/>
          <w:spacing w:val="20"/>
          <w:sz w:val="24"/>
        </w:rPr>
        <w:t>1</w:t>
      </w:r>
      <w:r>
        <w:rPr>
          <w:rFonts w:hint="eastAsia" w:ascii="宋体" w:hAnsi="宋体"/>
          <w:spacing w:val="20"/>
          <w:sz w:val="24"/>
        </w:rPr>
        <w:t>）中华人民共和国国家标准《房地产估价规范》(GB/T50291-2015)；</w:t>
      </w:r>
    </w:p>
    <w:p>
      <w:pPr>
        <w:tabs>
          <w:tab w:val="left" w:leader="hyphen" w:pos="7980"/>
        </w:tabs>
        <w:spacing w:line="384" w:lineRule="auto"/>
        <w:ind w:firstLine="518" w:firstLineChars="185"/>
        <w:rPr>
          <w:rFonts w:ascii="宋体" w:hAnsi="宋体"/>
          <w:spacing w:val="20"/>
          <w:sz w:val="24"/>
        </w:rPr>
      </w:pPr>
      <w:r>
        <w:rPr>
          <w:rFonts w:ascii="宋体" w:hAnsi="宋体"/>
          <w:spacing w:val="20"/>
          <w:sz w:val="24"/>
        </w:rPr>
        <w:t>2</w:t>
      </w:r>
      <w:r>
        <w:rPr>
          <w:rFonts w:hint="eastAsia" w:ascii="宋体" w:hAnsi="宋体"/>
          <w:spacing w:val="20"/>
          <w:sz w:val="24"/>
        </w:rPr>
        <w:t>）中华人民共和国国家标准《房地产估价基本术语标准》（GB/T50899-201</w:t>
      </w:r>
      <w:r>
        <w:rPr>
          <w:rFonts w:ascii="宋体" w:hAnsi="宋体"/>
          <w:spacing w:val="20"/>
          <w:sz w:val="24"/>
        </w:rPr>
        <w:t>3</w:t>
      </w:r>
      <w:r>
        <w:rPr>
          <w:rFonts w:hint="eastAsia" w:ascii="宋体" w:hAnsi="宋体"/>
          <w:spacing w:val="20"/>
          <w:sz w:val="24"/>
        </w:rPr>
        <w:t>）。</w:t>
      </w:r>
    </w:p>
    <w:p>
      <w:pPr>
        <w:tabs>
          <w:tab w:val="left" w:leader="hyphen" w:pos="7980"/>
        </w:tabs>
        <w:spacing w:line="384" w:lineRule="auto"/>
        <w:ind w:firstLine="520" w:firstLineChars="185"/>
        <w:rPr>
          <w:rFonts w:ascii="宋体" w:hAnsi="宋体"/>
          <w:b/>
          <w:spacing w:val="20"/>
          <w:sz w:val="24"/>
        </w:rPr>
      </w:pPr>
      <w:r>
        <w:rPr>
          <w:rFonts w:ascii="宋体" w:hAnsi="宋体"/>
          <w:b/>
          <w:spacing w:val="20"/>
          <w:sz w:val="24"/>
        </w:rPr>
        <w:t>3</w:t>
      </w:r>
      <w:r>
        <w:rPr>
          <w:rFonts w:hint="eastAsia" w:ascii="宋体" w:hAnsi="宋体"/>
          <w:b/>
          <w:spacing w:val="20"/>
          <w:sz w:val="24"/>
        </w:rPr>
        <w:t>．</w:t>
      </w:r>
      <w:r>
        <w:rPr>
          <w:rFonts w:ascii="宋体" w:hAnsi="宋体"/>
          <w:b/>
          <w:spacing w:val="20"/>
          <w:sz w:val="24"/>
        </w:rPr>
        <w:t>委托人提供的资料</w:t>
      </w:r>
    </w:p>
    <w:p>
      <w:pPr>
        <w:spacing w:line="384" w:lineRule="auto"/>
        <w:ind w:firstLine="518" w:firstLineChars="185"/>
        <w:rPr>
          <w:rFonts w:ascii="宋体" w:hAnsi="宋体"/>
          <w:spacing w:val="20"/>
          <w:sz w:val="24"/>
        </w:rPr>
      </w:pPr>
      <w:r>
        <w:rPr>
          <w:rFonts w:hint="eastAsia" w:ascii="宋体" w:hAnsi="宋体"/>
          <w:spacing w:val="20"/>
          <w:sz w:val="24"/>
        </w:rPr>
        <w:t>1</w:t>
      </w:r>
      <w:r>
        <w:rPr>
          <w:rFonts w:ascii="宋体" w:hAnsi="宋体"/>
          <w:spacing w:val="20"/>
          <w:sz w:val="24"/>
        </w:rPr>
        <w:t>)</w:t>
      </w:r>
      <w:r>
        <w:rPr>
          <w:rFonts w:hint="eastAsia" w:ascii="宋体" w:hAnsi="宋体"/>
          <w:spacing w:val="20"/>
          <w:sz w:val="24"/>
        </w:rPr>
        <w:t>《广东省</w:t>
      </w:r>
      <w:r>
        <w:rPr>
          <w:rFonts w:hint="eastAsia" w:ascii="宋体" w:hAnsi="宋体"/>
          <w:spacing w:val="20"/>
          <w:sz w:val="24"/>
          <w:lang w:eastAsia="zh-CN"/>
        </w:rPr>
        <w:t>阳春市人民法院</w:t>
      </w:r>
      <w:r>
        <w:rPr>
          <w:rFonts w:hint="eastAsia" w:ascii="宋体" w:hAnsi="宋体"/>
          <w:spacing w:val="20"/>
          <w:sz w:val="24"/>
        </w:rPr>
        <w:t>司法评估委托书》</w:t>
      </w:r>
      <w:r>
        <w:rPr>
          <w:rFonts w:hint="eastAsia" w:ascii="宋体" w:hAnsi="宋体"/>
          <w:spacing w:val="20"/>
          <w:sz w:val="24"/>
          <w:lang w:eastAsia="zh-CN"/>
        </w:rPr>
        <w:t>（2022）阳春法技鉴字第102号</w:t>
      </w:r>
      <w:r>
        <w:rPr>
          <w:rFonts w:hint="eastAsia" w:ascii="宋体" w:hAnsi="宋体"/>
          <w:spacing w:val="20"/>
          <w:sz w:val="24"/>
        </w:rPr>
        <w:t>；</w:t>
      </w:r>
    </w:p>
    <w:p>
      <w:pPr>
        <w:spacing w:line="384" w:lineRule="auto"/>
        <w:ind w:firstLine="518" w:firstLineChars="185"/>
        <w:rPr>
          <w:rFonts w:ascii="宋体" w:hAnsi="宋体"/>
          <w:spacing w:val="20"/>
          <w:sz w:val="24"/>
        </w:rPr>
      </w:pPr>
      <w:r>
        <w:rPr>
          <w:rFonts w:hint="eastAsia" w:ascii="宋体" w:hAnsi="宋体"/>
          <w:spacing w:val="20"/>
          <w:sz w:val="24"/>
        </w:rPr>
        <w:t>2</w:t>
      </w:r>
      <w:r>
        <w:rPr>
          <w:rFonts w:ascii="宋体" w:hAnsi="宋体"/>
          <w:spacing w:val="20"/>
          <w:sz w:val="24"/>
        </w:rPr>
        <w:t>)</w:t>
      </w:r>
      <w:r>
        <w:rPr>
          <w:rFonts w:hint="eastAsia" w:ascii="宋体" w:hAnsi="宋体"/>
          <w:spacing w:val="20"/>
          <w:sz w:val="24"/>
        </w:rPr>
        <w:t>《不动产登记资料查询结果证明》。</w:t>
      </w:r>
    </w:p>
    <w:p>
      <w:pPr>
        <w:spacing w:line="384" w:lineRule="auto"/>
        <w:ind w:firstLine="518" w:firstLineChars="185"/>
        <w:rPr>
          <w:rFonts w:ascii="宋体" w:hAnsi="宋体"/>
          <w:spacing w:val="20"/>
          <w:sz w:val="24"/>
        </w:rPr>
      </w:pPr>
      <w:r>
        <w:rPr>
          <w:rFonts w:hint="eastAsia" w:ascii="宋体" w:hAnsi="宋体"/>
          <w:spacing w:val="20"/>
          <w:sz w:val="24"/>
        </w:rPr>
        <w:t>3</w:t>
      </w:r>
      <w:r>
        <w:rPr>
          <w:rFonts w:ascii="宋体" w:hAnsi="宋体"/>
          <w:spacing w:val="20"/>
          <w:sz w:val="24"/>
        </w:rPr>
        <w:t>)</w:t>
      </w:r>
      <w:r>
        <w:rPr>
          <w:rFonts w:hint="eastAsia" w:ascii="宋体" w:hAnsi="宋体"/>
          <w:spacing w:val="20"/>
          <w:sz w:val="24"/>
          <w:lang w:eastAsia="zh-CN"/>
        </w:rPr>
        <w:t>《广东省阳春市人民法院执行裁定书》（</w:t>
      </w:r>
      <w:r>
        <w:rPr>
          <w:rFonts w:hint="eastAsia" w:ascii="宋体" w:hAnsi="宋体"/>
          <w:spacing w:val="20"/>
          <w:sz w:val="24"/>
          <w:lang w:val="en-US" w:eastAsia="zh-CN"/>
        </w:rPr>
        <w:t>2021</w:t>
      </w:r>
      <w:r>
        <w:rPr>
          <w:rFonts w:hint="eastAsia" w:ascii="宋体" w:hAnsi="宋体"/>
          <w:spacing w:val="20"/>
          <w:sz w:val="24"/>
          <w:lang w:eastAsia="zh-CN"/>
        </w:rPr>
        <w:t>）粤</w:t>
      </w:r>
      <w:r>
        <w:rPr>
          <w:rFonts w:hint="eastAsia" w:ascii="宋体" w:hAnsi="宋体"/>
          <w:spacing w:val="20"/>
          <w:sz w:val="24"/>
          <w:lang w:val="en-US" w:eastAsia="zh-CN"/>
        </w:rPr>
        <w:t>1781执2025号</w:t>
      </w:r>
    </w:p>
    <w:p>
      <w:pPr>
        <w:tabs>
          <w:tab w:val="left" w:leader="hyphen" w:pos="7980"/>
        </w:tabs>
        <w:spacing w:line="384" w:lineRule="auto"/>
        <w:ind w:firstLine="520" w:firstLineChars="185"/>
        <w:rPr>
          <w:rFonts w:ascii="宋体" w:hAnsi="宋体"/>
          <w:b/>
          <w:spacing w:val="20"/>
          <w:sz w:val="24"/>
        </w:rPr>
      </w:pPr>
      <w:r>
        <w:rPr>
          <w:rFonts w:ascii="宋体" w:hAnsi="宋体"/>
          <w:b/>
          <w:spacing w:val="20"/>
          <w:sz w:val="24"/>
        </w:rPr>
        <w:t>4</w:t>
      </w:r>
      <w:r>
        <w:rPr>
          <w:rFonts w:hint="eastAsia" w:ascii="宋体" w:hAnsi="宋体"/>
          <w:b/>
          <w:spacing w:val="20"/>
          <w:sz w:val="24"/>
        </w:rPr>
        <w:t>．</w:t>
      </w:r>
      <w:r>
        <w:rPr>
          <w:rFonts w:ascii="宋体" w:hAnsi="宋体"/>
          <w:b/>
          <w:spacing w:val="20"/>
          <w:sz w:val="24"/>
        </w:rPr>
        <w:t>其他资料</w:t>
      </w:r>
    </w:p>
    <w:p>
      <w:pPr>
        <w:spacing w:line="384" w:lineRule="auto"/>
        <w:ind w:firstLine="518" w:firstLineChars="185"/>
        <w:rPr>
          <w:rFonts w:ascii="宋体" w:hAnsi="宋体"/>
          <w:spacing w:val="20"/>
          <w:sz w:val="24"/>
        </w:rPr>
      </w:pPr>
      <w:r>
        <w:rPr>
          <w:rFonts w:hint="eastAsia" w:ascii="宋体" w:hAnsi="宋体"/>
          <w:spacing w:val="20"/>
          <w:sz w:val="24"/>
        </w:rPr>
        <w:t>1）现场勘察、摄影和记录；</w:t>
      </w:r>
    </w:p>
    <w:p>
      <w:pPr>
        <w:spacing w:line="384" w:lineRule="auto"/>
        <w:ind w:firstLine="518" w:firstLineChars="185"/>
        <w:rPr>
          <w:rFonts w:ascii="宋体" w:hAnsi="宋体"/>
          <w:spacing w:val="20"/>
          <w:sz w:val="24"/>
        </w:rPr>
      </w:pPr>
      <w:r>
        <w:rPr>
          <w:rFonts w:hint="eastAsia" w:ascii="宋体" w:hAnsi="宋体"/>
          <w:spacing w:val="20"/>
          <w:sz w:val="24"/>
        </w:rPr>
        <w:t>2）估价对象法定优先受偿权利调查；</w:t>
      </w:r>
    </w:p>
    <w:p>
      <w:pPr>
        <w:spacing w:line="384" w:lineRule="auto"/>
        <w:ind w:firstLine="518" w:firstLineChars="185"/>
        <w:rPr>
          <w:rFonts w:ascii="宋体" w:hAnsi="宋体"/>
          <w:spacing w:val="20"/>
          <w:sz w:val="24"/>
        </w:rPr>
      </w:pPr>
      <w:r>
        <w:rPr>
          <w:rFonts w:hint="eastAsia" w:ascii="宋体" w:hAnsi="宋体"/>
          <w:spacing w:val="20"/>
          <w:sz w:val="24"/>
        </w:rPr>
        <w:t>3）阳江市房地产市场信息；</w:t>
      </w:r>
    </w:p>
    <w:p>
      <w:pPr>
        <w:spacing w:line="384" w:lineRule="auto"/>
        <w:ind w:firstLine="518" w:firstLineChars="185"/>
        <w:rPr>
          <w:rFonts w:ascii="宋体" w:hAnsi="宋体"/>
          <w:spacing w:val="20"/>
          <w:sz w:val="24"/>
        </w:rPr>
      </w:pPr>
      <w:r>
        <w:rPr>
          <w:rFonts w:hint="eastAsia" w:ascii="宋体" w:hAnsi="宋体"/>
          <w:spacing w:val="20"/>
          <w:sz w:val="24"/>
        </w:rPr>
        <w:t>4）人民银行公布的资金存、贷款利率；</w:t>
      </w:r>
    </w:p>
    <w:p>
      <w:pPr>
        <w:spacing w:line="384" w:lineRule="auto"/>
        <w:ind w:firstLine="518" w:firstLineChars="185"/>
        <w:rPr>
          <w:rFonts w:ascii="宋体" w:hAnsi="宋体"/>
          <w:spacing w:val="20"/>
          <w:sz w:val="24"/>
        </w:rPr>
      </w:pPr>
      <w:r>
        <w:rPr>
          <w:rFonts w:hint="eastAsia" w:ascii="宋体" w:hAnsi="宋体"/>
          <w:spacing w:val="20"/>
          <w:sz w:val="24"/>
        </w:rPr>
        <w:t>5）估价对象区域内房地产投资回报状况；</w:t>
      </w:r>
    </w:p>
    <w:p>
      <w:pPr>
        <w:spacing w:line="384" w:lineRule="auto"/>
        <w:ind w:firstLine="518" w:firstLineChars="185"/>
        <w:rPr>
          <w:rFonts w:ascii="宋体" w:hAnsi="宋体"/>
          <w:spacing w:val="20"/>
          <w:sz w:val="24"/>
        </w:rPr>
      </w:pPr>
      <w:r>
        <w:rPr>
          <w:rFonts w:hint="eastAsia" w:ascii="宋体" w:hAnsi="宋体"/>
          <w:spacing w:val="20"/>
          <w:sz w:val="24"/>
        </w:rPr>
        <w:t>6）估价机构及估价人员掌握的其他相关信息资料。</w:t>
      </w:r>
    </w:p>
    <w:p>
      <w:pPr>
        <w:pStyle w:val="3"/>
        <w:spacing w:before="0" w:after="0" w:line="384" w:lineRule="auto"/>
        <w:rPr>
          <w:rFonts w:ascii="宋体" w:hAnsi="宋体" w:eastAsia="宋体"/>
          <w:spacing w:val="20"/>
          <w:sz w:val="24"/>
          <w:szCs w:val="24"/>
        </w:rPr>
      </w:pPr>
      <w:bookmarkStart w:id="43" w:name="_Toc17190"/>
      <w:r>
        <w:rPr>
          <w:rFonts w:ascii="宋体" w:hAnsi="宋体" w:eastAsia="宋体"/>
          <w:spacing w:val="20"/>
          <w:sz w:val="24"/>
          <w:szCs w:val="24"/>
        </w:rPr>
        <w:t>(八)估价原则</w:t>
      </w:r>
      <w:bookmarkEnd w:id="43"/>
    </w:p>
    <w:p>
      <w:pPr>
        <w:spacing w:line="384" w:lineRule="auto"/>
        <w:ind w:firstLine="560" w:firstLineChars="200"/>
        <w:rPr>
          <w:rFonts w:ascii="宋体" w:hAnsi="宋体"/>
          <w:spacing w:val="20"/>
          <w:sz w:val="24"/>
        </w:rPr>
      </w:pPr>
      <w:r>
        <w:rPr>
          <w:rFonts w:hint="eastAsia" w:ascii="宋体" w:hAnsi="宋体"/>
          <w:spacing w:val="20"/>
          <w:sz w:val="24"/>
        </w:rPr>
        <w:t>根据委托项目的具体情况，本次房地产估价主要遵循独立、客观、公正原则和合法原则、最高最佳利用原则、替代原则、价值时点原则。</w:t>
      </w:r>
    </w:p>
    <w:p>
      <w:pPr>
        <w:spacing w:line="384" w:lineRule="auto"/>
        <w:ind w:firstLine="560" w:firstLineChars="200"/>
        <w:rPr>
          <w:rFonts w:ascii="宋体" w:hAnsi="宋体"/>
          <w:spacing w:val="20"/>
          <w:sz w:val="24"/>
        </w:rPr>
      </w:pPr>
      <w:r>
        <w:rPr>
          <w:rFonts w:ascii="宋体" w:hAnsi="宋体"/>
          <w:spacing w:val="20"/>
          <w:sz w:val="24"/>
        </w:rPr>
        <w:t>1.</w:t>
      </w:r>
      <w:r>
        <w:rPr>
          <w:rFonts w:hint="eastAsia" w:ascii="宋体" w:hAnsi="宋体"/>
          <w:spacing w:val="20"/>
          <w:sz w:val="24"/>
        </w:rPr>
        <w:t>遵循独立、客观、公正原则：</w:t>
      </w:r>
    </w:p>
    <w:p>
      <w:pPr>
        <w:spacing w:line="384" w:lineRule="auto"/>
        <w:ind w:firstLine="560" w:firstLineChars="200"/>
        <w:rPr>
          <w:rFonts w:ascii="宋体" w:hAnsi="宋体"/>
          <w:spacing w:val="20"/>
          <w:sz w:val="24"/>
        </w:rPr>
      </w:pPr>
      <w:r>
        <w:rPr>
          <w:rFonts w:hint="eastAsia" w:ascii="宋体" w:hAnsi="宋体"/>
          <w:spacing w:val="20"/>
          <w:sz w:val="24"/>
        </w:rPr>
        <w:t>要求房地产估价师站在中立的立场上，评估出对各方当事人来说均是公平合理的价值。独立的要求是房地产估价师不应受任何组织或个人的非法干预，完全凭借自己的专业知识、经验应有的职业道德进行估价。客观的要求是房地产估价师不应带着自己的好恶情感偏见、完全从客观实际出发、反映事物的本来面目。公正的要求是房地产估价师在估价中应当公平正直，不偏袒相关当事人中的任何一方。</w:t>
      </w:r>
    </w:p>
    <w:p>
      <w:pPr>
        <w:spacing w:line="384" w:lineRule="auto"/>
        <w:ind w:firstLine="560" w:firstLineChars="200"/>
        <w:rPr>
          <w:rFonts w:ascii="宋体" w:hAnsi="宋体"/>
          <w:spacing w:val="20"/>
          <w:sz w:val="24"/>
        </w:rPr>
      </w:pPr>
      <w:r>
        <w:rPr>
          <w:rFonts w:hint="eastAsia" w:ascii="宋体" w:hAnsi="宋体"/>
          <w:spacing w:val="20"/>
          <w:sz w:val="24"/>
        </w:rPr>
        <w:t>本公司具有完全独立性，参与本次评估的估价人员与估价对象及相关当事人没有利害关系，一切从实际出发，实事求是地进行估价。</w:t>
      </w:r>
    </w:p>
    <w:p>
      <w:pPr>
        <w:spacing w:line="384" w:lineRule="auto"/>
        <w:ind w:firstLine="560" w:firstLineChars="200"/>
        <w:rPr>
          <w:rFonts w:ascii="宋体" w:hAnsi="宋体"/>
          <w:spacing w:val="20"/>
          <w:sz w:val="24"/>
        </w:rPr>
      </w:pPr>
      <w:r>
        <w:rPr>
          <w:rFonts w:ascii="宋体" w:hAnsi="宋体"/>
          <w:spacing w:val="20"/>
          <w:sz w:val="24"/>
        </w:rPr>
        <w:t>2</w:t>
      </w:r>
      <w:r>
        <w:rPr>
          <w:rFonts w:hint="eastAsia" w:ascii="宋体" w:hAnsi="宋体"/>
          <w:spacing w:val="20"/>
          <w:sz w:val="24"/>
        </w:rPr>
        <w:t>．遵循合法原则：</w:t>
      </w:r>
    </w:p>
    <w:p>
      <w:pPr>
        <w:spacing w:line="384" w:lineRule="auto"/>
        <w:ind w:firstLine="560" w:firstLineChars="200"/>
        <w:rPr>
          <w:rFonts w:ascii="宋体" w:hAnsi="宋体"/>
          <w:spacing w:val="20"/>
          <w:sz w:val="24"/>
        </w:rPr>
      </w:pPr>
      <w:r>
        <w:rPr>
          <w:rFonts w:hint="eastAsia" w:ascii="宋体" w:hAnsi="宋体"/>
          <w:spacing w:val="20"/>
          <w:sz w:val="24"/>
        </w:rPr>
        <w:t>要求估价结果是在依法判定的估价对象状况下的价值或价格的原则。估价对象的权益不是委托人或估价人员可以随意假定的，必须有合法的依据，以合法使用、合法处分为前提进行估价。</w:t>
      </w:r>
    </w:p>
    <w:p>
      <w:pPr>
        <w:spacing w:line="384" w:lineRule="auto"/>
        <w:ind w:firstLine="560" w:firstLineChars="200"/>
        <w:rPr>
          <w:rFonts w:ascii="宋体" w:hAnsi="宋体"/>
          <w:spacing w:val="20"/>
          <w:sz w:val="24"/>
        </w:rPr>
      </w:pPr>
      <w:r>
        <w:rPr>
          <w:rFonts w:hint="eastAsia" w:ascii="宋体" w:hAnsi="宋体"/>
          <w:spacing w:val="20"/>
          <w:sz w:val="24"/>
        </w:rPr>
        <w:t>本次评估中，我们是以</w:t>
      </w:r>
      <w:bookmarkStart w:id="44" w:name="附16"/>
      <w:r>
        <w:rPr>
          <w:rFonts w:hint="eastAsia" w:ascii="宋体" w:hAnsi="宋体"/>
          <w:spacing w:val="20"/>
          <w:sz w:val="24"/>
        </w:rPr>
        <w:t>《不动产登记资料查询答复书》为</w:t>
      </w:r>
      <w:bookmarkEnd w:id="44"/>
      <w:r>
        <w:rPr>
          <w:rFonts w:hint="eastAsia" w:ascii="宋体" w:hAnsi="宋体"/>
          <w:spacing w:val="20"/>
          <w:sz w:val="24"/>
        </w:rPr>
        <w:t>合法前提确定房地产的产权、用途、面积等状况，对房地产的价格进行评估。</w:t>
      </w:r>
    </w:p>
    <w:p>
      <w:pPr>
        <w:spacing w:line="384" w:lineRule="auto"/>
        <w:ind w:firstLine="560" w:firstLineChars="200"/>
        <w:rPr>
          <w:rFonts w:ascii="宋体" w:hAnsi="宋体"/>
          <w:spacing w:val="20"/>
          <w:sz w:val="24"/>
        </w:rPr>
      </w:pPr>
      <w:r>
        <w:rPr>
          <w:rFonts w:ascii="宋体" w:hAnsi="宋体"/>
          <w:spacing w:val="20"/>
          <w:sz w:val="24"/>
        </w:rPr>
        <w:t>3</w:t>
      </w:r>
      <w:r>
        <w:rPr>
          <w:rFonts w:hint="eastAsia" w:ascii="宋体" w:hAnsi="宋体"/>
          <w:spacing w:val="20"/>
          <w:sz w:val="24"/>
        </w:rPr>
        <w:t>．遵循最高最佳使用原则：</w:t>
      </w:r>
    </w:p>
    <w:p>
      <w:pPr>
        <w:spacing w:line="384" w:lineRule="auto"/>
        <w:ind w:firstLine="560" w:firstLineChars="200"/>
        <w:rPr>
          <w:rFonts w:ascii="宋体" w:hAnsi="宋体"/>
          <w:spacing w:val="20"/>
          <w:sz w:val="24"/>
        </w:rPr>
      </w:pPr>
      <w:r>
        <w:rPr>
          <w:rFonts w:hint="eastAsia" w:ascii="宋体" w:hAnsi="宋体"/>
          <w:spacing w:val="20"/>
          <w:sz w:val="24"/>
        </w:rPr>
        <w:t>要求估价结果是在估价对象最高最佳利用状况下的价值或价格的原则。最高最佳利用是指房地产在法律上允许、技术上可能、财务上可行并使价值最大的合理、可能的利用，包括最佳的用途、规模、档次等。</w:t>
      </w:r>
    </w:p>
    <w:p>
      <w:pPr>
        <w:spacing w:line="384" w:lineRule="auto"/>
        <w:ind w:firstLine="560" w:firstLineChars="200"/>
        <w:rPr>
          <w:rFonts w:ascii="宋体" w:hAnsi="宋体"/>
          <w:spacing w:val="20"/>
          <w:sz w:val="24"/>
        </w:rPr>
      </w:pPr>
      <w:bookmarkStart w:id="45" w:name="附17"/>
      <w:r>
        <w:rPr>
          <w:rFonts w:hint="eastAsia" w:ascii="宋体" w:hAnsi="宋体"/>
          <w:spacing w:val="20"/>
          <w:sz w:val="24"/>
        </w:rPr>
        <w:t>估价对象证载用途为</w:t>
      </w:r>
      <w:r>
        <w:rPr>
          <w:rFonts w:hint="eastAsia" w:ascii="宋体" w:hAnsi="宋体"/>
          <w:spacing w:val="20"/>
          <w:sz w:val="24"/>
          <w:lang w:eastAsia="zh-CN"/>
        </w:rPr>
        <w:t>住宅</w:t>
      </w:r>
      <w:r>
        <w:rPr>
          <w:rFonts w:hint="eastAsia" w:ascii="宋体" w:hAnsi="宋体"/>
          <w:spacing w:val="20"/>
          <w:sz w:val="24"/>
        </w:rPr>
        <w:t>，规划用途为</w:t>
      </w:r>
      <w:r>
        <w:rPr>
          <w:rFonts w:hint="eastAsia" w:ascii="宋体" w:hAnsi="宋体"/>
          <w:spacing w:val="20"/>
          <w:sz w:val="24"/>
          <w:lang w:eastAsia="zh-CN"/>
        </w:rPr>
        <w:t>住宅</w:t>
      </w:r>
      <w:r>
        <w:rPr>
          <w:rFonts w:hint="eastAsia" w:ascii="宋体" w:hAnsi="宋体"/>
          <w:spacing w:val="20"/>
          <w:sz w:val="24"/>
        </w:rPr>
        <w:t>，符合最高最佳使用原则，本报告按</w:t>
      </w:r>
      <w:r>
        <w:rPr>
          <w:rFonts w:hint="eastAsia" w:ascii="宋体" w:hAnsi="宋体"/>
          <w:spacing w:val="20"/>
          <w:sz w:val="24"/>
          <w:lang w:eastAsia="zh-CN"/>
        </w:rPr>
        <w:t>住宅</w:t>
      </w:r>
      <w:r>
        <w:rPr>
          <w:rFonts w:hint="eastAsia" w:ascii="宋体" w:hAnsi="宋体"/>
          <w:spacing w:val="20"/>
          <w:sz w:val="24"/>
        </w:rPr>
        <w:t>用途进行估价。</w:t>
      </w:r>
    </w:p>
    <w:bookmarkEnd w:id="45"/>
    <w:p>
      <w:pPr>
        <w:spacing w:line="384" w:lineRule="auto"/>
        <w:ind w:firstLine="560" w:firstLineChars="200"/>
        <w:rPr>
          <w:rFonts w:ascii="宋体" w:hAnsi="宋体"/>
          <w:spacing w:val="20"/>
          <w:sz w:val="24"/>
        </w:rPr>
      </w:pPr>
      <w:r>
        <w:rPr>
          <w:rFonts w:ascii="宋体" w:hAnsi="宋体"/>
          <w:spacing w:val="20"/>
          <w:sz w:val="24"/>
        </w:rPr>
        <w:t>4</w:t>
      </w:r>
      <w:r>
        <w:rPr>
          <w:rFonts w:hint="eastAsia" w:ascii="宋体" w:hAnsi="宋体"/>
          <w:spacing w:val="20"/>
          <w:sz w:val="24"/>
        </w:rPr>
        <w:t>．遵循替代原则：</w:t>
      </w:r>
    </w:p>
    <w:p>
      <w:pPr>
        <w:spacing w:line="384" w:lineRule="auto"/>
        <w:ind w:firstLine="560" w:firstLineChars="200"/>
        <w:rPr>
          <w:rFonts w:ascii="宋体" w:hAnsi="宋体"/>
          <w:spacing w:val="20"/>
          <w:sz w:val="24"/>
        </w:rPr>
      </w:pPr>
      <w:r>
        <w:rPr>
          <w:rFonts w:hint="eastAsia" w:ascii="宋体" w:hAnsi="宋体"/>
          <w:spacing w:val="20"/>
          <w:sz w:val="24"/>
        </w:rPr>
        <w:t>要求估价结果与估价对象的类似房地产在同等条件下的价值或价格偏差在合理范围内的原则。在评估一宗房地产的价格时，若同一供求圈内,存在用途、规模、档次、建筑结构等方面与估价对象相同或相近的房地产，则应遵循替代原则。</w:t>
      </w:r>
    </w:p>
    <w:p>
      <w:pPr>
        <w:spacing w:line="384" w:lineRule="auto"/>
        <w:ind w:firstLine="560" w:firstLineChars="200"/>
        <w:rPr>
          <w:rFonts w:ascii="宋体" w:hAnsi="宋体"/>
          <w:spacing w:val="20"/>
          <w:sz w:val="24"/>
        </w:rPr>
      </w:pPr>
      <w:r>
        <w:rPr>
          <w:rFonts w:hint="eastAsia" w:ascii="宋体" w:hAnsi="宋体"/>
          <w:spacing w:val="20"/>
          <w:sz w:val="24"/>
        </w:rPr>
        <w:t>本次评估主要是参照公开市场上足够数量、可比性较强的类似房地产近期成交案例等，运用比较法来确定估价对象的客观合理价格或者价值，体现了替代原则。</w:t>
      </w:r>
    </w:p>
    <w:p>
      <w:pPr>
        <w:spacing w:line="384" w:lineRule="auto"/>
        <w:ind w:firstLine="560" w:firstLineChars="200"/>
        <w:rPr>
          <w:rFonts w:ascii="宋体" w:hAnsi="宋体"/>
          <w:spacing w:val="20"/>
          <w:sz w:val="24"/>
        </w:rPr>
      </w:pPr>
      <w:r>
        <w:rPr>
          <w:rFonts w:ascii="宋体" w:hAnsi="宋体"/>
          <w:spacing w:val="20"/>
          <w:sz w:val="24"/>
        </w:rPr>
        <w:t>5</w:t>
      </w:r>
      <w:r>
        <w:rPr>
          <w:rFonts w:hint="eastAsia" w:ascii="宋体" w:hAnsi="宋体"/>
          <w:spacing w:val="20"/>
          <w:sz w:val="24"/>
        </w:rPr>
        <w:t>．遵循价值时点原则：</w:t>
      </w:r>
    </w:p>
    <w:p>
      <w:pPr>
        <w:spacing w:line="384" w:lineRule="auto"/>
        <w:ind w:firstLine="560" w:firstLineChars="200"/>
        <w:rPr>
          <w:rFonts w:ascii="宋体" w:hAnsi="宋体"/>
          <w:spacing w:val="20"/>
          <w:sz w:val="24"/>
        </w:rPr>
      </w:pPr>
      <w:r>
        <w:rPr>
          <w:rFonts w:hint="eastAsia" w:ascii="宋体" w:hAnsi="宋体"/>
          <w:spacing w:val="20"/>
          <w:sz w:val="24"/>
        </w:rPr>
        <w:t>要求估价结果是在根据估价目的确定的某一特定时间的价值或价格的原则。价值时点原则强调的是估价结论具有很强的时间相关性和时效性。估价结论首先具有很强的时间相关性，这是考虑到资金的时间价值，在不同的时间点上发生的现金流量对其价值影响是不同的。估价结论同时具有很强的时效性，这是考虑到房地产市场的波动性，同一估价对象在不同时点会具有不同的市场价格。</w:t>
      </w:r>
    </w:p>
    <w:p>
      <w:pPr>
        <w:spacing w:line="384" w:lineRule="auto"/>
        <w:ind w:firstLine="560" w:firstLineChars="200"/>
        <w:rPr>
          <w:rFonts w:ascii="宋体" w:hAnsi="宋体"/>
          <w:spacing w:val="20"/>
          <w:kern w:val="0"/>
          <w:sz w:val="24"/>
        </w:rPr>
      </w:pPr>
      <w:r>
        <w:rPr>
          <w:rFonts w:hint="eastAsia" w:ascii="宋体" w:hAnsi="宋体"/>
          <w:spacing w:val="20"/>
          <w:kern w:val="0"/>
          <w:sz w:val="24"/>
        </w:rPr>
        <w:t>本次评估以现场勘察日作为本次价值时点，符合价值时点原则。</w:t>
      </w:r>
    </w:p>
    <w:p>
      <w:pPr>
        <w:pStyle w:val="3"/>
        <w:spacing w:before="0" w:after="0" w:line="384" w:lineRule="auto"/>
        <w:rPr>
          <w:rFonts w:ascii="宋体" w:hAnsi="宋体" w:eastAsia="宋体"/>
          <w:spacing w:val="20"/>
          <w:sz w:val="24"/>
          <w:szCs w:val="24"/>
        </w:rPr>
      </w:pPr>
      <w:r>
        <w:rPr>
          <w:rFonts w:ascii="宋体" w:hAnsi="宋体" w:eastAsia="宋体"/>
          <w:spacing w:val="20"/>
          <w:sz w:val="24"/>
          <w:szCs w:val="24"/>
        </w:rPr>
        <w:t xml:space="preserve"> </w:t>
      </w:r>
      <w:bookmarkStart w:id="46" w:name="_Toc18702"/>
      <w:r>
        <w:rPr>
          <w:rFonts w:ascii="宋体" w:hAnsi="宋体" w:eastAsia="宋体"/>
          <w:spacing w:val="20"/>
          <w:sz w:val="24"/>
          <w:szCs w:val="24"/>
        </w:rPr>
        <w:t>(九)估价方法</w:t>
      </w:r>
      <w:bookmarkEnd w:id="46"/>
    </w:p>
    <w:p>
      <w:pPr>
        <w:spacing w:line="384" w:lineRule="auto"/>
        <w:ind w:firstLine="560" w:firstLineChars="200"/>
        <w:rPr>
          <w:rFonts w:ascii="宋体" w:hAnsi="宋体"/>
          <w:spacing w:val="20"/>
          <w:sz w:val="24"/>
        </w:rPr>
      </w:pPr>
      <w:r>
        <w:rPr>
          <w:rFonts w:ascii="宋体" w:hAnsi="宋体"/>
          <w:spacing w:val="20"/>
          <w:sz w:val="24"/>
        </w:rPr>
        <w:t>1</w:t>
      </w:r>
      <w:r>
        <w:rPr>
          <w:rFonts w:hint="eastAsia" w:ascii="宋体" w:hAnsi="宋体"/>
          <w:spacing w:val="20"/>
          <w:sz w:val="24"/>
        </w:rPr>
        <w:t>．房地产估价方法介绍及本次评估选取估价方法的理由</w:t>
      </w:r>
    </w:p>
    <w:p>
      <w:pPr>
        <w:spacing w:line="384" w:lineRule="auto"/>
        <w:ind w:firstLine="560" w:firstLineChars="200"/>
        <w:rPr>
          <w:rFonts w:ascii="宋体" w:hAnsi="宋体"/>
          <w:spacing w:val="20"/>
          <w:sz w:val="24"/>
        </w:rPr>
      </w:pPr>
      <w:r>
        <w:rPr>
          <w:rFonts w:hint="eastAsia" w:ascii="宋体" w:hAnsi="宋体"/>
          <w:spacing w:val="20"/>
          <w:sz w:val="24"/>
        </w:rPr>
        <w:t>根据《房地产估价规范》，房地产估价方法主要有比较法、收益法、</w:t>
      </w:r>
      <w:r>
        <w:rPr>
          <w:rFonts w:ascii="宋体" w:hAnsi="宋体"/>
          <w:spacing w:val="20"/>
          <w:sz w:val="24"/>
        </w:rPr>
        <w:t>假设开发法</w:t>
      </w:r>
      <w:r>
        <w:rPr>
          <w:rFonts w:hint="eastAsia" w:ascii="宋体" w:hAnsi="宋体"/>
          <w:spacing w:val="20"/>
          <w:sz w:val="24"/>
        </w:rPr>
        <w:t>、成本法等，估价方法的选择是根据估价对象所在区域的房地产市场状况、估价基础资料的可用性和估价对象的性质、特点等因素来确定的。</w:t>
      </w:r>
    </w:p>
    <w:p>
      <w:pPr>
        <w:spacing w:line="384" w:lineRule="auto"/>
        <w:ind w:firstLine="560" w:firstLineChars="200"/>
        <w:rPr>
          <w:rFonts w:ascii="宋体" w:hAnsi="宋体"/>
          <w:spacing w:val="22"/>
          <w:sz w:val="24"/>
        </w:rPr>
      </w:pPr>
      <w:r>
        <w:rPr>
          <w:rFonts w:hint="eastAsia" w:ascii="宋体" w:hAnsi="宋体"/>
          <w:spacing w:val="20"/>
          <w:sz w:val="24"/>
        </w:rPr>
        <w:t>估价人员在认真分析所掌握的资料并对估价对象进行实地勘察后，根据估价对象的特点及本身的实际情况，遵照国家标准《房地产估价规范》，最终选择</w:t>
      </w:r>
      <w:r>
        <w:rPr>
          <w:rFonts w:ascii="宋体" w:hAnsi="宋体"/>
          <w:spacing w:val="20"/>
          <w:sz w:val="24"/>
        </w:rPr>
        <w:t>比较法</w:t>
      </w:r>
      <w:r>
        <w:rPr>
          <w:rFonts w:hint="eastAsia" w:ascii="宋体" w:hAnsi="宋体"/>
          <w:spacing w:val="20"/>
          <w:sz w:val="24"/>
        </w:rPr>
        <w:t>求取估价对象的市场价值。具体分析如下表所示：</w:t>
      </w:r>
    </w:p>
    <w:tbl>
      <w:tblPr>
        <w:tblStyle w:val="33"/>
        <w:tblW w:w="0" w:type="auto"/>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1421"/>
        <w:gridCol w:w="3737"/>
        <w:gridCol w:w="3523"/>
        <w:gridCol w:w="776"/>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blHeader/>
        </w:trPr>
        <w:tc>
          <w:tcPr>
            <w:tcW w:w="1421" w:type="dxa"/>
            <w:tcBorders>
              <w:bottom w:val="single" w:color="000000" w:sz="12" w:space="0"/>
            </w:tcBorders>
            <w:vAlign w:val="center"/>
          </w:tcPr>
          <w:p>
            <w:pPr>
              <w:pStyle w:val="16"/>
              <w:spacing w:line="300" w:lineRule="exact"/>
              <w:jc w:val="center"/>
              <w:rPr>
                <w:rFonts w:hAnsi="宋体"/>
                <w:b/>
                <w:bCs/>
                <w:sz w:val="18"/>
                <w:szCs w:val="18"/>
              </w:rPr>
            </w:pPr>
            <w:r>
              <w:rPr>
                <w:rFonts w:hAnsi="宋体"/>
                <w:b/>
                <w:bCs/>
                <w:sz w:val="18"/>
                <w:szCs w:val="18"/>
              </w:rPr>
              <w:t>可选估价方法</w:t>
            </w:r>
          </w:p>
        </w:tc>
        <w:tc>
          <w:tcPr>
            <w:tcW w:w="3737" w:type="dxa"/>
            <w:tcBorders>
              <w:bottom w:val="single" w:color="000000" w:sz="12" w:space="0"/>
            </w:tcBorders>
            <w:vAlign w:val="center"/>
          </w:tcPr>
          <w:p>
            <w:pPr>
              <w:pStyle w:val="16"/>
              <w:spacing w:line="300" w:lineRule="exact"/>
              <w:jc w:val="center"/>
              <w:rPr>
                <w:rFonts w:hAnsi="宋体"/>
                <w:b/>
                <w:bCs/>
                <w:sz w:val="18"/>
                <w:szCs w:val="18"/>
              </w:rPr>
            </w:pPr>
            <w:r>
              <w:rPr>
                <w:rFonts w:hAnsi="宋体"/>
                <w:b/>
                <w:bCs/>
                <w:sz w:val="18"/>
                <w:szCs w:val="18"/>
              </w:rPr>
              <w:t>估价方法定义、</w:t>
            </w:r>
            <w:r>
              <w:rPr>
                <w:rFonts w:hint="eastAsia" w:hAnsi="宋体"/>
                <w:b/>
                <w:bCs/>
                <w:sz w:val="18"/>
                <w:szCs w:val="18"/>
              </w:rPr>
              <w:t>公式及适用范围</w:t>
            </w:r>
          </w:p>
        </w:tc>
        <w:tc>
          <w:tcPr>
            <w:tcW w:w="3523" w:type="dxa"/>
            <w:tcBorders>
              <w:bottom w:val="single" w:color="000000" w:sz="12" w:space="0"/>
            </w:tcBorders>
            <w:vAlign w:val="center"/>
          </w:tcPr>
          <w:p>
            <w:pPr>
              <w:pStyle w:val="16"/>
              <w:spacing w:line="300" w:lineRule="exact"/>
              <w:jc w:val="center"/>
              <w:rPr>
                <w:rFonts w:hAnsi="宋体"/>
                <w:b/>
                <w:bCs/>
                <w:sz w:val="18"/>
                <w:szCs w:val="18"/>
              </w:rPr>
            </w:pPr>
            <w:r>
              <w:rPr>
                <w:rFonts w:hAnsi="宋体"/>
                <w:b/>
                <w:bCs/>
                <w:sz w:val="18"/>
                <w:szCs w:val="18"/>
              </w:rPr>
              <w:t>估价方法是否选择理由</w:t>
            </w:r>
          </w:p>
        </w:tc>
        <w:tc>
          <w:tcPr>
            <w:tcW w:w="776" w:type="dxa"/>
            <w:tcBorders>
              <w:bottom w:val="single" w:color="000000" w:sz="12" w:space="0"/>
            </w:tcBorders>
            <w:vAlign w:val="center"/>
          </w:tcPr>
          <w:p>
            <w:pPr>
              <w:pStyle w:val="16"/>
              <w:spacing w:line="300" w:lineRule="exact"/>
              <w:jc w:val="center"/>
              <w:rPr>
                <w:rFonts w:hAnsi="宋体"/>
                <w:b/>
                <w:bCs/>
                <w:sz w:val="18"/>
                <w:szCs w:val="18"/>
              </w:rPr>
            </w:pPr>
            <w:r>
              <w:rPr>
                <w:rFonts w:hAnsi="宋体"/>
                <w:b/>
                <w:bCs/>
                <w:sz w:val="18"/>
                <w:szCs w:val="18"/>
              </w:rPr>
              <w:t>是否</w:t>
            </w:r>
          </w:p>
          <w:p>
            <w:pPr>
              <w:pStyle w:val="16"/>
              <w:spacing w:line="300" w:lineRule="exact"/>
              <w:jc w:val="center"/>
              <w:rPr>
                <w:rFonts w:hAnsi="宋体"/>
                <w:b/>
                <w:bCs/>
                <w:sz w:val="18"/>
                <w:szCs w:val="18"/>
              </w:rPr>
            </w:pPr>
            <w:r>
              <w:rPr>
                <w:rFonts w:hAnsi="宋体"/>
                <w:b/>
                <w:bCs/>
                <w:sz w:val="18"/>
                <w:szCs w:val="18"/>
              </w:rPr>
              <w:t>选取</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58" w:hRule="atLeast"/>
        </w:trPr>
        <w:tc>
          <w:tcPr>
            <w:tcW w:w="1421" w:type="dxa"/>
          </w:tcPr>
          <w:p>
            <w:pPr>
              <w:pStyle w:val="16"/>
              <w:spacing w:line="300" w:lineRule="exact"/>
              <w:rPr>
                <w:rFonts w:hAnsi="宋体"/>
                <w:sz w:val="18"/>
                <w:szCs w:val="18"/>
              </w:rPr>
            </w:pPr>
            <w:r>
              <w:rPr>
                <w:rFonts w:hAnsi="宋体"/>
                <w:sz w:val="18"/>
                <w:szCs w:val="18"/>
              </w:rPr>
              <w:t>比较法</w:t>
            </w:r>
          </w:p>
        </w:tc>
        <w:tc>
          <w:tcPr>
            <w:tcW w:w="3737" w:type="dxa"/>
          </w:tcPr>
          <w:p>
            <w:pPr>
              <w:pStyle w:val="16"/>
              <w:spacing w:line="300" w:lineRule="exact"/>
              <w:ind w:firstLine="412" w:firstLineChars="229"/>
              <w:rPr>
                <w:rFonts w:hAnsi="宋体"/>
                <w:sz w:val="18"/>
                <w:szCs w:val="18"/>
              </w:rPr>
            </w:pPr>
            <w:r>
              <w:rPr>
                <w:rFonts w:hint="eastAsia" w:hAnsi="宋体"/>
                <w:sz w:val="18"/>
                <w:szCs w:val="18"/>
              </w:rPr>
              <w:t>比较法是选取一定数量的可比实例，将它们与估价对象进行比较，根据其间的差异对可比实例成交价格进行处理后得到估价对象价值或价格的方法。比较法适用于房地产市场发达、有充足的具有替代性的交易实例的地区。</w:t>
            </w:r>
          </w:p>
        </w:tc>
        <w:tc>
          <w:tcPr>
            <w:tcW w:w="3523" w:type="dxa"/>
          </w:tcPr>
          <w:p>
            <w:pPr>
              <w:pStyle w:val="16"/>
              <w:spacing w:line="300" w:lineRule="exact"/>
              <w:ind w:firstLine="374" w:firstLineChars="208"/>
              <w:rPr>
                <w:rFonts w:hAnsi="宋体"/>
                <w:sz w:val="18"/>
                <w:szCs w:val="18"/>
              </w:rPr>
            </w:pPr>
            <w:r>
              <w:rPr>
                <w:rFonts w:hAnsi="宋体"/>
                <w:sz w:val="18"/>
                <w:szCs w:val="18"/>
              </w:rPr>
              <w:t>估价对象周边</w:t>
            </w:r>
            <w:r>
              <w:rPr>
                <w:rFonts w:hint="eastAsia" w:hAnsi="宋体"/>
                <w:sz w:val="18"/>
                <w:szCs w:val="18"/>
              </w:rPr>
              <w:t>的住宅</w:t>
            </w:r>
            <w:r>
              <w:rPr>
                <w:rFonts w:hAnsi="宋体"/>
                <w:sz w:val="18"/>
                <w:szCs w:val="18"/>
              </w:rPr>
              <w:t>房地产</w:t>
            </w:r>
            <w:r>
              <w:rPr>
                <w:rFonts w:hint="eastAsia" w:hAnsi="宋体"/>
                <w:sz w:val="18"/>
                <w:szCs w:val="18"/>
              </w:rPr>
              <w:t>市场较活跃</w:t>
            </w:r>
            <w:r>
              <w:rPr>
                <w:rFonts w:hAnsi="宋体"/>
                <w:sz w:val="18"/>
                <w:szCs w:val="18"/>
              </w:rPr>
              <w:t>，</w:t>
            </w:r>
            <w:r>
              <w:rPr>
                <w:rFonts w:hint="eastAsia" w:hAnsi="宋体"/>
                <w:sz w:val="18"/>
                <w:szCs w:val="18"/>
              </w:rPr>
              <w:t>交易实例较易取得，根据《房地产估价规范》规定“有条件选用市场比较法进行估价的，应以市场比较法作为主要的估价方法”，所以本次估价首先采用比较法进行评估。</w:t>
            </w:r>
          </w:p>
        </w:tc>
        <w:tc>
          <w:tcPr>
            <w:tcW w:w="776" w:type="dxa"/>
          </w:tcPr>
          <w:p>
            <w:pPr>
              <w:pStyle w:val="16"/>
              <w:spacing w:line="300" w:lineRule="exact"/>
              <w:jc w:val="center"/>
              <w:rPr>
                <w:rFonts w:hAnsi="宋体"/>
                <w:sz w:val="18"/>
                <w:szCs w:val="18"/>
              </w:rPr>
            </w:pPr>
            <w:r>
              <w:rPr>
                <w:rFonts w:hint="eastAsia" w:hAnsi="宋体"/>
                <w:sz w:val="18"/>
                <w:szCs w:val="18"/>
              </w:rPr>
              <w:t>是</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1534" w:hRule="atLeast"/>
        </w:trPr>
        <w:tc>
          <w:tcPr>
            <w:tcW w:w="1421" w:type="dxa"/>
          </w:tcPr>
          <w:p>
            <w:pPr>
              <w:pStyle w:val="16"/>
              <w:spacing w:line="300" w:lineRule="exact"/>
              <w:rPr>
                <w:rFonts w:hAnsi="宋体"/>
                <w:sz w:val="18"/>
                <w:szCs w:val="18"/>
              </w:rPr>
            </w:pPr>
            <w:r>
              <w:rPr>
                <w:rFonts w:hAnsi="宋体"/>
                <w:sz w:val="18"/>
                <w:szCs w:val="18"/>
              </w:rPr>
              <w:t>收益法</w:t>
            </w:r>
          </w:p>
        </w:tc>
        <w:tc>
          <w:tcPr>
            <w:tcW w:w="3737" w:type="dxa"/>
          </w:tcPr>
          <w:p>
            <w:pPr>
              <w:pStyle w:val="16"/>
              <w:spacing w:line="300" w:lineRule="exact"/>
              <w:ind w:firstLine="412" w:firstLineChars="229"/>
              <w:rPr>
                <w:rFonts w:hAnsi="宋体"/>
                <w:sz w:val="18"/>
                <w:szCs w:val="18"/>
              </w:rPr>
            </w:pPr>
            <w:r>
              <w:rPr>
                <w:rFonts w:hint="eastAsia" w:hAnsi="宋体"/>
                <w:sz w:val="18"/>
                <w:szCs w:val="18"/>
              </w:rPr>
              <w:t>收益法是预测估价对象的未来收益，利用报酬率或资本化率、收益乘数将未来收益转换为价值得到估价对象价值或价格的方法。收益法适用于有收益性的房地产价格评估，而房地产的收益性体现在现实收益和潜在收益两方面。</w:t>
            </w:r>
          </w:p>
        </w:tc>
        <w:tc>
          <w:tcPr>
            <w:tcW w:w="3523" w:type="dxa"/>
          </w:tcPr>
          <w:p>
            <w:pPr>
              <w:pStyle w:val="16"/>
              <w:spacing w:line="300" w:lineRule="exact"/>
              <w:ind w:firstLine="374" w:firstLineChars="208"/>
              <w:rPr>
                <w:rFonts w:hAnsi="宋体"/>
                <w:sz w:val="18"/>
                <w:szCs w:val="18"/>
              </w:rPr>
            </w:pPr>
            <w:r>
              <w:rPr>
                <w:rFonts w:hint="eastAsia" w:hAnsi="宋体"/>
                <w:sz w:val="18"/>
                <w:szCs w:val="18"/>
              </w:rPr>
              <w:t>估价对象为</w:t>
            </w:r>
            <w:r>
              <w:rPr>
                <w:rFonts w:hint="eastAsia" w:hAnsi="宋体"/>
                <w:sz w:val="18"/>
                <w:szCs w:val="18"/>
                <w:lang w:eastAsia="zh-CN"/>
              </w:rPr>
              <w:t>住宅</w:t>
            </w:r>
            <w:r>
              <w:rPr>
                <w:rFonts w:hint="eastAsia" w:hAnsi="宋体"/>
                <w:sz w:val="18"/>
                <w:szCs w:val="18"/>
              </w:rPr>
              <w:t>，周边有类似房地产的出租实例，可通过对实例修正求取估价对象的客观租金收益，根据收益法适用于有收益性的房地产价格评估的这一原则，故本次估价同时采用收益法进行评估。</w:t>
            </w:r>
          </w:p>
        </w:tc>
        <w:tc>
          <w:tcPr>
            <w:tcW w:w="776" w:type="dxa"/>
          </w:tcPr>
          <w:p>
            <w:pPr>
              <w:pStyle w:val="16"/>
              <w:spacing w:line="300" w:lineRule="exact"/>
              <w:jc w:val="center"/>
              <w:rPr>
                <w:rFonts w:hAnsi="宋体"/>
                <w:sz w:val="18"/>
                <w:szCs w:val="18"/>
              </w:rPr>
            </w:pPr>
            <w:r>
              <w:rPr>
                <w:rFonts w:hint="eastAsia" w:hAnsi="宋体"/>
                <w:sz w:val="18"/>
                <w:szCs w:val="18"/>
              </w:rPr>
              <w:t>否</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93" w:hRule="atLeast"/>
        </w:trPr>
        <w:tc>
          <w:tcPr>
            <w:tcW w:w="1421" w:type="dxa"/>
          </w:tcPr>
          <w:p>
            <w:pPr>
              <w:pStyle w:val="16"/>
              <w:spacing w:line="300" w:lineRule="exact"/>
              <w:rPr>
                <w:rFonts w:hAnsi="宋体"/>
                <w:sz w:val="18"/>
                <w:szCs w:val="18"/>
              </w:rPr>
            </w:pPr>
            <w:r>
              <w:rPr>
                <w:rFonts w:hAnsi="宋体"/>
                <w:sz w:val="18"/>
                <w:szCs w:val="18"/>
              </w:rPr>
              <w:t>假设开发法</w:t>
            </w:r>
          </w:p>
        </w:tc>
        <w:tc>
          <w:tcPr>
            <w:tcW w:w="3737" w:type="dxa"/>
          </w:tcPr>
          <w:p>
            <w:pPr>
              <w:pStyle w:val="16"/>
              <w:spacing w:line="300" w:lineRule="exact"/>
              <w:ind w:firstLine="412" w:firstLineChars="229"/>
              <w:rPr>
                <w:rFonts w:hAnsi="宋体"/>
                <w:sz w:val="18"/>
                <w:szCs w:val="18"/>
              </w:rPr>
            </w:pPr>
            <w:r>
              <w:rPr>
                <w:rFonts w:hint="eastAsia" w:hAnsi="宋体"/>
                <w:sz w:val="18"/>
                <w:szCs w:val="18"/>
              </w:rPr>
              <w:t>假设开发法是预计估价对象开发完成后的价值，扣除预计的正常开发成本、税费和利润等，以此估算估价对象的客观合理价格或价值的方法。假设开发法适用于具有投资开发或再开发潜力的房地产的估价。</w:t>
            </w:r>
          </w:p>
        </w:tc>
        <w:tc>
          <w:tcPr>
            <w:tcW w:w="3523" w:type="dxa"/>
          </w:tcPr>
          <w:p>
            <w:pPr>
              <w:pStyle w:val="16"/>
              <w:spacing w:line="300" w:lineRule="exact"/>
              <w:ind w:firstLine="374" w:firstLineChars="208"/>
              <w:rPr>
                <w:rFonts w:hAnsi="宋体"/>
                <w:sz w:val="18"/>
                <w:szCs w:val="18"/>
              </w:rPr>
            </w:pPr>
            <w:r>
              <w:rPr>
                <w:rFonts w:hint="eastAsia" w:hAnsi="宋体"/>
                <w:sz w:val="18"/>
                <w:szCs w:val="18"/>
              </w:rPr>
              <w:t>估价对象属于建成物业，现已投入使用，不具有开发或再开发潜力，不存在可用于再开发的情况，因此不适用假设开发法估价。</w:t>
            </w:r>
          </w:p>
        </w:tc>
        <w:tc>
          <w:tcPr>
            <w:tcW w:w="776" w:type="dxa"/>
          </w:tcPr>
          <w:p>
            <w:pPr>
              <w:pStyle w:val="16"/>
              <w:spacing w:line="300" w:lineRule="exact"/>
              <w:jc w:val="center"/>
              <w:rPr>
                <w:rFonts w:hAnsi="宋体"/>
                <w:sz w:val="18"/>
                <w:szCs w:val="18"/>
              </w:rPr>
            </w:pPr>
            <w:r>
              <w:rPr>
                <w:rFonts w:hint="eastAsia" w:hAnsi="宋体"/>
                <w:sz w:val="18"/>
                <w:szCs w:val="18"/>
              </w:rPr>
              <w:t>否</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c>
          <w:tcPr>
            <w:tcW w:w="1421" w:type="dxa"/>
          </w:tcPr>
          <w:p>
            <w:pPr>
              <w:pStyle w:val="16"/>
              <w:spacing w:line="300" w:lineRule="exact"/>
              <w:rPr>
                <w:rFonts w:hAnsi="宋体"/>
                <w:sz w:val="18"/>
                <w:szCs w:val="18"/>
              </w:rPr>
            </w:pPr>
            <w:r>
              <w:rPr>
                <w:rFonts w:hAnsi="宋体"/>
                <w:sz w:val="18"/>
                <w:szCs w:val="18"/>
              </w:rPr>
              <w:t>成本法</w:t>
            </w:r>
          </w:p>
        </w:tc>
        <w:tc>
          <w:tcPr>
            <w:tcW w:w="3737" w:type="dxa"/>
          </w:tcPr>
          <w:p>
            <w:pPr>
              <w:pStyle w:val="16"/>
              <w:spacing w:line="300" w:lineRule="exact"/>
              <w:ind w:firstLine="412" w:firstLineChars="229"/>
              <w:rPr>
                <w:rFonts w:hAnsi="宋体"/>
                <w:sz w:val="18"/>
                <w:szCs w:val="18"/>
              </w:rPr>
            </w:pPr>
            <w:r>
              <w:rPr>
                <w:rFonts w:hint="eastAsia" w:hAnsi="宋体"/>
                <w:sz w:val="18"/>
                <w:szCs w:val="18"/>
              </w:rPr>
              <w:t>成本法是求取估价对象在价值时点的重置价格或重建价格，扣除折旧，以此估算估价对象的客观合理价格或价值的方法。成本法适用于评估新的或较新的房地产价值，也适用于很少发生交易而限制比较法的运用，又没有经济收益或没有潜在收益而限制收益法运用的房地产，以及以公益、公用为目的和有独特设计或只针对个别使用者的特殊需要而开发建设的房地产。</w:t>
            </w:r>
          </w:p>
        </w:tc>
        <w:tc>
          <w:tcPr>
            <w:tcW w:w="3523" w:type="dxa"/>
          </w:tcPr>
          <w:p>
            <w:pPr>
              <w:pStyle w:val="16"/>
              <w:spacing w:line="300" w:lineRule="exact"/>
              <w:ind w:firstLine="374" w:firstLineChars="208"/>
              <w:rPr>
                <w:rFonts w:hAnsi="宋体"/>
                <w:sz w:val="18"/>
                <w:szCs w:val="18"/>
              </w:rPr>
            </w:pPr>
            <w:r>
              <w:rPr>
                <w:rFonts w:hint="eastAsia" w:hAnsi="宋体"/>
                <w:sz w:val="18"/>
                <w:szCs w:val="18"/>
              </w:rPr>
              <w:t>估价对象为商品住宅，当前房地产市场快速发展，房地产市场超额垄断利润的存在使得价格水平已经远远偏离了成本，采用成本法难以反映目前正常的市场价格水平，因此不适用成本法估价。</w:t>
            </w:r>
          </w:p>
        </w:tc>
        <w:tc>
          <w:tcPr>
            <w:tcW w:w="776" w:type="dxa"/>
          </w:tcPr>
          <w:p>
            <w:pPr>
              <w:pStyle w:val="16"/>
              <w:spacing w:line="300" w:lineRule="exact"/>
              <w:jc w:val="center"/>
              <w:rPr>
                <w:rFonts w:hAnsi="宋体"/>
                <w:sz w:val="18"/>
                <w:szCs w:val="18"/>
              </w:rPr>
            </w:pPr>
            <w:r>
              <w:rPr>
                <w:rFonts w:hint="eastAsia" w:hAnsi="宋体"/>
                <w:sz w:val="18"/>
                <w:szCs w:val="18"/>
              </w:rPr>
              <w:t>否</w:t>
            </w:r>
          </w:p>
        </w:tc>
      </w:tr>
    </w:tbl>
    <w:p>
      <w:pPr>
        <w:pStyle w:val="16"/>
        <w:spacing w:line="384" w:lineRule="auto"/>
        <w:ind w:firstLine="560" w:firstLineChars="200"/>
        <w:rPr>
          <w:rFonts w:hAnsi="宋体"/>
          <w:spacing w:val="20"/>
          <w:sz w:val="24"/>
        </w:rPr>
      </w:pPr>
      <w:r>
        <w:rPr>
          <w:rFonts w:hAnsi="宋体"/>
          <w:spacing w:val="20"/>
          <w:sz w:val="24"/>
        </w:rPr>
        <w:t>2</w:t>
      </w:r>
      <w:r>
        <w:rPr>
          <w:rFonts w:hint="eastAsia" w:hAnsi="宋体"/>
          <w:spacing w:val="20"/>
          <w:sz w:val="24"/>
        </w:rPr>
        <w:t>．已选择估价方法的定义及计算公式</w:t>
      </w:r>
    </w:p>
    <w:p>
      <w:pPr>
        <w:pStyle w:val="16"/>
        <w:spacing w:line="384" w:lineRule="auto"/>
        <w:ind w:firstLine="562" w:firstLineChars="200"/>
        <w:rPr>
          <w:rFonts w:hAnsi="宋体"/>
          <w:spacing w:val="20"/>
          <w:sz w:val="24"/>
        </w:rPr>
      </w:pPr>
      <w:r>
        <w:rPr>
          <w:rFonts w:hint="eastAsia" w:hAnsi="宋体"/>
          <w:b/>
          <w:bCs/>
          <w:spacing w:val="20"/>
          <w:sz w:val="24"/>
        </w:rPr>
        <w:t>比较法</w:t>
      </w:r>
      <w:r>
        <w:rPr>
          <w:rFonts w:hint="eastAsia" w:hAnsi="宋体"/>
          <w:spacing w:val="20"/>
          <w:sz w:val="24"/>
        </w:rPr>
        <w:t>：是选取一定数量发生过交易且与估价对象相似的房地产，然后将它们与估价对象进行比较，对它们的成交价格进行适当的处理来求取估价对象价值的方法。公式：</w:t>
      </w:r>
    </w:p>
    <w:p>
      <w:pPr>
        <w:pStyle w:val="16"/>
        <w:spacing w:line="384" w:lineRule="auto"/>
        <w:ind w:firstLine="420" w:firstLineChars="200"/>
        <w:jc w:val="center"/>
        <w:rPr>
          <w:rFonts w:hAnsi="宋体"/>
          <w:spacing w:val="20"/>
          <w:sz w:val="24"/>
        </w:rPr>
      </w:pPr>
      <w:r>
        <w:rPr>
          <w:rFonts w:hAnsi="宋体"/>
          <w:position w:val="-32"/>
        </w:rPr>
        <w:object>
          <v:shape id="_x0000_i1025" o:spt="75" type="#_x0000_t75" style="height:28.5pt;width:176.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pStyle w:val="16"/>
        <w:spacing w:line="384" w:lineRule="auto"/>
        <w:ind w:firstLine="560" w:firstLineChars="200"/>
        <w:rPr>
          <w:rFonts w:hAnsi="宋体"/>
          <w:spacing w:val="20"/>
          <w:sz w:val="24"/>
        </w:rPr>
      </w:pPr>
      <w:r>
        <w:rPr>
          <w:rFonts w:hint="eastAsia" w:hAnsi="宋体"/>
          <w:spacing w:val="20"/>
          <w:sz w:val="24"/>
        </w:rPr>
        <w:t>其中：</w:t>
      </w:r>
    </w:p>
    <w:p>
      <w:pPr>
        <w:pStyle w:val="16"/>
        <w:spacing w:line="384" w:lineRule="auto"/>
        <w:ind w:firstLine="420" w:firstLineChars="200"/>
        <w:jc w:val="center"/>
        <w:rPr>
          <w:rFonts w:hAnsi="宋体"/>
          <w:spacing w:val="20"/>
          <w:sz w:val="24"/>
        </w:rPr>
      </w:pPr>
      <w:r>
        <w:rPr>
          <w:rFonts w:hAnsi="宋体"/>
          <w:position w:val="-30"/>
        </w:rPr>
        <w:object>
          <v:shape id="_x0000_i1026" o:spt="75" type="#_x0000_t75" style="height:28.5pt;width:173.2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pStyle w:val="16"/>
        <w:spacing w:line="384" w:lineRule="auto"/>
        <w:ind w:firstLine="560" w:firstLineChars="200"/>
        <w:rPr>
          <w:rFonts w:hAnsi="宋体"/>
          <w:spacing w:val="20"/>
          <w:sz w:val="24"/>
        </w:rPr>
      </w:pPr>
      <w:r>
        <w:rPr>
          <w:rFonts w:hint="eastAsia" w:hAnsi="宋体"/>
          <w:spacing w:val="20"/>
          <w:sz w:val="24"/>
        </w:rPr>
        <w:t>其中：</w:t>
      </w:r>
    </w:p>
    <w:p>
      <w:pPr>
        <w:pStyle w:val="16"/>
        <w:spacing w:line="384" w:lineRule="auto"/>
        <w:ind w:firstLine="560" w:firstLineChars="200"/>
        <w:rPr>
          <w:rFonts w:hAnsi="宋体"/>
          <w:spacing w:val="20"/>
          <w:sz w:val="24"/>
        </w:rPr>
      </w:pPr>
      <w:r>
        <w:rPr>
          <w:rFonts w:hint="eastAsia" w:hAnsi="宋体"/>
          <w:spacing w:val="20"/>
          <w:sz w:val="24"/>
        </w:rPr>
        <w:t>V：待估房地产价格；Vi：比较实例i的房地产价格；Si：比较实例i相对待估房地产的交易情况修正变化量；Ti：待估房地产相对比较实例i的市场状况调整变化量；Ri：相对待估房地产的房地产状况调整变化量；Hi：比较实例i的权重；Ai：相对待估房地产的区位状况条件调整变化量；Bi：相对待估房地产的权益状况调整变化量；Ci：相对待估房地产的实物状况调整变化量；wa：区位状况权重；wb：权益状况权重；wc：实物状况权重；i：比较</w:t>
      </w:r>
    </w:p>
    <w:p>
      <w:pPr>
        <w:pStyle w:val="16"/>
        <w:spacing w:line="384" w:lineRule="auto"/>
        <w:ind w:firstLine="560" w:firstLineChars="200"/>
        <w:rPr>
          <w:rFonts w:hAnsi="宋体"/>
          <w:spacing w:val="20"/>
          <w:sz w:val="24"/>
        </w:rPr>
      </w:pPr>
      <w:r>
        <w:rPr>
          <w:rFonts w:hint="eastAsia" w:hAnsi="宋体"/>
          <w:spacing w:val="20"/>
          <w:sz w:val="24"/>
        </w:rPr>
        <w:t>在上述选用的估价方法测算结果基础上，结合估价经验、房地产市场分析，以及估价对象的现状情况作修正，综合分析确定估价对象的市场价格。</w:t>
      </w:r>
    </w:p>
    <w:p>
      <w:pPr>
        <w:pStyle w:val="3"/>
        <w:spacing w:before="0" w:after="0" w:line="384" w:lineRule="auto"/>
        <w:rPr>
          <w:rFonts w:ascii="宋体" w:hAnsi="宋体" w:eastAsia="宋体"/>
          <w:spacing w:val="20"/>
          <w:sz w:val="24"/>
          <w:szCs w:val="24"/>
        </w:rPr>
      </w:pPr>
      <w:bookmarkStart w:id="47" w:name="_Toc15101"/>
      <w:r>
        <w:rPr>
          <w:rFonts w:ascii="宋体" w:hAnsi="宋体" w:eastAsia="宋体"/>
          <w:spacing w:val="20"/>
          <w:sz w:val="24"/>
          <w:szCs w:val="24"/>
        </w:rPr>
        <w:t>(十)估价结果</w:t>
      </w:r>
      <w:bookmarkEnd w:id="47"/>
    </w:p>
    <w:p>
      <w:pPr>
        <w:spacing w:line="384" w:lineRule="auto"/>
        <w:ind w:firstLine="532" w:firstLineChars="190"/>
        <w:jc w:val="both"/>
        <w:rPr>
          <w:rFonts w:ascii="宋体" w:hAnsi="宋体"/>
          <w:spacing w:val="20"/>
          <w:sz w:val="24"/>
        </w:rPr>
      </w:pPr>
      <w:r>
        <w:rPr>
          <w:rFonts w:hint="eastAsia" w:ascii="宋体" w:hAnsi="宋体"/>
          <w:spacing w:val="20"/>
          <w:sz w:val="24"/>
        </w:rPr>
        <w:t>在本次评估中，通过比较法评估方法，确定位于</w:t>
      </w:r>
      <w:r>
        <w:rPr>
          <w:rFonts w:hint="eastAsia" w:ascii="宋体" w:hAnsi="宋体"/>
          <w:spacing w:val="20"/>
          <w:sz w:val="24"/>
          <w:lang w:eastAsia="zh-CN"/>
        </w:rPr>
        <w:t>阳春市春城街道东湖山庄御景园A幢商住楼2A703房</w:t>
      </w:r>
      <w:r>
        <w:rPr>
          <w:rFonts w:hint="eastAsia" w:ascii="宋体" w:hAnsi="宋体"/>
          <w:spacing w:val="20"/>
          <w:sz w:val="24"/>
        </w:rPr>
        <w:t>房地产，评估建筑面积合计为</w:t>
      </w:r>
      <w:r>
        <w:rPr>
          <w:rFonts w:hint="eastAsia" w:ascii="宋体" w:hAnsi="宋体"/>
          <w:spacing w:val="20"/>
          <w:sz w:val="24"/>
          <w:lang w:eastAsia="zh-CN"/>
        </w:rPr>
        <w:t>133.94</w:t>
      </w:r>
      <w:r>
        <w:rPr>
          <w:rFonts w:hint="eastAsia" w:ascii="宋体" w:hAnsi="宋体"/>
          <w:spacing w:val="20"/>
          <w:sz w:val="24"/>
        </w:rPr>
        <w:t>平方米，在估价时点的市场评估价值为：人民币</w:t>
      </w:r>
      <w:r>
        <w:rPr>
          <w:rFonts w:hint="eastAsia" w:ascii="宋体" w:hAnsi="宋体"/>
          <w:b/>
          <w:bCs/>
          <w:spacing w:val="20"/>
          <w:sz w:val="24"/>
          <w:lang w:eastAsia="zh-CN"/>
        </w:rPr>
        <w:t>肆拾肆万贰仟</w:t>
      </w:r>
      <w:r>
        <w:rPr>
          <w:rFonts w:hint="eastAsia" w:ascii="宋体" w:hAnsi="宋体"/>
          <w:b/>
          <w:bCs/>
          <w:spacing w:val="20"/>
          <w:sz w:val="24"/>
        </w:rPr>
        <w:t>元整</w:t>
      </w:r>
      <w:r>
        <w:rPr>
          <w:rFonts w:hint="eastAsia" w:ascii="宋体" w:hAnsi="宋体"/>
          <w:spacing w:val="20"/>
          <w:sz w:val="24"/>
        </w:rPr>
        <w:t>（￥</w:t>
      </w:r>
      <w:r>
        <w:rPr>
          <w:rFonts w:hint="eastAsia" w:ascii="宋体" w:hAnsi="宋体"/>
          <w:spacing w:val="20"/>
          <w:sz w:val="24"/>
          <w:lang w:eastAsia="zh-CN"/>
        </w:rPr>
        <w:t>44.20</w:t>
      </w:r>
      <w:r>
        <w:rPr>
          <w:rFonts w:hint="eastAsia" w:ascii="宋体" w:hAnsi="宋体"/>
          <w:spacing w:val="20"/>
          <w:sz w:val="24"/>
        </w:rPr>
        <w:t>万元）。预计转让时卖方税费及其他费用合计人民币</w:t>
      </w:r>
      <w:r>
        <w:rPr>
          <w:rFonts w:hint="eastAsia" w:ascii="宋体" w:hAnsi="宋体"/>
          <w:spacing w:val="20"/>
          <w:sz w:val="24"/>
          <w:lang w:eastAsia="zh-CN"/>
        </w:rPr>
        <w:t>0.88</w:t>
      </w:r>
      <w:r>
        <w:rPr>
          <w:rFonts w:hint="eastAsia" w:ascii="宋体" w:hAnsi="宋体"/>
          <w:spacing w:val="20"/>
          <w:sz w:val="24"/>
        </w:rPr>
        <w:t>万元，扣除预计转让时卖方税费及其他费用后其房地产的评估净值为：人民币</w:t>
      </w:r>
      <w:r>
        <w:rPr>
          <w:rFonts w:hint="eastAsia" w:ascii="宋体" w:hAnsi="宋体"/>
          <w:b/>
          <w:bCs/>
          <w:spacing w:val="20"/>
          <w:sz w:val="24"/>
          <w:lang w:eastAsia="zh-CN"/>
        </w:rPr>
        <w:t>肆拾叁万叁仟贰佰元</w:t>
      </w:r>
      <w:r>
        <w:rPr>
          <w:rFonts w:hint="eastAsia" w:ascii="宋体" w:hAnsi="宋体"/>
          <w:b/>
          <w:bCs/>
          <w:spacing w:val="20"/>
          <w:sz w:val="24"/>
        </w:rPr>
        <w:t>整</w:t>
      </w:r>
      <w:r>
        <w:rPr>
          <w:rFonts w:hint="eastAsia" w:ascii="宋体" w:hAnsi="宋体"/>
          <w:spacing w:val="20"/>
          <w:sz w:val="24"/>
        </w:rPr>
        <w:t xml:space="preserve"> （￥</w:t>
      </w:r>
      <w:r>
        <w:rPr>
          <w:rFonts w:hint="eastAsia" w:ascii="宋体" w:hAnsi="宋体"/>
          <w:spacing w:val="20"/>
          <w:sz w:val="24"/>
          <w:lang w:eastAsia="zh-CN"/>
        </w:rPr>
        <w:t>43.32</w:t>
      </w:r>
      <w:r>
        <w:rPr>
          <w:rFonts w:hint="eastAsia" w:ascii="宋体" w:hAnsi="宋体"/>
          <w:spacing w:val="20"/>
          <w:sz w:val="24"/>
        </w:rPr>
        <w:t>万元）。估价对象评估单价、金额、特别提示等详见附表：《估价对象明细及评估结果汇总表》。</w:t>
      </w:r>
    </w:p>
    <w:p>
      <w:pPr>
        <w:pStyle w:val="3"/>
        <w:spacing w:before="0" w:after="0" w:line="384" w:lineRule="auto"/>
        <w:rPr>
          <w:rFonts w:ascii="宋体" w:hAnsi="宋体" w:eastAsia="宋体"/>
          <w:spacing w:val="20"/>
          <w:sz w:val="24"/>
          <w:szCs w:val="24"/>
        </w:rPr>
      </w:pPr>
      <w:bookmarkStart w:id="48" w:name="_Toc2537"/>
      <w:r>
        <w:rPr>
          <w:rFonts w:ascii="宋体" w:hAnsi="宋体" w:eastAsia="宋体" w:cs="宋体"/>
          <w:spacing w:val="20"/>
          <w:sz w:val="24"/>
          <w:szCs w:val="24"/>
        </w:rPr>
        <w:t>(十一)</w:t>
      </w:r>
      <w:r>
        <w:rPr>
          <w:rFonts w:ascii="宋体" w:hAnsi="宋体" w:eastAsia="宋体"/>
          <w:spacing w:val="20"/>
          <w:sz w:val="24"/>
          <w:szCs w:val="24"/>
        </w:rPr>
        <w:t>估价人员</w:t>
      </w:r>
      <w:bookmarkEnd w:id="48"/>
    </w:p>
    <w:p>
      <w:pPr>
        <w:spacing w:line="384" w:lineRule="auto"/>
        <w:ind w:firstLine="534" w:firstLineChars="190"/>
        <w:rPr>
          <w:rFonts w:ascii="宋体" w:hAnsi="宋体"/>
          <w:b/>
          <w:spacing w:val="20"/>
          <w:sz w:val="24"/>
        </w:rPr>
      </w:pPr>
      <w:bookmarkStart w:id="49" w:name="_Toc229310835"/>
      <w:r>
        <w:rPr>
          <w:rFonts w:ascii="宋体" w:hAnsi="宋体"/>
          <w:b/>
          <w:spacing w:val="20"/>
          <w:sz w:val="24"/>
        </w:rPr>
        <w:t>参加本次估价的注册房地产估价师</w:t>
      </w:r>
      <w:r>
        <w:rPr>
          <w:rFonts w:hint="eastAsia" w:ascii="宋体" w:hAnsi="宋体"/>
          <w:b/>
          <w:spacing w:val="20"/>
          <w:sz w:val="24"/>
        </w:rPr>
        <w:t>及</w:t>
      </w:r>
      <w:r>
        <w:rPr>
          <w:rFonts w:ascii="宋体" w:hAnsi="宋体"/>
          <w:b/>
          <w:spacing w:val="20"/>
          <w:sz w:val="24"/>
        </w:rPr>
        <w:t>签名</w:t>
      </w:r>
      <w:bookmarkEnd w:id="49"/>
      <w:r>
        <w:rPr>
          <w:rFonts w:ascii="宋体" w:hAnsi="宋体"/>
          <w:b/>
          <w:spacing w:val="20"/>
          <w:sz w:val="24"/>
        </w:rPr>
        <w:t>：</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155"/>
        <w:gridCol w:w="186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27" w:type="dxa"/>
            <w:vAlign w:val="center"/>
          </w:tcPr>
          <w:p>
            <w:pPr>
              <w:pStyle w:val="16"/>
              <w:adjustRightInd w:val="0"/>
              <w:snapToGrid w:val="0"/>
              <w:spacing w:line="460" w:lineRule="exact"/>
              <w:jc w:val="center"/>
              <w:rPr>
                <w:rFonts w:hAnsi="宋体"/>
                <w:spacing w:val="22"/>
                <w:sz w:val="24"/>
                <w:szCs w:val="24"/>
              </w:rPr>
            </w:pPr>
            <w:r>
              <w:rPr>
                <w:rFonts w:hAnsi="宋体"/>
                <w:spacing w:val="22"/>
                <w:sz w:val="24"/>
                <w:szCs w:val="24"/>
              </w:rPr>
              <w:t>估价师姓名</w:t>
            </w:r>
          </w:p>
        </w:tc>
        <w:tc>
          <w:tcPr>
            <w:tcW w:w="2155" w:type="dxa"/>
            <w:vAlign w:val="center"/>
          </w:tcPr>
          <w:p>
            <w:pPr>
              <w:pStyle w:val="16"/>
              <w:adjustRightInd w:val="0"/>
              <w:snapToGrid w:val="0"/>
              <w:spacing w:line="460" w:lineRule="exact"/>
              <w:jc w:val="center"/>
              <w:rPr>
                <w:rFonts w:hAnsi="宋体"/>
                <w:spacing w:val="22"/>
                <w:sz w:val="24"/>
                <w:szCs w:val="24"/>
              </w:rPr>
            </w:pPr>
            <w:r>
              <w:rPr>
                <w:rFonts w:hAnsi="宋体"/>
                <w:spacing w:val="22"/>
                <w:sz w:val="24"/>
                <w:szCs w:val="24"/>
              </w:rPr>
              <w:t>注册证书号</w:t>
            </w:r>
          </w:p>
        </w:tc>
        <w:tc>
          <w:tcPr>
            <w:tcW w:w="1860" w:type="dxa"/>
          </w:tcPr>
          <w:p>
            <w:pPr>
              <w:pStyle w:val="16"/>
              <w:adjustRightInd w:val="0"/>
              <w:snapToGrid w:val="0"/>
              <w:spacing w:line="460" w:lineRule="exact"/>
              <w:jc w:val="center"/>
              <w:rPr>
                <w:rFonts w:hAnsi="宋体"/>
                <w:spacing w:val="22"/>
                <w:sz w:val="24"/>
                <w:szCs w:val="24"/>
              </w:rPr>
            </w:pPr>
            <w:r>
              <w:rPr>
                <w:rFonts w:hint="eastAsia" w:hAnsi="宋体"/>
                <w:spacing w:val="22"/>
                <w:sz w:val="24"/>
                <w:szCs w:val="24"/>
              </w:rPr>
              <w:t>签名</w:t>
            </w:r>
          </w:p>
        </w:tc>
        <w:tc>
          <w:tcPr>
            <w:tcW w:w="2610" w:type="dxa"/>
            <w:vAlign w:val="center"/>
          </w:tcPr>
          <w:p>
            <w:pPr>
              <w:pStyle w:val="16"/>
              <w:adjustRightInd w:val="0"/>
              <w:snapToGrid w:val="0"/>
              <w:spacing w:line="460" w:lineRule="exact"/>
              <w:jc w:val="center"/>
              <w:rPr>
                <w:rFonts w:hAnsi="宋体"/>
                <w:spacing w:val="22"/>
                <w:sz w:val="24"/>
                <w:szCs w:val="24"/>
              </w:rPr>
            </w:pPr>
            <w:r>
              <w:rPr>
                <w:rFonts w:hAnsi="宋体"/>
                <w:spacing w:val="22"/>
                <w:sz w:val="24"/>
                <w:szCs w:val="24"/>
              </w:rPr>
              <w:t>签字</w:t>
            </w:r>
            <w:r>
              <w:rPr>
                <w:rFonts w:hint="eastAsia" w:hAnsi="宋体"/>
                <w:spacing w:val="22"/>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2127" w:type="dxa"/>
            <w:vAlign w:val="center"/>
          </w:tcPr>
          <w:p>
            <w:pPr>
              <w:pStyle w:val="16"/>
              <w:adjustRightInd w:val="0"/>
              <w:snapToGrid w:val="0"/>
              <w:spacing w:line="460" w:lineRule="exact"/>
              <w:jc w:val="center"/>
              <w:rPr>
                <w:rFonts w:hAnsi="宋体"/>
                <w:spacing w:val="22"/>
                <w:sz w:val="24"/>
                <w:szCs w:val="24"/>
              </w:rPr>
            </w:pPr>
            <w:r>
              <w:rPr>
                <w:rFonts w:hint="eastAsia" w:hAnsi="宋体"/>
                <w:spacing w:val="22"/>
                <w:sz w:val="24"/>
                <w:szCs w:val="24"/>
              </w:rPr>
              <w:t>关新源</w:t>
            </w:r>
          </w:p>
          <w:p>
            <w:pPr>
              <w:pStyle w:val="16"/>
              <w:adjustRightInd w:val="0"/>
              <w:snapToGrid w:val="0"/>
              <w:spacing w:line="460" w:lineRule="exact"/>
              <w:jc w:val="center"/>
              <w:rPr>
                <w:rFonts w:hAnsi="宋体"/>
                <w:spacing w:val="22"/>
                <w:sz w:val="24"/>
                <w:szCs w:val="24"/>
              </w:rPr>
            </w:pPr>
            <w:r>
              <w:rPr>
                <w:rFonts w:hint="eastAsia" w:hAnsi="宋体"/>
                <w:spacing w:val="22"/>
                <w:sz w:val="24"/>
                <w:szCs w:val="24"/>
              </w:rPr>
              <w:t>（项目负责人）</w:t>
            </w:r>
          </w:p>
        </w:tc>
        <w:tc>
          <w:tcPr>
            <w:tcW w:w="2155" w:type="dxa"/>
            <w:vAlign w:val="center"/>
          </w:tcPr>
          <w:p>
            <w:pPr>
              <w:pStyle w:val="16"/>
              <w:adjustRightInd w:val="0"/>
              <w:snapToGrid w:val="0"/>
              <w:spacing w:line="460" w:lineRule="exact"/>
              <w:jc w:val="center"/>
              <w:rPr>
                <w:rFonts w:hAnsi="宋体"/>
                <w:spacing w:val="22"/>
                <w:sz w:val="24"/>
                <w:szCs w:val="24"/>
              </w:rPr>
            </w:pPr>
            <w:r>
              <w:rPr>
                <w:rFonts w:hint="eastAsia" w:hAnsi="宋体"/>
                <w:spacing w:val="22"/>
                <w:sz w:val="24"/>
                <w:szCs w:val="24"/>
              </w:rPr>
              <w:t>4420110177</w:t>
            </w:r>
          </w:p>
        </w:tc>
        <w:tc>
          <w:tcPr>
            <w:tcW w:w="1860" w:type="dxa"/>
          </w:tcPr>
          <w:p>
            <w:pPr>
              <w:pStyle w:val="16"/>
              <w:adjustRightInd w:val="0"/>
              <w:snapToGrid w:val="0"/>
              <w:spacing w:line="460" w:lineRule="exact"/>
              <w:jc w:val="center"/>
              <w:rPr>
                <w:rFonts w:hAnsi="宋体"/>
                <w:spacing w:val="22"/>
                <w:sz w:val="24"/>
                <w:szCs w:val="24"/>
              </w:rPr>
            </w:pPr>
          </w:p>
        </w:tc>
        <w:tc>
          <w:tcPr>
            <w:tcW w:w="2610" w:type="dxa"/>
            <w:vAlign w:val="center"/>
          </w:tcPr>
          <w:p>
            <w:pPr>
              <w:pStyle w:val="16"/>
              <w:adjustRightInd w:val="0"/>
              <w:snapToGrid w:val="0"/>
              <w:spacing w:line="460" w:lineRule="exact"/>
              <w:jc w:val="center"/>
              <w:rPr>
                <w:rFonts w:hint="eastAsia" w:hAnsi="宋体" w:eastAsia="宋体"/>
                <w:spacing w:val="22"/>
                <w:sz w:val="24"/>
                <w:szCs w:val="24"/>
                <w:lang w:eastAsia="zh-CN"/>
              </w:rPr>
            </w:pPr>
            <w:r>
              <w:rPr>
                <w:rFonts w:hint="eastAsia" w:hAnsi="宋体"/>
                <w:spacing w:val="22"/>
                <w:sz w:val="24"/>
                <w:lang w:eastAsia="zh-CN"/>
              </w:rPr>
              <w:t>2022年5月11日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2127" w:type="dxa"/>
            <w:vAlign w:val="center"/>
          </w:tcPr>
          <w:p>
            <w:pPr>
              <w:pStyle w:val="16"/>
              <w:adjustRightInd w:val="0"/>
              <w:snapToGrid w:val="0"/>
              <w:spacing w:line="460" w:lineRule="exact"/>
              <w:jc w:val="center"/>
              <w:rPr>
                <w:rFonts w:hAnsi="宋体"/>
                <w:spacing w:val="22"/>
                <w:sz w:val="24"/>
                <w:szCs w:val="24"/>
              </w:rPr>
            </w:pPr>
            <w:r>
              <w:rPr>
                <w:rFonts w:hAnsi="宋体"/>
                <w:spacing w:val="22"/>
                <w:sz w:val="24"/>
                <w:szCs w:val="24"/>
              </w:rPr>
              <w:t>黄瑞泳</w:t>
            </w:r>
          </w:p>
        </w:tc>
        <w:tc>
          <w:tcPr>
            <w:tcW w:w="2155" w:type="dxa"/>
            <w:vAlign w:val="center"/>
          </w:tcPr>
          <w:p>
            <w:pPr>
              <w:pStyle w:val="16"/>
              <w:adjustRightInd w:val="0"/>
              <w:snapToGrid w:val="0"/>
              <w:spacing w:line="460" w:lineRule="exact"/>
              <w:jc w:val="center"/>
              <w:rPr>
                <w:rFonts w:hAnsi="宋体"/>
                <w:spacing w:val="22"/>
                <w:sz w:val="24"/>
                <w:szCs w:val="24"/>
              </w:rPr>
            </w:pPr>
            <w:r>
              <w:rPr>
                <w:rFonts w:hAnsi="宋体"/>
                <w:spacing w:val="22"/>
                <w:sz w:val="24"/>
                <w:szCs w:val="24"/>
              </w:rPr>
              <w:t>4420090045</w:t>
            </w:r>
          </w:p>
        </w:tc>
        <w:tc>
          <w:tcPr>
            <w:tcW w:w="1860" w:type="dxa"/>
          </w:tcPr>
          <w:p>
            <w:pPr>
              <w:pStyle w:val="16"/>
              <w:adjustRightInd w:val="0"/>
              <w:snapToGrid w:val="0"/>
              <w:spacing w:line="460" w:lineRule="exact"/>
              <w:jc w:val="center"/>
              <w:rPr>
                <w:rFonts w:hAnsi="宋体"/>
                <w:spacing w:val="22"/>
                <w:sz w:val="24"/>
                <w:szCs w:val="24"/>
              </w:rPr>
            </w:pPr>
          </w:p>
        </w:tc>
        <w:tc>
          <w:tcPr>
            <w:tcW w:w="2610" w:type="dxa"/>
            <w:vAlign w:val="center"/>
          </w:tcPr>
          <w:p>
            <w:pPr>
              <w:pStyle w:val="16"/>
              <w:adjustRightInd w:val="0"/>
              <w:snapToGrid w:val="0"/>
              <w:spacing w:line="460" w:lineRule="exact"/>
              <w:jc w:val="center"/>
              <w:rPr>
                <w:rFonts w:hint="eastAsia" w:hAnsi="宋体" w:eastAsia="宋体"/>
                <w:spacing w:val="22"/>
                <w:sz w:val="24"/>
                <w:szCs w:val="24"/>
                <w:lang w:eastAsia="zh-CN"/>
              </w:rPr>
            </w:pPr>
            <w:r>
              <w:rPr>
                <w:rFonts w:hint="eastAsia" w:hAnsi="宋体"/>
                <w:spacing w:val="22"/>
                <w:sz w:val="24"/>
                <w:lang w:eastAsia="zh-CN"/>
              </w:rPr>
              <w:t>2022年5月11日</w:t>
            </w:r>
          </w:p>
        </w:tc>
      </w:tr>
    </w:tbl>
    <w:p>
      <w:pPr>
        <w:spacing w:line="500" w:lineRule="exact"/>
        <w:ind w:firstLine="541" w:firstLineChars="190"/>
        <w:rPr>
          <w:rFonts w:ascii="宋体" w:hAnsi="宋体"/>
          <w:spacing w:val="22"/>
          <w:sz w:val="24"/>
        </w:rPr>
      </w:pPr>
      <w:r>
        <w:rPr>
          <w:rFonts w:hint="eastAsia" w:ascii="宋体" w:hAnsi="宋体"/>
          <w:b/>
          <w:spacing w:val="22"/>
          <w:sz w:val="24"/>
        </w:rPr>
        <w:t xml:space="preserve"> </w:t>
      </w:r>
    </w:p>
    <w:p>
      <w:pPr>
        <w:pStyle w:val="3"/>
        <w:spacing w:before="0" w:after="0" w:line="384" w:lineRule="auto"/>
        <w:rPr>
          <w:rFonts w:ascii="宋体" w:hAnsi="宋体" w:eastAsia="宋体"/>
          <w:spacing w:val="20"/>
          <w:sz w:val="24"/>
          <w:szCs w:val="24"/>
        </w:rPr>
      </w:pPr>
      <w:bookmarkStart w:id="50" w:name="_Toc24558"/>
      <w:r>
        <w:rPr>
          <w:rFonts w:ascii="宋体" w:hAnsi="宋体" w:eastAsia="宋体" w:cs="宋体"/>
          <w:spacing w:val="20"/>
          <w:sz w:val="24"/>
          <w:szCs w:val="24"/>
        </w:rPr>
        <w:t>(十二)</w:t>
      </w:r>
      <w:r>
        <w:rPr>
          <w:rFonts w:ascii="宋体" w:hAnsi="宋体" w:eastAsia="宋体"/>
          <w:spacing w:val="20"/>
          <w:sz w:val="24"/>
          <w:szCs w:val="24"/>
        </w:rPr>
        <w:t>实地勘查日期</w:t>
      </w:r>
      <w:bookmarkEnd w:id="50"/>
    </w:p>
    <w:p>
      <w:pPr>
        <w:spacing w:line="384" w:lineRule="auto"/>
        <w:ind w:firstLine="545" w:firstLineChars="192"/>
        <w:rPr>
          <w:rFonts w:ascii="宋体" w:hAnsi="宋体"/>
          <w:spacing w:val="22"/>
          <w:sz w:val="24"/>
        </w:rPr>
      </w:pPr>
      <w:bookmarkStart w:id="51" w:name="附20"/>
      <w:r>
        <w:rPr>
          <w:rFonts w:hint="eastAsia" w:ascii="宋体" w:hAnsi="宋体"/>
          <w:spacing w:val="22"/>
          <w:sz w:val="24"/>
        </w:rPr>
        <w:t>我司估价人员于</w:t>
      </w:r>
      <w:r>
        <w:rPr>
          <w:rFonts w:hint="eastAsia" w:ascii="宋体" w:hAnsi="宋体"/>
          <w:spacing w:val="22"/>
          <w:sz w:val="24"/>
          <w:lang w:eastAsia="zh-CN"/>
        </w:rPr>
        <w:t>2022年5月6日</w:t>
      </w:r>
      <w:r>
        <w:rPr>
          <w:rFonts w:hint="eastAsia" w:ascii="宋体" w:hAnsi="宋体"/>
          <w:spacing w:val="22"/>
          <w:sz w:val="24"/>
        </w:rPr>
        <w:t>对本估价报告中的估价对象进行了实地查勘</w:t>
      </w:r>
      <w:r>
        <w:rPr>
          <w:rFonts w:ascii="宋体" w:hAnsi="宋体"/>
          <w:spacing w:val="22"/>
          <w:sz w:val="24"/>
        </w:rPr>
        <w:t>。</w:t>
      </w:r>
      <w:bookmarkEnd w:id="51"/>
    </w:p>
    <w:p>
      <w:pPr>
        <w:pStyle w:val="3"/>
        <w:spacing w:before="0" w:after="0" w:line="384" w:lineRule="auto"/>
        <w:rPr>
          <w:rFonts w:ascii="宋体" w:hAnsi="宋体" w:eastAsia="宋体"/>
          <w:spacing w:val="22"/>
          <w:sz w:val="24"/>
        </w:rPr>
      </w:pPr>
      <w:bookmarkStart w:id="52" w:name="_Toc17074"/>
      <w:r>
        <w:rPr>
          <w:rFonts w:ascii="宋体" w:hAnsi="宋体" w:eastAsia="宋体" w:cs="宋体"/>
          <w:spacing w:val="20"/>
          <w:sz w:val="24"/>
          <w:szCs w:val="24"/>
        </w:rPr>
        <w:t>(十三)</w:t>
      </w:r>
      <w:r>
        <w:rPr>
          <w:rFonts w:ascii="宋体" w:hAnsi="宋体" w:eastAsia="宋体"/>
          <w:spacing w:val="20"/>
          <w:sz w:val="24"/>
          <w:szCs w:val="24"/>
        </w:rPr>
        <w:t>估价作业日期</w:t>
      </w:r>
      <w:bookmarkEnd w:id="52"/>
    </w:p>
    <w:p>
      <w:pPr>
        <w:spacing w:line="384" w:lineRule="auto"/>
        <w:ind w:firstLine="545" w:firstLineChars="192"/>
        <w:rPr>
          <w:rFonts w:ascii="宋体" w:hAnsi="宋体"/>
          <w:spacing w:val="22"/>
          <w:sz w:val="24"/>
        </w:rPr>
      </w:pPr>
      <w:bookmarkStart w:id="53" w:name="附21"/>
      <w:r>
        <w:rPr>
          <w:rFonts w:hint="eastAsia" w:ascii="宋体" w:hAnsi="宋体"/>
          <w:spacing w:val="22"/>
          <w:sz w:val="24"/>
          <w:lang w:eastAsia="zh-CN"/>
        </w:rPr>
        <w:t>2022年5月6日</w:t>
      </w:r>
      <w:r>
        <w:rPr>
          <w:rFonts w:hint="eastAsia" w:ascii="宋体" w:hAnsi="宋体"/>
          <w:spacing w:val="22"/>
          <w:sz w:val="24"/>
        </w:rPr>
        <w:t>──</w:t>
      </w:r>
      <w:r>
        <w:rPr>
          <w:rFonts w:hint="eastAsia" w:ascii="宋体" w:hAnsi="宋体"/>
          <w:spacing w:val="22"/>
          <w:sz w:val="24"/>
          <w:lang w:eastAsia="zh-CN"/>
        </w:rPr>
        <w:t>2022年5月11日</w:t>
      </w:r>
      <w:r>
        <w:rPr>
          <w:rFonts w:hint="eastAsia" w:ascii="宋体" w:hAnsi="宋体"/>
          <w:spacing w:val="22"/>
          <w:sz w:val="24"/>
        </w:rPr>
        <w:t>。</w:t>
      </w:r>
      <w:bookmarkEnd w:id="53"/>
    </w:p>
    <w:p>
      <w:pPr>
        <w:pStyle w:val="3"/>
        <w:spacing w:before="0" w:after="0" w:line="384" w:lineRule="auto"/>
        <w:rPr>
          <w:rFonts w:ascii="宋体" w:hAnsi="宋体" w:eastAsia="宋体"/>
          <w:spacing w:val="20"/>
          <w:sz w:val="24"/>
          <w:szCs w:val="24"/>
        </w:rPr>
      </w:pPr>
      <w:bookmarkStart w:id="54" w:name="_Toc9307"/>
      <w:r>
        <w:rPr>
          <w:rFonts w:ascii="宋体" w:hAnsi="宋体" w:eastAsia="宋体" w:cs="宋体"/>
          <w:spacing w:val="20"/>
          <w:sz w:val="24"/>
          <w:szCs w:val="24"/>
        </w:rPr>
        <w:t>(十四)</w:t>
      </w:r>
      <w:r>
        <w:rPr>
          <w:rFonts w:ascii="宋体" w:hAnsi="宋体" w:eastAsia="宋体"/>
          <w:spacing w:val="20"/>
          <w:sz w:val="24"/>
          <w:szCs w:val="24"/>
        </w:rPr>
        <w:t>估价报告的应用有效期</w:t>
      </w:r>
      <w:bookmarkEnd w:id="54"/>
    </w:p>
    <w:p>
      <w:pPr>
        <w:spacing w:line="384" w:lineRule="auto"/>
        <w:ind w:firstLine="557" w:firstLineChars="199"/>
        <w:rPr>
          <w:rFonts w:ascii="宋体" w:hAnsi="宋体"/>
          <w:spacing w:val="20"/>
          <w:sz w:val="24"/>
        </w:rPr>
      </w:pPr>
      <w:r>
        <w:rPr>
          <w:rFonts w:ascii="宋体" w:hAnsi="宋体"/>
          <w:spacing w:val="20"/>
          <w:sz w:val="24"/>
        </w:rPr>
        <w:t>自报告出具之日起计壹年，</w:t>
      </w:r>
      <w:bookmarkStart w:id="55" w:name="附22"/>
      <w:r>
        <w:rPr>
          <w:rFonts w:ascii="宋体" w:hAnsi="宋体"/>
          <w:spacing w:val="20"/>
          <w:sz w:val="24"/>
        </w:rPr>
        <w:t>即</w:t>
      </w:r>
      <w:r>
        <w:rPr>
          <w:rFonts w:hint="eastAsia" w:ascii="宋体" w:hAnsi="宋体"/>
          <w:spacing w:val="20"/>
          <w:sz w:val="24"/>
          <w:lang w:eastAsia="zh-CN"/>
        </w:rPr>
        <w:t>2022年5月11日</w:t>
      </w:r>
      <w:r>
        <w:rPr>
          <w:rFonts w:ascii="宋体" w:hAnsi="宋体"/>
          <w:spacing w:val="20"/>
          <w:sz w:val="24"/>
        </w:rPr>
        <w:t>──</w:t>
      </w:r>
      <w:r>
        <w:rPr>
          <w:rFonts w:hint="eastAsia" w:ascii="宋体" w:hAnsi="宋体"/>
          <w:spacing w:val="20"/>
          <w:sz w:val="24"/>
          <w:lang w:eastAsia="zh-CN"/>
        </w:rPr>
        <w:t>2023年05月10日</w:t>
      </w:r>
      <w:r>
        <w:rPr>
          <w:rFonts w:ascii="宋体" w:hAnsi="宋体"/>
          <w:spacing w:val="20"/>
          <w:sz w:val="24"/>
        </w:rPr>
        <w:t>。</w:t>
      </w:r>
      <w:bookmarkEnd w:id="55"/>
      <w:bookmarkStart w:id="56" w:name="_Toc203294638"/>
      <w:bookmarkStart w:id="57" w:name="_Toc229207521"/>
      <w:bookmarkStart w:id="58" w:name="_Toc229219560"/>
    </w:p>
    <w:bookmarkEnd w:id="56"/>
    <w:bookmarkEnd w:id="57"/>
    <w:bookmarkEnd w:id="58"/>
    <w:p>
      <w:pPr>
        <w:pStyle w:val="2"/>
        <w:spacing w:before="0" w:after="0" w:line="384" w:lineRule="auto"/>
        <w:jc w:val="center"/>
        <w:rPr>
          <w:rFonts w:hint="eastAsia" w:ascii="宋体" w:hAnsi="宋体"/>
          <w:spacing w:val="20"/>
          <w:sz w:val="36"/>
          <w:szCs w:val="36"/>
        </w:rPr>
      </w:pPr>
      <w:bookmarkStart w:id="59" w:name="_Toc30766"/>
      <w:bookmarkStart w:id="60" w:name="_Toc203294636"/>
    </w:p>
    <w:p>
      <w:pPr>
        <w:pStyle w:val="2"/>
        <w:spacing w:before="0" w:after="0" w:line="384" w:lineRule="auto"/>
        <w:jc w:val="center"/>
        <w:rPr>
          <w:rFonts w:hint="eastAsia" w:ascii="宋体" w:hAnsi="宋体"/>
          <w:spacing w:val="20"/>
          <w:sz w:val="36"/>
          <w:szCs w:val="36"/>
        </w:rPr>
      </w:pPr>
    </w:p>
    <w:p>
      <w:pPr>
        <w:pStyle w:val="2"/>
        <w:spacing w:before="0" w:after="0" w:line="384" w:lineRule="auto"/>
        <w:jc w:val="center"/>
        <w:rPr>
          <w:rFonts w:hint="eastAsia" w:ascii="宋体" w:hAnsi="宋体"/>
          <w:spacing w:val="20"/>
          <w:sz w:val="36"/>
          <w:szCs w:val="36"/>
        </w:rPr>
      </w:pPr>
    </w:p>
    <w:p>
      <w:pPr>
        <w:pStyle w:val="2"/>
        <w:spacing w:before="0" w:after="0" w:line="384" w:lineRule="auto"/>
        <w:jc w:val="center"/>
        <w:rPr>
          <w:rFonts w:hint="eastAsia" w:ascii="宋体" w:hAnsi="宋体"/>
          <w:spacing w:val="20"/>
          <w:sz w:val="36"/>
          <w:szCs w:val="36"/>
        </w:rPr>
      </w:pPr>
    </w:p>
    <w:p>
      <w:pPr>
        <w:pStyle w:val="2"/>
        <w:spacing w:before="0" w:after="0" w:line="384" w:lineRule="auto"/>
        <w:jc w:val="center"/>
        <w:rPr>
          <w:rFonts w:hint="eastAsia" w:ascii="宋体" w:hAnsi="宋体"/>
          <w:spacing w:val="20"/>
          <w:sz w:val="36"/>
          <w:szCs w:val="36"/>
        </w:rPr>
      </w:pPr>
    </w:p>
    <w:p>
      <w:pPr>
        <w:pStyle w:val="2"/>
        <w:spacing w:before="0" w:after="0" w:line="384" w:lineRule="auto"/>
        <w:jc w:val="center"/>
        <w:rPr>
          <w:rFonts w:hint="eastAsia" w:ascii="宋体" w:hAnsi="宋体"/>
          <w:spacing w:val="20"/>
          <w:sz w:val="36"/>
          <w:szCs w:val="36"/>
        </w:rPr>
      </w:pPr>
    </w:p>
    <w:p>
      <w:pPr>
        <w:pStyle w:val="2"/>
        <w:spacing w:before="0" w:after="0" w:line="384" w:lineRule="auto"/>
        <w:jc w:val="center"/>
        <w:rPr>
          <w:rFonts w:hint="eastAsia" w:ascii="宋体" w:hAnsi="宋体"/>
          <w:spacing w:val="20"/>
          <w:sz w:val="36"/>
          <w:szCs w:val="36"/>
        </w:rPr>
      </w:pPr>
    </w:p>
    <w:p>
      <w:pPr>
        <w:pStyle w:val="2"/>
        <w:spacing w:before="0" w:after="0" w:line="384" w:lineRule="auto"/>
        <w:jc w:val="center"/>
        <w:rPr>
          <w:rFonts w:hint="eastAsia" w:ascii="宋体" w:hAnsi="宋体"/>
          <w:spacing w:val="20"/>
          <w:sz w:val="36"/>
          <w:szCs w:val="36"/>
        </w:rPr>
      </w:pPr>
    </w:p>
    <w:p>
      <w:pPr>
        <w:rPr>
          <w:rFonts w:hint="eastAsia" w:ascii="宋体" w:hAnsi="宋体"/>
          <w:spacing w:val="20"/>
          <w:sz w:val="36"/>
          <w:szCs w:val="36"/>
        </w:rPr>
      </w:pPr>
    </w:p>
    <w:p>
      <w:pPr>
        <w:rPr>
          <w:rFonts w:hint="eastAsia" w:ascii="宋体" w:hAnsi="宋体"/>
          <w:spacing w:val="20"/>
          <w:sz w:val="36"/>
          <w:szCs w:val="36"/>
        </w:rPr>
      </w:pPr>
    </w:p>
    <w:p>
      <w:pPr>
        <w:pStyle w:val="2"/>
        <w:spacing w:before="0" w:after="0" w:line="384" w:lineRule="auto"/>
        <w:jc w:val="center"/>
        <w:rPr>
          <w:rFonts w:ascii="宋体" w:hAnsi="宋体"/>
          <w:spacing w:val="20"/>
          <w:sz w:val="36"/>
          <w:szCs w:val="36"/>
        </w:rPr>
      </w:pPr>
      <w:r>
        <w:rPr>
          <w:rFonts w:hint="eastAsia" w:ascii="宋体" w:hAnsi="宋体"/>
          <w:spacing w:val="20"/>
          <w:sz w:val="36"/>
          <w:szCs w:val="36"/>
        </w:rPr>
        <w:t>四</w:t>
      </w:r>
      <w:r>
        <w:rPr>
          <w:rFonts w:ascii="宋体" w:hAnsi="宋体"/>
          <w:spacing w:val="20"/>
          <w:sz w:val="36"/>
          <w:szCs w:val="36"/>
        </w:rPr>
        <w:t>、附件</w:t>
      </w:r>
      <w:bookmarkEnd w:id="59"/>
    </w:p>
    <w:p>
      <w:pPr>
        <w:pStyle w:val="16"/>
        <w:spacing w:line="384" w:lineRule="auto"/>
        <w:ind w:firstLine="534" w:firstLineChars="190"/>
        <w:outlineLvl w:val="2"/>
        <w:rPr>
          <w:rFonts w:hAnsi="宋体"/>
          <w:b/>
          <w:spacing w:val="20"/>
          <w:sz w:val="24"/>
          <w:szCs w:val="24"/>
        </w:rPr>
      </w:pPr>
      <w:bookmarkStart w:id="61" w:name="_Toc3642"/>
      <w:r>
        <w:rPr>
          <w:rFonts w:hAnsi="宋体"/>
          <w:b/>
          <w:spacing w:val="20"/>
          <w:sz w:val="24"/>
          <w:szCs w:val="24"/>
        </w:rPr>
        <w:t>(一)估价对象的位置图与照片</w:t>
      </w:r>
      <w:bookmarkEnd w:id="61"/>
    </w:p>
    <w:p>
      <w:pPr>
        <w:pStyle w:val="16"/>
        <w:spacing w:line="384" w:lineRule="auto"/>
        <w:ind w:firstLine="532" w:firstLineChars="190"/>
        <w:outlineLvl w:val="2"/>
        <w:rPr>
          <w:rFonts w:hAnsi="宋体"/>
          <w:spacing w:val="20"/>
          <w:sz w:val="24"/>
          <w:szCs w:val="24"/>
        </w:rPr>
      </w:pPr>
      <w:bookmarkStart w:id="62" w:name="_Toc25527"/>
      <w:bookmarkStart w:id="63" w:name="_Toc23311"/>
      <w:r>
        <w:rPr>
          <w:rFonts w:hAnsi="宋体"/>
          <w:spacing w:val="20"/>
          <w:sz w:val="24"/>
          <w:szCs w:val="24"/>
        </w:rPr>
        <w:t>1.估价对象地理位置图壹份</w:t>
      </w:r>
      <w:bookmarkEnd w:id="62"/>
      <w:bookmarkEnd w:id="63"/>
    </w:p>
    <w:p>
      <w:pPr>
        <w:pStyle w:val="16"/>
        <w:spacing w:line="384" w:lineRule="auto"/>
        <w:ind w:firstLine="532" w:firstLineChars="190"/>
        <w:outlineLvl w:val="2"/>
        <w:rPr>
          <w:rFonts w:hAnsi="宋体"/>
          <w:spacing w:val="20"/>
          <w:sz w:val="24"/>
          <w:szCs w:val="24"/>
        </w:rPr>
      </w:pPr>
      <w:bookmarkStart w:id="64" w:name="_Toc30673"/>
      <w:bookmarkStart w:id="65" w:name="_Toc10250"/>
      <w:r>
        <w:rPr>
          <w:rFonts w:hAnsi="宋体"/>
          <w:spacing w:val="20"/>
          <w:sz w:val="24"/>
          <w:szCs w:val="24"/>
        </w:rPr>
        <w:t>2</w:t>
      </w:r>
      <w:r>
        <w:rPr>
          <w:rFonts w:hint="eastAsia" w:hAnsi="宋体"/>
          <w:spacing w:val="20"/>
          <w:sz w:val="24"/>
          <w:szCs w:val="24"/>
        </w:rPr>
        <w:t>．</w:t>
      </w:r>
      <w:r>
        <w:rPr>
          <w:rFonts w:hAnsi="宋体"/>
          <w:spacing w:val="20"/>
          <w:sz w:val="24"/>
          <w:szCs w:val="24"/>
        </w:rPr>
        <w:t>估价对象现场实物照片壹份</w:t>
      </w:r>
      <w:bookmarkEnd w:id="64"/>
      <w:bookmarkEnd w:id="65"/>
    </w:p>
    <w:p>
      <w:pPr>
        <w:pStyle w:val="16"/>
        <w:spacing w:line="384" w:lineRule="auto"/>
        <w:ind w:firstLine="534" w:firstLineChars="190"/>
        <w:outlineLvl w:val="2"/>
        <w:rPr>
          <w:rFonts w:hAnsi="宋体"/>
          <w:b/>
          <w:spacing w:val="20"/>
          <w:sz w:val="24"/>
          <w:szCs w:val="24"/>
        </w:rPr>
      </w:pPr>
      <w:bookmarkStart w:id="66" w:name="_Toc18481"/>
      <w:bookmarkStart w:id="67" w:name="_Toc11141"/>
      <w:r>
        <w:rPr>
          <w:rFonts w:hAnsi="宋体"/>
          <w:b/>
          <w:spacing w:val="20"/>
          <w:sz w:val="24"/>
          <w:szCs w:val="24"/>
        </w:rPr>
        <w:t>(二)</w:t>
      </w:r>
      <w:r>
        <w:rPr>
          <w:rFonts w:hAnsi="宋体"/>
          <w:b/>
          <w:spacing w:val="20"/>
          <w:sz w:val="24"/>
        </w:rPr>
        <w:t>委托人提供的资料（复印件）</w:t>
      </w:r>
      <w:bookmarkEnd w:id="66"/>
      <w:bookmarkEnd w:id="67"/>
    </w:p>
    <w:p>
      <w:pPr>
        <w:pStyle w:val="16"/>
        <w:spacing w:line="384" w:lineRule="auto"/>
        <w:ind w:firstLine="532" w:firstLineChars="190"/>
        <w:outlineLvl w:val="2"/>
        <w:rPr>
          <w:rFonts w:hint="eastAsia" w:hAnsi="宋体"/>
          <w:b w:val="0"/>
          <w:bCs w:val="0"/>
          <w:spacing w:val="20"/>
          <w:sz w:val="24"/>
        </w:rPr>
      </w:pPr>
      <w:bookmarkStart w:id="68" w:name="_Toc30550"/>
      <w:r>
        <w:rPr>
          <w:rFonts w:hint="eastAsia" w:hAnsi="宋体"/>
          <w:b w:val="0"/>
          <w:bCs w:val="0"/>
          <w:spacing w:val="20"/>
          <w:sz w:val="24"/>
        </w:rPr>
        <w:t>1．《广东省</w:t>
      </w:r>
      <w:r>
        <w:rPr>
          <w:rFonts w:hint="eastAsia" w:hAnsi="宋体"/>
          <w:b w:val="0"/>
          <w:bCs w:val="0"/>
          <w:spacing w:val="20"/>
          <w:sz w:val="24"/>
          <w:lang w:eastAsia="zh-CN"/>
        </w:rPr>
        <w:t>阳春市人民法院</w:t>
      </w:r>
      <w:r>
        <w:rPr>
          <w:rFonts w:hint="eastAsia" w:hAnsi="宋体"/>
          <w:b w:val="0"/>
          <w:bCs w:val="0"/>
          <w:spacing w:val="20"/>
          <w:sz w:val="24"/>
        </w:rPr>
        <w:t>司法评估委托书》</w:t>
      </w:r>
      <w:r>
        <w:rPr>
          <w:rFonts w:hint="eastAsia" w:hAnsi="宋体"/>
          <w:b w:val="0"/>
          <w:bCs w:val="0"/>
          <w:spacing w:val="20"/>
          <w:sz w:val="24"/>
          <w:lang w:eastAsia="zh-CN"/>
        </w:rPr>
        <w:t>（2022）阳春法技鉴字第102号</w:t>
      </w:r>
      <w:r>
        <w:rPr>
          <w:rFonts w:hint="eastAsia" w:hAnsi="宋体"/>
          <w:b w:val="0"/>
          <w:bCs w:val="0"/>
          <w:spacing w:val="20"/>
          <w:sz w:val="24"/>
        </w:rPr>
        <w:t>；</w:t>
      </w:r>
      <w:bookmarkEnd w:id="68"/>
    </w:p>
    <w:p>
      <w:pPr>
        <w:pStyle w:val="16"/>
        <w:spacing w:line="384" w:lineRule="auto"/>
        <w:ind w:firstLine="532" w:firstLineChars="190"/>
        <w:outlineLvl w:val="2"/>
        <w:rPr>
          <w:rFonts w:hint="eastAsia" w:hAnsi="宋体"/>
          <w:b w:val="0"/>
          <w:bCs w:val="0"/>
          <w:spacing w:val="20"/>
          <w:sz w:val="24"/>
        </w:rPr>
      </w:pPr>
      <w:bookmarkStart w:id="69" w:name="_Toc31307"/>
      <w:r>
        <w:rPr>
          <w:rFonts w:hint="eastAsia" w:hAnsi="宋体"/>
          <w:b w:val="0"/>
          <w:bCs w:val="0"/>
          <w:spacing w:val="20"/>
          <w:sz w:val="24"/>
        </w:rPr>
        <w:t>2.《不动产登记资料查询结果证明》。</w:t>
      </w:r>
      <w:bookmarkEnd w:id="69"/>
    </w:p>
    <w:p>
      <w:pPr>
        <w:pStyle w:val="16"/>
        <w:spacing w:line="384" w:lineRule="auto"/>
        <w:ind w:firstLine="532" w:firstLineChars="190"/>
        <w:outlineLvl w:val="2"/>
        <w:rPr>
          <w:rFonts w:hAnsi="宋体"/>
          <w:spacing w:val="20"/>
          <w:sz w:val="24"/>
        </w:rPr>
      </w:pPr>
      <w:bookmarkStart w:id="70" w:name="_Toc11426"/>
      <w:r>
        <w:rPr>
          <w:rFonts w:hint="eastAsia" w:hAnsi="宋体"/>
          <w:b w:val="0"/>
          <w:bCs w:val="0"/>
          <w:spacing w:val="20"/>
          <w:sz w:val="24"/>
        </w:rPr>
        <w:t>3</w:t>
      </w:r>
      <w:r>
        <w:rPr>
          <w:rFonts w:hint="eastAsia" w:hAnsi="宋体"/>
          <w:spacing w:val="20"/>
          <w:sz w:val="24"/>
        </w:rPr>
        <w:t>.</w:t>
      </w:r>
      <w:r>
        <w:rPr>
          <w:rFonts w:hint="eastAsia" w:ascii="宋体" w:hAnsi="宋体"/>
          <w:spacing w:val="20"/>
          <w:sz w:val="24"/>
          <w:lang w:eastAsia="zh-CN"/>
        </w:rPr>
        <w:t>《广东省阳春市人民法院执行裁定书》（</w:t>
      </w:r>
      <w:r>
        <w:rPr>
          <w:rFonts w:hint="eastAsia" w:ascii="宋体" w:hAnsi="宋体"/>
          <w:spacing w:val="20"/>
          <w:sz w:val="24"/>
          <w:lang w:val="en-US" w:eastAsia="zh-CN"/>
        </w:rPr>
        <w:t>2021</w:t>
      </w:r>
      <w:r>
        <w:rPr>
          <w:rFonts w:hint="eastAsia" w:ascii="宋体" w:hAnsi="宋体"/>
          <w:spacing w:val="20"/>
          <w:sz w:val="24"/>
          <w:lang w:eastAsia="zh-CN"/>
        </w:rPr>
        <w:t>）粤</w:t>
      </w:r>
      <w:r>
        <w:rPr>
          <w:rFonts w:hint="eastAsia" w:ascii="宋体" w:hAnsi="宋体"/>
          <w:spacing w:val="20"/>
          <w:sz w:val="24"/>
          <w:lang w:val="en-US" w:eastAsia="zh-CN"/>
        </w:rPr>
        <w:t>1781执20</w:t>
      </w:r>
      <w:r>
        <w:rPr>
          <w:rFonts w:hint="eastAsia" w:hAnsi="宋体"/>
          <w:spacing w:val="20"/>
          <w:sz w:val="24"/>
          <w:lang w:val="en-US" w:eastAsia="zh-CN"/>
        </w:rPr>
        <w:t>2</w:t>
      </w:r>
      <w:r>
        <w:rPr>
          <w:rFonts w:hint="eastAsia" w:ascii="宋体" w:hAnsi="宋体"/>
          <w:spacing w:val="20"/>
          <w:sz w:val="24"/>
          <w:lang w:val="en-US" w:eastAsia="zh-CN"/>
        </w:rPr>
        <w:t>5号</w:t>
      </w:r>
      <w:r>
        <w:rPr>
          <w:rFonts w:hint="eastAsia" w:hAnsi="宋体"/>
          <w:spacing w:val="20"/>
          <w:sz w:val="24"/>
        </w:rPr>
        <w:t>。</w:t>
      </w:r>
      <w:bookmarkEnd w:id="70"/>
    </w:p>
    <w:p>
      <w:pPr>
        <w:pStyle w:val="16"/>
        <w:spacing w:line="384" w:lineRule="auto"/>
        <w:ind w:firstLine="534" w:firstLineChars="190"/>
        <w:outlineLvl w:val="2"/>
        <w:rPr>
          <w:rFonts w:hAnsi="宋体"/>
          <w:b/>
          <w:spacing w:val="20"/>
          <w:sz w:val="24"/>
          <w:szCs w:val="24"/>
        </w:rPr>
      </w:pPr>
      <w:bookmarkStart w:id="71" w:name="_Toc22699"/>
      <w:r>
        <w:rPr>
          <w:rFonts w:hAnsi="宋体"/>
          <w:b/>
          <w:spacing w:val="20"/>
          <w:sz w:val="24"/>
          <w:szCs w:val="24"/>
        </w:rPr>
        <w:t>(三)估价方资质证书等资料（复印件）</w:t>
      </w:r>
      <w:bookmarkEnd w:id="71"/>
    </w:p>
    <w:p>
      <w:pPr>
        <w:pStyle w:val="16"/>
        <w:spacing w:line="384" w:lineRule="auto"/>
        <w:ind w:firstLine="532" w:firstLineChars="190"/>
        <w:outlineLvl w:val="2"/>
        <w:rPr>
          <w:rFonts w:hAnsi="宋体"/>
          <w:spacing w:val="20"/>
          <w:sz w:val="24"/>
          <w:szCs w:val="24"/>
        </w:rPr>
      </w:pPr>
      <w:bookmarkStart w:id="72" w:name="_Toc26640"/>
      <w:bookmarkStart w:id="73" w:name="_Toc27985"/>
      <w:r>
        <w:rPr>
          <w:rFonts w:hAnsi="宋体"/>
          <w:spacing w:val="20"/>
          <w:sz w:val="24"/>
          <w:szCs w:val="24"/>
        </w:rPr>
        <w:t>1</w:t>
      </w:r>
      <w:r>
        <w:rPr>
          <w:rFonts w:hint="eastAsia" w:hAnsi="宋体"/>
          <w:spacing w:val="20"/>
          <w:sz w:val="24"/>
          <w:szCs w:val="24"/>
        </w:rPr>
        <w:t>．</w:t>
      </w:r>
      <w:r>
        <w:rPr>
          <w:rFonts w:hAnsi="宋体"/>
          <w:spacing w:val="20"/>
          <w:sz w:val="24"/>
          <w:szCs w:val="24"/>
        </w:rPr>
        <w:t>估价方《企业法人营业执照》壹份</w:t>
      </w:r>
      <w:bookmarkEnd w:id="72"/>
      <w:bookmarkEnd w:id="73"/>
    </w:p>
    <w:p>
      <w:pPr>
        <w:pStyle w:val="16"/>
        <w:spacing w:line="384" w:lineRule="auto"/>
        <w:ind w:firstLine="532" w:firstLineChars="190"/>
        <w:outlineLvl w:val="2"/>
        <w:rPr>
          <w:rFonts w:hAnsi="宋体"/>
          <w:spacing w:val="20"/>
          <w:sz w:val="24"/>
          <w:szCs w:val="24"/>
        </w:rPr>
      </w:pPr>
      <w:bookmarkStart w:id="74" w:name="_Toc4282"/>
      <w:bookmarkStart w:id="75" w:name="_Toc32588"/>
      <w:r>
        <w:rPr>
          <w:rFonts w:hAnsi="宋体"/>
          <w:spacing w:val="20"/>
          <w:sz w:val="24"/>
          <w:szCs w:val="24"/>
        </w:rPr>
        <w:t>2</w:t>
      </w:r>
      <w:r>
        <w:rPr>
          <w:rFonts w:hint="eastAsia" w:hAnsi="宋体"/>
          <w:spacing w:val="20"/>
          <w:sz w:val="24"/>
          <w:szCs w:val="24"/>
        </w:rPr>
        <w:t>．</w:t>
      </w:r>
      <w:r>
        <w:rPr>
          <w:rFonts w:hAnsi="宋体"/>
          <w:spacing w:val="20"/>
          <w:sz w:val="24"/>
          <w:szCs w:val="24"/>
        </w:rPr>
        <w:t>估价方《房地产估价机构备案证书》壹份</w:t>
      </w:r>
      <w:bookmarkEnd w:id="74"/>
      <w:bookmarkEnd w:id="75"/>
    </w:p>
    <w:p>
      <w:pPr>
        <w:pStyle w:val="16"/>
        <w:spacing w:line="384" w:lineRule="auto"/>
        <w:ind w:firstLine="532" w:firstLineChars="190"/>
        <w:outlineLvl w:val="2"/>
        <w:rPr>
          <w:rFonts w:hAnsi="宋体"/>
          <w:spacing w:val="26"/>
          <w:sz w:val="24"/>
        </w:rPr>
        <w:sectPr>
          <w:pgSz w:w="11906" w:h="16838"/>
          <w:pgMar w:top="1276" w:right="1287" w:bottom="1559" w:left="1418" w:header="851" w:footer="992" w:gutter="0"/>
          <w:cols w:space="720" w:num="1"/>
          <w:titlePg/>
          <w:docGrid w:linePitch="312" w:charSpace="0"/>
        </w:sectPr>
      </w:pPr>
      <w:bookmarkStart w:id="76" w:name="_Toc29458"/>
      <w:bookmarkStart w:id="77" w:name="_Toc19205"/>
      <w:r>
        <w:rPr>
          <w:rFonts w:hAnsi="宋体"/>
          <w:spacing w:val="20"/>
          <w:sz w:val="24"/>
          <w:szCs w:val="24"/>
        </w:rPr>
        <w:t>3</w:t>
      </w:r>
      <w:r>
        <w:rPr>
          <w:rFonts w:hint="eastAsia" w:hAnsi="宋体"/>
          <w:spacing w:val="20"/>
          <w:sz w:val="24"/>
          <w:szCs w:val="24"/>
        </w:rPr>
        <w:t>．</w:t>
      </w:r>
      <w:r>
        <w:rPr>
          <w:rFonts w:hAnsi="宋体"/>
          <w:spacing w:val="20"/>
          <w:sz w:val="24"/>
          <w:szCs w:val="24"/>
        </w:rPr>
        <w:t>估价师《房地产估价师注册证》（或《执业资格证书》）</w:t>
      </w:r>
      <w:bookmarkStart w:id="78" w:name="_GoBack"/>
      <w:bookmarkEnd w:id="78"/>
      <w:r>
        <w:rPr>
          <w:rFonts w:hAnsi="宋体"/>
          <w:spacing w:val="20"/>
          <w:sz w:val="24"/>
          <w:szCs w:val="24"/>
        </w:rPr>
        <w:t>贰份</w:t>
      </w:r>
      <w:bookmarkEnd w:id="60"/>
      <w:bookmarkEnd w:id="76"/>
      <w:bookmarkEnd w:id="77"/>
    </w:p>
    <w:p>
      <w:pPr>
        <w:spacing w:line="384" w:lineRule="auto"/>
        <w:jc w:val="both"/>
        <w:rPr>
          <w:rFonts w:hAnsi="宋体"/>
          <w:spacing w:val="26"/>
          <w:sz w:val="24"/>
        </w:rPr>
      </w:pPr>
    </w:p>
    <w:sectPr>
      <w:pgSz w:w="11906" w:h="16838"/>
      <w:pgMar w:top="1276" w:right="1287" w:bottom="1559"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2</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5</w: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fldChar w:fldCharType="begin"/>
    </w:r>
    <w:r>
      <w:rPr>
        <w:rStyle w:val="38"/>
      </w:rPr>
      <w:instrText xml:space="preserve">PAGE  </w:instrText>
    </w:r>
    <w:r>
      <w:fldChar w:fldCharType="separate"/>
    </w:r>
    <w:r>
      <w:rPr>
        <w:rStyle w:val="38"/>
      </w:rPr>
      <w:t>8</w:t>
    </w:r>
    <w: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b/>
      </w:rPr>
    </w:pPr>
    <w:r>
      <w:rPr>
        <w:rFonts w:hint="eastAsia"/>
        <w:b/>
      </w:rPr>
      <w:t>广东腾业资产评估及土地房地产估价有限公司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b/>
      </w:rPr>
    </w:pPr>
    <w:r>
      <w:rPr>
        <w:rFonts w:hint="eastAsia"/>
        <w:b/>
      </w:rPr>
      <w:t>广东腾业资产评估及土地房地产估价有限公司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NDdhMjg2MGI3MmM5ODQyZWJlZmRhYmYxNzdjYzkifQ=="/>
  </w:docVars>
  <w:rsids>
    <w:rsidRoot w:val="003F1419"/>
    <w:rsid w:val="00001B39"/>
    <w:rsid w:val="00001F63"/>
    <w:rsid w:val="00002174"/>
    <w:rsid w:val="00002747"/>
    <w:rsid w:val="00002952"/>
    <w:rsid w:val="00004091"/>
    <w:rsid w:val="00006611"/>
    <w:rsid w:val="00006FF9"/>
    <w:rsid w:val="00007FC5"/>
    <w:rsid w:val="00010151"/>
    <w:rsid w:val="00010380"/>
    <w:rsid w:val="00010BC0"/>
    <w:rsid w:val="00010D1E"/>
    <w:rsid w:val="00011257"/>
    <w:rsid w:val="00011270"/>
    <w:rsid w:val="00011843"/>
    <w:rsid w:val="00011F35"/>
    <w:rsid w:val="00012F51"/>
    <w:rsid w:val="000134B5"/>
    <w:rsid w:val="00013749"/>
    <w:rsid w:val="00013D05"/>
    <w:rsid w:val="000142E9"/>
    <w:rsid w:val="00014768"/>
    <w:rsid w:val="000147DA"/>
    <w:rsid w:val="000163F0"/>
    <w:rsid w:val="00016429"/>
    <w:rsid w:val="00016467"/>
    <w:rsid w:val="000164B1"/>
    <w:rsid w:val="00017700"/>
    <w:rsid w:val="00020573"/>
    <w:rsid w:val="000205AF"/>
    <w:rsid w:val="00020954"/>
    <w:rsid w:val="0002137C"/>
    <w:rsid w:val="00021805"/>
    <w:rsid w:val="00022520"/>
    <w:rsid w:val="000225F3"/>
    <w:rsid w:val="0002340F"/>
    <w:rsid w:val="00024083"/>
    <w:rsid w:val="00024574"/>
    <w:rsid w:val="00024EF4"/>
    <w:rsid w:val="00024EF7"/>
    <w:rsid w:val="00024F9D"/>
    <w:rsid w:val="00025B8F"/>
    <w:rsid w:val="00027630"/>
    <w:rsid w:val="00027B46"/>
    <w:rsid w:val="00030ED9"/>
    <w:rsid w:val="00031629"/>
    <w:rsid w:val="000328B2"/>
    <w:rsid w:val="00033E21"/>
    <w:rsid w:val="00035639"/>
    <w:rsid w:val="0003574A"/>
    <w:rsid w:val="000365A3"/>
    <w:rsid w:val="00037847"/>
    <w:rsid w:val="00040FAE"/>
    <w:rsid w:val="00041743"/>
    <w:rsid w:val="00041754"/>
    <w:rsid w:val="00041CC3"/>
    <w:rsid w:val="0004285A"/>
    <w:rsid w:val="00042F3C"/>
    <w:rsid w:val="0004310C"/>
    <w:rsid w:val="0004428B"/>
    <w:rsid w:val="00045A86"/>
    <w:rsid w:val="00045DD0"/>
    <w:rsid w:val="00045EEB"/>
    <w:rsid w:val="00046D4D"/>
    <w:rsid w:val="0004793C"/>
    <w:rsid w:val="00050683"/>
    <w:rsid w:val="00050AF3"/>
    <w:rsid w:val="00051514"/>
    <w:rsid w:val="000525F7"/>
    <w:rsid w:val="00052614"/>
    <w:rsid w:val="0005381A"/>
    <w:rsid w:val="000538E9"/>
    <w:rsid w:val="000539C9"/>
    <w:rsid w:val="00053DCF"/>
    <w:rsid w:val="0005437F"/>
    <w:rsid w:val="00055B6C"/>
    <w:rsid w:val="00056878"/>
    <w:rsid w:val="00056CAD"/>
    <w:rsid w:val="000600A8"/>
    <w:rsid w:val="00060202"/>
    <w:rsid w:val="000623B7"/>
    <w:rsid w:val="00063EC1"/>
    <w:rsid w:val="000643A5"/>
    <w:rsid w:val="00064477"/>
    <w:rsid w:val="00065732"/>
    <w:rsid w:val="00065BFB"/>
    <w:rsid w:val="00065C27"/>
    <w:rsid w:val="0006622F"/>
    <w:rsid w:val="00066D3C"/>
    <w:rsid w:val="00067DF2"/>
    <w:rsid w:val="00071940"/>
    <w:rsid w:val="00072DDB"/>
    <w:rsid w:val="00073C4F"/>
    <w:rsid w:val="00074A70"/>
    <w:rsid w:val="000752BA"/>
    <w:rsid w:val="0007545B"/>
    <w:rsid w:val="000768CF"/>
    <w:rsid w:val="0007767D"/>
    <w:rsid w:val="00080937"/>
    <w:rsid w:val="00080ECA"/>
    <w:rsid w:val="000817D0"/>
    <w:rsid w:val="000821B4"/>
    <w:rsid w:val="00082407"/>
    <w:rsid w:val="00083DAF"/>
    <w:rsid w:val="000842AB"/>
    <w:rsid w:val="00086094"/>
    <w:rsid w:val="00086AA8"/>
    <w:rsid w:val="0008708C"/>
    <w:rsid w:val="000873C1"/>
    <w:rsid w:val="00090021"/>
    <w:rsid w:val="0009065E"/>
    <w:rsid w:val="000906A4"/>
    <w:rsid w:val="00090E46"/>
    <w:rsid w:val="000919F2"/>
    <w:rsid w:val="00091C8B"/>
    <w:rsid w:val="00092869"/>
    <w:rsid w:val="000935CF"/>
    <w:rsid w:val="0009602E"/>
    <w:rsid w:val="000967C3"/>
    <w:rsid w:val="0009715E"/>
    <w:rsid w:val="000A023B"/>
    <w:rsid w:val="000A08CB"/>
    <w:rsid w:val="000A1C9D"/>
    <w:rsid w:val="000A2D05"/>
    <w:rsid w:val="000A2E54"/>
    <w:rsid w:val="000A388B"/>
    <w:rsid w:val="000A398B"/>
    <w:rsid w:val="000A4726"/>
    <w:rsid w:val="000A5ABC"/>
    <w:rsid w:val="000A5FDA"/>
    <w:rsid w:val="000A6526"/>
    <w:rsid w:val="000A6755"/>
    <w:rsid w:val="000A6E31"/>
    <w:rsid w:val="000A769A"/>
    <w:rsid w:val="000A7FF1"/>
    <w:rsid w:val="000B003B"/>
    <w:rsid w:val="000B0D20"/>
    <w:rsid w:val="000B0D9D"/>
    <w:rsid w:val="000B1D43"/>
    <w:rsid w:val="000B28B9"/>
    <w:rsid w:val="000B3243"/>
    <w:rsid w:val="000B3AE6"/>
    <w:rsid w:val="000B474D"/>
    <w:rsid w:val="000B5D48"/>
    <w:rsid w:val="000B689D"/>
    <w:rsid w:val="000B709C"/>
    <w:rsid w:val="000B7E8F"/>
    <w:rsid w:val="000C054E"/>
    <w:rsid w:val="000C23F4"/>
    <w:rsid w:val="000C2788"/>
    <w:rsid w:val="000C2B41"/>
    <w:rsid w:val="000C3180"/>
    <w:rsid w:val="000C34D7"/>
    <w:rsid w:val="000C3968"/>
    <w:rsid w:val="000C3E65"/>
    <w:rsid w:val="000C441B"/>
    <w:rsid w:val="000C4AAD"/>
    <w:rsid w:val="000C50DD"/>
    <w:rsid w:val="000C521A"/>
    <w:rsid w:val="000C5472"/>
    <w:rsid w:val="000C55B6"/>
    <w:rsid w:val="000C5AEE"/>
    <w:rsid w:val="000C5B21"/>
    <w:rsid w:val="000C5BC5"/>
    <w:rsid w:val="000C72F1"/>
    <w:rsid w:val="000C7731"/>
    <w:rsid w:val="000C7927"/>
    <w:rsid w:val="000D077B"/>
    <w:rsid w:val="000D12CA"/>
    <w:rsid w:val="000D2261"/>
    <w:rsid w:val="000D24BD"/>
    <w:rsid w:val="000D35AF"/>
    <w:rsid w:val="000D391E"/>
    <w:rsid w:val="000D42C4"/>
    <w:rsid w:val="000D4EA8"/>
    <w:rsid w:val="000D5F6B"/>
    <w:rsid w:val="000D66B6"/>
    <w:rsid w:val="000D77EB"/>
    <w:rsid w:val="000D79B3"/>
    <w:rsid w:val="000E0994"/>
    <w:rsid w:val="000E0A56"/>
    <w:rsid w:val="000E1152"/>
    <w:rsid w:val="000E1ABC"/>
    <w:rsid w:val="000E2E14"/>
    <w:rsid w:val="000E2F4D"/>
    <w:rsid w:val="000E3572"/>
    <w:rsid w:val="000E379D"/>
    <w:rsid w:val="000E402D"/>
    <w:rsid w:val="000E50FF"/>
    <w:rsid w:val="000E665E"/>
    <w:rsid w:val="000E6EEE"/>
    <w:rsid w:val="000E77EC"/>
    <w:rsid w:val="000E7C0B"/>
    <w:rsid w:val="000F0692"/>
    <w:rsid w:val="000F080B"/>
    <w:rsid w:val="000F0C9C"/>
    <w:rsid w:val="000F48F1"/>
    <w:rsid w:val="000F4B26"/>
    <w:rsid w:val="000F57D5"/>
    <w:rsid w:val="000F6F0B"/>
    <w:rsid w:val="0010093E"/>
    <w:rsid w:val="00104219"/>
    <w:rsid w:val="00104C47"/>
    <w:rsid w:val="0010675C"/>
    <w:rsid w:val="0010774B"/>
    <w:rsid w:val="00107AD7"/>
    <w:rsid w:val="00110635"/>
    <w:rsid w:val="00110AA3"/>
    <w:rsid w:val="00112041"/>
    <w:rsid w:val="001120D8"/>
    <w:rsid w:val="001121C1"/>
    <w:rsid w:val="001124DD"/>
    <w:rsid w:val="0011281E"/>
    <w:rsid w:val="00113A0A"/>
    <w:rsid w:val="0011448F"/>
    <w:rsid w:val="0011453D"/>
    <w:rsid w:val="00114AFE"/>
    <w:rsid w:val="001153D7"/>
    <w:rsid w:val="00115B9D"/>
    <w:rsid w:val="00116283"/>
    <w:rsid w:val="001162C1"/>
    <w:rsid w:val="001166C7"/>
    <w:rsid w:val="001172ED"/>
    <w:rsid w:val="00117FF0"/>
    <w:rsid w:val="001204FB"/>
    <w:rsid w:val="00121C34"/>
    <w:rsid w:val="001232DF"/>
    <w:rsid w:val="00124A47"/>
    <w:rsid w:val="00124C7C"/>
    <w:rsid w:val="00124E06"/>
    <w:rsid w:val="00124EAF"/>
    <w:rsid w:val="00124FD8"/>
    <w:rsid w:val="00127753"/>
    <w:rsid w:val="00127789"/>
    <w:rsid w:val="00127E28"/>
    <w:rsid w:val="001303A7"/>
    <w:rsid w:val="00131E32"/>
    <w:rsid w:val="00132928"/>
    <w:rsid w:val="00133094"/>
    <w:rsid w:val="00133AC1"/>
    <w:rsid w:val="00133E17"/>
    <w:rsid w:val="001340CB"/>
    <w:rsid w:val="001341BC"/>
    <w:rsid w:val="00134F6A"/>
    <w:rsid w:val="00136033"/>
    <w:rsid w:val="001362C1"/>
    <w:rsid w:val="0013659D"/>
    <w:rsid w:val="00136E98"/>
    <w:rsid w:val="0013743A"/>
    <w:rsid w:val="0014075B"/>
    <w:rsid w:val="00140985"/>
    <w:rsid w:val="001412AA"/>
    <w:rsid w:val="00141DC2"/>
    <w:rsid w:val="001424BD"/>
    <w:rsid w:val="0014293C"/>
    <w:rsid w:val="00142B89"/>
    <w:rsid w:val="001438DC"/>
    <w:rsid w:val="00143D82"/>
    <w:rsid w:val="00144364"/>
    <w:rsid w:val="00144482"/>
    <w:rsid w:val="001445B8"/>
    <w:rsid w:val="00144A5E"/>
    <w:rsid w:val="001451CF"/>
    <w:rsid w:val="001457F1"/>
    <w:rsid w:val="00145E08"/>
    <w:rsid w:val="00146198"/>
    <w:rsid w:val="001467B6"/>
    <w:rsid w:val="001475A3"/>
    <w:rsid w:val="00151123"/>
    <w:rsid w:val="001525BC"/>
    <w:rsid w:val="00152E7B"/>
    <w:rsid w:val="0015384E"/>
    <w:rsid w:val="00153EB7"/>
    <w:rsid w:val="001542C7"/>
    <w:rsid w:val="001542E6"/>
    <w:rsid w:val="001545F9"/>
    <w:rsid w:val="00155132"/>
    <w:rsid w:val="0015543A"/>
    <w:rsid w:val="00155AAB"/>
    <w:rsid w:val="0016021B"/>
    <w:rsid w:val="001607F1"/>
    <w:rsid w:val="00160BFF"/>
    <w:rsid w:val="001615D8"/>
    <w:rsid w:val="00162998"/>
    <w:rsid w:val="00162F3F"/>
    <w:rsid w:val="00163974"/>
    <w:rsid w:val="001639D8"/>
    <w:rsid w:val="00164DA6"/>
    <w:rsid w:val="00165504"/>
    <w:rsid w:val="00165FCF"/>
    <w:rsid w:val="00165FDE"/>
    <w:rsid w:val="0016687C"/>
    <w:rsid w:val="001677E6"/>
    <w:rsid w:val="00167E72"/>
    <w:rsid w:val="001703B8"/>
    <w:rsid w:val="00170723"/>
    <w:rsid w:val="001714EC"/>
    <w:rsid w:val="00171FAD"/>
    <w:rsid w:val="00172821"/>
    <w:rsid w:val="00172E39"/>
    <w:rsid w:val="00173379"/>
    <w:rsid w:val="0017384D"/>
    <w:rsid w:val="00173EA7"/>
    <w:rsid w:val="00174FC5"/>
    <w:rsid w:val="0017574C"/>
    <w:rsid w:val="00175E40"/>
    <w:rsid w:val="00175EE8"/>
    <w:rsid w:val="00176067"/>
    <w:rsid w:val="00176750"/>
    <w:rsid w:val="001767E7"/>
    <w:rsid w:val="00176F6F"/>
    <w:rsid w:val="001776BA"/>
    <w:rsid w:val="00180A29"/>
    <w:rsid w:val="001812EA"/>
    <w:rsid w:val="00181CE4"/>
    <w:rsid w:val="00184EF4"/>
    <w:rsid w:val="001855C9"/>
    <w:rsid w:val="0018562B"/>
    <w:rsid w:val="001868E7"/>
    <w:rsid w:val="00186D57"/>
    <w:rsid w:val="00187B26"/>
    <w:rsid w:val="00187BA5"/>
    <w:rsid w:val="00191021"/>
    <w:rsid w:val="001911E3"/>
    <w:rsid w:val="00192E51"/>
    <w:rsid w:val="00192EBB"/>
    <w:rsid w:val="0019451D"/>
    <w:rsid w:val="00194F4D"/>
    <w:rsid w:val="0019670F"/>
    <w:rsid w:val="00196A32"/>
    <w:rsid w:val="0019793A"/>
    <w:rsid w:val="001A285F"/>
    <w:rsid w:val="001A30AA"/>
    <w:rsid w:val="001A34EF"/>
    <w:rsid w:val="001A3B26"/>
    <w:rsid w:val="001A4028"/>
    <w:rsid w:val="001A4B1C"/>
    <w:rsid w:val="001A4F2E"/>
    <w:rsid w:val="001A51EB"/>
    <w:rsid w:val="001A56A7"/>
    <w:rsid w:val="001A652C"/>
    <w:rsid w:val="001A7641"/>
    <w:rsid w:val="001A77D0"/>
    <w:rsid w:val="001A7926"/>
    <w:rsid w:val="001A7EB1"/>
    <w:rsid w:val="001B09CD"/>
    <w:rsid w:val="001B0B01"/>
    <w:rsid w:val="001B0D56"/>
    <w:rsid w:val="001B0EBD"/>
    <w:rsid w:val="001B1240"/>
    <w:rsid w:val="001B1C76"/>
    <w:rsid w:val="001B2439"/>
    <w:rsid w:val="001B271B"/>
    <w:rsid w:val="001B28FF"/>
    <w:rsid w:val="001B3EE5"/>
    <w:rsid w:val="001B4130"/>
    <w:rsid w:val="001B5724"/>
    <w:rsid w:val="001B5A03"/>
    <w:rsid w:val="001B632A"/>
    <w:rsid w:val="001B64A6"/>
    <w:rsid w:val="001B6E00"/>
    <w:rsid w:val="001C0223"/>
    <w:rsid w:val="001C090D"/>
    <w:rsid w:val="001C0D96"/>
    <w:rsid w:val="001C0E04"/>
    <w:rsid w:val="001C11BB"/>
    <w:rsid w:val="001C24C3"/>
    <w:rsid w:val="001C28C8"/>
    <w:rsid w:val="001C299A"/>
    <w:rsid w:val="001C2EC1"/>
    <w:rsid w:val="001C3122"/>
    <w:rsid w:val="001C31E2"/>
    <w:rsid w:val="001C3AC0"/>
    <w:rsid w:val="001C3F9D"/>
    <w:rsid w:val="001C423C"/>
    <w:rsid w:val="001C4B3D"/>
    <w:rsid w:val="001C6022"/>
    <w:rsid w:val="001C627A"/>
    <w:rsid w:val="001C6AB7"/>
    <w:rsid w:val="001C74C6"/>
    <w:rsid w:val="001C7AEC"/>
    <w:rsid w:val="001C7E39"/>
    <w:rsid w:val="001D0496"/>
    <w:rsid w:val="001D1E27"/>
    <w:rsid w:val="001D1E38"/>
    <w:rsid w:val="001D24EA"/>
    <w:rsid w:val="001D2BCF"/>
    <w:rsid w:val="001D3007"/>
    <w:rsid w:val="001D3A43"/>
    <w:rsid w:val="001D3BA6"/>
    <w:rsid w:val="001D5D4F"/>
    <w:rsid w:val="001D7926"/>
    <w:rsid w:val="001D7FDD"/>
    <w:rsid w:val="001E15F6"/>
    <w:rsid w:val="001E1AA5"/>
    <w:rsid w:val="001E3867"/>
    <w:rsid w:val="001E3FEF"/>
    <w:rsid w:val="001E477A"/>
    <w:rsid w:val="001E545E"/>
    <w:rsid w:val="001E6688"/>
    <w:rsid w:val="001E6A3D"/>
    <w:rsid w:val="001E730B"/>
    <w:rsid w:val="001F01D5"/>
    <w:rsid w:val="001F0727"/>
    <w:rsid w:val="001F0DFB"/>
    <w:rsid w:val="001F12DC"/>
    <w:rsid w:val="001F154C"/>
    <w:rsid w:val="001F1830"/>
    <w:rsid w:val="001F2075"/>
    <w:rsid w:val="001F28FA"/>
    <w:rsid w:val="001F2BF9"/>
    <w:rsid w:val="001F318B"/>
    <w:rsid w:val="001F4F03"/>
    <w:rsid w:val="001F7295"/>
    <w:rsid w:val="002006CA"/>
    <w:rsid w:val="00200AC5"/>
    <w:rsid w:val="002019F2"/>
    <w:rsid w:val="002023D3"/>
    <w:rsid w:val="00202BE5"/>
    <w:rsid w:val="0020384A"/>
    <w:rsid w:val="00204195"/>
    <w:rsid w:val="0020469B"/>
    <w:rsid w:val="00204F97"/>
    <w:rsid w:val="002052F5"/>
    <w:rsid w:val="00205C48"/>
    <w:rsid w:val="00205F62"/>
    <w:rsid w:val="00206508"/>
    <w:rsid w:val="0020651D"/>
    <w:rsid w:val="00206C14"/>
    <w:rsid w:val="00206F02"/>
    <w:rsid w:val="00207154"/>
    <w:rsid w:val="00207332"/>
    <w:rsid w:val="00210F5C"/>
    <w:rsid w:val="00211D67"/>
    <w:rsid w:val="00213E5C"/>
    <w:rsid w:val="002144CA"/>
    <w:rsid w:val="00216AC6"/>
    <w:rsid w:val="00217304"/>
    <w:rsid w:val="002173AB"/>
    <w:rsid w:val="00217A32"/>
    <w:rsid w:val="0022016F"/>
    <w:rsid w:val="002201A5"/>
    <w:rsid w:val="0022113B"/>
    <w:rsid w:val="0022134D"/>
    <w:rsid w:val="002214CB"/>
    <w:rsid w:val="002215F0"/>
    <w:rsid w:val="00221CD3"/>
    <w:rsid w:val="00222624"/>
    <w:rsid w:val="00222832"/>
    <w:rsid w:val="0022302A"/>
    <w:rsid w:val="00223479"/>
    <w:rsid w:val="002237D8"/>
    <w:rsid w:val="002246EB"/>
    <w:rsid w:val="00225E9D"/>
    <w:rsid w:val="00225F9B"/>
    <w:rsid w:val="00226D55"/>
    <w:rsid w:val="00226D5F"/>
    <w:rsid w:val="0022760D"/>
    <w:rsid w:val="00227C71"/>
    <w:rsid w:val="0023120E"/>
    <w:rsid w:val="0023138F"/>
    <w:rsid w:val="00231E36"/>
    <w:rsid w:val="00231F42"/>
    <w:rsid w:val="002333E5"/>
    <w:rsid w:val="002342AE"/>
    <w:rsid w:val="00234923"/>
    <w:rsid w:val="00235F48"/>
    <w:rsid w:val="002366A6"/>
    <w:rsid w:val="002368B2"/>
    <w:rsid w:val="00237384"/>
    <w:rsid w:val="0023786D"/>
    <w:rsid w:val="00237979"/>
    <w:rsid w:val="00237C41"/>
    <w:rsid w:val="002415DF"/>
    <w:rsid w:val="00241678"/>
    <w:rsid w:val="00242349"/>
    <w:rsid w:val="00242AED"/>
    <w:rsid w:val="00242D92"/>
    <w:rsid w:val="00243034"/>
    <w:rsid w:val="0024403E"/>
    <w:rsid w:val="0024422A"/>
    <w:rsid w:val="002450CE"/>
    <w:rsid w:val="00245654"/>
    <w:rsid w:val="00246280"/>
    <w:rsid w:val="00246A41"/>
    <w:rsid w:val="002477CF"/>
    <w:rsid w:val="002509A6"/>
    <w:rsid w:val="00250A1B"/>
    <w:rsid w:val="002517D5"/>
    <w:rsid w:val="0025206A"/>
    <w:rsid w:val="002527AF"/>
    <w:rsid w:val="00254142"/>
    <w:rsid w:val="002544BB"/>
    <w:rsid w:val="002546DB"/>
    <w:rsid w:val="00254961"/>
    <w:rsid w:val="00254C02"/>
    <w:rsid w:val="00255050"/>
    <w:rsid w:val="002558DB"/>
    <w:rsid w:val="00255FEA"/>
    <w:rsid w:val="00256B85"/>
    <w:rsid w:val="00256DB3"/>
    <w:rsid w:val="00256E7F"/>
    <w:rsid w:val="00256F98"/>
    <w:rsid w:val="0026075A"/>
    <w:rsid w:val="00261A62"/>
    <w:rsid w:val="00261D2E"/>
    <w:rsid w:val="002626AC"/>
    <w:rsid w:val="00262B67"/>
    <w:rsid w:val="00262C1A"/>
    <w:rsid w:val="002631CC"/>
    <w:rsid w:val="002633BA"/>
    <w:rsid w:val="00263CA9"/>
    <w:rsid w:val="00264082"/>
    <w:rsid w:val="0026509D"/>
    <w:rsid w:val="002659B6"/>
    <w:rsid w:val="00266466"/>
    <w:rsid w:val="00266F09"/>
    <w:rsid w:val="002675C5"/>
    <w:rsid w:val="00267976"/>
    <w:rsid w:val="002706BB"/>
    <w:rsid w:val="002715DA"/>
    <w:rsid w:val="00271D92"/>
    <w:rsid w:val="00272511"/>
    <w:rsid w:val="0027266B"/>
    <w:rsid w:val="00273C66"/>
    <w:rsid w:val="00273FD9"/>
    <w:rsid w:val="00274278"/>
    <w:rsid w:val="00274998"/>
    <w:rsid w:val="0027531C"/>
    <w:rsid w:val="00276209"/>
    <w:rsid w:val="00276848"/>
    <w:rsid w:val="0027687C"/>
    <w:rsid w:val="00276E23"/>
    <w:rsid w:val="002771FD"/>
    <w:rsid w:val="00280DA1"/>
    <w:rsid w:val="002812D9"/>
    <w:rsid w:val="0028259D"/>
    <w:rsid w:val="002825D3"/>
    <w:rsid w:val="00282BA5"/>
    <w:rsid w:val="00282BD0"/>
    <w:rsid w:val="002835B4"/>
    <w:rsid w:val="00283754"/>
    <w:rsid w:val="002839B6"/>
    <w:rsid w:val="002840E4"/>
    <w:rsid w:val="00284554"/>
    <w:rsid w:val="00284CCB"/>
    <w:rsid w:val="002851A5"/>
    <w:rsid w:val="00285E22"/>
    <w:rsid w:val="00286183"/>
    <w:rsid w:val="0028710C"/>
    <w:rsid w:val="002872F1"/>
    <w:rsid w:val="002874BC"/>
    <w:rsid w:val="0029224B"/>
    <w:rsid w:val="002930F6"/>
    <w:rsid w:val="00293D93"/>
    <w:rsid w:val="002942E1"/>
    <w:rsid w:val="00294521"/>
    <w:rsid w:val="00294DC6"/>
    <w:rsid w:val="0029665C"/>
    <w:rsid w:val="00297744"/>
    <w:rsid w:val="002A0D84"/>
    <w:rsid w:val="002A134A"/>
    <w:rsid w:val="002A39B1"/>
    <w:rsid w:val="002A3D0D"/>
    <w:rsid w:val="002A42DC"/>
    <w:rsid w:val="002A4346"/>
    <w:rsid w:val="002A4492"/>
    <w:rsid w:val="002A456D"/>
    <w:rsid w:val="002A5775"/>
    <w:rsid w:val="002A6EDC"/>
    <w:rsid w:val="002B003E"/>
    <w:rsid w:val="002B02A2"/>
    <w:rsid w:val="002B0742"/>
    <w:rsid w:val="002B0A39"/>
    <w:rsid w:val="002B268F"/>
    <w:rsid w:val="002B2C8C"/>
    <w:rsid w:val="002B33E1"/>
    <w:rsid w:val="002B3A0E"/>
    <w:rsid w:val="002B49BF"/>
    <w:rsid w:val="002B4DE7"/>
    <w:rsid w:val="002B5820"/>
    <w:rsid w:val="002B5D32"/>
    <w:rsid w:val="002B5FD3"/>
    <w:rsid w:val="002B7341"/>
    <w:rsid w:val="002B7343"/>
    <w:rsid w:val="002B74BE"/>
    <w:rsid w:val="002B7C26"/>
    <w:rsid w:val="002B7ECD"/>
    <w:rsid w:val="002C0AB9"/>
    <w:rsid w:val="002C0BF4"/>
    <w:rsid w:val="002C294E"/>
    <w:rsid w:val="002C37CA"/>
    <w:rsid w:val="002C4389"/>
    <w:rsid w:val="002C43D7"/>
    <w:rsid w:val="002C4B77"/>
    <w:rsid w:val="002C5B28"/>
    <w:rsid w:val="002C5C01"/>
    <w:rsid w:val="002C614A"/>
    <w:rsid w:val="002C6400"/>
    <w:rsid w:val="002C64AE"/>
    <w:rsid w:val="002C7055"/>
    <w:rsid w:val="002C70DB"/>
    <w:rsid w:val="002D0022"/>
    <w:rsid w:val="002D0505"/>
    <w:rsid w:val="002D09B2"/>
    <w:rsid w:val="002D35F4"/>
    <w:rsid w:val="002D3DCA"/>
    <w:rsid w:val="002D4A1A"/>
    <w:rsid w:val="002D52E3"/>
    <w:rsid w:val="002D5460"/>
    <w:rsid w:val="002D6724"/>
    <w:rsid w:val="002D6BA9"/>
    <w:rsid w:val="002D6CD1"/>
    <w:rsid w:val="002D7841"/>
    <w:rsid w:val="002D7D5F"/>
    <w:rsid w:val="002E0FFB"/>
    <w:rsid w:val="002E153C"/>
    <w:rsid w:val="002E19A8"/>
    <w:rsid w:val="002E31C3"/>
    <w:rsid w:val="002E31CA"/>
    <w:rsid w:val="002E45DB"/>
    <w:rsid w:val="002E4D84"/>
    <w:rsid w:val="002E4DF1"/>
    <w:rsid w:val="002E4E3A"/>
    <w:rsid w:val="002E4F70"/>
    <w:rsid w:val="002E501D"/>
    <w:rsid w:val="002E50A8"/>
    <w:rsid w:val="002E52BC"/>
    <w:rsid w:val="002E5B2B"/>
    <w:rsid w:val="002E5DD6"/>
    <w:rsid w:val="002E73F2"/>
    <w:rsid w:val="002F021C"/>
    <w:rsid w:val="002F1061"/>
    <w:rsid w:val="002F15CB"/>
    <w:rsid w:val="002F18F1"/>
    <w:rsid w:val="002F1E82"/>
    <w:rsid w:val="002F23C7"/>
    <w:rsid w:val="002F2DE7"/>
    <w:rsid w:val="002F2E82"/>
    <w:rsid w:val="002F31E2"/>
    <w:rsid w:val="002F3C31"/>
    <w:rsid w:val="002F4160"/>
    <w:rsid w:val="002F44F8"/>
    <w:rsid w:val="002F551C"/>
    <w:rsid w:val="002F5C81"/>
    <w:rsid w:val="002F5C96"/>
    <w:rsid w:val="002F5FDF"/>
    <w:rsid w:val="002F71B1"/>
    <w:rsid w:val="00300772"/>
    <w:rsid w:val="00300F73"/>
    <w:rsid w:val="0030119A"/>
    <w:rsid w:val="003016BF"/>
    <w:rsid w:val="003016D5"/>
    <w:rsid w:val="00301804"/>
    <w:rsid w:val="003019F4"/>
    <w:rsid w:val="00302004"/>
    <w:rsid w:val="003028B8"/>
    <w:rsid w:val="003033FA"/>
    <w:rsid w:val="00304DC3"/>
    <w:rsid w:val="003054DD"/>
    <w:rsid w:val="00306318"/>
    <w:rsid w:val="003065A0"/>
    <w:rsid w:val="00310114"/>
    <w:rsid w:val="00310240"/>
    <w:rsid w:val="00310885"/>
    <w:rsid w:val="003109ED"/>
    <w:rsid w:val="00311125"/>
    <w:rsid w:val="003112FC"/>
    <w:rsid w:val="00311C59"/>
    <w:rsid w:val="003125B2"/>
    <w:rsid w:val="00313A42"/>
    <w:rsid w:val="00313CC6"/>
    <w:rsid w:val="0031424A"/>
    <w:rsid w:val="00314433"/>
    <w:rsid w:val="0031483E"/>
    <w:rsid w:val="00314BB7"/>
    <w:rsid w:val="00314CDF"/>
    <w:rsid w:val="0031519A"/>
    <w:rsid w:val="0031798E"/>
    <w:rsid w:val="003207B4"/>
    <w:rsid w:val="00321F69"/>
    <w:rsid w:val="0032210C"/>
    <w:rsid w:val="003229AB"/>
    <w:rsid w:val="00322F81"/>
    <w:rsid w:val="003239A6"/>
    <w:rsid w:val="00323FFD"/>
    <w:rsid w:val="00325098"/>
    <w:rsid w:val="003254F0"/>
    <w:rsid w:val="00325944"/>
    <w:rsid w:val="003268D7"/>
    <w:rsid w:val="003271D5"/>
    <w:rsid w:val="003307A7"/>
    <w:rsid w:val="00330D19"/>
    <w:rsid w:val="0033379C"/>
    <w:rsid w:val="003339BC"/>
    <w:rsid w:val="00336B9F"/>
    <w:rsid w:val="00336FFA"/>
    <w:rsid w:val="0034135B"/>
    <w:rsid w:val="00341469"/>
    <w:rsid w:val="00341900"/>
    <w:rsid w:val="00341CF6"/>
    <w:rsid w:val="00341F2B"/>
    <w:rsid w:val="00343167"/>
    <w:rsid w:val="00343189"/>
    <w:rsid w:val="0034411E"/>
    <w:rsid w:val="003447CC"/>
    <w:rsid w:val="00344F87"/>
    <w:rsid w:val="00345A98"/>
    <w:rsid w:val="00346C9A"/>
    <w:rsid w:val="00347CBC"/>
    <w:rsid w:val="00347E66"/>
    <w:rsid w:val="00347F28"/>
    <w:rsid w:val="0035066A"/>
    <w:rsid w:val="00350D5F"/>
    <w:rsid w:val="003514A6"/>
    <w:rsid w:val="00351557"/>
    <w:rsid w:val="00351675"/>
    <w:rsid w:val="003516A0"/>
    <w:rsid w:val="00352547"/>
    <w:rsid w:val="003528C8"/>
    <w:rsid w:val="00352993"/>
    <w:rsid w:val="00353B80"/>
    <w:rsid w:val="00354012"/>
    <w:rsid w:val="00354409"/>
    <w:rsid w:val="003544BB"/>
    <w:rsid w:val="00354FBC"/>
    <w:rsid w:val="003558C7"/>
    <w:rsid w:val="0035662A"/>
    <w:rsid w:val="003572C0"/>
    <w:rsid w:val="00360A7B"/>
    <w:rsid w:val="00360CF5"/>
    <w:rsid w:val="00360E32"/>
    <w:rsid w:val="003614B0"/>
    <w:rsid w:val="0036212A"/>
    <w:rsid w:val="00362836"/>
    <w:rsid w:val="00363639"/>
    <w:rsid w:val="00363943"/>
    <w:rsid w:val="00364F02"/>
    <w:rsid w:val="00365510"/>
    <w:rsid w:val="00366057"/>
    <w:rsid w:val="00366AD1"/>
    <w:rsid w:val="00366C92"/>
    <w:rsid w:val="0036745F"/>
    <w:rsid w:val="0036794F"/>
    <w:rsid w:val="0037066D"/>
    <w:rsid w:val="00370B01"/>
    <w:rsid w:val="00371014"/>
    <w:rsid w:val="00371321"/>
    <w:rsid w:val="00371BB4"/>
    <w:rsid w:val="00372332"/>
    <w:rsid w:val="0037274B"/>
    <w:rsid w:val="003727CD"/>
    <w:rsid w:val="0037341D"/>
    <w:rsid w:val="00373A98"/>
    <w:rsid w:val="0037587C"/>
    <w:rsid w:val="00375A59"/>
    <w:rsid w:val="003768F6"/>
    <w:rsid w:val="00381BE9"/>
    <w:rsid w:val="00381D70"/>
    <w:rsid w:val="0038204C"/>
    <w:rsid w:val="00382186"/>
    <w:rsid w:val="00382345"/>
    <w:rsid w:val="003829D5"/>
    <w:rsid w:val="0038425F"/>
    <w:rsid w:val="00384895"/>
    <w:rsid w:val="00384B5D"/>
    <w:rsid w:val="00384D50"/>
    <w:rsid w:val="0038524D"/>
    <w:rsid w:val="00385331"/>
    <w:rsid w:val="003858F1"/>
    <w:rsid w:val="00385BD1"/>
    <w:rsid w:val="00385F18"/>
    <w:rsid w:val="00386EED"/>
    <w:rsid w:val="0039077A"/>
    <w:rsid w:val="00390A0C"/>
    <w:rsid w:val="0039175F"/>
    <w:rsid w:val="00392896"/>
    <w:rsid w:val="00392A34"/>
    <w:rsid w:val="00392B34"/>
    <w:rsid w:val="00392DBD"/>
    <w:rsid w:val="00393348"/>
    <w:rsid w:val="003934DD"/>
    <w:rsid w:val="00394428"/>
    <w:rsid w:val="00395238"/>
    <w:rsid w:val="00395606"/>
    <w:rsid w:val="0039570F"/>
    <w:rsid w:val="00395CF7"/>
    <w:rsid w:val="00396020"/>
    <w:rsid w:val="003966F7"/>
    <w:rsid w:val="003968C9"/>
    <w:rsid w:val="003978F1"/>
    <w:rsid w:val="003A017D"/>
    <w:rsid w:val="003A029E"/>
    <w:rsid w:val="003A05BD"/>
    <w:rsid w:val="003A0A89"/>
    <w:rsid w:val="003A0FBB"/>
    <w:rsid w:val="003A243C"/>
    <w:rsid w:val="003A32BE"/>
    <w:rsid w:val="003A48C1"/>
    <w:rsid w:val="003A5C47"/>
    <w:rsid w:val="003A5D66"/>
    <w:rsid w:val="003A624D"/>
    <w:rsid w:val="003A6266"/>
    <w:rsid w:val="003A7072"/>
    <w:rsid w:val="003A752E"/>
    <w:rsid w:val="003A7E93"/>
    <w:rsid w:val="003B0883"/>
    <w:rsid w:val="003B0F52"/>
    <w:rsid w:val="003B114F"/>
    <w:rsid w:val="003B1233"/>
    <w:rsid w:val="003B18F5"/>
    <w:rsid w:val="003B1DA1"/>
    <w:rsid w:val="003B3B47"/>
    <w:rsid w:val="003B4001"/>
    <w:rsid w:val="003B49EF"/>
    <w:rsid w:val="003B54DB"/>
    <w:rsid w:val="003B6768"/>
    <w:rsid w:val="003B6CA7"/>
    <w:rsid w:val="003B722D"/>
    <w:rsid w:val="003B74F2"/>
    <w:rsid w:val="003B7C86"/>
    <w:rsid w:val="003C0907"/>
    <w:rsid w:val="003C1FE8"/>
    <w:rsid w:val="003C3C7F"/>
    <w:rsid w:val="003C560B"/>
    <w:rsid w:val="003C56FE"/>
    <w:rsid w:val="003C58DA"/>
    <w:rsid w:val="003C63A3"/>
    <w:rsid w:val="003C63E2"/>
    <w:rsid w:val="003C7122"/>
    <w:rsid w:val="003D2E2A"/>
    <w:rsid w:val="003D3CC3"/>
    <w:rsid w:val="003D4CE5"/>
    <w:rsid w:val="003D4FFF"/>
    <w:rsid w:val="003D614C"/>
    <w:rsid w:val="003D6D02"/>
    <w:rsid w:val="003D78FF"/>
    <w:rsid w:val="003D7B2B"/>
    <w:rsid w:val="003D7E2C"/>
    <w:rsid w:val="003E0EBA"/>
    <w:rsid w:val="003E171D"/>
    <w:rsid w:val="003E3265"/>
    <w:rsid w:val="003E35D3"/>
    <w:rsid w:val="003E580A"/>
    <w:rsid w:val="003E679B"/>
    <w:rsid w:val="003E6DC9"/>
    <w:rsid w:val="003F0292"/>
    <w:rsid w:val="003F1419"/>
    <w:rsid w:val="003F165E"/>
    <w:rsid w:val="003F1788"/>
    <w:rsid w:val="003F19F3"/>
    <w:rsid w:val="003F252D"/>
    <w:rsid w:val="003F28BB"/>
    <w:rsid w:val="003F28EE"/>
    <w:rsid w:val="003F29BC"/>
    <w:rsid w:val="003F2C48"/>
    <w:rsid w:val="003F3331"/>
    <w:rsid w:val="003F4146"/>
    <w:rsid w:val="003F56CD"/>
    <w:rsid w:val="003F589A"/>
    <w:rsid w:val="003F5E3B"/>
    <w:rsid w:val="003F7459"/>
    <w:rsid w:val="003F786E"/>
    <w:rsid w:val="00400218"/>
    <w:rsid w:val="00400389"/>
    <w:rsid w:val="0040193F"/>
    <w:rsid w:val="00401E52"/>
    <w:rsid w:val="004028B1"/>
    <w:rsid w:val="004030DA"/>
    <w:rsid w:val="00403471"/>
    <w:rsid w:val="00404043"/>
    <w:rsid w:val="00404675"/>
    <w:rsid w:val="00404855"/>
    <w:rsid w:val="00407274"/>
    <w:rsid w:val="0041038A"/>
    <w:rsid w:val="004113A3"/>
    <w:rsid w:val="00412DED"/>
    <w:rsid w:val="00412FFB"/>
    <w:rsid w:val="0041379C"/>
    <w:rsid w:val="00414EE3"/>
    <w:rsid w:val="0041562C"/>
    <w:rsid w:val="00415FF9"/>
    <w:rsid w:val="0041617D"/>
    <w:rsid w:val="00416F69"/>
    <w:rsid w:val="004172DF"/>
    <w:rsid w:val="00417B08"/>
    <w:rsid w:val="00417F09"/>
    <w:rsid w:val="004201A4"/>
    <w:rsid w:val="00421BFB"/>
    <w:rsid w:val="004225AA"/>
    <w:rsid w:val="00423447"/>
    <w:rsid w:val="004236F7"/>
    <w:rsid w:val="004239EE"/>
    <w:rsid w:val="00424591"/>
    <w:rsid w:val="00426863"/>
    <w:rsid w:val="00427D17"/>
    <w:rsid w:val="00427D19"/>
    <w:rsid w:val="004315C7"/>
    <w:rsid w:val="00431740"/>
    <w:rsid w:val="004320CD"/>
    <w:rsid w:val="00432977"/>
    <w:rsid w:val="00432F01"/>
    <w:rsid w:val="0043385C"/>
    <w:rsid w:val="00433F2B"/>
    <w:rsid w:val="004340DA"/>
    <w:rsid w:val="00434196"/>
    <w:rsid w:val="00434791"/>
    <w:rsid w:val="00434BDE"/>
    <w:rsid w:val="0043587E"/>
    <w:rsid w:val="00436B8B"/>
    <w:rsid w:val="00436BFC"/>
    <w:rsid w:val="00437428"/>
    <w:rsid w:val="0043747D"/>
    <w:rsid w:val="00440665"/>
    <w:rsid w:val="00440E23"/>
    <w:rsid w:val="00441439"/>
    <w:rsid w:val="00442299"/>
    <w:rsid w:val="004424B5"/>
    <w:rsid w:val="00442D83"/>
    <w:rsid w:val="00444096"/>
    <w:rsid w:val="00444CF2"/>
    <w:rsid w:val="0044562A"/>
    <w:rsid w:val="00446395"/>
    <w:rsid w:val="00446F64"/>
    <w:rsid w:val="004475CB"/>
    <w:rsid w:val="00447941"/>
    <w:rsid w:val="00453432"/>
    <w:rsid w:val="00453518"/>
    <w:rsid w:val="0045382E"/>
    <w:rsid w:val="00453AED"/>
    <w:rsid w:val="004544F5"/>
    <w:rsid w:val="00455255"/>
    <w:rsid w:val="00457306"/>
    <w:rsid w:val="004577CE"/>
    <w:rsid w:val="004600B9"/>
    <w:rsid w:val="004604F1"/>
    <w:rsid w:val="00461080"/>
    <w:rsid w:val="004610DF"/>
    <w:rsid w:val="004615F2"/>
    <w:rsid w:val="00461D0E"/>
    <w:rsid w:val="00462424"/>
    <w:rsid w:val="0046376C"/>
    <w:rsid w:val="00463E5D"/>
    <w:rsid w:val="00464679"/>
    <w:rsid w:val="0046476D"/>
    <w:rsid w:val="00464F3B"/>
    <w:rsid w:val="004655A6"/>
    <w:rsid w:val="0046593A"/>
    <w:rsid w:val="00465BD1"/>
    <w:rsid w:val="0046615B"/>
    <w:rsid w:val="00466228"/>
    <w:rsid w:val="00466A67"/>
    <w:rsid w:val="00466E05"/>
    <w:rsid w:val="004672B3"/>
    <w:rsid w:val="0046752C"/>
    <w:rsid w:val="004678C0"/>
    <w:rsid w:val="00467AC1"/>
    <w:rsid w:val="00467BE8"/>
    <w:rsid w:val="00467F7F"/>
    <w:rsid w:val="0047051E"/>
    <w:rsid w:val="0047058F"/>
    <w:rsid w:val="00470694"/>
    <w:rsid w:val="004707E6"/>
    <w:rsid w:val="00470981"/>
    <w:rsid w:val="0047132A"/>
    <w:rsid w:val="004715B9"/>
    <w:rsid w:val="00471D0F"/>
    <w:rsid w:val="00473025"/>
    <w:rsid w:val="00473FD8"/>
    <w:rsid w:val="004750FD"/>
    <w:rsid w:val="00475848"/>
    <w:rsid w:val="0047618C"/>
    <w:rsid w:val="004761ED"/>
    <w:rsid w:val="004765FE"/>
    <w:rsid w:val="00477078"/>
    <w:rsid w:val="0047734A"/>
    <w:rsid w:val="004778BB"/>
    <w:rsid w:val="00477F52"/>
    <w:rsid w:val="00480346"/>
    <w:rsid w:val="004806D1"/>
    <w:rsid w:val="0048082D"/>
    <w:rsid w:val="00480AC9"/>
    <w:rsid w:val="004815EA"/>
    <w:rsid w:val="00482029"/>
    <w:rsid w:val="004822A2"/>
    <w:rsid w:val="00483559"/>
    <w:rsid w:val="004838CE"/>
    <w:rsid w:val="00485233"/>
    <w:rsid w:val="00485B61"/>
    <w:rsid w:val="00485F74"/>
    <w:rsid w:val="004861B4"/>
    <w:rsid w:val="00486387"/>
    <w:rsid w:val="004866C8"/>
    <w:rsid w:val="00486935"/>
    <w:rsid w:val="0048699E"/>
    <w:rsid w:val="00490829"/>
    <w:rsid w:val="00490FA5"/>
    <w:rsid w:val="004910F9"/>
    <w:rsid w:val="00491812"/>
    <w:rsid w:val="00491FDE"/>
    <w:rsid w:val="004924C0"/>
    <w:rsid w:val="004945DC"/>
    <w:rsid w:val="00494846"/>
    <w:rsid w:val="00494CC0"/>
    <w:rsid w:val="00494F59"/>
    <w:rsid w:val="004953CB"/>
    <w:rsid w:val="004963B3"/>
    <w:rsid w:val="0049651D"/>
    <w:rsid w:val="0049692E"/>
    <w:rsid w:val="00497460"/>
    <w:rsid w:val="00497E08"/>
    <w:rsid w:val="004A1ECF"/>
    <w:rsid w:val="004A28E0"/>
    <w:rsid w:val="004A2B5A"/>
    <w:rsid w:val="004A30A4"/>
    <w:rsid w:val="004A3A9F"/>
    <w:rsid w:val="004A3FFD"/>
    <w:rsid w:val="004A453F"/>
    <w:rsid w:val="004A46C0"/>
    <w:rsid w:val="004A6333"/>
    <w:rsid w:val="004A6BAB"/>
    <w:rsid w:val="004A6CEF"/>
    <w:rsid w:val="004B0095"/>
    <w:rsid w:val="004B08F5"/>
    <w:rsid w:val="004B12C4"/>
    <w:rsid w:val="004B13E7"/>
    <w:rsid w:val="004B3FAB"/>
    <w:rsid w:val="004B44B0"/>
    <w:rsid w:val="004B4987"/>
    <w:rsid w:val="004B5941"/>
    <w:rsid w:val="004B5C0A"/>
    <w:rsid w:val="004B60F4"/>
    <w:rsid w:val="004B6BEF"/>
    <w:rsid w:val="004B744A"/>
    <w:rsid w:val="004B77CC"/>
    <w:rsid w:val="004C0286"/>
    <w:rsid w:val="004C1574"/>
    <w:rsid w:val="004C1BCF"/>
    <w:rsid w:val="004C2B8B"/>
    <w:rsid w:val="004C30A6"/>
    <w:rsid w:val="004C32B5"/>
    <w:rsid w:val="004C3653"/>
    <w:rsid w:val="004C4210"/>
    <w:rsid w:val="004C4886"/>
    <w:rsid w:val="004C48E1"/>
    <w:rsid w:val="004C52B7"/>
    <w:rsid w:val="004C5E30"/>
    <w:rsid w:val="004C6016"/>
    <w:rsid w:val="004C684D"/>
    <w:rsid w:val="004C72EC"/>
    <w:rsid w:val="004C76A9"/>
    <w:rsid w:val="004C7787"/>
    <w:rsid w:val="004D0181"/>
    <w:rsid w:val="004D208A"/>
    <w:rsid w:val="004D2148"/>
    <w:rsid w:val="004D262F"/>
    <w:rsid w:val="004D28AB"/>
    <w:rsid w:val="004D2DE4"/>
    <w:rsid w:val="004D37AC"/>
    <w:rsid w:val="004D3F7E"/>
    <w:rsid w:val="004D4874"/>
    <w:rsid w:val="004D5061"/>
    <w:rsid w:val="004D6444"/>
    <w:rsid w:val="004D759B"/>
    <w:rsid w:val="004D7EE6"/>
    <w:rsid w:val="004D7EF5"/>
    <w:rsid w:val="004E04CC"/>
    <w:rsid w:val="004E08D4"/>
    <w:rsid w:val="004E14B6"/>
    <w:rsid w:val="004E1B00"/>
    <w:rsid w:val="004E2212"/>
    <w:rsid w:val="004E2648"/>
    <w:rsid w:val="004E2C89"/>
    <w:rsid w:val="004E325D"/>
    <w:rsid w:val="004E469F"/>
    <w:rsid w:val="004E474E"/>
    <w:rsid w:val="004E4AB1"/>
    <w:rsid w:val="004E5972"/>
    <w:rsid w:val="004E5B7A"/>
    <w:rsid w:val="004E5C17"/>
    <w:rsid w:val="004E6275"/>
    <w:rsid w:val="004E62C9"/>
    <w:rsid w:val="004E632D"/>
    <w:rsid w:val="004E684D"/>
    <w:rsid w:val="004E6F7D"/>
    <w:rsid w:val="004E772C"/>
    <w:rsid w:val="004E7973"/>
    <w:rsid w:val="004E7978"/>
    <w:rsid w:val="004E7FE1"/>
    <w:rsid w:val="004F0E13"/>
    <w:rsid w:val="004F0E96"/>
    <w:rsid w:val="004F0EE3"/>
    <w:rsid w:val="004F1898"/>
    <w:rsid w:val="004F2BEF"/>
    <w:rsid w:val="004F31A7"/>
    <w:rsid w:val="004F3926"/>
    <w:rsid w:val="004F3D4F"/>
    <w:rsid w:val="004F49E2"/>
    <w:rsid w:val="004F4D04"/>
    <w:rsid w:val="004F5040"/>
    <w:rsid w:val="004F59C6"/>
    <w:rsid w:val="004F6151"/>
    <w:rsid w:val="004F6173"/>
    <w:rsid w:val="004F7388"/>
    <w:rsid w:val="004F78CA"/>
    <w:rsid w:val="004F79B5"/>
    <w:rsid w:val="004F7F87"/>
    <w:rsid w:val="00502080"/>
    <w:rsid w:val="005024E5"/>
    <w:rsid w:val="0050291A"/>
    <w:rsid w:val="00502AE7"/>
    <w:rsid w:val="00502CCC"/>
    <w:rsid w:val="00503633"/>
    <w:rsid w:val="00504831"/>
    <w:rsid w:val="005049D3"/>
    <w:rsid w:val="00505BD2"/>
    <w:rsid w:val="00507E5D"/>
    <w:rsid w:val="00510350"/>
    <w:rsid w:val="00510E79"/>
    <w:rsid w:val="00510FA7"/>
    <w:rsid w:val="00511208"/>
    <w:rsid w:val="00511F08"/>
    <w:rsid w:val="0051257D"/>
    <w:rsid w:val="00512B51"/>
    <w:rsid w:val="005132DE"/>
    <w:rsid w:val="00514AEA"/>
    <w:rsid w:val="00514FE1"/>
    <w:rsid w:val="00516735"/>
    <w:rsid w:val="005174DA"/>
    <w:rsid w:val="00517694"/>
    <w:rsid w:val="0052006B"/>
    <w:rsid w:val="0052076D"/>
    <w:rsid w:val="00520E9F"/>
    <w:rsid w:val="00521384"/>
    <w:rsid w:val="005214AD"/>
    <w:rsid w:val="00521549"/>
    <w:rsid w:val="00521EC9"/>
    <w:rsid w:val="00521F4E"/>
    <w:rsid w:val="00522090"/>
    <w:rsid w:val="0052243A"/>
    <w:rsid w:val="005232EE"/>
    <w:rsid w:val="0052350D"/>
    <w:rsid w:val="00523534"/>
    <w:rsid w:val="0052601D"/>
    <w:rsid w:val="00527152"/>
    <w:rsid w:val="00527438"/>
    <w:rsid w:val="0052753F"/>
    <w:rsid w:val="00527F15"/>
    <w:rsid w:val="0053030C"/>
    <w:rsid w:val="00530A4F"/>
    <w:rsid w:val="00531364"/>
    <w:rsid w:val="0053225D"/>
    <w:rsid w:val="00532B91"/>
    <w:rsid w:val="005332C5"/>
    <w:rsid w:val="005338A3"/>
    <w:rsid w:val="00533DEF"/>
    <w:rsid w:val="005349DB"/>
    <w:rsid w:val="00534FE6"/>
    <w:rsid w:val="00536083"/>
    <w:rsid w:val="00536DC1"/>
    <w:rsid w:val="00537980"/>
    <w:rsid w:val="00542288"/>
    <w:rsid w:val="00542F02"/>
    <w:rsid w:val="00544738"/>
    <w:rsid w:val="00544A1C"/>
    <w:rsid w:val="0054578B"/>
    <w:rsid w:val="00546D50"/>
    <w:rsid w:val="0054772D"/>
    <w:rsid w:val="00550989"/>
    <w:rsid w:val="005509F3"/>
    <w:rsid w:val="005510FA"/>
    <w:rsid w:val="00551EF5"/>
    <w:rsid w:val="00551F23"/>
    <w:rsid w:val="00552296"/>
    <w:rsid w:val="0055232A"/>
    <w:rsid w:val="00552EF3"/>
    <w:rsid w:val="00553567"/>
    <w:rsid w:val="00554F70"/>
    <w:rsid w:val="005553BA"/>
    <w:rsid w:val="005567C1"/>
    <w:rsid w:val="00556FC9"/>
    <w:rsid w:val="00557658"/>
    <w:rsid w:val="00557C85"/>
    <w:rsid w:val="005600A0"/>
    <w:rsid w:val="005602FF"/>
    <w:rsid w:val="00560797"/>
    <w:rsid w:val="00560863"/>
    <w:rsid w:val="00560887"/>
    <w:rsid w:val="00560A2C"/>
    <w:rsid w:val="00561E81"/>
    <w:rsid w:val="00563FEC"/>
    <w:rsid w:val="00565098"/>
    <w:rsid w:val="00565622"/>
    <w:rsid w:val="00565803"/>
    <w:rsid w:val="0056601D"/>
    <w:rsid w:val="005660AC"/>
    <w:rsid w:val="00567239"/>
    <w:rsid w:val="0057009E"/>
    <w:rsid w:val="0057027A"/>
    <w:rsid w:val="00570306"/>
    <w:rsid w:val="00570537"/>
    <w:rsid w:val="0057068E"/>
    <w:rsid w:val="005706BE"/>
    <w:rsid w:val="00571068"/>
    <w:rsid w:val="005713CA"/>
    <w:rsid w:val="00571570"/>
    <w:rsid w:val="00572177"/>
    <w:rsid w:val="00572180"/>
    <w:rsid w:val="00574F9E"/>
    <w:rsid w:val="00576384"/>
    <w:rsid w:val="0057685C"/>
    <w:rsid w:val="00577142"/>
    <w:rsid w:val="005811DB"/>
    <w:rsid w:val="00581402"/>
    <w:rsid w:val="00582117"/>
    <w:rsid w:val="00583617"/>
    <w:rsid w:val="00583745"/>
    <w:rsid w:val="00583DE3"/>
    <w:rsid w:val="00583E54"/>
    <w:rsid w:val="00584AA3"/>
    <w:rsid w:val="00586D19"/>
    <w:rsid w:val="00586F79"/>
    <w:rsid w:val="00587083"/>
    <w:rsid w:val="0058747B"/>
    <w:rsid w:val="005900D4"/>
    <w:rsid w:val="005914B0"/>
    <w:rsid w:val="005915EF"/>
    <w:rsid w:val="0059243A"/>
    <w:rsid w:val="00594A0A"/>
    <w:rsid w:val="00595EE1"/>
    <w:rsid w:val="005A1B4C"/>
    <w:rsid w:val="005A2108"/>
    <w:rsid w:val="005A2178"/>
    <w:rsid w:val="005A2580"/>
    <w:rsid w:val="005A2E60"/>
    <w:rsid w:val="005A2E79"/>
    <w:rsid w:val="005A3698"/>
    <w:rsid w:val="005A3E78"/>
    <w:rsid w:val="005A412C"/>
    <w:rsid w:val="005A4268"/>
    <w:rsid w:val="005A46F1"/>
    <w:rsid w:val="005A69B5"/>
    <w:rsid w:val="005A6EA7"/>
    <w:rsid w:val="005A729F"/>
    <w:rsid w:val="005A7A17"/>
    <w:rsid w:val="005A7F59"/>
    <w:rsid w:val="005B0D68"/>
    <w:rsid w:val="005B176B"/>
    <w:rsid w:val="005B2803"/>
    <w:rsid w:val="005B2BC4"/>
    <w:rsid w:val="005B2CCD"/>
    <w:rsid w:val="005B2D6D"/>
    <w:rsid w:val="005B3D1B"/>
    <w:rsid w:val="005B48BE"/>
    <w:rsid w:val="005B4DB0"/>
    <w:rsid w:val="005B56D5"/>
    <w:rsid w:val="005B5BBA"/>
    <w:rsid w:val="005B674E"/>
    <w:rsid w:val="005B684B"/>
    <w:rsid w:val="005B79FB"/>
    <w:rsid w:val="005C1CAB"/>
    <w:rsid w:val="005C27C5"/>
    <w:rsid w:val="005C2DCB"/>
    <w:rsid w:val="005C3B28"/>
    <w:rsid w:val="005C51F8"/>
    <w:rsid w:val="005C52FA"/>
    <w:rsid w:val="005C5DA5"/>
    <w:rsid w:val="005C6245"/>
    <w:rsid w:val="005C74E9"/>
    <w:rsid w:val="005C7833"/>
    <w:rsid w:val="005C7B85"/>
    <w:rsid w:val="005D16F4"/>
    <w:rsid w:val="005D191E"/>
    <w:rsid w:val="005D275A"/>
    <w:rsid w:val="005D2F28"/>
    <w:rsid w:val="005D2F8F"/>
    <w:rsid w:val="005D300C"/>
    <w:rsid w:val="005D32D1"/>
    <w:rsid w:val="005D3B68"/>
    <w:rsid w:val="005D3D2C"/>
    <w:rsid w:val="005D3F80"/>
    <w:rsid w:val="005D44DB"/>
    <w:rsid w:val="005D4622"/>
    <w:rsid w:val="005D5672"/>
    <w:rsid w:val="005D5CAE"/>
    <w:rsid w:val="005D6097"/>
    <w:rsid w:val="005D6270"/>
    <w:rsid w:val="005E00DB"/>
    <w:rsid w:val="005E1171"/>
    <w:rsid w:val="005E118D"/>
    <w:rsid w:val="005E47A1"/>
    <w:rsid w:val="005E6912"/>
    <w:rsid w:val="005E7223"/>
    <w:rsid w:val="005E728F"/>
    <w:rsid w:val="005E73A9"/>
    <w:rsid w:val="005E7484"/>
    <w:rsid w:val="005F039A"/>
    <w:rsid w:val="005F12C7"/>
    <w:rsid w:val="005F1AF5"/>
    <w:rsid w:val="005F1D94"/>
    <w:rsid w:val="005F1DDC"/>
    <w:rsid w:val="005F2280"/>
    <w:rsid w:val="005F271A"/>
    <w:rsid w:val="005F3C8E"/>
    <w:rsid w:val="005F3EA1"/>
    <w:rsid w:val="005F427B"/>
    <w:rsid w:val="005F42BA"/>
    <w:rsid w:val="005F4F2E"/>
    <w:rsid w:val="005F4F42"/>
    <w:rsid w:val="005F5154"/>
    <w:rsid w:val="005F5403"/>
    <w:rsid w:val="005F54C7"/>
    <w:rsid w:val="005F58E5"/>
    <w:rsid w:val="005F5CBC"/>
    <w:rsid w:val="005F5EAC"/>
    <w:rsid w:val="005F650D"/>
    <w:rsid w:val="005F6C8B"/>
    <w:rsid w:val="00602556"/>
    <w:rsid w:val="00603931"/>
    <w:rsid w:val="006048E9"/>
    <w:rsid w:val="00604C3F"/>
    <w:rsid w:val="00605484"/>
    <w:rsid w:val="006104DF"/>
    <w:rsid w:val="006113CA"/>
    <w:rsid w:val="00612B96"/>
    <w:rsid w:val="0061346F"/>
    <w:rsid w:val="00613565"/>
    <w:rsid w:val="00613857"/>
    <w:rsid w:val="0061395C"/>
    <w:rsid w:val="00613A50"/>
    <w:rsid w:val="006140FF"/>
    <w:rsid w:val="00614CEF"/>
    <w:rsid w:val="00614FA0"/>
    <w:rsid w:val="00615CDC"/>
    <w:rsid w:val="00616B26"/>
    <w:rsid w:val="00616ED0"/>
    <w:rsid w:val="00616F09"/>
    <w:rsid w:val="006170E3"/>
    <w:rsid w:val="0061772C"/>
    <w:rsid w:val="00620472"/>
    <w:rsid w:val="00620E24"/>
    <w:rsid w:val="00621946"/>
    <w:rsid w:val="00622481"/>
    <w:rsid w:val="00622BDD"/>
    <w:rsid w:val="00622C37"/>
    <w:rsid w:val="00622EE0"/>
    <w:rsid w:val="00622F80"/>
    <w:rsid w:val="00623624"/>
    <w:rsid w:val="006238B0"/>
    <w:rsid w:val="00623EBB"/>
    <w:rsid w:val="00623FD9"/>
    <w:rsid w:val="00624DA4"/>
    <w:rsid w:val="00624F95"/>
    <w:rsid w:val="00625442"/>
    <w:rsid w:val="006270AA"/>
    <w:rsid w:val="0062747E"/>
    <w:rsid w:val="00627CA1"/>
    <w:rsid w:val="00627CB3"/>
    <w:rsid w:val="00630FE1"/>
    <w:rsid w:val="0063152D"/>
    <w:rsid w:val="006322E2"/>
    <w:rsid w:val="00632335"/>
    <w:rsid w:val="0063293C"/>
    <w:rsid w:val="006338AC"/>
    <w:rsid w:val="00633CC4"/>
    <w:rsid w:val="00633E5E"/>
    <w:rsid w:val="006342E9"/>
    <w:rsid w:val="00634CA7"/>
    <w:rsid w:val="00635C9B"/>
    <w:rsid w:val="00636187"/>
    <w:rsid w:val="0063636D"/>
    <w:rsid w:val="00637AC0"/>
    <w:rsid w:val="00637BDD"/>
    <w:rsid w:val="00640073"/>
    <w:rsid w:val="006404F8"/>
    <w:rsid w:val="0064099C"/>
    <w:rsid w:val="0064197C"/>
    <w:rsid w:val="00641C14"/>
    <w:rsid w:val="00642089"/>
    <w:rsid w:val="0064246F"/>
    <w:rsid w:val="00642DF0"/>
    <w:rsid w:val="0064349F"/>
    <w:rsid w:val="006437F8"/>
    <w:rsid w:val="006439E7"/>
    <w:rsid w:val="006456AB"/>
    <w:rsid w:val="00645702"/>
    <w:rsid w:val="006466A2"/>
    <w:rsid w:val="006466C8"/>
    <w:rsid w:val="006477D0"/>
    <w:rsid w:val="00647F1E"/>
    <w:rsid w:val="0065021C"/>
    <w:rsid w:val="006502D5"/>
    <w:rsid w:val="006509E4"/>
    <w:rsid w:val="00651072"/>
    <w:rsid w:val="0065121C"/>
    <w:rsid w:val="006513EC"/>
    <w:rsid w:val="00651A33"/>
    <w:rsid w:val="006529F1"/>
    <w:rsid w:val="00652EA9"/>
    <w:rsid w:val="00653764"/>
    <w:rsid w:val="006537AF"/>
    <w:rsid w:val="00654B97"/>
    <w:rsid w:val="00654C85"/>
    <w:rsid w:val="0065580C"/>
    <w:rsid w:val="00657463"/>
    <w:rsid w:val="0065751B"/>
    <w:rsid w:val="00657CE3"/>
    <w:rsid w:val="006613CC"/>
    <w:rsid w:val="00661CBB"/>
    <w:rsid w:val="00662566"/>
    <w:rsid w:val="006633EE"/>
    <w:rsid w:val="0066489F"/>
    <w:rsid w:val="00664976"/>
    <w:rsid w:val="00664BEC"/>
    <w:rsid w:val="0066650B"/>
    <w:rsid w:val="00670419"/>
    <w:rsid w:val="00670D0F"/>
    <w:rsid w:val="00672775"/>
    <w:rsid w:val="00672F39"/>
    <w:rsid w:val="00673514"/>
    <w:rsid w:val="00673541"/>
    <w:rsid w:val="0067381F"/>
    <w:rsid w:val="00674A40"/>
    <w:rsid w:val="00674A7E"/>
    <w:rsid w:val="0067547C"/>
    <w:rsid w:val="0067577B"/>
    <w:rsid w:val="00675C0B"/>
    <w:rsid w:val="0067615E"/>
    <w:rsid w:val="00676656"/>
    <w:rsid w:val="00676B43"/>
    <w:rsid w:val="00677B08"/>
    <w:rsid w:val="00681855"/>
    <w:rsid w:val="006820BB"/>
    <w:rsid w:val="00682B9B"/>
    <w:rsid w:val="006836DC"/>
    <w:rsid w:val="00683CC4"/>
    <w:rsid w:val="00684986"/>
    <w:rsid w:val="00684B85"/>
    <w:rsid w:val="0068528E"/>
    <w:rsid w:val="00685E07"/>
    <w:rsid w:val="00686678"/>
    <w:rsid w:val="00686BA6"/>
    <w:rsid w:val="00686D36"/>
    <w:rsid w:val="00690392"/>
    <w:rsid w:val="00690630"/>
    <w:rsid w:val="006906CC"/>
    <w:rsid w:val="00690D44"/>
    <w:rsid w:val="00690FF4"/>
    <w:rsid w:val="00691709"/>
    <w:rsid w:val="00691DEF"/>
    <w:rsid w:val="0069229E"/>
    <w:rsid w:val="006922A7"/>
    <w:rsid w:val="0069257C"/>
    <w:rsid w:val="0069283D"/>
    <w:rsid w:val="00693389"/>
    <w:rsid w:val="00694D55"/>
    <w:rsid w:val="00696865"/>
    <w:rsid w:val="00697275"/>
    <w:rsid w:val="0069775C"/>
    <w:rsid w:val="006A014A"/>
    <w:rsid w:val="006A0AB1"/>
    <w:rsid w:val="006A0D12"/>
    <w:rsid w:val="006A1216"/>
    <w:rsid w:val="006A16B0"/>
    <w:rsid w:val="006A17F1"/>
    <w:rsid w:val="006A17FC"/>
    <w:rsid w:val="006A210D"/>
    <w:rsid w:val="006A2C23"/>
    <w:rsid w:val="006A3180"/>
    <w:rsid w:val="006A3F62"/>
    <w:rsid w:val="006A40E1"/>
    <w:rsid w:val="006A46A8"/>
    <w:rsid w:val="006A4CA4"/>
    <w:rsid w:val="006A5D13"/>
    <w:rsid w:val="006A651F"/>
    <w:rsid w:val="006A6E15"/>
    <w:rsid w:val="006A7BBB"/>
    <w:rsid w:val="006B02E3"/>
    <w:rsid w:val="006B29CE"/>
    <w:rsid w:val="006B3388"/>
    <w:rsid w:val="006B3A9A"/>
    <w:rsid w:val="006B412D"/>
    <w:rsid w:val="006B481D"/>
    <w:rsid w:val="006B5C99"/>
    <w:rsid w:val="006B5FA2"/>
    <w:rsid w:val="006B6018"/>
    <w:rsid w:val="006B786D"/>
    <w:rsid w:val="006C17EA"/>
    <w:rsid w:val="006C2441"/>
    <w:rsid w:val="006C2C87"/>
    <w:rsid w:val="006C31C6"/>
    <w:rsid w:val="006C35CF"/>
    <w:rsid w:val="006C3C93"/>
    <w:rsid w:val="006C423B"/>
    <w:rsid w:val="006C4A1A"/>
    <w:rsid w:val="006C4A5F"/>
    <w:rsid w:val="006C4B67"/>
    <w:rsid w:val="006C4F87"/>
    <w:rsid w:val="006C5BE5"/>
    <w:rsid w:val="006C60FE"/>
    <w:rsid w:val="006C6794"/>
    <w:rsid w:val="006C6A59"/>
    <w:rsid w:val="006C7611"/>
    <w:rsid w:val="006C7690"/>
    <w:rsid w:val="006D0EAE"/>
    <w:rsid w:val="006D21E0"/>
    <w:rsid w:val="006D252F"/>
    <w:rsid w:val="006D2A4D"/>
    <w:rsid w:val="006D2CB0"/>
    <w:rsid w:val="006D2E48"/>
    <w:rsid w:val="006D3201"/>
    <w:rsid w:val="006D32AD"/>
    <w:rsid w:val="006D35DC"/>
    <w:rsid w:val="006D49EB"/>
    <w:rsid w:val="006D5E61"/>
    <w:rsid w:val="006D66F7"/>
    <w:rsid w:val="006D69BE"/>
    <w:rsid w:val="006D6F8E"/>
    <w:rsid w:val="006D7134"/>
    <w:rsid w:val="006E0B08"/>
    <w:rsid w:val="006E0BAE"/>
    <w:rsid w:val="006E1579"/>
    <w:rsid w:val="006E1638"/>
    <w:rsid w:val="006E1A2F"/>
    <w:rsid w:val="006E2EB6"/>
    <w:rsid w:val="006E3288"/>
    <w:rsid w:val="006E39E8"/>
    <w:rsid w:val="006E412E"/>
    <w:rsid w:val="006E43BA"/>
    <w:rsid w:val="006E5311"/>
    <w:rsid w:val="006E53BB"/>
    <w:rsid w:val="006E7BC4"/>
    <w:rsid w:val="006F0973"/>
    <w:rsid w:val="006F0A5C"/>
    <w:rsid w:val="006F19FB"/>
    <w:rsid w:val="006F1A6B"/>
    <w:rsid w:val="006F1B0F"/>
    <w:rsid w:val="006F203E"/>
    <w:rsid w:val="006F255F"/>
    <w:rsid w:val="006F25D8"/>
    <w:rsid w:val="006F2D9A"/>
    <w:rsid w:val="006F4BDF"/>
    <w:rsid w:val="006F5516"/>
    <w:rsid w:val="006F5B17"/>
    <w:rsid w:val="006F6818"/>
    <w:rsid w:val="006F6993"/>
    <w:rsid w:val="006F6B5E"/>
    <w:rsid w:val="006F7267"/>
    <w:rsid w:val="006F774D"/>
    <w:rsid w:val="006F7BE6"/>
    <w:rsid w:val="007003A9"/>
    <w:rsid w:val="00700C92"/>
    <w:rsid w:val="00700DC9"/>
    <w:rsid w:val="00700EFD"/>
    <w:rsid w:val="0070136D"/>
    <w:rsid w:val="007033BE"/>
    <w:rsid w:val="007035F3"/>
    <w:rsid w:val="007036A7"/>
    <w:rsid w:val="00703B93"/>
    <w:rsid w:val="0070488A"/>
    <w:rsid w:val="00704BD7"/>
    <w:rsid w:val="00706A0E"/>
    <w:rsid w:val="00706D12"/>
    <w:rsid w:val="0070728C"/>
    <w:rsid w:val="007072A3"/>
    <w:rsid w:val="007073DF"/>
    <w:rsid w:val="0071046A"/>
    <w:rsid w:val="00710611"/>
    <w:rsid w:val="00710626"/>
    <w:rsid w:val="007111F6"/>
    <w:rsid w:val="007114B0"/>
    <w:rsid w:val="0071160B"/>
    <w:rsid w:val="0071276A"/>
    <w:rsid w:val="00712BFA"/>
    <w:rsid w:val="0071364D"/>
    <w:rsid w:val="00714030"/>
    <w:rsid w:val="007140D2"/>
    <w:rsid w:val="00714413"/>
    <w:rsid w:val="007155D2"/>
    <w:rsid w:val="007161CB"/>
    <w:rsid w:val="00717107"/>
    <w:rsid w:val="007171B5"/>
    <w:rsid w:val="007172E8"/>
    <w:rsid w:val="007177F8"/>
    <w:rsid w:val="00720458"/>
    <w:rsid w:val="0072109E"/>
    <w:rsid w:val="00721229"/>
    <w:rsid w:val="007219DB"/>
    <w:rsid w:val="00721ED0"/>
    <w:rsid w:val="00722414"/>
    <w:rsid w:val="0072253C"/>
    <w:rsid w:val="007225E9"/>
    <w:rsid w:val="0072323D"/>
    <w:rsid w:val="00723770"/>
    <w:rsid w:val="00724A81"/>
    <w:rsid w:val="00725E93"/>
    <w:rsid w:val="00726485"/>
    <w:rsid w:val="00726597"/>
    <w:rsid w:val="00727C8B"/>
    <w:rsid w:val="00730A87"/>
    <w:rsid w:val="00731B39"/>
    <w:rsid w:val="00731DFC"/>
    <w:rsid w:val="00732061"/>
    <w:rsid w:val="0073248F"/>
    <w:rsid w:val="007332E7"/>
    <w:rsid w:val="0073398D"/>
    <w:rsid w:val="007346A4"/>
    <w:rsid w:val="0073495C"/>
    <w:rsid w:val="00734DEB"/>
    <w:rsid w:val="00735278"/>
    <w:rsid w:val="007353D1"/>
    <w:rsid w:val="00735716"/>
    <w:rsid w:val="00736844"/>
    <w:rsid w:val="00737127"/>
    <w:rsid w:val="007373FA"/>
    <w:rsid w:val="00737575"/>
    <w:rsid w:val="007375AF"/>
    <w:rsid w:val="00737F26"/>
    <w:rsid w:val="0074014A"/>
    <w:rsid w:val="00740633"/>
    <w:rsid w:val="00740CDC"/>
    <w:rsid w:val="00740E59"/>
    <w:rsid w:val="007410A0"/>
    <w:rsid w:val="007417A8"/>
    <w:rsid w:val="00741BB6"/>
    <w:rsid w:val="00743118"/>
    <w:rsid w:val="007435A3"/>
    <w:rsid w:val="00743D44"/>
    <w:rsid w:val="00743EE8"/>
    <w:rsid w:val="0074436B"/>
    <w:rsid w:val="00744DB2"/>
    <w:rsid w:val="00745264"/>
    <w:rsid w:val="007461E0"/>
    <w:rsid w:val="007464E3"/>
    <w:rsid w:val="0074673C"/>
    <w:rsid w:val="007473C7"/>
    <w:rsid w:val="00747EC7"/>
    <w:rsid w:val="00747FCC"/>
    <w:rsid w:val="00750E7F"/>
    <w:rsid w:val="007519CE"/>
    <w:rsid w:val="00751F99"/>
    <w:rsid w:val="00752151"/>
    <w:rsid w:val="007522C2"/>
    <w:rsid w:val="00753897"/>
    <w:rsid w:val="00753A98"/>
    <w:rsid w:val="00753E2A"/>
    <w:rsid w:val="00754145"/>
    <w:rsid w:val="0075508E"/>
    <w:rsid w:val="00755A0B"/>
    <w:rsid w:val="00757071"/>
    <w:rsid w:val="007576B4"/>
    <w:rsid w:val="00760126"/>
    <w:rsid w:val="007613EA"/>
    <w:rsid w:val="007616C0"/>
    <w:rsid w:val="0076218C"/>
    <w:rsid w:val="00762242"/>
    <w:rsid w:val="0076271D"/>
    <w:rsid w:val="00762A32"/>
    <w:rsid w:val="007638BE"/>
    <w:rsid w:val="007643ED"/>
    <w:rsid w:val="00765417"/>
    <w:rsid w:val="007664BE"/>
    <w:rsid w:val="007667D3"/>
    <w:rsid w:val="00766A1C"/>
    <w:rsid w:val="00767800"/>
    <w:rsid w:val="00767C6A"/>
    <w:rsid w:val="00771011"/>
    <w:rsid w:val="00773058"/>
    <w:rsid w:val="00774C7C"/>
    <w:rsid w:val="00774CAC"/>
    <w:rsid w:val="00775515"/>
    <w:rsid w:val="007768F9"/>
    <w:rsid w:val="00776936"/>
    <w:rsid w:val="007772B9"/>
    <w:rsid w:val="007773B5"/>
    <w:rsid w:val="007779FC"/>
    <w:rsid w:val="00777BBA"/>
    <w:rsid w:val="00780372"/>
    <w:rsid w:val="00780C13"/>
    <w:rsid w:val="00780D58"/>
    <w:rsid w:val="0078121E"/>
    <w:rsid w:val="007819D1"/>
    <w:rsid w:val="007819DA"/>
    <w:rsid w:val="00781C99"/>
    <w:rsid w:val="0078216E"/>
    <w:rsid w:val="0078218B"/>
    <w:rsid w:val="007829AB"/>
    <w:rsid w:val="00782A33"/>
    <w:rsid w:val="00782D73"/>
    <w:rsid w:val="0078412B"/>
    <w:rsid w:val="00784648"/>
    <w:rsid w:val="007852F5"/>
    <w:rsid w:val="00785355"/>
    <w:rsid w:val="007878E7"/>
    <w:rsid w:val="00790EB9"/>
    <w:rsid w:val="00790F71"/>
    <w:rsid w:val="007910C7"/>
    <w:rsid w:val="00792B3B"/>
    <w:rsid w:val="00792C64"/>
    <w:rsid w:val="007931E7"/>
    <w:rsid w:val="00795446"/>
    <w:rsid w:val="00795AE1"/>
    <w:rsid w:val="00796CF3"/>
    <w:rsid w:val="007A0DAD"/>
    <w:rsid w:val="007A1417"/>
    <w:rsid w:val="007A166A"/>
    <w:rsid w:val="007A19B2"/>
    <w:rsid w:val="007A1CCF"/>
    <w:rsid w:val="007A243D"/>
    <w:rsid w:val="007A2E75"/>
    <w:rsid w:val="007A3686"/>
    <w:rsid w:val="007A3CF4"/>
    <w:rsid w:val="007A3F96"/>
    <w:rsid w:val="007A4CDD"/>
    <w:rsid w:val="007A58E7"/>
    <w:rsid w:val="007A5C84"/>
    <w:rsid w:val="007A5D2D"/>
    <w:rsid w:val="007A6832"/>
    <w:rsid w:val="007A6C84"/>
    <w:rsid w:val="007A7F92"/>
    <w:rsid w:val="007B015C"/>
    <w:rsid w:val="007B0B9D"/>
    <w:rsid w:val="007B1023"/>
    <w:rsid w:val="007B1D9C"/>
    <w:rsid w:val="007B1F50"/>
    <w:rsid w:val="007B3406"/>
    <w:rsid w:val="007B4A4C"/>
    <w:rsid w:val="007B53FA"/>
    <w:rsid w:val="007B54FC"/>
    <w:rsid w:val="007B5626"/>
    <w:rsid w:val="007B6642"/>
    <w:rsid w:val="007B69AE"/>
    <w:rsid w:val="007B7686"/>
    <w:rsid w:val="007B79CE"/>
    <w:rsid w:val="007B7A0A"/>
    <w:rsid w:val="007B7BB2"/>
    <w:rsid w:val="007C0814"/>
    <w:rsid w:val="007C111B"/>
    <w:rsid w:val="007C1E5B"/>
    <w:rsid w:val="007C2A11"/>
    <w:rsid w:val="007C2F43"/>
    <w:rsid w:val="007C3B4B"/>
    <w:rsid w:val="007C3E83"/>
    <w:rsid w:val="007C41EF"/>
    <w:rsid w:val="007C492D"/>
    <w:rsid w:val="007C4C85"/>
    <w:rsid w:val="007C5932"/>
    <w:rsid w:val="007C5F5D"/>
    <w:rsid w:val="007C607B"/>
    <w:rsid w:val="007C69BD"/>
    <w:rsid w:val="007C6B44"/>
    <w:rsid w:val="007C6BA4"/>
    <w:rsid w:val="007C6EC9"/>
    <w:rsid w:val="007C7EAC"/>
    <w:rsid w:val="007D0C92"/>
    <w:rsid w:val="007D1CA8"/>
    <w:rsid w:val="007D2C43"/>
    <w:rsid w:val="007D3B37"/>
    <w:rsid w:val="007D3B85"/>
    <w:rsid w:val="007D3DB2"/>
    <w:rsid w:val="007D5077"/>
    <w:rsid w:val="007D5B70"/>
    <w:rsid w:val="007D5CA4"/>
    <w:rsid w:val="007D5EBF"/>
    <w:rsid w:val="007D7221"/>
    <w:rsid w:val="007D7364"/>
    <w:rsid w:val="007D7555"/>
    <w:rsid w:val="007D77FF"/>
    <w:rsid w:val="007D7B81"/>
    <w:rsid w:val="007D7C07"/>
    <w:rsid w:val="007D7D4B"/>
    <w:rsid w:val="007E01AF"/>
    <w:rsid w:val="007E03DF"/>
    <w:rsid w:val="007E07C0"/>
    <w:rsid w:val="007E0F39"/>
    <w:rsid w:val="007E187C"/>
    <w:rsid w:val="007E1CBA"/>
    <w:rsid w:val="007E2456"/>
    <w:rsid w:val="007E2AF9"/>
    <w:rsid w:val="007E2D00"/>
    <w:rsid w:val="007E3D5C"/>
    <w:rsid w:val="007E51D9"/>
    <w:rsid w:val="007E5427"/>
    <w:rsid w:val="007F111E"/>
    <w:rsid w:val="007F2748"/>
    <w:rsid w:val="007F2C04"/>
    <w:rsid w:val="007F30CD"/>
    <w:rsid w:val="007F3675"/>
    <w:rsid w:val="007F4647"/>
    <w:rsid w:val="007F5733"/>
    <w:rsid w:val="007F6E31"/>
    <w:rsid w:val="007F6F52"/>
    <w:rsid w:val="007F7CF2"/>
    <w:rsid w:val="00800D52"/>
    <w:rsid w:val="00801E0E"/>
    <w:rsid w:val="00802266"/>
    <w:rsid w:val="008022EB"/>
    <w:rsid w:val="00802E86"/>
    <w:rsid w:val="00802EA1"/>
    <w:rsid w:val="0080311F"/>
    <w:rsid w:val="00803E95"/>
    <w:rsid w:val="008042D2"/>
    <w:rsid w:val="008043AF"/>
    <w:rsid w:val="008046A7"/>
    <w:rsid w:val="00804840"/>
    <w:rsid w:val="0080509C"/>
    <w:rsid w:val="008056AA"/>
    <w:rsid w:val="00805B0B"/>
    <w:rsid w:val="00805B6D"/>
    <w:rsid w:val="0080674F"/>
    <w:rsid w:val="008067A0"/>
    <w:rsid w:val="00806A9E"/>
    <w:rsid w:val="00806B77"/>
    <w:rsid w:val="00806CF1"/>
    <w:rsid w:val="00806D4D"/>
    <w:rsid w:val="00807893"/>
    <w:rsid w:val="00807D01"/>
    <w:rsid w:val="00810D93"/>
    <w:rsid w:val="00811F8D"/>
    <w:rsid w:val="00813000"/>
    <w:rsid w:val="00815584"/>
    <w:rsid w:val="00815D48"/>
    <w:rsid w:val="008175C2"/>
    <w:rsid w:val="00817723"/>
    <w:rsid w:val="00817B8E"/>
    <w:rsid w:val="00817D9A"/>
    <w:rsid w:val="00817F86"/>
    <w:rsid w:val="008210BD"/>
    <w:rsid w:val="008211A5"/>
    <w:rsid w:val="008225C5"/>
    <w:rsid w:val="00823E97"/>
    <w:rsid w:val="00823FD6"/>
    <w:rsid w:val="008242C1"/>
    <w:rsid w:val="00824521"/>
    <w:rsid w:val="00827305"/>
    <w:rsid w:val="00827579"/>
    <w:rsid w:val="00827708"/>
    <w:rsid w:val="008278EF"/>
    <w:rsid w:val="00827D10"/>
    <w:rsid w:val="00830B04"/>
    <w:rsid w:val="008318CE"/>
    <w:rsid w:val="0083207B"/>
    <w:rsid w:val="00832862"/>
    <w:rsid w:val="008338DA"/>
    <w:rsid w:val="00834ACF"/>
    <w:rsid w:val="00834C00"/>
    <w:rsid w:val="00835340"/>
    <w:rsid w:val="00835F98"/>
    <w:rsid w:val="00836095"/>
    <w:rsid w:val="008361E0"/>
    <w:rsid w:val="00836FC5"/>
    <w:rsid w:val="008370E5"/>
    <w:rsid w:val="0083731F"/>
    <w:rsid w:val="008373B8"/>
    <w:rsid w:val="0083761E"/>
    <w:rsid w:val="008404AC"/>
    <w:rsid w:val="0084076D"/>
    <w:rsid w:val="0084107B"/>
    <w:rsid w:val="008411E7"/>
    <w:rsid w:val="00842263"/>
    <w:rsid w:val="008425B5"/>
    <w:rsid w:val="00843615"/>
    <w:rsid w:val="00844650"/>
    <w:rsid w:val="00844EC9"/>
    <w:rsid w:val="00844FCB"/>
    <w:rsid w:val="008454A4"/>
    <w:rsid w:val="0084638D"/>
    <w:rsid w:val="00846434"/>
    <w:rsid w:val="00847C25"/>
    <w:rsid w:val="00850E1E"/>
    <w:rsid w:val="008512FF"/>
    <w:rsid w:val="008526A5"/>
    <w:rsid w:val="00852917"/>
    <w:rsid w:val="00852BE0"/>
    <w:rsid w:val="008536D5"/>
    <w:rsid w:val="00853951"/>
    <w:rsid w:val="0085540C"/>
    <w:rsid w:val="00855828"/>
    <w:rsid w:val="008561AB"/>
    <w:rsid w:val="00856497"/>
    <w:rsid w:val="008567EC"/>
    <w:rsid w:val="00856FE3"/>
    <w:rsid w:val="008574B3"/>
    <w:rsid w:val="008604E9"/>
    <w:rsid w:val="00861E97"/>
    <w:rsid w:val="0086362E"/>
    <w:rsid w:val="0086375D"/>
    <w:rsid w:val="008637DB"/>
    <w:rsid w:val="00863815"/>
    <w:rsid w:val="00863EC9"/>
    <w:rsid w:val="008643FD"/>
    <w:rsid w:val="0086469B"/>
    <w:rsid w:val="00865DE1"/>
    <w:rsid w:val="00865FBA"/>
    <w:rsid w:val="00866772"/>
    <w:rsid w:val="00866B76"/>
    <w:rsid w:val="00866BC9"/>
    <w:rsid w:val="00867824"/>
    <w:rsid w:val="00870D18"/>
    <w:rsid w:val="00871101"/>
    <w:rsid w:val="00871235"/>
    <w:rsid w:val="00871B60"/>
    <w:rsid w:val="00872052"/>
    <w:rsid w:val="00872828"/>
    <w:rsid w:val="00872BF7"/>
    <w:rsid w:val="008730C5"/>
    <w:rsid w:val="00873613"/>
    <w:rsid w:val="008737C1"/>
    <w:rsid w:val="0087422F"/>
    <w:rsid w:val="00875085"/>
    <w:rsid w:val="00875997"/>
    <w:rsid w:val="00876C6E"/>
    <w:rsid w:val="00877A62"/>
    <w:rsid w:val="0088046F"/>
    <w:rsid w:val="00882031"/>
    <w:rsid w:val="008822E5"/>
    <w:rsid w:val="008828F0"/>
    <w:rsid w:val="00883DE2"/>
    <w:rsid w:val="00883E23"/>
    <w:rsid w:val="008851AA"/>
    <w:rsid w:val="00885F67"/>
    <w:rsid w:val="00886ECD"/>
    <w:rsid w:val="008905F6"/>
    <w:rsid w:val="00890A44"/>
    <w:rsid w:val="00891B7C"/>
    <w:rsid w:val="008925AC"/>
    <w:rsid w:val="00892A31"/>
    <w:rsid w:val="00895556"/>
    <w:rsid w:val="008955AA"/>
    <w:rsid w:val="00895CBC"/>
    <w:rsid w:val="008973CB"/>
    <w:rsid w:val="00897AF7"/>
    <w:rsid w:val="00897B7E"/>
    <w:rsid w:val="008A0079"/>
    <w:rsid w:val="008A0451"/>
    <w:rsid w:val="008A211B"/>
    <w:rsid w:val="008A263E"/>
    <w:rsid w:val="008A267E"/>
    <w:rsid w:val="008A2807"/>
    <w:rsid w:val="008A433A"/>
    <w:rsid w:val="008A5F6F"/>
    <w:rsid w:val="008A7436"/>
    <w:rsid w:val="008A7BE4"/>
    <w:rsid w:val="008B05B4"/>
    <w:rsid w:val="008B2F5C"/>
    <w:rsid w:val="008B389E"/>
    <w:rsid w:val="008B3DAC"/>
    <w:rsid w:val="008B4075"/>
    <w:rsid w:val="008B448D"/>
    <w:rsid w:val="008B4542"/>
    <w:rsid w:val="008B49E3"/>
    <w:rsid w:val="008B5288"/>
    <w:rsid w:val="008B57AA"/>
    <w:rsid w:val="008B5984"/>
    <w:rsid w:val="008B617C"/>
    <w:rsid w:val="008B6745"/>
    <w:rsid w:val="008B695D"/>
    <w:rsid w:val="008B7A1C"/>
    <w:rsid w:val="008B7B59"/>
    <w:rsid w:val="008B7EE3"/>
    <w:rsid w:val="008C02C5"/>
    <w:rsid w:val="008C0847"/>
    <w:rsid w:val="008C1CAA"/>
    <w:rsid w:val="008C253E"/>
    <w:rsid w:val="008C38A4"/>
    <w:rsid w:val="008C4099"/>
    <w:rsid w:val="008C4BFE"/>
    <w:rsid w:val="008C4CA6"/>
    <w:rsid w:val="008C4E92"/>
    <w:rsid w:val="008C66C2"/>
    <w:rsid w:val="008D02F8"/>
    <w:rsid w:val="008D051B"/>
    <w:rsid w:val="008D1403"/>
    <w:rsid w:val="008D2249"/>
    <w:rsid w:val="008D2E97"/>
    <w:rsid w:val="008D36C7"/>
    <w:rsid w:val="008D382E"/>
    <w:rsid w:val="008D3A04"/>
    <w:rsid w:val="008D417D"/>
    <w:rsid w:val="008D4477"/>
    <w:rsid w:val="008D4B20"/>
    <w:rsid w:val="008D4B78"/>
    <w:rsid w:val="008D4D9A"/>
    <w:rsid w:val="008D57D8"/>
    <w:rsid w:val="008D751F"/>
    <w:rsid w:val="008D75EB"/>
    <w:rsid w:val="008E02C8"/>
    <w:rsid w:val="008E04D7"/>
    <w:rsid w:val="008E0DF2"/>
    <w:rsid w:val="008E18ED"/>
    <w:rsid w:val="008E277E"/>
    <w:rsid w:val="008E291A"/>
    <w:rsid w:val="008E2AA1"/>
    <w:rsid w:val="008E363B"/>
    <w:rsid w:val="008E3B31"/>
    <w:rsid w:val="008E4FC0"/>
    <w:rsid w:val="008E67C1"/>
    <w:rsid w:val="008E71D0"/>
    <w:rsid w:val="008F179E"/>
    <w:rsid w:val="008F1B9A"/>
    <w:rsid w:val="008F1F88"/>
    <w:rsid w:val="008F38F3"/>
    <w:rsid w:val="008F4E38"/>
    <w:rsid w:val="008F5E26"/>
    <w:rsid w:val="008F6431"/>
    <w:rsid w:val="008F6513"/>
    <w:rsid w:val="008F6982"/>
    <w:rsid w:val="008F6AAD"/>
    <w:rsid w:val="008F6ACC"/>
    <w:rsid w:val="008F6BBF"/>
    <w:rsid w:val="008F6EAD"/>
    <w:rsid w:val="00900177"/>
    <w:rsid w:val="00900ACB"/>
    <w:rsid w:val="00900D68"/>
    <w:rsid w:val="00901332"/>
    <w:rsid w:val="00901401"/>
    <w:rsid w:val="0090143E"/>
    <w:rsid w:val="0090150C"/>
    <w:rsid w:val="00901512"/>
    <w:rsid w:val="00902592"/>
    <w:rsid w:val="009025D3"/>
    <w:rsid w:val="00903CDD"/>
    <w:rsid w:val="009040B0"/>
    <w:rsid w:val="00904267"/>
    <w:rsid w:val="00904ABE"/>
    <w:rsid w:val="00904FBC"/>
    <w:rsid w:val="0090524D"/>
    <w:rsid w:val="00905946"/>
    <w:rsid w:val="00905CC9"/>
    <w:rsid w:val="00905CF1"/>
    <w:rsid w:val="00905D0A"/>
    <w:rsid w:val="009061B4"/>
    <w:rsid w:val="00906A6E"/>
    <w:rsid w:val="00910295"/>
    <w:rsid w:val="009105CE"/>
    <w:rsid w:val="00911029"/>
    <w:rsid w:val="00911A7E"/>
    <w:rsid w:val="00911B6F"/>
    <w:rsid w:val="00911FCC"/>
    <w:rsid w:val="009124A7"/>
    <w:rsid w:val="00913655"/>
    <w:rsid w:val="00913C88"/>
    <w:rsid w:val="00914C7D"/>
    <w:rsid w:val="00914DE1"/>
    <w:rsid w:val="009152A3"/>
    <w:rsid w:val="0091577F"/>
    <w:rsid w:val="00915EFD"/>
    <w:rsid w:val="00917034"/>
    <w:rsid w:val="00917E91"/>
    <w:rsid w:val="00920E1E"/>
    <w:rsid w:val="00921379"/>
    <w:rsid w:val="0092183E"/>
    <w:rsid w:val="00921A06"/>
    <w:rsid w:val="0092252E"/>
    <w:rsid w:val="00922A70"/>
    <w:rsid w:val="00922D87"/>
    <w:rsid w:val="00923542"/>
    <w:rsid w:val="0092366F"/>
    <w:rsid w:val="00924CA2"/>
    <w:rsid w:val="00925D2F"/>
    <w:rsid w:val="00930CB1"/>
    <w:rsid w:val="0093197A"/>
    <w:rsid w:val="00931ABD"/>
    <w:rsid w:val="00933A0D"/>
    <w:rsid w:val="00933E53"/>
    <w:rsid w:val="009342EE"/>
    <w:rsid w:val="00934E6E"/>
    <w:rsid w:val="00935520"/>
    <w:rsid w:val="00935685"/>
    <w:rsid w:val="00935741"/>
    <w:rsid w:val="0093693B"/>
    <w:rsid w:val="009371E2"/>
    <w:rsid w:val="009372BE"/>
    <w:rsid w:val="009372DF"/>
    <w:rsid w:val="00937B7D"/>
    <w:rsid w:val="009413BD"/>
    <w:rsid w:val="0094335B"/>
    <w:rsid w:val="0094365A"/>
    <w:rsid w:val="00943840"/>
    <w:rsid w:val="009443EB"/>
    <w:rsid w:val="00944D27"/>
    <w:rsid w:val="0094551E"/>
    <w:rsid w:val="00945E18"/>
    <w:rsid w:val="00946B22"/>
    <w:rsid w:val="00946C7C"/>
    <w:rsid w:val="009474D9"/>
    <w:rsid w:val="009474ED"/>
    <w:rsid w:val="00950366"/>
    <w:rsid w:val="009505B3"/>
    <w:rsid w:val="0095245B"/>
    <w:rsid w:val="00952A93"/>
    <w:rsid w:val="00953220"/>
    <w:rsid w:val="0095356B"/>
    <w:rsid w:val="00953F4F"/>
    <w:rsid w:val="009543D8"/>
    <w:rsid w:val="00954AB1"/>
    <w:rsid w:val="00955826"/>
    <w:rsid w:val="00955A83"/>
    <w:rsid w:val="00955F2A"/>
    <w:rsid w:val="00956CAD"/>
    <w:rsid w:val="0095791F"/>
    <w:rsid w:val="009605F8"/>
    <w:rsid w:val="00960A7C"/>
    <w:rsid w:val="009615C2"/>
    <w:rsid w:val="00961CB9"/>
    <w:rsid w:val="009621C2"/>
    <w:rsid w:val="009625CD"/>
    <w:rsid w:val="00962852"/>
    <w:rsid w:val="0096483E"/>
    <w:rsid w:val="009650DE"/>
    <w:rsid w:val="00966338"/>
    <w:rsid w:val="0096645C"/>
    <w:rsid w:val="00966BC1"/>
    <w:rsid w:val="00966C66"/>
    <w:rsid w:val="00967B4E"/>
    <w:rsid w:val="0097090F"/>
    <w:rsid w:val="00970DB8"/>
    <w:rsid w:val="009711EA"/>
    <w:rsid w:val="0097266F"/>
    <w:rsid w:val="00972DDA"/>
    <w:rsid w:val="0097385B"/>
    <w:rsid w:val="00974168"/>
    <w:rsid w:val="00974B52"/>
    <w:rsid w:val="00974DB0"/>
    <w:rsid w:val="00974DE6"/>
    <w:rsid w:val="00976B23"/>
    <w:rsid w:val="00976D5E"/>
    <w:rsid w:val="00977041"/>
    <w:rsid w:val="00980435"/>
    <w:rsid w:val="00980D74"/>
    <w:rsid w:val="00981284"/>
    <w:rsid w:val="00982320"/>
    <w:rsid w:val="00982849"/>
    <w:rsid w:val="00983797"/>
    <w:rsid w:val="00984490"/>
    <w:rsid w:val="009848D8"/>
    <w:rsid w:val="00985CCE"/>
    <w:rsid w:val="0098770C"/>
    <w:rsid w:val="0099027D"/>
    <w:rsid w:val="00991741"/>
    <w:rsid w:val="009918E0"/>
    <w:rsid w:val="0099212D"/>
    <w:rsid w:val="0099233F"/>
    <w:rsid w:val="009924B3"/>
    <w:rsid w:val="0099328B"/>
    <w:rsid w:val="009936D7"/>
    <w:rsid w:val="00993850"/>
    <w:rsid w:val="00993EB4"/>
    <w:rsid w:val="009942D6"/>
    <w:rsid w:val="009946A2"/>
    <w:rsid w:val="00994AEC"/>
    <w:rsid w:val="00994EDD"/>
    <w:rsid w:val="009952C7"/>
    <w:rsid w:val="0099581C"/>
    <w:rsid w:val="00996472"/>
    <w:rsid w:val="0099778F"/>
    <w:rsid w:val="009977D8"/>
    <w:rsid w:val="00997D2C"/>
    <w:rsid w:val="009A21FB"/>
    <w:rsid w:val="009A3A13"/>
    <w:rsid w:val="009A3F55"/>
    <w:rsid w:val="009A4414"/>
    <w:rsid w:val="009A478A"/>
    <w:rsid w:val="009A48F1"/>
    <w:rsid w:val="009A5155"/>
    <w:rsid w:val="009A523F"/>
    <w:rsid w:val="009A6078"/>
    <w:rsid w:val="009A631C"/>
    <w:rsid w:val="009A6344"/>
    <w:rsid w:val="009A6B85"/>
    <w:rsid w:val="009A7CEE"/>
    <w:rsid w:val="009B0207"/>
    <w:rsid w:val="009B0BCE"/>
    <w:rsid w:val="009B0C5B"/>
    <w:rsid w:val="009B1062"/>
    <w:rsid w:val="009B2154"/>
    <w:rsid w:val="009B2951"/>
    <w:rsid w:val="009B2B8C"/>
    <w:rsid w:val="009B34D0"/>
    <w:rsid w:val="009B3DB1"/>
    <w:rsid w:val="009B4307"/>
    <w:rsid w:val="009B4A0D"/>
    <w:rsid w:val="009B559F"/>
    <w:rsid w:val="009B6D00"/>
    <w:rsid w:val="009B6D80"/>
    <w:rsid w:val="009B7187"/>
    <w:rsid w:val="009B72F8"/>
    <w:rsid w:val="009B74A4"/>
    <w:rsid w:val="009B7706"/>
    <w:rsid w:val="009B784A"/>
    <w:rsid w:val="009B7ECC"/>
    <w:rsid w:val="009C09AA"/>
    <w:rsid w:val="009C0ABA"/>
    <w:rsid w:val="009C166A"/>
    <w:rsid w:val="009C2A80"/>
    <w:rsid w:val="009C2D1D"/>
    <w:rsid w:val="009C3933"/>
    <w:rsid w:val="009C46F0"/>
    <w:rsid w:val="009C4B19"/>
    <w:rsid w:val="009C4E52"/>
    <w:rsid w:val="009C5C8E"/>
    <w:rsid w:val="009C5E80"/>
    <w:rsid w:val="009C702F"/>
    <w:rsid w:val="009D0355"/>
    <w:rsid w:val="009D07A4"/>
    <w:rsid w:val="009D0B26"/>
    <w:rsid w:val="009D12D6"/>
    <w:rsid w:val="009D164F"/>
    <w:rsid w:val="009D165E"/>
    <w:rsid w:val="009D2B5A"/>
    <w:rsid w:val="009D40FC"/>
    <w:rsid w:val="009D4E45"/>
    <w:rsid w:val="009D58BD"/>
    <w:rsid w:val="009D5AD3"/>
    <w:rsid w:val="009D5F29"/>
    <w:rsid w:val="009D6E32"/>
    <w:rsid w:val="009D7462"/>
    <w:rsid w:val="009D7B27"/>
    <w:rsid w:val="009D7BCE"/>
    <w:rsid w:val="009D7CD0"/>
    <w:rsid w:val="009D7F7D"/>
    <w:rsid w:val="009E01DB"/>
    <w:rsid w:val="009E04DC"/>
    <w:rsid w:val="009E08E3"/>
    <w:rsid w:val="009E0D62"/>
    <w:rsid w:val="009E11E5"/>
    <w:rsid w:val="009E367D"/>
    <w:rsid w:val="009E399F"/>
    <w:rsid w:val="009E3D24"/>
    <w:rsid w:val="009E3F0D"/>
    <w:rsid w:val="009E4F0D"/>
    <w:rsid w:val="009E50DC"/>
    <w:rsid w:val="009E64CD"/>
    <w:rsid w:val="009E6BBE"/>
    <w:rsid w:val="009E6E3B"/>
    <w:rsid w:val="009E7880"/>
    <w:rsid w:val="009E7BF5"/>
    <w:rsid w:val="009F0576"/>
    <w:rsid w:val="009F1C65"/>
    <w:rsid w:val="009F2235"/>
    <w:rsid w:val="009F29C3"/>
    <w:rsid w:val="009F2F4B"/>
    <w:rsid w:val="009F3589"/>
    <w:rsid w:val="009F3878"/>
    <w:rsid w:val="009F4541"/>
    <w:rsid w:val="009F5118"/>
    <w:rsid w:val="009F5305"/>
    <w:rsid w:val="009F57E7"/>
    <w:rsid w:val="009F5925"/>
    <w:rsid w:val="009F7084"/>
    <w:rsid w:val="009F708B"/>
    <w:rsid w:val="00A006FE"/>
    <w:rsid w:val="00A00938"/>
    <w:rsid w:val="00A010CF"/>
    <w:rsid w:val="00A01591"/>
    <w:rsid w:val="00A01956"/>
    <w:rsid w:val="00A02008"/>
    <w:rsid w:val="00A032D0"/>
    <w:rsid w:val="00A03E05"/>
    <w:rsid w:val="00A0415F"/>
    <w:rsid w:val="00A046A9"/>
    <w:rsid w:val="00A046E0"/>
    <w:rsid w:val="00A048C4"/>
    <w:rsid w:val="00A04C86"/>
    <w:rsid w:val="00A055F3"/>
    <w:rsid w:val="00A06FA7"/>
    <w:rsid w:val="00A07ABD"/>
    <w:rsid w:val="00A07FC8"/>
    <w:rsid w:val="00A10101"/>
    <w:rsid w:val="00A118B4"/>
    <w:rsid w:val="00A11E2F"/>
    <w:rsid w:val="00A128AF"/>
    <w:rsid w:val="00A13082"/>
    <w:rsid w:val="00A13197"/>
    <w:rsid w:val="00A135F0"/>
    <w:rsid w:val="00A13949"/>
    <w:rsid w:val="00A13B48"/>
    <w:rsid w:val="00A13B68"/>
    <w:rsid w:val="00A13DF1"/>
    <w:rsid w:val="00A16344"/>
    <w:rsid w:val="00A16C35"/>
    <w:rsid w:val="00A17384"/>
    <w:rsid w:val="00A174FD"/>
    <w:rsid w:val="00A17AE2"/>
    <w:rsid w:val="00A17E7D"/>
    <w:rsid w:val="00A20F0A"/>
    <w:rsid w:val="00A214DE"/>
    <w:rsid w:val="00A22A07"/>
    <w:rsid w:val="00A244EF"/>
    <w:rsid w:val="00A25284"/>
    <w:rsid w:val="00A259B2"/>
    <w:rsid w:val="00A25CB3"/>
    <w:rsid w:val="00A25CC7"/>
    <w:rsid w:val="00A25E96"/>
    <w:rsid w:val="00A2687C"/>
    <w:rsid w:val="00A26D47"/>
    <w:rsid w:val="00A26F5B"/>
    <w:rsid w:val="00A276A0"/>
    <w:rsid w:val="00A277EE"/>
    <w:rsid w:val="00A30C29"/>
    <w:rsid w:val="00A30DA4"/>
    <w:rsid w:val="00A31BB9"/>
    <w:rsid w:val="00A32DA6"/>
    <w:rsid w:val="00A33363"/>
    <w:rsid w:val="00A3467E"/>
    <w:rsid w:val="00A3537D"/>
    <w:rsid w:val="00A353CC"/>
    <w:rsid w:val="00A3572B"/>
    <w:rsid w:val="00A357F9"/>
    <w:rsid w:val="00A35C12"/>
    <w:rsid w:val="00A35CD7"/>
    <w:rsid w:val="00A3638B"/>
    <w:rsid w:val="00A3661D"/>
    <w:rsid w:val="00A371C8"/>
    <w:rsid w:val="00A37363"/>
    <w:rsid w:val="00A3744E"/>
    <w:rsid w:val="00A374B2"/>
    <w:rsid w:val="00A41150"/>
    <w:rsid w:val="00A41527"/>
    <w:rsid w:val="00A41738"/>
    <w:rsid w:val="00A41755"/>
    <w:rsid w:val="00A41B54"/>
    <w:rsid w:val="00A42C9F"/>
    <w:rsid w:val="00A42D03"/>
    <w:rsid w:val="00A43AD8"/>
    <w:rsid w:val="00A43B2D"/>
    <w:rsid w:val="00A43C33"/>
    <w:rsid w:val="00A446E4"/>
    <w:rsid w:val="00A44EA0"/>
    <w:rsid w:val="00A457D2"/>
    <w:rsid w:val="00A45A46"/>
    <w:rsid w:val="00A45B76"/>
    <w:rsid w:val="00A460C6"/>
    <w:rsid w:val="00A464E9"/>
    <w:rsid w:val="00A46947"/>
    <w:rsid w:val="00A477E1"/>
    <w:rsid w:val="00A47EFD"/>
    <w:rsid w:val="00A50FA7"/>
    <w:rsid w:val="00A512A4"/>
    <w:rsid w:val="00A5413C"/>
    <w:rsid w:val="00A547B0"/>
    <w:rsid w:val="00A54999"/>
    <w:rsid w:val="00A56157"/>
    <w:rsid w:val="00A570E1"/>
    <w:rsid w:val="00A57A58"/>
    <w:rsid w:val="00A610F1"/>
    <w:rsid w:val="00A6278B"/>
    <w:rsid w:val="00A6314A"/>
    <w:rsid w:val="00A6319F"/>
    <w:rsid w:val="00A63457"/>
    <w:rsid w:val="00A647FB"/>
    <w:rsid w:val="00A64A1E"/>
    <w:rsid w:val="00A65EE4"/>
    <w:rsid w:val="00A666F0"/>
    <w:rsid w:val="00A6702D"/>
    <w:rsid w:val="00A6709A"/>
    <w:rsid w:val="00A67821"/>
    <w:rsid w:val="00A70A03"/>
    <w:rsid w:val="00A7125B"/>
    <w:rsid w:val="00A713F8"/>
    <w:rsid w:val="00A71C6F"/>
    <w:rsid w:val="00A724ED"/>
    <w:rsid w:val="00A726E4"/>
    <w:rsid w:val="00A73EAF"/>
    <w:rsid w:val="00A74F0F"/>
    <w:rsid w:val="00A75345"/>
    <w:rsid w:val="00A75714"/>
    <w:rsid w:val="00A76A7E"/>
    <w:rsid w:val="00A77DFD"/>
    <w:rsid w:val="00A80ADD"/>
    <w:rsid w:val="00A81358"/>
    <w:rsid w:val="00A813B3"/>
    <w:rsid w:val="00A815B7"/>
    <w:rsid w:val="00A824C6"/>
    <w:rsid w:val="00A85B07"/>
    <w:rsid w:val="00A85B51"/>
    <w:rsid w:val="00A85BB8"/>
    <w:rsid w:val="00A85CE8"/>
    <w:rsid w:val="00A876E3"/>
    <w:rsid w:val="00A87BED"/>
    <w:rsid w:val="00A90367"/>
    <w:rsid w:val="00A91174"/>
    <w:rsid w:val="00A92723"/>
    <w:rsid w:val="00A92836"/>
    <w:rsid w:val="00A93706"/>
    <w:rsid w:val="00A93A3D"/>
    <w:rsid w:val="00A9505D"/>
    <w:rsid w:val="00A950D7"/>
    <w:rsid w:val="00A95DA6"/>
    <w:rsid w:val="00A95EA2"/>
    <w:rsid w:val="00A966D1"/>
    <w:rsid w:val="00A9680C"/>
    <w:rsid w:val="00A97D75"/>
    <w:rsid w:val="00AA0563"/>
    <w:rsid w:val="00AA0820"/>
    <w:rsid w:val="00AA0D57"/>
    <w:rsid w:val="00AA0EA0"/>
    <w:rsid w:val="00AA1260"/>
    <w:rsid w:val="00AA2176"/>
    <w:rsid w:val="00AA2387"/>
    <w:rsid w:val="00AA34E5"/>
    <w:rsid w:val="00AA38F0"/>
    <w:rsid w:val="00AA5050"/>
    <w:rsid w:val="00AA51FF"/>
    <w:rsid w:val="00AA6B22"/>
    <w:rsid w:val="00AA6F0B"/>
    <w:rsid w:val="00AA715D"/>
    <w:rsid w:val="00AA723E"/>
    <w:rsid w:val="00AA7894"/>
    <w:rsid w:val="00AA7ECF"/>
    <w:rsid w:val="00AA7F96"/>
    <w:rsid w:val="00AB0FE4"/>
    <w:rsid w:val="00AB1855"/>
    <w:rsid w:val="00AB1A04"/>
    <w:rsid w:val="00AB1EFB"/>
    <w:rsid w:val="00AB2687"/>
    <w:rsid w:val="00AB29C1"/>
    <w:rsid w:val="00AB355F"/>
    <w:rsid w:val="00AB4668"/>
    <w:rsid w:val="00AB47D9"/>
    <w:rsid w:val="00AB4B83"/>
    <w:rsid w:val="00AB57A3"/>
    <w:rsid w:val="00AB596C"/>
    <w:rsid w:val="00AB5C5F"/>
    <w:rsid w:val="00AB5E60"/>
    <w:rsid w:val="00AB616F"/>
    <w:rsid w:val="00AB686E"/>
    <w:rsid w:val="00AB6D5E"/>
    <w:rsid w:val="00AB6EB7"/>
    <w:rsid w:val="00AB760A"/>
    <w:rsid w:val="00AC0888"/>
    <w:rsid w:val="00AC1332"/>
    <w:rsid w:val="00AC16B6"/>
    <w:rsid w:val="00AC2145"/>
    <w:rsid w:val="00AC22DF"/>
    <w:rsid w:val="00AC2C3F"/>
    <w:rsid w:val="00AC3E9A"/>
    <w:rsid w:val="00AC3FCD"/>
    <w:rsid w:val="00AC42FE"/>
    <w:rsid w:val="00AC4663"/>
    <w:rsid w:val="00AC48C7"/>
    <w:rsid w:val="00AC4B71"/>
    <w:rsid w:val="00AC4C3B"/>
    <w:rsid w:val="00AC54DD"/>
    <w:rsid w:val="00AC5729"/>
    <w:rsid w:val="00AC5FB1"/>
    <w:rsid w:val="00AC6AF4"/>
    <w:rsid w:val="00AC740E"/>
    <w:rsid w:val="00AD04AE"/>
    <w:rsid w:val="00AD0CDE"/>
    <w:rsid w:val="00AD114B"/>
    <w:rsid w:val="00AD16AA"/>
    <w:rsid w:val="00AD2D0F"/>
    <w:rsid w:val="00AD2E00"/>
    <w:rsid w:val="00AD46B9"/>
    <w:rsid w:val="00AD498F"/>
    <w:rsid w:val="00AD57E7"/>
    <w:rsid w:val="00AD58D6"/>
    <w:rsid w:val="00AD6619"/>
    <w:rsid w:val="00AD66DD"/>
    <w:rsid w:val="00AD6AC0"/>
    <w:rsid w:val="00AD7D4F"/>
    <w:rsid w:val="00AE1232"/>
    <w:rsid w:val="00AE1BAF"/>
    <w:rsid w:val="00AE1D4E"/>
    <w:rsid w:val="00AE259D"/>
    <w:rsid w:val="00AE2948"/>
    <w:rsid w:val="00AE2F27"/>
    <w:rsid w:val="00AE3BD8"/>
    <w:rsid w:val="00AE4195"/>
    <w:rsid w:val="00AE41BD"/>
    <w:rsid w:val="00AE42F7"/>
    <w:rsid w:val="00AE4644"/>
    <w:rsid w:val="00AE57C2"/>
    <w:rsid w:val="00AE5AD0"/>
    <w:rsid w:val="00AE6B8C"/>
    <w:rsid w:val="00AF07CC"/>
    <w:rsid w:val="00AF0E90"/>
    <w:rsid w:val="00AF3586"/>
    <w:rsid w:val="00AF3943"/>
    <w:rsid w:val="00AF3978"/>
    <w:rsid w:val="00AF41C8"/>
    <w:rsid w:val="00AF53CC"/>
    <w:rsid w:val="00AF573D"/>
    <w:rsid w:val="00AF5B17"/>
    <w:rsid w:val="00AF6951"/>
    <w:rsid w:val="00AF69A9"/>
    <w:rsid w:val="00AF6BCD"/>
    <w:rsid w:val="00AF7C96"/>
    <w:rsid w:val="00B01424"/>
    <w:rsid w:val="00B02AD6"/>
    <w:rsid w:val="00B0305F"/>
    <w:rsid w:val="00B0383B"/>
    <w:rsid w:val="00B038DD"/>
    <w:rsid w:val="00B03FC4"/>
    <w:rsid w:val="00B0427F"/>
    <w:rsid w:val="00B04691"/>
    <w:rsid w:val="00B05402"/>
    <w:rsid w:val="00B060A1"/>
    <w:rsid w:val="00B0611F"/>
    <w:rsid w:val="00B0639A"/>
    <w:rsid w:val="00B07559"/>
    <w:rsid w:val="00B07748"/>
    <w:rsid w:val="00B10C50"/>
    <w:rsid w:val="00B12093"/>
    <w:rsid w:val="00B123B1"/>
    <w:rsid w:val="00B123E2"/>
    <w:rsid w:val="00B1277E"/>
    <w:rsid w:val="00B12F84"/>
    <w:rsid w:val="00B13EB7"/>
    <w:rsid w:val="00B14091"/>
    <w:rsid w:val="00B14957"/>
    <w:rsid w:val="00B14E19"/>
    <w:rsid w:val="00B157CB"/>
    <w:rsid w:val="00B1632E"/>
    <w:rsid w:val="00B16345"/>
    <w:rsid w:val="00B166FF"/>
    <w:rsid w:val="00B20652"/>
    <w:rsid w:val="00B21A62"/>
    <w:rsid w:val="00B2202C"/>
    <w:rsid w:val="00B22FBB"/>
    <w:rsid w:val="00B233AF"/>
    <w:rsid w:val="00B2488F"/>
    <w:rsid w:val="00B24BB5"/>
    <w:rsid w:val="00B25695"/>
    <w:rsid w:val="00B260EA"/>
    <w:rsid w:val="00B272AF"/>
    <w:rsid w:val="00B272CC"/>
    <w:rsid w:val="00B27568"/>
    <w:rsid w:val="00B3117F"/>
    <w:rsid w:val="00B31580"/>
    <w:rsid w:val="00B31BB2"/>
    <w:rsid w:val="00B31EC7"/>
    <w:rsid w:val="00B321D5"/>
    <w:rsid w:val="00B32996"/>
    <w:rsid w:val="00B32FED"/>
    <w:rsid w:val="00B33985"/>
    <w:rsid w:val="00B33FDE"/>
    <w:rsid w:val="00B34099"/>
    <w:rsid w:val="00B34876"/>
    <w:rsid w:val="00B34995"/>
    <w:rsid w:val="00B35461"/>
    <w:rsid w:val="00B3568E"/>
    <w:rsid w:val="00B368DF"/>
    <w:rsid w:val="00B40C27"/>
    <w:rsid w:val="00B41EE3"/>
    <w:rsid w:val="00B420F5"/>
    <w:rsid w:val="00B42914"/>
    <w:rsid w:val="00B437B8"/>
    <w:rsid w:val="00B45590"/>
    <w:rsid w:val="00B46101"/>
    <w:rsid w:val="00B465BE"/>
    <w:rsid w:val="00B467B1"/>
    <w:rsid w:val="00B46EC3"/>
    <w:rsid w:val="00B47BAE"/>
    <w:rsid w:val="00B47BD5"/>
    <w:rsid w:val="00B47C03"/>
    <w:rsid w:val="00B47EAD"/>
    <w:rsid w:val="00B503B0"/>
    <w:rsid w:val="00B5154F"/>
    <w:rsid w:val="00B51573"/>
    <w:rsid w:val="00B51D70"/>
    <w:rsid w:val="00B5250C"/>
    <w:rsid w:val="00B52753"/>
    <w:rsid w:val="00B53844"/>
    <w:rsid w:val="00B53C06"/>
    <w:rsid w:val="00B53FF4"/>
    <w:rsid w:val="00B54017"/>
    <w:rsid w:val="00B5686C"/>
    <w:rsid w:val="00B56890"/>
    <w:rsid w:val="00B56BB4"/>
    <w:rsid w:val="00B576D6"/>
    <w:rsid w:val="00B57D1D"/>
    <w:rsid w:val="00B57F3C"/>
    <w:rsid w:val="00B612CE"/>
    <w:rsid w:val="00B62764"/>
    <w:rsid w:val="00B62847"/>
    <w:rsid w:val="00B62F44"/>
    <w:rsid w:val="00B63285"/>
    <w:rsid w:val="00B63BC7"/>
    <w:rsid w:val="00B64579"/>
    <w:rsid w:val="00B6479C"/>
    <w:rsid w:val="00B65D1C"/>
    <w:rsid w:val="00B66C1B"/>
    <w:rsid w:val="00B6701E"/>
    <w:rsid w:val="00B6758E"/>
    <w:rsid w:val="00B679FA"/>
    <w:rsid w:val="00B67C83"/>
    <w:rsid w:val="00B7016A"/>
    <w:rsid w:val="00B73728"/>
    <w:rsid w:val="00B740A1"/>
    <w:rsid w:val="00B752D7"/>
    <w:rsid w:val="00B7576A"/>
    <w:rsid w:val="00B75A6A"/>
    <w:rsid w:val="00B75A70"/>
    <w:rsid w:val="00B75AB8"/>
    <w:rsid w:val="00B75C5A"/>
    <w:rsid w:val="00B75E54"/>
    <w:rsid w:val="00B771BC"/>
    <w:rsid w:val="00B77EFE"/>
    <w:rsid w:val="00B81E7E"/>
    <w:rsid w:val="00B823F6"/>
    <w:rsid w:val="00B82534"/>
    <w:rsid w:val="00B825D0"/>
    <w:rsid w:val="00B82EBB"/>
    <w:rsid w:val="00B82F12"/>
    <w:rsid w:val="00B832FE"/>
    <w:rsid w:val="00B83834"/>
    <w:rsid w:val="00B83F8F"/>
    <w:rsid w:val="00B841DB"/>
    <w:rsid w:val="00B84BB1"/>
    <w:rsid w:val="00B8620A"/>
    <w:rsid w:val="00B8639D"/>
    <w:rsid w:val="00B87141"/>
    <w:rsid w:val="00B900AC"/>
    <w:rsid w:val="00B913B8"/>
    <w:rsid w:val="00B916AE"/>
    <w:rsid w:val="00B93476"/>
    <w:rsid w:val="00B939F8"/>
    <w:rsid w:val="00B95A21"/>
    <w:rsid w:val="00B95EFD"/>
    <w:rsid w:val="00B96715"/>
    <w:rsid w:val="00B97797"/>
    <w:rsid w:val="00BA0F37"/>
    <w:rsid w:val="00BA0FE6"/>
    <w:rsid w:val="00BA1467"/>
    <w:rsid w:val="00BA156E"/>
    <w:rsid w:val="00BA21E8"/>
    <w:rsid w:val="00BA2AEC"/>
    <w:rsid w:val="00BA34EB"/>
    <w:rsid w:val="00BA3579"/>
    <w:rsid w:val="00BA490C"/>
    <w:rsid w:val="00BA50C2"/>
    <w:rsid w:val="00BA684F"/>
    <w:rsid w:val="00BA6BB3"/>
    <w:rsid w:val="00BB12FA"/>
    <w:rsid w:val="00BB193E"/>
    <w:rsid w:val="00BB1B77"/>
    <w:rsid w:val="00BB28D4"/>
    <w:rsid w:val="00BB384F"/>
    <w:rsid w:val="00BB44D3"/>
    <w:rsid w:val="00BB561A"/>
    <w:rsid w:val="00BB5EAE"/>
    <w:rsid w:val="00BB5F3E"/>
    <w:rsid w:val="00BB6462"/>
    <w:rsid w:val="00BB65DC"/>
    <w:rsid w:val="00BB6C98"/>
    <w:rsid w:val="00BB703F"/>
    <w:rsid w:val="00BC02E4"/>
    <w:rsid w:val="00BC0623"/>
    <w:rsid w:val="00BC1503"/>
    <w:rsid w:val="00BC1C47"/>
    <w:rsid w:val="00BC25C8"/>
    <w:rsid w:val="00BC42A8"/>
    <w:rsid w:val="00BC4EBB"/>
    <w:rsid w:val="00BC504E"/>
    <w:rsid w:val="00BC532D"/>
    <w:rsid w:val="00BC5926"/>
    <w:rsid w:val="00BC5A77"/>
    <w:rsid w:val="00BC6E49"/>
    <w:rsid w:val="00BC700C"/>
    <w:rsid w:val="00BD019D"/>
    <w:rsid w:val="00BD0351"/>
    <w:rsid w:val="00BD0C49"/>
    <w:rsid w:val="00BD1EAC"/>
    <w:rsid w:val="00BD2261"/>
    <w:rsid w:val="00BD321D"/>
    <w:rsid w:val="00BD3387"/>
    <w:rsid w:val="00BD3FF3"/>
    <w:rsid w:val="00BD403F"/>
    <w:rsid w:val="00BD4DD1"/>
    <w:rsid w:val="00BD6883"/>
    <w:rsid w:val="00BD6EA6"/>
    <w:rsid w:val="00BD7D12"/>
    <w:rsid w:val="00BE0127"/>
    <w:rsid w:val="00BE17BD"/>
    <w:rsid w:val="00BE1F49"/>
    <w:rsid w:val="00BE259F"/>
    <w:rsid w:val="00BE3E94"/>
    <w:rsid w:val="00BE449E"/>
    <w:rsid w:val="00BE4AD3"/>
    <w:rsid w:val="00BE4EC3"/>
    <w:rsid w:val="00BE5062"/>
    <w:rsid w:val="00BE51B6"/>
    <w:rsid w:val="00BE60F2"/>
    <w:rsid w:val="00BE6317"/>
    <w:rsid w:val="00BE693D"/>
    <w:rsid w:val="00BE6F9F"/>
    <w:rsid w:val="00BE75F8"/>
    <w:rsid w:val="00BE7ADC"/>
    <w:rsid w:val="00BE7B99"/>
    <w:rsid w:val="00BE7ECB"/>
    <w:rsid w:val="00BF0097"/>
    <w:rsid w:val="00BF0379"/>
    <w:rsid w:val="00BF0A9B"/>
    <w:rsid w:val="00BF1C54"/>
    <w:rsid w:val="00BF1C5A"/>
    <w:rsid w:val="00BF28D9"/>
    <w:rsid w:val="00BF2BCF"/>
    <w:rsid w:val="00BF2DCB"/>
    <w:rsid w:val="00BF323B"/>
    <w:rsid w:val="00BF3B1E"/>
    <w:rsid w:val="00BF457A"/>
    <w:rsid w:val="00BF714D"/>
    <w:rsid w:val="00C01FE1"/>
    <w:rsid w:val="00C02F6C"/>
    <w:rsid w:val="00C03DAB"/>
    <w:rsid w:val="00C042CD"/>
    <w:rsid w:val="00C05009"/>
    <w:rsid w:val="00C057D8"/>
    <w:rsid w:val="00C06180"/>
    <w:rsid w:val="00C07750"/>
    <w:rsid w:val="00C07B97"/>
    <w:rsid w:val="00C07D63"/>
    <w:rsid w:val="00C104C8"/>
    <w:rsid w:val="00C109F1"/>
    <w:rsid w:val="00C10C5E"/>
    <w:rsid w:val="00C11092"/>
    <w:rsid w:val="00C1290D"/>
    <w:rsid w:val="00C13D21"/>
    <w:rsid w:val="00C14077"/>
    <w:rsid w:val="00C140D9"/>
    <w:rsid w:val="00C14F6A"/>
    <w:rsid w:val="00C15C89"/>
    <w:rsid w:val="00C169C3"/>
    <w:rsid w:val="00C17DE3"/>
    <w:rsid w:val="00C201B2"/>
    <w:rsid w:val="00C2066A"/>
    <w:rsid w:val="00C2180D"/>
    <w:rsid w:val="00C2267C"/>
    <w:rsid w:val="00C2281D"/>
    <w:rsid w:val="00C23502"/>
    <w:rsid w:val="00C238B9"/>
    <w:rsid w:val="00C23F19"/>
    <w:rsid w:val="00C249E9"/>
    <w:rsid w:val="00C25996"/>
    <w:rsid w:val="00C25CB0"/>
    <w:rsid w:val="00C25CEB"/>
    <w:rsid w:val="00C25E88"/>
    <w:rsid w:val="00C26151"/>
    <w:rsid w:val="00C26D56"/>
    <w:rsid w:val="00C30012"/>
    <w:rsid w:val="00C30066"/>
    <w:rsid w:val="00C30C57"/>
    <w:rsid w:val="00C31BCA"/>
    <w:rsid w:val="00C31FC3"/>
    <w:rsid w:val="00C33641"/>
    <w:rsid w:val="00C33BB2"/>
    <w:rsid w:val="00C33EBB"/>
    <w:rsid w:val="00C33FCD"/>
    <w:rsid w:val="00C3542D"/>
    <w:rsid w:val="00C35CE3"/>
    <w:rsid w:val="00C365F3"/>
    <w:rsid w:val="00C36A94"/>
    <w:rsid w:val="00C36C69"/>
    <w:rsid w:val="00C3782E"/>
    <w:rsid w:val="00C37D10"/>
    <w:rsid w:val="00C40497"/>
    <w:rsid w:val="00C40BB1"/>
    <w:rsid w:val="00C40C8B"/>
    <w:rsid w:val="00C40DE0"/>
    <w:rsid w:val="00C411B6"/>
    <w:rsid w:val="00C42208"/>
    <w:rsid w:val="00C43D38"/>
    <w:rsid w:val="00C43EEB"/>
    <w:rsid w:val="00C43FC4"/>
    <w:rsid w:val="00C451A6"/>
    <w:rsid w:val="00C45F80"/>
    <w:rsid w:val="00C462AC"/>
    <w:rsid w:val="00C46670"/>
    <w:rsid w:val="00C46D65"/>
    <w:rsid w:val="00C4745E"/>
    <w:rsid w:val="00C47EF6"/>
    <w:rsid w:val="00C505DC"/>
    <w:rsid w:val="00C50DAB"/>
    <w:rsid w:val="00C51417"/>
    <w:rsid w:val="00C51515"/>
    <w:rsid w:val="00C51A55"/>
    <w:rsid w:val="00C521FB"/>
    <w:rsid w:val="00C52433"/>
    <w:rsid w:val="00C5445A"/>
    <w:rsid w:val="00C549D4"/>
    <w:rsid w:val="00C55204"/>
    <w:rsid w:val="00C55464"/>
    <w:rsid w:val="00C555B6"/>
    <w:rsid w:val="00C55CB5"/>
    <w:rsid w:val="00C55F0C"/>
    <w:rsid w:val="00C562D9"/>
    <w:rsid w:val="00C5668D"/>
    <w:rsid w:val="00C5790C"/>
    <w:rsid w:val="00C60269"/>
    <w:rsid w:val="00C6042A"/>
    <w:rsid w:val="00C60607"/>
    <w:rsid w:val="00C60996"/>
    <w:rsid w:val="00C61F82"/>
    <w:rsid w:val="00C620B3"/>
    <w:rsid w:val="00C622E0"/>
    <w:rsid w:val="00C6274E"/>
    <w:rsid w:val="00C62EE5"/>
    <w:rsid w:val="00C6319A"/>
    <w:rsid w:val="00C63332"/>
    <w:rsid w:val="00C650BF"/>
    <w:rsid w:val="00C65E05"/>
    <w:rsid w:val="00C662FB"/>
    <w:rsid w:val="00C66C7C"/>
    <w:rsid w:val="00C67664"/>
    <w:rsid w:val="00C70A96"/>
    <w:rsid w:val="00C70DCC"/>
    <w:rsid w:val="00C70E60"/>
    <w:rsid w:val="00C70F32"/>
    <w:rsid w:val="00C715E5"/>
    <w:rsid w:val="00C727CC"/>
    <w:rsid w:val="00C7386E"/>
    <w:rsid w:val="00C73875"/>
    <w:rsid w:val="00C74914"/>
    <w:rsid w:val="00C74F51"/>
    <w:rsid w:val="00C75B3F"/>
    <w:rsid w:val="00C768C7"/>
    <w:rsid w:val="00C76D58"/>
    <w:rsid w:val="00C802FB"/>
    <w:rsid w:val="00C80823"/>
    <w:rsid w:val="00C80B5F"/>
    <w:rsid w:val="00C8101D"/>
    <w:rsid w:val="00C81806"/>
    <w:rsid w:val="00C81C74"/>
    <w:rsid w:val="00C82780"/>
    <w:rsid w:val="00C82DC4"/>
    <w:rsid w:val="00C83B83"/>
    <w:rsid w:val="00C83DAC"/>
    <w:rsid w:val="00C85D81"/>
    <w:rsid w:val="00C863BF"/>
    <w:rsid w:val="00C871AD"/>
    <w:rsid w:val="00C8747C"/>
    <w:rsid w:val="00C8762C"/>
    <w:rsid w:val="00C87C2D"/>
    <w:rsid w:val="00C90ED5"/>
    <w:rsid w:val="00C9110A"/>
    <w:rsid w:val="00C92585"/>
    <w:rsid w:val="00C925E9"/>
    <w:rsid w:val="00C92CF6"/>
    <w:rsid w:val="00C92D71"/>
    <w:rsid w:val="00C939C6"/>
    <w:rsid w:val="00C939DD"/>
    <w:rsid w:val="00C93BA9"/>
    <w:rsid w:val="00C93D4F"/>
    <w:rsid w:val="00C942F5"/>
    <w:rsid w:val="00C95982"/>
    <w:rsid w:val="00C9666A"/>
    <w:rsid w:val="00C968C1"/>
    <w:rsid w:val="00C97FE8"/>
    <w:rsid w:val="00CA0784"/>
    <w:rsid w:val="00CA0C83"/>
    <w:rsid w:val="00CA11E3"/>
    <w:rsid w:val="00CA182C"/>
    <w:rsid w:val="00CA2C00"/>
    <w:rsid w:val="00CA2E08"/>
    <w:rsid w:val="00CA34BF"/>
    <w:rsid w:val="00CA358F"/>
    <w:rsid w:val="00CA426A"/>
    <w:rsid w:val="00CA4CEA"/>
    <w:rsid w:val="00CA5811"/>
    <w:rsid w:val="00CA6578"/>
    <w:rsid w:val="00CA6B85"/>
    <w:rsid w:val="00CA732B"/>
    <w:rsid w:val="00CA7B25"/>
    <w:rsid w:val="00CB1A58"/>
    <w:rsid w:val="00CB1EC6"/>
    <w:rsid w:val="00CB1F77"/>
    <w:rsid w:val="00CB25EA"/>
    <w:rsid w:val="00CB2C23"/>
    <w:rsid w:val="00CB33F0"/>
    <w:rsid w:val="00CB39B9"/>
    <w:rsid w:val="00CB41B1"/>
    <w:rsid w:val="00CB4909"/>
    <w:rsid w:val="00CB584D"/>
    <w:rsid w:val="00CB6042"/>
    <w:rsid w:val="00CB6850"/>
    <w:rsid w:val="00CB6CAA"/>
    <w:rsid w:val="00CB70C3"/>
    <w:rsid w:val="00CB75D4"/>
    <w:rsid w:val="00CC05B5"/>
    <w:rsid w:val="00CC1DD8"/>
    <w:rsid w:val="00CC22DE"/>
    <w:rsid w:val="00CC2867"/>
    <w:rsid w:val="00CC31B1"/>
    <w:rsid w:val="00CC359D"/>
    <w:rsid w:val="00CC3A65"/>
    <w:rsid w:val="00CC3CF4"/>
    <w:rsid w:val="00CC3F9E"/>
    <w:rsid w:val="00CC6685"/>
    <w:rsid w:val="00CC74B7"/>
    <w:rsid w:val="00CC7DF8"/>
    <w:rsid w:val="00CD107B"/>
    <w:rsid w:val="00CD2349"/>
    <w:rsid w:val="00CD3AA0"/>
    <w:rsid w:val="00CD3EFC"/>
    <w:rsid w:val="00CD532E"/>
    <w:rsid w:val="00CD57DE"/>
    <w:rsid w:val="00CD5845"/>
    <w:rsid w:val="00CD58A7"/>
    <w:rsid w:val="00CD655C"/>
    <w:rsid w:val="00CD6EA4"/>
    <w:rsid w:val="00CE0FD4"/>
    <w:rsid w:val="00CE1D08"/>
    <w:rsid w:val="00CE2012"/>
    <w:rsid w:val="00CE2FB9"/>
    <w:rsid w:val="00CE3B21"/>
    <w:rsid w:val="00CE5CE4"/>
    <w:rsid w:val="00CE6F22"/>
    <w:rsid w:val="00CE7782"/>
    <w:rsid w:val="00CF0F39"/>
    <w:rsid w:val="00CF14C4"/>
    <w:rsid w:val="00CF190E"/>
    <w:rsid w:val="00CF298C"/>
    <w:rsid w:val="00CF2E4E"/>
    <w:rsid w:val="00CF30D8"/>
    <w:rsid w:val="00CF344B"/>
    <w:rsid w:val="00CF347E"/>
    <w:rsid w:val="00CF45A5"/>
    <w:rsid w:val="00CF4702"/>
    <w:rsid w:val="00CF66D4"/>
    <w:rsid w:val="00CF6C40"/>
    <w:rsid w:val="00CF6E05"/>
    <w:rsid w:val="00CF70BB"/>
    <w:rsid w:val="00CF7C62"/>
    <w:rsid w:val="00CF7F27"/>
    <w:rsid w:val="00D0039E"/>
    <w:rsid w:val="00D00FFC"/>
    <w:rsid w:val="00D01215"/>
    <w:rsid w:val="00D014D6"/>
    <w:rsid w:val="00D014DE"/>
    <w:rsid w:val="00D031D0"/>
    <w:rsid w:val="00D0358C"/>
    <w:rsid w:val="00D03627"/>
    <w:rsid w:val="00D0476E"/>
    <w:rsid w:val="00D04ED0"/>
    <w:rsid w:val="00D0531F"/>
    <w:rsid w:val="00D05720"/>
    <w:rsid w:val="00D063AC"/>
    <w:rsid w:val="00D07BFF"/>
    <w:rsid w:val="00D1057C"/>
    <w:rsid w:val="00D10C39"/>
    <w:rsid w:val="00D118F7"/>
    <w:rsid w:val="00D11E58"/>
    <w:rsid w:val="00D12FBD"/>
    <w:rsid w:val="00D140CA"/>
    <w:rsid w:val="00D14FA9"/>
    <w:rsid w:val="00D15F74"/>
    <w:rsid w:val="00D167DD"/>
    <w:rsid w:val="00D2026A"/>
    <w:rsid w:val="00D21821"/>
    <w:rsid w:val="00D22AB3"/>
    <w:rsid w:val="00D23B18"/>
    <w:rsid w:val="00D23F13"/>
    <w:rsid w:val="00D24596"/>
    <w:rsid w:val="00D2537D"/>
    <w:rsid w:val="00D25EFA"/>
    <w:rsid w:val="00D2605E"/>
    <w:rsid w:val="00D2657D"/>
    <w:rsid w:val="00D26876"/>
    <w:rsid w:val="00D26F2B"/>
    <w:rsid w:val="00D275C9"/>
    <w:rsid w:val="00D3033D"/>
    <w:rsid w:val="00D30867"/>
    <w:rsid w:val="00D317DE"/>
    <w:rsid w:val="00D32627"/>
    <w:rsid w:val="00D32CC5"/>
    <w:rsid w:val="00D3310A"/>
    <w:rsid w:val="00D33447"/>
    <w:rsid w:val="00D34042"/>
    <w:rsid w:val="00D35672"/>
    <w:rsid w:val="00D35A9C"/>
    <w:rsid w:val="00D35BF3"/>
    <w:rsid w:val="00D365E0"/>
    <w:rsid w:val="00D3691C"/>
    <w:rsid w:val="00D36FA5"/>
    <w:rsid w:val="00D3753B"/>
    <w:rsid w:val="00D405B8"/>
    <w:rsid w:val="00D419DB"/>
    <w:rsid w:val="00D42C8B"/>
    <w:rsid w:val="00D4333A"/>
    <w:rsid w:val="00D433A7"/>
    <w:rsid w:val="00D43A37"/>
    <w:rsid w:val="00D43C9E"/>
    <w:rsid w:val="00D44399"/>
    <w:rsid w:val="00D444FC"/>
    <w:rsid w:val="00D44B9A"/>
    <w:rsid w:val="00D4565C"/>
    <w:rsid w:val="00D45847"/>
    <w:rsid w:val="00D45915"/>
    <w:rsid w:val="00D46835"/>
    <w:rsid w:val="00D46ABE"/>
    <w:rsid w:val="00D475A1"/>
    <w:rsid w:val="00D4794B"/>
    <w:rsid w:val="00D50E0A"/>
    <w:rsid w:val="00D50E43"/>
    <w:rsid w:val="00D51630"/>
    <w:rsid w:val="00D52113"/>
    <w:rsid w:val="00D523B2"/>
    <w:rsid w:val="00D526CF"/>
    <w:rsid w:val="00D52B46"/>
    <w:rsid w:val="00D53EA0"/>
    <w:rsid w:val="00D54421"/>
    <w:rsid w:val="00D545A6"/>
    <w:rsid w:val="00D547A9"/>
    <w:rsid w:val="00D548CA"/>
    <w:rsid w:val="00D55F88"/>
    <w:rsid w:val="00D568D5"/>
    <w:rsid w:val="00D56DB5"/>
    <w:rsid w:val="00D56F25"/>
    <w:rsid w:val="00D604D2"/>
    <w:rsid w:val="00D60916"/>
    <w:rsid w:val="00D60ECE"/>
    <w:rsid w:val="00D6116F"/>
    <w:rsid w:val="00D6151F"/>
    <w:rsid w:val="00D62A64"/>
    <w:rsid w:val="00D64485"/>
    <w:rsid w:val="00D657C2"/>
    <w:rsid w:val="00D664FF"/>
    <w:rsid w:val="00D66684"/>
    <w:rsid w:val="00D67EAD"/>
    <w:rsid w:val="00D700AA"/>
    <w:rsid w:val="00D70235"/>
    <w:rsid w:val="00D70B9B"/>
    <w:rsid w:val="00D70D85"/>
    <w:rsid w:val="00D7226B"/>
    <w:rsid w:val="00D736F6"/>
    <w:rsid w:val="00D74DFF"/>
    <w:rsid w:val="00D77346"/>
    <w:rsid w:val="00D77ED6"/>
    <w:rsid w:val="00D82823"/>
    <w:rsid w:val="00D82A07"/>
    <w:rsid w:val="00D82B07"/>
    <w:rsid w:val="00D84363"/>
    <w:rsid w:val="00D8492C"/>
    <w:rsid w:val="00D84D39"/>
    <w:rsid w:val="00D84E6C"/>
    <w:rsid w:val="00D86C4C"/>
    <w:rsid w:val="00D86D63"/>
    <w:rsid w:val="00D87155"/>
    <w:rsid w:val="00D87249"/>
    <w:rsid w:val="00D878FA"/>
    <w:rsid w:val="00D91CCB"/>
    <w:rsid w:val="00D91DAD"/>
    <w:rsid w:val="00D92133"/>
    <w:rsid w:val="00D92311"/>
    <w:rsid w:val="00D92875"/>
    <w:rsid w:val="00D94F5E"/>
    <w:rsid w:val="00D95DC0"/>
    <w:rsid w:val="00D961EA"/>
    <w:rsid w:val="00D96216"/>
    <w:rsid w:val="00D963F1"/>
    <w:rsid w:val="00D96836"/>
    <w:rsid w:val="00D96F7D"/>
    <w:rsid w:val="00DA0896"/>
    <w:rsid w:val="00DA1755"/>
    <w:rsid w:val="00DA1884"/>
    <w:rsid w:val="00DA1929"/>
    <w:rsid w:val="00DA23AB"/>
    <w:rsid w:val="00DA27F7"/>
    <w:rsid w:val="00DA2B48"/>
    <w:rsid w:val="00DA35CD"/>
    <w:rsid w:val="00DA3809"/>
    <w:rsid w:val="00DA4354"/>
    <w:rsid w:val="00DA461A"/>
    <w:rsid w:val="00DA5065"/>
    <w:rsid w:val="00DA5329"/>
    <w:rsid w:val="00DA5BD3"/>
    <w:rsid w:val="00DA5C79"/>
    <w:rsid w:val="00DA6DD3"/>
    <w:rsid w:val="00DB1382"/>
    <w:rsid w:val="00DB1A07"/>
    <w:rsid w:val="00DB283C"/>
    <w:rsid w:val="00DB2F5A"/>
    <w:rsid w:val="00DB3597"/>
    <w:rsid w:val="00DB3866"/>
    <w:rsid w:val="00DB3903"/>
    <w:rsid w:val="00DB41E6"/>
    <w:rsid w:val="00DB4266"/>
    <w:rsid w:val="00DB430F"/>
    <w:rsid w:val="00DB49DF"/>
    <w:rsid w:val="00DB4F9D"/>
    <w:rsid w:val="00DB5714"/>
    <w:rsid w:val="00DB5CD4"/>
    <w:rsid w:val="00DB6538"/>
    <w:rsid w:val="00DB6A6F"/>
    <w:rsid w:val="00DB76F1"/>
    <w:rsid w:val="00DC0A3E"/>
    <w:rsid w:val="00DC1D8E"/>
    <w:rsid w:val="00DC1EA2"/>
    <w:rsid w:val="00DC283C"/>
    <w:rsid w:val="00DC2A2F"/>
    <w:rsid w:val="00DC32DF"/>
    <w:rsid w:val="00DC3FA2"/>
    <w:rsid w:val="00DC5FFB"/>
    <w:rsid w:val="00DC60F9"/>
    <w:rsid w:val="00DC6AD3"/>
    <w:rsid w:val="00DC75AE"/>
    <w:rsid w:val="00DD0E66"/>
    <w:rsid w:val="00DD15DC"/>
    <w:rsid w:val="00DD264B"/>
    <w:rsid w:val="00DD28F9"/>
    <w:rsid w:val="00DD2CE0"/>
    <w:rsid w:val="00DD3859"/>
    <w:rsid w:val="00DD4008"/>
    <w:rsid w:val="00DD60C9"/>
    <w:rsid w:val="00DD6B7A"/>
    <w:rsid w:val="00DD7026"/>
    <w:rsid w:val="00DD741E"/>
    <w:rsid w:val="00DD7D07"/>
    <w:rsid w:val="00DD7DBF"/>
    <w:rsid w:val="00DE0C44"/>
    <w:rsid w:val="00DE1F6E"/>
    <w:rsid w:val="00DE31D1"/>
    <w:rsid w:val="00DE3755"/>
    <w:rsid w:val="00DE42F4"/>
    <w:rsid w:val="00DE4314"/>
    <w:rsid w:val="00DE46F8"/>
    <w:rsid w:val="00DE4712"/>
    <w:rsid w:val="00DE4F24"/>
    <w:rsid w:val="00DE51F7"/>
    <w:rsid w:val="00DE574F"/>
    <w:rsid w:val="00DE598C"/>
    <w:rsid w:val="00DE5E2F"/>
    <w:rsid w:val="00DE67D3"/>
    <w:rsid w:val="00DE70DA"/>
    <w:rsid w:val="00DE7915"/>
    <w:rsid w:val="00DF0050"/>
    <w:rsid w:val="00DF1013"/>
    <w:rsid w:val="00DF1680"/>
    <w:rsid w:val="00DF27D7"/>
    <w:rsid w:val="00DF2D6C"/>
    <w:rsid w:val="00DF3682"/>
    <w:rsid w:val="00DF462B"/>
    <w:rsid w:val="00DF4FC9"/>
    <w:rsid w:val="00DF5376"/>
    <w:rsid w:val="00DF545C"/>
    <w:rsid w:val="00DF7983"/>
    <w:rsid w:val="00DF7E96"/>
    <w:rsid w:val="00E010A3"/>
    <w:rsid w:val="00E01158"/>
    <w:rsid w:val="00E0139F"/>
    <w:rsid w:val="00E02053"/>
    <w:rsid w:val="00E032A1"/>
    <w:rsid w:val="00E03A57"/>
    <w:rsid w:val="00E04062"/>
    <w:rsid w:val="00E0435D"/>
    <w:rsid w:val="00E043DB"/>
    <w:rsid w:val="00E046BC"/>
    <w:rsid w:val="00E05301"/>
    <w:rsid w:val="00E0691C"/>
    <w:rsid w:val="00E06AC5"/>
    <w:rsid w:val="00E07668"/>
    <w:rsid w:val="00E0793D"/>
    <w:rsid w:val="00E1151A"/>
    <w:rsid w:val="00E12161"/>
    <w:rsid w:val="00E127F5"/>
    <w:rsid w:val="00E12EDE"/>
    <w:rsid w:val="00E1478E"/>
    <w:rsid w:val="00E1522C"/>
    <w:rsid w:val="00E15EDD"/>
    <w:rsid w:val="00E16AF5"/>
    <w:rsid w:val="00E17404"/>
    <w:rsid w:val="00E20A13"/>
    <w:rsid w:val="00E20DA0"/>
    <w:rsid w:val="00E214F4"/>
    <w:rsid w:val="00E21777"/>
    <w:rsid w:val="00E22817"/>
    <w:rsid w:val="00E23657"/>
    <w:rsid w:val="00E2370E"/>
    <w:rsid w:val="00E23E04"/>
    <w:rsid w:val="00E242F6"/>
    <w:rsid w:val="00E24802"/>
    <w:rsid w:val="00E2572A"/>
    <w:rsid w:val="00E26F87"/>
    <w:rsid w:val="00E27F34"/>
    <w:rsid w:val="00E307D8"/>
    <w:rsid w:val="00E30CF6"/>
    <w:rsid w:val="00E30DA3"/>
    <w:rsid w:val="00E31916"/>
    <w:rsid w:val="00E31CC4"/>
    <w:rsid w:val="00E32901"/>
    <w:rsid w:val="00E33472"/>
    <w:rsid w:val="00E347E8"/>
    <w:rsid w:val="00E34B45"/>
    <w:rsid w:val="00E351E0"/>
    <w:rsid w:val="00E3524B"/>
    <w:rsid w:val="00E353C2"/>
    <w:rsid w:val="00E35DE6"/>
    <w:rsid w:val="00E36218"/>
    <w:rsid w:val="00E36932"/>
    <w:rsid w:val="00E37CD1"/>
    <w:rsid w:val="00E417CA"/>
    <w:rsid w:val="00E43C9B"/>
    <w:rsid w:val="00E44AE0"/>
    <w:rsid w:val="00E455FF"/>
    <w:rsid w:val="00E45B96"/>
    <w:rsid w:val="00E46CDB"/>
    <w:rsid w:val="00E46E99"/>
    <w:rsid w:val="00E47203"/>
    <w:rsid w:val="00E50D28"/>
    <w:rsid w:val="00E5264B"/>
    <w:rsid w:val="00E52840"/>
    <w:rsid w:val="00E529FF"/>
    <w:rsid w:val="00E52A90"/>
    <w:rsid w:val="00E52EE2"/>
    <w:rsid w:val="00E53AB6"/>
    <w:rsid w:val="00E54631"/>
    <w:rsid w:val="00E54E09"/>
    <w:rsid w:val="00E552F3"/>
    <w:rsid w:val="00E56646"/>
    <w:rsid w:val="00E60623"/>
    <w:rsid w:val="00E607C6"/>
    <w:rsid w:val="00E60991"/>
    <w:rsid w:val="00E612E0"/>
    <w:rsid w:val="00E6194B"/>
    <w:rsid w:val="00E61DF3"/>
    <w:rsid w:val="00E622E2"/>
    <w:rsid w:val="00E62F0B"/>
    <w:rsid w:val="00E63105"/>
    <w:rsid w:val="00E63BD7"/>
    <w:rsid w:val="00E648E2"/>
    <w:rsid w:val="00E64A42"/>
    <w:rsid w:val="00E64AC2"/>
    <w:rsid w:val="00E6517A"/>
    <w:rsid w:val="00E66697"/>
    <w:rsid w:val="00E6689E"/>
    <w:rsid w:val="00E66AD8"/>
    <w:rsid w:val="00E66E1C"/>
    <w:rsid w:val="00E678FB"/>
    <w:rsid w:val="00E700B5"/>
    <w:rsid w:val="00E7012C"/>
    <w:rsid w:val="00E7060A"/>
    <w:rsid w:val="00E70DBA"/>
    <w:rsid w:val="00E715CA"/>
    <w:rsid w:val="00E7183B"/>
    <w:rsid w:val="00E71E40"/>
    <w:rsid w:val="00E727FE"/>
    <w:rsid w:val="00E73A02"/>
    <w:rsid w:val="00E74239"/>
    <w:rsid w:val="00E74FDE"/>
    <w:rsid w:val="00E75211"/>
    <w:rsid w:val="00E75769"/>
    <w:rsid w:val="00E75C67"/>
    <w:rsid w:val="00E75EAD"/>
    <w:rsid w:val="00E76066"/>
    <w:rsid w:val="00E76589"/>
    <w:rsid w:val="00E76A90"/>
    <w:rsid w:val="00E76D22"/>
    <w:rsid w:val="00E76E87"/>
    <w:rsid w:val="00E778EB"/>
    <w:rsid w:val="00E77EDC"/>
    <w:rsid w:val="00E8102E"/>
    <w:rsid w:val="00E81ECB"/>
    <w:rsid w:val="00E81EEA"/>
    <w:rsid w:val="00E827E5"/>
    <w:rsid w:val="00E82E51"/>
    <w:rsid w:val="00E8356F"/>
    <w:rsid w:val="00E83E60"/>
    <w:rsid w:val="00E84236"/>
    <w:rsid w:val="00E843D2"/>
    <w:rsid w:val="00E845C8"/>
    <w:rsid w:val="00E84CE6"/>
    <w:rsid w:val="00E85000"/>
    <w:rsid w:val="00E86125"/>
    <w:rsid w:val="00E861F0"/>
    <w:rsid w:val="00E862D6"/>
    <w:rsid w:val="00E86A72"/>
    <w:rsid w:val="00E90100"/>
    <w:rsid w:val="00E909F2"/>
    <w:rsid w:val="00E90B62"/>
    <w:rsid w:val="00E90E1B"/>
    <w:rsid w:val="00E90EB2"/>
    <w:rsid w:val="00E917E3"/>
    <w:rsid w:val="00E91A17"/>
    <w:rsid w:val="00E91CC3"/>
    <w:rsid w:val="00E9268E"/>
    <w:rsid w:val="00E93737"/>
    <w:rsid w:val="00E947F9"/>
    <w:rsid w:val="00E950D8"/>
    <w:rsid w:val="00E956F7"/>
    <w:rsid w:val="00E96AD8"/>
    <w:rsid w:val="00E96E9D"/>
    <w:rsid w:val="00EA0285"/>
    <w:rsid w:val="00EA0B51"/>
    <w:rsid w:val="00EA1151"/>
    <w:rsid w:val="00EA1F06"/>
    <w:rsid w:val="00EA1F3A"/>
    <w:rsid w:val="00EA27C6"/>
    <w:rsid w:val="00EA382F"/>
    <w:rsid w:val="00EA39FF"/>
    <w:rsid w:val="00EA3D22"/>
    <w:rsid w:val="00EA4D1A"/>
    <w:rsid w:val="00EA530D"/>
    <w:rsid w:val="00EA5CCA"/>
    <w:rsid w:val="00EA614A"/>
    <w:rsid w:val="00EA6369"/>
    <w:rsid w:val="00EA6D01"/>
    <w:rsid w:val="00EA7878"/>
    <w:rsid w:val="00EB0A8B"/>
    <w:rsid w:val="00EB25ED"/>
    <w:rsid w:val="00EB3D4B"/>
    <w:rsid w:val="00EB467C"/>
    <w:rsid w:val="00EB778F"/>
    <w:rsid w:val="00EC2650"/>
    <w:rsid w:val="00EC278D"/>
    <w:rsid w:val="00EC5389"/>
    <w:rsid w:val="00EC5A59"/>
    <w:rsid w:val="00EC5C98"/>
    <w:rsid w:val="00EC64C1"/>
    <w:rsid w:val="00EC73C6"/>
    <w:rsid w:val="00EC7A66"/>
    <w:rsid w:val="00ED1173"/>
    <w:rsid w:val="00ED16B6"/>
    <w:rsid w:val="00ED2B9A"/>
    <w:rsid w:val="00ED3433"/>
    <w:rsid w:val="00ED3757"/>
    <w:rsid w:val="00ED3CC7"/>
    <w:rsid w:val="00ED3E30"/>
    <w:rsid w:val="00ED4A14"/>
    <w:rsid w:val="00ED4AD1"/>
    <w:rsid w:val="00ED55D0"/>
    <w:rsid w:val="00ED55DC"/>
    <w:rsid w:val="00ED613F"/>
    <w:rsid w:val="00ED67F3"/>
    <w:rsid w:val="00ED6A5D"/>
    <w:rsid w:val="00ED799E"/>
    <w:rsid w:val="00EE0615"/>
    <w:rsid w:val="00EE0C7D"/>
    <w:rsid w:val="00EE0D15"/>
    <w:rsid w:val="00EE0EFD"/>
    <w:rsid w:val="00EE13F9"/>
    <w:rsid w:val="00EE173F"/>
    <w:rsid w:val="00EE17E0"/>
    <w:rsid w:val="00EE3378"/>
    <w:rsid w:val="00EE634E"/>
    <w:rsid w:val="00EE79E9"/>
    <w:rsid w:val="00EF09C1"/>
    <w:rsid w:val="00EF0D87"/>
    <w:rsid w:val="00EF1A67"/>
    <w:rsid w:val="00EF2603"/>
    <w:rsid w:val="00EF3390"/>
    <w:rsid w:val="00EF35FF"/>
    <w:rsid w:val="00EF3D5D"/>
    <w:rsid w:val="00EF5448"/>
    <w:rsid w:val="00EF5B52"/>
    <w:rsid w:val="00EF5B8E"/>
    <w:rsid w:val="00EF6287"/>
    <w:rsid w:val="00EF6418"/>
    <w:rsid w:val="00EF6821"/>
    <w:rsid w:val="00EF6DAE"/>
    <w:rsid w:val="00F00B86"/>
    <w:rsid w:val="00F00F93"/>
    <w:rsid w:val="00F0100B"/>
    <w:rsid w:val="00F01523"/>
    <w:rsid w:val="00F015A8"/>
    <w:rsid w:val="00F01E83"/>
    <w:rsid w:val="00F021B2"/>
    <w:rsid w:val="00F02991"/>
    <w:rsid w:val="00F0386F"/>
    <w:rsid w:val="00F03CF8"/>
    <w:rsid w:val="00F04AC6"/>
    <w:rsid w:val="00F05308"/>
    <w:rsid w:val="00F05E19"/>
    <w:rsid w:val="00F05FF6"/>
    <w:rsid w:val="00F064E3"/>
    <w:rsid w:val="00F074EC"/>
    <w:rsid w:val="00F1081C"/>
    <w:rsid w:val="00F10859"/>
    <w:rsid w:val="00F11918"/>
    <w:rsid w:val="00F12C08"/>
    <w:rsid w:val="00F12D04"/>
    <w:rsid w:val="00F14F0A"/>
    <w:rsid w:val="00F15262"/>
    <w:rsid w:val="00F164BE"/>
    <w:rsid w:val="00F1653F"/>
    <w:rsid w:val="00F1677F"/>
    <w:rsid w:val="00F16A39"/>
    <w:rsid w:val="00F16EC5"/>
    <w:rsid w:val="00F206AE"/>
    <w:rsid w:val="00F20708"/>
    <w:rsid w:val="00F2236F"/>
    <w:rsid w:val="00F22710"/>
    <w:rsid w:val="00F227C4"/>
    <w:rsid w:val="00F23C55"/>
    <w:rsid w:val="00F24216"/>
    <w:rsid w:val="00F2461E"/>
    <w:rsid w:val="00F2470F"/>
    <w:rsid w:val="00F25908"/>
    <w:rsid w:val="00F2631A"/>
    <w:rsid w:val="00F26352"/>
    <w:rsid w:val="00F2640F"/>
    <w:rsid w:val="00F26E93"/>
    <w:rsid w:val="00F26F9F"/>
    <w:rsid w:val="00F27133"/>
    <w:rsid w:val="00F273DE"/>
    <w:rsid w:val="00F3002E"/>
    <w:rsid w:val="00F30700"/>
    <w:rsid w:val="00F30F58"/>
    <w:rsid w:val="00F310B7"/>
    <w:rsid w:val="00F316E6"/>
    <w:rsid w:val="00F319BC"/>
    <w:rsid w:val="00F32109"/>
    <w:rsid w:val="00F32464"/>
    <w:rsid w:val="00F3312C"/>
    <w:rsid w:val="00F33BF7"/>
    <w:rsid w:val="00F347CD"/>
    <w:rsid w:val="00F34829"/>
    <w:rsid w:val="00F36067"/>
    <w:rsid w:val="00F36D3F"/>
    <w:rsid w:val="00F36FD7"/>
    <w:rsid w:val="00F377CC"/>
    <w:rsid w:val="00F378C2"/>
    <w:rsid w:val="00F37ECA"/>
    <w:rsid w:val="00F405CF"/>
    <w:rsid w:val="00F40976"/>
    <w:rsid w:val="00F40F78"/>
    <w:rsid w:val="00F41DCE"/>
    <w:rsid w:val="00F41E2A"/>
    <w:rsid w:val="00F4273C"/>
    <w:rsid w:val="00F42ED6"/>
    <w:rsid w:val="00F4316F"/>
    <w:rsid w:val="00F437D8"/>
    <w:rsid w:val="00F43FED"/>
    <w:rsid w:val="00F44354"/>
    <w:rsid w:val="00F44715"/>
    <w:rsid w:val="00F44B4B"/>
    <w:rsid w:val="00F45484"/>
    <w:rsid w:val="00F461B4"/>
    <w:rsid w:val="00F4627D"/>
    <w:rsid w:val="00F464B3"/>
    <w:rsid w:val="00F46F81"/>
    <w:rsid w:val="00F506D7"/>
    <w:rsid w:val="00F51F58"/>
    <w:rsid w:val="00F530D7"/>
    <w:rsid w:val="00F536D5"/>
    <w:rsid w:val="00F53803"/>
    <w:rsid w:val="00F539D5"/>
    <w:rsid w:val="00F53DE0"/>
    <w:rsid w:val="00F5422F"/>
    <w:rsid w:val="00F54400"/>
    <w:rsid w:val="00F56704"/>
    <w:rsid w:val="00F570C6"/>
    <w:rsid w:val="00F578CA"/>
    <w:rsid w:val="00F60749"/>
    <w:rsid w:val="00F607B0"/>
    <w:rsid w:val="00F60EEB"/>
    <w:rsid w:val="00F61C78"/>
    <w:rsid w:val="00F62813"/>
    <w:rsid w:val="00F62E84"/>
    <w:rsid w:val="00F6345C"/>
    <w:rsid w:val="00F63F7A"/>
    <w:rsid w:val="00F644C1"/>
    <w:rsid w:val="00F64B35"/>
    <w:rsid w:val="00F64BEF"/>
    <w:rsid w:val="00F65295"/>
    <w:rsid w:val="00F656F6"/>
    <w:rsid w:val="00F65CCE"/>
    <w:rsid w:val="00F65F16"/>
    <w:rsid w:val="00F65F6E"/>
    <w:rsid w:val="00F662AE"/>
    <w:rsid w:val="00F6640B"/>
    <w:rsid w:val="00F664AB"/>
    <w:rsid w:val="00F66713"/>
    <w:rsid w:val="00F67386"/>
    <w:rsid w:val="00F674C8"/>
    <w:rsid w:val="00F676D9"/>
    <w:rsid w:val="00F6797F"/>
    <w:rsid w:val="00F70C9D"/>
    <w:rsid w:val="00F70F27"/>
    <w:rsid w:val="00F715ED"/>
    <w:rsid w:val="00F717A8"/>
    <w:rsid w:val="00F7243D"/>
    <w:rsid w:val="00F72519"/>
    <w:rsid w:val="00F727C1"/>
    <w:rsid w:val="00F727DD"/>
    <w:rsid w:val="00F72B9B"/>
    <w:rsid w:val="00F72C2D"/>
    <w:rsid w:val="00F72E7F"/>
    <w:rsid w:val="00F741A2"/>
    <w:rsid w:val="00F74E7F"/>
    <w:rsid w:val="00F75064"/>
    <w:rsid w:val="00F754DD"/>
    <w:rsid w:val="00F76533"/>
    <w:rsid w:val="00F76683"/>
    <w:rsid w:val="00F7795B"/>
    <w:rsid w:val="00F77B32"/>
    <w:rsid w:val="00F80717"/>
    <w:rsid w:val="00F80F1A"/>
    <w:rsid w:val="00F81597"/>
    <w:rsid w:val="00F81B4E"/>
    <w:rsid w:val="00F81CC4"/>
    <w:rsid w:val="00F81FB1"/>
    <w:rsid w:val="00F820C4"/>
    <w:rsid w:val="00F8491F"/>
    <w:rsid w:val="00F853C2"/>
    <w:rsid w:val="00F8570E"/>
    <w:rsid w:val="00F85B34"/>
    <w:rsid w:val="00F860A8"/>
    <w:rsid w:val="00F86FFB"/>
    <w:rsid w:val="00F8724B"/>
    <w:rsid w:val="00F87269"/>
    <w:rsid w:val="00F87DB5"/>
    <w:rsid w:val="00F91C0C"/>
    <w:rsid w:val="00F92151"/>
    <w:rsid w:val="00F937F5"/>
    <w:rsid w:val="00F94240"/>
    <w:rsid w:val="00F9434D"/>
    <w:rsid w:val="00F94605"/>
    <w:rsid w:val="00F949C3"/>
    <w:rsid w:val="00F95885"/>
    <w:rsid w:val="00F96904"/>
    <w:rsid w:val="00F969C4"/>
    <w:rsid w:val="00F96B7E"/>
    <w:rsid w:val="00F973C8"/>
    <w:rsid w:val="00F97E2E"/>
    <w:rsid w:val="00FA0931"/>
    <w:rsid w:val="00FA0CC1"/>
    <w:rsid w:val="00FA0D55"/>
    <w:rsid w:val="00FA1367"/>
    <w:rsid w:val="00FA18D8"/>
    <w:rsid w:val="00FA1A50"/>
    <w:rsid w:val="00FA241C"/>
    <w:rsid w:val="00FA2A49"/>
    <w:rsid w:val="00FA2F95"/>
    <w:rsid w:val="00FA34E0"/>
    <w:rsid w:val="00FA3707"/>
    <w:rsid w:val="00FA373F"/>
    <w:rsid w:val="00FA3F5B"/>
    <w:rsid w:val="00FA4C91"/>
    <w:rsid w:val="00FA5F23"/>
    <w:rsid w:val="00FA6A1C"/>
    <w:rsid w:val="00FA7040"/>
    <w:rsid w:val="00FA76BD"/>
    <w:rsid w:val="00FA7F53"/>
    <w:rsid w:val="00FB0B54"/>
    <w:rsid w:val="00FB11F5"/>
    <w:rsid w:val="00FB217C"/>
    <w:rsid w:val="00FB30EC"/>
    <w:rsid w:val="00FB327E"/>
    <w:rsid w:val="00FB4346"/>
    <w:rsid w:val="00FB5B51"/>
    <w:rsid w:val="00FB6687"/>
    <w:rsid w:val="00FB74FE"/>
    <w:rsid w:val="00FB797B"/>
    <w:rsid w:val="00FC0372"/>
    <w:rsid w:val="00FC0EF3"/>
    <w:rsid w:val="00FC1D47"/>
    <w:rsid w:val="00FC2068"/>
    <w:rsid w:val="00FC2AD5"/>
    <w:rsid w:val="00FC2D73"/>
    <w:rsid w:val="00FC39F4"/>
    <w:rsid w:val="00FC4C95"/>
    <w:rsid w:val="00FC5460"/>
    <w:rsid w:val="00FC6B6E"/>
    <w:rsid w:val="00FC717D"/>
    <w:rsid w:val="00FC7FC5"/>
    <w:rsid w:val="00FD25D0"/>
    <w:rsid w:val="00FD2A48"/>
    <w:rsid w:val="00FD338E"/>
    <w:rsid w:val="00FD4950"/>
    <w:rsid w:val="00FD4C31"/>
    <w:rsid w:val="00FD553E"/>
    <w:rsid w:val="00FD5716"/>
    <w:rsid w:val="00FD5CAB"/>
    <w:rsid w:val="00FD6BB6"/>
    <w:rsid w:val="00FD6EEA"/>
    <w:rsid w:val="00FD73CC"/>
    <w:rsid w:val="00FE0A8C"/>
    <w:rsid w:val="00FE0D6D"/>
    <w:rsid w:val="00FE110F"/>
    <w:rsid w:val="00FE135B"/>
    <w:rsid w:val="00FE2590"/>
    <w:rsid w:val="00FE26FA"/>
    <w:rsid w:val="00FE2897"/>
    <w:rsid w:val="00FE28FE"/>
    <w:rsid w:val="00FE2905"/>
    <w:rsid w:val="00FE2C95"/>
    <w:rsid w:val="00FE3F3B"/>
    <w:rsid w:val="00FE4725"/>
    <w:rsid w:val="00FE577F"/>
    <w:rsid w:val="00FE5F87"/>
    <w:rsid w:val="00FE6008"/>
    <w:rsid w:val="00FE68F1"/>
    <w:rsid w:val="00FE7E5E"/>
    <w:rsid w:val="00FF01C3"/>
    <w:rsid w:val="00FF0204"/>
    <w:rsid w:val="00FF15F6"/>
    <w:rsid w:val="00FF1662"/>
    <w:rsid w:val="00FF1BA7"/>
    <w:rsid w:val="00FF2E51"/>
    <w:rsid w:val="00FF3278"/>
    <w:rsid w:val="00FF3327"/>
    <w:rsid w:val="00FF38B6"/>
    <w:rsid w:val="00FF48BC"/>
    <w:rsid w:val="00FF4C97"/>
    <w:rsid w:val="00FF6910"/>
    <w:rsid w:val="00FF7050"/>
    <w:rsid w:val="00FF7141"/>
    <w:rsid w:val="00FF7181"/>
    <w:rsid w:val="00FF7AD6"/>
    <w:rsid w:val="010A1512"/>
    <w:rsid w:val="010A46FB"/>
    <w:rsid w:val="011C01A7"/>
    <w:rsid w:val="01324B28"/>
    <w:rsid w:val="01360133"/>
    <w:rsid w:val="013971C0"/>
    <w:rsid w:val="013D2FEF"/>
    <w:rsid w:val="016C1582"/>
    <w:rsid w:val="0171621F"/>
    <w:rsid w:val="01730091"/>
    <w:rsid w:val="0183285E"/>
    <w:rsid w:val="01864986"/>
    <w:rsid w:val="01B27E17"/>
    <w:rsid w:val="01B767AB"/>
    <w:rsid w:val="01B77FA3"/>
    <w:rsid w:val="01BD2C21"/>
    <w:rsid w:val="01CC42E6"/>
    <w:rsid w:val="01DC4538"/>
    <w:rsid w:val="01EB4254"/>
    <w:rsid w:val="01FF1559"/>
    <w:rsid w:val="0200518F"/>
    <w:rsid w:val="02026DA9"/>
    <w:rsid w:val="02044FF1"/>
    <w:rsid w:val="02096CF1"/>
    <w:rsid w:val="020C0F6E"/>
    <w:rsid w:val="021E1A46"/>
    <w:rsid w:val="022F1424"/>
    <w:rsid w:val="023C1C18"/>
    <w:rsid w:val="02520F4C"/>
    <w:rsid w:val="025621FA"/>
    <w:rsid w:val="02677EA9"/>
    <w:rsid w:val="0276298E"/>
    <w:rsid w:val="027C65B6"/>
    <w:rsid w:val="02913F1D"/>
    <w:rsid w:val="02947CC8"/>
    <w:rsid w:val="0297063D"/>
    <w:rsid w:val="029758FB"/>
    <w:rsid w:val="02984E87"/>
    <w:rsid w:val="029B529C"/>
    <w:rsid w:val="02B97174"/>
    <w:rsid w:val="02C21E4E"/>
    <w:rsid w:val="02CA3A44"/>
    <w:rsid w:val="02CD7A1A"/>
    <w:rsid w:val="02D36BA8"/>
    <w:rsid w:val="02DD72F6"/>
    <w:rsid w:val="02DE3B72"/>
    <w:rsid w:val="02E30685"/>
    <w:rsid w:val="02E83D2B"/>
    <w:rsid w:val="02F532A5"/>
    <w:rsid w:val="03052E3B"/>
    <w:rsid w:val="030F4680"/>
    <w:rsid w:val="031C0F0E"/>
    <w:rsid w:val="03240AE3"/>
    <w:rsid w:val="032C675B"/>
    <w:rsid w:val="033829A5"/>
    <w:rsid w:val="033A638B"/>
    <w:rsid w:val="03423368"/>
    <w:rsid w:val="035F38C0"/>
    <w:rsid w:val="03614EA4"/>
    <w:rsid w:val="03616E9F"/>
    <w:rsid w:val="03787815"/>
    <w:rsid w:val="03901BF1"/>
    <w:rsid w:val="03942418"/>
    <w:rsid w:val="039B01A8"/>
    <w:rsid w:val="03AA18FF"/>
    <w:rsid w:val="03B43B35"/>
    <w:rsid w:val="03B52DFA"/>
    <w:rsid w:val="03BC65A4"/>
    <w:rsid w:val="03C24416"/>
    <w:rsid w:val="03E05B53"/>
    <w:rsid w:val="03E40A01"/>
    <w:rsid w:val="03EC151E"/>
    <w:rsid w:val="03EE000F"/>
    <w:rsid w:val="03F2213E"/>
    <w:rsid w:val="040C59F6"/>
    <w:rsid w:val="0414252E"/>
    <w:rsid w:val="041904AA"/>
    <w:rsid w:val="04223EE2"/>
    <w:rsid w:val="04396577"/>
    <w:rsid w:val="044D44EE"/>
    <w:rsid w:val="045A2073"/>
    <w:rsid w:val="045D297D"/>
    <w:rsid w:val="046924D4"/>
    <w:rsid w:val="046F1C1E"/>
    <w:rsid w:val="04890D38"/>
    <w:rsid w:val="048D4618"/>
    <w:rsid w:val="049F6829"/>
    <w:rsid w:val="04AB4EFA"/>
    <w:rsid w:val="04B16BB7"/>
    <w:rsid w:val="04BB33F1"/>
    <w:rsid w:val="04D42175"/>
    <w:rsid w:val="04DD20AE"/>
    <w:rsid w:val="04E8778A"/>
    <w:rsid w:val="04EA0A9F"/>
    <w:rsid w:val="04F4289E"/>
    <w:rsid w:val="04F500EE"/>
    <w:rsid w:val="05045421"/>
    <w:rsid w:val="05096B2A"/>
    <w:rsid w:val="05116CAB"/>
    <w:rsid w:val="051240E4"/>
    <w:rsid w:val="05180114"/>
    <w:rsid w:val="052119A8"/>
    <w:rsid w:val="052A4259"/>
    <w:rsid w:val="052F5B5F"/>
    <w:rsid w:val="0546208A"/>
    <w:rsid w:val="05487162"/>
    <w:rsid w:val="05524E7C"/>
    <w:rsid w:val="0566362B"/>
    <w:rsid w:val="0569539A"/>
    <w:rsid w:val="05710A4E"/>
    <w:rsid w:val="058B2EA9"/>
    <w:rsid w:val="058C2968"/>
    <w:rsid w:val="05935C89"/>
    <w:rsid w:val="05977BA0"/>
    <w:rsid w:val="059C71B8"/>
    <w:rsid w:val="05B95207"/>
    <w:rsid w:val="05C47F2C"/>
    <w:rsid w:val="05CF0BAE"/>
    <w:rsid w:val="05D339E0"/>
    <w:rsid w:val="05D74280"/>
    <w:rsid w:val="05E07E4C"/>
    <w:rsid w:val="05F235DD"/>
    <w:rsid w:val="05FA03BB"/>
    <w:rsid w:val="05FA0D5C"/>
    <w:rsid w:val="05FF3256"/>
    <w:rsid w:val="0603517B"/>
    <w:rsid w:val="06041488"/>
    <w:rsid w:val="06050F79"/>
    <w:rsid w:val="06217548"/>
    <w:rsid w:val="06242CE2"/>
    <w:rsid w:val="0628777C"/>
    <w:rsid w:val="062B701D"/>
    <w:rsid w:val="063F11A9"/>
    <w:rsid w:val="06491ACD"/>
    <w:rsid w:val="064A577C"/>
    <w:rsid w:val="06542B36"/>
    <w:rsid w:val="0677189E"/>
    <w:rsid w:val="068D5436"/>
    <w:rsid w:val="069B20F6"/>
    <w:rsid w:val="06A20381"/>
    <w:rsid w:val="06B00372"/>
    <w:rsid w:val="06B627DC"/>
    <w:rsid w:val="06BB3E4E"/>
    <w:rsid w:val="06C10E4F"/>
    <w:rsid w:val="06C11CDC"/>
    <w:rsid w:val="06C671BB"/>
    <w:rsid w:val="06CD6167"/>
    <w:rsid w:val="06DC6C09"/>
    <w:rsid w:val="06E477B1"/>
    <w:rsid w:val="06EC66F9"/>
    <w:rsid w:val="06F047B2"/>
    <w:rsid w:val="06FC2875"/>
    <w:rsid w:val="070B37B4"/>
    <w:rsid w:val="07222888"/>
    <w:rsid w:val="072D5A7B"/>
    <w:rsid w:val="0740267E"/>
    <w:rsid w:val="074E516C"/>
    <w:rsid w:val="077365F1"/>
    <w:rsid w:val="07805634"/>
    <w:rsid w:val="078072AD"/>
    <w:rsid w:val="07A71C3D"/>
    <w:rsid w:val="07C30FC3"/>
    <w:rsid w:val="07D71722"/>
    <w:rsid w:val="07DE4107"/>
    <w:rsid w:val="07E16AE7"/>
    <w:rsid w:val="07E80217"/>
    <w:rsid w:val="07EA3FD1"/>
    <w:rsid w:val="07F148A9"/>
    <w:rsid w:val="07F30239"/>
    <w:rsid w:val="07F469C4"/>
    <w:rsid w:val="0807028A"/>
    <w:rsid w:val="080A384D"/>
    <w:rsid w:val="08174AAD"/>
    <w:rsid w:val="0822045B"/>
    <w:rsid w:val="083D7E4C"/>
    <w:rsid w:val="08450A88"/>
    <w:rsid w:val="08532A69"/>
    <w:rsid w:val="087E5CF3"/>
    <w:rsid w:val="088F6DBB"/>
    <w:rsid w:val="089705E7"/>
    <w:rsid w:val="08977A6D"/>
    <w:rsid w:val="08B14B94"/>
    <w:rsid w:val="08BB1851"/>
    <w:rsid w:val="08CF1DAE"/>
    <w:rsid w:val="08DE4E98"/>
    <w:rsid w:val="08FF572B"/>
    <w:rsid w:val="09002A72"/>
    <w:rsid w:val="090700F1"/>
    <w:rsid w:val="09085F13"/>
    <w:rsid w:val="0909243B"/>
    <w:rsid w:val="090E51D7"/>
    <w:rsid w:val="09364C6F"/>
    <w:rsid w:val="094366B4"/>
    <w:rsid w:val="09460924"/>
    <w:rsid w:val="095442AE"/>
    <w:rsid w:val="09642CA9"/>
    <w:rsid w:val="09645DB1"/>
    <w:rsid w:val="097458C9"/>
    <w:rsid w:val="09761E31"/>
    <w:rsid w:val="098141E8"/>
    <w:rsid w:val="098C0955"/>
    <w:rsid w:val="098C34AC"/>
    <w:rsid w:val="0993273D"/>
    <w:rsid w:val="09976C1F"/>
    <w:rsid w:val="09AB4FF8"/>
    <w:rsid w:val="09CC1255"/>
    <w:rsid w:val="09E20AC9"/>
    <w:rsid w:val="09FD6C1A"/>
    <w:rsid w:val="0A044B50"/>
    <w:rsid w:val="0A075BF1"/>
    <w:rsid w:val="0A1D7C76"/>
    <w:rsid w:val="0A214CB9"/>
    <w:rsid w:val="0A244453"/>
    <w:rsid w:val="0A2A004A"/>
    <w:rsid w:val="0A2C24B1"/>
    <w:rsid w:val="0A2D04ED"/>
    <w:rsid w:val="0A2E00D7"/>
    <w:rsid w:val="0A2F37C3"/>
    <w:rsid w:val="0A3814B1"/>
    <w:rsid w:val="0A3A405E"/>
    <w:rsid w:val="0A5C5F72"/>
    <w:rsid w:val="0A5F5107"/>
    <w:rsid w:val="0A68252A"/>
    <w:rsid w:val="0A726EC0"/>
    <w:rsid w:val="0A7729C2"/>
    <w:rsid w:val="0A8D46F2"/>
    <w:rsid w:val="0A92744E"/>
    <w:rsid w:val="0A966573"/>
    <w:rsid w:val="0AD67091"/>
    <w:rsid w:val="0AEB41B1"/>
    <w:rsid w:val="0AF86AF0"/>
    <w:rsid w:val="0B0973FB"/>
    <w:rsid w:val="0B0B5954"/>
    <w:rsid w:val="0B0B5FE0"/>
    <w:rsid w:val="0B141E1C"/>
    <w:rsid w:val="0B235A96"/>
    <w:rsid w:val="0B264D4B"/>
    <w:rsid w:val="0B2F1DED"/>
    <w:rsid w:val="0B3407DE"/>
    <w:rsid w:val="0B480460"/>
    <w:rsid w:val="0B4950DB"/>
    <w:rsid w:val="0B4B4CA2"/>
    <w:rsid w:val="0B4D4BBB"/>
    <w:rsid w:val="0B5527D0"/>
    <w:rsid w:val="0B571366"/>
    <w:rsid w:val="0B5B18E9"/>
    <w:rsid w:val="0B5E7AD1"/>
    <w:rsid w:val="0B67582B"/>
    <w:rsid w:val="0B683F57"/>
    <w:rsid w:val="0B766391"/>
    <w:rsid w:val="0B967A95"/>
    <w:rsid w:val="0BA86390"/>
    <w:rsid w:val="0BB20177"/>
    <w:rsid w:val="0BCA6BCA"/>
    <w:rsid w:val="0BD53F02"/>
    <w:rsid w:val="0BE07738"/>
    <w:rsid w:val="0BE24503"/>
    <w:rsid w:val="0BEF238E"/>
    <w:rsid w:val="0C1F5E51"/>
    <w:rsid w:val="0C22691E"/>
    <w:rsid w:val="0C256965"/>
    <w:rsid w:val="0C2E2024"/>
    <w:rsid w:val="0C383F1C"/>
    <w:rsid w:val="0C403A42"/>
    <w:rsid w:val="0C460F39"/>
    <w:rsid w:val="0C5300FE"/>
    <w:rsid w:val="0C5374E6"/>
    <w:rsid w:val="0C543AEF"/>
    <w:rsid w:val="0C721716"/>
    <w:rsid w:val="0C7251B1"/>
    <w:rsid w:val="0C77191D"/>
    <w:rsid w:val="0C7E02A9"/>
    <w:rsid w:val="0C933E98"/>
    <w:rsid w:val="0C966219"/>
    <w:rsid w:val="0CA26C43"/>
    <w:rsid w:val="0CA457A6"/>
    <w:rsid w:val="0CAF4D4C"/>
    <w:rsid w:val="0CB000F1"/>
    <w:rsid w:val="0CB02C4D"/>
    <w:rsid w:val="0CC2354E"/>
    <w:rsid w:val="0CDF0851"/>
    <w:rsid w:val="0CDF7644"/>
    <w:rsid w:val="0CE4665F"/>
    <w:rsid w:val="0CF71E7D"/>
    <w:rsid w:val="0D116D4A"/>
    <w:rsid w:val="0D12089D"/>
    <w:rsid w:val="0D193667"/>
    <w:rsid w:val="0D266B21"/>
    <w:rsid w:val="0D2B51E5"/>
    <w:rsid w:val="0D356DC0"/>
    <w:rsid w:val="0D493008"/>
    <w:rsid w:val="0D592ABF"/>
    <w:rsid w:val="0D5F6D1D"/>
    <w:rsid w:val="0D605067"/>
    <w:rsid w:val="0D6C402E"/>
    <w:rsid w:val="0D706CE5"/>
    <w:rsid w:val="0D725076"/>
    <w:rsid w:val="0D7D60E8"/>
    <w:rsid w:val="0D823A45"/>
    <w:rsid w:val="0D915EA2"/>
    <w:rsid w:val="0D9F0B3C"/>
    <w:rsid w:val="0DBB045A"/>
    <w:rsid w:val="0DCB74F8"/>
    <w:rsid w:val="0DCF6557"/>
    <w:rsid w:val="0DEC3B0C"/>
    <w:rsid w:val="0DEE4CAE"/>
    <w:rsid w:val="0DEE59DC"/>
    <w:rsid w:val="0DF94E49"/>
    <w:rsid w:val="0DFA7A6B"/>
    <w:rsid w:val="0E0561CB"/>
    <w:rsid w:val="0E071F40"/>
    <w:rsid w:val="0E0E1233"/>
    <w:rsid w:val="0E1D3071"/>
    <w:rsid w:val="0E2B5565"/>
    <w:rsid w:val="0E2F2F82"/>
    <w:rsid w:val="0E3B64FC"/>
    <w:rsid w:val="0E3C3165"/>
    <w:rsid w:val="0E3C7B27"/>
    <w:rsid w:val="0E711ACA"/>
    <w:rsid w:val="0E74226D"/>
    <w:rsid w:val="0E781153"/>
    <w:rsid w:val="0E7C2504"/>
    <w:rsid w:val="0E8A486E"/>
    <w:rsid w:val="0EA502D0"/>
    <w:rsid w:val="0EC0672F"/>
    <w:rsid w:val="0ED83F6E"/>
    <w:rsid w:val="0EE55500"/>
    <w:rsid w:val="0EF91E39"/>
    <w:rsid w:val="0F0242BA"/>
    <w:rsid w:val="0F032C57"/>
    <w:rsid w:val="0F070426"/>
    <w:rsid w:val="0F154627"/>
    <w:rsid w:val="0F28636B"/>
    <w:rsid w:val="0F326A57"/>
    <w:rsid w:val="0F342DA8"/>
    <w:rsid w:val="0F3F5E0A"/>
    <w:rsid w:val="0F4162A0"/>
    <w:rsid w:val="0F431AF8"/>
    <w:rsid w:val="0F455B5E"/>
    <w:rsid w:val="0F470AAF"/>
    <w:rsid w:val="0F5400AB"/>
    <w:rsid w:val="0F56513A"/>
    <w:rsid w:val="0F5B6D48"/>
    <w:rsid w:val="0F5C6178"/>
    <w:rsid w:val="0F5E6F9B"/>
    <w:rsid w:val="0F602FF0"/>
    <w:rsid w:val="0F616D9A"/>
    <w:rsid w:val="0F79568B"/>
    <w:rsid w:val="0F820A8E"/>
    <w:rsid w:val="0F9379B6"/>
    <w:rsid w:val="0FB00AC2"/>
    <w:rsid w:val="0FB20383"/>
    <w:rsid w:val="0FB642B5"/>
    <w:rsid w:val="0FBA55C6"/>
    <w:rsid w:val="0FBB2E61"/>
    <w:rsid w:val="0FC14451"/>
    <w:rsid w:val="0FC15D10"/>
    <w:rsid w:val="0FE15D98"/>
    <w:rsid w:val="1008728F"/>
    <w:rsid w:val="101500B4"/>
    <w:rsid w:val="101946D4"/>
    <w:rsid w:val="101F5889"/>
    <w:rsid w:val="10210730"/>
    <w:rsid w:val="10353090"/>
    <w:rsid w:val="10674423"/>
    <w:rsid w:val="106C70E5"/>
    <w:rsid w:val="107A7A63"/>
    <w:rsid w:val="10895CBD"/>
    <w:rsid w:val="10964AF0"/>
    <w:rsid w:val="10997062"/>
    <w:rsid w:val="109F09AF"/>
    <w:rsid w:val="10A2689D"/>
    <w:rsid w:val="10C60070"/>
    <w:rsid w:val="10C64F1A"/>
    <w:rsid w:val="10DB51B3"/>
    <w:rsid w:val="10E947B8"/>
    <w:rsid w:val="10EC05F2"/>
    <w:rsid w:val="10EC1B10"/>
    <w:rsid w:val="10F73ABB"/>
    <w:rsid w:val="11140FEF"/>
    <w:rsid w:val="111625B3"/>
    <w:rsid w:val="11191DB1"/>
    <w:rsid w:val="11367F79"/>
    <w:rsid w:val="1137098D"/>
    <w:rsid w:val="11467E2D"/>
    <w:rsid w:val="114A2283"/>
    <w:rsid w:val="11522CE1"/>
    <w:rsid w:val="115919F3"/>
    <w:rsid w:val="115A41D1"/>
    <w:rsid w:val="115C0502"/>
    <w:rsid w:val="115D5C05"/>
    <w:rsid w:val="11654DF4"/>
    <w:rsid w:val="11794412"/>
    <w:rsid w:val="11797886"/>
    <w:rsid w:val="11901E06"/>
    <w:rsid w:val="119F7C11"/>
    <w:rsid w:val="11A042F6"/>
    <w:rsid w:val="11A27536"/>
    <w:rsid w:val="11A31974"/>
    <w:rsid w:val="11A8526C"/>
    <w:rsid w:val="11C0188A"/>
    <w:rsid w:val="11CD6967"/>
    <w:rsid w:val="11D34EFA"/>
    <w:rsid w:val="11DA1E9B"/>
    <w:rsid w:val="11DA5E5F"/>
    <w:rsid w:val="11EE60B8"/>
    <w:rsid w:val="11F93DB3"/>
    <w:rsid w:val="11FA572E"/>
    <w:rsid w:val="11FC4F87"/>
    <w:rsid w:val="12006A1D"/>
    <w:rsid w:val="12207A8E"/>
    <w:rsid w:val="122E4655"/>
    <w:rsid w:val="12315F72"/>
    <w:rsid w:val="12321AE1"/>
    <w:rsid w:val="125F3814"/>
    <w:rsid w:val="12670CC4"/>
    <w:rsid w:val="126E44EE"/>
    <w:rsid w:val="12767ED2"/>
    <w:rsid w:val="128C046D"/>
    <w:rsid w:val="128D2505"/>
    <w:rsid w:val="129015A6"/>
    <w:rsid w:val="129768B8"/>
    <w:rsid w:val="129877C1"/>
    <w:rsid w:val="12B07BA8"/>
    <w:rsid w:val="12B82E13"/>
    <w:rsid w:val="12BB6A26"/>
    <w:rsid w:val="12C425DE"/>
    <w:rsid w:val="12D40D73"/>
    <w:rsid w:val="12D879C7"/>
    <w:rsid w:val="12DA664B"/>
    <w:rsid w:val="12DB6201"/>
    <w:rsid w:val="130857B7"/>
    <w:rsid w:val="13093783"/>
    <w:rsid w:val="130D46C3"/>
    <w:rsid w:val="13121874"/>
    <w:rsid w:val="13146335"/>
    <w:rsid w:val="132449E0"/>
    <w:rsid w:val="132E0533"/>
    <w:rsid w:val="13432E2D"/>
    <w:rsid w:val="13504214"/>
    <w:rsid w:val="13572D0C"/>
    <w:rsid w:val="136263FD"/>
    <w:rsid w:val="137507DC"/>
    <w:rsid w:val="13796784"/>
    <w:rsid w:val="138F7746"/>
    <w:rsid w:val="139457CD"/>
    <w:rsid w:val="139715CE"/>
    <w:rsid w:val="13AD3B8F"/>
    <w:rsid w:val="13C2319B"/>
    <w:rsid w:val="13CF5998"/>
    <w:rsid w:val="13D97DD8"/>
    <w:rsid w:val="13EC6DE0"/>
    <w:rsid w:val="13EF1D04"/>
    <w:rsid w:val="1407491F"/>
    <w:rsid w:val="140E0255"/>
    <w:rsid w:val="14284BE4"/>
    <w:rsid w:val="143136A9"/>
    <w:rsid w:val="145260CE"/>
    <w:rsid w:val="14587B98"/>
    <w:rsid w:val="14616330"/>
    <w:rsid w:val="14760ADF"/>
    <w:rsid w:val="147F6081"/>
    <w:rsid w:val="1485127C"/>
    <w:rsid w:val="14896630"/>
    <w:rsid w:val="149D56B1"/>
    <w:rsid w:val="14A74533"/>
    <w:rsid w:val="14AA0587"/>
    <w:rsid w:val="14B0684E"/>
    <w:rsid w:val="14B158C6"/>
    <w:rsid w:val="14C47119"/>
    <w:rsid w:val="14C82333"/>
    <w:rsid w:val="14D051B9"/>
    <w:rsid w:val="14D31F04"/>
    <w:rsid w:val="14D40957"/>
    <w:rsid w:val="14DD7F09"/>
    <w:rsid w:val="14E86ED9"/>
    <w:rsid w:val="14F52B33"/>
    <w:rsid w:val="1501111A"/>
    <w:rsid w:val="150174A3"/>
    <w:rsid w:val="15126D34"/>
    <w:rsid w:val="151868FA"/>
    <w:rsid w:val="15210DB7"/>
    <w:rsid w:val="152C1E78"/>
    <w:rsid w:val="152F3148"/>
    <w:rsid w:val="153C3BCB"/>
    <w:rsid w:val="154D286C"/>
    <w:rsid w:val="154E519F"/>
    <w:rsid w:val="155030A1"/>
    <w:rsid w:val="155E798B"/>
    <w:rsid w:val="15711F33"/>
    <w:rsid w:val="157161E2"/>
    <w:rsid w:val="1572571C"/>
    <w:rsid w:val="157305F5"/>
    <w:rsid w:val="157E0DA8"/>
    <w:rsid w:val="157F06C0"/>
    <w:rsid w:val="158200AD"/>
    <w:rsid w:val="158C00B1"/>
    <w:rsid w:val="158E30AA"/>
    <w:rsid w:val="15912D47"/>
    <w:rsid w:val="15A111E0"/>
    <w:rsid w:val="15A20588"/>
    <w:rsid w:val="15A4350C"/>
    <w:rsid w:val="15A9770E"/>
    <w:rsid w:val="15A97C1E"/>
    <w:rsid w:val="15AF0A6F"/>
    <w:rsid w:val="15B23395"/>
    <w:rsid w:val="15B801C9"/>
    <w:rsid w:val="15C44BF2"/>
    <w:rsid w:val="15E81F88"/>
    <w:rsid w:val="15F2677A"/>
    <w:rsid w:val="16015D6C"/>
    <w:rsid w:val="16030628"/>
    <w:rsid w:val="161B778B"/>
    <w:rsid w:val="162119E4"/>
    <w:rsid w:val="16223C10"/>
    <w:rsid w:val="16226E95"/>
    <w:rsid w:val="16247D6B"/>
    <w:rsid w:val="16347920"/>
    <w:rsid w:val="164E1631"/>
    <w:rsid w:val="164E531F"/>
    <w:rsid w:val="165327A8"/>
    <w:rsid w:val="16593F57"/>
    <w:rsid w:val="165D5DBE"/>
    <w:rsid w:val="166841D6"/>
    <w:rsid w:val="166A679B"/>
    <w:rsid w:val="16777710"/>
    <w:rsid w:val="167878AB"/>
    <w:rsid w:val="1683572E"/>
    <w:rsid w:val="168373DB"/>
    <w:rsid w:val="16863322"/>
    <w:rsid w:val="169B599B"/>
    <w:rsid w:val="16AA4DA8"/>
    <w:rsid w:val="16AE1F48"/>
    <w:rsid w:val="16B1429E"/>
    <w:rsid w:val="16B14F66"/>
    <w:rsid w:val="16B20203"/>
    <w:rsid w:val="16B343C4"/>
    <w:rsid w:val="16C57010"/>
    <w:rsid w:val="16CC5DA8"/>
    <w:rsid w:val="16D16E22"/>
    <w:rsid w:val="16D41E30"/>
    <w:rsid w:val="16D640C1"/>
    <w:rsid w:val="16DC43D5"/>
    <w:rsid w:val="16E72508"/>
    <w:rsid w:val="16F839C8"/>
    <w:rsid w:val="17010F14"/>
    <w:rsid w:val="170619B4"/>
    <w:rsid w:val="171814E3"/>
    <w:rsid w:val="171B4AA4"/>
    <w:rsid w:val="17287ECE"/>
    <w:rsid w:val="17382C8D"/>
    <w:rsid w:val="175341D5"/>
    <w:rsid w:val="17546F4F"/>
    <w:rsid w:val="176B097B"/>
    <w:rsid w:val="17757DE7"/>
    <w:rsid w:val="1777671D"/>
    <w:rsid w:val="17874183"/>
    <w:rsid w:val="179A0C2A"/>
    <w:rsid w:val="17A8599D"/>
    <w:rsid w:val="17B051B0"/>
    <w:rsid w:val="17CD1076"/>
    <w:rsid w:val="17DB47FC"/>
    <w:rsid w:val="17EA2982"/>
    <w:rsid w:val="17ED0836"/>
    <w:rsid w:val="17F25FA1"/>
    <w:rsid w:val="17F85FC4"/>
    <w:rsid w:val="17FC31CE"/>
    <w:rsid w:val="17FC3383"/>
    <w:rsid w:val="17FF39E8"/>
    <w:rsid w:val="180219CC"/>
    <w:rsid w:val="18066D33"/>
    <w:rsid w:val="18173CB0"/>
    <w:rsid w:val="18265DAD"/>
    <w:rsid w:val="18395E11"/>
    <w:rsid w:val="18456905"/>
    <w:rsid w:val="184A5328"/>
    <w:rsid w:val="185426A0"/>
    <w:rsid w:val="185B29CD"/>
    <w:rsid w:val="185D260F"/>
    <w:rsid w:val="187974D8"/>
    <w:rsid w:val="18A9167C"/>
    <w:rsid w:val="18CC06F5"/>
    <w:rsid w:val="18F56683"/>
    <w:rsid w:val="19063868"/>
    <w:rsid w:val="190F539D"/>
    <w:rsid w:val="192562B6"/>
    <w:rsid w:val="192C3693"/>
    <w:rsid w:val="1934689B"/>
    <w:rsid w:val="195227EC"/>
    <w:rsid w:val="195E3B84"/>
    <w:rsid w:val="19625DF8"/>
    <w:rsid w:val="1970596F"/>
    <w:rsid w:val="197B3211"/>
    <w:rsid w:val="19821719"/>
    <w:rsid w:val="19833BED"/>
    <w:rsid w:val="19862206"/>
    <w:rsid w:val="19B22F7C"/>
    <w:rsid w:val="19B726BD"/>
    <w:rsid w:val="19C67953"/>
    <w:rsid w:val="19C97CA5"/>
    <w:rsid w:val="19E0785F"/>
    <w:rsid w:val="19E35AC7"/>
    <w:rsid w:val="19E50A53"/>
    <w:rsid w:val="19E52C57"/>
    <w:rsid w:val="19E54B21"/>
    <w:rsid w:val="19EA16A1"/>
    <w:rsid w:val="19F65048"/>
    <w:rsid w:val="19FC650E"/>
    <w:rsid w:val="19FE47D0"/>
    <w:rsid w:val="1A201EF1"/>
    <w:rsid w:val="1A2514ED"/>
    <w:rsid w:val="1A2C3B9D"/>
    <w:rsid w:val="1A2E1B22"/>
    <w:rsid w:val="1A41754C"/>
    <w:rsid w:val="1A440905"/>
    <w:rsid w:val="1A467179"/>
    <w:rsid w:val="1A5C7ED9"/>
    <w:rsid w:val="1A5F1925"/>
    <w:rsid w:val="1A606665"/>
    <w:rsid w:val="1A62268B"/>
    <w:rsid w:val="1A630FBB"/>
    <w:rsid w:val="1A6968E4"/>
    <w:rsid w:val="1A740A2B"/>
    <w:rsid w:val="1A7C6208"/>
    <w:rsid w:val="1A8727F8"/>
    <w:rsid w:val="1A9F2523"/>
    <w:rsid w:val="1AA80083"/>
    <w:rsid w:val="1AB7335A"/>
    <w:rsid w:val="1AB9026E"/>
    <w:rsid w:val="1AB9056F"/>
    <w:rsid w:val="1ACF7218"/>
    <w:rsid w:val="1AE64D07"/>
    <w:rsid w:val="1AE660C9"/>
    <w:rsid w:val="1AEA0E15"/>
    <w:rsid w:val="1AEB6A56"/>
    <w:rsid w:val="1B056731"/>
    <w:rsid w:val="1B0A286E"/>
    <w:rsid w:val="1B0D1E13"/>
    <w:rsid w:val="1B270106"/>
    <w:rsid w:val="1B2F4623"/>
    <w:rsid w:val="1B320B80"/>
    <w:rsid w:val="1B8D21E4"/>
    <w:rsid w:val="1B8F4E77"/>
    <w:rsid w:val="1B9B0357"/>
    <w:rsid w:val="1BA70AAD"/>
    <w:rsid w:val="1BBF0530"/>
    <w:rsid w:val="1BC532C5"/>
    <w:rsid w:val="1BD85295"/>
    <w:rsid w:val="1BDA163E"/>
    <w:rsid w:val="1BDF398D"/>
    <w:rsid w:val="1BE5758C"/>
    <w:rsid w:val="1BED7ABD"/>
    <w:rsid w:val="1BEF09A9"/>
    <w:rsid w:val="1BF27EEC"/>
    <w:rsid w:val="1BFD0E9E"/>
    <w:rsid w:val="1C04560A"/>
    <w:rsid w:val="1C0752EA"/>
    <w:rsid w:val="1C106C39"/>
    <w:rsid w:val="1C1467FE"/>
    <w:rsid w:val="1C1565FA"/>
    <w:rsid w:val="1C16477F"/>
    <w:rsid w:val="1C1A7EAA"/>
    <w:rsid w:val="1C1D75AD"/>
    <w:rsid w:val="1C266197"/>
    <w:rsid w:val="1C27495D"/>
    <w:rsid w:val="1C2773DC"/>
    <w:rsid w:val="1C4220C4"/>
    <w:rsid w:val="1C481853"/>
    <w:rsid w:val="1C4B226D"/>
    <w:rsid w:val="1C4D3063"/>
    <w:rsid w:val="1C4D4882"/>
    <w:rsid w:val="1C573589"/>
    <w:rsid w:val="1C5C2A52"/>
    <w:rsid w:val="1C6E2F97"/>
    <w:rsid w:val="1C711FDF"/>
    <w:rsid w:val="1C907BF6"/>
    <w:rsid w:val="1C92591C"/>
    <w:rsid w:val="1C9A7EE4"/>
    <w:rsid w:val="1CA00BEE"/>
    <w:rsid w:val="1CB735C8"/>
    <w:rsid w:val="1CB83F28"/>
    <w:rsid w:val="1CB930F5"/>
    <w:rsid w:val="1CC00EB7"/>
    <w:rsid w:val="1CC4135D"/>
    <w:rsid w:val="1CD33131"/>
    <w:rsid w:val="1CDE1BA2"/>
    <w:rsid w:val="1CF9058A"/>
    <w:rsid w:val="1CFF1C4D"/>
    <w:rsid w:val="1D242F90"/>
    <w:rsid w:val="1D280166"/>
    <w:rsid w:val="1D35491F"/>
    <w:rsid w:val="1D391687"/>
    <w:rsid w:val="1D3A5F63"/>
    <w:rsid w:val="1D484EA7"/>
    <w:rsid w:val="1D643AEA"/>
    <w:rsid w:val="1D6B4EED"/>
    <w:rsid w:val="1D6D2F0C"/>
    <w:rsid w:val="1D876099"/>
    <w:rsid w:val="1D8C5389"/>
    <w:rsid w:val="1D8C7AC4"/>
    <w:rsid w:val="1D8D4623"/>
    <w:rsid w:val="1D8F26EB"/>
    <w:rsid w:val="1D947061"/>
    <w:rsid w:val="1DA5394B"/>
    <w:rsid w:val="1DB0475C"/>
    <w:rsid w:val="1DB24CFE"/>
    <w:rsid w:val="1DB64881"/>
    <w:rsid w:val="1DB77A31"/>
    <w:rsid w:val="1DBE7718"/>
    <w:rsid w:val="1DCB509B"/>
    <w:rsid w:val="1E0B3864"/>
    <w:rsid w:val="1E161B8B"/>
    <w:rsid w:val="1E1C0474"/>
    <w:rsid w:val="1E2C39F9"/>
    <w:rsid w:val="1E3716BF"/>
    <w:rsid w:val="1E3717CD"/>
    <w:rsid w:val="1E396729"/>
    <w:rsid w:val="1E3C5909"/>
    <w:rsid w:val="1E402E1A"/>
    <w:rsid w:val="1E42174B"/>
    <w:rsid w:val="1E44385B"/>
    <w:rsid w:val="1E4633F6"/>
    <w:rsid w:val="1E4748A7"/>
    <w:rsid w:val="1E4D3478"/>
    <w:rsid w:val="1E5F546B"/>
    <w:rsid w:val="1E616BEF"/>
    <w:rsid w:val="1E662EDD"/>
    <w:rsid w:val="1E6756BA"/>
    <w:rsid w:val="1E7B5056"/>
    <w:rsid w:val="1E7C6EFD"/>
    <w:rsid w:val="1E95044C"/>
    <w:rsid w:val="1E975EDE"/>
    <w:rsid w:val="1E9C69B5"/>
    <w:rsid w:val="1EA64DD7"/>
    <w:rsid w:val="1EB7400E"/>
    <w:rsid w:val="1EBA6C2F"/>
    <w:rsid w:val="1EBA7A07"/>
    <w:rsid w:val="1EBB5B1B"/>
    <w:rsid w:val="1EC41EAB"/>
    <w:rsid w:val="1ED33464"/>
    <w:rsid w:val="1ED33A73"/>
    <w:rsid w:val="1ED96CA5"/>
    <w:rsid w:val="1EDB7D74"/>
    <w:rsid w:val="1EE4254A"/>
    <w:rsid w:val="1EE677BB"/>
    <w:rsid w:val="1EEB4044"/>
    <w:rsid w:val="1EEC7568"/>
    <w:rsid w:val="1EF3590B"/>
    <w:rsid w:val="1EF50555"/>
    <w:rsid w:val="1EF7111B"/>
    <w:rsid w:val="1F0444F1"/>
    <w:rsid w:val="1F064108"/>
    <w:rsid w:val="1F3A1615"/>
    <w:rsid w:val="1F3A6230"/>
    <w:rsid w:val="1F3F6450"/>
    <w:rsid w:val="1F402520"/>
    <w:rsid w:val="1F421CF8"/>
    <w:rsid w:val="1F4A22BA"/>
    <w:rsid w:val="1F653CC8"/>
    <w:rsid w:val="1F750E82"/>
    <w:rsid w:val="1F7942FA"/>
    <w:rsid w:val="1F79537E"/>
    <w:rsid w:val="1F7F7620"/>
    <w:rsid w:val="1FB45E0A"/>
    <w:rsid w:val="1FB54934"/>
    <w:rsid w:val="1FB84E53"/>
    <w:rsid w:val="1FBE6E8D"/>
    <w:rsid w:val="1FC07A77"/>
    <w:rsid w:val="1FDD7D64"/>
    <w:rsid w:val="1FE71F9A"/>
    <w:rsid w:val="1FF3734A"/>
    <w:rsid w:val="1FF60E21"/>
    <w:rsid w:val="20030593"/>
    <w:rsid w:val="20054E05"/>
    <w:rsid w:val="200C1EDC"/>
    <w:rsid w:val="200D5C3A"/>
    <w:rsid w:val="20103E3B"/>
    <w:rsid w:val="201F48D2"/>
    <w:rsid w:val="20301669"/>
    <w:rsid w:val="20476C6D"/>
    <w:rsid w:val="204F29C9"/>
    <w:rsid w:val="20561EAD"/>
    <w:rsid w:val="2078587E"/>
    <w:rsid w:val="207B27A5"/>
    <w:rsid w:val="208F44BE"/>
    <w:rsid w:val="20927879"/>
    <w:rsid w:val="20B55926"/>
    <w:rsid w:val="20B764E2"/>
    <w:rsid w:val="20BC3F49"/>
    <w:rsid w:val="20D634DA"/>
    <w:rsid w:val="20DB3F98"/>
    <w:rsid w:val="20DD75D4"/>
    <w:rsid w:val="20E13659"/>
    <w:rsid w:val="21005473"/>
    <w:rsid w:val="210110CE"/>
    <w:rsid w:val="210A7CCD"/>
    <w:rsid w:val="21134958"/>
    <w:rsid w:val="211B3202"/>
    <w:rsid w:val="21256AD5"/>
    <w:rsid w:val="212671A6"/>
    <w:rsid w:val="21290FD3"/>
    <w:rsid w:val="212E42D2"/>
    <w:rsid w:val="21305EF1"/>
    <w:rsid w:val="214D0BB7"/>
    <w:rsid w:val="214E771C"/>
    <w:rsid w:val="21694C1C"/>
    <w:rsid w:val="216A71D8"/>
    <w:rsid w:val="218336F3"/>
    <w:rsid w:val="21861C8C"/>
    <w:rsid w:val="21862B04"/>
    <w:rsid w:val="218740D4"/>
    <w:rsid w:val="21894CD4"/>
    <w:rsid w:val="219B191F"/>
    <w:rsid w:val="21B3120C"/>
    <w:rsid w:val="21B7074D"/>
    <w:rsid w:val="21BB6E05"/>
    <w:rsid w:val="21DF3370"/>
    <w:rsid w:val="21E0194F"/>
    <w:rsid w:val="21E509A4"/>
    <w:rsid w:val="220329A6"/>
    <w:rsid w:val="220879C9"/>
    <w:rsid w:val="221204C5"/>
    <w:rsid w:val="22177D8F"/>
    <w:rsid w:val="22192C73"/>
    <w:rsid w:val="221B7732"/>
    <w:rsid w:val="222B69D6"/>
    <w:rsid w:val="22461A66"/>
    <w:rsid w:val="224E58D3"/>
    <w:rsid w:val="22517163"/>
    <w:rsid w:val="22855B16"/>
    <w:rsid w:val="22893CDC"/>
    <w:rsid w:val="228C0B68"/>
    <w:rsid w:val="22960C09"/>
    <w:rsid w:val="229875D8"/>
    <w:rsid w:val="22AA2B4E"/>
    <w:rsid w:val="22B61F05"/>
    <w:rsid w:val="22B96CF5"/>
    <w:rsid w:val="22D30660"/>
    <w:rsid w:val="22D31E97"/>
    <w:rsid w:val="22E148E2"/>
    <w:rsid w:val="22E6460C"/>
    <w:rsid w:val="22F45058"/>
    <w:rsid w:val="230504CA"/>
    <w:rsid w:val="230644B1"/>
    <w:rsid w:val="230E481C"/>
    <w:rsid w:val="2316477C"/>
    <w:rsid w:val="231B18B9"/>
    <w:rsid w:val="23283BE4"/>
    <w:rsid w:val="233C4E42"/>
    <w:rsid w:val="2345591B"/>
    <w:rsid w:val="234B3517"/>
    <w:rsid w:val="234D4A71"/>
    <w:rsid w:val="23526412"/>
    <w:rsid w:val="23585016"/>
    <w:rsid w:val="235D5D58"/>
    <w:rsid w:val="236C5E84"/>
    <w:rsid w:val="236F1631"/>
    <w:rsid w:val="2373023D"/>
    <w:rsid w:val="237544FB"/>
    <w:rsid w:val="23766828"/>
    <w:rsid w:val="237B0AC8"/>
    <w:rsid w:val="2384238F"/>
    <w:rsid w:val="239369AF"/>
    <w:rsid w:val="239D5EE2"/>
    <w:rsid w:val="239F1315"/>
    <w:rsid w:val="239F7EBE"/>
    <w:rsid w:val="23A60A9A"/>
    <w:rsid w:val="23B60DBB"/>
    <w:rsid w:val="23B84A14"/>
    <w:rsid w:val="23C33EB0"/>
    <w:rsid w:val="23D75109"/>
    <w:rsid w:val="23E356C6"/>
    <w:rsid w:val="23E8648C"/>
    <w:rsid w:val="23F32221"/>
    <w:rsid w:val="240F224D"/>
    <w:rsid w:val="24143A5F"/>
    <w:rsid w:val="241C7054"/>
    <w:rsid w:val="2429091A"/>
    <w:rsid w:val="244148A9"/>
    <w:rsid w:val="244465CF"/>
    <w:rsid w:val="24467F5D"/>
    <w:rsid w:val="244A731C"/>
    <w:rsid w:val="244E062E"/>
    <w:rsid w:val="245004D9"/>
    <w:rsid w:val="24572585"/>
    <w:rsid w:val="246752AF"/>
    <w:rsid w:val="24735907"/>
    <w:rsid w:val="2474056C"/>
    <w:rsid w:val="247F77F7"/>
    <w:rsid w:val="24857DD8"/>
    <w:rsid w:val="248C024F"/>
    <w:rsid w:val="248E1AB1"/>
    <w:rsid w:val="249D1809"/>
    <w:rsid w:val="24A15806"/>
    <w:rsid w:val="24AA57A9"/>
    <w:rsid w:val="24B55DC9"/>
    <w:rsid w:val="24BA4EE9"/>
    <w:rsid w:val="24BA750C"/>
    <w:rsid w:val="24C22A0B"/>
    <w:rsid w:val="24CA5DF8"/>
    <w:rsid w:val="24D146A1"/>
    <w:rsid w:val="24D340FB"/>
    <w:rsid w:val="24EA2B82"/>
    <w:rsid w:val="24F038DF"/>
    <w:rsid w:val="24F36FAD"/>
    <w:rsid w:val="24FF4061"/>
    <w:rsid w:val="25127DB7"/>
    <w:rsid w:val="251471C1"/>
    <w:rsid w:val="25182533"/>
    <w:rsid w:val="25205997"/>
    <w:rsid w:val="254A0C7C"/>
    <w:rsid w:val="25670F5F"/>
    <w:rsid w:val="25694493"/>
    <w:rsid w:val="256C794C"/>
    <w:rsid w:val="257B3C39"/>
    <w:rsid w:val="257D7A40"/>
    <w:rsid w:val="2581716E"/>
    <w:rsid w:val="25817C21"/>
    <w:rsid w:val="25834A01"/>
    <w:rsid w:val="258601F9"/>
    <w:rsid w:val="258D6C65"/>
    <w:rsid w:val="25995497"/>
    <w:rsid w:val="25B1156F"/>
    <w:rsid w:val="25D442FD"/>
    <w:rsid w:val="25E25835"/>
    <w:rsid w:val="25EA2BDC"/>
    <w:rsid w:val="25EE6E63"/>
    <w:rsid w:val="260A6559"/>
    <w:rsid w:val="261E68A5"/>
    <w:rsid w:val="262E135D"/>
    <w:rsid w:val="262E7042"/>
    <w:rsid w:val="26362851"/>
    <w:rsid w:val="26407A9E"/>
    <w:rsid w:val="265531D9"/>
    <w:rsid w:val="265F5001"/>
    <w:rsid w:val="26605F58"/>
    <w:rsid w:val="26674601"/>
    <w:rsid w:val="266A3784"/>
    <w:rsid w:val="266A55B3"/>
    <w:rsid w:val="267355A4"/>
    <w:rsid w:val="26850624"/>
    <w:rsid w:val="268936E1"/>
    <w:rsid w:val="269A4656"/>
    <w:rsid w:val="269C6DB3"/>
    <w:rsid w:val="26B57005"/>
    <w:rsid w:val="26BC577A"/>
    <w:rsid w:val="26BD1961"/>
    <w:rsid w:val="26C8601D"/>
    <w:rsid w:val="26D54B51"/>
    <w:rsid w:val="26D54FF4"/>
    <w:rsid w:val="26D8672E"/>
    <w:rsid w:val="26E67830"/>
    <w:rsid w:val="26F12F87"/>
    <w:rsid w:val="26FA19CD"/>
    <w:rsid w:val="26FE1B0C"/>
    <w:rsid w:val="27007250"/>
    <w:rsid w:val="270B6A4E"/>
    <w:rsid w:val="270D3E59"/>
    <w:rsid w:val="27143AF4"/>
    <w:rsid w:val="27275582"/>
    <w:rsid w:val="272B2F3E"/>
    <w:rsid w:val="272D1161"/>
    <w:rsid w:val="273060DA"/>
    <w:rsid w:val="27321CBF"/>
    <w:rsid w:val="27383C2A"/>
    <w:rsid w:val="274C7EDD"/>
    <w:rsid w:val="27557CA5"/>
    <w:rsid w:val="27562B47"/>
    <w:rsid w:val="2758095B"/>
    <w:rsid w:val="275964E8"/>
    <w:rsid w:val="275D18BB"/>
    <w:rsid w:val="27661266"/>
    <w:rsid w:val="276E36C6"/>
    <w:rsid w:val="27716FE3"/>
    <w:rsid w:val="277C7F10"/>
    <w:rsid w:val="27940237"/>
    <w:rsid w:val="27AD38F7"/>
    <w:rsid w:val="27C412FA"/>
    <w:rsid w:val="27C91500"/>
    <w:rsid w:val="27CE1093"/>
    <w:rsid w:val="27D459C0"/>
    <w:rsid w:val="27E4415B"/>
    <w:rsid w:val="281C3CA5"/>
    <w:rsid w:val="281D6201"/>
    <w:rsid w:val="282E3EE6"/>
    <w:rsid w:val="284D7DA6"/>
    <w:rsid w:val="2863152B"/>
    <w:rsid w:val="288A7BCA"/>
    <w:rsid w:val="28975691"/>
    <w:rsid w:val="28994011"/>
    <w:rsid w:val="289A7454"/>
    <w:rsid w:val="28A4035F"/>
    <w:rsid w:val="28A61824"/>
    <w:rsid w:val="28B05600"/>
    <w:rsid w:val="28C44DFF"/>
    <w:rsid w:val="28C63EE3"/>
    <w:rsid w:val="28C85886"/>
    <w:rsid w:val="28CE4E42"/>
    <w:rsid w:val="28D85739"/>
    <w:rsid w:val="28E35D86"/>
    <w:rsid w:val="28FC5EB1"/>
    <w:rsid w:val="29055A5E"/>
    <w:rsid w:val="29226564"/>
    <w:rsid w:val="292B6E8F"/>
    <w:rsid w:val="29301DC7"/>
    <w:rsid w:val="29361FA0"/>
    <w:rsid w:val="294C31A8"/>
    <w:rsid w:val="29654EFE"/>
    <w:rsid w:val="296558E8"/>
    <w:rsid w:val="296F44DA"/>
    <w:rsid w:val="29815FF6"/>
    <w:rsid w:val="29851F76"/>
    <w:rsid w:val="29895BD0"/>
    <w:rsid w:val="2992286D"/>
    <w:rsid w:val="299250D0"/>
    <w:rsid w:val="29A126FF"/>
    <w:rsid w:val="29A137A4"/>
    <w:rsid w:val="29A56699"/>
    <w:rsid w:val="29A62993"/>
    <w:rsid w:val="29AC11AF"/>
    <w:rsid w:val="29AC6F0D"/>
    <w:rsid w:val="29B5599B"/>
    <w:rsid w:val="29C52B80"/>
    <w:rsid w:val="29DB4786"/>
    <w:rsid w:val="29DC2532"/>
    <w:rsid w:val="29E7574A"/>
    <w:rsid w:val="29EB679A"/>
    <w:rsid w:val="29ED5B33"/>
    <w:rsid w:val="29F8585D"/>
    <w:rsid w:val="29F87704"/>
    <w:rsid w:val="2A0C1752"/>
    <w:rsid w:val="2A1D507F"/>
    <w:rsid w:val="2A21057F"/>
    <w:rsid w:val="2A255BE0"/>
    <w:rsid w:val="2A2F0FDE"/>
    <w:rsid w:val="2A351E9B"/>
    <w:rsid w:val="2A3751EE"/>
    <w:rsid w:val="2A635A28"/>
    <w:rsid w:val="2A822B7E"/>
    <w:rsid w:val="2A901103"/>
    <w:rsid w:val="2A9A48D5"/>
    <w:rsid w:val="2AA90D3F"/>
    <w:rsid w:val="2AB7492B"/>
    <w:rsid w:val="2ACE7452"/>
    <w:rsid w:val="2AD20039"/>
    <w:rsid w:val="2AD43D0A"/>
    <w:rsid w:val="2AD62F6C"/>
    <w:rsid w:val="2AF74D4C"/>
    <w:rsid w:val="2AFB0E41"/>
    <w:rsid w:val="2AFE0349"/>
    <w:rsid w:val="2B006CB4"/>
    <w:rsid w:val="2B047199"/>
    <w:rsid w:val="2B05521B"/>
    <w:rsid w:val="2B0E6E21"/>
    <w:rsid w:val="2B115BEB"/>
    <w:rsid w:val="2B2025F0"/>
    <w:rsid w:val="2B3E37D8"/>
    <w:rsid w:val="2B423A94"/>
    <w:rsid w:val="2B4A464B"/>
    <w:rsid w:val="2B535CD1"/>
    <w:rsid w:val="2B736623"/>
    <w:rsid w:val="2B744C9F"/>
    <w:rsid w:val="2B8A4908"/>
    <w:rsid w:val="2B9A0711"/>
    <w:rsid w:val="2BB14F80"/>
    <w:rsid w:val="2BBE6E90"/>
    <w:rsid w:val="2BD31AF3"/>
    <w:rsid w:val="2BD92350"/>
    <w:rsid w:val="2BE64943"/>
    <w:rsid w:val="2BE72550"/>
    <w:rsid w:val="2BF759AC"/>
    <w:rsid w:val="2BFD031F"/>
    <w:rsid w:val="2C0349CD"/>
    <w:rsid w:val="2C0B628D"/>
    <w:rsid w:val="2C1424EF"/>
    <w:rsid w:val="2C192CA2"/>
    <w:rsid w:val="2C227196"/>
    <w:rsid w:val="2C2D1172"/>
    <w:rsid w:val="2C2E1EA7"/>
    <w:rsid w:val="2C391BA0"/>
    <w:rsid w:val="2C4A4141"/>
    <w:rsid w:val="2C510A5E"/>
    <w:rsid w:val="2C517D30"/>
    <w:rsid w:val="2C664D54"/>
    <w:rsid w:val="2C6E336F"/>
    <w:rsid w:val="2C7127C2"/>
    <w:rsid w:val="2C8D29F5"/>
    <w:rsid w:val="2C8D327A"/>
    <w:rsid w:val="2C9837FE"/>
    <w:rsid w:val="2CA40BA3"/>
    <w:rsid w:val="2CBE1B42"/>
    <w:rsid w:val="2CC35094"/>
    <w:rsid w:val="2CCC10BC"/>
    <w:rsid w:val="2CCC62CF"/>
    <w:rsid w:val="2CD85CE5"/>
    <w:rsid w:val="2CDA2694"/>
    <w:rsid w:val="2CDC79B6"/>
    <w:rsid w:val="2CE920B8"/>
    <w:rsid w:val="2CE923AE"/>
    <w:rsid w:val="2CEC207B"/>
    <w:rsid w:val="2CEC7AA6"/>
    <w:rsid w:val="2CF36D1F"/>
    <w:rsid w:val="2CFA0184"/>
    <w:rsid w:val="2CFA15BD"/>
    <w:rsid w:val="2D034466"/>
    <w:rsid w:val="2D036896"/>
    <w:rsid w:val="2D0A5CFF"/>
    <w:rsid w:val="2D12454B"/>
    <w:rsid w:val="2D1703A2"/>
    <w:rsid w:val="2D243AF5"/>
    <w:rsid w:val="2D28421F"/>
    <w:rsid w:val="2D2C07B4"/>
    <w:rsid w:val="2D310268"/>
    <w:rsid w:val="2D381DCC"/>
    <w:rsid w:val="2D555D7C"/>
    <w:rsid w:val="2D5A3FC3"/>
    <w:rsid w:val="2D7974E3"/>
    <w:rsid w:val="2D9003CE"/>
    <w:rsid w:val="2DA775C1"/>
    <w:rsid w:val="2DA81F81"/>
    <w:rsid w:val="2DB669E7"/>
    <w:rsid w:val="2DD47C35"/>
    <w:rsid w:val="2DD67D05"/>
    <w:rsid w:val="2DD7076C"/>
    <w:rsid w:val="2DF51234"/>
    <w:rsid w:val="2DFA03F9"/>
    <w:rsid w:val="2E007681"/>
    <w:rsid w:val="2E053E7E"/>
    <w:rsid w:val="2E122DED"/>
    <w:rsid w:val="2E1B6A24"/>
    <w:rsid w:val="2E223C6D"/>
    <w:rsid w:val="2E2E0587"/>
    <w:rsid w:val="2E444CBB"/>
    <w:rsid w:val="2E497D0C"/>
    <w:rsid w:val="2E52739C"/>
    <w:rsid w:val="2E534D86"/>
    <w:rsid w:val="2E555105"/>
    <w:rsid w:val="2E581253"/>
    <w:rsid w:val="2E677BD5"/>
    <w:rsid w:val="2E6D750B"/>
    <w:rsid w:val="2E766923"/>
    <w:rsid w:val="2E7D4FD2"/>
    <w:rsid w:val="2E7E2D84"/>
    <w:rsid w:val="2E8B47E8"/>
    <w:rsid w:val="2E936B53"/>
    <w:rsid w:val="2E943E10"/>
    <w:rsid w:val="2E9766BD"/>
    <w:rsid w:val="2E9C3EB8"/>
    <w:rsid w:val="2E9F68E6"/>
    <w:rsid w:val="2EA04257"/>
    <w:rsid w:val="2EA661AC"/>
    <w:rsid w:val="2EC26AEE"/>
    <w:rsid w:val="2ED65E90"/>
    <w:rsid w:val="2EDB0703"/>
    <w:rsid w:val="2EF60455"/>
    <w:rsid w:val="2EF93974"/>
    <w:rsid w:val="2F0E42B3"/>
    <w:rsid w:val="2F1A57AC"/>
    <w:rsid w:val="2F1E28A2"/>
    <w:rsid w:val="2F265726"/>
    <w:rsid w:val="2F2A4418"/>
    <w:rsid w:val="2F2C1177"/>
    <w:rsid w:val="2F2D3423"/>
    <w:rsid w:val="2F471F6C"/>
    <w:rsid w:val="2F4A0B33"/>
    <w:rsid w:val="2F4E1044"/>
    <w:rsid w:val="2F54757C"/>
    <w:rsid w:val="2F567F79"/>
    <w:rsid w:val="2F66754B"/>
    <w:rsid w:val="2F6756AC"/>
    <w:rsid w:val="2F830BDF"/>
    <w:rsid w:val="2F8A0758"/>
    <w:rsid w:val="2F8B7C4F"/>
    <w:rsid w:val="2F91603F"/>
    <w:rsid w:val="2FA51EF5"/>
    <w:rsid w:val="2FBC71A9"/>
    <w:rsid w:val="2FCA0AD9"/>
    <w:rsid w:val="2FE56298"/>
    <w:rsid w:val="2FEA6ED4"/>
    <w:rsid w:val="2FEF5586"/>
    <w:rsid w:val="2FFF59FC"/>
    <w:rsid w:val="30162F40"/>
    <w:rsid w:val="301D768C"/>
    <w:rsid w:val="30250BDF"/>
    <w:rsid w:val="30253EE6"/>
    <w:rsid w:val="302B4423"/>
    <w:rsid w:val="303C016E"/>
    <w:rsid w:val="30427C4E"/>
    <w:rsid w:val="305F1A56"/>
    <w:rsid w:val="30601F59"/>
    <w:rsid w:val="307C30C8"/>
    <w:rsid w:val="30801230"/>
    <w:rsid w:val="30882996"/>
    <w:rsid w:val="308F09DF"/>
    <w:rsid w:val="308F3AF5"/>
    <w:rsid w:val="3091250B"/>
    <w:rsid w:val="309B3CD6"/>
    <w:rsid w:val="30AC77D1"/>
    <w:rsid w:val="30B00CA4"/>
    <w:rsid w:val="30B122BA"/>
    <w:rsid w:val="30B575F9"/>
    <w:rsid w:val="30B746B8"/>
    <w:rsid w:val="30B80CC6"/>
    <w:rsid w:val="30BC7D05"/>
    <w:rsid w:val="30CD2861"/>
    <w:rsid w:val="30D56451"/>
    <w:rsid w:val="30E646D6"/>
    <w:rsid w:val="30ED0754"/>
    <w:rsid w:val="30F10742"/>
    <w:rsid w:val="30F85594"/>
    <w:rsid w:val="30FA1503"/>
    <w:rsid w:val="31023CEE"/>
    <w:rsid w:val="31043BEC"/>
    <w:rsid w:val="310958F2"/>
    <w:rsid w:val="312120BF"/>
    <w:rsid w:val="31271075"/>
    <w:rsid w:val="3135076B"/>
    <w:rsid w:val="31587E47"/>
    <w:rsid w:val="31835584"/>
    <w:rsid w:val="318436FA"/>
    <w:rsid w:val="318558FA"/>
    <w:rsid w:val="318B1E93"/>
    <w:rsid w:val="31992706"/>
    <w:rsid w:val="319C2412"/>
    <w:rsid w:val="31A23C93"/>
    <w:rsid w:val="31B37D1F"/>
    <w:rsid w:val="31B93DC3"/>
    <w:rsid w:val="31BE0D2C"/>
    <w:rsid w:val="31D04D5B"/>
    <w:rsid w:val="31D16E7A"/>
    <w:rsid w:val="31D816F7"/>
    <w:rsid w:val="31D82FEB"/>
    <w:rsid w:val="31DC15D3"/>
    <w:rsid w:val="31DD3DF9"/>
    <w:rsid w:val="31F23376"/>
    <w:rsid w:val="321B0955"/>
    <w:rsid w:val="32265EFA"/>
    <w:rsid w:val="323E5E27"/>
    <w:rsid w:val="325A5CD1"/>
    <w:rsid w:val="32614AE3"/>
    <w:rsid w:val="32671BAE"/>
    <w:rsid w:val="326B0FF8"/>
    <w:rsid w:val="326B4898"/>
    <w:rsid w:val="327A271D"/>
    <w:rsid w:val="327D69B3"/>
    <w:rsid w:val="3285338B"/>
    <w:rsid w:val="329F3EE5"/>
    <w:rsid w:val="32AD4739"/>
    <w:rsid w:val="32B552DA"/>
    <w:rsid w:val="32B56437"/>
    <w:rsid w:val="32B71402"/>
    <w:rsid w:val="32C36571"/>
    <w:rsid w:val="32CC0343"/>
    <w:rsid w:val="32CF5375"/>
    <w:rsid w:val="32DE5A90"/>
    <w:rsid w:val="32E56080"/>
    <w:rsid w:val="32E605E9"/>
    <w:rsid w:val="32EB3266"/>
    <w:rsid w:val="32FD5B19"/>
    <w:rsid w:val="330569C6"/>
    <w:rsid w:val="330A6CDD"/>
    <w:rsid w:val="330D6ABA"/>
    <w:rsid w:val="330E7101"/>
    <w:rsid w:val="33151412"/>
    <w:rsid w:val="332E4FC2"/>
    <w:rsid w:val="3337290D"/>
    <w:rsid w:val="334339F8"/>
    <w:rsid w:val="33497A9E"/>
    <w:rsid w:val="33594B11"/>
    <w:rsid w:val="335D713B"/>
    <w:rsid w:val="335E3DDE"/>
    <w:rsid w:val="3367519E"/>
    <w:rsid w:val="33737C3A"/>
    <w:rsid w:val="337B1F40"/>
    <w:rsid w:val="33857058"/>
    <w:rsid w:val="339F7D1E"/>
    <w:rsid w:val="33A523CF"/>
    <w:rsid w:val="33C22D15"/>
    <w:rsid w:val="33D23789"/>
    <w:rsid w:val="33D646D6"/>
    <w:rsid w:val="33EC0B65"/>
    <w:rsid w:val="33FA239E"/>
    <w:rsid w:val="34011596"/>
    <w:rsid w:val="34070398"/>
    <w:rsid w:val="34082741"/>
    <w:rsid w:val="340B3DB0"/>
    <w:rsid w:val="341C1826"/>
    <w:rsid w:val="3428773F"/>
    <w:rsid w:val="34335F60"/>
    <w:rsid w:val="343E5117"/>
    <w:rsid w:val="344C55A0"/>
    <w:rsid w:val="344E5D8C"/>
    <w:rsid w:val="34573B7D"/>
    <w:rsid w:val="345763EE"/>
    <w:rsid w:val="34731985"/>
    <w:rsid w:val="348119DC"/>
    <w:rsid w:val="34887E23"/>
    <w:rsid w:val="348C5E99"/>
    <w:rsid w:val="349161B2"/>
    <w:rsid w:val="34C22ABE"/>
    <w:rsid w:val="34D52ECC"/>
    <w:rsid w:val="34EE31A8"/>
    <w:rsid w:val="34F166C5"/>
    <w:rsid w:val="352B0700"/>
    <w:rsid w:val="35302776"/>
    <w:rsid w:val="35353174"/>
    <w:rsid w:val="357557E9"/>
    <w:rsid w:val="358715C3"/>
    <w:rsid w:val="35884950"/>
    <w:rsid w:val="358C7079"/>
    <w:rsid w:val="359337F3"/>
    <w:rsid w:val="35A7042A"/>
    <w:rsid w:val="35C1729F"/>
    <w:rsid w:val="35D3753B"/>
    <w:rsid w:val="35E556F3"/>
    <w:rsid w:val="35ED584E"/>
    <w:rsid w:val="35F81DF4"/>
    <w:rsid w:val="35FA4272"/>
    <w:rsid w:val="3609611B"/>
    <w:rsid w:val="360F6499"/>
    <w:rsid w:val="3612359D"/>
    <w:rsid w:val="362F7E66"/>
    <w:rsid w:val="36400F2F"/>
    <w:rsid w:val="364A12E4"/>
    <w:rsid w:val="36602933"/>
    <w:rsid w:val="366A2792"/>
    <w:rsid w:val="368E0BAF"/>
    <w:rsid w:val="36921ACC"/>
    <w:rsid w:val="36C23178"/>
    <w:rsid w:val="36C5705D"/>
    <w:rsid w:val="36D92A4A"/>
    <w:rsid w:val="36DD5A25"/>
    <w:rsid w:val="36E16D5B"/>
    <w:rsid w:val="36E57A0C"/>
    <w:rsid w:val="36F86B71"/>
    <w:rsid w:val="37080B8F"/>
    <w:rsid w:val="37082EF1"/>
    <w:rsid w:val="370952D1"/>
    <w:rsid w:val="371C410A"/>
    <w:rsid w:val="372327B1"/>
    <w:rsid w:val="37264B61"/>
    <w:rsid w:val="372E64AE"/>
    <w:rsid w:val="373260CC"/>
    <w:rsid w:val="37374C67"/>
    <w:rsid w:val="37436003"/>
    <w:rsid w:val="375B0206"/>
    <w:rsid w:val="375B0F19"/>
    <w:rsid w:val="375C1F54"/>
    <w:rsid w:val="3760128E"/>
    <w:rsid w:val="37692C9A"/>
    <w:rsid w:val="377805AE"/>
    <w:rsid w:val="37795970"/>
    <w:rsid w:val="377B745F"/>
    <w:rsid w:val="378F03B7"/>
    <w:rsid w:val="37A1624A"/>
    <w:rsid w:val="37AF6456"/>
    <w:rsid w:val="37B22D5C"/>
    <w:rsid w:val="37D06859"/>
    <w:rsid w:val="37DD2CE7"/>
    <w:rsid w:val="37ED51AE"/>
    <w:rsid w:val="37F75DB5"/>
    <w:rsid w:val="37FC4783"/>
    <w:rsid w:val="3814195E"/>
    <w:rsid w:val="38232CED"/>
    <w:rsid w:val="382D0116"/>
    <w:rsid w:val="3833702C"/>
    <w:rsid w:val="38374A78"/>
    <w:rsid w:val="385D36DD"/>
    <w:rsid w:val="386571C5"/>
    <w:rsid w:val="386F576E"/>
    <w:rsid w:val="389A5D82"/>
    <w:rsid w:val="38BF4D59"/>
    <w:rsid w:val="38C944F9"/>
    <w:rsid w:val="38CA1F62"/>
    <w:rsid w:val="38CE257C"/>
    <w:rsid w:val="38D05F7B"/>
    <w:rsid w:val="38D65370"/>
    <w:rsid w:val="38EE103F"/>
    <w:rsid w:val="38F16201"/>
    <w:rsid w:val="3901279F"/>
    <w:rsid w:val="39307CD3"/>
    <w:rsid w:val="393C6056"/>
    <w:rsid w:val="39423B23"/>
    <w:rsid w:val="394274C5"/>
    <w:rsid w:val="394F4AA1"/>
    <w:rsid w:val="395D67F1"/>
    <w:rsid w:val="395F1927"/>
    <w:rsid w:val="39655D50"/>
    <w:rsid w:val="398179AB"/>
    <w:rsid w:val="39835F3F"/>
    <w:rsid w:val="39837080"/>
    <w:rsid w:val="398962E6"/>
    <w:rsid w:val="398C2E77"/>
    <w:rsid w:val="398F30EF"/>
    <w:rsid w:val="39A30E0B"/>
    <w:rsid w:val="39B05EDB"/>
    <w:rsid w:val="39B10D90"/>
    <w:rsid w:val="39C10B2B"/>
    <w:rsid w:val="39C74E7F"/>
    <w:rsid w:val="39CF699D"/>
    <w:rsid w:val="39DE236B"/>
    <w:rsid w:val="39E93F4F"/>
    <w:rsid w:val="3A2405A2"/>
    <w:rsid w:val="3A2806F3"/>
    <w:rsid w:val="3A2B117C"/>
    <w:rsid w:val="3A302739"/>
    <w:rsid w:val="3A35126C"/>
    <w:rsid w:val="3A41743F"/>
    <w:rsid w:val="3A4D5ACB"/>
    <w:rsid w:val="3A597275"/>
    <w:rsid w:val="3A5E04BC"/>
    <w:rsid w:val="3A691939"/>
    <w:rsid w:val="3A771F94"/>
    <w:rsid w:val="3A8A635A"/>
    <w:rsid w:val="3A990577"/>
    <w:rsid w:val="3A9A0AEE"/>
    <w:rsid w:val="3AA12459"/>
    <w:rsid w:val="3AB92BC9"/>
    <w:rsid w:val="3ABE0172"/>
    <w:rsid w:val="3AC07E1C"/>
    <w:rsid w:val="3AC23365"/>
    <w:rsid w:val="3AD80985"/>
    <w:rsid w:val="3ADD7F3E"/>
    <w:rsid w:val="3AF6223E"/>
    <w:rsid w:val="3AF74ECB"/>
    <w:rsid w:val="3AFA1A4C"/>
    <w:rsid w:val="3AFE57D3"/>
    <w:rsid w:val="3B0E6194"/>
    <w:rsid w:val="3B132FB8"/>
    <w:rsid w:val="3B16151B"/>
    <w:rsid w:val="3B17538C"/>
    <w:rsid w:val="3B1E1B33"/>
    <w:rsid w:val="3B1E215B"/>
    <w:rsid w:val="3B210BC9"/>
    <w:rsid w:val="3B362E84"/>
    <w:rsid w:val="3B3A258D"/>
    <w:rsid w:val="3B3F4BA6"/>
    <w:rsid w:val="3B424F64"/>
    <w:rsid w:val="3B56788C"/>
    <w:rsid w:val="3B59555A"/>
    <w:rsid w:val="3B692EF3"/>
    <w:rsid w:val="3B6F22F3"/>
    <w:rsid w:val="3B6F3C39"/>
    <w:rsid w:val="3B781620"/>
    <w:rsid w:val="3BA427EA"/>
    <w:rsid w:val="3BAD0F7E"/>
    <w:rsid w:val="3BC05EE3"/>
    <w:rsid w:val="3BD22B23"/>
    <w:rsid w:val="3BD83CD3"/>
    <w:rsid w:val="3BE4556B"/>
    <w:rsid w:val="3BF96241"/>
    <w:rsid w:val="3C0548AA"/>
    <w:rsid w:val="3C0574B7"/>
    <w:rsid w:val="3C0C00C5"/>
    <w:rsid w:val="3C0C1611"/>
    <w:rsid w:val="3C14517D"/>
    <w:rsid w:val="3C165921"/>
    <w:rsid w:val="3C203C55"/>
    <w:rsid w:val="3C226C0C"/>
    <w:rsid w:val="3C233637"/>
    <w:rsid w:val="3C370DC3"/>
    <w:rsid w:val="3C3A4050"/>
    <w:rsid w:val="3C436A54"/>
    <w:rsid w:val="3C453572"/>
    <w:rsid w:val="3C4D29BE"/>
    <w:rsid w:val="3C571BEF"/>
    <w:rsid w:val="3C694C58"/>
    <w:rsid w:val="3C6E0033"/>
    <w:rsid w:val="3C727BAF"/>
    <w:rsid w:val="3C7F07CA"/>
    <w:rsid w:val="3C803C37"/>
    <w:rsid w:val="3C89767A"/>
    <w:rsid w:val="3C947798"/>
    <w:rsid w:val="3C980578"/>
    <w:rsid w:val="3CA46918"/>
    <w:rsid w:val="3CB7662B"/>
    <w:rsid w:val="3CC32CF7"/>
    <w:rsid w:val="3CEE4FB9"/>
    <w:rsid w:val="3CF51C49"/>
    <w:rsid w:val="3CF82F36"/>
    <w:rsid w:val="3CFB6F3B"/>
    <w:rsid w:val="3D0364C2"/>
    <w:rsid w:val="3D1072CE"/>
    <w:rsid w:val="3D2248FF"/>
    <w:rsid w:val="3D363A9B"/>
    <w:rsid w:val="3D524843"/>
    <w:rsid w:val="3D557E54"/>
    <w:rsid w:val="3D685F8A"/>
    <w:rsid w:val="3D755B49"/>
    <w:rsid w:val="3D950325"/>
    <w:rsid w:val="3DA10613"/>
    <w:rsid w:val="3DBE6DB7"/>
    <w:rsid w:val="3DC05557"/>
    <w:rsid w:val="3DCA0778"/>
    <w:rsid w:val="3DD9254E"/>
    <w:rsid w:val="3DFA3E89"/>
    <w:rsid w:val="3E000B9F"/>
    <w:rsid w:val="3E010D16"/>
    <w:rsid w:val="3E027EAE"/>
    <w:rsid w:val="3E0311A9"/>
    <w:rsid w:val="3E121434"/>
    <w:rsid w:val="3E14770B"/>
    <w:rsid w:val="3E29392A"/>
    <w:rsid w:val="3E401C6D"/>
    <w:rsid w:val="3E421784"/>
    <w:rsid w:val="3E590519"/>
    <w:rsid w:val="3E61606E"/>
    <w:rsid w:val="3E6A0139"/>
    <w:rsid w:val="3E8661AF"/>
    <w:rsid w:val="3E8E0D3F"/>
    <w:rsid w:val="3EA51D5B"/>
    <w:rsid w:val="3EA60BB5"/>
    <w:rsid w:val="3EB802B9"/>
    <w:rsid w:val="3EB9781E"/>
    <w:rsid w:val="3EBE2C10"/>
    <w:rsid w:val="3EED33AD"/>
    <w:rsid w:val="3EF123F8"/>
    <w:rsid w:val="3EFF0EDE"/>
    <w:rsid w:val="3EFF6E9C"/>
    <w:rsid w:val="3F141AF5"/>
    <w:rsid w:val="3F157023"/>
    <w:rsid w:val="3F186BC5"/>
    <w:rsid w:val="3F3B498A"/>
    <w:rsid w:val="3F3E1D27"/>
    <w:rsid w:val="3F554E0C"/>
    <w:rsid w:val="3F575052"/>
    <w:rsid w:val="3F681B24"/>
    <w:rsid w:val="3F6A56A4"/>
    <w:rsid w:val="3F6B0D0D"/>
    <w:rsid w:val="3F6D3958"/>
    <w:rsid w:val="3F8A7ECB"/>
    <w:rsid w:val="3F8E4AC8"/>
    <w:rsid w:val="3F927300"/>
    <w:rsid w:val="3F945F46"/>
    <w:rsid w:val="3F9F7406"/>
    <w:rsid w:val="3FA24878"/>
    <w:rsid w:val="3FB06AFF"/>
    <w:rsid w:val="3FB713C9"/>
    <w:rsid w:val="3FC90946"/>
    <w:rsid w:val="3FD52BF6"/>
    <w:rsid w:val="3FD961EE"/>
    <w:rsid w:val="3FE24C88"/>
    <w:rsid w:val="3FEB55D7"/>
    <w:rsid w:val="3FF13B95"/>
    <w:rsid w:val="3FF17877"/>
    <w:rsid w:val="4001600E"/>
    <w:rsid w:val="400A7707"/>
    <w:rsid w:val="401F5EA4"/>
    <w:rsid w:val="40357EBE"/>
    <w:rsid w:val="40521FA3"/>
    <w:rsid w:val="405A3877"/>
    <w:rsid w:val="405E5507"/>
    <w:rsid w:val="40604586"/>
    <w:rsid w:val="40637428"/>
    <w:rsid w:val="406C7FBF"/>
    <w:rsid w:val="408116BD"/>
    <w:rsid w:val="408165F8"/>
    <w:rsid w:val="40845F05"/>
    <w:rsid w:val="40873449"/>
    <w:rsid w:val="40A02371"/>
    <w:rsid w:val="40A030A3"/>
    <w:rsid w:val="40BB46B0"/>
    <w:rsid w:val="40DF74BD"/>
    <w:rsid w:val="40DF7759"/>
    <w:rsid w:val="40E07938"/>
    <w:rsid w:val="40E35997"/>
    <w:rsid w:val="40FD6180"/>
    <w:rsid w:val="41073925"/>
    <w:rsid w:val="410C5722"/>
    <w:rsid w:val="410E134C"/>
    <w:rsid w:val="41106A76"/>
    <w:rsid w:val="4113428A"/>
    <w:rsid w:val="41157327"/>
    <w:rsid w:val="411575E8"/>
    <w:rsid w:val="41204671"/>
    <w:rsid w:val="41243812"/>
    <w:rsid w:val="41272149"/>
    <w:rsid w:val="41370D73"/>
    <w:rsid w:val="414C2139"/>
    <w:rsid w:val="417F6034"/>
    <w:rsid w:val="41835C43"/>
    <w:rsid w:val="41A45EC6"/>
    <w:rsid w:val="41B877C2"/>
    <w:rsid w:val="41BD2134"/>
    <w:rsid w:val="41C43DD3"/>
    <w:rsid w:val="41C9546D"/>
    <w:rsid w:val="41DD4B51"/>
    <w:rsid w:val="41E122F5"/>
    <w:rsid w:val="41FA1170"/>
    <w:rsid w:val="41FC4E24"/>
    <w:rsid w:val="42112BF9"/>
    <w:rsid w:val="42142E10"/>
    <w:rsid w:val="42163DDB"/>
    <w:rsid w:val="422663C2"/>
    <w:rsid w:val="42361C53"/>
    <w:rsid w:val="42425D92"/>
    <w:rsid w:val="4244354A"/>
    <w:rsid w:val="42493765"/>
    <w:rsid w:val="426956F7"/>
    <w:rsid w:val="426B5A54"/>
    <w:rsid w:val="429357C4"/>
    <w:rsid w:val="42945771"/>
    <w:rsid w:val="42A63606"/>
    <w:rsid w:val="42AF39D7"/>
    <w:rsid w:val="42B54D30"/>
    <w:rsid w:val="42B64D74"/>
    <w:rsid w:val="42BC0978"/>
    <w:rsid w:val="42CB6253"/>
    <w:rsid w:val="42F72953"/>
    <w:rsid w:val="42F8015F"/>
    <w:rsid w:val="42FE5EF5"/>
    <w:rsid w:val="43054715"/>
    <w:rsid w:val="43175D85"/>
    <w:rsid w:val="43307BCD"/>
    <w:rsid w:val="433260F8"/>
    <w:rsid w:val="433E108E"/>
    <w:rsid w:val="43424603"/>
    <w:rsid w:val="434E114C"/>
    <w:rsid w:val="43892745"/>
    <w:rsid w:val="4390550D"/>
    <w:rsid w:val="43B93659"/>
    <w:rsid w:val="43BA5B08"/>
    <w:rsid w:val="43C25603"/>
    <w:rsid w:val="43D10379"/>
    <w:rsid w:val="43DB4B6A"/>
    <w:rsid w:val="43E9188B"/>
    <w:rsid w:val="43EE4C31"/>
    <w:rsid w:val="440114D2"/>
    <w:rsid w:val="44074DEB"/>
    <w:rsid w:val="440C70E8"/>
    <w:rsid w:val="44115748"/>
    <w:rsid w:val="441F518E"/>
    <w:rsid w:val="44285E4F"/>
    <w:rsid w:val="442E0EBB"/>
    <w:rsid w:val="44330193"/>
    <w:rsid w:val="444B3462"/>
    <w:rsid w:val="44545251"/>
    <w:rsid w:val="445E0E0D"/>
    <w:rsid w:val="445F01C1"/>
    <w:rsid w:val="44626537"/>
    <w:rsid w:val="44662577"/>
    <w:rsid w:val="447609A0"/>
    <w:rsid w:val="447C7AC1"/>
    <w:rsid w:val="44986C0C"/>
    <w:rsid w:val="44A53418"/>
    <w:rsid w:val="44B06709"/>
    <w:rsid w:val="44BD2B4E"/>
    <w:rsid w:val="44C77CF9"/>
    <w:rsid w:val="44C91FE5"/>
    <w:rsid w:val="44D545E3"/>
    <w:rsid w:val="44D70A5C"/>
    <w:rsid w:val="44E62ECC"/>
    <w:rsid w:val="44F44D9E"/>
    <w:rsid w:val="450B518B"/>
    <w:rsid w:val="450F5D61"/>
    <w:rsid w:val="45143BF0"/>
    <w:rsid w:val="451771C0"/>
    <w:rsid w:val="45226316"/>
    <w:rsid w:val="45274787"/>
    <w:rsid w:val="453355C2"/>
    <w:rsid w:val="4535451D"/>
    <w:rsid w:val="453F6678"/>
    <w:rsid w:val="454051C6"/>
    <w:rsid w:val="45550EFE"/>
    <w:rsid w:val="45552455"/>
    <w:rsid w:val="45640173"/>
    <w:rsid w:val="45733B57"/>
    <w:rsid w:val="45865D6D"/>
    <w:rsid w:val="45884AF1"/>
    <w:rsid w:val="45974BA7"/>
    <w:rsid w:val="45992A37"/>
    <w:rsid w:val="459C0E06"/>
    <w:rsid w:val="459E2A30"/>
    <w:rsid w:val="45A552D4"/>
    <w:rsid w:val="45AE2147"/>
    <w:rsid w:val="45BF6295"/>
    <w:rsid w:val="45CD38E9"/>
    <w:rsid w:val="45E80301"/>
    <w:rsid w:val="45E91DA5"/>
    <w:rsid w:val="45EE4CCD"/>
    <w:rsid w:val="46085A22"/>
    <w:rsid w:val="460C21DB"/>
    <w:rsid w:val="460C5A48"/>
    <w:rsid w:val="461D12D3"/>
    <w:rsid w:val="463B2D2E"/>
    <w:rsid w:val="463D0E81"/>
    <w:rsid w:val="464C3A41"/>
    <w:rsid w:val="464F6E7B"/>
    <w:rsid w:val="465C2265"/>
    <w:rsid w:val="465E664E"/>
    <w:rsid w:val="466104F8"/>
    <w:rsid w:val="466516C8"/>
    <w:rsid w:val="4666402A"/>
    <w:rsid w:val="466D71B0"/>
    <w:rsid w:val="46772A4E"/>
    <w:rsid w:val="46816AAE"/>
    <w:rsid w:val="468B555A"/>
    <w:rsid w:val="468F491E"/>
    <w:rsid w:val="46974429"/>
    <w:rsid w:val="46990EF6"/>
    <w:rsid w:val="46A00DF7"/>
    <w:rsid w:val="46A54E9B"/>
    <w:rsid w:val="46B41592"/>
    <w:rsid w:val="46B86F35"/>
    <w:rsid w:val="46B900E8"/>
    <w:rsid w:val="46C91005"/>
    <w:rsid w:val="46D92B22"/>
    <w:rsid w:val="46F17533"/>
    <w:rsid w:val="470807F3"/>
    <w:rsid w:val="47085B22"/>
    <w:rsid w:val="47134A1A"/>
    <w:rsid w:val="4731708A"/>
    <w:rsid w:val="47335858"/>
    <w:rsid w:val="4738271B"/>
    <w:rsid w:val="473C2812"/>
    <w:rsid w:val="47473EE1"/>
    <w:rsid w:val="475A155D"/>
    <w:rsid w:val="476245BC"/>
    <w:rsid w:val="47662D12"/>
    <w:rsid w:val="47712D49"/>
    <w:rsid w:val="477627B9"/>
    <w:rsid w:val="477C7D15"/>
    <w:rsid w:val="47844548"/>
    <w:rsid w:val="47856EC8"/>
    <w:rsid w:val="478E474F"/>
    <w:rsid w:val="479A651F"/>
    <w:rsid w:val="479E106A"/>
    <w:rsid w:val="479F6648"/>
    <w:rsid w:val="47A62451"/>
    <w:rsid w:val="47B45A9B"/>
    <w:rsid w:val="47B87FE8"/>
    <w:rsid w:val="47C963E9"/>
    <w:rsid w:val="47F016C3"/>
    <w:rsid w:val="47FF5025"/>
    <w:rsid w:val="4817223B"/>
    <w:rsid w:val="483310EE"/>
    <w:rsid w:val="484511D1"/>
    <w:rsid w:val="484946EF"/>
    <w:rsid w:val="484B0E97"/>
    <w:rsid w:val="4852437D"/>
    <w:rsid w:val="48617FB5"/>
    <w:rsid w:val="48627FA3"/>
    <w:rsid w:val="48661588"/>
    <w:rsid w:val="486B3571"/>
    <w:rsid w:val="486E32E4"/>
    <w:rsid w:val="487468AC"/>
    <w:rsid w:val="487B7718"/>
    <w:rsid w:val="488E5FE5"/>
    <w:rsid w:val="489A2AD0"/>
    <w:rsid w:val="489E6024"/>
    <w:rsid w:val="489E6639"/>
    <w:rsid w:val="48CA5C53"/>
    <w:rsid w:val="48CF1D75"/>
    <w:rsid w:val="48D41E34"/>
    <w:rsid w:val="48D755EA"/>
    <w:rsid w:val="48EA1E88"/>
    <w:rsid w:val="490A1631"/>
    <w:rsid w:val="491231CF"/>
    <w:rsid w:val="4919525B"/>
    <w:rsid w:val="4927157A"/>
    <w:rsid w:val="49297F5E"/>
    <w:rsid w:val="492C3873"/>
    <w:rsid w:val="4930173E"/>
    <w:rsid w:val="493473A2"/>
    <w:rsid w:val="49373509"/>
    <w:rsid w:val="494B4F6C"/>
    <w:rsid w:val="494C373E"/>
    <w:rsid w:val="494E24E5"/>
    <w:rsid w:val="494E34CB"/>
    <w:rsid w:val="495D26B7"/>
    <w:rsid w:val="49673980"/>
    <w:rsid w:val="497642EF"/>
    <w:rsid w:val="498A16A0"/>
    <w:rsid w:val="498B2FE8"/>
    <w:rsid w:val="498E7350"/>
    <w:rsid w:val="499449FC"/>
    <w:rsid w:val="49AB0DB6"/>
    <w:rsid w:val="49AD267F"/>
    <w:rsid w:val="49B00CA4"/>
    <w:rsid w:val="49B04E79"/>
    <w:rsid w:val="49BB3842"/>
    <w:rsid w:val="49BD520E"/>
    <w:rsid w:val="49C2169D"/>
    <w:rsid w:val="49E64129"/>
    <w:rsid w:val="4A0060B5"/>
    <w:rsid w:val="4A0241AD"/>
    <w:rsid w:val="4A1328A4"/>
    <w:rsid w:val="4A190777"/>
    <w:rsid w:val="4A2F51A7"/>
    <w:rsid w:val="4A351554"/>
    <w:rsid w:val="4A3D4485"/>
    <w:rsid w:val="4A435512"/>
    <w:rsid w:val="4A4D2975"/>
    <w:rsid w:val="4A531007"/>
    <w:rsid w:val="4A5D4957"/>
    <w:rsid w:val="4A6872FE"/>
    <w:rsid w:val="4A6E01AA"/>
    <w:rsid w:val="4A6F670E"/>
    <w:rsid w:val="4A715060"/>
    <w:rsid w:val="4A774018"/>
    <w:rsid w:val="4A7A31EE"/>
    <w:rsid w:val="4A7B3933"/>
    <w:rsid w:val="4A806DEB"/>
    <w:rsid w:val="4A823540"/>
    <w:rsid w:val="4A877EA2"/>
    <w:rsid w:val="4A894125"/>
    <w:rsid w:val="4A8A14ED"/>
    <w:rsid w:val="4A8B2AA3"/>
    <w:rsid w:val="4A9455F7"/>
    <w:rsid w:val="4A962D1E"/>
    <w:rsid w:val="4ACB54D8"/>
    <w:rsid w:val="4AD62766"/>
    <w:rsid w:val="4AD90774"/>
    <w:rsid w:val="4AF5176F"/>
    <w:rsid w:val="4AF97394"/>
    <w:rsid w:val="4AFB4D49"/>
    <w:rsid w:val="4AFD1FFB"/>
    <w:rsid w:val="4B176120"/>
    <w:rsid w:val="4B1808C3"/>
    <w:rsid w:val="4B305ABD"/>
    <w:rsid w:val="4B3B73D9"/>
    <w:rsid w:val="4B3E058F"/>
    <w:rsid w:val="4B4830D1"/>
    <w:rsid w:val="4B5917C7"/>
    <w:rsid w:val="4B5F26A2"/>
    <w:rsid w:val="4B691FB3"/>
    <w:rsid w:val="4B765EEE"/>
    <w:rsid w:val="4B7744DF"/>
    <w:rsid w:val="4B7D5893"/>
    <w:rsid w:val="4B863A64"/>
    <w:rsid w:val="4BA358CF"/>
    <w:rsid w:val="4BA6225C"/>
    <w:rsid w:val="4BA7365A"/>
    <w:rsid w:val="4BAD44B6"/>
    <w:rsid w:val="4BB23193"/>
    <w:rsid w:val="4BBC7B0E"/>
    <w:rsid w:val="4BCE3F67"/>
    <w:rsid w:val="4BE80A74"/>
    <w:rsid w:val="4BEA14D5"/>
    <w:rsid w:val="4BFE6C3E"/>
    <w:rsid w:val="4C0825A6"/>
    <w:rsid w:val="4C1B39B7"/>
    <w:rsid w:val="4C264A9E"/>
    <w:rsid w:val="4C2D70D7"/>
    <w:rsid w:val="4C3F5DC1"/>
    <w:rsid w:val="4C597973"/>
    <w:rsid w:val="4C624AB8"/>
    <w:rsid w:val="4C7334B2"/>
    <w:rsid w:val="4C8A6137"/>
    <w:rsid w:val="4C8C0D4D"/>
    <w:rsid w:val="4C910E3E"/>
    <w:rsid w:val="4C9759A6"/>
    <w:rsid w:val="4CA05443"/>
    <w:rsid w:val="4CA26FEF"/>
    <w:rsid w:val="4CA75071"/>
    <w:rsid w:val="4CAC5133"/>
    <w:rsid w:val="4CAF0AD6"/>
    <w:rsid w:val="4CB26760"/>
    <w:rsid w:val="4CB33956"/>
    <w:rsid w:val="4CCF5C2B"/>
    <w:rsid w:val="4CD0680E"/>
    <w:rsid w:val="4CE82C70"/>
    <w:rsid w:val="4CF039B3"/>
    <w:rsid w:val="4D082899"/>
    <w:rsid w:val="4D0F7FFF"/>
    <w:rsid w:val="4D302A28"/>
    <w:rsid w:val="4D581BFE"/>
    <w:rsid w:val="4D663728"/>
    <w:rsid w:val="4D6D00E0"/>
    <w:rsid w:val="4D6F3510"/>
    <w:rsid w:val="4D7378AF"/>
    <w:rsid w:val="4D7B11D7"/>
    <w:rsid w:val="4D913004"/>
    <w:rsid w:val="4D9E38D4"/>
    <w:rsid w:val="4DA17051"/>
    <w:rsid w:val="4DB00C02"/>
    <w:rsid w:val="4DB50726"/>
    <w:rsid w:val="4DD44156"/>
    <w:rsid w:val="4DDD6A63"/>
    <w:rsid w:val="4DDF0320"/>
    <w:rsid w:val="4DE94035"/>
    <w:rsid w:val="4DEB34B6"/>
    <w:rsid w:val="4DF17B7D"/>
    <w:rsid w:val="4DF923F1"/>
    <w:rsid w:val="4E0530F9"/>
    <w:rsid w:val="4E0E47F9"/>
    <w:rsid w:val="4E0F3C7C"/>
    <w:rsid w:val="4E144CBA"/>
    <w:rsid w:val="4E1710BC"/>
    <w:rsid w:val="4E22300C"/>
    <w:rsid w:val="4E233CBD"/>
    <w:rsid w:val="4E26483F"/>
    <w:rsid w:val="4E2B2F21"/>
    <w:rsid w:val="4E4B0D3F"/>
    <w:rsid w:val="4E522E58"/>
    <w:rsid w:val="4E561B61"/>
    <w:rsid w:val="4E56475F"/>
    <w:rsid w:val="4E673847"/>
    <w:rsid w:val="4E754A36"/>
    <w:rsid w:val="4E7D2943"/>
    <w:rsid w:val="4E8F13CB"/>
    <w:rsid w:val="4E9062BB"/>
    <w:rsid w:val="4E916821"/>
    <w:rsid w:val="4EA930DC"/>
    <w:rsid w:val="4EB33585"/>
    <w:rsid w:val="4EBD6E85"/>
    <w:rsid w:val="4EC2727A"/>
    <w:rsid w:val="4EC846B4"/>
    <w:rsid w:val="4ECA76D8"/>
    <w:rsid w:val="4ECB480D"/>
    <w:rsid w:val="4ED27459"/>
    <w:rsid w:val="4ED763DE"/>
    <w:rsid w:val="4EF5146C"/>
    <w:rsid w:val="4EFC77F5"/>
    <w:rsid w:val="4F0D0622"/>
    <w:rsid w:val="4F140D4F"/>
    <w:rsid w:val="4F1F41D0"/>
    <w:rsid w:val="4F2156C2"/>
    <w:rsid w:val="4F294BC8"/>
    <w:rsid w:val="4F2E598B"/>
    <w:rsid w:val="4F330356"/>
    <w:rsid w:val="4F333DFD"/>
    <w:rsid w:val="4F384DE5"/>
    <w:rsid w:val="4F393022"/>
    <w:rsid w:val="4F3F0362"/>
    <w:rsid w:val="4F46498F"/>
    <w:rsid w:val="4F6F6D45"/>
    <w:rsid w:val="4F70192A"/>
    <w:rsid w:val="4F85532F"/>
    <w:rsid w:val="4F8A7933"/>
    <w:rsid w:val="4F8F6AAA"/>
    <w:rsid w:val="4F922FC7"/>
    <w:rsid w:val="4F945A5F"/>
    <w:rsid w:val="4FA64131"/>
    <w:rsid w:val="4FAA71C5"/>
    <w:rsid w:val="4FB327CB"/>
    <w:rsid w:val="4FB433D9"/>
    <w:rsid w:val="4FBD32F6"/>
    <w:rsid w:val="4FC7239A"/>
    <w:rsid w:val="4FCD50C0"/>
    <w:rsid w:val="4FDF18AF"/>
    <w:rsid w:val="4FED56CA"/>
    <w:rsid w:val="50033BF5"/>
    <w:rsid w:val="5004777E"/>
    <w:rsid w:val="50047BDD"/>
    <w:rsid w:val="50124B06"/>
    <w:rsid w:val="50272CB5"/>
    <w:rsid w:val="50272DB4"/>
    <w:rsid w:val="502B5A01"/>
    <w:rsid w:val="50364209"/>
    <w:rsid w:val="503721CB"/>
    <w:rsid w:val="5046247C"/>
    <w:rsid w:val="50524537"/>
    <w:rsid w:val="50577F12"/>
    <w:rsid w:val="50601787"/>
    <w:rsid w:val="506B0178"/>
    <w:rsid w:val="50716B26"/>
    <w:rsid w:val="50730C97"/>
    <w:rsid w:val="50777696"/>
    <w:rsid w:val="50821E2F"/>
    <w:rsid w:val="508B6949"/>
    <w:rsid w:val="50A15CA4"/>
    <w:rsid w:val="50AD6882"/>
    <w:rsid w:val="50B5646E"/>
    <w:rsid w:val="50B6115B"/>
    <w:rsid w:val="50B73537"/>
    <w:rsid w:val="50B96ADA"/>
    <w:rsid w:val="50BC5DB7"/>
    <w:rsid w:val="50C25E23"/>
    <w:rsid w:val="50DB55EB"/>
    <w:rsid w:val="50FE779E"/>
    <w:rsid w:val="50FF3BD0"/>
    <w:rsid w:val="51035573"/>
    <w:rsid w:val="51083B7D"/>
    <w:rsid w:val="51193F41"/>
    <w:rsid w:val="51372FC0"/>
    <w:rsid w:val="513743E9"/>
    <w:rsid w:val="513909DB"/>
    <w:rsid w:val="51470636"/>
    <w:rsid w:val="515147DB"/>
    <w:rsid w:val="516627BF"/>
    <w:rsid w:val="51685646"/>
    <w:rsid w:val="51743503"/>
    <w:rsid w:val="517C4F66"/>
    <w:rsid w:val="51841578"/>
    <w:rsid w:val="518B7E50"/>
    <w:rsid w:val="51A66D13"/>
    <w:rsid w:val="51AD5CF0"/>
    <w:rsid w:val="51B50C4E"/>
    <w:rsid w:val="51BB58E5"/>
    <w:rsid w:val="51BF4526"/>
    <w:rsid w:val="51C54D55"/>
    <w:rsid w:val="51C83AE2"/>
    <w:rsid w:val="51D60729"/>
    <w:rsid w:val="51D67126"/>
    <w:rsid w:val="51D75740"/>
    <w:rsid w:val="51DC41AC"/>
    <w:rsid w:val="51E75A9E"/>
    <w:rsid w:val="51EF64E6"/>
    <w:rsid w:val="51FD6829"/>
    <w:rsid w:val="51FE7FC4"/>
    <w:rsid w:val="52092683"/>
    <w:rsid w:val="520F28FC"/>
    <w:rsid w:val="52137F3B"/>
    <w:rsid w:val="521A4ED5"/>
    <w:rsid w:val="522A4C1E"/>
    <w:rsid w:val="523C7B27"/>
    <w:rsid w:val="523F5A7D"/>
    <w:rsid w:val="524068DE"/>
    <w:rsid w:val="524230CD"/>
    <w:rsid w:val="52485249"/>
    <w:rsid w:val="525361C4"/>
    <w:rsid w:val="525D6349"/>
    <w:rsid w:val="527A152C"/>
    <w:rsid w:val="527B030C"/>
    <w:rsid w:val="52841EFC"/>
    <w:rsid w:val="5284209E"/>
    <w:rsid w:val="52842419"/>
    <w:rsid w:val="529158AD"/>
    <w:rsid w:val="52AB7719"/>
    <w:rsid w:val="52B8384C"/>
    <w:rsid w:val="52BE3C66"/>
    <w:rsid w:val="52BF4C54"/>
    <w:rsid w:val="52C77243"/>
    <w:rsid w:val="52E52400"/>
    <w:rsid w:val="52E978E4"/>
    <w:rsid w:val="52EE587C"/>
    <w:rsid w:val="52FD5B37"/>
    <w:rsid w:val="53026C25"/>
    <w:rsid w:val="53084B97"/>
    <w:rsid w:val="53171881"/>
    <w:rsid w:val="531739E4"/>
    <w:rsid w:val="532A6089"/>
    <w:rsid w:val="532A7821"/>
    <w:rsid w:val="53373C0D"/>
    <w:rsid w:val="53451C0B"/>
    <w:rsid w:val="53466A22"/>
    <w:rsid w:val="534B236B"/>
    <w:rsid w:val="534D66DF"/>
    <w:rsid w:val="53510BF6"/>
    <w:rsid w:val="535F5E5A"/>
    <w:rsid w:val="537367BF"/>
    <w:rsid w:val="53767092"/>
    <w:rsid w:val="537B13AF"/>
    <w:rsid w:val="53850799"/>
    <w:rsid w:val="538E54C5"/>
    <w:rsid w:val="53A6786F"/>
    <w:rsid w:val="53A829D3"/>
    <w:rsid w:val="53A924A7"/>
    <w:rsid w:val="53AA04BD"/>
    <w:rsid w:val="53AC7BFF"/>
    <w:rsid w:val="53B86C2E"/>
    <w:rsid w:val="53BB3F28"/>
    <w:rsid w:val="53D641E7"/>
    <w:rsid w:val="53D8750A"/>
    <w:rsid w:val="53DE2898"/>
    <w:rsid w:val="53EA57AF"/>
    <w:rsid w:val="53EE6BD8"/>
    <w:rsid w:val="53F05BA0"/>
    <w:rsid w:val="53F0790A"/>
    <w:rsid w:val="53F97D0D"/>
    <w:rsid w:val="53F97ECF"/>
    <w:rsid w:val="54032566"/>
    <w:rsid w:val="54140071"/>
    <w:rsid w:val="54325BCE"/>
    <w:rsid w:val="543C5FA9"/>
    <w:rsid w:val="543D3DBC"/>
    <w:rsid w:val="54451DC5"/>
    <w:rsid w:val="54471D0C"/>
    <w:rsid w:val="544C2F2E"/>
    <w:rsid w:val="544D241F"/>
    <w:rsid w:val="545864DF"/>
    <w:rsid w:val="54774E68"/>
    <w:rsid w:val="5479258A"/>
    <w:rsid w:val="547C3DAA"/>
    <w:rsid w:val="54816905"/>
    <w:rsid w:val="54965DA1"/>
    <w:rsid w:val="54A20864"/>
    <w:rsid w:val="54A66F12"/>
    <w:rsid w:val="54A84741"/>
    <w:rsid w:val="54C56CF3"/>
    <w:rsid w:val="54D62872"/>
    <w:rsid w:val="54DB1E69"/>
    <w:rsid w:val="54E03F9E"/>
    <w:rsid w:val="54F71FA9"/>
    <w:rsid w:val="550403F2"/>
    <w:rsid w:val="550F3902"/>
    <w:rsid w:val="55164138"/>
    <w:rsid w:val="552249BA"/>
    <w:rsid w:val="552C2D36"/>
    <w:rsid w:val="55324D8E"/>
    <w:rsid w:val="5541413E"/>
    <w:rsid w:val="554B32CF"/>
    <w:rsid w:val="55526DBE"/>
    <w:rsid w:val="555D3A59"/>
    <w:rsid w:val="555E385F"/>
    <w:rsid w:val="555F0D40"/>
    <w:rsid w:val="556562B2"/>
    <w:rsid w:val="55755E71"/>
    <w:rsid w:val="55774F77"/>
    <w:rsid w:val="557F7205"/>
    <w:rsid w:val="5587189C"/>
    <w:rsid w:val="55882BA1"/>
    <w:rsid w:val="5594167A"/>
    <w:rsid w:val="55962239"/>
    <w:rsid w:val="55A17F06"/>
    <w:rsid w:val="55A560D9"/>
    <w:rsid w:val="55B77AC1"/>
    <w:rsid w:val="55CF5E14"/>
    <w:rsid w:val="55DC0BFF"/>
    <w:rsid w:val="55E118DA"/>
    <w:rsid w:val="55EB3173"/>
    <w:rsid w:val="55EC4D3D"/>
    <w:rsid w:val="55F547A0"/>
    <w:rsid w:val="56041784"/>
    <w:rsid w:val="56120A05"/>
    <w:rsid w:val="56190E73"/>
    <w:rsid w:val="565D1A23"/>
    <w:rsid w:val="566334A1"/>
    <w:rsid w:val="56650A8B"/>
    <w:rsid w:val="566E307D"/>
    <w:rsid w:val="56705436"/>
    <w:rsid w:val="5682523E"/>
    <w:rsid w:val="56875A4A"/>
    <w:rsid w:val="56916380"/>
    <w:rsid w:val="56950EDD"/>
    <w:rsid w:val="569D5D40"/>
    <w:rsid w:val="56A07FB4"/>
    <w:rsid w:val="56AF05A8"/>
    <w:rsid w:val="56C04EA5"/>
    <w:rsid w:val="56C1625A"/>
    <w:rsid w:val="56E204F1"/>
    <w:rsid w:val="56EA3A89"/>
    <w:rsid w:val="57050361"/>
    <w:rsid w:val="570E778B"/>
    <w:rsid w:val="570F51A6"/>
    <w:rsid w:val="571576A7"/>
    <w:rsid w:val="571E4DA9"/>
    <w:rsid w:val="572368FC"/>
    <w:rsid w:val="57297530"/>
    <w:rsid w:val="572F66B6"/>
    <w:rsid w:val="5735150B"/>
    <w:rsid w:val="57373D20"/>
    <w:rsid w:val="57581894"/>
    <w:rsid w:val="57692D5C"/>
    <w:rsid w:val="57697F67"/>
    <w:rsid w:val="576E7CAA"/>
    <w:rsid w:val="57713FA5"/>
    <w:rsid w:val="57982163"/>
    <w:rsid w:val="579E0146"/>
    <w:rsid w:val="57A47EB3"/>
    <w:rsid w:val="57C46900"/>
    <w:rsid w:val="57C957E1"/>
    <w:rsid w:val="57CD2C2A"/>
    <w:rsid w:val="57D03FB3"/>
    <w:rsid w:val="57D97D5B"/>
    <w:rsid w:val="57E856BD"/>
    <w:rsid w:val="57F423BF"/>
    <w:rsid w:val="580D4CD7"/>
    <w:rsid w:val="581E3A91"/>
    <w:rsid w:val="582111E3"/>
    <w:rsid w:val="58224BE0"/>
    <w:rsid w:val="58391CBD"/>
    <w:rsid w:val="584C1C46"/>
    <w:rsid w:val="58581BE5"/>
    <w:rsid w:val="585D5BCD"/>
    <w:rsid w:val="58722317"/>
    <w:rsid w:val="5882787E"/>
    <w:rsid w:val="588B4F37"/>
    <w:rsid w:val="58AB1B43"/>
    <w:rsid w:val="58B0748E"/>
    <w:rsid w:val="58B431DD"/>
    <w:rsid w:val="58CB5A56"/>
    <w:rsid w:val="58EF442B"/>
    <w:rsid w:val="58F13605"/>
    <w:rsid w:val="58FA03F0"/>
    <w:rsid w:val="590A12F9"/>
    <w:rsid w:val="59161DA7"/>
    <w:rsid w:val="59201C68"/>
    <w:rsid w:val="59205EC8"/>
    <w:rsid w:val="59301A08"/>
    <w:rsid w:val="5934632E"/>
    <w:rsid w:val="594F767A"/>
    <w:rsid w:val="595327CB"/>
    <w:rsid w:val="59595637"/>
    <w:rsid w:val="5967728E"/>
    <w:rsid w:val="59697B7B"/>
    <w:rsid w:val="59724BBC"/>
    <w:rsid w:val="59736D4D"/>
    <w:rsid w:val="597661DC"/>
    <w:rsid w:val="598561CD"/>
    <w:rsid w:val="5986354B"/>
    <w:rsid w:val="59994E31"/>
    <w:rsid w:val="59A039AB"/>
    <w:rsid w:val="59A43D1A"/>
    <w:rsid w:val="59A65EE1"/>
    <w:rsid w:val="59B74B95"/>
    <w:rsid w:val="59C67E1E"/>
    <w:rsid w:val="59D335E0"/>
    <w:rsid w:val="59D36326"/>
    <w:rsid w:val="59D8604E"/>
    <w:rsid w:val="59E24A7D"/>
    <w:rsid w:val="59E50C3F"/>
    <w:rsid w:val="59E67193"/>
    <w:rsid w:val="59E77658"/>
    <w:rsid w:val="59EA6FBD"/>
    <w:rsid w:val="59F3540E"/>
    <w:rsid w:val="59F53880"/>
    <w:rsid w:val="5A002E99"/>
    <w:rsid w:val="5A040548"/>
    <w:rsid w:val="5A104C6E"/>
    <w:rsid w:val="5A182792"/>
    <w:rsid w:val="5A185F74"/>
    <w:rsid w:val="5A1A200F"/>
    <w:rsid w:val="5A1C33A1"/>
    <w:rsid w:val="5A2D1DDE"/>
    <w:rsid w:val="5A2E5545"/>
    <w:rsid w:val="5A3D0642"/>
    <w:rsid w:val="5A4161E8"/>
    <w:rsid w:val="5A44398C"/>
    <w:rsid w:val="5A48073F"/>
    <w:rsid w:val="5A4F1D25"/>
    <w:rsid w:val="5A7649AF"/>
    <w:rsid w:val="5A850E31"/>
    <w:rsid w:val="5A8918E0"/>
    <w:rsid w:val="5A9E136E"/>
    <w:rsid w:val="5AA01180"/>
    <w:rsid w:val="5AA579AB"/>
    <w:rsid w:val="5AAB482C"/>
    <w:rsid w:val="5AB154B8"/>
    <w:rsid w:val="5ABD1800"/>
    <w:rsid w:val="5AC1620A"/>
    <w:rsid w:val="5AC82594"/>
    <w:rsid w:val="5AC96392"/>
    <w:rsid w:val="5ACC5AFC"/>
    <w:rsid w:val="5AE37D99"/>
    <w:rsid w:val="5AFA5668"/>
    <w:rsid w:val="5AFE41E7"/>
    <w:rsid w:val="5B191574"/>
    <w:rsid w:val="5B2A49AF"/>
    <w:rsid w:val="5B2E5F6E"/>
    <w:rsid w:val="5B4A6866"/>
    <w:rsid w:val="5B4E0C4E"/>
    <w:rsid w:val="5B5B3FFB"/>
    <w:rsid w:val="5B6942DB"/>
    <w:rsid w:val="5BA71400"/>
    <w:rsid w:val="5BA9503E"/>
    <w:rsid w:val="5BCE52B6"/>
    <w:rsid w:val="5BD42BFA"/>
    <w:rsid w:val="5BD927A5"/>
    <w:rsid w:val="5BF70927"/>
    <w:rsid w:val="5C154118"/>
    <w:rsid w:val="5C156FB5"/>
    <w:rsid w:val="5C165AD9"/>
    <w:rsid w:val="5C3F1227"/>
    <w:rsid w:val="5C4C7B56"/>
    <w:rsid w:val="5C533781"/>
    <w:rsid w:val="5C616FB7"/>
    <w:rsid w:val="5C6368D5"/>
    <w:rsid w:val="5C7044D9"/>
    <w:rsid w:val="5C740979"/>
    <w:rsid w:val="5C7B3A71"/>
    <w:rsid w:val="5C88174F"/>
    <w:rsid w:val="5C8A4DBB"/>
    <w:rsid w:val="5C971D1D"/>
    <w:rsid w:val="5CA2064C"/>
    <w:rsid w:val="5CA96A12"/>
    <w:rsid w:val="5CB248C4"/>
    <w:rsid w:val="5CB30FFF"/>
    <w:rsid w:val="5CB92B83"/>
    <w:rsid w:val="5CCC0FB3"/>
    <w:rsid w:val="5CCD4AEE"/>
    <w:rsid w:val="5CCF189F"/>
    <w:rsid w:val="5CD223C2"/>
    <w:rsid w:val="5CD86803"/>
    <w:rsid w:val="5CDA47DD"/>
    <w:rsid w:val="5CDC63E2"/>
    <w:rsid w:val="5CE93552"/>
    <w:rsid w:val="5D003A85"/>
    <w:rsid w:val="5D032608"/>
    <w:rsid w:val="5D413861"/>
    <w:rsid w:val="5D497625"/>
    <w:rsid w:val="5D501366"/>
    <w:rsid w:val="5D634345"/>
    <w:rsid w:val="5D7242CC"/>
    <w:rsid w:val="5D747BF4"/>
    <w:rsid w:val="5D82678D"/>
    <w:rsid w:val="5D9C1B63"/>
    <w:rsid w:val="5DA204F0"/>
    <w:rsid w:val="5DA43F13"/>
    <w:rsid w:val="5DA5173A"/>
    <w:rsid w:val="5DAF35C2"/>
    <w:rsid w:val="5DC33C8A"/>
    <w:rsid w:val="5DC37478"/>
    <w:rsid w:val="5DC708AA"/>
    <w:rsid w:val="5DCF605B"/>
    <w:rsid w:val="5DD40990"/>
    <w:rsid w:val="5DDB79AE"/>
    <w:rsid w:val="5DDC5027"/>
    <w:rsid w:val="5DE77565"/>
    <w:rsid w:val="5DEE492C"/>
    <w:rsid w:val="5DEE603F"/>
    <w:rsid w:val="5E111794"/>
    <w:rsid w:val="5E122A4E"/>
    <w:rsid w:val="5E150F9C"/>
    <w:rsid w:val="5E1C40AA"/>
    <w:rsid w:val="5E213741"/>
    <w:rsid w:val="5E215EC6"/>
    <w:rsid w:val="5E2A4595"/>
    <w:rsid w:val="5E3A58A3"/>
    <w:rsid w:val="5E546078"/>
    <w:rsid w:val="5E5E200F"/>
    <w:rsid w:val="5E61137A"/>
    <w:rsid w:val="5E652E76"/>
    <w:rsid w:val="5E743A4B"/>
    <w:rsid w:val="5E751927"/>
    <w:rsid w:val="5E833810"/>
    <w:rsid w:val="5E9A2EFA"/>
    <w:rsid w:val="5EA01E24"/>
    <w:rsid w:val="5EA345C6"/>
    <w:rsid w:val="5EAA49AC"/>
    <w:rsid w:val="5EAD0E11"/>
    <w:rsid w:val="5EB533F6"/>
    <w:rsid w:val="5EC31544"/>
    <w:rsid w:val="5ECE0156"/>
    <w:rsid w:val="5ED125D7"/>
    <w:rsid w:val="5EE006B7"/>
    <w:rsid w:val="5EE4624A"/>
    <w:rsid w:val="5EFD3E68"/>
    <w:rsid w:val="5F104580"/>
    <w:rsid w:val="5F16439E"/>
    <w:rsid w:val="5F19526B"/>
    <w:rsid w:val="5F3A0175"/>
    <w:rsid w:val="5F41251F"/>
    <w:rsid w:val="5F435F00"/>
    <w:rsid w:val="5F4D6456"/>
    <w:rsid w:val="5F5F1BDE"/>
    <w:rsid w:val="5F881CEC"/>
    <w:rsid w:val="5F9A493F"/>
    <w:rsid w:val="5F9C6D87"/>
    <w:rsid w:val="5F9D691B"/>
    <w:rsid w:val="5FAB700D"/>
    <w:rsid w:val="5FAD57C8"/>
    <w:rsid w:val="5FB449B0"/>
    <w:rsid w:val="5FC31CEC"/>
    <w:rsid w:val="5FC815D1"/>
    <w:rsid w:val="5FE01DAB"/>
    <w:rsid w:val="5FEC3472"/>
    <w:rsid w:val="5FF51287"/>
    <w:rsid w:val="60112A39"/>
    <w:rsid w:val="60281A0F"/>
    <w:rsid w:val="60375AB7"/>
    <w:rsid w:val="60384B37"/>
    <w:rsid w:val="603B784F"/>
    <w:rsid w:val="603F7691"/>
    <w:rsid w:val="603F78FA"/>
    <w:rsid w:val="60436420"/>
    <w:rsid w:val="60617618"/>
    <w:rsid w:val="60784A22"/>
    <w:rsid w:val="60CF2EFE"/>
    <w:rsid w:val="60E906F7"/>
    <w:rsid w:val="60FF5ED2"/>
    <w:rsid w:val="61024A97"/>
    <w:rsid w:val="612D1149"/>
    <w:rsid w:val="613F03C0"/>
    <w:rsid w:val="614C0FAE"/>
    <w:rsid w:val="616B2806"/>
    <w:rsid w:val="618F0E78"/>
    <w:rsid w:val="61A326EC"/>
    <w:rsid w:val="61BA32A5"/>
    <w:rsid w:val="61C0519D"/>
    <w:rsid w:val="61C14975"/>
    <w:rsid w:val="61C73F9A"/>
    <w:rsid w:val="61F6298C"/>
    <w:rsid w:val="61F933EB"/>
    <w:rsid w:val="620F3614"/>
    <w:rsid w:val="62123E24"/>
    <w:rsid w:val="62151EB5"/>
    <w:rsid w:val="62450989"/>
    <w:rsid w:val="6249563B"/>
    <w:rsid w:val="6250276A"/>
    <w:rsid w:val="625152A2"/>
    <w:rsid w:val="62630FA2"/>
    <w:rsid w:val="6268155C"/>
    <w:rsid w:val="62822841"/>
    <w:rsid w:val="62825184"/>
    <w:rsid w:val="628477A8"/>
    <w:rsid w:val="628528F8"/>
    <w:rsid w:val="628D15C0"/>
    <w:rsid w:val="62920A3E"/>
    <w:rsid w:val="629754BD"/>
    <w:rsid w:val="62A351E1"/>
    <w:rsid w:val="62AA0507"/>
    <w:rsid w:val="62AE35C9"/>
    <w:rsid w:val="62B83F09"/>
    <w:rsid w:val="62BF5758"/>
    <w:rsid w:val="62C71866"/>
    <w:rsid w:val="62C96638"/>
    <w:rsid w:val="62CC2D5F"/>
    <w:rsid w:val="62D756FF"/>
    <w:rsid w:val="62DA6C6F"/>
    <w:rsid w:val="62DB74DB"/>
    <w:rsid w:val="62DE5725"/>
    <w:rsid w:val="62E3191F"/>
    <w:rsid w:val="62F7405D"/>
    <w:rsid w:val="62FC2ECF"/>
    <w:rsid w:val="63036D79"/>
    <w:rsid w:val="63101D3D"/>
    <w:rsid w:val="63183C2B"/>
    <w:rsid w:val="6327780A"/>
    <w:rsid w:val="632A0FB5"/>
    <w:rsid w:val="632A4F09"/>
    <w:rsid w:val="633C3823"/>
    <w:rsid w:val="63616833"/>
    <w:rsid w:val="637C467A"/>
    <w:rsid w:val="637D2248"/>
    <w:rsid w:val="638260A7"/>
    <w:rsid w:val="638556B5"/>
    <w:rsid w:val="63864CC6"/>
    <w:rsid w:val="63915309"/>
    <w:rsid w:val="63A4711F"/>
    <w:rsid w:val="63B1691D"/>
    <w:rsid w:val="63B2617E"/>
    <w:rsid w:val="63B41ADC"/>
    <w:rsid w:val="63C026AF"/>
    <w:rsid w:val="63C02A3A"/>
    <w:rsid w:val="63CD3480"/>
    <w:rsid w:val="63CE71E4"/>
    <w:rsid w:val="63E04DF1"/>
    <w:rsid w:val="63E630D0"/>
    <w:rsid w:val="64033C6F"/>
    <w:rsid w:val="64043219"/>
    <w:rsid w:val="640A2992"/>
    <w:rsid w:val="64166194"/>
    <w:rsid w:val="6419427E"/>
    <w:rsid w:val="64312782"/>
    <w:rsid w:val="644126E7"/>
    <w:rsid w:val="64637692"/>
    <w:rsid w:val="64650DA3"/>
    <w:rsid w:val="646D720A"/>
    <w:rsid w:val="648538D4"/>
    <w:rsid w:val="64894C01"/>
    <w:rsid w:val="648E17CD"/>
    <w:rsid w:val="649374B8"/>
    <w:rsid w:val="64A31A17"/>
    <w:rsid w:val="64A60546"/>
    <w:rsid w:val="64C30459"/>
    <w:rsid w:val="64C61105"/>
    <w:rsid w:val="64CB2D81"/>
    <w:rsid w:val="64CE1190"/>
    <w:rsid w:val="64D73D60"/>
    <w:rsid w:val="64DF0C19"/>
    <w:rsid w:val="64E20648"/>
    <w:rsid w:val="64E8350C"/>
    <w:rsid w:val="64F25EF1"/>
    <w:rsid w:val="650F6A62"/>
    <w:rsid w:val="65112887"/>
    <w:rsid w:val="65124B29"/>
    <w:rsid w:val="65193059"/>
    <w:rsid w:val="651A1EA9"/>
    <w:rsid w:val="651A2019"/>
    <w:rsid w:val="651B3CA9"/>
    <w:rsid w:val="651D02E8"/>
    <w:rsid w:val="65280A17"/>
    <w:rsid w:val="653A1727"/>
    <w:rsid w:val="654073EE"/>
    <w:rsid w:val="65420FCE"/>
    <w:rsid w:val="65457AAD"/>
    <w:rsid w:val="654C3D3B"/>
    <w:rsid w:val="655155D3"/>
    <w:rsid w:val="655250D3"/>
    <w:rsid w:val="655B42D7"/>
    <w:rsid w:val="6565254E"/>
    <w:rsid w:val="65704BC2"/>
    <w:rsid w:val="65970F3A"/>
    <w:rsid w:val="65A26384"/>
    <w:rsid w:val="65B900E7"/>
    <w:rsid w:val="65C47954"/>
    <w:rsid w:val="65D828CA"/>
    <w:rsid w:val="65D90ED8"/>
    <w:rsid w:val="65DC3C96"/>
    <w:rsid w:val="65DE723D"/>
    <w:rsid w:val="65E1158A"/>
    <w:rsid w:val="65EE2074"/>
    <w:rsid w:val="65F520A0"/>
    <w:rsid w:val="65F8261B"/>
    <w:rsid w:val="65FD288D"/>
    <w:rsid w:val="660A2F28"/>
    <w:rsid w:val="662D1542"/>
    <w:rsid w:val="662E4672"/>
    <w:rsid w:val="663F4206"/>
    <w:rsid w:val="6644625D"/>
    <w:rsid w:val="665F0E65"/>
    <w:rsid w:val="66605875"/>
    <w:rsid w:val="6665069F"/>
    <w:rsid w:val="6680756A"/>
    <w:rsid w:val="66832A6D"/>
    <w:rsid w:val="66843CB4"/>
    <w:rsid w:val="668D74C4"/>
    <w:rsid w:val="66984176"/>
    <w:rsid w:val="66A225F1"/>
    <w:rsid w:val="66A803B3"/>
    <w:rsid w:val="66B45C5D"/>
    <w:rsid w:val="66BE6212"/>
    <w:rsid w:val="670019F6"/>
    <w:rsid w:val="670D3B2C"/>
    <w:rsid w:val="67106401"/>
    <w:rsid w:val="67172FFB"/>
    <w:rsid w:val="671B187E"/>
    <w:rsid w:val="672D1F67"/>
    <w:rsid w:val="67337DFB"/>
    <w:rsid w:val="67374887"/>
    <w:rsid w:val="673B5869"/>
    <w:rsid w:val="67523EC4"/>
    <w:rsid w:val="67564022"/>
    <w:rsid w:val="6760069A"/>
    <w:rsid w:val="67632EA9"/>
    <w:rsid w:val="67652DC7"/>
    <w:rsid w:val="678D6A9C"/>
    <w:rsid w:val="67AA1146"/>
    <w:rsid w:val="67B24977"/>
    <w:rsid w:val="67BA2D00"/>
    <w:rsid w:val="67D45135"/>
    <w:rsid w:val="67D67C41"/>
    <w:rsid w:val="67DA4A3E"/>
    <w:rsid w:val="67E173FB"/>
    <w:rsid w:val="67E351FF"/>
    <w:rsid w:val="67E675B4"/>
    <w:rsid w:val="68050FE9"/>
    <w:rsid w:val="680E718E"/>
    <w:rsid w:val="681364D0"/>
    <w:rsid w:val="681469A8"/>
    <w:rsid w:val="6836683A"/>
    <w:rsid w:val="68401670"/>
    <w:rsid w:val="68627F7E"/>
    <w:rsid w:val="68663EBD"/>
    <w:rsid w:val="68674884"/>
    <w:rsid w:val="68686E9B"/>
    <w:rsid w:val="686E7234"/>
    <w:rsid w:val="688F3365"/>
    <w:rsid w:val="68960E2F"/>
    <w:rsid w:val="68B1470D"/>
    <w:rsid w:val="68B25584"/>
    <w:rsid w:val="68B77641"/>
    <w:rsid w:val="68CD02B9"/>
    <w:rsid w:val="68CF0917"/>
    <w:rsid w:val="68D84F01"/>
    <w:rsid w:val="68DC7FE5"/>
    <w:rsid w:val="68F15806"/>
    <w:rsid w:val="68FB795E"/>
    <w:rsid w:val="6906619A"/>
    <w:rsid w:val="690D48BD"/>
    <w:rsid w:val="691D58CF"/>
    <w:rsid w:val="692E496A"/>
    <w:rsid w:val="693B7834"/>
    <w:rsid w:val="69411C5C"/>
    <w:rsid w:val="69417B0F"/>
    <w:rsid w:val="694C33F0"/>
    <w:rsid w:val="694F569A"/>
    <w:rsid w:val="6958642A"/>
    <w:rsid w:val="69697AF5"/>
    <w:rsid w:val="696A3A84"/>
    <w:rsid w:val="696F6298"/>
    <w:rsid w:val="69725516"/>
    <w:rsid w:val="69753A1C"/>
    <w:rsid w:val="69797D75"/>
    <w:rsid w:val="697B07BB"/>
    <w:rsid w:val="699170FE"/>
    <w:rsid w:val="69A32BFB"/>
    <w:rsid w:val="69B15E85"/>
    <w:rsid w:val="69B62242"/>
    <w:rsid w:val="69BA3FA3"/>
    <w:rsid w:val="69C41A6E"/>
    <w:rsid w:val="69C723C2"/>
    <w:rsid w:val="69CD5087"/>
    <w:rsid w:val="69D177BD"/>
    <w:rsid w:val="69D75656"/>
    <w:rsid w:val="69FE5E5F"/>
    <w:rsid w:val="6A020C14"/>
    <w:rsid w:val="6A033FEF"/>
    <w:rsid w:val="6A0A2B9F"/>
    <w:rsid w:val="6A175B9E"/>
    <w:rsid w:val="6A276171"/>
    <w:rsid w:val="6A346E8D"/>
    <w:rsid w:val="6A357141"/>
    <w:rsid w:val="6A3C07CF"/>
    <w:rsid w:val="6A3F6D86"/>
    <w:rsid w:val="6A54663F"/>
    <w:rsid w:val="6A5A53C3"/>
    <w:rsid w:val="6A602135"/>
    <w:rsid w:val="6A61153F"/>
    <w:rsid w:val="6A665A22"/>
    <w:rsid w:val="6A683B93"/>
    <w:rsid w:val="6A6B1686"/>
    <w:rsid w:val="6A740148"/>
    <w:rsid w:val="6A766C16"/>
    <w:rsid w:val="6A8401E6"/>
    <w:rsid w:val="6A871D38"/>
    <w:rsid w:val="6A9D2353"/>
    <w:rsid w:val="6A9F256F"/>
    <w:rsid w:val="6AA53D06"/>
    <w:rsid w:val="6AA54737"/>
    <w:rsid w:val="6AA944BF"/>
    <w:rsid w:val="6AB625C8"/>
    <w:rsid w:val="6ABC38D0"/>
    <w:rsid w:val="6AE40821"/>
    <w:rsid w:val="6AE638F5"/>
    <w:rsid w:val="6AEE40E7"/>
    <w:rsid w:val="6AF02338"/>
    <w:rsid w:val="6AFB212A"/>
    <w:rsid w:val="6AFD2CA7"/>
    <w:rsid w:val="6B0D6BCB"/>
    <w:rsid w:val="6B170067"/>
    <w:rsid w:val="6B201116"/>
    <w:rsid w:val="6B2524EA"/>
    <w:rsid w:val="6B2C2D6B"/>
    <w:rsid w:val="6B3C26D5"/>
    <w:rsid w:val="6B403D63"/>
    <w:rsid w:val="6B4D5DFE"/>
    <w:rsid w:val="6B53662D"/>
    <w:rsid w:val="6B611D41"/>
    <w:rsid w:val="6B62013A"/>
    <w:rsid w:val="6B635F73"/>
    <w:rsid w:val="6B651A37"/>
    <w:rsid w:val="6B6E1340"/>
    <w:rsid w:val="6B7753CC"/>
    <w:rsid w:val="6B864C5E"/>
    <w:rsid w:val="6B9371DC"/>
    <w:rsid w:val="6B937E03"/>
    <w:rsid w:val="6BA31809"/>
    <w:rsid w:val="6BBC2AF6"/>
    <w:rsid w:val="6BC12326"/>
    <w:rsid w:val="6BD41FDF"/>
    <w:rsid w:val="6BD8105A"/>
    <w:rsid w:val="6BD922E5"/>
    <w:rsid w:val="6BDA36DE"/>
    <w:rsid w:val="6BDD3BD1"/>
    <w:rsid w:val="6BE66E8D"/>
    <w:rsid w:val="6BF138D8"/>
    <w:rsid w:val="6BF948F1"/>
    <w:rsid w:val="6C001C20"/>
    <w:rsid w:val="6C0D2CA6"/>
    <w:rsid w:val="6C173E5D"/>
    <w:rsid w:val="6C1871AD"/>
    <w:rsid w:val="6C213212"/>
    <w:rsid w:val="6C217143"/>
    <w:rsid w:val="6C27495E"/>
    <w:rsid w:val="6C2831B9"/>
    <w:rsid w:val="6C365AE7"/>
    <w:rsid w:val="6C3946F3"/>
    <w:rsid w:val="6C420169"/>
    <w:rsid w:val="6C551941"/>
    <w:rsid w:val="6C5A70F8"/>
    <w:rsid w:val="6C5B059A"/>
    <w:rsid w:val="6C6248FA"/>
    <w:rsid w:val="6C772EC0"/>
    <w:rsid w:val="6C8C5363"/>
    <w:rsid w:val="6C8D703B"/>
    <w:rsid w:val="6C97786E"/>
    <w:rsid w:val="6C987E2C"/>
    <w:rsid w:val="6CA35A1C"/>
    <w:rsid w:val="6CA7742E"/>
    <w:rsid w:val="6CB3596E"/>
    <w:rsid w:val="6CB54115"/>
    <w:rsid w:val="6CB70289"/>
    <w:rsid w:val="6CB843CA"/>
    <w:rsid w:val="6CCD40B7"/>
    <w:rsid w:val="6CD26607"/>
    <w:rsid w:val="6CE04E08"/>
    <w:rsid w:val="6CE324EF"/>
    <w:rsid w:val="6CEF2196"/>
    <w:rsid w:val="6CF7359C"/>
    <w:rsid w:val="6CFB28DC"/>
    <w:rsid w:val="6D154116"/>
    <w:rsid w:val="6D226E5A"/>
    <w:rsid w:val="6D304702"/>
    <w:rsid w:val="6D3617EA"/>
    <w:rsid w:val="6D37342E"/>
    <w:rsid w:val="6D4B0824"/>
    <w:rsid w:val="6D4C1EDF"/>
    <w:rsid w:val="6D631390"/>
    <w:rsid w:val="6D791817"/>
    <w:rsid w:val="6D7977D9"/>
    <w:rsid w:val="6D7B5420"/>
    <w:rsid w:val="6D9578B1"/>
    <w:rsid w:val="6DA17380"/>
    <w:rsid w:val="6DB8541F"/>
    <w:rsid w:val="6DBC1B43"/>
    <w:rsid w:val="6DC04BE5"/>
    <w:rsid w:val="6DCB521B"/>
    <w:rsid w:val="6DCD1EB1"/>
    <w:rsid w:val="6DD36BA8"/>
    <w:rsid w:val="6DDA4697"/>
    <w:rsid w:val="6DE1076D"/>
    <w:rsid w:val="6DF05DC4"/>
    <w:rsid w:val="6DF731B5"/>
    <w:rsid w:val="6DF76664"/>
    <w:rsid w:val="6E0652AE"/>
    <w:rsid w:val="6E0B3C97"/>
    <w:rsid w:val="6E1916CD"/>
    <w:rsid w:val="6E1B4A51"/>
    <w:rsid w:val="6E3F49F2"/>
    <w:rsid w:val="6E4253B7"/>
    <w:rsid w:val="6E6E4ECC"/>
    <w:rsid w:val="6E7455FD"/>
    <w:rsid w:val="6E8078D6"/>
    <w:rsid w:val="6E85206D"/>
    <w:rsid w:val="6E8960ED"/>
    <w:rsid w:val="6E9662E6"/>
    <w:rsid w:val="6E9A0A72"/>
    <w:rsid w:val="6EA257B3"/>
    <w:rsid w:val="6EBA31D4"/>
    <w:rsid w:val="6EBC3E69"/>
    <w:rsid w:val="6EC52F8F"/>
    <w:rsid w:val="6EC57973"/>
    <w:rsid w:val="6ECE3E00"/>
    <w:rsid w:val="6EF4715D"/>
    <w:rsid w:val="6EF51E70"/>
    <w:rsid w:val="6EFA7146"/>
    <w:rsid w:val="6EFB33EB"/>
    <w:rsid w:val="6F007812"/>
    <w:rsid w:val="6F092A65"/>
    <w:rsid w:val="6F0A61E4"/>
    <w:rsid w:val="6F0C4362"/>
    <w:rsid w:val="6F193625"/>
    <w:rsid w:val="6F1D7A64"/>
    <w:rsid w:val="6F31208E"/>
    <w:rsid w:val="6F35772F"/>
    <w:rsid w:val="6F38271E"/>
    <w:rsid w:val="6F3837ED"/>
    <w:rsid w:val="6F45367F"/>
    <w:rsid w:val="6F46560B"/>
    <w:rsid w:val="6F6441B0"/>
    <w:rsid w:val="6F6B3BBD"/>
    <w:rsid w:val="6F7356F8"/>
    <w:rsid w:val="6F7B5C83"/>
    <w:rsid w:val="6F814118"/>
    <w:rsid w:val="6F85208C"/>
    <w:rsid w:val="6F900BF0"/>
    <w:rsid w:val="6F912803"/>
    <w:rsid w:val="6F9517BD"/>
    <w:rsid w:val="6F977447"/>
    <w:rsid w:val="6FA91B57"/>
    <w:rsid w:val="6FB6399F"/>
    <w:rsid w:val="6FB9407F"/>
    <w:rsid w:val="6FBD60A7"/>
    <w:rsid w:val="6FD35F99"/>
    <w:rsid w:val="6FD67180"/>
    <w:rsid w:val="6FEB6F52"/>
    <w:rsid w:val="6FEC63FF"/>
    <w:rsid w:val="6FED73CF"/>
    <w:rsid w:val="6FFE566D"/>
    <w:rsid w:val="7006508F"/>
    <w:rsid w:val="70211783"/>
    <w:rsid w:val="702B6B44"/>
    <w:rsid w:val="702C404E"/>
    <w:rsid w:val="702F295D"/>
    <w:rsid w:val="70327CD1"/>
    <w:rsid w:val="704A527D"/>
    <w:rsid w:val="706E3DBB"/>
    <w:rsid w:val="70726147"/>
    <w:rsid w:val="7076447F"/>
    <w:rsid w:val="707F08DB"/>
    <w:rsid w:val="707F74BF"/>
    <w:rsid w:val="708642CC"/>
    <w:rsid w:val="708927A2"/>
    <w:rsid w:val="70AD468D"/>
    <w:rsid w:val="70C131F7"/>
    <w:rsid w:val="70C362CB"/>
    <w:rsid w:val="70C55ECF"/>
    <w:rsid w:val="70C72E54"/>
    <w:rsid w:val="70EC0792"/>
    <w:rsid w:val="71187D1A"/>
    <w:rsid w:val="711E0B13"/>
    <w:rsid w:val="71261146"/>
    <w:rsid w:val="712630B0"/>
    <w:rsid w:val="713E5D62"/>
    <w:rsid w:val="713F54F3"/>
    <w:rsid w:val="714B12DB"/>
    <w:rsid w:val="715D6F57"/>
    <w:rsid w:val="71661B17"/>
    <w:rsid w:val="716E78B8"/>
    <w:rsid w:val="71715334"/>
    <w:rsid w:val="717D52DC"/>
    <w:rsid w:val="71801E4F"/>
    <w:rsid w:val="719B3099"/>
    <w:rsid w:val="71A21F83"/>
    <w:rsid w:val="71B43502"/>
    <w:rsid w:val="71B80173"/>
    <w:rsid w:val="71BD37EB"/>
    <w:rsid w:val="71D70110"/>
    <w:rsid w:val="71E609D8"/>
    <w:rsid w:val="71F83993"/>
    <w:rsid w:val="71FE6D20"/>
    <w:rsid w:val="71FF4F11"/>
    <w:rsid w:val="72093CE6"/>
    <w:rsid w:val="7221360F"/>
    <w:rsid w:val="722C58A7"/>
    <w:rsid w:val="723D1FB6"/>
    <w:rsid w:val="724A5C2D"/>
    <w:rsid w:val="7263137C"/>
    <w:rsid w:val="726F5D65"/>
    <w:rsid w:val="727B0D63"/>
    <w:rsid w:val="72970E79"/>
    <w:rsid w:val="729E5C2A"/>
    <w:rsid w:val="72A5387F"/>
    <w:rsid w:val="72A92A76"/>
    <w:rsid w:val="72AB04CF"/>
    <w:rsid w:val="72AE4F5D"/>
    <w:rsid w:val="72B35D3E"/>
    <w:rsid w:val="72BD4F81"/>
    <w:rsid w:val="72C9385F"/>
    <w:rsid w:val="72D22DBC"/>
    <w:rsid w:val="72D363B3"/>
    <w:rsid w:val="72D413D2"/>
    <w:rsid w:val="72DB4219"/>
    <w:rsid w:val="72E037AF"/>
    <w:rsid w:val="72E5464C"/>
    <w:rsid w:val="72EB197B"/>
    <w:rsid w:val="72FB4030"/>
    <w:rsid w:val="72FF18AD"/>
    <w:rsid w:val="72FF3238"/>
    <w:rsid w:val="730B2865"/>
    <w:rsid w:val="732555BB"/>
    <w:rsid w:val="732B5C29"/>
    <w:rsid w:val="73354571"/>
    <w:rsid w:val="7345621E"/>
    <w:rsid w:val="73484C16"/>
    <w:rsid w:val="73484C60"/>
    <w:rsid w:val="735217C3"/>
    <w:rsid w:val="735367C5"/>
    <w:rsid w:val="735431AA"/>
    <w:rsid w:val="735E68D3"/>
    <w:rsid w:val="73631F01"/>
    <w:rsid w:val="7388785E"/>
    <w:rsid w:val="73911B3F"/>
    <w:rsid w:val="739A73CA"/>
    <w:rsid w:val="73A71CD4"/>
    <w:rsid w:val="73B3267E"/>
    <w:rsid w:val="73C6057C"/>
    <w:rsid w:val="73CA2934"/>
    <w:rsid w:val="73E73836"/>
    <w:rsid w:val="74006ECC"/>
    <w:rsid w:val="74062442"/>
    <w:rsid w:val="740A7AB7"/>
    <w:rsid w:val="740C4086"/>
    <w:rsid w:val="74113734"/>
    <w:rsid w:val="74197CD6"/>
    <w:rsid w:val="741B1F17"/>
    <w:rsid w:val="741F716F"/>
    <w:rsid w:val="742134C5"/>
    <w:rsid w:val="742D6216"/>
    <w:rsid w:val="744A1E15"/>
    <w:rsid w:val="744B5AA5"/>
    <w:rsid w:val="74540B50"/>
    <w:rsid w:val="74542C68"/>
    <w:rsid w:val="745454CE"/>
    <w:rsid w:val="745A5E9B"/>
    <w:rsid w:val="745E2CA7"/>
    <w:rsid w:val="746B1784"/>
    <w:rsid w:val="747B1724"/>
    <w:rsid w:val="7485335C"/>
    <w:rsid w:val="748D1ADB"/>
    <w:rsid w:val="748E6111"/>
    <w:rsid w:val="748F16D7"/>
    <w:rsid w:val="749331F4"/>
    <w:rsid w:val="749C4B90"/>
    <w:rsid w:val="74A22582"/>
    <w:rsid w:val="74B01661"/>
    <w:rsid w:val="74B76451"/>
    <w:rsid w:val="74C93541"/>
    <w:rsid w:val="74DD302F"/>
    <w:rsid w:val="74E532A6"/>
    <w:rsid w:val="74F27E31"/>
    <w:rsid w:val="74F949B0"/>
    <w:rsid w:val="74FB5BF4"/>
    <w:rsid w:val="7508690D"/>
    <w:rsid w:val="751C4B7A"/>
    <w:rsid w:val="753A2C5F"/>
    <w:rsid w:val="754C157A"/>
    <w:rsid w:val="755563B7"/>
    <w:rsid w:val="756A088D"/>
    <w:rsid w:val="756D0FC9"/>
    <w:rsid w:val="75882672"/>
    <w:rsid w:val="75B33EE5"/>
    <w:rsid w:val="75BA50AB"/>
    <w:rsid w:val="75BF2BA5"/>
    <w:rsid w:val="75CE2747"/>
    <w:rsid w:val="75FB6AA4"/>
    <w:rsid w:val="76327919"/>
    <w:rsid w:val="76391DF0"/>
    <w:rsid w:val="764079D3"/>
    <w:rsid w:val="764609D7"/>
    <w:rsid w:val="765E385B"/>
    <w:rsid w:val="766C75E6"/>
    <w:rsid w:val="767B5A8F"/>
    <w:rsid w:val="768172AE"/>
    <w:rsid w:val="7686735B"/>
    <w:rsid w:val="76892C65"/>
    <w:rsid w:val="76945854"/>
    <w:rsid w:val="76A5398A"/>
    <w:rsid w:val="76A90795"/>
    <w:rsid w:val="76B21A07"/>
    <w:rsid w:val="76CD65A0"/>
    <w:rsid w:val="76DB110B"/>
    <w:rsid w:val="76DC16FE"/>
    <w:rsid w:val="76F10B8A"/>
    <w:rsid w:val="76F664CF"/>
    <w:rsid w:val="76FD44E7"/>
    <w:rsid w:val="770004EE"/>
    <w:rsid w:val="7701176C"/>
    <w:rsid w:val="770D787D"/>
    <w:rsid w:val="7710670D"/>
    <w:rsid w:val="77121425"/>
    <w:rsid w:val="771737B3"/>
    <w:rsid w:val="771D42C4"/>
    <w:rsid w:val="771F1DBD"/>
    <w:rsid w:val="77422269"/>
    <w:rsid w:val="77544CE3"/>
    <w:rsid w:val="775E0CBD"/>
    <w:rsid w:val="776112D4"/>
    <w:rsid w:val="776B2E49"/>
    <w:rsid w:val="776F3F0F"/>
    <w:rsid w:val="77731A8C"/>
    <w:rsid w:val="77785A59"/>
    <w:rsid w:val="777A047C"/>
    <w:rsid w:val="779B5742"/>
    <w:rsid w:val="77B34DD0"/>
    <w:rsid w:val="77C31A8F"/>
    <w:rsid w:val="77D21FBC"/>
    <w:rsid w:val="77EC277E"/>
    <w:rsid w:val="78055E0B"/>
    <w:rsid w:val="780D1337"/>
    <w:rsid w:val="781261F1"/>
    <w:rsid w:val="78183B83"/>
    <w:rsid w:val="78222CC5"/>
    <w:rsid w:val="78253538"/>
    <w:rsid w:val="784413E3"/>
    <w:rsid w:val="78471D48"/>
    <w:rsid w:val="78642B89"/>
    <w:rsid w:val="78654D13"/>
    <w:rsid w:val="786A3011"/>
    <w:rsid w:val="78707600"/>
    <w:rsid w:val="78804802"/>
    <w:rsid w:val="788779D7"/>
    <w:rsid w:val="7892206E"/>
    <w:rsid w:val="78944837"/>
    <w:rsid w:val="78947667"/>
    <w:rsid w:val="78977D64"/>
    <w:rsid w:val="78987CA9"/>
    <w:rsid w:val="789C2077"/>
    <w:rsid w:val="789E57A6"/>
    <w:rsid w:val="78A915D1"/>
    <w:rsid w:val="78B04387"/>
    <w:rsid w:val="78B866D7"/>
    <w:rsid w:val="78DA407B"/>
    <w:rsid w:val="78ED319B"/>
    <w:rsid w:val="78FA4F78"/>
    <w:rsid w:val="79036EAD"/>
    <w:rsid w:val="7905133A"/>
    <w:rsid w:val="790C06B8"/>
    <w:rsid w:val="79151B06"/>
    <w:rsid w:val="792D260C"/>
    <w:rsid w:val="793766AE"/>
    <w:rsid w:val="793F3177"/>
    <w:rsid w:val="79414EEE"/>
    <w:rsid w:val="79473A37"/>
    <w:rsid w:val="7951016E"/>
    <w:rsid w:val="79776BDF"/>
    <w:rsid w:val="797B65D8"/>
    <w:rsid w:val="79AB524D"/>
    <w:rsid w:val="79AF0898"/>
    <w:rsid w:val="79B5701C"/>
    <w:rsid w:val="79BA6E44"/>
    <w:rsid w:val="79C33E10"/>
    <w:rsid w:val="79D163B4"/>
    <w:rsid w:val="79E9263B"/>
    <w:rsid w:val="79F76372"/>
    <w:rsid w:val="79FA2A9E"/>
    <w:rsid w:val="7A0E3694"/>
    <w:rsid w:val="7A0E6468"/>
    <w:rsid w:val="7A12756B"/>
    <w:rsid w:val="7A147688"/>
    <w:rsid w:val="7A3B230D"/>
    <w:rsid w:val="7A452D2A"/>
    <w:rsid w:val="7A553CF9"/>
    <w:rsid w:val="7A6918EE"/>
    <w:rsid w:val="7A801764"/>
    <w:rsid w:val="7A805814"/>
    <w:rsid w:val="7A83575A"/>
    <w:rsid w:val="7A8C3FD3"/>
    <w:rsid w:val="7AAD4D05"/>
    <w:rsid w:val="7AB10913"/>
    <w:rsid w:val="7AB17208"/>
    <w:rsid w:val="7AB7441E"/>
    <w:rsid w:val="7AC20449"/>
    <w:rsid w:val="7AE37592"/>
    <w:rsid w:val="7B092185"/>
    <w:rsid w:val="7B1D700C"/>
    <w:rsid w:val="7B1F4DF4"/>
    <w:rsid w:val="7B212EF3"/>
    <w:rsid w:val="7B3153FF"/>
    <w:rsid w:val="7B482A25"/>
    <w:rsid w:val="7B5E627F"/>
    <w:rsid w:val="7B643EFF"/>
    <w:rsid w:val="7B654D4C"/>
    <w:rsid w:val="7B6722F9"/>
    <w:rsid w:val="7B691BDB"/>
    <w:rsid w:val="7B6C78C8"/>
    <w:rsid w:val="7B80187A"/>
    <w:rsid w:val="7B861ABC"/>
    <w:rsid w:val="7B892FD3"/>
    <w:rsid w:val="7B8A7A41"/>
    <w:rsid w:val="7B8D4E6D"/>
    <w:rsid w:val="7B8F7FD2"/>
    <w:rsid w:val="7B9B6C62"/>
    <w:rsid w:val="7BBB175E"/>
    <w:rsid w:val="7BC40DE4"/>
    <w:rsid w:val="7BE27BE7"/>
    <w:rsid w:val="7BE96916"/>
    <w:rsid w:val="7BEA3ADF"/>
    <w:rsid w:val="7BFC2D55"/>
    <w:rsid w:val="7C007769"/>
    <w:rsid w:val="7C0473DD"/>
    <w:rsid w:val="7C241C46"/>
    <w:rsid w:val="7C384700"/>
    <w:rsid w:val="7C446862"/>
    <w:rsid w:val="7C540AB3"/>
    <w:rsid w:val="7C5434D0"/>
    <w:rsid w:val="7C5B2FB6"/>
    <w:rsid w:val="7C5C5C8A"/>
    <w:rsid w:val="7C664C52"/>
    <w:rsid w:val="7C6E51F0"/>
    <w:rsid w:val="7C730947"/>
    <w:rsid w:val="7C77527E"/>
    <w:rsid w:val="7C7A0B7C"/>
    <w:rsid w:val="7C7C7D3F"/>
    <w:rsid w:val="7C815C70"/>
    <w:rsid w:val="7C88313E"/>
    <w:rsid w:val="7C894EE8"/>
    <w:rsid w:val="7C8A1DD6"/>
    <w:rsid w:val="7C9914D7"/>
    <w:rsid w:val="7CBF609A"/>
    <w:rsid w:val="7CC20683"/>
    <w:rsid w:val="7CCD4A7B"/>
    <w:rsid w:val="7CCE7A03"/>
    <w:rsid w:val="7CE133D2"/>
    <w:rsid w:val="7CEB2D39"/>
    <w:rsid w:val="7CF35549"/>
    <w:rsid w:val="7CF875AA"/>
    <w:rsid w:val="7CF97260"/>
    <w:rsid w:val="7D014C1B"/>
    <w:rsid w:val="7D1C3B0E"/>
    <w:rsid w:val="7D1D0329"/>
    <w:rsid w:val="7D2D76AE"/>
    <w:rsid w:val="7D3D3D42"/>
    <w:rsid w:val="7D4F7F21"/>
    <w:rsid w:val="7D562570"/>
    <w:rsid w:val="7D7B6853"/>
    <w:rsid w:val="7D8D0C57"/>
    <w:rsid w:val="7D8D18E3"/>
    <w:rsid w:val="7D8F38EB"/>
    <w:rsid w:val="7D905BD3"/>
    <w:rsid w:val="7D9D0DCE"/>
    <w:rsid w:val="7DAD41D9"/>
    <w:rsid w:val="7DC345CA"/>
    <w:rsid w:val="7DD30E62"/>
    <w:rsid w:val="7DE12F43"/>
    <w:rsid w:val="7DE231AE"/>
    <w:rsid w:val="7DF06CFC"/>
    <w:rsid w:val="7E02746D"/>
    <w:rsid w:val="7E071E1B"/>
    <w:rsid w:val="7E12083F"/>
    <w:rsid w:val="7E2B4261"/>
    <w:rsid w:val="7E3034D6"/>
    <w:rsid w:val="7E311B39"/>
    <w:rsid w:val="7E317665"/>
    <w:rsid w:val="7E43535D"/>
    <w:rsid w:val="7E4E2793"/>
    <w:rsid w:val="7E503E00"/>
    <w:rsid w:val="7E5566DA"/>
    <w:rsid w:val="7E6A0A01"/>
    <w:rsid w:val="7E6C570D"/>
    <w:rsid w:val="7E7822AD"/>
    <w:rsid w:val="7E7A5463"/>
    <w:rsid w:val="7E862857"/>
    <w:rsid w:val="7E9D2966"/>
    <w:rsid w:val="7EB8190C"/>
    <w:rsid w:val="7EC9763B"/>
    <w:rsid w:val="7ECA063C"/>
    <w:rsid w:val="7ED0711C"/>
    <w:rsid w:val="7ED1557D"/>
    <w:rsid w:val="7EDF5E79"/>
    <w:rsid w:val="7EF223B8"/>
    <w:rsid w:val="7EF316FD"/>
    <w:rsid w:val="7EF721A1"/>
    <w:rsid w:val="7EFE5C9E"/>
    <w:rsid w:val="7F07461B"/>
    <w:rsid w:val="7F0867C3"/>
    <w:rsid w:val="7F1E0F59"/>
    <w:rsid w:val="7F297D86"/>
    <w:rsid w:val="7F2E3696"/>
    <w:rsid w:val="7F3B1EEE"/>
    <w:rsid w:val="7F4123A1"/>
    <w:rsid w:val="7F553770"/>
    <w:rsid w:val="7F570D13"/>
    <w:rsid w:val="7F5D2C76"/>
    <w:rsid w:val="7F632842"/>
    <w:rsid w:val="7F671BA8"/>
    <w:rsid w:val="7F6A78DE"/>
    <w:rsid w:val="7F6D5754"/>
    <w:rsid w:val="7F6F1E35"/>
    <w:rsid w:val="7F746118"/>
    <w:rsid w:val="7F796F3B"/>
    <w:rsid w:val="7F8C380B"/>
    <w:rsid w:val="7F8D18E9"/>
    <w:rsid w:val="7F9465EE"/>
    <w:rsid w:val="7F952026"/>
    <w:rsid w:val="7F9E69BE"/>
    <w:rsid w:val="7FB66007"/>
    <w:rsid w:val="7FC00C89"/>
    <w:rsid w:val="7FD565D0"/>
    <w:rsid w:val="7FF50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qFormat="1"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tabs>
        <w:tab w:val="left" w:pos="720"/>
      </w:tabs>
      <w:autoSpaceDE w:val="0"/>
      <w:autoSpaceDN w:val="0"/>
      <w:adjustRightInd w:val="0"/>
      <w:spacing w:before="120"/>
      <w:textAlignment w:val="baseline"/>
      <w:outlineLvl w:val="2"/>
    </w:pPr>
    <w:rPr>
      <w:rFonts w:ascii="宋体" w:hAnsi="Tms Rmn"/>
      <w:b/>
      <w:kern w:val="0"/>
      <w:sz w:val="24"/>
      <w:szCs w:val="20"/>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6">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semiHidden/>
    <w:qFormat/>
    <w:uiPriority w:val="0"/>
    <w:pPr>
      <w:ind w:left="1260"/>
    </w:pPr>
    <w:rPr>
      <w:sz w:val="18"/>
      <w:szCs w:val="18"/>
    </w:rPr>
  </w:style>
  <w:style w:type="paragraph" w:styleId="8">
    <w:name w:val="List Number"/>
    <w:basedOn w:val="1"/>
    <w:qFormat/>
    <w:uiPriority w:val="0"/>
    <w:pPr>
      <w:keepLines/>
      <w:adjustRightInd w:val="0"/>
      <w:spacing w:line="360" w:lineRule="auto"/>
      <w:ind w:firstLine="425"/>
      <w:textAlignment w:val="baseline"/>
    </w:pPr>
    <w:rPr>
      <w:rFonts w:eastAsia="仿宋_GB2312"/>
      <w:kern w:val="24"/>
      <w:sz w:val="28"/>
      <w:szCs w:val="20"/>
    </w:rPr>
  </w:style>
  <w:style w:type="paragraph" w:styleId="9">
    <w:name w:val="Document Map"/>
    <w:basedOn w:val="1"/>
    <w:semiHidden/>
    <w:qFormat/>
    <w:uiPriority w:val="0"/>
    <w:pPr>
      <w:shd w:val="clear" w:color="auto" w:fill="000080"/>
    </w:pPr>
  </w:style>
  <w:style w:type="paragraph" w:styleId="10">
    <w:name w:val="toa heading"/>
    <w:basedOn w:val="1"/>
    <w:next w:val="1"/>
    <w:semiHidden/>
    <w:qFormat/>
    <w:uiPriority w:val="0"/>
    <w:pPr>
      <w:spacing w:before="120"/>
    </w:pPr>
    <w:rPr>
      <w:rFonts w:ascii="Arial" w:hAnsi="Arial" w:cs="Arial"/>
      <w:sz w:val="24"/>
    </w:rPr>
  </w:style>
  <w:style w:type="paragraph" w:styleId="11">
    <w:name w:val="annotation text"/>
    <w:basedOn w:val="1"/>
    <w:semiHidden/>
    <w:qFormat/>
    <w:uiPriority w:val="0"/>
  </w:style>
  <w:style w:type="paragraph" w:styleId="12">
    <w:name w:val="Body Text"/>
    <w:basedOn w:val="1"/>
    <w:qFormat/>
    <w:uiPriority w:val="0"/>
    <w:pPr>
      <w:spacing w:after="120"/>
    </w:pPr>
  </w:style>
  <w:style w:type="paragraph" w:styleId="13">
    <w:name w:val="Body Text Indent"/>
    <w:basedOn w:val="1"/>
    <w:qFormat/>
    <w:uiPriority w:val="0"/>
    <w:pPr>
      <w:spacing w:after="120"/>
      <w:ind w:left="420" w:leftChars="200"/>
    </w:pPr>
  </w:style>
  <w:style w:type="paragraph" w:styleId="14">
    <w:name w:val="toc 5"/>
    <w:basedOn w:val="1"/>
    <w:next w:val="1"/>
    <w:semiHidden/>
    <w:qFormat/>
    <w:uiPriority w:val="0"/>
    <w:pPr>
      <w:ind w:left="840"/>
    </w:pPr>
    <w:rPr>
      <w:sz w:val="18"/>
      <w:szCs w:val="18"/>
    </w:rPr>
  </w:style>
  <w:style w:type="paragraph" w:styleId="15">
    <w:name w:val="toc 3"/>
    <w:basedOn w:val="12"/>
    <w:next w:val="1"/>
    <w:qFormat/>
    <w:uiPriority w:val="39"/>
    <w:pPr>
      <w:tabs>
        <w:tab w:val="right" w:leader="dot" w:pos="9180"/>
      </w:tabs>
      <w:spacing w:after="0" w:line="384" w:lineRule="auto"/>
      <w:ind w:left="200" w:leftChars="200"/>
    </w:pPr>
    <w:rPr>
      <w:iCs/>
      <w:spacing w:val="20"/>
      <w:sz w:val="24"/>
    </w:rPr>
  </w:style>
  <w:style w:type="paragraph" w:styleId="16">
    <w:name w:val="Plain Text"/>
    <w:basedOn w:val="1"/>
    <w:link w:val="42"/>
    <w:qFormat/>
    <w:uiPriority w:val="0"/>
    <w:rPr>
      <w:rFonts w:ascii="宋体" w:hAnsi="Courier New"/>
      <w:szCs w:val="20"/>
    </w:rPr>
  </w:style>
  <w:style w:type="paragraph" w:styleId="17">
    <w:name w:val="toc 8"/>
    <w:basedOn w:val="1"/>
    <w:next w:val="1"/>
    <w:semiHidden/>
    <w:qFormat/>
    <w:uiPriority w:val="0"/>
    <w:pPr>
      <w:ind w:left="1470"/>
    </w:pPr>
    <w:rPr>
      <w:sz w:val="18"/>
      <w:szCs w:val="18"/>
    </w:rPr>
  </w:style>
  <w:style w:type="paragraph" w:styleId="18">
    <w:name w:val="Date"/>
    <w:basedOn w:val="1"/>
    <w:next w:val="1"/>
    <w:qFormat/>
    <w:uiPriority w:val="0"/>
    <w:pPr>
      <w:ind w:left="100" w:leftChars="2500"/>
    </w:pPr>
    <w:rPr>
      <w:rFonts w:ascii="楷体" w:hAnsi="楷体" w:eastAsia="楷体"/>
      <w:sz w:val="28"/>
      <w:szCs w:val="28"/>
    </w:rPr>
  </w:style>
  <w:style w:type="paragraph" w:styleId="19">
    <w:name w:val="Body Text Indent 2"/>
    <w:basedOn w:val="1"/>
    <w:qFormat/>
    <w:uiPriority w:val="0"/>
    <w:pPr>
      <w:spacing w:line="600" w:lineRule="exact"/>
      <w:ind w:firstLine="560" w:firstLineChars="200"/>
    </w:pPr>
    <w:rPr>
      <w:rFonts w:ascii="仿宋_GB2312" w:eastAsia="仿宋_GB2312"/>
      <w:sz w:val="28"/>
      <w:szCs w:val="28"/>
    </w:rPr>
  </w:style>
  <w:style w:type="paragraph" w:styleId="20">
    <w:name w:val="Balloon Text"/>
    <w:basedOn w:val="1"/>
    <w:semiHidden/>
    <w:qFormat/>
    <w:uiPriority w:val="0"/>
    <w:rPr>
      <w:sz w:val="18"/>
      <w:szCs w:val="18"/>
    </w:rPr>
  </w:style>
  <w:style w:type="paragraph" w:styleId="21">
    <w:name w:val="footer"/>
    <w:basedOn w:val="1"/>
    <w:link w:val="43"/>
    <w:qFormat/>
    <w:uiPriority w:val="99"/>
    <w:pPr>
      <w:tabs>
        <w:tab w:val="center" w:pos="4153"/>
        <w:tab w:val="right" w:pos="8306"/>
      </w:tabs>
      <w:snapToGrid w:val="0"/>
    </w:pPr>
    <w:rPr>
      <w:sz w:val="18"/>
      <w:szCs w:val="18"/>
    </w:rPr>
  </w:style>
  <w:style w:type="paragraph" w:styleId="2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line="384" w:lineRule="auto"/>
    </w:pPr>
    <w:rPr>
      <w:b/>
      <w:bCs/>
      <w:caps/>
      <w:spacing w:val="20"/>
      <w:sz w:val="24"/>
      <w:szCs w:val="20"/>
    </w:rPr>
  </w:style>
  <w:style w:type="paragraph" w:styleId="24">
    <w:name w:val="toc 4"/>
    <w:basedOn w:val="1"/>
    <w:next w:val="1"/>
    <w:qFormat/>
    <w:uiPriority w:val="39"/>
    <w:pPr>
      <w:tabs>
        <w:tab w:val="right" w:leader="dot" w:pos="9192"/>
      </w:tabs>
      <w:spacing w:line="384" w:lineRule="auto"/>
    </w:pPr>
    <w:rPr>
      <w:spacing w:val="20"/>
      <w:sz w:val="24"/>
      <w:szCs w:val="18"/>
    </w:rPr>
  </w:style>
  <w:style w:type="paragraph" w:styleId="25">
    <w:name w:val="List"/>
    <w:basedOn w:val="1"/>
    <w:qFormat/>
    <w:uiPriority w:val="0"/>
    <w:pPr>
      <w:ind w:left="200" w:hanging="200" w:hangingChars="200"/>
      <w:contextualSpacing/>
    </w:pPr>
  </w:style>
  <w:style w:type="paragraph" w:styleId="26">
    <w:name w:val="toc 6"/>
    <w:basedOn w:val="1"/>
    <w:next w:val="1"/>
    <w:semiHidden/>
    <w:qFormat/>
    <w:uiPriority w:val="0"/>
    <w:pPr>
      <w:ind w:left="1050"/>
    </w:pPr>
    <w:rPr>
      <w:sz w:val="18"/>
      <w:szCs w:val="18"/>
    </w:rPr>
  </w:style>
  <w:style w:type="paragraph" w:styleId="27">
    <w:name w:val="Body Text Indent 3"/>
    <w:basedOn w:val="1"/>
    <w:qFormat/>
    <w:uiPriority w:val="0"/>
    <w:pPr>
      <w:spacing w:after="120"/>
      <w:ind w:left="420" w:leftChars="200"/>
    </w:pPr>
    <w:rPr>
      <w:sz w:val="16"/>
      <w:szCs w:val="16"/>
    </w:rPr>
  </w:style>
  <w:style w:type="paragraph" w:styleId="28">
    <w:name w:val="toc 2"/>
    <w:basedOn w:val="1"/>
    <w:next w:val="1"/>
    <w:qFormat/>
    <w:uiPriority w:val="39"/>
    <w:pPr>
      <w:tabs>
        <w:tab w:val="right" w:leader="dot" w:pos="9180"/>
      </w:tabs>
      <w:spacing w:line="384" w:lineRule="auto"/>
      <w:ind w:left="200" w:leftChars="200"/>
      <w:jc w:val="center"/>
    </w:pPr>
    <w:rPr>
      <w:rFonts w:ascii="宋体" w:hAnsi="宋体"/>
      <w:smallCaps/>
      <w:spacing w:val="20"/>
      <w:sz w:val="24"/>
      <w:szCs w:val="36"/>
    </w:rPr>
  </w:style>
  <w:style w:type="paragraph" w:styleId="29">
    <w:name w:val="toc 9"/>
    <w:basedOn w:val="1"/>
    <w:next w:val="1"/>
    <w:semiHidden/>
    <w:qFormat/>
    <w:uiPriority w:val="0"/>
    <w:pPr>
      <w:ind w:left="1680"/>
    </w:pPr>
    <w:rPr>
      <w:sz w:val="18"/>
      <w:szCs w:val="18"/>
    </w:rPr>
  </w:style>
  <w:style w:type="paragraph" w:styleId="30">
    <w:name w:val="HTML Preformatted"/>
    <w:basedOn w:val="1"/>
    <w:link w:val="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kern w:val="0"/>
      <w:sz w:val="24"/>
    </w:rPr>
  </w:style>
  <w:style w:type="paragraph" w:styleId="31">
    <w:name w:val="Normal (Web)"/>
    <w:basedOn w:val="1"/>
    <w:qFormat/>
    <w:uiPriority w:val="99"/>
    <w:pPr>
      <w:spacing w:before="100" w:beforeAutospacing="1" w:after="100" w:afterAutospacing="1"/>
    </w:pPr>
    <w:rPr>
      <w:rFonts w:ascii="Arial Unicode MS" w:hAnsi="Arial Unicode MS" w:eastAsia="Arial Unicode MS" w:cs="Arial Unicode MS"/>
      <w:color w:val="000000"/>
      <w:kern w:val="0"/>
      <w:sz w:val="24"/>
    </w:rPr>
  </w:style>
  <w:style w:type="paragraph" w:styleId="32">
    <w:name w:val="annotation subject"/>
    <w:basedOn w:val="11"/>
    <w:next w:val="11"/>
    <w:semiHidden/>
    <w:qFormat/>
    <w:uiPriority w:val="0"/>
    <w:rPr>
      <w:b/>
      <w:bCs/>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5">
    <w:name w:val="Table List 3"/>
    <w:basedOn w:val="33"/>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qFormat/>
    <w:uiPriority w:val="0"/>
    <w:rPr>
      <w:color w:val="800080"/>
      <w:u w:val="single"/>
    </w:rPr>
  </w:style>
  <w:style w:type="character" w:styleId="40">
    <w:name w:val="Hyperlink"/>
    <w:qFormat/>
    <w:uiPriority w:val="99"/>
    <w:rPr>
      <w:color w:val="0000FF"/>
      <w:u w:val="single"/>
    </w:rPr>
  </w:style>
  <w:style w:type="character" w:styleId="41">
    <w:name w:val="annotation reference"/>
    <w:semiHidden/>
    <w:qFormat/>
    <w:uiPriority w:val="0"/>
    <w:rPr>
      <w:sz w:val="21"/>
      <w:szCs w:val="21"/>
    </w:rPr>
  </w:style>
  <w:style w:type="character" w:customStyle="1" w:styleId="42">
    <w:name w:val="纯文本 Char1"/>
    <w:link w:val="16"/>
    <w:qFormat/>
    <w:uiPriority w:val="0"/>
    <w:rPr>
      <w:rFonts w:ascii="宋体" w:hAnsi="Courier New" w:eastAsia="宋体"/>
      <w:kern w:val="2"/>
      <w:sz w:val="21"/>
      <w:lang w:val="en-US" w:eastAsia="zh-CN" w:bidi="ar-SA"/>
    </w:rPr>
  </w:style>
  <w:style w:type="character" w:customStyle="1" w:styleId="43">
    <w:name w:val="页脚 Char"/>
    <w:link w:val="21"/>
    <w:qFormat/>
    <w:uiPriority w:val="99"/>
    <w:rPr>
      <w:kern w:val="2"/>
      <w:sz w:val="18"/>
      <w:szCs w:val="18"/>
    </w:rPr>
  </w:style>
  <w:style w:type="character" w:customStyle="1" w:styleId="44">
    <w:name w:val="HTML 预设格式 Char"/>
    <w:link w:val="30"/>
    <w:qFormat/>
    <w:uiPriority w:val="0"/>
    <w:rPr>
      <w:rFonts w:ascii="宋体" w:hAnsi="宋体" w:cs="宋体"/>
      <w:sz w:val="24"/>
      <w:szCs w:val="24"/>
    </w:rPr>
  </w:style>
  <w:style w:type="character" w:customStyle="1" w:styleId="45">
    <w:name w:val="style2"/>
    <w:basedOn w:val="36"/>
    <w:qFormat/>
    <w:uiPriority w:val="0"/>
  </w:style>
  <w:style w:type="character" w:customStyle="1" w:styleId="46">
    <w:name w:val="估价报告模板_深发展银行处置抵押物相关提示 Char Char"/>
    <w:link w:val="47"/>
    <w:qFormat/>
    <w:uiPriority w:val="0"/>
    <w:rPr>
      <w:rFonts w:ascii="仿宋_GB2312" w:eastAsia="仿宋_GB2312" w:cs="宋体"/>
      <w:kern w:val="2"/>
      <w:sz w:val="28"/>
      <w:lang w:val="en-US" w:eastAsia="zh-CN" w:bidi="ar-SA"/>
    </w:rPr>
  </w:style>
  <w:style w:type="paragraph" w:customStyle="1" w:styleId="47">
    <w:name w:val="估价报告模板_深发展银行处置抵押物相关提示 Char"/>
    <w:basedOn w:val="1"/>
    <w:link w:val="46"/>
    <w:qFormat/>
    <w:uiPriority w:val="0"/>
    <w:pPr>
      <w:spacing w:line="440" w:lineRule="exact"/>
      <w:ind w:firstLine="560" w:firstLineChars="200"/>
    </w:pPr>
    <w:rPr>
      <w:rFonts w:ascii="仿宋_GB2312" w:eastAsia="仿宋_GB2312" w:cs="宋体"/>
      <w:sz w:val="28"/>
      <w:szCs w:val="20"/>
    </w:rPr>
  </w:style>
  <w:style w:type="character" w:customStyle="1" w:styleId="48">
    <w:name w:val="font"/>
    <w:basedOn w:val="36"/>
    <w:qFormat/>
    <w:uiPriority w:val="0"/>
  </w:style>
  <w:style w:type="character" w:customStyle="1" w:styleId="49">
    <w:name w:val="Char Char2"/>
    <w:qFormat/>
    <w:uiPriority w:val="0"/>
    <w:rPr>
      <w:b/>
      <w:bCs/>
      <w:kern w:val="44"/>
      <w:sz w:val="44"/>
      <w:szCs w:val="44"/>
    </w:rPr>
  </w:style>
  <w:style w:type="character" w:customStyle="1" w:styleId="50">
    <w:name w:val="f121"/>
    <w:qFormat/>
    <w:uiPriority w:val="0"/>
    <w:rPr>
      <w:sz w:val="16"/>
      <w:szCs w:val="16"/>
    </w:rPr>
  </w:style>
  <w:style w:type="character" w:customStyle="1" w:styleId="51">
    <w:name w:val="p10"/>
    <w:basedOn w:val="36"/>
    <w:qFormat/>
    <w:uiPriority w:val="0"/>
  </w:style>
  <w:style w:type="character" w:customStyle="1" w:styleId="52">
    <w:name w:val="无间隔 Char"/>
    <w:link w:val="53"/>
    <w:qFormat/>
    <w:uiPriority w:val="1"/>
    <w:rPr>
      <w:kern w:val="2"/>
      <w:sz w:val="21"/>
      <w:szCs w:val="24"/>
      <w:lang w:val="en-US" w:eastAsia="zh-CN" w:bidi="ar-SA"/>
    </w:rPr>
  </w:style>
  <w:style w:type="paragraph" w:styleId="53">
    <w:name w:val="No Spacing"/>
    <w:link w:val="5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54">
    <w:name w:val="font21"/>
    <w:qFormat/>
    <w:uiPriority w:val="0"/>
    <w:rPr>
      <w:rFonts w:hint="eastAsia" w:ascii="宋体" w:hAnsi="宋体" w:eastAsia="宋体" w:cs="宋体"/>
      <w:color w:val="000000"/>
      <w:sz w:val="20"/>
      <w:szCs w:val="20"/>
      <w:u w:val="none"/>
      <w:vertAlign w:val="subscript"/>
    </w:rPr>
  </w:style>
  <w:style w:type="character" w:customStyle="1" w:styleId="55">
    <w:name w:val="纯文本 Char1 Char2"/>
    <w:qFormat/>
    <w:uiPriority w:val="0"/>
    <w:rPr>
      <w:rFonts w:ascii="宋体" w:hAnsi="Courier New" w:eastAsia="宋体"/>
      <w:kern w:val="2"/>
      <w:sz w:val="21"/>
      <w:lang w:val="en-US" w:eastAsia="zh-CN" w:bidi="ar-SA"/>
    </w:rPr>
  </w:style>
  <w:style w:type="character" w:customStyle="1" w:styleId="56">
    <w:name w:val="标题1"/>
    <w:basedOn w:val="36"/>
    <w:qFormat/>
    <w:uiPriority w:val="0"/>
  </w:style>
  <w:style w:type="character" w:customStyle="1" w:styleId="57">
    <w:name w:val="mr101"/>
    <w:qFormat/>
    <w:uiPriority w:val="0"/>
  </w:style>
  <w:style w:type="character" w:customStyle="1" w:styleId="58">
    <w:name w:val="样式1 Char"/>
    <w:qFormat/>
    <w:uiPriority w:val="0"/>
    <w:rPr>
      <w:rFonts w:eastAsia="宋体"/>
      <w:b/>
      <w:bCs/>
      <w:kern w:val="44"/>
      <w:sz w:val="36"/>
      <w:szCs w:val="36"/>
      <w:lang w:val="en-US" w:eastAsia="zh-CN" w:bidi="ar-SA"/>
    </w:rPr>
  </w:style>
  <w:style w:type="character" w:customStyle="1" w:styleId="59">
    <w:name w:val="Char Char"/>
    <w:semiHidden/>
    <w:qFormat/>
    <w:uiPriority w:val="0"/>
    <w:rPr>
      <w:kern w:val="2"/>
      <w:sz w:val="18"/>
      <w:szCs w:val="18"/>
    </w:rPr>
  </w:style>
  <w:style w:type="character" w:customStyle="1" w:styleId="60">
    <w:name w:val="估价报告模板_深发展银行处置抵押物相关提示 Char Char Char"/>
    <w:qFormat/>
    <w:uiPriority w:val="0"/>
    <w:rPr>
      <w:rFonts w:ascii="仿宋_GB2312" w:eastAsia="仿宋_GB2312" w:cs="宋体"/>
      <w:kern w:val="2"/>
      <w:sz w:val="28"/>
      <w:lang w:val="en-US" w:eastAsia="zh-CN" w:bidi="ar-SA"/>
    </w:rPr>
  </w:style>
  <w:style w:type="character" w:customStyle="1" w:styleId="61">
    <w:name w:val="纯文本 Char1 Char1"/>
    <w:qFormat/>
    <w:uiPriority w:val="0"/>
    <w:rPr>
      <w:rFonts w:ascii="宋体" w:eastAsia="宋体"/>
      <w:kern w:val="2"/>
      <w:sz w:val="28"/>
      <w:lang w:val="en-US" w:eastAsia="zh-CN" w:bidi="ar-SA"/>
    </w:rPr>
  </w:style>
  <w:style w:type="character" w:customStyle="1" w:styleId="62">
    <w:name w:val="apple-converted-space"/>
    <w:qFormat/>
    <w:uiPriority w:val="0"/>
  </w:style>
  <w:style w:type="character" w:customStyle="1" w:styleId="63">
    <w:name w:val="font41"/>
    <w:qFormat/>
    <w:uiPriority w:val="0"/>
    <w:rPr>
      <w:rFonts w:hint="eastAsia" w:ascii="宋体" w:hAnsi="宋体" w:eastAsia="宋体" w:cs="宋体"/>
      <w:color w:val="000000"/>
      <w:sz w:val="20"/>
      <w:szCs w:val="20"/>
      <w:u w:val="none"/>
      <w:vertAlign w:val="superscript"/>
    </w:rPr>
  </w:style>
  <w:style w:type="character" w:customStyle="1" w:styleId="64">
    <w:name w:val="black_1221"/>
    <w:qFormat/>
    <w:uiPriority w:val="0"/>
    <w:rPr>
      <w:color w:val="000000"/>
      <w:sz w:val="18"/>
      <w:szCs w:val="18"/>
    </w:rPr>
  </w:style>
  <w:style w:type="character" w:customStyle="1" w:styleId="65">
    <w:name w:val="标题 2 Char"/>
    <w:qFormat/>
    <w:uiPriority w:val="0"/>
    <w:rPr>
      <w:rFonts w:ascii="黑体" w:hAnsi="宋体" w:eastAsia="黑体"/>
      <w:b/>
      <w:bCs/>
      <w:kern w:val="2"/>
      <w:sz w:val="28"/>
      <w:szCs w:val="32"/>
      <w:lang w:val="en-US" w:eastAsia="zh-CN" w:bidi="ar-SA"/>
    </w:rPr>
  </w:style>
  <w:style w:type="character" w:customStyle="1" w:styleId="66">
    <w:name w:val="policymark"/>
    <w:basedOn w:val="36"/>
    <w:qFormat/>
    <w:uiPriority w:val="0"/>
  </w:style>
  <w:style w:type="character" w:customStyle="1" w:styleId="67">
    <w:name w:val="f122"/>
    <w:qFormat/>
    <w:uiPriority w:val="0"/>
    <w:rPr>
      <w:sz w:val="16"/>
      <w:szCs w:val="16"/>
    </w:rPr>
  </w:style>
  <w:style w:type="character" w:customStyle="1" w:styleId="68">
    <w:name w:val="纯文本 Char"/>
    <w:qFormat/>
    <w:uiPriority w:val="0"/>
    <w:rPr>
      <w:rFonts w:ascii="宋体" w:hAnsi="Courier New" w:eastAsia="宋体"/>
      <w:kern w:val="2"/>
      <w:sz w:val="21"/>
      <w:lang w:val="en-US" w:eastAsia="zh-CN" w:bidi="ar-SA"/>
    </w:rPr>
  </w:style>
  <w:style w:type="character" w:customStyle="1" w:styleId="69">
    <w:name w:val="Char Char1"/>
    <w:qFormat/>
    <w:uiPriority w:val="0"/>
    <w:rPr>
      <w:kern w:val="2"/>
      <w:sz w:val="18"/>
      <w:szCs w:val="18"/>
    </w:rPr>
  </w:style>
  <w:style w:type="character" w:customStyle="1" w:styleId="70">
    <w:name w:val="ppp"/>
    <w:basedOn w:val="36"/>
    <w:qFormat/>
    <w:uiPriority w:val="0"/>
  </w:style>
  <w:style w:type="character" w:customStyle="1" w:styleId="71">
    <w:name w:val="f141"/>
    <w:basedOn w:val="36"/>
    <w:qFormat/>
    <w:uiPriority w:val="0"/>
  </w:style>
  <w:style w:type="character" w:customStyle="1" w:styleId="72">
    <w:name w:val="font31"/>
    <w:qFormat/>
    <w:uiPriority w:val="0"/>
    <w:rPr>
      <w:rFonts w:hint="eastAsia" w:ascii="宋体" w:hAnsi="宋体" w:eastAsia="宋体" w:cs="宋体"/>
      <w:color w:val="000000"/>
      <w:sz w:val="20"/>
      <w:szCs w:val="20"/>
      <w:u w:val="none"/>
      <w:vertAlign w:val="superscript"/>
    </w:rPr>
  </w:style>
  <w:style w:type="paragraph" w:customStyle="1" w:styleId="73">
    <w:name w:val="TOC 标题1"/>
    <w:basedOn w:val="2"/>
    <w:next w:val="1"/>
    <w:qFormat/>
    <w:uiPriority w:val="39"/>
    <w:pPr>
      <w:spacing w:before="240" w:after="0" w:line="259" w:lineRule="auto"/>
      <w:outlineLvl w:val="9"/>
    </w:pPr>
    <w:rPr>
      <w:rFonts w:ascii="Calibri Light" w:hAnsi="Calibri Light"/>
      <w:b w:val="0"/>
      <w:bCs w:val="0"/>
      <w:color w:val="2E74B5"/>
      <w:kern w:val="0"/>
      <w:sz w:val="32"/>
      <w:szCs w:val="32"/>
    </w:rPr>
  </w:style>
  <w:style w:type="paragraph" w:customStyle="1" w:styleId="74">
    <w:name w:val="xl49"/>
    <w:basedOn w:val="1"/>
    <w:qFormat/>
    <w:uiPriority w:val="0"/>
    <w:pPr>
      <w:pBdr>
        <w:bottom w:val="single" w:color="auto" w:sz="4" w:space="0"/>
      </w:pBdr>
      <w:spacing w:before="100" w:beforeAutospacing="1" w:after="100" w:afterAutospacing="1"/>
      <w:textAlignment w:val="center"/>
    </w:pPr>
    <w:rPr>
      <w:rFonts w:ascii="Arial Unicode MS" w:hAnsi="Arial Unicode MS" w:eastAsia="Arial Unicode MS" w:cs="Arial Unicode MS"/>
      <w:kern w:val="0"/>
      <w:sz w:val="22"/>
      <w:szCs w:val="22"/>
    </w:rPr>
  </w:style>
  <w:style w:type="paragraph" w:customStyle="1" w:styleId="75">
    <w:name w:val="font9"/>
    <w:basedOn w:val="1"/>
    <w:qFormat/>
    <w:uiPriority w:val="0"/>
    <w:pPr>
      <w:spacing w:before="100" w:beforeAutospacing="1" w:after="100" w:afterAutospacing="1"/>
    </w:pPr>
    <w:rPr>
      <w:kern w:val="0"/>
      <w:sz w:val="24"/>
    </w:rPr>
  </w:style>
  <w:style w:type="paragraph" w:customStyle="1" w:styleId="76">
    <w:name w:val="font13"/>
    <w:basedOn w:val="1"/>
    <w:qFormat/>
    <w:uiPriority w:val="0"/>
    <w:pPr>
      <w:spacing w:before="100" w:beforeAutospacing="1" w:after="100" w:afterAutospacing="1"/>
    </w:pPr>
    <w:rPr>
      <w:rFonts w:hint="eastAsia" w:ascii="仿宋_GB2312" w:hAnsi="宋体" w:eastAsia="仿宋_GB2312"/>
      <w:kern w:val="0"/>
      <w:sz w:val="22"/>
      <w:szCs w:val="22"/>
    </w:rPr>
  </w:style>
  <w:style w:type="paragraph" w:customStyle="1" w:styleId="77">
    <w:name w:val="font11"/>
    <w:basedOn w:val="1"/>
    <w:qFormat/>
    <w:uiPriority w:val="0"/>
    <w:pPr>
      <w:spacing w:before="100" w:beforeAutospacing="1" w:after="100" w:afterAutospacing="1"/>
    </w:pPr>
    <w:rPr>
      <w:rFonts w:hint="eastAsia" w:ascii="黑体" w:hAnsi="宋体" w:eastAsia="黑体"/>
      <w:kern w:val="0"/>
      <w:sz w:val="36"/>
      <w:szCs w:val="36"/>
    </w:rPr>
  </w:style>
  <w:style w:type="paragraph" w:customStyle="1" w:styleId="78">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4"/>
    </w:rPr>
  </w:style>
  <w:style w:type="paragraph" w:customStyle="1" w:styleId="79">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int="eastAsia" w:ascii="仿宋_GB2312" w:hAnsi="宋体" w:eastAsia="仿宋_GB2312"/>
      <w:kern w:val="0"/>
      <w:sz w:val="22"/>
      <w:szCs w:val="22"/>
    </w:rPr>
  </w:style>
  <w:style w:type="paragraph" w:customStyle="1" w:styleId="80">
    <w:name w:val="估价报告_估价师签字"/>
    <w:basedOn w:val="16"/>
    <w:qFormat/>
    <w:uiPriority w:val="0"/>
    <w:pPr>
      <w:spacing w:before="120" w:after="120" w:line="440" w:lineRule="exact"/>
      <w:jc w:val="center"/>
    </w:pPr>
    <w:rPr>
      <w:rFonts w:ascii="仿宋_GB2312" w:eastAsia="仿宋_GB2312" w:cs="宋体"/>
      <w:sz w:val="28"/>
    </w:rPr>
  </w:style>
  <w:style w:type="paragraph" w:customStyle="1" w:styleId="8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82">
    <w:name w:val="Char1 Char Char Char Char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83">
    <w:name w:val="xl28"/>
    <w:basedOn w:val="1"/>
    <w:qFormat/>
    <w:uiPriority w:val="0"/>
    <w:pPr>
      <w:spacing w:before="100" w:beforeAutospacing="1" w:after="100" w:afterAutospacing="1"/>
      <w:jc w:val="right"/>
    </w:pPr>
    <w:rPr>
      <w:rFonts w:ascii="宋体" w:hAnsi="宋体"/>
      <w:kern w:val="0"/>
      <w:sz w:val="24"/>
    </w:rPr>
  </w:style>
  <w:style w:type="paragraph" w:customStyle="1" w:styleId="84">
    <w:name w:val="font0"/>
    <w:basedOn w:val="1"/>
    <w:qFormat/>
    <w:uiPriority w:val="0"/>
    <w:pPr>
      <w:spacing w:before="100" w:beforeAutospacing="1" w:after="100" w:afterAutospacing="1"/>
    </w:pPr>
    <w:rPr>
      <w:rFonts w:hint="eastAsia" w:ascii="宋体" w:hAnsi="宋体"/>
      <w:kern w:val="0"/>
      <w:sz w:val="24"/>
    </w:rPr>
  </w:style>
  <w:style w:type="paragraph" w:customStyle="1" w:styleId="85">
    <w:name w:val="xl54"/>
    <w:basedOn w:val="1"/>
    <w:qFormat/>
    <w:uiPriority w:val="0"/>
    <w:pPr>
      <w:pBdr>
        <w:top w:val="single" w:color="auto" w:sz="4" w:space="0"/>
        <w:left w:val="single" w:color="auto" w:sz="4" w:space="0"/>
        <w:right w:val="single" w:color="auto" w:sz="8" w:space="0"/>
      </w:pBdr>
      <w:spacing w:before="100" w:beforeAutospacing="1" w:after="100" w:afterAutospacing="1"/>
      <w:jc w:val="center"/>
      <w:textAlignment w:val="center"/>
    </w:pPr>
    <w:rPr>
      <w:rFonts w:eastAsia="Arial Unicode MS"/>
      <w:kern w:val="0"/>
      <w:sz w:val="20"/>
      <w:szCs w:val="20"/>
    </w:rPr>
  </w:style>
  <w:style w:type="paragraph" w:customStyle="1" w:styleId="86">
    <w:name w:val="Char Char Char1 Char Char Char Char"/>
    <w:basedOn w:val="1"/>
    <w:qFormat/>
    <w:uiPriority w:val="0"/>
    <w:rPr>
      <w:rFonts w:ascii="宋体" w:hAnsi="宋体" w:cs="Courier New"/>
      <w:sz w:val="32"/>
      <w:szCs w:val="32"/>
    </w:rPr>
  </w:style>
  <w:style w:type="paragraph" w:customStyle="1" w:styleId="87">
    <w:name w:val="font7"/>
    <w:basedOn w:val="1"/>
    <w:qFormat/>
    <w:uiPriority w:val="0"/>
    <w:pPr>
      <w:spacing w:before="100" w:beforeAutospacing="1" w:after="100" w:afterAutospacing="1"/>
    </w:pPr>
    <w:rPr>
      <w:rFonts w:hint="eastAsia" w:ascii="宋体" w:hAnsi="宋体"/>
      <w:kern w:val="0"/>
      <w:sz w:val="22"/>
      <w:szCs w:val="22"/>
    </w:rPr>
  </w:style>
  <w:style w:type="paragraph" w:customStyle="1" w:styleId="88">
    <w:name w:val="Char1 Char Char Char Char Char Char Char Char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89">
    <w:name w:val="xl57"/>
    <w:basedOn w:val="1"/>
    <w:qFormat/>
    <w:uiPriority w:val="0"/>
    <w:pPr>
      <w:pBdr>
        <w:top w:val="single" w:color="auto" w:sz="4" w:space="0"/>
        <w:left w:val="single" w:color="auto" w:sz="4" w:space="0"/>
        <w:right w:val="single" w:color="auto" w:sz="8" w:space="0"/>
      </w:pBdr>
      <w:spacing w:before="100" w:beforeAutospacing="1" w:after="100" w:afterAutospacing="1"/>
      <w:textAlignment w:val="center"/>
    </w:pPr>
    <w:rPr>
      <w:rFonts w:eastAsia="Arial Unicode MS"/>
      <w:kern w:val="0"/>
      <w:sz w:val="20"/>
      <w:szCs w:val="20"/>
    </w:rPr>
  </w:style>
  <w:style w:type="paragraph" w:customStyle="1" w:styleId="90">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kern w:val="0"/>
      <w:sz w:val="24"/>
    </w:rPr>
  </w:style>
  <w:style w:type="paragraph" w:customStyle="1" w:styleId="91">
    <w:name w:val="Char1 Char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92">
    <w:name w:val="xl48"/>
    <w:basedOn w:val="1"/>
    <w:qFormat/>
    <w:uiPriority w:val="0"/>
    <w:pPr>
      <w:spacing w:before="100" w:beforeAutospacing="1" w:after="100" w:afterAutospacing="1"/>
      <w:textAlignment w:val="center"/>
    </w:pPr>
    <w:rPr>
      <w:rFonts w:ascii="Arial Unicode MS" w:hAnsi="Arial Unicode MS" w:eastAsia="Arial Unicode MS" w:cs="Arial Unicode MS"/>
      <w:kern w:val="0"/>
      <w:sz w:val="22"/>
      <w:szCs w:val="22"/>
    </w:rPr>
  </w:style>
  <w:style w:type="paragraph" w:customStyle="1" w:styleId="93">
    <w:name w:val="Char2 Char Char2"/>
    <w:basedOn w:val="1"/>
    <w:qFormat/>
    <w:uiPriority w:val="0"/>
    <w:pPr>
      <w:spacing w:after="160" w:line="240" w:lineRule="exact"/>
    </w:pPr>
    <w:rPr>
      <w:rFonts w:ascii="Verdana" w:hAnsi="Verdana" w:eastAsia="仿宋_GB2312"/>
      <w:kern w:val="0"/>
      <w:sz w:val="24"/>
      <w:szCs w:val="20"/>
      <w:lang w:eastAsia="en-US"/>
    </w:rPr>
  </w:style>
  <w:style w:type="paragraph" w:customStyle="1" w:styleId="94">
    <w:name w:val="xl56"/>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95">
    <w:name w:val="普通(Web)28"/>
    <w:basedOn w:val="1"/>
    <w:qFormat/>
    <w:uiPriority w:val="0"/>
    <w:pPr>
      <w:spacing w:before="100" w:beforeAutospacing="1" w:after="75" w:line="360" w:lineRule="atLeast"/>
    </w:pPr>
    <w:rPr>
      <w:rFonts w:ascii="宋体" w:hAnsi="宋体" w:cs="宋体"/>
      <w:kern w:val="0"/>
      <w:sz w:val="24"/>
    </w:rPr>
  </w:style>
  <w:style w:type="paragraph" w:customStyle="1" w:styleId="96">
    <w:name w:val="Char Char Char Char"/>
    <w:basedOn w:val="1"/>
    <w:qFormat/>
    <w:uiPriority w:val="0"/>
    <w:rPr>
      <w:sz w:val="32"/>
      <w:szCs w:val="32"/>
    </w:rPr>
  </w:style>
  <w:style w:type="paragraph" w:customStyle="1" w:styleId="97">
    <w:name w:val="普通(Web)1"/>
    <w:basedOn w:val="1"/>
    <w:qFormat/>
    <w:uiPriority w:val="0"/>
    <w:pPr>
      <w:spacing w:before="75" w:after="100" w:afterAutospacing="1"/>
    </w:pPr>
    <w:rPr>
      <w:rFonts w:ascii="宋体" w:hAnsi="宋体" w:cs="宋体"/>
      <w:color w:val="000000"/>
      <w:kern w:val="0"/>
      <w:sz w:val="24"/>
    </w:rPr>
  </w:style>
  <w:style w:type="paragraph" w:customStyle="1" w:styleId="98">
    <w:name w:val="Char2 Char Char1"/>
    <w:basedOn w:val="1"/>
    <w:qFormat/>
    <w:uiPriority w:val="0"/>
    <w:pPr>
      <w:spacing w:after="160" w:line="240" w:lineRule="exact"/>
    </w:pPr>
    <w:rPr>
      <w:rFonts w:ascii="Verdana" w:hAnsi="Verdana" w:eastAsia="仿宋_GB2312"/>
      <w:kern w:val="0"/>
      <w:sz w:val="24"/>
      <w:szCs w:val="20"/>
      <w:lang w:eastAsia="en-US"/>
    </w:rPr>
  </w:style>
  <w:style w:type="paragraph" w:customStyle="1" w:styleId="99">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00">
    <w:name w:val="xl59"/>
    <w:basedOn w:val="1"/>
    <w:qFormat/>
    <w:uiPriority w:val="0"/>
    <w:pPr>
      <w:pBdr>
        <w:left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101">
    <w:name w:val="估价报告模板_表格1"/>
    <w:basedOn w:val="1"/>
    <w:qFormat/>
    <w:uiPriority w:val="0"/>
    <w:pPr>
      <w:spacing w:line="300" w:lineRule="exact"/>
      <w:jc w:val="center"/>
    </w:pPr>
    <w:rPr>
      <w:rFonts w:ascii="仿宋_GB2312" w:hAnsi="宋体" w:eastAsia="仿宋_GB2312" w:cs="宋体"/>
      <w:kern w:val="0"/>
      <w:szCs w:val="21"/>
    </w:rPr>
  </w:style>
  <w:style w:type="paragraph" w:customStyle="1" w:styleId="102">
    <w:name w:val="font5"/>
    <w:basedOn w:val="1"/>
    <w:qFormat/>
    <w:uiPriority w:val="0"/>
    <w:pPr>
      <w:spacing w:before="100" w:beforeAutospacing="1" w:after="100" w:afterAutospacing="1"/>
    </w:pPr>
    <w:rPr>
      <w:rFonts w:hint="eastAsia" w:ascii="宋体" w:hAnsi="宋体"/>
      <w:kern w:val="0"/>
      <w:sz w:val="18"/>
      <w:szCs w:val="18"/>
    </w:rPr>
  </w:style>
  <w:style w:type="paragraph" w:customStyle="1" w:styleId="103">
    <w:name w:val="3"/>
    <w:basedOn w:val="1"/>
    <w:next w:val="16"/>
    <w:qFormat/>
    <w:uiPriority w:val="0"/>
    <w:pPr>
      <w:autoSpaceDE w:val="0"/>
      <w:autoSpaceDN w:val="0"/>
      <w:adjustRightInd w:val="0"/>
      <w:textAlignment w:val="baseline"/>
    </w:pPr>
    <w:rPr>
      <w:rFonts w:ascii="宋体"/>
      <w:sz w:val="28"/>
      <w:szCs w:val="20"/>
    </w:rPr>
  </w:style>
  <w:style w:type="paragraph" w:customStyle="1" w:styleId="104">
    <w:name w:val="Char2"/>
    <w:basedOn w:val="1"/>
    <w:qFormat/>
    <w:uiPriority w:val="0"/>
    <w:pPr>
      <w:spacing w:after="160" w:line="240" w:lineRule="exact"/>
    </w:pPr>
    <w:rPr>
      <w:rFonts w:ascii="Verdana" w:hAnsi="Verdana" w:eastAsia="仿宋_GB2312"/>
      <w:kern w:val="0"/>
      <w:sz w:val="24"/>
      <w:szCs w:val="20"/>
      <w:lang w:eastAsia="en-US"/>
    </w:rPr>
  </w:style>
  <w:style w:type="paragraph" w:customStyle="1" w:styleId="105">
    <w:name w:val="xl29"/>
    <w:basedOn w:val="1"/>
    <w:qFormat/>
    <w:uiPriority w:val="0"/>
    <w:pPr>
      <w:spacing w:before="100" w:beforeAutospacing="1" w:after="100" w:afterAutospacing="1"/>
      <w:jc w:val="right"/>
    </w:pPr>
    <w:rPr>
      <w:kern w:val="0"/>
      <w:sz w:val="24"/>
    </w:rPr>
  </w:style>
  <w:style w:type="paragraph" w:customStyle="1" w:styleId="106">
    <w:name w:val="xl25"/>
    <w:basedOn w:val="1"/>
    <w:qFormat/>
    <w:uiPriority w:val="0"/>
    <w:pPr>
      <w:spacing w:before="100" w:beforeAutospacing="1" w:after="100" w:afterAutospacing="1"/>
    </w:pPr>
    <w:rPr>
      <w:kern w:val="0"/>
      <w:sz w:val="24"/>
    </w:rPr>
  </w:style>
  <w:style w:type="paragraph" w:customStyle="1" w:styleId="10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仿宋_GB2312" w:hAnsi="宋体" w:eastAsia="仿宋_GB2312"/>
      <w:kern w:val="0"/>
      <w:sz w:val="22"/>
      <w:szCs w:val="22"/>
    </w:rPr>
  </w:style>
  <w:style w:type="paragraph" w:customStyle="1" w:styleId="108">
    <w:name w:val="1"/>
    <w:basedOn w:val="1"/>
    <w:next w:val="19"/>
    <w:qFormat/>
    <w:uiPriority w:val="0"/>
    <w:pPr>
      <w:autoSpaceDE w:val="0"/>
      <w:autoSpaceDN w:val="0"/>
      <w:adjustRightInd w:val="0"/>
      <w:textAlignment w:val="baseline"/>
    </w:pPr>
    <w:rPr>
      <w:rFonts w:ascii="宋体"/>
      <w:sz w:val="28"/>
      <w:szCs w:val="20"/>
    </w:rPr>
  </w:style>
  <w:style w:type="paragraph" w:customStyle="1" w:styleId="109">
    <w:name w:val="注解文字"/>
    <w:basedOn w:val="1"/>
    <w:qFormat/>
    <w:uiPriority w:val="0"/>
    <w:pPr>
      <w:autoSpaceDE w:val="0"/>
      <w:autoSpaceDN w:val="0"/>
      <w:adjustRightInd w:val="0"/>
      <w:spacing w:line="312" w:lineRule="atLeast"/>
      <w:textAlignment w:val="baseline"/>
    </w:pPr>
    <w:rPr>
      <w:rFonts w:ascii="宋体" w:hAnsi="Tms Rmn"/>
      <w:kern w:val="0"/>
      <w:szCs w:val="20"/>
    </w:rPr>
  </w:style>
  <w:style w:type="paragraph" w:customStyle="1" w:styleId="110">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4"/>
    </w:rPr>
  </w:style>
  <w:style w:type="paragraph" w:customStyle="1" w:styleId="111">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4"/>
    </w:rPr>
  </w:style>
  <w:style w:type="paragraph" w:customStyle="1" w:styleId="112">
    <w:name w:val="xl41"/>
    <w:basedOn w:val="1"/>
    <w:qFormat/>
    <w:uiPriority w:val="0"/>
    <w:pPr>
      <w:spacing w:before="100" w:beforeAutospacing="1" w:after="100" w:afterAutospacing="1"/>
      <w:jc w:val="center"/>
      <w:textAlignment w:val="center"/>
    </w:pPr>
    <w:rPr>
      <w:rFonts w:hint="eastAsia" w:ascii="黑体" w:hAnsi="宋体" w:eastAsia="黑体"/>
      <w:b/>
      <w:bCs/>
      <w:kern w:val="0"/>
      <w:sz w:val="36"/>
      <w:szCs w:val="36"/>
    </w:rPr>
  </w:style>
  <w:style w:type="paragraph" w:customStyle="1" w:styleId="113">
    <w:name w:val="font1"/>
    <w:basedOn w:val="1"/>
    <w:qFormat/>
    <w:uiPriority w:val="0"/>
    <w:pPr>
      <w:spacing w:before="100" w:beforeAutospacing="1" w:after="100" w:afterAutospacing="1"/>
    </w:pPr>
    <w:rPr>
      <w:rFonts w:hint="eastAsia" w:ascii="宋体" w:hAnsi="宋体"/>
      <w:kern w:val="0"/>
      <w:sz w:val="24"/>
    </w:rPr>
  </w:style>
  <w:style w:type="paragraph" w:customStyle="1" w:styleId="114">
    <w:name w:val="样式1"/>
    <w:basedOn w:val="2"/>
    <w:qFormat/>
    <w:uiPriority w:val="0"/>
    <w:pPr>
      <w:jc w:val="center"/>
    </w:pPr>
    <w:rPr>
      <w:sz w:val="36"/>
      <w:szCs w:val="36"/>
    </w:rPr>
  </w:style>
  <w:style w:type="paragraph" w:customStyle="1" w:styleId="115">
    <w:name w:val="Char1 Char Char Char Char Char1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116">
    <w:name w:val="2"/>
    <w:basedOn w:val="1"/>
    <w:next w:val="16"/>
    <w:qFormat/>
    <w:uiPriority w:val="0"/>
    <w:pPr>
      <w:autoSpaceDE w:val="0"/>
      <w:autoSpaceDN w:val="0"/>
      <w:adjustRightInd w:val="0"/>
      <w:textAlignment w:val="baseline"/>
    </w:pPr>
    <w:rPr>
      <w:rFonts w:ascii="宋体"/>
      <w:sz w:val="28"/>
      <w:szCs w:val="20"/>
    </w:rPr>
  </w:style>
  <w:style w:type="paragraph" w:customStyle="1" w:styleId="117">
    <w:name w:val="xl55"/>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eastAsia="Arial Unicode MS"/>
      <w:kern w:val="0"/>
      <w:sz w:val="20"/>
      <w:szCs w:val="20"/>
    </w:rPr>
  </w:style>
  <w:style w:type="paragraph" w:customStyle="1" w:styleId="118">
    <w:name w:val="xl52"/>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textAlignment w:val="center"/>
    </w:pPr>
    <w:rPr>
      <w:rFonts w:eastAsia="Arial Unicode MS"/>
      <w:kern w:val="0"/>
      <w:sz w:val="20"/>
      <w:szCs w:val="20"/>
    </w:rPr>
  </w:style>
  <w:style w:type="paragraph" w:customStyle="1" w:styleId="119">
    <w:name w:val="font6"/>
    <w:basedOn w:val="1"/>
    <w:qFormat/>
    <w:uiPriority w:val="0"/>
    <w:pPr>
      <w:spacing w:before="100" w:beforeAutospacing="1" w:after="100" w:afterAutospacing="1"/>
    </w:pPr>
    <w:rPr>
      <w:kern w:val="0"/>
      <w:sz w:val="24"/>
    </w:rPr>
  </w:style>
  <w:style w:type="paragraph" w:customStyle="1" w:styleId="120">
    <w:name w:val="Char1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121">
    <w:name w:val="正文段"/>
    <w:basedOn w:val="1"/>
    <w:qFormat/>
    <w:uiPriority w:val="0"/>
    <w:pPr>
      <w:spacing w:line="360" w:lineRule="auto"/>
      <w:ind w:firstLine="420"/>
    </w:pPr>
    <w:rPr>
      <w:rFonts w:ascii="宋体"/>
      <w:sz w:val="24"/>
    </w:rPr>
  </w:style>
  <w:style w:type="paragraph" w:customStyle="1" w:styleId="122">
    <w:name w:val="Char2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123">
    <w:name w:val="普通(Web)3"/>
    <w:basedOn w:val="1"/>
    <w:qFormat/>
    <w:uiPriority w:val="0"/>
    <w:pPr>
      <w:spacing w:before="190"/>
      <w:ind w:firstLine="408"/>
    </w:pPr>
    <w:rPr>
      <w:rFonts w:ascii="宋体" w:hAnsi="宋体" w:cs="宋体"/>
      <w:kern w:val="0"/>
      <w:sz w:val="24"/>
    </w:rPr>
  </w:style>
  <w:style w:type="paragraph" w:customStyle="1" w:styleId="124">
    <w:name w:val="xl44"/>
    <w:basedOn w:val="1"/>
    <w:qFormat/>
    <w:uiPriority w:val="0"/>
    <w:pPr>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125">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26">
    <w:name w:val="xl34"/>
    <w:basedOn w:val="1"/>
    <w:qFormat/>
    <w:uiPriority w:val="0"/>
    <w:pPr>
      <w:spacing w:before="100" w:beforeAutospacing="1" w:after="100" w:afterAutospacing="1"/>
    </w:pPr>
    <w:rPr>
      <w:rFonts w:ascii="宋体" w:hAnsi="宋体"/>
      <w:kern w:val="0"/>
      <w:sz w:val="22"/>
      <w:szCs w:val="22"/>
    </w:rPr>
  </w:style>
  <w:style w:type="paragraph" w:customStyle="1" w:styleId="127">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4"/>
    </w:rPr>
  </w:style>
  <w:style w:type="paragraph" w:customStyle="1" w:styleId="128">
    <w:name w:val="xl42"/>
    <w:basedOn w:val="1"/>
    <w:qFormat/>
    <w:uiPriority w:val="0"/>
    <w:pPr>
      <w:spacing w:before="100" w:beforeAutospacing="1" w:after="100" w:afterAutospacing="1"/>
      <w:jc w:val="center"/>
      <w:textAlignment w:val="center"/>
    </w:pPr>
    <w:rPr>
      <w:rFonts w:ascii="宋体" w:hAnsi="宋体"/>
      <w:kern w:val="0"/>
      <w:sz w:val="24"/>
    </w:rPr>
  </w:style>
  <w:style w:type="paragraph" w:customStyle="1" w:styleId="129">
    <w:name w:val="Char1 Char Char Char Char Char Char Char Char Char Char Char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130">
    <w:name w:val="xl5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31">
    <w:name w:val="Char1 Char Char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132">
    <w:name w:val="font10"/>
    <w:basedOn w:val="1"/>
    <w:qFormat/>
    <w:uiPriority w:val="0"/>
    <w:pPr>
      <w:spacing w:before="100" w:beforeAutospacing="1" w:after="100" w:afterAutospacing="1"/>
    </w:pPr>
    <w:rPr>
      <w:kern w:val="0"/>
      <w:sz w:val="24"/>
    </w:rPr>
  </w:style>
  <w:style w:type="paragraph" w:customStyle="1" w:styleId="133">
    <w:name w:val="xl60"/>
    <w:basedOn w:val="1"/>
    <w:qFormat/>
    <w:uiPriority w:val="0"/>
    <w:pPr>
      <w:pBdr>
        <w:top w:val="single" w:color="auto" w:sz="4" w:space="0"/>
        <w:left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34">
    <w:name w:val="Char Char Char Char Char Char1 Char"/>
    <w:basedOn w:val="1"/>
    <w:qFormat/>
    <w:uiPriority w:val="0"/>
    <w:pPr>
      <w:spacing w:after="160" w:line="240" w:lineRule="exact"/>
    </w:pPr>
    <w:rPr>
      <w:rFonts w:ascii="Verdana" w:hAnsi="Verdana" w:eastAsia="仿宋_GB2312"/>
      <w:kern w:val="0"/>
      <w:sz w:val="24"/>
      <w:szCs w:val="20"/>
      <w:lang w:eastAsia="en-US"/>
    </w:rPr>
  </w:style>
  <w:style w:type="paragraph" w:customStyle="1" w:styleId="135">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kern w:val="0"/>
      <w:sz w:val="22"/>
      <w:szCs w:val="22"/>
    </w:rPr>
  </w:style>
  <w:style w:type="paragraph" w:customStyle="1" w:styleId="136">
    <w:name w:val="Char1 Char Char Char Char Char1 Char"/>
    <w:basedOn w:val="1"/>
    <w:qFormat/>
    <w:uiPriority w:val="0"/>
    <w:pPr>
      <w:spacing w:after="160" w:line="240" w:lineRule="exact"/>
    </w:pPr>
    <w:rPr>
      <w:rFonts w:ascii="Verdana" w:hAnsi="Verdana" w:eastAsia="仿宋_GB2312"/>
      <w:kern w:val="0"/>
      <w:sz w:val="24"/>
      <w:szCs w:val="20"/>
      <w:lang w:eastAsia="en-US"/>
    </w:rPr>
  </w:style>
  <w:style w:type="paragraph" w:customStyle="1" w:styleId="137">
    <w:name w:val="xl58"/>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138">
    <w:name w:val="xl23"/>
    <w:basedOn w:val="1"/>
    <w:qFormat/>
    <w:uiPriority w:val="0"/>
    <w:pPr>
      <w:pBdr>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39">
    <w:name w:val="正文1"/>
    <w:basedOn w:val="1"/>
    <w:qFormat/>
    <w:uiPriority w:val="0"/>
    <w:pPr>
      <w:pBdr>
        <w:bottom w:val="single" w:color="3C5849" w:sz="36" w:space="0"/>
      </w:pBdr>
      <w:wordWrap w:val="0"/>
      <w:spacing w:before="210" w:line="480" w:lineRule="auto"/>
      <w:ind w:firstLine="450"/>
    </w:pPr>
    <w:rPr>
      <w:rFonts w:ascii="宋体" w:hAnsi="宋体" w:cs="宋体"/>
      <w:color w:val="3B3B3B"/>
      <w:kern w:val="0"/>
      <w:szCs w:val="21"/>
    </w:rPr>
  </w:style>
  <w:style w:type="paragraph" w:customStyle="1" w:styleId="140">
    <w:name w:val="xl53"/>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textAlignment w:val="center"/>
    </w:pPr>
    <w:rPr>
      <w:rFonts w:ascii="Arial Unicode MS" w:hAnsi="Arial Unicode MS" w:eastAsia="Arial Unicode MS" w:cs="Arial Unicode MS"/>
      <w:kern w:val="0"/>
      <w:sz w:val="20"/>
      <w:szCs w:val="20"/>
    </w:rPr>
  </w:style>
  <w:style w:type="paragraph" w:customStyle="1" w:styleId="14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42">
    <w:name w:val="Char1 Char Char Char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143">
    <w:name w:val="样式 标题 1 + 宋体 四号 居中 段前: 12 磅 段后: 12 磅 行距: 1.5 倍行距"/>
    <w:basedOn w:val="2"/>
    <w:qFormat/>
    <w:uiPriority w:val="0"/>
    <w:pPr>
      <w:spacing w:before="120" w:after="240" w:line="360" w:lineRule="auto"/>
      <w:jc w:val="center"/>
    </w:pPr>
    <w:rPr>
      <w:rFonts w:ascii="宋体" w:hAnsi="宋体"/>
      <w:kern w:val="0"/>
      <w:sz w:val="28"/>
      <w:szCs w:val="20"/>
    </w:rPr>
  </w:style>
  <w:style w:type="paragraph" w:customStyle="1" w:styleId="144">
    <w:name w:val="估价报告模板_三级标题 + 段后: 0.5 行 + 段后: 0.5 行"/>
    <w:basedOn w:val="1"/>
    <w:qFormat/>
    <w:uiPriority w:val="0"/>
    <w:pPr>
      <w:spacing w:line="440" w:lineRule="exact"/>
      <w:ind w:firstLine="200" w:firstLineChars="200"/>
      <w:outlineLvl w:val="2"/>
    </w:pPr>
    <w:rPr>
      <w:rFonts w:ascii="仿宋_GB2312" w:hAnsi="宋体" w:eastAsia="仿宋_GB2312" w:cs="宋体"/>
      <w:b/>
      <w:bCs/>
      <w:kern w:val="0"/>
      <w:sz w:val="28"/>
      <w:szCs w:val="20"/>
    </w:rPr>
  </w:style>
  <w:style w:type="paragraph" w:customStyle="1" w:styleId="145">
    <w:name w:val="xl45"/>
    <w:basedOn w:val="1"/>
    <w:qFormat/>
    <w:uiPriority w:val="0"/>
    <w:pPr>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146">
    <w:name w:val="Char1"/>
    <w:basedOn w:val="1"/>
    <w:qFormat/>
    <w:uiPriority w:val="0"/>
    <w:pPr>
      <w:spacing w:after="160" w:line="240" w:lineRule="exact"/>
      <w:textAlignment w:val="bottom"/>
    </w:pPr>
    <w:rPr>
      <w:rFonts w:ascii="Verdana" w:eastAsia="仿宋_GB2312"/>
      <w:color w:val="FFFFFF"/>
      <w:sz w:val="18"/>
      <w:szCs w:val="18"/>
    </w:rPr>
  </w:style>
  <w:style w:type="paragraph" w:customStyle="1" w:styleId="147">
    <w:name w:val="Char1 Char Char Char Char Char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148">
    <w:name w:val="font8"/>
    <w:basedOn w:val="1"/>
    <w:qFormat/>
    <w:uiPriority w:val="0"/>
    <w:pPr>
      <w:spacing w:before="100" w:beforeAutospacing="1" w:after="100" w:afterAutospacing="1"/>
    </w:pPr>
    <w:rPr>
      <w:rFonts w:hint="eastAsia" w:ascii="宋体" w:hAnsi="宋体"/>
      <w:kern w:val="0"/>
      <w:sz w:val="24"/>
    </w:rPr>
  </w:style>
  <w:style w:type="paragraph" w:customStyle="1" w:styleId="149">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50">
    <w:name w:val="Char1 Char Char Char Char Char Char Char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151">
    <w:name w:val="正文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52">
    <w:name w:val="xl61"/>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53">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kern w:val="0"/>
      <w:sz w:val="22"/>
      <w:szCs w:val="22"/>
    </w:rPr>
  </w:style>
  <w:style w:type="paragraph" w:customStyle="1" w:styleId="1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kern w:val="0"/>
      <w:sz w:val="22"/>
      <w:szCs w:val="22"/>
    </w:rPr>
  </w:style>
  <w:style w:type="paragraph" w:customStyle="1" w:styleId="155">
    <w:name w:val="xl40"/>
    <w:basedOn w:val="1"/>
    <w:qFormat/>
    <w:uiPriority w:val="0"/>
    <w:pPr>
      <w:spacing w:before="100" w:beforeAutospacing="1" w:after="100" w:afterAutospacing="1"/>
      <w:jc w:val="right"/>
      <w:textAlignment w:val="center"/>
    </w:pPr>
    <w:rPr>
      <w:rFonts w:hint="eastAsia" w:ascii="黑体" w:hAnsi="宋体" w:eastAsia="黑体"/>
      <w:b/>
      <w:bCs/>
      <w:kern w:val="0"/>
      <w:sz w:val="24"/>
    </w:rPr>
  </w:style>
  <w:style w:type="paragraph" w:customStyle="1" w:styleId="156">
    <w:name w:val="Char1 Char Char Char Char Char1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157">
    <w:name w:val="xl50"/>
    <w:basedOn w:val="1"/>
    <w:qFormat/>
    <w:uiPriority w:val="0"/>
    <w:pPr>
      <w:pBdr>
        <w:top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158">
    <w:name w:val="xl35"/>
    <w:basedOn w:val="1"/>
    <w:qFormat/>
    <w:uiPriority w:val="0"/>
    <w:pPr>
      <w:spacing w:before="100" w:beforeAutospacing="1" w:after="100" w:afterAutospacing="1"/>
      <w:jc w:val="center"/>
    </w:pPr>
    <w:rPr>
      <w:rFonts w:ascii="宋体" w:hAnsi="宋体"/>
      <w:kern w:val="0"/>
      <w:sz w:val="24"/>
    </w:rPr>
  </w:style>
  <w:style w:type="paragraph" w:customStyle="1" w:styleId="159">
    <w:name w:val="font12"/>
    <w:basedOn w:val="1"/>
    <w:qFormat/>
    <w:uiPriority w:val="0"/>
    <w:pPr>
      <w:spacing w:before="100" w:beforeAutospacing="1" w:after="100" w:afterAutospacing="1"/>
    </w:pPr>
    <w:rPr>
      <w:rFonts w:hint="eastAsia" w:ascii="宋体" w:hAnsi="宋体"/>
      <w:kern w:val="0"/>
      <w:sz w:val="22"/>
      <w:szCs w:val="22"/>
    </w:rPr>
  </w:style>
  <w:style w:type="paragraph" w:customStyle="1" w:styleId="160">
    <w:name w:val="Char1 Char Char"/>
    <w:basedOn w:val="1"/>
    <w:qFormat/>
    <w:uiPriority w:val="0"/>
    <w:pPr>
      <w:spacing w:after="160" w:line="240" w:lineRule="exact"/>
    </w:pPr>
    <w:rPr>
      <w:rFonts w:ascii="Verdana" w:hAnsi="Verdana" w:eastAsia="仿宋_GB2312"/>
      <w:kern w:val="0"/>
      <w:sz w:val="24"/>
      <w:szCs w:val="20"/>
      <w:lang w:eastAsia="en-US"/>
    </w:rPr>
  </w:style>
  <w:style w:type="character" w:customStyle="1" w:styleId="161">
    <w:name w:val="font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780;&#20272;&#36164;&#26009;&#38598;\&#25269;&#25276;&#25253;&#21578;&#26684;&#24335;&#33539;&#26412;\&#25253;&#21578;_&#25151;&#22320;&#20135;&#35780;&#20272;&#25253;&#21578;&#26684;&#24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592A1-8AFF-486D-BD58-F72FB74D1303}">
  <ds:schemaRefs/>
</ds:datastoreItem>
</file>

<file path=docProps/app.xml><?xml version="1.0" encoding="utf-8"?>
<Properties xmlns="http://schemas.openxmlformats.org/officeDocument/2006/extended-properties" xmlns:vt="http://schemas.openxmlformats.org/officeDocument/2006/docPropsVTypes">
  <Template>报告_房地产评估报告格式</Template>
  <Company>广州评估</Company>
  <Pages>40</Pages>
  <Words>22101</Words>
  <Characters>24394</Characters>
  <Lines>89</Lines>
  <Paragraphs>25</Paragraphs>
  <TotalTime>8</TotalTime>
  <ScaleCrop>false</ScaleCrop>
  <LinksUpToDate>false</LinksUpToDate>
  <CharactersWithSpaces>24526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2022-04-18T08:30:00Z</dcterms:created>
  <dc:creator>Microsoft.com</dc:creator>
  <cp:lastModifiedBy>我心永恒</cp:lastModifiedBy>
  <cp:lastPrinted>2021-11-23T09:10:00Z</cp:lastPrinted>
  <dcterms:modified xsi:type="dcterms:W3CDTF">2022-05-20T04:02:25Z</dcterms:modified>
  <dc:title>房地产估价报告示范文本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68B0F05BAB2F4FB29B10746538E0DD32</vt:lpwstr>
  </property>
</Properties>
</file>