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95"/>
        </w:tabs>
        <w:spacing w:line="360" w:lineRule="auto"/>
        <w:jc w:val="left"/>
        <w:rPr>
          <w:rFonts w:ascii="宋体" w:hAnsi="宋体"/>
          <w:b/>
          <w:color w:val="000000"/>
          <w:sz w:val="20"/>
          <w:szCs w:val="20"/>
        </w:rPr>
      </w:pPr>
      <w:r>
        <w:rPr>
          <w:rFonts w:hint="eastAsia" w:ascii="宋体" w:hAnsi="宋体"/>
          <w:b/>
          <w:color w:val="000000"/>
          <w:sz w:val="20"/>
          <w:szCs w:val="20"/>
        </w:rPr>
        <w:t xml:space="preserve">No: </w:t>
      </w:r>
      <w:r>
        <w:rPr>
          <w:rFonts w:hint="eastAsia" w:ascii="微软雅黑" w:hAnsi="微软雅黑" w:eastAsia="微软雅黑"/>
          <w:color w:val="000000"/>
          <w:sz w:val="18"/>
          <w:szCs w:val="18"/>
          <w:lang w:eastAsia="zh-CN"/>
        </w:rPr>
        <w:t>576381055060</w:t>
      </w:r>
      <w:r>
        <w:rPr>
          <w:rFonts w:ascii="微软雅黑" w:hAnsi="微软雅黑" w:eastAsia="微软雅黑"/>
          <w:color w:val="000000"/>
          <w:sz w:val="18"/>
          <w:szCs w:val="18"/>
        </w:rPr>
        <w:tab/>
      </w:r>
    </w:p>
    <w:p>
      <w:pPr>
        <w:spacing w:line="360" w:lineRule="auto"/>
        <w:jc w:val="left"/>
        <w:rPr>
          <w:rFonts w:ascii="宋体" w:hAnsi="宋体"/>
          <w:b/>
          <w:color w:val="FF0000"/>
        </w:rPr>
      </w:pPr>
    </w:p>
    <w:p>
      <w:pPr>
        <w:spacing w:line="360" w:lineRule="auto"/>
        <w:jc w:val="left"/>
        <w:rPr>
          <w:rFonts w:ascii="宋体" w:hAnsi="宋体"/>
          <w:b/>
          <w:color w:val="0070C0"/>
        </w:rPr>
      </w:pPr>
    </w:p>
    <w:p>
      <w:pPr>
        <w:pStyle w:val="134"/>
      </w:pPr>
    </w:p>
    <w:p>
      <w:pPr>
        <w:pStyle w:val="134"/>
      </w:pPr>
    </w:p>
    <w:p>
      <w:pPr>
        <w:pStyle w:val="134"/>
        <w:rPr>
          <w:b/>
        </w:rPr>
      </w:pPr>
      <w:r>
        <w:rPr>
          <w:rFonts w:hint="eastAsia"/>
          <w:b/>
        </w:rPr>
        <w:t>涉执房地产处置司法估价报告</w:t>
      </w:r>
    </w:p>
    <w:p>
      <w:pPr>
        <w:pStyle w:val="134"/>
      </w:pPr>
    </w:p>
    <w:p>
      <w:pPr>
        <w:pStyle w:val="134"/>
      </w:pPr>
    </w:p>
    <w:p>
      <w:pPr>
        <w:pStyle w:val="134"/>
      </w:pPr>
    </w:p>
    <w:p>
      <w:pPr>
        <w:pStyle w:val="134"/>
      </w:pPr>
    </w:p>
    <w:tbl>
      <w:tblPr>
        <w:tblStyle w:val="31"/>
        <w:tblW w:w="9356" w:type="dxa"/>
        <w:tblInd w:w="-459" w:type="dxa"/>
        <w:tblLayout w:type="fixed"/>
        <w:tblCellMar>
          <w:top w:w="0" w:type="dxa"/>
          <w:left w:w="108" w:type="dxa"/>
          <w:bottom w:w="0" w:type="dxa"/>
          <w:right w:w="108" w:type="dxa"/>
        </w:tblCellMar>
      </w:tblPr>
      <w:tblGrid>
        <w:gridCol w:w="2977"/>
        <w:gridCol w:w="6379"/>
      </w:tblGrid>
      <w:tr>
        <w:tblPrEx>
          <w:tblCellMar>
            <w:top w:w="0" w:type="dxa"/>
            <w:left w:w="108" w:type="dxa"/>
            <w:bottom w:w="0" w:type="dxa"/>
            <w:right w:w="108" w:type="dxa"/>
          </w:tblCellMar>
        </w:tblPrEx>
        <w:tc>
          <w:tcPr>
            <w:tcW w:w="2977" w:type="dxa"/>
          </w:tcPr>
          <w:p>
            <w:pPr>
              <w:pStyle w:val="101"/>
            </w:pPr>
            <w:r>
              <w:rPr>
                <w:rFonts w:hint="eastAsia"/>
              </w:rPr>
              <w:t>估价项目名称：</w:t>
            </w:r>
          </w:p>
        </w:tc>
        <w:tc>
          <w:tcPr>
            <w:tcW w:w="6379" w:type="dxa"/>
          </w:tcPr>
          <w:p>
            <w:pPr>
              <w:pStyle w:val="115"/>
            </w:pPr>
            <w:r>
              <w:rPr>
                <w:rFonts w:hint="eastAsia"/>
                <w:lang w:eastAsia="zh-CN"/>
              </w:rPr>
              <w:t>青铜峡市永昌英伦庄园23幢01012</w:t>
            </w:r>
            <w:r>
              <w:t>住宅房地产市场价值评估</w:t>
            </w:r>
          </w:p>
        </w:tc>
      </w:tr>
      <w:tr>
        <w:tblPrEx>
          <w:tblCellMar>
            <w:top w:w="0" w:type="dxa"/>
            <w:left w:w="108" w:type="dxa"/>
            <w:bottom w:w="0" w:type="dxa"/>
            <w:right w:w="108" w:type="dxa"/>
          </w:tblCellMar>
        </w:tblPrEx>
        <w:tc>
          <w:tcPr>
            <w:tcW w:w="2977" w:type="dxa"/>
          </w:tcPr>
          <w:p>
            <w:pPr>
              <w:pStyle w:val="101"/>
            </w:pPr>
            <w:r>
              <w:rPr>
                <w:rFonts w:hint="eastAsia"/>
              </w:rPr>
              <w:t>估价报告编号：</w:t>
            </w:r>
          </w:p>
        </w:tc>
        <w:tc>
          <w:tcPr>
            <w:tcW w:w="6379" w:type="dxa"/>
          </w:tcPr>
          <w:p>
            <w:pPr>
              <w:pStyle w:val="115"/>
            </w:pPr>
            <w:r>
              <w:t>仁达房估字</w:t>
            </w:r>
            <w:r>
              <w:rPr>
                <w:rFonts w:hint="eastAsia"/>
                <w:lang w:eastAsia="zh-CN"/>
              </w:rPr>
              <w:t>【2022】</w:t>
            </w:r>
            <w:r>
              <w:t>第</w:t>
            </w:r>
            <w:r>
              <w:rPr>
                <w:rFonts w:hint="eastAsia"/>
                <w:lang w:eastAsia="zh-CN"/>
              </w:rPr>
              <w:t>202210108000046</w:t>
            </w:r>
            <w:r>
              <w:t>号</w:t>
            </w:r>
          </w:p>
        </w:tc>
      </w:tr>
      <w:tr>
        <w:tblPrEx>
          <w:tblCellMar>
            <w:top w:w="0" w:type="dxa"/>
            <w:left w:w="108" w:type="dxa"/>
            <w:bottom w:w="0" w:type="dxa"/>
            <w:right w:w="108" w:type="dxa"/>
          </w:tblCellMar>
        </w:tblPrEx>
        <w:tc>
          <w:tcPr>
            <w:tcW w:w="2977" w:type="dxa"/>
          </w:tcPr>
          <w:p>
            <w:pPr>
              <w:pStyle w:val="101"/>
            </w:pPr>
            <w:r>
              <w:rPr>
                <w:rFonts w:hint="eastAsia"/>
              </w:rPr>
              <w:t>估价委托人：</w:t>
            </w:r>
          </w:p>
        </w:tc>
        <w:tc>
          <w:tcPr>
            <w:tcW w:w="6379" w:type="dxa"/>
          </w:tcPr>
          <w:p>
            <w:pPr>
              <w:pStyle w:val="115"/>
              <w:rPr>
                <w:rFonts w:hint="eastAsia" w:eastAsia="楷体_GB2312"/>
                <w:lang w:eastAsia="zh-CN"/>
              </w:rPr>
            </w:pPr>
            <w:r>
              <w:rPr>
                <w:rFonts w:hint="eastAsia"/>
                <w:lang w:eastAsia="zh-CN"/>
              </w:rPr>
              <w:t>宁夏回族自治区吴忠市中级人民法院</w:t>
            </w:r>
          </w:p>
        </w:tc>
      </w:tr>
      <w:tr>
        <w:tblPrEx>
          <w:tblCellMar>
            <w:top w:w="0" w:type="dxa"/>
            <w:left w:w="108" w:type="dxa"/>
            <w:bottom w:w="0" w:type="dxa"/>
            <w:right w:w="108" w:type="dxa"/>
          </w:tblCellMar>
        </w:tblPrEx>
        <w:tc>
          <w:tcPr>
            <w:tcW w:w="2977" w:type="dxa"/>
          </w:tcPr>
          <w:p>
            <w:pPr>
              <w:pStyle w:val="101"/>
            </w:pPr>
            <w:r>
              <w:rPr>
                <w:rFonts w:hint="eastAsia"/>
              </w:rPr>
              <w:t>房地产估价机构：</w:t>
            </w:r>
          </w:p>
        </w:tc>
        <w:tc>
          <w:tcPr>
            <w:tcW w:w="6379" w:type="dxa"/>
          </w:tcPr>
          <w:p>
            <w:pPr>
              <w:pStyle w:val="115"/>
            </w:pPr>
            <w:r>
              <w:rPr>
                <w:rFonts w:hint="eastAsia"/>
              </w:rPr>
              <w:t>北京仁达房地产土地资产评估有限公司</w:t>
            </w:r>
          </w:p>
        </w:tc>
      </w:tr>
      <w:tr>
        <w:tblPrEx>
          <w:tblCellMar>
            <w:top w:w="0" w:type="dxa"/>
            <w:left w:w="108" w:type="dxa"/>
            <w:bottom w:w="0" w:type="dxa"/>
            <w:right w:w="108" w:type="dxa"/>
          </w:tblCellMar>
        </w:tblPrEx>
        <w:tc>
          <w:tcPr>
            <w:tcW w:w="2977" w:type="dxa"/>
          </w:tcPr>
          <w:p>
            <w:pPr>
              <w:pStyle w:val="101"/>
            </w:pPr>
            <w:r>
              <w:rPr>
                <w:rFonts w:hint="eastAsia"/>
              </w:rPr>
              <w:t>注册房地产估价师：</w:t>
            </w:r>
          </w:p>
        </w:tc>
        <w:tc>
          <w:tcPr>
            <w:tcW w:w="6379" w:type="dxa"/>
          </w:tcPr>
          <w:p>
            <w:pPr>
              <w:pStyle w:val="115"/>
            </w:pPr>
            <w:r>
              <w:rPr>
                <w:rFonts w:hint="eastAsia"/>
              </w:rPr>
              <w:t>马思贵（注册号：6420110012）</w:t>
            </w:r>
          </w:p>
          <w:p>
            <w:pPr>
              <w:pStyle w:val="115"/>
            </w:pPr>
            <w:r>
              <w:rPr>
                <w:rFonts w:hint="eastAsia"/>
              </w:rPr>
              <w:t>张  斌（注册号：6420210013）</w:t>
            </w:r>
          </w:p>
        </w:tc>
      </w:tr>
      <w:tr>
        <w:tblPrEx>
          <w:tblCellMar>
            <w:top w:w="0" w:type="dxa"/>
            <w:left w:w="108" w:type="dxa"/>
            <w:bottom w:w="0" w:type="dxa"/>
            <w:right w:w="108" w:type="dxa"/>
          </w:tblCellMar>
        </w:tblPrEx>
        <w:tc>
          <w:tcPr>
            <w:tcW w:w="2977" w:type="dxa"/>
          </w:tcPr>
          <w:p>
            <w:pPr>
              <w:pStyle w:val="101"/>
            </w:pPr>
            <w:r>
              <w:rPr>
                <w:rFonts w:hint="eastAsia"/>
              </w:rPr>
              <w:t>估价报告出具日期：</w:t>
            </w:r>
          </w:p>
        </w:tc>
        <w:tc>
          <w:tcPr>
            <w:tcW w:w="6379" w:type="dxa"/>
          </w:tcPr>
          <w:p>
            <w:pPr>
              <w:pStyle w:val="115"/>
              <w:rPr>
                <w:rFonts w:hint="eastAsia" w:eastAsia="楷体_GB2312"/>
                <w:lang w:eastAsia="zh-CN"/>
              </w:rPr>
            </w:pPr>
            <w:r>
              <w:rPr>
                <w:rFonts w:hint="eastAsia"/>
                <w:lang w:eastAsia="zh-CN"/>
              </w:rPr>
              <w:t>二〇二二年六月七日</w:t>
            </w:r>
          </w:p>
          <w:p>
            <w:pPr>
              <w:pStyle w:val="115"/>
            </w:pPr>
          </w:p>
          <w:p>
            <w:pPr>
              <w:pStyle w:val="115"/>
            </w:pPr>
          </w:p>
        </w:tc>
      </w:tr>
    </w:tbl>
    <w:p>
      <w:pPr>
        <w:spacing w:before="156" w:beforeLines="50" w:after="156" w:afterLines="50"/>
        <w:jc w:val="center"/>
        <w:rPr>
          <w:rFonts w:ascii="楷体" w:hAnsi="楷体" w:eastAsia="楷体"/>
          <w:b/>
          <w:sz w:val="32"/>
          <w:szCs w:val="32"/>
        </w:rPr>
      </w:pPr>
      <w:bookmarkStart w:id="0" w:name="_Toc318818624"/>
      <w:r>
        <w:rPr>
          <w:rFonts w:hint="eastAsia" w:ascii="楷体" w:hAnsi="楷体" w:eastAsia="楷体"/>
          <w:b/>
          <w:sz w:val="32"/>
          <w:szCs w:val="32"/>
        </w:rPr>
        <w:t>致估价委托人函</w:t>
      </w:r>
      <w:bookmarkEnd w:id="0"/>
    </w:p>
    <w:p>
      <w:pPr>
        <w:spacing w:line="520" w:lineRule="exact"/>
        <w:rPr>
          <w:rFonts w:ascii="楷体" w:hAnsi="楷体" w:eastAsia="楷体"/>
          <w:sz w:val="28"/>
          <w:szCs w:val="28"/>
        </w:rPr>
      </w:pPr>
      <w:r>
        <w:rPr>
          <w:rFonts w:hint="eastAsia" w:ascii="楷体" w:hAnsi="楷体" w:eastAsia="楷体"/>
          <w:sz w:val="28"/>
          <w:szCs w:val="28"/>
          <w:lang w:eastAsia="zh-CN"/>
        </w:rPr>
        <w:t>宁夏回族自治区吴忠市中级人民法院</w:t>
      </w:r>
      <w:r>
        <w:rPr>
          <w:rFonts w:hint="eastAsia" w:ascii="楷体" w:hAnsi="楷体" w:eastAsia="楷体"/>
          <w:sz w:val="28"/>
          <w:szCs w:val="28"/>
        </w:rPr>
        <w:t>：</w:t>
      </w:r>
    </w:p>
    <w:p>
      <w:pPr>
        <w:spacing w:line="520" w:lineRule="exact"/>
        <w:ind w:firstLine="560" w:firstLineChars="200"/>
        <w:rPr>
          <w:rFonts w:ascii="宋体" w:hAnsi="宋体" w:eastAsia="楷体"/>
        </w:rPr>
      </w:pPr>
      <w:r>
        <w:rPr>
          <w:rFonts w:hint="eastAsia" w:ascii="楷体" w:hAnsi="楷体" w:eastAsia="楷体"/>
          <w:sz w:val="28"/>
          <w:szCs w:val="28"/>
        </w:rPr>
        <w:t>承蒙委托，我公司对</w:t>
      </w:r>
      <w:r>
        <w:rPr>
          <w:rFonts w:ascii="楷体" w:hAnsi="楷体" w:eastAsia="楷体"/>
          <w:sz w:val="28"/>
          <w:szCs w:val="28"/>
        </w:rPr>
        <w:t>位于</w:t>
      </w:r>
      <w:r>
        <w:rPr>
          <w:rFonts w:hint="eastAsia" w:ascii="楷体" w:hAnsi="楷体" w:eastAsia="楷体"/>
          <w:sz w:val="28"/>
          <w:szCs w:val="28"/>
          <w:lang w:eastAsia="zh-CN"/>
        </w:rPr>
        <w:t>青铜峡市永昌英伦庄园23幢01012</w:t>
      </w:r>
      <w:r>
        <w:rPr>
          <w:rFonts w:ascii="楷体" w:hAnsi="楷体" w:eastAsia="楷体"/>
          <w:sz w:val="28"/>
          <w:szCs w:val="28"/>
        </w:rPr>
        <w:t>住宅房地产</w:t>
      </w:r>
      <w:r>
        <w:rPr>
          <w:rFonts w:hint="eastAsia" w:ascii="楷体" w:hAnsi="楷体" w:eastAsia="楷体"/>
          <w:sz w:val="28"/>
          <w:szCs w:val="28"/>
        </w:rPr>
        <w:t>（建筑面积</w:t>
      </w:r>
      <w:r>
        <w:rPr>
          <w:rFonts w:hint="eastAsia" w:ascii="楷体" w:hAnsi="楷体" w:eastAsia="楷体"/>
          <w:sz w:val="28"/>
          <w:szCs w:val="28"/>
          <w:lang w:eastAsia="zh-CN"/>
        </w:rPr>
        <w:t>195.96</w:t>
      </w:r>
      <w:r>
        <w:rPr>
          <w:rFonts w:hint="eastAsia" w:ascii="楷体" w:hAnsi="楷体" w:eastAsia="楷体"/>
          <w:sz w:val="28"/>
          <w:szCs w:val="28"/>
        </w:rPr>
        <w:t>m</w:t>
      </w:r>
      <w:r>
        <w:rPr>
          <w:rFonts w:hint="eastAsia" w:ascii="楷体" w:hAnsi="楷体" w:eastAsia="楷体"/>
          <w:sz w:val="28"/>
          <w:szCs w:val="28"/>
          <w:vertAlign w:val="superscript"/>
        </w:rPr>
        <w:t>2</w:t>
      </w:r>
      <w:r>
        <w:rPr>
          <w:rFonts w:ascii="楷体" w:hAnsi="楷体" w:eastAsia="楷体"/>
          <w:sz w:val="28"/>
          <w:szCs w:val="28"/>
        </w:rPr>
        <w:t>）的市场价值进行了评估，</w:t>
      </w:r>
      <w:r>
        <w:rPr>
          <w:rFonts w:hint="eastAsia" w:ascii="楷体" w:hAnsi="楷体" w:eastAsia="楷体"/>
          <w:sz w:val="28"/>
          <w:szCs w:val="28"/>
          <w:lang w:eastAsia="zh-CN"/>
        </w:rPr>
        <w:t>为人民法院确定财产处置参考价提供参考依据</w:t>
      </w:r>
      <w:r>
        <w:rPr>
          <w:rFonts w:hint="eastAsia" w:ascii="楷体" w:hAnsi="楷体" w:eastAsia="楷体"/>
          <w:sz w:val="28"/>
          <w:szCs w:val="28"/>
        </w:rPr>
        <w:t>。</w:t>
      </w:r>
    </w:p>
    <w:p>
      <w:pPr>
        <w:spacing w:line="520" w:lineRule="exact"/>
        <w:ind w:firstLine="560" w:firstLineChars="200"/>
        <w:rPr>
          <w:rFonts w:ascii="楷体" w:hAnsi="楷体" w:eastAsia="楷体"/>
          <w:b/>
          <w:sz w:val="28"/>
          <w:szCs w:val="28"/>
        </w:rPr>
      </w:pPr>
      <w:r>
        <w:rPr>
          <w:rFonts w:hint="eastAsia" w:ascii="楷体" w:hAnsi="楷体" w:eastAsia="楷体"/>
          <w:sz w:val="28"/>
          <w:szCs w:val="28"/>
        </w:rPr>
        <w:t>我们实施了评估所必须的各项程序，按照国家关于房地产评估的有关规定，运用</w:t>
      </w:r>
      <w:r>
        <w:rPr>
          <w:rFonts w:ascii="楷体" w:hAnsi="楷体" w:eastAsia="楷体"/>
          <w:sz w:val="28"/>
          <w:szCs w:val="28"/>
        </w:rPr>
        <w:t>比较法、收益法两种方法</w:t>
      </w:r>
      <w:r>
        <w:rPr>
          <w:rFonts w:hint="eastAsia" w:ascii="楷体" w:hAnsi="楷体" w:eastAsia="楷体"/>
          <w:sz w:val="28"/>
          <w:szCs w:val="28"/>
        </w:rPr>
        <w:t>评估得到估价对象于价值时点</w:t>
      </w:r>
      <w:r>
        <w:rPr>
          <w:rFonts w:hint="eastAsia" w:ascii="楷体" w:hAnsi="楷体" w:eastAsia="楷体"/>
          <w:sz w:val="28"/>
          <w:szCs w:val="28"/>
          <w:lang w:eastAsia="zh-CN"/>
        </w:rPr>
        <w:t>2022年5月24日</w:t>
      </w:r>
      <w:r>
        <w:rPr>
          <w:rFonts w:hint="eastAsia" w:ascii="楷体" w:hAnsi="楷体" w:eastAsia="楷体"/>
          <w:sz w:val="28"/>
          <w:szCs w:val="28"/>
        </w:rPr>
        <w:t>，在价值定义和估价假设限制条件下的估价结果如下：</w:t>
      </w:r>
    </w:p>
    <w:p>
      <w:pPr>
        <w:spacing w:line="520" w:lineRule="exact"/>
        <w:ind w:firstLine="562" w:firstLineChars="200"/>
        <w:rPr>
          <w:rFonts w:ascii="楷体" w:hAnsi="楷体" w:eastAsia="楷体"/>
          <w:b/>
          <w:sz w:val="28"/>
          <w:szCs w:val="28"/>
        </w:rPr>
      </w:pPr>
      <w:r>
        <w:rPr>
          <w:rFonts w:hint="eastAsia" w:ascii="楷体" w:hAnsi="楷体" w:eastAsia="楷体"/>
          <w:b/>
          <w:sz w:val="28"/>
          <w:szCs w:val="28"/>
        </w:rPr>
        <w:t>建筑面积：</w:t>
      </w:r>
      <w:r>
        <w:rPr>
          <w:rFonts w:hint="eastAsia" w:ascii="楷体" w:hAnsi="楷体" w:eastAsia="楷体"/>
          <w:b/>
          <w:sz w:val="28"/>
          <w:szCs w:val="28"/>
          <w:lang w:eastAsia="zh-CN"/>
        </w:rPr>
        <w:t>195.96</w:t>
      </w:r>
      <w:r>
        <w:rPr>
          <w:rFonts w:hint="eastAsia" w:ascii="楷体" w:hAnsi="楷体" w:eastAsia="楷体"/>
          <w:b/>
          <w:sz w:val="28"/>
          <w:szCs w:val="28"/>
        </w:rPr>
        <w:t>平方米</w:t>
      </w:r>
    </w:p>
    <w:p>
      <w:pPr>
        <w:spacing w:line="520" w:lineRule="exact"/>
        <w:ind w:firstLine="562" w:firstLineChars="200"/>
        <w:rPr>
          <w:rFonts w:ascii="楷体" w:hAnsi="楷体" w:eastAsia="楷体"/>
          <w:b/>
          <w:sz w:val="28"/>
          <w:szCs w:val="28"/>
        </w:rPr>
      </w:pPr>
      <w:r>
        <w:rPr>
          <w:rFonts w:hint="eastAsia" w:ascii="楷体" w:hAnsi="楷体" w:eastAsia="楷体"/>
          <w:b/>
          <w:sz w:val="28"/>
          <w:szCs w:val="28"/>
        </w:rPr>
        <w:t>单位建筑面积价值：</w:t>
      </w:r>
      <w:r>
        <w:rPr>
          <w:rFonts w:hint="eastAsia" w:ascii="楷体" w:hAnsi="楷体" w:eastAsia="楷体"/>
          <w:b/>
          <w:sz w:val="28"/>
          <w:szCs w:val="28"/>
          <w:lang w:eastAsia="zh-CN"/>
        </w:rPr>
        <w:t>4887</w:t>
      </w:r>
      <w:r>
        <w:rPr>
          <w:rFonts w:hint="eastAsia" w:ascii="楷体" w:hAnsi="楷体" w:eastAsia="楷体"/>
          <w:b/>
          <w:sz w:val="28"/>
          <w:szCs w:val="28"/>
        </w:rPr>
        <w:t>元/平方米</w:t>
      </w:r>
    </w:p>
    <w:p>
      <w:pPr>
        <w:spacing w:line="520" w:lineRule="exact"/>
        <w:ind w:firstLine="562" w:firstLineChars="200"/>
        <w:rPr>
          <w:rFonts w:ascii="楷体" w:hAnsi="楷体" w:eastAsia="楷体"/>
          <w:b/>
          <w:sz w:val="28"/>
          <w:szCs w:val="28"/>
        </w:rPr>
      </w:pPr>
      <w:r>
        <w:rPr>
          <w:rFonts w:hint="eastAsia" w:ascii="楷体" w:hAnsi="楷体" w:eastAsia="楷体"/>
          <w:b/>
          <w:sz w:val="28"/>
          <w:szCs w:val="28"/>
        </w:rPr>
        <w:t>房地产总价：</w:t>
      </w:r>
      <w:r>
        <w:rPr>
          <w:rFonts w:hint="eastAsia" w:ascii="楷体" w:hAnsi="楷体" w:eastAsia="楷体"/>
          <w:b/>
          <w:sz w:val="28"/>
          <w:szCs w:val="28"/>
          <w:lang w:eastAsia="zh-CN"/>
        </w:rPr>
        <w:t>957657</w:t>
      </w:r>
      <w:r>
        <w:rPr>
          <w:rFonts w:hint="eastAsia" w:ascii="楷体" w:hAnsi="楷体" w:eastAsia="楷体"/>
          <w:b/>
          <w:sz w:val="28"/>
          <w:szCs w:val="28"/>
        </w:rPr>
        <w:t>元</w:t>
      </w:r>
      <w:r>
        <w:rPr>
          <w:rFonts w:hint="eastAsia" w:ascii="楷体" w:hAnsi="楷体" w:eastAsia="楷体"/>
          <w:color w:val="DAEEF3"/>
        </w:rPr>
        <w:t>（公章盖章处）</w:t>
      </w:r>
    </w:p>
    <w:p>
      <w:pPr>
        <w:spacing w:line="520" w:lineRule="exact"/>
        <w:ind w:firstLine="562" w:firstLineChars="200"/>
        <w:rPr>
          <w:rFonts w:ascii="楷体" w:hAnsi="楷体" w:eastAsia="楷体"/>
          <w:b/>
          <w:sz w:val="28"/>
          <w:szCs w:val="28"/>
        </w:rPr>
      </w:pPr>
      <w:r>
        <w:rPr>
          <w:rFonts w:hint="eastAsia" w:ascii="楷体" w:hAnsi="楷体" w:eastAsia="楷体"/>
          <w:b/>
          <w:sz w:val="28"/>
          <w:szCs w:val="28"/>
        </w:rPr>
        <w:t>大写金额：</w:t>
      </w:r>
      <w:r>
        <w:rPr>
          <w:rFonts w:hint="eastAsia" w:ascii="楷体" w:hAnsi="楷体" w:eastAsia="楷体"/>
          <w:b/>
          <w:sz w:val="28"/>
          <w:szCs w:val="28"/>
          <w:lang w:eastAsia="zh-CN"/>
        </w:rPr>
        <w:t>玖拾伍万柒仟陆佰伍拾柒</w:t>
      </w:r>
      <w:r>
        <w:rPr>
          <w:rFonts w:hint="eastAsia" w:ascii="楷体" w:hAnsi="楷体" w:eastAsia="楷体"/>
          <w:b/>
          <w:sz w:val="28"/>
          <w:szCs w:val="28"/>
        </w:rPr>
        <w:t>元整</w:t>
      </w:r>
    </w:p>
    <w:p>
      <w:pPr>
        <w:spacing w:line="520" w:lineRule="exact"/>
        <w:ind w:firstLine="562" w:firstLineChars="200"/>
        <w:rPr>
          <w:rFonts w:ascii="楷体" w:hAnsi="楷体" w:eastAsia="楷体"/>
          <w:b/>
          <w:sz w:val="28"/>
          <w:szCs w:val="28"/>
        </w:rPr>
      </w:pPr>
      <w:r>
        <w:rPr>
          <w:rFonts w:hint="eastAsia" w:ascii="楷体" w:hAnsi="楷体" w:eastAsia="楷体"/>
          <w:b/>
          <w:sz w:val="28"/>
          <w:szCs w:val="28"/>
        </w:rPr>
        <w:t>（货币种类：人民币）</w:t>
      </w:r>
    </w:p>
    <w:p>
      <w:pPr>
        <w:spacing w:line="520" w:lineRule="exact"/>
        <w:ind w:firstLine="562" w:firstLineChars="200"/>
        <w:rPr>
          <w:rFonts w:ascii="楷体" w:hAnsi="楷体" w:eastAsia="楷体"/>
          <w:b/>
          <w:sz w:val="28"/>
          <w:szCs w:val="28"/>
        </w:rPr>
      </w:pPr>
    </w:p>
    <w:p>
      <w:pPr>
        <w:spacing w:line="500" w:lineRule="exact"/>
        <w:rPr>
          <w:rFonts w:ascii="楷体" w:hAnsi="楷体" w:eastAsia="楷体"/>
          <w:b/>
          <w:sz w:val="24"/>
          <w:szCs w:val="24"/>
        </w:rPr>
      </w:pPr>
      <w:r>
        <w:rPr>
          <w:rFonts w:ascii="楷体" w:hAnsi="楷体" w:eastAsia="楷体"/>
          <w:b/>
          <w:sz w:val="24"/>
          <w:szCs w:val="24"/>
        </w:rPr>
        <w:t>提示说明:</w:t>
      </w:r>
    </w:p>
    <w:p>
      <w:pPr>
        <w:pStyle w:val="116"/>
        <w:numPr>
          <w:ilvl w:val="0"/>
          <w:numId w:val="1"/>
        </w:numPr>
        <w:tabs>
          <w:tab w:val="left" w:pos="709"/>
        </w:tabs>
        <w:spacing w:line="500" w:lineRule="exact"/>
        <w:ind w:left="0" w:firstLine="426" w:firstLineChars="0"/>
        <w:rPr>
          <w:rFonts w:ascii="楷体" w:hAnsi="楷体" w:eastAsia="楷体"/>
          <w:sz w:val="24"/>
          <w:szCs w:val="24"/>
        </w:rPr>
      </w:pPr>
      <w:r>
        <w:rPr>
          <w:rFonts w:hint="eastAsia" w:ascii="楷体" w:hAnsi="楷体" w:eastAsia="楷体"/>
          <w:sz w:val="24"/>
          <w:szCs w:val="24"/>
        </w:rPr>
        <w:t>上述估价结果中不包含估价对象使用时的水电暖气费、物业管理费、司法诉讼费用、拍卖佣金、</w:t>
      </w:r>
      <w:r>
        <w:rPr>
          <w:rFonts w:hint="eastAsia" w:ascii="楷体" w:hAnsi="楷体" w:eastAsia="楷体"/>
          <w:color w:val="auto"/>
          <w:sz w:val="24"/>
          <w:szCs w:val="24"/>
        </w:rPr>
        <w:t>买方应缴交易税费</w:t>
      </w:r>
      <w:r>
        <w:rPr>
          <w:rFonts w:hint="eastAsia" w:ascii="楷体" w:hAnsi="楷体" w:eastAsia="楷体"/>
          <w:sz w:val="24"/>
          <w:szCs w:val="24"/>
        </w:rPr>
        <w:t>及其他应付费用等。交易税费由转让人和买受人各自负担。</w:t>
      </w:r>
    </w:p>
    <w:p>
      <w:pPr>
        <w:pStyle w:val="116"/>
        <w:numPr>
          <w:ilvl w:val="0"/>
          <w:numId w:val="1"/>
        </w:numPr>
        <w:tabs>
          <w:tab w:val="left" w:pos="709"/>
        </w:tabs>
        <w:spacing w:line="500" w:lineRule="exact"/>
        <w:ind w:left="0" w:firstLine="426" w:firstLineChars="0"/>
        <w:rPr>
          <w:rFonts w:ascii="楷体" w:hAnsi="楷体" w:eastAsia="楷体"/>
          <w:sz w:val="24"/>
          <w:szCs w:val="24"/>
        </w:rPr>
      </w:pPr>
      <w:r>
        <w:rPr>
          <w:rFonts w:ascii="楷体" w:hAnsi="楷体" w:eastAsia="楷体"/>
          <w:sz w:val="24"/>
          <w:szCs w:val="24"/>
        </w:rPr>
        <w:t>以上内容摘自本房地产估价报告书。欲了解本估价项目的全面情况，应认真阅读估价报告书全文。</w:t>
      </w:r>
    </w:p>
    <w:p>
      <w:r>
        <w:rPr>
          <w:rFonts w:hint="eastAsia" w:ascii="楷体" w:hAnsi="楷体" w:eastAsia="楷体"/>
          <w:color w:val="DAEEF3"/>
          <w:sz w:val="18"/>
          <w:szCs w:val="18"/>
        </w:rPr>
        <w:t xml:space="preserve">                                                                   （公章盖章处）</w:t>
      </w:r>
    </w:p>
    <w:p>
      <w:pPr>
        <w:ind w:firstLine="3640" w:firstLineChars="1300"/>
        <w:rPr>
          <w:rFonts w:ascii="楷体" w:hAnsi="楷体" w:eastAsia="楷体"/>
          <w:sz w:val="28"/>
          <w:szCs w:val="28"/>
        </w:rPr>
      </w:pPr>
      <w:r>
        <w:rPr>
          <w:rFonts w:hint="eastAsia" w:ascii="楷体" w:hAnsi="楷体" w:eastAsia="楷体"/>
          <w:sz w:val="28"/>
          <w:szCs w:val="28"/>
        </w:rPr>
        <w:t>北京仁达房地产土地资产评估有限公司</w:t>
      </w:r>
    </w:p>
    <w:p>
      <w:pPr>
        <w:ind w:firstLine="4480" w:firstLineChars="1600"/>
        <w:rPr>
          <w:rFonts w:ascii="楷体" w:hAnsi="楷体" w:eastAsia="楷体"/>
          <w:sz w:val="28"/>
          <w:szCs w:val="28"/>
        </w:rPr>
      </w:pPr>
      <w:r>
        <w:rPr>
          <w:rFonts w:hint="eastAsia" w:ascii="楷体" w:hAnsi="楷体" w:eastAsia="楷体"/>
          <w:sz w:val="28"/>
          <w:szCs w:val="28"/>
        </w:rPr>
        <w:t xml:space="preserve">法定代表人：   </w:t>
      </w:r>
      <w:r>
        <w:rPr>
          <w:rFonts w:hint="eastAsia" w:ascii="楷体" w:hAnsi="楷体" w:eastAsia="楷体"/>
          <w:color w:val="DAEEF3"/>
          <w:sz w:val="18"/>
          <w:szCs w:val="18"/>
        </w:rPr>
        <w:t>（新法人章）</w:t>
      </w:r>
    </w:p>
    <w:p>
      <w:pPr>
        <w:ind w:firstLine="4480" w:firstLineChars="1600"/>
        <w:rPr>
          <w:rFonts w:hint="eastAsia" w:ascii="楷体" w:hAnsi="楷体" w:eastAsia="楷体"/>
          <w:sz w:val="28"/>
          <w:szCs w:val="28"/>
          <w:lang w:eastAsia="zh-CN"/>
        </w:rPr>
        <w:sectPr>
          <w:headerReference r:id="rId4" w:type="first"/>
          <w:headerReference r:id="rId3" w:type="default"/>
          <w:footerReference r:id="rId5" w:type="default"/>
          <w:pgSz w:w="11906" w:h="16838"/>
          <w:pgMar w:top="1388" w:right="1700" w:bottom="1134" w:left="1797" w:header="624" w:footer="454"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ascii="楷体" w:hAnsi="楷体" w:eastAsia="楷体"/>
          <w:sz w:val="28"/>
          <w:szCs w:val="28"/>
          <w:lang w:eastAsia="zh-CN"/>
        </w:rPr>
        <w:t>二〇二二年六月七日</w:t>
      </w:r>
    </w:p>
    <w:p>
      <w:pPr>
        <w:pStyle w:val="120"/>
        <w:spacing w:before="156"/>
      </w:pPr>
      <w:r>
        <w:rPr>
          <w:rFonts w:hint="eastAsia"/>
        </w:rPr>
        <w:t>目  录</w:t>
      </w:r>
    </w:p>
    <w:p>
      <w:pPr>
        <w:pStyle w:val="22"/>
        <w:tabs>
          <w:tab w:val="right" w:leader="dot" w:pos="8409"/>
        </w:tabs>
        <w:spacing w:line="540" w:lineRule="exact"/>
      </w:pPr>
      <w:bookmarkStart w:id="1" w:name="_Toc318818625"/>
      <w:bookmarkStart w:id="2" w:name="_Toc436035294"/>
      <w:r>
        <w:rPr>
          <w:rFonts w:ascii="楷体" w:hAnsi="楷体" w:eastAsia="楷体"/>
          <w:b w:val="0"/>
          <w:sz w:val="32"/>
          <w:szCs w:val="32"/>
        </w:rPr>
        <w:fldChar w:fldCharType="begin"/>
      </w:r>
      <w:r>
        <w:rPr>
          <w:rFonts w:ascii="楷体" w:hAnsi="楷体" w:eastAsia="楷体"/>
          <w:b w:val="0"/>
          <w:sz w:val="32"/>
          <w:szCs w:val="32"/>
        </w:rPr>
        <w:instrText xml:space="preserve"> TOC \o "1-2" \h \z \u </w:instrText>
      </w:r>
      <w:r>
        <w:rPr>
          <w:rFonts w:ascii="楷体" w:hAnsi="楷体" w:eastAsia="楷体"/>
          <w:b w:val="0"/>
          <w:sz w:val="32"/>
          <w:szCs w:val="32"/>
        </w:rPr>
        <w:fldChar w:fldCharType="separate"/>
      </w:r>
      <w:r>
        <w:fldChar w:fldCharType="begin"/>
      </w:r>
      <w:r>
        <w:instrText xml:space="preserve"> HYPERLINK \l "_Toc4090" </w:instrText>
      </w:r>
      <w:r>
        <w:fldChar w:fldCharType="separate"/>
      </w:r>
      <w:r>
        <w:rPr>
          <w:rFonts w:hint="eastAsia" w:ascii="楷体" w:hAnsi="楷体" w:eastAsia="楷体"/>
          <w:szCs w:val="32"/>
        </w:rPr>
        <w:t>估价师声明</w:t>
      </w:r>
      <w:r>
        <w:tab/>
      </w:r>
      <w:r>
        <w:fldChar w:fldCharType="begin"/>
      </w:r>
      <w:r>
        <w:instrText xml:space="preserve"> PAGEREF _Toc4090 \h </w:instrText>
      </w:r>
      <w:r>
        <w:fldChar w:fldCharType="separate"/>
      </w:r>
      <w:r>
        <w:t>1</w:t>
      </w:r>
      <w:r>
        <w:fldChar w:fldCharType="end"/>
      </w:r>
      <w:r>
        <w:fldChar w:fldCharType="end"/>
      </w:r>
    </w:p>
    <w:p>
      <w:pPr>
        <w:pStyle w:val="22"/>
        <w:tabs>
          <w:tab w:val="right" w:leader="dot" w:pos="8409"/>
        </w:tabs>
        <w:spacing w:line="540" w:lineRule="exact"/>
      </w:pPr>
      <w:r>
        <w:fldChar w:fldCharType="begin"/>
      </w:r>
      <w:r>
        <w:instrText xml:space="preserve"> HYPERLINK \l "_Toc21229" </w:instrText>
      </w:r>
      <w:r>
        <w:fldChar w:fldCharType="separate"/>
      </w:r>
      <w:r>
        <w:rPr>
          <w:rFonts w:hint="eastAsia" w:ascii="楷体" w:hAnsi="楷体" w:eastAsia="楷体"/>
          <w:szCs w:val="32"/>
        </w:rPr>
        <w:t>估价假设和限制条件</w:t>
      </w:r>
      <w:r>
        <w:tab/>
      </w:r>
      <w:r>
        <w:fldChar w:fldCharType="begin"/>
      </w:r>
      <w:r>
        <w:instrText xml:space="preserve"> PAGEREF _Toc21229 \h </w:instrText>
      </w:r>
      <w:r>
        <w:fldChar w:fldCharType="separate"/>
      </w:r>
      <w:r>
        <w:t>2</w:t>
      </w:r>
      <w:r>
        <w:fldChar w:fldCharType="end"/>
      </w:r>
      <w:r>
        <w:fldChar w:fldCharType="end"/>
      </w:r>
    </w:p>
    <w:p>
      <w:pPr>
        <w:pStyle w:val="22"/>
        <w:tabs>
          <w:tab w:val="right" w:leader="dot" w:pos="8409"/>
        </w:tabs>
        <w:spacing w:line="540" w:lineRule="exact"/>
      </w:pPr>
      <w:r>
        <w:fldChar w:fldCharType="begin"/>
      </w:r>
      <w:r>
        <w:instrText xml:space="preserve"> HYPERLINK \l "_Toc31921" </w:instrText>
      </w:r>
      <w:r>
        <w:fldChar w:fldCharType="separate"/>
      </w:r>
      <w:r>
        <w:rPr>
          <w:rFonts w:hint="eastAsia" w:ascii="楷体" w:hAnsi="楷体" w:eastAsia="楷体"/>
          <w:szCs w:val="32"/>
        </w:rPr>
        <w:t>估价结果报告</w:t>
      </w:r>
      <w:r>
        <w:tab/>
      </w:r>
      <w:r>
        <w:fldChar w:fldCharType="begin"/>
      </w:r>
      <w:r>
        <w:instrText xml:space="preserve"> PAGEREF _Toc31921 \h </w:instrText>
      </w:r>
      <w:r>
        <w:fldChar w:fldCharType="separate"/>
      </w:r>
      <w:r>
        <w:t>6</w:t>
      </w:r>
      <w:r>
        <w:fldChar w:fldCharType="end"/>
      </w:r>
      <w:r>
        <w:fldChar w:fldCharType="end"/>
      </w:r>
    </w:p>
    <w:p>
      <w:pPr>
        <w:pStyle w:val="27"/>
        <w:tabs>
          <w:tab w:val="right" w:leader="dot" w:pos="8409"/>
        </w:tabs>
        <w:spacing w:line="540" w:lineRule="exact"/>
        <w:ind w:left="420"/>
      </w:pPr>
      <w:r>
        <w:fldChar w:fldCharType="begin"/>
      </w:r>
      <w:r>
        <w:instrText xml:space="preserve"> HYPERLINK \l "_Toc2747" </w:instrText>
      </w:r>
      <w:r>
        <w:fldChar w:fldCharType="separate"/>
      </w:r>
      <w:r>
        <w:rPr>
          <w:rFonts w:hint="eastAsia" w:ascii="楷体" w:hAnsi="楷体" w:eastAsia="楷体"/>
          <w:szCs w:val="28"/>
        </w:rPr>
        <w:t>一、估价委托人</w:t>
      </w:r>
      <w:r>
        <w:tab/>
      </w:r>
      <w:r>
        <w:fldChar w:fldCharType="begin"/>
      </w:r>
      <w:r>
        <w:instrText xml:space="preserve"> PAGEREF _Toc2747 \h </w:instrText>
      </w:r>
      <w:r>
        <w:fldChar w:fldCharType="separate"/>
      </w:r>
      <w:r>
        <w:t>6</w:t>
      </w:r>
      <w:r>
        <w:fldChar w:fldCharType="end"/>
      </w:r>
      <w:r>
        <w:fldChar w:fldCharType="end"/>
      </w:r>
    </w:p>
    <w:p>
      <w:pPr>
        <w:pStyle w:val="27"/>
        <w:tabs>
          <w:tab w:val="right" w:leader="dot" w:pos="8409"/>
        </w:tabs>
        <w:spacing w:line="540" w:lineRule="exact"/>
        <w:ind w:left="420"/>
      </w:pPr>
      <w:r>
        <w:fldChar w:fldCharType="begin"/>
      </w:r>
      <w:r>
        <w:instrText xml:space="preserve"> HYPERLINK \l "_Toc12009" </w:instrText>
      </w:r>
      <w:r>
        <w:fldChar w:fldCharType="separate"/>
      </w:r>
      <w:r>
        <w:rPr>
          <w:rFonts w:hint="eastAsia" w:ascii="楷体" w:hAnsi="楷体" w:eastAsia="楷体"/>
          <w:szCs w:val="28"/>
        </w:rPr>
        <w:t>二、房地产估价机构</w:t>
      </w:r>
      <w:r>
        <w:tab/>
      </w:r>
      <w:r>
        <w:fldChar w:fldCharType="begin"/>
      </w:r>
      <w:r>
        <w:instrText xml:space="preserve"> PAGEREF _Toc12009 \h </w:instrText>
      </w:r>
      <w:r>
        <w:fldChar w:fldCharType="separate"/>
      </w:r>
      <w:r>
        <w:t>6</w:t>
      </w:r>
      <w:r>
        <w:fldChar w:fldCharType="end"/>
      </w:r>
      <w:r>
        <w:fldChar w:fldCharType="end"/>
      </w:r>
    </w:p>
    <w:p>
      <w:pPr>
        <w:pStyle w:val="27"/>
        <w:tabs>
          <w:tab w:val="right" w:leader="dot" w:pos="8409"/>
        </w:tabs>
        <w:spacing w:line="540" w:lineRule="exact"/>
        <w:ind w:left="420"/>
      </w:pPr>
      <w:r>
        <w:fldChar w:fldCharType="begin"/>
      </w:r>
      <w:r>
        <w:instrText xml:space="preserve"> HYPERLINK \l "_Toc30641" </w:instrText>
      </w:r>
      <w:r>
        <w:fldChar w:fldCharType="separate"/>
      </w:r>
      <w:r>
        <w:rPr>
          <w:rFonts w:hint="eastAsia" w:ascii="楷体" w:hAnsi="楷体" w:eastAsia="楷体"/>
          <w:szCs w:val="28"/>
        </w:rPr>
        <w:t>三、估价目的</w:t>
      </w:r>
      <w:r>
        <w:tab/>
      </w:r>
      <w:r>
        <w:fldChar w:fldCharType="begin"/>
      </w:r>
      <w:r>
        <w:instrText xml:space="preserve"> PAGEREF _Toc30641 \h </w:instrText>
      </w:r>
      <w:r>
        <w:fldChar w:fldCharType="separate"/>
      </w:r>
      <w:r>
        <w:t>6</w:t>
      </w:r>
      <w:r>
        <w:fldChar w:fldCharType="end"/>
      </w:r>
      <w:r>
        <w:fldChar w:fldCharType="end"/>
      </w:r>
    </w:p>
    <w:p>
      <w:pPr>
        <w:pStyle w:val="27"/>
        <w:tabs>
          <w:tab w:val="right" w:leader="dot" w:pos="8409"/>
        </w:tabs>
        <w:spacing w:line="540" w:lineRule="exact"/>
        <w:ind w:left="420"/>
      </w:pPr>
      <w:r>
        <w:fldChar w:fldCharType="begin"/>
      </w:r>
      <w:r>
        <w:instrText xml:space="preserve"> HYPERLINK \l "_Toc23764" </w:instrText>
      </w:r>
      <w:r>
        <w:fldChar w:fldCharType="separate"/>
      </w:r>
      <w:r>
        <w:rPr>
          <w:rFonts w:hint="eastAsia" w:ascii="楷体" w:hAnsi="楷体" w:eastAsia="楷体"/>
          <w:szCs w:val="28"/>
        </w:rPr>
        <w:t>四、估价对象</w:t>
      </w:r>
      <w:r>
        <w:tab/>
      </w:r>
      <w:r>
        <w:fldChar w:fldCharType="begin"/>
      </w:r>
      <w:r>
        <w:instrText xml:space="preserve"> PAGEREF _Toc23764 \h </w:instrText>
      </w:r>
      <w:r>
        <w:fldChar w:fldCharType="separate"/>
      </w:r>
      <w:r>
        <w:t>6</w:t>
      </w:r>
      <w:r>
        <w:fldChar w:fldCharType="end"/>
      </w:r>
      <w:r>
        <w:fldChar w:fldCharType="end"/>
      </w:r>
    </w:p>
    <w:p>
      <w:pPr>
        <w:pStyle w:val="27"/>
        <w:tabs>
          <w:tab w:val="right" w:leader="dot" w:pos="8409"/>
        </w:tabs>
        <w:spacing w:line="540" w:lineRule="exact"/>
        <w:ind w:left="420"/>
      </w:pPr>
      <w:r>
        <w:fldChar w:fldCharType="begin"/>
      </w:r>
      <w:r>
        <w:instrText xml:space="preserve"> HYPERLINK \l "_Toc4261" </w:instrText>
      </w:r>
      <w:r>
        <w:fldChar w:fldCharType="separate"/>
      </w:r>
      <w:r>
        <w:rPr>
          <w:rFonts w:hint="eastAsia" w:ascii="楷体" w:hAnsi="楷体" w:eastAsia="楷体"/>
          <w:szCs w:val="28"/>
        </w:rPr>
        <w:t>五、价值时点</w:t>
      </w:r>
      <w:r>
        <w:tab/>
      </w:r>
      <w:r>
        <w:fldChar w:fldCharType="begin"/>
      </w:r>
      <w:r>
        <w:instrText xml:space="preserve"> PAGEREF _Toc4261 \h </w:instrText>
      </w:r>
      <w:r>
        <w:fldChar w:fldCharType="separate"/>
      </w:r>
      <w:r>
        <w:t>9</w:t>
      </w:r>
      <w:r>
        <w:fldChar w:fldCharType="end"/>
      </w:r>
      <w:r>
        <w:fldChar w:fldCharType="end"/>
      </w:r>
    </w:p>
    <w:p>
      <w:pPr>
        <w:pStyle w:val="27"/>
        <w:tabs>
          <w:tab w:val="right" w:leader="dot" w:pos="8409"/>
        </w:tabs>
        <w:spacing w:line="540" w:lineRule="exact"/>
        <w:ind w:left="420"/>
      </w:pPr>
      <w:r>
        <w:fldChar w:fldCharType="begin"/>
      </w:r>
      <w:r>
        <w:instrText xml:space="preserve"> HYPERLINK \l "_Toc9845" </w:instrText>
      </w:r>
      <w:r>
        <w:fldChar w:fldCharType="separate"/>
      </w:r>
      <w:r>
        <w:rPr>
          <w:rFonts w:hint="eastAsia" w:ascii="楷体" w:hAnsi="楷体" w:eastAsia="楷体"/>
          <w:szCs w:val="28"/>
        </w:rPr>
        <w:t>六、价值类型</w:t>
      </w:r>
      <w:r>
        <w:tab/>
      </w:r>
      <w:r>
        <w:fldChar w:fldCharType="begin"/>
      </w:r>
      <w:r>
        <w:instrText xml:space="preserve"> PAGEREF _Toc9845 \h </w:instrText>
      </w:r>
      <w:r>
        <w:fldChar w:fldCharType="separate"/>
      </w:r>
      <w:r>
        <w:t>9</w:t>
      </w:r>
      <w:r>
        <w:fldChar w:fldCharType="end"/>
      </w:r>
      <w:r>
        <w:fldChar w:fldCharType="end"/>
      </w:r>
    </w:p>
    <w:p>
      <w:pPr>
        <w:pStyle w:val="27"/>
        <w:tabs>
          <w:tab w:val="right" w:leader="dot" w:pos="8409"/>
        </w:tabs>
        <w:spacing w:line="540" w:lineRule="exact"/>
        <w:ind w:left="420"/>
      </w:pPr>
      <w:r>
        <w:fldChar w:fldCharType="begin"/>
      </w:r>
      <w:r>
        <w:instrText xml:space="preserve"> HYPERLINK \l "_Toc109" </w:instrText>
      </w:r>
      <w:r>
        <w:fldChar w:fldCharType="separate"/>
      </w:r>
      <w:r>
        <w:rPr>
          <w:rFonts w:hint="eastAsia" w:ascii="楷体" w:hAnsi="楷体" w:eastAsia="楷体"/>
          <w:szCs w:val="28"/>
        </w:rPr>
        <w:t>七、估价原则</w:t>
      </w:r>
      <w:r>
        <w:tab/>
      </w:r>
      <w:r>
        <w:fldChar w:fldCharType="begin"/>
      </w:r>
      <w:r>
        <w:instrText xml:space="preserve"> PAGEREF _Toc109 \h </w:instrText>
      </w:r>
      <w:r>
        <w:fldChar w:fldCharType="separate"/>
      </w:r>
      <w:r>
        <w:t>9</w:t>
      </w:r>
      <w:r>
        <w:fldChar w:fldCharType="end"/>
      </w:r>
      <w:r>
        <w:fldChar w:fldCharType="end"/>
      </w:r>
    </w:p>
    <w:p>
      <w:pPr>
        <w:pStyle w:val="27"/>
        <w:tabs>
          <w:tab w:val="right" w:leader="dot" w:pos="8409"/>
        </w:tabs>
        <w:spacing w:line="540" w:lineRule="exact"/>
        <w:ind w:left="420"/>
      </w:pPr>
      <w:r>
        <w:fldChar w:fldCharType="begin"/>
      </w:r>
      <w:r>
        <w:instrText xml:space="preserve"> HYPERLINK \l "_Toc21176" </w:instrText>
      </w:r>
      <w:r>
        <w:fldChar w:fldCharType="separate"/>
      </w:r>
      <w:r>
        <w:rPr>
          <w:rFonts w:hint="eastAsia" w:ascii="楷体" w:hAnsi="楷体" w:eastAsia="楷体"/>
          <w:szCs w:val="28"/>
        </w:rPr>
        <w:t>八、估价依据</w:t>
      </w:r>
      <w:r>
        <w:tab/>
      </w:r>
      <w:r>
        <w:fldChar w:fldCharType="begin"/>
      </w:r>
      <w:r>
        <w:instrText xml:space="preserve"> PAGEREF _Toc21176 \h </w:instrText>
      </w:r>
      <w:r>
        <w:fldChar w:fldCharType="separate"/>
      </w:r>
      <w:r>
        <w:t>10</w:t>
      </w:r>
      <w:r>
        <w:fldChar w:fldCharType="end"/>
      </w:r>
      <w:r>
        <w:fldChar w:fldCharType="end"/>
      </w:r>
    </w:p>
    <w:p>
      <w:pPr>
        <w:pStyle w:val="27"/>
        <w:tabs>
          <w:tab w:val="right" w:leader="dot" w:pos="8409"/>
        </w:tabs>
        <w:spacing w:line="540" w:lineRule="exact"/>
        <w:ind w:left="420"/>
      </w:pPr>
      <w:r>
        <w:fldChar w:fldCharType="begin"/>
      </w:r>
      <w:r>
        <w:instrText xml:space="preserve"> HYPERLINK \l "_Toc25583" </w:instrText>
      </w:r>
      <w:r>
        <w:fldChar w:fldCharType="separate"/>
      </w:r>
      <w:r>
        <w:rPr>
          <w:rFonts w:hint="eastAsia" w:ascii="楷体" w:hAnsi="楷体" w:eastAsia="楷体"/>
          <w:szCs w:val="28"/>
        </w:rPr>
        <w:t>九、估价方法</w:t>
      </w:r>
      <w:r>
        <w:tab/>
      </w:r>
      <w:r>
        <w:fldChar w:fldCharType="begin"/>
      </w:r>
      <w:r>
        <w:instrText xml:space="preserve"> PAGEREF _Toc25583 \h </w:instrText>
      </w:r>
      <w:r>
        <w:fldChar w:fldCharType="separate"/>
      </w:r>
      <w:r>
        <w:t>11</w:t>
      </w:r>
      <w:r>
        <w:fldChar w:fldCharType="end"/>
      </w:r>
      <w:r>
        <w:fldChar w:fldCharType="end"/>
      </w:r>
    </w:p>
    <w:p>
      <w:pPr>
        <w:pStyle w:val="27"/>
        <w:tabs>
          <w:tab w:val="right" w:leader="dot" w:pos="8409"/>
        </w:tabs>
        <w:spacing w:line="540" w:lineRule="exact"/>
        <w:ind w:left="420"/>
      </w:pPr>
      <w:r>
        <w:fldChar w:fldCharType="begin"/>
      </w:r>
      <w:r>
        <w:instrText xml:space="preserve"> HYPERLINK \l "_Toc24049" </w:instrText>
      </w:r>
      <w:r>
        <w:fldChar w:fldCharType="separate"/>
      </w:r>
      <w:r>
        <w:rPr>
          <w:rFonts w:hint="eastAsia" w:ascii="楷体" w:hAnsi="楷体" w:eastAsia="楷体"/>
          <w:szCs w:val="28"/>
        </w:rPr>
        <w:t>十、估价结果</w:t>
      </w:r>
      <w:r>
        <w:tab/>
      </w:r>
      <w:r>
        <w:fldChar w:fldCharType="begin"/>
      </w:r>
      <w:r>
        <w:instrText xml:space="preserve"> PAGEREF _Toc24049 \h </w:instrText>
      </w:r>
      <w:r>
        <w:fldChar w:fldCharType="separate"/>
      </w:r>
      <w:r>
        <w:t>12</w:t>
      </w:r>
      <w:r>
        <w:fldChar w:fldCharType="end"/>
      </w:r>
      <w:r>
        <w:fldChar w:fldCharType="end"/>
      </w:r>
    </w:p>
    <w:p>
      <w:pPr>
        <w:pStyle w:val="27"/>
        <w:tabs>
          <w:tab w:val="right" w:leader="dot" w:pos="8409"/>
        </w:tabs>
        <w:spacing w:line="540" w:lineRule="exact"/>
        <w:ind w:left="420"/>
      </w:pPr>
      <w:r>
        <w:fldChar w:fldCharType="begin"/>
      </w:r>
      <w:r>
        <w:instrText xml:space="preserve"> HYPERLINK \l "_Toc21802" </w:instrText>
      </w:r>
      <w:r>
        <w:fldChar w:fldCharType="separate"/>
      </w:r>
      <w:r>
        <w:rPr>
          <w:rFonts w:hint="eastAsia" w:ascii="楷体" w:hAnsi="楷体" w:eastAsia="楷体"/>
          <w:szCs w:val="28"/>
        </w:rPr>
        <w:t>十一、注册房地产估价师</w:t>
      </w:r>
      <w:r>
        <w:tab/>
      </w:r>
      <w:r>
        <w:fldChar w:fldCharType="begin"/>
      </w:r>
      <w:r>
        <w:instrText xml:space="preserve"> PAGEREF _Toc21802 \h </w:instrText>
      </w:r>
      <w:r>
        <w:fldChar w:fldCharType="separate"/>
      </w:r>
      <w:r>
        <w:t>13</w:t>
      </w:r>
      <w:r>
        <w:fldChar w:fldCharType="end"/>
      </w:r>
      <w:r>
        <w:fldChar w:fldCharType="end"/>
      </w:r>
    </w:p>
    <w:p>
      <w:pPr>
        <w:pStyle w:val="27"/>
        <w:tabs>
          <w:tab w:val="right" w:leader="dot" w:pos="8409"/>
        </w:tabs>
        <w:spacing w:line="540" w:lineRule="exact"/>
        <w:ind w:left="420"/>
      </w:pPr>
      <w:r>
        <w:fldChar w:fldCharType="begin"/>
      </w:r>
      <w:r>
        <w:instrText xml:space="preserve"> HYPERLINK \l "_Toc13618" </w:instrText>
      </w:r>
      <w:r>
        <w:fldChar w:fldCharType="separate"/>
      </w:r>
      <w:r>
        <w:rPr>
          <w:rFonts w:hint="eastAsia" w:ascii="楷体" w:hAnsi="楷体" w:eastAsia="楷体"/>
          <w:szCs w:val="28"/>
        </w:rPr>
        <w:t>十二、实地查勘期</w:t>
      </w:r>
      <w:r>
        <w:tab/>
      </w:r>
      <w:r>
        <w:fldChar w:fldCharType="begin"/>
      </w:r>
      <w:r>
        <w:instrText xml:space="preserve"> PAGEREF _Toc13618 \h </w:instrText>
      </w:r>
      <w:r>
        <w:fldChar w:fldCharType="separate"/>
      </w:r>
      <w:r>
        <w:t>13</w:t>
      </w:r>
      <w:r>
        <w:fldChar w:fldCharType="end"/>
      </w:r>
      <w:r>
        <w:fldChar w:fldCharType="end"/>
      </w:r>
    </w:p>
    <w:p>
      <w:pPr>
        <w:pStyle w:val="27"/>
        <w:tabs>
          <w:tab w:val="right" w:leader="dot" w:pos="8409"/>
        </w:tabs>
        <w:spacing w:line="540" w:lineRule="exact"/>
        <w:ind w:left="420"/>
      </w:pPr>
      <w:r>
        <w:fldChar w:fldCharType="begin"/>
      </w:r>
      <w:r>
        <w:instrText xml:space="preserve"> HYPERLINK \l "_Toc9135" </w:instrText>
      </w:r>
      <w:r>
        <w:fldChar w:fldCharType="separate"/>
      </w:r>
      <w:r>
        <w:rPr>
          <w:rFonts w:hint="eastAsia" w:ascii="楷体" w:hAnsi="楷体" w:eastAsia="楷体"/>
          <w:szCs w:val="28"/>
        </w:rPr>
        <w:t>十三、估价作业期</w:t>
      </w:r>
      <w:r>
        <w:tab/>
      </w:r>
      <w:r>
        <w:fldChar w:fldCharType="begin"/>
      </w:r>
      <w:r>
        <w:instrText xml:space="preserve"> PAGEREF _Toc9135 \h </w:instrText>
      </w:r>
      <w:r>
        <w:fldChar w:fldCharType="separate"/>
      </w:r>
      <w:r>
        <w:t>13</w:t>
      </w:r>
      <w:r>
        <w:fldChar w:fldCharType="end"/>
      </w:r>
      <w:r>
        <w:fldChar w:fldCharType="end"/>
      </w:r>
    </w:p>
    <w:p>
      <w:pPr>
        <w:pStyle w:val="22"/>
        <w:tabs>
          <w:tab w:val="right" w:leader="dot" w:pos="8409"/>
        </w:tabs>
        <w:spacing w:line="540" w:lineRule="exact"/>
      </w:pPr>
      <w:r>
        <w:fldChar w:fldCharType="begin"/>
      </w:r>
      <w:r>
        <w:instrText xml:space="preserve"> HYPERLINK \l "_Toc19820" </w:instrText>
      </w:r>
      <w:r>
        <w:fldChar w:fldCharType="separate"/>
      </w:r>
      <w:r>
        <w:rPr>
          <w:rFonts w:hint="eastAsia" w:ascii="楷体" w:hAnsi="楷体" w:eastAsia="楷体"/>
          <w:szCs w:val="32"/>
        </w:rPr>
        <w:t>附   件</w:t>
      </w:r>
      <w:r>
        <w:tab/>
      </w:r>
      <w:r>
        <w:fldChar w:fldCharType="begin"/>
      </w:r>
      <w:r>
        <w:instrText xml:space="preserve"> PAGEREF _Toc19820 \h </w:instrText>
      </w:r>
      <w:r>
        <w:fldChar w:fldCharType="separate"/>
      </w:r>
      <w:r>
        <w:t>15</w:t>
      </w:r>
      <w:r>
        <w:fldChar w:fldCharType="end"/>
      </w:r>
      <w:r>
        <w:fldChar w:fldCharType="end"/>
      </w:r>
    </w:p>
    <w:p>
      <w:pPr>
        <w:pStyle w:val="22"/>
        <w:tabs>
          <w:tab w:val="right" w:leader="dot" w:pos="8409"/>
        </w:tabs>
      </w:pPr>
    </w:p>
    <w:p>
      <w:pPr>
        <w:spacing w:line="160" w:lineRule="exact"/>
        <w:jc w:val="center"/>
        <w:rPr>
          <w:rFonts w:ascii="楷体" w:hAnsi="楷体" w:eastAsia="楷体"/>
          <w:b/>
          <w:sz w:val="32"/>
          <w:szCs w:val="32"/>
        </w:rPr>
        <w:sectPr>
          <w:footerReference r:id="rId6" w:type="default"/>
          <w:pgSz w:w="11906" w:h="16838"/>
          <w:pgMar w:top="1388" w:right="1700" w:bottom="1134" w:left="1797" w:header="624" w:footer="454" w:gutter="0"/>
          <w:pgBorders>
            <w:top w:val="none" w:sz="0" w:space="0"/>
            <w:left w:val="none" w:sz="0" w:space="0"/>
            <w:bottom w:val="none" w:sz="0" w:space="0"/>
            <w:right w:val="none" w:sz="0" w:space="0"/>
          </w:pgBorders>
          <w:pgNumType w:start="1"/>
          <w:cols w:space="720" w:num="1"/>
          <w:docGrid w:type="lines" w:linePitch="312" w:charSpace="0"/>
        </w:sectPr>
      </w:pPr>
      <w:r>
        <w:rPr>
          <w:rFonts w:ascii="楷体" w:hAnsi="楷体" w:eastAsia="楷体"/>
          <w:szCs w:val="32"/>
        </w:rPr>
        <w:fldChar w:fldCharType="end"/>
      </w:r>
    </w:p>
    <w:p>
      <w:pPr>
        <w:spacing w:before="156" w:beforeLines="50" w:after="156" w:afterLines="50" w:line="540" w:lineRule="exact"/>
        <w:jc w:val="center"/>
        <w:outlineLvl w:val="0"/>
        <w:rPr>
          <w:rFonts w:ascii="楷体" w:hAnsi="楷体" w:eastAsia="楷体"/>
          <w:b/>
          <w:sz w:val="32"/>
          <w:szCs w:val="32"/>
        </w:rPr>
      </w:pPr>
      <w:bookmarkStart w:id="3" w:name="_Toc4090"/>
      <w:r>
        <w:rPr>
          <w:rFonts w:hint="eastAsia" w:ascii="楷体" w:hAnsi="楷体" w:eastAsia="楷体"/>
          <w:b/>
          <w:sz w:val="32"/>
          <w:szCs w:val="32"/>
        </w:rPr>
        <w:t>估价师声明</w:t>
      </w:r>
      <w:bookmarkEnd w:id="1"/>
      <w:bookmarkEnd w:id="2"/>
      <w:bookmarkEnd w:id="3"/>
    </w:p>
    <w:p>
      <w:pPr>
        <w:spacing w:line="540" w:lineRule="exact"/>
        <w:ind w:firstLine="504" w:firstLineChars="200"/>
        <w:rPr>
          <w:rFonts w:ascii="楷体" w:hAnsi="楷体" w:eastAsia="楷体"/>
          <w:w w:val="90"/>
          <w:sz w:val="28"/>
          <w:szCs w:val="28"/>
        </w:rPr>
      </w:pPr>
      <w:r>
        <w:rPr>
          <w:rFonts w:hint="eastAsia" w:ascii="楷体" w:hAnsi="楷体" w:eastAsia="楷体"/>
          <w:w w:val="90"/>
          <w:sz w:val="28"/>
          <w:szCs w:val="28"/>
        </w:rPr>
        <w:t>注册房地产估价师根据自己的专业知识和职业道德，在此郑重声明：</w:t>
      </w:r>
    </w:p>
    <w:p>
      <w:pPr>
        <w:numPr>
          <w:ilvl w:val="0"/>
          <w:numId w:val="2"/>
        </w:numPr>
        <w:tabs>
          <w:tab w:val="left" w:pos="851"/>
        </w:tabs>
        <w:spacing w:line="540" w:lineRule="exact"/>
        <w:ind w:left="0" w:firstLine="567"/>
        <w:rPr>
          <w:rFonts w:ascii="楷体" w:hAnsi="楷体" w:eastAsia="楷体"/>
          <w:sz w:val="28"/>
          <w:szCs w:val="28"/>
        </w:rPr>
      </w:pPr>
      <w:r>
        <w:rPr>
          <w:rFonts w:hint="eastAsia" w:ascii="楷体" w:hAnsi="楷体" w:eastAsia="楷体"/>
          <w:sz w:val="28"/>
          <w:szCs w:val="28"/>
        </w:rPr>
        <w:t>注册房地产估价师</w:t>
      </w:r>
      <w:r>
        <w:rPr>
          <w:rFonts w:ascii="楷体" w:hAnsi="楷体" w:eastAsia="楷体"/>
          <w:sz w:val="28"/>
          <w:szCs w:val="28"/>
        </w:rPr>
        <w:t>在估价报告中对事实的说明是真实和准确的，没有虚假记载、误导性陈述和重大遗漏。</w:t>
      </w:r>
    </w:p>
    <w:p>
      <w:pPr>
        <w:numPr>
          <w:ilvl w:val="0"/>
          <w:numId w:val="2"/>
        </w:numPr>
        <w:tabs>
          <w:tab w:val="left" w:pos="851"/>
        </w:tabs>
        <w:spacing w:line="540" w:lineRule="exact"/>
        <w:ind w:left="0" w:firstLine="567"/>
        <w:rPr>
          <w:rFonts w:ascii="楷体" w:hAnsi="楷体" w:eastAsia="楷体"/>
          <w:sz w:val="28"/>
          <w:szCs w:val="28"/>
        </w:rPr>
      </w:pPr>
      <w:r>
        <w:rPr>
          <w:rFonts w:ascii="楷体" w:hAnsi="楷体" w:eastAsia="楷体"/>
          <w:sz w:val="28"/>
          <w:szCs w:val="28"/>
        </w:rPr>
        <w:t>本估价报告中的分析、意见和结论是</w:t>
      </w:r>
      <w:r>
        <w:rPr>
          <w:rFonts w:hint="eastAsia" w:ascii="楷体" w:hAnsi="楷体" w:eastAsia="楷体"/>
          <w:sz w:val="28"/>
          <w:szCs w:val="28"/>
        </w:rPr>
        <w:t>注册房地产估价师</w:t>
      </w:r>
      <w:r>
        <w:rPr>
          <w:rFonts w:ascii="楷体" w:hAnsi="楷体" w:eastAsia="楷体"/>
          <w:sz w:val="28"/>
          <w:szCs w:val="28"/>
        </w:rPr>
        <w:t>独立、客观、公正的专业分析、意见和结论，但受到本估价报告中已说明的假设和限制条件的限制。</w:t>
      </w:r>
    </w:p>
    <w:p>
      <w:pPr>
        <w:numPr>
          <w:ilvl w:val="0"/>
          <w:numId w:val="2"/>
        </w:numPr>
        <w:tabs>
          <w:tab w:val="left" w:pos="851"/>
        </w:tabs>
        <w:spacing w:line="540" w:lineRule="exact"/>
        <w:ind w:left="0" w:firstLine="567"/>
        <w:rPr>
          <w:rFonts w:ascii="楷体" w:hAnsi="楷体" w:eastAsia="楷体"/>
          <w:sz w:val="28"/>
          <w:szCs w:val="28"/>
        </w:rPr>
      </w:pPr>
      <w:r>
        <w:rPr>
          <w:rFonts w:hint="eastAsia" w:ascii="楷体" w:hAnsi="楷体" w:eastAsia="楷体"/>
          <w:sz w:val="28"/>
          <w:szCs w:val="28"/>
        </w:rPr>
        <w:t>注册房地产估价师</w:t>
      </w:r>
      <w:r>
        <w:rPr>
          <w:rFonts w:ascii="楷体" w:hAnsi="楷体" w:eastAsia="楷体"/>
          <w:sz w:val="28"/>
          <w:szCs w:val="28"/>
        </w:rPr>
        <w:t>与本估价报告中的估价对象没有现实或潜在的利益，与估价委托人及估价利害关系人没有利害关系，也对估价对象、估价委托人及估价利害关系人没有偏见。</w:t>
      </w:r>
    </w:p>
    <w:p>
      <w:pPr>
        <w:numPr>
          <w:ilvl w:val="0"/>
          <w:numId w:val="2"/>
        </w:numPr>
        <w:tabs>
          <w:tab w:val="left" w:pos="851"/>
        </w:tabs>
        <w:spacing w:line="540" w:lineRule="exact"/>
        <w:ind w:left="0" w:firstLine="567"/>
        <w:rPr>
          <w:rFonts w:ascii="楷体" w:hAnsi="楷体" w:eastAsia="楷体"/>
          <w:sz w:val="28"/>
          <w:szCs w:val="28"/>
        </w:rPr>
      </w:pPr>
      <w:r>
        <w:rPr>
          <w:rFonts w:hint="eastAsia" w:ascii="楷体" w:hAnsi="楷体" w:eastAsia="楷体"/>
          <w:sz w:val="28"/>
          <w:szCs w:val="28"/>
        </w:rPr>
        <w:t>注册房地产估价师</w:t>
      </w:r>
      <w:r>
        <w:rPr>
          <w:rFonts w:ascii="楷体" w:hAnsi="楷体" w:eastAsia="楷体"/>
          <w:sz w:val="28"/>
          <w:szCs w:val="28"/>
        </w:rPr>
        <w:t>是按照有关房地产估价标准的规定进行估价工作，撰写估价报告。</w:t>
      </w:r>
    </w:p>
    <w:p>
      <w:pPr>
        <w:numPr>
          <w:ilvl w:val="0"/>
          <w:numId w:val="2"/>
        </w:numPr>
        <w:tabs>
          <w:tab w:val="left" w:pos="851"/>
        </w:tabs>
        <w:spacing w:line="540" w:lineRule="exact"/>
        <w:ind w:left="0" w:firstLine="567"/>
        <w:rPr>
          <w:rFonts w:ascii="楷体" w:hAnsi="楷体" w:eastAsia="楷体"/>
          <w:sz w:val="28"/>
          <w:szCs w:val="28"/>
        </w:rPr>
      </w:pPr>
      <w:r>
        <w:rPr>
          <w:rFonts w:hint="eastAsia" w:ascii="楷体" w:hAnsi="楷体" w:eastAsia="楷体"/>
          <w:sz w:val="28"/>
          <w:szCs w:val="28"/>
        </w:rPr>
        <w:t>注册房地产估价师马思贵、</w:t>
      </w:r>
      <w:r>
        <w:rPr>
          <w:rFonts w:hint="eastAsia" w:ascii="楷体" w:hAnsi="楷体" w:eastAsia="楷体"/>
          <w:sz w:val="28"/>
          <w:szCs w:val="28"/>
          <w:lang w:eastAsia="zh-CN"/>
        </w:rPr>
        <w:t>张斌</w:t>
      </w:r>
      <w:r>
        <w:rPr>
          <w:rFonts w:hint="eastAsia" w:ascii="楷体" w:hAnsi="楷体" w:eastAsia="楷体"/>
          <w:sz w:val="28"/>
          <w:szCs w:val="28"/>
        </w:rPr>
        <w:t>于</w:t>
      </w:r>
      <w:r>
        <w:rPr>
          <w:rFonts w:hint="eastAsia" w:ascii="楷体" w:hAnsi="楷体" w:eastAsia="楷体"/>
          <w:sz w:val="28"/>
          <w:szCs w:val="28"/>
          <w:lang w:eastAsia="zh-CN"/>
        </w:rPr>
        <w:t>2022年5月24日</w:t>
      </w:r>
      <w:r>
        <w:rPr>
          <w:rFonts w:hint="eastAsia" w:ascii="楷体" w:hAnsi="楷体" w:eastAsia="楷体"/>
          <w:sz w:val="28"/>
          <w:szCs w:val="28"/>
        </w:rPr>
        <w:t>对本估价报告中的估价对象进行了实地查勘。</w:t>
      </w:r>
    </w:p>
    <w:p>
      <w:pPr>
        <w:pStyle w:val="2"/>
        <w:spacing w:before="0" w:after="0" w:line="540" w:lineRule="exact"/>
        <w:jc w:val="center"/>
        <w:rPr>
          <w:rFonts w:ascii="楷体" w:hAnsi="楷体" w:eastAsia="楷体"/>
          <w:sz w:val="32"/>
          <w:szCs w:val="32"/>
        </w:rPr>
      </w:pPr>
      <w:r>
        <w:br w:type="page"/>
      </w:r>
      <w:bookmarkStart w:id="4" w:name="_Toc21229"/>
      <w:bookmarkStart w:id="5" w:name="_Toc436035295"/>
      <w:bookmarkStart w:id="6" w:name="_Toc318818626"/>
      <w:r>
        <w:rPr>
          <w:rFonts w:hint="eastAsia" w:ascii="楷体" w:hAnsi="楷体" w:eastAsia="楷体"/>
          <w:sz w:val="32"/>
          <w:szCs w:val="32"/>
        </w:rPr>
        <w:t>估价假设和限制条件</w:t>
      </w:r>
      <w:bookmarkEnd w:id="4"/>
      <w:bookmarkEnd w:id="5"/>
      <w:bookmarkEnd w:id="6"/>
    </w:p>
    <w:p>
      <w:pPr>
        <w:pStyle w:val="3"/>
        <w:pageBreakBefore w:val="0"/>
        <w:widowControl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7" w:name="_Toc21426"/>
      <w:bookmarkStart w:id="8" w:name="_Toc43739161"/>
      <w:r>
        <w:rPr>
          <w:rFonts w:ascii="楷体" w:hAnsi="楷体" w:eastAsia="楷体"/>
          <w:sz w:val="28"/>
          <w:szCs w:val="28"/>
        </w:rPr>
        <w:t>一、</w:t>
      </w:r>
      <w:r>
        <w:rPr>
          <w:rFonts w:hint="eastAsia" w:ascii="楷体" w:hAnsi="楷体" w:eastAsia="楷体"/>
          <w:sz w:val="28"/>
          <w:szCs w:val="28"/>
        </w:rPr>
        <w:t>一般假设</w:t>
      </w:r>
      <w:bookmarkEnd w:id="7"/>
      <w:bookmarkEnd w:id="8"/>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在价值时点的房地产市场为公开、平等、自愿的交易市场。</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估价对象产权明晰，手续齐全，可在公开市场上自由转让。</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任何有关估价对象的运作方式、程序均符合国家、地方的有关法律、法规。</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bookmarkStart w:id="9" w:name="_Toc382493608"/>
      <w:r>
        <w:rPr>
          <w:rFonts w:hint="eastAsia" w:ascii="楷体" w:hAnsi="楷体" w:eastAsia="楷体"/>
          <w:sz w:val="28"/>
          <w:szCs w:val="28"/>
        </w:rPr>
        <w:t>本次估价结果未考虑国家宏观经济政策发生重大变化以及遇有自然力和其他不可抗力对估价结论的影响。</w:t>
      </w:r>
      <w:bookmarkEnd w:id="9"/>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本报告以估价对象在价值时点的实物状况为依据，且以该状况在估价报告使用期限内无重大变化为前提。</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ascii="楷体" w:hAnsi="楷体" w:eastAsia="楷体"/>
          <w:sz w:val="28"/>
          <w:szCs w:val="28"/>
        </w:rPr>
        <w:t>本次评估估价对象的</w:t>
      </w:r>
      <w:r>
        <w:rPr>
          <w:rFonts w:hint="eastAsia" w:ascii="楷体" w:hAnsi="楷体" w:eastAsia="楷体"/>
          <w:sz w:val="28"/>
          <w:szCs w:val="28"/>
        </w:rPr>
        <w:t>房屋权属登记情况、</w:t>
      </w:r>
      <w:r>
        <w:rPr>
          <w:rFonts w:hint="eastAsia" w:ascii="楷体" w:hAnsi="楷体" w:eastAsia="楷体"/>
          <w:sz w:val="28"/>
          <w:szCs w:val="28"/>
          <w:lang w:eastAsia="zh-CN"/>
        </w:rPr>
        <w:t>建筑面积、分摊土地使用面积、</w:t>
      </w:r>
      <w:r>
        <w:rPr>
          <w:rFonts w:hint="eastAsia" w:ascii="楷体" w:hAnsi="楷体" w:eastAsia="楷体"/>
          <w:sz w:val="28"/>
          <w:szCs w:val="28"/>
        </w:rPr>
        <w:t>建筑结构等情况以</w:t>
      </w:r>
      <w:r>
        <w:rPr>
          <w:rFonts w:ascii="楷体" w:hAnsi="楷体" w:eastAsia="楷体"/>
          <w:sz w:val="28"/>
          <w:szCs w:val="28"/>
        </w:rPr>
        <w:t>《</w:t>
      </w:r>
      <w:r>
        <w:rPr>
          <w:rFonts w:hint="eastAsia" w:ascii="楷体" w:hAnsi="楷体" w:eastAsia="楷体"/>
          <w:sz w:val="28"/>
          <w:szCs w:val="28"/>
          <w:lang w:eastAsia="zh-CN"/>
        </w:rPr>
        <w:t>青铜峡市不动产登记信息查询单</w:t>
      </w:r>
      <w:r>
        <w:rPr>
          <w:rFonts w:ascii="楷体" w:hAnsi="楷体" w:eastAsia="楷体"/>
          <w:sz w:val="28"/>
          <w:szCs w:val="28"/>
        </w:rPr>
        <w:t>》为依据。如上述情况发生变化，估价结果需做相应调整。</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根据估价委托人提供的资料，估价对象于价值时点不存在租赁权</w:t>
      </w:r>
      <w:r>
        <w:rPr>
          <w:rFonts w:hint="eastAsia" w:ascii="楷体" w:hAnsi="楷体" w:eastAsia="楷体"/>
          <w:sz w:val="28"/>
          <w:szCs w:val="28"/>
          <w:lang w:eastAsia="zh-CN"/>
        </w:rPr>
        <w:t>、</w:t>
      </w:r>
      <w:r>
        <w:rPr>
          <w:rFonts w:hint="eastAsia" w:ascii="楷体" w:hAnsi="楷体" w:eastAsia="楷体"/>
          <w:sz w:val="28"/>
          <w:szCs w:val="28"/>
          <w:lang w:val="en-US" w:eastAsia="zh-CN"/>
        </w:rPr>
        <w:t>用益物权及占有使用情况</w:t>
      </w:r>
      <w:r>
        <w:rPr>
          <w:rFonts w:hint="eastAsia" w:ascii="楷体" w:hAnsi="楷体" w:eastAsia="楷体"/>
          <w:sz w:val="28"/>
          <w:szCs w:val="28"/>
          <w:lang w:eastAsia="zh-CN"/>
        </w:rPr>
        <w:t>，</w:t>
      </w:r>
      <w:r>
        <w:rPr>
          <w:rFonts w:hint="eastAsia" w:ascii="楷体" w:hAnsi="楷体" w:eastAsia="楷体"/>
          <w:sz w:val="28"/>
          <w:szCs w:val="28"/>
        </w:rPr>
        <w:t>本次估价以此为估价前提，若与实际情况不符，估价报告需做相应调整。</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估价对象为执行项目，本次评估已考虑了其交易方式对估价结果的影响，在此提请报告使用者注意。</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以估价对象产权人不存在欠缴房产税、土地使用税等税费为假设前提。</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本次估价对象描述均依据估价委托人所提供的产权资料复印件，由于估价委托人原因，注册房地产估价师未能对资料复印件与原件进行核对，由于受房产、土地管理部门对档案查询资格的限制，注册房地产估价师无权到上述主管部门对权属证明材料及其记载的内容进行核实。本次评估除有特殊说明之外，所采用的信息、数据等内容均依据产权资料复印件。注册房地产估价师及估价人员对产权资料复印件的核实不能免除产权人、估价委托人提供资料的相关法律义务，也不确保该估价对象的权属、权利、义务的真实性、完整性、时效性。</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hint="eastAsia" w:ascii="楷体" w:hAnsi="楷体" w:eastAsia="楷体"/>
          <w:sz w:val="28"/>
          <w:szCs w:val="28"/>
        </w:rPr>
        <w:t>注册房地产估价师及估价人员对估价对象的查勘限于估价对象的外观和使用状况，注册房地产估价师及估价人员不承担对估价对象建筑结构质量进行调查的责任，也不承担对其它被遮盖、未暴露及难于接触到的部分进行勘查的责任。因估价委托人未提供对房屋安全的专业机构鉴定报告，且经注册房地产估价师及估价人员实地查勘，从房屋外观未发现估价对象结构有明显变形或损坏，我们无理由怀疑估价对象存在安全隐患，故本次估价设定估价对象不存在房屋安全隐患，可继续使用。</w:t>
      </w:r>
    </w:p>
    <w:p>
      <w:pPr>
        <w:pageBreakBefore w:val="0"/>
        <w:widowControl w:val="0"/>
        <w:numPr>
          <w:ilvl w:val="0"/>
          <w:numId w:val="3"/>
        </w:numPr>
        <w:tabs>
          <w:tab w:val="left" w:pos="851"/>
        </w:tabs>
        <w:kinsoku/>
        <w:wordWrap/>
        <w:overflowPunct/>
        <w:topLinePunct w:val="0"/>
        <w:autoSpaceDE/>
        <w:autoSpaceDN/>
        <w:bidi w:val="0"/>
        <w:adjustRightInd/>
        <w:snapToGrid/>
        <w:spacing w:line="480" w:lineRule="exact"/>
        <w:ind w:left="0" w:firstLine="567"/>
        <w:textAlignment w:val="auto"/>
        <w:rPr>
          <w:rFonts w:ascii="楷体" w:hAnsi="楷体" w:eastAsia="楷体"/>
          <w:sz w:val="28"/>
          <w:szCs w:val="28"/>
        </w:rPr>
      </w:pPr>
      <w:r>
        <w:rPr>
          <w:rFonts w:ascii="楷体" w:hAnsi="楷体" w:eastAsia="楷体"/>
          <w:sz w:val="28"/>
          <w:szCs w:val="28"/>
        </w:rPr>
        <w:t>由于估价委托人的原因，本次评估估价对象无法确定是否为产权人唯一产权，且受房产管理部门对档案查询资格的限制，注册房地产估价师无权到上述主管部门对上述权利证明材料及其记载的内容进行调查核实。本次评估以估价对象为产权人唯一产权为假设前提。若上述情况发生变化，估价报告需做相应调整。注册房地产估价师对唯一产权的假设不能免除产权人、估价委托人的相关法律义务，也不确保该估价对象的权利的真实性、完整性、时效性。</w:t>
      </w:r>
    </w:p>
    <w:p>
      <w:pPr>
        <w:pStyle w:val="3"/>
        <w:pageBreakBefore w:val="0"/>
        <w:widowControl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10" w:name="_Toc43739162"/>
      <w:bookmarkStart w:id="11" w:name="_Toc1719"/>
      <w:r>
        <w:rPr>
          <w:rFonts w:ascii="楷体" w:hAnsi="楷体" w:eastAsia="楷体"/>
          <w:sz w:val="28"/>
          <w:szCs w:val="28"/>
        </w:rPr>
        <w:t>二、</w:t>
      </w:r>
      <w:r>
        <w:rPr>
          <w:rFonts w:hint="eastAsia" w:ascii="楷体" w:hAnsi="楷体" w:eastAsia="楷体"/>
          <w:sz w:val="28"/>
          <w:szCs w:val="28"/>
        </w:rPr>
        <w:t>未定事项假设</w:t>
      </w:r>
      <w:bookmarkEnd w:id="10"/>
      <w:bookmarkEnd w:id="11"/>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lang w:eastAsia="zh-CN"/>
        </w:rPr>
        <w:t>无未定事项假设</w:t>
      </w:r>
      <w:r>
        <w:rPr>
          <w:rFonts w:hint="eastAsia" w:ascii="楷体" w:hAnsi="楷体" w:eastAsia="楷体"/>
          <w:sz w:val="28"/>
          <w:szCs w:val="28"/>
        </w:rPr>
        <w:t>。</w:t>
      </w:r>
    </w:p>
    <w:p>
      <w:pPr>
        <w:pStyle w:val="3"/>
        <w:pageBreakBefore w:val="0"/>
        <w:widowControl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12" w:name="_Toc43739163"/>
      <w:bookmarkStart w:id="13" w:name="_Toc22300"/>
      <w:r>
        <w:rPr>
          <w:rFonts w:hint="eastAsia" w:ascii="楷体" w:hAnsi="楷体" w:eastAsia="楷体"/>
          <w:sz w:val="28"/>
          <w:szCs w:val="28"/>
        </w:rPr>
        <w:t>三、背离事实假设</w:t>
      </w:r>
      <w:bookmarkEnd w:id="12"/>
      <w:bookmarkEnd w:id="13"/>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cs="Times New Roman"/>
          <w:sz w:val="28"/>
          <w:szCs w:val="28"/>
        </w:rPr>
        <w:t>根据估价委托人提供的《估价委托书》及《</w:t>
      </w:r>
      <w:r>
        <w:rPr>
          <w:rFonts w:hint="eastAsia" w:ascii="楷体" w:hAnsi="楷体" w:eastAsia="楷体" w:cs="Times New Roman"/>
          <w:sz w:val="28"/>
          <w:szCs w:val="28"/>
          <w:lang w:eastAsia="zh-CN"/>
        </w:rPr>
        <w:t>青铜峡市不动产登记信息查询单</w:t>
      </w:r>
      <w:r>
        <w:rPr>
          <w:rFonts w:hint="eastAsia" w:ascii="楷体" w:hAnsi="楷体" w:eastAsia="楷体" w:cs="Times New Roman"/>
          <w:sz w:val="28"/>
          <w:szCs w:val="28"/>
        </w:rPr>
        <w:t>》，估价对象于价值时点存</w:t>
      </w:r>
      <w:r>
        <w:rPr>
          <w:rFonts w:hint="eastAsia" w:ascii="楷体" w:hAnsi="楷体" w:eastAsia="楷体" w:cs="Times New Roman"/>
          <w:sz w:val="28"/>
          <w:szCs w:val="28"/>
          <w:lang w:eastAsia="zh-CN"/>
        </w:rPr>
        <w:t>在</w:t>
      </w:r>
      <w:r>
        <w:rPr>
          <w:rFonts w:hint="eastAsia" w:ascii="楷体" w:hAnsi="楷体" w:eastAsia="楷体" w:cs="Times New Roman"/>
          <w:sz w:val="28"/>
          <w:szCs w:val="28"/>
        </w:rPr>
        <w:t>抵押权</w:t>
      </w:r>
      <w:r>
        <w:rPr>
          <w:rFonts w:hint="eastAsia" w:ascii="楷体" w:hAnsi="楷体" w:eastAsia="楷体" w:cs="Times New Roman"/>
          <w:sz w:val="28"/>
          <w:szCs w:val="28"/>
          <w:lang w:eastAsia="zh-CN"/>
        </w:rPr>
        <w:t>、</w:t>
      </w:r>
      <w:r>
        <w:rPr>
          <w:rFonts w:hint="eastAsia" w:ascii="楷体" w:hAnsi="楷体" w:eastAsia="楷体" w:cs="Times New Roman"/>
          <w:sz w:val="28"/>
          <w:szCs w:val="28"/>
          <w:lang w:val="en-US" w:eastAsia="zh-CN"/>
        </w:rPr>
        <w:t>查封其他权利</w:t>
      </w:r>
      <w:r>
        <w:rPr>
          <w:rFonts w:hint="eastAsia" w:ascii="楷体" w:hAnsi="楷体" w:eastAsia="楷体" w:cs="Times New Roman"/>
          <w:sz w:val="28"/>
          <w:szCs w:val="28"/>
        </w:rPr>
        <w:t>，</w:t>
      </w:r>
      <w:r>
        <w:rPr>
          <w:rFonts w:hint="eastAsia" w:ascii="楷体" w:hAnsi="楷体" w:eastAsia="楷体"/>
          <w:sz w:val="28"/>
          <w:szCs w:val="28"/>
        </w:rPr>
        <w:t>本次估价目的为人民法院确定财产处置参考价提供参考依据而评估估价对象房地产市场价值，故本次评估未考虑上述抵押权和</w:t>
      </w:r>
      <w:r>
        <w:rPr>
          <w:rFonts w:hint="eastAsia" w:ascii="楷体" w:hAnsi="楷体" w:eastAsia="楷体"/>
          <w:sz w:val="28"/>
          <w:szCs w:val="28"/>
          <w:lang w:val="en-US" w:eastAsia="zh-CN"/>
        </w:rPr>
        <w:t>查封</w:t>
      </w:r>
      <w:r>
        <w:rPr>
          <w:rFonts w:hint="eastAsia" w:ascii="楷体" w:hAnsi="楷体" w:eastAsia="楷体"/>
          <w:sz w:val="28"/>
          <w:szCs w:val="28"/>
        </w:rPr>
        <w:t>对估价结果的影响。</w:t>
      </w:r>
    </w:p>
    <w:p>
      <w:pPr>
        <w:pStyle w:val="3"/>
        <w:pageBreakBefore w:val="0"/>
        <w:widowControl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14" w:name="_Toc43739164"/>
      <w:bookmarkStart w:id="15" w:name="_Toc19775"/>
      <w:r>
        <w:rPr>
          <w:rFonts w:hint="eastAsia" w:ascii="楷体" w:hAnsi="楷体" w:eastAsia="楷体"/>
          <w:sz w:val="28"/>
          <w:szCs w:val="28"/>
        </w:rPr>
        <w:t>四、不相一致假设</w:t>
      </w:r>
      <w:bookmarkEnd w:id="14"/>
      <w:bookmarkEnd w:id="15"/>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cs="Times New Roman"/>
          <w:sz w:val="28"/>
          <w:szCs w:val="28"/>
          <w:u w:val="single"/>
          <w:lang w:eastAsia="zh-CN"/>
        </w:rPr>
      </w:pPr>
      <w:r>
        <w:rPr>
          <w:rFonts w:hint="eastAsia" w:ascii="楷体" w:hAnsi="楷体" w:eastAsia="楷体"/>
          <w:sz w:val="28"/>
          <w:szCs w:val="28"/>
          <w:lang w:eastAsia="zh-CN"/>
        </w:rPr>
        <w:t>根据估价委托人提供的《房屋所有权证》【青房权证青铜峡市字第2014001527号】和《国有土地使用权证书》【青国用（2014）第611号】记载，房屋建筑面积为</w:t>
      </w:r>
      <w:r>
        <w:rPr>
          <w:rFonts w:hint="eastAsia" w:ascii="楷体" w:hAnsi="楷体" w:eastAsia="楷体"/>
          <w:sz w:val="28"/>
          <w:szCs w:val="28"/>
          <w:lang w:val="en-US" w:eastAsia="zh-CN"/>
        </w:rPr>
        <w:t>194.96平方米，分摊土地使用权面积为27.85平方米，</w:t>
      </w:r>
      <w:r>
        <w:rPr>
          <w:rFonts w:hint="eastAsia" w:ascii="楷体" w:hAnsi="楷体" w:eastAsia="楷体" w:cs="Times New Roman"/>
          <w:sz w:val="28"/>
          <w:szCs w:val="28"/>
        </w:rPr>
        <w:t>《</w:t>
      </w:r>
      <w:r>
        <w:rPr>
          <w:rFonts w:hint="eastAsia" w:ascii="楷体" w:hAnsi="楷体" w:eastAsia="楷体" w:cs="Times New Roman"/>
          <w:sz w:val="28"/>
          <w:szCs w:val="28"/>
          <w:lang w:eastAsia="zh-CN"/>
        </w:rPr>
        <w:t>青铜峡市不动产登记信息查询单</w:t>
      </w:r>
      <w:r>
        <w:rPr>
          <w:rFonts w:hint="eastAsia" w:ascii="楷体" w:hAnsi="楷体" w:eastAsia="楷体" w:cs="Times New Roman"/>
          <w:sz w:val="28"/>
          <w:szCs w:val="28"/>
        </w:rPr>
        <w:t>》</w:t>
      </w:r>
      <w:r>
        <w:rPr>
          <w:rFonts w:hint="eastAsia" w:ascii="楷体" w:hAnsi="楷体" w:eastAsia="楷体" w:cs="Times New Roman"/>
          <w:sz w:val="28"/>
          <w:szCs w:val="28"/>
          <w:lang w:eastAsia="zh-CN"/>
        </w:rPr>
        <w:t>记载房屋建筑面积为</w:t>
      </w:r>
      <w:r>
        <w:rPr>
          <w:rFonts w:hint="eastAsia" w:ascii="楷体" w:hAnsi="楷体" w:eastAsia="楷体" w:cs="Times New Roman"/>
          <w:sz w:val="28"/>
          <w:szCs w:val="28"/>
          <w:lang w:val="en-US" w:eastAsia="zh-CN"/>
        </w:rPr>
        <w:t>195.96平方米，分摊土地使用权面积为27.99平方米，经与主办法官沟通，此次评估依据</w:t>
      </w:r>
      <w:r>
        <w:rPr>
          <w:rFonts w:hint="eastAsia" w:ascii="楷体" w:hAnsi="楷体" w:eastAsia="楷体" w:cs="Times New Roman"/>
          <w:sz w:val="28"/>
          <w:szCs w:val="28"/>
        </w:rPr>
        <w:t>《</w:t>
      </w:r>
      <w:r>
        <w:rPr>
          <w:rFonts w:hint="eastAsia" w:ascii="楷体" w:hAnsi="楷体" w:eastAsia="楷体" w:cs="Times New Roman"/>
          <w:sz w:val="28"/>
          <w:szCs w:val="28"/>
          <w:lang w:eastAsia="zh-CN"/>
        </w:rPr>
        <w:t>青铜峡市不动产登记信息查询单</w:t>
      </w:r>
      <w:r>
        <w:rPr>
          <w:rFonts w:hint="eastAsia" w:ascii="楷体" w:hAnsi="楷体" w:eastAsia="楷体" w:cs="Times New Roman"/>
          <w:sz w:val="28"/>
          <w:szCs w:val="28"/>
        </w:rPr>
        <w:t>》</w:t>
      </w:r>
      <w:r>
        <w:rPr>
          <w:rFonts w:hint="eastAsia" w:ascii="楷体" w:hAnsi="楷体" w:eastAsia="楷体" w:cs="Times New Roman"/>
          <w:sz w:val="28"/>
          <w:szCs w:val="28"/>
          <w:lang w:eastAsia="zh-CN"/>
        </w:rPr>
        <w:t>记载的房屋建筑面积</w:t>
      </w:r>
      <w:r>
        <w:rPr>
          <w:rFonts w:hint="eastAsia" w:ascii="楷体" w:hAnsi="楷体" w:eastAsia="楷体" w:cs="Times New Roman"/>
          <w:sz w:val="28"/>
          <w:szCs w:val="28"/>
          <w:lang w:val="en-US" w:eastAsia="zh-CN"/>
        </w:rPr>
        <w:t>195.96平方米</w:t>
      </w:r>
      <w:r>
        <w:rPr>
          <w:rFonts w:hint="eastAsia" w:ascii="楷体" w:hAnsi="楷体" w:eastAsia="楷体" w:cs="Times New Roman"/>
          <w:sz w:val="28"/>
          <w:szCs w:val="28"/>
          <w:lang w:eastAsia="zh-CN"/>
        </w:rPr>
        <w:t>和分摊土地使用权面积</w:t>
      </w:r>
      <w:r>
        <w:rPr>
          <w:rFonts w:hint="eastAsia" w:ascii="楷体" w:hAnsi="楷体" w:eastAsia="楷体" w:cs="Times New Roman"/>
          <w:sz w:val="28"/>
          <w:szCs w:val="28"/>
          <w:lang w:val="en-US" w:eastAsia="zh-CN"/>
        </w:rPr>
        <w:t>27.99平方米进行评估</w:t>
      </w:r>
      <w:r>
        <w:rPr>
          <w:rFonts w:hint="eastAsia" w:ascii="楷体" w:hAnsi="楷体" w:eastAsia="楷体" w:cs="Times New Roman"/>
          <w:sz w:val="28"/>
          <w:szCs w:val="28"/>
          <w:lang w:eastAsia="zh-CN"/>
        </w:rPr>
        <w:t>，若与实际情况不符，估价报告需做相应调整。</w:t>
      </w:r>
      <w:bookmarkStart w:id="16" w:name="_Toc43739165"/>
      <w:bookmarkStart w:id="17" w:name="_Toc2515"/>
    </w:p>
    <w:p>
      <w:pPr>
        <w:pStyle w:val="3"/>
        <w:pageBreakBefore w:val="0"/>
        <w:widowControl w:val="0"/>
        <w:kinsoku/>
        <w:wordWrap/>
        <w:overflowPunct/>
        <w:topLinePunct w:val="0"/>
        <w:autoSpaceDE/>
        <w:autoSpaceDN/>
        <w:bidi w:val="0"/>
        <w:adjustRightInd/>
        <w:snapToGrid/>
        <w:spacing w:before="0" w:after="0" w:line="480" w:lineRule="exact"/>
        <w:textAlignment w:val="auto"/>
        <w:rPr>
          <w:rFonts w:hint="eastAsia" w:ascii="楷体" w:hAnsi="楷体" w:eastAsia="楷体"/>
          <w:sz w:val="28"/>
          <w:szCs w:val="28"/>
        </w:rPr>
      </w:pPr>
      <w:r>
        <w:rPr>
          <w:rFonts w:hint="eastAsia" w:ascii="楷体" w:hAnsi="楷体" w:eastAsia="楷体"/>
          <w:sz w:val="28"/>
          <w:szCs w:val="28"/>
        </w:rPr>
        <w:t>五、依据不足假设</w:t>
      </w:r>
      <w:bookmarkEnd w:id="16"/>
      <w:bookmarkEnd w:id="17"/>
    </w:p>
    <w:p>
      <w:pPr>
        <w:pStyle w:val="3"/>
        <w:pageBreakBefore w:val="0"/>
        <w:widowControl w:val="0"/>
        <w:kinsoku/>
        <w:wordWrap/>
        <w:overflowPunct/>
        <w:topLinePunct w:val="0"/>
        <w:autoSpaceDE/>
        <w:autoSpaceDN/>
        <w:bidi w:val="0"/>
        <w:adjustRightInd/>
        <w:snapToGrid/>
        <w:spacing w:before="0" w:after="0" w:line="480" w:lineRule="exact"/>
        <w:ind w:firstLine="560" w:firstLineChars="200"/>
        <w:textAlignment w:val="auto"/>
        <w:rPr>
          <w:rFonts w:hint="eastAsia" w:ascii="楷体" w:hAnsi="楷体" w:eastAsia="楷体"/>
          <w:b w:val="0"/>
          <w:bCs/>
          <w:sz w:val="28"/>
          <w:szCs w:val="28"/>
          <w:lang w:eastAsia="zh-CN"/>
        </w:rPr>
      </w:pPr>
      <w:bookmarkStart w:id="18" w:name="_Toc14413"/>
      <w:bookmarkStart w:id="19" w:name="_Toc43739166"/>
      <w:r>
        <w:rPr>
          <w:rFonts w:hint="eastAsia" w:ascii="楷体" w:hAnsi="楷体" w:eastAsia="楷体"/>
          <w:b w:val="0"/>
          <w:bCs/>
          <w:sz w:val="28"/>
          <w:szCs w:val="28"/>
          <w:lang w:eastAsia="zh-CN"/>
        </w:rPr>
        <w:t>根据估价委托人提供的</w:t>
      </w:r>
      <w:r>
        <w:rPr>
          <w:rFonts w:hint="eastAsia" w:ascii="楷体" w:hAnsi="楷体" w:eastAsia="楷体" w:cs="Times New Roman"/>
          <w:b w:val="0"/>
          <w:bCs/>
          <w:sz w:val="28"/>
          <w:szCs w:val="28"/>
        </w:rPr>
        <w:t>《</w:t>
      </w:r>
      <w:r>
        <w:rPr>
          <w:rFonts w:hint="eastAsia" w:ascii="楷体" w:hAnsi="楷体" w:eastAsia="楷体" w:cs="Times New Roman"/>
          <w:b w:val="0"/>
          <w:bCs/>
          <w:sz w:val="28"/>
          <w:szCs w:val="28"/>
          <w:lang w:eastAsia="zh-CN"/>
        </w:rPr>
        <w:t>青铜峡市不动产登记信息查询单</w:t>
      </w:r>
      <w:r>
        <w:rPr>
          <w:rFonts w:hint="eastAsia" w:ascii="楷体" w:hAnsi="楷体" w:eastAsia="楷体" w:cs="Times New Roman"/>
          <w:b w:val="0"/>
          <w:bCs/>
          <w:sz w:val="28"/>
          <w:szCs w:val="28"/>
        </w:rPr>
        <w:t>》</w:t>
      </w:r>
    </w:p>
    <w:p>
      <w:pPr>
        <w:pStyle w:val="3"/>
        <w:pageBreakBefore w:val="0"/>
        <w:widowControl w:val="0"/>
        <w:kinsoku/>
        <w:wordWrap/>
        <w:overflowPunct/>
        <w:topLinePunct w:val="0"/>
        <w:autoSpaceDE/>
        <w:autoSpaceDN/>
        <w:bidi w:val="0"/>
        <w:adjustRightInd/>
        <w:snapToGrid/>
        <w:spacing w:before="0" w:after="0" w:line="480" w:lineRule="exact"/>
        <w:ind w:firstLine="560" w:firstLineChars="200"/>
        <w:textAlignment w:val="auto"/>
        <w:rPr>
          <w:rFonts w:hint="eastAsia" w:ascii="楷体" w:hAnsi="楷体" w:eastAsia="楷体"/>
          <w:b w:val="0"/>
          <w:bCs/>
          <w:sz w:val="28"/>
          <w:szCs w:val="28"/>
          <w:lang w:val="en-US" w:eastAsia="zh-CN"/>
        </w:rPr>
      </w:pPr>
      <w:r>
        <w:rPr>
          <w:rFonts w:hint="eastAsia" w:ascii="楷体" w:hAnsi="楷体" w:eastAsia="楷体"/>
          <w:b w:val="0"/>
          <w:bCs/>
          <w:sz w:val="28"/>
          <w:szCs w:val="28"/>
          <w:lang w:val="en-US" w:eastAsia="zh-CN"/>
        </w:rPr>
        <w:t>记载，房屋总层数为7层，所在层为1层，经注册房地产估价师实地查勘，估价对象所在层为负1至1层下跃式住宅，本次估价按负1至1层下跃式住宅进行评估，若与事实不符，估价报告作相应调整。</w:t>
      </w:r>
    </w:p>
    <w:p>
      <w:pPr>
        <w:pStyle w:val="3"/>
        <w:pageBreakBefore w:val="0"/>
        <w:widowControl w:val="0"/>
        <w:kinsoku/>
        <w:wordWrap/>
        <w:overflowPunct/>
        <w:topLinePunct w:val="0"/>
        <w:autoSpaceDE/>
        <w:autoSpaceDN/>
        <w:bidi w:val="0"/>
        <w:adjustRightInd/>
        <w:snapToGrid/>
        <w:spacing w:before="0" w:after="0" w:line="480" w:lineRule="exact"/>
        <w:ind w:firstLine="560" w:firstLineChars="200"/>
        <w:textAlignment w:val="auto"/>
        <w:rPr>
          <w:rFonts w:hint="eastAsia" w:ascii="楷体" w:hAnsi="楷体" w:eastAsia="楷体"/>
          <w:b w:val="0"/>
          <w:bCs/>
          <w:sz w:val="28"/>
          <w:szCs w:val="28"/>
          <w:lang w:val="en-US" w:eastAsia="zh-CN"/>
        </w:rPr>
      </w:pPr>
      <w:r>
        <w:rPr>
          <w:rFonts w:hint="eastAsia" w:ascii="楷体" w:hAnsi="楷体" w:eastAsia="楷体"/>
          <w:b w:val="0"/>
          <w:bCs/>
          <w:sz w:val="28"/>
          <w:szCs w:val="28"/>
          <w:lang w:val="en-US" w:eastAsia="zh-CN"/>
        </w:rPr>
        <w:t>依据估价委托人提供的相关资料，无估价对象建成年代记载，经经注册房地产估价师调查，估价对象建成于2012年，本次估价以此为依据进行评估，若与事实不符，估价报告做相应调整。</w:t>
      </w:r>
    </w:p>
    <w:p>
      <w:pPr>
        <w:pStyle w:val="3"/>
        <w:pageBreakBefore w:val="0"/>
        <w:widowControl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r>
        <w:rPr>
          <w:rFonts w:hint="eastAsia" w:ascii="楷体" w:hAnsi="楷体" w:eastAsia="楷体"/>
          <w:sz w:val="28"/>
          <w:szCs w:val="28"/>
        </w:rPr>
        <w:t>六、估价报告使用限制</w:t>
      </w:r>
      <w:bookmarkEnd w:id="18"/>
      <w:bookmarkEnd w:id="19"/>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ascii="楷体" w:hAnsi="楷体" w:eastAsia="楷体"/>
          <w:sz w:val="28"/>
          <w:szCs w:val="28"/>
        </w:rPr>
        <w:t>本估价报告应用于</w:t>
      </w:r>
      <w:r>
        <w:rPr>
          <w:rFonts w:hint="eastAsia" w:ascii="楷体" w:hAnsi="楷体" w:eastAsia="楷体"/>
          <w:sz w:val="28"/>
          <w:szCs w:val="28"/>
          <w:lang w:eastAsia="zh-CN"/>
        </w:rPr>
        <w:t>为人民法院确定财产处置参考价提供参考依据</w:t>
      </w:r>
      <w:r>
        <w:rPr>
          <w:rFonts w:ascii="楷体" w:hAnsi="楷体" w:eastAsia="楷体"/>
          <w:sz w:val="28"/>
          <w:szCs w:val="28"/>
        </w:rPr>
        <w:t>，若改变估价目的及使用条件需向本估价机构咨询后作必要修正甚至重新估价。</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ascii="楷体" w:hAnsi="楷体" w:eastAsia="楷体"/>
          <w:sz w:val="28"/>
          <w:szCs w:val="28"/>
        </w:rPr>
        <w:t>本估价报告</w:t>
      </w:r>
      <w:r>
        <w:rPr>
          <w:rFonts w:hint="eastAsia" w:ascii="楷体" w:hAnsi="楷体" w:eastAsia="楷体"/>
          <w:sz w:val="28"/>
          <w:szCs w:val="28"/>
        </w:rPr>
        <w:t>评估结果仅为</w:t>
      </w:r>
      <w:r>
        <w:rPr>
          <w:rFonts w:ascii="楷体" w:hAnsi="楷体" w:eastAsia="楷体"/>
          <w:sz w:val="28"/>
          <w:szCs w:val="28"/>
        </w:rPr>
        <w:t>估价委托人</w:t>
      </w:r>
      <w:r>
        <w:rPr>
          <w:rFonts w:hint="eastAsia" w:ascii="楷体" w:hAnsi="楷体" w:eastAsia="楷体"/>
          <w:sz w:val="28"/>
          <w:szCs w:val="28"/>
        </w:rPr>
        <w:t>确定财产处置参考价服务，不可作为</w:t>
      </w:r>
      <w:r>
        <w:rPr>
          <w:rFonts w:ascii="楷体" w:hAnsi="楷体" w:eastAsia="楷体"/>
          <w:sz w:val="28"/>
          <w:szCs w:val="28"/>
        </w:rPr>
        <w:t>估价对象</w:t>
      </w:r>
      <w:r>
        <w:rPr>
          <w:rFonts w:hint="eastAsia" w:ascii="楷体" w:hAnsi="楷体" w:eastAsia="楷体"/>
          <w:sz w:val="28"/>
          <w:szCs w:val="28"/>
        </w:rPr>
        <w:t>处置的成交价格，更不能被视为</w:t>
      </w:r>
      <w:r>
        <w:rPr>
          <w:rFonts w:ascii="楷体" w:hAnsi="楷体" w:eastAsia="楷体"/>
          <w:sz w:val="28"/>
          <w:szCs w:val="28"/>
        </w:rPr>
        <w:t>估价对象</w:t>
      </w:r>
      <w:r>
        <w:rPr>
          <w:rFonts w:hint="eastAsia" w:ascii="楷体" w:hAnsi="楷体" w:eastAsia="楷体"/>
          <w:sz w:val="28"/>
          <w:szCs w:val="28"/>
        </w:rPr>
        <w:t>处置成交价格的保证依据。</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hint="eastAsia" w:ascii="楷体" w:hAnsi="楷体" w:eastAsia="楷体"/>
          <w:sz w:val="28"/>
          <w:szCs w:val="28"/>
        </w:rPr>
        <w:t>财产拍卖或者变卖之日与价值时点不一致，可能导致估价结果对应的估价对象状况、房地产市场状况、欠缴税费状况等与财产拍卖或者变卖时的相应状况不一致，发生明显变化的，估价结果应当进行相应调整后报告使用者才可使用。</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hint="eastAsia" w:ascii="楷体" w:hAnsi="楷体" w:eastAsia="楷体"/>
          <w:sz w:val="28"/>
          <w:szCs w:val="28"/>
        </w:rPr>
        <w:t>本次报告估价结果中总价值为单位建筑面积价值乘以建筑面积并以“元”为单位取整后得出。若以上述取整后得出的总价再除以建筑面积返算单位建筑面积价值，由于取整位数不同，单位建筑面积价值会产生细微误差。本报告以估价结果中列示的总价值、单位建筑面积价值为准，返算的单位建筑面积价值不影响估价结果的客观准确性。</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ascii="楷体" w:hAnsi="楷体" w:eastAsia="楷体"/>
          <w:sz w:val="28"/>
          <w:szCs w:val="28"/>
        </w:rPr>
        <w:t>本报告中的数据全部采用电算化连续计算得出，由于在报告中计算的数据均按四舍五入进行取整，因此，可能出现个别等式左右不完全相等的情况，但此种情况不影响计算结果及估价结论的准确性。</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hint="eastAsia" w:ascii="楷体" w:hAnsi="楷体" w:eastAsia="楷体"/>
          <w:sz w:val="28"/>
          <w:szCs w:val="28"/>
        </w:rPr>
        <w:t>本次评估估价报告包括“房地产估价结果报告”和“房地产估价技术报告”。本次评估仅提供“房地产估价结果报告”，“房地产估价技术报告”仅供估价机构存档和有关管理部门查阅等。</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ascii="楷体" w:hAnsi="楷体" w:eastAsia="楷体"/>
          <w:sz w:val="28"/>
          <w:szCs w:val="28"/>
        </w:rPr>
        <w:t>本房地产估价报告经估价机构加盖公章并由注册房地产估价师签字后方可使用。</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ascii="楷体" w:hAnsi="楷体" w:eastAsia="楷体"/>
          <w:sz w:val="28"/>
          <w:szCs w:val="28"/>
        </w:rPr>
        <w:t>未经估价机构和估价委托人书面同意，本报告的全部或部分及任何参考资料均不允许在任何公开发表的文件、通告或声明中引用，亦不得以其他任何方式公开发表。</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hint="eastAsia" w:ascii="楷体" w:hAnsi="楷体" w:eastAsia="楷体"/>
          <w:sz w:val="28"/>
          <w:szCs w:val="28"/>
        </w:rPr>
        <w:t>本估价报告一式</w:t>
      </w:r>
      <w:r>
        <w:rPr>
          <w:rFonts w:hint="eastAsia" w:ascii="楷体" w:hAnsi="楷体" w:eastAsia="楷体"/>
          <w:sz w:val="28"/>
          <w:szCs w:val="28"/>
          <w:lang w:eastAsia="zh-CN"/>
        </w:rPr>
        <w:t>陆</w:t>
      </w:r>
      <w:r>
        <w:rPr>
          <w:rFonts w:hint="eastAsia" w:ascii="楷体" w:hAnsi="楷体" w:eastAsia="楷体"/>
          <w:sz w:val="28"/>
          <w:szCs w:val="28"/>
        </w:rPr>
        <w:t>份，估价委托人</w:t>
      </w:r>
      <w:r>
        <w:rPr>
          <w:rFonts w:hint="eastAsia" w:ascii="楷体" w:hAnsi="楷体" w:eastAsia="楷体"/>
          <w:sz w:val="28"/>
          <w:szCs w:val="28"/>
          <w:lang w:eastAsia="zh-CN"/>
        </w:rPr>
        <w:t>伍</w:t>
      </w:r>
      <w:r>
        <w:rPr>
          <w:rFonts w:hint="eastAsia" w:ascii="楷体" w:hAnsi="楷体" w:eastAsia="楷体"/>
          <w:sz w:val="28"/>
          <w:szCs w:val="28"/>
        </w:rPr>
        <w:t>份，本机构存档壹份。</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hint="eastAsia" w:ascii="楷体" w:hAnsi="楷体" w:eastAsia="楷体"/>
          <w:sz w:val="28"/>
          <w:szCs w:val="28"/>
        </w:rPr>
        <w:t>本估价报告自估价报告出具之日</w:t>
      </w:r>
      <w:r>
        <w:rPr>
          <w:rFonts w:hint="eastAsia" w:ascii="楷体" w:hAnsi="楷体" w:eastAsia="楷体"/>
          <w:sz w:val="28"/>
          <w:szCs w:val="28"/>
          <w:lang w:eastAsia="zh-CN"/>
        </w:rPr>
        <w:t>2022年6月7日</w:t>
      </w:r>
      <w:r>
        <w:rPr>
          <w:rFonts w:hint="eastAsia" w:ascii="楷体" w:hAnsi="楷体" w:eastAsia="楷体"/>
          <w:sz w:val="28"/>
          <w:szCs w:val="28"/>
        </w:rPr>
        <w:t>起一年内有效。如果使用本估价结果的时间超过了报告应用的有效期，估价机构对此结果造成的损失不承担责任。</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hint="eastAsia" w:ascii="楷体" w:hAnsi="楷体" w:eastAsia="楷体"/>
          <w:sz w:val="28"/>
          <w:szCs w:val="28"/>
        </w:rPr>
        <w:t>本估价报告在报告应用的有效期内，估价对象状况或者房地产市场状况发生明显变化的，估价结果应当进行相应调整后才可使用。</w:t>
      </w:r>
    </w:p>
    <w:p>
      <w:pPr>
        <w:pageBreakBefore w:val="0"/>
        <w:widowControl w:val="0"/>
        <w:numPr>
          <w:ilvl w:val="0"/>
          <w:numId w:val="4"/>
        </w:numPr>
        <w:tabs>
          <w:tab w:val="left" w:pos="993"/>
        </w:tabs>
        <w:kinsoku/>
        <w:wordWrap/>
        <w:overflowPunct/>
        <w:topLinePunct w:val="0"/>
        <w:autoSpaceDE/>
        <w:autoSpaceDN/>
        <w:bidi w:val="0"/>
        <w:adjustRightInd/>
        <w:snapToGrid/>
        <w:spacing w:line="480" w:lineRule="exact"/>
        <w:ind w:left="0" w:firstLine="565" w:firstLineChars="202"/>
        <w:textAlignment w:val="auto"/>
        <w:rPr>
          <w:rFonts w:ascii="楷体" w:hAnsi="楷体" w:eastAsia="楷体"/>
          <w:sz w:val="28"/>
          <w:szCs w:val="28"/>
        </w:rPr>
      </w:pPr>
      <w:r>
        <w:rPr>
          <w:rFonts w:ascii="楷体" w:hAnsi="楷体" w:eastAsia="楷体"/>
          <w:sz w:val="28"/>
          <w:szCs w:val="28"/>
        </w:rPr>
        <w:t>本报告由北京仁达房地产土地资产评估有限公司负责解释</w:t>
      </w:r>
      <w:r>
        <w:rPr>
          <w:rFonts w:hint="eastAsia" w:ascii="楷体" w:hAnsi="楷体" w:eastAsia="楷体"/>
          <w:sz w:val="28"/>
          <w:szCs w:val="28"/>
        </w:rPr>
        <w:t>。</w:t>
      </w:r>
    </w:p>
    <w:p>
      <w:pPr>
        <w:pStyle w:val="2"/>
        <w:spacing w:before="0" w:after="0" w:line="520" w:lineRule="exact"/>
        <w:jc w:val="center"/>
        <w:rPr>
          <w:rFonts w:ascii="楷体" w:hAnsi="楷体" w:eastAsia="楷体"/>
          <w:sz w:val="32"/>
          <w:szCs w:val="32"/>
        </w:rPr>
      </w:pPr>
      <w:r>
        <w:br w:type="page"/>
      </w:r>
      <w:bookmarkStart w:id="20" w:name="_Toc31921"/>
      <w:bookmarkStart w:id="21" w:name="_Toc436035296"/>
      <w:bookmarkStart w:id="22" w:name="_Toc318818627"/>
      <w:r>
        <w:rPr>
          <w:rFonts w:hint="eastAsia" w:ascii="楷体" w:hAnsi="楷体" w:eastAsia="楷体"/>
          <w:sz w:val="32"/>
          <w:szCs w:val="32"/>
        </w:rPr>
        <w:t>估价结果报告</w:t>
      </w:r>
      <w:bookmarkEnd w:id="20"/>
      <w:bookmarkEnd w:id="21"/>
      <w:bookmarkEnd w:id="22"/>
    </w:p>
    <w:p>
      <w:pPr>
        <w:pStyle w:val="3"/>
        <w:pageBreakBefore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23" w:name="_Toc436035297"/>
      <w:bookmarkStart w:id="24" w:name="_Toc318818628"/>
      <w:bookmarkStart w:id="25" w:name="_Toc2747"/>
      <w:r>
        <w:rPr>
          <w:rFonts w:hint="eastAsia" w:ascii="楷体" w:hAnsi="楷体" w:eastAsia="楷体"/>
          <w:sz w:val="28"/>
          <w:szCs w:val="28"/>
        </w:rPr>
        <w:t>一、估价委托人</w:t>
      </w:r>
      <w:bookmarkEnd w:id="23"/>
      <w:bookmarkEnd w:id="24"/>
      <w:bookmarkEnd w:id="25"/>
    </w:p>
    <w:p>
      <w:pPr>
        <w:pStyle w:val="125"/>
        <w:pageBreakBefore w:val="0"/>
        <w:widowControl w:val="0"/>
        <w:kinsoku/>
        <w:wordWrap/>
        <w:overflowPunct/>
        <w:topLinePunct w:val="0"/>
        <w:autoSpaceDE/>
        <w:autoSpaceDN/>
        <w:bidi w:val="0"/>
        <w:adjustRightInd/>
        <w:snapToGrid/>
        <w:spacing w:line="480" w:lineRule="exact"/>
        <w:textAlignment w:val="auto"/>
        <w:rPr>
          <w:rFonts w:hint="eastAsia"/>
          <w:lang w:eastAsia="zh-CN"/>
        </w:rPr>
      </w:pPr>
      <w:bookmarkStart w:id="26" w:name="_Toc436035298"/>
      <w:bookmarkStart w:id="27" w:name="_Toc318818629"/>
      <w:r>
        <w:rPr>
          <w:rFonts w:hint="eastAsia"/>
        </w:rPr>
        <w:t>委托人</w:t>
      </w:r>
      <w:r>
        <w:t>：</w:t>
      </w:r>
      <w:r>
        <w:rPr>
          <w:rFonts w:hint="eastAsia"/>
          <w:lang w:eastAsia="zh-CN"/>
        </w:rPr>
        <w:t>宁夏回族自治区吴忠市中级人民法院</w:t>
      </w:r>
    </w:p>
    <w:p>
      <w:pPr>
        <w:pStyle w:val="125"/>
        <w:pageBreakBefore w:val="0"/>
        <w:widowControl w:val="0"/>
        <w:kinsoku/>
        <w:wordWrap/>
        <w:overflowPunct/>
        <w:topLinePunct w:val="0"/>
        <w:autoSpaceDE/>
        <w:autoSpaceDN/>
        <w:bidi w:val="0"/>
        <w:adjustRightInd/>
        <w:snapToGrid/>
        <w:spacing w:line="480" w:lineRule="exact"/>
        <w:textAlignment w:val="auto"/>
        <w:rPr>
          <w:rFonts w:hint="default"/>
          <w:lang w:val="en-US"/>
        </w:rPr>
      </w:pPr>
      <w:r>
        <w:rPr>
          <w:rFonts w:hint="eastAsia"/>
        </w:rPr>
        <w:t>联系人：</w:t>
      </w:r>
      <w:r>
        <w:rPr>
          <w:rFonts w:hint="eastAsia"/>
          <w:lang w:val="en-US" w:eastAsia="zh-CN"/>
        </w:rPr>
        <w:t>王治业</w:t>
      </w:r>
    </w:p>
    <w:p>
      <w:pPr>
        <w:pStyle w:val="125"/>
        <w:pageBreakBefore w:val="0"/>
        <w:widowControl w:val="0"/>
        <w:kinsoku/>
        <w:wordWrap/>
        <w:overflowPunct/>
        <w:topLinePunct w:val="0"/>
        <w:autoSpaceDE/>
        <w:autoSpaceDN/>
        <w:bidi w:val="0"/>
        <w:adjustRightInd/>
        <w:snapToGrid/>
        <w:spacing w:line="480" w:lineRule="exact"/>
        <w:textAlignment w:val="auto"/>
        <w:rPr>
          <w:rFonts w:hint="default" w:eastAsia="楷体"/>
          <w:lang w:val="en-US" w:eastAsia="zh-CN"/>
        </w:rPr>
      </w:pPr>
      <w:r>
        <w:rPr>
          <w:rFonts w:hint="eastAsia"/>
        </w:rPr>
        <w:t>电  话：</w:t>
      </w:r>
      <w:r>
        <w:rPr>
          <w:rFonts w:hint="eastAsia"/>
          <w:lang w:val="en-US" w:eastAsia="zh-CN"/>
        </w:rPr>
        <w:t>18995339811</w:t>
      </w:r>
    </w:p>
    <w:p>
      <w:pPr>
        <w:pStyle w:val="3"/>
        <w:pageBreakBefore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28" w:name="_Toc12009"/>
      <w:r>
        <w:rPr>
          <w:rFonts w:hint="eastAsia" w:ascii="楷体" w:hAnsi="楷体" w:eastAsia="楷体"/>
          <w:sz w:val="28"/>
          <w:szCs w:val="28"/>
        </w:rPr>
        <w:t>二、房地产估价机构</w:t>
      </w:r>
      <w:bookmarkEnd w:id="26"/>
      <w:bookmarkEnd w:id="27"/>
      <w:bookmarkEnd w:id="28"/>
    </w:p>
    <w:p>
      <w:pPr>
        <w:pStyle w:val="125"/>
        <w:pageBreakBefore w:val="0"/>
        <w:kinsoku/>
        <w:wordWrap/>
        <w:overflowPunct/>
        <w:topLinePunct w:val="0"/>
        <w:autoSpaceDE/>
        <w:autoSpaceDN/>
        <w:bidi w:val="0"/>
        <w:adjustRightInd/>
        <w:snapToGrid/>
        <w:spacing w:line="480" w:lineRule="exact"/>
        <w:textAlignment w:val="auto"/>
      </w:pPr>
      <w:r>
        <w:rPr>
          <w:rFonts w:hint="eastAsia"/>
        </w:rPr>
        <w:t>估价机构：北京仁达房地产土地资产评估有限公司</w:t>
      </w:r>
    </w:p>
    <w:p>
      <w:pPr>
        <w:pStyle w:val="125"/>
        <w:pageBreakBefore w:val="0"/>
        <w:widowControl w:val="0"/>
        <w:kinsoku/>
        <w:wordWrap/>
        <w:overflowPunct/>
        <w:topLinePunct w:val="0"/>
        <w:autoSpaceDE/>
        <w:autoSpaceDN/>
        <w:bidi w:val="0"/>
        <w:adjustRightInd/>
        <w:snapToGrid/>
        <w:spacing w:line="480" w:lineRule="exact"/>
        <w:textAlignment w:val="auto"/>
      </w:pPr>
      <w:r>
        <w:rPr>
          <w:rFonts w:hint="eastAsia"/>
          <w:lang w:bidi="ar"/>
        </w:rPr>
        <w:t>土地估价机构备案函编号：京土估备字</w:t>
      </w:r>
      <w:r>
        <w:rPr>
          <w:lang w:bidi="ar"/>
        </w:rPr>
        <w:t>[2020]0085号</w:t>
      </w:r>
    </w:p>
    <w:p>
      <w:pPr>
        <w:pStyle w:val="125"/>
        <w:pageBreakBefore w:val="0"/>
        <w:kinsoku/>
        <w:wordWrap/>
        <w:overflowPunct/>
        <w:topLinePunct w:val="0"/>
        <w:autoSpaceDE/>
        <w:autoSpaceDN/>
        <w:bidi w:val="0"/>
        <w:adjustRightInd/>
        <w:snapToGrid/>
        <w:spacing w:line="480" w:lineRule="exact"/>
        <w:textAlignment w:val="auto"/>
      </w:pPr>
      <w:r>
        <w:rPr>
          <w:rFonts w:hint="eastAsia"/>
        </w:rPr>
        <w:t>备案证书号：建房估备字[2013]069号</w:t>
      </w:r>
    </w:p>
    <w:p>
      <w:pPr>
        <w:pStyle w:val="125"/>
        <w:pageBreakBefore w:val="0"/>
        <w:kinsoku/>
        <w:wordWrap/>
        <w:overflowPunct/>
        <w:topLinePunct w:val="0"/>
        <w:autoSpaceDE/>
        <w:autoSpaceDN/>
        <w:bidi w:val="0"/>
        <w:adjustRightInd/>
        <w:snapToGrid/>
        <w:spacing w:line="480" w:lineRule="exact"/>
        <w:textAlignment w:val="auto"/>
      </w:pPr>
      <w:r>
        <w:rPr>
          <w:rFonts w:hint="eastAsia"/>
        </w:rPr>
        <w:t>备案等级：一级</w:t>
      </w:r>
    </w:p>
    <w:p>
      <w:pPr>
        <w:pStyle w:val="125"/>
        <w:pageBreakBefore w:val="0"/>
        <w:kinsoku/>
        <w:wordWrap/>
        <w:overflowPunct/>
        <w:topLinePunct w:val="0"/>
        <w:autoSpaceDE/>
        <w:autoSpaceDN/>
        <w:bidi w:val="0"/>
        <w:adjustRightInd/>
        <w:snapToGrid/>
        <w:spacing w:line="480" w:lineRule="exact"/>
        <w:textAlignment w:val="auto"/>
      </w:pPr>
      <w:r>
        <w:rPr>
          <w:rFonts w:hint="eastAsia"/>
          <w:lang w:bidi="ar"/>
        </w:rPr>
        <w:t>法定代表人：于京博</w:t>
      </w:r>
    </w:p>
    <w:p>
      <w:pPr>
        <w:pStyle w:val="125"/>
        <w:pageBreakBefore w:val="0"/>
        <w:kinsoku/>
        <w:wordWrap/>
        <w:overflowPunct/>
        <w:topLinePunct w:val="0"/>
        <w:autoSpaceDE/>
        <w:autoSpaceDN/>
        <w:bidi w:val="0"/>
        <w:adjustRightInd/>
        <w:snapToGrid/>
        <w:spacing w:line="480" w:lineRule="exact"/>
        <w:textAlignment w:val="auto"/>
      </w:pPr>
      <w:r>
        <w:rPr>
          <w:rFonts w:hint="eastAsia"/>
        </w:rPr>
        <w:t>有效期限：2020年9月11日至2022年9月16日</w:t>
      </w:r>
    </w:p>
    <w:p>
      <w:pPr>
        <w:pStyle w:val="125"/>
        <w:pageBreakBefore w:val="0"/>
        <w:kinsoku/>
        <w:wordWrap/>
        <w:overflowPunct/>
        <w:topLinePunct w:val="0"/>
        <w:autoSpaceDE/>
        <w:autoSpaceDN/>
        <w:bidi w:val="0"/>
        <w:adjustRightInd/>
        <w:snapToGrid/>
        <w:spacing w:line="480" w:lineRule="exact"/>
        <w:ind w:left="2838" w:leftChars="285" w:hanging="2240" w:hangingChars="800"/>
        <w:textAlignment w:val="auto"/>
      </w:pPr>
      <w:r>
        <w:rPr>
          <w:rFonts w:hint="eastAsia"/>
        </w:rPr>
        <w:t>银川分公司地址：银川市金凤区亲水北大街9号银川万达中心B座1806室</w:t>
      </w:r>
    </w:p>
    <w:p>
      <w:pPr>
        <w:pStyle w:val="125"/>
        <w:pageBreakBefore w:val="0"/>
        <w:kinsoku/>
        <w:wordWrap/>
        <w:overflowPunct/>
        <w:topLinePunct w:val="0"/>
        <w:autoSpaceDE/>
        <w:autoSpaceDN/>
        <w:bidi w:val="0"/>
        <w:adjustRightInd/>
        <w:snapToGrid/>
        <w:spacing w:line="480" w:lineRule="exact"/>
        <w:textAlignment w:val="auto"/>
      </w:pPr>
      <w:r>
        <w:rPr>
          <w:rFonts w:hint="eastAsia"/>
        </w:rPr>
        <w:t>联系电话： 0951-5058118</w:t>
      </w:r>
    </w:p>
    <w:p>
      <w:pPr>
        <w:pStyle w:val="125"/>
        <w:pageBreakBefore w:val="0"/>
        <w:widowControl w:val="0"/>
        <w:kinsoku/>
        <w:wordWrap/>
        <w:overflowPunct/>
        <w:topLinePunct w:val="0"/>
        <w:autoSpaceDE/>
        <w:autoSpaceDN/>
        <w:bidi w:val="0"/>
        <w:adjustRightInd/>
        <w:snapToGrid/>
        <w:spacing w:line="480" w:lineRule="exact"/>
        <w:textAlignment w:val="auto"/>
      </w:pPr>
      <w:r>
        <w:rPr>
          <w:rFonts w:hint="eastAsia"/>
        </w:rPr>
        <w:t>联 系 人：徐惠琴</w:t>
      </w:r>
    </w:p>
    <w:p>
      <w:pPr>
        <w:pStyle w:val="3"/>
        <w:pageBreakBefore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29" w:name="_Toc318818630"/>
      <w:bookmarkStart w:id="30" w:name="_Toc30641"/>
      <w:bookmarkStart w:id="31" w:name="_Toc436035299"/>
      <w:r>
        <w:rPr>
          <w:rFonts w:hint="eastAsia" w:ascii="楷体" w:hAnsi="楷体" w:eastAsia="楷体"/>
          <w:sz w:val="28"/>
          <w:szCs w:val="28"/>
        </w:rPr>
        <w:t>三、估价目的</w:t>
      </w:r>
      <w:bookmarkEnd w:id="29"/>
      <w:bookmarkEnd w:id="30"/>
      <w:bookmarkEnd w:id="31"/>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lang w:eastAsia="zh-CN"/>
        </w:rPr>
        <w:t>为人民法院确定财产处置参考价提供参考依据</w:t>
      </w:r>
      <w:r>
        <w:rPr>
          <w:rFonts w:hint="eastAsia" w:ascii="楷体" w:hAnsi="楷体" w:eastAsia="楷体"/>
          <w:sz w:val="28"/>
          <w:szCs w:val="28"/>
        </w:rPr>
        <w:t>。</w:t>
      </w:r>
    </w:p>
    <w:p>
      <w:pPr>
        <w:pStyle w:val="3"/>
        <w:pageBreakBefore w:val="0"/>
        <w:kinsoku/>
        <w:wordWrap/>
        <w:overflowPunct/>
        <w:topLinePunct w:val="0"/>
        <w:autoSpaceDE/>
        <w:autoSpaceDN/>
        <w:bidi w:val="0"/>
        <w:adjustRightInd/>
        <w:snapToGrid/>
        <w:spacing w:before="0" w:after="0" w:line="480" w:lineRule="exact"/>
        <w:textAlignment w:val="auto"/>
        <w:rPr>
          <w:rFonts w:ascii="楷体" w:hAnsi="楷体" w:eastAsia="楷体"/>
          <w:sz w:val="28"/>
          <w:szCs w:val="28"/>
        </w:rPr>
      </w:pPr>
      <w:bookmarkStart w:id="32" w:name="_Toc436035300"/>
      <w:bookmarkStart w:id="33" w:name="_Toc318818631"/>
      <w:bookmarkStart w:id="34" w:name="_Toc23764"/>
      <w:r>
        <w:rPr>
          <w:rFonts w:hint="eastAsia" w:ascii="楷体" w:hAnsi="楷体" w:eastAsia="楷体"/>
          <w:sz w:val="28"/>
          <w:szCs w:val="28"/>
        </w:rPr>
        <w:t>四、估价对象</w:t>
      </w:r>
      <w:bookmarkEnd w:id="32"/>
      <w:bookmarkEnd w:id="33"/>
      <w:bookmarkEnd w:id="34"/>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（一）估价对象概况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估价对象为</w:t>
      </w:r>
      <w:r>
        <w:rPr>
          <w:rFonts w:ascii="楷体" w:hAnsi="楷体" w:eastAsia="楷体"/>
          <w:sz w:val="28"/>
          <w:szCs w:val="28"/>
        </w:rPr>
        <w:t>位于</w:t>
      </w:r>
      <w:r>
        <w:rPr>
          <w:rFonts w:hint="eastAsia" w:ascii="楷体" w:hAnsi="楷体" w:eastAsia="楷体"/>
          <w:sz w:val="28"/>
          <w:szCs w:val="28"/>
          <w:lang w:eastAsia="zh-CN"/>
        </w:rPr>
        <w:t>青铜峡市永昌英伦庄园23幢01012</w:t>
      </w:r>
      <w:r>
        <w:rPr>
          <w:rFonts w:ascii="楷体" w:hAnsi="楷体" w:eastAsia="楷体"/>
          <w:sz w:val="28"/>
          <w:szCs w:val="28"/>
        </w:rPr>
        <w:t>住宅</w:t>
      </w:r>
      <w:r>
        <w:rPr>
          <w:rFonts w:hint="eastAsia" w:ascii="楷体" w:hAnsi="楷体" w:eastAsia="楷体"/>
          <w:sz w:val="28"/>
          <w:szCs w:val="28"/>
        </w:rPr>
        <w:t>房地产，包括房屋建筑物及其分摊的土地使用权</w:t>
      </w:r>
      <w:r>
        <w:rPr>
          <w:rFonts w:hint="eastAsia" w:ascii="楷体" w:hAnsi="楷体" w:eastAsia="楷体"/>
          <w:sz w:val="28"/>
          <w:szCs w:val="28"/>
          <w:lang w:eastAsia="zh-CN"/>
        </w:rPr>
        <w:t>，总层数</w:t>
      </w:r>
      <w:r>
        <w:rPr>
          <w:rFonts w:hint="eastAsia" w:ascii="楷体" w:hAnsi="楷体" w:eastAsia="楷体"/>
          <w:sz w:val="28"/>
          <w:szCs w:val="28"/>
          <w:lang w:val="en-US" w:eastAsia="zh-CN"/>
        </w:rPr>
        <w:t>7层，估价对象位于负1至1层，</w:t>
      </w:r>
      <w:r>
        <w:rPr>
          <w:rFonts w:hint="eastAsia" w:ascii="楷体" w:hAnsi="楷体" w:eastAsia="楷体"/>
          <w:sz w:val="28"/>
          <w:szCs w:val="28"/>
        </w:rPr>
        <w:t>建筑面积</w:t>
      </w:r>
      <w:r>
        <w:rPr>
          <w:rFonts w:hint="eastAsia" w:ascii="楷体" w:hAnsi="楷体" w:eastAsia="楷体"/>
          <w:sz w:val="28"/>
          <w:szCs w:val="28"/>
          <w:lang w:eastAsia="zh-CN"/>
        </w:rPr>
        <w:t>195.96</w:t>
      </w:r>
      <w:r>
        <w:rPr>
          <w:rFonts w:hint="eastAsia" w:ascii="楷体" w:hAnsi="楷体" w:eastAsia="楷体"/>
          <w:sz w:val="28"/>
          <w:szCs w:val="28"/>
        </w:rPr>
        <w:t>m</w:t>
      </w:r>
      <w:r>
        <w:rPr>
          <w:rFonts w:hint="eastAsia" w:ascii="楷体" w:hAnsi="楷体" w:eastAsia="楷体"/>
          <w:sz w:val="28"/>
          <w:szCs w:val="28"/>
          <w:vertAlign w:val="superscript"/>
        </w:rPr>
        <w:t>2</w:t>
      </w:r>
      <w:r>
        <w:rPr>
          <w:rFonts w:hint="eastAsia" w:ascii="楷体" w:hAnsi="楷体" w:eastAsia="楷体"/>
          <w:sz w:val="28"/>
          <w:szCs w:val="28"/>
        </w:rPr>
        <w:t>，分摊土地使用权面积</w:t>
      </w:r>
      <w:r>
        <w:rPr>
          <w:rFonts w:hint="eastAsia" w:ascii="楷体" w:hAnsi="楷体" w:eastAsia="楷体"/>
          <w:sz w:val="28"/>
          <w:szCs w:val="28"/>
          <w:lang w:val="en-US" w:eastAsia="zh-CN"/>
        </w:rPr>
        <w:t>27.99</w:t>
      </w:r>
      <w:r>
        <w:rPr>
          <w:rFonts w:hint="eastAsia" w:ascii="楷体" w:hAnsi="楷体" w:eastAsia="楷体"/>
          <w:sz w:val="28"/>
          <w:szCs w:val="28"/>
        </w:rPr>
        <w:t>平方米</w:t>
      </w:r>
      <w:r>
        <w:rPr>
          <w:rFonts w:hint="eastAsia" w:ascii="楷体" w:hAnsi="楷体" w:eastAsia="楷体"/>
          <w:sz w:val="28"/>
          <w:szCs w:val="28"/>
          <w:lang w:eastAsia="zh-CN"/>
        </w:rPr>
        <w:t>，</w:t>
      </w:r>
      <w:r>
        <w:rPr>
          <w:rFonts w:hint="eastAsia" w:ascii="楷体" w:hAnsi="楷体" w:eastAsia="楷体"/>
          <w:sz w:val="28"/>
          <w:szCs w:val="28"/>
        </w:rPr>
        <w:t>房地产</w:t>
      </w:r>
      <w:r>
        <w:rPr>
          <w:rFonts w:hint="eastAsia" w:ascii="楷体" w:hAnsi="楷体" w:eastAsia="楷体"/>
          <w:sz w:val="28"/>
          <w:szCs w:val="28"/>
          <w:lang w:eastAsia="zh-CN"/>
        </w:rPr>
        <w:t>规划</w:t>
      </w:r>
      <w:r>
        <w:rPr>
          <w:rFonts w:hint="eastAsia" w:ascii="楷体" w:hAnsi="楷体" w:eastAsia="楷体"/>
          <w:sz w:val="28"/>
          <w:szCs w:val="28"/>
        </w:rPr>
        <w:t>用途为住宅</w:t>
      </w:r>
      <w:r>
        <w:rPr>
          <w:rFonts w:hint="eastAsia" w:ascii="楷体" w:hAnsi="楷体" w:eastAsia="楷体"/>
          <w:sz w:val="28"/>
          <w:szCs w:val="28"/>
          <w:lang w:eastAsia="zh-CN"/>
        </w:rPr>
        <w:t>，实际</w:t>
      </w:r>
      <w:r>
        <w:rPr>
          <w:rFonts w:hint="eastAsia" w:ascii="楷体" w:hAnsi="楷体" w:eastAsia="楷体"/>
          <w:sz w:val="28"/>
          <w:szCs w:val="28"/>
        </w:rPr>
        <w:t>用途为住宅</w:t>
      </w:r>
      <w:r>
        <w:rPr>
          <w:rFonts w:ascii="楷体" w:hAnsi="楷体" w:eastAsia="楷体"/>
          <w:sz w:val="28"/>
          <w:szCs w:val="28"/>
        </w:rPr>
        <w:t>。</w:t>
      </w:r>
    </w:p>
    <w:p>
      <w:pPr>
        <w:pStyle w:val="116"/>
        <w:pageBreakBefore w:val="0"/>
        <w:numPr>
          <w:ilvl w:val="0"/>
          <w:numId w:val="5"/>
        </w:numPr>
        <w:kinsoku/>
        <w:wordWrap/>
        <w:overflowPunct/>
        <w:topLinePunct w:val="0"/>
        <w:autoSpaceDE/>
        <w:autoSpaceDN/>
        <w:bidi w:val="0"/>
        <w:adjustRightInd/>
        <w:snapToGrid/>
        <w:spacing w:line="480" w:lineRule="exact"/>
        <w:ind w:firstLineChars="0"/>
        <w:textAlignment w:val="auto"/>
        <w:rPr>
          <w:rFonts w:hint="eastAsia" w:ascii="楷体" w:hAnsi="楷体" w:eastAsia="楷体"/>
          <w:sz w:val="28"/>
          <w:szCs w:val="28"/>
        </w:rPr>
      </w:pPr>
      <w:r>
        <w:rPr>
          <w:rFonts w:hint="eastAsia" w:ascii="楷体" w:hAnsi="楷体" w:eastAsia="楷体"/>
          <w:sz w:val="28"/>
          <w:szCs w:val="28"/>
        </w:rPr>
        <w:t>区位状况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1.</w:t>
      </w:r>
      <w:r>
        <w:rPr>
          <w:rFonts w:ascii="楷体" w:hAnsi="楷体" w:eastAsia="楷体"/>
          <w:sz w:val="28"/>
          <w:szCs w:val="28"/>
        </w:rPr>
        <w:t>位置状况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lang w:val="en-US" w:eastAsia="zh-CN"/>
        </w:rPr>
        <w:t>估价对象位于青铜峡市永昌英伦庄园23幢01012，总层数7层，所在层负1至1层，距青龙湖约1.2公里，周边多为住宅、商业用地，地理位置良好。</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2.</w:t>
      </w:r>
      <w:r>
        <w:rPr>
          <w:rFonts w:ascii="楷体" w:hAnsi="楷体" w:eastAsia="楷体"/>
          <w:sz w:val="28"/>
          <w:szCs w:val="28"/>
        </w:rPr>
        <w:t>交通状况</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估价对象位于</w:t>
      </w:r>
      <w:r>
        <w:rPr>
          <w:rFonts w:hint="eastAsia" w:ascii="楷体" w:hAnsi="楷体" w:eastAsia="楷体"/>
          <w:sz w:val="28"/>
          <w:szCs w:val="28"/>
          <w:lang w:eastAsia="zh-CN"/>
        </w:rPr>
        <w:t>青铜峡市利民东街</w:t>
      </w:r>
      <w:r>
        <w:rPr>
          <w:rFonts w:hint="eastAsia" w:ascii="楷体" w:hAnsi="楷体" w:eastAsia="楷体"/>
          <w:sz w:val="28"/>
          <w:szCs w:val="28"/>
        </w:rPr>
        <w:t>南侧，周边所通道路有</w:t>
      </w:r>
      <w:r>
        <w:rPr>
          <w:rFonts w:hint="eastAsia" w:ascii="楷体" w:hAnsi="楷体" w:eastAsia="楷体"/>
          <w:sz w:val="28"/>
          <w:szCs w:val="28"/>
          <w:lang w:eastAsia="zh-CN"/>
        </w:rPr>
        <w:t>利民东街、宁朔大道、唐源街、东兴路</w:t>
      </w:r>
      <w:r>
        <w:rPr>
          <w:rFonts w:hint="eastAsia" w:ascii="楷体" w:hAnsi="楷体" w:eastAsia="楷体"/>
          <w:sz w:val="28"/>
          <w:szCs w:val="28"/>
        </w:rPr>
        <w:t>等，道路状况较好，出入可利用的交通工具，青铜峡1路、青铜峡2路、青铜峡3路、青铜峡21路等多路公交，便捷度较好，无交通管制，小区有停车场，停车较方便。综合分析估价对象交通状况较好，无不利影响因素。</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3.</w:t>
      </w:r>
      <w:r>
        <w:rPr>
          <w:rFonts w:ascii="楷体" w:hAnsi="楷体" w:eastAsia="楷体"/>
          <w:sz w:val="28"/>
          <w:szCs w:val="28"/>
        </w:rPr>
        <w:t>外部配套设施状况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（1</w:t>
      </w:r>
      <w:r>
        <w:rPr>
          <w:rFonts w:ascii="楷体" w:hAnsi="楷体" w:eastAsia="楷体"/>
          <w:sz w:val="28"/>
          <w:szCs w:val="28"/>
        </w:rPr>
        <w:t>）</w:t>
      </w:r>
      <w:r>
        <w:rPr>
          <w:rFonts w:hint="eastAsia" w:ascii="楷体" w:hAnsi="楷体" w:eastAsia="楷体"/>
          <w:sz w:val="28"/>
          <w:szCs w:val="28"/>
        </w:rPr>
        <w:t>基础设施状况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估价对象所在地区市政基础设施条件达到“七通”（即通路、通电、通上水、通下水、通讯、通热、通燃气），</w:t>
      </w:r>
      <w:r>
        <w:rPr>
          <w:rFonts w:ascii="楷体" w:hAnsi="楷体" w:eastAsia="楷体"/>
          <w:sz w:val="28"/>
          <w:szCs w:val="28"/>
        </w:rPr>
        <w:t>基础设施状况完善。</w:t>
      </w:r>
    </w:p>
    <w:p>
      <w:pPr>
        <w:pageBreakBefore w:val="0"/>
        <w:kinsoku/>
        <w:wordWrap/>
        <w:overflowPunct/>
        <w:topLinePunct w:val="0"/>
        <w:autoSpaceDE/>
        <w:autoSpaceDN/>
        <w:bidi w:val="0"/>
        <w:adjustRightInd/>
        <w:snapToGrid/>
        <w:spacing w:line="480" w:lineRule="exact"/>
        <w:ind w:firstLine="560" w:firstLineChars="200"/>
        <w:textAlignment w:val="auto"/>
        <w:rPr>
          <w:rFonts w:hint="default" w:ascii="楷体" w:hAnsi="楷体" w:eastAsia="楷体"/>
          <w:sz w:val="28"/>
          <w:szCs w:val="28"/>
          <w:lang w:val="en-US" w:eastAsia="zh-CN"/>
        </w:rPr>
      </w:pPr>
      <w:r>
        <w:rPr>
          <w:rFonts w:hint="eastAsia" w:ascii="楷体" w:hAnsi="楷体" w:eastAsia="楷体"/>
          <w:sz w:val="28"/>
          <w:szCs w:val="28"/>
        </w:rPr>
        <w:t>（2</w:t>
      </w:r>
      <w:r>
        <w:rPr>
          <w:rFonts w:ascii="楷体" w:hAnsi="楷体" w:eastAsia="楷体"/>
          <w:sz w:val="28"/>
          <w:szCs w:val="28"/>
        </w:rPr>
        <w:t>）</w:t>
      </w:r>
      <w:r>
        <w:rPr>
          <w:rFonts w:hint="eastAsia" w:ascii="楷体" w:hAnsi="楷体" w:eastAsia="楷体"/>
          <w:sz w:val="28"/>
          <w:szCs w:val="28"/>
          <w:lang w:eastAsia="zh-CN"/>
        </w:rPr>
        <w:t>公共服务设施状况</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楷体" w:hAnsi="楷体" w:eastAsia="楷体"/>
          <w:sz w:val="28"/>
          <w:szCs w:val="28"/>
        </w:rPr>
      </w:pPr>
      <w:r>
        <w:rPr>
          <w:rFonts w:hint="eastAsia" w:ascii="楷体" w:hAnsi="楷体" w:eastAsia="楷体"/>
          <w:sz w:val="28"/>
          <w:szCs w:val="28"/>
        </w:rPr>
        <w:t>估价对象位于</w:t>
      </w:r>
      <w:r>
        <w:rPr>
          <w:rFonts w:hint="eastAsia" w:ascii="楷体" w:hAnsi="楷体" w:eastAsia="楷体"/>
          <w:sz w:val="28"/>
          <w:szCs w:val="28"/>
          <w:lang w:eastAsia="zh-CN"/>
        </w:rPr>
        <w:t>青铜峡市利民东街</w:t>
      </w:r>
      <w:r>
        <w:rPr>
          <w:rFonts w:hint="eastAsia" w:ascii="楷体" w:hAnsi="楷体" w:eastAsia="楷体"/>
          <w:sz w:val="28"/>
          <w:szCs w:val="28"/>
        </w:rPr>
        <w:t>南侧，周围主要分布有圣花幼儿园、青铜峡五小、青铜峡市第七小学、青铜峡四中、龙海社区卫生服务站、宏盛超市、一品超市、华府超市、益康诊所、中国石化加油站、中国农业银行、青龙湖等，周边公共配套设施较齐全，生活便利度较好，</w:t>
      </w:r>
      <w:r>
        <w:rPr>
          <w:rFonts w:hint="eastAsia" w:ascii="楷体" w:hAnsi="楷体" w:eastAsia="楷体"/>
          <w:sz w:val="28"/>
          <w:szCs w:val="28"/>
          <w:lang w:val="en-US" w:eastAsia="zh-CN"/>
        </w:rPr>
        <w:t>居住成熟度较好</w:t>
      </w:r>
      <w:r>
        <w:rPr>
          <w:rFonts w:hint="eastAsia" w:ascii="楷体" w:hAnsi="楷体" w:eastAsia="楷体"/>
          <w:sz w:val="28"/>
          <w:szCs w:val="28"/>
        </w:rPr>
        <w:t>。</w:t>
      </w:r>
    </w:p>
    <w:p>
      <w:pPr>
        <w:pageBreakBefore w:val="0"/>
        <w:kinsoku/>
        <w:wordWrap/>
        <w:overflowPunct/>
        <w:topLinePunct w:val="0"/>
        <w:autoSpaceDE/>
        <w:autoSpaceDN/>
        <w:bidi w:val="0"/>
        <w:adjustRightInd/>
        <w:snapToGrid/>
        <w:spacing w:line="480" w:lineRule="exact"/>
        <w:ind w:left="560"/>
        <w:textAlignment w:val="auto"/>
        <w:rPr>
          <w:rFonts w:ascii="楷体" w:hAnsi="楷体" w:eastAsia="楷体"/>
          <w:sz w:val="28"/>
          <w:szCs w:val="28"/>
        </w:rPr>
      </w:pPr>
      <w:r>
        <w:rPr>
          <w:rFonts w:hint="eastAsia" w:ascii="楷体" w:hAnsi="楷体" w:eastAsia="楷体"/>
          <w:sz w:val="28"/>
          <w:szCs w:val="28"/>
        </w:rPr>
        <w:t>4.</w:t>
      </w:r>
      <w:r>
        <w:rPr>
          <w:rFonts w:ascii="楷体" w:hAnsi="楷体" w:eastAsia="楷体"/>
          <w:sz w:val="28"/>
          <w:szCs w:val="28"/>
        </w:rPr>
        <w:t>环境状况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估价对象位于</w:t>
      </w:r>
      <w:r>
        <w:rPr>
          <w:rFonts w:hint="eastAsia" w:ascii="楷体" w:hAnsi="楷体" w:eastAsia="楷体"/>
          <w:sz w:val="28"/>
          <w:szCs w:val="28"/>
          <w:lang w:eastAsia="zh-CN"/>
        </w:rPr>
        <w:t>青铜峡市利民东街</w:t>
      </w:r>
      <w:r>
        <w:rPr>
          <w:rFonts w:hint="eastAsia" w:ascii="楷体" w:hAnsi="楷体" w:eastAsia="楷体"/>
          <w:sz w:val="28"/>
          <w:szCs w:val="28"/>
        </w:rPr>
        <w:t>南侧，无噪声及粉尘污染，自然环境良好，城市规划该区域主要作为住宅、商业、学校区域，人文环境良好，无特殊景观。综合分析估价对象所在区域环境较好，适宜人口居住。</w:t>
      </w:r>
    </w:p>
    <w:p>
      <w:pPr>
        <w:pStyle w:val="116"/>
        <w:pageBreakBefore w:val="0"/>
        <w:numPr>
          <w:ilvl w:val="0"/>
          <w:numId w:val="5"/>
        </w:numPr>
        <w:kinsoku/>
        <w:wordWrap/>
        <w:overflowPunct/>
        <w:topLinePunct w:val="0"/>
        <w:autoSpaceDE/>
        <w:autoSpaceDN/>
        <w:bidi w:val="0"/>
        <w:adjustRightInd/>
        <w:snapToGrid/>
        <w:spacing w:line="480" w:lineRule="exact"/>
        <w:ind w:firstLineChars="0"/>
        <w:textAlignment w:val="auto"/>
        <w:rPr>
          <w:rFonts w:ascii="楷体" w:hAnsi="楷体" w:eastAsia="楷体"/>
          <w:sz w:val="28"/>
          <w:szCs w:val="28"/>
        </w:rPr>
      </w:pPr>
      <w:r>
        <w:rPr>
          <w:rFonts w:hint="eastAsia" w:ascii="楷体" w:hAnsi="楷体" w:eastAsia="楷体"/>
          <w:sz w:val="28"/>
          <w:szCs w:val="28"/>
        </w:rPr>
        <w:t>权益状况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1.</w:t>
      </w:r>
      <w:r>
        <w:rPr>
          <w:rFonts w:hint="eastAsia" w:ascii="楷体" w:hAnsi="楷体" w:eastAsia="楷体"/>
          <w:sz w:val="28"/>
          <w:szCs w:val="28"/>
          <w:lang w:eastAsia="zh-CN"/>
        </w:rPr>
        <w:t>土地</w:t>
      </w:r>
      <w:r>
        <w:rPr>
          <w:rFonts w:hint="eastAsia" w:ascii="楷体" w:hAnsi="楷体" w:eastAsia="楷体"/>
          <w:sz w:val="28"/>
          <w:szCs w:val="28"/>
        </w:rPr>
        <w:t>权益状况</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hint="eastAsia" w:ascii="楷体" w:hAnsi="楷体" w:eastAsia="楷体"/>
          <w:sz w:val="28"/>
          <w:szCs w:val="28"/>
        </w:rPr>
        <w:t>估价对象的土地所有权归国家所有，</w:t>
      </w:r>
      <w:r>
        <w:rPr>
          <w:rFonts w:hint="eastAsia" w:ascii="楷体" w:hAnsi="楷体" w:eastAsia="楷体"/>
          <w:color w:val="000000"/>
          <w:sz w:val="28"/>
          <w:szCs w:val="28"/>
        </w:rPr>
        <w:t>所在土地无使用管制及其他特殊情况。估价</w:t>
      </w:r>
      <w:r>
        <w:rPr>
          <w:rFonts w:hint="eastAsia" w:ascii="楷体" w:hAnsi="楷体" w:eastAsia="楷体"/>
          <w:sz w:val="28"/>
          <w:szCs w:val="28"/>
        </w:rPr>
        <w:t>对象</w:t>
      </w:r>
      <w:r>
        <w:rPr>
          <w:rFonts w:hint="eastAsia" w:ascii="楷体" w:hAnsi="楷体" w:eastAsia="楷体"/>
          <w:color w:val="000000"/>
          <w:sz w:val="28"/>
          <w:szCs w:val="28"/>
        </w:rPr>
        <w:t>土地使用权益状况</w:t>
      </w:r>
      <w:r>
        <w:rPr>
          <w:rFonts w:hint="eastAsia" w:ascii="楷体" w:hAnsi="楷体" w:eastAsia="楷体"/>
          <w:color w:val="000000"/>
          <w:sz w:val="28"/>
          <w:szCs w:val="28"/>
          <w:lang w:eastAsia="zh-CN"/>
        </w:rPr>
        <w:t>依据《国有土地使用权证书》【青国用（2014）第611号</w:t>
      </w:r>
      <w:r>
        <w:rPr>
          <w:rFonts w:hint="eastAsia" w:ascii="楷体" w:hAnsi="楷体" w:eastAsia="楷体"/>
          <w:color w:val="000000"/>
          <w:sz w:val="28"/>
          <w:szCs w:val="28"/>
          <w:lang w:val="en-US" w:eastAsia="zh-CN"/>
        </w:rPr>
        <w:t>】</w:t>
      </w:r>
      <w:r>
        <w:rPr>
          <w:rFonts w:hint="eastAsia" w:ascii="楷体" w:hAnsi="楷体" w:eastAsia="楷体"/>
          <w:color w:val="000000"/>
          <w:sz w:val="28"/>
          <w:szCs w:val="28"/>
          <w:lang w:eastAsia="zh-CN"/>
        </w:rPr>
        <w:t>和</w:t>
      </w:r>
      <w:r>
        <w:rPr>
          <w:rFonts w:hint="eastAsia" w:ascii="楷体" w:hAnsi="楷体" w:eastAsia="楷体"/>
          <w:sz w:val="28"/>
          <w:szCs w:val="28"/>
        </w:rPr>
        <w:t>《</w:t>
      </w:r>
      <w:r>
        <w:rPr>
          <w:rFonts w:hint="eastAsia" w:ascii="楷体" w:hAnsi="楷体" w:eastAsia="楷体"/>
          <w:sz w:val="28"/>
          <w:szCs w:val="28"/>
          <w:lang w:eastAsia="zh-CN"/>
        </w:rPr>
        <w:t>银川市不动产登记信息查询单</w:t>
      </w:r>
      <w:r>
        <w:rPr>
          <w:rFonts w:hint="eastAsia" w:ascii="楷体" w:hAnsi="楷体" w:eastAsia="楷体"/>
          <w:sz w:val="28"/>
          <w:szCs w:val="28"/>
        </w:rPr>
        <w:t>》</w:t>
      </w:r>
      <w:r>
        <w:rPr>
          <w:rFonts w:hint="eastAsia" w:ascii="楷体" w:hAnsi="楷体" w:eastAsia="楷体"/>
          <w:sz w:val="28"/>
          <w:szCs w:val="28"/>
          <w:lang w:eastAsia="zh-CN"/>
        </w:rPr>
        <w:t>，土地使用权人为贾桂香，</w:t>
      </w:r>
      <w:r>
        <w:rPr>
          <w:rFonts w:hint="eastAsia" w:ascii="楷体" w:hAnsi="楷体" w:eastAsia="楷体"/>
          <w:color w:val="000000"/>
          <w:sz w:val="28"/>
          <w:szCs w:val="28"/>
          <w:lang w:val="en-US" w:eastAsia="zh-CN"/>
        </w:rPr>
        <w:t>终止日期为2081年4月25日，截止估价时点，估价对象剩余土地年限为58.92年，</w:t>
      </w:r>
      <w:r>
        <w:rPr>
          <w:rFonts w:hint="default" w:ascii="楷体" w:hAnsi="楷体" w:eastAsia="楷体"/>
          <w:sz w:val="28"/>
          <w:szCs w:val="28"/>
          <w:lang w:val="en-US" w:eastAsia="zh-CN"/>
        </w:rPr>
        <w:t>登记情况详见下表</w:t>
      </w:r>
      <w:r>
        <w:rPr>
          <w:rFonts w:ascii="楷体" w:hAnsi="楷体" w:eastAsia="楷体"/>
          <w:sz w:val="28"/>
          <w:szCs w:val="28"/>
        </w:rPr>
        <w:t>。</w:t>
      </w: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p>
    <w:p>
      <w:pPr>
        <w:pageBreakBefore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p>
    <w:tbl>
      <w:tblPr>
        <w:tblStyle w:val="31"/>
        <w:tblW w:w="9359"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345"/>
        <w:gridCol w:w="6014"/>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50" w:hRule="atLeast"/>
          <w:jc w:val="center"/>
        </w:trPr>
        <w:tc>
          <w:tcPr>
            <w:tcW w:w="3345"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证号</w:t>
            </w:r>
          </w:p>
        </w:tc>
        <w:tc>
          <w:tcPr>
            <w:tcW w:w="6014"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青国用（2014）第611号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土地使用权人</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贾桂香</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坐落</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青铜峡市永昌英伦庄园23#楼1-102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地号</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001-（041）-016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图号</w:t>
            </w:r>
          </w:p>
        </w:tc>
        <w:tc>
          <w:tcPr>
            <w:tcW w:w="0" w:type="auto"/>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18"/>
                <w:szCs w:val="18"/>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地类（用途）</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城镇住宅</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取得价格</w:t>
            </w:r>
          </w:p>
        </w:tc>
        <w:tc>
          <w:tcPr>
            <w:tcW w:w="0" w:type="auto"/>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18"/>
                <w:szCs w:val="18"/>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使用权类型</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出让</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终止日期</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2081年4月25日</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使用权面积（平方米）</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27.99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trHeight w:val="213"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登记日期</w:t>
            </w:r>
          </w:p>
        </w:tc>
        <w:tc>
          <w:tcPr>
            <w:tcW w:w="0" w:type="auto"/>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楷体" w:hAnsi="楷体" w:eastAsia="楷体" w:cs="楷体"/>
                <w:i w:val="0"/>
                <w:iCs w:val="0"/>
                <w:color w:val="000000"/>
                <w:sz w:val="18"/>
                <w:szCs w:val="18"/>
                <w:u w:val="none"/>
                <w:lang w:val="en-US" w:eastAsia="zh-CN"/>
              </w:rPr>
            </w:pPr>
            <w:r>
              <w:rPr>
                <w:rFonts w:hint="eastAsia" w:ascii="楷体" w:hAnsi="楷体" w:eastAsia="楷体" w:cs="楷体"/>
                <w:i w:val="0"/>
                <w:iCs w:val="0"/>
                <w:color w:val="000000"/>
                <w:sz w:val="18"/>
                <w:szCs w:val="18"/>
                <w:u w:val="none"/>
                <w:lang w:val="en-US" w:eastAsia="zh-CN"/>
              </w:rPr>
              <w:t>2014年2月25日</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记事</w:t>
            </w:r>
          </w:p>
        </w:tc>
        <w:tc>
          <w:tcPr>
            <w:tcW w:w="0" w:type="auto"/>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480" w:lineRule="exact"/>
        <w:ind w:firstLine="560" w:firstLineChars="200"/>
        <w:textAlignment w:val="baseline"/>
        <w:rPr>
          <w:rFonts w:hint="eastAsia" w:ascii="楷体" w:hAnsi="楷体" w:eastAsia="楷体"/>
          <w:sz w:val="28"/>
          <w:szCs w:val="28"/>
          <w:lang w:val="en-US" w:eastAsia="zh-CN"/>
        </w:rPr>
      </w:pPr>
      <w:r>
        <w:rPr>
          <w:rFonts w:hint="eastAsia" w:ascii="楷体" w:hAnsi="楷体" w:eastAsia="楷体"/>
          <w:sz w:val="28"/>
          <w:szCs w:val="28"/>
          <w:lang w:val="en-US" w:eastAsia="zh-CN"/>
        </w:rPr>
        <w:t>2.建筑物权益状况</w:t>
      </w:r>
    </w:p>
    <w:p>
      <w:pPr>
        <w:keepNext w:val="0"/>
        <w:keepLines w:val="0"/>
        <w:pageBreakBefore w:val="0"/>
        <w:widowControl w:val="0"/>
        <w:kinsoku/>
        <w:wordWrap/>
        <w:overflowPunct/>
        <w:topLinePunct w:val="0"/>
        <w:autoSpaceDE/>
        <w:autoSpaceDN/>
        <w:bidi w:val="0"/>
        <w:snapToGrid/>
        <w:spacing w:line="480" w:lineRule="exact"/>
        <w:ind w:firstLine="560" w:firstLineChars="200"/>
        <w:rPr>
          <w:rFonts w:hint="eastAsia" w:ascii="楷体" w:hAnsi="楷体" w:eastAsia="楷体"/>
          <w:sz w:val="28"/>
          <w:szCs w:val="28"/>
          <w:lang w:val="en-US" w:eastAsia="zh-CN"/>
        </w:rPr>
      </w:pPr>
      <w:r>
        <w:rPr>
          <w:rFonts w:hint="default" w:ascii="楷体" w:hAnsi="楷体" w:eastAsia="楷体"/>
          <w:sz w:val="28"/>
          <w:szCs w:val="28"/>
          <w:lang w:val="en-US" w:eastAsia="zh-CN"/>
        </w:rPr>
        <w:t>根据估价委托人提供的《房屋所有权证》【</w:t>
      </w:r>
      <w:r>
        <w:rPr>
          <w:rFonts w:hint="eastAsia" w:ascii="楷体" w:hAnsi="楷体" w:eastAsia="楷体"/>
          <w:sz w:val="28"/>
          <w:szCs w:val="28"/>
          <w:lang w:val="en-US" w:eastAsia="zh-CN"/>
        </w:rPr>
        <w:t>青房权证青铜峡市字第2014001527号</w:t>
      </w:r>
      <w:r>
        <w:rPr>
          <w:rFonts w:hint="default" w:ascii="楷体" w:hAnsi="楷体" w:eastAsia="楷体"/>
          <w:sz w:val="28"/>
          <w:szCs w:val="28"/>
          <w:lang w:val="en-US" w:eastAsia="zh-CN"/>
        </w:rPr>
        <w:t>】，估价对象房屋所有权人为</w:t>
      </w:r>
      <w:r>
        <w:rPr>
          <w:rFonts w:hint="eastAsia" w:ascii="楷体" w:hAnsi="楷体" w:eastAsia="楷体"/>
          <w:sz w:val="28"/>
          <w:szCs w:val="28"/>
          <w:lang w:val="en-US" w:eastAsia="zh-CN"/>
        </w:rPr>
        <w:t>贾桂香</w:t>
      </w:r>
      <w:r>
        <w:rPr>
          <w:rFonts w:hint="default" w:ascii="楷体" w:hAnsi="楷体" w:eastAsia="楷体"/>
          <w:sz w:val="28"/>
          <w:szCs w:val="28"/>
          <w:lang w:val="en-US" w:eastAsia="zh-CN"/>
        </w:rPr>
        <w:t>，</w:t>
      </w:r>
      <w:r>
        <w:rPr>
          <w:rFonts w:hint="eastAsia" w:ascii="楷体" w:hAnsi="楷体" w:eastAsia="楷体"/>
          <w:sz w:val="28"/>
          <w:szCs w:val="28"/>
          <w:lang w:val="en-US" w:eastAsia="zh-CN"/>
        </w:rPr>
        <w:t>单独所有，</w:t>
      </w:r>
      <w:r>
        <w:rPr>
          <w:rFonts w:hint="default" w:ascii="楷体" w:hAnsi="楷体" w:eastAsia="楷体"/>
          <w:sz w:val="28"/>
          <w:szCs w:val="28"/>
          <w:lang w:val="en-US" w:eastAsia="zh-CN"/>
        </w:rPr>
        <w:t>登记情况详见下表</w:t>
      </w:r>
      <w:r>
        <w:rPr>
          <w:rFonts w:hint="eastAsia" w:ascii="楷体" w:hAnsi="楷体" w:eastAsia="楷体"/>
          <w:sz w:val="28"/>
          <w:szCs w:val="28"/>
          <w:lang w:val="en-US" w:eastAsia="zh-CN"/>
        </w:rPr>
        <w:t>。</w:t>
      </w:r>
    </w:p>
    <w:tbl>
      <w:tblPr>
        <w:tblStyle w:val="31"/>
        <w:tblW w:w="9179"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281"/>
        <w:gridCol w:w="5898"/>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9" w:hRule="atLeast"/>
          <w:jc w:val="center"/>
        </w:trPr>
        <w:tc>
          <w:tcPr>
            <w:tcW w:w="3281"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编号</w:t>
            </w:r>
          </w:p>
        </w:tc>
        <w:tc>
          <w:tcPr>
            <w:tcW w:w="5898" w:type="dxa"/>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青房权证青铜峡市字第2014001527号</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房屋所有权人</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贾桂香</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共有情况</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单独所有</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房屋坐落</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青铜峡市永昌英伦庄园23幢01012</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登记时间</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2014年1月27日</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房屋性质</w:t>
            </w:r>
          </w:p>
        </w:tc>
        <w:tc>
          <w:tcPr>
            <w:tcW w:w="0" w:type="auto"/>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18"/>
                <w:szCs w:val="18"/>
                <w:u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规划用途</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住宅</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所在楼层</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1/7</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建筑面积（平方米）</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195.96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结构</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混合</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9"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建成年代</w:t>
            </w:r>
          </w:p>
        </w:tc>
        <w:tc>
          <w:tcPr>
            <w:tcW w:w="0" w:type="auto"/>
            <w:tcBorders>
              <w:tl2br w:val="nil"/>
              <w:tr2bl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2012年</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trHeight w:val="218" w:hRule="atLeast"/>
          <w:jc w:val="center"/>
        </w:trPr>
        <w:tc>
          <w:tcPr>
            <w:tcW w:w="0" w:type="auto"/>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附记</w:t>
            </w:r>
          </w:p>
        </w:tc>
        <w:tc>
          <w:tcPr>
            <w:tcW w:w="0" w:type="auto"/>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楷体" w:hAnsi="楷体" w:eastAsia="楷体" w:cs="楷体"/>
                <w:i w:val="0"/>
                <w:iCs w:val="0"/>
                <w:color w:val="000000"/>
                <w:sz w:val="18"/>
                <w:szCs w:val="18"/>
                <w:u w:val="none"/>
              </w:rPr>
            </w:pPr>
          </w:p>
        </w:tc>
      </w:tr>
    </w:tbl>
    <w:p>
      <w:pPr>
        <w:pageBreakBefore w:val="0"/>
        <w:widowControl w:val="0"/>
        <w:kinsoku/>
        <w:wordWrap/>
        <w:overflowPunct/>
        <w:topLinePunct w:val="0"/>
        <w:autoSpaceDE/>
        <w:autoSpaceDN/>
        <w:bidi w:val="0"/>
        <w:adjustRightInd w:val="0"/>
        <w:snapToGrid/>
        <w:spacing w:line="480" w:lineRule="exact"/>
        <w:ind w:firstLine="560" w:firstLineChars="200"/>
        <w:textAlignment w:val="baseline"/>
        <w:rPr>
          <w:rFonts w:ascii="楷体" w:hAnsi="楷体" w:eastAsia="楷体"/>
          <w:sz w:val="28"/>
          <w:szCs w:val="28"/>
        </w:rPr>
      </w:pPr>
      <w:r>
        <w:rPr>
          <w:rFonts w:hint="eastAsia" w:ascii="楷体" w:hAnsi="楷体" w:eastAsia="楷体"/>
          <w:sz w:val="28"/>
          <w:szCs w:val="28"/>
          <w:lang w:val="en-US" w:eastAsia="zh-CN"/>
        </w:rPr>
        <w:t>3.</w:t>
      </w:r>
      <w:r>
        <w:rPr>
          <w:rFonts w:hint="eastAsia" w:ascii="楷体" w:hAnsi="楷体" w:eastAsia="楷体"/>
          <w:sz w:val="28"/>
          <w:szCs w:val="28"/>
        </w:rPr>
        <w:t>其他权利状况</w:t>
      </w:r>
    </w:p>
    <w:p>
      <w:pPr>
        <w:pageBreakBefore w:val="0"/>
        <w:widowControl w:val="0"/>
        <w:kinsoku/>
        <w:wordWrap/>
        <w:overflowPunct/>
        <w:topLinePunct w:val="0"/>
        <w:autoSpaceDE/>
        <w:autoSpaceDN/>
        <w:bidi w:val="0"/>
        <w:adjustRightInd w:val="0"/>
        <w:snapToGrid/>
        <w:spacing w:line="480" w:lineRule="exact"/>
        <w:ind w:firstLine="560" w:firstLineChars="200"/>
        <w:textAlignment w:val="baseline"/>
        <w:rPr>
          <w:rFonts w:ascii="楷体" w:hAnsi="楷体" w:eastAsia="楷体"/>
          <w:sz w:val="28"/>
          <w:szCs w:val="28"/>
        </w:rPr>
      </w:pPr>
      <w:r>
        <w:rPr>
          <w:rFonts w:hint="eastAsia" w:ascii="楷体" w:hAnsi="楷体" w:eastAsia="楷体"/>
          <w:sz w:val="28"/>
          <w:szCs w:val="28"/>
        </w:rPr>
        <w:t>根据估价委托人提供的《</w:t>
      </w:r>
      <w:r>
        <w:rPr>
          <w:rFonts w:hint="eastAsia" w:ascii="楷体" w:hAnsi="楷体" w:eastAsia="楷体"/>
          <w:sz w:val="28"/>
          <w:szCs w:val="28"/>
          <w:lang w:val="en-US" w:eastAsia="zh-CN"/>
        </w:rPr>
        <w:t>青铜峡市不动产登记信息查询单</w:t>
      </w:r>
      <w:r>
        <w:rPr>
          <w:rFonts w:hint="eastAsia" w:ascii="楷体" w:hAnsi="楷体" w:eastAsia="楷体"/>
          <w:sz w:val="28"/>
          <w:szCs w:val="28"/>
        </w:rPr>
        <w:t>》</w:t>
      </w:r>
      <w:r>
        <w:rPr>
          <w:rFonts w:hint="eastAsia" w:ascii="楷体" w:hAnsi="楷体" w:eastAsia="楷体"/>
          <w:sz w:val="28"/>
          <w:szCs w:val="28"/>
          <w:lang w:val="en-US" w:eastAsia="zh-CN"/>
        </w:rPr>
        <w:t>及实地查勘</w:t>
      </w:r>
      <w:r>
        <w:rPr>
          <w:rFonts w:hint="eastAsia" w:ascii="楷体" w:hAnsi="楷体" w:eastAsia="楷体"/>
          <w:sz w:val="28"/>
          <w:szCs w:val="28"/>
          <w:lang w:eastAsia="zh-CN"/>
        </w:rPr>
        <w:t>，</w:t>
      </w:r>
      <w:r>
        <w:rPr>
          <w:rFonts w:hint="eastAsia" w:ascii="楷体" w:hAnsi="楷体" w:eastAsia="楷体"/>
          <w:sz w:val="28"/>
          <w:szCs w:val="28"/>
        </w:rPr>
        <w:t>至价值时点，估价对象存在抵押权</w:t>
      </w:r>
      <w:r>
        <w:rPr>
          <w:rFonts w:hint="eastAsia" w:ascii="楷体" w:hAnsi="楷体" w:eastAsia="楷体"/>
          <w:sz w:val="28"/>
          <w:szCs w:val="28"/>
          <w:lang w:eastAsia="zh-CN"/>
        </w:rPr>
        <w:t>、查封，</w:t>
      </w:r>
      <w:r>
        <w:rPr>
          <w:rFonts w:hint="eastAsia" w:ascii="楷体" w:hAnsi="楷体" w:eastAsia="楷体"/>
          <w:sz w:val="28"/>
          <w:szCs w:val="28"/>
          <w:lang w:val="en-US" w:eastAsia="zh-CN"/>
        </w:rPr>
        <w:t>不存在租赁权</w:t>
      </w:r>
      <w:r>
        <w:rPr>
          <w:rFonts w:hint="eastAsia" w:ascii="楷体" w:hAnsi="楷体" w:eastAsia="楷体"/>
          <w:sz w:val="28"/>
          <w:szCs w:val="28"/>
          <w:lang w:eastAsia="zh-CN"/>
        </w:rPr>
        <w:t>。</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四</w:t>
      </w:r>
      <w:r>
        <w:rPr>
          <w:rFonts w:hint="eastAsia" w:ascii="楷体" w:hAnsi="楷体" w:eastAsia="楷体"/>
          <w:sz w:val="28"/>
          <w:szCs w:val="28"/>
        </w:rPr>
        <w:t>）实物状况</w:t>
      </w:r>
    </w:p>
    <w:p>
      <w:pPr>
        <w:pageBreakBefore w:val="0"/>
        <w:widowControl w:val="0"/>
        <w:tabs>
          <w:tab w:val="left" w:pos="1134"/>
        </w:tabs>
        <w:kinsoku/>
        <w:wordWrap/>
        <w:overflowPunct/>
        <w:topLinePunct w:val="0"/>
        <w:autoSpaceDE/>
        <w:autoSpaceDN/>
        <w:bidi w:val="0"/>
        <w:snapToGrid/>
        <w:spacing w:line="480" w:lineRule="exact"/>
        <w:ind w:left="560"/>
        <w:rPr>
          <w:rFonts w:ascii="楷体" w:hAnsi="楷体" w:eastAsia="楷体"/>
          <w:sz w:val="28"/>
          <w:szCs w:val="28"/>
        </w:rPr>
      </w:pPr>
      <w:r>
        <w:rPr>
          <w:rFonts w:hint="eastAsia" w:ascii="楷体" w:hAnsi="楷体" w:eastAsia="楷体"/>
          <w:sz w:val="28"/>
          <w:szCs w:val="28"/>
        </w:rPr>
        <w:t>1.土地实物状况</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估价对象土地位于</w:t>
      </w:r>
      <w:r>
        <w:rPr>
          <w:rFonts w:hint="eastAsia" w:ascii="楷体" w:hAnsi="楷体" w:eastAsia="楷体"/>
          <w:sz w:val="28"/>
          <w:szCs w:val="28"/>
          <w:lang w:eastAsia="zh-CN"/>
        </w:rPr>
        <w:t>青铜峡市永昌英伦庄园23幢01012</w:t>
      </w:r>
      <w:r>
        <w:rPr>
          <w:rFonts w:hint="eastAsia" w:ascii="楷体" w:hAnsi="楷体" w:eastAsia="楷体"/>
          <w:sz w:val="28"/>
          <w:szCs w:val="28"/>
        </w:rPr>
        <w:t>，土地</w:t>
      </w:r>
      <w:r>
        <w:rPr>
          <w:rFonts w:ascii="楷体" w:hAnsi="楷体" w:eastAsia="楷体"/>
          <w:sz w:val="28"/>
          <w:szCs w:val="28"/>
        </w:rPr>
        <w:t>四至为</w:t>
      </w:r>
      <w:r>
        <w:rPr>
          <w:rFonts w:hint="eastAsia" w:ascii="楷体" w:hAnsi="楷体" w:eastAsia="楷体"/>
          <w:sz w:val="28"/>
          <w:szCs w:val="28"/>
          <w:lang w:eastAsia="zh-CN"/>
        </w:rPr>
        <w:t>东至东兴路，南至唐源街，西至宁朔大道、北至利民东街</w:t>
      </w:r>
      <w:r>
        <w:rPr>
          <w:rFonts w:hint="eastAsia" w:ascii="楷体" w:hAnsi="楷体" w:eastAsia="楷体"/>
          <w:sz w:val="28"/>
          <w:szCs w:val="28"/>
        </w:rPr>
        <w:t>。</w:t>
      </w:r>
      <w:r>
        <w:rPr>
          <w:rFonts w:hint="eastAsia" w:ascii="楷体" w:hAnsi="楷体" w:eastAsia="楷体"/>
          <w:sz w:val="28"/>
          <w:szCs w:val="28"/>
          <w:lang w:eastAsia="zh-CN"/>
        </w:rPr>
        <w:t>分摊土地</w:t>
      </w:r>
      <w:r>
        <w:rPr>
          <w:rFonts w:hint="eastAsia" w:ascii="楷体" w:hAnsi="楷体" w:eastAsia="楷体"/>
          <w:sz w:val="28"/>
          <w:szCs w:val="28"/>
          <w:lang w:val="en-US" w:eastAsia="zh-CN"/>
        </w:rPr>
        <w:t>使用权</w:t>
      </w:r>
      <w:r>
        <w:rPr>
          <w:rFonts w:hint="eastAsia" w:ascii="楷体" w:hAnsi="楷体" w:eastAsia="楷体"/>
          <w:sz w:val="28"/>
          <w:szCs w:val="28"/>
          <w:lang w:eastAsia="zh-CN"/>
        </w:rPr>
        <w:t>面积为</w:t>
      </w:r>
      <w:r>
        <w:rPr>
          <w:rFonts w:hint="eastAsia" w:ascii="楷体" w:hAnsi="楷体" w:eastAsia="楷体"/>
          <w:sz w:val="28"/>
          <w:szCs w:val="28"/>
          <w:lang w:val="en-US" w:eastAsia="zh-CN"/>
        </w:rPr>
        <w:t>27.99平方米</w:t>
      </w:r>
      <w:r>
        <w:rPr>
          <w:rFonts w:hint="eastAsia" w:ascii="楷体" w:hAnsi="楷体" w:eastAsia="楷体"/>
          <w:sz w:val="28"/>
          <w:szCs w:val="28"/>
          <w:vertAlign w:val="baseline"/>
          <w:lang w:eastAsia="zh-CN"/>
        </w:rPr>
        <w:t>，</w:t>
      </w:r>
      <w:r>
        <w:rPr>
          <w:rFonts w:hint="eastAsia" w:ascii="楷体" w:hAnsi="楷体" w:eastAsia="楷体"/>
          <w:sz w:val="28"/>
          <w:szCs w:val="28"/>
          <w:vertAlign w:val="baseline"/>
          <w:lang w:val="en-US" w:eastAsia="zh-CN"/>
        </w:rPr>
        <w:t>所在项目</w:t>
      </w:r>
      <w:r>
        <w:rPr>
          <w:rFonts w:hint="eastAsia" w:ascii="楷体" w:hAnsi="楷体" w:eastAsia="楷体"/>
          <w:sz w:val="28"/>
          <w:szCs w:val="28"/>
        </w:rPr>
        <w:t>土地形状规整、规模适中、地势平坦，可利用性较好，工程地质条件较好，在利用上无地质、水文等不良自然条件限制及自然灾害的威胁。可以满足</w:t>
      </w:r>
      <w:r>
        <w:rPr>
          <w:rFonts w:hint="eastAsia" w:ascii="楷体" w:hAnsi="楷体" w:eastAsia="楷体"/>
          <w:sz w:val="28"/>
          <w:szCs w:val="28"/>
          <w:lang w:val="en-US" w:eastAsia="zh-CN"/>
        </w:rPr>
        <w:t>现有结构</w:t>
      </w:r>
      <w:r>
        <w:rPr>
          <w:rFonts w:hint="eastAsia" w:ascii="楷体" w:hAnsi="楷体" w:eastAsia="楷体"/>
          <w:sz w:val="28"/>
          <w:szCs w:val="28"/>
        </w:rPr>
        <w:t>建筑物对地基承载力的需求。</w:t>
      </w:r>
    </w:p>
    <w:p>
      <w:pPr>
        <w:pageBreakBefore w:val="0"/>
        <w:widowControl w:val="0"/>
        <w:tabs>
          <w:tab w:val="left" w:pos="1134"/>
        </w:tabs>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宗地外基础设施达到“七通”（通路、通电、通上水、通下水、通暖、通讯、通气），红线内“七通”（即通路、通电、通上水、通下水、通讯、通热及通燃气）。</w:t>
      </w:r>
    </w:p>
    <w:p>
      <w:pPr>
        <w:pageBreakBefore w:val="0"/>
        <w:widowControl w:val="0"/>
        <w:tabs>
          <w:tab w:val="left" w:pos="1134"/>
        </w:tabs>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2.</w:t>
      </w:r>
      <w:r>
        <w:rPr>
          <w:rFonts w:hint="eastAsia" w:ascii="楷体" w:hAnsi="楷体" w:eastAsia="楷体"/>
          <w:color w:val="auto"/>
          <w:sz w:val="28"/>
          <w:szCs w:val="28"/>
        </w:rPr>
        <w:t>建筑物实物状况</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lang w:eastAsia="zh-CN"/>
        </w:rPr>
        <w:t>估价对象</w:t>
      </w:r>
      <w:r>
        <w:rPr>
          <w:rFonts w:hint="eastAsia" w:ascii="楷体" w:hAnsi="楷体" w:eastAsia="楷体"/>
          <w:sz w:val="28"/>
          <w:szCs w:val="28"/>
        </w:rPr>
        <w:t>位于</w:t>
      </w:r>
      <w:r>
        <w:rPr>
          <w:rFonts w:hint="eastAsia" w:ascii="楷体" w:hAnsi="楷体" w:eastAsia="楷体"/>
          <w:sz w:val="28"/>
          <w:szCs w:val="28"/>
          <w:lang w:eastAsia="zh-CN"/>
        </w:rPr>
        <w:t>青铜峡市永昌英伦庄园23幢01012，建成于</w:t>
      </w:r>
      <w:r>
        <w:rPr>
          <w:rFonts w:hint="eastAsia" w:ascii="楷体" w:hAnsi="楷体" w:eastAsia="楷体"/>
          <w:sz w:val="28"/>
          <w:szCs w:val="28"/>
          <w:lang w:val="en-US" w:eastAsia="zh-CN"/>
        </w:rPr>
        <w:t>2012</w:t>
      </w:r>
      <w:r>
        <w:rPr>
          <w:rFonts w:hint="eastAsia" w:ascii="楷体" w:hAnsi="楷体" w:eastAsia="楷体"/>
          <w:sz w:val="28"/>
          <w:szCs w:val="28"/>
          <w:lang w:eastAsia="zh-CN"/>
        </w:rPr>
        <w:t>年，混合结构建筑。估价对象南北通透，通风和采光效果良好，建筑物总楼层为</w:t>
      </w:r>
      <w:r>
        <w:rPr>
          <w:rFonts w:hint="eastAsia" w:ascii="楷体" w:hAnsi="楷体" w:eastAsia="楷体"/>
          <w:sz w:val="28"/>
          <w:szCs w:val="28"/>
          <w:lang w:val="en-US" w:eastAsia="zh-CN"/>
        </w:rPr>
        <w:t>7</w:t>
      </w:r>
      <w:r>
        <w:rPr>
          <w:rFonts w:hint="eastAsia" w:ascii="楷体" w:hAnsi="楷体" w:eastAsia="楷体"/>
          <w:sz w:val="28"/>
          <w:szCs w:val="28"/>
          <w:lang w:eastAsia="zh-CN"/>
        </w:rPr>
        <w:t>层，估价对象登记为</w:t>
      </w:r>
      <w:r>
        <w:rPr>
          <w:rFonts w:hint="eastAsia" w:ascii="楷体" w:hAnsi="楷体" w:eastAsia="楷体"/>
          <w:sz w:val="28"/>
          <w:szCs w:val="28"/>
          <w:lang w:val="en-US" w:eastAsia="zh-CN"/>
        </w:rPr>
        <w:t>1层，实际为负</w:t>
      </w:r>
      <w:r>
        <w:rPr>
          <w:rFonts w:hint="eastAsia" w:ascii="楷体" w:hAnsi="楷体" w:eastAsia="楷体"/>
          <w:sz w:val="28"/>
          <w:szCs w:val="28"/>
          <w:lang w:eastAsia="zh-CN"/>
        </w:rPr>
        <w:t>1</w:t>
      </w:r>
      <w:r>
        <w:rPr>
          <w:rFonts w:hint="eastAsia" w:ascii="楷体" w:hAnsi="楷体" w:eastAsia="楷体"/>
          <w:sz w:val="28"/>
          <w:szCs w:val="28"/>
          <w:lang w:val="en-US" w:eastAsia="zh-CN"/>
        </w:rPr>
        <w:t>至1</w:t>
      </w:r>
      <w:r>
        <w:rPr>
          <w:rFonts w:hint="eastAsia" w:ascii="楷体" w:hAnsi="楷体" w:eastAsia="楷体"/>
          <w:sz w:val="28"/>
          <w:szCs w:val="28"/>
          <w:lang w:eastAsia="zh-CN"/>
        </w:rPr>
        <w:t>层下跃</w:t>
      </w:r>
      <w:r>
        <w:rPr>
          <w:rFonts w:hint="eastAsia" w:ascii="楷体" w:hAnsi="楷体" w:eastAsia="楷体"/>
          <w:sz w:val="28"/>
          <w:szCs w:val="28"/>
          <w:lang w:val="en-US" w:eastAsia="zh-CN"/>
        </w:rPr>
        <w:t>式房屋</w:t>
      </w:r>
      <w:r>
        <w:rPr>
          <w:rFonts w:hint="eastAsia" w:ascii="楷体" w:hAnsi="楷体" w:eastAsia="楷体"/>
          <w:sz w:val="28"/>
          <w:szCs w:val="28"/>
          <w:lang w:eastAsia="zh-CN"/>
        </w:rPr>
        <w:t>，房屋建筑面积195.96m</w:t>
      </w:r>
      <w:r>
        <w:rPr>
          <w:rFonts w:hint="eastAsia" w:ascii="楷体" w:hAnsi="楷体" w:eastAsia="楷体"/>
          <w:sz w:val="28"/>
          <w:szCs w:val="28"/>
          <w:vertAlign w:val="superscript"/>
          <w:lang w:eastAsia="zh-CN"/>
        </w:rPr>
        <w:t>2</w:t>
      </w:r>
      <w:r>
        <w:rPr>
          <w:rFonts w:hint="eastAsia" w:ascii="楷体" w:hAnsi="楷体" w:eastAsia="楷体"/>
          <w:sz w:val="28"/>
          <w:szCs w:val="28"/>
          <w:lang w:eastAsia="zh-CN"/>
        </w:rPr>
        <w:t>。空间布局合理，四室三厅三卫一厨，</w:t>
      </w:r>
      <w:r>
        <w:rPr>
          <w:rFonts w:hint="eastAsia" w:ascii="楷体" w:hAnsi="楷体" w:eastAsia="楷体"/>
          <w:sz w:val="28"/>
          <w:szCs w:val="28"/>
          <w:lang w:val="en-US" w:eastAsia="zh-CN"/>
        </w:rPr>
        <w:t>客厅为挑高层，其他房屋</w:t>
      </w:r>
      <w:r>
        <w:rPr>
          <w:rFonts w:hint="eastAsia" w:ascii="楷体" w:hAnsi="楷体" w:eastAsia="楷体"/>
          <w:sz w:val="28"/>
          <w:szCs w:val="28"/>
          <w:lang w:eastAsia="zh-CN"/>
        </w:rPr>
        <w:t>每层层高约2.8米，南北朝向。该楼外墙面贴面砖，入户门为防盗门，带独立庭院，庭院围栏为石材围栏，地面铺瓷砖，室内一层地面铺地瓷砖，墙面部分贴壁纸，部分为造型石材，房顶为石膏吊顶，二层地面铺木地板，墙面贴壁纸，房顶为石膏吊顶，木楼梯踏步和扶手，厨房墙面贴瓷砖，地面铺地瓷砖，集成吊顶。卫生间墙面贴瓷砖，地面铺地瓷砖，集成吊顶，安装塑钢窗。估价对象配套设施较完善，室内给排水、供电、供暖、通讯等基础配套设施齐全，房屋维护状况较好，能够满足使用要求。估价对象规划用途为住宅，现状用途为住宅。</w:t>
      </w:r>
    </w:p>
    <w:p>
      <w:pPr>
        <w:pStyle w:val="3"/>
        <w:pageBreakBefore w:val="0"/>
        <w:widowControl w:val="0"/>
        <w:kinsoku/>
        <w:wordWrap/>
        <w:overflowPunct/>
        <w:topLinePunct w:val="0"/>
        <w:autoSpaceDE/>
        <w:autoSpaceDN/>
        <w:bidi w:val="0"/>
        <w:snapToGrid/>
        <w:spacing w:before="0" w:after="0" w:line="480" w:lineRule="exact"/>
        <w:rPr>
          <w:rFonts w:ascii="楷体" w:hAnsi="楷体" w:eastAsia="楷体"/>
          <w:sz w:val="28"/>
          <w:szCs w:val="28"/>
        </w:rPr>
      </w:pPr>
      <w:bookmarkStart w:id="35" w:name="_Toc436035301"/>
      <w:bookmarkStart w:id="36" w:name="_Toc4261"/>
      <w:bookmarkStart w:id="37" w:name="_Toc318818632"/>
      <w:r>
        <w:rPr>
          <w:rFonts w:hint="eastAsia" w:ascii="楷体" w:hAnsi="楷体" w:eastAsia="楷体"/>
          <w:sz w:val="28"/>
          <w:szCs w:val="28"/>
        </w:rPr>
        <w:t>五、价值时点</w:t>
      </w:r>
      <w:bookmarkEnd w:id="35"/>
      <w:bookmarkEnd w:id="36"/>
      <w:bookmarkEnd w:id="37"/>
    </w:p>
    <w:p>
      <w:pPr>
        <w:pageBreakBefore w:val="0"/>
        <w:widowControl w:val="0"/>
        <w:kinsoku/>
        <w:wordWrap/>
        <w:overflowPunct/>
        <w:topLinePunct w:val="0"/>
        <w:autoSpaceDE/>
        <w:autoSpaceDN/>
        <w:bidi w:val="0"/>
        <w:snapToGrid/>
        <w:spacing w:line="480" w:lineRule="exact"/>
        <w:ind w:firstLine="560" w:firstLineChars="200"/>
        <w:rPr>
          <w:color w:val="FF0000"/>
        </w:rPr>
      </w:pPr>
      <w:r>
        <w:rPr>
          <w:rFonts w:hint="eastAsia" w:ascii="楷体" w:hAnsi="楷体" w:eastAsia="楷体"/>
          <w:sz w:val="28"/>
          <w:szCs w:val="28"/>
          <w:lang w:eastAsia="zh-CN"/>
        </w:rPr>
        <w:t>2022年5月24日</w:t>
      </w:r>
      <w:r>
        <w:rPr>
          <w:rFonts w:ascii="楷体" w:hAnsi="楷体" w:eastAsia="楷体"/>
          <w:sz w:val="28"/>
          <w:szCs w:val="28"/>
        </w:rPr>
        <w:t>（</w:t>
      </w:r>
      <w:r>
        <w:rPr>
          <w:rFonts w:hint="eastAsia" w:ascii="楷体" w:hAnsi="楷体" w:eastAsia="楷体"/>
          <w:sz w:val="28"/>
          <w:szCs w:val="28"/>
          <w:lang w:eastAsia="zh-CN"/>
        </w:rPr>
        <w:t>实地查勘</w:t>
      </w:r>
      <w:r>
        <w:rPr>
          <w:rFonts w:hint="eastAsia" w:ascii="楷体" w:hAnsi="楷体" w:eastAsia="楷体"/>
          <w:sz w:val="28"/>
          <w:szCs w:val="28"/>
          <w:lang w:val="en-US" w:eastAsia="zh-CN"/>
        </w:rPr>
        <w:t>完成</w:t>
      </w:r>
      <w:r>
        <w:rPr>
          <w:rFonts w:hint="eastAsia" w:ascii="楷体" w:hAnsi="楷体" w:eastAsia="楷体"/>
          <w:sz w:val="28"/>
          <w:szCs w:val="28"/>
          <w:lang w:eastAsia="zh-CN"/>
        </w:rPr>
        <w:t>之日</w:t>
      </w:r>
      <w:r>
        <w:rPr>
          <w:rFonts w:ascii="楷体" w:hAnsi="楷体" w:eastAsia="楷体"/>
          <w:sz w:val="28"/>
          <w:szCs w:val="28"/>
        </w:rPr>
        <w:t>）</w:t>
      </w:r>
    </w:p>
    <w:p>
      <w:pPr>
        <w:pStyle w:val="3"/>
        <w:pageBreakBefore w:val="0"/>
        <w:widowControl w:val="0"/>
        <w:kinsoku/>
        <w:wordWrap/>
        <w:overflowPunct/>
        <w:topLinePunct w:val="0"/>
        <w:autoSpaceDE/>
        <w:autoSpaceDN/>
        <w:bidi w:val="0"/>
        <w:snapToGrid/>
        <w:spacing w:before="0" w:after="0" w:line="480" w:lineRule="exact"/>
        <w:rPr>
          <w:rFonts w:ascii="楷体" w:hAnsi="楷体" w:eastAsia="楷体"/>
          <w:sz w:val="28"/>
          <w:szCs w:val="28"/>
        </w:rPr>
      </w:pPr>
      <w:bookmarkStart w:id="38" w:name="_Toc436035302"/>
      <w:bookmarkStart w:id="39" w:name="_Toc9845"/>
      <w:bookmarkStart w:id="40" w:name="_Toc318818633"/>
      <w:r>
        <w:rPr>
          <w:rFonts w:hint="eastAsia" w:ascii="楷体" w:hAnsi="楷体" w:eastAsia="楷体"/>
          <w:sz w:val="28"/>
          <w:szCs w:val="28"/>
        </w:rPr>
        <w:t>六、价值类型</w:t>
      </w:r>
      <w:bookmarkEnd w:id="38"/>
      <w:bookmarkEnd w:id="39"/>
      <w:bookmarkEnd w:id="40"/>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本次评估的价值是估价对象于价值时点</w:t>
      </w:r>
      <w:r>
        <w:rPr>
          <w:rFonts w:hint="eastAsia" w:ascii="楷体" w:hAnsi="楷体" w:eastAsia="楷体"/>
          <w:sz w:val="28"/>
          <w:szCs w:val="28"/>
          <w:lang w:eastAsia="zh-CN"/>
        </w:rPr>
        <w:t>2022年5月24日</w:t>
      </w:r>
      <w:r>
        <w:rPr>
          <w:rFonts w:hint="eastAsia" w:ascii="楷体" w:hAnsi="楷体" w:eastAsia="楷体"/>
          <w:sz w:val="28"/>
          <w:szCs w:val="28"/>
        </w:rPr>
        <w:t>在假设及限制条件下的房地产市场价值，包括房屋建筑物及其分摊土地使用权价值。</w:t>
      </w:r>
    </w:p>
    <w:p>
      <w:pPr>
        <w:pStyle w:val="3"/>
        <w:pageBreakBefore w:val="0"/>
        <w:widowControl w:val="0"/>
        <w:kinsoku/>
        <w:wordWrap/>
        <w:overflowPunct/>
        <w:topLinePunct w:val="0"/>
        <w:autoSpaceDE/>
        <w:autoSpaceDN/>
        <w:bidi w:val="0"/>
        <w:snapToGrid/>
        <w:spacing w:before="0" w:after="0" w:line="480" w:lineRule="exact"/>
        <w:rPr>
          <w:rFonts w:ascii="楷体" w:hAnsi="楷体" w:eastAsia="楷体"/>
          <w:sz w:val="28"/>
          <w:szCs w:val="28"/>
        </w:rPr>
      </w:pPr>
      <w:bookmarkStart w:id="41" w:name="_Toc436035303"/>
      <w:bookmarkStart w:id="42" w:name="_Toc109"/>
      <w:bookmarkStart w:id="43" w:name="_Toc318818634"/>
      <w:r>
        <w:rPr>
          <w:rFonts w:hint="eastAsia" w:ascii="楷体" w:hAnsi="楷体" w:eastAsia="楷体"/>
          <w:sz w:val="28"/>
          <w:szCs w:val="28"/>
        </w:rPr>
        <w:t>七、估价原则</w:t>
      </w:r>
      <w:bookmarkEnd w:id="41"/>
      <w:bookmarkEnd w:id="42"/>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ascii="楷体" w:hAnsi="楷体" w:eastAsia="楷体"/>
          <w:sz w:val="28"/>
          <w:szCs w:val="28"/>
        </w:rPr>
        <w:t>在本次估价作业中，我们遵循的原则如下：</w:t>
      </w:r>
    </w:p>
    <w:p>
      <w:pPr>
        <w:pageBreakBefore w:val="0"/>
        <w:widowControl w:val="0"/>
        <w:numPr>
          <w:ilvl w:val="0"/>
          <w:numId w:val="6"/>
        </w:numPr>
        <w:tabs>
          <w:tab w:val="left" w:pos="1134"/>
        </w:tabs>
        <w:kinsoku/>
        <w:wordWrap/>
        <w:overflowPunct/>
        <w:topLinePunct w:val="0"/>
        <w:autoSpaceDE/>
        <w:autoSpaceDN/>
        <w:bidi w:val="0"/>
        <w:snapToGrid/>
        <w:spacing w:line="480" w:lineRule="exact"/>
        <w:rPr>
          <w:rFonts w:ascii="楷体" w:hAnsi="楷体" w:eastAsia="楷体"/>
          <w:sz w:val="28"/>
          <w:szCs w:val="28"/>
        </w:rPr>
      </w:pPr>
      <w:r>
        <w:rPr>
          <w:rFonts w:ascii="楷体" w:hAnsi="楷体" w:eastAsia="楷体"/>
          <w:sz w:val="28"/>
          <w:szCs w:val="28"/>
        </w:rPr>
        <w:t>独立、客观、公正原则</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要求站在中立的立场上，实事求是、公平正直地评估出对各方估价利害关系人均是公平合理的价值或价格的原则。评估出的价值如果不够公平合理，必然会损害当事人中某一方的利益，也有损于房地产估价人员、估价机构以至于整个估价行业的社会公信力和声誉。</w:t>
      </w:r>
    </w:p>
    <w:p>
      <w:pPr>
        <w:pageBreakBefore w:val="0"/>
        <w:widowControl w:val="0"/>
        <w:numPr>
          <w:ilvl w:val="0"/>
          <w:numId w:val="6"/>
        </w:numPr>
        <w:tabs>
          <w:tab w:val="left" w:pos="1134"/>
        </w:tabs>
        <w:kinsoku/>
        <w:wordWrap/>
        <w:overflowPunct/>
        <w:topLinePunct w:val="0"/>
        <w:autoSpaceDE/>
        <w:autoSpaceDN/>
        <w:bidi w:val="0"/>
        <w:snapToGrid/>
        <w:spacing w:line="480" w:lineRule="exact"/>
        <w:rPr>
          <w:rFonts w:ascii="楷体" w:hAnsi="楷体" w:eastAsia="楷体"/>
          <w:sz w:val="28"/>
          <w:szCs w:val="28"/>
        </w:rPr>
      </w:pPr>
      <w:r>
        <w:rPr>
          <w:rFonts w:ascii="楷体" w:hAnsi="楷体" w:eastAsia="楷体"/>
          <w:sz w:val="28"/>
          <w:szCs w:val="28"/>
        </w:rPr>
        <w:t>合法原则</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要求估价结果是在依法判定的估价对象状况下的价值或价格的原则。遵循合法原则，首先要求房地产估价应以估价对象的合法权益为前提进行。合法权益包括合法产权、合法使用、合法处分等方面。遵循合法原则，具体来说有下列几个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pageBreakBefore w:val="0"/>
        <w:widowControl w:val="0"/>
        <w:numPr>
          <w:ilvl w:val="0"/>
          <w:numId w:val="6"/>
        </w:numPr>
        <w:tabs>
          <w:tab w:val="left" w:pos="1134"/>
        </w:tabs>
        <w:kinsoku/>
        <w:wordWrap/>
        <w:overflowPunct/>
        <w:topLinePunct w:val="0"/>
        <w:autoSpaceDE/>
        <w:autoSpaceDN/>
        <w:bidi w:val="0"/>
        <w:snapToGrid/>
        <w:spacing w:line="480" w:lineRule="exact"/>
        <w:rPr>
          <w:rFonts w:ascii="楷体" w:hAnsi="楷体" w:eastAsia="楷体"/>
          <w:sz w:val="28"/>
          <w:szCs w:val="28"/>
        </w:rPr>
      </w:pPr>
      <w:r>
        <w:rPr>
          <w:rFonts w:ascii="楷体" w:hAnsi="楷体" w:eastAsia="楷体"/>
          <w:sz w:val="28"/>
          <w:szCs w:val="28"/>
        </w:rPr>
        <w:t>价值时点原则</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要求估价结果是在根据估价目的确定的某一特定时间的价值或价格的原则。</w:t>
      </w:r>
    </w:p>
    <w:p>
      <w:pPr>
        <w:pageBreakBefore w:val="0"/>
        <w:widowControl w:val="0"/>
        <w:numPr>
          <w:ilvl w:val="0"/>
          <w:numId w:val="6"/>
        </w:numPr>
        <w:tabs>
          <w:tab w:val="left" w:pos="1134"/>
        </w:tabs>
        <w:kinsoku/>
        <w:wordWrap/>
        <w:overflowPunct/>
        <w:topLinePunct w:val="0"/>
        <w:autoSpaceDE/>
        <w:autoSpaceDN/>
        <w:bidi w:val="0"/>
        <w:snapToGrid/>
        <w:spacing w:line="480" w:lineRule="exact"/>
        <w:rPr>
          <w:rFonts w:ascii="楷体" w:hAnsi="楷体" w:eastAsia="楷体"/>
          <w:sz w:val="28"/>
          <w:szCs w:val="28"/>
        </w:rPr>
      </w:pPr>
      <w:r>
        <w:rPr>
          <w:rFonts w:ascii="楷体" w:hAnsi="楷体" w:eastAsia="楷体"/>
          <w:sz w:val="28"/>
          <w:szCs w:val="28"/>
        </w:rPr>
        <w:t>替代原则</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ascii="楷体" w:hAnsi="楷体" w:eastAsia="楷体"/>
          <w:sz w:val="28"/>
          <w:szCs w:val="28"/>
        </w:rPr>
        <w:t>替代原则要求估价结果与估价对象的类似房地产在同等条件下的价值或价格偏差在合理范围内。类似房地产是指与估价对象处在同一供求范围内，并在用途、规模、档次、建筑结构等方面与估价对象相同或相近的房地产。同一供求范围是指与估价对象相同或相近的房地产所处的区域范围。</w:t>
      </w:r>
    </w:p>
    <w:p>
      <w:pPr>
        <w:pageBreakBefore w:val="0"/>
        <w:widowControl w:val="0"/>
        <w:numPr>
          <w:ilvl w:val="0"/>
          <w:numId w:val="6"/>
        </w:numPr>
        <w:tabs>
          <w:tab w:val="left" w:pos="1134"/>
        </w:tabs>
        <w:kinsoku/>
        <w:wordWrap/>
        <w:overflowPunct/>
        <w:topLinePunct w:val="0"/>
        <w:autoSpaceDE/>
        <w:autoSpaceDN/>
        <w:bidi w:val="0"/>
        <w:snapToGrid/>
        <w:spacing w:line="480" w:lineRule="exact"/>
        <w:rPr>
          <w:rFonts w:ascii="楷体" w:hAnsi="楷体" w:eastAsia="楷体"/>
          <w:sz w:val="28"/>
          <w:szCs w:val="28"/>
        </w:rPr>
      </w:pPr>
      <w:r>
        <w:rPr>
          <w:rFonts w:ascii="楷体" w:hAnsi="楷体" w:eastAsia="楷体"/>
          <w:sz w:val="28"/>
          <w:szCs w:val="28"/>
        </w:rPr>
        <w:t>最高最佳利用原则</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要求估价结果是在估价对象最高最佳利用状况下的价值或价格的原则。它是指法律上允许，技术上可能，财务上可行并使价值最大的合理、可能的利用，包括最佳的用途、规模、档次等。</w:t>
      </w:r>
    </w:p>
    <w:p>
      <w:pPr>
        <w:pStyle w:val="3"/>
        <w:pageBreakBefore w:val="0"/>
        <w:widowControl w:val="0"/>
        <w:kinsoku/>
        <w:wordWrap/>
        <w:overflowPunct/>
        <w:topLinePunct w:val="0"/>
        <w:autoSpaceDE/>
        <w:autoSpaceDN/>
        <w:bidi w:val="0"/>
        <w:snapToGrid/>
        <w:spacing w:before="0" w:after="0" w:line="480" w:lineRule="exact"/>
        <w:rPr>
          <w:rFonts w:ascii="楷体" w:hAnsi="楷体" w:eastAsia="楷体"/>
          <w:sz w:val="28"/>
          <w:szCs w:val="28"/>
        </w:rPr>
      </w:pPr>
      <w:bookmarkStart w:id="44" w:name="_Toc436035304"/>
      <w:bookmarkStart w:id="45" w:name="_Toc21176"/>
      <w:r>
        <w:rPr>
          <w:rFonts w:hint="eastAsia" w:ascii="楷体" w:hAnsi="楷体" w:eastAsia="楷体"/>
          <w:sz w:val="28"/>
          <w:szCs w:val="28"/>
        </w:rPr>
        <w:t>八、估价依据</w:t>
      </w:r>
      <w:bookmarkEnd w:id="43"/>
      <w:bookmarkEnd w:id="44"/>
      <w:bookmarkEnd w:id="45"/>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ascii="楷体" w:hAnsi="楷体" w:eastAsia="楷体"/>
          <w:sz w:val="28"/>
          <w:szCs w:val="28"/>
        </w:rPr>
        <w:t>（一）本次估价所依据的有关法律、法规和政策文件</w:t>
      </w:r>
    </w:p>
    <w:p>
      <w:pPr>
        <w:pageBreakBefore w:val="0"/>
        <w:widowControl w:val="0"/>
        <w:numPr>
          <w:ilvl w:val="0"/>
          <w:numId w:val="7"/>
        </w:numPr>
        <w:tabs>
          <w:tab w:val="left" w:pos="851"/>
        </w:tabs>
        <w:kinsoku/>
        <w:wordWrap/>
        <w:overflowPunct/>
        <w:topLinePunct w:val="0"/>
        <w:autoSpaceDE/>
        <w:autoSpaceDN/>
        <w:bidi w:val="0"/>
        <w:snapToGrid/>
        <w:spacing w:line="480" w:lineRule="exact"/>
        <w:ind w:left="981"/>
        <w:rPr>
          <w:rFonts w:ascii="楷体" w:hAnsi="楷体" w:eastAsia="楷体"/>
          <w:sz w:val="28"/>
          <w:szCs w:val="28"/>
        </w:rPr>
      </w:pPr>
      <w:r>
        <w:rPr>
          <w:rFonts w:hint="eastAsia" w:ascii="楷体" w:hAnsi="楷体" w:eastAsia="楷体"/>
          <w:sz w:val="28"/>
          <w:szCs w:val="28"/>
        </w:rPr>
        <w:t>《中华人民共和国民法典》</w:t>
      </w:r>
    </w:p>
    <w:p>
      <w:pPr>
        <w:pageBreakBefore w:val="0"/>
        <w:widowControl w:val="0"/>
        <w:numPr>
          <w:ilvl w:val="0"/>
          <w:numId w:val="7"/>
        </w:numPr>
        <w:tabs>
          <w:tab w:val="left" w:pos="851"/>
        </w:tabs>
        <w:kinsoku/>
        <w:wordWrap/>
        <w:overflowPunct/>
        <w:topLinePunct w:val="0"/>
        <w:autoSpaceDE/>
        <w:autoSpaceDN/>
        <w:bidi w:val="0"/>
        <w:snapToGrid/>
        <w:spacing w:line="480" w:lineRule="exact"/>
        <w:ind w:left="981"/>
        <w:rPr>
          <w:rFonts w:ascii="楷体" w:hAnsi="楷体" w:eastAsia="楷体"/>
          <w:sz w:val="28"/>
          <w:szCs w:val="28"/>
        </w:rPr>
      </w:pPr>
      <w:r>
        <w:rPr>
          <w:rFonts w:ascii="楷体" w:hAnsi="楷体" w:eastAsia="楷体"/>
          <w:sz w:val="28"/>
          <w:szCs w:val="28"/>
        </w:rPr>
        <w:t>《中华人民共和国土地管理法》</w:t>
      </w:r>
    </w:p>
    <w:p>
      <w:pPr>
        <w:pageBreakBefore w:val="0"/>
        <w:widowControl w:val="0"/>
        <w:numPr>
          <w:ilvl w:val="0"/>
          <w:numId w:val="7"/>
        </w:numPr>
        <w:tabs>
          <w:tab w:val="left" w:pos="851"/>
        </w:tabs>
        <w:kinsoku/>
        <w:wordWrap/>
        <w:overflowPunct/>
        <w:topLinePunct w:val="0"/>
        <w:autoSpaceDE/>
        <w:autoSpaceDN/>
        <w:bidi w:val="0"/>
        <w:snapToGrid/>
        <w:spacing w:line="480" w:lineRule="exact"/>
        <w:ind w:left="981"/>
        <w:rPr>
          <w:rFonts w:ascii="楷体" w:hAnsi="楷体" w:eastAsia="楷体"/>
          <w:sz w:val="28"/>
          <w:szCs w:val="28"/>
        </w:rPr>
      </w:pPr>
      <w:r>
        <w:rPr>
          <w:rFonts w:ascii="楷体" w:hAnsi="楷体" w:eastAsia="楷体"/>
          <w:sz w:val="28"/>
          <w:szCs w:val="28"/>
        </w:rPr>
        <w:t>《中华人民共和国城市房地产管理法》</w:t>
      </w:r>
    </w:p>
    <w:p>
      <w:pPr>
        <w:pageBreakBefore w:val="0"/>
        <w:widowControl w:val="0"/>
        <w:numPr>
          <w:ilvl w:val="0"/>
          <w:numId w:val="7"/>
        </w:numPr>
        <w:tabs>
          <w:tab w:val="left" w:pos="851"/>
        </w:tabs>
        <w:kinsoku/>
        <w:wordWrap/>
        <w:overflowPunct/>
        <w:topLinePunct w:val="0"/>
        <w:autoSpaceDE/>
        <w:autoSpaceDN/>
        <w:bidi w:val="0"/>
        <w:snapToGrid/>
        <w:spacing w:line="480" w:lineRule="exact"/>
        <w:ind w:left="981"/>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中华人民共和国资产评估法</w:t>
      </w:r>
      <w:r>
        <w:rPr>
          <w:rFonts w:hint="eastAsia" w:ascii="楷体" w:hAnsi="楷体" w:eastAsia="楷体"/>
          <w:sz w:val="28"/>
          <w:szCs w:val="28"/>
        </w:rPr>
        <w:t>》</w:t>
      </w:r>
    </w:p>
    <w:p>
      <w:pPr>
        <w:pageBreakBefore w:val="0"/>
        <w:widowControl w:val="0"/>
        <w:numPr>
          <w:ilvl w:val="0"/>
          <w:numId w:val="7"/>
        </w:numPr>
        <w:tabs>
          <w:tab w:val="left" w:pos="851"/>
        </w:tabs>
        <w:kinsoku/>
        <w:wordWrap/>
        <w:overflowPunct/>
        <w:topLinePunct w:val="0"/>
        <w:autoSpaceDE/>
        <w:autoSpaceDN/>
        <w:bidi w:val="0"/>
        <w:snapToGrid/>
        <w:spacing w:line="480" w:lineRule="exact"/>
        <w:ind w:left="981"/>
        <w:rPr>
          <w:rFonts w:ascii="楷体" w:hAnsi="楷体" w:eastAsia="楷体"/>
          <w:sz w:val="28"/>
          <w:szCs w:val="28"/>
        </w:rPr>
      </w:pPr>
      <w:r>
        <w:rPr>
          <w:rFonts w:ascii="楷体" w:hAnsi="楷体" w:eastAsia="楷体"/>
          <w:sz w:val="28"/>
          <w:szCs w:val="28"/>
        </w:rPr>
        <w:t>《中华人民共和国土地管理法实施条例》</w:t>
      </w:r>
    </w:p>
    <w:p>
      <w:pPr>
        <w:pageBreakBefore w:val="0"/>
        <w:widowControl w:val="0"/>
        <w:numPr>
          <w:ilvl w:val="0"/>
          <w:numId w:val="7"/>
        </w:numPr>
        <w:tabs>
          <w:tab w:val="left" w:pos="851"/>
        </w:tabs>
        <w:kinsoku/>
        <w:wordWrap/>
        <w:overflowPunct/>
        <w:topLinePunct w:val="0"/>
        <w:autoSpaceDE/>
        <w:autoSpaceDN/>
        <w:bidi w:val="0"/>
        <w:snapToGrid/>
        <w:spacing w:line="480" w:lineRule="exact"/>
        <w:ind w:left="0" w:firstLine="561"/>
        <w:rPr>
          <w:rFonts w:ascii="楷体" w:hAnsi="楷体" w:eastAsia="楷体"/>
          <w:sz w:val="28"/>
          <w:szCs w:val="28"/>
        </w:rPr>
      </w:pPr>
      <w:r>
        <w:rPr>
          <w:rFonts w:hint="eastAsia" w:ascii="楷体" w:hAnsi="楷体" w:eastAsia="楷体"/>
          <w:sz w:val="28"/>
          <w:szCs w:val="28"/>
        </w:rPr>
        <w:t>《最高人民法院关于人民法院执行工作中若干问题的规定》（试行）</w:t>
      </w:r>
    </w:p>
    <w:p>
      <w:pPr>
        <w:pageBreakBefore w:val="0"/>
        <w:widowControl w:val="0"/>
        <w:numPr>
          <w:ilvl w:val="0"/>
          <w:numId w:val="7"/>
        </w:numPr>
        <w:tabs>
          <w:tab w:val="left" w:pos="851"/>
        </w:tabs>
        <w:kinsoku/>
        <w:wordWrap/>
        <w:overflowPunct/>
        <w:topLinePunct w:val="0"/>
        <w:autoSpaceDE/>
        <w:autoSpaceDN/>
        <w:bidi w:val="0"/>
        <w:snapToGrid/>
        <w:spacing w:line="480" w:lineRule="exact"/>
        <w:ind w:left="0" w:firstLine="561"/>
        <w:rPr>
          <w:rFonts w:ascii="楷体" w:hAnsi="楷体" w:eastAsia="楷体"/>
          <w:sz w:val="28"/>
          <w:szCs w:val="28"/>
        </w:rPr>
      </w:pPr>
      <w:r>
        <w:rPr>
          <w:rFonts w:hint="eastAsia" w:ascii="楷体" w:hAnsi="楷体" w:eastAsia="楷体"/>
          <w:sz w:val="28"/>
          <w:szCs w:val="28"/>
        </w:rPr>
        <w:t>《最高人民法院关于人民法院民事执行中拍卖、变卖财产的规定》</w:t>
      </w:r>
    </w:p>
    <w:p>
      <w:pPr>
        <w:pageBreakBefore w:val="0"/>
        <w:widowControl w:val="0"/>
        <w:numPr>
          <w:ilvl w:val="0"/>
          <w:numId w:val="7"/>
        </w:numPr>
        <w:tabs>
          <w:tab w:val="left" w:pos="851"/>
        </w:tabs>
        <w:kinsoku/>
        <w:wordWrap/>
        <w:overflowPunct/>
        <w:topLinePunct w:val="0"/>
        <w:autoSpaceDE/>
        <w:autoSpaceDN/>
        <w:bidi w:val="0"/>
        <w:adjustRightInd/>
        <w:snapToGrid/>
        <w:spacing w:line="480" w:lineRule="exact"/>
        <w:ind w:left="0" w:firstLine="561"/>
        <w:textAlignment w:val="auto"/>
        <w:rPr>
          <w:rFonts w:ascii="楷体" w:hAnsi="楷体" w:eastAsia="楷体"/>
          <w:sz w:val="28"/>
          <w:szCs w:val="28"/>
        </w:rPr>
      </w:pPr>
      <w:r>
        <w:rPr>
          <w:rFonts w:hint="eastAsia" w:ascii="楷体" w:hAnsi="楷体" w:eastAsia="楷体"/>
          <w:sz w:val="28"/>
          <w:szCs w:val="28"/>
        </w:rPr>
        <w:t>《最高人民法院关于人民法院确定财产处置参考价若干问题的规定》</w:t>
      </w:r>
    </w:p>
    <w:p>
      <w:pPr>
        <w:pageBreakBefore w:val="0"/>
        <w:widowControl w:val="0"/>
        <w:numPr>
          <w:ilvl w:val="0"/>
          <w:numId w:val="7"/>
        </w:numPr>
        <w:tabs>
          <w:tab w:val="left" w:pos="851"/>
          <w:tab w:val="left" w:pos="993"/>
        </w:tabs>
        <w:kinsoku/>
        <w:wordWrap/>
        <w:overflowPunct/>
        <w:topLinePunct w:val="0"/>
        <w:autoSpaceDE/>
        <w:autoSpaceDN/>
        <w:bidi w:val="0"/>
        <w:adjustRightInd/>
        <w:snapToGrid/>
        <w:spacing w:line="480" w:lineRule="exact"/>
        <w:ind w:left="0" w:firstLine="561"/>
        <w:textAlignment w:val="auto"/>
        <w:rPr>
          <w:rFonts w:ascii="楷体" w:hAnsi="楷体" w:eastAsia="楷体"/>
          <w:sz w:val="28"/>
          <w:szCs w:val="28"/>
        </w:rPr>
      </w:pPr>
      <w:r>
        <w:rPr>
          <w:rFonts w:hint="eastAsia" w:ascii="楷体" w:hAnsi="楷体" w:eastAsia="楷体"/>
          <w:sz w:val="28"/>
          <w:szCs w:val="28"/>
        </w:rPr>
        <w:t>《关于印发&lt;涉执房地产处置司法评估指导意见（试行）&gt;的通知》</w:t>
      </w:r>
    </w:p>
    <w:p>
      <w:pPr>
        <w:pageBreakBefore w:val="0"/>
        <w:widowControl w:val="0"/>
        <w:numPr>
          <w:ilvl w:val="0"/>
          <w:numId w:val="7"/>
        </w:numPr>
        <w:tabs>
          <w:tab w:val="left" w:pos="851"/>
          <w:tab w:val="left" w:pos="993"/>
        </w:tabs>
        <w:kinsoku/>
        <w:wordWrap/>
        <w:overflowPunct/>
        <w:topLinePunct w:val="0"/>
        <w:autoSpaceDE/>
        <w:autoSpaceDN/>
        <w:bidi w:val="0"/>
        <w:adjustRightInd/>
        <w:snapToGrid/>
        <w:spacing w:line="480" w:lineRule="exact"/>
        <w:ind w:left="0" w:firstLine="561"/>
        <w:textAlignment w:val="auto"/>
        <w:rPr>
          <w:rFonts w:ascii="楷体" w:hAnsi="楷体" w:eastAsia="楷体"/>
          <w:sz w:val="28"/>
          <w:szCs w:val="28"/>
        </w:rPr>
      </w:pPr>
      <w:r>
        <w:rPr>
          <w:rFonts w:hint="eastAsia" w:ascii="楷体" w:hAnsi="楷体" w:eastAsia="楷体"/>
          <w:sz w:val="28"/>
          <w:szCs w:val="28"/>
        </w:rPr>
        <w:t>《人民法院委托评估工作规范》</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ascii="楷体" w:hAnsi="楷体" w:eastAsia="楷体"/>
          <w:sz w:val="28"/>
          <w:szCs w:val="28"/>
        </w:rPr>
        <w:t>（二）技术标准</w:t>
      </w:r>
    </w:p>
    <w:p>
      <w:pPr>
        <w:pStyle w:val="116"/>
        <w:pageBreakBefore w:val="0"/>
        <w:widowControl w:val="0"/>
        <w:numPr>
          <w:ilvl w:val="0"/>
          <w:numId w:val="8"/>
        </w:numPr>
        <w:kinsoku/>
        <w:wordWrap/>
        <w:overflowPunct/>
        <w:topLinePunct w:val="0"/>
        <w:autoSpaceDE/>
        <w:autoSpaceDN/>
        <w:bidi w:val="0"/>
        <w:adjustRightInd/>
        <w:snapToGrid/>
        <w:spacing w:line="480" w:lineRule="exact"/>
        <w:ind w:firstLineChars="0"/>
        <w:textAlignment w:val="auto"/>
        <w:rPr>
          <w:rFonts w:ascii="楷体" w:hAnsi="楷体" w:eastAsia="楷体"/>
          <w:sz w:val="28"/>
          <w:szCs w:val="28"/>
        </w:rPr>
      </w:pPr>
      <w:r>
        <w:rPr>
          <w:rFonts w:ascii="楷体" w:hAnsi="楷体" w:eastAsia="楷体"/>
          <w:sz w:val="28"/>
          <w:szCs w:val="28"/>
        </w:rPr>
        <w:t>《房地产估价规范》【GB/T 50291-2015】</w:t>
      </w:r>
    </w:p>
    <w:p>
      <w:pPr>
        <w:pStyle w:val="116"/>
        <w:pageBreakBefore w:val="0"/>
        <w:widowControl w:val="0"/>
        <w:numPr>
          <w:ilvl w:val="0"/>
          <w:numId w:val="8"/>
        </w:numPr>
        <w:kinsoku/>
        <w:wordWrap/>
        <w:overflowPunct/>
        <w:topLinePunct w:val="0"/>
        <w:autoSpaceDE/>
        <w:autoSpaceDN/>
        <w:bidi w:val="0"/>
        <w:adjustRightInd/>
        <w:snapToGrid/>
        <w:spacing w:line="480" w:lineRule="exact"/>
        <w:ind w:firstLineChars="0"/>
        <w:textAlignment w:val="auto"/>
        <w:rPr>
          <w:rFonts w:ascii="楷体" w:hAnsi="楷体" w:eastAsia="楷体"/>
          <w:sz w:val="28"/>
          <w:szCs w:val="28"/>
        </w:rPr>
      </w:pPr>
      <w:r>
        <w:rPr>
          <w:rFonts w:hint="eastAsia" w:ascii="楷体" w:hAnsi="楷体" w:eastAsia="楷体"/>
          <w:sz w:val="28"/>
          <w:szCs w:val="28"/>
        </w:rPr>
        <w:t>《房地产估价基本术语标准》【GB/T 50899-2013】</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ascii="楷体" w:hAnsi="楷体" w:eastAsia="楷体"/>
          <w:sz w:val="28"/>
          <w:szCs w:val="28"/>
        </w:rPr>
        <w:t>（三）估价委托人提供的有关资料</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bookmarkStart w:id="46" w:name="_Toc318818636"/>
      <w:r>
        <w:rPr>
          <w:rFonts w:hint="eastAsia" w:ascii="楷体" w:hAnsi="楷体" w:eastAsia="楷体"/>
          <w:sz w:val="28"/>
          <w:szCs w:val="28"/>
        </w:rPr>
        <w:t>1.《</w:t>
      </w:r>
      <w:r>
        <w:rPr>
          <w:rFonts w:hint="eastAsia" w:ascii="楷体" w:hAnsi="楷体" w:eastAsia="楷体"/>
          <w:sz w:val="28"/>
          <w:szCs w:val="28"/>
          <w:lang w:eastAsia="zh-CN"/>
        </w:rPr>
        <w:t>宁夏回族自治区吴忠市中级人民法院</w:t>
      </w:r>
      <w:r>
        <w:rPr>
          <w:rFonts w:hint="eastAsia" w:ascii="楷体" w:hAnsi="楷体" w:eastAsia="楷体"/>
          <w:sz w:val="28"/>
          <w:szCs w:val="28"/>
        </w:rPr>
        <w:t>司法</w:t>
      </w:r>
      <w:r>
        <w:rPr>
          <w:rFonts w:hint="eastAsia" w:ascii="楷体" w:hAnsi="楷体" w:eastAsia="楷体"/>
          <w:sz w:val="28"/>
          <w:szCs w:val="28"/>
          <w:lang w:eastAsia="zh-CN"/>
        </w:rPr>
        <w:t>评估委托书</w:t>
      </w:r>
      <w:r>
        <w:rPr>
          <w:rFonts w:hint="eastAsia" w:ascii="楷体" w:hAnsi="楷体" w:eastAsia="楷体"/>
          <w:sz w:val="28"/>
          <w:szCs w:val="28"/>
        </w:rPr>
        <w:t>》</w:t>
      </w:r>
      <w:r>
        <w:rPr>
          <w:rFonts w:hint="eastAsia" w:ascii="楷体" w:hAnsi="楷体" w:eastAsia="楷体"/>
          <w:sz w:val="28"/>
          <w:szCs w:val="28"/>
          <w:lang w:eastAsia="zh-CN"/>
        </w:rPr>
        <w:t>【（</w:t>
      </w:r>
      <w:r>
        <w:rPr>
          <w:rFonts w:hint="eastAsia" w:ascii="楷体" w:hAnsi="楷体" w:eastAsia="楷体"/>
          <w:sz w:val="28"/>
          <w:szCs w:val="28"/>
          <w:lang w:val="en-US" w:eastAsia="zh-CN"/>
        </w:rPr>
        <w:t>2022）执恢第22号】</w:t>
      </w:r>
      <w:r>
        <w:rPr>
          <w:rFonts w:hint="eastAsia" w:ascii="楷体" w:hAnsi="楷体" w:eastAsia="楷体"/>
          <w:sz w:val="28"/>
          <w:szCs w:val="28"/>
        </w:rPr>
        <w:t>（</w:t>
      </w:r>
      <w:r>
        <w:rPr>
          <w:rFonts w:hint="eastAsia" w:ascii="楷体" w:hAnsi="楷体" w:eastAsia="楷体"/>
          <w:sz w:val="28"/>
          <w:szCs w:val="28"/>
          <w:lang w:eastAsia="zh-CN"/>
        </w:rPr>
        <w:t>原件</w:t>
      </w:r>
      <w:r>
        <w:rPr>
          <w:rFonts w:hint="eastAsia" w:ascii="楷体" w:hAnsi="楷体" w:eastAsia="楷体"/>
          <w:sz w:val="28"/>
          <w:szCs w:val="28"/>
        </w:rPr>
        <w:t>）</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2.《</w:t>
      </w:r>
      <w:r>
        <w:rPr>
          <w:rFonts w:hint="eastAsia" w:ascii="楷体" w:hAnsi="楷体" w:eastAsia="楷体"/>
          <w:sz w:val="28"/>
          <w:szCs w:val="28"/>
          <w:lang w:eastAsia="zh-CN"/>
        </w:rPr>
        <w:t>国有土地使用权证书</w:t>
      </w:r>
      <w:r>
        <w:rPr>
          <w:rFonts w:hint="eastAsia" w:ascii="楷体" w:hAnsi="楷体" w:eastAsia="楷体"/>
          <w:sz w:val="28"/>
          <w:szCs w:val="28"/>
        </w:rPr>
        <w:t>》</w:t>
      </w:r>
      <w:r>
        <w:rPr>
          <w:rFonts w:hint="eastAsia" w:ascii="楷体" w:hAnsi="楷体" w:eastAsia="楷体"/>
          <w:sz w:val="28"/>
          <w:szCs w:val="28"/>
          <w:lang w:eastAsia="zh-CN"/>
        </w:rPr>
        <w:t>【青国用（2014）第611号】</w:t>
      </w:r>
      <w:r>
        <w:rPr>
          <w:rFonts w:hint="eastAsia" w:ascii="楷体" w:hAnsi="楷体" w:eastAsia="楷体"/>
          <w:sz w:val="28"/>
          <w:szCs w:val="28"/>
        </w:rPr>
        <w:t>（复印件）</w:t>
      </w:r>
    </w:p>
    <w:p>
      <w:pPr>
        <w:pageBreakBefore w:val="0"/>
        <w:widowControl w:val="0"/>
        <w:kinsoku/>
        <w:wordWrap/>
        <w:overflowPunct/>
        <w:topLinePunct w:val="0"/>
        <w:autoSpaceDE/>
        <w:autoSpaceDN/>
        <w:bidi w:val="0"/>
        <w:snapToGrid/>
        <w:spacing w:line="480" w:lineRule="exact"/>
        <w:ind w:firstLine="560" w:firstLineChars="200"/>
        <w:rPr>
          <w:rFonts w:hint="eastAsia" w:ascii="楷体" w:hAnsi="楷体" w:eastAsia="楷体"/>
          <w:sz w:val="28"/>
          <w:szCs w:val="28"/>
        </w:rPr>
      </w:pPr>
      <w:r>
        <w:rPr>
          <w:rFonts w:hint="eastAsia" w:ascii="楷体" w:hAnsi="楷体" w:eastAsia="楷体"/>
          <w:sz w:val="28"/>
          <w:szCs w:val="28"/>
        </w:rPr>
        <w:t>3.《</w:t>
      </w:r>
      <w:r>
        <w:rPr>
          <w:rFonts w:hint="eastAsia" w:ascii="楷体" w:hAnsi="楷体" w:eastAsia="楷体"/>
          <w:sz w:val="28"/>
          <w:szCs w:val="28"/>
          <w:lang w:eastAsia="zh-CN"/>
        </w:rPr>
        <w:t>房屋所有权证</w:t>
      </w:r>
      <w:r>
        <w:rPr>
          <w:rFonts w:hint="eastAsia" w:ascii="楷体" w:hAnsi="楷体" w:eastAsia="楷体"/>
          <w:sz w:val="28"/>
          <w:szCs w:val="28"/>
        </w:rPr>
        <w:t>》</w:t>
      </w:r>
      <w:r>
        <w:rPr>
          <w:rFonts w:hint="eastAsia" w:ascii="楷体" w:hAnsi="楷体" w:eastAsia="楷体"/>
          <w:sz w:val="28"/>
          <w:szCs w:val="28"/>
          <w:lang w:eastAsia="zh-CN"/>
        </w:rPr>
        <w:t>【青房权证青铜峡市字第2014001527号】</w:t>
      </w:r>
      <w:r>
        <w:rPr>
          <w:rFonts w:hint="eastAsia" w:ascii="楷体" w:hAnsi="楷体" w:eastAsia="楷体"/>
          <w:sz w:val="28"/>
          <w:szCs w:val="28"/>
        </w:rPr>
        <w:t>（</w:t>
      </w:r>
      <w:r>
        <w:rPr>
          <w:rFonts w:hint="eastAsia" w:ascii="楷体" w:hAnsi="楷体" w:eastAsia="楷体"/>
          <w:sz w:val="28"/>
          <w:szCs w:val="28"/>
          <w:lang w:eastAsia="zh-CN"/>
        </w:rPr>
        <w:t>复印件</w:t>
      </w:r>
      <w:r>
        <w:rPr>
          <w:rFonts w:hint="eastAsia" w:ascii="楷体" w:hAnsi="楷体" w:eastAsia="楷体"/>
          <w:sz w:val="28"/>
          <w:szCs w:val="28"/>
        </w:rPr>
        <w:t>）</w:t>
      </w:r>
    </w:p>
    <w:p>
      <w:pPr>
        <w:pageBreakBefore w:val="0"/>
        <w:widowControl w:val="0"/>
        <w:kinsoku/>
        <w:wordWrap/>
        <w:overflowPunct/>
        <w:topLinePunct w:val="0"/>
        <w:autoSpaceDE/>
        <w:autoSpaceDN/>
        <w:bidi w:val="0"/>
        <w:snapToGrid/>
        <w:spacing w:line="480" w:lineRule="exact"/>
        <w:ind w:firstLine="560" w:firstLineChars="200"/>
        <w:rPr>
          <w:rFonts w:hint="default" w:ascii="楷体" w:hAnsi="楷体" w:eastAsia="楷体"/>
          <w:sz w:val="28"/>
          <w:szCs w:val="28"/>
          <w:lang w:val="en-US" w:eastAsia="zh-CN"/>
        </w:rPr>
      </w:pPr>
      <w:r>
        <w:rPr>
          <w:rFonts w:hint="eastAsia" w:ascii="楷体" w:hAnsi="楷体" w:eastAsia="楷体"/>
          <w:sz w:val="28"/>
          <w:szCs w:val="28"/>
          <w:lang w:val="en-US" w:eastAsia="zh-CN"/>
        </w:rPr>
        <w:t>4.</w:t>
      </w:r>
      <w:r>
        <w:rPr>
          <w:rFonts w:hint="eastAsia" w:ascii="楷体" w:hAnsi="楷体" w:eastAsia="楷体"/>
          <w:sz w:val="28"/>
          <w:szCs w:val="28"/>
        </w:rPr>
        <w:t>《房屋他项权证》【青房他证青铜峡市字第20150600142号】（复印件）</w:t>
      </w:r>
    </w:p>
    <w:p>
      <w:pPr>
        <w:pageBreakBefore w:val="0"/>
        <w:widowControl w:val="0"/>
        <w:kinsoku/>
        <w:wordWrap/>
        <w:overflowPunct/>
        <w:topLinePunct w:val="0"/>
        <w:autoSpaceDE/>
        <w:autoSpaceDN/>
        <w:bidi w:val="0"/>
        <w:snapToGrid/>
        <w:spacing w:line="480" w:lineRule="exact"/>
        <w:ind w:firstLine="560" w:firstLineChars="200"/>
        <w:rPr>
          <w:rFonts w:hint="eastAsia" w:ascii="楷体" w:hAnsi="楷体" w:eastAsia="楷体"/>
          <w:sz w:val="28"/>
          <w:szCs w:val="28"/>
        </w:rPr>
      </w:pPr>
      <w:r>
        <w:rPr>
          <w:rFonts w:hint="eastAsia" w:ascii="楷体" w:hAnsi="楷体" w:eastAsia="楷体"/>
          <w:sz w:val="28"/>
          <w:szCs w:val="28"/>
          <w:lang w:val="en-US" w:eastAsia="zh-CN"/>
        </w:rPr>
        <w:t>5.</w:t>
      </w:r>
      <w:r>
        <w:rPr>
          <w:rFonts w:hint="eastAsia" w:ascii="楷体" w:hAnsi="楷体" w:eastAsia="楷体"/>
          <w:sz w:val="28"/>
          <w:szCs w:val="28"/>
        </w:rPr>
        <w:t>《</w:t>
      </w:r>
      <w:r>
        <w:rPr>
          <w:rFonts w:hint="eastAsia" w:ascii="楷体" w:hAnsi="楷体" w:eastAsia="楷体"/>
          <w:sz w:val="28"/>
          <w:szCs w:val="28"/>
          <w:lang w:eastAsia="zh-CN"/>
        </w:rPr>
        <w:t>青铜峡市不动产登记信息查询单</w:t>
      </w:r>
      <w:r>
        <w:rPr>
          <w:rFonts w:hint="eastAsia" w:ascii="楷体" w:hAnsi="楷体" w:eastAsia="楷体"/>
          <w:sz w:val="28"/>
          <w:szCs w:val="28"/>
        </w:rPr>
        <w:t>》（</w:t>
      </w:r>
      <w:r>
        <w:rPr>
          <w:rFonts w:hint="eastAsia" w:ascii="楷体" w:hAnsi="楷体" w:eastAsia="楷体"/>
          <w:sz w:val="28"/>
          <w:szCs w:val="28"/>
          <w:lang w:eastAsia="zh-CN"/>
        </w:rPr>
        <w:t>原件</w:t>
      </w:r>
      <w:r>
        <w:rPr>
          <w:rFonts w:hint="eastAsia" w:ascii="楷体" w:hAnsi="楷体" w:eastAsia="楷体"/>
          <w:sz w:val="28"/>
          <w:szCs w:val="28"/>
        </w:rPr>
        <w:t>）</w:t>
      </w:r>
    </w:p>
    <w:p>
      <w:pPr>
        <w:pageBreakBefore w:val="0"/>
        <w:widowControl w:val="0"/>
        <w:kinsoku/>
        <w:wordWrap/>
        <w:overflowPunct/>
        <w:topLinePunct w:val="0"/>
        <w:autoSpaceDE/>
        <w:autoSpaceDN/>
        <w:bidi w:val="0"/>
        <w:snapToGrid/>
        <w:spacing w:line="480" w:lineRule="exact"/>
        <w:ind w:firstLine="560" w:firstLineChars="200"/>
        <w:rPr>
          <w:rFonts w:hint="default" w:ascii="楷体" w:hAnsi="楷体" w:eastAsia="楷体"/>
          <w:sz w:val="28"/>
          <w:szCs w:val="28"/>
          <w:lang w:val="en-US" w:eastAsia="zh-CN"/>
        </w:rPr>
      </w:pPr>
      <w:r>
        <w:rPr>
          <w:rFonts w:hint="eastAsia" w:ascii="楷体" w:hAnsi="楷体" w:eastAsia="楷体"/>
          <w:sz w:val="28"/>
          <w:szCs w:val="28"/>
          <w:lang w:val="en-US" w:eastAsia="zh-CN"/>
        </w:rPr>
        <w:t>6.</w:t>
      </w:r>
      <w:r>
        <w:rPr>
          <w:rFonts w:hint="eastAsia" w:ascii="楷体" w:hAnsi="楷体" w:eastAsia="楷体"/>
          <w:sz w:val="28"/>
          <w:szCs w:val="28"/>
        </w:rPr>
        <w:t>《抵押权登记信息》（复印件）</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（四）估价机构掌握的有关资料和估价人员实地查勘、调查所获取的资料等</w:t>
      </w:r>
    </w:p>
    <w:p>
      <w:pPr>
        <w:pStyle w:val="3"/>
        <w:pageBreakBefore w:val="0"/>
        <w:widowControl w:val="0"/>
        <w:kinsoku/>
        <w:wordWrap/>
        <w:overflowPunct/>
        <w:topLinePunct w:val="0"/>
        <w:autoSpaceDE/>
        <w:autoSpaceDN/>
        <w:bidi w:val="0"/>
        <w:snapToGrid/>
        <w:spacing w:before="0" w:after="0" w:line="480" w:lineRule="exact"/>
        <w:rPr>
          <w:rFonts w:ascii="楷体" w:hAnsi="楷体" w:eastAsia="楷体"/>
          <w:sz w:val="28"/>
          <w:szCs w:val="28"/>
        </w:rPr>
      </w:pPr>
      <w:bookmarkStart w:id="47" w:name="_Toc25583"/>
      <w:bookmarkStart w:id="48" w:name="_Toc436035305"/>
      <w:r>
        <w:rPr>
          <w:rFonts w:hint="eastAsia" w:ascii="楷体" w:hAnsi="楷体" w:eastAsia="楷体"/>
          <w:sz w:val="28"/>
          <w:szCs w:val="28"/>
        </w:rPr>
        <w:t>九、估价方法</w:t>
      </w:r>
      <w:bookmarkEnd w:id="46"/>
      <w:bookmarkEnd w:id="47"/>
      <w:bookmarkEnd w:id="48"/>
    </w:p>
    <w:p>
      <w:pPr>
        <w:pageBreakBefore w:val="0"/>
        <w:widowControl w:val="0"/>
        <w:kinsoku/>
        <w:wordWrap/>
        <w:overflowPunct/>
        <w:topLinePunct w:val="0"/>
        <w:autoSpaceDE/>
        <w:autoSpaceDN/>
        <w:bidi w:val="0"/>
        <w:adjustRightInd/>
        <w:snapToGrid/>
        <w:spacing w:line="480" w:lineRule="exact"/>
        <w:ind w:firstLine="560" w:firstLineChars="200"/>
        <w:textAlignment w:val="auto"/>
        <w:rPr>
          <w:rFonts w:ascii="楷体" w:hAnsi="楷体" w:eastAsia="楷体"/>
          <w:sz w:val="28"/>
          <w:szCs w:val="28"/>
        </w:rPr>
      </w:pPr>
      <w:r>
        <w:rPr>
          <w:rFonts w:ascii="楷体" w:hAnsi="楷体" w:eastAsia="楷体"/>
          <w:sz w:val="28"/>
          <w:szCs w:val="28"/>
        </w:rPr>
        <w:t>根据《房地产估价规范》，常用的估价方法有</w:t>
      </w:r>
      <w:r>
        <w:rPr>
          <w:rFonts w:hint="eastAsia" w:ascii="楷体" w:hAnsi="楷体" w:eastAsia="楷体"/>
          <w:sz w:val="28"/>
          <w:szCs w:val="28"/>
        </w:rPr>
        <w:t>比较</w:t>
      </w:r>
      <w:r>
        <w:rPr>
          <w:rFonts w:ascii="楷体" w:hAnsi="楷体" w:eastAsia="楷体"/>
          <w:sz w:val="28"/>
          <w:szCs w:val="28"/>
        </w:rPr>
        <w:t>法、收益法、假设开发法、成本法等。</w:t>
      </w:r>
      <w:r>
        <w:rPr>
          <w:rFonts w:hint="eastAsia" w:ascii="楷体" w:hAnsi="楷体" w:eastAsia="楷体"/>
          <w:sz w:val="28"/>
          <w:szCs w:val="28"/>
        </w:rPr>
        <w:t>根据当地房地产市场情况并结合估价对象的具体特点及估价目的等，选用适当的评估方法。</w:t>
      </w:r>
      <w:r>
        <w:rPr>
          <w:rFonts w:ascii="楷体" w:hAnsi="楷体" w:eastAsia="楷体"/>
          <w:sz w:val="28"/>
          <w:szCs w:val="28"/>
        </w:rPr>
        <w:t>本次评估中，估价人员在认真分析所掌握的资料并进行了实地查勘后采用了比较法、收益法作为本次</w:t>
      </w:r>
      <w:r>
        <w:rPr>
          <w:rFonts w:hint="eastAsia" w:ascii="楷体" w:hAnsi="楷体" w:eastAsia="楷体"/>
          <w:sz w:val="28"/>
          <w:szCs w:val="28"/>
        </w:rPr>
        <w:t>评估</w:t>
      </w:r>
      <w:r>
        <w:rPr>
          <w:rFonts w:ascii="楷体" w:hAnsi="楷体" w:eastAsia="楷体"/>
          <w:sz w:val="28"/>
          <w:szCs w:val="28"/>
        </w:rPr>
        <w:t>的基本方法。</w:t>
      </w:r>
      <w:r>
        <w:rPr>
          <w:rFonts w:hint="eastAsia" w:ascii="楷体" w:hAnsi="楷体" w:eastAsia="楷体" w:cs="楷体"/>
          <w:sz w:val="28"/>
          <w:szCs w:val="28"/>
        </w:rPr>
        <w:t>通过求取比较法、收益法估价结果的加权平均值，确定估价对象的市场价</w:t>
      </w:r>
      <w:r>
        <w:rPr>
          <w:rFonts w:hint="eastAsia" w:ascii="楷体" w:hAnsi="楷体" w:eastAsia="楷体" w:cs="楷体"/>
          <w:sz w:val="28"/>
          <w:szCs w:val="28"/>
          <w:lang w:val="en-US" w:eastAsia="zh-CN"/>
        </w:rPr>
        <w:t>值。</w:t>
      </w:r>
    </w:p>
    <w:p>
      <w:pPr>
        <w:pageBreakBefore w:val="0"/>
        <w:widowControl w:val="0"/>
        <w:kinsoku/>
        <w:wordWrap/>
        <w:overflowPunct/>
        <w:topLinePunct w:val="0"/>
        <w:autoSpaceDE/>
        <w:autoSpaceDN/>
        <w:bidi w:val="0"/>
        <w:snapToGrid/>
        <w:spacing w:line="480" w:lineRule="exact"/>
        <w:ind w:firstLine="560" w:firstLineChars="200"/>
        <w:rPr>
          <w:rFonts w:ascii="宋体" w:hAnsi="宋体"/>
          <w:color w:val="FF0000"/>
        </w:rPr>
      </w:pPr>
      <w:bookmarkStart w:id="49" w:name="_Toc362509756"/>
      <w:r>
        <w:rPr>
          <w:rFonts w:hint="eastAsia" w:ascii="楷体" w:hAnsi="楷体" w:eastAsia="楷体"/>
          <w:sz w:val="28"/>
          <w:szCs w:val="28"/>
        </w:rPr>
        <w:t>（一）本次估价所选取方法的理由</w:t>
      </w:r>
      <w:bookmarkEnd w:id="49"/>
    </w:p>
    <w:p>
      <w:pPr>
        <w:pStyle w:val="116"/>
        <w:pageBreakBefore w:val="0"/>
        <w:widowControl w:val="0"/>
        <w:numPr>
          <w:ilvl w:val="0"/>
          <w:numId w:val="9"/>
        </w:numPr>
        <w:kinsoku/>
        <w:wordWrap/>
        <w:overflowPunct/>
        <w:topLinePunct w:val="0"/>
        <w:autoSpaceDE/>
        <w:autoSpaceDN/>
        <w:bidi w:val="0"/>
        <w:snapToGrid/>
        <w:spacing w:line="480" w:lineRule="exact"/>
        <w:ind w:firstLineChars="0"/>
        <w:rPr>
          <w:rFonts w:ascii="楷体" w:hAnsi="楷体" w:eastAsia="楷体"/>
          <w:sz w:val="28"/>
          <w:szCs w:val="28"/>
        </w:rPr>
      </w:pPr>
      <w:r>
        <w:rPr>
          <w:rFonts w:hint="eastAsia" w:ascii="楷体" w:hAnsi="楷体" w:eastAsia="楷体"/>
          <w:sz w:val="28"/>
          <w:szCs w:val="28"/>
        </w:rPr>
        <w:t>选取比较法的理由</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bookmarkStart w:id="50" w:name="_Toc362509765"/>
      <w:r>
        <w:rPr>
          <w:rFonts w:ascii="楷体" w:hAnsi="楷体" w:eastAsia="楷体"/>
          <w:sz w:val="28"/>
          <w:szCs w:val="28"/>
        </w:rPr>
        <w:t>估价对象的同类房地产有较多交易，所以</w:t>
      </w:r>
      <w:r>
        <w:rPr>
          <w:rFonts w:hint="eastAsia" w:ascii="楷体" w:hAnsi="楷体" w:eastAsia="楷体"/>
          <w:sz w:val="28"/>
          <w:szCs w:val="28"/>
        </w:rPr>
        <w:t>适合</w:t>
      </w:r>
      <w:r>
        <w:rPr>
          <w:rFonts w:ascii="楷体" w:hAnsi="楷体" w:eastAsia="楷体"/>
          <w:sz w:val="28"/>
          <w:szCs w:val="28"/>
        </w:rPr>
        <w:t>采用比较法。</w:t>
      </w:r>
      <w:bookmarkEnd w:id="50"/>
    </w:p>
    <w:p>
      <w:pPr>
        <w:pStyle w:val="116"/>
        <w:pageBreakBefore w:val="0"/>
        <w:widowControl w:val="0"/>
        <w:numPr>
          <w:ilvl w:val="0"/>
          <w:numId w:val="9"/>
        </w:numPr>
        <w:kinsoku/>
        <w:wordWrap/>
        <w:overflowPunct/>
        <w:topLinePunct w:val="0"/>
        <w:autoSpaceDE/>
        <w:autoSpaceDN/>
        <w:bidi w:val="0"/>
        <w:snapToGrid/>
        <w:spacing w:line="480" w:lineRule="exact"/>
        <w:ind w:firstLineChars="0"/>
        <w:rPr>
          <w:rFonts w:ascii="楷体" w:hAnsi="楷体" w:eastAsia="楷体"/>
          <w:sz w:val="28"/>
          <w:szCs w:val="28"/>
        </w:rPr>
      </w:pPr>
      <w:r>
        <w:rPr>
          <w:rFonts w:hint="eastAsia" w:ascii="楷体" w:hAnsi="楷体" w:eastAsia="楷体"/>
          <w:sz w:val="28"/>
          <w:szCs w:val="28"/>
        </w:rPr>
        <w:t>选取收益法的理由</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bookmarkStart w:id="51" w:name="_Toc362509767"/>
      <w:r>
        <w:rPr>
          <w:rFonts w:ascii="楷体" w:hAnsi="楷体" w:eastAsia="楷体"/>
          <w:sz w:val="28"/>
          <w:szCs w:val="28"/>
        </w:rPr>
        <w:t>估价对象及其同类房地产通常有租金等经济收入，所以适合采用收益法。</w:t>
      </w:r>
      <w:bookmarkEnd w:id="51"/>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ascii="楷体" w:hAnsi="楷体" w:eastAsia="楷体"/>
          <w:sz w:val="28"/>
          <w:szCs w:val="28"/>
        </w:rPr>
        <w:t>（二）</w:t>
      </w:r>
      <w:r>
        <w:rPr>
          <w:rFonts w:hint="eastAsia" w:ascii="楷体" w:hAnsi="楷体" w:eastAsia="楷体"/>
          <w:sz w:val="28"/>
          <w:szCs w:val="28"/>
        </w:rPr>
        <w:t>本次估价未选取方法的理由</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1.估价对象周边类似房地产交易和收益的可比实例较多，比较法和收益法比成本法能够更好的体现估价对象住宅用途的房地产价值，所以不适合采用成本法。</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2.由于估价对象属于可正常继续使用的房地产，也无重建或改扩建的规划，故未选取假设开发法。</w:t>
      </w:r>
    </w:p>
    <w:p>
      <w:pPr>
        <w:pageBreakBefore w:val="0"/>
        <w:widowControl w:val="0"/>
        <w:kinsoku/>
        <w:wordWrap/>
        <w:overflowPunct/>
        <w:topLinePunct w:val="0"/>
        <w:autoSpaceDE/>
        <w:autoSpaceDN/>
        <w:bidi w:val="0"/>
        <w:snapToGrid/>
        <w:spacing w:line="480" w:lineRule="exact"/>
        <w:ind w:firstLine="560" w:firstLineChars="200"/>
        <w:rPr>
          <w:rFonts w:ascii="宋体" w:hAnsi="宋体"/>
          <w:color w:val="FF0000"/>
        </w:rPr>
      </w:pPr>
      <w:r>
        <w:rPr>
          <w:rFonts w:ascii="楷体" w:hAnsi="楷体" w:eastAsia="楷体"/>
          <w:sz w:val="28"/>
          <w:szCs w:val="28"/>
        </w:rPr>
        <w:t>（三）估价方法定义</w:t>
      </w:r>
    </w:p>
    <w:p>
      <w:pPr>
        <w:pStyle w:val="116"/>
        <w:pageBreakBefore w:val="0"/>
        <w:widowControl w:val="0"/>
        <w:numPr>
          <w:ilvl w:val="0"/>
          <w:numId w:val="10"/>
        </w:numPr>
        <w:kinsoku/>
        <w:wordWrap/>
        <w:overflowPunct/>
        <w:topLinePunct w:val="0"/>
        <w:autoSpaceDE/>
        <w:autoSpaceDN/>
        <w:bidi w:val="0"/>
        <w:snapToGrid/>
        <w:spacing w:line="480" w:lineRule="exact"/>
        <w:ind w:firstLineChars="0"/>
        <w:rPr>
          <w:rFonts w:ascii="楷体" w:hAnsi="楷体" w:eastAsia="楷体"/>
          <w:sz w:val="28"/>
          <w:szCs w:val="28"/>
        </w:rPr>
      </w:pPr>
      <w:r>
        <w:rPr>
          <w:rFonts w:ascii="楷体" w:hAnsi="楷体" w:eastAsia="楷体"/>
          <w:sz w:val="28"/>
          <w:szCs w:val="28"/>
        </w:rPr>
        <w:t>比较法</w:t>
      </w:r>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比较法</w:t>
      </w:r>
      <w:r>
        <w:rPr>
          <w:rFonts w:ascii="楷体" w:hAnsi="楷体" w:eastAsia="楷体"/>
          <w:sz w:val="28"/>
          <w:szCs w:val="28"/>
        </w:rPr>
        <w:t>是选取一定数量的可比实例，将它们与估价对象进行比较，根据其间的差异对可比实例成交价格进行处理后得到估价对象价值或价格的方法。</w:t>
      </w:r>
    </w:p>
    <w:p>
      <w:pPr>
        <w:pStyle w:val="116"/>
        <w:pageBreakBefore w:val="0"/>
        <w:widowControl w:val="0"/>
        <w:numPr>
          <w:ilvl w:val="0"/>
          <w:numId w:val="10"/>
        </w:numPr>
        <w:kinsoku/>
        <w:wordWrap/>
        <w:overflowPunct/>
        <w:topLinePunct w:val="0"/>
        <w:autoSpaceDE/>
        <w:autoSpaceDN/>
        <w:bidi w:val="0"/>
        <w:snapToGrid/>
        <w:spacing w:line="480" w:lineRule="exact"/>
        <w:ind w:firstLineChars="0"/>
        <w:rPr>
          <w:rFonts w:ascii="楷体" w:hAnsi="楷体" w:eastAsia="楷体"/>
          <w:sz w:val="28"/>
          <w:szCs w:val="28"/>
        </w:rPr>
      </w:pPr>
      <w:r>
        <w:rPr>
          <w:rFonts w:ascii="楷体" w:hAnsi="楷体" w:eastAsia="楷体"/>
          <w:sz w:val="28"/>
          <w:szCs w:val="28"/>
        </w:rPr>
        <w:t>收益法</w:t>
      </w:r>
    </w:p>
    <w:p>
      <w:pPr>
        <w:pageBreakBefore w:val="0"/>
        <w:widowControl w:val="0"/>
        <w:kinsoku/>
        <w:wordWrap/>
        <w:overflowPunct/>
        <w:topLinePunct w:val="0"/>
        <w:autoSpaceDE/>
        <w:autoSpaceDN/>
        <w:bidi w:val="0"/>
        <w:snapToGrid/>
        <w:spacing w:line="480" w:lineRule="exact"/>
        <w:ind w:firstLine="560" w:firstLineChars="200"/>
      </w:pPr>
      <w:r>
        <w:rPr>
          <w:rFonts w:hint="eastAsia" w:ascii="楷体" w:hAnsi="楷体" w:eastAsia="楷体"/>
          <w:sz w:val="28"/>
          <w:szCs w:val="28"/>
        </w:rPr>
        <w:t>收益法</w:t>
      </w:r>
      <w:r>
        <w:rPr>
          <w:rFonts w:ascii="楷体" w:hAnsi="楷体" w:eastAsia="楷体"/>
          <w:sz w:val="28"/>
          <w:szCs w:val="28"/>
        </w:rPr>
        <w:t>是预测估价对象的未来收益，利用报酬率或资本化率、收益乘数将未来收益转换为价值得到估价对象价值或价格的方法。</w:t>
      </w:r>
      <w:bookmarkStart w:id="52" w:name="_Toc318818637"/>
      <w:bookmarkStart w:id="53" w:name="_Toc436035306"/>
    </w:p>
    <w:p>
      <w:pPr>
        <w:pStyle w:val="3"/>
        <w:pageBreakBefore w:val="0"/>
        <w:widowControl w:val="0"/>
        <w:kinsoku/>
        <w:wordWrap/>
        <w:overflowPunct/>
        <w:topLinePunct w:val="0"/>
        <w:autoSpaceDE/>
        <w:autoSpaceDN/>
        <w:bidi w:val="0"/>
        <w:snapToGrid/>
        <w:spacing w:before="0" w:after="0" w:line="480" w:lineRule="exact"/>
        <w:rPr>
          <w:rFonts w:ascii="楷体" w:hAnsi="楷体" w:eastAsia="楷体"/>
          <w:sz w:val="28"/>
          <w:szCs w:val="28"/>
        </w:rPr>
      </w:pPr>
      <w:bookmarkStart w:id="54" w:name="_Toc24049"/>
      <w:r>
        <w:rPr>
          <w:rFonts w:hint="eastAsia" w:ascii="楷体" w:hAnsi="楷体" w:eastAsia="楷体"/>
          <w:sz w:val="28"/>
          <w:szCs w:val="28"/>
        </w:rPr>
        <w:t>十、估价结果</w:t>
      </w:r>
      <w:bookmarkEnd w:id="52"/>
      <w:bookmarkEnd w:id="53"/>
      <w:bookmarkEnd w:id="54"/>
    </w:p>
    <w:p>
      <w:pPr>
        <w:pageBreakBefore w:val="0"/>
        <w:widowControl w:val="0"/>
        <w:kinsoku/>
        <w:wordWrap/>
        <w:overflowPunct/>
        <w:topLinePunct w:val="0"/>
        <w:autoSpaceDE/>
        <w:autoSpaceDN/>
        <w:bidi w:val="0"/>
        <w:snapToGrid/>
        <w:spacing w:line="480" w:lineRule="exact"/>
        <w:ind w:firstLine="560" w:firstLineChars="200"/>
        <w:rPr>
          <w:rFonts w:hint="eastAsia" w:ascii="楷体" w:hAnsi="楷体" w:eastAsia="楷体"/>
          <w:sz w:val="28"/>
          <w:szCs w:val="28"/>
        </w:rPr>
      </w:pPr>
      <w:r>
        <w:rPr>
          <w:rFonts w:hint="eastAsia" w:ascii="楷体" w:hAnsi="楷体" w:eastAsia="楷体"/>
          <w:sz w:val="28"/>
          <w:szCs w:val="28"/>
        </w:rPr>
        <w:t>我们实施了评估所必须的各项程序，按照国家关于房地产评估的有关规定，运用</w:t>
      </w:r>
      <w:r>
        <w:rPr>
          <w:rFonts w:ascii="楷体" w:hAnsi="楷体" w:eastAsia="楷体"/>
          <w:sz w:val="28"/>
          <w:szCs w:val="28"/>
        </w:rPr>
        <w:t>比较法、收益法两种方法</w:t>
      </w:r>
      <w:r>
        <w:rPr>
          <w:rFonts w:hint="eastAsia" w:ascii="楷体" w:hAnsi="楷体" w:eastAsia="楷体"/>
          <w:sz w:val="28"/>
          <w:szCs w:val="28"/>
        </w:rPr>
        <w:t>评估得到估价对象于价值时点</w:t>
      </w:r>
      <w:r>
        <w:rPr>
          <w:rFonts w:hint="eastAsia" w:ascii="楷体" w:hAnsi="楷体" w:eastAsia="楷体"/>
          <w:sz w:val="28"/>
          <w:szCs w:val="28"/>
          <w:lang w:eastAsia="zh-CN"/>
        </w:rPr>
        <w:t>2022年5月24日</w:t>
      </w:r>
      <w:r>
        <w:rPr>
          <w:rFonts w:hint="eastAsia" w:ascii="楷体" w:hAnsi="楷体" w:eastAsia="楷体"/>
          <w:sz w:val="28"/>
          <w:szCs w:val="28"/>
        </w:rPr>
        <w:t>，在价值定义和估价假设限制条件下的估价结果如下：</w:t>
      </w:r>
    </w:p>
    <w:p>
      <w:pPr>
        <w:pageBreakBefore w:val="0"/>
        <w:widowControl w:val="0"/>
        <w:kinsoku/>
        <w:wordWrap/>
        <w:overflowPunct/>
        <w:topLinePunct w:val="0"/>
        <w:autoSpaceDE/>
        <w:autoSpaceDN/>
        <w:bidi w:val="0"/>
        <w:snapToGrid/>
        <w:spacing w:line="480" w:lineRule="exact"/>
        <w:ind w:firstLine="560" w:firstLineChars="200"/>
        <w:rPr>
          <w:rFonts w:hint="eastAsia" w:ascii="楷体" w:hAnsi="楷体" w:eastAsia="楷体"/>
          <w:sz w:val="28"/>
          <w:szCs w:val="28"/>
        </w:rPr>
      </w:pPr>
    </w:p>
    <w:p>
      <w:pPr>
        <w:pageBreakBefore w:val="0"/>
        <w:widowControl w:val="0"/>
        <w:kinsoku/>
        <w:wordWrap/>
        <w:overflowPunct/>
        <w:topLinePunct w:val="0"/>
        <w:autoSpaceDE/>
        <w:autoSpaceDN/>
        <w:bidi w:val="0"/>
        <w:snapToGrid/>
        <w:spacing w:line="480" w:lineRule="exact"/>
        <w:ind w:firstLine="560" w:firstLineChars="200"/>
        <w:rPr>
          <w:rFonts w:hint="eastAsia" w:ascii="楷体" w:hAnsi="楷体" w:eastAsia="楷体"/>
          <w:sz w:val="28"/>
          <w:szCs w:val="28"/>
        </w:rPr>
      </w:pPr>
    </w:p>
    <w:p>
      <w:pPr>
        <w:pageBreakBefore w:val="0"/>
        <w:widowControl w:val="0"/>
        <w:kinsoku/>
        <w:wordWrap/>
        <w:overflowPunct/>
        <w:topLinePunct w:val="0"/>
        <w:autoSpaceDE/>
        <w:autoSpaceDN/>
        <w:bidi w:val="0"/>
        <w:snapToGrid/>
        <w:spacing w:line="480" w:lineRule="exact"/>
        <w:ind w:firstLine="562" w:firstLineChars="200"/>
        <w:rPr>
          <w:rFonts w:ascii="楷体" w:hAnsi="楷体" w:eastAsia="楷体"/>
          <w:b/>
          <w:sz w:val="28"/>
          <w:szCs w:val="28"/>
        </w:rPr>
      </w:pPr>
      <w:r>
        <w:rPr>
          <w:rFonts w:hint="eastAsia" w:ascii="楷体" w:hAnsi="楷体" w:eastAsia="楷体"/>
          <w:b/>
          <w:sz w:val="28"/>
          <w:szCs w:val="28"/>
        </w:rPr>
        <w:t>建筑面积：</w:t>
      </w:r>
      <w:r>
        <w:rPr>
          <w:rFonts w:hint="eastAsia" w:ascii="楷体" w:hAnsi="楷体" w:eastAsia="楷体"/>
          <w:b/>
          <w:sz w:val="28"/>
          <w:szCs w:val="28"/>
          <w:lang w:eastAsia="zh-CN"/>
        </w:rPr>
        <w:t>195.96</w:t>
      </w:r>
      <w:r>
        <w:rPr>
          <w:rFonts w:hint="eastAsia" w:ascii="楷体" w:hAnsi="楷体" w:eastAsia="楷体"/>
          <w:b/>
          <w:sz w:val="28"/>
          <w:szCs w:val="28"/>
        </w:rPr>
        <w:t>平方米</w:t>
      </w:r>
    </w:p>
    <w:p>
      <w:pPr>
        <w:pageBreakBefore w:val="0"/>
        <w:widowControl w:val="0"/>
        <w:kinsoku/>
        <w:wordWrap/>
        <w:overflowPunct/>
        <w:topLinePunct w:val="0"/>
        <w:autoSpaceDE/>
        <w:autoSpaceDN/>
        <w:bidi w:val="0"/>
        <w:snapToGrid/>
        <w:spacing w:line="480" w:lineRule="exact"/>
        <w:ind w:firstLine="562" w:firstLineChars="200"/>
        <w:rPr>
          <w:rFonts w:ascii="楷体" w:hAnsi="楷体" w:eastAsia="楷体"/>
          <w:b/>
          <w:sz w:val="28"/>
          <w:szCs w:val="28"/>
        </w:rPr>
      </w:pPr>
      <w:r>
        <w:rPr>
          <w:rFonts w:hint="eastAsia" w:ascii="楷体" w:hAnsi="楷体" w:eastAsia="楷体"/>
          <w:b/>
          <w:sz w:val="28"/>
          <w:szCs w:val="28"/>
        </w:rPr>
        <w:t>单位建筑面积价值：</w:t>
      </w:r>
      <w:r>
        <w:rPr>
          <w:rFonts w:hint="eastAsia" w:ascii="楷体" w:hAnsi="楷体" w:eastAsia="楷体"/>
          <w:b/>
          <w:sz w:val="28"/>
          <w:szCs w:val="28"/>
          <w:lang w:eastAsia="zh-CN"/>
        </w:rPr>
        <w:t>4887</w:t>
      </w:r>
      <w:r>
        <w:rPr>
          <w:rFonts w:hint="eastAsia" w:ascii="楷体" w:hAnsi="楷体" w:eastAsia="楷体"/>
          <w:b/>
          <w:sz w:val="28"/>
          <w:szCs w:val="28"/>
        </w:rPr>
        <w:t>元/平方米</w:t>
      </w:r>
    </w:p>
    <w:p>
      <w:pPr>
        <w:pageBreakBefore w:val="0"/>
        <w:widowControl w:val="0"/>
        <w:kinsoku/>
        <w:wordWrap/>
        <w:overflowPunct/>
        <w:topLinePunct w:val="0"/>
        <w:autoSpaceDE/>
        <w:autoSpaceDN/>
        <w:bidi w:val="0"/>
        <w:snapToGrid/>
        <w:spacing w:line="480" w:lineRule="exact"/>
        <w:ind w:firstLine="562" w:firstLineChars="200"/>
        <w:rPr>
          <w:rFonts w:ascii="楷体" w:hAnsi="楷体" w:eastAsia="楷体"/>
          <w:b/>
          <w:sz w:val="28"/>
          <w:szCs w:val="28"/>
        </w:rPr>
      </w:pPr>
      <w:r>
        <w:rPr>
          <w:rFonts w:hint="eastAsia" w:ascii="楷体" w:hAnsi="楷体" w:eastAsia="楷体"/>
          <w:b/>
          <w:sz w:val="28"/>
          <w:szCs w:val="28"/>
        </w:rPr>
        <w:t>房地产总价：</w:t>
      </w:r>
      <w:r>
        <w:rPr>
          <w:rFonts w:hint="eastAsia" w:ascii="楷体" w:hAnsi="楷体" w:eastAsia="楷体"/>
          <w:b/>
          <w:sz w:val="28"/>
          <w:szCs w:val="28"/>
          <w:lang w:eastAsia="zh-CN"/>
        </w:rPr>
        <w:t>957657</w:t>
      </w:r>
      <w:r>
        <w:rPr>
          <w:rFonts w:hint="eastAsia" w:ascii="楷体" w:hAnsi="楷体" w:eastAsia="楷体"/>
          <w:b/>
          <w:sz w:val="28"/>
          <w:szCs w:val="28"/>
        </w:rPr>
        <w:t>元</w:t>
      </w:r>
      <w:r>
        <w:rPr>
          <w:rFonts w:hint="eastAsia" w:ascii="楷体" w:hAnsi="楷体" w:eastAsia="楷体"/>
          <w:color w:val="DAEEF3"/>
        </w:rPr>
        <w:t>（公章盖章处）</w:t>
      </w:r>
    </w:p>
    <w:p>
      <w:pPr>
        <w:pageBreakBefore w:val="0"/>
        <w:widowControl w:val="0"/>
        <w:kinsoku/>
        <w:wordWrap/>
        <w:overflowPunct/>
        <w:topLinePunct w:val="0"/>
        <w:autoSpaceDE/>
        <w:autoSpaceDN/>
        <w:bidi w:val="0"/>
        <w:snapToGrid/>
        <w:spacing w:line="480" w:lineRule="exact"/>
        <w:ind w:firstLine="562"/>
        <w:rPr>
          <w:rFonts w:hint="eastAsia" w:ascii="楷体" w:hAnsi="楷体" w:eastAsia="楷体"/>
          <w:b/>
          <w:sz w:val="28"/>
          <w:szCs w:val="28"/>
          <w:lang w:eastAsia="zh-CN"/>
        </w:rPr>
      </w:pPr>
      <w:r>
        <w:rPr>
          <w:rFonts w:hint="eastAsia" w:ascii="楷体" w:hAnsi="楷体" w:eastAsia="楷体"/>
          <w:b/>
          <w:sz w:val="28"/>
          <w:szCs w:val="28"/>
        </w:rPr>
        <w:t>大写金额：</w:t>
      </w:r>
      <w:r>
        <w:rPr>
          <w:rFonts w:hint="eastAsia" w:ascii="楷体" w:hAnsi="楷体" w:eastAsia="楷体"/>
          <w:b/>
          <w:sz w:val="28"/>
          <w:szCs w:val="28"/>
          <w:lang w:eastAsia="zh-CN"/>
        </w:rPr>
        <w:t>玖拾伍万柒仟陆佰伍拾柒元整</w:t>
      </w:r>
    </w:p>
    <w:p>
      <w:pPr>
        <w:pageBreakBefore w:val="0"/>
        <w:widowControl w:val="0"/>
        <w:kinsoku/>
        <w:wordWrap/>
        <w:overflowPunct/>
        <w:topLinePunct w:val="0"/>
        <w:autoSpaceDE/>
        <w:autoSpaceDN/>
        <w:bidi w:val="0"/>
        <w:snapToGrid/>
        <w:spacing w:line="480" w:lineRule="exact"/>
        <w:ind w:firstLine="562"/>
        <w:rPr>
          <w:rFonts w:ascii="楷体" w:hAnsi="楷体" w:eastAsia="楷体"/>
          <w:b/>
          <w:sz w:val="28"/>
          <w:szCs w:val="28"/>
        </w:rPr>
      </w:pPr>
      <w:r>
        <w:rPr>
          <w:rFonts w:hint="eastAsia" w:ascii="楷体" w:hAnsi="楷体" w:eastAsia="楷体"/>
          <w:b/>
          <w:sz w:val="28"/>
          <w:szCs w:val="28"/>
        </w:rPr>
        <w:t>（货币种类：人民币）</w:t>
      </w:r>
      <w:bookmarkStart w:id="55" w:name="_Toc318818638"/>
      <w:bookmarkStart w:id="56" w:name="_Toc436035307"/>
      <w:bookmarkStart w:id="57" w:name="_Toc21802"/>
    </w:p>
    <w:p>
      <w:pPr>
        <w:pageBreakBefore w:val="0"/>
        <w:widowControl w:val="0"/>
        <w:kinsoku/>
        <w:wordWrap/>
        <w:overflowPunct/>
        <w:topLinePunct w:val="0"/>
        <w:autoSpaceDE/>
        <w:autoSpaceDN/>
        <w:bidi w:val="0"/>
        <w:snapToGrid/>
        <w:spacing w:line="480" w:lineRule="exact"/>
        <w:ind w:firstLine="562"/>
        <w:rPr>
          <w:rFonts w:ascii="楷体" w:hAnsi="楷体" w:eastAsia="楷体"/>
          <w:sz w:val="24"/>
          <w:szCs w:val="24"/>
        </w:rPr>
      </w:pPr>
      <w:r>
        <w:rPr>
          <w:rFonts w:ascii="楷体" w:hAnsi="楷体" w:eastAsia="楷体"/>
          <w:sz w:val="24"/>
          <w:szCs w:val="24"/>
        </w:rPr>
        <w:t>提示说明:</w:t>
      </w:r>
    </w:p>
    <w:p>
      <w:pPr>
        <w:pageBreakBefore w:val="0"/>
        <w:widowControl w:val="0"/>
        <w:kinsoku/>
        <w:wordWrap/>
        <w:overflowPunct/>
        <w:topLinePunct w:val="0"/>
        <w:autoSpaceDE/>
        <w:autoSpaceDN/>
        <w:bidi w:val="0"/>
        <w:snapToGrid/>
        <w:spacing w:line="480" w:lineRule="exact"/>
        <w:ind w:firstLine="480" w:firstLineChars="200"/>
        <w:rPr>
          <w:rFonts w:ascii="楷体" w:hAnsi="楷体" w:eastAsia="楷体"/>
          <w:sz w:val="24"/>
          <w:szCs w:val="24"/>
        </w:rPr>
      </w:pPr>
      <w:r>
        <w:rPr>
          <w:rFonts w:hint="eastAsia" w:ascii="楷体" w:hAnsi="楷体" w:eastAsia="楷体"/>
          <w:sz w:val="24"/>
          <w:szCs w:val="24"/>
        </w:rPr>
        <w:t>上述估价结果中不包含估价对象使用时的水电暖气费、物业管理费、司法诉讼费用、拍卖佣金、</w:t>
      </w:r>
      <w:r>
        <w:rPr>
          <w:rFonts w:hint="eastAsia" w:ascii="楷体" w:hAnsi="楷体" w:eastAsia="楷体"/>
          <w:color w:val="auto"/>
          <w:sz w:val="24"/>
          <w:szCs w:val="24"/>
        </w:rPr>
        <w:t>买方应缴交易税费</w:t>
      </w:r>
      <w:r>
        <w:rPr>
          <w:rFonts w:hint="eastAsia" w:ascii="楷体" w:hAnsi="楷体" w:eastAsia="楷体"/>
          <w:sz w:val="24"/>
          <w:szCs w:val="24"/>
        </w:rPr>
        <w:t>及其他应付费用等。交易税费由转让人和买受人各自负担。</w:t>
      </w:r>
    </w:p>
    <w:p>
      <w:pPr>
        <w:pStyle w:val="3"/>
        <w:pageBreakBefore w:val="0"/>
        <w:widowControl w:val="0"/>
        <w:kinsoku/>
        <w:wordWrap/>
        <w:overflowPunct/>
        <w:topLinePunct w:val="0"/>
        <w:autoSpaceDE/>
        <w:autoSpaceDN/>
        <w:bidi w:val="0"/>
        <w:snapToGrid/>
        <w:spacing w:before="0" w:after="0" w:line="480" w:lineRule="exact"/>
        <w:ind w:firstLine="562" w:firstLineChars="200"/>
        <w:rPr>
          <w:rFonts w:ascii="楷体" w:hAnsi="楷体" w:eastAsia="楷体"/>
          <w:sz w:val="28"/>
          <w:szCs w:val="28"/>
        </w:rPr>
      </w:pPr>
      <w:r>
        <w:rPr>
          <w:rFonts w:hint="eastAsia" w:ascii="楷体" w:hAnsi="楷体" w:eastAsia="楷体"/>
          <w:sz w:val="28"/>
          <w:szCs w:val="28"/>
        </w:rPr>
        <w:t>十一、</w:t>
      </w:r>
      <w:bookmarkEnd w:id="55"/>
      <w:r>
        <w:rPr>
          <w:rFonts w:hint="eastAsia" w:ascii="楷体" w:hAnsi="楷体" w:eastAsia="楷体"/>
          <w:sz w:val="28"/>
          <w:szCs w:val="28"/>
        </w:rPr>
        <w:t>注册房地产估价师</w:t>
      </w:r>
      <w:bookmarkEnd w:id="56"/>
      <w:bookmarkEnd w:id="57"/>
    </w:p>
    <w:p>
      <w:pPr>
        <w:pageBreakBefore w:val="0"/>
        <w:widowControl w:val="0"/>
        <w:kinsoku/>
        <w:wordWrap/>
        <w:overflowPunct/>
        <w:topLinePunct w:val="0"/>
        <w:autoSpaceDE/>
        <w:autoSpaceDN/>
        <w:bidi w:val="0"/>
        <w:snapToGrid/>
        <w:spacing w:line="480" w:lineRule="exact"/>
        <w:ind w:firstLine="560" w:firstLineChars="200"/>
        <w:rPr>
          <w:rFonts w:ascii="楷体" w:hAnsi="楷体" w:eastAsia="楷体"/>
          <w:sz w:val="28"/>
          <w:szCs w:val="28"/>
        </w:rPr>
      </w:pPr>
      <w:r>
        <w:rPr>
          <w:rFonts w:hint="eastAsia" w:ascii="楷体" w:hAnsi="楷体" w:eastAsia="楷体"/>
          <w:sz w:val="28"/>
          <w:szCs w:val="28"/>
        </w:rPr>
        <w:t>参加估价的注册房地产估价师：</w:t>
      </w:r>
      <w:bookmarkStart w:id="58" w:name="_Toc13618"/>
      <w:bookmarkStart w:id="59" w:name="_Toc436035308"/>
      <w:bookmarkStart w:id="60" w:name="_Toc318818639"/>
    </w:p>
    <w:tbl>
      <w:tblPr>
        <w:tblStyle w:val="31"/>
        <w:tblW w:w="0" w:type="auto"/>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65"/>
        <w:gridCol w:w="2341"/>
        <w:gridCol w:w="2464"/>
        <w:gridCol w:w="201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1665"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姓名</w:t>
            </w:r>
          </w:p>
        </w:tc>
        <w:tc>
          <w:tcPr>
            <w:tcW w:w="2341"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注册号</w:t>
            </w:r>
          </w:p>
        </w:tc>
        <w:tc>
          <w:tcPr>
            <w:tcW w:w="2464"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签  名</w:t>
            </w:r>
          </w:p>
        </w:tc>
        <w:tc>
          <w:tcPr>
            <w:tcW w:w="2013"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签名日期</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366" w:hRule="atLeast"/>
          <w:jc w:val="center"/>
        </w:trPr>
        <w:tc>
          <w:tcPr>
            <w:tcW w:w="1665" w:type="dxa"/>
            <w:noWrap/>
            <w:vAlign w:val="center"/>
          </w:tcPr>
          <w:p>
            <w:pPr>
              <w:widowControl/>
              <w:jc w:val="center"/>
              <w:rPr>
                <w:rFonts w:ascii="楷体" w:hAnsi="楷体" w:eastAsia="楷体" w:cs="宋体"/>
                <w:kern w:val="0"/>
                <w:sz w:val="28"/>
                <w:szCs w:val="28"/>
              </w:rPr>
            </w:pPr>
            <w:r>
              <w:rPr>
                <w:rFonts w:ascii="楷体" w:hAnsi="楷体" w:eastAsia="楷体" w:cs="宋体"/>
                <w:kern w:val="0"/>
                <w:sz w:val="28"/>
                <w:szCs w:val="28"/>
              </w:rPr>
              <w:t>马思贵</w:t>
            </w:r>
          </w:p>
        </w:tc>
        <w:tc>
          <w:tcPr>
            <w:tcW w:w="2341" w:type="dxa"/>
            <w:noWrap/>
            <w:vAlign w:val="center"/>
          </w:tcPr>
          <w:p>
            <w:pPr>
              <w:widowControl/>
              <w:jc w:val="center"/>
              <w:rPr>
                <w:rFonts w:ascii="楷体" w:hAnsi="楷体" w:eastAsia="楷体" w:cs="宋体"/>
                <w:kern w:val="0"/>
                <w:sz w:val="28"/>
                <w:szCs w:val="28"/>
              </w:rPr>
            </w:pPr>
            <w:r>
              <w:rPr>
                <w:rFonts w:hint="eastAsia" w:ascii="楷体" w:hAnsi="楷体" w:eastAsia="楷体"/>
                <w:sz w:val="28"/>
                <w:szCs w:val="28"/>
              </w:rPr>
              <w:t>6420110012</w:t>
            </w:r>
          </w:p>
        </w:tc>
        <w:tc>
          <w:tcPr>
            <w:tcW w:w="2464"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　</w:t>
            </w:r>
          </w:p>
        </w:tc>
        <w:tc>
          <w:tcPr>
            <w:tcW w:w="2013"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366" w:hRule="atLeast"/>
          <w:jc w:val="center"/>
        </w:trPr>
        <w:tc>
          <w:tcPr>
            <w:tcW w:w="1665"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张  斌</w:t>
            </w:r>
          </w:p>
        </w:tc>
        <w:tc>
          <w:tcPr>
            <w:tcW w:w="2341"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6420210013</w:t>
            </w:r>
          </w:p>
        </w:tc>
        <w:tc>
          <w:tcPr>
            <w:tcW w:w="2464"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　</w:t>
            </w:r>
          </w:p>
        </w:tc>
        <w:tc>
          <w:tcPr>
            <w:tcW w:w="2013" w:type="dxa"/>
            <w:noWrap/>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　</w:t>
            </w:r>
          </w:p>
        </w:tc>
      </w:tr>
    </w:tbl>
    <w:p>
      <w:pPr>
        <w:pStyle w:val="3"/>
        <w:spacing w:before="0" w:after="0" w:line="520" w:lineRule="exact"/>
        <w:rPr>
          <w:rFonts w:ascii="楷体" w:hAnsi="楷体" w:eastAsia="楷体"/>
          <w:sz w:val="28"/>
          <w:szCs w:val="28"/>
        </w:rPr>
      </w:pPr>
      <w:r>
        <w:rPr>
          <w:rFonts w:hint="eastAsia" w:ascii="楷体" w:hAnsi="楷体" w:eastAsia="楷体"/>
          <w:sz w:val="28"/>
          <w:szCs w:val="28"/>
        </w:rPr>
        <w:t>十二、实地查勘期</w:t>
      </w:r>
      <w:bookmarkEnd w:id="58"/>
      <w:bookmarkEnd w:id="59"/>
    </w:p>
    <w:p>
      <w:pPr>
        <w:spacing w:line="500" w:lineRule="exact"/>
        <w:ind w:firstLine="560" w:firstLineChars="200"/>
        <w:rPr>
          <w:rFonts w:hint="eastAsia" w:ascii="楷体" w:hAnsi="楷体" w:eastAsia="楷体"/>
          <w:sz w:val="28"/>
          <w:szCs w:val="28"/>
          <w:lang w:eastAsia="zh-CN"/>
        </w:rPr>
      </w:pPr>
      <w:r>
        <w:rPr>
          <w:rFonts w:hint="eastAsia" w:ascii="楷体" w:hAnsi="楷体" w:eastAsia="楷体"/>
          <w:sz w:val="28"/>
          <w:szCs w:val="28"/>
          <w:lang w:eastAsia="zh-CN"/>
        </w:rPr>
        <w:t>2022年5月24日</w:t>
      </w:r>
    </w:p>
    <w:p>
      <w:pPr>
        <w:pStyle w:val="3"/>
        <w:spacing w:before="0" w:after="0" w:line="520" w:lineRule="exact"/>
        <w:rPr>
          <w:rFonts w:ascii="楷体" w:hAnsi="楷体" w:eastAsia="楷体"/>
          <w:sz w:val="28"/>
          <w:szCs w:val="28"/>
        </w:rPr>
      </w:pPr>
      <w:bookmarkStart w:id="61" w:name="_Toc9135"/>
      <w:bookmarkStart w:id="62" w:name="_Toc436035309"/>
      <w:r>
        <w:rPr>
          <w:rFonts w:hint="eastAsia" w:ascii="楷体" w:hAnsi="楷体" w:eastAsia="楷体"/>
          <w:sz w:val="28"/>
          <w:szCs w:val="28"/>
        </w:rPr>
        <w:t>十三、估价作业期</w:t>
      </w:r>
      <w:bookmarkEnd w:id="60"/>
      <w:bookmarkEnd w:id="61"/>
      <w:bookmarkEnd w:id="62"/>
    </w:p>
    <w:p>
      <w:pPr>
        <w:spacing w:line="500" w:lineRule="exact"/>
        <w:ind w:firstLine="560" w:firstLineChars="200"/>
        <w:rPr>
          <w:rFonts w:hint="eastAsia" w:ascii="楷体" w:hAnsi="楷体" w:eastAsia="楷体"/>
          <w:sz w:val="28"/>
          <w:szCs w:val="28"/>
          <w:lang w:eastAsia="zh-CN"/>
        </w:rPr>
      </w:pPr>
      <w:r>
        <w:rPr>
          <w:rFonts w:hint="eastAsia" w:ascii="楷体" w:hAnsi="楷体" w:eastAsia="楷体"/>
          <w:sz w:val="28"/>
          <w:szCs w:val="28"/>
          <w:lang w:eastAsia="zh-CN"/>
        </w:rPr>
        <w:t>2022年5月24日</w:t>
      </w:r>
      <w:r>
        <w:rPr>
          <w:rFonts w:hint="eastAsia" w:ascii="楷体" w:hAnsi="楷体" w:eastAsia="楷体"/>
          <w:sz w:val="28"/>
          <w:szCs w:val="28"/>
        </w:rPr>
        <w:t>至</w:t>
      </w:r>
      <w:r>
        <w:rPr>
          <w:rFonts w:hint="eastAsia" w:ascii="楷体" w:hAnsi="楷体" w:eastAsia="楷体"/>
          <w:sz w:val="28"/>
          <w:szCs w:val="28"/>
          <w:lang w:eastAsia="zh-CN"/>
        </w:rPr>
        <w:t>2022年6月7日</w:t>
      </w:r>
    </w:p>
    <w:p>
      <w:pPr>
        <w:pStyle w:val="2"/>
        <w:spacing w:before="0" w:after="0" w:line="520" w:lineRule="exact"/>
        <w:jc w:val="center"/>
        <w:rPr>
          <w:rFonts w:ascii="楷体" w:hAnsi="楷体" w:eastAsia="楷体"/>
          <w:sz w:val="32"/>
          <w:szCs w:val="32"/>
        </w:rPr>
      </w:pPr>
      <w:bookmarkStart w:id="63" w:name="_Toc19820"/>
    </w:p>
    <w:p>
      <w:pPr>
        <w:pStyle w:val="2"/>
        <w:spacing w:before="0" w:after="0" w:line="520" w:lineRule="exact"/>
        <w:jc w:val="center"/>
        <w:rPr>
          <w:rFonts w:ascii="楷体" w:hAnsi="楷体" w:eastAsia="楷体"/>
          <w:sz w:val="32"/>
          <w:szCs w:val="32"/>
        </w:rPr>
      </w:pPr>
    </w:p>
    <w:p/>
    <w:p>
      <w:pPr>
        <w:pStyle w:val="2"/>
        <w:spacing w:before="0" w:after="0" w:line="520" w:lineRule="exact"/>
        <w:jc w:val="center"/>
        <w:rPr>
          <w:rFonts w:ascii="楷体" w:hAnsi="楷体" w:eastAsia="楷体"/>
          <w:sz w:val="32"/>
          <w:szCs w:val="32"/>
        </w:rPr>
      </w:pPr>
    </w:p>
    <w:p>
      <w:pPr>
        <w:pStyle w:val="2"/>
        <w:spacing w:before="0" w:after="0" w:line="520" w:lineRule="exact"/>
        <w:jc w:val="center"/>
        <w:rPr>
          <w:rFonts w:ascii="楷体" w:hAnsi="楷体" w:eastAsia="楷体"/>
          <w:sz w:val="32"/>
          <w:szCs w:val="32"/>
        </w:rPr>
      </w:pPr>
    </w:p>
    <w:p>
      <w:pPr>
        <w:rPr>
          <w:rFonts w:ascii="楷体" w:hAnsi="楷体" w:eastAsia="楷体"/>
          <w:sz w:val="32"/>
          <w:szCs w:val="32"/>
        </w:rPr>
      </w:pPr>
    </w:p>
    <w:p>
      <w:pPr>
        <w:pStyle w:val="2"/>
        <w:spacing w:before="0" w:after="0" w:line="520" w:lineRule="exact"/>
        <w:jc w:val="center"/>
        <w:rPr>
          <w:rFonts w:ascii="楷体" w:hAnsi="楷体" w:eastAsia="楷体"/>
          <w:sz w:val="32"/>
          <w:szCs w:val="32"/>
        </w:rPr>
      </w:pPr>
      <w:r>
        <w:rPr>
          <w:rFonts w:hint="eastAsia" w:ascii="楷体" w:hAnsi="楷体" w:eastAsia="楷体"/>
          <w:sz w:val="32"/>
          <w:szCs w:val="32"/>
        </w:rPr>
        <w:t>附   件</w:t>
      </w:r>
      <w:bookmarkEnd w:id="63"/>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宁夏回族自治区吴忠市中级人民法院</w:t>
      </w:r>
      <w:r>
        <w:rPr>
          <w:rFonts w:hint="eastAsia" w:ascii="楷体" w:hAnsi="楷体" w:eastAsia="楷体"/>
          <w:sz w:val="28"/>
          <w:szCs w:val="28"/>
        </w:rPr>
        <w:t>司法</w:t>
      </w:r>
      <w:r>
        <w:rPr>
          <w:rFonts w:hint="eastAsia" w:ascii="楷体" w:hAnsi="楷体" w:eastAsia="楷体"/>
          <w:sz w:val="28"/>
          <w:szCs w:val="28"/>
          <w:lang w:eastAsia="zh-CN"/>
        </w:rPr>
        <w:t>评估委托书</w:t>
      </w:r>
      <w:r>
        <w:rPr>
          <w:rFonts w:hint="eastAsia" w:ascii="楷体" w:hAnsi="楷体" w:eastAsia="楷体"/>
          <w:sz w:val="28"/>
          <w:szCs w:val="28"/>
        </w:rPr>
        <w:t>》</w:t>
      </w:r>
      <w:r>
        <w:rPr>
          <w:rFonts w:hint="eastAsia" w:ascii="楷体" w:hAnsi="楷体" w:eastAsia="楷体"/>
          <w:sz w:val="28"/>
          <w:szCs w:val="28"/>
          <w:lang w:eastAsia="zh-CN"/>
        </w:rPr>
        <w:t>【（</w:t>
      </w:r>
      <w:r>
        <w:rPr>
          <w:rFonts w:hint="eastAsia" w:ascii="楷体" w:hAnsi="楷体" w:eastAsia="楷体"/>
          <w:sz w:val="28"/>
          <w:szCs w:val="28"/>
          <w:lang w:val="en-US" w:eastAsia="zh-CN"/>
        </w:rPr>
        <w:t>2022）执恢第22号】</w:t>
      </w:r>
      <w:r>
        <w:rPr>
          <w:rFonts w:hint="eastAsia" w:ascii="楷体" w:hAnsi="楷体" w:eastAsia="楷体"/>
          <w:sz w:val="28"/>
          <w:szCs w:val="28"/>
        </w:rPr>
        <w:t>（</w:t>
      </w:r>
      <w:r>
        <w:rPr>
          <w:rFonts w:hint="eastAsia" w:ascii="楷体" w:hAnsi="楷体" w:eastAsia="楷体"/>
          <w:sz w:val="28"/>
          <w:szCs w:val="28"/>
          <w:lang w:eastAsia="zh-CN"/>
        </w:rPr>
        <w:t>原件</w:t>
      </w:r>
      <w:r>
        <w:rPr>
          <w:rFonts w:hint="eastAsia" w:ascii="楷体" w:hAnsi="楷体" w:eastAsia="楷体"/>
          <w:sz w:val="28"/>
          <w:szCs w:val="28"/>
        </w:rPr>
        <w:t>）</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lang w:eastAsia="zh-CN"/>
        </w:rPr>
        <w:t>《国有土地使用权证书》【青国用（2014）第611号】</w:t>
      </w:r>
      <w:r>
        <w:rPr>
          <w:rFonts w:hint="eastAsia" w:ascii="楷体" w:hAnsi="楷体" w:eastAsia="楷体"/>
          <w:sz w:val="28"/>
          <w:szCs w:val="28"/>
        </w:rPr>
        <w:t>（复印件）</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房屋所有权证</w:t>
      </w:r>
      <w:r>
        <w:rPr>
          <w:rFonts w:hint="eastAsia" w:ascii="楷体" w:hAnsi="楷体" w:eastAsia="楷体"/>
          <w:sz w:val="28"/>
          <w:szCs w:val="28"/>
        </w:rPr>
        <w:t>》</w:t>
      </w:r>
      <w:r>
        <w:rPr>
          <w:rFonts w:hint="eastAsia" w:ascii="楷体" w:hAnsi="楷体" w:eastAsia="楷体"/>
          <w:sz w:val="28"/>
          <w:szCs w:val="28"/>
          <w:lang w:eastAsia="zh-CN"/>
        </w:rPr>
        <w:t>【青房权证青铜峡市字第2014001527号】</w:t>
      </w:r>
      <w:r>
        <w:rPr>
          <w:rFonts w:hint="eastAsia" w:ascii="楷体" w:hAnsi="楷体" w:eastAsia="楷体"/>
          <w:sz w:val="28"/>
          <w:szCs w:val="28"/>
        </w:rPr>
        <w:t>（复印件）</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rPr>
        <w:t>《房屋他项权证》【青房他证青铜峡市字第20150600142号】（复印件）</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青铜峡市不动产登记信息查询单</w:t>
      </w:r>
      <w:r>
        <w:rPr>
          <w:rFonts w:hint="eastAsia" w:ascii="楷体" w:hAnsi="楷体" w:eastAsia="楷体"/>
          <w:sz w:val="28"/>
          <w:szCs w:val="28"/>
        </w:rPr>
        <w:t>》（</w:t>
      </w:r>
      <w:r>
        <w:rPr>
          <w:rFonts w:hint="eastAsia" w:ascii="楷体" w:hAnsi="楷体" w:eastAsia="楷体"/>
          <w:sz w:val="28"/>
          <w:szCs w:val="28"/>
          <w:lang w:eastAsia="zh-CN"/>
        </w:rPr>
        <w:t>原件</w:t>
      </w:r>
      <w:r>
        <w:rPr>
          <w:rFonts w:hint="eastAsia" w:ascii="楷体" w:hAnsi="楷体" w:eastAsia="楷体"/>
          <w:sz w:val="28"/>
          <w:szCs w:val="28"/>
        </w:rPr>
        <w:t>）</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rPr>
        <w:t>《抵押权登记信息》（复印件）</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ascii="楷体" w:hAnsi="楷体" w:eastAsia="楷体"/>
          <w:sz w:val="28"/>
          <w:szCs w:val="28"/>
        </w:rPr>
        <w:t>估价对象位置</w:t>
      </w:r>
      <w:r>
        <w:rPr>
          <w:rFonts w:hint="eastAsia" w:ascii="楷体" w:hAnsi="楷体" w:eastAsia="楷体"/>
          <w:sz w:val="28"/>
          <w:szCs w:val="28"/>
        </w:rPr>
        <w:t>示意</w:t>
      </w:r>
      <w:r>
        <w:rPr>
          <w:rFonts w:ascii="楷体" w:hAnsi="楷体" w:eastAsia="楷体"/>
          <w:sz w:val="28"/>
          <w:szCs w:val="28"/>
        </w:rPr>
        <w:t>图</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ascii="楷体" w:hAnsi="楷体" w:eastAsia="楷体"/>
          <w:sz w:val="28"/>
          <w:szCs w:val="28"/>
        </w:rPr>
        <w:t>估价对象实地查勘照片</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rPr>
        <w:t>可比实例位置示意图和外观照片</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hint="eastAsia" w:ascii="楷体" w:hAnsi="楷体" w:eastAsia="楷体"/>
          <w:sz w:val="28"/>
          <w:szCs w:val="28"/>
        </w:rPr>
        <w:t>专业帮助情况和相关专业意见</w:t>
      </w:r>
    </w:p>
    <w:p>
      <w:pPr>
        <w:pStyle w:val="116"/>
        <w:keepNext w:val="0"/>
        <w:keepLines w:val="0"/>
        <w:pageBreakBefore w:val="0"/>
        <w:widowControl w:val="0"/>
        <w:kinsoku/>
        <w:wordWrap/>
        <w:overflowPunct/>
        <w:topLinePunct w:val="0"/>
        <w:autoSpaceDE/>
        <w:autoSpaceDN/>
        <w:bidi w:val="0"/>
        <w:adjustRightInd/>
        <w:snapToGrid/>
        <w:spacing w:line="540" w:lineRule="exact"/>
        <w:ind w:left="0" w:firstLine="288" w:firstLineChars="103"/>
        <w:textAlignment w:val="auto"/>
        <w:rPr>
          <w:rFonts w:ascii="楷体" w:hAnsi="楷体" w:eastAsia="楷体"/>
          <w:sz w:val="28"/>
          <w:szCs w:val="28"/>
        </w:rPr>
      </w:pPr>
      <w:r>
        <w:rPr>
          <w:rFonts w:hint="eastAsia" w:ascii="楷体" w:hAnsi="楷体" w:eastAsia="楷体"/>
          <w:sz w:val="28"/>
          <w:szCs w:val="28"/>
        </w:rPr>
        <w:t>本次估价没有专业帮助，未依据相关专业意见。</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ascii="楷体" w:hAnsi="楷体" w:eastAsia="楷体"/>
          <w:sz w:val="28"/>
          <w:szCs w:val="28"/>
        </w:rPr>
        <w:t>房地产估价机构营业执照</w:t>
      </w:r>
      <w:r>
        <w:rPr>
          <w:rFonts w:hint="eastAsia" w:ascii="楷体" w:hAnsi="楷体" w:eastAsia="楷体"/>
          <w:sz w:val="28"/>
          <w:szCs w:val="28"/>
        </w:rPr>
        <w:t>（</w:t>
      </w:r>
      <w:r>
        <w:rPr>
          <w:rFonts w:ascii="楷体" w:hAnsi="楷体" w:eastAsia="楷体"/>
          <w:sz w:val="28"/>
          <w:szCs w:val="28"/>
        </w:rPr>
        <w:t>复印件</w:t>
      </w:r>
      <w:r>
        <w:rPr>
          <w:rFonts w:hint="eastAsia" w:ascii="楷体" w:hAnsi="楷体" w:eastAsia="楷体"/>
          <w:sz w:val="28"/>
          <w:szCs w:val="28"/>
        </w:rPr>
        <w:t>）</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ascii="楷体" w:hAnsi="楷体" w:eastAsia="楷体"/>
          <w:sz w:val="28"/>
          <w:szCs w:val="28"/>
        </w:rPr>
        <w:t>房地产估价机构</w:t>
      </w:r>
      <w:r>
        <w:rPr>
          <w:rFonts w:hint="eastAsia" w:ascii="楷体" w:hAnsi="楷体" w:eastAsia="楷体"/>
          <w:sz w:val="28"/>
          <w:szCs w:val="28"/>
        </w:rPr>
        <w:t>备案</w:t>
      </w:r>
      <w:r>
        <w:rPr>
          <w:rFonts w:ascii="楷体" w:hAnsi="楷体" w:eastAsia="楷体"/>
          <w:sz w:val="28"/>
          <w:szCs w:val="28"/>
        </w:rPr>
        <w:t>证书</w:t>
      </w:r>
      <w:r>
        <w:rPr>
          <w:rFonts w:hint="eastAsia" w:ascii="楷体" w:hAnsi="楷体" w:eastAsia="楷体"/>
          <w:sz w:val="28"/>
          <w:szCs w:val="28"/>
        </w:rPr>
        <w:t>（</w:t>
      </w:r>
      <w:r>
        <w:rPr>
          <w:rFonts w:ascii="楷体" w:hAnsi="楷体" w:eastAsia="楷体"/>
          <w:sz w:val="28"/>
          <w:szCs w:val="28"/>
        </w:rPr>
        <w:t>复印件</w:t>
      </w:r>
      <w:r>
        <w:rPr>
          <w:rFonts w:hint="eastAsia" w:ascii="楷体" w:hAnsi="楷体" w:eastAsia="楷体"/>
          <w:sz w:val="28"/>
          <w:szCs w:val="28"/>
        </w:rPr>
        <w:t>）</w:t>
      </w:r>
    </w:p>
    <w:p>
      <w:pPr>
        <w:pStyle w:val="116"/>
        <w:keepNext w:val="0"/>
        <w:keepLines w:val="0"/>
        <w:pageBreakBefore w:val="0"/>
        <w:widowControl w:val="0"/>
        <w:numPr>
          <w:ilvl w:val="0"/>
          <w:numId w:val="11"/>
        </w:numPr>
        <w:kinsoku/>
        <w:wordWrap/>
        <w:overflowPunct/>
        <w:topLinePunct w:val="0"/>
        <w:autoSpaceDE/>
        <w:autoSpaceDN/>
        <w:bidi w:val="0"/>
        <w:adjustRightInd/>
        <w:snapToGrid/>
        <w:spacing w:line="540" w:lineRule="exact"/>
        <w:ind w:left="0" w:firstLine="709" w:firstLineChars="0"/>
        <w:textAlignment w:val="auto"/>
        <w:rPr>
          <w:rFonts w:ascii="楷体" w:hAnsi="楷体" w:eastAsia="楷体"/>
          <w:sz w:val="28"/>
          <w:szCs w:val="28"/>
        </w:rPr>
      </w:pPr>
      <w:r>
        <w:rPr>
          <w:rFonts w:ascii="楷体" w:hAnsi="楷体" w:eastAsia="楷体"/>
          <w:sz w:val="28"/>
          <w:szCs w:val="28"/>
        </w:rPr>
        <w:t>注册房地产估价师估价资格证书</w:t>
      </w:r>
      <w:r>
        <w:rPr>
          <w:rFonts w:hint="eastAsia" w:ascii="楷体" w:hAnsi="楷体" w:eastAsia="楷体"/>
          <w:sz w:val="28"/>
          <w:szCs w:val="28"/>
        </w:rPr>
        <w:t>（</w:t>
      </w:r>
      <w:r>
        <w:rPr>
          <w:rFonts w:ascii="楷体" w:hAnsi="楷体" w:eastAsia="楷体"/>
          <w:sz w:val="28"/>
          <w:szCs w:val="28"/>
        </w:rPr>
        <w:t>复印件</w:t>
      </w:r>
      <w:r>
        <w:rPr>
          <w:rFonts w:hint="eastAsia" w:ascii="楷体" w:hAnsi="楷体" w:eastAsia="楷体"/>
          <w:sz w:val="28"/>
          <w:szCs w:val="28"/>
        </w:rPr>
        <w:t>）</w:t>
      </w:r>
    </w:p>
    <w:p>
      <w:pPr>
        <w:ind w:firstLine="420" w:firstLineChars="200"/>
        <w:rPr>
          <w:rFonts w:ascii="Times New Roman" w:hAnsi="Times New Roman"/>
          <w:color w:val="FF0000"/>
          <w:szCs w:val="24"/>
        </w:rPr>
      </w:pPr>
    </w:p>
    <w:p>
      <w:pPr>
        <w:bidi w:val="0"/>
        <w:rPr>
          <w:rFonts w:ascii="Calibri" w:hAnsi="Calibri" w:eastAsia="宋体" w:cs="Times New Roman"/>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294"/>
        </w:tabs>
        <w:bidi w:val="0"/>
        <w:jc w:val="left"/>
        <w:rPr>
          <w:lang w:val="en-US" w:eastAsia="zh-CN"/>
        </w:rPr>
        <w:sectPr>
          <w:footerReference r:id="rId7" w:type="default"/>
          <w:pgSz w:w="11906" w:h="16838"/>
          <w:pgMar w:top="1388" w:right="1700" w:bottom="1134" w:left="1797" w:header="624" w:footer="454" w:gutter="0"/>
          <w:pgBorders>
            <w:top w:val="none" w:sz="0" w:space="0"/>
            <w:left w:val="none" w:sz="0" w:space="0"/>
            <w:bottom w:val="none" w:sz="0" w:space="0"/>
            <w:right w:val="none" w:sz="0" w:space="0"/>
          </w:pgBorders>
          <w:pgNumType w:start="1"/>
          <w:cols w:space="720" w:num="1"/>
          <w:docGrid w:type="lines" w:linePitch="312" w:charSpace="0"/>
        </w:sectPr>
      </w:pPr>
      <w:r>
        <w:rPr>
          <w:rFonts w:hint="eastAsia"/>
          <w:lang w:val="en-US" w:eastAsia="zh-CN"/>
        </w:rPr>
        <w:tab/>
      </w:r>
      <w:bookmarkStart w:id="65" w:name="_GoBack"/>
      <w:bookmarkEnd w:id="65"/>
    </w:p>
    <w:p>
      <w:pPr>
        <w:rPr>
          <w:rFonts w:ascii="宋体" w:hAnsi="宋体" w:cs="宋体"/>
          <w:kern w:val="0"/>
          <w:sz w:val="24"/>
          <w:szCs w:val="24"/>
        </w:rPr>
      </w:pPr>
      <w:bookmarkStart w:id="64" w:name="ditu"/>
      <w:bookmarkEnd w:id="64"/>
    </w:p>
    <w:p>
      <w:pPr>
        <w:bidi w:val="0"/>
        <w:rPr>
          <w:rFonts w:ascii="Calibri" w:hAnsi="Calibri" w:eastAsia="宋体" w:cs="Times New Roman"/>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tabs>
          <w:tab w:val="left" w:pos="7614"/>
        </w:tabs>
        <w:bidi w:val="0"/>
        <w:jc w:val="left"/>
        <w:rPr>
          <w:lang w:val="en-US" w:eastAsia="zh-CN"/>
        </w:rPr>
      </w:pPr>
      <w:r>
        <w:rPr>
          <w:rFonts w:hint="eastAsia"/>
          <w:lang w:val="en-US" w:eastAsia="zh-CN"/>
        </w:rPr>
        <w:tab/>
      </w:r>
    </w:p>
    <w:sectPr>
      <w:headerReference r:id="rId8" w:type="default"/>
      <w:footerReference r:id="rId9" w:type="default"/>
      <w:pgSz w:w="11906" w:h="16838"/>
      <w:pgMar w:top="1388" w:right="1700" w:bottom="1134" w:left="1797" w:header="709" w:footer="57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昆仑仿宋">
    <w:altName w:val="黑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lgerian">
    <w:panose1 w:val="04020705040A020607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2"/>
      </w:pBdr>
      <w:tabs>
        <w:tab w:val="right" w:pos="8222"/>
        <w:tab w:val="clear" w:pos="8364"/>
      </w:tabs>
      <w:snapToGrid w:val="0"/>
      <w:ind w:right="-57" w:rightChars="-27"/>
      <w:rPr>
        <w:rFonts w:ascii="微软雅黑" w:hAnsi="微软雅黑"/>
      </w:rPr>
    </w:pPr>
    <w:r>
      <w:rPr>
        <w:rFonts w:hint="eastAsia" w:ascii="微软雅黑" w:hAnsi="微软雅黑"/>
      </w:rPr>
      <w:t xml:space="preserve">一级房地产估价机构、A级资信土地估价、（RICS）执业单位 </w:t>
    </w:r>
    <w:r>
      <w:rPr>
        <w:rFonts w:ascii="微软雅黑" w:hAnsi="微软雅黑"/>
      </w:rPr>
      <w:t xml:space="preserve">                           </w:t>
    </w:r>
    <w:r>
      <w:rPr>
        <w:rFonts w:hint="eastAsia" w:ascii="微软雅黑" w:hAnsi="微软雅黑"/>
      </w:rPr>
      <w:t>致函第</w:t>
    </w:r>
    <w:r>
      <w:rPr>
        <w:rFonts w:ascii="微软雅黑" w:hAnsi="微软雅黑"/>
      </w:rPr>
      <w:fldChar w:fldCharType="begin"/>
    </w:r>
    <w:r>
      <w:rPr>
        <w:rFonts w:ascii="微软雅黑" w:hAnsi="微软雅黑"/>
      </w:rPr>
      <w:instrText xml:space="preserve">PAGE   \* MERGEFORMAT</w:instrText>
    </w:r>
    <w:r>
      <w:rPr>
        <w:rFonts w:ascii="微软雅黑" w:hAnsi="微软雅黑"/>
      </w:rPr>
      <w:fldChar w:fldCharType="separate"/>
    </w:r>
    <w:r>
      <w:rPr>
        <w:rFonts w:ascii="微软雅黑" w:hAnsi="微软雅黑"/>
      </w:rPr>
      <w:t>1</w:t>
    </w:r>
    <w:r>
      <w:rPr>
        <w:rFonts w:ascii="微软雅黑" w:hAnsi="微软雅黑"/>
      </w:rPr>
      <w:fldChar w:fldCharType="end"/>
    </w:r>
    <w:r>
      <w:rPr>
        <w:rFonts w:hint="eastAsia" w:ascii="微软雅黑" w:hAnsi="微软雅黑"/>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微软雅黑" w:hAnsi="微软雅黑"/>
      </w:rPr>
      <w:t>一级房地产估价机构、A级资信土地估价、（RICS）执业单位</w:t>
    </w:r>
    <w:r>
      <w:rPr>
        <w:rFonts w:hint="eastAsia"/>
      </w:rPr>
      <w:tab/>
    </w:r>
    <w:r>
      <w:rPr>
        <w:rFonts w:hint="eastAsia"/>
      </w:rPr>
      <w:t xml:space="preserve">              目录</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ascii="微软雅黑" w:hAnsi="微软雅黑"/>
      </w:rPr>
      <w:t>一级房地产估价机构、A级资信土地估价、（RICS）执业单位</w:t>
    </w:r>
    <w:r>
      <w:rPr>
        <w:rFonts w:hint="eastAsia"/>
      </w:rPr>
      <w:tab/>
    </w:r>
    <w:r>
      <w:rPr>
        <w:rFonts w:hint="eastAsia"/>
      </w:rPr>
      <w:t>第</w:t>
    </w:r>
    <w:r>
      <w:fldChar w:fldCharType="begin"/>
    </w:r>
    <w:r>
      <w:instrText xml:space="preserve">PAGE   \* MERGEFORMAT</w:instrText>
    </w:r>
    <w:r>
      <w:fldChar w:fldCharType="separate"/>
    </w:r>
    <w:r>
      <w:rPr>
        <w:lang w:val="zh-CN"/>
      </w:rPr>
      <w:t>13</w:t>
    </w:r>
    <w:r>
      <w:rPr>
        <w:lang w:val="zh-CN"/>
      </w:rP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exact"/>
      <w:rPr>
        <w:rFonts w:ascii="微软雅黑" w:hAnsi="微软雅黑" w:eastAsia="微软雅黑"/>
        <w:b/>
        <w:spacing w:val="40"/>
        <w:sz w:val="20"/>
        <w:szCs w:val="20"/>
      </w:rPr>
    </w:pPr>
    <w:r>
      <w:rPr>
        <w:rFonts w:hint="eastAsia" w:ascii="微软雅黑" w:hAnsi="微软雅黑" w:eastAsia="微软雅黑"/>
        <w:b/>
        <w:spacing w:val="40"/>
        <w:sz w:val="20"/>
        <w:szCs w:val="20"/>
      </w:rPr>
      <w:t>北京仁达房地产土地资产评估有限公司</w:t>
    </w:r>
  </w:p>
  <w:p>
    <w:pPr>
      <w:spacing w:line="220" w:lineRule="atLeast"/>
      <w:rPr>
        <w:rFonts w:ascii="微软雅黑" w:hAnsi="微软雅黑" w:eastAsia="微软雅黑"/>
        <w:spacing w:val="24"/>
        <w:sz w:val="11"/>
        <w:szCs w:val="11"/>
      </w:rPr>
    </w:pPr>
    <w:r>
      <w:rPr>
        <w:rFonts w:ascii="微软雅黑" w:hAnsi="微软雅黑" w:eastAsia="微软雅黑"/>
        <w:spacing w:val="24"/>
        <w:sz w:val="11"/>
        <w:szCs w:val="11"/>
      </w:rPr>
      <w:t>BEIJING RENDA REAL ESTATE APPRAISAL CO.,LTD</w:t>
    </w:r>
  </w:p>
  <w:p>
    <w:pPr>
      <w:spacing w:line="100" w:lineRule="atLeast"/>
      <w:rPr>
        <w:rFonts w:ascii="微软雅黑" w:hAnsi="微软雅黑" w:eastAsia="微软雅黑"/>
        <w:sz w:val="11"/>
        <w:szCs w:val="11"/>
      </w:rPr>
    </w:pPr>
    <w:r>
      <w:rPr>
        <w:rFonts w:ascii="微软雅黑" w:hAnsi="微软雅黑" w:eastAsia="微软雅黑"/>
        <w:sz w:val="11"/>
        <w:szCs w:val="11"/>
      </w:rPr>
      <w:pict>
        <v:rect id="_x0000_i1025" o:spt="1" style="height:1.5pt;width:0pt;" fillcolor="#A0A0A0" filled="t" stroked="f" coordsize="21600,21600" o:hr="t" o:hrstd="t" o:hralign="center">
          <v:path/>
          <v:fill on="t" focussize="0,0"/>
          <v:stroke on="f"/>
          <v:imagedata o:title=""/>
          <o:lock v:ext="edit"/>
          <w10:wrap type="none"/>
          <w10:anchorlock/>
        </v:rect>
      </w:pict>
    </w:r>
  </w:p>
  <w:p>
    <w:pPr>
      <w:pStyle w:val="21"/>
      <w:pBdr>
        <w:bottom w:val="none" w:color="auto" w:sz="0" w:space="0"/>
      </w:pBdr>
      <w:jc w:val="both"/>
      <w:rPr>
        <w:rFonts w:ascii="微软雅黑" w:hAnsi="微软雅黑"/>
        <w:sz w:val="11"/>
        <w:szCs w:val="11"/>
      </w:rPr>
    </w:pPr>
    <w:r>
      <w:rPr>
        <w:rFonts w:hint="eastAsia" w:ascii="微软雅黑" w:hAnsi="微软雅黑"/>
        <w:sz w:val="11"/>
        <w:szCs w:val="11"/>
      </w:rPr>
      <w:t xml:space="preserve">Add：北京市西城区车公庄大街9号院五栋大楼B座1单元401室   Tel：010-88395886Fax：010-88395756  </w:t>
    </w:r>
    <w:r>
      <w:rPr>
        <w:rFonts w:ascii="微软雅黑" w:hAnsi="微软雅黑"/>
        <w:sz w:val="11"/>
        <w:szCs w:val="11"/>
      </w:rPr>
      <w:t>Pc:100044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p>
    <w:pPr>
      <w:pStyle w:val="2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A3CF2"/>
    <w:multiLevelType w:val="multilevel"/>
    <w:tmpl w:val="089A3CF2"/>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6B3BEF"/>
    <w:multiLevelType w:val="multilevel"/>
    <w:tmpl w:val="166B3BEF"/>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04379B"/>
    <w:multiLevelType w:val="multilevel"/>
    <w:tmpl w:val="2504379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253F135E"/>
    <w:multiLevelType w:val="multilevel"/>
    <w:tmpl w:val="253F135E"/>
    <w:lvl w:ilvl="0" w:tentative="0">
      <w:start w:val="1"/>
      <w:numFmt w:val="decimal"/>
      <w:lvlText w:val="%1."/>
      <w:lvlJc w:val="left"/>
      <w:pPr>
        <w:ind w:left="980" w:hanging="420"/>
      </w:pPr>
      <w:rPr>
        <w:rFonts w:hint="default"/>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26B823BA"/>
    <w:multiLevelType w:val="multilevel"/>
    <w:tmpl w:val="26B823BA"/>
    <w:lvl w:ilvl="0" w:tentative="0">
      <w:start w:val="1"/>
      <w:numFmt w:val="decimal"/>
      <w:lvlText w:val="%1."/>
      <w:lvlJc w:val="left"/>
      <w:pPr>
        <w:ind w:left="420" w:hanging="4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A725D8"/>
    <w:multiLevelType w:val="multilevel"/>
    <w:tmpl w:val="29A725D8"/>
    <w:lvl w:ilvl="0" w:tentative="0">
      <w:start w:val="1"/>
      <w:numFmt w:val="decimal"/>
      <w:lvlText w:val="%1."/>
      <w:lvlJc w:val="left"/>
      <w:pPr>
        <w:ind w:left="1129"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3088033A"/>
    <w:multiLevelType w:val="multilevel"/>
    <w:tmpl w:val="3088033A"/>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35386B25"/>
    <w:multiLevelType w:val="multilevel"/>
    <w:tmpl w:val="35386B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5971178"/>
    <w:multiLevelType w:val="multilevel"/>
    <w:tmpl w:val="35971178"/>
    <w:lvl w:ilvl="0" w:tentative="0">
      <w:start w:val="1"/>
      <w:numFmt w:val="decimal"/>
      <w:lvlText w:val="%1."/>
      <w:lvlJc w:val="left"/>
      <w:pPr>
        <w:ind w:left="987"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54895F1E"/>
    <w:multiLevelType w:val="multilevel"/>
    <w:tmpl w:val="54895F1E"/>
    <w:lvl w:ilvl="0" w:tentative="0">
      <w:start w:val="2"/>
      <w:numFmt w:val="japaneseCounting"/>
      <w:lvlText w:val="（%1）"/>
      <w:lvlJc w:val="left"/>
      <w:pPr>
        <w:ind w:left="1445" w:hanging="88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5B756986"/>
    <w:multiLevelType w:val="multilevel"/>
    <w:tmpl w:val="5B756986"/>
    <w:lvl w:ilvl="0" w:tentative="0">
      <w:start w:val="1"/>
      <w:numFmt w:val="decimal"/>
      <w:lvlText w:val="%1."/>
      <w:lvlJc w:val="left"/>
      <w:pPr>
        <w:ind w:left="980" w:hanging="420"/>
      </w:pPr>
      <w:rPr>
        <w:rFonts w:hint="default"/>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5"/>
  </w:num>
  <w:num w:numId="2">
    <w:abstractNumId w:val="1"/>
  </w:num>
  <w:num w:numId="3">
    <w:abstractNumId w:val="0"/>
  </w:num>
  <w:num w:numId="4">
    <w:abstractNumId w:val="4"/>
  </w:num>
  <w:num w:numId="5">
    <w:abstractNumId w:val="9"/>
  </w:num>
  <w:num w:numId="6">
    <w:abstractNumId w:val="10"/>
  </w:num>
  <w:num w:numId="7">
    <w:abstractNumId w:val="3"/>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1324"/>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MzhlYWMzNjg1ZmZiODhmZGQzOGU3OWRjYTZlNGYifQ=="/>
  </w:docVars>
  <w:rsids>
    <w:rsidRoot w:val="00DE5EC5"/>
    <w:rsid w:val="00000648"/>
    <w:rsid w:val="0000128A"/>
    <w:rsid w:val="00001AC8"/>
    <w:rsid w:val="0000533B"/>
    <w:rsid w:val="0000619D"/>
    <w:rsid w:val="0000662F"/>
    <w:rsid w:val="00011423"/>
    <w:rsid w:val="00011472"/>
    <w:rsid w:val="0001213D"/>
    <w:rsid w:val="00012300"/>
    <w:rsid w:val="00013FA7"/>
    <w:rsid w:val="000149CC"/>
    <w:rsid w:val="00016433"/>
    <w:rsid w:val="0001774B"/>
    <w:rsid w:val="00017768"/>
    <w:rsid w:val="00020164"/>
    <w:rsid w:val="00020251"/>
    <w:rsid w:val="00020E11"/>
    <w:rsid w:val="000225E9"/>
    <w:rsid w:val="00022FE8"/>
    <w:rsid w:val="0002514B"/>
    <w:rsid w:val="00025155"/>
    <w:rsid w:val="000269D0"/>
    <w:rsid w:val="00026F5A"/>
    <w:rsid w:val="00027880"/>
    <w:rsid w:val="00032E3A"/>
    <w:rsid w:val="000336B6"/>
    <w:rsid w:val="000336CA"/>
    <w:rsid w:val="00034405"/>
    <w:rsid w:val="00036687"/>
    <w:rsid w:val="00040F7D"/>
    <w:rsid w:val="0004181C"/>
    <w:rsid w:val="00042E3E"/>
    <w:rsid w:val="0004353E"/>
    <w:rsid w:val="00045005"/>
    <w:rsid w:val="0004530C"/>
    <w:rsid w:val="00050E44"/>
    <w:rsid w:val="00051354"/>
    <w:rsid w:val="00052768"/>
    <w:rsid w:val="00053303"/>
    <w:rsid w:val="00054897"/>
    <w:rsid w:val="00054A3E"/>
    <w:rsid w:val="00054A79"/>
    <w:rsid w:val="00054D40"/>
    <w:rsid w:val="00055455"/>
    <w:rsid w:val="00056D09"/>
    <w:rsid w:val="0005711F"/>
    <w:rsid w:val="00057209"/>
    <w:rsid w:val="000572A2"/>
    <w:rsid w:val="00057AB2"/>
    <w:rsid w:val="00057CA4"/>
    <w:rsid w:val="00057E23"/>
    <w:rsid w:val="00060AAD"/>
    <w:rsid w:val="00062244"/>
    <w:rsid w:val="000653FF"/>
    <w:rsid w:val="00065B62"/>
    <w:rsid w:val="00066E71"/>
    <w:rsid w:val="00067BA3"/>
    <w:rsid w:val="00071206"/>
    <w:rsid w:val="00071D26"/>
    <w:rsid w:val="000723E1"/>
    <w:rsid w:val="00072A0F"/>
    <w:rsid w:val="00073C08"/>
    <w:rsid w:val="00075FE5"/>
    <w:rsid w:val="00076231"/>
    <w:rsid w:val="00076266"/>
    <w:rsid w:val="000778D4"/>
    <w:rsid w:val="00077A8A"/>
    <w:rsid w:val="00080376"/>
    <w:rsid w:val="00083143"/>
    <w:rsid w:val="00083ED6"/>
    <w:rsid w:val="00084C40"/>
    <w:rsid w:val="00084E50"/>
    <w:rsid w:val="000851E2"/>
    <w:rsid w:val="00086367"/>
    <w:rsid w:val="000879D9"/>
    <w:rsid w:val="00090475"/>
    <w:rsid w:val="00093816"/>
    <w:rsid w:val="00094DEB"/>
    <w:rsid w:val="0009571A"/>
    <w:rsid w:val="00096051"/>
    <w:rsid w:val="00097681"/>
    <w:rsid w:val="000A017B"/>
    <w:rsid w:val="000A07E7"/>
    <w:rsid w:val="000A2AFA"/>
    <w:rsid w:val="000A3AA0"/>
    <w:rsid w:val="000A3B35"/>
    <w:rsid w:val="000A5776"/>
    <w:rsid w:val="000A7352"/>
    <w:rsid w:val="000B028D"/>
    <w:rsid w:val="000B0996"/>
    <w:rsid w:val="000B3A63"/>
    <w:rsid w:val="000B4122"/>
    <w:rsid w:val="000B505E"/>
    <w:rsid w:val="000B56AE"/>
    <w:rsid w:val="000B673B"/>
    <w:rsid w:val="000B6DD6"/>
    <w:rsid w:val="000B6E99"/>
    <w:rsid w:val="000C23C4"/>
    <w:rsid w:val="000C2884"/>
    <w:rsid w:val="000C28A3"/>
    <w:rsid w:val="000C2A94"/>
    <w:rsid w:val="000C4429"/>
    <w:rsid w:val="000C476C"/>
    <w:rsid w:val="000C4A1A"/>
    <w:rsid w:val="000C5400"/>
    <w:rsid w:val="000C6E93"/>
    <w:rsid w:val="000C736B"/>
    <w:rsid w:val="000C7F15"/>
    <w:rsid w:val="000D0D1A"/>
    <w:rsid w:val="000D1F8E"/>
    <w:rsid w:val="000D23E1"/>
    <w:rsid w:val="000D2610"/>
    <w:rsid w:val="000D2B2A"/>
    <w:rsid w:val="000D3369"/>
    <w:rsid w:val="000D3767"/>
    <w:rsid w:val="000D3950"/>
    <w:rsid w:val="000D4847"/>
    <w:rsid w:val="000D4DC8"/>
    <w:rsid w:val="000D6D73"/>
    <w:rsid w:val="000E0E6A"/>
    <w:rsid w:val="000E1987"/>
    <w:rsid w:val="000E1CD6"/>
    <w:rsid w:val="000E2267"/>
    <w:rsid w:val="000E245D"/>
    <w:rsid w:val="000E29FA"/>
    <w:rsid w:val="000E58BC"/>
    <w:rsid w:val="000E5B10"/>
    <w:rsid w:val="000E5BCF"/>
    <w:rsid w:val="000E68FE"/>
    <w:rsid w:val="000E6942"/>
    <w:rsid w:val="000E7389"/>
    <w:rsid w:val="000E7931"/>
    <w:rsid w:val="000F1866"/>
    <w:rsid w:val="000F1FA0"/>
    <w:rsid w:val="000F23D9"/>
    <w:rsid w:val="000F42FC"/>
    <w:rsid w:val="000F50F8"/>
    <w:rsid w:val="000F59FA"/>
    <w:rsid w:val="000F5FD5"/>
    <w:rsid w:val="000F61F4"/>
    <w:rsid w:val="00100C52"/>
    <w:rsid w:val="001038DE"/>
    <w:rsid w:val="00103EE6"/>
    <w:rsid w:val="00106494"/>
    <w:rsid w:val="00106DAC"/>
    <w:rsid w:val="001073F2"/>
    <w:rsid w:val="0010744B"/>
    <w:rsid w:val="00110691"/>
    <w:rsid w:val="00110DD5"/>
    <w:rsid w:val="00112393"/>
    <w:rsid w:val="001126CB"/>
    <w:rsid w:val="0011297C"/>
    <w:rsid w:val="00113299"/>
    <w:rsid w:val="0011454C"/>
    <w:rsid w:val="00115A3A"/>
    <w:rsid w:val="00115E5F"/>
    <w:rsid w:val="00116233"/>
    <w:rsid w:val="00117727"/>
    <w:rsid w:val="00120C0A"/>
    <w:rsid w:val="001216E5"/>
    <w:rsid w:val="001221F7"/>
    <w:rsid w:val="001222E2"/>
    <w:rsid w:val="00122550"/>
    <w:rsid w:val="00122C1D"/>
    <w:rsid w:val="0012418D"/>
    <w:rsid w:val="00124ACD"/>
    <w:rsid w:val="0012586C"/>
    <w:rsid w:val="00125C87"/>
    <w:rsid w:val="001270D5"/>
    <w:rsid w:val="00130198"/>
    <w:rsid w:val="001307E4"/>
    <w:rsid w:val="00130810"/>
    <w:rsid w:val="00130A6A"/>
    <w:rsid w:val="00130AA9"/>
    <w:rsid w:val="00131115"/>
    <w:rsid w:val="001333E7"/>
    <w:rsid w:val="0013449A"/>
    <w:rsid w:val="001345AB"/>
    <w:rsid w:val="001347AC"/>
    <w:rsid w:val="00135240"/>
    <w:rsid w:val="001352BE"/>
    <w:rsid w:val="001366A9"/>
    <w:rsid w:val="00136BD6"/>
    <w:rsid w:val="00140A02"/>
    <w:rsid w:val="00141132"/>
    <w:rsid w:val="00141157"/>
    <w:rsid w:val="001413C5"/>
    <w:rsid w:val="00141455"/>
    <w:rsid w:val="00142919"/>
    <w:rsid w:val="001430A9"/>
    <w:rsid w:val="0014379D"/>
    <w:rsid w:val="001450D1"/>
    <w:rsid w:val="0014590D"/>
    <w:rsid w:val="0014638A"/>
    <w:rsid w:val="00146D4B"/>
    <w:rsid w:val="00154232"/>
    <w:rsid w:val="001562B5"/>
    <w:rsid w:val="0015652B"/>
    <w:rsid w:val="001613EE"/>
    <w:rsid w:val="00161865"/>
    <w:rsid w:val="0016228A"/>
    <w:rsid w:val="001626C7"/>
    <w:rsid w:val="00164C6C"/>
    <w:rsid w:val="00166678"/>
    <w:rsid w:val="001667A8"/>
    <w:rsid w:val="00166AB8"/>
    <w:rsid w:val="0016713F"/>
    <w:rsid w:val="0017119D"/>
    <w:rsid w:val="00171F3E"/>
    <w:rsid w:val="001738F7"/>
    <w:rsid w:val="00173B8B"/>
    <w:rsid w:val="00173C23"/>
    <w:rsid w:val="001740F8"/>
    <w:rsid w:val="001749EA"/>
    <w:rsid w:val="00177BB8"/>
    <w:rsid w:val="00177E40"/>
    <w:rsid w:val="0018021E"/>
    <w:rsid w:val="001818BD"/>
    <w:rsid w:val="00181FCE"/>
    <w:rsid w:val="00182FE2"/>
    <w:rsid w:val="001836BC"/>
    <w:rsid w:val="00183EDB"/>
    <w:rsid w:val="00184E78"/>
    <w:rsid w:val="00186791"/>
    <w:rsid w:val="00187C2A"/>
    <w:rsid w:val="00187D8D"/>
    <w:rsid w:val="00190649"/>
    <w:rsid w:val="00190955"/>
    <w:rsid w:val="00190D41"/>
    <w:rsid w:val="00190DB0"/>
    <w:rsid w:val="00190DFA"/>
    <w:rsid w:val="00191DDC"/>
    <w:rsid w:val="0019298A"/>
    <w:rsid w:val="0019336F"/>
    <w:rsid w:val="00193F52"/>
    <w:rsid w:val="00194F66"/>
    <w:rsid w:val="001963E1"/>
    <w:rsid w:val="00196FE5"/>
    <w:rsid w:val="00197445"/>
    <w:rsid w:val="001A0838"/>
    <w:rsid w:val="001A0C30"/>
    <w:rsid w:val="001A3D33"/>
    <w:rsid w:val="001A4D44"/>
    <w:rsid w:val="001A6224"/>
    <w:rsid w:val="001A7245"/>
    <w:rsid w:val="001B0F27"/>
    <w:rsid w:val="001B1959"/>
    <w:rsid w:val="001B2516"/>
    <w:rsid w:val="001B2DA0"/>
    <w:rsid w:val="001B4088"/>
    <w:rsid w:val="001B5256"/>
    <w:rsid w:val="001B6340"/>
    <w:rsid w:val="001B6454"/>
    <w:rsid w:val="001B6CBE"/>
    <w:rsid w:val="001B73DF"/>
    <w:rsid w:val="001C0845"/>
    <w:rsid w:val="001C15E6"/>
    <w:rsid w:val="001C2E9A"/>
    <w:rsid w:val="001C303B"/>
    <w:rsid w:val="001C4599"/>
    <w:rsid w:val="001C4638"/>
    <w:rsid w:val="001C4CE9"/>
    <w:rsid w:val="001C59E4"/>
    <w:rsid w:val="001C6AD0"/>
    <w:rsid w:val="001C7972"/>
    <w:rsid w:val="001D1380"/>
    <w:rsid w:val="001D345C"/>
    <w:rsid w:val="001D3FC1"/>
    <w:rsid w:val="001D52E8"/>
    <w:rsid w:val="001D7355"/>
    <w:rsid w:val="001D79A5"/>
    <w:rsid w:val="001E067E"/>
    <w:rsid w:val="001E074A"/>
    <w:rsid w:val="001E2218"/>
    <w:rsid w:val="001E3183"/>
    <w:rsid w:val="001E3349"/>
    <w:rsid w:val="001E3B57"/>
    <w:rsid w:val="001E5001"/>
    <w:rsid w:val="001E573D"/>
    <w:rsid w:val="001E5FD5"/>
    <w:rsid w:val="001E62B4"/>
    <w:rsid w:val="001E64DE"/>
    <w:rsid w:val="001E7210"/>
    <w:rsid w:val="001E7DAB"/>
    <w:rsid w:val="001E7F11"/>
    <w:rsid w:val="001F0626"/>
    <w:rsid w:val="001F074F"/>
    <w:rsid w:val="001F0B33"/>
    <w:rsid w:val="001F1343"/>
    <w:rsid w:val="001F1AB4"/>
    <w:rsid w:val="001F4D90"/>
    <w:rsid w:val="001F5553"/>
    <w:rsid w:val="001F558F"/>
    <w:rsid w:val="001F5714"/>
    <w:rsid w:val="001F57FC"/>
    <w:rsid w:val="001F65E6"/>
    <w:rsid w:val="00200BC2"/>
    <w:rsid w:val="00201097"/>
    <w:rsid w:val="002013CA"/>
    <w:rsid w:val="00201B5B"/>
    <w:rsid w:val="00202285"/>
    <w:rsid w:val="00202D51"/>
    <w:rsid w:val="00206102"/>
    <w:rsid w:val="00206292"/>
    <w:rsid w:val="00207098"/>
    <w:rsid w:val="00207D07"/>
    <w:rsid w:val="00210072"/>
    <w:rsid w:val="00210376"/>
    <w:rsid w:val="00211205"/>
    <w:rsid w:val="002124E9"/>
    <w:rsid w:val="002135FC"/>
    <w:rsid w:val="00213F6F"/>
    <w:rsid w:val="00214B7D"/>
    <w:rsid w:val="00214F93"/>
    <w:rsid w:val="0021670E"/>
    <w:rsid w:val="00216DF0"/>
    <w:rsid w:val="0021736E"/>
    <w:rsid w:val="00223DDB"/>
    <w:rsid w:val="00224160"/>
    <w:rsid w:val="00224407"/>
    <w:rsid w:val="00225F26"/>
    <w:rsid w:val="002268AC"/>
    <w:rsid w:val="00226AEA"/>
    <w:rsid w:val="00227578"/>
    <w:rsid w:val="0022789E"/>
    <w:rsid w:val="00230AAD"/>
    <w:rsid w:val="00232F58"/>
    <w:rsid w:val="00234DB4"/>
    <w:rsid w:val="002352E5"/>
    <w:rsid w:val="00236636"/>
    <w:rsid w:val="00236C08"/>
    <w:rsid w:val="00237454"/>
    <w:rsid w:val="0024095E"/>
    <w:rsid w:val="002410FD"/>
    <w:rsid w:val="0024478D"/>
    <w:rsid w:val="00245AED"/>
    <w:rsid w:val="00246668"/>
    <w:rsid w:val="002518BC"/>
    <w:rsid w:val="002520DC"/>
    <w:rsid w:val="00252A94"/>
    <w:rsid w:val="00253A33"/>
    <w:rsid w:val="00253BCA"/>
    <w:rsid w:val="00254105"/>
    <w:rsid w:val="002541A5"/>
    <w:rsid w:val="00255A17"/>
    <w:rsid w:val="00256511"/>
    <w:rsid w:val="00260C51"/>
    <w:rsid w:val="00260D74"/>
    <w:rsid w:val="00261286"/>
    <w:rsid w:val="00262EA7"/>
    <w:rsid w:val="00262EB8"/>
    <w:rsid w:val="002636B7"/>
    <w:rsid w:val="00263CA7"/>
    <w:rsid w:val="0026403E"/>
    <w:rsid w:val="0026433B"/>
    <w:rsid w:val="0026458A"/>
    <w:rsid w:val="00265410"/>
    <w:rsid w:val="002674FD"/>
    <w:rsid w:val="00267E3B"/>
    <w:rsid w:val="0027043D"/>
    <w:rsid w:val="002717C9"/>
    <w:rsid w:val="00271AAB"/>
    <w:rsid w:val="00272145"/>
    <w:rsid w:val="00272BC4"/>
    <w:rsid w:val="00273096"/>
    <w:rsid w:val="00273234"/>
    <w:rsid w:val="00275730"/>
    <w:rsid w:val="002776E1"/>
    <w:rsid w:val="002800D3"/>
    <w:rsid w:val="002804A8"/>
    <w:rsid w:val="00280E90"/>
    <w:rsid w:val="0028419A"/>
    <w:rsid w:val="00284A35"/>
    <w:rsid w:val="00284B2A"/>
    <w:rsid w:val="00285204"/>
    <w:rsid w:val="00286314"/>
    <w:rsid w:val="002863A4"/>
    <w:rsid w:val="00286739"/>
    <w:rsid w:val="00286AED"/>
    <w:rsid w:val="00286FD1"/>
    <w:rsid w:val="00287320"/>
    <w:rsid w:val="0028738E"/>
    <w:rsid w:val="0028748B"/>
    <w:rsid w:val="00291075"/>
    <w:rsid w:val="00291920"/>
    <w:rsid w:val="00292605"/>
    <w:rsid w:val="00294CF9"/>
    <w:rsid w:val="002952AB"/>
    <w:rsid w:val="0029552F"/>
    <w:rsid w:val="002958C5"/>
    <w:rsid w:val="002962E1"/>
    <w:rsid w:val="00297133"/>
    <w:rsid w:val="00297FCD"/>
    <w:rsid w:val="002A0F8D"/>
    <w:rsid w:val="002A1A44"/>
    <w:rsid w:val="002A4574"/>
    <w:rsid w:val="002A54D3"/>
    <w:rsid w:val="002A5E39"/>
    <w:rsid w:val="002A6558"/>
    <w:rsid w:val="002A73A9"/>
    <w:rsid w:val="002A7E0E"/>
    <w:rsid w:val="002B07C1"/>
    <w:rsid w:val="002B17FE"/>
    <w:rsid w:val="002B1C43"/>
    <w:rsid w:val="002B340F"/>
    <w:rsid w:val="002B3631"/>
    <w:rsid w:val="002B3D63"/>
    <w:rsid w:val="002B3E49"/>
    <w:rsid w:val="002B48A7"/>
    <w:rsid w:val="002B4DAD"/>
    <w:rsid w:val="002B57B2"/>
    <w:rsid w:val="002B699C"/>
    <w:rsid w:val="002B6B1A"/>
    <w:rsid w:val="002B6EE1"/>
    <w:rsid w:val="002C13BA"/>
    <w:rsid w:val="002C4849"/>
    <w:rsid w:val="002C4A18"/>
    <w:rsid w:val="002C4D91"/>
    <w:rsid w:val="002C569F"/>
    <w:rsid w:val="002C7397"/>
    <w:rsid w:val="002C76E5"/>
    <w:rsid w:val="002D008E"/>
    <w:rsid w:val="002D07A0"/>
    <w:rsid w:val="002D2614"/>
    <w:rsid w:val="002D2B46"/>
    <w:rsid w:val="002D2BAB"/>
    <w:rsid w:val="002D4DCA"/>
    <w:rsid w:val="002D4EFD"/>
    <w:rsid w:val="002D65FB"/>
    <w:rsid w:val="002D6AD2"/>
    <w:rsid w:val="002D6C60"/>
    <w:rsid w:val="002D70CF"/>
    <w:rsid w:val="002D77A3"/>
    <w:rsid w:val="002E02F6"/>
    <w:rsid w:val="002E052C"/>
    <w:rsid w:val="002E1D1F"/>
    <w:rsid w:val="002E1E6B"/>
    <w:rsid w:val="002E3B6D"/>
    <w:rsid w:val="002E416B"/>
    <w:rsid w:val="002E60BB"/>
    <w:rsid w:val="002E6F51"/>
    <w:rsid w:val="002E73C0"/>
    <w:rsid w:val="002E77E9"/>
    <w:rsid w:val="002E7863"/>
    <w:rsid w:val="002F0514"/>
    <w:rsid w:val="002F1341"/>
    <w:rsid w:val="002F2F2E"/>
    <w:rsid w:val="002F33E6"/>
    <w:rsid w:val="002F36CA"/>
    <w:rsid w:val="002F3FD8"/>
    <w:rsid w:val="002F4C0C"/>
    <w:rsid w:val="002F538E"/>
    <w:rsid w:val="002F5E25"/>
    <w:rsid w:val="002F6480"/>
    <w:rsid w:val="002F6785"/>
    <w:rsid w:val="002F747D"/>
    <w:rsid w:val="002F77CE"/>
    <w:rsid w:val="002F7E3E"/>
    <w:rsid w:val="00300AA8"/>
    <w:rsid w:val="00301B60"/>
    <w:rsid w:val="00301B83"/>
    <w:rsid w:val="00301E81"/>
    <w:rsid w:val="003028A9"/>
    <w:rsid w:val="00303155"/>
    <w:rsid w:val="003037BB"/>
    <w:rsid w:val="003044F5"/>
    <w:rsid w:val="00304766"/>
    <w:rsid w:val="00305E95"/>
    <w:rsid w:val="00306131"/>
    <w:rsid w:val="00310337"/>
    <w:rsid w:val="00310B70"/>
    <w:rsid w:val="00311D77"/>
    <w:rsid w:val="00312D19"/>
    <w:rsid w:val="0031355F"/>
    <w:rsid w:val="00315470"/>
    <w:rsid w:val="003164A9"/>
    <w:rsid w:val="00316F87"/>
    <w:rsid w:val="00317C47"/>
    <w:rsid w:val="00320BA8"/>
    <w:rsid w:val="003213F3"/>
    <w:rsid w:val="00321729"/>
    <w:rsid w:val="00321CC2"/>
    <w:rsid w:val="00323164"/>
    <w:rsid w:val="0032521E"/>
    <w:rsid w:val="003256CE"/>
    <w:rsid w:val="00326607"/>
    <w:rsid w:val="003267D4"/>
    <w:rsid w:val="003269A0"/>
    <w:rsid w:val="0033001C"/>
    <w:rsid w:val="00330364"/>
    <w:rsid w:val="0033069E"/>
    <w:rsid w:val="003314BD"/>
    <w:rsid w:val="003318F7"/>
    <w:rsid w:val="00332F7A"/>
    <w:rsid w:val="003331A7"/>
    <w:rsid w:val="0033388D"/>
    <w:rsid w:val="00336EA0"/>
    <w:rsid w:val="00337303"/>
    <w:rsid w:val="0034125D"/>
    <w:rsid w:val="003424EF"/>
    <w:rsid w:val="00342E6D"/>
    <w:rsid w:val="00342F46"/>
    <w:rsid w:val="00344C70"/>
    <w:rsid w:val="003463D2"/>
    <w:rsid w:val="0034716A"/>
    <w:rsid w:val="0034729F"/>
    <w:rsid w:val="00350634"/>
    <w:rsid w:val="00350B34"/>
    <w:rsid w:val="0035152B"/>
    <w:rsid w:val="003519ED"/>
    <w:rsid w:val="00351A54"/>
    <w:rsid w:val="00352261"/>
    <w:rsid w:val="003526D9"/>
    <w:rsid w:val="00352A10"/>
    <w:rsid w:val="0035488E"/>
    <w:rsid w:val="003553CA"/>
    <w:rsid w:val="003556A0"/>
    <w:rsid w:val="00355E5E"/>
    <w:rsid w:val="00357B49"/>
    <w:rsid w:val="00357E3E"/>
    <w:rsid w:val="00360396"/>
    <w:rsid w:val="00360DF5"/>
    <w:rsid w:val="00360E39"/>
    <w:rsid w:val="00361EFD"/>
    <w:rsid w:val="00362AA2"/>
    <w:rsid w:val="00363147"/>
    <w:rsid w:val="00366AED"/>
    <w:rsid w:val="00366D55"/>
    <w:rsid w:val="00371B34"/>
    <w:rsid w:val="003721AF"/>
    <w:rsid w:val="0037222A"/>
    <w:rsid w:val="0037263D"/>
    <w:rsid w:val="003727ED"/>
    <w:rsid w:val="00373183"/>
    <w:rsid w:val="00373EC0"/>
    <w:rsid w:val="003741E4"/>
    <w:rsid w:val="00376727"/>
    <w:rsid w:val="00376863"/>
    <w:rsid w:val="00377E06"/>
    <w:rsid w:val="0038022A"/>
    <w:rsid w:val="00380C02"/>
    <w:rsid w:val="00380C79"/>
    <w:rsid w:val="0038202E"/>
    <w:rsid w:val="00387495"/>
    <w:rsid w:val="003914E7"/>
    <w:rsid w:val="003919E7"/>
    <w:rsid w:val="00391C16"/>
    <w:rsid w:val="003924BE"/>
    <w:rsid w:val="00393070"/>
    <w:rsid w:val="003934E4"/>
    <w:rsid w:val="003935DB"/>
    <w:rsid w:val="003938B7"/>
    <w:rsid w:val="0039391F"/>
    <w:rsid w:val="00393B92"/>
    <w:rsid w:val="00394D0F"/>
    <w:rsid w:val="00396705"/>
    <w:rsid w:val="003A1366"/>
    <w:rsid w:val="003A14A0"/>
    <w:rsid w:val="003A372F"/>
    <w:rsid w:val="003A57FF"/>
    <w:rsid w:val="003A5D7C"/>
    <w:rsid w:val="003A71D0"/>
    <w:rsid w:val="003B235F"/>
    <w:rsid w:val="003B2904"/>
    <w:rsid w:val="003B35B5"/>
    <w:rsid w:val="003B4A52"/>
    <w:rsid w:val="003B5C49"/>
    <w:rsid w:val="003B62B9"/>
    <w:rsid w:val="003B66BB"/>
    <w:rsid w:val="003B71B3"/>
    <w:rsid w:val="003B746B"/>
    <w:rsid w:val="003B7878"/>
    <w:rsid w:val="003C1064"/>
    <w:rsid w:val="003C3F5A"/>
    <w:rsid w:val="003C42A8"/>
    <w:rsid w:val="003C4773"/>
    <w:rsid w:val="003C4900"/>
    <w:rsid w:val="003C4D5D"/>
    <w:rsid w:val="003C4D6B"/>
    <w:rsid w:val="003C6AD8"/>
    <w:rsid w:val="003D259E"/>
    <w:rsid w:val="003D378C"/>
    <w:rsid w:val="003D392C"/>
    <w:rsid w:val="003D5A1A"/>
    <w:rsid w:val="003D63BE"/>
    <w:rsid w:val="003D6D9A"/>
    <w:rsid w:val="003D7B73"/>
    <w:rsid w:val="003E0DF9"/>
    <w:rsid w:val="003E0E94"/>
    <w:rsid w:val="003E118D"/>
    <w:rsid w:val="003E2111"/>
    <w:rsid w:val="003E2169"/>
    <w:rsid w:val="003E3A1C"/>
    <w:rsid w:val="003E44B5"/>
    <w:rsid w:val="003E46CC"/>
    <w:rsid w:val="003E5D47"/>
    <w:rsid w:val="003E6D4A"/>
    <w:rsid w:val="003E6E87"/>
    <w:rsid w:val="003E7915"/>
    <w:rsid w:val="003F1202"/>
    <w:rsid w:val="003F37A8"/>
    <w:rsid w:val="003F421D"/>
    <w:rsid w:val="003F43ED"/>
    <w:rsid w:val="003F555D"/>
    <w:rsid w:val="003F5A02"/>
    <w:rsid w:val="003F6586"/>
    <w:rsid w:val="003F6E9F"/>
    <w:rsid w:val="003F72AE"/>
    <w:rsid w:val="004000A2"/>
    <w:rsid w:val="00400ADE"/>
    <w:rsid w:val="00400FFB"/>
    <w:rsid w:val="00401FCA"/>
    <w:rsid w:val="0040392D"/>
    <w:rsid w:val="004041FF"/>
    <w:rsid w:val="00404A2F"/>
    <w:rsid w:val="004056EC"/>
    <w:rsid w:val="0040592A"/>
    <w:rsid w:val="00407B0A"/>
    <w:rsid w:val="004119AA"/>
    <w:rsid w:val="00411EC0"/>
    <w:rsid w:val="004120AB"/>
    <w:rsid w:val="00413758"/>
    <w:rsid w:val="0041460A"/>
    <w:rsid w:val="00414F66"/>
    <w:rsid w:val="00415A2E"/>
    <w:rsid w:val="00415F62"/>
    <w:rsid w:val="00416F11"/>
    <w:rsid w:val="00416F13"/>
    <w:rsid w:val="004172B8"/>
    <w:rsid w:val="004176A9"/>
    <w:rsid w:val="00417AD3"/>
    <w:rsid w:val="00417B8C"/>
    <w:rsid w:val="00420072"/>
    <w:rsid w:val="004201B8"/>
    <w:rsid w:val="00420D92"/>
    <w:rsid w:val="00421AD2"/>
    <w:rsid w:val="00422B7A"/>
    <w:rsid w:val="00423A40"/>
    <w:rsid w:val="00423A89"/>
    <w:rsid w:val="00424D7C"/>
    <w:rsid w:val="004255CC"/>
    <w:rsid w:val="0042597D"/>
    <w:rsid w:val="004268FC"/>
    <w:rsid w:val="00430A99"/>
    <w:rsid w:val="0043159F"/>
    <w:rsid w:val="00431C0C"/>
    <w:rsid w:val="004321B2"/>
    <w:rsid w:val="004326BA"/>
    <w:rsid w:val="00433346"/>
    <w:rsid w:val="004364C9"/>
    <w:rsid w:val="00436851"/>
    <w:rsid w:val="004368C5"/>
    <w:rsid w:val="00436C3B"/>
    <w:rsid w:val="004372A6"/>
    <w:rsid w:val="00440825"/>
    <w:rsid w:val="004410EC"/>
    <w:rsid w:val="00442BF5"/>
    <w:rsid w:val="00443814"/>
    <w:rsid w:val="00443B4A"/>
    <w:rsid w:val="00443C42"/>
    <w:rsid w:val="00444501"/>
    <w:rsid w:val="00444972"/>
    <w:rsid w:val="0044620F"/>
    <w:rsid w:val="004471A0"/>
    <w:rsid w:val="00447AF7"/>
    <w:rsid w:val="00450053"/>
    <w:rsid w:val="004503C3"/>
    <w:rsid w:val="00450512"/>
    <w:rsid w:val="00451104"/>
    <w:rsid w:val="00451BB2"/>
    <w:rsid w:val="00452D8F"/>
    <w:rsid w:val="00452E09"/>
    <w:rsid w:val="004534CA"/>
    <w:rsid w:val="00453BD1"/>
    <w:rsid w:val="004559AA"/>
    <w:rsid w:val="00455A3C"/>
    <w:rsid w:val="0045649E"/>
    <w:rsid w:val="00457F21"/>
    <w:rsid w:val="004609FD"/>
    <w:rsid w:val="00461610"/>
    <w:rsid w:val="0046177A"/>
    <w:rsid w:val="00461812"/>
    <w:rsid w:val="0046241F"/>
    <w:rsid w:val="00463AA2"/>
    <w:rsid w:val="004642CD"/>
    <w:rsid w:val="00465E1E"/>
    <w:rsid w:val="004676FB"/>
    <w:rsid w:val="00467ABD"/>
    <w:rsid w:val="0047032F"/>
    <w:rsid w:val="0047039A"/>
    <w:rsid w:val="0047097E"/>
    <w:rsid w:val="00470AA9"/>
    <w:rsid w:val="00472179"/>
    <w:rsid w:val="00472D77"/>
    <w:rsid w:val="0047398D"/>
    <w:rsid w:val="00474C57"/>
    <w:rsid w:val="00476E48"/>
    <w:rsid w:val="00477B09"/>
    <w:rsid w:val="00480BD7"/>
    <w:rsid w:val="0048123F"/>
    <w:rsid w:val="004812C3"/>
    <w:rsid w:val="004817DA"/>
    <w:rsid w:val="00481C96"/>
    <w:rsid w:val="004822A1"/>
    <w:rsid w:val="00482FC2"/>
    <w:rsid w:val="00483028"/>
    <w:rsid w:val="00484B8C"/>
    <w:rsid w:val="00486EB5"/>
    <w:rsid w:val="004878B1"/>
    <w:rsid w:val="004917F8"/>
    <w:rsid w:val="00492E57"/>
    <w:rsid w:val="00493178"/>
    <w:rsid w:val="004939CD"/>
    <w:rsid w:val="00493B06"/>
    <w:rsid w:val="0049495C"/>
    <w:rsid w:val="00495A3E"/>
    <w:rsid w:val="00495E7A"/>
    <w:rsid w:val="00496014"/>
    <w:rsid w:val="0049711B"/>
    <w:rsid w:val="00497D14"/>
    <w:rsid w:val="004A0025"/>
    <w:rsid w:val="004A028A"/>
    <w:rsid w:val="004A03D9"/>
    <w:rsid w:val="004A05D0"/>
    <w:rsid w:val="004A0842"/>
    <w:rsid w:val="004A0E51"/>
    <w:rsid w:val="004A16FD"/>
    <w:rsid w:val="004A17C4"/>
    <w:rsid w:val="004A3920"/>
    <w:rsid w:val="004A3CB7"/>
    <w:rsid w:val="004A4040"/>
    <w:rsid w:val="004A4378"/>
    <w:rsid w:val="004A43E0"/>
    <w:rsid w:val="004A4A30"/>
    <w:rsid w:val="004A58C2"/>
    <w:rsid w:val="004A6737"/>
    <w:rsid w:val="004A6841"/>
    <w:rsid w:val="004A744F"/>
    <w:rsid w:val="004A786A"/>
    <w:rsid w:val="004B0485"/>
    <w:rsid w:val="004B0D34"/>
    <w:rsid w:val="004B0EA7"/>
    <w:rsid w:val="004B10F6"/>
    <w:rsid w:val="004B1131"/>
    <w:rsid w:val="004B17F4"/>
    <w:rsid w:val="004B1B33"/>
    <w:rsid w:val="004B22CD"/>
    <w:rsid w:val="004B267E"/>
    <w:rsid w:val="004B4603"/>
    <w:rsid w:val="004B48FD"/>
    <w:rsid w:val="004B506F"/>
    <w:rsid w:val="004B64DB"/>
    <w:rsid w:val="004B7D4D"/>
    <w:rsid w:val="004C13E3"/>
    <w:rsid w:val="004C2B25"/>
    <w:rsid w:val="004C30CC"/>
    <w:rsid w:val="004C5A5D"/>
    <w:rsid w:val="004C5FD2"/>
    <w:rsid w:val="004C6727"/>
    <w:rsid w:val="004C6E44"/>
    <w:rsid w:val="004C70CC"/>
    <w:rsid w:val="004C7196"/>
    <w:rsid w:val="004D0DF0"/>
    <w:rsid w:val="004D0EB3"/>
    <w:rsid w:val="004D13F7"/>
    <w:rsid w:val="004D18AD"/>
    <w:rsid w:val="004D22B1"/>
    <w:rsid w:val="004D2303"/>
    <w:rsid w:val="004D2A3F"/>
    <w:rsid w:val="004D38D0"/>
    <w:rsid w:val="004D3EF7"/>
    <w:rsid w:val="004D4959"/>
    <w:rsid w:val="004D73F5"/>
    <w:rsid w:val="004E22D1"/>
    <w:rsid w:val="004E2B03"/>
    <w:rsid w:val="004E2EE4"/>
    <w:rsid w:val="004E3262"/>
    <w:rsid w:val="004E4DB0"/>
    <w:rsid w:val="004E4EE5"/>
    <w:rsid w:val="004E6DC8"/>
    <w:rsid w:val="004E6EA0"/>
    <w:rsid w:val="004E73C7"/>
    <w:rsid w:val="004E7559"/>
    <w:rsid w:val="004E7F60"/>
    <w:rsid w:val="004E7FA2"/>
    <w:rsid w:val="004F11EB"/>
    <w:rsid w:val="004F1718"/>
    <w:rsid w:val="004F19D2"/>
    <w:rsid w:val="004F20C2"/>
    <w:rsid w:val="004F25AC"/>
    <w:rsid w:val="004F2707"/>
    <w:rsid w:val="004F2D46"/>
    <w:rsid w:val="004F393C"/>
    <w:rsid w:val="004F44B6"/>
    <w:rsid w:val="004F4E53"/>
    <w:rsid w:val="004F666D"/>
    <w:rsid w:val="0050118D"/>
    <w:rsid w:val="00501AE7"/>
    <w:rsid w:val="00502676"/>
    <w:rsid w:val="00503117"/>
    <w:rsid w:val="005037B8"/>
    <w:rsid w:val="00504820"/>
    <w:rsid w:val="005050C7"/>
    <w:rsid w:val="00506D02"/>
    <w:rsid w:val="005070E3"/>
    <w:rsid w:val="005079A6"/>
    <w:rsid w:val="00507E74"/>
    <w:rsid w:val="00510647"/>
    <w:rsid w:val="005116C5"/>
    <w:rsid w:val="00511BFF"/>
    <w:rsid w:val="00512758"/>
    <w:rsid w:val="0051275C"/>
    <w:rsid w:val="0051357A"/>
    <w:rsid w:val="00513CD8"/>
    <w:rsid w:val="00516759"/>
    <w:rsid w:val="005208FA"/>
    <w:rsid w:val="00520C28"/>
    <w:rsid w:val="00520CC9"/>
    <w:rsid w:val="005224F3"/>
    <w:rsid w:val="005232B0"/>
    <w:rsid w:val="00523EED"/>
    <w:rsid w:val="00524E83"/>
    <w:rsid w:val="005258B9"/>
    <w:rsid w:val="005271A3"/>
    <w:rsid w:val="00527D7A"/>
    <w:rsid w:val="005301D4"/>
    <w:rsid w:val="00532669"/>
    <w:rsid w:val="0053310D"/>
    <w:rsid w:val="00533282"/>
    <w:rsid w:val="00535CE2"/>
    <w:rsid w:val="00535E87"/>
    <w:rsid w:val="00535EBF"/>
    <w:rsid w:val="005370A1"/>
    <w:rsid w:val="005371D9"/>
    <w:rsid w:val="005401A8"/>
    <w:rsid w:val="0054108E"/>
    <w:rsid w:val="00541330"/>
    <w:rsid w:val="00541A19"/>
    <w:rsid w:val="005420A0"/>
    <w:rsid w:val="00542D6B"/>
    <w:rsid w:val="00543856"/>
    <w:rsid w:val="00545001"/>
    <w:rsid w:val="005459D8"/>
    <w:rsid w:val="005466D6"/>
    <w:rsid w:val="00547B9E"/>
    <w:rsid w:val="00550E55"/>
    <w:rsid w:val="005513EE"/>
    <w:rsid w:val="005517DA"/>
    <w:rsid w:val="00551C71"/>
    <w:rsid w:val="005530F0"/>
    <w:rsid w:val="005535AD"/>
    <w:rsid w:val="005559A8"/>
    <w:rsid w:val="00555A9C"/>
    <w:rsid w:val="00555AE7"/>
    <w:rsid w:val="00556A23"/>
    <w:rsid w:val="00556F1F"/>
    <w:rsid w:val="00557119"/>
    <w:rsid w:val="00557DAC"/>
    <w:rsid w:val="00560949"/>
    <w:rsid w:val="00560C86"/>
    <w:rsid w:val="005612F0"/>
    <w:rsid w:val="00562655"/>
    <w:rsid w:val="00564A66"/>
    <w:rsid w:val="00565062"/>
    <w:rsid w:val="00565A16"/>
    <w:rsid w:val="005661E0"/>
    <w:rsid w:val="00567322"/>
    <w:rsid w:val="005678F7"/>
    <w:rsid w:val="005706B2"/>
    <w:rsid w:val="005706D8"/>
    <w:rsid w:val="0057119F"/>
    <w:rsid w:val="0057244E"/>
    <w:rsid w:val="00572463"/>
    <w:rsid w:val="005729D9"/>
    <w:rsid w:val="005735BA"/>
    <w:rsid w:val="005736CD"/>
    <w:rsid w:val="00573CE6"/>
    <w:rsid w:val="00573E7F"/>
    <w:rsid w:val="00573EE5"/>
    <w:rsid w:val="0057422A"/>
    <w:rsid w:val="00574519"/>
    <w:rsid w:val="0057558F"/>
    <w:rsid w:val="005755F0"/>
    <w:rsid w:val="0057673D"/>
    <w:rsid w:val="00576EB3"/>
    <w:rsid w:val="005775FB"/>
    <w:rsid w:val="00577A94"/>
    <w:rsid w:val="00577EB2"/>
    <w:rsid w:val="00580616"/>
    <w:rsid w:val="00580BE6"/>
    <w:rsid w:val="00580F9E"/>
    <w:rsid w:val="00581315"/>
    <w:rsid w:val="00582F95"/>
    <w:rsid w:val="00583A60"/>
    <w:rsid w:val="00583D06"/>
    <w:rsid w:val="00584EBD"/>
    <w:rsid w:val="005854EC"/>
    <w:rsid w:val="00586DC9"/>
    <w:rsid w:val="00587CF6"/>
    <w:rsid w:val="00591B74"/>
    <w:rsid w:val="005922E6"/>
    <w:rsid w:val="00593972"/>
    <w:rsid w:val="00593CFA"/>
    <w:rsid w:val="005955B8"/>
    <w:rsid w:val="00596D45"/>
    <w:rsid w:val="00597C01"/>
    <w:rsid w:val="005A036E"/>
    <w:rsid w:val="005A0470"/>
    <w:rsid w:val="005A0DB7"/>
    <w:rsid w:val="005A14AB"/>
    <w:rsid w:val="005A1737"/>
    <w:rsid w:val="005A1FAC"/>
    <w:rsid w:val="005A29F9"/>
    <w:rsid w:val="005A2D95"/>
    <w:rsid w:val="005A4574"/>
    <w:rsid w:val="005A4906"/>
    <w:rsid w:val="005A54D8"/>
    <w:rsid w:val="005A6761"/>
    <w:rsid w:val="005A717B"/>
    <w:rsid w:val="005A77CE"/>
    <w:rsid w:val="005A797A"/>
    <w:rsid w:val="005B1567"/>
    <w:rsid w:val="005B246E"/>
    <w:rsid w:val="005B34E8"/>
    <w:rsid w:val="005B35D4"/>
    <w:rsid w:val="005B3A5D"/>
    <w:rsid w:val="005B48A0"/>
    <w:rsid w:val="005B5741"/>
    <w:rsid w:val="005B6D41"/>
    <w:rsid w:val="005C0522"/>
    <w:rsid w:val="005C09DA"/>
    <w:rsid w:val="005C236A"/>
    <w:rsid w:val="005C2BB5"/>
    <w:rsid w:val="005C2BC1"/>
    <w:rsid w:val="005C2FB8"/>
    <w:rsid w:val="005C38F0"/>
    <w:rsid w:val="005C3A9A"/>
    <w:rsid w:val="005C5663"/>
    <w:rsid w:val="005C7746"/>
    <w:rsid w:val="005C7784"/>
    <w:rsid w:val="005D0C1B"/>
    <w:rsid w:val="005D2125"/>
    <w:rsid w:val="005D34E2"/>
    <w:rsid w:val="005D5E89"/>
    <w:rsid w:val="005D6004"/>
    <w:rsid w:val="005D63FE"/>
    <w:rsid w:val="005D7950"/>
    <w:rsid w:val="005E0299"/>
    <w:rsid w:val="005E1479"/>
    <w:rsid w:val="005E1A11"/>
    <w:rsid w:val="005E2F6C"/>
    <w:rsid w:val="005E3008"/>
    <w:rsid w:val="005E47EC"/>
    <w:rsid w:val="005E5791"/>
    <w:rsid w:val="005E59E3"/>
    <w:rsid w:val="005E5E26"/>
    <w:rsid w:val="005E753A"/>
    <w:rsid w:val="005E7AAF"/>
    <w:rsid w:val="005F00C0"/>
    <w:rsid w:val="005F1F13"/>
    <w:rsid w:val="005F2243"/>
    <w:rsid w:val="005F3E86"/>
    <w:rsid w:val="005F5102"/>
    <w:rsid w:val="005F5AF1"/>
    <w:rsid w:val="0060012C"/>
    <w:rsid w:val="00600277"/>
    <w:rsid w:val="00601035"/>
    <w:rsid w:val="00601702"/>
    <w:rsid w:val="006018B2"/>
    <w:rsid w:val="00602109"/>
    <w:rsid w:val="0060348B"/>
    <w:rsid w:val="00603596"/>
    <w:rsid w:val="0060372C"/>
    <w:rsid w:val="00603809"/>
    <w:rsid w:val="0060414D"/>
    <w:rsid w:val="0060426D"/>
    <w:rsid w:val="00604AA9"/>
    <w:rsid w:val="00604D42"/>
    <w:rsid w:val="006053F4"/>
    <w:rsid w:val="00605B97"/>
    <w:rsid w:val="00606DD9"/>
    <w:rsid w:val="00607209"/>
    <w:rsid w:val="006078E5"/>
    <w:rsid w:val="00607946"/>
    <w:rsid w:val="006079F1"/>
    <w:rsid w:val="00610BFD"/>
    <w:rsid w:val="00610FA0"/>
    <w:rsid w:val="00611013"/>
    <w:rsid w:val="0061128B"/>
    <w:rsid w:val="00611617"/>
    <w:rsid w:val="006117CC"/>
    <w:rsid w:val="0061199F"/>
    <w:rsid w:val="00612282"/>
    <w:rsid w:val="006149A3"/>
    <w:rsid w:val="006157D6"/>
    <w:rsid w:val="00615A18"/>
    <w:rsid w:val="00616441"/>
    <w:rsid w:val="006168DC"/>
    <w:rsid w:val="00617349"/>
    <w:rsid w:val="00617A76"/>
    <w:rsid w:val="00617C01"/>
    <w:rsid w:val="00617F73"/>
    <w:rsid w:val="00621E66"/>
    <w:rsid w:val="00623401"/>
    <w:rsid w:val="00623A55"/>
    <w:rsid w:val="00625344"/>
    <w:rsid w:val="0062538B"/>
    <w:rsid w:val="00625AEA"/>
    <w:rsid w:val="00625BA9"/>
    <w:rsid w:val="00625C9C"/>
    <w:rsid w:val="00626084"/>
    <w:rsid w:val="00626DB5"/>
    <w:rsid w:val="0062712D"/>
    <w:rsid w:val="0062777D"/>
    <w:rsid w:val="006301CE"/>
    <w:rsid w:val="0063021B"/>
    <w:rsid w:val="00630A24"/>
    <w:rsid w:val="0063188A"/>
    <w:rsid w:val="00634D9C"/>
    <w:rsid w:val="00635910"/>
    <w:rsid w:val="0063659A"/>
    <w:rsid w:val="006413DF"/>
    <w:rsid w:val="00645F36"/>
    <w:rsid w:val="006461DB"/>
    <w:rsid w:val="00647E46"/>
    <w:rsid w:val="0065046F"/>
    <w:rsid w:val="00650DEF"/>
    <w:rsid w:val="00651C86"/>
    <w:rsid w:val="00652333"/>
    <w:rsid w:val="00653310"/>
    <w:rsid w:val="0065392E"/>
    <w:rsid w:val="0065415A"/>
    <w:rsid w:val="006542AC"/>
    <w:rsid w:val="00655963"/>
    <w:rsid w:val="00655BE7"/>
    <w:rsid w:val="0065640A"/>
    <w:rsid w:val="0065666E"/>
    <w:rsid w:val="00657FF8"/>
    <w:rsid w:val="0066075C"/>
    <w:rsid w:val="00662F59"/>
    <w:rsid w:val="0066396F"/>
    <w:rsid w:val="006644F8"/>
    <w:rsid w:val="00665D5A"/>
    <w:rsid w:val="006664E3"/>
    <w:rsid w:val="00666593"/>
    <w:rsid w:val="00666B83"/>
    <w:rsid w:val="006676F2"/>
    <w:rsid w:val="00667718"/>
    <w:rsid w:val="0067075A"/>
    <w:rsid w:val="00670DB9"/>
    <w:rsid w:val="00670F29"/>
    <w:rsid w:val="00671AED"/>
    <w:rsid w:val="00672657"/>
    <w:rsid w:val="00672759"/>
    <w:rsid w:val="00672D28"/>
    <w:rsid w:val="006743D8"/>
    <w:rsid w:val="006769B8"/>
    <w:rsid w:val="00676CAA"/>
    <w:rsid w:val="006770F2"/>
    <w:rsid w:val="0067799D"/>
    <w:rsid w:val="00677E5B"/>
    <w:rsid w:val="006810EF"/>
    <w:rsid w:val="00681459"/>
    <w:rsid w:val="006829CA"/>
    <w:rsid w:val="0068364B"/>
    <w:rsid w:val="006839D1"/>
    <w:rsid w:val="00683BC0"/>
    <w:rsid w:val="00683CF7"/>
    <w:rsid w:val="0068660F"/>
    <w:rsid w:val="0068721B"/>
    <w:rsid w:val="00690068"/>
    <w:rsid w:val="00690A90"/>
    <w:rsid w:val="00691F3A"/>
    <w:rsid w:val="00693FBA"/>
    <w:rsid w:val="006966F5"/>
    <w:rsid w:val="00697F9A"/>
    <w:rsid w:val="006A094B"/>
    <w:rsid w:val="006A12E4"/>
    <w:rsid w:val="006A3439"/>
    <w:rsid w:val="006A44A6"/>
    <w:rsid w:val="006A48FF"/>
    <w:rsid w:val="006A6009"/>
    <w:rsid w:val="006A6304"/>
    <w:rsid w:val="006A6444"/>
    <w:rsid w:val="006A6CA0"/>
    <w:rsid w:val="006A6F60"/>
    <w:rsid w:val="006A7F44"/>
    <w:rsid w:val="006B02A9"/>
    <w:rsid w:val="006B14EF"/>
    <w:rsid w:val="006B1C9E"/>
    <w:rsid w:val="006B24BF"/>
    <w:rsid w:val="006B274D"/>
    <w:rsid w:val="006B2920"/>
    <w:rsid w:val="006B3066"/>
    <w:rsid w:val="006B3F16"/>
    <w:rsid w:val="006B4B09"/>
    <w:rsid w:val="006B4E58"/>
    <w:rsid w:val="006B574A"/>
    <w:rsid w:val="006B5839"/>
    <w:rsid w:val="006B5B9C"/>
    <w:rsid w:val="006B77D1"/>
    <w:rsid w:val="006C01CD"/>
    <w:rsid w:val="006C02A0"/>
    <w:rsid w:val="006C0BCD"/>
    <w:rsid w:val="006C2505"/>
    <w:rsid w:val="006C5458"/>
    <w:rsid w:val="006C6326"/>
    <w:rsid w:val="006C637C"/>
    <w:rsid w:val="006C6EF4"/>
    <w:rsid w:val="006D0E4D"/>
    <w:rsid w:val="006D158D"/>
    <w:rsid w:val="006D29E5"/>
    <w:rsid w:val="006D3690"/>
    <w:rsid w:val="006D3E5B"/>
    <w:rsid w:val="006D42C5"/>
    <w:rsid w:val="006D4BEF"/>
    <w:rsid w:val="006D4D3B"/>
    <w:rsid w:val="006D6277"/>
    <w:rsid w:val="006D6B2B"/>
    <w:rsid w:val="006D7859"/>
    <w:rsid w:val="006E0BBB"/>
    <w:rsid w:val="006E0F08"/>
    <w:rsid w:val="006E1535"/>
    <w:rsid w:val="006E2C30"/>
    <w:rsid w:val="006E2CDE"/>
    <w:rsid w:val="006E2F4C"/>
    <w:rsid w:val="006E40D6"/>
    <w:rsid w:val="006E4142"/>
    <w:rsid w:val="006E4868"/>
    <w:rsid w:val="006E4BBA"/>
    <w:rsid w:val="006E597B"/>
    <w:rsid w:val="006E5D1C"/>
    <w:rsid w:val="006E732B"/>
    <w:rsid w:val="006E748B"/>
    <w:rsid w:val="006E789F"/>
    <w:rsid w:val="006F283F"/>
    <w:rsid w:val="006F3FD8"/>
    <w:rsid w:val="006F56E7"/>
    <w:rsid w:val="006F58EA"/>
    <w:rsid w:val="006F5E12"/>
    <w:rsid w:val="006F626F"/>
    <w:rsid w:val="006F67F7"/>
    <w:rsid w:val="0070017F"/>
    <w:rsid w:val="0070041B"/>
    <w:rsid w:val="0070171A"/>
    <w:rsid w:val="0070185A"/>
    <w:rsid w:val="00701D4F"/>
    <w:rsid w:val="00701FDF"/>
    <w:rsid w:val="007026BA"/>
    <w:rsid w:val="007028C8"/>
    <w:rsid w:val="007035E0"/>
    <w:rsid w:val="007044A8"/>
    <w:rsid w:val="007058FD"/>
    <w:rsid w:val="00706CEC"/>
    <w:rsid w:val="0071048A"/>
    <w:rsid w:val="007121D5"/>
    <w:rsid w:val="00713342"/>
    <w:rsid w:val="0071432B"/>
    <w:rsid w:val="00714B12"/>
    <w:rsid w:val="007163B0"/>
    <w:rsid w:val="007163C5"/>
    <w:rsid w:val="0071655F"/>
    <w:rsid w:val="007175C2"/>
    <w:rsid w:val="00717AB5"/>
    <w:rsid w:val="00720B86"/>
    <w:rsid w:val="0072541A"/>
    <w:rsid w:val="00725EF7"/>
    <w:rsid w:val="007275E3"/>
    <w:rsid w:val="00733646"/>
    <w:rsid w:val="00734CDA"/>
    <w:rsid w:val="00734E00"/>
    <w:rsid w:val="007351A3"/>
    <w:rsid w:val="00740419"/>
    <w:rsid w:val="00740B68"/>
    <w:rsid w:val="00742273"/>
    <w:rsid w:val="007423E2"/>
    <w:rsid w:val="00743386"/>
    <w:rsid w:val="00743B42"/>
    <w:rsid w:val="007444D3"/>
    <w:rsid w:val="0074487A"/>
    <w:rsid w:val="00744FFD"/>
    <w:rsid w:val="007454B4"/>
    <w:rsid w:val="00747701"/>
    <w:rsid w:val="00747FA2"/>
    <w:rsid w:val="00750CA8"/>
    <w:rsid w:val="007518FE"/>
    <w:rsid w:val="00751FB7"/>
    <w:rsid w:val="00753FB0"/>
    <w:rsid w:val="007555E1"/>
    <w:rsid w:val="00756C40"/>
    <w:rsid w:val="00756D64"/>
    <w:rsid w:val="007574E2"/>
    <w:rsid w:val="00757DB3"/>
    <w:rsid w:val="00760BD9"/>
    <w:rsid w:val="00760DD3"/>
    <w:rsid w:val="00762391"/>
    <w:rsid w:val="007623E9"/>
    <w:rsid w:val="00764EC6"/>
    <w:rsid w:val="00765D36"/>
    <w:rsid w:val="007664AE"/>
    <w:rsid w:val="007679DB"/>
    <w:rsid w:val="00772FD8"/>
    <w:rsid w:val="007732F6"/>
    <w:rsid w:val="00773A78"/>
    <w:rsid w:val="00773C9A"/>
    <w:rsid w:val="00774BB6"/>
    <w:rsid w:val="00775894"/>
    <w:rsid w:val="00776D8C"/>
    <w:rsid w:val="00777303"/>
    <w:rsid w:val="00780322"/>
    <w:rsid w:val="007812BD"/>
    <w:rsid w:val="00781FE1"/>
    <w:rsid w:val="00785AA1"/>
    <w:rsid w:val="00786716"/>
    <w:rsid w:val="00786723"/>
    <w:rsid w:val="00787DCC"/>
    <w:rsid w:val="00787F99"/>
    <w:rsid w:val="00793EB9"/>
    <w:rsid w:val="0079428A"/>
    <w:rsid w:val="00794355"/>
    <w:rsid w:val="00794985"/>
    <w:rsid w:val="007961CC"/>
    <w:rsid w:val="00796D56"/>
    <w:rsid w:val="00796DB2"/>
    <w:rsid w:val="007974EB"/>
    <w:rsid w:val="00797AAB"/>
    <w:rsid w:val="007A01AE"/>
    <w:rsid w:val="007A175C"/>
    <w:rsid w:val="007A26B3"/>
    <w:rsid w:val="007A42DE"/>
    <w:rsid w:val="007A43C0"/>
    <w:rsid w:val="007A693F"/>
    <w:rsid w:val="007A7850"/>
    <w:rsid w:val="007B0179"/>
    <w:rsid w:val="007B079E"/>
    <w:rsid w:val="007B126E"/>
    <w:rsid w:val="007B1D02"/>
    <w:rsid w:val="007B1FD8"/>
    <w:rsid w:val="007B2849"/>
    <w:rsid w:val="007B3BEB"/>
    <w:rsid w:val="007B46E2"/>
    <w:rsid w:val="007B5D67"/>
    <w:rsid w:val="007B63CA"/>
    <w:rsid w:val="007B68DB"/>
    <w:rsid w:val="007B6B26"/>
    <w:rsid w:val="007B6B61"/>
    <w:rsid w:val="007C0863"/>
    <w:rsid w:val="007C0B06"/>
    <w:rsid w:val="007C13C7"/>
    <w:rsid w:val="007C1649"/>
    <w:rsid w:val="007C208F"/>
    <w:rsid w:val="007C3B18"/>
    <w:rsid w:val="007C50C6"/>
    <w:rsid w:val="007C5D78"/>
    <w:rsid w:val="007C627C"/>
    <w:rsid w:val="007C63D2"/>
    <w:rsid w:val="007C6F66"/>
    <w:rsid w:val="007C72E3"/>
    <w:rsid w:val="007D0770"/>
    <w:rsid w:val="007D24D7"/>
    <w:rsid w:val="007D2923"/>
    <w:rsid w:val="007D2E3C"/>
    <w:rsid w:val="007D3A72"/>
    <w:rsid w:val="007D3AC0"/>
    <w:rsid w:val="007D416D"/>
    <w:rsid w:val="007D4227"/>
    <w:rsid w:val="007D484B"/>
    <w:rsid w:val="007D543D"/>
    <w:rsid w:val="007D57C1"/>
    <w:rsid w:val="007D59EA"/>
    <w:rsid w:val="007D5A3D"/>
    <w:rsid w:val="007D5D50"/>
    <w:rsid w:val="007D659E"/>
    <w:rsid w:val="007D6E24"/>
    <w:rsid w:val="007D6F57"/>
    <w:rsid w:val="007E13EF"/>
    <w:rsid w:val="007E1613"/>
    <w:rsid w:val="007E1D88"/>
    <w:rsid w:val="007E49D0"/>
    <w:rsid w:val="007E4E2C"/>
    <w:rsid w:val="007E5248"/>
    <w:rsid w:val="007E6A38"/>
    <w:rsid w:val="007E6FA0"/>
    <w:rsid w:val="007F001A"/>
    <w:rsid w:val="007F19CB"/>
    <w:rsid w:val="007F228E"/>
    <w:rsid w:val="007F2659"/>
    <w:rsid w:val="007F2C5B"/>
    <w:rsid w:val="007F2DAA"/>
    <w:rsid w:val="007F500D"/>
    <w:rsid w:val="007F552C"/>
    <w:rsid w:val="007F5CB2"/>
    <w:rsid w:val="007F6680"/>
    <w:rsid w:val="007F7892"/>
    <w:rsid w:val="0080046C"/>
    <w:rsid w:val="008018D0"/>
    <w:rsid w:val="00803A0D"/>
    <w:rsid w:val="00804B52"/>
    <w:rsid w:val="0080515A"/>
    <w:rsid w:val="008100C3"/>
    <w:rsid w:val="00811B4C"/>
    <w:rsid w:val="00812782"/>
    <w:rsid w:val="00813A9D"/>
    <w:rsid w:val="00814179"/>
    <w:rsid w:val="008142B3"/>
    <w:rsid w:val="00814B8D"/>
    <w:rsid w:val="008212B7"/>
    <w:rsid w:val="0082158B"/>
    <w:rsid w:val="00821A87"/>
    <w:rsid w:val="00821EBD"/>
    <w:rsid w:val="008221BF"/>
    <w:rsid w:val="0082313C"/>
    <w:rsid w:val="0082344C"/>
    <w:rsid w:val="00824DFE"/>
    <w:rsid w:val="00826DED"/>
    <w:rsid w:val="00827021"/>
    <w:rsid w:val="00834195"/>
    <w:rsid w:val="0083463B"/>
    <w:rsid w:val="00835110"/>
    <w:rsid w:val="00835AAE"/>
    <w:rsid w:val="0083639C"/>
    <w:rsid w:val="008376C4"/>
    <w:rsid w:val="00837EE7"/>
    <w:rsid w:val="008427EA"/>
    <w:rsid w:val="00842BAA"/>
    <w:rsid w:val="00842D49"/>
    <w:rsid w:val="008435FC"/>
    <w:rsid w:val="00843BAB"/>
    <w:rsid w:val="00845ABA"/>
    <w:rsid w:val="00845AC5"/>
    <w:rsid w:val="00845C17"/>
    <w:rsid w:val="00846636"/>
    <w:rsid w:val="00846773"/>
    <w:rsid w:val="0084712A"/>
    <w:rsid w:val="00847138"/>
    <w:rsid w:val="008473B5"/>
    <w:rsid w:val="00850DA4"/>
    <w:rsid w:val="00853861"/>
    <w:rsid w:val="00855D10"/>
    <w:rsid w:val="008567E6"/>
    <w:rsid w:val="0085778F"/>
    <w:rsid w:val="00862E09"/>
    <w:rsid w:val="0086365D"/>
    <w:rsid w:val="00863BA8"/>
    <w:rsid w:val="00864181"/>
    <w:rsid w:val="0086421A"/>
    <w:rsid w:val="008644F8"/>
    <w:rsid w:val="008646CD"/>
    <w:rsid w:val="008661DF"/>
    <w:rsid w:val="00866269"/>
    <w:rsid w:val="00866DBE"/>
    <w:rsid w:val="008674CD"/>
    <w:rsid w:val="00867BD2"/>
    <w:rsid w:val="00867CE2"/>
    <w:rsid w:val="00871738"/>
    <w:rsid w:val="00871FE9"/>
    <w:rsid w:val="00872D05"/>
    <w:rsid w:val="00874041"/>
    <w:rsid w:val="008742C4"/>
    <w:rsid w:val="00874EFF"/>
    <w:rsid w:val="00880174"/>
    <w:rsid w:val="008803F9"/>
    <w:rsid w:val="00881B24"/>
    <w:rsid w:val="0088201C"/>
    <w:rsid w:val="0088292E"/>
    <w:rsid w:val="008856E4"/>
    <w:rsid w:val="008875F0"/>
    <w:rsid w:val="008879F0"/>
    <w:rsid w:val="00887BE1"/>
    <w:rsid w:val="00890F3A"/>
    <w:rsid w:val="0089119B"/>
    <w:rsid w:val="008914F8"/>
    <w:rsid w:val="008918E1"/>
    <w:rsid w:val="00891CA2"/>
    <w:rsid w:val="00893223"/>
    <w:rsid w:val="00893233"/>
    <w:rsid w:val="00894050"/>
    <w:rsid w:val="00894BC5"/>
    <w:rsid w:val="008953CB"/>
    <w:rsid w:val="00896026"/>
    <w:rsid w:val="008974B5"/>
    <w:rsid w:val="008A0265"/>
    <w:rsid w:val="008A42AE"/>
    <w:rsid w:val="008A45DE"/>
    <w:rsid w:val="008A5E44"/>
    <w:rsid w:val="008A67FA"/>
    <w:rsid w:val="008A7554"/>
    <w:rsid w:val="008B09AA"/>
    <w:rsid w:val="008B11F2"/>
    <w:rsid w:val="008B159C"/>
    <w:rsid w:val="008B1F02"/>
    <w:rsid w:val="008B2536"/>
    <w:rsid w:val="008B2A2B"/>
    <w:rsid w:val="008B33C2"/>
    <w:rsid w:val="008B357D"/>
    <w:rsid w:val="008B404F"/>
    <w:rsid w:val="008B5792"/>
    <w:rsid w:val="008B6358"/>
    <w:rsid w:val="008B70BB"/>
    <w:rsid w:val="008B7917"/>
    <w:rsid w:val="008B7B57"/>
    <w:rsid w:val="008C0647"/>
    <w:rsid w:val="008C0818"/>
    <w:rsid w:val="008C3970"/>
    <w:rsid w:val="008C40C6"/>
    <w:rsid w:val="008C4EA6"/>
    <w:rsid w:val="008C52E1"/>
    <w:rsid w:val="008C61EE"/>
    <w:rsid w:val="008C71C7"/>
    <w:rsid w:val="008D14C3"/>
    <w:rsid w:val="008D7389"/>
    <w:rsid w:val="008E030A"/>
    <w:rsid w:val="008E0798"/>
    <w:rsid w:val="008E1BD9"/>
    <w:rsid w:val="008E3C5E"/>
    <w:rsid w:val="008E4810"/>
    <w:rsid w:val="008E4C60"/>
    <w:rsid w:val="008E5A73"/>
    <w:rsid w:val="008E5D55"/>
    <w:rsid w:val="008E66BC"/>
    <w:rsid w:val="008E6D7E"/>
    <w:rsid w:val="008E7444"/>
    <w:rsid w:val="008F04C8"/>
    <w:rsid w:val="008F0DDA"/>
    <w:rsid w:val="008F1BE4"/>
    <w:rsid w:val="008F3938"/>
    <w:rsid w:val="008F3A3B"/>
    <w:rsid w:val="008F3A7D"/>
    <w:rsid w:val="008F43F0"/>
    <w:rsid w:val="008F4AB5"/>
    <w:rsid w:val="008F64AB"/>
    <w:rsid w:val="008F6527"/>
    <w:rsid w:val="008F660A"/>
    <w:rsid w:val="00901FF9"/>
    <w:rsid w:val="009025C1"/>
    <w:rsid w:val="009036C7"/>
    <w:rsid w:val="009036CA"/>
    <w:rsid w:val="00903A2D"/>
    <w:rsid w:val="00903A34"/>
    <w:rsid w:val="00903C93"/>
    <w:rsid w:val="00903D79"/>
    <w:rsid w:val="00903F7C"/>
    <w:rsid w:val="00904A8D"/>
    <w:rsid w:val="00904CAD"/>
    <w:rsid w:val="00905D1B"/>
    <w:rsid w:val="00906320"/>
    <w:rsid w:val="00907998"/>
    <w:rsid w:val="00910505"/>
    <w:rsid w:val="00910D6F"/>
    <w:rsid w:val="00915937"/>
    <w:rsid w:val="00915BC0"/>
    <w:rsid w:val="00916E1D"/>
    <w:rsid w:val="00917942"/>
    <w:rsid w:val="0092366A"/>
    <w:rsid w:val="009238C4"/>
    <w:rsid w:val="00923B97"/>
    <w:rsid w:val="00924602"/>
    <w:rsid w:val="00924B85"/>
    <w:rsid w:val="00924D9C"/>
    <w:rsid w:val="00924DD4"/>
    <w:rsid w:val="0092526B"/>
    <w:rsid w:val="00925D3D"/>
    <w:rsid w:val="009262E7"/>
    <w:rsid w:val="00926992"/>
    <w:rsid w:val="0093020A"/>
    <w:rsid w:val="00931ACF"/>
    <w:rsid w:val="00932A57"/>
    <w:rsid w:val="00932E90"/>
    <w:rsid w:val="00933D50"/>
    <w:rsid w:val="009345C4"/>
    <w:rsid w:val="0093591A"/>
    <w:rsid w:val="00936624"/>
    <w:rsid w:val="00937A0F"/>
    <w:rsid w:val="00937F59"/>
    <w:rsid w:val="00940009"/>
    <w:rsid w:val="00941786"/>
    <w:rsid w:val="009436B3"/>
    <w:rsid w:val="009456E3"/>
    <w:rsid w:val="009466B9"/>
    <w:rsid w:val="00946798"/>
    <w:rsid w:val="00946968"/>
    <w:rsid w:val="00946B3F"/>
    <w:rsid w:val="0094792C"/>
    <w:rsid w:val="0095085A"/>
    <w:rsid w:val="00952DEA"/>
    <w:rsid w:val="0095394B"/>
    <w:rsid w:val="00955032"/>
    <w:rsid w:val="0095638B"/>
    <w:rsid w:val="00956CBD"/>
    <w:rsid w:val="0095715C"/>
    <w:rsid w:val="00960495"/>
    <w:rsid w:val="009604D2"/>
    <w:rsid w:val="00960C68"/>
    <w:rsid w:val="00962618"/>
    <w:rsid w:val="00962C1B"/>
    <w:rsid w:val="00963064"/>
    <w:rsid w:val="00964AB3"/>
    <w:rsid w:val="00965B66"/>
    <w:rsid w:val="0096772D"/>
    <w:rsid w:val="00970F93"/>
    <w:rsid w:val="009734E1"/>
    <w:rsid w:val="0097391E"/>
    <w:rsid w:val="00973DD7"/>
    <w:rsid w:val="00973E1B"/>
    <w:rsid w:val="00976BBB"/>
    <w:rsid w:val="00977292"/>
    <w:rsid w:val="0098313C"/>
    <w:rsid w:val="009846FC"/>
    <w:rsid w:val="00990DE0"/>
    <w:rsid w:val="00992D69"/>
    <w:rsid w:val="00992FB7"/>
    <w:rsid w:val="00993ABB"/>
    <w:rsid w:val="0099438E"/>
    <w:rsid w:val="00995A8C"/>
    <w:rsid w:val="0099654B"/>
    <w:rsid w:val="00996E93"/>
    <w:rsid w:val="009A0149"/>
    <w:rsid w:val="009A0B00"/>
    <w:rsid w:val="009A1241"/>
    <w:rsid w:val="009A14CC"/>
    <w:rsid w:val="009A1736"/>
    <w:rsid w:val="009A2834"/>
    <w:rsid w:val="009A3A2C"/>
    <w:rsid w:val="009A4490"/>
    <w:rsid w:val="009A45DB"/>
    <w:rsid w:val="009A4E14"/>
    <w:rsid w:val="009A506B"/>
    <w:rsid w:val="009A5D4A"/>
    <w:rsid w:val="009B1190"/>
    <w:rsid w:val="009B4CDC"/>
    <w:rsid w:val="009B5375"/>
    <w:rsid w:val="009B57C4"/>
    <w:rsid w:val="009B5A71"/>
    <w:rsid w:val="009B5F87"/>
    <w:rsid w:val="009B6BB9"/>
    <w:rsid w:val="009B7002"/>
    <w:rsid w:val="009B70B0"/>
    <w:rsid w:val="009B7EF8"/>
    <w:rsid w:val="009C1CA7"/>
    <w:rsid w:val="009C29E8"/>
    <w:rsid w:val="009C39F8"/>
    <w:rsid w:val="009C4C83"/>
    <w:rsid w:val="009C56E1"/>
    <w:rsid w:val="009C6711"/>
    <w:rsid w:val="009C7DFC"/>
    <w:rsid w:val="009D04B7"/>
    <w:rsid w:val="009D10B5"/>
    <w:rsid w:val="009D1D41"/>
    <w:rsid w:val="009D21BD"/>
    <w:rsid w:val="009D43F1"/>
    <w:rsid w:val="009D5BA2"/>
    <w:rsid w:val="009D5EF7"/>
    <w:rsid w:val="009D6F1B"/>
    <w:rsid w:val="009D723C"/>
    <w:rsid w:val="009E07F7"/>
    <w:rsid w:val="009E0AF8"/>
    <w:rsid w:val="009E0C54"/>
    <w:rsid w:val="009E0DC0"/>
    <w:rsid w:val="009E0F67"/>
    <w:rsid w:val="009E2159"/>
    <w:rsid w:val="009E375A"/>
    <w:rsid w:val="009E389D"/>
    <w:rsid w:val="009E396A"/>
    <w:rsid w:val="009E3B9E"/>
    <w:rsid w:val="009E4E39"/>
    <w:rsid w:val="009E6348"/>
    <w:rsid w:val="009E6799"/>
    <w:rsid w:val="009F0639"/>
    <w:rsid w:val="009F10BB"/>
    <w:rsid w:val="009F1B02"/>
    <w:rsid w:val="009F227E"/>
    <w:rsid w:val="009F3022"/>
    <w:rsid w:val="009F329B"/>
    <w:rsid w:val="009F32CE"/>
    <w:rsid w:val="009F4CEF"/>
    <w:rsid w:val="009F607A"/>
    <w:rsid w:val="009F60C8"/>
    <w:rsid w:val="00A0241D"/>
    <w:rsid w:val="00A024AD"/>
    <w:rsid w:val="00A02E7C"/>
    <w:rsid w:val="00A03F6D"/>
    <w:rsid w:val="00A054EA"/>
    <w:rsid w:val="00A0672D"/>
    <w:rsid w:val="00A06F67"/>
    <w:rsid w:val="00A07265"/>
    <w:rsid w:val="00A1133A"/>
    <w:rsid w:val="00A115F9"/>
    <w:rsid w:val="00A117C2"/>
    <w:rsid w:val="00A1296C"/>
    <w:rsid w:val="00A12A3F"/>
    <w:rsid w:val="00A12DB7"/>
    <w:rsid w:val="00A14D6D"/>
    <w:rsid w:val="00A15361"/>
    <w:rsid w:val="00A154FD"/>
    <w:rsid w:val="00A16733"/>
    <w:rsid w:val="00A200FF"/>
    <w:rsid w:val="00A21870"/>
    <w:rsid w:val="00A21B06"/>
    <w:rsid w:val="00A21C11"/>
    <w:rsid w:val="00A21E29"/>
    <w:rsid w:val="00A22C78"/>
    <w:rsid w:val="00A23A4E"/>
    <w:rsid w:val="00A25523"/>
    <w:rsid w:val="00A25541"/>
    <w:rsid w:val="00A26DB2"/>
    <w:rsid w:val="00A27775"/>
    <w:rsid w:val="00A27ED0"/>
    <w:rsid w:val="00A3012B"/>
    <w:rsid w:val="00A31434"/>
    <w:rsid w:val="00A31938"/>
    <w:rsid w:val="00A36F8D"/>
    <w:rsid w:val="00A40BE7"/>
    <w:rsid w:val="00A40CDC"/>
    <w:rsid w:val="00A40CF7"/>
    <w:rsid w:val="00A4270E"/>
    <w:rsid w:val="00A4331E"/>
    <w:rsid w:val="00A433FD"/>
    <w:rsid w:val="00A43B2E"/>
    <w:rsid w:val="00A44134"/>
    <w:rsid w:val="00A44550"/>
    <w:rsid w:val="00A4507C"/>
    <w:rsid w:val="00A45492"/>
    <w:rsid w:val="00A47122"/>
    <w:rsid w:val="00A51EEB"/>
    <w:rsid w:val="00A53A4B"/>
    <w:rsid w:val="00A602D6"/>
    <w:rsid w:val="00A610B6"/>
    <w:rsid w:val="00A66109"/>
    <w:rsid w:val="00A66B7B"/>
    <w:rsid w:val="00A674A8"/>
    <w:rsid w:val="00A70A77"/>
    <w:rsid w:val="00A70A7E"/>
    <w:rsid w:val="00A70CCF"/>
    <w:rsid w:val="00A71500"/>
    <w:rsid w:val="00A7160B"/>
    <w:rsid w:val="00A71DD5"/>
    <w:rsid w:val="00A733B8"/>
    <w:rsid w:val="00A73F3C"/>
    <w:rsid w:val="00A75256"/>
    <w:rsid w:val="00A7642E"/>
    <w:rsid w:val="00A76AAA"/>
    <w:rsid w:val="00A778B4"/>
    <w:rsid w:val="00A77FF5"/>
    <w:rsid w:val="00A81294"/>
    <w:rsid w:val="00A8180B"/>
    <w:rsid w:val="00A828F4"/>
    <w:rsid w:val="00A84801"/>
    <w:rsid w:val="00A84F5F"/>
    <w:rsid w:val="00A867BF"/>
    <w:rsid w:val="00A868C0"/>
    <w:rsid w:val="00A86E55"/>
    <w:rsid w:val="00A873F5"/>
    <w:rsid w:val="00A87FD5"/>
    <w:rsid w:val="00A9063C"/>
    <w:rsid w:val="00A906B9"/>
    <w:rsid w:val="00A90EA0"/>
    <w:rsid w:val="00A911E1"/>
    <w:rsid w:val="00A9507A"/>
    <w:rsid w:val="00A96E30"/>
    <w:rsid w:val="00A972BD"/>
    <w:rsid w:val="00AA115D"/>
    <w:rsid w:val="00AA1621"/>
    <w:rsid w:val="00AA1CFE"/>
    <w:rsid w:val="00AA3701"/>
    <w:rsid w:val="00AA4B62"/>
    <w:rsid w:val="00AA5E2E"/>
    <w:rsid w:val="00AA7C42"/>
    <w:rsid w:val="00AB1713"/>
    <w:rsid w:val="00AB1FD7"/>
    <w:rsid w:val="00AB26D6"/>
    <w:rsid w:val="00AB2A66"/>
    <w:rsid w:val="00AB5819"/>
    <w:rsid w:val="00AB6191"/>
    <w:rsid w:val="00AB6632"/>
    <w:rsid w:val="00AB69B1"/>
    <w:rsid w:val="00AB70DE"/>
    <w:rsid w:val="00AB75AC"/>
    <w:rsid w:val="00AB7BA8"/>
    <w:rsid w:val="00AC0E39"/>
    <w:rsid w:val="00AC37A1"/>
    <w:rsid w:val="00AC37CA"/>
    <w:rsid w:val="00AC4A7E"/>
    <w:rsid w:val="00AC63FC"/>
    <w:rsid w:val="00AC6B1F"/>
    <w:rsid w:val="00AC7DE9"/>
    <w:rsid w:val="00AD272D"/>
    <w:rsid w:val="00AD33FC"/>
    <w:rsid w:val="00AD3F2C"/>
    <w:rsid w:val="00AD4EF1"/>
    <w:rsid w:val="00AD528F"/>
    <w:rsid w:val="00AD5377"/>
    <w:rsid w:val="00AD6079"/>
    <w:rsid w:val="00AD7A4E"/>
    <w:rsid w:val="00AD7DB5"/>
    <w:rsid w:val="00AD7DEC"/>
    <w:rsid w:val="00AE0B97"/>
    <w:rsid w:val="00AE12B8"/>
    <w:rsid w:val="00AE3BBC"/>
    <w:rsid w:val="00AE4196"/>
    <w:rsid w:val="00AE438E"/>
    <w:rsid w:val="00AE4775"/>
    <w:rsid w:val="00AE56F8"/>
    <w:rsid w:val="00AE58CC"/>
    <w:rsid w:val="00AE5C06"/>
    <w:rsid w:val="00AF056C"/>
    <w:rsid w:val="00AF1D9C"/>
    <w:rsid w:val="00AF1F91"/>
    <w:rsid w:val="00AF22FC"/>
    <w:rsid w:val="00AF2F67"/>
    <w:rsid w:val="00AF5006"/>
    <w:rsid w:val="00AF5F86"/>
    <w:rsid w:val="00AF64EC"/>
    <w:rsid w:val="00AF7C90"/>
    <w:rsid w:val="00B02C78"/>
    <w:rsid w:val="00B02CAE"/>
    <w:rsid w:val="00B03E59"/>
    <w:rsid w:val="00B05A26"/>
    <w:rsid w:val="00B074E5"/>
    <w:rsid w:val="00B1103C"/>
    <w:rsid w:val="00B11B9B"/>
    <w:rsid w:val="00B11D61"/>
    <w:rsid w:val="00B14AF4"/>
    <w:rsid w:val="00B162DC"/>
    <w:rsid w:val="00B17BC9"/>
    <w:rsid w:val="00B211A7"/>
    <w:rsid w:val="00B21BA4"/>
    <w:rsid w:val="00B2253A"/>
    <w:rsid w:val="00B2275F"/>
    <w:rsid w:val="00B240DD"/>
    <w:rsid w:val="00B24446"/>
    <w:rsid w:val="00B2570E"/>
    <w:rsid w:val="00B259F8"/>
    <w:rsid w:val="00B25A54"/>
    <w:rsid w:val="00B26059"/>
    <w:rsid w:val="00B2607E"/>
    <w:rsid w:val="00B264BD"/>
    <w:rsid w:val="00B31BFC"/>
    <w:rsid w:val="00B32B3E"/>
    <w:rsid w:val="00B338DC"/>
    <w:rsid w:val="00B33B44"/>
    <w:rsid w:val="00B33BC3"/>
    <w:rsid w:val="00B34BC6"/>
    <w:rsid w:val="00B35580"/>
    <w:rsid w:val="00B35C16"/>
    <w:rsid w:val="00B366FF"/>
    <w:rsid w:val="00B36758"/>
    <w:rsid w:val="00B36E7D"/>
    <w:rsid w:val="00B40B47"/>
    <w:rsid w:val="00B4119A"/>
    <w:rsid w:val="00B41908"/>
    <w:rsid w:val="00B42009"/>
    <w:rsid w:val="00B4207D"/>
    <w:rsid w:val="00B42DCE"/>
    <w:rsid w:val="00B43C18"/>
    <w:rsid w:val="00B43D61"/>
    <w:rsid w:val="00B44571"/>
    <w:rsid w:val="00B445E8"/>
    <w:rsid w:val="00B44E58"/>
    <w:rsid w:val="00B46354"/>
    <w:rsid w:val="00B47283"/>
    <w:rsid w:val="00B472BA"/>
    <w:rsid w:val="00B476CB"/>
    <w:rsid w:val="00B518A2"/>
    <w:rsid w:val="00B51E56"/>
    <w:rsid w:val="00B5287F"/>
    <w:rsid w:val="00B52ADA"/>
    <w:rsid w:val="00B53035"/>
    <w:rsid w:val="00B53A9C"/>
    <w:rsid w:val="00B53D44"/>
    <w:rsid w:val="00B53E1E"/>
    <w:rsid w:val="00B54EB3"/>
    <w:rsid w:val="00B55231"/>
    <w:rsid w:val="00B55FC0"/>
    <w:rsid w:val="00B575D9"/>
    <w:rsid w:val="00B623E7"/>
    <w:rsid w:val="00B6261D"/>
    <w:rsid w:val="00B62BD1"/>
    <w:rsid w:val="00B62C46"/>
    <w:rsid w:val="00B630F2"/>
    <w:rsid w:val="00B63B7D"/>
    <w:rsid w:val="00B64096"/>
    <w:rsid w:val="00B6527F"/>
    <w:rsid w:val="00B65CFE"/>
    <w:rsid w:val="00B66524"/>
    <w:rsid w:val="00B66A9F"/>
    <w:rsid w:val="00B67EAB"/>
    <w:rsid w:val="00B67F64"/>
    <w:rsid w:val="00B70264"/>
    <w:rsid w:val="00B711B5"/>
    <w:rsid w:val="00B71E12"/>
    <w:rsid w:val="00B72674"/>
    <w:rsid w:val="00B726C8"/>
    <w:rsid w:val="00B72AD7"/>
    <w:rsid w:val="00B73500"/>
    <w:rsid w:val="00B8066E"/>
    <w:rsid w:val="00B80B74"/>
    <w:rsid w:val="00B8115E"/>
    <w:rsid w:val="00B8230A"/>
    <w:rsid w:val="00B83116"/>
    <w:rsid w:val="00B83A44"/>
    <w:rsid w:val="00B83B37"/>
    <w:rsid w:val="00B8414E"/>
    <w:rsid w:val="00B84591"/>
    <w:rsid w:val="00B8463E"/>
    <w:rsid w:val="00B87829"/>
    <w:rsid w:val="00B90153"/>
    <w:rsid w:val="00B9198D"/>
    <w:rsid w:val="00B9222B"/>
    <w:rsid w:val="00B92AB6"/>
    <w:rsid w:val="00B93124"/>
    <w:rsid w:val="00B93A77"/>
    <w:rsid w:val="00B93E70"/>
    <w:rsid w:val="00B94331"/>
    <w:rsid w:val="00B94C0D"/>
    <w:rsid w:val="00B94CAC"/>
    <w:rsid w:val="00B952E9"/>
    <w:rsid w:val="00B95C0A"/>
    <w:rsid w:val="00B95E8D"/>
    <w:rsid w:val="00B96C35"/>
    <w:rsid w:val="00B972A0"/>
    <w:rsid w:val="00B975C4"/>
    <w:rsid w:val="00B97B1F"/>
    <w:rsid w:val="00BA0BFA"/>
    <w:rsid w:val="00BA1587"/>
    <w:rsid w:val="00BA23C3"/>
    <w:rsid w:val="00BA3581"/>
    <w:rsid w:val="00BA40D4"/>
    <w:rsid w:val="00BA49F2"/>
    <w:rsid w:val="00BA5817"/>
    <w:rsid w:val="00BA6BA9"/>
    <w:rsid w:val="00BA6F5B"/>
    <w:rsid w:val="00BB02F3"/>
    <w:rsid w:val="00BB24CC"/>
    <w:rsid w:val="00BB3A91"/>
    <w:rsid w:val="00BB44DB"/>
    <w:rsid w:val="00BB549A"/>
    <w:rsid w:val="00BB57B3"/>
    <w:rsid w:val="00BB66D6"/>
    <w:rsid w:val="00BC045B"/>
    <w:rsid w:val="00BC0D62"/>
    <w:rsid w:val="00BC2977"/>
    <w:rsid w:val="00BC3CD7"/>
    <w:rsid w:val="00BC429B"/>
    <w:rsid w:val="00BC4951"/>
    <w:rsid w:val="00BC5AC1"/>
    <w:rsid w:val="00BC7D07"/>
    <w:rsid w:val="00BC7F7D"/>
    <w:rsid w:val="00BD0550"/>
    <w:rsid w:val="00BD1E81"/>
    <w:rsid w:val="00BD2EDB"/>
    <w:rsid w:val="00BD3398"/>
    <w:rsid w:val="00BD3836"/>
    <w:rsid w:val="00BD527D"/>
    <w:rsid w:val="00BD5582"/>
    <w:rsid w:val="00BD6504"/>
    <w:rsid w:val="00BD6643"/>
    <w:rsid w:val="00BD6AE8"/>
    <w:rsid w:val="00BD7FE0"/>
    <w:rsid w:val="00BE0770"/>
    <w:rsid w:val="00BE1901"/>
    <w:rsid w:val="00BE5F8A"/>
    <w:rsid w:val="00BE6529"/>
    <w:rsid w:val="00BE6F3A"/>
    <w:rsid w:val="00BE77FF"/>
    <w:rsid w:val="00BF09B1"/>
    <w:rsid w:val="00BF15BD"/>
    <w:rsid w:val="00BF1C8E"/>
    <w:rsid w:val="00BF1E26"/>
    <w:rsid w:val="00BF29CC"/>
    <w:rsid w:val="00BF43BA"/>
    <w:rsid w:val="00BF4695"/>
    <w:rsid w:val="00BF6025"/>
    <w:rsid w:val="00BF6264"/>
    <w:rsid w:val="00BF79B6"/>
    <w:rsid w:val="00BF7B56"/>
    <w:rsid w:val="00C0104A"/>
    <w:rsid w:val="00C01920"/>
    <w:rsid w:val="00C024C2"/>
    <w:rsid w:val="00C02A4A"/>
    <w:rsid w:val="00C02C5D"/>
    <w:rsid w:val="00C04B34"/>
    <w:rsid w:val="00C064C8"/>
    <w:rsid w:val="00C071A8"/>
    <w:rsid w:val="00C071E7"/>
    <w:rsid w:val="00C07558"/>
    <w:rsid w:val="00C07E83"/>
    <w:rsid w:val="00C11D3C"/>
    <w:rsid w:val="00C12196"/>
    <w:rsid w:val="00C12395"/>
    <w:rsid w:val="00C130B3"/>
    <w:rsid w:val="00C1345F"/>
    <w:rsid w:val="00C151CB"/>
    <w:rsid w:val="00C165D2"/>
    <w:rsid w:val="00C1694F"/>
    <w:rsid w:val="00C16D4B"/>
    <w:rsid w:val="00C17C56"/>
    <w:rsid w:val="00C2109E"/>
    <w:rsid w:val="00C216AF"/>
    <w:rsid w:val="00C23553"/>
    <w:rsid w:val="00C23CE7"/>
    <w:rsid w:val="00C256CE"/>
    <w:rsid w:val="00C31DAC"/>
    <w:rsid w:val="00C31ED2"/>
    <w:rsid w:val="00C32C31"/>
    <w:rsid w:val="00C33105"/>
    <w:rsid w:val="00C342B3"/>
    <w:rsid w:val="00C35351"/>
    <w:rsid w:val="00C36A16"/>
    <w:rsid w:val="00C36EF2"/>
    <w:rsid w:val="00C373F7"/>
    <w:rsid w:val="00C376AB"/>
    <w:rsid w:val="00C4066D"/>
    <w:rsid w:val="00C40C50"/>
    <w:rsid w:val="00C4418B"/>
    <w:rsid w:val="00C44227"/>
    <w:rsid w:val="00C44564"/>
    <w:rsid w:val="00C46CF8"/>
    <w:rsid w:val="00C47602"/>
    <w:rsid w:val="00C479C6"/>
    <w:rsid w:val="00C51635"/>
    <w:rsid w:val="00C51D60"/>
    <w:rsid w:val="00C52FF7"/>
    <w:rsid w:val="00C55D1E"/>
    <w:rsid w:val="00C5634F"/>
    <w:rsid w:val="00C574E8"/>
    <w:rsid w:val="00C57A1C"/>
    <w:rsid w:val="00C61E63"/>
    <w:rsid w:val="00C61FEE"/>
    <w:rsid w:val="00C657A7"/>
    <w:rsid w:val="00C65930"/>
    <w:rsid w:val="00C65AD0"/>
    <w:rsid w:val="00C66421"/>
    <w:rsid w:val="00C66FEA"/>
    <w:rsid w:val="00C70FBE"/>
    <w:rsid w:val="00C710DF"/>
    <w:rsid w:val="00C713B1"/>
    <w:rsid w:val="00C71F08"/>
    <w:rsid w:val="00C7238D"/>
    <w:rsid w:val="00C724DF"/>
    <w:rsid w:val="00C74A46"/>
    <w:rsid w:val="00C75A15"/>
    <w:rsid w:val="00C75BEB"/>
    <w:rsid w:val="00C766DD"/>
    <w:rsid w:val="00C76EAD"/>
    <w:rsid w:val="00C76EFC"/>
    <w:rsid w:val="00C77728"/>
    <w:rsid w:val="00C77895"/>
    <w:rsid w:val="00C778D2"/>
    <w:rsid w:val="00C81B6F"/>
    <w:rsid w:val="00C826D0"/>
    <w:rsid w:val="00C82BAD"/>
    <w:rsid w:val="00C8311B"/>
    <w:rsid w:val="00C83D9E"/>
    <w:rsid w:val="00C85367"/>
    <w:rsid w:val="00C85BA0"/>
    <w:rsid w:val="00C85F0D"/>
    <w:rsid w:val="00C87084"/>
    <w:rsid w:val="00C90C70"/>
    <w:rsid w:val="00C90DF7"/>
    <w:rsid w:val="00C9179A"/>
    <w:rsid w:val="00C91AB3"/>
    <w:rsid w:val="00C92ED4"/>
    <w:rsid w:val="00C93663"/>
    <w:rsid w:val="00C93A27"/>
    <w:rsid w:val="00C945B1"/>
    <w:rsid w:val="00C963B3"/>
    <w:rsid w:val="00C96C9C"/>
    <w:rsid w:val="00C96D66"/>
    <w:rsid w:val="00CA0060"/>
    <w:rsid w:val="00CA0A56"/>
    <w:rsid w:val="00CA12A2"/>
    <w:rsid w:val="00CA1BAE"/>
    <w:rsid w:val="00CA1EFC"/>
    <w:rsid w:val="00CA2FD0"/>
    <w:rsid w:val="00CA305F"/>
    <w:rsid w:val="00CA31FC"/>
    <w:rsid w:val="00CA40C7"/>
    <w:rsid w:val="00CA537F"/>
    <w:rsid w:val="00CA68B7"/>
    <w:rsid w:val="00CA725F"/>
    <w:rsid w:val="00CA752C"/>
    <w:rsid w:val="00CA7B01"/>
    <w:rsid w:val="00CB1D6E"/>
    <w:rsid w:val="00CB21FA"/>
    <w:rsid w:val="00CB373E"/>
    <w:rsid w:val="00CB54B4"/>
    <w:rsid w:val="00CB54B9"/>
    <w:rsid w:val="00CB5702"/>
    <w:rsid w:val="00CB5AAA"/>
    <w:rsid w:val="00CB6124"/>
    <w:rsid w:val="00CB78F2"/>
    <w:rsid w:val="00CB7947"/>
    <w:rsid w:val="00CB7B55"/>
    <w:rsid w:val="00CC011A"/>
    <w:rsid w:val="00CC03A2"/>
    <w:rsid w:val="00CC0A4B"/>
    <w:rsid w:val="00CC0DAB"/>
    <w:rsid w:val="00CC0FCC"/>
    <w:rsid w:val="00CC1E49"/>
    <w:rsid w:val="00CC37DA"/>
    <w:rsid w:val="00CC47D7"/>
    <w:rsid w:val="00CC4C33"/>
    <w:rsid w:val="00CC6872"/>
    <w:rsid w:val="00CC6CB3"/>
    <w:rsid w:val="00CC6F13"/>
    <w:rsid w:val="00CC7865"/>
    <w:rsid w:val="00CC7A92"/>
    <w:rsid w:val="00CC7CB2"/>
    <w:rsid w:val="00CD0653"/>
    <w:rsid w:val="00CD1745"/>
    <w:rsid w:val="00CD3164"/>
    <w:rsid w:val="00CD3B73"/>
    <w:rsid w:val="00CD4A3D"/>
    <w:rsid w:val="00CD551F"/>
    <w:rsid w:val="00CD58C6"/>
    <w:rsid w:val="00CD6656"/>
    <w:rsid w:val="00CD705F"/>
    <w:rsid w:val="00CE0749"/>
    <w:rsid w:val="00CE1B28"/>
    <w:rsid w:val="00CE1E64"/>
    <w:rsid w:val="00CE202F"/>
    <w:rsid w:val="00CE2D51"/>
    <w:rsid w:val="00CE3E8A"/>
    <w:rsid w:val="00CE55B3"/>
    <w:rsid w:val="00CE55BD"/>
    <w:rsid w:val="00CE5781"/>
    <w:rsid w:val="00CE5A21"/>
    <w:rsid w:val="00CE6F7E"/>
    <w:rsid w:val="00CE7305"/>
    <w:rsid w:val="00CE7CEB"/>
    <w:rsid w:val="00CF1B46"/>
    <w:rsid w:val="00CF1E8A"/>
    <w:rsid w:val="00CF458D"/>
    <w:rsid w:val="00CF4B85"/>
    <w:rsid w:val="00CF4EF0"/>
    <w:rsid w:val="00CF50D5"/>
    <w:rsid w:val="00CF5777"/>
    <w:rsid w:val="00CF5A0B"/>
    <w:rsid w:val="00CF5D66"/>
    <w:rsid w:val="00CF631E"/>
    <w:rsid w:val="00CF6479"/>
    <w:rsid w:val="00CF6A23"/>
    <w:rsid w:val="00CF6C0F"/>
    <w:rsid w:val="00CF7BCF"/>
    <w:rsid w:val="00D002D9"/>
    <w:rsid w:val="00D01106"/>
    <w:rsid w:val="00D01575"/>
    <w:rsid w:val="00D01DE0"/>
    <w:rsid w:val="00D02484"/>
    <w:rsid w:val="00D027B6"/>
    <w:rsid w:val="00D04290"/>
    <w:rsid w:val="00D05523"/>
    <w:rsid w:val="00D0561C"/>
    <w:rsid w:val="00D066CF"/>
    <w:rsid w:val="00D06F86"/>
    <w:rsid w:val="00D070D7"/>
    <w:rsid w:val="00D07CB9"/>
    <w:rsid w:val="00D10B4D"/>
    <w:rsid w:val="00D121E2"/>
    <w:rsid w:val="00D1338C"/>
    <w:rsid w:val="00D14D5D"/>
    <w:rsid w:val="00D17187"/>
    <w:rsid w:val="00D20A87"/>
    <w:rsid w:val="00D20B14"/>
    <w:rsid w:val="00D20C62"/>
    <w:rsid w:val="00D21377"/>
    <w:rsid w:val="00D21536"/>
    <w:rsid w:val="00D21B79"/>
    <w:rsid w:val="00D23288"/>
    <w:rsid w:val="00D2441C"/>
    <w:rsid w:val="00D261A6"/>
    <w:rsid w:val="00D262AB"/>
    <w:rsid w:val="00D26422"/>
    <w:rsid w:val="00D27DF7"/>
    <w:rsid w:val="00D317CB"/>
    <w:rsid w:val="00D3186B"/>
    <w:rsid w:val="00D318B3"/>
    <w:rsid w:val="00D31D65"/>
    <w:rsid w:val="00D32764"/>
    <w:rsid w:val="00D32788"/>
    <w:rsid w:val="00D3368E"/>
    <w:rsid w:val="00D34642"/>
    <w:rsid w:val="00D352EF"/>
    <w:rsid w:val="00D35ED3"/>
    <w:rsid w:val="00D375B4"/>
    <w:rsid w:val="00D37F02"/>
    <w:rsid w:val="00D40534"/>
    <w:rsid w:val="00D40995"/>
    <w:rsid w:val="00D41808"/>
    <w:rsid w:val="00D41F04"/>
    <w:rsid w:val="00D4388E"/>
    <w:rsid w:val="00D45BF4"/>
    <w:rsid w:val="00D46065"/>
    <w:rsid w:val="00D47BCF"/>
    <w:rsid w:val="00D50217"/>
    <w:rsid w:val="00D53AD1"/>
    <w:rsid w:val="00D53E2F"/>
    <w:rsid w:val="00D54287"/>
    <w:rsid w:val="00D548B4"/>
    <w:rsid w:val="00D54E9E"/>
    <w:rsid w:val="00D56FB5"/>
    <w:rsid w:val="00D57525"/>
    <w:rsid w:val="00D60335"/>
    <w:rsid w:val="00D603D9"/>
    <w:rsid w:val="00D6040D"/>
    <w:rsid w:val="00D60AA7"/>
    <w:rsid w:val="00D61889"/>
    <w:rsid w:val="00D62738"/>
    <w:rsid w:val="00D64166"/>
    <w:rsid w:val="00D65C43"/>
    <w:rsid w:val="00D66F43"/>
    <w:rsid w:val="00D670C9"/>
    <w:rsid w:val="00D670D9"/>
    <w:rsid w:val="00D6736D"/>
    <w:rsid w:val="00D679D6"/>
    <w:rsid w:val="00D7030B"/>
    <w:rsid w:val="00D713CC"/>
    <w:rsid w:val="00D71E54"/>
    <w:rsid w:val="00D71F33"/>
    <w:rsid w:val="00D72A3F"/>
    <w:rsid w:val="00D72B21"/>
    <w:rsid w:val="00D73A9B"/>
    <w:rsid w:val="00D73B97"/>
    <w:rsid w:val="00D7586F"/>
    <w:rsid w:val="00D75BFC"/>
    <w:rsid w:val="00D761F6"/>
    <w:rsid w:val="00D76F66"/>
    <w:rsid w:val="00D76FC2"/>
    <w:rsid w:val="00D778F1"/>
    <w:rsid w:val="00D814E6"/>
    <w:rsid w:val="00D82376"/>
    <w:rsid w:val="00D83796"/>
    <w:rsid w:val="00D83A84"/>
    <w:rsid w:val="00D84550"/>
    <w:rsid w:val="00D85AFA"/>
    <w:rsid w:val="00D85DA6"/>
    <w:rsid w:val="00D86056"/>
    <w:rsid w:val="00D86994"/>
    <w:rsid w:val="00D90A12"/>
    <w:rsid w:val="00D92905"/>
    <w:rsid w:val="00D92A21"/>
    <w:rsid w:val="00D94790"/>
    <w:rsid w:val="00D9713B"/>
    <w:rsid w:val="00D97E9D"/>
    <w:rsid w:val="00DA089C"/>
    <w:rsid w:val="00DA2A73"/>
    <w:rsid w:val="00DA4653"/>
    <w:rsid w:val="00DA61C1"/>
    <w:rsid w:val="00DA6323"/>
    <w:rsid w:val="00DA7564"/>
    <w:rsid w:val="00DA7D7C"/>
    <w:rsid w:val="00DB18DF"/>
    <w:rsid w:val="00DB3246"/>
    <w:rsid w:val="00DB32FD"/>
    <w:rsid w:val="00DB336E"/>
    <w:rsid w:val="00DB3FC5"/>
    <w:rsid w:val="00DB5BA4"/>
    <w:rsid w:val="00DB72E1"/>
    <w:rsid w:val="00DB76B7"/>
    <w:rsid w:val="00DB76EF"/>
    <w:rsid w:val="00DC0C2C"/>
    <w:rsid w:val="00DC170B"/>
    <w:rsid w:val="00DC2348"/>
    <w:rsid w:val="00DC26C1"/>
    <w:rsid w:val="00DC5E82"/>
    <w:rsid w:val="00DC6651"/>
    <w:rsid w:val="00DC7E5F"/>
    <w:rsid w:val="00DD06B4"/>
    <w:rsid w:val="00DD0B6B"/>
    <w:rsid w:val="00DD1371"/>
    <w:rsid w:val="00DD1691"/>
    <w:rsid w:val="00DD24D8"/>
    <w:rsid w:val="00DD350E"/>
    <w:rsid w:val="00DD491E"/>
    <w:rsid w:val="00DD541C"/>
    <w:rsid w:val="00DD5E00"/>
    <w:rsid w:val="00DD6175"/>
    <w:rsid w:val="00DE0572"/>
    <w:rsid w:val="00DE0C3E"/>
    <w:rsid w:val="00DE1119"/>
    <w:rsid w:val="00DE199C"/>
    <w:rsid w:val="00DE1AA0"/>
    <w:rsid w:val="00DE20EB"/>
    <w:rsid w:val="00DE3084"/>
    <w:rsid w:val="00DE3B09"/>
    <w:rsid w:val="00DE45C0"/>
    <w:rsid w:val="00DE4E8C"/>
    <w:rsid w:val="00DE5EC5"/>
    <w:rsid w:val="00DF022E"/>
    <w:rsid w:val="00DF1378"/>
    <w:rsid w:val="00DF1F93"/>
    <w:rsid w:val="00DF2742"/>
    <w:rsid w:val="00DF2EAB"/>
    <w:rsid w:val="00DF35B0"/>
    <w:rsid w:val="00DF42BB"/>
    <w:rsid w:val="00DF445F"/>
    <w:rsid w:val="00DF706A"/>
    <w:rsid w:val="00DF74B7"/>
    <w:rsid w:val="00E00BF4"/>
    <w:rsid w:val="00E00C60"/>
    <w:rsid w:val="00E011C0"/>
    <w:rsid w:val="00E0132B"/>
    <w:rsid w:val="00E0136C"/>
    <w:rsid w:val="00E01A8D"/>
    <w:rsid w:val="00E01FE7"/>
    <w:rsid w:val="00E023A0"/>
    <w:rsid w:val="00E0280D"/>
    <w:rsid w:val="00E029E2"/>
    <w:rsid w:val="00E02ADC"/>
    <w:rsid w:val="00E03449"/>
    <w:rsid w:val="00E0398B"/>
    <w:rsid w:val="00E048A0"/>
    <w:rsid w:val="00E04D79"/>
    <w:rsid w:val="00E05083"/>
    <w:rsid w:val="00E07145"/>
    <w:rsid w:val="00E1038D"/>
    <w:rsid w:val="00E10EB9"/>
    <w:rsid w:val="00E11104"/>
    <w:rsid w:val="00E1200A"/>
    <w:rsid w:val="00E12775"/>
    <w:rsid w:val="00E15501"/>
    <w:rsid w:val="00E15E38"/>
    <w:rsid w:val="00E16B95"/>
    <w:rsid w:val="00E16D59"/>
    <w:rsid w:val="00E205D3"/>
    <w:rsid w:val="00E212E0"/>
    <w:rsid w:val="00E21CCB"/>
    <w:rsid w:val="00E22233"/>
    <w:rsid w:val="00E22975"/>
    <w:rsid w:val="00E25B49"/>
    <w:rsid w:val="00E26188"/>
    <w:rsid w:val="00E26898"/>
    <w:rsid w:val="00E27D88"/>
    <w:rsid w:val="00E31DAF"/>
    <w:rsid w:val="00E32175"/>
    <w:rsid w:val="00E32AB3"/>
    <w:rsid w:val="00E334B1"/>
    <w:rsid w:val="00E344EC"/>
    <w:rsid w:val="00E369E8"/>
    <w:rsid w:val="00E3770C"/>
    <w:rsid w:val="00E37D5E"/>
    <w:rsid w:val="00E412CE"/>
    <w:rsid w:val="00E42931"/>
    <w:rsid w:val="00E4357C"/>
    <w:rsid w:val="00E435A9"/>
    <w:rsid w:val="00E4509D"/>
    <w:rsid w:val="00E455BE"/>
    <w:rsid w:val="00E45C43"/>
    <w:rsid w:val="00E46F4C"/>
    <w:rsid w:val="00E47670"/>
    <w:rsid w:val="00E47EA7"/>
    <w:rsid w:val="00E5087A"/>
    <w:rsid w:val="00E53125"/>
    <w:rsid w:val="00E5314B"/>
    <w:rsid w:val="00E54C03"/>
    <w:rsid w:val="00E55AFA"/>
    <w:rsid w:val="00E5690B"/>
    <w:rsid w:val="00E56D4A"/>
    <w:rsid w:val="00E5778E"/>
    <w:rsid w:val="00E57E5C"/>
    <w:rsid w:val="00E60B7B"/>
    <w:rsid w:val="00E6180C"/>
    <w:rsid w:val="00E622C3"/>
    <w:rsid w:val="00E62372"/>
    <w:rsid w:val="00E62C29"/>
    <w:rsid w:val="00E631F7"/>
    <w:rsid w:val="00E635E4"/>
    <w:rsid w:val="00E63673"/>
    <w:rsid w:val="00E677CB"/>
    <w:rsid w:val="00E708CB"/>
    <w:rsid w:val="00E71729"/>
    <w:rsid w:val="00E71E64"/>
    <w:rsid w:val="00E724DE"/>
    <w:rsid w:val="00E728A8"/>
    <w:rsid w:val="00E72929"/>
    <w:rsid w:val="00E7405A"/>
    <w:rsid w:val="00E75290"/>
    <w:rsid w:val="00E76E9C"/>
    <w:rsid w:val="00E76F44"/>
    <w:rsid w:val="00E778DD"/>
    <w:rsid w:val="00E779BD"/>
    <w:rsid w:val="00E77A74"/>
    <w:rsid w:val="00E80F00"/>
    <w:rsid w:val="00E81268"/>
    <w:rsid w:val="00E829BD"/>
    <w:rsid w:val="00E8414A"/>
    <w:rsid w:val="00E84A67"/>
    <w:rsid w:val="00E857C5"/>
    <w:rsid w:val="00E85913"/>
    <w:rsid w:val="00E85B96"/>
    <w:rsid w:val="00E87963"/>
    <w:rsid w:val="00E91C38"/>
    <w:rsid w:val="00E923EE"/>
    <w:rsid w:val="00E92962"/>
    <w:rsid w:val="00E93271"/>
    <w:rsid w:val="00E93561"/>
    <w:rsid w:val="00E93D26"/>
    <w:rsid w:val="00E94415"/>
    <w:rsid w:val="00E955B8"/>
    <w:rsid w:val="00E95961"/>
    <w:rsid w:val="00E96900"/>
    <w:rsid w:val="00E975DF"/>
    <w:rsid w:val="00E9796B"/>
    <w:rsid w:val="00E97E51"/>
    <w:rsid w:val="00EA018A"/>
    <w:rsid w:val="00EA0F6F"/>
    <w:rsid w:val="00EA1011"/>
    <w:rsid w:val="00EA3BF6"/>
    <w:rsid w:val="00EA419F"/>
    <w:rsid w:val="00EA43FE"/>
    <w:rsid w:val="00EA52B6"/>
    <w:rsid w:val="00EA729F"/>
    <w:rsid w:val="00EA752B"/>
    <w:rsid w:val="00EB1CBD"/>
    <w:rsid w:val="00EB2E87"/>
    <w:rsid w:val="00EB32E8"/>
    <w:rsid w:val="00EB42AC"/>
    <w:rsid w:val="00EB474E"/>
    <w:rsid w:val="00EB485B"/>
    <w:rsid w:val="00EB70AB"/>
    <w:rsid w:val="00EB7375"/>
    <w:rsid w:val="00EB7A8C"/>
    <w:rsid w:val="00EC1AE9"/>
    <w:rsid w:val="00EC2D8F"/>
    <w:rsid w:val="00EC4926"/>
    <w:rsid w:val="00EC4BD0"/>
    <w:rsid w:val="00EC4C6B"/>
    <w:rsid w:val="00EC5F56"/>
    <w:rsid w:val="00EC6CC4"/>
    <w:rsid w:val="00ED0406"/>
    <w:rsid w:val="00ED21CA"/>
    <w:rsid w:val="00ED257E"/>
    <w:rsid w:val="00ED2B75"/>
    <w:rsid w:val="00ED36CA"/>
    <w:rsid w:val="00ED4275"/>
    <w:rsid w:val="00ED443F"/>
    <w:rsid w:val="00ED7095"/>
    <w:rsid w:val="00ED735C"/>
    <w:rsid w:val="00EE1B77"/>
    <w:rsid w:val="00EE215D"/>
    <w:rsid w:val="00EE35D3"/>
    <w:rsid w:val="00EE4355"/>
    <w:rsid w:val="00EE4FFD"/>
    <w:rsid w:val="00EE655E"/>
    <w:rsid w:val="00EE7DE4"/>
    <w:rsid w:val="00EF084C"/>
    <w:rsid w:val="00EF0E36"/>
    <w:rsid w:val="00EF3D6F"/>
    <w:rsid w:val="00EF414F"/>
    <w:rsid w:val="00EF419C"/>
    <w:rsid w:val="00EF62A8"/>
    <w:rsid w:val="00EF66E9"/>
    <w:rsid w:val="00F00262"/>
    <w:rsid w:val="00F004EB"/>
    <w:rsid w:val="00F0107D"/>
    <w:rsid w:val="00F03CFA"/>
    <w:rsid w:val="00F047F4"/>
    <w:rsid w:val="00F052C3"/>
    <w:rsid w:val="00F05D31"/>
    <w:rsid w:val="00F05FEF"/>
    <w:rsid w:val="00F06BCC"/>
    <w:rsid w:val="00F108FC"/>
    <w:rsid w:val="00F11A6B"/>
    <w:rsid w:val="00F12828"/>
    <w:rsid w:val="00F14A54"/>
    <w:rsid w:val="00F14EE0"/>
    <w:rsid w:val="00F15E83"/>
    <w:rsid w:val="00F168D3"/>
    <w:rsid w:val="00F173DD"/>
    <w:rsid w:val="00F212A5"/>
    <w:rsid w:val="00F219A3"/>
    <w:rsid w:val="00F21B65"/>
    <w:rsid w:val="00F242FB"/>
    <w:rsid w:val="00F245E9"/>
    <w:rsid w:val="00F25204"/>
    <w:rsid w:val="00F25C3F"/>
    <w:rsid w:val="00F262E5"/>
    <w:rsid w:val="00F269F6"/>
    <w:rsid w:val="00F30B23"/>
    <w:rsid w:val="00F31800"/>
    <w:rsid w:val="00F327C9"/>
    <w:rsid w:val="00F3522D"/>
    <w:rsid w:val="00F35D61"/>
    <w:rsid w:val="00F36237"/>
    <w:rsid w:val="00F36E22"/>
    <w:rsid w:val="00F37073"/>
    <w:rsid w:val="00F40694"/>
    <w:rsid w:val="00F41BF9"/>
    <w:rsid w:val="00F42637"/>
    <w:rsid w:val="00F426C4"/>
    <w:rsid w:val="00F43004"/>
    <w:rsid w:val="00F43ADB"/>
    <w:rsid w:val="00F4473C"/>
    <w:rsid w:val="00F45A2C"/>
    <w:rsid w:val="00F45B51"/>
    <w:rsid w:val="00F46611"/>
    <w:rsid w:val="00F46C05"/>
    <w:rsid w:val="00F46D2F"/>
    <w:rsid w:val="00F471C0"/>
    <w:rsid w:val="00F50162"/>
    <w:rsid w:val="00F5053D"/>
    <w:rsid w:val="00F50581"/>
    <w:rsid w:val="00F5082D"/>
    <w:rsid w:val="00F5172A"/>
    <w:rsid w:val="00F51E7E"/>
    <w:rsid w:val="00F53AE8"/>
    <w:rsid w:val="00F56346"/>
    <w:rsid w:val="00F603FE"/>
    <w:rsid w:val="00F60FB7"/>
    <w:rsid w:val="00F61624"/>
    <w:rsid w:val="00F618E4"/>
    <w:rsid w:val="00F63467"/>
    <w:rsid w:val="00F65625"/>
    <w:rsid w:val="00F658CA"/>
    <w:rsid w:val="00F6666F"/>
    <w:rsid w:val="00F67B97"/>
    <w:rsid w:val="00F706ED"/>
    <w:rsid w:val="00F72293"/>
    <w:rsid w:val="00F73339"/>
    <w:rsid w:val="00F7342E"/>
    <w:rsid w:val="00F741A7"/>
    <w:rsid w:val="00F74D2F"/>
    <w:rsid w:val="00F7773D"/>
    <w:rsid w:val="00F83EA7"/>
    <w:rsid w:val="00F85325"/>
    <w:rsid w:val="00F85CA4"/>
    <w:rsid w:val="00F85D92"/>
    <w:rsid w:val="00F86A67"/>
    <w:rsid w:val="00F875C2"/>
    <w:rsid w:val="00F87CB6"/>
    <w:rsid w:val="00F90360"/>
    <w:rsid w:val="00F90605"/>
    <w:rsid w:val="00F90AC0"/>
    <w:rsid w:val="00F918F5"/>
    <w:rsid w:val="00F91D34"/>
    <w:rsid w:val="00F927EC"/>
    <w:rsid w:val="00F938BE"/>
    <w:rsid w:val="00F93A38"/>
    <w:rsid w:val="00F94A98"/>
    <w:rsid w:val="00F96BB8"/>
    <w:rsid w:val="00F97DDA"/>
    <w:rsid w:val="00FA0FBB"/>
    <w:rsid w:val="00FA190A"/>
    <w:rsid w:val="00FA2B90"/>
    <w:rsid w:val="00FA660D"/>
    <w:rsid w:val="00FA7617"/>
    <w:rsid w:val="00FA7DEA"/>
    <w:rsid w:val="00FB0BE7"/>
    <w:rsid w:val="00FB1324"/>
    <w:rsid w:val="00FB2D79"/>
    <w:rsid w:val="00FB2DE7"/>
    <w:rsid w:val="00FB3160"/>
    <w:rsid w:val="00FB52A3"/>
    <w:rsid w:val="00FB5645"/>
    <w:rsid w:val="00FB68D4"/>
    <w:rsid w:val="00FB6AAE"/>
    <w:rsid w:val="00FB7ADA"/>
    <w:rsid w:val="00FC06C5"/>
    <w:rsid w:val="00FC336D"/>
    <w:rsid w:val="00FC35F9"/>
    <w:rsid w:val="00FC3838"/>
    <w:rsid w:val="00FC3B4C"/>
    <w:rsid w:val="00FC3C63"/>
    <w:rsid w:val="00FC4CF0"/>
    <w:rsid w:val="00FC51DA"/>
    <w:rsid w:val="00FC5518"/>
    <w:rsid w:val="00FC6193"/>
    <w:rsid w:val="00FC6272"/>
    <w:rsid w:val="00FC7600"/>
    <w:rsid w:val="00FD0A47"/>
    <w:rsid w:val="00FD0F75"/>
    <w:rsid w:val="00FD24C6"/>
    <w:rsid w:val="00FD2906"/>
    <w:rsid w:val="00FD3145"/>
    <w:rsid w:val="00FD3998"/>
    <w:rsid w:val="00FD3AC8"/>
    <w:rsid w:val="00FD4911"/>
    <w:rsid w:val="00FD4962"/>
    <w:rsid w:val="00FD5FF4"/>
    <w:rsid w:val="00FD6D10"/>
    <w:rsid w:val="00FD7722"/>
    <w:rsid w:val="00FD7F92"/>
    <w:rsid w:val="00FE20C6"/>
    <w:rsid w:val="00FE4545"/>
    <w:rsid w:val="00FE55E1"/>
    <w:rsid w:val="00FE58BF"/>
    <w:rsid w:val="00FE5A83"/>
    <w:rsid w:val="00FE6FEB"/>
    <w:rsid w:val="00FF0753"/>
    <w:rsid w:val="00FF1542"/>
    <w:rsid w:val="00FF17D5"/>
    <w:rsid w:val="00FF2064"/>
    <w:rsid w:val="00FF2829"/>
    <w:rsid w:val="00FF28CD"/>
    <w:rsid w:val="00FF3165"/>
    <w:rsid w:val="00FF4CFE"/>
    <w:rsid w:val="00FF4EBF"/>
    <w:rsid w:val="00FF520E"/>
    <w:rsid w:val="00FF59B8"/>
    <w:rsid w:val="00FF7C00"/>
    <w:rsid w:val="010056F3"/>
    <w:rsid w:val="010D0608"/>
    <w:rsid w:val="01674E5F"/>
    <w:rsid w:val="02616593"/>
    <w:rsid w:val="02664AC6"/>
    <w:rsid w:val="02DC5AE7"/>
    <w:rsid w:val="031E7FF8"/>
    <w:rsid w:val="032773F3"/>
    <w:rsid w:val="03582FAC"/>
    <w:rsid w:val="04E233B5"/>
    <w:rsid w:val="051E1DD4"/>
    <w:rsid w:val="05374272"/>
    <w:rsid w:val="053C122C"/>
    <w:rsid w:val="05FC7249"/>
    <w:rsid w:val="062E574F"/>
    <w:rsid w:val="06DB428A"/>
    <w:rsid w:val="070903D2"/>
    <w:rsid w:val="07C40381"/>
    <w:rsid w:val="07F47CD0"/>
    <w:rsid w:val="07F817E1"/>
    <w:rsid w:val="092A4A31"/>
    <w:rsid w:val="0A54778E"/>
    <w:rsid w:val="0A937A75"/>
    <w:rsid w:val="0AF16F1B"/>
    <w:rsid w:val="0B083A66"/>
    <w:rsid w:val="0B6863B5"/>
    <w:rsid w:val="0B9F4DAF"/>
    <w:rsid w:val="0BA202EA"/>
    <w:rsid w:val="0BAD316B"/>
    <w:rsid w:val="0BB7512F"/>
    <w:rsid w:val="0BC31275"/>
    <w:rsid w:val="0BFB2ED1"/>
    <w:rsid w:val="0C3650E4"/>
    <w:rsid w:val="0C6C15C5"/>
    <w:rsid w:val="0C7712D4"/>
    <w:rsid w:val="0CB62B76"/>
    <w:rsid w:val="0D4D6A2B"/>
    <w:rsid w:val="0DA15F31"/>
    <w:rsid w:val="0ED415A6"/>
    <w:rsid w:val="0F417DED"/>
    <w:rsid w:val="0F562BCA"/>
    <w:rsid w:val="0F970F4D"/>
    <w:rsid w:val="0FA2005D"/>
    <w:rsid w:val="108A5E43"/>
    <w:rsid w:val="10C24CB8"/>
    <w:rsid w:val="10C7765C"/>
    <w:rsid w:val="110A07B0"/>
    <w:rsid w:val="11734ED6"/>
    <w:rsid w:val="118E1020"/>
    <w:rsid w:val="11B92E95"/>
    <w:rsid w:val="11DE4CFF"/>
    <w:rsid w:val="12047071"/>
    <w:rsid w:val="123B50BB"/>
    <w:rsid w:val="126C0FD5"/>
    <w:rsid w:val="1273487E"/>
    <w:rsid w:val="132A34BF"/>
    <w:rsid w:val="132B5D0B"/>
    <w:rsid w:val="1627757B"/>
    <w:rsid w:val="168B2846"/>
    <w:rsid w:val="17111968"/>
    <w:rsid w:val="172B11C2"/>
    <w:rsid w:val="175464A4"/>
    <w:rsid w:val="177D1175"/>
    <w:rsid w:val="17826E79"/>
    <w:rsid w:val="17CB36B3"/>
    <w:rsid w:val="17E955A1"/>
    <w:rsid w:val="183B11C6"/>
    <w:rsid w:val="18804937"/>
    <w:rsid w:val="18984F5F"/>
    <w:rsid w:val="18A03CCE"/>
    <w:rsid w:val="19073F13"/>
    <w:rsid w:val="194C30E3"/>
    <w:rsid w:val="196273E0"/>
    <w:rsid w:val="19853C76"/>
    <w:rsid w:val="19874DDF"/>
    <w:rsid w:val="19DE4358"/>
    <w:rsid w:val="19E05B3C"/>
    <w:rsid w:val="1B266851"/>
    <w:rsid w:val="1BC7280D"/>
    <w:rsid w:val="1C310816"/>
    <w:rsid w:val="1C8327C4"/>
    <w:rsid w:val="1CED0EF2"/>
    <w:rsid w:val="1D1E7BEB"/>
    <w:rsid w:val="1D4D7396"/>
    <w:rsid w:val="1DE6623E"/>
    <w:rsid w:val="1EE2590E"/>
    <w:rsid w:val="1F8B5700"/>
    <w:rsid w:val="1FF1561E"/>
    <w:rsid w:val="20A4464F"/>
    <w:rsid w:val="21155F9A"/>
    <w:rsid w:val="21522ACC"/>
    <w:rsid w:val="21614422"/>
    <w:rsid w:val="22190BF4"/>
    <w:rsid w:val="22C829C7"/>
    <w:rsid w:val="23C81C07"/>
    <w:rsid w:val="23C81F07"/>
    <w:rsid w:val="23CD761D"/>
    <w:rsid w:val="23D71CCC"/>
    <w:rsid w:val="24DB587F"/>
    <w:rsid w:val="25221BDA"/>
    <w:rsid w:val="25394D93"/>
    <w:rsid w:val="25B2008C"/>
    <w:rsid w:val="26103A88"/>
    <w:rsid w:val="264E66ED"/>
    <w:rsid w:val="26CD7353"/>
    <w:rsid w:val="27630D0D"/>
    <w:rsid w:val="27D54975"/>
    <w:rsid w:val="28044CFF"/>
    <w:rsid w:val="2853482C"/>
    <w:rsid w:val="289E485E"/>
    <w:rsid w:val="28C80084"/>
    <w:rsid w:val="290803B2"/>
    <w:rsid w:val="290B23A3"/>
    <w:rsid w:val="29B8418C"/>
    <w:rsid w:val="29C6339E"/>
    <w:rsid w:val="29FD6D83"/>
    <w:rsid w:val="2A0D5DA2"/>
    <w:rsid w:val="2A4C585D"/>
    <w:rsid w:val="2A587247"/>
    <w:rsid w:val="2AD7369B"/>
    <w:rsid w:val="2B493C00"/>
    <w:rsid w:val="2BBE45C3"/>
    <w:rsid w:val="2BC028BF"/>
    <w:rsid w:val="2C0D626F"/>
    <w:rsid w:val="2C254AA0"/>
    <w:rsid w:val="2C3468C6"/>
    <w:rsid w:val="2C5237D4"/>
    <w:rsid w:val="2C6B654B"/>
    <w:rsid w:val="2C7E7BC0"/>
    <w:rsid w:val="2C8E58EC"/>
    <w:rsid w:val="2C951B03"/>
    <w:rsid w:val="2DA0026B"/>
    <w:rsid w:val="2DF4397A"/>
    <w:rsid w:val="2E1C210F"/>
    <w:rsid w:val="2E256184"/>
    <w:rsid w:val="2ECE41BE"/>
    <w:rsid w:val="2EFC15BC"/>
    <w:rsid w:val="2F411322"/>
    <w:rsid w:val="30245DF5"/>
    <w:rsid w:val="304E2813"/>
    <w:rsid w:val="307D732F"/>
    <w:rsid w:val="30C71FB9"/>
    <w:rsid w:val="30EF18C0"/>
    <w:rsid w:val="311F6CA0"/>
    <w:rsid w:val="318D045B"/>
    <w:rsid w:val="326E421B"/>
    <w:rsid w:val="32741AA3"/>
    <w:rsid w:val="32A01440"/>
    <w:rsid w:val="32A76239"/>
    <w:rsid w:val="334A52F1"/>
    <w:rsid w:val="33A4665B"/>
    <w:rsid w:val="33FB6CBB"/>
    <w:rsid w:val="341353ED"/>
    <w:rsid w:val="345552EE"/>
    <w:rsid w:val="3457098A"/>
    <w:rsid w:val="34B50CF3"/>
    <w:rsid w:val="34C01468"/>
    <w:rsid w:val="35444084"/>
    <w:rsid w:val="361A0C5C"/>
    <w:rsid w:val="36663CAF"/>
    <w:rsid w:val="36950DC4"/>
    <w:rsid w:val="36E665EF"/>
    <w:rsid w:val="388351CD"/>
    <w:rsid w:val="38860651"/>
    <w:rsid w:val="38B629BD"/>
    <w:rsid w:val="38DE7032"/>
    <w:rsid w:val="392B29FD"/>
    <w:rsid w:val="394E0641"/>
    <w:rsid w:val="397C4918"/>
    <w:rsid w:val="3A0E1E01"/>
    <w:rsid w:val="3A597EF1"/>
    <w:rsid w:val="3AA21D20"/>
    <w:rsid w:val="3AA7455A"/>
    <w:rsid w:val="3B474048"/>
    <w:rsid w:val="3BFD58C7"/>
    <w:rsid w:val="3C536084"/>
    <w:rsid w:val="3C627350"/>
    <w:rsid w:val="3C6D25F3"/>
    <w:rsid w:val="3C786A80"/>
    <w:rsid w:val="3C850EBF"/>
    <w:rsid w:val="3C8C43E8"/>
    <w:rsid w:val="3CAC7E93"/>
    <w:rsid w:val="3CB35B06"/>
    <w:rsid w:val="3CDF1832"/>
    <w:rsid w:val="3CED6223"/>
    <w:rsid w:val="3DAB12E9"/>
    <w:rsid w:val="3DB679EE"/>
    <w:rsid w:val="3DE22B6F"/>
    <w:rsid w:val="3E506660"/>
    <w:rsid w:val="3E9236F1"/>
    <w:rsid w:val="3EA631EB"/>
    <w:rsid w:val="3F0024A4"/>
    <w:rsid w:val="3F490CF3"/>
    <w:rsid w:val="3F897BBA"/>
    <w:rsid w:val="3FC40CB3"/>
    <w:rsid w:val="4040038A"/>
    <w:rsid w:val="40D55820"/>
    <w:rsid w:val="40F02A0F"/>
    <w:rsid w:val="40FE6F33"/>
    <w:rsid w:val="413A6934"/>
    <w:rsid w:val="42020678"/>
    <w:rsid w:val="421B055B"/>
    <w:rsid w:val="422752FE"/>
    <w:rsid w:val="42695ED9"/>
    <w:rsid w:val="426F2F2F"/>
    <w:rsid w:val="43001D5A"/>
    <w:rsid w:val="43265CFC"/>
    <w:rsid w:val="43466707"/>
    <w:rsid w:val="435930D3"/>
    <w:rsid w:val="438A2EAD"/>
    <w:rsid w:val="43CA5779"/>
    <w:rsid w:val="44075E7A"/>
    <w:rsid w:val="44354431"/>
    <w:rsid w:val="4468633F"/>
    <w:rsid w:val="44960EAD"/>
    <w:rsid w:val="45431F42"/>
    <w:rsid w:val="45CF4733"/>
    <w:rsid w:val="45FC52E3"/>
    <w:rsid w:val="46326E95"/>
    <w:rsid w:val="46510253"/>
    <w:rsid w:val="46587F1B"/>
    <w:rsid w:val="466C58D5"/>
    <w:rsid w:val="46E83826"/>
    <w:rsid w:val="47AF5EF8"/>
    <w:rsid w:val="47CA44E3"/>
    <w:rsid w:val="480C07AB"/>
    <w:rsid w:val="4833151F"/>
    <w:rsid w:val="488821FF"/>
    <w:rsid w:val="48A32FB3"/>
    <w:rsid w:val="48B12C28"/>
    <w:rsid w:val="48DD7773"/>
    <w:rsid w:val="48F009F4"/>
    <w:rsid w:val="497B067E"/>
    <w:rsid w:val="4A317B52"/>
    <w:rsid w:val="4A511FEF"/>
    <w:rsid w:val="4A911438"/>
    <w:rsid w:val="4B1E1498"/>
    <w:rsid w:val="4B616A1A"/>
    <w:rsid w:val="4B743873"/>
    <w:rsid w:val="4B9110A7"/>
    <w:rsid w:val="4B9B4B62"/>
    <w:rsid w:val="4CAE0DB7"/>
    <w:rsid w:val="4D1F6C15"/>
    <w:rsid w:val="4D1F7E14"/>
    <w:rsid w:val="4D2A092F"/>
    <w:rsid w:val="4D377655"/>
    <w:rsid w:val="4D3B6F72"/>
    <w:rsid w:val="4E0A49E9"/>
    <w:rsid w:val="4E564F99"/>
    <w:rsid w:val="4E5B0194"/>
    <w:rsid w:val="4EC27A6A"/>
    <w:rsid w:val="4F0532B8"/>
    <w:rsid w:val="4F16500E"/>
    <w:rsid w:val="4F3A64DF"/>
    <w:rsid w:val="4F551E16"/>
    <w:rsid w:val="4FCD467C"/>
    <w:rsid w:val="503A1247"/>
    <w:rsid w:val="507A0E74"/>
    <w:rsid w:val="50B31002"/>
    <w:rsid w:val="510641B2"/>
    <w:rsid w:val="5143490F"/>
    <w:rsid w:val="5193252F"/>
    <w:rsid w:val="524F14D8"/>
    <w:rsid w:val="52660453"/>
    <w:rsid w:val="52A17A9B"/>
    <w:rsid w:val="52C400A0"/>
    <w:rsid w:val="53261F6E"/>
    <w:rsid w:val="53F0348E"/>
    <w:rsid w:val="54282F87"/>
    <w:rsid w:val="54291E0D"/>
    <w:rsid w:val="543D7319"/>
    <w:rsid w:val="54437A11"/>
    <w:rsid w:val="548D1DD1"/>
    <w:rsid w:val="54BC7A5A"/>
    <w:rsid w:val="55966888"/>
    <w:rsid w:val="5597068B"/>
    <w:rsid w:val="565F2748"/>
    <w:rsid w:val="567D5806"/>
    <w:rsid w:val="568C31B1"/>
    <w:rsid w:val="56AD1929"/>
    <w:rsid w:val="57CC5739"/>
    <w:rsid w:val="58025AA6"/>
    <w:rsid w:val="580E29F3"/>
    <w:rsid w:val="5894218F"/>
    <w:rsid w:val="58A86EF1"/>
    <w:rsid w:val="58D22AD4"/>
    <w:rsid w:val="58DF01F8"/>
    <w:rsid w:val="593F726A"/>
    <w:rsid w:val="5A092E33"/>
    <w:rsid w:val="5A502B3F"/>
    <w:rsid w:val="5B5F741C"/>
    <w:rsid w:val="5BB172D6"/>
    <w:rsid w:val="5C74605C"/>
    <w:rsid w:val="5CE92040"/>
    <w:rsid w:val="5D06278C"/>
    <w:rsid w:val="5D896F41"/>
    <w:rsid w:val="5D93490E"/>
    <w:rsid w:val="5E2B1E2E"/>
    <w:rsid w:val="5E7719A2"/>
    <w:rsid w:val="5F0E2A4C"/>
    <w:rsid w:val="5F2418AA"/>
    <w:rsid w:val="5F3726B3"/>
    <w:rsid w:val="5F586AD2"/>
    <w:rsid w:val="5F6E7FE8"/>
    <w:rsid w:val="5FBF0FED"/>
    <w:rsid w:val="60397830"/>
    <w:rsid w:val="60563487"/>
    <w:rsid w:val="60592639"/>
    <w:rsid w:val="60B96A7A"/>
    <w:rsid w:val="60BD5D16"/>
    <w:rsid w:val="60E7650F"/>
    <w:rsid w:val="60F05F24"/>
    <w:rsid w:val="610536EA"/>
    <w:rsid w:val="61126B7B"/>
    <w:rsid w:val="61814338"/>
    <w:rsid w:val="61E17FE3"/>
    <w:rsid w:val="61F12DCD"/>
    <w:rsid w:val="62025AA6"/>
    <w:rsid w:val="62617F4B"/>
    <w:rsid w:val="62CA71AC"/>
    <w:rsid w:val="638E2810"/>
    <w:rsid w:val="63A83393"/>
    <w:rsid w:val="64106D2A"/>
    <w:rsid w:val="6434603E"/>
    <w:rsid w:val="64683E1C"/>
    <w:rsid w:val="654C4E9C"/>
    <w:rsid w:val="666F5C4F"/>
    <w:rsid w:val="668A24F0"/>
    <w:rsid w:val="675663ED"/>
    <w:rsid w:val="678C6032"/>
    <w:rsid w:val="67BA76A6"/>
    <w:rsid w:val="67C34A3D"/>
    <w:rsid w:val="67FE6FDC"/>
    <w:rsid w:val="68322B0F"/>
    <w:rsid w:val="68327F0F"/>
    <w:rsid w:val="68796E27"/>
    <w:rsid w:val="68841135"/>
    <w:rsid w:val="68945430"/>
    <w:rsid w:val="68D64281"/>
    <w:rsid w:val="69147F38"/>
    <w:rsid w:val="69A2722E"/>
    <w:rsid w:val="6A1F7D31"/>
    <w:rsid w:val="6A250B8B"/>
    <w:rsid w:val="6A443746"/>
    <w:rsid w:val="6A623C1C"/>
    <w:rsid w:val="6B652139"/>
    <w:rsid w:val="6B7A2FC8"/>
    <w:rsid w:val="6BAF61E5"/>
    <w:rsid w:val="6C1B2A6A"/>
    <w:rsid w:val="6CC22F35"/>
    <w:rsid w:val="6D0458E6"/>
    <w:rsid w:val="6D5D17D4"/>
    <w:rsid w:val="6D814592"/>
    <w:rsid w:val="6DC95D7F"/>
    <w:rsid w:val="6DE442DD"/>
    <w:rsid w:val="6E8C5339"/>
    <w:rsid w:val="6F297865"/>
    <w:rsid w:val="6F344020"/>
    <w:rsid w:val="6FA819D0"/>
    <w:rsid w:val="6FAD0EE2"/>
    <w:rsid w:val="709836CD"/>
    <w:rsid w:val="70A06EDA"/>
    <w:rsid w:val="70E56F5A"/>
    <w:rsid w:val="71927444"/>
    <w:rsid w:val="71D16A7E"/>
    <w:rsid w:val="72274033"/>
    <w:rsid w:val="72312BBD"/>
    <w:rsid w:val="7241196D"/>
    <w:rsid w:val="7256613C"/>
    <w:rsid w:val="73395FCE"/>
    <w:rsid w:val="735D7229"/>
    <w:rsid w:val="744D6332"/>
    <w:rsid w:val="745879C6"/>
    <w:rsid w:val="74C67FE5"/>
    <w:rsid w:val="750F163C"/>
    <w:rsid w:val="751F05E7"/>
    <w:rsid w:val="75C233A5"/>
    <w:rsid w:val="75E06B6D"/>
    <w:rsid w:val="75E30EE0"/>
    <w:rsid w:val="76371AA7"/>
    <w:rsid w:val="763E2F48"/>
    <w:rsid w:val="767B7642"/>
    <w:rsid w:val="76C225FC"/>
    <w:rsid w:val="76E04E69"/>
    <w:rsid w:val="77060370"/>
    <w:rsid w:val="77EE717C"/>
    <w:rsid w:val="78017A06"/>
    <w:rsid w:val="785E7543"/>
    <w:rsid w:val="78914621"/>
    <w:rsid w:val="78D2518D"/>
    <w:rsid w:val="78F6218A"/>
    <w:rsid w:val="794E2508"/>
    <w:rsid w:val="799D5DEB"/>
    <w:rsid w:val="79F15A62"/>
    <w:rsid w:val="7A6A5D4B"/>
    <w:rsid w:val="7A7C4B68"/>
    <w:rsid w:val="7AD25150"/>
    <w:rsid w:val="7AE60A6D"/>
    <w:rsid w:val="7B480057"/>
    <w:rsid w:val="7BA77D7C"/>
    <w:rsid w:val="7BEC5298"/>
    <w:rsid w:val="7C655B98"/>
    <w:rsid w:val="7C8B0C65"/>
    <w:rsid w:val="7C941D74"/>
    <w:rsid w:val="7CCE4B37"/>
    <w:rsid w:val="7D7A5FC5"/>
    <w:rsid w:val="7DB970D5"/>
    <w:rsid w:val="7DC1574B"/>
    <w:rsid w:val="7E1E7E3D"/>
    <w:rsid w:val="7E834286"/>
    <w:rsid w:val="7EC06C97"/>
    <w:rsid w:val="7ED11D72"/>
    <w:rsid w:val="7EEF6DF0"/>
    <w:rsid w:val="7FC36474"/>
    <w:rsid w:val="7FFB043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71"/>
    <w:qFormat/>
    <w:uiPriority w:val="0"/>
    <w:pPr>
      <w:keepNext/>
      <w:keepLines/>
      <w:spacing w:before="340" w:after="330" w:line="578" w:lineRule="auto"/>
      <w:outlineLvl w:val="0"/>
    </w:pPr>
    <w:rPr>
      <w:rFonts w:ascii="Times New Roman" w:hAnsi="Times New Roman"/>
      <w:b/>
      <w:kern w:val="44"/>
      <w:sz w:val="44"/>
      <w:szCs w:val="20"/>
    </w:rPr>
  </w:style>
  <w:style w:type="paragraph" w:styleId="3">
    <w:name w:val="heading 2"/>
    <w:basedOn w:val="1"/>
    <w:next w:val="1"/>
    <w:link w:val="44"/>
    <w:qFormat/>
    <w:uiPriority w:val="0"/>
    <w:pPr>
      <w:keepNext/>
      <w:keepLines/>
      <w:spacing w:before="260" w:after="260" w:line="415" w:lineRule="auto"/>
      <w:outlineLvl w:val="1"/>
    </w:pPr>
    <w:rPr>
      <w:rFonts w:ascii="Arial" w:hAnsi="Arial" w:eastAsia="黑体"/>
      <w:b/>
      <w:sz w:val="32"/>
      <w:szCs w:val="20"/>
    </w:rPr>
  </w:style>
  <w:style w:type="paragraph" w:styleId="4">
    <w:name w:val="heading 3"/>
    <w:basedOn w:val="1"/>
    <w:next w:val="1"/>
    <w:link w:val="90"/>
    <w:qFormat/>
    <w:uiPriority w:val="0"/>
    <w:pPr>
      <w:keepNext/>
      <w:keepLines/>
      <w:spacing w:before="260" w:after="260" w:line="415" w:lineRule="auto"/>
      <w:outlineLvl w:val="2"/>
    </w:pPr>
    <w:rPr>
      <w:rFonts w:ascii="Times New Roman" w:hAnsi="Times New Roman"/>
      <w:b/>
      <w:sz w:val="32"/>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szCs w:val="22"/>
    </w:rPr>
  </w:style>
  <w:style w:type="paragraph" w:styleId="6">
    <w:name w:val="Normal Indent"/>
    <w:basedOn w:val="1"/>
    <w:qFormat/>
    <w:uiPriority w:val="0"/>
    <w:pPr>
      <w:snapToGrid w:val="0"/>
      <w:spacing w:line="300" w:lineRule="auto"/>
      <w:ind w:firstLine="556"/>
    </w:pPr>
    <w:rPr>
      <w:rFonts w:ascii="仿宋_GB2312" w:hAnsi="Times New Roman" w:eastAsia="仿宋_GB2312"/>
      <w:sz w:val="28"/>
      <w:szCs w:val="20"/>
    </w:r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link w:val="60"/>
    <w:semiHidden/>
    <w:qFormat/>
    <w:uiPriority w:val="0"/>
    <w:pPr>
      <w:shd w:val="clear" w:color="auto" w:fill="000080"/>
    </w:pPr>
    <w:rPr>
      <w:rFonts w:ascii="Times New Roman" w:hAnsi="Times New Roman"/>
      <w:szCs w:val="20"/>
    </w:rPr>
  </w:style>
  <w:style w:type="paragraph" w:styleId="9">
    <w:name w:val="annotation text"/>
    <w:basedOn w:val="1"/>
    <w:link w:val="50"/>
    <w:semiHidden/>
    <w:qFormat/>
    <w:uiPriority w:val="0"/>
    <w:pPr>
      <w:jc w:val="left"/>
    </w:pPr>
    <w:rPr>
      <w:rFonts w:ascii="Times New Roman" w:hAnsi="Times New Roman"/>
      <w:szCs w:val="24"/>
    </w:rPr>
  </w:style>
  <w:style w:type="paragraph" w:styleId="10">
    <w:name w:val="Body Text 3"/>
    <w:basedOn w:val="1"/>
    <w:link w:val="47"/>
    <w:qFormat/>
    <w:uiPriority w:val="0"/>
    <w:pPr>
      <w:adjustRightInd w:val="0"/>
      <w:spacing w:line="312" w:lineRule="atLeast"/>
      <w:textAlignment w:val="baseline"/>
    </w:pPr>
    <w:rPr>
      <w:rFonts w:ascii="仿宋_GB2312" w:hAnsi="Times New Roman" w:eastAsia="仿宋_GB2312"/>
      <w:color w:val="FF6600"/>
      <w:spacing w:val="50"/>
      <w:kern w:val="0"/>
      <w:sz w:val="20"/>
      <w:szCs w:val="20"/>
    </w:rPr>
  </w:style>
  <w:style w:type="paragraph" w:styleId="11">
    <w:name w:val="Body Text"/>
    <w:basedOn w:val="1"/>
    <w:link w:val="91"/>
    <w:qFormat/>
    <w:uiPriority w:val="0"/>
    <w:pPr>
      <w:spacing w:after="120"/>
    </w:pPr>
    <w:rPr>
      <w:rFonts w:ascii="Times New Roman" w:hAnsi="Times New Roman"/>
      <w:szCs w:val="20"/>
    </w:rPr>
  </w:style>
  <w:style w:type="paragraph" w:styleId="12">
    <w:name w:val="Body Text Indent"/>
    <w:basedOn w:val="1"/>
    <w:link w:val="74"/>
    <w:qFormat/>
    <w:uiPriority w:val="0"/>
    <w:pPr>
      <w:ind w:firstLine="555"/>
    </w:pPr>
    <w:rPr>
      <w:rFonts w:ascii="宋体" w:hAnsi="Times New Roman"/>
      <w:sz w:val="28"/>
      <w:szCs w:val="20"/>
    </w:rPr>
  </w:style>
  <w:style w:type="paragraph" w:styleId="13">
    <w:name w:val="toc 5"/>
    <w:basedOn w:val="1"/>
    <w:next w:val="1"/>
    <w:unhideWhenUsed/>
    <w:qFormat/>
    <w:uiPriority w:val="39"/>
    <w:pPr>
      <w:ind w:left="1680" w:leftChars="800"/>
    </w:pPr>
    <w:rPr>
      <w:szCs w:val="22"/>
    </w:rPr>
  </w:style>
  <w:style w:type="paragraph" w:styleId="14">
    <w:name w:val="toc 3"/>
    <w:basedOn w:val="1"/>
    <w:next w:val="1"/>
    <w:unhideWhenUsed/>
    <w:qFormat/>
    <w:uiPriority w:val="0"/>
    <w:pPr>
      <w:ind w:left="840" w:leftChars="400"/>
    </w:pPr>
    <w:rPr>
      <w:szCs w:val="22"/>
    </w:rPr>
  </w:style>
  <w:style w:type="paragraph" w:styleId="15">
    <w:name w:val="Plain Text"/>
    <w:basedOn w:val="1"/>
    <w:link w:val="75"/>
    <w:qFormat/>
    <w:uiPriority w:val="0"/>
    <w:rPr>
      <w:rFonts w:ascii="宋体" w:hAnsi="Courier New"/>
      <w:kern w:val="0"/>
      <w:sz w:val="20"/>
      <w:szCs w:val="20"/>
    </w:rPr>
  </w:style>
  <w:style w:type="paragraph" w:styleId="16">
    <w:name w:val="toc 8"/>
    <w:basedOn w:val="1"/>
    <w:next w:val="1"/>
    <w:unhideWhenUsed/>
    <w:qFormat/>
    <w:uiPriority w:val="39"/>
    <w:pPr>
      <w:ind w:left="2940" w:leftChars="1400"/>
    </w:pPr>
    <w:rPr>
      <w:szCs w:val="22"/>
    </w:rPr>
  </w:style>
  <w:style w:type="paragraph" w:styleId="17">
    <w:name w:val="Date"/>
    <w:basedOn w:val="1"/>
    <w:next w:val="1"/>
    <w:link w:val="76"/>
    <w:unhideWhenUsed/>
    <w:qFormat/>
    <w:uiPriority w:val="0"/>
    <w:pPr>
      <w:ind w:left="100" w:leftChars="2500"/>
    </w:pPr>
  </w:style>
  <w:style w:type="paragraph" w:styleId="18">
    <w:name w:val="Body Text Indent 2"/>
    <w:basedOn w:val="1"/>
    <w:link w:val="79"/>
    <w:qFormat/>
    <w:uiPriority w:val="0"/>
    <w:pPr>
      <w:spacing w:after="120" w:line="480" w:lineRule="auto"/>
      <w:ind w:left="420" w:leftChars="200"/>
    </w:pPr>
    <w:rPr>
      <w:rFonts w:ascii="Times New Roman" w:hAnsi="Times New Roman"/>
      <w:szCs w:val="20"/>
    </w:rPr>
  </w:style>
  <w:style w:type="paragraph" w:styleId="19">
    <w:name w:val="Balloon Text"/>
    <w:basedOn w:val="1"/>
    <w:link w:val="54"/>
    <w:unhideWhenUsed/>
    <w:qFormat/>
    <w:uiPriority w:val="0"/>
    <w:rPr>
      <w:sz w:val="18"/>
      <w:szCs w:val="18"/>
    </w:rPr>
  </w:style>
  <w:style w:type="paragraph" w:styleId="20">
    <w:name w:val="footer"/>
    <w:link w:val="89"/>
    <w:unhideWhenUsed/>
    <w:qFormat/>
    <w:uiPriority w:val="99"/>
    <w:pPr>
      <w:widowControl w:val="0"/>
      <w:pBdr>
        <w:top w:val="single" w:color="auto" w:sz="6" w:space="0"/>
      </w:pBdr>
      <w:tabs>
        <w:tab w:val="center" w:pos="4153"/>
        <w:tab w:val="right" w:pos="8364"/>
      </w:tabs>
      <w:ind w:right="44" w:rightChars="21"/>
    </w:pPr>
    <w:rPr>
      <w:rFonts w:ascii="宋体" w:hAnsi="宋体" w:eastAsia="宋体" w:cs="Times New Roman"/>
      <w:kern w:val="2"/>
      <w:sz w:val="18"/>
      <w:szCs w:val="18"/>
      <w:lang w:val="en-US" w:eastAsia="zh-CN" w:bidi="ar-SA"/>
    </w:rPr>
  </w:style>
  <w:style w:type="paragraph" w:styleId="21">
    <w:name w:val="header"/>
    <w:link w:val="66"/>
    <w:unhideWhenUsed/>
    <w:qFormat/>
    <w:uiPriority w:val="0"/>
    <w:pPr>
      <w:pBdr>
        <w:bottom w:val="single" w:color="auto" w:sz="6" w:space="1"/>
      </w:pBdr>
      <w:jc w:val="center"/>
    </w:pPr>
    <w:rPr>
      <w:rFonts w:ascii="Times New Roman" w:hAnsi="Times New Roman" w:eastAsia="微软雅黑" w:cs="Times New Roman"/>
      <w:kern w:val="2"/>
      <w:sz w:val="18"/>
      <w:szCs w:val="18"/>
      <w:lang w:val="en-US" w:eastAsia="zh-CN" w:bidi="ar-SA"/>
    </w:rPr>
  </w:style>
  <w:style w:type="paragraph" w:styleId="22">
    <w:name w:val="toc 1"/>
    <w:basedOn w:val="1"/>
    <w:next w:val="1"/>
    <w:unhideWhenUsed/>
    <w:qFormat/>
    <w:uiPriority w:val="39"/>
    <w:pPr>
      <w:spacing w:line="500" w:lineRule="exact"/>
    </w:pPr>
    <w:rPr>
      <w:rFonts w:ascii="Times New Roman" w:hAnsi="Times New Roman" w:eastAsia="楷体_GB2312"/>
      <w:b/>
      <w:sz w:val="30"/>
    </w:rPr>
  </w:style>
  <w:style w:type="paragraph" w:styleId="23">
    <w:name w:val="toc 4"/>
    <w:basedOn w:val="1"/>
    <w:next w:val="1"/>
    <w:unhideWhenUsed/>
    <w:qFormat/>
    <w:uiPriority w:val="39"/>
    <w:pPr>
      <w:ind w:left="1260" w:leftChars="600"/>
    </w:pPr>
    <w:rPr>
      <w:szCs w:val="22"/>
    </w:rPr>
  </w:style>
  <w:style w:type="paragraph" w:styleId="24">
    <w:name w:val="footnote text"/>
    <w:basedOn w:val="1"/>
    <w:link w:val="93"/>
    <w:semiHidden/>
    <w:qFormat/>
    <w:uiPriority w:val="0"/>
    <w:pPr>
      <w:snapToGrid w:val="0"/>
      <w:jc w:val="left"/>
    </w:pPr>
    <w:rPr>
      <w:rFonts w:ascii="Times New Roman" w:hAnsi="Times New Roman"/>
      <w:sz w:val="18"/>
      <w:szCs w:val="18"/>
    </w:rPr>
  </w:style>
  <w:style w:type="paragraph" w:styleId="25">
    <w:name w:val="toc 6"/>
    <w:basedOn w:val="1"/>
    <w:next w:val="1"/>
    <w:unhideWhenUsed/>
    <w:qFormat/>
    <w:uiPriority w:val="39"/>
    <w:pPr>
      <w:ind w:left="2100" w:leftChars="1000"/>
    </w:pPr>
    <w:rPr>
      <w:szCs w:val="22"/>
    </w:rPr>
  </w:style>
  <w:style w:type="paragraph" w:styleId="26">
    <w:name w:val="Body Text Indent 3"/>
    <w:basedOn w:val="1"/>
    <w:link w:val="63"/>
    <w:qFormat/>
    <w:uiPriority w:val="0"/>
    <w:pPr>
      <w:autoSpaceDE w:val="0"/>
      <w:autoSpaceDN w:val="0"/>
      <w:adjustRightInd w:val="0"/>
      <w:snapToGrid w:val="0"/>
      <w:spacing w:line="500" w:lineRule="exact"/>
      <w:ind w:firstLine="720"/>
      <w:textAlignment w:val="bottom"/>
    </w:pPr>
    <w:rPr>
      <w:rFonts w:ascii="仿宋体" w:hAnsi="Times New Roman" w:eastAsia="仿宋体"/>
      <w:spacing w:val="36"/>
      <w:kern w:val="0"/>
      <w:sz w:val="28"/>
      <w:szCs w:val="20"/>
    </w:rPr>
  </w:style>
  <w:style w:type="paragraph" w:styleId="27">
    <w:name w:val="toc 2"/>
    <w:basedOn w:val="1"/>
    <w:next w:val="1"/>
    <w:unhideWhenUsed/>
    <w:qFormat/>
    <w:uiPriority w:val="39"/>
    <w:pPr>
      <w:spacing w:line="400" w:lineRule="exact"/>
      <w:ind w:left="200" w:leftChars="200"/>
    </w:pPr>
    <w:rPr>
      <w:rFonts w:ascii="Times New Roman" w:hAnsi="Times New Roman" w:eastAsia="楷体_GB2312"/>
      <w:sz w:val="28"/>
    </w:rPr>
  </w:style>
  <w:style w:type="paragraph" w:styleId="28">
    <w:name w:val="toc 9"/>
    <w:basedOn w:val="1"/>
    <w:next w:val="1"/>
    <w:unhideWhenUsed/>
    <w:qFormat/>
    <w:uiPriority w:val="0"/>
    <w:pPr>
      <w:ind w:left="3360" w:leftChars="1600"/>
    </w:pPr>
    <w:rPr>
      <w:szCs w:val="22"/>
    </w:rPr>
  </w:style>
  <w:style w:type="paragraph" w:styleId="29">
    <w:name w:val="Normal (Web)"/>
    <w:basedOn w:val="1"/>
    <w:qFormat/>
    <w:uiPriority w:val="0"/>
    <w:pPr>
      <w:widowControl/>
      <w:spacing w:before="100" w:after="100"/>
      <w:jc w:val="left"/>
    </w:pPr>
    <w:rPr>
      <w:rFonts w:ascii="宋体" w:hAnsi="宋体"/>
      <w:kern w:val="0"/>
      <w:sz w:val="18"/>
      <w:szCs w:val="20"/>
    </w:rPr>
  </w:style>
  <w:style w:type="paragraph" w:styleId="30">
    <w:name w:val="annotation subject"/>
    <w:basedOn w:val="9"/>
    <w:next w:val="9"/>
    <w:link w:val="92"/>
    <w:unhideWhenUsed/>
    <w:qFormat/>
    <w:uiPriority w:val="0"/>
    <w:rPr>
      <w:rFonts w:ascii="Calibri" w:hAnsi="Calibri"/>
      <w:b/>
      <w:bCs/>
      <w:szCs w:val="21"/>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rPr>
  </w:style>
  <w:style w:type="character" w:styleId="35">
    <w:name w:val="page number"/>
    <w:basedOn w:val="33"/>
    <w:qFormat/>
    <w:uiPriority w:val="0"/>
  </w:style>
  <w:style w:type="character" w:styleId="36">
    <w:name w:val="FollowedHyperlink"/>
    <w:unhideWhenUsed/>
    <w:qFormat/>
    <w:uiPriority w:val="99"/>
    <w:rPr>
      <w:color w:val="800080"/>
      <w:u w:val="single"/>
    </w:rPr>
  </w:style>
  <w:style w:type="character" w:styleId="37">
    <w:name w:val="Hyperlink"/>
    <w:basedOn w:val="33"/>
    <w:unhideWhenUsed/>
    <w:qFormat/>
    <w:uiPriority w:val="99"/>
    <w:rPr>
      <w:color w:val="0000FF"/>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报告正文 Char Char Char"/>
    <w:link w:val="41"/>
    <w:qFormat/>
    <w:uiPriority w:val="0"/>
    <w:rPr>
      <w:rFonts w:ascii="华文细黑" w:hAnsi="Times New Roman" w:eastAsia="华文细黑" w:cs="Times New Roman"/>
      <w:sz w:val="22"/>
      <w:szCs w:val="20"/>
    </w:rPr>
  </w:style>
  <w:style w:type="paragraph" w:customStyle="1" w:styleId="41">
    <w:name w:val="报告正文 Char Char"/>
    <w:basedOn w:val="1"/>
    <w:link w:val="40"/>
    <w:qFormat/>
    <w:uiPriority w:val="0"/>
    <w:pPr>
      <w:adjustRightInd w:val="0"/>
      <w:snapToGrid w:val="0"/>
      <w:spacing w:line="336" w:lineRule="auto"/>
      <w:ind w:left="2603"/>
    </w:pPr>
    <w:rPr>
      <w:rFonts w:ascii="华文细黑" w:hAnsi="Times New Roman" w:eastAsia="华文细黑"/>
      <w:kern w:val="0"/>
      <w:sz w:val="22"/>
      <w:szCs w:val="20"/>
    </w:rPr>
  </w:style>
  <w:style w:type="character" w:customStyle="1" w:styleId="42">
    <w:name w:val="模板-正文 Char Char Char"/>
    <w:link w:val="43"/>
    <w:qFormat/>
    <w:uiPriority w:val="0"/>
    <w:rPr>
      <w:rFonts w:ascii="楷体" w:hAnsi="楷体" w:eastAsia="楷体"/>
      <w:snapToGrid w:val="0"/>
      <w:sz w:val="28"/>
      <w:szCs w:val="28"/>
    </w:rPr>
  </w:style>
  <w:style w:type="paragraph" w:customStyle="1" w:styleId="43">
    <w:name w:val="模板-正文"/>
    <w:link w:val="42"/>
    <w:qFormat/>
    <w:uiPriority w:val="0"/>
    <w:pPr>
      <w:widowControl w:val="0"/>
      <w:adjustRightInd w:val="0"/>
      <w:snapToGrid w:val="0"/>
      <w:spacing w:beforeLines="50" w:afterLines="50" w:line="360" w:lineRule="auto"/>
      <w:ind w:left="420" w:hanging="420"/>
      <w:jc w:val="both"/>
    </w:pPr>
    <w:rPr>
      <w:rFonts w:ascii="楷体" w:hAnsi="楷体" w:eastAsia="楷体" w:cs="Times New Roman"/>
      <w:snapToGrid w:val="0"/>
      <w:sz w:val="28"/>
      <w:szCs w:val="28"/>
      <w:lang w:val="en-US" w:eastAsia="zh-CN" w:bidi="ar-SA"/>
    </w:rPr>
  </w:style>
  <w:style w:type="character" w:customStyle="1" w:styleId="44">
    <w:name w:val="标题 2 Char"/>
    <w:basedOn w:val="33"/>
    <w:link w:val="3"/>
    <w:qFormat/>
    <w:uiPriority w:val="0"/>
    <w:rPr>
      <w:rFonts w:ascii="Arial" w:hAnsi="Arial" w:eastAsia="黑体" w:cs="Times New Roman"/>
      <w:b/>
      <w:sz w:val="32"/>
      <w:szCs w:val="20"/>
    </w:rPr>
  </w:style>
  <w:style w:type="character" w:customStyle="1" w:styleId="45">
    <w:name w:val="市场分析报告_正文 Char Char"/>
    <w:link w:val="46"/>
    <w:qFormat/>
    <w:uiPriority w:val="0"/>
    <w:rPr>
      <w:rFonts w:ascii="Times New Roman" w:hAnsi="Times New Roman" w:eastAsia="仿宋_GB2312" w:cs="Times New Roman"/>
      <w:sz w:val="24"/>
      <w:szCs w:val="24"/>
    </w:rPr>
  </w:style>
  <w:style w:type="paragraph" w:customStyle="1" w:styleId="46">
    <w:name w:val="市场分析报告_正文"/>
    <w:basedOn w:val="1"/>
    <w:link w:val="45"/>
    <w:qFormat/>
    <w:uiPriority w:val="0"/>
    <w:pPr>
      <w:spacing w:line="360" w:lineRule="auto"/>
      <w:ind w:firstLine="200" w:firstLineChars="200"/>
    </w:pPr>
    <w:rPr>
      <w:rFonts w:ascii="Times New Roman" w:hAnsi="Times New Roman" w:eastAsia="仿宋_GB2312"/>
      <w:kern w:val="0"/>
      <w:sz w:val="24"/>
      <w:szCs w:val="24"/>
    </w:rPr>
  </w:style>
  <w:style w:type="character" w:customStyle="1" w:styleId="47">
    <w:name w:val="正文文本 3 Char1"/>
    <w:link w:val="10"/>
    <w:qFormat/>
    <w:uiPriority w:val="0"/>
    <w:rPr>
      <w:rFonts w:ascii="仿宋_GB2312" w:hAnsi="Times New Roman" w:eastAsia="仿宋_GB2312" w:cs="Times New Roman"/>
      <w:color w:val="FF6600"/>
      <w:spacing w:val="50"/>
      <w:kern w:val="0"/>
      <w:szCs w:val="20"/>
    </w:rPr>
  </w:style>
  <w:style w:type="character" w:customStyle="1" w:styleId="48">
    <w:name w:val="市场分析报告_2级 Char"/>
    <w:link w:val="49"/>
    <w:qFormat/>
    <w:uiPriority w:val="0"/>
    <w:rPr>
      <w:rFonts w:ascii="仿宋_GB2312" w:hAnsi="Times New Roman" w:eastAsia="仿宋_GB2312" w:cs="宋体"/>
      <w:b/>
      <w:sz w:val="24"/>
      <w:szCs w:val="20"/>
    </w:rPr>
  </w:style>
  <w:style w:type="paragraph" w:customStyle="1" w:styleId="49">
    <w:name w:val="市场分析报告_2级"/>
    <w:basedOn w:val="1"/>
    <w:link w:val="48"/>
    <w:qFormat/>
    <w:uiPriority w:val="0"/>
    <w:pPr>
      <w:spacing w:line="300" w:lineRule="auto"/>
      <w:jc w:val="left"/>
      <w:outlineLvl w:val="1"/>
    </w:pPr>
    <w:rPr>
      <w:rFonts w:ascii="仿宋_GB2312" w:hAnsi="Times New Roman" w:eastAsia="仿宋_GB2312"/>
      <w:b/>
      <w:kern w:val="0"/>
      <w:sz w:val="24"/>
      <w:szCs w:val="20"/>
    </w:rPr>
  </w:style>
  <w:style w:type="character" w:customStyle="1" w:styleId="50">
    <w:name w:val="批注文字 Char"/>
    <w:basedOn w:val="33"/>
    <w:link w:val="9"/>
    <w:semiHidden/>
    <w:qFormat/>
    <w:uiPriority w:val="0"/>
    <w:rPr>
      <w:rFonts w:ascii="Times New Roman" w:hAnsi="Times New Roman" w:eastAsia="宋体" w:cs="Times New Roman"/>
      <w:szCs w:val="24"/>
    </w:rPr>
  </w:style>
  <w:style w:type="character" w:customStyle="1" w:styleId="51">
    <w:name w:val="样式 仿宋_GB2312 四号 加粗 Char"/>
    <w:link w:val="52"/>
    <w:qFormat/>
    <w:uiPriority w:val="0"/>
    <w:rPr>
      <w:rFonts w:ascii="仿宋_GB2312" w:hAnsi="Times New Roman" w:eastAsia="仿宋_GB2312"/>
      <w:b/>
      <w:sz w:val="28"/>
      <w:szCs w:val="28"/>
      <w:lang w:val="en-US" w:eastAsia="zh-CN" w:bidi="ar-SA"/>
    </w:rPr>
  </w:style>
  <w:style w:type="paragraph" w:customStyle="1" w:styleId="52">
    <w:name w:val="样式 仿宋_GB2312 四号 加粗"/>
    <w:link w:val="51"/>
    <w:qFormat/>
    <w:uiPriority w:val="0"/>
    <w:pPr>
      <w:autoSpaceDE w:val="0"/>
      <w:autoSpaceDN w:val="0"/>
      <w:adjustRightInd w:val="0"/>
      <w:jc w:val="center"/>
    </w:pPr>
    <w:rPr>
      <w:rFonts w:ascii="仿宋_GB2312" w:hAnsi="Times New Roman" w:eastAsia="仿宋_GB2312" w:cs="Times New Roman"/>
      <w:b/>
      <w:sz w:val="28"/>
      <w:szCs w:val="28"/>
      <w:lang w:val="en-US" w:eastAsia="zh-CN" w:bidi="ar-SA"/>
    </w:rPr>
  </w:style>
  <w:style w:type="character" w:customStyle="1" w:styleId="53">
    <w:name w:val="grame"/>
    <w:basedOn w:val="33"/>
    <w:qFormat/>
    <w:uiPriority w:val="0"/>
  </w:style>
  <w:style w:type="character" w:customStyle="1" w:styleId="54">
    <w:name w:val="批注框文本 Char"/>
    <w:basedOn w:val="33"/>
    <w:link w:val="19"/>
    <w:semiHidden/>
    <w:qFormat/>
    <w:uiPriority w:val="0"/>
    <w:rPr>
      <w:sz w:val="18"/>
      <w:szCs w:val="18"/>
    </w:rPr>
  </w:style>
  <w:style w:type="character" w:customStyle="1" w:styleId="55">
    <w:name w:val="apple-style-span"/>
    <w:basedOn w:val="33"/>
    <w:qFormat/>
    <w:uiPriority w:val="0"/>
  </w:style>
  <w:style w:type="character" w:customStyle="1" w:styleId="56">
    <w:name w:val="九城市三级标题 Char Char"/>
    <w:link w:val="57"/>
    <w:qFormat/>
    <w:uiPriority w:val="0"/>
    <w:rPr>
      <w:rFonts w:ascii="仿宋_GB2312" w:hAnsi="仿宋_GB2312" w:eastAsia="仿宋_GB2312" w:cs="Times New Roman"/>
      <w:b/>
      <w:bCs/>
      <w:sz w:val="24"/>
      <w:szCs w:val="24"/>
    </w:rPr>
  </w:style>
  <w:style w:type="paragraph" w:customStyle="1" w:styleId="57">
    <w:name w:val="九城市三级标题"/>
    <w:basedOn w:val="1"/>
    <w:link w:val="56"/>
    <w:qFormat/>
    <w:uiPriority w:val="0"/>
    <w:pPr>
      <w:spacing w:line="360" w:lineRule="auto"/>
      <w:outlineLvl w:val="2"/>
    </w:pPr>
    <w:rPr>
      <w:rFonts w:ascii="仿宋_GB2312" w:hAnsi="仿宋_GB2312" w:eastAsia="仿宋_GB2312"/>
      <w:b/>
      <w:bCs/>
      <w:kern w:val="0"/>
      <w:sz w:val="24"/>
      <w:szCs w:val="24"/>
    </w:rPr>
  </w:style>
  <w:style w:type="character" w:customStyle="1" w:styleId="58">
    <w:name w:val="公司报告正文-带项目编号 Char"/>
    <w:link w:val="59"/>
    <w:qFormat/>
    <w:uiPriority w:val="0"/>
    <w:rPr>
      <w:rFonts w:ascii="仿宋_GB2312" w:hAnsi="Courier New" w:eastAsia="仿宋_GB2312"/>
      <w:color w:val="000000"/>
      <w:sz w:val="28"/>
    </w:rPr>
  </w:style>
  <w:style w:type="paragraph" w:customStyle="1" w:styleId="59">
    <w:name w:val="公司报告正文-带项目编号"/>
    <w:basedOn w:val="15"/>
    <w:link w:val="58"/>
    <w:qFormat/>
    <w:uiPriority w:val="0"/>
    <w:pPr>
      <w:tabs>
        <w:tab w:val="left" w:pos="284"/>
      </w:tabs>
      <w:adjustRightInd w:val="0"/>
      <w:snapToGrid w:val="0"/>
      <w:spacing w:line="360" w:lineRule="auto"/>
      <w:ind w:firstLine="200" w:firstLineChars="200"/>
    </w:pPr>
    <w:rPr>
      <w:rFonts w:ascii="仿宋_GB2312" w:eastAsia="仿宋_GB2312"/>
      <w:color w:val="000000"/>
      <w:sz w:val="28"/>
    </w:rPr>
  </w:style>
  <w:style w:type="character" w:customStyle="1" w:styleId="60">
    <w:name w:val="文档结构图 Char"/>
    <w:basedOn w:val="33"/>
    <w:link w:val="8"/>
    <w:semiHidden/>
    <w:qFormat/>
    <w:uiPriority w:val="0"/>
    <w:rPr>
      <w:rFonts w:ascii="Times New Roman" w:hAnsi="Times New Roman" w:eastAsia="宋体" w:cs="Times New Roman"/>
      <w:szCs w:val="20"/>
      <w:shd w:val="clear" w:color="auto" w:fill="000080"/>
    </w:rPr>
  </w:style>
  <w:style w:type="character" w:customStyle="1" w:styleId="61">
    <w:name w:val="估价报告模板_深发展银行处置抵押物相关提示 Char"/>
    <w:link w:val="62"/>
    <w:qFormat/>
    <w:uiPriority w:val="0"/>
    <w:rPr>
      <w:rFonts w:ascii="仿宋_GB2312" w:hAnsi="Times New Roman" w:eastAsia="仿宋_GB2312" w:cs="宋体"/>
      <w:sz w:val="28"/>
      <w:szCs w:val="20"/>
    </w:rPr>
  </w:style>
  <w:style w:type="paragraph" w:customStyle="1" w:styleId="62">
    <w:name w:val="估价报告模板_深发展银行处置抵押物相关提示"/>
    <w:basedOn w:val="1"/>
    <w:link w:val="61"/>
    <w:qFormat/>
    <w:uiPriority w:val="0"/>
    <w:pPr>
      <w:spacing w:line="440" w:lineRule="exact"/>
      <w:ind w:firstLine="560" w:firstLineChars="200"/>
      <w:jc w:val="left"/>
    </w:pPr>
    <w:rPr>
      <w:rFonts w:ascii="仿宋_GB2312" w:hAnsi="Times New Roman" w:eastAsia="仿宋_GB2312"/>
      <w:kern w:val="0"/>
      <w:sz w:val="28"/>
      <w:szCs w:val="20"/>
    </w:rPr>
  </w:style>
  <w:style w:type="character" w:customStyle="1" w:styleId="63">
    <w:name w:val="正文文本缩进 3 Char"/>
    <w:basedOn w:val="33"/>
    <w:link w:val="26"/>
    <w:qFormat/>
    <w:uiPriority w:val="0"/>
    <w:rPr>
      <w:rFonts w:ascii="仿宋体" w:hAnsi="Times New Roman" w:eastAsia="仿宋体" w:cs="Times New Roman"/>
      <w:spacing w:val="36"/>
      <w:kern w:val="0"/>
      <w:sz w:val="28"/>
      <w:szCs w:val="20"/>
    </w:rPr>
  </w:style>
  <w:style w:type="character" w:customStyle="1" w:styleId="64">
    <w:name w:val="正文文本 3 Char"/>
    <w:basedOn w:val="33"/>
    <w:qFormat/>
    <w:uiPriority w:val="0"/>
    <w:rPr>
      <w:sz w:val="16"/>
      <w:szCs w:val="16"/>
    </w:rPr>
  </w:style>
  <w:style w:type="character" w:customStyle="1" w:styleId="65">
    <w:name w:val="市场分析报告_正文 Char"/>
    <w:qFormat/>
    <w:uiPriority w:val="0"/>
    <w:rPr>
      <w:rFonts w:ascii="仿宋_GB2312" w:eastAsia="仿宋_GB2312"/>
      <w:kern w:val="2"/>
      <w:sz w:val="24"/>
      <w:szCs w:val="24"/>
    </w:rPr>
  </w:style>
  <w:style w:type="character" w:customStyle="1" w:styleId="66">
    <w:name w:val="页眉 Char"/>
    <w:basedOn w:val="33"/>
    <w:link w:val="21"/>
    <w:qFormat/>
    <w:uiPriority w:val="0"/>
    <w:rPr>
      <w:rFonts w:ascii="Times New Roman" w:hAnsi="Times New Roman" w:eastAsia="微软雅黑"/>
      <w:kern w:val="2"/>
      <w:sz w:val="18"/>
      <w:szCs w:val="18"/>
      <w:lang w:val="en-US" w:eastAsia="zh-CN" w:bidi="ar-SA"/>
    </w:rPr>
  </w:style>
  <w:style w:type="character" w:customStyle="1" w:styleId="67">
    <w:name w:val="模板-正文称谓 Char"/>
    <w:basedOn w:val="68"/>
    <w:link w:val="69"/>
    <w:qFormat/>
    <w:uiPriority w:val="0"/>
    <w:rPr>
      <w:rFonts w:ascii="楷体" w:hAnsi="楷体" w:eastAsia="楷体"/>
      <w:snapToGrid w:val="0"/>
      <w:sz w:val="28"/>
      <w:szCs w:val="28"/>
    </w:rPr>
  </w:style>
  <w:style w:type="character" w:customStyle="1" w:styleId="68">
    <w:name w:val="模板-正文 Char"/>
    <w:qFormat/>
    <w:locked/>
    <w:uiPriority w:val="0"/>
    <w:rPr>
      <w:rFonts w:ascii="Times New Roman" w:hAnsi="Times New Roman" w:eastAsia="楷体_GB2312"/>
      <w:sz w:val="28"/>
    </w:rPr>
  </w:style>
  <w:style w:type="paragraph" w:customStyle="1" w:styleId="69">
    <w:name w:val="模板-正文称谓"/>
    <w:basedOn w:val="43"/>
    <w:link w:val="67"/>
    <w:qFormat/>
    <w:uiPriority w:val="0"/>
    <w:pPr>
      <w:jc w:val="left"/>
    </w:pPr>
  </w:style>
  <w:style w:type="character" w:customStyle="1" w:styleId="70">
    <w:name w:val="hei141"/>
    <w:basedOn w:val="33"/>
    <w:qFormat/>
    <w:uiPriority w:val="0"/>
  </w:style>
  <w:style w:type="character" w:customStyle="1" w:styleId="71">
    <w:name w:val="标题 1 Char"/>
    <w:basedOn w:val="33"/>
    <w:link w:val="2"/>
    <w:qFormat/>
    <w:uiPriority w:val="0"/>
    <w:rPr>
      <w:rFonts w:ascii="Times New Roman" w:hAnsi="Times New Roman" w:eastAsia="宋体" w:cs="Times New Roman"/>
      <w:b/>
      <w:kern w:val="44"/>
      <w:sz w:val="44"/>
      <w:szCs w:val="20"/>
    </w:rPr>
  </w:style>
  <w:style w:type="character" w:customStyle="1" w:styleId="72">
    <w:name w:val="九城市正文 Char"/>
    <w:link w:val="73"/>
    <w:qFormat/>
    <w:uiPriority w:val="0"/>
    <w:rPr>
      <w:rFonts w:ascii="仿宋_GB2312" w:hAnsi="仿宋_GB2312" w:eastAsia="仿宋_GB2312" w:cs="宋体"/>
      <w:sz w:val="24"/>
      <w:szCs w:val="20"/>
    </w:rPr>
  </w:style>
  <w:style w:type="paragraph" w:customStyle="1" w:styleId="73">
    <w:name w:val="九城市正文"/>
    <w:basedOn w:val="1"/>
    <w:link w:val="72"/>
    <w:qFormat/>
    <w:uiPriority w:val="0"/>
    <w:pPr>
      <w:spacing w:line="360" w:lineRule="auto"/>
      <w:ind w:firstLine="480" w:firstLineChars="200"/>
    </w:pPr>
    <w:rPr>
      <w:rFonts w:ascii="仿宋_GB2312" w:hAnsi="仿宋_GB2312" w:eastAsia="仿宋_GB2312"/>
      <w:kern w:val="0"/>
      <w:sz w:val="24"/>
      <w:szCs w:val="20"/>
    </w:rPr>
  </w:style>
  <w:style w:type="character" w:customStyle="1" w:styleId="74">
    <w:name w:val="正文文本缩进 Char"/>
    <w:basedOn w:val="33"/>
    <w:link w:val="12"/>
    <w:qFormat/>
    <w:uiPriority w:val="0"/>
    <w:rPr>
      <w:rFonts w:ascii="宋体" w:hAnsi="Times New Roman" w:eastAsia="宋体" w:cs="Times New Roman"/>
      <w:sz w:val="28"/>
      <w:szCs w:val="20"/>
    </w:rPr>
  </w:style>
  <w:style w:type="character" w:customStyle="1" w:styleId="75">
    <w:name w:val="纯文本 Char1"/>
    <w:link w:val="15"/>
    <w:qFormat/>
    <w:uiPriority w:val="0"/>
    <w:rPr>
      <w:rFonts w:ascii="宋体" w:hAnsi="Courier New"/>
    </w:rPr>
  </w:style>
  <w:style w:type="character" w:customStyle="1" w:styleId="76">
    <w:name w:val="日期 Char"/>
    <w:basedOn w:val="33"/>
    <w:link w:val="17"/>
    <w:qFormat/>
    <w:uiPriority w:val="0"/>
  </w:style>
  <w:style w:type="character" w:customStyle="1" w:styleId="77">
    <w:name w:val="公司正文 Char"/>
    <w:link w:val="78"/>
    <w:qFormat/>
    <w:uiPriority w:val="0"/>
    <w:rPr>
      <w:rFonts w:ascii="仿宋_GB2312" w:hAnsi="Courier New" w:eastAsia="仿宋_GB2312" w:cs="Times New Roman"/>
      <w:snapToGrid w:val="0"/>
      <w:color w:val="000000"/>
      <w:kern w:val="0"/>
      <w:sz w:val="28"/>
      <w:szCs w:val="20"/>
    </w:rPr>
  </w:style>
  <w:style w:type="paragraph" w:customStyle="1" w:styleId="78">
    <w:name w:val="公司正文"/>
    <w:basedOn w:val="1"/>
    <w:link w:val="77"/>
    <w:qFormat/>
    <w:uiPriority w:val="0"/>
    <w:pPr>
      <w:adjustRightInd w:val="0"/>
      <w:snapToGrid w:val="0"/>
      <w:spacing w:line="360" w:lineRule="auto"/>
      <w:ind w:firstLine="560" w:firstLineChars="200"/>
      <w:jc w:val="left"/>
    </w:pPr>
    <w:rPr>
      <w:rFonts w:ascii="仿宋_GB2312" w:hAnsi="Courier New" w:eastAsia="仿宋_GB2312"/>
      <w:snapToGrid w:val="0"/>
      <w:color w:val="000000"/>
      <w:kern w:val="0"/>
      <w:sz w:val="28"/>
      <w:szCs w:val="20"/>
    </w:rPr>
  </w:style>
  <w:style w:type="character" w:customStyle="1" w:styleId="79">
    <w:name w:val="正文文本缩进 2 Char"/>
    <w:basedOn w:val="33"/>
    <w:link w:val="18"/>
    <w:qFormat/>
    <w:uiPriority w:val="0"/>
    <w:rPr>
      <w:rFonts w:ascii="Times New Roman" w:hAnsi="Times New Roman" w:eastAsia="宋体" w:cs="Times New Roman"/>
      <w:szCs w:val="20"/>
    </w:rPr>
  </w:style>
  <w:style w:type="character" w:customStyle="1" w:styleId="80">
    <w:name w:val="Char Char"/>
    <w:qFormat/>
    <w:uiPriority w:val="0"/>
    <w:rPr>
      <w:rFonts w:ascii="宋体" w:hAnsi="Courier New"/>
      <w:kern w:val="2"/>
      <w:sz w:val="21"/>
    </w:rPr>
  </w:style>
  <w:style w:type="character" w:customStyle="1" w:styleId="81">
    <w:name w:val="menulist1"/>
    <w:qFormat/>
    <w:uiPriority w:val="0"/>
    <w:rPr>
      <w:vanish/>
      <w:bdr w:val="single" w:color="CCCCCC" w:sz="6" w:space="0"/>
      <w:shd w:val="clear" w:color="auto" w:fill="F6F6F6"/>
    </w:rPr>
  </w:style>
  <w:style w:type="character" w:customStyle="1" w:styleId="82">
    <w:name w:val="8三菱报告_正文 Char"/>
    <w:link w:val="83"/>
    <w:qFormat/>
    <w:uiPriority w:val="0"/>
    <w:rPr>
      <w:rFonts w:ascii="Times New Roman" w:hAnsi="Times New Roman" w:eastAsia="仿宋_GB2312" w:cs="Times New Roman"/>
      <w:sz w:val="24"/>
      <w:szCs w:val="24"/>
    </w:rPr>
  </w:style>
  <w:style w:type="paragraph" w:customStyle="1" w:styleId="83">
    <w:name w:val="8三菱报告_正文"/>
    <w:basedOn w:val="1"/>
    <w:link w:val="82"/>
    <w:qFormat/>
    <w:uiPriority w:val="0"/>
    <w:pPr>
      <w:spacing w:line="360" w:lineRule="auto"/>
      <w:ind w:firstLine="200" w:firstLineChars="200"/>
    </w:pPr>
    <w:rPr>
      <w:rFonts w:ascii="Times New Roman" w:hAnsi="Times New Roman" w:eastAsia="仿宋_GB2312"/>
      <w:kern w:val="0"/>
      <w:sz w:val="24"/>
      <w:szCs w:val="24"/>
    </w:rPr>
  </w:style>
  <w:style w:type="character" w:customStyle="1" w:styleId="84">
    <w:name w:val="3三菱银行_一级标题 Char Char"/>
    <w:link w:val="85"/>
    <w:qFormat/>
    <w:uiPriority w:val="0"/>
    <w:rPr>
      <w:rFonts w:ascii="Times New Roman" w:hAnsi="Times New Roman" w:eastAsia="黑体" w:cs="Times New Roman"/>
      <w:b/>
      <w:bCs/>
      <w:kern w:val="44"/>
      <w:sz w:val="32"/>
      <w:szCs w:val="44"/>
    </w:rPr>
  </w:style>
  <w:style w:type="paragraph" w:customStyle="1" w:styleId="85">
    <w:name w:val="3三菱银行_一级标题"/>
    <w:basedOn w:val="2"/>
    <w:next w:val="86"/>
    <w:link w:val="84"/>
    <w:qFormat/>
    <w:uiPriority w:val="0"/>
    <w:pPr>
      <w:snapToGrid w:val="0"/>
      <w:spacing w:before="0" w:after="0" w:line="360" w:lineRule="auto"/>
      <w:jc w:val="center"/>
    </w:pPr>
    <w:rPr>
      <w:rFonts w:eastAsia="黑体"/>
      <w:bCs/>
      <w:sz w:val="32"/>
      <w:szCs w:val="44"/>
    </w:rPr>
  </w:style>
  <w:style w:type="paragraph" w:customStyle="1" w:styleId="86">
    <w:name w:val="5三菱报告_二级标题"/>
    <w:basedOn w:val="3"/>
    <w:next w:val="1"/>
    <w:qFormat/>
    <w:uiPriority w:val="0"/>
    <w:pPr>
      <w:spacing w:before="100" w:beforeAutospacing="1" w:after="100" w:afterAutospacing="1" w:line="360" w:lineRule="auto"/>
      <w:jc w:val="left"/>
    </w:pPr>
    <w:rPr>
      <w:rFonts w:eastAsia="仿宋_GB2312"/>
      <w:bCs/>
      <w:sz w:val="28"/>
      <w:szCs w:val="32"/>
    </w:rPr>
  </w:style>
  <w:style w:type="character" w:customStyle="1" w:styleId="87">
    <w:name w:val="Char Char Char Char Char1"/>
    <w:link w:val="88"/>
    <w:qFormat/>
    <w:uiPriority w:val="0"/>
    <w:rPr>
      <w:rFonts w:ascii="宋体" w:hAnsi="宋体" w:eastAsia="宋体" w:cs="Courier New"/>
      <w:sz w:val="32"/>
      <w:szCs w:val="32"/>
    </w:rPr>
  </w:style>
  <w:style w:type="paragraph" w:customStyle="1" w:styleId="88">
    <w:name w:val="Char Char Char Char1"/>
    <w:basedOn w:val="1"/>
    <w:link w:val="87"/>
    <w:qFormat/>
    <w:uiPriority w:val="0"/>
    <w:rPr>
      <w:rFonts w:ascii="宋体" w:hAnsi="宋体"/>
      <w:kern w:val="0"/>
      <w:sz w:val="32"/>
      <w:szCs w:val="32"/>
    </w:rPr>
  </w:style>
  <w:style w:type="character" w:customStyle="1" w:styleId="89">
    <w:name w:val="页脚 Char"/>
    <w:basedOn w:val="33"/>
    <w:link w:val="20"/>
    <w:qFormat/>
    <w:uiPriority w:val="99"/>
    <w:rPr>
      <w:rFonts w:ascii="宋体" w:hAnsi="宋体"/>
      <w:kern w:val="2"/>
      <w:sz w:val="18"/>
      <w:szCs w:val="18"/>
      <w:lang w:val="en-US" w:eastAsia="zh-CN" w:bidi="ar-SA"/>
    </w:rPr>
  </w:style>
  <w:style w:type="character" w:customStyle="1" w:styleId="90">
    <w:name w:val="标题 3 Char"/>
    <w:basedOn w:val="33"/>
    <w:link w:val="4"/>
    <w:qFormat/>
    <w:uiPriority w:val="0"/>
    <w:rPr>
      <w:rFonts w:ascii="Times New Roman" w:hAnsi="Times New Roman" w:eastAsia="宋体" w:cs="Times New Roman"/>
      <w:b/>
      <w:sz w:val="32"/>
      <w:szCs w:val="20"/>
    </w:rPr>
  </w:style>
  <w:style w:type="character" w:customStyle="1" w:styleId="91">
    <w:name w:val="正文文本 Char"/>
    <w:basedOn w:val="33"/>
    <w:link w:val="11"/>
    <w:qFormat/>
    <w:uiPriority w:val="0"/>
    <w:rPr>
      <w:rFonts w:ascii="Times New Roman" w:hAnsi="Times New Roman" w:eastAsia="宋体" w:cs="Times New Roman"/>
      <w:szCs w:val="20"/>
    </w:rPr>
  </w:style>
  <w:style w:type="character" w:customStyle="1" w:styleId="92">
    <w:name w:val="批注主题 Char"/>
    <w:basedOn w:val="50"/>
    <w:link w:val="30"/>
    <w:semiHidden/>
    <w:qFormat/>
    <w:uiPriority w:val="0"/>
    <w:rPr>
      <w:rFonts w:ascii="Times New Roman" w:hAnsi="Times New Roman" w:eastAsia="宋体" w:cs="Times New Roman"/>
      <w:b/>
      <w:bCs/>
      <w:szCs w:val="24"/>
    </w:rPr>
  </w:style>
  <w:style w:type="character" w:customStyle="1" w:styleId="93">
    <w:name w:val="脚注文本 Char"/>
    <w:basedOn w:val="33"/>
    <w:link w:val="24"/>
    <w:semiHidden/>
    <w:qFormat/>
    <w:uiPriority w:val="0"/>
    <w:rPr>
      <w:rFonts w:ascii="Times New Roman" w:hAnsi="Times New Roman" w:eastAsia="宋体" w:cs="Times New Roman"/>
      <w:sz w:val="18"/>
      <w:szCs w:val="18"/>
    </w:rPr>
  </w:style>
  <w:style w:type="character" w:customStyle="1" w:styleId="94">
    <w:name w:val="keylink1"/>
    <w:qFormat/>
    <w:uiPriority w:val="0"/>
    <w:rPr>
      <w:color w:val="0056A9"/>
    </w:rPr>
  </w:style>
  <w:style w:type="character" w:customStyle="1" w:styleId="95">
    <w:name w:val="Char Char Char Char Char16"/>
    <w:qFormat/>
    <w:uiPriority w:val="0"/>
    <w:rPr>
      <w:rFonts w:ascii="宋体" w:eastAsia="宋体" w:cs="Courier New"/>
      <w:kern w:val="2"/>
      <w:sz w:val="32"/>
      <w:szCs w:val="32"/>
    </w:rPr>
  </w:style>
  <w:style w:type="character" w:customStyle="1" w:styleId="96">
    <w:name w:val="纯文本 Char"/>
    <w:basedOn w:val="33"/>
    <w:qFormat/>
    <w:uiPriority w:val="0"/>
    <w:rPr>
      <w:rFonts w:ascii="宋体" w:hAnsi="Courier New" w:eastAsia="宋体" w:cs="Courier New"/>
    </w:rPr>
  </w:style>
  <w:style w:type="character" w:customStyle="1" w:styleId="97">
    <w:name w:val="市场分析报告_题注 Char"/>
    <w:link w:val="98"/>
    <w:qFormat/>
    <w:uiPriority w:val="0"/>
    <w:rPr>
      <w:rFonts w:ascii="仿宋_GB2312" w:hAnsi="Times New Roman" w:eastAsia="仿宋_GB2312" w:cs="宋体"/>
      <w:szCs w:val="20"/>
    </w:rPr>
  </w:style>
  <w:style w:type="paragraph" w:customStyle="1" w:styleId="98">
    <w:name w:val="市场分析报告_题注"/>
    <w:basedOn w:val="1"/>
    <w:link w:val="97"/>
    <w:qFormat/>
    <w:uiPriority w:val="0"/>
    <w:pPr>
      <w:spacing w:line="360" w:lineRule="auto"/>
      <w:jc w:val="center"/>
    </w:pPr>
    <w:rPr>
      <w:rFonts w:ascii="仿宋_GB2312" w:hAnsi="Times New Roman" w:eastAsia="仿宋_GB2312"/>
      <w:kern w:val="0"/>
      <w:sz w:val="20"/>
      <w:szCs w:val="20"/>
    </w:rPr>
  </w:style>
  <w:style w:type="paragraph" w:customStyle="1" w:styleId="99">
    <w:name w:val="模板-正文落款"/>
    <w:basedOn w:val="43"/>
    <w:qFormat/>
    <w:uiPriority w:val="0"/>
    <w:pPr>
      <w:ind w:firstLine="4200" w:firstLineChars="1500"/>
    </w:pPr>
  </w:style>
  <w:style w:type="paragraph" w:customStyle="1" w:styleId="100">
    <w:name w:val="标准"/>
    <w:basedOn w:val="1"/>
    <w:qFormat/>
    <w:uiPriority w:val="0"/>
    <w:pPr>
      <w:autoSpaceDE w:val="0"/>
      <w:autoSpaceDN w:val="0"/>
      <w:adjustRightInd w:val="0"/>
      <w:spacing w:line="480" w:lineRule="atLeast"/>
      <w:textAlignment w:val="bottom"/>
    </w:pPr>
    <w:rPr>
      <w:rFonts w:ascii="昆仑仿宋" w:hAnsi="Times New Roman" w:eastAsia="昆仑仿宋"/>
      <w:spacing w:val="40"/>
      <w:kern w:val="0"/>
      <w:sz w:val="28"/>
      <w:szCs w:val="20"/>
    </w:rPr>
  </w:style>
  <w:style w:type="paragraph" w:customStyle="1" w:styleId="101">
    <w:name w:val="模板-眉首内容1"/>
    <w:qFormat/>
    <w:uiPriority w:val="0"/>
    <w:pPr>
      <w:spacing w:line="360" w:lineRule="auto"/>
      <w:jc w:val="distribute"/>
    </w:pPr>
    <w:rPr>
      <w:rFonts w:ascii="Times New Roman" w:hAnsi="Times New Roman" w:eastAsia="楷体_GB2312" w:cs="Times New Roman"/>
      <w:b/>
      <w:kern w:val="2"/>
      <w:sz w:val="32"/>
      <w:szCs w:val="21"/>
      <w:lang w:val="en-US" w:eastAsia="zh-CN" w:bidi="ar-SA"/>
    </w:rPr>
  </w:style>
  <w:style w:type="paragraph" w:customStyle="1" w:styleId="102">
    <w:name w:val="样式2"/>
    <w:basedOn w:val="1"/>
    <w:qFormat/>
    <w:uiPriority w:val="0"/>
    <w:pPr>
      <w:spacing w:line="360" w:lineRule="auto"/>
    </w:pPr>
    <w:rPr>
      <w:rFonts w:ascii="宋体" w:hAnsi="Times New Roman"/>
      <w:kern w:val="10"/>
      <w:sz w:val="24"/>
      <w:szCs w:val="24"/>
    </w:rPr>
  </w:style>
  <w:style w:type="paragraph" w:customStyle="1" w:styleId="103">
    <w:name w:val="模板-估价结果"/>
    <w:basedOn w:val="43"/>
    <w:qFormat/>
    <w:uiPriority w:val="0"/>
    <w:pPr>
      <w:spacing w:beforeLines="0" w:line="480" w:lineRule="exact"/>
      <w:ind w:firstLine="440"/>
    </w:pPr>
    <w:rPr>
      <w:b/>
      <w:sz w:val="22"/>
      <w:szCs w:val="22"/>
    </w:rPr>
  </w:style>
  <w:style w:type="paragraph" w:customStyle="1" w:styleId="104">
    <w:name w:val="模板-估价师签字"/>
    <w:qFormat/>
    <w:uiPriority w:val="0"/>
    <w:pPr>
      <w:spacing w:line="500" w:lineRule="exact"/>
      <w:jc w:val="center"/>
    </w:pPr>
    <w:rPr>
      <w:rFonts w:ascii="Times New Roman" w:hAnsi="Times New Roman" w:eastAsia="楷体_GB2312" w:cs="Times New Roman"/>
      <w:sz w:val="28"/>
      <w:lang w:val="en-US" w:eastAsia="zh-CN" w:bidi="ar-SA"/>
    </w:rPr>
  </w:style>
  <w:style w:type="paragraph" w:customStyle="1" w:styleId="105">
    <w:name w:val="模板-称谓"/>
    <w:basedOn w:val="43"/>
    <w:qFormat/>
    <w:uiPriority w:val="0"/>
    <w:pPr>
      <w:tabs>
        <w:tab w:val="left" w:pos="5040"/>
      </w:tabs>
    </w:pPr>
    <w:rPr>
      <w:szCs w:val="20"/>
    </w:rPr>
  </w:style>
  <w:style w:type="paragraph" w:customStyle="1" w:styleId="106">
    <w:name w:val="模板-二级标题"/>
    <w:qFormat/>
    <w:uiPriority w:val="0"/>
    <w:pPr>
      <w:widowControl w:val="0"/>
      <w:spacing w:line="360" w:lineRule="auto"/>
      <w:outlineLvl w:val="1"/>
    </w:pPr>
    <w:rPr>
      <w:rFonts w:ascii="Times New Roman" w:hAnsi="Times New Roman" w:eastAsia="楷体_GB2312" w:cs="Times New Roman"/>
      <w:b/>
      <w:kern w:val="2"/>
      <w:sz w:val="30"/>
      <w:szCs w:val="21"/>
      <w:lang w:val="en-US" w:eastAsia="zh-CN" w:bidi="ar-SA"/>
    </w:rPr>
  </w:style>
  <w:style w:type="paragraph" w:customStyle="1" w:styleId="107">
    <w:name w:val="样式4"/>
    <w:basedOn w:val="11"/>
    <w:qFormat/>
    <w:uiPriority w:val="0"/>
    <w:pPr>
      <w:jc w:val="center"/>
    </w:pPr>
    <w:rPr>
      <w:rFonts w:ascii="仿宋_GB2312" w:eastAsia="仿宋_GB2312"/>
      <w:sz w:val="44"/>
      <w:szCs w:val="44"/>
    </w:rPr>
  </w:style>
  <w:style w:type="paragraph" w:customStyle="1" w:styleId="108">
    <w:name w:val="模板-附件字体"/>
    <w:basedOn w:val="109"/>
    <w:qFormat/>
    <w:uiPriority w:val="0"/>
    <w:pPr>
      <w:outlineLvl w:val="9"/>
    </w:pPr>
  </w:style>
  <w:style w:type="paragraph" w:customStyle="1" w:styleId="109">
    <w:name w:val="模板-一级标题"/>
    <w:qFormat/>
    <w:uiPriority w:val="0"/>
    <w:pPr>
      <w:spacing w:beforeLines="50" w:line="360" w:lineRule="auto"/>
      <w:jc w:val="center"/>
      <w:outlineLvl w:val="0"/>
    </w:pPr>
    <w:rPr>
      <w:rFonts w:ascii="Times New Roman" w:hAnsi="Times New Roman" w:eastAsia="楷体_GB2312" w:cs="Times New Roman"/>
      <w:b/>
      <w:kern w:val="2"/>
      <w:sz w:val="32"/>
      <w:szCs w:val="21"/>
      <w:lang w:val="en-US" w:eastAsia="zh-CN" w:bidi="ar-SA"/>
    </w:rPr>
  </w:style>
  <w:style w:type="paragraph" w:customStyle="1" w:styleId="110">
    <w:name w:val="模板-表格字体右对齐"/>
    <w:basedOn w:val="111"/>
    <w:qFormat/>
    <w:uiPriority w:val="0"/>
  </w:style>
  <w:style w:type="paragraph" w:customStyle="1" w:styleId="111">
    <w:name w:val="模板-税费表格内字体居中"/>
    <w:qFormat/>
    <w:uiPriority w:val="0"/>
    <w:pPr>
      <w:spacing w:line="200" w:lineRule="exact"/>
      <w:jc w:val="center"/>
    </w:pPr>
    <w:rPr>
      <w:rFonts w:ascii="Times New Roman" w:hAnsi="Times New Roman" w:eastAsia="微软雅黑" w:cs="Times New Roman"/>
      <w:kern w:val="2"/>
      <w:sz w:val="18"/>
      <w:szCs w:val="21"/>
      <w:lang w:val="en-US" w:eastAsia="zh-CN" w:bidi="ar-SA"/>
    </w:rPr>
  </w:style>
  <w:style w:type="paragraph" w:customStyle="1" w:styleId="112">
    <w:name w:val="模板-表格内字体空两格"/>
    <w:basedOn w:val="111"/>
    <w:qFormat/>
    <w:uiPriority w:val="0"/>
    <w:pPr>
      <w:ind w:firstLine="360" w:firstLineChars="200"/>
      <w:jc w:val="both"/>
    </w:pPr>
  </w:style>
  <w:style w:type="paragraph" w:customStyle="1" w:styleId="113">
    <w:name w:val="模板-表格下段落"/>
    <w:qFormat/>
    <w:uiPriority w:val="0"/>
    <w:pPr>
      <w:spacing w:line="40" w:lineRule="exact"/>
    </w:pPr>
    <w:rPr>
      <w:rFonts w:ascii="Calibri" w:hAnsi="Calibri" w:eastAsia="宋体" w:cs="Times New Roman"/>
      <w:kern w:val="2"/>
      <w:sz w:val="21"/>
      <w:szCs w:val="21"/>
      <w:lang w:val="en-US" w:eastAsia="zh-CN" w:bidi="ar-SA"/>
    </w:rPr>
  </w:style>
  <w:style w:type="paragraph" w:customStyle="1" w:styleId="114">
    <w:name w:val="xl30"/>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115">
    <w:name w:val="模板-眉首内容2"/>
    <w:basedOn w:val="101"/>
    <w:qFormat/>
    <w:uiPriority w:val="0"/>
    <w:pPr>
      <w:jc w:val="both"/>
    </w:pPr>
  </w:style>
  <w:style w:type="paragraph" w:styleId="116">
    <w:name w:val="List Paragraph"/>
    <w:basedOn w:val="1"/>
    <w:qFormat/>
    <w:uiPriority w:val="0"/>
    <w:pPr>
      <w:ind w:firstLine="420" w:firstLineChars="200"/>
    </w:pPr>
  </w:style>
  <w:style w:type="paragraph" w:customStyle="1" w:styleId="117">
    <w:name w:val="模板-正文估价师签字"/>
    <w:basedOn w:val="43"/>
    <w:qFormat/>
    <w:uiPriority w:val="0"/>
    <w:pPr>
      <w:jc w:val="center"/>
    </w:pPr>
  </w:style>
  <w:style w:type="paragraph" w:customStyle="1" w:styleId="118">
    <w:name w:val="样式 标题 1 + 宋体 四号 居中 段前: 12 磅 段后: 12 磅 行距: 1.5 倍行距"/>
    <w:basedOn w:val="2"/>
    <w:qFormat/>
    <w:uiPriority w:val="0"/>
    <w:pPr>
      <w:spacing w:before="120" w:after="240" w:line="360" w:lineRule="auto"/>
      <w:jc w:val="center"/>
    </w:pPr>
    <w:rPr>
      <w:rFonts w:ascii="宋体" w:hAnsi="宋体"/>
      <w:bCs/>
      <w:kern w:val="0"/>
      <w:sz w:val="28"/>
    </w:rPr>
  </w:style>
  <w:style w:type="paragraph" w:customStyle="1" w:styleId="119">
    <w:name w:val="模板-落款"/>
    <w:basedOn w:val="43"/>
    <w:qFormat/>
    <w:uiPriority w:val="0"/>
    <w:pPr>
      <w:tabs>
        <w:tab w:val="left" w:pos="5040"/>
      </w:tabs>
      <w:spacing w:line="500" w:lineRule="exact"/>
      <w:ind w:firstLine="4480" w:firstLineChars="1600"/>
    </w:pPr>
    <w:rPr>
      <w:szCs w:val="20"/>
    </w:rPr>
  </w:style>
  <w:style w:type="paragraph" w:customStyle="1" w:styleId="120">
    <w:name w:val="模板-目录字体"/>
    <w:basedOn w:val="109"/>
    <w:qFormat/>
    <w:uiPriority w:val="0"/>
    <w:pPr>
      <w:spacing w:before="120"/>
      <w:outlineLvl w:val="9"/>
    </w:pPr>
    <w:rPr>
      <w:rFonts w:ascii="楷体" w:hAnsi="楷体" w:eastAsia="楷体"/>
    </w:rPr>
  </w:style>
  <w:style w:type="paragraph" w:customStyle="1" w:styleId="121">
    <w:name w:val="Char Char Char1 Char Char Char Char"/>
    <w:basedOn w:val="1"/>
    <w:qFormat/>
    <w:uiPriority w:val="0"/>
    <w:rPr>
      <w:rFonts w:ascii="宋体" w:hAnsi="宋体" w:cs="Courier New"/>
      <w:sz w:val="32"/>
      <w:szCs w:val="32"/>
    </w:rPr>
  </w:style>
  <w:style w:type="paragraph" w:customStyle="1" w:styleId="122">
    <w:name w:val="Char Char Char Char"/>
    <w:basedOn w:val="1"/>
    <w:qFormat/>
    <w:uiPriority w:val="0"/>
    <w:rPr>
      <w:rFonts w:ascii="宋体" w:hAnsi="宋体" w:cs="Courier New"/>
      <w:sz w:val="32"/>
      <w:szCs w:val="32"/>
    </w:rPr>
  </w:style>
  <w:style w:type="paragraph" w:customStyle="1" w:styleId="123">
    <w:name w:val="修订1"/>
    <w:semiHidden/>
    <w:qFormat/>
    <w:uiPriority w:val="99"/>
    <w:rPr>
      <w:rFonts w:ascii="Calibri" w:hAnsi="Calibri" w:eastAsia="宋体" w:cs="Times New Roman"/>
      <w:kern w:val="2"/>
      <w:sz w:val="21"/>
      <w:szCs w:val="21"/>
      <w:lang w:val="en-US" w:eastAsia="zh-CN" w:bidi="ar-SA"/>
    </w:rPr>
  </w:style>
  <w:style w:type="paragraph" w:customStyle="1" w:styleId="124">
    <w:name w:val="模板-估价对象"/>
    <w:basedOn w:val="103"/>
    <w:qFormat/>
    <w:uiPriority w:val="0"/>
    <w:pPr>
      <w:spacing w:line="520" w:lineRule="exact"/>
    </w:pPr>
  </w:style>
  <w:style w:type="paragraph" w:customStyle="1" w:styleId="125">
    <w:name w:val="模板-估价机构"/>
    <w:qFormat/>
    <w:uiPriority w:val="0"/>
    <w:pPr>
      <w:spacing w:line="500" w:lineRule="exact"/>
      <w:ind w:firstLine="560" w:firstLineChars="200"/>
      <w:jc w:val="both"/>
    </w:pPr>
    <w:rPr>
      <w:rFonts w:ascii="楷体" w:hAnsi="楷体" w:eastAsia="楷体" w:cs="Times New Roman"/>
      <w:kern w:val="2"/>
      <w:sz w:val="28"/>
      <w:szCs w:val="28"/>
      <w:lang w:val="en-US" w:eastAsia="zh-CN" w:bidi="ar-SA"/>
    </w:rPr>
  </w:style>
  <w:style w:type="paragraph" w:customStyle="1" w:styleId="126">
    <w:name w:val="Char Char Char Char Char Char Char Char Char Char Char Char Char Char Char"/>
    <w:basedOn w:val="1"/>
    <w:qFormat/>
    <w:uiPriority w:val="0"/>
    <w:rPr>
      <w:rFonts w:ascii="宋体" w:hAnsi="宋体" w:cs="Courier New"/>
      <w:sz w:val="32"/>
      <w:szCs w:val="32"/>
    </w:rPr>
  </w:style>
  <w:style w:type="paragraph" w:customStyle="1" w:styleId="127">
    <w:name w:val="xl543"/>
    <w:basedOn w:val="1"/>
    <w:qFormat/>
    <w:uiPriority w:val="0"/>
    <w:pPr>
      <w:widowControl/>
      <w:shd w:val="clear" w:color="000000" w:fill="99CC00"/>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128">
    <w:name w:val="xl567"/>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129">
    <w:name w:val="xl571"/>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center"/>
    </w:pPr>
    <w:rPr>
      <w:rFonts w:cs="Calibri"/>
      <w:kern w:val="0"/>
    </w:rPr>
  </w:style>
  <w:style w:type="paragraph" w:customStyle="1" w:styleId="130">
    <w:name w:val="xl540"/>
    <w:basedOn w:val="1"/>
    <w:qFormat/>
    <w:uiPriority w:val="0"/>
    <w:pPr>
      <w:widowControl/>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131">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2">
    <w:name w:val="xl542"/>
    <w:basedOn w:val="1"/>
    <w:qFormat/>
    <w:uiPriority w:val="0"/>
    <w:pPr>
      <w:widowControl/>
      <w:shd w:val="clear" w:color="000000" w:fill="33CCCC"/>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133">
    <w:name w:val="模板-估价机构2"/>
    <w:basedOn w:val="125"/>
    <w:qFormat/>
    <w:uiPriority w:val="0"/>
    <w:pPr>
      <w:ind w:firstLine="0" w:firstLineChars="0"/>
    </w:pPr>
    <w:rPr>
      <w:rFonts w:ascii="宋体" w:hAnsi="宋体" w:eastAsia="宋体"/>
      <w:color w:val="FF0000"/>
      <w:sz w:val="21"/>
    </w:rPr>
  </w:style>
  <w:style w:type="paragraph" w:customStyle="1" w:styleId="134">
    <w:name w:val="模板-眉首"/>
    <w:qFormat/>
    <w:uiPriority w:val="0"/>
    <w:pPr>
      <w:spacing w:line="360" w:lineRule="auto"/>
      <w:jc w:val="center"/>
    </w:pPr>
    <w:rPr>
      <w:rFonts w:ascii="微软雅黑" w:hAnsi="微软雅黑" w:eastAsia="微软雅黑" w:cs="Times New Roman"/>
      <w:kern w:val="2"/>
      <w:sz w:val="44"/>
      <w:szCs w:val="44"/>
      <w:lang w:val="en-US" w:eastAsia="zh-CN" w:bidi="ar-SA"/>
    </w:rPr>
  </w:style>
  <w:style w:type="paragraph" w:customStyle="1" w:styleId="135">
    <w:name w:val="Char Char Char1 Char Char Char Char1"/>
    <w:basedOn w:val="1"/>
    <w:qFormat/>
    <w:uiPriority w:val="0"/>
    <w:rPr>
      <w:rFonts w:ascii="宋体" w:hAnsi="宋体" w:cs="Courier New"/>
      <w:sz w:val="32"/>
      <w:szCs w:val="32"/>
    </w:rPr>
  </w:style>
  <w:style w:type="paragraph" w:customStyle="1" w:styleId="136">
    <w:name w:val="xl5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7">
    <w:name w:val="银行报告_正文"/>
    <w:basedOn w:val="1"/>
    <w:qFormat/>
    <w:uiPriority w:val="0"/>
    <w:pPr>
      <w:ind w:firstLine="482" w:firstLineChars="200"/>
    </w:pPr>
    <w:rPr>
      <w:rFonts w:ascii="宋体" w:hAnsi="宋体" w:cs="Courier New"/>
      <w:sz w:val="32"/>
      <w:szCs w:val="32"/>
    </w:rPr>
  </w:style>
  <w:style w:type="paragraph" w:customStyle="1" w:styleId="138">
    <w:name w:val="xl554"/>
    <w:basedOn w:val="1"/>
    <w:qFormat/>
    <w:uiPriority w:val="0"/>
    <w:pPr>
      <w:widowControl/>
      <w:shd w:val="clear" w:color="000000" w:fill="FFFF00"/>
      <w:spacing w:before="100" w:beforeAutospacing="1" w:after="100" w:afterAutospacing="1"/>
      <w:jc w:val="left"/>
    </w:pPr>
    <w:rPr>
      <w:rFonts w:ascii="宋体" w:hAnsi="宋体" w:cs="宋体"/>
      <w:color w:val="000000"/>
      <w:kern w:val="0"/>
      <w:sz w:val="22"/>
      <w:szCs w:val="22"/>
    </w:rPr>
  </w:style>
  <w:style w:type="paragraph" w:customStyle="1" w:styleId="139">
    <w:name w:val="4三菱银行_二级标题编码"/>
    <w:basedOn w:val="86"/>
    <w:next w:val="86"/>
    <w:qFormat/>
    <w:uiPriority w:val="0"/>
    <w:pPr>
      <w:tabs>
        <w:tab w:val="left" w:pos="920"/>
        <w:tab w:val="left" w:pos="1320"/>
      </w:tabs>
      <w:spacing w:before="0" w:beforeAutospacing="0" w:after="0" w:afterAutospacing="0"/>
      <w:ind w:left="920" w:hanging="360"/>
    </w:pPr>
  </w:style>
  <w:style w:type="paragraph" w:customStyle="1" w:styleId="140">
    <w:name w:val="样式 市场分析报告_正文 + 首行缩进:  2 字符"/>
    <w:basedOn w:val="1"/>
    <w:qFormat/>
    <w:uiPriority w:val="0"/>
    <w:pPr>
      <w:spacing w:line="276" w:lineRule="auto"/>
      <w:ind w:firstLine="200" w:firstLineChars="200"/>
      <w:jc w:val="left"/>
    </w:pPr>
    <w:rPr>
      <w:rFonts w:ascii="仿宋_GB2312" w:hAnsi="Times New Roman" w:eastAsia="仿宋_GB2312" w:cs="宋体"/>
      <w:sz w:val="24"/>
      <w:szCs w:val="20"/>
    </w:rPr>
  </w:style>
  <w:style w:type="paragraph" w:customStyle="1" w:styleId="141">
    <w:name w:val="xl555"/>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42">
    <w:name w:val="xl7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43">
    <w:name w:val="xl556"/>
    <w:basedOn w:val="1"/>
    <w:qFormat/>
    <w:uiPriority w:val="0"/>
    <w:pPr>
      <w:widowControl/>
      <w:shd w:val="clear" w:color="000000" w:fill="33CCCC"/>
      <w:spacing w:before="100" w:beforeAutospacing="1" w:after="100" w:afterAutospacing="1"/>
      <w:jc w:val="center"/>
    </w:pPr>
    <w:rPr>
      <w:rFonts w:ascii="宋体" w:hAnsi="宋体" w:cs="宋体"/>
      <w:color w:val="000000"/>
      <w:kern w:val="0"/>
      <w:sz w:val="22"/>
      <w:szCs w:val="22"/>
    </w:rPr>
  </w:style>
  <w:style w:type="paragraph" w:customStyle="1" w:styleId="144">
    <w:name w:val="xl74"/>
    <w:basedOn w:val="1"/>
    <w:qFormat/>
    <w:uiPriority w:val="0"/>
    <w:pPr>
      <w:widowControl/>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45">
    <w:name w:val="市场分析报告_3级"/>
    <w:basedOn w:val="1"/>
    <w:qFormat/>
    <w:uiPriority w:val="0"/>
    <w:pPr>
      <w:spacing w:line="300" w:lineRule="auto"/>
      <w:jc w:val="left"/>
      <w:outlineLvl w:val="2"/>
    </w:pPr>
    <w:rPr>
      <w:rFonts w:ascii="仿宋_GB2312" w:hAnsi="Times New Roman" w:eastAsia="仿宋_GB2312" w:cs="宋体"/>
      <w:sz w:val="24"/>
      <w:szCs w:val="20"/>
    </w:rPr>
  </w:style>
  <w:style w:type="paragraph" w:customStyle="1" w:styleId="146">
    <w:name w:val="样式3"/>
    <w:basedOn w:val="3"/>
    <w:qFormat/>
    <w:uiPriority w:val="0"/>
    <w:pPr>
      <w:keepLines w:val="0"/>
      <w:widowControl/>
      <w:adjustRightInd w:val="0"/>
      <w:snapToGrid w:val="0"/>
      <w:spacing w:before="0" w:after="0" w:line="360" w:lineRule="auto"/>
      <w:ind w:left="920" w:hanging="360"/>
      <w:textAlignment w:val="bottom"/>
    </w:pPr>
    <w:rPr>
      <w:rFonts w:ascii="仿宋_GB2312" w:hAnsi="Algerian" w:eastAsia="仿宋_GB2312"/>
      <w:b w:val="0"/>
      <w:snapToGrid w:val="0"/>
      <w:kern w:val="0"/>
      <w:sz w:val="28"/>
    </w:rPr>
  </w:style>
  <w:style w:type="paragraph" w:customStyle="1" w:styleId="147">
    <w:name w:val="市场分析报告_图"/>
    <w:basedOn w:val="1"/>
    <w:qFormat/>
    <w:uiPriority w:val="0"/>
    <w:pPr>
      <w:spacing w:afterLines="50" w:line="360" w:lineRule="auto"/>
      <w:jc w:val="center"/>
    </w:pPr>
    <w:rPr>
      <w:rFonts w:ascii="Times New Roman" w:hAnsi="Times New Roman"/>
      <w:szCs w:val="28"/>
    </w:rPr>
  </w:style>
  <w:style w:type="paragraph" w:customStyle="1" w:styleId="148">
    <w:name w:val="xl569"/>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cs="宋体"/>
      <w:kern w:val="0"/>
      <w:sz w:val="24"/>
      <w:szCs w:val="24"/>
    </w:rPr>
  </w:style>
  <w:style w:type="paragraph" w:customStyle="1" w:styleId="149">
    <w:name w:val="xl537"/>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50">
    <w:name w:val="模板_正文"/>
    <w:basedOn w:val="1"/>
    <w:qFormat/>
    <w:uiPriority w:val="0"/>
    <w:pPr>
      <w:tabs>
        <w:tab w:val="left" w:pos="980"/>
      </w:tabs>
      <w:autoSpaceDE w:val="0"/>
      <w:autoSpaceDN w:val="0"/>
      <w:adjustRightInd w:val="0"/>
      <w:snapToGrid w:val="0"/>
      <w:spacing w:line="360" w:lineRule="auto"/>
      <w:ind w:left="980" w:right="-113" w:hanging="420"/>
      <w:textAlignment w:val="bottom"/>
    </w:pPr>
    <w:rPr>
      <w:rFonts w:ascii="仿宋_GB2312" w:hAnsi="仿宋_GB2312" w:eastAsia="仿宋_GB2312" w:cs="宋体"/>
      <w:color w:val="000000"/>
      <w:sz w:val="28"/>
      <w:szCs w:val="24"/>
    </w:rPr>
  </w:style>
  <w:style w:type="paragraph" w:customStyle="1" w:styleId="151">
    <w:name w:val="xl566"/>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52">
    <w:name w:val="xl9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b/>
      <w:bCs/>
      <w:kern w:val="0"/>
      <w:sz w:val="20"/>
      <w:szCs w:val="20"/>
    </w:rPr>
  </w:style>
  <w:style w:type="paragraph" w:customStyle="1" w:styleId="153">
    <w:name w:val="Char"/>
    <w:basedOn w:val="1"/>
    <w:qFormat/>
    <w:uiPriority w:val="0"/>
    <w:rPr>
      <w:rFonts w:ascii="Tahoma" w:hAnsi="Tahoma"/>
      <w:sz w:val="24"/>
      <w:szCs w:val="20"/>
    </w:rPr>
  </w:style>
  <w:style w:type="paragraph" w:customStyle="1" w:styleId="15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b/>
      <w:bCs/>
      <w:kern w:val="0"/>
      <w:sz w:val="20"/>
      <w:szCs w:val="20"/>
    </w:rPr>
  </w:style>
  <w:style w:type="paragraph" w:customStyle="1" w:styleId="155">
    <w:name w:val="九城市题注"/>
    <w:basedOn w:val="7"/>
    <w:qFormat/>
    <w:uiPriority w:val="0"/>
    <w:pPr>
      <w:jc w:val="center"/>
    </w:pPr>
  </w:style>
  <w:style w:type="paragraph" w:customStyle="1" w:styleId="156">
    <w:name w:val="每周快报_正文"/>
    <w:basedOn w:val="1"/>
    <w:next w:val="1"/>
    <w:qFormat/>
    <w:uiPriority w:val="0"/>
    <w:pPr>
      <w:tabs>
        <w:tab w:val="left" w:pos="620"/>
      </w:tabs>
      <w:spacing w:line="360" w:lineRule="auto"/>
      <w:ind w:firstLine="397"/>
    </w:pPr>
    <w:rPr>
      <w:rFonts w:ascii="Times New Roman" w:hAnsi="Times New Roman" w:eastAsia="仿宋_GB2312"/>
      <w:szCs w:val="24"/>
    </w:rPr>
  </w:style>
  <w:style w:type="paragraph" w:customStyle="1" w:styleId="157">
    <w:name w:val="xl55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158">
    <w:name w:val="font5"/>
    <w:basedOn w:val="1"/>
    <w:qFormat/>
    <w:uiPriority w:val="0"/>
    <w:pPr>
      <w:widowControl/>
      <w:spacing w:before="100" w:beforeAutospacing="1" w:after="100" w:afterAutospacing="1"/>
      <w:jc w:val="left"/>
    </w:pPr>
    <w:rPr>
      <w:rFonts w:ascii="新宋体" w:hAnsi="新宋体" w:eastAsia="新宋体" w:cs="宋体"/>
      <w:kern w:val="0"/>
      <w:sz w:val="20"/>
      <w:szCs w:val="20"/>
    </w:rPr>
  </w:style>
  <w:style w:type="paragraph" w:customStyle="1" w:styleId="159">
    <w:name w:val="每周快报_编号1"/>
    <w:basedOn w:val="1"/>
    <w:next w:val="1"/>
    <w:qFormat/>
    <w:uiPriority w:val="0"/>
    <w:pPr>
      <w:keepNext/>
      <w:keepLines/>
      <w:tabs>
        <w:tab w:val="left" w:pos="397"/>
      </w:tabs>
      <w:spacing w:line="360" w:lineRule="auto"/>
      <w:ind w:left="420" w:hanging="420"/>
      <w:outlineLvl w:val="0"/>
    </w:pPr>
    <w:rPr>
      <w:rFonts w:ascii="Times New Roman" w:hAnsi="Times New Roman" w:eastAsia="仿宋_GB2312"/>
      <w:bCs/>
      <w:kern w:val="44"/>
      <w:sz w:val="30"/>
      <w:szCs w:val="44"/>
    </w:rPr>
  </w:style>
  <w:style w:type="paragraph" w:customStyle="1" w:styleId="160">
    <w:name w:val="xl7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新宋体" w:hAnsi="新宋体" w:eastAsia="新宋体" w:cs="宋体"/>
      <w:b/>
      <w:bCs/>
      <w:kern w:val="0"/>
      <w:sz w:val="20"/>
      <w:szCs w:val="20"/>
    </w:rPr>
  </w:style>
  <w:style w:type="paragraph" w:customStyle="1" w:styleId="161">
    <w:name w:val="xl5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6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b/>
      <w:bCs/>
      <w:kern w:val="0"/>
      <w:sz w:val="20"/>
      <w:szCs w:val="20"/>
    </w:rPr>
  </w:style>
  <w:style w:type="paragraph" w:customStyle="1" w:styleId="163">
    <w:name w:val="模板-表字体（中）"/>
    <w:qFormat/>
    <w:uiPriority w:val="0"/>
    <w:pPr>
      <w:spacing w:line="240" w:lineRule="exact"/>
      <w:jc w:val="center"/>
    </w:pPr>
    <w:rPr>
      <w:rFonts w:ascii="Times New Roman" w:hAnsi="Times New Roman" w:eastAsia="宋体" w:cs="Times New Roman"/>
      <w:kern w:val="2"/>
      <w:sz w:val="18"/>
      <w:szCs w:val="18"/>
      <w:lang w:val="en-US" w:eastAsia="zh-CN" w:bidi="ar-SA"/>
    </w:rPr>
  </w:style>
  <w:style w:type="paragraph" w:customStyle="1" w:styleId="164">
    <w:name w:val="xl80"/>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65">
    <w:name w:val="Char1"/>
    <w:basedOn w:val="1"/>
    <w:qFormat/>
    <w:uiPriority w:val="0"/>
    <w:rPr>
      <w:rFonts w:ascii="Tahoma" w:hAnsi="Tahoma"/>
      <w:sz w:val="32"/>
      <w:szCs w:val="24"/>
    </w:rPr>
  </w:style>
  <w:style w:type="paragraph" w:customStyle="1" w:styleId="166">
    <w:name w:val="xl6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b/>
      <w:bCs/>
      <w:kern w:val="0"/>
      <w:sz w:val="20"/>
      <w:szCs w:val="20"/>
    </w:rPr>
  </w:style>
  <w:style w:type="paragraph" w:customStyle="1" w:styleId="167">
    <w:name w:val="9三菱报告_题注"/>
    <w:basedOn w:val="83"/>
    <w:next w:val="83"/>
    <w:qFormat/>
    <w:uiPriority w:val="0"/>
    <w:pPr>
      <w:ind w:firstLine="0" w:firstLineChars="0"/>
      <w:jc w:val="center"/>
    </w:pPr>
    <w:rPr>
      <w:rFonts w:eastAsia="黑体"/>
      <w:sz w:val="20"/>
      <w:szCs w:val="20"/>
    </w:rPr>
  </w:style>
  <w:style w:type="paragraph" w:customStyle="1" w:styleId="168">
    <w:name w:val="2三菱银行_一级标题编码"/>
    <w:basedOn w:val="85"/>
    <w:next w:val="85"/>
    <w:qFormat/>
    <w:uiPriority w:val="0"/>
    <w:pPr>
      <w:tabs>
        <w:tab w:val="left" w:pos="360"/>
      </w:tabs>
    </w:pPr>
  </w:style>
  <w:style w:type="paragraph" w:customStyle="1" w:styleId="169">
    <w:name w:val="模板-表下空行"/>
    <w:basedOn w:val="1"/>
    <w:qFormat/>
    <w:uiPriority w:val="0"/>
    <w:pPr>
      <w:widowControl/>
      <w:spacing w:line="20" w:lineRule="exact"/>
      <w:jc w:val="left"/>
    </w:pPr>
    <w:rPr>
      <w:rFonts w:ascii="Times New Roman" w:hAnsi="Times New Roman"/>
      <w:sz w:val="10"/>
      <w:szCs w:val="10"/>
    </w:rPr>
  </w:style>
  <w:style w:type="paragraph" w:customStyle="1" w:styleId="170">
    <w:name w:val="xl564"/>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71">
    <w:name w:val="xl549"/>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spacing w:before="100" w:beforeAutospacing="1" w:after="100" w:afterAutospacing="1"/>
      <w:jc w:val="center"/>
    </w:pPr>
    <w:rPr>
      <w:rFonts w:ascii="宋体" w:hAnsi="宋体" w:cs="宋体"/>
      <w:color w:val="000000"/>
      <w:kern w:val="0"/>
      <w:sz w:val="22"/>
      <w:szCs w:val="22"/>
    </w:rPr>
  </w:style>
  <w:style w:type="paragraph" w:customStyle="1" w:styleId="17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73">
    <w:name w:val="国寿-正文"/>
    <w:qFormat/>
    <w:uiPriority w:val="0"/>
    <w:pPr>
      <w:widowControl w:val="0"/>
      <w:spacing w:line="400" w:lineRule="exact"/>
      <w:jc w:val="center"/>
    </w:pPr>
    <w:rPr>
      <w:rFonts w:ascii="楷体" w:hAnsi="楷体" w:eastAsia="楷体" w:cs="Times New Roman"/>
      <w:b/>
      <w:lang w:val="en-US" w:eastAsia="zh-CN" w:bidi="ar-SA"/>
    </w:rPr>
  </w:style>
  <w:style w:type="paragraph" w:customStyle="1" w:styleId="174">
    <w:name w:val="xl86"/>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b/>
      <w:bCs/>
      <w:kern w:val="0"/>
      <w:sz w:val="20"/>
      <w:szCs w:val="20"/>
    </w:rPr>
  </w:style>
  <w:style w:type="paragraph" w:customStyle="1" w:styleId="175">
    <w:name w:val="font6"/>
    <w:basedOn w:val="1"/>
    <w:qFormat/>
    <w:uiPriority w:val="0"/>
    <w:pPr>
      <w:widowControl/>
      <w:spacing w:before="100" w:beforeAutospacing="1" w:after="100" w:afterAutospacing="1"/>
      <w:jc w:val="left"/>
    </w:pPr>
    <w:rPr>
      <w:rFonts w:ascii="新宋体" w:hAnsi="新宋体" w:eastAsia="新宋体" w:cs="宋体"/>
      <w:b/>
      <w:bCs/>
      <w:kern w:val="0"/>
      <w:sz w:val="20"/>
      <w:szCs w:val="20"/>
    </w:rPr>
  </w:style>
  <w:style w:type="paragraph" w:customStyle="1" w:styleId="176">
    <w:name w:val="xl5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78">
    <w:name w:val="xl72"/>
    <w:basedOn w:val="1"/>
    <w:qFormat/>
    <w:uiPriority w:val="0"/>
    <w:pPr>
      <w:widowControl/>
      <w:shd w:val="clear" w:color="000000" w:fill="FFFFFF"/>
      <w:spacing w:before="100" w:beforeAutospacing="1" w:after="100" w:afterAutospacing="1"/>
      <w:jc w:val="center"/>
    </w:pPr>
    <w:rPr>
      <w:rFonts w:ascii="新宋体" w:hAnsi="新宋体" w:eastAsia="新宋体" w:cs="宋体"/>
      <w:b/>
      <w:bCs/>
      <w:kern w:val="0"/>
      <w:sz w:val="20"/>
      <w:szCs w:val="20"/>
    </w:rPr>
  </w:style>
  <w:style w:type="paragraph" w:customStyle="1" w:styleId="179">
    <w:name w:val="xl73"/>
    <w:basedOn w:val="1"/>
    <w:qFormat/>
    <w:uiPriority w:val="0"/>
    <w:pPr>
      <w:widowControl/>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8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b/>
      <w:bCs/>
      <w:kern w:val="0"/>
      <w:sz w:val="20"/>
      <w:szCs w:val="20"/>
    </w:rPr>
  </w:style>
  <w:style w:type="paragraph" w:customStyle="1" w:styleId="181">
    <w:name w:val="xl5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182">
    <w:name w:val="xl7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83">
    <w:name w:val="xl78"/>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8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85">
    <w:name w:val="xl82"/>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86">
    <w:name w:val="xl5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7">
    <w:name w:val="xl8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88">
    <w:name w:val="xl8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89">
    <w:name w:val="xl8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kern w:val="0"/>
      <w:sz w:val="20"/>
      <w:szCs w:val="20"/>
    </w:rPr>
  </w:style>
  <w:style w:type="paragraph" w:customStyle="1" w:styleId="190">
    <w:name w:val="xl561"/>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19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新宋体" w:hAnsi="新宋体" w:eastAsia="新宋体" w:cs="宋体"/>
      <w:b/>
      <w:bCs/>
      <w:kern w:val="0"/>
      <w:sz w:val="20"/>
      <w:szCs w:val="20"/>
    </w:rPr>
  </w:style>
  <w:style w:type="paragraph" w:customStyle="1" w:styleId="192">
    <w:name w:val="xl563"/>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193">
    <w:name w:val="xl8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9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9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6">
    <w:name w:val="xl560"/>
    <w:basedOn w:val="1"/>
    <w:qFormat/>
    <w:uiPriority w:val="0"/>
    <w:pPr>
      <w:widowControl/>
      <w:pBdr>
        <w:top w:val="single" w:color="auto" w:sz="4" w:space="0"/>
        <w:left w:val="single" w:color="auto" w:sz="4" w:space="0"/>
        <w:bottom w:val="single" w:color="auto" w:sz="4" w:space="0"/>
        <w:right w:val="single" w:color="auto" w:sz="4" w:space="0"/>
      </w:pBdr>
      <w:shd w:val="clear" w:color="000000" w:fill="33CCCC"/>
      <w:spacing w:before="100" w:beforeAutospacing="1" w:after="100" w:afterAutospacing="1"/>
      <w:jc w:val="center"/>
    </w:pPr>
    <w:rPr>
      <w:rFonts w:ascii="宋体" w:hAnsi="宋体" w:cs="宋体"/>
      <w:color w:val="000000"/>
      <w:kern w:val="0"/>
      <w:sz w:val="22"/>
      <w:szCs w:val="22"/>
    </w:rPr>
  </w:style>
  <w:style w:type="paragraph" w:customStyle="1" w:styleId="197">
    <w:name w:val="xl538"/>
    <w:basedOn w:val="1"/>
    <w:qFormat/>
    <w:uiPriority w:val="0"/>
    <w:pPr>
      <w:widowControl/>
      <w:shd w:val="clear" w:color="000000" w:fill="FFFF00"/>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198">
    <w:name w:val="xl55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199">
    <w:name w:val="xl539"/>
    <w:basedOn w:val="1"/>
    <w:qFormat/>
    <w:uiPriority w:val="0"/>
    <w:pPr>
      <w:widowControl/>
      <w:spacing w:before="100" w:beforeAutospacing="1" w:after="100" w:afterAutospacing="1"/>
      <w:jc w:val="center"/>
      <w:textAlignment w:val="center"/>
    </w:pPr>
    <w:rPr>
      <w:rFonts w:ascii="宋体" w:hAnsi="宋体" w:cs="宋体"/>
      <w:b/>
      <w:bCs/>
      <w:color w:val="FF0000"/>
      <w:kern w:val="0"/>
      <w:sz w:val="24"/>
      <w:szCs w:val="24"/>
    </w:rPr>
  </w:style>
  <w:style w:type="paragraph" w:customStyle="1" w:styleId="200">
    <w:name w:val="报告正文 Char"/>
    <w:basedOn w:val="1"/>
    <w:qFormat/>
    <w:uiPriority w:val="0"/>
    <w:pPr>
      <w:adjustRightInd w:val="0"/>
      <w:snapToGrid w:val="0"/>
      <w:spacing w:line="336" w:lineRule="auto"/>
      <w:ind w:left="2603"/>
    </w:pPr>
    <w:rPr>
      <w:rFonts w:ascii="华文细黑" w:hAnsi="Times New Roman" w:eastAsia="华文细黑" w:cs="宋体"/>
      <w:sz w:val="22"/>
      <w:szCs w:val="20"/>
    </w:rPr>
  </w:style>
  <w:style w:type="paragraph" w:customStyle="1" w:styleId="201">
    <w:name w:val="xl541"/>
    <w:basedOn w:val="1"/>
    <w:qFormat/>
    <w:uiPriority w:val="0"/>
    <w:pPr>
      <w:widowControl/>
      <w:spacing w:before="100" w:beforeAutospacing="1" w:after="100" w:afterAutospacing="1"/>
      <w:jc w:val="center"/>
      <w:textAlignment w:val="center"/>
    </w:pPr>
    <w:rPr>
      <w:rFonts w:ascii="宋体" w:hAnsi="宋体" w:cs="宋体"/>
      <w:b/>
      <w:bCs/>
      <w:color w:val="FF0000"/>
      <w:kern w:val="0"/>
      <w:sz w:val="22"/>
      <w:szCs w:val="22"/>
    </w:rPr>
  </w:style>
  <w:style w:type="paragraph" w:customStyle="1" w:styleId="202">
    <w:name w:val="xl54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203">
    <w:name w:val="xl54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204">
    <w:name w:val="xl5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205">
    <w:name w:val="xl5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206">
    <w:name w:val="xl557"/>
    <w:basedOn w:val="1"/>
    <w:qFormat/>
    <w:uiPriority w:val="0"/>
    <w:pPr>
      <w:widowControl/>
      <w:shd w:val="clear" w:color="000000" w:fill="99CC00"/>
      <w:spacing w:before="100" w:beforeAutospacing="1" w:after="100" w:afterAutospacing="1"/>
      <w:jc w:val="center"/>
    </w:pPr>
    <w:rPr>
      <w:rFonts w:ascii="宋体" w:hAnsi="宋体" w:cs="宋体"/>
      <w:color w:val="000000"/>
      <w:kern w:val="0"/>
      <w:sz w:val="22"/>
      <w:szCs w:val="22"/>
    </w:rPr>
  </w:style>
  <w:style w:type="paragraph" w:customStyle="1" w:styleId="207">
    <w:name w:val="xl562"/>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208">
    <w:name w:val="xl565"/>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209">
    <w:name w:val="xl5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szCs w:val="24"/>
    </w:rPr>
  </w:style>
  <w:style w:type="paragraph" w:customStyle="1" w:styleId="210">
    <w:name w:val="xl570"/>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character" w:customStyle="1" w:styleId="211">
    <w:name w:val="font01"/>
    <w:basedOn w:val="33"/>
    <w:qFormat/>
    <w:uiPriority w:val="0"/>
    <w:rPr>
      <w:rFonts w:hint="eastAsia" w:ascii="楷体" w:hAnsi="楷体" w:eastAsia="楷体" w:cs="楷体"/>
      <w:color w:val="000000"/>
      <w:sz w:val="18"/>
      <w:szCs w:val="18"/>
      <w:u w:val="none"/>
      <w:vertAlign w:val="superscript"/>
    </w:rPr>
  </w:style>
  <w:style w:type="character" w:customStyle="1" w:styleId="212">
    <w:name w:val="font21"/>
    <w:basedOn w:val="33"/>
    <w:qFormat/>
    <w:uiPriority w:val="0"/>
    <w:rPr>
      <w:rFonts w:hint="eastAsia" w:ascii="楷体" w:hAnsi="楷体" w:eastAsia="楷体" w:cs="楷体"/>
      <w:color w:val="000000"/>
      <w:sz w:val="18"/>
      <w:szCs w:val="18"/>
      <w:u w:val="none"/>
    </w:rPr>
  </w:style>
  <w:style w:type="character" w:customStyle="1" w:styleId="213">
    <w:name w:val="font11"/>
    <w:basedOn w:val="33"/>
    <w:qFormat/>
    <w:uiPriority w:val="0"/>
    <w:rPr>
      <w:rFonts w:hint="eastAsia" w:ascii="宋体" w:hAnsi="宋体" w:eastAsia="宋体" w:cs="宋体"/>
      <w:color w:val="000000"/>
      <w:sz w:val="18"/>
      <w:szCs w:val="18"/>
      <w:u w:val="none"/>
      <w:vertAlign w:val="superscript"/>
    </w:rPr>
  </w:style>
  <w:style w:type="character" w:customStyle="1" w:styleId="214">
    <w:name w:val="font41"/>
    <w:basedOn w:val="33"/>
    <w:qFormat/>
    <w:uiPriority w:val="0"/>
    <w:rPr>
      <w:rFonts w:hint="eastAsia" w:ascii="宋体" w:hAnsi="宋体" w:eastAsia="宋体" w:cs="宋体"/>
      <w:color w:val="000000"/>
      <w:sz w:val="24"/>
      <w:szCs w:val="24"/>
      <w:u w:val="none"/>
    </w:rPr>
  </w:style>
  <w:style w:type="character" w:customStyle="1" w:styleId="215">
    <w:name w:val="font31"/>
    <w:basedOn w:val="3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7757</Words>
  <Characters>8228</Characters>
  <Lines>219</Lines>
  <Paragraphs>61</Paragraphs>
  <TotalTime>77</TotalTime>
  <ScaleCrop>false</ScaleCrop>
  <LinksUpToDate>false</LinksUpToDate>
  <CharactersWithSpaces>8345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2020-06-22T07:59:00Z</dcterms:created>
  <dc:creator>zhengcong</dc:creator>
  <cp:lastModifiedBy>嘿哈จุ๊บ</cp:lastModifiedBy>
  <cp:lastPrinted>2021-09-18T02:39:00Z</cp:lastPrinted>
  <dcterms:modified xsi:type="dcterms:W3CDTF">2022-07-07T01:23:43Z</dcterms:modified>
  <cp:revision>484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72E08121DFEC46688B0AB6A7C20B77CD</vt:lpwstr>
  </property>
</Properties>
</file>