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楷体" w:hAnsi="楷体" w:eastAsia="楷体" w:cs="楷体"/>
          <w:b/>
          <w:sz w:val="52"/>
          <w:szCs w:val="52"/>
        </w:rPr>
      </w:pPr>
      <w:bookmarkStart w:id="0" w:name="_Toc286074107"/>
    </w:p>
    <w:p>
      <w:pPr>
        <w:jc w:val="center"/>
        <w:rPr>
          <w:rFonts w:hint="eastAsia" w:ascii="宋体" w:hAnsi="宋体" w:eastAsia="宋体" w:cs="宋体"/>
          <w:b/>
          <w:sz w:val="56"/>
          <w:szCs w:val="56"/>
        </w:rPr>
      </w:pPr>
      <w:r>
        <w:rPr>
          <w:rFonts w:hint="eastAsia" w:ascii="华文中宋" w:hAnsi="华文中宋" w:eastAsia="华文中宋" w:cs="华文中宋"/>
          <w:b/>
          <w:sz w:val="56"/>
          <w:szCs w:val="56"/>
        </w:rPr>
        <w:t>涉执房地产处置司法估价报告</w:t>
      </w: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spacing w:before="312" w:beforeLines="100"/>
        <w:jc w:val="left"/>
        <w:rPr>
          <w:rFonts w:hint="eastAsia" w:ascii="仿宋" w:hAnsi="仿宋" w:eastAsia="仿宋" w:cs="仿宋"/>
          <w:b w:val="0"/>
          <w:bCs/>
          <w:color w:val="000000"/>
          <w:sz w:val="28"/>
          <w:szCs w:val="28"/>
          <w:lang w:eastAsia="zh-CN"/>
        </w:rPr>
      </w:pPr>
      <w:r>
        <w:rPr>
          <w:rFonts w:hint="eastAsia" w:ascii="仿宋" w:hAnsi="仿宋" w:eastAsia="仿宋" w:cs="仿宋"/>
          <w:b/>
          <w:sz w:val="28"/>
          <w:szCs w:val="28"/>
        </w:rPr>
        <w:t>估价报告编号：</w:t>
      </w:r>
      <w:r>
        <w:rPr>
          <w:rFonts w:hint="eastAsia" w:ascii="仿宋" w:hAnsi="仿宋" w:eastAsia="仿宋" w:cs="仿宋"/>
          <w:b w:val="0"/>
          <w:bCs/>
          <w:sz w:val="28"/>
          <w:szCs w:val="28"/>
          <w:lang w:eastAsia="zh-CN"/>
        </w:rPr>
        <w:t>黔昊远房估字（2022）06011号</w:t>
      </w:r>
    </w:p>
    <w:p>
      <w:pPr>
        <w:spacing w:before="312" w:beforeLines="100"/>
        <w:ind w:left="1940" w:hanging="1940" w:hangingChars="690"/>
        <w:jc w:val="left"/>
        <w:rPr>
          <w:rFonts w:hint="default" w:ascii="Times New Roman" w:hAnsi="Times New Roman" w:eastAsia="仿宋" w:cs="Times New Roman"/>
          <w:b/>
          <w:sz w:val="28"/>
          <w:szCs w:val="28"/>
        </w:rPr>
      </w:pPr>
      <w:r>
        <w:rPr>
          <w:rFonts w:hint="eastAsia" w:ascii="仿宋" w:hAnsi="仿宋" w:eastAsia="仿宋" w:cs="仿宋"/>
          <w:b/>
          <w:sz w:val="28"/>
          <w:szCs w:val="28"/>
        </w:rPr>
        <w:t>估价项目名称：</w:t>
      </w:r>
      <w:r>
        <w:rPr>
          <w:rFonts w:hint="eastAsia" w:eastAsia="仿宋" w:cs="Times New Roman"/>
          <w:b w:val="0"/>
          <w:bCs/>
          <w:sz w:val="28"/>
          <w:szCs w:val="28"/>
          <w:lang w:val="en-US" w:eastAsia="zh-CN"/>
        </w:rPr>
        <w:t>龙本安、欧兴兰，龙本平、张祖英所属的位于贵州省台江县台拱镇解放东路一栋</w:t>
      </w:r>
      <w:r>
        <w:rPr>
          <w:rFonts w:hint="eastAsia" w:ascii="Times New Roman" w:hAnsi="Times New Roman" w:eastAsia="仿宋" w:cs="Times New Roman"/>
          <w:b w:val="0"/>
          <w:bCs/>
          <w:sz w:val="28"/>
          <w:szCs w:val="28"/>
          <w:lang w:val="en-US" w:eastAsia="zh-CN"/>
        </w:rPr>
        <w:t>住宅</w:t>
      </w:r>
      <w:r>
        <w:rPr>
          <w:rFonts w:hint="default" w:ascii="Times New Roman" w:hAnsi="Times New Roman" w:eastAsia="仿宋" w:cs="Times New Roman"/>
          <w:b w:val="0"/>
          <w:bCs/>
          <w:sz w:val="28"/>
          <w:szCs w:val="28"/>
          <w:lang w:val="en-US" w:eastAsia="zh-CN"/>
        </w:rPr>
        <w:t>用房房地产市场价值评估</w:t>
      </w:r>
    </w:p>
    <w:p>
      <w:pPr>
        <w:spacing w:before="312" w:beforeLines="100"/>
        <w:jc w:val="left"/>
        <w:rPr>
          <w:rFonts w:hint="eastAsia" w:ascii="仿宋" w:hAnsi="仿宋" w:eastAsia="仿宋" w:cs="仿宋"/>
          <w:b/>
          <w:sz w:val="28"/>
          <w:szCs w:val="28"/>
          <w:lang w:val="en-US" w:eastAsia="zh-CN"/>
        </w:rPr>
      </w:pPr>
      <w:r>
        <w:rPr>
          <w:rFonts w:hint="eastAsia" w:ascii="仿宋" w:hAnsi="仿宋" w:eastAsia="仿宋" w:cs="仿宋"/>
          <w:b/>
          <w:sz w:val="28"/>
          <w:szCs w:val="28"/>
        </w:rPr>
        <w:t>估价委托</w:t>
      </w:r>
      <w:r>
        <w:rPr>
          <w:rFonts w:hint="eastAsia" w:ascii="仿宋" w:hAnsi="仿宋" w:eastAsia="仿宋" w:cs="仿宋"/>
          <w:b/>
          <w:sz w:val="28"/>
          <w:szCs w:val="28"/>
          <w:lang w:val="en-US" w:eastAsia="zh-CN"/>
        </w:rPr>
        <w:t>人</w:t>
      </w:r>
      <w:r>
        <w:rPr>
          <w:rFonts w:hint="eastAsia" w:ascii="仿宋" w:hAnsi="仿宋" w:eastAsia="仿宋" w:cs="仿宋"/>
          <w:b/>
          <w:sz w:val="28"/>
          <w:szCs w:val="28"/>
        </w:rPr>
        <w:t>：</w:t>
      </w:r>
      <w:r>
        <w:rPr>
          <w:rFonts w:hint="eastAsia" w:ascii="仿宋" w:hAnsi="仿宋" w:eastAsia="仿宋" w:cs="仿宋"/>
          <w:b w:val="0"/>
          <w:bCs/>
          <w:sz w:val="28"/>
          <w:szCs w:val="28"/>
          <w:lang w:val="en-US" w:eastAsia="zh-CN"/>
        </w:rPr>
        <w:t>台江县人民法院</w:t>
      </w:r>
    </w:p>
    <w:p>
      <w:pPr>
        <w:spacing w:before="312" w:beforeLines="100"/>
        <w:jc w:val="left"/>
        <w:rPr>
          <w:rFonts w:hint="eastAsia" w:ascii="仿宋" w:hAnsi="仿宋" w:eastAsia="仿宋" w:cs="仿宋"/>
          <w:b/>
          <w:sz w:val="28"/>
          <w:szCs w:val="28"/>
        </w:rPr>
      </w:pPr>
      <w:r>
        <w:rPr>
          <w:rFonts w:hint="eastAsia" w:ascii="仿宋" w:hAnsi="仿宋" w:eastAsia="仿宋" w:cs="仿宋"/>
          <w:b/>
          <w:sz w:val="28"/>
          <w:szCs w:val="28"/>
        </w:rPr>
        <w:t>房地产估价机构：</w:t>
      </w:r>
      <w:r>
        <w:rPr>
          <w:rFonts w:hint="eastAsia" w:ascii="仿宋" w:hAnsi="仿宋" w:eastAsia="仿宋" w:cs="仿宋"/>
          <w:b w:val="0"/>
          <w:bCs/>
          <w:sz w:val="28"/>
          <w:szCs w:val="28"/>
        </w:rPr>
        <w:t>贵州昊远房地产土地评估有限公司</w:t>
      </w:r>
    </w:p>
    <w:p>
      <w:pPr>
        <w:spacing w:before="312" w:beforeLines="100"/>
        <w:jc w:val="left"/>
        <w:rPr>
          <w:rFonts w:hint="eastAsia" w:ascii="仿宋" w:hAnsi="仿宋" w:eastAsia="仿宋" w:cs="仿宋"/>
          <w:b w:val="0"/>
          <w:bCs/>
          <w:sz w:val="28"/>
          <w:szCs w:val="28"/>
        </w:rPr>
      </w:pPr>
      <w:r>
        <w:rPr>
          <w:rFonts w:hint="eastAsia" w:ascii="仿宋" w:hAnsi="仿宋" w:eastAsia="仿宋" w:cs="仿宋"/>
          <w:b/>
          <w:sz w:val="28"/>
          <w:szCs w:val="28"/>
        </w:rPr>
        <w:t>注册房地产估价师：</w:t>
      </w:r>
      <w:r>
        <w:rPr>
          <w:rFonts w:hint="eastAsia" w:ascii="仿宋" w:hAnsi="仿宋" w:eastAsia="仿宋" w:cs="仿宋"/>
          <w:b w:val="0"/>
          <w:bCs/>
          <w:sz w:val="28"/>
          <w:szCs w:val="28"/>
          <w:lang w:val="en-US" w:eastAsia="zh-CN"/>
        </w:rPr>
        <w:t>覃  剑（注册号：</w:t>
      </w:r>
      <w:r>
        <w:rPr>
          <w:rFonts w:hint="eastAsia" w:eastAsia="仿宋_GB2312"/>
          <w:b w:val="0"/>
          <w:bCs/>
          <w:color w:val="000000"/>
          <w:sz w:val="28"/>
          <w:szCs w:val="28"/>
          <w:lang w:val="en-US" w:eastAsia="zh-CN"/>
        </w:rPr>
        <w:t>5220040052</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lang w:eastAsia="zh-CN"/>
        </w:rPr>
        <w:t>杨青钢</w:t>
      </w:r>
      <w:r>
        <w:rPr>
          <w:rFonts w:hint="eastAsia" w:ascii="仿宋" w:hAnsi="仿宋" w:eastAsia="仿宋" w:cs="仿宋"/>
          <w:b w:val="0"/>
          <w:bCs/>
          <w:sz w:val="28"/>
          <w:szCs w:val="28"/>
          <w:lang w:val="en-US" w:eastAsia="zh-CN"/>
        </w:rPr>
        <w:t>（注册号：</w:t>
      </w:r>
      <w:r>
        <w:rPr>
          <w:rFonts w:hint="eastAsia" w:eastAsia="仿宋_GB2312"/>
          <w:b w:val="0"/>
          <w:bCs/>
          <w:color w:val="000000"/>
          <w:sz w:val="28"/>
          <w:szCs w:val="28"/>
          <w:lang w:val="en-US" w:eastAsia="zh-CN"/>
        </w:rPr>
        <w:t>5220200026</w:t>
      </w:r>
      <w:r>
        <w:rPr>
          <w:rFonts w:hint="eastAsia" w:ascii="仿宋" w:hAnsi="仿宋" w:eastAsia="仿宋" w:cs="仿宋"/>
          <w:b w:val="0"/>
          <w:bCs/>
          <w:sz w:val="28"/>
          <w:szCs w:val="28"/>
          <w:lang w:val="en-US" w:eastAsia="zh-CN"/>
        </w:rPr>
        <w:t>）</w:t>
      </w:r>
    </w:p>
    <w:p>
      <w:pPr>
        <w:spacing w:before="312" w:beforeLines="100"/>
        <w:jc w:val="left"/>
        <w:rPr>
          <w:rFonts w:hint="eastAsia" w:eastAsia="仿宋_GB2312"/>
          <w:b/>
          <w:bCs/>
          <w:color w:val="000000"/>
          <w:sz w:val="26"/>
          <w:szCs w:val="26"/>
          <w:lang w:val="en-US" w:eastAsia="zh-CN"/>
        </w:rPr>
      </w:pPr>
      <w:r>
        <w:rPr>
          <w:rFonts w:hint="eastAsia" w:ascii="仿宋" w:hAnsi="仿宋" w:eastAsia="仿宋" w:cs="仿宋"/>
          <w:b/>
          <w:sz w:val="28"/>
          <w:szCs w:val="28"/>
        </w:rPr>
        <w:t>估价报告出具日期：</w:t>
      </w:r>
      <w:r>
        <w:rPr>
          <w:rFonts w:hint="eastAsia" w:eastAsia="仿宋_GB2312"/>
          <w:b w:val="0"/>
          <w:bCs w:val="0"/>
          <w:color w:val="000000"/>
          <w:sz w:val="28"/>
          <w:szCs w:val="28"/>
          <w:lang w:val="en-US" w:eastAsia="zh-CN"/>
        </w:rPr>
        <w:t>2022年06月14日</w:t>
      </w:r>
    </w:p>
    <w:p>
      <w:pPr>
        <w:jc w:val="center"/>
        <w:rPr>
          <w:rFonts w:hint="eastAsia" w:ascii="仿宋" w:hAnsi="仿宋" w:eastAsia="仿宋" w:cs="仿宋"/>
          <w:b/>
          <w:sz w:val="28"/>
          <w:szCs w:val="28"/>
        </w:rPr>
      </w:pPr>
    </w:p>
    <w:p>
      <w:pPr>
        <w:spacing w:line="360" w:lineRule="auto"/>
        <w:jc w:val="left"/>
        <w:rPr>
          <w:rFonts w:hint="eastAsia" w:ascii="仿宋" w:hAnsi="仿宋" w:eastAsia="仿宋" w:cs="仿宋"/>
          <w:b/>
          <w:sz w:val="28"/>
          <w:szCs w:val="28"/>
        </w:rPr>
        <w:sectPr>
          <w:headerReference r:id="rId3" w:type="default"/>
          <w:footerReference r:id="rId4" w:type="default"/>
          <w:endnotePr>
            <w:numFmt w:val="decimal"/>
          </w:endnotePr>
          <w:pgSz w:w="11906" w:h="16838"/>
          <w:pgMar w:top="1440" w:right="1080" w:bottom="1440" w:left="1080" w:header="851" w:footer="992" w:gutter="0"/>
          <w:pgNumType w:chapStyle="1"/>
          <w:cols w:space="720" w:num="1"/>
          <w:docGrid w:type="lines" w:linePitch="312" w:charSpace="0"/>
        </w:sectPr>
      </w:pPr>
    </w:p>
    <w:p>
      <w:pPr>
        <w:jc w:val="center"/>
        <w:rPr>
          <w:rFonts w:hint="eastAsia" w:ascii="仿宋" w:hAnsi="仿宋" w:eastAsia="仿宋" w:cs="仿宋"/>
          <w:b/>
          <w:sz w:val="52"/>
          <w:szCs w:val="52"/>
        </w:rPr>
      </w:pPr>
      <w:r>
        <w:rPr>
          <w:rFonts w:hint="eastAsia" w:ascii="仿宋" w:hAnsi="仿宋" w:eastAsia="仿宋" w:cs="仿宋"/>
          <w:b/>
          <w:sz w:val="52"/>
          <w:szCs w:val="52"/>
        </w:rPr>
        <w:t>致估价委托</w:t>
      </w:r>
      <w:r>
        <w:rPr>
          <w:rFonts w:hint="eastAsia" w:ascii="仿宋" w:hAnsi="仿宋" w:eastAsia="仿宋" w:cs="仿宋"/>
          <w:b/>
          <w:sz w:val="52"/>
          <w:szCs w:val="52"/>
          <w:lang w:val="en-US" w:eastAsia="zh-CN"/>
        </w:rPr>
        <w:t>人</w:t>
      </w:r>
      <w:r>
        <w:rPr>
          <w:rFonts w:hint="eastAsia" w:ascii="仿宋" w:hAnsi="仿宋" w:eastAsia="仿宋" w:cs="仿宋"/>
          <w:b/>
          <w:sz w:val="52"/>
          <w:szCs w:val="52"/>
        </w:rPr>
        <w:t>函</w:t>
      </w:r>
    </w:p>
    <w:p>
      <w:pPr>
        <w:keepNext w:val="0"/>
        <w:keepLines w:val="0"/>
        <w:pageBreakBefore w:val="0"/>
        <w:widowControl w:val="0"/>
        <w:kinsoku/>
        <w:wordWrap/>
        <w:overflowPunct/>
        <w:topLinePunct w:val="0"/>
        <w:autoSpaceDE/>
        <w:autoSpaceDN/>
        <w:bidi w:val="0"/>
        <w:adjustRightInd/>
        <w:snapToGrid/>
        <w:spacing w:before="312" w:beforeLines="100" w:line="460" w:lineRule="exact"/>
        <w:jc w:val="left"/>
        <w:textAlignment w:val="auto"/>
        <w:rPr>
          <w:rFonts w:hint="eastAsia" w:ascii="仿宋" w:hAnsi="仿宋" w:eastAsia="仿宋" w:cs="仿宋"/>
          <w:bCs/>
          <w:color w:val="0000FF"/>
          <w:sz w:val="24"/>
        </w:rPr>
      </w:pPr>
      <w:r>
        <w:rPr>
          <w:rFonts w:hint="eastAsia" w:ascii="仿宋" w:hAnsi="仿宋" w:eastAsia="仿宋" w:cs="仿宋"/>
          <w:b/>
          <w:sz w:val="28"/>
          <w:szCs w:val="28"/>
          <w:lang w:val="en-US" w:eastAsia="zh-CN"/>
        </w:rPr>
        <w:t>台江县人民法院</w:t>
      </w:r>
      <w:r>
        <w:rPr>
          <w:rFonts w:hint="eastAsia" w:ascii="仿宋" w:hAnsi="仿宋" w:eastAsia="仿宋" w:cs="仿宋"/>
          <w:b/>
          <w:sz w:val="28"/>
          <w:szCs w:val="28"/>
        </w:rPr>
        <w:t>：</w:t>
      </w:r>
      <w:r>
        <w:rPr>
          <w:rFonts w:hint="eastAsia" w:ascii="仿宋" w:hAnsi="仿宋" w:eastAsia="仿宋" w:cs="仿宋"/>
          <w:bCs/>
          <w:color w:val="0000FF"/>
          <w:sz w:val="24"/>
        </w:rPr>
        <w:t xml:space="preserve">  </w:t>
      </w:r>
    </w:p>
    <w:p>
      <w:pPr>
        <w:keepNext w:val="0"/>
        <w:keepLines w:val="0"/>
        <w:pageBreakBefore w:val="0"/>
        <w:widowControl w:val="0"/>
        <w:kinsoku/>
        <w:wordWrap/>
        <w:overflowPunct/>
        <w:topLinePunct w:val="0"/>
        <w:autoSpaceDE/>
        <w:autoSpaceDN/>
        <w:bidi w:val="0"/>
        <w:adjustRightInd/>
        <w:snapToGrid/>
        <w:spacing w:before="312" w:beforeLines="100" w:line="440" w:lineRule="exact"/>
        <w:ind w:right="168" w:rightChars="80"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受贵院的委托，我公司对贵院委托的位于贵州省台江县台拱镇解放东路一栋住宅用途房地产（权利人为：龙本安、欧兴兰，龙本平、张祖英，房屋建筑面积616.15平方米，其中龙本安、欧兴兰所属的2、4层面积为292.73平方米；龙本平、张祖英所属的1、3层面积为323.42平方米）进行估价；</w:t>
      </w: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val="en-US" w:eastAsia="zh-CN"/>
        </w:rPr>
        <w:t>；估价目的是为人民法院确定财产处置参考价提供参考依据而评估房地产市场价值；</w:t>
      </w:r>
      <w:r>
        <w:rPr>
          <w:rFonts w:hint="eastAsia" w:eastAsia="仿宋_GB2312"/>
          <w:color w:val="000000"/>
          <w:sz w:val="26"/>
          <w:szCs w:val="26"/>
        </w:rPr>
        <w:t>价值时点</w:t>
      </w:r>
      <w:r>
        <w:rPr>
          <w:rFonts w:hint="eastAsia" w:eastAsia="仿宋_GB2312"/>
          <w:color w:val="000000"/>
          <w:sz w:val="26"/>
          <w:szCs w:val="26"/>
          <w:lang w:val="en-US" w:eastAsia="zh-CN"/>
        </w:rPr>
        <w:t>为2022年05月27日。</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sz w:val="26"/>
          <w:szCs w:val="26"/>
          <w:lang w:val="en-US" w:eastAsia="zh-CN"/>
        </w:rPr>
      </w:pPr>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并结合估价经验和对影响价值因素的分析，在满足本次估价的假设和限制条件下，确定估价对象于价值时点2022年05月27日的市场价值合计为</w:t>
      </w:r>
      <w:r>
        <w:rPr>
          <w:rFonts w:hint="default" w:ascii="Times New Roman" w:hAnsi="Times New Roman" w:eastAsia="仿宋_GB2312" w:cs="Times New Roman"/>
          <w:b/>
          <w:bCs/>
          <w:color w:val="000000"/>
          <w:sz w:val="26"/>
          <w:szCs w:val="26"/>
          <w:lang w:val="en-US" w:eastAsia="zh-CN"/>
        </w:rPr>
        <w:t>人民币</w:t>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691400 \* CHINESENUM4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1454700 \* CHINESENUM2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default" w:ascii="Times New Roman" w:hAnsi="Times New Roman" w:eastAsia="仿宋_GB2312" w:cs="Times New Roman"/>
          <w:b/>
          <w:bCs/>
          <w:color w:val="000000"/>
          <w:sz w:val="26"/>
          <w:szCs w:val="26"/>
          <w:lang w:val="en-US" w:eastAsia="zh-CN"/>
        </w:rPr>
        <w:t>壹佰肆拾伍万肆仟柒佰</w:t>
      </w:r>
      <w:r>
        <w:rPr>
          <w:rFonts w:hint="eastAsia" w:ascii="Times New Roman" w:hAnsi="Times New Roman" w:eastAsia="仿宋_GB2312" w:cs="Times New Roman"/>
          <w:b/>
          <w:bCs/>
          <w:color w:val="000000"/>
          <w:sz w:val="26"/>
          <w:szCs w:val="26"/>
          <w:lang w:val="en-US" w:eastAsia="zh-CN"/>
        </w:rPr>
        <w:fldChar w:fldCharType="end"/>
      </w:r>
      <w:r>
        <w:rPr>
          <w:rFonts w:hint="default" w:ascii="Times New Roman" w:hAnsi="Times New Roman" w:eastAsia="仿宋_GB2312" w:cs="Times New Roman"/>
          <w:b/>
          <w:bCs/>
          <w:color w:val="000000"/>
          <w:sz w:val="26"/>
          <w:szCs w:val="26"/>
          <w:lang w:val="en-US" w:eastAsia="zh-CN"/>
        </w:rPr>
        <w:t>元整</w:t>
      </w:r>
      <w:r>
        <w:rPr>
          <w:rFonts w:hint="eastAsia" w:ascii="Times New Roman" w:hAnsi="Times New Roman" w:eastAsia="仿宋_GB2312" w:cs="Times New Roman"/>
          <w:b/>
          <w:bCs/>
          <w:color w:val="000000"/>
          <w:sz w:val="26"/>
          <w:szCs w:val="26"/>
          <w:lang w:val="en-US" w:eastAsia="zh-CN"/>
        </w:rPr>
        <w:fldChar w:fldCharType="end"/>
      </w:r>
      <w:r>
        <w:rPr>
          <w:rFonts w:hint="eastAsia" w:ascii="Times New Roman" w:hAnsi="Times New Roman" w:eastAsia="仿宋_GB2312" w:cs="Times New Roman"/>
          <w:b/>
          <w:bCs/>
          <w:color w:val="000000"/>
          <w:sz w:val="26"/>
          <w:szCs w:val="26"/>
          <w:lang w:val="en-US" w:eastAsia="zh-CN"/>
        </w:rPr>
        <w:t>（¥</w:t>
      </w:r>
      <w:r>
        <w:rPr>
          <w:rFonts w:hint="eastAsia" w:eastAsia="仿宋_GB2312" w:cs="Times New Roman"/>
          <w:b/>
          <w:bCs/>
          <w:color w:val="000000"/>
          <w:sz w:val="26"/>
          <w:szCs w:val="26"/>
          <w:lang w:val="en-US" w:eastAsia="zh-CN"/>
        </w:rPr>
        <w:t>145.47</w:t>
      </w:r>
      <w:r>
        <w:rPr>
          <w:rFonts w:hint="eastAsia" w:ascii="Times New Roman" w:hAnsi="Times New Roman" w:eastAsia="仿宋_GB2312" w:cs="Times New Roman"/>
          <w:b/>
          <w:bCs/>
          <w:color w:val="000000"/>
          <w:sz w:val="26"/>
          <w:szCs w:val="26"/>
          <w:lang w:val="en-US" w:eastAsia="zh-CN"/>
        </w:rPr>
        <w:t>万元）</w:t>
      </w:r>
      <w:r>
        <w:rPr>
          <w:rFonts w:hint="eastAsia" w:eastAsia="仿宋_GB2312"/>
          <w:color w:val="000000"/>
          <w:sz w:val="26"/>
          <w:szCs w:val="26"/>
          <w:lang w:val="en-US" w:eastAsia="zh-CN"/>
        </w:rPr>
        <w:t>。详见下表：</w:t>
      </w:r>
    </w:p>
    <w:tbl>
      <w:tblPr>
        <w:tblStyle w:val="23"/>
        <w:tblW w:w="9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1"/>
        <w:gridCol w:w="1035"/>
        <w:gridCol w:w="1980"/>
        <w:gridCol w:w="1065"/>
        <w:gridCol w:w="879"/>
        <w:gridCol w:w="1080"/>
        <w:gridCol w:w="1200"/>
        <w:gridCol w:w="1215"/>
        <w:gridCol w:w="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房屋所有权人</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产权证号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房屋坐落</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用途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建筑面积（㎡）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评估单价（元</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评估总价（万元）</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0"/>
                <w:sz w:val="20"/>
                <w:szCs w:val="20"/>
                <w:u w:val="none"/>
                <w:lang w:val="en-US" w:eastAsia="zh-CN" w:bidi="ar"/>
              </w:rPr>
            </w:pPr>
            <w:r>
              <w:rPr>
                <w:rFonts w:ascii="仿宋" w:hAnsi="仿宋" w:eastAsia="仿宋" w:cs="仿宋"/>
                <w:i w:val="0"/>
                <w:iCs w:val="0"/>
                <w:color w:val="000000"/>
                <w:kern w:val="0"/>
                <w:sz w:val="20"/>
                <w:szCs w:val="20"/>
                <w:u w:val="none"/>
                <w:lang w:val="en-US" w:eastAsia="zh-CN" w:bidi="ar"/>
              </w:rPr>
              <w:t>龙本安</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欧兴兰</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台房权证台江县字第</w:t>
            </w:r>
            <w:r>
              <w:rPr>
                <w:rFonts w:hint="default" w:ascii="Times New Roman" w:hAnsi="Times New Roman" w:eastAsia="宋体" w:cs="Times New Roman"/>
                <w:i w:val="0"/>
                <w:iCs w:val="0"/>
                <w:color w:val="000000"/>
                <w:kern w:val="0"/>
                <w:sz w:val="20"/>
                <w:szCs w:val="20"/>
                <w:u w:val="none"/>
                <w:lang w:val="en-US" w:eastAsia="zh-CN" w:bidi="ar"/>
              </w:rPr>
              <w:t>201500505</w:t>
            </w:r>
            <w:r>
              <w:rPr>
                <w:rFonts w:ascii="仿宋" w:hAnsi="仿宋" w:eastAsia="仿宋" w:cs="仿宋"/>
                <w:i w:val="0"/>
                <w:iCs w:val="0"/>
                <w:color w:val="000000"/>
                <w:kern w:val="0"/>
                <w:sz w:val="20"/>
                <w:szCs w:val="20"/>
                <w:u w:val="none"/>
                <w:lang w:val="en-US" w:eastAsia="zh-CN" w:bidi="ar"/>
              </w:rPr>
              <w:t>号</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台拱镇解放东路</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成套住宅</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292.73</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2361</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69.11</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0"/>
                <w:sz w:val="20"/>
                <w:szCs w:val="20"/>
                <w:u w:val="none"/>
                <w:lang w:val="en-US" w:eastAsia="zh-CN" w:bidi="ar"/>
              </w:rPr>
            </w:pPr>
            <w:r>
              <w:rPr>
                <w:rFonts w:ascii="仿宋" w:hAnsi="仿宋" w:eastAsia="仿宋" w:cs="仿宋"/>
                <w:i w:val="0"/>
                <w:iCs w:val="0"/>
                <w:color w:val="000000"/>
                <w:kern w:val="0"/>
                <w:sz w:val="20"/>
                <w:szCs w:val="20"/>
                <w:u w:val="none"/>
                <w:lang w:val="en-US" w:eastAsia="zh-CN" w:bidi="ar"/>
              </w:rPr>
              <w:t>龙本平</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张祖英</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台房权证台江县字第</w:t>
            </w:r>
            <w:r>
              <w:rPr>
                <w:rFonts w:hint="default" w:ascii="Times New Roman" w:hAnsi="Times New Roman" w:eastAsia="宋体" w:cs="Times New Roman"/>
                <w:i w:val="0"/>
                <w:iCs w:val="0"/>
                <w:color w:val="000000"/>
                <w:kern w:val="0"/>
                <w:sz w:val="20"/>
                <w:szCs w:val="20"/>
                <w:u w:val="none"/>
                <w:lang w:val="en-US" w:eastAsia="zh-CN" w:bidi="ar"/>
              </w:rPr>
              <w:t>201500506</w:t>
            </w:r>
            <w:r>
              <w:rPr>
                <w:rFonts w:ascii="仿宋" w:hAnsi="仿宋" w:eastAsia="仿宋" w:cs="仿宋"/>
                <w:i w:val="0"/>
                <w:iCs w:val="0"/>
                <w:color w:val="000000"/>
                <w:kern w:val="0"/>
                <w:sz w:val="20"/>
                <w:szCs w:val="20"/>
                <w:u w:val="none"/>
                <w:lang w:val="en-US" w:eastAsia="zh-CN" w:bidi="ar"/>
              </w:rPr>
              <w:t>号</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台拱镇解放东路</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成套住宅</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323.42</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2361</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76.36</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ascii="仿宋" w:hAnsi="仿宋" w:eastAsia="仿宋" w:cs="仿宋"/>
                <w:b/>
                <w:bCs/>
                <w:i w:val="0"/>
                <w:iCs w:val="0"/>
                <w:color w:val="000000"/>
                <w:kern w:val="0"/>
                <w:sz w:val="20"/>
                <w:szCs w:val="20"/>
                <w:u w:val="none"/>
                <w:lang w:val="en-US" w:eastAsia="zh-CN" w:bidi="ar"/>
              </w:rPr>
              <w:t>合计</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616.15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lang w:val="en-US" w:eastAsia="zh-CN"/>
              </w:rPr>
            </w:pPr>
            <w:r>
              <w:rPr>
                <w:rFonts w:hint="eastAsia" w:ascii="Times New Roman" w:hAnsi="Times New Roman" w:eastAsia="宋体" w:cs="Times New Roman"/>
                <w:b/>
                <w:bCs/>
                <w:i w:val="0"/>
                <w:iCs w:val="0"/>
                <w:color w:val="000000"/>
                <w:sz w:val="20"/>
                <w:szCs w:val="20"/>
                <w:u w:val="none"/>
                <w:lang w:val="en-US" w:eastAsia="zh-CN"/>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145.47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1、根据估价对象的《国有土地使用权证》，估价对象的土地使用权类型为划拨，本次估价结果中已扣除了相应的土地出让金；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2、因财产拍卖（或者变卖）日期与价值时点不一致，估价对象状况或者房地产市场状况的变化会对估价结果产生影响；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3、在估价结果有效期内，估价对象状况或者房地产市场发生明显变化的，估价结果应当进行相应调整；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4、委托人或者估价报告使用人应当按照法律规定和估价报告载明的使用范围使用估价报告，违反该规定使用估价报告的，房地产估价机构和注册房地产估价师依法不承担责任；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5、估价结果不等于估价对象处置可实现的成交价，不应被认为是估价对象处置成交价的保证；</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6、本次估价估价对象交易税费，按照法律法规规定，转让方和受让方各自负担；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7、本机构提醒报告使用方在使用本估价结论时，应认真阅读本报告书全文，提请关注本报告各种假设和限制条件等对该估价结果的影响。</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贵州昊远房地产土地评估有限公司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法定代表人：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sz w:val="28"/>
          <w:szCs w:val="28"/>
          <w:lang w:eastAsia="zh-CN"/>
        </w:rPr>
      </w:pPr>
      <w:r>
        <w:rPr>
          <w:rFonts w:hint="eastAsia" w:ascii="仿宋" w:hAnsi="仿宋" w:eastAsia="仿宋" w:cs="仿宋"/>
          <w:b/>
          <w:bCs/>
          <w:sz w:val="28"/>
          <w:szCs w:val="28"/>
          <w:lang w:val="en-US" w:eastAsia="zh-CN"/>
        </w:rPr>
        <w:t xml:space="preserve">                      二〇二二年六月十四日</w:t>
      </w:r>
    </w:p>
    <w:p>
      <w:pPr>
        <w:jc w:val="center"/>
        <w:rPr>
          <w:rFonts w:hint="eastAsia" w:ascii="仿宋" w:hAnsi="仿宋" w:eastAsia="仿宋" w:cs="仿宋"/>
          <w:b/>
          <w:sz w:val="28"/>
          <w:szCs w:val="28"/>
        </w:rPr>
        <w:sectPr>
          <w:endnotePr>
            <w:numFmt w:val="decimal"/>
          </w:endnotePr>
          <w:pgSz w:w="11906" w:h="16838"/>
          <w:pgMar w:top="1440" w:right="1080" w:bottom="1440" w:left="1080" w:header="851" w:footer="992" w:gutter="0"/>
          <w:pgNumType w:chapStyle="1"/>
          <w:cols w:space="720" w:num="1"/>
          <w:docGrid w:type="lines" w:linePitch="312" w:charSpace="0"/>
        </w:sectPr>
      </w:pPr>
    </w:p>
    <w:p>
      <w:pPr>
        <w:pStyle w:val="16"/>
        <w:tabs>
          <w:tab w:val="right" w:leader="dot" w:pos="9746"/>
        </w:tabs>
        <w:jc w:val="center"/>
        <w:rPr>
          <w:rFonts w:hint="eastAsia" w:ascii="仿宋" w:hAnsi="仿宋" w:eastAsia="仿宋" w:cs="仿宋"/>
          <w:b/>
          <w:bCs/>
          <w:kern w:val="0"/>
          <w:sz w:val="52"/>
          <w:szCs w:val="52"/>
          <w:lang w:val="en-US" w:eastAsia="zh-CN" w:bidi="ar-SA"/>
        </w:rPr>
      </w:pPr>
      <w:r>
        <w:rPr>
          <w:rFonts w:hint="eastAsia" w:ascii="仿宋" w:hAnsi="仿宋" w:eastAsia="仿宋" w:cs="仿宋"/>
          <w:b/>
          <w:bCs/>
          <w:kern w:val="0"/>
          <w:sz w:val="52"/>
          <w:szCs w:val="52"/>
          <w:lang w:val="en-US" w:eastAsia="zh-CN" w:bidi="ar-SA"/>
        </w:rPr>
        <w:t>目录</w:t>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660" w:lineRule="exact"/>
        <w:textAlignment w:val="auto"/>
      </w:pPr>
      <w:r>
        <w:fldChar w:fldCharType="begin"/>
      </w:r>
      <w:r>
        <w:instrText xml:space="preserve">TOC \o "1-2" \h \u </w:instrText>
      </w:r>
      <w:r>
        <w:fldChar w:fldCharType="separate"/>
      </w:r>
      <w:r>
        <w:fldChar w:fldCharType="begin"/>
      </w:r>
      <w:r>
        <w:instrText xml:space="preserve"> HYPERLINK \l _Toc32530 </w:instrText>
      </w:r>
      <w:r>
        <w:fldChar w:fldCharType="separate"/>
      </w:r>
      <w:r>
        <w:rPr>
          <w:rFonts w:hint="eastAsia" w:ascii="仿宋" w:hAnsi="仿宋" w:eastAsia="仿宋" w:cs="仿宋"/>
          <w:bCs/>
          <w:kern w:val="0"/>
          <w:szCs w:val="52"/>
        </w:rPr>
        <w:t>估价师声明</w:t>
      </w:r>
      <w:r>
        <w:tab/>
      </w:r>
      <w:r>
        <w:fldChar w:fldCharType="begin"/>
      </w:r>
      <w:r>
        <w:instrText xml:space="preserve"> PAGEREF _Toc32530 \h </w:instrText>
      </w:r>
      <w:r>
        <w:fldChar w:fldCharType="separate"/>
      </w:r>
      <w:r>
        <w:t>2</w:t>
      </w:r>
      <w:r>
        <w:fldChar w:fldCharType="end"/>
      </w:r>
      <w:r>
        <w:fldChar w:fldCharType="end"/>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660" w:lineRule="exact"/>
        <w:textAlignment w:val="auto"/>
      </w:pPr>
      <w:r>
        <w:fldChar w:fldCharType="begin"/>
      </w:r>
      <w:r>
        <w:instrText xml:space="preserve"> HYPERLINK \l _Toc29123 </w:instrText>
      </w:r>
      <w:r>
        <w:fldChar w:fldCharType="separate"/>
      </w:r>
      <w:r>
        <w:rPr>
          <w:rFonts w:hint="eastAsia" w:ascii="仿宋" w:hAnsi="仿宋" w:eastAsia="仿宋" w:cs="仿宋"/>
          <w:bCs/>
          <w:kern w:val="0"/>
          <w:szCs w:val="52"/>
        </w:rPr>
        <w:t>估价的假设和限制条件</w:t>
      </w:r>
      <w:r>
        <w:tab/>
      </w:r>
      <w:r>
        <w:fldChar w:fldCharType="begin"/>
      </w:r>
      <w:r>
        <w:instrText xml:space="preserve"> PAGEREF _Toc29123 \h </w:instrText>
      </w:r>
      <w:r>
        <w:fldChar w:fldCharType="separate"/>
      </w:r>
      <w:r>
        <w:t>3</w:t>
      </w:r>
      <w:r>
        <w:fldChar w:fldCharType="end"/>
      </w:r>
      <w:r>
        <w:fldChar w:fldCharType="end"/>
      </w:r>
    </w:p>
    <w:p>
      <w:pPr>
        <w:pStyle w:val="16"/>
        <w:keepNext w:val="0"/>
        <w:keepLines w:val="0"/>
        <w:pageBreakBefore w:val="0"/>
        <w:widowControl w:val="0"/>
        <w:tabs>
          <w:tab w:val="right" w:leader="dot" w:pos="9746"/>
        </w:tabs>
        <w:kinsoku/>
        <w:wordWrap/>
        <w:overflowPunct/>
        <w:topLinePunct w:val="0"/>
        <w:autoSpaceDE/>
        <w:autoSpaceDN/>
        <w:bidi w:val="0"/>
        <w:adjustRightInd/>
        <w:snapToGrid/>
        <w:spacing w:line="660" w:lineRule="exact"/>
        <w:textAlignment w:val="auto"/>
      </w:pPr>
      <w:r>
        <w:fldChar w:fldCharType="begin"/>
      </w:r>
      <w:r>
        <w:instrText xml:space="preserve"> HYPERLINK \l _Toc18996 </w:instrText>
      </w:r>
      <w:r>
        <w:fldChar w:fldCharType="separate"/>
      </w:r>
      <w:r>
        <w:rPr>
          <w:rFonts w:hint="eastAsia" w:ascii="仿宋" w:hAnsi="仿宋" w:eastAsia="仿宋" w:cs="仿宋"/>
          <w:bCs/>
          <w:kern w:val="0"/>
          <w:szCs w:val="52"/>
        </w:rPr>
        <w:t>估价结果报告</w:t>
      </w:r>
      <w:r>
        <w:tab/>
      </w:r>
      <w:r>
        <w:fldChar w:fldCharType="begin"/>
      </w:r>
      <w:r>
        <w:instrText xml:space="preserve"> PAGEREF _Toc18996 \h </w:instrText>
      </w:r>
      <w:r>
        <w:fldChar w:fldCharType="separate"/>
      </w:r>
      <w:r>
        <w:t>5</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_Toc25602 </w:instrText>
      </w:r>
      <w:r>
        <w:fldChar w:fldCharType="separate"/>
      </w:r>
      <w:r>
        <w:rPr>
          <w:rFonts w:hint="eastAsia" w:ascii="仿宋" w:hAnsi="仿宋" w:eastAsia="仿宋" w:cs="仿宋"/>
          <w:kern w:val="0"/>
          <w:szCs w:val="32"/>
        </w:rPr>
        <w:t>一、估价委托方</w:t>
      </w:r>
      <w:r>
        <w:tab/>
      </w:r>
      <w:r>
        <w:fldChar w:fldCharType="begin"/>
      </w:r>
      <w:r>
        <w:instrText xml:space="preserve"> PAGEREF _Toc25602 \h </w:instrText>
      </w:r>
      <w:r>
        <w:fldChar w:fldCharType="separate"/>
      </w:r>
      <w:r>
        <w:t>5</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_Toc20264 </w:instrText>
      </w:r>
      <w:r>
        <w:fldChar w:fldCharType="separate"/>
      </w:r>
      <w:r>
        <w:rPr>
          <w:rFonts w:hint="eastAsia" w:ascii="仿宋" w:hAnsi="仿宋" w:eastAsia="仿宋" w:cs="仿宋"/>
          <w:bCs/>
          <w:kern w:val="0"/>
          <w:szCs w:val="32"/>
        </w:rPr>
        <w:t>二、房地产估价机构</w:t>
      </w:r>
      <w:r>
        <w:tab/>
      </w:r>
      <w:r>
        <w:fldChar w:fldCharType="begin"/>
      </w:r>
      <w:r>
        <w:instrText xml:space="preserve"> PAGEREF _Toc20264 \h </w:instrText>
      </w:r>
      <w:r>
        <w:fldChar w:fldCharType="separate"/>
      </w:r>
      <w:r>
        <w:t>5</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_Toc15925 </w:instrText>
      </w:r>
      <w:r>
        <w:fldChar w:fldCharType="separate"/>
      </w:r>
      <w:r>
        <w:rPr>
          <w:rFonts w:hint="eastAsia" w:ascii="仿宋" w:hAnsi="仿宋" w:eastAsia="仿宋" w:cs="仿宋"/>
          <w:bCs/>
          <w:kern w:val="0"/>
          <w:szCs w:val="32"/>
        </w:rPr>
        <w:t>三、估价目的</w:t>
      </w:r>
      <w:r>
        <w:tab/>
      </w:r>
      <w:r>
        <w:fldChar w:fldCharType="begin"/>
      </w:r>
      <w:r>
        <w:instrText xml:space="preserve"> PAGEREF _Toc15925 \h </w:instrText>
      </w:r>
      <w:r>
        <w:fldChar w:fldCharType="separate"/>
      </w:r>
      <w:r>
        <w:t>5</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_Toc4356 </w:instrText>
      </w:r>
      <w:r>
        <w:fldChar w:fldCharType="separate"/>
      </w:r>
      <w:r>
        <w:rPr>
          <w:rFonts w:hint="eastAsia" w:ascii="仿宋" w:hAnsi="仿宋" w:eastAsia="仿宋" w:cs="仿宋"/>
          <w:bCs/>
          <w:kern w:val="0"/>
          <w:szCs w:val="32"/>
        </w:rPr>
        <w:t>四、估价对象</w:t>
      </w:r>
      <w:r>
        <w:tab/>
      </w:r>
      <w:r>
        <w:fldChar w:fldCharType="begin"/>
      </w:r>
      <w:r>
        <w:instrText xml:space="preserve"> PAGEREF _Toc4356 \h </w:instrText>
      </w:r>
      <w:r>
        <w:fldChar w:fldCharType="separate"/>
      </w:r>
      <w:r>
        <w:t>5</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_Toc25697 </w:instrText>
      </w:r>
      <w:r>
        <w:fldChar w:fldCharType="separate"/>
      </w:r>
      <w:r>
        <w:rPr>
          <w:rFonts w:hint="eastAsia" w:ascii="仿宋" w:hAnsi="仿宋" w:eastAsia="仿宋" w:cs="仿宋"/>
          <w:bCs/>
          <w:kern w:val="0"/>
          <w:szCs w:val="32"/>
        </w:rPr>
        <w:t>五、 价值时点</w:t>
      </w:r>
      <w:r>
        <w:tab/>
      </w:r>
      <w:r>
        <w:fldChar w:fldCharType="begin"/>
      </w:r>
      <w:r>
        <w:instrText xml:space="preserve"> PAGEREF _Toc25697 \h </w:instrText>
      </w:r>
      <w:r>
        <w:fldChar w:fldCharType="separate"/>
      </w:r>
      <w:r>
        <w:t>8</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_Toc17370 </w:instrText>
      </w:r>
      <w:r>
        <w:fldChar w:fldCharType="separate"/>
      </w:r>
      <w:r>
        <w:rPr>
          <w:rFonts w:hint="eastAsia" w:ascii="仿宋" w:hAnsi="仿宋" w:eastAsia="仿宋" w:cs="仿宋"/>
          <w:bCs/>
          <w:kern w:val="0"/>
          <w:szCs w:val="32"/>
        </w:rPr>
        <w:t>六、价值类型</w:t>
      </w:r>
      <w:r>
        <w:tab/>
      </w:r>
      <w:r>
        <w:fldChar w:fldCharType="begin"/>
      </w:r>
      <w:r>
        <w:instrText xml:space="preserve"> PAGEREF _Toc17370 \h </w:instrText>
      </w:r>
      <w:r>
        <w:fldChar w:fldCharType="separate"/>
      </w:r>
      <w:r>
        <w:t>8</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_Toc8686 </w:instrText>
      </w:r>
      <w:r>
        <w:fldChar w:fldCharType="separate"/>
      </w:r>
      <w:r>
        <w:rPr>
          <w:rFonts w:hint="eastAsia" w:ascii="仿宋" w:hAnsi="仿宋" w:eastAsia="仿宋" w:cs="仿宋"/>
          <w:bCs/>
          <w:kern w:val="0"/>
          <w:szCs w:val="32"/>
        </w:rPr>
        <w:t>七、估价原则</w:t>
      </w:r>
      <w:r>
        <w:tab/>
      </w:r>
      <w:r>
        <w:fldChar w:fldCharType="begin"/>
      </w:r>
      <w:r>
        <w:instrText xml:space="preserve"> PAGEREF _Toc8686 \h </w:instrText>
      </w:r>
      <w:r>
        <w:fldChar w:fldCharType="separate"/>
      </w:r>
      <w:r>
        <w:t>8</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_Toc13992 </w:instrText>
      </w:r>
      <w:r>
        <w:fldChar w:fldCharType="separate"/>
      </w:r>
      <w:r>
        <w:rPr>
          <w:rFonts w:hint="eastAsia" w:ascii="仿宋" w:hAnsi="仿宋" w:eastAsia="仿宋" w:cs="仿宋"/>
          <w:bCs/>
          <w:kern w:val="0"/>
          <w:szCs w:val="32"/>
        </w:rPr>
        <w:t>八、估价依据</w:t>
      </w:r>
      <w:r>
        <w:tab/>
      </w:r>
      <w:r>
        <w:fldChar w:fldCharType="begin"/>
      </w:r>
      <w:r>
        <w:instrText xml:space="preserve"> PAGEREF _Toc13992 \h </w:instrText>
      </w:r>
      <w:r>
        <w:fldChar w:fldCharType="separate"/>
      </w:r>
      <w:r>
        <w:t>9</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_Toc15946 </w:instrText>
      </w:r>
      <w:r>
        <w:fldChar w:fldCharType="separate"/>
      </w:r>
      <w:r>
        <w:rPr>
          <w:rFonts w:hint="eastAsia" w:ascii="仿宋" w:hAnsi="仿宋" w:eastAsia="仿宋" w:cs="仿宋"/>
          <w:bCs/>
          <w:kern w:val="0"/>
          <w:szCs w:val="32"/>
        </w:rPr>
        <w:t>九、估价方法</w:t>
      </w:r>
      <w:r>
        <w:tab/>
      </w:r>
      <w:r>
        <w:fldChar w:fldCharType="begin"/>
      </w:r>
      <w:r>
        <w:instrText xml:space="preserve"> PAGEREF _Toc15946 \h </w:instrText>
      </w:r>
      <w:r>
        <w:fldChar w:fldCharType="separate"/>
      </w:r>
      <w:r>
        <w:t>10</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_Toc7649 </w:instrText>
      </w:r>
      <w:r>
        <w:fldChar w:fldCharType="separate"/>
      </w:r>
      <w:r>
        <w:rPr>
          <w:rFonts w:hint="eastAsia" w:ascii="仿宋" w:hAnsi="仿宋" w:eastAsia="仿宋" w:cs="仿宋"/>
          <w:bCs/>
          <w:kern w:val="0"/>
          <w:szCs w:val="32"/>
          <w:lang w:val="en-US" w:eastAsia="zh-CN"/>
        </w:rPr>
        <w:t>十、</w:t>
      </w:r>
      <w:r>
        <w:rPr>
          <w:rFonts w:hint="eastAsia" w:ascii="仿宋" w:hAnsi="仿宋" w:eastAsia="仿宋" w:cs="仿宋"/>
          <w:bCs/>
          <w:kern w:val="0"/>
          <w:szCs w:val="32"/>
        </w:rPr>
        <w:t>估价结果</w:t>
      </w:r>
      <w:r>
        <w:tab/>
      </w:r>
      <w:r>
        <w:fldChar w:fldCharType="begin"/>
      </w:r>
      <w:r>
        <w:instrText xml:space="preserve"> PAGEREF _Toc7649 \h </w:instrText>
      </w:r>
      <w:r>
        <w:fldChar w:fldCharType="separate"/>
      </w:r>
      <w:r>
        <w:t>11</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_Toc985 </w:instrText>
      </w:r>
      <w:r>
        <w:fldChar w:fldCharType="separate"/>
      </w:r>
      <w:r>
        <w:rPr>
          <w:rFonts w:hint="eastAsia" w:ascii="仿宋" w:hAnsi="仿宋" w:eastAsia="仿宋" w:cs="仿宋"/>
          <w:bCs/>
          <w:kern w:val="0"/>
          <w:szCs w:val="32"/>
          <w:lang w:val="en-US" w:eastAsia="zh-CN"/>
        </w:rPr>
        <w:t>十一、</w:t>
      </w:r>
      <w:r>
        <w:rPr>
          <w:rFonts w:hint="eastAsia" w:ascii="仿宋" w:hAnsi="仿宋" w:eastAsia="仿宋" w:cs="仿宋"/>
          <w:kern w:val="0"/>
        </w:rPr>
        <w:t>注册房地产估价师</w:t>
      </w:r>
      <w:r>
        <w:tab/>
      </w:r>
      <w:r>
        <w:fldChar w:fldCharType="begin"/>
      </w:r>
      <w:r>
        <w:instrText xml:space="preserve"> PAGEREF _Toc985 \h </w:instrText>
      </w:r>
      <w:r>
        <w:fldChar w:fldCharType="separate"/>
      </w:r>
      <w:r>
        <w:t>11</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_Toc19247 </w:instrText>
      </w:r>
      <w:r>
        <w:fldChar w:fldCharType="separate"/>
      </w:r>
      <w:r>
        <w:rPr>
          <w:rFonts w:hint="eastAsia" w:ascii="仿宋" w:hAnsi="仿宋" w:eastAsia="仿宋" w:cs="仿宋"/>
          <w:bCs/>
          <w:kern w:val="0"/>
        </w:rPr>
        <w:t>十二、实地查勘期</w:t>
      </w:r>
      <w:r>
        <w:tab/>
      </w:r>
      <w:r>
        <w:fldChar w:fldCharType="begin"/>
      </w:r>
      <w:r>
        <w:instrText xml:space="preserve"> PAGEREF _Toc19247 \h </w:instrText>
      </w:r>
      <w:r>
        <w:fldChar w:fldCharType="separate"/>
      </w:r>
      <w:r>
        <w:t>12</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_Toc13087 </w:instrText>
      </w:r>
      <w:r>
        <w:fldChar w:fldCharType="separate"/>
      </w:r>
      <w:r>
        <w:rPr>
          <w:rFonts w:hint="eastAsia" w:ascii="仿宋" w:hAnsi="仿宋" w:eastAsia="仿宋" w:cs="仿宋"/>
          <w:bCs/>
          <w:kern w:val="0"/>
        </w:rPr>
        <w:t>十三、估价作业日期</w:t>
      </w:r>
      <w:r>
        <w:tab/>
      </w:r>
      <w:r>
        <w:fldChar w:fldCharType="begin"/>
      </w:r>
      <w:r>
        <w:instrText xml:space="preserve"> PAGEREF _Toc13087 \h </w:instrText>
      </w:r>
      <w:r>
        <w:fldChar w:fldCharType="separate"/>
      </w:r>
      <w:r>
        <w:t>12</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_Toc1123 </w:instrText>
      </w:r>
      <w:r>
        <w:fldChar w:fldCharType="separate"/>
      </w:r>
      <w:r>
        <w:rPr>
          <w:rFonts w:hint="eastAsia" w:ascii="仿宋" w:hAnsi="仿宋" w:eastAsia="仿宋" w:cs="仿宋"/>
          <w:bCs/>
          <w:kern w:val="0"/>
        </w:rPr>
        <w:t>十</w:t>
      </w:r>
      <w:r>
        <w:rPr>
          <w:rFonts w:hint="eastAsia" w:ascii="仿宋" w:hAnsi="仿宋" w:eastAsia="仿宋" w:cs="仿宋"/>
          <w:bCs/>
          <w:kern w:val="0"/>
          <w:lang w:val="en-US" w:eastAsia="zh-CN"/>
        </w:rPr>
        <w:t>四</w:t>
      </w:r>
      <w:r>
        <w:rPr>
          <w:rFonts w:hint="eastAsia" w:ascii="仿宋" w:hAnsi="仿宋" w:eastAsia="仿宋" w:cs="仿宋"/>
          <w:bCs/>
          <w:kern w:val="0"/>
        </w:rPr>
        <w:t>、估价报告应用的有效期</w:t>
      </w:r>
      <w:r>
        <w:tab/>
      </w:r>
      <w:r>
        <w:fldChar w:fldCharType="begin"/>
      </w:r>
      <w:r>
        <w:instrText xml:space="preserve"> PAGEREF _Toc1123 \h </w:instrText>
      </w:r>
      <w:r>
        <w:fldChar w:fldCharType="separate"/>
      </w:r>
      <w:r>
        <w:t>12</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_Toc27789 </w:instrText>
      </w:r>
      <w:r>
        <w:fldChar w:fldCharType="separate"/>
      </w:r>
      <w:r>
        <w:rPr>
          <w:rFonts w:hint="eastAsia" w:ascii="仿宋" w:hAnsi="仿宋" w:eastAsia="仿宋" w:cs="仿宋"/>
          <w:bCs/>
          <w:kern w:val="0"/>
        </w:rPr>
        <w:t>十五、其它需要特别说明的事项</w:t>
      </w:r>
      <w:r>
        <w:tab/>
      </w:r>
      <w:r>
        <w:fldChar w:fldCharType="begin"/>
      </w:r>
      <w:r>
        <w:instrText xml:space="preserve"> PAGEREF _Toc27789 \h </w:instrText>
      </w:r>
      <w:r>
        <w:fldChar w:fldCharType="separate"/>
      </w:r>
      <w:r>
        <w:t>12</w:t>
      </w:r>
      <w:r>
        <w:fldChar w:fldCharType="end"/>
      </w:r>
      <w:r>
        <w:fldChar w:fldCharType="end"/>
      </w:r>
    </w:p>
    <w:p>
      <w:pPr>
        <w:pStyle w:val="19"/>
        <w:keepNext w:val="0"/>
        <w:keepLines w:val="0"/>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fldChar w:fldCharType="begin"/>
      </w:r>
      <w:r>
        <w:instrText xml:space="preserve"> HYPERLINK \l _Toc31395 </w:instrText>
      </w:r>
      <w:r>
        <w:fldChar w:fldCharType="separate"/>
      </w:r>
      <w:r>
        <w:rPr>
          <w:rFonts w:hint="eastAsia" w:ascii="仿宋" w:hAnsi="仿宋" w:eastAsia="仿宋" w:cs="仿宋"/>
          <w:bCs/>
          <w:kern w:val="0"/>
          <w:szCs w:val="44"/>
        </w:rPr>
        <w:t>附     件</w:t>
      </w:r>
      <w:r>
        <w:tab/>
      </w:r>
      <w:r>
        <w:fldChar w:fldCharType="begin"/>
      </w:r>
      <w:r>
        <w:instrText xml:space="preserve"> PAGEREF _Toc31395 \h </w:instrText>
      </w:r>
      <w:r>
        <w:fldChar w:fldCharType="separate"/>
      </w:r>
      <w:r>
        <w:t>13</w:t>
      </w:r>
      <w:r>
        <w:fldChar w:fldCharType="end"/>
      </w:r>
      <w:r>
        <w:fldChar w:fldCharType="end"/>
      </w:r>
    </w:p>
    <w:p>
      <w:r>
        <w:fldChar w:fldCharType="end"/>
      </w:r>
    </w:p>
    <w:p>
      <w:pPr>
        <w:rPr>
          <w:rFonts w:hint="eastAsia" w:ascii="仿宋" w:hAnsi="仿宋" w:eastAsia="仿宋" w:cs="仿宋"/>
          <w:szCs w:val="24"/>
        </w:rPr>
      </w:pPr>
      <w:r>
        <w:rPr>
          <w:rFonts w:hint="eastAsia" w:ascii="仿宋" w:hAnsi="仿宋" w:eastAsia="仿宋" w:cs="仿宋"/>
          <w:szCs w:val="24"/>
        </w:rPr>
        <w:br w:type="page"/>
      </w:r>
    </w:p>
    <w:bookmarkEnd w:id="0"/>
    <w:p>
      <w:pPr>
        <w:pStyle w:val="2"/>
        <w:spacing w:before="0" w:after="0"/>
        <w:jc w:val="center"/>
        <w:rPr>
          <w:rFonts w:hint="eastAsia" w:ascii="仿宋" w:hAnsi="仿宋" w:eastAsia="仿宋" w:cs="仿宋"/>
          <w:b/>
          <w:bCs/>
          <w:kern w:val="0"/>
          <w:sz w:val="52"/>
          <w:szCs w:val="52"/>
        </w:rPr>
      </w:pPr>
      <w:bookmarkStart w:id="1" w:name="_Toc21724"/>
      <w:bookmarkStart w:id="2" w:name="_Toc32530"/>
      <w:bookmarkStart w:id="3" w:name="_Toc457460265"/>
      <w:bookmarkStart w:id="4" w:name="_Toc6790"/>
      <w:bookmarkStart w:id="5" w:name="_Toc386011000"/>
      <w:bookmarkStart w:id="6" w:name="_Toc4218"/>
      <w:bookmarkStart w:id="7" w:name="_Toc4967"/>
      <w:bookmarkStart w:id="8" w:name="_Toc29413"/>
      <w:bookmarkStart w:id="9" w:name="_Toc13744"/>
      <w:r>
        <w:rPr>
          <w:rFonts w:hint="eastAsia" w:ascii="仿宋" w:hAnsi="仿宋" w:eastAsia="仿宋" w:cs="仿宋"/>
          <w:b/>
          <w:bCs/>
          <w:kern w:val="0"/>
          <w:sz w:val="52"/>
          <w:szCs w:val="52"/>
        </w:rPr>
        <w:t>估价师声明</w:t>
      </w:r>
      <w:bookmarkEnd w:id="1"/>
      <w:bookmarkEnd w:id="2"/>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所有参加估价的注册房地产估价师郑重申明：</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一、注册房地产估价师在执行估价业务中，严格遵循相关法律法规和估价规范对注册房地产估价师的估价职业道德要求。</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 xml:space="preserve">二、注册房地产估价师具备估价业务所需的专业胜任能力。 </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三、注册房地产估价师估价业务中勤勉尽责，搜集合法、真实、准确、完整的估价所需资料，对搜集的估价所需资料进行检查，并对估价对象进行实地查勘。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四、注册房地产估价师在估价报告中对事实的说明是真实和准确的，没有虚假记载、误导性陈述和重大遗漏。</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五、估价报告中的分析、意见和结论是注册房地产估价师独立、客观、公正的专业分析、意见和结论，但受到估价报告中已说明的估价假设和限制条件的限制。</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六、注册房地产估价师与估价报告中的估价对象没有现实或潜在的利益，与估价委托方及估价利害关系人没有利害关系，也对估价对象、估价委托方及估价利害关系人没有偏见。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七、注册房地产估价师是按照《房地产估价规范》GB/T50291-2015、《房地产估价基本术语标准》GB/T50899—2013、等房地产估价标准的规定进行估价工作，撰写估价报告。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八、本估价报告没有专业帮助、未依据相关专业意见。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p>
    <w:tbl>
      <w:tblPr>
        <w:tblStyle w:val="23"/>
        <w:tblW w:w="0" w:type="auto"/>
        <w:jc w:val="center"/>
        <w:tblLayout w:type="fixed"/>
        <w:tblCellMar>
          <w:top w:w="0" w:type="dxa"/>
          <w:left w:w="108" w:type="dxa"/>
          <w:bottom w:w="0" w:type="dxa"/>
          <w:right w:w="108" w:type="dxa"/>
        </w:tblCellMar>
      </w:tblPr>
      <w:tblGrid>
        <w:gridCol w:w="2718"/>
        <w:gridCol w:w="3660"/>
        <w:gridCol w:w="3542"/>
      </w:tblGrid>
      <w:tr>
        <w:tblPrEx>
          <w:tblCellMar>
            <w:top w:w="0" w:type="dxa"/>
            <w:left w:w="108" w:type="dxa"/>
            <w:bottom w:w="0" w:type="dxa"/>
            <w:right w:w="108" w:type="dxa"/>
          </w:tblCellMar>
        </w:tblPrEx>
        <w:trPr>
          <w:trHeight w:val="768" w:hRule="atLeast"/>
          <w:jc w:val="center"/>
        </w:trPr>
        <w:tc>
          <w:tcPr>
            <w:tcW w:w="271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   名</w:t>
            </w:r>
          </w:p>
        </w:tc>
        <w:tc>
          <w:tcPr>
            <w:tcW w:w="366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54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71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542"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71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542" w:type="dxa"/>
            <w:tcBorders>
              <w:top w:val="nil"/>
              <w:left w:val="nil"/>
              <w:bottom w:val="single" w:color="auto" w:sz="4" w:space="0"/>
              <w:right w:val="single" w:color="auto" w:sz="4" w:space="0"/>
            </w:tcBorders>
            <w:noWrap w:val="0"/>
            <w:vAlign w:val="top"/>
          </w:tcPr>
          <w:p>
            <w:pPr>
              <w:widowControl/>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bl>
    <w:p>
      <w:pPr>
        <w:overflowPunct w:val="0"/>
        <w:topLinePunct/>
        <w:adjustRightInd w:val="0"/>
        <w:snapToGrid w:val="0"/>
        <w:spacing w:line="300" w:lineRule="auto"/>
        <w:ind w:firstLine="560" w:firstLineChars="200"/>
        <w:jc w:val="left"/>
        <w:rPr>
          <w:rFonts w:hint="eastAsia" w:ascii="仿宋" w:hAnsi="仿宋" w:eastAsia="仿宋" w:cs="仿宋"/>
          <w:bCs/>
          <w:sz w:val="28"/>
        </w:rPr>
      </w:pPr>
      <w:r>
        <w:rPr>
          <w:rFonts w:hint="eastAsia" w:ascii="仿宋" w:hAnsi="仿宋" w:eastAsia="仿宋" w:cs="仿宋"/>
          <w:bCs/>
          <w:sz w:val="28"/>
        </w:rPr>
        <w:t xml:space="preserve">    </w:t>
      </w:r>
    </w:p>
    <w:p>
      <w:pPr>
        <w:overflowPunct w:val="0"/>
        <w:topLinePunct/>
        <w:adjustRightInd w:val="0"/>
        <w:snapToGrid w:val="0"/>
        <w:spacing w:line="300" w:lineRule="auto"/>
        <w:ind w:firstLine="6746" w:firstLineChars="2400"/>
        <w:jc w:val="both"/>
        <w:rPr>
          <w:rFonts w:hint="eastAsia" w:ascii="仿宋" w:hAnsi="仿宋" w:eastAsia="仿宋" w:cs="仿宋"/>
          <w:color w:val="000000"/>
          <w:kern w:val="0"/>
          <w:sz w:val="28"/>
          <w:szCs w:val="28"/>
        </w:rPr>
      </w:pPr>
      <w:r>
        <w:rPr>
          <w:rFonts w:hint="eastAsia" w:ascii="仿宋" w:hAnsi="仿宋" w:eastAsia="仿宋" w:cs="仿宋"/>
          <w:b/>
          <w:bCs/>
          <w:sz w:val="28"/>
          <w:szCs w:val="28"/>
          <w:lang w:val="en-US" w:eastAsia="zh-CN"/>
        </w:rPr>
        <w:t>二〇二二年六月十四日</w:t>
      </w: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pStyle w:val="2"/>
        <w:spacing w:before="0" w:after="0"/>
        <w:jc w:val="center"/>
        <w:rPr>
          <w:rFonts w:hint="eastAsia" w:ascii="仿宋" w:hAnsi="仿宋" w:eastAsia="仿宋" w:cs="仿宋"/>
          <w:b/>
          <w:bCs/>
          <w:kern w:val="0"/>
          <w:sz w:val="52"/>
          <w:szCs w:val="52"/>
        </w:rPr>
      </w:pPr>
      <w:bookmarkStart w:id="10" w:name="_Toc9153"/>
      <w:bookmarkStart w:id="11" w:name="_Toc461005127"/>
      <w:bookmarkStart w:id="12" w:name="_Toc29123"/>
      <w:bookmarkStart w:id="13" w:name="_Toc522795031"/>
      <w:r>
        <w:rPr>
          <w:rFonts w:hint="eastAsia" w:ascii="仿宋" w:hAnsi="仿宋" w:eastAsia="仿宋" w:cs="仿宋"/>
          <w:b/>
          <w:bCs/>
          <w:kern w:val="0"/>
          <w:sz w:val="52"/>
          <w:szCs w:val="52"/>
        </w:rPr>
        <w:t>估价的假设和限制条件</w:t>
      </w:r>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一、一般性假设</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（一）假设估价对象能够持续正常使用；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（三）注册房地产估价师对房屋安全、环境污染等影响估价对象价值或价格的重大因素给予了关注，无理由怀疑估价对象存在安全隐患且无相应的专业机构进行鉴定、检测，假定估价对象不存在房屋安全隐患。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（四）公开市场假设。公开市场是形成市场价格的市场，市场价格是在价值时点预期能够成交的正常价格。它们依据了如下假设：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1、交易双方是自愿地进行交易的；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2、交易双方是出于利己动机进行交易的；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3、买卖双方的交易行为都是精明和谨慎的；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4、交易双方有较充裕的时间进行交易；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5、在此周期内，市场状况和价格水平是静止不动的；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6、不考虑特殊买家的附加出价，也未考虑国家宏观经济政策发生变化以及遇有自然力和其他不可抗力对资产价格的影响。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7、当前述条件情况发生变动时，估价结果一般会失效。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（五）根据估价委托人提供《国有土地使用权证》，估价对象的土地使用权类型为划拨。</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4" w:name="_Toc522795032"/>
      <w:r>
        <w:rPr>
          <w:rFonts w:hint="eastAsia" w:ascii="仿宋" w:hAnsi="仿宋" w:eastAsia="仿宋" w:cs="仿宋"/>
          <w:b/>
          <w:bCs/>
          <w:color w:val="000000"/>
          <w:sz w:val="28"/>
          <w:szCs w:val="28"/>
        </w:rPr>
        <w:t>二、未定事项假设</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无未定事项假。</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5" w:name="_Toc522795033"/>
      <w:r>
        <w:rPr>
          <w:rFonts w:hint="eastAsia" w:ascii="仿宋" w:hAnsi="仿宋" w:eastAsia="仿宋" w:cs="仿宋"/>
          <w:b/>
          <w:bCs/>
          <w:color w:val="000000"/>
          <w:sz w:val="28"/>
          <w:szCs w:val="28"/>
        </w:rPr>
        <w:t>三、背离事实假设</w:t>
      </w:r>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根据《房地产估价规范》(GB/T50291-2015)5.4.2.2条规定，结合本次估价目的是为人民法院确定财产处置参考价提供参考依据而评估房地产市场价值，故不考虑估价对象可能存在的抵押、查封、欠款等事项的影响。</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6" w:name="_Toc522795034"/>
      <w:r>
        <w:rPr>
          <w:rFonts w:hint="eastAsia" w:ascii="仿宋" w:hAnsi="仿宋" w:eastAsia="仿宋" w:cs="仿宋"/>
          <w:b/>
          <w:bCs/>
          <w:color w:val="000000"/>
          <w:sz w:val="28"/>
          <w:szCs w:val="28"/>
        </w:rPr>
        <w:t>四、不相一致假设</w:t>
      </w:r>
      <w:bookmarkEnd w:id="16"/>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无不相一致假设。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7" w:name="_Toc522795035"/>
      <w:r>
        <w:rPr>
          <w:rFonts w:hint="eastAsia" w:ascii="仿宋" w:hAnsi="仿宋" w:eastAsia="仿宋" w:cs="仿宋"/>
          <w:b/>
          <w:bCs/>
          <w:color w:val="000000"/>
          <w:sz w:val="28"/>
          <w:szCs w:val="28"/>
          <w:lang w:val="en-US" w:eastAsia="zh-CN"/>
        </w:rPr>
        <w:t>五、依据不足假设</w:t>
      </w:r>
      <w:bookmarkEnd w:id="17"/>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outlineLvl w:val="9"/>
        <w:rPr>
          <w:rFonts w:hint="eastAsia" w:eastAsia="仿宋_GB2312"/>
          <w:color w:val="000000"/>
          <w:sz w:val="26"/>
          <w:szCs w:val="26"/>
          <w:lang w:val="en-US" w:eastAsia="zh-CN"/>
        </w:rPr>
      </w:pPr>
      <w:bookmarkStart w:id="18" w:name="_Toc522795036"/>
      <w:r>
        <w:rPr>
          <w:rFonts w:hint="eastAsia" w:eastAsia="仿宋_GB2312"/>
          <w:color w:val="000000"/>
          <w:sz w:val="26"/>
          <w:szCs w:val="26"/>
          <w:lang w:val="en-US" w:eastAsia="zh-CN"/>
        </w:rPr>
        <w:t>无依据不足假设。</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六、估价报告使用限制</w:t>
      </w:r>
      <w:bookmarkEnd w:id="18"/>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（一）本估价报告及估价结果仅用于报告载明之估价目的使用，不得用于报告载明估价目的之外的用途使用。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非为法律、行政法规的需要，报告及附件的全部或部分内容不得向委托方和评估审查部门以外的单位和个人提供，未经委托单位许可，不得见诸于公开媒体、复制或引证。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因使用不当产生的后果，与本估价机构及注册房地产估价师无关。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（二）本估价报告有效期限为一年，从估价报告出具日期之日起计算，估价目的在报告有效期内实现的，可以本估价报告及估价结果作参考。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估价目的在报告有限期之后实现的，不能以本估价报告及估价结果作参考，应重新进行估价。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价值时点后估价报告有效期以内若估价对象数量或价格水平发生重大变化，对估价结果产生明显影响时，委托方或相关当事方应及时聘请估价机构重新确定估价结果。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bookmarkStart w:id="19" w:name="_Toc522795037"/>
      <w:r>
        <w:rPr>
          <w:rFonts w:hint="eastAsia" w:ascii="仿宋" w:hAnsi="仿宋" w:eastAsia="仿宋" w:cs="仿宋"/>
          <w:b/>
          <w:bCs/>
          <w:sz w:val="28"/>
          <w:szCs w:val="28"/>
          <w:lang w:val="en-US" w:eastAsia="zh-CN"/>
        </w:rPr>
        <w:t>七、使用估价报告和估价结果时需要注意的其他事项</w:t>
      </w:r>
      <w:bookmarkEnd w:id="19"/>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（一）本估价报告提供的估价结果是在假设和限制条件及特殊说明事项下于价值时点的公开市场价格（包含建筑物应分摊的土地使用权价值）。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（二）本估价报告的估价目的为委托方案件执行提供价值参考依据，报告形成的估价结果，仅供相关方参考。相关数额由相关双方根据市场风险、兑现难易和政府有关税费缴纳规定等情况确定。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（三）本报告的估价结果是估价对象在价值时点现状利用状况下的价值，并不是房地产开发完成后的价值或售价，在此提请估价报告使用方注意。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本公司注册房地产估价师已对本估价报告中的估价对象进行了实地查勘，但仅限于对估价对象建筑外观及目前使用状况。我们不承担对估价对象建筑结构、质量进行调查、核实的责任，也不承担对被遮盖、未暴露及难以接触到的部分进行检视的责任。</w:t>
      </w:r>
    </w:p>
    <w:p>
      <w:pPr>
        <w:rPr>
          <w:rFonts w:hint="eastAsia"/>
        </w:rPr>
      </w:pPr>
      <w:bookmarkStart w:id="20" w:name="_Toc286074109"/>
      <w:bookmarkStart w:id="21" w:name="_Toc522795038"/>
    </w:p>
    <w:p>
      <w:pPr>
        <w:rPr>
          <w:rFonts w:hint="eastAsia"/>
        </w:rPr>
      </w:pPr>
    </w:p>
    <w:p>
      <w:pPr>
        <w:rPr>
          <w:rFonts w:hint="eastAsia"/>
        </w:rPr>
      </w:pPr>
    </w:p>
    <w:p>
      <w:pPr>
        <w:rPr>
          <w:rFonts w:hint="eastAsia"/>
        </w:rPr>
      </w:pPr>
    </w:p>
    <w:p>
      <w:pPr>
        <w:rPr>
          <w:rFonts w:hint="eastAsia"/>
        </w:rPr>
      </w:pPr>
    </w:p>
    <w:p>
      <w:pPr>
        <w:rPr>
          <w:rFonts w:hint="eastAsia"/>
        </w:rPr>
      </w:pPr>
    </w:p>
    <w:p>
      <w:pPr>
        <w:pStyle w:val="2"/>
        <w:pageBreakBefore w:val="0"/>
        <w:kinsoku/>
        <w:wordWrap/>
        <w:overflowPunct/>
        <w:topLinePunct w:val="0"/>
        <w:autoSpaceDE/>
        <w:autoSpaceDN/>
        <w:bidi w:val="0"/>
        <w:adjustRightInd/>
        <w:snapToGrid/>
        <w:spacing w:before="0" w:after="0" w:line="500" w:lineRule="exact"/>
        <w:jc w:val="center"/>
        <w:textAlignment w:val="auto"/>
        <w:rPr>
          <w:rFonts w:hint="eastAsia" w:ascii="仿宋" w:hAnsi="仿宋" w:eastAsia="仿宋" w:cs="仿宋"/>
          <w:b/>
          <w:bCs/>
          <w:kern w:val="0"/>
          <w:sz w:val="52"/>
          <w:szCs w:val="52"/>
        </w:rPr>
      </w:pPr>
      <w:bookmarkStart w:id="22" w:name="_Toc19991"/>
      <w:bookmarkStart w:id="23" w:name="_Toc18996"/>
      <w:r>
        <w:rPr>
          <w:rFonts w:hint="eastAsia" w:ascii="仿宋" w:hAnsi="仿宋" w:eastAsia="仿宋" w:cs="仿宋"/>
          <w:b/>
          <w:bCs/>
          <w:kern w:val="0"/>
          <w:sz w:val="52"/>
          <w:szCs w:val="52"/>
        </w:rPr>
        <w:t>估价结果报告</w:t>
      </w:r>
      <w:bookmarkEnd w:id="20"/>
      <w:bookmarkEnd w:id="21"/>
      <w:bookmarkEnd w:id="22"/>
      <w:bookmarkEnd w:id="23"/>
    </w:p>
    <w:p>
      <w:pPr>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Cs w:val="21"/>
          <w:lang w:eastAsia="zh-CN"/>
        </w:rPr>
      </w:pPr>
      <w:r>
        <w:rPr>
          <w:rFonts w:hint="eastAsia" w:ascii="仿宋" w:hAnsi="仿宋" w:eastAsia="仿宋" w:cs="仿宋"/>
          <w:b/>
          <w:bCs/>
          <w:szCs w:val="21"/>
          <w:lang w:eastAsia="zh-CN"/>
        </w:rPr>
        <w:t>黔昊远房估字（2022）06011号</w:t>
      </w:r>
    </w:p>
    <w:p>
      <w:pPr>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500" w:lineRule="exact"/>
        <w:textAlignment w:val="auto"/>
        <w:rPr>
          <w:rFonts w:hint="eastAsia" w:ascii="仿宋" w:hAnsi="仿宋" w:eastAsia="仿宋" w:cs="仿宋"/>
          <w:color w:val="464646"/>
          <w:kern w:val="0"/>
          <w:sz w:val="28"/>
          <w:szCs w:val="28"/>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kern w:val="0"/>
          <w:sz w:val="32"/>
          <w:szCs w:val="32"/>
        </w:rPr>
      </w:pPr>
      <w:bookmarkStart w:id="24" w:name="_Toc286074110"/>
      <w:bookmarkStart w:id="25" w:name="_Toc522795039"/>
      <w:bookmarkStart w:id="26" w:name="_Toc12022"/>
      <w:bookmarkStart w:id="27" w:name="_Toc25602"/>
      <w:r>
        <w:rPr>
          <w:rFonts w:hint="eastAsia" w:ascii="仿宋" w:hAnsi="仿宋" w:eastAsia="仿宋" w:cs="仿宋"/>
          <w:kern w:val="0"/>
          <w:sz w:val="32"/>
          <w:szCs w:val="32"/>
        </w:rPr>
        <w:t>一、估价委托</w:t>
      </w:r>
      <w:bookmarkEnd w:id="24"/>
      <w:r>
        <w:rPr>
          <w:rFonts w:hint="eastAsia" w:ascii="仿宋" w:hAnsi="仿宋" w:eastAsia="仿宋" w:cs="仿宋"/>
          <w:kern w:val="0"/>
          <w:sz w:val="32"/>
          <w:szCs w:val="32"/>
        </w:rPr>
        <w:t>方</w:t>
      </w:r>
      <w:bookmarkEnd w:id="25"/>
      <w:bookmarkEnd w:id="26"/>
      <w:bookmarkEnd w:id="27"/>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单位名称：台江县人民法院</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联 系 人：杨法官                               联系电话：18085576535</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地    址：贵州省台江县秀眉大道148号</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28" w:name="_Toc522795040"/>
      <w:bookmarkStart w:id="29" w:name="_Toc15842"/>
      <w:bookmarkStart w:id="30" w:name="_Toc20264"/>
      <w:r>
        <w:rPr>
          <w:rFonts w:hint="eastAsia" w:ascii="仿宋" w:hAnsi="仿宋" w:eastAsia="仿宋" w:cs="仿宋"/>
          <w:b/>
          <w:bCs/>
          <w:kern w:val="0"/>
          <w:sz w:val="32"/>
          <w:szCs w:val="32"/>
        </w:rPr>
        <w:t>二、房地产估价机构</w:t>
      </w:r>
      <w:bookmarkEnd w:id="28"/>
      <w:bookmarkEnd w:id="29"/>
      <w:bookmarkEnd w:id="30"/>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名      称：贵州昊远房地产土地评估有限公司</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住      所：贵阳市云岩区新添大道南段金耀华庭商住楼1单元7层6号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法定代表人：覃剑</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统一社会信用代码：915201030590702657</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经 营 范 围：房地产评估，宗地地价评估，地价咨询(涉及许可证的凭证经营)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房地产估价机构备案等级：贰级</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房地产估价机构备案证书编号：筑房评估字：A2013013</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1" w:name="_Toc522795041"/>
      <w:bookmarkStart w:id="32" w:name="_Toc15925"/>
      <w:bookmarkStart w:id="33" w:name="_Toc18676"/>
      <w:r>
        <w:rPr>
          <w:rFonts w:hint="eastAsia" w:ascii="仿宋" w:hAnsi="仿宋" w:eastAsia="仿宋" w:cs="仿宋"/>
          <w:b/>
          <w:bCs/>
          <w:kern w:val="0"/>
          <w:sz w:val="32"/>
          <w:szCs w:val="32"/>
        </w:rPr>
        <w:t>三、估价目的</w:t>
      </w:r>
      <w:bookmarkEnd w:id="31"/>
      <w:bookmarkEnd w:id="32"/>
      <w:bookmarkEnd w:id="33"/>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本次估价目的是为人民法院确定财产处置参考价提供参考依据而评估房地产市场价值。</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4" w:name="_Toc286074112"/>
      <w:bookmarkStart w:id="35" w:name="_Toc23274"/>
      <w:bookmarkStart w:id="36" w:name="_Toc522795042"/>
      <w:bookmarkStart w:id="37" w:name="_Toc4356"/>
      <w:r>
        <w:rPr>
          <w:rFonts w:hint="eastAsia" w:ascii="仿宋" w:hAnsi="仿宋" w:eastAsia="仿宋" w:cs="仿宋"/>
          <w:b/>
          <w:bCs/>
          <w:kern w:val="0"/>
          <w:sz w:val="32"/>
          <w:szCs w:val="32"/>
        </w:rPr>
        <w:t>四、</w:t>
      </w:r>
      <w:bookmarkEnd w:id="34"/>
      <w:r>
        <w:rPr>
          <w:rFonts w:hint="eastAsia" w:ascii="仿宋" w:hAnsi="仿宋" w:eastAsia="仿宋" w:cs="仿宋"/>
          <w:b/>
          <w:bCs/>
          <w:kern w:val="0"/>
          <w:sz w:val="32"/>
          <w:szCs w:val="32"/>
        </w:rPr>
        <w:t>估价对象</w:t>
      </w:r>
      <w:bookmarkEnd w:id="35"/>
      <w:bookmarkEnd w:id="36"/>
      <w:bookmarkEnd w:id="37"/>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bookmarkStart w:id="38" w:name="_Toc286074113"/>
      <w:r>
        <w:rPr>
          <w:rFonts w:hint="eastAsia" w:ascii="仿宋" w:hAnsi="仿宋" w:eastAsia="仿宋" w:cs="仿宋"/>
          <w:sz w:val="28"/>
          <w:szCs w:val="28"/>
        </w:rPr>
        <w:t>（一）估价对象范围及用途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对象：位于贵州省台江县台拱镇解放东路一栋的住宅用房，房屋建筑面积616.15平方米，其中龙本安、欧兴兰所属的2、4层面积为292.73平方米；龙本平、张祖英所属的1、3层面积为323.42平方米，用途为：住宅，产权人为：龙本安、欧兴兰，龙本平、张祖英；</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eastAsia="zh-CN"/>
        </w:rPr>
        <w:t>。</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rPr>
        <w:t>（二）估价对象权益状况</w:t>
      </w:r>
    </w:p>
    <w:p>
      <w:pPr>
        <w:pStyle w:val="5"/>
        <w:keepNext/>
        <w:keepLines/>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val="en-US" w:eastAsia="zh-CN"/>
        </w:rPr>
        <w:t>估价对象</w:t>
      </w:r>
      <w:r>
        <w:rPr>
          <w:rFonts w:hint="eastAsia" w:ascii="仿宋" w:hAnsi="仿宋" w:eastAsia="仿宋" w:cs="仿宋"/>
          <w:color w:val="auto"/>
        </w:rPr>
        <w:t>权益状况</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根据估价委托人提供的《房屋所有权证》，估价对象房屋的权益状况如下：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798"/>
        <w:gridCol w:w="1140"/>
        <w:gridCol w:w="1020"/>
        <w:gridCol w:w="765"/>
        <w:gridCol w:w="1088"/>
        <w:gridCol w:w="996"/>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9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房屋所有权人</w:t>
            </w:r>
          </w:p>
        </w:tc>
        <w:tc>
          <w:tcPr>
            <w:tcW w:w="179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产权证号</w:t>
            </w:r>
          </w:p>
        </w:tc>
        <w:tc>
          <w:tcPr>
            <w:tcW w:w="114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共有情况</w:t>
            </w:r>
          </w:p>
        </w:tc>
        <w:tc>
          <w:tcPr>
            <w:tcW w:w="102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房屋坐落</w:t>
            </w:r>
          </w:p>
        </w:tc>
        <w:tc>
          <w:tcPr>
            <w:tcW w:w="76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规划用途</w:t>
            </w:r>
          </w:p>
        </w:tc>
        <w:tc>
          <w:tcPr>
            <w:tcW w:w="108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所在层数/总层数</w:t>
            </w:r>
          </w:p>
        </w:tc>
        <w:tc>
          <w:tcPr>
            <w:tcW w:w="996"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建筑面积（㎡）</w:t>
            </w:r>
          </w:p>
        </w:tc>
        <w:tc>
          <w:tcPr>
            <w:tcW w:w="1203"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登记时间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19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龙本安</w:t>
            </w:r>
          </w:p>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欧兴兰</w:t>
            </w:r>
          </w:p>
        </w:tc>
        <w:tc>
          <w:tcPr>
            <w:tcW w:w="179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台房权证台江县字第201500505号</w:t>
            </w:r>
          </w:p>
        </w:tc>
        <w:tc>
          <w:tcPr>
            <w:tcW w:w="114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共同共有</w:t>
            </w:r>
          </w:p>
        </w:tc>
        <w:tc>
          <w:tcPr>
            <w:tcW w:w="102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台拱镇解放东路</w:t>
            </w:r>
          </w:p>
        </w:tc>
        <w:tc>
          <w:tcPr>
            <w:tcW w:w="76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成套住宅</w:t>
            </w:r>
          </w:p>
        </w:tc>
        <w:tc>
          <w:tcPr>
            <w:tcW w:w="108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2、4层/4层</w:t>
            </w:r>
          </w:p>
        </w:tc>
        <w:tc>
          <w:tcPr>
            <w:tcW w:w="996"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292.73</w:t>
            </w:r>
          </w:p>
        </w:tc>
        <w:tc>
          <w:tcPr>
            <w:tcW w:w="1203"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2015年7月22日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龙本平</w:t>
            </w:r>
          </w:p>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张祖英</w:t>
            </w:r>
          </w:p>
        </w:tc>
        <w:tc>
          <w:tcPr>
            <w:tcW w:w="179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台房权证台江县字第201500506号</w:t>
            </w:r>
          </w:p>
        </w:tc>
        <w:tc>
          <w:tcPr>
            <w:tcW w:w="114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共同共有</w:t>
            </w:r>
          </w:p>
        </w:tc>
        <w:tc>
          <w:tcPr>
            <w:tcW w:w="102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台拱镇解放东路</w:t>
            </w:r>
          </w:p>
        </w:tc>
        <w:tc>
          <w:tcPr>
            <w:tcW w:w="76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成套住宅</w:t>
            </w:r>
          </w:p>
        </w:tc>
        <w:tc>
          <w:tcPr>
            <w:tcW w:w="108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1、3层/4层</w:t>
            </w:r>
          </w:p>
        </w:tc>
        <w:tc>
          <w:tcPr>
            <w:tcW w:w="996"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323.42</w:t>
            </w:r>
          </w:p>
        </w:tc>
        <w:tc>
          <w:tcPr>
            <w:tcW w:w="1203"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2015年7月22日</w:t>
            </w:r>
          </w:p>
        </w:tc>
      </w:tr>
    </w:tbl>
    <w:p>
      <w:pPr>
        <w:keepNext w:val="0"/>
        <w:keepLines w:val="0"/>
        <w:pageBreakBefore w:val="0"/>
        <w:widowControl w:val="0"/>
        <w:kinsoku/>
        <w:wordWrap/>
        <w:overflowPunct w:val="0"/>
        <w:topLinePunct/>
        <w:autoSpaceDE/>
        <w:autoSpaceDN/>
        <w:bidi w:val="0"/>
        <w:adjustRightInd w:val="0"/>
        <w:snapToGrid w:val="0"/>
        <w:spacing w:line="240" w:lineRule="exact"/>
        <w:ind w:firstLine="520" w:firstLineChars="200"/>
        <w:jc w:val="both"/>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 xml:space="preserve">  </w:t>
      </w:r>
    </w:p>
    <w:p>
      <w:pPr>
        <w:keepNext w:val="0"/>
        <w:keepLines w:val="0"/>
        <w:pageBreakBefore w:val="0"/>
        <w:widowControl w:val="0"/>
        <w:kinsoku/>
        <w:wordWrap/>
        <w:overflowPunct w:val="0"/>
        <w:topLinePunct/>
        <w:autoSpaceDE/>
        <w:autoSpaceDN/>
        <w:bidi w:val="0"/>
        <w:adjustRightInd w:val="0"/>
        <w:snapToGrid w:val="0"/>
        <w:spacing w:line="440" w:lineRule="exact"/>
        <w:ind w:firstLine="520" w:firstLineChars="200"/>
        <w:jc w:val="both"/>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根据估价委托人提供的《国有土地使用权证》，估价对象土地使用权的权益状况如下：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334"/>
        <w:gridCol w:w="1109"/>
        <w:gridCol w:w="1020"/>
        <w:gridCol w:w="1676"/>
        <w:gridCol w:w="1068"/>
        <w:gridCol w:w="86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8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土地使用权人</w:t>
            </w:r>
          </w:p>
        </w:tc>
        <w:tc>
          <w:tcPr>
            <w:tcW w:w="1334"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产权证号</w:t>
            </w:r>
          </w:p>
        </w:tc>
        <w:tc>
          <w:tcPr>
            <w:tcW w:w="1109"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座落</w:t>
            </w:r>
          </w:p>
        </w:tc>
        <w:tc>
          <w:tcPr>
            <w:tcW w:w="102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地号</w:t>
            </w:r>
          </w:p>
        </w:tc>
        <w:tc>
          <w:tcPr>
            <w:tcW w:w="1676"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图号</w:t>
            </w:r>
          </w:p>
        </w:tc>
        <w:tc>
          <w:tcPr>
            <w:tcW w:w="106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地类（用途）</w:t>
            </w:r>
          </w:p>
        </w:tc>
        <w:tc>
          <w:tcPr>
            <w:tcW w:w="86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使用权类型</w:t>
            </w:r>
          </w:p>
        </w:tc>
        <w:tc>
          <w:tcPr>
            <w:tcW w:w="103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使用权面积（㎡）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8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龙本安</w:t>
            </w:r>
          </w:p>
        </w:tc>
        <w:tc>
          <w:tcPr>
            <w:tcW w:w="1334"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台国用（2015）第30号</w:t>
            </w:r>
          </w:p>
        </w:tc>
        <w:tc>
          <w:tcPr>
            <w:tcW w:w="1109"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台拱镇解放东路58号</w:t>
            </w:r>
          </w:p>
        </w:tc>
        <w:tc>
          <w:tcPr>
            <w:tcW w:w="102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01023032</w:t>
            </w:r>
          </w:p>
        </w:tc>
        <w:tc>
          <w:tcPr>
            <w:tcW w:w="1676"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2951.25-36531.11</w:t>
            </w:r>
          </w:p>
        </w:tc>
        <w:tc>
          <w:tcPr>
            <w:tcW w:w="106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城镇单一住宅用地</w:t>
            </w:r>
          </w:p>
        </w:tc>
        <w:tc>
          <w:tcPr>
            <w:tcW w:w="86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划拨</w:t>
            </w:r>
          </w:p>
        </w:tc>
        <w:tc>
          <w:tcPr>
            <w:tcW w:w="103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135.15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龙本平</w:t>
            </w:r>
          </w:p>
        </w:tc>
        <w:tc>
          <w:tcPr>
            <w:tcW w:w="1334"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台国用（2015）第31号</w:t>
            </w:r>
          </w:p>
        </w:tc>
        <w:tc>
          <w:tcPr>
            <w:tcW w:w="1109"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ascii="Times New Roman" w:hAnsi="Times New Roman" w:eastAsia="仿宋_GB2312" w:cs="Times New Roman"/>
                <w:color w:val="auto"/>
                <w:kern w:val="2"/>
                <w:sz w:val="20"/>
                <w:szCs w:val="20"/>
                <w:vertAlign w:val="baseline"/>
                <w:lang w:val="en-US" w:eastAsia="zh-CN" w:bidi="ar-SA"/>
              </w:rPr>
            </w:pPr>
            <w:r>
              <w:rPr>
                <w:rFonts w:hint="eastAsia" w:eastAsia="仿宋_GB2312"/>
                <w:color w:val="auto"/>
                <w:sz w:val="20"/>
                <w:szCs w:val="20"/>
                <w:vertAlign w:val="baseline"/>
                <w:lang w:val="en-US" w:eastAsia="zh-CN"/>
              </w:rPr>
              <w:t>台拱镇解放东路58号</w:t>
            </w:r>
          </w:p>
        </w:tc>
        <w:tc>
          <w:tcPr>
            <w:tcW w:w="1020"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ascii="Times New Roman" w:hAnsi="Times New Roman" w:eastAsia="仿宋_GB2312" w:cs="Times New Roman"/>
                <w:color w:val="auto"/>
                <w:kern w:val="2"/>
                <w:sz w:val="20"/>
                <w:szCs w:val="20"/>
                <w:vertAlign w:val="baseline"/>
                <w:lang w:val="en-US" w:eastAsia="zh-CN" w:bidi="ar-SA"/>
              </w:rPr>
            </w:pPr>
            <w:r>
              <w:rPr>
                <w:rFonts w:hint="eastAsia" w:eastAsia="仿宋_GB2312"/>
                <w:color w:val="auto"/>
                <w:sz w:val="20"/>
                <w:szCs w:val="20"/>
                <w:vertAlign w:val="baseline"/>
                <w:lang w:val="en-US" w:eastAsia="zh-CN"/>
              </w:rPr>
              <w:t>01023032</w:t>
            </w:r>
          </w:p>
        </w:tc>
        <w:tc>
          <w:tcPr>
            <w:tcW w:w="1676"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2951.25-36531.1</w:t>
            </w:r>
          </w:p>
        </w:tc>
        <w:tc>
          <w:tcPr>
            <w:tcW w:w="1068"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城镇单一住宅用地</w:t>
            </w:r>
          </w:p>
        </w:tc>
        <w:tc>
          <w:tcPr>
            <w:tcW w:w="86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default"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划拨</w:t>
            </w:r>
          </w:p>
        </w:tc>
        <w:tc>
          <w:tcPr>
            <w:tcW w:w="1035" w:type="dxa"/>
            <w:vAlign w:val="center"/>
          </w:tcPr>
          <w:p>
            <w:pPr>
              <w:keepNext w:val="0"/>
              <w:keepLines w:val="0"/>
              <w:pageBreakBefore w:val="0"/>
              <w:widowControl w:val="0"/>
              <w:kinsoku/>
              <w:wordWrap/>
              <w:overflowPunct w:val="0"/>
              <w:topLinePunct/>
              <w:autoSpaceDE/>
              <w:autoSpaceDN/>
              <w:bidi w:val="0"/>
              <w:adjustRightInd w:val="0"/>
              <w:snapToGrid w:val="0"/>
              <w:spacing w:line="240" w:lineRule="exact"/>
              <w:jc w:val="center"/>
              <w:textAlignment w:val="auto"/>
              <w:rPr>
                <w:rFonts w:hint="eastAsia" w:eastAsia="仿宋_GB2312"/>
                <w:color w:val="auto"/>
                <w:sz w:val="20"/>
                <w:szCs w:val="20"/>
                <w:vertAlign w:val="baseline"/>
                <w:lang w:val="en-US" w:eastAsia="zh-CN"/>
              </w:rPr>
            </w:pPr>
            <w:r>
              <w:rPr>
                <w:rFonts w:hint="eastAsia" w:eastAsia="仿宋_GB2312"/>
                <w:color w:val="auto"/>
                <w:sz w:val="20"/>
                <w:szCs w:val="20"/>
                <w:vertAlign w:val="baseline"/>
                <w:lang w:val="en-US" w:eastAsia="zh-CN"/>
              </w:rPr>
              <w:t>135.15</w:t>
            </w:r>
          </w:p>
        </w:tc>
      </w:tr>
    </w:tbl>
    <w:p>
      <w:pPr>
        <w:pStyle w:val="5"/>
        <w:keepNext/>
        <w:keepLines/>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ascii="仿宋" w:hAnsi="仿宋" w:eastAsia="仿宋" w:cs="仿宋"/>
          <w:color w:val="auto"/>
          <w:lang w:val="en-US" w:eastAsia="zh-CN"/>
        </w:rPr>
        <w:t>2、</w:t>
      </w:r>
      <w:r>
        <w:rPr>
          <w:rFonts w:hint="eastAsia" w:ascii="仿宋" w:hAnsi="仿宋" w:eastAsia="仿宋" w:cs="仿宋"/>
          <w:color w:val="auto"/>
        </w:rPr>
        <w:t>他项权利设立状况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估价委托人提供的《贵州省不动产权登记查询结果》及《不动产登记证明》显示，估价对象有抵押、查封的状态。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估价对象实物状况</w:t>
      </w:r>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000000"/>
          <w:sz w:val="26"/>
          <w:szCs w:val="26"/>
          <w:lang w:val="en-US" w:eastAsia="zh-CN"/>
        </w:rPr>
      </w:pPr>
      <w:r>
        <w:rPr>
          <w:rFonts w:hint="default" w:ascii="Times New Roman" w:hAnsi="Times New Roman" w:eastAsia="仿宋_GB2312" w:cs="Times New Roman"/>
          <w:color w:val="000000"/>
          <w:sz w:val="26"/>
          <w:szCs w:val="26"/>
          <w:lang w:val="en-US" w:eastAsia="zh-CN"/>
        </w:rPr>
        <w:t>估价对象基本情况：估价对象</w:t>
      </w:r>
      <w:r>
        <w:rPr>
          <w:rFonts w:hint="eastAsia" w:ascii="Times New Roman" w:hAnsi="Times New Roman" w:eastAsia="仿宋_GB2312" w:cs="Times New Roman"/>
          <w:color w:val="000000"/>
          <w:sz w:val="26"/>
          <w:szCs w:val="26"/>
          <w:lang w:val="en-US" w:eastAsia="zh-CN"/>
        </w:rPr>
        <w:t>位于</w:t>
      </w:r>
      <w:r>
        <w:rPr>
          <w:rFonts w:hint="eastAsia" w:eastAsia="仿宋_GB2312" w:cs="Times New Roman"/>
          <w:color w:val="000000"/>
          <w:sz w:val="26"/>
          <w:szCs w:val="26"/>
          <w:lang w:val="en-US" w:eastAsia="zh-CN"/>
        </w:rPr>
        <w:t>贵州省台江县台拱镇解放东路一栋</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估价对象所在楼栋共</w:t>
      </w:r>
      <w:r>
        <w:rPr>
          <w:rFonts w:hint="eastAsia" w:eastAsia="仿宋_GB2312" w:cs="Times New Roman"/>
          <w:color w:val="000000"/>
          <w:sz w:val="26"/>
          <w:szCs w:val="26"/>
          <w:lang w:val="en-US" w:eastAsia="zh-CN"/>
        </w:rPr>
        <w:t>4</w:t>
      </w:r>
      <w:r>
        <w:rPr>
          <w:rFonts w:hint="eastAsia" w:ascii="Times New Roman" w:hAnsi="Times New Roman" w:eastAsia="仿宋_GB2312" w:cs="Times New Roman"/>
          <w:color w:val="000000"/>
          <w:sz w:val="26"/>
          <w:szCs w:val="26"/>
          <w:lang w:val="en-US" w:eastAsia="zh-CN"/>
        </w:rPr>
        <w:t>层，估价对象位于第</w:t>
      </w:r>
      <w:r>
        <w:rPr>
          <w:rFonts w:hint="eastAsia" w:eastAsia="仿宋_GB2312" w:cs="Times New Roman"/>
          <w:color w:val="000000"/>
          <w:sz w:val="26"/>
          <w:szCs w:val="26"/>
          <w:lang w:val="en-US" w:eastAsia="zh-CN"/>
        </w:rPr>
        <w:t>1-4</w:t>
      </w:r>
      <w:r>
        <w:rPr>
          <w:rFonts w:hint="eastAsia" w:ascii="Times New Roman" w:hAnsi="Times New Roman" w:eastAsia="仿宋_GB2312" w:cs="Times New Roman"/>
          <w:color w:val="000000"/>
          <w:sz w:val="26"/>
          <w:szCs w:val="26"/>
          <w:lang w:val="en-US" w:eastAsia="zh-CN"/>
        </w:rPr>
        <w:t>层；约建于</w:t>
      </w:r>
      <w:r>
        <w:rPr>
          <w:rFonts w:hint="eastAsia" w:eastAsia="仿宋_GB2312" w:cs="Times New Roman"/>
          <w:color w:val="000000"/>
          <w:sz w:val="26"/>
          <w:szCs w:val="26"/>
          <w:lang w:val="en-US" w:eastAsia="zh-CN"/>
        </w:rPr>
        <w:t>2015</w:t>
      </w:r>
      <w:r>
        <w:rPr>
          <w:rFonts w:hint="eastAsia" w:ascii="Times New Roman" w:hAnsi="Times New Roman" w:eastAsia="仿宋_GB2312" w:cs="Times New Roman"/>
          <w:color w:val="000000"/>
          <w:sz w:val="26"/>
          <w:szCs w:val="26"/>
          <w:lang w:val="en-US" w:eastAsia="zh-CN"/>
        </w:rPr>
        <w:t>年</w:t>
      </w:r>
      <w:r>
        <w:rPr>
          <w:rFonts w:hint="eastAsia" w:eastAsia="仿宋_GB2312" w:cs="Times New Roman"/>
          <w:color w:val="000000"/>
          <w:sz w:val="26"/>
          <w:szCs w:val="26"/>
          <w:lang w:val="en-US" w:eastAsia="zh-CN"/>
        </w:rPr>
        <w:t>；估价对象有入户院落，入围墙，</w:t>
      </w:r>
      <w:r>
        <w:rPr>
          <w:rFonts w:hint="eastAsia" w:ascii="Times New Roman" w:hAnsi="Times New Roman" w:eastAsia="仿宋_GB2312" w:cs="Times New Roman"/>
          <w:color w:val="000000"/>
          <w:sz w:val="26"/>
          <w:szCs w:val="26"/>
          <w:lang w:val="en-US" w:eastAsia="zh-CN"/>
        </w:rPr>
        <w:t>外观形象</w:t>
      </w:r>
      <w:r>
        <w:rPr>
          <w:rFonts w:hint="eastAsia" w:eastAsia="仿宋_GB2312" w:cs="Times New Roman"/>
          <w:color w:val="000000"/>
          <w:sz w:val="26"/>
          <w:szCs w:val="26"/>
          <w:lang w:val="en-US" w:eastAsia="zh-CN"/>
        </w:rPr>
        <w:t>一般，亮化程度一般</w:t>
      </w:r>
      <w:r>
        <w:rPr>
          <w:rFonts w:hint="eastAsia" w:ascii="Times New Roman" w:hAnsi="Times New Roman" w:eastAsia="仿宋_GB2312" w:cs="Times New Roman"/>
          <w:color w:val="000000"/>
          <w:sz w:val="26"/>
          <w:szCs w:val="26"/>
          <w:lang w:val="en-US" w:eastAsia="zh-CN"/>
        </w:rPr>
        <w:t>；</w:t>
      </w:r>
      <w:r>
        <w:rPr>
          <w:rFonts w:hint="default" w:ascii="Times New Roman" w:hAnsi="Times New Roman" w:eastAsia="仿宋_GB2312" w:cs="Times New Roman"/>
          <w:color w:val="000000"/>
          <w:sz w:val="26"/>
          <w:szCs w:val="26"/>
          <w:lang w:val="en-US" w:eastAsia="zh-CN"/>
        </w:rPr>
        <w:t>水、电</w:t>
      </w:r>
      <w:r>
        <w:rPr>
          <w:rFonts w:hint="eastAsia" w:ascii="Times New Roman" w:hAnsi="Times New Roman" w:eastAsia="仿宋_GB2312" w:cs="Times New Roman"/>
          <w:color w:val="000000"/>
          <w:sz w:val="26"/>
          <w:szCs w:val="26"/>
          <w:lang w:val="en-US" w:eastAsia="zh-CN"/>
        </w:rPr>
        <w:t>、</w:t>
      </w:r>
      <w:r>
        <w:rPr>
          <w:rFonts w:hint="eastAsia" w:eastAsia="仿宋_GB2312"/>
          <w:color w:val="000000"/>
          <w:sz w:val="26"/>
          <w:szCs w:val="26"/>
          <w:lang w:val="en-US" w:eastAsia="zh-CN"/>
        </w:rPr>
        <w:t>消防</w:t>
      </w:r>
      <w:r>
        <w:rPr>
          <w:rFonts w:hint="eastAsia" w:ascii="Times New Roman" w:hAnsi="Times New Roman" w:eastAsia="仿宋_GB2312" w:cs="Times New Roman"/>
          <w:color w:val="000000"/>
          <w:sz w:val="26"/>
          <w:szCs w:val="26"/>
          <w:lang w:val="en-US" w:eastAsia="zh-CN"/>
        </w:rPr>
        <w:t>；</w:t>
      </w:r>
      <w:r>
        <w:rPr>
          <w:rFonts w:hint="default" w:ascii="Times New Roman" w:hAnsi="Times New Roman" w:eastAsia="仿宋_GB2312" w:cs="Times New Roman"/>
          <w:color w:val="000000"/>
          <w:sz w:val="26"/>
          <w:szCs w:val="26"/>
          <w:lang w:val="en-US" w:eastAsia="zh-CN"/>
        </w:rPr>
        <w:t>周围道路硬化及绿化</w:t>
      </w:r>
      <w:r>
        <w:rPr>
          <w:rFonts w:hint="eastAsia" w:ascii="Times New Roman" w:hAnsi="Times New Roman" w:eastAsia="仿宋_GB2312" w:cs="Times New Roman"/>
          <w:color w:val="000000"/>
          <w:sz w:val="26"/>
          <w:szCs w:val="26"/>
          <w:lang w:val="en-US" w:eastAsia="zh-CN"/>
        </w:rPr>
        <w:t>环境</w:t>
      </w:r>
      <w:r>
        <w:rPr>
          <w:rFonts w:hint="eastAsia" w:eastAsia="仿宋_GB2312" w:cs="Times New Roman"/>
          <w:color w:val="000000"/>
          <w:sz w:val="26"/>
          <w:szCs w:val="26"/>
          <w:lang w:val="en-US" w:eastAsia="zh-CN"/>
        </w:rPr>
        <w:t>一般</w:t>
      </w:r>
      <w:r>
        <w:rPr>
          <w:rFonts w:hint="default" w:ascii="Times New Roman" w:hAnsi="Times New Roman" w:eastAsia="仿宋_GB2312" w:cs="Times New Roman"/>
          <w:color w:val="000000"/>
          <w:sz w:val="26"/>
          <w:szCs w:val="26"/>
          <w:lang w:val="en-US" w:eastAsia="zh-CN"/>
        </w:rPr>
        <w:t>；</w:t>
      </w:r>
      <w:r>
        <w:rPr>
          <w:rFonts w:hint="eastAsia" w:ascii="Times New Roman" w:hAnsi="Times New Roman" w:eastAsia="仿宋_GB2312" w:cs="Times New Roman"/>
          <w:color w:val="000000"/>
          <w:sz w:val="26"/>
          <w:szCs w:val="26"/>
          <w:lang w:val="en-US" w:eastAsia="zh-CN"/>
        </w:rPr>
        <w:t>周围基础设施以及物业管理水平</w:t>
      </w:r>
      <w:r>
        <w:rPr>
          <w:rFonts w:hint="eastAsia" w:eastAsia="仿宋_GB2312" w:cs="Times New Roman"/>
          <w:color w:val="000000"/>
          <w:sz w:val="26"/>
          <w:szCs w:val="26"/>
          <w:lang w:val="en-US" w:eastAsia="zh-CN"/>
        </w:rPr>
        <w:t>一般</w:t>
      </w:r>
      <w:r>
        <w:rPr>
          <w:rFonts w:hint="default"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1估价对象土地使用权实体状况</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1.1名称：</w:t>
      </w:r>
      <w:r>
        <w:rPr>
          <w:rFonts w:hint="eastAsia" w:eastAsia="仿宋_GB2312" w:cs="Times New Roman"/>
          <w:color w:val="000000"/>
          <w:sz w:val="26"/>
          <w:szCs w:val="26"/>
          <w:lang w:val="en-US" w:eastAsia="zh-CN"/>
        </w:rPr>
        <w:t>贵州省台江县台拱镇解放东路一栋</w:t>
      </w:r>
      <w:r>
        <w:rPr>
          <w:rFonts w:hint="eastAsia" w:ascii="Times New Roman" w:hAnsi="Times New Roman" w:eastAsia="仿宋_GB2312" w:cs="Times New Roman"/>
          <w:color w:val="000000"/>
          <w:sz w:val="26"/>
          <w:szCs w:val="26"/>
          <w:lang w:val="en-US" w:eastAsia="zh-CN"/>
        </w:rPr>
        <w:t>住宅楼。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1.2四至及临街状况：</w:t>
      </w:r>
      <w:r>
        <w:rPr>
          <w:rFonts w:hint="eastAsia" w:eastAsia="仿宋_GB2312" w:cs="Times New Roman"/>
          <w:color w:val="000000"/>
          <w:sz w:val="26"/>
          <w:szCs w:val="26"/>
          <w:lang w:val="en-US" w:eastAsia="zh-CN"/>
        </w:rPr>
        <w:t>贵州省台江县台拱镇解放东路一栋</w:t>
      </w:r>
      <w:r>
        <w:rPr>
          <w:rFonts w:hint="eastAsia" w:ascii="Times New Roman" w:hAnsi="Times New Roman" w:eastAsia="仿宋_GB2312" w:cs="Times New Roman"/>
          <w:color w:val="000000"/>
          <w:sz w:val="26"/>
          <w:szCs w:val="26"/>
          <w:lang w:val="en-US" w:eastAsia="zh-CN"/>
        </w:rPr>
        <w:t>住宅楼</w:t>
      </w:r>
      <w:r>
        <w:rPr>
          <w:rFonts w:hint="eastAsia" w:eastAsia="仿宋_GB2312"/>
          <w:color w:val="000000"/>
          <w:sz w:val="26"/>
          <w:szCs w:val="26"/>
          <w:lang w:val="en-US" w:eastAsia="zh-CN"/>
        </w:rPr>
        <w:t>项目，估价对象项目位于觖放东路与上水卡巷交汇处，北临其他住宅，东临上水卡巷，西临其他住宅，南临觖放东路；估价对象项目一面临街，临觖放东路。</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1.3用途：住宅</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1.4形状：较规则</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1.5地形地势：地势较平坦</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1.6地质：地基承载力一般，地质条件一般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1.7土壤：无污染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1.8土地开发程度：土地开发程度为“五通一平”（通路、通上水、通下水、通电、通讯、土地平整）</w:t>
      </w:r>
    </w:p>
    <w:p>
      <w:pPr>
        <w:numPr>
          <w:ilvl w:val="0"/>
          <w:numId w:val="0"/>
        </w:numPr>
        <w:adjustRightInd w:val="0"/>
        <w:snapToGrid w:val="0"/>
        <w:spacing w:line="440" w:lineRule="exact"/>
        <w:ind w:firstLine="562" w:firstLineChars="200"/>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2估价对象建筑物实物状况</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2.1名称：</w:t>
      </w:r>
      <w:r>
        <w:rPr>
          <w:rFonts w:hint="eastAsia" w:eastAsia="仿宋_GB2312" w:cs="Times New Roman"/>
          <w:color w:val="000000"/>
          <w:sz w:val="26"/>
          <w:szCs w:val="26"/>
          <w:lang w:val="en-US" w:eastAsia="zh-CN"/>
        </w:rPr>
        <w:t>贵州省台江县台拱镇解放东路一栋</w:t>
      </w:r>
      <w:r>
        <w:rPr>
          <w:rFonts w:hint="eastAsia" w:ascii="Times New Roman" w:hAnsi="Times New Roman" w:eastAsia="仿宋_GB2312" w:cs="Times New Roman"/>
          <w:color w:val="000000"/>
          <w:sz w:val="26"/>
          <w:szCs w:val="26"/>
          <w:lang w:val="en-US" w:eastAsia="zh-CN"/>
        </w:rPr>
        <w:t>住宅楼；</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2.2建筑规模：建筑面积616.15平方米，其中龙本安、欧兴兰所属的2、4层面积为292.73平方米；龙本平、张祖英所属的1、3层面积为323.42平方米；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2.3层数：总层数为4层</w:t>
      </w:r>
      <w:r>
        <w:rPr>
          <w:rFonts w:hint="eastAsia" w:ascii="Times New Roman" w:hAnsi="Times New Roman" w:eastAsia="仿宋_GB2312" w:cs="Times New Roman"/>
          <w:color w:val="000000"/>
          <w:sz w:val="26"/>
          <w:szCs w:val="26"/>
          <w:lang w:val="en-US" w:eastAsia="zh-CN"/>
        </w:rPr>
        <w:t>，估价对象位于第</w:t>
      </w:r>
      <w:r>
        <w:rPr>
          <w:rFonts w:hint="eastAsia" w:eastAsia="仿宋_GB2312" w:cs="Times New Roman"/>
          <w:color w:val="000000"/>
          <w:sz w:val="26"/>
          <w:szCs w:val="26"/>
          <w:lang w:val="en-US" w:eastAsia="zh-CN"/>
        </w:rPr>
        <w:t>1-4</w:t>
      </w:r>
      <w:r>
        <w:rPr>
          <w:rFonts w:hint="eastAsia" w:ascii="Times New Roman" w:hAnsi="Times New Roman" w:eastAsia="仿宋_GB2312" w:cs="Times New Roman"/>
          <w:color w:val="000000"/>
          <w:sz w:val="26"/>
          <w:szCs w:val="26"/>
          <w:lang w:val="en-US" w:eastAsia="zh-CN"/>
        </w:rPr>
        <w:t>层</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2.4建筑结构：混合结构。</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2.5层高：室内层高约2.8米。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2.6空间布局：每层平面布局，整体使用。</w:t>
      </w:r>
    </w:p>
    <w:p>
      <w:pPr>
        <w:numPr>
          <w:ilvl w:val="0"/>
          <w:numId w:val="0"/>
        </w:numPr>
        <w:adjustRightInd w:val="0"/>
        <w:snapToGrid w:val="0"/>
        <w:spacing w:line="440" w:lineRule="exact"/>
        <w:ind w:firstLine="520" w:firstLineChars="200"/>
        <w:rPr>
          <w:rFonts w:hint="default" w:eastAsia="仿宋_GB2312" w:cs="Times New Roman"/>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2.7装饰装修：</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估价对象外墙</w:t>
      </w:r>
      <w:r>
        <w:rPr>
          <w:rFonts w:hint="eastAsia" w:eastAsia="仿宋_GB2312" w:cs="Times New Roman"/>
          <w:color w:val="000000" w:themeColor="text1"/>
          <w:sz w:val="26"/>
          <w:szCs w:val="26"/>
          <w:lang w:val="en-US" w:eastAsia="zh-CN"/>
          <w14:textFill>
            <w14:solidFill>
              <w14:schemeClr w14:val="tx1"/>
            </w14:solidFill>
          </w14:textFill>
        </w:rPr>
        <w:t>贴墙砖</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w:t>
      </w:r>
      <w:r>
        <w:rPr>
          <w:rFonts w:hint="eastAsia" w:eastAsia="仿宋_GB2312" w:cs="Times New Roman"/>
          <w:color w:val="000000"/>
          <w:sz w:val="26"/>
          <w:szCs w:val="26"/>
          <w:lang w:val="en-US" w:eastAsia="zh-CN"/>
        </w:rPr>
        <w:t>估价对象一楼有入户院落，入围墙</w:t>
      </w:r>
      <w:r>
        <w:rPr>
          <w:rFonts w:hint="eastAsia" w:eastAsia="仿宋_GB2312" w:cs="Times New Roman"/>
          <w:color w:val="000000" w:themeColor="text1"/>
          <w:sz w:val="26"/>
          <w:szCs w:val="26"/>
          <w:lang w:val="en-US" w:eastAsia="zh-CN"/>
          <w14:textFill>
            <w14:solidFill>
              <w14:schemeClr w14:val="tx1"/>
            </w14:solidFill>
          </w14:textFill>
        </w:rPr>
        <w:t>；1层</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室内户型：</w:t>
      </w:r>
      <w:r>
        <w:rPr>
          <w:rFonts w:hint="eastAsia" w:eastAsia="仿宋_GB2312" w:cs="Times New Roman"/>
          <w:color w:val="000000" w:themeColor="text1"/>
          <w:sz w:val="26"/>
          <w:szCs w:val="26"/>
          <w:lang w:val="en-US" w:eastAsia="zh-CN"/>
          <w14:textFill>
            <w14:solidFill>
              <w14:schemeClr w14:val="tx1"/>
            </w14:solidFill>
          </w14:textFill>
        </w:rPr>
        <w:t>4客厅2卧室1厨房1卫生间，室内地面铺地砖，墙面刮瓷粉，顶棚石膏吊顶，厨房、卫生间铺地砖，贴墙砖，铝扣板吊顶；室内墙面部分石膏有脱落。2-3层室内户型：3室2厅1厨2卫1衣帽衣间，室内地面铺木地板，部分铺地砖，墙面刮瓷粉，顶棚石膏吊顶，厨房、卫生间铺地砖，贴墙砖，铝扣板吊顶。4层室内户型：2室2厅1厨2卫1衣帽衣间，室内地面铺木地板，部分铺地砖，墙面刮瓷粉，顶棚石膏吊顶，厨房、卫生间铺地砖，贴墙砖，铝扣板吊顶。房屋屋顶为坡屋面。</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2.8设施设备；估价对象水、电、消防。</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2.9物业管理：物业管理一般。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3.0维护及完损状况：房屋地基稳固，基础完好；无墙体开裂，地面凸起、凹陷，门窗破损等现象，估价对象一层石膏部分有脱落；外观成新状况一般，维护情况一般，现场勘查为八成新。</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四</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估价对象区位状况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4.1位置状况：估价对象位于</w:t>
      </w:r>
      <w:r>
        <w:rPr>
          <w:rFonts w:hint="eastAsia" w:eastAsia="仿宋_GB2312" w:cs="Times New Roman"/>
          <w:color w:val="000000"/>
          <w:sz w:val="26"/>
          <w:szCs w:val="26"/>
          <w:lang w:val="en-US" w:eastAsia="zh-CN"/>
        </w:rPr>
        <w:t>贵州省台江县台拱镇解放东路一栋</w:t>
      </w:r>
      <w:r>
        <w:rPr>
          <w:rFonts w:hint="eastAsia" w:eastAsia="仿宋_GB2312"/>
          <w:color w:val="000000"/>
          <w:sz w:val="26"/>
          <w:szCs w:val="26"/>
          <w:lang w:val="en-US" w:eastAsia="zh-CN"/>
        </w:rPr>
        <w:t>，与所在区域内商场、医院、学校、银行等重要设施服务半径短；</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4.2交通状况：估价对象所在位置外联道路有解放东路、东门巷、文昌东路，道路状况较优，通达度较优；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4.3出行可利用交通工具：附近有3条公交线路，1路、2路、3路，区域内有城镇大巴及城市出租车通过；</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4.4环境状况：周边自然环境一般，空气噪声污染一般，治安状况一般，人文环境一般，区域内有公园、休闲广场、购物场所等；</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4.5外部配套设施状况：估价对象所在区域道路、给排水、电力、电讯等基础设施较完备，周边金融机构：中国农业银行；教育机构：台江县第二中学、城关镇第一小学、台江县示范性幼儿园；医疗机构：台江县民族中医院；区域内有零售商场农贸市场等生活配套；区域内金融机构、教育机构、医疗机构、行政事业机构较完善；</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4.6区位状况优劣度分析：估价对象所在区域基础设施及公共设施一般，繁华度一般，人流量一般，交通一般，区位状况一般。</w:t>
      </w:r>
    </w:p>
    <w:p>
      <w:pPr>
        <w:pStyle w:val="3"/>
        <w:keepNext/>
        <w:keepLines/>
        <w:pageBreakBefore w:val="0"/>
        <w:widowControl w:val="0"/>
        <w:numPr>
          <w:ilvl w:val="0"/>
          <w:numId w:val="1"/>
        </w:numPr>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9" w:name="_Toc25697"/>
      <w:bookmarkStart w:id="40" w:name="_Toc522795047"/>
      <w:bookmarkStart w:id="41" w:name="_Toc15224"/>
      <w:r>
        <w:rPr>
          <w:rFonts w:hint="eastAsia" w:ascii="仿宋" w:hAnsi="仿宋" w:eastAsia="仿宋" w:cs="仿宋"/>
          <w:b/>
          <w:bCs/>
          <w:kern w:val="0"/>
          <w:sz w:val="32"/>
          <w:szCs w:val="32"/>
        </w:rPr>
        <w:t>价值时点</w:t>
      </w:r>
      <w:bookmarkEnd w:id="39"/>
      <w:bookmarkEnd w:id="40"/>
      <w:bookmarkEnd w:id="41"/>
    </w:p>
    <w:p>
      <w:pPr>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本次价值时点为2022年05月27日，</w:t>
      </w:r>
      <w:r>
        <w:rPr>
          <w:rFonts w:hint="eastAsia" w:eastAsia="仿宋_GB2312"/>
          <w:color w:val="auto"/>
          <w:sz w:val="26"/>
          <w:szCs w:val="26"/>
          <w:lang w:val="en-US" w:eastAsia="zh-CN"/>
        </w:rPr>
        <w:t>为完成估价对象实地查勘之日</w:t>
      </w:r>
      <w:r>
        <w:rPr>
          <w:rFonts w:hint="eastAsia" w:eastAsia="仿宋_GB2312"/>
          <w:color w:val="000000"/>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42" w:name="_Toc522795048"/>
      <w:bookmarkStart w:id="43" w:name="_Toc17370"/>
      <w:bookmarkStart w:id="44" w:name="_Toc1714"/>
      <w:r>
        <w:rPr>
          <w:rFonts w:hint="eastAsia" w:ascii="仿宋" w:hAnsi="仿宋" w:eastAsia="仿宋" w:cs="仿宋"/>
          <w:b/>
          <w:bCs/>
          <w:kern w:val="0"/>
          <w:sz w:val="32"/>
          <w:szCs w:val="32"/>
        </w:rPr>
        <w:t>六、价值类型</w:t>
      </w:r>
      <w:bookmarkEnd w:id="38"/>
      <w:bookmarkEnd w:id="42"/>
      <w:bookmarkEnd w:id="43"/>
      <w:bookmarkEnd w:id="44"/>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本报告估价结果是反映估价对象在价值时点的公开</w:t>
      </w:r>
      <w:bookmarkStart w:id="45" w:name="OLE_LINK6"/>
      <w:r>
        <w:rPr>
          <w:rFonts w:hint="eastAsia" w:eastAsia="仿宋_GB2312"/>
          <w:color w:val="000000"/>
          <w:sz w:val="26"/>
          <w:szCs w:val="26"/>
          <w:lang w:val="en-US" w:eastAsia="zh-CN"/>
        </w:rPr>
        <w:t>市场价值</w:t>
      </w:r>
      <w:bookmarkEnd w:id="45"/>
      <w:r>
        <w:rPr>
          <w:rFonts w:hint="eastAsia" w:eastAsia="仿宋_GB2312"/>
          <w:color w:val="000000"/>
          <w:sz w:val="26"/>
          <w:szCs w:val="26"/>
          <w:lang w:val="en-US" w:eastAsia="zh-CN"/>
        </w:rPr>
        <w:t>（包含应分摊的土地使用权价格）。</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eastAsia" w:ascii="仿宋" w:hAnsi="仿宋" w:eastAsia="仿宋" w:cs="仿宋"/>
          <w:b/>
          <w:bCs/>
          <w:kern w:val="0"/>
          <w:sz w:val="32"/>
          <w:szCs w:val="32"/>
        </w:rPr>
      </w:pPr>
      <w:bookmarkStart w:id="46" w:name="_Toc522795049"/>
      <w:bookmarkStart w:id="47" w:name="_Toc3525"/>
      <w:bookmarkStart w:id="48" w:name="_Toc8686"/>
      <w:r>
        <w:rPr>
          <w:rFonts w:hint="eastAsia" w:ascii="仿宋" w:hAnsi="仿宋" w:eastAsia="仿宋" w:cs="仿宋"/>
          <w:b/>
          <w:bCs/>
          <w:kern w:val="0"/>
          <w:sz w:val="32"/>
          <w:szCs w:val="32"/>
        </w:rPr>
        <w:t>七、估价原则</w:t>
      </w:r>
      <w:bookmarkEnd w:id="46"/>
      <w:bookmarkEnd w:id="47"/>
      <w:bookmarkEnd w:id="48"/>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bookmarkStart w:id="49" w:name="_Toc286074115"/>
      <w:r>
        <w:rPr>
          <w:rFonts w:eastAsia="仿宋_GB2312"/>
          <w:sz w:val="26"/>
          <w:szCs w:val="26"/>
        </w:rPr>
        <w:t>本次估价遵循了独立、客观、公正原则、合法原则、最高最佳使用原则、替代原则、价值时点原则。</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kern w:val="0"/>
          <w:sz w:val="26"/>
          <w:szCs w:val="26"/>
        </w:rPr>
      </w:pPr>
      <w:r>
        <w:rPr>
          <w:rFonts w:hint="eastAsia" w:eastAsia="仿宋_GB2312"/>
          <w:kern w:val="0"/>
          <w:sz w:val="26"/>
          <w:szCs w:val="26"/>
        </w:rPr>
        <w:t>1、</w:t>
      </w:r>
      <w:r>
        <w:rPr>
          <w:rFonts w:eastAsia="仿宋_GB2312"/>
          <w:sz w:val="26"/>
          <w:szCs w:val="26"/>
        </w:rPr>
        <w:t>独立、客观、公正原则：</w:t>
      </w:r>
      <w:r>
        <w:rPr>
          <w:rFonts w:hint="eastAsia" w:eastAsia="仿宋_GB2312"/>
          <w:sz w:val="26"/>
          <w:szCs w:val="26"/>
        </w:rPr>
        <w:t>要求站在中立的立场上，实事求是、公平正直地评估出对各方估价利害关系人均是公平合理的价值或价格的原则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r>
        <w:rPr>
          <w:rFonts w:hint="eastAsia" w:eastAsia="仿宋_GB2312"/>
          <w:kern w:val="0"/>
          <w:sz w:val="26"/>
          <w:szCs w:val="26"/>
        </w:rPr>
        <w:t>2、</w:t>
      </w:r>
      <w:r>
        <w:rPr>
          <w:rFonts w:eastAsia="仿宋_GB2312"/>
          <w:sz w:val="26"/>
          <w:szCs w:val="26"/>
        </w:rPr>
        <w:t>合法原则：</w:t>
      </w:r>
      <w:r>
        <w:rPr>
          <w:rFonts w:hint="eastAsia" w:eastAsia="仿宋_GB2312"/>
          <w:sz w:val="26"/>
          <w:szCs w:val="26"/>
        </w:rPr>
        <w:t>要求估价结果是在依法判定的估价对象状况下的价值或价格的原则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hint="eastAsia" w:eastAsia="仿宋_GB2312"/>
          <w:sz w:val="26"/>
          <w:szCs w:val="26"/>
        </w:rPr>
      </w:pPr>
      <w:r>
        <w:rPr>
          <w:rFonts w:hint="eastAsia" w:eastAsia="仿宋_GB2312"/>
          <w:kern w:val="0"/>
          <w:sz w:val="26"/>
          <w:szCs w:val="26"/>
        </w:rPr>
        <w:t>3、</w:t>
      </w:r>
      <w:r>
        <w:rPr>
          <w:rFonts w:hint="eastAsia" w:eastAsia="仿宋_GB2312"/>
          <w:sz w:val="26"/>
          <w:szCs w:val="26"/>
        </w:rPr>
        <w:t>价值时点原则</w:t>
      </w:r>
      <w:r>
        <w:rPr>
          <w:rFonts w:eastAsia="仿宋_GB2312"/>
          <w:sz w:val="26"/>
          <w:szCs w:val="26"/>
        </w:rPr>
        <w:t>：</w:t>
      </w:r>
      <w:r>
        <w:rPr>
          <w:rFonts w:hint="eastAsia" w:eastAsia="仿宋_GB2312"/>
          <w:sz w:val="26"/>
          <w:szCs w:val="26"/>
        </w:rPr>
        <w:t>要求估价结果是在根据估价目的确定的某一特定时间的价值或价格的原则</w:t>
      </w:r>
      <w:r>
        <w:rPr>
          <w:rFonts w:eastAsia="仿宋_GB2312"/>
          <w:sz w:val="26"/>
          <w:szCs w:val="26"/>
        </w:rPr>
        <w:t>。</w:t>
      </w:r>
    </w:p>
    <w:p>
      <w:pPr>
        <w:spacing w:line="440" w:lineRule="exact"/>
        <w:ind w:firstLine="520" w:firstLineChars="200"/>
        <w:rPr>
          <w:rFonts w:hint="eastAsia" w:eastAsia="仿宋_GB2312"/>
          <w:sz w:val="26"/>
          <w:szCs w:val="26"/>
        </w:rPr>
      </w:pPr>
      <w:r>
        <w:rPr>
          <w:rFonts w:hint="eastAsia" w:eastAsia="仿宋_GB2312"/>
          <w:sz w:val="26"/>
          <w:szCs w:val="26"/>
        </w:rPr>
        <w:t>4、</w:t>
      </w:r>
      <w:r>
        <w:rPr>
          <w:rFonts w:eastAsia="仿宋_GB2312"/>
          <w:sz w:val="26"/>
          <w:szCs w:val="26"/>
        </w:rPr>
        <w:t>替代原则：</w:t>
      </w:r>
      <w:r>
        <w:rPr>
          <w:rFonts w:hint="eastAsia" w:eastAsia="仿宋_GB2312"/>
          <w:sz w:val="26"/>
          <w:szCs w:val="26"/>
        </w:rPr>
        <w:t>要求估价结果与估价对象的类似房地产在同等条件下的价值或价格偏差在合理范围内的原则。</w:t>
      </w:r>
    </w:p>
    <w:p>
      <w:pPr>
        <w:spacing w:line="440" w:lineRule="exact"/>
        <w:ind w:firstLine="520" w:firstLineChars="200"/>
        <w:rPr>
          <w:rFonts w:hint="eastAsia" w:eastAsia="仿宋_GB2312"/>
          <w:color w:val="000000"/>
          <w:sz w:val="26"/>
          <w:szCs w:val="26"/>
          <w:lang w:val="en-US" w:eastAsia="zh-CN"/>
        </w:rPr>
      </w:pPr>
      <w:r>
        <w:rPr>
          <w:rFonts w:hint="eastAsia" w:eastAsia="仿宋_GB2312"/>
          <w:sz w:val="26"/>
          <w:szCs w:val="26"/>
        </w:rPr>
        <w:t>5、</w:t>
      </w:r>
      <w:r>
        <w:rPr>
          <w:rFonts w:eastAsia="仿宋_GB2312"/>
          <w:sz w:val="26"/>
          <w:szCs w:val="26"/>
        </w:rPr>
        <w:t>最高最佳使用原则：</w:t>
      </w:r>
      <w:r>
        <w:rPr>
          <w:rFonts w:hint="eastAsia" w:eastAsia="仿宋_GB2312"/>
          <w:sz w:val="26"/>
          <w:szCs w:val="26"/>
        </w:rPr>
        <w:t>要求估价结果是在估价对象最高最佳利用状况下的价值或价格的原则；最高最佳利用：房地产在法律上允许、技术上可能、财务上可行并使价值最大的合理、可能的利用，包括最佳的用途、规模、档次等</w:t>
      </w:r>
      <w:r>
        <w:rPr>
          <w:rFonts w:eastAsia="仿宋_GB2312"/>
          <w:sz w:val="26"/>
          <w:szCs w:val="26"/>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560" w:lineRule="exact"/>
        <w:ind w:firstLine="643" w:firstLineChars="200"/>
        <w:textAlignment w:val="auto"/>
        <w:outlineLvl w:val="1"/>
        <w:rPr>
          <w:rFonts w:hint="eastAsia" w:ascii="仿宋" w:hAnsi="仿宋" w:eastAsia="仿宋" w:cs="仿宋"/>
          <w:b/>
          <w:bCs/>
          <w:kern w:val="0"/>
          <w:sz w:val="32"/>
          <w:szCs w:val="32"/>
        </w:rPr>
      </w:pPr>
      <w:bookmarkStart w:id="50" w:name="_Toc522795050"/>
      <w:bookmarkStart w:id="51" w:name="_Toc28667"/>
      <w:bookmarkStart w:id="52" w:name="_Toc13992"/>
      <w:r>
        <w:rPr>
          <w:rFonts w:hint="eastAsia" w:ascii="仿宋" w:hAnsi="仿宋" w:eastAsia="仿宋" w:cs="仿宋"/>
          <w:b/>
          <w:bCs/>
          <w:kern w:val="0"/>
          <w:sz w:val="32"/>
          <w:szCs w:val="32"/>
        </w:rPr>
        <w:t>八、估价依据</w:t>
      </w:r>
      <w:bookmarkEnd w:id="49"/>
      <w:bookmarkEnd w:id="50"/>
      <w:bookmarkEnd w:id="51"/>
      <w:bookmarkEnd w:id="52"/>
    </w:p>
    <w:p>
      <w:pPr>
        <w:pStyle w:val="10"/>
        <w:spacing w:line="440" w:lineRule="exact"/>
        <w:ind w:left="0" w:firstLine="520" w:firstLineChars="200"/>
        <w:rPr>
          <w:rFonts w:hint="eastAsia" w:eastAsia="仿宋_GB2312"/>
          <w:color w:val="auto"/>
          <w:kern w:val="2"/>
          <w:sz w:val="26"/>
          <w:szCs w:val="26"/>
          <w:lang w:val="en-US" w:eastAsia="zh-CN" w:bidi="ar-SA"/>
        </w:rPr>
      </w:pPr>
      <w:bookmarkStart w:id="53" w:name="_Toc286074116"/>
      <w:r>
        <w:rPr>
          <w:rFonts w:hint="eastAsia" w:eastAsia="仿宋_GB2312"/>
          <w:color w:val="auto"/>
          <w:kern w:val="2"/>
          <w:sz w:val="26"/>
          <w:szCs w:val="26"/>
          <w:lang w:val="en-US" w:eastAsia="zh-CN" w:bidi="ar-SA"/>
        </w:rPr>
        <w:t>（一）本次估价所依据的有关法律、法规和部门规章</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1、《中华人民共和国资产评估法》【主席令第46号】（2016年7月2日第十二届全国人民代表大会第二十一次会议通过，自2016年12月1日起实施）；</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000000"/>
          <w:kern w:val="2"/>
          <w:sz w:val="26"/>
          <w:szCs w:val="26"/>
          <w:lang w:val="en-US" w:eastAsia="zh-CN" w:bidi="ar-SA"/>
        </w:rPr>
        <w:t>《中华</w:t>
      </w:r>
      <w:r>
        <w:rPr>
          <w:rFonts w:hint="eastAsia" w:eastAsia="仿宋_GB2312"/>
          <w:color w:val="auto"/>
          <w:kern w:val="2"/>
          <w:sz w:val="26"/>
          <w:szCs w:val="26"/>
          <w:lang w:val="en-US" w:eastAsia="zh-CN" w:bidi="ar-SA"/>
        </w:rPr>
        <w:t>人民共和国民法典》（2020年5月28日第十三届全国人民代表大会第三次会议通过，自2021年1月1日起实施）；</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3、全国人民代表大会常务委员会关于修改《中华人民共和国城市房地产管理法》的决定【主席令第72号】（中华人民共和国第十届全国人民代表大会常务委员会第二十九次会议于2007年8月30日通过并发布）；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4、《中华人民共和国土地管理法》（根据2004年8月28日第十届全国人民代表大会常务委员会第十一次会议《关于修改‹中华人民共和国土地管理法›的决定第二次修正》）；</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5、《最高人民法院关于人民法院确定财产处置参考价若干问题的规定 》（法释〔2018〕15号）；</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6、《人民法院委托评估工作规范》（法办[</w:t>
      </w:r>
      <w:r>
        <w:rPr>
          <w:rFonts w:hint="default" w:eastAsia="仿宋_GB2312"/>
          <w:color w:val="auto"/>
          <w:kern w:val="2"/>
          <w:sz w:val="26"/>
          <w:szCs w:val="26"/>
          <w:lang w:val="en-US" w:eastAsia="zh-CN" w:bidi="ar-SA"/>
        </w:rPr>
        <w:t>2018]273</w:t>
      </w:r>
      <w:r>
        <w:rPr>
          <w:rFonts w:hint="eastAsia" w:eastAsia="仿宋_GB2312"/>
          <w:color w:val="auto"/>
          <w:kern w:val="2"/>
          <w:sz w:val="26"/>
          <w:szCs w:val="26"/>
          <w:lang w:val="en-US" w:eastAsia="zh-CN" w:bidi="ar-SA"/>
        </w:rPr>
        <w:t>号）；</w:t>
      </w:r>
    </w:p>
    <w:p>
      <w:pPr>
        <w:widowControl w:val="0"/>
        <w:spacing w:line="460" w:lineRule="exact"/>
        <w:ind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7、法释〔2004〕16号《最高人民法院关于人民法院民事执行中拍卖、变卖财产的规定》（于2004年10月26日由最高人民法院审判委员会第1330次会议通过，自2005年1月1日起施行）；</w:t>
      </w:r>
    </w:p>
    <w:p>
      <w:pPr>
        <w:widowControl w:val="0"/>
        <w:spacing w:line="460" w:lineRule="exact"/>
        <w:ind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8、法办发〔2007〕5号《最高人民法院对外委托鉴定、评估、拍卖等工作管理规定》（2007年8月23日公布，自2007年9月1日起施行）；</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9、法释〔2009〕16号《最高人民法院关于人民法院委托评估、拍卖和变卖工作的若干规定》（于2009年8月24日由最高人民法院审判委员会第1472次会议通过，自2009年11月20日起施行）；</w:t>
      </w:r>
    </w:p>
    <w:p>
      <w:pPr>
        <w:pStyle w:val="10"/>
        <w:spacing w:line="440" w:lineRule="exact"/>
        <w:ind w:left="0" w:firstLine="520" w:firstLineChars="200"/>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10、《中华人民共和国增值税暂行条例》（2017年11月19日公布）；</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11、国务院、建设部、贵州省人民政府及有关部门颁布的有关政策、法规文件。</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（二）本次估价采用的技术规程</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1、中华人民共和国国家标准《房地产估价规范》（GB/T50291-2015）；</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2、《房地产估价基本术语标准》(GB/T50899-2013)；</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（三）估价委托人提供的有关资料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1、《贵州省台江县人民法院评估委托函》；</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2、《房屋所有权证》、《国有土地使用权证》（复印件）；</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3、《贵州省不动产登记查询结果》（复印件）；</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4、《不动产权证登记证明》（复印件）；</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（四）估价机构和估价人员所搜集掌握的有关资料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1、现场调查资料；</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auto"/>
          <w:kern w:val="2"/>
          <w:sz w:val="26"/>
          <w:szCs w:val="26"/>
          <w:lang w:val="en-US" w:eastAsia="zh-CN" w:bidi="ar-SA"/>
        </w:rPr>
        <w:t>2、当地房地产市场行情；</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sz w:val="32"/>
          <w:szCs w:val="32"/>
        </w:rPr>
      </w:pPr>
      <w:bookmarkStart w:id="54" w:name="_Toc3583"/>
      <w:bookmarkStart w:id="55" w:name="_Toc522795051"/>
      <w:bookmarkStart w:id="56" w:name="_Toc15946"/>
      <w:r>
        <w:rPr>
          <w:rFonts w:hint="eastAsia" w:ascii="仿宋" w:hAnsi="仿宋" w:eastAsia="仿宋" w:cs="仿宋"/>
          <w:b/>
          <w:bCs/>
          <w:kern w:val="0"/>
          <w:sz w:val="32"/>
          <w:szCs w:val="32"/>
        </w:rPr>
        <w:t>九、估价方法</w:t>
      </w:r>
      <w:bookmarkEnd w:id="53"/>
      <w:bookmarkEnd w:id="54"/>
      <w:bookmarkEnd w:id="55"/>
      <w:bookmarkEnd w:id="56"/>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bookmarkStart w:id="57" w:name="_Toc522795052"/>
      <w:r>
        <w:rPr>
          <w:rFonts w:hint="eastAsia" w:eastAsia="仿宋_GB2312"/>
          <w:color w:val="auto"/>
          <w:sz w:val="26"/>
          <w:szCs w:val="26"/>
          <w:lang w:val="en-US" w:eastAsia="zh-CN"/>
        </w:rPr>
        <w:t>(一)估价方法适用性分析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根据《房地产估价规范》，选用估价方法时，应根据估价对象及其所在的房地产市场状况等客观条件，对比较法、收益法、成本法、假设开发法等估价方法进行适用性分析。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比较法适用于房地产市场成熟，近期同类房地产交易案例较多的估价；收益法适用于有收益或潜在收益的房地产估价；成本法适用于房地产市场不成熟或市场依据不充分而不适宜采用比较法、收益法及假设开发法的房地产估价；假设开发法适用于具有投资开发或再开发潜力的房地产的估价。</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（二）估价方法的选择</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理论上不适用的估价方法：估价对象为住宅用途房地产，根据房地产估价规范理论上不适合采用假设开发法，因为现状为正在使用且短期内重新开发或改扩建增加价值的可能性不大，故不适合采用假设开发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2、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3、</w:t>
      </w:r>
      <w:r>
        <w:rPr>
          <w:rFonts w:hint="eastAsia" w:eastAsia="仿宋_GB2312"/>
          <w:color w:val="000000"/>
          <w:sz w:val="26"/>
          <w:szCs w:val="26"/>
          <w:lang w:val="en-US" w:eastAsia="zh-CN"/>
        </w:rPr>
        <w:t>理论上适用，但客观条件不具备的估价方法：估价对象为住宅用途房地产，虽然可以出租取得收益，但周边类似物业租金案例较少，住宅租金交易不活跃，因此未能选用收益法进行评估；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4、适用的估价方法：比较法适用于区域内同类房地产市场交易案例较多，交易较为频繁的估价方法，近期与估价对象同区域、同类的房地产市场交易案例较多、且容易收集，交易市场活跃，比较法是比较合适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综上所述，估价人员在认真分析所掌握的资料并对邻近类似房地产进行实地查看调查后，根据估价对象的特点及本次估价目的，遵照国家有关法律、法规、估价技术标准，对估价对象采用比较法进行评估。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（三）估价方法简介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比较法，是指将估价对象与在价值时点近期有过交易的类似房地产进行比较，对这些类似房地产的已知价格作适当的修正，以此估算估价对象的客观合理价格或价值的方法。</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房地产价值＝可比实例成交价格×交易情况修正系数×市场状况调整系数×房地产状况调整系数</w:t>
      </w:r>
      <w:r>
        <w:rPr>
          <w:rFonts w:hint="eastAsia" w:eastAsia="仿宋_GB2312"/>
          <w:color w:val="auto"/>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00" w:lineRule="exact"/>
        <w:ind w:firstLine="643" w:firstLineChars="200"/>
        <w:textAlignment w:val="auto"/>
        <w:outlineLvl w:val="1"/>
        <w:rPr>
          <w:rFonts w:hint="eastAsia" w:ascii="仿宋" w:hAnsi="仿宋" w:eastAsia="仿宋" w:cs="仿宋"/>
          <w:b/>
          <w:bCs/>
          <w:kern w:val="0"/>
          <w:sz w:val="32"/>
          <w:szCs w:val="32"/>
        </w:rPr>
      </w:pPr>
      <w:bookmarkStart w:id="58" w:name="_Toc7649"/>
      <w:bookmarkStart w:id="59" w:name="_Toc9520"/>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rPr>
        <w:t>估价结果</w:t>
      </w:r>
      <w:bookmarkEnd w:id="57"/>
      <w:bookmarkEnd w:id="58"/>
      <w:bookmarkEnd w:id="59"/>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sz w:val="26"/>
          <w:szCs w:val="26"/>
          <w:lang w:val="en-US" w:eastAsia="zh-CN"/>
        </w:rPr>
      </w:pPr>
      <w:bookmarkStart w:id="60" w:name="_Toc286074118"/>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并结合估价经验和对影响价值因素的分析，在满足本次估价的假设和限制条件下，确定估价对象于价值时点2022年05月27日的市场价值合计为</w:t>
      </w:r>
      <w:bookmarkStart w:id="61" w:name="_Toc3666"/>
      <w:r>
        <w:rPr>
          <w:rFonts w:hint="default" w:ascii="Times New Roman" w:hAnsi="Times New Roman" w:eastAsia="仿宋_GB2312" w:cs="Times New Roman"/>
          <w:b/>
          <w:bCs/>
          <w:color w:val="000000"/>
          <w:sz w:val="26"/>
          <w:szCs w:val="26"/>
          <w:lang w:val="en-US" w:eastAsia="zh-CN"/>
        </w:rPr>
        <w:t>人民币</w:t>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691400 \* CHINESENUM4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eastAsia" w:ascii="Times New Roman" w:hAnsi="Times New Roman" w:eastAsia="仿宋_GB2312" w:cs="Times New Roman"/>
          <w:b/>
          <w:bCs/>
          <w:color w:val="000000"/>
          <w:sz w:val="26"/>
          <w:szCs w:val="26"/>
          <w:lang w:val="en-US" w:eastAsia="zh-CN"/>
        </w:rPr>
        <w:fldChar w:fldCharType="begin"/>
      </w:r>
      <w:r>
        <w:rPr>
          <w:rFonts w:hint="eastAsia" w:ascii="Times New Roman" w:hAnsi="Times New Roman" w:eastAsia="仿宋_GB2312" w:cs="Times New Roman"/>
          <w:b/>
          <w:bCs/>
          <w:color w:val="000000"/>
          <w:sz w:val="26"/>
          <w:szCs w:val="26"/>
          <w:lang w:val="en-US" w:eastAsia="zh-CN"/>
        </w:rPr>
        <w:instrText xml:space="preserve"> = 1454700 \* CHINESENUM2 \* MERGEFORMAT </w:instrText>
      </w:r>
      <w:r>
        <w:rPr>
          <w:rFonts w:hint="eastAsia" w:ascii="Times New Roman" w:hAnsi="Times New Roman" w:eastAsia="仿宋_GB2312" w:cs="Times New Roman"/>
          <w:b/>
          <w:bCs/>
          <w:color w:val="000000"/>
          <w:sz w:val="26"/>
          <w:szCs w:val="26"/>
          <w:lang w:val="en-US" w:eastAsia="zh-CN"/>
        </w:rPr>
        <w:fldChar w:fldCharType="separate"/>
      </w:r>
      <w:r>
        <w:rPr>
          <w:rFonts w:hint="default" w:ascii="Times New Roman" w:hAnsi="Times New Roman" w:eastAsia="仿宋_GB2312" w:cs="Times New Roman"/>
          <w:b/>
          <w:bCs/>
          <w:color w:val="000000"/>
          <w:sz w:val="26"/>
          <w:szCs w:val="26"/>
          <w:lang w:val="en-US" w:eastAsia="zh-CN"/>
        </w:rPr>
        <w:t>壹佰肆拾伍万肆仟柒佰</w:t>
      </w:r>
      <w:r>
        <w:rPr>
          <w:rFonts w:hint="eastAsia" w:ascii="Times New Roman" w:hAnsi="Times New Roman" w:eastAsia="仿宋_GB2312" w:cs="Times New Roman"/>
          <w:b/>
          <w:bCs/>
          <w:color w:val="000000"/>
          <w:sz w:val="26"/>
          <w:szCs w:val="26"/>
          <w:lang w:val="en-US" w:eastAsia="zh-CN"/>
        </w:rPr>
        <w:fldChar w:fldCharType="end"/>
      </w:r>
      <w:r>
        <w:rPr>
          <w:rFonts w:hint="default" w:ascii="Times New Roman" w:hAnsi="Times New Roman" w:eastAsia="仿宋_GB2312" w:cs="Times New Roman"/>
          <w:b/>
          <w:bCs/>
          <w:color w:val="000000"/>
          <w:sz w:val="26"/>
          <w:szCs w:val="26"/>
          <w:lang w:val="en-US" w:eastAsia="zh-CN"/>
        </w:rPr>
        <w:t>元整</w:t>
      </w:r>
      <w:r>
        <w:rPr>
          <w:rFonts w:hint="eastAsia" w:ascii="Times New Roman" w:hAnsi="Times New Roman" w:eastAsia="仿宋_GB2312" w:cs="Times New Roman"/>
          <w:b/>
          <w:bCs/>
          <w:color w:val="000000"/>
          <w:sz w:val="26"/>
          <w:szCs w:val="26"/>
          <w:lang w:val="en-US" w:eastAsia="zh-CN"/>
        </w:rPr>
        <w:fldChar w:fldCharType="end"/>
      </w:r>
      <w:r>
        <w:rPr>
          <w:rFonts w:hint="eastAsia" w:ascii="Times New Roman" w:hAnsi="Times New Roman" w:eastAsia="仿宋_GB2312" w:cs="Times New Roman"/>
          <w:b/>
          <w:bCs/>
          <w:color w:val="000000"/>
          <w:sz w:val="26"/>
          <w:szCs w:val="26"/>
          <w:lang w:val="en-US" w:eastAsia="zh-CN"/>
        </w:rPr>
        <w:t>（¥</w:t>
      </w:r>
      <w:r>
        <w:rPr>
          <w:rFonts w:hint="eastAsia" w:eastAsia="仿宋_GB2312" w:cs="Times New Roman"/>
          <w:b/>
          <w:bCs/>
          <w:color w:val="000000"/>
          <w:sz w:val="26"/>
          <w:szCs w:val="26"/>
          <w:lang w:val="en-US" w:eastAsia="zh-CN"/>
        </w:rPr>
        <w:t>145.47</w:t>
      </w:r>
      <w:r>
        <w:rPr>
          <w:rFonts w:hint="eastAsia" w:ascii="Times New Roman" w:hAnsi="Times New Roman" w:eastAsia="仿宋_GB2312" w:cs="Times New Roman"/>
          <w:b/>
          <w:bCs/>
          <w:color w:val="000000"/>
          <w:sz w:val="26"/>
          <w:szCs w:val="26"/>
          <w:lang w:val="en-US" w:eastAsia="zh-CN"/>
        </w:rPr>
        <w:t>万元）</w:t>
      </w:r>
      <w:r>
        <w:rPr>
          <w:rFonts w:hint="eastAsia" w:eastAsia="仿宋_GB2312"/>
          <w:color w:val="000000"/>
          <w:sz w:val="26"/>
          <w:szCs w:val="26"/>
          <w:lang w:val="en-US" w:eastAsia="zh-CN"/>
        </w:rPr>
        <w:t>。详见下表：</w:t>
      </w:r>
    </w:p>
    <w:tbl>
      <w:tblPr>
        <w:tblStyle w:val="23"/>
        <w:tblW w:w="9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1"/>
        <w:gridCol w:w="1035"/>
        <w:gridCol w:w="1980"/>
        <w:gridCol w:w="1065"/>
        <w:gridCol w:w="879"/>
        <w:gridCol w:w="1080"/>
        <w:gridCol w:w="1200"/>
        <w:gridCol w:w="1215"/>
        <w:gridCol w:w="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bookmarkStart w:id="62" w:name="_Toc985"/>
            <w:r>
              <w:rPr>
                <w:rFonts w:ascii="仿宋" w:hAnsi="仿宋" w:eastAsia="仿宋" w:cs="仿宋"/>
                <w:i w:val="0"/>
                <w:iCs w:val="0"/>
                <w:color w:val="000000"/>
                <w:kern w:val="0"/>
                <w:sz w:val="20"/>
                <w:szCs w:val="20"/>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房屋所有权人</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产权证号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房屋坐落</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用途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建筑面积（㎡）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评估单价（元</w:t>
            </w:r>
            <w:r>
              <w:rPr>
                <w:rFonts w:hint="default" w:ascii="Times New Roman" w:hAnsi="Times New Roman" w:eastAsia="宋体" w:cs="Times New Roman"/>
                <w:i w:val="0"/>
                <w:iCs w:val="0"/>
                <w:color w:val="000000"/>
                <w:kern w:val="0"/>
                <w:sz w:val="20"/>
                <w:szCs w:val="20"/>
                <w:u w:val="none"/>
                <w:lang w:val="en-US" w:eastAsia="zh-CN" w:bidi="ar"/>
              </w:rPr>
              <w:t>/</w:t>
            </w:r>
            <w:r>
              <w:rPr>
                <w:rFonts w:ascii="仿宋" w:hAnsi="仿宋" w:eastAsia="仿宋" w:cs="仿宋"/>
                <w:i w:val="0"/>
                <w:iCs w:val="0"/>
                <w:color w:val="000000"/>
                <w:kern w:val="0"/>
                <w:sz w:val="20"/>
                <w:szCs w:val="20"/>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评估总价（万元）</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0"/>
                <w:sz w:val="20"/>
                <w:szCs w:val="20"/>
                <w:u w:val="none"/>
                <w:lang w:val="en-US" w:eastAsia="zh-CN" w:bidi="ar"/>
              </w:rPr>
            </w:pPr>
            <w:r>
              <w:rPr>
                <w:rFonts w:ascii="仿宋" w:hAnsi="仿宋" w:eastAsia="仿宋" w:cs="仿宋"/>
                <w:i w:val="0"/>
                <w:iCs w:val="0"/>
                <w:color w:val="000000"/>
                <w:kern w:val="0"/>
                <w:sz w:val="20"/>
                <w:szCs w:val="20"/>
                <w:u w:val="none"/>
                <w:lang w:val="en-US" w:eastAsia="zh-CN" w:bidi="ar"/>
              </w:rPr>
              <w:t>龙本安</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欧兴兰</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台房权证台江县字第</w:t>
            </w:r>
            <w:r>
              <w:rPr>
                <w:rFonts w:hint="default" w:ascii="Times New Roman" w:hAnsi="Times New Roman" w:eastAsia="宋体" w:cs="Times New Roman"/>
                <w:i w:val="0"/>
                <w:iCs w:val="0"/>
                <w:color w:val="000000"/>
                <w:kern w:val="0"/>
                <w:sz w:val="20"/>
                <w:szCs w:val="20"/>
                <w:u w:val="none"/>
                <w:lang w:val="en-US" w:eastAsia="zh-CN" w:bidi="ar"/>
              </w:rPr>
              <w:t>201500505</w:t>
            </w:r>
            <w:r>
              <w:rPr>
                <w:rFonts w:ascii="仿宋" w:hAnsi="仿宋" w:eastAsia="仿宋" w:cs="仿宋"/>
                <w:i w:val="0"/>
                <w:iCs w:val="0"/>
                <w:color w:val="000000"/>
                <w:kern w:val="0"/>
                <w:sz w:val="20"/>
                <w:szCs w:val="20"/>
                <w:u w:val="none"/>
                <w:lang w:val="en-US" w:eastAsia="zh-CN" w:bidi="ar"/>
              </w:rPr>
              <w:t>号</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台拱镇解放东路</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成套住宅</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292.73</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2361</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69.11</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0"/>
                <w:sz w:val="20"/>
                <w:szCs w:val="20"/>
                <w:u w:val="none"/>
                <w:lang w:val="en-US" w:eastAsia="zh-CN" w:bidi="ar"/>
              </w:rPr>
            </w:pPr>
            <w:r>
              <w:rPr>
                <w:rFonts w:ascii="仿宋" w:hAnsi="仿宋" w:eastAsia="仿宋" w:cs="仿宋"/>
                <w:i w:val="0"/>
                <w:iCs w:val="0"/>
                <w:color w:val="000000"/>
                <w:kern w:val="0"/>
                <w:sz w:val="20"/>
                <w:szCs w:val="20"/>
                <w:u w:val="none"/>
                <w:lang w:val="en-US" w:eastAsia="zh-CN" w:bidi="ar"/>
              </w:rPr>
              <w:t>龙本平</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张祖英</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台房权证台江县字第</w:t>
            </w:r>
            <w:r>
              <w:rPr>
                <w:rFonts w:hint="default" w:ascii="Times New Roman" w:hAnsi="Times New Roman" w:eastAsia="宋体" w:cs="Times New Roman"/>
                <w:i w:val="0"/>
                <w:iCs w:val="0"/>
                <w:color w:val="000000"/>
                <w:kern w:val="0"/>
                <w:sz w:val="20"/>
                <w:szCs w:val="20"/>
                <w:u w:val="none"/>
                <w:lang w:val="en-US" w:eastAsia="zh-CN" w:bidi="ar"/>
              </w:rPr>
              <w:t>201500506</w:t>
            </w:r>
            <w:r>
              <w:rPr>
                <w:rFonts w:ascii="仿宋" w:hAnsi="仿宋" w:eastAsia="仿宋" w:cs="仿宋"/>
                <w:i w:val="0"/>
                <w:iCs w:val="0"/>
                <w:color w:val="000000"/>
                <w:kern w:val="0"/>
                <w:sz w:val="20"/>
                <w:szCs w:val="20"/>
                <w:u w:val="none"/>
                <w:lang w:val="en-US" w:eastAsia="zh-CN" w:bidi="ar"/>
              </w:rPr>
              <w:t>号</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台拱镇解放东路</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ascii="仿宋" w:hAnsi="仿宋" w:eastAsia="仿宋" w:cs="仿宋"/>
                <w:i w:val="0"/>
                <w:iCs w:val="0"/>
                <w:color w:val="000000"/>
                <w:kern w:val="0"/>
                <w:sz w:val="20"/>
                <w:szCs w:val="20"/>
                <w:u w:val="none"/>
                <w:lang w:val="en-US" w:eastAsia="zh-CN" w:bidi="ar"/>
              </w:rPr>
              <w:t>成套住宅</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323.42</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2361</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76.36</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7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ascii="仿宋" w:hAnsi="仿宋" w:eastAsia="仿宋" w:cs="仿宋"/>
                <w:b/>
                <w:bCs/>
                <w:i w:val="0"/>
                <w:iCs w:val="0"/>
                <w:color w:val="000000"/>
                <w:kern w:val="0"/>
                <w:sz w:val="20"/>
                <w:szCs w:val="20"/>
                <w:u w:val="none"/>
                <w:lang w:val="en-US" w:eastAsia="zh-CN" w:bidi="ar"/>
              </w:rPr>
              <w:t>合计</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616.15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lang w:val="en-US" w:eastAsia="zh-CN"/>
              </w:rPr>
            </w:pPr>
            <w:r>
              <w:rPr>
                <w:rFonts w:hint="eastAsia" w:ascii="Times New Roman" w:hAnsi="Times New Roman" w:eastAsia="宋体" w:cs="Times New Roman"/>
                <w:b/>
                <w:bCs/>
                <w:i w:val="0"/>
                <w:iCs w:val="0"/>
                <w:color w:val="000000"/>
                <w:sz w:val="20"/>
                <w:szCs w:val="20"/>
                <w:u w:val="none"/>
                <w:lang w:val="en-US" w:eastAsia="zh-CN"/>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145.47</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0"/>
                <w:szCs w:val="20"/>
                <w:u w:val="none"/>
              </w:rPr>
            </w:pP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321" w:firstLineChars="100"/>
        <w:textAlignment w:val="auto"/>
        <w:outlineLvl w:val="1"/>
        <w:rPr>
          <w:rFonts w:hint="eastAsia" w:ascii="仿宋" w:hAnsi="仿宋" w:eastAsia="仿宋" w:cs="仿宋"/>
          <w:kern w:val="0"/>
        </w:rPr>
      </w:pPr>
      <w:r>
        <w:rPr>
          <w:rFonts w:hint="eastAsia" w:ascii="仿宋" w:hAnsi="仿宋" w:eastAsia="仿宋" w:cs="仿宋"/>
          <w:b/>
          <w:bCs/>
          <w:kern w:val="0"/>
          <w:sz w:val="32"/>
          <w:szCs w:val="32"/>
          <w:lang w:val="en-US" w:eastAsia="zh-CN"/>
        </w:rPr>
        <w:t>十一、</w:t>
      </w:r>
      <w:r>
        <w:rPr>
          <w:rFonts w:hint="eastAsia" w:ascii="仿宋" w:hAnsi="仿宋" w:eastAsia="仿宋" w:cs="仿宋"/>
          <w:kern w:val="0"/>
        </w:rPr>
        <w:t>注册房地产估价师</w:t>
      </w:r>
      <w:bookmarkEnd w:id="60"/>
      <w:bookmarkEnd w:id="61"/>
      <w:bookmarkEnd w:id="62"/>
    </w:p>
    <w:tbl>
      <w:tblPr>
        <w:tblStyle w:val="23"/>
        <w:tblW w:w="0" w:type="auto"/>
        <w:jc w:val="center"/>
        <w:tblLayout w:type="fixed"/>
        <w:tblCellMar>
          <w:top w:w="0" w:type="dxa"/>
          <w:left w:w="108" w:type="dxa"/>
          <w:bottom w:w="0" w:type="dxa"/>
          <w:right w:w="108" w:type="dxa"/>
        </w:tblCellMar>
      </w:tblPr>
      <w:tblGrid>
        <w:gridCol w:w="2718"/>
        <w:gridCol w:w="3660"/>
        <w:gridCol w:w="3542"/>
      </w:tblGrid>
      <w:tr>
        <w:tblPrEx>
          <w:tblCellMar>
            <w:top w:w="0" w:type="dxa"/>
            <w:left w:w="108" w:type="dxa"/>
            <w:bottom w:w="0" w:type="dxa"/>
            <w:right w:w="108" w:type="dxa"/>
          </w:tblCellMar>
        </w:tblPrEx>
        <w:trPr>
          <w:trHeight w:val="768" w:hRule="atLeast"/>
          <w:jc w:val="center"/>
        </w:trPr>
        <w:tc>
          <w:tcPr>
            <w:tcW w:w="271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bookmarkStart w:id="63" w:name="_Toc32633"/>
            <w:bookmarkStart w:id="64" w:name="_Toc461005140"/>
            <w:bookmarkStart w:id="65" w:name="_Toc19247"/>
            <w:bookmarkStart w:id="66" w:name="_Toc286074121"/>
            <w:bookmarkStart w:id="67" w:name="_Toc522795056"/>
            <w:r>
              <w:rPr>
                <w:rFonts w:hint="eastAsia" w:ascii="仿宋" w:hAnsi="仿宋" w:eastAsia="仿宋" w:cs="仿宋"/>
                <w:color w:val="000000"/>
                <w:kern w:val="0"/>
                <w:sz w:val="28"/>
                <w:szCs w:val="28"/>
              </w:rPr>
              <w:t>姓   名</w:t>
            </w:r>
          </w:p>
        </w:tc>
        <w:tc>
          <w:tcPr>
            <w:tcW w:w="366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54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71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542"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71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542" w:type="dxa"/>
            <w:tcBorders>
              <w:top w:val="nil"/>
              <w:left w:val="nil"/>
              <w:bottom w:val="single" w:color="auto" w:sz="4" w:space="0"/>
              <w:right w:val="single" w:color="auto" w:sz="4" w:space="0"/>
            </w:tcBorders>
            <w:noWrap w:val="0"/>
            <w:vAlign w:val="top"/>
          </w:tcPr>
          <w:p>
            <w:pPr>
              <w:widowControl/>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r>
        <w:rPr>
          <w:rFonts w:hint="eastAsia" w:ascii="仿宋" w:hAnsi="仿宋" w:eastAsia="仿宋" w:cs="仿宋"/>
          <w:b/>
          <w:bCs/>
          <w:kern w:val="0"/>
        </w:rPr>
        <w:t>十二、实地查勘期</w:t>
      </w:r>
      <w:bookmarkEnd w:id="63"/>
      <w:bookmarkEnd w:id="64"/>
      <w:bookmarkEnd w:id="65"/>
      <w:bookmarkStart w:id="77" w:name="_GoBack"/>
      <w:bookmarkEnd w:id="77"/>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本次实地勘查日期是2022年05月27日。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68" w:name="_Toc15438"/>
      <w:bookmarkStart w:id="69" w:name="_Toc461005141"/>
      <w:bookmarkStart w:id="70" w:name="_Toc13087"/>
      <w:r>
        <w:rPr>
          <w:rFonts w:hint="eastAsia" w:ascii="仿宋" w:hAnsi="仿宋" w:eastAsia="仿宋" w:cs="仿宋"/>
          <w:b/>
          <w:bCs/>
          <w:kern w:val="0"/>
        </w:rPr>
        <w:t>十三、估价作业日期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420" w:lineRule="exact"/>
        <w:ind w:firstLine="520" w:firstLineChars="200"/>
        <w:textAlignment w:val="auto"/>
        <w:outlineLvl w:val="9"/>
        <w:rPr>
          <w:rFonts w:hint="eastAsia" w:ascii="仿宋" w:hAnsi="仿宋" w:eastAsia="仿宋" w:cs="仿宋"/>
          <w:color w:val="auto"/>
          <w:sz w:val="28"/>
          <w:szCs w:val="28"/>
        </w:rPr>
      </w:pPr>
      <w:r>
        <w:rPr>
          <w:rFonts w:hint="eastAsia" w:eastAsia="仿宋_GB2312"/>
          <w:color w:val="000000"/>
          <w:sz w:val="26"/>
          <w:szCs w:val="26"/>
          <w:lang w:val="en-US" w:eastAsia="zh-CN"/>
        </w:rPr>
        <w:t>本次估价的作业日期是2022年05月27日至2022年06月14日。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71" w:name="_Toc21283"/>
      <w:bookmarkStart w:id="72" w:name="_Toc1123"/>
      <w:r>
        <w:rPr>
          <w:rFonts w:hint="eastAsia" w:ascii="仿宋" w:hAnsi="仿宋" w:eastAsia="仿宋" w:cs="仿宋"/>
          <w:b/>
          <w:bCs/>
          <w:kern w:val="0"/>
        </w:rPr>
        <w:t>十</w:t>
      </w:r>
      <w:r>
        <w:rPr>
          <w:rFonts w:hint="eastAsia" w:ascii="仿宋" w:hAnsi="仿宋" w:eastAsia="仿宋" w:cs="仿宋"/>
          <w:b/>
          <w:bCs/>
          <w:kern w:val="0"/>
          <w:lang w:val="en-US" w:eastAsia="zh-CN"/>
        </w:rPr>
        <w:t>四</w:t>
      </w:r>
      <w:r>
        <w:rPr>
          <w:rFonts w:hint="eastAsia" w:ascii="仿宋" w:hAnsi="仿宋" w:eastAsia="仿宋" w:cs="仿宋"/>
          <w:b/>
          <w:bCs/>
          <w:kern w:val="0"/>
        </w:rPr>
        <w:t>、估价报告</w:t>
      </w:r>
      <w:bookmarkEnd w:id="66"/>
      <w:r>
        <w:rPr>
          <w:rFonts w:hint="eastAsia" w:ascii="仿宋" w:hAnsi="仿宋" w:eastAsia="仿宋" w:cs="仿宋"/>
          <w:b/>
          <w:bCs/>
          <w:kern w:val="0"/>
        </w:rPr>
        <w:t>应用的有效期</w:t>
      </w:r>
      <w:bookmarkEnd w:id="67"/>
      <w:bookmarkEnd w:id="71"/>
      <w:bookmarkEnd w:id="72"/>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本估价报告有效期限为一年，从估价报告出具日期之日起计算，即：2022年06月14日至2023年06月13日。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rPr>
      </w:pPr>
      <w:bookmarkStart w:id="73" w:name="_Toc27676"/>
      <w:bookmarkStart w:id="74" w:name="_Toc27789"/>
      <w:bookmarkStart w:id="75" w:name="_Toc451421812"/>
      <w:r>
        <w:rPr>
          <w:rFonts w:hint="eastAsia" w:ascii="仿宋" w:hAnsi="仿宋" w:eastAsia="仿宋" w:cs="仿宋"/>
          <w:b/>
          <w:bCs/>
          <w:kern w:val="0"/>
        </w:rPr>
        <w:t>十五、其它需要特别说明的事项</w:t>
      </w:r>
      <w:bookmarkEnd w:id="73"/>
      <w:bookmarkEnd w:id="74"/>
      <w:bookmarkEnd w:id="75"/>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1、本报告结果及附件仅供委托方用于估价目的所载明的用途，不对其它用途负责，不能作为估价对象权属界定的依据；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2、根据估价对象的《国有土地使用权证》，估价对象的土地使用权类型为划拨，本次估价结果中已扣除了相应的土地出让金；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贵州昊远房地产土地评估有限公司</w:t>
      </w: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二〇二二年六月十四日</w:t>
      </w: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sz w:val="28"/>
          <w:szCs w:val="28"/>
          <w:lang w:val="en-US" w:eastAsia="zh-CN"/>
        </w:rPr>
      </w:pPr>
    </w:p>
    <w:bookmarkEnd w:id="3"/>
    <w:bookmarkEnd w:id="4"/>
    <w:bookmarkEnd w:id="5"/>
    <w:bookmarkEnd w:id="6"/>
    <w:bookmarkEnd w:id="7"/>
    <w:bookmarkEnd w:id="8"/>
    <w:bookmarkEnd w:id="9"/>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bookmarkStart w:id="76" w:name="_Toc31395"/>
      <w:r>
        <w:rPr>
          <w:rFonts w:hint="eastAsia" w:ascii="仿宋" w:hAnsi="仿宋" w:eastAsia="仿宋" w:cs="仿宋"/>
          <w:b/>
          <w:bCs/>
          <w:kern w:val="0"/>
          <w:sz w:val="44"/>
          <w:szCs w:val="44"/>
        </w:rPr>
        <w:t>附     件</w:t>
      </w:r>
      <w:bookmarkEnd w:id="76"/>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color w:val="auto"/>
          <w:sz w:val="28"/>
          <w:szCs w:val="28"/>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一、估价对象现状照片及位置图复印件；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二、《贵州省台江县人民法院评估委托函》复印件；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三、《房屋所有权证》、《国有土地使用权证》（复印件）；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四、《贵州省不动产登记查询结果》（复印件）；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五、《不动产权证登记证明》（复印件）；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六、估价机构营业执照复印件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七、估价机构房地产估价备案证书复印件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八、房地产估价师注册证书复印件</w:t>
      </w: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564765" cy="3100070"/>
                  <wp:effectExtent l="0" t="0" r="6985" b="5080"/>
                  <wp:docPr id="15" name="图片 15" descr="C:/Users/thtfpc/AppData/Local/Temp/picturecompress_202206131555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htfpc/AppData/Local/Temp/picturecompress_20220613155503/output_1.jpgoutput_1"/>
                          <pic:cNvPicPr>
                            <a:picLocks noChangeAspect="1"/>
                          </pic:cNvPicPr>
                        </pic:nvPicPr>
                        <pic:blipFill>
                          <a:blip r:embed="rId8"/>
                          <a:stretch>
                            <a:fillRect/>
                          </a:stretch>
                        </pic:blipFill>
                        <pic:spPr>
                          <a:xfrm>
                            <a:off x="0" y="0"/>
                            <a:ext cx="2564765" cy="310007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48280" cy="3162935"/>
                  <wp:effectExtent l="0" t="0" r="13970" b="18415"/>
                  <wp:docPr id="16" name="图片 16" descr="C:/Users/thtfpc/AppData/Local/Temp/picturecompress_20220613155503/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thtfpc/AppData/Local/Temp/picturecompress_20220613155503/output_2.jpgoutput_2"/>
                          <pic:cNvPicPr>
                            <a:picLocks noChangeAspect="1"/>
                          </pic:cNvPicPr>
                        </pic:nvPicPr>
                        <pic:blipFill>
                          <a:blip r:embed="rId9"/>
                          <a:stretch>
                            <a:fillRect/>
                          </a:stretch>
                        </pic:blipFill>
                        <pic:spPr>
                          <a:xfrm>
                            <a:off x="0" y="0"/>
                            <a:ext cx="2748280" cy="3162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2918460"/>
                  <wp:effectExtent l="0" t="0" r="7620" b="15240"/>
                  <wp:docPr id="17" name="图片 17" descr="C:/Users/thtfpc/AppData/Local/Temp/picturecompress_20220613155503/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htfpc/AppData/Local/Temp/picturecompress_20220613155503/output_3.jpgoutput_3"/>
                          <pic:cNvPicPr>
                            <a:picLocks noChangeAspect="1"/>
                          </pic:cNvPicPr>
                        </pic:nvPicPr>
                        <pic:blipFill>
                          <a:blip r:embed="rId10"/>
                          <a:stretch>
                            <a:fillRect/>
                          </a:stretch>
                        </pic:blipFill>
                        <pic:spPr>
                          <a:xfrm>
                            <a:off x="0" y="0"/>
                            <a:ext cx="2830830" cy="291846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61285" cy="3038475"/>
                  <wp:effectExtent l="0" t="0" r="5715" b="9525"/>
                  <wp:docPr id="22" name="图片 22" descr="C:/Users/thtfpc/AppData/Local/Temp/picturecompress_20220613155503/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thtfpc/AppData/Local/Temp/picturecompress_20220613155503/output_4.jpgoutput_4"/>
                          <pic:cNvPicPr>
                            <a:picLocks noChangeAspect="1"/>
                          </pic:cNvPicPr>
                        </pic:nvPicPr>
                        <pic:blipFill>
                          <a:blip r:embed="rId11"/>
                          <a:stretch>
                            <a:fillRect/>
                          </a:stretch>
                        </pic:blipFill>
                        <pic:spPr>
                          <a:xfrm>
                            <a:off x="0" y="0"/>
                            <a:ext cx="2661285" cy="30384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51835"/>
                  <wp:effectExtent l="0" t="0" r="7620" b="5715"/>
                  <wp:docPr id="23" name="图片 23" descr="C:/Users/thtfpc/AppData/Local/Temp/picturecompress_20220613155503/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thtfpc/AppData/Local/Temp/picturecompress_20220613155503/output_5.jpgoutput_5"/>
                          <pic:cNvPicPr>
                            <a:picLocks noChangeAspect="1"/>
                          </pic:cNvPicPr>
                        </pic:nvPicPr>
                        <pic:blipFill>
                          <a:blip r:embed="rId12"/>
                          <a:stretch>
                            <a:fillRect/>
                          </a:stretch>
                        </pic:blipFill>
                        <pic:spPr>
                          <a:xfrm>
                            <a:off x="0" y="0"/>
                            <a:ext cx="2830830" cy="325183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19730" cy="3210560"/>
                  <wp:effectExtent l="0" t="0" r="13970" b="8890"/>
                  <wp:docPr id="24" name="图片 24" descr="C:/Users/thtfpc/AppData/Local/Temp/picturecompress_20220613155503/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thtfpc/AppData/Local/Temp/picturecompress_20220613155503/output_6.jpgoutput_6"/>
                          <pic:cNvPicPr>
                            <a:picLocks noChangeAspect="1"/>
                          </pic:cNvPicPr>
                        </pic:nvPicPr>
                        <pic:blipFill>
                          <a:blip r:embed="rId13"/>
                          <a:stretch>
                            <a:fillRect/>
                          </a:stretch>
                        </pic:blipFill>
                        <pic:spPr>
                          <a:xfrm>
                            <a:off x="0" y="0"/>
                            <a:ext cx="2919730" cy="321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03550"/>
                  <wp:effectExtent l="0" t="0" r="7620" b="6350"/>
                  <wp:docPr id="25" name="图片 25" descr="C:/Users/thtfpc/AppData/Local/Temp/picturecompress_20220613155503/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thtfpc/AppData/Local/Temp/picturecompress_20220613155503/output_7.jpgoutput_7"/>
                          <pic:cNvPicPr>
                            <a:picLocks noChangeAspect="1"/>
                          </pic:cNvPicPr>
                        </pic:nvPicPr>
                        <pic:blipFill>
                          <a:blip r:embed="rId14"/>
                          <a:stretch>
                            <a:fillRect/>
                          </a:stretch>
                        </pic:blipFill>
                        <pic:spPr>
                          <a:xfrm>
                            <a:off x="0" y="0"/>
                            <a:ext cx="2830830" cy="300355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00680" cy="3020060"/>
                  <wp:effectExtent l="0" t="0" r="13970" b="8890"/>
                  <wp:docPr id="26" name="图片 26" descr="C:/Users/thtfpc/AppData/Local/Temp/picturecompress_20220613155503/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thtfpc/AppData/Local/Temp/picturecompress_20220613155503/output_8.jpgoutput_8"/>
                          <pic:cNvPicPr>
                            <a:picLocks noChangeAspect="1"/>
                          </pic:cNvPicPr>
                        </pic:nvPicPr>
                        <pic:blipFill>
                          <a:blip r:embed="rId15"/>
                          <a:stretch>
                            <a:fillRect/>
                          </a:stretch>
                        </pic:blipFill>
                        <pic:spPr>
                          <a:xfrm>
                            <a:off x="0" y="0"/>
                            <a:ext cx="2900680" cy="30200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54630" cy="3394075"/>
                  <wp:effectExtent l="0" t="0" r="7620" b="15875"/>
                  <wp:docPr id="27" name="图片 27" descr="C:/Users/thtfpc/AppData/Local/Temp/picturecompress_20220613155503/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thtfpc/AppData/Local/Temp/picturecompress_20220613155503/output_9.jpgoutput_9"/>
                          <pic:cNvPicPr>
                            <a:picLocks noChangeAspect="1"/>
                          </pic:cNvPicPr>
                        </pic:nvPicPr>
                        <pic:blipFill>
                          <a:blip r:embed="rId16"/>
                          <a:stretch>
                            <a:fillRect/>
                          </a:stretch>
                        </pic:blipFill>
                        <pic:spPr>
                          <a:xfrm>
                            <a:off x="0" y="0"/>
                            <a:ext cx="2754630" cy="339407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19730" cy="3172460"/>
                  <wp:effectExtent l="0" t="0" r="13970" b="8890"/>
                  <wp:docPr id="28" name="图片 28" descr="C:/Users/thtfpc/AppData/Local/Temp/picturecompress_20220613155503/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thtfpc/AppData/Local/Temp/picturecompress_20220613155503/output_10.jpgoutput_10"/>
                          <pic:cNvPicPr>
                            <a:picLocks noChangeAspect="1"/>
                          </pic:cNvPicPr>
                        </pic:nvPicPr>
                        <pic:blipFill>
                          <a:blip r:embed="rId17"/>
                          <a:stretch>
                            <a:fillRect/>
                          </a:stretch>
                        </pic:blipFill>
                        <pic:spPr>
                          <a:xfrm>
                            <a:off x="0" y="0"/>
                            <a:ext cx="2919730" cy="3172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41675"/>
                  <wp:effectExtent l="0" t="0" r="7620" b="15875"/>
                  <wp:docPr id="29" name="图片 29" descr="C:/Users/thtfpc/AppData/Local/Temp/picturecompress_20220613155503/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thtfpc/AppData/Local/Temp/picturecompress_20220613155503/output_11.jpgoutput_11"/>
                          <pic:cNvPicPr>
                            <a:picLocks noChangeAspect="1"/>
                          </pic:cNvPicPr>
                        </pic:nvPicPr>
                        <pic:blipFill>
                          <a:blip r:embed="rId18"/>
                          <a:stretch>
                            <a:fillRect/>
                          </a:stretch>
                        </pic:blipFill>
                        <pic:spPr>
                          <a:xfrm>
                            <a:off x="0" y="0"/>
                            <a:ext cx="2830830" cy="324167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80715"/>
                  <wp:effectExtent l="0" t="0" r="14605" b="635"/>
                  <wp:docPr id="30" name="图片 30" descr="C:/Users/thtfpc/AppData/Local/Temp/picturecompress_20220613155503/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thtfpc/AppData/Local/Temp/picturecompress_20220613155503/output_12.jpgoutput_12"/>
                          <pic:cNvPicPr>
                            <a:picLocks noChangeAspect="1"/>
                          </pic:cNvPicPr>
                        </pic:nvPicPr>
                        <pic:blipFill>
                          <a:blip r:embed="rId19"/>
                          <a:stretch>
                            <a:fillRect/>
                          </a:stretch>
                        </pic:blipFill>
                        <pic:spPr>
                          <a:xfrm>
                            <a:off x="0" y="0"/>
                            <a:ext cx="2995295" cy="318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43555"/>
                  <wp:effectExtent l="0" t="0" r="7620" b="4445"/>
                  <wp:docPr id="48" name="图片 48" descr="C:/Users/thtfpc/AppData/Local/Temp/picturecompress_20220613155503/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thtfpc/AppData/Local/Temp/picturecompress_20220613155503/output_13.jpgoutput_13"/>
                          <pic:cNvPicPr>
                            <a:picLocks noChangeAspect="1"/>
                          </pic:cNvPicPr>
                        </pic:nvPicPr>
                        <pic:blipFill>
                          <a:blip r:embed="rId20"/>
                          <a:stretch>
                            <a:fillRect/>
                          </a:stretch>
                        </pic:blipFill>
                        <pic:spPr>
                          <a:xfrm>
                            <a:off x="0" y="0"/>
                            <a:ext cx="2830830" cy="30435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00680" cy="2943860"/>
                  <wp:effectExtent l="0" t="0" r="13970" b="8890"/>
                  <wp:docPr id="49" name="图片 49" descr="C:/Users/thtfpc/AppData/Local/Temp/picturecompress_20220613155503/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thtfpc/AppData/Local/Temp/picturecompress_20220613155503/output_14.jpgoutput_14"/>
                          <pic:cNvPicPr>
                            <a:picLocks noChangeAspect="1"/>
                          </pic:cNvPicPr>
                        </pic:nvPicPr>
                        <pic:blipFill>
                          <a:blip r:embed="rId21"/>
                          <a:stretch>
                            <a:fillRect/>
                          </a:stretch>
                        </pic:blipFill>
                        <pic:spPr>
                          <a:xfrm>
                            <a:off x="0" y="0"/>
                            <a:ext cx="2900680" cy="2943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26690" cy="2974975"/>
                  <wp:effectExtent l="0" t="0" r="16510" b="15875"/>
                  <wp:docPr id="50" name="图片 50" descr="C:/Users/thtfpc/AppData/Local/Temp/picturecompress_20220613155503/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thtfpc/AppData/Local/Temp/picturecompress_20220613155503/output_15.jpgoutput_15"/>
                          <pic:cNvPicPr>
                            <a:picLocks noChangeAspect="1"/>
                          </pic:cNvPicPr>
                        </pic:nvPicPr>
                        <pic:blipFill>
                          <a:blip r:embed="rId22"/>
                          <a:stretch>
                            <a:fillRect/>
                          </a:stretch>
                        </pic:blipFill>
                        <pic:spPr>
                          <a:xfrm>
                            <a:off x="0" y="0"/>
                            <a:ext cx="2726690" cy="297497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67355" cy="3009265"/>
                  <wp:effectExtent l="0" t="0" r="4445" b="635"/>
                  <wp:docPr id="51" name="图片 51" descr="C:/Users/thtfpc/AppData/Local/Temp/picturecompress_20220613155503/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thtfpc/AppData/Local/Temp/picturecompress_20220613155503/output_16.jpgoutput_16"/>
                          <pic:cNvPicPr>
                            <a:picLocks noChangeAspect="1"/>
                          </pic:cNvPicPr>
                        </pic:nvPicPr>
                        <pic:blipFill>
                          <a:blip r:embed="rId23"/>
                          <a:stretch>
                            <a:fillRect/>
                          </a:stretch>
                        </pic:blipFill>
                        <pic:spPr>
                          <a:xfrm>
                            <a:off x="0" y="0"/>
                            <a:ext cx="2967355" cy="3009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74315" cy="3042285"/>
                  <wp:effectExtent l="0" t="0" r="6985" b="5715"/>
                  <wp:docPr id="52" name="图片 52" descr="C:/Users/thtfpc/AppData/Local/Temp/picturecompress_20220613155503/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thtfpc/AppData/Local/Temp/picturecompress_20220613155503/output_17.jpgoutput_17"/>
                          <pic:cNvPicPr>
                            <a:picLocks noChangeAspect="1"/>
                          </pic:cNvPicPr>
                        </pic:nvPicPr>
                        <pic:blipFill>
                          <a:blip r:embed="rId24"/>
                          <a:stretch>
                            <a:fillRect/>
                          </a:stretch>
                        </pic:blipFill>
                        <pic:spPr>
                          <a:xfrm>
                            <a:off x="0" y="0"/>
                            <a:ext cx="2774315" cy="304228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19730" cy="2980690"/>
                  <wp:effectExtent l="0" t="0" r="13970" b="10160"/>
                  <wp:docPr id="53" name="图片 53" descr="C:/Users/thtfpc/AppData/Local/Temp/picturecompress_20220613155503/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thtfpc/AppData/Local/Temp/picturecompress_20220613155503/output_18.jpgoutput_18"/>
                          <pic:cNvPicPr>
                            <a:picLocks noChangeAspect="1"/>
                          </pic:cNvPicPr>
                        </pic:nvPicPr>
                        <pic:blipFill>
                          <a:blip r:embed="rId25"/>
                          <a:stretch>
                            <a:fillRect/>
                          </a:stretch>
                        </pic:blipFill>
                        <pic:spPr>
                          <a:xfrm>
                            <a:off x="0" y="0"/>
                            <a:ext cx="2919730" cy="2980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451225"/>
                  <wp:effectExtent l="0" t="0" r="7620" b="15875"/>
                  <wp:docPr id="54" name="图片 54" descr="C:/Users/thtfpc/AppData/Local/Temp/picturecompress_20220613155503/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thtfpc/AppData/Local/Temp/picturecompress_20220613155503/output_19.jpgoutput_19"/>
                          <pic:cNvPicPr>
                            <a:picLocks noChangeAspect="1"/>
                          </pic:cNvPicPr>
                        </pic:nvPicPr>
                        <pic:blipFill>
                          <a:blip r:embed="rId26"/>
                          <a:stretch>
                            <a:fillRect/>
                          </a:stretch>
                        </pic:blipFill>
                        <pic:spPr>
                          <a:xfrm>
                            <a:off x="0" y="0"/>
                            <a:ext cx="2830830" cy="345122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372485"/>
                  <wp:effectExtent l="0" t="0" r="14605" b="18415"/>
                  <wp:docPr id="55" name="图片 55" descr="C:/Users/thtfpc/AppData/Local/Temp/picturecompress_20220613155503/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thtfpc/AppData/Local/Temp/picturecompress_20220613155503/output_20.jpgoutput_20"/>
                          <pic:cNvPicPr>
                            <a:picLocks noChangeAspect="1"/>
                          </pic:cNvPicPr>
                        </pic:nvPicPr>
                        <pic:blipFill>
                          <a:blip r:embed="rId27"/>
                          <a:stretch>
                            <a:fillRect/>
                          </a:stretch>
                        </pic:blipFill>
                        <pic:spPr>
                          <a:xfrm>
                            <a:off x="0" y="0"/>
                            <a:ext cx="2995295" cy="3372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23235"/>
                  <wp:effectExtent l="0" t="0" r="7620" b="5715"/>
                  <wp:docPr id="56" name="图片 56" descr="C:/Users/thtfpc/AppData/Local/Temp/picturecompress_20220613155503/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thtfpc/AppData/Local/Temp/picturecompress_20220613155503/output_21.jpgoutput_21"/>
                          <pic:cNvPicPr>
                            <a:picLocks noChangeAspect="1"/>
                          </pic:cNvPicPr>
                        </pic:nvPicPr>
                        <pic:blipFill>
                          <a:blip r:embed="rId28"/>
                          <a:stretch>
                            <a:fillRect/>
                          </a:stretch>
                        </pic:blipFill>
                        <pic:spPr>
                          <a:xfrm>
                            <a:off x="0" y="0"/>
                            <a:ext cx="2830830" cy="302323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018790"/>
                  <wp:effectExtent l="0" t="0" r="14605" b="10160"/>
                  <wp:docPr id="57" name="图片 57" descr="C:/Users/thtfpc/AppData/Local/Temp/picturecompress_20220613155503/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thtfpc/AppData/Local/Temp/picturecompress_20220613155503/output_22.jpgoutput_22"/>
                          <pic:cNvPicPr>
                            <a:picLocks noChangeAspect="1"/>
                          </pic:cNvPicPr>
                        </pic:nvPicPr>
                        <pic:blipFill>
                          <a:blip r:embed="rId29"/>
                          <a:stretch>
                            <a:fillRect/>
                          </a:stretch>
                        </pic:blipFill>
                        <pic:spPr>
                          <a:xfrm>
                            <a:off x="0" y="0"/>
                            <a:ext cx="2995295" cy="3018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2928620"/>
                  <wp:effectExtent l="0" t="0" r="7620" b="5080"/>
                  <wp:docPr id="58" name="图片 58" descr="C:/Users/thtfpc/AppData/Local/Temp/picturecompress_20220613155503/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thtfpc/AppData/Local/Temp/picturecompress_20220613155503/output_23.jpgoutput_23"/>
                          <pic:cNvPicPr>
                            <a:picLocks noChangeAspect="1"/>
                          </pic:cNvPicPr>
                        </pic:nvPicPr>
                        <pic:blipFill>
                          <a:blip r:embed="rId30"/>
                          <a:stretch>
                            <a:fillRect/>
                          </a:stretch>
                        </pic:blipFill>
                        <pic:spPr>
                          <a:xfrm>
                            <a:off x="0" y="0"/>
                            <a:ext cx="2830830" cy="292862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057525"/>
                  <wp:effectExtent l="0" t="0" r="14605" b="9525"/>
                  <wp:docPr id="59" name="图片 59" descr="C:/Users/thtfpc/AppData/Local/Temp/picturecompress_20220613155503/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thtfpc/AppData/Local/Temp/picturecompress_20220613155503/output_24.jpgoutput_24"/>
                          <pic:cNvPicPr>
                            <a:picLocks noChangeAspect="1"/>
                          </pic:cNvPicPr>
                        </pic:nvPicPr>
                        <pic:blipFill>
                          <a:blip r:embed="rId31"/>
                          <a:stretch>
                            <a:fillRect/>
                          </a:stretch>
                        </pic:blipFill>
                        <pic:spPr>
                          <a:xfrm>
                            <a:off x="0" y="0"/>
                            <a:ext cx="2995295" cy="3057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470910"/>
                  <wp:effectExtent l="0" t="0" r="7620" b="15240"/>
                  <wp:docPr id="61" name="图片 61" descr="C:/Users/thtfpc/AppData/Local/Temp/picturecompress_20220613155503/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thtfpc/AppData/Local/Temp/picturecompress_20220613155503/output_25.jpgoutput_25"/>
                          <pic:cNvPicPr>
                            <a:picLocks noChangeAspect="1"/>
                          </pic:cNvPicPr>
                        </pic:nvPicPr>
                        <pic:blipFill>
                          <a:blip r:embed="rId32"/>
                          <a:stretch>
                            <a:fillRect/>
                          </a:stretch>
                        </pic:blipFill>
                        <pic:spPr>
                          <a:xfrm>
                            <a:off x="0" y="0"/>
                            <a:ext cx="2830830" cy="347091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524250"/>
                  <wp:effectExtent l="0" t="0" r="14605" b="0"/>
                  <wp:docPr id="62" name="图片 62" descr="C:/Users/thtfpc/AppData/Local/Temp/picturecompress_20220613155503/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thtfpc/AppData/Local/Temp/picturecompress_20220613155503/output_26.jpgoutput_26"/>
                          <pic:cNvPicPr>
                            <a:picLocks noChangeAspect="1"/>
                          </pic:cNvPicPr>
                        </pic:nvPicPr>
                        <pic:blipFill>
                          <a:blip r:embed="rId33"/>
                          <a:stretch>
                            <a:fillRect/>
                          </a:stretch>
                        </pic:blipFill>
                        <pic:spPr>
                          <a:xfrm>
                            <a:off x="0" y="0"/>
                            <a:ext cx="2995295" cy="3524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166110"/>
                  <wp:effectExtent l="0" t="0" r="7620" b="15240"/>
                  <wp:docPr id="63" name="图片 63" descr="C:/Users/thtfpc/AppData/Local/Temp/picturecompress_20220613155503/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thtfpc/AppData/Local/Temp/picturecompress_20220613155503/output_27.jpgoutput_27"/>
                          <pic:cNvPicPr>
                            <a:picLocks noChangeAspect="1"/>
                          </pic:cNvPicPr>
                        </pic:nvPicPr>
                        <pic:blipFill>
                          <a:blip r:embed="rId34"/>
                          <a:stretch>
                            <a:fillRect/>
                          </a:stretch>
                        </pic:blipFill>
                        <pic:spPr>
                          <a:xfrm>
                            <a:off x="0" y="0"/>
                            <a:ext cx="2830830" cy="316611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80715"/>
                  <wp:effectExtent l="0" t="0" r="14605" b="635"/>
                  <wp:docPr id="64" name="图片 64" descr="C:/Users/thtfpc/AppData/Local/Temp/picturecompress_20220613155503/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thtfpc/AppData/Local/Temp/picturecompress_20220613155503/output_28.jpgoutput_28"/>
                          <pic:cNvPicPr>
                            <a:picLocks noChangeAspect="1"/>
                          </pic:cNvPicPr>
                        </pic:nvPicPr>
                        <pic:blipFill>
                          <a:blip r:embed="rId35"/>
                          <a:stretch>
                            <a:fillRect/>
                          </a:stretch>
                        </pic:blipFill>
                        <pic:spPr>
                          <a:xfrm>
                            <a:off x="0" y="0"/>
                            <a:ext cx="2995295" cy="318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jc w:val="cente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估价对象位置图</w:t>
      </w:r>
    </w:p>
    <w:p>
      <w:pPr>
        <w:jc w:val="center"/>
        <w:rPr>
          <w:rFonts w:hint="eastAsia" w:ascii="仿宋" w:hAnsi="仿宋" w:eastAsia="仿宋" w:cs="仿宋"/>
          <w:b/>
          <w:bCs/>
          <w:color w:val="000000"/>
          <w:kern w:val="0"/>
          <w:sz w:val="28"/>
          <w:szCs w:val="28"/>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2856865</wp:posOffset>
                </wp:positionH>
                <wp:positionV relativeFrom="paragraph">
                  <wp:posOffset>3067050</wp:posOffset>
                </wp:positionV>
                <wp:extent cx="185420" cy="3120390"/>
                <wp:effectExtent l="46990" t="0" r="15240" b="3810"/>
                <wp:wrapNone/>
                <wp:docPr id="18" name="直线 35"/>
                <wp:cNvGraphicFramePr/>
                <a:graphic xmlns:a="http://schemas.openxmlformats.org/drawingml/2006/main">
                  <a:graphicData uri="http://schemas.microsoft.com/office/word/2010/wordprocessingShape">
                    <wps:wsp>
                      <wps:cNvCnPr/>
                      <wps:spPr>
                        <a:xfrm flipH="1" flipV="1">
                          <a:off x="0" y="0"/>
                          <a:ext cx="185420" cy="312039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35" o:spid="_x0000_s1026" o:spt="20" style="position:absolute;left:0pt;flip:x y;margin-left:224.95pt;margin-top:241.5pt;height:245.7pt;width:14.6pt;z-index:251660288;mso-width-relative:page;mso-height-relative:page;" filled="f" stroked="t" coordsize="21600,21600" o:gfxdata="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aBGC2QAAAAsBAAAPAAAAAAAAAAEAIAAAACIAAABkcnMv&#10;ZG93bnJldi54bWxQSwECFAAUAAAACACHTuJAx4JSDwICAAD4AwAADgAAAAAAAAABACAAAAAoAQAA&#10;ZHJzL2Uyb0RvYy54bWxQSwUGAAAAAAYABgBZAQAAnAUAAAAA&#10;">
                <v:fill on="f" focussize="0,0"/>
                <v:stroke weight="1.25pt" color="#000000" joinstyle="round" endarrow="open"/>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2665095</wp:posOffset>
                </wp:positionH>
                <wp:positionV relativeFrom="paragraph">
                  <wp:posOffset>2984500</wp:posOffset>
                </wp:positionV>
                <wp:extent cx="379095" cy="150495"/>
                <wp:effectExtent l="7620" t="7620" r="13335" b="13335"/>
                <wp:wrapNone/>
                <wp:docPr id="19" name="椭圆 36"/>
                <wp:cNvGraphicFramePr/>
                <a:graphic xmlns:a="http://schemas.openxmlformats.org/drawingml/2006/main">
                  <a:graphicData uri="http://schemas.microsoft.com/office/word/2010/wordprocessingShape">
                    <wps:wsp>
                      <wps:cNvSpPr/>
                      <wps:spPr>
                        <a:xfrm flipV="1">
                          <a:off x="0" y="0"/>
                          <a:ext cx="379095" cy="150495"/>
                        </a:xfrm>
                        <a:prstGeom prst="ellipse">
                          <a:avLst/>
                        </a:prstGeom>
                        <a:solidFill>
                          <a:srgbClr val="000000"/>
                        </a:solidFill>
                        <a:ln w="15875" cap="flat" cmpd="sng">
                          <a:solidFill>
                            <a:srgbClr val="000000"/>
                          </a:solidFill>
                          <a:prstDash val="solid"/>
                          <a:headEnd type="none" w="med" len="med"/>
                          <a:tailEnd type="none" w="med" len="med"/>
                        </a:ln>
                      </wps:spPr>
                      <wps:txbx>
                        <w:txbxContent>
                          <w:p/>
                        </w:txbxContent>
                      </wps:txbx>
                      <wps:bodyPr wrap="square" upright="1"/>
                    </wps:wsp>
                  </a:graphicData>
                </a:graphic>
              </wp:anchor>
            </w:drawing>
          </mc:Choice>
          <mc:Fallback>
            <w:pict>
              <v:shape id="椭圆 36" o:spid="_x0000_s1026" o:spt="3" type="#_x0000_t3" style="position:absolute;left:0pt;flip:y;margin-left:209.85pt;margin-top:235pt;height:11.85pt;width:29.85pt;z-index:251659264;mso-width-relative:page;mso-height-relative:page;" fillcolor="#000000" filled="t" stroked="t" coordsize="21600,21600" o:gfxdata="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2mwKNcAAAALAQAADwAAAAAAAAABACAAAAAiAAAA&#10;ZHJzL2Rvd25yZXYueG1sUEsBAhQAFAAAAAgAh07iQLmCO4MIAgAAPAQAAA4AAAAAAAAAAQAgAAAA&#10;JgEAAGRycy9lMm9Eb2MueG1sUEsFBgAAAAAGAAYAWQEAAKAFAAAAAA==&#10;">
                <v:fill on="t" focussize="0,0"/>
                <v:stroke weight="1.25pt" color="#000000" joinstyle="round"/>
                <v:imagedata o:title=""/>
                <o:lock v:ext="edit" aspectratio="f"/>
                <v:textbox>
                  <w:txbxContent>
                    <w:p/>
                  </w:txbxContent>
                </v:textbox>
              </v:shape>
            </w:pict>
          </mc:Fallback>
        </mc:AlternateContent>
      </w:r>
      <w:r>
        <w:rPr>
          <w:rFonts w:hint="eastAsia" w:ascii="仿宋" w:hAnsi="仿宋" w:eastAsia="仿宋" w:cs="仿宋"/>
          <w:b/>
          <w:bCs/>
          <w:color w:val="000000"/>
          <w:kern w:val="0"/>
          <w:sz w:val="28"/>
          <w:szCs w:val="28"/>
          <w:lang w:val="en-US" w:eastAsia="zh-CN"/>
        </w:rPr>
        <w:drawing>
          <wp:inline distT="0" distB="0" distL="114300" distR="114300">
            <wp:extent cx="5963920" cy="5721350"/>
            <wp:effectExtent l="0" t="0" r="17780" b="12700"/>
            <wp:docPr id="65" name="图片 65" descr="C:/Users/thtfpc/AppData/Local/Temp/picturecompress_20220613155503/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thtfpc/AppData/Local/Temp/picturecompress_20220613155503/output_29.jpgoutput_29"/>
                    <pic:cNvPicPr>
                      <a:picLocks noChangeAspect="1"/>
                    </pic:cNvPicPr>
                  </pic:nvPicPr>
                  <pic:blipFill>
                    <a:blip r:embed="rId36"/>
                    <a:stretch>
                      <a:fillRect/>
                    </a:stretch>
                  </pic:blipFill>
                  <pic:spPr>
                    <a:xfrm>
                      <a:off x="0" y="0"/>
                      <a:ext cx="5963920" cy="5721350"/>
                    </a:xfrm>
                    <a:prstGeom prst="rect">
                      <a:avLst/>
                    </a:prstGeom>
                  </pic:spPr>
                </pic:pic>
              </a:graphicData>
            </a:graphic>
          </wp:inline>
        </w:drawing>
      </w:r>
    </w:p>
    <w:p>
      <w:pPr>
        <w:jc w:val="center"/>
        <w:rPr>
          <w:rFonts w:hint="eastAsia" w:ascii="仿宋" w:hAnsi="仿宋" w:eastAsia="仿宋" w:cs="仿宋"/>
          <w:b/>
          <w:bCs/>
          <w:color w:val="000000"/>
          <w:kern w:val="0"/>
          <w:sz w:val="28"/>
          <w:szCs w:val="28"/>
          <w:lang w:val="en-US" w:eastAsia="zh-CN"/>
        </w:rPr>
      </w:pPr>
    </w:p>
    <w:p>
      <w:pPr>
        <w:jc w:val="center"/>
        <w:rPr>
          <w:rFonts w:hint="eastAsia" w:ascii="仿宋_GB2312" w:eastAsia="仿宋_GB2312"/>
          <w:sz w:val="28"/>
          <w:szCs w:val="28"/>
        </w:rPr>
      </w:pPr>
      <w:r>
        <w:rPr>
          <w:rFonts w:hint="eastAsia" w:ascii="仿宋_GB2312" w:eastAsia="仿宋_GB2312"/>
          <w:sz w:val="28"/>
          <w:szCs w:val="28"/>
        </w:rPr>
        <w:t>估价对象所在位置</w:t>
      </w:r>
    </w:p>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p>
      <w:pPr>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sectPr>
      <w:headerReference r:id="rId5" w:type="default"/>
      <w:footerReference r:id="rId6" w:type="default"/>
      <w:endnotePr>
        <w:numFmt w:val="decimal"/>
      </w:endnotePr>
      <w:pgSz w:w="11906" w:h="16838"/>
      <w:pgMar w:top="1440" w:right="1080" w:bottom="1440" w:left="1080" w:header="851" w:footer="992" w:gutter="0"/>
      <w:pgNumType w:start="1"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57835" cy="147955"/>
              <wp:effectExtent l="0" t="0" r="0" b="0"/>
              <wp:wrapNone/>
              <wp:docPr id="20" name="文本框 7"/>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15875">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1.65pt;width:36.05pt;mso-position-horizontal:center;mso-position-horizontal-relative:margin;mso-wrap-style:none;z-index:251661312;mso-width-relative:page;mso-height-relative:page;" filled="f" stroked="f" coordsize="21600,21600" o:gfxdata="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jqNZ1QAAAAMBAAAPAAAAAAAAAAEAIAAA&#10;ACIAAABkcnMvZG93bnJldi54bWxQSwECFAAUAAAACACHTuJA3ajvKtYBAACiAwAADgAAAAAAAAAB&#10;ACAAAAAkAQAAZHJzL2Uyb0RvYy54bWxQSwUGAAAAAAYABgBZAQAAbAUAAAAA&#10;">
              <v:fill on="f" focussize="0,0"/>
              <v:stroke on="f" weight="1.25pt"/>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097" o:spid="_x0000_s4097" o:spt="136" type="#_x0000_t136" style="position:absolute;left:0pt;margin-left:-31.55pt;margin-top:265.35pt;height:152.85pt;width:536.25pt;mso-position-horizontal-relative:margin;mso-position-vertical-relative:margin;rotation:-2949120f;z-index:-251654144;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_x0000_s4098" o:spid="_x0000_s4098" o:spt="136" type="#_x0000_t136" style="position:absolute;left:0pt;height:135.55pt;width:415.3pt;mso-position-horizontal:center;mso-position-horizontal-relative:margin;mso-position-vertical:center;mso-position-vertical-relative:margin;z-index:-251653120;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37"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099" o:spid="_x0000_s4099" o:spt="136" type="#_x0000_t136" style="position:absolute;left:0pt;margin-left:-31.55pt;margin-top:265.35pt;height:152.85pt;width:536.25pt;mso-position-horizontal-relative:margin;mso-position-vertical-relative:margin;rotation:-2949120f;z-index:-251657216;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PowerPlusWaterMarkObject18075" o:spid="_x0000_s4100" o:spt="136" type="#_x0000_t136" style="position:absolute;left:0pt;height:135.55pt;width:415.3pt;mso-position-horizontal:center;mso-position-horizontal-relative:margin;mso-position-vertical:center;mso-position-vertical-relative:margin;z-index:-251656192;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21"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CC788E"/>
    <w:multiLevelType w:val="singleLevel"/>
    <w:tmpl w:val="CDCC788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endnotePr>
    <w:numFmt w:val="decimal"/>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85"/>
    <w:rsid w:val="00001314"/>
    <w:rsid w:val="000054AC"/>
    <w:rsid w:val="00011D71"/>
    <w:rsid w:val="000133BC"/>
    <w:rsid w:val="0002501F"/>
    <w:rsid w:val="00027245"/>
    <w:rsid w:val="00032B13"/>
    <w:rsid w:val="00037C47"/>
    <w:rsid w:val="000405B0"/>
    <w:rsid w:val="000477AB"/>
    <w:rsid w:val="00054007"/>
    <w:rsid w:val="0005680F"/>
    <w:rsid w:val="00056F13"/>
    <w:rsid w:val="00057532"/>
    <w:rsid w:val="000625EE"/>
    <w:rsid w:val="0006407F"/>
    <w:rsid w:val="00070C6F"/>
    <w:rsid w:val="00072E7E"/>
    <w:rsid w:val="00080F9A"/>
    <w:rsid w:val="000812F8"/>
    <w:rsid w:val="000818E1"/>
    <w:rsid w:val="00086367"/>
    <w:rsid w:val="000937A5"/>
    <w:rsid w:val="000A561B"/>
    <w:rsid w:val="000A7259"/>
    <w:rsid w:val="000B4494"/>
    <w:rsid w:val="000C4ABC"/>
    <w:rsid w:val="000D0309"/>
    <w:rsid w:val="000D104B"/>
    <w:rsid w:val="000E27AD"/>
    <w:rsid w:val="000E4B62"/>
    <w:rsid w:val="000E547C"/>
    <w:rsid w:val="000E7CBA"/>
    <w:rsid w:val="000F118D"/>
    <w:rsid w:val="000F154F"/>
    <w:rsid w:val="000F276D"/>
    <w:rsid w:val="000F2B44"/>
    <w:rsid w:val="000F4C8A"/>
    <w:rsid w:val="00101D24"/>
    <w:rsid w:val="00110750"/>
    <w:rsid w:val="00110B93"/>
    <w:rsid w:val="00117143"/>
    <w:rsid w:val="0011719F"/>
    <w:rsid w:val="00117E23"/>
    <w:rsid w:val="001235FA"/>
    <w:rsid w:val="001251AF"/>
    <w:rsid w:val="001261CA"/>
    <w:rsid w:val="00127090"/>
    <w:rsid w:val="00127643"/>
    <w:rsid w:val="0013305A"/>
    <w:rsid w:val="0013768A"/>
    <w:rsid w:val="00141C6A"/>
    <w:rsid w:val="00150639"/>
    <w:rsid w:val="001510D4"/>
    <w:rsid w:val="001545E0"/>
    <w:rsid w:val="00155998"/>
    <w:rsid w:val="00157448"/>
    <w:rsid w:val="00162158"/>
    <w:rsid w:val="0016497E"/>
    <w:rsid w:val="00172A51"/>
    <w:rsid w:val="001746ED"/>
    <w:rsid w:val="00174DCD"/>
    <w:rsid w:val="001752F5"/>
    <w:rsid w:val="001760D3"/>
    <w:rsid w:val="0017690A"/>
    <w:rsid w:val="00181633"/>
    <w:rsid w:val="00182FB0"/>
    <w:rsid w:val="00184906"/>
    <w:rsid w:val="0018638F"/>
    <w:rsid w:val="00186D90"/>
    <w:rsid w:val="0019158A"/>
    <w:rsid w:val="001932E1"/>
    <w:rsid w:val="001A05D7"/>
    <w:rsid w:val="001A0603"/>
    <w:rsid w:val="001A4C5D"/>
    <w:rsid w:val="001A6146"/>
    <w:rsid w:val="001A66F4"/>
    <w:rsid w:val="001A6E8F"/>
    <w:rsid w:val="001B02C3"/>
    <w:rsid w:val="001B7D68"/>
    <w:rsid w:val="001C27ED"/>
    <w:rsid w:val="001C2CAB"/>
    <w:rsid w:val="001C3DF5"/>
    <w:rsid w:val="001C4459"/>
    <w:rsid w:val="001C6F9E"/>
    <w:rsid w:val="001D0E59"/>
    <w:rsid w:val="001D4993"/>
    <w:rsid w:val="001D52EB"/>
    <w:rsid w:val="001F18F7"/>
    <w:rsid w:val="002010ED"/>
    <w:rsid w:val="00205644"/>
    <w:rsid w:val="0020600C"/>
    <w:rsid w:val="00212CE0"/>
    <w:rsid w:val="00216511"/>
    <w:rsid w:val="0022408B"/>
    <w:rsid w:val="00224439"/>
    <w:rsid w:val="0023095D"/>
    <w:rsid w:val="00235B9E"/>
    <w:rsid w:val="00242DBB"/>
    <w:rsid w:val="0024491F"/>
    <w:rsid w:val="0025255F"/>
    <w:rsid w:val="00254C01"/>
    <w:rsid w:val="0026049A"/>
    <w:rsid w:val="00273598"/>
    <w:rsid w:val="00277123"/>
    <w:rsid w:val="00277556"/>
    <w:rsid w:val="00282BE3"/>
    <w:rsid w:val="0028357B"/>
    <w:rsid w:val="00284589"/>
    <w:rsid w:val="00293653"/>
    <w:rsid w:val="002A0859"/>
    <w:rsid w:val="002B5ABB"/>
    <w:rsid w:val="002C0551"/>
    <w:rsid w:val="002C3093"/>
    <w:rsid w:val="002D05FB"/>
    <w:rsid w:val="002D2198"/>
    <w:rsid w:val="002D3ECD"/>
    <w:rsid w:val="002D3EE9"/>
    <w:rsid w:val="002D6883"/>
    <w:rsid w:val="002E4381"/>
    <w:rsid w:val="002E479C"/>
    <w:rsid w:val="002E6F62"/>
    <w:rsid w:val="002E71EF"/>
    <w:rsid w:val="002E7FC1"/>
    <w:rsid w:val="002F1EAE"/>
    <w:rsid w:val="00306298"/>
    <w:rsid w:val="00311B2F"/>
    <w:rsid w:val="00331F97"/>
    <w:rsid w:val="00350509"/>
    <w:rsid w:val="003562A0"/>
    <w:rsid w:val="003569E4"/>
    <w:rsid w:val="00361CA9"/>
    <w:rsid w:val="003729B9"/>
    <w:rsid w:val="00372A5F"/>
    <w:rsid w:val="00373AE8"/>
    <w:rsid w:val="0037795B"/>
    <w:rsid w:val="0038039F"/>
    <w:rsid w:val="003832B8"/>
    <w:rsid w:val="003864E8"/>
    <w:rsid w:val="00391AF0"/>
    <w:rsid w:val="00395E12"/>
    <w:rsid w:val="003A4F70"/>
    <w:rsid w:val="003A796F"/>
    <w:rsid w:val="003B1853"/>
    <w:rsid w:val="003B2DFB"/>
    <w:rsid w:val="003B4FE6"/>
    <w:rsid w:val="003B6DCE"/>
    <w:rsid w:val="003C5064"/>
    <w:rsid w:val="003D57AF"/>
    <w:rsid w:val="003D637B"/>
    <w:rsid w:val="003D7B2B"/>
    <w:rsid w:val="003E0379"/>
    <w:rsid w:val="003E03A4"/>
    <w:rsid w:val="003E0AC3"/>
    <w:rsid w:val="003E24DE"/>
    <w:rsid w:val="003F5181"/>
    <w:rsid w:val="00410697"/>
    <w:rsid w:val="00412092"/>
    <w:rsid w:val="00426631"/>
    <w:rsid w:val="004339DB"/>
    <w:rsid w:val="00434B99"/>
    <w:rsid w:val="0043639B"/>
    <w:rsid w:val="004371DC"/>
    <w:rsid w:val="00437302"/>
    <w:rsid w:val="00437475"/>
    <w:rsid w:val="004409D5"/>
    <w:rsid w:val="0044199E"/>
    <w:rsid w:val="004439BF"/>
    <w:rsid w:val="004439D7"/>
    <w:rsid w:val="0045022E"/>
    <w:rsid w:val="00460AF9"/>
    <w:rsid w:val="00461B4A"/>
    <w:rsid w:val="00463BA0"/>
    <w:rsid w:val="00464BE7"/>
    <w:rsid w:val="00466FD9"/>
    <w:rsid w:val="00467327"/>
    <w:rsid w:val="00475BEE"/>
    <w:rsid w:val="0048149C"/>
    <w:rsid w:val="004875CE"/>
    <w:rsid w:val="00497E18"/>
    <w:rsid w:val="004A1012"/>
    <w:rsid w:val="004A25A1"/>
    <w:rsid w:val="004A3A18"/>
    <w:rsid w:val="004A4241"/>
    <w:rsid w:val="004A445E"/>
    <w:rsid w:val="004B6781"/>
    <w:rsid w:val="004B6838"/>
    <w:rsid w:val="004B6C13"/>
    <w:rsid w:val="004C0B70"/>
    <w:rsid w:val="004C703C"/>
    <w:rsid w:val="004C78E6"/>
    <w:rsid w:val="004D7090"/>
    <w:rsid w:val="004E18BE"/>
    <w:rsid w:val="004E3A3C"/>
    <w:rsid w:val="004F22E6"/>
    <w:rsid w:val="004F3531"/>
    <w:rsid w:val="004F3F58"/>
    <w:rsid w:val="004F438B"/>
    <w:rsid w:val="004F529C"/>
    <w:rsid w:val="004F5AB6"/>
    <w:rsid w:val="00505EFC"/>
    <w:rsid w:val="00512545"/>
    <w:rsid w:val="00512F7A"/>
    <w:rsid w:val="00517E18"/>
    <w:rsid w:val="0052380E"/>
    <w:rsid w:val="0052698D"/>
    <w:rsid w:val="00526D19"/>
    <w:rsid w:val="00531AC3"/>
    <w:rsid w:val="00531ACB"/>
    <w:rsid w:val="00541E05"/>
    <w:rsid w:val="00543327"/>
    <w:rsid w:val="00543396"/>
    <w:rsid w:val="0055059D"/>
    <w:rsid w:val="0055627E"/>
    <w:rsid w:val="005577FD"/>
    <w:rsid w:val="00562F85"/>
    <w:rsid w:val="00565B34"/>
    <w:rsid w:val="00570555"/>
    <w:rsid w:val="00574319"/>
    <w:rsid w:val="00583081"/>
    <w:rsid w:val="00593F44"/>
    <w:rsid w:val="0059666E"/>
    <w:rsid w:val="005A003B"/>
    <w:rsid w:val="005A0C71"/>
    <w:rsid w:val="005A1D4B"/>
    <w:rsid w:val="005A68AB"/>
    <w:rsid w:val="005B0F20"/>
    <w:rsid w:val="005B5048"/>
    <w:rsid w:val="005B69B2"/>
    <w:rsid w:val="005B7B10"/>
    <w:rsid w:val="005C267C"/>
    <w:rsid w:val="005D0E34"/>
    <w:rsid w:val="005D5268"/>
    <w:rsid w:val="005D5BF9"/>
    <w:rsid w:val="005E0677"/>
    <w:rsid w:val="005E2964"/>
    <w:rsid w:val="005E379F"/>
    <w:rsid w:val="005E7947"/>
    <w:rsid w:val="005F14ED"/>
    <w:rsid w:val="005F3CB9"/>
    <w:rsid w:val="005F56B5"/>
    <w:rsid w:val="00600C34"/>
    <w:rsid w:val="00605E94"/>
    <w:rsid w:val="00606209"/>
    <w:rsid w:val="00607FEB"/>
    <w:rsid w:val="00610F05"/>
    <w:rsid w:val="00614FD5"/>
    <w:rsid w:val="00620B5B"/>
    <w:rsid w:val="0062312A"/>
    <w:rsid w:val="00623B5A"/>
    <w:rsid w:val="006240AC"/>
    <w:rsid w:val="0062444F"/>
    <w:rsid w:val="006253C9"/>
    <w:rsid w:val="0062702C"/>
    <w:rsid w:val="00627B48"/>
    <w:rsid w:val="0063184C"/>
    <w:rsid w:val="0064316D"/>
    <w:rsid w:val="00644347"/>
    <w:rsid w:val="0064663D"/>
    <w:rsid w:val="00650720"/>
    <w:rsid w:val="00651778"/>
    <w:rsid w:val="00653162"/>
    <w:rsid w:val="00657BCA"/>
    <w:rsid w:val="006616DE"/>
    <w:rsid w:val="00662466"/>
    <w:rsid w:val="00662CD7"/>
    <w:rsid w:val="00664DB0"/>
    <w:rsid w:val="00666437"/>
    <w:rsid w:val="006671B9"/>
    <w:rsid w:val="00671791"/>
    <w:rsid w:val="00671BA5"/>
    <w:rsid w:val="006738A3"/>
    <w:rsid w:val="00680E2C"/>
    <w:rsid w:val="006810F9"/>
    <w:rsid w:val="0068621D"/>
    <w:rsid w:val="006943AC"/>
    <w:rsid w:val="00694E04"/>
    <w:rsid w:val="006A3184"/>
    <w:rsid w:val="006A3A42"/>
    <w:rsid w:val="006A5B79"/>
    <w:rsid w:val="006A5D9D"/>
    <w:rsid w:val="006A630B"/>
    <w:rsid w:val="006A715D"/>
    <w:rsid w:val="006B2957"/>
    <w:rsid w:val="006B3292"/>
    <w:rsid w:val="006B4356"/>
    <w:rsid w:val="006B4F60"/>
    <w:rsid w:val="006B617F"/>
    <w:rsid w:val="006B7F87"/>
    <w:rsid w:val="006C0D75"/>
    <w:rsid w:val="006C150E"/>
    <w:rsid w:val="006C4A14"/>
    <w:rsid w:val="006C6EA5"/>
    <w:rsid w:val="006C7E53"/>
    <w:rsid w:val="006D32EC"/>
    <w:rsid w:val="006D4539"/>
    <w:rsid w:val="006D776E"/>
    <w:rsid w:val="006E7C19"/>
    <w:rsid w:val="006F24FB"/>
    <w:rsid w:val="006F2B18"/>
    <w:rsid w:val="006F505E"/>
    <w:rsid w:val="006F5720"/>
    <w:rsid w:val="006F6076"/>
    <w:rsid w:val="006F659A"/>
    <w:rsid w:val="006F6D22"/>
    <w:rsid w:val="006F745F"/>
    <w:rsid w:val="006F772C"/>
    <w:rsid w:val="00701DA4"/>
    <w:rsid w:val="00715129"/>
    <w:rsid w:val="00724088"/>
    <w:rsid w:val="00724322"/>
    <w:rsid w:val="007244B6"/>
    <w:rsid w:val="00726DC8"/>
    <w:rsid w:val="007318D7"/>
    <w:rsid w:val="00732584"/>
    <w:rsid w:val="00732CD0"/>
    <w:rsid w:val="00733BF1"/>
    <w:rsid w:val="00735B55"/>
    <w:rsid w:val="007377B7"/>
    <w:rsid w:val="007433E3"/>
    <w:rsid w:val="00746F63"/>
    <w:rsid w:val="007470CC"/>
    <w:rsid w:val="007522C8"/>
    <w:rsid w:val="0075262A"/>
    <w:rsid w:val="0075326F"/>
    <w:rsid w:val="00757B3C"/>
    <w:rsid w:val="00760517"/>
    <w:rsid w:val="00762A88"/>
    <w:rsid w:val="0076659B"/>
    <w:rsid w:val="007747FE"/>
    <w:rsid w:val="0077631C"/>
    <w:rsid w:val="007838D5"/>
    <w:rsid w:val="00790159"/>
    <w:rsid w:val="00790AFB"/>
    <w:rsid w:val="007942ED"/>
    <w:rsid w:val="00797189"/>
    <w:rsid w:val="007A57D1"/>
    <w:rsid w:val="007B0873"/>
    <w:rsid w:val="007B0D2A"/>
    <w:rsid w:val="007B1EB6"/>
    <w:rsid w:val="007B4929"/>
    <w:rsid w:val="007B70D5"/>
    <w:rsid w:val="007C2891"/>
    <w:rsid w:val="007C3AB5"/>
    <w:rsid w:val="007C46B3"/>
    <w:rsid w:val="007D257F"/>
    <w:rsid w:val="007D282A"/>
    <w:rsid w:val="007D73CC"/>
    <w:rsid w:val="007E21BC"/>
    <w:rsid w:val="007F081A"/>
    <w:rsid w:val="007F0B5F"/>
    <w:rsid w:val="007F1807"/>
    <w:rsid w:val="008003A8"/>
    <w:rsid w:val="0080367F"/>
    <w:rsid w:val="00803BBC"/>
    <w:rsid w:val="00805043"/>
    <w:rsid w:val="00810056"/>
    <w:rsid w:val="0081056B"/>
    <w:rsid w:val="008110B7"/>
    <w:rsid w:val="00812712"/>
    <w:rsid w:val="0081562D"/>
    <w:rsid w:val="0081601F"/>
    <w:rsid w:val="00822525"/>
    <w:rsid w:val="00822CF6"/>
    <w:rsid w:val="008230E3"/>
    <w:rsid w:val="008249CA"/>
    <w:rsid w:val="008254CF"/>
    <w:rsid w:val="008274AB"/>
    <w:rsid w:val="008333DE"/>
    <w:rsid w:val="00840268"/>
    <w:rsid w:val="00840CFF"/>
    <w:rsid w:val="00845EE4"/>
    <w:rsid w:val="00847384"/>
    <w:rsid w:val="00856AFB"/>
    <w:rsid w:val="00856B42"/>
    <w:rsid w:val="00861785"/>
    <w:rsid w:val="00862566"/>
    <w:rsid w:val="00864CE7"/>
    <w:rsid w:val="00871EB2"/>
    <w:rsid w:val="00872EC0"/>
    <w:rsid w:val="00873937"/>
    <w:rsid w:val="00873DA5"/>
    <w:rsid w:val="00875B3B"/>
    <w:rsid w:val="00881008"/>
    <w:rsid w:val="00886289"/>
    <w:rsid w:val="00886C70"/>
    <w:rsid w:val="0089170A"/>
    <w:rsid w:val="008921BE"/>
    <w:rsid w:val="00893B47"/>
    <w:rsid w:val="00893EE0"/>
    <w:rsid w:val="008943C6"/>
    <w:rsid w:val="008A1F91"/>
    <w:rsid w:val="008A3B7F"/>
    <w:rsid w:val="008A4DE2"/>
    <w:rsid w:val="008A5B79"/>
    <w:rsid w:val="008A67DC"/>
    <w:rsid w:val="008A710A"/>
    <w:rsid w:val="008B6401"/>
    <w:rsid w:val="008C5A67"/>
    <w:rsid w:val="008D33E3"/>
    <w:rsid w:val="008D7063"/>
    <w:rsid w:val="008D7F2C"/>
    <w:rsid w:val="008E1490"/>
    <w:rsid w:val="008E2988"/>
    <w:rsid w:val="008F1609"/>
    <w:rsid w:val="008F179A"/>
    <w:rsid w:val="008F254A"/>
    <w:rsid w:val="008F40B1"/>
    <w:rsid w:val="0090093C"/>
    <w:rsid w:val="009100A6"/>
    <w:rsid w:val="00911EF7"/>
    <w:rsid w:val="00916171"/>
    <w:rsid w:val="009242DE"/>
    <w:rsid w:val="00924A6A"/>
    <w:rsid w:val="0093208E"/>
    <w:rsid w:val="00935C50"/>
    <w:rsid w:val="009367A3"/>
    <w:rsid w:val="00936899"/>
    <w:rsid w:val="00936A89"/>
    <w:rsid w:val="009409CB"/>
    <w:rsid w:val="009427BD"/>
    <w:rsid w:val="00942BEC"/>
    <w:rsid w:val="009444BE"/>
    <w:rsid w:val="009449F2"/>
    <w:rsid w:val="00950BBB"/>
    <w:rsid w:val="00954FD6"/>
    <w:rsid w:val="009557FA"/>
    <w:rsid w:val="0095763B"/>
    <w:rsid w:val="00957C61"/>
    <w:rsid w:val="00961411"/>
    <w:rsid w:val="009639D5"/>
    <w:rsid w:val="009746F1"/>
    <w:rsid w:val="0097623E"/>
    <w:rsid w:val="00983384"/>
    <w:rsid w:val="00986E96"/>
    <w:rsid w:val="0099170E"/>
    <w:rsid w:val="0099397D"/>
    <w:rsid w:val="009A0D2F"/>
    <w:rsid w:val="009A3D28"/>
    <w:rsid w:val="009A58A5"/>
    <w:rsid w:val="009A594C"/>
    <w:rsid w:val="009B03F0"/>
    <w:rsid w:val="009B3394"/>
    <w:rsid w:val="009C4C01"/>
    <w:rsid w:val="009C7529"/>
    <w:rsid w:val="009D286C"/>
    <w:rsid w:val="009E0263"/>
    <w:rsid w:val="009F4684"/>
    <w:rsid w:val="009F6CA3"/>
    <w:rsid w:val="00A01AB8"/>
    <w:rsid w:val="00A023F2"/>
    <w:rsid w:val="00A04E62"/>
    <w:rsid w:val="00A1006E"/>
    <w:rsid w:val="00A11B85"/>
    <w:rsid w:val="00A1445C"/>
    <w:rsid w:val="00A17B76"/>
    <w:rsid w:val="00A21B39"/>
    <w:rsid w:val="00A258DB"/>
    <w:rsid w:val="00A27F38"/>
    <w:rsid w:val="00A31ECD"/>
    <w:rsid w:val="00A321AD"/>
    <w:rsid w:val="00A4049C"/>
    <w:rsid w:val="00A46F92"/>
    <w:rsid w:val="00A47FE6"/>
    <w:rsid w:val="00A519A1"/>
    <w:rsid w:val="00A61795"/>
    <w:rsid w:val="00A62CDF"/>
    <w:rsid w:val="00A63BD1"/>
    <w:rsid w:val="00A70971"/>
    <w:rsid w:val="00A752F4"/>
    <w:rsid w:val="00A76DE1"/>
    <w:rsid w:val="00A81F1A"/>
    <w:rsid w:val="00A82595"/>
    <w:rsid w:val="00A828CD"/>
    <w:rsid w:val="00A95732"/>
    <w:rsid w:val="00A978FB"/>
    <w:rsid w:val="00AA3208"/>
    <w:rsid w:val="00AA45F9"/>
    <w:rsid w:val="00AA5502"/>
    <w:rsid w:val="00AB0F1F"/>
    <w:rsid w:val="00AB32F8"/>
    <w:rsid w:val="00AB3C38"/>
    <w:rsid w:val="00AB5E10"/>
    <w:rsid w:val="00AB6882"/>
    <w:rsid w:val="00AD2047"/>
    <w:rsid w:val="00AD5DB4"/>
    <w:rsid w:val="00AD6DB9"/>
    <w:rsid w:val="00AE0D78"/>
    <w:rsid w:val="00AE77BE"/>
    <w:rsid w:val="00AF0112"/>
    <w:rsid w:val="00AF1B95"/>
    <w:rsid w:val="00AF285E"/>
    <w:rsid w:val="00AF3F96"/>
    <w:rsid w:val="00AF4DEB"/>
    <w:rsid w:val="00B05FE4"/>
    <w:rsid w:val="00B06056"/>
    <w:rsid w:val="00B0658E"/>
    <w:rsid w:val="00B1070B"/>
    <w:rsid w:val="00B11A49"/>
    <w:rsid w:val="00B1449C"/>
    <w:rsid w:val="00B146D5"/>
    <w:rsid w:val="00B15FF8"/>
    <w:rsid w:val="00B163B8"/>
    <w:rsid w:val="00B24404"/>
    <w:rsid w:val="00B25C3B"/>
    <w:rsid w:val="00B277CF"/>
    <w:rsid w:val="00B33FB9"/>
    <w:rsid w:val="00B36A5D"/>
    <w:rsid w:val="00B401D3"/>
    <w:rsid w:val="00B40C7D"/>
    <w:rsid w:val="00B46F22"/>
    <w:rsid w:val="00B4771C"/>
    <w:rsid w:val="00B51EE2"/>
    <w:rsid w:val="00B537CD"/>
    <w:rsid w:val="00B5612B"/>
    <w:rsid w:val="00B57DA9"/>
    <w:rsid w:val="00B617B4"/>
    <w:rsid w:val="00B61958"/>
    <w:rsid w:val="00B6306D"/>
    <w:rsid w:val="00B72B0D"/>
    <w:rsid w:val="00B82834"/>
    <w:rsid w:val="00B90155"/>
    <w:rsid w:val="00B92FB1"/>
    <w:rsid w:val="00B954A2"/>
    <w:rsid w:val="00BA2F86"/>
    <w:rsid w:val="00BA32E8"/>
    <w:rsid w:val="00BA57A4"/>
    <w:rsid w:val="00BB1109"/>
    <w:rsid w:val="00BB1F4E"/>
    <w:rsid w:val="00BC252E"/>
    <w:rsid w:val="00BC3171"/>
    <w:rsid w:val="00BC3F70"/>
    <w:rsid w:val="00BD001A"/>
    <w:rsid w:val="00BD0CF2"/>
    <w:rsid w:val="00BD1173"/>
    <w:rsid w:val="00BD153C"/>
    <w:rsid w:val="00BD1F0A"/>
    <w:rsid w:val="00BD2847"/>
    <w:rsid w:val="00BD4582"/>
    <w:rsid w:val="00BD6BAD"/>
    <w:rsid w:val="00BD7571"/>
    <w:rsid w:val="00BE0712"/>
    <w:rsid w:val="00BE4F5B"/>
    <w:rsid w:val="00BE4FE3"/>
    <w:rsid w:val="00BE59B1"/>
    <w:rsid w:val="00BE5DB5"/>
    <w:rsid w:val="00BE60C1"/>
    <w:rsid w:val="00BE6FAB"/>
    <w:rsid w:val="00BF0901"/>
    <w:rsid w:val="00BF59E6"/>
    <w:rsid w:val="00BF6546"/>
    <w:rsid w:val="00C039CA"/>
    <w:rsid w:val="00C03E46"/>
    <w:rsid w:val="00C044B6"/>
    <w:rsid w:val="00C07CC4"/>
    <w:rsid w:val="00C14E7C"/>
    <w:rsid w:val="00C333E8"/>
    <w:rsid w:val="00C345C7"/>
    <w:rsid w:val="00C35A0E"/>
    <w:rsid w:val="00C37355"/>
    <w:rsid w:val="00C41DB4"/>
    <w:rsid w:val="00C46135"/>
    <w:rsid w:val="00C50590"/>
    <w:rsid w:val="00C510AE"/>
    <w:rsid w:val="00C5498C"/>
    <w:rsid w:val="00C54C9A"/>
    <w:rsid w:val="00C55683"/>
    <w:rsid w:val="00C564FB"/>
    <w:rsid w:val="00C56A06"/>
    <w:rsid w:val="00C61963"/>
    <w:rsid w:val="00C64F7D"/>
    <w:rsid w:val="00C66FA8"/>
    <w:rsid w:val="00C70190"/>
    <w:rsid w:val="00C70CBB"/>
    <w:rsid w:val="00C76623"/>
    <w:rsid w:val="00C81D06"/>
    <w:rsid w:val="00C81D3C"/>
    <w:rsid w:val="00C820DE"/>
    <w:rsid w:val="00C82ABE"/>
    <w:rsid w:val="00C86391"/>
    <w:rsid w:val="00C93FBD"/>
    <w:rsid w:val="00C944F0"/>
    <w:rsid w:val="00C9769D"/>
    <w:rsid w:val="00CA57C4"/>
    <w:rsid w:val="00CA6424"/>
    <w:rsid w:val="00CA6D4D"/>
    <w:rsid w:val="00CB1408"/>
    <w:rsid w:val="00CB1629"/>
    <w:rsid w:val="00CB1C4D"/>
    <w:rsid w:val="00CC2A8A"/>
    <w:rsid w:val="00CC54E3"/>
    <w:rsid w:val="00CD1AF1"/>
    <w:rsid w:val="00CD27DA"/>
    <w:rsid w:val="00CD35DA"/>
    <w:rsid w:val="00CE1391"/>
    <w:rsid w:val="00CE2985"/>
    <w:rsid w:val="00CE68D9"/>
    <w:rsid w:val="00CF0EB8"/>
    <w:rsid w:val="00CF0F69"/>
    <w:rsid w:val="00CF1D8C"/>
    <w:rsid w:val="00D02553"/>
    <w:rsid w:val="00D12CBE"/>
    <w:rsid w:val="00D1410C"/>
    <w:rsid w:val="00D160DD"/>
    <w:rsid w:val="00D16785"/>
    <w:rsid w:val="00D327D9"/>
    <w:rsid w:val="00D32A8F"/>
    <w:rsid w:val="00D3413C"/>
    <w:rsid w:val="00D34C86"/>
    <w:rsid w:val="00D4016F"/>
    <w:rsid w:val="00D41546"/>
    <w:rsid w:val="00D43731"/>
    <w:rsid w:val="00D438BF"/>
    <w:rsid w:val="00D449DF"/>
    <w:rsid w:val="00D47842"/>
    <w:rsid w:val="00D60F43"/>
    <w:rsid w:val="00D61011"/>
    <w:rsid w:val="00D708EF"/>
    <w:rsid w:val="00D71CCE"/>
    <w:rsid w:val="00D71FC1"/>
    <w:rsid w:val="00D72448"/>
    <w:rsid w:val="00D8156B"/>
    <w:rsid w:val="00D8381B"/>
    <w:rsid w:val="00D85843"/>
    <w:rsid w:val="00D86420"/>
    <w:rsid w:val="00DA08AD"/>
    <w:rsid w:val="00DA0EFF"/>
    <w:rsid w:val="00DB2441"/>
    <w:rsid w:val="00DB640B"/>
    <w:rsid w:val="00DB7E71"/>
    <w:rsid w:val="00DC00C6"/>
    <w:rsid w:val="00DC3584"/>
    <w:rsid w:val="00DE1BD3"/>
    <w:rsid w:val="00DE1FF1"/>
    <w:rsid w:val="00DE7705"/>
    <w:rsid w:val="00DF369B"/>
    <w:rsid w:val="00DF71C0"/>
    <w:rsid w:val="00E07FE4"/>
    <w:rsid w:val="00E10D0A"/>
    <w:rsid w:val="00E12BD9"/>
    <w:rsid w:val="00E1749F"/>
    <w:rsid w:val="00E21602"/>
    <w:rsid w:val="00E21A3E"/>
    <w:rsid w:val="00E24F7F"/>
    <w:rsid w:val="00E25AB7"/>
    <w:rsid w:val="00E3037E"/>
    <w:rsid w:val="00E31B6F"/>
    <w:rsid w:val="00E36992"/>
    <w:rsid w:val="00E410A0"/>
    <w:rsid w:val="00E45C57"/>
    <w:rsid w:val="00E47F9D"/>
    <w:rsid w:val="00E5648E"/>
    <w:rsid w:val="00E603A5"/>
    <w:rsid w:val="00E624EB"/>
    <w:rsid w:val="00E64A3A"/>
    <w:rsid w:val="00E6598F"/>
    <w:rsid w:val="00E86BF7"/>
    <w:rsid w:val="00E87A7C"/>
    <w:rsid w:val="00E90DB2"/>
    <w:rsid w:val="00E92020"/>
    <w:rsid w:val="00E94434"/>
    <w:rsid w:val="00EA091D"/>
    <w:rsid w:val="00EA19B4"/>
    <w:rsid w:val="00EA777F"/>
    <w:rsid w:val="00EB2C6F"/>
    <w:rsid w:val="00EB3AE5"/>
    <w:rsid w:val="00EB3C46"/>
    <w:rsid w:val="00EB72D8"/>
    <w:rsid w:val="00EB73DB"/>
    <w:rsid w:val="00EC65DD"/>
    <w:rsid w:val="00ED1F4E"/>
    <w:rsid w:val="00ED2150"/>
    <w:rsid w:val="00ED30DF"/>
    <w:rsid w:val="00ED6372"/>
    <w:rsid w:val="00EE4BC6"/>
    <w:rsid w:val="00EE56BD"/>
    <w:rsid w:val="00EE75D7"/>
    <w:rsid w:val="00EF3C9D"/>
    <w:rsid w:val="00F013F6"/>
    <w:rsid w:val="00F06334"/>
    <w:rsid w:val="00F24AF9"/>
    <w:rsid w:val="00F27D0E"/>
    <w:rsid w:val="00F33756"/>
    <w:rsid w:val="00F34C6B"/>
    <w:rsid w:val="00F36F51"/>
    <w:rsid w:val="00F4120C"/>
    <w:rsid w:val="00F42C94"/>
    <w:rsid w:val="00F43627"/>
    <w:rsid w:val="00F50362"/>
    <w:rsid w:val="00F5175A"/>
    <w:rsid w:val="00F5645A"/>
    <w:rsid w:val="00F56DA4"/>
    <w:rsid w:val="00F619A3"/>
    <w:rsid w:val="00F63969"/>
    <w:rsid w:val="00F700B1"/>
    <w:rsid w:val="00F7028A"/>
    <w:rsid w:val="00F70E89"/>
    <w:rsid w:val="00F75A1C"/>
    <w:rsid w:val="00F769D4"/>
    <w:rsid w:val="00F82929"/>
    <w:rsid w:val="00F84821"/>
    <w:rsid w:val="00F91D2D"/>
    <w:rsid w:val="00F92844"/>
    <w:rsid w:val="00F96F76"/>
    <w:rsid w:val="00FA0E2D"/>
    <w:rsid w:val="00FA4F63"/>
    <w:rsid w:val="00FA617A"/>
    <w:rsid w:val="00FA637D"/>
    <w:rsid w:val="00FA6717"/>
    <w:rsid w:val="00FB4AB1"/>
    <w:rsid w:val="00FB58FF"/>
    <w:rsid w:val="00FB6D72"/>
    <w:rsid w:val="00FC1C50"/>
    <w:rsid w:val="00FD7A82"/>
    <w:rsid w:val="00FE0066"/>
    <w:rsid w:val="00FE1553"/>
    <w:rsid w:val="00FE2F66"/>
    <w:rsid w:val="00FE474F"/>
    <w:rsid w:val="00FE4BDD"/>
    <w:rsid w:val="00FF3BD7"/>
    <w:rsid w:val="00FF566F"/>
    <w:rsid w:val="00FF60FA"/>
    <w:rsid w:val="00FF6E0B"/>
    <w:rsid w:val="0115131B"/>
    <w:rsid w:val="01451970"/>
    <w:rsid w:val="014D58C2"/>
    <w:rsid w:val="0159332C"/>
    <w:rsid w:val="01813AAA"/>
    <w:rsid w:val="019649D3"/>
    <w:rsid w:val="01B81F98"/>
    <w:rsid w:val="023B604C"/>
    <w:rsid w:val="024B59EF"/>
    <w:rsid w:val="025B0F77"/>
    <w:rsid w:val="026B583F"/>
    <w:rsid w:val="02770B3C"/>
    <w:rsid w:val="028739E5"/>
    <w:rsid w:val="028C3ABD"/>
    <w:rsid w:val="034172A0"/>
    <w:rsid w:val="034B31FD"/>
    <w:rsid w:val="038E36B4"/>
    <w:rsid w:val="03B1218E"/>
    <w:rsid w:val="04144EF7"/>
    <w:rsid w:val="041B7772"/>
    <w:rsid w:val="044B17E7"/>
    <w:rsid w:val="048B7513"/>
    <w:rsid w:val="04952CB3"/>
    <w:rsid w:val="04F2372E"/>
    <w:rsid w:val="052C7305"/>
    <w:rsid w:val="053C2829"/>
    <w:rsid w:val="05740722"/>
    <w:rsid w:val="05B568E2"/>
    <w:rsid w:val="060A449F"/>
    <w:rsid w:val="064C5F5A"/>
    <w:rsid w:val="065A1F87"/>
    <w:rsid w:val="06A13635"/>
    <w:rsid w:val="06BA346B"/>
    <w:rsid w:val="070C60B7"/>
    <w:rsid w:val="07244646"/>
    <w:rsid w:val="07362BEF"/>
    <w:rsid w:val="07601CD7"/>
    <w:rsid w:val="078F26D1"/>
    <w:rsid w:val="07904AA3"/>
    <w:rsid w:val="07AD68D1"/>
    <w:rsid w:val="07CC7DE6"/>
    <w:rsid w:val="0848689E"/>
    <w:rsid w:val="08870650"/>
    <w:rsid w:val="088965EF"/>
    <w:rsid w:val="088C503A"/>
    <w:rsid w:val="08B4188C"/>
    <w:rsid w:val="08CB2ADD"/>
    <w:rsid w:val="08CE008F"/>
    <w:rsid w:val="092A33AA"/>
    <w:rsid w:val="092D4C97"/>
    <w:rsid w:val="09346B93"/>
    <w:rsid w:val="09AA0F71"/>
    <w:rsid w:val="09CD4512"/>
    <w:rsid w:val="0A017571"/>
    <w:rsid w:val="0A14374B"/>
    <w:rsid w:val="0A661610"/>
    <w:rsid w:val="0A826D5D"/>
    <w:rsid w:val="0A875395"/>
    <w:rsid w:val="0A9009E6"/>
    <w:rsid w:val="0AFB0037"/>
    <w:rsid w:val="0B1157F3"/>
    <w:rsid w:val="0B50064E"/>
    <w:rsid w:val="0B5E759C"/>
    <w:rsid w:val="0BED1444"/>
    <w:rsid w:val="0C4F5947"/>
    <w:rsid w:val="0CA91733"/>
    <w:rsid w:val="0CCD4B8E"/>
    <w:rsid w:val="0D452C96"/>
    <w:rsid w:val="0D626BAE"/>
    <w:rsid w:val="0D6860CB"/>
    <w:rsid w:val="0DA82032"/>
    <w:rsid w:val="0E01162D"/>
    <w:rsid w:val="0E3A4ED3"/>
    <w:rsid w:val="0E623A90"/>
    <w:rsid w:val="0E72755E"/>
    <w:rsid w:val="0E8B05DA"/>
    <w:rsid w:val="0EB119A7"/>
    <w:rsid w:val="0ECA2587"/>
    <w:rsid w:val="0EF82DCB"/>
    <w:rsid w:val="0F1512DF"/>
    <w:rsid w:val="0F226E34"/>
    <w:rsid w:val="0F256317"/>
    <w:rsid w:val="0F31706E"/>
    <w:rsid w:val="0F352D45"/>
    <w:rsid w:val="0F9018B7"/>
    <w:rsid w:val="0FC0315E"/>
    <w:rsid w:val="0FDB7B77"/>
    <w:rsid w:val="0FE05625"/>
    <w:rsid w:val="0FFE1AF1"/>
    <w:rsid w:val="10CF2E2E"/>
    <w:rsid w:val="10E80264"/>
    <w:rsid w:val="10EA0DF2"/>
    <w:rsid w:val="10FC45FF"/>
    <w:rsid w:val="11542028"/>
    <w:rsid w:val="11E070B4"/>
    <w:rsid w:val="11EE45FC"/>
    <w:rsid w:val="11F13A77"/>
    <w:rsid w:val="120E38D2"/>
    <w:rsid w:val="123840C9"/>
    <w:rsid w:val="124C5059"/>
    <w:rsid w:val="1294187C"/>
    <w:rsid w:val="12B66128"/>
    <w:rsid w:val="12B83F1E"/>
    <w:rsid w:val="12D27BEC"/>
    <w:rsid w:val="13514766"/>
    <w:rsid w:val="136D599B"/>
    <w:rsid w:val="139F1C36"/>
    <w:rsid w:val="13C847C3"/>
    <w:rsid w:val="13CB6984"/>
    <w:rsid w:val="143F51D0"/>
    <w:rsid w:val="144633BC"/>
    <w:rsid w:val="14613B33"/>
    <w:rsid w:val="148C5809"/>
    <w:rsid w:val="149E4757"/>
    <w:rsid w:val="14BD37FB"/>
    <w:rsid w:val="155B190B"/>
    <w:rsid w:val="15A3736C"/>
    <w:rsid w:val="15BF7D50"/>
    <w:rsid w:val="15DA1D43"/>
    <w:rsid w:val="15F916EF"/>
    <w:rsid w:val="160B4677"/>
    <w:rsid w:val="162829A0"/>
    <w:rsid w:val="163D21EC"/>
    <w:rsid w:val="16832508"/>
    <w:rsid w:val="16D50A48"/>
    <w:rsid w:val="1704143E"/>
    <w:rsid w:val="17A72E68"/>
    <w:rsid w:val="17B130AE"/>
    <w:rsid w:val="17ED2531"/>
    <w:rsid w:val="18104A18"/>
    <w:rsid w:val="18132A1C"/>
    <w:rsid w:val="18185F71"/>
    <w:rsid w:val="184F08FB"/>
    <w:rsid w:val="188F546D"/>
    <w:rsid w:val="18C7151D"/>
    <w:rsid w:val="190E475F"/>
    <w:rsid w:val="19175CFE"/>
    <w:rsid w:val="191C4A58"/>
    <w:rsid w:val="1943210F"/>
    <w:rsid w:val="196D25FA"/>
    <w:rsid w:val="198F2FD2"/>
    <w:rsid w:val="19A2603D"/>
    <w:rsid w:val="19B57547"/>
    <w:rsid w:val="19DE2470"/>
    <w:rsid w:val="19E27E66"/>
    <w:rsid w:val="19ED6B46"/>
    <w:rsid w:val="1A6B762A"/>
    <w:rsid w:val="1A917D47"/>
    <w:rsid w:val="1ABC3C5A"/>
    <w:rsid w:val="1B245A93"/>
    <w:rsid w:val="1B2653EF"/>
    <w:rsid w:val="1B385B8A"/>
    <w:rsid w:val="1B642683"/>
    <w:rsid w:val="1B9E1DD0"/>
    <w:rsid w:val="1BE45BB3"/>
    <w:rsid w:val="1C311E08"/>
    <w:rsid w:val="1C321825"/>
    <w:rsid w:val="1C4A069C"/>
    <w:rsid w:val="1C7B6309"/>
    <w:rsid w:val="1C887521"/>
    <w:rsid w:val="1C9261C5"/>
    <w:rsid w:val="1CDF5A48"/>
    <w:rsid w:val="1CE9117E"/>
    <w:rsid w:val="1CF139D8"/>
    <w:rsid w:val="1CFA2A91"/>
    <w:rsid w:val="1CFD0A7C"/>
    <w:rsid w:val="1CFE51AF"/>
    <w:rsid w:val="1D132CA0"/>
    <w:rsid w:val="1D39162D"/>
    <w:rsid w:val="1D6E3522"/>
    <w:rsid w:val="1DC64F19"/>
    <w:rsid w:val="1DFF7DDB"/>
    <w:rsid w:val="1E037A41"/>
    <w:rsid w:val="1E1E082B"/>
    <w:rsid w:val="1E526437"/>
    <w:rsid w:val="1E6860FF"/>
    <w:rsid w:val="1E766728"/>
    <w:rsid w:val="1E8D40EC"/>
    <w:rsid w:val="1E9909AA"/>
    <w:rsid w:val="1EB03B3B"/>
    <w:rsid w:val="1ECC5E73"/>
    <w:rsid w:val="1F56289E"/>
    <w:rsid w:val="1F606764"/>
    <w:rsid w:val="1F884B54"/>
    <w:rsid w:val="1F8C78AB"/>
    <w:rsid w:val="1FBE4D2D"/>
    <w:rsid w:val="1FD10D03"/>
    <w:rsid w:val="1FD36141"/>
    <w:rsid w:val="1FE01D12"/>
    <w:rsid w:val="1FE55B40"/>
    <w:rsid w:val="1FEB2C88"/>
    <w:rsid w:val="200333AE"/>
    <w:rsid w:val="20381819"/>
    <w:rsid w:val="20411FCE"/>
    <w:rsid w:val="20414CA1"/>
    <w:rsid w:val="20475D93"/>
    <w:rsid w:val="206A2E50"/>
    <w:rsid w:val="20AB3983"/>
    <w:rsid w:val="20CD7A3D"/>
    <w:rsid w:val="20D85CA1"/>
    <w:rsid w:val="212539AB"/>
    <w:rsid w:val="214D5C56"/>
    <w:rsid w:val="217E7D47"/>
    <w:rsid w:val="218F5BBA"/>
    <w:rsid w:val="21CE6BFC"/>
    <w:rsid w:val="22243595"/>
    <w:rsid w:val="225C7A06"/>
    <w:rsid w:val="22BF5778"/>
    <w:rsid w:val="22F95C5D"/>
    <w:rsid w:val="23145A01"/>
    <w:rsid w:val="234A19DF"/>
    <w:rsid w:val="23C7793E"/>
    <w:rsid w:val="23C90742"/>
    <w:rsid w:val="24405175"/>
    <w:rsid w:val="24476679"/>
    <w:rsid w:val="24607BD2"/>
    <w:rsid w:val="247D1A44"/>
    <w:rsid w:val="248A6F0B"/>
    <w:rsid w:val="24D1264B"/>
    <w:rsid w:val="24D50BFC"/>
    <w:rsid w:val="24FA1742"/>
    <w:rsid w:val="25175258"/>
    <w:rsid w:val="255652B4"/>
    <w:rsid w:val="257D3351"/>
    <w:rsid w:val="25974067"/>
    <w:rsid w:val="25F03271"/>
    <w:rsid w:val="25F84015"/>
    <w:rsid w:val="262F3A3E"/>
    <w:rsid w:val="26526135"/>
    <w:rsid w:val="26723EA0"/>
    <w:rsid w:val="26C848AF"/>
    <w:rsid w:val="26D31172"/>
    <w:rsid w:val="27062977"/>
    <w:rsid w:val="27571C87"/>
    <w:rsid w:val="276B1E8B"/>
    <w:rsid w:val="277108CB"/>
    <w:rsid w:val="27844867"/>
    <w:rsid w:val="27892169"/>
    <w:rsid w:val="27920855"/>
    <w:rsid w:val="27B4132B"/>
    <w:rsid w:val="28157C40"/>
    <w:rsid w:val="281B5375"/>
    <w:rsid w:val="2824542C"/>
    <w:rsid w:val="28372084"/>
    <w:rsid w:val="28622E06"/>
    <w:rsid w:val="286B2565"/>
    <w:rsid w:val="287C6C3A"/>
    <w:rsid w:val="28886D57"/>
    <w:rsid w:val="28A705B3"/>
    <w:rsid w:val="28CA5658"/>
    <w:rsid w:val="29130A27"/>
    <w:rsid w:val="29210099"/>
    <w:rsid w:val="29220923"/>
    <w:rsid w:val="29485363"/>
    <w:rsid w:val="294D0D20"/>
    <w:rsid w:val="295C5ABC"/>
    <w:rsid w:val="298174A0"/>
    <w:rsid w:val="29A10357"/>
    <w:rsid w:val="29DD674E"/>
    <w:rsid w:val="29EB6CDD"/>
    <w:rsid w:val="29EE7698"/>
    <w:rsid w:val="29EF250D"/>
    <w:rsid w:val="29F42CFB"/>
    <w:rsid w:val="2A470FAA"/>
    <w:rsid w:val="2A874242"/>
    <w:rsid w:val="2A901110"/>
    <w:rsid w:val="2AF25235"/>
    <w:rsid w:val="2AF376AF"/>
    <w:rsid w:val="2B21574D"/>
    <w:rsid w:val="2B330C07"/>
    <w:rsid w:val="2B4443B7"/>
    <w:rsid w:val="2B946EED"/>
    <w:rsid w:val="2BB136A6"/>
    <w:rsid w:val="2BBE087A"/>
    <w:rsid w:val="2BC82084"/>
    <w:rsid w:val="2BD86057"/>
    <w:rsid w:val="2C073947"/>
    <w:rsid w:val="2C67792A"/>
    <w:rsid w:val="2CB32213"/>
    <w:rsid w:val="2CB54ADF"/>
    <w:rsid w:val="2CB80CCC"/>
    <w:rsid w:val="2CD51023"/>
    <w:rsid w:val="2CF310AD"/>
    <w:rsid w:val="2D040DC1"/>
    <w:rsid w:val="2D281A9A"/>
    <w:rsid w:val="2D5013D0"/>
    <w:rsid w:val="2D6512CA"/>
    <w:rsid w:val="2DDD570A"/>
    <w:rsid w:val="2E1D72D7"/>
    <w:rsid w:val="2E2C3D01"/>
    <w:rsid w:val="2E525A73"/>
    <w:rsid w:val="2ECF58EF"/>
    <w:rsid w:val="2ED607E7"/>
    <w:rsid w:val="2EF44867"/>
    <w:rsid w:val="2EF6166D"/>
    <w:rsid w:val="2F7C4D40"/>
    <w:rsid w:val="2F9C6A30"/>
    <w:rsid w:val="2FC82575"/>
    <w:rsid w:val="300D47EE"/>
    <w:rsid w:val="302B173A"/>
    <w:rsid w:val="302E220D"/>
    <w:rsid w:val="306B7794"/>
    <w:rsid w:val="30BA5AC0"/>
    <w:rsid w:val="30E60283"/>
    <w:rsid w:val="30EA0F4A"/>
    <w:rsid w:val="310D3CC2"/>
    <w:rsid w:val="313913A9"/>
    <w:rsid w:val="31746C95"/>
    <w:rsid w:val="3176757A"/>
    <w:rsid w:val="318F5DEE"/>
    <w:rsid w:val="31E15046"/>
    <w:rsid w:val="31E1598D"/>
    <w:rsid w:val="32100829"/>
    <w:rsid w:val="32196698"/>
    <w:rsid w:val="32405F03"/>
    <w:rsid w:val="32716071"/>
    <w:rsid w:val="32C33527"/>
    <w:rsid w:val="32C67A65"/>
    <w:rsid w:val="32CD2A23"/>
    <w:rsid w:val="336269FF"/>
    <w:rsid w:val="33A65DCF"/>
    <w:rsid w:val="33AE2461"/>
    <w:rsid w:val="33E763F3"/>
    <w:rsid w:val="346678A3"/>
    <w:rsid w:val="348C1FF6"/>
    <w:rsid w:val="34AF1930"/>
    <w:rsid w:val="34CC6012"/>
    <w:rsid w:val="34E168DE"/>
    <w:rsid w:val="35306661"/>
    <w:rsid w:val="35E05AAE"/>
    <w:rsid w:val="360959BC"/>
    <w:rsid w:val="36634751"/>
    <w:rsid w:val="36A43530"/>
    <w:rsid w:val="36C66276"/>
    <w:rsid w:val="36D63D7C"/>
    <w:rsid w:val="36DC31ED"/>
    <w:rsid w:val="36E36896"/>
    <w:rsid w:val="36E972ED"/>
    <w:rsid w:val="37442F41"/>
    <w:rsid w:val="3791079A"/>
    <w:rsid w:val="37D748F2"/>
    <w:rsid w:val="382F54A4"/>
    <w:rsid w:val="383E027C"/>
    <w:rsid w:val="384B5EED"/>
    <w:rsid w:val="38621CD0"/>
    <w:rsid w:val="387A1725"/>
    <w:rsid w:val="388C4040"/>
    <w:rsid w:val="388F36C6"/>
    <w:rsid w:val="389C44C3"/>
    <w:rsid w:val="38A1711E"/>
    <w:rsid w:val="38B274D8"/>
    <w:rsid w:val="38B54060"/>
    <w:rsid w:val="38BB74A5"/>
    <w:rsid w:val="38C57299"/>
    <w:rsid w:val="38ED6BC0"/>
    <w:rsid w:val="39B70744"/>
    <w:rsid w:val="39F23E80"/>
    <w:rsid w:val="39F30C61"/>
    <w:rsid w:val="3A041B49"/>
    <w:rsid w:val="3A0F55A5"/>
    <w:rsid w:val="3A4F097E"/>
    <w:rsid w:val="3A7B1CFB"/>
    <w:rsid w:val="3A873175"/>
    <w:rsid w:val="3A8C65F2"/>
    <w:rsid w:val="3A9A338F"/>
    <w:rsid w:val="3AF23B2F"/>
    <w:rsid w:val="3B037B06"/>
    <w:rsid w:val="3B144472"/>
    <w:rsid w:val="3B517BFC"/>
    <w:rsid w:val="3B5B6AE1"/>
    <w:rsid w:val="3B60258A"/>
    <w:rsid w:val="3B622A0E"/>
    <w:rsid w:val="3B6A7FB0"/>
    <w:rsid w:val="3B8C7056"/>
    <w:rsid w:val="3B922130"/>
    <w:rsid w:val="3C10747F"/>
    <w:rsid w:val="3C744FEC"/>
    <w:rsid w:val="3C9B0CF0"/>
    <w:rsid w:val="3C9B6998"/>
    <w:rsid w:val="3D3217C4"/>
    <w:rsid w:val="3D565E19"/>
    <w:rsid w:val="3D634E6F"/>
    <w:rsid w:val="3D687804"/>
    <w:rsid w:val="3D78440A"/>
    <w:rsid w:val="3D8E4EAA"/>
    <w:rsid w:val="3D912FAC"/>
    <w:rsid w:val="3E3B7740"/>
    <w:rsid w:val="3E424BE8"/>
    <w:rsid w:val="3E766BEA"/>
    <w:rsid w:val="3E8E17EB"/>
    <w:rsid w:val="3E9952A1"/>
    <w:rsid w:val="3EAE620B"/>
    <w:rsid w:val="3F007DB2"/>
    <w:rsid w:val="3F384209"/>
    <w:rsid w:val="3F4970F3"/>
    <w:rsid w:val="3F4F67B1"/>
    <w:rsid w:val="3F6C7B7F"/>
    <w:rsid w:val="3F8663EC"/>
    <w:rsid w:val="3FB64604"/>
    <w:rsid w:val="3FBF609A"/>
    <w:rsid w:val="3FC10F40"/>
    <w:rsid w:val="3FD85092"/>
    <w:rsid w:val="3FE57A00"/>
    <w:rsid w:val="40072154"/>
    <w:rsid w:val="400B27A9"/>
    <w:rsid w:val="40622D52"/>
    <w:rsid w:val="40735A5A"/>
    <w:rsid w:val="40EB749F"/>
    <w:rsid w:val="40F433E9"/>
    <w:rsid w:val="4120496E"/>
    <w:rsid w:val="4125590F"/>
    <w:rsid w:val="414C4489"/>
    <w:rsid w:val="418B0B46"/>
    <w:rsid w:val="419F64A4"/>
    <w:rsid w:val="41E03B8B"/>
    <w:rsid w:val="41EF444F"/>
    <w:rsid w:val="420B4BF7"/>
    <w:rsid w:val="425D69AB"/>
    <w:rsid w:val="42894D66"/>
    <w:rsid w:val="42C63105"/>
    <w:rsid w:val="42D6387C"/>
    <w:rsid w:val="42EE75EE"/>
    <w:rsid w:val="43947B5C"/>
    <w:rsid w:val="43AD2EC8"/>
    <w:rsid w:val="43AD6043"/>
    <w:rsid w:val="44451492"/>
    <w:rsid w:val="44762741"/>
    <w:rsid w:val="44E93695"/>
    <w:rsid w:val="450B1B80"/>
    <w:rsid w:val="453E5D70"/>
    <w:rsid w:val="4541013D"/>
    <w:rsid w:val="458D615F"/>
    <w:rsid w:val="459F3A4A"/>
    <w:rsid w:val="45AD2558"/>
    <w:rsid w:val="45E05A77"/>
    <w:rsid w:val="461131A2"/>
    <w:rsid w:val="46EE2205"/>
    <w:rsid w:val="473501ED"/>
    <w:rsid w:val="473B28B7"/>
    <w:rsid w:val="47623F9D"/>
    <w:rsid w:val="476C5FC3"/>
    <w:rsid w:val="477F61B7"/>
    <w:rsid w:val="478A61EF"/>
    <w:rsid w:val="47970092"/>
    <w:rsid w:val="479D5817"/>
    <w:rsid w:val="47D241C3"/>
    <w:rsid w:val="4824501D"/>
    <w:rsid w:val="48653CF8"/>
    <w:rsid w:val="488B2F1F"/>
    <w:rsid w:val="48A2108A"/>
    <w:rsid w:val="48CC5108"/>
    <w:rsid w:val="48CF5A98"/>
    <w:rsid w:val="48FD337D"/>
    <w:rsid w:val="49354868"/>
    <w:rsid w:val="499C7FD1"/>
    <w:rsid w:val="4A655AF5"/>
    <w:rsid w:val="4A692455"/>
    <w:rsid w:val="4AD928D8"/>
    <w:rsid w:val="4ADD3489"/>
    <w:rsid w:val="4B5235B5"/>
    <w:rsid w:val="4B84043E"/>
    <w:rsid w:val="4BA10349"/>
    <w:rsid w:val="4BA24089"/>
    <w:rsid w:val="4BDF4747"/>
    <w:rsid w:val="4C037D97"/>
    <w:rsid w:val="4CA94164"/>
    <w:rsid w:val="4CAE1D99"/>
    <w:rsid w:val="4CC343EB"/>
    <w:rsid w:val="4D7953E7"/>
    <w:rsid w:val="4D903C41"/>
    <w:rsid w:val="4DA46DA9"/>
    <w:rsid w:val="4DC76A97"/>
    <w:rsid w:val="4E253684"/>
    <w:rsid w:val="4E990870"/>
    <w:rsid w:val="4E9A2DF5"/>
    <w:rsid w:val="4EA12DFD"/>
    <w:rsid w:val="4EA166BA"/>
    <w:rsid w:val="4EC35483"/>
    <w:rsid w:val="4ED6006A"/>
    <w:rsid w:val="4F16188A"/>
    <w:rsid w:val="4F184C3D"/>
    <w:rsid w:val="4F452E1D"/>
    <w:rsid w:val="4F4A3053"/>
    <w:rsid w:val="4F576C2C"/>
    <w:rsid w:val="4F5F0EA0"/>
    <w:rsid w:val="4F907069"/>
    <w:rsid w:val="4FCD241A"/>
    <w:rsid w:val="4FE97E3B"/>
    <w:rsid w:val="501F3220"/>
    <w:rsid w:val="50206A85"/>
    <w:rsid w:val="502A7555"/>
    <w:rsid w:val="50866A4B"/>
    <w:rsid w:val="50BB4459"/>
    <w:rsid w:val="50D8630E"/>
    <w:rsid w:val="50FD3C07"/>
    <w:rsid w:val="511740CA"/>
    <w:rsid w:val="51F35963"/>
    <w:rsid w:val="52193066"/>
    <w:rsid w:val="522254E6"/>
    <w:rsid w:val="52382EED"/>
    <w:rsid w:val="52513A76"/>
    <w:rsid w:val="526A2E49"/>
    <w:rsid w:val="52725003"/>
    <w:rsid w:val="52766651"/>
    <w:rsid w:val="529334A7"/>
    <w:rsid w:val="52D07A71"/>
    <w:rsid w:val="52E11F6C"/>
    <w:rsid w:val="52E30664"/>
    <w:rsid w:val="533943B2"/>
    <w:rsid w:val="53811452"/>
    <w:rsid w:val="539A08F8"/>
    <w:rsid w:val="53E41FF1"/>
    <w:rsid w:val="53F779B6"/>
    <w:rsid w:val="54192FA1"/>
    <w:rsid w:val="546F7693"/>
    <w:rsid w:val="54721C30"/>
    <w:rsid w:val="547649B7"/>
    <w:rsid w:val="548C13AB"/>
    <w:rsid w:val="54D166AD"/>
    <w:rsid w:val="54E7739C"/>
    <w:rsid w:val="551A1F2C"/>
    <w:rsid w:val="551F3ADD"/>
    <w:rsid w:val="552A084F"/>
    <w:rsid w:val="55751470"/>
    <w:rsid w:val="55AF464C"/>
    <w:rsid w:val="55C26DB0"/>
    <w:rsid w:val="55E07638"/>
    <w:rsid w:val="55E66DDB"/>
    <w:rsid w:val="560C2A07"/>
    <w:rsid w:val="563077C6"/>
    <w:rsid w:val="563A251E"/>
    <w:rsid w:val="5651378C"/>
    <w:rsid w:val="565C1F74"/>
    <w:rsid w:val="567B6358"/>
    <w:rsid w:val="56CD0356"/>
    <w:rsid w:val="573E2C8E"/>
    <w:rsid w:val="57464959"/>
    <w:rsid w:val="57966590"/>
    <w:rsid w:val="57A80F1F"/>
    <w:rsid w:val="57C250CD"/>
    <w:rsid w:val="57D17353"/>
    <w:rsid w:val="57EB47D7"/>
    <w:rsid w:val="58940EA6"/>
    <w:rsid w:val="58A745BD"/>
    <w:rsid w:val="58FC17D8"/>
    <w:rsid w:val="59390453"/>
    <w:rsid w:val="59412F93"/>
    <w:rsid w:val="596A753E"/>
    <w:rsid w:val="59836980"/>
    <w:rsid w:val="598D717D"/>
    <w:rsid w:val="59DB34A5"/>
    <w:rsid w:val="59F20C97"/>
    <w:rsid w:val="5A1A62BA"/>
    <w:rsid w:val="5A202D14"/>
    <w:rsid w:val="5A5E6FEE"/>
    <w:rsid w:val="5A780E60"/>
    <w:rsid w:val="5AB67BC0"/>
    <w:rsid w:val="5ABD25F5"/>
    <w:rsid w:val="5AC47F38"/>
    <w:rsid w:val="5AE3482C"/>
    <w:rsid w:val="5B110410"/>
    <w:rsid w:val="5B8D6933"/>
    <w:rsid w:val="5BAD5DB5"/>
    <w:rsid w:val="5BB44C0B"/>
    <w:rsid w:val="5C33638D"/>
    <w:rsid w:val="5C4464A4"/>
    <w:rsid w:val="5C666FAF"/>
    <w:rsid w:val="5C713B9F"/>
    <w:rsid w:val="5C945C92"/>
    <w:rsid w:val="5CA8352B"/>
    <w:rsid w:val="5CAA121A"/>
    <w:rsid w:val="5CC16747"/>
    <w:rsid w:val="5CD17B32"/>
    <w:rsid w:val="5CED7F03"/>
    <w:rsid w:val="5D4E0D63"/>
    <w:rsid w:val="5D9064E3"/>
    <w:rsid w:val="5DA1314A"/>
    <w:rsid w:val="5DCC18DD"/>
    <w:rsid w:val="5E3B0298"/>
    <w:rsid w:val="5E547B2C"/>
    <w:rsid w:val="5F006B77"/>
    <w:rsid w:val="5F122B0D"/>
    <w:rsid w:val="5F3673C4"/>
    <w:rsid w:val="5F4D5752"/>
    <w:rsid w:val="5F711E6C"/>
    <w:rsid w:val="5F9E2966"/>
    <w:rsid w:val="5FC75223"/>
    <w:rsid w:val="5FCC0E64"/>
    <w:rsid w:val="5FCC2EBA"/>
    <w:rsid w:val="5FDF588C"/>
    <w:rsid w:val="5FE404A3"/>
    <w:rsid w:val="601A2EBA"/>
    <w:rsid w:val="603D58F4"/>
    <w:rsid w:val="60644EBB"/>
    <w:rsid w:val="60893661"/>
    <w:rsid w:val="609453AD"/>
    <w:rsid w:val="60CB4552"/>
    <w:rsid w:val="60E52D9E"/>
    <w:rsid w:val="60EE376F"/>
    <w:rsid w:val="6118431B"/>
    <w:rsid w:val="611C3B9A"/>
    <w:rsid w:val="613B6DE6"/>
    <w:rsid w:val="6176003A"/>
    <w:rsid w:val="617C7665"/>
    <w:rsid w:val="61A2606A"/>
    <w:rsid w:val="61EA3517"/>
    <w:rsid w:val="61F34E34"/>
    <w:rsid w:val="61FB0E28"/>
    <w:rsid w:val="625859ED"/>
    <w:rsid w:val="63091660"/>
    <w:rsid w:val="630B40D6"/>
    <w:rsid w:val="630C0047"/>
    <w:rsid w:val="630D6C77"/>
    <w:rsid w:val="636E2FDE"/>
    <w:rsid w:val="637F0CC9"/>
    <w:rsid w:val="639D432A"/>
    <w:rsid w:val="63AA00CE"/>
    <w:rsid w:val="63AC1A31"/>
    <w:rsid w:val="64637862"/>
    <w:rsid w:val="647743EC"/>
    <w:rsid w:val="64931174"/>
    <w:rsid w:val="64D0514B"/>
    <w:rsid w:val="64D61CC2"/>
    <w:rsid w:val="65090347"/>
    <w:rsid w:val="65116D11"/>
    <w:rsid w:val="65143E54"/>
    <w:rsid w:val="651B0FA8"/>
    <w:rsid w:val="651B7001"/>
    <w:rsid w:val="651E0213"/>
    <w:rsid w:val="6538132E"/>
    <w:rsid w:val="654229A8"/>
    <w:rsid w:val="65577B31"/>
    <w:rsid w:val="661F281A"/>
    <w:rsid w:val="66304996"/>
    <w:rsid w:val="665F0915"/>
    <w:rsid w:val="669811DF"/>
    <w:rsid w:val="669B03C2"/>
    <w:rsid w:val="669E20D0"/>
    <w:rsid w:val="66AB21A4"/>
    <w:rsid w:val="66D478D1"/>
    <w:rsid w:val="670A7CEA"/>
    <w:rsid w:val="672B33F4"/>
    <w:rsid w:val="672F7A3B"/>
    <w:rsid w:val="6765510A"/>
    <w:rsid w:val="676807F4"/>
    <w:rsid w:val="67900CA7"/>
    <w:rsid w:val="679166C8"/>
    <w:rsid w:val="67B92AF5"/>
    <w:rsid w:val="67F764AE"/>
    <w:rsid w:val="6808075C"/>
    <w:rsid w:val="685D6012"/>
    <w:rsid w:val="68BF7818"/>
    <w:rsid w:val="68E43F16"/>
    <w:rsid w:val="69192C19"/>
    <w:rsid w:val="69224D70"/>
    <w:rsid w:val="69763FA3"/>
    <w:rsid w:val="697C3AD9"/>
    <w:rsid w:val="69DB133C"/>
    <w:rsid w:val="6A396658"/>
    <w:rsid w:val="6A7E5DCC"/>
    <w:rsid w:val="6AA449A0"/>
    <w:rsid w:val="6ADC5EB8"/>
    <w:rsid w:val="6BEC234B"/>
    <w:rsid w:val="6BF24D4D"/>
    <w:rsid w:val="6C0A4383"/>
    <w:rsid w:val="6D0903F9"/>
    <w:rsid w:val="6D0D6254"/>
    <w:rsid w:val="6D0F6134"/>
    <w:rsid w:val="6D2314CB"/>
    <w:rsid w:val="6D970019"/>
    <w:rsid w:val="6DDC138F"/>
    <w:rsid w:val="6DDD105B"/>
    <w:rsid w:val="6DDF4F64"/>
    <w:rsid w:val="6DE547A4"/>
    <w:rsid w:val="6DED2DB3"/>
    <w:rsid w:val="6E116410"/>
    <w:rsid w:val="6E272B41"/>
    <w:rsid w:val="6E540848"/>
    <w:rsid w:val="6E743A34"/>
    <w:rsid w:val="6E762F66"/>
    <w:rsid w:val="6EDA75F6"/>
    <w:rsid w:val="6F345300"/>
    <w:rsid w:val="6F376CB0"/>
    <w:rsid w:val="6F3B13A9"/>
    <w:rsid w:val="6F58017B"/>
    <w:rsid w:val="6F8C55C2"/>
    <w:rsid w:val="70133765"/>
    <w:rsid w:val="707C4C46"/>
    <w:rsid w:val="70AB511A"/>
    <w:rsid w:val="70B5611C"/>
    <w:rsid w:val="71382996"/>
    <w:rsid w:val="717D50F2"/>
    <w:rsid w:val="71F010C5"/>
    <w:rsid w:val="71F80774"/>
    <w:rsid w:val="7214551F"/>
    <w:rsid w:val="72346B14"/>
    <w:rsid w:val="723B732C"/>
    <w:rsid w:val="72456A8C"/>
    <w:rsid w:val="724645D5"/>
    <w:rsid w:val="726222EF"/>
    <w:rsid w:val="72645038"/>
    <w:rsid w:val="727F150A"/>
    <w:rsid w:val="72AA268A"/>
    <w:rsid w:val="72BB2028"/>
    <w:rsid w:val="72E24FC8"/>
    <w:rsid w:val="72E43286"/>
    <w:rsid w:val="734C2308"/>
    <w:rsid w:val="735E4C1F"/>
    <w:rsid w:val="736035B8"/>
    <w:rsid w:val="738920A8"/>
    <w:rsid w:val="73A86BFD"/>
    <w:rsid w:val="73CC2843"/>
    <w:rsid w:val="74465535"/>
    <w:rsid w:val="74C13C71"/>
    <w:rsid w:val="750003AD"/>
    <w:rsid w:val="75051E92"/>
    <w:rsid w:val="751B5276"/>
    <w:rsid w:val="751F6CE6"/>
    <w:rsid w:val="75213C97"/>
    <w:rsid w:val="754360E2"/>
    <w:rsid w:val="75455030"/>
    <w:rsid w:val="757B0BF0"/>
    <w:rsid w:val="7585471D"/>
    <w:rsid w:val="75B67DE5"/>
    <w:rsid w:val="75EE293E"/>
    <w:rsid w:val="75F20FBA"/>
    <w:rsid w:val="76546942"/>
    <w:rsid w:val="765D5115"/>
    <w:rsid w:val="76906275"/>
    <w:rsid w:val="76C10112"/>
    <w:rsid w:val="76EB40B7"/>
    <w:rsid w:val="76FF7967"/>
    <w:rsid w:val="776C0423"/>
    <w:rsid w:val="776C7498"/>
    <w:rsid w:val="77814A0A"/>
    <w:rsid w:val="77F175D1"/>
    <w:rsid w:val="780249E8"/>
    <w:rsid w:val="78104FA2"/>
    <w:rsid w:val="78256105"/>
    <w:rsid w:val="78542E38"/>
    <w:rsid w:val="787142DD"/>
    <w:rsid w:val="78985F3D"/>
    <w:rsid w:val="79004A91"/>
    <w:rsid w:val="79325F08"/>
    <w:rsid w:val="79EA549E"/>
    <w:rsid w:val="79EC31CA"/>
    <w:rsid w:val="79ED3C16"/>
    <w:rsid w:val="79F605B8"/>
    <w:rsid w:val="79F61EB2"/>
    <w:rsid w:val="7A0E76C4"/>
    <w:rsid w:val="7A115B00"/>
    <w:rsid w:val="7A350B7E"/>
    <w:rsid w:val="7A5A4D3B"/>
    <w:rsid w:val="7A737AD4"/>
    <w:rsid w:val="7A7C2D1A"/>
    <w:rsid w:val="7A964349"/>
    <w:rsid w:val="7AC450B7"/>
    <w:rsid w:val="7ADB720F"/>
    <w:rsid w:val="7B141557"/>
    <w:rsid w:val="7B5C27F8"/>
    <w:rsid w:val="7B790DE1"/>
    <w:rsid w:val="7BB35E60"/>
    <w:rsid w:val="7C2C2D2D"/>
    <w:rsid w:val="7C816BF4"/>
    <w:rsid w:val="7CA40172"/>
    <w:rsid w:val="7CCC1ED0"/>
    <w:rsid w:val="7D276F00"/>
    <w:rsid w:val="7D7C58C3"/>
    <w:rsid w:val="7D894643"/>
    <w:rsid w:val="7DB976CA"/>
    <w:rsid w:val="7DE94AE5"/>
    <w:rsid w:val="7DF44DB3"/>
    <w:rsid w:val="7E080A34"/>
    <w:rsid w:val="7E271FAB"/>
    <w:rsid w:val="7E3B567F"/>
    <w:rsid w:val="7EC17485"/>
    <w:rsid w:val="7EFF4A83"/>
    <w:rsid w:val="7F210833"/>
    <w:rsid w:val="7F4027DF"/>
    <w:rsid w:val="7F9775B9"/>
    <w:rsid w:val="7FA526CA"/>
    <w:rsid w:val="7FA94856"/>
    <w:rsid w:val="7FB12A57"/>
    <w:rsid w:val="7FC4122B"/>
    <w:rsid w:val="7FCD5D98"/>
    <w:rsid w:val="7FD472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pPr>
    <w:rPr>
      <w:sz w:val="28"/>
    </w:rPr>
  </w:style>
  <w:style w:type="paragraph" w:styleId="7">
    <w:name w:val="annotation text"/>
    <w:basedOn w:val="1"/>
    <w:link w:val="38"/>
    <w:qFormat/>
    <w:uiPriority w:val="0"/>
    <w:pPr>
      <w:jc w:val="left"/>
    </w:pPr>
  </w:style>
  <w:style w:type="paragraph" w:styleId="8">
    <w:name w:val="Salutation"/>
    <w:basedOn w:val="1"/>
    <w:next w:val="1"/>
    <w:link w:val="47"/>
    <w:qFormat/>
    <w:uiPriority w:val="0"/>
    <w:rPr>
      <w:rFonts w:ascii="仿宋_GB2312" w:eastAsia="仿宋_GB2312"/>
      <w:sz w:val="28"/>
      <w:szCs w:val="28"/>
    </w:rPr>
  </w:style>
  <w:style w:type="paragraph" w:styleId="9">
    <w:name w:val="Body Text"/>
    <w:basedOn w:val="1"/>
    <w:qFormat/>
    <w:uiPriority w:val="0"/>
    <w:rPr>
      <w:rFonts w:hint="eastAsia" w:ascii="仿宋_GB2312" w:eastAsia="仿宋_GB2312"/>
      <w:sz w:val="28"/>
      <w:szCs w:val="20"/>
    </w:rPr>
  </w:style>
  <w:style w:type="paragraph" w:styleId="10">
    <w:name w:val="Body Text Indent"/>
    <w:basedOn w:val="1"/>
    <w:qFormat/>
    <w:uiPriority w:val="0"/>
    <w:pPr>
      <w:ind w:left="1050"/>
    </w:pPr>
    <w:rPr>
      <w:szCs w:val="20"/>
    </w:rPr>
  </w:style>
  <w:style w:type="paragraph" w:styleId="11">
    <w:name w:val="Plain Text"/>
    <w:basedOn w:val="1"/>
    <w:qFormat/>
    <w:uiPriority w:val="0"/>
    <w:rPr>
      <w:rFonts w:ascii="宋体" w:hAnsi="Courier New"/>
      <w:sz w:val="21"/>
    </w:rPr>
  </w:style>
  <w:style w:type="paragraph" w:styleId="12">
    <w:name w:val="Date"/>
    <w:basedOn w:val="1"/>
    <w:next w:val="1"/>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Subtitle"/>
    <w:basedOn w:val="1"/>
    <w:next w:val="1"/>
    <w:qFormat/>
    <w:uiPriority w:val="0"/>
    <w:pPr>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18">
    <w:name w:val="footnote text"/>
    <w:basedOn w:val="1"/>
    <w:link w:val="35"/>
    <w:qFormat/>
    <w:uiPriority w:val="0"/>
    <w:pPr>
      <w:snapToGrid w:val="0"/>
      <w:jc w:val="left"/>
    </w:pPr>
    <w:rPr>
      <w:sz w:val="18"/>
      <w:szCs w:val="18"/>
    </w:rPr>
  </w:style>
  <w:style w:type="paragraph" w:styleId="19">
    <w:name w:val="toc 2"/>
    <w:basedOn w:val="1"/>
    <w:next w:val="1"/>
    <w:qFormat/>
    <w:uiPriority w:val="39"/>
    <w:pPr>
      <w:tabs>
        <w:tab w:val="right" w:leader="dot" w:pos="9890"/>
      </w:tabs>
      <w:spacing w:line="360" w:lineRule="auto"/>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18"/>
      <w:szCs w:val="18"/>
    </w:rPr>
  </w:style>
  <w:style w:type="paragraph" w:styleId="2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2">
    <w:name w:val="annotation subject"/>
    <w:basedOn w:val="7"/>
    <w:next w:val="7"/>
    <w:link w:val="45"/>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99"/>
    <w:rPr>
      <w:color w:val="0000FF"/>
      <w:u w:val="single"/>
    </w:rPr>
  </w:style>
  <w:style w:type="character" w:styleId="28">
    <w:name w:val="annotation reference"/>
    <w:qFormat/>
    <w:uiPriority w:val="0"/>
    <w:rPr>
      <w:sz w:val="21"/>
      <w:szCs w:val="21"/>
    </w:rPr>
  </w:style>
  <w:style w:type="character" w:styleId="29">
    <w:name w:val="footnote reference"/>
    <w:qFormat/>
    <w:uiPriority w:val="0"/>
    <w:rPr>
      <w:vertAlign w:val="superscript"/>
    </w:rPr>
  </w:style>
  <w:style w:type="paragraph" w:customStyle="1" w:styleId="30">
    <w:name w:val="报告正文 Char Char Char"/>
    <w:basedOn w:val="1"/>
    <w:qFormat/>
    <w:uiPriority w:val="0"/>
    <w:pPr>
      <w:adjustRightInd w:val="0"/>
      <w:snapToGrid w:val="0"/>
      <w:spacing w:line="336" w:lineRule="auto"/>
      <w:ind w:left="2603"/>
    </w:pPr>
    <w:rPr>
      <w:rFonts w:ascii="华文细黑" w:eastAsia="华文细黑" w:cs="宋体"/>
      <w:sz w:val="22"/>
      <w:szCs w:val="20"/>
    </w:rPr>
  </w:style>
  <w:style w:type="paragraph" w:customStyle="1" w:styleId="31">
    <w:name w:val="先河正文"/>
    <w:basedOn w:val="1"/>
    <w:qFormat/>
    <w:uiPriority w:val="0"/>
    <w:pPr>
      <w:ind w:firstLine="550" w:firstLineChars="200"/>
    </w:pPr>
    <w:rPr>
      <w:sz w:val="28"/>
      <w:lang w:bidi="he-IL"/>
    </w:rPr>
  </w:style>
  <w:style w:type="paragraph" w:customStyle="1" w:styleId="32">
    <w:name w:val="列出段落1"/>
    <w:basedOn w:val="1"/>
    <w:qFormat/>
    <w:uiPriority w:val="34"/>
    <w:pPr>
      <w:ind w:firstLine="420" w:firstLineChars="200"/>
    </w:pPr>
    <w:rPr>
      <w:rFonts w:ascii="Calibri" w:hAnsi="Calibri" w:eastAsia="宋体" w:cs="Times New Roman"/>
      <w:szCs w:val="22"/>
    </w:rPr>
  </w:style>
  <w:style w:type="paragraph" w:customStyle="1" w:styleId="33">
    <w:name w:val="zw"/>
    <w:basedOn w:val="1"/>
    <w:qFormat/>
    <w:uiPriority w:val="0"/>
    <w:pPr>
      <w:autoSpaceDE w:val="0"/>
      <w:autoSpaceDN w:val="0"/>
      <w:adjustRightInd w:val="0"/>
      <w:spacing w:line="360" w:lineRule="auto"/>
      <w:ind w:firstLine="482"/>
      <w:textAlignment w:val="bottom"/>
    </w:pPr>
    <w:rPr>
      <w:rFonts w:ascii="Arial Narrow" w:hAnsi="Arial Narrow" w:eastAsia="仿宋_GB2312"/>
      <w:kern w:val="0"/>
      <w:sz w:val="24"/>
      <w:szCs w:val="20"/>
    </w:rPr>
  </w:style>
  <w:style w:type="character" w:customStyle="1" w:styleId="34">
    <w:name w:val="font21"/>
    <w:qFormat/>
    <w:uiPriority w:val="0"/>
    <w:rPr>
      <w:rFonts w:hint="eastAsia" w:ascii="宋体" w:hAnsi="宋体" w:eastAsia="宋体" w:cs="宋体"/>
      <w:color w:val="000000"/>
      <w:sz w:val="22"/>
      <w:szCs w:val="22"/>
      <w:u w:val="none"/>
    </w:rPr>
  </w:style>
  <w:style w:type="character" w:customStyle="1" w:styleId="35">
    <w:name w:val="脚注文本 字符"/>
    <w:link w:val="18"/>
    <w:qFormat/>
    <w:uiPriority w:val="0"/>
    <w:rPr>
      <w:kern w:val="2"/>
      <w:sz w:val="18"/>
      <w:szCs w:val="18"/>
    </w:rPr>
  </w:style>
  <w:style w:type="character" w:customStyle="1" w:styleId="36">
    <w:name w:val="font71"/>
    <w:qFormat/>
    <w:uiPriority w:val="0"/>
    <w:rPr>
      <w:rFonts w:hint="eastAsia" w:ascii="宋体" w:hAnsi="宋体" w:eastAsia="宋体" w:cs="宋体"/>
      <w:color w:val="000000"/>
      <w:sz w:val="24"/>
      <w:szCs w:val="24"/>
      <w:u w:val="none"/>
    </w:rPr>
  </w:style>
  <w:style w:type="character" w:customStyle="1" w:styleId="37">
    <w:name w:val="font11"/>
    <w:basedOn w:val="25"/>
    <w:qFormat/>
    <w:uiPriority w:val="0"/>
    <w:rPr>
      <w:rFonts w:hint="eastAsia" w:ascii="仿宋" w:hAnsi="仿宋" w:eastAsia="仿宋" w:cs="仿宋"/>
      <w:color w:val="000000"/>
      <w:sz w:val="24"/>
      <w:szCs w:val="24"/>
      <w:u w:val="none"/>
      <w:vertAlign w:val="superscript"/>
    </w:rPr>
  </w:style>
  <w:style w:type="character" w:customStyle="1" w:styleId="38">
    <w:name w:val="批注文字 字符"/>
    <w:link w:val="7"/>
    <w:qFormat/>
    <w:uiPriority w:val="0"/>
    <w:rPr>
      <w:kern w:val="2"/>
      <w:sz w:val="21"/>
      <w:szCs w:val="24"/>
    </w:rPr>
  </w:style>
  <w:style w:type="character" w:customStyle="1" w:styleId="39">
    <w:name w:val="font41"/>
    <w:qFormat/>
    <w:uiPriority w:val="0"/>
    <w:rPr>
      <w:rFonts w:hint="default" w:ascii="Times New Roman" w:hAnsi="Times New Roman" w:cs="Times New Roman"/>
      <w:color w:val="000000"/>
      <w:sz w:val="22"/>
      <w:szCs w:val="22"/>
      <w:u w:val="none"/>
    </w:rPr>
  </w:style>
  <w:style w:type="character" w:customStyle="1" w:styleId="40">
    <w:name w:val="font51"/>
    <w:basedOn w:val="25"/>
    <w:qFormat/>
    <w:uiPriority w:val="0"/>
    <w:rPr>
      <w:rFonts w:hint="eastAsia" w:ascii="仿宋" w:hAnsi="仿宋" w:eastAsia="仿宋" w:cs="仿宋"/>
      <w:color w:val="000000"/>
      <w:sz w:val="24"/>
      <w:szCs w:val="24"/>
      <w:u w:val="none"/>
    </w:rPr>
  </w:style>
  <w:style w:type="character" w:customStyle="1" w:styleId="41">
    <w:name w:val="font131"/>
    <w:qFormat/>
    <w:uiPriority w:val="0"/>
    <w:rPr>
      <w:rFonts w:hint="default" w:ascii="Times New Roman" w:hAnsi="Times New Roman" w:cs="Times New Roman"/>
      <w:color w:val="000000"/>
      <w:sz w:val="22"/>
      <w:szCs w:val="22"/>
      <w:u w:val="none"/>
    </w:rPr>
  </w:style>
  <w:style w:type="character" w:customStyle="1" w:styleId="42">
    <w:name w:val="font81"/>
    <w:qFormat/>
    <w:uiPriority w:val="0"/>
    <w:rPr>
      <w:rFonts w:hint="default" w:ascii="Times New Roman" w:hAnsi="Times New Roman" w:cs="Times New Roman"/>
      <w:color w:val="000000"/>
      <w:sz w:val="24"/>
      <w:szCs w:val="24"/>
      <w:u w:val="none"/>
    </w:rPr>
  </w:style>
  <w:style w:type="character" w:customStyle="1" w:styleId="43">
    <w:name w:val="font31"/>
    <w:qFormat/>
    <w:uiPriority w:val="0"/>
    <w:rPr>
      <w:rFonts w:hint="default" w:ascii="Times New Roman" w:hAnsi="Times New Roman" w:cs="Times New Roman"/>
      <w:color w:val="000000"/>
      <w:sz w:val="24"/>
      <w:szCs w:val="24"/>
      <w:u w:val="none"/>
    </w:rPr>
  </w:style>
  <w:style w:type="character" w:customStyle="1" w:styleId="44">
    <w:name w:val="font61"/>
    <w:qFormat/>
    <w:uiPriority w:val="0"/>
    <w:rPr>
      <w:rFonts w:hint="eastAsia" w:ascii="黑体" w:hAnsi="宋体" w:eastAsia="黑体" w:cs="黑体"/>
      <w:color w:val="000000"/>
      <w:sz w:val="40"/>
      <w:szCs w:val="40"/>
      <w:u w:val="none"/>
    </w:rPr>
  </w:style>
  <w:style w:type="character" w:customStyle="1" w:styleId="45">
    <w:name w:val="批注主题 字符"/>
    <w:link w:val="22"/>
    <w:qFormat/>
    <w:uiPriority w:val="0"/>
    <w:rPr>
      <w:b/>
      <w:bCs/>
      <w:kern w:val="2"/>
      <w:sz w:val="21"/>
      <w:szCs w:val="24"/>
    </w:rPr>
  </w:style>
  <w:style w:type="character" w:customStyle="1" w:styleId="46">
    <w:name w:val="font01"/>
    <w:basedOn w:val="25"/>
    <w:qFormat/>
    <w:uiPriority w:val="0"/>
    <w:rPr>
      <w:rFonts w:hint="eastAsia" w:ascii="楷体" w:hAnsi="楷体" w:eastAsia="楷体" w:cs="楷体"/>
      <w:color w:val="000000"/>
      <w:sz w:val="20"/>
      <w:szCs w:val="20"/>
      <w:u w:val="none"/>
      <w:vertAlign w:val="superscript"/>
    </w:rPr>
  </w:style>
  <w:style w:type="character" w:customStyle="1" w:styleId="47">
    <w:name w:val="称呼 字符"/>
    <w:link w:val="8"/>
    <w:qFormat/>
    <w:uiPriority w:val="0"/>
    <w:rPr>
      <w:rFonts w:ascii="仿宋_GB2312" w:eastAsia="仿宋_GB2312"/>
      <w:kern w:val="2"/>
      <w:sz w:val="28"/>
      <w:szCs w:val="28"/>
      <w:lang w:bidi="ar-SA"/>
    </w:rPr>
  </w:style>
  <w:style w:type="character" w:customStyle="1" w:styleId="48">
    <w:name w:val="font91"/>
    <w:basedOn w:val="25"/>
    <w:qFormat/>
    <w:uiPriority w:val="0"/>
    <w:rPr>
      <w:rFonts w:hint="eastAsia" w:ascii="宋体" w:hAnsi="宋体" w:eastAsia="宋体" w:cs="宋体"/>
      <w:color w:val="000000"/>
      <w:sz w:val="22"/>
      <w:szCs w:val="22"/>
      <w:u w:val="none"/>
    </w:rPr>
  </w:style>
  <w:style w:type="character" w:customStyle="1" w:styleId="49">
    <w:name w:val="font101"/>
    <w:basedOn w:val="2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4098"/>
    <customShpInfo spid="_x0000_s4099"/>
    <customShpInfo spid="_x0000_s410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1044</Words>
  <Characters>5956</Characters>
  <Lines>49</Lines>
  <Paragraphs>13</Paragraphs>
  <TotalTime>4</TotalTime>
  <ScaleCrop>false</ScaleCrop>
  <LinksUpToDate>false</LinksUpToDate>
  <CharactersWithSpaces>6987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2014-04-24T09:17:00Z</dcterms:created>
  <dc:creator>雨林木风</dc:creator>
  <cp:lastModifiedBy>〃o渐℡</cp:lastModifiedBy>
  <cp:lastPrinted>2021-07-28T08:39:00Z</cp:lastPrinted>
  <dcterms:modified xsi:type="dcterms:W3CDTF">2022-06-24T08:51:26Z</dcterms:modified>
  <dc:title>中国注册资产评估师声明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FC1D12A3411E4893B6ADAE6079070A97</vt:lpwstr>
  </property>
</Properties>
</file>