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ascii="Times New Roman" w:hAnsi="Times New Roman" w:eastAsia="宋体"/>
          <w:b/>
          <w:sz w:val="48"/>
          <w:szCs w:val="48"/>
        </w:rPr>
      </w:pPr>
    </w:p>
    <w:p>
      <w:pPr>
        <w:spacing w:line="500" w:lineRule="exact"/>
        <w:jc w:val="center"/>
        <w:rPr>
          <w:rFonts w:ascii="Times New Roman" w:hAnsi="Times New Roman" w:eastAsia="宋体"/>
          <w:b/>
          <w:sz w:val="48"/>
          <w:szCs w:val="48"/>
        </w:rPr>
      </w:pPr>
    </w:p>
    <w:p>
      <w:pPr>
        <w:spacing w:line="500" w:lineRule="exact"/>
        <w:jc w:val="center"/>
        <w:rPr>
          <w:rFonts w:ascii="Times New Roman" w:hAnsi="Times New Roman" w:eastAsia="宋体"/>
          <w:kern w:val="0"/>
          <w:sz w:val="24"/>
        </w:rPr>
      </w:pPr>
      <w:r>
        <w:rPr>
          <w:rFonts w:ascii="Times New Roman" w:hAnsi="Times New Roman" w:eastAsia="宋体"/>
          <w:b/>
          <w:sz w:val="48"/>
          <w:szCs w:val="48"/>
        </w:rPr>
        <w:t>涉执房地产处置司法评估报告</w:t>
      </w:r>
      <w:bookmarkStart w:id="287" w:name="_GoBack"/>
      <w:bookmarkEnd w:id="287"/>
      <w:r>
        <w:rPr>
          <w:rFonts w:ascii="Times New Roman" w:hAnsi="Times New Roman" w:eastAsia="宋体"/>
          <w:sz w:val="32"/>
          <w:szCs w:val="32"/>
        </w:rPr>
        <w:t xml:space="preserve">                          </w:t>
      </w:r>
      <w:r>
        <w:rPr>
          <w:rFonts w:ascii="Times New Roman" w:hAnsi="Times New Roman" w:eastAsia="宋体"/>
          <w:kern w:val="0"/>
          <w:sz w:val="24"/>
        </w:rPr>
        <w:t xml:space="preserve"> </w:t>
      </w: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p>
      <w:pPr>
        <w:spacing w:line="500" w:lineRule="exact"/>
        <w:rPr>
          <w:rFonts w:ascii="Times New Roman" w:hAnsi="Times New Roman" w:eastAsia="宋体"/>
          <w:kern w:val="0"/>
          <w:sz w:val="24"/>
        </w:rPr>
      </w:pPr>
    </w:p>
    <w:tbl>
      <w:tblPr>
        <w:tblStyle w:val="21"/>
        <w:tblW w:w="5000" w:type="pct"/>
        <w:tblInd w:w="0" w:type="dxa"/>
        <w:tblLayout w:type="fixed"/>
        <w:tblCellMar>
          <w:top w:w="0" w:type="dxa"/>
          <w:left w:w="108" w:type="dxa"/>
          <w:bottom w:w="0" w:type="dxa"/>
          <w:right w:w="108" w:type="dxa"/>
        </w:tblCellMar>
      </w:tblPr>
      <w:tblGrid>
        <w:gridCol w:w="3623"/>
        <w:gridCol w:w="6230"/>
      </w:tblGrid>
      <w:tr>
        <w:tblPrEx>
          <w:tblCellMar>
            <w:top w:w="0" w:type="dxa"/>
            <w:left w:w="108" w:type="dxa"/>
            <w:bottom w:w="0" w:type="dxa"/>
            <w:right w:w="108" w:type="dxa"/>
          </w:tblCellMar>
        </w:tblPrEx>
        <w:tc>
          <w:tcPr>
            <w:tcW w:w="1839" w:type="pct"/>
          </w:tcPr>
          <w:p>
            <w:pPr>
              <w:tabs>
                <w:tab w:val="left" w:pos="540"/>
              </w:tabs>
              <w:spacing w:line="600" w:lineRule="exact"/>
              <w:rPr>
                <w:rFonts w:ascii="Times New Roman" w:hAnsi="Times New Roman" w:eastAsia="宋体"/>
                <w:sz w:val="28"/>
                <w:szCs w:val="28"/>
              </w:rPr>
            </w:pPr>
            <w:r>
              <w:rPr>
                <w:rFonts w:ascii="Times New Roman" w:hAnsi="Times New Roman" w:eastAsia="宋体"/>
                <w:b/>
                <w:spacing w:val="107"/>
                <w:kern w:val="0"/>
                <w:sz w:val="32"/>
                <w:szCs w:val="32"/>
                <w:fitText w:val="3531" w:id="-2044467710"/>
              </w:rPr>
              <w:t>估价项目名称</w:t>
            </w:r>
            <w:r>
              <w:rPr>
                <w:rFonts w:ascii="Times New Roman" w:hAnsi="Times New Roman" w:eastAsia="宋体"/>
                <w:b/>
                <w:spacing w:val="3"/>
                <w:kern w:val="0"/>
                <w:sz w:val="32"/>
                <w:szCs w:val="32"/>
                <w:fitText w:val="3531" w:id="-2044467710"/>
              </w:rPr>
              <w:t>：</w:t>
            </w:r>
            <w:r>
              <w:rPr>
                <w:rFonts w:ascii="Times New Roman" w:hAnsi="Times New Roman" w:eastAsia="宋体"/>
                <w:sz w:val="28"/>
                <w:szCs w:val="28"/>
              </w:rPr>
              <w:t xml:space="preserve"> </w:t>
            </w:r>
          </w:p>
        </w:tc>
        <w:tc>
          <w:tcPr>
            <w:tcW w:w="3161" w:type="pct"/>
          </w:tcPr>
          <w:p>
            <w:pPr>
              <w:tabs>
                <w:tab w:val="left" w:pos="540"/>
              </w:tabs>
              <w:spacing w:line="600" w:lineRule="exact"/>
              <w:rPr>
                <w:rFonts w:ascii="Times New Roman" w:hAnsi="Times New Roman" w:eastAsia="宋体"/>
                <w:b/>
                <w:sz w:val="32"/>
                <w:szCs w:val="32"/>
              </w:rPr>
            </w:pPr>
            <w:r>
              <w:rPr>
                <w:rFonts w:ascii="Times New Roman" w:hAnsi="Times New Roman" w:eastAsia="宋体"/>
                <w:sz w:val="32"/>
                <w:szCs w:val="32"/>
              </w:rPr>
              <w:t>织金县八步街道沙冲村营盘组一栋自建房地产的市场价值评估</w:t>
            </w:r>
          </w:p>
        </w:tc>
      </w:tr>
      <w:tr>
        <w:tblPrEx>
          <w:tblCellMar>
            <w:top w:w="0" w:type="dxa"/>
            <w:left w:w="108" w:type="dxa"/>
            <w:bottom w:w="0" w:type="dxa"/>
            <w:right w:w="108" w:type="dxa"/>
          </w:tblCellMar>
        </w:tblPrEx>
        <w:tc>
          <w:tcPr>
            <w:tcW w:w="1839" w:type="pct"/>
          </w:tcPr>
          <w:p>
            <w:pPr>
              <w:tabs>
                <w:tab w:val="left" w:pos="540"/>
              </w:tabs>
              <w:spacing w:line="600" w:lineRule="exact"/>
              <w:rPr>
                <w:rFonts w:ascii="Times New Roman" w:hAnsi="Times New Roman" w:eastAsia="宋体"/>
                <w:sz w:val="32"/>
                <w:szCs w:val="32"/>
              </w:rPr>
            </w:pPr>
            <w:r>
              <w:rPr>
                <w:rFonts w:ascii="Times New Roman" w:hAnsi="Times New Roman" w:eastAsia="宋体"/>
                <w:b/>
                <w:spacing w:val="161"/>
                <w:kern w:val="0"/>
                <w:sz w:val="32"/>
                <w:szCs w:val="32"/>
                <w:fitText w:val="3531" w:id="-2044467710"/>
              </w:rPr>
              <w:t>估价委托人</w:t>
            </w:r>
            <w:r>
              <w:rPr>
                <w:rFonts w:ascii="Times New Roman" w:hAnsi="Times New Roman" w:eastAsia="宋体"/>
                <w:b/>
                <w:spacing w:val="0"/>
                <w:kern w:val="0"/>
                <w:sz w:val="32"/>
                <w:szCs w:val="32"/>
                <w:fitText w:val="3531" w:id="-2044467710"/>
              </w:rPr>
              <w:t>：</w:t>
            </w:r>
          </w:p>
        </w:tc>
        <w:tc>
          <w:tcPr>
            <w:tcW w:w="3161" w:type="pct"/>
          </w:tcPr>
          <w:p>
            <w:pPr>
              <w:tabs>
                <w:tab w:val="left" w:pos="540"/>
                <w:tab w:val="left" w:pos="2880"/>
              </w:tabs>
              <w:spacing w:line="600" w:lineRule="exact"/>
              <w:jc w:val="left"/>
              <w:rPr>
                <w:rFonts w:ascii="Times New Roman" w:hAnsi="Times New Roman" w:eastAsia="宋体"/>
                <w:bCs/>
                <w:spacing w:val="32"/>
                <w:sz w:val="24"/>
              </w:rPr>
            </w:pPr>
            <w:r>
              <w:rPr>
                <w:rFonts w:ascii="Times New Roman" w:hAnsi="Times New Roman" w:eastAsia="宋体"/>
                <w:sz w:val="32"/>
                <w:szCs w:val="32"/>
              </w:rPr>
              <w:t>织金县人民法院</w:t>
            </w:r>
          </w:p>
        </w:tc>
      </w:tr>
      <w:tr>
        <w:tblPrEx>
          <w:tblCellMar>
            <w:top w:w="0" w:type="dxa"/>
            <w:left w:w="108" w:type="dxa"/>
            <w:bottom w:w="0" w:type="dxa"/>
            <w:right w:w="108" w:type="dxa"/>
          </w:tblCellMar>
        </w:tblPrEx>
        <w:trPr>
          <w:trHeight w:val="617" w:hRule="atLeast"/>
        </w:trPr>
        <w:tc>
          <w:tcPr>
            <w:tcW w:w="1839" w:type="pct"/>
          </w:tcPr>
          <w:p>
            <w:pPr>
              <w:tabs>
                <w:tab w:val="left" w:pos="540"/>
              </w:tabs>
              <w:spacing w:line="600" w:lineRule="exact"/>
              <w:rPr>
                <w:rFonts w:ascii="Times New Roman" w:hAnsi="Times New Roman" w:eastAsia="宋体"/>
                <w:b/>
                <w:sz w:val="32"/>
                <w:szCs w:val="32"/>
              </w:rPr>
            </w:pPr>
            <w:r>
              <w:rPr>
                <w:rFonts w:ascii="Times New Roman" w:hAnsi="Times New Roman" w:eastAsia="宋体"/>
                <w:b/>
                <w:spacing w:val="69"/>
                <w:kern w:val="0"/>
                <w:sz w:val="32"/>
                <w:szCs w:val="32"/>
                <w:fitText w:val="3531" w:id="-2044467710"/>
              </w:rPr>
              <w:t>房地产估价机构</w:t>
            </w:r>
            <w:r>
              <w:rPr>
                <w:rFonts w:ascii="Times New Roman" w:hAnsi="Times New Roman" w:eastAsia="宋体"/>
                <w:b/>
                <w:spacing w:val="2"/>
                <w:kern w:val="0"/>
                <w:sz w:val="32"/>
                <w:szCs w:val="32"/>
                <w:fitText w:val="3531" w:id="-2044467710"/>
              </w:rPr>
              <w:t>：</w:t>
            </w:r>
          </w:p>
        </w:tc>
        <w:tc>
          <w:tcPr>
            <w:tcW w:w="3161" w:type="pct"/>
          </w:tcPr>
          <w:p>
            <w:pPr>
              <w:tabs>
                <w:tab w:val="left" w:pos="540"/>
              </w:tabs>
              <w:spacing w:line="600" w:lineRule="exact"/>
              <w:jc w:val="left"/>
              <w:rPr>
                <w:rFonts w:ascii="Times New Roman" w:hAnsi="Times New Roman" w:eastAsia="宋体"/>
                <w:b/>
                <w:sz w:val="32"/>
                <w:szCs w:val="32"/>
              </w:rPr>
            </w:pPr>
            <w:r>
              <w:rPr>
                <w:rFonts w:ascii="Times New Roman" w:hAnsi="Times New Roman" w:eastAsia="宋体"/>
                <w:sz w:val="32"/>
                <w:szCs w:val="32"/>
              </w:rPr>
              <w:t>贵州桑立房地产资产评估有限公司</w:t>
            </w:r>
          </w:p>
        </w:tc>
      </w:tr>
      <w:tr>
        <w:tblPrEx>
          <w:tblCellMar>
            <w:top w:w="0" w:type="dxa"/>
            <w:left w:w="108" w:type="dxa"/>
            <w:bottom w:w="0" w:type="dxa"/>
            <w:right w:w="108" w:type="dxa"/>
          </w:tblCellMar>
        </w:tblPrEx>
        <w:tc>
          <w:tcPr>
            <w:tcW w:w="1839" w:type="pct"/>
          </w:tcPr>
          <w:p>
            <w:pPr>
              <w:tabs>
                <w:tab w:val="left" w:pos="540"/>
              </w:tabs>
              <w:spacing w:line="600" w:lineRule="exact"/>
              <w:rPr>
                <w:rFonts w:ascii="Times New Roman" w:hAnsi="Times New Roman" w:eastAsia="宋体"/>
                <w:sz w:val="32"/>
                <w:szCs w:val="32"/>
              </w:rPr>
            </w:pPr>
            <w:r>
              <w:rPr>
                <w:rFonts w:ascii="Times New Roman" w:hAnsi="Times New Roman" w:eastAsia="宋体"/>
                <w:b/>
                <w:spacing w:val="40"/>
                <w:kern w:val="0"/>
                <w:sz w:val="32"/>
                <w:szCs w:val="32"/>
                <w:fitText w:val="3531" w:id="-2044467710"/>
              </w:rPr>
              <w:t>注册房地产估价师</w:t>
            </w:r>
            <w:r>
              <w:rPr>
                <w:rFonts w:ascii="Times New Roman" w:hAnsi="Times New Roman" w:eastAsia="宋体"/>
                <w:b/>
                <w:spacing w:val="5"/>
                <w:kern w:val="0"/>
                <w:sz w:val="32"/>
                <w:szCs w:val="32"/>
                <w:fitText w:val="3531" w:id="-2044467710"/>
              </w:rPr>
              <w:t>：</w:t>
            </w:r>
          </w:p>
        </w:tc>
        <w:tc>
          <w:tcPr>
            <w:tcW w:w="3161" w:type="pct"/>
          </w:tcPr>
          <w:p>
            <w:pPr>
              <w:tabs>
                <w:tab w:val="left" w:pos="540"/>
              </w:tabs>
              <w:spacing w:line="600" w:lineRule="exact"/>
              <w:jc w:val="left"/>
              <w:rPr>
                <w:rFonts w:ascii="Times New Roman" w:hAnsi="Times New Roman" w:eastAsia="宋体"/>
                <w:sz w:val="32"/>
                <w:szCs w:val="32"/>
              </w:rPr>
            </w:pPr>
            <w:r>
              <w:rPr>
                <w:rFonts w:ascii="Times New Roman" w:hAnsi="Times New Roman" w:eastAsia="宋体"/>
                <w:sz w:val="32"/>
                <w:szCs w:val="32"/>
              </w:rPr>
              <w:t>杨跃军（注册号：5220210042）</w:t>
            </w:r>
          </w:p>
          <w:p>
            <w:pPr>
              <w:tabs>
                <w:tab w:val="left" w:pos="540"/>
              </w:tabs>
              <w:spacing w:line="600" w:lineRule="exact"/>
              <w:jc w:val="left"/>
              <w:rPr>
                <w:rFonts w:ascii="Times New Roman" w:hAnsi="Times New Roman" w:eastAsia="宋体"/>
                <w:b/>
                <w:i/>
                <w:iCs/>
                <w:spacing w:val="14"/>
                <w:sz w:val="24"/>
              </w:rPr>
            </w:pPr>
            <w:r>
              <w:rPr>
                <w:rFonts w:ascii="Times New Roman" w:hAnsi="Times New Roman" w:eastAsia="宋体"/>
                <w:sz w:val="32"/>
                <w:szCs w:val="32"/>
              </w:rPr>
              <w:t>杨再成（注册号：5220190057）</w:t>
            </w:r>
          </w:p>
        </w:tc>
      </w:tr>
      <w:tr>
        <w:tblPrEx>
          <w:tblCellMar>
            <w:top w:w="0" w:type="dxa"/>
            <w:left w:w="108" w:type="dxa"/>
            <w:bottom w:w="0" w:type="dxa"/>
            <w:right w:w="108" w:type="dxa"/>
          </w:tblCellMar>
        </w:tblPrEx>
        <w:tc>
          <w:tcPr>
            <w:tcW w:w="1839" w:type="pct"/>
          </w:tcPr>
          <w:p>
            <w:pPr>
              <w:tabs>
                <w:tab w:val="left" w:pos="540"/>
              </w:tabs>
              <w:spacing w:line="600" w:lineRule="exact"/>
              <w:rPr>
                <w:rFonts w:ascii="Times New Roman" w:hAnsi="Times New Roman" w:eastAsia="宋体"/>
                <w:b/>
                <w:sz w:val="32"/>
                <w:szCs w:val="32"/>
              </w:rPr>
            </w:pPr>
            <w:r>
              <w:rPr>
                <w:rFonts w:ascii="Times New Roman" w:hAnsi="Times New Roman" w:eastAsia="宋体"/>
                <w:b/>
                <w:spacing w:val="40"/>
                <w:kern w:val="0"/>
                <w:sz w:val="32"/>
                <w:szCs w:val="32"/>
                <w:fitText w:val="3531" w:id="-2044467710"/>
              </w:rPr>
              <w:t>估价报告出具日期</w:t>
            </w:r>
            <w:r>
              <w:rPr>
                <w:rFonts w:ascii="Times New Roman" w:hAnsi="Times New Roman" w:eastAsia="宋体"/>
                <w:b/>
                <w:spacing w:val="5"/>
                <w:kern w:val="0"/>
                <w:sz w:val="32"/>
                <w:szCs w:val="32"/>
                <w:fitText w:val="3531" w:id="-2044467710"/>
              </w:rPr>
              <w:t>：</w:t>
            </w:r>
          </w:p>
        </w:tc>
        <w:tc>
          <w:tcPr>
            <w:tcW w:w="3161" w:type="pct"/>
          </w:tcPr>
          <w:p>
            <w:pPr>
              <w:tabs>
                <w:tab w:val="left" w:pos="540"/>
              </w:tabs>
              <w:spacing w:line="600" w:lineRule="exact"/>
              <w:jc w:val="left"/>
              <w:rPr>
                <w:rFonts w:ascii="Times New Roman" w:hAnsi="Times New Roman" w:eastAsia="宋体"/>
                <w:b/>
                <w:i/>
                <w:iCs/>
                <w:sz w:val="32"/>
                <w:szCs w:val="32"/>
              </w:rPr>
            </w:pPr>
            <w:r>
              <w:rPr>
                <w:rFonts w:ascii="Times New Roman" w:hAnsi="Times New Roman" w:eastAsia="宋体"/>
                <w:sz w:val="32"/>
                <w:szCs w:val="32"/>
              </w:rPr>
              <w:t>二〇二二年四月二十五日</w:t>
            </w:r>
          </w:p>
        </w:tc>
      </w:tr>
      <w:tr>
        <w:tblPrEx>
          <w:tblCellMar>
            <w:top w:w="0" w:type="dxa"/>
            <w:left w:w="108" w:type="dxa"/>
            <w:bottom w:w="0" w:type="dxa"/>
            <w:right w:w="108" w:type="dxa"/>
          </w:tblCellMar>
        </w:tblPrEx>
        <w:tc>
          <w:tcPr>
            <w:tcW w:w="1839" w:type="pct"/>
          </w:tcPr>
          <w:p>
            <w:pPr>
              <w:tabs>
                <w:tab w:val="left" w:pos="540"/>
              </w:tabs>
              <w:spacing w:line="600" w:lineRule="exact"/>
              <w:rPr>
                <w:rFonts w:ascii="Times New Roman" w:hAnsi="Times New Roman" w:eastAsia="宋体"/>
                <w:sz w:val="32"/>
                <w:szCs w:val="32"/>
              </w:rPr>
            </w:pPr>
            <w:r>
              <w:rPr>
                <w:rFonts w:ascii="Times New Roman" w:hAnsi="Times New Roman" w:eastAsia="宋体"/>
                <w:b/>
                <w:spacing w:val="107"/>
                <w:kern w:val="0"/>
                <w:sz w:val="32"/>
                <w:szCs w:val="32"/>
                <w:fitText w:val="3531" w:id="-2044467710"/>
              </w:rPr>
              <w:t>估价报告编号</w:t>
            </w:r>
            <w:r>
              <w:rPr>
                <w:rFonts w:ascii="Times New Roman" w:hAnsi="Times New Roman" w:eastAsia="宋体"/>
                <w:b/>
                <w:spacing w:val="3"/>
                <w:kern w:val="0"/>
                <w:sz w:val="32"/>
                <w:szCs w:val="32"/>
                <w:fitText w:val="3531" w:id="-2044467710"/>
              </w:rPr>
              <w:t>：</w:t>
            </w:r>
          </w:p>
        </w:tc>
        <w:tc>
          <w:tcPr>
            <w:tcW w:w="3161" w:type="pct"/>
          </w:tcPr>
          <w:p>
            <w:pPr>
              <w:tabs>
                <w:tab w:val="left" w:pos="540"/>
                <w:tab w:val="left" w:pos="2520"/>
              </w:tabs>
              <w:spacing w:line="500" w:lineRule="exact"/>
              <w:jc w:val="left"/>
              <w:rPr>
                <w:rFonts w:ascii="Times New Roman" w:hAnsi="Times New Roman" w:eastAsia="宋体"/>
                <w:b/>
                <w:sz w:val="32"/>
                <w:szCs w:val="32"/>
              </w:rPr>
            </w:pPr>
            <w:r>
              <w:rPr>
                <w:rFonts w:ascii="Times New Roman" w:hAnsi="Times New Roman" w:eastAsia="宋体"/>
                <w:spacing w:val="24"/>
                <w:kern w:val="10"/>
                <w:sz w:val="32"/>
                <w:szCs w:val="32"/>
              </w:rPr>
              <w:t>黔桑立房鉴字【20</w:t>
            </w:r>
            <w:r>
              <w:rPr>
                <w:rFonts w:ascii="Times New Roman" w:hAnsi="Times New Roman" w:eastAsia="宋体"/>
                <w:sz w:val="32"/>
                <w:szCs w:val="32"/>
              </w:rPr>
              <w:t>22</w:t>
            </w:r>
            <w:r>
              <w:rPr>
                <w:rFonts w:ascii="Times New Roman" w:hAnsi="Times New Roman" w:eastAsia="宋体"/>
                <w:spacing w:val="24"/>
                <w:kern w:val="10"/>
                <w:sz w:val="32"/>
                <w:szCs w:val="32"/>
              </w:rPr>
              <w:t>】第0404号</w:t>
            </w:r>
          </w:p>
        </w:tc>
      </w:tr>
    </w:tbl>
    <w:p>
      <w:pPr>
        <w:widowControl/>
        <w:spacing w:before="156" w:beforeLines="50" w:after="156" w:afterLines="50"/>
        <w:jc w:val="center"/>
        <w:outlineLvl w:val="0"/>
        <w:rPr>
          <w:rFonts w:ascii="Times New Roman" w:hAnsi="Times New Roman" w:eastAsia="宋体"/>
          <w:b/>
          <w:sz w:val="44"/>
          <w:szCs w:val="44"/>
        </w:rPr>
      </w:pPr>
      <w:bookmarkStart w:id="0" w:name="_Toc396396766"/>
      <w:bookmarkStart w:id="1" w:name="_Toc65065885"/>
      <w:bookmarkStart w:id="2" w:name="_Toc432490535"/>
      <w:bookmarkStart w:id="3" w:name="_Toc432574962"/>
      <w:bookmarkStart w:id="4" w:name="_Toc47874168"/>
      <w:r>
        <w:rPr>
          <w:rFonts w:ascii="Times New Roman" w:hAnsi="Times New Roman" w:eastAsia="宋体"/>
          <w:b/>
          <w:sz w:val="44"/>
          <w:szCs w:val="44"/>
        </w:rPr>
        <w:br w:type="page"/>
      </w:r>
      <w:r>
        <w:rPr>
          <w:rFonts w:ascii="Times New Roman" w:hAnsi="Times New Roman" w:eastAsia="宋体"/>
          <w:b/>
          <w:sz w:val="44"/>
          <w:szCs w:val="44"/>
        </w:rPr>
        <w:t>致估价委托人函</w:t>
      </w:r>
      <w:bookmarkEnd w:id="0"/>
      <w:bookmarkEnd w:id="1"/>
      <w:bookmarkEnd w:id="2"/>
      <w:bookmarkEnd w:id="3"/>
      <w:bookmarkEnd w:id="4"/>
    </w:p>
    <w:p>
      <w:pPr>
        <w:spacing w:line="480" w:lineRule="exact"/>
        <w:rPr>
          <w:rFonts w:ascii="Times New Roman" w:hAnsi="Times New Roman" w:eastAsia="宋体"/>
          <w:sz w:val="28"/>
          <w:szCs w:val="28"/>
        </w:rPr>
      </w:pPr>
      <w:r>
        <w:rPr>
          <w:rFonts w:ascii="Times New Roman" w:hAnsi="Times New Roman" w:eastAsia="宋体"/>
          <w:sz w:val="28"/>
          <w:szCs w:val="28"/>
        </w:rPr>
        <w:t>织金县人民法院：</w:t>
      </w:r>
    </w:p>
    <w:p>
      <w:pPr>
        <w:spacing w:line="480" w:lineRule="exact"/>
        <w:ind w:firstLine="560" w:firstLineChars="200"/>
        <w:rPr>
          <w:rFonts w:ascii="Times New Roman" w:hAnsi="Times New Roman" w:eastAsia="宋体"/>
          <w:i/>
          <w:iCs/>
          <w:sz w:val="28"/>
          <w:szCs w:val="28"/>
        </w:rPr>
      </w:pPr>
      <w:r>
        <w:rPr>
          <w:rFonts w:ascii="Times New Roman" w:hAnsi="Times New Roman" w:eastAsia="宋体"/>
          <w:sz w:val="28"/>
          <w:szCs w:val="28"/>
        </w:rPr>
        <w:t>受贵院委托，在贵院受理贵州织金农村商业银行股份有限公司申请执行陈绍彬、欧婷金融借款合同纠纷一案中，需对位于织金县八步镇沙冲村营盘组一栋自建房地产的市场价值进行评估，现将有关内容报告如下：</w:t>
      </w:r>
    </w:p>
    <w:p>
      <w:pPr>
        <w:tabs>
          <w:tab w:val="left" w:pos="210"/>
          <w:tab w:val="left" w:pos="630"/>
        </w:tabs>
        <w:spacing w:line="480" w:lineRule="exact"/>
        <w:ind w:left="-4" w:leftChars="-2" w:firstLine="560" w:firstLineChars="200"/>
        <w:jc w:val="left"/>
        <w:outlineLvl w:val="1"/>
        <w:rPr>
          <w:rFonts w:ascii="Times New Roman" w:hAnsi="Times New Roman" w:eastAsia="宋体"/>
          <w:b/>
          <w:bCs/>
          <w:sz w:val="28"/>
          <w:szCs w:val="28"/>
        </w:rPr>
      </w:pPr>
      <w:bookmarkStart w:id="5" w:name="_Toc47874169"/>
      <w:bookmarkStart w:id="6" w:name="_Toc65065886"/>
      <w:r>
        <w:rPr>
          <w:rFonts w:ascii="Times New Roman" w:hAnsi="Times New Roman" w:eastAsia="宋体"/>
          <w:b/>
          <w:bCs/>
          <w:sz w:val="28"/>
          <w:szCs w:val="28"/>
        </w:rPr>
        <w:t>一、估价目的</w:t>
      </w:r>
      <w:bookmarkEnd w:id="5"/>
      <w:bookmarkEnd w:id="6"/>
    </w:p>
    <w:p>
      <w:pPr>
        <w:tabs>
          <w:tab w:val="left" w:pos="210"/>
          <w:tab w:val="left" w:pos="630"/>
        </w:tabs>
        <w:spacing w:line="480" w:lineRule="exact"/>
        <w:ind w:left="-4" w:leftChars="-2" w:firstLine="560" w:firstLineChars="200"/>
        <w:jc w:val="left"/>
        <w:rPr>
          <w:rFonts w:ascii="Times New Roman" w:hAnsi="Times New Roman" w:eastAsia="宋体"/>
          <w:bCs/>
          <w:sz w:val="28"/>
          <w:szCs w:val="28"/>
        </w:rPr>
      </w:pPr>
      <w:r>
        <w:rPr>
          <w:rFonts w:ascii="Times New Roman" w:hAnsi="Times New Roman" w:eastAsia="宋体"/>
          <w:sz w:val="28"/>
          <w:szCs w:val="28"/>
        </w:rPr>
        <w:t>为人民法院确定财产处置参考价提供参考依据。</w:t>
      </w:r>
    </w:p>
    <w:p>
      <w:pPr>
        <w:tabs>
          <w:tab w:val="left" w:pos="210"/>
          <w:tab w:val="left" w:pos="630"/>
        </w:tabs>
        <w:spacing w:line="480" w:lineRule="exact"/>
        <w:ind w:firstLine="560" w:firstLineChars="200"/>
        <w:jc w:val="left"/>
        <w:outlineLvl w:val="1"/>
        <w:rPr>
          <w:rFonts w:ascii="Times New Roman" w:hAnsi="Times New Roman" w:eastAsia="宋体"/>
          <w:b/>
          <w:bCs/>
          <w:sz w:val="28"/>
          <w:szCs w:val="28"/>
        </w:rPr>
      </w:pPr>
      <w:bookmarkStart w:id="7" w:name="_Toc65065887"/>
      <w:bookmarkStart w:id="8" w:name="_Toc47874170"/>
      <w:r>
        <w:rPr>
          <w:rFonts w:ascii="Times New Roman" w:hAnsi="Times New Roman" w:eastAsia="宋体"/>
          <w:b/>
          <w:bCs/>
          <w:sz w:val="28"/>
          <w:szCs w:val="28"/>
        </w:rPr>
        <w:t>二、估价对象</w:t>
      </w:r>
      <w:bookmarkEnd w:id="7"/>
      <w:bookmarkEnd w:id="8"/>
    </w:p>
    <w:tbl>
      <w:tblPr>
        <w:tblStyle w:val="21"/>
        <w:tblpPr w:leftFromText="180" w:rightFromText="180" w:vertAnchor="text" w:tblpY="1"/>
        <w:tblOverlap w:val="never"/>
        <w:tblW w:w="0" w:type="dxa"/>
        <w:tblInd w:w="0" w:type="dxa"/>
        <w:tblBorders>
          <w:top w:val="dashSmallGap" w:color="auto" w:sz="4" w:space="0"/>
          <w:left w:val="dashSmallGap" w:color="auto" w:sz="4" w:space="0"/>
          <w:bottom w:val="dashSmallGap" w:color="auto" w:sz="4" w:space="0"/>
          <w:right w:val="dashSmallGap" w:color="auto" w:sz="4" w:space="0"/>
          <w:insideH w:val="none" w:color="auto" w:sz="0" w:space="0"/>
          <w:insideV w:val="none" w:color="auto" w:sz="0" w:space="0"/>
        </w:tblBorders>
        <w:tblLayout w:type="autofit"/>
        <w:tblCellMar>
          <w:top w:w="0" w:type="dxa"/>
          <w:left w:w="108" w:type="dxa"/>
          <w:bottom w:w="0" w:type="dxa"/>
          <w:right w:w="108" w:type="dxa"/>
        </w:tblCellMar>
      </w:tblPr>
      <w:tblGrid>
        <w:gridCol w:w="5161"/>
      </w:tblGrid>
      <w:tr>
        <w:tblPrEx>
          <w:tblBorders>
            <w:top w:val="dashSmallGap" w:color="auto" w:sz="4" w:space="0"/>
            <w:left w:val="dashSmallGap" w:color="auto" w:sz="4" w:space="0"/>
            <w:bottom w:val="dashSmallGap" w:color="auto" w:sz="4" w:space="0"/>
            <w:right w:val="dashSmallGap" w:color="auto" w:sz="4"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4535" w:type="dxa"/>
          </w:tcPr>
          <w:p>
            <w:pPr>
              <w:rPr>
                <w:rFonts w:ascii="Times New Roman" w:hAnsi="Times New Roman" w:eastAsia="宋体"/>
                <w:sz w:val="28"/>
                <w:szCs w:val="28"/>
              </w:rPr>
            </w:pPr>
            <w:bookmarkStart w:id="9" w:name="_Hlk97112580"/>
            <w:r>
              <w:rPr>
                <w:rFonts w:ascii="Times New Roman" w:hAnsi="Times New Roman" w:eastAsia="宋体"/>
                <w:sz w:val="28"/>
                <w:szCs w:val="28"/>
              </w:rPr>
              <mc:AlternateContent>
                <mc:Choice Requires="wpg">
                  <w:drawing>
                    <wp:anchor distT="0" distB="0" distL="114300" distR="114300" simplePos="0" relativeHeight="251659264" behindDoc="0" locked="0" layoutInCell="1" allowOverlap="1">
                      <wp:simplePos x="0" y="0"/>
                      <wp:positionH relativeFrom="column">
                        <wp:posOffset>943610</wp:posOffset>
                      </wp:positionH>
                      <wp:positionV relativeFrom="paragraph">
                        <wp:posOffset>1101725</wp:posOffset>
                      </wp:positionV>
                      <wp:extent cx="792480" cy="601980"/>
                      <wp:effectExtent l="0" t="0" r="7620" b="7620"/>
                      <wp:wrapNone/>
                      <wp:docPr id="26" name="组合 256"/>
                      <wp:cNvGraphicFramePr/>
                      <a:graphic xmlns:a="http://schemas.openxmlformats.org/drawingml/2006/main">
                        <a:graphicData uri="http://schemas.microsoft.com/office/word/2010/wordprocessingGroup">
                          <wpg:wgp>
                            <wpg:cNvGrpSpPr/>
                            <wpg:grpSpPr>
                              <a:xfrm>
                                <a:off x="0" y="0"/>
                                <a:ext cx="792480" cy="601980"/>
                                <a:chOff x="4927" y="6950"/>
                                <a:chExt cx="1248" cy="948"/>
                              </a:xfrm>
                            </wpg:grpSpPr>
                            <wps:wsp>
                              <wps:cNvPr id="113792" name="自选图形 254"/>
                              <wps:cNvSpPr>
                                <a:spLocks noChangeArrowheads="1"/>
                              </wps:cNvSpPr>
                              <wps:spPr bwMode="auto">
                                <a:xfrm>
                                  <a:off x="4927" y="6950"/>
                                  <a:ext cx="1248" cy="506"/>
                                </a:xfrm>
                                <a:prstGeom prst="wedgeRectCallout">
                                  <a:avLst>
                                    <a:gd name="adj1" fmla="val -35898"/>
                                    <a:gd name="adj2" fmla="val 113634"/>
                                  </a:avLst>
                                </a:prstGeom>
                                <a:solidFill>
                                  <a:srgbClr val="FFFFFF"/>
                                </a:solidFill>
                                <a:ln w="9525">
                                  <a:solidFill>
                                    <a:srgbClr val="2F5496"/>
                                  </a:solidFill>
                                  <a:miter lim="800000"/>
                                </a:ln>
                              </wps:spPr>
                              <wps:txbx>
                                <w:txbxContent>
                                  <w:p>
                                    <w:pPr>
                                      <w:rPr>
                                        <w:b/>
                                        <w:bCs/>
                                        <w:color w:val="FF0000"/>
                                      </w:rPr>
                                    </w:pPr>
                                    <w:r>
                                      <w:rPr>
                                        <w:rFonts w:hint="eastAsia"/>
                                        <w:b/>
                                        <w:bCs/>
                                        <w:color w:val="FF0000"/>
                                      </w:rPr>
                                      <w:t>估价对象估价对象</w:t>
                                    </w:r>
                                  </w:p>
                                </w:txbxContent>
                              </wps:txbx>
                              <wps:bodyPr rot="0" vert="horz" wrap="square" lIns="91440" tIns="45720" rIns="91440" bIns="45720" anchor="t" anchorCtr="0" upright="1">
                                <a:noAutofit/>
                              </wps:bodyPr>
                            </wps:wsp>
                            <wps:wsp>
                              <wps:cNvPr id="113793" name="椭圆 255"/>
                              <wps:cNvSpPr>
                                <a:spLocks noChangeArrowheads="1"/>
                              </wps:cNvSpPr>
                              <wps:spPr bwMode="auto">
                                <a:xfrm>
                                  <a:off x="4999" y="7742"/>
                                  <a:ext cx="156" cy="156"/>
                                </a:xfrm>
                                <a:prstGeom prst="ellipse">
                                  <a:avLst/>
                                </a:prstGeom>
                                <a:solidFill>
                                  <a:srgbClr val="FF0000"/>
                                </a:solidFill>
                                <a:ln w="9525">
                                  <a:solidFill>
                                    <a:srgbClr val="2F5496"/>
                                  </a:solidFill>
                                  <a:round/>
                                </a:ln>
                              </wps:spPr>
                              <wps:bodyPr rot="0" vert="horz" wrap="square" lIns="91440" tIns="45720" rIns="91440" bIns="45720" anchor="t" anchorCtr="0" upright="1">
                                <a:noAutofit/>
                              </wps:bodyPr>
                            </wps:wsp>
                          </wpg:wgp>
                        </a:graphicData>
                      </a:graphic>
                    </wp:anchor>
                  </w:drawing>
                </mc:Choice>
                <mc:Fallback>
                  <w:pict>
                    <v:group id="组合 256" o:spid="_x0000_s1026" o:spt="203" style="position:absolute;left:0pt;margin-left:74.3pt;margin-top:86.75pt;height:47.4pt;width:62.4pt;z-index:251659264;mso-width-relative:page;mso-height-relative:page;" coordorigin="4927,6950" coordsize="1248,948" o:gfxdata="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B1ypTnaAAAACwEAAA8AAAAAAAAAAQAgAAAAIgAAAGRycy9kb3ducmV2LnhtbFBLAQIU&#10;ABQAAAAIAIdO4kDJWNbuRwMAAKQIAAAOAAAAAAAAAAEAIAAAACkBAABkcnMvZTJvRG9jLnhtbFBL&#10;BQYAAAAABgAGAFkBAADiBgAAAAA=&#10;">
                      <o:lock v:ext="edit" aspectratio="f"/>
                      <v:shape id="自选图形 254" o:spid="_x0000_s1026" o:spt="61" type="#_x0000_t61" style="position:absolute;left:4927;top:6950;height:506;width:1248;" fillcolor="#FFFFFF" filled="t" stroked="t" coordsize="21600,21600" o:gfxdata="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8Tca/&#10;AAAA3wAAAA8AAAAAAAAAAQAgAAAAIgAAAGRycy9kb3ducmV2LnhtbFBLAQIUABQAAAAIAIdO4kAz&#10;LwWeOwAAADkAAAAQAAAAAAAAAAEAIAAAAA4BAABkcnMvc2hhcGV4bWwueG1sUEsFBgAAAAAGAAYA&#10;WwEAALgDAAAAAA==&#10;" adj="3046,35345">
                        <v:fill on="t" focussize="0,0"/>
                        <v:stroke color="#2F5496" miterlimit="8" joinstyle="miter"/>
                        <v:imagedata o:title=""/>
                        <o:lock v:ext="edit" aspectratio="f"/>
                        <v:textbox>
                          <w:txbxContent>
                            <w:p>
                              <w:pPr>
                                <w:rPr>
                                  <w:b/>
                                  <w:bCs/>
                                  <w:color w:val="FF0000"/>
                                </w:rPr>
                              </w:pPr>
                              <w:r>
                                <w:rPr>
                                  <w:rFonts w:hint="eastAsia"/>
                                  <w:b/>
                                  <w:bCs/>
                                  <w:color w:val="FF0000"/>
                                </w:rPr>
                                <w:t>估价对象估价对象</w:t>
                              </w:r>
                            </w:p>
                          </w:txbxContent>
                        </v:textbox>
                      </v:shape>
                      <v:shape id="椭圆 255" o:spid="_x0000_s1026" o:spt="3" type="#_x0000_t3" style="position:absolute;left:4999;top:7742;height:156;width:156;" fillcolor="#FF0000" filled="t" stroked="t" coordsize="21600,21600" o:gfxdata="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yqBKvQAA&#10;AN8AAAAPAAAAAAAAAAEAIAAAACIAAABkcnMvZG93bnJldi54bWxQSwECFAAUAAAACACHTuJAMy8F&#10;njsAAAA5AAAAEAAAAAAAAAABACAAAAAMAQAAZHJzL3NoYXBleG1sLnhtbFBLBQYAAAAABgAGAFsB&#10;AAC2AwAAAAA=&#10;">
                        <v:fill on="t" focussize="0,0"/>
                        <v:stroke color="#2F5496" joinstyle="round"/>
                        <v:imagedata o:title=""/>
                        <o:lock v:ext="edit" aspectratio="f"/>
                      </v:shape>
                    </v:group>
                  </w:pict>
                </mc:Fallback>
              </mc:AlternateContent>
            </w:r>
            <w:r>
              <w:rPr>
                <w:rFonts w:ascii="Times New Roman" w:hAnsi="Times New Roman" w:eastAsia="宋体"/>
              </w:rPr>
              <w:drawing>
                <wp:inline distT="0" distB="0" distL="0" distR="0">
                  <wp:extent cx="3140075" cy="24885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5297" cy="2508581"/>
                          </a:xfrm>
                          <a:prstGeom prst="rect">
                            <a:avLst/>
                          </a:prstGeom>
                          <a:noFill/>
                          <a:ln>
                            <a:noFill/>
                          </a:ln>
                        </pic:spPr>
                      </pic:pic>
                    </a:graphicData>
                  </a:graphic>
                </wp:inline>
              </w:drawing>
            </w:r>
          </w:p>
        </w:tc>
      </w:tr>
      <w:bookmarkEnd w:id="9"/>
    </w:tbl>
    <w:p>
      <w:pPr>
        <w:spacing w:before="240" w:line="500" w:lineRule="exact"/>
        <w:ind w:firstLine="560" w:firstLineChars="200"/>
        <w:rPr>
          <w:rFonts w:ascii="Times New Roman" w:hAnsi="Times New Roman" w:eastAsia="宋体"/>
          <w:sz w:val="28"/>
          <w:szCs w:val="28"/>
        </w:rPr>
      </w:pPr>
      <w:r>
        <w:rPr>
          <w:rFonts w:ascii="Times New Roman" w:hAnsi="Times New Roman" w:eastAsia="宋体"/>
          <w:sz w:val="28"/>
          <w:szCs w:val="28"/>
        </w:rPr>
        <w:t>根据委托人提供的《委托书》【（2022）黔0524执816号】、估价对象的《贵州省不动产登记查询结果》《房屋所有权证》《房屋所有权登记审批表》及《国有土地使用证》资料复印件，确定估价对象为织金县八步镇沙冲村营盘组一栋自建房地产(估价对象位置见</w:t>
      </w:r>
      <w:r>
        <w:rPr>
          <w:rFonts w:hint="eastAsia" w:ascii="Times New Roman" w:hAnsi="Times New Roman" w:eastAsia="宋体"/>
          <w:sz w:val="28"/>
          <w:szCs w:val="28"/>
        </w:rPr>
        <w:t>左</w:t>
      </w:r>
      <w:r>
        <w:rPr>
          <w:rFonts w:ascii="Times New Roman" w:hAnsi="Times New Roman" w:eastAsia="宋体"/>
          <w:sz w:val="28"/>
          <w:szCs w:val="28"/>
        </w:rPr>
        <w:t>图)，评估范围包括建筑物及其独用的国有划拨建设用地使用权、室内固定装修、公共配套设施，不包括动产、债权债务等其他财产或权益。</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根据估价对象的《贵州省不动产登记查询结果》《房屋所有权证》《房屋所有权登记审批表》及《国有土地使用证》资料复印件，估价对象基本状况如下表：</w:t>
      </w:r>
    </w:p>
    <w:tbl>
      <w:tblPr>
        <w:tblStyle w:val="21"/>
        <w:tblW w:w="5000" w:type="pct"/>
        <w:tblInd w:w="0" w:type="dxa"/>
        <w:tblLayout w:type="autofit"/>
        <w:tblCellMar>
          <w:top w:w="0" w:type="dxa"/>
          <w:left w:w="108" w:type="dxa"/>
          <w:bottom w:w="0" w:type="dxa"/>
          <w:right w:w="108" w:type="dxa"/>
        </w:tblCellMar>
      </w:tblPr>
      <w:tblGrid>
        <w:gridCol w:w="90"/>
        <w:gridCol w:w="1692"/>
        <w:gridCol w:w="1198"/>
        <w:gridCol w:w="81"/>
        <w:gridCol w:w="556"/>
        <w:gridCol w:w="2097"/>
        <w:gridCol w:w="489"/>
        <w:gridCol w:w="2219"/>
        <w:gridCol w:w="189"/>
        <w:gridCol w:w="447"/>
        <w:gridCol w:w="635"/>
        <w:gridCol w:w="160"/>
      </w:tblGrid>
      <w:tr>
        <w:tblPrEx>
          <w:tblCellMar>
            <w:top w:w="0" w:type="dxa"/>
            <w:left w:w="108" w:type="dxa"/>
            <w:bottom w:w="0" w:type="dxa"/>
            <w:right w:w="108" w:type="dxa"/>
          </w:tblCellMar>
        </w:tblPrEx>
        <w:trPr>
          <w:trHeight w:val="340" w:hRule="atLeast"/>
        </w:trPr>
        <w:tc>
          <w:tcPr>
            <w:tcW w:w="5000" w:type="pct"/>
            <w:gridSpan w:val="12"/>
            <w:tcBorders>
              <w:bottom w:val="single" w:color="auto" w:sz="4" w:space="0"/>
            </w:tcBorders>
            <w:shd w:val="clear" w:color="auto" w:fill="auto"/>
            <w:noWrap/>
            <w:vAlign w:val="center"/>
          </w:tcPr>
          <w:p>
            <w:pPr>
              <w:widowControl/>
              <w:jc w:val="center"/>
              <w:rPr>
                <w:rFonts w:ascii="Times New Roman" w:hAnsi="Times New Roman" w:eastAsia="宋体"/>
                <w:b/>
                <w:bCs/>
                <w:kern w:val="0"/>
                <w:szCs w:val="21"/>
              </w:rPr>
            </w:pPr>
            <w:r>
              <w:rPr>
                <w:rFonts w:ascii="Times New Roman" w:hAnsi="Times New Roman" w:eastAsia="宋体"/>
                <w:b/>
                <w:bCs/>
                <w:kern w:val="0"/>
                <w:szCs w:val="21"/>
              </w:rPr>
              <w:t>《房屋所有权证》及《房屋所有权登记审批表》信息摘录表</w:t>
            </w:r>
          </w:p>
        </w:tc>
      </w:tr>
      <w:tr>
        <w:tblPrEx>
          <w:tblCellMar>
            <w:top w:w="0" w:type="dxa"/>
            <w:left w:w="108" w:type="dxa"/>
            <w:bottom w:w="0" w:type="dxa"/>
            <w:right w:w="108" w:type="dxa"/>
          </w:tblCellMar>
        </w:tblPrEx>
        <w:trPr>
          <w:trHeight w:val="340" w:hRule="atLeast"/>
        </w:trPr>
        <w:tc>
          <w:tcPr>
            <w:tcW w:w="9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房屋产权证号</w:t>
            </w:r>
          </w:p>
        </w:tc>
        <w:tc>
          <w:tcPr>
            <w:tcW w:w="4095"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织房权证八步镇字第75010320号</w:t>
            </w:r>
          </w:p>
        </w:tc>
      </w:tr>
      <w:tr>
        <w:tblPrEx>
          <w:tblCellMar>
            <w:top w:w="0" w:type="dxa"/>
            <w:left w:w="108" w:type="dxa"/>
            <w:bottom w:w="0" w:type="dxa"/>
            <w:right w:w="108" w:type="dxa"/>
          </w:tblCellMar>
        </w:tblPrEx>
        <w:trPr>
          <w:trHeight w:val="340" w:hRule="atLeast"/>
        </w:trPr>
        <w:tc>
          <w:tcPr>
            <w:tcW w:w="9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房屋所有权人</w:t>
            </w:r>
          </w:p>
        </w:tc>
        <w:tc>
          <w:tcPr>
            <w:tcW w:w="4095"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陈绍彬</w:t>
            </w:r>
          </w:p>
        </w:tc>
      </w:tr>
      <w:tr>
        <w:tblPrEx>
          <w:tblCellMar>
            <w:top w:w="0" w:type="dxa"/>
            <w:left w:w="108" w:type="dxa"/>
            <w:bottom w:w="0" w:type="dxa"/>
            <w:right w:w="108" w:type="dxa"/>
          </w:tblCellMar>
        </w:tblPrEx>
        <w:trPr>
          <w:trHeight w:val="340" w:hRule="atLeast"/>
        </w:trPr>
        <w:tc>
          <w:tcPr>
            <w:tcW w:w="9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共有情况</w:t>
            </w:r>
          </w:p>
        </w:tc>
        <w:tc>
          <w:tcPr>
            <w:tcW w:w="4095"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共同共有，共有人欧婷。</w:t>
            </w:r>
          </w:p>
        </w:tc>
      </w:tr>
      <w:tr>
        <w:tblPrEx>
          <w:tblCellMar>
            <w:top w:w="0" w:type="dxa"/>
            <w:left w:w="108" w:type="dxa"/>
            <w:bottom w:w="0" w:type="dxa"/>
            <w:right w:w="108" w:type="dxa"/>
          </w:tblCellMar>
        </w:tblPrEx>
        <w:trPr>
          <w:trHeight w:val="340" w:hRule="atLeast"/>
        </w:trPr>
        <w:tc>
          <w:tcPr>
            <w:tcW w:w="9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房屋坐落</w:t>
            </w:r>
          </w:p>
        </w:tc>
        <w:tc>
          <w:tcPr>
            <w:tcW w:w="4095"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八步镇沙冲村营盘组</w:t>
            </w:r>
          </w:p>
        </w:tc>
      </w:tr>
      <w:tr>
        <w:tblPrEx>
          <w:tblCellMar>
            <w:top w:w="0" w:type="dxa"/>
            <w:left w:w="108" w:type="dxa"/>
            <w:bottom w:w="0" w:type="dxa"/>
            <w:right w:w="108" w:type="dxa"/>
          </w:tblCellMar>
        </w:tblPrEx>
        <w:trPr>
          <w:trHeight w:val="340" w:hRule="atLeast"/>
        </w:trPr>
        <w:tc>
          <w:tcPr>
            <w:tcW w:w="9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登记时间</w:t>
            </w:r>
          </w:p>
        </w:tc>
        <w:tc>
          <w:tcPr>
            <w:tcW w:w="4095"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2013年12月26日</w:t>
            </w:r>
          </w:p>
        </w:tc>
      </w:tr>
      <w:tr>
        <w:tblPrEx>
          <w:tblCellMar>
            <w:top w:w="0" w:type="dxa"/>
            <w:left w:w="108" w:type="dxa"/>
            <w:bottom w:w="0" w:type="dxa"/>
            <w:right w:w="108" w:type="dxa"/>
          </w:tblCellMar>
        </w:tblPrEx>
        <w:trPr>
          <w:trHeight w:val="340" w:hRule="atLeast"/>
        </w:trPr>
        <w:tc>
          <w:tcPr>
            <w:tcW w:w="9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规划用途</w:t>
            </w:r>
          </w:p>
        </w:tc>
        <w:tc>
          <w:tcPr>
            <w:tcW w:w="4095"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住宅、商业</w:t>
            </w:r>
          </w:p>
        </w:tc>
      </w:tr>
      <w:tr>
        <w:tblPrEx>
          <w:tblCellMar>
            <w:top w:w="0" w:type="dxa"/>
            <w:left w:w="108" w:type="dxa"/>
            <w:bottom w:w="0" w:type="dxa"/>
            <w:right w:w="108" w:type="dxa"/>
          </w:tblCellMar>
        </w:tblPrEx>
        <w:trPr>
          <w:trHeight w:val="340" w:hRule="atLeast"/>
        </w:trPr>
        <w:tc>
          <w:tcPr>
            <w:tcW w:w="905"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房屋状况</w:t>
            </w:r>
          </w:p>
        </w:tc>
        <w:tc>
          <w:tcPr>
            <w:tcW w:w="6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总层数</w:t>
            </w:r>
          </w:p>
        </w:tc>
        <w:tc>
          <w:tcPr>
            <w:tcW w:w="32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用途</w:t>
            </w:r>
          </w:p>
        </w:tc>
        <w:tc>
          <w:tcPr>
            <w:tcW w:w="10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建筑面积（㎡）</w:t>
            </w:r>
          </w:p>
        </w:tc>
        <w:tc>
          <w:tcPr>
            <w:tcW w:w="137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套内建筑面积（㎡）</w:t>
            </w:r>
          </w:p>
        </w:tc>
        <w:tc>
          <w:tcPr>
            <w:tcW w:w="32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其他</w:t>
            </w:r>
          </w:p>
        </w:tc>
        <w:tc>
          <w:tcPr>
            <w:tcW w:w="40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结构</w:t>
            </w:r>
          </w:p>
        </w:tc>
      </w:tr>
      <w:tr>
        <w:tblPrEx>
          <w:tblCellMar>
            <w:top w:w="0" w:type="dxa"/>
            <w:left w:w="108" w:type="dxa"/>
            <w:bottom w:w="0" w:type="dxa"/>
            <w:right w:w="108" w:type="dxa"/>
          </w:tblCellMar>
        </w:tblPrEx>
        <w:trPr>
          <w:trHeight w:val="340" w:hRule="atLeast"/>
        </w:trPr>
        <w:tc>
          <w:tcPr>
            <w:tcW w:w="905"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6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4（1-4）</w:t>
            </w:r>
          </w:p>
        </w:tc>
        <w:tc>
          <w:tcPr>
            <w:tcW w:w="32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住宅</w:t>
            </w:r>
          </w:p>
        </w:tc>
        <w:tc>
          <w:tcPr>
            <w:tcW w:w="10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 xml:space="preserve">819.28 </w:t>
            </w:r>
          </w:p>
        </w:tc>
        <w:tc>
          <w:tcPr>
            <w:tcW w:w="137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w:t>
            </w:r>
          </w:p>
        </w:tc>
        <w:tc>
          <w:tcPr>
            <w:tcW w:w="323"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w:t>
            </w:r>
          </w:p>
        </w:tc>
        <w:tc>
          <w:tcPr>
            <w:tcW w:w="401"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混合</w:t>
            </w:r>
          </w:p>
        </w:tc>
      </w:tr>
      <w:tr>
        <w:tblPrEx>
          <w:tblCellMar>
            <w:top w:w="0" w:type="dxa"/>
            <w:left w:w="108" w:type="dxa"/>
            <w:bottom w:w="0" w:type="dxa"/>
            <w:right w:w="108" w:type="dxa"/>
          </w:tblCellMar>
        </w:tblPrEx>
        <w:trPr>
          <w:trHeight w:val="340" w:hRule="atLeast"/>
        </w:trPr>
        <w:tc>
          <w:tcPr>
            <w:tcW w:w="905"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6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4-2</w:t>
            </w:r>
          </w:p>
        </w:tc>
        <w:tc>
          <w:tcPr>
            <w:tcW w:w="32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商业</w:t>
            </w:r>
          </w:p>
        </w:tc>
        <w:tc>
          <w:tcPr>
            <w:tcW w:w="10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 xml:space="preserve">156.30 </w:t>
            </w:r>
          </w:p>
        </w:tc>
        <w:tc>
          <w:tcPr>
            <w:tcW w:w="137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w:t>
            </w:r>
          </w:p>
        </w:tc>
        <w:tc>
          <w:tcPr>
            <w:tcW w:w="32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40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r>
      <w:tr>
        <w:tblPrEx>
          <w:tblCellMar>
            <w:top w:w="0" w:type="dxa"/>
            <w:left w:w="108" w:type="dxa"/>
            <w:bottom w:w="0" w:type="dxa"/>
            <w:right w:w="108" w:type="dxa"/>
          </w:tblCellMar>
        </w:tblPrEx>
        <w:trPr>
          <w:gridBefore w:val="1"/>
          <w:gridAfter w:val="1"/>
          <w:wBefore w:w="46" w:type="pct"/>
          <w:wAfter w:w="81" w:type="pct"/>
          <w:trHeight w:val="340" w:hRule="atLeast"/>
        </w:trPr>
        <w:tc>
          <w:tcPr>
            <w:tcW w:w="4873" w:type="pct"/>
            <w:gridSpan w:val="10"/>
            <w:tcBorders>
              <w:bottom w:val="single" w:color="auto" w:sz="4" w:space="0"/>
            </w:tcBorders>
            <w:shd w:val="clear" w:color="auto" w:fill="auto"/>
            <w:noWrap/>
            <w:vAlign w:val="center"/>
          </w:tcPr>
          <w:p>
            <w:pPr>
              <w:widowControl/>
              <w:jc w:val="center"/>
              <w:rPr>
                <w:rFonts w:ascii="Times New Roman" w:hAnsi="Times New Roman" w:eastAsia="宋体"/>
                <w:b/>
                <w:bCs/>
                <w:kern w:val="0"/>
                <w:szCs w:val="21"/>
              </w:rPr>
            </w:pPr>
            <w:r>
              <w:rPr>
                <w:rFonts w:ascii="Times New Roman" w:hAnsi="Times New Roman" w:eastAsia="宋体"/>
                <w:b/>
                <w:bCs/>
                <w:kern w:val="0"/>
                <w:szCs w:val="21"/>
              </w:rPr>
              <w:t>《国有土地使用证》信息摘录表</w:t>
            </w:r>
          </w:p>
        </w:tc>
      </w:tr>
      <w:tr>
        <w:tblPrEx>
          <w:tblCellMar>
            <w:top w:w="0" w:type="dxa"/>
            <w:left w:w="108" w:type="dxa"/>
            <w:bottom w:w="0" w:type="dxa"/>
            <w:right w:w="108" w:type="dxa"/>
          </w:tblCellMar>
        </w:tblPrEx>
        <w:trPr>
          <w:gridBefore w:val="1"/>
          <w:gridAfter w:val="1"/>
          <w:wBefore w:w="46" w:type="pct"/>
          <w:wAfter w:w="81" w:type="pct"/>
          <w:trHeight w:val="340" w:hRule="atLeast"/>
        </w:trPr>
        <w:tc>
          <w:tcPr>
            <w:tcW w:w="150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土地证号</w:t>
            </w:r>
          </w:p>
        </w:tc>
        <w:tc>
          <w:tcPr>
            <w:tcW w:w="3365" w:type="pct"/>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织国用（2013）第1060011号</w:t>
            </w:r>
          </w:p>
        </w:tc>
      </w:tr>
      <w:tr>
        <w:tblPrEx>
          <w:tblCellMar>
            <w:top w:w="0" w:type="dxa"/>
            <w:left w:w="108" w:type="dxa"/>
            <w:bottom w:w="0" w:type="dxa"/>
            <w:right w:w="108" w:type="dxa"/>
          </w:tblCellMar>
        </w:tblPrEx>
        <w:trPr>
          <w:gridBefore w:val="1"/>
          <w:gridAfter w:val="1"/>
          <w:wBefore w:w="46" w:type="pct"/>
          <w:wAfter w:w="81" w:type="pct"/>
          <w:trHeight w:val="340" w:hRule="atLeast"/>
        </w:trPr>
        <w:tc>
          <w:tcPr>
            <w:tcW w:w="150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土地使用权人</w:t>
            </w:r>
          </w:p>
        </w:tc>
        <w:tc>
          <w:tcPr>
            <w:tcW w:w="3365" w:type="pct"/>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陈绍彬</w:t>
            </w:r>
          </w:p>
        </w:tc>
      </w:tr>
      <w:tr>
        <w:tblPrEx>
          <w:tblCellMar>
            <w:top w:w="0" w:type="dxa"/>
            <w:left w:w="108" w:type="dxa"/>
            <w:bottom w:w="0" w:type="dxa"/>
            <w:right w:w="108" w:type="dxa"/>
          </w:tblCellMar>
        </w:tblPrEx>
        <w:trPr>
          <w:gridBefore w:val="1"/>
          <w:gridAfter w:val="1"/>
          <w:wBefore w:w="46" w:type="pct"/>
          <w:wAfter w:w="81" w:type="pct"/>
          <w:trHeight w:val="340" w:hRule="atLeast"/>
        </w:trPr>
        <w:tc>
          <w:tcPr>
            <w:tcW w:w="150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座落</w:t>
            </w:r>
          </w:p>
        </w:tc>
        <w:tc>
          <w:tcPr>
            <w:tcW w:w="3365" w:type="pct"/>
            <w:gridSpan w:val="7"/>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八步街道办事处沙冲村营盘组</w:t>
            </w:r>
          </w:p>
        </w:tc>
      </w:tr>
      <w:tr>
        <w:tblPrEx>
          <w:tblCellMar>
            <w:top w:w="0" w:type="dxa"/>
            <w:left w:w="108" w:type="dxa"/>
            <w:bottom w:w="0" w:type="dxa"/>
            <w:right w:w="108" w:type="dxa"/>
          </w:tblCellMar>
        </w:tblPrEx>
        <w:trPr>
          <w:gridBefore w:val="1"/>
          <w:gridAfter w:val="1"/>
          <w:wBefore w:w="46" w:type="pct"/>
          <w:wAfter w:w="81" w:type="pct"/>
          <w:trHeight w:val="340" w:hRule="atLeast"/>
        </w:trPr>
        <w:tc>
          <w:tcPr>
            <w:tcW w:w="150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地号</w:t>
            </w:r>
          </w:p>
        </w:tc>
        <w:tc>
          <w:tcPr>
            <w:tcW w:w="159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1-106</w:t>
            </w:r>
          </w:p>
        </w:tc>
        <w:tc>
          <w:tcPr>
            <w:tcW w:w="122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图号</w:t>
            </w:r>
          </w:p>
        </w:tc>
        <w:tc>
          <w:tcPr>
            <w:tcW w:w="54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w:t>
            </w:r>
          </w:p>
        </w:tc>
      </w:tr>
      <w:tr>
        <w:tblPrEx>
          <w:tblCellMar>
            <w:top w:w="0" w:type="dxa"/>
            <w:left w:w="108" w:type="dxa"/>
            <w:bottom w:w="0" w:type="dxa"/>
            <w:right w:w="108" w:type="dxa"/>
          </w:tblCellMar>
        </w:tblPrEx>
        <w:trPr>
          <w:gridBefore w:val="1"/>
          <w:gridAfter w:val="1"/>
          <w:wBefore w:w="46" w:type="pct"/>
          <w:wAfter w:w="81" w:type="pct"/>
          <w:trHeight w:val="340" w:hRule="atLeast"/>
        </w:trPr>
        <w:tc>
          <w:tcPr>
            <w:tcW w:w="150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地类（用途）</w:t>
            </w:r>
          </w:p>
        </w:tc>
        <w:tc>
          <w:tcPr>
            <w:tcW w:w="159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住宅</w:t>
            </w:r>
          </w:p>
        </w:tc>
        <w:tc>
          <w:tcPr>
            <w:tcW w:w="1222"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取得价格</w:t>
            </w:r>
          </w:p>
        </w:tc>
        <w:tc>
          <w:tcPr>
            <w:tcW w:w="54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w:t>
            </w:r>
          </w:p>
        </w:tc>
      </w:tr>
      <w:tr>
        <w:tblPrEx>
          <w:tblCellMar>
            <w:top w:w="0" w:type="dxa"/>
            <w:left w:w="108" w:type="dxa"/>
            <w:bottom w:w="0" w:type="dxa"/>
            <w:right w:w="108" w:type="dxa"/>
          </w:tblCellMar>
        </w:tblPrEx>
        <w:trPr>
          <w:gridBefore w:val="1"/>
          <w:gridAfter w:val="1"/>
          <w:wBefore w:w="46" w:type="pct"/>
          <w:wAfter w:w="81" w:type="pct"/>
          <w:trHeight w:val="340" w:hRule="atLeast"/>
        </w:trPr>
        <w:tc>
          <w:tcPr>
            <w:tcW w:w="150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使用权性质及类型</w:t>
            </w:r>
          </w:p>
        </w:tc>
        <w:tc>
          <w:tcPr>
            <w:tcW w:w="159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国有划拨建设用地使用权</w:t>
            </w:r>
          </w:p>
        </w:tc>
        <w:tc>
          <w:tcPr>
            <w:tcW w:w="1222"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终止日期</w:t>
            </w:r>
          </w:p>
        </w:tc>
        <w:tc>
          <w:tcPr>
            <w:tcW w:w="54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w:t>
            </w:r>
          </w:p>
        </w:tc>
      </w:tr>
      <w:tr>
        <w:tblPrEx>
          <w:tblCellMar>
            <w:top w:w="0" w:type="dxa"/>
            <w:left w:w="108" w:type="dxa"/>
            <w:bottom w:w="0" w:type="dxa"/>
            <w:right w:w="108" w:type="dxa"/>
          </w:tblCellMar>
        </w:tblPrEx>
        <w:trPr>
          <w:gridBefore w:val="1"/>
          <w:gridAfter w:val="1"/>
          <w:wBefore w:w="46" w:type="pct"/>
          <w:wAfter w:w="81" w:type="pct"/>
          <w:trHeight w:val="340" w:hRule="atLeast"/>
        </w:trPr>
        <w:tc>
          <w:tcPr>
            <w:tcW w:w="150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使用权面积</w:t>
            </w:r>
          </w:p>
        </w:tc>
        <w:tc>
          <w:tcPr>
            <w:tcW w:w="3365" w:type="pct"/>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296.79㎡</w:t>
            </w:r>
          </w:p>
        </w:tc>
      </w:tr>
    </w:tbl>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经现场查勘，估价对象位于织金县八步镇沙冲村营盘组一栋自建房地产，</w:t>
      </w:r>
      <w:r>
        <w:rPr>
          <w:rFonts w:hint="eastAsia" w:ascii="Times New Roman" w:hAnsi="Times New Roman" w:eastAsia="宋体"/>
          <w:sz w:val="28"/>
          <w:szCs w:val="28"/>
        </w:rPr>
        <w:t>建筑物正立面</w:t>
      </w:r>
      <w:r>
        <w:rPr>
          <w:rFonts w:ascii="Times New Roman" w:hAnsi="Times New Roman" w:eastAsia="宋体"/>
          <w:sz w:val="28"/>
          <w:szCs w:val="28"/>
        </w:rPr>
        <w:t>朝东南，室内净高约3.7米，</w:t>
      </w:r>
      <w:r>
        <w:rPr>
          <w:rFonts w:hint="eastAsia" w:ascii="Times New Roman" w:hAnsi="Times New Roman" w:eastAsia="宋体"/>
          <w:sz w:val="28"/>
          <w:szCs w:val="28"/>
        </w:rPr>
        <w:t>共四层，</w:t>
      </w:r>
      <w:r>
        <w:rPr>
          <w:rFonts w:ascii="Times New Roman" w:hAnsi="Times New Roman" w:eastAsia="宋体"/>
          <w:sz w:val="28"/>
          <w:szCs w:val="28"/>
        </w:rPr>
        <w:t>混合结构，经调查该楼栋约于2015年建成。</w:t>
      </w:r>
      <w:r>
        <w:rPr>
          <w:rFonts w:hint="eastAsia" w:ascii="Times New Roman" w:hAnsi="Times New Roman" w:eastAsia="宋体"/>
          <w:sz w:val="28"/>
          <w:szCs w:val="28"/>
        </w:rPr>
        <w:t>建筑面积共计9</w:t>
      </w:r>
      <w:r>
        <w:rPr>
          <w:rFonts w:ascii="Times New Roman" w:hAnsi="Times New Roman" w:eastAsia="宋体"/>
          <w:sz w:val="28"/>
          <w:szCs w:val="28"/>
        </w:rPr>
        <w:t>75.58</w:t>
      </w:r>
      <w:r>
        <w:rPr>
          <w:rFonts w:hint="eastAsia" w:ascii="Times New Roman" w:hAnsi="Times New Roman" w:eastAsia="宋体"/>
          <w:sz w:val="28"/>
          <w:szCs w:val="28"/>
        </w:rPr>
        <w:t>平方米，其中</w:t>
      </w:r>
      <w:r>
        <w:rPr>
          <w:rFonts w:ascii="Times New Roman" w:hAnsi="Times New Roman" w:eastAsia="宋体"/>
          <w:sz w:val="28"/>
          <w:szCs w:val="28"/>
        </w:rPr>
        <w:t>住宅用房建筑面积为819.28平方米</w:t>
      </w:r>
      <w:r>
        <w:rPr>
          <w:rFonts w:hint="eastAsia" w:ascii="Times New Roman" w:hAnsi="Times New Roman" w:eastAsia="宋体"/>
          <w:sz w:val="28"/>
          <w:szCs w:val="28"/>
        </w:rPr>
        <w:t>：</w:t>
      </w:r>
      <w:r>
        <w:rPr>
          <w:rFonts w:ascii="Times New Roman" w:hAnsi="Times New Roman" w:eastAsia="宋体"/>
          <w:sz w:val="28"/>
          <w:szCs w:val="28"/>
        </w:rPr>
        <w:t>1层、2层建筑物后半部分</w:t>
      </w:r>
      <w:r>
        <w:rPr>
          <w:rFonts w:hint="eastAsia" w:ascii="Times New Roman" w:hAnsi="Times New Roman" w:eastAsia="宋体"/>
          <w:sz w:val="28"/>
          <w:szCs w:val="28"/>
        </w:rPr>
        <w:t>(</w:t>
      </w:r>
      <w:r>
        <w:rPr>
          <w:rFonts w:ascii="Times New Roman" w:hAnsi="Times New Roman" w:eastAsia="宋体"/>
          <w:sz w:val="28"/>
          <w:szCs w:val="28"/>
        </w:rPr>
        <w:t>以楼梯</w:t>
      </w:r>
      <w:r>
        <w:rPr>
          <w:rFonts w:hint="eastAsia" w:ascii="Times New Roman" w:hAnsi="Times New Roman" w:eastAsia="宋体"/>
          <w:sz w:val="28"/>
          <w:szCs w:val="28"/>
        </w:rPr>
        <w:t>、天井</w:t>
      </w:r>
      <w:r>
        <w:rPr>
          <w:rFonts w:ascii="Times New Roman" w:hAnsi="Times New Roman" w:eastAsia="宋体"/>
          <w:sz w:val="28"/>
          <w:szCs w:val="28"/>
        </w:rPr>
        <w:t>为界)、3层及4层</w:t>
      </w:r>
      <w:r>
        <w:rPr>
          <w:rFonts w:hint="eastAsia" w:ascii="Times New Roman" w:hAnsi="Times New Roman" w:eastAsia="宋体"/>
          <w:sz w:val="28"/>
          <w:szCs w:val="28"/>
        </w:rPr>
        <w:t>(详见房地产平面图</w:t>
      </w:r>
      <w:r>
        <w:rPr>
          <w:rFonts w:ascii="Times New Roman" w:hAnsi="Times New Roman" w:eastAsia="宋体"/>
          <w:sz w:val="28"/>
          <w:szCs w:val="28"/>
        </w:rPr>
        <w:t>)</w:t>
      </w:r>
      <w:r>
        <w:rPr>
          <w:rFonts w:hint="eastAsia" w:ascii="Times New Roman" w:hAnsi="Times New Roman" w:eastAsia="宋体"/>
          <w:sz w:val="28"/>
          <w:szCs w:val="28"/>
        </w:rPr>
        <w:t>，</w:t>
      </w:r>
      <w:r>
        <w:rPr>
          <w:rFonts w:ascii="Times New Roman" w:hAnsi="Times New Roman" w:eastAsia="宋体"/>
          <w:sz w:val="28"/>
          <w:szCs w:val="28"/>
        </w:rPr>
        <w:t>商业用房建筑面积为156.30平方米</w:t>
      </w:r>
      <w:r>
        <w:rPr>
          <w:rFonts w:hint="eastAsia" w:ascii="Times New Roman" w:hAnsi="Times New Roman" w:eastAsia="宋体"/>
          <w:sz w:val="28"/>
          <w:szCs w:val="28"/>
        </w:rPr>
        <w:t>：</w:t>
      </w:r>
      <w:r>
        <w:rPr>
          <w:rFonts w:ascii="Times New Roman" w:hAnsi="Times New Roman" w:eastAsia="宋体"/>
          <w:sz w:val="28"/>
          <w:szCs w:val="28"/>
        </w:rPr>
        <w:t>2层</w:t>
      </w:r>
      <w:r>
        <w:rPr>
          <w:rFonts w:hint="eastAsia" w:ascii="Times New Roman" w:hAnsi="Times New Roman" w:eastAsia="宋体"/>
          <w:sz w:val="28"/>
          <w:szCs w:val="28"/>
        </w:rPr>
        <w:t>(实际为临路第一层</w:t>
      </w:r>
      <w:r>
        <w:rPr>
          <w:rFonts w:ascii="Times New Roman" w:hAnsi="Times New Roman" w:eastAsia="宋体"/>
          <w:sz w:val="28"/>
          <w:szCs w:val="28"/>
        </w:rPr>
        <w:t>)建筑物前半部分</w:t>
      </w:r>
      <w:r>
        <w:rPr>
          <w:rFonts w:hint="eastAsia" w:ascii="Times New Roman" w:hAnsi="Times New Roman" w:eastAsia="宋体"/>
          <w:sz w:val="28"/>
          <w:szCs w:val="28"/>
        </w:rPr>
        <w:t>(</w:t>
      </w:r>
      <w:r>
        <w:rPr>
          <w:rFonts w:ascii="Times New Roman" w:hAnsi="Times New Roman" w:eastAsia="宋体"/>
          <w:sz w:val="28"/>
          <w:szCs w:val="28"/>
        </w:rPr>
        <w:t>以楼梯</w:t>
      </w:r>
      <w:r>
        <w:rPr>
          <w:rFonts w:hint="eastAsia" w:ascii="Times New Roman" w:hAnsi="Times New Roman" w:eastAsia="宋体"/>
          <w:sz w:val="28"/>
          <w:szCs w:val="28"/>
        </w:rPr>
        <w:t>、天井</w:t>
      </w:r>
      <w:r>
        <w:rPr>
          <w:rFonts w:ascii="Times New Roman" w:hAnsi="Times New Roman" w:eastAsia="宋体"/>
          <w:sz w:val="28"/>
          <w:szCs w:val="28"/>
        </w:rPr>
        <w:t>为界)</w:t>
      </w:r>
      <w:r>
        <w:rPr>
          <w:rFonts w:hint="eastAsia" w:ascii="Times New Roman" w:hAnsi="Times New Roman" w:eastAsia="宋体"/>
          <w:sz w:val="28"/>
          <w:szCs w:val="28"/>
        </w:rPr>
        <w:t>。</w:t>
      </w:r>
      <w:r>
        <w:rPr>
          <w:rFonts w:ascii="Times New Roman" w:hAnsi="Times New Roman" w:eastAsia="宋体"/>
          <w:sz w:val="28"/>
          <w:szCs w:val="28"/>
        </w:rPr>
        <w:t>目前均处于空置状态。</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建筑物正立面贴条形砖，安装卷帘门及玻璃幕墙，其余外墙面为清水墙，安装铝合金窗；</w:t>
      </w:r>
      <w:r>
        <w:rPr>
          <w:rFonts w:hint="eastAsia" w:ascii="Times New Roman" w:hAnsi="Times New Roman" w:eastAsia="宋体"/>
          <w:sz w:val="28"/>
          <w:szCs w:val="28"/>
        </w:rPr>
        <w:t>楼梯间地面贴地砖，墙面墙裙部分贴墙砖，其余墙面及顶面为瓷粉罩面，安装木扶手；通道地面贴地砖，墙面部分贴墙砖，部分为瓷粉罩面，顶面为瓷粉罩面。</w:t>
      </w:r>
      <w:r>
        <w:rPr>
          <w:rFonts w:ascii="Times New Roman" w:hAnsi="Times New Roman" w:eastAsia="宋体"/>
          <w:sz w:val="28"/>
          <w:szCs w:val="28"/>
        </w:rPr>
        <w:t>所在区域通路、通电、通上水、通讯。</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其室内固定装修为：</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一层：室内大厅地面为水泥清光，墙面及顶面为瓷粉罩面，安装镶板门及铝合金窗；</w:t>
      </w:r>
      <w:r>
        <w:rPr>
          <w:rFonts w:hint="eastAsia" w:ascii="Times New Roman" w:hAnsi="Times New Roman" w:eastAsia="宋体"/>
          <w:sz w:val="28"/>
          <w:szCs w:val="28"/>
        </w:rPr>
        <w:t>房间</w:t>
      </w:r>
      <w:r>
        <w:rPr>
          <w:rFonts w:ascii="Times New Roman" w:hAnsi="Times New Roman" w:eastAsia="宋体"/>
          <w:sz w:val="28"/>
          <w:szCs w:val="28"/>
        </w:rPr>
        <w:t>地面贴地砖，墙面及顶面为瓷粉罩面，安装镶板门及铝合金窗；卫生间地面贴地砖，墙面贴墙砖，顶面为铝扣板吊顶</w:t>
      </w:r>
      <w:r>
        <w:rPr>
          <w:rFonts w:hint="eastAsia" w:ascii="Times New Roman" w:hAnsi="Times New Roman" w:eastAsia="宋体"/>
          <w:sz w:val="28"/>
          <w:szCs w:val="28"/>
        </w:rPr>
        <w:t>；</w:t>
      </w:r>
      <w:r>
        <w:rPr>
          <w:rFonts w:ascii="Times New Roman" w:hAnsi="Times New Roman" w:eastAsia="宋体"/>
          <w:sz w:val="28"/>
          <w:szCs w:val="28"/>
        </w:rPr>
        <w:t>水明敷电暗敷。</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二层：临街门面部分，入户安装卷帘门，室内安装镶板门及铝合金窗，地面贴地砖，墙面及顶面为瓷粉罩面；住宅部分，室内地面贴地砖，墙面及顶面为瓷粉罩面，安装镶板门及铝合金窗；卫生间地面贴地砖，墙面贴墙砖，顶面为铝扣板吊顶，安装铝合金成品套门、铝合金窗；水明敷电暗敷。</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三层：室内大厅地面贴地砖，墙面及顶面为瓷粉罩面，安装镶板门及铝合金窗；</w:t>
      </w:r>
      <w:r>
        <w:rPr>
          <w:rFonts w:hint="eastAsia" w:ascii="Times New Roman" w:hAnsi="Times New Roman" w:eastAsia="宋体"/>
          <w:sz w:val="28"/>
          <w:szCs w:val="28"/>
        </w:rPr>
        <w:t>房间</w:t>
      </w:r>
      <w:r>
        <w:rPr>
          <w:rFonts w:ascii="Times New Roman" w:hAnsi="Times New Roman" w:eastAsia="宋体"/>
          <w:sz w:val="28"/>
          <w:szCs w:val="28"/>
        </w:rPr>
        <w:t>地面贴地砖，墙面及顶面为瓷粉罩面，安装镶板门及铝合金窗；卫生间地面贴地砖，墙面贴墙砖，顶面为铝扣板吊顶，安装铝合金成品套门、铝合金窗；水电暗敷。</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四层：入户安装防盗门，室内客厅地面贴地砖，墙面为瓷粉罩面，顶面四周为石膏板吊顶，中空部分为瓷粉罩面；厨房及卫生间地面贴地砖，墙面贴墙砖，顶面为铝扣板吊顶；室内安装成品套门及铝合金窗，水电暗敷。</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总体来看，估价对象维护及保养状况一般。</w:t>
      </w:r>
    </w:p>
    <w:p>
      <w:pPr>
        <w:tabs>
          <w:tab w:val="left" w:pos="210"/>
          <w:tab w:val="left" w:pos="630"/>
        </w:tabs>
        <w:spacing w:line="500" w:lineRule="exact"/>
        <w:ind w:firstLine="560" w:firstLineChars="200"/>
        <w:jc w:val="left"/>
        <w:outlineLvl w:val="1"/>
        <w:rPr>
          <w:rFonts w:ascii="Times New Roman" w:hAnsi="Times New Roman" w:eastAsia="宋体"/>
          <w:b/>
          <w:bCs/>
          <w:sz w:val="28"/>
          <w:szCs w:val="28"/>
        </w:rPr>
      </w:pPr>
      <w:bookmarkStart w:id="10" w:name="_Toc47874171"/>
      <w:bookmarkStart w:id="11" w:name="_Toc65065888"/>
      <w:r>
        <w:rPr>
          <w:rFonts w:ascii="Times New Roman" w:hAnsi="Times New Roman" w:eastAsia="宋体"/>
          <w:b/>
          <w:bCs/>
          <w:sz w:val="28"/>
          <w:szCs w:val="28"/>
        </w:rPr>
        <w:t>三、价值时点</w:t>
      </w:r>
      <w:bookmarkEnd w:id="10"/>
      <w:bookmarkEnd w:id="11"/>
    </w:p>
    <w:p>
      <w:pPr>
        <w:tabs>
          <w:tab w:val="left" w:pos="210"/>
          <w:tab w:val="left" w:pos="630"/>
        </w:tabs>
        <w:spacing w:line="500" w:lineRule="exact"/>
        <w:ind w:firstLine="560" w:firstLineChars="200"/>
        <w:rPr>
          <w:rFonts w:ascii="Times New Roman" w:hAnsi="Times New Roman" w:eastAsia="宋体"/>
          <w:bCs/>
          <w:sz w:val="28"/>
          <w:szCs w:val="28"/>
        </w:rPr>
      </w:pPr>
      <w:r>
        <w:rPr>
          <w:rFonts w:ascii="Times New Roman" w:hAnsi="Times New Roman" w:eastAsia="宋体"/>
          <w:sz w:val="28"/>
          <w:szCs w:val="28"/>
        </w:rPr>
        <w:t>委托人提供的《委托书》【（2022）黔0524执816号】未载明价值时点，结合</w:t>
      </w:r>
      <w:r>
        <w:rPr>
          <w:rFonts w:ascii="Times New Roman" w:hAnsi="Times New Roman" w:eastAsia="宋体"/>
          <w:bCs/>
          <w:sz w:val="28"/>
          <w:szCs w:val="28"/>
        </w:rPr>
        <w:t>《房地产估价规范》</w:t>
      </w:r>
      <w:r>
        <w:rPr>
          <w:rFonts w:ascii="Times New Roman" w:hAnsi="Times New Roman" w:eastAsia="宋体"/>
          <w:sz w:val="28"/>
          <w:szCs w:val="28"/>
        </w:rPr>
        <w:t>【GB/T50291-2015】，确定以现场查勘时间2022年04月12日为价值时点。</w:t>
      </w:r>
    </w:p>
    <w:p>
      <w:pPr>
        <w:tabs>
          <w:tab w:val="left" w:pos="210"/>
          <w:tab w:val="left" w:pos="630"/>
        </w:tabs>
        <w:spacing w:line="480" w:lineRule="exact"/>
        <w:ind w:firstLine="560" w:firstLineChars="200"/>
        <w:jc w:val="left"/>
        <w:outlineLvl w:val="1"/>
        <w:rPr>
          <w:rFonts w:ascii="Times New Roman" w:hAnsi="Times New Roman" w:eastAsia="宋体"/>
          <w:b/>
          <w:bCs/>
          <w:sz w:val="28"/>
          <w:szCs w:val="28"/>
        </w:rPr>
      </w:pPr>
      <w:bookmarkStart w:id="12" w:name="_Toc47874172"/>
      <w:bookmarkStart w:id="13" w:name="_Toc65065889"/>
      <w:r>
        <w:rPr>
          <w:rFonts w:ascii="Times New Roman" w:hAnsi="Times New Roman" w:eastAsia="宋体"/>
          <w:b/>
          <w:bCs/>
          <w:sz w:val="28"/>
          <w:szCs w:val="28"/>
        </w:rPr>
        <w:t>四、价值类型</w:t>
      </w:r>
      <w:bookmarkEnd w:id="12"/>
      <w:bookmarkEnd w:id="13"/>
    </w:p>
    <w:p>
      <w:pPr>
        <w:tabs>
          <w:tab w:val="left" w:pos="210"/>
          <w:tab w:val="left" w:pos="630"/>
        </w:tabs>
        <w:spacing w:line="500" w:lineRule="exact"/>
        <w:ind w:firstLine="560" w:firstLineChars="200"/>
        <w:jc w:val="left"/>
        <w:rPr>
          <w:rFonts w:ascii="Times New Roman" w:hAnsi="Times New Roman" w:eastAsia="宋体"/>
          <w:bCs/>
          <w:sz w:val="28"/>
          <w:szCs w:val="28"/>
        </w:rPr>
      </w:pPr>
      <w:r>
        <w:rPr>
          <w:rFonts w:ascii="Times New Roman" w:hAnsi="Times New Roman" w:eastAsia="宋体"/>
          <w:sz w:val="28"/>
          <w:szCs w:val="28"/>
        </w:rPr>
        <w:t>根据委托人提供的《委托书》【（2022）黔0524执816号】，结合</w:t>
      </w:r>
      <w:bookmarkStart w:id="14" w:name="_Hlk81322835"/>
      <w:r>
        <w:rPr>
          <w:rFonts w:ascii="Times New Roman" w:hAnsi="Times New Roman" w:eastAsia="宋体"/>
          <w:bCs/>
          <w:sz w:val="28"/>
          <w:szCs w:val="28"/>
        </w:rPr>
        <w:t>《房地产估价规范》</w:t>
      </w:r>
      <w:r>
        <w:rPr>
          <w:rFonts w:ascii="Times New Roman" w:hAnsi="Times New Roman" w:eastAsia="宋体"/>
          <w:sz w:val="28"/>
          <w:szCs w:val="28"/>
        </w:rPr>
        <w:t>【GB/T50291-2015】</w:t>
      </w:r>
      <w:bookmarkEnd w:id="14"/>
      <w:r>
        <w:rPr>
          <w:rFonts w:ascii="Times New Roman" w:hAnsi="Times New Roman" w:eastAsia="宋体"/>
          <w:sz w:val="28"/>
          <w:szCs w:val="28"/>
        </w:rPr>
        <w:t>，确定本次估价采用的价值类型为市场价值。</w:t>
      </w:r>
    </w:p>
    <w:p>
      <w:pPr>
        <w:tabs>
          <w:tab w:val="left" w:pos="210"/>
          <w:tab w:val="left" w:pos="630"/>
        </w:tabs>
        <w:spacing w:line="480" w:lineRule="exact"/>
        <w:ind w:firstLine="560" w:firstLineChars="200"/>
        <w:jc w:val="left"/>
        <w:outlineLvl w:val="1"/>
        <w:rPr>
          <w:rFonts w:ascii="Times New Roman" w:hAnsi="Times New Roman" w:eastAsia="宋体"/>
          <w:b/>
          <w:bCs/>
          <w:sz w:val="28"/>
          <w:szCs w:val="28"/>
        </w:rPr>
      </w:pPr>
      <w:bookmarkStart w:id="15" w:name="_Toc65065890"/>
      <w:bookmarkStart w:id="16" w:name="_Toc47874173"/>
      <w:r>
        <w:rPr>
          <w:rFonts w:ascii="Times New Roman" w:hAnsi="Times New Roman" w:eastAsia="宋体"/>
          <w:b/>
          <w:bCs/>
          <w:sz w:val="28"/>
          <w:szCs w:val="28"/>
        </w:rPr>
        <w:t>五、估价方法</w:t>
      </w:r>
      <w:bookmarkEnd w:id="15"/>
      <w:bookmarkEnd w:id="16"/>
    </w:p>
    <w:p>
      <w:pPr>
        <w:tabs>
          <w:tab w:val="left" w:pos="210"/>
          <w:tab w:val="left" w:pos="630"/>
        </w:tabs>
        <w:spacing w:line="500" w:lineRule="exact"/>
        <w:ind w:left="-4" w:leftChars="-2" w:firstLine="560" w:firstLineChars="200"/>
        <w:jc w:val="left"/>
        <w:rPr>
          <w:rFonts w:ascii="Times New Roman" w:hAnsi="Times New Roman" w:eastAsia="宋体"/>
          <w:bCs/>
          <w:sz w:val="28"/>
          <w:szCs w:val="28"/>
        </w:rPr>
      </w:pPr>
      <w:r>
        <w:rPr>
          <w:rFonts w:ascii="Times New Roman" w:hAnsi="Times New Roman" w:eastAsia="宋体"/>
          <w:bCs/>
          <w:sz w:val="28"/>
          <w:szCs w:val="28"/>
        </w:rPr>
        <w:t>本次估价</w:t>
      </w:r>
      <w:r>
        <w:rPr>
          <w:rFonts w:ascii="Times New Roman" w:hAnsi="Times New Roman" w:eastAsia="宋体"/>
          <w:sz w:val="28"/>
          <w:szCs w:val="28"/>
        </w:rPr>
        <w:t>采用收益法、成本法。</w:t>
      </w:r>
    </w:p>
    <w:p>
      <w:pPr>
        <w:tabs>
          <w:tab w:val="left" w:pos="210"/>
          <w:tab w:val="left" w:pos="630"/>
        </w:tabs>
        <w:spacing w:line="480" w:lineRule="exact"/>
        <w:ind w:firstLine="560" w:firstLineChars="200"/>
        <w:jc w:val="left"/>
        <w:outlineLvl w:val="1"/>
        <w:rPr>
          <w:rFonts w:ascii="Times New Roman" w:hAnsi="Times New Roman" w:eastAsia="宋体"/>
          <w:b/>
          <w:bCs/>
          <w:sz w:val="28"/>
          <w:szCs w:val="28"/>
        </w:rPr>
      </w:pPr>
      <w:bookmarkStart w:id="17" w:name="_Toc47874174"/>
      <w:bookmarkStart w:id="18" w:name="_Toc65065891"/>
      <w:r>
        <w:rPr>
          <w:rFonts w:ascii="Times New Roman" w:hAnsi="Times New Roman" w:eastAsia="宋体"/>
          <w:b/>
          <w:bCs/>
          <w:sz w:val="28"/>
          <w:szCs w:val="28"/>
        </w:rPr>
        <w:t>六、估价结果</w:t>
      </w:r>
      <w:bookmarkEnd w:id="17"/>
      <w:bookmarkEnd w:id="18"/>
    </w:p>
    <w:p>
      <w:pPr>
        <w:spacing w:line="500" w:lineRule="exact"/>
        <w:ind w:left="-4" w:leftChars="-2" w:firstLine="560" w:firstLineChars="200"/>
        <w:rPr>
          <w:rFonts w:ascii="Times New Roman" w:hAnsi="Times New Roman" w:eastAsia="宋体"/>
          <w:sz w:val="28"/>
          <w:szCs w:val="28"/>
        </w:rPr>
      </w:pPr>
      <w:r>
        <w:rPr>
          <w:rFonts w:ascii="Times New Roman" w:hAnsi="Times New Roman" w:eastAsia="宋体"/>
          <w:sz w:val="28"/>
          <w:szCs w:val="28"/>
        </w:rPr>
        <w:t>经过实地查勘和市场调查，结合估价目的、估价委托人提供的资料和陈述的有关估价对象情况，遵照法律法规和技术标准，遵循公认的估价原则，按照估价程序，在充分考虑影响估价对象该类房地产价值的各项因素综合分析的基础上，并满足本次估价的假设和限制条件下，估价对象于价值时点的房地产市场价值为人民币大写(取整)</w:t>
      </w:r>
      <w:r>
        <w:rPr>
          <w:rFonts w:ascii="Times New Roman" w:hAnsi="Times New Roman" w:eastAsia="宋体"/>
          <w:b/>
          <w:bCs/>
          <w:sz w:val="28"/>
          <w:szCs w:val="28"/>
        </w:rPr>
        <w:t>贰佰叁拾万陆仟壹佰柒拾伍</w:t>
      </w:r>
      <w:r>
        <w:rPr>
          <w:rFonts w:ascii="Times New Roman" w:hAnsi="Times New Roman" w:eastAsia="宋体"/>
          <w:sz w:val="28"/>
          <w:szCs w:val="28"/>
        </w:rPr>
        <w:t>元整(</w:t>
      </w:r>
      <w:r>
        <w:rPr>
          <w:rFonts w:ascii="Times New Roman" w:hAnsi="Times New Roman" w:eastAsia="宋体"/>
          <w:sz w:val="28"/>
          <w:szCs w:val="28"/>
        </w:rPr>
        <w:fldChar w:fldCharType="begin"/>
      </w:r>
      <w:r>
        <w:rPr>
          <w:rFonts w:ascii="Times New Roman" w:hAnsi="Times New Roman" w:eastAsia="宋体"/>
          <w:sz w:val="28"/>
          <w:szCs w:val="28"/>
        </w:rPr>
        <w:instrText xml:space="preserve"> =776910 \# "￥#,##0.00;(￥#,##0.00)" </w:instrText>
      </w:r>
      <w:r>
        <w:rPr>
          <w:rFonts w:ascii="Times New Roman" w:hAnsi="Times New Roman" w:eastAsia="宋体"/>
          <w:sz w:val="28"/>
          <w:szCs w:val="28"/>
        </w:rPr>
        <w:fldChar w:fldCharType="separate"/>
      </w:r>
      <w:r>
        <w:rPr>
          <w:rFonts w:ascii="Times New Roman" w:hAnsi="Times New Roman" w:eastAsia="宋体"/>
          <w:sz w:val="28"/>
          <w:szCs w:val="28"/>
        </w:rPr>
        <w:t>￥2,306,175.00</w:t>
      </w:r>
      <w:r>
        <w:rPr>
          <w:rFonts w:ascii="Times New Roman" w:hAnsi="Times New Roman" w:eastAsia="宋体"/>
          <w:sz w:val="28"/>
          <w:szCs w:val="28"/>
        </w:rPr>
        <w:fldChar w:fldCharType="end"/>
      </w:r>
      <w:r>
        <w:rPr>
          <w:rFonts w:ascii="Times New Roman" w:hAnsi="Times New Roman" w:eastAsia="宋体"/>
          <w:sz w:val="28"/>
          <w:szCs w:val="28"/>
        </w:rPr>
        <w:t>)</w:t>
      </w:r>
      <w:r>
        <w:rPr>
          <w:rFonts w:ascii="Times New Roman" w:hAnsi="Times New Roman" w:eastAsia="宋体"/>
          <w:b/>
          <w:sz w:val="28"/>
          <w:szCs w:val="28"/>
        </w:rPr>
        <w:t>。</w:t>
      </w:r>
      <w:r>
        <w:rPr>
          <w:rFonts w:ascii="Times New Roman" w:hAnsi="Times New Roman" w:eastAsia="宋体"/>
          <w:sz w:val="28"/>
          <w:szCs w:val="28"/>
        </w:rPr>
        <w:t>详见下表：</w:t>
      </w:r>
    </w:p>
    <w:tbl>
      <w:tblPr>
        <w:tblStyle w:val="21"/>
        <w:tblW w:w="5000" w:type="pct"/>
        <w:tblInd w:w="0" w:type="dxa"/>
        <w:tblLayout w:type="autofit"/>
        <w:tblCellMar>
          <w:top w:w="0" w:type="dxa"/>
          <w:left w:w="108" w:type="dxa"/>
          <w:bottom w:w="0" w:type="dxa"/>
          <w:right w:w="108" w:type="dxa"/>
        </w:tblCellMar>
      </w:tblPr>
      <w:tblGrid>
        <w:gridCol w:w="465"/>
        <w:gridCol w:w="1328"/>
        <w:gridCol w:w="1098"/>
        <w:gridCol w:w="1161"/>
        <w:gridCol w:w="841"/>
        <w:gridCol w:w="987"/>
        <w:gridCol w:w="1174"/>
        <w:gridCol w:w="1419"/>
        <w:gridCol w:w="1380"/>
      </w:tblGrid>
      <w:tr>
        <w:tblPrEx>
          <w:tblCellMar>
            <w:top w:w="0" w:type="dxa"/>
            <w:left w:w="108" w:type="dxa"/>
            <w:bottom w:w="0" w:type="dxa"/>
            <w:right w:w="108" w:type="dxa"/>
          </w:tblCellMar>
        </w:tblPrEx>
        <w:trPr>
          <w:trHeight w:val="340" w:hRule="atLeast"/>
        </w:trPr>
        <w:tc>
          <w:tcPr>
            <w:tcW w:w="5000" w:type="pct"/>
            <w:gridSpan w:val="9"/>
            <w:tcBorders>
              <w:top w:val="nil"/>
              <w:left w:val="nil"/>
              <w:bottom w:val="nil"/>
              <w:right w:val="nil"/>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评估结果汇总表</w:t>
            </w:r>
          </w:p>
        </w:tc>
      </w:tr>
      <w:tr>
        <w:tblPrEx>
          <w:tblCellMar>
            <w:top w:w="0" w:type="dxa"/>
            <w:left w:w="108" w:type="dxa"/>
            <w:bottom w:w="0" w:type="dxa"/>
            <w:right w:w="108" w:type="dxa"/>
          </w:tblCellMar>
        </w:tblPrEx>
        <w:trPr>
          <w:trHeight w:val="340" w:hRule="atLeast"/>
        </w:trPr>
        <w:tc>
          <w:tcPr>
            <w:tcW w:w="5000" w:type="pct"/>
            <w:gridSpan w:val="9"/>
            <w:tcBorders>
              <w:top w:val="nil"/>
              <w:left w:val="nil"/>
              <w:bottom w:val="single" w:color="auto" w:sz="4" w:space="0"/>
              <w:right w:val="nil"/>
            </w:tcBorders>
            <w:vAlign w:val="center"/>
          </w:tcPr>
          <w:p>
            <w:pPr>
              <w:widowControl/>
              <w:jc w:val="right"/>
              <w:rPr>
                <w:rFonts w:ascii="Times New Roman" w:hAnsi="Times New Roman" w:eastAsia="宋体"/>
                <w:kern w:val="0"/>
                <w:szCs w:val="21"/>
              </w:rPr>
            </w:pPr>
            <w:r>
              <w:rPr>
                <w:rFonts w:ascii="Times New Roman" w:hAnsi="Times New Roman" w:eastAsia="宋体"/>
                <w:kern w:val="0"/>
                <w:szCs w:val="21"/>
              </w:rPr>
              <w:t>金额单位：人民币元</w:t>
            </w:r>
          </w:p>
        </w:tc>
      </w:tr>
      <w:tr>
        <w:tblPrEx>
          <w:tblCellMar>
            <w:top w:w="0" w:type="dxa"/>
            <w:left w:w="108" w:type="dxa"/>
            <w:bottom w:w="0" w:type="dxa"/>
            <w:right w:w="108" w:type="dxa"/>
          </w:tblCellMar>
        </w:tblPrEx>
        <w:trPr>
          <w:trHeight w:val="340" w:hRule="atLeast"/>
        </w:trPr>
        <w:tc>
          <w:tcPr>
            <w:tcW w:w="23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序号</w:t>
            </w:r>
          </w:p>
        </w:tc>
        <w:tc>
          <w:tcPr>
            <w:tcW w:w="674"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房屋坐落</w:t>
            </w:r>
          </w:p>
        </w:tc>
        <w:tc>
          <w:tcPr>
            <w:tcW w:w="55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权利人</w:t>
            </w:r>
          </w:p>
        </w:tc>
        <w:tc>
          <w:tcPr>
            <w:tcW w:w="58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所在层数/总层数</w:t>
            </w:r>
          </w:p>
        </w:tc>
        <w:tc>
          <w:tcPr>
            <w:tcW w:w="42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用途</w:t>
            </w:r>
          </w:p>
        </w:tc>
        <w:tc>
          <w:tcPr>
            <w:tcW w:w="50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建筑面积（㎡）</w:t>
            </w:r>
          </w:p>
        </w:tc>
        <w:tc>
          <w:tcPr>
            <w:tcW w:w="1315"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估价值</w:t>
            </w:r>
          </w:p>
        </w:tc>
        <w:tc>
          <w:tcPr>
            <w:tcW w:w="701" w:type="pct"/>
            <w:vMerge w:val="restart"/>
            <w:tcBorders>
              <w:top w:val="single" w:color="auto" w:sz="4" w:space="0"/>
              <w:left w:val="nil"/>
              <w:right w:val="single" w:color="auto" w:sz="4" w:space="0"/>
            </w:tcBorders>
          </w:tcPr>
          <w:p>
            <w:pPr>
              <w:widowControl/>
              <w:jc w:val="center"/>
              <w:rPr>
                <w:rFonts w:ascii="Times New Roman" w:hAnsi="Times New Roman" w:eastAsia="宋体"/>
                <w:kern w:val="0"/>
                <w:szCs w:val="21"/>
              </w:rPr>
            </w:pPr>
          </w:p>
          <w:p>
            <w:pPr>
              <w:widowControl/>
              <w:jc w:val="center"/>
              <w:rPr>
                <w:rFonts w:ascii="Times New Roman" w:hAnsi="Times New Roman" w:eastAsia="宋体"/>
                <w:kern w:val="0"/>
                <w:szCs w:val="21"/>
              </w:rPr>
            </w:pPr>
            <w:r>
              <w:rPr>
                <w:rFonts w:ascii="Times New Roman" w:hAnsi="Times New Roman" w:eastAsia="宋体"/>
                <w:kern w:val="0"/>
                <w:szCs w:val="21"/>
              </w:rPr>
              <w:t>备注</w:t>
            </w:r>
          </w:p>
        </w:tc>
      </w:tr>
      <w:tr>
        <w:tblPrEx>
          <w:tblCellMar>
            <w:top w:w="0" w:type="dxa"/>
            <w:left w:w="108" w:type="dxa"/>
            <w:bottom w:w="0" w:type="dxa"/>
            <w:right w:w="108" w:type="dxa"/>
          </w:tblCellMar>
        </w:tblPrEx>
        <w:trPr>
          <w:trHeight w:val="340" w:hRule="atLeast"/>
        </w:trPr>
        <w:tc>
          <w:tcPr>
            <w:tcW w:w="23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5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42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50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595"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单价</w:t>
            </w:r>
          </w:p>
          <w:p>
            <w:pPr>
              <w:widowControl/>
              <w:jc w:val="center"/>
              <w:rPr>
                <w:rFonts w:ascii="Times New Roman" w:hAnsi="Times New Roman" w:eastAsia="宋体"/>
                <w:kern w:val="0"/>
                <w:szCs w:val="21"/>
              </w:rPr>
            </w:pPr>
            <w:r>
              <w:rPr>
                <w:rFonts w:hint="eastAsia" w:ascii="Times New Roman" w:hAnsi="Times New Roman" w:eastAsia="宋体"/>
                <w:kern w:val="0"/>
                <w:szCs w:val="21"/>
              </w:rPr>
              <w:t>(</w:t>
            </w:r>
            <w:r>
              <w:rPr>
                <w:rFonts w:ascii="Times New Roman" w:hAnsi="Times New Roman" w:eastAsia="宋体"/>
                <w:kern w:val="0"/>
                <w:szCs w:val="21"/>
              </w:rPr>
              <w:t>元/㎡)</w:t>
            </w:r>
          </w:p>
        </w:tc>
        <w:tc>
          <w:tcPr>
            <w:tcW w:w="720"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总价</w:t>
            </w:r>
          </w:p>
          <w:p>
            <w:pPr>
              <w:widowControl/>
              <w:jc w:val="center"/>
              <w:rPr>
                <w:rFonts w:ascii="Times New Roman" w:hAnsi="Times New Roman" w:eastAsia="宋体"/>
                <w:kern w:val="0"/>
                <w:szCs w:val="21"/>
              </w:rPr>
            </w:pPr>
            <w:r>
              <w:rPr>
                <w:rFonts w:hint="eastAsia" w:ascii="Times New Roman" w:hAnsi="Times New Roman" w:eastAsia="宋体"/>
                <w:kern w:val="0"/>
                <w:szCs w:val="21"/>
              </w:rPr>
              <w:t>(</w:t>
            </w:r>
            <w:r>
              <w:rPr>
                <w:rFonts w:ascii="Times New Roman" w:hAnsi="Times New Roman" w:eastAsia="宋体"/>
                <w:kern w:val="0"/>
                <w:szCs w:val="21"/>
              </w:rPr>
              <w:t>元，取整)</w:t>
            </w:r>
          </w:p>
        </w:tc>
        <w:tc>
          <w:tcPr>
            <w:tcW w:w="701" w:type="pct"/>
            <w:vMerge w:val="continue"/>
            <w:tcBorders>
              <w:left w:val="nil"/>
              <w:bottom w:val="single" w:color="auto" w:sz="4" w:space="0"/>
              <w:right w:val="single" w:color="auto" w:sz="4" w:space="0"/>
            </w:tcBorders>
          </w:tcPr>
          <w:p>
            <w:pPr>
              <w:widowControl/>
              <w:jc w:val="center"/>
              <w:rPr>
                <w:rFonts w:ascii="Times New Roman" w:hAnsi="Times New Roman" w:eastAsia="宋体"/>
                <w:kern w:val="0"/>
                <w:szCs w:val="21"/>
              </w:rPr>
            </w:pPr>
          </w:p>
        </w:tc>
      </w:tr>
      <w:tr>
        <w:tblPrEx>
          <w:tblCellMar>
            <w:top w:w="0" w:type="dxa"/>
            <w:left w:w="108" w:type="dxa"/>
            <w:bottom w:w="0" w:type="dxa"/>
            <w:right w:w="108" w:type="dxa"/>
          </w:tblCellMar>
        </w:tblPrEx>
        <w:trPr>
          <w:trHeight w:val="340" w:hRule="atLeast"/>
        </w:trPr>
        <w:tc>
          <w:tcPr>
            <w:tcW w:w="236"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1</w:t>
            </w:r>
          </w:p>
        </w:tc>
        <w:tc>
          <w:tcPr>
            <w:tcW w:w="674" w:type="pct"/>
            <w:vMerge w:val="restart"/>
            <w:tcBorders>
              <w:top w:val="nil"/>
              <w:left w:val="nil"/>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八步镇沙冲村营盘组</w:t>
            </w:r>
          </w:p>
        </w:tc>
        <w:tc>
          <w:tcPr>
            <w:tcW w:w="557" w:type="pct"/>
            <w:vMerge w:val="restart"/>
            <w:tcBorders>
              <w:top w:val="nil"/>
              <w:left w:val="nil"/>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陈绍彬、欧婷</w:t>
            </w:r>
          </w:p>
        </w:tc>
        <w:tc>
          <w:tcPr>
            <w:tcW w:w="589"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1-4/4</w:t>
            </w:r>
          </w:p>
        </w:tc>
        <w:tc>
          <w:tcPr>
            <w:tcW w:w="427"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住宅</w:t>
            </w:r>
          </w:p>
        </w:tc>
        <w:tc>
          <w:tcPr>
            <w:tcW w:w="501"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819.28</w:t>
            </w:r>
          </w:p>
        </w:tc>
        <w:tc>
          <w:tcPr>
            <w:tcW w:w="595"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2,167.00</w:t>
            </w:r>
          </w:p>
        </w:tc>
        <w:tc>
          <w:tcPr>
            <w:tcW w:w="720"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b/>
                <w:bCs/>
                <w:kern w:val="0"/>
                <w:szCs w:val="21"/>
              </w:rPr>
            </w:pPr>
            <w:r>
              <w:rPr>
                <w:rFonts w:ascii="Times New Roman" w:hAnsi="Times New Roman" w:eastAsia="宋体"/>
                <w:b/>
                <w:bCs/>
                <w:kern w:val="0"/>
                <w:szCs w:val="21"/>
              </w:rPr>
              <w:t>1,775,380.00</w:t>
            </w:r>
          </w:p>
        </w:tc>
        <w:tc>
          <w:tcPr>
            <w:tcW w:w="701" w:type="pct"/>
            <w:vMerge w:val="restart"/>
            <w:tcBorders>
              <w:top w:val="nil"/>
              <w:left w:val="nil"/>
              <w:right w:val="single" w:color="auto" w:sz="4" w:space="0"/>
            </w:tcBorders>
          </w:tcPr>
          <w:p>
            <w:pPr>
              <w:widowControl/>
              <w:jc w:val="center"/>
              <w:rPr>
                <w:rFonts w:ascii="Times New Roman" w:hAnsi="Times New Roman" w:eastAsia="宋体"/>
                <w:b/>
                <w:bCs/>
                <w:kern w:val="0"/>
                <w:szCs w:val="21"/>
              </w:rPr>
            </w:pPr>
            <w:r>
              <w:rPr>
                <w:rFonts w:ascii="Times New Roman" w:hAnsi="Times New Roman" w:eastAsia="宋体"/>
                <w:szCs w:val="21"/>
              </w:rPr>
              <w:t>含室内固定装修</w:t>
            </w:r>
            <w:r>
              <w:rPr>
                <w:rFonts w:hint="eastAsia" w:ascii="Times New Roman" w:hAnsi="Times New Roman" w:eastAsia="宋体"/>
                <w:szCs w:val="21"/>
              </w:rPr>
              <w:t>及</w:t>
            </w:r>
            <w:r>
              <w:rPr>
                <w:rFonts w:ascii="Times New Roman" w:hAnsi="Times New Roman" w:eastAsia="宋体"/>
                <w:szCs w:val="21"/>
              </w:rPr>
              <w:t>划拨土地使用权价值。</w:t>
            </w:r>
          </w:p>
        </w:tc>
      </w:tr>
      <w:tr>
        <w:tblPrEx>
          <w:tblCellMar>
            <w:top w:w="0" w:type="dxa"/>
            <w:left w:w="108" w:type="dxa"/>
            <w:bottom w:w="0" w:type="dxa"/>
            <w:right w:w="108" w:type="dxa"/>
          </w:tblCellMar>
        </w:tblPrEx>
        <w:trPr>
          <w:trHeight w:val="340" w:hRule="atLeast"/>
        </w:trPr>
        <w:tc>
          <w:tcPr>
            <w:tcW w:w="23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w:t>
            </w:r>
          </w:p>
        </w:tc>
        <w:tc>
          <w:tcPr>
            <w:tcW w:w="674" w:type="pct"/>
            <w:vMerge w:val="continue"/>
            <w:tcBorders>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p>
        </w:tc>
        <w:tc>
          <w:tcPr>
            <w:tcW w:w="557" w:type="pct"/>
            <w:vMerge w:val="continue"/>
            <w:tcBorders>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p>
        </w:tc>
        <w:tc>
          <w:tcPr>
            <w:tcW w:w="5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2/4</w:t>
            </w:r>
          </w:p>
        </w:tc>
        <w:tc>
          <w:tcPr>
            <w:tcW w:w="42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商业</w:t>
            </w:r>
          </w:p>
        </w:tc>
        <w:tc>
          <w:tcPr>
            <w:tcW w:w="50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156.30</w:t>
            </w:r>
          </w:p>
        </w:tc>
        <w:tc>
          <w:tcPr>
            <w:tcW w:w="59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3,396.00</w:t>
            </w:r>
          </w:p>
        </w:tc>
        <w:tc>
          <w:tcPr>
            <w:tcW w:w="720"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bCs/>
                <w:kern w:val="0"/>
                <w:szCs w:val="21"/>
              </w:rPr>
            </w:pPr>
            <w:r>
              <w:rPr>
                <w:rFonts w:ascii="Times New Roman" w:hAnsi="Times New Roman" w:eastAsia="宋体"/>
                <w:b/>
                <w:bCs/>
                <w:kern w:val="0"/>
                <w:szCs w:val="21"/>
              </w:rPr>
              <w:t>530,795.00</w:t>
            </w:r>
          </w:p>
        </w:tc>
        <w:tc>
          <w:tcPr>
            <w:tcW w:w="701" w:type="pct"/>
            <w:vMerge w:val="continue"/>
            <w:tcBorders>
              <w:left w:val="nil"/>
              <w:right w:val="single" w:color="auto" w:sz="4" w:space="0"/>
            </w:tcBorders>
          </w:tcPr>
          <w:p>
            <w:pPr>
              <w:widowControl/>
              <w:jc w:val="center"/>
              <w:rPr>
                <w:rFonts w:ascii="Times New Roman" w:hAnsi="Times New Roman" w:eastAsia="宋体"/>
                <w:b/>
                <w:bCs/>
                <w:kern w:val="0"/>
                <w:szCs w:val="21"/>
              </w:rPr>
            </w:pPr>
          </w:p>
        </w:tc>
      </w:tr>
      <w:tr>
        <w:tblPrEx>
          <w:tblCellMar>
            <w:top w:w="0" w:type="dxa"/>
            <w:left w:w="108" w:type="dxa"/>
            <w:bottom w:w="0" w:type="dxa"/>
            <w:right w:w="108" w:type="dxa"/>
          </w:tblCellMar>
        </w:tblPrEx>
        <w:trPr>
          <w:trHeight w:val="340" w:hRule="atLeast"/>
        </w:trPr>
        <w:tc>
          <w:tcPr>
            <w:tcW w:w="3580"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
                <w:bCs/>
                <w:kern w:val="0"/>
                <w:szCs w:val="21"/>
              </w:rPr>
            </w:pPr>
            <w:r>
              <w:rPr>
                <w:rFonts w:ascii="Times New Roman" w:hAnsi="Times New Roman" w:eastAsia="宋体"/>
                <w:b/>
                <w:bCs/>
                <w:kern w:val="0"/>
                <w:szCs w:val="21"/>
              </w:rPr>
              <w:t>合计</w:t>
            </w:r>
          </w:p>
        </w:tc>
        <w:tc>
          <w:tcPr>
            <w:tcW w:w="720"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bCs/>
                <w:kern w:val="0"/>
                <w:szCs w:val="21"/>
              </w:rPr>
            </w:pPr>
            <w:r>
              <w:rPr>
                <w:rFonts w:ascii="Times New Roman" w:hAnsi="Times New Roman" w:eastAsia="宋体"/>
                <w:b/>
                <w:bCs/>
                <w:kern w:val="0"/>
                <w:szCs w:val="21"/>
              </w:rPr>
              <w:t>2,306,175.00</w:t>
            </w:r>
          </w:p>
        </w:tc>
        <w:tc>
          <w:tcPr>
            <w:tcW w:w="701" w:type="pct"/>
            <w:vMerge w:val="continue"/>
            <w:tcBorders>
              <w:left w:val="nil"/>
              <w:bottom w:val="single" w:color="auto" w:sz="4" w:space="0"/>
              <w:right w:val="single" w:color="auto" w:sz="4" w:space="0"/>
            </w:tcBorders>
          </w:tcPr>
          <w:p>
            <w:pPr>
              <w:widowControl/>
              <w:jc w:val="center"/>
              <w:rPr>
                <w:rFonts w:ascii="Times New Roman" w:hAnsi="Times New Roman" w:eastAsia="宋体"/>
                <w:b/>
                <w:bCs/>
                <w:kern w:val="0"/>
                <w:szCs w:val="21"/>
              </w:rPr>
            </w:pPr>
          </w:p>
        </w:tc>
      </w:tr>
    </w:tbl>
    <w:p>
      <w:pPr>
        <w:spacing w:line="500" w:lineRule="atLeast"/>
        <w:ind w:left="-4" w:leftChars="-2" w:firstLine="560" w:firstLineChars="200"/>
        <w:outlineLvl w:val="1"/>
        <w:rPr>
          <w:rFonts w:ascii="Times New Roman" w:hAnsi="Times New Roman" w:eastAsia="宋体"/>
          <w:b/>
          <w:bCs/>
          <w:sz w:val="28"/>
        </w:rPr>
      </w:pPr>
      <w:bookmarkStart w:id="19" w:name="_Toc47874175"/>
      <w:bookmarkStart w:id="20" w:name="_Toc65065892"/>
      <w:r>
        <w:rPr>
          <w:rFonts w:ascii="Times New Roman" w:hAnsi="Times New Roman" w:eastAsia="宋体"/>
          <w:b/>
          <w:bCs/>
          <w:sz w:val="28"/>
        </w:rPr>
        <w:t>七、特别提示</w:t>
      </w:r>
      <w:bookmarkEnd w:id="19"/>
      <w:bookmarkEnd w:id="20"/>
    </w:p>
    <w:p>
      <w:pPr>
        <w:pStyle w:val="10"/>
        <w:numPr>
          <w:ilvl w:val="0"/>
          <w:numId w:val="1"/>
        </w:numPr>
        <w:tabs>
          <w:tab w:val="left" w:pos="210"/>
        </w:tabs>
        <w:spacing w:line="500" w:lineRule="exact"/>
        <w:ind w:left="0" w:firstLine="560" w:firstLineChars="200"/>
        <w:rPr>
          <w:rFonts w:ascii="Times New Roman" w:hAnsi="Times New Roman" w:eastAsia="宋体"/>
          <w:bCs/>
          <w:sz w:val="28"/>
        </w:rPr>
      </w:pPr>
      <w:r>
        <w:rPr>
          <w:rFonts w:ascii="Times New Roman" w:hAnsi="Times New Roman" w:eastAsia="宋体"/>
          <w:bCs/>
          <w:sz w:val="28"/>
        </w:rPr>
        <w:t>估价结果仅为人民法院确定财产处置参考价服务，不是估价对象处置可实现的成交价格，也不应当被视为对估价对象处置成交价格的保证。</w:t>
      </w:r>
    </w:p>
    <w:p>
      <w:pPr>
        <w:pStyle w:val="10"/>
        <w:numPr>
          <w:ilvl w:val="0"/>
          <w:numId w:val="1"/>
        </w:numPr>
        <w:tabs>
          <w:tab w:val="left" w:pos="210"/>
        </w:tabs>
        <w:spacing w:line="500" w:lineRule="exact"/>
        <w:ind w:left="0" w:firstLine="560" w:firstLineChars="200"/>
        <w:rPr>
          <w:rFonts w:ascii="Times New Roman" w:hAnsi="Times New Roman" w:eastAsia="宋体"/>
          <w:bCs/>
          <w:sz w:val="28"/>
        </w:rPr>
      </w:pPr>
      <w:r>
        <w:rPr>
          <w:rFonts w:ascii="Times New Roman" w:hAnsi="Times New Roman" w:eastAsia="宋体"/>
          <w:bCs/>
          <w:sz w:val="28"/>
        </w:rPr>
        <w:t>财产拍卖或者变卖之日与价值时点不一致，可能导致估价结果对应的估价对象状况、房地产市场状况等与财产拍卖或者变卖时的相应状况不一致，发生明显变化的，估价结果应当进行相应调整后才可使用。</w:t>
      </w:r>
    </w:p>
    <w:p>
      <w:pPr>
        <w:pStyle w:val="10"/>
        <w:numPr>
          <w:ilvl w:val="0"/>
          <w:numId w:val="1"/>
        </w:numPr>
        <w:tabs>
          <w:tab w:val="left" w:pos="210"/>
        </w:tabs>
        <w:spacing w:line="500" w:lineRule="exact"/>
        <w:ind w:left="0" w:firstLine="560" w:firstLineChars="200"/>
        <w:rPr>
          <w:rFonts w:ascii="Times New Roman" w:hAnsi="Times New Roman" w:eastAsia="宋体"/>
          <w:bCs/>
          <w:sz w:val="28"/>
        </w:rPr>
      </w:pPr>
      <w:r>
        <w:rPr>
          <w:rFonts w:ascii="Times New Roman" w:hAnsi="Times New Roman" w:eastAsia="宋体"/>
          <w:bCs/>
          <w:sz w:val="28"/>
        </w:rPr>
        <w:t>在估价报告使用期限或者估价结果有效期内，估价报告或者估价结果未使用之前，如果估价对象状况或者房地产市场状况发生明显变化的，估价结果应当进行相应调整后才可使用。</w:t>
      </w:r>
    </w:p>
    <w:p>
      <w:pPr>
        <w:pStyle w:val="10"/>
        <w:numPr>
          <w:ilvl w:val="0"/>
          <w:numId w:val="1"/>
        </w:numPr>
        <w:tabs>
          <w:tab w:val="left" w:pos="210"/>
        </w:tabs>
        <w:spacing w:line="500" w:lineRule="exact"/>
        <w:ind w:left="0" w:firstLine="560" w:firstLineChars="200"/>
        <w:rPr>
          <w:rFonts w:ascii="Times New Roman" w:hAnsi="Times New Roman" w:eastAsia="宋体"/>
          <w:bCs/>
          <w:sz w:val="28"/>
        </w:rPr>
      </w:pPr>
      <w:r>
        <w:rPr>
          <w:rFonts w:ascii="Times New Roman" w:hAnsi="Times New Roman" w:eastAsia="宋体"/>
          <w:bCs/>
          <w:sz w:val="28"/>
        </w:rPr>
        <w:t>根据《最高人民法院关于人民法院确定财产处置参考价若干问题的规定》【2018年9月1日实施】第二十三条，当事人、利害关系人收到评估报告后五日内可对评估报告的参照标准、计算方法或者评估结果等向织金县人民法院提出书面异议；当事人、利害关系人对我公司作出的说明仍有异议的，可以通过人民法院委托评估行业组织进行专业技术评审。</w:t>
      </w:r>
    </w:p>
    <w:p>
      <w:pPr>
        <w:pStyle w:val="10"/>
        <w:numPr>
          <w:ilvl w:val="0"/>
          <w:numId w:val="1"/>
        </w:numPr>
        <w:tabs>
          <w:tab w:val="left" w:pos="210"/>
        </w:tabs>
        <w:spacing w:line="500" w:lineRule="exact"/>
        <w:ind w:left="0" w:firstLine="560" w:firstLineChars="200"/>
        <w:rPr>
          <w:rFonts w:ascii="Times New Roman" w:hAnsi="Times New Roman" w:eastAsia="宋体"/>
          <w:bCs/>
          <w:sz w:val="28"/>
        </w:rPr>
      </w:pPr>
      <w:r>
        <w:rPr>
          <w:rFonts w:ascii="Times New Roman" w:hAnsi="Times New Roman" w:eastAsia="宋体"/>
          <w:bCs/>
          <w:sz w:val="28"/>
        </w:rPr>
        <w:t>本次估价现场实地查勘工作：记录表由我公司注册房地产估价师杨跃军填写，签字人员为委托人代表、申请人代表、被执行人以及我公司注册房地产估价师杨跃军。</w:t>
      </w:r>
    </w:p>
    <w:p>
      <w:pPr>
        <w:pStyle w:val="10"/>
        <w:numPr>
          <w:ilvl w:val="0"/>
          <w:numId w:val="1"/>
        </w:numPr>
        <w:tabs>
          <w:tab w:val="left" w:pos="210"/>
        </w:tabs>
        <w:spacing w:line="500" w:lineRule="exact"/>
        <w:ind w:left="0" w:firstLine="560" w:firstLineChars="200"/>
        <w:rPr>
          <w:rFonts w:ascii="Times New Roman" w:hAnsi="Times New Roman" w:eastAsia="宋体"/>
          <w:sz w:val="28"/>
        </w:rPr>
      </w:pPr>
      <w:r>
        <w:rPr>
          <w:rFonts w:ascii="Times New Roman" w:hAnsi="Times New Roman" w:eastAsia="宋体"/>
          <w:bCs/>
          <w:sz w:val="28"/>
        </w:rPr>
        <w:t>本次评估，</w:t>
      </w:r>
      <w:r>
        <w:rPr>
          <w:rFonts w:ascii="Times New Roman" w:hAnsi="Times New Roman" w:eastAsia="宋体"/>
          <w:sz w:val="28"/>
        </w:rPr>
        <w:t>评估结果已包含划拨土地使用权价值及其室内固定装修价值，不包括房地产转让时划拨用地转出让用地应补缴的土地使用权出让金，具体金额应以相关部门核算缴纳为准。</w:t>
      </w:r>
    </w:p>
    <w:p>
      <w:pPr>
        <w:pStyle w:val="10"/>
        <w:numPr>
          <w:ilvl w:val="0"/>
          <w:numId w:val="1"/>
        </w:numPr>
        <w:tabs>
          <w:tab w:val="left" w:pos="210"/>
        </w:tabs>
        <w:spacing w:line="500" w:lineRule="exact"/>
        <w:ind w:left="0" w:firstLine="560" w:firstLineChars="200"/>
        <w:rPr>
          <w:rFonts w:ascii="Times New Roman" w:hAnsi="Times New Roman" w:eastAsia="宋体"/>
          <w:b/>
          <w:sz w:val="28"/>
        </w:rPr>
      </w:pPr>
      <w:r>
        <w:rPr>
          <w:rFonts w:ascii="Times New Roman" w:hAnsi="Times New Roman" w:eastAsia="宋体"/>
          <w:sz w:val="28"/>
          <w:szCs w:val="28"/>
        </w:rPr>
        <w:t>本次评估，</w:t>
      </w:r>
      <w:r>
        <w:rPr>
          <w:rFonts w:ascii="Times New Roman" w:hAnsi="Times New Roman" w:eastAsia="宋体"/>
          <w:bCs/>
          <w:sz w:val="28"/>
          <w:szCs w:val="28"/>
        </w:rPr>
        <w:t>假定估价对象不存在欠缴税金及相关费用，包括但不限于税收、水电费等及其滞纳金，提醒委托人注意。</w:t>
      </w:r>
    </w:p>
    <w:p>
      <w:pPr>
        <w:pStyle w:val="10"/>
        <w:numPr>
          <w:ilvl w:val="0"/>
          <w:numId w:val="1"/>
        </w:numPr>
        <w:tabs>
          <w:tab w:val="left" w:pos="210"/>
        </w:tabs>
        <w:spacing w:line="500" w:lineRule="exact"/>
        <w:ind w:left="0" w:firstLine="560" w:firstLineChars="200"/>
        <w:rPr>
          <w:rFonts w:ascii="Times New Roman" w:hAnsi="Times New Roman" w:eastAsia="宋体"/>
          <w:b/>
          <w:sz w:val="28"/>
        </w:rPr>
      </w:pPr>
      <w:r>
        <w:rPr>
          <w:rFonts w:ascii="Times New Roman" w:hAnsi="Times New Roman" w:eastAsia="宋体"/>
          <w:bCs/>
          <w:sz w:val="28"/>
          <w:szCs w:val="28"/>
        </w:rPr>
        <w:t>本次评估，假定估价对象不存在租赁权、用益物权及占有使用情况。</w:t>
      </w:r>
      <w:bookmarkStart w:id="21" w:name="_Hlk55985843"/>
    </w:p>
    <w:bookmarkEnd w:id="21"/>
    <w:p>
      <w:pPr>
        <w:pStyle w:val="10"/>
        <w:numPr>
          <w:ilvl w:val="0"/>
          <w:numId w:val="1"/>
        </w:numPr>
        <w:tabs>
          <w:tab w:val="left" w:pos="210"/>
        </w:tabs>
        <w:spacing w:line="500" w:lineRule="exact"/>
        <w:ind w:left="0" w:firstLine="560" w:firstLineChars="200"/>
        <w:rPr>
          <w:rFonts w:ascii="Times New Roman" w:hAnsi="Times New Roman" w:eastAsia="宋体"/>
          <w:bCs/>
          <w:sz w:val="28"/>
        </w:rPr>
      </w:pPr>
      <w:r>
        <w:rPr>
          <w:rFonts w:ascii="Times New Roman" w:hAnsi="Times New Roman" w:eastAsia="宋体"/>
          <w:bCs/>
          <w:sz w:val="28"/>
        </w:rPr>
        <w:t>估价结果不含增值税及附加，同时不考虑评估费、拍卖费、诉讼费、律师费等财产处置费用对估价结果的影响。</w:t>
      </w:r>
    </w:p>
    <w:p>
      <w:pPr>
        <w:pStyle w:val="10"/>
        <w:tabs>
          <w:tab w:val="left" w:pos="210"/>
        </w:tabs>
        <w:spacing w:line="480" w:lineRule="exact"/>
        <w:ind w:firstLine="2380" w:firstLineChars="850"/>
        <w:rPr>
          <w:rFonts w:ascii="Times New Roman" w:hAnsi="Times New Roman" w:eastAsia="宋体"/>
          <w:bCs/>
          <w:sz w:val="28"/>
        </w:rPr>
      </w:pPr>
    </w:p>
    <w:p>
      <w:pPr>
        <w:pStyle w:val="10"/>
        <w:tabs>
          <w:tab w:val="left" w:pos="210"/>
        </w:tabs>
        <w:spacing w:line="480" w:lineRule="exact"/>
        <w:ind w:firstLine="2380" w:firstLineChars="850"/>
        <w:rPr>
          <w:rFonts w:ascii="Times New Roman" w:hAnsi="Times New Roman" w:eastAsia="宋体"/>
          <w:bCs/>
          <w:sz w:val="28"/>
        </w:rPr>
      </w:pPr>
      <w:r>
        <w:rPr>
          <w:rFonts w:ascii="Times New Roman" w:hAnsi="Times New Roman" w:eastAsia="宋体"/>
          <w:bCs/>
          <w:sz w:val="28"/>
        </w:rPr>
        <w:t>此函</w:t>
      </w:r>
    </w:p>
    <w:p>
      <w:pPr>
        <w:spacing w:line="700" w:lineRule="exact"/>
        <w:rPr>
          <w:rFonts w:ascii="Times New Roman" w:hAnsi="Times New Roman" w:eastAsia="宋体"/>
          <w:sz w:val="28"/>
          <w:szCs w:val="28"/>
        </w:rPr>
      </w:pPr>
      <w:r>
        <w:rPr>
          <w:rFonts w:ascii="Times New Roman" w:hAnsi="Times New Roman" w:eastAsia="宋体"/>
          <w:sz w:val="28"/>
          <w:szCs w:val="28"/>
        </w:rPr>
        <w:t xml:space="preserve">                                   法定代表人：</w:t>
      </w:r>
    </w:p>
    <w:p>
      <w:pPr>
        <w:tabs>
          <w:tab w:val="left" w:pos="1498"/>
        </w:tabs>
        <w:spacing w:line="700" w:lineRule="exact"/>
        <w:ind w:firstLine="4900" w:firstLineChars="1750"/>
        <w:rPr>
          <w:rFonts w:ascii="Times New Roman" w:hAnsi="Times New Roman" w:eastAsia="宋体"/>
          <w:sz w:val="28"/>
          <w:szCs w:val="28"/>
        </w:rPr>
      </w:pPr>
      <w:r>
        <w:rPr>
          <w:rFonts w:ascii="Times New Roman" w:hAnsi="Times New Roman" w:eastAsia="宋体"/>
          <w:sz w:val="28"/>
          <w:szCs w:val="28"/>
        </w:rPr>
        <w:t xml:space="preserve">贵州桑立房地产资产评估有限公司 </w:t>
      </w:r>
    </w:p>
    <w:p>
      <w:pPr>
        <w:tabs>
          <w:tab w:val="left" w:pos="1498"/>
        </w:tabs>
        <w:spacing w:line="700" w:lineRule="exact"/>
        <w:ind w:firstLine="4900" w:firstLineChars="1750"/>
        <w:jc w:val="left"/>
        <w:rPr>
          <w:rFonts w:ascii="Times New Roman" w:hAnsi="Times New Roman" w:eastAsia="宋体"/>
          <w:sz w:val="28"/>
          <w:szCs w:val="28"/>
        </w:rPr>
      </w:pPr>
      <w:r>
        <w:rPr>
          <w:rFonts w:ascii="Times New Roman" w:hAnsi="Times New Roman" w:eastAsia="宋体"/>
          <w:sz w:val="28"/>
          <w:szCs w:val="28"/>
        </w:rPr>
        <w:t>二〇二二年四月二十</w:t>
      </w:r>
      <w:r>
        <w:rPr>
          <w:rFonts w:hint="eastAsia" w:ascii="Times New Roman" w:hAnsi="Times New Roman" w:eastAsia="宋体"/>
          <w:sz w:val="28"/>
          <w:szCs w:val="28"/>
        </w:rPr>
        <w:t>五</w:t>
      </w:r>
      <w:r>
        <w:rPr>
          <w:rFonts w:ascii="Times New Roman" w:hAnsi="Times New Roman" w:eastAsia="宋体"/>
          <w:sz w:val="28"/>
          <w:szCs w:val="28"/>
        </w:rPr>
        <w:t>日</w:t>
      </w:r>
      <w:bookmarkStart w:id="22" w:name="_Toc65065893"/>
    </w:p>
    <w:p>
      <w:pPr>
        <w:widowControl/>
        <w:jc w:val="left"/>
        <w:rPr>
          <w:rFonts w:ascii="Times New Roman" w:hAnsi="Times New Roman" w:eastAsia="宋体"/>
          <w:sz w:val="28"/>
          <w:szCs w:val="28"/>
        </w:rPr>
      </w:pPr>
      <w:r>
        <w:rPr>
          <w:rFonts w:ascii="Times New Roman" w:hAnsi="Times New Roman" w:eastAsia="宋体"/>
          <w:sz w:val="28"/>
          <w:szCs w:val="28"/>
        </w:rPr>
        <w:br w:type="page"/>
      </w:r>
    </w:p>
    <w:p>
      <w:pPr>
        <w:tabs>
          <w:tab w:val="left" w:pos="1498"/>
        </w:tabs>
        <w:spacing w:line="700" w:lineRule="exact"/>
        <w:jc w:val="center"/>
        <w:outlineLvl w:val="1"/>
        <w:rPr>
          <w:rFonts w:ascii="Times New Roman" w:hAnsi="Times New Roman" w:eastAsia="宋体"/>
          <w:b/>
          <w:sz w:val="32"/>
          <w:szCs w:val="32"/>
        </w:rPr>
      </w:pPr>
      <w:r>
        <w:rPr>
          <w:rFonts w:ascii="Times New Roman" w:hAnsi="Times New Roman" w:eastAsia="宋体"/>
          <w:b/>
          <w:sz w:val="32"/>
          <w:szCs w:val="32"/>
        </w:rPr>
        <w:t>估价对象照片</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7"/>
        <w:gridCol w:w="3432"/>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8" w:type="pct"/>
            <w:vAlign w:val="center"/>
          </w:tcPr>
          <w:p>
            <w:pPr>
              <w:widowControl/>
              <w:jc w:val="center"/>
              <w:rPr>
                <w:rFonts w:ascii="Times New Roman" w:hAnsi="Times New Roman" w:eastAsia="宋体"/>
                <w:kern w:val="0"/>
                <w:sz w:val="28"/>
                <w:szCs w:val="28"/>
              </w:rPr>
            </w:pPr>
            <w:r>
              <w:rPr>
                <w:rFonts w:ascii="Times New Roman" w:hAnsi="Times New Roman" w:eastAsia="宋体"/>
              </w:rPr>
              <w:drawing>
                <wp:inline distT="0" distB="0" distL="0" distR="0">
                  <wp:extent cx="1681480" cy="1856105"/>
                  <wp:effectExtent l="0" t="0" r="13970" b="1079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1480" cy="1856105"/>
                          </a:xfrm>
                          <a:prstGeom prst="rect">
                            <a:avLst/>
                          </a:prstGeom>
                          <a:noFill/>
                          <a:ln>
                            <a:noFill/>
                          </a:ln>
                        </pic:spPr>
                      </pic:pic>
                    </a:graphicData>
                  </a:graphic>
                </wp:inline>
              </w:drawing>
            </w:r>
          </w:p>
        </w:tc>
        <w:tc>
          <w:tcPr>
            <w:tcW w:w="1724" w:type="pct"/>
            <w:vAlign w:val="center"/>
          </w:tcPr>
          <w:p>
            <w:pPr>
              <w:widowControl/>
              <w:jc w:val="center"/>
              <w:rPr>
                <w:rFonts w:ascii="Times New Roman" w:hAnsi="Times New Roman" w:eastAsia="宋体"/>
                <w:kern w:val="0"/>
                <w:sz w:val="28"/>
                <w:szCs w:val="28"/>
              </w:rPr>
            </w:pPr>
            <w:r>
              <w:rPr>
                <w:rFonts w:ascii="Times New Roman" w:hAnsi="Times New Roman" w:eastAsia="宋体"/>
              </w:rPr>
              <w:drawing>
                <wp:inline distT="0" distB="0" distL="0" distR="0">
                  <wp:extent cx="2076450" cy="1725295"/>
                  <wp:effectExtent l="0" t="0" r="0" b="8255"/>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450" cy="1725295"/>
                          </a:xfrm>
                          <a:prstGeom prst="rect">
                            <a:avLst/>
                          </a:prstGeom>
                          <a:noFill/>
                          <a:ln>
                            <a:noFill/>
                          </a:ln>
                        </pic:spPr>
                      </pic:pic>
                    </a:graphicData>
                  </a:graphic>
                </wp:inline>
              </w:drawing>
            </w:r>
          </w:p>
        </w:tc>
        <w:tc>
          <w:tcPr>
            <w:tcW w:w="1678" w:type="pct"/>
            <w:vAlign w:val="center"/>
          </w:tcPr>
          <w:p>
            <w:pPr>
              <w:widowControl/>
              <w:jc w:val="center"/>
              <w:rPr>
                <w:rFonts w:ascii="Times New Roman" w:hAnsi="Times New Roman" w:eastAsia="宋体"/>
              </w:rPr>
            </w:pPr>
            <w:r>
              <w:rPr>
                <w:rFonts w:ascii="Times New Roman" w:hAnsi="Times New Roman" w:eastAsia="宋体"/>
              </w:rPr>
              <w:drawing>
                <wp:inline distT="0" distB="0" distL="0" distR="0">
                  <wp:extent cx="1962785" cy="1656080"/>
                  <wp:effectExtent l="0" t="0" r="18415" b="127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5950" cy="165608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598" w:type="pct"/>
            <w:vAlign w:val="center"/>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t>估价对象外观照片</w:t>
            </w:r>
          </w:p>
        </w:tc>
        <w:tc>
          <w:tcPr>
            <w:tcW w:w="1724" w:type="pct"/>
            <w:vAlign w:val="center"/>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t>估价对象一层室内大厅照片</w:t>
            </w:r>
          </w:p>
        </w:tc>
        <w:tc>
          <w:tcPr>
            <w:tcW w:w="1678" w:type="pct"/>
            <w:vAlign w:val="center"/>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t>估价对象一层室内过道照片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5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rPr>
              <w:drawing>
                <wp:inline distT="0" distB="0" distL="0" distR="0">
                  <wp:extent cx="1590040" cy="1861185"/>
                  <wp:effectExtent l="0" t="0" r="10160" b="57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040" cy="1861185"/>
                          </a:xfrm>
                          <a:prstGeom prst="rect">
                            <a:avLst/>
                          </a:prstGeom>
                          <a:noFill/>
                          <a:ln>
                            <a:noFill/>
                          </a:ln>
                        </pic:spPr>
                      </pic:pic>
                    </a:graphicData>
                  </a:graphic>
                </wp:inline>
              </w:drawing>
            </w:r>
          </w:p>
        </w:tc>
        <w:tc>
          <w:tcPr>
            <w:tcW w:w="172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rPr>
              <w:drawing>
                <wp:inline distT="0" distB="0" distL="0" distR="0">
                  <wp:extent cx="1950720" cy="1753870"/>
                  <wp:effectExtent l="0" t="0" r="11430" b="17780"/>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6082" cy="1753870"/>
                          </a:xfrm>
                          <a:prstGeom prst="rect">
                            <a:avLst/>
                          </a:prstGeom>
                          <a:noFill/>
                          <a:ln>
                            <a:noFill/>
                          </a:ln>
                        </pic:spPr>
                      </pic:pic>
                    </a:graphicData>
                  </a:graphic>
                </wp:inline>
              </w:drawing>
            </w:r>
          </w:p>
        </w:tc>
        <w:tc>
          <w:tcPr>
            <w:tcW w:w="167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rPr>
            </w:pPr>
            <w:r>
              <w:rPr>
                <w:rFonts w:ascii="Times New Roman" w:hAnsi="Times New Roman" w:eastAsia="宋体"/>
              </w:rPr>
              <w:drawing>
                <wp:inline distT="0" distB="0" distL="0" distR="0">
                  <wp:extent cx="1851660" cy="1764665"/>
                  <wp:effectExtent l="0" t="0" r="15240" b="6985"/>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5149" cy="17646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5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t>估价对象一层室内照片</w:t>
            </w:r>
          </w:p>
        </w:tc>
        <w:tc>
          <w:tcPr>
            <w:tcW w:w="172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t>估价对象二层临街门面外观</w:t>
            </w:r>
          </w:p>
        </w:tc>
        <w:tc>
          <w:tcPr>
            <w:tcW w:w="167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t>估价对象二层临街门面室内照片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5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rPr>
              <w:drawing>
                <wp:inline distT="0" distB="0" distL="0" distR="0">
                  <wp:extent cx="1756410" cy="1821815"/>
                  <wp:effectExtent l="0" t="0" r="15240" b="6985"/>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6410" cy="1821815"/>
                          </a:xfrm>
                          <a:prstGeom prst="rect">
                            <a:avLst/>
                          </a:prstGeom>
                          <a:noFill/>
                          <a:ln>
                            <a:noFill/>
                          </a:ln>
                        </pic:spPr>
                      </pic:pic>
                    </a:graphicData>
                  </a:graphic>
                </wp:inline>
              </w:drawing>
            </w:r>
          </w:p>
        </w:tc>
        <w:tc>
          <w:tcPr>
            <w:tcW w:w="172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rPr>
              <w:drawing>
                <wp:inline distT="0" distB="0" distL="0" distR="0">
                  <wp:extent cx="2044700" cy="1430020"/>
                  <wp:effectExtent l="0" t="0" r="12700" b="1778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700" cy="1430020"/>
                          </a:xfrm>
                          <a:prstGeom prst="rect">
                            <a:avLst/>
                          </a:prstGeom>
                          <a:noFill/>
                          <a:ln>
                            <a:noFill/>
                          </a:ln>
                        </pic:spPr>
                      </pic:pic>
                    </a:graphicData>
                  </a:graphic>
                </wp:inline>
              </w:drawing>
            </w:r>
          </w:p>
        </w:tc>
        <w:tc>
          <w:tcPr>
            <w:tcW w:w="167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rPr>
            </w:pPr>
            <w:r>
              <w:rPr>
                <w:rFonts w:ascii="Times New Roman" w:hAnsi="Times New Roman" w:eastAsia="宋体"/>
              </w:rPr>
              <w:drawing>
                <wp:inline distT="0" distB="0" distL="0" distR="0">
                  <wp:extent cx="1713230" cy="1844675"/>
                  <wp:effectExtent l="0" t="0" r="1270" b="317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3230" cy="1866356"/>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5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t>估价对象二层临街门面室内照片</w:t>
            </w:r>
          </w:p>
        </w:tc>
        <w:tc>
          <w:tcPr>
            <w:tcW w:w="172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t>估价对象二层卧室室内照片</w:t>
            </w:r>
          </w:p>
        </w:tc>
        <w:tc>
          <w:tcPr>
            <w:tcW w:w="1678" w:type="pct"/>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t>估价对象二层卫生间室内照片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5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drawing>
                <wp:inline distT="0" distB="0" distL="0" distR="0">
                  <wp:extent cx="1879600" cy="1656715"/>
                  <wp:effectExtent l="0" t="0" r="6350" b="63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2606" cy="1656715"/>
                          </a:xfrm>
                          <a:prstGeom prst="rect">
                            <a:avLst/>
                          </a:prstGeom>
                          <a:noFill/>
                          <a:ln>
                            <a:noFill/>
                          </a:ln>
                        </pic:spPr>
                      </pic:pic>
                    </a:graphicData>
                  </a:graphic>
                </wp:inline>
              </w:drawing>
            </w:r>
          </w:p>
        </w:tc>
        <w:tc>
          <w:tcPr>
            <w:tcW w:w="172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drawing>
                <wp:inline distT="0" distB="0" distL="0" distR="0">
                  <wp:extent cx="1762760" cy="1865630"/>
                  <wp:effectExtent l="0" t="0" r="8890" b="127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2760" cy="1876293"/>
                          </a:xfrm>
                          <a:prstGeom prst="rect">
                            <a:avLst/>
                          </a:prstGeom>
                          <a:noFill/>
                          <a:ln>
                            <a:noFill/>
                          </a:ln>
                        </pic:spPr>
                      </pic:pic>
                    </a:graphicData>
                  </a:graphic>
                </wp:inline>
              </w:drawing>
            </w:r>
          </w:p>
        </w:tc>
        <w:tc>
          <w:tcPr>
            <w:tcW w:w="1678" w:type="pct"/>
            <w:tcBorders>
              <w:top w:val="single" w:color="auto" w:sz="4" w:space="0"/>
              <w:left w:val="single" w:color="auto" w:sz="4" w:space="0"/>
              <w:bottom w:val="single" w:color="auto" w:sz="4" w:space="0"/>
              <w:right w:val="single" w:color="auto" w:sz="4" w:space="0"/>
            </w:tcBorders>
          </w:tcPr>
          <w:p>
            <w:pPr>
              <w:widowControl/>
              <w:rPr>
                <w:rFonts w:ascii="Times New Roman" w:hAnsi="Times New Roman" w:eastAsia="宋体"/>
                <w:bCs/>
                <w:kern w:val="0"/>
                <w:sz w:val="15"/>
                <w:szCs w:val="15"/>
              </w:rPr>
            </w:pPr>
            <w:r>
              <w:rPr>
                <w:rFonts w:ascii="Times New Roman" w:hAnsi="Times New Roman" w:eastAsia="宋体"/>
                <w:bCs/>
                <w:kern w:val="0"/>
                <w:sz w:val="15"/>
                <w:szCs w:val="15"/>
              </w:rPr>
              <w:drawing>
                <wp:inline distT="0" distB="0" distL="0" distR="0">
                  <wp:extent cx="1892300" cy="1710690"/>
                  <wp:effectExtent l="0" t="0" r="12700" b="381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92606" cy="17106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5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t>估价对象三层大厅室内照片</w:t>
            </w:r>
          </w:p>
        </w:tc>
        <w:tc>
          <w:tcPr>
            <w:tcW w:w="172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t>估价对象三层卧室室内照片</w:t>
            </w:r>
          </w:p>
        </w:tc>
        <w:tc>
          <w:tcPr>
            <w:tcW w:w="1678" w:type="pct"/>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bCs/>
                <w:kern w:val="0"/>
                <w:sz w:val="15"/>
                <w:szCs w:val="15"/>
              </w:rPr>
            </w:pPr>
            <w:r>
              <w:rPr>
                <w:rFonts w:ascii="Times New Roman" w:hAnsi="Times New Roman" w:eastAsia="宋体"/>
                <w:bCs/>
                <w:kern w:val="0"/>
                <w:sz w:val="15"/>
                <w:szCs w:val="15"/>
              </w:rPr>
              <w:t>估价对象四层室内照片</w:t>
            </w:r>
          </w:p>
        </w:tc>
      </w:tr>
    </w:tbl>
    <w:p>
      <w:pPr>
        <w:widowControl/>
        <w:jc w:val="left"/>
        <w:rPr>
          <w:rFonts w:ascii="Times New Roman" w:hAnsi="Times New Roman" w:eastAsia="宋体"/>
          <w:kern w:val="0"/>
          <w:szCs w:val="21"/>
        </w:rPr>
      </w:pPr>
    </w:p>
    <w:p>
      <w:pPr>
        <w:spacing w:before="156" w:beforeLines="50" w:after="156" w:afterLines="50" w:line="500" w:lineRule="exact"/>
        <w:jc w:val="center"/>
        <w:outlineLvl w:val="0"/>
        <w:rPr>
          <w:rFonts w:ascii="Times New Roman" w:hAnsi="Times New Roman" w:eastAsia="宋体"/>
        </w:rPr>
      </w:pPr>
      <w:r>
        <w:rPr>
          <w:rFonts w:ascii="Times New Roman" w:hAnsi="Times New Roman" w:eastAsia="宋体"/>
          <w:b/>
          <w:sz w:val="44"/>
          <w:szCs w:val="44"/>
        </w:rPr>
        <w:t>目  录</w:t>
      </w:r>
      <w:bookmarkEnd w:id="22"/>
      <w:r>
        <w:rPr>
          <w:rFonts w:ascii="Times New Roman" w:hAnsi="Times New Roman" w:eastAsia="宋体"/>
          <w:b/>
          <w:sz w:val="28"/>
          <w:szCs w:val="28"/>
        </w:rPr>
        <w:fldChar w:fldCharType="begin"/>
      </w:r>
      <w:r>
        <w:rPr>
          <w:rFonts w:ascii="Times New Roman" w:hAnsi="Times New Roman" w:eastAsia="宋体"/>
          <w:b/>
          <w:sz w:val="28"/>
          <w:szCs w:val="28"/>
        </w:rPr>
        <w:instrText xml:space="preserve"> TOC \o "1-3" \h \z \u </w:instrText>
      </w:r>
      <w:r>
        <w:rPr>
          <w:rFonts w:ascii="Times New Roman" w:hAnsi="Times New Roman" w:eastAsia="宋体"/>
          <w:b/>
          <w:sz w:val="28"/>
          <w:szCs w:val="28"/>
        </w:rPr>
        <w:fldChar w:fldCharType="separate"/>
      </w:r>
    </w:p>
    <w:p>
      <w:pPr>
        <w:pStyle w:val="16"/>
        <w:rPr>
          <w:rFonts w:ascii="Times New Roman" w:hAnsi="Times New Roman" w:eastAsia="宋体"/>
          <w:b/>
          <w:bCs/>
          <w:sz w:val="28"/>
          <w:szCs w:val="28"/>
        </w:rPr>
      </w:pPr>
      <w:r>
        <w:rPr>
          <w:rStyle w:val="28"/>
          <w:rFonts w:ascii="Times New Roman" w:hAnsi="Times New Roman" w:eastAsia="宋体"/>
          <w:b/>
          <w:bCs/>
          <w:color w:val="auto"/>
          <w:sz w:val="28"/>
          <w:szCs w:val="28"/>
        </w:rPr>
        <w:t>一、</w:t>
      </w:r>
      <w:r>
        <w:rPr>
          <w:rFonts w:ascii="Times New Roman" w:hAnsi="Times New Roman" w:eastAsia="宋体"/>
        </w:rPr>
        <w:fldChar w:fldCharType="begin"/>
      </w:r>
      <w:r>
        <w:rPr>
          <w:rFonts w:ascii="Times New Roman" w:hAnsi="Times New Roman" w:eastAsia="宋体"/>
        </w:rPr>
        <w:instrText xml:space="preserve"> HYPERLINK \l "_Toc65065894" </w:instrText>
      </w:r>
      <w:r>
        <w:rPr>
          <w:rFonts w:ascii="Times New Roman" w:hAnsi="Times New Roman" w:eastAsia="宋体"/>
        </w:rPr>
        <w:fldChar w:fldCharType="separate"/>
      </w:r>
      <w:r>
        <w:rPr>
          <w:rStyle w:val="28"/>
          <w:rFonts w:ascii="Times New Roman" w:hAnsi="Times New Roman" w:eastAsia="宋体"/>
          <w:b/>
          <w:bCs/>
          <w:color w:val="auto"/>
          <w:sz w:val="28"/>
          <w:szCs w:val="28"/>
        </w:rPr>
        <w:t>注册房地产估价师声明</w:t>
      </w:r>
      <w:r>
        <w:rPr>
          <w:rFonts w:ascii="Times New Roman" w:hAnsi="Times New Roman" w:eastAsia="宋体"/>
          <w:b/>
          <w:bCs/>
          <w:sz w:val="28"/>
          <w:szCs w:val="28"/>
        </w:rPr>
        <w:tab/>
      </w:r>
      <w:r>
        <w:rPr>
          <w:rFonts w:ascii="Times New Roman" w:hAnsi="Times New Roman" w:eastAsia="宋体"/>
          <w:b/>
          <w:bCs/>
          <w:sz w:val="28"/>
          <w:szCs w:val="28"/>
        </w:rPr>
        <w:fldChar w:fldCharType="begin"/>
      </w:r>
      <w:r>
        <w:rPr>
          <w:rFonts w:ascii="Times New Roman" w:hAnsi="Times New Roman" w:eastAsia="宋体"/>
          <w:b/>
          <w:bCs/>
          <w:sz w:val="28"/>
          <w:szCs w:val="28"/>
        </w:rPr>
        <w:instrText xml:space="preserve"> PAGEREF _Toc65065894 \h </w:instrText>
      </w:r>
      <w:r>
        <w:rPr>
          <w:rFonts w:ascii="Times New Roman" w:hAnsi="Times New Roman" w:eastAsia="宋体"/>
          <w:b/>
          <w:bCs/>
          <w:sz w:val="28"/>
          <w:szCs w:val="28"/>
        </w:rPr>
        <w:fldChar w:fldCharType="separate"/>
      </w:r>
      <w:r>
        <w:rPr>
          <w:rFonts w:ascii="Times New Roman" w:hAnsi="Times New Roman" w:eastAsia="宋体"/>
          <w:b/>
          <w:bCs/>
          <w:sz w:val="28"/>
          <w:szCs w:val="28"/>
        </w:rPr>
        <w:t>7</w:t>
      </w:r>
      <w:r>
        <w:rPr>
          <w:rFonts w:ascii="Times New Roman" w:hAnsi="Times New Roman" w:eastAsia="宋体"/>
          <w:b/>
          <w:bCs/>
          <w:sz w:val="28"/>
          <w:szCs w:val="28"/>
        </w:rPr>
        <w:fldChar w:fldCharType="end"/>
      </w:r>
      <w:r>
        <w:rPr>
          <w:rFonts w:ascii="Times New Roman" w:hAnsi="Times New Roman" w:eastAsia="宋体"/>
          <w:b/>
          <w:bCs/>
          <w:sz w:val="28"/>
          <w:szCs w:val="28"/>
        </w:rPr>
        <w:fldChar w:fldCharType="end"/>
      </w:r>
    </w:p>
    <w:p>
      <w:pPr>
        <w:pStyle w:val="16"/>
        <w:rPr>
          <w:rFonts w:ascii="Times New Roman" w:hAnsi="Times New Roman" w:eastAsia="宋体"/>
          <w:b/>
          <w:bCs/>
          <w:sz w:val="28"/>
          <w:szCs w:val="28"/>
        </w:rPr>
      </w:pPr>
      <w:r>
        <w:rPr>
          <w:rStyle w:val="28"/>
          <w:rFonts w:ascii="Times New Roman" w:hAnsi="Times New Roman" w:eastAsia="宋体"/>
          <w:b/>
          <w:bCs/>
          <w:color w:val="auto"/>
          <w:sz w:val="28"/>
          <w:szCs w:val="28"/>
        </w:rPr>
        <w:t>二、</w:t>
      </w:r>
      <w:r>
        <w:rPr>
          <w:rFonts w:ascii="Times New Roman" w:hAnsi="Times New Roman" w:eastAsia="宋体"/>
        </w:rPr>
        <w:fldChar w:fldCharType="begin"/>
      </w:r>
      <w:r>
        <w:rPr>
          <w:rFonts w:ascii="Times New Roman" w:hAnsi="Times New Roman" w:eastAsia="宋体"/>
        </w:rPr>
        <w:instrText xml:space="preserve"> HYPERLINK \l "_Toc65065895" </w:instrText>
      </w:r>
      <w:r>
        <w:rPr>
          <w:rFonts w:ascii="Times New Roman" w:hAnsi="Times New Roman" w:eastAsia="宋体"/>
        </w:rPr>
        <w:fldChar w:fldCharType="separate"/>
      </w:r>
      <w:r>
        <w:rPr>
          <w:rStyle w:val="28"/>
          <w:rFonts w:ascii="Times New Roman" w:hAnsi="Times New Roman" w:eastAsia="宋体"/>
          <w:b/>
          <w:bCs/>
          <w:color w:val="auto"/>
          <w:sz w:val="28"/>
          <w:szCs w:val="28"/>
        </w:rPr>
        <w:t>估价的假设和限制条件</w:t>
      </w:r>
      <w:r>
        <w:rPr>
          <w:rFonts w:ascii="Times New Roman" w:hAnsi="Times New Roman" w:eastAsia="宋体"/>
          <w:b/>
          <w:bCs/>
          <w:sz w:val="28"/>
          <w:szCs w:val="28"/>
        </w:rPr>
        <w:tab/>
      </w:r>
      <w:r>
        <w:rPr>
          <w:rFonts w:ascii="Times New Roman" w:hAnsi="Times New Roman" w:eastAsia="宋体"/>
          <w:b/>
          <w:bCs/>
          <w:sz w:val="28"/>
          <w:szCs w:val="28"/>
        </w:rPr>
        <w:fldChar w:fldCharType="begin"/>
      </w:r>
      <w:r>
        <w:rPr>
          <w:rFonts w:ascii="Times New Roman" w:hAnsi="Times New Roman" w:eastAsia="宋体"/>
          <w:b/>
          <w:bCs/>
          <w:sz w:val="28"/>
          <w:szCs w:val="28"/>
        </w:rPr>
        <w:instrText xml:space="preserve"> PAGEREF _Toc65065895 \h </w:instrText>
      </w:r>
      <w:r>
        <w:rPr>
          <w:rFonts w:ascii="Times New Roman" w:hAnsi="Times New Roman" w:eastAsia="宋体"/>
          <w:b/>
          <w:bCs/>
          <w:sz w:val="28"/>
          <w:szCs w:val="28"/>
        </w:rPr>
        <w:fldChar w:fldCharType="separate"/>
      </w:r>
      <w:r>
        <w:rPr>
          <w:rFonts w:ascii="Times New Roman" w:hAnsi="Times New Roman" w:eastAsia="宋体"/>
          <w:b/>
          <w:bCs/>
          <w:sz w:val="28"/>
          <w:szCs w:val="28"/>
        </w:rPr>
        <w:t>8</w:t>
      </w:r>
      <w:r>
        <w:rPr>
          <w:rFonts w:ascii="Times New Roman" w:hAnsi="Times New Roman" w:eastAsia="宋体"/>
          <w:b/>
          <w:bCs/>
          <w:sz w:val="28"/>
          <w:szCs w:val="28"/>
        </w:rPr>
        <w:fldChar w:fldCharType="end"/>
      </w:r>
      <w:r>
        <w:rPr>
          <w:rFonts w:ascii="Times New Roman" w:hAnsi="Times New Roman" w:eastAsia="宋体"/>
          <w:b/>
          <w:bCs/>
          <w:sz w:val="28"/>
          <w:szCs w:val="28"/>
        </w:rPr>
        <w:fldChar w:fldCharType="end"/>
      </w:r>
    </w:p>
    <w:p>
      <w:pPr>
        <w:pStyle w:val="16"/>
        <w:rPr>
          <w:rFonts w:ascii="Times New Roman" w:hAnsi="Times New Roman" w:eastAsia="宋体"/>
          <w:b/>
          <w:bCs/>
          <w:sz w:val="28"/>
          <w:szCs w:val="28"/>
        </w:rPr>
      </w:pPr>
      <w:r>
        <w:rPr>
          <w:rStyle w:val="28"/>
          <w:rFonts w:ascii="Times New Roman" w:hAnsi="Times New Roman" w:eastAsia="宋体"/>
          <w:b/>
          <w:bCs/>
          <w:color w:val="auto"/>
          <w:sz w:val="28"/>
          <w:szCs w:val="28"/>
        </w:rPr>
        <w:t>三、</w:t>
      </w:r>
      <w:r>
        <w:rPr>
          <w:rFonts w:ascii="Times New Roman" w:hAnsi="Times New Roman" w:eastAsia="宋体"/>
        </w:rPr>
        <w:fldChar w:fldCharType="begin"/>
      </w:r>
      <w:r>
        <w:rPr>
          <w:rFonts w:ascii="Times New Roman" w:hAnsi="Times New Roman" w:eastAsia="宋体"/>
        </w:rPr>
        <w:instrText xml:space="preserve"> HYPERLINK \l "_Toc65065902" </w:instrText>
      </w:r>
      <w:r>
        <w:rPr>
          <w:rFonts w:ascii="Times New Roman" w:hAnsi="Times New Roman" w:eastAsia="宋体"/>
        </w:rPr>
        <w:fldChar w:fldCharType="separate"/>
      </w:r>
      <w:r>
        <w:rPr>
          <w:rStyle w:val="28"/>
          <w:rFonts w:ascii="Times New Roman" w:hAnsi="Times New Roman" w:eastAsia="宋体"/>
          <w:b/>
          <w:bCs/>
          <w:color w:val="auto"/>
          <w:sz w:val="28"/>
          <w:szCs w:val="28"/>
        </w:rPr>
        <w:t>房地产估价结果报告</w:t>
      </w:r>
      <w:r>
        <w:rPr>
          <w:rFonts w:ascii="Times New Roman" w:hAnsi="Times New Roman" w:eastAsia="宋体"/>
          <w:b/>
          <w:bCs/>
          <w:sz w:val="28"/>
          <w:szCs w:val="28"/>
        </w:rPr>
        <w:tab/>
      </w:r>
      <w:r>
        <w:rPr>
          <w:rFonts w:ascii="Times New Roman" w:hAnsi="Times New Roman" w:eastAsia="宋体"/>
          <w:b/>
          <w:bCs/>
          <w:sz w:val="28"/>
          <w:szCs w:val="28"/>
        </w:rPr>
        <w:fldChar w:fldCharType="begin"/>
      </w:r>
      <w:r>
        <w:rPr>
          <w:rFonts w:ascii="Times New Roman" w:hAnsi="Times New Roman" w:eastAsia="宋体"/>
          <w:b/>
          <w:bCs/>
          <w:sz w:val="28"/>
          <w:szCs w:val="28"/>
        </w:rPr>
        <w:instrText xml:space="preserve"> PAGEREF _Toc65065902 \h </w:instrText>
      </w:r>
      <w:r>
        <w:rPr>
          <w:rFonts w:ascii="Times New Roman" w:hAnsi="Times New Roman" w:eastAsia="宋体"/>
          <w:b/>
          <w:bCs/>
          <w:sz w:val="28"/>
          <w:szCs w:val="28"/>
        </w:rPr>
        <w:fldChar w:fldCharType="separate"/>
      </w:r>
      <w:r>
        <w:rPr>
          <w:rFonts w:ascii="Times New Roman" w:hAnsi="Times New Roman" w:eastAsia="宋体"/>
          <w:b/>
          <w:bCs/>
          <w:sz w:val="28"/>
          <w:szCs w:val="28"/>
        </w:rPr>
        <w:t>11</w:t>
      </w:r>
      <w:r>
        <w:rPr>
          <w:rFonts w:ascii="Times New Roman" w:hAnsi="Times New Roman" w:eastAsia="宋体"/>
          <w:b/>
          <w:bCs/>
          <w:sz w:val="28"/>
          <w:szCs w:val="28"/>
        </w:rPr>
        <w:fldChar w:fldCharType="end"/>
      </w:r>
      <w:r>
        <w:rPr>
          <w:rFonts w:ascii="Times New Roman" w:hAnsi="Times New Roman" w:eastAsia="宋体"/>
          <w:b/>
          <w:bCs/>
          <w:sz w:val="28"/>
          <w:szCs w:val="28"/>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"_Toc65065903" </w:instrText>
      </w:r>
      <w:r>
        <w:rPr>
          <w:rFonts w:ascii="Times New Roman" w:hAnsi="Times New Roman" w:eastAsia="宋体"/>
        </w:rPr>
        <w:fldChar w:fldCharType="separate"/>
      </w:r>
      <w:r>
        <w:rPr>
          <w:rStyle w:val="28"/>
          <w:rFonts w:ascii="Times New Roman" w:hAnsi="Times New Roman" w:eastAsia="宋体"/>
          <w:color w:val="auto"/>
        </w:rPr>
        <w:t>1、 估价委托人</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_Toc65065903 \h </w:instrText>
      </w:r>
      <w:r>
        <w:rPr>
          <w:rFonts w:ascii="Times New Roman" w:hAnsi="Times New Roman" w:eastAsia="宋体"/>
        </w:rPr>
        <w:fldChar w:fldCharType="separate"/>
      </w:r>
      <w:r>
        <w:rPr>
          <w:rFonts w:ascii="Times New Roman" w:hAnsi="Times New Roman" w:eastAsia="宋体"/>
        </w:rPr>
        <w:t>11</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"_Toc65065904" </w:instrText>
      </w:r>
      <w:r>
        <w:rPr>
          <w:rFonts w:ascii="Times New Roman" w:hAnsi="Times New Roman" w:eastAsia="宋体"/>
        </w:rPr>
        <w:fldChar w:fldCharType="separate"/>
      </w:r>
      <w:r>
        <w:rPr>
          <w:rStyle w:val="28"/>
          <w:rFonts w:ascii="Times New Roman" w:hAnsi="Times New Roman" w:eastAsia="宋体"/>
          <w:color w:val="auto"/>
        </w:rPr>
        <w:t>2、 房地产估价机构</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_Toc65065904 \h </w:instrText>
      </w:r>
      <w:r>
        <w:rPr>
          <w:rFonts w:ascii="Times New Roman" w:hAnsi="Times New Roman" w:eastAsia="宋体"/>
        </w:rPr>
        <w:fldChar w:fldCharType="separate"/>
      </w:r>
      <w:r>
        <w:rPr>
          <w:rFonts w:ascii="Times New Roman" w:hAnsi="Times New Roman" w:eastAsia="宋体"/>
        </w:rPr>
        <w:t>11</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"_Toc65065905" </w:instrText>
      </w:r>
      <w:r>
        <w:rPr>
          <w:rFonts w:ascii="Times New Roman" w:hAnsi="Times New Roman" w:eastAsia="宋体"/>
        </w:rPr>
        <w:fldChar w:fldCharType="separate"/>
      </w:r>
      <w:r>
        <w:rPr>
          <w:rStyle w:val="28"/>
          <w:rFonts w:ascii="Times New Roman" w:hAnsi="Times New Roman" w:eastAsia="宋体"/>
          <w:color w:val="auto"/>
        </w:rPr>
        <w:t>3、 估价目的</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_Toc65065905 \h </w:instrText>
      </w:r>
      <w:r>
        <w:rPr>
          <w:rFonts w:ascii="Times New Roman" w:hAnsi="Times New Roman" w:eastAsia="宋体"/>
        </w:rPr>
        <w:fldChar w:fldCharType="separate"/>
      </w:r>
      <w:r>
        <w:rPr>
          <w:rFonts w:ascii="Times New Roman" w:hAnsi="Times New Roman" w:eastAsia="宋体"/>
        </w:rPr>
        <w:t>11</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"_Toc65065906" </w:instrText>
      </w:r>
      <w:r>
        <w:rPr>
          <w:rFonts w:ascii="Times New Roman" w:hAnsi="Times New Roman" w:eastAsia="宋体"/>
        </w:rPr>
        <w:fldChar w:fldCharType="separate"/>
      </w:r>
      <w:r>
        <w:rPr>
          <w:rStyle w:val="28"/>
          <w:rFonts w:ascii="Times New Roman" w:hAnsi="Times New Roman" w:eastAsia="宋体"/>
          <w:color w:val="auto"/>
        </w:rPr>
        <w:t>4、 估价对象</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_Toc65065906 \h </w:instrText>
      </w:r>
      <w:r>
        <w:rPr>
          <w:rFonts w:ascii="Times New Roman" w:hAnsi="Times New Roman" w:eastAsia="宋体"/>
        </w:rPr>
        <w:fldChar w:fldCharType="separate"/>
      </w:r>
      <w:r>
        <w:rPr>
          <w:rFonts w:ascii="Times New Roman" w:hAnsi="Times New Roman" w:eastAsia="宋体"/>
        </w:rPr>
        <w:t>11</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"_Toc65065912" </w:instrText>
      </w:r>
      <w:r>
        <w:rPr>
          <w:rFonts w:ascii="Times New Roman" w:hAnsi="Times New Roman" w:eastAsia="宋体"/>
        </w:rPr>
        <w:fldChar w:fldCharType="separate"/>
      </w:r>
      <w:r>
        <w:rPr>
          <w:rStyle w:val="28"/>
          <w:rFonts w:ascii="Times New Roman" w:hAnsi="Times New Roman" w:eastAsia="宋体"/>
          <w:color w:val="auto"/>
        </w:rPr>
        <w:t>5、 价值时点</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_Toc65065912 \h </w:instrText>
      </w:r>
      <w:r>
        <w:rPr>
          <w:rFonts w:ascii="Times New Roman" w:hAnsi="Times New Roman" w:eastAsia="宋体"/>
        </w:rPr>
        <w:fldChar w:fldCharType="separate"/>
      </w:r>
      <w:r>
        <w:rPr>
          <w:rFonts w:ascii="Times New Roman" w:hAnsi="Times New Roman" w:eastAsia="宋体"/>
        </w:rPr>
        <w:t>14</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"_Toc65065913" </w:instrText>
      </w:r>
      <w:r>
        <w:rPr>
          <w:rFonts w:ascii="Times New Roman" w:hAnsi="Times New Roman" w:eastAsia="宋体"/>
        </w:rPr>
        <w:fldChar w:fldCharType="separate"/>
      </w:r>
      <w:r>
        <w:rPr>
          <w:rStyle w:val="28"/>
          <w:rFonts w:ascii="Times New Roman" w:hAnsi="Times New Roman" w:eastAsia="宋体"/>
          <w:color w:val="auto"/>
        </w:rPr>
        <w:t>6、 价值类型</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_Toc65065913 \h </w:instrText>
      </w:r>
      <w:r>
        <w:rPr>
          <w:rFonts w:ascii="Times New Roman" w:hAnsi="Times New Roman" w:eastAsia="宋体"/>
        </w:rPr>
        <w:fldChar w:fldCharType="separate"/>
      </w:r>
      <w:r>
        <w:rPr>
          <w:rFonts w:ascii="Times New Roman" w:hAnsi="Times New Roman" w:eastAsia="宋体"/>
        </w:rPr>
        <w:t>14</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"_Toc65065914" </w:instrText>
      </w:r>
      <w:r>
        <w:rPr>
          <w:rFonts w:ascii="Times New Roman" w:hAnsi="Times New Roman" w:eastAsia="宋体"/>
        </w:rPr>
        <w:fldChar w:fldCharType="separate"/>
      </w:r>
      <w:r>
        <w:rPr>
          <w:rStyle w:val="28"/>
          <w:rFonts w:ascii="Times New Roman" w:hAnsi="Times New Roman" w:eastAsia="宋体"/>
          <w:color w:val="auto"/>
        </w:rPr>
        <w:t>7、 估价原则</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_Toc65065914 \h </w:instrText>
      </w:r>
      <w:r>
        <w:rPr>
          <w:rFonts w:ascii="Times New Roman" w:hAnsi="Times New Roman" w:eastAsia="宋体"/>
        </w:rPr>
        <w:fldChar w:fldCharType="separate"/>
      </w:r>
      <w:r>
        <w:rPr>
          <w:rFonts w:ascii="Times New Roman" w:hAnsi="Times New Roman" w:eastAsia="宋体"/>
        </w:rPr>
        <w:t>14</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"_Toc65065915" </w:instrText>
      </w:r>
      <w:r>
        <w:rPr>
          <w:rFonts w:ascii="Times New Roman" w:hAnsi="Times New Roman" w:eastAsia="宋体"/>
        </w:rPr>
        <w:fldChar w:fldCharType="separate"/>
      </w:r>
      <w:r>
        <w:rPr>
          <w:rStyle w:val="28"/>
          <w:rFonts w:ascii="Times New Roman" w:hAnsi="Times New Roman" w:eastAsia="宋体"/>
          <w:color w:val="auto"/>
        </w:rPr>
        <w:t>8、 估价依据</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_Toc65065915 \h </w:instrText>
      </w:r>
      <w:r>
        <w:rPr>
          <w:rFonts w:ascii="Times New Roman" w:hAnsi="Times New Roman" w:eastAsia="宋体"/>
        </w:rPr>
        <w:fldChar w:fldCharType="separate"/>
      </w:r>
      <w:r>
        <w:rPr>
          <w:rFonts w:ascii="Times New Roman" w:hAnsi="Times New Roman" w:eastAsia="宋体"/>
        </w:rPr>
        <w:t>15</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"_Toc65065920" </w:instrText>
      </w:r>
      <w:r>
        <w:rPr>
          <w:rFonts w:ascii="Times New Roman" w:hAnsi="Times New Roman" w:eastAsia="宋体"/>
        </w:rPr>
        <w:fldChar w:fldCharType="separate"/>
      </w:r>
      <w:r>
        <w:rPr>
          <w:rStyle w:val="28"/>
          <w:rFonts w:ascii="Times New Roman" w:hAnsi="Times New Roman" w:eastAsia="宋体"/>
          <w:color w:val="auto"/>
        </w:rPr>
        <w:t>9、 估价方法</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_Toc65065920 \h </w:instrText>
      </w:r>
      <w:r>
        <w:rPr>
          <w:rFonts w:ascii="Times New Roman" w:hAnsi="Times New Roman" w:eastAsia="宋体"/>
        </w:rPr>
        <w:fldChar w:fldCharType="separate"/>
      </w:r>
      <w:r>
        <w:rPr>
          <w:rFonts w:ascii="Times New Roman" w:hAnsi="Times New Roman" w:eastAsia="宋体"/>
        </w:rPr>
        <w:t>17</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"_Toc65065921" </w:instrText>
      </w:r>
      <w:r>
        <w:rPr>
          <w:rFonts w:ascii="Times New Roman" w:hAnsi="Times New Roman" w:eastAsia="宋体"/>
        </w:rPr>
        <w:fldChar w:fldCharType="separate"/>
      </w:r>
      <w:r>
        <w:rPr>
          <w:rStyle w:val="28"/>
          <w:rFonts w:ascii="Times New Roman" w:hAnsi="Times New Roman" w:eastAsia="宋体"/>
          <w:color w:val="auto"/>
        </w:rPr>
        <w:t>10、 估价结果</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_Toc65065921 \h </w:instrText>
      </w:r>
      <w:r>
        <w:rPr>
          <w:rFonts w:ascii="Times New Roman" w:hAnsi="Times New Roman" w:eastAsia="宋体"/>
        </w:rPr>
        <w:fldChar w:fldCharType="separate"/>
      </w:r>
      <w:r>
        <w:rPr>
          <w:rFonts w:ascii="Times New Roman" w:hAnsi="Times New Roman" w:eastAsia="宋体"/>
        </w:rPr>
        <w:t>19</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"_Toc65065922" </w:instrText>
      </w:r>
      <w:r>
        <w:rPr>
          <w:rFonts w:ascii="Times New Roman" w:hAnsi="Times New Roman" w:eastAsia="宋体"/>
        </w:rPr>
        <w:fldChar w:fldCharType="separate"/>
      </w:r>
      <w:r>
        <w:rPr>
          <w:rStyle w:val="28"/>
          <w:rFonts w:ascii="Times New Roman" w:hAnsi="Times New Roman" w:eastAsia="宋体"/>
          <w:color w:val="auto"/>
        </w:rPr>
        <w:t>11、 注册房地产估价师</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_Toc65065922 \h </w:instrText>
      </w:r>
      <w:r>
        <w:rPr>
          <w:rFonts w:ascii="Times New Roman" w:hAnsi="Times New Roman" w:eastAsia="宋体"/>
        </w:rPr>
        <w:fldChar w:fldCharType="separate"/>
      </w:r>
      <w:r>
        <w:rPr>
          <w:rFonts w:ascii="Times New Roman" w:hAnsi="Times New Roman" w:eastAsia="宋体"/>
        </w:rPr>
        <w:t>19</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"_Toc65065923" </w:instrText>
      </w:r>
      <w:r>
        <w:rPr>
          <w:rFonts w:ascii="Times New Roman" w:hAnsi="Times New Roman" w:eastAsia="宋体"/>
        </w:rPr>
        <w:fldChar w:fldCharType="separate"/>
      </w:r>
      <w:r>
        <w:rPr>
          <w:rStyle w:val="28"/>
          <w:rFonts w:ascii="Times New Roman" w:hAnsi="Times New Roman" w:eastAsia="宋体"/>
          <w:color w:val="auto"/>
        </w:rPr>
        <w:t>12、 实地查勘期</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_Toc65065923 \h </w:instrText>
      </w:r>
      <w:r>
        <w:rPr>
          <w:rFonts w:ascii="Times New Roman" w:hAnsi="Times New Roman" w:eastAsia="宋体"/>
        </w:rPr>
        <w:fldChar w:fldCharType="separate"/>
      </w:r>
      <w:r>
        <w:rPr>
          <w:rFonts w:ascii="Times New Roman" w:hAnsi="Times New Roman" w:eastAsia="宋体"/>
        </w:rPr>
        <w:t>19</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"_Toc65065924" </w:instrText>
      </w:r>
      <w:r>
        <w:rPr>
          <w:rFonts w:ascii="Times New Roman" w:hAnsi="Times New Roman" w:eastAsia="宋体"/>
        </w:rPr>
        <w:fldChar w:fldCharType="separate"/>
      </w:r>
      <w:r>
        <w:rPr>
          <w:rStyle w:val="28"/>
          <w:rFonts w:ascii="Times New Roman" w:hAnsi="Times New Roman" w:eastAsia="宋体"/>
          <w:color w:val="auto"/>
        </w:rPr>
        <w:t>13、 估价作业期</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_Toc65065924 \h </w:instrText>
      </w:r>
      <w:r>
        <w:rPr>
          <w:rFonts w:ascii="Times New Roman" w:hAnsi="Times New Roman" w:eastAsia="宋体"/>
        </w:rPr>
        <w:fldChar w:fldCharType="separate"/>
      </w:r>
      <w:r>
        <w:rPr>
          <w:rFonts w:ascii="Times New Roman" w:hAnsi="Times New Roman" w:eastAsia="宋体"/>
        </w:rPr>
        <w:t>19</w:t>
      </w:r>
      <w:r>
        <w:rPr>
          <w:rFonts w:ascii="Times New Roman" w:hAnsi="Times New Roman" w:eastAsia="宋体"/>
        </w:rPr>
        <w:fldChar w:fldCharType="end"/>
      </w:r>
      <w:r>
        <w:rPr>
          <w:rFonts w:ascii="Times New Roman" w:hAnsi="Times New Roman" w:eastAsia="宋体"/>
        </w:rPr>
        <w:fldChar w:fldCharType="end"/>
      </w:r>
    </w:p>
    <w:p>
      <w:pPr>
        <w:pStyle w:val="17"/>
        <w:spacing w:line="500" w:lineRule="exact"/>
        <w:ind w:firstLine="480" w:firstLineChars="200"/>
        <w:rPr>
          <w:rFonts w:ascii="Times New Roman" w:hAnsi="Times New Roman" w:eastAsia="宋体"/>
          <w:sz w:val="21"/>
          <w:szCs w:val="22"/>
        </w:rPr>
      </w:pPr>
      <w:r>
        <w:rPr>
          <w:rFonts w:ascii="Times New Roman" w:hAnsi="Times New Roman" w:eastAsia="宋体"/>
        </w:rPr>
        <w:fldChar w:fldCharType="begin"/>
      </w:r>
      <w:r>
        <w:rPr>
          <w:rFonts w:ascii="Times New Roman" w:hAnsi="Times New Roman" w:eastAsia="宋体"/>
        </w:rPr>
        <w:instrText xml:space="preserve"> HYPERLINK \l "_Toc65065925" </w:instrText>
      </w:r>
      <w:r>
        <w:rPr>
          <w:rFonts w:ascii="Times New Roman" w:hAnsi="Times New Roman" w:eastAsia="宋体"/>
        </w:rPr>
        <w:fldChar w:fldCharType="separate"/>
      </w:r>
      <w:r>
        <w:rPr>
          <w:rStyle w:val="28"/>
          <w:rFonts w:ascii="Times New Roman" w:hAnsi="Times New Roman" w:eastAsia="宋体"/>
          <w:color w:val="auto"/>
        </w:rPr>
        <w:t>14、 估价报告应用的有效期</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_Toc65065925 \h </w:instrText>
      </w:r>
      <w:r>
        <w:rPr>
          <w:rFonts w:ascii="Times New Roman" w:hAnsi="Times New Roman" w:eastAsia="宋体"/>
        </w:rPr>
        <w:fldChar w:fldCharType="separate"/>
      </w:r>
      <w:r>
        <w:rPr>
          <w:rFonts w:ascii="Times New Roman" w:hAnsi="Times New Roman" w:eastAsia="宋体"/>
        </w:rPr>
        <w:t>20</w:t>
      </w:r>
      <w:r>
        <w:rPr>
          <w:rFonts w:ascii="Times New Roman" w:hAnsi="Times New Roman" w:eastAsia="宋体"/>
        </w:rPr>
        <w:fldChar w:fldCharType="end"/>
      </w:r>
      <w:r>
        <w:rPr>
          <w:rFonts w:ascii="Times New Roman" w:hAnsi="Times New Roman" w:eastAsia="宋体"/>
        </w:rPr>
        <w:fldChar w:fldCharType="end"/>
      </w:r>
    </w:p>
    <w:p>
      <w:pPr>
        <w:pStyle w:val="10"/>
        <w:tabs>
          <w:tab w:val="left" w:pos="210"/>
        </w:tabs>
        <w:spacing w:line="500" w:lineRule="exact"/>
        <w:rPr>
          <w:rFonts w:ascii="Times New Roman" w:hAnsi="Times New Roman" w:eastAsia="宋体"/>
          <w:b/>
          <w:sz w:val="28"/>
          <w:szCs w:val="28"/>
        </w:rPr>
      </w:pPr>
      <w:r>
        <w:rPr>
          <w:rFonts w:ascii="Times New Roman" w:hAnsi="Times New Roman" w:eastAsia="宋体"/>
          <w:b/>
          <w:sz w:val="28"/>
          <w:szCs w:val="28"/>
        </w:rPr>
        <w:fldChar w:fldCharType="end"/>
      </w:r>
      <w:r>
        <w:rPr>
          <w:rFonts w:ascii="Times New Roman" w:hAnsi="Times New Roman" w:eastAsia="宋体"/>
          <w:b/>
          <w:sz w:val="28"/>
          <w:szCs w:val="28"/>
        </w:rPr>
        <w:t>四、附件</w:t>
      </w:r>
    </w:p>
    <w:p>
      <w:pPr>
        <w:numPr>
          <w:ilvl w:val="0"/>
          <w:numId w:val="2"/>
        </w:numPr>
        <w:adjustRightInd w:val="0"/>
        <w:snapToGrid w:val="0"/>
        <w:spacing w:line="400" w:lineRule="exact"/>
        <w:ind w:left="902"/>
        <w:rPr>
          <w:rFonts w:ascii="Times New Roman" w:hAnsi="Times New Roman" w:eastAsia="宋体"/>
          <w:sz w:val="24"/>
        </w:rPr>
      </w:pPr>
      <w:r>
        <w:rPr>
          <w:rFonts w:ascii="Times New Roman" w:hAnsi="Times New Roman" w:eastAsia="宋体"/>
          <w:sz w:val="24"/>
        </w:rPr>
        <w:t>织金县人民法院《委托书》【（2022）黔0524执816号】</w:t>
      </w:r>
    </w:p>
    <w:p>
      <w:pPr>
        <w:numPr>
          <w:ilvl w:val="0"/>
          <w:numId w:val="2"/>
        </w:numPr>
        <w:adjustRightInd w:val="0"/>
        <w:snapToGrid w:val="0"/>
        <w:spacing w:line="400" w:lineRule="exact"/>
        <w:ind w:left="902"/>
        <w:rPr>
          <w:rFonts w:ascii="Times New Roman" w:hAnsi="Times New Roman" w:eastAsia="宋体"/>
          <w:sz w:val="24"/>
        </w:rPr>
      </w:pPr>
      <w:r>
        <w:rPr>
          <w:rFonts w:ascii="Times New Roman" w:hAnsi="Times New Roman" w:eastAsia="宋体"/>
          <w:sz w:val="24"/>
        </w:rPr>
        <w:t>估价对象位置图及照片</w:t>
      </w:r>
    </w:p>
    <w:p>
      <w:pPr>
        <w:numPr>
          <w:ilvl w:val="0"/>
          <w:numId w:val="2"/>
        </w:numPr>
        <w:adjustRightInd w:val="0"/>
        <w:snapToGrid w:val="0"/>
        <w:spacing w:line="400" w:lineRule="exact"/>
        <w:ind w:left="902"/>
        <w:rPr>
          <w:rFonts w:ascii="Times New Roman" w:hAnsi="Times New Roman" w:eastAsia="宋体"/>
          <w:sz w:val="24"/>
        </w:rPr>
      </w:pPr>
      <w:r>
        <w:rPr>
          <w:rFonts w:ascii="Times New Roman" w:hAnsi="Times New Roman" w:eastAsia="宋体"/>
          <w:sz w:val="24"/>
        </w:rPr>
        <w:t>估价对象</w:t>
      </w:r>
      <w:bookmarkStart w:id="23" w:name="_Hlk50571031"/>
      <w:r>
        <w:rPr>
          <w:rFonts w:ascii="Times New Roman" w:hAnsi="Times New Roman" w:eastAsia="宋体"/>
          <w:sz w:val="24"/>
        </w:rPr>
        <w:t>《贵州省不动产登记查询结果》</w:t>
      </w:r>
      <w:bookmarkEnd w:id="23"/>
      <w:r>
        <w:rPr>
          <w:rFonts w:ascii="Times New Roman" w:hAnsi="Times New Roman" w:eastAsia="宋体"/>
          <w:sz w:val="24"/>
        </w:rPr>
        <w:t>资料复印件</w:t>
      </w:r>
    </w:p>
    <w:p>
      <w:pPr>
        <w:numPr>
          <w:ilvl w:val="0"/>
          <w:numId w:val="2"/>
        </w:numPr>
        <w:adjustRightInd w:val="0"/>
        <w:snapToGrid w:val="0"/>
        <w:spacing w:line="400" w:lineRule="exact"/>
        <w:ind w:left="902"/>
        <w:rPr>
          <w:rFonts w:ascii="Times New Roman" w:hAnsi="Times New Roman" w:eastAsia="宋体"/>
          <w:sz w:val="24"/>
        </w:rPr>
      </w:pPr>
      <w:r>
        <w:rPr>
          <w:rFonts w:ascii="Times New Roman" w:hAnsi="Times New Roman" w:eastAsia="宋体"/>
          <w:sz w:val="24"/>
        </w:rPr>
        <w:t>估价对象《房屋所有权证》及《房屋所有权登记审批表》资料复印件</w:t>
      </w:r>
    </w:p>
    <w:p>
      <w:pPr>
        <w:numPr>
          <w:ilvl w:val="0"/>
          <w:numId w:val="2"/>
        </w:numPr>
        <w:adjustRightInd w:val="0"/>
        <w:snapToGrid w:val="0"/>
        <w:spacing w:line="400" w:lineRule="exact"/>
        <w:ind w:left="902"/>
        <w:rPr>
          <w:rFonts w:ascii="Times New Roman" w:hAnsi="Times New Roman" w:eastAsia="宋体"/>
          <w:sz w:val="24"/>
        </w:rPr>
      </w:pPr>
      <w:r>
        <w:rPr>
          <w:rFonts w:ascii="Times New Roman" w:hAnsi="Times New Roman" w:eastAsia="宋体"/>
          <w:sz w:val="24"/>
        </w:rPr>
        <w:t>估价对象《国有土地使用证》资料复印件</w:t>
      </w:r>
    </w:p>
    <w:p>
      <w:pPr>
        <w:numPr>
          <w:ilvl w:val="0"/>
          <w:numId w:val="2"/>
        </w:numPr>
        <w:adjustRightInd w:val="0"/>
        <w:snapToGrid w:val="0"/>
        <w:spacing w:line="400" w:lineRule="exact"/>
        <w:ind w:left="902"/>
        <w:rPr>
          <w:rFonts w:ascii="Times New Roman" w:hAnsi="Times New Roman" w:eastAsia="宋体"/>
          <w:sz w:val="24"/>
        </w:rPr>
      </w:pPr>
      <w:r>
        <w:rPr>
          <w:rFonts w:ascii="Times New Roman" w:hAnsi="Times New Roman" w:eastAsia="宋体"/>
          <w:sz w:val="24"/>
        </w:rPr>
        <w:t>房地产估价机构营业执照和估价资质证书</w:t>
      </w:r>
    </w:p>
    <w:p>
      <w:pPr>
        <w:numPr>
          <w:ilvl w:val="0"/>
          <w:numId w:val="2"/>
        </w:numPr>
        <w:adjustRightInd w:val="0"/>
        <w:snapToGrid w:val="0"/>
        <w:spacing w:line="400" w:lineRule="exact"/>
        <w:ind w:left="902"/>
        <w:rPr>
          <w:rFonts w:ascii="Times New Roman" w:hAnsi="Times New Roman" w:eastAsia="宋体"/>
          <w:sz w:val="24"/>
        </w:rPr>
      </w:pPr>
      <w:r>
        <w:rPr>
          <w:rFonts w:ascii="Times New Roman" w:hAnsi="Times New Roman" w:eastAsia="宋体"/>
          <w:sz w:val="24"/>
        </w:rPr>
        <w:t>注册房地产估价师资质证书</w:t>
      </w:r>
    </w:p>
    <w:p>
      <w:pPr>
        <w:numPr>
          <w:ilvl w:val="0"/>
          <w:numId w:val="2"/>
        </w:numPr>
        <w:adjustRightInd w:val="0"/>
        <w:snapToGrid w:val="0"/>
        <w:spacing w:line="400" w:lineRule="exact"/>
        <w:ind w:left="902"/>
        <w:rPr>
          <w:rFonts w:ascii="Times New Roman" w:hAnsi="Times New Roman" w:eastAsia="宋体"/>
          <w:sz w:val="24"/>
        </w:rPr>
      </w:pPr>
      <w:r>
        <w:rPr>
          <w:rFonts w:ascii="Times New Roman" w:hAnsi="Times New Roman" w:eastAsia="宋体"/>
          <w:sz w:val="24"/>
        </w:rPr>
        <w:t>专业帮助情况和相关专业意见（无）</w:t>
      </w:r>
    </w:p>
    <w:p>
      <w:pPr>
        <w:pStyle w:val="10"/>
        <w:tabs>
          <w:tab w:val="left" w:pos="210"/>
        </w:tabs>
        <w:spacing w:line="500" w:lineRule="exact"/>
        <w:rPr>
          <w:rFonts w:ascii="Times New Roman" w:hAnsi="Times New Roman" w:eastAsia="宋体"/>
        </w:rPr>
      </w:pPr>
      <w:bookmarkStart w:id="24" w:name="_Toc47874176"/>
      <w:bookmarkStart w:id="25" w:name="_Toc497752860"/>
      <w:bookmarkStart w:id="26" w:name="_Toc396396767"/>
      <w:bookmarkStart w:id="27" w:name="_Toc432490536"/>
      <w:bookmarkStart w:id="28" w:name="_Toc46417155"/>
      <w:bookmarkStart w:id="29" w:name="_Toc468882202"/>
      <w:bookmarkStart w:id="30" w:name="_Toc445892274"/>
      <w:bookmarkStart w:id="31" w:name="_Toc472961337"/>
      <w:bookmarkStart w:id="32" w:name="_Toc432574963"/>
      <w:bookmarkStart w:id="33" w:name="_Toc445891401"/>
      <w:bookmarkStart w:id="34" w:name="_Toc476489034"/>
      <w:bookmarkStart w:id="35" w:name="_Toc4179"/>
      <w:r>
        <w:rPr>
          <w:rFonts w:ascii="Times New Roman" w:hAnsi="Times New Roman" w:eastAsia="宋体"/>
        </w:rPr>
        <w:br w:type="page"/>
      </w:r>
      <w:bookmarkStart w:id="36" w:name="_Toc65065894"/>
    </w:p>
    <w:p>
      <w:pPr>
        <w:spacing w:line="320" w:lineRule="exact"/>
        <w:jc w:val="center"/>
        <w:rPr>
          <w:rFonts w:ascii="Times New Roman" w:hAnsi="Times New Roman" w:eastAsia="宋体"/>
        </w:rPr>
      </w:pPr>
    </w:p>
    <w:p>
      <w:pPr>
        <w:spacing w:before="156" w:beforeLines="50" w:after="156" w:afterLines="50" w:line="500" w:lineRule="exact"/>
        <w:jc w:val="center"/>
        <w:outlineLvl w:val="0"/>
        <w:rPr>
          <w:rFonts w:ascii="Times New Roman" w:hAnsi="Times New Roman" w:eastAsia="宋体"/>
        </w:rPr>
      </w:pPr>
      <w:r>
        <w:rPr>
          <w:rFonts w:ascii="Times New Roman" w:hAnsi="Times New Roman" w:eastAsia="宋体"/>
          <w:b/>
          <w:sz w:val="44"/>
          <w:szCs w:val="44"/>
        </w:rPr>
        <w:t>注册房地产估价师声明</w:t>
      </w:r>
      <w:bookmarkEnd w:id="24"/>
      <w:bookmarkEnd w:id="25"/>
      <w:bookmarkEnd w:id="26"/>
      <w:bookmarkEnd w:id="27"/>
      <w:bookmarkEnd w:id="28"/>
      <w:bookmarkEnd w:id="29"/>
      <w:bookmarkEnd w:id="30"/>
      <w:bookmarkEnd w:id="31"/>
      <w:bookmarkEnd w:id="32"/>
      <w:bookmarkEnd w:id="33"/>
      <w:bookmarkEnd w:id="34"/>
      <w:bookmarkEnd w:id="35"/>
      <w:bookmarkEnd w:id="36"/>
    </w:p>
    <w:p>
      <w:pPr>
        <w:spacing w:line="500" w:lineRule="exact"/>
        <w:rPr>
          <w:rFonts w:ascii="Times New Roman" w:hAnsi="Times New Roman" w:eastAsia="宋体"/>
          <w:b/>
          <w:sz w:val="28"/>
          <w:szCs w:val="28"/>
        </w:rPr>
      </w:pPr>
      <w:r>
        <w:rPr>
          <w:rFonts w:ascii="Times New Roman" w:hAnsi="Times New Roman" w:eastAsia="宋体"/>
          <w:b/>
          <w:sz w:val="28"/>
          <w:szCs w:val="28"/>
        </w:rPr>
        <w:t>我们根据自己的专业知识和职业道德，在此郑重声明：</w:t>
      </w:r>
    </w:p>
    <w:p>
      <w:pPr>
        <w:numPr>
          <w:ilvl w:val="0"/>
          <w:numId w:val="3"/>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我们在本估价报告中陈述的事实是真实的和准确的，没有虚假记载、误导性陈述和重大遗漏。</w:t>
      </w:r>
    </w:p>
    <w:p>
      <w:pPr>
        <w:numPr>
          <w:ilvl w:val="0"/>
          <w:numId w:val="3"/>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本估价报告中的分析、意见和结论是我们独立、客观、公正的专业分析、意见和结论，但受到本估价报告中已说明的估价假设和限制条件的限制。</w:t>
      </w:r>
    </w:p>
    <w:p>
      <w:pPr>
        <w:numPr>
          <w:ilvl w:val="0"/>
          <w:numId w:val="3"/>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我们与本估价报告中的估价对象没有现实和潜在的利益，与估价委托人及估价利害关系人没有利害关系，也对估价对象、估价委托人及估价利害关系人没有偏见。</w:t>
      </w:r>
    </w:p>
    <w:p>
      <w:pPr>
        <w:numPr>
          <w:ilvl w:val="0"/>
          <w:numId w:val="3"/>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我们依照中华人民共和国国家标准《房地产估价规范》【GB/T 50291-2015】和《房地产估价基本术语标准》【GB/T 50899-2013】进行分析，形成意见和结论，撰写本估价报告。</w:t>
      </w:r>
    </w:p>
    <w:p>
      <w:pPr>
        <w:numPr>
          <w:ilvl w:val="0"/>
          <w:numId w:val="3"/>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我公司注册房地产估价师</w:t>
      </w:r>
      <w:r>
        <w:rPr>
          <w:rFonts w:ascii="Times New Roman" w:hAnsi="Times New Roman" w:eastAsia="宋体"/>
          <w:b/>
          <w:bCs/>
          <w:sz w:val="28"/>
          <w:szCs w:val="28"/>
        </w:rPr>
        <w:t>杨跃军</w:t>
      </w:r>
      <w:r>
        <w:rPr>
          <w:rFonts w:ascii="Times New Roman" w:hAnsi="Times New Roman" w:eastAsia="宋体"/>
          <w:sz w:val="28"/>
          <w:szCs w:val="28"/>
        </w:rPr>
        <w:t>已于</w:t>
      </w:r>
      <w:r>
        <w:rPr>
          <w:rFonts w:ascii="Times New Roman" w:hAnsi="Times New Roman" w:eastAsia="宋体"/>
          <w:b/>
          <w:bCs/>
          <w:sz w:val="28"/>
          <w:szCs w:val="28"/>
        </w:rPr>
        <w:t>2022年04月12日</w:t>
      </w:r>
      <w:r>
        <w:rPr>
          <w:rFonts w:ascii="Times New Roman" w:hAnsi="Times New Roman" w:eastAsia="宋体"/>
          <w:sz w:val="28"/>
          <w:szCs w:val="28"/>
        </w:rPr>
        <w:t>对本估价报告中的估价对象进行了实地查勘，估价人员对估价对象的查看限于估价对象的外观和使用状况，估价人员不承担对估价对象建筑结构质量进行调查的责任，也不承担对其他被遮盖未暴露及难于接触到的部分进行查看的责任。</w:t>
      </w:r>
    </w:p>
    <w:p>
      <w:pPr>
        <w:numPr>
          <w:ilvl w:val="0"/>
          <w:numId w:val="3"/>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没有人对本估价报告提供了重要专业帮助。</w:t>
      </w:r>
    </w:p>
    <w:p>
      <w:pPr>
        <w:numPr>
          <w:ilvl w:val="0"/>
          <w:numId w:val="3"/>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参与本次估价的工作人员</w:t>
      </w:r>
    </w:p>
    <w:tbl>
      <w:tblPr>
        <w:tblStyle w:val="21"/>
        <w:tblW w:w="5000" w:type="pct"/>
        <w:tblInd w:w="0" w:type="dxa"/>
        <w:tblLayout w:type="autofit"/>
        <w:tblCellMar>
          <w:top w:w="0" w:type="dxa"/>
          <w:left w:w="108" w:type="dxa"/>
          <w:bottom w:w="0" w:type="dxa"/>
          <w:right w:w="108" w:type="dxa"/>
        </w:tblCellMar>
      </w:tblPr>
      <w:tblGrid>
        <w:gridCol w:w="2216"/>
        <w:gridCol w:w="2495"/>
        <w:gridCol w:w="2495"/>
        <w:gridCol w:w="2647"/>
      </w:tblGrid>
      <w:tr>
        <w:tblPrEx>
          <w:tblCellMar>
            <w:top w:w="0" w:type="dxa"/>
            <w:left w:w="108" w:type="dxa"/>
            <w:bottom w:w="0" w:type="dxa"/>
            <w:right w:w="108" w:type="dxa"/>
          </w:tblCellMar>
        </w:tblPrEx>
        <w:trPr>
          <w:trHeight w:val="600" w:hRule="atLeast"/>
        </w:trPr>
        <w:tc>
          <w:tcPr>
            <w:tcW w:w="5000" w:type="pct"/>
            <w:gridSpan w:val="4"/>
            <w:tcBorders>
              <w:top w:val="nil"/>
              <w:left w:val="nil"/>
              <w:bottom w:val="nil"/>
              <w:right w:val="nil"/>
            </w:tcBorders>
            <w:noWrap/>
            <w:vAlign w:val="center"/>
          </w:tcPr>
          <w:p>
            <w:pPr>
              <w:widowControl/>
              <w:jc w:val="center"/>
              <w:rPr>
                <w:rFonts w:ascii="Times New Roman" w:hAnsi="Times New Roman" w:eastAsia="宋体"/>
                <w:b/>
                <w:bCs/>
                <w:kern w:val="0"/>
                <w:sz w:val="28"/>
                <w:szCs w:val="28"/>
              </w:rPr>
            </w:pPr>
            <w:bookmarkStart w:id="37" w:name="_Toc396396768"/>
            <w:bookmarkStart w:id="38" w:name="_Toc432574964"/>
            <w:bookmarkStart w:id="39" w:name="_Toc432490537"/>
            <w:r>
              <w:rPr>
                <w:rFonts w:ascii="Times New Roman" w:hAnsi="Times New Roman" w:eastAsia="宋体"/>
                <w:b/>
                <w:bCs/>
                <w:kern w:val="0"/>
                <w:sz w:val="28"/>
                <w:szCs w:val="28"/>
              </w:rPr>
              <w:t>参加估价的注册房地产估价师</w:t>
            </w:r>
          </w:p>
        </w:tc>
      </w:tr>
      <w:tr>
        <w:tblPrEx>
          <w:tblCellMar>
            <w:top w:w="0" w:type="dxa"/>
            <w:left w:w="108" w:type="dxa"/>
            <w:bottom w:w="0" w:type="dxa"/>
            <w:right w:w="108" w:type="dxa"/>
          </w:tblCellMar>
        </w:tblPrEx>
        <w:trPr>
          <w:trHeight w:val="600" w:hRule="atLeast"/>
        </w:trPr>
        <w:tc>
          <w:tcPr>
            <w:tcW w:w="11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姓  名</w:t>
            </w:r>
          </w:p>
        </w:tc>
        <w:tc>
          <w:tcPr>
            <w:tcW w:w="126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注册号</w:t>
            </w:r>
          </w:p>
        </w:tc>
        <w:tc>
          <w:tcPr>
            <w:tcW w:w="126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签  名</w:t>
            </w:r>
          </w:p>
        </w:tc>
        <w:tc>
          <w:tcPr>
            <w:tcW w:w="134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签名日期</w:t>
            </w:r>
          </w:p>
        </w:tc>
      </w:tr>
      <w:tr>
        <w:tblPrEx>
          <w:tblCellMar>
            <w:top w:w="0" w:type="dxa"/>
            <w:left w:w="108" w:type="dxa"/>
            <w:bottom w:w="0" w:type="dxa"/>
            <w:right w:w="108" w:type="dxa"/>
          </w:tblCellMar>
        </w:tblPrEx>
        <w:trPr>
          <w:trHeight w:val="600" w:hRule="atLeast"/>
        </w:trPr>
        <w:tc>
          <w:tcPr>
            <w:tcW w:w="1125"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杨跃军</w:t>
            </w:r>
          </w:p>
        </w:tc>
        <w:tc>
          <w:tcPr>
            <w:tcW w:w="1266"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sz w:val="28"/>
                <w:szCs w:val="28"/>
              </w:rPr>
              <w:t>5220210042</w:t>
            </w:r>
          </w:p>
        </w:tc>
        <w:tc>
          <w:tcPr>
            <w:tcW w:w="1266"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　</w:t>
            </w:r>
          </w:p>
        </w:tc>
        <w:tc>
          <w:tcPr>
            <w:tcW w:w="1343" w:type="pct"/>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2022年04月25日　</w:t>
            </w:r>
          </w:p>
        </w:tc>
      </w:tr>
      <w:tr>
        <w:tblPrEx>
          <w:tblCellMar>
            <w:top w:w="0" w:type="dxa"/>
            <w:left w:w="108" w:type="dxa"/>
            <w:bottom w:w="0" w:type="dxa"/>
            <w:right w:w="108" w:type="dxa"/>
          </w:tblCellMar>
        </w:tblPrEx>
        <w:trPr>
          <w:trHeight w:val="600" w:hRule="atLeast"/>
        </w:trPr>
        <w:tc>
          <w:tcPr>
            <w:tcW w:w="1125"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 w:val="28"/>
                <w:szCs w:val="28"/>
                <w:highlight w:val="yellow"/>
              </w:rPr>
            </w:pPr>
            <w:r>
              <w:rPr>
                <w:rFonts w:ascii="Times New Roman" w:hAnsi="Times New Roman" w:eastAsia="宋体"/>
                <w:kern w:val="0"/>
                <w:sz w:val="28"/>
                <w:szCs w:val="28"/>
              </w:rPr>
              <w:t>杨再成</w:t>
            </w:r>
          </w:p>
        </w:tc>
        <w:tc>
          <w:tcPr>
            <w:tcW w:w="1266"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sz w:val="28"/>
                <w:szCs w:val="28"/>
              </w:rPr>
            </w:pPr>
            <w:r>
              <w:rPr>
                <w:rFonts w:ascii="Times New Roman" w:hAnsi="Times New Roman" w:eastAsia="宋体"/>
                <w:sz w:val="28"/>
                <w:szCs w:val="28"/>
              </w:rPr>
              <w:t>5220190057</w:t>
            </w:r>
          </w:p>
        </w:tc>
        <w:tc>
          <w:tcPr>
            <w:tcW w:w="1266"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sz w:val="28"/>
                <w:szCs w:val="28"/>
              </w:rPr>
            </w:pPr>
            <w:r>
              <w:rPr>
                <w:rFonts w:ascii="Times New Roman" w:hAnsi="Times New Roman" w:eastAsia="宋体"/>
                <w:sz w:val="28"/>
                <w:szCs w:val="28"/>
              </w:rPr>
              <w:t>　</w:t>
            </w:r>
          </w:p>
        </w:tc>
        <w:tc>
          <w:tcPr>
            <w:tcW w:w="1343" w:type="pct"/>
            <w:tcBorders>
              <w:top w:val="nil"/>
              <w:left w:val="nil"/>
              <w:bottom w:val="single" w:color="auto" w:sz="4" w:space="0"/>
              <w:right w:val="single" w:color="auto" w:sz="4" w:space="0"/>
            </w:tcBorders>
            <w:noWrap/>
            <w:vAlign w:val="center"/>
          </w:tcPr>
          <w:p>
            <w:pPr>
              <w:widowControl/>
              <w:jc w:val="center"/>
              <w:rPr>
                <w:rFonts w:ascii="Times New Roman" w:hAnsi="Times New Roman" w:eastAsia="宋体"/>
                <w:sz w:val="28"/>
                <w:szCs w:val="28"/>
              </w:rPr>
            </w:pPr>
            <w:r>
              <w:rPr>
                <w:rFonts w:ascii="Times New Roman" w:hAnsi="Times New Roman" w:eastAsia="宋体"/>
                <w:sz w:val="28"/>
                <w:szCs w:val="28"/>
              </w:rPr>
              <w:t>2022年04月25日</w:t>
            </w:r>
          </w:p>
        </w:tc>
      </w:tr>
    </w:tbl>
    <w:p>
      <w:pPr>
        <w:widowControl/>
        <w:jc w:val="left"/>
        <w:rPr>
          <w:rFonts w:ascii="Times New Roman" w:hAnsi="Times New Roman" w:eastAsia="宋体"/>
        </w:rPr>
      </w:pPr>
      <w:bookmarkStart w:id="40" w:name="_Toc445891402"/>
      <w:bookmarkStart w:id="41" w:name="_Toc47874177"/>
      <w:bookmarkStart w:id="42" w:name="_Toc497752861"/>
      <w:bookmarkStart w:id="43" w:name="_Toc28525"/>
      <w:bookmarkStart w:id="44" w:name="_Toc445892275"/>
      <w:bookmarkStart w:id="45" w:name="_Toc46417156"/>
      <w:bookmarkStart w:id="46" w:name="_Toc472961338"/>
      <w:bookmarkStart w:id="47" w:name="_Toc65065895"/>
      <w:bookmarkStart w:id="48" w:name="_Toc476489035"/>
      <w:bookmarkStart w:id="49" w:name="_Toc468882203"/>
      <w:r>
        <w:rPr>
          <w:rFonts w:ascii="Times New Roman" w:hAnsi="Times New Roman" w:eastAsia="宋体"/>
        </w:rPr>
        <w:br w:type="page"/>
      </w:r>
    </w:p>
    <w:p>
      <w:pPr>
        <w:spacing w:line="400" w:lineRule="exact"/>
        <w:jc w:val="center"/>
        <w:rPr>
          <w:rFonts w:ascii="Times New Roman" w:hAnsi="Times New Roman" w:eastAsia="宋体"/>
        </w:rPr>
      </w:pPr>
    </w:p>
    <w:p>
      <w:pPr>
        <w:spacing w:before="156" w:beforeLines="50" w:after="156" w:afterLines="50" w:line="500" w:lineRule="exact"/>
        <w:jc w:val="center"/>
        <w:outlineLvl w:val="0"/>
        <w:rPr>
          <w:rFonts w:ascii="Times New Roman" w:hAnsi="Times New Roman" w:eastAsia="宋体"/>
        </w:rPr>
      </w:pPr>
      <w:r>
        <w:rPr>
          <w:rFonts w:ascii="Times New Roman" w:hAnsi="Times New Roman" w:eastAsia="宋体"/>
          <w:b/>
          <w:sz w:val="44"/>
          <w:szCs w:val="44"/>
        </w:rPr>
        <w:t>估价的假设和限制条件</w:t>
      </w:r>
      <w:bookmarkEnd w:id="37"/>
      <w:bookmarkEnd w:id="38"/>
      <w:bookmarkEnd w:id="39"/>
      <w:bookmarkEnd w:id="40"/>
      <w:bookmarkEnd w:id="41"/>
      <w:bookmarkEnd w:id="42"/>
      <w:bookmarkEnd w:id="43"/>
      <w:bookmarkEnd w:id="44"/>
      <w:bookmarkEnd w:id="45"/>
      <w:bookmarkEnd w:id="46"/>
      <w:bookmarkEnd w:id="47"/>
      <w:bookmarkEnd w:id="48"/>
      <w:bookmarkEnd w:id="49"/>
    </w:p>
    <w:p>
      <w:pPr>
        <w:spacing w:line="480" w:lineRule="exact"/>
        <w:ind w:firstLine="560" w:firstLineChars="200"/>
        <w:outlineLvl w:val="1"/>
        <w:rPr>
          <w:rFonts w:ascii="Times New Roman" w:hAnsi="Times New Roman" w:eastAsia="宋体"/>
          <w:b/>
          <w:sz w:val="28"/>
          <w:szCs w:val="28"/>
        </w:rPr>
      </w:pPr>
      <w:bookmarkStart w:id="50" w:name="_Toc65065896"/>
      <w:bookmarkStart w:id="51" w:name="_Toc47874178"/>
      <w:r>
        <w:rPr>
          <w:rFonts w:ascii="Times New Roman" w:hAnsi="Times New Roman" w:eastAsia="宋体"/>
          <w:b/>
          <w:sz w:val="28"/>
          <w:szCs w:val="28"/>
        </w:rPr>
        <w:t>一、一般假设：</w:t>
      </w:r>
      <w:bookmarkEnd w:id="50"/>
      <w:bookmarkEnd w:id="51"/>
    </w:p>
    <w:p>
      <w:pPr>
        <w:numPr>
          <w:ilvl w:val="0"/>
          <w:numId w:val="4"/>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委托人提供了估价对象的《贵州省不动产登记查询结果》《房屋所有权证》《房屋所有权登记审批表》及《国有土地使用证》资料复印件，我们认真核查了估价委托人提供的资料，在无理由怀疑其合法性、真实性、准确性和完整性的情况下，假定估价委托人提供的资料合法、真实、准确、完整。估价人员及估价机构不对上述资料的合法、真实、准确、完整性负责。</w:t>
      </w:r>
    </w:p>
    <w:p>
      <w:pPr>
        <w:numPr>
          <w:ilvl w:val="0"/>
          <w:numId w:val="4"/>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本次估价以委托人提供的估价对象《贵州省不动产登记查询结果》《房屋所有权证》《房屋所有权登记审批表》及《国有土地使用证》资料复印件所记载数据及内容为准进行相关说明和测算。</w:t>
      </w:r>
    </w:p>
    <w:p>
      <w:pPr>
        <w:numPr>
          <w:ilvl w:val="0"/>
          <w:numId w:val="4"/>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我们已对房屋安全、环境污染等影响估价对象价值的重大因素给予了关注，在无理由怀疑估价对象存在安全隐患且无相应的专业机构进行鉴定、检测的情况下，假定估价对象房屋是安全的，在建筑物耐用年限内能正常使用。</w:t>
      </w:r>
    </w:p>
    <w:p>
      <w:pPr>
        <w:numPr>
          <w:ilvl w:val="0"/>
          <w:numId w:val="4"/>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估价对象在价值时点的房地产市场为公开、平等、自愿的交易市场，即能满足以下条件：</w:t>
      </w:r>
    </w:p>
    <w:p>
      <w:pPr>
        <w:pStyle w:val="82"/>
        <w:numPr>
          <w:ilvl w:val="0"/>
          <w:numId w:val="5"/>
        </w:numPr>
        <w:spacing w:line="500" w:lineRule="exact"/>
        <w:ind w:left="0" w:firstLine="560"/>
        <w:rPr>
          <w:rFonts w:ascii="Times New Roman" w:hAnsi="Times New Roman" w:eastAsia="宋体"/>
          <w:sz w:val="28"/>
          <w:szCs w:val="28"/>
        </w:rPr>
      </w:pPr>
      <w:r>
        <w:rPr>
          <w:rFonts w:ascii="Times New Roman" w:hAnsi="Times New Roman" w:eastAsia="宋体"/>
          <w:sz w:val="28"/>
          <w:szCs w:val="28"/>
        </w:rPr>
        <w:t>交易双方自愿地进行交易；</w:t>
      </w:r>
    </w:p>
    <w:p>
      <w:pPr>
        <w:pStyle w:val="82"/>
        <w:numPr>
          <w:ilvl w:val="0"/>
          <w:numId w:val="5"/>
        </w:numPr>
        <w:spacing w:line="500" w:lineRule="exact"/>
        <w:ind w:left="0" w:firstLine="560"/>
        <w:rPr>
          <w:rFonts w:ascii="Times New Roman" w:hAnsi="Times New Roman" w:eastAsia="宋体"/>
          <w:sz w:val="28"/>
          <w:szCs w:val="28"/>
        </w:rPr>
      </w:pPr>
      <w:r>
        <w:rPr>
          <w:rFonts w:ascii="Times New Roman" w:hAnsi="Times New Roman" w:eastAsia="宋体"/>
          <w:sz w:val="28"/>
          <w:szCs w:val="28"/>
        </w:rPr>
        <w:t>交易双方处于利己动机进行交易；</w:t>
      </w:r>
    </w:p>
    <w:p>
      <w:pPr>
        <w:pStyle w:val="82"/>
        <w:numPr>
          <w:ilvl w:val="0"/>
          <w:numId w:val="5"/>
        </w:numPr>
        <w:spacing w:line="500" w:lineRule="exact"/>
        <w:ind w:left="0" w:firstLine="560"/>
        <w:rPr>
          <w:rFonts w:ascii="Times New Roman" w:hAnsi="Times New Roman" w:eastAsia="宋体"/>
          <w:sz w:val="28"/>
          <w:szCs w:val="28"/>
        </w:rPr>
      </w:pPr>
      <w:r>
        <w:rPr>
          <w:rFonts w:ascii="Times New Roman" w:hAnsi="Times New Roman" w:eastAsia="宋体"/>
          <w:sz w:val="28"/>
          <w:szCs w:val="28"/>
        </w:rPr>
        <w:t>交易双方精明、谨慎行事，并了解交易对象、知晓市场行情；</w:t>
      </w:r>
    </w:p>
    <w:p>
      <w:pPr>
        <w:pStyle w:val="82"/>
        <w:numPr>
          <w:ilvl w:val="0"/>
          <w:numId w:val="5"/>
        </w:numPr>
        <w:spacing w:line="500" w:lineRule="exact"/>
        <w:ind w:left="0" w:firstLine="560"/>
        <w:rPr>
          <w:rFonts w:ascii="Times New Roman" w:hAnsi="Times New Roman" w:eastAsia="宋体"/>
          <w:sz w:val="28"/>
          <w:szCs w:val="28"/>
        </w:rPr>
      </w:pPr>
      <w:r>
        <w:rPr>
          <w:rFonts w:ascii="Times New Roman" w:hAnsi="Times New Roman" w:eastAsia="宋体"/>
          <w:sz w:val="28"/>
          <w:szCs w:val="28"/>
        </w:rPr>
        <w:t>交易双方有较充裕的时间进行交易；</w:t>
      </w:r>
    </w:p>
    <w:p>
      <w:pPr>
        <w:pStyle w:val="82"/>
        <w:numPr>
          <w:ilvl w:val="0"/>
          <w:numId w:val="5"/>
        </w:numPr>
        <w:spacing w:line="500" w:lineRule="exact"/>
        <w:ind w:left="0" w:firstLine="560"/>
        <w:rPr>
          <w:rFonts w:ascii="Times New Roman" w:hAnsi="Times New Roman" w:eastAsia="宋体"/>
          <w:sz w:val="28"/>
          <w:szCs w:val="28"/>
        </w:rPr>
      </w:pPr>
      <w:r>
        <w:rPr>
          <w:rFonts w:ascii="Times New Roman" w:hAnsi="Times New Roman" w:eastAsia="宋体"/>
          <w:sz w:val="28"/>
          <w:szCs w:val="28"/>
        </w:rPr>
        <w:t>在此期间物业价值将保持稳定；</w:t>
      </w:r>
    </w:p>
    <w:p>
      <w:pPr>
        <w:pStyle w:val="82"/>
        <w:numPr>
          <w:ilvl w:val="0"/>
          <w:numId w:val="5"/>
        </w:numPr>
        <w:spacing w:line="500" w:lineRule="exact"/>
        <w:ind w:left="0" w:firstLine="560"/>
        <w:rPr>
          <w:rFonts w:ascii="Times New Roman" w:hAnsi="Times New Roman" w:eastAsia="宋体"/>
          <w:sz w:val="28"/>
          <w:szCs w:val="28"/>
        </w:rPr>
      </w:pPr>
      <w:r>
        <w:rPr>
          <w:rFonts w:ascii="Times New Roman" w:hAnsi="Times New Roman" w:eastAsia="宋体"/>
          <w:sz w:val="28"/>
          <w:szCs w:val="28"/>
        </w:rPr>
        <w:t>不存在买者因特殊兴趣而给予附加出价。</w:t>
      </w:r>
    </w:p>
    <w:p>
      <w:pPr>
        <w:numPr>
          <w:ilvl w:val="0"/>
          <w:numId w:val="4"/>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本次估价交易税费负担方式按照法律法规规定，转让方和受让方各自负担。</w:t>
      </w:r>
    </w:p>
    <w:p>
      <w:pPr>
        <w:numPr>
          <w:ilvl w:val="0"/>
          <w:numId w:val="4"/>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估价对象均应享有公共区域的通行权及水电等共用设施的使用权。</w:t>
      </w:r>
    </w:p>
    <w:p>
      <w:pPr>
        <w:numPr>
          <w:ilvl w:val="0"/>
          <w:numId w:val="4"/>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本次评估，假设</w:t>
      </w:r>
      <w:r>
        <w:rPr>
          <w:rFonts w:ascii="Times New Roman" w:hAnsi="Times New Roman" w:eastAsia="宋体"/>
          <w:bCs/>
          <w:sz w:val="28"/>
          <w:szCs w:val="28"/>
        </w:rPr>
        <w:t>估价对象不存在欠缴税金及相关费用，包括但不限于税收、物业费、水电费等及其滞纳金</w:t>
      </w:r>
      <w:r>
        <w:rPr>
          <w:rFonts w:ascii="Times New Roman" w:hAnsi="Times New Roman" w:eastAsia="宋体"/>
          <w:sz w:val="28"/>
          <w:szCs w:val="28"/>
        </w:rPr>
        <w:t>。</w:t>
      </w:r>
    </w:p>
    <w:p>
      <w:pPr>
        <w:numPr>
          <w:ilvl w:val="0"/>
          <w:numId w:val="4"/>
        </w:numPr>
        <w:spacing w:line="500" w:lineRule="exact"/>
        <w:ind w:left="0" w:firstLine="560" w:firstLineChars="200"/>
        <w:rPr>
          <w:rFonts w:ascii="Times New Roman" w:hAnsi="Times New Roman" w:eastAsia="宋体"/>
          <w:sz w:val="28"/>
          <w:szCs w:val="28"/>
        </w:rPr>
      </w:pPr>
      <w:r>
        <w:rPr>
          <w:rFonts w:ascii="Times New Roman" w:hAnsi="Times New Roman" w:eastAsia="宋体"/>
          <w:bCs/>
          <w:sz w:val="28"/>
          <w:szCs w:val="28"/>
        </w:rPr>
        <w:t>本次评估，假设估价对象不存在租赁权、用益物权及占有使用情况。</w:t>
      </w:r>
    </w:p>
    <w:p>
      <w:pPr>
        <w:numPr>
          <w:ilvl w:val="0"/>
          <w:numId w:val="4"/>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本次估价采用收益法进行测算时，根据估价对象及其附近地区类似房地产的租金变化情况和对未来同类房地产市场分析，假定每年的报酬率是固定的，且未来现金流均发生在期末。类似混合结构建筑物经济寿命年限为50年，截止到价值时点，建筑物剩余经济耐用年限尚可使用43.75年；根据委托人所提供的资料中登载内容，土地使用权类型为划拨，无土地使用权年限限制。根据“孰短原则”，确定收益年限为43.75年。</w:t>
      </w:r>
    </w:p>
    <w:p>
      <w:pPr>
        <w:numPr>
          <w:ilvl w:val="0"/>
          <w:numId w:val="4"/>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由于委托人提供的《委托书》【（2022）黔0524执816号】中未载明价值时点，则本次估价价值时点为实地查勘之日，即2022年04月12日。本次估价以估价对象于价值时点的权益状况、区位状况及实物状况为估价前提。</w:t>
      </w:r>
    </w:p>
    <w:p>
      <w:pPr>
        <w:numPr>
          <w:ilvl w:val="0"/>
          <w:numId w:val="6"/>
        </w:numPr>
        <w:spacing w:line="500" w:lineRule="exact"/>
        <w:ind w:firstLine="560" w:firstLineChars="200"/>
        <w:outlineLvl w:val="1"/>
        <w:rPr>
          <w:rFonts w:ascii="Times New Roman" w:hAnsi="Times New Roman" w:eastAsia="宋体"/>
          <w:sz w:val="28"/>
          <w:szCs w:val="28"/>
        </w:rPr>
      </w:pPr>
      <w:bookmarkStart w:id="52" w:name="_Toc65065897"/>
      <w:bookmarkStart w:id="53" w:name="_Toc47874179"/>
      <w:r>
        <w:rPr>
          <w:rFonts w:ascii="Times New Roman" w:hAnsi="Times New Roman" w:eastAsia="宋体"/>
          <w:b/>
          <w:sz w:val="28"/>
          <w:szCs w:val="28"/>
        </w:rPr>
        <w:t>未定事项假设：</w:t>
      </w:r>
      <w:bookmarkEnd w:id="52"/>
      <w:bookmarkEnd w:id="53"/>
    </w:p>
    <w:p>
      <w:pPr>
        <w:spacing w:line="500" w:lineRule="exact"/>
        <w:ind w:firstLine="560" w:firstLineChars="200"/>
        <w:rPr>
          <w:rFonts w:ascii="Times New Roman" w:hAnsi="Times New Roman" w:eastAsia="宋体"/>
          <w:i/>
          <w:iCs/>
          <w:sz w:val="28"/>
          <w:szCs w:val="28"/>
        </w:rPr>
      </w:pPr>
      <w:r>
        <w:rPr>
          <w:rFonts w:ascii="Times New Roman" w:hAnsi="Times New Roman" w:eastAsia="宋体"/>
          <w:sz w:val="28"/>
          <w:szCs w:val="28"/>
        </w:rPr>
        <w:t>1.根据委托人提供的估价对象相关资料，未载明估价对象的建成时间，通过估价人员现场调查，估价对象所在楼栋建成年代为2015年，本次估价房屋建成年份以实际调查为准。</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2.根据估价委托人提供的资料，均未记载估价对象的容积率，本次估价采用的容积率以估价对象实际容积率为准。</w:t>
      </w:r>
    </w:p>
    <w:p>
      <w:pPr>
        <w:spacing w:line="500" w:lineRule="exact"/>
        <w:ind w:firstLine="560" w:firstLineChars="200"/>
        <w:outlineLvl w:val="1"/>
        <w:rPr>
          <w:rFonts w:ascii="Times New Roman" w:hAnsi="Times New Roman" w:eastAsia="宋体"/>
          <w:sz w:val="28"/>
          <w:szCs w:val="28"/>
        </w:rPr>
      </w:pPr>
      <w:bookmarkStart w:id="54" w:name="_Toc65065898"/>
      <w:bookmarkStart w:id="55" w:name="_Toc47874180"/>
      <w:r>
        <w:rPr>
          <w:rFonts w:ascii="Times New Roman" w:hAnsi="Times New Roman" w:eastAsia="宋体"/>
          <w:b/>
          <w:sz w:val="28"/>
          <w:szCs w:val="28"/>
        </w:rPr>
        <w:t>三、背离事实假设：</w:t>
      </w:r>
      <w:bookmarkEnd w:id="54"/>
      <w:bookmarkEnd w:id="55"/>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依据《房地产估价规范》(GB/T 50291-2015)5.4.2规定，房地产司法拍卖估价中，不应包括拍卖房地产被查封及拍卖房地产上原有的担保物权和其他优先受偿权。故本次估价假定估价对象于价值时点无查封、无担保物权和其他优先受偿权。</w:t>
      </w:r>
    </w:p>
    <w:p>
      <w:pPr>
        <w:spacing w:line="500" w:lineRule="exact"/>
        <w:ind w:firstLine="560" w:firstLineChars="200"/>
        <w:outlineLvl w:val="1"/>
        <w:rPr>
          <w:rFonts w:ascii="Times New Roman" w:hAnsi="Times New Roman" w:eastAsia="宋体"/>
          <w:sz w:val="28"/>
          <w:szCs w:val="28"/>
        </w:rPr>
      </w:pPr>
      <w:bookmarkStart w:id="56" w:name="_Toc65065899"/>
      <w:bookmarkStart w:id="57" w:name="_Toc47874181"/>
      <w:r>
        <w:rPr>
          <w:rFonts w:ascii="Times New Roman" w:hAnsi="Times New Roman" w:eastAsia="宋体"/>
          <w:b/>
          <w:sz w:val="28"/>
          <w:szCs w:val="28"/>
        </w:rPr>
        <w:t>四、不相一致假设：</w:t>
      </w:r>
      <w:bookmarkEnd w:id="56"/>
      <w:bookmarkEnd w:id="57"/>
      <w:r>
        <w:rPr>
          <w:rFonts w:ascii="Times New Roman" w:hAnsi="Times New Roman" w:eastAsia="宋体"/>
          <w:sz w:val="28"/>
          <w:szCs w:val="28"/>
        </w:rPr>
        <w:t xml:space="preserve"> </w:t>
      </w:r>
    </w:p>
    <w:p>
      <w:pPr>
        <w:spacing w:line="500" w:lineRule="exact"/>
        <w:ind w:firstLine="560" w:firstLineChars="200"/>
        <w:rPr>
          <w:rFonts w:ascii="Times New Roman" w:hAnsi="Times New Roman" w:eastAsia="宋体"/>
          <w:sz w:val="28"/>
          <w:szCs w:val="28"/>
        </w:rPr>
      </w:pPr>
      <w:r>
        <w:rPr>
          <w:rFonts w:hint="eastAsia" w:ascii="Times New Roman" w:hAnsi="Times New Roman" w:eastAsia="宋体"/>
          <w:sz w:val="28"/>
          <w:szCs w:val="28"/>
        </w:rPr>
        <w:t>估价对象《国有土地使用证》登载土地用途为住宅用地，其《房屋所有权证》登载估价</w:t>
      </w:r>
      <w:r>
        <w:rPr>
          <w:rFonts w:ascii="Times New Roman" w:hAnsi="Times New Roman" w:eastAsia="宋体"/>
          <w:sz w:val="28"/>
          <w:szCs w:val="28"/>
        </w:rPr>
        <w:t>对象规划用途为住宅、商业用房。权属资料登载估价对象用途不一致，经现场查勘</w:t>
      </w:r>
      <w:r>
        <w:rPr>
          <w:rFonts w:hint="eastAsia" w:ascii="Times New Roman" w:hAnsi="Times New Roman" w:eastAsia="宋体"/>
          <w:sz w:val="28"/>
          <w:szCs w:val="28"/>
        </w:rPr>
        <w:t>了解</w:t>
      </w:r>
      <w:r>
        <w:rPr>
          <w:rFonts w:ascii="Times New Roman" w:hAnsi="Times New Roman" w:eastAsia="宋体"/>
          <w:sz w:val="28"/>
          <w:szCs w:val="28"/>
        </w:rPr>
        <w:t>到，</w:t>
      </w:r>
      <w:r>
        <w:rPr>
          <w:rFonts w:hint="eastAsia" w:ascii="Times New Roman" w:hAnsi="Times New Roman" w:eastAsia="宋体"/>
          <w:sz w:val="28"/>
          <w:szCs w:val="28"/>
        </w:rPr>
        <w:t>估价</w:t>
      </w:r>
      <w:r>
        <w:rPr>
          <w:rFonts w:ascii="Times New Roman" w:hAnsi="Times New Roman" w:eastAsia="宋体"/>
          <w:sz w:val="28"/>
          <w:szCs w:val="28"/>
        </w:rPr>
        <w:t>对象</w:t>
      </w:r>
      <w:r>
        <w:rPr>
          <w:rFonts w:hint="eastAsia" w:ascii="Times New Roman" w:hAnsi="Times New Roman" w:eastAsia="宋体"/>
          <w:sz w:val="28"/>
          <w:szCs w:val="28"/>
        </w:rPr>
        <w:t>2层(实际为临路第一层</w:t>
      </w:r>
      <w:r>
        <w:rPr>
          <w:rFonts w:ascii="Times New Roman" w:hAnsi="Times New Roman" w:eastAsia="宋体"/>
          <w:sz w:val="28"/>
          <w:szCs w:val="28"/>
        </w:rPr>
        <w:t>)建筑物前半部分</w:t>
      </w:r>
      <w:r>
        <w:rPr>
          <w:rFonts w:hint="eastAsia" w:ascii="Times New Roman" w:hAnsi="Times New Roman" w:eastAsia="宋体"/>
          <w:sz w:val="28"/>
          <w:szCs w:val="28"/>
        </w:rPr>
        <w:t>(</w:t>
      </w:r>
      <w:r>
        <w:rPr>
          <w:rFonts w:ascii="Times New Roman" w:hAnsi="Times New Roman" w:eastAsia="宋体"/>
          <w:sz w:val="28"/>
          <w:szCs w:val="28"/>
        </w:rPr>
        <w:t>以楼梯</w:t>
      </w:r>
      <w:r>
        <w:rPr>
          <w:rFonts w:hint="eastAsia" w:ascii="Times New Roman" w:hAnsi="Times New Roman" w:eastAsia="宋体"/>
          <w:sz w:val="28"/>
          <w:szCs w:val="28"/>
        </w:rPr>
        <w:t>、天井</w:t>
      </w:r>
      <w:r>
        <w:rPr>
          <w:rFonts w:ascii="Times New Roman" w:hAnsi="Times New Roman" w:eastAsia="宋体"/>
          <w:sz w:val="28"/>
          <w:szCs w:val="28"/>
        </w:rPr>
        <w:t>为界)为商业用房</w:t>
      </w:r>
      <w:r>
        <w:rPr>
          <w:rFonts w:hint="eastAsia" w:ascii="Times New Roman" w:hAnsi="Times New Roman" w:eastAsia="宋体"/>
          <w:sz w:val="28"/>
          <w:szCs w:val="28"/>
        </w:rPr>
        <w:t>，建筑面积为1</w:t>
      </w:r>
      <w:r>
        <w:rPr>
          <w:rFonts w:ascii="Times New Roman" w:hAnsi="Times New Roman" w:eastAsia="宋体"/>
          <w:sz w:val="28"/>
          <w:szCs w:val="28"/>
        </w:rPr>
        <w:t>56.30</w:t>
      </w:r>
      <w:r>
        <w:rPr>
          <w:rFonts w:hint="eastAsia" w:ascii="Times New Roman" w:hAnsi="Times New Roman" w:eastAsia="宋体"/>
          <w:sz w:val="28"/>
          <w:szCs w:val="28"/>
        </w:rPr>
        <w:t>平方米</w:t>
      </w:r>
      <w:r>
        <w:rPr>
          <w:rFonts w:ascii="Times New Roman" w:hAnsi="Times New Roman" w:eastAsia="宋体"/>
          <w:sz w:val="28"/>
          <w:szCs w:val="28"/>
        </w:rPr>
        <w:t>。故本次评估</w:t>
      </w:r>
      <w:r>
        <w:rPr>
          <w:rFonts w:hint="eastAsia" w:ascii="Times New Roman" w:hAnsi="Times New Roman" w:eastAsia="宋体"/>
          <w:sz w:val="28"/>
          <w:szCs w:val="28"/>
        </w:rPr>
        <w:t>根据最高最佳利用原则</w:t>
      </w:r>
      <w:r>
        <w:rPr>
          <w:rFonts w:ascii="Times New Roman" w:hAnsi="Times New Roman" w:eastAsia="宋体"/>
          <w:sz w:val="28"/>
          <w:szCs w:val="28"/>
        </w:rPr>
        <w:t>假定</w:t>
      </w:r>
      <w:r>
        <w:rPr>
          <w:rFonts w:hint="eastAsia" w:ascii="Times New Roman" w:hAnsi="Times New Roman" w:eastAsia="宋体"/>
          <w:sz w:val="28"/>
          <w:szCs w:val="28"/>
        </w:rPr>
        <w:t>估价</w:t>
      </w:r>
      <w:r>
        <w:rPr>
          <w:rFonts w:ascii="Times New Roman" w:hAnsi="Times New Roman" w:eastAsia="宋体"/>
          <w:sz w:val="28"/>
          <w:szCs w:val="28"/>
        </w:rPr>
        <w:t>对象</w:t>
      </w:r>
      <w:r>
        <w:rPr>
          <w:rFonts w:hint="eastAsia" w:ascii="Times New Roman" w:hAnsi="Times New Roman" w:eastAsia="宋体"/>
          <w:sz w:val="28"/>
          <w:szCs w:val="28"/>
        </w:rPr>
        <w:t>2层(实际为临路第一层</w:t>
      </w:r>
      <w:r>
        <w:rPr>
          <w:rFonts w:ascii="Times New Roman" w:hAnsi="Times New Roman" w:eastAsia="宋体"/>
          <w:sz w:val="28"/>
          <w:szCs w:val="28"/>
        </w:rPr>
        <w:t>)建筑物前半部分</w:t>
      </w:r>
      <w:r>
        <w:rPr>
          <w:rFonts w:hint="eastAsia" w:ascii="Times New Roman" w:hAnsi="Times New Roman" w:eastAsia="宋体"/>
          <w:sz w:val="28"/>
          <w:szCs w:val="28"/>
        </w:rPr>
        <w:t>(</w:t>
      </w:r>
      <w:r>
        <w:rPr>
          <w:rFonts w:ascii="Times New Roman" w:hAnsi="Times New Roman" w:eastAsia="宋体"/>
          <w:sz w:val="28"/>
          <w:szCs w:val="28"/>
        </w:rPr>
        <w:t>以楼梯</w:t>
      </w:r>
      <w:r>
        <w:rPr>
          <w:rFonts w:hint="eastAsia" w:ascii="Times New Roman" w:hAnsi="Times New Roman" w:eastAsia="宋体"/>
          <w:sz w:val="28"/>
          <w:szCs w:val="28"/>
        </w:rPr>
        <w:t>、天井</w:t>
      </w:r>
      <w:r>
        <w:rPr>
          <w:rFonts w:ascii="Times New Roman" w:hAnsi="Times New Roman" w:eastAsia="宋体"/>
          <w:sz w:val="28"/>
          <w:szCs w:val="28"/>
        </w:rPr>
        <w:t>为界)为商业用房</w:t>
      </w:r>
      <w:r>
        <w:rPr>
          <w:rFonts w:hint="eastAsia" w:ascii="Times New Roman" w:hAnsi="Times New Roman" w:eastAsia="宋体"/>
          <w:sz w:val="28"/>
          <w:szCs w:val="28"/>
        </w:rPr>
        <w:t>，建筑面积为1</w:t>
      </w:r>
      <w:r>
        <w:rPr>
          <w:rFonts w:ascii="Times New Roman" w:hAnsi="Times New Roman" w:eastAsia="宋体"/>
          <w:sz w:val="28"/>
          <w:szCs w:val="28"/>
        </w:rPr>
        <w:t>56.30</w:t>
      </w:r>
      <w:r>
        <w:rPr>
          <w:rFonts w:hint="eastAsia" w:ascii="Times New Roman" w:hAnsi="Times New Roman" w:eastAsia="宋体"/>
          <w:sz w:val="28"/>
          <w:szCs w:val="28"/>
        </w:rPr>
        <w:t>平方米的房屋用途</w:t>
      </w:r>
      <w:r>
        <w:rPr>
          <w:rFonts w:ascii="Times New Roman" w:hAnsi="Times New Roman" w:eastAsia="宋体"/>
          <w:sz w:val="28"/>
          <w:szCs w:val="28"/>
        </w:rPr>
        <w:t>为商业用房</w:t>
      </w:r>
      <w:r>
        <w:rPr>
          <w:rFonts w:hint="eastAsia" w:ascii="Times New Roman" w:hAnsi="Times New Roman" w:eastAsia="宋体"/>
          <w:sz w:val="28"/>
          <w:szCs w:val="28"/>
        </w:rPr>
        <w:t>，其余</w:t>
      </w:r>
      <w:r>
        <w:rPr>
          <w:rFonts w:ascii="Times New Roman" w:hAnsi="Times New Roman" w:eastAsia="宋体"/>
          <w:sz w:val="28"/>
          <w:szCs w:val="28"/>
        </w:rPr>
        <w:t>为住宅</w:t>
      </w:r>
      <w:r>
        <w:rPr>
          <w:rFonts w:hint="eastAsia" w:ascii="Times New Roman" w:hAnsi="Times New Roman" w:eastAsia="宋体"/>
          <w:sz w:val="28"/>
          <w:szCs w:val="28"/>
        </w:rPr>
        <w:t>用房，</w:t>
      </w:r>
      <w:r>
        <w:rPr>
          <w:rFonts w:hint="eastAsia" w:ascii="Times New Roman" w:hAnsi="Times New Roman" w:eastAsia="宋体" w:cs="Arial"/>
          <w:sz w:val="28"/>
          <w:szCs w:val="28"/>
        </w:rPr>
        <w:t>同时假定</w:t>
      </w:r>
      <w:r>
        <w:rPr>
          <w:rFonts w:hint="eastAsia" w:ascii="Times New Roman" w:hAnsi="Times New Roman" w:eastAsia="宋体"/>
          <w:sz w:val="28"/>
          <w:szCs w:val="28"/>
        </w:rPr>
        <w:t>估价</w:t>
      </w:r>
      <w:r>
        <w:rPr>
          <w:rFonts w:ascii="Times New Roman" w:hAnsi="Times New Roman" w:eastAsia="宋体"/>
          <w:sz w:val="28"/>
          <w:szCs w:val="28"/>
        </w:rPr>
        <w:t>对象</w:t>
      </w:r>
      <w:r>
        <w:rPr>
          <w:rFonts w:hint="eastAsia" w:ascii="Times New Roman" w:hAnsi="Times New Roman" w:eastAsia="宋体"/>
          <w:sz w:val="28"/>
          <w:szCs w:val="28"/>
        </w:rPr>
        <w:t>2层用途调整和转换不会发生相关费用。</w:t>
      </w:r>
    </w:p>
    <w:p>
      <w:pPr>
        <w:numPr>
          <w:ilvl w:val="0"/>
          <w:numId w:val="7"/>
        </w:numPr>
        <w:spacing w:line="500" w:lineRule="exact"/>
        <w:ind w:firstLine="560" w:firstLineChars="200"/>
        <w:outlineLvl w:val="1"/>
        <w:rPr>
          <w:rFonts w:ascii="Times New Roman" w:hAnsi="Times New Roman" w:eastAsia="宋体"/>
          <w:b/>
          <w:sz w:val="28"/>
          <w:szCs w:val="28"/>
        </w:rPr>
      </w:pPr>
      <w:bookmarkStart w:id="58" w:name="_Toc47874182"/>
      <w:bookmarkStart w:id="59" w:name="_Toc65065900"/>
      <w:r>
        <w:rPr>
          <w:rFonts w:ascii="Times New Roman" w:hAnsi="Times New Roman" w:eastAsia="宋体"/>
          <w:b/>
          <w:sz w:val="28"/>
          <w:szCs w:val="28"/>
        </w:rPr>
        <w:t>依据不足假设：</w:t>
      </w:r>
      <w:bookmarkEnd w:id="58"/>
      <w:bookmarkEnd w:id="59"/>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本次评估无依据不足假设。</w:t>
      </w:r>
    </w:p>
    <w:p>
      <w:pPr>
        <w:spacing w:line="500" w:lineRule="exact"/>
        <w:ind w:firstLine="560" w:firstLineChars="200"/>
        <w:outlineLvl w:val="1"/>
        <w:rPr>
          <w:rFonts w:ascii="Times New Roman" w:hAnsi="Times New Roman" w:eastAsia="宋体"/>
          <w:b/>
          <w:sz w:val="28"/>
          <w:szCs w:val="28"/>
        </w:rPr>
      </w:pPr>
      <w:bookmarkStart w:id="60" w:name="_Toc65065901"/>
      <w:bookmarkStart w:id="61" w:name="_Toc47874183"/>
      <w:r>
        <w:rPr>
          <w:rFonts w:ascii="Times New Roman" w:hAnsi="Times New Roman" w:eastAsia="宋体"/>
          <w:b/>
          <w:sz w:val="28"/>
          <w:szCs w:val="28"/>
        </w:rPr>
        <w:t>六、估价报告使用限制：</w:t>
      </w:r>
      <w:bookmarkEnd w:id="60"/>
      <w:bookmarkEnd w:id="61"/>
    </w:p>
    <w:p>
      <w:pPr>
        <w:numPr>
          <w:ilvl w:val="0"/>
          <w:numId w:val="8"/>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本估价报告及估价结果仅为本报告的估价目的服务，若改变估价目的及使用条件，需向本公司咨询后作必要调整甚至重新估价。</w:t>
      </w:r>
    </w:p>
    <w:p>
      <w:pPr>
        <w:numPr>
          <w:ilvl w:val="0"/>
          <w:numId w:val="8"/>
        </w:numPr>
        <w:spacing w:line="500" w:lineRule="exact"/>
        <w:ind w:left="0" w:firstLine="560" w:firstLineChars="200"/>
        <w:rPr>
          <w:rFonts w:ascii="Times New Roman" w:hAnsi="Times New Roman" w:eastAsia="宋体"/>
          <w:bCs/>
          <w:sz w:val="28"/>
        </w:rPr>
      </w:pPr>
      <w:r>
        <w:rPr>
          <w:rFonts w:ascii="Times New Roman" w:hAnsi="Times New Roman" w:eastAsia="宋体"/>
          <w:sz w:val="28"/>
          <w:szCs w:val="28"/>
        </w:rPr>
        <w:t>应当按照法律规定和估价报告载明的用途、使用人、使用期限等使用范围使用估价报告。否则，房地产估价机构和注册房地产估价师依法不承担责任。</w:t>
      </w:r>
    </w:p>
    <w:p>
      <w:pPr>
        <w:numPr>
          <w:ilvl w:val="0"/>
          <w:numId w:val="8"/>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本估价报告使用期限自估价报告出具之日起为</w:t>
      </w:r>
      <w:r>
        <w:rPr>
          <w:rFonts w:ascii="Times New Roman" w:hAnsi="Times New Roman" w:eastAsia="宋体"/>
          <w:b/>
          <w:sz w:val="28"/>
          <w:szCs w:val="28"/>
        </w:rPr>
        <w:t>壹年</w:t>
      </w:r>
      <w:r>
        <w:rPr>
          <w:rFonts w:ascii="Times New Roman" w:hAnsi="Times New Roman" w:eastAsia="宋体"/>
          <w:sz w:val="28"/>
          <w:szCs w:val="28"/>
        </w:rPr>
        <w:t>，即</w:t>
      </w:r>
      <w:r>
        <w:rPr>
          <w:rFonts w:ascii="Times New Roman" w:hAnsi="Times New Roman" w:eastAsia="宋体"/>
          <w:b/>
          <w:sz w:val="28"/>
          <w:szCs w:val="28"/>
        </w:rPr>
        <w:t>自2022年04月25日至2023年04月24日止。</w:t>
      </w:r>
      <w:r>
        <w:rPr>
          <w:rFonts w:ascii="Times New Roman" w:hAnsi="Times New Roman" w:eastAsia="宋体"/>
          <w:sz w:val="28"/>
          <w:szCs w:val="28"/>
        </w:rPr>
        <w:t>若报告使用期限内，房地产市场或估价对象状况发生重大变化，估价结果需做相应调整或委托估价机构重新估价。</w:t>
      </w:r>
    </w:p>
    <w:p>
      <w:pPr>
        <w:numPr>
          <w:ilvl w:val="0"/>
          <w:numId w:val="8"/>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本估价报告的估价结果是在满足本报告的假设条件下于价值时点的房地产市场价值，未考虑快速变现等处分方式带来的影响。</w:t>
      </w:r>
    </w:p>
    <w:p>
      <w:pPr>
        <w:numPr>
          <w:ilvl w:val="0"/>
          <w:numId w:val="8"/>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本报告未考虑国家经济政策等发生变化或其他不可抗力时对估价对象的价值影响。</w:t>
      </w:r>
    </w:p>
    <w:p>
      <w:pPr>
        <w:numPr>
          <w:ilvl w:val="0"/>
          <w:numId w:val="8"/>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本估价报告分为“估价结果报告”和“估价技术报告”两部分。“估价结果报告”提供给估价委托人，“估价技术报告”根据有关规定由估价机构存档备查。</w:t>
      </w:r>
    </w:p>
    <w:p>
      <w:pPr>
        <w:numPr>
          <w:ilvl w:val="0"/>
          <w:numId w:val="8"/>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未经估价机构书面同意，本估价报告的全部或部分及任何参考资料均不得向估价委托人、报告使用者、报告审查部门之外的单位和个人提供，亦不得以任何方式公开发表。</w:t>
      </w:r>
    </w:p>
    <w:p>
      <w:pPr>
        <w:numPr>
          <w:ilvl w:val="0"/>
          <w:numId w:val="8"/>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本估价报告仅是在报告中说明的假设条件下对估价对象正常市场价值进行的合理估算，报告中对估价对象权属情况的披露不能作为对其权属确认的依据，估价对象权属界定以有权管理部门认定为准。</w:t>
      </w:r>
    </w:p>
    <w:p>
      <w:pPr>
        <w:numPr>
          <w:ilvl w:val="0"/>
          <w:numId w:val="8"/>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本报告书由本估价机构加盖公章、法定代表人签名及注册房地产估价师签名后才具有法律效力，复印件不具有法律效力。</w:t>
      </w:r>
      <w:r>
        <w:rPr>
          <w:rFonts w:ascii="Times New Roman" w:hAnsi="Times New Roman" w:eastAsia="宋体"/>
          <w:sz w:val="18"/>
          <w:szCs w:val="18"/>
        </w:rPr>
        <w:br w:type="page"/>
      </w:r>
      <w:bookmarkStart w:id="62" w:name="_Toc472961339"/>
      <w:bookmarkStart w:id="63" w:name="_Toc445892276"/>
      <w:bookmarkStart w:id="64" w:name="_Toc432574965"/>
      <w:bookmarkStart w:id="65" w:name="_Toc396396769"/>
      <w:bookmarkStart w:id="66" w:name="_Toc476489036"/>
      <w:bookmarkStart w:id="67" w:name="_Toc445891403"/>
      <w:bookmarkStart w:id="68" w:name="_Toc468882204"/>
      <w:bookmarkStart w:id="69" w:name="_Toc497752862"/>
      <w:bookmarkStart w:id="70" w:name="_Toc432490538"/>
    </w:p>
    <w:p>
      <w:pPr>
        <w:pStyle w:val="77"/>
        <w:rPr>
          <w:rFonts w:ascii="Times New Roman" w:hAnsi="Times New Roman" w:eastAsia="宋体" w:cs="Times New Roman"/>
        </w:rPr>
      </w:pPr>
      <w:bookmarkStart w:id="71" w:name="_Toc46417157"/>
      <w:bookmarkStart w:id="72" w:name="_Toc47874184"/>
      <w:bookmarkStart w:id="73" w:name="_Toc8539"/>
      <w:bookmarkStart w:id="74" w:name="_Toc65065902"/>
    </w:p>
    <w:p>
      <w:pPr>
        <w:pStyle w:val="2"/>
        <w:spacing w:before="156" w:beforeLines="50" w:after="156" w:afterLines="50"/>
        <w:rPr>
          <w:rFonts w:ascii="Times New Roman" w:hAnsi="Times New Roman" w:eastAsia="宋体"/>
        </w:rPr>
      </w:pPr>
      <w:r>
        <w:rPr>
          <w:rFonts w:ascii="Times New Roman" w:hAnsi="Times New Roman" w:eastAsia="宋体"/>
        </w:rPr>
        <w:t>房地产估价结果报告</w:t>
      </w:r>
      <w:bookmarkEnd w:id="62"/>
      <w:bookmarkEnd w:id="63"/>
      <w:bookmarkEnd w:id="64"/>
      <w:bookmarkEnd w:id="65"/>
      <w:bookmarkEnd w:id="66"/>
      <w:bookmarkEnd w:id="67"/>
      <w:bookmarkEnd w:id="68"/>
      <w:bookmarkEnd w:id="69"/>
      <w:bookmarkEnd w:id="70"/>
      <w:bookmarkEnd w:id="71"/>
      <w:bookmarkEnd w:id="72"/>
      <w:bookmarkEnd w:id="73"/>
      <w:bookmarkEnd w:id="74"/>
    </w:p>
    <w:p>
      <w:pPr>
        <w:pStyle w:val="3"/>
        <w:numPr>
          <w:ilvl w:val="0"/>
          <w:numId w:val="9"/>
        </w:numPr>
        <w:spacing w:before="120" w:after="120" w:line="500" w:lineRule="exact"/>
        <w:ind w:left="0" w:firstLine="640" w:firstLineChars="200"/>
        <w:rPr>
          <w:rFonts w:ascii="Times New Roman" w:hAnsi="Times New Roman" w:eastAsia="宋体"/>
        </w:rPr>
      </w:pPr>
      <w:bookmarkStart w:id="75" w:name="_Toc239144235"/>
      <w:bookmarkStart w:id="76" w:name="_Toc396396770"/>
      <w:bookmarkStart w:id="77" w:name="_Toc468882205"/>
      <w:bookmarkStart w:id="78" w:name="_Toc472961340"/>
      <w:bookmarkStart w:id="79" w:name="_Toc432490539"/>
      <w:bookmarkStart w:id="80" w:name="_Toc207"/>
      <w:bookmarkStart w:id="81" w:name="_Toc65065903"/>
      <w:bookmarkStart w:id="82" w:name="_Toc476489037"/>
      <w:bookmarkStart w:id="83" w:name="_Toc445892277"/>
      <w:bookmarkStart w:id="84" w:name="_Toc445891404"/>
      <w:bookmarkStart w:id="85" w:name="_Toc47874185"/>
      <w:bookmarkStart w:id="86" w:name="_Toc46417158"/>
      <w:bookmarkStart w:id="87" w:name="_Toc432574966"/>
      <w:bookmarkStart w:id="88" w:name="_Toc497752863"/>
      <w:r>
        <w:rPr>
          <w:rFonts w:ascii="Times New Roman" w:hAnsi="Times New Roman" w:eastAsia="宋体"/>
        </w:rPr>
        <w:t>估价</w:t>
      </w:r>
      <w:bookmarkEnd w:id="75"/>
      <w:bookmarkEnd w:id="76"/>
      <w:r>
        <w:rPr>
          <w:rFonts w:ascii="Times New Roman" w:hAnsi="Times New Roman" w:eastAsia="宋体"/>
        </w:rPr>
        <w:t>委托人</w:t>
      </w:r>
      <w:bookmarkEnd w:id="77"/>
      <w:bookmarkEnd w:id="78"/>
      <w:bookmarkEnd w:id="79"/>
      <w:bookmarkEnd w:id="80"/>
      <w:bookmarkEnd w:id="81"/>
      <w:bookmarkEnd w:id="82"/>
      <w:bookmarkEnd w:id="83"/>
      <w:bookmarkEnd w:id="84"/>
      <w:bookmarkEnd w:id="85"/>
      <w:bookmarkEnd w:id="86"/>
      <w:bookmarkEnd w:id="87"/>
      <w:bookmarkEnd w:id="88"/>
      <w:r>
        <w:rPr>
          <w:rFonts w:ascii="Times New Roman" w:hAnsi="Times New Roman" w:eastAsia="宋体"/>
        </w:rPr>
        <w:t xml:space="preserve"> </w:t>
      </w:r>
    </w:p>
    <w:p>
      <w:pPr>
        <w:tabs>
          <w:tab w:val="left" w:pos="540"/>
          <w:tab w:val="left" w:pos="900"/>
          <w:tab w:val="left" w:pos="1260"/>
          <w:tab w:val="left" w:pos="1300"/>
          <w:tab w:val="left" w:pos="1430"/>
          <w:tab w:val="left" w:pos="1590"/>
        </w:tabs>
        <w:spacing w:line="540" w:lineRule="exact"/>
        <w:ind w:firstLine="560" w:firstLineChars="200"/>
        <w:jc w:val="left"/>
        <w:rPr>
          <w:rFonts w:ascii="Times New Roman" w:hAnsi="Times New Roman" w:eastAsia="宋体"/>
          <w:bCs/>
          <w:sz w:val="28"/>
          <w:szCs w:val="28"/>
        </w:rPr>
      </w:pPr>
      <w:r>
        <w:rPr>
          <w:rFonts w:ascii="Times New Roman" w:hAnsi="Times New Roman" w:eastAsia="宋体"/>
          <w:bCs/>
          <w:sz w:val="28"/>
          <w:szCs w:val="28"/>
        </w:rPr>
        <w:t>委  托  人：织金县人民法院</w:t>
      </w:r>
    </w:p>
    <w:p>
      <w:pPr>
        <w:pStyle w:val="3"/>
        <w:numPr>
          <w:ilvl w:val="0"/>
          <w:numId w:val="9"/>
        </w:numPr>
        <w:spacing w:before="120" w:after="120" w:line="500" w:lineRule="exact"/>
        <w:ind w:left="0" w:firstLine="640" w:firstLineChars="200"/>
        <w:rPr>
          <w:rFonts w:ascii="Times New Roman" w:hAnsi="Times New Roman" w:eastAsia="宋体"/>
        </w:rPr>
      </w:pPr>
      <w:bookmarkStart w:id="89" w:name="_Toc65065904"/>
      <w:bookmarkStart w:id="90" w:name="_Toc47874186"/>
      <w:bookmarkStart w:id="91" w:name="_Toc468882206"/>
      <w:bookmarkStart w:id="92" w:name="_Toc432490540"/>
      <w:bookmarkStart w:id="93" w:name="_Toc476489038"/>
      <w:bookmarkStart w:id="94" w:name="_Toc445892278"/>
      <w:bookmarkStart w:id="95" w:name="_Toc445891405"/>
      <w:bookmarkStart w:id="96" w:name="_Toc497752864"/>
      <w:bookmarkStart w:id="97" w:name="_Toc472961341"/>
      <w:bookmarkStart w:id="98" w:name="_Toc46417159"/>
      <w:bookmarkStart w:id="99" w:name="_Toc6637"/>
      <w:bookmarkStart w:id="100" w:name="_Toc432574967"/>
      <w:r>
        <w:rPr>
          <w:rFonts w:ascii="Times New Roman" w:hAnsi="Times New Roman" w:eastAsia="宋体"/>
        </w:rPr>
        <w:t>房地产估价机构</w:t>
      </w:r>
      <w:bookmarkEnd w:id="89"/>
      <w:bookmarkEnd w:id="90"/>
      <w:bookmarkEnd w:id="91"/>
      <w:bookmarkEnd w:id="92"/>
      <w:bookmarkEnd w:id="93"/>
      <w:bookmarkEnd w:id="94"/>
      <w:bookmarkEnd w:id="95"/>
      <w:bookmarkEnd w:id="96"/>
      <w:bookmarkEnd w:id="97"/>
      <w:bookmarkEnd w:id="98"/>
      <w:bookmarkEnd w:id="99"/>
      <w:bookmarkEnd w:id="100"/>
    </w:p>
    <w:p>
      <w:pPr>
        <w:tabs>
          <w:tab w:val="left" w:pos="540"/>
          <w:tab w:val="left" w:pos="900"/>
          <w:tab w:val="left" w:pos="1260"/>
          <w:tab w:val="left" w:pos="1300"/>
          <w:tab w:val="left" w:pos="1430"/>
          <w:tab w:val="left" w:pos="1590"/>
        </w:tabs>
        <w:spacing w:line="540" w:lineRule="exact"/>
        <w:ind w:firstLine="560" w:firstLineChars="200"/>
        <w:jc w:val="left"/>
        <w:rPr>
          <w:rFonts w:ascii="Times New Roman" w:hAnsi="Times New Roman" w:eastAsia="宋体"/>
          <w:bCs/>
          <w:sz w:val="28"/>
          <w:szCs w:val="28"/>
        </w:rPr>
      </w:pPr>
      <w:bookmarkStart w:id="101" w:name="_Toc396396772"/>
      <w:bookmarkStart w:id="102" w:name="_Toc239144237"/>
      <w:r>
        <w:rPr>
          <w:rFonts w:ascii="Times New Roman" w:hAnsi="Times New Roman" w:eastAsia="宋体"/>
          <w:bCs/>
          <w:sz w:val="28"/>
          <w:szCs w:val="28"/>
        </w:rPr>
        <w:t>估价机构名称：贵州桑立房地产资产评估有限公司</w:t>
      </w:r>
    </w:p>
    <w:p>
      <w:pPr>
        <w:tabs>
          <w:tab w:val="left" w:pos="540"/>
          <w:tab w:val="left" w:pos="900"/>
          <w:tab w:val="left" w:pos="1260"/>
          <w:tab w:val="left" w:pos="1300"/>
          <w:tab w:val="left" w:pos="1430"/>
          <w:tab w:val="left" w:pos="1590"/>
        </w:tabs>
        <w:spacing w:line="540" w:lineRule="exact"/>
        <w:ind w:firstLine="560" w:firstLineChars="200"/>
        <w:jc w:val="left"/>
        <w:rPr>
          <w:rFonts w:ascii="Times New Roman" w:hAnsi="Times New Roman" w:eastAsia="宋体"/>
          <w:bCs/>
          <w:sz w:val="28"/>
          <w:szCs w:val="28"/>
        </w:rPr>
      </w:pPr>
      <w:r>
        <w:rPr>
          <w:rFonts w:ascii="Times New Roman" w:hAnsi="Times New Roman" w:eastAsia="宋体"/>
          <w:bCs/>
          <w:sz w:val="28"/>
          <w:szCs w:val="28"/>
        </w:rPr>
        <w:t>住所：贵州省贵阳市南明区文昌南路79号文昌苑综合楼A栋12层5号</w:t>
      </w:r>
    </w:p>
    <w:p>
      <w:pPr>
        <w:tabs>
          <w:tab w:val="left" w:pos="540"/>
          <w:tab w:val="left" w:pos="900"/>
          <w:tab w:val="left" w:pos="1260"/>
          <w:tab w:val="left" w:pos="1300"/>
          <w:tab w:val="left" w:pos="1430"/>
          <w:tab w:val="left" w:pos="1590"/>
        </w:tabs>
        <w:spacing w:line="540" w:lineRule="exact"/>
        <w:ind w:firstLine="560" w:firstLineChars="200"/>
        <w:jc w:val="left"/>
        <w:rPr>
          <w:rFonts w:ascii="Times New Roman" w:hAnsi="Times New Roman" w:eastAsia="宋体"/>
          <w:bCs/>
          <w:sz w:val="28"/>
          <w:szCs w:val="28"/>
        </w:rPr>
      </w:pPr>
      <w:r>
        <w:rPr>
          <w:rFonts w:ascii="Times New Roman" w:hAnsi="Times New Roman" w:eastAsia="宋体"/>
          <w:bCs/>
          <w:sz w:val="28"/>
          <w:szCs w:val="28"/>
        </w:rPr>
        <w:t>统一社会信用代码：91520115722108769G</w:t>
      </w:r>
    </w:p>
    <w:p>
      <w:pPr>
        <w:tabs>
          <w:tab w:val="left" w:pos="540"/>
          <w:tab w:val="left" w:pos="900"/>
          <w:tab w:val="left" w:pos="1260"/>
          <w:tab w:val="left" w:pos="1300"/>
          <w:tab w:val="left" w:pos="1430"/>
          <w:tab w:val="left" w:pos="1590"/>
        </w:tabs>
        <w:spacing w:line="540" w:lineRule="exact"/>
        <w:ind w:firstLine="560" w:firstLineChars="200"/>
        <w:jc w:val="left"/>
        <w:rPr>
          <w:rFonts w:ascii="Times New Roman" w:hAnsi="Times New Roman" w:eastAsia="宋体"/>
          <w:bCs/>
          <w:sz w:val="28"/>
          <w:szCs w:val="28"/>
        </w:rPr>
      </w:pPr>
      <w:r>
        <w:rPr>
          <w:rFonts w:ascii="Times New Roman" w:hAnsi="Times New Roman" w:eastAsia="宋体"/>
          <w:bCs/>
          <w:sz w:val="28"/>
          <w:szCs w:val="28"/>
        </w:rPr>
        <w:t>资质证书号：黔房评字0100802</w:t>
      </w:r>
    </w:p>
    <w:p>
      <w:pPr>
        <w:tabs>
          <w:tab w:val="left" w:pos="540"/>
          <w:tab w:val="left" w:pos="900"/>
          <w:tab w:val="left" w:pos="1260"/>
          <w:tab w:val="left" w:pos="1300"/>
          <w:tab w:val="left" w:pos="1430"/>
          <w:tab w:val="left" w:pos="1590"/>
        </w:tabs>
        <w:spacing w:line="540" w:lineRule="exact"/>
        <w:ind w:firstLine="560" w:firstLineChars="200"/>
        <w:jc w:val="left"/>
        <w:rPr>
          <w:rFonts w:ascii="Times New Roman" w:hAnsi="Times New Roman" w:eastAsia="宋体"/>
          <w:bCs/>
          <w:sz w:val="28"/>
          <w:szCs w:val="28"/>
        </w:rPr>
      </w:pPr>
      <w:r>
        <w:rPr>
          <w:rFonts w:ascii="Times New Roman" w:hAnsi="Times New Roman" w:eastAsia="宋体"/>
          <w:bCs/>
          <w:sz w:val="28"/>
          <w:szCs w:val="28"/>
        </w:rPr>
        <w:t>房地产估价资质级别：二级</w:t>
      </w:r>
    </w:p>
    <w:p>
      <w:pPr>
        <w:tabs>
          <w:tab w:val="left" w:pos="540"/>
          <w:tab w:val="left" w:pos="900"/>
          <w:tab w:val="left" w:pos="1260"/>
          <w:tab w:val="left" w:pos="1300"/>
          <w:tab w:val="left" w:pos="1430"/>
          <w:tab w:val="left" w:pos="1590"/>
        </w:tabs>
        <w:spacing w:line="540" w:lineRule="exact"/>
        <w:ind w:firstLine="560" w:firstLineChars="200"/>
        <w:jc w:val="left"/>
        <w:rPr>
          <w:rFonts w:ascii="Times New Roman" w:hAnsi="Times New Roman" w:eastAsia="宋体"/>
          <w:bCs/>
          <w:sz w:val="28"/>
          <w:szCs w:val="28"/>
        </w:rPr>
      </w:pPr>
      <w:r>
        <w:rPr>
          <w:rFonts w:ascii="Times New Roman" w:hAnsi="Times New Roman" w:eastAsia="宋体"/>
          <w:bCs/>
          <w:sz w:val="28"/>
          <w:szCs w:val="28"/>
        </w:rPr>
        <w:t xml:space="preserve">法定代表人：简晖 </w:t>
      </w:r>
    </w:p>
    <w:p>
      <w:pPr>
        <w:tabs>
          <w:tab w:val="left" w:pos="540"/>
          <w:tab w:val="left" w:pos="900"/>
          <w:tab w:val="left" w:pos="1260"/>
          <w:tab w:val="left" w:pos="1300"/>
          <w:tab w:val="left" w:pos="1430"/>
          <w:tab w:val="left" w:pos="1590"/>
        </w:tabs>
        <w:spacing w:line="540" w:lineRule="exact"/>
        <w:ind w:firstLine="560" w:firstLineChars="200"/>
        <w:jc w:val="left"/>
        <w:rPr>
          <w:rFonts w:ascii="Times New Roman" w:hAnsi="Times New Roman" w:eastAsia="宋体"/>
          <w:bCs/>
          <w:sz w:val="28"/>
          <w:szCs w:val="28"/>
        </w:rPr>
      </w:pPr>
      <w:r>
        <w:rPr>
          <w:rFonts w:ascii="Times New Roman" w:hAnsi="Times New Roman" w:eastAsia="宋体"/>
          <w:bCs/>
          <w:sz w:val="28"/>
          <w:szCs w:val="28"/>
        </w:rPr>
        <w:t xml:space="preserve">联系人：李兵 </w:t>
      </w:r>
    </w:p>
    <w:p>
      <w:pPr>
        <w:tabs>
          <w:tab w:val="left" w:pos="540"/>
          <w:tab w:val="left" w:pos="900"/>
          <w:tab w:val="left" w:pos="1260"/>
          <w:tab w:val="left" w:pos="1300"/>
          <w:tab w:val="left" w:pos="1430"/>
          <w:tab w:val="left" w:pos="1590"/>
        </w:tabs>
        <w:spacing w:line="540" w:lineRule="exact"/>
        <w:ind w:firstLine="560" w:firstLineChars="200"/>
        <w:jc w:val="left"/>
        <w:rPr>
          <w:rFonts w:ascii="Times New Roman" w:hAnsi="Times New Roman" w:eastAsia="宋体"/>
          <w:bCs/>
          <w:sz w:val="28"/>
          <w:szCs w:val="28"/>
        </w:rPr>
      </w:pPr>
      <w:r>
        <w:rPr>
          <w:rFonts w:ascii="Times New Roman" w:hAnsi="Times New Roman" w:eastAsia="宋体"/>
          <w:bCs/>
          <w:sz w:val="28"/>
          <w:szCs w:val="28"/>
        </w:rPr>
        <w:t>联系电话：18085137774、0851-85556351</w:t>
      </w:r>
    </w:p>
    <w:p>
      <w:pPr>
        <w:pStyle w:val="3"/>
        <w:numPr>
          <w:ilvl w:val="0"/>
          <w:numId w:val="9"/>
        </w:numPr>
        <w:spacing w:before="120" w:after="120" w:line="500" w:lineRule="exact"/>
        <w:ind w:left="0" w:firstLine="640" w:firstLineChars="200"/>
        <w:rPr>
          <w:rFonts w:ascii="Times New Roman" w:hAnsi="Times New Roman" w:eastAsia="宋体"/>
        </w:rPr>
      </w:pPr>
      <w:bookmarkStart w:id="103" w:name="_Toc445891406"/>
      <w:bookmarkStart w:id="104" w:name="_Toc239144238"/>
      <w:bookmarkStart w:id="105" w:name="_Toc47874187"/>
      <w:bookmarkStart w:id="106" w:name="_Toc497752865"/>
      <w:bookmarkStart w:id="107" w:name="_Toc46417160"/>
      <w:bookmarkStart w:id="108" w:name="_Toc432574969"/>
      <w:bookmarkStart w:id="109" w:name="_Toc445892279"/>
      <w:bookmarkStart w:id="110" w:name="_Toc476489039"/>
      <w:bookmarkStart w:id="111" w:name="_Toc468882207"/>
      <w:bookmarkStart w:id="112" w:name="_Toc472961342"/>
      <w:bookmarkStart w:id="113" w:name="_Toc8847"/>
      <w:bookmarkStart w:id="114" w:name="_Toc432490542"/>
      <w:bookmarkStart w:id="115" w:name="_Toc65065905"/>
      <w:bookmarkStart w:id="116" w:name="_Toc396396773"/>
      <w:bookmarkStart w:id="117" w:name="_Toc432490541"/>
      <w:bookmarkStart w:id="118" w:name="_Toc432574968"/>
      <w:r>
        <w:rPr>
          <w:rFonts w:ascii="Times New Roman" w:hAnsi="Times New Roman" w:eastAsia="宋体"/>
        </w:rPr>
        <w:t>估价目的</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tabs>
          <w:tab w:val="left" w:pos="210"/>
          <w:tab w:val="left" w:pos="630"/>
        </w:tabs>
        <w:spacing w:line="500" w:lineRule="exact"/>
        <w:ind w:left="-4" w:leftChars="-2" w:firstLine="560" w:firstLineChars="200"/>
        <w:jc w:val="left"/>
        <w:rPr>
          <w:rFonts w:ascii="Times New Roman" w:hAnsi="Times New Roman" w:eastAsia="宋体"/>
          <w:bCs/>
          <w:sz w:val="28"/>
          <w:szCs w:val="28"/>
        </w:rPr>
      </w:pPr>
      <w:bookmarkStart w:id="119" w:name="_Toc445892280"/>
      <w:bookmarkStart w:id="120" w:name="_Toc468882208"/>
      <w:bookmarkStart w:id="121" w:name="_Toc472961343"/>
      <w:bookmarkStart w:id="122" w:name="_Toc497752866"/>
      <w:bookmarkStart w:id="123" w:name="_Toc476489040"/>
      <w:bookmarkStart w:id="124" w:name="_Toc445891407"/>
      <w:r>
        <w:rPr>
          <w:rFonts w:ascii="Times New Roman" w:hAnsi="Times New Roman" w:eastAsia="宋体"/>
          <w:sz w:val="28"/>
          <w:szCs w:val="28"/>
        </w:rPr>
        <w:t>为人民法院确定财产处置参考价提供参考依据</w:t>
      </w:r>
      <w:r>
        <w:rPr>
          <w:rFonts w:ascii="Times New Roman" w:hAnsi="Times New Roman" w:eastAsia="宋体"/>
          <w:bCs/>
          <w:sz w:val="28"/>
          <w:szCs w:val="28"/>
        </w:rPr>
        <w:t>。</w:t>
      </w:r>
    </w:p>
    <w:bookmarkEnd w:id="101"/>
    <w:bookmarkEnd w:id="102"/>
    <w:bookmarkEnd w:id="117"/>
    <w:bookmarkEnd w:id="118"/>
    <w:bookmarkEnd w:id="119"/>
    <w:bookmarkEnd w:id="120"/>
    <w:bookmarkEnd w:id="121"/>
    <w:bookmarkEnd w:id="122"/>
    <w:bookmarkEnd w:id="123"/>
    <w:bookmarkEnd w:id="124"/>
    <w:p>
      <w:pPr>
        <w:pStyle w:val="3"/>
        <w:numPr>
          <w:ilvl w:val="0"/>
          <w:numId w:val="9"/>
        </w:numPr>
        <w:spacing w:before="120" w:after="120" w:line="500" w:lineRule="exact"/>
        <w:ind w:left="0" w:firstLine="640" w:firstLineChars="200"/>
        <w:rPr>
          <w:rFonts w:ascii="Times New Roman" w:hAnsi="Times New Roman" w:eastAsia="宋体"/>
        </w:rPr>
      </w:pPr>
      <w:bookmarkStart w:id="125" w:name="_Toc65065906"/>
      <w:bookmarkStart w:id="126" w:name="_Toc46417162"/>
      <w:bookmarkStart w:id="127" w:name="_Toc47874189"/>
      <w:bookmarkStart w:id="128" w:name="_Toc23908"/>
      <w:bookmarkStart w:id="129" w:name="_Toc472961345"/>
      <w:bookmarkStart w:id="130" w:name="_Toc432574970"/>
      <w:bookmarkStart w:id="131" w:name="_Toc445892282"/>
      <w:bookmarkStart w:id="132" w:name="_Toc476489042"/>
      <w:bookmarkStart w:id="133" w:name="_Toc1488"/>
      <w:bookmarkStart w:id="134" w:name="_Toc396396774"/>
      <w:bookmarkStart w:id="135" w:name="_Toc432490543"/>
      <w:bookmarkStart w:id="136" w:name="_Toc497752868"/>
      <w:bookmarkStart w:id="137" w:name="_Toc468882210"/>
      <w:bookmarkStart w:id="138" w:name="_Toc445891409"/>
      <w:bookmarkStart w:id="139" w:name="_Toc239144240"/>
      <w:bookmarkStart w:id="140" w:name="_Toc396396776"/>
      <w:r>
        <w:rPr>
          <w:rFonts w:ascii="Times New Roman" w:hAnsi="Times New Roman" w:eastAsia="宋体"/>
        </w:rPr>
        <w:t>估价对象</w:t>
      </w:r>
      <w:bookmarkEnd w:id="125"/>
      <w:bookmarkEnd w:id="126"/>
      <w:bookmarkEnd w:id="127"/>
      <w:bookmarkEnd w:id="128"/>
    </w:p>
    <w:p>
      <w:pPr>
        <w:numPr>
          <w:ilvl w:val="0"/>
          <w:numId w:val="10"/>
        </w:numPr>
        <w:tabs>
          <w:tab w:val="left" w:pos="210"/>
          <w:tab w:val="left" w:pos="630"/>
        </w:tabs>
        <w:spacing w:line="500" w:lineRule="exact"/>
        <w:jc w:val="left"/>
        <w:outlineLvl w:val="2"/>
        <w:rPr>
          <w:rFonts w:ascii="Times New Roman" w:hAnsi="Times New Roman" w:eastAsia="宋体"/>
          <w:bCs/>
          <w:sz w:val="28"/>
          <w:szCs w:val="28"/>
        </w:rPr>
      </w:pPr>
      <w:bookmarkStart w:id="141" w:name="_Toc65065907"/>
      <w:bookmarkStart w:id="142" w:name="_Toc46417163"/>
      <w:bookmarkStart w:id="143" w:name="_Toc47699565"/>
      <w:bookmarkStart w:id="144" w:name="_Toc47874190"/>
      <w:r>
        <w:rPr>
          <w:rFonts w:ascii="Times New Roman" w:hAnsi="Times New Roman" w:eastAsia="宋体"/>
          <w:bCs/>
          <w:sz w:val="28"/>
          <w:szCs w:val="28"/>
        </w:rPr>
        <w:t>估价对象范围</w:t>
      </w:r>
      <w:bookmarkEnd w:id="141"/>
      <w:bookmarkEnd w:id="142"/>
      <w:bookmarkEnd w:id="143"/>
      <w:bookmarkEnd w:id="144"/>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根据委托人提供的《委托书》【（2022）黔0524执816号】、估价对象的《贵州省不动产登记查询结果》《房屋所有权证》《房屋所有权登记审批表》及《国有土地使用证》</w:t>
      </w:r>
      <w:r>
        <w:rPr>
          <w:rFonts w:hint="eastAsia" w:ascii="Times New Roman" w:hAnsi="Times New Roman" w:eastAsia="宋体"/>
          <w:sz w:val="28"/>
          <w:szCs w:val="28"/>
        </w:rPr>
        <w:t>资料</w:t>
      </w:r>
      <w:r>
        <w:rPr>
          <w:rFonts w:ascii="Times New Roman" w:hAnsi="Times New Roman" w:eastAsia="宋体"/>
          <w:sz w:val="28"/>
          <w:szCs w:val="28"/>
        </w:rPr>
        <w:t>复印件，确定估价对象为织金县八步镇沙冲村营盘组一栋自建房地产，评估范围包括建筑物及其独用的国有划拨建设用地使用权、室内固定装修、公共配套设施，不包括动产、债权债务等其他财产或权益。</w:t>
      </w:r>
    </w:p>
    <w:p>
      <w:pPr>
        <w:numPr>
          <w:ilvl w:val="0"/>
          <w:numId w:val="10"/>
        </w:numPr>
        <w:tabs>
          <w:tab w:val="left" w:pos="210"/>
          <w:tab w:val="left" w:pos="630"/>
        </w:tabs>
        <w:spacing w:line="500" w:lineRule="exact"/>
        <w:jc w:val="left"/>
        <w:outlineLvl w:val="2"/>
        <w:rPr>
          <w:rFonts w:ascii="Times New Roman" w:hAnsi="Times New Roman" w:eastAsia="宋体"/>
          <w:bCs/>
          <w:sz w:val="28"/>
          <w:szCs w:val="28"/>
        </w:rPr>
      </w:pPr>
      <w:bookmarkStart w:id="145" w:name="_Toc47874191"/>
      <w:bookmarkStart w:id="146" w:name="_Toc65065908"/>
      <w:bookmarkStart w:id="147" w:name="_Toc47699566"/>
      <w:bookmarkStart w:id="148" w:name="_Toc46417164"/>
      <w:r>
        <w:rPr>
          <w:rFonts w:ascii="Times New Roman" w:hAnsi="Times New Roman" w:eastAsia="宋体"/>
          <w:bCs/>
          <w:sz w:val="28"/>
          <w:szCs w:val="28"/>
        </w:rPr>
        <w:t>估价对象权益状况</w:t>
      </w:r>
      <w:bookmarkEnd w:id="145"/>
      <w:bookmarkEnd w:id="146"/>
      <w:bookmarkEnd w:id="147"/>
      <w:bookmarkEnd w:id="148"/>
    </w:p>
    <w:p>
      <w:pPr>
        <w:spacing w:line="500" w:lineRule="exact"/>
        <w:ind w:left="556"/>
        <w:outlineLvl w:val="3"/>
        <w:rPr>
          <w:rFonts w:ascii="Times New Roman" w:hAnsi="Times New Roman" w:eastAsia="宋体"/>
          <w:sz w:val="28"/>
          <w:szCs w:val="28"/>
        </w:rPr>
      </w:pPr>
      <w:bookmarkStart w:id="149" w:name="_Toc47874192"/>
      <w:bookmarkStart w:id="150" w:name="_Toc47699567"/>
      <w:bookmarkStart w:id="151" w:name="_Toc46417165"/>
      <w:r>
        <w:rPr>
          <w:rFonts w:ascii="Times New Roman" w:hAnsi="Times New Roman" w:eastAsia="宋体"/>
          <w:sz w:val="28"/>
          <w:szCs w:val="28"/>
        </w:rPr>
        <w:t>1.房屋权属状况</w:t>
      </w:r>
      <w:bookmarkEnd w:id="149"/>
      <w:bookmarkEnd w:id="150"/>
      <w:bookmarkEnd w:id="151"/>
    </w:p>
    <w:p>
      <w:pPr>
        <w:spacing w:line="480" w:lineRule="exact"/>
        <w:ind w:firstLine="560" w:firstLineChars="200"/>
        <w:rPr>
          <w:rFonts w:ascii="Times New Roman" w:hAnsi="Times New Roman" w:eastAsia="宋体"/>
          <w:sz w:val="28"/>
          <w:szCs w:val="28"/>
        </w:rPr>
      </w:pPr>
      <w:r>
        <w:rPr>
          <w:rFonts w:ascii="Times New Roman" w:hAnsi="Times New Roman" w:eastAsia="宋体"/>
          <w:sz w:val="28"/>
          <w:szCs w:val="28"/>
        </w:rPr>
        <w:t>根据估价对象的《贵州省不动产登记查询结果》《房屋所有权证》及《房屋所有权登记审批表》</w:t>
      </w:r>
      <w:r>
        <w:rPr>
          <w:rFonts w:hint="eastAsia" w:ascii="Times New Roman" w:hAnsi="Times New Roman" w:eastAsia="宋体"/>
          <w:sz w:val="28"/>
          <w:szCs w:val="28"/>
        </w:rPr>
        <w:t>资料</w:t>
      </w:r>
      <w:r>
        <w:rPr>
          <w:rFonts w:ascii="Times New Roman" w:hAnsi="Times New Roman" w:eastAsia="宋体"/>
          <w:sz w:val="28"/>
          <w:szCs w:val="28"/>
        </w:rPr>
        <w:t>复印件记载内容，</w:t>
      </w:r>
      <w:r>
        <w:rPr>
          <w:rFonts w:hint="eastAsia" w:ascii="Times New Roman" w:hAnsi="Times New Roman" w:eastAsia="宋体"/>
          <w:sz w:val="28"/>
          <w:szCs w:val="28"/>
        </w:rPr>
        <w:t>确定</w:t>
      </w:r>
      <w:r>
        <w:rPr>
          <w:rFonts w:ascii="Times New Roman" w:hAnsi="Times New Roman" w:eastAsia="宋体"/>
          <w:sz w:val="28"/>
          <w:szCs w:val="28"/>
        </w:rPr>
        <w:t>估价对象房屋所有权人为陈绍彬、欧婷共同共有，房屋用途为住宅、商业，住宅用房建筑面积为819.28平方米，商业用房建筑面积为156.30平方米。</w:t>
      </w:r>
    </w:p>
    <w:p>
      <w:pPr>
        <w:spacing w:line="500" w:lineRule="exact"/>
        <w:ind w:left="556"/>
        <w:outlineLvl w:val="3"/>
        <w:rPr>
          <w:rFonts w:ascii="Times New Roman" w:hAnsi="Times New Roman" w:eastAsia="宋体"/>
          <w:sz w:val="28"/>
          <w:szCs w:val="28"/>
        </w:rPr>
      </w:pPr>
      <w:bookmarkStart w:id="152" w:name="_Toc46417166"/>
      <w:bookmarkStart w:id="153" w:name="_Toc47699568"/>
      <w:bookmarkStart w:id="154" w:name="_Toc47874193"/>
      <w:r>
        <w:rPr>
          <w:rFonts w:ascii="Times New Roman" w:hAnsi="Times New Roman" w:eastAsia="宋体"/>
          <w:sz w:val="28"/>
          <w:szCs w:val="28"/>
        </w:rPr>
        <w:t>2. 土地权属状况</w:t>
      </w:r>
      <w:bookmarkEnd w:id="152"/>
      <w:bookmarkEnd w:id="153"/>
      <w:bookmarkEnd w:id="154"/>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根据估价对象的《贵州省不动产登记查询结果》及《国有土地使用证》</w:t>
      </w:r>
      <w:r>
        <w:rPr>
          <w:rFonts w:hint="eastAsia" w:ascii="Times New Roman" w:hAnsi="Times New Roman" w:eastAsia="宋体"/>
          <w:sz w:val="28"/>
          <w:szCs w:val="28"/>
        </w:rPr>
        <w:t>资料</w:t>
      </w:r>
      <w:r>
        <w:rPr>
          <w:rFonts w:ascii="Times New Roman" w:hAnsi="Times New Roman" w:eastAsia="宋体"/>
          <w:sz w:val="28"/>
          <w:szCs w:val="28"/>
        </w:rPr>
        <w:t>复印件，确定土地所有权属于国有。</w:t>
      </w:r>
    </w:p>
    <w:p>
      <w:pPr>
        <w:spacing w:line="480" w:lineRule="exact"/>
        <w:ind w:firstLine="420" w:firstLineChars="150"/>
        <w:rPr>
          <w:rFonts w:ascii="Times New Roman" w:hAnsi="Times New Roman" w:eastAsia="宋体"/>
          <w:sz w:val="28"/>
          <w:szCs w:val="28"/>
        </w:rPr>
      </w:pPr>
      <w:r>
        <w:rPr>
          <w:rFonts w:ascii="Times New Roman" w:hAnsi="Times New Roman" w:eastAsia="宋体"/>
          <w:sz w:val="28"/>
          <w:szCs w:val="28"/>
        </w:rPr>
        <w:t>根据《国有土地使用证》【织国用（2013）第1060011号】</w:t>
      </w:r>
      <w:r>
        <w:rPr>
          <w:rFonts w:hint="eastAsia" w:ascii="Times New Roman" w:hAnsi="Times New Roman" w:eastAsia="宋体"/>
          <w:sz w:val="28"/>
          <w:szCs w:val="28"/>
        </w:rPr>
        <w:t>资料</w:t>
      </w:r>
      <w:r>
        <w:rPr>
          <w:rFonts w:ascii="Times New Roman" w:hAnsi="Times New Roman" w:eastAsia="宋体"/>
          <w:sz w:val="28"/>
          <w:szCs w:val="28"/>
        </w:rPr>
        <w:t>复印件记载内容，</w:t>
      </w:r>
      <w:r>
        <w:rPr>
          <w:rFonts w:hint="eastAsia" w:ascii="Times New Roman" w:hAnsi="Times New Roman" w:eastAsia="宋体"/>
          <w:sz w:val="28"/>
          <w:szCs w:val="28"/>
        </w:rPr>
        <w:t>确定</w:t>
      </w:r>
      <w:r>
        <w:rPr>
          <w:rFonts w:ascii="Times New Roman" w:hAnsi="Times New Roman" w:eastAsia="宋体"/>
          <w:sz w:val="28"/>
          <w:szCs w:val="28"/>
        </w:rPr>
        <w:t>土地使用权人为陈绍彬，使用权类型为划拨、土地用途为住宅、土地使用权面积为296.79平方米、土地使用权年限无限制。</w:t>
      </w:r>
    </w:p>
    <w:p>
      <w:pPr>
        <w:spacing w:line="500" w:lineRule="exact"/>
        <w:ind w:left="556"/>
        <w:outlineLvl w:val="3"/>
        <w:rPr>
          <w:rFonts w:ascii="Times New Roman" w:hAnsi="Times New Roman" w:eastAsia="宋体"/>
          <w:sz w:val="28"/>
          <w:szCs w:val="28"/>
        </w:rPr>
      </w:pPr>
      <w:r>
        <w:rPr>
          <w:rFonts w:ascii="Times New Roman" w:hAnsi="Times New Roman" w:eastAsia="宋体"/>
          <w:sz w:val="28"/>
          <w:szCs w:val="28"/>
        </w:rPr>
        <w:t>3.其他权益状况</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根据估价对象的《贵州省不动产登记查询结果》，其他权益状况如下表所示：</w:t>
      </w:r>
    </w:p>
    <w:tbl>
      <w:tblPr>
        <w:tblStyle w:val="21"/>
        <w:tblW w:w="5000" w:type="pct"/>
        <w:tblInd w:w="0" w:type="dxa"/>
        <w:tblLayout w:type="autofit"/>
        <w:tblCellMar>
          <w:top w:w="0" w:type="dxa"/>
          <w:left w:w="108" w:type="dxa"/>
          <w:bottom w:w="0" w:type="dxa"/>
          <w:right w:w="108" w:type="dxa"/>
        </w:tblCellMar>
      </w:tblPr>
      <w:tblGrid>
        <w:gridCol w:w="1101"/>
        <w:gridCol w:w="1701"/>
        <w:gridCol w:w="2463"/>
        <w:gridCol w:w="2357"/>
        <w:gridCol w:w="2231"/>
      </w:tblGrid>
      <w:tr>
        <w:tblPrEx>
          <w:tblCellMar>
            <w:top w:w="0" w:type="dxa"/>
            <w:left w:w="108" w:type="dxa"/>
            <w:bottom w:w="0" w:type="dxa"/>
            <w:right w:w="108" w:type="dxa"/>
          </w:tblCellMar>
        </w:tblPrEx>
        <w:trPr>
          <w:trHeight w:val="34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查封信息</w:t>
            </w:r>
          </w:p>
        </w:tc>
      </w:tr>
      <w:tr>
        <w:tblPrEx>
          <w:tblCellMar>
            <w:top w:w="0" w:type="dxa"/>
            <w:left w:w="108" w:type="dxa"/>
            <w:bottom w:w="0" w:type="dxa"/>
            <w:right w:w="108" w:type="dxa"/>
          </w:tblCellMar>
        </w:tblPrEx>
        <w:trPr>
          <w:trHeight w:val="340" w:hRule="atLeast"/>
        </w:trPr>
        <w:tc>
          <w:tcPr>
            <w:tcW w:w="55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登记序号</w:t>
            </w:r>
          </w:p>
        </w:tc>
        <w:tc>
          <w:tcPr>
            <w:tcW w:w="86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查封机关</w:t>
            </w:r>
          </w:p>
        </w:tc>
        <w:tc>
          <w:tcPr>
            <w:tcW w:w="125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查封文号</w:t>
            </w:r>
          </w:p>
        </w:tc>
        <w:tc>
          <w:tcPr>
            <w:tcW w:w="119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查封期限</w:t>
            </w:r>
          </w:p>
        </w:tc>
        <w:tc>
          <w:tcPr>
            <w:tcW w:w="113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登记时间</w:t>
            </w:r>
          </w:p>
        </w:tc>
      </w:tr>
      <w:tr>
        <w:tblPrEx>
          <w:tblCellMar>
            <w:top w:w="0" w:type="dxa"/>
            <w:left w:w="108" w:type="dxa"/>
            <w:bottom w:w="0" w:type="dxa"/>
            <w:right w:w="108" w:type="dxa"/>
          </w:tblCellMar>
        </w:tblPrEx>
        <w:trPr>
          <w:trHeight w:val="340" w:hRule="atLeast"/>
        </w:trPr>
        <w:tc>
          <w:tcPr>
            <w:tcW w:w="55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1</w:t>
            </w:r>
          </w:p>
        </w:tc>
        <w:tc>
          <w:tcPr>
            <w:tcW w:w="86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贵州省织金县人民法院</w:t>
            </w:r>
          </w:p>
        </w:tc>
        <w:tc>
          <w:tcPr>
            <w:tcW w:w="125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（2019）黔0524执保135号之一</w:t>
            </w:r>
          </w:p>
        </w:tc>
        <w:tc>
          <w:tcPr>
            <w:tcW w:w="119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2019年07月29日起2022年07月28日止</w:t>
            </w:r>
          </w:p>
        </w:tc>
        <w:tc>
          <w:tcPr>
            <w:tcW w:w="113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2019年7月28日</w:t>
            </w:r>
          </w:p>
        </w:tc>
      </w:tr>
      <w:tr>
        <w:tblPrEx>
          <w:tblCellMar>
            <w:top w:w="0" w:type="dxa"/>
            <w:left w:w="108" w:type="dxa"/>
            <w:bottom w:w="0" w:type="dxa"/>
            <w:right w:w="108" w:type="dxa"/>
          </w:tblCellMar>
        </w:tblPrEx>
        <w:trPr>
          <w:trHeight w:val="340" w:hRule="atLeast"/>
        </w:trPr>
        <w:tc>
          <w:tcPr>
            <w:tcW w:w="55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w:t>
            </w:r>
          </w:p>
        </w:tc>
        <w:tc>
          <w:tcPr>
            <w:tcW w:w="86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织金县人民法院</w:t>
            </w:r>
          </w:p>
        </w:tc>
        <w:tc>
          <w:tcPr>
            <w:tcW w:w="125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（2022）黔0524执816号</w:t>
            </w:r>
          </w:p>
        </w:tc>
        <w:tc>
          <w:tcPr>
            <w:tcW w:w="119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2022年02月22日起2025年02月21日止</w:t>
            </w:r>
          </w:p>
        </w:tc>
        <w:tc>
          <w:tcPr>
            <w:tcW w:w="113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2022年2月22日</w:t>
            </w:r>
          </w:p>
        </w:tc>
      </w:tr>
    </w:tbl>
    <w:p>
      <w:pPr>
        <w:numPr>
          <w:ilvl w:val="0"/>
          <w:numId w:val="10"/>
        </w:numPr>
        <w:tabs>
          <w:tab w:val="left" w:pos="210"/>
          <w:tab w:val="left" w:pos="630"/>
        </w:tabs>
        <w:spacing w:line="500" w:lineRule="exact"/>
        <w:jc w:val="left"/>
        <w:outlineLvl w:val="2"/>
        <w:rPr>
          <w:rFonts w:ascii="Times New Roman" w:hAnsi="Times New Roman" w:eastAsia="宋体"/>
          <w:bCs/>
          <w:sz w:val="28"/>
          <w:szCs w:val="28"/>
        </w:rPr>
      </w:pPr>
      <w:bookmarkStart w:id="155" w:name="_Toc46417167"/>
      <w:bookmarkStart w:id="156" w:name="_Toc47874194"/>
      <w:bookmarkStart w:id="157" w:name="_Toc65065909"/>
      <w:bookmarkStart w:id="158" w:name="_Toc47699569"/>
      <w:r>
        <w:rPr>
          <w:rFonts w:ascii="Times New Roman" w:hAnsi="Times New Roman" w:eastAsia="宋体"/>
          <w:bCs/>
          <w:sz w:val="28"/>
          <w:szCs w:val="28"/>
        </w:rPr>
        <w:t>估价对象土地基本状况</w:t>
      </w:r>
      <w:bookmarkEnd w:id="155"/>
      <w:bookmarkEnd w:id="156"/>
      <w:bookmarkEnd w:id="157"/>
      <w:bookmarkEnd w:id="158"/>
    </w:p>
    <w:p>
      <w:pPr>
        <w:spacing w:line="500" w:lineRule="exact"/>
        <w:ind w:firstLine="560" w:firstLineChars="200"/>
        <w:rPr>
          <w:rFonts w:ascii="Times New Roman" w:hAnsi="Times New Roman" w:eastAsia="宋体"/>
          <w:bCs/>
          <w:sz w:val="28"/>
          <w:szCs w:val="28"/>
        </w:rPr>
      </w:pPr>
      <w:r>
        <w:rPr>
          <w:rFonts w:ascii="Times New Roman" w:hAnsi="Times New Roman" w:eastAsia="宋体"/>
          <w:bCs/>
          <w:sz w:val="28"/>
          <w:szCs w:val="28"/>
        </w:rPr>
        <w:t>根据估价人员现场查勘，估价对象土地基本情况如下：</w:t>
      </w:r>
    </w:p>
    <w:p>
      <w:pPr>
        <w:spacing w:line="500" w:lineRule="exact"/>
        <w:ind w:firstLine="420" w:firstLineChars="200"/>
        <w:jc w:val="center"/>
        <w:rPr>
          <w:rFonts w:ascii="Times New Roman" w:hAnsi="Times New Roman" w:eastAsia="宋体"/>
          <w:b/>
          <w:bCs/>
          <w:szCs w:val="21"/>
        </w:rPr>
      </w:pPr>
      <w:r>
        <w:rPr>
          <w:rFonts w:ascii="Times New Roman" w:hAnsi="Times New Roman" w:eastAsia="宋体"/>
          <w:b/>
          <w:bCs/>
          <w:szCs w:val="21"/>
        </w:rPr>
        <w:t>估价对象土地基本情况表</w:t>
      </w:r>
    </w:p>
    <w:tbl>
      <w:tblPr>
        <w:tblStyle w:val="21"/>
        <w:tblW w:w="5000" w:type="pct"/>
        <w:jc w:val="center"/>
        <w:tblLayout w:type="autofit"/>
        <w:tblCellMar>
          <w:top w:w="0" w:type="dxa"/>
          <w:left w:w="108" w:type="dxa"/>
          <w:bottom w:w="0" w:type="dxa"/>
          <w:right w:w="108" w:type="dxa"/>
        </w:tblCellMar>
      </w:tblPr>
      <w:tblGrid>
        <w:gridCol w:w="1866"/>
        <w:gridCol w:w="7987"/>
      </w:tblGrid>
      <w:tr>
        <w:tblPrEx>
          <w:tblCellMar>
            <w:top w:w="0" w:type="dxa"/>
            <w:left w:w="108" w:type="dxa"/>
            <w:bottom w:w="0" w:type="dxa"/>
            <w:right w:w="108" w:type="dxa"/>
          </w:tblCellMar>
        </w:tblPrEx>
        <w:trPr>
          <w:trHeight w:val="340" w:hRule="atLeast"/>
          <w:jc w:val="center"/>
        </w:trPr>
        <w:tc>
          <w:tcPr>
            <w:tcW w:w="9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kern w:val="0"/>
                <w:szCs w:val="21"/>
              </w:rPr>
            </w:pPr>
            <w:r>
              <w:rPr>
                <w:rFonts w:ascii="Times New Roman" w:hAnsi="Times New Roman" w:eastAsia="宋体"/>
                <w:kern w:val="0"/>
                <w:szCs w:val="21"/>
              </w:rPr>
              <w:t>名称</w:t>
            </w:r>
          </w:p>
        </w:tc>
        <w:tc>
          <w:tcPr>
            <w:tcW w:w="4053"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rPr>
                <w:rFonts w:ascii="Times New Roman" w:hAnsi="Times New Roman" w:eastAsia="宋体"/>
                <w:kern w:val="0"/>
                <w:szCs w:val="21"/>
              </w:rPr>
            </w:pPr>
            <w:r>
              <w:rPr>
                <w:rFonts w:ascii="Times New Roman" w:hAnsi="Times New Roman" w:eastAsia="宋体"/>
                <w:kern w:val="0"/>
                <w:szCs w:val="21"/>
              </w:rPr>
              <w:t>位于八步街道办事处沙冲村营盘组一宗国有划拨土地使用权。</w:t>
            </w:r>
          </w:p>
        </w:tc>
      </w:tr>
      <w:tr>
        <w:tblPrEx>
          <w:tblCellMar>
            <w:top w:w="0" w:type="dxa"/>
            <w:left w:w="108" w:type="dxa"/>
            <w:bottom w:w="0" w:type="dxa"/>
            <w:right w:w="108" w:type="dxa"/>
          </w:tblCellMar>
        </w:tblPrEx>
        <w:trPr>
          <w:trHeight w:val="340" w:hRule="atLeast"/>
          <w:jc w:val="center"/>
        </w:trPr>
        <w:tc>
          <w:tcPr>
            <w:tcW w:w="947"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kern w:val="0"/>
                <w:szCs w:val="21"/>
              </w:rPr>
            </w:pPr>
            <w:r>
              <w:rPr>
                <w:rFonts w:ascii="Times New Roman" w:hAnsi="Times New Roman" w:eastAsia="宋体"/>
                <w:kern w:val="0"/>
                <w:szCs w:val="21"/>
              </w:rPr>
              <w:t>四至</w:t>
            </w:r>
          </w:p>
        </w:tc>
        <w:tc>
          <w:tcPr>
            <w:tcW w:w="4053" w:type="pct"/>
            <w:tcBorders>
              <w:top w:val="nil"/>
              <w:left w:val="nil"/>
              <w:bottom w:val="single" w:color="auto" w:sz="4" w:space="0"/>
              <w:right w:val="single" w:color="auto" w:sz="4" w:space="0"/>
            </w:tcBorders>
            <w:shd w:val="clear" w:color="auto" w:fill="auto"/>
            <w:noWrap/>
            <w:vAlign w:val="center"/>
          </w:tcPr>
          <w:p>
            <w:pPr>
              <w:widowControl/>
              <w:spacing w:line="320" w:lineRule="exact"/>
              <w:rPr>
                <w:rFonts w:ascii="Times New Roman" w:hAnsi="Times New Roman" w:eastAsia="宋体"/>
                <w:kern w:val="0"/>
                <w:szCs w:val="21"/>
              </w:rPr>
            </w:pPr>
            <w:r>
              <w:rPr>
                <w:rFonts w:ascii="Times New Roman" w:hAnsi="Times New Roman" w:eastAsia="宋体"/>
                <w:kern w:val="0"/>
                <w:szCs w:val="21"/>
              </w:rPr>
              <w:t>东至李书发房墙基，南至公路，西至陈绍荣房墙基，北至其他宗地。</w:t>
            </w:r>
          </w:p>
        </w:tc>
      </w:tr>
      <w:tr>
        <w:tblPrEx>
          <w:tblCellMar>
            <w:top w:w="0" w:type="dxa"/>
            <w:left w:w="108" w:type="dxa"/>
            <w:bottom w:w="0" w:type="dxa"/>
            <w:right w:w="108" w:type="dxa"/>
          </w:tblCellMar>
        </w:tblPrEx>
        <w:trPr>
          <w:trHeight w:val="340" w:hRule="atLeast"/>
          <w:jc w:val="center"/>
        </w:trPr>
        <w:tc>
          <w:tcPr>
            <w:tcW w:w="947"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kern w:val="0"/>
                <w:szCs w:val="21"/>
              </w:rPr>
            </w:pPr>
            <w:r>
              <w:rPr>
                <w:rFonts w:ascii="Times New Roman" w:hAnsi="Times New Roman" w:eastAsia="宋体"/>
                <w:kern w:val="0"/>
                <w:szCs w:val="21"/>
              </w:rPr>
              <w:t>土地使用权面积</w:t>
            </w:r>
          </w:p>
        </w:tc>
        <w:tc>
          <w:tcPr>
            <w:tcW w:w="4053" w:type="pct"/>
            <w:tcBorders>
              <w:top w:val="nil"/>
              <w:left w:val="nil"/>
              <w:bottom w:val="single" w:color="auto" w:sz="4" w:space="0"/>
              <w:right w:val="single" w:color="auto" w:sz="4" w:space="0"/>
            </w:tcBorders>
            <w:shd w:val="clear" w:color="auto" w:fill="auto"/>
            <w:noWrap/>
            <w:vAlign w:val="center"/>
          </w:tcPr>
          <w:p>
            <w:pPr>
              <w:widowControl/>
              <w:spacing w:line="320" w:lineRule="exact"/>
              <w:rPr>
                <w:rFonts w:ascii="Times New Roman" w:hAnsi="Times New Roman" w:eastAsia="宋体"/>
                <w:kern w:val="0"/>
                <w:szCs w:val="21"/>
              </w:rPr>
            </w:pPr>
            <w:r>
              <w:rPr>
                <w:rFonts w:ascii="Times New Roman" w:hAnsi="Times New Roman" w:eastAsia="宋体"/>
                <w:kern w:val="0"/>
                <w:szCs w:val="21"/>
              </w:rPr>
              <w:t>296.79平方米。</w:t>
            </w:r>
          </w:p>
        </w:tc>
      </w:tr>
      <w:tr>
        <w:tblPrEx>
          <w:tblCellMar>
            <w:top w:w="0" w:type="dxa"/>
            <w:left w:w="108" w:type="dxa"/>
            <w:bottom w:w="0" w:type="dxa"/>
            <w:right w:w="108" w:type="dxa"/>
          </w:tblCellMar>
        </w:tblPrEx>
        <w:trPr>
          <w:trHeight w:val="340" w:hRule="atLeast"/>
          <w:jc w:val="center"/>
        </w:trPr>
        <w:tc>
          <w:tcPr>
            <w:tcW w:w="947"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kern w:val="0"/>
                <w:szCs w:val="21"/>
              </w:rPr>
            </w:pPr>
            <w:r>
              <w:rPr>
                <w:rFonts w:ascii="Times New Roman" w:hAnsi="Times New Roman" w:eastAsia="宋体"/>
                <w:kern w:val="0"/>
                <w:szCs w:val="21"/>
              </w:rPr>
              <w:t>形状</w:t>
            </w:r>
          </w:p>
        </w:tc>
        <w:tc>
          <w:tcPr>
            <w:tcW w:w="4053" w:type="pct"/>
            <w:tcBorders>
              <w:top w:val="nil"/>
              <w:left w:val="nil"/>
              <w:bottom w:val="single" w:color="auto" w:sz="4" w:space="0"/>
              <w:right w:val="single" w:color="auto" w:sz="4" w:space="0"/>
            </w:tcBorders>
            <w:shd w:val="clear" w:color="auto" w:fill="auto"/>
            <w:noWrap/>
            <w:vAlign w:val="center"/>
          </w:tcPr>
          <w:p>
            <w:pPr>
              <w:widowControl/>
              <w:spacing w:line="320" w:lineRule="exact"/>
              <w:rPr>
                <w:rFonts w:ascii="Times New Roman" w:hAnsi="Times New Roman" w:eastAsia="宋体"/>
                <w:kern w:val="0"/>
                <w:szCs w:val="21"/>
              </w:rPr>
            </w:pPr>
            <w:r>
              <w:rPr>
                <w:rFonts w:ascii="Times New Roman" w:hAnsi="Times New Roman" w:eastAsia="宋体"/>
                <w:kern w:val="0"/>
                <w:szCs w:val="21"/>
              </w:rPr>
              <w:t>较为规则的多边形，有利于建筑物修建及平面布局。</w:t>
            </w:r>
          </w:p>
        </w:tc>
      </w:tr>
      <w:tr>
        <w:tblPrEx>
          <w:tblCellMar>
            <w:top w:w="0" w:type="dxa"/>
            <w:left w:w="108" w:type="dxa"/>
            <w:bottom w:w="0" w:type="dxa"/>
            <w:right w:w="108" w:type="dxa"/>
          </w:tblCellMar>
        </w:tblPrEx>
        <w:trPr>
          <w:trHeight w:val="340" w:hRule="atLeast"/>
          <w:jc w:val="center"/>
        </w:trPr>
        <w:tc>
          <w:tcPr>
            <w:tcW w:w="947"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kern w:val="0"/>
                <w:szCs w:val="21"/>
              </w:rPr>
            </w:pPr>
            <w:r>
              <w:rPr>
                <w:rFonts w:ascii="Times New Roman" w:hAnsi="Times New Roman" w:eastAsia="宋体"/>
                <w:kern w:val="0"/>
                <w:szCs w:val="21"/>
              </w:rPr>
              <w:t>地势</w:t>
            </w:r>
          </w:p>
        </w:tc>
        <w:tc>
          <w:tcPr>
            <w:tcW w:w="4053" w:type="pct"/>
            <w:tcBorders>
              <w:top w:val="nil"/>
              <w:left w:val="nil"/>
              <w:bottom w:val="single" w:color="auto" w:sz="4" w:space="0"/>
              <w:right w:val="single" w:color="auto" w:sz="4" w:space="0"/>
            </w:tcBorders>
            <w:shd w:val="clear" w:color="auto" w:fill="auto"/>
            <w:noWrap/>
            <w:vAlign w:val="center"/>
          </w:tcPr>
          <w:p>
            <w:pPr>
              <w:widowControl/>
              <w:spacing w:line="320" w:lineRule="exact"/>
              <w:rPr>
                <w:rFonts w:ascii="Times New Roman" w:hAnsi="Times New Roman" w:eastAsia="宋体"/>
                <w:kern w:val="0"/>
                <w:szCs w:val="21"/>
              </w:rPr>
            </w:pPr>
            <w:r>
              <w:rPr>
                <w:rFonts w:ascii="Times New Roman" w:hAnsi="Times New Roman" w:eastAsia="宋体"/>
                <w:kern w:val="0"/>
                <w:szCs w:val="21"/>
              </w:rPr>
              <w:t>地势较平坦，利于建筑物修建。</w:t>
            </w:r>
          </w:p>
        </w:tc>
      </w:tr>
      <w:tr>
        <w:tblPrEx>
          <w:tblCellMar>
            <w:top w:w="0" w:type="dxa"/>
            <w:left w:w="108" w:type="dxa"/>
            <w:bottom w:w="0" w:type="dxa"/>
            <w:right w:w="108" w:type="dxa"/>
          </w:tblCellMar>
        </w:tblPrEx>
        <w:trPr>
          <w:trHeight w:val="340" w:hRule="atLeast"/>
          <w:jc w:val="center"/>
        </w:trPr>
        <w:tc>
          <w:tcPr>
            <w:tcW w:w="947"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kern w:val="0"/>
                <w:szCs w:val="21"/>
              </w:rPr>
            </w:pPr>
            <w:r>
              <w:rPr>
                <w:rFonts w:ascii="Times New Roman" w:hAnsi="Times New Roman" w:eastAsia="宋体"/>
                <w:kern w:val="0"/>
                <w:szCs w:val="21"/>
              </w:rPr>
              <w:t>地质</w:t>
            </w:r>
          </w:p>
        </w:tc>
        <w:tc>
          <w:tcPr>
            <w:tcW w:w="4053" w:type="pct"/>
            <w:tcBorders>
              <w:top w:val="nil"/>
              <w:left w:val="nil"/>
              <w:bottom w:val="single" w:color="auto" w:sz="4" w:space="0"/>
              <w:right w:val="single" w:color="auto" w:sz="4" w:space="0"/>
            </w:tcBorders>
            <w:shd w:val="clear" w:color="auto" w:fill="auto"/>
            <w:noWrap/>
            <w:vAlign w:val="center"/>
          </w:tcPr>
          <w:p>
            <w:pPr>
              <w:widowControl/>
              <w:spacing w:line="320" w:lineRule="exact"/>
              <w:rPr>
                <w:rFonts w:ascii="Times New Roman" w:hAnsi="Times New Roman" w:eastAsia="宋体"/>
                <w:kern w:val="0"/>
                <w:szCs w:val="21"/>
              </w:rPr>
            </w:pPr>
            <w:r>
              <w:rPr>
                <w:rFonts w:ascii="Times New Roman" w:hAnsi="Times New Roman" w:eastAsia="宋体"/>
                <w:kern w:val="0"/>
                <w:szCs w:val="21"/>
              </w:rPr>
              <w:t>土壤未受过污染，地质条件好，稳定性较强，可供建筑用地使用。</w:t>
            </w:r>
          </w:p>
        </w:tc>
      </w:tr>
      <w:tr>
        <w:tblPrEx>
          <w:tblCellMar>
            <w:top w:w="0" w:type="dxa"/>
            <w:left w:w="108" w:type="dxa"/>
            <w:bottom w:w="0" w:type="dxa"/>
            <w:right w:w="108" w:type="dxa"/>
          </w:tblCellMar>
        </w:tblPrEx>
        <w:trPr>
          <w:trHeight w:val="340" w:hRule="atLeast"/>
          <w:jc w:val="center"/>
        </w:trPr>
        <w:tc>
          <w:tcPr>
            <w:tcW w:w="947"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kern w:val="0"/>
                <w:szCs w:val="21"/>
              </w:rPr>
            </w:pPr>
            <w:r>
              <w:rPr>
                <w:rFonts w:ascii="Times New Roman" w:hAnsi="Times New Roman" w:eastAsia="宋体"/>
                <w:kern w:val="0"/>
                <w:szCs w:val="21"/>
              </w:rPr>
              <w:t>土地开发程度</w:t>
            </w:r>
          </w:p>
        </w:tc>
        <w:tc>
          <w:tcPr>
            <w:tcW w:w="4053" w:type="pct"/>
            <w:tcBorders>
              <w:top w:val="nil"/>
              <w:left w:val="nil"/>
              <w:bottom w:val="single" w:color="auto" w:sz="4" w:space="0"/>
              <w:right w:val="single" w:color="auto" w:sz="4" w:space="0"/>
            </w:tcBorders>
            <w:shd w:val="clear" w:color="auto" w:fill="auto"/>
            <w:noWrap/>
            <w:vAlign w:val="center"/>
          </w:tcPr>
          <w:p>
            <w:pPr>
              <w:widowControl/>
              <w:spacing w:line="320" w:lineRule="exact"/>
              <w:rPr>
                <w:rFonts w:ascii="Times New Roman" w:hAnsi="Times New Roman" w:eastAsia="宋体"/>
                <w:kern w:val="0"/>
                <w:szCs w:val="21"/>
              </w:rPr>
            </w:pPr>
            <w:r>
              <w:rPr>
                <w:rFonts w:ascii="Times New Roman" w:hAnsi="Times New Roman" w:eastAsia="宋体"/>
                <w:kern w:val="0"/>
                <w:szCs w:val="21"/>
              </w:rPr>
              <w:t>“</w:t>
            </w:r>
            <w:r>
              <w:rPr>
                <w:rFonts w:hint="eastAsia" w:ascii="Times New Roman" w:hAnsi="Times New Roman" w:eastAsia="宋体"/>
                <w:kern w:val="0"/>
                <w:szCs w:val="21"/>
              </w:rPr>
              <w:t>四</w:t>
            </w:r>
            <w:r>
              <w:rPr>
                <w:rFonts w:ascii="Times New Roman" w:hAnsi="Times New Roman" w:eastAsia="宋体"/>
                <w:kern w:val="0"/>
                <w:szCs w:val="21"/>
              </w:rPr>
              <w:t>通”即通路、通上水、通电、通讯。</w:t>
            </w:r>
          </w:p>
        </w:tc>
      </w:tr>
      <w:tr>
        <w:tblPrEx>
          <w:tblCellMar>
            <w:top w:w="0" w:type="dxa"/>
            <w:left w:w="108" w:type="dxa"/>
            <w:bottom w:w="0" w:type="dxa"/>
            <w:right w:w="108" w:type="dxa"/>
          </w:tblCellMar>
        </w:tblPrEx>
        <w:trPr>
          <w:trHeight w:val="340" w:hRule="atLeast"/>
          <w:jc w:val="center"/>
        </w:trPr>
        <w:tc>
          <w:tcPr>
            <w:tcW w:w="947"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kern w:val="0"/>
                <w:szCs w:val="21"/>
              </w:rPr>
            </w:pPr>
            <w:r>
              <w:rPr>
                <w:rFonts w:ascii="Times New Roman" w:hAnsi="Times New Roman" w:eastAsia="宋体"/>
                <w:kern w:val="0"/>
                <w:szCs w:val="21"/>
              </w:rPr>
              <w:t>土地使用期限</w:t>
            </w:r>
          </w:p>
        </w:tc>
        <w:tc>
          <w:tcPr>
            <w:tcW w:w="4053" w:type="pct"/>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Times New Roman" w:hAnsi="Times New Roman" w:eastAsia="宋体"/>
                <w:kern w:val="0"/>
                <w:szCs w:val="21"/>
              </w:rPr>
            </w:pPr>
            <w:r>
              <w:rPr>
                <w:rFonts w:ascii="Times New Roman" w:hAnsi="Times New Roman" w:eastAsia="宋体"/>
                <w:kern w:val="0"/>
                <w:szCs w:val="21"/>
              </w:rPr>
              <w:t>土地使用权</w:t>
            </w:r>
            <w:r>
              <w:rPr>
                <w:rFonts w:hint="eastAsia" w:ascii="Times New Roman" w:hAnsi="Times New Roman" w:eastAsia="宋体"/>
                <w:kern w:val="0"/>
                <w:szCs w:val="21"/>
              </w:rPr>
              <w:t>年限</w:t>
            </w:r>
            <w:r>
              <w:rPr>
                <w:rFonts w:ascii="Times New Roman" w:hAnsi="Times New Roman" w:eastAsia="宋体"/>
                <w:kern w:val="0"/>
                <w:szCs w:val="21"/>
              </w:rPr>
              <w:t>无限制。</w:t>
            </w:r>
          </w:p>
        </w:tc>
      </w:tr>
      <w:tr>
        <w:tblPrEx>
          <w:tblCellMar>
            <w:top w:w="0" w:type="dxa"/>
            <w:left w:w="108" w:type="dxa"/>
            <w:bottom w:w="0" w:type="dxa"/>
            <w:right w:w="108" w:type="dxa"/>
          </w:tblCellMar>
        </w:tblPrEx>
        <w:trPr>
          <w:trHeight w:val="340" w:hRule="atLeast"/>
          <w:jc w:val="center"/>
        </w:trPr>
        <w:tc>
          <w:tcPr>
            <w:tcW w:w="9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kern w:val="0"/>
                <w:szCs w:val="21"/>
              </w:rPr>
            </w:pPr>
            <w:r>
              <w:rPr>
                <w:rFonts w:ascii="Times New Roman" w:hAnsi="Times New Roman" w:eastAsia="宋体"/>
                <w:kern w:val="0"/>
                <w:szCs w:val="21"/>
              </w:rPr>
              <w:t>土地等级</w:t>
            </w:r>
          </w:p>
        </w:tc>
        <w:tc>
          <w:tcPr>
            <w:tcW w:w="4053"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Times New Roman" w:hAnsi="Times New Roman" w:eastAsia="宋体"/>
                <w:kern w:val="0"/>
                <w:szCs w:val="21"/>
              </w:rPr>
            </w:pPr>
            <w:r>
              <w:rPr>
                <w:rFonts w:ascii="Times New Roman" w:hAnsi="Times New Roman" w:eastAsia="宋体"/>
                <w:kern w:val="0"/>
                <w:szCs w:val="21"/>
              </w:rPr>
              <w:t>根据织金县2018年06月29日施行的《</w:t>
            </w:r>
            <w:bookmarkStart w:id="159" w:name="_Toc517272475"/>
            <w:bookmarkStart w:id="160" w:name="_Toc519253671"/>
            <w:bookmarkStart w:id="161" w:name="_Toc500943818"/>
            <w:bookmarkStart w:id="162" w:name="_Toc500945496"/>
            <w:bookmarkStart w:id="163" w:name="_Toc517272445"/>
            <w:bookmarkStart w:id="164" w:name="_Toc501109277"/>
            <w:bookmarkStart w:id="165" w:name="_Toc519151629"/>
            <w:bookmarkStart w:id="166" w:name="_Toc517272401"/>
            <w:bookmarkStart w:id="167" w:name="_Toc519152118"/>
            <w:r>
              <w:rPr>
                <w:rFonts w:ascii="Times New Roman" w:hAnsi="Times New Roman" w:eastAsia="宋体"/>
                <w:kern w:val="0"/>
                <w:szCs w:val="21"/>
              </w:rPr>
              <w:t>2017年织金县城镇</w:t>
            </w:r>
            <w:bookmarkEnd w:id="159"/>
            <w:bookmarkEnd w:id="160"/>
            <w:bookmarkEnd w:id="161"/>
            <w:bookmarkEnd w:id="162"/>
            <w:bookmarkEnd w:id="163"/>
            <w:bookmarkEnd w:id="164"/>
            <w:bookmarkEnd w:id="165"/>
            <w:bookmarkEnd w:id="166"/>
            <w:bookmarkEnd w:id="167"/>
            <w:bookmarkStart w:id="168" w:name="_Toc517272476"/>
            <w:bookmarkStart w:id="169" w:name="_Toc500943819"/>
            <w:bookmarkStart w:id="170" w:name="_Toc501109278"/>
            <w:bookmarkStart w:id="171" w:name="_Toc519253672"/>
            <w:bookmarkStart w:id="172" w:name="_Toc517272402"/>
            <w:bookmarkStart w:id="173" w:name="_Toc519152119"/>
            <w:bookmarkStart w:id="174" w:name="_Toc500945497"/>
            <w:bookmarkStart w:id="175" w:name="_Toc517272446"/>
            <w:bookmarkStart w:id="176" w:name="_Toc519151630"/>
            <w:r>
              <w:rPr>
                <w:rFonts w:ascii="Times New Roman" w:hAnsi="Times New Roman" w:eastAsia="宋体"/>
                <w:kern w:val="0"/>
                <w:szCs w:val="21"/>
              </w:rPr>
              <w:t>土地定级及基准地价更新实施细则</w:t>
            </w:r>
            <w:bookmarkEnd w:id="168"/>
            <w:bookmarkEnd w:id="169"/>
            <w:bookmarkEnd w:id="170"/>
            <w:bookmarkEnd w:id="171"/>
            <w:bookmarkEnd w:id="172"/>
            <w:bookmarkEnd w:id="173"/>
            <w:bookmarkEnd w:id="174"/>
            <w:bookmarkEnd w:id="175"/>
            <w:bookmarkEnd w:id="176"/>
            <w:r>
              <w:rPr>
                <w:rFonts w:ascii="Times New Roman" w:hAnsi="Times New Roman" w:eastAsia="宋体"/>
                <w:kern w:val="0"/>
                <w:szCs w:val="21"/>
              </w:rPr>
              <w:t>》，确定该宗地属于织金县经济开发区一级住宅用地。</w:t>
            </w:r>
          </w:p>
        </w:tc>
      </w:tr>
    </w:tbl>
    <w:p>
      <w:pPr>
        <w:numPr>
          <w:ilvl w:val="0"/>
          <w:numId w:val="10"/>
        </w:numPr>
        <w:tabs>
          <w:tab w:val="left" w:pos="210"/>
          <w:tab w:val="left" w:pos="630"/>
        </w:tabs>
        <w:spacing w:line="500" w:lineRule="exact"/>
        <w:jc w:val="left"/>
        <w:outlineLvl w:val="2"/>
        <w:rPr>
          <w:rFonts w:ascii="Times New Roman" w:hAnsi="Times New Roman" w:eastAsia="宋体"/>
          <w:bCs/>
          <w:sz w:val="28"/>
          <w:szCs w:val="28"/>
        </w:rPr>
      </w:pPr>
      <w:bookmarkStart w:id="177" w:name="_Toc65065910"/>
      <w:bookmarkStart w:id="178" w:name="_Toc47874195"/>
      <w:bookmarkStart w:id="179" w:name="_Toc47699570"/>
      <w:bookmarkStart w:id="180" w:name="_Toc46417168"/>
      <w:r>
        <w:rPr>
          <w:rFonts w:ascii="Times New Roman" w:hAnsi="Times New Roman" w:eastAsia="宋体"/>
          <w:bCs/>
          <w:sz w:val="28"/>
          <w:szCs w:val="28"/>
        </w:rPr>
        <w:t>估价对象实物状况</w:t>
      </w:r>
      <w:bookmarkEnd w:id="177"/>
      <w:bookmarkEnd w:id="178"/>
      <w:bookmarkEnd w:id="179"/>
      <w:bookmarkEnd w:id="180"/>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根据估价人员现场查勘，估价对象实物状况（详见下表）：</w:t>
      </w:r>
    </w:p>
    <w:tbl>
      <w:tblPr>
        <w:tblStyle w:val="21"/>
        <w:tblW w:w="5000" w:type="pct"/>
        <w:tblInd w:w="0" w:type="dxa"/>
        <w:tblLayout w:type="autofit"/>
        <w:tblCellMar>
          <w:top w:w="0" w:type="dxa"/>
          <w:left w:w="108" w:type="dxa"/>
          <w:bottom w:w="0" w:type="dxa"/>
          <w:right w:w="108" w:type="dxa"/>
        </w:tblCellMar>
      </w:tblPr>
      <w:tblGrid>
        <w:gridCol w:w="885"/>
        <w:gridCol w:w="788"/>
        <w:gridCol w:w="1275"/>
        <w:gridCol w:w="1129"/>
        <w:gridCol w:w="2871"/>
        <w:gridCol w:w="1100"/>
        <w:gridCol w:w="1805"/>
      </w:tblGrid>
      <w:tr>
        <w:tblPrEx>
          <w:tblCellMar>
            <w:top w:w="0" w:type="dxa"/>
            <w:left w:w="108" w:type="dxa"/>
            <w:bottom w:w="0" w:type="dxa"/>
            <w:right w:w="108" w:type="dxa"/>
          </w:tblCellMar>
        </w:tblPrEx>
        <w:trPr>
          <w:trHeight w:val="340" w:hRule="atLeast"/>
        </w:trPr>
        <w:tc>
          <w:tcPr>
            <w:tcW w:w="5000" w:type="pct"/>
            <w:gridSpan w:val="7"/>
            <w:tcBorders>
              <w:top w:val="nil"/>
              <w:left w:val="nil"/>
              <w:bottom w:val="nil"/>
              <w:right w:val="nil"/>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估价对象建筑物实物状况</w:t>
            </w:r>
          </w:p>
        </w:tc>
      </w:tr>
      <w:tr>
        <w:tblPrEx>
          <w:tblCellMar>
            <w:top w:w="0" w:type="dxa"/>
            <w:left w:w="108" w:type="dxa"/>
            <w:bottom w:w="0" w:type="dxa"/>
            <w:right w:w="108" w:type="dxa"/>
          </w:tblCellMar>
        </w:tblPrEx>
        <w:trPr>
          <w:trHeight w:val="340" w:hRule="atLeast"/>
        </w:trPr>
        <w:tc>
          <w:tcPr>
            <w:tcW w:w="84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建筑物名称</w:t>
            </w:r>
          </w:p>
        </w:tc>
        <w:tc>
          <w:tcPr>
            <w:tcW w:w="6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自建房</w:t>
            </w:r>
          </w:p>
        </w:tc>
        <w:tc>
          <w:tcPr>
            <w:tcW w:w="5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坐    落</w:t>
            </w:r>
          </w:p>
        </w:tc>
        <w:tc>
          <w:tcPr>
            <w:tcW w:w="293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八步镇沙冲村营盘组</w:t>
            </w:r>
          </w:p>
        </w:tc>
      </w:tr>
      <w:tr>
        <w:tblPrEx>
          <w:tblCellMar>
            <w:top w:w="0" w:type="dxa"/>
            <w:left w:w="108" w:type="dxa"/>
            <w:bottom w:w="0" w:type="dxa"/>
            <w:right w:w="108" w:type="dxa"/>
          </w:tblCellMar>
        </w:tblPrEx>
        <w:trPr>
          <w:trHeight w:val="340" w:hRule="atLeast"/>
        </w:trPr>
        <w:tc>
          <w:tcPr>
            <w:tcW w:w="84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建筑结构</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混合结构</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建成年代</w:t>
            </w:r>
          </w:p>
        </w:tc>
        <w:tc>
          <w:tcPr>
            <w:tcW w:w="1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2015年</w:t>
            </w:r>
          </w:p>
        </w:tc>
        <w:tc>
          <w:tcPr>
            <w:tcW w:w="5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成新率</w:t>
            </w:r>
          </w:p>
        </w:tc>
        <w:tc>
          <w:tcPr>
            <w:tcW w:w="91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八五成</w:t>
            </w:r>
          </w:p>
        </w:tc>
      </w:tr>
      <w:tr>
        <w:tblPrEx>
          <w:tblCellMar>
            <w:top w:w="0" w:type="dxa"/>
            <w:left w:w="108" w:type="dxa"/>
            <w:bottom w:w="0" w:type="dxa"/>
            <w:right w:w="108" w:type="dxa"/>
          </w:tblCellMar>
        </w:tblPrEx>
        <w:trPr>
          <w:trHeight w:val="340" w:hRule="atLeast"/>
        </w:trPr>
        <w:tc>
          <w:tcPr>
            <w:tcW w:w="84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楼龄</w:t>
            </w:r>
          </w:p>
        </w:tc>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7年</w:t>
            </w:r>
          </w:p>
        </w:tc>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户型</w:t>
            </w:r>
          </w:p>
        </w:tc>
        <w:tc>
          <w:tcPr>
            <w:tcW w:w="1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除2层建筑物临</w:t>
            </w:r>
            <w:r>
              <w:rPr>
                <w:rFonts w:hint="eastAsia" w:ascii="Times New Roman" w:hAnsi="Times New Roman" w:eastAsia="宋体"/>
                <w:kern w:val="0"/>
                <w:szCs w:val="21"/>
              </w:rPr>
              <w:t>路</w:t>
            </w:r>
            <w:r>
              <w:rPr>
                <w:rFonts w:ascii="Times New Roman" w:hAnsi="Times New Roman" w:eastAsia="宋体"/>
                <w:kern w:val="0"/>
                <w:szCs w:val="21"/>
              </w:rPr>
              <w:t>前半部分</w:t>
            </w:r>
            <w:r>
              <w:rPr>
                <w:rFonts w:hint="eastAsia" w:ascii="Times New Roman" w:hAnsi="Times New Roman" w:eastAsia="宋体"/>
                <w:kern w:val="0"/>
                <w:szCs w:val="21"/>
              </w:rPr>
              <w:t>(以楼梯、天井为界)</w:t>
            </w:r>
            <w:r>
              <w:rPr>
                <w:rFonts w:ascii="Times New Roman" w:hAnsi="Times New Roman" w:eastAsia="宋体"/>
                <w:kern w:val="0"/>
                <w:szCs w:val="21"/>
              </w:rPr>
              <w:t>为商业用房。</w:t>
            </w:r>
            <w:r>
              <w:rPr>
                <w:rFonts w:hint="eastAsia" w:ascii="Times New Roman" w:hAnsi="Times New Roman" w:eastAsia="宋体"/>
                <w:kern w:val="0"/>
                <w:szCs w:val="21"/>
              </w:rPr>
              <w:t>(详见房地产平面图</w:t>
            </w:r>
            <w:r>
              <w:rPr>
                <w:rFonts w:ascii="Times New Roman" w:hAnsi="Times New Roman" w:eastAsia="宋体"/>
                <w:kern w:val="0"/>
                <w:szCs w:val="21"/>
              </w:rPr>
              <w:t>)</w:t>
            </w:r>
          </w:p>
        </w:tc>
        <w:tc>
          <w:tcPr>
            <w:tcW w:w="5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建筑面积（m</w:t>
            </w:r>
            <w:r>
              <w:rPr>
                <w:rFonts w:ascii="Times New Roman" w:hAnsi="Times New Roman" w:eastAsia="宋体"/>
                <w:kern w:val="0"/>
                <w:szCs w:val="21"/>
                <w:vertAlign w:val="superscript"/>
              </w:rPr>
              <w:t>2</w:t>
            </w:r>
            <w:r>
              <w:rPr>
                <w:rFonts w:ascii="Times New Roman" w:hAnsi="Times New Roman" w:eastAsia="宋体"/>
                <w:kern w:val="0"/>
                <w:szCs w:val="21"/>
              </w:rPr>
              <w:t>）</w:t>
            </w:r>
          </w:p>
        </w:tc>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975.58（其中住宅用房819.28，商业用房156.30）</w:t>
            </w:r>
          </w:p>
        </w:tc>
      </w:tr>
      <w:tr>
        <w:tblPrEx>
          <w:tblCellMar>
            <w:top w:w="0" w:type="dxa"/>
            <w:left w:w="108" w:type="dxa"/>
            <w:bottom w:w="0" w:type="dxa"/>
            <w:right w:w="108" w:type="dxa"/>
          </w:tblCellMar>
        </w:tblPrEx>
        <w:trPr>
          <w:trHeight w:val="340" w:hRule="atLeast"/>
        </w:trPr>
        <w:tc>
          <w:tcPr>
            <w:tcW w:w="84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总 楼 层</w:t>
            </w:r>
          </w:p>
        </w:tc>
        <w:tc>
          <w:tcPr>
            <w:tcW w:w="64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4层</w:t>
            </w:r>
          </w:p>
        </w:tc>
        <w:tc>
          <w:tcPr>
            <w:tcW w:w="5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所在楼层</w:t>
            </w:r>
          </w:p>
        </w:tc>
        <w:tc>
          <w:tcPr>
            <w:tcW w:w="14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1-4层</w:t>
            </w:r>
          </w:p>
        </w:tc>
        <w:tc>
          <w:tcPr>
            <w:tcW w:w="5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室内净高</w:t>
            </w:r>
          </w:p>
        </w:tc>
        <w:tc>
          <w:tcPr>
            <w:tcW w:w="9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约3.7米</w:t>
            </w:r>
          </w:p>
        </w:tc>
      </w:tr>
      <w:tr>
        <w:tblPrEx>
          <w:tblCellMar>
            <w:top w:w="0" w:type="dxa"/>
            <w:left w:w="108" w:type="dxa"/>
            <w:bottom w:w="0" w:type="dxa"/>
            <w:right w:w="108" w:type="dxa"/>
          </w:tblCellMar>
        </w:tblPrEx>
        <w:trPr>
          <w:trHeight w:val="340" w:hRule="atLeast"/>
        </w:trPr>
        <w:tc>
          <w:tcPr>
            <w:tcW w:w="84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通风采光</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一般</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利用现状</w:t>
            </w:r>
          </w:p>
        </w:tc>
        <w:tc>
          <w:tcPr>
            <w:tcW w:w="145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空置</w:t>
            </w:r>
          </w:p>
        </w:tc>
        <w:tc>
          <w:tcPr>
            <w:tcW w:w="55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维护保养</w:t>
            </w:r>
          </w:p>
        </w:tc>
        <w:tc>
          <w:tcPr>
            <w:tcW w:w="91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一般</w:t>
            </w:r>
          </w:p>
        </w:tc>
      </w:tr>
      <w:tr>
        <w:tblPrEx>
          <w:tblCellMar>
            <w:top w:w="0" w:type="dxa"/>
            <w:left w:w="108" w:type="dxa"/>
            <w:bottom w:w="0" w:type="dxa"/>
            <w:right w:w="108" w:type="dxa"/>
          </w:tblCellMar>
        </w:tblPrEx>
        <w:trPr>
          <w:trHeight w:val="340" w:hRule="atLeast"/>
        </w:trPr>
        <w:tc>
          <w:tcPr>
            <w:tcW w:w="84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管    线</w:t>
            </w:r>
          </w:p>
        </w:tc>
        <w:tc>
          <w:tcPr>
            <w:tcW w:w="647"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水明电暗</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车位配置</w:t>
            </w:r>
          </w:p>
        </w:tc>
        <w:tc>
          <w:tcPr>
            <w:tcW w:w="293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估价对象所在宗地道路旁能够停车，停车便利度一般。</w:t>
            </w:r>
          </w:p>
        </w:tc>
      </w:tr>
      <w:tr>
        <w:tblPrEx>
          <w:tblCellMar>
            <w:top w:w="0" w:type="dxa"/>
            <w:left w:w="108" w:type="dxa"/>
            <w:bottom w:w="0" w:type="dxa"/>
            <w:right w:w="108" w:type="dxa"/>
          </w:tblCellMar>
        </w:tblPrEx>
        <w:trPr>
          <w:trHeight w:val="340" w:hRule="atLeast"/>
        </w:trPr>
        <w:tc>
          <w:tcPr>
            <w:tcW w:w="84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设备设施</w:t>
            </w:r>
          </w:p>
        </w:tc>
        <w:tc>
          <w:tcPr>
            <w:tcW w:w="4151" w:type="pct"/>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灭火器。</w:t>
            </w:r>
          </w:p>
        </w:tc>
      </w:tr>
      <w:tr>
        <w:tblPrEx>
          <w:tblCellMar>
            <w:top w:w="0" w:type="dxa"/>
            <w:left w:w="108" w:type="dxa"/>
            <w:bottom w:w="0" w:type="dxa"/>
            <w:right w:w="108" w:type="dxa"/>
          </w:tblCellMar>
        </w:tblPrEx>
        <w:trPr>
          <w:trHeight w:val="340" w:hRule="atLeast"/>
        </w:trPr>
        <w:tc>
          <w:tcPr>
            <w:tcW w:w="84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基础设施</w:t>
            </w:r>
          </w:p>
        </w:tc>
        <w:tc>
          <w:tcPr>
            <w:tcW w:w="4151" w:type="pct"/>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达到“</w:t>
            </w:r>
            <w:r>
              <w:rPr>
                <w:rFonts w:hint="eastAsia" w:ascii="Times New Roman" w:hAnsi="Times New Roman" w:eastAsia="宋体"/>
                <w:kern w:val="0"/>
                <w:szCs w:val="21"/>
              </w:rPr>
              <w:t>四</w:t>
            </w:r>
            <w:r>
              <w:rPr>
                <w:rFonts w:ascii="Times New Roman" w:hAnsi="Times New Roman" w:eastAsia="宋体"/>
                <w:kern w:val="0"/>
                <w:szCs w:val="21"/>
              </w:rPr>
              <w:t>通”，即通路、通上水、通电、通讯。</w:t>
            </w:r>
          </w:p>
        </w:tc>
      </w:tr>
      <w:tr>
        <w:tblPrEx>
          <w:tblCellMar>
            <w:top w:w="0" w:type="dxa"/>
            <w:left w:w="108" w:type="dxa"/>
            <w:bottom w:w="0" w:type="dxa"/>
            <w:right w:w="108" w:type="dxa"/>
          </w:tblCellMar>
        </w:tblPrEx>
        <w:trPr>
          <w:trHeight w:val="340" w:hRule="atLeast"/>
        </w:trPr>
        <w:tc>
          <w:tcPr>
            <w:tcW w:w="84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楼梯通道</w:t>
            </w:r>
          </w:p>
        </w:tc>
        <w:tc>
          <w:tcPr>
            <w:tcW w:w="4151" w:type="pct"/>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hint="eastAsia" w:ascii="Times New Roman" w:hAnsi="Times New Roman" w:eastAsia="宋体"/>
                <w:kern w:val="0"/>
                <w:szCs w:val="21"/>
              </w:rPr>
              <w:t>楼梯间地面贴地砖，墙面墙裙部分贴墙砖，其余墙面及顶面为瓷粉罩面，安装木扶手通道地面贴地砖，墙面部分贴墙砖，部分为瓷粉罩面，顶面为瓷粉罩面</w:t>
            </w:r>
            <w:r>
              <w:rPr>
                <w:rFonts w:ascii="Times New Roman" w:hAnsi="Times New Roman" w:eastAsia="宋体"/>
                <w:kern w:val="0"/>
                <w:szCs w:val="21"/>
              </w:rPr>
              <w:t>。</w:t>
            </w:r>
          </w:p>
        </w:tc>
      </w:tr>
      <w:tr>
        <w:tblPrEx>
          <w:tblCellMar>
            <w:top w:w="0" w:type="dxa"/>
            <w:left w:w="108" w:type="dxa"/>
            <w:bottom w:w="0" w:type="dxa"/>
            <w:right w:w="108" w:type="dxa"/>
          </w:tblCellMar>
        </w:tblPrEx>
        <w:trPr>
          <w:trHeight w:val="340" w:hRule="atLeast"/>
        </w:trPr>
        <w:tc>
          <w:tcPr>
            <w:tcW w:w="44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室内外装修状况</w:t>
            </w:r>
          </w:p>
        </w:tc>
        <w:tc>
          <w:tcPr>
            <w:tcW w:w="4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外墙</w:t>
            </w:r>
          </w:p>
        </w:tc>
        <w:tc>
          <w:tcPr>
            <w:tcW w:w="4151" w:type="pct"/>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正立面贴条形砖，安装卷帘门及玻璃幕墙，其余外墙面为清水墙，安装铝合金窗。</w:t>
            </w:r>
          </w:p>
        </w:tc>
      </w:tr>
      <w:tr>
        <w:trPr>
          <w:trHeight w:val="624" w:hRule="atLeast"/>
        </w:trPr>
        <w:tc>
          <w:tcPr>
            <w:tcW w:w="44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4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室内装修</w:t>
            </w:r>
          </w:p>
        </w:tc>
        <w:tc>
          <w:tcPr>
            <w:tcW w:w="4151" w:type="pct"/>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hint="eastAsia" w:ascii="Times New Roman" w:hAnsi="Times New Roman" w:eastAsia="宋体"/>
                <w:kern w:val="0"/>
                <w:szCs w:val="21"/>
              </w:rPr>
              <w:t>一层：室内大厅地面为水泥清光，墙面及顶面为瓷粉罩面，安装镶板门及铝合金窗；房间地面贴地砖，墙面及顶面为瓷粉罩面，安装镶板门及铝合金窗；卫生间地面贴地砖，墙面贴墙砖，顶面为铝扣板吊顶；水明敷电暗敷。</w:t>
            </w:r>
          </w:p>
          <w:p>
            <w:pPr>
              <w:widowControl/>
              <w:jc w:val="left"/>
              <w:rPr>
                <w:rFonts w:ascii="Times New Roman" w:hAnsi="Times New Roman" w:eastAsia="宋体"/>
                <w:kern w:val="0"/>
                <w:szCs w:val="21"/>
              </w:rPr>
            </w:pPr>
            <w:r>
              <w:rPr>
                <w:rFonts w:hint="eastAsia" w:ascii="Times New Roman" w:hAnsi="Times New Roman" w:eastAsia="宋体"/>
                <w:kern w:val="0"/>
                <w:szCs w:val="21"/>
              </w:rPr>
              <w:t>二层：临街门面部分，入户安装卷帘门，室内安装镶板门及铝合金窗，地面贴地砖，墙面及顶面为瓷粉罩面；住宅部分，室内地面贴地砖，墙面及顶面为瓷粉罩面，安装镶板门及铝合金窗；卫生间地面贴地砖，墙面贴墙砖，顶面为铝扣板吊顶，安装铝合金成品套门、铝合金窗；水明敷电暗敷。</w:t>
            </w:r>
          </w:p>
          <w:p>
            <w:pPr>
              <w:widowControl/>
              <w:jc w:val="left"/>
              <w:rPr>
                <w:rFonts w:ascii="Times New Roman" w:hAnsi="Times New Roman" w:eastAsia="宋体"/>
                <w:kern w:val="0"/>
                <w:szCs w:val="21"/>
              </w:rPr>
            </w:pPr>
            <w:r>
              <w:rPr>
                <w:rFonts w:hint="eastAsia" w:ascii="Times New Roman" w:hAnsi="Times New Roman" w:eastAsia="宋体"/>
                <w:kern w:val="0"/>
                <w:szCs w:val="21"/>
              </w:rPr>
              <w:t>三层：室内大厅地面贴地砖，墙面及顶面为瓷粉罩面，安装镶板门及铝合金窗；房间地面贴地砖，墙面及顶面为瓷粉罩面，安装镶板门及铝合金窗；卫生间地面贴地砖，墙面贴墙砖，顶面为铝扣板吊顶，安装铝合金成品套门、铝合金窗；水电暗敷。</w:t>
            </w:r>
          </w:p>
          <w:p>
            <w:pPr>
              <w:widowControl/>
              <w:jc w:val="left"/>
              <w:rPr>
                <w:rFonts w:ascii="Times New Roman" w:hAnsi="Times New Roman" w:eastAsia="宋体"/>
                <w:kern w:val="0"/>
                <w:szCs w:val="21"/>
              </w:rPr>
            </w:pPr>
            <w:r>
              <w:rPr>
                <w:rFonts w:hint="eastAsia" w:ascii="Times New Roman" w:hAnsi="Times New Roman" w:eastAsia="宋体"/>
                <w:kern w:val="0"/>
                <w:szCs w:val="21"/>
              </w:rPr>
              <w:t>四层：入户安装防盗门，室内客厅地面贴地砖，墙面为瓷粉罩面，顶面四周为石膏板吊顶，中空部分为瓷粉罩面；厨房及卫生间地面贴地砖，墙面贴墙砖，顶面为铝扣板吊顶；室内安装成品套门及铝合金窗，水电暗敷。</w:t>
            </w:r>
          </w:p>
          <w:p>
            <w:pPr>
              <w:widowControl/>
              <w:jc w:val="left"/>
              <w:rPr>
                <w:rFonts w:ascii="Times New Roman" w:hAnsi="Times New Roman" w:eastAsia="宋体"/>
                <w:kern w:val="0"/>
                <w:szCs w:val="21"/>
              </w:rPr>
            </w:pPr>
            <w:r>
              <w:rPr>
                <w:rFonts w:hint="eastAsia" w:ascii="Times New Roman" w:hAnsi="Times New Roman" w:eastAsia="宋体"/>
                <w:kern w:val="0"/>
                <w:szCs w:val="21"/>
              </w:rPr>
              <w:t>总体来看，估价对象维护及保养状况一般</w:t>
            </w:r>
            <w:r>
              <w:rPr>
                <w:rFonts w:ascii="Times New Roman" w:hAnsi="Times New Roman" w:eastAsia="宋体"/>
                <w:kern w:val="0"/>
                <w:szCs w:val="21"/>
              </w:rPr>
              <w:t>。</w:t>
            </w:r>
          </w:p>
        </w:tc>
      </w:tr>
      <w:tr>
        <w:tblPrEx>
          <w:tblCellMar>
            <w:top w:w="0" w:type="dxa"/>
            <w:left w:w="108" w:type="dxa"/>
            <w:bottom w:w="0" w:type="dxa"/>
            <w:right w:w="108" w:type="dxa"/>
          </w:tblCellMar>
        </w:tblPrEx>
        <w:trPr>
          <w:trHeight w:val="624" w:hRule="atLeast"/>
        </w:trPr>
        <w:tc>
          <w:tcPr>
            <w:tcW w:w="44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4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4151" w:type="pct"/>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r>
      <w:tr>
        <w:tblPrEx>
          <w:tblCellMar>
            <w:top w:w="0" w:type="dxa"/>
            <w:left w:w="108" w:type="dxa"/>
            <w:bottom w:w="0" w:type="dxa"/>
            <w:right w:w="108" w:type="dxa"/>
          </w:tblCellMar>
        </w:tblPrEx>
        <w:trPr>
          <w:trHeight w:val="624" w:hRule="atLeast"/>
        </w:trPr>
        <w:tc>
          <w:tcPr>
            <w:tcW w:w="44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4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4151" w:type="pct"/>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r>
      <w:tr>
        <w:tblPrEx>
          <w:tblCellMar>
            <w:top w:w="0" w:type="dxa"/>
            <w:left w:w="108" w:type="dxa"/>
            <w:bottom w:w="0" w:type="dxa"/>
            <w:right w:w="108" w:type="dxa"/>
          </w:tblCellMar>
        </w:tblPrEx>
        <w:trPr>
          <w:trHeight w:val="624" w:hRule="atLeast"/>
        </w:trPr>
        <w:tc>
          <w:tcPr>
            <w:tcW w:w="44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40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4151" w:type="pct"/>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r>
    </w:tbl>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估价对象</w:t>
      </w:r>
      <w:r>
        <w:rPr>
          <w:rFonts w:hint="eastAsia" w:ascii="Times New Roman" w:hAnsi="Times New Roman" w:eastAsia="宋体"/>
          <w:sz w:val="28"/>
          <w:szCs w:val="28"/>
        </w:rPr>
        <w:t>布局</w:t>
      </w:r>
      <w:r>
        <w:rPr>
          <w:rFonts w:ascii="Times New Roman" w:hAnsi="Times New Roman" w:eastAsia="宋体"/>
          <w:sz w:val="28"/>
          <w:szCs w:val="28"/>
        </w:rPr>
        <w:t>示意图：见估价对象《房屋所有权证》附图房地产平面图。</w:t>
      </w:r>
    </w:p>
    <w:p>
      <w:pPr>
        <w:numPr>
          <w:ilvl w:val="0"/>
          <w:numId w:val="10"/>
        </w:numPr>
        <w:tabs>
          <w:tab w:val="left" w:pos="210"/>
          <w:tab w:val="left" w:pos="630"/>
        </w:tabs>
        <w:spacing w:line="500" w:lineRule="exact"/>
        <w:jc w:val="left"/>
        <w:outlineLvl w:val="2"/>
        <w:rPr>
          <w:rFonts w:ascii="Times New Roman" w:hAnsi="Times New Roman" w:eastAsia="宋体"/>
          <w:bCs/>
          <w:sz w:val="28"/>
          <w:szCs w:val="28"/>
        </w:rPr>
      </w:pPr>
      <w:bookmarkStart w:id="181" w:name="_Toc46417169"/>
      <w:bookmarkStart w:id="182" w:name="_Toc47699571"/>
      <w:bookmarkStart w:id="183" w:name="_Toc47874196"/>
      <w:bookmarkStart w:id="184" w:name="_Toc65065911"/>
      <w:r>
        <w:rPr>
          <w:rFonts w:ascii="Times New Roman" w:hAnsi="Times New Roman" w:eastAsia="宋体"/>
          <w:bCs/>
          <w:sz w:val="28"/>
          <w:szCs w:val="28"/>
        </w:rPr>
        <w:t>估价对象区位状况</w:t>
      </w:r>
      <w:bookmarkEnd w:id="181"/>
      <w:bookmarkEnd w:id="182"/>
      <w:bookmarkEnd w:id="183"/>
      <w:bookmarkEnd w:id="184"/>
    </w:p>
    <w:p>
      <w:pPr>
        <w:spacing w:line="500" w:lineRule="exact"/>
        <w:ind w:firstLine="554" w:firstLineChars="198"/>
        <w:rPr>
          <w:rFonts w:ascii="Times New Roman" w:hAnsi="Times New Roman" w:eastAsia="宋体"/>
          <w:bCs/>
          <w:sz w:val="28"/>
          <w:szCs w:val="28"/>
        </w:rPr>
      </w:pPr>
      <w:r>
        <w:rPr>
          <w:rFonts w:ascii="Times New Roman" w:hAnsi="Times New Roman" w:eastAsia="宋体"/>
          <w:bCs/>
          <w:sz w:val="28"/>
          <w:szCs w:val="28"/>
        </w:rPr>
        <w:t>根据估价人员实地查勘，估价对象的区位状况详见下表：</w:t>
      </w:r>
    </w:p>
    <w:tbl>
      <w:tblPr>
        <w:tblStyle w:val="21"/>
        <w:tblW w:w="5000" w:type="pct"/>
        <w:tblInd w:w="0" w:type="dxa"/>
        <w:tblLayout w:type="autofit"/>
        <w:tblCellMar>
          <w:top w:w="0" w:type="dxa"/>
          <w:left w:w="108" w:type="dxa"/>
          <w:bottom w:w="0" w:type="dxa"/>
          <w:right w:w="108" w:type="dxa"/>
        </w:tblCellMar>
      </w:tblPr>
      <w:tblGrid>
        <w:gridCol w:w="1415"/>
        <w:gridCol w:w="1813"/>
        <w:gridCol w:w="6625"/>
      </w:tblGrid>
      <w:tr>
        <w:tblPrEx>
          <w:tblCellMar>
            <w:top w:w="0" w:type="dxa"/>
            <w:left w:w="108" w:type="dxa"/>
            <w:bottom w:w="0" w:type="dxa"/>
            <w:right w:w="108" w:type="dxa"/>
          </w:tblCellMar>
        </w:tblPrEx>
        <w:trPr>
          <w:trHeight w:val="340" w:hRule="atLeast"/>
        </w:trPr>
        <w:tc>
          <w:tcPr>
            <w:tcW w:w="5000" w:type="pct"/>
            <w:gridSpan w:val="3"/>
            <w:tcBorders>
              <w:top w:val="nil"/>
              <w:left w:val="nil"/>
              <w:bottom w:val="nil"/>
              <w:right w:val="nil"/>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估价对象区位状况</w:t>
            </w:r>
          </w:p>
        </w:tc>
      </w:tr>
      <w:tr>
        <w:tblPrEx>
          <w:tblCellMar>
            <w:top w:w="0" w:type="dxa"/>
            <w:left w:w="108" w:type="dxa"/>
            <w:bottom w:w="0" w:type="dxa"/>
            <w:right w:w="108" w:type="dxa"/>
          </w:tblCellMar>
        </w:tblPrEx>
        <w:trPr>
          <w:trHeight w:val="340" w:hRule="atLeast"/>
        </w:trPr>
        <w:tc>
          <w:tcPr>
            <w:tcW w:w="71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位置状况</w:t>
            </w:r>
          </w:p>
        </w:tc>
        <w:tc>
          <w:tcPr>
            <w:tcW w:w="9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坐落</w:t>
            </w:r>
          </w:p>
        </w:tc>
        <w:tc>
          <w:tcPr>
            <w:tcW w:w="336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八步镇沙冲村营盘组</w:t>
            </w:r>
          </w:p>
        </w:tc>
      </w:tr>
      <w:tr>
        <w:tblPrEx>
          <w:tblCellMar>
            <w:top w:w="0" w:type="dxa"/>
            <w:left w:w="108" w:type="dxa"/>
            <w:bottom w:w="0" w:type="dxa"/>
            <w:right w:w="108" w:type="dxa"/>
          </w:tblCellMar>
        </w:tblPrEx>
        <w:trPr>
          <w:trHeight w:val="340" w:hRule="atLeast"/>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92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方位</w:t>
            </w:r>
          </w:p>
        </w:tc>
        <w:tc>
          <w:tcPr>
            <w:tcW w:w="336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织金县第八中学西南向，织金县人民法院八步人民法庭西向。</w:t>
            </w:r>
          </w:p>
        </w:tc>
      </w:tr>
      <w:tr>
        <w:tblPrEx>
          <w:tblCellMar>
            <w:top w:w="0" w:type="dxa"/>
            <w:left w:w="108" w:type="dxa"/>
            <w:bottom w:w="0" w:type="dxa"/>
            <w:right w:w="108" w:type="dxa"/>
          </w:tblCellMar>
        </w:tblPrEx>
        <w:trPr>
          <w:trHeight w:val="340" w:hRule="atLeast"/>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92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与重要场所（设施）距离</w:t>
            </w:r>
          </w:p>
        </w:tc>
        <w:tc>
          <w:tcPr>
            <w:tcW w:w="336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距沙冲居委会胜利组空间直线距离约120米；距织金县人民法院八步人民法庭空间直线距离约160米；距织金县第八中学空间直线距离约200米；距织金县八步小学空间直线距离约560米；距织金县八步镇客运站空间直线距离约620米；距八步街道卫生院空间直线距离约1公里。</w:t>
            </w:r>
          </w:p>
        </w:tc>
      </w:tr>
      <w:tr>
        <w:tblPrEx>
          <w:tblCellMar>
            <w:top w:w="0" w:type="dxa"/>
            <w:left w:w="108" w:type="dxa"/>
            <w:bottom w:w="0" w:type="dxa"/>
            <w:right w:w="108" w:type="dxa"/>
          </w:tblCellMar>
        </w:tblPrEx>
        <w:trPr>
          <w:trHeight w:val="340" w:hRule="atLeast"/>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92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所在楼层/总楼层</w:t>
            </w:r>
          </w:p>
        </w:tc>
        <w:tc>
          <w:tcPr>
            <w:tcW w:w="336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估价对象总层数为4层，估价对象位于1-4层。</w:t>
            </w:r>
          </w:p>
        </w:tc>
      </w:tr>
      <w:tr>
        <w:tblPrEx>
          <w:tblCellMar>
            <w:top w:w="0" w:type="dxa"/>
            <w:left w:w="108" w:type="dxa"/>
            <w:bottom w:w="0" w:type="dxa"/>
            <w:right w:w="108" w:type="dxa"/>
          </w:tblCellMar>
        </w:tblPrEx>
        <w:trPr>
          <w:trHeight w:val="340" w:hRule="atLeast"/>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92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朝向</w:t>
            </w:r>
          </w:p>
        </w:tc>
        <w:tc>
          <w:tcPr>
            <w:tcW w:w="336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建筑物正立面朝东南。</w:t>
            </w:r>
          </w:p>
        </w:tc>
      </w:tr>
      <w:tr>
        <w:tblPrEx>
          <w:tblCellMar>
            <w:top w:w="0" w:type="dxa"/>
            <w:left w:w="108" w:type="dxa"/>
            <w:bottom w:w="0" w:type="dxa"/>
            <w:right w:w="108" w:type="dxa"/>
          </w:tblCellMar>
        </w:tblPrEx>
        <w:trPr>
          <w:trHeight w:val="340" w:hRule="atLeast"/>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9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临街（路）状况</w:t>
            </w:r>
          </w:p>
        </w:tc>
        <w:tc>
          <w:tcPr>
            <w:tcW w:w="33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估价对象所在宗地一面临路。</w:t>
            </w:r>
          </w:p>
        </w:tc>
      </w:tr>
      <w:tr>
        <w:tblPrEx>
          <w:tblCellMar>
            <w:top w:w="0" w:type="dxa"/>
            <w:left w:w="108" w:type="dxa"/>
            <w:bottom w:w="0" w:type="dxa"/>
            <w:right w:w="108" w:type="dxa"/>
          </w:tblCellMar>
        </w:tblPrEx>
        <w:trPr>
          <w:trHeight w:val="340" w:hRule="atLeast"/>
        </w:trPr>
        <w:tc>
          <w:tcPr>
            <w:tcW w:w="71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交通状况</w:t>
            </w:r>
          </w:p>
        </w:tc>
        <w:tc>
          <w:tcPr>
            <w:tcW w:w="9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道路状况</w:t>
            </w:r>
          </w:p>
        </w:tc>
        <w:tc>
          <w:tcPr>
            <w:tcW w:w="33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所临道路为支路。</w:t>
            </w:r>
          </w:p>
        </w:tc>
      </w:tr>
      <w:tr>
        <w:tblPrEx>
          <w:tblCellMar>
            <w:top w:w="0" w:type="dxa"/>
            <w:left w:w="108" w:type="dxa"/>
            <w:bottom w:w="0" w:type="dxa"/>
            <w:right w:w="108" w:type="dxa"/>
          </w:tblCellMar>
        </w:tblPrEx>
        <w:trPr>
          <w:trHeight w:val="340" w:hRule="atLeast"/>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9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出入可利用交通工具</w:t>
            </w:r>
          </w:p>
        </w:tc>
        <w:tc>
          <w:tcPr>
            <w:tcW w:w="33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私家车、出租车及公交车，临近公交站为八步加油站，有织金11路。</w:t>
            </w:r>
          </w:p>
        </w:tc>
      </w:tr>
      <w:tr>
        <w:tblPrEx>
          <w:tblCellMar>
            <w:top w:w="0" w:type="dxa"/>
            <w:left w:w="108" w:type="dxa"/>
            <w:bottom w:w="0" w:type="dxa"/>
            <w:right w:w="108" w:type="dxa"/>
          </w:tblCellMar>
        </w:tblPrEx>
        <w:trPr>
          <w:trHeight w:val="340" w:hRule="atLeast"/>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9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交通管制情况</w:t>
            </w:r>
          </w:p>
        </w:tc>
        <w:tc>
          <w:tcPr>
            <w:tcW w:w="33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无</w:t>
            </w:r>
          </w:p>
        </w:tc>
      </w:tr>
      <w:tr>
        <w:tblPrEx>
          <w:tblCellMar>
            <w:top w:w="0" w:type="dxa"/>
            <w:left w:w="108" w:type="dxa"/>
            <w:bottom w:w="0" w:type="dxa"/>
            <w:right w:w="108" w:type="dxa"/>
          </w:tblCellMar>
        </w:tblPrEx>
        <w:trPr>
          <w:trHeight w:val="340" w:hRule="atLeast"/>
        </w:trPr>
        <w:tc>
          <w:tcPr>
            <w:tcW w:w="7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9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停车方便程度</w:t>
            </w:r>
          </w:p>
        </w:tc>
        <w:tc>
          <w:tcPr>
            <w:tcW w:w="336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道路旁能够停车，停车便利度一般。</w:t>
            </w:r>
          </w:p>
        </w:tc>
      </w:tr>
      <w:tr>
        <w:tblPrEx>
          <w:tblCellMar>
            <w:top w:w="0" w:type="dxa"/>
            <w:left w:w="108" w:type="dxa"/>
            <w:bottom w:w="0" w:type="dxa"/>
            <w:right w:w="108" w:type="dxa"/>
          </w:tblCellMar>
        </w:tblPrEx>
        <w:trPr>
          <w:trHeight w:val="340" w:hRule="atLeast"/>
        </w:trPr>
        <w:tc>
          <w:tcPr>
            <w:tcW w:w="71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环境状况</w:t>
            </w:r>
          </w:p>
        </w:tc>
        <w:tc>
          <w:tcPr>
            <w:tcW w:w="92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自然环境</w:t>
            </w:r>
          </w:p>
        </w:tc>
        <w:tc>
          <w:tcPr>
            <w:tcW w:w="336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乡村自然风景</w:t>
            </w:r>
          </w:p>
        </w:tc>
      </w:tr>
      <w:tr>
        <w:tblPrEx>
          <w:tblCellMar>
            <w:top w:w="0" w:type="dxa"/>
            <w:left w:w="108" w:type="dxa"/>
            <w:bottom w:w="0" w:type="dxa"/>
            <w:right w:w="108" w:type="dxa"/>
          </w:tblCellMar>
        </w:tblPrEx>
        <w:trPr>
          <w:trHeight w:val="340" w:hRule="atLeast"/>
        </w:trPr>
        <w:tc>
          <w:tcPr>
            <w:tcW w:w="718"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92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人文环境</w:t>
            </w:r>
          </w:p>
        </w:tc>
        <w:tc>
          <w:tcPr>
            <w:tcW w:w="336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人文环境一般</w:t>
            </w:r>
          </w:p>
        </w:tc>
      </w:tr>
      <w:tr>
        <w:tblPrEx>
          <w:tblCellMar>
            <w:top w:w="0" w:type="dxa"/>
            <w:left w:w="108" w:type="dxa"/>
            <w:bottom w:w="0" w:type="dxa"/>
            <w:right w:w="108" w:type="dxa"/>
          </w:tblCellMar>
        </w:tblPrEx>
        <w:trPr>
          <w:trHeight w:val="340" w:hRule="atLeast"/>
        </w:trPr>
        <w:tc>
          <w:tcPr>
            <w:tcW w:w="718"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92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景观</w:t>
            </w:r>
          </w:p>
        </w:tc>
        <w:tc>
          <w:tcPr>
            <w:tcW w:w="336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无景观</w:t>
            </w:r>
          </w:p>
        </w:tc>
      </w:tr>
      <w:tr>
        <w:tblPrEx>
          <w:tblCellMar>
            <w:top w:w="0" w:type="dxa"/>
            <w:left w:w="108" w:type="dxa"/>
            <w:bottom w:w="0" w:type="dxa"/>
            <w:right w:w="108" w:type="dxa"/>
          </w:tblCellMar>
        </w:tblPrEx>
        <w:trPr>
          <w:trHeight w:val="340" w:hRule="atLeast"/>
        </w:trPr>
        <w:tc>
          <w:tcPr>
            <w:tcW w:w="71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Cs w:val="21"/>
              </w:rPr>
            </w:pPr>
            <w:r>
              <w:rPr>
                <w:rFonts w:ascii="Times New Roman" w:hAnsi="Times New Roman" w:eastAsia="宋体"/>
                <w:kern w:val="0"/>
                <w:szCs w:val="21"/>
              </w:rPr>
              <w:t>配套设施</w:t>
            </w:r>
          </w:p>
        </w:tc>
        <w:tc>
          <w:tcPr>
            <w:tcW w:w="92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基础设施</w:t>
            </w:r>
          </w:p>
        </w:tc>
        <w:tc>
          <w:tcPr>
            <w:tcW w:w="336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估价对象所在区域达到</w:t>
            </w:r>
            <w:r>
              <w:rPr>
                <w:rFonts w:hint="eastAsia" w:ascii="Times New Roman" w:hAnsi="Times New Roman" w:eastAsia="宋体"/>
                <w:kern w:val="0"/>
                <w:szCs w:val="21"/>
              </w:rPr>
              <w:t>四</w:t>
            </w:r>
            <w:r>
              <w:rPr>
                <w:rFonts w:ascii="Times New Roman" w:hAnsi="Times New Roman" w:eastAsia="宋体"/>
                <w:kern w:val="0"/>
                <w:szCs w:val="21"/>
              </w:rPr>
              <w:t>通，即通路、通电、通上水、通讯。</w:t>
            </w:r>
          </w:p>
        </w:tc>
      </w:tr>
      <w:tr>
        <w:tblPrEx>
          <w:tblCellMar>
            <w:top w:w="0" w:type="dxa"/>
            <w:left w:w="108" w:type="dxa"/>
            <w:bottom w:w="0" w:type="dxa"/>
            <w:right w:w="108" w:type="dxa"/>
          </w:tblCellMar>
        </w:tblPrEx>
        <w:trPr>
          <w:trHeight w:val="340" w:hRule="atLeast"/>
        </w:trPr>
        <w:tc>
          <w:tcPr>
            <w:tcW w:w="718"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92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公共服务设施</w:t>
            </w:r>
          </w:p>
        </w:tc>
        <w:tc>
          <w:tcPr>
            <w:tcW w:w="336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Cs w:val="21"/>
              </w:rPr>
            </w:pPr>
            <w:r>
              <w:rPr>
                <w:rFonts w:ascii="Times New Roman" w:hAnsi="Times New Roman" w:eastAsia="宋体"/>
                <w:kern w:val="0"/>
                <w:szCs w:val="21"/>
              </w:rPr>
              <w:t>估价对象附近有沙冲居委会胜利组、织金县第八中学、织金县人民法院八步人民法庭、织金县八步镇客运站、织金县惠民医院、织金农村商业银行等公共服务设施。</w:t>
            </w:r>
          </w:p>
        </w:tc>
      </w:tr>
    </w:tbl>
    <w:p>
      <w:pPr>
        <w:pStyle w:val="3"/>
        <w:numPr>
          <w:ilvl w:val="0"/>
          <w:numId w:val="9"/>
        </w:numPr>
        <w:spacing w:before="120" w:after="120" w:line="500" w:lineRule="exact"/>
        <w:ind w:left="0" w:firstLine="640" w:firstLineChars="200"/>
        <w:rPr>
          <w:rFonts w:ascii="Times New Roman" w:hAnsi="Times New Roman" w:eastAsia="宋体"/>
        </w:rPr>
      </w:pPr>
      <w:bookmarkStart w:id="185" w:name="_Toc476489041"/>
      <w:bookmarkStart w:id="186" w:name="_Toc432490544"/>
      <w:bookmarkStart w:id="187" w:name="_Toc497752867"/>
      <w:bookmarkStart w:id="188" w:name="_Toc468882209"/>
      <w:bookmarkStart w:id="189" w:name="_Toc445892281"/>
      <w:bookmarkStart w:id="190" w:name="_Toc31910"/>
      <w:bookmarkStart w:id="191" w:name="_Toc47874188"/>
      <w:bookmarkStart w:id="192" w:name="_Toc239144239"/>
      <w:bookmarkStart w:id="193" w:name="_Toc46417161"/>
      <w:bookmarkStart w:id="194" w:name="_Toc445891408"/>
      <w:bookmarkStart w:id="195" w:name="_Toc472961344"/>
      <w:bookmarkStart w:id="196" w:name="_Toc396396775"/>
      <w:bookmarkStart w:id="197" w:name="_Toc65065912"/>
      <w:bookmarkStart w:id="198" w:name="_Toc432574971"/>
      <w:bookmarkStart w:id="199" w:name="_Toc47874197"/>
      <w:bookmarkStart w:id="200" w:name="_Toc46417170"/>
      <w:r>
        <w:rPr>
          <w:rFonts w:ascii="Times New Roman" w:hAnsi="Times New Roman" w:eastAsia="宋体"/>
        </w:rPr>
        <w:t>价值时点</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tabs>
          <w:tab w:val="left" w:pos="210"/>
          <w:tab w:val="left" w:pos="630"/>
        </w:tabs>
        <w:spacing w:line="480" w:lineRule="exact"/>
        <w:ind w:firstLine="560" w:firstLineChars="200"/>
        <w:rPr>
          <w:rFonts w:ascii="Times New Roman" w:hAnsi="Times New Roman" w:eastAsia="宋体"/>
          <w:bCs/>
          <w:sz w:val="28"/>
          <w:szCs w:val="28"/>
        </w:rPr>
      </w:pPr>
      <w:r>
        <w:rPr>
          <w:rFonts w:ascii="Times New Roman" w:hAnsi="Times New Roman" w:eastAsia="宋体"/>
          <w:sz w:val="28"/>
          <w:szCs w:val="28"/>
        </w:rPr>
        <w:t>委托人提供的《委托书》【（2022）黔0524执816号】未载明价值时点，结合</w:t>
      </w:r>
      <w:r>
        <w:rPr>
          <w:rFonts w:ascii="Times New Roman" w:hAnsi="Times New Roman" w:eastAsia="宋体"/>
          <w:bCs/>
          <w:sz w:val="28"/>
          <w:szCs w:val="28"/>
        </w:rPr>
        <w:t>《房地产估价规范》</w:t>
      </w:r>
      <w:r>
        <w:rPr>
          <w:rFonts w:ascii="Times New Roman" w:hAnsi="Times New Roman" w:eastAsia="宋体"/>
          <w:sz w:val="28"/>
          <w:szCs w:val="28"/>
        </w:rPr>
        <w:t>【GB/T50291-2015】，确定以现场查勘时间2022年04月12日为价值时点。</w:t>
      </w:r>
    </w:p>
    <w:p>
      <w:pPr>
        <w:pStyle w:val="3"/>
        <w:numPr>
          <w:ilvl w:val="0"/>
          <w:numId w:val="9"/>
        </w:numPr>
        <w:spacing w:before="120" w:after="120" w:line="500" w:lineRule="exact"/>
        <w:ind w:left="0" w:firstLine="640" w:firstLineChars="200"/>
        <w:rPr>
          <w:rFonts w:ascii="Times New Roman" w:hAnsi="Times New Roman" w:eastAsia="宋体"/>
        </w:rPr>
      </w:pPr>
      <w:bookmarkStart w:id="201" w:name="_Toc65065913"/>
      <w:r>
        <w:rPr>
          <w:rFonts w:ascii="Times New Roman" w:hAnsi="Times New Roman" w:eastAsia="宋体"/>
        </w:rPr>
        <w:t>价值类型</w:t>
      </w:r>
      <w:bookmarkEnd w:id="129"/>
      <w:bookmarkEnd w:id="130"/>
      <w:bookmarkEnd w:id="131"/>
      <w:bookmarkEnd w:id="132"/>
      <w:bookmarkEnd w:id="133"/>
      <w:bookmarkEnd w:id="134"/>
      <w:bookmarkEnd w:id="135"/>
      <w:bookmarkEnd w:id="136"/>
      <w:bookmarkEnd w:id="137"/>
      <w:bookmarkEnd w:id="138"/>
      <w:bookmarkEnd w:id="199"/>
      <w:bookmarkEnd w:id="200"/>
      <w:bookmarkEnd w:id="201"/>
    </w:p>
    <w:p>
      <w:pPr>
        <w:numPr>
          <w:ilvl w:val="0"/>
          <w:numId w:val="11"/>
        </w:numPr>
        <w:autoSpaceDN w:val="0"/>
        <w:spacing w:line="500" w:lineRule="exact"/>
        <w:jc w:val="left"/>
        <w:rPr>
          <w:rFonts w:ascii="Times New Roman" w:hAnsi="Times New Roman" w:eastAsia="宋体"/>
          <w:bCs/>
          <w:sz w:val="28"/>
          <w:szCs w:val="28"/>
        </w:rPr>
      </w:pPr>
      <w:r>
        <w:rPr>
          <w:rFonts w:ascii="Times New Roman" w:hAnsi="Times New Roman" w:eastAsia="宋体"/>
          <w:bCs/>
          <w:sz w:val="28"/>
          <w:szCs w:val="28"/>
        </w:rPr>
        <w:t>价值类型名称</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 xml:space="preserve">根据委托人提供的《委托书》【（2022）黔0524执816号】，结合《房地产估价规范》【GB/T50291-2015】，确定本次估价采用的价值类型为市场价值。 </w:t>
      </w:r>
    </w:p>
    <w:p>
      <w:pPr>
        <w:numPr>
          <w:ilvl w:val="0"/>
          <w:numId w:val="11"/>
        </w:numPr>
        <w:autoSpaceDN w:val="0"/>
        <w:spacing w:line="500" w:lineRule="exact"/>
        <w:jc w:val="left"/>
        <w:rPr>
          <w:rFonts w:ascii="Times New Roman" w:hAnsi="Times New Roman" w:eastAsia="宋体"/>
          <w:sz w:val="28"/>
          <w:szCs w:val="28"/>
        </w:rPr>
      </w:pPr>
      <w:r>
        <w:rPr>
          <w:rFonts w:ascii="Times New Roman" w:hAnsi="Times New Roman" w:eastAsia="宋体"/>
          <w:sz w:val="28"/>
          <w:szCs w:val="28"/>
        </w:rPr>
        <w:t>价值定义</w:t>
      </w:r>
    </w:p>
    <w:p>
      <w:pPr>
        <w:autoSpaceDN w:val="0"/>
        <w:spacing w:line="500" w:lineRule="exact"/>
        <w:ind w:firstLine="560" w:firstLineChars="200"/>
        <w:jc w:val="left"/>
        <w:rPr>
          <w:rFonts w:ascii="Times New Roman" w:hAnsi="Times New Roman" w:eastAsia="宋体"/>
          <w:sz w:val="28"/>
          <w:szCs w:val="28"/>
        </w:rPr>
      </w:pPr>
      <w:r>
        <w:rPr>
          <w:rFonts w:ascii="Times New Roman" w:hAnsi="Times New Roman" w:eastAsia="宋体"/>
          <w:sz w:val="28"/>
          <w:szCs w:val="28"/>
        </w:rPr>
        <w:t>市场价值是估价对象经适当营销后，由熟悉情况、谨慎行事且不受强迫的交易双方，以公平交易方式在价值时点自愿进行交易的金额。</w:t>
      </w:r>
    </w:p>
    <w:p>
      <w:pPr>
        <w:numPr>
          <w:ilvl w:val="0"/>
          <w:numId w:val="11"/>
        </w:numPr>
        <w:autoSpaceDN w:val="0"/>
        <w:spacing w:line="500" w:lineRule="exact"/>
        <w:jc w:val="left"/>
        <w:rPr>
          <w:rFonts w:ascii="Times New Roman" w:hAnsi="Times New Roman" w:eastAsia="宋体"/>
          <w:sz w:val="28"/>
          <w:szCs w:val="28"/>
        </w:rPr>
      </w:pPr>
      <w:r>
        <w:rPr>
          <w:rFonts w:ascii="Times New Roman" w:hAnsi="Times New Roman" w:eastAsia="宋体"/>
          <w:sz w:val="28"/>
          <w:szCs w:val="28"/>
        </w:rPr>
        <w:t>价值内涵</w:t>
      </w:r>
    </w:p>
    <w:p>
      <w:pPr>
        <w:autoSpaceDN w:val="0"/>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估价对象在满足估价假设和限制条件下包括建筑物及其独用的国有划拨建设用地使用权、室内固定装修、公共配套设施，不包括动产、债权债务等其他财产或权益。</w:t>
      </w:r>
    </w:p>
    <w:p>
      <w:pPr>
        <w:autoSpaceDN w:val="0"/>
        <w:spacing w:line="500" w:lineRule="exact"/>
        <w:ind w:firstLine="560" w:firstLineChars="200"/>
        <w:jc w:val="left"/>
        <w:rPr>
          <w:rFonts w:ascii="Times New Roman" w:hAnsi="Times New Roman" w:eastAsia="宋体"/>
          <w:sz w:val="24"/>
        </w:rPr>
      </w:pPr>
      <w:r>
        <w:rPr>
          <w:rFonts w:ascii="Times New Roman" w:hAnsi="Times New Roman" w:eastAsia="宋体"/>
          <w:sz w:val="28"/>
          <w:szCs w:val="28"/>
        </w:rPr>
        <w:t>估价对象于价值时点不存在交易限制、交易双方各自依法承担应缴纳的税费、不考虑未来市场价值变化、特殊交易方式、强制处分、房地产被查封及其他法定优先受偿权等因素条件下的市场价值。</w:t>
      </w:r>
      <w:r>
        <w:rPr>
          <w:rFonts w:ascii="Times New Roman" w:hAnsi="Times New Roman" w:eastAsia="宋体"/>
          <w:sz w:val="24"/>
        </w:rPr>
        <w:t xml:space="preserve"> </w:t>
      </w:r>
    </w:p>
    <w:bookmarkEnd w:id="139"/>
    <w:bookmarkEnd w:id="140"/>
    <w:p>
      <w:pPr>
        <w:pStyle w:val="3"/>
        <w:numPr>
          <w:ilvl w:val="0"/>
          <w:numId w:val="9"/>
        </w:numPr>
        <w:spacing w:before="120" w:after="120" w:line="500" w:lineRule="exact"/>
        <w:ind w:left="0" w:firstLine="640" w:firstLineChars="200"/>
        <w:rPr>
          <w:rFonts w:ascii="Times New Roman" w:hAnsi="Times New Roman" w:eastAsia="宋体"/>
        </w:rPr>
      </w:pPr>
      <w:bookmarkStart w:id="202" w:name="_Toc29426"/>
      <w:bookmarkStart w:id="203" w:name="_Toc65065914"/>
      <w:bookmarkStart w:id="204" w:name="_Toc46417171"/>
      <w:bookmarkStart w:id="205" w:name="_Toc47874198"/>
      <w:r>
        <w:rPr>
          <w:rFonts w:ascii="Times New Roman" w:hAnsi="Times New Roman" w:eastAsia="宋体"/>
        </w:rPr>
        <w:t>估价原则</w:t>
      </w:r>
      <w:bookmarkEnd w:id="202"/>
      <w:bookmarkEnd w:id="203"/>
      <w:bookmarkEnd w:id="204"/>
      <w:bookmarkEnd w:id="205"/>
    </w:p>
    <w:p>
      <w:pPr>
        <w:numPr>
          <w:ilvl w:val="0"/>
          <w:numId w:val="12"/>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遵循独立、客观、公正原则</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独立、客观、公正原则是要求站在中立的立场上，实事求是、公平正直地评估出对各方估价利害关系人均是公平合理的价值或价格。本次估价注册房地产估价师和房地产估价机构与估价委托人及估价利害关系人没有利害关系，估价中没有受到任何单位任何人的影响，没有带着自己的情感、好恶和偏见，没有偏袒，实事求是，客观公正。</w:t>
      </w:r>
    </w:p>
    <w:p>
      <w:pPr>
        <w:numPr>
          <w:ilvl w:val="0"/>
          <w:numId w:val="12"/>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遵循合法原则</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合法原则要求在依法判定的估价对象状况下的价值或价格。本次评估按《贵州省不动产登记查询结果》《房屋所有权证》《房屋所有权登记审批表》及《国有土地使用证》</w:t>
      </w:r>
      <w:r>
        <w:rPr>
          <w:rFonts w:hint="eastAsia" w:ascii="Times New Roman" w:hAnsi="Times New Roman" w:eastAsia="宋体"/>
          <w:sz w:val="28"/>
          <w:szCs w:val="28"/>
        </w:rPr>
        <w:t>资料</w:t>
      </w:r>
      <w:r>
        <w:rPr>
          <w:rFonts w:ascii="Times New Roman" w:hAnsi="Times New Roman" w:eastAsia="宋体"/>
          <w:sz w:val="28"/>
          <w:szCs w:val="28"/>
        </w:rPr>
        <w:t>复印件内容进行估价就是其合法性的体现。</w:t>
      </w:r>
    </w:p>
    <w:p>
      <w:pPr>
        <w:numPr>
          <w:ilvl w:val="0"/>
          <w:numId w:val="12"/>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遵循价值时点原则</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估价结果应为在根据估价目的确定的某一特定时间的价值或价格。本次估价遵循价值时点原则，以2022年04月12日为价值时点，对估价对象市场价值进行评估。</w:t>
      </w:r>
    </w:p>
    <w:p>
      <w:pPr>
        <w:numPr>
          <w:ilvl w:val="0"/>
          <w:numId w:val="12"/>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遵循替代原则</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估价结果应与估价对象的类似房地产在同等条件下的价值或价格偏差应在合理范围内。本次评估采用的成本法中的客观成本以及收益法中客观租金的求取就是替代原则的具体体现。</w:t>
      </w:r>
    </w:p>
    <w:p>
      <w:pPr>
        <w:numPr>
          <w:ilvl w:val="0"/>
          <w:numId w:val="12"/>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遵循最高最佳利用原则</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最高最佳利用原则要求估价结果是在估价对象最高最佳利用状况下的价值或价格。最高最佳利用是指法律上允许、技术上可能、财务上可行并使价值最大的合理、可能的利用。</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最高最佳利用是在法律法规、政策和出让合同等允许范围内，估价对象达到最佳集约度、最佳规模、最佳用途、最佳档次，在所有具有经济可行性的利用中，基于合法性原则能够使估价对象的利用最大化，即使用性质为住宅用房、商业用房是估价对象符合条件下的最高最佳利用。</w:t>
      </w:r>
    </w:p>
    <w:p>
      <w:pPr>
        <w:pStyle w:val="3"/>
        <w:numPr>
          <w:ilvl w:val="0"/>
          <w:numId w:val="9"/>
        </w:numPr>
        <w:spacing w:before="120" w:after="120" w:line="500" w:lineRule="exact"/>
        <w:ind w:left="0" w:firstLine="640" w:firstLineChars="200"/>
        <w:rPr>
          <w:rFonts w:ascii="Times New Roman" w:hAnsi="Times New Roman" w:eastAsia="宋体"/>
        </w:rPr>
      </w:pPr>
      <w:bookmarkStart w:id="206" w:name="_Toc6497"/>
      <w:bookmarkStart w:id="207" w:name="_Toc65065915"/>
      <w:bookmarkStart w:id="208" w:name="_Toc46417172"/>
      <w:bookmarkStart w:id="209" w:name="_Toc47874199"/>
      <w:r>
        <w:rPr>
          <w:rFonts w:ascii="Times New Roman" w:hAnsi="Times New Roman" w:eastAsia="宋体"/>
        </w:rPr>
        <w:t>估价依据</w:t>
      </w:r>
      <w:bookmarkEnd w:id="206"/>
      <w:bookmarkEnd w:id="207"/>
      <w:bookmarkEnd w:id="208"/>
      <w:bookmarkEnd w:id="209"/>
    </w:p>
    <w:p>
      <w:pPr>
        <w:numPr>
          <w:ilvl w:val="0"/>
          <w:numId w:val="13"/>
        </w:numPr>
        <w:spacing w:line="500" w:lineRule="exact"/>
        <w:ind w:left="0" w:firstLine="560" w:firstLineChars="200"/>
        <w:outlineLvl w:val="2"/>
        <w:rPr>
          <w:rFonts w:ascii="Times New Roman" w:hAnsi="Times New Roman" w:eastAsia="宋体"/>
          <w:sz w:val="28"/>
          <w:szCs w:val="28"/>
        </w:rPr>
      </w:pPr>
      <w:bookmarkStart w:id="210" w:name="_Toc65065916"/>
      <w:bookmarkStart w:id="211" w:name="_Toc396396779"/>
      <w:bookmarkStart w:id="212" w:name="_Toc239144243"/>
      <w:r>
        <w:rPr>
          <w:rFonts w:ascii="Times New Roman" w:hAnsi="Times New Roman" w:eastAsia="宋体"/>
          <w:sz w:val="28"/>
          <w:szCs w:val="28"/>
        </w:rPr>
        <w:t>法律、法规及部门规章</w:t>
      </w:r>
      <w:bookmarkEnd w:id="210"/>
    </w:p>
    <w:p>
      <w:pPr>
        <w:numPr>
          <w:ilvl w:val="0"/>
          <w:numId w:val="14"/>
        </w:numPr>
        <w:tabs>
          <w:tab w:val="left" w:pos="851"/>
        </w:tabs>
        <w:spacing w:line="500" w:lineRule="exact"/>
        <w:ind w:left="0" w:firstLine="560" w:firstLineChars="200"/>
        <w:jc w:val="left"/>
        <w:rPr>
          <w:rFonts w:ascii="Times New Roman" w:hAnsi="Times New Roman" w:eastAsia="宋体"/>
          <w:sz w:val="28"/>
          <w:szCs w:val="28"/>
        </w:rPr>
      </w:pPr>
      <w:r>
        <w:rPr>
          <w:rFonts w:ascii="Times New Roman" w:hAnsi="Times New Roman" w:eastAsia="宋体"/>
          <w:sz w:val="28"/>
          <w:szCs w:val="28"/>
        </w:rPr>
        <w:t>《中华人民共和国资产评估法》【中华人民共和国主席令第46号，自2016年12月1日起施行】；</w:t>
      </w:r>
    </w:p>
    <w:p>
      <w:pPr>
        <w:numPr>
          <w:ilvl w:val="0"/>
          <w:numId w:val="14"/>
        </w:numPr>
        <w:tabs>
          <w:tab w:val="left" w:pos="851"/>
        </w:tabs>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《中华人民共和国民法典》【2020年5月28日第十三届全国人民代表大会第三次会议通过，自2021年1月1日起施行】；</w:t>
      </w:r>
    </w:p>
    <w:p>
      <w:pPr>
        <w:numPr>
          <w:ilvl w:val="0"/>
          <w:numId w:val="14"/>
        </w:numPr>
        <w:tabs>
          <w:tab w:val="left" w:pos="851"/>
        </w:tabs>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《司法鉴定程序通则》【司法部令第132号】；</w:t>
      </w:r>
    </w:p>
    <w:p>
      <w:pPr>
        <w:numPr>
          <w:ilvl w:val="0"/>
          <w:numId w:val="14"/>
        </w:numPr>
        <w:tabs>
          <w:tab w:val="left" w:pos="851"/>
        </w:tabs>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《中华人民共和国土地管理法》【中华人民共和国主席令第32号，2020年01月01日实施】；</w:t>
      </w:r>
    </w:p>
    <w:p>
      <w:pPr>
        <w:numPr>
          <w:ilvl w:val="0"/>
          <w:numId w:val="14"/>
        </w:numPr>
        <w:tabs>
          <w:tab w:val="left" w:pos="851"/>
        </w:tabs>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中华人民共和国城市房地产管理法》【根据2019年8月26日第十三届全国人民代表大会常务委员会第十二次会议《关于修改〈中华人民共和国土地管理法〉、〈中华人民共和国城市房地产管理法〉的决定》第三次修正】；</w:t>
      </w:r>
    </w:p>
    <w:p>
      <w:pPr>
        <w:numPr>
          <w:ilvl w:val="0"/>
          <w:numId w:val="14"/>
        </w:numPr>
        <w:tabs>
          <w:tab w:val="left" w:pos="851"/>
        </w:tabs>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《最高人民法院关于人民法院委托评估拍卖工作的若干规定》【法释〔2011〕21号】；</w:t>
      </w:r>
    </w:p>
    <w:p>
      <w:pPr>
        <w:numPr>
          <w:ilvl w:val="0"/>
          <w:numId w:val="14"/>
        </w:numPr>
        <w:tabs>
          <w:tab w:val="left" w:pos="851"/>
        </w:tabs>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《最高人民法院关于人民法院确定财产处置参考价若干问题的规定》</w:t>
      </w:r>
      <w:r>
        <w:rPr>
          <w:rFonts w:ascii="Times New Roman" w:hAnsi="Times New Roman" w:eastAsia="宋体"/>
          <w:bCs/>
          <w:sz w:val="28"/>
        </w:rPr>
        <w:t>【法释〔2018〕15号，自2018年9月1日实施】；</w:t>
      </w:r>
    </w:p>
    <w:p>
      <w:pPr>
        <w:numPr>
          <w:ilvl w:val="0"/>
          <w:numId w:val="14"/>
        </w:numPr>
        <w:tabs>
          <w:tab w:val="left" w:pos="851"/>
        </w:tabs>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最高人民法院办公厅关于印发《人民法院委托评估工作规范》的通知【法办（2018）273号】；</w:t>
      </w:r>
    </w:p>
    <w:p>
      <w:pPr>
        <w:numPr>
          <w:ilvl w:val="0"/>
          <w:numId w:val="14"/>
        </w:numPr>
        <w:tabs>
          <w:tab w:val="left" w:pos="851"/>
        </w:tabs>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《贵州省城市基础设施配套费征收使用管理办法》。</w:t>
      </w:r>
    </w:p>
    <w:p>
      <w:pPr>
        <w:numPr>
          <w:ilvl w:val="0"/>
          <w:numId w:val="13"/>
        </w:numPr>
        <w:spacing w:line="500" w:lineRule="exact"/>
        <w:ind w:left="0" w:firstLine="560" w:firstLineChars="200"/>
        <w:outlineLvl w:val="2"/>
        <w:rPr>
          <w:rFonts w:ascii="Times New Roman" w:hAnsi="Times New Roman" w:eastAsia="宋体"/>
          <w:sz w:val="28"/>
          <w:szCs w:val="28"/>
        </w:rPr>
      </w:pPr>
      <w:bookmarkStart w:id="213" w:name="_Toc65065917"/>
      <w:r>
        <w:rPr>
          <w:rFonts w:ascii="Times New Roman" w:hAnsi="Times New Roman" w:eastAsia="宋体"/>
          <w:sz w:val="28"/>
          <w:szCs w:val="28"/>
        </w:rPr>
        <w:t>技术规程</w:t>
      </w:r>
      <w:bookmarkEnd w:id="213"/>
    </w:p>
    <w:p>
      <w:pPr>
        <w:numPr>
          <w:ilvl w:val="0"/>
          <w:numId w:val="15"/>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《房地产估价规范》【GB/T50291-2015】；</w:t>
      </w:r>
    </w:p>
    <w:p>
      <w:pPr>
        <w:numPr>
          <w:ilvl w:val="0"/>
          <w:numId w:val="15"/>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《房地产估价基本术语标准》【GB/T50899-2013】；</w:t>
      </w:r>
    </w:p>
    <w:p>
      <w:pPr>
        <w:numPr>
          <w:ilvl w:val="0"/>
          <w:numId w:val="15"/>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《关于印发&lt;涉执房地产处置司法评估指导意见（试行）&gt;的通知》(中房学〔2021〕37号)。</w:t>
      </w:r>
    </w:p>
    <w:p>
      <w:pPr>
        <w:numPr>
          <w:ilvl w:val="0"/>
          <w:numId w:val="13"/>
        </w:numPr>
        <w:spacing w:line="500" w:lineRule="exact"/>
        <w:ind w:left="0" w:firstLine="560" w:firstLineChars="200"/>
        <w:outlineLvl w:val="2"/>
        <w:rPr>
          <w:rFonts w:ascii="Times New Roman" w:hAnsi="Times New Roman" w:eastAsia="宋体"/>
          <w:sz w:val="28"/>
          <w:szCs w:val="28"/>
        </w:rPr>
      </w:pPr>
      <w:bookmarkStart w:id="214" w:name="_Toc65065918"/>
      <w:r>
        <w:rPr>
          <w:rFonts w:ascii="Times New Roman" w:hAnsi="Times New Roman" w:eastAsia="宋体"/>
          <w:sz w:val="28"/>
          <w:szCs w:val="28"/>
        </w:rPr>
        <w:t>委托人提供的资料</w:t>
      </w:r>
      <w:bookmarkEnd w:id="214"/>
    </w:p>
    <w:p>
      <w:pPr>
        <w:numPr>
          <w:ilvl w:val="0"/>
          <w:numId w:val="16"/>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织金县人民法院《委托书》【（2022）黔0524执816号】；</w:t>
      </w:r>
    </w:p>
    <w:p>
      <w:pPr>
        <w:numPr>
          <w:ilvl w:val="0"/>
          <w:numId w:val="16"/>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估价对象《贵州省不动产登记查询结果》资料复印件；</w:t>
      </w:r>
    </w:p>
    <w:p>
      <w:pPr>
        <w:numPr>
          <w:ilvl w:val="0"/>
          <w:numId w:val="16"/>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估价对象《房屋所有权证》及《房屋所有权登记审批表》资料复印件；</w:t>
      </w:r>
    </w:p>
    <w:p>
      <w:pPr>
        <w:numPr>
          <w:ilvl w:val="0"/>
          <w:numId w:val="16"/>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估价对象《国有土地使用证》资料复印件。</w:t>
      </w:r>
    </w:p>
    <w:p>
      <w:pPr>
        <w:numPr>
          <w:ilvl w:val="0"/>
          <w:numId w:val="13"/>
        </w:numPr>
        <w:spacing w:line="500" w:lineRule="exact"/>
        <w:ind w:left="0" w:firstLine="560" w:firstLineChars="200"/>
        <w:outlineLvl w:val="2"/>
        <w:rPr>
          <w:rFonts w:ascii="Times New Roman" w:hAnsi="Times New Roman" w:eastAsia="宋体"/>
          <w:sz w:val="28"/>
          <w:szCs w:val="28"/>
        </w:rPr>
      </w:pPr>
      <w:bookmarkStart w:id="215" w:name="_Toc65065919"/>
      <w:r>
        <w:rPr>
          <w:rFonts w:ascii="Times New Roman" w:hAnsi="Times New Roman" w:eastAsia="宋体"/>
          <w:sz w:val="28"/>
          <w:szCs w:val="28"/>
        </w:rPr>
        <w:t>估价机构和注册房地产估价师掌握和搜集的估价所需资料</w:t>
      </w:r>
      <w:bookmarkEnd w:id="215"/>
    </w:p>
    <w:p>
      <w:pPr>
        <w:numPr>
          <w:ilvl w:val="0"/>
          <w:numId w:val="17"/>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《2017年织金县城镇土地定级及基准地价更新实施细则》（2018年06月29日施行）；</w:t>
      </w:r>
    </w:p>
    <w:p>
      <w:pPr>
        <w:numPr>
          <w:ilvl w:val="0"/>
          <w:numId w:val="17"/>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估价人员实地查勘及估价机构和估价人员掌握的相关信息资料；</w:t>
      </w:r>
    </w:p>
    <w:p>
      <w:pPr>
        <w:numPr>
          <w:ilvl w:val="0"/>
          <w:numId w:val="17"/>
        </w:numPr>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估价对象所在区域的房地产市场状况、同类房地产市场交易等数据资料。</w:t>
      </w:r>
    </w:p>
    <w:bookmarkEnd w:id="211"/>
    <w:bookmarkEnd w:id="212"/>
    <w:p>
      <w:pPr>
        <w:pStyle w:val="3"/>
        <w:numPr>
          <w:ilvl w:val="0"/>
          <w:numId w:val="9"/>
        </w:numPr>
        <w:spacing w:before="120" w:after="120" w:line="500" w:lineRule="exact"/>
        <w:ind w:left="0" w:firstLine="640" w:firstLineChars="200"/>
        <w:rPr>
          <w:rFonts w:ascii="Times New Roman" w:hAnsi="Times New Roman" w:eastAsia="宋体"/>
        </w:rPr>
      </w:pPr>
      <w:bookmarkStart w:id="216" w:name="_Toc47874200"/>
      <w:bookmarkStart w:id="217" w:name="_Toc46417173"/>
      <w:bookmarkStart w:id="218" w:name="_Toc432574975"/>
      <w:bookmarkStart w:id="219" w:name="_Toc476489045"/>
      <w:bookmarkStart w:id="220" w:name="_Toc497752871"/>
      <w:bookmarkStart w:id="221" w:name="_Toc468882213"/>
      <w:bookmarkStart w:id="222" w:name="_Toc65065920"/>
      <w:bookmarkStart w:id="223" w:name="_Toc445891412"/>
      <w:bookmarkStart w:id="224" w:name="_Toc472961348"/>
      <w:bookmarkStart w:id="225" w:name="_Toc432490548"/>
      <w:bookmarkStart w:id="226" w:name="_Toc1411"/>
      <w:bookmarkStart w:id="227" w:name="_Toc445892285"/>
      <w:bookmarkStart w:id="228" w:name="_Toc432574976"/>
      <w:bookmarkStart w:id="229" w:name="_Toc468882214"/>
      <w:bookmarkStart w:id="230" w:name="_Toc239144244"/>
      <w:bookmarkStart w:id="231" w:name="_Toc26622"/>
      <w:bookmarkStart w:id="232" w:name="_Toc46417174"/>
      <w:bookmarkStart w:id="233" w:name="_Toc47874201"/>
      <w:bookmarkStart w:id="234" w:name="_Toc497752872"/>
      <w:bookmarkStart w:id="235" w:name="_Toc445892286"/>
      <w:bookmarkStart w:id="236" w:name="_Toc445891413"/>
      <w:bookmarkStart w:id="237" w:name="_Toc476489046"/>
      <w:bookmarkStart w:id="238" w:name="_Toc432490549"/>
      <w:bookmarkStart w:id="239" w:name="_Toc396396780"/>
      <w:bookmarkStart w:id="240" w:name="_Toc472961349"/>
      <w:bookmarkStart w:id="241" w:name="_Toc229365839"/>
      <w:r>
        <w:rPr>
          <w:rFonts w:ascii="Times New Roman" w:hAnsi="Times New Roman" w:eastAsia="宋体"/>
        </w:rPr>
        <w:t>估价方法</w:t>
      </w:r>
      <w:bookmarkEnd w:id="216"/>
      <w:bookmarkEnd w:id="217"/>
      <w:bookmarkEnd w:id="218"/>
      <w:bookmarkEnd w:id="219"/>
      <w:bookmarkEnd w:id="220"/>
      <w:bookmarkEnd w:id="221"/>
      <w:bookmarkEnd w:id="222"/>
      <w:bookmarkEnd w:id="223"/>
      <w:bookmarkEnd w:id="224"/>
      <w:bookmarkEnd w:id="225"/>
      <w:bookmarkEnd w:id="226"/>
      <w:bookmarkEnd w:id="227"/>
    </w:p>
    <w:p>
      <w:pPr>
        <w:numPr>
          <w:ilvl w:val="0"/>
          <w:numId w:val="18"/>
        </w:numPr>
        <w:tabs>
          <w:tab w:val="left" w:pos="180"/>
        </w:tabs>
        <w:spacing w:line="500" w:lineRule="exact"/>
        <w:jc w:val="left"/>
        <w:rPr>
          <w:rFonts w:ascii="Times New Roman" w:hAnsi="Times New Roman" w:eastAsia="宋体"/>
          <w:sz w:val="28"/>
          <w:szCs w:val="28"/>
        </w:rPr>
      </w:pPr>
      <w:r>
        <w:rPr>
          <w:rFonts w:ascii="Times New Roman" w:hAnsi="Times New Roman" w:eastAsia="宋体"/>
          <w:sz w:val="28"/>
          <w:szCs w:val="28"/>
        </w:rPr>
        <w:t>选用估价方法的法律、法规或技术标准依据</w:t>
      </w:r>
    </w:p>
    <w:p>
      <w:pPr>
        <w:tabs>
          <w:tab w:val="left" w:pos="0"/>
        </w:tabs>
        <w:spacing w:line="500" w:lineRule="exact"/>
        <w:ind w:firstLine="560" w:firstLineChars="200"/>
        <w:jc w:val="left"/>
        <w:rPr>
          <w:rFonts w:ascii="Times New Roman" w:hAnsi="Times New Roman" w:eastAsia="宋体"/>
          <w:sz w:val="28"/>
          <w:szCs w:val="28"/>
        </w:rPr>
      </w:pPr>
      <w:r>
        <w:rPr>
          <w:rFonts w:ascii="Times New Roman" w:hAnsi="Times New Roman" w:eastAsia="宋体"/>
          <w:sz w:val="28"/>
          <w:szCs w:val="28"/>
        </w:rPr>
        <w:t>根据《房地产估价规范》(GB/T50291-2015)第4.1.2条规定，房地产估价方法的选用应符合下列规定：</w:t>
      </w:r>
    </w:p>
    <w:p>
      <w:pPr>
        <w:numPr>
          <w:ilvl w:val="0"/>
          <w:numId w:val="19"/>
        </w:numPr>
        <w:tabs>
          <w:tab w:val="left" w:pos="180"/>
        </w:tabs>
        <w:spacing w:line="500" w:lineRule="exact"/>
        <w:ind w:left="0" w:firstLine="560"/>
        <w:jc w:val="left"/>
        <w:rPr>
          <w:rFonts w:ascii="Times New Roman" w:hAnsi="Times New Roman" w:eastAsia="宋体"/>
          <w:sz w:val="28"/>
          <w:szCs w:val="28"/>
        </w:rPr>
      </w:pPr>
      <w:r>
        <w:rPr>
          <w:rFonts w:ascii="Times New Roman" w:hAnsi="Times New Roman" w:eastAsia="宋体"/>
          <w:sz w:val="28"/>
          <w:szCs w:val="28"/>
        </w:rPr>
        <w:t>估价对象的同类房地产有较多交易的，应选用比较法。</w:t>
      </w:r>
    </w:p>
    <w:p>
      <w:pPr>
        <w:numPr>
          <w:ilvl w:val="0"/>
          <w:numId w:val="19"/>
        </w:numPr>
        <w:tabs>
          <w:tab w:val="left" w:pos="180"/>
        </w:tabs>
        <w:spacing w:line="500" w:lineRule="exact"/>
        <w:ind w:left="0" w:firstLine="560"/>
        <w:jc w:val="left"/>
        <w:rPr>
          <w:rFonts w:ascii="Times New Roman" w:hAnsi="Times New Roman" w:eastAsia="宋体"/>
          <w:sz w:val="28"/>
          <w:szCs w:val="28"/>
        </w:rPr>
      </w:pPr>
      <w:r>
        <w:rPr>
          <w:rFonts w:ascii="Times New Roman" w:hAnsi="Times New Roman" w:eastAsia="宋体"/>
          <w:sz w:val="28"/>
          <w:szCs w:val="28"/>
        </w:rPr>
        <w:t>估价对象或其同类房地产通常有租金等经济收入的，应选用收益法。</w:t>
      </w:r>
    </w:p>
    <w:p>
      <w:pPr>
        <w:numPr>
          <w:ilvl w:val="0"/>
          <w:numId w:val="19"/>
        </w:numPr>
        <w:tabs>
          <w:tab w:val="left" w:pos="180"/>
        </w:tabs>
        <w:spacing w:line="500" w:lineRule="exact"/>
        <w:ind w:left="0" w:firstLine="567"/>
        <w:jc w:val="left"/>
        <w:rPr>
          <w:rFonts w:ascii="Times New Roman" w:hAnsi="Times New Roman" w:eastAsia="宋体"/>
          <w:sz w:val="28"/>
          <w:szCs w:val="28"/>
        </w:rPr>
      </w:pPr>
      <w:r>
        <w:rPr>
          <w:rFonts w:ascii="Times New Roman" w:hAnsi="Times New Roman" w:eastAsia="宋体"/>
          <w:sz w:val="28"/>
          <w:szCs w:val="28"/>
        </w:rPr>
        <w:t>估价对象可假定为独立的开发建设项目进行重新开发建设的，宜选用成本法；当估价对象的同类房地产没有交易或交易很少，且估价对象或其同类房地产没有租金等经济收入时，应选用成本法。</w:t>
      </w:r>
    </w:p>
    <w:p>
      <w:pPr>
        <w:numPr>
          <w:ilvl w:val="0"/>
          <w:numId w:val="19"/>
        </w:numPr>
        <w:tabs>
          <w:tab w:val="left" w:pos="180"/>
        </w:tabs>
        <w:spacing w:line="500" w:lineRule="exact"/>
        <w:ind w:left="0" w:firstLine="567"/>
        <w:jc w:val="left"/>
        <w:rPr>
          <w:rFonts w:ascii="Times New Roman" w:hAnsi="Times New Roman" w:eastAsia="宋体"/>
          <w:sz w:val="28"/>
          <w:szCs w:val="28"/>
        </w:rPr>
      </w:pPr>
      <w:r>
        <w:rPr>
          <w:rFonts w:ascii="Times New Roman" w:hAnsi="Times New Roman" w:eastAsia="宋体"/>
          <w:sz w:val="28"/>
          <w:szCs w:val="28"/>
        </w:rPr>
        <w:t>估价对象具有开发或再开发潜力且开发完成后的价值可采用除成本法以外的方法测算的，应选用假设开发法。</w:t>
      </w:r>
    </w:p>
    <w:p>
      <w:pPr>
        <w:numPr>
          <w:ilvl w:val="0"/>
          <w:numId w:val="18"/>
        </w:numPr>
        <w:tabs>
          <w:tab w:val="left" w:pos="180"/>
        </w:tabs>
        <w:spacing w:line="500" w:lineRule="exact"/>
        <w:ind w:left="981"/>
        <w:jc w:val="left"/>
        <w:rPr>
          <w:rFonts w:ascii="Times New Roman" w:hAnsi="Times New Roman" w:eastAsia="宋体"/>
          <w:sz w:val="28"/>
          <w:szCs w:val="28"/>
        </w:rPr>
      </w:pPr>
      <w:r>
        <w:rPr>
          <w:rFonts w:ascii="Times New Roman" w:hAnsi="Times New Roman" w:eastAsia="宋体"/>
          <w:sz w:val="28"/>
          <w:szCs w:val="28"/>
        </w:rPr>
        <w:t>本次估价选用的方法及理由</w:t>
      </w:r>
    </w:p>
    <w:p>
      <w:pPr>
        <w:tabs>
          <w:tab w:val="left" w:pos="180"/>
        </w:tabs>
        <w:spacing w:line="500" w:lineRule="exact"/>
        <w:jc w:val="left"/>
        <w:rPr>
          <w:rFonts w:ascii="Times New Roman" w:hAnsi="Times New Roman" w:eastAsia="宋体"/>
          <w:b/>
          <w:bCs/>
          <w:sz w:val="28"/>
          <w:szCs w:val="28"/>
        </w:rPr>
      </w:pPr>
      <w:r>
        <w:rPr>
          <w:rFonts w:ascii="Times New Roman" w:hAnsi="Times New Roman" w:eastAsia="宋体"/>
          <w:b/>
          <w:bCs/>
          <w:sz w:val="28"/>
          <w:szCs w:val="28"/>
        </w:rPr>
        <w:t xml:space="preserve">    住宅用房：</w:t>
      </w:r>
    </w:p>
    <w:p>
      <w:pPr>
        <w:numPr>
          <w:ilvl w:val="0"/>
          <w:numId w:val="20"/>
        </w:numPr>
        <w:tabs>
          <w:tab w:val="left" w:pos="180"/>
        </w:tabs>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收益法：估价对象为位于八步镇沙冲村营盘组的住宅用房，经过市场调查，该区域类似住宅用房租赁交易信息相对较少，但仍然存在租金等经济收入，且租赁市场价格相对平稳，租赁发生的应由交易双方承担的税费及标准明确，故可采用收益法。</w:t>
      </w:r>
    </w:p>
    <w:p>
      <w:pPr>
        <w:numPr>
          <w:ilvl w:val="0"/>
          <w:numId w:val="20"/>
        </w:numPr>
        <w:tabs>
          <w:tab w:val="left" w:pos="180"/>
        </w:tabs>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成本法：成本法是依据生产费用价值论，以重新开发成本为导向来求取房地产价值的方法，适用对象为：独立开发建设项目进行重新开发建设的、很少发生交易的房地产。估价对象为自建房地产，首先类似房地产交易案例较少，其次估价对象可假定为独立的开发建设项目进行重新开发建设，故可采用成本法。</w:t>
      </w:r>
    </w:p>
    <w:p>
      <w:pPr>
        <w:tabs>
          <w:tab w:val="left" w:pos="180"/>
        </w:tabs>
        <w:spacing w:line="500" w:lineRule="exact"/>
        <w:ind w:left="560"/>
        <w:jc w:val="left"/>
        <w:rPr>
          <w:rFonts w:ascii="Times New Roman" w:hAnsi="Times New Roman" w:eastAsia="宋体"/>
          <w:b/>
          <w:bCs/>
          <w:sz w:val="28"/>
          <w:szCs w:val="28"/>
        </w:rPr>
      </w:pPr>
      <w:r>
        <w:rPr>
          <w:rFonts w:ascii="Times New Roman" w:hAnsi="Times New Roman" w:eastAsia="宋体"/>
          <w:b/>
          <w:bCs/>
          <w:sz w:val="28"/>
          <w:szCs w:val="28"/>
        </w:rPr>
        <w:t>商业用房：</w:t>
      </w:r>
    </w:p>
    <w:p>
      <w:pPr>
        <w:pStyle w:val="82"/>
        <w:numPr>
          <w:ilvl w:val="0"/>
          <w:numId w:val="21"/>
        </w:numPr>
        <w:spacing w:line="500" w:lineRule="exact"/>
        <w:ind w:left="0" w:firstLine="560"/>
        <w:jc w:val="left"/>
        <w:rPr>
          <w:rFonts w:ascii="Times New Roman" w:hAnsi="Times New Roman" w:eastAsia="宋体"/>
          <w:sz w:val="28"/>
          <w:szCs w:val="28"/>
        </w:rPr>
      </w:pPr>
      <w:r>
        <w:rPr>
          <w:rFonts w:ascii="Times New Roman" w:hAnsi="Times New Roman" w:eastAsia="宋体"/>
          <w:sz w:val="28"/>
          <w:szCs w:val="28"/>
        </w:rPr>
        <w:t>收益法：估价对象为位于八步镇沙冲村营盘组的商业用房，经过市场调查，该区域商业用房租赁交易信息相对较多，租赁市场相对成熟，同一供需圈同类型房地产租赁成交记录较多，且租赁发生的应由交易双方承担的税费及标准明确，故可采用收益法。</w:t>
      </w:r>
    </w:p>
    <w:p>
      <w:pPr>
        <w:pStyle w:val="82"/>
        <w:numPr>
          <w:ilvl w:val="0"/>
          <w:numId w:val="21"/>
        </w:numPr>
        <w:spacing w:line="500" w:lineRule="exact"/>
        <w:ind w:left="0" w:firstLine="560"/>
        <w:rPr>
          <w:rFonts w:ascii="Times New Roman" w:hAnsi="Times New Roman" w:eastAsia="宋体"/>
          <w:sz w:val="28"/>
          <w:szCs w:val="28"/>
        </w:rPr>
      </w:pPr>
      <w:r>
        <w:rPr>
          <w:rFonts w:ascii="Times New Roman" w:hAnsi="Times New Roman" w:eastAsia="宋体"/>
          <w:sz w:val="28"/>
          <w:szCs w:val="28"/>
        </w:rPr>
        <w:t>成本法：成本法是依据生产费用价值论，以重新开发成本为导向来求取房地产价值的方法，适用对象为：独立开发建设项目进行重新开发建设的、很少发生交易的房地产。估价对象为自建房地产，首先类似房地产交易案例较少，其次估价对象可假定为独立的开发建设项目进行重新开发建设，故可采用成本法。</w:t>
      </w:r>
    </w:p>
    <w:p>
      <w:pPr>
        <w:numPr>
          <w:ilvl w:val="0"/>
          <w:numId w:val="18"/>
        </w:numPr>
        <w:tabs>
          <w:tab w:val="left" w:pos="180"/>
        </w:tabs>
        <w:spacing w:line="500" w:lineRule="exact"/>
        <w:jc w:val="left"/>
        <w:rPr>
          <w:rFonts w:ascii="Times New Roman" w:hAnsi="Times New Roman" w:eastAsia="宋体"/>
          <w:sz w:val="28"/>
          <w:szCs w:val="28"/>
        </w:rPr>
      </w:pPr>
      <w:r>
        <w:rPr>
          <w:rFonts w:ascii="Times New Roman" w:hAnsi="Times New Roman" w:eastAsia="宋体"/>
          <w:sz w:val="28"/>
          <w:szCs w:val="28"/>
        </w:rPr>
        <w:t>结合规定本次房地产估价适用但未选用的方法及理由</w:t>
      </w:r>
    </w:p>
    <w:p>
      <w:pPr>
        <w:numPr>
          <w:ilvl w:val="0"/>
          <w:numId w:val="22"/>
        </w:numPr>
        <w:tabs>
          <w:tab w:val="left" w:pos="180"/>
        </w:tabs>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比较法：估价对象为位于八步镇沙冲村营盘组的一栋自建房地产，根据估价人员调查，同一供需圈的同类型房地产成交记录匮乏，交易案例不易获取，个别成交案例不具备可比性，故未采用比较法。</w:t>
      </w:r>
    </w:p>
    <w:p>
      <w:pPr>
        <w:numPr>
          <w:ilvl w:val="0"/>
          <w:numId w:val="22"/>
        </w:numPr>
        <w:tabs>
          <w:tab w:val="left" w:pos="180"/>
        </w:tabs>
        <w:spacing w:line="500" w:lineRule="exact"/>
        <w:ind w:left="0" w:firstLine="560" w:firstLineChars="200"/>
        <w:rPr>
          <w:rFonts w:ascii="Times New Roman" w:hAnsi="Times New Roman" w:eastAsia="宋体"/>
          <w:sz w:val="28"/>
          <w:szCs w:val="28"/>
        </w:rPr>
      </w:pPr>
      <w:r>
        <w:rPr>
          <w:rFonts w:ascii="Times New Roman" w:hAnsi="Times New Roman" w:eastAsia="宋体"/>
          <w:sz w:val="28"/>
          <w:szCs w:val="28"/>
        </w:rPr>
        <w:t>假设开发法：估价对象为已建成的房地产，不具有开发或再开发潜力，故未采用假设开发法。</w:t>
      </w:r>
    </w:p>
    <w:p>
      <w:pPr>
        <w:numPr>
          <w:ilvl w:val="0"/>
          <w:numId w:val="18"/>
        </w:numPr>
        <w:tabs>
          <w:tab w:val="left" w:pos="180"/>
        </w:tabs>
        <w:spacing w:line="500" w:lineRule="exact"/>
        <w:jc w:val="left"/>
        <w:rPr>
          <w:rFonts w:ascii="Times New Roman" w:hAnsi="Times New Roman" w:eastAsia="宋体"/>
          <w:sz w:val="28"/>
          <w:szCs w:val="28"/>
        </w:rPr>
      </w:pPr>
      <w:r>
        <w:rPr>
          <w:rFonts w:ascii="Times New Roman" w:hAnsi="Times New Roman" w:eastAsia="宋体"/>
          <w:sz w:val="28"/>
          <w:szCs w:val="28"/>
        </w:rPr>
        <w:t>估价方法定义</w:t>
      </w:r>
    </w:p>
    <w:p>
      <w:pPr>
        <w:numPr>
          <w:ilvl w:val="0"/>
          <w:numId w:val="23"/>
        </w:numPr>
        <w:tabs>
          <w:tab w:val="left" w:pos="180"/>
        </w:tabs>
        <w:spacing w:line="500" w:lineRule="exact"/>
        <w:ind w:left="0" w:firstLine="560"/>
        <w:jc w:val="left"/>
        <w:rPr>
          <w:rFonts w:ascii="Times New Roman" w:hAnsi="Times New Roman" w:eastAsia="宋体"/>
          <w:sz w:val="28"/>
          <w:szCs w:val="28"/>
        </w:rPr>
      </w:pPr>
      <w:r>
        <w:rPr>
          <w:rFonts w:ascii="Times New Roman" w:hAnsi="Times New Roman" w:eastAsia="宋体"/>
          <w:sz w:val="28"/>
          <w:szCs w:val="28"/>
        </w:rPr>
        <w:t>收益法：预测估价对象的未来收益，利用合适的报酬率或资本化率、收益乘数，将未来收益转换为价值得到估价对象价值或价格的方法。</w:t>
      </w:r>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 xml:space="preserve">全剩余寿命模式的收益法公式如下为： </w:t>
      </w:r>
    </w:p>
    <w:p>
      <w:pPr>
        <w:spacing w:line="840" w:lineRule="auto"/>
        <w:ind w:firstLine="560" w:firstLineChars="200"/>
        <w:rPr>
          <w:rFonts w:ascii="Times New Roman" w:hAnsi="Times New Roman" w:eastAsia="宋体"/>
          <w:kern w:val="0"/>
          <w:sz w:val="28"/>
          <w:szCs w:val="28"/>
        </w:rPr>
      </w:pPr>
      <m:oMathPara>
        <m:oMath>
          <m:r>
            <m:rPr/>
            <w:rPr>
              <w:rFonts w:ascii="Cambria Math" w:hAnsi="Cambria Math" w:eastAsia="宋体"/>
              <w:kern w:val="0"/>
              <w:sz w:val="28"/>
              <w:szCs w:val="28"/>
            </w:rPr>
            <m:t>V=</m:t>
          </m:r>
          <m:nary>
            <m:naryPr>
              <m:chr m:val="∑"/>
              <m:limLoc m:val="undOvr"/>
              <m:ctrlPr>
                <w:rPr>
                  <w:rFonts w:ascii="Cambria Math" w:hAnsi="Cambria Math" w:eastAsia="宋体"/>
                  <w:i/>
                  <w:kern w:val="0"/>
                  <w:sz w:val="28"/>
                  <w:szCs w:val="28"/>
                </w:rPr>
              </m:ctrlPr>
            </m:naryPr>
            <m:sub>
              <m:r>
                <m:rPr/>
                <w:rPr>
                  <w:rFonts w:ascii="Cambria Math" w:hAnsi="Cambria Math" w:eastAsia="宋体"/>
                  <w:kern w:val="0"/>
                  <w:sz w:val="28"/>
                  <w:szCs w:val="28"/>
                </w:rPr>
                <m:t>i=1</m:t>
              </m:r>
              <m:ctrlPr>
                <w:rPr>
                  <w:rFonts w:ascii="Cambria Math" w:hAnsi="Cambria Math" w:eastAsia="宋体"/>
                  <w:i/>
                  <w:kern w:val="0"/>
                  <w:sz w:val="28"/>
                  <w:szCs w:val="28"/>
                </w:rPr>
              </m:ctrlPr>
            </m:sub>
            <m:sup>
              <m:r>
                <m:rPr/>
                <w:rPr>
                  <w:rFonts w:ascii="Cambria Math" w:hAnsi="Cambria Math" w:eastAsia="宋体"/>
                  <w:kern w:val="0"/>
                  <w:sz w:val="28"/>
                  <w:szCs w:val="28"/>
                </w:rPr>
                <m:t>n</m:t>
              </m:r>
              <m:ctrlPr>
                <w:rPr>
                  <w:rFonts w:ascii="Cambria Math" w:hAnsi="Cambria Math" w:eastAsia="宋体"/>
                  <w:i/>
                  <w:kern w:val="0"/>
                  <w:sz w:val="28"/>
                  <w:szCs w:val="28"/>
                </w:rPr>
              </m:ctrlPr>
            </m:sup>
            <m:e>
              <m:f>
                <m:fPr>
                  <m:ctrlPr>
                    <w:rPr>
                      <w:rFonts w:ascii="Cambria Math" w:hAnsi="Cambria Math" w:eastAsia="宋体"/>
                      <w:i/>
                      <w:kern w:val="0"/>
                      <w:sz w:val="28"/>
                      <w:szCs w:val="28"/>
                    </w:rPr>
                  </m:ctrlPr>
                </m:fPr>
                <m:num>
                  <m:sSub>
                    <m:sSubPr>
                      <m:ctrlPr>
                        <w:rPr>
                          <w:rFonts w:ascii="Cambria Math" w:hAnsi="Cambria Math" w:eastAsia="宋体"/>
                          <w:i/>
                          <w:kern w:val="0"/>
                          <w:sz w:val="28"/>
                          <w:szCs w:val="28"/>
                        </w:rPr>
                      </m:ctrlPr>
                    </m:sSubPr>
                    <m:e>
                      <m:r>
                        <m:rPr/>
                        <w:rPr>
                          <w:rFonts w:ascii="Cambria Math" w:hAnsi="Cambria Math" w:eastAsia="宋体"/>
                          <w:kern w:val="0"/>
                          <w:sz w:val="28"/>
                          <w:szCs w:val="28"/>
                        </w:rPr>
                        <m:t>A</m:t>
                      </m:r>
                      <m:ctrlPr>
                        <w:rPr>
                          <w:rFonts w:ascii="Cambria Math" w:hAnsi="Cambria Math" w:eastAsia="宋体"/>
                          <w:i/>
                          <w:kern w:val="0"/>
                          <w:sz w:val="28"/>
                          <w:szCs w:val="28"/>
                        </w:rPr>
                      </m:ctrlPr>
                    </m:e>
                    <m:sub>
                      <m:r>
                        <m:rPr/>
                        <w:rPr>
                          <w:rFonts w:ascii="Cambria Math" w:hAnsi="Cambria Math" w:eastAsia="宋体"/>
                          <w:kern w:val="0"/>
                          <w:sz w:val="28"/>
                          <w:szCs w:val="28"/>
                        </w:rPr>
                        <m:t>i</m:t>
                      </m:r>
                      <m:ctrlPr>
                        <w:rPr>
                          <w:rFonts w:ascii="Cambria Math" w:hAnsi="Cambria Math" w:eastAsia="宋体"/>
                          <w:i/>
                          <w:kern w:val="0"/>
                          <w:sz w:val="28"/>
                          <w:szCs w:val="28"/>
                        </w:rPr>
                      </m:ctrlPr>
                    </m:sub>
                  </m:sSub>
                  <m:ctrlPr>
                    <w:rPr>
                      <w:rFonts w:ascii="Cambria Math" w:hAnsi="Cambria Math" w:eastAsia="宋体"/>
                      <w:i/>
                      <w:kern w:val="0"/>
                      <w:sz w:val="28"/>
                      <w:szCs w:val="28"/>
                    </w:rPr>
                  </m:ctrlPr>
                </m:num>
                <m:den>
                  <m:sSup>
                    <m:sSupPr>
                      <m:ctrlPr>
                        <w:rPr>
                          <w:rFonts w:ascii="Cambria Math" w:hAnsi="Cambria Math" w:eastAsia="宋体"/>
                          <w:i/>
                          <w:kern w:val="0"/>
                          <w:sz w:val="28"/>
                          <w:szCs w:val="28"/>
                        </w:rPr>
                      </m:ctrlPr>
                    </m:sSupPr>
                    <m:e>
                      <m:r>
                        <m:rPr/>
                        <w:rPr>
                          <w:rFonts w:ascii="Cambria Math" w:hAnsi="Cambria Math" w:eastAsia="宋体"/>
                          <w:kern w:val="0"/>
                          <w:sz w:val="28"/>
                          <w:szCs w:val="28"/>
                        </w:rPr>
                        <m:t>(1+</m:t>
                      </m:r>
                      <m:sSub>
                        <m:sSubPr>
                          <m:ctrlPr>
                            <w:rPr>
                              <w:rFonts w:ascii="Cambria Math" w:hAnsi="Cambria Math" w:eastAsia="宋体"/>
                              <w:i/>
                              <w:kern w:val="0"/>
                              <w:sz w:val="28"/>
                              <w:szCs w:val="28"/>
                            </w:rPr>
                          </m:ctrlPr>
                        </m:sSubPr>
                        <m:e>
                          <m:r>
                            <m:rPr/>
                            <w:rPr>
                              <w:rFonts w:ascii="Cambria Math" w:hAnsi="Cambria Math" w:eastAsia="宋体"/>
                              <w:kern w:val="0"/>
                              <w:sz w:val="28"/>
                              <w:szCs w:val="28"/>
                            </w:rPr>
                            <m:t>Y</m:t>
                          </m:r>
                          <m:ctrlPr>
                            <w:rPr>
                              <w:rFonts w:ascii="Cambria Math" w:hAnsi="Cambria Math" w:eastAsia="宋体"/>
                              <w:i/>
                              <w:kern w:val="0"/>
                              <w:sz w:val="28"/>
                              <w:szCs w:val="28"/>
                            </w:rPr>
                          </m:ctrlPr>
                        </m:e>
                        <m:sub>
                          <m:r>
                            <m:rPr/>
                            <w:rPr>
                              <w:rFonts w:ascii="Cambria Math" w:hAnsi="Cambria Math" w:eastAsia="宋体"/>
                              <w:kern w:val="0"/>
                              <w:sz w:val="28"/>
                              <w:szCs w:val="28"/>
                            </w:rPr>
                            <m:t>i</m:t>
                          </m:r>
                          <m:ctrlPr>
                            <w:rPr>
                              <w:rFonts w:ascii="Cambria Math" w:hAnsi="Cambria Math" w:eastAsia="宋体"/>
                              <w:i/>
                              <w:kern w:val="0"/>
                              <w:sz w:val="28"/>
                              <w:szCs w:val="28"/>
                            </w:rPr>
                          </m:ctrlPr>
                        </m:sub>
                      </m:sSub>
                      <m:r>
                        <m:rPr/>
                        <w:rPr>
                          <w:rFonts w:ascii="Cambria Math" w:hAnsi="Cambria Math" w:eastAsia="宋体"/>
                          <w:kern w:val="0"/>
                          <w:sz w:val="28"/>
                          <w:szCs w:val="28"/>
                        </w:rPr>
                        <m:t>)</m:t>
                      </m:r>
                      <m:ctrlPr>
                        <w:rPr>
                          <w:rFonts w:ascii="Cambria Math" w:hAnsi="Cambria Math" w:eastAsia="宋体"/>
                          <w:i/>
                          <w:kern w:val="0"/>
                          <w:sz w:val="28"/>
                          <w:szCs w:val="28"/>
                        </w:rPr>
                      </m:ctrlPr>
                    </m:e>
                    <m:sup>
                      <m:r>
                        <m:rPr/>
                        <w:rPr>
                          <w:rFonts w:ascii="Cambria Math" w:hAnsi="Cambria Math" w:eastAsia="宋体"/>
                          <w:kern w:val="0"/>
                          <w:sz w:val="28"/>
                          <w:szCs w:val="28"/>
                        </w:rPr>
                        <m:t>i</m:t>
                      </m:r>
                      <m:ctrlPr>
                        <w:rPr>
                          <w:rFonts w:ascii="Cambria Math" w:hAnsi="Cambria Math" w:eastAsia="宋体"/>
                          <w:i/>
                          <w:kern w:val="0"/>
                          <w:sz w:val="28"/>
                          <w:szCs w:val="28"/>
                        </w:rPr>
                      </m:ctrlPr>
                    </m:sup>
                  </m:sSup>
                  <m:ctrlPr>
                    <w:rPr>
                      <w:rFonts w:ascii="Cambria Math" w:hAnsi="Cambria Math" w:eastAsia="宋体"/>
                      <w:i/>
                      <w:kern w:val="0"/>
                      <w:sz w:val="28"/>
                      <w:szCs w:val="28"/>
                    </w:rPr>
                  </m:ctrlPr>
                </m:den>
              </m:f>
              <m:ctrlPr>
                <w:rPr>
                  <w:rFonts w:ascii="Cambria Math" w:hAnsi="Cambria Math" w:eastAsia="宋体"/>
                  <w:i/>
                  <w:kern w:val="0"/>
                  <w:sz w:val="28"/>
                  <w:szCs w:val="28"/>
                </w:rPr>
              </m:ctrlPr>
            </m:e>
          </m:nary>
        </m:oMath>
      </m:oMathPara>
    </w:p>
    <w:p>
      <w:pPr>
        <w:spacing w:line="500" w:lineRule="exact"/>
        <w:ind w:firstLine="560" w:firstLineChars="200"/>
        <w:rPr>
          <w:rFonts w:ascii="Times New Roman" w:hAnsi="Times New Roman" w:eastAsia="宋体"/>
          <w:sz w:val="28"/>
        </w:rPr>
      </w:pPr>
      <w:r>
        <w:rPr>
          <w:rFonts w:ascii="Times New Roman" w:hAnsi="Times New Roman" w:eastAsia="宋体"/>
          <w:sz w:val="28"/>
        </w:rPr>
        <w:t>式中：V——收益价值(元或元/㎡)；</w:t>
      </w:r>
    </w:p>
    <w:p>
      <w:pPr>
        <w:spacing w:line="500" w:lineRule="exact"/>
        <w:ind w:firstLine="1400" w:firstLineChars="500"/>
        <w:rPr>
          <w:rFonts w:ascii="Times New Roman" w:hAnsi="Times New Roman" w:eastAsia="宋体"/>
          <w:sz w:val="28"/>
        </w:rPr>
      </w:pPr>
      <w:r>
        <w:rPr>
          <w:rFonts w:ascii="Times New Roman" w:hAnsi="Times New Roman" w:eastAsia="宋体"/>
          <w:sz w:val="28"/>
        </w:rPr>
        <w:t>A</w:t>
      </w:r>
      <w:r>
        <w:rPr>
          <w:rFonts w:ascii="Times New Roman" w:hAnsi="Times New Roman" w:eastAsia="宋体"/>
          <w:sz w:val="28"/>
          <w:vertAlign w:val="subscript"/>
        </w:rPr>
        <w:t>i</w:t>
      </w:r>
      <w:r>
        <w:rPr>
          <w:rFonts w:ascii="Times New Roman" w:hAnsi="Times New Roman" w:eastAsia="宋体"/>
          <w:sz w:val="28"/>
        </w:rPr>
        <w:t>——未来第i年的净收益(元或元/㎡)；</w:t>
      </w:r>
    </w:p>
    <w:p>
      <w:pPr>
        <w:spacing w:line="500" w:lineRule="exact"/>
        <w:ind w:firstLine="1400" w:firstLineChars="500"/>
        <w:rPr>
          <w:rFonts w:ascii="Times New Roman" w:hAnsi="Times New Roman" w:eastAsia="宋体"/>
          <w:sz w:val="28"/>
        </w:rPr>
      </w:pPr>
      <w:r>
        <w:rPr>
          <w:rFonts w:ascii="Times New Roman" w:hAnsi="Times New Roman" w:eastAsia="宋体"/>
          <w:sz w:val="28"/>
        </w:rPr>
        <w:t>Y</w:t>
      </w:r>
      <w:r>
        <w:rPr>
          <w:rFonts w:ascii="Times New Roman" w:hAnsi="Times New Roman" w:eastAsia="宋体"/>
          <w:sz w:val="28"/>
          <w:vertAlign w:val="subscript"/>
        </w:rPr>
        <w:t>i</w:t>
      </w:r>
      <w:r>
        <w:rPr>
          <w:rFonts w:ascii="Times New Roman" w:hAnsi="Times New Roman" w:eastAsia="宋体"/>
          <w:sz w:val="28"/>
        </w:rPr>
        <w:t>——未来第i年的报酬率(%)；</w:t>
      </w:r>
    </w:p>
    <w:p>
      <w:pPr>
        <w:tabs>
          <w:tab w:val="left" w:pos="180"/>
        </w:tabs>
        <w:spacing w:line="500" w:lineRule="exact"/>
        <w:ind w:left="560" w:firstLine="840" w:firstLineChars="300"/>
        <w:jc w:val="left"/>
        <w:rPr>
          <w:rFonts w:ascii="Times New Roman" w:hAnsi="Times New Roman" w:eastAsia="宋体"/>
          <w:sz w:val="28"/>
          <w:szCs w:val="28"/>
        </w:rPr>
      </w:pPr>
      <w:r>
        <w:rPr>
          <w:rFonts w:ascii="Times New Roman" w:hAnsi="Times New Roman" w:eastAsia="宋体"/>
          <w:sz w:val="28"/>
          <w:szCs w:val="28"/>
        </w:rPr>
        <w:t>n</w:t>
      </w:r>
      <w:r>
        <w:rPr>
          <w:rFonts w:ascii="Times New Roman" w:hAnsi="Times New Roman" w:eastAsia="宋体"/>
          <w:sz w:val="28"/>
        </w:rPr>
        <w:t>——收益期(年)</w:t>
      </w:r>
      <w:r>
        <w:rPr>
          <w:rFonts w:ascii="Times New Roman" w:hAnsi="Times New Roman" w:eastAsia="宋体"/>
          <w:sz w:val="28"/>
          <w:szCs w:val="28"/>
        </w:rPr>
        <w:t>。</w:t>
      </w:r>
    </w:p>
    <w:p>
      <w:pPr>
        <w:numPr>
          <w:ilvl w:val="0"/>
          <w:numId w:val="23"/>
        </w:numPr>
        <w:tabs>
          <w:tab w:val="left" w:pos="180"/>
        </w:tabs>
        <w:spacing w:line="520" w:lineRule="exact"/>
        <w:ind w:left="0" w:firstLine="560"/>
        <w:jc w:val="left"/>
        <w:rPr>
          <w:rFonts w:ascii="Times New Roman" w:hAnsi="Times New Roman" w:eastAsia="宋体"/>
          <w:sz w:val="28"/>
          <w:szCs w:val="28"/>
        </w:rPr>
      </w:pPr>
      <w:r>
        <w:rPr>
          <w:rFonts w:ascii="Times New Roman" w:hAnsi="Times New Roman" w:eastAsia="宋体"/>
          <w:sz w:val="28"/>
          <w:szCs w:val="28"/>
        </w:rPr>
        <w:t>成本法：测算估价对象在价值时点的重置成本和建筑物折旧，将重置成本减去建筑物折旧得到估价对象价值或价格的方法。成本法计算公式：房地产价值=重置成本-建筑物折旧。</w:t>
      </w:r>
      <w:bookmarkStart w:id="242" w:name="_Hlk65154008"/>
    </w:p>
    <w:bookmarkEnd w:id="242"/>
    <w:p>
      <w:pPr>
        <w:numPr>
          <w:ilvl w:val="0"/>
          <w:numId w:val="18"/>
        </w:numPr>
        <w:tabs>
          <w:tab w:val="left" w:pos="180"/>
        </w:tabs>
        <w:spacing w:line="520" w:lineRule="exact"/>
        <w:jc w:val="left"/>
        <w:rPr>
          <w:rFonts w:ascii="Times New Roman" w:hAnsi="Times New Roman" w:eastAsia="宋体"/>
          <w:sz w:val="28"/>
          <w:szCs w:val="28"/>
        </w:rPr>
      </w:pPr>
      <w:bookmarkStart w:id="243" w:name="_Hlk98435866"/>
      <w:r>
        <w:rPr>
          <w:rFonts w:ascii="Times New Roman" w:hAnsi="Times New Roman" w:eastAsia="宋体"/>
          <w:sz w:val="28"/>
          <w:szCs w:val="28"/>
        </w:rPr>
        <w:t>估价技术路线</w:t>
      </w:r>
    </w:p>
    <w:p>
      <w:pPr>
        <w:numPr>
          <w:ilvl w:val="0"/>
          <w:numId w:val="24"/>
        </w:numPr>
        <w:adjustRightInd w:val="0"/>
        <w:snapToGrid w:val="0"/>
        <w:spacing w:line="520" w:lineRule="exact"/>
        <w:ind w:left="0" w:firstLine="560" w:firstLineChars="200"/>
        <w:rPr>
          <w:rFonts w:ascii="Times New Roman" w:hAnsi="Times New Roman" w:eastAsia="宋体"/>
          <w:sz w:val="28"/>
        </w:rPr>
      </w:pPr>
      <w:r>
        <w:rPr>
          <w:rFonts w:ascii="Times New Roman" w:hAnsi="Times New Roman" w:eastAsia="宋体"/>
          <w:sz w:val="28"/>
        </w:rPr>
        <w:t>收益法估价技术路线：(1)选择具体估价方法，本次采用报酬资本化法的全剩余寿命模式；(2)根据市场调查，测算、预测未来收益，以及根据相关数据确定未来收益递增的比率及增长期限；(3)采用合适的方法，确定报酬率；(4)将上述测算分析的数值代入收益法测算公式，计算收益价值，得出估价结果。</w:t>
      </w:r>
    </w:p>
    <w:p>
      <w:pPr>
        <w:numPr>
          <w:ilvl w:val="0"/>
          <w:numId w:val="24"/>
        </w:numPr>
        <w:adjustRightInd w:val="0"/>
        <w:snapToGrid w:val="0"/>
        <w:spacing w:line="520" w:lineRule="exact"/>
        <w:ind w:left="0" w:firstLine="560" w:firstLineChars="200"/>
        <w:rPr>
          <w:rFonts w:ascii="Times New Roman" w:hAnsi="Times New Roman" w:eastAsia="宋体"/>
          <w:sz w:val="28"/>
        </w:rPr>
      </w:pPr>
      <w:r>
        <w:rPr>
          <w:rFonts w:ascii="Times New Roman" w:hAnsi="Times New Roman" w:eastAsia="宋体"/>
          <w:sz w:val="28"/>
          <w:szCs w:val="28"/>
        </w:rPr>
        <w:t>成本法估价技术路线：</w:t>
      </w:r>
      <w:r>
        <w:rPr>
          <w:rFonts w:hint="eastAsia" w:ascii="Times New Roman" w:hAnsi="Times New Roman" w:eastAsia="宋体"/>
          <w:sz w:val="28"/>
          <w:szCs w:val="28"/>
        </w:rPr>
        <w:t>(</w:t>
      </w:r>
      <w:r>
        <w:rPr>
          <w:rFonts w:ascii="Times New Roman" w:hAnsi="Times New Roman" w:eastAsia="宋体"/>
          <w:sz w:val="28"/>
          <w:szCs w:val="28"/>
        </w:rPr>
        <w:t>1)选择具体估价路径—房地合估路径或是房地分估路径；</w:t>
      </w:r>
      <w:r>
        <w:rPr>
          <w:rFonts w:hint="eastAsia" w:ascii="Times New Roman" w:hAnsi="Times New Roman" w:eastAsia="宋体"/>
          <w:sz w:val="28"/>
          <w:szCs w:val="28"/>
        </w:rPr>
        <w:t>(</w:t>
      </w:r>
      <w:r>
        <w:rPr>
          <w:rFonts w:ascii="Times New Roman" w:hAnsi="Times New Roman" w:eastAsia="宋体"/>
          <w:sz w:val="28"/>
          <w:szCs w:val="28"/>
        </w:rPr>
        <w:t>2)测算重置成本；</w:t>
      </w:r>
      <w:r>
        <w:rPr>
          <w:rFonts w:hint="eastAsia" w:ascii="Times New Roman" w:hAnsi="Times New Roman" w:eastAsia="宋体"/>
          <w:sz w:val="28"/>
          <w:szCs w:val="28"/>
        </w:rPr>
        <w:t>(</w:t>
      </w:r>
      <w:r>
        <w:rPr>
          <w:rFonts w:ascii="Times New Roman" w:hAnsi="Times New Roman" w:eastAsia="宋体"/>
          <w:sz w:val="28"/>
          <w:szCs w:val="28"/>
        </w:rPr>
        <w:t>3)测算建筑物折旧；</w:t>
      </w:r>
      <w:r>
        <w:rPr>
          <w:rFonts w:hint="eastAsia" w:ascii="Times New Roman" w:hAnsi="Times New Roman" w:eastAsia="宋体"/>
          <w:sz w:val="28"/>
          <w:szCs w:val="28"/>
        </w:rPr>
        <w:t>(</w:t>
      </w:r>
      <w:r>
        <w:rPr>
          <w:rFonts w:ascii="Times New Roman" w:hAnsi="Times New Roman" w:eastAsia="宋体"/>
          <w:sz w:val="28"/>
          <w:szCs w:val="28"/>
        </w:rPr>
        <w:t>4)计算成本价值</w:t>
      </w:r>
      <w:r>
        <w:rPr>
          <w:rFonts w:ascii="Times New Roman" w:hAnsi="Times New Roman" w:eastAsia="宋体"/>
          <w:sz w:val="28"/>
        </w:rPr>
        <w:t>。</w:t>
      </w:r>
    </w:p>
    <w:bookmarkEnd w:id="243"/>
    <w:p>
      <w:pPr>
        <w:pStyle w:val="3"/>
        <w:numPr>
          <w:ilvl w:val="0"/>
          <w:numId w:val="9"/>
        </w:numPr>
        <w:spacing w:before="120" w:after="120" w:line="500" w:lineRule="exact"/>
        <w:ind w:left="0" w:firstLine="640" w:firstLineChars="200"/>
        <w:rPr>
          <w:rFonts w:ascii="Times New Roman" w:hAnsi="Times New Roman" w:eastAsia="宋体"/>
        </w:rPr>
      </w:pPr>
      <w:bookmarkStart w:id="244" w:name="_Toc65065921"/>
      <w:r>
        <w:rPr>
          <w:rFonts w:ascii="Times New Roman" w:hAnsi="Times New Roman" w:eastAsia="宋体"/>
        </w:rPr>
        <w:t>估价结果</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4"/>
    </w:p>
    <w:p>
      <w:pPr>
        <w:spacing w:line="500" w:lineRule="exact"/>
        <w:ind w:left="-4" w:leftChars="-2" w:firstLine="560" w:firstLineChars="200"/>
        <w:rPr>
          <w:rFonts w:ascii="Times New Roman" w:hAnsi="Times New Roman" w:eastAsia="宋体"/>
          <w:sz w:val="28"/>
          <w:szCs w:val="28"/>
        </w:rPr>
      </w:pPr>
      <w:bookmarkStart w:id="245" w:name="_Toc432490550"/>
      <w:bookmarkStart w:id="246" w:name="_Toc396396781"/>
      <w:bookmarkStart w:id="247" w:name="_Toc432574977"/>
      <w:r>
        <w:rPr>
          <w:rFonts w:ascii="Times New Roman" w:hAnsi="Times New Roman" w:eastAsia="宋体"/>
          <w:sz w:val="28"/>
          <w:szCs w:val="28"/>
        </w:rPr>
        <w:t>经过实地查勘和市场调查，结合估价目的、估价委托人提供的资料和陈述的有关估价对象情况，遵照法律法规和技术标准，遵循公认的估价原则，按照估价程序，在充分考虑影响估价对象该类房地产价值的各项因素综合分析的基础上，并满足本次估价的假设和限制条件下，估价对象于价值时点的房地产市场价值为人民币大写(取整)</w:t>
      </w:r>
      <w:r>
        <w:rPr>
          <w:rFonts w:ascii="Times New Roman" w:hAnsi="Times New Roman" w:eastAsia="宋体"/>
          <w:b/>
          <w:bCs/>
          <w:sz w:val="28"/>
          <w:szCs w:val="28"/>
        </w:rPr>
        <w:t>贰佰叁拾万陆仟壹佰柒拾伍</w:t>
      </w:r>
      <w:r>
        <w:rPr>
          <w:rFonts w:ascii="Times New Roman" w:hAnsi="Times New Roman" w:eastAsia="宋体"/>
          <w:sz w:val="28"/>
          <w:szCs w:val="28"/>
        </w:rPr>
        <w:t>元整(</w:t>
      </w:r>
      <w:r>
        <w:rPr>
          <w:rFonts w:ascii="Times New Roman" w:hAnsi="Times New Roman" w:eastAsia="宋体"/>
          <w:sz w:val="28"/>
          <w:szCs w:val="28"/>
        </w:rPr>
        <w:fldChar w:fldCharType="begin"/>
      </w:r>
      <w:r>
        <w:rPr>
          <w:rFonts w:ascii="Times New Roman" w:hAnsi="Times New Roman" w:eastAsia="宋体"/>
          <w:sz w:val="28"/>
          <w:szCs w:val="28"/>
        </w:rPr>
        <w:instrText xml:space="preserve"> =776910 \# "￥#,##0.00;(￥#,##0.00)" </w:instrText>
      </w:r>
      <w:r>
        <w:rPr>
          <w:rFonts w:ascii="Times New Roman" w:hAnsi="Times New Roman" w:eastAsia="宋体"/>
          <w:sz w:val="28"/>
          <w:szCs w:val="28"/>
        </w:rPr>
        <w:fldChar w:fldCharType="separate"/>
      </w:r>
      <w:r>
        <w:rPr>
          <w:rFonts w:ascii="Times New Roman" w:hAnsi="Times New Roman" w:eastAsia="宋体"/>
          <w:sz w:val="28"/>
          <w:szCs w:val="28"/>
        </w:rPr>
        <w:t>￥2,306,175.00</w:t>
      </w:r>
      <w:r>
        <w:rPr>
          <w:rFonts w:ascii="Times New Roman" w:hAnsi="Times New Roman" w:eastAsia="宋体"/>
          <w:sz w:val="28"/>
          <w:szCs w:val="28"/>
        </w:rPr>
        <w:fldChar w:fldCharType="end"/>
      </w:r>
      <w:r>
        <w:rPr>
          <w:rFonts w:ascii="Times New Roman" w:hAnsi="Times New Roman" w:eastAsia="宋体"/>
          <w:sz w:val="28"/>
          <w:szCs w:val="28"/>
        </w:rPr>
        <w:t>)</w:t>
      </w:r>
      <w:r>
        <w:rPr>
          <w:rFonts w:ascii="Times New Roman" w:hAnsi="Times New Roman" w:eastAsia="宋体"/>
          <w:b/>
          <w:sz w:val="28"/>
          <w:szCs w:val="28"/>
        </w:rPr>
        <w:t>。</w:t>
      </w:r>
      <w:r>
        <w:rPr>
          <w:rFonts w:ascii="Times New Roman" w:hAnsi="Times New Roman" w:eastAsia="宋体"/>
          <w:sz w:val="28"/>
          <w:szCs w:val="28"/>
        </w:rPr>
        <w:t>详见下表：</w:t>
      </w:r>
    </w:p>
    <w:tbl>
      <w:tblPr>
        <w:tblStyle w:val="21"/>
        <w:tblW w:w="5000" w:type="pct"/>
        <w:tblInd w:w="0" w:type="dxa"/>
        <w:tblLayout w:type="autofit"/>
        <w:tblCellMar>
          <w:top w:w="0" w:type="dxa"/>
          <w:left w:w="108" w:type="dxa"/>
          <w:bottom w:w="0" w:type="dxa"/>
          <w:right w:w="108" w:type="dxa"/>
        </w:tblCellMar>
      </w:tblPr>
      <w:tblGrid>
        <w:gridCol w:w="465"/>
        <w:gridCol w:w="1328"/>
        <w:gridCol w:w="1098"/>
        <w:gridCol w:w="1161"/>
        <w:gridCol w:w="841"/>
        <w:gridCol w:w="987"/>
        <w:gridCol w:w="1174"/>
        <w:gridCol w:w="1419"/>
        <w:gridCol w:w="1380"/>
      </w:tblGrid>
      <w:tr>
        <w:tblPrEx>
          <w:tblCellMar>
            <w:top w:w="0" w:type="dxa"/>
            <w:left w:w="108" w:type="dxa"/>
            <w:bottom w:w="0" w:type="dxa"/>
            <w:right w:w="108" w:type="dxa"/>
          </w:tblCellMar>
        </w:tblPrEx>
        <w:trPr>
          <w:trHeight w:val="340" w:hRule="atLeast"/>
        </w:trPr>
        <w:tc>
          <w:tcPr>
            <w:tcW w:w="5000" w:type="pct"/>
            <w:gridSpan w:val="9"/>
            <w:tcBorders>
              <w:top w:val="nil"/>
              <w:left w:val="nil"/>
              <w:bottom w:val="nil"/>
              <w:right w:val="nil"/>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评估结果汇总表</w:t>
            </w:r>
          </w:p>
        </w:tc>
      </w:tr>
      <w:tr>
        <w:tblPrEx>
          <w:tblCellMar>
            <w:top w:w="0" w:type="dxa"/>
            <w:left w:w="108" w:type="dxa"/>
            <w:bottom w:w="0" w:type="dxa"/>
            <w:right w:w="108" w:type="dxa"/>
          </w:tblCellMar>
        </w:tblPrEx>
        <w:trPr>
          <w:trHeight w:val="340" w:hRule="atLeast"/>
        </w:trPr>
        <w:tc>
          <w:tcPr>
            <w:tcW w:w="5000" w:type="pct"/>
            <w:gridSpan w:val="9"/>
            <w:tcBorders>
              <w:top w:val="nil"/>
              <w:left w:val="nil"/>
              <w:bottom w:val="single" w:color="auto" w:sz="4" w:space="0"/>
              <w:right w:val="nil"/>
            </w:tcBorders>
            <w:vAlign w:val="center"/>
          </w:tcPr>
          <w:p>
            <w:pPr>
              <w:widowControl/>
              <w:jc w:val="right"/>
              <w:rPr>
                <w:rFonts w:ascii="Times New Roman" w:hAnsi="Times New Roman" w:eastAsia="宋体"/>
                <w:kern w:val="0"/>
                <w:szCs w:val="21"/>
              </w:rPr>
            </w:pPr>
            <w:r>
              <w:rPr>
                <w:rFonts w:ascii="Times New Roman" w:hAnsi="Times New Roman" w:eastAsia="宋体"/>
                <w:kern w:val="0"/>
                <w:szCs w:val="21"/>
              </w:rPr>
              <w:t>金额单位：人民币元</w:t>
            </w:r>
          </w:p>
        </w:tc>
      </w:tr>
      <w:tr>
        <w:tblPrEx>
          <w:tblCellMar>
            <w:top w:w="0" w:type="dxa"/>
            <w:left w:w="108" w:type="dxa"/>
            <w:bottom w:w="0" w:type="dxa"/>
            <w:right w:w="108" w:type="dxa"/>
          </w:tblCellMar>
        </w:tblPrEx>
        <w:trPr>
          <w:trHeight w:val="340" w:hRule="atLeast"/>
        </w:trPr>
        <w:tc>
          <w:tcPr>
            <w:tcW w:w="23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序号</w:t>
            </w:r>
          </w:p>
        </w:tc>
        <w:tc>
          <w:tcPr>
            <w:tcW w:w="674"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房屋坐落</w:t>
            </w:r>
          </w:p>
        </w:tc>
        <w:tc>
          <w:tcPr>
            <w:tcW w:w="55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权利人</w:t>
            </w:r>
          </w:p>
        </w:tc>
        <w:tc>
          <w:tcPr>
            <w:tcW w:w="58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所在层数/总层数</w:t>
            </w:r>
          </w:p>
        </w:tc>
        <w:tc>
          <w:tcPr>
            <w:tcW w:w="42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用途</w:t>
            </w:r>
          </w:p>
        </w:tc>
        <w:tc>
          <w:tcPr>
            <w:tcW w:w="50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建筑面积（㎡）</w:t>
            </w:r>
          </w:p>
        </w:tc>
        <w:tc>
          <w:tcPr>
            <w:tcW w:w="1315" w:type="pct"/>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估价值</w:t>
            </w:r>
          </w:p>
        </w:tc>
        <w:tc>
          <w:tcPr>
            <w:tcW w:w="701" w:type="pct"/>
            <w:vMerge w:val="restart"/>
            <w:tcBorders>
              <w:top w:val="single" w:color="auto" w:sz="4" w:space="0"/>
              <w:left w:val="nil"/>
              <w:right w:val="single" w:color="auto" w:sz="4" w:space="0"/>
            </w:tcBorders>
          </w:tcPr>
          <w:p>
            <w:pPr>
              <w:widowControl/>
              <w:jc w:val="center"/>
              <w:rPr>
                <w:rFonts w:ascii="Times New Roman" w:hAnsi="Times New Roman" w:eastAsia="宋体"/>
                <w:kern w:val="0"/>
                <w:szCs w:val="21"/>
              </w:rPr>
            </w:pPr>
          </w:p>
          <w:p>
            <w:pPr>
              <w:widowControl/>
              <w:jc w:val="center"/>
              <w:rPr>
                <w:rFonts w:ascii="Times New Roman" w:hAnsi="Times New Roman" w:eastAsia="宋体"/>
                <w:kern w:val="0"/>
                <w:szCs w:val="21"/>
              </w:rPr>
            </w:pPr>
            <w:r>
              <w:rPr>
                <w:rFonts w:ascii="Times New Roman" w:hAnsi="Times New Roman" w:eastAsia="宋体"/>
                <w:kern w:val="0"/>
                <w:szCs w:val="21"/>
              </w:rPr>
              <w:t>备注</w:t>
            </w:r>
          </w:p>
        </w:tc>
      </w:tr>
      <w:tr>
        <w:tblPrEx>
          <w:tblCellMar>
            <w:top w:w="0" w:type="dxa"/>
            <w:left w:w="108" w:type="dxa"/>
            <w:bottom w:w="0" w:type="dxa"/>
            <w:right w:w="108" w:type="dxa"/>
          </w:tblCellMar>
        </w:tblPrEx>
        <w:trPr>
          <w:trHeight w:val="340" w:hRule="atLeast"/>
        </w:trPr>
        <w:tc>
          <w:tcPr>
            <w:tcW w:w="23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67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5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42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50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kern w:val="0"/>
                <w:szCs w:val="21"/>
              </w:rPr>
            </w:pPr>
          </w:p>
        </w:tc>
        <w:tc>
          <w:tcPr>
            <w:tcW w:w="595"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单价</w:t>
            </w:r>
          </w:p>
          <w:p>
            <w:pPr>
              <w:widowControl/>
              <w:jc w:val="center"/>
              <w:rPr>
                <w:rFonts w:ascii="Times New Roman" w:hAnsi="Times New Roman" w:eastAsia="宋体"/>
                <w:kern w:val="0"/>
                <w:szCs w:val="21"/>
              </w:rPr>
            </w:pPr>
            <w:r>
              <w:rPr>
                <w:rFonts w:hint="eastAsia" w:ascii="Times New Roman" w:hAnsi="Times New Roman" w:eastAsia="宋体"/>
                <w:kern w:val="0"/>
                <w:szCs w:val="21"/>
              </w:rPr>
              <w:t>(</w:t>
            </w:r>
            <w:r>
              <w:rPr>
                <w:rFonts w:ascii="Times New Roman" w:hAnsi="Times New Roman" w:eastAsia="宋体"/>
                <w:kern w:val="0"/>
                <w:szCs w:val="21"/>
              </w:rPr>
              <w:t>元/㎡)</w:t>
            </w:r>
          </w:p>
        </w:tc>
        <w:tc>
          <w:tcPr>
            <w:tcW w:w="720"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总价</w:t>
            </w:r>
          </w:p>
          <w:p>
            <w:pPr>
              <w:widowControl/>
              <w:jc w:val="center"/>
              <w:rPr>
                <w:rFonts w:ascii="Times New Roman" w:hAnsi="Times New Roman" w:eastAsia="宋体"/>
                <w:kern w:val="0"/>
                <w:szCs w:val="21"/>
              </w:rPr>
            </w:pPr>
            <w:r>
              <w:rPr>
                <w:rFonts w:hint="eastAsia" w:ascii="Times New Roman" w:hAnsi="Times New Roman" w:eastAsia="宋体"/>
                <w:kern w:val="0"/>
                <w:szCs w:val="21"/>
              </w:rPr>
              <w:t>(</w:t>
            </w:r>
            <w:r>
              <w:rPr>
                <w:rFonts w:ascii="Times New Roman" w:hAnsi="Times New Roman" w:eastAsia="宋体"/>
                <w:kern w:val="0"/>
                <w:szCs w:val="21"/>
              </w:rPr>
              <w:t>元，取整)</w:t>
            </w:r>
          </w:p>
        </w:tc>
        <w:tc>
          <w:tcPr>
            <w:tcW w:w="701" w:type="pct"/>
            <w:vMerge w:val="continue"/>
            <w:tcBorders>
              <w:left w:val="nil"/>
              <w:bottom w:val="single" w:color="auto" w:sz="4" w:space="0"/>
              <w:right w:val="single" w:color="auto" w:sz="4" w:space="0"/>
            </w:tcBorders>
          </w:tcPr>
          <w:p>
            <w:pPr>
              <w:widowControl/>
              <w:jc w:val="center"/>
              <w:rPr>
                <w:rFonts w:ascii="Times New Roman" w:hAnsi="Times New Roman" w:eastAsia="宋体"/>
                <w:kern w:val="0"/>
                <w:szCs w:val="21"/>
              </w:rPr>
            </w:pPr>
          </w:p>
        </w:tc>
      </w:tr>
      <w:tr>
        <w:tblPrEx>
          <w:tblCellMar>
            <w:top w:w="0" w:type="dxa"/>
            <w:left w:w="108" w:type="dxa"/>
            <w:bottom w:w="0" w:type="dxa"/>
            <w:right w:w="108" w:type="dxa"/>
          </w:tblCellMar>
        </w:tblPrEx>
        <w:trPr>
          <w:trHeight w:val="340" w:hRule="atLeast"/>
        </w:trPr>
        <w:tc>
          <w:tcPr>
            <w:tcW w:w="236"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1</w:t>
            </w:r>
          </w:p>
        </w:tc>
        <w:tc>
          <w:tcPr>
            <w:tcW w:w="674" w:type="pct"/>
            <w:vMerge w:val="restart"/>
            <w:tcBorders>
              <w:top w:val="nil"/>
              <w:left w:val="nil"/>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八步镇沙冲村营盘组</w:t>
            </w:r>
          </w:p>
        </w:tc>
        <w:tc>
          <w:tcPr>
            <w:tcW w:w="557" w:type="pct"/>
            <w:vMerge w:val="restart"/>
            <w:tcBorders>
              <w:top w:val="nil"/>
              <w:left w:val="nil"/>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陈绍彬、欧婷</w:t>
            </w:r>
          </w:p>
        </w:tc>
        <w:tc>
          <w:tcPr>
            <w:tcW w:w="589"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1-4/4</w:t>
            </w:r>
          </w:p>
        </w:tc>
        <w:tc>
          <w:tcPr>
            <w:tcW w:w="427"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住宅</w:t>
            </w:r>
          </w:p>
        </w:tc>
        <w:tc>
          <w:tcPr>
            <w:tcW w:w="501"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819.28</w:t>
            </w:r>
          </w:p>
        </w:tc>
        <w:tc>
          <w:tcPr>
            <w:tcW w:w="595"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2,167.00</w:t>
            </w:r>
          </w:p>
        </w:tc>
        <w:tc>
          <w:tcPr>
            <w:tcW w:w="720"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b/>
                <w:bCs/>
                <w:kern w:val="0"/>
                <w:szCs w:val="21"/>
              </w:rPr>
            </w:pPr>
            <w:r>
              <w:rPr>
                <w:rFonts w:ascii="Times New Roman" w:hAnsi="Times New Roman" w:eastAsia="宋体"/>
                <w:b/>
                <w:bCs/>
                <w:kern w:val="0"/>
                <w:szCs w:val="21"/>
              </w:rPr>
              <w:t>1,775,380.00</w:t>
            </w:r>
          </w:p>
        </w:tc>
        <w:tc>
          <w:tcPr>
            <w:tcW w:w="701" w:type="pct"/>
            <w:vMerge w:val="restart"/>
            <w:tcBorders>
              <w:top w:val="nil"/>
              <w:left w:val="nil"/>
              <w:right w:val="single" w:color="auto" w:sz="4" w:space="0"/>
            </w:tcBorders>
          </w:tcPr>
          <w:p>
            <w:pPr>
              <w:widowControl/>
              <w:jc w:val="center"/>
              <w:rPr>
                <w:rFonts w:ascii="Times New Roman" w:hAnsi="Times New Roman" w:eastAsia="宋体"/>
                <w:b/>
                <w:bCs/>
                <w:kern w:val="0"/>
                <w:szCs w:val="21"/>
              </w:rPr>
            </w:pPr>
            <w:r>
              <w:rPr>
                <w:rFonts w:ascii="Times New Roman" w:hAnsi="Times New Roman" w:eastAsia="宋体"/>
                <w:szCs w:val="21"/>
              </w:rPr>
              <w:t>含室内固定装修</w:t>
            </w:r>
            <w:r>
              <w:rPr>
                <w:rFonts w:hint="eastAsia" w:ascii="Times New Roman" w:hAnsi="Times New Roman" w:eastAsia="宋体"/>
                <w:szCs w:val="21"/>
              </w:rPr>
              <w:t>及</w:t>
            </w:r>
            <w:r>
              <w:rPr>
                <w:rFonts w:ascii="Times New Roman" w:hAnsi="Times New Roman" w:eastAsia="宋体"/>
                <w:szCs w:val="21"/>
              </w:rPr>
              <w:t>划拨土地使用权价值。</w:t>
            </w:r>
          </w:p>
        </w:tc>
      </w:tr>
      <w:tr>
        <w:tblPrEx>
          <w:tblCellMar>
            <w:top w:w="0" w:type="dxa"/>
            <w:left w:w="108" w:type="dxa"/>
            <w:bottom w:w="0" w:type="dxa"/>
            <w:right w:w="108" w:type="dxa"/>
          </w:tblCellMar>
        </w:tblPrEx>
        <w:trPr>
          <w:trHeight w:val="340" w:hRule="atLeast"/>
        </w:trPr>
        <w:tc>
          <w:tcPr>
            <w:tcW w:w="23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w:t>
            </w:r>
          </w:p>
        </w:tc>
        <w:tc>
          <w:tcPr>
            <w:tcW w:w="674" w:type="pct"/>
            <w:vMerge w:val="continue"/>
            <w:tcBorders>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p>
        </w:tc>
        <w:tc>
          <w:tcPr>
            <w:tcW w:w="557" w:type="pct"/>
            <w:vMerge w:val="continue"/>
            <w:tcBorders>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p>
        </w:tc>
        <w:tc>
          <w:tcPr>
            <w:tcW w:w="589"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2/4</w:t>
            </w:r>
          </w:p>
        </w:tc>
        <w:tc>
          <w:tcPr>
            <w:tcW w:w="42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商业</w:t>
            </w:r>
          </w:p>
        </w:tc>
        <w:tc>
          <w:tcPr>
            <w:tcW w:w="50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156.30</w:t>
            </w:r>
          </w:p>
        </w:tc>
        <w:tc>
          <w:tcPr>
            <w:tcW w:w="59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Cs w:val="21"/>
              </w:rPr>
            </w:pPr>
            <w:r>
              <w:rPr>
                <w:rFonts w:ascii="Times New Roman" w:hAnsi="Times New Roman" w:eastAsia="宋体"/>
                <w:kern w:val="0"/>
                <w:szCs w:val="21"/>
              </w:rPr>
              <w:t>3,396.00</w:t>
            </w:r>
          </w:p>
        </w:tc>
        <w:tc>
          <w:tcPr>
            <w:tcW w:w="720"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bCs/>
                <w:kern w:val="0"/>
                <w:szCs w:val="21"/>
              </w:rPr>
            </w:pPr>
            <w:r>
              <w:rPr>
                <w:rFonts w:ascii="Times New Roman" w:hAnsi="Times New Roman" w:eastAsia="宋体"/>
                <w:b/>
                <w:bCs/>
                <w:kern w:val="0"/>
                <w:szCs w:val="21"/>
              </w:rPr>
              <w:t>530,795.00</w:t>
            </w:r>
          </w:p>
        </w:tc>
        <w:tc>
          <w:tcPr>
            <w:tcW w:w="701" w:type="pct"/>
            <w:vMerge w:val="continue"/>
            <w:tcBorders>
              <w:left w:val="nil"/>
              <w:right w:val="single" w:color="auto" w:sz="4" w:space="0"/>
            </w:tcBorders>
          </w:tcPr>
          <w:p>
            <w:pPr>
              <w:widowControl/>
              <w:jc w:val="center"/>
              <w:rPr>
                <w:rFonts w:ascii="Times New Roman" w:hAnsi="Times New Roman" w:eastAsia="宋体"/>
                <w:b/>
                <w:bCs/>
                <w:kern w:val="0"/>
                <w:szCs w:val="21"/>
              </w:rPr>
            </w:pPr>
          </w:p>
        </w:tc>
      </w:tr>
      <w:tr>
        <w:tblPrEx>
          <w:tblCellMar>
            <w:top w:w="0" w:type="dxa"/>
            <w:left w:w="108" w:type="dxa"/>
            <w:bottom w:w="0" w:type="dxa"/>
            <w:right w:w="108" w:type="dxa"/>
          </w:tblCellMar>
        </w:tblPrEx>
        <w:trPr>
          <w:trHeight w:val="340" w:hRule="atLeast"/>
        </w:trPr>
        <w:tc>
          <w:tcPr>
            <w:tcW w:w="3580"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b/>
                <w:bCs/>
                <w:kern w:val="0"/>
                <w:szCs w:val="21"/>
              </w:rPr>
            </w:pPr>
            <w:r>
              <w:rPr>
                <w:rFonts w:ascii="Times New Roman" w:hAnsi="Times New Roman" w:eastAsia="宋体"/>
                <w:b/>
                <w:bCs/>
                <w:kern w:val="0"/>
                <w:szCs w:val="21"/>
              </w:rPr>
              <w:t>合计</w:t>
            </w:r>
          </w:p>
        </w:tc>
        <w:tc>
          <w:tcPr>
            <w:tcW w:w="720"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b/>
                <w:bCs/>
                <w:kern w:val="0"/>
                <w:szCs w:val="21"/>
              </w:rPr>
            </w:pPr>
            <w:r>
              <w:rPr>
                <w:rFonts w:ascii="Times New Roman" w:hAnsi="Times New Roman" w:eastAsia="宋体"/>
                <w:b/>
                <w:bCs/>
                <w:kern w:val="0"/>
                <w:szCs w:val="21"/>
              </w:rPr>
              <w:t>2,306,175.00</w:t>
            </w:r>
          </w:p>
        </w:tc>
        <w:tc>
          <w:tcPr>
            <w:tcW w:w="701" w:type="pct"/>
            <w:vMerge w:val="continue"/>
            <w:tcBorders>
              <w:left w:val="nil"/>
              <w:bottom w:val="single" w:color="auto" w:sz="4" w:space="0"/>
              <w:right w:val="single" w:color="auto" w:sz="4" w:space="0"/>
            </w:tcBorders>
          </w:tcPr>
          <w:p>
            <w:pPr>
              <w:widowControl/>
              <w:jc w:val="center"/>
              <w:rPr>
                <w:rFonts w:ascii="Times New Roman" w:hAnsi="Times New Roman" w:eastAsia="宋体"/>
                <w:b/>
                <w:bCs/>
                <w:kern w:val="0"/>
                <w:szCs w:val="21"/>
              </w:rPr>
            </w:pPr>
          </w:p>
        </w:tc>
      </w:tr>
      <w:bookmarkEnd w:id="245"/>
      <w:bookmarkEnd w:id="246"/>
      <w:bookmarkEnd w:id="247"/>
    </w:tbl>
    <w:p>
      <w:pPr>
        <w:pStyle w:val="3"/>
        <w:numPr>
          <w:ilvl w:val="0"/>
          <w:numId w:val="9"/>
        </w:numPr>
        <w:spacing w:before="120" w:after="120" w:line="500" w:lineRule="exact"/>
        <w:ind w:left="0" w:firstLine="640" w:firstLineChars="200"/>
        <w:rPr>
          <w:rFonts w:ascii="Times New Roman" w:hAnsi="Times New Roman" w:eastAsia="宋体"/>
        </w:rPr>
      </w:pPr>
      <w:bookmarkStart w:id="248" w:name="_Toc46417175"/>
      <w:bookmarkStart w:id="249" w:name="_Toc47874202"/>
      <w:bookmarkStart w:id="250" w:name="_Toc65065922"/>
      <w:r>
        <w:rPr>
          <w:rFonts w:ascii="Times New Roman" w:hAnsi="Times New Roman" w:eastAsia="宋体"/>
        </w:rPr>
        <w:t>注册房地产估价师</w:t>
      </w:r>
      <w:bookmarkEnd w:id="248"/>
      <w:bookmarkEnd w:id="249"/>
      <w:bookmarkEnd w:id="250"/>
    </w:p>
    <w:tbl>
      <w:tblPr>
        <w:tblStyle w:val="21"/>
        <w:tblW w:w="5000" w:type="pct"/>
        <w:tblInd w:w="0" w:type="dxa"/>
        <w:tblLayout w:type="autofit"/>
        <w:tblCellMar>
          <w:top w:w="0" w:type="dxa"/>
          <w:left w:w="108" w:type="dxa"/>
          <w:bottom w:w="0" w:type="dxa"/>
          <w:right w:w="108" w:type="dxa"/>
        </w:tblCellMar>
      </w:tblPr>
      <w:tblGrid>
        <w:gridCol w:w="2216"/>
        <w:gridCol w:w="2495"/>
        <w:gridCol w:w="2495"/>
        <w:gridCol w:w="2647"/>
      </w:tblGrid>
      <w:tr>
        <w:tblPrEx>
          <w:tblCellMar>
            <w:top w:w="0" w:type="dxa"/>
            <w:left w:w="108" w:type="dxa"/>
            <w:bottom w:w="0" w:type="dxa"/>
            <w:right w:w="108" w:type="dxa"/>
          </w:tblCellMar>
        </w:tblPrEx>
        <w:trPr>
          <w:trHeight w:val="600" w:hRule="atLeast"/>
        </w:trPr>
        <w:tc>
          <w:tcPr>
            <w:tcW w:w="5000" w:type="pct"/>
            <w:gridSpan w:val="4"/>
            <w:tcBorders>
              <w:top w:val="nil"/>
              <w:left w:val="nil"/>
              <w:bottom w:val="nil"/>
              <w:right w:val="nil"/>
            </w:tcBorders>
            <w:noWrap/>
            <w:vAlign w:val="center"/>
          </w:tcPr>
          <w:p>
            <w:pPr>
              <w:widowControl/>
              <w:jc w:val="center"/>
              <w:rPr>
                <w:rFonts w:ascii="Times New Roman" w:hAnsi="Times New Roman" w:eastAsia="宋体"/>
                <w:b/>
                <w:bCs/>
                <w:kern w:val="0"/>
                <w:sz w:val="28"/>
                <w:szCs w:val="28"/>
              </w:rPr>
            </w:pPr>
            <w:bookmarkStart w:id="251" w:name="_Toc445892288"/>
            <w:bookmarkStart w:id="252" w:name="_Toc47874203"/>
            <w:bookmarkStart w:id="253" w:name="_Toc445891415"/>
            <w:bookmarkStart w:id="254" w:name="_Toc497752874"/>
            <w:bookmarkStart w:id="255" w:name="_Toc65065923"/>
            <w:bookmarkStart w:id="256" w:name="_Toc472961351"/>
            <w:bookmarkStart w:id="257" w:name="_Toc468882216"/>
            <w:bookmarkStart w:id="258" w:name="_Toc14995"/>
            <w:bookmarkStart w:id="259" w:name="_Toc46417176"/>
            <w:bookmarkStart w:id="260" w:name="_Toc476489048"/>
            <w:bookmarkStart w:id="261" w:name="_Toc432574978"/>
            <w:bookmarkStart w:id="262" w:name="_Toc432490551"/>
            <w:bookmarkStart w:id="263" w:name="_Toc396396782"/>
            <w:r>
              <w:rPr>
                <w:rFonts w:ascii="Times New Roman" w:hAnsi="Times New Roman" w:eastAsia="宋体"/>
                <w:b/>
                <w:bCs/>
                <w:kern w:val="0"/>
                <w:sz w:val="28"/>
                <w:szCs w:val="28"/>
              </w:rPr>
              <w:t>参加估价的注册房地产估价师</w:t>
            </w:r>
          </w:p>
        </w:tc>
      </w:tr>
      <w:tr>
        <w:tblPrEx>
          <w:tblCellMar>
            <w:top w:w="0" w:type="dxa"/>
            <w:left w:w="108" w:type="dxa"/>
            <w:bottom w:w="0" w:type="dxa"/>
            <w:right w:w="108" w:type="dxa"/>
          </w:tblCellMar>
        </w:tblPrEx>
        <w:trPr>
          <w:trHeight w:val="600" w:hRule="atLeast"/>
        </w:trPr>
        <w:tc>
          <w:tcPr>
            <w:tcW w:w="11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姓  名</w:t>
            </w:r>
          </w:p>
        </w:tc>
        <w:tc>
          <w:tcPr>
            <w:tcW w:w="126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注册号</w:t>
            </w:r>
          </w:p>
        </w:tc>
        <w:tc>
          <w:tcPr>
            <w:tcW w:w="1266"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签  名</w:t>
            </w:r>
          </w:p>
        </w:tc>
        <w:tc>
          <w:tcPr>
            <w:tcW w:w="1343"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签名日期</w:t>
            </w:r>
          </w:p>
        </w:tc>
      </w:tr>
      <w:tr>
        <w:tblPrEx>
          <w:tblCellMar>
            <w:top w:w="0" w:type="dxa"/>
            <w:left w:w="108" w:type="dxa"/>
            <w:bottom w:w="0" w:type="dxa"/>
            <w:right w:w="108" w:type="dxa"/>
          </w:tblCellMar>
        </w:tblPrEx>
        <w:trPr>
          <w:trHeight w:val="600" w:hRule="atLeast"/>
        </w:trPr>
        <w:tc>
          <w:tcPr>
            <w:tcW w:w="1125"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杨跃军</w:t>
            </w:r>
          </w:p>
        </w:tc>
        <w:tc>
          <w:tcPr>
            <w:tcW w:w="1266"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sz w:val="28"/>
                <w:szCs w:val="28"/>
              </w:rPr>
              <w:t>5220210042</w:t>
            </w:r>
          </w:p>
        </w:tc>
        <w:tc>
          <w:tcPr>
            <w:tcW w:w="1266"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　</w:t>
            </w:r>
          </w:p>
        </w:tc>
        <w:tc>
          <w:tcPr>
            <w:tcW w:w="1343" w:type="pct"/>
            <w:tcBorders>
              <w:top w:val="nil"/>
              <w:left w:val="nil"/>
              <w:bottom w:val="single" w:color="auto" w:sz="4" w:space="0"/>
              <w:right w:val="single" w:color="auto" w:sz="4" w:space="0"/>
            </w:tcBorders>
            <w:noWrap/>
            <w:vAlign w:val="center"/>
          </w:tcPr>
          <w:p>
            <w:pPr>
              <w:widowControl/>
              <w:jc w:val="center"/>
              <w:rPr>
                <w:rFonts w:ascii="Times New Roman" w:hAnsi="Times New Roman" w:eastAsia="宋体"/>
                <w:kern w:val="0"/>
                <w:sz w:val="28"/>
                <w:szCs w:val="28"/>
              </w:rPr>
            </w:pPr>
            <w:r>
              <w:rPr>
                <w:rFonts w:ascii="Times New Roman" w:hAnsi="Times New Roman" w:eastAsia="宋体"/>
                <w:kern w:val="0"/>
                <w:sz w:val="28"/>
                <w:szCs w:val="28"/>
              </w:rPr>
              <w:t>2022年04月25日　</w:t>
            </w:r>
          </w:p>
        </w:tc>
      </w:tr>
      <w:tr>
        <w:tblPrEx>
          <w:tblCellMar>
            <w:top w:w="0" w:type="dxa"/>
            <w:left w:w="108" w:type="dxa"/>
            <w:bottom w:w="0" w:type="dxa"/>
            <w:right w:w="108" w:type="dxa"/>
          </w:tblCellMar>
        </w:tblPrEx>
        <w:trPr>
          <w:trHeight w:val="600" w:hRule="atLeast"/>
        </w:trPr>
        <w:tc>
          <w:tcPr>
            <w:tcW w:w="1125"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kern w:val="0"/>
                <w:sz w:val="28"/>
                <w:szCs w:val="28"/>
                <w:highlight w:val="yellow"/>
              </w:rPr>
            </w:pPr>
            <w:r>
              <w:rPr>
                <w:rFonts w:ascii="Times New Roman" w:hAnsi="Times New Roman" w:eastAsia="宋体"/>
                <w:kern w:val="0"/>
                <w:sz w:val="28"/>
                <w:szCs w:val="28"/>
              </w:rPr>
              <w:t>杨再成</w:t>
            </w:r>
          </w:p>
        </w:tc>
        <w:tc>
          <w:tcPr>
            <w:tcW w:w="1266"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sz w:val="28"/>
                <w:szCs w:val="28"/>
              </w:rPr>
            </w:pPr>
            <w:r>
              <w:rPr>
                <w:rFonts w:ascii="Times New Roman" w:hAnsi="Times New Roman" w:eastAsia="宋体"/>
                <w:sz w:val="28"/>
                <w:szCs w:val="28"/>
              </w:rPr>
              <w:t>5220190057</w:t>
            </w:r>
          </w:p>
        </w:tc>
        <w:tc>
          <w:tcPr>
            <w:tcW w:w="1266" w:type="pct"/>
            <w:tcBorders>
              <w:top w:val="nil"/>
              <w:left w:val="nil"/>
              <w:bottom w:val="single" w:color="auto" w:sz="4" w:space="0"/>
              <w:right w:val="single" w:color="auto" w:sz="4" w:space="0"/>
            </w:tcBorders>
            <w:vAlign w:val="center"/>
          </w:tcPr>
          <w:p>
            <w:pPr>
              <w:widowControl/>
              <w:jc w:val="center"/>
              <w:rPr>
                <w:rFonts w:ascii="Times New Roman" w:hAnsi="Times New Roman" w:eastAsia="宋体"/>
                <w:sz w:val="28"/>
                <w:szCs w:val="28"/>
              </w:rPr>
            </w:pPr>
            <w:r>
              <w:rPr>
                <w:rFonts w:ascii="Times New Roman" w:hAnsi="Times New Roman" w:eastAsia="宋体"/>
                <w:sz w:val="28"/>
                <w:szCs w:val="28"/>
              </w:rPr>
              <w:t>　</w:t>
            </w:r>
          </w:p>
        </w:tc>
        <w:tc>
          <w:tcPr>
            <w:tcW w:w="1343" w:type="pct"/>
            <w:tcBorders>
              <w:top w:val="nil"/>
              <w:left w:val="nil"/>
              <w:bottom w:val="single" w:color="auto" w:sz="4" w:space="0"/>
              <w:right w:val="single" w:color="auto" w:sz="4" w:space="0"/>
            </w:tcBorders>
            <w:noWrap/>
            <w:vAlign w:val="center"/>
          </w:tcPr>
          <w:p>
            <w:pPr>
              <w:widowControl/>
              <w:jc w:val="center"/>
              <w:rPr>
                <w:rFonts w:ascii="Times New Roman" w:hAnsi="Times New Roman" w:eastAsia="宋体"/>
                <w:sz w:val="28"/>
                <w:szCs w:val="28"/>
              </w:rPr>
            </w:pPr>
            <w:r>
              <w:rPr>
                <w:rFonts w:ascii="Times New Roman" w:hAnsi="Times New Roman" w:eastAsia="宋体"/>
                <w:sz w:val="28"/>
                <w:szCs w:val="28"/>
              </w:rPr>
              <w:t>2022年04月25日</w:t>
            </w:r>
          </w:p>
        </w:tc>
      </w:tr>
    </w:tbl>
    <w:p>
      <w:pPr>
        <w:pStyle w:val="3"/>
        <w:numPr>
          <w:ilvl w:val="0"/>
          <w:numId w:val="9"/>
        </w:numPr>
        <w:spacing w:before="120" w:after="120" w:line="500" w:lineRule="exact"/>
        <w:ind w:left="0" w:firstLine="640" w:firstLineChars="200"/>
        <w:rPr>
          <w:rFonts w:ascii="Times New Roman" w:hAnsi="Times New Roman" w:eastAsia="宋体"/>
        </w:rPr>
      </w:pPr>
      <w:r>
        <w:rPr>
          <w:rFonts w:ascii="Times New Roman" w:hAnsi="Times New Roman" w:eastAsia="宋体"/>
        </w:rPr>
        <w:t>实地查勘期</w:t>
      </w:r>
      <w:bookmarkEnd w:id="251"/>
      <w:bookmarkEnd w:id="252"/>
      <w:bookmarkEnd w:id="253"/>
      <w:bookmarkEnd w:id="254"/>
      <w:bookmarkEnd w:id="255"/>
      <w:bookmarkEnd w:id="256"/>
      <w:bookmarkEnd w:id="257"/>
      <w:bookmarkEnd w:id="258"/>
      <w:bookmarkEnd w:id="259"/>
      <w:bookmarkEnd w:id="260"/>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起止日2022年04月12日</w:t>
      </w:r>
    </w:p>
    <w:p>
      <w:pPr>
        <w:pStyle w:val="3"/>
        <w:numPr>
          <w:ilvl w:val="0"/>
          <w:numId w:val="9"/>
        </w:numPr>
        <w:spacing w:before="120" w:after="120" w:line="500" w:lineRule="exact"/>
        <w:ind w:left="0" w:firstLine="640" w:firstLineChars="200"/>
        <w:rPr>
          <w:rFonts w:ascii="Times New Roman" w:hAnsi="Times New Roman" w:eastAsia="宋体"/>
        </w:rPr>
      </w:pPr>
      <w:bookmarkStart w:id="264" w:name="_Toc476489049"/>
      <w:bookmarkStart w:id="265" w:name="_Toc445892289"/>
      <w:bookmarkStart w:id="266" w:name="_Toc468882217"/>
      <w:bookmarkStart w:id="267" w:name="_Toc47874204"/>
      <w:bookmarkStart w:id="268" w:name="_Toc46417177"/>
      <w:bookmarkStart w:id="269" w:name="_Toc472961352"/>
      <w:bookmarkStart w:id="270" w:name="_Toc65065924"/>
      <w:bookmarkStart w:id="271" w:name="_Toc445891416"/>
      <w:bookmarkStart w:id="272" w:name="_Toc16882"/>
      <w:bookmarkStart w:id="273" w:name="_Toc497752875"/>
      <w:r>
        <w:rPr>
          <w:rFonts w:ascii="Times New Roman" w:hAnsi="Times New Roman" w:eastAsia="宋体"/>
        </w:rPr>
        <w:t>估价作业期</w:t>
      </w:r>
      <w:bookmarkEnd w:id="261"/>
      <w:bookmarkEnd w:id="262"/>
      <w:bookmarkEnd w:id="263"/>
      <w:bookmarkEnd w:id="264"/>
      <w:bookmarkEnd w:id="265"/>
      <w:bookmarkEnd w:id="266"/>
      <w:bookmarkEnd w:id="267"/>
      <w:bookmarkEnd w:id="268"/>
      <w:bookmarkEnd w:id="269"/>
      <w:bookmarkEnd w:id="270"/>
      <w:bookmarkEnd w:id="271"/>
      <w:bookmarkEnd w:id="272"/>
      <w:bookmarkEnd w:id="273"/>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本次估价作业期为自受理估价委托之日2022年04月06日至估价报告出具之日2022年04月25日。</w:t>
      </w:r>
    </w:p>
    <w:p>
      <w:pPr>
        <w:pStyle w:val="3"/>
        <w:numPr>
          <w:ilvl w:val="0"/>
          <w:numId w:val="9"/>
        </w:numPr>
        <w:spacing w:before="120" w:after="120" w:line="500" w:lineRule="exact"/>
        <w:ind w:left="0" w:firstLine="640" w:firstLineChars="200"/>
        <w:rPr>
          <w:rFonts w:ascii="Times New Roman" w:hAnsi="Times New Roman" w:eastAsia="宋体"/>
        </w:rPr>
      </w:pPr>
      <w:bookmarkStart w:id="274" w:name="_Toc396396783"/>
      <w:bookmarkStart w:id="275" w:name="_Toc432490552"/>
      <w:bookmarkStart w:id="276" w:name="_Toc432574979"/>
      <w:bookmarkStart w:id="277" w:name="_Toc472961353"/>
      <w:bookmarkStart w:id="278" w:name="_Toc476489050"/>
      <w:bookmarkStart w:id="279" w:name="_Toc445892290"/>
      <w:bookmarkStart w:id="280" w:name="_Toc2532"/>
      <w:bookmarkStart w:id="281" w:name="_Toc445891417"/>
      <w:bookmarkStart w:id="282" w:name="_Toc65065925"/>
      <w:bookmarkStart w:id="283" w:name="_Toc468882218"/>
      <w:bookmarkStart w:id="284" w:name="_Toc46417178"/>
      <w:bookmarkStart w:id="285" w:name="_Toc47874205"/>
      <w:bookmarkStart w:id="286" w:name="_Toc497752876"/>
      <w:r>
        <w:rPr>
          <w:rFonts w:ascii="Times New Roman" w:hAnsi="Times New Roman" w:eastAsia="宋体"/>
        </w:rPr>
        <w:t>估价报告应用的有效期</w:t>
      </w:r>
      <w:bookmarkEnd w:id="274"/>
      <w:bookmarkEnd w:id="275"/>
      <w:bookmarkEnd w:id="276"/>
      <w:bookmarkEnd w:id="277"/>
      <w:bookmarkEnd w:id="278"/>
      <w:bookmarkEnd w:id="279"/>
      <w:bookmarkEnd w:id="280"/>
      <w:bookmarkEnd w:id="281"/>
      <w:bookmarkEnd w:id="282"/>
      <w:bookmarkEnd w:id="283"/>
      <w:bookmarkEnd w:id="284"/>
      <w:bookmarkEnd w:id="285"/>
      <w:bookmarkEnd w:id="286"/>
    </w:p>
    <w:p>
      <w:pPr>
        <w:spacing w:line="500" w:lineRule="exact"/>
        <w:ind w:firstLine="560" w:firstLineChars="200"/>
        <w:rPr>
          <w:rFonts w:ascii="Times New Roman" w:hAnsi="Times New Roman" w:eastAsia="宋体"/>
          <w:sz w:val="28"/>
          <w:szCs w:val="28"/>
        </w:rPr>
      </w:pPr>
      <w:r>
        <w:rPr>
          <w:rFonts w:ascii="Times New Roman" w:hAnsi="Times New Roman" w:eastAsia="宋体"/>
          <w:sz w:val="28"/>
          <w:szCs w:val="28"/>
        </w:rPr>
        <w:t>估价报告应用的有效期原则上为一年，自2022年04月25日至2023年04月24日止。</w:t>
      </w:r>
    </w:p>
    <w:p>
      <w:pPr>
        <w:tabs>
          <w:tab w:val="left" w:pos="525"/>
        </w:tabs>
        <w:spacing w:line="500" w:lineRule="exact"/>
        <w:ind w:firstLine="4760" w:firstLineChars="1700"/>
        <w:jc w:val="left"/>
        <w:rPr>
          <w:rFonts w:ascii="Times New Roman" w:hAnsi="Times New Roman" w:eastAsia="宋体"/>
          <w:sz w:val="28"/>
          <w:szCs w:val="28"/>
        </w:rPr>
      </w:pPr>
    </w:p>
    <w:p>
      <w:pPr>
        <w:tabs>
          <w:tab w:val="left" w:pos="525"/>
        </w:tabs>
        <w:spacing w:line="500" w:lineRule="exact"/>
        <w:ind w:firstLine="4760" w:firstLineChars="1700"/>
        <w:jc w:val="left"/>
        <w:rPr>
          <w:rFonts w:ascii="Times New Roman" w:hAnsi="Times New Roman" w:eastAsia="宋体"/>
          <w:sz w:val="28"/>
          <w:szCs w:val="28"/>
        </w:rPr>
      </w:pPr>
      <w:r>
        <w:rPr>
          <w:rFonts w:ascii="Times New Roman" w:hAnsi="Times New Roman" w:eastAsia="宋体"/>
          <w:sz w:val="28"/>
          <w:szCs w:val="28"/>
        </w:rPr>
        <w:t>贵州桑立房地产资产评估有限公司</w:t>
      </w:r>
    </w:p>
    <w:p>
      <w:pPr>
        <w:tabs>
          <w:tab w:val="left" w:pos="1498"/>
        </w:tabs>
        <w:spacing w:line="700" w:lineRule="exact"/>
        <w:ind w:firstLine="4900" w:firstLineChars="1750"/>
        <w:jc w:val="left"/>
        <w:rPr>
          <w:rFonts w:ascii="Times New Roman" w:hAnsi="Times New Roman" w:eastAsia="宋体"/>
          <w:sz w:val="28"/>
          <w:szCs w:val="28"/>
        </w:rPr>
      </w:pPr>
      <w:r>
        <w:rPr>
          <w:rFonts w:ascii="Times New Roman" w:hAnsi="Times New Roman" w:eastAsia="宋体"/>
          <w:sz w:val="28"/>
          <w:szCs w:val="28"/>
        </w:rPr>
        <w:t xml:space="preserve">   二〇二二年四月二十五日</w:t>
      </w:r>
      <w:bookmarkEnd w:id="241"/>
    </w:p>
    <w:sectPr>
      <w:headerReference r:id="rId4" w:type="first"/>
      <w:footerReference r:id="rId6" w:type="first"/>
      <w:headerReference r:id="rId3" w:type="default"/>
      <w:footerReference r:id="rId5" w:type="default"/>
      <w:pgSz w:w="11906" w:h="16838"/>
      <w:pgMar w:top="1134" w:right="851" w:bottom="1021" w:left="1418" w:header="851" w:footer="510"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7</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377202"/>
      <w:docPartObj>
        <w:docPartGallery w:val="autotext"/>
      </w:docPartObj>
    </w:sdtPr>
    <w:sdtContent>
      <w:p>
        <w:pPr>
          <w:pStyle w:val="14"/>
          <w:jc w:val="center"/>
        </w:pPr>
        <w:r>
          <w:fldChar w:fldCharType="begin"/>
        </w:r>
        <w:r>
          <w:instrText xml:space="preserve">PAGE   \* MERGEFORMAT</w:instrText>
        </w:r>
        <w:r>
          <w:fldChar w:fldCharType="separate"/>
        </w:r>
        <w:r>
          <w:rPr>
            <w:lang w:val="zh-CN"/>
          </w:rPr>
          <w:t>22</w:t>
        </w:r>
        <w:r>
          <w:rPr>
            <w:lang w:val="zh-CN"/>
          </w:rPr>
          <w:fldChar w:fldCharType="end"/>
        </w:r>
      </w:p>
    </w:sdtContent>
  </w:sdt>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b/>
      </w:rPr>
    </w:pPr>
    <w:r>
      <w:rPr>
        <w:b/>
      </w:rPr>
      <w:t>贵州桑立公司涉执房地产处置司法评估报告书                                    黔桑立房鉴字【2022】第</w:t>
    </w:r>
    <w:r>
      <w:rPr>
        <w:rFonts w:hint="eastAsia"/>
        <w:b/>
      </w:rPr>
      <w:t>0</w:t>
    </w:r>
    <w:r>
      <w:rPr>
        <w:b/>
      </w:rPr>
      <w:t>404号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b/>
        <w:color w:val="FF0000"/>
      </w:rPr>
    </w:pPr>
    <w:r>
      <w:rPr>
        <w:rFonts w:hint="eastAsia"/>
        <w:b/>
      </w:rPr>
      <w:t xml:space="preserve">贵州桑立公司涉执房地产处置司法评估报告书                                   </w:t>
    </w:r>
    <w:r>
      <w:rPr>
        <w:rFonts w:hint="eastAsia"/>
        <w:b/>
        <w:color w:val="FF0000"/>
      </w:rPr>
      <w:t xml:space="preserve"> </w:t>
    </w:r>
    <w:r>
      <w:rPr>
        <w:rFonts w:hint="eastAsia"/>
        <w:b/>
      </w:rPr>
      <w:t>黔桑立房鉴字【2022】第0404号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B3597"/>
    <w:multiLevelType w:val="singleLevel"/>
    <w:tmpl w:val="9D0B3597"/>
    <w:lvl w:ilvl="0" w:tentative="0">
      <w:start w:val="2"/>
      <w:numFmt w:val="chineseCounting"/>
      <w:suff w:val="nothing"/>
      <w:lvlText w:val="%1、"/>
      <w:lvlJc w:val="left"/>
      <w:rPr>
        <w:rFonts w:hint="eastAsia"/>
      </w:rPr>
    </w:lvl>
  </w:abstractNum>
  <w:abstractNum w:abstractNumId="1">
    <w:nsid w:val="AE6CB8E9"/>
    <w:multiLevelType w:val="singleLevel"/>
    <w:tmpl w:val="AE6CB8E9"/>
    <w:lvl w:ilvl="0" w:tentative="0">
      <w:start w:val="5"/>
      <w:numFmt w:val="chineseCounting"/>
      <w:suff w:val="nothing"/>
      <w:lvlText w:val="%1、"/>
      <w:lvlJc w:val="left"/>
      <w:rPr>
        <w:rFonts w:hint="eastAsia"/>
      </w:rPr>
    </w:lvl>
  </w:abstractNum>
  <w:abstractNum w:abstractNumId="2">
    <w:nsid w:val="B8DF5CD7"/>
    <w:multiLevelType w:val="singleLevel"/>
    <w:tmpl w:val="B8DF5CD7"/>
    <w:lvl w:ilvl="0" w:tentative="0">
      <w:start w:val="1"/>
      <w:numFmt w:val="decimal"/>
      <w:suff w:val="nothing"/>
      <w:lvlText w:val="%1."/>
      <w:lvlJc w:val="left"/>
      <w:pPr>
        <w:ind w:left="709" w:hanging="425"/>
      </w:pPr>
      <w:rPr>
        <w:rFonts w:hint="default"/>
      </w:rPr>
    </w:lvl>
  </w:abstractNum>
  <w:abstractNum w:abstractNumId="3">
    <w:nsid w:val="01B3535D"/>
    <w:multiLevelType w:val="multilevel"/>
    <w:tmpl w:val="01B3535D"/>
    <w:lvl w:ilvl="0" w:tentative="0">
      <w:start w:val="1"/>
      <w:numFmt w:val="chineseCountingThousand"/>
      <w:suff w:val="nothing"/>
      <w:lvlText w:val="%1、"/>
      <w:lvlJc w:val="left"/>
      <w:pPr>
        <w:ind w:left="1063" w:hanging="420"/>
      </w:pPr>
      <w:rPr>
        <w:rFonts w:hint="eastAsia"/>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4">
    <w:nsid w:val="097505AD"/>
    <w:multiLevelType w:val="multilevel"/>
    <w:tmpl w:val="097505AD"/>
    <w:lvl w:ilvl="0" w:tentative="0">
      <w:start w:val="1"/>
      <w:numFmt w:val="decimal"/>
      <w:suff w:val="nothing"/>
      <w:lvlText w:val="%1."/>
      <w:lvlJc w:val="left"/>
      <w:pPr>
        <w:ind w:left="980" w:hanging="420"/>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5">
    <w:nsid w:val="0A4CA122"/>
    <w:multiLevelType w:val="singleLevel"/>
    <w:tmpl w:val="0A4CA122"/>
    <w:lvl w:ilvl="0" w:tentative="0">
      <w:start w:val="1"/>
      <w:numFmt w:val="decimal"/>
      <w:suff w:val="nothing"/>
      <w:lvlText w:val="%1."/>
      <w:lvlJc w:val="left"/>
      <w:pPr>
        <w:ind w:left="425" w:hanging="425"/>
      </w:pPr>
      <w:rPr>
        <w:rFonts w:hint="default"/>
      </w:rPr>
    </w:lvl>
  </w:abstractNum>
  <w:abstractNum w:abstractNumId="6">
    <w:nsid w:val="0A743A29"/>
    <w:multiLevelType w:val="multilevel"/>
    <w:tmpl w:val="0A743A29"/>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108438CF"/>
    <w:multiLevelType w:val="multilevel"/>
    <w:tmpl w:val="108438CF"/>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124C2974"/>
    <w:multiLevelType w:val="multilevel"/>
    <w:tmpl w:val="124C2974"/>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9">
    <w:nsid w:val="20A347EF"/>
    <w:multiLevelType w:val="multilevel"/>
    <w:tmpl w:val="20A347EF"/>
    <w:lvl w:ilvl="0" w:tentative="0">
      <w:start w:val="1"/>
      <w:numFmt w:val="decimal"/>
      <w:suff w:val="nothing"/>
      <w:lvlText w:val="(%1)"/>
      <w:lvlJc w:val="left"/>
      <w:pPr>
        <w:ind w:left="980" w:hanging="420"/>
      </w:pPr>
      <w:rPr>
        <w:rFonts w:hint="eastAsia"/>
        <w:b w:val="0"/>
        <w:bCs/>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10">
    <w:nsid w:val="298D3715"/>
    <w:multiLevelType w:val="multilevel"/>
    <w:tmpl w:val="298D3715"/>
    <w:lvl w:ilvl="0" w:tentative="0">
      <w:start w:val="1"/>
      <w:numFmt w:val="decimal"/>
      <w:suff w:val="nothing"/>
      <w:lvlText w:val=" (%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29BC5E49"/>
    <w:multiLevelType w:val="multilevel"/>
    <w:tmpl w:val="29BC5E49"/>
    <w:lvl w:ilvl="0" w:tentative="0">
      <w:start w:val="1"/>
      <w:numFmt w:val="decimal"/>
      <w:suff w:val="nothing"/>
      <w:lvlText w:val="%1."/>
      <w:lvlJc w:val="left"/>
      <w:pPr>
        <w:ind w:left="980" w:hanging="420"/>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12">
    <w:nsid w:val="2D6A753F"/>
    <w:multiLevelType w:val="singleLevel"/>
    <w:tmpl w:val="2D6A753F"/>
    <w:lvl w:ilvl="0" w:tentative="0">
      <w:start w:val="1"/>
      <w:numFmt w:val="decimal"/>
      <w:suff w:val="nothing"/>
      <w:lvlText w:val="%1."/>
      <w:lvlJc w:val="left"/>
      <w:pPr>
        <w:ind w:left="425" w:hanging="425"/>
      </w:pPr>
      <w:rPr>
        <w:rFonts w:hint="default"/>
      </w:rPr>
    </w:lvl>
  </w:abstractNum>
  <w:abstractNum w:abstractNumId="13">
    <w:nsid w:val="3A1F697F"/>
    <w:multiLevelType w:val="multilevel"/>
    <w:tmpl w:val="3A1F697F"/>
    <w:lvl w:ilvl="0" w:tentative="0">
      <w:start w:val="1"/>
      <w:numFmt w:val="decimal"/>
      <w:suff w:val="nothing"/>
      <w:lvlText w:val="%1."/>
      <w:lvlJc w:val="left"/>
      <w:pPr>
        <w:ind w:left="980" w:hanging="420"/>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14">
    <w:nsid w:val="4C454B40"/>
    <w:multiLevelType w:val="multilevel"/>
    <w:tmpl w:val="4C454B4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E863380"/>
    <w:multiLevelType w:val="multilevel"/>
    <w:tmpl w:val="4E863380"/>
    <w:lvl w:ilvl="0" w:tentative="0">
      <w:start w:val="1"/>
      <w:numFmt w:val="chineseCountingThousand"/>
      <w:lvlText w:val="(%1)"/>
      <w:lvlJc w:val="left"/>
      <w:pPr>
        <w:ind w:left="976" w:hanging="420"/>
      </w:pPr>
    </w:lvl>
    <w:lvl w:ilvl="1" w:tentative="0">
      <w:start w:val="1"/>
      <w:numFmt w:val="lowerLetter"/>
      <w:lvlText w:val="%2)"/>
      <w:lvlJc w:val="left"/>
      <w:pPr>
        <w:ind w:left="1396" w:hanging="420"/>
      </w:pPr>
    </w:lvl>
    <w:lvl w:ilvl="2" w:tentative="0">
      <w:start w:val="1"/>
      <w:numFmt w:val="lowerRoman"/>
      <w:lvlText w:val="%3."/>
      <w:lvlJc w:val="right"/>
      <w:pPr>
        <w:ind w:left="1816" w:hanging="420"/>
      </w:pPr>
    </w:lvl>
    <w:lvl w:ilvl="3" w:tentative="0">
      <w:start w:val="1"/>
      <w:numFmt w:val="decimal"/>
      <w:lvlText w:val="%4."/>
      <w:lvlJc w:val="left"/>
      <w:pPr>
        <w:ind w:left="2236" w:hanging="420"/>
      </w:pPr>
    </w:lvl>
    <w:lvl w:ilvl="4" w:tentative="0">
      <w:start w:val="1"/>
      <w:numFmt w:val="lowerLetter"/>
      <w:lvlText w:val="%5)"/>
      <w:lvlJc w:val="left"/>
      <w:pPr>
        <w:ind w:left="2656" w:hanging="420"/>
      </w:pPr>
    </w:lvl>
    <w:lvl w:ilvl="5" w:tentative="0">
      <w:start w:val="1"/>
      <w:numFmt w:val="lowerRoman"/>
      <w:lvlText w:val="%6."/>
      <w:lvlJc w:val="right"/>
      <w:pPr>
        <w:ind w:left="3076" w:hanging="420"/>
      </w:pPr>
    </w:lvl>
    <w:lvl w:ilvl="6" w:tentative="0">
      <w:start w:val="1"/>
      <w:numFmt w:val="decimal"/>
      <w:lvlText w:val="%7."/>
      <w:lvlJc w:val="left"/>
      <w:pPr>
        <w:ind w:left="3496" w:hanging="420"/>
      </w:pPr>
    </w:lvl>
    <w:lvl w:ilvl="7" w:tentative="0">
      <w:start w:val="1"/>
      <w:numFmt w:val="lowerLetter"/>
      <w:lvlText w:val="%8)"/>
      <w:lvlJc w:val="left"/>
      <w:pPr>
        <w:ind w:left="3916" w:hanging="420"/>
      </w:pPr>
    </w:lvl>
    <w:lvl w:ilvl="8" w:tentative="0">
      <w:start w:val="1"/>
      <w:numFmt w:val="lowerRoman"/>
      <w:lvlText w:val="%9."/>
      <w:lvlJc w:val="right"/>
      <w:pPr>
        <w:ind w:left="4336" w:hanging="420"/>
      </w:pPr>
    </w:lvl>
  </w:abstractNum>
  <w:abstractNum w:abstractNumId="16">
    <w:nsid w:val="4F8E3FF8"/>
    <w:multiLevelType w:val="multilevel"/>
    <w:tmpl w:val="4F8E3FF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1002BE8"/>
    <w:multiLevelType w:val="multilevel"/>
    <w:tmpl w:val="51002BE8"/>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59C77822"/>
    <w:multiLevelType w:val="multilevel"/>
    <w:tmpl w:val="59C77822"/>
    <w:lvl w:ilvl="0" w:tentative="0">
      <w:start w:val="1"/>
      <w:numFmt w:val="chineseCountingThousand"/>
      <w:suff w:val="nothing"/>
      <w:lvlText w:val="(%1)"/>
      <w:lvlJc w:val="left"/>
      <w:pPr>
        <w:ind w:left="976" w:hanging="420"/>
      </w:pPr>
      <w:rPr>
        <w:rFonts w:hint="eastAsia"/>
      </w:rPr>
    </w:lvl>
    <w:lvl w:ilvl="1" w:tentative="0">
      <w:start w:val="1"/>
      <w:numFmt w:val="lowerLetter"/>
      <w:lvlText w:val="%2)"/>
      <w:lvlJc w:val="left"/>
      <w:pPr>
        <w:ind w:left="1396" w:hanging="420"/>
      </w:pPr>
      <w:rPr>
        <w:rFonts w:hint="eastAsia"/>
      </w:rPr>
    </w:lvl>
    <w:lvl w:ilvl="2" w:tentative="0">
      <w:start w:val="1"/>
      <w:numFmt w:val="lowerRoman"/>
      <w:lvlText w:val="%3."/>
      <w:lvlJc w:val="right"/>
      <w:pPr>
        <w:ind w:left="1816" w:hanging="420"/>
      </w:pPr>
      <w:rPr>
        <w:rFonts w:hint="eastAsia"/>
      </w:rPr>
    </w:lvl>
    <w:lvl w:ilvl="3" w:tentative="0">
      <w:start w:val="1"/>
      <w:numFmt w:val="decimal"/>
      <w:lvlText w:val="%4."/>
      <w:lvlJc w:val="left"/>
      <w:pPr>
        <w:ind w:left="2236" w:hanging="420"/>
      </w:pPr>
      <w:rPr>
        <w:rFonts w:hint="eastAsia"/>
      </w:rPr>
    </w:lvl>
    <w:lvl w:ilvl="4" w:tentative="0">
      <w:start w:val="1"/>
      <w:numFmt w:val="lowerLetter"/>
      <w:lvlText w:val="%5)"/>
      <w:lvlJc w:val="left"/>
      <w:pPr>
        <w:ind w:left="2656" w:hanging="420"/>
      </w:pPr>
      <w:rPr>
        <w:rFonts w:hint="eastAsia"/>
      </w:rPr>
    </w:lvl>
    <w:lvl w:ilvl="5" w:tentative="0">
      <w:start w:val="1"/>
      <w:numFmt w:val="lowerRoman"/>
      <w:lvlText w:val="%6."/>
      <w:lvlJc w:val="right"/>
      <w:pPr>
        <w:ind w:left="3076" w:hanging="420"/>
      </w:pPr>
      <w:rPr>
        <w:rFonts w:hint="eastAsia"/>
      </w:rPr>
    </w:lvl>
    <w:lvl w:ilvl="6" w:tentative="0">
      <w:start w:val="1"/>
      <w:numFmt w:val="decimal"/>
      <w:lvlText w:val="%7."/>
      <w:lvlJc w:val="left"/>
      <w:pPr>
        <w:ind w:left="3496" w:hanging="420"/>
      </w:pPr>
      <w:rPr>
        <w:rFonts w:hint="eastAsia"/>
      </w:rPr>
    </w:lvl>
    <w:lvl w:ilvl="7" w:tentative="0">
      <w:start w:val="1"/>
      <w:numFmt w:val="lowerLetter"/>
      <w:lvlText w:val="%8)"/>
      <w:lvlJc w:val="left"/>
      <w:pPr>
        <w:ind w:left="3916" w:hanging="420"/>
      </w:pPr>
      <w:rPr>
        <w:rFonts w:hint="eastAsia"/>
      </w:rPr>
    </w:lvl>
    <w:lvl w:ilvl="8" w:tentative="0">
      <w:start w:val="1"/>
      <w:numFmt w:val="lowerRoman"/>
      <w:lvlText w:val="%9."/>
      <w:lvlJc w:val="right"/>
      <w:pPr>
        <w:ind w:left="4336" w:hanging="420"/>
      </w:pPr>
      <w:rPr>
        <w:rFonts w:hint="eastAsia"/>
      </w:rPr>
    </w:lvl>
  </w:abstractNum>
  <w:abstractNum w:abstractNumId="19">
    <w:nsid w:val="675A3798"/>
    <w:multiLevelType w:val="multilevel"/>
    <w:tmpl w:val="675A3798"/>
    <w:lvl w:ilvl="0" w:tentative="0">
      <w:start w:val="1"/>
      <w:numFmt w:val="chineseCountingThousand"/>
      <w:suff w:val="nothing"/>
      <w:lvlText w:val="(%1)"/>
      <w:lvlJc w:val="left"/>
      <w:pPr>
        <w:ind w:left="976" w:hanging="420"/>
      </w:pPr>
      <w:rPr>
        <w:rFonts w:hint="eastAsia"/>
      </w:rPr>
    </w:lvl>
    <w:lvl w:ilvl="1" w:tentative="0">
      <w:start w:val="1"/>
      <w:numFmt w:val="lowerLetter"/>
      <w:lvlText w:val="%2)"/>
      <w:lvlJc w:val="left"/>
      <w:pPr>
        <w:ind w:left="1396" w:hanging="420"/>
      </w:pPr>
      <w:rPr>
        <w:rFonts w:hint="eastAsia"/>
      </w:rPr>
    </w:lvl>
    <w:lvl w:ilvl="2" w:tentative="0">
      <w:start w:val="1"/>
      <w:numFmt w:val="lowerRoman"/>
      <w:lvlText w:val="%3."/>
      <w:lvlJc w:val="right"/>
      <w:pPr>
        <w:ind w:left="1816" w:hanging="420"/>
      </w:pPr>
      <w:rPr>
        <w:rFonts w:hint="eastAsia"/>
      </w:rPr>
    </w:lvl>
    <w:lvl w:ilvl="3" w:tentative="0">
      <w:start w:val="1"/>
      <w:numFmt w:val="decimal"/>
      <w:lvlText w:val="%4."/>
      <w:lvlJc w:val="left"/>
      <w:pPr>
        <w:ind w:left="2236" w:hanging="420"/>
      </w:pPr>
      <w:rPr>
        <w:rFonts w:hint="eastAsia"/>
      </w:rPr>
    </w:lvl>
    <w:lvl w:ilvl="4" w:tentative="0">
      <w:start w:val="1"/>
      <w:numFmt w:val="lowerLetter"/>
      <w:lvlText w:val="%5)"/>
      <w:lvlJc w:val="left"/>
      <w:pPr>
        <w:ind w:left="2656" w:hanging="420"/>
      </w:pPr>
      <w:rPr>
        <w:rFonts w:hint="eastAsia"/>
      </w:rPr>
    </w:lvl>
    <w:lvl w:ilvl="5" w:tentative="0">
      <w:start w:val="1"/>
      <w:numFmt w:val="lowerRoman"/>
      <w:lvlText w:val="%6."/>
      <w:lvlJc w:val="right"/>
      <w:pPr>
        <w:ind w:left="3076" w:hanging="420"/>
      </w:pPr>
      <w:rPr>
        <w:rFonts w:hint="eastAsia"/>
      </w:rPr>
    </w:lvl>
    <w:lvl w:ilvl="6" w:tentative="0">
      <w:start w:val="1"/>
      <w:numFmt w:val="decimal"/>
      <w:lvlText w:val="%7."/>
      <w:lvlJc w:val="left"/>
      <w:pPr>
        <w:ind w:left="3496" w:hanging="420"/>
      </w:pPr>
      <w:rPr>
        <w:rFonts w:hint="eastAsia"/>
      </w:rPr>
    </w:lvl>
    <w:lvl w:ilvl="7" w:tentative="0">
      <w:start w:val="1"/>
      <w:numFmt w:val="lowerLetter"/>
      <w:lvlText w:val="%8)"/>
      <w:lvlJc w:val="left"/>
      <w:pPr>
        <w:ind w:left="3916" w:hanging="420"/>
      </w:pPr>
      <w:rPr>
        <w:rFonts w:hint="eastAsia"/>
      </w:rPr>
    </w:lvl>
    <w:lvl w:ilvl="8" w:tentative="0">
      <w:start w:val="1"/>
      <w:numFmt w:val="lowerRoman"/>
      <w:lvlText w:val="%9."/>
      <w:lvlJc w:val="right"/>
      <w:pPr>
        <w:ind w:left="4336" w:hanging="420"/>
      </w:pPr>
      <w:rPr>
        <w:rFonts w:hint="eastAsia"/>
      </w:rPr>
    </w:lvl>
  </w:abstractNum>
  <w:abstractNum w:abstractNumId="20">
    <w:nsid w:val="67E03E85"/>
    <w:multiLevelType w:val="multilevel"/>
    <w:tmpl w:val="67E03E85"/>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727F3B11"/>
    <w:multiLevelType w:val="multilevel"/>
    <w:tmpl w:val="727F3B11"/>
    <w:lvl w:ilvl="0" w:tentative="0">
      <w:start w:val="1"/>
      <w:numFmt w:val="chineseCountingThousand"/>
      <w:lvlText w:val="(%1)"/>
      <w:lvlJc w:val="left"/>
      <w:pPr>
        <w:ind w:left="976" w:hanging="420"/>
      </w:pPr>
    </w:lvl>
    <w:lvl w:ilvl="1" w:tentative="0">
      <w:start w:val="1"/>
      <w:numFmt w:val="lowerLetter"/>
      <w:lvlText w:val="%2)"/>
      <w:lvlJc w:val="left"/>
      <w:pPr>
        <w:ind w:left="1396" w:hanging="420"/>
      </w:pPr>
    </w:lvl>
    <w:lvl w:ilvl="2" w:tentative="0">
      <w:start w:val="1"/>
      <w:numFmt w:val="lowerRoman"/>
      <w:lvlText w:val="%3."/>
      <w:lvlJc w:val="right"/>
      <w:pPr>
        <w:ind w:left="1816" w:hanging="420"/>
      </w:pPr>
    </w:lvl>
    <w:lvl w:ilvl="3" w:tentative="0">
      <w:start w:val="1"/>
      <w:numFmt w:val="decimal"/>
      <w:lvlText w:val="%4."/>
      <w:lvlJc w:val="left"/>
      <w:pPr>
        <w:ind w:left="2236" w:hanging="420"/>
      </w:pPr>
    </w:lvl>
    <w:lvl w:ilvl="4" w:tentative="0">
      <w:start w:val="1"/>
      <w:numFmt w:val="lowerLetter"/>
      <w:lvlText w:val="%5)"/>
      <w:lvlJc w:val="left"/>
      <w:pPr>
        <w:ind w:left="2656" w:hanging="420"/>
      </w:pPr>
    </w:lvl>
    <w:lvl w:ilvl="5" w:tentative="0">
      <w:start w:val="1"/>
      <w:numFmt w:val="lowerRoman"/>
      <w:lvlText w:val="%6."/>
      <w:lvlJc w:val="right"/>
      <w:pPr>
        <w:ind w:left="3076" w:hanging="420"/>
      </w:pPr>
    </w:lvl>
    <w:lvl w:ilvl="6" w:tentative="0">
      <w:start w:val="1"/>
      <w:numFmt w:val="decimal"/>
      <w:lvlText w:val="%7."/>
      <w:lvlJc w:val="left"/>
      <w:pPr>
        <w:ind w:left="3496" w:hanging="420"/>
      </w:pPr>
    </w:lvl>
    <w:lvl w:ilvl="7" w:tentative="0">
      <w:start w:val="1"/>
      <w:numFmt w:val="lowerLetter"/>
      <w:lvlText w:val="%8)"/>
      <w:lvlJc w:val="left"/>
      <w:pPr>
        <w:ind w:left="3916" w:hanging="420"/>
      </w:pPr>
    </w:lvl>
    <w:lvl w:ilvl="8" w:tentative="0">
      <w:start w:val="1"/>
      <w:numFmt w:val="lowerRoman"/>
      <w:lvlText w:val="%9."/>
      <w:lvlJc w:val="right"/>
      <w:pPr>
        <w:ind w:left="4336" w:hanging="420"/>
      </w:pPr>
    </w:lvl>
  </w:abstractNum>
  <w:abstractNum w:abstractNumId="22">
    <w:nsid w:val="74680F87"/>
    <w:multiLevelType w:val="multilevel"/>
    <w:tmpl w:val="74680F87"/>
    <w:lvl w:ilvl="0" w:tentative="0">
      <w:start w:val="1"/>
      <w:numFmt w:val="decimal"/>
      <w:suff w:val="nothing"/>
      <w:lvlText w:val="%1."/>
      <w:lvlJc w:val="left"/>
      <w:pPr>
        <w:ind w:left="980" w:hanging="420"/>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23">
    <w:nsid w:val="7FF36F17"/>
    <w:multiLevelType w:val="multilevel"/>
    <w:tmpl w:val="7FF36F17"/>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9"/>
  </w:num>
  <w:num w:numId="2">
    <w:abstractNumId w:val="8"/>
  </w:num>
  <w:num w:numId="3">
    <w:abstractNumId w:val="2"/>
  </w:num>
  <w:num w:numId="4">
    <w:abstractNumId w:val="5"/>
  </w:num>
  <w:num w:numId="5">
    <w:abstractNumId w:val="10"/>
  </w:num>
  <w:num w:numId="6">
    <w:abstractNumId w:val="0"/>
  </w:num>
  <w:num w:numId="7">
    <w:abstractNumId w:val="1"/>
  </w:num>
  <w:num w:numId="8">
    <w:abstractNumId w:val="12"/>
  </w:num>
  <w:num w:numId="9">
    <w:abstractNumId w:val="3"/>
  </w:num>
  <w:num w:numId="10">
    <w:abstractNumId w:val="15"/>
  </w:num>
  <w:num w:numId="11">
    <w:abstractNumId w:val="21"/>
  </w:num>
  <w:num w:numId="12">
    <w:abstractNumId w:val="18"/>
  </w:num>
  <w:num w:numId="13">
    <w:abstractNumId w:val="19"/>
  </w:num>
  <w:num w:numId="14">
    <w:abstractNumId w:val="4"/>
  </w:num>
  <w:num w:numId="15">
    <w:abstractNumId w:val="13"/>
  </w:num>
  <w:num w:numId="16">
    <w:abstractNumId w:val="11"/>
  </w:num>
  <w:num w:numId="17">
    <w:abstractNumId w:val="22"/>
  </w:num>
  <w:num w:numId="18">
    <w:abstractNumId w:val="20"/>
  </w:num>
  <w:num w:numId="19">
    <w:abstractNumId w:val="7"/>
  </w:num>
  <w:num w:numId="20">
    <w:abstractNumId w:val="14"/>
  </w:num>
  <w:num w:numId="21">
    <w:abstractNumId w:val="23"/>
  </w:num>
  <w:num w:numId="22">
    <w:abstractNumId w:val="6"/>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0NGUyYjVkMjYxOWNlMjk3ZGU2MDU2ZWU0ZmE2NGQifQ=="/>
  </w:docVars>
  <w:rsids>
    <w:rsidRoot w:val="00172A27"/>
    <w:rsid w:val="00000A72"/>
    <w:rsid w:val="00000EA2"/>
    <w:rsid w:val="0000176F"/>
    <w:rsid w:val="00001F63"/>
    <w:rsid w:val="00002845"/>
    <w:rsid w:val="00006573"/>
    <w:rsid w:val="00006A87"/>
    <w:rsid w:val="00007252"/>
    <w:rsid w:val="00007B1C"/>
    <w:rsid w:val="00010FAB"/>
    <w:rsid w:val="0001177A"/>
    <w:rsid w:val="00012287"/>
    <w:rsid w:val="00013E8A"/>
    <w:rsid w:val="00014FD8"/>
    <w:rsid w:val="00015E39"/>
    <w:rsid w:val="000178F5"/>
    <w:rsid w:val="00017F46"/>
    <w:rsid w:val="00020525"/>
    <w:rsid w:val="00022754"/>
    <w:rsid w:val="00023523"/>
    <w:rsid w:val="00023D84"/>
    <w:rsid w:val="000246A9"/>
    <w:rsid w:val="00024F40"/>
    <w:rsid w:val="000252FD"/>
    <w:rsid w:val="000256BA"/>
    <w:rsid w:val="00030414"/>
    <w:rsid w:val="00030A25"/>
    <w:rsid w:val="00031126"/>
    <w:rsid w:val="000328CD"/>
    <w:rsid w:val="000335F3"/>
    <w:rsid w:val="00033B7C"/>
    <w:rsid w:val="00036B04"/>
    <w:rsid w:val="00037CEC"/>
    <w:rsid w:val="0004066A"/>
    <w:rsid w:val="0004075D"/>
    <w:rsid w:val="00040E4F"/>
    <w:rsid w:val="00045563"/>
    <w:rsid w:val="00045A47"/>
    <w:rsid w:val="00045A95"/>
    <w:rsid w:val="00045BFE"/>
    <w:rsid w:val="0004609E"/>
    <w:rsid w:val="000463BA"/>
    <w:rsid w:val="00046B9A"/>
    <w:rsid w:val="00050E50"/>
    <w:rsid w:val="000516BC"/>
    <w:rsid w:val="0005200B"/>
    <w:rsid w:val="00052EB7"/>
    <w:rsid w:val="0005321E"/>
    <w:rsid w:val="00053341"/>
    <w:rsid w:val="000537E1"/>
    <w:rsid w:val="00053F22"/>
    <w:rsid w:val="000546AA"/>
    <w:rsid w:val="00054781"/>
    <w:rsid w:val="00054D0F"/>
    <w:rsid w:val="00054F6E"/>
    <w:rsid w:val="00055488"/>
    <w:rsid w:val="000562CE"/>
    <w:rsid w:val="000565A7"/>
    <w:rsid w:val="00056AE3"/>
    <w:rsid w:val="00060532"/>
    <w:rsid w:val="00061079"/>
    <w:rsid w:val="00061331"/>
    <w:rsid w:val="000615CA"/>
    <w:rsid w:val="00061AF5"/>
    <w:rsid w:val="00062320"/>
    <w:rsid w:val="0006685F"/>
    <w:rsid w:val="000668C7"/>
    <w:rsid w:val="00066D37"/>
    <w:rsid w:val="00070E9E"/>
    <w:rsid w:val="00071D76"/>
    <w:rsid w:val="00072D3B"/>
    <w:rsid w:val="000730D4"/>
    <w:rsid w:val="00073DBA"/>
    <w:rsid w:val="00074193"/>
    <w:rsid w:val="0007475C"/>
    <w:rsid w:val="00074CC1"/>
    <w:rsid w:val="00074D60"/>
    <w:rsid w:val="00074EA6"/>
    <w:rsid w:val="00075761"/>
    <w:rsid w:val="00076323"/>
    <w:rsid w:val="00076380"/>
    <w:rsid w:val="000763BE"/>
    <w:rsid w:val="00076558"/>
    <w:rsid w:val="00076E56"/>
    <w:rsid w:val="00077DA9"/>
    <w:rsid w:val="00080304"/>
    <w:rsid w:val="00080886"/>
    <w:rsid w:val="000816BA"/>
    <w:rsid w:val="00081E42"/>
    <w:rsid w:val="00081E55"/>
    <w:rsid w:val="00081EB3"/>
    <w:rsid w:val="00082DFF"/>
    <w:rsid w:val="00082E87"/>
    <w:rsid w:val="00083211"/>
    <w:rsid w:val="00084001"/>
    <w:rsid w:val="0008456B"/>
    <w:rsid w:val="00085F96"/>
    <w:rsid w:val="0008601F"/>
    <w:rsid w:val="00086100"/>
    <w:rsid w:val="00086357"/>
    <w:rsid w:val="00086472"/>
    <w:rsid w:val="00087037"/>
    <w:rsid w:val="000877BD"/>
    <w:rsid w:val="0009037E"/>
    <w:rsid w:val="000917F5"/>
    <w:rsid w:val="00091A7B"/>
    <w:rsid w:val="00091E49"/>
    <w:rsid w:val="000923C3"/>
    <w:rsid w:val="0009376C"/>
    <w:rsid w:val="0009463B"/>
    <w:rsid w:val="00095530"/>
    <w:rsid w:val="0009558D"/>
    <w:rsid w:val="00096820"/>
    <w:rsid w:val="00096B31"/>
    <w:rsid w:val="000973A2"/>
    <w:rsid w:val="00097901"/>
    <w:rsid w:val="000A0288"/>
    <w:rsid w:val="000A1687"/>
    <w:rsid w:val="000A1B84"/>
    <w:rsid w:val="000A1E7A"/>
    <w:rsid w:val="000A2ED6"/>
    <w:rsid w:val="000A3097"/>
    <w:rsid w:val="000A34C4"/>
    <w:rsid w:val="000A4584"/>
    <w:rsid w:val="000A6EF2"/>
    <w:rsid w:val="000A70F5"/>
    <w:rsid w:val="000A7188"/>
    <w:rsid w:val="000A79FA"/>
    <w:rsid w:val="000B10C4"/>
    <w:rsid w:val="000B1F54"/>
    <w:rsid w:val="000B30EC"/>
    <w:rsid w:val="000B30ED"/>
    <w:rsid w:val="000B40C0"/>
    <w:rsid w:val="000B40F5"/>
    <w:rsid w:val="000B42C9"/>
    <w:rsid w:val="000B43D3"/>
    <w:rsid w:val="000B43E0"/>
    <w:rsid w:val="000B4E70"/>
    <w:rsid w:val="000B5D08"/>
    <w:rsid w:val="000B6607"/>
    <w:rsid w:val="000B6B1F"/>
    <w:rsid w:val="000C067B"/>
    <w:rsid w:val="000C0E40"/>
    <w:rsid w:val="000C1116"/>
    <w:rsid w:val="000C13F4"/>
    <w:rsid w:val="000C275C"/>
    <w:rsid w:val="000C2DBC"/>
    <w:rsid w:val="000C3631"/>
    <w:rsid w:val="000C386E"/>
    <w:rsid w:val="000C4715"/>
    <w:rsid w:val="000C54FF"/>
    <w:rsid w:val="000C5BBB"/>
    <w:rsid w:val="000C7A54"/>
    <w:rsid w:val="000D0696"/>
    <w:rsid w:val="000D0862"/>
    <w:rsid w:val="000D0B10"/>
    <w:rsid w:val="000D0BC0"/>
    <w:rsid w:val="000D1FF8"/>
    <w:rsid w:val="000D3208"/>
    <w:rsid w:val="000D3F90"/>
    <w:rsid w:val="000D40DE"/>
    <w:rsid w:val="000D4BF7"/>
    <w:rsid w:val="000D4FD2"/>
    <w:rsid w:val="000D544B"/>
    <w:rsid w:val="000D7200"/>
    <w:rsid w:val="000D72E7"/>
    <w:rsid w:val="000D7827"/>
    <w:rsid w:val="000E0239"/>
    <w:rsid w:val="000E08FB"/>
    <w:rsid w:val="000E15BC"/>
    <w:rsid w:val="000E1AE0"/>
    <w:rsid w:val="000E1B1A"/>
    <w:rsid w:val="000E1B84"/>
    <w:rsid w:val="000E29FC"/>
    <w:rsid w:val="000E521A"/>
    <w:rsid w:val="000E5C45"/>
    <w:rsid w:val="000E5EB9"/>
    <w:rsid w:val="000E60AA"/>
    <w:rsid w:val="000F0AC4"/>
    <w:rsid w:val="000F1610"/>
    <w:rsid w:val="000F2624"/>
    <w:rsid w:val="000F2B67"/>
    <w:rsid w:val="000F30E5"/>
    <w:rsid w:val="000F656F"/>
    <w:rsid w:val="000F6F22"/>
    <w:rsid w:val="000F7234"/>
    <w:rsid w:val="001006C1"/>
    <w:rsid w:val="00100CF5"/>
    <w:rsid w:val="00101372"/>
    <w:rsid w:val="0010156F"/>
    <w:rsid w:val="00101D9E"/>
    <w:rsid w:val="001034BD"/>
    <w:rsid w:val="00103CFF"/>
    <w:rsid w:val="0010415E"/>
    <w:rsid w:val="00104E9D"/>
    <w:rsid w:val="00105945"/>
    <w:rsid w:val="00105F17"/>
    <w:rsid w:val="0010613F"/>
    <w:rsid w:val="00106541"/>
    <w:rsid w:val="0010719C"/>
    <w:rsid w:val="0010760C"/>
    <w:rsid w:val="00107919"/>
    <w:rsid w:val="00107E1F"/>
    <w:rsid w:val="001103E8"/>
    <w:rsid w:val="001110D7"/>
    <w:rsid w:val="00111147"/>
    <w:rsid w:val="001116EF"/>
    <w:rsid w:val="0011193C"/>
    <w:rsid w:val="00112334"/>
    <w:rsid w:val="00112F8D"/>
    <w:rsid w:val="001130BE"/>
    <w:rsid w:val="0011315E"/>
    <w:rsid w:val="00113977"/>
    <w:rsid w:val="00113A18"/>
    <w:rsid w:val="00113DC1"/>
    <w:rsid w:val="001145E4"/>
    <w:rsid w:val="0011490A"/>
    <w:rsid w:val="00117782"/>
    <w:rsid w:val="00117DF9"/>
    <w:rsid w:val="00120ED9"/>
    <w:rsid w:val="0012300E"/>
    <w:rsid w:val="00123501"/>
    <w:rsid w:val="00124688"/>
    <w:rsid w:val="0012575D"/>
    <w:rsid w:val="00126325"/>
    <w:rsid w:val="00126C13"/>
    <w:rsid w:val="00126C8B"/>
    <w:rsid w:val="00126CE8"/>
    <w:rsid w:val="001272C4"/>
    <w:rsid w:val="00127538"/>
    <w:rsid w:val="00127774"/>
    <w:rsid w:val="001303B8"/>
    <w:rsid w:val="001322C9"/>
    <w:rsid w:val="001322F5"/>
    <w:rsid w:val="00135049"/>
    <w:rsid w:val="00135F0B"/>
    <w:rsid w:val="00137CA3"/>
    <w:rsid w:val="00137F02"/>
    <w:rsid w:val="00140329"/>
    <w:rsid w:val="00140338"/>
    <w:rsid w:val="00140395"/>
    <w:rsid w:val="001403C4"/>
    <w:rsid w:val="00141510"/>
    <w:rsid w:val="00141B7E"/>
    <w:rsid w:val="00141CDB"/>
    <w:rsid w:val="00141E3D"/>
    <w:rsid w:val="001420D2"/>
    <w:rsid w:val="001433A8"/>
    <w:rsid w:val="001436FE"/>
    <w:rsid w:val="001437CB"/>
    <w:rsid w:val="00143A6D"/>
    <w:rsid w:val="00143ADB"/>
    <w:rsid w:val="001444A5"/>
    <w:rsid w:val="0014563A"/>
    <w:rsid w:val="00146263"/>
    <w:rsid w:val="00146664"/>
    <w:rsid w:val="0014698F"/>
    <w:rsid w:val="00146BAF"/>
    <w:rsid w:val="00146FA5"/>
    <w:rsid w:val="00147779"/>
    <w:rsid w:val="0015003D"/>
    <w:rsid w:val="00150BF2"/>
    <w:rsid w:val="00151B0F"/>
    <w:rsid w:val="00151EC3"/>
    <w:rsid w:val="00152381"/>
    <w:rsid w:val="00152E91"/>
    <w:rsid w:val="00153016"/>
    <w:rsid w:val="0015326F"/>
    <w:rsid w:val="001532E5"/>
    <w:rsid w:val="00154965"/>
    <w:rsid w:val="00155032"/>
    <w:rsid w:val="0015517B"/>
    <w:rsid w:val="0015640B"/>
    <w:rsid w:val="0015724A"/>
    <w:rsid w:val="00160141"/>
    <w:rsid w:val="0016020A"/>
    <w:rsid w:val="00160538"/>
    <w:rsid w:val="0016154F"/>
    <w:rsid w:val="001626CB"/>
    <w:rsid w:val="001636E0"/>
    <w:rsid w:val="00164233"/>
    <w:rsid w:val="00164ACE"/>
    <w:rsid w:val="00164F3D"/>
    <w:rsid w:val="001657D1"/>
    <w:rsid w:val="00165A25"/>
    <w:rsid w:val="00165B81"/>
    <w:rsid w:val="00165EAE"/>
    <w:rsid w:val="00166CD2"/>
    <w:rsid w:val="00166D77"/>
    <w:rsid w:val="001674F0"/>
    <w:rsid w:val="0016760F"/>
    <w:rsid w:val="00167969"/>
    <w:rsid w:val="00170504"/>
    <w:rsid w:val="0017057A"/>
    <w:rsid w:val="00170FD2"/>
    <w:rsid w:val="0017108F"/>
    <w:rsid w:val="00172A27"/>
    <w:rsid w:val="00173264"/>
    <w:rsid w:val="00174AC5"/>
    <w:rsid w:val="00175038"/>
    <w:rsid w:val="00175881"/>
    <w:rsid w:val="00177663"/>
    <w:rsid w:val="0017787F"/>
    <w:rsid w:val="00181EE7"/>
    <w:rsid w:val="00183BD7"/>
    <w:rsid w:val="00184C93"/>
    <w:rsid w:val="001855DB"/>
    <w:rsid w:val="001866A0"/>
    <w:rsid w:val="001866D6"/>
    <w:rsid w:val="001879CD"/>
    <w:rsid w:val="001903FC"/>
    <w:rsid w:val="00192341"/>
    <w:rsid w:val="00192A0C"/>
    <w:rsid w:val="0019323F"/>
    <w:rsid w:val="00193ADD"/>
    <w:rsid w:val="001954AE"/>
    <w:rsid w:val="00195901"/>
    <w:rsid w:val="00195985"/>
    <w:rsid w:val="00195BCA"/>
    <w:rsid w:val="00196674"/>
    <w:rsid w:val="00196FDA"/>
    <w:rsid w:val="0019715B"/>
    <w:rsid w:val="0019718E"/>
    <w:rsid w:val="00197FC4"/>
    <w:rsid w:val="001A0069"/>
    <w:rsid w:val="001A14A1"/>
    <w:rsid w:val="001A1E28"/>
    <w:rsid w:val="001A28FE"/>
    <w:rsid w:val="001A2E3F"/>
    <w:rsid w:val="001A3077"/>
    <w:rsid w:val="001A35C4"/>
    <w:rsid w:val="001A3BD3"/>
    <w:rsid w:val="001A49C8"/>
    <w:rsid w:val="001A4BF7"/>
    <w:rsid w:val="001A5225"/>
    <w:rsid w:val="001A53C0"/>
    <w:rsid w:val="001A63D7"/>
    <w:rsid w:val="001A6622"/>
    <w:rsid w:val="001A68C1"/>
    <w:rsid w:val="001A7E8B"/>
    <w:rsid w:val="001B0C2A"/>
    <w:rsid w:val="001B0C78"/>
    <w:rsid w:val="001B26A9"/>
    <w:rsid w:val="001B375A"/>
    <w:rsid w:val="001B3D35"/>
    <w:rsid w:val="001B55B6"/>
    <w:rsid w:val="001B57ED"/>
    <w:rsid w:val="001B69C6"/>
    <w:rsid w:val="001C0094"/>
    <w:rsid w:val="001C0A5F"/>
    <w:rsid w:val="001C0AB6"/>
    <w:rsid w:val="001C0B35"/>
    <w:rsid w:val="001C1632"/>
    <w:rsid w:val="001C1A35"/>
    <w:rsid w:val="001C2928"/>
    <w:rsid w:val="001C2A52"/>
    <w:rsid w:val="001C316F"/>
    <w:rsid w:val="001C3522"/>
    <w:rsid w:val="001C551E"/>
    <w:rsid w:val="001C7AE9"/>
    <w:rsid w:val="001D0271"/>
    <w:rsid w:val="001D02E1"/>
    <w:rsid w:val="001D16F9"/>
    <w:rsid w:val="001D1FBF"/>
    <w:rsid w:val="001D2108"/>
    <w:rsid w:val="001D29B9"/>
    <w:rsid w:val="001D5642"/>
    <w:rsid w:val="001D5686"/>
    <w:rsid w:val="001D5708"/>
    <w:rsid w:val="001D66C9"/>
    <w:rsid w:val="001D6C43"/>
    <w:rsid w:val="001D758F"/>
    <w:rsid w:val="001D7D9C"/>
    <w:rsid w:val="001D7FEB"/>
    <w:rsid w:val="001E01B8"/>
    <w:rsid w:val="001E0F76"/>
    <w:rsid w:val="001E29B3"/>
    <w:rsid w:val="001E2ABD"/>
    <w:rsid w:val="001E2CCA"/>
    <w:rsid w:val="001E742B"/>
    <w:rsid w:val="001E75CC"/>
    <w:rsid w:val="001F05BA"/>
    <w:rsid w:val="001F0853"/>
    <w:rsid w:val="001F0A89"/>
    <w:rsid w:val="001F1108"/>
    <w:rsid w:val="001F126D"/>
    <w:rsid w:val="001F1826"/>
    <w:rsid w:val="001F1A16"/>
    <w:rsid w:val="001F21D4"/>
    <w:rsid w:val="001F3160"/>
    <w:rsid w:val="001F32FE"/>
    <w:rsid w:val="001F3F5F"/>
    <w:rsid w:val="001F4654"/>
    <w:rsid w:val="001F56B5"/>
    <w:rsid w:val="001F6A7F"/>
    <w:rsid w:val="001F7132"/>
    <w:rsid w:val="0020122F"/>
    <w:rsid w:val="00201CEE"/>
    <w:rsid w:val="00203EEA"/>
    <w:rsid w:val="0020425F"/>
    <w:rsid w:val="00204267"/>
    <w:rsid w:val="00204398"/>
    <w:rsid w:val="002049FE"/>
    <w:rsid w:val="00204C79"/>
    <w:rsid w:val="00204F1F"/>
    <w:rsid w:val="0020528B"/>
    <w:rsid w:val="00205A00"/>
    <w:rsid w:val="00205B0C"/>
    <w:rsid w:val="00207824"/>
    <w:rsid w:val="0021063F"/>
    <w:rsid w:val="00212151"/>
    <w:rsid w:val="00212B0B"/>
    <w:rsid w:val="00213DCD"/>
    <w:rsid w:val="00214A92"/>
    <w:rsid w:val="00214DDE"/>
    <w:rsid w:val="00215472"/>
    <w:rsid w:val="00216AA7"/>
    <w:rsid w:val="0022123A"/>
    <w:rsid w:val="0022354A"/>
    <w:rsid w:val="0022387F"/>
    <w:rsid w:val="0022390C"/>
    <w:rsid w:val="00223B85"/>
    <w:rsid w:val="00224054"/>
    <w:rsid w:val="002249FA"/>
    <w:rsid w:val="00224E56"/>
    <w:rsid w:val="00227988"/>
    <w:rsid w:val="002305F4"/>
    <w:rsid w:val="00230CD8"/>
    <w:rsid w:val="002313C6"/>
    <w:rsid w:val="00231EB0"/>
    <w:rsid w:val="00233A23"/>
    <w:rsid w:val="00234FAA"/>
    <w:rsid w:val="002351B0"/>
    <w:rsid w:val="00235357"/>
    <w:rsid w:val="002356B9"/>
    <w:rsid w:val="002363B2"/>
    <w:rsid w:val="00237F3F"/>
    <w:rsid w:val="002400F6"/>
    <w:rsid w:val="00240F86"/>
    <w:rsid w:val="002410EB"/>
    <w:rsid w:val="00241627"/>
    <w:rsid w:val="002416F9"/>
    <w:rsid w:val="002425CF"/>
    <w:rsid w:val="00243393"/>
    <w:rsid w:val="00243F73"/>
    <w:rsid w:val="002441FC"/>
    <w:rsid w:val="00244CDD"/>
    <w:rsid w:val="00244FAD"/>
    <w:rsid w:val="00245893"/>
    <w:rsid w:val="00245BE3"/>
    <w:rsid w:val="00245DB8"/>
    <w:rsid w:val="002470DB"/>
    <w:rsid w:val="0024765F"/>
    <w:rsid w:val="00247A9A"/>
    <w:rsid w:val="002508BE"/>
    <w:rsid w:val="0025228A"/>
    <w:rsid w:val="002545A9"/>
    <w:rsid w:val="002545B5"/>
    <w:rsid w:val="002547E1"/>
    <w:rsid w:val="0025580F"/>
    <w:rsid w:val="00256501"/>
    <w:rsid w:val="00256B8D"/>
    <w:rsid w:val="00256F44"/>
    <w:rsid w:val="002575EA"/>
    <w:rsid w:val="0025764B"/>
    <w:rsid w:val="00257E2D"/>
    <w:rsid w:val="002603E5"/>
    <w:rsid w:val="0026042D"/>
    <w:rsid w:val="002623CF"/>
    <w:rsid w:val="002625F0"/>
    <w:rsid w:val="00263799"/>
    <w:rsid w:val="00263DA3"/>
    <w:rsid w:val="0026412C"/>
    <w:rsid w:val="0026459A"/>
    <w:rsid w:val="00264612"/>
    <w:rsid w:val="00264D7D"/>
    <w:rsid w:val="00265260"/>
    <w:rsid w:val="00266109"/>
    <w:rsid w:val="0026695C"/>
    <w:rsid w:val="002669E3"/>
    <w:rsid w:val="00266E29"/>
    <w:rsid w:val="00266F84"/>
    <w:rsid w:val="00270257"/>
    <w:rsid w:val="00270524"/>
    <w:rsid w:val="00271D31"/>
    <w:rsid w:val="00272727"/>
    <w:rsid w:val="00272D69"/>
    <w:rsid w:val="00274558"/>
    <w:rsid w:val="002757BA"/>
    <w:rsid w:val="00275EBF"/>
    <w:rsid w:val="00276BD1"/>
    <w:rsid w:val="00276D1E"/>
    <w:rsid w:val="0027735C"/>
    <w:rsid w:val="002800CE"/>
    <w:rsid w:val="00281A0B"/>
    <w:rsid w:val="00281D22"/>
    <w:rsid w:val="002829BB"/>
    <w:rsid w:val="00282F5C"/>
    <w:rsid w:val="00285FFC"/>
    <w:rsid w:val="00286227"/>
    <w:rsid w:val="002865F0"/>
    <w:rsid w:val="00286903"/>
    <w:rsid w:val="0028740C"/>
    <w:rsid w:val="00287483"/>
    <w:rsid w:val="002877AC"/>
    <w:rsid w:val="00287D2C"/>
    <w:rsid w:val="00287DC0"/>
    <w:rsid w:val="002902F2"/>
    <w:rsid w:val="00291609"/>
    <w:rsid w:val="00291805"/>
    <w:rsid w:val="00291B6A"/>
    <w:rsid w:val="00292172"/>
    <w:rsid w:val="00292B9B"/>
    <w:rsid w:val="00292D6C"/>
    <w:rsid w:val="00293507"/>
    <w:rsid w:val="00294290"/>
    <w:rsid w:val="0029430C"/>
    <w:rsid w:val="00295541"/>
    <w:rsid w:val="002967BE"/>
    <w:rsid w:val="00296890"/>
    <w:rsid w:val="00297F6F"/>
    <w:rsid w:val="002A0054"/>
    <w:rsid w:val="002A0615"/>
    <w:rsid w:val="002A1C84"/>
    <w:rsid w:val="002A3177"/>
    <w:rsid w:val="002A5B36"/>
    <w:rsid w:val="002A5BDB"/>
    <w:rsid w:val="002A5CE6"/>
    <w:rsid w:val="002A6A7C"/>
    <w:rsid w:val="002A6FA1"/>
    <w:rsid w:val="002B088B"/>
    <w:rsid w:val="002B1637"/>
    <w:rsid w:val="002B1836"/>
    <w:rsid w:val="002B1EA5"/>
    <w:rsid w:val="002B1FA4"/>
    <w:rsid w:val="002B267D"/>
    <w:rsid w:val="002B326B"/>
    <w:rsid w:val="002B37FD"/>
    <w:rsid w:val="002B3815"/>
    <w:rsid w:val="002B3816"/>
    <w:rsid w:val="002B45F5"/>
    <w:rsid w:val="002B467C"/>
    <w:rsid w:val="002B49F8"/>
    <w:rsid w:val="002B6869"/>
    <w:rsid w:val="002B692C"/>
    <w:rsid w:val="002B6C88"/>
    <w:rsid w:val="002B6E0A"/>
    <w:rsid w:val="002C0626"/>
    <w:rsid w:val="002C0BDB"/>
    <w:rsid w:val="002C19CF"/>
    <w:rsid w:val="002C312C"/>
    <w:rsid w:val="002C3413"/>
    <w:rsid w:val="002C403A"/>
    <w:rsid w:val="002C5278"/>
    <w:rsid w:val="002C5F5E"/>
    <w:rsid w:val="002C7C40"/>
    <w:rsid w:val="002C7D22"/>
    <w:rsid w:val="002C7E35"/>
    <w:rsid w:val="002C7F0D"/>
    <w:rsid w:val="002D024C"/>
    <w:rsid w:val="002D08A4"/>
    <w:rsid w:val="002D0E3E"/>
    <w:rsid w:val="002D108B"/>
    <w:rsid w:val="002D1CCF"/>
    <w:rsid w:val="002D359E"/>
    <w:rsid w:val="002D3A82"/>
    <w:rsid w:val="002D3BEA"/>
    <w:rsid w:val="002D4399"/>
    <w:rsid w:val="002D49D1"/>
    <w:rsid w:val="002D4A1D"/>
    <w:rsid w:val="002D4CFF"/>
    <w:rsid w:val="002D4DD3"/>
    <w:rsid w:val="002D5498"/>
    <w:rsid w:val="002D56D3"/>
    <w:rsid w:val="002D606B"/>
    <w:rsid w:val="002D6683"/>
    <w:rsid w:val="002D6A64"/>
    <w:rsid w:val="002D6CF1"/>
    <w:rsid w:val="002D761D"/>
    <w:rsid w:val="002D790C"/>
    <w:rsid w:val="002D7E4F"/>
    <w:rsid w:val="002E0133"/>
    <w:rsid w:val="002E07E0"/>
    <w:rsid w:val="002E120B"/>
    <w:rsid w:val="002E1B94"/>
    <w:rsid w:val="002E269E"/>
    <w:rsid w:val="002E2AEC"/>
    <w:rsid w:val="002E2EF0"/>
    <w:rsid w:val="002E353D"/>
    <w:rsid w:val="002E36D4"/>
    <w:rsid w:val="002E3E09"/>
    <w:rsid w:val="002E492C"/>
    <w:rsid w:val="002E595C"/>
    <w:rsid w:val="002E5B78"/>
    <w:rsid w:val="002E5E0C"/>
    <w:rsid w:val="002F0DB2"/>
    <w:rsid w:val="002F1A48"/>
    <w:rsid w:val="002F2106"/>
    <w:rsid w:val="002F38B8"/>
    <w:rsid w:val="002F3A18"/>
    <w:rsid w:val="002F4CA7"/>
    <w:rsid w:val="002F4DCA"/>
    <w:rsid w:val="002F4E99"/>
    <w:rsid w:val="002F615D"/>
    <w:rsid w:val="002F6220"/>
    <w:rsid w:val="002F6466"/>
    <w:rsid w:val="002F7517"/>
    <w:rsid w:val="002F7EC8"/>
    <w:rsid w:val="00300A40"/>
    <w:rsid w:val="00300F69"/>
    <w:rsid w:val="003020CF"/>
    <w:rsid w:val="00302432"/>
    <w:rsid w:val="00303536"/>
    <w:rsid w:val="00306C13"/>
    <w:rsid w:val="00307194"/>
    <w:rsid w:val="00307436"/>
    <w:rsid w:val="003074BD"/>
    <w:rsid w:val="00307713"/>
    <w:rsid w:val="00310C17"/>
    <w:rsid w:val="00310F64"/>
    <w:rsid w:val="003137F9"/>
    <w:rsid w:val="00314036"/>
    <w:rsid w:val="003166D5"/>
    <w:rsid w:val="00317313"/>
    <w:rsid w:val="0031789D"/>
    <w:rsid w:val="003179B5"/>
    <w:rsid w:val="003202A5"/>
    <w:rsid w:val="00321D61"/>
    <w:rsid w:val="00322552"/>
    <w:rsid w:val="00322C3E"/>
    <w:rsid w:val="00322FD3"/>
    <w:rsid w:val="00323378"/>
    <w:rsid w:val="0032349C"/>
    <w:rsid w:val="0032398E"/>
    <w:rsid w:val="00324696"/>
    <w:rsid w:val="003249D3"/>
    <w:rsid w:val="003251DB"/>
    <w:rsid w:val="003277F0"/>
    <w:rsid w:val="0032785E"/>
    <w:rsid w:val="00327E77"/>
    <w:rsid w:val="00330618"/>
    <w:rsid w:val="00330E24"/>
    <w:rsid w:val="00330F8B"/>
    <w:rsid w:val="00332062"/>
    <w:rsid w:val="00332F82"/>
    <w:rsid w:val="003350C1"/>
    <w:rsid w:val="003353E2"/>
    <w:rsid w:val="0033678A"/>
    <w:rsid w:val="00336B17"/>
    <w:rsid w:val="00336C9A"/>
    <w:rsid w:val="00336D60"/>
    <w:rsid w:val="00336EEE"/>
    <w:rsid w:val="00340425"/>
    <w:rsid w:val="00340683"/>
    <w:rsid w:val="0034134A"/>
    <w:rsid w:val="00341FB0"/>
    <w:rsid w:val="003437A5"/>
    <w:rsid w:val="00347292"/>
    <w:rsid w:val="00347770"/>
    <w:rsid w:val="00347ECC"/>
    <w:rsid w:val="00350802"/>
    <w:rsid w:val="00350F76"/>
    <w:rsid w:val="00352461"/>
    <w:rsid w:val="00354393"/>
    <w:rsid w:val="00354819"/>
    <w:rsid w:val="00355D0D"/>
    <w:rsid w:val="003566EC"/>
    <w:rsid w:val="00356C11"/>
    <w:rsid w:val="00356D1C"/>
    <w:rsid w:val="003570EF"/>
    <w:rsid w:val="0035734C"/>
    <w:rsid w:val="00357FFA"/>
    <w:rsid w:val="00360FB5"/>
    <w:rsid w:val="00361CA0"/>
    <w:rsid w:val="003625D2"/>
    <w:rsid w:val="003628A6"/>
    <w:rsid w:val="003633C7"/>
    <w:rsid w:val="00363A3B"/>
    <w:rsid w:val="00363CA6"/>
    <w:rsid w:val="00364062"/>
    <w:rsid w:val="003643A0"/>
    <w:rsid w:val="00364BA6"/>
    <w:rsid w:val="00365162"/>
    <w:rsid w:val="003658BC"/>
    <w:rsid w:val="00365F41"/>
    <w:rsid w:val="00367567"/>
    <w:rsid w:val="00370B3B"/>
    <w:rsid w:val="00370DD1"/>
    <w:rsid w:val="003712AD"/>
    <w:rsid w:val="00372AC9"/>
    <w:rsid w:val="00373CC3"/>
    <w:rsid w:val="003746CD"/>
    <w:rsid w:val="00375CCC"/>
    <w:rsid w:val="003761CB"/>
    <w:rsid w:val="00376244"/>
    <w:rsid w:val="00376879"/>
    <w:rsid w:val="00377461"/>
    <w:rsid w:val="003777DA"/>
    <w:rsid w:val="00377AE5"/>
    <w:rsid w:val="003815E0"/>
    <w:rsid w:val="0038166E"/>
    <w:rsid w:val="003817C3"/>
    <w:rsid w:val="00381AE5"/>
    <w:rsid w:val="003821B6"/>
    <w:rsid w:val="00382C55"/>
    <w:rsid w:val="00384D23"/>
    <w:rsid w:val="00384DAD"/>
    <w:rsid w:val="00386B93"/>
    <w:rsid w:val="00386EE8"/>
    <w:rsid w:val="00390CF5"/>
    <w:rsid w:val="00391138"/>
    <w:rsid w:val="0039371C"/>
    <w:rsid w:val="00393ACC"/>
    <w:rsid w:val="0039590C"/>
    <w:rsid w:val="0039636E"/>
    <w:rsid w:val="00396CA5"/>
    <w:rsid w:val="003A2003"/>
    <w:rsid w:val="003A3104"/>
    <w:rsid w:val="003A35F1"/>
    <w:rsid w:val="003A388E"/>
    <w:rsid w:val="003A3F6D"/>
    <w:rsid w:val="003A4887"/>
    <w:rsid w:val="003A5A13"/>
    <w:rsid w:val="003A5EDE"/>
    <w:rsid w:val="003A6D97"/>
    <w:rsid w:val="003A72E0"/>
    <w:rsid w:val="003A735E"/>
    <w:rsid w:val="003A7984"/>
    <w:rsid w:val="003A7E2A"/>
    <w:rsid w:val="003A7E3B"/>
    <w:rsid w:val="003B0662"/>
    <w:rsid w:val="003B07BC"/>
    <w:rsid w:val="003B1BB3"/>
    <w:rsid w:val="003B2145"/>
    <w:rsid w:val="003B2F27"/>
    <w:rsid w:val="003B4AB2"/>
    <w:rsid w:val="003B4BAD"/>
    <w:rsid w:val="003B6CC2"/>
    <w:rsid w:val="003B7001"/>
    <w:rsid w:val="003B7B94"/>
    <w:rsid w:val="003C0B5A"/>
    <w:rsid w:val="003C0BB0"/>
    <w:rsid w:val="003C22BB"/>
    <w:rsid w:val="003C2B63"/>
    <w:rsid w:val="003C31F1"/>
    <w:rsid w:val="003C367F"/>
    <w:rsid w:val="003C37EE"/>
    <w:rsid w:val="003C3FE6"/>
    <w:rsid w:val="003C6891"/>
    <w:rsid w:val="003C6BEB"/>
    <w:rsid w:val="003C6D15"/>
    <w:rsid w:val="003D0657"/>
    <w:rsid w:val="003D0758"/>
    <w:rsid w:val="003D1383"/>
    <w:rsid w:val="003D13E0"/>
    <w:rsid w:val="003D22A3"/>
    <w:rsid w:val="003D3336"/>
    <w:rsid w:val="003D3519"/>
    <w:rsid w:val="003D4623"/>
    <w:rsid w:val="003D4CA4"/>
    <w:rsid w:val="003D5200"/>
    <w:rsid w:val="003D6386"/>
    <w:rsid w:val="003D681A"/>
    <w:rsid w:val="003D6F1D"/>
    <w:rsid w:val="003D7293"/>
    <w:rsid w:val="003D737F"/>
    <w:rsid w:val="003D73FB"/>
    <w:rsid w:val="003D7B54"/>
    <w:rsid w:val="003D7C52"/>
    <w:rsid w:val="003E0AD6"/>
    <w:rsid w:val="003E0EB1"/>
    <w:rsid w:val="003E0F2B"/>
    <w:rsid w:val="003E1156"/>
    <w:rsid w:val="003E15DD"/>
    <w:rsid w:val="003E1858"/>
    <w:rsid w:val="003E19BA"/>
    <w:rsid w:val="003E2698"/>
    <w:rsid w:val="003E2854"/>
    <w:rsid w:val="003E3CAD"/>
    <w:rsid w:val="003E53D7"/>
    <w:rsid w:val="003E57B9"/>
    <w:rsid w:val="003E661A"/>
    <w:rsid w:val="003E6D19"/>
    <w:rsid w:val="003E7FB9"/>
    <w:rsid w:val="003F0FCC"/>
    <w:rsid w:val="003F1075"/>
    <w:rsid w:val="003F1D75"/>
    <w:rsid w:val="003F35FE"/>
    <w:rsid w:val="003F447D"/>
    <w:rsid w:val="003F4670"/>
    <w:rsid w:val="003F4C46"/>
    <w:rsid w:val="003F5581"/>
    <w:rsid w:val="003F64F8"/>
    <w:rsid w:val="003F7581"/>
    <w:rsid w:val="003F7BF1"/>
    <w:rsid w:val="00400ED7"/>
    <w:rsid w:val="0040162C"/>
    <w:rsid w:val="00402525"/>
    <w:rsid w:val="00402B4C"/>
    <w:rsid w:val="00402F3D"/>
    <w:rsid w:val="004030B8"/>
    <w:rsid w:val="00403C78"/>
    <w:rsid w:val="00405282"/>
    <w:rsid w:val="0040620D"/>
    <w:rsid w:val="00407F17"/>
    <w:rsid w:val="0041186B"/>
    <w:rsid w:val="00411C68"/>
    <w:rsid w:val="0041228F"/>
    <w:rsid w:val="004129A6"/>
    <w:rsid w:val="004133B2"/>
    <w:rsid w:val="00413709"/>
    <w:rsid w:val="00415C98"/>
    <w:rsid w:val="00415FB8"/>
    <w:rsid w:val="004161B6"/>
    <w:rsid w:val="004161D9"/>
    <w:rsid w:val="00416FDB"/>
    <w:rsid w:val="00417DBE"/>
    <w:rsid w:val="0042004B"/>
    <w:rsid w:val="00421589"/>
    <w:rsid w:val="00422649"/>
    <w:rsid w:val="004226B9"/>
    <w:rsid w:val="00422786"/>
    <w:rsid w:val="00422C60"/>
    <w:rsid w:val="00423423"/>
    <w:rsid w:val="00423B90"/>
    <w:rsid w:val="00424C51"/>
    <w:rsid w:val="00425191"/>
    <w:rsid w:val="004254E7"/>
    <w:rsid w:val="00425E81"/>
    <w:rsid w:val="00425EBE"/>
    <w:rsid w:val="004268E9"/>
    <w:rsid w:val="00427500"/>
    <w:rsid w:val="004313E2"/>
    <w:rsid w:val="0043156B"/>
    <w:rsid w:val="00431F2A"/>
    <w:rsid w:val="004321BA"/>
    <w:rsid w:val="00433387"/>
    <w:rsid w:val="0043359B"/>
    <w:rsid w:val="00435705"/>
    <w:rsid w:val="00436A06"/>
    <w:rsid w:val="0043724E"/>
    <w:rsid w:val="00440AE7"/>
    <w:rsid w:val="00441A59"/>
    <w:rsid w:val="00442A23"/>
    <w:rsid w:val="00442A82"/>
    <w:rsid w:val="00442ED5"/>
    <w:rsid w:val="004435E7"/>
    <w:rsid w:val="004438E8"/>
    <w:rsid w:val="00444BAF"/>
    <w:rsid w:val="00444FE2"/>
    <w:rsid w:val="0044717F"/>
    <w:rsid w:val="004505AA"/>
    <w:rsid w:val="004509D7"/>
    <w:rsid w:val="004529E6"/>
    <w:rsid w:val="00454733"/>
    <w:rsid w:val="00455776"/>
    <w:rsid w:val="0045684D"/>
    <w:rsid w:val="0046022C"/>
    <w:rsid w:val="004604AB"/>
    <w:rsid w:val="00460B1B"/>
    <w:rsid w:val="0046113B"/>
    <w:rsid w:val="00461F82"/>
    <w:rsid w:val="00462047"/>
    <w:rsid w:val="00465BFD"/>
    <w:rsid w:val="004662A2"/>
    <w:rsid w:val="004664F6"/>
    <w:rsid w:val="00466FC6"/>
    <w:rsid w:val="004673AE"/>
    <w:rsid w:val="00467472"/>
    <w:rsid w:val="00467A58"/>
    <w:rsid w:val="0047058A"/>
    <w:rsid w:val="00470E02"/>
    <w:rsid w:val="00471710"/>
    <w:rsid w:val="00471EFB"/>
    <w:rsid w:val="0047315C"/>
    <w:rsid w:val="004736F7"/>
    <w:rsid w:val="00474270"/>
    <w:rsid w:val="004749FF"/>
    <w:rsid w:val="00474E67"/>
    <w:rsid w:val="0047510C"/>
    <w:rsid w:val="00475C32"/>
    <w:rsid w:val="0047636E"/>
    <w:rsid w:val="00477BE9"/>
    <w:rsid w:val="004801AE"/>
    <w:rsid w:val="00480773"/>
    <w:rsid w:val="00481343"/>
    <w:rsid w:val="00481979"/>
    <w:rsid w:val="00482ABB"/>
    <w:rsid w:val="0048383B"/>
    <w:rsid w:val="00483FBF"/>
    <w:rsid w:val="00484EE1"/>
    <w:rsid w:val="004855F9"/>
    <w:rsid w:val="00485C02"/>
    <w:rsid w:val="00486D54"/>
    <w:rsid w:val="004875EC"/>
    <w:rsid w:val="00491C14"/>
    <w:rsid w:val="00492030"/>
    <w:rsid w:val="00492984"/>
    <w:rsid w:val="00492E1F"/>
    <w:rsid w:val="00492E66"/>
    <w:rsid w:val="004937E5"/>
    <w:rsid w:val="0049408D"/>
    <w:rsid w:val="0049492C"/>
    <w:rsid w:val="00494CF9"/>
    <w:rsid w:val="00495A78"/>
    <w:rsid w:val="004A0406"/>
    <w:rsid w:val="004A1173"/>
    <w:rsid w:val="004A1709"/>
    <w:rsid w:val="004A1F91"/>
    <w:rsid w:val="004A2F03"/>
    <w:rsid w:val="004A2F39"/>
    <w:rsid w:val="004A3AE0"/>
    <w:rsid w:val="004A797C"/>
    <w:rsid w:val="004B01D8"/>
    <w:rsid w:val="004B0A52"/>
    <w:rsid w:val="004B10BB"/>
    <w:rsid w:val="004B1B54"/>
    <w:rsid w:val="004B2089"/>
    <w:rsid w:val="004B3228"/>
    <w:rsid w:val="004B662F"/>
    <w:rsid w:val="004B6D6A"/>
    <w:rsid w:val="004C0924"/>
    <w:rsid w:val="004C1855"/>
    <w:rsid w:val="004C19C0"/>
    <w:rsid w:val="004C2794"/>
    <w:rsid w:val="004C28AD"/>
    <w:rsid w:val="004C3790"/>
    <w:rsid w:val="004C3904"/>
    <w:rsid w:val="004C4785"/>
    <w:rsid w:val="004C530B"/>
    <w:rsid w:val="004C541E"/>
    <w:rsid w:val="004C5ED3"/>
    <w:rsid w:val="004C7180"/>
    <w:rsid w:val="004D075D"/>
    <w:rsid w:val="004D207E"/>
    <w:rsid w:val="004D25DC"/>
    <w:rsid w:val="004D4961"/>
    <w:rsid w:val="004D4AF4"/>
    <w:rsid w:val="004D4DFF"/>
    <w:rsid w:val="004D5C0D"/>
    <w:rsid w:val="004D635F"/>
    <w:rsid w:val="004D702C"/>
    <w:rsid w:val="004D71C8"/>
    <w:rsid w:val="004D7267"/>
    <w:rsid w:val="004D744C"/>
    <w:rsid w:val="004D7CCD"/>
    <w:rsid w:val="004E06C8"/>
    <w:rsid w:val="004E17E0"/>
    <w:rsid w:val="004E2C12"/>
    <w:rsid w:val="004E3557"/>
    <w:rsid w:val="004E40B5"/>
    <w:rsid w:val="004E4545"/>
    <w:rsid w:val="004E663F"/>
    <w:rsid w:val="004E6697"/>
    <w:rsid w:val="004E7B26"/>
    <w:rsid w:val="004E7C73"/>
    <w:rsid w:val="004F02EC"/>
    <w:rsid w:val="004F13BF"/>
    <w:rsid w:val="004F1870"/>
    <w:rsid w:val="004F33EE"/>
    <w:rsid w:val="004F3ADA"/>
    <w:rsid w:val="004F45A1"/>
    <w:rsid w:val="004F477D"/>
    <w:rsid w:val="004F5873"/>
    <w:rsid w:val="004F59B5"/>
    <w:rsid w:val="004F5D56"/>
    <w:rsid w:val="004F6D68"/>
    <w:rsid w:val="00500AC6"/>
    <w:rsid w:val="005012CE"/>
    <w:rsid w:val="00501F01"/>
    <w:rsid w:val="00505821"/>
    <w:rsid w:val="00506E0E"/>
    <w:rsid w:val="00507512"/>
    <w:rsid w:val="005076EC"/>
    <w:rsid w:val="005104BE"/>
    <w:rsid w:val="005116DC"/>
    <w:rsid w:val="0051172E"/>
    <w:rsid w:val="00511B5C"/>
    <w:rsid w:val="00511BA7"/>
    <w:rsid w:val="00511E0A"/>
    <w:rsid w:val="00511E18"/>
    <w:rsid w:val="00511E39"/>
    <w:rsid w:val="0051298D"/>
    <w:rsid w:val="005132A1"/>
    <w:rsid w:val="00513330"/>
    <w:rsid w:val="005139D9"/>
    <w:rsid w:val="00515115"/>
    <w:rsid w:val="005156E8"/>
    <w:rsid w:val="0051647D"/>
    <w:rsid w:val="005168C4"/>
    <w:rsid w:val="00516D8D"/>
    <w:rsid w:val="00521369"/>
    <w:rsid w:val="005217CC"/>
    <w:rsid w:val="0052214D"/>
    <w:rsid w:val="00522A97"/>
    <w:rsid w:val="00522DE1"/>
    <w:rsid w:val="00523D5F"/>
    <w:rsid w:val="00523F64"/>
    <w:rsid w:val="00524437"/>
    <w:rsid w:val="005248FA"/>
    <w:rsid w:val="005252CE"/>
    <w:rsid w:val="00525A1C"/>
    <w:rsid w:val="00525F09"/>
    <w:rsid w:val="0052629A"/>
    <w:rsid w:val="005266B6"/>
    <w:rsid w:val="005279FD"/>
    <w:rsid w:val="0053017E"/>
    <w:rsid w:val="0053146A"/>
    <w:rsid w:val="00532391"/>
    <w:rsid w:val="005324A7"/>
    <w:rsid w:val="005328EC"/>
    <w:rsid w:val="00532D99"/>
    <w:rsid w:val="00533A72"/>
    <w:rsid w:val="005350FA"/>
    <w:rsid w:val="00535422"/>
    <w:rsid w:val="005355BE"/>
    <w:rsid w:val="00536321"/>
    <w:rsid w:val="00536F9A"/>
    <w:rsid w:val="00537005"/>
    <w:rsid w:val="005376EE"/>
    <w:rsid w:val="005405CC"/>
    <w:rsid w:val="00541608"/>
    <w:rsid w:val="00541682"/>
    <w:rsid w:val="0054393E"/>
    <w:rsid w:val="00544418"/>
    <w:rsid w:val="005445A6"/>
    <w:rsid w:val="005457E3"/>
    <w:rsid w:val="00545C08"/>
    <w:rsid w:val="00545C9B"/>
    <w:rsid w:val="005463BC"/>
    <w:rsid w:val="00546E26"/>
    <w:rsid w:val="00547723"/>
    <w:rsid w:val="00547B66"/>
    <w:rsid w:val="00550F37"/>
    <w:rsid w:val="00551705"/>
    <w:rsid w:val="0055380B"/>
    <w:rsid w:val="00553C1D"/>
    <w:rsid w:val="0055445D"/>
    <w:rsid w:val="0055466A"/>
    <w:rsid w:val="00555B7A"/>
    <w:rsid w:val="005572E2"/>
    <w:rsid w:val="0055791F"/>
    <w:rsid w:val="00557EE2"/>
    <w:rsid w:val="00557F9E"/>
    <w:rsid w:val="0056041A"/>
    <w:rsid w:val="00561E49"/>
    <w:rsid w:val="00562A1D"/>
    <w:rsid w:val="0056412A"/>
    <w:rsid w:val="00566B0A"/>
    <w:rsid w:val="005670E6"/>
    <w:rsid w:val="00567CAD"/>
    <w:rsid w:val="00571A4C"/>
    <w:rsid w:val="00571BCF"/>
    <w:rsid w:val="005724B3"/>
    <w:rsid w:val="0057274C"/>
    <w:rsid w:val="005727E1"/>
    <w:rsid w:val="005729F0"/>
    <w:rsid w:val="00573485"/>
    <w:rsid w:val="00574998"/>
    <w:rsid w:val="005755E8"/>
    <w:rsid w:val="00575B91"/>
    <w:rsid w:val="00575FB1"/>
    <w:rsid w:val="0057665B"/>
    <w:rsid w:val="005802CB"/>
    <w:rsid w:val="00580413"/>
    <w:rsid w:val="0058261B"/>
    <w:rsid w:val="00583B63"/>
    <w:rsid w:val="00583CCC"/>
    <w:rsid w:val="005842DD"/>
    <w:rsid w:val="00584875"/>
    <w:rsid w:val="0058501A"/>
    <w:rsid w:val="005850B9"/>
    <w:rsid w:val="0058598E"/>
    <w:rsid w:val="00586144"/>
    <w:rsid w:val="00586E63"/>
    <w:rsid w:val="005875A7"/>
    <w:rsid w:val="005900E5"/>
    <w:rsid w:val="0059037D"/>
    <w:rsid w:val="00593499"/>
    <w:rsid w:val="00594B61"/>
    <w:rsid w:val="00596518"/>
    <w:rsid w:val="0059653D"/>
    <w:rsid w:val="00596F87"/>
    <w:rsid w:val="00597332"/>
    <w:rsid w:val="00597680"/>
    <w:rsid w:val="005977C8"/>
    <w:rsid w:val="00597E37"/>
    <w:rsid w:val="005A0164"/>
    <w:rsid w:val="005A0CA5"/>
    <w:rsid w:val="005A1563"/>
    <w:rsid w:val="005A18EF"/>
    <w:rsid w:val="005A1D23"/>
    <w:rsid w:val="005A1D2A"/>
    <w:rsid w:val="005A231D"/>
    <w:rsid w:val="005A23A8"/>
    <w:rsid w:val="005A28AD"/>
    <w:rsid w:val="005A310A"/>
    <w:rsid w:val="005A40A7"/>
    <w:rsid w:val="005A46E8"/>
    <w:rsid w:val="005A7179"/>
    <w:rsid w:val="005A74A6"/>
    <w:rsid w:val="005A7E4B"/>
    <w:rsid w:val="005B106D"/>
    <w:rsid w:val="005B1E07"/>
    <w:rsid w:val="005B2085"/>
    <w:rsid w:val="005B24BD"/>
    <w:rsid w:val="005B2960"/>
    <w:rsid w:val="005B3063"/>
    <w:rsid w:val="005B30CE"/>
    <w:rsid w:val="005B4757"/>
    <w:rsid w:val="005B5381"/>
    <w:rsid w:val="005B6431"/>
    <w:rsid w:val="005B7EA4"/>
    <w:rsid w:val="005C076D"/>
    <w:rsid w:val="005C2DF7"/>
    <w:rsid w:val="005C30B6"/>
    <w:rsid w:val="005C327D"/>
    <w:rsid w:val="005C43E4"/>
    <w:rsid w:val="005C4D1D"/>
    <w:rsid w:val="005C51FB"/>
    <w:rsid w:val="005C54F3"/>
    <w:rsid w:val="005C56F0"/>
    <w:rsid w:val="005C5BE4"/>
    <w:rsid w:val="005C66F2"/>
    <w:rsid w:val="005D133B"/>
    <w:rsid w:val="005D17E4"/>
    <w:rsid w:val="005D2066"/>
    <w:rsid w:val="005D2127"/>
    <w:rsid w:val="005D2673"/>
    <w:rsid w:val="005D37AD"/>
    <w:rsid w:val="005D389E"/>
    <w:rsid w:val="005D4752"/>
    <w:rsid w:val="005D5963"/>
    <w:rsid w:val="005D640B"/>
    <w:rsid w:val="005D7F6A"/>
    <w:rsid w:val="005E12A8"/>
    <w:rsid w:val="005E1461"/>
    <w:rsid w:val="005E18D0"/>
    <w:rsid w:val="005E2598"/>
    <w:rsid w:val="005E288A"/>
    <w:rsid w:val="005E3535"/>
    <w:rsid w:val="005E38BD"/>
    <w:rsid w:val="005E395D"/>
    <w:rsid w:val="005E3D58"/>
    <w:rsid w:val="005E3DE9"/>
    <w:rsid w:val="005E5781"/>
    <w:rsid w:val="005E5F17"/>
    <w:rsid w:val="005E6FDD"/>
    <w:rsid w:val="005F06ED"/>
    <w:rsid w:val="005F0BB5"/>
    <w:rsid w:val="005F1A17"/>
    <w:rsid w:val="005F1DB9"/>
    <w:rsid w:val="005F2B57"/>
    <w:rsid w:val="005F2EF8"/>
    <w:rsid w:val="005F3160"/>
    <w:rsid w:val="005F3376"/>
    <w:rsid w:val="005F3676"/>
    <w:rsid w:val="005F37BB"/>
    <w:rsid w:val="005F380F"/>
    <w:rsid w:val="005F3D15"/>
    <w:rsid w:val="005F5149"/>
    <w:rsid w:val="005F539D"/>
    <w:rsid w:val="005F5D83"/>
    <w:rsid w:val="00601569"/>
    <w:rsid w:val="00601902"/>
    <w:rsid w:val="00601CEF"/>
    <w:rsid w:val="00602A1B"/>
    <w:rsid w:val="00602A4D"/>
    <w:rsid w:val="0060386B"/>
    <w:rsid w:val="00603E00"/>
    <w:rsid w:val="0060430C"/>
    <w:rsid w:val="00604F23"/>
    <w:rsid w:val="00605B64"/>
    <w:rsid w:val="00606006"/>
    <w:rsid w:val="00606098"/>
    <w:rsid w:val="00606126"/>
    <w:rsid w:val="0060656F"/>
    <w:rsid w:val="00607397"/>
    <w:rsid w:val="00610011"/>
    <w:rsid w:val="00610860"/>
    <w:rsid w:val="006108A1"/>
    <w:rsid w:val="00610A82"/>
    <w:rsid w:val="00612F09"/>
    <w:rsid w:val="00613C79"/>
    <w:rsid w:val="00614D73"/>
    <w:rsid w:val="0061611E"/>
    <w:rsid w:val="00616B2C"/>
    <w:rsid w:val="00616EA2"/>
    <w:rsid w:val="0062080F"/>
    <w:rsid w:val="00620AD0"/>
    <w:rsid w:val="00620E52"/>
    <w:rsid w:val="00621484"/>
    <w:rsid w:val="00622130"/>
    <w:rsid w:val="00623413"/>
    <w:rsid w:val="00624320"/>
    <w:rsid w:val="00624820"/>
    <w:rsid w:val="00624B97"/>
    <w:rsid w:val="0062654B"/>
    <w:rsid w:val="00626E28"/>
    <w:rsid w:val="00626F68"/>
    <w:rsid w:val="00630F84"/>
    <w:rsid w:val="00631E03"/>
    <w:rsid w:val="00632715"/>
    <w:rsid w:val="006366FA"/>
    <w:rsid w:val="00637342"/>
    <w:rsid w:val="00640FDC"/>
    <w:rsid w:val="00641B47"/>
    <w:rsid w:val="00641B67"/>
    <w:rsid w:val="00641C53"/>
    <w:rsid w:val="006422F1"/>
    <w:rsid w:val="0064274B"/>
    <w:rsid w:val="006432B0"/>
    <w:rsid w:val="006440C5"/>
    <w:rsid w:val="00644329"/>
    <w:rsid w:val="00644A1D"/>
    <w:rsid w:val="006454CA"/>
    <w:rsid w:val="006460F2"/>
    <w:rsid w:val="00646844"/>
    <w:rsid w:val="0064687B"/>
    <w:rsid w:val="00646ADB"/>
    <w:rsid w:val="00647118"/>
    <w:rsid w:val="00650605"/>
    <w:rsid w:val="006508BC"/>
    <w:rsid w:val="00650F6A"/>
    <w:rsid w:val="006511FD"/>
    <w:rsid w:val="00651713"/>
    <w:rsid w:val="00651FEC"/>
    <w:rsid w:val="00653F78"/>
    <w:rsid w:val="006548D2"/>
    <w:rsid w:val="00655FBF"/>
    <w:rsid w:val="00655FC5"/>
    <w:rsid w:val="0065716A"/>
    <w:rsid w:val="0065749F"/>
    <w:rsid w:val="00660DA7"/>
    <w:rsid w:val="00662309"/>
    <w:rsid w:val="00662793"/>
    <w:rsid w:val="00662D0B"/>
    <w:rsid w:val="0066558B"/>
    <w:rsid w:val="00665F65"/>
    <w:rsid w:val="006661AD"/>
    <w:rsid w:val="006665BE"/>
    <w:rsid w:val="00666A0D"/>
    <w:rsid w:val="00666D3F"/>
    <w:rsid w:val="00667D1C"/>
    <w:rsid w:val="00667D6C"/>
    <w:rsid w:val="00670D3B"/>
    <w:rsid w:val="00672398"/>
    <w:rsid w:val="00672FE3"/>
    <w:rsid w:val="00674329"/>
    <w:rsid w:val="00674F29"/>
    <w:rsid w:val="0067541A"/>
    <w:rsid w:val="0067561E"/>
    <w:rsid w:val="006757B5"/>
    <w:rsid w:val="00675DC4"/>
    <w:rsid w:val="006778FA"/>
    <w:rsid w:val="006800F4"/>
    <w:rsid w:val="0068030A"/>
    <w:rsid w:val="00680F6A"/>
    <w:rsid w:val="0068226A"/>
    <w:rsid w:val="00682B4E"/>
    <w:rsid w:val="00682C49"/>
    <w:rsid w:val="006841DD"/>
    <w:rsid w:val="00684737"/>
    <w:rsid w:val="00684CC0"/>
    <w:rsid w:val="00685B0F"/>
    <w:rsid w:val="00687C42"/>
    <w:rsid w:val="006902DB"/>
    <w:rsid w:val="00690953"/>
    <w:rsid w:val="00690C72"/>
    <w:rsid w:val="00691513"/>
    <w:rsid w:val="006915B0"/>
    <w:rsid w:val="00691774"/>
    <w:rsid w:val="00691B5F"/>
    <w:rsid w:val="006929DF"/>
    <w:rsid w:val="00692EA2"/>
    <w:rsid w:val="00693A4F"/>
    <w:rsid w:val="00693F89"/>
    <w:rsid w:val="00695474"/>
    <w:rsid w:val="0069626A"/>
    <w:rsid w:val="0069655D"/>
    <w:rsid w:val="006970EA"/>
    <w:rsid w:val="00697E69"/>
    <w:rsid w:val="006A158A"/>
    <w:rsid w:val="006A15A0"/>
    <w:rsid w:val="006A1F3C"/>
    <w:rsid w:val="006A3B00"/>
    <w:rsid w:val="006A3F3E"/>
    <w:rsid w:val="006A48F6"/>
    <w:rsid w:val="006A4BDC"/>
    <w:rsid w:val="006A4CA9"/>
    <w:rsid w:val="006A553C"/>
    <w:rsid w:val="006A59E0"/>
    <w:rsid w:val="006A6657"/>
    <w:rsid w:val="006A6AA5"/>
    <w:rsid w:val="006A6E0F"/>
    <w:rsid w:val="006B02B5"/>
    <w:rsid w:val="006B16EA"/>
    <w:rsid w:val="006B194B"/>
    <w:rsid w:val="006B1C8B"/>
    <w:rsid w:val="006B1F1B"/>
    <w:rsid w:val="006B23DB"/>
    <w:rsid w:val="006B2765"/>
    <w:rsid w:val="006B2A65"/>
    <w:rsid w:val="006B2A66"/>
    <w:rsid w:val="006B304E"/>
    <w:rsid w:val="006B317C"/>
    <w:rsid w:val="006B350B"/>
    <w:rsid w:val="006B364F"/>
    <w:rsid w:val="006B4344"/>
    <w:rsid w:val="006B44A5"/>
    <w:rsid w:val="006B4943"/>
    <w:rsid w:val="006B4F15"/>
    <w:rsid w:val="006B516E"/>
    <w:rsid w:val="006B592C"/>
    <w:rsid w:val="006B660F"/>
    <w:rsid w:val="006B6C90"/>
    <w:rsid w:val="006B703E"/>
    <w:rsid w:val="006B70CB"/>
    <w:rsid w:val="006B7118"/>
    <w:rsid w:val="006B742A"/>
    <w:rsid w:val="006B7612"/>
    <w:rsid w:val="006B7923"/>
    <w:rsid w:val="006C007E"/>
    <w:rsid w:val="006C034E"/>
    <w:rsid w:val="006C0C6D"/>
    <w:rsid w:val="006C0F44"/>
    <w:rsid w:val="006C189C"/>
    <w:rsid w:val="006C2D62"/>
    <w:rsid w:val="006C3029"/>
    <w:rsid w:val="006C3340"/>
    <w:rsid w:val="006C3546"/>
    <w:rsid w:val="006C3FBE"/>
    <w:rsid w:val="006C412A"/>
    <w:rsid w:val="006C4DDB"/>
    <w:rsid w:val="006C53BD"/>
    <w:rsid w:val="006C5B01"/>
    <w:rsid w:val="006C6CAE"/>
    <w:rsid w:val="006C7A11"/>
    <w:rsid w:val="006C7E0F"/>
    <w:rsid w:val="006D1176"/>
    <w:rsid w:val="006D2286"/>
    <w:rsid w:val="006D24AA"/>
    <w:rsid w:val="006D2639"/>
    <w:rsid w:val="006D2C13"/>
    <w:rsid w:val="006D4680"/>
    <w:rsid w:val="006D48A6"/>
    <w:rsid w:val="006D546B"/>
    <w:rsid w:val="006D6313"/>
    <w:rsid w:val="006D752D"/>
    <w:rsid w:val="006D7E27"/>
    <w:rsid w:val="006E094D"/>
    <w:rsid w:val="006E19C0"/>
    <w:rsid w:val="006E1F4B"/>
    <w:rsid w:val="006E2780"/>
    <w:rsid w:val="006E288B"/>
    <w:rsid w:val="006E3226"/>
    <w:rsid w:val="006E37ED"/>
    <w:rsid w:val="006E4C7A"/>
    <w:rsid w:val="006E4E5C"/>
    <w:rsid w:val="006E5786"/>
    <w:rsid w:val="006E6147"/>
    <w:rsid w:val="006E6868"/>
    <w:rsid w:val="006E6DEE"/>
    <w:rsid w:val="006E7056"/>
    <w:rsid w:val="006E73DA"/>
    <w:rsid w:val="006E7925"/>
    <w:rsid w:val="006F0092"/>
    <w:rsid w:val="006F1564"/>
    <w:rsid w:val="006F20DD"/>
    <w:rsid w:val="006F2588"/>
    <w:rsid w:val="006F2838"/>
    <w:rsid w:val="006F2D64"/>
    <w:rsid w:val="006F2FE7"/>
    <w:rsid w:val="006F4302"/>
    <w:rsid w:val="006F4DAF"/>
    <w:rsid w:val="006F51D9"/>
    <w:rsid w:val="006F5AE2"/>
    <w:rsid w:val="006F6B4F"/>
    <w:rsid w:val="006F7340"/>
    <w:rsid w:val="006F7645"/>
    <w:rsid w:val="006F7F4B"/>
    <w:rsid w:val="00701108"/>
    <w:rsid w:val="0070180D"/>
    <w:rsid w:val="00704ECF"/>
    <w:rsid w:val="00705234"/>
    <w:rsid w:val="00705357"/>
    <w:rsid w:val="00710C10"/>
    <w:rsid w:val="00711B8A"/>
    <w:rsid w:val="007126E6"/>
    <w:rsid w:val="0071330A"/>
    <w:rsid w:val="00713345"/>
    <w:rsid w:val="00714DD8"/>
    <w:rsid w:val="00715074"/>
    <w:rsid w:val="007154AE"/>
    <w:rsid w:val="00717ACE"/>
    <w:rsid w:val="007210E5"/>
    <w:rsid w:val="00721DDB"/>
    <w:rsid w:val="00721ECA"/>
    <w:rsid w:val="00721ED1"/>
    <w:rsid w:val="007235CD"/>
    <w:rsid w:val="007240D9"/>
    <w:rsid w:val="0072421E"/>
    <w:rsid w:val="00724A61"/>
    <w:rsid w:val="00725DB9"/>
    <w:rsid w:val="00726527"/>
    <w:rsid w:val="00727E12"/>
    <w:rsid w:val="007302DB"/>
    <w:rsid w:val="00731B6E"/>
    <w:rsid w:val="00732E59"/>
    <w:rsid w:val="0073392F"/>
    <w:rsid w:val="007342DE"/>
    <w:rsid w:val="0073490D"/>
    <w:rsid w:val="007349D7"/>
    <w:rsid w:val="007358C0"/>
    <w:rsid w:val="00735B73"/>
    <w:rsid w:val="00736CC0"/>
    <w:rsid w:val="00737354"/>
    <w:rsid w:val="0073768D"/>
    <w:rsid w:val="00741B3C"/>
    <w:rsid w:val="00742357"/>
    <w:rsid w:val="00742DD5"/>
    <w:rsid w:val="00742EB0"/>
    <w:rsid w:val="0074397F"/>
    <w:rsid w:val="00743BBB"/>
    <w:rsid w:val="00743F59"/>
    <w:rsid w:val="00744113"/>
    <w:rsid w:val="00745C5B"/>
    <w:rsid w:val="00745D49"/>
    <w:rsid w:val="0074627E"/>
    <w:rsid w:val="00747152"/>
    <w:rsid w:val="0075037D"/>
    <w:rsid w:val="007516D0"/>
    <w:rsid w:val="007527D8"/>
    <w:rsid w:val="00752A99"/>
    <w:rsid w:val="00752AFD"/>
    <w:rsid w:val="00755041"/>
    <w:rsid w:val="0075546A"/>
    <w:rsid w:val="007555D3"/>
    <w:rsid w:val="00756402"/>
    <w:rsid w:val="00756793"/>
    <w:rsid w:val="00756B7E"/>
    <w:rsid w:val="00756FEF"/>
    <w:rsid w:val="00757812"/>
    <w:rsid w:val="00760997"/>
    <w:rsid w:val="00760A18"/>
    <w:rsid w:val="0076127F"/>
    <w:rsid w:val="0076143F"/>
    <w:rsid w:val="00762347"/>
    <w:rsid w:val="0076319D"/>
    <w:rsid w:val="007664F7"/>
    <w:rsid w:val="00766904"/>
    <w:rsid w:val="00766B58"/>
    <w:rsid w:val="00766B9C"/>
    <w:rsid w:val="007670D8"/>
    <w:rsid w:val="007675CD"/>
    <w:rsid w:val="0077089F"/>
    <w:rsid w:val="00770AD4"/>
    <w:rsid w:val="00770C25"/>
    <w:rsid w:val="007717A7"/>
    <w:rsid w:val="00771FCF"/>
    <w:rsid w:val="0077208E"/>
    <w:rsid w:val="00772399"/>
    <w:rsid w:val="0077250C"/>
    <w:rsid w:val="00772595"/>
    <w:rsid w:val="00773557"/>
    <w:rsid w:val="007736D1"/>
    <w:rsid w:val="00773F92"/>
    <w:rsid w:val="0077517F"/>
    <w:rsid w:val="00775A4B"/>
    <w:rsid w:val="0077689E"/>
    <w:rsid w:val="00777089"/>
    <w:rsid w:val="00777168"/>
    <w:rsid w:val="00777BFB"/>
    <w:rsid w:val="00777C79"/>
    <w:rsid w:val="00780AF0"/>
    <w:rsid w:val="00780CB9"/>
    <w:rsid w:val="00783306"/>
    <w:rsid w:val="00783423"/>
    <w:rsid w:val="00784034"/>
    <w:rsid w:val="00784204"/>
    <w:rsid w:val="007853EB"/>
    <w:rsid w:val="007877CC"/>
    <w:rsid w:val="00787A0F"/>
    <w:rsid w:val="007905CF"/>
    <w:rsid w:val="007905ED"/>
    <w:rsid w:val="00790681"/>
    <w:rsid w:val="007911FF"/>
    <w:rsid w:val="00792389"/>
    <w:rsid w:val="00792E6B"/>
    <w:rsid w:val="00792E83"/>
    <w:rsid w:val="00793CFE"/>
    <w:rsid w:val="00793EE6"/>
    <w:rsid w:val="00794140"/>
    <w:rsid w:val="00794812"/>
    <w:rsid w:val="00794EA6"/>
    <w:rsid w:val="007973B1"/>
    <w:rsid w:val="0079794E"/>
    <w:rsid w:val="00797DA9"/>
    <w:rsid w:val="007A00FE"/>
    <w:rsid w:val="007A109C"/>
    <w:rsid w:val="007A1A0A"/>
    <w:rsid w:val="007A1B97"/>
    <w:rsid w:val="007A259C"/>
    <w:rsid w:val="007A3EDF"/>
    <w:rsid w:val="007A51E6"/>
    <w:rsid w:val="007A5AC3"/>
    <w:rsid w:val="007A5D9F"/>
    <w:rsid w:val="007B071B"/>
    <w:rsid w:val="007B1D70"/>
    <w:rsid w:val="007B226B"/>
    <w:rsid w:val="007B29EF"/>
    <w:rsid w:val="007B35B1"/>
    <w:rsid w:val="007B39BA"/>
    <w:rsid w:val="007B3C36"/>
    <w:rsid w:val="007B4689"/>
    <w:rsid w:val="007B4FA7"/>
    <w:rsid w:val="007B53EA"/>
    <w:rsid w:val="007B63E0"/>
    <w:rsid w:val="007B652F"/>
    <w:rsid w:val="007B702E"/>
    <w:rsid w:val="007B7320"/>
    <w:rsid w:val="007C00CA"/>
    <w:rsid w:val="007C3482"/>
    <w:rsid w:val="007C4193"/>
    <w:rsid w:val="007C4653"/>
    <w:rsid w:val="007C4F5B"/>
    <w:rsid w:val="007C5DEC"/>
    <w:rsid w:val="007C68F2"/>
    <w:rsid w:val="007C6B0D"/>
    <w:rsid w:val="007C76C8"/>
    <w:rsid w:val="007C792C"/>
    <w:rsid w:val="007D05C1"/>
    <w:rsid w:val="007D06EE"/>
    <w:rsid w:val="007D0EA3"/>
    <w:rsid w:val="007D19AA"/>
    <w:rsid w:val="007D220C"/>
    <w:rsid w:val="007D3F8A"/>
    <w:rsid w:val="007D5151"/>
    <w:rsid w:val="007D5DEE"/>
    <w:rsid w:val="007D6288"/>
    <w:rsid w:val="007D73F7"/>
    <w:rsid w:val="007E0279"/>
    <w:rsid w:val="007E14E3"/>
    <w:rsid w:val="007E2139"/>
    <w:rsid w:val="007E25FA"/>
    <w:rsid w:val="007E4EAB"/>
    <w:rsid w:val="007E510A"/>
    <w:rsid w:val="007E6097"/>
    <w:rsid w:val="007E68E6"/>
    <w:rsid w:val="007E6C5F"/>
    <w:rsid w:val="007F0EFC"/>
    <w:rsid w:val="007F0F5B"/>
    <w:rsid w:val="007F16D5"/>
    <w:rsid w:val="007F3D22"/>
    <w:rsid w:val="007F456C"/>
    <w:rsid w:val="007F48FD"/>
    <w:rsid w:val="007F55E4"/>
    <w:rsid w:val="007F5801"/>
    <w:rsid w:val="007F5AA4"/>
    <w:rsid w:val="007F5DB9"/>
    <w:rsid w:val="007F5E66"/>
    <w:rsid w:val="007F7AE5"/>
    <w:rsid w:val="007F7F59"/>
    <w:rsid w:val="00800E1F"/>
    <w:rsid w:val="00801118"/>
    <w:rsid w:val="0080229D"/>
    <w:rsid w:val="00803298"/>
    <w:rsid w:val="00803D1A"/>
    <w:rsid w:val="0080417E"/>
    <w:rsid w:val="008042E0"/>
    <w:rsid w:val="00805784"/>
    <w:rsid w:val="00805D99"/>
    <w:rsid w:val="0080641D"/>
    <w:rsid w:val="008064CF"/>
    <w:rsid w:val="008066D9"/>
    <w:rsid w:val="00806EBE"/>
    <w:rsid w:val="0080761C"/>
    <w:rsid w:val="00807E35"/>
    <w:rsid w:val="008100D4"/>
    <w:rsid w:val="008105DF"/>
    <w:rsid w:val="00810B9C"/>
    <w:rsid w:val="00810D9F"/>
    <w:rsid w:val="00810E75"/>
    <w:rsid w:val="00811614"/>
    <w:rsid w:val="008116A8"/>
    <w:rsid w:val="00811B46"/>
    <w:rsid w:val="00811BEC"/>
    <w:rsid w:val="00812357"/>
    <w:rsid w:val="0081296E"/>
    <w:rsid w:val="00814797"/>
    <w:rsid w:val="00817CF5"/>
    <w:rsid w:val="00820A0B"/>
    <w:rsid w:val="0082106C"/>
    <w:rsid w:val="00821324"/>
    <w:rsid w:val="008214D9"/>
    <w:rsid w:val="00821604"/>
    <w:rsid w:val="008229A6"/>
    <w:rsid w:val="00823685"/>
    <w:rsid w:val="008236F1"/>
    <w:rsid w:val="0082392B"/>
    <w:rsid w:val="00825603"/>
    <w:rsid w:val="008261CD"/>
    <w:rsid w:val="00826AFB"/>
    <w:rsid w:val="00827804"/>
    <w:rsid w:val="00830B97"/>
    <w:rsid w:val="00832285"/>
    <w:rsid w:val="00832ABA"/>
    <w:rsid w:val="008332A7"/>
    <w:rsid w:val="00834526"/>
    <w:rsid w:val="00835E8A"/>
    <w:rsid w:val="008360C9"/>
    <w:rsid w:val="008367F4"/>
    <w:rsid w:val="008369BA"/>
    <w:rsid w:val="00840643"/>
    <w:rsid w:val="00840AFC"/>
    <w:rsid w:val="0084194F"/>
    <w:rsid w:val="00841F18"/>
    <w:rsid w:val="00842BF1"/>
    <w:rsid w:val="0084518F"/>
    <w:rsid w:val="00845CA8"/>
    <w:rsid w:val="008460C1"/>
    <w:rsid w:val="008461B9"/>
    <w:rsid w:val="00847B52"/>
    <w:rsid w:val="00847E90"/>
    <w:rsid w:val="00850D6C"/>
    <w:rsid w:val="00852492"/>
    <w:rsid w:val="00852B5D"/>
    <w:rsid w:val="00853A4D"/>
    <w:rsid w:val="00853CD9"/>
    <w:rsid w:val="008548CE"/>
    <w:rsid w:val="008554F4"/>
    <w:rsid w:val="00857601"/>
    <w:rsid w:val="00857E8C"/>
    <w:rsid w:val="008604F9"/>
    <w:rsid w:val="008605C9"/>
    <w:rsid w:val="00860B93"/>
    <w:rsid w:val="00860D3D"/>
    <w:rsid w:val="00861BAD"/>
    <w:rsid w:val="00862D49"/>
    <w:rsid w:val="00862EF0"/>
    <w:rsid w:val="00864AB5"/>
    <w:rsid w:val="00864B86"/>
    <w:rsid w:val="00865138"/>
    <w:rsid w:val="00866263"/>
    <w:rsid w:val="008665EF"/>
    <w:rsid w:val="00867CFA"/>
    <w:rsid w:val="00867D5D"/>
    <w:rsid w:val="00870202"/>
    <w:rsid w:val="008702E6"/>
    <w:rsid w:val="00870706"/>
    <w:rsid w:val="00870972"/>
    <w:rsid w:val="00871E8C"/>
    <w:rsid w:val="00871F2D"/>
    <w:rsid w:val="00871F8E"/>
    <w:rsid w:val="00872A57"/>
    <w:rsid w:val="00873186"/>
    <w:rsid w:val="0087363D"/>
    <w:rsid w:val="0087431D"/>
    <w:rsid w:val="008747FC"/>
    <w:rsid w:val="00875F6B"/>
    <w:rsid w:val="0087665E"/>
    <w:rsid w:val="00876DC8"/>
    <w:rsid w:val="008770B0"/>
    <w:rsid w:val="0087738E"/>
    <w:rsid w:val="00880461"/>
    <w:rsid w:val="00881EB9"/>
    <w:rsid w:val="0088214D"/>
    <w:rsid w:val="0088248E"/>
    <w:rsid w:val="00882C3B"/>
    <w:rsid w:val="00883BE5"/>
    <w:rsid w:val="00883FDF"/>
    <w:rsid w:val="00885030"/>
    <w:rsid w:val="0088569D"/>
    <w:rsid w:val="008859E9"/>
    <w:rsid w:val="00885E36"/>
    <w:rsid w:val="0088667D"/>
    <w:rsid w:val="00887651"/>
    <w:rsid w:val="008904B2"/>
    <w:rsid w:val="008937D6"/>
    <w:rsid w:val="008945CD"/>
    <w:rsid w:val="008953A0"/>
    <w:rsid w:val="0089553D"/>
    <w:rsid w:val="008959D5"/>
    <w:rsid w:val="00895C1C"/>
    <w:rsid w:val="00896090"/>
    <w:rsid w:val="008969BD"/>
    <w:rsid w:val="00896DF2"/>
    <w:rsid w:val="008A15BA"/>
    <w:rsid w:val="008A1809"/>
    <w:rsid w:val="008A1EA6"/>
    <w:rsid w:val="008A3199"/>
    <w:rsid w:val="008A394B"/>
    <w:rsid w:val="008A39CD"/>
    <w:rsid w:val="008A4182"/>
    <w:rsid w:val="008A42FD"/>
    <w:rsid w:val="008A4C64"/>
    <w:rsid w:val="008A4CF0"/>
    <w:rsid w:val="008A4F25"/>
    <w:rsid w:val="008A5E43"/>
    <w:rsid w:val="008A6551"/>
    <w:rsid w:val="008A6A36"/>
    <w:rsid w:val="008A71F7"/>
    <w:rsid w:val="008A771E"/>
    <w:rsid w:val="008B099A"/>
    <w:rsid w:val="008B1C45"/>
    <w:rsid w:val="008B1E68"/>
    <w:rsid w:val="008B224B"/>
    <w:rsid w:val="008B22A7"/>
    <w:rsid w:val="008B22E5"/>
    <w:rsid w:val="008B3221"/>
    <w:rsid w:val="008B3F09"/>
    <w:rsid w:val="008B43DD"/>
    <w:rsid w:val="008B43FE"/>
    <w:rsid w:val="008B478C"/>
    <w:rsid w:val="008B521B"/>
    <w:rsid w:val="008B57CB"/>
    <w:rsid w:val="008B5BB4"/>
    <w:rsid w:val="008B6043"/>
    <w:rsid w:val="008B63DF"/>
    <w:rsid w:val="008B72C3"/>
    <w:rsid w:val="008B73FD"/>
    <w:rsid w:val="008B7AFD"/>
    <w:rsid w:val="008B7DCB"/>
    <w:rsid w:val="008C1755"/>
    <w:rsid w:val="008C1823"/>
    <w:rsid w:val="008C245E"/>
    <w:rsid w:val="008C4252"/>
    <w:rsid w:val="008C4B63"/>
    <w:rsid w:val="008C5272"/>
    <w:rsid w:val="008C52C0"/>
    <w:rsid w:val="008C5D02"/>
    <w:rsid w:val="008C5E4C"/>
    <w:rsid w:val="008C6092"/>
    <w:rsid w:val="008C61DD"/>
    <w:rsid w:val="008C666B"/>
    <w:rsid w:val="008C681A"/>
    <w:rsid w:val="008C6A4E"/>
    <w:rsid w:val="008C6B66"/>
    <w:rsid w:val="008C7DDC"/>
    <w:rsid w:val="008C7F9D"/>
    <w:rsid w:val="008D0939"/>
    <w:rsid w:val="008D2A4D"/>
    <w:rsid w:val="008D33FF"/>
    <w:rsid w:val="008D365D"/>
    <w:rsid w:val="008D3E55"/>
    <w:rsid w:val="008D4377"/>
    <w:rsid w:val="008D4798"/>
    <w:rsid w:val="008D496B"/>
    <w:rsid w:val="008D4E99"/>
    <w:rsid w:val="008D54D8"/>
    <w:rsid w:val="008D54E5"/>
    <w:rsid w:val="008D58C8"/>
    <w:rsid w:val="008D6BA9"/>
    <w:rsid w:val="008D6F62"/>
    <w:rsid w:val="008D75AB"/>
    <w:rsid w:val="008D77DF"/>
    <w:rsid w:val="008D7EEE"/>
    <w:rsid w:val="008E0685"/>
    <w:rsid w:val="008E0DD2"/>
    <w:rsid w:val="008E1F6D"/>
    <w:rsid w:val="008E238A"/>
    <w:rsid w:val="008E2AF9"/>
    <w:rsid w:val="008E2B74"/>
    <w:rsid w:val="008E334E"/>
    <w:rsid w:val="008E35B6"/>
    <w:rsid w:val="008E3791"/>
    <w:rsid w:val="008E3941"/>
    <w:rsid w:val="008E39F3"/>
    <w:rsid w:val="008E4B7C"/>
    <w:rsid w:val="008E5177"/>
    <w:rsid w:val="008E53AA"/>
    <w:rsid w:val="008E5840"/>
    <w:rsid w:val="008E5C2B"/>
    <w:rsid w:val="008E5DFD"/>
    <w:rsid w:val="008E64EC"/>
    <w:rsid w:val="008E750F"/>
    <w:rsid w:val="008E79E4"/>
    <w:rsid w:val="008F0B82"/>
    <w:rsid w:val="008F4303"/>
    <w:rsid w:val="008F49B8"/>
    <w:rsid w:val="008F6C46"/>
    <w:rsid w:val="008F7E94"/>
    <w:rsid w:val="00900A8B"/>
    <w:rsid w:val="0090141F"/>
    <w:rsid w:val="009016C9"/>
    <w:rsid w:val="00901E41"/>
    <w:rsid w:val="00902215"/>
    <w:rsid w:val="00903A3D"/>
    <w:rsid w:val="00905897"/>
    <w:rsid w:val="00906282"/>
    <w:rsid w:val="0090683C"/>
    <w:rsid w:val="0090777D"/>
    <w:rsid w:val="009115EE"/>
    <w:rsid w:val="00911A26"/>
    <w:rsid w:val="00912631"/>
    <w:rsid w:val="00913B60"/>
    <w:rsid w:val="00914DF7"/>
    <w:rsid w:val="0091569E"/>
    <w:rsid w:val="00915D42"/>
    <w:rsid w:val="00916CEA"/>
    <w:rsid w:val="00920452"/>
    <w:rsid w:val="00920927"/>
    <w:rsid w:val="00920987"/>
    <w:rsid w:val="00921344"/>
    <w:rsid w:val="0092175C"/>
    <w:rsid w:val="00921AC8"/>
    <w:rsid w:val="009244AC"/>
    <w:rsid w:val="0092507A"/>
    <w:rsid w:val="0092534D"/>
    <w:rsid w:val="00925508"/>
    <w:rsid w:val="009256CC"/>
    <w:rsid w:val="009265E5"/>
    <w:rsid w:val="00927110"/>
    <w:rsid w:val="00927193"/>
    <w:rsid w:val="00930023"/>
    <w:rsid w:val="009303D5"/>
    <w:rsid w:val="00930878"/>
    <w:rsid w:val="0093124A"/>
    <w:rsid w:val="00933B86"/>
    <w:rsid w:val="00934432"/>
    <w:rsid w:val="009344C8"/>
    <w:rsid w:val="0093460F"/>
    <w:rsid w:val="00934642"/>
    <w:rsid w:val="009357A8"/>
    <w:rsid w:val="00935F27"/>
    <w:rsid w:val="00935F2E"/>
    <w:rsid w:val="00936310"/>
    <w:rsid w:val="0093726C"/>
    <w:rsid w:val="0093760C"/>
    <w:rsid w:val="00937968"/>
    <w:rsid w:val="00940881"/>
    <w:rsid w:val="00941304"/>
    <w:rsid w:val="00941CA1"/>
    <w:rsid w:val="00941E28"/>
    <w:rsid w:val="00942573"/>
    <w:rsid w:val="00942817"/>
    <w:rsid w:val="00942AEA"/>
    <w:rsid w:val="00942B41"/>
    <w:rsid w:val="00943747"/>
    <w:rsid w:val="009443CB"/>
    <w:rsid w:val="00944D0F"/>
    <w:rsid w:val="00944E4A"/>
    <w:rsid w:val="00944EE2"/>
    <w:rsid w:val="00947875"/>
    <w:rsid w:val="00947960"/>
    <w:rsid w:val="009501AB"/>
    <w:rsid w:val="00950DB9"/>
    <w:rsid w:val="0095273A"/>
    <w:rsid w:val="00952F69"/>
    <w:rsid w:val="009539E2"/>
    <w:rsid w:val="00954AD0"/>
    <w:rsid w:val="00956302"/>
    <w:rsid w:val="00957A27"/>
    <w:rsid w:val="0096050F"/>
    <w:rsid w:val="009607B1"/>
    <w:rsid w:val="009628DA"/>
    <w:rsid w:val="00963091"/>
    <w:rsid w:val="00964058"/>
    <w:rsid w:val="0096414F"/>
    <w:rsid w:val="0096417C"/>
    <w:rsid w:val="009645F5"/>
    <w:rsid w:val="009651D9"/>
    <w:rsid w:val="0096652B"/>
    <w:rsid w:val="009676CE"/>
    <w:rsid w:val="00967A72"/>
    <w:rsid w:val="009700C7"/>
    <w:rsid w:val="00970716"/>
    <w:rsid w:val="00970D84"/>
    <w:rsid w:val="00971434"/>
    <w:rsid w:val="00971489"/>
    <w:rsid w:val="009717CD"/>
    <w:rsid w:val="009736F9"/>
    <w:rsid w:val="00973AF9"/>
    <w:rsid w:val="009741D9"/>
    <w:rsid w:val="00974C9C"/>
    <w:rsid w:val="0097506E"/>
    <w:rsid w:val="00976907"/>
    <w:rsid w:val="0097702E"/>
    <w:rsid w:val="009778D8"/>
    <w:rsid w:val="00980782"/>
    <w:rsid w:val="009807DA"/>
    <w:rsid w:val="00980C61"/>
    <w:rsid w:val="00981CD5"/>
    <w:rsid w:val="0098249E"/>
    <w:rsid w:val="009828CC"/>
    <w:rsid w:val="00983E7A"/>
    <w:rsid w:val="00984C04"/>
    <w:rsid w:val="00984EC1"/>
    <w:rsid w:val="00986841"/>
    <w:rsid w:val="009875E2"/>
    <w:rsid w:val="00987812"/>
    <w:rsid w:val="00987C11"/>
    <w:rsid w:val="009903AB"/>
    <w:rsid w:val="0099085D"/>
    <w:rsid w:val="00990BE8"/>
    <w:rsid w:val="00990CE2"/>
    <w:rsid w:val="00991336"/>
    <w:rsid w:val="0099220A"/>
    <w:rsid w:val="00992222"/>
    <w:rsid w:val="00992932"/>
    <w:rsid w:val="00992C42"/>
    <w:rsid w:val="00992E9A"/>
    <w:rsid w:val="00995694"/>
    <w:rsid w:val="0099607D"/>
    <w:rsid w:val="009970C7"/>
    <w:rsid w:val="009A0261"/>
    <w:rsid w:val="009A164D"/>
    <w:rsid w:val="009A293E"/>
    <w:rsid w:val="009A3E1B"/>
    <w:rsid w:val="009A53F1"/>
    <w:rsid w:val="009A57F4"/>
    <w:rsid w:val="009A5CC8"/>
    <w:rsid w:val="009A6012"/>
    <w:rsid w:val="009A628C"/>
    <w:rsid w:val="009A7968"/>
    <w:rsid w:val="009A79E1"/>
    <w:rsid w:val="009A7F7E"/>
    <w:rsid w:val="009B0D06"/>
    <w:rsid w:val="009B11AD"/>
    <w:rsid w:val="009B2227"/>
    <w:rsid w:val="009B261E"/>
    <w:rsid w:val="009B2FDB"/>
    <w:rsid w:val="009B3228"/>
    <w:rsid w:val="009B419D"/>
    <w:rsid w:val="009B4CBB"/>
    <w:rsid w:val="009B5144"/>
    <w:rsid w:val="009B51AB"/>
    <w:rsid w:val="009B5488"/>
    <w:rsid w:val="009B54A0"/>
    <w:rsid w:val="009B5FEA"/>
    <w:rsid w:val="009B688F"/>
    <w:rsid w:val="009B6C3B"/>
    <w:rsid w:val="009C1056"/>
    <w:rsid w:val="009C1342"/>
    <w:rsid w:val="009C1431"/>
    <w:rsid w:val="009C157C"/>
    <w:rsid w:val="009C169A"/>
    <w:rsid w:val="009C18FF"/>
    <w:rsid w:val="009C1DEC"/>
    <w:rsid w:val="009C2274"/>
    <w:rsid w:val="009C259C"/>
    <w:rsid w:val="009C28DB"/>
    <w:rsid w:val="009C487B"/>
    <w:rsid w:val="009C4F00"/>
    <w:rsid w:val="009C5309"/>
    <w:rsid w:val="009C5E44"/>
    <w:rsid w:val="009C6A5C"/>
    <w:rsid w:val="009C71F6"/>
    <w:rsid w:val="009C7525"/>
    <w:rsid w:val="009C7A06"/>
    <w:rsid w:val="009C7E1B"/>
    <w:rsid w:val="009D055C"/>
    <w:rsid w:val="009D1500"/>
    <w:rsid w:val="009D1C3C"/>
    <w:rsid w:val="009D2BDD"/>
    <w:rsid w:val="009D3081"/>
    <w:rsid w:val="009D35F8"/>
    <w:rsid w:val="009D385A"/>
    <w:rsid w:val="009D3E83"/>
    <w:rsid w:val="009D7A69"/>
    <w:rsid w:val="009E030D"/>
    <w:rsid w:val="009E08E3"/>
    <w:rsid w:val="009E1692"/>
    <w:rsid w:val="009E23CE"/>
    <w:rsid w:val="009E2A57"/>
    <w:rsid w:val="009E2E2D"/>
    <w:rsid w:val="009E30C0"/>
    <w:rsid w:val="009E3C04"/>
    <w:rsid w:val="009E4204"/>
    <w:rsid w:val="009E4B65"/>
    <w:rsid w:val="009E4B9A"/>
    <w:rsid w:val="009E5442"/>
    <w:rsid w:val="009E57EF"/>
    <w:rsid w:val="009E7230"/>
    <w:rsid w:val="009E7CA6"/>
    <w:rsid w:val="009F120E"/>
    <w:rsid w:val="009F1E85"/>
    <w:rsid w:val="009F2296"/>
    <w:rsid w:val="009F2D19"/>
    <w:rsid w:val="009F2E2D"/>
    <w:rsid w:val="009F399B"/>
    <w:rsid w:val="009F4DB0"/>
    <w:rsid w:val="009F4E3E"/>
    <w:rsid w:val="009F5EF1"/>
    <w:rsid w:val="009F65C2"/>
    <w:rsid w:val="00A0037D"/>
    <w:rsid w:val="00A00427"/>
    <w:rsid w:val="00A0054A"/>
    <w:rsid w:val="00A017EB"/>
    <w:rsid w:val="00A01993"/>
    <w:rsid w:val="00A01E70"/>
    <w:rsid w:val="00A031D3"/>
    <w:rsid w:val="00A03DDB"/>
    <w:rsid w:val="00A04DB0"/>
    <w:rsid w:val="00A05DCC"/>
    <w:rsid w:val="00A05FAC"/>
    <w:rsid w:val="00A103F7"/>
    <w:rsid w:val="00A10BEE"/>
    <w:rsid w:val="00A1131A"/>
    <w:rsid w:val="00A1268D"/>
    <w:rsid w:val="00A14D70"/>
    <w:rsid w:val="00A14DA9"/>
    <w:rsid w:val="00A15524"/>
    <w:rsid w:val="00A15F58"/>
    <w:rsid w:val="00A169E1"/>
    <w:rsid w:val="00A17600"/>
    <w:rsid w:val="00A204C5"/>
    <w:rsid w:val="00A20F2E"/>
    <w:rsid w:val="00A221ED"/>
    <w:rsid w:val="00A22FB4"/>
    <w:rsid w:val="00A230A1"/>
    <w:rsid w:val="00A2363C"/>
    <w:rsid w:val="00A23B3D"/>
    <w:rsid w:val="00A23D23"/>
    <w:rsid w:val="00A2449D"/>
    <w:rsid w:val="00A24A7D"/>
    <w:rsid w:val="00A24BF1"/>
    <w:rsid w:val="00A25ADB"/>
    <w:rsid w:val="00A26796"/>
    <w:rsid w:val="00A26E52"/>
    <w:rsid w:val="00A26EE7"/>
    <w:rsid w:val="00A2787E"/>
    <w:rsid w:val="00A314AF"/>
    <w:rsid w:val="00A3240B"/>
    <w:rsid w:val="00A327BC"/>
    <w:rsid w:val="00A32A6B"/>
    <w:rsid w:val="00A32EAF"/>
    <w:rsid w:val="00A33AA0"/>
    <w:rsid w:val="00A33C5E"/>
    <w:rsid w:val="00A35300"/>
    <w:rsid w:val="00A35609"/>
    <w:rsid w:val="00A3756E"/>
    <w:rsid w:val="00A379F7"/>
    <w:rsid w:val="00A37DD9"/>
    <w:rsid w:val="00A4099F"/>
    <w:rsid w:val="00A40FD8"/>
    <w:rsid w:val="00A41639"/>
    <w:rsid w:val="00A4186A"/>
    <w:rsid w:val="00A419CA"/>
    <w:rsid w:val="00A42BCE"/>
    <w:rsid w:val="00A439C0"/>
    <w:rsid w:val="00A43BED"/>
    <w:rsid w:val="00A448E0"/>
    <w:rsid w:val="00A4515A"/>
    <w:rsid w:val="00A46033"/>
    <w:rsid w:val="00A500E5"/>
    <w:rsid w:val="00A505AB"/>
    <w:rsid w:val="00A508EC"/>
    <w:rsid w:val="00A5093E"/>
    <w:rsid w:val="00A52882"/>
    <w:rsid w:val="00A52E27"/>
    <w:rsid w:val="00A530BE"/>
    <w:rsid w:val="00A5363D"/>
    <w:rsid w:val="00A536A0"/>
    <w:rsid w:val="00A54833"/>
    <w:rsid w:val="00A54A57"/>
    <w:rsid w:val="00A54E90"/>
    <w:rsid w:val="00A55A1F"/>
    <w:rsid w:val="00A55C64"/>
    <w:rsid w:val="00A570A3"/>
    <w:rsid w:val="00A57B19"/>
    <w:rsid w:val="00A60BF4"/>
    <w:rsid w:val="00A61131"/>
    <w:rsid w:val="00A61B08"/>
    <w:rsid w:val="00A6242B"/>
    <w:rsid w:val="00A62791"/>
    <w:rsid w:val="00A62848"/>
    <w:rsid w:val="00A63423"/>
    <w:rsid w:val="00A6406A"/>
    <w:rsid w:val="00A651C6"/>
    <w:rsid w:val="00A6530A"/>
    <w:rsid w:val="00A65893"/>
    <w:rsid w:val="00A66468"/>
    <w:rsid w:val="00A66F3A"/>
    <w:rsid w:val="00A67C8A"/>
    <w:rsid w:val="00A67E3C"/>
    <w:rsid w:val="00A701E7"/>
    <w:rsid w:val="00A70CA5"/>
    <w:rsid w:val="00A71A95"/>
    <w:rsid w:val="00A721DF"/>
    <w:rsid w:val="00A725C7"/>
    <w:rsid w:val="00A738E6"/>
    <w:rsid w:val="00A7438D"/>
    <w:rsid w:val="00A751A0"/>
    <w:rsid w:val="00A7545B"/>
    <w:rsid w:val="00A75B50"/>
    <w:rsid w:val="00A75CBD"/>
    <w:rsid w:val="00A766CD"/>
    <w:rsid w:val="00A766F3"/>
    <w:rsid w:val="00A76C93"/>
    <w:rsid w:val="00A7739F"/>
    <w:rsid w:val="00A81766"/>
    <w:rsid w:val="00A81ED1"/>
    <w:rsid w:val="00A82645"/>
    <w:rsid w:val="00A82C63"/>
    <w:rsid w:val="00A8352D"/>
    <w:rsid w:val="00A83BE3"/>
    <w:rsid w:val="00A83C21"/>
    <w:rsid w:val="00A83C5E"/>
    <w:rsid w:val="00A840D5"/>
    <w:rsid w:val="00A8447E"/>
    <w:rsid w:val="00A851A5"/>
    <w:rsid w:val="00A86AE0"/>
    <w:rsid w:val="00A87075"/>
    <w:rsid w:val="00A87568"/>
    <w:rsid w:val="00A90B67"/>
    <w:rsid w:val="00A9154D"/>
    <w:rsid w:val="00A91635"/>
    <w:rsid w:val="00A91D69"/>
    <w:rsid w:val="00A91F52"/>
    <w:rsid w:val="00A91FF8"/>
    <w:rsid w:val="00A92805"/>
    <w:rsid w:val="00A93F50"/>
    <w:rsid w:val="00A94294"/>
    <w:rsid w:val="00A9539E"/>
    <w:rsid w:val="00A95F44"/>
    <w:rsid w:val="00A979EB"/>
    <w:rsid w:val="00AA0E91"/>
    <w:rsid w:val="00AA1259"/>
    <w:rsid w:val="00AA15D2"/>
    <w:rsid w:val="00AA2D63"/>
    <w:rsid w:val="00AA2DDE"/>
    <w:rsid w:val="00AA3A25"/>
    <w:rsid w:val="00AA3D3C"/>
    <w:rsid w:val="00AA3FF7"/>
    <w:rsid w:val="00AA40C0"/>
    <w:rsid w:val="00AA5656"/>
    <w:rsid w:val="00AA5B66"/>
    <w:rsid w:val="00AA7596"/>
    <w:rsid w:val="00AA75B4"/>
    <w:rsid w:val="00AB0D57"/>
    <w:rsid w:val="00AB1122"/>
    <w:rsid w:val="00AB26A0"/>
    <w:rsid w:val="00AB26DF"/>
    <w:rsid w:val="00AB36DF"/>
    <w:rsid w:val="00AB4A27"/>
    <w:rsid w:val="00AB4C73"/>
    <w:rsid w:val="00AB4D84"/>
    <w:rsid w:val="00AB721C"/>
    <w:rsid w:val="00AB728A"/>
    <w:rsid w:val="00AB7791"/>
    <w:rsid w:val="00AB7C8F"/>
    <w:rsid w:val="00AC008E"/>
    <w:rsid w:val="00AC0BAE"/>
    <w:rsid w:val="00AC1F78"/>
    <w:rsid w:val="00AC20FB"/>
    <w:rsid w:val="00AC2537"/>
    <w:rsid w:val="00AC2548"/>
    <w:rsid w:val="00AC2E8D"/>
    <w:rsid w:val="00AC305B"/>
    <w:rsid w:val="00AC3E11"/>
    <w:rsid w:val="00AC52FD"/>
    <w:rsid w:val="00AC5ACC"/>
    <w:rsid w:val="00AC79EB"/>
    <w:rsid w:val="00AD02E0"/>
    <w:rsid w:val="00AD05B4"/>
    <w:rsid w:val="00AD05E2"/>
    <w:rsid w:val="00AD09A5"/>
    <w:rsid w:val="00AD0BB7"/>
    <w:rsid w:val="00AD18AB"/>
    <w:rsid w:val="00AD1FB8"/>
    <w:rsid w:val="00AD27D7"/>
    <w:rsid w:val="00AD325E"/>
    <w:rsid w:val="00AD3972"/>
    <w:rsid w:val="00AD59C0"/>
    <w:rsid w:val="00AD6815"/>
    <w:rsid w:val="00AD69FA"/>
    <w:rsid w:val="00AD6D55"/>
    <w:rsid w:val="00AD7FDF"/>
    <w:rsid w:val="00AE017B"/>
    <w:rsid w:val="00AE09CC"/>
    <w:rsid w:val="00AE3AEF"/>
    <w:rsid w:val="00AE3BB3"/>
    <w:rsid w:val="00AE4F43"/>
    <w:rsid w:val="00AE6054"/>
    <w:rsid w:val="00AE654E"/>
    <w:rsid w:val="00AE6E85"/>
    <w:rsid w:val="00AE735B"/>
    <w:rsid w:val="00AF0B11"/>
    <w:rsid w:val="00AF0B47"/>
    <w:rsid w:val="00AF1F8A"/>
    <w:rsid w:val="00AF2922"/>
    <w:rsid w:val="00AF306B"/>
    <w:rsid w:val="00AF4A3A"/>
    <w:rsid w:val="00AF4D00"/>
    <w:rsid w:val="00AF54E8"/>
    <w:rsid w:val="00AF5E0B"/>
    <w:rsid w:val="00AF5E18"/>
    <w:rsid w:val="00AF6E46"/>
    <w:rsid w:val="00B00894"/>
    <w:rsid w:val="00B01624"/>
    <w:rsid w:val="00B02822"/>
    <w:rsid w:val="00B03061"/>
    <w:rsid w:val="00B039E0"/>
    <w:rsid w:val="00B03D64"/>
    <w:rsid w:val="00B05B67"/>
    <w:rsid w:val="00B05EEC"/>
    <w:rsid w:val="00B0679E"/>
    <w:rsid w:val="00B0785F"/>
    <w:rsid w:val="00B079B9"/>
    <w:rsid w:val="00B108E8"/>
    <w:rsid w:val="00B10B33"/>
    <w:rsid w:val="00B10F25"/>
    <w:rsid w:val="00B11224"/>
    <w:rsid w:val="00B11D0E"/>
    <w:rsid w:val="00B12977"/>
    <w:rsid w:val="00B12E2B"/>
    <w:rsid w:val="00B13E1B"/>
    <w:rsid w:val="00B16AD1"/>
    <w:rsid w:val="00B178C1"/>
    <w:rsid w:val="00B20767"/>
    <w:rsid w:val="00B20887"/>
    <w:rsid w:val="00B20A3C"/>
    <w:rsid w:val="00B217BF"/>
    <w:rsid w:val="00B2191F"/>
    <w:rsid w:val="00B220A8"/>
    <w:rsid w:val="00B2229F"/>
    <w:rsid w:val="00B22913"/>
    <w:rsid w:val="00B22B3B"/>
    <w:rsid w:val="00B23659"/>
    <w:rsid w:val="00B2404F"/>
    <w:rsid w:val="00B24FA9"/>
    <w:rsid w:val="00B25768"/>
    <w:rsid w:val="00B25B2F"/>
    <w:rsid w:val="00B26840"/>
    <w:rsid w:val="00B30A3B"/>
    <w:rsid w:val="00B31046"/>
    <w:rsid w:val="00B31FB2"/>
    <w:rsid w:val="00B335B1"/>
    <w:rsid w:val="00B338A1"/>
    <w:rsid w:val="00B34C95"/>
    <w:rsid w:val="00B35DA9"/>
    <w:rsid w:val="00B35EA8"/>
    <w:rsid w:val="00B35FBA"/>
    <w:rsid w:val="00B3610E"/>
    <w:rsid w:val="00B373F9"/>
    <w:rsid w:val="00B37413"/>
    <w:rsid w:val="00B403C3"/>
    <w:rsid w:val="00B40895"/>
    <w:rsid w:val="00B41647"/>
    <w:rsid w:val="00B42633"/>
    <w:rsid w:val="00B43920"/>
    <w:rsid w:val="00B43B0A"/>
    <w:rsid w:val="00B45971"/>
    <w:rsid w:val="00B459DE"/>
    <w:rsid w:val="00B4626D"/>
    <w:rsid w:val="00B4670B"/>
    <w:rsid w:val="00B468EC"/>
    <w:rsid w:val="00B47531"/>
    <w:rsid w:val="00B47F9E"/>
    <w:rsid w:val="00B52294"/>
    <w:rsid w:val="00B52875"/>
    <w:rsid w:val="00B52DA4"/>
    <w:rsid w:val="00B53560"/>
    <w:rsid w:val="00B53F42"/>
    <w:rsid w:val="00B53FC5"/>
    <w:rsid w:val="00B55442"/>
    <w:rsid w:val="00B609DD"/>
    <w:rsid w:val="00B60D48"/>
    <w:rsid w:val="00B62CB8"/>
    <w:rsid w:val="00B63A2B"/>
    <w:rsid w:val="00B64ADF"/>
    <w:rsid w:val="00B64AFC"/>
    <w:rsid w:val="00B65082"/>
    <w:rsid w:val="00B65B1C"/>
    <w:rsid w:val="00B66537"/>
    <w:rsid w:val="00B66816"/>
    <w:rsid w:val="00B66C55"/>
    <w:rsid w:val="00B67691"/>
    <w:rsid w:val="00B701AE"/>
    <w:rsid w:val="00B714DA"/>
    <w:rsid w:val="00B741BB"/>
    <w:rsid w:val="00B7508F"/>
    <w:rsid w:val="00B75A82"/>
    <w:rsid w:val="00B767C7"/>
    <w:rsid w:val="00B776E2"/>
    <w:rsid w:val="00B80353"/>
    <w:rsid w:val="00B80993"/>
    <w:rsid w:val="00B8099B"/>
    <w:rsid w:val="00B80A01"/>
    <w:rsid w:val="00B8151D"/>
    <w:rsid w:val="00B81AF1"/>
    <w:rsid w:val="00B81E11"/>
    <w:rsid w:val="00B81FBC"/>
    <w:rsid w:val="00B821F7"/>
    <w:rsid w:val="00B824E8"/>
    <w:rsid w:val="00B84D5D"/>
    <w:rsid w:val="00B84FE3"/>
    <w:rsid w:val="00B8597E"/>
    <w:rsid w:val="00B864EC"/>
    <w:rsid w:val="00B87A69"/>
    <w:rsid w:val="00B90F7C"/>
    <w:rsid w:val="00B914E5"/>
    <w:rsid w:val="00B9282C"/>
    <w:rsid w:val="00B92FC0"/>
    <w:rsid w:val="00B936A9"/>
    <w:rsid w:val="00B93BC2"/>
    <w:rsid w:val="00B94FA2"/>
    <w:rsid w:val="00B9512F"/>
    <w:rsid w:val="00B9534D"/>
    <w:rsid w:val="00B95A7D"/>
    <w:rsid w:val="00B96066"/>
    <w:rsid w:val="00B96B90"/>
    <w:rsid w:val="00B96D3A"/>
    <w:rsid w:val="00B97C59"/>
    <w:rsid w:val="00B97D22"/>
    <w:rsid w:val="00BA0F97"/>
    <w:rsid w:val="00BA148D"/>
    <w:rsid w:val="00BA14E6"/>
    <w:rsid w:val="00BA20F8"/>
    <w:rsid w:val="00BA2B4C"/>
    <w:rsid w:val="00BA3A67"/>
    <w:rsid w:val="00BA3D72"/>
    <w:rsid w:val="00BA4110"/>
    <w:rsid w:val="00BA4696"/>
    <w:rsid w:val="00BA482E"/>
    <w:rsid w:val="00BA4899"/>
    <w:rsid w:val="00BA4D2B"/>
    <w:rsid w:val="00BA501C"/>
    <w:rsid w:val="00BA5843"/>
    <w:rsid w:val="00BA620B"/>
    <w:rsid w:val="00BA62D6"/>
    <w:rsid w:val="00BA73AF"/>
    <w:rsid w:val="00BA7DBD"/>
    <w:rsid w:val="00BB1419"/>
    <w:rsid w:val="00BB1B3E"/>
    <w:rsid w:val="00BB2377"/>
    <w:rsid w:val="00BB259C"/>
    <w:rsid w:val="00BB39E7"/>
    <w:rsid w:val="00BB3A91"/>
    <w:rsid w:val="00BB507C"/>
    <w:rsid w:val="00BB52BF"/>
    <w:rsid w:val="00BB6299"/>
    <w:rsid w:val="00BB685D"/>
    <w:rsid w:val="00BB7070"/>
    <w:rsid w:val="00BB7512"/>
    <w:rsid w:val="00BC05A7"/>
    <w:rsid w:val="00BC061D"/>
    <w:rsid w:val="00BC08D5"/>
    <w:rsid w:val="00BC1D86"/>
    <w:rsid w:val="00BC29B9"/>
    <w:rsid w:val="00BC2D8D"/>
    <w:rsid w:val="00BC453C"/>
    <w:rsid w:val="00BC5758"/>
    <w:rsid w:val="00BC587E"/>
    <w:rsid w:val="00BC604F"/>
    <w:rsid w:val="00BC6078"/>
    <w:rsid w:val="00BC6098"/>
    <w:rsid w:val="00BC6959"/>
    <w:rsid w:val="00BC6980"/>
    <w:rsid w:val="00BC7285"/>
    <w:rsid w:val="00BC74F9"/>
    <w:rsid w:val="00BC7548"/>
    <w:rsid w:val="00BC77B8"/>
    <w:rsid w:val="00BD2296"/>
    <w:rsid w:val="00BD23D7"/>
    <w:rsid w:val="00BD2623"/>
    <w:rsid w:val="00BD2E10"/>
    <w:rsid w:val="00BD3617"/>
    <w:rsid w:val="00BD382F"/>
    <w:rsid w:val="00BD3933"/>
    <w:rsid w:val="00BD3B20"/>
    <w:rsid w:val="00BD3FA0"/>
    <w:rsid w:val="00BD6103"/>
    <w:rsid w:val="00BD6604"/>
    <w:rsid w:val="00BD6F80"/>
    <w:rsid w:val="00BD70B8"/>
    <w:rsid w:val="00BD7D8D"/>
    <w:rsid w:val="00BE089E"/>
    <w:rsid w:val="00BE0FBF"/>
    <w:rsid w:val="00BE1A53"/>
    <w:rsid w:val="00BE1D24"/>
    <w:rsid w:val="00BE390D"/>
    <w:rsid w:val="00BE3FC6"/>
    <w:rsid w:val="00BE402A"/>
    <w:rsid w:val="00BE4518"/>
    <w:rsid w:val="00BE4808"/>
    <w:rsid w:val="00BE4BBD"/>
    <w:rsid w:val="00BE5607"/>
    <w:rsid w:val="00BE60CF"/>
    <w:rsid w:val="00BE72C3"/>
    <w:rsid w:val="00BE7DB6"/>
    <w:rsid w:val="00BF0BDF"/>
    <w:rsid w:val="00BF2BD8"/>
    <w:rsid w:val="00BF3AC8"/>
    <w:rsid w:val="00BF41C0"/>
    <w:rsid w:val="00BF4BB6"/>
    <w:rsid w:val="00BF4E7E"/>
    <w:rsid w:val="00BF550F"/>
    <w:rsid w:val="00BF5D6E"/>
    <w:rsid w:val="00BF65BF"/>
    <w:rsid w:val="00BF78A1"/>
    <w:rsid w:val="00C01BA4"/>
    <w:rsid w:val="00C022EC"/>
    <w:rsid w:val="00C030C7"/>
    <w:rsid w:val="00C03286"/>
    <w:rsid w:val="00C03581"/>
    <w:rsid w:val="00C0452D"/>
    <w:rsid w:val="00C04A64"/>
    <w:rsid w:val="00C0633E"/>
    <w:rsid w:val="00C063C7"/>
    <w:rsid w:val="00C0695E"/>
    <w:rsid w:val="00C07943"/>
    <w:rsid w:val="00C07C61"/>
    <w:rsid w:val="00C10224"/>
    <w:rsid w:val="00C1135F"/>
    <w:rsid w:val="00C115FF"/>
    <w:rsid w:val="00C11F8E"/>
    <w:rsid w:val="00C12176"/>
    <w:rsid w:val="00C12277"/>
    <w:rsid w:val="00C13957"/>
    <w:rsid w:val="00C139B8"/>
    <w:rsid w:val="00C1421E"/>
    <w:rsid w:val="00C16AAC"/>
    <w:rsid w:val="00C17014"/>
    <w:rsid w:val="00C201AF"/>
    <w:rsid w:val="00C20277"/>
    <w:rsid w:val="00C2051F"/>
    <w:rsid w:val="00C2132F"/>
    <w:rsid w:val="00C21D0D"/>
    <w:rsid w:val="00C21FB8"/>
    <w:rsid w:val="00C223E4"/>
    <w:rsid w:val="00C22782"/>
    <w:rsid w:val="00C23028"/>
    <w:rsid w:val="00C2319B"/>
    <w:rsid w:val="00C2363A"/>
    <w:rsid w:val="00C23E1E"/>
    <w:rsid w:val="00C2448D"/>
    <w:rsid w:val="00C25789"/>
    <w:rsid w:val="00C259F3"/>
    <w:rsid w:val="00C25C03"/>
    <w:rsid w:val="00C25D32"/>
    <w:rsid w:val="00C268B2"/>
    <w:rsid w:val="00C27F0F"/>
    <w:rsid w:val="00C3031C"/>
    <w:rsid w:val="00C3217D"/>
    <w:rsid w:val="00C324F8"/>
    <w:rsid w:val="00C32E08"/>
    <w:rsid w:val="00C32E58"/>
    <w:rsid w:val="00C33DC5"/>
    <w:rsid w:val="00C346D3"/>
    <w:rsid w:val="00C34C5B"/>
    <w:rsid w:val="00C35A35"/>
    <w:rsid w:val="00C36336"/>
    <w:rsid w:val="00C367EB"/>
    <w:rsid w:val="00C36BAB"/>
    <w:rsid w:val="00C37303"/>
    <w:rsid w:val="00C3752C"/>
    <w:rsid w:val="00C37B4D"/>
    <w:rsid w:val="00C42244"/>
    <w:rsid w:val="00C43217"/>
    <w:rsid w:val="00C43B5D"/>
    <w:rsid w:val="00C43CEB"/>
    <w:rsid w:val="00C441FC"/>
    <w:rsid w:val="00C4780A"/>
    <w:rsid w:val="00C505D8"/>
    <w:rsid w:val="00C506A0"/>
    <w:rsid w:val="00C50C18"/>
    <w:rsid w:val="00C52637"/>
    <w:rsid w:val="00C52EDA"/>
    <w:rsid w:val="00C54462"/>
    <w:rsid w:val="00C55BF1"/>
    <w:rsid w:val="00C56582"/>
    <w:rsid w:val="00C567C0"/>
    <w:rsid w:val="00C570BC"/>
    <w:rsid w:val="00C603ED"/>
    <w:rsid w:val="00C61F37"/>
    <w:rsid w:val="00C6223B"/>
    <w:rsid w:val="00C62E94"/>
    <w:rsid w:val="00C63463"/>
    <w:rsid w:val="00C639EC"/>
    <w:rsid w:val="00C63CD0"/>
    <w:rsid w:val="00C65129"/>
    <w:rsid w:val="00C65400"/>
    <w:rsid w:val="00C66132"/>
    <w:rsid w:val="00C67385"/>
    <w:rsid w:val="00C6767E"/>
    <w:rsid w:val="00C676F1"/>
    <w:rsid w:val="00C67ED2"/>
    <w:rsid w:val="00C7039E"/>
    <w:rsid w:val="00C704E4"/>
    <w:rsid w:val="00C7271B"/>
    <w:rsid w:val="00C73322"/>
    <w:rsid w:val="00C73F06"/>
    <w:rsid w:val="00C74315"/>
    <w:rsid w:val="00C743D3"/>
    <w:rsid w:val="00C74CC7"/>
    <w:rsid w:val="00C757B5"/>
    <w:rsid w:val="00C76819"/>
    <w:rsid w:val="00C802C1"/>
    <w:rsid w:val="00C803DC"/>
    <w:rsid w:val="00C80961"/>
    <w:rsid w:val="00C80989"/>
    <w:rsid w:val="00C80C40"/>
    <w:rsid w:val="00C812F1"/>
    <w:rsid w:val="00C81988"/>
    <w:rsid w:val="00C82847"/>
    <w:rsid w:val="00C83389"/>
    <w:rsid w:val="00C83887"/>
    <w:rsid w:val="00C84029"/>
    <w:rsid w:val="00C848D8"/>
    <w:rsid w:val="00C84F8D"/>
    <w:rsid w:val="00C86029"/>
    <w:rsid w:val="00C86659"/>
    <w:rsid w:val="00C86A60"/>
    <w:rsid w:val="00C86DD7"/>
    <w:rsid w:val="00C87004"/>
    <w:rsid w:val="00C8792D"/>
    <w:rsid w:val="00C87BC8"/>
    <w:rsid w:val="00C9028A"/>
    <w:rsid w:val="00C90BC7"/>
    <w:rsid w:val="00C9157B"/>
    <w:rsid w:val="00C923C7"/>
    <w:rsid w:val="00C92EB9"/>
    <w:rsid w:val="00C9317A"/>
    <w:rsid w:val="00C9371D"/>
    <w:rsid w:val="00C950CB"/>
    <w:rsid w:val="00C964ED"/>
    <w:rsid w:val="00C969C2"/>
    <w:rsid w:val="00CA1AFA"/>
    <w:rsid w:val="00CA2AAE"/>
    <w:rsid w:val="00CA2B1B"/>
    <w:rsid w:val="00CA36C3"/>
    <w:rsid w:val="00CA3E26"/>
    <w:rsid w:val="00CA4A20"/>
    <w:rsid w:val="00CA51E5"/>
    <w:rsid w:val="00CA5790"/>
    <w:rsid w:val="00CA58DF"/>
    <w:rsid w:val="00CA634C"/>
    <w:rsid w:val="00CA6370"/>
    <w:rsid w:val="00CA66BC"/>
    <w:rsid w:val="00CA7288"/>
    <w:rsid w:val="00CA74E0"/>
    <w:rsid w:val="00CA7B30"/>
    <w:rsid w:val="00CB1FC0"/>
    <w:rsid w:val="00CB2D91"/>
    <w:rsid w:val="00CB30E1"/>
    <w:rsid w:val="00CB3334"/>
    <w:rsid w:val="00CB3775"/>
    <w:rsid w:val="00CB4AC8"/>
    <w:rsid w:val="00CB4C4E"/>
    <w:rsid w:val="00CB4E61"/>
    <w:rsid w:val="00CB62F3"/>
    <w:rsid w:val="00CB703D"/>
    <w:rsid w:val="00CB749E"/>
    <w:rsid w:val="00CB7639"/>
    <w:rsid w:val="00CB7A91"/>
    <w:rsid w:val="00CB7DE0"/>
    <w:rsid w:val="00CC1054"/>
    <w:rsid w:val="00CC110C"/>
    <w:rsid w:val="00CC260F"/>
    <w:rsid w:val="00CC272A"/>
    <w:rsid w:val="00CC2B74"/>
    <w:rsid w:val="00CC32E2"/>
    <w:rsid w:val="00CC3B31"/>
    <w:rsid w:val="00CC3D6F"/>
    <w:rsid w:val="00CC41CE"/>
    <w:rsid w:val="00CC4999"/>
    <w:rsid w:val="00CC54FC"/>
    <w:rsid w:val="00CC5D78"/>
    <w:rsid w:val="00CC5E86"/>
    <w:rsid w:val="00CC6711"/>
    <w:rsid w:val="00CC6D4D"/>
    <w:rsid w:val="00CC78F6"/>
    <w:rsid w:val="00CD0636"/>
    <w:rsid w:val="00CD076B"/>
    <w:rsid w:val="00CD113A"/>
    <w:rsid w:val="00CD11B7"/>
    <w:rsid w:val="00CD2762"/>
    <w:rsid w:val="00CD2DEF"/>
    <w:rsid w:val="00CD3168"/>
    <w:rsid w:val="00CD59A9"/>
    <w:rsid w:val="00CD60CD"/>
    <w:rsid w:val="00CD7523"/>
    <w:rsid w:val="00CD763F"/>
    <w:rsid w:val="00CD7BFD"/>
    <w:rsid w:val="00CE06C2"/>
    <w:rsid w:val="00CE0BDE"/>
    <w:rsid w:val="00CE40A2"/>
    <w:rsid w:val="00CE53AB"/>
    <w:rsid w:val="00CE71F4"/>
    <w:rsid w:val="00CE7BA1"/>
    <w:rsid w:val="00CF0BE8"/>
    <w:rsid w:val="00CF21EB"/>
    <w:rsid w:val="00CF24C0"/>
    <w:rsid w:val="00CF2B8B"/>
    <w:rsid w:val="00CF2D47"/>
    <w:rsid w:val="00CF6132"/>
    <w:rsid w:val="00CF67E8"/>
    <w:rsid w:val="00CF74AB"/>
    <w:rsid w:val="00CF76B4"/>
    <w:rsid w:val="00D0031E"/>
    <w:rsid w:val="00D00678"/>
    <w:rsid w:val="00D014AD"/>
    <w:rsid w:val="00D01D62"/>
    <w:rsid w:val="00D01F4B"/>
    <w:rsid w:val="00D027D3"/>
    <w:rsid w:val="00D02E8B"/>
    <w:rsid w:val="00D038B6"/>
    <w:rsid w:val="00D04374"/>
    <w:rsid w:val="00D045F4"/>
    <w:rsid w:val="00D047D9"/>
    <w:rsid w:val="00D062DB"/>
    <w:rsid w:val="00D06E98"/>
    <w:rsid w:val="00D06EEE"/>
    <w:rsid w:val="00D10EDD"/>
    <w:rsid w:val="00D1173E"/>
    <w:rsid w:val="00D11B23"/>
    <w:rsid w:val="00D11E34"/>
    <w:rsid w:val="00D125ED"/>
    <w:rsid w:val="00D138DF"/>
    <w:rsid w:val="00D138E0"/>
    <w:rsid w:val="00D14899"/>
    <w:rsid w:val="00D15A34"/>
    <w:rsid w:val="00D1672B"/>
    <w:rsid w:val="00D1734A"/>
    <w:rsid w:val="00D20D06"/>
    <w:rsid w:val="00D225CE"/>
    <w:rsid w:val="00D22B87"/>
    <w:rsid w:val="00D22CB2"/>
    <w:rsid w:val="00D26DE2"/>
    <w:rsid w:val="00D27092"/>
    <w:rsid w:val="00D27321"/>
    <w:rsid w:val="00D2766F"/>
    <w:rsid w:val="00D27A02"/>
    <w:rsid w:val="00D30A1A"/>
    <w:rsid w:val="00D31C09"/>
    <w:rsid w:val="00D31F64"/>
    <w:rsid w:val="00D32826"/>
    <w:rsid w:val="00D32CCF"/>
    <w:rsid w:val="00D33898"/>
    <w:rsid w:val="00D34CAC"/>
    <w:rsid w:val="00D3554C"/>
    <w:rsid w:val="00D37C60"/>
    <w:rsid w:val="00D40BA8"/>
    <w:rsid w:val="00D41081"/>
    <w:rsid w:val="00D418E2"/>
    <w:rsid w:val="00D41CA8"/>
    <w:rsid w:val="00D42DA6"/>
    <w:rsid w:val="00D4330C"/>
    <w:rsid w:val="00D45472"/>
    <w:rsid w:val="00D47517"/>
    <w:rsid w:val="00D50657"/>
    <w:rsid w:val="00D508B3"/>
    <w:rsid w:val="00D51CD2"/>
    <w:rsid w:val="00D528F8"/>
    <w:rsid w:val="00D543FA"/>
    <w:rsid w:val="00D5455A"/>
    <w:rsid w:val="00D54BAB"/>
    <w:rsid w:val="00D54CE0"/>
    <w:rsid w:val="00D57263"/>
    <w:rsid w:val="00D60BC6"/>
    <w:rsid w:val="00D60BE5"/>
    <w:rsid w:val="00D60D3E"/>
    <w:rsid w:val="00D61719"/>
    <w:rsid w:val="00D629FF"/>
    <w:rsid w:val="00D62DDA"/>
    <w:rsid w:val="00D63D22"/>
    <w:rsid w:val="00D652CD"/>
    <w:rsid w:val="00D659E1"/>
    <w:rsid w:val="00D6673D"/>
    <w:rsid w:val="00D677EF"/>
    <w:rsid w:val="00D67B98"/>
    <w:rsid w:val="00D67F32"/>
    <w:rsid w:val="00D71A7A"/>
    <w:rsid w:val="00D73DD6"/>
    <w:rsid w:val="00D7435B"/>
    <w:rsid w:val="00D75FB1"/>
    <w:rsid w:val="00D8114B"/>
    <w:rsid w:val="00D81511"/>
    <w:rsid w:val="00D81775"/>
    <w:rsid w:val="00D81FBF"/>
    <w:rsid w:val="00D824DA"/>
    <w:rsid w:val="00D827B0"/>
    <w:rsid w:val="00D82B7B"/>
    <w:rsid w:val="00D83265"/>
    <w:rsid w:val="00D836C5"/>
    <w:rsid w:val="00D83C98"/>
    <w:rsid w:val="00D8464F"/>
    <w:rsid w:val="00D854E2"/>
    <w:rsid w:val="00D8569D"/>
    <w:rsid w:val="00D859E8"/>
    <w:rsid w:val="00D85AE8"/>
    <w:rsid w:val="00D8630A"/>
    <w:rsid w:val="00D87A6F"/>
    <w:rsid w:val="00D90CE5"/>
    <w:rsid w:val="00D912C1"/>
    <w:rsid w:val="00D917B7"/>
    <w:rsid w:val="00D91951"/>
    <w:rsid w:val="00D9370C"/>
    <w:rsid w:val="00D93F21"/>
    <w:rsid w:val="00D9611C"/>
    <w:rsid w:val="00D97EA8"/>
    <w:rsid w:val="00DA16E6"/>
    <w:rsid w:val="00DA1858"/>
    <w:rsid w:val="00DA2318"/>
    <w:rsid w:val="00DA3598"/>
    <w:rsid w:val="00DA4ED1"/>
    <w:rsid w:val="00DA52E6"/>
    <w:rsid w:val="00DA5C7D"/>
    <w:rsid w:val="00DA5DC0"/>
    <w:rsid w:val="00DA6AC7"/>
    <w:rsid w:val="00DB0451"/>
    <w:rsid w:val="00DB2342"/>
    <w:rsid w:val="00DB317D"/>
    <w:rsid w:val="00DB31F1"/>
    <w:rsid w:val="00DB3339"/>
    <w:rsid w:val="00DB4DF8"/>
    <w:rsid w:val="00DB50DC"/>
    <w:rsid w:val="00DB57E8"/>
    <w:rsid w:val="00DB5887"/>
    <w:rsid w:val="00DB6C58"/>
    <w:rsid w:val="00DB7949"/>
    <w:rsid w:val="00DC09E7"/>
    <w:rsid w:val="00DC0B53"/>
    <w:rsid w:val="00DC19F7"/>
    <w:rsid w:val="00DC1BF4"/>
    <w:rsid w:val="00DC2970"/>
    <w:rsid w:val="00DC2B8B"/>
    <w:rsid w:val="00DC49AB"/>
    <w:rsid w:val="00DC5707"/>
    <w:rsid w:val="00DC6A8A"/>
    <w:rsid w:val="00DC7E53"/>
    <w:rsid w:val="00DD0CDA"/>
    <w:rsid w:val="00DD1040"/>
    <w:rsid w:val="00DD157C"/>
    <w:rsid w:val="00DD1BF6"/>
    <w:rsid w:val="00DD212E"/>
    <w:rsid w:val="00DD299E"/>
    <w:rsid w:val="00DD5158"/>
    <w:rsid w:val="00DD5F6F"/>
    <w:rsid w:val="00DD7144"/>
    <w:rsid w:val="00DD762D"/>
    <w:rsid w:val="00DE041A"/>
    <w:rsid w:val="00DE1123"/>
    <w:rsid w:val="00DE2AFC"/>
    <w:rsid w:val="00DE2CA8"/>
    <w:rsid w:val="00DE32F7"/>
    <w:rsid w:val="00DE388F"/>
    <w:rsid w:val="00DE3C53"/>
    <w:rsid w:val="00DE3E22"/>
    <w:rsid w:val="00DE52D5"/>
    <w:rsid w:val="00DE535D"/>
    <w:rsid w:val="00DE6359"/>
    <w:rsid w:val="00DE6A6F"/>
    <w:rsid w:val="00DE6F7A"/>
    <w:rsid w:val="00DF0A01"/>
    <w:rsid w:val="00DF0A1A"/>
    <w:rsid w:val="00DF10C4"/>
    <w:rsid w:val="00DF2084"/>
    <w:rsid w:val="00DF2A2B"/>
    <w:rsid w:val="00DF4442"/>
    <w:rsid w:val="00DF50B0"/>
    <w:rsid w:val="00DF52D1"/>
    <w:rsid w:val="00DF597F"/>
    <w:rsid w:val="00DF68B0"/>
    <w:rsid w:val="00DF77CB"/>
    <w:rsid w:val="00DF7C6B"/>
    <w:rsid w:val="00E0022F"/>
    <w:rsid w:val="00E00A85"/>
    <w:rsid w:val="00E01230"/>
    <w:rsid w:val="00E01511"/>
    <w:rsid w:val="00E0182F"/>
    <w:rsid w:val="00E018E3"/>
    <w:rsid w:val="00E01A1D"/>
    <w:rsid w:val="00E03305"/>
    <w:rsid w:val="00E03F5C"/>
    <w:rsid w:val="00E04222"/>
    <w:rsid w:val="00E0495B"/>
    <w:rsid w:val="00E06222"/>
    <w:rsid w:val="00E06931"/>
    <w:rsid w:val="00E06B8C"/>
    <w:rsid w:val="00E073AC"/>
    <w:rsid w:val="00E07FE3"/>
    <w:rsid w:val="00E10EBC"/>
    <w:rsid w:val="00E113CE"/>
    <w:rsid w:val="00E11DFB"/>
    <w:rsid w:val="00E12DD1"/>
    <w:rsid w:val="00E148D3"/>
    <w:rsid w:val="00E14F70"/>
    <w:rsid w:val="00E15699"/>
    <w:rsid w:val="00E1691F"/>
    <w:rsid w:val="00E17646"/>
    <w:rsid w:val="00E178C6"/>
    <w:rsid w:val="00E200F1"/>
    <w:rsid w:val="00E209B8"/>
    <w:rsid w:val="00E21019"/>
    <w:rsid w:val="00E224E1"/>
    <w:rsid w:val="00E230FA"/>
    <w:rsid w:val="00E265A4"/>
    <w:rsid w:val="00E26AD4"/>
    <w:rsid w:val="00E27788"/>
    <w:rsid w:val="00E30607"/>
    <w:rsid w:val="00E308DF"/>
    <w:rsid w:val="00E32310"/>
    <w:rsid w:val="00E32CB9"/>
    <w:rsid w:val="00E32E09"/>
    <w:rsid w:val="00E3309F"/>
    <w:rsid w:val="00E338F9"/>
    <w:rsid w:val="00E344C4"/>
    <w:rsid w:val="00E346D9"/>
    <w:rsid w:val="00E35110"/>
    <w:rsid w:val="00E37976"/>
    <w:rsid w:val="00E37F22"/>
    <w:rsid w:val="00E40F6F"/>
    <w:rsid w:val="00E4236B"/>
    <w:rsid w:val="00E42601"/>
    <w:rsid w:val="00E427DC"/>
    <w:rsid w:val="00E43198"/>
    <w:rsid w:val="00E43E1E"/>
    <w:rsid w:val="00E43F73"/>
    <w:rsid w:val="00E4442E"/>
    <w:rsid w:val="00E44859"/>
    <w:rsid w:val="00E45155"/>
    <w:rsid w:val="00E45C8F"/>
    <w:rsid w:val="00E46A63"/>
    <w:rsid w:val="00E46F69"/>
    <w:rsid w:val="00E4789B"/>
    <w:rsid w:val="00E47EC0"/>
    <w:rsid w:val="00E5102E"/>
    <w:rsid w:val="00E51322"/>
    <w:rsid w:val="00E51890"/>
    <w:rsid w:val="00E51916"/>
    <w:rsid w:val="00E51B60"/>
    <w:rsid w:val="00E52D13"/>
    <w:rsid w:val="00E53221"/>
    <w:rsid w:val="00E5326C"/>
    <w:rsid w:val="00E53644"/>
    <w:rsid w:val="00E54B41"/>
    <w:rsid w:val="00E55F49"/>
    <w:rsid w:val="00E568A9"/>
    <w:rsid w:val="00E60087"/>
    <w:rsid w:val="00E6024D"/>
    <w:rsid w:val="00E6086D"/>
    <w:rsid w:val="00E61E53"/>
    <w:rsid w:val="00E62207"/>
    <w:rsid w:val="00E62516"/>
    <w:rsid w:val="00E62961"/>
    <w:rsid w:val="00E62AD1"/>
    <w:rsid w:val="00E632EC"/>
    <w:rsid w:val="00E63370"/>
    <w:rsid w:val="00E636E3"/>
    <w:rsid w:val="00E642C2"/>
    <w:rsid w:val="00E64CED"/>
    <w:rsid w:val="00E65C0E"/>
    <w:rsid w:val="00E65FA4"/>
    <w:rsid w:val="00E6675F"/>
    <w:rsid w:val="00E66870"/>
    <w:rsid w:val="00E67A87"/>
    <w:rsid w:val="00E70DE2"/>
    <w:rsid w:val="00E71211"/>
    <w:rsid w:val="00E71C30"/>
    <w:rsid w:val="00E72F6B"/>
    <w:rsid w:val="00E740E2"/>
    <w:rsid w:val="00E7482E"/>
    <w:rsid w:val="00E74FF0"/>
    <w:rsid w:val="00E76B1A"/>
    <w:rsid w:val="00E76DFB"/>
    <w:rsid w:val="00E778F8"/>
    <w:rsid w:val="00E80692"/>
    <w:rsid w:val="00E81510"/>
    <w:rsid w:val="00E81961"/>
    <w:rsid w:val="00E81DBF"/>
    <w:rsid w:val="00E82821"/>
    <w:rsid w:val="00E8365A"/>
    <w:rsid w:val="00E84059"/>
    <w:rsid w:val="00E84481"/>
    <w:rsid w:val="00E84F03"/>
    <w:rsid w:val="00E85AF7"/>
    <w:rsid w:val="00E865F7"/>
    <w:rsid w:val="00E866AB"/>
    <w:rsid w:val="00E86B7F"/>
    <w:rsid w:val="00E87A73"/>
    <w:rsid w:val="00E90151"/>
    <w:rsid w:val="00E92138"/>
    <w:rsid w:val="00E93A70"/>
    <w:rsid w:val="00E93D46"/>
    <w:rsid w:val="00E946FB"/>
    <w:rsid w:val="00E94D8D"/>
    <w:rsid w:val="00E95B9B"/>
    <w:rsid w:val="00E96717"/>
    <w:rsid w:val="00E971B8"/>
    <w:rsid w:val="00E97AB8"/>
    <w:rsid w:val="00EA09AD"/>
    <w:rsid w:val="00EA1E60"/>
    <w:rsid w:val="00EA2034"/>
    <w:rsid w:val="00EA2038"/>
    <w:rsid w:val="00EA250A"/>
    <w:rsid w:val="00EA2801"/>
    <w:rsid w:val="00EA28D1"/>
    <w:rsid w:val="00EA4393"/>
    <w:rsid w:val="00EA449F"/>
    <w:rsid w:val="00EA4A1F"/>
    <w:rsid w:val="00EA4BAD"/>
    <w:rsid w:val="00EA4EEB"/>
    <w:rsid w:val="00EA54E7"/>
    <w:rsid w:val="00EA676E"/>
    <w:rsid w:val="00EA6BAF"/>
    <w:rsid w:val="00EA7FBC"/>
    <w:rsid w:val="00EB0CBC"/>
    <w:rsid w:val="00EB1529"/>
    <w:rsid w:val="00EB3BFF"/>
    <w:rsid w:val="00EB5B2C"/>
    <w:rsid w:val="00EB6166"/>
    <w:rsid w:val="00EB6FF7"/>
    <w:rsid w:val="00EB791B"/>
    <w:rsid w:val="00EB7C7D"/>
    <w:rsid w:val="00EC0528"/>
    <w:rsid w:val="00EC1EF6"/>
    <w:rsid w:val="00EC20E3"/>
    <w:rsid w:val="00EC382B"/>
    <w:rsid w:val="00EC4868"/>
    <w:rsid w:val="00EC6318"/>
    <w:rsid w:val="00EC7A08"/>
    <w:rsid w:val="00EC7BD9"/>
    <w:rsid w:val="00ED066E"/>
    <w:rsid w:val="00ED0C21"/>
    <w:rsid w:val="00ED0C9D"/>
    <w:rsid w:val="00ED1E0F"/>
    <w:rsid w:val="00ED23E7"/>
    <w:rsid w:val="00ED2668"/>
    <w:rsid w:val="00ED2D2A"/>
    <w:rsid w:val="00ED2D5B"/>
    <w:rsid w:val="00ED313B"/>
    <w:rsid w:val="00ED3715"/>
    <w:rsid w:val="00ED5DAA"/>
    <w:rsid w:val="00ED627E"/>
    <w:rsid w:val="00ED6A26"/>
    <w:rsid w:val="00ED706D"/>
    <w:rsid w:val="00ED70C5"/>
    <w:rsid w:val="00ED7F10"/>
    <w:rsid w:val="00EE1451"/>
    <w:rsid w:val="00EE1BCD"/>
    <w:rsid w:val="00EE1CA5"/>
    <w:rsid w:val="00EE3B19"/>
    <w:rsid w:val="00EE49B9"/>
    <w:rsid w:val="00EE4E01"/>
    <w:rsid w:val="00EE5CF0"/>
    <w:rsid w:val="00EF11FE"/>
    <w:rsid w:val="00EF1FB7"/>
    <w:rsid w:val="00EF4370"/>
    <w:rsid w:val="00EF459D"/>
    <w:rsid w:val="00EF4D8A"/>
    <w:rsid w:val="00EF7036"/>
    <w:rsid w:val="00EF735A"/>
    <w:rsid w:val="00EF76A1"/>
    <w:rsid w:val="00EF7BA7"/>
    <w:rsid w:val="00F00C31"/>
    <w:rsid w:val="00F00CD1"/>
    <w:rsid w:val="00F018DD"/>
    <w:rsid w:val="00F020D6"/>
    <w:rsid w:val="00F036C2"/>
    <w:rsid w:val="00F03EE7"/>
    <w:rsid w:val="00F0442E"/>
    <w:rsid w:val="00F0520D"/>
    <w:rsid w:val="00F05327"/>
    <w:rsid w:val="00F0572B"/>
    <w:rsid w:val="00F05D99"/>
    <w:rsid w:val="00F10B51"/>
    <w:rsid w:val="00F10C10"/>
    <w:rsid w:val="00F1167C"/>
    <w:rsid w:val="00F116E9"/>
    <w:rsid w:val="00F1184F"/>
    <w:rsid w:val="00F12CD7"/>
    <w:rsid w:val="00F133F1"/>
    <w:rsid w:val="00F14C7A"/>
    <w:rsid w:val="00F15139"/>
    <w:rsid w:val="00F151D8"/>
    <w:rsid w:val="00F1616A"/>
    <w:rsid w:val="00F17296"/>
    <w:rsid w:val="00F17EB6"/>
    <w:rsid w:val="00F203E4"/>
    <w:rsid w:val="00F20808"/>
    <w:rsid w:val="00F20812"/>
    <w:rsid w:val="00F20F87"/>
    <w:rsid w:val="00F21731"/>
    <w:rsid w:val="00F21D42"/>
    <w:rsid w:val="00F220AB"/>
    <w:rsid w:val="00F229D0"/>
    <w:rsid w:val="00F23FFE"/>
    <w:rsid w:val="00F24E5D"/>
    <w:rsid w:val="00F2535B"/>
    <w:rsid w:val="00F25B93"/>
    <w:rsid w:val="00F27826"/>
    <w:rsid w:val="00F279F7"/>
    <w:rsid w:val="00F27A97"/>
    <w:rsid w:val="00F3121D"/>
    <w:rsid w:val="00F317DF"/>
    <w:rsid w:val="00F31AEA"/>
    <w:rsid w:val="00F31EFF"/>
    <w:rsid w:val="00F31FEC"/>
    <w:rsid w:val="00F32B64"/>
    <w:rsid w:val="00F32E5B"/>
    <w:rsid w:val="00F33A23"/>
    <w:rsid w:val="00F3432E"/>
    <w:rsid w:val="00F36010"/>
    <w:rsid w:val="00F361F2"/>
    <w:rsid w:val="00F36B00"/>
    <w:rsid w:val="00F37921"/>
    <w:rsid w:val="00F37D4A"/>
    <w:rsid w:val="00F37E5B"/>
    <w:rsid w:val="00F40106"/>
    <w:rsid w:val="00F40476"/>
    <w:rsid w:val="00F41287"/>
    <w:rsid w:val="00F41D55"/>
    <w:rsid w:val="00F423E2"/>
    <w:rsid w:val="00F424C5"/>
    <w:rsid w:val="00F43180"/>
    <w:rsid w:val="00F438CA"/>
    <w:rsid w:val="00F43F74"/>
    <w:rsid w:val="00F4487A"/>
    <w:rsid w:val="00F45362"/>
    <w:rsid w:val="00F456F4"/>
    <w:rsid w:val="00F46280"/>
    <w:rsid w:val="00F473DA"/>
    <w:rsid w:val="00F500C2"/>
    <w:rsid w:val="00F5116E"/>
    <w:rsid w:val="00F52704"/>
    <w:rsid w:val="00F53015"/>
    <w:rsid w:val="00F53D6A"/>
    <w:rsid w:val="00F55EF4"/>
    <w:rsid w:val="00F562FA"/>
    <w:rsid w:val="00F5689D"/>
    <w:rsid w:val="00F56984"/>
    <w:rsid w:val="00F5773A"/>
    <w:rsid w:val="00F605F6"/>
    <w:rsid w:val="00F6150A"/>
    <w:rsid w:val="00F61ACF"/>
    <w:rsid w:val="00F61EA2"/>
    <w:rsid w:val="00F62696"/>
    <w:rsid w:val="00F62825"/>
    <w:rsid w:val="00F62CD1"/>
    <w:rsid w:val="00F63554"/>
    <w:rsid w:val="00F63665"/>
    <w:rsid w:val="00F63A0F"/>
    <w:rsid w:val="00F63F68"/>
    <w:rsid w:val="00F66258"/>
    <w:rsid w:val="00F67390"/>
    <w:rsid w:val="00F6742E"/>
    <w:rsid w:val="00F7033D"/>
    <w:rsid w:val="00F705D4"/>
    <w:rsid w:val="00F708C1"/>
    <w:rsid w:val="00F70F01"/>
    <w:rsid w:val="00F716E6"/>
    <w:rsid w:val="00F7172B"/>
    <w:rsid w:val="00F723EE"/>
    <w:rsid w:val="00F7273F"/>
    <w:rsid w:val="00F72F88"/>
    <w:rsid w:val="00F735DB"/>
    <w:rsid w:val="00F73F72"/>
    <w:rsid w:val="00F74093"/>
    <w:rsid w:val="00F746D8"/>
    <w:rsid w:val="00F74BC5"/>
    <w:rsid w:val="00F75404"/>
    <w:rsid w:val="00F75A1F"/>
    <w:rsid w:val="00F761A3"/>
    <w:rsid w:val="00F767F3"/>
    <w:rsid w:val="00F76C28"/>
    <w:rsid w:val="00F803A8"/>
    <w:rsid w:val="00F8095E"/>
    <w:rsid w:val="00F80CEA"/>
    <w:rsid w:val="00F80D91"/>
    <w:rsid w:val="00F80F37"/>
    <w:rsid w:val="00F81F4A"/>
    <w:rsid w:val="00F8210C"/>
    <w:rsid w:val="00F83A52"/>
    <w:rsid w:val="00F83D0B"/>
    <w:rsid w:val="00F840A8"/>
    <w:rsid w:val="00F8554C"/>
    <w:rsid w:val="00F86AA4"/>
    <w:rsid w:val="00F86C71"/>
    <w:rsid w:val="00F87821"/>
    <w:rsid w:val="00F915BA"/>
    <w:rsid w:val="00F91954"/>
    <w:rsid w:val="00F91B1A"/>
    <w:rsid w:val="00F9258A"/>
    <w:rsid w:val="00F93783"/>
    <w:rsid w:val="00F9467F"/>
    <w:rsid w:val="00F946D1"/>
    <w:rsid w:val="00F968D8"/>
    <w:rsid w:val="00F96D6D"/>
    <w:rsid w:val="00F9747F"/>
    <w:rsid w:val="00F976FF"/>
    <w:rsid w:val="00FA014D"/>
    <w:rsid w:val="00FA0817"/>
    <w:rsid w:val="00FA170B"/>
    <w:rsid w:val="00FA1B3E"/>
    <w:rsid w:val="00FA40B0"/>
    <w:rsid w:val="00FA411D"/>
    <w:rsid w:val="00FA46B6"/>
    <w:rsid w:val="00FA4B3C"/>
    <w:rsid w:val="00FA553A"/>
    <w:rsid w:val="00FA5803"/>
    <w:rsid w:val="00FA6247"/>
    <w:rsid w:val="00FA67C6"/>
    <w:rsid w:val="00FA69F6"/>
    <w:rsid w:val="00FA75EF"/>
    <w:rsid w:val="00FA794B"/>
    <w:rsid w:val="00FA79C2"/>
    <w:rsid w:val="00FB20F9"/>
    <w:rsid w:val="00FB2A93"/>
    <w:rsid w:val="00FB409E"/>
    <w:rsid w:val="00FB5859"/>
    <w:rsid w:val="00FB5FB7"/>
    <w:rsid w:val="00FB6E68"/>
    <w:rsid w:val="00FB7B96"/>
    <w:rsid w:val="00FC0E50"/>
    <w:rsid w:val="00FC11FC"/>
    <w:rsid w:val="00FC1A71"/>
    <w:rsid w:val="00FC1D0A"/>
    <w:rsid w:val="00FC2258"/>
    <w:rsid w:val="00FC2E5F"/>
    <w:rsid w:val="00FC38C7"/>
    <w:rsid w:val="00FC3E53"/>
    <w:rsid w:val="00FC407E"/>
    <w:rsid w:val="00FC48AD"/>
    <w:rsid w:val="00FC5364"/>
    <w:rsid w:val="00FC611B"/>
    <w:rsid w:val="00FC643C"/>
    <w:rsid w:val="00FC7126"/>
    <w:rsid w:val="00FC7A7A"/>
    <w:rsid w:val="00FD0972"/>
    <w:rsid w:val="00FD268F"/>
    <w:rsid w:val="00FD30E4"/>
    <w:rsid w:val="00FD31FA"/>
    <w:rsid w:val="00FD3927"/>
    <w:rsid w:val="00FD596D"/>
    <w:rsid w:val="00FD5A91"/>
    <w:rsid w:val="00FD5BAF"/>
    <w:rsid w:val="00FD6084"/>
    <w:rsid w:val="00FD6938"/>
    <w:rsid w:val="00FD69FF"/>
    <w:rsid w:val="00FD6C66"/>
    <w:rsid w:val="00FD72C3"/>
    <w:rsid w:val="00FD7783"/>
    <w:rsid w:val="00FD7801"/>
    <w:rsid w:val="00FD7E20"/>
    <w:rsid w:val="00FE03A6"/>
    <w:rsid w:val="00FE06CA"/>
    <w:rsid w:val="00FE13DB"/>
    <w:rsid w:val="00FE15FF"/>
    <w:rsid w:val="00FE1E1C"/>
    <w:rsid w:val="00FE25B0"/>
    <w:rsid w:val="00FE2837"/>
    <w:rsid w:val="00FE291C"/>
    <w:rsid w:val="00FE2E58"/>
    <w:rsid w:val="00FE327C"/>
    <w:rsid w:val="00FE4411"/>
    <w:rsid w:val="00FE5719"/>
    <w:rsid w:val="00FE6B02"/>
    <w:rsid w:val="00FF09A8"/>
    <w:rsid w:val="00FF2376"/>
    <w:rsid w:val="00FF2596"/>
    <w:rsid w:val="00FF2C82"/>
    <w:rsid w:val="00FF3C01"/>
    <w:rsid w:val="00FF41B4"/>
    <w:rsid w:val="00FF4ABF"/>
    <w:rsid w:val="00FF58CF"/>
    <w:rsid w:val="00FF785F"/>
    <w:rsid w:val="00FF796D"/>
    <w:rsid w:val="00FF79BE"/>
    <w:rsid w:val="02AD44B8"/>
    <w:rsid w:val="06A31DE0"/>
    <w:rsid w:val="073C3670"/>
    <w:rsid w:val="085175D0"/>
    <w:rsid w:val="09F1317B"/>
    <w:rsid w:val="0D6E6F57"/>
    <w:rsid w:val="0F0E231B"/>
    <w:rsid w:val="0F250451"/>
    <w:rsid w:val="0F7A5B71"/>
    <w:rsid w:val="10213EDA"/>
    <w:rsid w:val="12370402"/>
    <w:rsid w:val="13A16577"/>
    <w:rsid w:val="13B90EEF"/>
    <w:rsid w:val="14A01096"/>
    <w:rsid w:val="17EF00B1"/>
    <w:rsid w:val="18303FE8"/>
    <w:rsid w:val="18F22AD6"/>
    <w:rsid w:val="1CD63A19"/>
    <w:rsid w:val="1D9056FF"/>
    <w:rsid w:val="1D9D09F1"/>
    <w:rsid w:val="1F6B59DE"/>
    <w:rsid w:val="1F8D4FC5"/>
    <w:rsid w:val="21A56FEB"/>
    <w:rsid w:val="21F5541B"/>
    <w:rsid w:val="2412630C"/>
    <w:rsid w:val="29082317"/>
    <w:rsid w:val="2C771A73"/>
    <w:rsid w:val="2FC524A2"/>
    <w:rsid w:val="31AC634E"/>
    <w:rsid w:val="32961A10"/>
    <w:rsid w:val="330F13B6"/>
    <w:rsid w:val="37032C7B"/>
    <w:rsid w:val="38370239"/>
    <w:rsid w:val="3EFE7DF0"/>
    <w:rsid w:val="3FF06CA3"/>
    <w:rsid w:val="42C20C05"/>
    <w:rsid w:val="42EE10EF"/>
    <w:rsid w:val="434E2A1F"/>
    <w:rsid w:val="44785634"/>
    <w:rsid w:val="46534EAC"/>
    <w:rsid w:val="48AD161A"/>
    <w:rsid w:val="4A4B2A0C"/>
    <w:rsid w:val="4BAE702D"/>
    <w:rsid w:val="4CA1527E"/>
    <w:rsid w:val="4E40246E"/>
    <w:rsid w:val="4E850F97"/>
    <w:rsid w:val="4FD977D0"/>
    <w:rsid w:val="506B0AA0"/>
    <w:rsid w:val="541B33FF"/>
    <w:rsid w:val="55E3243A"/>
    <w:rsid w:val="570F0360"/>
    <w:rsid w:val="57E23894"/>
    <w:rsid w:val="58972D2F"/>
    <w:rsid w:val="59334B15"/>
    <w:rsid w:val="5AA72EF8"/>
    <w:rsid w:val="5B00733C"/>
    <w:rsid w:val="5C004CE4"/>
    <w:rsid w:val="5DBB2E6F"/>
    <w:rsid w:val="5EF62799"/>
    <w:rsid w:val="5FDD1FED"/>
    <w:rsid w:val="5FE043C8"/>
    <w:rsid w:val="614B54D5"/>
    <w:rsid w:val="61A56B9C"/>
    <w:rsid w:val="653100C1"/>
    <w:rsid w:val="658F7E3F"/>
    <w:rsid w:val="65BD094B"/>
    <w:rsid w:val="6B370C8F"/>
    <w:rsid w:val="6C0D43DE"/>
    <w:rsid w:val="6DF701AD"/>
    <w:rsid w:val="6E2B753E"/>
    <w:rsid w:val="6F7C34FD"/>
    <w:rsid w:val="703B3844"/>
    <w:rsid w:val="71025BCA"/>
    <w:rsid w:val="728F2E3A"/>
    <w:rsid w:val="74D260F8"/>
    <w:rsid w:val="75D4106A"/>
    <w:rsid w:val="76B57A2F"/>
    <w:rsid w:val="786E4A6B"/>
    <w:rsid w:val="7B4A05BC"/>
    <w:rsid w:val="7D061ECF"/>
    <w:rsid w:val="7E701A2C"/>
    <w:rsid w:val="7FDA2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type="frame" on="t" color2="#FFFFFF" focussize="0,0" recolor="t"/>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keepNext/>
      <w:keepLines/>
      <w:spacing w:line="500" w:lineRule="exact"/>
      <w:jc w:val="center"/>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仿宋_GB2312"/>
      <w:b/>
      <w:bCs/>
      <w:sz w:val="32"/>
      <w:szCs w:val="32"/>
    </w:rPr>
  </w:style>
  <w:style w:type="paragraph" w:styleId="4">
    <w:name w:val="heading 3"/>
    <w:basedOn w:val="1"/>
    <w:next w:val="1"/>
    <w:qFormat/>
    <w:uiPriority w:val="0"/>
    <w:pPr>
      <w:tabs>
        <w:tab w:val="left" w:pos="720"/>
      </w:tabs>
      <w:autoSpaceDE w:val="0"/>
      <w:autoSpaceDN w:val="0"/>
      <w:adjustRightInd w:val="0"/>
      <w:spacing w:before="120"/>
      <w:textAlignment w:val="baseline"/>
      <w:outlineLvl w:val="2"/>
    </w:pPr>
    <w:rPr>
      <w:rFonts w:ascii="宋体" w:hAnsi="Tms Rmn"/>
      <w:b/>
      <w:kern w:val="0"/>
      <w:sz w:val="24"/>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40"/>
    <w:uiPriority w:val="0"/>
    <w:rPr>
      <w:rFonts w:ascii="宋体"/>
      <w:sz w:val="18"/>
      <w:szCs w:val="18"/>
    </w:rPr>
  </w:style>
  <w:style w:type="paragraph" w:styleId="6">
    <w:name w:val="annotation text"/>
    <w:basedOn w:val="1"/>
    <w:semiHidden/>
    <w:uiPriority w:val="0"/>
    <w:pPr>
      <w:jc w:val="left"/>
    </w:pPr>
  </w:style>
  <w:style w:type="paragraph" w:styleId="7">
    <w:name w:val="Body Text"/>
    <w:basedOn w:val="1"/>
    <w:uiPriority w:val="0"/>
    <w:pPr>
      <w:spacing w:after="120"/>
    </w:pPr>
  </w:style>
  <w:style w:type="paragraph" w:styleId="8">
    <w:name w:val="Body Text Indent"/>
    <w:basedOn w:val="1"/>
    <w:uiPriority w:val="0"/>
    <w:pPr>
      <w:spacing w:after="120"/>
      <w:ind w:left="420" w:leftChars="200"/>
    </w:pPr>
  </w:style>
  <w:style w:type="paragraph" w:styleId="9">
    <w:name w:val="toc 3"/>
    <w:basedOn w:val="1"/>
    <w:next w:val="1"/>
    <w:qFormat/>
    <w:uiPriority w:val="39"/>
    <w:pPr>
      <w:ind w:left="840" w:leftChars="400"/>
    </w:pPr>
    <w:rPr>
      <w:sz w:val="24"/>
    </w:rPr>
  </w:style>
  <w:style w:type="paragraph" w:styleId="10">
    <w:name w:val="Plain Text"/>
    <w:basedOn w:val="1"/>
    <w:link w:val="59"/>
    <w:uiPriority w:val="99"/>
    <w:rPr>
      <w:rFonts w:ascii="宋体" w:hAnsi="Courier New"/>
      <w:szCs w:val="20"/>
    </w:rPr>
  </w:style>
  <w:style w:type="paragraph" w:styleId="11">
    <w:name w:val="Date"/>
    <w:basedOn w:val="1"/>
    <w:next w:val="1"/>
    <w:uiPriority w:val="0"/>
    <w:pPr>
      <w:ind w:left="100" w:leftChars="2500"/>
    </w:pPr>
    <w:rPr>
      <w:rFonts w:ascii="楷体" w:hAnsi="楷体" w:eastAsia="楷体"/>
      <w:sz w:val="28"/>
      <w:szCs w:val="28"/>
    </w:rPr>
  </w:style>
  <w:style w:type="paragraph" w:styleId="12">
    <w:name w:val="Body Text Indent 2"/>
    <w:basedOn w:val="1"/>
    <w:uiPriority w:val="0"/>
    <w:pPr>
      <w:spacing w:line="600" w:lineRule="exact"/>
      <w:ind w:firstLine="560" w:firstLineChars="200"/>
    </w:pPr>
    <w:rPr>
      <w:rFonts w:ascii="仿宋_GB2312" w:eastAsia="仿宋_GB2312"/>
      <w:sz w:val="28"/>
      <w:szCs w:val="28"/>
    </w:rPr>
  </w:style>
  <w:style w:type="paragraph" w:styleId="13">
    <w:name w:val="Balloon Text"/>
    <w:basedOn w:val="1"/>
    <w:semiHidden/>
    <w:uiPriority w:val="0"/>
    <w:rPr>
      <w:sz w:val="18"/>
      <w:szCs w:val="18"/>
    </w:rPr>
  </w:style>
  <w:style w:type="paragraph" w:styleId="14">
    <w:name w:val="footer"/>
    <w:basedOn w:val="1"/>
    <w:link w:val="36"/>
    <w:uiPriority w:val="99"/>
    <w:pPr>
      <w:tabs>
        <w:tab w:val="center" w:pos="4153"/>
        <w:tab w:val="right" w:pos="8306"/>
      </w:tabs>
      <w:snapToGrid w:val="0"/>
      <w:jc w:val="left"/>
    </w:pPr>
    <w:rPr>
      <w:sz w:val="18"/>
      <w:szCs w:val="18"/>
    </w:rPr>
  </w:style>
  <w:style w:type="paragraph" w:styleId="15">
    <w:name w:val="header"/>
    <w:basedOn w:val="1"/>
    <w:link w:val="43"/>
    <w:unhideWhenUsed/>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720"/>
      </w:tabs>
      <w:spacing w:line="500" w:lineRule="exact"/>
    </w:pPr>
    <w:rPr>
      <w:rFonts w:ascii="宋体" w:hAnsi="宋体"/>
      <w:sz w:val="24"/>
    </w:rPr>
  </w:style>
  <w:style w:type="paragraph" w:styleId="17">
    <w:name w:val="toc 2"/>
    <w:basedOn w:val="1"/>
    <w:next w:val="1"/>
    <w:qFormat/>
    <w:uiPriority w:val="39"/>
    <w:pPr>
      <w:tabs>
        <w:tab w:val="left" w:pos="840"/>
        <w:tab w:val="right" w:leader="dot" w:pos="9627"/>
      </w:tabs>
      <w:jc w:val="center"/>
    </w:pPr>
    <w:rPr>
      <w:sz w:val="24"/>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9">
    <w:name w:val="Title"/>
    <w:basedOn w:val="1"/>
    <w:next w:val="1"/>
    <w:link w:val="81"/>
    <w:qFormat/>
    <w:uiPriority w:val="0"/>
    <w:pPr>
      <w:spacing w:before="240" w:after="60"/>
      <w:jc w:val="center"/>
      <w:outlineLvl w:val="0"/>
    </w:pPr>
    <w:rPr>
      <w:rFonts w:asciiTheme="majorHAnsi" w:hAnsiTheme="majorHAnsi" w:eastAsiaTheme="majorEastAsia" w:cstheme="majorBidi"/>
      <w:b/>
      <w:bCs/>
      <w:sz w:val="32"/>
      <w:szCs w:val="32"/>
    </w:rPr>
  </w:style>
  <w:style w:type="paragraph" w:styleId="20">
    <w:name w:val="annotation subject"/>
    <w:basedOn w:val="6"/>
    <w:next w:val="6"/>
    <w:semiHidden/>
    <w:uiPriority w:val="0"/>
    <w:rPr>
      <w:b/>
      <w:bCs/>
    </w:rPr>
  </w:style>
  <w:style w:type="table" w:styleId="22">
    <w:name w:val="Table Grid"/>
    <w:basedOn w:val="21"/>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uiPriority w:val="0"/>
  </w:style>
  <w:style w:type="character" w:styleId="26">
    <w:name w:val="FollowedHyperlink"/>
    <w:qFormat/>
    <w:uiPriority w:val="99"/>
    <w:rPr>
      <w:color w:val="005C81"/>
      <w:u w:val="none"/>
    </w:rPr>
  </w:style>
  <w:style w:type="character" w:styleId="27">
    <w:name w:val="Emphasis"/>
    <w:qFormat/>
    <w:uiPriority w:val="0"/>
  </w:style>
  <w:style w:type="character" w:styleId="28">
    <w:name w:val="Hyperlink"/>
    <w:uiPriority w:val="99"/>
    <w:rPr>
      <w:color w:val="005C81"/>
      <w:u w:val="none"/>
    </w:rPr>
  </w:style>
  <w:style w:type="character" w:styleId="29">
    <w:name w:val="annotation reference"/>
    <w:semiHidden/>
    <w:uiPriority w:val="0"/>
    <w:rPr>
      <w:sz w:val="21"/>
      <w:szCs w:val="21"/>
    </w:rPr>
  </w:style>
  <w:style w:type="character" w:customStyle="1" w:styleId="30">
    <w:name w:val="font31"/>
    <w:uiPriority w:val="0"/>
    <w:rPr>
      <w:rFonts w:hint="eastAsia" w:ascii="宋体" w:hAnsi="宋体" w:eastAsia="宋体" w:cs="宋体"/>
      <w:color w:val="000000"/>
      <w:sz w:val="18"/>
      <w:szCs w:val="18"/>
      <w:u w:val="none"/>
    </w:rPr>
  </w:style>
  <w:style w:type="character" w:customStyle="1" w:styleId="31">
    <w:name w:val="标题 1 字符"/>
    <w:link w:val="2"/>
    <w:uiPriority w:val="0"/>
    <w:rPr>
      <w:rFonts w:eastAsia="宋体"/>
      <w:b/>
      <w:bCs/>
      <w:kern w:val="44"/>
      <w:sz w:val="44"/>
      <w:szCs w:val="44"/>
      <w:lang w:val="en-US" w:eastAsia="zh-CN" w:bidi="ar-SA"/>
    </w:rPr>
  </w:style>
  <w:style w:type="character" w:customStyle="1" w:styleId="32">
    <w:name w:val="font11"/>
    <w:uiPriority w:val="0"/>
    <w:rPr>
      <w:rFonts w:hint="eastAsia" w:ascii="宋体" w:hAnsi="宋体" w:eastAsia="宋体"/>
      <w:color w:val="000000"/>
      <w:sz w:val="24"/>
      <w:szCs w:val="24"/>
      <w:u w:val="none"/>
      <w:vertAlign w:val="superscript"/>
    </w:rPr>
  </w:style>
  <w:style w:type="character" w:customStyle="1" w:styleId="33">
    <w:name w:val="font41"/>
    <w:uiPriority w:val="0"/>
    <w:rPr>
      <w:rFonts w:hint="default" w:ascii="Times New Roman" w:hAnsi="Times New Roman" w:cs="Times New Roman"/>
      <w:color w:val="000000"/>
      <w:sz w:val="20"/>
      <w:szCs w:val="20"/>
      <w:u w:val="none"/>
    </w:rPr>
  </w:style>
  <w:style w:type="character" w:customStyle="1" w:styleId="34">
    <w:name w:val="估价报告模板_深发展银行处置抵押物相关提示 Char"/>
    <w:link w:val="35"/>
    <w:uiPriority w:val="0"/>
    <w:rPr>
      <w:rFonts w:ascii="仿宋_GB2312" w:eastAsia="仿宋_GB2312" w:cs="宋体"/>
      <w:kern w:val="2"/>
      <w:sz w:val="28"/>
      <w:lang w:val="en-US" w:eastAsia="zh-CN" w:bidi="ar-SA"/>
    </w:rPr>
  </w:style>
  <w:style w:type="paragraph" w:customStyle="1" w:styleId="35">
    <w:name w:val="估价报告模板_深发展银行处置抵押物相关提示"/>
    <w:basedOn w:val="1"/>
    <w:link w:val="34"/>
    <w:uiPriority w:val="0"/>
    <w:pPr>
      <w:spacing w:line="440" w:lineRule="exact"/>
      <w:ind w:firstLine="560" w:firstLineChars="200"/>
      <w:jc w:val="left"/>
    </w:pPr>
    <w:rPr>
      <w:rFonts w:ascii="仿宋_GB2312" w:eastAsia="仿宋_GB2312" w:cs="宋体"/>
      <w:sz w:val="28"/>
      <w:szCs w:val="20"/>
    </w:rPr>
  </w:style>
  <w:style w:type="character" w:customStyle="1" w:styleId="36">
    <w:name w:val="页脚 字符"/>
    <w:link w:val="14"/>
    <w:uiPriority w:val="99"/>
    <w:rPr>
      <w:kern w:val="2"/>
      <w:sz w:val="18"/>
      <w:szCs w:val="18"/>
    </w:rPr>
  </w:style>
  <w:style w:type="character" w:customStyle="1" w:styleId="37">
    <w:name w:val="font01"/>
    <w:uiPriority w:val="0"/>
    <w:rPr>
      <w:rFonts w:hint="eastAsia" w:ascii="宋体" w:hAnsi="宋体" w:eastAsia="宋体"/>
      <w:color w:val="000000"/>
      <w:sz w:val="24"/>
      <w:szCs w:val="24"/>
      <w:u w:val="none"/>
    </w:rPr>
  </w:style>
  <w:style w:type="character" w:customStyle="1" w:styleId="38">
    <w:name w:val="表格1 Char"/>
    <w:link w:val="39"/>
    <w:uiPriority w:val="0"/>
    <w:rPr>
      <w:rFonts w:hAnsi="宋体" w:eastAsia="仿宋_GB2312" w:cs="宋体"/>
      <w:color w:val="000000"/>
      <w:sz w:val="24"/>
      <w:szCs w:val="22"/>
    </w:rPr>
  </w:style>
  <w:style w:type="paragraph" w:customStyle="1" w:styleId="39">
    <w:name w:val="表格1"/>
    <w:basedOn w:val="1"/>
    <w:link w:val="38"/>
    <w:qFormat/>
    <w:uiPriority w:val="0"/>
    <w:pPr>
      <w:widowControl/>
      <w:adjustRightInd w:val="0"/>
      <w:snapToGrid w:val="0"/>
      <w:jc w:val="center"/>
    </w:pPr>
    <w:rPr>
      <w:rFonts w:hAnsi="宋体" w:eastAsia="仿宋_GB2312"/>
      <w:color w:val="000000"/>
      <w:kern w:val="0"/>
      <w:sz w:val="24"/>
      <w:szCs w:val="22"/>
    </w:rPr>
  </w:style>
  <w:style w:type="character" w:customStyle="1" w:styleId="40">
    <w:name w:val="文档结构图 字符"/>
    <w:link w:val="5"/>
    <w:uiPriority w:val="0"/>
    <w:rPr>
      <w:rFonts w:ascii="宋体"/>
      <w:kern w:val="2"/>
      <w:sz w:val="18"/>
      <w:szCs w:val="18"/>
    </w:rPr>
  </w:style>
  <w:style w:type="character" w:customStyle="1" w:styleId="41">
    <w:name w:val="Char Char2"/>
    <w:uiPriority w:val="0"/>
    <w:rPr>
      <w:b/>
      <w:bCs/>
      <w:kern w:val="44"/>
      <w:sz w:val="44"/>
      <w:szCs w:val="44"/>
    </w:rPr>
  </w:style>
  <w:style w:type="character" w:customStyle="1" w:styleId="42">
    <w:name w:val="font51"/>
    <w:uiPriority w:val="0"/>
    <w:rPr>
      <w:rFonts w:hint="eastAsia" w:ascii="宋体" w:hAnsi="宋体" w:eastAsia="宋体" w:cs="宋体"/>
      <w:color w:val="000000"/>
      <w:sz w:val="20"/>
      <w:szCs w:val="20"/>
      <w:u w:val="none"/>
    </w:rPr>
  </w:style>
  <w:style w:type="character" w:customStyle="1" w:styleId="43">
    <w:name w:val="页眉 字符"/>
    <w:link w:val="15"/>
    <w:qFormat/>
    <w:uiPriority w:val="0"/>
    <w:rPr>
      <w:kern w:val="2"/>
      <w:sz w:val="18"/>
      <w:szCs w:val="18"/>
    </w:rPr>
  </w:style>
  <w:style w:type="character" w:customStyle="1" w:styleId="44">
    <w:name w:val="font21"/>
    <w:uiPriority w:val="0"/>
    <w:rPr>
      <w:rFonts w:hint="default" w:ascii="Times New Roman" w:hAnsi="Times New Roman" w:cs="Times New Roman"/>
      <w:color w:val="000000"/>
      <w:sz w:val="18"/>
      <w:szCs w:val="18"/>
      <w:u w:val="none"/>
    </w:rPr>
  </w:style>
  <w:style w:type="character" w:customStyle="1" w:styleId="45">
    <w:name w:val="样式1 Char"/>
    <w:qFormat/>
    <w:uiPriority w:val="0"/>
    <w:rPr>
      <w:rFonts w:eastAsia="宋体"/>
      <w:b/>
      <w:bCs/>
      <w:kern w:val="44"/>
      <w:sz w:val="36"/>
      <w:szCs w:val="36"/>
      <w:lang w:val="en-US" w:eastAsia="zh-CN" w:bidi="ar-SA"/>
    </w:rPr>
  </w:style>
  <w:style w:type="character" w:customStyle="1" w:styleId="46">
    <w:name w:val="font101"/>
    <w:uiPriority w:val="0"/>
    <w:rPr>
      <w:rFonts w:hint="default" w:ascii="Times New Roman" w:hAnsi="Times New Roman" w:cs="Times New Roman"/>
      <w:color w:val="000000"/>
      <w:sz w:val="22"/>
      <w:szCs w:val="22"/>
      <w:u w:val="none"/>
    </w:rPr>
  </w:style>
  <w:style w:type="character" w:customStyle="1" w:styleId="47">
    <w:name w:val="纯文本 Char"/>
    <w:qFormat/>
    <w:uiPriority w:val="99"/>
    <w:rPr>
      <w:rFonts w:ascii="宋体" w:hAnsi="Courier New" w:eastAsia="宋体"/>
      <w:kern w:val="2"/>
      <w:sz w:val="21"/>
      <w:lang w:val="en-US" w:eastAsia="zh-CN" w:bidi="ar-SA"/>
    </w:rPr>
  </w:style>
  <w:style w:type="character" w:customStyle="1" w:styleId="48">
    <w:name w:val="font61"/>
    <w:qFormat/>
    <w:uiPriority w:val="0"/>
    <w:rPr>
      <w:rFonts w:hint="default" w:ascii="Times New Roman" w:hAnsi="Times New Roman" w:cs="Times New Roman"/>
      <w:color w:val="000000"/>
      <w:sz w:val="18"/>
      <w:szCs w:val="18"/>
      <w:u w:val="none"/>
    </w:rPr>
  </w:style>
  <w:style w:type="character" w:customStyle="1" w:styleId="49">
    <w:name w:val="Char Char1"/>
    <w:uiPriority w:val="0"/>
    <w:rPr>
      <w:kern w:val="2"/>
      <w:sz w:val="18"/>
      <w:szCs w:val="18"/>
    </w:rPr>
  </w:style>
  <w:style w:type="character" w:customStyle="1" w:styleId="50">
    <w:name w:val="样式 标题 100000000 + 宋体 Char"/>
    <w:link w:val="51"/>
    <w:uiPriority w:val="0"/>
    <w:rPr>
      <w:rFonts w:ascii="宋体" w:hAnsi="宋体" w:eastAsia="宋体"/>
      <w:b/>
      <w:bCs/>
      <w:kern w:val="44"/>
      <w:sz w:val="28"/>
      <w:szCs w:val="44"/>
      <w:lang w:val="en-US" w:eastAsia="zh-CN" w:bidi="ar-SA"/>
    </w:rPr>
  </w:style>
  <w:style w:type="paragraph" w:customStyle="1" w:styleId="51">
    <w:name w:val="样式 标题 100000000 + 宋体"/>
    <w:basedOn w:val="2"/>
    <w:link w:val="50"/>
    <w:uiPriority w:val="0"/>
    <w:pPr>
      <w:spacing w:line="600" w:lineRule="exact"/>
      <w:ind w:firstLine="200" w:firstLineChars="200"/>
      <w:jc w:val="left"/>
    </w:pPr>
    <w:rPr>
      <w:rFonts w:ascii="宋体" w:hAnsi="宋体"/>
      <w:sz w:val="28"/>
    </w:rPr>
  </w:style>
  <w:style w:type="character" w:customStyle="1" w:styleId="52">
    <w:name w:val="font71"/>
    <w:uiPriority w:val="0"/>
    <w:rPr>
      <w:rFonts w:hint="default" w:ascii="Times New Roman" w:hAnsi="Times New Roman" w:cs="Times New Roman"/>
      <w:color w:val="000000"/>
      <w:sz w:val="20"/>
      <w:szCs w:val="20"/>
      <w:u w:val="none"/>
    </w:rPr>
  </w:style>
  <w:style w:type="character" w:customStyle="1" w:styleId="53">
    <w:name w:val="Char Char"/>
    <w:semiHidden/>
    <w:uiPriority w:val="0"/>
    <w:rPr>
      <w:kern w:val="2"/>
      <w:sz w:val="18"/>
      <w:szCs w:val="18"/>
    </w:rPr>
  </w:style>
  <w:style w:type="character" w:customStyle="1" w:styleId="54">
    <w:name w:val="font112"/>
    <w:uiPriority w:val="0"/>
    <w:rPr>
      <w:rFonts w:hint="eastAsia" w:ascii="宋体" w:hAnsi="宋体" w:eastAsia="宋体" w:cs="宋体"/>
      <w:color w:val="000000"/>
      <w:sz w:val="21"/>
      <w:szCs w:val="21"/>
      <w:u w:val="none"/>
    </w:rPr>
  </w:style>
  <w:style w:type="character" w:customStyle="1" w:styleId="55">
    <w:name w:val="15"/>
    <w:basedOn w:val="23"/>
    <w:qFormat/>
    <w:uiPriority w:val="0"/>
  </w:style>
  <w:style w:type="character" w:customStyle="1" w:styleId="56">
    <w:name w:val="font81"/>
    <w:uiPriority w:val="0"/>
    <w:rPr>
      <w:rFonts w:hint="default" w:ascii="Times New Roman" w:hAnsi="Times New Roman" w:cs="Times New Roman"/>
      <w:color w:val="000000"/>
      <w:sz w:val="18"/>
      <w:szCs w:val="18"/>
      <w:u w:val="none"/>
    </w:rPr>
  </w:style>
  <w:style w:type="character" w:customStyle="1" w:styleId="57">
    <w:name w:val="表格标题 Char"/>
    <w:link w:val="58"/>
    <w:qFormat/>
    <w:uiPriority w:val="0"/>
    <w:rPr>
      <w:rFonts w:eastAsia="仿宋_GB2312"/>
      <w:b/>
      <w:sz w:val="24"/>
      <w:szCs w:val="28"/>
      <w:lang w:val="en-US" w:eastAsia="zh-CN"/>
    </w:rPr>
  </w:style>
  <w:style w:type="paragraph" w:customStyle="1" w:styleId="58">
    <w:name w:val="表格标题"/>
    <w:basedOn w:val="1"/>
    <w:link w:val="57"/>
    <w:qFormat/>
    <w:uiPriority w:val="0"/>
    <w:pPr>
      <w:spacing w:beforeLines="50"/>
      <w:jc w:val="center"/>
    </w:pPr>
    <w:rPr>
      <w:rFonts w:eastAsia="仿宋_GB2312"/>
      <w:b/>
      <w:kern w:val="0"/>
      <w:sz w:val="24"/>
      <w:szCs w:val="28"/>
    </w:rPr>
  </w:style>
  <w:style w:type="character" w:customStyle="1" w:styleId="59">
    <w:name w:val="纯文本 字符"/>
    <w:link w:val="10"/>
    <w:uiPriority w:val="99"/>
    <w:rPr>
      <w:rFonts w:ascii="宋体" w:hAnsi="Courier New"/>
      <w:kern w:val="2"/>
      <w:sz w:val="21"/>
    </w:rPr>
  </w:style>
  <w:style w:type="character" w:customStyle="1" w:styleId="60">
    <w:name w:val="未处理的提及1"/>
    <w:unhideWhenUsed/>
    <w:uiPriority w:val="99"/>
    <w:rPr>
      <w:color w:val="605E5C"/>
      <w:shd w:val="clear" w:color="auto" w:fill="E1DFDD"/>
    </w:rPr>
  </w:style>
  <w:style w:type="paragraph" w:customStyle="1" w:styleId="61">
    <w:name w:val="文本档内容"/>
    <w:next w:val="1"/>
    <w:qFormat/>
    <w:uiPriority w:val="0"/>
    <w:pPr>
      <w:jc w:val="both"/>
    </w:pPr>
    <w:rPr>
      <w:rFonts w:ascii="Times New Roman" w:hAnsi="Times New Roman" w:eastAsia="宋体" w:cs="Times New Roman"/>
      <w:sz w:val="21"/>
      <w:szCs w:val="24"/>
      <w:lang w:val="en-US" w:eastAsia="zh-CN" w:bidi="ar-SA"/>
    </w:rPr>
  </w:style>
  <w:style w:type="paragraph" w:customStyle="1" w:styleId="62">
    <w:name w:val="Normal_0"/>
    <w:uiPriority w:val="0"/>
    <w:pPr>
      <w:spacing w:before="120" w:after="240"/>
      <w:jc w:val="both"/>
    </w:pPr>
    <w:rPr>
      <w:rFonts w:ascii="Calibri" w:hAnsi="Calibri" w:eastAsia="Calibri" w:cs="Times New Roman"/>
      <w:sz w:val="22"/>
      <w:szCs w:val="22"/>
      <w:lang w:val="ru-RU" w:eastAsia="en-US" w:bidi="ar-SA"/>
    </w:rPr>
  </w:style>
  <w:style w:type="paragraph" w:customStyle="1" w:styleId="63">
    <w:name w:val="估价报告模板_表格1"/>
    <w:basedOn w:val="1"/>
    <w:qFormat/>
    <w:uiPriority w:val="0"/>
    <w:pPr>
      <w:widowControl/>
      <w:spacing w:line="300" w:lineRule="exact"/>
      <w:jc w:val="center"/>
    </w:pPr>
    <w:rPr>
      <w:rFonts w:ascii="仿宋_GB2312" w:hAnsi="宋体" w:eastAsia="仿宋_GB2312" w:cs="宋体"/>
      <w:kern w:val="0"/>
      <w:szCs w:val="21"/>
    </w:rPr>
  </w:style>
  <w:style w:type="paragraph" w:customStyle="1" w:styleId="64">
    <w:name w:val="17"/>
    <w:basedOn w:val="1"/>
    <w:uiPriority w:val="0"/>
    <w:pPr>
      <w:widowControl/>
      <w:spacing w:before="100" w:beforeAutospacing="1" w:after="100" w:afterAutospacing="1"/>
      <w:jc w:val="left"/>
    </w:pPr>
    <w:rPr>
      <w:rFonts w:ascii="宋体" w:hAnsi="宋体" w:cs="宋体"/>
      <w:kern w:val="0"/>
      <w:sz w:val="24"/>
    </w:rPr>
  </w:style>
  <w:style w:type="paragraph" w:customStyle="1" w:styleId="65">
    <w:name w:val="Char Char Char Char"/>
    <w:basedOn w:val="1"/>
    <w:uiPriority w:val="0"/>
    <w:rPr>
      <w:sz w:val="32"/>
      <w:szCs w:val="32"/>
    </w:rPr>
  </w:style>
  <w:style w:type="paragraph" w:customStyle="1" w:styleId="66">
    <w:name w:val="出书表格"/>
    <w:basedOn w:val="1"/>
    <w:next w:val="1"/>
    <w:qFormat/>
    <w:uiPriority w:val="0"/>
    <w:rPr>
      <w:szCs w:val="21"/>
    </w:rPr>
  </w:style>
  <w:style w:type="paragraph" w:customStyle="1" w:styleId="67">
    <w:name w:val="iw_poi_title"/>
    <w:basedOn w:val="1"/>
    <w:uiPriority w:val="0"/>
    <w:pPr>
      <w:widowControl/>
      <w:jc w:val="left"/>
    </w:pPr>
    <w:rPr>
      <w:rFonts w:ascii="宋体" w:hAnsi="宋体" w:cs="宋体"/>
      <w:kern w:val="0"/>
      <w:sz w:val="24"/>
    </w:rPr>
  </w:style>
  <w:style w:type="paragraph" w:customStyle="1" w:styleId="68">
    <w:name w:val="样式1"/>
    <w:basedOn w:val="2"/>
    <w:qFormat/>
    <w:uiPriority w:val="0"/>
    <w:rPr>
      <w:sz w:val="36"/>
      <w:szCs w:val="36"/>
    </w:rPr>
  </w:style>
  <w:style w:type="paragraph" w:customStyle="1" w:styleId="69">
    <w:name w:val="Char Char Char1 Char Char Char Char"/>
    <w:basedOn w:val="1"/>
    <w:qFormat/>
    <w:uiPriority w:val="0"/>
    <w:rPr>
      <w:rFonts w:ascii="宋体" w:hAnsi="宋体" w:cs="Courier New"/>
      <w:sz w:val="32"/>
      <w:szCs w:val="32"/>
    </w:rPr>
  </w:style>
  <w:style w:type="paragraph" w:customStyle="1" w:styleId="70">
    <w:name w:val="技术标题2"/>
    <w:basedOn w:val="71"/>
    <w:uiPriority w:val="0"/>
    <w:rPr>
      <w:b w:val="0"/>
    </w:rPr>
  </w:style>
  <w:style w:type="paragraph" w:customStyle="1" w:styleId="71">
    <w:name w:val="技术标题1"/>
    <w:basedOn w:val="2"/>
    <w:qFormat/>
    <w:uiPriority w:val="0"/>
    <w:pPr>
      <w:ind w:firstLine="200" w:firstLineChars="200"/>
      <w:jc w:val="left"/>
    </w:pPr>
    <w:rPr>
      <w:rFonts w:ascii="宋体"/>
      <w:sz w:val="28"/>
    </w:rPr>
  </w:style>
  <w:style w:type="paragraph" w:customStyle="1" w:styleId="72">
    <w:name w:val="TOC 标题1"/>
    <w:basedOn w:val="2"/>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73">
    <w:name w:val="估价报告_估价师签字"/>
    <w:basedOn w:val="10"/>
    <w:qFormat/>
    <w:uiPriority w:val="0"/>
    <w:pPr>
      <w:spacing w:before="120" w:after="120" w:line="440" w:lineRule="exact"/>
      <w:jc w:val="center"/>
    </w:pPr>
    <w:rPr>
      <w:rFonts w:ascii="仿宋_GB2312" w:eastAsia="仿宋_GB2312" w:cs="宋体"/>
      <w:sz w:val="28"/>
    </w:rPr>
  </w:style>
  <w:style w:type="paragraph" w:customStyle="1" w:styleId="74">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75">
    <w:name w:val="xl27"/>
    <w:basedOn w:val="1"/>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kern w:val="0"/>
      <w:szCs w:val="21"/>
    </w:rPr>
  </w:style>
  <w:style w:type="paragraph" w:customStyle="1" w:styleId="76">
    <w:name w:val="样式 标题 1 + 宋体 四号 居中 段前: 12 磅 段后: 12 磅 行距: 1.5 倍行距"/>
    <w:basedOn w:val="2"/>
    <w:qFormat/>
    <w:uiPriority w:val="0"/>
    <w:pPr>
      <w:spacing w:before="120" w:after="240" w:line="360" w:lineRule="auto"/>
    </w:pPr>
    <w:rPr>
      <w:rFonts w:ascii="宋体" w:hAnsi="宋体"/>
      <w:kern w:val="0"/>
      <w:sz w:val="28"/>
      <w:szCs w:val="20"/>
    </w:rPr>
  </w:style>
  <w:style w:type="paragraph" w:customStyle="1" w:styleId="77">
    <w:name w:val="p0"/>
    <w:basedOn w:val="1"/>
    <w:qFormat/>
    <w:uiPriority w:val="0"/>
    <w:pPr>
      <w:widowControl/>
    </w:pPr>
    <w:rPr>
      <w:rFonts w:ascii="Calibri" w:hAnsi="Calibri" w:cs="宋体"/>
      <w:kern w:val="0"/>
      <w:szCs w:val="21"/>
    </w:rPr>
  </w:style>
  <w:style w:type="paragraph" w:customStyle="1" w:styleId="78">
    <w:name w:val="估价报告模板_三级标题 + 段后: 0.5 行 + 段后: 0.5 行"/>
    <w:basedOn w:val="1"/>
    <w:qFormat/>
    <w:uiPriority w:val="0"/>
    <w:pPr>
      <w:spacing w:line="440" w:lineRule="exact"/>
      <w:ind w:firstLine="200" w:firstLineChars="200"/>
      <w:jc w:val="left"/>
      <w:outlineLvl w:val="2"/>
    </w:pPr>
    <w:rPr>
      <w:rFonts w:ascii="仿宋_GB2312" w:hAnsi="宋体" w:eastAsia="仿宋_GB2312" w:cs="宋体"/>
      <w:b/>
      <w:bCs/>
      <w:kern w:val="0"/>
      <w:sz w:val="28"/>
      <w:szCs w:val="20"/>
    </w:rPr>
  </w:style>
  <w:style w:type="paragraph" w:customStyle="1" w:styleId="79">
    <w:name w:val="注解文字"/>
    <w:basedOn w:val="1"/>
    <w:qFormat/>
    <w:uiPriority w:val="0"/>
    <w:pPr>
      <w:autoSpaceDE w:val="0"/>
      <w:autoSpaceDN w:val="0"/>
      <w:adjustRightInd w:val="0"/>
      <w:spacing w:line="312" w:lineRule="atLeast"/>
      <w:textAlignment w:val="baseline"/>
    </w:pPr>
    <w:rPr>
      <w:rFonts w:ascii="宋体" w:hAnsi="Tms Rmn"/>
      <w:kern w:val="0"/>
      <w:szCs w:val="20"/>
    </w:rPr>
  </w:style>
  <w:style w:type="character" w:styleId="80">
    <w:name w:val="Placeholder Text"/>
    <w:basedOn w:val="23"/>
    <w:unhideWhenUsed/>
    <w:uiPriority w:val="99"/>
    <w:rPr>
      <w:color w:val="808080"/>
    </w:rPr>
  </w:style>
  <w:style w:type="character" w:customStyle="1" w:styleId="81">
    <w:name w:val="标题 字符"/>
    <w:basedOn w:val="23"/>
    <w:link w:val="19"/>
    <w:qFormat/>
    <w:uiPriority w:val="0"/>
    <w:rPr>
      <w:rFonts w:asciiTheme="majorHAnsi" w:hAnsiTheme="majorHAnsi" w:eastAsiaTheme="majorEastAsia" w:cstheme="majorBidi"/>
      <w:b/>
      <w:bCs/>
      <w:kern w:val="2"/>
      <w:sz w:val="32"/>
      <w:szCs w:val="32"/>
    </w:rPr>
  </w:style>
  <w:style w:type="paragraph" w:styleId="82">
    <w:name w:val="List Paragraph"/>
    <w:basedOn w:val="1"/>
    <w:qFormat/>
    <w:uiPriority w:val="34"/>
    <w:pPr>
      <w:ind w:firstLine="420" w:firstLineChars="200"/>
    </w:pPr>
  </w:style>
  <w:style w:type="character" w:customStyle="1" w:styleId="83">
    <w:name w:val="未处理的提及2"/>
    <w:basedOn w:val="2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39408</Words>
  <Characters>44897</Characters>
  <Lines>367</Lines>
  <Paragraphs>103</Paragraphs>
  <TotalTime>123</TotalTime>
  <ScaleCrop>false</ScaleCrop>
  <LinksUpToDate>false</LinksUpToDate>
  <CharactersWithSpaces>45761</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2022-04-28T03:28:00Z</dcterms:created>
  <dc:creator>zyh</dc:creator>
  <cp:lastModifiedBy>伏抱</cp:lastModifiedBy>
  <cp:lastPrinted>2020-07-23T09:22:00Z</cp:lastPrinted>
  <dcterms:modified xsi:type="dcterms:W3CDTF">2022-05-16T01:40:37Z</dcterms:modified>
  <dc:title>成套住宅抵押估价报告示范文本</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9F1832EC7D3247AEBB1A5807B1D7591B</vt:lpwstr>
  </property>
</Properties>
</file>