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before="100" w:beforeAutospacing="1" w:after="100" w:afterAutospacing="1" w:line="500" w:lineRule="exact"/>
        <w:jc w:val="center"/>
        <w:textAlignment w:val="baseline"/>
        <w:rPr>
          <w:rFonts w:hint="eastAsia" w:ascii="楷体_GB2312" w:hAnsi="黑体" w:eastAsia="楷体_GB2312"/>
          <w:bCs/>
          <w:kern w:val="28"/>
          <w:sz w:val="48"/>
          <w:szCs w:val="48"/>
          <w:highlight w:val="none"/>
        </w:rPr>
      </w:pPr>
    </w:p>
    <w:p>
      <w:pPr>
        <w:adjustRightInd w:val="0"/>
        <w:spacing w:before="100" w:beforeAutospacing="1" w:after="100" w:afterAutospacing="1" w:line="500" w:lineRule="exact"/>
        <w:jc w:val="center"/>
        <w:textAlignment w:val="baseline"/>
        <w:rPr>
          <w:rFonts w:ascii="黑体" w:hAnsi="黑体" w:eastAsia="黑体"/>
          <w:bCs/>
          <w:kern w:val="28"/>
          <w:sz w:val="48"/>
          <w:szCs w:val="48"/>
          <w:highlight w:val="none"/>
        </w:rPr>
      </w:pPr>
      <w:r>
        <w:rPr>
          <w:rFonts w:hint="eastAsia" w:ascii="楷体_GB2312" w:hAnsi="黑体" w:eastAsia="楷体_GB2312"/>
          <w:bCs/>
          <w:kern w:val="28"/>
          <w:sz w:val="48"/>
          <w:szCs w:val="48"/>
          <w:highlight w:val="none"/>
        </w:rPr>
        <w:t xml:space="preserve">         </w:t>
      </w:r>
    </w:p>
    <w:p>
      <w:pPr>
        <w:adjustRightInd w:val="0"/>
        <w:spacing w:before="100" w:beforeAutospacing="1" w:after="100" w:afterAutospacing="1" w:line="500" w:lineRule="exact"/>
        <w:jc w:val="center"/>
        <w:textAlignment w:val="baseline"/>
        <w:rPr>
          <w:rFonts w:ascii="黑体" w:hAnsi="黑体" w:eastAsia="黑体"/>
          <w:bCs/>
          <w:kern w:val="28"/>
          <w:sz w:val="48"/>
          <w:szCs w:val="48"/>
          <w:highlight w:val="none"/>
        </w:rPr>
      </w:pPr>
      <w:r>
        <w:rPr>
          <w:rFonts w:hint="eastAsia" w:ascii="黑体" w:hAnsi="黑体" w:eastAsia="黑体" w:cs="黑体"/>
          <w:b/>
          <w:kern w:val="28"/>
          <w:sz w:val="48"/>
          <w:szCs w:val="48"/>
          <w:highlight w:val="none"/>
        </w:rPr>
        <w:t>涉执房地产处置司法评估报告</w:t>
      </w:r>
    </w:p>
    <w:p>
      <w:pPr>
        <w:rPr>
          <w:rFonts w:ascii="楷体_GB2312" w:hAnsi="黑体" w:eastAsia="楷体_GB2312"/>
          <w:kern w:val="0"/>
          <w:sz w:val="36"/>
          <w:szCs w:val="36"/>
          <w:highlight w:val="none"/>
        </w:rPr>
      </w:pPr>
    </w:p>
    <w:p>
      <w:pPr>
        <w:pStyle w:val="45"/>
        <w:rPr>
          <w:rFonts w:ascii="楷体_GB2312" w:hAnsi="黑体" w:eastAsia="楷体_GB2312"/>
          <w:kern w:val="0"/>
          <w:sz w:val="36"/>
          <w:szCs w:val="36"/>
          <w:highlight w:val="none"/>
        </w:rPr>
      </w:pPr>
    </w:p>
    <w:p>
      <w:pPr>
        <w:pStyle w:val="45"/>
        <w:rPr>
          <w:rFonts w:ascii="楷体_GB2312" w:hAnsi="黑体" w:eastAsia="楷体_GB2312"/>
          <w:kern w:val="0"/>
          <w:sz w:val="36"/>
          <w:szCs w:val="36"/>
          <w:highlight w:val="none"/>
        </w:rPr>
      </w:pPr>
    </w:p>
    <w:p>
      <w:pPr>
        <w:spacing w:before="100" w:beforeAutospacing="1" w:after="100" w:afterAutospacing="1" w:line="560" w:lineRule="exact"/>
        <w:ind w:left="2418" w:leftChars="126" w:right="223" w:rightChars="106" w:hanging="2153" w:hangingChars="715"/>
        <w:jc w:val="left"/>
        <w:rPr>
          <w:rFonts w:ascii="楷体_GB2312" w:hAnsi="黑体" w:eastAsia="仿宋"/>
          <w:kern w:val="28"/>
          <w:sz w:val="30"/>
          <w:szCs w:val="30"/>
          <w:highlight w:val="none"/>
        </w:rPr>
      </w:pPr>
      <w:r>
        <w:rPr>
          <w:rFonts w:hint="eastAsia" w:ascii="仿宋" w:hAnsi="仿宋" w:eastAsia="仿宋" w:cs="仿宋"/>
          <w:b/>
          <w:kern w:val="28"/>
          <w:sz w:val="30"/>
          <w:szCs w:val="30"/>
          <w:highlight w:val="none"/>
        </w:rPr>
        <w:t>估价项目名称：</w:t>
      </w:r>
      <w:r>
        <w:rPr>
          <w:rFonts w:hint="eastAsia" w:ascii="仿宋" w:hAnsi="仿宋" w:eastAsia="仿宋" w:cs="仿宋"/>
          <w:kern w:val="28"/>
          <w:sz w:val="30"/>
          <w:szCs w:val="30"/>
          <w:highlight w:val="none"/>
          <w:lang w:val="en-US" w:eastAsia="zh-CN"/>
        </w:rPr>
        <w:t>龙芳/杨勇持有的位于贵州省三穗县八弓镇中坝村（凯宏·城市花园三期）2幢1-9-2住宅房地产估价报告</w:t>
      </w:r>
    </w:p>
    <w:p>
      <w:pPr>
        <w:spacing w:before="100" w:beforeAutospacing="1" w:after="100" w:afterAutospacing="1" w:line="460" w:lineRule="exact"/>
        <w:ind w:left="2418" w:leftChars="126" w:right="223" w:rightChars="106" w:hanging="2153" w:hangingChars="715"/>
        <w:jc w:val="left"/>
        <w:rPr>
          <w:rFonts w:ascii="仿宋" w:hAnsi="仿宋" w:eastAsia="仿宋" w:cs="仿宋"/>
          <w:kern w:val="28"/>
          <w:sz w:val="30"/>
          <w:szCs w:val="30"/>
          <w:highlight w:val="none"/>
        </w:rPr>
      </w:pPr>
      <w:r>
        <w:rPr>
          <w:rFonts w:hint="eastAsia" w:ascii="仿宋" w:hAnsi="仿宋" w:eastAsia="仿宋" w:cs="仿宋"/>
          <w:b/>
          <w:kern w:val="28"/>
          <w:sz w:val="30"/>
          <w:szCs w:val="30"/>
          <w:highlight w:val="none"/>
        </w:rPr>
        <w:t>估价委托人：</w:t>
      </w:r>
      <w:r>
        <w:rPr>
          <w:rFonts w:hint="eastAsia" w:ascii="仿宋" w:hAnsi="仿宋" w:eastAsia="仿宋" w:cs="仿宋"/>
          <w:kern w:val="28"/>
          <w:sz w:val="30"/>
          <w:szCs w:val="30"/>
          <w:highlight w:val="none"/>
          <w:lang w:eastAsia="zh-CN"/>
        </w:rPr>
        <w:t>三穗县人民法院</w:t>
      </w:r>
    </w:p>
    <w:p>
      <w:pPr>
        <w:spacing w:line="480" w:lineRule="auto"/>
        <w:ind w:firstLine="301" w:firstLineChars="100"/>
        <w:jc w:val="left"/>
        <w:rPr>
          <w:rFonts w:ascii="仿宋" w:hAnsi="仿宋" w:eastAsia="仿宋" w:cs="仿宋"/>
          <w:kern w:val="28"/>
          <w:sz w:val="30"/>
          <w:szCs w:val="30"/>
          <w:highlight w:val="none"/>
        </w:rPr>
      </w:pPr>
      <w:r>
        <w:rPr>
          <w:rFonts w:hint="eastAsia" w:ascii="仿宋" w:hAnsi="仿宋" w:eastAsia="仿宋" w:cs="仿宋"/>
          <w:b/>
          <w:kern w:val="28"/>
          <w:sz w:val="30"/>
          <w:szCs w:val="30"/>
          <w:highlight w:val="none"/>
        </w:rPr>
        <w:t>估价机构：</w:t>
      </w:r>
      <w:r>
        <w:rPr>
          <w:rFonts w:hint="eastAsia" w:ascii="仿宋" w:hAnsi="仿宋" w:eastAsia="仿宋" w:cs="仿宋"/>
          <w:kern w:val="28"/>
          <w:sz w:val="30"/>
          <w:szCs w:val="30"/>
          <w:highlight w:val="none"/>
        </w:rPr>
        <w:t>深圳市国咨土地房地产资产评估有限公司</w:t>
      </w:r>
    </w:p>
    <w:p>
      <w:pPr>
        <w:spacing w:line="480" w:lineRule="auto"/>
        <w:ind w:firstLine="301" w:firstLineChars="100"/>
        <w:jc w:val="left"/>
        <w:rPr>
          <w:rFonts w:hint="eastAsia" w:ascii="楷体_GB2312" w:hAnsi="黑体" w:eastAsia="仿宋"/>
          <w:kern w:val="0"/>
          <w:sz w:val="30"/>
          <w:szCs w:val="30"/>
          <w:highlight w:val="none"/>
          <w:lang w:val="en-US" w:eastAsia="zh-CN"/>
        </w:rPr>
      </w:pPr>
      <w:r>
        <w:rPr>
          <w:rFonts w:hint="eastAsia" w:ascii="仿宋" w:hAnsi="仿宋" w:eastAsia="仿宋" w:cs="仿宋"/>
          <w:b/>
          <w:kern w:val="28"/>
          <w:sz w:val="30"/>
          <w:szCs w:val="30"/>
          <w:highlight w:val="none"/>
        </w:rPr>
        <w:t>估价人员：</w:t>
      </w:r>
      <w:r>
        <w:rPr>
          <w:rFonts w:hint="eastAsia" w:ascii="仿宋" w:hAnsi="仿宋" w:eastAsia="仿宋" w:cs="仿宋"/>
          <w:kern w:val="28"/>
          <w:sz w:val="30"/>
          <w:szCs w:val="30"/>
          <w:highlight w:val="none"/>
        </w:rPr>
        <w:t xml:space="preserve">王晨阳  </w:t>
      </w:r>
      <w:r>
        <w:rPr>
          <w:rFonts w:hint="default" w:ascii="仿宋" w:hAnsi="仿宋" w:eastAsia="仿宋" w:cs="仿宋"/>
          <w:kern w:val="28"/>
          <w:sz w:val="30"/>
          <w:szCs w:val="30"/>
          <w:highlight w:val="none"/>
        </w:rPr>
        <w:t>陈阳</w:t>
      </w:r>
      <w:r>
        <w:rPr>
          <w:rFonts w:hint="eastAsia" w:ascii="仿宋" w:hAnsi="仿宋" w:eastAsia="仿宋" w:cs="仿宋"/>
          <w:kern w:val="28"/>
          <w:sz w:val="30"/>
          <w:szCs w:val="30"/>
          <w:highlight w:val="none"/>
        </w:rPr>
        <w:t xml:space="preserve"> </w:t>
      </w:r>
      <w:r>
        <w:rPr>
          <w:rFonts w:hint="eastAsia" w:ascii="仿宋" w:hAnsi="仿宋" w:eastAsia="仿宋" w:cs="仿宋"/>
          <w:kern w:val="28"/>
          <w:sz w:val="30"/>
          <w:szCs w:val="30"/>
          <w:highlight w:val="none"/>
          <w:lang w:val="en-US" w:eastAsia="zh-CN"/>
        </w:rPr>
        <w:t xml:space="preserve"> 吴堂科</w:t>
      </w:r>
    </w:p>
    <w:p>
      <w:pPr>
        <w:spacing w:line="480" w:lineRule="auto"/>
        <w:ind w:firstLine="301" w:firstLineChars="100"/>
        <w:jc w:val="left"/>
        <w:rPr>
          <w:rFonts w:hint="eastAsia" w:ascii="仿宋" w:hAnsi="仿宋" w:eastAsia="仿宋" w:cs="仿宋"/>
          <w:kern w:val="28"/>
          <w:sz w:val="30"/>
          <w:szCs w:val="30"/>
          <w:highlight w:val="none"/>
          <w:lang w:eastAsia="zh-CN"/>
        </w:rPr>
      </w:pPr>
      <w:r>
        <w:rPr>
          <w:rFonts w:hint="eastAsia" w:ascii="仿宋" w:hAnsi="仿宋" w:eastAsia="仿宋" w:cs="仿宋"/>
          <w:b/>
          <w:kern w:val="28"/>
          <w:sz w:val="30"/>
          <w:szCs w:val="30"/>
          <w:highlight w:val="none"/>
        </w:rPr>
        <w:t>估价作业日期：</w:t>
      </w:r>
      <w:r>
        <w:rPr>
          <w:rFonts w:hint="eastAsia" w:ascii="仿宋" w:hAnsi="仿宋" w:eastAsia="仿宋" w:cs="仿宋"/>
          <w:kern w:val="28"/>
          <w:sz w:val="30"/>
          <w:szCs w:val="30"/>
          <w:highlight w:val="none"/>
          <w:lang w:eastAsia="zh-CN"/>
        </w:rPr>
        <w:t>202</w:t>
      </w:r>
      <w:r>
        <w:rPr>
          <w:rFonts w:hint="eastAsia" w:ascii="仿宋" w:hAnsi="仿宋" w:eastAsia="仿宋" w:cs="仿宋"/>
          <w:kern w:val="28"/>
          <w:sz w:val="30"/>
          <w:szCs w:val="30"/>
          <w:highlight w:val="none"/>
          <w:lang w:val="en-US" w:eastAsia="zh-CN"/>
        </w:rPr>
        <w:t>2</w:t>
      </w:r>
      <w:r>
        <w:rPr>
          <w:rFonts w:hint="eastAsia" w:ascii="仿宋" w:hAnsi="仿宋" w:eastAsia="仿宋" w:cs="仿宋"/>
          <w:kern w:val="28"/>
          <w:sz w:val="30"/>
          <w:szCs w:val="30"/>
          <w:highlight w:val="none"/>
          <w:lang w:eastAsia="zh-CN"/>
        </w:rPr>
        <w:t>年</w:t>
      </w:r>
      <w:r>
        <w:rPr>
          <w:rFonts w:hint="eastAsia" w:ascii="仿宋" w:hAnsi="仿宋" w:eastAsia="仿宋" w:cs="仿宋"/>
          <w:kern w:val="28"/>
          <w:sz w:val="30"/>
          <w:szCs w:val="30"/>
          <w:highlight w:val="none"/>
          <w:lang w:val="en-US" w:eastAsia="zh-CN"/>
        </w:rPr>
        <w:t>4</w:t>
      </w:r>
      <w:r>
        <w:rPr>
          <w:rFonts w:hint="eastAsia" w:ascii="仿宋" w:hAnsi="仿宋" w:eastAsia="仿宋" w:cs="仿宋"/>
          <w:kern w:val="28"/>
          <w:sz w:val="30"/>
          <w:szCs w:val="30"/>
          <w:highlight w:val="none"/>
          <w:lang w:eastAsia="zh-CN"/>
        </w:rPr>
        <w:t>月</w:t>
      </w:r>
      <w:r>
        <w:rPr>
          <w:rFonts w:hint="eastAsia" w:ascii="仿宋" w:hAnsi="仿宋" w:eastAsia="仿宋" w:cs="仿宋"/>
          <w:kern w:val="28"/>
          <w:sz w:val="30"/>
          <w:szCs w:val="30"/>
          <w:highlight w:val="none"/>
          <w:lang w:val="en-US" w:eastAsia="zh-CN"/>
        </w:rPr>
        <w:t>2</w:t>
      </w:r>
      <w:r>
        <w:rPr>
          <w:rFonts w:hint="eastAsia" w:ascii="仿宋" w:hAnsi="仿宋" w:eastAsia="仿宋" w:cs="仿宋"/>
          <w:kern w:val="28"/>
          <w:sz w:val="30"/>
          <w:szCs w:val="30"/>
          <w:highlight w:val="none"/>
          <w:lang w:eastAsia="zh-CN"/>
        </w:rPr>
        <w:t>日</w:t>
      </w:r>
      <w:r>
        <w:rPr>
          <w:rFonts w:hint="eastAsia" w:ascii="仿宋" w:hAnsi="仿宋" w:eastAsia="仿宋" w:cs="仿宋"/>
          <w:kern w:val="28"/>
          <w:sz w:val="30"/>
          <w:szCs w:val="30"/>
          <w:highlight w:val="none"/>
        </w:rPr>
        <w:t>至</w:t>
      </w:r>
      <w:r>
        <w:rPr>
          <w:rFonts w:hint="eastAsia" w:ascii="仿宋" w:hAnsi="仿宋" w:eastAsia="仿宋" w:cs="仿宋"/>
          <w:kern w:val="28"/>
          <w:sz w:val="30"/>
          <w:szCs w:val="30"/>
          <w:highlight w:val="none"/>
          <w:lang w:eastAsia="zh-CN"/>
        </w:rPr>
        <w:t>2022年4月19日</w:t>
      </w:r>
    </w:p>
    <w:p>
      <w:pPr>
        <w:spacing w:line="480" w:lineRule="auto"/>
        <w:ind w:firstLine="301" w:firstLineChars="100"/>
        <w:jc w:val="left"/>
        <w:rPr>
          <w:rFonts w:hint="eastAsia" w:ascii="仿宋" w:hAnsi="仿宋" w:eastAsia="仿宋" w:cs="仿宋"/>
          <w:kern w:val="28"/>
          <w:sz w:val="30"/>
          <w:szCs w:val="30"/>
          <w:highlight w:val="none"/>
          <w:lang w:eastAsia="zh-CN"/>
        </w:rPr>
      </w:pPr>
      <w:r>
        <w:rPr>
          <w:rFonts w:hint="eastAsia" w:ascii="仿宋" w:hAnsi="仿宋" w:eastAsia="仿宋" w:cs="仿宋"/>
          <w:b/>
          <w:kern w:val="28"/>
          <w:sz w:val="30"/>
          <w:szCs w:val="30"/>
          <w:highlight w:val="none"/>
          <w:lang w:eastAsia="zh-CN"/>
        </w:rPr>
        <w:t>估价报告出具日期</w:t>
      </w:r>
      <w:r>
        <w:rPr>
          <w:rFonts w:hint="eastAsia" w:ascii="仿宋" w:hAnsi="仿宋" w:eastAsia="仿宋" w:cs="仿宋"/>
          <w:b/>
          <w:kern w:val="28"/>
          <w:sz w:val="30"/>
          <w:szCs w:val="30"/>
          <w:highlight w:val="none"/>
        </w:rPr>
        <w:t>:</w:t>
      </w:r>
      <w:r>
        <w:rPr>
          <w:rFonts w:hint="eastAsia" w:ascii="仿宋" w:hAnsi="仿宋" w:eastAsia="仿宋" w:cs="仿宋"/>
          <w:kern w:val="28"/>
          <w:sz w:val="30"/>
          <w:szCs w:val="30"/>
          <w:highlight w:val="none"/>
        </w:rPr>
        <w:t xml:space="preserve"> </w:t>
      </w:r>
      <w:r>
        <w:rPr>
          <w:rFonts w:hint="eastAsia" w:ascii="仿宋" w:hAnsi="仿宋" w:eastAsia="仿宋" w:cs="仿宋"/>
          <w:kern w:val="28"/>
          <w:sz w:val="30"/>
          <w:szCs w:val="30"/>
          <w:highlight w:val="none"/>
          <w:lang w:eastAsia="zh-CN"/>
        </w:rPr>
        <w:t>2022年4月19日</w:t>
      </w:r>
    </w:p>
    <w:p>
      <w:pPr>
        <w:spacing w:line="480" w:lineRule="auto"/>
        <w:ind w:firstLine="301" w:firstLineChars="100"/>
        <w:jc w:val="left"/>
        <w:rPr>
          <w:rFonts w:ascii="仿宋" w:hAnsi="仿宋" w:eastAsia="仿宋" w:cs="仿宋"/>
          <w:kern w:val="28"/>
          <w:sz w:val="30"/>
          <w:szCs w:val="30"/>
          <w:highlight w:val="none"/>
        </w:rPr>
      </w:pPr>
      <w:r>
        <w:rPr>
          <w:rFonts w:hint="eastAsia" w:ascii="仿宋" w:hAnsi="仿宋" w:eastAsia="仿宋" w:cs="仿宋"/>
          <w:b/>
          <w:kern w:val="28"/>
          <w:sz w:val="30"/>
          <w:szCs w:val="30"/>
          <w:highlight w:val="none"/>
        </w:rPr>
        <w:t>估价报告编号：</w:t>
      </w:r>
      <w:r>
        <w:rPr>
          <w:rFonts w:hint="eastAsia" w:ascii="仿宋" w:hAnsi="仿宋" w:eastAsia="仿宋" w:cs="仿宋"/>
          <w:kern w:val="28"/>
          <w:sz w:val="30"/>
          <w:szCs w:val="30"/>
          <w:highlight w:val="none"/>
        </w:rPr>
        <w:t>深国咨黔评字</w:t>
      </w:r>
      <w:r>
        <w:rPr>
          <w:rFonts w:hint="eastAsia" w:ascii="仿宋" w:hAnsi="仿宋" w:eastAsia="仿宋" w:cs="仿宋"/>
          <w:color w:val="000000" w:themeColor="text1"/>
          <w:kern w:val="28"/>
          <w:sz w:val="30"/>
          <w:szCs w:val="30"/>
          <w:highlight w:val="none"/>
          <w:lang w:eastAsia="zh-CN"/>
          <w14:textFill>
            <w14:solidFill>
              <w14:schemeClr w14:val="tx1"/>
            </w14:solidFill>
          </w14:textFill>
        </w:rPr>
        <w:t>[2022]G04第0004号</w:t>
      </w:r>
    </w:p>
    <w:p>
      <w:pPr>
        <w:rPr>
          <w:rFonts w:ascii="楷体_GB2312" w:hAnsi="黑体" w:eastAsia="楷体_GB2312"/>
          <w:bCs/>
          <w:kern w:val="28"/>
          <w:sz w:val="32"/>
          <w:szCs w:val="32"/>
          <w:highlight w:val="none"/>
        </w:rPr>
      </w:pPr>
      <w:r>
        <w:rPr>
          <w:rFonts w:ascii="楷体_GB2312" w:hAnsi="黑体" w:eastAsia="楷体_GB2312"/>
          <w:bCs/>
          <w:kern w:val="28"/>
          <w:sz w:val="32"/>
          <w:szCs w:val="32"/>
          <w:highlight w:val="none"/>
        </w:rPr>
        <w:br w:type="page"/>
      </w:r>
    </w:p>
    <w:p>
      <w:pPr>
        <w:pStyle w:val="19"/>
        <w:spacing w:line="500" w:lineRule="exact"/>
        <w:ind w:left="0" w:firstLine="0"/>
        <w:jc w:val="both"/>
        <w:rPr>
          <w:rFonts w:ascii="黑体" w:hAnsi="黑体" w:eastAsia="黑体" w:cs="黑体"/>
          <w:b/>
          <w:kern w:val="28"/>
          <w:sz w:val="44"/>
          <w:szCs w:val="44"/>
          <w:highlight w:val="none"/>
        </w:rPr>
      </w:pPr>
    </w:p>
    <w:p>
      <w:pPr>
        <w:pStyle w:val="19"/>
        <w:spacing w:line="500" w:lineRule="exact"/>
        <w:ind w:left="0" w:firstLine="0"/>
        <w:jc w:val="center"/>
        <w:rPr>
          <w:rFonts w:ascii="黑体" w:hAnsi="黑体" w:eastAsia="黑体" w:cs="黑体"/>
          <w:b/>
          <w:kern w:val="28"/>
          <w:sz w:val="44"/>
          <w:szCs w:val="44"/>
          <w:highlight w:val="none"/>
        </w:rPr>
      </w:pPr>
      <w:r>
        <w:rPr>
          <w:rFonts w:hint="eastAsia" w:ascii="黑体" w:hAnsi="黑体" w:eastAsia="黑体" w:cs="黑体"/>
          <w:b/>
          <w:kern w:val="28"/>
          <w:sz w:val="44"/>
          <w:szCs w:val="44"/>
          <w:highlight w:val="none"/>
        </w:rPr>
        <w:t>房地产估价报告摘要</w:t>
      </w:r>
    </w:p>
    <w:p>
      <w:pPr>
        <w:pStyle w:val="19"/>
        <w:spacing w:line="500" w:lineRule="exact"/>
        <w:ind w:left="0" w:firstLine="0"/>
        <w:jc w:val="center"/>
        <w:rPr>
          <w:rFonts w:hint="eastAsia" w:ascii="仿宋" w:hAnsi="仿宋" w:eastAsia="仿宋"/>
          <w:kern w:val="2"/>
          <w:sz w:val="24"/>
          <w:szCs w:val="22"/>
          <w:highlight w:val="none"/>
          <w:lang w:eastAsia="zh-CN"/>
        </w:rPr>
      </w:pPr>
      <w:r>
        <w:rPr>
          <w:rFonts w:hint="eastAsia" w:ascii="仿宋" w:hAnsi="仿宋" w:eastAsia="仿宋"/>
          <w:kern w:val="2"/>
          <w:sz w:val="24"/>
          <w:szCs w:val="22"/>
          <w:highlight w:val="none"/>
          <w:lang w:eastAsia="zh-CN"/>
        </w:rPr>
        <w:t>深国咨黔评字[2022]G04第0004号</w:t>
      </w:r>
    </w:p>
    <w:p>
      <w:pPr>
        <w:pStyle w:val="19"/>
        <w:spacing w:line="500" w:lineRule="exact"/>
        <w:ind w:left="0" w:firstLine="0"/>
        <w:jc w:val="center"/>
        <w:rPr>
          <w:rFonts w:hint="eastAsia" w:ascii="仿宋" w:hAnsi="仿宋" w:eastAsia="仿宋"/>
          <w:b w:val="0"/>
          <w:bCs w:val="0"/>
          <w:kern w:val="2"/>
          <w:sz w:val="24"/>
          <w:szCs w:val="22"/>
          <w:highlight w:val="none"/>
          <w:lang w:eastAsia="zh-CN"/>
        </w:rPr>
      </w:pPr>
      <w:r>
        <w:rPr>
          <w:rFonts w:hint="eastAsia" w:ascii="仿宋" w:hAnsi="仿宋" w:eastAsia="仿宋"/>
          <w:b w:val="0"/>
          <w:bCs w:val="0"/>
          <w:color w:val="auto"/>
          <w:kern w:val="2"/>
          <w:sz w:val="24"/>
          <w:szCs w:val="22"/>
          <w:highlight w:val="none"/>
          <w:lang w:eastAsia="zh-CN"/>
        </w:rPr>
        <w:t>估价对象</w:t>
      </w:r>
    </w:p>
    <w:tbl>
      <w:tblPr>
        <w:tblStyle w:val="46"/>
        <w:tblpPr w:leftFromText="180" w:rightFromText="180" w:vertAnchor="text" w:horzAnchor="margin" w:tblpXSpec="center" w:tblpY="60"/>
        <w:tblW w:w="9181" w:type="dxa"/>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4431"/>
        <w:gridCol w:w="4750"/>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741" w:hRule="atLeast"/>
        </w:trPr>
        <w:tc>
          <w:tcPr>
            <w:tcW w:w="4431" w:type="dxa"/>
          </w:tcPr>
          <w:p>
            <w:pPr>
              <w:ind w:right="1050"/>
              <w:rPr>
                <w:rFonts w:hint="eastAsia"/>
                <w:highlight w:val="none"/>
                <w:lang w:eastAsia="zh-CN"/>
              </w:rPr>
            </w:pPr>
          </w:p>
          <w:p>
            <w:pPr>
              <w:pStyle w:val="45"/>
              <w:ind w:left="0" w:leftChars="0" w:firstLine="0" w:firstLineChars="0"/>
              <w:rPr>
                <w:rFonts w:hint="eastAsia"/>
                <w:highlight w:val="none"/>
                <w:lang w:eastAsia="zh-CN"/>
              </w:rPr>
            </w:pPr>
            <w:r>
              <w:rPr>
                <w:rFonts w:hint="eastAsia"/>
                <w:highlight w:val="none"/>
                <w:lang w:eastAsia="zh-CN"/>
              </w:rPr>
              <w:drawing>
                <wp:inline distT="0" distB="0" distL="114300" distR="114300">
                  <wp:extent cx="2641600" cy="2111375"/>
                  <wp:effectExtent l="0" t="0" r="6350" b="3175"/>
                  <wp:docPr id="4" name="图片 4" descr="IMG_20220413_10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220413_103327"/>
                          <pic:cNvPicPr>
                            <a:picLocks noChangeAspect="1"/>
                          </pic:cNvPicPr>
                        </pic:nvPicPr>
                        <pic:blipFill>
                          <a:blip r:embed="rId6"/>
                          <a:stretch>
                            <a:fillRect/>
                          </a:stretch>
                        </pic:blipFill>
                        <pic:spPr>
                          <a:xfrm>
                            <a:off x="0" y="0"/>
                            <a:ext cx="2641600" cy="2111375"/>
                          </a:xfrm>
                          <a:prstGeom prst="rect">
                            <a:avLst/>
                          </a:prstGeom>
                        </pic:spPr>
                      </pic:pic>
                    </a:graphicData>
                  </a:graphic>
                </wp:inline>
              </w:drawing>
            </w:r>
          </w:p>
        </w:tc>
        <w:tc>
          <w:tcPr>
            <w:tcW w:w="4750" w:type="dxa"/>
          </w:tcPr>
          <w:p>
            <w:pPr>
              <w:tabs>
                <w:tab w:val="left" w:pos="534"/>
              </w:tabs>
              <w:spacing w:line="360" w:lineRule="auto"/>
              <w:rPr>
                <w:rFonts w:hint="eastAsia" w:ascii="仿宋" w:hAnsi="仿宋" w:eastAsia="仿宋"/>
                <w:color w:val="000000" w:themeColor="text1"/>
                <w:sz w:val="28"/>
                <w:szCs w:val="28"/>
                <w:highlight w:val="none"/>
                <w:lang w:eastAsia="zh-CN"/>
                <w14:textFill>
                  <w14:solidFill>
                    <w14:schemeClr w14:val="tx1"/>
                  </w14:solidFill>
                </w14:textFill>
              </w:rPr>
            </w:pPr>
          </w:p>
          <w:p>
            <w:pPr>
              <w:tabs>
                <w:tab w:val="left" w:pos="534"/>
              </w:tabs>
              <w:spacing w:line="360" w:lineRule="auto"/>
              <w:ind w:firstLine="240" w:firstLineChars="100"/>
              <w:rPr>
                <w:rFonts w:ascii="仿宋" w:hAnsi="仿宋" w:eastAsia="仿宋"/>
                <w:color w:val="000000" w:themeColor="text1"/>
                <w:sz w:val="24"/>
                <w:szCs w:val="22"/>
                <w:highlight w:val="none"/>
                <w14:textFill>
                  <w14:solidFill>
                    <w14:schemeClr w14:val="tx1"/>
                  </w14:solidFill>
                </w14:textFill>
              </w:rPr>
            </w:pPr>
            <w:r>
              <w:rPr>
                <w:rFonts w:hint="eastAsia" w:ascii="仿宋" w:hAnsi="仿宋" w:eastAsia="仿宋"/>
                <w:color w:val="000000" w:themeColor="text1"/>
                <w:sz w:val="24"/>
                <w:szCs w:val="22"/>
                <w:highlight w:val="none"/>
                <w:lang w:eastAsia="zh-CN"/>
                <w14:textFill>
                  <w14:solidFill>
                    <w14:schemeClr w14:val="tx1"/>
                  </w14:solidFill>
                </w14:textFill>
              </w:rPr>
              <w:t>估价对象</w:t>
            </w:r>
            <w:r>
              <w:rPr>
                <w:rFonts w:hint="eastAsia" w:ascii="仿宋" w:hAnsi="仿宋" w:eastAsia="仿宋"/>
                <w:color w:val="auto"/>
                <w:sz w:val="24"/>
                <w:szCs w:val="22"/>
                <w:highlight w:val="none"/>
                <w:shd w:val="clear" w:fill="FFFFFF" w:themeFill="background1"/>
                <w:lang w:eastAsia="zh-CN"/>
              </w:rPr>
              <w:t>价格</w:t>
            </w:r>
            <w:r>
              <w:rPr>
                <w:rFonts w:hint="eastAsia" w:ascii="仿宋" w:hAnsi="仿宋" w:eastAsia="仿宋"/>
                <w:color w:val="000000" w:themeColor="text1"/>
                <w:sz w:val="24"/>
                <w:szCs w:val="22"/>
                <w:highlight w:val="none"/>
                <w14:textFill>
                  <w14:solidFill>
                    <w14:schemeClr w14:val="tx1"/>
                  </w14:solidFill>
                </w14:textFill>
              </w:rPr>
              <w:t>结果要点摘录</w:t>
            </w:r>
          </w:p>
          <w:p>
            <w:pPr>
              <w:tabs>
                <w:tab w:val="left" w:pos="534"/>
              </w:tabs>
              <w:spacing w:line="360" w:lineRule="auto"/>
              <w:ind w:left="288"/>
              <w:rPr>
                <w:rFonts w:hint="eastAsia" w:ascii="仿宋" w:hAnsi="仿宋" w:eastAsia="仿宋"/>
                <w:color w:val="000000" w:themeColor="text1"/>
                <w:sz w:val="24"/>
                <w:szCs w:val="22"/>
                <w:highlight w:val="none"/>
                <w:lang w:eastAsia="zh-CN"/>
                <w14:textFill>
                  <w14:solidFill>
                    <w14:schemeClr w14:val="tx1"/>
                  </w14:solidFill>
                </w14:textFill>
              </w:rPr>
            </w:pPr>
            <w:r>
              <w:rPr>
                <w:rFonts w:hint="eastAsia" w:ascii="仿宋" w:hAnsi="仿宋" w:eastAsia="仿宋"/>
                <w:color w:val="000000" w:themeColor="text1"/>
                <w:sz w:val="24"/>
                <w:szCs w:val="22"/>
                <w:highlight w:val="none"/>
                <w:lang w:eastAsia="zh-CN"/>
                <w14:textFill>
                  <w14:solidFill>
                    <w14:schemeClr w14:val="tx1"/>
                  </w14:solidFill>
                </w14:textFill>
              </w:rPr>
              <w:t>价格</w:t>
            </w:r>
            <w:r>
              <w:rPr>
                <w:rFonts w:hint="eastAsia" w:ascii="仿宋" w:hAnsi="仿宋" w:eastAsia="仿宋"/>
                <w:color w:val="000000" w:themeColor="text1"/>
                <w:sz w:val="24"/>
                <w:szCs w:val="22"/>
                <w:highlight w:val="none"/>
                <w14:textFill>
                  <w14:solidFill>
                    <w14:schemeClr w14:val="tx1"/>
                  </w14:solidFill>
                </w14:textFill>
              </w:rPr>
              <w:t>时点：</w:t>
            </w:r>
            <w:r>
              <w:rPr>
                <w:rFonts w:hint="eastAsia" w:ascii="仿宋" w:hAnsi="仿宋" w:eastAsia="仿宋"/>
                <w:color w:val="000000" w:themeColor="text1"/>
                <w:sz w:val="24"/>
                <w:szCs w:val="22"/>
                <w:highlight w:val="none"/>
                <w:lang w:eastAsia="zh-CN"/>
                <w14:textFill>
                  <w14:solidFill>
                    <w14:schemeClr w14:val="tx1"/>
                  </w14:solidFill>
                </w14:textFill>
              </w:rPr>
              <w:t>2022年4月13日</w:t>
            </w:r>
          </w:p>
          <w:p>
            <w:pPr>
              <w:tabs>
                <w:tab w:val="left" w:pos="534"/>
              </w:tabs>
              <w:spacing w:line="360" w:lineRule="auto"/>
              <w:ind w:left="288"/>
              <w:rPr>
                <w:rFonts w:hint="eastAsia" w:ascii="仿宋" w:hAnsi="仿宋" w:eastAsia="仿宋"/>
                <w:color w:val="000000" w:themeColor="text1"/>
                <w:sz w:val="24"/>
                <w:szCs w:val="22"/>
                <w:highlight w:val="none"/>
                <w:lang w:val="en-US" w:eastAsia="zh-CN"/>
                <w14:textFill>
                  <w14:solidFill>
                    <w14:schemeClr w14:val="tx1"/>
                  </w14:solidFill>
                </w14:textFill>
              </w:rPr>
            </w:pPr>
            <w:r>
              <w:rPr>
                <w:rFonts w:hint="eastAsia" w:ascii="仿宋" w:hAnsi="仿宋" w:eastAsia="仿宋"/>
                <w:color w:val="000000" w:themeColor="text1"/>
                <w:sz w:val="24"/>
                <w:szCs w:val="22"/>
                <w:highlight w:val="none"/>
                <w14:textFill>
                  <w14:solidFill>
                    <w14:schemeClr w14:val="tx1"/>
                  </w14:solidFill>
                </w14:textFill>
              </w:rPr>
              <w:t>建筑面积：</w:t>
            </w:r>
            <w:r>
              <w:rPr>
                <w:rFonts w:hint="eastAsia" w:ascii="仿宋" w:hAnsi="仿宋" w:eastAsia="仿宋"/>
                <w:color w:val="000000" w:themeColor="text1"/>
                <w:sz w:val="24"/>
                <w:szCs w:val="22"/>
                <w:highlight w:val="none"/>
                <w:lang w:val="en-US" w:eastAsia="zh-CN"/>
                <w14:textFill>
                  <w14:solidFill>
                    <w14:schemeClr w14:val="tx1"/>
                  </w14:solidFill>
                </w14:textFill>
              </w:rPr>
              <w:t>107.29㎡</w:t>
            </w:r>
          </w:p>
          <w:p>
            <w:pPr>
              <w:tabs>
                <w:tab w:val="left" w:pos="534"/>
              </w:tabs>
              <w:spacing w:line="360" w:lineRule="auto"/>
              <w:ind w:left="288"/>
              <w:rPr>
                <w:rFonts w:hint="default" w:ascii="仿宋" w:hAnsi="仿宋" w:eastAsia="仿宋"/>
                <w:color w:val="000000" w:themeColor="text1"/>
                <w:sz w:val="24"/>
                <w:szCs w:val="22"/>
                <w:highlight w:val="none"/>
                <w:lang w:val="en-US" w:eastAsia="zh-CN"/>
                <w14:textFill>
                  <w14:solidFill>
                    <w14:schemeClr w14:val="tx1"/>
                  </w14:solidFill>
                </w14:textFill>
              </w:rPr>
            </w:pPr>
            <w:r>
              <w:rPr>
                <w:rFonts w:hint="eastAsia" w:ascii="仿宋" w:hAnsi="仿宋" w:eastAsia="仿宋"/>
                <w:color w:val="000000" w:themeColor="text1"/>
                <w:sz w:val="24"/>
                <w:szCs w:val="22"/>
                <w:highlight w:val="none"/>
                <w:lang w:val="en-US" w:eastAsia="zh-CN"/>
                <w14:textFill>
                  <w14:solidFill>
                    <w14:schemeClr w14:val="tx1"/>
                  </w14:solidFill>
                </w14:textFill>
              </w:rPr>
              <w:t>权利人名称：龙芳/杨勇</w:t>
            </w:r>
          </w:p>
          <w:p>
            <w:pPr>
              <w:tabs>
                <w:tab w:val="left" w:pos="534"/>
              </w:tabs>
              <w:spacing w:line="360" w:lineRule="auto"/>
              <w:ind w:left="288"/>
              <w:rPr>
                <w:rFonts w:hint="eastAsia" w:ascii="仿宋" w:hAnsi="仿宋" w:eastAsia="仿宋"/>
                <w:color w:val="000000" w:themeColor="text1"/>
                <w:sz w:val="24"/>
                <w:szCs w:val="22"/>
                <w:highlight w:val="none"/>
                <w:lang w:val="en-US" w:eastAsia="zh-CN"/>
                <w14:textFill>
                  <w14:solidFill>
                    <w14:schemeClr w14:val="tx1"/>
                  </w14:solidFill>
                </w14:textFill>
              </w:rPr>
            </w:pPr>
            <w:r>
              <w:rPr>
                <w:rFonts w:hint="eastAsia" w:ascii="仿宋" w:hAnsi="仿宋" w:eastAsia="仿宋"/>
                <w:color w:val="000000" w:themeColor="text1"/>
                <w:sz w:val="24"/>
                <w:szCs w:val="22"/>
                <w:highlight w:val="none"/>
                <w14:textFill>
                  <w14:solidFill>
                    <w14:schemeClr w14:val="tx1"/>
                  </w14:solidFill>
                </w14:textFill>
              </w:rPr>
              <w:t>用途：</w:t>
            </w:r>
            <w:r>
              <w:rPr>
                <w:rFonts w:hint="eastAsia" w:ascii="仿宋" w:hAnsi="仿宋" w:eastAsia="仿宋"/>
                <w:color w:val="000000" w:themeColor="text1"/>
                <w:sz w:val="24"/>
                <w:szCs w:val="22"/>
                <w:highlight w:val="none"/>
                <w:lang w:eastAsia="zh-CN"/>
                <w14:textFill>
                  <w14:solidFill>
                    <w14:schemeClr w14:val="tx1"/>
                  </w14:solidFill>
                </w14:textFill>
              </w:rPr>
              <w:t>住宅</w:t>
            </w:r>
          </w:p>
          <w:p>
            <w:pPr>
              <w:pStyle w:val="45"/>
              <w:rPr>
                <w:rFonts w:hint="default" w:ascii="仿宋" w:hAnsi="仿宋" w:eastAsia="仿宋"/>
                <w:color w:val="000000" w:themeColor="text1"/>
                <w:sz w:val="24"/>
                <w:szCs w:val="22"/>
                <w:highlight w:val="none"/>
                <w:lang w:val="en-US" w:eastAsia="zh-CN"/>
                <w14:textFill>
                  <w14:solidFill>
                    <w14:schemeClr w14:val="tx1"/>
                  </w14:solidFill>
                </w14:textFill>
              </w:rPr>
            </w:pPr>
            <w:r>
              <w:rPr>
                <w:rFonts w:hint="eastAsia" w:ascii="仿宋" w:hAnsi="仿宋" w:eastAsia="仿宋"/>
                <w:color w:val="000000" w:themeColor="text1"/>
                <w:sz w:val="24"/>
                <w:szCs w:val="22"/>
                <w:highlight w:val="none"/>
                <w:lang w:val="en-US" w:eastAsia="zh-CN"/>
                <w14:textFill>
                  <w14:solidFill>
                    <w14:schemeClr w14:val="tx1"/>
                  </w14:solidFill>
                </w14:textFill>
              </w:rPr>
              <w:t>未扣除预估处置费用价格：</w:t>
            </w:r>
            <w:r>
              <w:rPr>
                <w:rFonts w:hint="eastAsia" w:ascii="仿宋" w:hAnsi="仿宋" w:eastAsia="仿宋" w:cs="Times New Roman"/>
                <w:color w:val="000000" w:themeColor="text1"/>
                <w:kern w:val="2"/>
                <w:sz w:val="24"/>
                <w:szCs w:val="22"/>
                <w:highlight w:val="none"/>
                <w:lang w:val="en-US" w:eastAsia="zh-CN" w:bidi="ar-SA"/>
                <w14:textFill>
                  <w14:solidFill>
                    <w14:schemeClr w14:val="tx1"/>
                  </w14:solidFill>
                </w14:textFill>
              </w:rPr>
              <w:t>33.37</w:t>
            </w:r>
            <w:r>
              <w:rPr>
                <w:rFonts w:hint="eastAsia" w:ascii="仿宋" w:hAnsi="仿宋" w:eastAsia="仿宋"/>
                <w:color w:val="auto"/>
                <w:sz w:val="24"/>
                <w:szCs w:val="22"/>
                <w:highlight w:val="none"/>
              </w:rPr>
              <w:t>万</w:t>
            </w:r>
            <w:r>
              <w:rPr>
                <w:rFonts w:hint="eastAsia" w:ascii="仿宋" w:hAnsi="仿宋" w:eastAsia="仿宋"/>
                <w:color w:val="000000" w:themeColor="text1"/>
                <w:sz w:val="24"/>
                <w:szCs w:val="22"/>
                <w:highlight w:val="none"/>
                <w14:textFill>
                  <w14:solidFill>
                    <w14:schemeClr w14:val="tx1"/>
                  </w14:solidFill>
                </w14:textFill>
              </w:rPr>
              <w:t>元</w:t>
            </w:r>
          </w:p>
          <w:p>
            <w:pPr>
              <w:pStyle w:val="45"/>
              <w:rPr>
                <w:rFonts w:hint="default" w:ascii="仿宋" w:hAnsi="仿宋" w:eastAsia="仿宋"/>
                <w:color w:val="000000" w:themeColor="text1"/>
                <w:sz w:val="24"/>
                <w:szCs w:val="22"/>
                <w:highlight w:val="none"/>
                <w:lang w:val="en-US" w:eastAsia="zh-CN"/>
                <w14:textFill>
                  <w14:solidFill>
                    <w14:schemeClr w14:val="tx1"/>
                  </w14:solidFill>
                </w14:textFill>
              </w:rPr>
            </w:pPr>
            <w:r>
              <w:rPr>
                <w:rFonts w:hint="eastAsia" w:ascii="仿宋" w:hAnsi="仿宋" w:eastAsia="仿宋"/>
                <w:color w:val="000000" w:themeColor="text1"/>
                <w:sz w:val="24"/>
                <w:szCs w:val="22"/>
                <w:highlight w:val="none"/>
                <w:lang w:val="en-US" w:eastAsia="zh-CN"/>
                <w14:textFill>
                  <w14:solidFill>
                    <w14:schemeClr w14:val="tx1"/>
                  </w14:solidFill>
                </w14:textFill>
              </w:rPr>
              <w:t>扣除预估处置费用价格：27.83万元</w:t>
            </w:r>
          </w:p>
        </w:tc>
      </w:tr>
    </w:tbl>
    <w:p>
      <w:pPr>
        <w:pStyle w:val="45"/>
        <w:keepNext w:val="0"/>
        <w:keepLines w:val="0"/>
        <w:pageBreakBefore w:val="0"/>
        <w:widowControl w:val="0"/>
        <w:kinsoku/>
        <w:wordWrap/>
        <w:overflowPunct/>
        <w:topLinePunct w:val="0"/>
        <w:autoSpaceDE/>
        <w:autoSpaceDN/>
        <w:bidi w:val="0"/>
        <w:adjustRightInd w:val="0"/>
        <w:snapToGrid/>
        <w:spacing w:after="0"/>
        <w:ind w:left="0" w:leftChars="0" w:firstLine="0" w:firstLineChars="0"/>
        <w:jc w:val="both"/>
        <w:textAlignment w:val="baseline"/>
        <w:rPr>
          <w:rFonts w:hint="eastAsia" w:ascii="黑体" w:hAnsi="宋体" w:eastAsia="黑体"/>
          <w:b/>
          <w:snapToGrid w:val="0"/>
          <w:sz w:val="32"/>
          <w:szCs w:val="32"/>
          <w:highlight w:val="none"/>
          <w:lang w:eastAsia="zh-CN"/>
        </w:rPr>
      </w:pPr>
    </w:p>
    <w:p>
      <w:pPr>
        <w:pStyle w:val="45"/>
        <w:jc w:val="both"/>
        <w:rPr>
          <w:rFonts w:hint="eastAsia" w:ascii="黑体" w:hAnsi="宋体" w:eastAsia="黑体"/>
          <w:b/>
          <w:snapToGrid w:val="0"/>
          <w:sz w:val="32"/>
          <w:szCs w:val="32"/>
          <w:highlight w:val="none"/>
          <w:lang w:eastAsia="zh-CN"/>
        </w:rPr>
      </w:pPr>
      <w:r>
        <w:rPr>
          <w:sz w:val="28"/>
          <w:highlight w:val="none"/>
        </w:rPr>
        <mc:AlternateContent>
          <mc:Choice Requires="wps">
            <w:drawing>
              <wp:anchor distT="0" distB="0" distL="114300" distR="114300" simplePos="0" relativeHeight="251659264" behindDoc="0" locked="0" layoutInCell="1" allowOverlap="1">
                <wp:simplePos x="0" y="0"/>
                <wp:positionH relativeFrom="column">
                  <wp:posOffset>3049905</wp:posOffset>
                </wp:positionH>
                <wp:positionV relativeFrom="paragraph">
                  <wp:posOffset>2078990</wp:posOffset>
                </wp:positionV>
                <wp:extent cx="285750" cy="266700"/>
                <wp:effectExtent l="12700" t="12700" r="25400" b="25400"/>
                <wp:wrapNone/>
                <wp:docPr id="2" name="五角星 2"/>
                <wp:cNvGraphicFramePr/>
                <a:graphic xmlns:a="http://schemas.openxmlformats.org/drawingml/2006/main">
                  <a:graphicData uri="http://schemas.microsoft.com/office/word/2010/wordprocessingShape">
                    <wps:wsp>
                      <wps:cNvSpPr/>
                      <wps:spPr>
                        <a:xfrm>
                          <a:off x="0" y="0"/>
                          <a:ext cx="285750" cy="26670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40.15pt;margin-top:163.7pt;height:21pt;width:22.5pt;z-index:251659264;v-text-anchor:middle;mso-width-relative:page;mso-height-relative:page;" fillcolor="#C0504D [3205]" filled="t" stroked="t" coordsize="285750,266700" o:gfxdata="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jIYSP2gAAAAsBAAAPAAAA&#10;AAAAAAEAIAAAACIAAABkcnMvZG93bnJldi54bWxQSwECFAAUAAAACACHTuJAKmtn8YUCAAAMBQAA&#10;DgAAAAAAAAABACAAAAApAQAAZHJzL2Uyb0RvYy54bWxQSwUGAAAAAAYABgBZAQAAIAYAAAAA&#10;" path="m0,101870l109147,101870,142875,0,176602,101870,285749,101870,197447,164828,231176,266699,142875,203739,54573,266699,88302,164828xe">
                <v:path textboxrect="0,0,285750,266700" o:connectlocs="142875,0;0,101870;54573,266699;231176,266699;285749,101870" o:connectangles="247,164,82,82,0"/>
                <v:fill on="t" focussize="0,0"/>
                <v:stroke weight="2pt" color="#8C3836 [3205]" joinstyle="round"/>
                <v:imagedata o:title=""/>
                <o:lock v:ext="edit" aspectratio="f"/>
                <v:textbox>
                  <w:txbxContent>
                    <w:p>
                      <w:pPr>
                        <w:jc w:val="center"/>
                      </w:pPr>
                    </w:p>
                  </w:txbxContent>
                </v:textbox>
              </v:shape>
            </w:pict>
          </mc:Fallback>
        </mc:AlternateContent>
      </w:r>
      <w:r>
        <w:drawing>
          <wp:inline distT="0" distB="0" distL="114300" distR="114300">
            <wp:extent cx="5366385" cy="4074795"/>
            <wp:effectExtent l="0" t="0" r="5715" b="190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5366385" cy="4074795"/>
                    </a:xfrm>
                    <a:prstGeom prst="rect">
                      <a:avLst/>
                    </a:prstGeom>
                    <a:noFill/>
                    <a:ln>
                      <a:noFill/>
                    </a:ln>
                  </pic:spPr>
                </pic:pic>
              </a:graphicData>
            </a:graphic>
          </wp:inline>
        </w:drawing>
      </w:r>
    </w:p>
    <w:p>
      <w:pPr>
        <w:pStyle w:val="45"/>
        <w:ind w:left="0" w:leftChars="0" w:firstLine="0" w:firstLineChars="0"/>
        <w:jc w:val="both"/>
        <w:rPr>
          <w:rFonts w:hint="eastAsia" w:ascii="黑体" w:hAnsi="宋体" w:eastAsia="黑体"/>
          <w:b/>
          <w:snapToGrid w:val="0"/>
          <w:sz w:val="32"/>
          <w:szCs w:val="32"/>
          <w:highlight w:val="none"/>
          <w:lang w:eastAsia="zh-CN"/>
        </w:rPr>
      </w:pPr>
    </w:p>
    <w:p>
      <w:pPr>
        <w:pStyle w:val="18"/>
        <w:adjustRightInd w:val="0"/>
        <w:spacing w:line="600" w:lineRule="exact"/>
        <w:ind w:left="1891" w:leftChars="126" w:hanging="1626" w:hangingChars="581"/>
        <w:jc w:val="center"/>
        <w:rPr>
          <w:rFonts w:hint="eastAsia" w:ascii="黑体" w:hAnsi="Arial" w:eastAsia="黑体"/>
          <w:snapToGrid w:val="0"/>
          <w:kern w:val="0"/>
          <w:szCs w:val="28"/>
          <w:highlight w:val="none"/>
        </w:rPr>
      </w:pPr>
      <w:r>
        <w:rPr>
          <w:rFonts w:hint="eastAsia" w:ascii="黑体" w:hAnsi="Arial" w:eastAsia="黑体"/>
          <w:snapToGrid w:val="0"/>
          <w:kern w:val="0"/>
          <w:szCs w:val="28"/>
          <w:highlight w:val="none"/>
        </w:rPr>
        <w:t>深圳市国咨土地房地产资产评估有限公司</w:t>
      </w:r>
    </w:p>
    <w:p>
      <w:pPr>
        <w:pStyle w:val="18"/>
        <w:adjustRightInd w:val="0"/>
        <w:spacing w:line="600" w:lineRule="exact"/>
        <w:ind w:left="1891" w:leftChars="126" w:hanging="1626" w:hangingChars="581"/>
        <w:jc w:val="center"/>
        <w:rPr>
          <w:rFonts w:hint="eastAsia" w:ascii="黑体" w:hAnsi="Arial" w:eastAsia="黑体"/>
          <w:snapToGrid w:val="0"/>
          <w:kern w:val="0"/>
          <w:szCs w:val="28"/>
          <w:highlight w:val="none"/>
        </w:rPr>
      </w:pPr>
      <w:r>
        <w:rPr>
          <w:rFonts w:hint="eastAsia" w:ascii="黑体" w:hAnsi="Arial" w:eastAsia="黑体"/>
          <w:snapToGrid w:val="0"/>
          <w:kern w:val="0"/>
          <w:szCs w:val="28"/>
          <w:highlight w:val="none"/>
          <w:lang w:eastAsia="zh-CN"/>
        </w:rPr>
        <w:t xml:space="preserve">二〇二二年四月十九日 </w:t>
      </w:r>
    </w:p>
    <w:p>
      <w:pPr>
        <w:rPr>
          <w:rFonts w:hint="eastAsia" w:ascii="黑体" w:hAnsi="Arial" w:eastAsia="黑体"/>
          <w:snapToGrid w:val="0"/>
          <w:kern w:val="0"/>
          <w:szCs w:val="28"/>
          <w:highlight w:val="none"/>
        </w:rPr>
      </w:pPr>
      <w:r>
        <w:rPr>
          <w:rFonts w:hint="eastAsia" w:ascii="黑体" w:hAnsi="Arial" w:eastAsia="黑体"/>
          <w:snapToGrid w:val="0"/>
          <w:kern w:val="0"/>
          <w:szCs w:val="28"/>
          <w:highlight w:val="none"/>
        </w:rPr>
        <w:br w:type="page"/>
      </w:r>
    </w:p>
    <w:p>
      <w:pPr>
        <w:jc w:val="center"/>
        <w:rPr>
          <w:rFonts w:ascii="黑体" w:hAnsi="黑体" w:eastAsia="黑体"/>
          <w:b/>
          <w:snapToGrid w:val="0"/>
          <w:kern w:val="0"/>
          <w:sz w:val="32"/>
          <w:szCs w:val="32"/>
          <w:highlight w:val="none"/>
        </w:rPr>
      </w:pPr>
      <w:r>
        <w:rPr>
          <w:rFonts w:hint="eastAsia" w:ascii="黑体" w:hAnsi="黑体" w:eastAsia="黑体"/>
          <w:b/>
          <w:snapToGrid w:val="0"/>
          <w:kern w:val="0"/>
          <w:sz w:val="32"/>
          <w:szCs w:val="32"/>
          <w:highlight w:val="none"/>
        </w:rPr>
        <w:t>报 告 目 录</w:t>
      </w:r>
    </w:p>
    <w:p>
      <w:pPr>
        <w:pStyle w:val="37"/>
        <w:tabs>
          <w:tab w:val="right" w:leader="dot" w:pos="8174"/>
        </w:tabs>
        <w:ind w:left="0" w:leftChars="0"/>
        <w:rPr>
          <w:rFonts w:ascii="仿宋" w:hAnsi="仿宋" w:eastAsia="仿宋"/>
          <w:snapToGrid w:val="0"/>
          <w:kern w:val="0"/>
          <w:sz w:val="28"/>
          <w:szCs w:val="28"/>
          <w:highlight w:val="none"/>
        </w:rPr>
      </w:pPr>
    </w:p>
    <w:p>
      <w:pPr>
        <w:pStyle w:val="30"/>
        <w:tabs>
          <w:tab w:val="right" w:leader="dot" w:pos="8458"/>
          <w:tab w:val="clear" w:pos="8448"/>
        </w:tabs>
      </w:pPr>
      <w:r>
        <w:rPr>
          <w:rFonts w:hint="eastAsia" w:ascii="仿宋" w:hAnsi="仿宋" w:eastAsia="仿宋"/>
          <w:snapToGrid w:val="0"/>
          <w:kern w:val="0"/>
          <w:sz w:val="28"/>
          <w:szCs w:val="28"/>
          <w:highlight w:val="none"/>
        </w:rPr>
        <w:fldChar w:fldCharType="begin"/>
      </w:r>
      <w:r>
        <w:rPr>
          <w:rFonts w:hint="eastAsia" w:ascii="仿宋" w:hAnsi="仿宋" w:eastAsia="仿宋"/>
          <w:snapToGrid w:val="0"/>
          <w:kern w:val="0"/>
          <w:sz w:val="28"/>
          <w:szCs w:val="28"/>
          <w:highlight w:val="none"/>
        </w:rPr>
        <w:instrText xml:space="preserve"> TOC \o "1-3" \h \z </w:instrText>
      </w:r>
      <w:r>
        <w:rPr>
          <w:rFonts w:hint="eastAsia" w:ascii="仿宋" w:hAnsi="仿宋" w:eastAsia="仿宋"/>
          <w:snapToGrid w:val="0"/>
          <w:kern w:val="0"/>
          <w:sz w:val="28"/>
          <w:szCs w:val="28"/>
          <w:highlight w:val="none"/>
        </w:rPr>
        <w:fldChar w:fldCharType="separate"/>
      </w: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_Toc16466 </w:instrText>
      </w:r>
      <w:r>
        <w:rPr>
          <w:rFonts w:hint="eastAsia" w:ascii="仿宋" w:hAnsi="仿宋" w:eastAsia="仿宋"/>
          <w:snapToGrid w:val="0"/>
          <w:kern w:val="0"/>
          <w:szCs w:val="28"/>
          <w:highlight w:val="none"/>
        </w:rPr>
        <w:fldChar w:fldCharType="separate"/>
      </w:r>
      <w:r>
        <w:rPr>
          <w:rFonts w:hint="eastAsia" w:ascii="黑体" w:hAnsi="黑体" w:eastAsia="黑体" w:cs="黑体"/>
          <w:bCs/>
          <w:snapToGrid w:val="0"/>
          <w:kern w:val="0"/>
          <w:szCs w:val="44"/>
          <w:highlight w:val="none"/>
        </w:rPr>
        <w:t>致委托人函</w:t>
      </w:r>
      <w:r>
        <w:tab/>
      </w:r>
      <w:r>
        <w:fldChar w:fldCharType="begin"/>
      </w:r>
      <w:r>
        <w:instrText xml:space="preserve"> PAGEREF _Toc16466 \h </w:instrText>
      </w:r>
      <w:r>
        <w:fldChar w:fldCharType="separate"/>
      </w:r>
      <w:r>
        <w:t>1</w:t>
      </w:r>
      <w:r>
        <w:fldChar w:fldCharType="end"/>
      </w:r>
      <w:r>
        <w:rPr>
          <w:rFonts w:hint="eastAsia" w:ascii="仿宋" w:hAnsi="仿宋" w:eastAsia="仿宋"/>
          <w:snapToGrid w:val="0"/>
          <w:kern w:val="0"/>
          <w:szCs w:val="28"/>
          <w:highlight w:val="none"/>
        </w:rPr>
        <w:fldChar w:fldCharType="end"/>
      </w:r>
    </w:p>
    <w:p>
      <w:pPr>
        <w:pStyle w:val="30"/>
        <w:tabs>
          <w:tab w:val="right" w:leader="dot" w:pos="8458"/>
          <w:tab w:val="clear" w:pos="844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_Toc661 </w:instrText>
      </w:r>
      <w:r>
        <w:rPr>
          <w:rFonts w:hint="eastAsia" w:ascii="仿宋" w:hAnsi="仿宋" w:eastAsia="仿宋"/>
          <w:snapToGrid w:val="0"/>
          <w:kern w:val="0"/>
          <w:szCs w:val="28"/>
          <w:highlight w:val="none"/>
        </w:rPr>
        <w:fldChar w:fldCharType="separate"/>
      </w:r>
      <w:r>
        <w:rPr>
          <w:rFonts w:hint="eastAsia" w:ascii="黑体" w:hAnsi="黑体" w:eastAsia="黑体" w:cs="黑体"/>
          <w:bCs/>
          <w:snapToGrid w:val="0"/>
          <w:kern w:val="0"/>
          <w:szCs w:val="44"/>
          <w:highlight w:val="none"/>
        </w:rPr>
        <w:t>注册房地产估价师声明</w:t>
      </w:r>
      <w:r>
        <w:tab/>
      </w:r>
      <w:r>
        <w:fldChar w:fldCharType="begin"/>
      </w:r>
      <w:r>
        <w:instrText xml:space="preserve"> PAGEREF _Toc661 \h </w:instrText>
      </w:r>
      <w:r>
        <w:fldChar w:fldCharType="separate"/>
      </w:r>
      <w:r>
        <w:t>3</w:t>
      </w:r>
      <w:r>
        <w:fldChar w:fldCharType="end"/>
      </w:r>
      <w:r>
        <w:rPr>
          <w:rFonts w:hint="eastAsia" w:ascii="仿宋" w:hAnsi="仿宋" w:eastAsia="仿宋"/>
          <w:snapToGrid w:val="0"/>
          <w:kern w:val="0"/>
          <w:szCs w:val="28"/>
          <w:highlight w:val="none"/>
        </w:rPr>
        <w:fldChar w:fldCharType="end"/>
      </w:r>
    </w:p>
    <w:p>
      <w:pPr>
        <w:pStyle w:val="30"/>
        <w:tabs>
          <w:tab w:val="right" w:leader="dot" w:pos="8458"/>
          <w:tab w:val="clear" w:pos="844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_Toc15093 </w:instrText>
      </w:r>
      <w:r>
        <w:rPr>
          <w:rFonts w:hint="eastAsia" w:ascii="仿宋" w:hAnsi="仿宋" w:eastAsia="仿宋"/>
          <w:snapToGrid w:val="0"/>
          <w:kern w:val="0"/>
          <w:szCs w:val="28"/>
          <w:highlight w:val="none"/>
        </w:rPr>
        <w:fldChar w:fldCharType="separate"/>
      </w:r>
      <w:r>
        <w:rPr>
          <w:rFonts w:hint="eastAsia" w:ascii="黑体" w:hAnsi="黑体" w:eastAsia="黑体" w:cs="黑体"/>
          <w:bCs/>
          <w:snapToGrid w:val="0"/>
          <w:kern w:val="0"/>
          <w:szCs w:val="44"/>
          <w:highlight w:val="none"/>
        </w:rPr>
        <w:t>估价假设和限制条件</w:t>
      </w:r>
      <w:r>
        <w:tab/>
      </w:r>
      <w:r>
        <w:fldChar w:fldCharType="begin"/>
      </w:r>
      <w:r>
        <w:instrText xml:space="preserve"> PAGEREF _Toc15093 \h </w:instrText>
      </w:r>
      <w:r>
        <w:fldChar w:fldCharType="separate"/>
      </w:r>
      <w:r>
        <w:t>6</w:t>
      </w:r>
      <w:r>
        <w:fldChar w:fldCharType="end"/>
      </w:r>
      <w:r>
        <w:rPr>
          <w:rFonts w:hint="eastAsia" w:ascii="仿宋" w:hAnsi="仿宋" w:eastAsia="仿宋"/>
          <w:snapToGrid w:val="0"/>
          <w:kern w:val="0"/>
          <w:szCs w:val="28"/>
          <w:highlight w:val="none"/>
        </w:rPr>
        <w:fldChar w:fldCharType="end"/>
      </w:r>
    </w:p>
    <w:p>
      <w:pPr>
        <w:pStyle w:val="30"/>
        <w:tabs>
          <w:tab w:val="right" w:leader="dot" w:pos="8458"/>
          <w:tab w:val="clear" w:pos="844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_Toc1357 </w:instrText>
      </w:r>
      <w:r>
        <w:rPr>
          <w:rFonts w:hint="eastAsia" w:ascii="仿宋" w:hAnsi="仿宋" w:eastAsia="仿宋"/>
          <w:snapToGrid w:val="0"/>
          <w:kern w:val="0"/>
          <w:szCs w:val="28"/>
          <w:highlight w:val="none"/>
        </w:rPr>
        <w:fldChar w:fldCharType="separate"/>
      </w:r>
      <w:r>
        <w:rPr>
          <w:rFonts w:hint="eastAsia" w:ascii="黑体" w:hAnsi="黑体" w:eastAsia="黑体" w:cs="黑体"/>
          <w:bCs/>
          <w:snapToGrid w:val="0"/>
          <w:kern w:val="0"/>
          <w:szCs w:val="44"/>
          <w:highlight w:val="none"/>
        </w:rPr>
        <w:t>估价结果报告</w:t>
      </w:r>
      <w:r>
        <w:tab/>
      </w:r>
      <w:r>
        <w:fldChar w:fldCharType="begin"/>
      </w:r>
      <w:r>
        <w:instrText xml:space="preserve"> PAGEREF _Toc1357 \h </w:instrText>
      </w:r>
      <w:r>
        <w:fldChar w:fldCharType="separate"/>
      </w:r>
      <w:r>
        <w:t>10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_Toc14601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（一）估价委托人</w:t>
      </w:r>
      <w:r>
        <w:tab/>
      </w:r>
      <w:r>
        <w:fldChar w:fldCharType="begin"/>
      </w:r>
      <w:r>
        <w:instrText xml:space="preserve"> PAGEREF _Toc14601 \h </w:instrText>
      </w:r>
      <w:r>
        <w:fldChar w:fldCharType="separate"/>
      </w:r>
      <w:r>
        <w:t>10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_Toc24059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（二）估价机构</w:t>
      </w:r>
      <w:r>
        <w:tab/>
      </w:r>
      <w:r>
        <w:fldChar w:fldCharType="begin"/>
      </w:r>
      <w:r>
        <w:instrText xml:space="preserve"> PAGEREF _Toc24059 \h </w:instrText>
      </w:r>
      <w:r>
        <w:fldChar w:fldCharType="separate"/>
      </w:r>
      <w:r>
        <w:t>10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_Toc1380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（三）估价对象</w:t>
      </w:r>
      <w:r>
        <w:tab/>
      </w:r>
      <w:r>
        <w:fldChar w:fldCharType="begin"/>
      </w:r>
      <w:r>
        <w:instrText xml:space="preserve"> PAGEREF _Toc1380 \h </w:instrText>
      </w:r>
      <w:r>
        <w:fldChar w:fldCharType="separate"/>
      </w:r>
      <w:r>
        <w:t>10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_Toc2141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（四）估价目的</w:t>
      </w:r>
      <w:r>
        <w:tab/>
      </w:r>
      <w:r>
        <w:fldChar w:fldCharType="begin"/>
      </w:r>
      <w:r>
        <w:instrText xml:space="preserve"> PAGEREF _Toc2141 \h </w:instrText>
      </w:r>
      <w:r>
        <w:fldChar w:fldCharType="separate"/>
      </w:r>
      <w:r>
        <w:t>12</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_Toc8194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（五）</w:t>
      </w:r>
      <w:r>
        <w:rPr>
          <w:rFonts w:hint="eastAsia" w:ascii="黑体" w:hAnsi="黑体" w:cs="黑体"/>
          <w:snapToGrid w:val="0"/>
          <w:kern w:val="0"/>
          <w:szCs w:val="30"/>
          <w:highlight w:val="none"/>
          <w:lang w:eastAsia="zh-CN"/>
        </w:rPr>
        <w:t>价格</w:t>
      </w:r>
      <w:r>
        <w:rPr>
          <w:rFonts w:hint="eastAsia" w:ascii="黑体" w:hAnsi="黑体" w:cs="黑体"/>
          <w:snapToGrid w:val="0"/>
          <w:kern w:val="0"/>
          <w:szCs w:val="30"/>
          <w:highlight w:val="none"/>
        </w:rPr>
        <w:t>时点</w:t>
      </w:r>
      <w:r>
        <w:tab/>
      </w:r>
      <w:r>
        <w:fldChar w:fldCharType="begin"/>
      </w:r>
      <w:r>
        <w:instrText xml:space="preserve"> PAGEREF _Toc8194 \h </w:instrText>
      </w:r>
      <w:r>
        <w:fldChar w:fldCharType="separate"/>
      </w:r>
      <w:r>
        <w:t>12</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_Toc4821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（六）</w:t>
      </w:r>
      <w:r>
        <w:rPr>
          <w:rFonts w:hint="eastAsia" w:ascii="黑体" w:hAnsi="黑体" w:cs="黑体"/>
          <w:snapToGrid w:val="0"/>
          <w:kern w:val="0"/>
          <w:szCs w:val="30"/>
          <w:highlight w:val="none"/>
          <w:lang w:eastAsia="zh-CN"/>
        </w:rPr>
        <w:t>价格</w:t>
      </w:r>
      <w:r>
        <w:rPr>
          <w:rFonts w:hint="eastAsia" w:ascii="黑体" w:hAnsi="黑体" w:cs="黑体"/>
          <w:snapToGrid w:val="0"/>
          <w:kern w:val="0"/>
          <w:szCs w:val="30"/>
          <w:highlight w:val="none"/>
        </w:rPr>
        <w:t>定义</w:t>
      </w:r>
      <w:r>
        <w:tab/>
      </w:r>
      <w:r>
        <w:fldChar w:fldCharType="begin"/>
      </w:r>
      <w:r>
        <w:instrText xml:space="preserve"> PAGEREF _Toc4821 \h </w:instrText>
      </w:r>
      <w:r>
        <w:fldChar w:fldCharType="separate"/>
      </w:r>
      <w:r>
        <w:t>12</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_Toc31436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（七）估价依据</w:t>
      </w:r>
      <w:r>
        <w:tab/>
      </w:r>
      <w:r>
        <w:fldChar w:fldCharType="begin"/>
      </w:r>
      <w:r>
        <w:instrText xml:space="preserve"> PAGEREF _Toc31436 \h </w:instrText>
      </w:r>
      <w:r>
        <w:fldChar w:fldCharType="separate"/>
      </w:r>
      <w:r>
        <w:t>12</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_Toc30850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（八）估价原则</w:t>
      </w:r>
      <w:r>
        <w:tab/>
      </w:r>
      <w:r>
        <w:fldChar w:fldCharType="begin"/>
      </w:r>
      <w:r>
        <w:instrText xml:space="preserve"> PAGEREF _Toc30850 \h </w:instrText>
      </w:r>
      <w:r>
        <w:fldChar w:fldCharType="separate"/>
      </w:r>
      <w:r>
        <w:t>14</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_Toc14778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（九）估价方法</w:t>
      </w:r>
      <w:r>
        <w:tab/>
      </w:r>
      <w:r>
        <w:fldChar w:fldCharType="begin"/>
      </w:r>
      <w:r>
        <w:instrText xml:space="preserve"> PAGEREF _Toc14778 \h </w:instrText>
      </w:r>
      <w:r>
        <w:fldChar w:fldCharType="separate"/>
      </w:r>
      <w:r>
        <w:t>15</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_Toc30072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（十）估价结果</w:t>
      </w:r>
      <w:r>
        <w:tab/>
      </w:r>
      <w:r>
        <w:fldChar w:fldCharType="begin"/>
      </w:r>
      <w:r>
        <w:instrText xml:space="preserve"> PAGEREF _Toc30072 \h </w:instrText>
      </w:r>
      <w:r>
        <w:fldChar w:fldCharType="separate"/>
      </w:r>
      <w:r>
        <w:t>16</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_Toc30910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（十一）估价人员</w:t>
      </w:r>
      <w:r>
        <w:tab/>
      </w:r>
      <w:r>
        <w:fldChar w:fldCharType="begin"/>
      </w:r>
      <w:r>
        <w:instrText xml:space="preserve"> PAGEREF _Toc30910 \h </w:instrText>
      </w:r>
      <w:r>
        <w:fldChar w:fldCharType="separate"/>
      </w:r>
      <w:r>
        <w:t>17</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_Toc27996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（十</w:t>
      </w:r>
      <w:r>
        <w:rPr>
          <w:rFonts w:hint="eastAsia" w:ascii="黑体" w:hAnsi="黑体" w:cs="黑体"/>
          <w:snapToGrid w:val="0"/>
          <w:kern w:val="0"/>
          <w:szCs w:val="30"/>
          <w:highlight w:val="none"/>
          <w:lang w:val="en-US" w:eastAsia="zh-CN"/>
        </w:rPr>
        <w:t>二</w:t>
      </w:r>
      <w:r>
        <w:rPr>
          <w:rFonts w:hint="eastAsia" w:ascii="黑体" w:hAnsi="黑体" w:cs="黑体"/>
          <w:snapToGrid w:val="0"/>
          <w:kern w:val="0"/>
          <w:szCs w:val="30"/>
          <w:highlight w:val="none"/>
        </w:rPr>
        <w:t>）实地查勘期</w:t>
      </w:r>
      <w:r>
        <w:tab/>
      </w:r>
      <w:r>
        <w:fldChar w:fldCharType="begin"/>
      </w:r>
      <w:r>
        <w:instrText xml:space="preserve"> PAGEREF _Toc27996 \h </w:instrText>
      </w:r>
      <w:r>
        <w:fldChar w:fldCharType="separate"/>
      </w:r>
      <w:r>
        <w:t>17</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_Toc28257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（十</w:t>
      </w:r>
      <w:r>
        <w:rPr>
          <w:rFonts w:hint="eastAsia" w:ascii="黑体" w:hAnsi="黑体" w:cs="黑体"/>
          <w:snapToGrid w:val="0"/>
          <w:kern w:val="0"/>
          <w:szCs w:val="30"/>
          <w:highlight w:val="none"/>
          <w:lang w:val="en-US" w:eastAsia="zh-CN"/>
        </w:rPr>
        <w:t>三</w:t>
      </w:r>
      <w:r>
        <w:rPr>
          <w:rFonts w:hint="eastAsia" w:ascii="黑体" w:hAnsi="黑体" w:cs="黑体"/>
          <w:snapToGrid w:val="0"/>
          <w:kern w:val="0"/>
          <w:szCs w:val="30"/>
          <w:highlight w:val="none"/>
        </w:rPr>
        <w:t>）估价作业日期</w:t>
      </w:r>
      <w:r>
        <w:tab/>
      </w:r>
      <w:r>
        <w:fldChar w:fldCharType="begin"/>
      </w:r>
      <w:r>
        <w:instrText xml:space="preserve"> PAGEREF _Toc28257 \h </w:instrText>
      </w:r>
      <w:r>
        <w:fldChar w:fldCharType="separate"/>
      </w:r>
      <w:r>
        <w:t>17</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_Toc41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（十</w:t>
      </w:r>
      <w:r>
        <w:rPr>
          <w:rFonts w:hint="eastAsia" w:ascii="黑体" w:hAnsi="黑体" w:cs="黑体"/>
          <w:snapToGrid w:val="0"/>
          <w:kern w:val="0"/>
          <w:szCs w:val="30"/>
          <w:highlight w:val="none"/>
          <w:lang w:val="en-US" w:eastAsia="zh-CN"/>
        </w:rPr>
        <w:t>四</w:t>
      </w:r>
      <w:r>
        <w:rPr>
          <w:rFonts w:hint="eastAsia" w:ascii="黑体" w:hAnsi="黑体" w:cs="黑体"/>
          <w:snapToGrid w:val="0"/>
          <w:kern w:val="0"/>
          <w:szCs w:val="30"/>
          <w:highlight w:val="none"/>
        </w:rPr>
        <w:t>）估价报告应用的有效期</w:t>
      </w:r>
      <w:r>
        <w:tab/>
      </w:r>
      <w:r>
        <w:fldChar w:fldCharType="begin"/>
      </w:r>
      <w:r>
        <w:instrText xml:space="preserve"> PAGEREF _Toc41 \h </w:instrText>
      </w:r>
      <w:r>
        <w:fldChar w:fldCharType="separate"/>
      </w:r>
      <w:r>
        <w:t>17</w:t>
      </w:r>
      <w:r>
        <w:fldChar w:fldCharType="end"/>
      </w:r>
      <w:r>
        <w:rPr>
          <w:rFonts w:hint="eastAsia" w:ascii="仿宋" w:hAnsi="仿宋" w:eastAsia="仿宋"/>
          <w:snapToGrid w:val="0"/>
          <w:kern w:val="0"/>
          <w:szCs w:val="28"/>
          <w:highlight w:val="none"/>
        </w:rPr>
        <w:fldChar w:fldCharType="end"/>
      </w:r>
    </w:p>
    <w:p>
      <w:pPr>
        <w:pStyle w:val="30"/>
        <w:tabs>
          <w:tab w:val="right" w:leader="dot" w:pos="8458"/>
          <w:tab w:val="clear" w:pos="844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_Toc14331 </w:instrText>
      </w:r>
      <w:r>
        <w:rPr>
          <w:rFonts w:hint="eastAsia" w:ascii="仿宋" w:hAnsi="仿宋" w:eastAsia="仿宋"/>
          <w:snapToGrid w:val="0"/>
          <w:kern w:val="0"/>
          <w:szCs w:val="28"/>
          <w:highlight w:val="none"/>
        </w:rPr>
        <w:fldChar w:fldCharType="separate"/>
      </w:r>
      <w:r>
        <w:rPr>
          <w:rFonts w:hint="eastAsia" w:ascii="黑体" w:hAnsi="黑体" w:eastAsia="黑体" w:cs="黑体"/>
          <w:bCs/>
          <w:snapToGrid w:val="0"/>
          <w:kern w:val="0"/>
          <w:szCs w:val="44"/>
          <w:highlight w:val="none"/>
        </w:rPr>
        <w:t>附　　件</w:t>
      </w:r>
      <w:r>
        <w:tab/>
      </w:r>
      <w:r>
        <w:fldChar w:fldCharType="begin"/>
      </w:r>
      <w:r>
        <w:instrText xml:space="preserve"> PAGEREF _Toc14331 \h </w:instrText>
      </w:r>
      <w:r>
        <w:fldChar w:fldCharType="separate"/>
      </w:r>
      <w:r>
        <w:t>18</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_Toc1524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（一）（2022）黔2624法评9号《司法鉴定委托书》复印件</w:t>
      </w:r>
      <w:r>
        <w:tab/>
      </w:r>
      <w:r>
        <w:fldChar w:fldCharType="begin"/>
      </w:r>
      <w:r>
        <w:instrText xml:space="preserve"> PAGEREF _Toc1524 \h </w:instrText>
      </w:r>
      <w:r>
        <w:fldChar w:fldCharType="separate"/>
      </w:r>
      <w:r>
        <w:t>18</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_Toc17641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（二）估价对象位置图</w:t>
      </w:r>
      <w:r>
        <w:tab/>
      </w:r>
      <w:r>
        <w:fldChar w:fldCharType="begin"/>
      </w:r>
      <w:r>
        <w:instrText xml:space="preserve"> PAGEREF _Toc17641 \h </w:instrText>
      </w:r>
      <w:r>
        <w:fldChar w:fldCharType="separate"/>
      </w:r>
      <w:r>
        <w:t>18</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_Toc12767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（三）估价对象照片</w:t>
      </w:r>
      <w:r>
        <w:tab/>
      </w:r>
      <w:r>
        <w:fldChar w:fldCharType="begin"/>
      </w:r>
      <w:r>
        <w:instrText xml:space="preserve"> PAGEREF _Toc12767 \h </w:instrText>
      </w:r>
      <w:r>
        <w:fldChar w:fldCharType="separate"/>
      </w:r>
      <w:r>
        <w:t>18</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_Toc16428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（四）可比案例位置图及照片</w:t>
      </w:r>
      <w:r>
        <w:tab/>
      </w:r>
      <w:r>
        <w:fldChar w:fldCharType="begin"/>
      </w:r>
      <w:r>
        <w:instrText xml:space="preserve"> PAGEREF _Toc16428 \h </w:instrText>
      </w:r>
      <w:r>
        <w:fldChar w:fldCharType="separate"/>
      </w:r>
      <w:r>
        <w:t>18</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_Toc23970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（五）《贵州省不动产登记查询结果》复印件</w:t>
      </w:r>
      <w:r>
        <w:tab/>
      </w:r>
      <w:r>
        <w:fldChar w:fldCharType="begin"/>
      </w:r>
      <w:r>
        <w:instrText xml:space="preserve"> PAGEREF _Toc23970 \h </w:instrText>
      </w:r>
      <w:r>
        <w:fldChar w:fldCharType="separate"/>
      </w:r>
      <w:r>
        <w:t>18</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_Toc5213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（六）《房地产估价机构营业执照》复印件</w:t>
      </w:r>
      <w:r>
        <w:tab/>
      </w:r>
      <w:r>
        <w:fldChar w:fldCharType="begin"/>
      </w:r>
      <w:r>
        <w:instrText xml:space="preserve"> PAGEREF _Toc5213 \h </w:instrText>
      </w:r>
      <w:r>
        <w:fldChar w:fldCharType="separate"/>
      </w:r>
      <w:r>
        <w:t>18</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_Toc19019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（七）《房地产估价机构资质证书》复印件</w:t>
      </w:r>
      <w:r>
        <w:tab/>
      </w:r>
      <w:r>
        <w:fldChar w:fldCharType="begin"/>
      </w:r>
      <w:r>
        <w:instrText xml:space="preserve"> PAGEREF _Toc19019 \h </w:instrText>
      </w:r>
      <w:r>
        <w:fldChar w:fldCharType="separate"/>
      </w:r>
      <w:r>
        <w:t>18</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_Toc17364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（八）《房地产估价师注册证书》复印件</w:t>
      </w:r>
      <w:r>
        <w:tab/>
      </w:r>
      <w:r>
        <w:fldChar w:fldCharType="begin"/>
      </w:r>
      <w:r>
        <w:instrText xml:space="preserve"> PAGEREF _Toc17364 \h </w:instrText>
      </w:r>
      <w:r>
        <w:fldChar w:fldCharType="separate"/>
      </w:r>
      <w:r>
        <w:t>18</w:t>
      </w:r>
      <w:r>
        <w:fldChar w:fldCharType="end"/>
      </w:r>
      <w:r>
        <w:rPr>
          <w:rFonts w:hint="eastAsia" w:ascii="仿宋" w:hAnsi="仿宋" w:eastAsia="仿宋"/>
          <w:snapToGrid w:val="0"/>
          <w:kern w:val="0"/>
          <w:szCs w:val="28"/>
          <w:highlight w:val="none"/>
        </w:rPr>
        <w:fldChar w:fldCharType="end"/>
      </w:r>
    </w:p>
    <w:p>
      <w:pPr>
        <w:pStyle w:val="37"/>
        <w:tabs>
          <w:tab w:val="right" w:leader="dot" w:pos="8174"/>
        </w:tabs>
        <w:rPr>
          <w:rFonts w:ascii="楷体_GB2312" w:hAnsi="楷体" w:eastAsia="楷体_GB2312"/>
          <w:bCs/>
          <w:snapToGrid w:val="0"/>
          <w:kern w:val="0"/>
          <w:szCs w:val="21"/>
          <w:highlight w:val="none"/>
        </w:rPr>
        <w:sectPr>
          <w:pgSz w:w="11907" w:h="16840"/>
          <w:pgMar w:top="426" w:right="1723" w:bottom="568" w:left="1726" w:header="680" w:footer="794" w:gutter="284"/>
          <w:pgBorders>
            <w:top w:val="none" w:sz="0" w:space="0"/>
            <w:left w:val="none" w:sz="0" w:space="0"/>
            <w:bottom w:val="none" w:sz="0" w:space="0"/>
            <w:right w:val="none" w:sz="0" w:space="0"/>
          </w:pgBorders>
          <w:cols w:space="720" w:num="1"/>
          <w:docGrid w:type="lines" w:linePitch="479" w:charSpace="11986"/>
        </w:sectPr>
      </w:pPr>
      <w:r>
        <w:rPr>
          <w:rFonts w:hint="eastAsia" w:ascii="仿宋" w:hAnsi="仿宋" w:eastAsia="仿宋"/>
          <w:snapToGrid w:val="0"/>
          <w:kern w:val="0"/>
          <w:szCs w:val="28"/>
          <w:highlight w:val="none"/>
        </w:rPr>
        <w:fldChar w:fldCharType="end"/>
      </w:r>
    </w:p>
    <w:p>
      <w:pPr>
        <w:pStyle w:val="3"/>
        <w:keepLines/>
        <w:ind w:firstLine="425" w:firstLineChars="0"/>
        <w:rPr>
          <w:rFonts w:ascii="黑体" w:hAnsi="黑体" w:eastAsia="黑体" w:cs="黑体"/>
          <w:bCs/>
          <w:snapToGrid w:val="0"/>
          <w:kern w:val="0"/>
          <w:sz w:val="44"/>
          <w:szCs w:val="44"/>
          <w:highlight w:val="none"/>
        </w:rPr>
      </w:pPr>
      <w:bookmarkStart w:id="0" w:name="_Toc16466"/>
      <w:bookmarkStart w:id="1" w:name="_Toc17960840"/>
      <w:r>
        <w:rPr>
          <w:rFonts w:hint="eastAsia" w:ascii="黑体" w:hAnsi="黑体" w:eastAsia="黑体" w:cs="黑体"/>
          <w:bCs/>
          <w:snapToGrid w:val="0"/>
          <w:kern w:val="0"/>
          <w:sz w:val="44"/>
          <w:szCs w:val="44"/>
          <w:highlight w:val="none"/>
        </w:rPr>
        <w:t>致委托人函</w:t>
      </w:r>
      <w:bookmarkEnd w:id="0"/>
      <w:bookmarkEnd w:id="1"/>
    </w:p>
    <w:p>
      <w:pPr>
        <w:adjustRightInd w:val="0"/>
        <w:snapToGrid w:val="0"/>
        <w:spacing w:line="420" w:lineRule="auto"/>
        <w:rPr>
          <w:rFonts w:ascii="黑体" w:hAnsi="黑体" w:eastAsia="黑体" w:cs="黑体"/>
          <w:b/>
          <w:bCs/>
          <w:kern w:val="28"/>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420" w:lineRule="auto"/>
        <w:textAlignment w:val="auto"/>
        <w:rPr>
          <w:rFonts w:ascii="黑体" w:hAnsi="黑体" w:eastAsia="黑体" w:cs="黑体"/>
          <w:b/>
          <w:bCs/>
          <w:kern w:val="28"/>
          <w:sz w:val="28"/>
          <w:szCs w:val="28"/>
          <w:highlight w:val="none"/>
        </w:rPr>
      </w:pPr>
      <w:r>
        <w:rPr>
          <w:rFonts w:hint="eastAsia" w:ascii="黑体" w:hAnsi="黑体" w:eastAsia="黑体" w:cs="黑体"/>
          <w:b/>
          <w:bCs/>
          <w:kern w:val="28"/>
          <w:sz w:val="28"/>
          <w:szCs w:val="28"/>
          <w:highlight w:val="none"/>
          <w:lang w:eastAsia="zh-CN"/>
        </w:rPr>
        <w:t>三穗县人民法院</w:t>
      </w:r>
      <w:r>
        <w:rPr>
          <w:rFonts w:hint="eastAsia" w:ascii="黑体" w:hAnsi="黑体" w:eastAsia="黑体" w:cs="黑体"/>
          <w:b/>
          <w:bCs/>
          <w:kern w:val="28"/>
          <w:sz w:val="28"/>
          <w:szCs w:val="28"/>
          <w:highlight w:val="none"/>
        </w:rPr>
        <w:t>：</w:t>
      </w:r>
    </w:p>
    <w:p>
      <w:pPr>
        <w:pStyle w:val="35"/>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napToGrid w:val="0"/>
          <w:sz w:val="28"/>
          <w:szCs w:val="28"/>
          <w:highlight w:val="none"/>
          <w:lang w:eastAsia="zh-CN"/>
        </w:rPr>
      </w:pPr>
      <w:r>
        <w:rPr>
          <w:rFonts w:hint="eastAsia" w:ascii="仿宋" w:hAnsi="仿宋" w:eastAsia="仿宋" w:cs="仿宋"/>
          <w:snapToGrid w:val="0"/>
          <w:sz w:val="28"/>
          <w:szCs w:val="28"/>
          <w:highlight w:val="none"/>
        </w:rPr>
        <w:t>承蒙委托，我公司对贵院委托的</w:t>
      </w:r>
      <w:r>
        <w:rPr>
          <w:rFonts w:hint="eastAsia" w:ascii="仿宋" w:hAnsi="仿宋" w:eastAsia="仿宋" w:cs="仿宋"/>
          <w:snapToGrid w:val="0"/>
          <w:sz w:val="28"/>
          <w:szCs w:val="28"/>
          <w:highlight w:val="none"/>
          <w:lang w:eastAsia="zh-CN"/>
        </w:rPr>
        <w:t>龙芳/杨勇名下位于贵州省三穗县八弓镇中坝村（凯宏·城市花园三期）2幢1-9-2住宅房地产的</w:t>
      </w:r>
      <w:r>
        <w:rPr>
          <w:rFonts w:hint="eastAsia" w:ascii="仿宋" w:hAnsi="仿宋" w:eastAsia="仿宋" w:cs="仿宋"/>
          <w:snapToGrid w:val="0"/>
          <w:sz w:val="28"/>
          <w:szCs w:val="28"/>
          <w:highlight w:val="none"/>
        </w:rPr>
        <w:t>市场</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进行估价，估价对象建筑面积为</w:t>
      </w:r>
      <w:r>
        <w:rPr>
          <w:rFonts w:hint="eastAsia" w:ascii="仿宋" w:hAnsi="仿宋" w:eastAsia="仿宋" w:cs="仿宋"/>
          <w:snapToGrid w:val="0"/>
          <w:sz w:val="28"/>
          <w:szCs w:val="28"/>
          <w:highlight w:val="none"/>
          <w:lang w:val="en-US" w:eastAsia="zh-CN"/>
        </w:rPr>
        <w:t>107.29</w:t>
      </w:r>
      <w:r>
        <w:rPr>
          <w:rFonts w:hint="eastAsia" w:ascii="仿宋" w:hAnsi="仿宋" w:eastAsia="仿宋" w:cs="仿宋"/>
          <w:snapToGrid w:val="0"/>
          <w:sz w:val="28"/>
          <w:szCs w:val="28"/>
          <w:highlight w:val="none"/>
        </w:rPr>
        <w:t>平方米，</w:t>
      </w:r>
      <w:r>
        <w:rPr>
          <w:rFonts w:hint="eastAsia" w:ascii="仿宋" w:hAnsi="仿宋" w:eastAsia="仿宋" w:cs="仿宋"/>
          <w:snapToGrid w:val="0"/>
          <w:sz w:val="28"/>
          <w:szCs w:val="28"/>
          <w:highlight w:val="none"/>
          <w:lang w:val="en-US" w:eastAsia="zh-CN"/>
        </w:rPr>
        <w:t>用途为住宅，</w:t>
      </w:r>
      <w:r>
        <w:rPr>
          <w:rFonts w:hint="eastAsia" w:ascii="仿宋" w:hAnsi="仿宋" w:eastAsia="仿宋" w:cs="仿宋"/>
          <w:snapToGrid w:val="0"/>
          <w:sz w:val="28"/>
          <w:szCs w:val="28"/>
          <w:highlight w:val="none"/>
        </w:rPr>
        <w:t>估价目的是</w:t>
      </w:r>
      <w:r>
        <w:rPr>
          <w:rFonts w:hint="eastAsia" w:ascii="仿宋" w:hAnsi="仿宋" w:eastAsia="仿宋" w:cs="仿宋"/>
          <w:snapToGrid w:val="0"/>
          <w:kern w:val="0"/>
          <w:sz w:val="28"/>
          <w:szCs w:val="28"/>
          <w:highlight w:val="none"/>
          <w:lang w:val="en-US" w:eastAsia="zh-CN"/>
        </w:rPr>
        <w:t>为三穗县人民法院确定财产处置参考价提供参考依据</w:t>
      </w:r>
      <w:r>
        <w:rPr>
          <w:rFonts w:hint="eastAsia" w:ascii="仿宋" w:hAnsi="仿宋" w:eastAsia="仿宋" w:cs="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估价人员本着独立、客观、公正、合法的原则，根据估价目的，根据国家有关房地产估价的规范、规定，按照估价程序，经过现场查勘与市场调查，选用</w:t>
      </w:r>
      <w:r>
        <w:rPr>
          <w:rFonts w:hint="eastAsia" w:ascii="仿宋" w:hAnsi="仿宋" w:eastAsia="仿宋" w:cs="仿宋"/>
          <w:snapToGrid w:val="0"/>
          <w:sz w:val="28"/>
          <w:szCs w:val="28"/>
          <w:highlight w:val="none"/>
          <w:lang w:eastAsia="zh-CN"/>
        </w:rPr>
        <w:t>比较法</w:t>
      </w:r>
      <w:r>
        <w:rPr>
          <w:rFonts w:hint="eastAsia" w:ascii="仿宋" w:hAnsi="仿宋" w:eastAsia="仿宋" w:cs="仿宋"/>
          <w:snapToGrid w:val="0"/>
          <w:sz w:val="28"/>
          <w:szCs w:val="28"/>
          <w:highlight w:val="none"/>
        </w:rPr>
        <w:t>对估价对象进行了评定估算，确定估价对象未扣除预估的相关处置费用于</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时点</w:t>
      </w:r>
      <w:r>
        <w:rPr>
          <w:rFonts w:hint="eastAsia" w:ascii="仿宋" w:hAnsi="仿宋" w:eastAsia="仿宋" w:cs="仿宋"/>
          <w:snapToGrid w:val="0"/>
          <w:sz w:val="28"/>
          <w:szCs w:val="28"/>
          <w:highlight w:val="none"/>
          <w:lang w:eastAsia="zh-CN"/>
        </w:rPr>
        <w:t>二○二二年四月十三日</w:t>
      </w:r>
      <w:r>
        <w:rPr>
          <w:rFonts w:hint="eastAsia" w:ascii="仿宋" w:hAnsi="仿宋" w:eastAsia="仿宋" w:cs="仿宋"/>
          <w:snapToGrid w:val="0"/>
          <w:sz w:val="28"/>
          <w:szCs w:val="28"/>
          <w:highlight w:val="none"/>
        </w:rPr>
        <w:t>的</w:t>
      </w:r>
      <w:r>
        <w:rPr>
          <w:rFonts w:hint="eastAsia" w:ascii="仿宋" w:hAnsi="仿宋" w:eastAsia="仿宋" w:cs="仿宋"/>
          <w:snapToGrid w:val="0"/>
          <w:sz w:val="28"/>
          <w:szCs w:val="28"/>
          <w:highlight w:val="none"/>
          <w:lang w:val="en-US" w:eastAsia="zh-CN"/>
        </w:rPr>
        <w:t>评估单价为</w:t>
      </w:r>
      <w:r>
        <w:rPr>
          <w:rFonts w:hint="eastAsia" w:ascii="仿宋" w:hAnsi="仿宋" w:eastAsia="仿宋" w:cs="仿宋"/>
          <w:b/>
          <w:bCs/>
          <w:snapToGrid w:val="0"/>
          <w:sz w:val="28"/>
          <w:szCs w:val="28"/>
          <w:highlight w:val="none"/>
          <w:lang w:val="en-US" w:eastAsia="zh-CN"/>
        </w:rPr>
        <w:t>3,110元</w:t>
      </w:r>
      <w:r>
        <w:rPr>
          <w:rFonts w:hint="eastAsia" w:ascii="仿宋" w:hAnsi="仿宋" w:eastAsia="仿宋" w:cs="仿宋"/>
          <w:snapToGrid w:val="0"/>
          <w:sz w:val="28"/>
          <w:szCs w:val="28"/>
          <w:highlight w:val="none"/>
          <w:lang w:val="en-US" w:eastAsia="zh-CN"/>
        </w:rPr>
        <w:t>，评估总价</w:t>
      </w:r>
      <w:r>
        <w:rPr>
          <w:rFonts w:hint="eastAsia" w:ascii="仿宋" w:hAnsi="仿宋" w:eastAsia="仿宋" w:cs="仿宋"/>
          <w:snapToGrid w:val="0"/>
          <w:sz w:val="28"/>
          <w:szCs w:val="28"/>
          <w:highlight w:val="none"/>
        </w:rPr>
        <w:t>为人民币</w:t>
      </w:r>
      <w:r>
        <w:rPr>
          <w:rFonts w:hint="eastAsia" w:ascii="仿宋" w:hAnsi="仿宋" w:eastAsia="仿宋" w:cs="仿宋"/>
          <w:b/>
          <w:bCs/>
          <w:snapToGrid w:val="0"/>
          <w:sz w:val="28"/>
          <w:szCs w:val="28"/>
          <w:highlight w:val="none"/>
          <w:lang w:val="en-US" w:eastAsia="zh-CN"/>
        </w:rPr>
        <w:t>33.37万元</w:t>
      </w:r>
      <w:r>
        <w:rPr>
          <w:rFonts w:hint="eastAsia" w:ascii="仿宋" w:hAnsi="仿宋" w:eastAsia="仿宋" w:cs="仿宋"/>
          <w:snapToGrid w:val="0"/>
          <w:sz w:val="28"/>
          <w:szCs w:val="28"/>
          <w:highlight w:val="none"/>
        </w:rPr>
        <w:t>，大写人民币</w:t>
      </w:r>
      <w:r>
        <w:rPr>
          <w:rFonts w:hint="eastAsia" w:ascii="仿宋" w:hAnsi="仿宋" w:eastAsia="仿宋" w:cs="仿宋"/>
          <w:b/>
          <w:bCs/>
          <w:snapToGrid w:val="0"/>
          <w:sz w:val="28"/>
          <w:szCs w:val="28"/>
          <w:highlight w:val="none"/>
          <w:lang w:eastAsia="zh-CN"/>
        </w:rPr>
        <w:t>叁拾叁万叁仟柒佰圆整；</w:t>
      </w:r>
      <w:r>
        <w:rPr>
          <w:rFonts w:hint="eastAsia" w:ascii="仿宋" w:hAnsi="仿宋" w:eastAsia="仿宋" w:cs="仿宋"/>
          <w:snapToGrid w:val="0"/>
          <w:sz w:val="28"/>
          <w:szCs w:val="28"/>
          <w:highlight w:val="none"/>
        </w:rPr>
        <w:t>估价</w:t>
      </w:r>
      <w:r>
        <w:rPr>
          <w:rFonts w:hint="eastAsia" w:ascii="仿宋" w:hAnsi="仿宋" w:eastAsia="仿宋" w:cs="仿宋"/>
          <w:snapToGrid w:val="0"/>
          <w:sz w:val="28"/>
          <w:szCs w:val="28"/>
          <w:highlight w:val="none"/>
          <w:lang w:eastAsia="zh-CN"/>
        </w:rPr>
        <w:t>对象扣除预估的相关处置费用</w:t>
      </w:r>
      <w:r>
        <w:rPr>
          <w:rFonts w:hint="eastAsia" w:ascii="仿宋" w:hAnsi="仿宋" w:eastAsia="仿宋" w:cs="仿宋"/>
          <w:snapToGrid w:val="0"/>
          <w:sz w:val="28"/>
          <w:szCs w:val="28"/>
          <w:highlight w:val="none"/>
        </w:rPr>
        <w:t>于</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时点</w:t>
      </w:r>
      <w:r>
        <w:rPr>
          <w:rFonts w:hint="eastAsia" w:ascii="仿宋" w:hAnsi="仿宋" w:eastAsia="仿宋" w:cs="仿宋"/>
          <w:snapToGrid w:val="0"/>
          <w:sz w:val="28"/>
          <w:szCs w:val="28"/>
          <w:highlight w:val="none"/>
          <w:lang w:eastAsia="zh-CN"/>
        </w:rPr>
        <w:t>二○二二年四月十三日</w:t>
      </w:r>
      <w:r>
        <w:rPr>
          <w:rFonts w:hint="eastAsia" w:ascii="仿宋" w:hAnsi="仿宋" w:eastAsia="仿宋" w:cs="仿宋"/>
          <w:snapToGrid w:val="0"/>
          <w:sz w:val="28"/>
          <w:szCs w:val="28"/>
          <w:highlight w:val="none"/>
        </w:rPr>
        <w:t>的</w:t>
      </w:r>
      <w:r>
        <w:rPr>
          <w:rFonts w:hint="eastAsia" w:ascii="仿宋" w:hAnsi="仿宋" w:eastAsia="仿宋" w:cs="仿宋"/>
          <w:snapToGrid w:val="0"/>
          <w:sz w:val="28"/>
          <w:szCs w:val="28"/>
          <w:highlight w:val="none"/>
          <w:lang w:val="en-US" w:eastAsia="zh-CN"/>
        </w:rPr>
        <w:t>评估单价为</w:t>
      </w:r>
      <w:r>
        <w:rPr>
          <w:rFonts w:hint="eastAsia" w:ascii="仿宋" w:hAnsi="仿宋" w:eastAsia="仿宋" w:cs="仿宋"/>
          <w:b/>
          <w:bCs/>
          <w:snapToGrid w:val="0"/>
          <w:sz w:val="28"/>
          <w:szCs w:val="28"/>
          <w:highlight w:val="none"/>
          <w:lang w:val="en-US" w:eastAsia="zh-CN"/>
        </w:rPr>
        <w:t>2,594元</w:t>
      </w:r>
      <w:r>
        <w:rPr>
          <w:rFonts w:hint="eastAsia" w:ascii="仿宋" w:hAnsi="仿宋" w:eastAsia="仿宋" w:cs="仿宋"/>
          <w:snapToGrid w:val="0"/>
          <w:sz w:val="28"/>
          <w:szCs w:val="28"/>
          <w:highlight w:val="none"/>
          <w:lang w:val="en-US" w:eastAsia="zh-CN"/>
        </w:rPr>
        <w:t>，评估总价</w:t>
      </w:r>
      <w:r>
        <w:rPr>
          <w:rFonts w:hint="eastAsia" w:ascii="仿宋" w:hAnsi="仿宋" w:eastAsia="仿宋" w:cs="仿宋"/>
          <w:snapToGrid w:val="0"/>
          <w:sz w:val="28"/>
          <w:szCs w:val="28"/>
          <w:highlight w:val="none"/>
        </w:rPr>
        <w:t>为人民币</w:t>
      </w:r>
      <w:r>
        <w:rPr>
          <w:rFonts w:hint="eastAsia" w:ascii="仿宋" w:hAnsi="仿宋" w:eastAsia="仿宋" w:cs="仿宋"/>
          <w:b/>
          <w:bCs/>
          <w:snapToGrid w:val="0"/>
          <w:sz w:val="28"/>
          <w:szCs w:val="28"/>
          <w:highlight w:val="none"/>
          <w:lang w:val="en-US" w:eastAsia="zh-CN"/>
        </w:rPr>
        <w:t>27.83万元</w:t>
      </w:r>
      <w:r>
        <w:rPr>
          <w:rFonts w:hint="eastAsia" w:ascii="仿宋" w:hAnsi="仿宋" w:eastAsia="仿宋" w:cs="仿宋"/>
          <w:snapToGrid w:val="0"/>
          <w:sz w:val="28"/>
          <w:szCs w:val="28"/>
          <w:highlight w:val="none"/>
        </w:rPr>
        <w:t>，大写人民币</w:t>
      </w:r>
      <w:r>
        <w:rPr>
          <w:rFonts w:hint="eastAsia" w:ascii="仿宋" w:hAnsi="仿宋" w:eastAsia="仿宋" w:cs="仿宋"/>
          <w:b/>
          <w:bCs/>
          <w:snapToGrid w:val="0"/>
          <w:sz w:val="28"/>
          <w:szCs w:val="28"/>
          <w:highlight w:val="none"/>
          <w:lang w:eastAsia="zh-CN"/>
        </w:rPr>
        <w:t>贰拾柒万捌仟叁佰圆整</w:t>
      </w:r>
      <w:r>
        <w:rPr>
          <w:rFonts w:hint="eastAsia" w:ascii="仿宋" w:hAnsi="仿宋" w:eastAsia="仿宋" w:cs="仿宋"/>
          <w:snapToGrid w:val="0"/>
          <w:sz w:val="28"/>
          <w:szCs w:val="28"/>
          <w:highlight w:val="none"/>
        </w:rPr>
        <w:t>。估价结果详见《估价结果明细表》。</w:t>
      </w:r>
    </w:p>
    <w:p>
      <w:pPr>
        <w:pStyle w:val="35"/>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lang w:val="en-US" w:eastAsia="zh-CN"/>
        </w:rPr>
        <w:t>估价报告使用者在使用本报告之前须对报告全文，特别是“估价假设和限制条件”认真阅读，以免使用不当，造成损失。估价的详细结果、过程及有关说明，详见《估价结果报告》。</w:t>
      </w:r>
    </w:p>
    <w:p>
      <w:pPr>
        <w:pStyle w:val="35"/>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napToGrid w:val="0"/>
          <w:sz w:val="28"/>
          <w:szCs w:val="28"/>
          <w:highlight w:val="none"/>
        </w:rPr>
      </w:pPr>
    </w:p>
    <w:p>
      <w:pPr>
        <w:keepNext w:val="0"/>
        <w:keepLines w:val="0"/>
        <w:pageBreakBefore w:val="0"/>
        <w:widowControl w:val="0"/>
        <w:kinsoku/>
        <w:wordWrap/>
        <w:overflowPunct/>
        <w:topLinePunct w:val="0"/>
        <w:autoSpaceDE/>
        <w:autoSpaceDN/>
        <w:bidi w:val="0"/>
        <w:ind w:firstLine="723" w:firstLineChars="200"/>
        <w:textAlignment w:val="auto"/>
        <w:rPr>
          <w:rFonts w:ascii="仿宋" w:hAnsi="仿宋" w:eastAsia="仿宋" w:cs="宋体"/>
          <w:b/>
          <w:bCs/>
          <w:kern w:val="0"/>
          <w:sz w:val="36"/>
          <w:szCs w:val="36"/>
          <w:highlight w:val="none"/>
        </w:rPr>
      </w:pPr>
      <w:r>
        <w:rPr>
          <w:rFonts w:hint="eastAsia" w:ascii="仿宋" w:hAnsi="仿宋" w:eastAsia="仿宋" w:cs="宋体"/>
          <w:b/>
          <w:bCs/>
          <w:kern w:val="0"/>
          <w:sz w:val="36"/>
          <w:szCs w:val="36"/>
          <w:highlight w:val="none"/>
        </w:rPr>
        <w:br w:type="page"/>
      </w:r>
    </w:p>
    <w:p>
      <w:pPr>
        <w:widowControl/>
        <w:jc w:val="center"/>
        <w:rPr>
          <w:rFonts w:ascii="仿宋" w:hAnsi="仿宋" w:eastAsia="仿宋" w:cs="宋体"/>
          <w:b/>
          <w:bCs/>
          <w:kern w:val="0"/>
          <w:sz w:val="36"/>
          <w:szCs w:val="36"/>
          <w:highlight w:val="none"/>
        </w:rPr>
      </w:pPr>
      <w:r>
        <w:rPr>
          <w:rFonts w:hint="eastAsia" w:ascii="仿宋" w:hAnsi="仿宋" w:eastAsia="仿宋" w:cs="宋体"/>
          <w:b/>
          <w:bCs/>
          <w:kern w:val="0"/>
          <w:sz w:val="36"/>
          <w:szCs w:val="36"/>
          <w:highlight w:val="none"/>
        </w:rPr>
        <w:t>估价结果明细表</w:t>
      </w:r>
    </w:p>
    <w:p>
      <w:pPr>
        <w:keepNext w:val="0"/>
        <w:keepLines w:val="0"/>
        <w:pageBreakBefore w:val="0"/>
        <w:widowControl/>
        <w:kinsoku/>
        <w:wordWrap/>
        <w:overflowPunct/>
        <w:topLinePunct w:val="0"/>
        <w:autoSpaceDE/>
        <w:autoSpaceDN/>
        <w:bidi w:val="0"/>
        <w:adjustRightInd/>
        <w:snapToGrid/>
        <w:ind w:firstLine="3600" w:firstLineChars="1800"/>
        <w:textAlignment w:val="auto"/>
        <w:rPr>
          <w:rFonts w:hint="eastAsia" w:ascii="仿宋" w:hAnsi="仿宋" w:eastAsia="仿宋"/>
          <w:szCs w:val="28"/>
          <w:highlight w:val="none"/>
          <w:lang w:eastAsia="zh-CN"/>
        </w:rPr>
      </w:pPr>
      <w:r>
        <w:rPr>
          <w:rFonts w:hint="eastAsia" w:ascii="仿宋" w:hAnsi="仿宋" w:eastAsia="仿宋" w:cs="宋体"/>
          <w:kern w:val="0"/>
          <w:sz w:val="20"/>
          <w:szCs w:val="22"/>
          <w:highlight w:val="none"/>
          <w:lang w:eastAsia="zh-CN"/>
        </w:rPr>
        <w:t>价格</w:t>
      </w:r>
      <w:r>
        <w:rPr>
          <w:rFonts w:hint="eastAsia" w:ascii="仿宋" w:hAnsi="仿宋" w:eastAsia="仿宋" w:cs="宋体"/>
          <w:kern w:val="0"/>
          <w:sz w:val="20"/>
          <w:szCs w:val="22"/>
          <w:highlight w:val="none"/>
        </w:rPr>
        <w:t>时点：</w:t>
      </w:r>
      <w:r>
        <w:rPr>
          <w:rFonts w:hint="eastAsia" w:ascii="仿宋" w:hAnsi="仿宋" w:eastAsia="仿宋" w:cs="宋体"/>
          <w:kern w:val="0"/>
          <w:sz w:val="20"/>
          <w:szCs w:val="22"/>
          <w:highlight w:val="none"/>
          <w:lang w:eastAsia="zh-CN"/>
        </w:rPr>
        <w:t>2022年4月13日</w:t>
      </w:r>
    </w:p>
    <w:tbl>
      <w:tblPr>
        <w:tblStyle w:val="46"/>
        <w:tblW w:w="0" w:type="auto"/>
        <w:jc w:val="center"/>
        <w:shd w:val="clear" w:color="auto" w:fill="auto"/>
        <w:tblLayout w:type="fixed"/>
        <w:tblCellMar>
          <w:top w:w="0" w:type="dxa"/>
          <w:left w:w="108" w:type="dxa"/>
          <w:bottom w:w="0" w:type="dxa"/>
          <w:right w:w="108" w:type="dxa"/>
        </w:tblCellMar>
      </w:tblPr>
      <w:tblGrid>
        <w:gridCol w:w="843"/>
        <w:gridCol w:w="1145"/>
        <w:gridCol w:w="1582"/>
        <w:gridCol w:w="423"/>
        <w:gridCol w:w="804"/>
        <w:gridCol w:w="587"/>
        <w:gridCol w:w="777"/>
        <w:gridCol w:w="818"/>
        <w:gridCol w:w="1032"/>
        <w:gridCol w:w="1013"/>
        <w:gridCol w:w="939"/>
      </w:tblGrid>
      <w:tr>
        <w:tblPrEx>
          <w:shd w:val="clear" w:color="auto" w:fill="auto"/>
          <w:tblCellMar>
            <w:top w:w="0" w:type="dxa"/>
            <w:left w:w="108" w:type="dxa"/>
            <w:bottom w:w="0" w:type="dxa"/>
            <w:right w:w="108" w:type="dxa"/>
          </w:tblCellMar>
        </w:tblPrEx>
        <w:trPr>
          <w:trHeight w:val="397" w:hRule="atLeast"/>
          <w:jc w:val="center"/>
        </w:trPr>
        <w:tc>
          <w:tcPr>
            <w:tcW w:w="9963"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估价对象</w:t>
            </w:r>
          </w:p>
        </w:tc>
      </w:tr>
      <w:tr>
        <w:tblPrEx>
          <w:shd w:val="clear" w:color="auto" w:fill="auto"/>
          <w:tblCellMar>
            <w:top w:w="0" w:type="dxa"/>
            <w:left w:w="108" w:type="dxa"/>
            <w:bottom w:w="0" w:type="dxa"/>
            <w:right w:w="108" w:type="dxa"/>
          </w:tblCellMar>
        </w:tblPrEx>
        <w:trPr>
          <w:trHeight w:val="397"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highlight w:val="none"/>
                <w:u w:val="none"/>
                <w:lang w:val="en-US" w:eastAsia="zh-CN" w:bidi="ar"/>
              </w:rPr>
            </w:pPr>
            <w:r>
              <w:rPr>
                <w:rFonts w:hint="eastAsia" w:ascii="仿宋" w:hAnsi="仿宋" w:eastAsia="仿宋" w:cs="仿宋"/>
                <w:b/>
                <w:bCs/>
                <w:i w:val="0"/>
                <w:iCs w:val="0"/>
                <w:color w:val="000000"/>
                <w:kern w:val="0"/>
                <w:sz w:val="18"/>
                <w:szCs w:val="18"/>
                <w:highlight w:val="none"/>
                <w:u w:val="none"/>
                <w:lang w:val="en-US" w:eastAsia="zh-CN" w:bidi="ar"/>
              </w:rPr>
              <w:t>权利人</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highlight w:val="none"/>
                <w:u w:val="none"/>
                <w:lang w:val="en-US" w:eastAsia="zh-CN" w:bidi="ar"/>
              </w:rPr>
            </w:pPr>
            <w:r>
              <w:rPr>
                <w:rFonts w:hint="eastAsia" w:ascii="仿宋" w:hAnsi="仿宋" w:eastAsia="仿宋" w:cs="仿宋"/>
                <w:b/>
                <w:bCs/>
                <w:i w:val="0"/>
                <w:iCs w:val="0"/>
                <w:color w:val="000000"/>
                <w:kern w:val="0"/>
                <w:sz w:val="18"/>
                <w:szCs w:val="18"/>
                <w:highlight w:val="none"/>
                <w:u w:val="none"/>
                <w:lang w:val="en-US" w:eastAsia="zh-CN" w:bidi="ar"/>
              </w:rPr>
              <w:t>不动产权证书/证明号</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highlight w:val="none"/>
                <w:u w:val="none"/>
                <w:lang w:val="en-US" w:eastAsia="zh-CN" w:bidi="ar"/>
              </w:rPr>
            </w:pPr>
            <w:r>
              <w:rPr>
                <w:rFonts w:hint="eastAsia" w:ascii="仿宋" w:hAnsi="仿宋" w:eastAsia="仿宋" w:cs="仿宋"/>
                <w:b/>
                <w:bCs/>
                <w:i w:val="0"/>
                <w:iCs w:val="0"/>
                <w:color w:val="000000"/>
                <w:kern w:val="0"/>
                <w:sz w:val="18"/>
                <w:szCs w:val="18"/>
                <w:highlight w:val="none"/>
                <w:u w:val="none"/>
                <w:lang w:val="en-US" w:eastAsia="zh-CN" w:bidi="ar"/>
              </w:rPr>
              <w:t>房屋坐落</w:t>
            </w: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color w:val="000000"/>
                <w:kern w:val="0"/>
                <w:sz w:val="21"/>
                <w:szCs w:val="21"/>
                <w:highlight w:val="none"/>
                <w:lang w:val="en-US" w:eastAsia="zh-CN" w:bidi="ar-SA"/>
              </w:rPr>
            </w:pPr>
            <w:r>
              <w:rPr>
                <w:rFonts w:hint="eastAsia" w:ascii="仿宋" w:hAnsi="仿宋" w:eastAsia="仿宋" w:cs="仿宋"/>
                <w:b/>
                <w:bCs/>
                <w:i w:val="0"/>
                <w:iCs w:val="0"/>
                <w:color w:val="000000"/>
                <w:kern w:val="0"/>
                <w:sz w:val="18"/>
                <w:szCs w:val="18"/>
                <w:highlight w:val="none"/>
                <w:u w:val="none"/>
                <w:lang w:val="en-US" w:eastAsia="zh-CN" w:bidi="ar"/>
              </w:rPr>
              <w:t>用途</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color w:val="000000"/>
                <w:kern w:val="0"/>
                <w:sz w:val="21"/>
                <w:szCs w:val="21"/>
                <w:highlight w:val="none"/>
                <w:lang w:val="en-US" w:eastAsia="zh-CN" w:bidi="ar-SA"/>
              </w:rPr>
            </w:pPr>
            <w:r>
              <w:rPr>
                <w:rFonts w:hint="eastAsia" w:ascii="仿宋" w:hAnsi="仿宋" w:eastAsia="仿宋" w:cs="仿宋"/>
                <w:b/>
                <w:bCs/>
                <w:i w:val="0"/>
                <w:iCs w:val="0"/>
                <w:color w:val="000000"/>
                <w:kern w:val="0"/>
                <w:sz w:val="18"/>
                <w:szCs w:val="18"/>
                <w:highlight w:val="none"/>
                <w:u w:val="none"/>
                <w:lang w:val="en-US" w:eastAsia="zh-CN" w:bidi="ar"/>
              </w:rPr>
              <w:t>所在层数/总层数</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snapToGrid w:val="0"/>
                <w:color w:val="000000"/>
                <w:kern w:val="0"/>
                <w:sz w:val="21"/>
                <w:szCs w:val="21"/>
                <w:highlight w:val="none"/>
                <w:lang w:val="en-US" w:eastAsia="zh-CN" w:bidi="ar-SA"/>
              </w:rPr>
            </w:pPr>
            <w:r>
              <w:rPr>
                <w:rFonts w:hint="eastAsia" w:ascii="仿宋" w:hAnsi="仿宋" w:eastAsia="仿宋" w:cs="仿宋"/>
                <w:b/>
                <w:bCs/>
                <w:i w:val="0"/>
                <w:iCs w:val="0"/>
                <w:color w:val="000000"/>
                <w:kern w:val="0"/>
                <w:sz w:val="18"/>
                <w:szCs w:val="18"/>
                <w:highlight w:val="none"/>
                <w:u w:val="none"/>
                <w:lang w:val="en-US" w:eastAsia="zh-CN" w:bidi="ar"/>
              </w:rPr>
              <w:t>装修情况</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color w:val="000000"/>
                <w:kern w:val="0"/>
                <w:sz w:val="21"/>
                <w:szCs w:val="21"/>
                <w:highlight w:val="none"/>
                <w:lang w:val="en-US" w:eastAsia="zh-CN" w:bidi="ar-SA"/>
              </w:rPr>
            </w:pPr>
            <w:r>
              <w:rPr>
                <w:rFonts w:hint="eastAsia" w:ascii="仿宋" w:hAnsi="仿宋" w:eastAsia="仿宋" w:cs="仿宋"/>
                <w:b/>
                <w:bCs/>
                <w:i w:val="0"/>
                <w:iCs w:val="0"/>
                <w:color w:val="000000"/>
                <w:kern w:val="0"/>
                <w:sz w:val="18"/>
                <w:szCs w:val="18"/>
                <w:highlight w:val="none"/>
                <w:u w:val="none"/>
                <w:lang w:val="en-US" w:eastAsia="zh-CN" w:bidi="ar"/>
              </w:rPr>
              <w:t>建筑面积(㎡)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color w:val="000000"/>
                <w:kern w:val="0"/>
                <w:sz w:val="21"/>
                <w:szCs w:val="21"/>
                <w:highlight w:val="none"/>
                <w:lang w:val="en-US" w:eastAsia="zh-CN" w:bidi="ar-SA"/>
              </w:rPr>
            </w:pPr>
            <w:r>
              <w:rPr>
                <w:rFonts w:hint="eastAsia" w:ascii="仿宋" w:hAnsi="仿宋" w:eastAsia="仿宋" w:cs="仿宋"/>
                <w:b/>
                <w:bCs/>
                <w:i w:val="0"/>
                <w:iCs w:val="0"/>
                <w:color w:val="000000"/>
                <w:kern w:val="0"/>
                <w:sz w:val="18"/>
                <w:szCs w:val="18"/>
                <w:highlight w:val="none"/>
                <w:u w:val="none"/>
                <w:lang w:val="en-US" w:eastAsia="zh-CN" w:bidi="ar"/>
              </w:rPr>
              <w:t>评估单价（元/㎡）</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color w:val="000000"/>
                <w:kern w:val="0"/>
                <w:sz w:val="21"/>
                <w:szCs w:val="21"/>
                <w:highlight w:val="none"/>
                <w:lang w:val="en-US" w:eastAsia="zh-CN" w:bidi="ar-SA"/>
              </w:rPr>
            </w:pPr>
            <w:r>
              <w:rPr>
                <w:rFonts w:hint="eastAsia" w:ascii="仿宋" w:hAnsi="仿宋" w:eastAsia="仿宋" w:cs="仿宋"/>
                <w:b/>
                <w:bCs/>
                <w:i w:val="0"/>
                <w:iCs w:val="0"/>
                <w:color w:val="000000"/>
                <w:kern w:val="0"/>
                <w:sz w:val="18"/>
                <w:szCs w:val="18"/>
                <w:highlight w:val="none"/>
                <w:u w:val="none"/>
                <w:lang w:val="en-US" w:eastAsia="zh-CN" w:bidi="ar"/>
              </w:rPr>
              <w:t>未扣除处置费用评估总价（万元）</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18"/>
                <w:szCs w:val="18"/>
                <w:highlight w:val="none"/>
                <w:u w:val="none"/>
                <w:lang w:val="en-US" w:eastAsia="zh-CN" w:bidi="ar"/>
              </w:rPr>
            </w:pPr>
            <w:r>
              <w:rPr>
                <w:rFonts w:hint="eastAsia" w:ascii="仿宋" w:hAnsi="仿宋" w:eastAsia="仿宋" w:cs="仿宋"/>
                <w:b/>
                <w:bCs/>
                <w:i w:val="0"/>
                <w:iCs w:val="0"/>
                <w:color w:val="000000"/>
                <w:kern w:val="0"/>
                <w:sz w:val="18"/>
                <w:szCs w:val="18"/>
                <w:highlight w:val="none"/>
                <w:u w:val="none"/>
                <w:lang w:val="en-US" w:eastAsia="zh-CN" w:bidi="ar"/>
              </w:rPr>
              <w:t>扣除处置费用评估单价（元/㎡）</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highlight w:val="none"/>
                <w:u w:val="none"/>
                <w:lang w:val="en-US" w:eastAsia="zh-CN" w:bidi="ar"/>
              </w:rPr>
            </w:pPr>
            <w:r>
              <w:rPr>
                <w:rFonts w:hint="eastAsia" w:ascii="仿宋" w:hAnsi="仿宋" w:eastAsia="仿宋" w:cs="仿宋"/>
                <w:b/>
                <w:bCs/>
                <w:i w:val="0"/>
                <w:iCs w:val="0"/>
                <w:color w:val="000000"/>
                <w:kern w:val="0"/>
                <w:sz w:val="18"/>
                <w:szCs w:val="18"/>
                <w:highlight w:val="none"/>
                <w:u w:val="none"/>
                <w:lang w:val="en-US" w:eastAsia="zh-CN" w:bidi="ar"/>
              </w:rPr>
              <w:t>扣除处置费用评估总价（万元）</w:t>
            </w:r>
          </w:p>
        </w:tc>
      </w:tr>
      <w:tr>
        <w:tblPrEx>
          <w:tblCellMar>
            <w:top w:w="0" w:type="dxa"/>
            <w:left w:w="108" w:type="dxa"/>
            <w:bottom w:w="0" w:type="dxa"/>
            <w:right w:w="108" w:type="dxa"/>
          </w:tblCellMar>
        </w:tblPrEx>
        <w:trPr>
          <w:trHeight w:val="397"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龙芳/杨勇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黔（2020）三穗县不动产权第0003083号</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八弓镇中坝村（凯宏·城市花园三期）2幢1-9-2</w:t>
            </w: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住宅</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18"/>
                <w:szCs w:val="18"/>
                <w:highlight w:val="none"/>
                <w:lang w:val="en-US" w:eastAsia="zh-CN" w:bidi="ar-SA"/>
              </w:rPr>
            </w:pPr>
            <w:r>
              <w:rPr>
                <w:rFonts w:hint="eastAsia" w:ascii="仿宋" w:hAnsi="仿宋" w:eastAsia="仿宋" w:cs="仿宋"/>
                <w:i w:val="0"/>
                <w:iCs w:val="0"/>
                <w:color w:val="000000"/>
                <w:kern w:val="0"/>
                <w:sz w:val="18"/>
                <w:szCs w:val="18"/>
                <w:highlight w:val="none"/>
                <w:u w:val="none"/>
                <w:lang w:val="en-US" w:eastAsia="zh-CN" w:bidi="ar"/>
              </w:rPr>
              <w:t>9层/15层</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18"/>
                <w:szCs w:val="18"/>
                <w:highlight w:val="none"/>
                <w:lang w:val="en-US" w:eastAsia="zh-CN" w:bidi="ar-SA"/>
              </w:rPr>
            </w:pPr>
            <w:r>
              <w:rPr>
                <w:rFonts w:hint="eastAsia" w:ascii="仿宋" w:hAnsi="仿宋" w:eastAsia="仿宋" w:cs="仿宋"/>
                <w:i w:val="0"/>
                <w:iCs w:val="0"/>
                <w:color w:val="000000"/>
                <w:kern w:val="0"/>
                <w:sz w:val="18"/>
                <w:szCs w:val="18"/>
                <w:highlight w:val="none"/>
                <w:u w:val="none"/>
                <w:lang w:val="en-US" w:eastAsia="zh-CN" w:bidi="ar"/>
              </w:rPr>
              <w:t>毛坯</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18"/>
                <w:szCs w:val="18"/>
                <w:highlight w:val="none"/>
                <w:lang w:val="en-US" w:eastAsia="zh-CN" w:bidi="ar-SA"/>
              </w:rPr>
            </w:pPr>
            <w:r>
              <w:rPr>
                <w:rFonts w:hint="eastAsia" w:ascii="仿宋" w:hAnsi="仿宋" w:eastAsia="仿宋" w:cs="仿宋"/>
                <w:i w:val="0"/>
                <w:iCs w:val="0"/>
                <w:color w:val="000000"/>
                <w:kern w:val="0"/>
                <w:sz w:val="18"/>
                <w:szCs w:val="18"/>
                <w:highlight w:val="none"/>
                <w:u w:val="none"/>
                <w:lang w:val="en-US" w:eastAsia="zh-CN" w:bidi="ar"/>
              </w:rPr>
              <w:t>107.29</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18"/>
                <w:szCs w:val="18"/>
                <w:highlight w:val="none"/>
                <w:lang w:val="en-US" w:eastAsia="zh-CN" w:bidi="ar-SA"/>
              </w:rPr>
            </w:pPr>
            <w:r>
              <w:rPr>
                <w:rFonts w:hint="eastAsia" w:ascii="仿宋" w:hAnsi="仿宋" w:eastAsia="仿宋" w:cs="仿宋"/>
                <w:i w:val="0"/>
                <w:iCs w:val="0"/>
                <w:color w:val="000000"/>
                <w:kern w:val="0"/>
                <w:sz w:val="18"/>
                <w:szCs w:val="18"/>
                <w:highlight w:val="none"/>
                <w:u w:val="none"/>
                <w:lang w:val="en-US" w:eastAsia="zh-CN" w:bidi="ar"/>
              </w:rPr>
              <w:t>3,110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18"/>
                <w:szCs w:val="18"/>
                <w:highlight w:val="none"/>
                <w:lang w:val="en-US" w:eastAsia="zh-CN" w:bidi="ar-SA"/>
              </w:rPr>
            </w:pPr>
            <w:r>
              <w:rPr>
                <w:rFonts w:hint="eastAsia" w:ascii="仿宋" w:hAnsi="仿宋" w:eastAsia="仿宋" w:cs="仿宋"/>
                <w:i w:val="0"/>
                <w:iCs w:val="0"/>
                <w:color w:val="000000"/>
                <w:kern w:val="0"/>
                <w:sz w:val="18"/>
                <w:szCs w:val="18"/>
                <w:highlight w:val="none"/>
                <w:u w:val="none"/>
                <w:lang w:val="en-US" w:eastAsia="zh-CN" w:bidi="ar"/>
              </w:rPr>
              <w:t xml:space="preserve">33.37 </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2,594</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 xml:space="preserve">27.83 </w:t>
            </w:r>
          </w:p>
        </w:tc>
      </w:tr>
    </w:tbl>
    <w:p>
      <w:pPr>
        <w:pStyle w:val="45"/>
        <w:ind w:firstLine="280"/>
        <w:rPr>
          <w:rFonts w:ascii="仿宋" w:hAnsi="仿宋" w:eastAsia="仿宋"/>
          <w:szCs w:val="28"/>
          <w:highlight w:val="none"/>
        </w:rPr>
      </w:pPr>
    </w:p>
    <w:p>
      <w:pPr>
        <w:tabs>
          <w:tab w:val="left" w:pos="238"/>
        </w:tabs>
        <w:jc w:val="right"/>
        <w:rPr>
          <w:rFonts w:ascii="黑体" w:hAnsi="黑体" w:eastAsia="黑体" w:cs="黑体"/>
          <w:b/>
          <w:snapToGrid w:val="0"/>
          <w:kern w:val="0"/>
          <w:sz w:val="28"/>
          <w:szCs w:val="22"/>
          <w:highlight w:val="none"/>
        </w:rPr>
      </w:pPr>
      <w:r>
        <w:rPr>
          <w:rFonts w:hint="eastAsia" w:ascii="黑体" w:hAnsi="黑体" w:eastAsia="黑体" w:cs="黑体"/>
          <w:b/>
          <w:snapToGrid w:val="0"/>
          <w:kern w:val="0"/>
          <w:sz w:val="28"/>
          <w:szCs w:val="22"/>
          <w:highlight w:val="none"/>
        </w:rPr>
        <w:t>深圳市国咨土地房地产资产评估有限公司</w:t>
      </w:r>
    </w:p>
    <w:p>
      <w:pPr>
        <w:adjustRightInd w:val="0"/>
        <w:snapToGrid w:val="0"/>
        <w:spacing w:line="360" w:lineRule="auto"/>
        <w:ind w:firstLine="4200" w:firstLineChars="1500"/>
        <w:rPr>
          <w:rFonts w:ascii="黑体" w:hAnsi="黑体" w:eastAsia="黑体"/>
          <w:kern w:val="0"/>
          <w:sz w:val="28"/>
          <w:szCs w:val="28"/>
          <w:highlight w:val="none"/>
        </w:rPr>
      </w:pPr>
    </w:p>
    <w:p>
      <w:pPr>
        <w:spacing w:line="360" w:lineRule="auto"/>
        <w:ind w:firstLine="5341" w:firstLineChars="1900"/>
        <w:rPr>
          <w:rFonts w:ascii="黑体" w:hAnsi="黑体" w:eastAsia="黑体" w:cs="黑体"/>
          <w:b/>
          <w:snapToGrid w:val="0"/>
          <w:kern w:val="0"/>
          <w:sz w:val="28"/>
          <w:szCs w:val="22"/>
          <w:highlight w:val="none"/>
        </w:rPr>
      </w:pPr>
      <w:r>
        <w:rPr>
          <w:rFonts w:hint="eastAsia" w:ascii="黑体" w:hAnsi="黑体" w:eastAsia="黑体" w:cs="黑体"/>
          <w:b/>
          <w:snapToGrid w:val="0"/>
          <w:kern w:val="0"/>
          <w:sz w:val="28"/>
          <w:szCs w:val="22"/>
          <w:highlight w:val="none"/>
        </w:rPr>
        <w:t>法定代表人：</w:t>
      </w:r>
    </w:p>
    <w:p>
      <w:pPr>
        <w:spacing w:line="360" w:lineRule="auto"/>
        <w:ind w:firstLine="5341" w:firstLineChars="1900"/>
        <w:rPr>
          <w:rFonts w:hint="eastAsia" w:ascii="黑体" w:hAnsi="黑体" w:eastAsia="黑体" w:cs="黑体"/>
          <w:b/>
          <w:snapToGrid w:val="0"/>
          <w:kern w:val="0"/>
          <w:sz w:val="28"/>
          <w:szCs w:val="22"/>
          <w:highlight w:val="none"/>
          <w:lang w:eastAsia="zh-CN"/>
        </w:rPr>
      </w:pPr>
      <w:r>
        <w:rPr>
          <w:rFonts w:hint="eastAsia" w:ascii="黑体" w:hAnsi="黑体" w:eastAsia="黑体" w:cs="黑体"/>
          <w:b/>
          <w:snapToGrid w:val="0"/>
          <w:kern w:val="0"/>
          <w:sz w:val="28"/>
          <w:szCs w:val="22"/>
          <w:highlight w:val="none"/>
          <w:lang w:eastAsia="zh-CN"/>
        </w:rPr>
        <w:t>二〇二二年四月十九日</w:t>
      </w:r>
    </w:p>
    <w:p>
      <w:pPr>
        <w:spacing w:line="360" w:lineRule="auto"/>
        <w:ind w:firstLine="5341" w:firstLineChars="1900"/>
        <w:rPr>
          <w:rFonts w:ascii="黑体" w:hAnsi="黑体" w:eastAsia="黑体" w:cs="黑体"/>
          <w:b/>
          <w:snapToGrid w:val="0"/>
          <w:kern w:val="0"/>
          <w:sz w:val="28"/>
          <w:szCs w:val="22"/>
          <w:highlight w:val="none"/>
        </w:rPr>
        <w:sectPr>
          <w:footerReference r:id="rId3" w:type="default"/>
          <w:pgSz w:w="11907" w:h="16840"/>
          <w:pgMar w:top="1440" w:right="1080" w:bottom="1440" w:left="1080" w:header="680" w:footer="794" w:gutter="284"/>
          <w:pgBorders>
            <w:top w:val="none" w:sz="0" w:space="0"/>
            <w:left w:val="none" w:sz="0" w:space="0"/>
            <w:bottom w:val="none" w:sz="0" w:space="0"/>
            <w:right w:val="none" w:sz="0" w:space="0"/>
          </w:pgBorders>
          <w:pgNumType w:start="1"/>
          <w:cols w:space="720" w:num="1"/>
          <w:docGrid w:type="lines" w:linePitch="479" w:charSpace="11986"/>
        </w:sectPr>
      </w:pPr>
    </w:p>
    <w:p>
      <w:pPr>
        <w:pStyle w:val="3"/>
        <w:keepLines/>
        <w:rPr>
          <w:rFonts w:ascii="黑体" w:hAnsi="黑体" w:eastAsia="黑体" w:cs="黑体"/>
          <w:bCs/>
          <w:snapToGrid w:val="0"/>
          <w:kern w:val="0"/>
          <w:sz w:val="44"/>
          <w:szCs w:val="44"/>
          <w:highlight w:val="none"/>
        </w:rPr>
      </w:pPr>
      <w:bookmarkStart w:id="2" w:name="_Toc661"/>
      <w:bookmarkStart w:id="3" w:name="_Toc17960841"/>
      <w:bookmarkStart w:id="4" w:name="_Toc451761848"/>
      <w:bookmarkStart w:id="5" w:name="_Toc451758622"/>
      <w:bookmarkStart w:id="6" w:name="_Toc451525146"/>
      <w:r>
        <w:rPr>
          <w:rFonts w:hint="eastAsia" w:ascii="黑体" w:hAnsi="黑体" w:eastAsia="黑体" w:cs="黑体"/>
          <w:bCs/>
          <w:snapToGrid w:val="0"/>
          <w:kern w:val="0"/>
          <w:sz w:val="44"/>
          <w:szCs w:val="44"/>
          <w:highlight w:val="none"/>
        </w:rPr>
        <w:t>注册房地产估价师声明</w:t>
      </w:r>
      <w:bookmarkEnd w:id="2"/>
      <w:bookmarkEnd w:id="3"/>
      <w:bookmarkEnd w:id="4"/>
      <w:bookmarkEnd w:id="5"/>
      <w:bookmarkEnd w:id="6"/>
    </w:p>
    <w:p>
      <w:pPr>
        <w:adjustRightInd w:val="0"/>
        <w:snapToGrid w:val="0"/>
        <w:spacing w:line="360" w:lineRule="auto"/>
        <w:rPr>
          <w:rFonts w:ascii="黑体" w:hAnsi="黑体" w:eastAsia="黑体"/>
          <w:b/>
          <w:sz w:val="30"/>
          <w:szCs w:val="30"/>
          <w:highlight w:val="none"/>
        </w:rPr>
      </w:pPr>
      <w:r>
        <w:rPr>
          <w:rFonts w:hint="eastAsia" w:ascii="黑体" w:hAnsi="黑体" w:eastAsia="黑体"/>
          <w:b/>
          <w:sz w:val="30"/>
          <w:szCs w:val="30"/>
          <w:highlight w:val="none"/>
        </w:rPr>
        <w:t>我们郑重声明：</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color w:val="auto"/>
          <w:sz w:val="28"/>
          <w:szCs w:val="28"/>
          <w:highlight w:val="none"/>
        </w:rPr>
      </w:pPr>
      <w:r>
        <w:rPr>
          <w:rFonts w:hint="eastAsia" w:ascii="仿宋" w:hAnsi="仿宋" w:eastAsia="仿宋"/>
          <w:snapToGrid w:val="0"/>
          <w:color w:val="auto"/>
          <w:sz w:val="28"/>
          <w:szCs w:val="28"/>
          <w:highlight w:val="none"/>
          <w:lang w:val="en-US" w:eastAsia="zh-CN"/>
        </w:rPr>
        <w:t>1、</w:t>
      </w:r>
      <w:r>
        <w:rPr>
          <w:rFonts w:hint="eastAsia" w:ascii="仿宋" w:hAnsi="仿宋" w:eastAsia="仿宋"/>
          <w:snapToGrid w:val="0"/>
          <w:color w:val="auto"/>
          <w:sz w:val="28"/>
          <w:szCs w:val="28"/>
          <w:highlight w:val="none"/>
        </w:rPr>
        <w:t>我们在本估价报告中陈述的事实是真实的和准确的。有关资料、文件均由</w:t>
      </w:r>
      <w:r>
        <w:rPr>
          <w:rFonts w:hint="eastAsia" w:ascii="仿宋" w:hAnsi="仿宋" w:eastAsia="仿宋"/>
          <w:snapToGrid w:val="0"/>
          <w:color w:val="auto"/>
          <w:sz w:val="28"/>
          <w:szCs w:val="28"/>
          <w:highlight w:val="none"/>
          <w:lang w:eastAsia="zh-CN"/>
        </w:rPr>
        <w:t>委托人</w:t>
      </w:r>
      <w:r>
        <w:rPr>
          <w:rFonts w:hint="eastAsia" w:ascii="仿宋" w:hAnsi="仿宋" w:eastAsia="仿宋"/>
          <w:snapToGrid w:val="0"/>
          <w:color w:val="auto"/>
          <w:sz w:val="28"/>
          <w:szCs w:val="28"/>
          <w:highlight w:val="none"/>
        </w:rPr>
        <w:t>提供，</w:t>
      </w:r>
      <w:r>
        <w:rPr>
          <w:rFonts w:hint="eastAsia" w:ascii="仿宋" w:hAnsi="仿宋" w:eastAsia="仿宋"/>
          <w:snapToGrid w:val="0"/>
          <w:color w:val="auto"/>
          <w:sz w:val="28"/>
          <w:szCs w:val="28"/>
          <w:highlight w:val="none"/>
          <w:lang w:eastAsia="zh-CN"/>
        </w:rPr>
        <w:t>委托人</w:t>
      </w:r>
      <w:r>
        <w:rPr>
          <w:rFonts w:hint="eastAsia" w:ascii="仿宋" w:hAnsi="仿宋" w:eastAsia="仿宋"/>
          <w:snapToGrid w:val="0"/>
          <w:color w:val="auto"/>
          <w:sz w:val="28"/>
          <w:szCs w:val="28"/>
          <w:highlight w:val="none"/>
        </w:rPr>
        <w:t>应对所提供资料的完整性、真实性、合法性承担全部责任。房地产估价师对于估价对象的权属状况给予必要的关注，但不对估价对象的法律权属做任何形式的保证。</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2、本估价报告中的分析、意见和结论是我们自己公正的专业分析、意见和结论，但估价结果受到本估价报告中已说明的假设和限制条件的限制。</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3、估价师所在的估价机构坚持公正、公平原则，站在中立的立场上实事求是地开展本次估价工作，与本估价报告中的估价对象没有任何利害关系，也与有关当事人没有个人利害关系或偏见。</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4、我们严格依照中华人民共和国国家标准《房地产估价规范》【GB/T50291-2015】进行分析，形成结论，撰写本估价报告。</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5、我公司房地产估价师</w:t>
      </w:r>
      <w:r>
        <w:rPr>
          <w:rFonts w:hint="default" w:ascii="仿宋" w:hAnsi="仿宋" w:eastAsia="仿宋"/>
          <w:snapToGrid w:val="0"/>
          <w:sz w:val="28"/>
          <w:szCs w:val="28"/>
          <w:highlight w:val="none"/>
          <w:lang w:eastAsia="zh-CN"/>
        </w:rPr>
        <w:t>陈阳</w:t>
      </w:r>
      <w:r>
        <w:rPr>
          <w:rFonts w:hint="eastAsia" w:ascii="仿宋" w:hAnsi="仿宋" w:eastAsia="仿宋"/>
          <w:snapToGrid w:val="0"/>
          <w:sz w:val="28"/>
          <w:szCs w:val="28"/>
          <w:highlight w:val="none"/>
          <w:lang w:val="en-US" w:eastAsia="zh-CN"/>
        </w:rPr>
        <w:t>、估价人员吴堂科</w:t>
      </w:r>
      <w:r>
        <w:rPr>
          <w:rFonts w:hint="eastAsia" w:ascii="仿宋" w:hAnsi="仿宋" w:eastAsia="仿宋"/>
          <w:snapToGrid w:val="0"/>
          <w:sz w:val="28"/>
          <w:szCs w:val="28"/>
          <w:highlight w:val="none"/>
        </w:rPr>
        <w:t>于</w:t>
      </w:r>
      <w:r>
        <w:rPr>
          <w:rFonts w:hint="eastAsia" w:ascii="仿宋" w:hAnsi="仿宋" w:eastAsia="仿宋"/>
          <w:snapToGrid w:val="0"/>
          <w:sz w:val="28"/>
          <w:szCs w:val="28"/>
          <w:highlight w:val="none"/>
          <w:lang w:eastAsia="zh-CN"/>
        </w:rPr>
        <w:t>2022年4月13日</w:t>
      </w:r>
      <w:r>
        <w:rPr>
          <w:rFonts w:hint="eastAsia" w:ascii="仿宋" w:hAnsi="仿宋" w:eastAsia="仿宋"/>
          <w:snapToGrid w:val="0"/>
          <w:sz w:val="28"/>
          <w:szCs w:val="28"/>
          <w:highlight w:val="none"/>
        </w:rPr>
        <w:t>已对估价对象进行了实地勘察，并对查勘的客观性、真实性、公正性承担责任，但我们对估价对象的现场查勘仅限于其外观和使用状况，对被遮盖、未暴露及难以接触到的部分，我们不承担对估价对象建筑结构质量进行调查的责任。相关权属资料仅以委托人提供的资料为基础进行形式审查和一般性核对，实质性审查为相关房地产主管单位及部门，故本公司不对其建筑结构质量、数量等内容的准确性及相关权益负责。</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6、注册房地产估价师及其所在的估价机构具备本估价业务所需的执业资格和相关的估价经验。由于估价人员的专业限制，本次估价过程中没有其他专业人员及机构对本估价报告提供诸如结构安全、环境保护、规划控制、产权设定与登记、装修及配套设施设备的权属等方面的专业支持和帮助，委托人应当保证估价对象在合法使用前提下获得收益。</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7、本估价报告是本估价机构根据估价目的，遵循估价原则，采用科学合理的估价方法，在认真分析现有资料的基础上，经过测算，结合估价经验与对影响房地产市场价格因素进行分析，为估价对象在特定估价目的而出具的，但受本估价机构估价人员的职业水平和能力的影响。</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8、本估价报告的使用范围：委托人在使用本报告时，务请注意本估价结果报告中的估价的假设和限制条件</w:t>
      </w:r>
      <w:r>
        <w:rPr>
          <w:rFonts w:hint="eastAsia" w:ascii="仿宋" w:hAnsi="仿宋" w:eastAsia="仿宋"/>
          <w:snapToGrid w:val="0"/>
          <w:sz w:val="28"/>
          <w:szCs w:val="28"/>
          <w:highlight w:val="none"/>
          <w:lang w:eastAsia="zh-CN"/>
        </w:rPr>
        <w:t>，</w:t>
      </w:r>
      <w:r>
        <w:rPr>
          <w:rFonts w:hint="eastAsia" w:ascii="仿宋" w:hAnsi="仿宋" w:eastAsia="仿宋"/>
          <w:snapToGrid w:val="0"/>
          <w:sz w:val="28"/>
          <w:szCs w:val="28"/>
          <w:highlight w:val="none"/>
        </w:rPr>
        <w:t>并且本估价报告的全文作为一个不可分割的整体，若仅有部分内容，则不能成为有效的估价报告。</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9、本报告书专为委托人为本报告所列明的估价对象在</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时点和估价目的等条件下的市场客观</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提供参考依据。未经本公司同意，本报告的全部或部分内容不得提供给与本报告估价目的无关的单位或个人，不得发表于任何公开媒体上。</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10、本估价报告若因打印、校对及其他原因发生误差时，请委托人及时通知本估价机构予以更正，否则，误差部分无效。</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11、本报告中的数据全部采用电算化连续计算得出，由于在报告中计算的数据均按四舍五入保留两位小数或取整，因此，可能出现个别等式左右不完全相等的情况，但不影响计算结果及最终估价结论的准确性。</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12、本报告中，除使用政府部门、行业公布的价格资料和公开市场的价格信息外，主要依据估价委托人提供的相关材料，包括但不限于其提供的权属证件等复印件，我们未得到授权也无法定资格核查审验估价委托人提供的资料之真伪，估价委托人应对其提供的全部资料的真实性、合法性、完整性及其可能引起的后果负责。</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13、其他声明事项：出于职业责任，我们与委托人进行必要沟通，避免对本估价报告使用不当的情况发生，提示估价报告使用者合理并恰当使用估价报告，并声明不承担相关当事人决策的责任。估价对象及其相应的通行权、采光权及其他权利应符合法律规定设置的条件，其具体设置及享受权利的情况请报告使用人咨询规划、国土及房地产管理主管单位予以详细了解后结合本报告结果予以决策，因委托人片面使用报告或用于本报告所限定的估价目的以外用途而导致的法律后果，均由委托人承担，本公司不对此承担任何责任，因此，报告使用人需全面阅读房地产估价报告并合理使用。</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14、本报告须由本估价机构及估价人员签字盖章后方为有效，估价报告的全部或部分复印件均无效。</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lang w:eastAsia="zh-CN"/>
        </w:rPr>
      </w:pPr>
      <w:r>
        <w:rPr>
          <w:rFonts w:hint="eastAsia" w:ascii="仿宋" w:hAnsi="仿宋" w:eastAsia="仿宋"/>
          <w:snapToGrid w:val="0"/>
          <w:sz w:val="28"/>
          <w:szCs w:val="28"/>
          <w:highlight w:val="none"/>
        </w:rPr>
        <w:t>15、本估价报告若有其他未尽事宜，则由深圳市国咨土地房地产资产评估有限公司负责解释</w:t>
      </w:r>
      <w:r>
        <w:rPr>
          <w:rFonts w:hint="eastAsia" w:ascii="仿宋" w:hAnsi="仿宋" w:eastAsia="仿宋"/>
          <w:snapToGrid w:val="0"/>
          <w:sz w:val="28"/>
          <w:szCs w:val="28"/>
          <w:highlight w:val="none"/>
          <w:lang w:eastAsia="zh-CN"/>
        </w:rPr>
        <w:t>。</w:t>
      </w:r>
    </w:p>
    <w:tbl>
      <w:tblPr>
        <w:tblStyle w:val="47"/>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2"/>
        <w:gridCol w:w="2370"/>
        <w:gridCol w:w="2400"/>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872"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姓名</w:t>
            </w:r>
          </w:p>
        </w:tc>
        <w:tc>
          <w:tcPr>
            <w:tcW w:w="2370"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注册号</w:t>
            </w:r>
          </w:p>
        </w:tc>
        <w:tc>
          <w:tcPr>
            <w:tcW w:w="2400"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签名</w:t>
            </w:r>
          </w:p>
        </w:tc>
        <w:tc>
          <w:tcPr>
            <w:tcW w:w="3136"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1872"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r>
              <w:rPr>
                <w:rFonts w:hint="eastAsia" w:ascii="仿宋" w:hAnsi="仿宋" w:eastAsia="仿宋" w:cs="仿宋"/>
                <w:b/>
                <w:snapToGrid w:val="0"/>
                <w:color w:val="000000"/>
                <w:kern w:val="0"/>
                <w:sz w:val="28"/>
                <w:szCs w:val="28"/>
                <w:highlight w:val="none"/>
                <w:lang w:eastAsia="zh-CN"/>
              </w:rPr>
              <w:t>王晨阳</w:t>
            </w:r>
          </w:p>
        </w:tc>
        <w:tc>
          <w:tcPr>
            <w:tcW w:w="2370"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r>
              <w:rPr>
                <w:rFonts w:hint="eastAsia" w:ascii="仿宋" w:hAnsi="仿宋" w:eastAsia="仿宋" w:cs="仿宋"/>
                <w:b/>
                <w:snapToGrid w:val="0"/>
                <w:color w:val="000000"/>
                <w:kern w:val="0"/>
                <w:sz w:val="28"/>
                <w:szCs w:val="28"/>
                <w:highlight w:val="none"/>
                <w:lang w:eastAsia="zh-CN"/>
              </w:rPr>
              <w:t>4419960028</w:t>
            </w:r>
          </w:p>
        </w:tc>
        <w:tc>
          <w:tcPr>
            <w:tcW w:w="2400"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p>
        </w:tc>
        <w:tc>
          <w:tcPr>
            <w:tcW w:w="3136"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仿宋" w:hAnsi="仿宋" w:eastAsia="仿宋" w:cs="Times New Roman"/>
                <w:snapToGrid w:val="0"/>
                <w:sz w:val="28"/>
                <w:szCs w:val="28"/>
                <w:highlight w:val="none"/>
                <w:lang w:val="en-US" w:eastAsia="zh-CN"/>
              </w:rPr>
            </w:pPr>
            <w:r>
              <w:rPr>
                <w:rFonts w:hint="eastAsia" w:ascii="仿宋" w:hAnsi="仿宋" w:eastAsia="仿宋" w:cs="Times New Roman"/>
                <w:snapToGrid w:val="0"/>
                <w:sz w:val="28"/>
                <w:szCs w:val="28"/>
                <w:highlight w:val="none"/>
                <w:lang w:val="en-US" w:eastAsia="zh-CN"/>
              </w:rPr>
              <w:t>2022年4月19日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1872"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仿宋" w:hAnsi="仿宋" w:eastAsia="仿宋" w:cs="仿宋"/>
                <w:color w:val="000000"/>
                <w:sz w:val="28"/>
                <w:szCs w:val="28"/>
                <w:highlight w:val="none"/>
                <w:vertAlign w:val="baseline"/>
              </w:rPr>
            </w:pPr>
            <w:r>
              <w:rPr>
                <w:rFonts w:hint="default" w:ascii="仿宋" w:hAnsi="仿宋" w:eastAsia="仿宋" w:cs="仿宋"/>
                <w:b/>
                <w:snapToGrid w:val="0"/>
                <w:color w:val="000000"/>
                <w:kern w:val="0"/>
                <w:sz w:val="28"/>
                <w:szCs w:val="28"/>
                <w:highlight w:val="none"/>
                <w:lang w:eastAsia="zh-CN"/>
              </w:rPr>
              <w:t>陈阳</w:t>
            </w:r>
          </w:p>
        </w:tc>
        <w:tc>
          <w:tcPr>
            <w:tcW w:w="2370"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r>
              <w:rPr>
                <w:rFonts w:hint="eastAsia" w:ascii="仿宋" w:hAnsi="仿宋" w:eastAsia="仿宋" w:cs="仿宋"/>
                <w:b/>
                <w:snapToGrid w:val="0"/>
                <w:color w:val="000000"/>
                <w:kern w:val="0"/>
                <w:sz w:val="28"/>
                <w:szCs w:val="28"/>
                <w:highlight w:val="none"/>
                <w:lang w:eastAsia="zh-CN"/>
              </w:rPr>
              <w:t>5220190024</w:t>
            </w:r>
          </w:p>
        </w:tc>
        <w:tc>
          <w:tcPr>
            <w:tcW w:w="2400"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p>
        </w:tc>
        <w:tc>
          <w:tcPr>
            <w:tcW w:w="3136"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仿宋" w:hAnsi="仿宋" w:eastAsia="仿宋" w:cs="Times New Roman"/>
                <w:snapToGrid w:val="0"/>
                <w:sz w:val="28"/>
                <w:szCs w:val="28"/>
                <w:highlight w:val="none"/>
              </w:rPr>
            </w:pPr>
            <w:r>
              <w:rPr>
                <w:rFonts w:hint="eastAsia" w:ascii="仿宋" w:hAnsi="仿宋" w:eastAsia="仿宋" w:cs="Times New Roman"/>
                <w:snapToGrid w:val="0"/>
                <w:sz w:val="28"/>
                <w:szCs w:val="28"/>
                <w:highlight w:val="none"/>
                <w:lang w:val="en-US" w:eastAsia="zh-CN"/>
              </w:rPr>
              <w:t>2022年4月19日</w:t>
            </w:r>
          </w:p>
        </w:tc>
      </w:tr>
    </w:tbl>
    <w:p>
      <w:pPr>
        <w:pStyle w:val="3"/>
        <w:keepLines/>
        <w:rPr>
          <w:rFonts w:ascii="黑体" w:eastAsia="黑体"/>
          <w:bCs/>
          <w:snapToGrid w:val="0"/>
          <w:kern w:val="0"/>
          <w:sz w:val="44"/>
          <w:szCs w:val="44"/>
          <w:highlight w:val="none"/>
        </w:rPr>
      </w:pPr>
      <w:r>
        <w:rPr>
          <w:snapToGrid w:val="0"/>
          <w:kern w:val="0"/>
          <w:sz w:val="24"/>
          <w:highlight w:val="none"/>
        </w:rPr>
        <w:br w:type="page"/>
      </w:r>
      <w:bookmarkStart w:id="7" w:name="_Toc15093"/>
      <w:bookmarkStart w:id="8" w:name="_Toc17960842"/>
      <w:r>
        <w:rPr>
          <w:rFonts w:hint="eastAsia" w:ascii="黑体" w:hAnsi="黑体" w:eastAsia="黑体" w:cs="黑体"/>
          <w:bCs/>
          <w:snapToGrid w:val="0"/>
          <w:kern w:val="0"/>
          <w:sz w:val="44"/>
          <w:szCs w:val="44"/>
          <w:highlight w:val="none"/>
        </w:rPr>
        <w:t>估价假设和限制条件</w:t>
      </w:r>
      <w:bookmarkEnd w:id="7"/>
      <w:bookmarkEnd w:id="8"/>
    </w:p>
    <w:p>
      <w:pPr>
        <w:pStyle w:val="35"/>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ascii="黑体" w:eastAsia="黑体"/>
          <w:snapToGrid w:val="0"/>
          <w:sz w:val="30"/>
          <w:szCs w:val="30"/>
          <w:highlight w:val="none"/>
        </w:rPr>
      </w:pPr>
      <w:bookmarkStart w:id="9" w:name="_Toc17960843"/>
      <w:bookmarkStart w:id="10" w:name="_Toc16548"/>
      <w:r>
        <w:rPr>
          <w:rFonts w:hint="eastAsia" w:ascii="黑体" w:eastAsia="黑体"/>
          <w:snapToGrid w:val="0"/>
          <w:sz w:val="30"/>
          <w:szCs w:val="30"/>
          <w:highlight w:val="none"/>
        </w:rPr>
        <w:t>（一）估价假设</w:t>
      </w:r>
      <w:bookmarkEnd w:id="9"/>
      <w:bookmarkEnd w:id="10"/>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一、一般假设</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1、估价对象产权明晰，手续齐全，可以在市场上自由转让。</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2、估价委托人提供了估价对象的权属资料复印件，我方对权属资料上记载的权属、面积、用途等资料进行了审慎检查，在无理由怀疑其合法性、真实性、准确性和完整性的情况下，假定估价委托人提供的资料合法、真实、准确、完整。</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3、我司估价人员已对房屋安全、环境污染等影响估价对象</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的重要因素给予了关注，在无理由怀疑估价对象存在隐患且无相应的专业机构进行鉴定、监测的情况下，假定估价对象能正常安全使用。</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4、估价对象在</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时点的房地产市场为公开、平等、自愿的交易市场，即满足以下条件：</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(1) 买卖双方处于公平交易状态，对物业成交有充分讨价还价的权利；</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(2) 买卖双方都有一段充分了解物业现状及所处市场行情的时间,并且有一段合理的洽谈交易时间；</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(3) 在此期间物业</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将保持稳定；</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(4) 物业可以在公开市场上自由转让；</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(5) 不考虑特殊买家的额外出价；</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(6) 买卖双方之间无任何利害关系。</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bookmarkStart w:id="11" w:name="_Toc17960845"/>
      <w:r>
        <w:rPr>
          <w:rFonts w:hint="eastAsia" w:ascii="仿宋" w:hAnsi="仿宋" w:eastAsia="仿宋"/>
          <w:snapToGrid w:val="0"/>
          <w:sz w:val="28"/>
          <w:szCs w:val="28"/>
          <w:highlight w:val="none"/>
        </w:rPr>
        <w:t>5、估价对象面积来源于估价委托人提供的</w:t>
      </w:r>
      <w:r>
        <w:rPr>
          <w:rFonts w:hint="eastAsia" w:ascii="仿宋" w:hAnsi="仿宋" w:eastAsia="仿宋"/>
          <w:snapToGrid w:val="0"/>
          <w:sz w:val="28"/>
          <w:szCs w:val="28"/>
          <w:highlight w:val="none"/>
          <w:lang w:eastAsia="zh-CN"/>
        </w:rPr>
        <w:t>《贵州省不动产登记查询结果》</w:t>
      </w:r>
      <w:r>
        <w:rPr>
          <w:rFonts w:hint="eastAsia" w:ascii="仿宋" w:hAnsi="仿宋" w:eastAsia="仿宋"/>
          <w:snapToGrid w:val="0"/>
          <w:sz w:val="28"/>
          <w:szCs w:val="28"/>
          <w:highlight w:val="none"/>
        </w:rPr>
        <w:t>复印件，若与实际不符，应据实调整估价</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。因其不实造成的影响，本公司不承担任何责任。</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lang w:eastAsia="zh-CN"/>
        </w:rPr>
      </w:pPr>
      <w:r>
        <w:rPr>
          <w:rFonts w:hint="eastAsia" w:ascii="仿宋" w:hAnsi="仿宋" w:eastAsia="仿宋"/>
          <w:snapToGrid w:val="0"/>
          <w:sz w:val="28"/>
          <w:szCs w:val="28"/>
          <w:highlight w:val="none"/>
          <w:lang w:val="en-US" w:eastAsia="zh-CN"/>
        </w:rPr>
        <w:t>6、本次评估</w:t>
      </w:r>
      <w:r>
        <w:rPr>
          <w:rFonts w:hint="eastAsia" w:ascii="仿宋" w:hAnsi="仿宋" w:eastAsia="仿宋"/>
          <w:snapToGrid w:val="0"/>
          <w:sz w:val="28"/>
          <w:szCs w:val="28"/>
          <w:highlight w:val="none"/>
        </w:rPr>
        <w:t>假定评估对象不存在租赁权、用益物权及占有使用情况</w:t>
      </w:r>
      <w:r>
        <w:rPr>
          <w:rFonts w:hint="eastAsia" w:ascii="仿宋" w:hAnsi="仿宋" w:eastAsia="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lang w:val="en-US" w:eastAsia="zh-CN"/>
        </w:rPr>
      </w:pPr>
      <w:r>
        <w:rPr>
          <w:rFonts w:hint="eastAsia" w:ascii="仿宋" w:hAnsi="仿宋" w:eastAsia="仿宋"/>
          <w:snapToGrid w:val="0"/>
          <w:sz w:val="28"/>
          <w:szCs w:val="28"/>
          <w:highlight w:val="none"/>
          <w:lang w:val="en-US" w:eastAsia="zh-CN"/>
        </w:rPr>
        <w:t>7、本次评估假定评估对象不存在欠缴税金及相关费用，包括但不限于税收、物业费、供暖费、水电气费等及其滞纳金。</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二、未定事项假设</w:t>
      </w:r>
      <w:bookmarkEnd w:id="11"/>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bookmarkStart w:id="12" w:name="_Toc17960846"/>
      <w:r>
        <w:rPr>
          <w:rFonts w:hint="eastAsia" w:ascii="仿宋" w:hAnsi="仿宋" w:eastAsia="仿宋"/>
          <w:snapToGrid w:val="0"/>
          <w:sz w:val="28"/>
          <w:szCs w:val="28"/>
          <w:highlight w:val="none"/>
        </w:rPr>
        <w:t>本次估价的估价对象不存在未定事项假设，故本次估价报告无未定事项假设。</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三、背离事实假设</w:t>
      </w:r>
      <w:bookmarkEnd w:id="12"/>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1、本次估价时没有考虑国家宏观经济政策发生变化，市场供求关系变化、市场结构转变、遇有自然力和其他不可抗力等因素对房地产</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的影响，未考虑估价对象可能存在抵押、担保等影响其</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的因素限制，也没有考虑估价对象将来可能承担违约责任的事宜，以及特殊交易方式下的特殊交易价格等对估价结果的影响。当上述条件发生变化时，估价结果亦会发生变化。</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2、估价结果未考虑估价对象及其所有人已承担的债务、或者债务及经营决策失误或者市场运作失当对其</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的影响。</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default" w:ascii="仿宋" w:hAnsi="仿宋" w:eastAsia="仿宋"/>
          <w:snapToGrid w:val="0"/>
          <w:sz w:val="28"/>
          <w:szCs w:val="28"/>
          <w:highlight w:val="none"/>
          <w:lang w:val="en-US"/>
        </w:rPr>
      </w:pPr>
      <w:r>
        <w:rPr>
          <w:rFonts w:hint="eastAsia" w:ascii="仿宋" w:hAnsi="仿宋" w:eastAsia="仿宋"/>
          <w:snapToGrid w:val="0"/>
          <w:sz w:val="28"/>
          <w:szCs w:val="28"/>
          <w:highlight w:val="none"/>
          <w:lang w:val="en-US" w:eastAsia="zh-CN"/>
        </w:rPr>
        <w:t>3、</w:t>
      </w:r>
      <w:r>
        <w:rPr>
          <w:rFonts w:hint="eastAsia" w:ascii="仿宋" w:hAnsi="仿宋" w:eastAsia="仿宋"/>
          <w:snapToGrid w:val="0"/>
          <w:sz w:val="28"/>
          <w:szCs w:val="28"/>
          <w:highlight w:val="none"/>
          <w:lang w:eastAsia="zh-CN"/>
        </w:rPr>
        <w:t>估价</w:t>
      </w:r>
      <w:r>
        <w:rPr>
          <w:rFonts w:hint="eastAsia" w:ascii="仿宋" w:hAnsi="仿宋" w:eastAsia="仿宋"/>
          <w:snapToGrid w:val="0"/>
          <w:sz w:val="28"/>
          <w:szCs w:val="28"/>
          <w:highlight w:val="none"/>
        </w:rPr>
        <w:t>结果不考虑</w:t>
      </w:r>
      <w:r>
        <w:rPr>
          <w:rFonts w:hint="eastAsia" w:ascii="仿宋" w:hAnsi="仿宋" w:eastAsia="仿宋"/>
          <w:snapToGrid w:val="0"/>
          <w:sz w:val="28"/>
          <w:szCs w:val="28"/>
          <w:highlight w:val="none"/>
          <w:lang w:eastAsia="zh-CN"/>
        </w:rPr>
        <w:t>估价</w:t>
      </w:r>
      <w:r>
        <w:rPr>
          <w:rFonts w:hint="eastAsia" w:ascii="仿宋" w:hAnsi="仿宋" w:eastAsia="仿宋"/>
          <w:snapToGrid w:val="0"/>
          <w:sz w:val="28"/>
          <w:szCs w:val="28"/>
          <w:highlight w:val="none"/>
        </w:rPr>
        <w:t>对象被查封以及原有的担保物权和其他优先受偿权的影响</w:t>
      </w:r>
      <w:r>
        <w:rPr>
          <w:rFonts w:hint="eastAsia" w:ascii="仿宋" w:hAnsi="仿宋" w:eastAsia="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bookmarkStart w:id="13" w:name="_Toc17960847"/>
      <w:r>
        <w:rPr>
          <w:rFonts w:hint="eastAsia" w:ascii="仿宋" w:hAnsi="仿宋" w:eastAsia="仿宋"/>
          <w:snapToGrid w:val="0"/>
          <w:sz w:val="28"/>
          <w:szCs w:val="28"/>
          <w:highlight w:val="none"/>
        </w:rPr>
        <w:t>四、不相一致假设</w:t>
      </w:r>
      <w:bookmarkEnd w:id="13"/>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本次估价的估价对象不存在不相一致假设，故本次估价报告无不相一致假设。</w:t>
      </w:r>
    </w:p>
    <w:p>
      <w:pPr>
        <w:pStyle w:val="35"/>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ascii="黑体" w:eastAsia="黑体"/>
          <w:snapToGrid w:val="0"/>
          <w:sz w:val="30"/>
          <w:szCs w:val="30"/>
          <w:highlight w:val="none"/>
        </w:rPr>
      </w:pPr>
      <w:bookmarkStart w:id="14" w:name="_Toc17960848"/>
      <w:r>
        <w:rPr>
          <w:rFonts w:hint="eastAsia" w:ascii="黑体" w:eastAsia="黑体"/>
          <w:snapToGrid w:val="0"/>
          <w:sz w:val="30"/>
          <w:szCs w:val="30"/>
          <w:highlight w:val="none"/>
        </w:rPr>
        <w:t>（二）</w:t>
      </w:r>
      <w:r>
        <w:rPr>
          <w:rFonts w:hint="eastAsia" w:ascii="黑体" w:eastAsia="黑体"/>
          <w:snapToGrid w:val="0"/>
          <w:sz w:val="30"/>
          <w:szCs w:val="30"/>
          <w:highlight w:val="none"/>
          <w:lang w:val="en-US" w:eastAsia="zh-CN"/>
        </w:rPr>
        <w:t>本报告使用的</w:t>
      </w:r>
      <w:r>
        <w:rPr>
          <w:rFonts w:hint="eastAsia" w:ascii="黑体" w:eastAsia="黑体"/>
          <w:snapToGrid w:val="0"/>
          <w:sz w:val="30"/>
          <w:szCs w:val="30"/>
          <w:highlight w:val="none"/>
        </w:rPr>
        <w:t>限制条件</w:t>
      </w:r>
      <w:bookmarkEnd w:id="14"/>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1、应当按照法律规定和评估报告载明的用途、使用人、使用期限等使用范围使用评估报告。否则，房地产估价机构和注册房地产估价师依法不承担责任；</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2、</w:t>
      </w:r>
      <w:r>
        <w:rPr>
          <w:rFonts w:hint="eastAsia" w:ascii="仿宋" w:hAnsi="仿宋" w:eastAsia="仿宋"/>
          <w:snapToGrid w:val="0"/>
          <w:sz w:val="28"/>
          <w:szCs w:val="28"/>
          <w:highlight w:val="none"/>
        </w:rPr>
        <w:t>评估结果仅为人民法院确定财产处置参考价服务，不是评估对象处置可实现的成交价格，也不应当被视为对评估对象处置成交价格的保证；</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3、</w:t>
      </w:r>
      <w:r>
        <w:rPr>
          <w:rFonts w:hint="eastAsia" w:ascii="仿宋" w:hAnsi="仿宋" w:eastAsia="仿宋"/>
          <w:snapToGrid w:val="0"/>
          <w:sz w:val="28"/>
          <w:szCs w:val="28"/>
          <w:highlight w:val="none"/>
        </w:rPr>
        <w:t>财产拍卖或者变卖之日与</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时点不一致，可能导致评估结果对应的评估对象状况、房地产市场状况、欠缴税费状况等与财产拍卖或者变卖时的相应状况不一致，发生明显变化的，评估结果应当进行相应调整后才可使用；</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4、</w:t>
      </w:r>
      <w:r>
        <w:rPr>
          <w:rFonts w:hint="eastAsia" w:ascii="仿宋" w:hAnsi="仿宋" w:eastAsia="仿宋"/>
          <w:snapToGrid w:val="0"/>
          <w:sz w:val="28"/>
          <w:szCs w:val="28"/>
          <w:highlight w:val="none"/>
        </w:rPr>
        <w:t>在评估报告使用期限或者评估结果有效期内，评估报告或者评估结果未使用之前，如果评估对象状况或者房地产市场状况发生明显变化的，评估结果应当进行相应调整后才可使用；</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5、</w:t>
      </w:r>
      <w:r>
        <w:rPr>
          <w:rFonts w:hint="eastAsia" w:ascii="仿宋" w:hAnsi="仿宋" w:eastAsia="仿宋"/>
          <w:snapToGrid w:val="0"/>
          <w:sz w:val="28"/>
          <w:szCs w:val="28"/>
          <w:highlight w:val="none"/>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default" w:ascii="仿宋" w:hAnsi="仿宋" w:eastAsia="仿宋" w:cs="仿宋"/>
          <w:snapToGrid w:val="0"/>
          <w:sz w:val="28"/>
          <w:szCs w:val="28"/>
          <w:highlight w:val="none"/>
          <w:lang w:val="en-US" w:eastAsia="zh-CN"/>
        </w:rPr>
      </w:pPr>
      <w:r>
        <w:rPr>
          <w:rFonts w:hint="eastAsia" w:ascii="仿宋" w:hAnsi="仿宋" w:eastAsia="仿宋"/>
          <w:snapToGrid w:val="0"/>
          <w:sz w:val="28"/>
          <w:szCs w:val="28"/>
          <w:highlight w:val="none"/>
          <w:lang w:val="en-US" w:eastAsia="zh-CN"/>
        </w:rPr>
        <w:t>6、</w:t>
      </w:r>
      <w:r>
        <w:rPr>
          <w:rFonts w:hint="eastAsia" w:ascii="仿宋" w:hAnsi="仿宋" w:eastAsia="仿宋" w:cs="仿宋"/>
          <w:snapToGrid w:val="0"/>
          <w:sz w:val="28"/>
          <w:szCs w:val="28"/>
          <w:highlight w:val="none"/>
        </w:rPr>
        <w:t>评估对象市场价格对应的交易税费按照法律法规规定，转让人和买受人各自负担</w:t>
      </w:r>
      <w:r>
        <w:rPr>
          <w:rFonts w:hint="eastAsia" w:ascii="仿宋" w:hAnsi="仿宋" w:eastAsia="仿宋" w:cs="仿宋"/>
          <w:snapToGrid w:val="0"/>
          <w:sz w:val="28"/>
          <w:szCs w:val="28"/>
          <w:highlight w:val="none"/>
          <w:lang w:eastAsia="zh-CN"/>
        </w:rPr>
        <w:t>；估价结果已考虑</w:t>
      </w:r>
      <w:r>
        <w:rPr>
          <w:rFonts w:hint="eastAsia" w:ascii="仿宋" w:hAnsi="仿宋" w:eastAsia="仿宋" w:cs="仿宋"/>
          <w:snapToGrid w:val="0"/>
          <w:sz w:val="28"/>
          <w:szCs w:val="28"/>
          <w:highlight w:val="none"/>
        </w:rPr>
        <w:t>被迫转让及处置后被执行人不自愿配合交付因素对评估结果的不利影响</w:t>
      </w:r>
      <w:r>
        <w:rPr>
          <w:rFonts w:hint="eastAsia" w:ascii="仿宋" w:hAnsi="仿宋" w:eastAsia="仿宋" w:cs="仿宋"/>
          <w:snapToGrid w:val="0"/>
          <w:sz w:val="28"/>
          <w:szCs w:val="28"/>
          <w:highlight w:val="none"/>
          <w:lang w:eastAsia="zh-CN"/>
        </w:rPr>
        <w:t>。</w:t>
      </w:r>
      <w:r>
        <w:rPr>
          <w:rFonts w:hint="eastAsia" w:ascii="仿宋" w:hAnsi="仿宋" w:eastAsia="仿宋" w:cs="仿宋"/>
          <w:snapToGrid w:val="0"/>
          <w:sz w:val="28"/>
          <w:szCs w:val="28"/>
          <w:highlight w:val="none"/>
          <w:lang w:val="en-US" w:eastAsia="zh-CN"/>
        </w:rPr>
        <w:t>本次估价测算交易税费及相关处置费用为预估数据，与实际发生额可能存在差异，请报告使用者注意。</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7</w:t>
      </w:r>
      <w:r>
        <w:rPr>
          <w:rFonts w:hint="eastAsia" w:ascii="仿宋" w:hAnsi="仿宋" w:eastAsia="仿宋"/>
          <w:snapToGrid w:val="0"/>
          <w:sz w:val="28"/>
          <w:szCs w:val="28"/>
          <w:highlight w:val="none"/>
        </w:rPr>
        <w:t>本估价报告估价结果是按照既定目的提供给估价委托人使用，若改变估价目的及使用条件，需向本公司咨询后作必要调整甚至重新估价。</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8</w:t>
      </w:r>
      <w:r>
        <w:rPr>
          <w:rFonts w:hint="eastAsia" w:ascii="仿宋" w:hAnsi="仿宋" w:eastAsia="仿宋"/>
          <w:snapToGrid w:val="0"/>
          <w:sz w:val="28"/>
          <w:szCs w:val="28"/>
          <w:highlight w:val="none"/>
        </w:rPr>
        <w:t>、本估价报告应用的有效期为自报告出具时点起原则上规定为一年（自</w:t>
      </w:r>
      <w:r>
        <w:rPr>
          <w:rFonts w:hint="eastAsia" w:ascii="仿宋" w:hAnsi="仿宋" w:eastAsia="仿宋"/>
          <w:snapToGrid w:val="0"/>
          <w:sz w:val="28"/>
          <w:szCs w:val="28"/>
          <w:highlight w:val="none"/>
          <w:lang w:eastAsia="zh-CN"/>
        </w:rPr>
        <w:t>二〇二二年四月十九日</w:t>
      </w:r>
      <w:r>
        <w:rPr>
          <w:rFonts w:hint="eastAsia" w:ascii="仿宋" w:hAnsi="仿宋" w:eastAsia="仿宋"/>
          <w:snapToGrid w:val="0"/>
          <w:sz w:val="28"/>
          <w:szCs w:val="28"/>
          <w:highlight w:val="none"/>
        </w:rPr>
        <w:t>至</w:t>
      </w:r>
      <w:r>
        <w:rPr>
          <w:rFonts w:hint="eastAsia" w:ascii="仿宋" w:hAnsi="仿宋" w:eastAsia="仿宋"/>
          <w:snapToGrid w:val="0"/>
          <w:sz w:val="28"/>
          <w:szCs w:val="28"/>
          <w:highlight w:val="none"/>
          <w:lang w:eastAsia="zh-CN"/>
        </w:rPr>
        <w:t>二〇二三年四月十八日</w:t>
      </w:r>
      <w:r>
        <w:rPr>
          <w:rFonts w:hint="eastAsia" w:ascii="仿宋" w:hAnsi="仿宋" w:eastAsia="仿宋"/>
          <w:snapToGrid w:val="0"/>
          <w:sz w:val="28"/>
          <w:szCs w:val="28"/>
          <w:highlight w:val="none"/>
        </w:rPr>
        <w:t>止），若报告使用期限内，房地产市场或估价对象状况发生重大变化，估价结果需做相应调整或委托估价机构重新估价。</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9</w:t>
      </w:r>
      <w:r>
        <w:rPr>
          <w:rFonts w:hint="eastAsia" w:ascii="仿宋" w:hAnsi="仿宋" w:eastAsia="仿宋"/>
          <w:snapToGrid w:val="0"/>
          <w:sz w:val="28"/>
          <w:szCs w:val="28"/>
          <w:highlight w:val="none"/>
        </w:rPr>
        <w:t>、本报告中对于未来房地产市场发展趋势的分析、判断，是估价人员基于</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时点的房地产市场状况作出的，估价结果为</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时点下估价对象土地在现状规划条件、建筑物在现状利用条件下的房地产正常市场</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，如估价对象规划用途、面积或建筑物使用状况发生变化，估价结果需要做相应的调整直至重新估价。</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10</w:t>
      </w:r>
      <w:r>
        <w:rPr>
          <w:rFonts w:hint="eastAsia" w:ascii="仿宋" w:hAnsi="仿宋" w:eastAsia="仿宋"/>
          <w:snapToGrid w:val="0"/>
          <w:sz w:val="28"/>
          <w:szCs w:val="28"/>
          <w:highlight w:val="none"/>
        </w:rPr>
        <w:t>、本报告未考虑国家经济政策等发生变化或其他不可抗力时对估价对象的</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影响。估价对象在处置过程中，可能存在操作、法律、道德等方面无法预测的风险，对估价对象处置及交易过户等均可能产生一定的影响，从而可能对估价对象的处置</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产生减损作用，我司无法对此作出判断，特提醒报告使用人注意。</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11</w:t>
      </w:r>
      <w:r>
        <w:rPr>
          <w:rFonts w:hint="eastAsia" w:ascii="仿宋" w:hAnsi="仿宋" w:eastAsia="仿宋"/>
          <w:snapToGrid w:val="0"/>
          <w:sz w:val="28"/>
          <w:szCs w:val="28"/>
          <w:highlight w:val="none"/>
        </w:rPr>
        <w:t>、本报告仅针对委托人估价目的做出估价，不对其他用途负责。</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12</w:t>
      </w:r>
      <w:r>
        <w:rPr>
          <w:rFonts w:hint="eastAsia" w:ascii="仿宋" w:hAnsi="仿宋" w:eastAsia="仿宋"/>
          <w:snapToGrid w:val="0"/>
          <w:sz w:val="28"/>
          <w:szCs w:val="28"/>
          <w:highlight w:val="none"/>
        </w:rPr>
        <w:t>、如无特别说明，本估价报告中所使用的货币均为人民币。</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13</w:t>
      </w:r>
      <w:r>
        <w:rPr>
          <w:rFonts w:hint="eastAsia" w:ascii="仿宋" w:hAnsi="仿宋" w:eastAsia="仿宋"/>
          <w:snapToGrid w:val="0"/>
          <w:sz w:val="28"/>
          <w:szCs w:val="28"/>
          <w:highlight w:val="none"/>
        </w:rPr>
        <w:t>、本估价报告不作为估价对象权属确认的依据。</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14</w:t>
      </w:r>
      <w:r>
        <w:rPr>
          <w:rFonts w:hint="eastAsia" w:ascii="仿宋" w:hAnsi="仿宋" w:eastAsia="仿宋"/>
          <w:snapToGrid w:val="0"/>
          <w:sz w:val="28"/>
          <w:szCs w:val="28"/>
          <w:highlight w:val="none"/>
        </w:rPr>
        <w:t>、本报告必须完整使用方为有效，本估价报告含若干附件，与报告书正文具同等法律效力，不可分割对待。对使用本报告中的部分内容导致的可能发生的损失，受托机构不承担责任。同时未经我公司书面同意，本估价报告全部或部分内容不得公开发表，也不得向相关登记或备案部门以外的单位或个人提供。</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15</w:t>
      </w:r>
      <w:r>
        <w:rPr>
          <w:rFonts w:hint="eastAsia" w:ascii="仿宋" w:hAnsi="仿宋" w:eastAsia="仿宋"/>
          <w:snapToGrid w:val="0"/>
          <w:sz w:val="28"/>
          <w:szCs w:val="28"/>
          <w:highlight w:val="none"/>
        </w:rPr>
        <w:t>、本次估价是基于上述假设和限制条件成立的，如以上假设和限制条件发生变化，本报告结果必须作相应调整。</w:t>
      </w:r>
    </w:p>
    <w:p>
      <w:pPr>
        <w:adjustRightInd w:val="0"/>
        <w:snapToGrid w:val="0"/>
        <w:spacing w:line="360" w:lineRule="auto"/>
        <w:ind w:firstLine="491" w:firstLineChars="146"/>
        <w:rPr>
          <w:rFonts w:ascii="宋体" w:hAnsi="宋体"/>
          <w:snapToGrid w:val="0"/>
          <w:kern w:val="0"/>
          <w:sz w:val="28"/>
          <w:szCs w:val="28"/>
          <w:highlight w:val="none"/>
        </w:rPr>
      </w:pPr>
    </w:p>
    <w:p>
      <w:pPr>
        <w:rPr>
          <w:highlight w:val="none"/>
        </w:rPr>
      </w:pPr>
      <w:bookmarkStart w:id="15" w:name="_Toc17960849"/>
      <w:r>
        <w:rPr>
          <w:highlight w:val="none"/>
        </w:rPr>
        <w:br w:type="page"/>
      </w:r>
    </w:p>
    <w:p>
      <w:pPr>
        <w:pStyle w:val="3"/>
        <w:keepLines/>
        <w:rPr>
          <w:rFonts w:ascii="黑体" w:hAnsi="黑体" w:eastAsia="黑体" w:cs="黑体"/>
          <w:bCs/>
          <w:snapToGrid w:val="0"/>
          <w:kern w:val="0"/>
          <w:sz w:val="44"/>
          <w:szCs w:val="44"/>
          <w:highlight w:val="none"/>
        </w:rPr>
      </w:pPr>
      <w:bookmarkStart w:id="16" w:name="_Toc1357"/>
      <w:r>
        <w:rPr>
          <w:rFonts w:hint="eastAsia" w:ascii="黑体" w:hAnsi="黑体" w:eastAsia="黑体" w:cs="黑体"/>
          <w:bCs/>
          <w:snapToGrid w:val="0"/>
          <w:kern w:val="0"/>
          <w:sz w:val="44"/>
          <w:szCs w:val="44"/>
          <w:highlight w:val="none"/>
        </w:rPr>
        <w:t>估价结果报告</w:t>
      </w:r>
      <w:bookmarkEnd w:id="15"/>
      <w:bookmarkEnd w:id="16"/>
    </w:p>
    <w:p>
      <w:pPr>
        <w:rPr>
          <w:highlight w:val="none"/>
        </w:rPr>
      </w:pPr>
    </w:p>
    <w:p>
      <w:pPr>
        <w:pStyle w:val="2"/>
        <w:pageBreakBefore w:val="0"/>
        <w:widowControl w:val="0"/>
        <w:kinsoku/>
        <w:wordWrap/>
        <w:overflowPunct/>
        <w:topLinePunct w:val="0"/>
        <w:autoSpaceDE/>
        <w:autoSpaceDN/>
        <w:bidi w:val="0"/>
        <w:adjustRightInd/>
        <w:snapToGrid/>
        <w:spacing w:before="0" w:after="0" w:line="500" w:lineRule="exact"/>
        <w:textAlignment w:val="auto"/>
        <w:rPr>
          <w:rFonts w:ascii="黑体" w:hAnsi="黑体" w:cs="黑体"/>
          <w:snapToGrid w:val="0"/>
          <w:kern w:val="0"/>
          <w:sz w:val="30"/>
          <w:szCs w:val="30"/>
          <w:highlight w:val="none"/>
        </w:rPr>
      </w:pPr>
      <w:bookmarkStart w:id="17" w:name="_Toc17960850"/>
      <w:bookmarkStart w:id="18" w:name="_Toc14601"/>
      <w:r>
        <w:rPr>
          <w:rFonts w:hint="eastAsia" w:ascii="黑体" w:hAnsi="黑体" w:cs="黑体"/>
          <w:snapToGrid w:val="0"/>
          <w:kern w:val="0"/>
          <w:sz w:val="30"/>
          <w:szCs w:val="30"/>
          <w:highlight w:val="none"/>
        </w:rPr>
        <w:t>（一）估价委托人</w:t>
      </w:r>
      <w:bookmarkEnd w:id="17"/>
      <w:bookmarkEnd w:id="18"/>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hint="eastAsia" w:ascii="仿宋" w:hAnsi="仿宋" w:eastAsia="仿宋" w:cs="仿宋"/>
          <w:spacing w:val="-20"/>
          <w:sz w:val="28"/>
          <w:szCs w:val="28"/>
          <w:highlight w:val="none"/>
          <w:lang w:eastAsia="zh-CN"/>
        </w:rPr>
      </w:pPr>
      <w:bookmarkStart w:id="19" w:name="_Toc17960851"/>
      <w:r>
        <w:rPr>
          <w:rFonts w:hint="eastAsia" w:ascii="仿宋" w:hAnsi="仿宋" w:eastAsia="仿宋" w:cs="仿宋"/>
          <w:spacing w:val="-20"/>
          <w:sz w:val="28"/>
          <w:szCs w:val="28"/>
          <w:highlight w:val="none"/>
        </w:rPr>
        <w:t>名    称：</w:t>
      </w:r>
      <w:r>
        <w:rPr>
          <w:rFonts w:hint="eastAsia" w:ascii="仿宋" w:hAnsi="仿宋" w:eastAsia="仿宋" w:cs="仿宋"/>
          <w:spacing w:val="-20"/>
          <w:sz w:val="28"/>
          <w:szCs w:val="28"/>
          <w:highlight w:val="none"/>
          <w:lang w:eastAsia="zh-CN"/>
        </w:rPr>
        <w:t>三穗县人民法院</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hint="eastAsia" w:ascii="仿宋" w:hAnsi="仿宋" w:eastAsia="仿宋" w:cs="仿宋"/>
          <w:spacing w:val="-20"/>
          <w:sz w:val="28"/>
          <w:szCs w:val="28"/>
          <w:highlight w:val="none"/>
          <w:lang w:eastAsia="zh-CN"/>
        </w:rPr>
      </w:pPr>
      <w:r>
        <w:rPr>
          <w:rFonts w:hint="eastAsia" w:ascii="仿宋" w:hAnsi="仿宋" w:eastAsia="仿宋" w:cs="仿宋"/>
          <w:spacing w:val="-20"/>
          <w:sz w:val="28"/>
          <w:szCs w:val="28"/>
          <w:highlight w:val="none"/>
          <w:lang w:eastAsia="zh-CN"/>
        </w:rPr>
        <w:t>地</w:t>
      </w:r>
      <w:r>
        <w:rPr>
          <w:rFonts w:hint="eastAsia" w:ascii="仿宋" w:hAnsi="仿宋" w:eastAsia="仿宋" w:cs="仿宋"/>
          <w:spacing w:val="-20"/>
          <w:sz w:val="28"/>
          <w:szCs w:val="28"/>
          <w:highlight w:val="none"/>
          <w:lang w:val="en-US" w:eastAsia="zh-CN"/>
        </w:rPr>
        <w:t xml:space="preserve">    </w:t>
      </w:r>
      <w:r>
        <w:rPr>
          <w:rFonts w:hint="eastAsia" w:ascii="仿宋" w:hAnsi="仿宋" w:eastAsia="仿宋" w:cs="仿宋"/>
          <w:spacing w:val="-20"/>
          <w:sz w:val="28"/>
          <w:szCs w:val="28"/>
          <w:highlight w:val="none"/>
          <w:lang w:eastAsia="zh-CN"/>
        </w:rPr>
        <w:t>址</w:t>
      </w:r>
      <w:r>
        <w:rPr>
          <w:rFonts w:hint="eastAsia" w:ascii="仿宋" w:hAnsi="仿宋" w:eastAsia="仿宋" w:cs="仿宋"/>
          <w:spacing w:val="-20"/>
          <w:sz w:val="28"/>
          <w:szCs w:val="28"/>
          <w:highlight w:val="none"/>
        </w:rPr>
        <w:t>：贵州省黔东南苗族侗族自治州三穗县迎宾大道西侧</w:t>
      </w:r>
    </w:p>
    <w:p>
      <w:pPr>
        <w:pStyle w:val="2"/>
        <w:pageBreakBefore w:val="0"/>
        <w:widowControl w:val="0"/>
        <w:kinsoku/>
        <w:wordWrap/>
        <w:overflowPunct/>
        <w:topLinePunct w:val="0"/>
        <w:autoSpaceDE/>
        <w:autoSpaceDN/>
        <w:bidi w:val="0"/>
        <w:adjustRightInd/>
        <w:snapToGrid/>
        <w:spacing w:before="0" w:after="0" w:line="500" w:lineRule="exact"/>
        <w:textAlignment w:val="auto"/>
        <w:rPr>
          <w:rFonts w:ascii="黑体" w:hAnsi="黑体" w:cs="黑体"/>
          <w:snapToGrid w:val="0"/>
          <w:kern w:val="0"/>
          <w:sz w:val="30"/>
          <w:szCs w:val="30"/>
          <w:highlight w:val="none"/>
        </w:rPr>
      </w:pPr>
      <w:bookmarkStart w:id="20" w:name="_Toc24059"/>
      <w:r>
        <w:rPr>
          <w:rFonts w:hint="eastAsia" w:ascii="黑体" w:hAnsi="黑体" w:cs="黑体"/>
          <w:snapToGrid w:val="0"/>
          <w:kern w:val="0"/>
          <w:sz w:val="30"/>
          <w:szCs w:val="30"/>
          <w:highlight w:val="none"/>
        </w:rPr>
        <w:t>（二）估价机构</w:t>
      </w:r>
      <w:bookmarkEnd w:id="19"/>
      <w:bookmarkEnd w:id="20"/>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bookmarkStart w:id="21" w:name="_Toc17960852"/>
      <w:r>
        <w:rPr>
          <w:rFonts w:hint="eastAsia" w:ascii="仿宋" w:hAnsi="仿宋" w:eastAsia="仿宋" w:cs="仿宋"/>
          <w:spacing w:val="-20"/>
          <w:sz w:val="28"/>
          <w:szCs w:val="28"/>
          <w:highlight w:val="none"/>
        </w:rPr>
        <w:t>深圳市国咨土地房地产资产评估有限公司</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法定代表人：龚伟平</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资质等级：国家一级房地产价格评估机构</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证书编号：粤房估备字壹0200039</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地    址：深圳市福田区国际科技大厦31楼</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电    话：0755-82379666</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贵州分公司负责人：卞晓红</w:t>
      </w:r>
    </w:p>
    <w:p>
      <w:pPr>
        <w:pageBreakBefore w:val="0"/>
        <w:widowControl w:val="0"/>
        <w:kinsoku/>
        <w:wordWrap/>
        <w:overflowPunct/>
        <w:topLinePunct w:val="0"/>
        <w:autoSpaceDE/>
        <w:autoSpaceDN/>
        <w:bidi w:val="0"/>
        <w:adjustRightInd/>
        <w:snapToGrid/>
        <w:spacing w:line="520" w:lineRule="atLeast"/>
        <w:ind w:firstLine="594" w:firstLineChars="200"/>
        <w:jc w:val="left"/>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贵州分公司地址：贵阳市高新区西部研发基地4号楼17层</w:t>
      </w:r>
      <w:r>
        <w:rPr>
          <w:rFonts w:hint="eastAsia" w:ascii="仿宋" w:hAnsi="仿宋" w:eastAsia="仿宋" w:cs="仿宋"/>
          <w:spacing w:val="-20"/>
          <w:sz w:val="28"/>
          <w:szCs w:val="28"/>
          <w:highlight w:val="none"/>
          <w:lang w:val="en-US" w:eastAsia="zh-CN"/>
        </w:rPr>
        <w:t>4</w:t>
      </w:r>
      <w:r>
        <w:rPr>
          <w:rFonts w:hint="eastAsia" w:ascii="仿宋" w:hAnsi="仿宋" w:eastAsia="仿宋" w:cs="仿宋"/>
          <w:spacing w:val="-20"/>
          <w:sz w:val="28"/>
          <w:szCs w:val="28"/>
          <w:highlight w:val="none"/>
        </w:rPr>
        <w:t>号</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电    话：0851-84844442</w:t>
      </w:r>
    </w:p>
    <w:p>
      <w:pPr>
        <w:pStyle w:val="2"/>
        <w:pageBreakBefore w:val="0"/>
        <w:widowControl w:val="0"/>
        <w:kinsoku/>
        <w:wordWrap/>
        <w:overflowPunct/>
        <w:topLinePunct w:val="0"/>
        <w:autoSpaceDE/>
        <w:autoSpaceDN/>
        <w:bidi w:val="0"/>
        <w:adjustRightInd/>
        <w:snapToGrid/>
        <w:spacing w:before="0" w:after="0" w:line="500" w:lineRule="exact"/>
        <w:textAlignment w:val="auto"/>
        <w:rPr>
          <w:rFonts w:ascii="黑体" w:hAnsi="黑体" w:cs="黑体"/>
          <w:snapToGrid w:val="0"/>
          <w:kern w:val="0"/>
          <w:sz w:val="30"/>
          <w:szCs w:val="30"/>
          <w:highlight w:val="none"/>
        </w:rPr>
      </w:pPr>
      <w:bookmarkStart w:id="22" w:name="_Toc1380"/>
      <w:r>
        <w:rPr>
          <w:rFonts w:hint="eastAsia" w:ascii="黑体" w:hAnsi="黑体" w:cs="黑体"/>
          <w:snapToGrid w:val="0"/>
          <w:kern w:val="0"/>
          <w:sz w:val="30"/>
          <w:szCs w:val="30"/>
          <w:highlight w:val="none"/>
        </w:rPr>
        <w:t>（三）估价对象</w:t>
      </w:r>
      <w:bookmarkEnd w:id="21"/>
      <w:bookmarkEnd w:id="22"/>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bookmarkStart w:id="23" w:name="_Toc17960853"/>
      <w:r>
        <w:rPr>
          <w:rFonts w:hint="eastAsia" w:ascii="仿宋" w:hAnsi="仿宋" w:eastAsia="仿宋" w:cs="仿宋"/>
          <w:snapToGrid w:val="0"/>
          <w:kern w:val="0"/>
          <w:sz w:val="28"/>
          <w:szCs w:val="28"/>
          <w:highlight w:val="none"/>
          <w:lang w:val="en-US" w:eastAsia="zh-CN"/>
        </w:rPr>
        <w:t>1、估价对象区位状况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w:t>
      </w:r>
      <w:r>
        <w:rPr>
          <w:rFonts w:hint="eastAsia" w:ascii="仿宋" w:hAnsi="仿宋" w:eastAsia="仿宋" w:cs="仿宋"/>
          <w:snapToGrid w:val="0"/>
          <w:kern w:val="0"/>
          <w:sz w:val="28"/>
          <w:szCs w:val="28"/>
          <w:highlight w:val="none"/>
          <w:lang w:val="en-US" w:eastAsia="zh-CN"/>
        </w:rPr>
        <w:t>1</w:t>
      </w:r>
      <w:r>
        <w:rPr>
          <w:rFonts w:hint="eastAsia" w:ascii="仿宋" w:hAnsi="仿宋" w:eastAsia="仿宋" w:cs="仿宋"/>
          <w:snapToGrid w:val="0"/>
          <w:kern w:val="0"/>
          <w:sz w:val="28"/>
          <w:szCs w:val="28"/>
          <w:highlight w:val="none"/>
          <w:lang w:eastAsia="zh-CN"/>
        </w:rPr>
        <w:t>）估价对象位置状况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估价对象位于贵州省三穗县八弓镇中坝村（凯宏·城市花园三期）2幢1-9-2，</w:t>
      </w:r>
      <w:r>
        <w:rPr>
          <w:rFonts w:hint="eastAsia" w:ascii="仿宋" w:hAnsi="仿宋" w:eastAsia="仿宋" w:cs="仿宋"/>
          <w:snapToGrid w:val="0"/>
          <w:kern w:val="0"/>
          <w:sz w:val="28"/>
          <w:szCs w:val="28"/>
          <w:highlight w:val="none"/>
          <w:lang w:val="en-US" w:eastAsia="zh-CN"/>
        </w:rPr>
        <w:t>估价对象</w:t>
      </w:r>
      <w:r>
        <w:rPr>
          <w:rFonts w:hint="eastAsia" w:ascii="仿宋" w:hAnsi="仿宋" w:eastAsia="仿宋" w:cs="仿宋"/>
          <w:snapToGrid w:val="0"/>
          <w:kern w:val="0"/>
          <w:sz w:val="28"/>
          <w:szCs w:val="28"/>
          <w:highlight w:val="none"/>
          <w:lang w:eastAsia="zh-CN"/>
        </w:rPr>
        <w:t>地理位置、交通便捷度、繁华程度</w:t>
      </w:r>
      <w:r>
        <w:rPr>
          <w:rFonts w:hint="eastAsia" w:ascii="仿宋" w:hAnsi="仿宋" w:eastAsia="仿宋" w:cs="仿宋"/>
          <w:snapToGrid w:val="0"/>
          <w:kern w:val="0"/>
          <w:sz w:val="28"/>
          <w:szCs w:val="28"/>
          <w:highlight w:val="none"/>
          <w:lang w:val="en-US" w:eastAsia="zh-CN"/>
        </w:rPr>
        <w:t>均一般，</w:t>
      </w:r>
      <w:r>
        <w:rPr>
          <w:rFonts w:hint="eastAsia" w:ascii="仿宋" w:hAnsi="仿宋" w:eastAsia="仿宋" w:cs="仿宋"/>
          <w:snapToGrid w:val="0"/>
          <w:kern w:val="0"/>
          <w:sz w:val="28"/>
          <w:szCs w:val="28"/>
          <w:highlight w:val="none"/>
          <w:lang w:eastAsia="zh-CN"/>
        </w:rPr>
        <w:t>周边配套</w:t>
      </w:r>
      <w:r>
        <w:rPr>
          <w:rFonts w:hint="eastAsia" w:ascii="仿宋" w:hAnsi="仿宋" w:eastAsia="仿宋" w:cs="仿宋"/>
          <w:snapToGrid w:val="0"/>
          <w:kern w:val="0"/>
          <w:sz w:val="28"/>
          <w:szCs w:val="28"/>
          <w:highlight w:val="none"/>
          <w:lang w:val="en-US" w:eastAsia="zh-CN"/>
        </w:rPr>
        <w:t>较完善</w:t>
      </w:r>
      <w:r>
        <w:rPr>
          <w:rFonts w:hint="eastAsia" w:ascii="仿宋" w:hAnsi="仿宋" w:eastAsia="仿宋" w:cs="仿宋"/>
          <w:snapToGrid w:val="0"/>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w:t>
      </w:r>
      <w:r>
        <w:rPr>
          <w:rFonts w:hint="eastAsia" w:ascii="仿宋" w:hAnsi="仿宋" w:eastAsia="仿宋" w:cs="仿宋"/>
          <w:snapToGrid w:val="0"/>
          <w:kern w:val="0"/>
          <w:sz w:val="28"/>
          <w:szCs w:val="28"/>
          <w:highlight w:val="none"/>
          <w:lang w:val="en-US" w:eastAsia="zh-CN"/>
        </w:rPr>
        <w:t>2</w:t>
      </w:r>
      <w:r>
        <w:rPr>
          <w:rFonts w:hint="eastAsia" w:ascii="仿宋" w:hAnsi="仿宋" w:eastAsia="仿宋" w:cs="仿宋"/>
          <w:snapToGrid w:val="0"/>
          <w:kern w:val="0"/>
          <w:sz w:val="28"/>
          <w:szCs w:val="28"/>
          <w:highlight w:val="none"/>
          <w:lang w:eastAsia="zh-CN"/>
        </w:rPr>
        <w:t>）估价对象交通状况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估价对象位于贵州省三穗县八弓镇中坝村（凯宏·城市花园三期）2幢1-9-2，附近有三穗3路、三穗2路</w:t>
      </w:r>
      <w:r>
        <w:rPr>
          <w:rFonts w:hint="eastAsia" w:ascii="仿宋" w:hAnsi="仿宋" w:eastAsia="仿宋" w:cs="仿宋"/>
          <w:snapToGrid w:val="0"/>
          <w:color w:val="auto"/>
          <w:kern w:val="0"/>
          <w:sz w:val="28"/>
          <w:szCs w:val="28"/>
          <w:highlight w:val="none"/>
          <w:lang w:val="en-US" w:eastAsia="zh-CN"/>
        </w:rPr>
        <w:t>公交车</w:t>
      </w:r>
      <w:r>
        <w:rPr>
          <w:rFonts w:hint="eastAsia" w:ascii="仿宋" w:hAnsi="仿宋" w:eastAsia="仿宋" w:cs="仿宋"/>
          <w:snapToGrid w:val="0"/>
          <w:kern w:val="0"/>
          <w:sz w:val="28"/>
          <w:szCs w:val="28"/>
          <w:highlight w:val="none"/>
          <w:lang w:eastAsia="zh-CN"/>
        </w:rPr>
        <w:t>，交通</w:t>
      </w:r>
      <w:r>
        <w:rPr>
          <w:rFonts w:hint="eastAsia" w:ascii="仿宋" w:hAnsi="仿宋" w:eastAsia="仿宋" w:cs="仿宋"/>
          <w:snapToGrid w:val="0"/>
          <w:kern w:val="0"/>
          <w:sz w:val="28"/>
          <w:szCs w:val="28"/>
          <w:highlight w:val="none"/>
          <w:lang w:val="en-US" w:eastAsia="zh-CN"/>
        </w:rPr>
        <w:t>条件</w:t>
      </w:r>
      <w:r>
        <w:rPr>
          <w:rFonts w:hint="eastAsia" w:ascii="仿宋" w:hAnsi="仿宋" w:eastAsia="仿宋" w:cs="仿宋"/>
          <w:snapToGrid w:val="0"/>
          <w:kern w:val="0"/>
          <w:sz w:val="28"/>
          <w:szCs w:val="28"/>
          <w:highlight w:val="none"/>
          <w:lang w:eastAsia="zh-CN"/>
        </w:rPr>
        <w:t>一般。</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w:t>
      </w:r>
      <w:r>
        <w:rPr>
          <w:rFonts w:hint="eastAsia" w:ascii="仿宋" w:hAnsi="仿宋" w:eastAsia="仿宋" w:cs="仿宋"/>
          <w:snapToGrid w:val="0"/>
          <w:kern w:val="0"/>
          <w:sz w:val="28"/>
          <w:szCs w:val="28"/>
          <w:highlight w:val="none"/>
          <w:lang w:val="en-US" w:eastAsia="zh-CN"/>
        </w:rPr>
        <w:t>3</w:t>
      </w:r>
      <w:r>
        <w:rPr>
          <w:rFonts w:hint="eastAsia" w:ascii="仿宋" w:hAnsi="仿宋" w:eastAsia="仿宋" w:cs="仿宋"/>
          <w:snapToGrid w:val="0"/>
          <w:kern w:val="0"/>
          <w:sz w:val="28"/>
          <w:szCs w:val="28"/>
          <w:highlight w:val="none"/>
          <w:lang w:eastAsia="zh-CN"/>
        </w:rPr>
        <w:t>）公共配套设施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①基础设施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估价对象基础设施已达到“</w:t>
      </w:r>
      <w:r>
        <w:rPr>
          <w:rFonts w:hint="eastAsia" w:ascii="仿宋" w:hAnsi="仿宋" w:eastAsia="仿宋" w:cs="仿宋"/>
          <w:snapToGrid w:val="0"/>
          <w:kern w:val="0"/>
          <w:sz w:val="28"/>
          <w:szCs w:val="28"/>
          <w:highlight w:val="none"/>
          <w:lang w:val="en-US" w:eastAsia="zh-CN"/>
        </w:rPr>
        <w:t>六</w:t>
      </w:r>
      <w:r>
        <w:rPr>
          <w:rFonts w:hint="eastAsia" w:ascii="仿宋" w:hAnsi="仿宋" w:eastAsia="仿宋" w:cs="仿宋"/>
          <w:snapToGrid w:val="0"/>
          <w:kern w:val="0"/>
          <w:sz w:val="28"/>
          <w:szCs w:val="28"/>
          <w:highlight w:val="none"/>
          <w:lang w:eastAsia="zh-CN"/>
        </w:rPr>
        <w:t>通”（即通电、通路、通讯、</w:t>
      </w:r>
      <w:r>
        <w:rPr>
          <w:rFonts w:hint="eastAsia" w:ascii="仿宋" w:hAnsi="仿宋" w:eastAsia="仿宋" w:cs="仿宋"/>
          <w:snapToGrid w:val="0"/>
          <w:kern w:val="0"/>
          <w:sz w:val="28"/>
          <w:szCs w:val="28"/>
          <w:highlight w:val="none"/>
          <w:lang w:val="en-US" w:eastAsia="zh-CN"/>
        </w:rPr>
        <w:t>通燃气</w:t>
      </w:r>
      <w:r>
        <w:rPr>
          <w:rFonts w:hint="eastAsia" w:ascii="仿宋" w:hAnsi="仿宋" w:eastAsia="仿宋" w:cs="仿宋"/>
          <w:snapToGrid w:val="0"/>
          <w:kern w:val="0"/>
          <w:sz w:val="28"/>
          <w:szCs w:val="28"/>
          <w:highlight w:val="none"/>
          <w:lang w:eastAsia="zh-CN"/>
        </w:rPr>
        <w:t>、通上水、通下水），且保证率较高，基础设施完善。</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②公共服务设施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估价对象位于贵州省三穗县八弓镇中坝村（凯宏</w:t>
      </w:r>
      <w:r>
        <w:rPr>
          <w:rFonts w:hint="eastAsia" w:ascii="仿宋" w:hAnsi="仿宋" w:eastAsia="仿宋" w:cs="仿宋"/>
          <w:snapToGrid w:val="0"/>
          <w:kern w:val="0"/>
          <w:sz w:val="28"/>
          <w:szCs w:val="28"/>
          <w:highlight w:val="none"/>
          <w:lang w:val="en-US" w:eastAsia="zh-CN"/>
        </w:rPr>
        <w:t>·</w:t>
      </w:r>
      <w:r>
        <w:rPr>
          <w:rFonts w:hint="eastAsia" w:ascii="仿宋" w:hAnsi="仿宋" w:eastAsia="仿宋" w:cs="仿宋"/>
          <w:snapToGrid w:val="0"/>
          <w:kern w:val="0"/>
          <w:sz w:val="28"/>
          <w:szCs w:val="28"/>
          <w:highlight w:val="none"/>
          <w:lang w:eastAsia="zh-CN"/>
        </w:rPr>
        <w:t>城市花园三期）2幢1-9-2，附近有三穗县民族高级中学、三穗县八弓镇中心小学、三穗县人民医院、三穗县中医医院三穗县湘黔医院、中国邮政银行、中国人民银行、</w:t>
      </w:r>
      <w:r>
        <w:rPr>
          <w:rFonts w:hint="eastAsia" w:ascii="仿宋" w:hAnsi="仿宋" w:eastAsia="仿宋" w:cs="仿宋"/>
          <w:snapToGrid w:val="0"/>
          <w:kern w:val="0"/>
          <w:sz w:val="28"/>
          <w:szCs w:val="28"/>
          <w:highlight w:val="none"/>
          <w:lang w:val="en-US" w:eastAsia="zh-CN"/>
        </w:rPr>
        <w:t>家家发生活超市、黔东南贸城、</w:t>
      </w:r>
      <w:r>
        <w:rPr>
          <w:rFonts w:hint="eastAsia" w:ascii="仿宋" w:hAnsi="仿宋" w:eastAsia="仿宋" w:cs="仿宋"/>
          <w:snapToGrid w:val="0"/>
          <w:kern w:val="0"/>
          <w:sz w:val="28"/>
          <w:szCs w:val="28"/>
          <w:highlight w:val="none"/>
          <w:lang w:eastAsia="zh-CN"/>
        </w:rPr>
        <w:t>酒店、餐饮等生活配套设施，</w:t>
      </w:r>
      <w:r>
        <w:rPr>
          <w:rFonts w:hint="eastAsia" w:ascii="仿宋" w:hAnsi="仿宋" w:eastAsia="仿宋" w:cs="仿宋"/>
          <w:snapToGrid w:val="0"/>
          <w:kern w:val="0"/>
          <w:sz w:val="28"/>
          <w:szCs w:val="28"/>
          <w:highlight w:val="none"/>
          <w:lang w:val="en-US" w:eastAsia="zh-CN"/>
        </w:rPr>
        <w:t>公共服务</w:t>
      </w:r>
      <w:r>
        <w:rPr>
          <w:rFonts w:hint="eastAsia" w:ascii="仿宋" w:hAnsi="仿宋" w:eastAsia="仿宋" w:cs="仿宋"/>
          <w:snapToGrid w:val="0"/>
          <w:kern w:val="0"/>
          <w:sz w:val="28"/>
          <w:szCs w:val="28"/>
          <w:highlight w:val="none"/>
          <w:lang w:eastAsia="zh-CN"/>
        </w:rPr>
        <w:t>设施较完善。</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（4）周边环境</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eastAsia="zh-CN"/>
        </w:rPr>
        <w:t>估价对象周边</w:t>
      </w:r>
      <w:r>
        <w:rPr>
          <w:rFonts w:hint="eastAsia" w:ascii="仿宋" w:hAnsi="仿宋" w:eastAsia="仿宋" w:cs="仿宋"/>
          <w:snapToGrid w:val="0"/>
          <w:kern w:val="0"/>
          <w:sz w:val="28"/>
          <w:szCs w:val="28"/>
          <w:highlight w:val="none"/>
          <w:lang w:val="en-US" w:eastAsia="zh-CN"/>
        </w:rPr>
        <w:t>多为住宅小区，</w:t>
      </w:r>
      <w:r>
        <w:rPr>
          <w:rFonts w:hint="eastAsia" w:ascii="仿宋" w:hAnsi="仿宋" w:eastAsia="仿宋" w:cs="仿宋"/>
          <w:snapToGrid w:val="0"/>
          <w:kern w:val="0"/>
          <w:sz w:val="28"/>
          <w:szCs w:val="28"/>
          <w:highlight w:val="none"/>
          <w:lang w:eastAsia="zh-CN"/>
        </w:rPr>
        <w:t>自然环境</w:t>
      </w:r>
      <w:r>
        <w:rPr>
          <w:rFonts w:hint="eastAsia" w:ascii="仿宋" w:hAnsi="仿宋" w:eastAsia="仿宋" w:cs="仿宋"/>
          <w:snapToGrid w:val="0"/>
          <w:kern w:val="0"/>
          <w:sz w:val="28"/>
          <w:szCs w:val="28"/>
          <w:highlight w:val="none"/>
          <w:lang w:val="en-US" w:eastAsia="zh-CN"/>
        </w:rPr>
        <w:t>和</w:t>
      </w:r>
      <w:r>
        <w:rPr>
          <w:rFonts w:hint="eastAsia" w:ascii="仿宋" w:hAnsi="仿宋" w:eastAsia="仿宋" w:cs="仿宋"/>
          <w:snapToGrid w:val="0"/>
          <w:kern w:val="0"/>
          <w:sz w:val="28"/>
          <w:szCs w:val="28"/>
          <w:highlight w:val="none"/>
          <w:lang w:eastAsia="zh-CN"/>
        </w:rPr>
        <w:t>人文环境</w:t>
      </w:r>
      <w:r>
        <w:rPr>
          <w:rFonts w:hint="eastAsia" w:ascii="仿宋" w:hAnsi="仿宋" w:eastAsia="仿宋" w:cs="仿宋"/>
          <w:snapToGrid w:val="0"/>
          <w:kern w:val="0"/>
          <w:sz w:val="28"/>
          <w:szCs w:val="28"/>
          <w:highlight w:val="none"/>
          <w:lang w:val="en-US" w:eastAsia="zh-CN"/>
        </w:rPr>
        <w:t>较优，</w:t>
      </w:r>
      <w:r>
        <w:rPr>
          <w:rFonts w:hint="eastAsia" w:ascii="仿宋" w:hAnsi="仿宋" w:eastAsia="仿宋" w:cs="仿宋"/>
          <w:snapToGrid w:val="0"/>
          <w:kern w:val="0"/>
          <w:sz w:val="28"/>
          <w:szCs w:val="28"/>
          <w:highlight w:val="none"/>
          <w:lang w:eastAsia="zh-CN"/>
        </w:rPr>
        <w:t>空气</w:t>
      </w:r>
      <w:r>
        <w:rPr>
          <w:rFonts w:hint="eastAsia" w:ascii="仿宋" w:hAnsi="仿宋" w:eastAsia="仿宋" w:cs="仿宋"/>
          <w:snapToGrid w:val="0"/>
          <w:kern w:val="0"/>
          <w:sz w:val="28"/>
          <w:szCs w:val="28"/>
          <w:highlight w:val="none"/>
          <w:lang w:val="en-US" w:eastAsia="zh-CN"/>
        </w:rPr>
        <w:t>质量良好，</w:t>
      </w:r>
      <w:r>
        <w:rPr>
          <w:rFonts w:hint="eastAsia" w:ascii="仿宋" w:hAnsi="仿宋" w:eastAsia="仿宋" w:cs="仿宋"/>
          <w:snapToGrid w:val="0"/>
          <w:kern w:val="0"/>
          <w:sz w:val="28"/>
          <w:szCs w:val="28"/>
          <w:highlight w:val="none"/>
          <w:lang w:eastAsia="zh-CN"/>
        </w:rPr>
        <w:t>噪声污染</w:t>
      </w:r>
      <w:r>
        <w:rPr>
          <w:rFonts w:hint="eastAsia" w:ascii="仿宋" w:hAnsi="仿宋" w:eastAsia="仿宋" w:cs="仿宋"/>
          <w:snapToGrid w:val="0"/>
          <w:kern w:val="0"/>
          <w:sz w:val="28"/>
          <w:szCs w:val="28"/>
          <w:highlight w:val="none"/>
          <w:lang w:val="en-US" w:eastAsia="zh-CN"/>
        </w:rPr>
        <w:t>较小</w:t>
      </w:r>
      <w:r>
        <w:rPr>
          <w:rFonts w:hint="eastAsia" w:ascii="仿宋" w:hAnsi="仿宋" w:eastAsia="仿宋" w:cs="仿宋"/>
          <w:snapToGrid w:val="0"/>
          <w:kern w:val="0"/>
          <w:sz w:val="28"/>
          <w:szCs w:val="28"/>
          <w:highlight w:val="none"/>
          <w:lang w:eastAsia="zh-CN"/>
        </w:rPr>
        <w:t>，治安状况</w:t>
      </w:r>
      <w:r>
        <w:rPr>
          <w:rFonts w:hint="eastAsia" w:ascii="仿宋" w:hAnsi="仿宋" w:eastAsia="仿宋" w:cs="仿宋"/>
          <w:snapToGrid w:val="0"/>
          <w:kern w:val="0"/>
          <w:sz w:val="28"/>
          <w:szCs w:val="28"/>
          <w:highlight w:val="none"/>
          <w:lang w:val="en-US" w:eastAsia="zh-CN"/>
        </w:rPr>
        <w:t>良好。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（5）估价对象区位状况及优劣分析</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yellow"/>
          <w:lang w:val="en-US" w:eastAsia="zh-CN"/>
        </w:rPr>
      </w:pPr>
      <w:r>
        <w:rPr>
          <w:rFonts w:hint="eastAsia" w:ascii="仿宋" w:hAnsi="仿宋" w:eastAsia="仿宋" w:cs="仿宋"/>
          <w:snapToGrid w:val="0"/>
          <w:kern w:val="0"/>
          <w:sz w:val="28"/>
          <w:szCs w:val="28"/>
          <w:highlight w:val="none"/>
          <w:lang w:eastAsia="zh-CN"/>
        </w:rPr>
        <w:t>综上描述，估价对象的公共配套设施</w:t>
      </w:r>
      <w:r>
        <w:rPr>
          <w:rFonts w:hint="eastAsia" w:ascii="仿宋" w:hAnsi="仿宋" w:eastAsia="仿宋" w:cs="仿宋"/>
          <w:snapToGrid w:val="0"/>
          <w:kern w:val="0"/>
          <w:sz w:val="28"/>
          <w:szCs w:val="28"/>
          <w:highlight w:val="none"/>
          <w:lang w:val="en-US" w:eastAsia="zh-CN"/>
        </w:rPr>
        <w:t>较</w:t>
      </w:r>
      <w:r>
        <w:rPr>
          <w:rFonts w:hint="eastAsia" w:ascii="仿宋" w:hAnsi="仿宋" w:eastAsia="仿宋" w:cs="仿宋"/>
          <w:snapToGrid w:val="0"/>
          <w:kern w:val="0"/>
          <w:sz w:val="28"/>
          <w:szCs w:val="28"/>
          <w:highlight w:val="none"/>
          <w:lang w:eastAsia="zh-CN"/>
        </w:rPr>
        <w:t>完善，整体区位状况</w:t>
      </w:r>
      <w:r>
        <w:rPr>
          <w:rFonts w:hint="eastAsia" w:ascii="仿宋" w:hAnsi="仿宋" w:eastAsia="仿宋" w:cs="仿宋"/>
          <w:snapToGrid w:val="0"/>
          <w:kern w:val="0"/>
          <w:sz w:val="28"/>
          <w:szCs w:val="28"/>
          <w:highlight w:val="none"/>
          <w:lang w:val="en-US" w:eastAsia="zh-CN"/>
        </w:rPr>
        <w:t>和</w:t>
      </w:r>
      <w:r>
        <w:rPr>
          <w:rFonts w:hint="eastAsia" w:ascii="仿宋" w:hAnsi="仿宋" w:eastAsia="仿宋" w:cs="仿宋"/>
          <w:snapToGrid w:val="0"/>
          <w:kern w:val="0"/>
          <w:sz w:val="28"/>
          <w:szCs w:val="28"/>
          <w:highlight w:val="none"/>
          <w:lang w:eastAsia="zh-CN"/>
        </w:rPr>
        <w:t>繁华程度</w:t>
      </w:r>
      <w:r>
        <w:rPr>
          <w:rFonts w:hint="eastAsia" w:ascii="仿宋" w:hAnsi="仿宋" w:eastAsia="仿宋" w:cs="仿宋"/>
          <w:snapToGrid w:val="0"/>
          <w:kern w:val="0"/>
          <w:sz w:val="28"/>
          <w:szCs w:val="28"/>
          <w:highlight w:val="none"/>
          <w:lang w:val="en-US" w:eastAsia="zh-CN"/>
        </w:rPr>
        <w:t>均一般，</w:t>
      </w:r>
      <w:r>
        <w:rPr>
          <w:rFonts w:hint="eastAsia" w:ascii="仿宋" w:hAnsi="仿宋" w:eastAsia="仿宋" w:cs="仿宋"/>
          <w:snapToGrid w:val="0"/>
          <w:kern w:val="0"/>
          <w:sz w:val="28"/>
          <w:szCs w:val="28"/>
          <w:highlight w:val="none"/>
          <w:lang w:eastAsia="zh-CN"/>
        </w:rPr>
        <w:t>房地产价格的保值和增值</w:t>
      </w:r>
      <w:r>
        <w:rPr>
          <w:rFonts w:hint="eastAsia" w:ascii="仿宋" w:hAnsi="仿宋" w:eastAsia="仿宋" w:cs="仿宋"/>
          <w:snapToGrid w:val="0"/>
          <w:kern w:val="0"/>
          <w:sz w:val="28"/>
          <w:szCs w:val="28"/>
          <w:highlight w:val="none"/>
          <w:lang w:val="en-US" w:eastAsia="zh-CN"/>
        </w:rPr>
        <w:t>度一般。</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highlight w:val="none"/>
          <w:lang w:val="en-US" w:eastAsia="zh-CN"/>
        </w:rPr>
      </w:pPr>
      <w:r>
        <w:rPr>
          <w:rFonts w:hint="eastAsia" w:ascii="仿宋" w:hAnsi="仿宋" w:eastAsia="仿宋" w:cs="仿宋"/>
          <w:snapToGrid w:val="0"/>
          <w:kern w:val="0"/>
          <w:sz w:val="28"/>
          <w:szCs w:val="28"/>
          <w:highlight w:val="none"/>
          <w:lang w:val="en-US" w:eastAsia="zh-CN"/>
        </w:rPr>
        <w:t>2、估价对象实物状况</w:t>
      </w:r>
    </w:p>
    <w:tbl>
      <w:tblPr>
        <w:tblStyle w:val="46"/>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9"/>
        <w:gridCol w:w="1579"/>
        <w:gridCol w:w="2352"/>
        <w:gridCol w:w="1812"/>
        <w:gridCol w:w="2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估价对象名称</w:t>
            </w:r>
          </w:p>
        </w:tc>
        <w:tc>
          <w:tcPr>
            <w:tcW w:w="3403" w:type="pct"/>
            <w:gridSpan w:val="3"/>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贵州省三穗县八弓镇中坝村（凯宏·城市花园三期）2幢1-9-2住宅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建筑面积</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107.29㎡</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建筑结构</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钢筋混凝土结构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总楼层</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15层</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评估楼层</w:t>
            </w:r>
          </w:p>
        </w:tc>
        <w:tc>
          <w:tcPr>
            <w:tcW w:w="1312"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9层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规划用途</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成套住宅</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现实用途</w:t>
            </w:r>
          </w:p>
        </w:tc>
        <w:tc>
          <w:tcPr>
            <w:tcW w:w="1312"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restar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装修情况</w:t>
            </w: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外墙</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涂料</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内墙</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天花</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地面</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门</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防盗门</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yellow"/>
                <w:lang w:val="en-US" w:eastAsia="zh-CN"/>
              </w:rPr>
            </w:pPr>
            <w:r>
              <w:rPr>
                <w:rFonts w:hint="eastAsia" w:ascii="仿宋" w:hAnsi="仿宋" w:eastAsia="仿宋" w:cs="仿宋"/>
                <w:bCs/>
                <w:snapToGrid w:val="0"/>
                <w:kern w:val="0"/>
                <w:sz w:val="21"/>
                <w:szCs w:val="21"/>
                <w:highlight w:val="none"/>
                <w:lang w:val="en-US" w:eastAsia="zh-CN"/>
              </w:rPr>
              <w:t>窗</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yellow"/>
                <w:lang w:val="en-US" w:eastAsia="zh-CN"/>
              </w:rPr>
            </w:pPr>
            <w:r>
              <w:rPr>
                <w:rFonts w:hint="eastAsia" w:ascii="仿宋" w:hAnsi="仿宋" w:eastAsia="仿宋" w:cs="仿宋"/>
                <w:bCs/>
                <w:snapToGrid w:val="0"/>
                <w:kern w:val="0"/>
                <w:sz w:val="21"/>
                <w:szCs w:val="21"/>
                <w:highlight w:val="none"/>
                <w:lang w:val="en-US" w:eastAsia="zh-CN"/>
              </w:rPr>
              <w:t>塑钢窗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restar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设备设施</w:t>
            </w: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水电</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暗装</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电梯</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空调</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无</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yellow"/>
                <w:lang w:val="en-US" w:eastAsia="zh-CN"/>
              </w:rPr>
            </w:pPr>
            <w:r>
              <w:rPr>
                <w:rFonts w:hint="eastAsia" w:ascii="仿宋" w:hAnsi="仿宋" w:eastAsia="仿宋" w:cs="仿宋"/>
                <w:bCs/>
                <w:snapToGrid w:val="0"/>
                <w:kern w:val="0"/>
                <w:sz w:val="21"/>
                <w:szCs w:val="21"/>
                <w:highlight w:val="none"/>
                <w:lang w:val="en-US" w:eastAsia="zh-CN"/>
              </w:rPr>
              <w:t>消防</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yellow"/>
                <w:lang w:val="en-US" w:eastAsia="zh-CN"/>
              </w:rPr>
            </w:pPr>
            <w:r>
              <w:rPr>
                <w:rFonts w:hint="eastAsia" w:ascii="仿宋" w:hAnsi="仿宋" w:eastAsia="仿宋" w:cs="仿宋"/>
                <w:bCs/>
                <w:snapToGrid w:val="0"/>
                <w:kern w:val="0"/>
                <w:sz w:val="21"/>
                <w:szCs w:val="21"/>
                <w:highlight w:val="none"/>
                <w:lang w:val="en-US" w:eastAsia="zh-CN"/>
              </w:rPr>
              <w:t>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restar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使用与维护</w:t>
            </w: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竣工年限</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snapToGrid w:val="0"/>
                <w:color w:val="000000" w:themeColor="text1"/>
                <w:kern w:val="0"/>
                <w:sz w:val="21"/>
                <w:szCs w:val="21"/>
                <w:highlight w:val="none"/>
                <w:lang w:val="en-US" w:eastAsia="zh-CN"/>
                <w14:textFill>
                  <w14:solidFill>
                    <w14:schemeClr w14:val="tx1"/>
                  </w14:solidFill>
                </w14:textFill>
              </w:rPr>
              <w:t>约2020年</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color w:val="000000" w:themeColor="text1"/>
                <w:kern w:val="0"/>
                <w:sz w:val="21"/>
                <w:szCs w:val="21"/>
                <w:highlight w:val="none"/>
                <w14:textFill>
                  <w14:solidFill>
                    <w14:schemeClr w14:val="tx1"/>
                  </w14:solidFill>
                </w14:textFill>
              </w:rPr>
              <w:t>新旧程度</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color w:val="000000" w:themeColor="text1"/>
                <w:kern w:val="0"/>
                <w:sz w:val="21"/>
                <w:szCs w:val="21"/>
                <w:highlight w:val="none"/>
                <w:lang w:eastAsia="zh-CN"/>
                <w14:textFill>
                  <w14:solidFill>
                    <w14:schemeClr w14:val="tx1"/>
                  </w14:solidFill>
                </w14:textFill>
              </w:rPr>
              <w:t>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使用状况</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color w:val="000000" w:themeColor="text1"/>
                <w:kern w:val="0"/>
                <w:sz w:val="21"/>
                <w:szCs w:val="21"/>
                <w:highlight w:val="none"/>
                <w:lang w:val="en-US" w:eastAsia="zh-CN"/>
                <w14:textFill>
                  <w14:solidFill>
                    <w14:schemeClr w14:val="tx1"/>
                  </w14:solidFill>
                </w14:textFill>
              </w:rPr>
              <w:t>空置</w:t>
            </w:r>
          </w:p>
        </w:tc>
        <w:tc>
          <w:tcPr>
            <w:tcW w:w="910" w:type="pct"/>
            <w:tcBorders>
              <w:tl2br w:val="nil"/>
              <w:tr2bl w:val="nil"/>
            </w:tcBorders>
            <w:vAlign w:val="center"/>
          </w:tcPr>
          <w:p>
            <w:pPr>
              <w:widowControl/>
              <w:jc w:val="center"/>
              <w:textAlignment w:val="center"/>
            </w:pPr>
            <w:r>
              <w:rPr>
                <w:rFonts w:hint="eastAsia" w:ascii="仿宋" w:hAnsi="仿宋" w:eastAsia="仿宋" w:cs="仿宋"/>
                <w:bCs/>
                <w:snapToGrid w:val="0"/>
                <w:color w:val="000000" w:themeColor="text1"/>
                <w:kern w:val="0"/>
                <w:sz w:val="21"/>
                <w:szCs w:val="21"/>
                <w:highlight w:val="none"/>
                <w:lang w:val="en-US" w:eastAsia="zh-CN"/>
                <w14:textFill>
                  <w14:solidFill>
                    <w14:schemeClr w14:val="tx1"/>
                  </w14:solidFill>
                </w14:textFill>
              </w:rPr>
              <w:t>朝向</w:t>
            </w:r>
          </w:p>
        </w:tc>
        <w:tc>
          <w:tcPr>
            <w:tcW w:w="1312" w:type="pct"/>
            <w:tcBorders>
              <w:tl2br w:val="nil"/>
              <w:tr2bl w:val="nil"/>
            </w:tcBorders>
            <w:vAlign w:val="center"/>
          </w:tcPr>
          <w:p>
            <w:pPr>
              <w:widowControl/>
              <w:jc w:val="center"/>
              <w:textAlignment w:val="center"/>
            </w:pPr>
            <w:r>
              <w:rPr>
                <w:rFonts w:hint="eastAsia" w:ascii="仿宋" w:hAnsi="仿宋" w:eastAsia="仿宋" w:cs="仿宋"/>
                <w:bCs/>
                <w:snapToGrid w:val="0"/>
                <w:color w:val="000000" w:themeColor="text1"/>
                <w:kern w:val="0"/>
                <w:sz w:val="21"/>
                <w:szCs w:val="21"/>
                <w:highlight w:val="none"/>
                <w:lang w:val="en-US" w:eastAsia="zh-CN"/>
                <w14:textFill>
                  <w14:solidFill>
                    <w14:schemeClr w14:val="tx1"/>
                  </w14:solidFill>
                </w14:textFill>
              </w:rPr>
              <w:t>东</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59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snapToGrid w:val="0"/>
          <w:color w:val="000000" w:themeColor="text1"/>
          <w:kern w:val="0"/>
          <w:sz w:val="24"/>
          <w:szCs w:val="24"/>
          <w:highlight w:val="none"/>
          <w14:textFill>
            <w14:solidFill>
              <w14:schemeClr w14:val="tx1"/>
            </w14:solidFill>
          </w14:textFill>
        </w:rPr>
        <w:t>注：表中数据均来源于评估人员实地查勘等资料</w:t>
      </w:r>
      <w:r>
        <w:rPr>
          <w:rFonts w:hint="eastAsia" w:ascii="仿宋" w:hAnsi="仿宋" w:eastAsia="仿宋" w:cs="仿宋"/>
          <w:snapToGrid w:val="0"/>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3、估价对象权益状况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根据委托人提供的受理编号为：202104250009309《贵州省不动产登记查询结果》，权利人为龙芳/杨勇，不动产权证书/证明号为黔（2020）三穗县不动产权第0003083号，不动产单元号为522624001024GB00151F00030024，用途为成套住宅，面积为107.29㎡，权属状态为现势，登记状态为权属、抵押，登记时间为2020年06月11日。</w:t>
      </w:r>
    </w:p>
    <w:p>
      <w:pPr>
        <w:pStyle w:val="2"/>
        <w:pageBreakBefore w:val="0"/>
        <w:widowControl w:val="0"/>
        <w:kinsoku/>
        <w:wordWrap/>
        <w:overflowPunct/>
        <w:topLinePunct w:val="0"/>
        <w:autoSpaceDE/>
        <w:autoSpaceDN/>
        <w:bidi w:val="0"/>
        <w:adjustRightInd/>
        <w:snapToGrid/>
        <w:spacing w:before="0" w:after="0" w:line="500" w:lineRule="exact"/>
        <w:textAlignment w:val="auto"/>
        <w:rPr>
          <w:rFonts w:hint="eastAsia" w:ascii="黑体" w:hAnsi="黑体" w:cs="黑体"/>
          <w:snapToGrid w:val="0"/>
          <w:kern w:val="0"/>
          <w:sz w:val="30"/>
          <w:szCs w:val="30"/>
          <w:highlight w:val="none"/>
        </w:rPr>
      </w:pPr>
      <w:bookmarkStart w:id="24" w:name="_Toc2141"/>
      <w:r>
        <w:rPr>
          <w:rFonts w:hint="eastAsia" w:ascii="黑体" w:hAnsi="黑体" w:cs="黑体"/>
          <w:snapToGrid w:val="0"/>
          <w:kern w:val="0"/>
          <w:sz w:val="30"/>
          <w:szCs w:val="30"/>
          <w:highlight w:val="none"/>
        </w:rPr>
        <w:t>（四）估价目的</w:t>
      </w:r>
      <w:bookmarkEnd w:id="23"/>
      <w:bookmarkEnd w:id="24"/>
    </w:p>
    <w:p>
      <w:pPr>
        <w:keepNext/>
        <w:keepLines/>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ascii="楷体_GB2312" w:hAnsi="楷体" w:eastAsia="楷体_GB2312"/>
          <w:snapToGrid w:val="0"/>
          <w:kern w:val="0"/>
          <w:sz w:val="28"/>
          <w:szCs w:val="28"/>
          <w:highlight w:val="none"/>
          <w:lang w:eastAsia="zh-CN"/>
        </w:rPr>
      </w:pPr>
      <w:bookmarkStart w:id="25" w:name="_Toc17960854"/>
      <w:r>
        <w:rPr>
          <w:rFonts w:hint="eastAsia" w:ascii="仿宋" w:hAnsi="仿宋" w:eastAsia="仿宋" w:cs="仿宋"/>
          <w:snapToGrid w:val="0"/>
          <w:kern w:val="0"/>
          <w:sz w:val="28"/>
          <w:szCs w:val="28"/>
          <w:highlight w:val="none"/>
          <w:lang w:val="en-US" w:eastAsia="zh-CN"/>
        </w:rPr>
        <w:t>为三穗县人民法院确定财产处置参考价提供参考依据</w:t>
      </w:r>
      <w:r>
        <w:rPr>
          <w:rFonts w:hint="eastAsia" w:ascii="仿宋" w:hAnsi="仿宋" w:eastAsia="仿宋" w:cs="仿宋"/>
          <w:snapToGrid w:val="0"/>
          <w:kern w:val="0"/>
          <w:sz w:val="28"/>
          <w:szCs w:val="28"/>
          <w:highlight w:val="none"/>
          <w:lang w:eastAsia="zh-CN"/>
        </w:rPr>
        <w:t>。</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黑体" w:hAnsi="黑体" w:cs="黑体"/>
          <w:snapToGrid w:val="0"/>
          <w:kern w:val="0"/>
          <w:sz w:val="30"/>
          <w:szCs w:val="30"/>
          <w:highlight w:val="none"/>
        </w:rPr>
      </w:pPr>
      <w:bookmarkStart w:id="26" w:name="_Toc8194"/>
      <w:r>
        <w:rPr>
          <w:rFonts w:hint="eastAsia" w:ascii="黑体" w:hAnsi="黑体" w:cs="黑体"/>
          <w:snapToGrid w:val="0"/>
          <w:kern w:val="0"/>
          <w:sz w:val="30"/>
          <w:szCs w:val="30"/>
          <w:highlight w:val="none"/>
        </w:rPr>
        <w:t>（五）</w:t>
      </w:r>
      <w:r>
        <w:rPr>
          <w:rFonts w:hint="eastAsia" w:ascii="黑体" w:hAnsi="黑体" w:cs="黑体"/>
          <w:snapToGrid w:val="0"/>
          <w:kern w:val="0"/>
          <w:sz w:val="30"/>
          <w:szCs w:val="30"/>
          <w:highlight w:val="none"/>
          <w:lang w:eastAsia="zh-CN"/>
        </w:rPr>
        <w:t>价格</w:t>
      </w:r>
      <w:r>
        <w:rPr>
          <w:rFonts w:hint="eastAsia" w:ascii="黑体" w:hAnsi="黑体" w:cs="黑体"/>
          <w:snapToGrid w:val="0"/>
          <w:kern w:val="0"/>
          <w:sz w:val="30"/>
          <w:szCs w:val="30"/>
          <w:highlight w:val="none"/>
        </w:rPr>
        <w:t>时点</w:t>
      </w:r>
      <w:bookmarkEnd w:id="25"/>
      <w:bookmarkEnd w:id="26"/>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时点为</w:t>
      </w:r>
      <w:r>
        <w:rPr>
          <w:rFonts w:hint="eastAsia" w:ascii="仿宋" w:hAnsi="仿宋" w:eastAsia="仿宋" w:cs="仿宋"/>
          <w:snapToGrid w:val="0"/>
          <w:sz w:val="28"/>
          <w:szCs w:val="28"/>
          <w:highlight w:val="none"/>
          <w:lang w:eastAsia="zh-CN"/>
        </w:rPr>
        <w:t>二〇二二年四月十三日</w:t>
      </w:r>
      <w:r>
        <w:rPr>
          <w:rFonts w:hint="eastAsia" w:ascii="仿宋" w:hAnsi="仿宋" w:eastAsia="仿宋" w:cs="仿宋"/>
          <w:snapToGrid w:val="0"/>
          <w:sz w:val="28"/>
          <w:szCs w:val="28"/>
          <w:highlight w:val="none"/>
        </w:rPr>
        <w:t>（</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时点的确定理由：根据《房地产估价规范》【GB/T50291-2015】规定及</w:t>
      </w:r>
      <w:r>
        <w:rPr>
          <w:rFonts w:hint="eastAsia" w:ascii="仿宋" w:hAnsi="仿宋" w:eastAsia="仿宋" w:cs="仿宋"/>
          <w:b w:val="0"/>
          <w:bCs w:val="0"/>
          <w:snapToGrid w:val="0"/>
          <w:kern w:val="0"/>
          <w:sz w:val="28"/>
          <w:szCs w:val="28"/>
          <w:highlight w:val="none"/>
          <w:lang w:eastAsia="zh-CN"/>
        </w:rPr>
        <w:t>（2022）黔2624法评9号《司法鉴定委托书》</w:t>
      </w:r>
      <w:r>
        <w:rPr>
          <w:rFonts w:hint="eastAsia" w:ascii="仿宋" w:hAnsi="仿宋" w:eastAsia="仿宋" w:cs="仿宋"/>
          <w:snapToGrid w:val="0"/>
          <w:sz w:val="28"/>
          <w:szCs w:val="28"/>
          <w:highlight w:val="none"/>
        </w:rPr>
        <w:t>，</w:t>
      </w:r>
      <w:r>
        <w:rPr>
          <w:rFonts w:hint="eastAsia" w:ascii="仿宋" w:hAnsi="仿宋" w:eastAsia="仿宋" w:cs="仿宋"/>
          <w:snapToGrid w:val="0"/>
          <w:sz w:val="28"/>
          <w:szCs w:val="28"/>
          <w:highlight w:val="none"/>
          <w:lang w:eastAsia="zh-CN"/>
        </w:rPr>
        <w:t>价格时点为</w:t>
      </w:r>
      <w:r>
        <w:rPr>
          <w:rFonts w:hint="eastAsia" w:ascii="仿宋" w:hAnsi="仿宋" w:eastAsia="仿宋" w:cs="仿宋"/>
          <w:snapToGrid w:val="0"/>
          <w:color w:val="000000" w:themeColor="text1"/>
          <w:sz w:val="28"/>
          <w:szCs w:val="28"/>
          <w:highlight w:val="none"/>
          <w14:textFill>
            <w14:solidFill>
              <w14:schemeClr w14:val="tx1"/>
            </w14:solidFill>
          </w14:textFill>
        </w:rPr>
        <w:t>估价人员对估价对象实地查勘之日</w:t>
      </w:r>
      <w:r>
        <w:rPr>
          <w:rFonts w:hint="eastAsia" w:ascii="仿宋" w:hAnsi="仿宋" w:eastAsia="仿宋" w:cs="仿宋"/>
          <w:snapToGrid w:val="0"/>
          <w:sz w:val="28"/>
          <w:szCs w:val="28"/>
          <w:highlight w:val="none"/>
        </w:rPr>
        <w:t>）。</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ascii="黑体" w:hAnsi="黑体" w:cs="黑体"/>
          <w:snapToGrid w:val="0"/>
          <w:kern w:val="0"/>
          <w:sz w:val="30"/>
          <w:szCs w:val="30"/>
          <w:highlight w:val="none"/>
        </w:rPr>
      </w:pPr>
      <w:bookmarkStart w:id="27" w:name="_Toc17960855"/>
      <w:bookmarkStart w:id="28" w:name="_Toc4821"/>
      <w:r>
        <w:rPr>
          <w:rFonts w:hint="eastAsia" w:ascii="黑体" w:hAnsi="黑体" w:cs="黑体"/>
          <w:snapToGrid w:val="0"/>
          <w:kern w:val="0"/>
          <w:sz w:val="30"/>
          <w:szCs w:val="30"/>
          <w:highlight w:val="none"/>
        </w:rPr>
        <w:t>（六）</w:t>
      </w:r>
      <w:r>
        <w:rPr>
          <w:rFonts w:hint="eastAsia" w:ascii="黑体" w:hAnsi="黑体" w:cs="黑体"/>
          <w:snapToGrid w:val="0"/>
          <w:kern w:val="0"/>
          <w:sz w:val="30"/>
          <w:szCs w:val="30"/>
          <w:highlight w:val="none"/>
          <w:lang w:eastAsia="zh-CN"/>
        </w:rPr>
        <w:t>价格</w:t>
      </w:r>
      <w:r>
        <w:rPr>
          <w:rFonts w:hint="eastAsia" w:ascii="黑体" w:hAnsi="黑体" w:cs="黑体"/>
          <w:snapToGrid w:val="0"/>
          <w:kern w:val="0"/>
          <w:sz w:val="30"/>
          <w:szCs w:val="30"/>
          <w:highlight w:val="none"/>
        </w:rPr>
        <w:t>定义</w:t>
      </w:r>
      <w:bookmarkEnd w:id="27"/>
      <w:bookmarkEnd w:id="28"/>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本报告中的估价</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为估价对象于</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时点状态、在公开市场</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标准及满足估价的假设和限制条件下的公开市场</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。根据《房地产估价规范》【GB/T50291-2015】和本次估价的具体要求，本估价报告中的估价</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是指估价对象在</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时点</w:t>
      </w:r>
      <w:r>
        <w:rPr>
          <w:rFonts w:hint="eastAsia" w:ascii="仿宋" w:hAnsi="仿宋" w:eastAsia="仿宋" w:cs="仿宋"/>
          <w:snapToGrid w:val="0"/>
          <w:sz w:val="28"/>
          <w:szCs w:val="28"/>
          <w:highlight w:val="none"/>
          <w:lang w:eastAsia="zh-CN"/>
        </w:rPr>
        <w:t>2022年4月13日</w:t>
      </w:r>
      <w:r>
        <w:rPr>
          <w:rFonts w:hint="eastAsia" w:ascii="仿宋" w:hAnsi="仿宋" w:eastAsia="仿宋" w:cs="仿宋"/>
          <w:snapToGrid w:val="0"/>
          <w:sz w:val="28"/>
          <w:szCs w:val="28"/>
          <w:highlight w:val="none"/>
        </w:rPr>
        <w:t>现状利用条件下的房地产市场</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w:t>
      </w:r>
    </w:p>
    <w:p>
      <w:pPr>
        <w:pStyle w:val="2"/>
        <w:spacing w:before="0" w:after="0" w:line="500" w:lineRule="exact"/>
        <w:rPr>
          <w:rFonts w:ascii="黑体" w:hAnsi="黑体" w:cs="黑体"/>
          <w:snapToGrid w:val="0"/>
          <w:kern w:val="0"/>
          <w:sz w:val="30"/>
          <w:szCs w:val="30"/>
          <w:highlight w:val="none"/>
        </w:rPr>
      </w:pPr>
      <w:bookmarkStart w:id="29" w:name="_Toc17960856"/>
      <w:bookmarkStart w:id="30" w:name="_Toc31436"/>
      <w:r>
        <w:rPr>
          <w:rFonts w:hint="eastAsia" w:ascii="黑体" w:hAnsi="黑体" w:cs="黑体"/>
          <w:snapToGrid w:val="0"/>
          <w:kern w:val="0"/>
          <w:sz w:val="30"/>
          <w:szCs w:val="30"/>
          <w:highlight w:val="none"/>
        </w:rPr>
        <w:t>（七）估价依据</w:t>
      </w:r>
      <w:bookmarkEnd w:id="29"/>
      <w:bookmarkEnd w:id="30"/>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一、国家有关部门颁布的法律法规及相关文件</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lang w:eastAsia="zh-CN"/>
        </w:rPr>
      </w:pPr>
      <w:r>
        <w:rPr>
          <w:rFonts w:hint="eastAsia" w:ascii="仿宋" w:hAnsi="仿宋" w:eastAsia="仿宋" w:cs="仿宋"/>
          <w:snapToGrid w:val="0"/>
          <w:sz w:val="28"/>
          <w:szCs w:val="28"/>
          <w:highlight w:val="none"/>
          <w:lang w:val="en-US" w:eastAsia="zh-CN"/>
        </w:rPr>
        <w:t>1.</w:t>
      </w:r>
      <w:r>
        <w:rPr>
          <w:rFonts w:hint="eastAsia" w:ascii="仿宋" w:hAnsi="仿宋" w:eastAsia="仿宋" w:cs="仿宋"/>
          <w:snapToGrid w:val="0"/>
          <w:sz w:val="28"/>
          <w:szCs w:val="28"/>
          <w:highlight w:val="none"/>
        </w:rPr>
        <w:t>《中华人民共和国城市房地产管理法》（2019年</w:t>
      </w:r>
      <w:r>
        <w:rPr>
          <w:rFonts w:hint="eastAsia" w:ascii="仿宋" w:hAnsi="仿宋" w:eastAsia="仿宋" w:cs="仿宋"/>
          <w:snapToGrid w:val="0"/>
          <w:sz w:val="28"/>
          <w:szCs w:val="28"/>
          <w:highlight w:val="none"/>
          <w:lang w:val="en-US" w:eastAsia="zh-CN"/>
        </w:rPr>
        <w:t>0</w:t>
      </w:r>
      <w:r>
        <w:rPr>
          <w:rFonts w:hint="eastAsia" w:ascii="仿宋" w:hAnsi="仿宋" w:eastAsia="仿宋" w:cs="仿宋"/>
          <w:snapToGrid w:val="0"/>
          <w:sz w:val="28"/>
          <w:szCs w:val="28"/>
          <w:highlight w:val="none"/>
        </w:rPr>
        <w:t>8月26日，十三届全国人大常委会第十二次会议表决通过关于修改土地管理法、城市房地产管理法的决定，本决定自2020年1月1日起施行）</w:t>
      </w:r>
      <w:r>
        <w:rPr>
          <w:rFonts w:hint="eastAsia" w:ascii="仿宋" w:hAnsi="仿宋" w:eastAsia="仿宋" w:cs="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lang w:val="en-US" w:eastAsia="zh-CN"/>
        </w:rPr>
        <w:t>2.</w:t>
      </w:r>
      <w:r>
        <w:rPr>
          <w:rFonts w:hint="eastAsia" w:ascii="仿宋" w:hAnsi="仿宋" w:eastAsia="仿宋" w:cs="仿宋"/>
          <w:snapToGrid w:val="0"/>
          <w:sz w:val="28"/>
          <w:szCs w:val="28"/>
          <w:highlight w:val="none"/>
        </w:rPr>
        <w:t>《中华人民共和国土地管理法》（2019年</w:t>
      </w:r>
      <w:r>
        <w:rPr>
          <w:rFonts w:hint="eastAsia" w:ascii="仿宋" w:hAnsi="仿宋" w:eastAsia="仿宋" w:cs="仿宋"/>
          <w:snapToGrid w:val="0"/>
          <w:sz w:val="28"/>
          <w:szCs w:val="28"/>
          <w:highlight w:val="none"/>
          <w:lang w:val="en-US" w:eastAsia="zh-CN"/>
        </w:rPr>
        <w:t>0</w:t>
      </w:r>
      <w:r>
        <w:rPr>
          <w:rFonts w:hint="eastAsia" w:ascii="仿宋" w:hAnsi="仿宋" w:eastAsia="仿宋" w:cs="仿宋"/>
          <w:snapToGrid w:val="0"/>
          <w:sz w:val="28"/>
          <w:szCs w:val="28"/>
          <w:highlight w:val="none"/>
        </w:rPr>
        <w:t>8月26日，十三届全国人大常委会第十二次会议表决通过关于修改土地管理法、城市房地产管理法的决定，本决定自2020年1月1日起施行）；</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lang w:val="en-US" w:eastAsia="zh-CN"/>
        </w:rPr>
        <w:t>3</w:t>
      </w:r>
      <w:r>
        <w:rPr>
          <w:rFonts w:hint="eastAsia" w:ascii="仿宋" w:hAnsi="仿宋" w:eastAsia="仿宋" w:cs="仿宋"/>
          <w:snapToGrid w:val="0"/>
          <w:sz w:val="28"/>
          <w:szCs w:val="28"/>
          <w:highlight w:val="none"/>
        </w:rPr>
        <w:t>.《中华人民共和国城乡规划法》（2007年10月28日第十届全国人民代表大会常务委员会第三十次会议通过，2007年10月28日中华人民共和国主席令第74号公布）；</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lang w:val="en-US" w:eastAsia="zh-CN"/>
        </w:rPr>
        <w:t>4</w:t>
      </w:r>
      <w:r>
        <w:rPr>
          <w:rFonts w:hint="eastAsia" w:ascii="仿宋" w:hAnsi="仿宋" w:eastAsia="仿宋" w:cs="仿宋"/>
          <w:snapToGrid w:val="0"/>
          <w:sz w:val="28"/>
          <w:szCs w:val="28"/>
          <w:highlight w:val="none"/>
        </w:rPr>
        <w:t>.《中华人民共和国民法典》（2020年</w:t>
      </w:r>
      <w:r>
        <w:rPr>
          <w:rFonts w:hint="eastAsia" w:ascii="仿宋" w:hAnsi="仿宋" w:eastAsia="仿宋" w:cs="仿宋"/>
          <w:snapToGrid w:val="0"/>
          <w:sz w:val="28"/>
          <w:szCs w:val="28"/>
          <w:highlight w:val="none"/>
          <w:lang w:val="en-US" w:eastAsia="zh-CN"/>
        </w:rPr>
        <w:t>0</w:t>
      </w:r>
      <w:r>
        <w:rPr>
          <w:rFonts w:hint="eastAsia" w:ascii="仿宋" w:hAnsi="仿宋" w:eastAsia="仿宋" w:cs="仿宋"/>
          <w:snapToGrid w:val="0"/>
          <w:sz w:val="28"/>
          <w:szCs w:val="28"/>
          <w:highlight w:val="none"/>
        </w:rPr>
        <w:t>5月28日第十三届全国人民代表大会第三次会议通过）；</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lang w:val="en-US" w:eastAsia="zh-CN"/>
        </w:rPr>
        <w:t>5</w:t>
      </w:r>
      <w:r>
        <w:rPr>
          <w:rFonts w:hint="eastAsia" w:ascii="仿宋" w:hAnsi="仿宋" w:eastAsia="仿宋" w:cs="仿宋"/>
          <w:snapToGrid w:val="0"/>
          <w:sz w:val="28"/>
          <w:szCs w:val="28"/>
          <w:highlight w:val="none"/>
        </w:rPr>
        <w:t>.《中华人民共和国土地管理法实施细则》（1998年12月24日国务院令第256号，1999年1月1日施行）；</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lang w:eastAsia="zh-CN"/>
        </w:rPr>
      </w:pPr>
      <w:r>
        <w:rPr>
          <w:rFonts w:hint="eastAsia" w:ascii="仿宋" w:hAnsi="仿宋" w:eastAsia="仿宋" w:cs="仿宋"/>
          <w:snapToGrid w:val="0"/>
          <w:sz w:val="28"/>
          <w:szCs w:val="28"/>
          <w:highlight w:val="none"/>
          <w:lang w:val="en-US" w:eastAsia="zh-CN"/>
        </w:rPr>
        <w:t>6</w:t>
      </w:r>
      <w:r>
        <w:rPr>
          <w:rFonts w:hint="eastAsia" w:ascii="仿宋" w:hAnsi="仿宋" w:eastAsia="仿宋" w:cs="仿宋"/>
          <w:snapToGrid w:val="0"/>
          <w:sz w:val="28"/>
          <w:szCs w:val="28"/>
          <w:highlight w:val="none"/>
        </w:rPr>
        <w:t>.《中华人民共和国城镇国有土地使用权出让和转让暂行条例》（1990年5月19日中华人民共和国国务院令第55号，1990年</w:t>
      </w:r>
      <w:r>
        <w:rPr>
          <w:rFonts w:hint="eastAsia" w:ascii="仿宋" w:hAnsi="仿宋" w:eastAsia="仿宋" w:cs="仿宋"/>
          <w:snapToGrid w:val="0"/>
          <w:sz w:val="28"/>
          <w:szCs w:val="28"/>
          <w:highlight w:val="none"/>
          <w:lang w:val="en-US" w:eastAsia="zh-CN"/>
        </w:rPr>
        <w:t>0</w:t>
      </w:r>
      <w:r>
        <w:rPr>
          <w:rFonts w:hint="eastAsia" w:ascii="仿宋" w:hAnsi="仿宋" w:eastAsia="仿宋" w:cs="仿宋"/>
          <w:snapToGrid w:val="0"/>
          <w:sz w:val="28"/>
          <w:szCs w:val="28"/>
          <w:highlight w:val="none"/>
        </w:rPr>
        <w:t>5月19日施行）</w:t>
      </w:r>
      <w:r>
        <w:rPr>
          <w:rFonts w:hint="eastAsia" w:ascii="仿宋" w:hAnsi="仿宋" w:eastAsia="仿宋" w:cs="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二、地方有关部门颁布的法规及相关文件</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1.《建设工程工程量清单计价规范》；</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2.《贵州省建筑与装饰工程计价定额》（2016版）；</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3.贵州省及</w:t>
      </w:r>
      <w:r>
        <w:rPr>
          <w:rFonts w:hint="eastAsia" w:ascii="仿宋" w:hAnsi="仿宋" w:eastAsia="仿宋" w:cs="仿宋"/>
          <w:snapToGrid w:val="0"/>
          <w:sz w:val="28"/>
          <w:szCs w:val="28"/>
          <w:highlight w:val="none"/>
          <w:lang w:val="en-US" w:eastAsia="zh-CN"/>
        </w:rPr>
        <w:t>三穗县</w:t>
      </w:r>
      <w:r>
        <w:rPr>
          <w:rFonts w:hint="eastAsia" w:ascii="仿宋" w:hAnsi="仿宋" w:eastAsia="仿宋" w:cs="仿宋"/>
          <w:snapToGrid w:val="0"/>
          <w:sz w:val="28"/>
          <w:szCs w:val="28"/>
          <w:highlight w:val="none"/>
        </w:rPr>
        <w:t>人民政府及有关管理部门颁布的有关法规、部门规章和政策文件。</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三、本次估价依据的技术规程</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lang w:eastAsia="zh-CN"/>
        </w:rPr>
      </w:pPr>
      <w:r>
        <w:rPr>
          <w:rFonts w:hint="eastAsia" w:ascii="仿宋" w:hAnsi="仿宋" w:eastAsia="仿宋" w:cs="仿宋"/>
          <w:snapToGrid w:val="0"/>
          <w:sz w:val="28"/>
          <w:szCs w:val="28"/>
          <w:highlight w:val="none"/>
        </w:rPr>
        <w:t>1.《房地产估价规范》【GB/T50291-2015】</w:t>
      </w:r>
      <w:r>
        <w:rPr>
          <w:rFonts w:hint="eastAsia" w:ascii="仿宋" w:hAnsi="仿宋" w:eastAsia="仿宋" w:cs="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lang w:eastAsia="zh-CN"/>
        </w:rPr>
      </w:pPr>
      <w:r>
        <w:rPr>
          <w:rFonts w:hint="eastAsia" w:ascii="仿宋" w:hAnsi="仿宋" w:eastAsia="仿宋" w:cs="仿宋"/>
          <w:snapToGrid w:val="0"/>
          <w:sz w:val="28"/>
          <w:szCs w:val="28"/>
          <w:highlight w:val="none"/>
        </w:rPr>
        <w:t>2.《房地产估价基本术语标准》【GB/T 50899-2013】</w:t>
      </w:r>
      <w:bookmarkStart w:id="31" w:name="_Toc17960858"/>
      <w:r>
        <w:rPr>
          <w:rFonts w:hint="eastAsia" w:ascii="仿宋" w:hAnsi="仿宋" w:eastAsia="仿宋" w:cs="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四、委托人提供的有关资料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1.</w:t>
      </w:r>
      <w:r>
        <w:rPr>
          <w:rFonts w:hint="eastAsia" w:ascii="仿宋" w:hAnsi="仿宋" w:eastAsia="仿宋" w:cs="仿宋"/>
          <w:snapToGrid w:val="0"/>
          <w:sz w:val="28"/>
          <w:szCs w:val="28"/>
          <w:highlight w:val="none"/>
          <w:lang w:eastAsia="zh-CN"/>
        </w:rPr>
        <w:t>（2022）黔2624法评9号《司法鉴定委托书》原</w:t>
      </w:r>
      <w:r>
        <w:rPr>
          <w:rFonts w:hint="eastAsia" w:ascii="仿宋" w:hAnsi="仿宋" w:eastAsia="仿宋" w:cs="仿宋"/>
          <w:snapToGrid w:val="0"/>
          <w:sz w:val="28"/>
          <w:szCs w:val="28"/>
          <w:highlight w:val="none"/>
        </w:rPr>
        <w:t>件；</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2.</w:t>
      </w:r>
      <w:r>
        <w:rPr>
          <w:rFonts w:hint="eastAsia" w:ascii="仿宋" w:hAnsi="仿宋" w:eastAsia="仿宋" w:cs="仿宋"/>
          <w:snapToGrid w:val="0"/>
          <w:kern w:val="0"/>
          <w:sz w:val="28"/>
          <w:szCs w:val="28"/>
          <w:highlight w:val="none"/>
          <w:lang w:val="en-US" w:eastAsia="zh-CN"/>
        </w:rPr>
        <w:t>受理编号为：202104250009309《贵州省不动产登记查询结果》</w:t>
      </w:r>
      <w:r>
        <w:rPr>
          <w:rFonts w:hint="eastAsia" w:ascii="仿宋" w:hAnsi="仿宋" w:eastAsia="仿宋" w:cs="仿宋"/>
          <w:snapToGrid w:val="0"/>
          <w:sz w:val="28"/>
          <w:szCs w:val="28"/>
          <w:highlight w:val="none"/>
          <w:lang w:eastAsia="zh-CN"/>
        </w:rPr>
        <w:t>复</w:t>
      </w:r>
      <w:r>
        <w:rPr>
          <w:rFonts w:hint="eastAsia" w:ascii="仿宋" w:hAnsi="仿宋" w:eastAsia="仿宋" w:cs="仿宋"/>
          <w:snapToGrid w:val="0"/>
          <w:sz w:val="28"/>
          <w:szCs w:val="28"/>
          <w:highlight w:val="none"/>
        </w:rPr>
        <w:t>印件。</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五、估价机构掌握的有关资料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1.估价对象所在地自然条件、社会经济条件、行政区划人口等方面的基本情况资料；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2.估价对象所在地统计资料；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lang w:val="en-US" w:eastAsia="zh-CN"/>
        </w:rPr>
        <w:t>3</w:t>
      </w:r>
      <w:r>
        <w:rPr>
          <w:rFonts w:hint="eastAsia" w:ascii="仿宋" w:hAnsi="仿宋" w:eastAsia="仿宋" w:cs="仿宋"/>
          <w:snapToGrid w:val="0"/>
          <w:sz w:val="28"/>
          <w:szCs w:val="28"/>
          <w:highlight w:val="none"/>
        </w:rPr>
        <w:t>.估价对象所在地城市基础设施基本情况资料；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lang w:eastAsia="zh-CN"/>
        </w:rPr>
      </w:pPr>
      <w:r>
        <w:rPr>
          <w:rFonts w:hint="eastAsia" w:ascii="仿宋" w:hAnsi="仿宋" w:eastAsia="仿宋" w:cs="仿宋"/>
          <w:snapToGrid w:val="0"/>
          <w:sz w:val="28"/>
          <w:szCs w:val="28"/>
          <w:highlight w:val="none"/>
          <w:lang w:val="en-US" w:eastAsia="zh-CN"/>
        </w:rPr>
        <w:t>4</w:t>
      </w:r>
      <w:r>
        <w:rPr>
          <w:rFonts w:hint="eastAsia" w:ascii="仿宋" w:hAnsi="仿宋" w:eastAsia="仿宋" w:cs="仿宋"/>
          <w:snapToGrid w:val="0"/>
          <w:sz w:val="28"/>
          <w:szCs w:val="28"/>
          <w:highlight w:val="none"/>
        </w:rPr>
        <w:t>.建设部《房屋完损等级评定标准》</w:t>
      </w:r>
      <w:r>
        <w:rPr>
          <w:rFonts w:hint="eastAsia" w:ascii="仿宋" w:hAnsi="仿宋" w:eastAsia="仿宋" w:cs="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六、估价人员实际勘察、调查所获取的资料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1.估价人员实地踏勘和调查收集的有关估价对象基础设施、宗地条件方面的资料;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2.估价人员实地踏勘和调查收集的有关估价对象建筑物状况资料;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lang w:val="en-US" w:eastAsia="zh-CN"/>
        </w:rPr>
        <w:t>3</w:t>
      </w:r>
      <w:r>
        <w:rPr>
          <w:rFonts w:hint="eastAsia" w:ascii="仿宋" w:hAnsi="仿宋" w:eastAsia="仿宋" w:cs="仿宋"/>
          <w:snapToGrid w:val="0"/>
          <w:sz w:val="28"/>
          <w:szCs w:val="28"/>
          <w:highlight w:val="none"/>
        </w:rPr>
        <w:t>.估价人员实地拍摄的有关估价对象现状的照片。（详见报告附件）</w:t>
      </w:r>
    </w:p>
    <w:p>
      <w:pPr>
        <w:pStyle w:val="2"/>
        <w:spacing w:before="0" w:after="0" w:line="500" w:lineRule="exact"/>
        <w:rPr>
          <w:rFonts w:ascii="黑体" w:hAnsi="黑体" w:cs="黑体"/>
          <w:snapToGrid w:val="0"/>
          <w:kern w:val="0"/>
          <w:sz w:val="30"/>
          <w:szCs w:val="30"/>
          <w:highlight w:val="none"/>
        </w:rPr>
      </w:pPr>
      <w:bookmarkStart w:id="32" w:name="_Toc30850"/>
      <w:r>
        <w:rPr>
          <w:rFonts w:hint="eastAsia" w:ascii="黑体" w:hAnsi="黑体" w:cs="黑体"/>
          <w:snapToGrid w:val="0"/>
          <w:kern w:val="0"/>
          <w:sz w:val="30"/>
          <w:szCs w:val="30"/>
          <w:highlight w:val="none"/>
        </w:rPr>
        <w:t>（八）估价原则</w:t>
      </w:r>
      <w:bookmarkEnd w:id="32"/>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1、独立、客观、公正原则</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sz w:val="28"/>
          <w:szCs w:val="28"/>
          <w:highlight w:val="none"/>
        </w:rPr>
      </w:pPr>
      <w:bookmarkStart w:id="33" w:name="_Toc30096"/>
      <w:bookmarkStart w:id="34" w:name="_Toc1335"/>
      <w:r>
        <w:rPr>
          <w:rFonts w:hint="eastAsia" w:ascii="仿宋" w:hAnsi="仿宋" w:eastAsia="仿宋" w:cs="仿宋"/>
          <w:snapToGrid w:val="0"/>
          <w:sz w:val="28"/>
          <w:szCs w:val="28"/>
          <w:highlight w:val="none"/>
        </w:rPr>
        <w:t>独立</w:t>
      </w:r>
      <w:r>
        <w:rPr>
          <w:rFonts w:hint="eastAsia" w:ascii="仿宋" w:hAnsi="仿宋" w:eastAsia="仿宋" w:cs="仿宋"/>
          <w:snapToGrid w:val="0"/>
          <w:sz w:val="28"/>
          <w:szCs w:val="28"/>
          <w:highlight w:val="none"/>
          <w:lang w:eastAsia="zh-CN"/>
        </w:rPr>
        <w:t>、</w:t>
      </w:r>
      <w:r>
        <w:rPr>
          <w:rFonts w:hint="eastAsia" w:ascii="仿宋" w:hAnsi="仿宋" w:eastAsia="仿宋" w:cs="仿宋"/>
          <w:snapToGrid w:val="0"/>
          <w:sz w:val="28"/>
          <w:szCs w:val="28"/>
          <w:highlight w:val="none"/>
        </w:rPr>
        <w:t>客观</w:t>
      </w:r>
      <w:r>
        <w:rPr>
          <w:rFonts w:hint="eastAsia" w:ascii="仿宋" w:hAnsi="仿宋" w:eastAsia="仿宋" w:cs="仿宋"/>
          <w:snapToGrid w:val="0"/>
          <w:sz w:val="28"/>
          <w:szCs w:val="28"/>
          <w:highlight w:val="none"/>
          <w:lang w:eastAsia="zh-CN"/>
        </w:rPr>
        <w:t>、</w:t>
      </w:r>
      <w:r>
        <w:rPr>
          <w:rFonts w:hint="eastAsia" w:ascii="仿宋" w:hAnsi="仿宋" w:eastAsia="仿宋" w:cs="仿宋"/>
          <w:snapToGrid w:val="0"/>
          <w:sz w:val="28"/>
          <w:szCs w:val="28"/>
          <w:highlight w:val="none"/>
        </w:rPr>
        <w:t>公正原则要求房地产估价师站在中立的立场上，估价出对各方当事人来说都是公平合理的</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具体来说，独立的要求是，房地产估价师不应受任何组织和个人的非法干预，完全凭借自己的专业知识、经验和应有的职业道德进行估价。客观的要求是，房地产估价师不应带着自己的好恶、情感和偏见，完全从客观实际出发，反映事物的本来面目。公正的要求是，房地产估价师在估价中应当公平正直，不偏袒相关当事人中的任何一方。</w:t>
      </w:r>
      <w:bookmarkEnd w:id="33"/>
      <w:bookmarkEnd w:id="34"/>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 xml:space="preserve"> 2、合法原则</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合法原则是房地产估价工作中的核心与前提。遵循合法原则，即要求估价对象产权、收益、处分都必须以合法依据为条件，如：估价对象符合城市规划对土地用途、容积率、覆盖率、建筑高度、建筑风格的要求。如果估价对象产权不合法，则对估价对象未来收益、处分均受到限制，尤其是房地产抵押估价，从而对其</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产生影响，进而影响估价时关于</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定义、估价方法、估价技术路线的确定。因此，进行房地产估价时，首先应对估价对象权益进行分析界定。</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3、最高最佳使用原则</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由于房地产具有用途的多样性，不同的利用方式能为权利人带来不同的收益量，且权利人都期望从其所占有的房地产上获取更多的收益，并以能满足这一目的为确定房地产利用方式的依据。所以，房地产价格是以该房地产的效用作最有效发挥为前提的。</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4、</w:t>
      </w:r>
      <w:r>
        <w:rPr>
          <w:rFonts w:hint="eastAsia" w:ascii="仿宋" w:hAnsi="仿宋" w:eastAsia="仿宋" w:cs="仿宋"/>
          <w:snapToGrid w:val="0"/>
          <w:kern w:val="0"/>
          <w:sz w:val="28"/>
          <w:szCs w:val="28"/>
          <w:highlight w:val="none"/>
          <w:lang w:eastAsia="zh-CN"/>
        </w:rPr>
        <w:t>价格</w:t>
      </w:r>
      <w:r>
        <w:rPr>
          <w:rFonts w:hint="eastAsia" w:ascii="仿宋" w:hAnsi="仿宋" w:eastAsia="仿宋" w:cs="仿宋"/>
          <w:snapToGrid w:val="0"/>
          <w:kern w:val="0"/>
          <w:sz w:val="28"/>
          <w:szCs w:val="28"/>
          <w:highlight w:val="none"/>
        </w:rPr>
        <w:t>时点原则</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房地产市场是变动的，在不同的时间上，同一宗房地产往往会有不同的价格，估价通常仅是求取估价对象在某个特定的时间上的</w:t>
      </w:r>
      <w:r>
        <w:rPr>
          <w:rFonts w:hint="eastAsia" w:ascii="仿宋" w:hAnsi="仿宋" w:eastAsia="仿宋" w:cs="仿宋"/>
          <w:snapToGrid w:val="0"/>
          <w:kern w:val="0"/>
          <w:sz w:val="28"/>
          <w:szCs w:val="28"/>
          <w:highlight w:val="none"/>
          <w:lang w:eastAsia="zh-CN"/>
        </w:rPr>
        <w:t>价格</w:t>
      </w:r>
      <w:r>
        <w:rPr>
          <w:rFonts w:hint="eastAsia" w:ascii="仿宋" w:hAnsi="仿宋" w:eastAsia="仿宋" w:cs="仿宋"/>
          <w:snapToGrid w:val="0"/>
          <w:kern w:val="0"/>
          <w:sz w:val="28"/>
          <w:szCs w:val="28"/>
          <w:highlight w:val="none"/>
        </w:rPr>
        <w:t>，这个时间就是</w:t>
      </w:r>
      <w:r>
        <w:rPr>
          <w:rFonts w:hint="eastAsia" w:ascii="仿宋" w:hAnsi="仿宋" w:eastAsia="仿宋" w:cs="仿宋"/>
          <w:snapToGrid w:val="0"/>
          <w:kern w:val="0"/>
          <w:sz w:val="28"/>
          <w:szCs w:val="28"/>
          <w:highlight w:val="none"/>
          <w:lang w:eastAsia="zh-CN"/>
        </w:rPr>
        <w:t>价格</w:t>
      </w:r>
      <w:r>
        <w:rPr>
          <w:rFonts w:hint="eastAsia" w:ascii="仿宋" w:hAnsi="仿宋" w:eastAsia="仿宋" w:cs="仿宋"/>
          <w:snapToGrid w:val="0"/>
          <w:kern w:val="0"/>
          <w:sz w:val="28"/>
          <w:szCs w:val="28"/>
          <w:highlight w:val="none"/>
        </w:rPr>
        <w:t>时点，确定</w:t>
      </w:r>
      <w:r>
        <w:rPr>
          <w:rFonts w:hint="eastAsia" w:ascii="仿宋" w:hAnsi="仿宋" w:eastAsia="仿宋" w:cs="仿宋"/>
          <w:snapToGrid w:val="0"/>
          <w:kern w:val="0"/>
          <w:sz w:val="28"/>
          <w:szCs w:val="28"/>
          <w:highlight w:val="none"/>
          <w:lang w:eastAsia="zh-CN"/>
        </w:rPr>
        <w:t>价格</w:t>
      </w:r>
      <w:r>
        <w:rPr>
          <w:rFonts w:hint="eastAsia" w:ascii="仿宋" w:hAnsi="仿宋" w:eastAsia="仿宋" w:cs="仿宋"/>
          <w:snapToGrid w:val="0"/>
          <w:kern w:val="0"/>
          <w:sz w:val="28"/>
          <w:szCs w:val="28"/>
          <w:highlight w:val="none"/>
        </w:rPr>
        <w:t>时点原则的意义在于，</w:t>
      </w:r>
      <w:r>
        <w:rPr>
          <w:rFonts w:hint="eastAsia" w:ascii="仿宋" w:hAnsi="仿宋" w:eastAsia="仿宋" w:cs="仿宋"/>
          <w:snapToGrid w:val="0"/>
          <w:kern w:val="0"/>
          <w:sz w:val="28"/>
          <w:szCs w:val="28"/>
          <w:highlight w:val="none"/>
          <w:lang w:eastAsia="zh-CN"/>
        </w:rPr>
        <w:t>价格</w:t>
      </w:r>
      <w:r>
        <w:rPr>
          <w:rFonts w:hint="eastAsia" w:ascii="仿宋" w:hAnsi="仿宋" w:eastAsia="仿宋" w:cs="仿宋"/>
          <w:snapToGrid w:val="0"/>
          <w:kern w:val="0"/>
          <w:sz w:val="28"/>
          <w:szCs w:val="28"/>
          <w:highlight w:val="none"/>
        </w:rPr>
        <w:t>时点是估价房地产时值的界限。因为房地产价格与政府颁布的有关房地产法律、法规等密切相关，这些法律、法规的发布、变更、实施日期，均有可能影响待估房地产的</w:t>
      </w:r>
      <w:r>
        <w:rPr>
          <w:rFonts w:hint="eastAsia" w:ascii="仿宋" w:hAnsi="仿宋" w:eastAsia="仿宋" w:cs="仿宋"/>
          <w:snapToGrid w:val="0"/>
          <w:kern w:val="0"/>
          <w:sz w:val="28"/>
          <w:szCs w:val="28"/>
          <w:highlight w:val="none"/>
          <w:lang w:eastAsia="zh-CN"/>
        </w:rPr>
        <w:t>价格</w:t>
      </w:r>
      <w:r>
        <w:rPr>
          <w:rFonts w:hint="eastAsia" w:ascii="仿宋" w:hAnsi="仿宋" w:eastAsia="仿宋" w:cs="仿宋"/>
          <w:snapToGrid w:val="0"/>
          <w:kern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5、替代原则</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根据市场运行规律，在同一商品市场中，商品或提供服务的效用相同或大致相似时，价格低者吸引需求，即有两个以上互有替代性的商品或服务同时存在时，商品或服务的价格是经过相互影响与比较之后来决定的。房地产价格也同样遵循替代规律，某房地产的价格，受其它具有相同使用</w:t>
      </w:r>
      <w:r>
        <w:rPr>
          <w:rFonts w:hint="eastAsia" w:ascii="仿宋" w:hAnsi="仿宋" w:eastAsia="仿宋" w:cs="仿宋"/>
          <w:snapToGrid w:val="0"/>
          <w:kern w:val="0"/>
          <w:sz w:val="28"/>
          <w:szCs w:val="28"/>
          <w:highlight w:val="none"/>
          <w:lang w:eastAsia="zh-CN"/>
        </w:rPr>
        <w:t>价格</w:t>
      </w:r>
      <w:r>
        <w:rPr>
          <w:rFonts w:hint="eastAsia" w:ascii="仿宋" w:hAnsi="仿宋" w:eastAsia="仿宋" w:cs="仿宋"/>
          <w:snapToGrid w:val="0"/>
          <w:kern w:val="0"/>
          <w:sz w:val="28"/>
          <w:szCs w:val="28"/>
          <w:highlight w:val="none"/>
        </w:rPr>
        <w:t>的房地产，即同类型具有替代可能的房地产价格所牵制。换言之，具有相同使用</w:t>
      </w:r>
      <w:r>
        <w:rPr>
          <w:rFonts w:hint="eastAsia" w:ascii="仿宋" w:hAnsi="仿宋" w:eastAsia="仿宋" w:cs="仿宋"/>
          <w:snapToGrid w:val="0"/>
          <w:kern w:val="0"/>
          <w:sz w:val="28"/>
          <w:szCs w:val="28"/>
          <w:highlight w:val="none"/>
          <w:lang w:eastAsia="zh-CN"/>
        </w:rPr>
        <w:t>价格</w:t>
      </w:r>
      <w:r>
        <w:rPr>
          <w:rFonts w:hint="eastAsia" w:ascii="仿宋" w:hAnsi="仿宋" w:eastAsia="仿宋" w:cs="仿宋"/>
          <w:snapToGrid w:val="0"/>
          <w:kern w:val="0"/>
          <w:sz w:val="28"/>
          <w:szCs w:val="28"/>
          <w:highlight w:val="none"/>
        </w:rPr>
        <w:t>、替代可能的房地产之间，会相互影响和竞争，使价格相互牵制而趋于一致。</w:t>
      </w:r>
    </w:p>
    <w:p>
      <w:pPr>
        <w:pStyle w:val="2"/>
        <w:spacing w:before="0" w:after="0" w:line="500" w:lineRule="exact"/>
        <w:rPr>
          <w:rFonts w:ascii="黑体" w:hAnsi="黑体" w:cs="黑体"/>
          <w:snapToGrid w:val="0"/>
          <w:kern w:val="0"/>
          <w:sz w:val="30"/>
          <w:szCs w:val="30"/>
          <w:highlight w:val="none"/>
        </w:rPr>
      </w:pPr>
      <w:bookmarkStart w:id="35" w:name="_Toc14778"/>
      <w:r>
        <w:rPr>
          <w:rFonts w:hint="eastAsia" w:ascii="黑体" w:hAnsi="黑体" w:cs="黑体"/>
          <w:snapToGrid w:val="0"/>
          <w:kern w:val="0"/>
          <w:sz w:val="30"/>
          <w:szCs w:val="30"/>
          <w:highlight w:val="none"/>
        </w:rPr>
        <w:t>（九）估价方法</w:t>
      </w:r>
      <w:bookmarkEnd w:id="31"/>
      <w:bookmarkEnd w:id="35"/>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b/>
          <w:bCs/>
          <w:snapToGrid w:val="0"/>
          <w:kern w:val="0"/>
          <w:sz w:val="28"/>
          <w:szCs w:val="28"/>
          <w:highlight w:val="none"/>
        </w:rPr>
      </w:pPr>
      <w:r>
        <w:rPr>
          <w:rFonts w:hint="eastAsia" w:ascii="仿宋" w:hAnsi="仿宋" w:eastAsia="仿宋" w:cs="仿宋"/>
          <w:b/>
          <w:bCs/>
          <w:snapToGrid w:val="0"/>
          <w:kern w:val="0"/>
          <w:sz w:val="28"/>
          <w:szCs w:val="28"/>
          <w:highlight w:val="none"/>
        </w:rPr>
        <w:t>1、估价方法选取</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rPr>
      </w:pPr>
      <w:r>
        <w:rPr>
          <w:rFonts w:hint="eastAsia" w:ascii="仿宋" w:hAnsi="仿宋" w:eastAsia="仿宋" w:cs="仿宋"/>
          <w:snapToGrid w:val="0"/>
          <w:kern w:val="0"/>
          <w:sz w:val="28"/>
          <w:szCs w:val="28"/>
          <w:highlight w:val="none"/>
        </w:rPr>
        <w:t>估价人员在认真分析所掌握的资料，并对估价对象进行了实地查勘以及对周边房地产市场进行调查后，根据《房地产估价规范》【GB/T50291-2015】、《房地产估价基本术语标准》【GB/T50899-2013】，遵照国家有关法律、法规、估价技术标准，经过反复研究，最终选取</w:t>
      </w:r>
      <w:r>
        <w:rPr>
          <w:rFonts w:hint="eastAsia" w:ascii="仿宋" w:hAnsi="仿宋" w:eastAsia="仿宋" w:cs="仿宋"/>
          <w:snapToGrid w:val="0"/>
          <w:kern w:val="0"/>
          <w:sz w:val="28"/>
          <w:szCs w:val="28"/>
          <w:highlight w:val="none"/>
          <w:lang w:eastAsia="zh-CN"/>
        </w:rPr>
        <w:t>比较法</w:t>
      </w:r>
      <w:r>
        <w:rPr>
          <w:rFonts w:hint="eastAsia" w:ascii="仿宋" w:hAnsi="仿宋" w:eastAsia="仿宋" w:cs="仿宋"/>
          <w:snapToGrid w:val="0"/>
          <w:kern w:val="0"/>
          <w:sz w:val="28"/>
          <w:szCs w:val="28"/>
          <w:highlight w:val="none"/>
        </w:rPr>
        <w:t>对估价对象（</w:t>
      </w:r>
      <w:r>
        <w:rPr>
          <w:rFonts w:hint="eastAsia" w:ascii="仿宋" w:hAnsi="仿宋" w:eastAsia="仿宋" w:cs="仿宋"/>
          <w:snapToGrid w:val="0"/>
          <w:kern w:val="0"/>
          <w:sz w:val="28"/>
          <w:szCs w:val="28"/>
          <w:highlight w:val="none"/>
          <w:lang w:eastAsia="zh-CN"/>
        </w:rPr>
        <w:t>住宅</w:t>
      </w:r>
      <w:r>
        <w:rPr>
          <w:rFonts w:hint="eastAsia" w:ascii="仿宋" w:hAnsi="仿宋" w:eastAsia="仿宋" w:cs="仿宋"/>
          <w:snapToGrid w:val="0"/>
          <w:kern w:val="0"/>
          <w:sz w:val="28"/>
          <w:szCs w:val="28"/>
          <w:highlight w:val="none"/>
        </w:rPr>
        <w:t>用途，面积为</w:t>
      </w:r>
      <w:r>
        <w:rPr>
          <w:rFonts w:hint="eastAsia" w:ascii="仿宋" w:hAnsi="仿宋" w:eastAsia="仿宋" w:cs="仿宋"/>
          <w:snapToGrid w:val="0"/>
          <w:kern w:val="0"/>
          <w:sz w:val="28"/>
          <w:szCs w:val="28"/>
          <w:highlight w:val="none"/>
          <w:lang w:eastAsia="zh-CN"/>
        </w:rPr>
        <w:t>107.29</w:t>
      </w:r>
      <w:r>
        <w:rPr>
          <w:rFonts w:hint="eastAsia" w:ascii="仿宋" w:hAnsi="仿宋" w:eastAsia="仿宋" w:cs="仿宋"/>
          <w:snapToGrid w:val="0"/>
          <w:kern w:val="0"/>
          <w:sz w:val="28"/>
          <w:szCs w:val="28"/>
          <w:highlight w:val="none"/>
        </w:rPr>
        <w:t>平方米）房地产进行估价，具体分析如下表：</w:t>
      </w:r>
    </w:p>
    <w:tbl>
      <w:tblPr>
        <w:tblStyle w:val="46"/>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737"/>
        <w:gridCol w:w="3738"/>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可选估价方法</w:t>
            </w:r>
          </w:p>
        </w:tc>
        <w:tc>
          <w:tcPr>
            <w:tcW w:w="373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估价方法定义</w:t>
            </w:r>
          </w:p>
        </w:tc>
        <w:tc>
          <w:tcPr>
            <w:tcW w:w="3738"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估价方法是否选择理由</w:t>
            </w:r>
          </w:p>
        </w:tc>
        <w:tc>
          <w:tcPr>
            <w:tcW w:w="1073"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是否</w:t>
            </w:r>
          </w:p>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比较法</w:t>
            </w:r>
          </w:p>
        </w:tc>
        <w:tc>
          <w:tcPr>
            <w:tcW w:w="3737"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选取一定数量的可比实例，将它们与估价对象进行比较，根据其间的差异对可比实例成交价格进行处理后得到估价对象</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或价格的方法。</w:t>
            </w:r>
          </w:p>
        </w:tc>
        <w:tc>
          <w:tcPr>
            <w:tcW w:w="3738"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估价对象实际用途为</w:t>
            </w:r>
            <w:r>
              <w:rPr>
                <w:rFonts w:hint="eastAsia" w:ascii="仿宋" w:hAnsi="仿宋" w:eastAsia="仿宋" w:cs="宋体"/>
                <w:kern w:val="0"/>
                <w:sz w:val="20"/>
                <w:szCs w:val="20"/>
                <w:highlight w:val="none"/>
                <w:lang w:eastAsia="zh-CN"/>
              </w:rPr>
              <w:t>住宅</w:t>
            </w:r>
            <w:r>
              <w:rPr>
                <w:rFonts w:hint="eastAsia" w:ascii="仿宋" w:hAnsi="仿宋" w:eastAsia="仿宋" w:cs="宋体"/>
                <w:kern w:val="0"/>
                <w:sz w:val="20"/>
                <w:szCs w:val="20"/>
                <w:highlight w:val="none"/>
              </w:rPr>
              <w:t>，所在区域与估价对象相似使用的销售可比案例（同一供需圈内、用途一致、邻近区域）较</w:t>
            </w:r>
            <w:r>
              <w:rPr>
                <w:rFonts w:hint="eastAsia" w:ascii="仿宋" w:hAnsi="仿宋" w:eastAsia="仿宋" w:cs="宋体"/>
                <w:kern w:val="0"/>
                <w:sz w:val="20"/>
                <w:szCs w:val="20"/>
                <w:highlight w:val="none"/>
                <w:lang w:eastAsia="zh-CN"/>
              </w:rPr>
              <w:t>多</w:t>
            </w:r>
            <w:r>
              <w:rPr>
                <w:rFonts w:hint="eastAsia" w:ascii="仿宋" w:hAnsi="仿宋" w:eastAsia="仿宋" w:cs="宋体"/>
                <w:kern w:val="0"/>
                <w:sz w:val="20"/>
                <w:szCs w:val="20"/>
                <w:highlight w:val="none"/>
              </w:rPr>
              <w:t>，故本次估价选取比较法对估价对象进行估价。</w:t>
            </w:r>
          </w:p>
        </w:tc>
        <w:tc>
          <w:tcPr>
            <w:tcW w:w="1073" w:type="dxa"/>
            <w:tcBorders>
              <w:tl2br w:val="nil"/>
              <w:tr2bl w:val="nil"/>
            </w:tcBorders>
            <w:vAlign w:val="center"/>
          </w:tcPr>
          <w:p>
            <w:pPr>
              <w:spacing w:line="288" w:lineRule="auto"/>
              <w:jc w:val="center"/>
              <w:rPr>
                <w:rFonts w:ascii="仿宋" w:hAnsi="仿宋" w:eastAsia="仿宋" w:cs="楷体_GB2312"/>
                <w:bCs/>
                <w:sz w:val="20"/>
                <w:szCs w:val="20"/>
                <w:highlight w:val="none"/>
              </w:rPr>
            </w:pPr>
            <w:r>
              <w:rPr>
                <w:rFonts w:hint="eastAsia" w:ascii="仿宋" w:hAnsi="仿宋" w:eastAsia="仿宋" w:cs="楷体_GB2312"/>
                <w:bCs/>
                <w:sz w:val="20"/>
                <w:szCs w:val="20"/>
                <w:highlight w:val="none"/>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收益法</w:t>
            </w:r>
          </w:p>
        </w:tc>
        <w:tc>
          <w:tcPr>
            <w:tcW w:w="3737"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预测估价对象的未来收益，利用报酬率或资本化率、收益乘数将未来收益转换为</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得到估价对象</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或价格的方法。</w:t>
            </w:r>
          </w:p>
        </w:tc>
        <w:tc>
          <w:tcPr>
            <w:tcW w:w="3738" w:type="dxa"/>
            <w:tcBorders>
              <w:tl2br w:val="nil"/>
              <w:tr2bl w:val="nil"/>
            </w:tcBorders>
            <w:vAlign w:val="center"/>
          </w:tcPr>
          <w:p>
            <w:pPr>
              <w:widowControl/>
              <w:jc w:val="both"/>
              <w:rPr>
                <w:rFonts w:hint="eastAsia" w:ascii="仿宋" w:hAnsi="仿宋" w:eastAsia="仿宋" w:cs="楷体_GB2312"/>
                <w:sz w:val="20"/>
                <w:szCs w:val="20"/>
                <w:highlight w:val="none"/>
                <w:lang w:eastAsia="zh-CN"/>
              </w:rPr>
            </w:pPr>
            <w:r>
              <w:rPr>
                <w:rFonts w:hint="eastAsia" w:ascii="仿宋" w:hAnsi="仿宋" w:eastAsia="仿宋" w:cs="宋体"/>
                <w:kern w:val="0"/>
                <w:sz w:val="20"/>
                <w:szCs w:val="20"/>
                <w:highlight w:val="none"/>
                <w:lang w:eastAsia="zh-CN"/>
              </w:rPr>
              <w:t>收益法适宜用于收益性物业估价，即为有经济收益或有潜在经济收益的房地产，估价对象所在区域住宅物业租金较低，从收益角度无法反应出该房地产的市场价格，故本次估价不选取采用收益法进行估价。</w:t>
            </w:r>
          </w:p>
        </w:tc>
        <w:tc>
          <w:tcPr>
            <w:tcW w:w="1073" w:type="dxa"/>
            <w:tcBorders>
              <w:tl2br w:val="nil"/>
              <w:tr2bl w:val="nil"/>
            </w:tcBorders>
            <w:vAlign w:val="center"/>
          </w:tcPr>
          <w:p>
            <w:pPr>
              <w:spacing w:line="288" w:lineRule="auto"/>
              <w:jc w:val="center"/>
              <w:rPr>
                <w:rFonts w:ascii="仿宋" w:hAnsi="仿宋" w:eastAsia="仿宋" w:cs="楷体_GB2312"/>
                <w:bCs/>
                <w:sz w:val="20"/>
                <w:szCs w:val="20"/>
                <w:highlight w:val="none"/>
              </w:rPr>
            </w:pPr>
            <w:r>
              <w:rPr>
                <w:rFonts w:hint="eastAsia" w:ascii="仿宋" w:hAnsi="仿宋" w:eastAsia="仿宋" w:cs="楷体_GB2312"/>
                <w:bCs/>
                <w:sz w:val="20"/>
                <w:szCs w:val="20"/>
                <w:highlight w:val="none"/>
                <w:lang w:eastAsia="zh-CN"/>
              </w:rPr>
              <w:t>不</w:t>
            </w:r>
            <w:r>
              <w:rPr>
                <w:rFonts w:hint="eastAsia" w:ascii="仿宋" w:hAnsi="仿宋" w:eastAsia="仿宋" w:cs="楷体_GB2312"/>
                <w:bCs/>
                <w:sz w:val="20"/>
                <w:szCs w:val="20"/>
                <w:highlight w:val="none"/>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假设开发法</w:t>
            </w:r>
          </w:p>
        </w:tc>
        <w:tc>
          <w:tcPr>
            <w:tcW w:w="3737"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求得估价对象后续开发的必要支出及折现率或后续开发的必要支出及应得利润和开发完成后的</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，将开发完成后的</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和后续开发的必要支出折现到</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时点后相减，或将开发完成后的</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减去后续开发的必要支出及应得利润得到估价对象</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或价格的方法。</w:t>
            </w:r>
          </w:p>
        </w:tc>
        <w:tc>
          <w:tcPr>
            <w:tcW w:w="3738" w:type="dxa"/>
            <w:tcBorders>
              <w:tl2br w:val="nil"/>
              <w:tr2bl w:val="nil"/>
            </w:tcBorders>
            <w:vAlign w:val="center"/>
          </w:tcPr>
          <w:p>
            <w:pPr>
              <w:widowControl/>
              <w:jc w:val="both"/>
              <w:rPr>
                <w:rFonts w:hint="eastAsia" w:ascii="仿宋" w:hAnsi="仿宋" w:eastAsia="仿宋" w:cs="楷体_GB2312"/>
                <w:sz w:val="20"/>
                <w:szCs w:val="20"/>
                <w:highlight w:val="none"/>
                <w:lang w:eastAsia="zh-CN"/>
              </w:rPr>
            </w:pPr>
            <w:r>
              <w:rPr>
                <w:rFonts w:hint="eastAsia" w:ascii="仿宋" w:hAnsi="仿宋" w:eastAsia="仿宋" w:cs="宋体"/>
                <w:kern w:val="0"/>
                <w:sz w:val="20"/>
                <w:szCs w:val="20"/>
                <w:highlight w:val="none"/>
                <w:lang w:eastAsia="zh-CN"/>
              </w:rPr>
              <w:t>假设开发法适用于评估具有投资开发价格或再开发潜力的房地产，估价对象为已投入使用的房地产，非待开发房地产，不产生后续开发成本，故本次评估不选取假设开发法作为估价方法。</w:t>
            </w:r>
          </w:p>
        </w:tc>
        <w:tc>
          <w:tcPr>
            <w:tcW w:w="1073" w:type="dxa"/>
            <w:tcBorders>
              <w:tl2br w:val="nil"/>
              <w:tr2bl w:val="nil"/>
            </w:tcBorders>
            <w:vAlign w:val="center"/>
          </w:tcPr>
          <w:p>
            <w:pPr>
              <w:spacing w:line="288" w:lineRule="auto"/>
              <w:jc w:val="center"/>
              <w:rPr>
                <w:rFonts w:ascii="仿宋" w:hAnsi="仿宋" w:eastAsia="仿宋" w:cs="楷体_GB2312"/>
                <w:bCs/>
                <w:sz w:val="20"/>
                <w:szCs w:val="20"/>
                <w:highlight w:val="none"/>
              </w:rPr>
            </w:pPr>
            <w:r>
              <w:rPr>
                <w:rFonts w:hint="eastAsia" w:ascii="仿宋" w:hAnsi="仿宋" w:eastAsia="仿宋" w:cs="楷体_GB2312"/>
                <w:bCs/>
                <w:sz w:val="20"/>
                <w:szCs w:val="20"/>
                <w:highlight w:val="none"/>
              </w:rPr>
              <w:t>不选取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成本法</w:t>
            </w:r>
          </w:p>
        </w:tc>
        <w:tc>
          <w:tcPr>
            <w:tcW w:w="3737"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测算估价对象在</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时点的重置成本或重建成本和折旧，将重置成本或重建成本减去折旧得到估价对象</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或价格的方法。</w:t>
            </w:r>
          </w:p>
        </w:tc>
        <w:tc>
          <w:tcPr>
            <w:tcW w:w="3738" w:type="dxa"/>
            <w:tcBorders>
              <w:tl2br w:val="nil"/>
              <w:tr2bl w:val="nil"/>
            </w:tcBorders>
            <w:vAlign w:val="center"/>
          </w:tcPr>
          <w:p>
            <w:pPr>
              <w:widowControl/>
              <w:jc w:val="both"/>
              <w:rPr>
                <w:rFonts w:hint="eastAsia" w:ascii="仿宋" w:hAnsi="仿宋" w:eastAsia="仿宋" w:cs="楷体_GB2312"/>
                <w:sz w:val="20"/>
                <w:szCs w:val="20"/>
                <w:highlight w:val="none"/>
                <w:lang w:eastAsia="zh-CN"/>
              </w:rPr>
            </w:pPr>
            <w:r>
              <w:rPr>
                <w:rFonts w:hint="eastAsia" w:ascii="仿宋" w:hAnsi="仿宋" w:eastAsia="仿宋" w:cs="宋体"/>
                <w:kern w:val="0"/>
                <w:sz w:val="20"/>
                <w:szCs w:val="20"/>
                <w:highlight w:val="none"/>
                <w:lang w:eastAsia="zh-CN"/>
              </w:rPr>
              <w:t>估价对象为住宅房地产，房地产价格与成本关联性弱，运用成本法测算的结果不能准确反映估价对象的实际市场价格，故不选取成本法进行评估。</w:t>
            </w:r>
          </w:p>
        </w:tc>
        <w:tc>
          <w:tcPr>
            <w:tcW w:w="1073" w:type="dxa"/>
            <w:tcBorders>
              <w:tl2br w:val="nil"/>
              <w:tr2bl w:val="nil"/>
            </w:tcBorders>
            <w:vAlign w:val="center"/>
          </w:tcPr>
          <w:p>
            <w:pPr>
              <w:spacing w:line="288" w:lineRule="auto"/>
              <w:jc w:val="center"/>
              <w:rPr>
                <w:rFonts w:ascii="仿宋" w:hAnsi="仿宋" w:eastAsia="仿宋" w:cs="楷体_GB2312"/>
                <w:bCs/>
                <w:sz w:val="20"/>
                <w:szCs w:val="20"/>
                <w:highlight w:val="none"/>
              </w:rPr>
            </w:pPr>
            <w:r>
              <w:rPr>
                <w:rFonts w:hint="eastAsia" w:ascii="仿宋" w:hAnsi="仿宋" w:eastAsia="仿宋" w:cs="楷体_GB2312"/>
                <w:bCs/>
                <w:sz w:val="20"/>
                <w:szCs w:val="20"/>
                <w:highlight w:val="none"/>
              </w:rPr>
              <w:t>不选取</w:t>
            </w:r>
          </w:p>
        </w:tc>
      </w:tr>
    </w:tbl>
    <w:p>
      <w:pPr>
        <w:widowControl/>
        <w:spacing w:before="237" w:beforeLines="50"/>
        <w:jc w:val="left"/>
        <w:rPr>
          <w:rFonts w:ascii="仿宋" w:hAnsi="仿宋" w:eastAsia="仿宋" w:cs="仿宋"/>
          <w:b/>
          <w:kern w:val="0"/>
          <w:sz w:val="28"/>
          <w:szCs w:val="28"/>
          <w:highlight w:val="none"/>
        </w:rPr>
      </w:pPr>
      <w:r>
        <w:rPr>
          <w:rFonts w:hint="eastAsia" w:ascii="仿宋_GB2312" w:hAnsi="宋体" w:eastAsia="仿宋_GB2312" w:cs="宋体"/>
          <w:b/>
          <w:kern w:val="0"/>
          <w:sz w:val="28"/>
          <w:szCs w:val="28"/>
          <w:highlight w:val="none"/>
        </w:rPr>
        <w:t xml:space="preserve">  </w:t>
      </w:r>
      <w:r>
        <w:rPr>
          <w:rFonts w:ascii="仿宋_GB2312" w:hAnsi="宋体" w:eastAsia="仿宋_GB2312" w:cs="宋体"/>
          <w:b/>
          <w:kern w:val="0"/>
          <w:sz w:val="28"/>
          <w:szCs w:val="28"/>
          <w:highlight w:val="none"/>
        </w:rPr>
        <w:t xml:space="preserve"> </w:t>
      </w:r>
      <w:r>
        <w:rPr>
          <w:rFonts w:hint="eastAsia" w:ascii="仿宋" w:hAnsi="仿宋" w:eastAsia="仿宋" w:cs="仿宋"/>
          <w:b/>
          <w:kern w:val="0"/>
          <w:sz w:val="28"/>
          <w:szCs w:val="28"/>
          <w:highlight w:val="none"/>
        </w:rPr>
        <w:t xml:space="preserve"> 2、本次选用估价方法原理及基本公式</w:t>
      </w:r>
    </w:p>
    <w:p>
      <w:pPr>
        <w:spacing w:line="520" w:lineRule="exact"/>
        <w:ind w:firstLine="674" w:firstLineChars="200"/>
        <w:rPr>
          <w:rFonts w:hint="eastAsia" w:ascii="仿宋" w:hAnsi="仿宋" w:eastAsia="仿宋" w:cs="仿宋"/>
          <w:bCs/>
          <w:snapToGrid w:val="0"/>
          <w:kern w:val="0"/>
          <w:sz w:val="28"/>
          <w:szCs w:val="28"/>
          <w:highlight w:val="none"/>
        </w:rPr>
      </w:pPr>
      <w:bookmarkStart w:id="36" w:name="_Toc17960859"/>
      <w:r>
        <w:rPr>
          <w:rFonts w:hint="eastAsia" w:ascii="仿宋" w:hAnsi="仿宋" w:eastAsia="仿宋" w:cs="仿宋"/>
          <w:bCs/>
          <w:snapToGrid w:val="0"/>
          <w:kern w:val="0"/>
          <w:sz w:val="28"/>
          <w:szCs w:val="28"/>
          <w:highlight w:val="none"/>
        </w:rPr>
        <w:t>比较法原理：是将估价对象房地产与近期已经发生交易的类似房地产加以比较对照，从已经发生了交易的类似房地产的已知价格，修正得出估价对象房地产价格的一种估价方法。</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比较法的计算公式：</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Pi=P’×A×B×C×D×</w:t>
      </w:r>
      <w:r>
        <w:rPr>
          <w:rFonts w:hint="eastAsia" w:ascii="仿宋" w:hAnsi="仿宋" w:eastAsia="仿宋" w:cs="仿宋"/>
          <w:bCs/>
          <w:snapToGrid w:val="0"/>
          <w:kern w:val="0"/>
          <w:sz w:val="28"/>
          <w:szCs w:val="28"/>
          <w:highlight w:val="none"/>
          <w:lang w:val="en-US" w:eastAsia="zh-CN"/>
        </w:rPr>
        <w:t>E</w:t>
      </w:r>
      <w:r>
        <w:rPr>
          <w:rFonts w:hint="eastAsia" w:ascii="仿宋" w:hAnsi="仿宋" w:eastAsia="仿宋" w:cs="仿宋"/>
          <w:bCs/>
          <w:snapToGrid w:val="0"/>
          <w:kern w:val="0"/>
          <w:sz w:val="28"/>
          <w:szCs w:val="28"/>
          <w:highlight w:val="none"/>
        </w:rPr>
        <w:t xml:space="preserve">    </w:t>
      </w:r>
      <w:r>
        <w:rPr>
          <w:rFonts w:hint="eastAsia" w:ascii="仿宋" w:hAnsi="仿宋" w:eastAsia="仿宋" w:cs="仿宋"/>
          <w:bCs/>
          <w:snapToGrid w:val="0"/>
          <w:kern w:val="0"/>
          <w:sz w:val="28"/>
          <w:szCs w:val="28"/>
          <w:highlight w:val="none"/>
          <w:lang w:val="en-US" w:eastAsia="zh-CN"/>
        </w:rPr>
        <w:t xml:space="preserve">      </w:t>
      </w:r>
      <w:r>
        <w:rPr>
          <w:rFonts w:hint="eastAsia" w:ascii="仿宋" w:hAnsi="仿宋" w:eastAsia="仿宋" w:cs="仿宋"/>
          <w:bCs/>
          <w:snapToGrid w:val="0"/>
          <w:kern w:val="0"/>
          <w:sz w:val="28"/>
          <w:szCs w:val="28"/>
          <w:highlight w:val="none"/>
        </w:rPr>
        <w:t>P=∑（Pi×权重系数）</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式中：P—待估房地产评评估格    A—交易情况调整系数</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 xml:space="preserve">      Pi—待估房地产比准价格   B—</w:t>
      </w:r>
      <w:r>
        <w:rPr>
          <w:rFonts w:hint="eastAsia" w:ascii="仿宋" w:hAnsi="仿宋" w:eastAsia="仿宋" w:cs="仿宋"/>
          <w:bCs/>
          <w:snapToGrid w:val="0"/>
          <w:kern w:val="0"/>
          <w:sz w:val="28"/>
          <w:szCs w:val="28"/>
          <w:highlight w:val="none"/>
          <w:lang w:eastAsia="zh-CN"/>
        </w:rPr>
        <w:t>市场状况</w:t>
      </w:r>
      <w:r>
        <w:rPr>
          <w:rFonts w:hint="eastAsia" w:ascii="仿宋" w:hAnsi="仿宋" w:eastAsia="仿宋" w:cs="仿宋"/>
          <w:bCs/>
          <w:snapToGrid w:val="0"/>
          <w:kern w:val="0"/>
          <w:sz w:val="28"/>
          <w:szCs w:val="28"/>
          <w:highlight w:val="none"/>
        </w:rPr>
        <w:t>调整系数</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 xml:space="preserve">      P’—可比交易实例价格    C—</w:t>
      </w:r>
      <w:r>
        <w:rPr>
          <w:rFonts w:hint="eastAsia" w:ascii="仿宋" w:hAnsi="仿宋" w:eastAsia="仿宋" w:cs="仿宋"/>
          <w:bCs/>
          <w:snapToGrid w:val="0"/>
          <w:kern w:val="0"/>
          <w:sz w:val="28"/>
          <w:szCs w:val="28"/>
          <w:highlight w:val="none"/>
          <w:lang w:eastAsia="zh-CN"/>
        </w:rPr>
        <w:t>区位状况</w:t>
      </w:r>
      <w:r>
        <w:rPr>
          <w:rFonts w:hint="eastAsia" w:ascii="仿宋" w:hAnsi="仿宋" w:eastAsia="仿宋" w:cs="仿宋"/>
          <w:bCs/>
          <w:snapToGrid w:val="0"/>
          <w:kern w:val="0"/>
          <w:sz w:val="28"/>
          <w:szCs w:val="28"/>
          <w:highlight w:val="none"/>
        </w:rPr>
        <w:t>调整系数</w:t>
      </w:r>
    </w:p>
    <w:p>
      <w:pPr>
        <w:spacing w:line="520" w:lineRule="exact"/>
        <w:ind w:firstLine="674" w:firstLineChars="200"/>
        <w:rPr>
          <w:rFonts w:hint="eastAsia" w:ascii="仿宋" w:hAnsi="仿宋" w:eastAsia="仿宋" w:cs="仿宋"/>
          <w:bCs/>
          <w:snapToGrid w:val="0"/>
          <w:kern w:val="0"/>
          <w:sz w:val="28"/>
          <w:szCs w:val="28"/>
          <w:highlight w:val="none"/>
          <w:lang w:eastAsia="zh-CN"/>
        </w:rPr>
      </w:pPr>
      <w:r>
        <w:rPr>
          <w:rFonts w:hint="eastAsia" w:ascii="仿宋" w:hAnsi="仿宋" w:eastAsia="仿宋" w:cs="仿宋"/>
          <w:bCs/>
          <w:snapToGrid w:val="0"/>
          <w:kern w:val="0"/>
          <w:sz w:val="28"/>
          <w:szCs w:val="28"/>
          <w:highlight w:val="none"/>
        </w:rPr>
        <w:t xml:space="preserve">    </w:t>
      </w:r>
      <w:r>
        <w:rPr>
          <w:rFonts w:hint="eastAsia" w:ascii="仿宋" w:hAnsi="仿宋" w:eastAsia="仿宋" w:cs="仿宋"/>
          <w:bCs/>
          <w:snapToGrid w:val="0"/>
          <w:kern w:val="0"/>
          <w:sz w:val="28"/>
          <w:szCs w:val="28"/>
          <w:highlight w:val="none"/>
          <w:lang w:val="en-US" w:eastAsia="zh-CN"/>
        </w:rPr>
        <w:t xml:space="preserve">                           </w:t>
      </w:r>
      <w:r>
        <w:rPr>
          <w:rFonts w:hint="eastAsia" w:ascii="仿宋" w:hAnsi="仿宋" w:eastAsia="仿宋" w:cs="仿宋"/>
          <w:bCs/>
          <w:snapToGrid w:val="0"/>
          <w:kern w:val="0"/>
          <w:sz w:val="28"/>
          <w:szCs w:val="28"/>
          <w:highlight w:val="none"/>
        </w:rPr>
        <w:t>D—</w:t>
      </w:r>
      <w:r>
        <w:rPr>
          <w:rFonts w:hint="eastAsia" w:ascii="仿宋" w:hAnsi="仿宋" w:eastAsia="仿宋" w:cs="仿宋"/>
          <w:bCs/>
          <w:snapToGrid w:val="0"/>
          <w:kern w:val="0"/>
          <w:sz w:val="28"/>
          <w:szCs w:val="28"/>
          <w:highlight w:val="none"/>
          <w:lang w:eastAsia="zh-CN"/>
        </w:rPr>
        <w:t>实物状况</w:t>
      </w:r>
      <w:r>
        <w:rPr>
          <w:rFonts w:hint="eastAsia" w:ascii="仿宋" w:hAnsi="仿宋" w:eastAsia="仿宋" w:cs="仿宋"/>
          <w:bCs/>
          <w:snapToGrid w:val="0"/>
          <w:kern w:val="0"/>
          <w:sz w:val="28"/>
          <w:szCs w:val="28"/>
          <w:highlight w:val="none"/>
        </w:rPr>
        <w:t>素</w:t>
      </w:r>
      <w:r>
        <w:rPr>
          <w:rFonts w:hint="eastAsia" w:ascii="仿宋" w:hAnsi="仿宋" w:eastAsia="仿宋" w:cs="仿宋"/>
          <w:bCs/>
          <w:snapToGrid w:val="0"/>
          <w:kern w:val="0"/>
          <w:sz w:val="28"/>
          <w:szCs w:val="28"/>
          <w:highlight w:val="none"/>
          <w:lang w:eastAsia="zh-CN"/>
        </w:rPr>
        <w:t>修正系数</w:t>
      </w:r>
    </w:p>
    <w:p>
      <w:pPr>
        <w:spacing w:line="520" w:lineRule="exact"/>
        <w:ind w:firstLine="674" w:firstLineChars="200"/>
        <w:rPr>
          <w:rFonts w:hint="eastAsia" w:ascii="仿宋" w:hAnsi="仿宋" w:eastAsia="仿宋" w:cs="仿宋"/>
          <w:bCs/>
          <w:snapToGrid w:val="0"/>
          <w:kern w:val="0"/>
          <w:sz w:val="28"/>
          <w:szCs w:val="28"/>
          <w:highlight w:val="none"/>
          <w:lang w:eastAsia="zh-CN"/>
        </w:rPr>
      </w:pPr>
      <w:r>
        <w:rPr>
          <w:rFonts w:hint="eastAsia" w:ascii="仿宋" w:hAnsi="仿宋" w:eastAsia="仿宋" w:cs="仿宋"/>
          <w:bCs/>
          <w:snapToGrid w:val="0"/>
          <w:kern w:val="0"/>
          <w:sz w:val="28"/>
          <w:szCs w:val="28"/>
          <w:highlight w:val="none"/>
          <w:lang w:val="en-US" w:eastAsia="zh-CN"/>
        </w:rPr>
        <w:t xml:space="preserve">                               E</w:t>
      </w:r>
      <w:r>
        <w:rPr>
          <w:rFonts w:hint="eastAsia" w:ascii="仿宋" w:hAnsi="仿宋" w:eastAsia="仿宋" w:cs="仿宋"/>
          <w:bCs/>
          <w:snapToGrid w:val="0"/>
          <w:kern w:val="0"/>
          <w:sz w:val="28"/>
          <w:szCs w:val="28"/>
          <w:highlight w:val="none"/>
        </w:rPr>
        <w:t>—</w:t>
      </w:r>
      <w:r>
        <w:rPr>
          <w:rFonts w:hint="eastAsia" w:ascii="仿宋" w:hAnsi="仿宋" w:eastAsia="仿宋" w:cs="仿宋"/>
          <w:bCs/>
          <w:snapToGrid w:val="0"/>
          <w:kern w:val="0"/>
          <w:sz w:val="28"/>
          <w:szCs w:val="28"/>
          <w:highlight w:val="none"/>
          <w:lang w:eastAsia="zh-CN"/>
        </w:rPr>
        <w:t>权益状况</w:t>
      </w:r>
      <w:r>
        <w:rPr>
          <w:rFonts w:hint="eastAsia" w:ascii="仿宋" w:hAnsi="仿宋" w:eastAsia="仿宋" w:cs="仿宋"/>
          <w:bCs/>
          <w:snapToGrid w:val="0"/>
          <w:kern w:val="0"/>
          <w:sz w:val="28"/>
          <w:szCs w:val="28"/>
          <w:highlight w:val="none"/>
        </w:rPr>
        <w:t>素</w:t>
      </w:r>
      <w:r>
        <w:rPr>
          <w:rFonts w:hint="eastAsia" w:ascii="仿宋" w:hAnsi="仿宋" w:eastAsia="仿宋" w:cs="仿宋"/>
          <w:bCs/>
          <w:snapToGrid w:val="0"/>
          <w:kern w:val="0"/>
          <w:sz w:val="28"/>
          <w:szCs w:val="28"/>
          <w:highlight w:val="none"/>
          <w:lang w:eastAsia="zh-CN"/>
        </w:rPr>
        <w:t>修正系数</w:t>
      </w:r>
    </w:p>
    <w:p>
      <w:pPr>
        <w:pStyle w:val="2"/>
        <w:spacing w:before="0" w:after="0" w:line="500" w:lineRule="exact"/>
        <w:rPr>
          <w:rFonts w:ascii="黑体" w:hAnsi="黑体" w:cs="黑体"/>
          <w:snapToGrid w:val="0"/>
          <w:kern w:val="0"/>
          <w:sz w:val="30"/>
          <w:szCs w:val="30"/>
          <w:highlight w:val="none"/>
        </w:rPr>
      </w:pPr>
      <w:bookmarkStart w:id="37" w:name="_Toc30072"/>
      <w:r>
        <w:rPr>
          <w:rFonts w:hint="eastAsia" w:ascii="黑体" w:hAnsi="黑体" w:cs="黑体"/>
          <w:snapToGrid w:val="0"/>
          <w:kern w:val="0"/>
          <w:sz w:val="30"/>
          <w:szCs w:val="30"/>
          <w:highlight w:val="none"/>
        </w:rPr>
        <w:t>（十）估价结果</w:t>
      </w:r>
      <w:bookmarkEnd w:id="36"/>
      <w:bookmarkEnd w:id="37"/>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估价人员本着独立、客观、公正、合法的原则，根据估价目的，根据国家有关房地产估价的规范、规定，按照估价程序，经过现场查勘与市场调查，选用</w:t>
      </w:r>
      <w:r>
        <w:rPr>
          <w:rFonts w:hint="eastAsia" w:ascii="仿宋" w:hAnsi="仿宋" w:eastAsia="仿宋" w:cs="仿宋"/>
          <w:snapToGrid w:val="0"/>
          <w:sz w:val="28"/>
          <w:szCs w:val="28"/>
          <w:highlight w:val="none"/>
          <w:lang w:eastAsia="zh-CN"/>
        </w:rPr>
        <w:t>比较法</w:t>
      </w:r>
      <w:r>
        <w:rPr>
          <w:rFonts w:hint="eastAsia" w:ascii="仿宋" w:hAnsi="仿宋" w:eastAsia="仿宋" w:cs="仿宋"/>
          <w:snapToGrid w:val="0"/>
          <w:sz w:val="28"/>
          <w:szCs w:val="28"/>
          <w:highlight w:val="none"/>
        </w:rPr>
        <w:t>对估价对象进行了评定估算，确定估价对象未扣除预估的相关处置费用于</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时点</w:t>
      </w:r>
      <w:r>
        <w:rPr>
          <w:rFonts w:hint="eastAsia" w:ascii="仿宋" w:hAnsi="仿宋" w:eastAsia="仿宋" w:cs="仿宋"/>
          <w:snapToGrid w:val="0"/>
          <w:sz w:val="28"/>
          <w:szCs w:val="28"/>
          <w:highlight w:val="none"/>
          <w:lang w:eastAsia="zh-CN"/>
        </w:rPr>
        <w:t>二○二二年四月十三日</w:t>
      </w:r>
      <w:r>
        <w:rPr>
          <w:rFonts w:hint="eastAsia" w:ascii="仿宋" w:hAnsi="仿宋" w:eastAsia="仿宋" w:cs="仿宋"/>
          <w:snapToGrid w:val="0"/>
          <w:sz w:val="28"/>
          <w:szCs w:val="28"/>
          <w:highlight w:val="none"/>
        </w:rPr>
        <w:t>的</w:t>
      </w:r>
      <w:r>
        <w:rPr>
          <w:rFonts w:hint="eastAsia" w:ascii="仿宋" w:hAnsi="仿宋" w:eastAsia="仿宋" w:cs="仿宋"/>
          <w:snapToGrid w:val="0"/>
          <w:sz w:val="28"/>
          <w:szCs w:val="28"/>
          <w:highlight w:val="none"/>
          <w:lang w:val="en-US" w:eastAsia="zh-CN"/>
        </w:rPr>
        <w:t>评估单价为</w:t>
      </w:r>
      <w:r>
        <w:rPr>
          <w:rFonts w:hint="eastAsia" w:ascii="仿宋" w:hAnsi="仿宋" w:eastAsia="仿宋" w:cs="仿宋"/>
          <w:b/>
          <w:bCs/>
          <w:snapToGrid w:val="0"/>
          <w:sz w:val="28"/>
          <w:szCs w:val="28"/>
          <w:highlight w:val="none"/>
          <w:lang w:val="en-US" w:eastAsia="zh-CN"/>
        </w:rPr>
        <w:t>3,110元</w:t>
      </w:r>
      <w:r>
        <w:rPr>
          <w:rFonts w:hint="eastAsia" w:ascii="仿宋" w:hAnsi="仿宋" w:eastAsia="仿宋" w:cs="仿宋"/>
          <w:snapToGrid w:val="0"/>
          <w:sz w:val="28"/>
          <w:szCs w:val="28"/>
          <w:highlight w:val="none"/>
          <w:lang w:val="en-US" w:eastAsia="zh-CN"/>
        </w:rPr>
        <w:t>，评估总价</w:t>
      </w:r>
      <w:r>
        <w:rPr>
          <w:rFonts w:hint="eastAsia" w:ascii="仿宋" w:hAnsi="仿宋" w:eastAsia="仿宋" w:cs="仿宋"/>
          <w:snapToGrid w:val="0"/>
          <w:sz w:val="28"/>
          <w:szCs w:val="28"/>
          <w:highlight w:val="none"/>
        </w:rPr>
        <w:t>为人民币</w:t>
      </w:r>
      <w:r>
        <w:rPr>
          <w:rFonts w:hint="eastAsia" w:ascii="仿宋" w:hAnsi="仿宋" w:eastAsia="仿宋" w:cs="仿宋"/>
          <w:b/>
          <w:bCs/>
          <w:snapToGrid w:val="0"/>
          <w:sz w:val="28"/>
          <w:szCs w:val="28"/>
          <w:highlight w:val="none"/>
          <w:lang w:val="en-US" w:eastAsia="zh-CN"/>
        </w:rPr>
        <w:t>33.37万元</w:t>
      </w:r>
      <w:r>
        <w:rPr>
          <w:rFonts w:hint="eastAsia" w:ascii="仿宋" w:hAnsi="仿宋" w:eastAsia="仿宋" w:cs="仿宋"/>
          <w:snapToGrid w:val="0"/>
          <w:sz w:val="28"/>
          <w:szCs w:val="28"/>
          <w:highlight w:val="none"/>
        </w:rPr>
        <w:t>，大写人民币</w:t>
      </w:r>
      <w:r>
        <w:rPr>
          <w:rFonts w:hint="eastAsia" w:ascii="仿宋" w:hAnsi="仿宋" w:eastAsia="仿宋" w:cs="仿宋"/>
          <w:b/>
          <w:bCs/>
          <w:snapToGrid w:val="0"/>
          <w:sz w:val="28"/>
          <w:szCs w:val="28"/>
          <w:highlight w:val="none"/>
          <w:lang w:eastAsia="zh-CN"/>
        </w:rPr>
        <w:t>叁拾叁万叁仟柒佰圆整；</w:t>
      </w:r>
      <w:r>
        <w:rPr>
          <w:rFonts w:hint="eastAsia" w:ascii="仿宋" w:hAnsi="仿宋" w:eastAsia="仿宋" w:cs="仿宋"/>
          <w:snapToGrid w:val="0"/>
          <w:sz w:val="28"/>
          <w:szCs w:val="28"/>
          <w:highlight w:val="none"/>
        </w:rPr>
        <w:t>估价</w:t>
      </w:r>
      <w:r>
        <w:rPr>
          <w:rFonts w:hint="eastAsia" w:ascii="仿宋" w:hAnsi="仿宋" w:eastAsia="仿宋" w:cs="仿宋"/>
          <w:snapToGrid w:val="0"/>
          <w:sz w:val="28"/>
          <w:szCs w:val="28"/>
          <w:highlight w:val="none"/>
          <w:lang w:eastAsia="zh-CN"/>
        </w:rPr>
        <w:t>对象扣除预估的相关处置费用</w:t>
      </w:r>
      <w:r>
        <w:rPr>
          <w:rFonts w:hint="eastAsia" w:ascii="仿宋" w:hAnsi="仿宋" w:eastAsia="仿宋" w:cs="仿宋"/>
          <w:snapToGrid w:val="0"/>
          <w:sz w:val="28"/>
          <w:szCs w:val="28"/>
          <w:highlight w:val="none"/>
        </w:rPr>
        <w:t>于</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时点</w:t>
      </w:r>
      <w:r>
        <w:rPr>
          <w:rFonts w:hint="eastAsia" w:ascii="仿宋" w:hAnsi="仿宋" w:eastAsia="仿宋" w:cs="仿宋"/>
          <w:snapToGrid w:val="0"/>
          <w:sz w:val="28"/>
          <w:szCs w:val="28"/>
          <w:highlight w:val="none"/>
          <w:lang w:eastAsia="zh-CN"/>
        </w:rPr>
        <w:t>二○二二年四月十三日</w:t>
      </w:r>
      <w:r>
        <w:rPr>
          <w:rFonts w:hint="eastAsia" w:ascii="仿宋" w:hAnsi="仿宋" w:eastAsia="仿宋" w:cs="仿宋"/>
          <w:snapToGrid w:val="0"/>
          <w:sz w:val="28"/>
          <w:szCs w:val="28"/>
          <w:highlight w:val="none"/>
        </w:rPr>
        <w:t>的</w:t>
      </w:r>
      <w:r>
        <w:rPr>
          <w:rFonts w:hint="eastAsia" w:ascii="仿宋" w:hAnsi="仿宋" w:eastAsia="仿宋" w:cs="仿宋"/>
          <w:snapToGrid w:val="0"/>
          <w:sz w:val="28"/>
          <w:szCs w:val="28"/>
          <w:highlight w:val="none"/>
          <w:lang w:val="en-US" w:eastAsia="zh-CN"/>
        </w:rPr>
        <w:t>评估单价为</w:t>
      </w:r>
      <w:r>
        <w:rPr>
          <w:rFonts w:hint="eastAsia" w:ascii="仿宋" w:hAnsi="仿宋" w:eastAsia="仿宋" w:cs="仿宋"/>
          <w:b/>
          <w:bCs/>
          <w:snapToGrid w:val="0"/>
          <w:sz w:val="28"/>
          <w:szCs w:val="28"/>
          <w:highlight w:val="none"/>
          <w:lang w:val="en-US" w:eastAsia="zh-CN"/>
        </w:rPr>
        <w:t>2,594元</w:t>
      </w:r>
      <w:r>
        <w:rPr>
          <w:rFonts w:hint="eastAsia" w:ascii="仿宋" w:hAnsi="仿宋" w:eastAsia="仿宋" w:cs="仿宋"/>
          <w:snapToGrid w:val="0"/>
          <w:sz w:val="28"/>
          <w:szCs w:val="28"/>
          <w:highlight w:val="none"/>
          <w:lang w:val="en-US" w:eastAsia="zh-CN"/>
        </w:rPr>
        <w:t>，评估总价</w:t>
      </w:r>
      <w:r>
        <w:rPr>
          <w:rFonts w:hint="eastAsia" w:ascii="仿宋" w:hAnsi="仿宋" w:eastAsia="仿宋" w:cs="仿宋"/>
          <w:snapToGrid w:val="0"/>
          <w:sz w:val="28"/>
          <w:szCs w:val="28"/>
          <w:highlight w:val="none"/>
        </w:rPr>
        <w:t>为人民币</w:t>
      </w:r>
      <w:r>
        <w:rPr>
          <w:rFonts w:hint="eastAsia" w:ascii="仿宋" w:hAnsi="仿宋" w:eastAsia="仿宋" w:cs="仿宋"/>
          <w:b/>
          <w:bCs/>
          <w:snapToGrid w:val="0"/>
          <w:sz w:val="28"/>
          <w:szCs w:val="28"/>
          <w:highlight w:val="none"/>
          <w:lang w:val="en-US" w:eastAsia="zh-CN"/>
        </w:rPr>
        <w:t>27.83万元</w:t>
      </w:r>
      <w:r>
        <w:rPr>
          <w:rFonts w:hint="eastAsia" w:ascii="仿宋" w:hAnsi="仿宋" w:eastAsia="仿宋" w:cs="仿宋"/>
          <w:snapToGrid w:val="0"/>
          <w:sz w:val="28"/>
          <w:szCs w:val="28"/>
          <w:highlight w:val="none"/>
        </w:rPr>
        <w:t>，大写人民币</w:t>
      </w:r>
      <w:r>
        <w:rPr>
          <w:rFonts w:hint="eastAsia" w:ascii="仿宋" w:hAnsi="仿宋" w:eastAsia="仿宋" w:cs="仿宋"/>
          <w:b/>
          <w:bCs/>
          <w:snapToGrid w:val="0"/>
          <w:sz w:val="28"/>
          <w:szCs w:val="28"/>
          <w:highlight w:val="none"/>
          <w:lang w:eastAsia="zh-CN"/>
        </w:rPr>
        <w:t>贰拾柒万捌仟叁佰圆整</w:t>
      </w:r>
      <w:r>
        <w:rPr>
          <w:rFonts w:hint="eastAsia" w:ascii="仿宋" w:hAnsi="仿宋" w:eastAsia="仿宋" w:cs="仿宋"/>
          <w:snapToGrid w:val="0"/>
          <w:sz w:val="28"/>
          <w:szCs w:val="28"/>
          <w:highlight w:val="none"/>
        </w:rPr>
        <w:t>。估价结果详见《估价结果明细表》。</w:t>
      </w:r>
    </w:p>
    <w:p>
      <w:pPr>
        <w:widowControl/>
        <w:jc w:val="center"/>
        <w:rPr>
          <w:rFonts w:hint="eastAsia" w:ascii="仿宋" w:hAnsi="仿宋" w:eastAsia="仿宋" w:cs="宋体"/>
          <w:b/>
          <w:bCs/>
          <w:kern w:val="0"/>
          <w:sz w:val="36"/>
          <w:szCs w:val="36"/>
          <w:highlight w:val="none"/>
        </w:rPr>
      </w:pPr>
      <w:r>
        <w:rPr>
          <w:rFonts w:hint="eastAsia" w:ascii="仿宋" w:hAnsi="仿宋" w:eastAsia="仿宋" w:cs="宋体"/>
          <w:b/>
          <w:bCs/>
          <w:kern w:val="0"/>
          <w:sz w:val="36"/>
          <w:szCs w:val="36"/>
          <w:highlight w:val="none"/>
        </w:rPr>
        <w:t>估价结果明细表</w:t>
      </w:r>
    </w:p>
    <w:p>
      <w:pPr>
        <w:widowControl/>
        <w:jc w:val="center"/>
        <w:rPr>
          <w:rFonts w:hint="eastAsia" w:ascii="仿宋" w:hAnsi="仿宋" w:eastAsia="仿宋" w:cs="仿宋"/>
          <w:snapToGrid w:val="0"/>
          <w:spacing w:val="-2"/>
          <w:kern w:val="0"/>
          <w:sz w:val="21"/>
          <w:szCs w:val="21"/>
          <w:highlight w:val="none"/>
          <w:lang w:eastAsia="zh-CN"/>
        </w:rPr>
      </w:pPr>
      <w:r>
        <w:rPr>
          <w:rFonts w:hint="eastAsia" w:ascii="仿宋" w:hAnsi="仿宋" w:eastAsia="仿宋" w:cs="仿宋"/>
          <w:snapToGrid w:val="0"/>
          <w:spacing w:val="-2"/>
          <w:kern w:val="0"/>
          <w:sz w:val="21"/>
          <w:szCs w:val="21"/>
          <w:highlight w:val="none"/>
          <w:lang w:eastAsia="zh-CN"/>
        </w:rPr>
        <w:t>价格</w:t>
      </w:r>
      <w:r>
        <w:rPr>
          <w:rFonts w:hint="eastAsia" w:ascii="仿宋" w:hAnsi="仿宋" w:eastAsia="仿宋" w:cs="仿宋"/>
          <w:snapToGrid w:val="0"/>
          <w:spacing w:val="-2"/>
          <w:kern w:val="0"/>
          <w:sz w:val="21"/>
          <w:szCs w:val="21"/>
          <w:highlight w:val="none"/>
        </w:rPr>
        <w:t>时点：</w:t>
      </w:r>
      <w:r>
        <w:rPr>
          <w:rFonts w:hint="eastAsia" w:ascii="仿宋" w:hAnsi="仿宋" w:eastAsia="仿宋" w:cs="仿宋"/>
          <w:snapToGrid w:val="0"/>
          <w:spacing w:val="-2"/>
          <w:kern w:val="0"/>
          <w:sz w:val="21"/>
          <w:szCs w:val="21"/>
          <w:highlight w:val="none"/>
          <w:lang w:eastAsia="zh-CN"/>
        </w:rPr>
        <w:t>2022年4月13日</w:t>
      </w:r>
    </w:p>
    <w:tbl>
      <w:tblPr>
        <w:tblStyle w:val="46"/>
        <w:tblW w:w="9997" w:type="dxa"/>
        <w:jc w:val="center"/>
        <w:shd w:val="clear" w:color="auto" w:fill="auto"/>
        <w:tblLayout w:type="fixed"/>
        <w:tblCellMar>
          <w:top w:w="0" w:type="dxa"/>
          <w:left w:w="108" w:type="dxa"/>
          <w:bottom w:w="0" w:type="dxa"/>
          <w:right w:w="108" w:type="dxa"/>
        </w:tblCellMar>
      </w:tblPr>
      <w:tblGrid>
        <w:gridCol w:w="792"/>
        <w:gridCol w:w="1090"/>
        <w:gridCol w:w="1200"/>
        <w:gridCol w:w="423"/>
        <w:gridCol w:w="791"/>
        <w:gridCol w:w="641"/>
        <w:gridCol w:w="791"/>
        <w:gridCol w:w="818"/>
        <w:gridCol w:w="1146"/>
        <w:gridCol w:w="1159"/>
        <w:gridCol w:w="1146"/>
      </w:tblGrid>
      <w:tr>
        <w:tblPrEx>
          <w:shd w:val="clear" w:color="auto" w:fill="auto"/>
          <w:tblCellMar>
            <w:top w:w="0" w:type="dxa"/>
            <w:left w:w="108" w:type="dxa"/>
            <w:bottom w:w="0" w:type="dxa"/>
            <w:right w:w="108" w:type="dxa"/>
          </w:tblCellMar>
        </w:tblPrEx>
        <w:trPr>
          <w:trHeight w:val="397" w:hRule="atLeast"/>
          <w:jc w:val="center"/>
        </w:trPr>
        <w:tc>
          <w:tcPr>
            <w:tcW w:w="9997"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18"/>
                <w:szCs w:val="18"/>
                <w:highlight w:val="none"/>
                <w:lang w:val="en-US" w:eastAsia="zh-CN" w:bidi="ar-SA"/>
              </w:rPr>
            </w:pPr>
            <w:r>
              <w:rPr>
                <w:rFonts w:hint="eastAsia" w:ascii="仿宋" w:hAnsi="仿宋" w:eastAsia="仿宋" w:cs="仿宋"/>
                <w:b/>
                <w:bCs w:val="0"/>
                <w:snapToGrid w:val="0"/>
                <w:color w:val="000000"/>
                <w:kern w:val="0"/>
                <w:sz w:val="18"/>
                <w:szCs w:val="18"/>
                <w:highlight w:val="none"/>
                <w:lang w:val="en-US" w:eastAsia="zh-CN" w:bidi="ar-SA"/>
              </w:rPr>
              <w:t>估价对象</w:t>
            </w:r>
          </w:p>
        </w:tc>
      </w:tr>
      <w:tr>
        <w:tblPrEx>
          <w:shd w:val="clear" w:color="auto" w:fill="auto"/>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权利人</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不动产权证书/证明号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房屋坐落</w:t>
            </w: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用途</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所在层数/总层数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装修情况</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建筑面积(㎡)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评估单价（元/㎡）</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未扣除处置费用评估总价（万元）</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扣除处置费用评估单价（元/㎡）</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扣除处置费用评估总价（万元）</w:t>
            </w:r>
          </w:p>
        </w:tc>
      </w:tr>
      <w:tr>
        <w:tblPrEx>
          <w:shd w:val="clear" w:color="auto" w:fill="auto"/>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龙芳/杨勇</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黔（2020）三穗县不动产权第0003083号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八弓镇中坝村（凯宏·城市花园三期）2幢1-9-2</w:t>
            </w: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住宅</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9层/15层</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毛坯</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107.29</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3,110</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 xml:space="preserve">33.37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2,594</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 xml:space="preserve">27.83 </w:t>
            </w:r>
          </w:p>
        </w:tc>
      </w:tr>
    </w:tbl>
    <w:p>
      <w:pPr>
        <w:pStyle w:val="2"/>
        <w:keepNext/>
        <w:keepLines/>
        <w:pageBreakBefore w:val="0"/>
        <w:widowControl w:val="0"/>
        <w:kinsoku/>
        <w:wordWrap/>
        <w:overflowPunct/>
        <w:topLinePunct w:val="0"/>
        <w:autoSpaceDE/>
        <w:autoSpaceDN/>
        <w:bidi w:val="0"/>
        <w:adjustRightInd w:val="0"/>
        <w:snapToGrid w:val="0"/>
        <w:spacing w:before="239" w:beforeLines="50" w:after="239" w:afterLines="50" w:line="500" w:lineRule="exact"/>
        <w:textAlignment w:val="auto"/>
        <w:rPr>
          <w:rFonts w:hint="eastAsia" w:ascii="黑体" w:hAnsi="黑体" w:cs="黑体"/>
          <w:snapToGrid w:val="0"/>
          <w:kern w:val="0"/>
          <w:sz w:val="30"/>
          <w:szCs w:val="30"/>
          <w:highlight w:val="none"/>
        </w:rPr>
      </w:pPr>
      <w:bookmarkStart w:id="38" w:name="_Toc30910"/>
      <w:r>
        <w:rPr>
          <w:rFonts w:hint="eastAsia" w:ascii="黑体" w:hAnsi="黑体" w:cs="黑体"/>
          <w:snapToGrid w:val="0"/>
          <w:kern w:val="0"/>
          <w:sz w:val="30"/>
          <w:szCs w:val="30"/>
          <w:highlight w:val="none"/>
        </w:rPr>
        <w:t>（十一）估价人员</w:t>
      </w:r>
      <w:bookmarkEnd w:id="38"/>
      <w:bookmarkStart w:id="39" w:name="_Toc383703922"/>
    </w:p>
    <w:tbl>
      <w:tblPr>
        <w:tblStyle w:val="4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1"/>
        <w:gridCol w:w="2165"/>
        <w:gridCol w:w="1826"/>
        <w:gridCol w:w="4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84"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姓名</w:t>
            </w:r>
          </w:p>
        </w:tc>
        <w:tc>
          <w:tcPr>
            <w:tcW w:w="1087"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注册号</w:t>
            </w:r>
          </w:p>
        </w:tc>
        <w:tc>
          <w:tcPr>
            <w:tcW w:w="917"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签名</w:t>
            </w:r>
          </w:p>
        </w:tc>
        <w:tc>
          <w:tcPr>
            <w:tcW w:w="2110"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84"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r>
              <w:rPr>
                <w:rFonts w:hint="eastAsia" w:ascii="仿宋" w:hAnsi="仿宋" w:eastAsia="仿宋" w:cs="仿宋"/>
                <w:b/>
                <w:snapToGrid w:val="0"/>
                <w:color w:val="000000"/>
                <w:kern w:val="0"/>
                <w:sz w:val="28"/>
                <w:szCs w:val="28"/>
                <w:highlight w:val="none"/>
                <w:lang w:eastAsia="zh-CN"/>
              </w:rPr>
              <w:t>王晨阳</w:t>
            </w:r>
          </w:p>
        </w:tc>
        <w:tc>
          <w:tcPr>
            <w:tcW w:w="1087"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r>
              <w:rPr>
                <w:rFonts w:hint="eastAsia" w:ascii="仿宋" w:hAnsi="仿宋" w:eastAsia="仿宋" w:cs="仿宋"/>
                <w:b/>
                <w:snapToGrid w:val="0"/>
                <w:color w:val="000000"/>
                <w:kern w:val="0"/>
                <w:sz w:val="28"/>
                <w:szCs w:val="28"/>
                <w:highlight w:val="none"/>
                <w:lang w:eastAsia="zh-CN"/>
              </w:rPr>
              <w:t>4419960028</w:t>
            </w:r>
          </w:p>
        </w:tc>
        <w:tc>
          <w:tcPr>
            <w:tcW w:w="917"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p>
        </w:tc>
        <w:tc>
          <w:tcPr>
            <w:tcW w:w="2110"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2022年4月19日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84"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仿宋" w:hAnsi="仿宋" w:eastAsia="仿宋" w:cs="仿宋"/>
                <w:color w:val="000000"/>
                <w:sz w:val="28"/>
                <w:szCs w:val="28"/>
                <w:highlight w:val="none"/>
                <w:vertAlign w:val="baseline"/>
              </w:rPr>
            </w:pPr>
            <w:r>
              <w:rPr>
                <w:rFonts w:hint="default" w:ascii="仿宋" w:hAnsi="仿宋" w:eastAsia="仿宋" w:cs="仿宋"/>
                <w:b/>
                <w:snapToGrid w:val="0"/>
                <w:color w:val="000000"/>
                <w:kern w:val="0"/>
                <w:sz w:val="28"/>
                <w:szCs w:val="28"/>
                <w:highlight w:val="none"/>
                <w:lang w:eastAsia="zh-CN"/>
              </w:rPr>
              <w:t>陈阳</w:t>
            </w:r>
          </w:p>
        </w:tc>
        <w:tc>
          <w:tcPr>
            <w:tcW w:w="1087"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r>
              <w:rPr>
                <w:rFonts w:hint="eastAsia" w:ascii="仿宋" w:hAnsi="仿宋" w:eastAsia="仿宋" w:cs="仿宋"/>
                <w:b/>
                <w:snapToGrid w:val="0"/>
                <w:color w:val="000000"/>
                <w:kern w:val="0"/>
                <w:sz w:val="28"/>
                <w:szCs w:val="28"/>
                <w:highlight w:val="none"/>
                <w:lang w:eastAsia="zh-CN"/>
              </w:rPr>
              <w:t>5220190024</w:t>
            </w:r>
          </w:p>
        </w:tc>
        <w:tc>
          <w:tcPr>
            <w:tcW w:w="917"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p>
        </w:tc>
        <w:tc>
          <w:tcPr>
            <w:tcW w:w="2110"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r>
              <w:rPr>
                <w:rFonts w:hint="eastAsia" w:ascii="仿宋" w:hAnsi="仿宋" w:eastAsia="仿宋" w:cs="仿宋"/>
                <w:color w:val="000000"/>
                <w:sz w:val="28"/>
                <w:szCs w:val="28"/>
                <w:highlight w:val="none"/>
                <w:vertAlign w:val="baseline"/>
                <w:lang w:val="en-US" w:eastAsia="zh-CN"/>
              </w:rPr>
              <w:t>2022年4月19日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84"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仿宋" w:hAnsi="仿宋" w:eastAsia="仿宋" w:cs="仿宋"/>
                <w:b/>
                <w:snapToGrid w:val="0"/>
                <w:color w:val="000000"/>
                <w:kern w:val="0"/>
                <w:sz w:val="28"/>
                <w:szCs w:val="28"/>
                <w:highlight w:val="none"/>
                <w:lang w:val="en-US" w:eastAsia="zh-CN"/>
              </w:rPr>
            </w:pPr>
            <w:r>
              <w:rPr>
                <w:rFonts w:hint="eastAsia" w:ascii="仿宋" w:hAnsi="仿宋" w:eastAsia="仿宋" w:cs="仿宋"/>
                <w:b/>
                <w:snapToGrid w:val="0"/>
                <w:color w:val="000000"/>
                <w:kern w:val="0"/>
                <w:sz w:val="28"/>
                <w:szCs w:val="28"/>
                <w:highlight w:val="none"/>
                <w:shd w:val="clear"/>
                <w:lang w:val="en-US" w:eastAsia="zh-CN"/>
              </w:rPr>
              <w:t>吴堂科</w:t>
            </w:r>
          </w:p>
        </w:tc>
        <w:tc>
          <w:tcPr>
            <w:tcW w:w="1087"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b/>
                <w:snapToGrid w:val="0"/>
                <w:color w:val="000000"/>
                <w:kern w:val="0"/>
                <w:sz w:val="28"/>
                <w:szCs w:val="28"/>
                <w:highlight w:val="none"/>
                <w:lang w:eastAsia="zh-CN"/>
              </w:rPr>
            </w:pPr>
          </w:p>
        </w:tc>
        <w:tc>
          <w:tcPr>
            <w:tcW w:w="917"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p>
        </w:tc>
        <w:tc>
          <w:tcPr>
            <w:tcW w:w="2110"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2022年4月19日</w:t>
            </w:r>
          </w:p>
        </w:tc>
      </w:tr>
    </w:tbl>
    <w:p>
      <w:pPr>
        <w:pStyle w:val="2"/>
        <w:spacing w:before="0" w:after="0" w:line="500" w:lineRule="exact"/>
        <w:rPr>
          <w:rFonts w:ascii="黑体" w:hAnsi="黑体" w:cs="黑体"/>
          <w:snapToGrid w:val="0"/>
          <w:kern w:val="0"/>
          <w:sz w:val="30"/>
          <w:szCs w:val="30"/>
          <w:highlight w:val="none"/>
        </w:rPr>
      </w:pPr>
      <w:bookmarkStart w:id="40" w:name="_Toc27996"/>
      <w:r>
        <w:rPr>
          <w:rFonts w:hint="eastAsia" w:ascii="黑体" w:hAnsi="黑体" w:cs="黑体"/>
          <w:snapToGrid w:val="0"/>
          <w:kern w:val="0"/>
          <w:sz w:val="30"/>
          <w:szCs w:val="30"/>
          <w:highlight w:val="none"/>
        </w:rPr>
        <w:t>（十</w:t>
      </w:r>
      <w:r>
        <w:rPr>
          <w:rFonts w:hint="eastAsia" w:ascii="黑体" w:hAnsi="黑体" w:cs="黑体"/>
          <w:snapToGrid w:val="0"/>
          <w:kern w:val="0"/>
          <w:sz w:val="30"/>
          <w:szCs w:val="30"/>
          <w:highlight w:val="none"/>
          <w:lang w:val="en-US" w:eastAsia="zh-CN"/>
        </w:rPr>
        <w:t>二</w:t>
      </w:r>
      <w:r>
        <w:rPr>
          <w:rFonts w:hint="eastAsia" w:ascii="黑体" w:hAnsi="黑体" w:cs="黑体"/>
          <w:snapToGrid w:val="0"/>
          <w:kern w:val="0"/>
          <w:sz w:val="30"/>
          <w:szCs w:val="30"/>
          <w:highlight w:val="none"/>
        </w:rPr>
        <w:t>）实地查勘期</w:t>
      </w:r>
      <w:bookmarkEnd w:id="40"/>
    </w:p>
    <w:p>
      <w:pPr>
        <w:spacing w:line="510" w:lineRule="exact"/>
        <w:ind w:firstLine="674" w:firstLineChars="200"/>
        <w:rPr>
          <w:rFonts w:hint="eastAsia" w:eastAsia="仿宋"/>
          <w:sz w:val="28"/>
          <w:szCs w:val="28"/>
          <w:highlight w:val="none"/>
          <w:lang w:val="en-US" w:eastAsia="zh-CN"/>
        </w:rPr>
      </w:pPr>
      <w:r>
        <w:rPr>
          <w:rFonts w:hint="eastAsia" w:ascii="仿宋" w:hAnsi="仿宋" w:eastAsia="仿宋" w:cs="仿宋"/>
          <w:snapToGrid w:val="0"/>
          <w:kern w:val="0"/>
          <w:sz w:val="28"/>
          <w:szCs w:val="28"/>
          <w:highlight w:val="none"/>
        </w:rPr>
        <w:t>二</w:t>
      </w:r>
      <w:r>
        <w:rPr>
          <w:rFonts w:hint="eastAsia" w:ascii="仿宋" w:hAnsi="仿宋" w:eastAsia="仿宋" w:cs="仿宋"/>
          <w:snapToGrid w:val="0"/>
          <w:kern w:val="0"/>
          <w:sz w:val="28"/>
          <w:szCs w:val="28"/>
          <w:highlight w:val="none"/>
          <w:lang w:eastAsia="zh-CN"/>
        </w:rPr>
        <w:t>〇</w:t>
      </w:r>
      <w:r>
        <w:rPr>
          <w:rFonts w:hint="eastAsia" w:ascii="仿宋" w:hAnsi="仿宋" w:eastAsia="仿宋" w:cs="仿宋"/>
          <w:snapToGrid w:val="0"/>
          <w:kern w:val="0"/>
          <w:sz w:val="28"/>
          <w:szCs w:val="28"/>
          <w:highlight w:val="none"/>
        </w:rPr>
        <w:t>二</w:t>
      </w:r>
      <w:r>
        <w:rPr>
          <w:rFonts w:hint="eastAsia" w:ascii="仿宋" w:hAnsi="仿宋" w:eastAsia="仿宋" w:cs="仿宋"/>
          <w:snapToGrid w:val="0"/>
          <w:kern w:val="0"/>
          <w:sz w:val="28"/>
          <w:szCs w:val="28"/>
          <w:highlight w:val="none"/>
          <w:lang w:eastAsia="zh-CN"/>
        </w:rPr>
        <w:t>二年四月十三日。</w:t>
      </w:r>
    </w:p>
    <w:p>
      <w:pPr>
        <w:pStyle w:val="2"/>
        <w:spacing w:before="0" w:after="0" w:line="500" w:lineRule="exact"/>
        <w:rPr>
          <w:rFonts w:ascii="黑体" w:hAnsi="黑体" w:cs="黑体"/>
          <w:snapToGrid w:val="0"/>
          <w:kern w:val="0"/>
          <w:sz w:val="30"/>
          <w:szCs w:val="30"/>
          <w:highlight w:val="none"/>
        </w:rPr>
      </w:pPr>
      <w:bookmarkStart w:id="41" w:name="_Toc28257"/>
      <w:r>
        <w:rPr>
          <w:rFonts w:hint="eastAsia" w:ascii="黑体" w:hAnsi="黑体" w:cs="黑体"/>
          <w:snapToGrid w:val="0"/>
          <w:kern w:val="0"/>
          <w:sz w:val="30"/>
          <w:szCs w:val="30"/>
          <w:highlight w:val="none"/>
        </w:rPr>
        <w:t>（十</w:t>
      </w:r>
      <w:r>
        <w:rPr>
          <w:rFonts w:hint="eastAsia" w:ascii="黑体" w:hAnsi="黑体" w:cs="黑体"/>
          <w:snapToGrid w:val="0"/>
          <w:kern w:val="0"/>
          <w:sz w:val="30"/>
          <w:szCs w:val="30"/>
          <w:highlight w:val="none"/>
          <w:lang w:val="en-US" w:eastAsia="zh-CN"/>
        </w:rPr>
        <w:t>三</w:t>
      </w:r>
      <w:r>
        <w:rPr>
          <w:rFonts w:hint="eastAsia" w:ascii="黑体" w:hAnsi="黑体" w:cs="黑体"/>
          <w:snapToGrid w:val="0"/>
          <w:kern w:val="0"/>
          <w:sz w:val="30"/>
          <w:szCs w:val="30"/>
          <w:highlight w:val="none"/>
        </w:rPr>
        <w:t>）估价作业日期</w:t>
      </w:r>
      <w:bookmarkEnd w:id="39"/>
      <w:bookmarkEnd w:id="41"/>
    </w:p>
    <w:p>
      <w:pPr>
        <w:keepNext w:val="0"/>
        <w:keepLines w:val="0"/>
        <w:pageBreakBefore w:val="0"/>
        <w:widowControl w:val="0"/>
        <w:kinsoku/>
        <w:wordWrap/>
        <w:overflowPunct/>
        <w:topLinePunct w:val="0"/>
        <w:autoSpaceDE/>
        <w:autoSpaceDN/>
        <w:bidi w:val="0"/>
        <w:adjustRightInd w:val="0"/>
        <w:snapToGrid w:val="0"/>
        <w:spacing w:line="510" w:lineRule="exact"/>
        <w:ind w:firstLine="674"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二〇二二年四月二日至二〇二二年四月十九日。</w:t>
      </w:r>
    </w:p>
    <w:p>
      <w:pPr>
        <w:pStyle w:val="2"/>
        <w:spacing w:before="0" w:after="0" w:line="500" w:lineRule="exact"/>
        <w:rPr>
          <w:rFonts w:ascii="黑体" w:hAnsi="黑体" w:cs="黑体"/>
          <w:snapToGrid w:val="0"/>
          <w:kern w:val="0"/>
          <w:sz w:val="30"/>
          <w:szCs w:val="30"/>
          <w:highlight w:val="none"/>
        </w:rPr>
      </w:pPr>
      <w:bookmarkStart w:id="42" w:name="_Toc41"/>
      <w:bookmarkStart w:id="43" w:name="_Toc383703923"/>
      <w:r>
        <w:rPr>
          <w:rFonts w:hint="eastAsia" w:ascii="黑体" w:hAnsi="黑体" w:cs="黑体"/>
          <w:snapToGrid w:val="0"/>
          <w:kern w:val="0"/>
          <w:sz w:val="30"/>
          <w:szCs w:val="30"/>
          <w:highlight w:val="none"/>
        </w:rPr>
        <w:t>（十</w:t>
      </w:r>
      <w:r>
        <w:rPr>
          <w:rFonts w:hint="eastAsia" w:ascii="黑体" w:hAnsi="黑体" w:cs="黑体"/>
          <w:snapToGrid w:val="0"/>
          <w:kern w:val="0"/>
          <w:sz w:val="30"/>
          <w:szCs w:val="30"/>
          <w:highlight w:val="none"/>
          <w:lang w:val="en-US" w:eastAsia="zh-CN"/>
        </w:rPr>
        <w:t>四</w:t>
      </w:r>
      <w:r>
        <w:rPr>
          <w:rFonts w:hint="eastAsia" w:ascii="黑体" w:hAnsi="黑体" w:cs="黑体"/>
          <w:snapToGrid w:val="0"/>
          <w:kern w:val="0"/>
          <w:sz w:val="30"/>
          <w:szCs w:val="30"/>
          <w:highlight w:val="none"/>
        </w:rPr>
        <w:t>）估价报告应用的有效期</w:t>
      </w:r>
      <w:bookmarkEnd w:id="42"/>
      <w:bookmarkEnd w:id="43"/>
    </w:p>
    <w:p>
      <w:pPr>
        <w:spacing w:line="510" w:lineRule="exact"/>
        <w:ind w:firstLine="674" w:firstLineChars="200"/>
        <w:rPr>
          <w:rFonts w:ascii="黑体" w:eastAsia="仿宋"/>
          <w:snapToGrid w:val="0"/>
          <w:kern w:val="0"/>
          <w:sz w:val="28"/>
          <w:szCs w:val="28"/>
          <w:highlight w:val="none"/>
        </w:rPr>
      </w:pPr>
      <w:r>
        <w:rPr>
          <w:rFonts w:hint="eastAsia" w:ascii="仿宋" w:hAnsi="仿宋" w:eastAsia="仿宋" w:cs="仿宋"/>
          <w:snapToGrid w:val="0"/>
          <w:kern w:val="0"/>
          <w:sz w:val="28"/>
          <w:szCs w:val="28"/>
          <w:highlight w:val="none"/>
        </w:rPr>
        <w:t>本报告应用有效期为</w:t>
      </w:r>
      <w:r>
        <w:rPr>
          <w:rFonts w:hint="eastAsia" w:ascii="仿宋" w:hAnsi="仿宋" w:eastAsia="仿宋"/>
          <w:snapToGrid w:val="0"/>
          <w:sz w:val="28"/>
          <w:szCs w:val="28"/>
          <w:highlight w:val="none"/>
        </w:rPr>
        <w:t>自报告出具时点</w:t>
      </w:r>
      <w:r>
        <w:rPr>
          <w:rFonts w:hint="eastAsia" w:ascii="仿宋" w:hAnsi="仿宋" w:eastAsia="仿宋" w:cs="仿宋"/>
          <w:snapToGrid w:val="0"/>
          <w:kern w:val="0"/>
          <w:sz w:val="28"/>
          <w:szCs w:val="28"/>
          <w:highlight w:val="none"/>
        </w:rPr>
        <w:t>起一年[自</w:t>
      </w:r>
      <w:r>
        <w:rPr>
          <w:rFonts w:hint="eastAsia" w:ascii="仿宋" w:hAnsi="仿宋" w:eastAsia="仿宋" w:cs="仿宋"/>
          <w:snapToGrid w:val="0"/>
          <w:kern w:val="0"/>
          <w:sz w:val="28"/>
          <w:szCs w:val="28"/>
          <w:highlight w:val="none"/>
          <w:lang w:eastAsia="zh-CN"/>
        </w:rPr>
        <w:t>2022年4月19日</w:t>
      </w:r>
      <w:r>
        <w:rPr>
          <w:rFonts w:hint="eastAsia" w:ascii="仿宋" w:hAnsi="仿宋" w:eastAsia="仿宋" w:cs="仿宋"/>
          <w:snapToGrid w:val="0"/>
          <w:kern w:val="0"/>
          <w:sz w:val="28"/>
          <w:szCs w:val="28"/>
          <w:highlight w:val="none"/>
          <w:lang w:val="en-US" w:eastAsia="zh-CN"/>
        </w:rPr>
        <w:t>-</w:t>
      </w:r>
      <w:r>
        <w:rPr>
          <w:rFonts w:hint="eastAsia" w:ascii="仿宋" w:hAnsi="仿宋" w:eastAsia="仿宋" w:cs="仿宋"/>
          <w:snapToGrid w:val="0"/>
          <w:kern w:val="0"/>
          <w:sz w:val="28"/>
          <w:szCs w:val="28"/>
          <w:highlight w:val="none"/>
        </w:rPr>
        <w:t>202</w:t>
      </w:r>
      <w:r>
        <w:rPr>
          <w:rFonts w:hint="eastAsia" w:ascii="仿宋" w:hAnsi="仿宋" w:eastAsia="仿宋" w:cs="仿宋"/>
          <w:snapToGrid w:val="0"/>
          <w:kern w:val="0"/>
          <w:sz w:val="28"/>
          <w:szCs w:val="28"/>
          <w:highlight w:val="none"/>
          <w:lang w:val="en-US" w:eastAsia="zh-CN"/>
        </w:rPr>
        <w:t>3</w:t>
      </w:r>
      <w:r>
        <w:rPr>
          <w:rFonts w:hint="eastAsia" w:ascii="仿宋" w:hAnsi="仿宋" w:eastAsia="仿宋" w:cs="仿宋"/>
          <w:snapToGrid w:val="0"/>
          <w:kern w:val="0"/>
          <w:sz w:val="28"/>
          <w:szCs w:val="28"/>
          <w:highlight w:val="none"/>
        </w:rPr>
        <w:t>年</w:t>
      </w:r>
      <w:r>
        <w:rPr>
          <w:rFonts w:hint="eastAsia" w:ascii="仿宋" w:hAnsi="仿宋" w:eastAsia="仿宋" w:cs="仿宋"/>
          <w:snapToGrid w:val="0"/>
          <w:kern w:val="0"/>
          <w:sz w:val="28"/>
          <w:szCs w:val="28"/>
          <w:highlight w:val="none"/>
          <w:lang w:val="en-US" w:eastAsia="zh-CN"/>
        </w:rPr>
        <w:t>4月18日</w:t>
      </w:r>
      <w:r>
        <w:rPr>
          <w:rFonts w:hint="eastAsia" w:ascii="仿宋" w:hAnsi="仿宋" w:eastAsia="仿宋" w:cs="仿宋"/>
          <w:snapToGrid w:val="0"/>
          <w:kern w:val="0"/>
          <w:sz w:val="28"/>
          <w:szCs w:val="28"/>
          <w:highlight w:val="none"/>
        </w:rPr>
        <w:t>止]，若市场有较大波动或超过一年，需重新进行</w:t>
      </w:r>
      <w:bookmarkStart w:id="44" w:name="_Toc17960863"/>
      <w:r>
        <w:rPr>
          <w:rFonts w:hint="eastAsia" w:ascii="仿宋" w:hAnsi="仿宋" w:eastAsia="仿宋" w:cs="仿宋"/>
          <w:snapToGrid w:val="0"/>
          <w:kern w:val="0"/>
          <w:sz w:val="28"/>
          <w:szCs w:val="28"/>
          <w:highlight w:val="none"/>
        </w:rPr>
        <w:t>估价。</w:t>
      </w:r>
    </w:p>
    <w:p>
      <w:pPr>
        <w:rPr>
          <w:highlight w:val="none"/>
        </w:rPr>
      </w:pPr>
      <w:r>
        <w:rPr>
          <w:rFonts w:ascii="黑体" w:eastAsia="黑体"/>
          <w:snapToGrid w:val="0"/>
          <w:kern w:val="0"/>
          <w:sz w:val="30"/>
          <w:szCs w:val="30"/>
          <w:highlight w:val="none"/>
        </w:rPr>
        <w:br w:type="page"/>
      </w:r>
    </w:p>
    <w:p>
      <w:pPr>
        <w:pStyle w:val="3"/>
        <w:keepLines/>
        <w:rPr>
          <w:rFonts w:ascii="黑体" w:hAnsi="黑体" w:eastAsia="黑体" w:cs="黑体"/>
          <w:bCs/>
          <w:snapToGrid w:val="0"/>
          <w:kern w:val="0"/>
          <w:sz w:val="44"/>
          <w:szCs w:val="44"/>
          <w:highlight w:val="none"/>
        </w:rPr>
      </w:pPr>
      <w:bookmarkStart w:id="45" w:name="_Toc14331"/>
      <w:r>
        <w:rPr>
          <w:rFonts w:hint="eastAsia" w:ascii="黑体" w:hAnsi="黑体" w:eastAsia="黑体" w:cs="黑体"/>
          <w:bCs/>
          <w:snapToGrid w:val="0"/>
          <w:kern w:val="0"/>
          <w:sz w:val="44"/>
          <w:szCs w:val="44"/>
          <w:highlight w:val="none"/>
        </w:rPr>
        <w:t>附　　件</w:t>
      </w:r>
      <w:bookmarkEnd w:id="45"/>
    </w:p>
    <w:p>
      <w:pPr>
        <w:pStyle w:val="2"/>
        <w:keepNext/>
        <w:keepLines w:val="0"/>
        <w:pageBreakBefore w:val="0"/>
        <w:widowControl w:val="0"/>
        <w:tabs>
          <w:tab w:val="left" w:pos="665"/>
        </w:tabs>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ascii="仿宋" w:hAnsi="仿宋" w:eastAsia="仿宋" w:cs="仿宋"/>
          <w:b w:val="0"/>
          <w:bCs/>
          <w:snapToGrid w:val="0"/>
          <w:kern w:val="0"/>
          <w:sz w:val="28"/>
          <w:lang w:val="en-US" w:eastAsia="zh-CN"/>
        </w:rPr>
      </w:pPr>
      <w:bookmarkStart w:id="46" w:name="_Toc32022"/>
      <w:bookmarkStart w:id="47" w:name="_Toc1524"/>
      <w:r>
        <w:rPr>
          <w:rFonts w:hint="eastAsia" w:ascii="仿宋" w:hAnsi="仿宋" w:eastAsia="仿宋" w:cs="仿宋"/>
          <w:b w:val="0"/>
          <w:bCs/>
          <w:snapToGrid w:val="0"/>
          <w:kern w:val="0"/>
          <w:sz w:val="28"/>
          <w:lang w:val="en-US" w:eastAsia="zh-CN"/>
        </w:rPr>
        <w:t>（一）</w:t>
      </w:r>
      <w:bookmarkEnd w:id="46"/>
      <w:r>
        <w:rPr>
          <w:rFonts w:hint="eastAsia" w:ascii="仿宋" w:hAnsi="仿宋" w:eastAsia="仿宋" w:cs="仿宋"/>
          <w:b w:val="0"/>
          <w:bCs/>
          <w:snapToGrid w:val="0"/>
          <w:kern w:val="0"/>
          <w:sz w:val="28"/>
          <w:lang w:val="en-US" w:eastAsia="zh-CN"/>
        </w:rPr>
        <w:t>（2022）黔2624法评9号《司法鉴定委托书》复印件</w:t>
      </w:r>
      <w:bookmarkEnd w:id="47"/>
    </w:p>
    <w:p>
      <w:pPr>
        <w:pStyle w:val="2"/>
        <w:keepNext/>
        <w:keepLines w:val="0"/>
        <w:pageBreakBefore w:val="0"/>
        <w:widowControl w:val="0"/>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ascii="仿宋" w:hAnsi="仿宋" w:eastAsia="仿宋" w:cs="仿宋"/>
          <w:b w:val="0"/>
          <w:bCs/>
          <w:snapToGrid w:val="0"/>
          <w:kern w:val="0"/>
          <w:sz w:val="28"/>
          <w:lang w:val="en-US" w:eastAsia="zh-CN"/>
        </w:rPr>
      </w:pPr>
      <w:bookmarkStart w:id="48" w:name="_Toc7443"/>
      <w:bookmarkStart w:id="49" w:name="_Toc17641"/>
      <w:r>
        <w:rPr>
          <w:rFonts w:hint="eastAsia" w:ascii="仿宋" w:hAnsi="仿宋" w:eastAsia="仿宋" w:cs="仿宋"/>
          <w:b w:val="0"/>
          <w:bCs/>
          <w:snapToGrid w:val="0"/>
          <w:kern w:val="0"/>
          <w:sz w:val="28"/>
          <w:lang w:val="en-US" w:eastAsia="zh-CN"/>
        </w:rPr>
        <w:t>（二）估价对象位置图</w:t>
      </w:r>
      <w:bookmarkEnd w:id="48"/>
      <w:bookmarkEnd w:id="49"/>
    </w:p>
    <w:p>
      <w:pPr>
        <w:pStyle w:val="2"/>
        <w:keepNext/>
        <w:keepLines w:val="0"/>
        <w:pageBreakBefore w:val="0"/>
        <w:widowControl w:val="0"/>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ascii="仿宋" w:hAnsi="仿宋" w:eastAsia="仿宋" w:cs="仿宋"/>
          <w:b w:val="0"/>
          <w:bCs/>
          <w:snapToGrid w:val="0"/>
          <w:kern w:val="0"/>
          <w:sz w:val="28"/>
          <w:lang w:val="en-US" w:eastAsia="zh-CN"/>
        </w:rPr>
      </w:pPr>
      <w:bookmarkStart w:id="50" w:name="_Toc15794"/>
      <w:bookmarkStart w:id="51" w:name="_Toc12767"/>
      <w:r>
        <w:rPr>
          <w:rFonts w:hint="eastAsia" w:ascii="仿宋" w:hAnsi="仿宋" w:eastAsia="仿宋" w:cs="仿宋"/>
          <w:b w:val="0"/>
          <w:bCs/>
          <w:snapToGrid w:val="0"/>
          <w:kern w:val="0"/>
          <w:sz w:val="28"/>
          <w:lang w:val="en-US" w:eastAsia="zh-CN"/>
        </w:rPr>
        <w:t>（三）估价对象照片</w:t>
      </w:r>
      <w:bookmarkEnd w:id="50"/>
      <w:bookmarkEnd w:id="51"/>
    </w:p>
    <w:p>
      <w:pPr>
        <w:pStyle w:val="2"/>
        <w:keepNext/>
        <w:keepLines w:val="0"/>
        <w:pageBreakBefore w:val="0"/>
        <w:widowControl w:val="0"/>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ascii="仿宋" w:hAnsi="仿宋" w:eastAsia="仿宋" w:cs="仿宋"/>
          <w:b w:val="0"/>
          <w:bCs/>
          <w:snapToGrid w:val="0"/>
          <w:kern w:val="0"/>
          <w:sz w:val="28"/>
          <w:lang w:val="en-US" w:eastAsia="zh-CN"/>
        </w:rPr>
      </w:pPr>
      <w:bookmarkStart w:id="52" w:name="_Toc16428"/>
      <w:bookmarkStart w:id="53" w:name="_Toc30909"/>
      <w:r>
        <w:rPr>
          <w:rFonts w:hint="eastAsia" w:ascii="仿宋" w:hAnsi="仿宋" w:eastAsia="仿宋" w:cs="仿宋"/>
          <w:b w:val="0"/>
          <w:bCs/>
          <w:snapToGrid w:val="0"/>
          <w:kern w:val="0"/>
          <w:sz w:val="28"/>
          <w:lang w:val="en-US" w:eastAsia="zh-CN"/>
        </w:rPr>
        <w:t>（四）可比案例位置图及照片</w:t>
      </w:r>
      <w:bookmarkEnd w:id="52"/>
    </w:p>
    <w:p>
      <w:pPr>
        <w:pStyle w:val="2"/>
        <w:keepNext/>
        <w:keepLines w:val="0"/>
        <w:pageBreakBefore w:val="0"/>
        <w:widowControl w:val="0"/>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ascii="仿宋" w:hAnsi="仿宋" w:eastAsia="仿宋" w:cs="仿宋"/>
          <w:b w:val="0"/>
          <w:bCs/>
          <w:snapToGrid w:val="0"/>
          <w:kern w:val="0"/>
          <w:sz w:val="28"/>
          <w:lang w:val="en-US" w:eastAsia="zh-CN"/>
        </w:rPr>
      </w:pPr>
      <w:bookmarkStart w:id="54" w:name="_Toc23970"/>
      <w:r>
        <w:rPr>
          <w:rFonts w:hint="eastAsia" w:ascii="仿宋" w:hAnsi="仿宋" w:eastAsia="仿宋" w:cs="仿宋"/>
          <w:b w:val="0"/>
          <w:bCs/>
          <w:snapToGrid w:val="0"/>
          <w:kern w:val="0"/>
          <w:sz w:val="28"/>
          <w:lang w:val="en-US" w:eastAsia="zh-CN"/>
        </w:rPr>
        <w:t>（五）</w:t>
      </w:r>
      <w:bookmarkEnd w:id="53"/>
      <w:bookmarkStart w:id="55" w:name="_Toc21717"/>
      <w:r>
        <w:rPr>
          <w:rFonts w:hint="eastAsia" w:ascii="仿宋" w:hAnsi="仿宋" w:eastAsia="仿宋" w:cs="仿宋"/>
          <w:b w:val="0"/>
          <w:bCs/>
          <w:snapToGrid w:val="0"/>
          <w:kern w:val="0"/>
          <w:sz w:val="28"/>
          <w:lang w:val="en-US" w:eastAsia="zh-CN"/>
        </w:rPr>
        <w:t>《贵州省不动产登记查询结果》复印件</w:t>
      </w:r>
      <w:bookmarkEnd w:id="54"/>
    </w:p>
    <w:p>
      <w:pPr>
        <w:pStyle w:val="2"/>
        <w:keepNext/>
        <w:keepLines w:val="0"/>
        <w:pageBreakBefore w:val="0"/>
        <w:widowControl w:val="0"/>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ascii="仿宋" w:hAnsi="仿宋" w:eastAsia="仿宋" w:cs="仿宋"/>
          <w:b w:val="0"/>
          <w:bCs/>
          <w:snapToGrid w:val="0"/>
          <w:kern w:val="0"/>
          <w:sz w:val="28"/>
          <w:lang w:val="en-US" w:eastAsia="zh-CN"/>
        </w:rPr>
      </w:pPr>
      <w:bookmarkStart w:id="56" w:name="_Toc5213"/>
      <w:r>
        <w:rPr>
          <w:rFonts w:hint="eastAsia" w:ascii="仿宋" w:hAnsi="仿宋" w:eastAsia="仿宋" w:cs="仿宋"/>
          <w:b w:val="0"/>
          <w:bCs/>
          <w:snapToGrid w:val="0"/>
          <w:kern w:val="0"/>
          <w:sz w:val="28"/>
          <w:lang w:val="en-US" w:eastAsia="zh-CN"/>
        </w:rPr>
        <w:t>（六）《房地产估价机构营业执照》复印件</w:t>
      </w:r>
      <w:bookmarkEnd w:id="55"/>
      <w:bookmarkEnd w:id="56"/>
    </w:p>
    <w:p>
      <w:pPr>
        <w:pStyle w:val="2"/>
        <w:keepNext/>
        <w:keepLines w:val="0"/>
        <w:pageBreakBefore w:val="0"/>
        <w:widowControl w:val="0"/>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ascii="仿宋" w:hAnsi="仿宋" w:eastAsia="仿宋" w:cs="仿宋"/>
          <w:b w:val="0"/>
          <w:bCs/>
          <w:snapToGrid w:val="0"/>
          <w:kern w:val="0"/>
          <w:sz w:val="28"/>
          <w:lang w:val="en-US" w:eastAsia="zh-CN"/>
        </w:rPr>
      </w:pPr>
      <w:bookmarkStart w:id="57" w:name="_Toc11543"/>
      <w:bookmarkStart w:id="58" w:name="_Toc19019"/>
      <w:r>
        <w:rPr>
          <w:rFonts w:hint="eastAsia" w:ascii="仿宋" w:hAnsi="仿宋" w:eastAsia="仿宋" w:cs="仿宋"/>
          <w:b w:val="0"/>
          <w:bCs/>
          <w:snapToGrid w:val="0"/>
          <w:kern w:val="0"/>
          <w:sz w:val="28"/>
          <w:lang w:val="en-US" w:eastAsia="zh-CN"/>
        </w:rPr>
        <w:t>（七）《房地产估价机构资质证书》复印件</w:t>
      </w:r>
      <w:bookmarkEnd w:id="57"/>
      <w:bookmarkEnd w:id="58"/>
    </w:p>
    <w:p>
      <w:pPr>
        <w:pStyle w:val="2"/>
        <w:keepNext/>
        <w:keepLines w:val="0"/>
        <w:pageBreakBefore w:val="0"/>
        <w:widowControl w:val="0"/>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lang w:val="en-US" w:eastAsia="zh-CN"/>
        </w:rPr>
      </w:pPr>
      <w:bookmarkStart w:id="59" w:name="_Toc17364"/>
      <w:bookmarkStart w:id="60" w:name="_Toc25122"/>
      <w:r>
        <w:rPr>
          <w:rFonts w:hint="eastAsia" w:ascii="仿宋" w:hAnsi="仿宋" w:eastAsia="仿宋" w:cs="仿宋"/>
          <w:b w:val="0"/>
          <w:bCs/>
          <w:snapToGrid w:val="0"/>
          <w:kern w:val="0"/>
          <w:sz w:val="28"/>
          <w:lang w:val="en-US" w:eastAsia="zh-CN"/>
        </w:rPr>
        <w:t>（八）《房地产估价师注册证书》复印件</w:t>
      </w:r>
      <w:bookmarkEnd w:id="59"/>
      <w:bookmarkEnd w:id="60"/>
    </w:p>
    <w:p>
      <w:pPr>
        <w:spacing w:before="0" w:after="0" w:line="360" w:lineRule="auto"/>
        <w:outlineLvl w:val="1"/>
        <w:rPr>
          <w:rFonts w:ascii="仿宋" w:hAnsi="仿宋" w:eastAsia="仿宋" w:cs="仿宋"/>
          <w:b w:val="0"/>
          <w:bCs w:val="0"/>
          <w:snapToGrid w:val="0"/>
          <w:kern w:val="0"/>
          <w:sz w:val="28"/>
          <w:szCs w:val="28"/>
          <w:highlight w:val="none"/>
        </w:rPr>
      </w:pPr>
    </w:p>
    <w:p>
      <w:pPr>
        <w:spacing w:line="360" w:lineRule="auto"/>
        <w:outlineLvl w:val="9"/>
        <w:rPr>
          <w:rFonts w:ascii="黑体" w:eastAsia="黑体"/>
          <w:snapToGrid w:val="0"/>
          <w:kern w:val="0"/>
          <w:sz w:val="44"/>
          <w:szCs w:val="44"/>
          <w:highlight w:val="none"/>
        </w:rPr>
      </w:pPr>
    </w:p>
    <w:p>
      <w:pPr>
        <w:spacing w:line="360" w:lineRule="auto"/>
        <w:outlineLvl w:val="9"/>
        <w:rPr>
          <w:rFonts w:ascii="黑体" w:eastAsia="黑体"/>
          <w:snapToGrid w:val="0"/>
          <w:kern w:val="0"/>
          <w:sz w:val="44"/>
          <w:szCs w:val="44"/>
          <w:highlight w:val="none"/>
        </w:rPr>
      </w:pPr>
    </w:p>
    <w:p>
      <w:pPr>
        <w:spacing w:line="360" w:lineRule="auto"/>
        <w:outlineLvl w:val="9"/>
        <w:rPr>
          <w:rFonts w:ascii="黑体" w:eastAsia="黑体"/>
          <w:snapToGrid w:val="0"/>
          <w:kern w:val="0"/>
          <w:sz w:val="44"/>
          <w:szCs w:val="44"/>
          <w:highlight w:val="none"/>
        </w:rPr>
      </w:pPr>
    </w:p>
    <w:p>
      <w:pPr>
        <w:spacing w:line="360" w:lineRule="auto"/>
        <w:outlineLvl w:val="9"/>
        <w:rPr>
          <w:rFonts w:ascii="黑体" w:eastAsia="黑体"/>
          <w:snapToGrid w:val="0"/>
          <w:kern w:val="0"/>
          <w:sz w:val="44"/>
          <w:szCs w:val="44"/>
          <w:highlight w:val="none"/>
        </w:rPr>
      </w:pPr>
    </w:p>
    <w:p>
      <w:pPr>
        <w:spacing w:line="360" w:lineRule="auto"/>
        <w:outlineLvl w:val="9"/>
        <w:rPr>
          <w:rFonts w:ascii="黑体" w:eastAsia="黑体"/>
          <w:snapToGrid w:val="0"/>
          <w:kern w:val="0"/>
          <w:sz w:val="44"/>
          <w:szCs w:val="44"/>
          <w:highlight w:val="none"/>
        </w:rPr>
      </w:pPr>
    </w:p>
    <w:p>
      <w:pPr>
        <w:outlineLvl w:val="9"/>
        <w:rPr>
          <w:rFonts w:ascii="黑体" w:eastAsia="黑体"/>
          <w:snapToGrid w:val="0"/>
          <w:kern w:val="0"/>
          <w:sz w:val="44"/>
          <w:szCs w:val="44"/>
          <w:highlight w:val="none"/>
        </w:rPr>
      </w:pPr>
    </w:p>
    <w:p>
      <w:pPr>
        <w:jc w:val="center"/>
        <w:outlineLvl w:val="9"/>
        <w:rPr>
          <w:rFonts w:ascii="黑体" w:hAnsi="黑体" w:eastAsia="黑体" w:cs="黑体"/>
          <w:b/>
          <w:bCs/>
          <w:sz w:val="44"/>
          <w:szCs w:val="44"/>
          <w:highlight w:val="none"/>
        </w:rPr>
      </w:pPr>
      <w:bookmarkStart w:id="61" w:name="_Toc21608388"/>
      <w:bookmarkStart w:id="62" w:name="_Toc21594264"/>
      <w:bookmarkStart w:id="63" w:name="_Toc21608305"/>
      <w:bookmarkStart w:id="64" w:name="_Toc8245"/>
      <w:r>
        <w:rPr>
          <w:rFonts w:hint="eastAsia" w:ascii="黑体" w:hAnsi="黑体" w:eastAsia="黑体" w:cs="黑体"/>
          <w:b/>
          <w:bCs/>
          <w:sz w:val="44"/>
          <w:szCs w:val="44"/>
          <w:highlight w:val="none"/>
        </w:rPr>
        <w:br w:type="page"/>
      </w:r>
      <w:r>
        <w:rPr>
          <w:rFonts w:hint="eastAsia" w:ascii="黑体" w:hAnsi="黑体" w:eastAsia="黑体" w:cs="黑体"/>
          <w:b/>
          <w:bCs/>
          <w:sz w:val="44"/>
          <w:szCs w:val="44"/>
          <w:highlight w:val="none"/>
        </w:rPr>
        <w:t>估价技术报告</w:t>
      </w:r>
      <w:bookmarkEnd w:id="44"/>
      <w:bookmarkEnd w:id="61"/>
      <w:bookmarkEnd w:id="62"/>
      <w:bookmarkEnd w:id="63"/>
      <w:bookmarkEnd w:id="64"/>
    </w:p>
    <w:p>
      <w:pPr>
        <w:rPr>
          <w:rFonts w:hint="eastAsia" w:ascii="黑体" w:hAnsi="黑体" w:eastAsia="黑体" w:cs="黑体"/>
          <w:b/>
          <w:bCs/>
          <w:sz w:val="30"/>
          <w:szCs w:val="30"/>
          <w:highlight w:val="none"/>
        </w:rPr>
      </w:pPr>
      <w:bookmarkStart w:id="65" w:name="_Toc262224741"/>
      <w:bookmarkStart w:id="66" w:name="_Toc262454102"/>
      <w:bookmarkStart w:id="67" w:name="_Toc21608389"/>
      <w:bookmarkStart w:id="68" w:name="_Toc273364708"/>
      <w:bookmarkStart w:id="69" w:name="_Toc21608306"/>
      <w:bookmarkStart w:id="70" w:name="_Toc339438802"/>
      <w:bookmarkStart w:id="71" w:name="_Toc2797"/>
      <w:bookmarkStart w:id="72" w:name="_Toc17960864"/>
      <w:bookmarkStart w:id="73" w:name="_Toc21594265"/>
      <w:bookmarkStart w:id="74" w:name="_Toc15742"/>
      <w:r>
        <w:rPr>
          <w:rFonts w:hint="eastAsia" w:ascii="黑体" w:hAnsi="黑体" w:eastAsia="黑体" w:cs="黑体"/>
          <w:b/>
          <w:bCs/>
          <w:sz w:val="30"/>
          <w:szCs w:val="30"/>
          <w:highlight w:val="none"/>
        </w:rPr>
        <w:t>（一）个别因素分析</w:t>
      </w:r>
      <w:bookmarkEnd w:id="65"/>
      <w:bookmarkEnd w:id="66"/>
      <w:bookmarkEnd w:id="67"/>
      <w:bookmarkEnd w:id="68"/>
      <w:bookmarkEnd w:id="69"/>
      <w:bookmarkEnd w:id="70"/>
      <w:bookmarkEnd w:id="71"/>
      <w:bookmarkEnd w:id="72"/>
      <w:bookmarkEnd w:id="73"/>
      <w:bookmarkEnd w:id="74"/>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bookmarkStart w:id="75" w:name="_Toc21594268"/>
      <w:bookmarkStart w:id="76" w:name="_Toc383703931"/>
      <w:bookmarkStart w:id="77" w:name="_Toc12831"/>
      <w:bookmarkStart w:id="78" w:name="_Toc383763175"/>
      <w:bookmarkStart w:id="79" w:name="_Toc383696062"/>
      <w:bookmarkStart w:id="80" w:name="_Toc21608392"/>
      <w:bookmarkStart w:id="81" w:name="_Toc19836"/>
      <w:bookmarkStart w:id="82" w:name="_Toc21608309"/>
      <w:bookmarkStart w:id="83" w:name="_Toc17960868"/>
      <w:r>
        <w:rPr>
          <w:rFonts w:hint="eastAsia" w:ascii="仿宋" w:hAnsi="仿宋" w:eastAsia="仿宋" w:cs="仿宋"/>
          <w:snapToGrid w:val="0"/>
          <w:kern w:val="0"/>
          <w:sz w:val="28"/>
          <w:szCs w:val="28"/>
          <w:highlight w:val="none"/>
          <w:lang w:val="en-US" w:eastAsia="zh-CN"/>
        </w:rPr>
        <w:t>1、估价对象区位状况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w:t>
      </w:r>
      <w:r>
        <w:rPr>
          <w:rFonts w:hint="eastAsia" w:ascii="仿宋" w:hAnsi="仿宋" w:eastAsia="仿宋" w:cs="仿宋"/>
          <w:snapToGrid w:val="0"/>
          <w:kern w:val="0"/>
          <w:sz w:val="28"/>
          <w:szCs w:val="28"/>
          <w:highlight w:val="none"/>
          <w:lang w:val="en-US" w:eastAsia="zh-CN"/>
        </w:rPr>
        <w:t>1</w:t>
      </w:r>
      <w:r>
        <w:rPr>
          <w:rFonts w:hint="eastAsia" w:ascii="仿宋" w:hAnsi="仿宋" w:eastAsia="仿宋" w:cs="仿宋"/>
          <w:snapToGrid w:val="0"/>
          <w:kern w:val="0"/>
          <w:sz w:val="28"/>
          <w:szCs w:val="28"/>
          <w:highlight w:val="none"/>
          <w:lang w:eastAsia="zh-CN"/>
        </w:rPr>
        <w:t>）估价对象位置状况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估价对象位于贵州省三穗县八弓镇中坝村（凯宏·城市花园三期）2幢1-9-2，</w:t>
      </w:r>
      <w:r>
        <w:rPr>
          <w:rFonts w:hint="eastAsia" w:ascii="仿宋" w:hAnsi="仿宋" w:eastAsia="仿宋" w:cs="仿宋"/>
          <w:snapToGrid w:val="0"/>
          <w:kern w:val="0"/>
          <w:sz w:val="28"/>
          <w:szCs w:val="28"/>
          <w:highlight w:val="none"/>
          <w:lang w:val="en-US" w:eastAsia="zh-CN"/>
        </w:rPr>
        <w:t>估价对象</w:t>
      </w:r>
      <w:r>
        <w:rPr>
          <w:rFonts w:hint="eastAsia" w:ascii="仿宋" w:hAnsi="仿宋" w:eastAsia="仿宋" w:cs="仿宋"/>
          <w:snapToGrid w:val="0"/>
          <w:kern w:val="0"/>
          <w:sz w:val="28"/>
          <w:szCs w:val="28"/>
          <w:highlight w:val="none"/>
          <w:lang w:eastAsia="zh-CN"/>
        </w:rPr>
        <w:t>地理位置、交通便捷度、繁华程度</w:t>
      </w:r>
      <w:r>
        <w:rPr>
          <w:rFonts w:hint="eastAsia" w:ascii="仿宋" w:hAnsi="仿宋" w:eastAsia="仿宋" w:cs="仿宋"/>
          <w:snapToGrid w:val="0"/>
          <w:kern w:val="0"/>
          <w:sz w:val="28"/>
          <w:szCs w:val="28"/>
          <w:highlight w:val="none"/>
          <w:lang w:val="en-US" w:eastAsia="zh-CN"/>
        </w:rPr>
        <w:t>均一般，</w:t>
      </w:r>
      <w:r>
        <w:rPr>
          <w:rFonts w:hint="eastAsia" w:ascii="仿宋" w:hAnsi="仿宋" w:eastAsia="仿宋" w:cs="仿宋"/>
          <w:snapToGrid w:val="0"/>
          <w:kern w:val="0"/>
          <w:sz w:val="28"/>
          <w:szCs w:val="28"/>
          <w:highlight w:val="none"/>
          <w:lang w:eastAsia="zh-CN"/>
        </w:rPr>
        <w:t>周边配套</w:t>
      </w:r>
      <w:r>
        <w:rPr>
          <w:rFonts w:hint="eastAsia" w:ascii="仿宋" w:hAnsi="仿宋" w:eastAsia="仿宋" w:cs="仿宋"/>
          <w:snapToGrid w:val="0"/>
          <w:kern w:val="0"/>
          <w:sz w:val="28"/>
          <w:szCs w:val="28"/>
          <w:highlight w:val="none"/>
          <w:lang w:val="en-US" w:eastAsia="zh-CN"/>
        </w:rPr>
        <w:t>较完善</w:t>
      </w:r>
      <w:r>
        <w:rPr>
          <w:rFonts w:hint="eastAsia" w:ascii="仿宋" w:hAnsi="仿宋" w:eastAsia="仿宋" w:cs="仿宋"/>
          <w:snapToGrid w:val="0"/>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w:t>
      </w:r>
      <w:r>
        <w:rPr>
          <w:rFonts w:hint="eastAsia" w:ascii="仿宋" w:hAnsi="仿宋" w:eastAsia="仿宋" w:cs="仿宋"/>
          <w:snapToGrid w:val="0"/>
          <w:kern w:val="0"/>
          <w:sz w:val="28"/>
          <w:szCs w:val="28"/>
          <w:highlight w:val="none"/>
          <w:lang w:val="en-US" w:eastAsia="zh-CN"/>
        </w:rPr>
        <w:t>2</w:t>
      </w:r>
      <w:r>
        <w:rPr>
          <w:rFonts w:hint="eastAsia" w:ascii="仿宋" w:hAnsi="仿宋" w:eastAsia="仿宋" w:cs="仿宋"/>
          <w:snapToGrid w:val="0"/>
          <w:kern w:val="0"/>
          <w:sz w:val="28"/>
          <w:szCs w:val="28"/>
          <w:highlight w:val="none"/>
          <w:lang w:eastAsia="zh-CN"/>
        </w:rPr>
        <w:t>）估价对象交通状况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估价对象位于贵州省三穗县八弓镇中坝村（凯宏·城市花园三期）2幢1-9-2，附近有三穗3路、三穗2路</w:t>
      </w:r>
      <w:r>
        <w:rPr>
          <w:rFonts w:hint="eastAsia" w:ascii="仿宋" w:hAnsi="仿宋" w:eastAsia="仿宋" w:cs="仿宋"/>
          <w:snapToGrid w:val="0"/>
          <w:color w:val="auto"/>
          <w:kern w:val="0"/>
          <w:sz w:val="28"/>
          <w:szCs w:val="28"/>
          <w:highlight w:val="none"/>
          <w:lang w:val="en-US" w:eastAsia="zh-CN"/>
        </w:rPr>
        <w:t>公交车</w:t>
      </w:r>
      <w:r>
        <w:rPr>
          <w:rFonts w:hint="eastAsia" w:ascii="仿宋" w:hAnsi="仿宋" w:eastAsia="仿宋" w:cs="仿宋"/>
          <w:snapToGrid w:val="0"/>
          <w:kern w:val="0"/>
          <w:sz w:val="28"/>
          <w:szCs w:val="28"/>
          <w:highlight w:val="none"/>
          <w:lang w:eastAsia="zh-CN"/>
        </w:rPr>
        <w:t>，交通</w:t>
      </w:r>
      <w:r>
        <w:rPr>
          <w:rFonts w:hint="eastAsia" w:ascii="仿宋" w:hAnsi="仿宋" w:eastAsia="仿宋" w:cs="仿宋"/>
          <w:snapToGrid w:val="0"/>
          <w:kern w:val="0"/>
          <w:sz w:val="28"/>
          <w:szCs w:val="28"/>
          <w:highlight w:val="none"/>
          <w:lang w:val="en-US" w:eastAsia="zh-CN"/>
        </w:rPr>
        <w:t>条件</w:t>
      </w:r>
      <w:r>
        <w:rPr>
          <w:rFonts w:hint="eastAsia" w:ascii="仿宋" w:hAnsi="仿宋" w:eastAsia="仿宋" w:cs="仿宋"/>
          <w:snapToGrid w:val="0"/>
          <w:kern w:val="0"/>
          <w:sz w:val="28"/>
          <w:szCs w:val="28"/>
          <w:highlight w:val="none"/>
          <w:lang w:eastAsia="zh-CN"/>
        </w:rPr>
        <w:t>一般。</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w:t>
      </w:r>
      <w:r>
        <w:rPr>
          <w:rFonts w:hint="eastAsia" w:ascii="仿宋" w:hAnsi="仿宋" w:eastAsia="仿宋" w:cs="仿宋"/>
          <w:snapToGrid w:val="0"/>
          <w:kern w:val="0"/>
          <w:sz w:val="28"/>
          <w:szCs w:val="28"/>
          <w:highlight w:val="none"/>
          <w:lang w:val="en-US" w:eastAsia="zh-CN"/>
        </w:rPr>
        <w:t>3</w:t>
      </w:r>
      <w:r>
        <w:rPr>
          <w:rFonts w:hint="eastAsia" w:ascii="仿宋" w:hAnsi="仿宋" w:eastAsia="仿宋" w:cs="仿宋"/>
          <w:snapToGrid w:val="0"/>
          <w:kern w:val="0"/>
          <w:sz w:val="28"/>
          <w:szCs w:val="28"/>
          <w:highlight w:val="none"/>
          <w:lang w:eastAsia="zh-CN"/>
        </w:rPr>
        <w:t>）公共配套设施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①基础设施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估价对象基础设施已达到“</w:t>
      </w:r>
      <w:r>
        <w:rPr>
          <w:rFonts w:hint="eastAsia" w:ascii="仿宋" w:hAnsi="仿宋" w:eastAsia="仿宋" w:cs="仿宋"/>
          <w:snapToGrid w:val="0"/>
          <w:kern w:val="0"/>
          <w:sz w:val="28"/>
          <w:szCs w:val="28"/>
          <w:highlight w:val="none"/>
          <w:lang w:val="en-US" w:eastAsia="zh-CN"/>
        </w:rPr>
        <w:t>六</w:t>
      </w:r>
      <w:r>
        <w:rPr>
          <w:rFonts w:hint="eastAsia" w:ascii="仿宋" w:hAnsi="仿宋" w:eastAsia="仿宋" w:cs="仿宋"/>
          <w:snapToGrid w:val="0"/>
          <w:kern w:val="0"/>
          <w:sz w:val="28"/>
          <w:szCs w:val="28"/>
          <w:highlight w:val="none"/>
          <w:lang w:eastAsia="zh-CN"/>
        </w:rPr>
        <w:t>通”（即通电、通路、通讯、</w:t>
      </w:r>
      <w:r>
        <w:rPr>
          <w:rFonts w:hint="eastAsia" w:ascii="仿宋" w:hAnsi="仿宋" w:eastAsia="仿宋" w:cs="仿宋"/>
          <w:snapToGrid w:val="0"/>
          <w:kern w:val="0"/>
          <w:sz w:val="28"/>
          <w:szCs w:val="28"/>
          <w:highlight w:val="none"/>
          <w:lang w:val="en-US" w:eastAsia="zh-CN"/>
        </w:rPr>
        <w:t>通燃气</w:t>
      </w:r>
      <w:r>
        <w:rPr>
          <w:rFonts w:hint="eastAsia" w:ascii="仿宋" w:hAnsi="仿宋" w:eastAsia="仿宋" w:cs="仿宋"/>
          <w:snapToGrid w:val="0"/>
          <w:kern w:val="0"/>
          <w:sz w:val="28"/>
          <w:szCs w:val="28"/>
          <w:highlight w:val="none"/>
          <w:lang w:eastAsia="zh-CN"/>
        </w:rPr>
        <w:t>、通上水、通下水），且保证率较高，基础设施完善。</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②公共服务设施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估价对象位于贵州省三穗县八弓镇中坝村（凯宏</w:t>
      </w:r>
      <w:r>
        <w:rPr>
          <w:rFonts w:hint="eastAsia" w:ascii="仿宋" w:hAnsi="仿宋" w:eastAsia="仿宋" w:cs="仿宋"/>
          <w:snapToGrid w:val="0"/>
          <w:kern w:val="0"/>
          <w:sz w:val="28"/>
          <w:szCs w:val="28"/>
          <w:highlight w:val="none"/>
          <w:lang w:val="en-US" w:eastAsia="zh-CN"/>
        </w:rPr>
        <w:t>·</w:t>
      </w:r>
      <w:r>
        <w:rPr>
          <w:rFonts w:hint="eastAsia" w:ascii="仿宋" w:hAnsi="仿宋" w:eastAsia="仿宋" w:cs="仿宋"/>
          <w:snapToGrid w:val="0"/>
          <w:kern w:val="0"/>
          <w:sz w:val="28"/>
          <w:szCs w:val="28"/>
          <w:highlight w:val="none"/>
          <w:lang w:eastAsia="zh-CN"/>
        </w:rPr>
        <w:t>城市花园三期）2幢1-9-2，附近有三穗县民族高级中学、三穗县八弓镇中心小学、三穗县人民医院、三穗县中医医院三穗县湘黔医院、中国邮政银行、中国人民银行、</w:t>
      </w:r>
      <w:r>
        <w:rPr>
          <w:rFonts w:hint="eastAsia" w:ascii="仿宋" w:hAnsi="仿宋" w:eastAsia="仿宋" w:cs="仿宋"/>
          <w:snapToGrid w:val="0"/>
          <w:kern w:val="0"/>
          <w:sz w:val="28"/>
          <w:szCs w:val="28"/>
          <w:highlight w:val="none"/>
          <w:lang w:val="en-US" w:eastAsia="zh-CN"/>
        </w:rPr>
        <w:t>家家发生活超市、黔东南贸城、</w:t>
      </w:r>
      <w:r>
        <w:rPr>
          <w:rFonts w:hint="eastAsia" w:ascii="仿宋" w:hAnsi="仿宋" w:eastAsia="仿宋" w:cs="仿宋"/>
          <w:snapToGrid w:val="0"/>
          <w:kern w:val="0"/>
          <w:sz w:val="28"/>
          <w:szCs w:val="28"/>
          <w:highlight w:val="none"/>
          <w:lang w:eastAsia="zh-CN"/>
        </w:rPr>
        <w:t>酒店、餐饮等生活配套设施，</w:t>
      </w:r>
      <w:r>
        <w:rPr>
          <w:rFonts w:hint="eastAsia" w:ascii="仿宋" w:hAnsi="仿宋" w:eastAsia="仿宋" w:cs="仿宋"/>
          <w:snapToGrid w:val="0"/>
          <w:kern w:val="0"/>
          <w:sz w:val="28"/>
          <w:szCs w:val="28"/>
          <w:highlight w:val="none"/>
          <w:lang w:val="en-US" w:eastAsia="zh-CN"/>
        </w:rPr>
        <w:t>公共服务</w:t>
      </w:r>
      <w:r>
        <w:rPr>
          <w:rFonts w:hint="eastAsia" w:ascii="仿宋" w:hAnsi="仿宋" w:eastAsia="仿宋" w:cs="仿宋"/>
          <w:snapToGrid w:val="0"/>
          <w:kern w:val="0"/>
          <w:sz w:val="28"/>
          <w:szCs w:val="28"/>
          <w:highlight w:val="none"/>
          <w:lang w:eastAsia="zh-CN"/>
        </w:rPr>
        <w:t>设施较完善。</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（4）周边环境</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eastAsia="zh-CN"/>
        </w:rPr>
        <w:t>估价对象周边</w:t>
      </w:r>
      <w:r>
        <w:rPr>
          <w:rFonts w:hint="eastAsia" w:ascii="仿宋" w:hAnsi="仿宋" w:eastAsia="仿宋" w:cs="仿宋"/>
          <w:snapToGrid w:val="0"/>
          <w:kern w:val="0"/>
          <w:sz w:val="28"/>
          <w:szCs w:val="28"/>
          <w:highlight w:val="none"/>
          <w:lang w:val="en-US" w:eastAsia="zh-CN"/>
        </w:rPr>
        <w:t>多为住宅小区，</w:t>
      </w:r>
      <w:r>
        <w:rPr>
          <w:rFonts w:hint="eastAsia" w:ascii="仿宋" w:hAnsi="仿宋" w:eastAsia="仿宋" w:cs="仿宋"/>
          <w:snapToGrid w:val="0"/>
          <w:kern w:val="0"/>
          <w:sz w:val="28"/>
          <w:szCs w:val="28"/>
          <w:highlight w:val="none"/>
          <w:lang w:eastAsia="zh-CN"/>
        </w:rPr>
        <w:t>自然环境</w:t>
      </w:r>
      <w:r>
        <w:rPr>
          <w:rFonts w:hint="eastAsia" w:ascii="仿宋" w:hAnsi="仿宋" w:eastAsia="仿宋" w:cs="仿宋"/>
          <w:snapToGrid w:val="0"/>
          <w:kern w:val="0"/>
          <w:sz w:val="28"/>
          <w:szCs w:val="28"/>
          <w:highlight w:val="none"/>
          <w:lang w:val="en-US" w:eastAsia="zh-CN"/>
        </w:rPr>
        <w:t>和</w:t>
      </w:r>
      <w:r>
        <w:rPr>
          <w:rFonts w:hint="eastAsia" w:ascii="仿宋" w:hAnsi="仿宋" w:eastAsia="仿宋" w:cs="仿宋"/>
          <w:snapToGrid w:val="0"/>
          <w:kern w:val="0"/>
          <w:sz w:val="28"/>
          <w:szCs w:val="28"/>
          <w:highlight w:val="none"/>
          <w:lang w:eastAsia="zh-CN"/>
        </w:rPr>
        <w:t>人文环境</w:t>
      </w:r>
      <w:r>
        <w:rPr>
          <w:rFonts w:hint="eastAsia" w:ascii="仿宋" w:hAnsi="仿宋" w:eastAsia="仿宋" w:cs="仿宋"/>
          <w:snapToGrid w:val="0"/>
          <w:kern w:val="0"/>
          <w:sz w:val="28"/>
          <w:szCs w:val="28"/>
          <w:highlight w:val="none"/>
          <w:lang w:val="en-US" w:eastAsia="zh-CN"/>
        </w:rPr>
        <w:t>较优，</w:t>
      </w:r>
      <w:r>
        <w:rPr>
          <w:rFonts w:hint="eastAsia" w:ascii="仿宋" w:hAnsi="仿宋" w:eastAsia="仿宋" w:cs="仿宋"/>
          <w:snapToGrid w:val="0"/>
          <w:kern w:val="0"/>
          <w:sz w:val="28"/>
          <w:szCs w:val="28"/>
          <w:highlight w:val="none"/>
          <w:lang w:eastAsia="zh-CN"/>
        </w:rPr>
        <w:t>空气</w:t>
      </w:r>
      <w:r>
        <w:rPr>
          <w:rFonts w:hint="eastAsia" w:ascii="仿宋" w:hAnsi="仿宋" w:eastAsia="仿宋" w:cs="仿宋"/>
          <w:snapToGrid w:val="0"/>
          <w:kern w:val="0"/>
          <w:sz w:val="28"/>
          <w:szCs w:val="28"/>
          <w:highlight w:val="none"/>
          <w:lang w:val="en-US" w:eastAsia="zh-CN"/>
        </w:rPr>
        <w:t>质量良好，</w:t>
      </w:r>
      <w:r>
        <w:rPr>
          <w:rFonts w:hint="eastAsia" w:ascii="仿宋" w:hAnsi="仿宋" w:eastAsia="仿宋" w:cs="仿宋"/>
          <w:snapToGrid w:val="0"/>
          <w:kern w:val="0"/>
          <w:sz w:val="28"/>
          <w:szCs w:val="28"/>
          <w:highlight w:val="none"/>
          <w:lang w:eastAsia="zh-CN"/>
        </w:rPr>
        <w:t>噪声污染</w:t>
      </w:r>
      <w:r>
        <w:rPr>
          <w:rFonts w:hint="eastAsia" w:ascii="仿宋" w:hAnsi="仿宋" w:eastAsia="仿宋" w:cs="仿宋"/>
          <w:snapToGrid w:val="0"/>
          <w:kern w:val="0"/>
          <w:sz w:val="28"/>
          <w:szCs w:val="28"/>
          <w:highlight w:val="none"/>
          <w:lang w:val="en-US" w:eastAsia="zh-CN"/>
        </w:rPr>
        <w:t>较小</w:t>
      </w:r>
      <w:r>
        <w:rPr>
          <w:rFonts w:hint="eastAsia" w:ascii="仿宋" w:hAnsi="仿宋" w:eastAsia="仿宋" w:cs="仿宋"/>
          <w:snapToGrid w:val="0"/>
          <w:kern w:val="0"/>
          <w:sz w:val="28"/>
          <w:szCs w:val="28"/>
          <w:highlight w:val="none"/>
          <w:lang w:eastAsia="zh-CN"/>
        </w:rPr>
        <w:t>，治安状况</w:t>
      </w:r>
      <w:r>
        <w:rPr>
          <w:rFonts w:hint="eastAsia" w:ascii="仿宋" w:hAnsi="仿宋" w:eastAsia="仿宋" w:cs="仿宋"/>
          <w:snapToGrid w:val="0"/>
          <w:kern w:val="0"/>
          <w:sz w:val="28"/>
          <w:szCs w:val="28"/>
          <w:highlight w:val="none"/>
          <w:lang w:val="en-US" w:eastAsia="zh-CN"/>
        </w:rPr>
        <w:t>良好。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（5）估价对象区位状况及优劣分析</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yellow"/>
          <w:lang w:val="en-US" w:eastAsia="zh-CN"/>
        </w:rPr>
      </w:pPr>
      <w:r>
        <w:rPr>
          <w:rFonts w:hint="eastAsia" w:ascii="仿宋" w:hAnsi="仿宋" w:eastAsia="仿宋" w:cs="仿宋"/>
          <w:snapToGrid w:val="0"/>
          <w:kern w:val="0"/>
          <w:sz w:val="28"/>
          <w:szCs w:val="28"/>
          <w:highlight w:val="none"/>
          <w:lang w:eastAsia="zh-CN"/>
        </w:rPr>
        <w:t>综上描述，估价对象的公共配套设施</w:t>
      </w:r>
      <w:r>
        <w:rPr>
          <w:rFonts w:hint="eastAsia" w:ascii="仿宋" w:hAnsi="仿宋" w:eastAsia="仿宋" w:cs="仿宋"/>
          <w:snapToGrid w:val="0"/>
          <w:kern w:val="0"/>
          <w:sz w:val="28"/>
          <w:szCs w:val="28"/>
          <w:highlight w:val="none"/>
          <w:lang w:val="en-US" w:eastAsia="zh-CN"/>
        </w:rPr>
        <w:t>较</w:t>
      </w:r>
      <w:r>
        <w:rPr>
          <w:rFonts w:hint="eastAsia" w:ascii="仿宋" w:hAnsi="仿宋" w:eastAsia="仿宋" w:cs="仿宋"/>
          <w:snapToGrid w:val="0"/>
          <w:kern w:val="0"/>
          <w:sz w:val="28"/>
          <w:szCs w:val="28"/>
          <w:highlight w:val="none"/>
          <w:lang w:eastAsia="zh-CN"/>
        </w:rPr>
        <w:t>完善，整体区位状况</w:t>
      </w:r>
      <w:r>
        <w:rPr>
          <w:rFonts w:hint="eastAsia" w:ascii="仿宋" w:hAnsi="仿宋" w:eastAsia="仿宋" w:cs="仿宋"/>
          <w:snapToGrid w:val="0"/>
          <w:kern w:val="0"/>
          <w:sz w:val="28"/>
          <w:szCs w:val="28"/>
          <w:highlight w:val="none"/>
          <w:lang w:val="en-US" w:eastAsia="zh-CN"/>
        </w:rPr>
        <w:t>和</w:t>
      </w:r>
      <w:r>
        <w:rPr>
          <w:rFonts w:hint="eastAsia" w:ascii="仿宋" w:hAnsi="仿宋" w:eastAsia="仿宋" w:cs="仿宋"/>
          <w:snapToGrid w:val="0"/>
          <w:kern w:val="0"/>
          <w:sz w:val="28"/>
          <w:szCs w:val="28"/>
          <w:highlight w:val="none"/>
          <w:lang w:eastAsia="zh-CN"/>
        </w:rPr>
        <w:t>繁华程度</w:t>
      </w:r>
      <w:r>
        <w:rPr>
          <w:rFonts w:hint="eastAsia" w:ascii="仿宋" w:hAnsi="仿宋" w:eastAsia="仿宋" w:cs="仿宋"/>
          <w:snapToGrid w:val="0"/>
          <w:kern w:val="0"/>
          <w:sz w:val="28"/>
          <w:szCs w:val="28"/>
          <w:highlight w:val="none"/>
          <w:lang w:val="en-US" w:eastAsia="zh-CN"/>
        </w:rPr>
        <w:t>均一般，</w:t>
      </w:r>
      <w:r>
        <w:rPr>
          <w:rFonts w:hint="eastAsia" w:ascii="仿宋" w:hAnsi="仿宋" w:eastAsia="仿宋" w:cs="仿宋"/>
          <w:snapToGrid w:val="0"/>
          <w:kern w:val="0"/>
          <w:sz w:val="28"/>
          <w:szCs w:val="28"/>
          <w:highlight w:val="none"/>
          <w:lang w:eastAsia="zh-CN"/>
        </w:rPr>
        <w:t>房地产价格的保值和增值</w:t>
      </w:r>
      <w:r>
        <w:rPr>
          <w:rFonts w:hint="eastAsia" w:ascii="仿宋" w:hAnsi="仿宋" w:eastAsia="仿宋" w:cs="仿宋"/>
          <w:snapToGrid w:val="0"/>
          <w:kern w:val="0"/>
          <w:sz w:val="28"/>
          <w:szCs w:val="28"/>
          <w:highlight w:val="none"/>
          <w:lang w:val="en-US" w:eastAsia="zh-CN"/>
        </w:rPr>
        <w:t>度一般。</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highlight w:val="none"/>
          <w:lang w:val="en-US" w:eastAsia="zh-CN"/>
        </w:rPr>
      </w:pPr>
      <w:r>
        <w:rPr>
          <w:rFonts w:hint="eastAsia" w:ascii="仿宋" w:hAnsi="仿宋" w:eastAsia="仿宋" w:cs="仿宋"/>
          <w:snapToGrid w:val="0"/>
          <w:kern w:val="0"/>
          <w:sz w:val="28"/>
          <w:szCs w:val="28"/>
          <w:highlight w:val="none"/>
          <w:lang w:val="en-US" w:eastAsia="zh-CN"/>
        </w:rPr>
        <w:t>2、估价对象实物状况</w:t>
      </w:r>
    </w:p>
    <w:tbl>
      <w:tblPr>
        <w:tblStyle w:val="46"/>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9"/>
        <w:gridCol w:w="1579"/>
        <w:gridCol w:w="2352"/>
        <w:gridCol w:w="1812"/>
        <w:gridCol w:w="2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估价对象名称</w:t>
            </w:r>
          </w:p>
        </w:tc>
        <w:tc>
          <w:tcPr>
            <w:tcW w:w="3403" w:type="pct"/>
            <w:gridSpan w:val="3"/>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贵州省三穗县八弓镇中坝村（凯宏·城市花园三期）2幢1-9-2住宅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建筑面积</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107.29㎡</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建筑结构</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钢筋混凝土结构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总楼层</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15层</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评估楼层</w:t>
            </w:r>
          </w:p>
        </w:tc>
        <w:tc>
          <w:tcPr>
            <w:tcW w:w="1312"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9层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规划用途</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成套住宅</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现实用途</w:t>
            </w:r>
          </w:p>
        </w:tc>
        <w:tc>
          <w:tcPr>
            <w:tcW w:w="1312"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restar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装修情况</w:t>
            </w: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外墙</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涂料</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内墙</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天花</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地面</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门</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防盗门</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窗</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塑钢窗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restar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设备设施</w:t>
            </w: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水电</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暗装</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电梯</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空调</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无</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消防</w:t>
            </w:r>
          </w:p>
        </w:tc>
        <w:tc>
          <w:tcPr>
            <w:tcW w:w="1312"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restar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使用与维护</w:t>
            </w: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竣工年限</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snapToGrid w:val="0"/>
                <w:color w:val="000000" w:themeColor="text1"/>
                <w:kern w:val="0"/>
                <w:sz w:val="21"/>
                <w:szCs w:val="21"/>
                <w:highlight w:val="none"/>
                <w:lang w:val="en-US" w:eastAsia="zh-CN"/>
                <w14:textFill>
                  <w14:solidFill>
                    <w14:schemeClr w14:val="tx1"/>
                  </w14:solidFill>
                </w14:textFill>
              </w:rPr>
              <w:t>约2020年</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color w:val="000000" w:themeColor="text1"/>
                <w:kern w:val="0"/>
                <w:sz w:val="21"/>
                <w:szCs w:val="21"/>
                <w:highlight w:val="none"/>
                <w14:textFill>
                  <w14:solidFill>
                    <w14:schemeClr w14:val="tx1"/>
                  </w14:solidFill>
                </w14:textFill>
              </w:rPr>
              <w:t>新旧程度</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color w:val="000000" w:themeColor="text1"/>
                <w:kern w:val="0"/>
                <w:sz w:val="21"/>
                <w:szCs w:val="21"/>
                <w:highlight w:val="none"/>
                <w:lang w:eastAsia="zh-CN"/>
                <w14:textFill>
                  <w14:solidFill>
                    <w14:schemeClr w14:val="tx1"/>
                  </w14:solidFill>
                </w14:textFill>
              </w:rPr>
              <w:t>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使用状况</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color w:val="000000" w:themeColor="text1"/>
                <w:kern w:val="0"/>
                <w:sz w:val="21"/>
                <w:szCs w:val="21"/>
                <w:highlight w:val="none"/>
                <w:lang w:val="en-US" w:eastAsia="zh-CN"/>
                <w14:textFill>
                  <w14:solidFill>
                    <w14:schemeClr w14:val="tx1"/>
                  </w14:solidFill>
                </w14:textFill>
              </w:rPr>
              <w:t>空置</w:t>
            </w:r>
          </w:p>
        </w:tc>
        <w:tc>
          <w:tcPr>
            <w:tcW w:w="910" w:type="pct"/>
            <w:tcBorders>
              <w:tl2br w:val="nil"/>
              <w:tr2bl w:val="nil"/>
            </w:tcBorders>
            <w:vAlign w:val="center"/>
          </w:tcPr>
          <w:p>
            <w:pPr>
              <w:widowControl/>
              <w:jc w:val="center"/>
              <w:textAlignment w:val="center"/>
            </w:pPr>
            <w:r>
              <w:rPr>
                <w:rFonts w:hint="eastAsia" w:ascii="仿宋" w:hAnsi="仿宋" w:eastAsia="仿宋" w:cs="仿宋"/>
                <w:bCs/>
                <w:snapToGrid w:val="0"/>
                <w:color w:val="000000" w:themeColor="text1"/>
                <w:kern w:val="0"/>
                <w:sz w:val="21"/>
                <w:szCs w:val="21"/>
                <w:highlight w:val="none"/>
                <w:lang w:val="en-US" w:eastAsia="zh-CN"/>
                <w14:textFill>
                  <w14:solidFill>
                    <w14:schemeClr w14:val="tx1"/>
                  </w14:solidFill>
                </w14:textFill>
              </w:rPr>
              <w:t>朝向</w:t>
            </w:r>
          </w:p>
        </w:tc>
        <w:tc>
          <w:tcPr>
            <w:tcW w:w="1312" w:type="pct"/>
            <w:tcBorders>
              <w:tl2br w:val="nil"/>
              <w:tr2bl w:val="nil"/>
            </w:tcBorders>
            <w:vAlign w:val="center"/>
          </w:tcPr>
          <w:p>
            <w:pPr>
              <w:widowControl/>
              <w:jc w:val="center"/>
              <w:textAlignment w:val="center"/>
            </w:pPr>
            <w:r>
              <w:rPr>
                <w:rFonts w:hint="eastAsia" w:ascii="仿宋" w:hAnsi="仿宋" w:eastAsia="仿宋" w:cs="仿宋"/>
                <w:bCs/>
                <w:snapToGrid w:val="0"/>
                <w:color w:val="000000" w:themeColor="text1"/>
                <w:kern w:val="0"/>
                <w:sz w:val="21"/>
                <w:szCs w:val="21"/>
                <w:highlight w:val="none"/>
                <w:lang w:val="en-US" w:eastAsia="zh-CN"/>
                <w14:textFill>
                  <w14:solidFill>
                    <w14:schemeClr w14:val="tx1"/>
                  </w14:solidFill>
                </w14:textFill>
              </w:rPr>
              <w:t>东</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59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snapToGrid w:val="0"/>
          <w:color w:val="000000" w:themeColor="text1"/>
          <w:kern w:val="0"/>
          <w:sz w:val="24"/>
          <w:szCs w:val="24"/>
          <w:highlight w:val="none"/>
          <w14:textFill>
            <w14:solidFill>
              <w14:schemeClr w14:val="tx1"/>
            </w14:solidFill>
          </w14:textFill>
        </w:rPr>
        <w:t>注：表中数据均来源于评估人员实地查勘等资料</w:t>
      </w:r>
      <w:r>
        <w:rPr>
          <w:rFonts w:hint="eastAsia" w:ascii="仿宋" w:hAnsi="仿宋" w:eastAsia="仿宋" w:cs="仿宋"/>
          <w:snapToGrid w:val="0"/>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3、估价对象权益状况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根据委托人提供的受理编号为：202104250009309《贵州省不动产登记查询结果》，权利人为龙芳/杨勇，不动产权证书/证明号为黔（2020）三穗县不动产权第0003083号，不动产单元号为522624001024GB00151F00030024，用途为成套住宅，面积为107.29㎡，权属状态为现势，登记状态为权属、抵押，登记时间为2020年06月11日。</w:t>
      </w:r>
    </w:p>
    <w:p>
      <w:pPr>
        <w:keepNext w:val="0"/>
        <w:keepLines w:val="0"/>
        <w:pageBreakBefore w:val="0"/>
        <w:widowControl w:val="0"/>
        <w:kinsoku/>
        <w:wordWrap/>
        <w:overflowPunct/>
        <w:topLinePunct w:val="0"/>
        <w:autoSpaceDE/>
        <w:autoSpaceDN/>
        <w:bidi w:val="0"/>
        <w:adjustRightInd w:val="0"/>
        <w:snapToGrid w:val="0"/>
        <w:spacing w:line="520" w:lineRule="atLeast"/>
        <w:textAlignment w:val="auto"/>
        <w:rPr>
          <w:rFonts w:hint="eastAsia" w:ascii="黑体" w:hAnsi="黑体" w:eastAsia="黑体" w:cs="黑体"/>
          <w:b/>
          <w:bCs/>
          <w:sz w:val="30"/>
          <w:szCs w:val="30"/>
          <w:highlight w:val="none"/>
          <w:lang w:val="en-US" w:eastAsia="zh-CN"/>
        </w:rPr>
      </w:pPr>
      <w:r>
        <w:rPr>
          <w:rFonts w:hint="eastAsia" w:ascii="黑体" w:hAnsi="黑体" w:eastAsia="黑体" w:cs="黑体"/>
          <w:b/>
          <w:bCs/>
          <w:sz w:val="30"/>
          <w:szCs w:val="30"/>
          <w:highlight w:val="none"/>
        </w:rPr>
        <w:t>（</w:t>
      </w:r>
      <w:r>
        <w:rPr>
          <w:rFonts w:hint="eastAsia" w:ascii="黑体" w:hAnsi="黑体" w:eastAsia="黑体" w:cs="黑体"/>
          <w:b/>
          <w:bCs/>
          <w:sz w:val="30"/>
          <w:szCs w:val="30"/>
          <w:highlight w:val="none"/>
          <w:lang w:eastAsia="zh-CN"/>
        </w:rPr>
        <w:t>二</w:t>
      </w:r>
      <w:r>
        <w:rPr>
          <w:rFonts w:hint="eastAsia" w:ascii="黑体" w:hAnsi="黑体" w:eastAsia="黑体" w:cs="黑体"/>
          <w:b/>
          <w:bCs/>
          <w:sz w:val="30"/>
          <w:szCs w:val="30"/>
          <w:highlight w:val="none"/>
        </w:rPr>
        <w:t>）</w:t>
      </w:r>
      <w:r>
        <w:rPr>
          <w:rFonts w:hint="eastAsia" w:ascii="黑体" w:hAnsi="黑体" w:eastAsia="黑体" w:cs="黑体"/>
          <w:b/>
          <w:bCs/>
          <w:sz w:val="30"/>
          <w:szCs w:val="30"/>
          <w:highlight w:val="none"/>
          <w:lang w:val="en-US" w:eastAsia="zh-CN"/>
        </w:rPr>
        <w:t>市场背景描述与分析</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1、2021年三穗县经济运行情况</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2021年,面对经济持续下行、新冠肺炎疫情的冲击影响下，全县始终以习近平新时代中国特色社会主义思想为指导，认真学习贯彻党的十九大和十九届历次全会精神，牢牢把握高质量发展要求，经济社会稳中有进、稳中向好，实现了“十四五”良好开局。</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（1）综合</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初步核算，全县地区生产总值542016万元，比上年增长（以下简称“增长”）5.9%。其中，第一产业增加值116128万元，增长7.9%；第二产业增加值139072万元，增长7.1%；第三产业增加值286816万元，增长4.4%。</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全县地区生产总值中，第一产业增加值、第二产业增加值、第三产业增加值占地区生产总值的比重，分别为21.4%、25.7%、52.9%。全县人均地区生产总值33427元，增长6.4%。</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（2）农业</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全年实现农业总产值201639万元，增长9.4%。其中，农业产值120443万元、林业产值25374万元、牧业产值41295万元、渔业产值5310万元、农林牧渔服务业产值9217万元，分别增长10.2%、-5.6%、16.6%、18.1%和6.3%。</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全年粮食总产量6.2万吨，增长6.9%。蔬菜及食用菌产量254666吨，增长9.8%；油菜籽产量2351吨，增长30.6%；水果产量58510吨，增长15.3%。</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全年肉类总产量8939吨，增长10.8%，其中：猪肉5447吨，增长16.2%；牛肉919吨，下降3.0%；羊肉233吨，增长5.0%；禽肉2291吨，增长6.8%。</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（3）工业和建筑业</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全部工业实现增加值61086万元，增长19.8%。其中，规模以上工业增加值增长22.6%。在规模以上工业中，分工业类型看，轻工业增长21%，重工业增长28.2%。分门类看，制造业增长25.5%，电力、热力、燃气及水生产和供应业增长6.6%。</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规模以上工业中，农副食品加工业增加值增长98.5%，非金属矿物制品业增加值比上年下降（以下简称“下降”）14.2%，服饰制造业增加值增长12.3%，纸制品制造业增加值增长40.2%，橡胶及塑料制品业增加值增长17.4%，金属制品业增加值增长184.2%。</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规模以上工业产品产量中，鲜冷藏肉完成0.19万吨,增长46.2%；服装完成1243万件，下降49.5%；商品混凝土完成22.05万立方米，下降36.7%。</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全年规模以上工业企业产销率99.6%，比上年提升2.6个百分点。规模以上工业企业营业收入7.65亿元，增长31.1%；实现利润总额0.18亿元，下降53.1%。</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全年建筑业增加值77986万元，下降1.2%。全县具有资质以上等级的总承包和专业承包建筑企业9家，建筑业总产值增长18.6％。</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（4）固定资产投资</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全年500万元以上固定资产投资增长15.3%。全县房地产开发投资增长18.0%。商品房销售面积133439平方米，下降22.8%。</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jc w:val="center"/>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drawing>
          <wp:inline distT="0" distB="0" distL="114300" distR="114300">
            <wp:extent cx="4011295" cy="4050030"/>
            <wp:effectExtent l="0" t="0" r="8255" b="762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8"/>
                    <a:stretch>
                      <a:fillRect/>
                    </a:stretch>
                  </pic:blipFill>
                  <pic:spPr>
                    <a:xfrm>
                      <a:off x="0" y="0"/>
                      <a:ext cx="4011295" cy="4050030"/>
                    </a:xfrm>
                    <a:prstGeom prst="rect">
                      <a:avLst/>
                    </a:prstGeom>
                    <a:noFill/>
                    <a:ln>
                      <a:noFill/>
                    </a:ln>
                  </pic:spPr>
                </pic:pic>
              </a:graphicData>
            </a:graphic>
          </wp:inline>
        </w:drawing>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（5）国内贸易</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全年全社会消费品零售总额232457万元，增长13.6%。批发业销售额33858万元，增长16.2%；零售业销售额184674万元，增长16.4%；住宿业营业额3831万元，增长18.2%；餐饮业营业额38146万元，增长31.1%。</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（6）交通和邮电</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全年交通运输、仓储和邮政业增加值实现21399万元，下降0.8%。全县邮政业务总量2370万元，增长6.7%；电信业务总量17480万元，增长6.5%。</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（7）财政与金融</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全年财政总收入33126万元，增长6.3%。其中一般公共预算收入17493万元，增长4.2%。一般公共预算收入中，税收收入10696万元，占61.1%，下降0.1%；非税收入6797万元，占38.9%，增长11.6%。</w:t>
      </w:r>
    </w:p>
    <w:p>
      <w:pPr>
        <w:keepNext w:val="0"/>
        <w:keepLines w:val="0"/>
        <w:pageBreakBefore w:val="0"/>
        <w:widowControl w:val="0"/>
        <w:kinsoku/>
        <w:wordWrap w:val="0"/>
        <w:overflowPunct/>
        <w:topLinePunct w:val="0"/>
        <w:autoSpaceDE/>
        <w:autoSpaceDN/>
        <w:bidi w:val="0"/>
        <w:adjustRightInd w:val="0"/>
        <w:snapToGrid w:val="0"/>
        <w:spacing w:line="520" w:lineRule="atLeast"/>
        <w:jc w:val="center"/>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drawing>
          <wp:inline distT="0" distB="0" distL="114300" distR="114300">
            <wp:extent cx="3688080" cy="2247265"/>
            <wp:effectExtent l="0" t="0" r="7620" b="635"/>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9"/>
                    <a:stretch>
                      <a:fillRect/>
                    </a:stretch>
                  </pic:blipFill>
                  <pic:spPr>
                    <a:xfrm>
                      <a:off x="0" y="0"/>
                      <a:ext cx="3688080" cy="2247265"/>
                    </a:xfrm>
                    <a:prstGeom prst="rect">
                      <a:avLst/>
                    </a:prstGeom>
                    <a:noFill/>
                    <a:ln>
                      <a:noFill/>
                    </a:ln>
                  </pic:spPr>
                </pic:pic>
              </a:graphicData>
            </a:graphic>
          </wp:inline>
        </w:drawing>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一般公共预算支出204128万元，下降0.4%。其中，一般公共服务支出23029万元，下降5.1%；教育支出45934万元，增长0.2%；社会保障和就业支出22196万元，增长0.5%；卫生健康支出21975万元，增长0.3%；节能环保支出4442万元，增长44.0%。</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年末金融机构各项存款余额645831万元，增长14.7%。其中，住户存款余额518724万元，增长13.8%。各项贷款余额546710万元，增长8.0%。其中住户贷款余额391599万元，增长5.3%。</w:t>
      </w:r>
    </w:p>
    <w:p>
      <w:pPr>
        <w:keepNext w:val="0"/>
        <w:keepLines w:val="0"/>
        <w:pageBreakBefore w:val="0"/>
        <w:widowControl w:val="0"/>
        <w:kinsoku/>
        <w:wordWrap w:val="0"/>
        <w:overflowPunct/>
        <w:topLinePunct w:val="0"/>
        <w:autoSpaceDE/>
        <w:autoSpaceDN/>
        <w:bidi w:val="0"/>
        <w:adjustRightInd w:val="0"/>
        <w:snapToGrid w:val="0"/>
        <w:spacing w:line="520" w:lineRule="atLeast"/>
        <w:jc w:val="center"/>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drawing>
          <wp:inline distT="0" distB="0" distL="114300" distR="114300">
            <wp:extent cx="5116830" cy="1619885"/>
            <wp:effectExtent l="0" t="0" r="7620" b="1841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0"/>
                    <a:stretch>
                      <a:fillRect/>
                    </a:stretch>
                  </pic:blipFill>
                  <pic:spPr>
                    <a:xfrm>
                      <a:off x="0" y="0"/>
                      <a:ext cx="5116830" cy="1619885"/>
                    </a:xfrm>
                    <a:prstGeom prst="rect">
                      <a:avLst/>
                    </a:prstGeom>
                    <a:noFill/>
                    <a:ln>
                      <a:noFill/>
                    </a:ln>
                  </pic:spPr>
                </pic:pic>
              </a:graphicData>
            </a:graphic>
          </wp:inline>
        </w:drawing>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（8）教育和科学技术</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全县共有各级各类学校122所。其中，中等职业学校1所，普通高中1所，普通初中6所，小学34所，幼儿园80所。在校学生43314人，其中职业中学1001人，高中4058人，初中9457人，小学20794人，幼儿园在园8004人。</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我县积极组织县域企业或单位申报各类项目，全年完成各类科技项目申报18个，申请资金6432万元。</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（9）文化、体育、环境和卫生</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成功举办“唱支山歌给党听”庆祝建党100周年主题快闪活动、“永远跟党走”革命歌曲广场舞大赛、党史知识竞赛等系列活动。组织文化志愿者深入易地扶贫搬迁安置点开设了公益性（免费）广场舞培训班，共派出文化志愿者12人次，辅导培训120余人。开展戏曲进乡村、文化走基层活动25场次，观众达1.2人次。制作《竹林欢歌》、《县乡长说移风易俗树新风》、《苗家儿女心向党》、《天下贵洞》等原创文艺作品。</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积极参加州第十届运动会暨第四届少数民族传统体育运动会，参赛项目29项，选拔队员298人，获得9金19银16铜。成功举办三穗县第三届职工运动会暨2021年“江岸华景杯”体育赛事活动，积极组队参加贵州省选拔赛暨2021年贵州省广场舞网络大赛竞赛、贵州省第五届“茅台王子杯”广场舞公开赛等活动，组织完成社会体育指导员培训67人次。投入体育基础设施项目资金70余万元，完成8个村级农民体育健身工程体育器材更新、5个全民健身示范点建设、金穗社区社区智能健身驿站和黄土坎廉租房小区健身路径建设，完成文笔街道多功能运动场建设。</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县生态环境质量持续巩固提升，环境空气优良率达99.2%，空气质量指数2.32%，集中式饮用水源水质全部达Ⅲ类以上，出境断面水质达Ⅱ类，土壤环境、固体废物环境、声环境和辐射环境质量等总体保持良好，全县未发生重大环境污染事件，生态环境安全总体稳定可控。</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县拥有各类医疗卫生机构140个，其中：医院4个，社区卫生服务中心1个，卫生院9个，疾病预防控制中心1个，妇幼保健院1个，执法大队1个，诊所27个，村卫生室96个。全县卫生机构床位编制数1297张，实际开放1419张。卫生人员1864人，其中，执业（助理）医师494人，乡村医生175人，注册护士872人</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（10）人口、人民生活和社会保障</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2021年全县常住人口出生率为10.03‰，死亡率6.85‰，自然增长率3.18‰。</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城镇居民人均可支配收入37842元,增长8.4%；城镇居民人均消费支出22050元,增长22.3%。农村居民人均可支配收入12684元，增长10.9%；农村居民人均消费支出12344元,增长9.0%。</w:t>
      </w:r>
    </w:p>
    <w:p>
      <w:pPr>
        <w:keepNext w:val="0"/>
        <w:keepLines w:val="0"/>
        <w:pageBreakBefore w:val="0"/>
        <w:widowControl w:val="0"/>
        <w:kinsoku/>
        <w:wordWrap w:val="0"/>
        <w:overflowPunct/>
        <w:topLinePunct w:val="0"/>
        <w:autoSpaceDE/>
        <w:autoSpaceDN/>
        <w:bidi w:val="0"/>
        <w:adjustRightInd w:val="0"/>
        <w:snapToGrid w:val="0"/>
        <w:spacing w:line="520" w:lineRule="atLeast"/>
        <w:jc w:val="center"/>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drawing>
          <wp:inline distT="0" distB="0" distL="114300" distR="114300">
            <wp:extent cx="3367405" cy="3146425"/>
            <wp:effectExtent l="0" t="0" r="4445" b="15875"/>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1"/>
                    <a:stretch>
                      <a:fillRect/>
                    </a:stretch>
                  </pic:blipFill>
                  <pic:spPr>
                    <a:xfrm>
                      <a:off x="0" y="0"/>
                      <a:ext cx="3367405" cy="3146425"/>
                    </a:xfrm>
                    <a:prstGeom prst="rect">
                      <a:avLst/>
                    </a:prstGeom>
                    <a:noFill/>
                    <a:ln>
                      <a:noFill/>
                    </a:ln>
                  </pic:spPr>
                </pic:pic>
              </a:graphicData>
            </a:graphic>
          </wp:inline>
        </w:drawing>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年末全县参加城镇职工基本养老保险人数16489人，比上年末增加3750人。参加城乡居民基本养老保险人数128244人，增加547人。参加基本医疗保险人数222075人，其中：参加职工基本医疗保险人数10785人；参加城乡居民基本医疗保险人数211290人。参加失业保险人数5834人，增加555人。参加工伤保险人数24354人，增加6515人。参加生育保险人数10785人，增加9人。</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lang w:val="en-US" w:eastAsia="zh-CN"/>
        </w:rPr>
      </w:pPr>
      <w:r>
        <w:rPr>
          <w:rFonts w:hint="eastAsia" w:ascii="仿宋" w:hAnsi="仿宋" w:eastAsia="仿宋" w:cs="仿宋"/>
          <w:snapToGrid w:val="0"/>
          <w:kern w:val="0"/>
          <w:sz w:val="28"/>
          <w:szCs w:val="28"/>
          <w:highlight w:val="none"/>
          <w:lang w:val="en-US" w:eastAsia="zh-CN"/>
        </w:rPr>
        <w:t>年末全县共有4401人享受城市最低生活保障，5505人享受农村最低生活保障，全年累计发放城乡低保金4122.2万元；年末670人享受特困人员救助供养，全年发放特困供养金847.6万元；全年临时救助712人次，发放生活救助金96.6万元。</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2、当地房地产发展概况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（1）土地市场</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2020年-2022年4月三穗县土地市场，从成交方面来看，</w:t>
      </w:r>
      <w:r>
        <w:rPr>
          <w:rFonts w:hint="eastAsia" w:ascii="仿宋" w:hAnsi="仿宋" w:eastAsia="仿宋" w:cs="仿宋"/>
          <w:strike w:val="0"/>
          <w:dstrike w:val="0"/>
          <w:snapToGrid w:val="0"/>
          <w:color w:val="auto"/>
          <w:kern w:val="0"/>
          <w:sz w:val="28"/>
          <w:szCs w:val="28"/>
          <w:highlight w:val="none"/>
          <w:lang w:val="en-US" w:eastAsia="zh-CN"/>
        </w:rPr>
        <w:t>该期间内</w:t>
      </w:r>
      <w:r>
        <w:rPr>
          <w:rFonts w:hint="eastAsia" w:ascii="仿宋" w:hAnsi="仿宋" w:eastAsia="仿宋" w:cs="仿宋"/>
          <w:snapToGrid w:val="0"/>
          <w:kern w:val="0"/>
          <w:sz w:val="28"/>
          <w:szCs w:val="28"/>
          <w:highlight w:val="none"/>
          <w:lang w:val="en-US" w:eastAsia="zh-CN"/>
        </w:rPr>
        <w:t>共成交13宗地块，成交总用地面积为153,367.33㎡，成交总金额为12,248.00万元。其中，工业用地成交6宗，成交用地总面积为117,048.6㎡，成交楼面均价为379.8元/㎡；住宅用地成交6宗，成交用地总面积为32,346.73㎡，成交楼面均价为308.6元/㎡；其他用地成交1宗，成交用地总面积为3,972㎡，成交楼面均价为2,417元/㎡。</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（2）房地产市场</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default" w:ascii="仿宋" w:hAnsi="仿宋" w:eastAsia="仿宋" w:cs="仿宋"/>
          <w:snapToGrid w:val="0"/>
          <w:kern w:val="0"/>
          <w:sz w:val="28"/>
          <w:szCs w:val="28"/>
          <w:highlight w:val="none"/>
          <w:lang w:val="en-US" w:eastAsia="zh-CN"/>
        </w:rPr>
        <w:t>目前</w:t>
      </w:r>
      <w:r>
        <w:rPr>
          <w:rFonts w:hint="eastAsia" w:ascii="仿宋" w:hAnsi="仿宋" w:eastAsia="仿宋" w:cs="仿宋"/>
          <w:snapToGrid w:val="0"/>
          <w:kern w:val="0"/>
          <w:sz w:val="28"/>
          <w:szCs w:val="28"/>
          <w:highlight w:val="none"/>
          <w:lang w:val="en-US" w:eastAsia="zh-CN"/>
        </w:rPr>
        <w:t>三穗县</w:t>
      </w:r>
      <w:r>
        <w:rPr>
          <w:rFonts w:hint="default" w:ascii="仿宋" w:hAnsi="仿宋" w:eastAsia="仿宋" w:cs="仿宋"/>
          <w:snapToGrid w:val="0"/>
          <w:kern w:val="0"/>
          <w:sz w:val="28"/>
          <w:szCs w:val="28"/>
          <w:highlight w:val="none"/>
          <w:lang w:val="en-US" w:eastAsia="zh-CN"/>
        </w:rPr>
        <w:t>房地产在售楼盘较</w:t>
      </w:r>
      <w:r>
        <w:rPr>
          <w:rFonts w:hint="eastAsia" w:ascii="仿宋" w:hAnsi="仿宋" w:eastAsia="仿宋" w:cs="仿宋"/>
          <w:snapToGrid w:val="0"/>
          <w:kern w:val="0"/>
          <w:sz w:val="28"/>
          <w:szCs w:val="28"/>
          <w:highlight w:val="none"/>
          <w:lang w:val="en-US" w:eastAsia="zh-CN"/>
        </w:rPr>
        <w:t>少</w:t>
      </w:r>
      <w:r>
        <w:rPr>
          <w:rFonts w:hint="default" w:ascii="仿宋" w:hAnsi="仿宋" w:eastAsia="仿宋" w:cs="仿宋"/>
          <w:snapToGrid w:val="0"/>
          <w:kern w:val="0"/>
          <w:sz w:val="28"/>
          <w:szCs w:val="28"/>
          <w:highlight w:val="none"/>
          <w:lang w:val="en-US" w:eastAsia="zh-CN"/>
        </w:rPr>
        <w:t>，现有江岸华景、城南印象和三穗滨河公馆</w:t>
      </w:r>
      <w:r>
        <w:rPr>
          <w:rFonts w:hint="eastAsia" w:ascii="仿宋" w:hAnsi="仿宋" w:eastAsia="仿宋" w:cs="仿宋"/>
          <w:snapToGrid w:val="0"/>
          <w:kern w:val="0"/>
          <w:sz w:val="28"/>
          <w:szCs w:val="28"/>
          <w:highlight w:val="none"/>
          <w:lang w:val="en-US" w:eastAsia="zh-CN"/>
        </w:rPr>
        <w:t>3</w:t>
      </w:r>
      <w:r>
        <w:rPr>
          <w:rFonts w:hint="default" w:ascii="仿宋" w:hAnsi="仿宋" w:eastAsia="仿宋" w:cs="仿宋"/>
          <w:snapToGrid w:val="0"/>
          <w:kern w:val="0"/>
          <w:sz w:val="28"/>
          <w:szCs w:val="28"/>
          <w:highlight w:val="none"/>
          <w:lang w:val="en-US" w:eastAsia="zh-CN"/>
        </w:rPr>
        <w:t>个在售楼盘。价格方面，2021年8月至今，</w:t>
      </w:r>
      <w:r>
        <w:rPr>
          <w:rFonts w:hint="eastAsia" w:ascii="仿宋" w:hAnsi="仿宋" w:eastAsia="仿宋" w:cs="仿宋"/>
          <w:snapToGrid w:val="0"/>
          <w:kern w:val="0"/>
          <w:sz w:val="28"/>
          <w:szCs w:val="28"/>
          <w:highlight w:val="none"/>
          <w:lang w:val="en-US" w:eastAsia="zh-CN"/>
        </w:rPr>
        <w:t>三穗县</w:t>
      </w:r>
      <w:r>
        <w:rPr>
          <w:rFonts w:hint="default" w:ascii="仿宋" w:hAnsi="仿宋" w:eastAsia="仿宋" w:cs="仿宋"/>
          <w:snapToGrid w:val="0"/>
          <w:kern w:val="0"/>
          <w:sz w:val="28"/>
          <w:szCs w:val="28"/>
          <w:highlight w:val="none"/>
          <w:lang w:val="en-US" w:eastAsia="zh-CN"/>
        </w:rPr>
        <w:t>新房的均价基本保持稳定,</w:t>
      </w:r>
      <w:r>
        <w:rPr>
          <w:rFonts w:hint="eastAsia" w:ascii="仿宋" w:hAnsi="仿宋" w:eastAsia="仿宋" w:cs="仿宋"/>
          <w:snapToGrid w:val="0"/>
          <w:kern w:val="0"/>
          <w:sz w:val="28"/>
          <w:szCs w:val="28"/>
          <w:highlight w:val="none"/>
          <w:lang w:val="en-US" w:eastAsia="zh-CN"/>
        </w:rPr>
        <w:t>三穗县</w:t>
      </w:r>
      <w:r>
        <w:rPr>
          <w:rFonts w:hint="default" w:ascii="仿宋" w:hAnsi="仿宋" w:eastAsia="仿宋" w:cs="仿宋"/>
          <w:snapToGrid w:val="0"/>
          <w:kern w:val="0"/>
          <w:sz w:val="28"/>
          <w:szCs w:val="28"/>
          <w:highlight w:val="none"/>
          <w:lang w:val="en-US" w:eastAsia="zh-CN"/>
        </w:rPr>
        <w:t>4月新房均价3,</w:t>
      </w:r>
      <w:r>
        <w:rPr>
          <w:rFonts w:hint="eastAsia" w:ascii="仿宋" w:hAnsi="仿宋" w:eastAsia="仿宋" w:cs="仿宋"/>
          <w:snapToGrid w:val="0"/>
          <w:kern w:val="0"/>
          <w:sz w:val="28"/>
          <w:szCs w:val="28"/>
          <w:highlight w:val="none"/>
          <w:lang w:val="en-US" w:eastAsia="zh-CN"/>
        </w:rPr>
        <w:t>993</w:t>
      </w:r>
      <w:r>
        <w:rPr>
          <w:rFonts w:hint="default" w:ascii="仿宋" w:hAnsi="仿宋" w:eastAsia="仿宋" w:cs="仿宋"/>
          <w:snapToGrid w:val="0"/>
          <w:kern w:val="0"/>
          <w:sz w:val="28"/>
          <w:szCs w:val="28"/>
          <w:highlight w:val="none"/>
          <w:lang w:val="en-US" w:eastAsia="zh-CN"/>
        </w:rPr>
        <w:t>元/㎡ ，环比上月持平；</w:t>
      </w:r>
      <w:r>
        <w:rPr>
          <w:rFonts w:hint="eastAsia" w:ascii="仿宋" w:hAnsi="仿宋" w:eastAsia="仿宋" w:cs="仿宋"/>
          <w:snapToGrid w:val="0"/>
          <w:kern w:val="0"/>
          <w:sz w:val="28"/>
          <w:szCs w:val="28"/>
          <w:highlight w:val="none"/>
          <w:lang w:val="en-US" w:eastAsia="zh-CN"/>
        </w:rPr>
        <w:t>三穗县</w:t>
      </w:r>
      <w:r>
        <w:rPr>
          <w:rFonts w:hint="default" w:ascii="仿宋" w:hAnsi="仿宋" w:eastAsia="仿宋" w:cs="仿宋"/>
          <w:snapToGrid w:val="0"/>
          <w:kern w:val="0"/>
          <w:sz w:val="28"/>
          <w:szCs w:val="28"/>
          <w:highlight w:val="none"/>
          <w:lang w:val="en-US" w:eastAsia="zh-CN"/>
        </w:rPr>
        <w:t>二手房市场从2021年8月至今呈稳定趋势，</w:t>
      </w:r>
      <w:r>
        <w:rPr>
          <w:rFonts w:hint="eastAsia" w:ascii="仿宋" w:hAnsi="仿宋" w:eastAsia="仿宋" w:cs="仿宋"/>
          <w:snapToGrid w:val="0"/>
          <w:kern w:val="0"/>
          <w:sz w:val="28"/>
          <w:szCs w:val="28"/>
          <w:highlight w:val="none"/>
          <w:lang w:val="en-US" w:eastAsia="zh-CN"/>
        </w:rPr>
        <w:t>三穗县</w:t>
      </w:r>
      <w:r>
        <w:rPr>
          <w:rFonts w:hint="default" w:ascii="仿宋" w:hAnsi="仿宋" w:eastAsia="仿宋" w:cs="仿宋"/>
          <w:snapToGrid w:val="0"/>
          <w:kern w:val="0"/>
          <w:sz w:val="28"/>
          <w:szCs w:val="28"/>
          <w:highlight w:val="none"/>
          <w:lang w:val="en-US" w:eastAsia="zh-CN"/>
        </w:rPr>
        <w:t>4月二手房均价</w:t>
      </w:r>
      <w:r>
        <w:rPr>
          <w:rFonts w:hint="eastAsia" w:ascii="仿宋" w:hAnsi="仿宋" w:eastAsia="仿宋" w:cs="仿宋"/>
          <w:snapToGrid w:val="0"/>
          <w:kern w:val="0"/>
          <w:sz w:val="28"/>
          <w:szCs w:val="28"/>
          <w:highlight w:val="none"/>
          <w:lang w:val="en-US" w:eastAsia="zh-CN"/>
        </w:rPr>
        <w:t>3</w:t>
      </w:r>
      <w:r>
        <w:rPr>
          <w:rFonts w:hint="default" w:ascii="仿宋" w:hAnsi="仿宋" w:eastAsia="仿宋" w:cs="仿宋"/>
          <w:snapToGrid w:val="0"/>
          <w:kern w:val="0"/>
          <w:sz w:val="28"/>
          <w:szCs w:val="28"/>
          <w:highlight w:val="none"/>
          <w:lang w:val="en-US" w:eastAsia="zh-CN"/>
        </w:rPr>
        <w:t>,</w:t>
      </w:r>
      <w:r>
        <w:rPr>
          <w:rFonts w:hint="eastAsia" w:ascii="仿宋" w:hAnsi="仿宋" w:eastAsia="仿宋" w:cs="仿宋"/>
          <w:snapToGrid w:val="0"/>
          <w:kern w:val="0"/>
          <w:sz w:val="28"/>
          <w:szCs w:val="28"/>
          <w:highlight w:val="none"/>
          <w:lang w:val="en-US" w:eastAsia="zh-CN"/>
        </w:rPr>
        <w:t>474</w:t>
      </w:r>
      <w:r>
        <w:rPr>
          <w:rFonts w:hint="default" w:ascii="仿宋" w:hAnsi="仿宋" w:eastAsia="仿宋" w:cs="仿宋"/>
          <w:snapToGrid w:val="0"/>
          <w:kern w:val="0"/>
          <w:sz w:val="28"/>
          <w:szCs w:val="28"/>
          <w:highlight w:val="none"/>
          <w:lang w:val="en-US" w:eastAsia="zh-CN"/>
        </w:rPr>
        <w:t>元/㎡，环比持平</w:t>
      </w:r>
      <w:r>
        <w:rPr>
          <w:rFonts w:hint="eastAsia" w:ascii="仿宋" w:hAnsi="仿宋" w:eastAsia="仿宋" w:cs="仿宋"/>
          <w:snapToGrid w:val="0"/>
          <w:kern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（3）总结</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三穗县楼市仍有诸多不确定因素的影响，但在房住不炒的大基调大调控下，三穗县场仍是以刚需性购房为主，房价趋于平稳，大幅上涨的可能性不高。</w:t>
      </w:r>
    </w:p>
    <w:p>
      <w:pPr>
        <w:keepNext w:val="0"/>
        <w:keepLines w:val="0"/>
        <w:pageBreakBefore w:val="0"/>
        <w:widowControl w:val="0"/>
        <w:kinsoku/>
        <w:wordWrap/>
        <w:overflowPunct/>
        <w:topLinePunct w:val="0"/>
        <w:autoSpaceDE/>
        <w:autoSpaceDN/>
        <w:bidi w:val="0"/>
        <w:adjustRightInd/>
        <w:snapToGrid/>
        <w:spacing w:before="239" w:beforeLines="50"/>
        <w:textAlignment w:val="auto"/>
        <w:rPr>
          <w:rFonts w:hint="eastAsia" w:ascii="黑体" w:hAnsi="黑体" w:eastAsia="黑体" w:cs="黑体"/>
          <w:b/>
          <w:bCs/>
          <w:sz w:val="30"/>
          <w:szCs w:val="30"/>
          <w:highlight w:val="none"/>
          <w:lang w:val="en-US" w:eastAsia="zh-CN"/>
        </w:rPr>
      </w:pPr>
      <w:r>
        <w:rPr>
          <w:rFonts w:hint="eastAsia" w:ascii="黑体" w:hAnsi="黑体" w:eastAsia="黑体" w:cs="黑体"/>
          <w:b/>
          <w:bCs/>
          <w:sz w:val="30"/>
          <w:szCs w:val="30"/>
          <w:highlight w:val="none"/>
          <w:lang w:val="en-US" w:eastAsia="zh-CN"/>
        </w:rPr>
        <w:t>（三）最高最佳使用分析</w:t>
      </w:r>
      <w:bookmarkEnd w:id="75"/>
      <w:bookmarkEnd w:id="76"/>
      <w:bookmarkEnd w:id="77"/>
      <w:bookmarkEnd w:id="78"/>
      <w:bookmarkEnd w:id="79"/>
      <w:bookmarkEnd w:id="80"/>
      <w:bookmarkEnd w:id="81"/>
      <w:bookmarkEnd w:id="82"/>
    </w:p>
    <w:p>
      <w:pPr>
        <w:keepNext w:val="0"/>
        <w:keepLines w:val="0"/>
        <w:pageBreakBefore w:val="0"/>
        <w:widowControl w:val="0"/>
        <w:tabs>
          <w:tab w:val="left" w:pos="0"/>
        </w:tabs>
        <w:kinsoku/>
        <w:wordWrap/>
        <w:overflowPunct/>
        <w:topLinePunct w:val="0"/>
        <w:autoSpaceDE/>
        <w:autoSpaceDN/>
        <w:bidi w:val="0"/>
        <w:adjustRightInd w:val="0"/>
        <w:snapToGrid w:val="0"/>
        <w:spacing w:line="520" w:lineRule="atLeast"/>
        <w:ind w:firstLine="674" w:firstLineChars="200"/>
        <w:textAlignment w:val="auto"/>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房地产估价要以房地产的最高最佳使用为前提。所谓最高最佳使用，是估价对象的一种最可能的使用，这种最可能的使用是法律上允许、技术上可能、财务上可行，经过充分合理的论证，并能给估价对象带来最高</w:t>
      </w:r>
      <w:r>
        <w:rPr>
          <w:rFonts w:hint="eastAsia" w:ascii="仿宋" w:hAnsi="仿宋" w:eastAsia="仿宋"/>
          <w:snapToGrid w:val="0"/>
          <w:kern w:val="0"/>
          <w:sz w:val="28"/>
          <w:szCs w:val="28"/>
          <w:highlight w:val="none"/>
          <w:lang w:eastAsia="zh-CN"/>
        </w:rPr>
        <w:t>价格</w:t>
      </w:r>
      <w:r>
        <w:rPr>
          <w:rFonts w:hint="eastAsia" w:ascii="仿宋" w:hAnsi="仿宋" w:eastAsia="仿宋"/>
          <w:snapToGrid w:val="0"/>
          <w:kern w:val="0"/>
          <w:sz w:val="28"/>
          <w:szCs w:val="28"/>
          <w:highlight w:val="none"/>
        </w:rPr>
        <w:t>的使用。</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最高最佳使用分析真正体现了估价的客观性。衡量、判断的标准如下：</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法律上的许可性（规划及相关政策法规许可），即不受现时使用状况的限制，而依照法律、城市规划发展的规定。</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技术上的可能性，即不能把技术上无法做到的使用当作最高最佳使用，要按照可达到的建筑材料、施工技术等方面的要求确定。</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经济上的可行性，即在各种可能的使用方式中，选择收入现值大于支出现值的方式，寻求以经济上有限的投入而能获得最大收益的使用方式。</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lang w:eastAsia="zh-CN"/>
        </w:rPr>
        <w:t>价格</w:t>
      </w:r>
      <w:r>
        <w:rPr>
          <w:rFonts w:hint="eastAsia" w:ascii="仿宋" w:hAnsi="仿宋" w:eastAsia="仿宋"/>
          <w:snapToGrid w:val="0"/>
          <w:kern w:val="0"/>
          <w:sz w:val="28"/>
          <w:szCs w:val="28"/>
          <w:highlight w:val="none"/>
        </w:rPr>
        <w:t>最大性，使估价对象的</w:t>
      </w:r>
      <w:r>
        <w:rPr>
          <w:rFonts w:hint="eastAsia" w:ascii="仿宋" w:hAnsi="仿宋" w:eastAsia="仿宋"/>
          <w:snapToGrid w:val="0"/>
          <w:kern w:val="0"/>
          <w:sz w:val="28"/>
          <w:szCs w:val="28"/>
          <w:highlight w:val="none"/>
          <w:lang w:eastAsia="zh-CN"/>
        </w:rPr>
        <w:t>价格</w:t>
      </w:r>
      <w:r>
        <w:rPr>
          <w:rFonts w:hint="eastAsia" w:ascii="仿宋" w:hAnsi="仿宋" w:eastAsia="仿宋"/>
          <w:snapToGrid w:val="0"/>
          <w:kern w:val="0"/>
          <w:sz w:val="28"/>
          <w:szCs w:val="28"/>
          <w:highlight w:val="none"/>
        </w:rPr>
        <w:t>在具有经济可行性的使用方式中达到最大的一种。</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土地与建筑物的均衡性，即以房地产内部构成要素的组合是否均衡来判定。估价师把建筑物与土地区位是否相匹配，是否具有投资集约度的因素考虑进去。</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与外部环境的协调性，应按房地产与其周围环境相协调，能活的最佳外部经济效益的用途估价。</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可持续发展性，按可持续发展的观点确定使用方式，即研究房地产市场的发展变动趋势、使未来利益最大化的使用方式。</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对于估价对象的最高最佳使用，主要基于以下几个方面的考虑：</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1. 估价对象</w:t>
      </w:r>
      <w:r>
        <w:rPr>
          <w:rFonts w:hint="eastAsia" w:ascii="仿宋" w:hAnsi="仿宋" w:eastAsia="仿宋"/>
          <w:snapToGrid w:val="0"/>
          <w:kern w:val="0"/>
          <w:sz w:val="28"/>
          <w:szCs w:val="28"/>
          <w:highlight w:val="none"/>
          <w:lang w:eastAsia="zh-CN"/>
        </w:rPr>
        <w:t>房屋</w:t>
      </w:r>
      <w:r>
        <w:rPr>
          <w:rFonts w:hint="eastAsia" w:ascii="仿宋" w:hAnsi="仿宋" w:eastAsia="仿宋"/>
          <w:snapToGrid w:val="0"/>
          <w:kern w:val="0"/>
          <w:sz w:val="28"/>
          <w:szCs w:val="28"/>
          <w:highlight w:val="none"/>
        </w:rPr>
        <w:t>权属资料记载用途为</w:t>
      </w:r>
      <w:r>
        <w:rPr>
          <w:rFonts w:hint="eastAsia" w:ascii="仿宋" w:hAnsi="仿宋" w:eastAsia="仿宋"/>
          <w:snapToGrid w:val="0"/>
          <w:kern w:val="0"/>
          <w:sz w:val="28"/>
          <w:szCs w:val="28"/>
          <w:highlight w:val="none"/>
          <w:lang w:val="en-US" w:eastAsia="zh-CN"/>
        </w:rPr>
        <w:t>成套</w:t>
      </w:r>
      <w:r>
        <w:rPr>
          <w:rFonts w:hint="eastAsia" w:ascii="仿宋" w:hAnsi="仿宋" w:eastAsia="仿宋"/>
          <w:snapToGrid w:val="0"/>
          <w:kern w:val="0"/>
          <w:sz w:val="28"/>
          <w:szCs w:val="28"/>
          <w:highlight w:val="none"/>
          <w:lang w:eastAsia="zh-CN"/>
        </w:rPr>
        <w:t>住宅</w:t>
      </w:r>
      <w:r>
        <w:rPr>
          <w:rFonts w:hint="eastAsia" w:ascii="仿宋" w:hAnsi="仿宋" w:eastAsia="仿宋"/>
          <w:snapToGrid w:val="0"/>
          <w:kern w:val="0"/>
          <w:sz w:val="28"/>
          <w:szCs w:val="28"/>
          <w:highlight w:val="none"/>
        </w:rPr>
        <w:t>，实际用途为</w:t>
      </w:r>
      <w:r>
        <w:rPr>
          <w:rFonts w:hint="eastAsia" w:ascii="仿宋" w:hAnsi="仿宋" w:eastAsia="仿宋"/>
          <w:snapToGrid w:val="0"/>
          <w:kern w:val="0"/>
          <w:sz w:val="28"/>
          <w:szCs w:val="28"/>
          <w:highlight w:val="none"/>
          <w:lang w:eastAsia="zh-CN"/>
        </w:rPr>
        <w:t>住宅</w:t>
      </w:r>
      <w:r>
        <w:rPr>
          <w:rFonts w:hint="eastAsia" w:ascii="仿宋" w:hAnsi="仿宋" w:eastAsia="仿宋"/>
          <w:snapToGrid w:val="0"/>
          <w:kern w:val="0"/>
          <w:sz w:val="28"/>
          <w:szCs w:val="28"/>
          <w:highlight w:val="none"/>
        </w:rPr>
        <w:t>；</w:t>
      </w:r>
    </w:p>
    <w:p>
      <w:pPr>
        <w:spacing w:line="520" w:lineRule="atLeast"/>
        <w:ind w:firstLine="674" w:firstLineChars="200"/>
        <w:rPr>
          <w:rFonts w:ascii="黑体" w:hAnsi="黑体" w:eastAsia="黑体"/>
          <w:b/>
          <w:bCs/>
          <w:sz w:val="30"/>
          <w:szCs w:val="30"/>
          <w:highlight w:val="none"/>
        </w:rPr>
      </w:pPr>
      <w:r>
        <w:rPr>
          <w:rFonts w:hint="eastAsia" w:ascii="仿宋" w:hAnsi="仿宋" w:eastAsia="仿宋"/>
          <w:snapToGrid w:val="0"/>
          <w:kern w:val="0"/>
          <w:sz w:val="28"/>
          <w:szCs w:val="28"/>
          <w:highlight w:val="none"/>
        </w:rPr>
        <w:t>2. 估价对象建筑布局为</w:t>
      </w:r>
      <w:r>
        <w:rPr>
          <w:rFonts w:hint="eastAsia" w:ascii="仿宋" w:hAnsi="仿宋" w:eastAsia="仿宋"/>
          <w:snapToGrid w:val="0"/>
          <w:kern w:val="0"/>
          <w:sz w:val="28"/>
          <w:szCs w:val="28"/>
          <w:highlight w:val="none"/>
          <w:lang w:eastAsia="zh-CN"/>
        </w:rPr>
        <w:t>住宅</w:t>
      </w:r>
      <w:r>
        <w:rPr>
          <w:rFonts w:hint="eastAsia" w:ascii="仿宋" w:hAnsi="仿宋" w:eastAsia="仿宋"/>
          <w:snapToGrid w:val="0"/>
          <w:kern w:val="0"/>
          <w:sz w:val="28"/>
          <w:szCs w:val="28"/>
          <w:highlight w:val="none"/>
        </w:rPr>
        <w:t>布局，技术上决定估价对象最高最佳用途为</w:t>
      </w:r>
      <w:r>
        <w:rPr>
          <w:rFonts w:hint="eastAsia" w:ascii="仿宋" w:hAnsi="仿宋" w:eastAsia="仿宋"/>
          <w:snapToGrid w:val="0"/>
          <w:kern w:val="0"/>
          <w:sz w:val="28"/>
          <w:szCs w:val="28"/>
          <w:highlight w:val="none"/>
          <w:lang w:eastAsia="zh-CN"/>
        </w:rPr>
        <w:t>住宅</w:t>
      </w:r>
      <w:r>
        <w:rPr>
          <w:rFonts w:hint="eastAsia" w:ascii="仿宋" w:hAnsi="仿宋" w:eastAsia="仿宋"/>
          <w:snapToGrid w:val="0"/>
          <w:kern w:val="0"/>
          <w:sz w:val="28"/>
          <w:szCs w:val="28"/>
          <w:highlight w:val="none"/>
        </w:rPr>
        <w:t>。</w:t>
      </w:r>
      <w:bookmarkStart w:id="84" w:name="_Toc21594269"/>
      <w:bookmarkStart w:id="85" w:name="_Toc21608310"/>
      <w:bookmarkStart w:id="86" w:name="_Toc21608393"/>
      <w:bookmarkStart w:id="87" w:name="_Toc5695"/>
      <w:bookmarkStart w:id="88" w:name="_Toc10845"/>
    </w:p>
    <w:p>
      <w:pPr>
        <w:rPr>
          <w:rFonts w:hint="eastAsia" w:ascii="黑体" w:hAnsi="黑体" w:eastAsia="黑体" w:cs="黑体"/>
          <w:b/>
          <w:bCs/>
          <w:sz w:val="30"/>
          <w:szCs w:val="30"/>
          <w:highlight w:val="none"/>
        </w:rPr>
      </w:pPr>
      <w:r>
        <w:rPr>
          <w:rFonts w:hint="eastAsia" w:ascii="黑体" w:hAnsi="黑体" w:eastAsia="黑体" w:cs="黑体"/>
          <w:b/>
          <w:bCs/>
          <w:sz w:val="30"/>
          <w:szCs w:val="30"/>
          <w:highlight w:val="none"/>
        </w:rPr>
        <w:t>（</w:t>
      </w:r>
      <w:r>
        <w:rPr>
          <w:rFonts w:hint="eastAsia" w:ascii="黑体" w:hAnsi="黑体" w:eastAsia="黑体" w:cs="黑体"/>
          <w:b/>
          <w:bCs/>
          <w:sz w:val="30"/>
          <w:szCs w:val="30"/>
          <w:highlight w:val="none"/>
          <w:lang w:eastAsia="zh-CN"/>
        </w:rPr>
        <w:t>四</w:t>
      </w:r>
      <w:r>
        <w:rPr>
          <w:rFonts w:hint="eastAsia" w:ascii="黑体" w:hAnsi="黑体" w:eastAsia="黑体" w:cs="黑体"/>
          <w:b/>
          <w:bCs/>
          <w:sz w:val="30"/>
          <w:szCs w:val="30"/>
          <w:highlight w:val="none"/>
        </w:rPr>
        <w:t>）估价方法适用性分析</w:t>
      </w:r>
      <w:bookmarkEnd w:id="83"/>
      <w:bookmarkEnd w:id="84"/>
      <w:bookmarkEnd w:id="85"/>
      <w:bookmarkEnd w:id="86"/>
      <w:bookmarkEnd w:id="87"/>
      <w:bookmarkEnd w:id="88"/>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b/>
          <w:bCs/>
          <w:snapToGrid w:val="0"/>
          <w:kern w:val="0"/>
          <w:sz w:val="28"/>
          <w:szCs w:val="28"/>
          <w:highlight w:val="none"/>
        </w:rPr>
      </w:pPr>
      <w:bookmarkStart w:id="89" w:name="_Toc21594270"/>
      <w:bookmarkStart w:id="90" w:name="_Toc17391"/>
      <w:bookmarkStart w:id="91" w:name="_Toc30002"/>
      <w:bookmarkStart w:id="92" w:name="_Toc21608394"/>
      <w:bookmarkStart w:id="93" w:name="_Toc21608311"/>
      <w:r>
        <w:rPr>
          <w:rFonts w:hint="eastAsia" w:ascii="仿宋" w:hAnsi="仿宋" w:eastAsia="仿宋" w:cs="仿宋"/>
          <w:b/>
          <w:bCs/>
          <w:snapToGrid w:val="0"/>
          <w:kern w:val="0"/>
          <w:sz w:val="28"/>
          <w:szCs w:val="28"/>
          <w:highlight w:val="none"/>
        </w:rPr>
        <w:t>1、估价方法选取</w:t>
      </w:r>
    </w:p>
    <w:p>
      <w:pPr>
        <w:keepNext w:val="0"/>
        <w:keepLines w:val="0"/>
        <w:pageBreakBefore w:val="0"/>
        <w:widowControl w:val="0"/>
        <w:kinsoku/>
        <w:wordWrap/>
        <w:overflowPunct/>
        <w:topLinePunct w:val="0"/>
        <w:autoSpaceDE/>
        <w:autoSpaceDN/>
        <w:bidi w:val="0"/>
        <w:adjustRightInd w:val="0"/>
        <w:snapToGrid w:val="0"/>
        <w:spacing w:after="239" w:afterLines="50" w:line="520" w:lineRule="exact"/>
        <w:ind w:firstLine="674" w:firstLineChars="200"/>
        <w:textAlignment w:val="auto"/>
        <w:rPr>
          <w:rFonts w:hint="eastAsia"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估价人员在认真分析所掌握的资料，并对估价对象进行了实地查勘以及对周边房地产市场进行调查后，根据《房地产估价规范》【GB/T50291-2015】、《房地产估价基本术语标准》【GB/T50899-2013】，遵照国家有关法律、法规、估价技术标准，经过反复研究，最终选取</w:t>
      </w:r>
      <w:r>
        <w:rPr>
          <w:rFonts w:hint="eastAsia" w:ascii="仿宋" w:hAnsi="仿宋" w:eastAsia="仿宋" w:cs="仿宋"/>
          <w:snapToGrid w:val="0"/>
          <w:kern w:val="0"/>
          <w:sz w:val="28"/>
          <w:szCs w:val="28"/>
          <w:highlight w:val="none"/>
          <w:lang w:eastAsia="zh-CN"/>
        </w:rPr>
        <w:t>比较法</w:t>
      </w:r>
      <w:r>
        <w:rPr>
          <w:rFonts w:hint="eastAsia" w:ascii="仿宋" w:hAnsi="仿宋" w:eastAsia="仿宋" w:cs="仿宋"/>
          <w:snapToGrid w:val="0"/>
          <w:kern w:val="0"/>
          <w:sz w:val="28"/>
          <w:szCs w:val="28"/>
          <w:highlight w:val="none"/>
        </w:rPr>
        <w:t>对估价对象（</w:t>
      </w:r>
      <w:r>
        <w:rPr>
          <w:rFonts w:hint="eastAsia" w:ascii="仿宋" w:hAnsi="仿宋" w:eastAsia="仿宋" w:cs="仿宋"/>
          <w:snapToGrid w:val="0"/>
          <w:kern w:val="0"/>
          <w:sz w:val="28"/>
          <w:szCs w:val="28"/>
          <w:highlight w:val="none"/>
          <w:lang w:eastAsia="zh-CN"/>
        </w:rPr>
        <w:t>住宅</w:t>
      </w:r>
      <w:r>
        <w:rPr>
          <w:rFonts w:hint="eastAsia" w:ascii="仿宋" w:hAnsi="仿宋" w:eastAsia="仿宋" w:cs="仿宋"/>
          <w:snapToGrid w:val="0"/>
          <w:kern w:val="0"/>
          <w:sz w:val="28"/>
          <w:szCs w:val="28"/>
          <w:highlight w:val="none"/>
        </w:rPr>
        <w:t>用途，面积为</w:t>
      </w:r>
      <w:r>
        <w:rPr>
          <w:rFonts w:hint="eastAsia" w:ascii="仿宋" w:hAnsi="仿宋" w:eastAsia="仿宋" w:cs="仿宋"/>
          <w:snapToGrid w:val="0"/>
          <w:kern w:val="0"/>
          <w:sz w:val="28"/>
          <w:szCs w:val="28"/>
          <w:highlight w:val="none"/>
          <w:lang w:eastAsia="zh-CN"/>
        </w:rPr>
        <w:t>107.29</w:t>
      </w:r>
      <w:r>
        <w:rPr>
          <w:rFonts w:hint="eastAsia" w:ascii="仿宋" w:hAnsi="仿宋" w:eastAsia="仿宋" w:cs="仿宋"/>
          <w:snapToGrid w:val="0"/>
          <w:kern w:val="0"/>
          <w:sz w:val="28"/>
          <w:szCs w:val="28"/>
          <w:highlight w:val="none"/>
        </w:rPr>
        <w:t>平方米）房地产进行估价，具体分析如下表：</w:t>
      </w:r>
    </w:p>
    <w:tbl>
      <w:tblPr>
        <w:tblStyle w:val="46"/>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737"/>
        <w:gridCol w:w="3738"/>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可选估价方法</w:t>
            </w:r>
          </w:p>
        </w:tc>
        <w:tc>
          <w:tcPr>
            <w:tcW w:w="373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估价方法定义</w:t>
            </w:r>
          </w:p>
        </w:tc>
        <w:tc>
          <w:tcPr>
            <w:tcW w:w="3738"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估价方法是否选择理由</w:t>
            </w:r>
          </w:p>
        </w:tc>
        <w:tc>
          <w:tcPr>
            <w:tcW w:w="1073"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是否</w:t>
            </w:r>
          </w:p>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比较法</w:t>
            </w:r>
          </w:p>
        </w:tc>
        <w:tc>
          <w:tcPr>
            <w:tcW w:w="3737" w:type="dxa"/>
            <w:tcBorders>
              <w:tl2br w:val="nil"/>
              <w:tr2bl w:val="nil"/>
            </w:tcBorders>
            <w:vAlign w:val="center"/>
          </w:tcPr>
          <w:p>
            <w:pPr>
              <w:widowControl/>
              <w:jc w:val="both"/>
              <w:rPr>
                <w:rFonts w:ascii="仿宋" w:hAnsi="仿宋" w:eastAsia="仿宋" w:cs="楷体_GB2312"/>
                <w:sz w:val="21"/>
                <w:szCs w:val="21"/>
                <w:highlight w:val="none"/>
              </w:rPr>
            </w:pPr>
            <w:r>
              <w:rPr>
                <w:rFonts w:hint="eastAsia" w:ascii="仿宋" w:hAnsi="仿宋" w:eastAsia="仿宋" w:cs="宋体"/>
                <w:kern w:val="0"/>
                <w:sz w:val="21"/>
                <w:szCs w:val="21"/>
                <w:highlight w:val="none"/>
              </w:rPr>
              <w:t>选取一定数量的可比实例，将它们与估价对象进行比较，根据其间的差异对可比实例成交价格进行处理后得到估价对象</w:t>
            </w:r>
            <w:r>
              <w:rPr>
                <w:rFonts w:hint="eastAsia" w:ascii="仿宋" w:hAnsi="仿宋" w:eastAsia="仿宋" w:cs="宋体"/>
                <w:kern w:val="0"/>
                <w:sz w:val="21"/>
                <w:szCs w:val="21"/>
                <w:highlight w:val="none"/>
                <w:lang w:eastAsia="zh-CN"/>
              </w:rPr>
              <w:t>价格</w:t>
            </w:r>
            <w:r>
              <w:rPr>
                <w:rFonts w:hint="eastAsia" w:ascii="仿宋" w:hAnsi="仿宋" w:eastAsia="仿宋" w:cs="宋体"/>
                <w:kern w:val="0"/>
                <w:sz w:val="21"/>
                <w:szCs w:val="21"/>
                <w:highlight w:val="none"/>
              </w:rPr>
              <w:t>或价格的方法。</w:t>
            </w:r>
          </w:p>
        </w:tc>
        <w:tc>
          <w:tcPr>
            <w:tcW w:w="3738" w:type="dxa"/>
            <w:tcBorders>
              <w:tl2br w:val="nil"/>
              <w:tr2bl w:val="nil"/>
            </w:tcBorders>
            <w:vAlign w:val="center"/>
          </w:tcPr>
          <w:p>
            <w:pPr>
              <w:widowControl/>
              <w:jc w:val="both"/>
              <w:rPr>
                <w:rFonts w:ascii="仿宋" w:hAnsi="仿宋" w:eastAsia="仿宋" w:cs="楷体_GB2312"/>
                <w:sz w:val="21"/>
                <w:szCs w:val="21"/>
                <w:highlight w:val="none"/>
              </w:rPr>
            </w:pPr>
            <w:r>
              <w:rPr>
                <w:rFonts w:hint="eastAsia" w:ascii="仿宋" w:hAnsi="仿宋" w:eastAsia="仿宋" w:cs="宋体"/>
                <w:kern w:val="0"/>
                <w:sz w:val="21"/>
                <w:szCs w:val="21"/>
                <w:highlight w:val="none"/>
              </w:rPr>
              <w:t>估价对象实际用途为</w:t>
            </w:r>
            <w:r>
              <w:rPr>
                <w:rFonts w:hint="eastAsia" w:ascii="仿宋" w:hAnsi="仿宋" w:eastAsia="仿宋" w:cs="宋体"/>
                <w:kern w:val="0"/>
                <w:sz w:val="21"/>
                <w:szCs w:val="21"/>
                <w:highlight w:val="none"/>
                <w:lang w:eastAsia="zh-CN"/>
              </w:rPr>
              <w:t>住宅</w:t>
            </w:r>
            <w:r>
              <w:rPr>
                <w:rFonts w:hint="eastAsia" w:ascii="仿宋" w:hAnsi="仿宋" w:eastAsia="仿宋" w:cs="宋体"/>
                <w:kern w:val="0"/>
                <w:sz w:val="21"/>
                <w:szCs w:val="21"/>
                <w:highlight w:val="none"/>
              </w:rPr>
              <w:t>，所在区域与估价对象相似使用的销售可比案例（同一供需圈内、用途一致、邻近区域）较</w:t>
            </w:r>
            <w:r>
              <w:rPr>
                <w:rFonts w:hint="eastAsia" w:ascii="仿宋" w:hAnsi="仿宋" w:eastAsia="仿宋" w:cs="宋体"/>
                <w:kern w:val="0"/>
                <w:sz w:val="21"/>
                <w:szCs w:val="21"/>
                <w:highlight w:val="none"/>
                <w:lang w:eastAsia="zh-CN"/>
              </w:rPr>
              <w:t>多</w:t>
            </w:r>
            <w:r>
              <w:rPr>
                <w:rFonts w:hint="eastAsia" w:ascii="仿宋" w:hAnsi="仿宋" w:eastAsia="仿宋" w:cs="宋体"/>
                <w:kern w:val="0"/>
                <w:sz w:val="21"/>
                <w:szCs w:val="21"/>
                <w:highlight w:val="none"/>
              </w:rPr>
              <w:t>，故本次估价选取比较法对估价对象进行估价。</w:t>
            </w:r>
          </w:p>
        </w:tc>
        <w:tc>
          <w:tcPr>
            <w:tcW w:w="1073" w:type="dxa"/>
            <w:tcBorders>
              <w:tl2br w:val="nil"/>
              <w:tr2bl w:val="nil"/>
            </w:tcBorders>
            <w:vAlign w:val="center"/>
          </w:tcPr>
          <w:p>
            <w:pPr>
              <w:spacing w:line="288" w:lineRule="auto"/>
              <w:jc w:val="center"/>
              <w:rPr>
                <w:rFonts w:ascii="仿宋" w:hAnsi="仿宋" w:eastAsia="仿宋" w:cs="楷体_GB2312"/>
                <w:bCs/>
                <w:sz w:val="21"/>
                <w:szCs w:val="21"/>
                <w:highlight w:val="none"/>
              </w:rPr>
            </w:pPr>
            <w:r>
              <w:rPr>
                <w:rFonts w:hint="eastAsia" w:ascii="仿宋" w:hAnsi="仿宋" w:eastAsia="仿宋" w:cs="楷体_GB2312"/>
                <w:bCs/>
                <w:sz w:val="21"/>
                <w:szCs w:val="21"/>
                <w:highlight w:val="none"/>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收益法</w:t>
            </w:r>
          </w:p>
        </w:tc>
        <w:tc>
          <w:tcPr>
            <w:tcW w:w="3737" w:type="dxa"/>
            <w:tcBorders>
              <w:tl2br w:val="nil"/>
              <w:tr2bl w:val="nil"/>
            </w:tcBorders>
            <w:vAlign w:val="center"/>
          </w:tcPr>
          <w:p>
            <w:pPr>
              <w:widowControl/>
              <w:jc w:val="both"/>
              <w:rPr>
                <w:rFonts w:ascii="仿宋" w:hAnsi="仿宋" w:eastAsia="仿宋" w:cs="楷体_GB2312"/>
                <w:sz w:val="21"/>
                <w:szCs w:val="21"/>
                <w:highlight w:val="none"/>
              </w:rPr>
            </w:pPr>
            <w:r>
              <w:rPr>
                <w:rFonts w:hint="eastAsia" w:ascii="仿宋" w:hAnsi="仿宋" w:eastAsia="仿宋" w:cs="宋体"/>
                <w:kern w:val="0"/>
                <w:sz w:val="21"/>
                <w:szCs w:val="21"/>
                <w:highlight w:val="none"/>
              </w:rPr>
              <w:t>预测估价对象的未来收益，利用报酬率或资本化率、收益乘数将未来收益转换为</w:t>
            </w:r>
            <w:r>
              <w:rPr>
                <w:rFonts w:hint="eastAsia" w:ascii="仿宋" w:hAnsi="仿宋" w:eastAsia="仿宋" w:cs="宋体"/>
                <w:kern w:val="0"/>
                <w:sz w:val="21"/>
                <w:szCs w:val="21"/>
                <w:highlight w:val="none"/>
                <w:lang w:eastAsia="zh-CN"/>
              </w:rPr>
              <w:t>价格</w:t>
            </w:r>
            <w:r>
              <w:rPr>
                <w:rFonts w:hint="eastAsia" w:ascii="仿宋" w:hAnsi="仿宋" w:eastAsia="仿宋" w:cs="宋体"/>
                <w:kern w:val="0"/>
                <w:sz w:val="21"/>
                <w:szCs w:val="21"/>
                <w:highlight w:val="none"/>
              </w:rPr>
              <w:t>得到估价对象</w:t>
            </w:r>
            <w:r>
              <w:rPr>
                <w:rFonts w:hint="eastAsia" w:ascii="仿宋" w:hAnsi="仿宋" w:eastAsia="仿宋" w:cs="宋体"/>
                <w:kern w:val="0"/>
                <w:sz w:val="21"/>
                <w:szCs w:val="21"/>
                <w:highlight w:val="none"/>
                <w:lang w:eastAsia="zh-CN"/>
              </w:rPr>
              <w:t>价格</w:t>
            </w:r>
            <w:r>
              <w:rPr>
                <w:rFonts w:hint="eastAsia" w:ascii="仿宋" w:hAnsi="仿宋" w:eastAsia="仿宋" w:cs="宋体"/>
                <w:kern w:val="0"/>
                <w:sz w:val="21"/>
                <w:szCs w:val="21"/>
                <w:highlight w:val="none"/>
              </w:rPr>
              <w:t>或价格的方法。</w:t>
            </w:r>
          </w:p>
        </w:tc>
        <w:tc>
          <w:tcPr>
            <w:tcW w:w="3738" w:type="dxa"/>
            <w:tcBorders>
              <w:tl2br w:val="nil"/>
              <w:tr2bl w:val="nil"/>
            </w:tcBorders>
            <w:vAlign w:val="center"/>
          </w:tcPr>
          <w:p>
            <w:pPr>
              <w:widowControl/>
              <w:jc w:val="both"/>
              <w:rPr>
                <w:rFonts w:hint="eastAsia" w:ascii="仿宋" w:hAnsi="仿宋" w:eastAsia="仿宋" w:cs="楷体_GB2312"/>
                <w:sz w:val="21"/>
                <w:szCs w:val="21"/>
                <w:highlight w:val="none"/>
                <w:lang w:eastAsia="zh-CN"/>
              </w:rPr>
            </w:pPr>
            <w:r>
              <w:rPr>
                <w:rFonts w:hint="eastAsia" w:ascii="仿宋" w:hAnsi="仿宋" w:eastAsia="仿宋" w:cs="宋体"/>
                <w:kern w:val="0"/>
                <w:sz w:val="21"/>
                <w:szCs w:val="21"/>
                <w:highlight w:val="none"/>
                <w:lang w:eastAsia="zh-CN"/>
              </w:rPr>
              <w:t>收益法适宜用于收益性物业估价，即为有经济收益或有潜在经济收益的房地产，估价对象所在区域住宅物业租金较低，从收益角度无法反应出该房地产的市场价格，故本次估价不选取采用收益法进行估价。</w:t>
            </w:r>
          </w:p>
        </w:tc>
        <w:tc>
          <w:tcPr>
            <w:tcW w:w="1073" w:type="dxa"/>
            <w:tcBorders>
              <w:tl2br w:val="nil"/>
              <w:tr2bl w:val="nil"/>
            </w:tcBorders>
            <w:vAlign w:val="center"/>
          </w:tcPr>
          <w:p>
            <w:pPr>
              <w:spacing w:line="288" w:lineRule="auto"/>
              <w:jc w:val="center"/>
              <w:rPr>
                <w:rFonts w:ascii="仿宋" w:hAnsi="仿宋" w:eastAsia="仿宋" w:cs="楷体_GB2312"/>
                <w:bCs/>
                <w:sz w:val="21"/>
                <w:szCs w:val="21"/>
                <w:highlight w:val="none"/>
              </w:rPr>
            </w:pPr>
            <w:r>
              <w:rPr>
                <w:rFonts w:hint="eastAsia" w:ascii="仿宋" w:hAnsi="仿宋" w:eastAsia="仿宋" w:cs="楷体_GB2312"/>
                <w:bCs/>
                <w:sz w:val="21"/>
                <w:szCs w:val="21"/>
                <w:highlight w:val="none"/>
                <w:lang w:eastAsia="zh-CN"/>
              </w:rPr>
              <w:t>不</w:t>
            </w:r>
            <w:r>
              <w:rPr>
                <w:rFonts w:hint="eastAsia" w:ascii="仿宋" w:hAnsi="仿宋" w:eastAsia="仿宋" w:cs="楷体_GB2312"/>
                <w:bCs/>
                <w:sz w:val="21"/>
                <w:szCs w:val="21"/>
                <w:highlight w:val="none"/>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假设开发法</w:t>
            </w:r>
          </w:p>
        </w:tc>
        <w:tc>
          <w:tcPr>
            <w:tcW w:w="3737" w:type="dxa"/>
            <w:tcBorders>
              <w:tl2br w:val="nil"/>
              <w:tr2bl w:val="nil"/>
            </w:tcBorders>
            <w:vAlign w:val="center"/>
          </w:tcPr>
          <w:p>
            <w:pPr>
              <w:widowControl/>
              <w:jc w:val="both"/>
              <w:rPr>
                <w:rFonts w:ascii="仿宋" w:hAnsi="仿宋" w:eastAsia="仿宋" w:cs="楷体_GB2312"/>
                <w:sz w:val="21"/>
                <w:szCs w:val="21"/>
                <w:highlight w:val="none"/>
              </w:rPr>
            </w:pPr>
            <w:r>
              <w:rPr>
                <w:rFonts w:hint="eastAsia" w:ascii="仿宋" w:hAnsi="仿宋" w:eastAsia="仿宋" w:cs="宋体"/>
                <w:kern w:val="0"/>
                <w:sz w:val="21"/>
                <w:szCs w:val="21"/>
                <w:highlight w:val="none"/>
              </w:rPr>
              <w:t>求得估价对象后续开发的必要支出及折现率或后续开发的必要支出及应得利润和开发完成后的</w:t>
            </w:r>
            <w:r>
              <w:rPr>
                <w:rFonts w:hint="eastAsia" w:ascii="仿宋" w:hAnsi="仿宋" w:eastAsia="仿宋" w:cs="宋体"/>
                <w:kern w:val="0"/>
                <w:sz w:val="21"/>
                <w:szCs w:val="21"/>
                <w:highlight w:val="none"/>
                <w:lang w:eastAsia="zh-CN"/>
              </w:rPr>
              <w:t>价格</w:t>
            </w:r>
            <w:r>
              <w:rPr>
                <w:rFonts w:hint="eastAsia" w:ascii="仿宋" w:hAnsi="仿宋" w:eastAsia="仿宋" w:cs="宋体"/>
                <w:kern w:val="0"/>
                <w:sz w:val="21"/>
                <w:szCs w:val="21"/>
                <w:highlight w:val="none"/>
              </w:rPr>
              <w:t>，将开发完成后的</w:t>
            </w:r>
            <w:r>
              <w:rPr>
                <w:rFonts w:hint="eastAsia" w:ascii="仿宋" w:hAnsi="仿宋" w:eastAsia="仿宋" w:cs="宋体"/>
                <w:kern w:val="0"/>
                <w:sz w:val="21"/>
                <w:szCs w:val="21"/>
                <w:highlight w:val="none"/>
                <w:lang w:eastAsia="zh-CN"/>
              </w:rPr>
              <w:t>价格</w:t>
            </w:r>
            <w:r>
              <w:rPr>
                <w:rFonts w:hint="eastAsia" w:ascii="仿宋" w:hAnsi="仿宋" w:eastAsia="仿宋" w:cs="宋体"/>
                <w:kern w:val="0"/>
                <w:sz w:val="21"/>
                <w:szCs w:val="21"/>
                <w:highlight w:val="none"/>
              </w:rPr>
              <w:t>和后续开发的必要支出折现到</w:t>
            </w:r>
            <w:r>
              <w:rPr>
                <w:rFonts w:hint="eastAsia" w:ascii="仿宋" w:hAnsi="仿宋" w:eastAsia="仿宋" w:cs="宋体"/>
                <w:kern w:val="0"/>
                <w:sz w:val="21"/>
                <w:szCs w:val="21"/>
                <w:highlight w:val="none"/>
                <w:lang w:eastAsia="zh-CN"/>
              </w:rPr>
              <w:t>价格</w:t>
            </w:r>
            <w:r>
              <w:rPr>
                <w:rFonts w:hint="eastAsia" w:ascii="仿宋" w:hAnsi="仿宋" w:eastAsia="仿宋" w:cs="宋体"/>
                <w:kern w:val="0"/>
                <w:sz w:val="21"/>
                <w:szCs w:val="21"/>
                <w:highlight w:val="none"/>
              </w:rPr>
              <w:t>时点后相减，或将开发完成后的</w:t>
            </w:r>
            <w:r>
              <w:rPr>
                <w:rFonts w:hint="eastAsia" w:ascii="仿宋" w:hAnsi="仿宋" w:eastAsia="仿宋" w:cs="宋体"/>
                <w:kern w:val="0"/>
                <w:sz w:val="21"/>
                <w:szCs w:val="21"/>
                <w:highlight w:val="none"/>
                <w:lang w:eastAsia="zh-CN"/>
              </w:rPr>
              <w:t>价格</w:t>
            </w:r>
            <w:r>
              <w:rPr>
                <w:rFonts w:hint="eastAsia" w:ascii="仿宋" w:hAnsi="仿宋" w:eastAsia="仿宋" w:cs="宋体"/>
                <w:kern w:val="0"/>
                <w:sz w:val="21"/>
                <w:szCs w:val="21"/>
                <w:highlight w:val="none"/>
              </w:rPr>
              <w:t>减去后续开发的必要支出及应得利润得到估价对象</w:t>
            </w:r>
            <w:r>
              <w:rPr>
                <w:rFonts w:hint="eastAsia" w:ascii="仿宋" w:hAnsi="仿宋" w:eastAsia="仿宋" w:cs="宋体"/>
                <w:kern w:val="0"/>
                <w:sz w:val="21"/>
                <w:szCs w:val="21"/>
                <w:highlight w:val="none"/>
                <w:lang w:eastAsia="zh-CN"/>
              </w:rPr>
              <w:t>价格</w:t>
            </w:r>
            <w:r>
              <w:rPr>
                <w:rFonts w:hint="eastAsia" w:ascii="仿宋" w:hAnsi="仿宋" w:eastAsia="仿宋" w:cs="宋体"/>
                <w:kern w:val="0"/>
                <w:sz w:val="21"/>
                <w:szCs w:val="21"/>
                <w:highlight w:val="none"/>
              </w:rPr>
              <w:t>或价格的方法。</w:t>
            </w:r>
          </w:p>
        </w:tc>
        <w:tc>
          <w:tcPr>
            <w:tcW w:w="3738" w:type="dxa"/>
            <w:tcBorders>
              <w:tl2br w:val="nil"/>
              <w:tr2bl w:val="nil"/>
            </w:tcBorders>
            <w:vAlign w:val="center"/>
          </w:tcPr>
          <w:p>
            <w:pPr>
              <w:widowControl/>
              <w:jc w:val="both"/>
              <w:rPr>
                <w:rFonts w:hint="eastAsia" w:ascii="仿宋" w:hAnsi="仿宋" w:eastAsia="仿宋" w:cs="楷体_GB2312"/>
                <w:sz w:val="21"/>
                <w:szCs w:val="21"/>
                <w:highlight w:val="none"/>
                <w:lang w:eastAsia="zh-CN"/>
              </w:rPr>
            </w:pPr>
            <w:r>
              <w:rPr>
                <w:rFonts w:hint="eastAsia" w:ascii="仿宋" w:hAnsi="仿宋" w:eastAsia="仿宋" w:cs="宋体"/>
                <w:kern w:val="0"/>
                <w:sz w:val="21"/>
                <w:szCs w:val="21"/>
                <w:highlight w:val="none"/>
                <w:lang w:eastAsia="zh-CN"/>
              </w:rPr>
              <w:t>假设开发法适用于评估具有投资开发价格或再开发潜力的房地产，估价对象为已投入使用的房地产，非待开发房地产，不产生后续开发成本，故本次评估不选取假设开发法作为估价方法。</w:t>
            </w:r>
          </w:p>
        </w:tc>
        <w:tc>
          <w:tcPr>
            <w:tcW w:w="1073" w:type="dxa"/>
            <w:tcBorders>
              <w:tl2br w:val="nil"/>
              <w:tr2bl w:val="nil"/>
            </w:tcBorders>
            <w:vAlign w:val="center"/>
          </w:tcPr>
          <w:p>
            <w:pPr>
              <w:spacing w:line="288" w:lineRule="auto"/>
              <w:jc w:val="center"/>
              <w:rPr>
                <w:rFonts w:ascii="仿宋" w:hAnsi="仿宋" w:eastAsia="仿宋" w:cs="楷体_GB2312"/>
                <w:bCs/>
                <w:sz w:val="21"/>
                <w:szCs w:val="21"/>
                <w:highlight w:val="none"/>
              </w:rPr>
            </w:pPr>
            <w:r>
              <w:rPr>
                <w:rFonts w:hint="eastAsia" w:ascii="仿宋" w:hAnsi="仿宋" w:eastAsia="仿宋" w:cs="楷体_GB2312"/>
                <w:bCs/>
                <w:sz w:val="21"/>
                <w:szCs w:val="21"/>
                <w:highlight w:val="none"/>
              </w:rPr>
              <w:t>不选取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成本法</w:t>
            </w:r>
          </w:p>
        </w:tc>
        <w:tc>
          <w:tcPr>
            <w:tcW w:w="3737" w:type="dxa"/>
            <w:tcBorders>
              <w:tl2br w:val="nil"/>
              <w:tr2bl w:val="nil"/>
            </w:tcBorders>
            <w:vAlign w:val="center"/>
          </w:tcPr>
          <w:p>
            <w:pPr>
              <w:widowControl/>
              <w:jc w:val="both"/>
              <w:rPr>
                <w:rFonts w:ascii="仿宋" w:hAnsi="仿宋" w:eastAsia="仿宋" w:cs="楷体_GB2312"/>
                <w:sz w:val="21"/>
                <w:szCs w:val="21"/>
                <w:highlight w:val="none"/>
              </w:rPr>
            </w:pPr>
            <w:r>
              <w:rPr>
                <w:rFonts w:hint="eastAsia" w:ascii="仿宋" w:hAnsi="仿宋" w:eastAsia="仿宋" w:cs="宋体"/>
                <w:kern w:val="0"/>
                <w:sz w:val="21"/>
                <w:szCs w:val="21"/>
                <w:highlight w:val="none"/>
              </w:rPr>
              <w:t>测算估价对象在</w:t>
            </w:r>
            <w:r>
              <w:rPr>
                <w:rFonts w:hint="eastAsia" w:ascii="仿宋" w:hAnsi="仿宋" w:eastAsia="仿宋" w:cs="宋体"/>
                <w:kern w:val="0"/>
                <w:sz w:val="21"/>
                <w:szCs w:val="21"/>
                <w:highlight w:val="none"/>
                <w:lang w:eastAsia="zh-CN"/>
              </w:rPr>
              <w:t>价格</w:t>
            </w:r>
            <w:r>
              <w:rPr>
                <w:rFonts w:hint="eastAsia" w:ascii="仿宋" w:hAnsi="仿宋" w:eastAsia="仿宋" w:cs="宋体"/>
                <w:kern w:val="0"/>
                <w:sz w:val="21"/>
                <w:szCs w:val="21"/>
                <w:highlight w:val="none"/>
              </w:rPr>
              <w:t>时点的重置成本或重建成本和折旧，将重置成本或重建成本减去折旧得到估价对象</w:t>
            </w:r>
            <w:r>
              <w:rPr>
                <w:rFonts w:hint="eastAsia" w:ascii="仿宋" w:hAnsi="仿宋" w:eastAsia="仿宋" w:cs="宋体"/>
                <w:kern w:val="0"/>
                <w:sz w:val="21"/>
                <w:szCs w:val="21"/>
                <w:highlight w:val="none"/>
                <w:lang w:eastAsia="zh-CN"/>
              </w:rPr>
              <w:t>价格</w:t>
            </w:r>
            <w:r>
              <w:rPr>
                <w:rFonts w:hint="eastAsia" w:ascii="仿宋" w:hAnsi="仿宋" w:eastAsia="仿宋" w:cs="宋体"/>
                <w:kern w:val="0"/>
                <w:sz w:val="21"/>
                <w:szCs w:val="21"/>
                <w:highlight w:val="none"/>
              </w:rPr>
              <w:t>或价格的方法。</w:t>
            </w:r>
          </w:p>
        </w:tc>
        <w:tc>
          <w:tcPr>
            <w:tcW w:w="3738" w:type="dxa"/>
            <w:tcBorders>
              <w:tl2br w:val="nil"/>
              <w:tr2bl w:val="nil"/>
            </w:tcBorders>
            <w:vAlign w:val="center"/>
          </w:tcPr>
          <w:p>
            <w:pPr>
              <w:widowControl/>
              <w:jc w:val="both"/>
              <w:rPr>
                <w:rFonts w:hint="eastAsia" w:ascii="仿宋" w:hAnsi="仿宋" w:eastAsia="仿宋" w:cs="楷体_GB2312"/>
                <w:sz w:val="21"/>
                <w:szCs w:val="21"/>
                <w:highlight w:val="none"/>
                <w:lang w:eastAsia="zh-CN"/>
              </w:rPr>
            </w:pPr>
            <w:r>
              <w:rPr>
                <w:rFonts w:hint="eastAsia" w:ascii="仿宋" w:hAnsi="仿宋" w:eastAsia="仿宋" w:cs="宋体"/>
                <w:kern w:val="0"/>
                <w:sz w:val="21"/>
                <w:szCs w:val="21"/>
                <w:highlight w:val="none"/>
                <w:lang w:eastAsia="zh-CN"/>
              </w:rPr>
              <w:t>估价对象为住宅房地产，房地产价格与成本关联性弱，运用成本法测算的结果不能准确反映估价对象的实际市场价格，故不选取成本法进行评估。</w:t>
            </w:r>
          </w:p>
        </w:tc>
        <w:tc>
          <w:tcPr>
            <w:tcW w:w="1073" w:type="dxa"/>
            <w:tcBorders>
              <w:tl2br w:val="nil"/>
              <w:tr2bl w:val="nil"/>
            </w:tcBorders>
            <w:vAlign w:val="center"/>
          </w:tcPr>
          <w:p>
            <w:pPr>
              <w:spacing w:line="288" w:lineRule="auto"/>
              <w:jc w:val="center"/>
              <w:rPr>
                <w:rFonts w:ascii="仿宋" w:hAnsi="仿宋" w:eastAsia="仿宋" w:cs="楷体_GB2312"/>
                <w:bCs/>
                <w:sz w:val="21"/>
                <w:szCs w:val="21"/>
                <w:highlight w:val="none"/>
              </w:rPr>
            </w:pPr>
            <w:r>
              <w:rPr>
                <w:rFonts w:hint="eastAsia" w:ascii="仿宋" w:hAnsi="仿宋" w:eastAsia="仿宋" w:cs="楷体_GB2312"/>
                <w:bCs/>
                <w:sz w:val="21"/>
                <w:szCs w:val="21"/>
                <w:highlight w:val="none"/>
              </w:rPr>
              <w:t>不选取</w:t>
            </w:r>
          </w:p>
        </w:tc>
      </w:tr>
    </w:tbl>
    <w:p>
      <w:pPr>
        <w:widowControl/>
        <w:spacing w:before="237" w:beforeLines="50"/>
        <w:jc w:val="left"/>
        <w:rPr>
          <w:rFonts w:ascii="仿宋" w:hAnsi="仿宋" w:eastAsia="仿宋" w:cs="仿宋"/>
          <w:b/>
          <w:kern w:val="0"/>
          <w:sz w:val="28"/>
          <w:szCs w:val="28"/>
          <w:highlight w:val="none"/>
        </w:rPr>
      </w:pPr>
      <w:r>
        <w:rPr>
          <w:rFonts w:hint="eastAsia" w:ascii="仿宋_GB2312" w:hAnsi="宋体" w:eastAsia="仿宋_GB2312" w:cs="宋体"/>
          <w:b/>
          <w:kern w:val="0"/>
          <w:sz w:val="28"/>
          <w:szCs w:val="28"/>
          <w:highlight w:val="none"/>
        </w:rPr>
        <w:t xml:space="preserve">  </w:t>
      </w:r>
      <w:r>
        <w:rPr>
          <w:rFonts w:ascii="仿宋_GB2312" w:hAnsi="宋体" w:eastAsia="仿宋_GB2312" w:cs="宋体"/>
          <w:b/>
          <w:kern w:val="0"/>
          <w:sz w:val="28"/>
          <w:szCs w:val="28"/>
          <w:highlight w:val="none"/>
        </w:rPr>
        <w:t xml:space="preserve"> </w:t>
      </w:r>
      <w:r>
        <w:rPr>
          <w:rFonts w:hint="eastAsia" w:ascii="仿宋" w:hAnsi="仿宋" w:eastAsia="仿宋" w:cs="仿宋"/>
          <w:b/>
          <w:kern w:val="0"/>
          <w:sz w:val="28"/>
          <w:szCs w:val="28"/>
          <w:highlight w:val="none"/>
        </w:rPr>
        <w:t xml:space="preserve"> 2、本次选用估价方法原理及基本公式</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比较法原理：是将估价对象房地产与近期已经发生交易的类似房地产加以比较对照，从已经发生了交易的类似房地产的已知价格，修正得出估价对象房地产价格的一种估价方法。</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比较法的计算公式：</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Pi=P’×A×B×C×D×</w:t>
      </w:r>
      <w:r>
        <w:rPr>
          <w:rFonts w:hint="eastAsia" w:ascii="仿宋" w:hAnsi="仿宋" w:eastAsia="仿宋" w:cs="仿宋"/>
          <w:bCs/>
          <w:snapToGrid w:val="0"/>
          <w:kern w:val="0"/>
          <w:sz w:val="28"/>
          <w:szCs w:val="28"/>
          <w:highlight w:val="none"/>
          <w:lang w:val="en-US" w:eastAsia="zh-CN"/>
        </w:rPr>
        <w:t>E</w:t>
      </w:r>
      <w:r>
        <w:rPr>
          <w:rFonts w:hint="eastAsia" w:ascii="仿宋" w:hAnsi="仿宋" w:eastAsia="仿宋" w:cs="仿宋"/>
          <w:bCs/>
          <w:snapToGrid w:val="0"/>
          <w:kern w:val="0"/>
          <w:sz w:val="28"/>
          <w:szCs w:val="28"/>
          <w:highlight w:val="none"/>
        </w:rPr>
        <w:t xml:space="preserve">    </w:t>
      </w:r>
      <w:r>
        <w:rPr>
          <w:rFonts w:hint="eastAsia" w:ascii="仿宋" w:hAnsi="仿宋" w:eastAsia="仿宋" w:cs="仿宋"/>
          <w:bCs/>
          <w:snapToGrid w:val="0"/>
          <w:kern w:val="0"/>
          <w:sz w:val="28"/>
          <w:szCs w:val="28"/>
          <w:highlight w:val="none"/>
          <w:lang w:val="en-US" w:eastAsia="zh-CN"/>
        </w:rPr>
        <w:t xml:space="preserve">      </w:t>
      </w:r>
      <w:r>
        <w:rPr>
          <w:rFonts w:hint="eastAsia" w:ascii="仿宋" w:hAnsi="仿宋" w:eastAsia="仿宋" w:cs="仿宋"/>
          <w:bCs/>
          <w:snapToGrid w:val="0"/>
          <w:kern w:val="0"/>
          <w:sz w:val="28"/>
          <w:szCs w:val="28"/>
          <w:highlight w:val="none"/>
        </w:rPr>
        <w:t>P=∑（Pi×权重系数）</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式中：P—待估房地产评评估格    A—交易情况调整系数</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 xml:space="preserve">      Pi—待估房地产比准价格   B—</w:t>
      </w:r>
      <w:r>
        <w:rPr>
          <w:rFonts w:hint="eastAsia" w:ascii="仿宋" w:hAnsi="仿宋" w:eastAsia="仿宋" w:cs="仿宋"/>
          <w:bCs/>
          <w:snapToGrid w:val="0"/>
          <w:kern w:val="0"/>
          <w:sz w:val="28"/>
          <w:szCs w:val="28"/>
          <w:highlight w:val="none"/>
          <w:lang w:eastAsia="zh-CN"/>
        </w:rPr>
        <w:t>市场状况</w:t>
      </w:r>
      <w:r>
        <w:rPr>
          <w:rFonts w:hint="eastAsia" w:ascii="仿宋" w:hAnsi="仿宋" w:eastAsia="仿宋" w:cs="仿宋"/>
          <w:bCs/>
          <w:snapToGrid w:val="0"/>
          <w:kern w:val="0"/>
          <w:sz w:val="28"/>
          <w:szCs w:val="28"/>
          <w:highlight w:val="none"/>
        </w:rPr>
        <w:t>调整系数</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 xml:space="preserve">      P’—可比交易实例价格    C—</w:t>
      </w:r>
      <w:r>
        <w:rPr>
          <w:rFonts w:hint="eastAsia" w:ascii="仿宋" w:hAnsi="仿宋" w:eastAsia="仿宋" w:cs="仿宋"/>
          <w:bCs/>
          <w:snapToGrid w:val="0"/>
          <w:kern w:val="0"/>
          <w:sz w:val="28"/>
          <w:szCs w:val="28"/>
          <w:highlight w:val="none"/>
          <w:lang w:eastAsia="zh-CN"/>
        </w:rPr>
        <w:t>区位状况</w:t>
      </w:r>
      <w:r>
        <w:rPr>
          <w:rFonts w:hint="eastAsia" w:ascii="仿宋" w:hAnsi="仿宋" w:eastAsia="仿宋" w:cs="仿宋"/>
          <w:bCs/>
          <w:snapToGrid w:val="0"/>
          <w:kern w:val="0"/>
          <w:sz w:val="28"/>
          <w:szCs w:val="28"/>
          <w:highlight w:val="none"/>
        </w:rPr>
        <w:t>调整系数</w:t>
      </w:r>
    </w:p>
    <w:p>
      <w:pPr>
        <w:spacing w:line="520" w:lineRule="exact"/>
        <w:ind w:firstLine="674" w:firstLineChars="200"/>
        <w:rPr>
          <w:rFonts w:hint="eastAsia" w:ascii="仿宋" w:hAnsi="仿宋" w:eastAsia="仿宋" w:cs="仿宋"/>
          <w:bCs/>
          <w:snapToGrid w:val="0"/>
          <w:kern w:val="0"/>
          <w:sz w:val="28"/>
          <w:szCs w:val="28"/>
          <w:highlight w:val="none"/>
          <w:lang w:eastAsia="zh-CN"/>
        </w:rPr>
      </w:pPr>
      <w:r>
        <w:rPr>
          <w:rFonts w:hint="eastAsia" w:ascii="仿宋" w:hAnsi="仿宋" w:eastAsia="仿宋" w:cs="仿宋"/>
          <w:bCs/>
          <w:snapToGrid w:val="0"/>
          <w:kern w:val="0"/>
          <w:sz w:val="28"/>
          <w:szCs w:val="28"/>
          <w:highlight w:val="none"/>
        </w:rPr>
        <w:t xml:space="preserve">    </w:t>
      </w:r>
      <w:r>
        <w:rPr>
          <w:rFonts w:hint="eastAsia" w:ascii="仿宋" w:hAnsi="仿宋" w:eastAsia="仿宋" w:cs="仿宋"/>
          <w:bCs/>
          <w:snapToGrid w:val="0"/>
          <w:kern w:val="0"/>
          <w:sz w:val="28"/>
          <w:szCs w:val="28"/>
          <w:highlight w:val="none"/>
          <w:lang w:val="en-US" w:eastAsia="zh-CN"/>
        </w:rPr>
        <w:t xml:space="preserve">                           </w:t>
      </w:r>
      <w:r>
        <w:rPr>
          <w:rFonts w:hint="eastAsia" w:ascii="仿宋" w:hAnsi="仿宋" w:eastAsia="仿宋" w:cs="仿宋"/>
          <w:bCs/>
          <w:snapToGrid w:val="0"/>
          <w:kern w:val="0"/>
          <w:sz w:val="28"/>
          <w:szCs w:val="28"/>
          <w:highlight w:val="none"/>
        </w:rPr>
        <w:t>D—</w:t>
      </w:r>
      <w:r>
        <w:rPr>
          <w:rFonts w:hint="eastAsia" w:ascii="仿宋" w:hAnsi="仿宋" w:eastAsia="仿宋" w:cs="仿宋"/>
          <w:bCs/>
          <w:snapToGrid w:val="0"/>
          <w:kern w:val="0"/>
          <w:sz w:val="28"/>
          <w:szCs w:val="28"/>
          <w:highlight w:val="none"/>
          <w:lang w:eastAsia="zh-CN"/>
        </w:rPr>
        <w:t>实物状况</w:t>
      </w:r>
      <w:r>
        <w:rPr>
          <w:rFonts w:hint="eastAsia" w:ascii="仿宋" w:hAnsi="仿宋" w:eastAsia="仿宋" w:cs="仿宋"/>
          <w:bCs/>
          <w:snapToGrid w:val="0"/>
          <w:kern w:val="0"/>
          <w:sz w:val="28"/>
          <w:szCs w:val="28"/>
          <w:highlight w:val="none"/>
        </w:rPr>
        <w:t>素</w:t>
      </w:r>
      <w:r>
        <w:rPr>
          <w:rFonts w:hint="eastAsia" w:ascii="仿宋" w:hAnsi="仿宋" w:eastAsia="仿宋" w:cs="仿宋"/>
          <w:bCs/>
          <w:snapToGrid w:val="0"/>
          <w:kern w:val="0"/>
          <w:sz w:val="28"/>
          <w:szCs w:val="28"/>
          <w:highlight w:val="none"/>
          <w:lang w:eastAsia="zh-CN"/>
        </w:rPr>
        <w:t>修正系数</w:t>
      </w:r>
    </w:p>
    <w:p>
      <w:pPr>
        <w:spacing w:line="520" w:lineRule="exact"/>
        <w:ind w:firstLine="674" w:firstLineChars="200"/>
        <w:rPr>
          <w:rFonts w:hint="eastAsia" w:ascii="仿宋" w:hAnsi="仿宋" w:eastAsia="仿宋" w:cs="仿宋"/>
          <w:bCs/>
          <w:snapToGrid w:val="0"/>
          <w:kern w:val="0"/>
          <w:sz w:val="28"/>
          <w:szCs w:val="28"/>
          <w:highlight w:val="none"/>
          <w:lang w:eastAsia="zh-CN"/>
        </w:rPr>
      </w:pPr>
      <w:r>
        <w:rPr>
          <w:rFonts w:hint="eastAsia" w:ascii="仿宋" w:hAnsi="仿宋" w:eastAsia="仿宋" w:cs="仿宋"/>
          <w:bCs/>
          <w:snapToGrid w:val="0"/>
          <w:kern w:val="0"/>
          <w:sz w:val="28"/>
          <w:szCs w:val="28"/>
          <w:highlight w:val="none"/>
          <w:lang w:val="en-US" w:eastAsia="zh-CN"/>
        </w:rPr>
        <w:t xml:space="preserve">                               E</w:t>
      </w:r>
      <w:r>
        <w:rPr>
          <w:rFonts w:hint="eastAsia" w:ascii="仿宋" w:hAnsi="仿宋" w:eastAsia="仿宋" w:cs="仿宋"/>
          <w:bCs/>
          <w:snapToGrid w:val="0"/>
          <w:kern w:val="0"/>
          <w:sz w:val="28"/>
          <w:szCs w:val="28"/>
          <w:highlight w:val="none"/>
        </w:rPr>
        <w:t>—</w:t>
      </w:r>
      <w:r>
        <w:rPr>
          <w:rFonts w:hint="eastAsia" w:ascii="仿宋" w:hAnsi="仿宋" w:eastAsia="仿宋" w:cs="仿宋"/>
          <w:bCs/>
          <w:snapToGrid w:val="0"/>
          <w:kern w:val="0"/>
          <w:sz w:val="28"/>
          <w:szCs w:val="28"/>
          <w:highlight w:val="none"/>
          <w:lang w:eastAsia="zh-CN"/>
        </w:rPr>
        <w:t>权益状况</w:t>
      </w:r>
      <w:r>
        <w:rPr>
          <w:rFonts w:hint="eastAsia" w:ascii="仿宋" w:hAnsi="仿宋" w:eastAsia="仿宋" w:cs="仿宋"/>
          <w:bCs/>
          <w:snapToGrid w:val="0"/>
          <w:kern w:val="0"/>
          <w:sz w:val="28"/>
          <w:szCs w:val="28"/>
          <w:highlight w:val="none"/>
        </w:rPr>
        <w:t>素</w:t>
      </w:r>
      <w:r>
        <w:rPr>
          <w:rFonts w:hint="eastAsia" w:ascii="仿宋" w:hAnsi="仿宋" w:eastAsia="仿宋" w:cs="仿宋"/>
          <w:bCs/>
          <w:snapToGrid w:val="0"/>
          <w:kern w:val="0"/>
          <w:sz w:val="28"/>
          <w:szCs w:val="28"/>
          <w:highlight w:val="none"/>
          <w:lang w:eastAsia="zh-CN"/>
        </w:rPr>
        <w:t>修正系数</w:t>
      </w:r>
    </w:p>
    <w:p>
      <w:pPr>
        <w:ind w:firstLine="357" w:firstLineChars="100"/>
        <w:rPr>
          <w:rFonts w:hint="eastAsia" w:ascii="黑体" w:hAnsi="黑体" w:eastAsia="黑体" w:cs="黑体"/>
          <w:b/>
          <w:bCs/>
          <w:sz w:val="30"/>
          <w:szCs w:val="30"/>
          <w:highlight w:val="none"/>
          <w:lang w:val="en-US" w:eastAsia="zh-CN"/>
        </w:rPr>
      </w:pPr>
      <w:r>
        <w:rPr>
          <w:rFonts w:hint="eastAsia" w:ascii="黑体" w:hAnsi="黑体" w:eastAsia="黑体" w:cs="黑体"/>
          <w:b/>
          <w:bCs/>
          <w:sz w:val="30"/>
          <w:szCs w:val="30"/>
          <w:highlight w:val="none"/>
          <w:lang w:val="en-US" w:eastAsia="zh-CN"/>
        </w:rPr>
        <w:t>（五）估价测算过程</w:t>
      </w:r>
      <w:bookmarkEnd w:id="89"/>
      <w:bookmarkEnd w:id="90"/>
      <w:bookmarkEnd w:id="91"/>
      <w:bookmarkEnd w:id="92"/>
      <w:bookmarkEnd w:id="93"/>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cs="仿宋"/>
          <w:snapToGrid w:val="0"/>
          <w:color w:val="000000" w:themeColor="text1"/>
          <w:kern w:val="0"/>
          <w:sz w:val="28"/>
          <w:szCs w:val="28"/>
          <w:highlight w:val="yellow"/>
          <w:lang w:eastAsia="zh-CN"/>
          <w14:textFill>
            <w14:solidFill>
              <w14:schemeClr w14:val="tx1"/>
            </w14:solidFill>
          </w14:textFill>
        </w:rPr>
      </w:pPr>
      <w:r>
        <w:rPr>
          <w:rFonts w:hint="eastAsia" w:ascii="仿宋" w:hAnsi="仿宋" w:eastAsia="仿宋" w:cs="仿宋"/>
          <w:snapToGrid w:val="0"/>
          <w:color w:val="000000" w:themeColor="text1"/>
          <w:kern w:val="0"/>
          <w:sz w:val="28"/>
          <w:szCs w:val="28"/>
          <w:highlight w:val="none"/>
          <w:lang w:val="en-US" w:eastAsia="zh-CN"/>
          <w14:textFill>
            <w14:solidFill>
              <w14:schemeClr w14:val="tx1"/>
            </w14:solidFill>
          </w14:textFill>
        </w:rPr>
        <w:t>1、未扣评估费、拍卖费等相关费用的市场价格</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cs="仿宋"/>
          <w:snapToGrid w:val="0"/>
          <w:color w:val="000000" w:themeColor="text1"/>
          <w:kern w:val="0"/>
          <w:sz w:val="28"/>
          <w:szCs w:val="28"/>
          <w:highlight w:val="none"/>
          <w14:textFill>
            <w14:solidFill>
              <w14:schemeClr w14:val="tx1"/>
            </w14:solidFill>
          </w14:textFill>
        </w:rPr>
      </w:pPr>
      <w:r>
        <w:rPr>
          <w:rFonts w:hint="eastAsia" w:ascii="仿宋" w:hAnsi="仿宋" w:eastAsia="仿宋" w:cs="仿宋"/>
          <w:snapToGrid w:val="0"/>
          <w:color w:val="000000" w:themeColor="text1"/>
          <w:kern w:val="0"/>
          <w:sz w:val="28"/>
          <w:szCs w:val="28"/>
          <w:highlight w:val="none"/>
          <w:lang w:eastAsia="zh-CN"/>
          <w14:textFill>
            <w14:solidFill>
              <w14:schemeClr w14:val="tx1"/>
            </w14:solidFill>
          </w14:textFill>
        </w:rPr>
        <w:t>本次估价</w:t>
      </w:r>
      <w:r>
        <w:rPr>
          <w:rFonts w:hint="eastAsia" w:ascii="仿宋" w:hAnsi="仿宋" w:eastAsia="仿宋" w:cs="仿宋"/>
          <w:snapToGrid w:val="0"/>
          <w:color w:val="000000" w:themeColor="text1"/>
          <w:kern w:val="0"/>
          <w:sz w:val="28"/>
          <w:szCs w:val="28"/>
          <w:highlight w:val="none"/>
          <w14:textFill>
            <w14:solidFill>
              <w14:schemeClr w14:val="tx1"/>
            </w14:solidFill>
          </w14:textFill>
        </w:rPr>
        <w:t>选择了以下三个比较交易案例：</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ascii="仿宋" w:hAnsi="仿宋" w:eastAsia="仿宋" w:cs="仿宋"/>
          <w:snapToGrid w:val="0"/>
          <w:color w:val="000000" w:themeColor="text1"/>
          <w:kern w:val="0"/>
          <w:sz w:val="28"/>
          <w:szCs w:val="28"/>
          <w:highlight w:val="none"/>
          <w14:textFill>
            <w14:solidFill>
              <w14:schemeClr w14:val="tx1"/>
            </w14:solidFill>
          </w14:textFill>
        </w:rPr>
      </w:pPr>
      <w:r>
        <w:rPr>
          <w:rFonts w:hint="eastAsia" w:ascii="仿宋" w:hAnsi="仿宋" w:eastAsia="仿宋" w:cs="仿宋"/>
          <w:snapToGrid w:val="0"/>
          <w:color w:val="000000" w:themeColor="text1"/>
          <w:kern w:val="0"/>
          <w:sz w:val="28"/>
          <w:szCs w:val="28"/>
          <w:highlight w:val="none"/>
          <w14:textFill>
            <w14:solidFill>
              <w14:schemeClr w14:val="tx1"/>
            </w14:solidFill>
          </w14:textFill>
        </w:rPr>
        <w:t>（1）选择可比实例：</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cs="仿宋"/>
          <w:snapToGrid w:val="0"/>
          <w:color w:val="000000" w:themeColor="text1"/>
          <w:kern w:val="0"/>
          <w:sz w:val="28"/>
          <w:szCs w:val="28"/>
          <w:highlight w:val="none"/>
          <w14:textFill>
            <w14:solidFill>
              <w14:schemeClr w14:val="tx1"/>
            </w14:solidFill>
          </w14:textFill>
        </w:rPr>
      </w:pPr>
      <w:r>
        <w:rPr>
          <w:rFonts w:hint="eastAsia" w:ascii="仿宋" w:hAnsi="仿宋" w:eastAsia="仿宋" w:cs="仿宋"/>
          <w:snapToGrid w:val="0"/>
          <w:color w:val="000000" w:themeColor="text1"/>
          <w:kern w:val="0"/>
          <w:sz w:val="28"/>
          <w:szCs w:val="28"/>
          <w:highlight w:val="none"/>
          <w14:textFill>
            <w14:solidFill>
              <w14:schemeClr w14:val="tx1"/>
            </w14:solidFill>
          </w14:textFill>
        </w:rPr>
        <w:t>根据评估对象房地产的具体情况，经评估人员对房地产市场进行调查，结合评估对象自身实际情况，在不违背交易时间接近、用途相同、地段相似的原则的前提下，经仔细筛选，确定A、B、C三个可比实例（价格单位为人民币</w:t>
      </w:r>
      <w:r>
        <w:rPr>
          <w:rFonts w:hint="eastAsia" w:ascii="仿宋" w:hAnsi="仿宋" w:eastAsia="仿宋" w:cs="仿宋"/>
          <w:snapToGrid w:val="0"/>
          <w:color w:val="000000" w:themeColor="text1"/>
          <w:kern w:val="0"/>
          <w:sz w:val="28"/>
          <w:szCs w:val="28"/>
          <w:highlight w:val="none"/>
          <w:lang w:eastAsia="zh-CN"/>
          <w14:textFill>
            <w14:solidFill>
              <w14:schemeClr w14:val="tx1"/>
            </w14:solidFill>
          </w14:textFill>
        </w:rPr>
        <w:t>元/</w:t>
      </w:r>
      <w:r>
        <w:rPr>
          <w:rFonts w:hint="eastAsia" w:ascii="仿宋" w:hAnsi="仿宋" w:eastAsia="仿宋" w:cs="仿宋"/>
          <w:snapToGrid w:val="0"/>
          <w:color w:val="000000" w:themeColor="text1"/>
          <w:kern w:val="0"/>
          <w:sz w:val="28"/>
          <w:szCs w:val="28"/>
          <w:highlight w:val="none"/>
          <w:lang w:val="en-US" w:eastAsia="zh-CN"/>
          <w14:textFill>
            <w14:solidFill>
              <w14:schemeClr w14:val="tx1"/>
            </w14:solidFill>
          </w14:textFill>
        </w:rPr>
        <w:t>平方米</w:t>
      </w:r>
      <w:r>
        <w:rPr>
          <w:rFonts w:hint="eastAsia" w:ascii="仿宋" w:hAnsi="仿宋" w:eastAsia="仿宋" w:cs="仿宋"/>
          <w:snapToGrid w:val="0"/>
          <w:color w:val="000000" w:themeColor="text1"/>
          <w:kern w:val="0"/>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bCs/>
          <w:snapToGrid w:val="0"/>
          <w:color w:val="000000" w:themeColor="text1"/>
          <w:kern w:val="0"/>
          <w:sz w:val="28"/>
          <w:szCs w:val="28"/>
          <w:highlight w:val="none"/>
          <w14:textFill>
            <w14:solidFill>
              <w14:schemeClr w14:val="tx1"/>
            </w14:solidFill>
          </w14:textFill>
        </w:rPr>
      </w:pPr>
      <w:r>
        <w:rPr>
          <w:rFonts w:hint="eastAsia" w:ascii="仿宋" w:hAnsi="仿宋" w:eastAsia="仿宋" w:cs="仿宋"/>
          <w:b/>
          <w:bCs/>
          <w:snapToGrid w:val="0"/>
          <w:color w:val="000000" w:themeColor="text1"/>
          <w:kern w:val="0"/>
          <w:sz w:val="28"/>
          <w:szCs w:val="28"/>
          <w:highlight w:val="none"/>
          <w14:textFill>
            <w14:solidFill>
              <w14:schemeClr w14:val="tx1"/>
            </w14:solidFill>
          </w14:textFill>
        </w:rPr>
        <w:t>可比实例基本情况表</w:t>
      </w:r>
    </w:p>
    <w:tbl>
      <w:tblPr>
        <w:tblStyle w:val="46"/>
        <w:tblW w:w="962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746"/>
        <w:gridCol w:w="1130"/>
        <w:gridCol w:w="1900"/>
        <w:gridCol w:w="1950"/>
        <w:gridCol w:w="1964"/>
        <w:gridCol w:w="19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876" w:type="dxa"/>
            <w:gridSpan w:val="2"/>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项目名称</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评估对象</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可比实例A</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可比实例B</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876" w:type="dxa"/>
            <w:gridSpan w:val="2"/>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八弓镇中坝村（凯宏·城市花园三期）2幢1-9-2住宅</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八弓镇中坝村（凯宏·城市花园三期）住宅</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八弓镇中坝村（凯宏·城市花园三期）住宅</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八弓镇中坝村（凯宏·城市花园三期）住宅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876"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坐落</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876"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房屋用途</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区位状况比较因素</w:t>
            </w: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区域繁华程度</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小区级商业中心，区域繁华程度一般</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小区级商业中心，区域繁华程度一般</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小区级商业中心，区域繁华程度一般</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小区级商业中心，区域繁华程度一般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交通条件</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附近有三穗2路、三穗3路等公交车经过，交通一般</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附近有三穗2路、三穗3路等公交车经过，交通一般</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附近有三穗2路、三穗3路等公交车经过，交通一般</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附近有三穗2路、三穗3路等公交车经过，交通一般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公共配套设施</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附近有学校、商业广场、影城、酒店、餐饮等配套较齐全</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附近有学校、商业广场、影城、酒店、餐饮等配套较齐全</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附近有学校、商业广场、影城、酒店、餐饮等配套较齐全</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附近有学校、商业广场、影城、酒店、餐饮等配套较齐全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周围环境</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周边多为住宅小区，自然环境和人文环境较优，空气质量良好，噪声污染较小，治安状况良好</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周边多为住宅小区，自然环境和人文环境较优，空气质量良好，噪声污染较小，治安状况良好</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周边多为住宅小区，自然环境和人文环境较优，空气质量良好，噪声污染较小，治安状况良好</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周边多为住宅小区，自然环境和人文环境较优，空气质量良好，噪声污染较小，治安状况良好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楼层</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9层</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3层</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14层</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朝向</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东</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南</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东南</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东南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w:t>
            </w: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规划条件</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无特殊规划限制</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无特殊规划限制</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无特殊规划限制</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无特殊规划限制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权益完整</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权益完整</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权益完整</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权益完整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租约限制</w:t>
            </w:r>
          </w:p>
        </w:tc>
        <w:tc>
          <w:tcPr>
            <w:tcW w:w="190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c>
          <w:tcPr>
            <w:tcW w:w="19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c>
          <w:tcPr>
            <w:tcW w:w="196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c>
          <w:tcPr>
            <w:tcW w:w="193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实物状况比较因素</w:t>
            </w: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建筑面积</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107.29㎡</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108㎡ </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104.7㎡</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127㎡</w:t>
            </w:r>
            <w:r>
              <w:rPr>
                <w:rFonts w:hint="default" w:ascii="仿宋" w:hAnsi="仿宋" w:eastAsia="仿宋" w:cs="仿宋"/>
                <w:b w:val="0"/>
                <w:bCs/>
                <w:snapToGrid w:val="0"/>
                <w:color w:val="000000"/>
                <w:kern w:val="0"/>
                <w:sz w:val="21"/>
                <w:szCs w:val="21"/>
                <w:highlight w:val="none"/>
                <w:lang w:val="en-US" w:eastAsia="zh-CN" w:bidi="ar-SA"/>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建筑结构</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钢筋混凝土结构</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钢筋混凝土结构</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钢筋混凝土结构</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钢筋混凝土结构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建筑年代</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约2020年</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约2020年</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约2020年</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约2020年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层高</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约2.8米</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约2.8米</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约2.8米</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约2.8米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空间布局</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空间布局较优</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空间布局较优</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空间布局较优</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空间布局较优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停车便利度</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停车便利一般</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停车便利一般</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停车便利度一般</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停车便利度一般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物业管理</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管理及服务一般</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管理及服务一般</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管理及服务一般</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管理及服务一般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装饰装修</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毛坯</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简单装修</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精装修</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普通装修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设施设备</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水电暗装、消防栓、网络接线齐全</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水电暗装、消防栓、网络接线齐全</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水电暗装、消防栓、网络接线齐全</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水电暗装、消防栓、网络接线齐全</w:t>
            </w:r>
          </w:p>
        </w:tc>
      </w:tr>
    </w:tbl>
    <w:p>
      <w:pPr>
        <w:spacing w:line="520" w:lineRule="exact"/>
        <w:ind w:firstLine="581" w:firstLineChars="196"/>
        <w:rPr>
          <w:rFonts w:hint="eastAsia" w:ascii="仿宋" w:hAnsi="仿宋" w:eastAsia="仿宋" w:cs="仿宋"/>
          <w:snapToGrid w:val="0"/>
          <w:color w:val="000000" w:themeColor="text1"/>
          <w:kern w:val="0"/>
          <w:sz w:val="24"/>
          <w:szCs w:val="24"/>
          <w:highlight w:val="none"/>
          <w14:textFill>
            <w14:solidFill>
              <w14:schemeClr w14:val="tx1"/>
            </w14:solidFill>
          </w14:textFill>
        </w:rPr>
      </w:pPr>
      <w:r>
        <w:rPr>
          <w:rFonts w:hint="eastAsia" w:ascii="仿宋" w:hAnsi="仿宋" w:eastAsia="仿宋" w:cs="仿宋"/>
          <w:snapToGrid w:val="0"/>
          <w:color w:val="000000" w:themeColor="text1"/>
          <w:kern w:val="0"/>
          <w:sz w:val="24"/>
          <w:szCs w:val="24"/>
          <w:highlight w:val="none"/>
          <w14:textFill>
            <w14:solidFill>
              <w14:schemeClr w14:val="tx1"/>
            </w14:solidFill>
          </w14:textFill>
        </w:rPr>
        <w:t>备注：上述可比实例来源为我司评估人员的市场调查结果及我公司数据库。</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②建立比较基础：选取可比实例后，一般应先对这些可比实例的成交价格进行换算处理，使之口径一致、形式相同、相互可比，为后续的有关比较、修正和调整建立一个共同的基础。因此，建立比较基础需做以下处理：统一财产范围、统一付款方式、统一融资条件、统一税费负担、统一计价单位等。</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a、统一财产范围：应对可比实例与评估对象的财产范围进行对比，并消除因财产范围不同造成的价格差异，本次不需做此项调整。</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b、统一付款方式：要求将可比实例不是成交日期一次性付清的价格调整成为成交日起一次性付款。根据三穗县二手房交易惯例，卖方一般要求交楼时一次性付款。故本次不需做此项调整。</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c、统一融资条件：要求将可比实例在非常规融资条件下的价格，调整为在常规融资条件下的价格。本次所选可比实例均为买方在常规融资条件下自筹资金，故不需做此项调整。</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d、统一税费负担：要求将可比实例在交易税费非正常负担下的价格，调整为在交易税费正常负担下的价格。交易税费正常负担一般指买卖双方依照税法及中央和地方政府的有关规定，各自缴纳自己应缴纳的交易税费。</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正常成交价格=卖方实收价格÷（1-应由卖方缴纳的税费比例）或</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正常成交价格=买方实付价格÷（1+应由买方缴纳的税费比例）</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e、统一计价单位：包含统一为总价或单价、统一币种或货币单位，统一面积及计量单位等。</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综上所述，本次通过建立比较基础，将可比实例的成交价格调整为正常交易价格的结果如下：</w:t>
      </w:r>
    </w:p>
    <w:tbl>
      <w:tblPr>
        <w:tblStyle w:val="46"/>
        <w:tblW w:w="4994"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autofit"/>
        <w:tblCellMar>
          <w:top w:w="0" w:type="dxa"/>
          <w:left w:w="108" w:type="dxa"/>
          <w:bottom w:w="0" w:type="dxa"/>
          <w:right w:w="108" w:type="dxa"/>
        </w:tblCellMar>
      </w:tblPr>
      <w:tblGrid>
        <w:gridCol w:w="1935"/>
        <w:gridCol w:w="2588"/>
        <w:gridCol w:w="2714"/>
        <w:gridCol w:w="27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397" w:hRule="atLeast"/>
          <w:jc w:val="center"/>
        </w:trPr>
        <w:tc>
          <w:tcPr>
            <w:tcW w:w="972" w:type="pct"/>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比较项目</w:t>
            </w:r>
          </w:p>
        </w:tc>
        <w:tc>
          <w:tcPr>
            <w:tcW w:w="1300" w:type="pct"/>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实例A</w:t>
            </w:r>
          </w:p>
        </w:tc>
        <w:tc>
          <w:tcPr>
            <w:tcW w:w="1363" w:type="pct"/>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实例B</w:t>
            </w:r>
          </w:p>
        </w:tc>
        <w:tc>
          <w:tcPr>
            <w:tcW w:w="1363" w:type="pct"/>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实例C</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397" w:hRule="atLeast"/>
          <w:jc w:val="center"/>
        </w:trPr>
        <w:tc>
          <w:tcPr>
            <w:tcW w:w="972" w:type="pct"/>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项目名称</w:t>
            </w:r>
          </w:p>
        </w:tc>
        <w:tc>
          <w:tcPr>
            <w:tcW w:w="2588"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八弓镇中坝村（凯宏·城市花园三期）住宅</w:t>
            </w:r>
          </w:p>
        </w:tc>
        <w:tc>
          <w:tcPr>
            <w:tcW w:w="2714"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八弓镇中坝村（凯宏·城市花园三期）住宅</w:t>
            </w:r>
          </w:p>
        </w:tc>
        <w:tc>
          <w:tcPr>
            <w:tcW w:w="2714"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八弓镇中坝村（凯宏·城市花园三期）住宅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397" w:hRule="atLeast"/>
          <w:jc w:val="center"/>
        </w:trPr>
        <w:tc>
          <w:tcPr>
            <w:tcW w:w="972" w:type="pct"/>
            <w:tcBorders>
              <w:top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正常成交单价</w:t>
            </w:r>
          </w:p>
        </w:tc>
        <w:tc>
          <w:tcPr>
            <w:tcW w:w="2588"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3,180</w:t>
            </w:r>
          </w:p>
        </w:tc>
        <w:tc>
          <w:tcPr>
            <w:tcW w:w="2714"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3,350</w:t>
            </w:r>
          </w:p>
        </w:tc>
        <w:tc>
          <w:tcPr>
            <w:tcW w:w="2714"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3,300</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（2）调整系数确定：</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①交易情况调整系数的确定</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评估对象与可比实例A、B、C均为正常交易，无需进行交易情况修正，即三个交易实例的交易情况调整系数均为100/100。</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②市场状况调整系数的确定</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三个可比实例的交易时间与评估时点较接近，至评估时点市场状况变化较小，无需进行市场状况修正。确定交易实例A、B、C的市场状况条件调整系数均为100/100。</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③区位状况调整系数的确定</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区域繁华程度：根据评估对象所处地段，分为优、较优、一般、较劣、劣五个等级，以评估对象为100，每增加或减少一个级别，指数向上或向下修正2。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交通条件：根据评估对象所在区域路网密度、路面宽度、道路质量、及道路畅通程度、公交路线多少，距离车站、港口码头和口岸的距离等情况，分为优、较优、一般、较差、差五个等级，以评估对象为100，每上升或下降一个等级，指数向上或向下修正3。</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公共配套设施：包括基础设施和公共服务设施，分为优、较优、一般、较劣、劣五个等级，以评估对象为100，每上升或下降一个等级，指数向上或向下修正2。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周围环境：环境分为优、较优、一般、较差、差五个等级，以评估对象为100，每上升或下降一个等级，指数向上或向下修正1。</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楼层：电梯房根据当地房地产市场行情，高层住宅一般以中间楼层为最好，低层和高层次之。以评估对象为100，每上升或下降5层，指数向上或向下修正1；步梯房以评估对象为100，3-5楼较好，1-2楼一般，6楼及以上较差，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朝向：分为东南、南、西南、东、东北、西、西北、北八个等级，以评估对象为100，每上升或下降一个等级，指数向上或向下修正1。</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④权益状况调整系数的确定</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规划限制：分有限制、限制较少、无限制三个等级，以委估对象为基准，上升或下降一个等级，指数向上或向下修正2。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权益状况：根据评估对象的土地使用权及房屋所有权的权益状况，分为完整、不完整两个等级，以评估对象为100，上升或下降一个等级，指数向上或向下修正2。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租约限制：按无租约、短期租约、中期租约、长期租约分为四个等级，以委估对象为基准，上升或下降一个等级，指数向上或向下修正2。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bookmarkStart w:id="94" w:name="_Toc263081067"/>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⑤实物状况调整系数的确定</w:t>
      </w:r>
      <w:bookmarkEnd w:id="94"/>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建筑面积：按特大、较大、一般、较小分为四个等级，以评估对象为100，每上升或下降一个等级，指数向上或向下修正2。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建筑结构：分为框架、钢混、多层三档，每上升或下降一个等级，指数向上或向下修正2。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竣工时间：以委估对象为基准，每相差5年指数向上或向下修正1。</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层高：以委估对象为基准，每相差0.3m指数向上或向下修正1。</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室内布局：环境分为优、较优、一般、较差、差五个等级，以评估对象为100，每上升或下降一个等级，指数向上或向下修正2。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停车便利度：环境分为优、较优、一般、较差、差五个等级，以评估对象为100，每上升或下降一个等级，指数向上或向下修正2。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物业管理：分好、较好、一般、较差四个等级，以评估对象为标准，每上升或下降一个等级，指数向上或向下修正2。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装修：分为毛坯、简单装修、普通装修、精装修、豪华装修五个等级，以评估对象为100，每上升或下降一个等级，指数向上或向下修正2。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设备设施：分齐全、较齐全、不齐全三个等级，以评估对象为100，每上升或下降一个等级，指数向上或向下修正2。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cs="仿宋"/>
          <w:b/>
          <w:bCs/>
          <w:snapToGrid w:val="0"/>
          <w:color w:val="000000" w:themeColor="text1"/>
          <w:kern w:val="0"/>
          <w:sz w:val="28"/>
          <w:szCs w:val="28"/>
          <w:highlight w:val="none"/>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将可比实例相应因素条件与评估对象相比较，确定相应指数，详见下表《因素条件对比说明表》及《因素比较修正系数表》。</w:t>
      </w:r>
    </w:p>
    <w:p>
      <w:pPr>
        <w:pStyle w:val="45"/>
        <w:ind w:left="0" w:leftChars="0" w:firstLine="0" w:firstLineChars="0"/>
        <w:jc w:val="center"/>
        <w:rPr>
          <w:rFonts w:hint="eastAsia" w:ascii="仿宋" w:hAnsi="仿宋" w:eastAsia="仿宋" w:cs="仿宋"/>
          <w:b/>
          <w:bCs/>
          <w:snapToGrid w:val="0"/>
          <w:color w:val="000000" w:themeColor="text1"/>
          <w:kern w:val="0"/>
          <w:sz w:val="28"/>
          <w:szCs w:val="28"/>
          <w:highlight w:val="none"/>
          <w14:textFill>
            <w14:solidFill>
              <w14:schemeClr w14:val="tx1"/>
            </w14:solidFill>
          </w14:textFill>
        </w:rPr>
      </w:pPr>
      <w:r>
        <w:rPr>
          <w:rFonts w:hint="eastAsia" w:ascii="仿宋" w:hAnsi="仿宋" w:eastAsia="仿宋" w:cs="仿宋"/>
          <w:b/>
          <w:bCs/>
          <w:snapToGrid w:val="0"/>
          <w:color w:val="000000" w:themeColor="text1"/>
          <w:kern w:val="0"/>
          <w:sz w:val="28"/>
          <w:szCs w:val="28"/>
          <w:highlight w:val="none"/>
          <w14:textFill>
            <w14:solidFill>
              <w14:schemeClr w14:val="tx1"/>
            </w14:solidFill>
          </w14:textFill>
        </w:rPr>
        <w:t>因素条件对比说明表</w:t>
      </w:r>
    </w:p>
    <w:tbl>
      <w:tblPr>
        <w:tblStyle w:val="46"/>
        <w:tblW w:w="4998"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0" w:type="dxa"/>
          <w:bottom w:w="0" w:type="dxa"/>
          <w:right w:w="0" w:type="dxa"/>
        </w:tblCellMar>
      </w:tblPr>
      <w:tblGrid>
        <w:gridCol w:w="663"/>
        <w:gridCol w:w="1572"/>
        <w:gridCol w:w="2092"/>
        <w:gridCol w:w="1795"/>
        <w:gridCol w:w="1867"/>
        <w:gridCol w:w="17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143" w:type="pct"/>
            <w:gridSpan w:val="2"/>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项目名称</w:t>
            </w:r>
          </w:p>
        </w:tc>
        <w:tc>
          <w:tcPr>
            <w:tcW w:w="107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评估对象</w:t>
            </w:r>
          </w:p>
        </w:tc>
        <w:tc>
          <w:tcPr>
            <w:tcW w:w="91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可比实例A</w:t>
            </w:r>
          </w:p>
        </w:tc>
        <w:tc>
          <w:tcPr>
            <w:tcW w:w="9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可比实例B</w:t>
            </w:r>
          </w:p>
        </w:tc>
        <w:tc>
          <w:tcPr>
            <w:tcW w:w="91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143" w:type="pct"/>
            <w:gridSpan w:val="2"/>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八弓镇中坝村（凯宏·城市花园三期）2幢1-9-2住宅</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八弓镇中坝村（凯宏·城市花园三期）住宅</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八弓镇中坝村（凯宏·城市花园三期）住宅</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八弓镇中坝村（凯宏·城市花园三期）住宅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143" w:type="pct"/>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坐落</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143" w:type="pct"/>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房屋用途</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区位状况比较因素</w:t>
            </w: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区域繁华程度</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交通条件</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公共配套设施</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较完善</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较完善</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较完善</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较完善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周围环境</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较好</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较好</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较好</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楼层</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9层</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3层</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14层</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朝向</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东</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南</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东南</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东南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3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w:t>
            </w: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规划条件</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无限制</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无限制</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无限制</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无限制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完整</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完整</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完整</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完整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租约限制</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3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实物状况比较因素</w:t>
            </w: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建筑面积</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建筑结构</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钢筋混凝土结构</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钢筋混凝土结构</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钢筋混凝土结构</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钢筋混凝土结构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建筑年代</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约2020年</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约2020年</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约2020年</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约2020年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层高</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约2.8米</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约2.8米</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约2.8米</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约2.8米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空间布局</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较优</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较优</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较优</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停车便利度</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物业管理</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装饰装修</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毛坯</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简单装修</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精装修</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普通装修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设施设备</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齐全</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齐全</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齐全</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齐全</w:t>
            </w:r>
          </w:p>
        </w:tc>
      </w:tr>
    </w:tbl>
    <w:p>
      <w:pPr>
        <w:pStyle w:val="45"/>
        <w:keepNext w:val="0"/>
        <w:keepLines w:val="0"/>
        <w:pageBreakBefore w:val="0"/>
        <w:widowControl w:val="0"/>
        <w:kinsoku/>
        <w:wordWrap/>
        <w:overflowPunct/>
        <w:topLinePunct w:val="0"/>
        <w:autoSpaceDE/>
        <w:autoSpaceDN/>
        <w:bidi w:val="0"/>
        <w:adjustRightInd w:val="0"/>
        <w:snapToGrid w:val="0"/>
        <w:spacing w:before="239" w:beforeLines="50" w:after="239" w:afterLines="50" w:line="520" w:lineRule="atLeast"/>
        <w:ind w:firstLine="0" w:firstLineChars="0"/>
        <w:jc w:val="center"/>
        <w:textAlignment w:val="baseline"/>
        <w:rPr>
          <w:rFonts w:hint="eastAsia" w:ascii="仿宋" w:hAnsi="仿宋" w:eastAsia="仿宋" w:cs="仿宋"/>
          <w:b/>
          <w:bCs/>
          <w:snapToGrid w:val="0"/>
          <w:color w:val="000000" w:themeColor="text1"/>
          <w:kern w:val="0"/>
          <w:sz w:val="28"/>
          <w:szCs w:val="28"/>
          <w:highlight w:val="none"/>
          <w14:textFill>
            <w14:solidFill>
              <w14:schemeClr w14:val="tx1"/>
            </w14:solidFill>
          </w14:textFill>
        </w:rPr>
      </w:pPr>
      <w:r>
        <w:rPr>
          <w:rFonts w:hint="eastAsia" w:ascii="仿宋" w:hAnsi="仿宋" w:eastAsia="仿宋" w:cs="仿宋"/>
          <w:b/>
          <w:bCs/>
          <w:snapToGrid w:val="0"/>
          <w:color w:val="000000" w:themeColor="text1"/>
          <w:kern w:val="0"/>
          <w:sz w:val="28"/>
          <w:szCs w:val="28"/>
          <w:highlight w:val="none"/>
          <w14:textFill>
            <w14:solidFill>
              <w14:schemeClr w14:val="tx1"/>
            </w14:solidFill>
          </w14:textFill>
        </w:rPr>
        <w:t>因素比较修正系数表</w:t>
      </w:r>
    </w:p>
    <w:tbl>
      <w:tblPr>
        <w:tblStyle w:val="46"/>
        <w:tblW w:w="4995"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0" w:type="dxa"/>
          <w:bottom w:w="0" w:type="dxa"/>
          <w:right w:w="0" w:type="dxa"/>
        </w:tblCellMar>
      </w:tblPr>
      <w:tblGrid>
        <w:gridCol w:w="652"/>
        <w:gridCol w:w="1577"/>
        <w:gridCol w:w="2081"/>
        <w:gridCol w:w="1808"/>
        <w:gridCol w:w="1845"/>
        <w:gridCol w:w="18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1141" w:type="pct"/>
            <w:gridSpan w:val="2"/>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bCs w:val="0"/>
                <w:snapToGrid w:val="0"/>
                <w:color w:val="000000"/>
                <w:kern w:val="0"/>
                <w:sz w:val="21"/>
                <w:szCs w:val="21"/>
                <w:highlight w:val="none"/>
                <w:lang w:val="en-US" w:eastAsia="zh-CN" w:bidi="ar-SA"/>
              </w:rPr>
              <w:t>项目名称</w:t>
            </w:r>
          </w:p>
        </w:tc>
        <w:tc>
          <w:tcPr>
            <w:tcW w:w="10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评估对象</w:t>
            </w:r>
          </w:p>
        </w:tc>
        <w:tc>
          <w:tcPr>
            <w:tcW w:w="92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可比实例A</w:t>
            </w:r>
          </w:p>
        </w:tc>
        <w:tc>
          <w:tcPr>
            <w:tcW w:w="94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可比实例B</w:t>
            </w:r>
          </w:p>
        </w:tc>
        <w:tc>
          <w:tcPr>
            <w:tcW w:w="92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1141" w:type="pct"/>
            <w:gridSpan w:val="2"/>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1"/>
                <w:szCs w:val="21"/>
                <w:highlight w:val="none"/>
                <w:u w:val="none"/>
              </w:rPr>
            </w:pP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八弓镇中坝村（凯宏·城市花园三期）2幢1-9-2住宅</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八弓镇中坝村（凯宏·城市花园三期）住宅</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八弓镇中坝村（凯宏·城市花园三期）住宅</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八弓镇中坝村（凯宏·城市花园三期）住宅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1141" w:type="pct"/>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坐落</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八弓镇中坝村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1141" w:type="pct"/>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房屋用途</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区位状况比较因素</w:t>
            </w: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区域繁华程度</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交通条件</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公共配套设施</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周围环境</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楼层</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99</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99</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朝向</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102</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103</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w:t>
            </w: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规划条件</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租约限制</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实物状况比较因素</w:t>
            </w: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建筑面积</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建筑结构</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建筑年代</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层高</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空间布局</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停车便利度</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物业管理</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装饰装修</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102</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106</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设施设备</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bl>
    <w:p>
      <w:pPr>
        <w:keepNext w:val="0"/>
        <w:keepLines w:val="0"/>
        <w:pageBreakBefore w:val="0"/>
        <w:widowControl w:val="0"/>
        <w:kinsoku/>
        <w:wordWrap/>
        <w:overflowPunct/>
        <w:topLinePunct w:val="0"/>
        <w:autoSpaceDE/>
        <w:autoSpaceDN/>
        <w:bidi w:val="0"/>
        <w:adjustRightInd/>
        <w:snapToGrid/>
        <w:spacing w:before="239" w:beforeLines="50" w:line="500" w:lineRule="exact"/>
        <w:ind w:firstLine="674" w:firstLineChars="200"/>
        <w:textAlignment w:val="auto"/>
        <w:rPr>
          <w:rFonts w:hint="eastAsia"/>
          <w:highlight w:val="none"/>
          <w:lang w:val="en-US" w:eastAsia="zh-CN"/>
        </w:rPr>
      </w:pPr>
      <w:r>
        <w:rPr>
          <w:rFonts w:hint="eastAsia" w:ascii="仿宋" w:hAnsi="仿宋" w:eastAsia="仿宋" w:cs="仿宋"/>
          <w:snapToGrid w:val="0"/>
          <w:color w:val="000000" w:themeColor="text1"/>
          <w:kern w:val="0"/>
          <w:sz w:val="28"/>
          <w:szCs w:val="28"/>
          <w:highlight w:val="none"/>
          <w14:textFill>
            <w14:solidFill>
              <w14:schemeClr w14:val="tx1"/>
            </w14:solidFill>
          </w14:textFill>
        </w:rPr>
        <w:t>⑥编制比准价格计算表</w:t>
      </w:r>
    </w:p>
    <w:p>
      <w:pPr>
        <w:jc w:val="center"/>
        <w:rPr>
          <w:rFonts w:hint="eastAsia"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比准价格计算表</w:t>
      </w:r>
    </w:p>
    <w:tbl>
      <w:tblPr>
        <w:tblStyle w:val="46"/>
        <w:tblW w:w="4998"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0" w:type="dxa"/>
          <w:bottom w:w="0" w:type="dxa"/>
          <w:right w:w="0" w:type="dxa"/>
        </w:tblCellMar>
      </w:tblPr>
      <w:tblGrid>
        <w:gridCol w:w="2514"/>
        <w:gridCol w:w="784"/>
        <w:gridCol w:w="782"/>
        <w:gridCol w:w="829"/>
        <w:gridCol w:w="782"/>
        <w:gridCol w:w="762"/>
        <w:gridCol w:w="782"/>
        <w:gridCol w:w="808"/>
        <w:gridCol w:w="857"/>
        <w:gridCol w:w="87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比较项目</w:t>
            </w:r>
          </w:p>
        </w:tc>
        <w:tc>
          <w:tcPr>
            <w:tcW w:w="1225" w:type="pct"/>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可比实例A</w:t>
            </w:r>
          </w:p>
        </w:tc>
        <w:tc>
          <w:tcPr>
            <w:tcW w:w="1190" w:type="pct"/>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可比实例B</w:t>
            </w:r>
          </w:p>
        </w:tc>
        <w:tc>
          <w:tcPr>
            <w:tcW w:w="1297" w:type="pct"/>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正常成交单价</w:t>
            </w:r>
          </w:p>
        </w:tc>
        <w:tc>
          <w:tcPr>
            <w:tcW w:w="2395"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3,180元/平方米</w:t>
            </w:r>
          </w:p>
        </w:tc>
        <w:tc>
          <w:tcPr>
            <w:tcW w:w="2326"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3,350元/平方米</w:t>
            </w:r>
          </w:p>
        </w:tc>
        <w:tc>
          <w:tcPr>
            <w:tcW w:w="2538"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3,300元/平方米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交易情况</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市场状况</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区位状况比较因素</w:t>
            </w:r>
          </w:p>
        </w:tc>
        <w:tc>
          <w:tcPr>
            <w:tcW w:w="2395"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可比实例A</w:t>
            </w:r>
          </w:p>
        </w:tc>
        <w:tc>
          <w:tcPr>
            <w:tcW w:w="2326"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可比实例B</w:t>
            </w:r>
          </w:p>
        </w:tc>
        <w:tc>
          <w:tcPr>
            <w:tcW w:w="2538"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区域繁华程度</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交通条件</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公共配套设施</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周围环境</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楼层</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99</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99</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朝向</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102</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103</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权益状况比较因素</w:t>
            </w:r>
          </w:p>
        </w:tc>
        <w:tc>
          <w:tcPr>
            <w:tcW w:w="2395"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可比实例A</w:t>
            </w:r>
          </w:p>
        </w:tc>
        <w:tc>
          <w:tcPr>
            <w:tcW w:w="2326"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可比实例B</w:t>
            </w:r>
          </w:p>
        </w:tc>
        <w:tc>
          <w:tcPr>
            <w:tcW w:w="2538"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规划条件</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租约限制</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实物状况比较因素</w:t>
            </w:r>
          </w:p>
        </w:tc>
        <w:tc>
          <w:tcPr>
            <w:tcW w:w="2395"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可比实例A</w:t>
            </w:r>
          </w:p>
        </w:tc>
        <w:tc>
          <w:tcPr>
            <w:tcW w:w="2326"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可比实例B</w:t>
            </w:r>
          </w:p>
        </w:tc>
        <w:tc>
          <w:tcPr>
            <w:tcW w:w="2538"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建筑面积</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建筑结构</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建筑年代</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层高</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空间布局</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停车便利度</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物业管理</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装饰装修</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102</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106</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设施设备</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综合调整系数</w:t>
            </w:r>
          </w:p>
        </w:tc>
        <w:tc>
          <w:tcPr>
            <w:tcW w:w="2395"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0.9709 </w:t>
            </w:r>
          </w:p>
        </w:tc>
        <w:tc>
          <w:tcPr>
            <w:tcW w:w="2326"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0.9252 </w:t>
            </w:r>
          </w:p>
        </w:tc>
        <w:tc>
          <w:tcPr>
            <w:tcW w:w="2538"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0.9526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修正后单价</w:t>
            </w:r>
          </w:p>
        </w:tc>
        <w:tc>
          <w:tcPr>
            <w:tcW w:w="2395" w:type="dxa"/>
            <w:gridSpan w:val="3"/>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3,087元/㎡</w:t>
            </w:r>
          </w:p>
        </w:tc>
        <w:tc>
          <w:tcPr>
            <w:tcW w:w="2326" w:type="dxa"/>
            <w:gridSpan w:val="3"/>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3,099元/㎡</w:t>
            </w:r>
          </w:p>
        </w:tc>
        <w:tc>
          <w:tcPr>
            <w:tcW w:w="2538" w:type="dxa"/>
            <w:gridSpan w:val="3"/>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3,144元/㎡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比准价格</w:t>
            </w:r>
          </w:p>
        </w:tc>
        <w:tc>
          <w:tcPr>
            <w:tcW w:w="7259" w:type="dxa"/>
            <w:gridSpan w:val="9"/>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3,110元/㎡</w:t>
            </w:r>
          </w:p>
        </w:tc>
      </w:tr>
    </w:tbl>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从上表可以看出，三个比准价格相差幅度不大，故我们采用三个比准价格的简单算术平均数作为评估对象的评估结果，则：</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default"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评估单价=（3,087+3,099+3,144)/3=3,110（元/㎡）</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default"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评估值=评估单价×建筑面积=3,110×107.29÷10,000</w:t>
      </w:r>
    </w:p>
    <w:p>
      <w:pPr>
        <w:keepNext w:val="0"/>
        <w:keepLines w:val="0"/>
        <w:pageBreakBefore w:val="0"/>
        <w:widowControl w:val="0"/>
        <w:kinsoku/>
        <w:wordWrap/>
        <w:overflowPunct/>
        <w:topLinePunct w:val="0"/>
        <w:autoSpaceDE/>
        <w:autoSpaceDN/>
        <w:bidi w:val="0"/>
        <w:adjustRightInd/>
        <w:snapToGrid/>
        <w:spacing w:line="520" w:lineRule="exact"/>
        <w:ind w:firstLine="4212" w:firstLineChars="125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=33.37（万元）</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2、交易税费</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lang w:val="en-US" w:eastAsia="zh-CN"/>
        </w:rPr>
      </w:pPr>
      <w:r>
        <w:rPr>
          <w:rFonts w:hint="eastAsia" w:ascii="仿宋" w:hAnsi="仿宋" w:eastAsia="仿宋"/>
          <w:snapToGrid w:val="0"/>
          <w:color w:val="auto"/>
          <w:kern w:val="0"/>
          <w:sz w:val="28"/>
          <w:szCs w:val="28"/>
          <w:highlight w:val="none"/>
          <w:lang w:val="en-US" w:eastAsia="zh-CN"/>
        </w:rPr>
        <w:t>评估对象市场价格对应的交易税费按照法律法规规定，转让人和买受人各自负担，并考虑被迫转让及处置后被执行人不自愿配合交付因素对评估结果的不利影响，交易税费详见下表：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02"/>
        <w:gridCol w:w="2250"/>
        <w:gridCol w:w="5550"/>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802" w:type="dxa"/>
            <w:shd w:val="clear" w:color="auto" w:fill="auto"/>
            <w:vAlign w:val="center"/>
          </w:tcPr>
          <w:p>
            <w:pPr>
              <w:keepNext w:val="0"/>
              <w:keepLines w:val="0"/>
              <w:widowControl/>
              <w:suppressLineNumbers w:val="0"/>
              <w:jc w:val="both"/>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 序号</w:t>
            </w:r>
          </w:p>
        </w:tc>
        <w:tc>
          <w:tcPr>
            <w:tcW w:w="22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税费名称</w:t>
            </w:r>
          </w:p>
        </w:tc>
        <w:tc>
          <w:tcPr>
            <w:tcW w:w="55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估价对象适用条件及税率</w:t>
            </w:r>
          </w:p>
        </w:tc>
        <w:tc>
          <w:tcPr>
            <w:tcW w:w="13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9963" w:type="dxa"/>
            <w:gridSpan w:val="4"/>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一、买方税费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80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w:t>
            </w:r>
          </w:p>
        </w:tc>
        <w:tc>
          <w:tcPr>
            <w:tcW w:w="22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契税</w:t>
            </w:r>
          </w:p>
        </w:tc>
        <w:tc>
          <w:tcPr>
            <w:tcW w:w="5550" w:type="dxa"/>
            <w:shd w:val="clear" w:color="auto" w:fill="auto"/>
            <w:vAlign w:val="center"/>
          </w:tcPr>
          <w:p>
            <w:pPr>
              <w:keepNext w:val="0"/>
              <w:keepLines w:val="0"/>
              <w:widowControl/>
              <w:suppressLineNumbers w:val="0"/>
              <w:jc w:val="both"/>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90㎡以上，家庭唯一住房，税率为1.5%；家庭二套住房，税率为2%</w:t>
            </w:r>
          </w:p>
        </w:tc>
        <w:tc>
          <w:tcPr>
            <w:tcW w:w="1361"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0.48-0.64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80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w:t>
            </w:r>
          </w:p>
        </w:tc>
        <w:tc>
          <w:tcPr>
            <w:tcW w:w="22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印花税</w:t>
            </w:r>
          </w:p>
        </w:tc>
        <w:tc>
          <w:tcPr>
            <w:tcW w:w="5550" w:type="dxa"/>
            <w:shd w:val="clear" w:color="auto" w:fill="auto"/>
            <w:vAlign w:val="center"/>
          </w:tcPr>
          <w:p>
            <w:pPr>
              <w:keepNext w:val="0"/>
              <w:keepLines w:val="0"/>
              <w:widowControl/>
              <w:suppressLineNumbers w:val="0"/>
              <w:jc w:val="both"/>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交易价(或评估价)×0.05%，不动产产权证书按件贴花5元</w:t>
            </w:r>
          </w:p>
        </w:tc>
        <w:tc>
          <w:tcPr>
            <w:tcW w:w="136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02" w:type="dxa"/>
            <w:gridSpan w:val="3"/>
            <w:shd w:val="clear" w:color="auto" w:fill="auto"/>
            <w:vAlign w:val="center"/>
          </w:tcPr>
          <w:p>
            <w:pPr>
              <w:keepNext w:val="0"/>
              <w:keepLines w:val="0"/>
              <w:widowControl/>
              <w:suppressLineNumbers w:val="0"/>
              <w:jc w:val="both"/>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小  计</w:t>
            </w:r>
          </w:p>
        </w:tc>
        <w:tc>
          <w:tcPr>
            <w:tcW w:w="136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0.50-0.66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63" w:type="dxa"/>
            <w:gridSpan w:val="4"/>
            <w:shd w:val="clear" w:color="auto" w:fill="auto"/>
            <w:vAlign w:val="center"/>
          </w:tcPr>
          <w:p>
            <w:pPr>
              <w:keepNext w:val="0"/>
              <w:keepLines w:val="0"/>
              <w:widowControl/>
              <w:suppressLineNumbers w:val="0"/>
              <w:jc w:val="both"/>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二、卖方税费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w:t>
            </w:r>
          </w:p>
        </w:tc>
        <w:tc>
          <w:tcPr>
            <w:tcW w:w="22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增值税</w:t>
            </w:r>
          </w:p>
        </w:tc>
        <w:tc>
          <w:tcPr>
            <w:tcW w:w="5550" w:type="dxa"/>
            <w:shd w:val="clear" w:color="auto" w:fill="auto"/>
            <w:vAlign w:val="center"/>
          </w:tcPr>
          <w:p>
            <w:pPr>
              <w:keepNext w:val="0"/>
              <w:keepLines w:val="0"/>
              <w:widowControl/>
              <w:suppressLineNumbers w:val="0"/>
              <w:jc w:val="both"/>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住房取得时间2年以内，税率为5%</w:t>
            </w:r>
          </w:p>
        </w:tc>
        <w:tc>
          <w:tcPr>
            <w:tcW w:w="136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2"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w:t>
            </w:r>
          </w:p>
        </w:tc>
        <w:tc>
          <w:tcPr>
            <w:tcW w:w="2250"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城建税、教育费附加及地方教育费附加</w:t>
            </w:r>
          </w:p>
        </w:tc>
        <w:tc>
          <w:tcPr>
            <w:tcW w:w="5550" w:type="dxa"/>
            <w:shd w:val="clear" w:color="auto" w:fill="auto"/>
            <w:vAlign w:val="center"/>
          </w:tcPr>
          <w:p>
            <w:pPr>
              <w:keepNext w:val="0"/>
              <w:keepLines w:val="0"/>
              <w:widowControl/>
              <w:suppressLineNumbers w:val="0"/>
              <w:jc w:val="both"/>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应缴纳增值税×（5%+3%+2%）</w:t>
            </w:r>
          </w:p>
        </w:tc>
        <w:tc>
          <w:tcPr>
            <w:tcW w:w="1361"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2"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w:t>
            </w:r>
          </w:p>
        </w:tc>
        <w:tc>
          <w:tcPr>
            <w:tcW w:w="2250"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土地增值税</w:t>
            </w:r>
          </w:p>
        </w:tc>
        <w:tc>
          <w:tcPr>
            <w:tcW w:w="5550" w:type="dxa"/>
            <w:shd w:val="clear" w:color="auto" w:fill="auto"/>
            <w:vAlign w:val="center"/>
          </w:tcPr>
          <w:p>
            <w:pPr>
              <w:keepNext w:val="0"/>
              <w:keepLines w:val="0"/>
              <w:widowControl/>
              <w:suppressLineNumbers w:val="0"/>
              <w:jc w:val="both"/>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个人住房免征土地增值税</w:t>
            </w:r>
          </w:p>
        </w:tc>
        <w:tc>
          <w:tcPr>
            <w:tcW w:w="1361"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2"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4</w:t>
            </w:r>
          </w:p>
        </w:tc>
        <w:tc>
          <w:tcPr>
            <w:tcW w:w="2250"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个人所得税</w:t>
            </w:r>
          </w:p>
        </w:tc>
        <w:tc>
          <w:tcPr>
            <w:tcW w:w="5550" w:type="dxa"/>
            <w:shd w:val="clear" w:color="auto" w:fill="auto"/>
            <w:vAlign w:val="center"/>
          </w:tcPr>
          <w:p>
            <w:pPr>
              <w:keepNext w:val="0"/>
              <w:keepLines w:val="0"/>
              <w:widowControl/>
              <w:suppressLineNumbers w:val="0"/>
              <w:jc w:val="both"/>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按照“财产转让所得”20%缴纳，以财产转让收入减除房屋原值、合理税费后的余额为应纳税所得额</w:t>
            </w:r>
          </w:p>
        </w:tc>
        <w:tc>
          <w:tcPr>
            <w:tcW w:w="1361"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02" w:type="dxa"/>
            <w:gridSpan w:val="3"/>
            <w:shd w:val="clear" w:color="auto" w:fill="auto"/>
            <w:vAlign w:val="center"/>
          </w:tcPr>
          <w:p>
            <w:pPr>
              <w:keepNext w:val="0"/>
              <w:keepLines w:val="0"/>
              <w:widowControl/>
              <w:suppressLineNumbers w:val="0"/>
              <w:jc w:val="both"/>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小  计</w:t>
            </w:r>
          </w:p>
        </w:tc>
        <w:tc>
          <w:tcPr>
            <w:tcW w:w="136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8602" w:type="dxa"/>
            <w:gridSpan w:val="3"/>
            <w:shd w:val="clear" w:color="auto" w:fill="auto"/>
            <w:vAlign w:val="center"/>
          </w:tcPr>
          <w:p>
            <w:pPr>
              <w:keepNext w:val="0"/>
              <w:keepLines w:val="0"/>
              <w:widowControl/>
              <w:suppressLineNumbers w:val="0"/>
              <w:jc w:val="both"/>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合  计</w:t>
            </w:r>
          </w:p>
        </w:tc>
        <w:tc>
          <w:tcPr>
            <w:tcW w:w="1361"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2.25-2.41</w:t>
            </w:r>
          </w:p>
        </w:tc>
      </w:tr>
    </w:tbl>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default"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根据我国法律法规规定，结合上述测算过程，本次估价仅考虑卖方税费对评估价值的影响，故交易税费为1.75万元。</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3、扣除评估费、拍卖费、诉讼费、律师费等财产处置费用后市场价格</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default"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本次估价委托人三穗县人民法院未书面明确评估费、拍卖费、诉讼费、律师费等财产处置费用从财产处置价款中扣除，则本次估价评估结果应当扣除预估的上述费用。</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lang w:val="en-US" w:eastAsia="zh-CN"/>
        </w:rPr>
      </w:pPr>
      <w:r>
        <w:rPr>
          <w:rFonts w:hint="eastAsia" w:ascii="仿宋" w:hAnsi="仿宋" w:eastAsia="仿宋"/>
          <w:snapToGrid w:val="0"/>
          <w:color w:val="auto"/>
          <w:kern w:val="0"/>
          <w:sz w:val="28"/>
          <w:szCs w:val="28"/>
          <w:highlight w:val="none"/>
          <w:lang w:val="en-US" w:eastAsia="zh-CN"/>
        </w:rPr>
        <w:t>①评估费、拍卖费、诉讼费、律师费等财产处置费用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056"/>
        <w:gridCol w:w="6944"/>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序号</w:t>
            </w:r>
          </w:p>
        </w:tc>
        <w:tc>
          <w:tcPr>
            <w:tcW w:w="105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税费名称</w:t>
            </w:r>
          </w:p>
        </w:tc>
        <w:tc>
          <w:tcPr>
            <w:tcW w:w="694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交纳比率</w:t>
            </w:r>
          </w:p>
        </w:tc>
        <w:tc>
          <w:tcPr>
            <w:tcW w:w="127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69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w:t>
            </w:r>
          </w:p>
        </w:tc>
        <w:tc>
          <w:tcPr>
            <w:tcW w:w="105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诉讼费</w:t>
            </w:r>
          </w:p>
        </w:tc>
        <w:tc>
          <w:tcPr>
            <w:tcW w:w="6944" w:type="dxa"/>
            <w:shd w:val="clear" w:color="auto" w:fill="auto"/>
            <w:vAlign w:val="bottom"/>
          </w:tcPr>
          <w:p>
            <w:pPr>
              <w:keepNext w:val="0"/>
              <w:keepLines w:val="0"/>
              <w:widowControl/>
              <w:suppressLineNumbers w:val="0"/>
              <w:jc w:val="both"/>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根据执行金额按照以下比例累进交纳：≤1万元，50元；1～10万元部分，按2.5%交纳；10～20万元部分，按2%交纳；20～50万元部分，按1.5%交纳；50～100万元部分，按1%交纳；100～200万元部分，按0.9%交纳；200～500万元部分，按0.8%交纳；500～1000万元部分，按0.7%交纳；超过1000万元至2000万元的部分，按照0.6%交纳；超过2000万元的部分，按照0.5%交纳</w:t>
            </w:r>
          </w:p>
        </w:tc>
        <w:tc>
          <w:tcPr>
            <w:tcW w:w="1272"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69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w:t>
            </w:r>
          </w:p>
        </w:tc>
        <w:tc>
          <w:tcPr>
            <w:tcW w:w="105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评估费</w:t>
            </w:r>
          </w:p>
        </w:tc>
        <w:tc>
          <w:tcPr>
            <w:tcW w:w="6944" w:type="dxa"/>
            <w:shd w:val="clear" w:color="auto" w:fill="auto"/>
            <w:vAlign w:val="bottom"/>
          </w:tcPr>
          <w:p>
            <w:pPr>
              <w:keepNext w:val="0"/>
              <w:keepLines w:val="0"/>
              <w:widowControl/>
              <w:suppressLineNumbers w:val="0"/>
              <w:jc w:val="both"/>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根据评估金额按照以下比例累进交纳：≤100万元，按8‰；101～1000万元部分，按4‰交纳；1001～5000万元部分，按2.5‰交纳；5001～8000万元部分，按1.5‰交纳；8001～10000万元部分，按0.5‰交纳；＞10000万元部分，按0.2‰交纳，并考虑差旅费、工本费及报告难易程度综合收费</w:t>
            </w:r>
          </w:p>
        </w:tc>
        <w:tc>
          <w:tcPr>
            <w:tcW w:w="1272"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69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w:t>
            </w:r>
          </w:p>
        </w:tc>
        <w:tc>
          <w:tcPr>
            <w:tcW w:w="105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拍卖佣金</w:t>
            </w:r>
          </w:p>
        </w:tc>
        <w:tc>
          <w:tcPr>
            <w:tcW w:w="6944" w:type="dxa"/>
            <w:shd w:val="clear" w:color="auto" w:fill="auto"/>
            <w:vAlign w:val="bottom"/>
          </w:tcPr>
          <w:p>
            <w:pPr>
              <w:keepNext w:val="0"/>
              <w:keepLines w:val="0"/>
              <w:widowControl/>
              <w:suppressLineNumbers w:val="0"/>
              <w:jc w:val="both"/>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根据《最高人民法院关于人民法院网络司法拍卖若干问题的规定》第七条、《贵州省高级人民法院全省法院网络司法拍卖辅助工作管理办法（试行）》第十五条。不动产拍卖成交价按照以下比例累进交纳：≤100万元，按0.4%缴纳；＞100万元部分，按0.1%交纳（上限为5万元）</w:t>
            </w:r>
          </w:p>
        </w:tc>
        <w:tc>
          <w:tcPr>
            <w:tcW w:w="1272"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69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4</w:t>
            </w:r>
          </w:p>
        </w:tc>
        <w:tc>
          <w:tcPr>
            <w:tcW w:w="105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律师费</w:t>
            </w:r>
          </w:p>
        </w:tc>
        <w:tc>
          <w:tcPr>
            <w:tcW w:w="6944" w:type="dxa"/>
            <w:shd w:val="clear" w:color="auto" w:fill="auto"/>
            <w:vAlign w:val="bottom"/>
          </w:tcPr>
          <w:p>
            <w:pPr>
              <w:keepNext w:val="0"/>
              <w:keepLines w:val="0"/>
              <w:widowControl/>
              <w:suppressLineNumbers w:val="0"/>
              <w:jc w:val="both"/>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2016年10月9日贵州省发展和改革委员会、省司法厅发布《省发展改革委  省司法厅关于律师服务收费有关问题的通知》（以下简称《关于律师服务收费的通知》）（黔发改收费［2016］1559号）</w:t>
            </w:r>
          </w:p>
        </w:tc>
        <w:tc>
          <w:tcPr>
            <w:tcW w:w="1272"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1747"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合  计</w:t>
            </w:r>
          </w:p>
        </w:tc>
        <w:tc>
          <w:tcPr>
            <w:tcW w:w="6944" w:type="dxa"/>
            <w:shd w:val="clear" w:color="auto" w:fill="auto"/>
            <w:noWrap/>
            <w:vAlign w:val="bottom"/>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p>
        </w:tc>
        <w:tc>
          <w:tcPr>
            <w:tcW w:w="1272"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3.79</w:t>
            </w:r>
          </w:p>
        </w:tc>
      </w:tr>
    </w:tbl>
    <w:p>
      <w:pPr>
        <w:keepNext w:val="0"/>
        <w:keepLines w:val="0"/>
        <w:pageBreakBefore w:val="0"/>
        <w:widowControl w:val="0"/>
        <w:kinsoku/>
        <w:wordWrap/>
        <w:overflowPunct/>
        <w:topLinePunct w:val="0"/>
        <w:autoSpaceDE/>
        <w:autoSpaceDN/>
        <w:bidi w:val="0"/>
        <w:adjustRightInd/>
        <w:snapToGrid/>
        <w:spacing w:before="239" w:beforeLines="50" w:line="520" w:lineRule="exact"/>
        <w:ind w:firstLine="674" w:firstLineChars="2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②扣除相关处置费后的市场价格</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default"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扣除相关处置费后的市场价格=市场价格-预估处置费用</w:t>
      </w:r>
    </w:p>
    <w:p>
      <w:pPr>
        <w:keepNext w:val="0"/>
        <w:keepLines w:val="0"/>
        <w:pageBreakBefore w:val="0"/>
        <w:widowControl w:val="0"/>
        <w:kinsoku/>
        <w:wordWrap/>
        <w:overflowPunct/>
        <w:topLinePunct w:val="0"/>
        <w:autoSpaceDE/>
        <w:autoSpaceDN/>
        <w:bidi w:val="0"/>
        <w:adjustRightInd/>
        <w:snapToGrid/>
        <w:spacing w:line="520" w:lineRule="exact"/>
        <w:ind w:firstLine="4381" w:firstLineChars="13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=33.37-1.75</w:t>
      </w:r>
      <w:r>
        <w:rPr>
          <w:rFonts w:hint="eastAsia" w:ascii="仿宋" w:hAnsi="仿宋" w:eastAsia="仿宋"/>
          <w:snapToGrid w:val="0"/>
          <w:color w:val="auto"/>
          <w:kern w:val="0"/>
          <w:sz w:val="28"/>
          <w:szCs w:val="28"/>
          <w:highlight w:val="none"/>
          <w:lang w:val="en-US" w:eastAsia="zh-CN"/>
        </w:rPr>
        <w:t>-3.79</w:t>
      </w:r>
    </w:p>
    <w:p>
      <w:pPr>
        <w:keepNext w:val="0"/>
        <w:keepLines w:val="0"/>
        <w:pageBreakBefore w:val="0"/>
        <w:widowControl w:val="0"/>
        <w:kinsoku/>
        <w:wordWrap/>
        <w:overflowPunct/>
        <w:topLinePunct w:val="0"/>
        <w:autoSpaceDE/>
        <w:autoSpaceDN/>
        <w:bidi w:val="0"/>
        <w:adjustRightInd/>
        <w:snapToGrid/>
        <w:spacing w:line="520" w:lineRule="exact"/>
        <w:ind w:firstLine="4381" w:firstLineChars="13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=27.83（万元）</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扣除相关处置费后的评估单价=扣除相关处置费后的市场价格÷建筑面积</w:t>
      </w:r>
    </w:p>
    <w:p>
      <w:pPr>
        <w:keepNext w:val="0"/>
        <w:keepLines w:val="0"/>
        <w:pageBreakBefore w:val="0"/>
        <w:widowControl w:val="0"/>
        <w:kinsoku/>
        <w:wordWrap/>
        <w:overflowPunct/>
        <w:topLinePunct w:val="0"/>
        <w:autoSpaceDE/>
        <w:autoSpaceDN/>
        <w:bidi w:val="0"/>
        <w:adjustRightInd/>
        <w:snapToGrid/>
        <w:spacing w:line="520" w:lineRule="exact"/>
        <w:ind w:firstLine="4381" w:firstLineChars="13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=27.83×10,000÷107.29</w:t>
      </w:r>
    </w:p>
    <w:p>
      <w:pPr>
        <w:keepNext w:val="0"/>
        <w:keepLines w:val="0"/>
        <w:pageBreakBefore w:val="0"/>
        <w:widowControl w:val="0"/>
        <w:kinsoku/>
        <w:wordWrap/>
        <w:overflowPunct/>
        <w:topLinePunct w:val="0"/>
        <w:autoSpaceDE/>
        <w:autoSpaceDN/>
        <w:bidi w:val="0"/>
        <w:adjustRightInd/>
        <w:snapToGrid/>
        <w:spacing w:line="520" w:lineRule="exact"/>
        <w:ind w:firstLine="4381" w:firstLineChars="1300"/>
        <w:textAlignment w:val="auto"/>
        <w:rPr>
          <w:rFonts w:hint="default"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≈2,594（元/㎡）</w:t>
      </w:r>
    </w:p>
    <w:p>
      <w:pPr>
        <w:spacing w:after="237" w:afterLines="50"/>
        <w:ind w:firstLine="357" w:firstLineChars="100"/>
        <w:rPr>
          <w:rFonts w:ascii="黑体" w:hAnsi="黑体" w:eastAsia="黑体"/>
          <w:b/>
          <w:bCs/>
          <w:sz w:val="30"/>
          <w:szCs w:val="30"/>
          <w:highlight w:val="none"/>
        </w:rPr>
      </w:pPr>
      <w:r>
        <w:rPr>
          <w:rFonts w:hint="eastAsia" w:ascii="黑体" w:hAnsi="黑体" w:eastAsia="黑体"/>
          <w:b/>
          <w:bCs/>
          <w:sz w:val="30"/>
          <w:szCs w:val="30"/>
          <w:highlight w:val="none"/>
        </w:rPr>
        <w:t>（七）估价结果</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估价人员本着独立、客观、公正、合法</w:t>
      </w:r>
      <w:bookmarkStart w:id="95" w:name="_GoBack"/>
      <w:bookmarkEnd w:id="95"/>
      <w:r>
        <w:rPr>
          <w:rFonts w:hint="eastAsia" w:ascii="仿宋" w:hAnsi="仿宋" w:eastAsia="仿宋" w:cs="仿宋"/>
          <w:snapToGrid w:val="0"/>
          <w:sz w:val="28"/>
          <w:szCs w:val="28"/>
          <w:highlight w:val="none"/>
        </w:rPr>
        <w:t>的原则，根据估价目的，根据国家有关房地产估价的规范、规定，按照估价程序，经过现场查勘与市场调查，选用</w:t>
      </w:r>
      <w:r>
        <w:rPr>
          <w:rFonts w:hint="eastAsia" w:ascii="仿宋" w:hAnsi="仿宋" w:eastAsia="仿宋" w:cs="仿宋"/>
          <w:snapToGrid w:val="0"/>
          <w:sz w:val="28"/>
          <w:szCs w:val="28"/>
          <w:highlight w:val="none"/>
          <w:lang w:eastAsia="zh-CN"/>
        </w:rPr>
        <w:t>比较法</w:t>
      </w:r>
      <w:r>
        <w:rPr>
          <w:rFonts w:hint="eastAsia" w:ascii="仿宋" w:hAnsi="仿宋" w:eastAsia="仿宋" w:cs="仿宋"/>
          <w:snapToGrid w:val="0"/>
          <w:sz w:val="28"/>
          <w:szCs w:val="28"/>
          <w:highlight w:val="none"/>
        </w:rPr>
        <w:t>对估价对象进行了评定估算，确定估价对象未扣除预估的相关处置费用于</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时点</w:t>
      </w:r>
      <w:r>
        <w:rPr>
          <w:rFonts w:hint="eastAsia" w:ascii="仿宋" w:hAnsi="仿宋" w:eastAsia="仿宋" w:cs="仿宋"/>
          <w:snapToGrid w:val="0"/>
          <w:sz w:val="28"/>
          <w:szCs w:val="28"/>
          <w:highlight w:val="none"/>
          <w:lang w:eastAsia="zh-CN"/>
        </w:rPr>
        <w:t>二○二二年四月十三日</w:t>
      </w:r>
      <w:r>
        <w:rPr>
          <w:rFonts w:hint="eastAsia" w:ascii="仿宋" w:hAnsi="仿宋" w:eastAsia="仿宋" w:cs="仿宋"/>
          <w:snapToGrid w:val="0"/>
          <w:sz w:val="28"/>
          <w:szCs w:val="28"/>
          <w:highlight w:val="none"/>
        </w:rPr>
        <w:t>的</w:t>
      </w:r>
      <w:r>
        <w:rPr>
          <w:rFonts w:hint="eastAsia" w:ascii="仿宋" w:hAnsi="仿宋" w:eastAsia="仿宋" w:cs="仿宋"/>
          <w:snapToGrid w:val="0"/>
          <w:sz w:val="28"/>
          <w:szCs w:val="28"/>
          <w:highlight w:val="none"/>
          <w:lang w:val="en-US" w:eastAsia="zh-CN"/>
        </w:rPr>
        <w:t>评估单价为</w:t>
      </w:r>
      <w:r>
        <w:rPr>
          <w:rFonts w:hint="eastAsia" w:ascii="仿宋" w:hAnsi="仿宋" w:eastAsia="仿宋" w:cs="仿宋"/>
          <w:b/>
          <w:bCs/>
          <w:snapToGrid w:val="0"/>
          <w:sz w:val="28"/>
          <w:szCs w:val="28"/>
          <w:highlight w:val="none"/>
          <w:lang w:val="en-US" w:eastAsia="zh-CN"/>
        </w:rPr>
        <w:t>3,110元</w:t>
      </w:r>
      <w:r>
        <w:rPr>
          <w:rFonts w:hint="eastAsia" w:ascii="仿宋" w:hAnsi="仿宋" w:eastAsia="仿宋" w:cs="仿宋"/>
          <w:snapToGrid w:val="0"/>
          <w:sz w:val="28"/>
          <w:szCs w:val="28"/>
          <w:highlight w:val="none"/>
          <w:lang w:val="en-US" w:eastAsia="zh-CN"/>
        </w:rPr>
        <w:t>，评估总价</w:t>
      </w:r>
      <w:r>
        <w:rPr>
          <w:rFonts w:hint="eastAsia" w:ascii="仿宋" w:hAnsi="仿宋" w:eastAsia="仿宋" w:cs="仿宋"/>
          <w:snapToGrid w:val="0"/>
          <w:sz w:val="28"/>
          <w:szCs w:val="28"/>
          <w:highlight w:val="none"/>
        </w:rPr>
        <w:t>为人民币</w:t>
      </w:r>
      <w:r>
        <w:rPr>
          <w:rFonts w:hint="eastAsia" w:ascii="仿宋" w:hAnsi="仿宋" w:eastAsia="仿宋" w:cs="仿宋"/>
          <w:b/>
          <w:bCs/>
          <w:snapToGrid w:val="0"/>
          <w:sz w:val="28"/>
          <w:szCs w:val="28"/>
          <w:highlight w:val="none"/>
          <w:lang w:val="en-US" w:eastAsia="zh-CN"/>
        </w:rPr>
        <w:t>33.37万元</w:t>
      </w:r>
      <w:r>
        <w:rPr>
          <w:rFonts w:hint="eastAsia" w:ascii="仿宋" w:hAnsi="仿宋" w:eastAsia="仿宋" w:cs="仿宋"/>
          <w:snapToGrid w:val="0"/>
          <w:sz w:val="28"/>
          <w:szCs w:val="28"/>
          <w:highlight w:val="none"/>
        </w:rPr>
        <w:t>，大写人民币</w:t>
      </w:r>
      <w:r>
        <w:rPr>
          <w:rFonts w:hint="eastAsia" w:ascii="仿宋" w:hAnsi="仿宋" w:eastAsia="仿宋" w:cs="仿宋"/>
          <w:b/>
          <w:bCs/>
          <w:snapToGrid w:val="0"/>
          <w:sz w:val="28"/>
          <w:szCs w:val="28"/>
          <w:highlight w:val="none"/>
          <w:lang w:eastAsia="zh-CN"/>
        </w:rPr>
        <w:t>叁拾叁万叁仟柒佰圆整；</w:t>
      </w:r>
      <w:r>
        <w:rPr>
          <w:rFonts w:hint="eastAsia" w:ascii="仿宋" w:hAnsi="仿宋" w:eastAsia="仿宋" w:cs="仿宋"/>
          <w:snapToGrid w:val="0"/>
          <w:sz w:val="28"/>
          <w:szCs w:val="28"/>
          <w:highlight w:val="none"/>
        </w:rPr>
        <w:t>估价</w:t>
      </w:r>
      <w:r>
        <w:rPr>
          <w:rFonts w:hint="eastAsia" w:ascii="仿宋" w:hAnsi="仿宋" w:eastAsia="仿宋" w:cs="仿宋"/>
          <w:snapToGrid w:val="0"/>
          <w:sz w:val="28"/>
          <w:szCs w:val="28"/>
          <w:highlight w:val="none"/>
          <w:lang w:eastAsia="zh-CN"/>
        </w:rPr>
        <w:t>对象扣除预估的相关处置费用</w:t>
      </w:r>
      <w:r>
        <w:rPr>
          <w:rFonts w:hint="eastAsia" w:ascii="仿宋" w:hAnsi="仿宋" w:eastAsia="仿宋" w:cs="仿宋"/>
          <w:snapToGrid w:val="0"/>
          <w:sz w:val="28"/>
          <w:szCs w:val="28"/>
          <w:highlight w:val="none"/>
        </w:rPr>
        <w:t>于</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时点</w:t>
      </w:r>
      <w:r>
        <w:rPr>
          <w:rFonts w:hint="eastAsia" w:ascii="仿宋" w:hAnsi="仿宋" w:eastAsia="仿宋" w:cs="仿宋"/>
          <w:snapToGrid w:val="0"/>
          <w:sz w:val="28"/>
          <w:szCs w:val="28"/>
          <w:highlight w:val="none"/>
          <w:lang w:eastAsia="zh-CN"/>
        </w:rPr>
        <w:t>二○二二年四月十三日</w:t>
      </w:r>
      <w:r>
        <w:rPr>
          <w:rFonts w:hint="eastAsia" w:ascii="仿宋" w:hAnsi="仿宋" w:eastAsia="仿宋" w:cs="仿宋"/>
          <w:snapToGrid w:val="0"/>
          <w:sz w:val="28"/>
          <w:szCs w:val="28"/>
          <w:highlight w:val="none"/>
        </w:rPr>
        <w:t>的</w:t>
      </w:r>
      <w:r>
        <w:rPr>
          <w:rFonts w:hint="eastAsia" w:ascii="仿宋" w:hAnsi="仿宋" w:eastAsia="仿宋" w:cs="仿宋"/>
          <w:snapToGrid w:val="0"/>
          <w:sz w:val="28"/>
          <w:szCs w:val="28"/>
          <w:highlight w:val="none"/>
          <w:lang w:val="en-US" w:eastAsia="zh-CN"/>
        </w:rPr>
        <w:t>评估单价为</w:t>
      </w:r>
      <w:r>
        <w:rPr>
          <w:rFonts w:hint="eastAsia" w:ascii="仿宋" w:hAnsi="仿宋" w:eastAsia="仿宋" w:cs="仿宋"/>
          <w:b/>
          <w:bCs/>
          <w:snapToGrid w:val="0"/>
          <w:sz w:val="28"/>
          <w:szCs w:val="28"/>
          <w:highlight w:val="none"/>
          <w:lang w:val="en-US" w:eastAsia="zh-CN"/>
        </w:rPr>
        <w:t>2,594元</w:t>
      </w:r>
      <w:r>
        <w:rPr>
          <w:rFonts w:hint="eastAsia" w:ascii="仿宋" w:hAnsi="仿宋" w:eastAsia="仿宋" w:cs="仿宋"/>
          <w:snapToGrid w:val="0"/>
          <w:sz w:val="28"/>
          <w:szCs w:val="28"/>
          <w:highlight w:val="none"/>
          <w:lang w:val="en-US" w:eastAsia="zh-CN"/>
        </w:rPr>
        <w:t>，评估总价</w:t>
      </w:r>
      <w:r>
        <w:rPr>
          <w:rFonts w:hint="eastAsia" w:ascii="仿宋" w:hAnsi="仿宋" w:eastAsia="仿宋" w:cs="仿宋"/>
          <w:snapToGrid w:val="0"/>
          <w:sz w:val="28"/>
          <w:szCs w:val="28"/>
          <w:highlight w:val="none"/>
        </w:rPr>
        <w:t>为人民币</w:t>
      </w:r>
      <w:r>
        <w:rPr>
          <w:rFonts w:hint="eastAsia" w:ascii="仿宋" w:hAnsi="仿宋" w:eastAsia="仿宋" w:cs="仿宋"/>
          <w:b/>
          <w:bCs/>
          <w:snapToGrid w:val="0"/>
          <w:sz w:val="28"/>
          <w:szCs w:val="28"/>
          <w:highlight w:val="none"/>
          <w:lang w:val="en-US" w:eastAsia="zh-CN"/>
        </w:rPr>
        <w:t>27.83万元</w:t>
      </w:r>
      <w:r>
        <w:rPr>
          <w:rFonts w:hint="eastAsia" w:ascii="仿宋" w:hAnsi="仿宋" w:eastAsia="仿宋" w:cs="仿宋"/>
          <w:snapToGrid w:val="0"/>
          <w:sz w:val="28"/>
          <w:szCs w:val="28"/>
          <w:highlight w:val="none"/>
        </w:rPr>
        <w:t>，大写人民币</w:t>
      </w:r>
      <w:r>
        <w:rPr>
          <w:rFonts w:hint="eastAsia" w:ascii="仿宋" w:hAnsi="仿宋" w:eastAsia="仿宋" w:cs="仿宋"/>
          <w:b/>
          <w:bCs/>
          <w:snapToGrid w:val="0"/>
          <w:sz w:val="28"/>
          <w:szCs w:val="28"/>
          <w:highlight w:val="none"/>
          <w:lang w:eastAsia="zh-CN"/>
        </w:rPr>
        <w:t>贰拾柒万捌仟叁佰圆整</w:t>
      </w:r>
      <w:r>
        <w:rPr>
          <w:rFonts w:hint="eastAsia" w:ascii="仿宋" w:hAnsi="仿宋" w:eastAsia="仿宋" w:cs="仿宋"/>
          <w:snapToGrid w:val="0"/>
          <w:sz w:val="28"/>
          <w:szCs w:val="28"/>
          <w:highlight w:val="none"/>
        </w:rPr>
        <w:t>。估价结果详见《估价结果明细表》。</w:t>
      </w:r>
    </w:p>
    <w:p>
      <w:pPr>
        <w:rPr>
          <w:rFonts w:hint="eastAsia" w:ascii="仿宋" w:hAnsi="仿宋" w:eastAsia="仿宋" w:cs="仿宋"/>
          <w:snapToGrid w:val="0"/>
          <w:sz w:val="28"/>
          <w:szCs w:val="28"/>
          <w:highlight w:val="none"/>
          <w:lang w:val="en-US" w:eastAsia="zh-CN"/>
        </w:rPr>
      </w:pPr>
      <w:r>
        <w:rPr>
          <w:rFonts w:hint="eastAsia" w:ascii="仿宋" w:hAnsi="仿宋" w:eastAsia="仿宋" w:cs="仿宋"/>
          <w:snapToGrid w:val="0"/>
          <w:sz w:val="28"/>
          <w:szCs w:val="28"/>
          <w:highlight w:val="none"/>
          <w:lang w:val="en-US" w:eastAsia="zh-CN"/>
        </w:rPr>
        <w:br w:type="page"/>
      </w:r>
    </w:p>
    <w:p>
      <w:pPr>
        <w:widowControl/>
        <w:jc w:val="center"/>
        <w:rPr>
          <w:rFonts w:hint="eastAsia" w:ascii="仿宋" w:hAnsi="仿宋" w:eastAsia="仿宋" w:cs="宋体"/>
          <w:b/>
          <w:bCs/>
          <w:kern w:val="0"/>
          <w:sz w:val="36"/>
          <w:szCs w:val="36"/>
          <w:highlight w:val="none"/>
        </w:rPr>
      </w:pPr>
      <w:r>
        <w:rPr>
          <w:rFonts w:hint="eastAsia" w:ascii="仿宋" w:hAnsi="仿宋" w:eastAsia="仿宋" w:cs="宋体"/>
          <w:b/>
          <w:bCs/>
          <w:kern w:val="0"/>
          <w:sz w:val="36"/>
          <w:szCs w:val="36"/>
          <w:highlight w:val="none"/>
        </w:rPr>
        <w:t>估价结果明细表</w:t>
      </w:r>
    </w:p>
    <w:p>
      <w:pPr>
        <w:widowControl/>
        <w:jc w:val="center"/>
        <w:rPr>
          <w:rFonts w:hint="eastAsia" w:ascii="仿宋" w:hAnsi="仿宋" w:eastAsia="仿宋" w:cs="仿宋"/>
          <w:snapToGrid w:val="0"/>
          <w:spacing w:val="-2"/>
          <w:kern w:val="0"/>
          <w:sz w:val="21"/>
          <w:szCs w:val="21"/>
          <w:highlight w:val="none"/>
          <w:lang w:eastAsia="zh-CN"/>
        </w:rPr>
      </w:pPr>
      <w:r>
        <w:rPr>
          <w:rFonts w:hint="eastAsia" w:ascii="仿宋" w:hAnsi="仿宋" w:eastAsia="仿宋" w:cs="仿宋"/>
          <w:snapToGrid w:val="0"/>
          <w:spacing w:val="-2"/>
          <w:kern w:val="0"/>
          <w:sz w:val="21"/>
          <w:szCs w:val="21"/>
          <w:highlight w:val="none"/>
          <w:lang w:eastAsia="zh-CN"/>
        </w:rPr>
        <w:t>价格</w:t>
      </w:r>
      <w:r>
        <w:rPr>
          <w:rFonts w:hint="eastAsia" w:ascii="仿宋" w:hAnsi="仿宋" w:eastAsia="仿宋" w:cs="仿宋"/>
          <w:snapToGrid w:val="0"/>
          <w:spacing w:val="-2"/>
          <w:kern w:val="0"/>
          <w:sz w:val="21"/>
          <w:szCs w:val="21"/>
          <w:highlight w:val="none"/>
        </w:rPr>
        <w:t>时点：</w:t>
      </w:r>
      <w:r>
        <w:rPr>
          <w:rFonts w:hint="eastAsia" w:ascii="仿宋" w:hAnsi="仿宋" w:eastAsia="仿宋" w:cs="仿宋"/>
          <w:snapToGrid w:val="0"/>
          <w:spacing w:val="-2"/>
          <w:kern w:val="0"/>
          <w:sz w:val="21"/>
          <w:szCs w:val="21"/>
          <w:highlight w:val="none"/>
          <w:lang w:eastAsia="zh-CN"/>
        </w:rPr>
        <w:t>2022年4月13日</w:t>
      </w:r>
    </w:p>
    <w:tbl>
      <w:tblPr>
        <w:tblStyle w:val="46"/>
        <w:tblW w:w="9997" w:type="dxa"/>
        <w:jc w:val="center"/>
        <w:shd w:val="clear" w:color="auto" w:fill="auto"/>
        <w:tblLayout w:type="fixed"/>
        <w:tblCellMar>
          <w:top w:w="0" w:type="dxa"/>
          <w:left w:w="108" w:type="dxa"/>
          <w:bottom w:w="0" w:type="dxa"/>
          <w:right w:w="108" w:type="dxa"/>
        </w:tblCellMar>
      </w:tblPr>
      <w:tblGrid>
        <w:gridCol w:w="819"/>
        <w:gridCol w:w="1200"/>
        <w:gridCol w:w="1481"/>
        <w:gridCol w:w="458"/>
        <w:gridCol w:w="819"/>
        <w:gridCol w:w="612"/>
        <w:gridCol w:w="791"/>
        <w:gridCol w:w="875"/>
        <w:gridCol w:w="981"/>
        <w:gridCol w:w="1019"/>
        <w:gridCol w:w="942"/>
      </w:tblGrid>
      <w:tr>
        <w:tblPrEx>
          <w:tblCellMar>
            <w:top w:w="0" w:type="dxa"/>
            <w:left w:w="108" w:type="dxa"/>
            <w:bottom w:w="0" w:type="dxa"/>
            <w:right w:w="108" w:type="dxa"/>
          </w:tblCellMar>
        </w:tblPrEx>
        <w:trPr>
          <w:trHeight w:val="397" w:hRule="atLeast"/>
          <w:jc w:val="center"/>
        </w:trPr>
        <w:tc>
          <w:tcPr>
            <w:tcW w:w="9997"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估价对象</w:t>
            </w:r>
          </w:p>
        </w:tc>
      </w:tr>
      <w:tr>
        <w:tblPrEx>
          <w:shd w:val="clear" w:color="auto" w:fill="auto"/>
          <w:tblCellMar>
            <w:top w:w="0" w:type="dxa"/>
            <w:left w:w="108" w:type="dxa"/>
            <w:bottom w:w="0" w:type="dxa"/>
            <w:right w:w="108" w:type="dxa"/>
          </w:tblCellMar>
        </w:tblPrEx>
        <w:trPr>
          <w:trHeight w:val="397"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权利人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不动产权证书/证明号</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房屋坐落</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用途</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所在层数/总层数</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装修情况</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建筑面积(㎡)</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评估单价（元/㎡）</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未扣除处置费用评估总价（万元）</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扣除处置费用评估单价（元/㎡）</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扣除处置费用评估总价（万元）</w:t>
            </w:r>
          </w:p>
        </w:tc>
      </w:tr>
      <w:tr>
        <w:tblPrEx>
          <w:shd w:val="clear" w:color="auto" w:fill="auto"/>
          <w:tblCellMar>
            <w:top w:w="0" w:type="dxa"/>
            <w:left w:w="108" w:type="dxa"/>
            <w:bottom w:w="0" w:type="dxa"/>
            <w:right w:w="108" w:type="dxa"/>
          </w:tblCellMar>
        </w:tblPrEx>
        <w:trPr>
          <w:trHeight w:val="397"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龙芳/杨勇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黔（2020）三穗县不动产权第0003083号</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八弓镇中坝村（凯宏·城市花园三期）2幢1-9-2</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住宅</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9层/15层</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毛坯</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107.29</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3,110</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 xml:space="preserve">33.37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2,594</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 xml:space="preserve">27.83 </w:t>
            </w:r>
          </w:p>
        </w:tc>
      </w:tr>
    </w:tbl>
    <w:p>
      <w:pPr>
        <w:pStyle w:val="45"/>
        <w:rPr>
          <w:highlight w:val="none"/>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黑体" w:eastAsia="黑体"/>
          <w:snapToGrid w:val="0"/>
          <w:kern w:val="0"/>
          <w:sz w:val="30"/>
          <w:szCs w:val="30"/>
          <w:highlight w:val="none"/>
        </w:rPr>
      </w:pPr>
    </w:p>
    <w:sectPr>
      <w:footerReference r:id="rId4" w:type="default"/>
      <w:pgSz w:w="11907" w:h="16840"/>
      <w:pgMar w:top="1440" w:right="1080" w:bottom="1440" w:left="1080" w:header="680" w:footer="851" w:gutter="284"/>
      <w:pgBorders>
        <w:top w:val="none" w:sz="0" w:space="0"/>
        <w:left w:val="none" w:sz="0" w:space="0"/>
        <w:bottom w:val="none" w:sz="0" w:space="0"/>
        <w:right w:val="none" w:sz="0" w:space="0"/>
      </w:pgBorders>
      <w:cols w:space="720" w:num="1"/>
      <w:docGrid w:type="linesAndChars" w:linePitch="475" w:charSpace="118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ookman Old Style">
    <w:altName w:val="Segoe Print"/>
    <w:panose1 w:val="020506040505050202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文鼎中隶简">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楷体简体">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t xml:space="preserve">- </w:t>
    </w:r>
    <w:r>
      <w:fldChar w:fldCharType="begin"/>
    </w:r>
    <w:r>
      <w:instrText xml:space="preserve"> PAGE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kern w:val="0"/>
        <w:sz w:val="20"/>
      </w:rPr>
      <w:t xml:space="preserve">- </w:t>
    </w:r>
    <w:r>
      <w:rPr>
        <w:kern w:val="0"/>
        <w:sz w:val="20"/>
      </w:rPr>
      <w:fldChar w:fldCharType="begin"/>
    </w:r>
    <w:r>
      <w:rPr>
        <w:kern w:val="0"/>
        <w:sz w:val="20"/>
      </w:rPr>
      <w:instrText xml:space="preserve"> PAGE </w:instrText>
    </w:r>
    <w:r>
      <w:rPr>
        <w:kern w:val="0"/>
        <w:sz w:val="20"/>
      </w:rPr>
      <w:fldChar w:fldCharType="separate"/>
    </w:r>
    <w:r>
      <w:rPr>
        <w:kern w:val="0"/>
        <w:sz w:val="20"/>
      </w:rPr>
      <w:t>42</w:t>
    </w:r>
    <w:r>
      <w:rPr>
        <w:kern w:val="0"/>
        <w:sz w:val="20"/>
      </w:rPr>
      <w:fldChar w:fldCharType="end"/>
    </w:r>
    <w:r>
      <w:rPr>
        <w:kern w:val="0"/>
        <w:sz w:val="2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70054"/>
    <w:multiLevelType w:val="singleLevel"/>
    <w:tmpl w:val="00270054"/>
    <w:lvl w:ilvl="0" w:tentative="0">
      <w:start w:val="1"/>
      <w:numFmt w:val="japaneseCounting"/>
      <w:pStyle w:val="204"/>
      <w:lvlText w:val="%1、"/>
      <w:lvlJc w:val="left"/>
      <w:pPr>
        <w:tabs>
          <w:tab w:val="left"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gutterAtTop/>
  <w:attachedTemplate r:id="rId1"/>
  <w:documentProtection w:enforcement="0"/>
  <w:defaultTabStop w:val="425"/>
  <w:drawingGridHorizontalSpacing w:val="134"/>
  <w:drawingGridVerticalSpacing w:val="475"/>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5E"/>
    <w:rsid w:val="000025DD"/>
    <w:rsid w:val="00002797"/>
    <w:rsid w:val="00002BB8"/>
    <w:rsid w:val="00004B15"/>
    <w:rsid w:val="00005021"/>
    <w:rsid w:val="000050EA"/>
    <w:rsid w:val="000052F2"/>
    <w:rsid w:val="00005D7A"/>
    <w:rsid w:val="000109D1"/>
    <w:rsid w:val="00010E08"/>
    <w:rsid w:val="0001123E"/>
    <w:rsid w:val="000124B0"/>
    <w:rsid w:val="0001318B"/>
    <w:rsid w:val="0001375F"/>
    <w:rsid w:val="00015EC3"/>
    <w:rsid w:val="0001685D"/>
    <w:rsid w:val="00016C94"/>
    <w:rsid w:val="00016D00"/>
    <w:rsid w:val="00016E63"/>
    <w:rsid w:val="0001739D"/>
    <w:rsid w:val="00017B81"/>
    <w:rsid w:val="00017D05"/>
    <w:rsid w:val="00020284"/>
    <w:rsid w:val="000209C8"/>
    <w:rsid w:val="00021176"/>
    <w:rsid w:val="00021B68"/>
    <w:rsid w:val="00021DD3"/>
    <w:rsid w:val="00023531"/>
    <w:rsid w:val="0002440D"/>
    <w:rsid w:val="00025F25"/>
    <w:rsid w:val="00026028"/>
    <w:rsid w:val="00026D15"/>
    <w:rsid w:val="00030C60"/>
    <w:rsid w:val="0003130A"/>
    <w:rsid w:val="0003407D"/>
    <w:rsid w:val="00034357"/>
    <w:rsid w:val="00034400"/>
    <w:rsid w:val="00036BB7"/>
    <w:rsid w:val="00037C40"/>
    <w:rsid w:val="0004002A"/>
    <w:rsid w:val="000444B3"/>
    <w:rsid w:val="000447EC"/>
    <w:rsid w:val="00044EF6"/>
    <w:rsid w:val="00044F17"/>
    <w:rsid w:val="00045184"/>
    <w:rsid w:val="0004549F"/>
    <w:rsid w:val="000459ED"/>
    <w:rsid w:val="00045CCC"/>
    <w:rsid w:val="0005150D"/>
    <w:rsid w:val="000519E7"/>
    <w:rsid w:val="00052046"/>
    <w:rsid w:val="00052EC9"/>
    <w:rsid w:val="00053521"/>
    <w:rsid w:val="000539E8"/>
    <w:rsid w:val="00053DC8"/>
    <w:rsid w:val="000541A4"/>
    <w:rsid w:val="000541A6"/>
    <w:rsid w:val="0005456F"/>
    <w:rsid w:val="00054762"/>
    <w:rsid w:val="00054816"/>
    <w:rsid w:val="00055CBE"/>
    <w:rsid w:val="0005680E"/>
    <w:rsid w:val="00060533"/>
    <w:rsid w:val="00060F41"/>
    <w:rsid w:val="0006246C"/>
    <w:rsid w:val="0006367C"/>
    <w:rsid w:val="0006428C"/>
    <w:rsid w:val="00064619"/>
    <w:rsid w:val="00064B3F"/>
    <w:rsid w:val="000650F2"/>
    <w:rsid w:val="000652C0"/>
    <w:rsid w:val="00065559"/>
    <w:rsid w:val="000659B1"/>
    <w:rsid w:val="00070675"/>
    <w:rsid w:val="00071299"/>
    <w:rsid w:val="0007278F"/>
    <w:rsid w:val="00072F6D"/>
    <w:rsid w:val="00073750"/>
    <w:rsid w:val="0007417D"/>
    <w:rsid w:val="000746EB"/>
    <w:rsid w:val="00074EED"/>
    <w:rsid w:val="00075E60"/>
    <w:rsid w:val="00075F67"/>
    <w:rsid w:val="00076192"/>
    <w:rsid w:val="00076318"/>
    <w:rsid w:val="000765CF"/>
    <w:rsid w:val="000768B3"/>
    <w:rsid w:val="00076C13"/>
    <w:rsid w:val="00076C69"/>
    <w:rsid w:val="0007719C"/>
    <w:rsid w:val="00077228"/>
    <w:rsid w:val="000776EA"/>
    <w:rsid w:val="00080291"/>
    <w:rsid w:val="000810B2"/>
    <w:rsid w:val="00081102"/>
    <w:rsid w:val="00081524"/>
    <w:rsid w:val="00081BEC"/>
    <w:rsid w:val="00081D0E"/>
    <w:rsid w:val="00081EBE"/>
    <w:rsid w:val="00082D3E"/>
    <w:rsid w:val="000832A5"/>
    <w:rsid w:val="00083702"/>
    <w:rsid w:val="00083ABA"/>
    <w:rsid w:val="00083D9D"/>
    <w:rsid w:val="00084A06"/>
    <w:rsid w:val="00085428"/>
    <w:rsid w:val="00085C98"/>
    <w:rsid w:val="00086BED"/>
    <w:rsid w:val="00087C23"/>
    <w:rsid w:val="00087FF2"/>
    <w:rsid w:val="00090761"/>
    <w:rsid w:val="000910DF"/>
    <w:rsid w:val="00091249"/>
    <w:rsid w:val="00092B2B"/>
    <w:rsid w:val="00092C39"/>
    <w:rsid w:val="00092EA2"/>
    <w:rsid w:val="000930DD"/>
    <w:rsid w:val="00093483"/>
    <w:rsid w:val="00095C4E"/>
    <w:rsid w:val="00095CCB"/>
    <w:rsid w:val="0009601C"/>
    <w:rsid w:val="00096034"/>
    <w:rsid w:val="000967DB"/>
    <w:rsid w:val="000968FA"/>
    <w:rsid w:val="0009754F"/>
    <w:rsid w:val="0009796D"/>
    <w:rsid w:val="00097EA4"/>
    <w:rsid w:val="000A0215"/>
    <w:rsid w:val="000A13B9"/>
    <w:rsid w:val="000A2784"/>
    <w:rsid w:val="000A32DB"/>
    <w:rsid w:val="000A3697"/>
    <w:rsid w:val="000A5C96"/>
    <w:rsid w:val="000A5D50"/>
    <w:rsid w:val="000A5FD7"/>
    <w:rsid w:val="000A6C59"/>
    <w:rsid w:val="000A70C5"/>
    <w:rsid w:val="000B0773"/>
    <w:rsid w:val="000B0872"/>
    <w:rsid w:val="000B14A5"/>
    <w:rsid w:val="000B19EB"/>
    <w:rsid w:val="000B1D48"/>
    <w:rsid w:val="000B230C"/>
    <w:rsid w:val="000B2B98"/>
    <w:rsid w:val="000B37C3"/>
    <w:rsid w:val="000B42E3"/>
    <w:rsid w:val="000B4D02"/>
    <w:rsid w:val="000B58BE"/>
    <w:rsid w:val="000B6671"/>
    <w:rsid w:val="000B672C"/>
    <w:rsid w:val="000B6C65"/>
    <w:rsid w:val="000B6E74"/>
    <w:rsid w:val="000B719E"/>
    <w:rsid w:val="000B79C4"/>
    <w:rsid w:val="000B7A69"/>
    <w:rsid w:val="000B7EAC"/>
    <w:rsid w:val="000C0A8D"/>
    <w:rsid w:val="000C263A"/>
    <w:rsid w:val="000C28C5"/>
    <w:rsid w:val="000C316E"/>
    <w:rsid w:val="000C543E"/>
    <w:rsid w:val="000C58AC"/>
    <w:rsid w:val="000C66CA"/>
    <w:rsid w:val="000C6DBE"/>
    <w:rsid w:val="000C7D3F"/>
    <w:rsid w:val="000C7DDE"/>
    <w:rsid w:val="000D035D"/>
    <w:rsid w:val="000D037B"/>
    <w:rsid w:val="000D0D58"/>
    <w:rsid w:val="000D1207"/>
    <w:rsid w:val="000D131F"/>
    <w:rsid w:val="000D208E"/>
    <w:rsid w:val="000D3A0E"/>
    <w:rsid w:val="000D40C7"/>
    <w:rsid w:val="000D4606"/>
    <w:rsid w:val="000E14E5"/>
    <w:rsid w:val="000E19DA"/>
    <w:rsid w:val="000E2910"/>
    <w:rsid w:val="000E32BA"/>
    <w:rsid w:val="000E4560"/>
    <w:rsid w:val="000E470E"/>
    <w:rsid w:val="000E47BA"/>
    <w:rsid w:val="000E4975"/>
    <w:rsid w:val="000E4CB4"/>
    <w:rsid w:val="000E4ED1"/>
    <w:rsid w:val="000E59AD"/>
    <w:rsid w:val="000E6A95"/>
    <w:rsid w:val="000F0B68"/>
    <w:rsid w:val="000F30BE"/>
    <w:rsid w:val="000F5436"/>
    <w:rsid w:val="000F57D3"/>
    <w:rsid w:val="000F5D5C"/>
    <w:rsid w:val="000F5FBA"/>
    <w:rsid w:val="000F60CF"/>
    <w:rsid w:val="0010095F"/>
    <w:rsid w:val="00100EEC"/>
    <w:rsid w:val="00100F0D"/>
    <w:rsid w:val="001010EF"/>
    <w:rsid w:val="00102588"/>
    <w:rsid w:val="0010497C"/>
    <w:rsid w:val="00105250"/>
    <w:rsid w:val="00105931"/>
    <w:rsid w:val="00105B89"/>
    <w:rsid w:val="00112085"/>
    <w:rsid w:val="001125DC"/>
    <w:rsid w:val="00113BDC"/>
    <w:rsid w:val="001147FC"/>
    <w:rsid w:val="00114EB9"/>
    <w:rsid w:val="001169C9"/>
    <w:rsid w:val="00116CFA"/>
    <w:rsid w:val="00116D34"/>
    <w:rsid w:val="00116FD6"/>
    <w:rsid w:val="00117094"/>
    <w:rsid w:val="001173E1"/>
    <w:rsid w:val="00117570"/>
    <w:rsid w:val="0011785A"/>
    <w:rsid w:val="001200ED"/>
    <w:rsid w:val="00120256"/>
    <w:rsid w:val="00122331"/>
    <w:rsid w:val="001228FA"/>
    <w:rsid w:val="00122BCA"/>
    <w:rsid w:val="00123198"/>
    <w:rsid w:val="001238CF"/>
    <w:rsid w:val="0012405A"/>
    <w:rsid w:val="0012438B"/>
    <w:rsid w:val="00124516"/>
    <w:rsid w:val="00124660"/>
    <w:rsid w:val="00125ED9"/>
    <w:rsid w:val="00126D6E"/>
    <w:rsid w:val="00127855"/>
    <w:rsid w:val="00127911"/>
    <w:rsid w:val="0013058D"/>
    <w:rsid w:val="00130A37"/>
    <w:rsid w:val="001315B2"/>
    <w:rsid w:val="00131674"/>
    <w:rsid w:val="00131993"/>
    <w:rsid w:val="00131C5F"/>
    <w:rsid w:val="00131C79"/>
    <w:rsid w:val="0013271E"/>
    <w:rsid w:val="0013273C"/>
    <w:rsid w:val="00133500"/>
    <w:rsid w:val="00133BD0"/>
    <w:rsid w:val="00134391"/>
    <w:rsid w:val="00135AC7"/>
    <w:rsid w:val="00136436"/>
    <w:rsid w:val="0013661A"/>
    <w:rsid w:val="00136689"/>
    <w:rsid w:val="00136C02"/>
    <w:rsid w:val="00136E76"/>
    <w:rsid w:val="001377CD"/>
    <w:rsid w:val="00137DFC"/>
    <w:rsid w:val="00140384"/>
    <w:rsid w:val="001403B9"/>
    <w:rsid w:val="001403D3"/>
    <w:rsid w:val="00140BE7"/>
    <w:rsid w:val="00140BF2"/>
    <w:rsid w:val="001418D0"/>
    <w:rsid w:val="00144688"/>
    <w:rsid w:val="00144F38"/>
    <w:rsid w:val="001451F8"/>
    <w:rsid w:val="00145794"/>
    <w:rsid w:val="00145855"/>
    <w:rsid w:val="00145A62"/>
    <w:rsid w:val="00145D5D"/>
    <w:rsid w:val="00150126"/>
    <w:rsid w:val="0015046E"/>
    <w:rsid w:val="001506A2"/>
    <w:rsid w:val="001507EB"/>
    <w:rsid w:val="001509CC"/>
    <w:rsid w:val="001509E5"/>
    <w:rsid w:val="00151DBA"/>
    <w:rsid w:val="00151FEB"/>
    <w:rsid w:val="0015202B"/>
    <w:rsid w:val="001549FE"/>
    <w:rsid w:val="00155DCF"/>
    <w:rsid w:val="001561F9"/>
    <w:rsid w:val="001570D8"/>
    <w:rsid w:val="001572E2"/>
    <w:rsid w:val="00157D09"/>
    <w:rsid w:val="00157E1F"/>
    <w:rsid w:val="00160210"/>
    <w:rsid w:val="001612B4"/>
    <w:rsid w:val="00161E1A"/>
    <w:rsid w:val="00161FB7"/>
    <w:rsid w:val="00162003"/>
    <w:rsid w:val="00162B90"/>
    <w:rsid w:val="001640F7"/>
    <w:rsid w:val="00164638"/>
    <w:rsid w:val="001648F6"/>
    <w:rsid w:val="00165A6D"/>
    <w:rsid w:val="0016638D"/>
    <w:rsid w:val="001678E9"/>
    <w:rsid w:val="0017097C"/>
    <w:rsid w:val="0017171B"/>
    <w:rsid w:val="00172A19"/>
    <w:rsid w:val="00172A27"/>
    <w:rsid w:val="00172C5D"/>
    <w:rsid w:val="001738B1"/>
    <w:rsid w:val="00173989"/>
    <w:rsid w:val="00173C26"/>
    <w:rsid w:val="001745C4"/>
    <w:rsid w:val="00175183"/>
    <w:rsid w:val="001758EA"/>
    <w:rsid w:val="00175D9D"/>
    <w:rsid w:val="001764FC"/>
    <w:rsid w:val="00176D5D"/>
    <w:rsid w:val="0017722D"/>
    <w:rsid w:val="00177B6A"/>
    <w:rsid w:val="00180657"/>
    <w:rsid w:val="0018153B"/>
    <w:rsid w:val="00181FCD"/>
    <w:rsid w:val="00182431"/>
    <w:rsid w:val="00182E81"/>
    <w:rsid w:val="00183A82"/>
    <w:rsid w:val="001842CA"/>
    <w:rsid w:val="0018524A"/>
    <w:rsid w:val="001857B2"/>
    <w:rsid w:val="001865D5"/>
    <w:rsid w:val="00186F42"/>
    <w:rsid w:val="00190E17"/>
    <w:rsid w:val="001913D6"/>
    <w:rsid w:val="00192780"/>
    <w:rsid w:val="00196B05"/>
    <w:rsid w:val="00196C70"/>
    <w:rsid w:val="001A0170"/>
    <w:rsid w:val="001A0694"/>
    <w:rsid w:val="001A105B"/>
    <w:rsid w:val="001A159A"/>
    <w:rsid w:val="001A2582"/>
    <w:rsid w:val="001A4008"/>
    <w:rsid w:val="001A49B7"/>
    <w:rsid w:val="001A622F"/>
    <w:rsid w:val="001A647C"/>
    <w:rsid w:val="001A6491"/>
    <w:rsid w:val="001A6A92"/>
    <w:rsid w:val="001B1281"/>
    <w:rsid w:val="001B146F"/>
    <w:rsid w:val="001B1618"/>
    <w:rsid w:val="001B1CF9"/>
    <w:rsid w:val="001B20C6"/>
    <w:rsid w:val="001B275E"/>
    <w:rsid w:val="001B27D7"/>
    <w:rsid w:val="001B28BA"/>
    <w:rsid w:val="001B31C6"/>
    <w:rsid w:val="001B4577"/>
    <w:rsid w:val="001B5285"/>
    <w:rsid w:val="001B6638"/>
    <w:rsid w:val="001B6AE7"/>
    <w:rsid w:val="001C122B"/>
    <w:rsid w:val="001C1928"/>
    <w:rsid w:val="001C3EC0"/>
    <w:rsid w:val="001C4007"/>
    <w:rsid w:val="001C458C"/>
    <w:rsid w:val="001C52E2"/>
    <w:rsid w:val="001C58E4"/>
    <w:rsid w:val="001C650F"/>
    <w:rsid w:val="001C6DD2"/>
    <w:rsid w:val="001C7A72"/>
    <w:rsid w:val="001C7CA0"/>
    <w:rsid w:val="001D14A5"/>
    <w:rsid w:val="001D2295"/>
    <w:rsid w:val="001D2A06"/>
    <w:rsid w:val="001D2A84"/>
    <w:rsid w:val="001D3430"/>
    <w:rsid w:val="001D4573"/>
    <w:rsid w:val="001D47AD"/>
    <w:rsid w:val="001D5A18"/>
    <w:rsid w:val="001D5F9D"/>
    <w:rsid w:val="001D65DF"/>
    <w:rsid w:val="001D7627"/>
    <w:rsid w:val="001D79F2"/>
    <w:rsid w:val="001D7BAA"/>
    <w:rsid w:val="001E037D"/>
    <w:rsid w:val="001E0DF0"/>
    <w:rsid w:val="001E1E28"/>
    <w:rsid w:val="001E26BF"/>
    <w:rsid w:val="001E42EF"/>
    <w:rsid w:val="001E44D7"/>
    <w:rsid w:val="001E5CE1"/>
    <w:rsid w:val="001E61E6"/>
    <w:rsid w:val="001E64B7"/>
    <w:rsid w:val="001E6BD5"/>
    <w:rsid w:val="001F0384"/>
    <w:rsid w:val="001F0E0E"/>
    <w:rsid w:val="001F2465"/>
    <w:rsid w:val="001F39AB"/>
    <w:rsid w:val="001F70AE"/>
    <w:rsid w:val="001F763C"/>
    <w:rsid w:val="001F7E03"/>
    <w:rsid w:val="002015EF"/>
    <w:rsid w:val="002017AA"/>
    <w:rsid w:val="00202599"/>
    <w:rsid w:val="00202842"/>
    <w:rsid w:val="00202D6A"/>
    <w:rsid w:val="00203378"/>
    <w:rsid w:val="002037D3"/>
    <w:rsid w:val="00203F0B"/>
    <w:rsid w:val="00203FA2"/>
    <w:rsid w:val="00207840"/>
    <w:rsid w:val="0021058C"/>
    <w:rsid w:val="002115C5"/>
    <w:rsid w:val="002120C8"/>
    <w:rsid w:val="002122AE"/>
    <w:rsid w:val="00212D17"/>
    <w:rsid w:val="0021334D"/>
    <w:rsid w:val="002138E5"/>
    <w:rsid w:val="002140DE"/>
    <w:rsid w:val="002171EE"/>
    <w:rsid w:val="00221CCD"/>
    <w:rsid w:val="002246BD"/>
    <w:rsid w:val="00224C8C"/>
    <w:rsid w:val="0022550B"/>
    <w:rsid w:val="00225DE7"/>
    <w:rsid w:val="0022774C"/>
    <w:rsid w:val="00227AA4"/>
    <w:rsid w:val="00230D0D"/>
    <w:rsid w:val="00231477"/>
    <w:rsid w:val="00234989"/>
    <w:rsid w:val="00235213"/>
    <w:rsid w:val="00235B62"/>
    <w:rsid w:val="00236718"/>
    <w:rsid w:val="0023753E"/>
    <w:rsid w:val="00240243"/>
    <w:rsid w:val="00240CA6"/>
    <w:rsid w:val="002416F5"/>
    <w:rsid w:val="00241E66"/>
    <w:rsid w:val="00242223"/>
    <w:rsid w:val="0024359C"/>
    <w:rsid w:val="002456FA"/>
    <w:rsid w:val="002463C0"/>
    <w:rsid w:val="00246703"/>
    <w:rsid w:val="00247AE8"/>
    <w:rsid w:val="00247D10"/>
    <w:rsid w:val="00251166"/>
    <w:rsid w:val="002517F0"/>
    <w:rsid w:val="00251813"/>
    <w:rsid w:val="00251E32"/>
    <w:rsid w:val="00252D7C"/>
    <w:rsid w:val="00252D83"/>
    <w:rsid w:val="002541BE"/>
    <w:rsid w:val="002551AB"/>
    <w:rsid w:val="00255480"/>
    <w:rsid w:val="00256EC5"/>
    <w:rsid w:val="00257660"/>
    <w:rsid w:val="00257962"/>
    <w:rsid w:val="00257CF5"/>
    <w:rsid w:val="00260F80"/>
    <w:rsid w:val="00261090"/>
    <w:rsid w:val="002612DE"/>
    <w:rsid w:val="002626F1"/>
    <w:rsid w:val="002628BC"/>
    <w:rsid w:val="00262B96"/>
    <w:rsid w:val="00263238"/>
    <w:rsid w:val="002633BF"/>
    <w:rsid w:val="00264746"/>
    <w:rsid w:val="00264AFA"/>
    <w:rsid w:val="00265292"/>
    <w:rsid w:val="0026608D"/>
    <w:rsid w:val="0026664A"/>
    <w:rsid w:val="002667E6"/>
    <w:rsid w:val="00266A4F"/>
    <w:rsid w:val="00266DAE"/>
    <w:rsid w:val="00270BD6"/>
    <w:rsid w:val="00270FFB"/>
    <w:rsid w:val="00271519"/>
    <w:rsid w:val="00273B24"/>
    <w:rsid w:val="002743B2"/>
    <w:rsid w:val="00274F59"/>
    <w:rsid w:val="00275773"/>
    <w:rsid w:val="00275BDD"/>
    <w:rsid w:val="0027673D"/>
    <w:rsid w:val="0028067B"/>
    <w:rsid w:val="0028096E"/>
    <w:rsid w:val="00281C65"/>
    <w:rsid w:val="00281DBA"/>
    <w:rsid w:val="00282939"/>
    <w:rsid w:val="00283C8F"/>
    <w:rsid w:val="00283D43"/>
    <w:rsid w:val="00284627"/>
    <w:rsid w:val="00285143"/>
    <w:rsid w:val="002925C9"/>
    <w:rsid w:val="00292BBC"/>
    <w:rsid w:val="00293C31"/>
    <w:rsid w:val="0029535A"/>
    <w:rsid w:val="00295879"/>
    <w:rsid w:val="00296281"/>
    <w:rsid w:val="002A0297"/>
    <w:rsid w:val="002A08EE"/>
    <w:rsid w:val="002A26AC"/>
    <w:rsid w:val="002A2DA8"/>
    <w:rsid w:val="002A343A"/>
    <w:rsid w:val="002A359B"/>
    <w:rsid w:val="002A391E"/>
    <w:rsid w:val="002A3925"/>
    <w:rsid w:val="002A3AEA"/>
    <w:rsid w:val="002A3BF9"/>
    <w:rsid w:val="002A449F"/>
    <w:rsid w:val="002A4BAC"/>
    <w:rsid w:val="002A533C"/>
    <w:rsid w:val="002A77EA"/>
    <w:rsid w:val="002B065B"/>
    <w:rsid w:val="002B1455"/>
    <w:rsid w:val="002B31BC"/>
    <w:rsid w:val="002B372D"/>
    <w:rsid w:val="002B3B9C"/>
    <w:rsid w:val="002B4465"/>
    <w:rsid w:val="002B4F4E"/>
    <w:rsid w:val="002B5F70"/>
    <w:rsid w:val="002B62F9"/>
    <w:rsid w:val="002B6E70"/>
    <w:rsid w:val="002B7D54"/>
    <w:rsid w:val="002B7F96"/>
    <w:rsid w:val="002C0237"/>
    <w:rsid w:val="002C184B"/>
    <w:rsid w:val="002C34B7"/>
    <w:rsid w:val="002C3759"/>
    <w:rsid w:val="002C3948"/>
    <w:rsid w:val="002C45FC"/>
    <w:rsid w:val="002C4CD2"/>
    <w:rsid w:val="002C5A7A"/>
    <w:rsid w:val="002C5E2B"/>
    <w:rsid w:val="002C6A48"/>
    <w:rsid w:val="002C6DB4"/>
    <w:rsid w:val="002C6DED"/>
    <w:rsid w:val="002C6F19"/>
    <w:rsid w:val="002C713F"/>
    <w:rsid w:val="002C7417"/>
    <w:rsid w:val="002D073E"/>
    <w:rsid w:val="002D09A0"/>
    <w:rsid w:val="002D0EC0"/>
    <w:rsid w:val="002D12BF"/>
    <w:rsid w:val="002D18A1"/>
    <w:rsid w:val="002D191E"/>
    <w:rsid w:val="002D1932"/>
    <w:rsid w:val="002D1E1D"/>
    <w:rsid w:val="002D2E1E"/>
    <w:rsid w:val="002D2FCC"/>
    <w:rsid w:val="002D3485"/>
    <w:rsid w:val="002D3E74"/>
    <w:rsid w:val="002D4D40"/>
    <w:rsid w:val="002D4D62"/>
    <w:rsid w:val="002D5F1F"/>
    <w:rsid w:val="002D6A84"/>
    <w:rsid w:val="002D79ED"/>
    <w:rsid w:val="002E03C1"/>
    <w:rsid w:val="002E433B"/>
    <w:rsid w:val="002E438F"/>
    <w:rsid w:val="002E45FB"/>
    <w:rsid w:val="002E4E37"/>
    <w:rsid w:val="002E51D6"/>
    <w:rsid w:val="002E770A"/>
    <w:rsid w:val="002F091D"/>
    <w:rsid w:val="002F134E"/>
    <w:rsid w:val="002F178E"/>
    <w:rsid w:val="002F18A4"/>
    <w:rsid w:val="002F2129"/>
    <w:rsid w:val="002F2530"/>
    <w:rsid w:val="002F28D0"/>
    <w:rsid w:val="002F4850"/>
    <w:rsid w:val="002F4C46"/>
    <w:rsid w:val="002F5983"/>
    <w:rsid w:val="002F6539"/>
    <w:rsid w:val="00300306"/>
    <w:rsid w:val="0030066B"/>
    <w:rsid w:val="00300E75"/>
    <w:rsid w:val="003013B7"/>
    <w:rsid w:val="0030185E"/>
    <w:rsid w:val="003030D5"/>
    <w:rsid w:val="0030557C"/>
    <w:rsid w:val="00305AAB"/>
    <w:rsid w:val="00305E76"/>
    <w:rsid w:val="00306D0E"/>
    <w:rsid w:val="00306F12"/>
    <w:rsid w:val="00310247"/>
    <w:rsid w:val="00311002"/>
    <w:rsid w:val="00311F4D"/>
    <w:rsid w:val="00312512"/>
    <w:rsid w:val="00313612"/>
    <w:rsid w:val="00313C7E"/>
    <w:rsid w:val="00315281"/>
    <w:rsid w:val="003160B7"/>
    <w:rsid w:val="00316191"/>
    <w:rsid w:val="00316895"/>
    <w:rsid w:val="00320373"/>
    <w:rsid w:val="00320600"/>
    <w:rsid w:val="00320BB1"/>
    <w:rsid w:val="00321B5D"/>
    <w:rsid w:val="00322B42"/>
    <w:rsid w:val="00322BC6"/>
    <w:rsid w:val="00323916"/>
    <w:rsid w:val="0032483A"/>
    <w:rsid w:val="0032509C"/>
    <w:rsid w:val="003254BB"/>
    <w:rsid w:val="00326BA6"/>
    <w:rsid w:val="00327EAE"/>
    <w:rsid w:val="00327ED4"/>
    <w:rsid w:val="003302F0"/>
    <w:rsid w:val="003314FA"/>
    <w:rsid w:val="0033166D"/>
    <w:rsid w:val="00333010"/>
    <w:rsid w:val="003342F4"/>
    <w:rsid w:val="00335B7F"/>
    <w:rsid w:val="00337441"/>
    <w:rsid w:val="00337934"/>
    <w:rsid w:val="00340C9B"/>
    <w:rsid w:val="00341040"/>
    <w:rsid w:val="00342148"/>
    <w:rsid w:val="00342CAB"/>
    <w:rsid w:val="00342CC8"/>
    <w:rsid w:val="00343019"/>
    <w:rsid w:val="0034341B"/>
    <w:rsid w:val="003453BE"/>
    <w:rsid w:val="00345BDD"/>
    <w:rsid w:val="00347475"/>
    <w:rsid w:val="00347DED"/>
    <w:rsid w:val="00351094"/>
    <w:rsid w:val="00351425"/>
    <w:rsid w:val="00351BA5"/>
    <w:rsid w:val="003526DA"/>
    <w:rsid w:val="00352FD3"/>
    <w:rsid w:val="00354F8F"/>
    <w:rsid w:val="00355331"/>
    <w:rsid w:val="003560D5"/>
    <w:rsid w:val="003569BA"/>
    <w:rsid w:val="00356B89"/>
    <w:rsid w:val="00356E9E"/>
    <w:rsid w:val="003574FA"/>
    <w:rsid w:val="00357E23"/>
    <w:rsid w:val="00360C52"/>
    <w:rsid w:val="00361E5A"/>
    <w:rsid w:val="0036257B"/>
    <w:rsid w:val="003629B2"/>
    <w:rsid w:val="00362A2C"/>
    <w:rsid w:val="00362A84"/>
    <w:rsid w:val="00362AEC"/>
    <w:rsid w:val="0036367E"/>
    <w:rsid w:val="00363901"/>
    <w:rsid w:val="00364AA3"/>
    <w:rsid w:val="00364C60"/>
    <w:rsid w:val="003652D3"/>
    <w:rsid w:val="00365CC9"/>
    <w:rsid w:val="00366153"/>
    <w:rsid w:val="00366E36"/>
    <w:rsid w:val="00366FA9"/>
    <w:rsid w:val="00367F8C"/>
    <w:rsid w:val="00370620"/>
    <w:rsid w:val="00370C3A"/>
    <w:rsid w:val="003718E4"/>
    <w:rsid w:val="003724CD"/>
    <w:rsid w:val="00372693"/>
    <w:rsid w:val="00374050"/>
    <w:rsid w:val="0037560F"/>
    <w:rsid w:val="00376670"/>
    <w:rsid w:val="003767D9"/>
    <w:rsid w:val="0037696D"/>
    <w:rsid w:val="0037717E"/>
    <w:rsid w:val="00377290"/>
    <w:rsid w:val="003779F7"/>
    <w:rsid w:val="003802BD"/>
    <w:rsid w:val="00382E00"/>
    <w:rsid w:val="00383B8C"/>
    <w:rsid w:val="0038454A"/>
    <w:rsid w:val="00385178"/>
    <w:rsid w:val="0038712E"/>
    <w:rsid w:val="00387307"/>
    <w:rsid w:val="003901CC"/>
    <w:rsid w:val="00390CB4"/>
    <w:rsid w:val="00390ED3"/>
    <w:rsid w:val="00390F3D"/>
    <w:rsid w:val="00391499"/>
    <w:rsid w:val="0039166E"/>
    <w:rsid w:val="0039220F"/>
    <w:rsid w:val="00392360"/>
    <w:rsid w:val="00392BBB"/>
    <w:rsid w:val="00392E2C"/>
    <w:rsid w:val="00393CD4"/>
    <w:rsid w:val="003947B9"/>
    <w:rsid w:val="00396196"/>
    <w:rsid w:val="0039628E"/>
    <w:rsid w:val="003969FE"/>
    <w:rsid w:val="00397531"/>
    <w:rsid w:val="003A0316"/>
    <w:rsid w:val="003A139E"/>
    <w:rsid w:val="003A13B8"/>
    <w:rsid w:val="003A1DAD"/>
    <w:rsid w:val="003A2764"/>
    <w:rsid w:val="003A3E39"/>
    <w:rsid w:val="003A3F06"/>
    <w:rsid w:val="003A4402"/>
    <w:rsid w:val="003A451C"/>
    <w:rsid w:val="003A5B1A"/>
    <w:rsid w:val="003A6F2B"/>
    <w:rsid w:val="003A7EDD"/>
    <w:rsid w:val="003B011F"/>
    <w:rsid w:val="003B0845"/>
    <w:rsid w:val="003B0AC7"/>
    <w:rsid w:val="003B0E07"/>
    <w:rsid w:val="003B1149"/>
    <w:rsid w:val="003B2373"/>
    <w:rsid w:val="003B28FD"/>
    <w:rsid w:val="003B29C1"/>
    <w:rsid w:val="003B33FA"/>
    <w:rsid w:val="003B37C2"/>
    <w:rsid w:val="003B3E60"/>
    <w:rsid w:val="003B4FE4"/>
    <w:rsid w:val="003B5311"/>
    <w:rsid w:val="003B5652"/>
    <w:rsid w:val="003B57D7"/>
    <w:rsid w:val="003B580C"/>
    <w:rsid w:val="003B69D4"/>
    <w:rsid w:val="003B7B26"/>
    <w:rsid w:val="003C060E"/>
    <w:rsid w:val="003C0856"/>
    <w:rsid w:val="003C1094"/>
    <w:rsid w:val="003C185B"/>
    <w:rsid w:val="003C234C"/>
    <w:rsid w:val="003C286B"/>
    <w:rsid w:val="003C287A"/>
    <w:rsid w:val="003C2D0B"/>
    <w:rsid w:val="003C2F56"/>
    <w:rsid w:val="003C3A3E"/>
    <w:rsid w:val="003C3D5B"/>
    <w:rsid w:val="003C3EB1"/>
    <w:rsid w:val="003C544B"/>
    <w:rsid w:val="003C6163"/>
    <w:rsid w:val="003C6731"/>
    <w:rsid w:val="003C67AC"/>
    <w:rsid w:val="003C738D"/>
    <w:rsid w:val="003C7744"/>
    <w:rsid w:val="003C7B78"/>
    <w:rsid w:val="003D0C5B"/>
    <w:rsid w:val="003D14CE"/>
    <w:rsid w:val="003D1686"/>
    <w:rsid w:val="003D3F90"/>
    <w:rsid w:val="003D4083"/>
    <w:rsid w:val="003D4454"/>
    <w:rsid w:val="003D4743"/>
    <w:rsid w:val="003D529F"/>
    <w:rsid w:val="003D5304"/>
    <w:rsid w:val="003D53CA"/>
    <w:rsid w:val="003D56D5"/>
    <w:rsid w:val="003D7562"/>
    <w:rsid w:val="003E01C7"/>
    <w:rsid w:val="003E12B3"/>
    <w:rsid w:val="003E140F"/>
    <w:rsid w:val="003E1C89"/>
    <w:rsid w:val="003E31A8"/>
    <w:rsid w:val="003E3CD2"/>
    <w:rsid w:val="003E4B37"/>
    <w:rsid w:val="003E4D50"/>
    <w:rsid w:val="003E4F0B"/>
    <w:rsid w:val="003E5C4E"/>
    <w:rsid w:val="003E775F"/>
    <w:rsid w:val="003E77BC"/>
    <w:rsid w:val="003F179C"/>
    <w:rsid w:val="003F1AF2"/>
    <w:rsid w:val="003F1BEA"/>
    <w:rsid w:val="003F1C60"/>
    <w:rsid w:val="003F22AB"/>
    <w:rsid w:val="003F23E4"/>
    <w:rsid w:val="003F2603"/>
    <w:rsid w:val="003F2F29"/>
    <w:rsid w:val="003F39FF"/>
    <w:rsid w:val="003F3E08"/>
    <w:rsid w:val="003F4616"/>
    <w:rsid w:val="003F4C98"/>
    <w:rsid w:val="003F4F35"/>
    <w:rsid w:val="003F59F6"/>
    <w:rsid w:val="003F633D"/>
    <w:rsid w:val="003F69A8"/>
    <w:rsid w:val="003F7172"/>
    <w:rsid w:val="003F78F5"/>
    <w:rsid w:val="003F790F"/>
    <w:rsid w:val="0040063A"/>
    <w:rsid w:val="00400A37"/>
    <w:rsid w:val="00400DCC"/>
    <w:rsid w:val="00401E6E"/>
    <w:rsid w:val="004021C7"/>
    <w:rsid w:val="0040232E"/>
    <w:rsid w:val="004024F0"/>
    <w:rsid w:val="00403252"/>
    <w:rsid w:val="00403FBF"/>
    <w:rsid w:val="00405689"/>
    <w:rsid w:val="00405A47"/>
    <w:rsid w:val="00406200"/>
    <w:rsid w:val="00406933"/>
    <w:rsid w:val="00406F6F"/>
    <w:rsid w:val="00407279"/>
    <w:rsid w:val="004076AC"/>
    <w:rsid w:val="0041036A"/>
    <w:rsid w:val="0041229D"/>
    <w:rsid w:val="00412B3D"/>
    <w:rsid w:val="00413C17"/>
    <w:rsid w:val="004145D8"/>
    <w:rsid w:val="00414D67"/>
    <w:rsid w:val="00414FE4"/>
    <w:rsid w:val="0041561A"/>
    <w:rsid w:val="004168BA"/>
    <w:rsid w:val="0042054E"/>
    <w:rsid w:val="0042070D"/>
    <w:rsid w:val="00422E7C"/>
    <w:rsid w:val="00422F7E"/>
    <w:rsid w:val="004232CD"/>
    <w:rsid w:val="00424283"/>
    <w:rsid w:val="00426549"/>
    <w:rsid w:val="00427099"/>
    <w:rsid w:val="004274B0"/>
    <w:rsid w:val="004275A6"/>
    <w:rsid w:val="0043035E"/>
    <w:rsid w:val="00431300"/>
    <w:rsid w:val="004313D8"/>
    <w:rsid w:val="00432C1F"/>
    <w:rsid w:val="00433726"/>
    <w:rsid w:val="00433B95"/>
    <w:rsid w:val="00433BD7"/>
    <w:rsid w:val="00434AD6"/>
    <w:rsid w:val="00434D8F"/>
    <w:rsid w:val="00435383"/>
    <w:rsid w:val="004354AD"/>
    <w:rsid w:val="00436742"/>
    <w:rsid w:val="00440257"/>
    <w:rsid w:val="00440320"/>
    <w:rsid w:val="004407D5"/>
    <w:rsid w:val="004409FF"/>
    <w:rsid w:val="0044214C"/>
    <w:rsid w:val="004428BD"/>
    <w:rsid w:val="004429BD"/>
    <w:rsid w:val="00445E50"/>
    <w:rsid w:val="00446AD1"/>
    <w:rsid w:val="00446AEB"/>
    <w:rsid w:val="00446C58"/>
    <w:rsid w:val="00446E4D"/>
    <w:rsid w:val="004502B4"/>
    <w:rsid w:val="00450A97"/>
    <w:rsid w:val="0045164A"/>
    <w:rsid w:val="004516D9"/>
    <w:rsid w:val="00451D7E"/>
    <w:rsid w:val="00453539"/>
    <w:rsid w:val="00453969"/>
    <w:rsid w:val="00454189"/>
    <w:rsid w:val="00454256"/>
    <w:rsid w:val="00455062"/>
    <w:rsid w:val="0045513A"/>
    <w:rsid w:val="0045540F"/>
    <w:rsid w:val="0045554A"/>
    <w:rsid w:val="0045600F"/>
    <w:rsid w:val="0045703D"/>
    <w:rsid w:val="0046073C"/>
    <w:rsid w:val="004607F5"/>
    <w:rsid w:val="00462020"/>
    <w:rsid w:val="004621F5"/>
    <w:rsid w:val="0046230F"/>
    <w:rsid w:val="00462E67"/>
    <w:rsid w:val="004638C4"/>
    <w:rsid w:val="00466255"/>
    <w:rsid w:val="00467622"/>
    <w:rsid w:val="00467E42"/>
    <w:rsid w:val="00470D32"/>
    <w:rsid w:val="00471006"/>
    <w:rsid w:val="0047218B"/>
    <w:rsid w:val="00472232"/>
    <w:rsid w:val="004734D8"/>
    <w:rsid w:val="0047457F"/>
    <w:rsid w:val="00474F24"/>
    <w:rsid w:val="00474FA9"/>
    <w:rsid w:val="00476BD9"/>
    <w:rsid w:val="00476FB3"/>
    <w:rsid w:val="004772DE"/>
    <w:rsid w:val="00477928"/>
    <w:rsid w:val="00477A7E"/>
    <w:rsid w:val="00477F08"/>
    <w:rsid w:val="0048078A"/>
    <w:rsid w:val="00480813"/>
    <w:rsid w:val="00480EA4"/>
    <w:rsid w:val="00481D9F"/>
    <w:rsid w:val="00482EE5"/>
    <w:rsid w:val="00483365"/>
    <w:rsid w:val="004840B1"/>
    <w:rsid w:val="004845C3"/>
    <w:rsid w:val="00485263"/>
    <w:rsid w:val="004854DD"/>
    <w:rsid w:val="0048580E"/>
    <w:rsid w:val="00485F22"/>
    <w:rsid w:val="004861B5"/>
    <w:rsid w:val="00486846"/>
    <w:rsid w:val="00490213"/>
    <w:rsid w:val="004902A9"/>
    <w:rsid w:val="004904E4"/>
    <w:rsid w:val="00491087"/>
    <w:rsid w:val="004911B6"/>
    <w:rsid w:val="00492431"/>
    <w:rsid w:val="0049250A"/>
    <w:rsid w:val="00492D17"/>
    <w:rsid w:val="004933F7"/>
    <w:rsid w:val="00494057"/>
    <w:rsid w:val="0049417D"/>
    <w:rsid w:val="00494280"/>
    <w:rsid w:val="00494DD0"/>
    <w:rsid w:val="0049511C"/>
    <w:rsid w:val="00495EF1"/>
    <w:rsid w:val="00496056"/>
    <w:rsid w:val="00496191"/>
    <w:rsid w:val="004A1580"/>
    <w:rsid w:val="004A23F0"/>
    <w:rsid w:val="004A2701"/>
    <w:rsid w:val="004A2AD2"/>
    <w:rsid w:val="004A2E75"/>
    <w:rsid w:val="004A3103"/>
    <w:rsid w:val="004A435B"/>
    <w:rsid w:val="004A520F"/>
    <w:rsid w:val="004A562A"/>
    <w:rsid w:val="004A6195"/>
    <w:rsid w:val="004A6CCD"/>
    <w:rsid w:val="004A733B"/>
    <w:rsid w:val="004A7624"/>
    <w:rsid w:val="004B0A08"/>
    <w:rsid w:val="004B0B95"/>
    <w:rsid w:val="004B14DF"/>
    <w:rsid w:val="004B26CD"/>
    <w:rsid w:val="004B4F30"/>
    <w:rsid w:val="004B5D3C"/>
    <w:rsid w:val="004B6111"/>
    <w:rsid w:val="004B6EFF"/>
    <w:rsid w:val="004B73D2"/>
    <w:rsid w:val="004C0020"/>
    <w:rsid w:val="004C0304"/>
    <w:rsid w:val="004C0533"/>
    <w:rsid w:val="004C0694"/>
    <w:rsid w:val="004C1C9D"/>
    <w:rsid w:val="004C2308"/>
    <w:rsid w:val="004C329C"/>
    <w:rsid w:val="004C447F"/>
    <w:rsid w:val="004C4E2D"/>
    <w:rsid w:val="004C4FFB"/>
    <w:rsid w:val="004C577B"/>
    <w:rsid w:val="004C5B21"/>
    <w:rsid w:val="004C682C"/>
    <w:rsid w:val="004C727E"/>
    <w:rsid w:val="004C79CE"/>
    <w:rsid w:val="004C7B5A"/>
    <w:rsid w:val="004D2E20"/>
    <w:rsid w:val="004D320C"/>
    <w:rsid w:val="004D3F8A"/>
    <w:rsid w:val="004D4572"/>
    <w:rsid w:val="004D4D28"/>
    <w:rsid w:val="004D5123"/>
    <w:rsid w:val="004D5D7A"/>
    <w:rsid w:val="004D746E"/>
    <w:rsid w:val="004D7643"/>
    <w:rsid w:val="004D77D7"/>
    <w:rsid w:val="004E0635"/>
    <w:rsid w:val="004E10F7"/>
    <w:rsid w:val="004E124A"/>
    <w:rsid w:val="004E13FE"/>
    <w:rsid w:val="004E159E"/>
    <w:rsid w:val="004E2422"/>
    <w:rsid w:val="004E391A"/>
    <w:rsid w:val="004E3EF9"/>
    <w:rsid w:val="004E3F1E"/>
    <w:rsid w:val="004E55B5"/>
    <w:rsid w:val="004E589E"/>
    <w:rsid w:val="004E66C3"/>
    <w:rsid w:val="004E69AA"/>
    <w:rsid w:val="004E76B6"/>
    <w:rsid w:val="004F063C"/>
    <w:rsid w:val="004F1018"/>
    <w:rsid w:val="004F20E0"/>
    <w:rsid w:val="004F253A"/>
    <w:rsid w:val="004F3D2E"/>
    <w:rsid w:val="004F4152"/>
    <w:rsid w:val="004F4BE7"/>
    <w:rsid w:val="004F508D"/>
    <w:rsid w:val="004F6C68"/>
    <w:rsid w:val="005005EF"/>
    <w:rsid w:val="00501481"/>
    <w:rsid w:val="0050171A"/>
    <w:rsid w:val="00502150"/>
    <w:rsid w:val="005026A0"/>
    <w:rsid w:val="005037D0"/>
    <w:rsid w:val="00504A8C"/>
    <w:rsid w:val="00505DC9"/>
    <w:rsid w:val="00506D6E"/>
    <w:rsid w:val="00507338"/>
    <w:rsid w:val="005079F2"/>
    <w:rsid w:val="00507B3D"/>
    <w:rsid w:val="00510913"/>
    <w:rsid w:val="00511023"/>
    <w:rsid w:val="0051258A"/>
    <w:rsid w:val="00512E52"/>
    <w:rsid w:val="00512FB9"/>
    <w:rsid w:val="0051536B"/>
    <w:rsid w:val="005156C0"/>
    <w:rsid w:val="00516E3C"/>
    <w:rsid w:val="00516FDF"/>
    <w:rsid w:val="00517265"/>
    <w:rsid w:val="005179B9"/>
    <w:rsid w:val="00517ED9"/>
    <w:rsid w:val="005216FF"/>
    <w:rsid w:val="0052191C"/>
    <w:rsid w:val="00521B86"/>
    <w:rsid w:val="00522756"/>
    <w:rsid w:val="00523897"/>
    <w:rsid w:val="00523E68"/>
    <w:rsid w:val="0052483B"/>
    <w:rsid w:val="00524E09"/>
    <w:rsid w:val="00525D6A"/>
    <w:rsid w:val="00526C3D"/>
    <w:rsid w:val="00526DF5"/>
    <w:rsid w:val="005274B8"/>
    <w:rsid w:val="005276C3"/>
    <w:rsid w:val="005277EE"/>
    <w:rsid w:val="00527CB1"/>
    <w:rsid w:val="00527DD5"/>
    <w:rsid w:val="00527F15"/>
    <w:rsid w:val="00530A5F"/>
    <w:rsid w:val="00532349"/>
    <w:rsid w:val="00532470"/>
    <w:rsid w:val="005324AF"/>
    <w:rsid w:val="005328C3"/>
    <w:rsid w:val="00532C5D"/>
    <w:rsid w:val="00533E94"/>
    <w:rsid w:val="00533EF2"/>
    <w:rsid w:val="0053473A"/>
    <w:rsid w:val="00535C2E"/>
    <w:rsid w:val="00535ED1"/>
    <w:rsid w:val="005363ED"/>
    <w:rsid w:val="005402D6"/>
    <w:rsid w:val="005407D2"/>
    <w:rsid w:val="00540928"/>
    <w:rsid w:val="00541151"/>
    <w:rsid w:val="00541EEB"/>
    <w:rsid w:val="00542B67"/>
    <w:rsid w:val="0054330E"/>
    <w:rsid w:val="0054396D"/>
    <w:rsid w:val="00543BF9"/>
    <w:rsid w:val="0054455F"/>
    <w:rsid w:val="005447BD"/>
    <w:rsid w:val="005449C0"/>
    <w:rsid w:val="00544CA4"/>
    <w:rsid w:val="00545527"/>
    <w:rsid w:val="00545A4B"/>
    <w:rsid w:val="00546948"/>
    <w:rsid w:val="00546A47"/>
    <w:rsid w:val="0055134F"/>
    <w:rsid w:val="00551934"/>
    <w:rsid w:val="005524FE"/>
    <w:rsid w:val="00552724"/>
    <w:rsid w:val="00552D1D"/>
    <w:rsid w:val="00552F18"/>
    <w:rsid w:val="00553A99"/>
    <w:rsid w:val="00553B1B"/>
    <w:rsid w:val="00554308"/>
    <w:rsid w:val="00554923"/>
    <w:rsid w:val="00554A67"/>
    <w:rsid w:val="00554ACF"/>
    <w:rsid w:val="00554FC0"/>
    <w:rsid w:val="00555993"/>
    <w:rsid w:val="00555C00"/>
    <w:rsid w:val="00556A47"/>
    <w:rsid w:val="00556BB5"/>
    <w:rsid w:val="00557803"/>
    <w:rsid w:val="00560E9F"/>
    <w:rsid w:val="00561AFE"/>
    <w:rsid w:val="005621BC"/>
    <w:rsid w:val="00562AAC"/>
    <w:rsid w:val="005630C5"/>
    <w:rsid w:val="00566499"/>
    <w:rsid w:val="00566565"/>
    <w:rsid w:val="0056732C"/>
    <w:rsid w:val="00567CBA"/>
    <w:rsid w:val="00567EB8"/>
    <w:rsid w:val="00570011"/>
    <w:rsid w:val="005712BE"/>
    <w:rsid w:val="00571486"/>
    <w:rsid w:val="005714AF"/>
    <w:rsid w:val="005721B1"/>
    <w:rsid w:val="00572289"/>
    <w:rsid w:val="00572A55"/>
    <w:rsid w:val="00573214"/>
    <w:rsid w:val="00575159"/>
    <w:rsid w:val="00581171"/>
    <w:rsid w:val="005812C5"/>
    <w:rsid w:val="00581764"/>
    <w:rsid w:val="00581D0A"/>
    <w:rsid w:val="0058274F"/>
    <w:rsid w:val="00582F07"/>
    <w:rsid w:val="00583901"/>
    <w:rsid w:val="0058494B"/>
    <w:rsid w:val="005852B2"/>
    <w:rsid w:val="005853AB"/>
    <w:rsid w:val="0058558E"/>
    <w:rsid w:val="0058774A"/>
    <w:rsid w:val="0059091B"/>
    <w:rsid w:val="00590C82"/>
    <w:rsid w:val="005913B9"/>
    <w:rsid w:val="00591553"/>
    <w:rsid w:val="00592757"/>
    <w:rsid w:val="00593BCA"/>
    <w:rsid w:val="00594BB7"/>
    <w:rsid w:val="00594BD1"/>
    <w:rsid w:val="00594C24"/>
    <w:rsid w:val="00596A1D"/>
    <w:rsid w:val="005976A0"/>
    <w:rsid w:val="005A1F9D"/>
    <w:rsid w:val="005A2FFF"/>
    <w:rsid w:val="005A30BC"/>
    <w:rsid w:val="005A4EDC"/>
    <w:rsid w:val="005A50FD"/>
    <w:rsid w:val="005A567F"/>
    <w:rsid w:val="005A73D4"/>
    <w:rsid w:val="005A765B"/>
    <w:rsid w:val="005A7711"/>
    <w:rsid w:val="005B02A5"/>
    <w:rsid w:val="005B08C7"/>
    <w:rsid w:val="005B13F3"/>
    <w:rsid w:val="005B1733"/>
    <w:rsid w:val="005B1B9B"/>
    <w:rsid w:val="005B1D7D"/>
    <w:rsid w:val="005B2EA2"/>
    <w:rsid w:val="005B2F19"/>
    <w:rsid w:val="005B34E0"/>
    <w:rsid w:val="005B38DC"/>
    <w:rsid w:val="005B3A3F"/>
    <w:rsid w:val="005B3FA9"/>
    <w:rsid w:val="005B4608"/>
    <w:rsid w:val="005B4C9C"/>
    <w:rsid w:val="005B4F93"/>
    <w:rsid w:val="005B50B4"/>
    <w:rsid w:val="005B54D9"/>
    <w:rsid w:val="005B566A"/>
    <w:rsid w:val="005B61CC"/>
    <w:rsid w:val="005C02F9"/>
    <w:rsid w:val="005C0F95"/>
    <w:rsid w:val="005C117C"/>
    <w:rsid w:val="005C1393"/>
    <w:rsid w:val="005C14BF"/>
    <w:rsid w:val="005C1CBB"/>
    <w:rsid w:val="005C265E"/>
    <w:rsid w:val="005C26C4"/>
    <w:rsid w:val="005C37ED"/>
    <w:rsid w:val="005C398C"/>
    <w:rsid w:val="005C48F5"/>
    <w:rsid w:val="005C49F2"/>
    <w:rsid w:val="005C4BD1"/>
    <w:rsid w:val="005C5148"/>
    <w:rsid w:val="005C5A7E"/>
    <w:rsid w:val="005C7154"/>
    <w:rsid w:val="005C7E39"/>
    <w:rsid w:val="005D0808"/>
    <w:rsid w:val="005D132D"/>
    <w:rsid w:val="005D1980"/>
    <w:rsid w:val="005D21F3"/>
    <w:rsid w:val="005D2F12"/>
    <w:rsid w:val="005D31CA"/>
    <w:rsid w:val="005D32DB"/>
    <w:rsid w:val="005D4E01"/>
    <w:rsid w:val="005D4FE5"/>
    <w:rsid w:val="005D5343"/>
    <w:rsid w:val="005D5F8D"/>
    <w:rsid w:val="005E0245"/>
    <w:rsid w:val="005E0E62"/>
    <w:rsid w:val="005E0F44"/>
    <w:rsid w:val="005E1B2D"/>
    <w:rsid w:val="005E27F6"/>
    <w:rsid w:val="005E331D"/>
    <w:rsid w:val="005E43AB"/>
    <w:rsid w:val="005E493D"/>
    <w:rsid w:val="005E6268"/>
    <w:rsid w:val="005E7617"/>
    <w:rsid w:val="005E77DA"/>
    <w:rsid w:val="005F0C82"/>
    <w:rsid w:val="005F29BC"/>
    <w:rsid w:val="005F29D3"/>
    <w:rsid w:val="005F2A8E"/>
    <w:rsid w:val="005F30EF"/>
    <w:rsid w:val="005F3443"/>
    <w:rsid w:val="005F3D55"/>
    <w:rsid w:val="005F45B3"/>
    <w:rsid w:val="005F482B"/>
    <w:rsid w:val="005F535E"/>
    <w:rsid w:val="005F62EF"/>
    <w:rsid w:val="006013E2"/>
    <w:rsid w:val="0060174B"/>
    <w:rsid w:val="006017FE"/>
    <w:rsid w:val="00601FB4"/>
    <w:rsid w:val="00603AAC"/>
    <w:rsid w:val="00604E6E"/>
    <w:rsid w:val="006058F7"/>
    <w:rsid w:val="00605919"/>
    <w:rsid w:val="0060654A"/>
    <w:rsid w:val="00606E51"/>
    <w:rsid w:val="00607B0E"/>
    <w:rsid w:val="00607F34"/>
    <w:rsid w:val="006104D1"/>
    <w:rsid w:val="00610A1F"/>
    <w:rsid w:val="00610B2F"/>
    <w:rsid w:val="006119DA"/>
    <w:rsid w:val="00612265"/>
    <w:rsid w:val="00612689"/>
    <w:rsid w:val="00616452"/>
    <w:rsid w:val="006165E1"/>
    <w:rsid w:val="006166F4"/>
    <w:rsid w:val="0061790B"/>
    <w:rsid w:val="0062012C"/>
    <w:rsid w:val="00620C3A"/>
    <w:rsid w:val="00620D28"/>
    <w:rsid w:val="006211DC"/>
    <w:rsid w:val="00621632"/>
    <w:rsid w:val="00621B3B"/>
    <w:rsid w:val="006226B6"/>
    <w:rsid w:val="00622790"/>
    <w:rsid w:val="00622A76"/>
    <w:rsid w:val="00623C37"/>
    <w:rsid w:val="00624B3C"/>
    <w:rsid w:val="00624D82"/>
    <w:rsid w:val="00625CD5"/>
    <w:rsid w:val="00626614"/>
    <w:rsid w:val="00627B2E"/>
    <w:rsid w:val="00630431"/>
    <w:rsid w:val="0063057F"/>
    <w:rsid w:val="00630BDD"/>
    <w:rsid w:val="00630FDA"/>
    <w:rsid w:val="00631D30"/>
    <w:rsid w:val="00633707"/>
    <w:rsid w:val="00635D3E"/>
    <w:rsid w:val="00636120"/>
    <w:rsid w:val="00636313"/>
    <w:rsid w:val="00636318"/>
    <w:rsid w:val="00637353"/>
    <w:rsid w:val="00640763"/>
    <w:rsid w:val="006409D3"/>
    <w:rsid w:val="00641C13"/>
    <w:rsid w:val="00642C40"/>
    <w:rsid w:val="0064340C"/>
    <w:rsid w:val="00644287"/>
    <w:rsid w:val="00644421"/>
    <w:rsid w:val="00645FC4"/>
    <w:rsid w:val="0064663A"/>
    <w:rsid w:val="00646673"/>
    <w:rsid w:val="00646C2F"/>
    <w:rsid w:val="00646EC6"/>
    <w:rsid w:val="00647266"/>
    <w:rsid w:val="00651148"/>
    <w:rsid w:val="0065174C"/>
    <w:rsid w:val="00651B6E"/>
    <w:rsid w:val="00653342"/>
    <w:rsid w:val="00653CAA"/>
    <w:rsid w:val="00655D5D"/>
    <w:rsid w:val="00657108"/>
    <w:rsid w:val="0065791A"/>
    <w:rsid w:val="00657C6A"/>
    <w:rsid w:val="00660E48"/>
    <w:rsid w:val="006610C4"/>
    <w:rsid w:val="00661A65"/>
    <w:rsid w:val="006622A8"/>
    <w:rsid w:val="00662874"/>
    <w:rsid w:val="0066424F"/>
    <w:rsid w:val="00664676"/>
    <w:rsid w:val="006649F2"/>
    <w:rsid w:val="006657E5"/>
    <w:rsid w:val="00666854"/>
    <w:rsid w:val="00667147"/>
    <w:rsid w:val="00667159"/>
    <w:rsid w:val="006678DA"/>
    <w:rsid w:val="00667E52"/>
    <w:rsid w:val="0067084F"/>
    <w:rsid w:val="00670AB9"/>
    <w:rsid w:val="00670BAD"/>
    <w:rsid w:val="00671BEB"/>
    <w:rsid w:val="00671D3F"/>
    <w:rsid w:val="00671D65"/>
    <w:rsid w:val="00672195"/>
    <w:rsid w:val="006722E0"/>
    <w:rsid w:val="006736CA"/>
    <w:rsid w:val="00673F7C"/>
    <w:rsid w:val="00674134"/>
    <w:rsid w:val="0067456A"/>
    <w:rsid w:val="00674A17"/>
    <w:rsid w:val="00675230"/>
    <w:rsid w:val="006757BA"/>
    <w:rsid w:val="00675830"/>
    <w:rsid w:val="0068004A"/>
    <w:rsid w:val="00680263"/>
    <w:rsid w:val="00680E63"/>
    <w:rsid w:val="00681693"/>
    <w:rsid w:val="006817CC"/>
    <w:rsid w:val="00681B35"/>
    <w:rsid w:val="00682D76"/>
    <w:rsid w:val="00684197"/>
    <w:rsid w:val="006855B0"/>
    <w:rsid w:val="00685885"/>
    <w:rsid w:val="006859A3"/>
    <w:rsid w:val="00686900"/>
    <w:rsid w:val="00687104"/>
    <w:rsid w:val="00687572"/>
    <w:rsid w:val="00687F37"/>
    <w:rsid w:val="00687F46"/>
    <w:rsid w:val="00690A5E"/>
    <w:rsid w:val="00690C51"/>
    <w:rsid w:val="006912DF"/>
    <w:rsid w:val="006932BF"/>
    <w:rsid w:val="0069372A"/>
    <w:rsid w:val="006937F6"/>
    <w:rsid w:val="00693DD3"/>
    <w:rsid w:val="00694954"/>
    <w:rsid w:val="006956AC"/>
    <w:rsid w:val="0069670E"/>
    <w:rsid w:val="00697248"/>
    <w:rsid w:val="00697ADC"/>
    <w:rsid w:val="00697CEF"/>
    <w:rsid w:val="006A03F3"/>
    <w:rsid w:val="006A0EA4"/>
    <w:rsid w:val="006A15C2"/>
    <w:rsid w:val="006A2ED1"/>
    <w:rsid w:val="006A3074"/>
    <w:rsid w:val="006A3B3F"/>
    <w:rsid w:val="006A3E46"/>
    <w:rsid w:val="006A4C7F"/>
    <w:rsid w:val="006A58A0"/>
    <w:rsid w:val="006A5CDE"/>
    <w:rsid w:val="006A6FB9"/>
    <w:rsid w:val="006A70AB"/>
    <w:rsid w:val="006A7166"/>
    <w:rsid w:val="006A7B4B"/>
    <w:rsid w:val="006B0466"/>
    <w:rsid w:val="006B0E35"/>
    <w:rsid w:val="006B1161"/>
    <w:rsid w:val="006B2422"/>
    <w:rsid w:val="006B380B"/>
    <w:rsid w:val="006B40F2"/>
    <w:rsid w:val="006B42BF"/>
    <w:rsid w:val="006B7CE8"/>
    <w:rsid w:val="006B7D74"/>
    <w:rsid w:val="006B7E8A"/>
    <w:rsid w:val="006C11B4"/>
    <w:rsid w:val="006C1357"/>
    <w:rsid w:val="006C1644"/>
    <w:rsid w:val="006C1F6C"/>
    <w:rsid w:val="006C2FA4"/>
    <w:rsid w:val="006C43BA"/>
    <w:rsid w:val="006C5525"/>
    <w:rsid w:val="006C6791"/>
    <w:rsid w:val="006C6913"/>
    <w:rsid w:val="006D0B23"/>
    <w:rsid w:val="006D1DFC"/>
    <w:rsid w:val="006D2FBA"/>
    <w:rsid w:val="006D3477"/>
    <w:rsid w:val="006D36BC"/>
    <w:rsid w:val="006D4518"/>
    <w:rsid w:val="006D4CB0"/>
    <w:rsid w:val="006D581D"/>
    <w:rsid w:val="006D6F6A"/>
    <w:rsid w:val="006D77C2"/>
    <w:rsid w:val="006E0CFB"/>
    <w:rsid w:val="006E16A7"/>
    <w:rsid w:val="006E1EA9"/>
    <w:rsid w:val="006E202C"/>
    <w:rsid w:val="006E2647"/>
    <w:rsid w:val="006E272F"/>
    <w:rsid w:val="006E28A2"/>
    <w:rsid w:val="006E2CF2"/>
    <w:rsid w:val="006E2CF6"/>
    <w:rsid w:val="006E31F9"/>
    <w:rsid w:val="006E339E"/>
    <w:rsid w:val="006E35EA"/>
    <w:rsid w:val="006E3E3A"/>
    <w:rsid w:val="006E40FD"/>
    <w:rsid w:val="006E4A27"/>
    <w:rsid w:val="006E4CE6"/>
    <w:rsid w:val="006E5143"/>
    <w:rsid w:val="006E5212"/>
    <w:rsid w:val="006E585F"/>
    <w:rsid w:val="006E65B5"/>
    <w:rsid w:val="006F11BE"/>
    <w:rsid w:val="006F2EC3"/>
    <w:rsid w:val="006F3488"/>
    <w:rsid w:val="006F3AE9"/>
    <w:rsid w:val="006F3D14"/>
    <w:rsid w:val="006F5080"/>
    <w:rsid w:val="006F5156"/>
    <w:rsid w:val="006F6260"/>
    <w:rsid w:val="006F63AD"/>
    <w:rsid w:val="006F66F9"/>
    <w:rsid w:val="006F69CC"/>
    <w:rsid w:val="006F6B7B"/>
    <w:rsid w:val="006F6CE3"/>
    <w:rsid w:val="006F7CC3"/>
    <w:rsid w:val="00700167"/>
    <w:rsid w:val="007009A2"/>
    <w:rsid w:val="007029DA"/>
    <w:rsid w:val="00703ED4"/>
    <w:rsid w:val="00704056"/>
    <w:rsid w:val="00704173"/>
    <w:rsid w:val="007046CF"/>
    <w:rsid w:val="0070663B"/>
    <w:rsid w:val="00706658"/>
    <w:rsid w:val="00706DD8"/>
    <w:rsid w:val="0070753F"/>
    <w:rsid w:val="00710AB8"/>
    <w:rsid w:val="00710ABA"/>
    <w:rsid w:val="00710B84"/>
    <w:rsid w:val="00710F17"/>
    <w:rsid w:val="00711345"/>
    <w:rsid w:val="00711443"/>
    <w:rsid w:val="00711BCB"/>
    <w:rsid w:val="00713248"/>
    <w:rsid w:val="007152B0"/>
    <w:rsid w:val="00715367"/>
    <w:rsid w:val="007162D7"/>
    <w:rsid w:val="00716420"/>
    <w:rsid w:val="00716605"/>
    <w:rsid w:val="007179B0"/>
    <w:rsid w:val="00717A41"/>
    <w:rsid w:val="00717C71"/>
    <w:rsid w:val="007216E3"/>
    <w:rsid w:val="00721E0C"/>
    <w:rsid w:val="00721FD7"/>
    <w:rsid w:val="007220DD"/>
    <w:rsid w:val="0072263E"/>
    <w:rsid w:val="00722EF9"/>
    <w:rsid w:val="00723199"/>
    <w:rsid w:val="007231FE"/>
    <w:rsid w:val="00723EBE"/>
    <w:rsid w:val="00724063"/>
    <w:rsid w:val="007243B2"/>
    <w:rsid w:val="00724977"/>
    <w:rsid w:val="00725E43"/>
    <w:rsid w:val="0072637A"/>
    <w:rsid w:val="0072658C"/>
    <w:rsid w:val="00726983"/>
    <w:rsid w:val="007301D6"/>
    <w:rsid w:val="00732E0C"/>
    <w:rsid w:val="007345C2"/>
    <w:rsid w:val="007348EE"/>
    <w:rsid w:val="007354E3"/>
    <w:rsid w:val="00740B08"/>
    <w:rsid w:val="00741011"/>
    <w:rsid w:val="0074226C"/>
    <w:rsid w:val="0074241F"/>
    <w:rsid w:val="00742741"/>
    <w:rsid w:val="00743881"/>
    <w:rsid w:val="00744865"/>
    <w:rsid w:val="00745A96"/>
    <w:rsid w:val="0074617D"/>
    <w:rsid w:val="007466A1"/>
    <w:rsid w:val="00746EB4"/>
    <w:rsid w:val="00747224"/>
    <w:rsid w:val="007515F9"/>
    <w:rsid w:val="00751850"/>
    <w:rsid w:val="00751B64"/>
    <w:rsid w:val="00752711"/>
    <w:rsid w:val="00753A85"/>
    <w:rsid w:val="00753BAE"/>
    <w:rsid w:val="00754716"/>
    <w:rsid w:val="007559B4"/>
    <w:rsid w:val="00755A9A"/>
    <w:rsid w:val="0075698E"/>
    <w:rsid w:val="00756A8D"/>
    <w:rsid w:val="00757255"/>
    <w:rsid w:val="00757259"/>
    <w:rsid w:val="00757ACE"/>
    <w:rsid w:val="00760DC9"/>
    <w:rsid w:val="00761466"/>
    <w:rsid w:val="0076161F"/>
    <w:rsid w:val="00761A75"/>
    <w:rsid w:val="00761E21"/>
    <w:rsid w:val="007626C8"/>
    <w:rsid w:val="0076309B"/>
    <w:rsid w:val="0076451E"/>
    <w:rsid w:val="00764C47"/>
    <w:rsid w:val="00764CA0"/>
    <w:rsid w:val="00765042"/>
    <w:rsid w:val="00765304"/>
    <w:rsid w:val="00765F3A"/>
    <w:rsid w:val="007665C6"/>
    <w:rsid w:val="00766AB2"/>
    <w:rsid w:val="00766B2A"/>
    <w:rsid w:val="0076796B"/>
    <w:rsid w:val="00770165"/>
    <w:rsid w:val="007707A0"/>
    <w:rsid w:val="00773C21"/>
    <w:rsid w:val="00773D92"/>
    <w:rsid w:val="00773E2C"/>
    <w:rsid w:val="007747E6"/>
    <w:rsid w:val="00774CDE"/>
    <w:rsid w:val="00774F40"/>
    <w:rsid w:val="00775351"/>
    <w:rsid w:val="007753CC"/>
    <w:rsid w:val="00775758"/>
    <w:rsid w:val="0077596D"/>
    <w:rsid w:val="00776790"/>
    <w:rsid w:val="00777577"/>
    <w:rsid w:val="00781CA7"/>
    <w:rsid w:val="007831C3"/>
    <w:rsid w:val="00783660"/>
    <w:rsid w:val="00783FB0"/>
    <w:rsid w:val="00784076"/>
    <w:rsid w:val="0078505F"/>
    <w:rsid w:val="0078565E"/>
    <w:rsid w:val="00785B46"/>
    <w:rsid w:val="0078622C"/>
    <w:rsid w:val="007863CB"/>
    <w:rsid w:val="00786A06"/>
    <w:rsid w:val="00786ABE"/>
    <w:rsid w:val="007872A4"/>
    <w:rsid w:val="0078758A"/>
    <w:rsid w:val="0078761B"/>
    <w:rsid w:val="00790CF4"/>
    <w:rsid w:val="00791434"/>
    <w:rsid w:val="0079179C"/>
    <w:rsid w:val="0079340B"/>
    <w:rsid w:val="0079373E"/>
    <w:rsid w:val="0079431A"/>
    <w:rsid w:val="00794565"/>
    <w:rsid w:val="007945BD"/>
    <w:rsid w:val="007954D5"/>
    <w:rsid w:val="00795B2B"/>
    <w:rsid w:val="00796E69"/>
    <w:rsid w:val="00797546"/>
    <w:rsid w:val="00797FCF"/>
    <w:rsid w:val="007A0400"/>
    <w:rsid w:val="007A142A"/>
    <w:rsid w:val="007A1A6C"/>
    <w:rsid w:val="007A20AB"/>
    <w:rsid w:val="007A282D"/>
    <w:rsid w:val="007A2D0F"/>
    <w:rsid w:val="007A3006"/>
    <w:rsid w:val="007A3382"/>
    <w:rsid w:val="007A33F9"/>
    <w:rsid w:val="007A3BD8"/>
    <w:rsid w:val="007A4412"/>
    <w:rsid w:val="007A4616"/>
    <w:rsid w:val="007A543E"/>
    <w:rsid w:val="007A60BA"/>
    <w:rsid w:val="007A69F6"/>
    <w:rsid w:val="007A7456"/>
    <w:rsid w:val="007A79E3"/>
    <w:rsid w:val="007B0B8E"/>
    <w:rsid w:val="007B0F2B"/>
    <w:rsid w:val="007B114D"/>
    <w:rsid w:val="007B13F6"/>
    <w:rsid w:val="007B15CB"/>
    <w:rsid w:val="007B16F3"/>
    <w:rsid w:val="007B28F2"/>
    <w:rsid w:val="007B2E90"/>
    <w:rsid w:val="007B2EEA"/>
    <w:rsid w:val="007B381F"/>
    <w:rsid w:val="007B437E"/>
    <w:rsid w:val="007B470D"/>
    <w:rsid w:val="007B4C80"/>
    <w:rsid w:val="007B52D4"/>
    <w:rsid w:val="007B56CE"/>
    <w:rsid w:val="007B6120"/>
    <w:rsid w:val="007B6A31"/>
    <w:rsid w:val="007B7BEA"/>
    <w:rsid w:val="007C07FF"/>
    <w:rsid w:val="007C11BB"/>
    <w:rsid w:val="007C1283"/>
    <w:rsid w:val="007C15A2"/>
    <w:rsid w:val="007C167C"/>
    <w:rsid w:val="007C16E8"/>
    <w:rsid w:val="007C197F"/>
    <w:rsid w:val="007C1F15"/>
    <w:rsid w:val="007C34DC"/>
    <w:rsid w:val="007C4126"/>
    <w:rsid w:val="007C4378"/>
    <w:rsid w:val="007C477A"/>
    <w:rsid w:val="007C47CE"/>
    <w:rsid w:val="007C4FE2"/>
    <w:rsid w:val="007C56E5"/>
    <w:rsid w:val="007C7C25"/>
    <w:rsid w:val="007C7DE2"/>
    <w:rsid w:val="007C7F11"/>
    <w:rsid w:val="007C7F57"/>
    <w:rsid w:val="007D07B7"/>
    <w:rsid w:val="007D1471"/>
    <w:rsid w:val="007D1F9E"/>
    <w:rsid w:val="007D2777"/>
    <w:rsid w:val="007D2A26"/>
    <w:rsid w:val="007D3798"/>
    <w:rsid w:val="007D38D1"/>
    <w:rsid w:val="007D4F26"/>
    <w:rsid w:val="007D4FFF"/>
    <w:rsid w:val="007D54D6"/>
    <w:rsid w:val="007D5539"/>
    <w:rsid w:val="007D6E0E"/>
    <w:rsid w:val="007D70C6"/>
    <w:rsid w:val="007D7A54"/>
    <w:rsid w:val="007E00D1"/>
    <w:rsid w:val="007E0872"/>
    <w:rsid w:val="007E0D32"/>
    <w:rsid w:val="007E12E8"/>
    <w:rsid w:val="007E1743"/>
    <w:rsid w:val="007E23B5"/>
    <w:rsid w:val="007E263B"/>
    <w:rsid w:val="007E3280"/>
    <w:rsid w:val="007E3545"/>
    <w:rsid w:val="007E3B87"/>
    <w:rsid w:val="007E4EF0"/>
    <w:rsid w:val="007F20EC"/>
    <w:rsid w:val="007F5836"/>
    <w:rsid w:val="007F5A78"/>
    <w:rsid w:val="007F6339"/>
    <w:rsid w:val="007F6F30"/>
    <w:rsid w:val="00800046"/>
    <w:rsid w:val="00800676"/>
    <w:rsid w:val="00802AB3"/>
    <w:rsid w:val="00802E39"/>
    <w:rsid w:val="00802FF9"/>
    <w:rsid w:val="0080321C"/>
    <w:rsid w:val="00804B0B"/>
    <w:rsid w:val="00805FF9"/>
    <w:rsid w:val="00807F10"/>
    <w:rsid w:val="0081017E"/>
    <w:rsid w:val="00810432"/>
    <w:rsid w:val="00811B5A"/>
    <w:rsid w:val="00811D00"/>
    <w:rsid w:val="00811E62"/>
    <w:rsid w:val="0081296C"/>
    <w:rsid w:val="00812A44"/>
    <w:rsid w:val="00812C79"/>
    <w:rsid w:val="00813142"/>
    <w:rsid w:val="008132A3"/>
    <w:rsid w:val="0081421C"/>
    <w:rsid w:val="00814745"/>
    <w:rsid w:val="00814AD9"/>
    <w:rsid w:val="00814E9C"/>
    <w:rsid w:val="0081507B"/>
    <w:rsid w:val="0081507E"/>
    <w:rsid w:val="00816A4B"/>
    <w:rsid w:val="008201D3"/>
    <w:rsid w:val="00822088"/>
    <w:rsid w:val="00822D68"/>
    <w:rsid w:val="00823703"/>
    <w:rsid w:val="00823A2E"/>
    <w:rsid w:val="0082431A"/>
    <w:rsid w:val="008261FE"/>
    <w:rsid w:val="00826C67"/>
    <w:rsid w:val="008279F5"/>
    <w:rsid w:val="00827C7A"/>
    <w:rsid w:val="00831072"/>
    <w:rsid w:val="0083254E"/>
    <w:rsid w:val="00833226"/>
    <w:rsid w:val="00833758"/>
    <w:rsid w:val="0083458C"/>
    <w:rsid w:val="00834C1E"/>
    <w:rsid w:val="0083594A"/>
    <w:rsid w:val="0083603D"/>
    <w:rsid w:val="008376A0"/>
    <w:rsid w:val="00837747"/>
    <w:rsid w:val="00837DE6"/>
    <w:rsid w:val="00842063"/>
    <w:rsid w:val="00843C34"/>
    <w:rsid w:val="00844053"/>
    <w:rsid w:val="00844454"/>
    <w:rsid w:val="00846136"/>
    <w:rsid w:val="0084622D"/>
    <w:rsid w:val="0084630E"/>
    <w:rsid w:val="0084662C"/>
    <w:rsid w:val="008470F8"/>
    <w:rsid w:val="008478D0"/>
    <w:rsid w:val="00850B97"/>
    <w:rsid w:val="008513DB"/>
    <w:rsid w:val="00851A32"/>
    <w:rsid w:val="008535F4"/>
    <w:rsid w:val="008537F0"/>
    <w:rsid w:val="00854040"/>
    <w:rsid w:val="0085409B"/>
    <w:rsid w:val="00854C35"/>
    <w:rsid w:val="008551EB"/>
    <w:rsid w:val="0085562B"/>
    <w:rsid w:val="00855736"/>
    <w:rsid w:val="00855B4A"/>
    <w:rsid w:val="00856C7F"/>
    <w:rsid w:val="00857012"/>
    <w:rsid w:val="008572A3"/>
    <w:rsid w:val="00860505"/>
    <w:rsid w:val="00861054"/>
    <w:rsid w:val="0086120D"/>
    <w:rsid w:val="008624EA"/>
    <w:rsid w:val="008639E1"/>
    <w:rsid w:val="00863ACC"/>
    <w:rsid w:val="00864905"/>
    <w:rsid w:val="00865074"/>
    <w:rsid w:val="00865595"/>
    <w:rsid w:val="00866046"/>
    <w:rsid w:val="008665BC"/>
    <w:rsid w:val="008667E2"/>
    <w:rsid w:val="00866A5C"/>
    <w:rsid w:val="00870909"/>
    <w:rsid w:val="00870C28"/>
    <w:rsid w:val="00871790"/>
    <w:rsid w:val="008727F7"/>
    <w:rsid w:val="00873B61"/>
    <w:rsid w:val="0087409F"/>
    <w:rsid w:val="00874268"/>
    <w:rsid w:val="00876FF0"/>
    <w:rsid w:val="008775C0"/>
    <w:rsid w:val="00877EB4"/>
    <w:rsid w:val="00880691"/>
    <w:rsid w:val="00880D15"/>
    <w:rsid w:val="00882625"/>
    <w:rsid w:val="00882C9D"/>
    <w:rsid w:val="00883042"/>
    <w:rsid w:val="00883FBD"/>
    <w:rsid w:val="00885AEA"/>
    <w:rsid w:val="008866BE"/>
    <w:rsid w:val="008867C4"/>
    <w:rsid w:val="00887029"/>
    <w:rsid w:val="00887120"/>
    <w:rsid w:val="00890028"/>
    <w:rsid w:val="00890236"/>
    <w:rsid w:val="00892668"/>
    <w:rsid w:val="008928C8"/>
    <w:rsid w:val="00894EB8"/>
    <w:rsid w:val="00896522"/>
    <w:rsid w:val="008977DB"/>
    <w:rsid w:val="008A072F"/>
    <w:rsid w:val="008A1729"/>
    <w:rsid w:val="008A29B1"/>
    <w:rsid w:val="008A2BB1"/>
    <w:rsid w:val="008A3335"/>
    <w:rsid w:val="008A371C"/>
    <w:rsid w:val="008A3947"/>
    <w:rsid w:val="008A6577"/>
    <w:rsid w:val="008B101A"/>
    <w:rsid w:val="008B13C0"/>
    <w:rsid w:val="008B1C71"/>
    <w:rsid w:val="008B20EF"/>
    <w:rsid w:val="008B22AA"/>
    <w:rsid w:val="008B2606"/>
    <w:rsid w:val="008B293E"/>
    <w:rsid w:val="008B31C0"/>
    <w:rsid w:val="008B38B9"/>
    <w:rsid w:val="008B4AF9"/>
    <w:rsid w:val="008B52E8"/>
    <w:rsid w:val="008B5A6D"/>
    <w:rsid w:val="008B7288"/>
    <w:rsid w:val="008B7340"/>
    <w:rsid w:val="008B7FA8"/>
    <w:rsid w:val="008C012F"/>
    <w:rsid w:val="008C03C8"/>
    <w:rsid w:val="008C2C3A"/>
    <w:rsid w:val="008C2F5C"/>
    <w:rsid w:val="008C2F9C"/>
    <w:rsid w:val="008C3301"/>
    <w:rsid w:val="008C4D0E"/>
    <w:rsid w:val="008C55C7"/>
    <w:rsid w:val="008C5C78"/>
    <w:rsid w:val="008C62F9"/>
    <w:rsid w:val="008C677D"/>
    <w:rsid w:val="008C6B28"/>
    <w:rsid w:val="008C717E"/>
    <w:rsid w:val="008C7E46"/>
    <w:rsid w:val="008D018E"/>
    <w:rsid w:val="008D03B4"/>
    <w:rsid w:val="008D0A1C"/>
    <w:rsid w:val="008D1535"/>
    <w:rsid w:val="008D2179"/>
    <w:rsid w:val="008D2AD9"/>
    <w:rsid w:val="008D2C4E"/>
    <w:rsid w:val="008D3CB3"/>
    <w:rsid w:val="008D477A"/>
    <w:rsid w:val="008D66D5"/>
    <w:rsid w:val="008D7101"/>
    <w:rsid w:val="008D7578"/>
    <w:rsid w:val="008D7B76"/>
    <w:rsid w:val="008E073D"/>
    <w:rsid w:val="008E076C"/>
    <w:rsid w:val="008E0CC5"/>
    <w:rsid w:val="008E0D69"/>
    <w:rsid w:val="008E0E1D"/>
    <w:rsid w:val="008E1695"/>
    <w:rsid w:val="008E2425"/>
    <w:rsid w:val="008E2B61"/>
    <w:rsid w:val="008E44EA"/>
    <w:rsid w:val="008E465C"/>
    <w:rsid w:val="008E5539"/>
    <w:rsid w:val="008E615C"/>
    <w:rsid w:val="008E654C"/>
    <w:rsid w:val="008E66A9"/>
    <w:rsid w:val="008E6EA5"/>
    <w:rsid w:val="008E6EF1"/>
    <w:rsid w:val="008E7484"/>
    <w:rsid w:val="008E7F35"/>
    <w:rsid w:val="008F01E2"/>
    <w:rsid w:val="008F03F6"/>
    <w:rsid w:val="008F0FB7"/>
    <w:rsid w:val="008F21AC"/>
    <w:rsid w:val="008F24E6"/>
    <w:rsid w:val="008F3711"/>
    <w:rsid w:val="008F3B4D"/>
    <w:rsid w:val="008F3F15"/>
    <w:rsid w:val="008F40F4"/>
    <w:rsid w:val="008F48F3"/>
    <w:rsid w:val="008F4E02"/>
    <w:rsid w:val="008F5780"/>
    <w:rsid w:val="008F5BA8"/>
    <w:rsid w:val="008F5DE7"/>
    <w:rsid w:val="008F6C73"/>
    <w:rsid w:val="008F6CAF"/>
    <w:rsid w:val="008F6E38"/>
    <w:rsid w:val="008F7052"/>
    <w:rsid w:val="008F7143"/>
    <w:rsid w:val="008F7249"/>
    <w:rsid w:val="008F7673"/>
    <w:rsid w:val="00901BB0"/>
    <w:rsid w:val="00902551"/>
    <w:rsid w:val="0090258D"/>
    <w:rsid w:val="009027D9"/>
    <w:rsid w:val="00902B2D"/>
    <w:rsid w:val="00902DC3"/>
    <w:rsid w:val="00902EC9"/>
    <w:rsid w:val="00903505"/>
    <w:rsid w:val="00904624"/>
    <w:rsid w:val="009053D3"/>
    <w:rsid w:val="00906276"/>
    <w:rsid w:val="0090633A"/>
    <w:rsid w:val="0090698B"/>
    <w:rsid w:val="0090758B"/>
    <w:rsid w:val="00907DC5"/>
    <w:rsid w:val="00910D30"/>
    <w:rsid w:val="00913F4D"/>
    <w:rsid w:val="00914112"/>
    <w:rsid w:val="00914365"/>
    <w:rsid w:val="00914ABF"/>
    <w:rsid w:val="00915097"/>
    <w:rsid w:val="00915C0A"/>
    <w:rsid w:val="00915D8C"/>
    <w:rsid w:val="00916736"/>
    <w:rsid w:val="009201B1"/>
    <w:rsid w:val="0092205A"/>
    <w:rsid w:val="009222B3"/>
    <w:rsid w:val="009235A5"/>
    <w:rsid w:val="00925741"/>
    <w:rsid w:val="0092661D"/>
    <w:rsid w:val="0092770A"/>
    <w:rsid w:val="009278E6"/>
    <w:rsid w:val="00927DE4"/>
    <w:rsid w:val="00927F31"/>
    <w:rsid w:val="0093066B"/>
    <w:rsid w:val="00930929"/>
    <w:rsid w:val="00930C34"/>
    <w:rsid w:val="00930D24"/>
    <w:rsid w:val="00931900"/>
    <w:rsid w:val="009330A5"/>
    <w:rsid w:val="0093404B"/>
    <w:rsid w:val="009347BB"/>
    <w:rsid w:val="009349F4"/>
    <w:rsid w:val="00934EDC"/>
    <w:rsid w:val="00936909"/>
    <w:rsid w:val="00936C73"/>
    <w:rsid w:val="00937736"/>
    <w:rsid w:val="00940203"/>
    <w:rsid w:val="00940937"/>
    <w:rsid w:val="00940C2A"/>
    <w:rsid w:val="0094181A"/>
    <w:rsid w:val="009423E0"/>
    <w:rsid w:val="00942B0A"/>
    <w:rsid w:val="009430EE"/>
    <w:rsid w:val="00943C95"/>
    <w:rsid w:val="00943F58"/>
    <w:rsid w:val="0094408D"/>
    <w:rsid w:val="009441CC"/>
    <w:rsid w:val="00944529"/>
    <w:rsid w:val="009445C9"/>
    <w:rsid w:val="00945CD8"/>
    <w:rsid w:val="0094612E"/>
    <w:rsid w:val="009462A0"/>
    <w:rsid w:val="00946A66"/>
    <w:rsid w:val="00946B01"/>
    <w:rsid w:val="00946F26"/>
    <w:rsid w:val="0094784B"/>
    <w:rsid w:val="00947F2A"/>
    <w:rsid w:val="00950127"/>
    <w:rsid w:val="0095117F"/>
    <w:rsid w:val="009516EB"/>
    <w:rsid w:val="0095227E"/>
    <w:rsid w:val="00952AB5"/>
    <w:rsid w:val="00952C20"/>
    <w:rsid w:val="00953628"/>
    <w:rsid w:val="00953704"/>
    <w:rsid w:val="0095489E"/>
    <w:rsid w:val="00955284"/>
    <w:rsid w:val="009557B7"/>
    <w:rsid w:val="00955B2A"/>
    <w:rsid w:val="00955E4C"/>
    <w:rsid w:val="00956D42"/>
    <w:rsid w:val="00956E6E"/>
    <w:rsid w:val="009571D3"/>
    <w:rsid w:val="00957943"/>
    <w:rsid w:val="00960E34"/>
    <w:rsid w:val="009620FE"/>
    <w:rsid w:val="00962A4D"/>
    <w:rsid w:val="00962B27"/>
    <w:rsid w:val="009631B3"/>
    <w:rsid w:val="00964007"/>
    <w:rsid w:val="009643AC"/>
    <w:rsid w:val="00965B1D"/>
    <w:rsid w:val="009662CC"/>
    <w:rsid w:val="0097020B"/>
    <w:rsid w:val="00971128"/>
    <w:rsid w:val="0097222E"/>
    <w:rsid w:val="00973561"/>
    <w:rsid w:val="00973C08"/>
    <w:rsid w:val="00973EBE"/>
    <w:rsid w:val="00974F71"/>
    <w:rsid w:val="00976746"/>
    <w:rsid w:val="009767DD"/>
    <w:rsid w:val="00976BDC"/>
    <w:rsid w:val="00977569"/>
    <w:rsid w:val="00977D2D"/>
    <w:rsid w:val="0098115C"/>
    <w:rsid w:val="00981D32"/>
    <w:rsid w:val="0098245F"/>
    <w:rsid w:val="00983AA6"/>
    <w:rsid w:val="00984E23"/>
    <w:rsid w:val="0098563E"/>
    <w:rsid w:val="00985AE7"/>
    <w:rsid w:val="00986912"/>
    <w:rsid w:val="009875D6"/>
    <w:rsid w:val="00987ABA"/>
    <w:rsid w:val="00987EEC"/>
    <w:rsid w:val="0099030A"/>
    <w:rsid w:val="0099290C"/>
    <w:rsid w:val="00992D49"/>
    <w:rsid w:val="00993684"/>
    <w:rsid w:val="00994779"/>
    <w:rsid w:val="00994A63"/>
    <w:rsid w:val="0099656C"/>
    <w:rsid w:val="00997073"/>
    <w:rsid w:val="0099771F"/>
    <w:rsid w:val="00997CE7"/>
    <w:rsid w:val="009A010B"/>
    <w:rsid w:val="009A058E"/>
    <w:rsid w:val="009A1B77"/>
    <w:rsid w:val="009A296C"/>
    <w:rsid w:val="009A466C"/>
    <w:rsid w:val="009A4672"/>
    <w:rsid w:val="009A5276"/>
    <w:rsid w:val="009A55D3"/>
    <w:rsid w:val="009A5709"/>
    <w:rsid w:val="009A6251"/>
    <w:rsid w:val="009A730F"/>
    <w:rsid w:val="009B07A2"/>
    <w:rsid w:val="009B097E"/>
    <w:rsid w:val="009B0CAE"/>
    <w:rsid w:val="009B12E5"/>
    <w:rsid w:val="009B1398"/>
    <w:rsid w:val="009B13BF"/>
    <w:rsid w:val="009B16F1"/>
    <w:rsid w:val="009B1C61"/>
    <w:rsid w:val="009B2469"/>
    <w:rsid w:val="009B24F2"/>
    <w:rsid w:val="009B2B24"/>
    <w:rsid w:val="009B2D15"/>
    <w:rsid w:val="009B312C"/>
    <w:rsid w:val="009B342B"/>
    <w:rsid w:val="009B3560"/>
    <w:rsid w:val="009B39F7"/>
    <w:rsid w:val="009B509B"/>
    <w:rsid w:val="009B5BB4"/>
    <w:rsid w:val="009C0A66"/>
    <w:rsid w:val="009C2035"/>
    <w:rsid w:val="009C2A1C"/>
    <w:rsid w:val="009C3945"/>
    <w:rsid w:val="009C54DB"/>
    <w:rsid w:val="009C5655"/>
    <w:rsid w:val="009C576A"/>
    <w:rsid w:val="009C5A0D"/>
    <w:rsid w:val="009C63FF"/>
    <w:rsid w:val="009C6B5C"/>
    <w:rsid w:val="009C754A"/>
    <w:rsid w:val="009C7C8A"/>
    <w:rsid w:val="009D1809"/>
    <w:rsid w:val="009D1A79"/>
    <w:rsid w:val="009D3680"/>
    <w:rsid w:val="009D3BE5"/>
    <w:rsid w:val="009D4181"/>
    <w:rsid w:val="009D55CC"/>
    <w:rsid w:val="009D66AC"/>
    <w:rsid w:val="009E2403"/>
    <w:rsid w:val="009E261E"/>
    <w:rsid w:val="009E282A"/>
    <w:rsid w:val="009E2BE5"/>
    <w:rsid w:val="009E2F24"/>
    <w:rsid w:val="009E313D"/>
    <w:rsid w:val="009E39E9"/>
    <w:rsid w:val="009E46E8"/>
    <w:rsid w:val="009E5B64"/>
    <w:rsid w:val="009E71E7"/>
    <w:rsid w:val="009F01D5"/>
    <w:rsid w:val="009F0C40"/>
    <w:rsid w:val="009F13B9"/>
    <w:rsid w:val="009F1B4F"/>
    <w:rsid w:val="009F376B"/>
    <w:rsid w:val="009F474E"/>
    <w:rsid w:val="009F50E4"/>
    <w:rsid w:val="009F5692"/>
    <w:rsid w:val="009F585E"/>
    <w:rsid w:val="009F5E38"/>
    <w:rsid w:val="009F6C3E"/>
    <w:rsid w:val="009F70FB"/>
    <w:rsid w:val="009F72AA"/>
    <w:rsid w:val="009F7C76"/>
    <w:rsid w:val="00A006F1"/>
    <w:rsid w:val="00A00BF2"/>
    <w:rsid w:val="00A024DE"/>
    <w:rsid w:val="00A03381"/>
    <w:rsid w:val="00A03CA3"/>
    <w:rsid w:val="00A04BE2"/>
    <w:rsid w:val="00A05142"/>
    <w:rsid w:val="00A0538C"/>
    <w:rsid w:val="00A0574A"/>
    <w:rsid w:val="00A068CB"/>
    <w:rsid w:val="00A11013"/>
    <w:rsid w:val="00A1122C"/>
    <w:rsid w:val="00A117B0"/>
    <w:rsid w:val="00A1396A"/>
    <w:rsid w:val="00A143E6"/>
    <w:rsid w:val="00A15B02"/>
    <w:rsid w:val="00A163C1"/>
    <w:rsid w:val="00A16E44"/>
    <w:rsid w:val="00A177BB"/>
    <w:rsid w:val="00A201CE"/>
    <w:rsid w:val="00A23B3A"/>
    <w:rsid w:val="00A23F38"/>
    <w:rsid w:val="00A25E9D"/>
    <w:rsid w:val="00A26952"/>
    <w:rsid w:val="00A27018"/>
    <w:rsid w:val="00A302FF"/>
    <w:rsid w:val="00A3143C"/>
    <w:rsid w:val="00A3271D"/>
    <w:rsid w:val="00A32EE8"/>
    <w:rsid w:val="00A33232"/>
    <w:rsid w:val="00A33D83"/>
    <w:rsid w:val="00A346FD"/>
    <w:rsid w:val="00A347CE"/>
    <w:rsid w:val="00A35743"/>
    <w:rsid w:val="00A358FC"/>
    <w:rsid w:val="00A35C55"/>
    <w:rsid w:val="00A35C9D"/>
    <w:rsid w:val="00A365A2"/>
    <w:rsid w:val="00A370FC"/>
    <w:rsid w:val="00A37D13"/>
    <w:rsid w:val="00A402C2"/>
    <w:rsid w:val="00A403DE"/>
    <w:rsid w:val="00A40703"/>
    <w:rsid w:val="00A40DD5"/>
    <w:rsid w:val="00A40F88"/>
    <w:rsid w:val="00A415E0"/>
    <w:rsid w:val="00A42188"/>
    <w:rsid w:val="00A42F2D"/>
    <w:rsid w:val="00A43BAF"/>
    <w:rsid w:val="00A44097"/>
    <w:rsid w:val="00A444D1"/>
    <w:rsid w:val="00A44C76"/>
    <w:rsid w:val="00A45431"/>
    <w:rsid w:val="00A4666C"/>
    <w:rsid w:val="00A46924"/>
    <w:rsid w:val="00A469D9"/>
    <w:rsid w:val="00A469DF"/>
    <w:rsid w:val="00A46D13"/>
    <w:rsid w:val="00A46E22"/>
    <w:rsid w:val="00A47574"/>
    <w:rsid w:val="00A50833"/>
    <w:rsid w:val="00A50B7D"/>
    <w:rsid w:val="00A50D7B"/>
    <w:rsid w:val="00A5111F"/>
    <w:rsid w:val="00A511E5"/>
    <w:rsid w:val="00A513FC"/>
    <w:rsid w:val="00A519AD"/>
    <w:rsid w:val="00A51FEC"/>
    <w:rsid w:val="00A534E5"/>
    <w:rsid w:val="00A53A79"/>
    <w:rsid w:val="00A541A4"/>
    <w:rsid w:val="00A54437"/>
    <w:rsid w:val="00A5478B"/>
    <w:rsid w:val="00A54FED"/>
    <w:rsid w:val="00A55BEF"/>
    <w:rsid w:val="00A57008"/>
    <w:rsid w:val="00A6039F"/>
    <w:rsid w:val="00A6054A"/>
    <w:rsid w:val="00A60D1B"/>
    <w:rsid w:val="00A6133A"/>
    <w:rsid w:val="00A61789"/>
    <w:rsid w:val="00A61C2C"/>
    <w:rsid w:val="00A61DEB"/>
    <w:rsid w:val="00A631F5"/>
    <w:rsid w:val="00A63357"/>
    <w:rsid w:val="00A6374E"/>
    <w:rsid w:val="00A643B5"/>
    <w:rsid w:val="00A64417"/>
    <w:rsid w:val="00A64815"/>
    <w:rsid w:val="00A6592C"/>
    <w:rsid w:val="00A65E32"/>
    <w:rsid w:val="00A6643E"/>
    <w:rsid w:val="00A6743B"/>
    <w:rsid w:val="00A6781D"/>
    <w:rsid w:val="00A71403"/>
    <w:rsid w:val="00A720D2"/>
    <w:rsid w:val="00A725A8"/>
    <w:rsid w:val="00A732D8"/>
    <w:rsid w:val="00A733FD"/>
    <w:rsid w:val="00A74460"/>
    <w:rsid w:val="00A74528"/>
    <w:rsid w:val="00A76119"/>
    <w:rsid w:val="00A761A5"/>
    <w:rsid w:val="00A76822"/>
    <w:rsid w:val="00A76E8B"/>
    <w:rsid w:val="00A76FA6"/>
    <w:rsid w:val="00A7718F"/>
    <w:rsid w:val="00A80B47"/>
    <w:rsid w:val="00A80C1C"/>
    <w:rsid w:val="00A8164D"/>
    <w:rsid w:val="00A81BF2"/>
    <w:rsid w:val="00A82264"/>
    <w:rsid w:val="00A82446"/>
    <w:rsid w:val="00A83498"/>
    <w:rsid w:val="00A83836"/>
    <w:rsid w:val="00A862BB"/>
    <w:rsid w:val="00A87532"/>
    <w:rsid w:val="00A903DB"/>
    <w:rsid w:val="00A9059A"/>
    <w:rsid w:val="00A90B10"/>
    <w:rsid w:val="00A91CD7"/>
    <w:rsid w:val="00A91D33"/>
    <w:rsid w:val="00A92844"/>
    <w:rsid w:val="00A9364A"/>
    <w:rsid w:val="00A93B87"/>
    <w:rsid w:val="00A969E2"/>
    <w:rsid w:val="00A97287"/>
    <w:rsid w:val="00A972E6"/>
    <w:rsid w:val="00A9748E"/>
    <w:rsid w:val="00A9756B"/>
    <w:rsid w:val="00AA003E"/>
    <w:rsid w:val="00AA06AC"/>
    <w:rsid w:val="00AA2CBA"/>
    <w:rsid w:val="00AA5153"/>
    <w:rsid w:val="00AA55D3"/>
    <w:rsid w:val="00AA67D6"/>
    <w:rsid w:val="00AB0719"/>
    <w:rsid w:val="00AB09CE"/>
    <w:rsid w:val="00AB13B4"/>
    <w:rsid w:val="00AB1677"/>
    <w:rsid w:val="00AB4C36"/>
    <w:rsid w:val="00AB4F99"/>
    <w:rsid w:val="00AB58D4"/>
    <w:rsid w:val="00AB6A17"/>
    <w:rsid w:val="00AB7B61"/>
    <w:rsid w:val="00AB7F2B"/>
    <w:rsid w:val="00AC0075"/>
    <w:rsid w:val="00AC047D"/>
    <w:rsid w:val="00AC0920"/>
    <w:rsid w:val="00AC1931"/>
    <w:rsid w:val="00AC2618"/>
    <w:rsid w:val="00AC3138"/>
    <w:rsid w:val="00AC3159"/>
    <w:rsid w:val="00AC3410"/>
    <w:rsid w:val="00AC3517"/>
    <w:rsid w:val="00AC502D"/>
    <w:rsid w:val="00AC5530"/>
    <w:rsid w:val="00AC55D8"/>
    <w:rsid w:val="00AC6604"/>
    <w:rsid w:val="00AC6647"/>
    <w:rsid w:val="00AC6D51"/>
    <w:rsid w:val="00AD08FB"/>
    <w:rsid w:val="00AD0E26"/>
    <w:rsid w:val="00AD143F"/>
    <w:rsid w:val="00AD31F9"/>
    <w:rsid w:val="00AD46BD"/>
    <w:rsid w:val="00AD4980"/>
    <w:rsid w:val="00AD58C4"/>
    <w:rsid w:val="00AD5D2C"/>
    <w:rsid w:val="00AD60E0"/>
    <w:rsid w:val="00AD6189"/>
    <w:rsid w:val="00AD63BC"/>
    <w:rsid w:val="00AE0DA4"/>
    <w:rsid w:val="00AE2F4C"/>
    <w:rsid w:val="00AE6C82"/>
    <w:rsid w:val="00AF00C5"/>
    <w:rsid w:val="00AF1714"/>
    <w:rsid w:val="00AF1829"/>
    <w:rsid w:val="00AF1DFD"/>
    <w:rsid w:val="00AF2093"/>
    <w:rsid w:val="00AF224C"/>
    <w:rsid w:val="00AF2852"/>
    <w:rsid w:val="00AF2875"/>
    <w:rsid w:val="00AF28DC"/>
    <w:rsid w:val="00AF4219"/>
    <w:rsid w:val="00AF59E2"/>
    <w:rsid w:val="00AF64CA"/>
    <w:rsid w:val="00AF6C7B"/>
    <w:rsid w:val="00AF7617"/>
    <w:rsid w:val="00AF780E"/>
    <w:rsid w:val="00AF7903"/>
    <w:rsid w:val="00AF7CD9"/>
    <w:rsid w:val="00B004DA"/>
    <w:rsid w:val="00B006D1"/>
    <w:rsid w:val="00B00BBC"/>
    <w:rsid w:val="00B00C07"/>
    <w:rsid w:val="00B00F35"/>
    <w:rsid w:val="00B016C8"/>
    <w:rsid w:val="00B020E0"/>
    <w:rsid w:val="00B0280E"/>
    <w:rsid w:val="00B02E43"/>
    <w:rsid w:val="00B02F23"/>
    <w:rsid w:val="00B032EB"/>
    <w:rsid w:val="00B03743"/>
    <w:rsid w:val="00B03F2B"/>
    <w:rsid w:val="00B04F48"/>
    <w:rsid w:val="00B06474"/>
    <w:rsid w:val="00B07E36"/>
    <w:rsid w:val="00B1116E"/>
    <w:rsid w:val="00B1295E"/>
    <w:rsid w:val="00B129FA"/>
    <w:rsid w:val="00B133EB"/>
    <w:rsid w:val="00B13594"/>
    <w:rsid w:val="00B15283"/>
    <w:rsid w:val="00B15D7D"/>
    <w:rsid w:val="00B1689D"/>
    <w:rsid w:val="00B20832"/>
    <w:rsid w:val="00B21203"/>
    <w:rsid w:val="00B21F7C"/>
    <w:rsid w:val="00B225F8"/>
    <w:rsid w:val="00B22B6F"/>
    <w:rsid w:val="00B2342C"/>
    <w:rsid w:val="00B23708"/>
    <w:rsid w:val="00B23DEA"/>
    <w:rsid w:val="00B2613E"/>
    <w:rsid w:val="00B26643"/>
    <w:rsid w:val="00B26783"/>
    <w:rsid w:val="00B311CC"/>
    <w:rsid w:val="00B316AB"/>
    <w:rsid w:val="00B31B7E"/>
    <w:rsid w:val="00B31D9C"/>
    <w:rsid w:val="00B32432"/>
    <w:rsid w:val="00B32CC6"/>
    <w:rsid w:val="00B32EBB"/>
    <w:rsid w:val="00B33276"/>
    <w:rsid w:val="00B333B8"/>
    <w:rsid w:val="00B3355A"/>
    <w:rsid w:val="00B337C9"/>
    <w:rsid w:val="00B34EBF"/>
    <w:rsid w:val="00B34F2D"/>
    <w:rsid w:val="00B358AF"/>
    <w:rsid w:val="00B361B3"/>
    <w:rsid w:val="00B4003C"/>
    <w:rsid w:val="00B408F8"/>
    <w:rsid w:val="00B40EE7"/>
    <w:rsid w:val="00B4179A"/>
    <w:rsid w:val="00B41D10"/>
    <w:rsid w:val="00B42100"/>
    <w:rsid w:val="00B42422"/>
    <w:rsid w:val="00B4245F"/>
    <w:rsid w:val="00B425C9"/>
    <w:rsid w:val="00B42C05"/>
    <w:rsid w:val="00B42D4B"/>
    <w:rsid w:val="00B42FE2"/>
    <w:rsid w:val="00B43241"/>
    <w:rsid w:val="00B438B5"/>
    <w:rsid w:val="00B44EAE"/>
    <w:rsid w:val="00B45C00"/>
    <w:rsid w:val="00B469E1"/>
    <w:rsid w:val="00B47157"/>
    <w:rsid w:val="00B5285D"/>
    <w:rsid w:val="00B52D56"/>
    <w:rsid w:val="00B53066"/>
    <w:rsid w:val="00B546A8"/>
    <w:rsid w:val="00B553EA"/>
    <w:rsid w:val="00B55BA4"/>
    <w:rsid w:val="00B57A7A"/>
    <w:rsid w:val="00B57FAB"/>
    <w:rsid w:val="00B60A1A"/>
    <w:rsid w:val="00B60D4A"/>
    <w:rsid w:val="00B612C3"/>
    <w:rsid w:val="00B61B51"/>
    <w:rsid w:val="00B62626"/>
    <w:rsid w:val="00B6378A"/>
    <w:rsid w:val="00B65042"/>
    <w:rsid w:val="00B65DB5"/>
    <w:rsid w:val="00B65EC9"/>
    <w:rsid w:val="00B65F61"/>
    <w:rsid w:val="00B66491"/>
    <w:rsid w:val="00B67087"/>
    <w:rsid w:val="00B705D4"/>
    <w:rsid w:val="00B707FC"/>
    <w:rsid w:val="00B76F3F"/>
    <w:rsid w:val="00B76F7F"/>
    <w:rsid w:val="00B77FAA"/>
    <w:rsid w:val="00B80BBB"/>
    <w:rsid w:val="00B8145A"/>
    <w:rsid w:val="00B81ABC"/>
    <w:rsid w:val="00B82F14"/>
    <w:rsid w:val="00B8382D"/>
    <w:rsid w:val="00B84128"/>
    <w:rsid w:val="00B84371"/>
    <w:rsid w:val="00B84780"/>
    <w:rsid w:val="00B84AF7"/>
    <w:rsid w:val="00B84E01"/>
    <w:rsid w:val="00B8585E"/>
    <w:rsid w:val="00B85B94"/>
    <w:rsid w:val="00B85D7F"/>
    <w:rsid w:val="00B86D54"/>
    <w:rsid w:val="00B86D75"/>
    <w:rsid w:val="00B875A0"/>
    <w:rsid w:val="00B90851"/>
    <w:rsid w:val="00B91634"/>
    <w:rsid w:val="00B927B2"/>
    <w:rsid w:val="00B92C43"/>
    <w:rsid w:val="00B938FA"/>
    <w:rsid w:val="00B93FC4"/>
    <w:rsid w:val="00B95276"/>
    <w:rsid w:val="00B95CD8"/>
    <w:rsid w:val="00B96AFC"/>
    <w:rsid w:val="00B974AD"/>
    <w:rsid w:val="00BA0963"/>
    <w:rsid w:val="00BA3BE1"/>
    <w:rsid w:val="00BA42FD"/>
    <w:rsid w:val="00BA4425"/>
    <w:rsid w:val="00BA50C8"/>
    <w:rsid w:val="00BA51DE"/>
    <w:rsid w:val="00BA57E1"/>
    <w:rsid w:val="00BA5B5F"/>
    <w:rsid w:val="00BA5BA8"/>
    <w:rsid w:val="00BA63E4"/>
    <w:rsid w:val="00BB0357"/>
    <w:rsid w:val="00BB0369"/>
    <w:rsid w:val="00BB0C9C"/>
    <w:rsid w:val="00BB1FA4"/>
    <w:rsid w:val="00BB2243"/>
    <w:rsid w:val="00BB466F"/>
    <w:rsid w:val="00BB4F52"/>
    <w:rsid w:val="00BB51C4"/>
    <w:rsid w:val="00BB558C"/>
    <w:rsid w:val="00BB5CE5"/>
    <w:rsid w:val="00BB638B"/>
    <w:rsid w:val="00BB701C"/>
    <w:rsid w:val="00BB731C"/>
    <w:rsid w:val="00BB7398"/>
    <w:rsid w:val="00BB75FF"/>
    <w:rsid w:val="00BB7B9D"/>
    <w:rsid w:val="00BB7D22"/>
    <w:rsid w:val="00BC052C"/>
    <w:rsid w:val="00BC0531"/>
    <w:rsid w:val="00BC07A7"/>
    <w:rsid w:val="00BC0E18"/>
    <w:rsid w:val="00BC1C91"/>
    <w:rsid w:val="00BC223C"/>
    <w:rsid w:val="00BC47CF"/>
    <w:rsid w:val="00BC7BE4"/>
    <w:rsid w:val="00BD0237"/>
    <w:rsid w:val="00BD0A7B"/>
    <w:rsid w:val="00BD19B3"/>
    <w:rsid w:val="00BD213C"/>
    <w:rsid w:val="00BD40C1"/>
    <w:rsid w:val="00BD5117"/>
    <w:rsid w:val="00BD525A"/>
    <w:rsid w:val="00BD61DB"/>
    <w:rsid w:val="00BD6EA6"/>
    <w:rsid w:val="00BD7B4B"/>
    <w:rsid w:val="00BE0401"/>
    <w:rsid w:val="00BE15C0"/>
    <w:rsid w:val="00BE191A"/>
    <w:rsid w:val="00BE1B83"/>
    <w:rsid w:val="00BE3012"/>
    <w:rsid w:val="00BE30D8"/>
    <w:rsid w:val="00BE3665"/>
    <w:rsid w:val="00BE39F9"/>
    <w:rsid w:val="00BE3F57"/>
    <w:rsid w:val="00BE416C"/>
    <w:rsid w:val="00BE488E"/>
    <w:rsid w:val="00BE4C45"/>
    <w:rsid w:val="00BE4CF2"/>
    <w:rsid w:val="00BE4D23"/>
    <w:rsid w:val="00BE5AC1"/>
    <w:rsid w:val="00BE6130"/>
    <w:rsid w:val="00BE646E"/>
    <w:rsid w:val="00BE7FDF"/>
    <w:rsid w:val="00BF0726"/>
    <w:rsid w:val="00BF13A2"/>
    <w:rsid w:val="00BF274F"/>
    <w:rsid w:val="00BF3012"/>
    <w:rsid w:val="00BF326A"/>
    <w:rsid w:val="00BF33B0"/>
    <w:rsid w:val="00BF495E"/>
    <w:rsid w:val="00BF4C85"/>
    <w:rsid w:val="00BF54B7"/>
    <w:rsid w:val="00BF600D"/>
    <w:rsid w:val="00BF6167"/>
    <w:rsid w:val="00BF7021"/>
    <w:rsid w:val="00C00440"/>
    <w:rsid w:val="00C00862"/>
    <w:rsid w:val="00C00DFC"/>
    <w:rsid w:val="00C010D1"/>
    <w:rsid w:val="00C017C9"/>
    <w:rsid w:val="00C02C43"/>
    <w:rsid w:val="00C04D71"/>
    <w:rsid w:val="00C04FC1"/>
    <w:rsid w:val="00C0508C"/>
    <w:rsid w:val="00C05775"/>
    <w:rsid w:val="00C05781"/>
    <w:rsid w:val="00C05977"/>
    <w:rsid w:val="00C059CE"/>
    <w:rsid w:val="00C05AB4"/>
    <w:rsid w:val="00C067A2"/>
    <w:rsid w:val="00C067D3"/>
    <w:rsid w:val="00C06919"/>
    <w:rsid w:val="00C06EA0"/>
    <w:rsid w:val="00C06F0B"/>
    <w:rsid w:val="00C0753F"/>
    <w:rsid w:val="00C079AF"/>
    <w:rsid w:val="00C07D5D"/>
    <w:rsid w:val="00C105C9"/>
    <w:rsid w:val="00C116DA"/>
    <w:rsid w:val="00C1297C"/>
    <w:rsid w:val="00C1411A"/>
    <w:rsid w:val="00C1414D"/>
    <w:rsid w:val="00C15226"/>
    <w:rsid w:val="00C15909"/>
    <w:rsid w:val="00C15DBA"/>
    <w:rsid w:val="00C1637A"/>
    <w:rsid w:val="00C1644B"/>
    <w:rsid w:val="00C1698A"/>
    <w:rsid w:val="00C17D8C"/>
    <w:rsid w:val="00C207C5"/>
    <w:rsid w:val="00C21A69"/>
    <w:rsid w:val="00C22583"/>
    <w:rsid w:val="00C22632"/>
    <w:rsid w:val="00C22A4E"/>
    <w:rsid w:val="00C23175"/>
    <w:rsid w:val="00C2673F"/>
    <w:rsid w:val="00C27DEE"/>
    <w:rsid w:val="00C30176"/>
    <w:rsid w:val="00C30FBA"/>
    <w:rsid w:val="00C3137E"/>
    <w:rsid w:val="00C33DCF"/>
    <w:rsid w:val="00C3426A"/>
    <w:rsid w:val="00C34282"/>
    <w:rsid w:val="00C35844"/>
    <w:rsid w:val="00C3594A"/>
    <w:rsid w:val="00C362C5"/>
    <w:rsid w:val="00C37F7D"/>
    <w:rsid w:val="00C401F3"/>
    <w:rsid w:val="00C4292E"/>
    <w:rsid w:val="00C42C22"/>
    <w:rsid w:val="00C44473"/>
    <w:rsid w:val="00C444AB"/>
    <w:rsid w:val="00C447A7"/>
    <w:rsid w:val="00C45B0F"/>
    <w:rsid w:val="00C46008"/>
    <w:rsid w:val="00C461CD"/>
    <w:rsid w:val="00C52828"/>
    <w:rsid w:val="00C52AF5"/>
    <w:rsid w:val="00C532BB"/>
    <w:rsid w:val="00C535AA"/>
    <w:rsid w:val="00C537BB"/>
    <w:rsid w:val="00C5398D"/>
    <w:rsid w:val="00C544C3"/>
    <w:rsid w:val="00C54A73"/>
    <w:rsid w:val="00C54CF6"/>
    <w:rsid w:val="00C54EB0"/>
    <w:rsid w:val="00C5590D"/>
    <w:rsid w:val="00C569CA"/>
    <w:rsid w:val="00C56F31"/>
    <w:rsid w:val="00C61F37"/>
    <w:rsid w:val="00C62C72"/>
    <w:rsid w:val="00C63005"/>
    <w:rsid w:val="00C632E2"/>
    <w:rsid w:val="00C645F5"/>
    <w:rsid w:val="00C64623"/>
    <w:rsid w:val="00C648CF"/>
    <w:rsid w:val="00C64D55"/>
    <w:rsid w:val="00C650B0"/>
    <w:rsid w:val="00C65242"/>
    <w:rsid w:val="00C653AF"/>
    <w:rsid w:val="00C655E9"/>
    <w:rsid w:val="00C670E3"/>
    <w:rsid w:val="00C67312"/>
    <w:rsid w:val="00C70885"/>
    <w:rsid w:val="00C73207"/>
    <w:rsid w:val="00C73222"/>
    <w:rsid w:val="00C73486"/>
    <w:rsid w:val="00C73DCD"/>
    <w:rsid w:val="00C7503D"/>
    <w:rsid w:val="00C75119"/>
    <w:rsid w:val="00C771B7"/>
    <w:rsid w:val="00C774CD"/>
    <w:rsid w:val="00C77C1B"/>
    <w:rsid w:val="00C77CD0"/>
    <w:rsid w:val="00C77E97"/>
    <w:rsid w:val="00C77F28"/>
    <w:rsid w:val="00C814F3"/>
    <w:rsid w:val="00C83089"/>
    <w:rsid w:val="00C831E0"/>
    <w:rsid w:val="00C836F1"/>
    <w:rsid w:val="00C83EF0"/>
    <w:rsid w:val="00C842F7"/>
    <w:rsid w:val="00C84563"/>
    <w:rsid w:val="00C84732"/>
    <w:rsid w:val="00C85209"/>
    <w:rsid w:val="00C85CE8"/>
    <w:rsid w:val="00C862BF"/>
    <w:rsid w:val="00C86ECB"/>
    <w:rsid w:val="00C87A78"/>
    <w:rsid w:val="00C90582"/>
    <w:rsid w:val="00C90FB6"/>
    <w:rsid w:val="00C91CBD"/>
    <w:rsid w:val="00C93786"/>
    <w:rsid w:val="00C93FE4"/>
    <w:rsid w:val="00C944F4"/>
    <w:rsid w:val="00C94901"/>
    <w:rsid w:val="00C95282"/>
    <w:rsid w:val="00C97D22"/>
    <w:rsid w:val="00CA070B"/>
    <w:rsid w:val="00CA25E9"/>
    <w:rsid w:val="00CA2EEB"/>
    <w:rsid w:val="00CA33A8"/>
    <w:rsid w:val="00CA41F7"/>
    <w:rsid w:val="00CA47EC"/>
    <w:rsid w:val="00CA5665"/>
    <w:rsid w:val="00CA5A09"/>
    <w:rsid w:val="00CA796D"/>
    <w:rsid w:val="00CA79C2"/>
    <w:rsid w:val="00CB0139"/>
    <w:rsid w:val="00CB1419"/>
    <w:rsid w:val="00CB1929"/>
    <w:rsid w:val="00CB2686"/>
    <w:rsid w:val="00CB3CFC"/>
    <w:rsid w:val="00CB41F4"/>
    <w:rsid w:val="00CB4577"/>
    <w:rsid w:val="00CB4F33"/>
    <w:rsid w:val="00CB620C"/>
    <w:rsid w:val="00CB695A"/>
    <w:rsid w:val="00CB6E46"/>
    <w:rsid w:val="00CC0149"/>
    <w:rsid w:val="00CC0293"/>
    <w:rsid w:val="00CC0F1C"/>
    <w:rsid w:val="00CC148C"/>
    <w:rsid w:val="00CC1556"/>
    <w:rsid w:val="00CC1691"/>
    <w:rsid w:val="00CC170E"/>
    <w:rsid w:val="00CC182B"/>
    <w:rsid w:val="00CC2574"/>
    <w:rsid w:val="00CC2B7D"/>
    <w:rsid w:val="00CC4029"/>
    <w:rsid w:val="00CC4D2B"/>
    <w:rsid w:val="00CC54E0"/>
    <w:rsid w:val="00CC6801"/>
    <w:rsid w:val="00CC68A6"/>
    <w:rsid w:val="00CC761B"/>
    <w:rsid w:val="00CC7E31"/>
    <w:rsid w:val="00CD0110"/>
    <w:rsid w:val="00CD07E5"/>
    <w:rsid w:val="00CD09D4"/>
    <w:rsid w:val="00CD0E84"/>
    <w:rsid w:val="00CD103E"/>
    <w:rsid w:val="00CD1BBB"/>
    <w:rsid w:val="00CD208D"/>
    <w:rsid w:val="00CD2931"/>
    <w:rsid w:val="00CD29BB"/>
    <w:rsid w:val="00CD3834"/>
    <w:rsid w:val="00CD39C5"/>
    <w:rsid w:val="00CD3D8D"/>
    <w:rsid w:val="00CD5525"/>
    <w:rsid w:val="00CD564C"/>
    <w:rsid w:val="00CD6E63"/>
    <w:rsid w:val="00CE05F8"/>
    <w:rsid w:val="00CE0C5E"/>
    <w:rsid w:val="00CE1351"/>
    <w:rsid w:val="00CE18F5"/>
    <w:rsid w:val="00CE3587"/>
    <w:rsid w:val="00CE5161"/>
    <w:rsid w:val="00CE5473"/>
    <w:rsid w:val="00CE58EE"/>
    <w:rsid w:val="00CE6066"/>
    <w:rsid w:val="00CE617E"/>
    <w:rsid w:val="00CE6F66"/>
    <w:rsid w:val="00CE729D"/>
    <w:rsid w:val="00CE7837"/>
    <w:rsid w:val="00CE7C56"/>
    <w:rsid w:val="00CF024F"/>
    <w:rsid w:val="00CF17A9"/>
    <w:rsid w:val="00CF17C6"/>
    <w:rsid w:val="00CF2447"/>
    <w:rsid w:val="00CF2470"/>
    <w:rsid w:val="00CF33E5"/>
    <w:rsid w:val="00CF40DC"/>
    <w:rsid w:val="00CF48E4"/>
    <w:rsid w:val="00CF5C1D"/>
    <w:rsid w:val="00CF6736"/>
    <w:rsid w:val="00CF7EF1"/>
    <w:rsid w:val="00D0185A"/>
    <w:rsid w:val="00D02256"/>
    <w:rsid w:val="00D027FB"/>
    <w:rsid w:val="00D032AF"/>
    <w:rsid w:val="00D03482"/>
    <w:rsid w:val="00D03673"/>
    <w:rsid w:val="00D039A3"/>
    <w:rsid w:val="00D0400C"/>
    <w:rsid w:val="00D04670"/>
    <w:rsid w:val="00D04DCA"/>
    <w:rsid w:val="00D050C5"/>
    <w:rsid w:val="00D0532C"/>
    <w:rsid w:val="00D054E6"/>
    <w:rsid w:val="00D059D5"/>
    <w:rsid w:val="00D0690E"/>
    <w:rsid w:val="00D06F61"/>
    <w:rsid w:val="00D06FAB"/>
    <w:rsid w:val="00D07349"/>
    <w:rsid w:val="00D0760D"/>
    <w:rsid w:val="00D10B5E"/>
    <w:rsid w:val="00D11928"/>
    <w:rsid w:val="00D133F0"/>
    <w:rsid w:val="00D13787"/>
    <w:rsid w:val="00D15353"/>
    <w:rsid w:val="00D15D61"/>
    <w:rsid w:val="00D16BA8"/>
    <w:rsid w:val="00D176B1"/>
    <w:rsid w:val="00D211BD"/>
    <w:rsid w:val="00D21CDA"/>
    <w:rsid w:val="00D22241"/>
    <w:rsid w:val="00D23A09"/>
    <w:rsid w:val="00D24466"/>
    <w:rsid w:val="00D24A75"/>
    <w:rsid w:val="00D2561D"/>
    <w:rsid w:val="00D25C17"/>
    <w:rsid w:val="00D26058"/>
    <w:rsid w:val="00D27715"/>
    <w:rsid w:val="00D2778E"/>
    <w:rsid w:val="00D311A7"/>
    <w:rsid w:val="00D3182D"/>
    <w:rsid w:val="00D31B96"/>
    <w:rsid w:val="00D3278A"/>
    <w:rsid w:val="00D3380E"/>
    <w:rsid w:val="00D33A41"/>
    <w:rsid w:val="00D342B5"/>
    <w:rsid w:val="00D34747"/>
    <w:rsid w:val="00D34C78"/>
    <w:rsid w:val="00D353A1"/>
    <w:rsid w:val="00D353F2"/>
    <w:rsid w:val="00D3641E"/>
    <w:rsid w:val="00D36775"/>
    <w:rsid w:val="00D4040A"/>
    <w:rsid w:val="00D40EF1"/>
    <w:rsid w:val="00D41B22"/>
    <w:rsid w:val="00D4247C"/>
    <w:rsid w:val="00D42ED6"/>
    <w:rsid w:val="00D4536F"/>
    <w:rsid w:val="00D4659D"/>
    <w:rsid w:val="00D46AB1"/>
    <w:rsid w:val="00D46ABA"/>
    <w:rsid w:val="00D46AD1"/>
    <w:rsid w:val="00D46CF3"/>
    <w:rsid w:val="00D46E3E"/>
    <w:rsid w:val="00D476CA"/>
    <w:rsid w:val="00D47D46"/>
    <w:rsid w:val="00D507A1"/>
    <w:rsid w:val="00D5134D"/>
    <w:rsid w:val="00D53148"/>
    <w:rsid w:val="00D531BA"/>
    <w:rsid w:val="00D5383F"/>
    <w:rsid w:val="00D5482C"/>
    <w:rsid w:val="00D5494C"/>
    <w:rsid w:val="00D54A45"/>
    <w:rsid w:val="00D54C24"/>
    <w:rsid w:val="00D5593F"/>
    <w:rsid w:val="00D57159"/>
    <w:rsid w:val="00D57721"/>
    <w:rsid w:val="00D578BC"/>
    <w:rsid w:val="00D60641"/>
    <w:rsid w:val="00D61328"/>
    <w:rsid w:val="00D6195F"/>
    <w:rsid w:val="00D62200"/>
    <w:rsid w:val="00D629CF"/>
    <w:rsid w:val="00D63DA8"/>
    <w:rsid w:val="00D64414"/>
    <w:rsid w:val="00D648BF"/>
    <w:rsid w:val="00D64C42"/>
    <w:rsid w:val="00D656E4"/>
    <w:rsid w:val="00D657F4"/>
    <w:rsid w:val="00D65D8E"/>
    <w:rsid w:val="00D66463"/>
    <w:rsid w:val="00D66797"/>
    <w:rsid w:val="00D7035F"/>
    <w:rsid w:val="00D708CD"/>
    <w:rsid w:val="00D716A5"/>
    <w:rsid w:val="00D722E8"/>
    <w:rsid w:val="00D7241D"/>
    <w:rsid w:val="00D724E2"/>
    <w:rsid w:val="00D72928"/>
    <w:rsid w:val="00D72EFF"/>
    <w:rsid w:val="00D7312D"/>
    <w:rsid w:val="00D735A9"/>
    <w:rsid w:val="00D74592"/>
    <w:rsid w:val="00D76233"/>
    <w:rsid w:val="00D77650"/>
    <w:rsid w:val="00D80286"/>
    <w:rsid w:val="00D80FD7"/>
    <w:rsid w:val="00D8186E"/>
    <w:rsid w:val="00D81A27"/>
    <w:rsid w:val="00D81B49"/>
    <w:rsid w:val="00D826FE"/>
    <w:rsid w:val="00D827AA"/>
    <w:rsid w:val="00D829F6"/>
    <w:rsid w:val="00D83209"/>
    <w:rsid w:val="00D842CD"/>
    <w:rsid w:val="00D842F0"/>
    <w:rsid w:val="00D846A3"/>
    <w:rsid w:val="00D84991"/>
    <w:rsid w:val="00D84C27"/>
    <w:rsid w:val="00D84D02"/>
    <w:rsid w:val="00D856F5"/>
    <w:rsid w:val="00D8705F"/>
    <w:rsid w:val="00D878E5"/>
    <w:rsid w:val="00D87B4C"/>
    <w:rsid w:val="00D9044D"/>
    <w:rsid w:val="00D909A3"/>
    <w:rsid w:val="00D91620"/>
    <w:rsid w:val="00D91B08"/>
    <w:rsid w:val="00D93269"/>
    <w:rsid w:val="00D962DD"/>
    <w:rsid w:val="00D96D44"/>
    <w:rsid w:val="00D974E8"/>
    <w:rsid w:val="00DA1F3E"/>
    <w:rsid w:val="00DA20D9"/>
    <w:rsid w:val="00DA3585"/>
    <w:rsid w:val="00DA4134"/>
    <w:rsid w:val="00DA41C6"/>
    <w:rsid w:val="00DA4B86"/>
    <w:rsid w:val="00DA5039"/>
    <w:rsid w:val="00DA73C5"/>
    <w:rsid w:val="00DB0963"/>
    <w:rsid w:val="00DB1491"/>
    <w:rsid w:val="00DB18BF"/>
    <w:rsid w:val="00DB2121"/>
    <w:rsid w:val="00DB5A0D"/>
    <w:rsid w:val="00DB5A25"/>
    <w:rsid w:val="00DB7AD1"/>
    <w:rsid w:val="00DC0D88"/>
    <w:rsid w:val="00DC1421"/>
    <w:rsid w:val="00DC1460"/>
    <w:rsid w:val="00DC17B5"/>
    <w:rsid w:val="00DC1D9C"/>
    <w:rsid w:val="00DC2309"/>
    <w:rsid w:val="00DC3518"/>
    <w:rsid w:val="00DC3A01"/>
    <w:rsid w:val="00DC4C6C"/>
    <w:rsid w:val="00DC5B26"/>
    <w:rsid w:val="00DC5C43"/>
    <w:rsid w:val="00DC5D92"/>
    <w:rsid w:val="00DC75EF"/>
    <w:rsid w:val="00DC7E8B"/>
    <w:rsid w:val="00DD1185"/>
    <w:rsid w:val="00DD2179"/>
    <w:rsid w:val="00DD27CA"/>
    <w:rsid w:val="00DD30D9"/>
    <w:rsid w:val="00DD33A0"/>
    <w:rsid w:val="00DD3DCC"/>
    <w:rsid w:val="00DD4734"/>
    <w:rsid w:val="00DD4E53"/>
    <w:rsid w:val="00DD62CB"/>
    <w:rsid w:val="00DD68D0"/>
    <w:rsid w:val="00DD748F"/>
    <w:rsid w:val="00DE0587"/>
    <w:rsid w:val="00DE09AD"/>
    <w:rsid w:val="00DE16E9"/>
    <w:rsid w:val="00DE311A"/>
    <w:rsid w:val="00DE36A4"/>
    <w:rsid w:val="00DE4B58"/>
    <w:rsid w:val="00DE4B7B"/>
    <w:rsid w:val="00DE5FB4"/>
    <w:rsid w:val="00DE6545"/>
    <w:rsid w:val="00DE66C1"/>
    <w:rsid w:val="00DE699B"/>
    <w:rsid w:val="00DE75AF"/>
    <w:rsid w:val="00DE7A12"/>
    <w:rsid w:val="00DE7C74"/>
    <w:rsid w:val="00DF07D6"/>
    <w:rsid w:val="00DF1060"/>
    <w:rsid w:val="00DF10F1"/>
    <w:rsid w:val="00DF13BD"/>
    <w:rsid w:val="00DF14BE"/>
    <w:rsid w:val="00DF187C"/>
    <w:rsid w:val="00DF201E"/>
    <w:rsid w:val="00DF244D"/>
    <w:rsid w:val="00DF2514"/>
    <w:rsid w:val="00DF35B4"/>
    <w:rsid w:val="00DF3936"/>
    <w:rsid w:val="00DF3C30"/>
    <w:rsid w:val="00DF3FD9"/>
    <w:rsid w:val="00DF4293"/>
    <w:rsid w:val="00DF4382"/>
    <w:rsid w:val="00DF46B9"/>
    <w:rsid w:val="00DF5393"/>
    <w:rsid w:val="00DF54ED"/>
    <w:rsid w:val="00DF5A85"/>
    <w:rsid w:val="00DF5C1B"/>
    <w:rsid w:val="00DF6A21"/>
    <w:rsid w:val="00DF71B1"/>
    <w:rsid w:val="00DF758D"/>
    <w:rsid w:val="00DF7728"/>
    <w:rsid w:val="00DF7FBC"/>
    <w:rsid w:val="00E0043A"/>
    <w:rsid w:val="00E00DC1"/>
    <w:rsid w:val="00E0146A"/>
    <w:rsid w:val="00E01AB3"/>
    <w:rsid w:val="00E0258F"/>
    <w:rsid w:val="00E02721"/>
    <w:rsid w:val="00E02AA1"/>
    <w:rsid w:val="00E02BD8"/>
    <w:rsid w:val="00E02FF8"/>
    <w:rsid w:val="00E0311B"/>
    <w:rsid w:val="00E033E8"/>
    <w:rsid w:val="00E040BC"/>
    <w:rsid w:val="00E040D0"/>
    <w:rsid w:val="00E05D70"/>
    <w:rsid w:val="00E07451"/>
    <w:rsid w:val="00E10605"/>
    <w:rsid w:val="00E1161B"/>
    <w:rsid w:val="00E12579"/>
    <w:rsid w:val="00E12974"/>
    <w:rsid w:val="00E12BAA"/>
    <w:rsid w:val="00E131CC"/>
    <w:rsid w:val="00E143E1"/>
    <w:rsid w:val="00E14CFB"/>
    <w:rsid w:val="00E159CF"/>
    <w:rsid w:val="00E165A4"/>
    <w:rsid w:val="00E1707A"/>
    <w:rsid w:val="00E21133"/>
    <w:rsid w:val="00E21550"/>
    <w:rsid w:val="00E21B42"/>
    <w:rsid w:val="00E21F4C"/>
    <w:rsid w:val="00E22338"/>
    <w:rsid w:val="00E2233B"/>
    <w:rsid w:val="00E22485"/>
    <w:rsid w:val="00E2313E"/>
    <w:rsid w:val="00E24CA6"/>
    <w:rsid w:val="00E24CB3"/>
    <w:rsid w:val="00E25560"/>
    <w:rsid w:val="00E25CD0"/>
    <w:rsid w:val="00E25E79"/>
    <w:rsid w:val="00E25F04"/>
    <w:rsid w:val="00E2658C"/>
    <w:rsid w:val="00E26CA6"/>
    <w:rsid w:val="00E306E4"/>
    <w:rsid w:val="00E313C6"/>
    <w:rsid w:val="00E3163C"/>
    <w:rsid w:val="00E322D6"/>
    <w:rsid w:val="00E32DF3"/>
    <w:rsid w:val="00E3319B"/>
    <w:rsid w:val="00E33364"/>
    <w:rsid w:val="00E35740"/>
    <w:rsid w:val="00E35E4A"/>
    <w:rsid w:val="00E360BC"/>
    <w:rsid w:val="00E361C1"/>
    <w:rsid w:val="00E36D50"/>
    <w:rsid w:val="00E36FD4"/>
    <w:rsid w:val="00E373AC"/>
    <w:rsid w:val="00E37553"/>
    <w:rsid w:val="00E37BFD"/>
    <w:rsid w:val="00E40AA7"/>
    <w:rsid w:val="00E414B7"/>
    <w:rsid w:val="00E41AA0"/>
    <w:rsid w:val="00E42408"/>
    <w:rsid w:val="00E42513"/>
    <w:rsid w:val="00E441A5"/>
    <w:rsid w:val="00E442A3"/>
    <w:rsid w:val="00E44D9B"/>
    <w:rsid w:val="00E45327"/>
    <w:rsid w:val="00E45613"/>
    <w:rsid w:val="00E457AD"/>
    <w:rsid w:val="00E45F03"/>
    <w:rsid w:val="00E47066"/>
    <w:rsid w:val="00E4764F"/>
    <w:rsid w:val="00E47CE0"/>
    <w:rsid w:val="00E509DA"/>
    <w:rsid w:val="00E50BE9"/>
    <w:rsid w:val="00E5110C"/>
    <w:rsid w:val="00E51316"/>
    <w:rsid w:val="00E52C1A"/>
    <w:rsid w:val="00E53429"/>
    <w:rsid w:val="00E54777"/>
    <w:rsid w:val="00E5539D"/>
    <w:rsid w:val="00E556DD"/>
    <w:rsid w:val="00E55E36"/>
    <w:rsid w:val="00E56863"/>
    <w:rsid w:val="00E57270"/>
    <w:rsid w:val="00E578A6"/>
    <w:rsid w:val="00E578A8"/>
    <w:rsid w:val="00E57905"/>
    <w:rsid w:val="00E57AF9"/>
    <w:rsid w:val="00E6004B"/>
    <w:rsid w:val="00E60989"/>
    <w:rsid w:val="00E61954"/>
    <w:rsid w:val="00E61B95"/>
    <w:rsid w:val="00E61CB6"/>
    <w:rsid w:val="00E61DFB"/>
    <w:rsid w:val="00E63102"/>
    <w:rsid w:val="00E63131"/>
    <w:rsid w:val="00E64097"/>
    <w:rsid w:val="00E64A1A"/>
    <w:rsid w:val="00E65C4F"/>
    <w:rsid w:val="00E67B32"/>
    <w:rsid w:val="00E73A0F"/>
    <w:rsid w:val="00E73FE4"/>
    <w:rsid w:val="00E7441C"/>
    <w:rsid w:val="00E74FF9"/>
    <w:rsid w:val="00E7514B"/>
    <w:rsid w:val="00E75394"/>
    <w:rsid w:val="00E755FB"/>
    <w:rsid w:val="00E763C0"/>
    <w:rsid w:val="00E802B3"/>
    <w:rsid w:val="00E811FC"/>
    <w:rsid w:val="00E8136D"/>
    <w:rsid w:val="00E81916"/>
    <w:rsid w:val="00E81E47"/>
    <w:rsid w:val="00E821C9"/>
    <w:rsid w:val="00E82244"/>
    <w:rsid w:val="00E8262A"/>
    <w:rsid w:val="00E83165"/>
    <w:rsid w:val="00E83AE4"/>
    <w:rsid w:val="00E83EA9"/>
    <w:rsid w:val="00E841B2"/>
    <w:rsid w:val="00E847B5"/>
    <w:rsid w:val="00E84DB1"/>
    <w:rsid w:val="00E85B1C"/>
    <w:rsid w:val="00E87D32"/>
    <w:rsid w:val="00E90BE8"/>
    <w:rsid w:val="00E9111C"/>
    <w:rsid w:val="00E9169C"/>
    <w:rsid w:val="00E91FDD"/>
    <w:rsid w:val="00E92473"/>
    <w:rsid w:val="00E92908"/>
    <w:rsid w:val="00E92990"/>
    <w:rsid w:val="00E94CE7"/>
    <w:rsid w:val="00E95071"/>
    <w:rsid w:val="00E9538D"/>
    <w:rsid w:val="00E96029"/>
    <w:rsid w:val="00E96399"/>
    <w:rsid w:val="00E96732"/>
    <w:rsid w:val="00E978B9"/>
    <w:rsid w:val="00E97E82"/>
    <w:rsid w:val="00EA1F94"/>
    <w:rsid w:val="00EA2049"/>
    <w:rsid w:val="00EA3710"/>
    <w:rsid w:val="00EA3741"/>
    <w:rsid w:val="00EA3D69"/>
    <w:rsid w:val="00EA3EDC"/>
    <w:rsid w:val="00EA45FD"/>
    <w:rsid w:val="00EA4ADF"/>
    <w:rsid w:val="00EA5878"/>
    <w:rsid w:val="00EA69DF"/>
    <w:rsid w:val="00EB056B"/>
    <w:rsid w:val="00EB1E65"/>
    <w:rsid w:val="00EB29B2"/>
    <w:rsid w:val="00EB34FE"/>
    <w:rsid w:val="00EB3501"/>
    <w:rsid w:val="00EB4563"/>
    <w:rsid w:val="00EB58CA"/>
    <w:rsid w:val="00EB63C5"/>
    <w:rsid w:val="00EB6BB0"/>
    <w:rsid w:val="00EB72D8"/>
    <w:rsid w:val="00EB7459"/>
    <w:rsid w:val="00EC0021"/>
    <w:rsid w:val="00EC08E2"/>
    <w:rsid w:val="00EC0F30"/>
    <w:rsid w:val="00EC2149"/>
    <w:rsid w:val="00EC26BE"/>
    <w:rsid w:val="00EC32AC"/>
    <w:rsid w:val="00EC32CC"/>
    <w:rsid w:val="00EC3400"/>
    <w:rsid w:val="00EC361D"/>
    <w:rsid w:val="00EC36F1"/>
    <w:rsid w:val="00EC3C6B"/>
    <w:rsid w:val="00EC41B4"/>
    <w:rsid w:val="00EC423E"/>
    <w:rsid w:val="00EC53C8"/>
    <w:rsid w:val="00EC56A9"/>
    <w:rsid w:val="00EC5873"/>
    <w:rsid w:val="00EC7AB0"/>
    <w:rsid w:val="00ED1F48"/>
    <w:rsid w:val="00ED20D3"/>
    <w:rsid w:val="00ED3E2B"/>
    <w:rsid w:val="00ED4897"/>
    <w:rsid w:val="00ED5238"/>
    <w:rsid w:val="00EE049F"/>
    <w:rsid w:val="00EE159B"/>
    <w:rsid w:val="00EE25C5"/>
    <w:rsid w:val="00EE370B"/>
    <w:rsid w:val="00EE45E0"/>
    <w:rsid w:val="00EE51E2"/>
    <w:rsid w:val="00EE5365"/>
    <w:rsid w:val="00EE5520"/>
    <w:rsid w:val="00EE5691"/>
    <w:rsid w:val="00EE6244"/>
    <w:rsid w:val="00EE7427"/>
    <w:rsid w:val="00EF0997"/>
    <w:rsid w:val="00EF113D"/>
    <w:rsid w:val="00EF23B7"/>
    <w:rsid w:val="00EF2A14"/>
    <w:rsid w:val="00EF2DB0"/>
    <w:rsid w:val="00EF2F6E"/>
    <w:rsid w:val="00EF3B90"/>
    <w:rsid w:val="00EF49B8"/>
    <w:rsid w:val="00EF595E"/>
    <w:rsid w:val="00EF6A84"/>
    <w:rsid w:val="00F00934"/>
    <w:rsid w:val="00F00B61"/>
    <w:rsid w:val="00F01FFC"/>
    <w:rsid w:val="00F02EAA"/>
    <w:rsid w:val="00F056FA"/>
    <w:rsid w:val="00F06DC5"/>
    <w:rsid w:val="00F076A4"/>
    <w:rsid w:val="00F079BD"/>
    <w:rsid w:val="00F07A3F"/>
    <w:rsid w:val="00F10B50"/>
    <w:rsid w:val="00F1178A"/>
    <w:rsid w:val="00F121B9"/>
    <w:rsid w:val="00F144AA"/>
    <w:rsid w:val="00F15FDF"/>
    <w:rsid w:val="00F167F5"/>
    <w:rsid w:val="00F16F01"/>
    <w:rsid w:val="00F17D71"/>
    <w:rsid w:val="00F21A38"/>
    <w:rsid w:val="00F21B38"/>
    <w:rsid w:val="00F220A0"/>
    <w:rsid w:val="00F23C6C"/>
    <w:rsid w:val="00F2461A"/>
    <w:rsid w:val="00F2471E"/>
    <w:rsid w:val="00F263ED"/>
    <w:rsid w:val="00F269B0"/>
    <w:rsid w:val="00F30045"/>
    <w:rsid w:val="00F30FF9"/>
    <w:rsid w:val="00F316D2"/>
    <w:rsid w:val="00F3178D"/>
    <w:rsid w:val="00F31C4A"/>
    <w:rsid w:val="00F31CCB"/>
    <w:rsid w:val="00F3320C"/>
    <w:rsid w:val="00F3401F"/>
    <w:rsid w:val="00F35095"/>
    <w:rsid w:val="00F35723"/>
    <w:rsid w:val="00F36B4F"/>
    <w:rsid w:val="00F40542"/>
    <w:rsid w:val="00F40B68"/>
    <w:rsid w:val="00F40BFE"/>
    <w:rsid w:val="00F42099"/>
    <w:rsid w:val="00F425A8"/>
    <w:rsid w:val="00F44EC4"/>
    <w:rsid w:val="00F4627C"/>
    <w:rsid w:val="00F465A2"/>
    <w:rsid w:val="00F50DDB"/>
    <w:rsid w:val="00F511E3"/>
    <w:rsid w:val="00F520F8"/>
    <w:rsid w:val="00F5344C"/>
    <w:rsid w:val="00F5394F"/>
    <w:rsid w:val="00F53D3A"/>
    <w:rsid w:val="00F53FA5"/>
    <w:rsid w:val="00F545C7"/>
    <w:rsid w:val="00F54ACD"/>
    <w:rsid w:val="00F55E6E"/>
    <w:rsid w:val="00F56093"/>
    <w:rsid w:val="00F57486"/>
    <w:rsid w:val="00F5793B"/>
    <w:rsid w:val="00F579C7"/>
    <w:rsid w:val="00F60419"/>
    <w:rsid w:val="00F60EFE"/>
    <w:rsid w:val="00F6193D"/>
    <w:rsid w:val="00F61DA3"/>
    <w:rsid w:val="00F6237C"/>
    <w:rsid w:val="00F624F4"/>
    <w:rsid w:val="00F62792"/>
    <w:rsid w:val="00F62C2A"/>
    <w:rsid w:val="00F62F2D"/>
    <w:rsid w:val="00F6364E"/>
    <w:rsid w:val="00F63A22"/>
    <w:rsid w:val="00F63D59"/>
    <w:rsid w:val="00F64C04"/>
    <w:rsid w:val="00F664A9"/>
    <w:rsid w:val="00F66BB8"/>
    <w:rsid w:val="00F66EAF"/>
    <w:rsid w:val="00F674BE"/>
    <w:rsid w:val="00F677F9"/>
    <w:rsid w:val="00F7007F"/>
    <w:rsid w:val="00F70B85"/>
    <w:rsid w:val="00F742E1"/>
    <w:rsid w:val="00F745E6"/>
    <w:rsid w:val="00F75A0F"/>
    <w:rsid w:val="00F7677F"/>
    <w:rsid w:val="00F76B0C"/>
    <w:rsid w:val="00F76EEF"/>
    <w:rsid w:val="00F774BD"/>
    <w:rsid w:val="00F819CC"/>
    <w:rsid w:val="00F81A00"/>
    <w:rsid w:val="00F81ED2"/>
    <w:rsid w:val="00F82E88"/>
    <w:rsid w:val="00F83009"/>
    <w:rsid w:val="00F830F3"/>
    <w:rsid w:val="00F83561"/>
    <w:rsid w:val="00F83A17"/>
    <w:rsid w:val="00F84708"/>
    <w:rsid w:val="00F84E48"/>
    <w:rsid w:val="00F851B5"/>
    <w:rsid w:val="00F852AE"/>
    <w:rsid w:val="00F854BF"/>
    <w:rsid w:val="00F857A5"/>
    <w:rsid w:val="00F86094"/>
    <w:rsid w:val="00F86517"/>
    <w:rsid w:val="00F86742"/>
    <w:rsid w:val="00F8696E"/>
    <w:rsid w:val="00F86E37"/>
    <w:rsid w:val="00F875EC"/>
    <w:rsid w:val="00F87A77"/>
    <w:rsid w:val="00F9054B"/>
    <w:rsid w:val="00F91299"/>
    <w:rsid w:val="00F918BA"/>
    <w:rsid w:val="00F91E91"/>
    <w:rsid w:val="00F91EBB"/>
    <w:rsid w:val="00F9246D"/>
    <w:rsid w:val="00F93E29"/>
    <w:rsid w:val="00F94BBF"/>
    <w:rsid w:val="00F95864"/>
    <w:rsid w:val="00F966BC"/>
    <w:rsid w:val="00F97106"/>
    <w:rsid w:val="00F976F1"/>
    <w:rsid w:val="00FA00E6"/>
    <w:rsid w:val="00FA086C"/>
    <w:rsid w:val="00FA0DD8"/>
    <w:rsid w:val="00FA229A"/>
    <w:rsid w:val="00FA2A13"/>
    <w:rsid w:val="00FA357B"/>
    <w:rsid w:val="00FA36E4"/>
    <w:rsid w:val="00FA4484"/>
    <w:rsid w:val="00FA46F3"/>
    <w:rsid w:val="00FA4FD7"/>
    <w:rsid w:val="00FA6715"/>
    <w:rsid w:val="00FA6BE6"/>
    <w:rsid w:val="00FA725F"/>
    <w:rsid w:val="00FA7658"/>
    <w:rsid w:val="00FB0196"/>
    <w:rsid w:val="00FB1921"/>
    <w:rsid w:val="00FB1D79"/>
    <w:rsid w:val="00FB2631"/>
    <w:rsid w:val="00FB3816"/>
    <w:rsid w:val="00FB398F"/>
    <w:rsid w:val="00FB46DC"/>
    <w:rsid w:val="00FB4974"/>
    <w:rsid w:val="00FB4A54"/>
    <w:rsid w:val="00FB4A9D"/>
    <w:rsid w:val="00FB65B1"/>
    <w:rsid w:val="00FB76A4"/>
    <w:rsid w:val="00FB7BBC"/>
    <w:rsid w:val="00FC0709"/>
    <w:rsid w:val="00FC2213"/>
    <w:rsid w:val="00FC2AE8"/>
    <w:rsid w:val="00FC2FFC"/>
    <w:rsid w:val="00FC3467"/>
    <w:rsid w:val="00FC4190"/>
    <w:rsid w:val="00FC5086"/>
    <w:rsid w:val="00FC5CB1"/>
    <w:rsid w:val="00FC5D52"/>
    <w:rsid w:val="00FC7A05"/>
    <w:rsid w:val="00FD3239"/>
    <w:rsid w:val="00FD3B8C"/>
    <w:rsid w:val="00FD488A"/>
    <w:rsid w:val="00FD4D5E"/>
    <w:rsid w:val="00FD5161"/>
    <w:rsid w:val="00FD533C"/>
    <w:rsid w:val="00FD5792"/>
    <w:rsid w:val="00FD5CAE"/>
    <w:rsid w:val="00FD5F9A"/>
    <w:rsid w:val="00FD66C1"/>
    <w:rsid w:val="00FD6D98"/>
    <w:rsid w:val="00FD6F58"/>
    <w:rsid w:val="00FD7542"/>
    <w:rsid w:val="00FD7823"/>
    <w:rsid w:val="00FD792B"/>
    <w:rsid w:val="00FE0DA4"/>
    <w:rsid w:val="00FE1335"/>
    <w:rsid w:val="00FE1A94"/>
    <w:rsid w:val="00FE2096"/>
    <w:rsid w:val="00FE20B2"/>
    <w:rsid w:val="00FE2E3E"/>
    <w:rsid w:val="00FE3F76"/>
    <w:rsid w:val="00FE49E0"/>
    <w:rsid w:val="00FE5A6E"/>
    <w:rsid w:val="00FE67A1"/>
    <w:rsid w:val="00FE6AC8"/>
    <w:rsid w:val="00FE7C23"/>
    <w:rsid w:val="00FE7FB1"/>
    <w:rsid w:val="00FF0B1B"/>
    <w:rsid w:val="00FF2DD4"/>
    <w:rsid w:val="00FF3F5E"/>
    <w:rsid w:val="00FF4EC5"/>
    <w:rsid w:val="00FF6458"/>
    <w:rsid w:val="00FF65F4"/>
    <w:rsid w:val="00FF6991"/>
    <w:rsid w:val="00FF7007"/>
    <w:rsid w:val="00FF7AF2"/>
    <w:rsid w:val="011B6FD3"/>
    <w:rsid w:val="012E64FB"/>
    <w:rsid w:val="0147732C"/>
    <w:rsid w:val="01590B45"/>
    <w:rsid w:val="01671CA8"/>
    <w:rsid w:val="01672DAA"/>
    <w:rsid w:val="016E2B68"/>
    <w:rsid w:val="017B12D9"/>
    <w:rsid w:val="017F4E40"/>
    <w:rsid w:val="01834A3A"/>
    <w:rsid w:val="01872DDC"/>
    <w:rsid w:val="018763B9"/>
    <w:rsid w:val="019A4E13"/>
    <w:rsid w:val="01A46FB3"/>
    <w:rsid w:val="01A52EE8"/>
    <w:rsid w:val="01AC5EF5"/>
    <w:rsid w:val="01B1424E"/>
    <w:rsid w:val="01B60877"/>
    <w:rsid w:val="01CA4EBE"/>
    <w:rsid w:val="01DF79C5"/>
    <w:rsid w:val="01F63A71"/>
    <w:rsid w:val="01F849D0"/>
    <w:rsid w:val="02066548"/>
    <w:rsid w:val="020962A2"/>
    <w:rsid w:val="020F58C1"/>
    <w:rsid w:val="0214342F"/>
    <w:rsid w:val="02262761"/>
    <w:rsid w:val="022F7E57"/>
    <w:rsid w:val="0234743B"/>
    <w:rsid w:val="02463AC9"/>
    <w:rsid w:val="02552148"/>
    <w:rsid w:val="02931509"/>
    <w:rsid w:val="029C6087"/>
    <w:rsid w:val="02A728CC"/>
    <w:rsid w:val="02A92CDA"/>
    <w:rsid w:val="02D559F4"/>
    <w:rsid w:val="02EA2119"/>
    <w:rsid w:val="02F4274E"/>
    <w:rsid w:val="02FA7FC2"/>
    <w:rsid w:val="03021452"/>
    <w:rsid w:val="030A6DE3"/>
    <w:rsid w:val="030C1657"/>
    <w:rsid w:val="031706D6"/>
    <w:rsid w:val="032C250C"/>
    <w:rsid w:val="032D0DF0"/>
    <w:rsid w:val="034923FB"/>
    <w:rsid w:val="035D0640"/>
    <w:rsid w:val="035F27C1"/>
    <w:rsid w:val="036D482C"/>
    <w:rsid w:val="03721708"/>
    <w:rsid w:val="0373070B"/>
    <w:rsid w:val="0381141C"/>
    <w:rsid w:val="038B1127"/>
    <w:rsid w:val="03974999"/>
    <w:rsid w:val="039A39BB"/>
    <w:rsid w:val="039F7577"/>
    <w:rsid w:val="03BF380D"/>
    <w:rsid w:val="03C20688"/>
    <w:rsid w:val="03C765D8"/>
    <w:rsid w:val="03CD77D4"/>
    <w:rsid w:val="03F02207"/>
    <w:rsid w:val="03FB5FF3"/>
    <w:rsid w:val="04003365"/>
    <w:rsid w:val="040D7ED6"/>
    <w:rsid w:val="04134CD8"/>
    <w:rsid w:val="0418190D"/>
    <w:rsid w:val="042C7C54"/>
    <w:rsid w:val="0462418C"/>
    <w:rsid w:val="046261BC"/>
    <w:rsid w:val="0477050A"/>
    <w:rsid w:val="048462CD"/>
    <w:rsid w:val="049C2F45"/>
    <w:rsid w:val="04B04AA3"/>
    <w:rsid w:val="04B83F38"/>
    <w:rsid w:val="04BB7F09"/>
    <w:rsid w:val="04BF050D"/>
    <w:rsid w:val="04CC702A"/>
    <w:rsid w:val="04CD7B13"/>
    <w:rsid w:val="04CF069E"/>
    <w:rsid w:val="04DC25A0"/>
    <w:rsid w:val="04DE0ECA"/>
    <w:rsid w:val="04FC45E3"/>
    <w:rsid w:val="0509494C"/>
    <w:rsid w:val="0516010D"/>
    <w:rsid w:val="05177459"/>
    <w:rsid w:val="052342B3"/>
    <w:rsid w:val="05276C2F"/>
    <w:rsid w:val="05414558"/>
    <w:rsid w:val="054F504D"/>
    <w:rsid w:val="05503483"/>
    <w:rsid w:val="05521069"/>
    <w:rsid w:val="055711C6"/>
    <w:rsid w:val="055C6F71"/>
    <w:rsid w:val="056F6FB7"/>
    <w:rsid w:val="05850A72"/>
    <w:rsid w:val="05942E79"/>
    <w:rsid w:val="05953978"/>
    <w:rsid w:val="05971662"/>
    <w:rsid w:val="059B486F"/>
    <w:rsid w:val="05CA56A8"/>
    <w:rsid w:val="05D97C65"/>
    <w:rsid w:val="05E822DB"/>
    <w:rsid w:val="05F07047"/>
    <w:rsid w:val="06097DF7"/>
    <w:rsid w:val="060A2BA9"/>
    <w:rsid w:val="061662DE"/>
    <w:rsid w:val="062873A5"/>
    <w:rsid w:val="062B3291"/>
    <w:rsid w:val="062F2C7B"/>
    <w:rsid w:val="063E29C3"/>
    <w:rsid w:val="06420CAD"/>
    <w:rsid w:val="065827B0"/>
    <w:rsid w:val="065C16FE"/>
    <w:rsid w:val="06696185"/>
    <w:rsid w:val="067224C7"/>
    <w:rsid w:val="067D4584"/>
    <w:rsid w:val="067E12D9"/>
    <w:rsid w:val="069355BA"/>
    <w:rsid w:val="069D0B8F"/>
    <w:rsid w:val="069D1B20"/>
    <w:rsid w:val="06C42240"/>
    <w:rsid w:val="06C668AB"/>
    <w:rsid w:val="06C8770B"/>
    <w:rsid w:val="06CA3013"/>
    <w:rsid w:val="06CF1596"/>
    <w:rsid w:val="06E04389"/>
    <w:rsid w:val="06E05B00"/>
    <w:rsid w:val="06EB5B2A"/>
    <w:rsid w:val="06FF78CE"/>
    <w:rsid w:val="07085FBC"/>
    <w:rsid w:val="071708D3"/>
    <w:rsid w:val="07205C5C"/>
    <w:rsid w:val="072579C9"/>
    <w:rsid w:val="07277E4A"/>
    <w:rsid w:val="072B1D48"/>
    <w:rsid w:val="07344B49"/>
    <w:rsid w:val="074253F6"/>
    <w:rsid w:val="07465FD3"/>
    <w:rsid w:val="07586367"/>
    <w:rsid w:val="077257FF"/>
    <w:rsid w:val="0772795C"/>
    <w:rsid w:val="07863777"/>
    <w:rsid w:val="07876770"/>
    <w:rsid w:val="078D0172"/>
    <w:rsid w:val="07904E34"/>
    <w:rsid w:val="079C1518"/>
    <w:rsid w:val="07A13275"/>
    <w:rsid w:val="07A96F37"/>
    <w:rsid w:val="07B04097"/>
    <w:rsid w:val="07B3088E"/>
    <w:rsid w:val="07BA2DA3"/>
    <w:rsid w:val="07BD45DB"/>
    <w:rsid w:val="07C36B52"/>
    <w:rsid w:val="07C649C6"/>
    <w:rsid w:val="07C93B8C"/>
    <w:rsid w:val="07CF06AB"/>
    <w:rsid w:val="07D66EDC"/>
    <w:rsid w:val="07DE1408"/>
    <w:rsid w:val="07E8194B"/>
    <w:rsid w:val="07F6399B"/>
    <w:rsid w:val="07FA76F4"/>
    <w:rsid w:val="07FD7A1B"/>
    <w:rsid w:val="080C4F1F"/>
    <w:rsid w:val="08105BE3"/>
    <w:rsid w:val="0813618C"/>
    <w:rsid w:val="08315259"/>
    <w:rsid w:val="08351E03"/>
    <w:rsid w:val="08430FBC"/>
    <w:rsid w:val="0853260D"/>
    <w:rsid w:val="087D6D6B"/>
    <w:rsid w:val="08837704"/>
    <w:rsid w:val="08A56689"/>
    <w:rsid w:val="08DE6576"/>
    <w:rsid w:val="08DF50FE"/>
    <w:rsid w:val="08E6510B"/>
    <w:rsid w:val="08E9116E"/>
    <w:rsid w:val="08EC183B"/>
    <w:rsid w:val="08EC445E"/>
    <w:rsid w:val="0900012B"/>
    <w:rsid w:val="090902DA"/>
    <w:rsid w:val="0911079F"/>
    <w:rsid w:val="09201308"/>
    <w:rsid w:val="09465695"/>
    <w:rsid w:val="094C2C75"/>
    <w:rsid w:val="096C1ACC"/>
    <w:rsid w:val="09711F22"/>
    <w:rsid w:val="09854104"/>
    <w:rsid w:val="09871A33"/>
    <w:rsid w:val="098A6DFE"/>
    <w:rsid w:val="098F04BA"/>
    <w:rsid w:val="09B13A05"/>
    <w:rsid w:val="09B75CE1"/>
    <w:rsid w:val="0A0827FC"/>
    <w:rsid w:val="0A1459F7"/>
    <w:rsid w:val="0A155C9D"/>
    <w:rsid w:val="0A3A0A24"/>
    <w:rsid w:val="0A5F48EC"/>
    <w:rsid w:val="0A6A1DEE"/>
    <w:rsid w:val="0A727996"/>
    <w:rsid w:val="0A782437"/>
    <w:rsid w:val="0A7B16D8"/>
    <w:rsid w:val="0A8D3DC8"/>
    <w:rsid w:val="0A9503F3"/>
    <w:rsid w:val="0A9B5F06"/>
    <w:rsid w:val="0AA0156E"/>
    <w:rsid w:val="0AAC157E"/>
    <w:rsid w:val="0AB830BC"/>
    <w:rsid w:val="0AD14D89"/>
    <w:rsid w:val="0AE57674"/>
    <w:rsid w:val="0AED1B8C"/>
    <w:rsid w:val="0AED5949"/>
    <w:rsid w:val="0AF64FAF"/>
    <w:rsid w:val="0B18393A"/>
    <w:rsid w:val="0B1B503B"/>
    <w:rsid w:val="0B1D0F66"/>
    <w:rsid w:val="0B2011F7"/>
    <w:rsid w:val="0B210E47"/>
    <w:rsid w:val="0B243B52"/>
    <w:rsid w:val="0B263D7A"/>
    <w:rsid w:val="0B365C17"/>
    <w:rsid w:val="0B543AEE"/>
    <w:rsid w:val="0B566772"/>
    <w:rsid w:val="0B614723"/>
    <w:rsid w:val="0B625812"/>
    <w:rsid w:val="0B6B7F46"/>
    <w:rsid w:val="0B6E07C2"/>
    <w:rsid w:val="0B830C96"/>
    <w:rsid w:val="0B922B9A"/>
    <w:rsid w:val="0BB24658"/>
    <w:rsid w:val="0BB9102C"/>
    <w:rsid w:val="0BC76013"/>
    <w:rsid w:val="0BC92075"/>
    <w:rsid w:val="0BD464AB"/>
    <w:rsid w:val="0BD930A3"/>
    <w:rsid w:val="0BE26888"/>
    <w:rsid w:val="0BF54735"/>
    <w:rsid w:val="0C1D631C"/>
    <w:rsid w:val="0C3D190A"/>
    <w:rsid w:val="0C4464E3"/>
    <w:rsid w:val="0C533886"/>
    <w:rsid w:val="0C5D39CC"/>
    <w:rsid w:val="0C7127EA"/>
    <w:rsid w:val="0C9E738E"/>
    <w:rsid w:val="0CA5138C"/>
    <w:rsid w:val="0CAD3DAA"/>
    <w:rsid w:val="0CB61B68"/>
    <w:rsid w:val="0CB9425A"/>
    <w:rsid w:val="0CB95273"/>
    <w:rsid w:val="0CFD1319"/>
    <w:rsid w:val="0D0A50D7"/>
    <w:rsid w:val="0D132CB5"/>
    <w:rsid w:val="0D2E7DA5"/>
    <w:rsid w:val="0D31497B"/>
    <w:rsid w:val="0D371863"/>
    <w:rsid w:val="0D3757C0"/>
    <w:rsid w:val="0D486A6B"/>
    <w:rsid w:val="0D4B027E"/>
    <w:rsid w:val="0D5B2302"/>
    <w:rsid w:val="0D6640D8"/>
    <w:rsid w:val="0D6D7653"/>
    <w:rsid w:val="0D7670C1"/>
    <w:rsid w:val="0D7B08F9"/>
    <w:rsid w:val="0D900537"/>
    <w:rsid w:val="0DA16339"/>
    <w:rsid w:val="0DA37072"/>
    <w:rsid w:val="0DA374F2"/>
    <w:rsid w:val="0DA40EE0"/>
    <w:rsid w:val="0DB55E03"/>
    <w:rsid w:val="0DBB5490"/>
    <w:rsid w:val="0DC5322B"/>
    <w:rsid w:val="0DC62B6D"/>
    <w:rsid w:val="0DD17A55"/>
    <w:rsid w:val="0DDD4F48"/>
    <w:rsid w:val="0DE057AB"/>
    <w:rsid w:val="0DE209A4"/>
    <w:rsid w:val="0DE249E3"/>
    <w:rsid w:val="0DE44537"/>
    <w:rsid w:val="0DEE698B"/>
    <w:rsid w:val="0DFC0044"/>
    <w:rsid w:val="0E1624F5"/>
    <w:rsid w:val="0E170CD8"/>
    <w:rsid w:val="0E19013B"/>
    <w:rsid w:val="0E1F205C"/>
    <w:rsid w:val="0E244F65"/>
    <w:rsid w:val="0E330E0D"/>
    <w:rsid w:val="0E35278B"/>
    <w:rsid w:val="0E3916D5"/>
    <w:rsid w:val="0E3B140A"/>
    <w:rsid w:val="0E420A7F"/>
    <w:rsid w:val="0E445357"/>
    <w:rsid w:val="0E4B7568"/>
    <w:rsid w:val="0E4F3F97"/>
    <w:rsid w:val="0E6E24FB"/>
    <w:rsid w:val="0E7C1BD9"/>
    <w:rsid w:val="0E845274"/>
    <w:rsid w:val="0E8668C2"/>
    <w:rsid w:val="0E9C3575"/>
    <w:rsid w:val="0EA11B41"/>
    <w:rsid w:val="0EB1700F"/>
    <w:rsid w:val="0EC661C1"/>
    <w:rsid w:val="0ED478DF"/>
    <w:rsid w:val="0EE1014F"/>
    <w:rsid w:val="0EFA2384"/>
    <w:rsid w:val="0EFD38CA"/>
    <w:rsid w:val="0F022981"/>
    <w:rsid w:val="0F06269A"/>
    <w:rsid w:val="0F0C5B71"/>
    <w:rsid w:val="0F1100AC"/>
    <w:rsid w:val="0F1776FF"/>
    <w:rsid w:val="0F1822C7"/>
    <w:rsid w:val="0F182D2B"/>
    <w:rsid w:val="0F1C002F"/>
    <w:rsid w:val="0F1F345E"/>
    <w:rsid w:val="0F275595"/>
    <w:rsid w:val="0F290058"/>
    <w:rsid w:val="0F4E7E26"/>
    <w:rsid w:val="0F521568"/>
    <w:rsid w:val="0F5357D6"/>
    <w:rsid w:val="0F5D3EB5"/>
    <w:rsid w:val="0FC33AA7"/>
    <w:rsid w:val="0FC969CB"/>
    <w:rsid w:val="0FCA7FFD"/>
    <w:rsid w:val="0FCE4EF0"/>
    <w:rsid w:val="0FDD723B"/>
    <w:rsid w:val="0FE6129E"/>
    <w:rsid w:val="0FFA6258"/>
    <w:rsid w:val="0FFE712F"/>
    <w:rsid w:val="1017192B"/>
    <w:rsid w:val="101C1927"/>
    <w:rsid w:val="10254F0A"/>
    <w:rsid w:val="1028377B"/>
    <w:rsid w:val="104D15C5"/>
    <w:rsid w:val="10527E8D"/>
    <w:rsid w:val="106B714F"/>
    <w:rsid w:val="106E1E96"/>
    <w:rsid w:val="10796744"/>
    <w:rsid w:val="10927058"/>
    <w:rsid w:val="109424F8"/>
    <w:rsid w:val="10986EDB"/>
    <w:rsid w:val="10996EFB"/>
    <w:rsid w:val="10B927BA"/>
    <w:rsid w:val="10BA7102"/>
    <w:rsid w:val="10BD6EE3"/>
    <w:rsid w:val="10C80D17"/>
    <w:rsid w:val="10E02280"/>
    <w:rsid w:val="10EA00EE"/>
    <w:rsid w:val="10F30B42"/>
    <w:rsid w:val="10F314F9"/>
    <w:rsid w:val="10FB17C3"/>
    <w:rsid w:val="10FD2B6C"/>
    <w:rsid w:val="10FF4F9E"/>
    <w:rsid w:val="1100459B"/>
    <w:rsid w:val="11020688"/>
    <w:rsid w:val="110F1F63"/>
    <w:rsid w:val="1117225D"/>
    <w:rsid w:val="111B55C6"/>
    <w:rsid w:val="11213E0F"/>
    <w:rsid w:val="11242987"/>
    <w:rsid w:val="11251D65"/>
    <w:rsid w:val="114D4A34"/>
    <w:rsid w:val="11591233"/>
    <w:rsid w:val="11652F61"/>
    <w:rsid w:val="116738AB"/>
    <w:rsid w:val="11737B2B"/>
    <w:rsid w:val="11993128"/>
    <w:rsid w:val="119C0746"/>
    <w:rsid w:val="11A6405B"/>
    <w:rsid w:val="11BC44D7"/>
    <w:rsid w:val="11C8139B"/>
    <w:rsid w:val="11D36ED0"/>
    <w:rsid w:val="11E26781"/>
    <w:rsid w:val="11EF054C"/>
    <w:rsid w:val="11F01B56"/>
    <w:rsid w:val="11F77479"/>
    <w:rsid w:val="11F827D8"/>
    <w:rsid w:val="11FE12B4"/>
    <w:rsid w:val="121B48A8"/>
    <w:rsid w:val="122551AD"/>
    <w:rsid w:val="122B35BC"/>
    <w:rsid w:val="122C3A90"/>
    <w:rsid w:val="12415EAF"/>
    <w:rsid w:val="12485346"/>
    <w:rsid w:val="124B01BF"/>
    <w:rsid w:val="124C7CEF"/>
    <w:rsid w:val="125C51F3"/>
    <w:rsid w:val="12641571"/>
    <w:rsid w:val="126921E3"/>
    <w:rsid w:val="12823ED5"/>
    <w:rsid w:val="128D63C7"/>
    <w:rsid w:val="129A38CA"/>
    <w:rsid w:val="129A7243"/>
    <w:rsid w:val="12A95D36"/>
    <w:rsid w:val="12AA2753"/>
    <w:rsid w:val="12B233B9"/>
    <w:rsid w:val="12BC58AE"/>
    <w:rsid w:val="12BF2359"/>
    <w:rsid w:val="12C74B9A"/>
    <w:rsid w:val="12D4125A"/>
    <w:rsid w:val="12E82A71"/>
    <w:rsid w:val="12ED6CA1"/>
    <w:rsid w:val="12FB4A33"/>
    <w:rsid w:val="13031D24"/>
    <w:rsid w:val="13040CCD"/>
    <w:rsid w:val="130E353E"/>
    <w:rsid w:val="132A068A"/>
    <w:rsid w:val="132A2A6A"/>
    <w:rsid w:val="132A3ECA"/>
    <w:rsid w:val="13311C66"/>
    <w:rsid w:val="13334641"/>
    <w:rsid w:val="133C6316"/>
    <w:rsid w:val="134D34FE"/>
    <w:rsid w:val="135708DC"/>
    <w:rsid w:val="136A3EFB"/>
    <w:rsid w:val="137523E3"/>
    <w:rsid w:val="137712A2"/>
    <w:rsid w:val="1383199B"/>
    <w:rsid w:val="13895CD9"/>
    <w:rsid w:val="1398533E"/>
    <w:rsid w:val="139E2F62"/>
    <w:rsid w:val="13AA0904"/>
    <w:rsid w:val="13B314C5"/>
    <w:rsid w:val="13BC3FAA"/>
    <w:rsid w:val="13BD2E2D"/>
    <w:rsid w:val="13CC00C2"/>
    <w:rsid w:val="13D36087"/>
    <w:rsid w:val="13E5722F"/>
    <w:rsid w:val="14023979"/>
    <w:rsid w:val="140B7434"/>
    <w:rsid w:val="140F1CE3"/>
    <w:rsid w:val="141701F7"/>
    <w:rsid w:val="1418060C"/>
    <w:rsid w:val="14223492"/>
    <w:rsid w:val="143702C0"/>
    <w:rsid w:val="1446185C"/>
    <w:rsid w:val="146606C4"/>
    <w:rsid w:val="14687220"/>
    <w:rsid w:val="146E2E08"/>
    <w:rsid w:val="14796740"/>
    <w:rsid w:val="14820F33"/>
    <w:rsid w:val="14A91E91"/>
    <w:rsid w:val="14BA1AC5"/>
    <w:rsid w:val="14CE5959"/>
    <w:rsid w:val="14D30DDE"/>
    <w:rsid w:val="14DE79DC"/>
    <w:rsid w:val="14F6437D"/>
    <w:rsid w:val="14F855D2"/>
    <w:rsid w:val="14FB5B2B"/>
    <w:rsid w:val="15084109"/>
    <w:rsid w:val="150A597E"/>
    <w:rsid w:val="150D43F1"/>
    <w:rsid w:val="150E1948"/>
    <w:rsid w:val="151179BD"/>
    <w:rsid w:val="15145780"/>
    <w:rsid w:val="151B6F39"/>
    <w:rsid w:val="151D3373"/>
    <w:rsid w:val="15442880"/>
    <w:rsid w:val="154A05DF"/>
    <w:rsid w:val="154A52DF"/>
    <w:rsid w:val="154C351C"/>
    <w:rsid w:val="156A0DA8"/>
    <w:rsid w:val="156D2850"/>
    <w:rsid w:val="15742121"/>
    <w:rsid w:val="15757AC2"/>
    <w:rsid w:val="15946A7D"/>
    <w:rsid w:val="15957C6A"/>
    <w:rsid w:val="159B28A1"/>
    <w:rsid w:val="15A57B95"/>
    <w:rsid w:val="15A615D2"/>
    <w:rsid w:val="15B91239"/>
    <w:rsid w:val="15BA2BAB"/>
    <w:rsid w:val="15C056BE"/>
    <w:rsid w:val="15C53FA3"/>
    <w:rsid w:val="15C86B8C"/>
    <w:rsid w:val="15D810F3"/>
    <w:rsid w:val="15F14745"/>
    <w:rsid w:val="16057878"/>
    <w:rsid w:val="1618211B"/>
    <w:rsid w:val="16256A50"/>
    <w:rsid w:val="16270DE0"/>
    <w:rsid w:val="16275BF3"/>
    <w:rsid w:val="16297988"/>
    <w:rsid w:val="162A486A"/>
    <w:rsid w:val="162B0176"/>
    <w:rsid w:val="16362A71"/>
    <w:rsid w:val="16387EB4"/>
    <w:rsid w:val="164A0DC5"/>
    <w:rsid w:val="16734728"/>
    <w:rsid w:val="1681279A"/>
    <w:rsid w:val="1690790F"/>
    <w:rsid w:val="16914DE1"/>
    <w:rsid w:val="16920A52"/>
    <w:rsid w:val="169C2962"/>
    <w:rsid w:val="16C65078"/>
    <w:rsid w:val="16CF3FD6"/>
    <w:rsid w:val="16D64411"/>
    <w:rsid w:val="16E54997"/>
    <w:rsid w:val="16E6338C"/>
    <w:rsid w:val="16ED23AA"/>
    <w:rsid w:val="16FB5493"/>
    <w:rsid w:val="17116EB8"/>
    <w:rsid w:val="171B011F"/>
    <w:rsid w:val="173E3858"/>
    <w:rsid w:val="17416522"/>
    <w:rsid w:val="1746768F"/>
    <w:rsid w:val="17474675"/>
    <w:rsid w:val="17495AF9"/>
    <w:rsid w:val="174E114A"/>
    <w:rsid w:val="17592D5E"/>
    <w:rsid w:val="175E6D20"/>
    <w:rsid w:val="1769398C"/>
    <w:rsid w:val="17731C02"/>
    <w:rsid w:val="17803264"/>
    <w:rsid w:val="178C76A0"/>
    <w:rsid w:val="17932374"/>
    <w:rsid w:val="17951D05"/>
    <w:rsid w:val="1796151F"/>
    <w:rsid w:val="17B378A8"/>
    <w:rsid w:val="17B77548"/>
    <w:rsid w:val="17C17CB6"/>
    <w:rsid w:val="17C230F7"/>
    <w:rsid w:val="17C666DE"/>
    <w:rsid w:val="17C739EE"/>
    <w:rsid w:val="17F23AFC"/>
    <w:rsid w:val="17F4133B"/>
    <w:rsid w:val="17FD5BB9"/>
    <w:rsid w:val="18030F21"/>
    <w:rsid w:val="180467B9"/>
    <w:rsid w:val="181032B0"/>
    <w:rsid w:val="18424A70"/>
    <w:rsid w:val="18476935"/>
    <w:rsid w:val="187463EE"/>
    <w:rsid w:val="187B4459"/>
    <w:rsid w:val="18833FBD"/>
    <w:rsid w:val="188E7A23"/>
    <w:rsid w:val="18901EFA"/>
    <w:rsid w:val="18953855"/>
    <w:rsid w:val="189D17C3"/>
    <w:rsid w:val="18AB1546"/>
    <w:rsid w:val="18B960C5"/>
    <w:rsid w:val="18C96292"/>
    <w:rsid w:val="18DC3404"/>
    <w:rsid w:val="19053D1A"/>
    <w:rsid w:val="190A3F54"/>
    <w:rsid w:val="19146D13"/>
    <w:rsid w:val="191D5E51"/>
    <w:rsid w:val="19272E4D"/>
    <w:rsid w:val="193073E8"/>
    <w:rsid w:val="19334CF0"/>
    <w:rsid w:val="1936266E"/>
    <w:rsid w:val="19381F53"/>
    <w:rsid w:val="193A117F"/>
    <w:rsid w:val="19441402"/>
    <w:rsid w:val="194E6F19"/>
    <w:rsid w:val="19526E81"/>
    <w:rsid w:val="195B0E71"/>
    <w:rsid w:val="1962631D"/>
    <w:rsid w:val="196E7E20"/>
    <w:rsid w:val="198E6A7E"/>
    <w:rsid w:val="199B0BE5"/>
    <w:rsid w:val="199B3F6F"/>
    <w:rsid w:val="19AE23D9"/>
    <w:rsid w:val="19B031C6"/>
    <w:rsid w:val="19B4463D"/>
    <w:rsid w:val="19BC4DC1"/>
    <w:rsid w:val="19BD347E"/>
    <w:rsid w:val="19D008F2"/>
    <w:rsid w:val="19EE5456"/>
    <w:rsid w:val="19EF6EA2"/>
    <w:rsid w:val="19F3012C"/>
    <w:rsid w:val="19F70C7C"/>
    <w:rsid w:val="19FA5A3A"/>
    <w:rsid w:val="1A0B7F33"/>
    <w:rsid w:val="1A233B15"/>
    <w:rsid w:val="1A4043EA"/>
    <w:rsid w:val="1A433EA8"/>
    <w:rsid w:val="1A5405A5"/>
    <w:rsid w:val="1A592AE7"/>
    <w:rsid w:val="1A624E6A"/>
    <w:rsid w:val="1A693DC5"/>
    <w:rsid w:val="1A7A0636"/>
    <w:rsid w:val="1A7A6C02"/>
    <w:rsid w:val="1A7E62ED"/>
    <w:rsid w:val="1A7F0DBF"/>
    <w:rsid w:val="1AAA12D4"/>
    <w:rsid w:val="1AB431A9"/>
    <w:rsid w:val="1ABF5EE0"/>
    <w:rsid w:val="1ACA4C46"/>
    <w:rsid w:val="1ADC0613"/>
    <w:rsid w:val="1ADD68C6"/>
    <w:rsid w:val="1ADF1CAE"/>
    <w:rsid w:val="1AF95D24"/>
    <w:rsid w:val="1B17700C"/>
    <w:rsid w:val="1B206BC7"/>
    <w:rsid w:val="1B284F4D"/>
    <w:rsid w:val="1B621144"/>
    <w:rsid w:val="1B65343D"/>
    <w:rsid w:val="1B6E4167"/>
    <w:rsid w:val="1BCC5526"/>
    <w:rsid w:val="1BF62A66"/>
    <w:rsid w:val="1BF80E24"/>
    <w:rsid w:val="1C24577B"/>
    <w:rsid w:val="1C3658F1"/>
    <w:rsid w:val="1C3A5946"/>
    <w:rsid w:val="1C511249"/>
    <w:rsid w:val="1C5A69EE"/>
    <w:rsid w:val="1C5C37EF"/>
    <w:rsid w:val="1C5D0762"/>
    <w:rsid w:val="1C6E7C9D"/>
    <w:rsid w:val="1C6F5B9B"/>
    <w:rsid w:val="1C8315A9"/>
    <w:rsid w:val="1C873A93"/>
    <w:rsid w:val="1C89676A"/>
    <w:rsid w:val="1CA94516"/>
    <w:rsid w:val="1CB90DA2"/>
    <w:rsid w:val="1CC64433"/>
    <w:rsid w:val="1CE14B9F"/>
    <w:rsid w:val="1CE24C77"/>
    <w:rsid w:val="1CEA2B42"/>
    <w:rsid w:val="1CF30E12"/>
    <w:rsid w:val="1CFE6C7B"/>
    <w:rsid w:val="1D015145"/>
    <w:rsid w:val="1D020E1E"/>
    <w:rsid w:val="1D166E1E"/>
    <w:rsid w:val="1D3F6AD0"/>
    <w:rsid w:val="1D5133DD"/>
    <w:rsid w:val="1D5C7F4F"/>
    <w:rsid w:val="1D646C4B"/>
    <w:rsid w:val="1D935C87"/>
    <w:rsid w:val="1D9E3F2D"/>
    <w:rsid w:val="1DAB543B"/>
    <w:rsid w:val="1DB72951"/>
    <w:rsid w:val="1DDB724A"/>
    <w:rsid w:val="1DEA052A"/>
    <w:rsid w:val="1DF475D2"/>
    <w:rsid w:val="1DF75813"/>
    <w:rsid w:val="1E02528D"/>
    <w:rsid w:val="1E08017E"/>
    <w:rsid w:val="1E0F3A68"/>
    <w:rsid w:val="1E154948"/>
    <w:rsid w:val="1E1B092C"/>
    <w:rsid w:val="1E2D0F29"/>
    <w:rsid w:val="1E3740C0"/>
    <w:rsid w:val="1E3D61DD"/>
    <w:rsid w:val="1E586BE3"/>
    <w:rsid w:val="1E674316"/>
    <w:rsid w:val="1E7D50C7"/>
    <w:rsid w:val="1E982F7E"/>
    <w:rsid w:val="1E9C2B54"/>
    <w:rsid w:val="1EA015AD"/>
    <w:rsid w:val="1EA77564"/>
    <w:rsid w:val="1EBE5836"/>
    <w:rsid w:val="1ED90BD1"/>
    <w:rsid w:val="1EDA2C40"/>
    <w:rsid w:val="1EE366B8"/>
    <w:rsid w:val="1EEA4A7A"/>
    <w:rsid w:val="1EFD4F06"/>
    <w:rsid w:val="1F0361C0"/>
    <w:rsid w:val="1F0F3CF6"/>
    <w:rsid w:val="1F10356E"/>
    <w:rsid w:val="1F1A45F0"/>
    <w:rsid w:val="1F383D70"/>
    <w:rsid w:val="1F3906F8"/>
    <w:rsid w:val="1F3A51B6"/>
    <w:rsid w:val="1F475982"/>
    <w:rsid w:val="1F5F426E"/>
    <w:rsid w:val="1F672F4B"/>
    <w:rsid w:val="1F7F3D1D"/>
    <w:rsid w:val="1F816C47"/>
    <w:rsid w:val="1F8238C3"/>
    <w:rsid w:val="1F832258"/>
    <w:rsid w:val="1F835736"/>
    <w:rsid w:val="1F844E88"/>
    <w:rsid w:val="1FA86C02"/>
    <w:rsid w:val="1FAA365C"/>
    <w:rsid w:val="1FB05073"/>
    <w:rsid w:val="1FB218DD"/>
    <w:rsid w:val="1FB83DC7"/>
    <w:rsid w:val="1FBA5BF1"/>
    <w:rsid w:val="1FD607A8"/>
    <w:rsid w:val="1FDF3C95"/>
    <w:rsid w:val="1FEF33BD"/>
    <w:rsid w:val="1FFC3B8E"/>
    <w:rsid w:val="200417F4"/>
    <w:rsid w:val="20365A55"/>
    <w:rsid w:val="20381156"/>
    <w:rsid w:val="20453231"/>
    <w:rsid w:val="2049360A"/>
    <w:rsid w:val="204C130F"/>
    <w:rsid w:val="20552293"/>
    <w:rsid w:val="205A78E8"/>
    <w:rsid w:val="20635A0D"/>
    <w:rsid w:val="2066796F"/>
    <w:rsid w:val="208316E9"/>
    <w:rsid w:val="208662EE"/>
    <w:rsid w:val="208C18C5"/>
    <w:rsid w:val="20A31BFC"/>
    <w:rsid w:val="20AE5288"/>
    <w:rsid w:val="20B14C3A"/>
    <w:rsid w:val="20CE7964"/>
    <w:rsid w:val="20D6667B"/>
    <w:rsid w:val="20D74530"/>
    <w:rsid w:val="20D970DC"/>
    <w:rsid w:val="20EF200C"/>
    <w:rsid w:val="20F42B11"/>
    <w:rsid w:val="20FF11DE"/>
    <w:rsid w:val="2106214A"/>
    <w:rsid w:val="21186698"/>
    <w:rsid w:val="21282374"/>
    <w:rsid w:val="212D0FFA"/>
    <w:rsid w:val="21442C37"/>
    <w:rsid w:val="21565A95"/>
    <w:rsid w:val="216C529C"/>
    <w:rsid w:val="21AA6FF0"/>
    <w:rsid w:val="21BC160F"/>
    <w:rsid w:val="21D82466"/>
    <w:rsid w:val="21E55AC7"/>
    <w:rsid w:val="21FD4D1E"/>
    <w:rsid w:val="220F40A1"/>
    <w:rsid w:val="221805D6"/>
    <w:rsid w:val="221C0BAB"/>
    <w:rsid w:val="221E05F2"/>
    <w:rsid w:val="22260CF5"/>
    <w:rsid w:val="224050F3"/>
    <w:rsid w:val="22425B95"/>
    <w:rsid w:val="22471DFF"/>
    <w:rsid w:val="224F766F"/>
    <w:rsid w:val="225A14EF"/>
    <w:rsid w:val="225A4C0D"/>
    <w:rsid w:val="225D0875"/>
    <w:rsid w:val="22647411"/>
    <w:rsid w:val="22745133"/>
    <w:rsid w:val="22761C7A"/>
    <w:rsid w:val="22796FD6"/>
    <w:rsid w:val="22797861"/>
    <w:rsid w:val="22CA4365"/>
    <w:rsid w:val="22CF647F"/>
    <w:rsid w:val="22DD7D92"/>
    <w:rsid w:val="22DE3EB2"/>
    <w:rsid w:val="23090EE2"/>
    <w:rsid w:val="23153E4C"/>
    <w:rsid w:val="232257B9"/>
    <w:rsid w:val="23343ED7"/>
    <w:rsid w:val="233529C3"/>
    <w:rsid w:val="233D3005"/>
    <w:rsid w:val="234B7623"/>
    <w:rsid w:val="234F4B7F"/>
    <w:rsid w:val="235F2C95"/>
    <w:rsid w:val="23675BF3"/>
    <w:rsid w:val="23725688"/>
    <w:rsid w:val="2379065B"/>
    <w:rsid w:val="237C049B"/>
    <w:rsid w:val="23A63555"/>
    <w:rsid w:val="23AD1474"/>
    <w:rsid w:val="23AE1B81"/>
    <w:rsid w:val="23C81BF7"/>
    <w:rsid w:val="23D61F2A"/>
    <w:rsid w:val="23DD39DE"/>
    <w:rsid w:val="23FB5336"/>
    <w:rsid w:val="24096C60"/>
    <w:rsid w:val="24333C05"/>
    <w:rsid w:val="243A739B"/>
    <w:rsid w:val="244C7A1D"/>
    <w:rsid w:val="24551516"/>
    <w:rsid w:val="2458638A"/>
    <w:rsid w:val="24652CEA"/>
    <w:rsid w:val="246815CE"/>
    <w:rsid w:val="246B5210"/>
    <w:rsid w:val="2475380E"/>
    <w:rsid w:val="24754889"/>
    <w:rsid w:val="247B0E5B"/>
    <w:rsid w:val="248939E6"/>
    <w:rsid w:val="249C1BAA"/>
    <w:rsid w:val="24BD3AC2"/>
    <w:rsid w:val="24CA2EB4"/>
    <w:rsid w:val="24D11FDC"/>
    <w:rsid w:val="24DA3456"/>
    <w:rsid w:val="24E8641D"/>
    <w:rsid w:val="25024F17"/>
    <w:rsid w:val="250C0D69"/>
    <w:rsid w:val="25135993"/>
    <w:rsid w:val="25167DE7"/>
    <w:rsid w:val="254215B0"/>
    <w:rsid w:val="256612DC"/>
    <w:rsid w:val="256E557F"/>
    <w:rsid w:val="256F2531"/>
    <w:rsid w:val="25706B37"/>
    <w:rsid w:val="258B55EA"/>
    <w:rsid w:val="259E5888"/>
    <w:rsid w:val="25BA7AEC"/>
    <w:rsid w:val="25C42A83"/>
    <w:rsid w:val="25C523D9"/>
    <w:rsid w:val="25D65897"/>
    <w:rsid w:val="25DD0FD4"/>
    <w:rsid w:val="25DD76CE"/>
    <w:rsid w:val="260470EF"/>
    <w:rsid w:val="26177652"/>
    <w:rsid w:val="261C7140"/>
    <w:rsid w:val="262329CC"/>
    <w:rsid w:val="26244B81"/>
    <w:rsid w:val="262E4FE4"/>
    <w:rsid w:val="264D4B85"/>
    <w:rsid w:val="26562C62"/>
    <w:rsid w:val="265C7F38"/>
    <w:rsid w:val="266A2057"/>
    <w:rsid w:val="26752CAD"/>
    <w:rsid w:val="26767B2B"/>
    <w:rsid w:val="267C2764"/>
    <w:rsid w:val="268D761D"/>
    <w:rsid w:val="26945F42"/>
    <w:rsid w:val="26AD49AB"/>
    <w:rsid w:val="26B353F8"/>
    <w:rsid w:val="26C30EC1"/>
    <w:rsid w:val="26CB2252"/>
    <w:rsid w:val="26E0166E"/>
    <w:rsid w:val="2702467F"/>
    <w:rsid w:val="27067BF3"/>
    <w:rsid w:val="271209E7"/>
    <w:rsid w:val="27190011"/>
    <w:rsid w:val="271B0BB1"/>
    <w:rsid w:val="271B6929"/>
    <w:rsid w:val="27217478"/>
    <w:rsid w:val="272E4D2A"/>
    <w:rsid w:val="273E1747"/>
    <w:rsid w:val="274862DD"/>
    <w:rsid w:val="27543178"/>
    <w:rsid w:val="2755385A"/>
    <w:rsid w:val="275C0CC8"/>
    <w:rsid w:val="27611858"/>
    <w:rsid w:val="2764616A"/>
    <w:rsid w:val="276B7424"/>
    <w:rsid w:val="276F51BA"/>
    <w:rsid w:val="278265A6"/>
    <w:rsid w:val="278307AB"/>
    <w:rsid w:val="27895D86"/>
    <w:rsid w:val="27917E59"/>
    <w:rsid w:val="27A40282"/>
    <w:rsid w:val="27CB6AE5"/>
    <w:rsid w:val="27D41A7C"/>
    <w:rsid w:val="27E40DBE"/>
    <w:rsid w:val="27EA06FF"/>
    <w:rsid w:val="27F32A30"/>
    <w:rsid w:val="27F52863"/>
    <w:rsid w:val="28207DBB"/>
    <w:rsid w:val="28235557"/>
    <w:rsid w:val="28323352"/>
    <w:rsid w:val="28340FF8"/>
    <w:rsid w:val="2838686F"/>
    <w:rsid w:val="283A5FE6"/>
    <w:rsid w:val="285642A0"/>
    <w:rsid w:val="28787AAB"/>
    <w:rsid w:val="287917B5"/>
    <w:rsid w:val="28836E12"/>
    <w:rsid w:val="28936EB6"/>
    <w:rsid w:val="28983DAF"/>
    <w:rsid w:val="28B41675"/>
    <w:rsid w:val="28BB7737"/>
    <w:rsid w:val="28C55283"/>
    <w:rsid w:val="28CA19B0"/>
    <w:rsid w:val="28D03157"/>
    <w:rsid w:val="29017DDE"/>
    <w:rsid w:val="29082BE0"/>
    <w:rsid w:val="29137D58"/>
    <w:rsid w:val="292203B5"/>
    <w:rsid w:val="292D2692"/>
    <w:rsid w:val="292E51DB"/>
    <w:rsid w:val="292F0359"/>
    <w:rsid w:val="293A4CB6"/>
    <w:rsid w:val="294135A1"/>
    <w:rsid w:val="294D08F9"/>
    <w:rsid w:val="294E11C6"/>
    <w:rsid w:val="29513566"/>
    <w:rsid w:val="295468A3"/>
    <w:rsid w:val="29590DD5"/>
    <w:rsid w:val="29687FCD"/>
    <w:rsid w:val="29806530"/>
    <w:rsid w:val="29814AB0"/>
    <w:rsid w:val="29921691"/>
    <w:rsid w:val="29A8172D"/>
    <w:rsid w:val="29AD73A1"/>
    <w:rsid w:val="29B011B3"/>
    <w:rsid w:val="29B25D0E"/>
    <w:rsid w:val="29B63D12"/>
    <w:rsid w:val="29DC2D74"/>
    <w:rsid w:val="29EE1FBE"/>
    <w:rsid w:val="29F251A2"/>
    <w:rsid w:val="29FE0F38"/>
    <w:rsid w:val="2A06757C"/>
    <w:rsid w:val="2A0D28C6"/>
    <w:rsid w:val="2A1E0314"/>
    <w:rsid w:val="2A20770F"/>
    <w:rsid w:val="2A2811AC"/>
    <w:rsid w:val="2A312809"/>
    <w:rsid w:val="2A362D83"/>
    <w:rsid w:val="2A3A46E6"/>
    <w:rsid w:val="2A3B6403"/>
    <w:rsid w:val="2A440685"/>
    <w:rsid w:val="2A545DA8"/>
    <w:rsid w:val="2A557A3E"/>
    <w:rsid w:val="2A5B4575"/>
    <w:rsid w:val="2A5C7369"/>
    <w:rsid w:val="2A6B5A87"/>
    <w:rsid w:val="2A6C4AFE"/>
    <w:rsid w:val="2A6E1829"/>
    <w:rsid w:val="2A8B04FF"/>
    <w:rsid w:val="2A92059E"/>
    <w:rsid w:val="2A945DDC"/>
    <w:rsid w:val="2AAE24F0"/>
    <w:rsid w:val="2AC57E82"/>
    <w:rsid w:val="2AC7385F"/>
    <w:rsid w:val="2AD15DAA"/>
    <w:rsid w:val="2AD67B4A"/>
    <w:rsid w:val="2AE14E01"/>
    <w:rsid w:val="2AEA45DE"/>
    <w:rsid w:val="2B014A21"/>
    <w:rsid w:val="2B03632D"/>
    <w:rsid w:val="2B105437"/>
    <w:rsid w:val="2B115B65"/>
    <w:rsid w:val="2B236E38"/>
    <w:rsid w:val="2B290921"/>
    <w:rsid w:val="2B317F66"/>
    <w:rsid w:val="2B4155DC"/>
    <w:rsid w:val="2B510B16"/>
    <w:rsid w:val="2B744426"/>
    <w:rsid w:val="2B8B2F2D"/>
    <w:rsid w:val="2B8D7246"/>
    <w:rsid w:val="2B970DA4"/>
    <w:rsid w:val="2BA3180C"/>
    <w:rsid w:val="2BA33DCB"/>
    <w:rsid w:val="2BA360CD"/>
    <w:rsid w:val="2BB043D9"/>
    <w:rsid w:val="2BB32730"/>
    <w:rsid w:val="2BB5785C"/>
    <w:rsid w:val="2BCA7982"/>
    <w:rsid w:val="2BD810D9"/>
    <w:rsid w:val="2BFC0E39"/>
    <w:rsid w:val="2C03163E"/>
    <w:rsid w:val="2C0C48B9"/>
    <w:rsid w:val="2C0C57E6"/>
    <w:rsid w:val="2C13111D"/>
    <w:rsid w:val="2C19688B"/>
    <w:rsid w:val="2C1E334A"/>
    <w:rsid w:val="2C2C6AE7"/>
    <w:rsid w:val="2C464AD4"/>
    <w:rsid w:val="2C4E7214"/>
    <w:rsid w:val="2C54327C"/>
    <w:rsid w:val="2C6A374D"/>
    <w:rsid w:val="2C6F79E8"/>
    <w:rsid w:val="2C7858F7"/>
    <w:rsid w:val="2C7E738E"/>
    <w:rsid w:val="2C850C7D"/>
    <w:rsid w:val="2C8936B5"/>
    <w:rsid w:val="2C8B4A53"/>
    <w:rsid w:val="2C941326"/>
    <w:rsid w:val="2C941359"/>
    <w:rsid w:val="2C9B210F"/>
    <w:rsid w:val="2CB40928"/>
    <w:rsid w:val="2CC54BB0"/>
    <w:rsid w:val="2CEE6C10"/>
    <w:rsid w:val="2D07068D"/>
    <w:rsid w:val="2D1973F5"/>
    <w:rsid w:val="2D1F6AD0"/>
    <w:rsid w:val="2D254C1E"/>
    <w:rsid w:val="2D2C2A2A"/>
    <w:rsid w:val="2D2C7CD0"/>
    <w:rsid w:val="2D3B0BD4"/>
    <w:rsid w:val="2D3C1023"/>
    <w:rsid w:val="2D440206"/>
    <w:rsid w:val="2D4F3D8C"/>
    <w:rsid w:val="2D5E72CF"/>
    <w:rsid w:val="2D636D2E"/>
    <w:rsid w:val="2D692504"/>
    <w:rsid w:val="2D6F3A51"/>
    <w:rsid w:val="2D732085"/>
    <w:rsid w:val="2D833C34"/>
    <w:rsid w:val="2D86188B"/>
    <w:rsid w:val="2D9B1161"/>
    <w:rsid w:val="2DA157DE"/>
    <w:rsid w:val="2DAE6225"/>
    <w:rsid w:val="2DB37AC7"/>
    <w:rsid w:val="2DBC2F22"/>
    <w:rsid w:val="2DBE167C"/>
    <w:rsid w:val="2DBE355E"/>
    <w:rsid w:val="2DC2764D"/>
    <w:rsid w:val="2DD970A6"/>
    <w:rsid w:val="2DDC28D0"/>
    <w:rsid w:val="2DDF09CF"/>
    <w:rsid w:val="2DE4370A"/>
    <w:rsid w:val="2DFC4EF3"/>
    <w:rsid w:val="2E0C2DBC"/>
    <w:rsid w:val="2E192369"/>
    <w:rsid w:val="2E2D753E"/>
    <w:rsid w:val="2E4140E3"/>
    <w:rsid w:val="2E423AAB"/>
    <w:rsid w:val="2E4A3F02"/>
    <w:rsid w:val="2E543A56"/>
    <w:rsid w:val="2E59657A"/>
    <w:rsid w:val="2E5B1C2C"/>
    <w:rsid w:val="2E5C26BA"/>
    <w:rsid w:val="2E6C1F06"/>
    <w:rsid w:val="2E803A5A"/>
    <w:rsid w:val="2E814B90"/>
    <w:rsid w:val="2E947660"/>
    <w:rsid w:val="2E9940C9"/>
    <w:rsid w:val="2E9A6589"/>
    <w:rsid w:val="2EA24A18"/>
    <w:rsid w:val="2EB563DD"/>
    <w:rsid w:val="2ECF61F8"/>
    <w:rsid w:val="2EDB0E07"/>
    <w:rsid w:val="2EE174B4"/>
    <w:rsid w:val="2EE90A9F"/>
    <w:rsid w:val="2EE92F2A"/>
    <w:rsid w:val="2EFC711F"/>
    <w:rsid w:val="2EFF5251"/>
    <w:rsid w:val="2F0571A7"/>
    <w:rsid w:val="2F0D6CBD"/>
    <w:rsid w:val="2F0F7630"/>
    <w:rsid w:val="2F116868"/>
    <w:rsid w:val="2F292358"/>
    <w:rsid w:val="2F4A240F"/>
    <w:rsid w:val="2F5D761E"/>
    <w:rsid w:val="2F5E5870"/>
    <w:rsid w:val="2F605D7B"/>
    <w:rsid w:val="2F69219C"/>
    <w:rsid w:val="2F817E02"/>
    <w:rsid w:val="2F8311B5"/>
    <w:rsid w:val="2F8B7B7D"/>
    <w:rsid w:val="2F9325C4"/>
    <w:rsid w:val="2F95462F"/>
    <w:rsid w:val="2FA0765E"/>
    <w:rsid w:val="2FC204AD"/>
    <w:rsid w:val="2FC412AE"/>
    <w:rsid w:val="2FCB662E"/>
    <w:rsid w:val="2FCC0A7F"/>
    <w:rsid w:val="2FD304AD"/>
    <w:rsid w:val="2FDD4663"/>
    <w:rsid w:val="2FE01D27"/>
    <w:rsid w:val="2FEB598A"/>
    <w:rsid w:val="2FFB4501"/>
    <w:rsid w:val="2FFF6596"/>
    <w:rsid w:val="30072C06"/>
    <w:rsid w:val="300C58E5"/>
    <w:rsid w:val="30162DFA"/>
    <w:rsid w:val="3017785F"/>
    <w:rsid w:val="301B7420"/>
    <w:rsid w:val="30206693"/>
    <w:rsid w:val="30292A4C"/>
    <w:rsid w:val="302F4AFE"/>
    <w:rsid w:val="30325495"/>
    <w:rsid w:val="304B4F74"/>
    <w:rsid w:val="30561074"/>
    <w:rsid w:val="306754ED"/>
    <w:rsid w:val="306B406A"/>
    <w:rsid w:val="306C13B6"/>
    <w:rsid w:val="306E0944"/>
    <w:rsid w:val="30764817"/>
    <w:rsid w:val="3077488F"/>
    <w:rsid w:val="307776CD"/>
    <w:rsid w:val="30833062"/>
    <w:rsid w:val="30916627"/>
    <w:rsid w:val="309729E2"/>
    <w:rsid w:val="30C47D23"/>
    <w:rsid w:val="30CC5BA3"/>
    <w:rsid w:val="30F06D39"/>
    <w:rsid w:val="30F35A80"/>
    <w:rsid w:val="30F61B25"/>
    <w:rsid w:val="31096C6F"/>
    <w:rsid w:val="310B421D"/>
    <w:rsid w:val="310F434F"/>
    <w:rsid w:val="31231B4D"/>
    <w:rsid w:val="31287BD3"/>
    <w:rsid w:val="312E644C"/>
    <w:rsid w:val="313E6D90"/>
    <w:rsid w:val="314C0871"/>
    <w:rsid w:val="315262A0"/>
    <w:rsid w:val="31593BAD"/>
    <w:rsid w:val="315F3D07"/>
    <w:rsid w:val="316A7288"/>
    <w:rsid w:val="31766E6F"/>
    <w:rsid w:val="317925B5"/>
    <w:rsid w:val="317B0489"/>
    <w:rsid w:val="317D0773"/>
    <w:rsid w:val="31827946"/>
    <w:rsid w:val="31871475"/>
    <w:rsid w:val="31873A6A"/>
    <w:rsid w:val="319B26C8"/>
    <w:rsid w:val="319E2B23"/>
    <w:rsid w:val="31BE2860"/>
    <w:rsid w:val="31BF752E"/>
    <w:rsid w:val="31C642C1"/>
    <w:rsid w:val="31E40B06"/>
    <w:rsid w:val="31ED25FC"/>
    <w:rsid w:val="31EF595C"/>
    <w:rsid w:val="31F9640B"/>
    <w:rsid w:val="31FB62F8"/>
    <w:rsid w:val="31FE22B0"/>
    <w:rsid w:val="32083AAA"/>
    <w:rsid w:val="320B7E1F"/>
    <w:rsid w:val="321744F8"/>
    <w:rsid w:val="32254318"/>
    <w:rsid w:val="32286151"/>
    <w:rsid w:val="322B310D"/>
    <w:rsid w:val="322C7FBB"/>
    <w:rsid w:val="32340DB8"/>
    <w:rsid w:val="323B4427"/>
    <w:rsid w:val="32405FD0"/>
    <w:rsid w:val="325729E7"/>
    <w:rsid w:val="325A6CF4"/>
    <w:rsid w:val="32631CAD"/>
    <w:rsid w:val="3270492D"/>
    <w:rsid w:val="32837F83"/>
    <w:rsid w:val="32AF0428"/>
    <w:rsid w:val="32B15F68"/>
    <w:rsid w:val="32B16367"/>
    <w:rsid w:val="32B85AF5"/>
    <w:rsid w:val="32C21BCE"/>
    <w:rsid w:val="32C612B3"/>
    <w:rsid w:val="32CF1161"/>
    <w:rsid w:val="32DD3816"/>
    <w:rsid w:val="33072F8E"/>
    <w:rsid w:val="331261B9"/>
    <w:rsid w:val="33213348"/>
    <w:rsid w:val="33410CB6"/>
    <w:rsid w:val="334674C0"/>
    <w:rsid w:val="33555D51"/>
    <w:rsid w:val="338E4170"/>
    <w:rsid w:val="33996018"/>
    <w:rsid w:val="339E11C2"/>
    <w:rsid w:val="33A06A36"/>
    <w:rsid w:val="33A17266"/>
    <w:rsid w:val="33A445AB"/>
    <w:rsid w:val="33A620B4"/>
    <w:rsid w:val="33A63B85"/>
    <w:rsid w:val="33AA2B43"/>
    <w:rsid w:val="33AE2E49"/>
    <w:rsid w:val="33BC031D"/>
    <w:rsid w:val="33C50CFD"/>
    <w:rsid w:val="33C7629D"/>
    <w:rsid w:val="33C76B3F"/>
    <w:rsid w:val="33D34272"/>
    <w:rsid w:val="33D44AA2"/>
    <w:rsid w:val="33DA0D58"/>
    <w:rsid w:val="33DF55EF"/>
    <w:rsid w:val="33ED6928"/>
    <w:rsid w:val="33F93802"/>
    <w:rsid w:val="3409310B"/>
    <w:rsid w:val="34293DD0"/>
    <w:rsid w:val="34362E1C"/>
    <w:rsid w:val="343C1157"/>
    <w:rsid w:val="343E6209"/>
    <w:rsid w:val="345425E8"/>
    <w:rsid w:val="34670A12"/>
    <w:rsid w:val="3488740F"/>
    <w:rsid w:val="348B007A"/>
    <w:rsid w:val="348E3747"/>
    <w:rsid w:val="34901766"/>
    <w:rsid w:val="34904A87"/>
    <w:rsid w:val="34904B52"/>
    <w:rsid w:val="349F5805"/>
    <w:rsid w:val="34B17B33"/>
    <w:rsid w:val="34C07A59"/>
    <w:rsid w:val="34C76258"/>
    <w:rsid w:val="34E0133C"/>
    <w:rsid w:val="34EC00D9"/>
    <w:rsid w:val="34F454D7"/>
    <w:rsid w:val="35041A14"/>
    <w:rsid w:val="350463EE"/>
    <w:rsid w:val="350F6E06"/>
    <w:rsid w:val="35107B50"/>
    <w:rsid w:val="351C06F1"/>
    <w:rsid w:val="35240ABC"/>
    <w:rsid w:val="352D50B6"/>
    <w:rsid w:val="353754B9"/>
    <w:rsid w:val="353C3256"/>
    <w:rsid w:val="35542F26"/>
    <w:rsid w:val="355875D5"/>
    <w:rsid w:val="35643EC2"/>
    <w:rsid w:val="3577215B"/>
    <w:rsid w:val="357724FF"/>
    <w:rsid w:val="35773415"/>
    <w:rsid w:val="35786AB3"/>
    <w:rsid w:val="35791796"/>
    <w:rsid w:val="357B3F51"/>
    <w:rsid w:val="35827552"/>
    <w:rsid w:val="35856612"/>
    <w:rsid w:val="35B916E7"/>
    <w:rsid w:val="35BD29EE"/>
    <w:rsid w:val="35CD50F5"/>
    <w:rsid w:val="35D17D6B"/>
    <w:rsid w:val="35D854A1"/>
    <w:rsid w:val="360672F4"/>
    <w:rsid w:val="360A1549"/>
    <w:rsid w:val="3616428E"/>
    <w:rsid w:val="361B09B9"/>
    <w:rsid w:val="36236727"/>
    <w:rsid w:val="363633D2"/>
    <w:rsid w:val="3643553E"/>
    <w:rsid w:val="364B30B7"/>
    <w:rsid w:val="36635FBB"/>
    <w:rsid w:val="366F3945"/>
    <w:rsid w:val="367A1029"/>
    <w:rsid w:val="3687172D"/>
    <w:rsid w:val="368C691B"/>
    <w:rsid w:val="368D2900"/>
    <w:rsid w:val="36910EE7"/>
    <w:rsid w:val="36936315"/>
    <w:rsid w:val="36BC22C2"/>
    <w:rsid w:val="36D1368D"/>
    <w:rsid w:val="36D75A4C"/>
    <w:rsid w:val="36DB69CF"/>
    <w:rsid w:val="36E94E1E"/>
    <w:rsid w:val="371E25D1"/>
    <w:rsid w:val="372A43CC"/>
    <w:rsid w:val="372B13FF"/>
    <w:rsid w:val="372D0965"/>
    <w:rsid w:val="37341121"/>
    <w:rsid w:val="373C2398"/>
    <w:rsid w:val="374F3DCC"/>
    <w:rsid w:val="376D14D2"/>
    <w:rsid w:val="37784AC7"/>
    <w:rsid w:val="378148A0"/>
    <w:rsid w:val="37874B78"/>
    <w:rsid w:val="37922E52"/>
    <w:rsid w:val="37A0513D"/>
    <w:rsid w:val="37BC65D9"/>
    <w:rsid w:val="37BE466E"/>
    <w:rsid w:val="37F83CEB"/>
    <w:rsid w:val="38282846"/>
    <w:rsid w:val="382B422A"/>
    <w:rsid w:val="382C2BE2"/>
    <w:rsid w:val="3830758D"/>
    <w:rsid w:val="38381182"/>
    <w:rsid w:val="383E178E"/>
    <w:rsid w:val="3856049F"/>
    <w:rsid w:val="38563366"/>
    <w:rsid w:val="386347C7"/>
    <w:rsid w:val="387E138F"/>
    <w:rsid w:val="388446C1"/>
    <w:rsid w:val="388B407C"/>
    <w:rsid w:val="389708C6"/>
    <w:rsid w:val="38B408CC"/>
    <w:rsid w:val="38CD5711"/>
    <w:rsid w:val="38D96366"/>
    <w:rsid w:val="38DC554E"/>
    <w:rsid w:val="38E35C63"/>
    <w:rsid w:val="38EE72C2"/>
    <w:rsid w:val="39535D84"/>
    <w:rsid w:val="395C5567"/>
    <w:rsid w:val="396042A1"/>
    <w:rsid w:val="39695463"/>
    <w:rsid w:val="396A1C49"/>
    <w:rsid w:val="397768FA"/>
    <w:rsid w:val="39787738"/>
    <w:rsid w:val="39792600"/>
    <w:rsid w:val="398940A0"/>
    <w:rsid w:val="39895EEE"/>
    <w:rsid w:val="39972497"/>
    <w:rsid w:val="399F1AB8"/>
    <w:rsid w:val="39A363B2"/>
    <w:rsid w:val="39B339DD"/>
    <w:rsid w:val="39DC48FE"/>
    <w:rsid w:val="39DD508C"/>
    <w:rsid w:val="39E1591F"/>
    <w:rsid w:val="39F020F5"/>
    <w:rsid w:val="3A075ACB"/>
    <w:rsid w:val="3A0E732F"/>
    <w:rsid w:val="3A1011B1"/>
    <w:rsid w:val="3A1239BB"/>
    <w:rsid w:val="3A16786B"/>
    <w:rsid w:val="3A1D08D7"/>
    <w:rsid w:val="3A2017B2"/>
    <w:rsid w:val="3A244C7E"/>
    <w:rsid w:val="3A271FBF"/>
    <w:rsid w:val="3A2C54A3"/>
    <w:rsid w:val="3A2D4B3E"/>
    <w:rsid w:val="3A3E7785"/>
    <w:rsid w:val="3A4D7237"/>
    <w:rsid w:val="3A4F5937"/>
    <w:rsid w:val="3A5F50EB"/>
    <w:rsid w:val="3A6E36A5"/>
    <w:rsid w:val="3A715CFC"/>
    <w:rsid w:val="3A7205CF"/>
    <w:rsid w:val="3AD23DD8"/>
    <w:rsid w:val="3AF06299"/>
    <w:rsid w:val="3AF34CA9"/>
    <w:rsid w:val="3B202592"/>
    <w:rsid w:val="3B2F4C22"/>
    <w:rsid w:val="3B407B46"/>
    <w:rsid w:val="3B521040"/>
    <w:rsid w:val="3B5520E3"/>
    <w:rsid w:val="3B5C2186"/>
    <w:rsid w:val="3B6963B7"/>
    <w:rsid w:val="3B7A2508"/>
    <w:rsid w:val="3B7B30D3"/>
    <w:rsid w:val="3B7C604F"/>
    <w:rsid w:val="3B7D13A3"/>
    <w:rsid w:val="3B8114AC"/>
    <w:rsid w:val="3B8935D4"/>
    <w:rsid w:val="3B9F20A6"/>
    <w:rsid w:val="3BAC0AC5"/>
    <w:rsid w:val="3BB04414"/>
    <w:rsid w:val="3BB4565B"/>
    <w:rsid w:val="3BC46F3C"/>
    <w:rsid w:val="3BE917A7"/>
    <w:rsid w:val="3BFA79FC"/>
    <w:rsid w:val="3C0F2ABF"/>
    <w:rsid w:val="3C230F1A"/>
    <w:rsid w:val="3C317D4F"/>
    <w:rsid w:val="3C325371"/>
    <w:rsid w:val="3C364A7D"/>
    <w:rsid w:val="3C403D9A"/>
    <w:rsid w:val="3C4F1231"/>
    <w:rsid w:val="3C521816"/>
    <w:rsid w:val="3C56499E"/>
    <w:rsid w:val="3C77021F"/>
    <w:rsid w:val="3C8E521B"/>
    <w:rsid w:val="3C99358F"/>
    <w:rsid w:val="3CA511C8"/>
    <w:rsid w:val="3CBC0310"/>
    <w:rsid w:val="3CC91954"/>
    <w:rsid w:val="3CCB3018"/>
    <w:rsid w:val="3CCF2A4A"/>
    <w:rsid w:val="3CD117B7"/>
    <w:rsid w:val="3CDC08EA"/>
    <w:rsid w:val="3CF5510E"/>
    <w:rsid w:val="3D221471"/>
    <w:rsid w:val="3D3A5C01"/>
    <w:rsid w:val="3D3E5D3F"/>
    <w:rsid w:val="3D46031E"/>
    <w:rsid w:val="3D4B23DF"/>
    <w:rsid w:val="3D4F4924"/>
    <w:rsid w:val="3D585076"/>
    <w:rsid w:val="3D68556C"/>
    <w:rsid w:val="3D6C0817"/>
    <w:rsid w:val="3D6D3DCA"/>
    <w:rsid w:val="3D947FBD"/>
    <w:rsid w:val="3DA14B03"/>
    <w:rsid w:val="3DB3120D"/>
    <w:rsid w:val="3DBC27AC"/>
    <w:rsid w:val="3DDC77DE"/>
    <w:rsid w:val="3DDF71DE"/>
    <w:rsid w:val="3DE130E5"/>
    <w:rsid w:val="3DFA4ABB"/>
    <w:rsid w:val="3E0A3811"/>
    <w:rsid w:val="3E150154"/>
    <w:rsid w:val="3E1A5671"/>
    <w:rsid w:val="3E506617"/>
    <w:rsid w:val="3E5354E1"/>
    <w:rsid w:val="3E5F584E"/>
    <w:rsid w:val="3E655D52"/>
    <w:rsid w:val="3E7D12A5"/>
    <w:rsid w:val="3E987CBB"/>
    <w:rsid w:val="3EA70BBC"/>
    <w:rsid w:val="3EB77510"/>
    <w:rsid w:val="3EB86412"/>
    <w:rsid w:val="3EBF436D"/>
    <w:rsid w:val="3EBF7088"/>
    <w:rsid w:val="3EC43422"/>
    <w:rsid w:val="3EC62494"/>
    <w:rsid w:val="3EC937B8"/>
    <w:rsid w:val="3ED22259"/>
    <w:rsid w:val="3EDB23F6"/>
    <w:rsid w:val="3EFF18A4"/>
    <w:rsid w:val="3F080D62"/>
    <w:rsid w:val="3F095430"/>
    <w:rsid w:val="3F1D47A2"/>
    <w:rsid w:val="3F243BB4"/>
    <w:rsid w:val="3F2F68E9"/>
    <w:rsid w:val="3F451215"/>
    <w:rsid w:val="3F461DFE"/>
    <w:rsid w:val="3F6D0F85"/>
    <w:rsid w:val="3F6F59EE"/>
    <w:rsid w:val="3F8148A6"/>
    <w:rsid w:val="3F9D428B"/>
    <w:rsid w:val="3FA24CC5"/>
    <w:rsid w:val="3FCD3738"/>
    <w:rsid w:val="3FCF5547"/>
    <w:rsid w:val="3FCF7F84"/>
    <w:rsid w:val="3FE0556A"/>
    <w:rsid w:val="3FE06FE9"/>
    <w:rsid w:val="3FEB7620"/>
    <w:rsid w:val="3FED2FEE"/>
    <w:rsid w:val="4000423D"/>
    <w:rsid w:val="40092835"/>
    <w:rsid w:val="400C3E7E"/>
    <w:rsid w:val="401850B5"/>
    <w:rsid w:val="403A5F19"/>
    <w:rsid w:val="404D5393"/>
    <w:rsid w:val="40503261"/>
    <w:rsid w:val="405606E3"/>
    <w:rsid w:val="405F5820"/>
    <w:rsid w:val="4065239D"/>
    <w:rsid w:val="40663630"/>
    <w:rsid w:val="407132F0"/>
    <w:rsid w:val="40725E8E"/>
    <w:rsid w:val="40747F9E"/>
    <w:rsid w:val="40751FC1"/>
    <w:rsid w:val="4077628E"/>
    <w:rsid w:val="407B74A6"/>
    <w:rsid w:val="407F0CEA"/>
    <w:rsid w:val="40836EE8"/>
    <w:rsid w:val="408A2726"/>
    <w:rsid w:val="4094460D"/>
    <w:rsid w:val="409A38DA"/>
    <w:rsid w:val="409B39D9"/>
    <w:rsid w:val="409F72EC"/>
    <w:rsid w:val="40A536E3"/>
    <w:rsid w:val="40A71312"/>
    <w:rsid w:val="40A76C3A"/>
    <w:rsid w:val="40AF59EB"/>
    <w:rsid w:val="40BC2888"/>
    <w:rsid w:val="40C06BBC"/>
    <w:rsid w:val="40D06E2D"/>
    <w:rsid w:val="40D94541"/>
    <w:rsid w:val="40DE22BD"/>
    <w:rsid w:val="40F54F53"/>
    <w:rsid w:val="41192870"/>
    <w:rsid w:val="41207C08"/>
    <w:rsid w:val="41352B85"/>
    <w:rsid w:val="41377A62"/>
    <w:rsid w:val="415B5A49"/>
    <w:rsid w:val="41662EFD"/>
    <w:rsid w:val="41705A00"/>
    <w:rsid w:val="417E176C"/>
    <w:rsid w:val="417E1DC8"/>
    <w:rsid w:val="41821957"/>
    <w:rsid w:val="41857757"/>
    <w:rsid w:val="419372FE"/>
    <w:rsid w:val="41957C9D"/>
    <w:rsid w:val="41980A43"/>
    <w:rsid w:val="41B70A09"/>
    <w:rsid w:val="41C82BCD"/>
    <w:rsid w:val="41CA08F9"/>
    <w:rsid w:val="41CD181B"/>
    <w:rsid w:val="41D76487"/>
    <w:rsid w:val="41E37F09"/>
    <w:rsid w:val="41F9085A"/>
    <w:rsid w:val="41FA0B4A"/>
    <w:rsid w:val="4200593A"/>
    <w:rsid w:val="421235C7"/>
    <w:rsid w:val="42163E55"/>
    <w:rsid w:val="421A1E4F"/>
    <w:rsid w:val="421D000E"/>
    <w:rsid w:val="423E6B9B"/>
    <w:rsid w:val="42455127"/>
    <w:rsid w:val="424E14D4"/>
    <w:rsid w:val="42592FDF"/>
    <w:rsid w:val="42686E1F"/>
    <w:rsid w:val="427F1C74"/>
    <w:rsid w:val="42823483"/>
    <w:rsid w:val="4284676C"/>
    <w:rsid w:val="4289732D"/>
    <w:rsid w:val="428F0700"/>
    <w:rsid w:val="42974E0F"/>
    <w:rsid w:val="42A40628"/>
    <w:rsid w:val="42C8522C"/>
    <w:rsid w:val="42D30684"/>
    <w:rsid w:val="42DA4398"/>
    <w:rsid w:val="42E13CBD"/>
    <w:rsid w:val="42E22014"/>
    <w:rsid w:val="42EA0E70"/>
    <w:rsid w:val="42FD408A"/>
    <w:rsid w:val="4313714B"/>
    <w:rsid w:val="43295B19"/>
    <w:rsid w:val="43325522"/>
    <w:rsid w:val="433B14DC"/>
    <w:rsid w:val="434C7E7D"/>
    <w:rsid w:val="4355160A"/>
    <w:rsid w:val="43642C1D"/>
    <w:rsid w:val="43681433"/>
    <w:rsid w:val="436D4129"/>
    <w:rsid w:val="43741AEE"/>
    <w:rsid w:val="43831386"/>
    <w:rsid w:val="43880A3F"/>
    <w:rsid w:val="438E36E2"/>
    <w:rsid w:val="43937148"/>
    <w:rsid w:val="439F5F39"/>
    <w:rsid w:val="43A42095"/>
    <w:rsid w:val="43AE247A"/>
    <w:rsid w:val="43BC1C85"/>
    <w:rsid w:val="43BD2556"/>
    <w:rsid w:val="43BD7E24"/>
    <w:rsid w:val="43C41F0B"/>
    <w:rsid w:val="43F27B99"/>
    <w:rsid w:val="44061D2C"/>
    <w:rsid w:val="442279F7"/>
    <w:rsid w:val="442E70E8"/>
    <w:rsid w:val="44366178"/>
    <w:rsid w:val="44444CE1"/>
    <w:rsid w:val="444516A3"/>
    <w:rsid w:val="44482CCC"/>
    <w:rsid w:val="445E080E"/>
    <w:rsid w:val="446442F9"/>
    <w:rsid w:val="446607FE"/>
    <w:rsid w:val="44692180"/>
    <w:rsid w:val="446E0159"/>
    <w:rsid w:val="446F5582"/>
    <w:rsid w:val="44712C23"/>
    <w:rsid w:val="44747820"/>
    <w:rsid w:val="447B02E6"/>
    <w:rsid w:val="44801112"/>
    <w:rsid w:val="44821B09"/>
    <w:rsid w:val="44954A46"/>
    <w:rsid w:val="44A93889"/>
    <w:rsid w:val="44AF72B7"/>
    <w:rsid w:val="44B96C8D"/>
    <w:rsid w:val="44BC24AF"/>
    <w:rsid w:val="44C75207"/>
    <w:rsid w:val="44D477DB"/>
    <w:rsid w:val="44E733F0"/>
    <w:rsid w:val="44EC3F13"/>
    <w:rsid w:val="44F77BC8"/>
    <w:rsid w:val="45012FC2"/>
    <w:rsid w:val="45027AA2"/>
    <w:rsid w:val="45106C5B"/>
    <w:rsid w:val="45123CC3"/>
    <w:rsid w:val="451C4FA6"/>
    <w:rsid w:val="4520647E"/>
    <w:rsid w:val="45274209"/>
    <w:rsid w:val="452E0D96"/>
    <w:rsid w:val="452F115C"/>
    <w:rsid w:val="453F2C7C"/>
    <w:rsid w:val="45521589"/>
    <w:rsid w:val="456D2FC0"/>
    <w:rsid w:val="45775D21"/>
    <w:rsid w:val="459A4C28"/>
    <w:rsid w:val="45A9077F"/>
    <w:rsid w:val="45B42AA3"/>
    <w:rsid w:val="45B44640"/>
    <w:rsid w:val="45C6018C"/>
    <w:rsid w:val="45CE0FE5"/>
    <w:rsid w:val="45D010B6"/>
    <w:rsid w:val="45D22880"/>
    <w:rsid w:val="45D5038D"/>
    <w:rsid w:val="45E479AF"/>
    <w:rsid w:val="46020378"/>
    <w:rsid w:val="461E5DED"/>
    <w:rsid w:val="4629328A"/>
    <w:rsid w:val="462B6901"/>
    <w:rsid w:val="4634554F"/>
    <w:rsid w:val="46490D7F"/>
    <w:rsid w:val="465316EE"/>
    <w:rsid w:val="465962EF"/>
    <w:rsid w:val="46702208"/>
    <w:rsid w:val="46786AC1"/>
    <w:rsid w:val="4697041F"/>
    <w:rsid w:val="469B4C56"/>
    <w:rsid w:val="46A550B6"/>
    <w:rsid w:val="46AE29D5"/>
    <w:rsid w:val="46B02061"/>
    <w:rsid w:val="46B46C28"/>
    <w:rsid w:val="46BB6B95"/>
    <w:rsid w:val="46C5286B"/>
    <w:rsid w:val="46DA2DB1"/>
    <w:rsid w:val="46E148D5"/>
    <w:rsid w:val="46E40B26"/>
    <w:rsid w:val="46EC5309"/>
    <w:rsid w:val="46EE0E67"/>
    <w:rsid w:val="46FD7D04"/>
    <w:rsid w:val="47012593"/>
    <w:rsid w:val="47035F29"/>
    <w:rsid w:val="47087841"/>
    <w:rsid w:val="47154B73"/>
    <w:rsid w:val="4722634B"/>
    <w:rsid w:val="47594138"/>
    <w:rsid w:val="4771599D"/>
    <w:rsid w:val="477A64CC"/>
    <w:rsid w:val="477F52CA"/>
    <w:rsid w:val="478B7BE5"/>
    <w:rsid w:val="47A51912"/>
    <w:rsid w:val="47AD7F27"/>
    <w:rsid w:val="47B33269"/>
    <w:rsid w:val="47B4405A"/>
    <w:rsid w:val="47BC6B2E"/>
    <w:rsid w:val="47CB6F44"/>
    <w:rsid w:val="47DD6624"/>
    <w:rsid w:val="47EA4A5D"/>
    <w:rsid w:val="47FB6540"/>
    <w:rsid w:val="4808073D"/>
    <w:rsid w:val="48100849"/>
    <w:rsid w:val="481C3C07"/>
    <w:rsid w:val="48326284"/>
    <w:rsid w:val="483A0680"/>
    <w:rsid w:val="483C7010"/>
    <w:rsid w:val="48481FAB"/>
    <w:rsid w:val="485C4C26"/>
    <w:rsid w:val="487E0B7D"/>
    <w:rsid w:val="488A0531"/>
    <w:rsid w:val="488A6065"/>
    <w:rsid w:val="488C0EAD"/>
    <w:rsid w:val="489A680E"/>
    <w:rsid w:val="48B171EE"/>
    <w:rsid w:val="48B73CF7"/>
    <w:rsid w:val="48BB7358"/>
    <w:rsid w:val="48D671DD"/>
    <w:rsid w:val="48DE2EBA"/>
    <w:rsid w:val="48EF6BF5"/>
    <w:rsid w:val="48FF7F80"/>
    <w:rsid w:val="490B09A2"/>
    <w:rsid w:val="490C31C9"/>
    <w:rsid w:val="490E6B61"/>
    <w:rsid w:val="491223A8"/>
    <w:rsid w:val="491A2751"/>
    <w:rsid w:val="491F2A4F"/>
    <w:rsid w:val="494368E7"/>
    <w:rsid w:val="494A7E0C"/>
    <w:rsid w:val="49553D3C"/>
    <w:rsid w:val="495A5369"/>
    <w:rsid w:val="495D2486"/>
    <w:rsid w:val="49647AD8"/>
    <w:rsid w:val="4966134B"/>
    <w:rsid w:val="49692959"/>
    <w:rsid w:val="4984788C"/>
    <w:rsid w:val="499330DB"/>
    <w:rsid w:val="49957F37"/>
    <w:rsid w:val="499E5C5B"/>
    <w:rsid w:val="49BA39B6"/>
    <w:rsid w:val="49BC7FE5"/>
    <w:rsid w:val="49BE748D"/>
    <w:rsid w:val="49D7110A"/>
    <w:rsid w:val="49E47DF9"/>
    <w:rsid w:val="49FD02D3"/>
    <w:rsid w:val="4A021110"/>
    <w:rsid w:val="4A092093"/>
    <w:rsid w:val="4A1F6D36"/>
    <w:rsid w:val="4A32411C"/>
    <w:rsid w:val="4A5265A5"/>
    <w:rsid w:val="4A564F51"/>
    <w:rsid w:val="4A6442A4"/>
    <w:rsid w:val="4A74601C"/>
    <w:rsid w:val="4A8356C9"/>
    <w:rsid w:val="4A8D3693"/>
    <w:rsid w:val="4A901293"/>
    <w:rsid w:val="4AA03D83"/>
    <w:rsid w:val="4AC46421"/>
    <w:rsid w:val="4AC54300"/>
    <w:rsid w:val="4AD52F7A"/>
    <w:rsid w:val="4AE9652D"/>
    <w:rsid w:val="4AEB0148"/>
    <w:rsid w:val="4AEB33D0"/>
    <w:rsid w:val="4AED46A9"/>
    <w:rsid w:val="4AEE6F26"/>
    <w:rsid w:val="4AF53621"/>
    <w:rsid w:val="4AF960EE"/>
    <w:rsid w:val="4B2128C4"/>
    <w:rsid w:val="4B2474AB"/>
    <w:rsid w:val="4B355F2E"/>
    <w:rsid w:val="4B35781C"/>
    <w:rsid w:val="4B420E5C"/>
    <w:rsid w:val="4B461439"/>
    <w:rsid w:val="4B4C7A2B"/>
    <w:rsid w:val="4B4D1F82"/>
    <w:rsid w:val="4B4F1ECE"/>
    <w:rsid w:val="4B552E2F"/>
    <w:rsid w:val="4B603908"/>
    <w:rsid w:val="4B65259B"/>
    <w:rsid w:val="4B7456B2"/>
    <w:rsid w:val="4B850BB3"/>
    <w:rsid w:val="4B994EC8"/>
    <w:rsid w:val="4BAC6702"/>
    <w:rsid w:val="4BAD75BB"/>
    <w:rsid w:val="4BAF2934"/>
    <w:rsid w:val="4BB51715"/>
    <w:rsid w:val="4BB62267"/>
    <w:rsid w:val="4BBB59F0"/>
    <w:rsid w:val="4BC74B46"/>
    <w:rsid w:val="4BCA4B75"/>
    <w:rsid w:val="4BD032D2"/>
    <w:rsid w:val="4BD151A3"/>
    <w:rsid w:val="4BDF12D2"/>
    <w:rsid w:val="4BE215A2"/>
    <w:rsid w:val="4BE413B6"/>
    <w:rsid w:val="4BEB1C4C"/>
    <w:rsid w:val="4BEC1D18"/>
    <w:rsid w:val="4BEC2015"/>
    <w:rsid w:val="4BF26692"/>
    <w:rsid w:val="4C06220A"/>
    <w:rsid w:val="4C066545"/>
    <w:rsid w:val="4C0776D2"/>
    <w:rsid w:val="4C175BEF"/>
    <w:rsid w:val="4C1B2007"/>
    <w:rsid w:val="4C3F777D"/>
    <w:rsid w:val="4C405A80"/>
    <w:rsid w:val="4C451417"/>
    <w:rsid w:val="4C6F41BB"/>
    <w:rsid w:val="4C7503D7"/>
    <w:rsid w:val="4CC13314"/>
    <w:rsid w:val="4CCD6AEF"/>
    <w:rsid w:val="4CE618C5"/>
    <w:rsid w:val="4CE77462"/>
    <w:rsid w:val="4CFC6B40"/>
    <w:rsid w:val="4D1753A3"/>
    <w:rsid w:val="4D1B34CC"/>
    <w:rsid w:val="4D214D97"/>
    <w:rsid w:val="4D240A60"/>
    <w:rsid w:val="4D2F0038"/>
    <w:rsid w:val="4D3C2A7E"/>
    <w:rsid w:val="4D412EB0"/>
    <w:rsid w:val="4D4C0D51"/>
    <w:rsid w:val="4D5E4BDE"/>
    <w:rsid w:val="4D6B10DD"/>
    <w:rsid w:val="4D6E0950"/>
    <w:rsid w:val="4D800DCA"/>
    <w:rsid w:val="4D860182"/>
    <w:rsid w:val="4D872A8D"/>
    <w:rsid w:val="4D897ED5"/>
    <w:rsid w:val="4D9D1B4A"/>
    <w:rsid w:val="4DAA380B"/>
    <w:rsid w:val="4DBC1840"/>
    <w:rsid w:val="4DDA4F6F"/>
    <w:rsid w:val="4DDE1DBA"/>
    <w:rsid w:val="4DEF1EE0"/>
    <w:rsid w:val="4DF323FF"/>
    <w:rsid w:val="4E0530F0"/>
    <w:rsid w:val="4E0756F2"/>
    <w:rsid w:val="4E084E82"/>
    <w:rsid w:val="4E296E89"/>
    <w:rsid w:val="4E2C4C7A"/>
    <w:rsid w:val="4E592200"/>
    <w:rsid w:val="4E6658CE"/>
    <w:rsid w:val="4E781049"/>
    <w:rsid w:val="4E7F2EC3"/>
    <w:rsid w:val="4E82184C"/>
    <w:rsid w:val="4E9C7016"/>
    <w:rsid w:val="4E9F39D1"/>
    <w:rsid w:val="4EA0132C"/>
    <w:rsid w:val="4EA4175F"/>
    <w:rsid w:val="4EC124B0"/>
    <w:rsid w:val="4ECE1A58"/>
    <w:rsid w:val="4ED6509D"/>
    <w:rsid w:val="4EDF56C2"/>
    <w:rsid w:val="4EE7766B"/>
    <w:rsid w:val="4F011216"/>
    <w:rsid w:val="4F105D44"/>
    <w:rsid w:val="4F195B51"/>
    <w:rsid w:val="4F207F31"/>
    <w:rsid w:val="4F4A7882"/>
    <w:rsid w:val="4F602D94"/>
    <w:rsid w:val="4F6735BD"/>
    <w:rsid w:val="4F74203C"/>
    <w:rsid w:val="4F744A90"/>
    <w:rsid w:val="4F745AA8"/>
    <w:rsid w:val="4F757E03"/>
    <w:rsid w:val="4F903C08"/>
    <w:rsid w:val="4F9B44D7"/>
    <w:rsid w:val="4F9C4562"/>
    <w:rsid w:val="4F9D0AD5"/>
    <w:rsid w:val="4FB95EA0"/>
    <w:rsid w:val="4FB97D9D"/>
    <w:rsid w:val="4FD13FFF"/>
    <w:rsid w:val="4FD307F1"/>
    <w:rsid w:val="4FD35DFE"/>
    <w:rsid w:val="500B6DFA"/>
    <w:rsid w:val="50162FC7"/>
    <w:rsid w:val="50270E2E"/>
    <w:rsid w:val="502F547B"/>
    <w:rsid w:val="503165A5"/>
    <w:rsid w:val="503254B0"/>
    <w:rsid w:val="503F4A93"/>
    <w:rsid w:val="50481D30"/>
    <w:rsid w:val="505F50A9"/>
    <w:rsid w:val="50684E38"/>
    <w:rsid w:val="508C09A2"/>
    <w:rsid w:val="508D6F98"/>
    <w:rsid w:val="509269CD"/>
    <w:rsid w:val="50A56523"/>
    <w:rsid w:val="50B44BAF"/>
    <w:rsid w:val="50B8575B"/>
    <w:rsid w:val="50E41A75"/>
    <w:rsid w:val="50E50704"/>
    <w:rsid w:val="50F011CC"/>
    <w:rsid w:val="510F32DE"/>
    <w:rsid w:val="51102935"/>
    <w:rsid w:val="51145025"/>
    <w:rsid w:val="512B191D"/>
    <w:rsid w:val="512F1B85"/>
    <w:rsid w:val="5130783B"/>
    <w:rsid w:val="51310B1A"/>
    <w:rsid w:val="513C3735"/>
    <w:rsid w:val="513F1263"/>
    <w:rsid w:val="51542AB4"/>
    <w:rsid w:val="515F4F56"/>
    <w:rsid w:val="51604F6E"/>
    <w:rsid w:val="51685812"/>
    <w:rsid w:val="51720C7F"/>
    <w:rsid w:val="517974DD"/>
    <w:rsid w:val="518510CA"/>
    <w:rsid w:val="518520A2"/>
    <w:rsid w:val="518A00F3"/>
    <w:rsid w:val="518A17D1"/>
    <w:rsid w:val="518B1E92"/>
    <w:rsid w:val="519D3DC6"/>
    <w:rsid w:val="51A82951"/>
    <w:rsid w:val="51AE3FFC"/>
    <w:rsid w:val="51B12F2F"/>
    <w:rsid w:val="51D71CD7"/>
    <w:rsid w:val="51D84FEA"/>
    <w:rsid w:val="51DB5B5A"/>
    <w:rsid w:val="51DC05D9"/>
    <w:rsid w:val="51EB0F2B"/>
    <w:rsid w:val="51F016B4"/>
    <w:rsid w:val="520805DE"/>
    <w:rsid w:val="521A7144"/>
    <w:rsid w:val="521B4D65"/>
    <w:rsid w:val="52231EB6"/>
    <w:rsid w:val="523535C9"/>
    <w:rsid w:val="524266A1"/>
    <w:rsid w:val="52447114"/>
    <w:rsid w:val="52464937"/>
    <w:rsid w:val="5260094D"/>
    <w:rsid w:val="52605C5C"/>
    <w:rsid w:val="526E1DC3"/>
    <w:rsid w:val="52807369"/>
    <w:rsid w:val="528577D8"/>
    <w:rsid w:val="52B000CA"/>
    <w:rsid w:val="52B35120"/>
    <w:rsid w:val="52B702DA"/>
    <w:rsid w:val="52B94AE7"/>
    <w:rsid w:val="52BA0EE3"/>
    <w:rsid w:val="52BB3094"/>
    <w:rsid w:val="52BB6E5A"/>
    <w:rsid w:val="52F17311"/>
    <w:rsid w:val="53155F53"/>
    <w:rsid w:val="531E45BA"/>
    <w:rsid w:val="532031E7"/>
    <w:rsid w:val="53206EA1"/>
    <w:rsid w:val="532726A3"/>
    <w:rsid w:val="53370C77"/>
    <w:rsid w:val="533C0532"/>
    <w:rsid w:val="534743DC"/>
    <w:rsid w:val="536A00AA"/>
    <w:rsid w:val="53824406"/>
    <w:rsid w:val="538770ED"/>
    <w:rsid w:val="53914678"/>
    <w:rsid w:val="539B5614"/>
    <w:rsid w:val="53A663A9"/>
    <w:rsid w:val="53AB1851"/>
    <w:rsid w:val="53B312EA"/>
    <w:rsid w:val="53B42FB0"/>
    <w:rsid w:val="53BD4AB1"/>
    <w:rsid w:val="53BE0C5F"/>
    <w:rsid w:val="53C837DC"/>
    <w:rsid w:val="53CE31E2"/>
    <w:rsid w:val="53D33673"/>
    <w:rsid w:val="53E50F42"/>
    <w:rsid w:val="53ED3015"/>
    <w:rsid w:val="53F4155E"/>
    <w:rsid w:val="54030ACB"/>
    <w:rsid w:val="54162007"/>
    <w:rsid w:val="54175B55"/>
    <w:rsid w:val="541961AE"/>
    <w:rsid w:val="541A26C8"/>
    <w:rsid w:val="54383373"/>
    <w:rsid w:val="543B4657"/>
    <w:rsid w:val="543E7791"/>
    <w:rsid w:val="544D7CE1"/>
    <w:rsid w:val="54533DB2"/>
    <w:rsid w:val="54643004"/>
    <w:rsid w:val="546817B3"/>
    <w:rsid w:val="54721F53"/>
    <w:rsid w:val="54752414"/>
    <w:rsid w:val="54784212"/>
    <w:rsid w:val="548163A5"/>
    <w:rsid w:val="54840AE9"/>
    <w:rsid w:val="54860844"/>
    <w:rsid w:val="549C2B15"/>
    <w:rsid w:val="54B253C2"/>
    <w:rsid w:val="54C17BB1"/>
    <w:rsid w:val="54CB4928"/>
    <w:rsid w:val="54CC0ACD"/>
    <w:rsid w:val="54D03704"/>
    <w:rsid w:val="54D943D9"/>
    <w:rsid w:val="54DE0122"/>
    <w:rsid w:val="54FE4FC1"/>
    <w:rsid w:val="551673AA"/>
    <w:rsid w:val="552169C5"/>
    <w:rsid w:val="552A3C12"/>
    <w:rsid w:val="55403C70"/>
    <w:rsid w:val="55434E45"/>
    <w:rsid w:val="55533E09"/>
    <w:rsid w:val="55607CD4"/>
    <w:rsid w:val="5565049F"/>
    <w:rsid w:val="55652A6A"/>
    <w:rsid w:val="556C1CDE"/>
    <w:rsid w:val="55825C0C"/>
    <w:rsid w:val="55854D1D"/>
    <w:rsid w:val="55985858"/>
    <w:rsid w:val="55B46640"/>
    <w:rsid w:val="55BB2C57"/>
    <w:rsid w:val="55C35A27"/>
    <w:rsid w:val="55C447DD"/>
    <w:rsid w:val="55D50FCE"/>
    <w:rsid w:val="55E179BA"/>
    <w:rsid w:val="55F24BBD"/>
    <w:rsid w:val="56032E5B"/>
    <w:rsid w:val="563208CA"/>
    <w:rsid w:val="56331E4B"/>
    <w:rsid w:val="564152E4"/>
    <w:rsid w:val="56591529"/>
    <w:rsid w:val="565D602B"/>
    <w:rsid w:val="566035B8"/>
    <w:rsid w:val="56674EBC"/>
    <w:rsid w:val="56765AAC"/>
    <w:rsid w:val="567B51EA"/>
    <w:rsid w:val="567D02A8"/>
    <w:rsid w:val="568F5C5D"/>
    <w:rsid w:val="56A572D1"/>
    <w:rsid w:val="56B051ED"/>
    <w:rsid w:val="56BB5492"/>
    <w:rsid w:val="56C17C74"/>
    <w:rsid w:val="56D30FC3"/>
    <w:rsid w:val="56E46059"/>
    <w:rsid w:val="56E8556C"/>
    <w:rsid w:val="56EF7880"/>
    <w:rsid w:val="57064E4E"/>
    <w:rsid w:val="571840B8"/>
    <w:rsid w:val="571E12FD"/>
    <w:rsid w:val="571E1B56"/>
    <w:rsid w:val="57240C38"/>
    <w:rsid w:val="572E3C38"/>
    <w:rsid w:val="57394B94"/>
    <w:rsid w:val="57417507"/>
    <w:rsid w:val="57442D7D"/>
    <w:rsid w:val="57592B9D"/>
    <w:rsid w:val="575F576C"/>
    <w:rsid w:val="576363DE"/>
    <w:rsid w:val="57753981"/>
    <w:rsid w:val="57762C36"/>
    <w:rsid w:val="57821B98"/>
    <w:rsid w:val="5783588B"/>
    <w:rsid w:val="578674CB"/>
    <w:rsid w:val="57904098"/>
    <w:rsid w:val="57920389"/>
    <w:rsid w:val="579613BF"/>
    <w:rsid w:val="579960F0"/>
    <w:rsid w:val="579A6893"/>
    <w:rsid w:val="57AD01CC"/>
    <w:rsid w:val="57B50297"/>
    <w:rsid w:val="57BB6DD2"/>
    <w:rsid w:val="57C72B2A"/>
    <w:rsid w:val="57C9153C"/>
    <w:rsid w:val="57D37CCE"/>
    <w:rsid w:val="57D81963"/>
    <w:rsid w:val="57DD1384"/>
    <w:rsid w:val="57E003CE"/>
    <w:rsid w:val="57F960F4"/>
    <w:rsid w:val="57FC249B"/>
    <w:rsid w:val="57FE5737"/>
    <w:rsid w:val="58152B2E"/>
    <w:rsid w:val="5830544E"/>
    <w:rsid w:val="5834577F"/>
    <w:rsid w:val="58396E61"/>
    <w:rsid w:val="583C4262"/>
    <w:rsid w:val="585B48D5"/>
    <w:rsid w:val="586033AF"/>
    <w:rsid w:val="586C0487"/>
    <w:rsid w:val="586F1EAC"/>
    <w:rsid w:val="58756360"/>
    <w:rsid w:val="587E7537"/>
    <w:rsid w:val="58930536"/>
    <w:rsid w:val="589D361A"/>
    <w:rsid w:val="58A14202"/>
    <w:rsid w:val="58A710DD"/>
    <w:rsid w:val="58AA360C"/>
    <w:rsid w:val="58B66FB9"/>
    <w:rsid w:val="58B74B58"/>
    <w:rsid w:val="58C1689F"/>
    <w:rsid w:val="58C45294"/>
    <w:rsid w:val="58DF6501"/>
    <w:rsid w:val="58E916AB"/>
    <w:rsid w:val="58F0428B"/>
    <w:rsid w:val="58F441E8"/>
    <w:rsid w:val="58F72EC9"/>
    <w:rsid w:val="58FD0E9A"/>
    <w:rsid w:val="5909574C"/>
    <w:rsid w:val="593D1D89"/>
    <w:rsid w:val="594A3B83"/>
    <w:rsid w:val="594E4BE6"/>
    <w:rsid w:val="59663FA9"/>
    <w:rsid w:val="596A34DE"/>
    <w:rsid w:val="596E2BEA"/>
    <w:rsid w:val="59853C9C"/>
    <w:rsid w:val="5986762F"/>
    <w:rsid w:val="59877CA3"/>
    <w:rsid w:val="599B4CA6"/>
    <w:rsid w:val="59AB58BC"/>
    <w:rsid w:val="59AF66F2"/>
    <w:rsid w:val="59B11495"/>
    <w:rsid w:val="59B45580"/>
    <w:rsid w:val="59BE0839"/>
    <w:rsid w:val="59CD0869"/>
    <w:rsid w:val="59DB4595"/>
    <w:rsid w:val="59E334B1"/>
    <w:rsid w:val="59E806B1"/>
    <w:rsid w:val="59FB71C7"/>
    <w:rsid w:val="5A2927C4"/>
    <w:rsid w:val="5A2A2CC2"/>
    <w:rsid w:val="5A30065E"/>
    <w:rsid w:val="5A4E39AD"/>
    <w:rsid w:val="5A526FF2"/>
    <w:rsid w:val="5A5B48A0"/>
    <w:rsid w:val="5A677424"/>
    <w:rsid w:val="5A6E34A0"/>
    <w:rsid w:val="5A771AAB"/>
    <w:rsid w:val="5A8A3F5E"/>
    <w:rsid w:val="5A9E56D4"/>
    <w:rsid w:val="5AA3454D"/>
    <w:rsid w:val="5AB20948"/>
    <w:rsid w:val="5ABF3B23"/>
    <w:rsid w:val="5AC965FA"/>
    <w:rsid w:val="5ACB7EBA"/>
    <w:rsid w:val="5AD03263"/>
    <w:rsid w:val="5AD473E9"/>
    <w:rsid w:val="5AE242AE"/>
    <w:rsid w:val="5AE41D4A"/>
    <w:rsid w:val="5AEB5961"/>
    <w:rsid w:val="5AEE0DC0"/>
    <w:rsid w:val="5AEF11B7"/>
    <w:rsid w:val="5AF47139"/>
    <w:rsid w:val="5AFB614B"/>
    <w:rsid w:val="5B1375BA"/>
    <w:rsid w:val="5B24569D"/>
    <w:rsid w:val="5B3544A1"/>
    <w:rsid w:val="5B360D68"/>
    <w:rsid w:val="5B3714FE"/>
    <w:rsid w:val="5B442C81"/>
    <w:rsid w:val="5B4601F0"/>
    <w:rsid w:val="5B473BBC"/>
    <w:rsid w:val="5B4F6648"/>
    <w:rsid w:val="5B511297"/>
    <w:rsid w:val="5B59057B"/>
    <w:rsid w:val="5B77757C"/>
    <w:rsid w:val="5B783759"/>
    <w:rsid w:val="5B790C02"/>
    <w:rsid w:val="5B994BC7"/>
    <w:rsid w:val="5B9A396C"/>
    <w:rsid w:val="5B9F6755"/>
    <w:rsid w:val="5BA0475C"/>
    <w:rsid w:val="5BA57288"/>
    <w:rsid w:val="5BA617E2"/>
    <w:rsid w:val="5BB711F2"/>
    <w:rsid w:val="5BC32436"/>
    <w:rsid w:val="5BC53BB9"/>
    <w:rsid w:val="5BC63E1E"/>
    <w:rsid w:val="5BFB1F04"/>
    <w:rsid w:val="5BFC1184"/>
    <w:rsid w:val="5BFC650A"/>
    <w:rsid w:val="5C080E98"/>
    <w:rsid w:val="5C110D6E"/>
    <w:rsid w:val="5C260786"/>
    <w:rsid w:val="5C462212"/>
    <w:rsid w:val="5C462B25"/>
    <w:rsid w:val="5C4F68CA"/>
    <w:rsid w:val="5C6C7FA9"/>
    <w:rsid w:val="5C710283"/>
    <w:rsid w:val="5C715B74"/>
    <w:rsid w:val="5C891BC7"/>
    <w:rsid w:val="5C8C295D"/>
    <w:rsid w:val="5C8F2947"/>
    <w:rsid w:val="5C956D2D"/>
    <w:rsid w:val="5C9F0030"/>
    <w:rsid w:val="5CA71621"/>
    <w:rsid w:val="5CB808BA"/>
    <w:rsid w:val="5CBE4924"/>
    <w:rsid w:val="5CC1170F"/>
    <w:rsid w:val="5CC230CE"/>
    <w:rsid w:val="5CD56C0C"/>
    <w:rsid w:val="5CDC1F42"/>
    <w:rsid w:val="5CEB2DFF"/>
    <w:rsid w:val="5D061D3F"/>
    <w:rsid w:val="5D0A3667"/>
    <w:rsid w:val="5D2011F0"/>
    <w:rsid w:val="5D344440"/>
    <w:rsid w:val="5D400B36"/>
    <w:rsid w:val="5D462E72"/>
    <w:rsid w:val="5D5725BD"/>
    <w:rsid w:val="5D6D354B"/>
    <w:rsid w:val="5D6F0703"/>
    <w:rsid w:val="5D895E98"/>
    <w:rsid w:val="5D993C6B"/>
    <w:rsid w:val="5D9A411F"/>
    <w:rsid w:val="5D9B0617"/>
    <w:rsid w:val="5DA5587D"/>
    <w:rsid w:val="5DB424CC"/>
    <w:rsid w:val="5DBE0E7F"/>
    <w:rsid w:val="5DD056CE"/>
    <w:rsid w:val="5DD354B6"/>
    <w:rsid w:val="5DF25344"/>
    <w:rsid w:val="5DF41277"/>
    <w:rsid w:val="5E0820BE"/>
    <w:rsid w:val="5E2D26D7"/>
    <w:rsid w:val="5E326D5E"/>
    <w:rsid w:val="5E3766B2"/>
    <w:rsid w:val="5E4B28C2"/>
    <w:rsid w:val="5E577D46"/>
    <w:rsid w:val="5E5B0189"/>
    <w:rsid w:val="5E7B3E3C"/>
    <w:rsid w:val="5E8B4DFB"/>
    <w:rsid w:val="5E8E40ED"/>
    <w:rsid w:val="5E8E7174"/>
    <w:rsid w:val="5E93040B"/>
    <w:rsid w:val="5E96092F"/>
    <w:rsid w:val="5EA6186D"/>
    <w:rsid w:val="5EC91738"/>
    <w:rsid w:val="5ECF7A28"/>
    <w:rsid w:val="5EF25F5B"/>
    <w:rsid w:val="5F0B458F"/>
    <w:rsid w:val="5F0E5791"/>
    <w:rsid w:val="5F162568"/>
    <w:rsid w:val="5F2F6C15"/>
    <w:rsid w:val="5F376CEC"/>
    <w:rsid w:val="5F455017"/>
    <w:rsid w:val="5F4A349A"/>
    <w:rsid w:val="5F4C7E0F"/>
    <w:rsid w:val="5F6934C9"/>
    <w:rsid w:val="5F6945D6"/>
    <w:rsid w:val="5F6B31BF"/>
    <w:rsid w:val="5F884E94"/>
    <w:rsid w:val="5F9D7804"/>
    <w:rsid w:val="5FA94E6D"/>
    <w:rsid w:val="5FAC1F13"/>
    <w:rsid w:val="5FB51D95"/>
    <w:rsid w:val="5FCF3942"/>
    <w:rsid w:val="5FD95B09"/>
    <w:rsid w:val="5FE14018"/>
    <w:rsid w:val="5FE806E2"/>
    <w:rsid w:val="5FF215EB"/>
    <w:rsid w:val="5FF33789"/>
    <w:rsid w:val="600641E4"/>
    <w:rsid w:val="60072D53"/>
    <w:rsid w:val="60207CDE"/>
    <w:rsid w:val="60224D3D"/>
    <w:rsid w:val="602C68CB"/>
    <w:rsid w:val="603500DB"/>
    <w:rsid w:val="604332ED"/>
    <w:rsid w:val="60552A7F"/>
    <w:rsid w:val="606F7D28"/>
    <w:rsid w:val="60756050"/>
    <w:rsid w:val="608C7D33"/>
    <w:rsid w:val="609B251C"/>
    <w:rsid w:val="60A2769B"/>
    <w:rsid w:val="60AE7674"/>
    <w:rsid w:val="60C15ACE"/>
    <w:rsid w:val="60C81BEC"/>
    <w:rsid w:val="60C95EA9"/>
    <w:rsid w:val="60DD4287"/>
    <w:rsid w:val="60EA1A68"/>
    <w:rsid w:val="60F032C1"/>
    <w:rsid w:val="60F42A9A"/>
    <w:rsid w:val="60FA0311"/>
    <w:rsid w:val="60FD525B"/>
    <w:rsid w:val="610B20B9"/>
    <w:rsid w:val="610D7DA3"/>
    <w:rsid w:val="611A0C71"/>
    <w:rsid w:val="612B0758"/>
    <w:rsid w:val="612C25D4"/>
    <w:rsid w:val="61432B33"/>
    <w:rsid w:val="614635A3"/>
    <w:rsid w:val="614A4260"/>
    <w:rsid w:val="61516C69"/>
    <w:rsid w:val="615573BE"/>
    <w:rsid w:val="615B69CA"/>
    <w:rsid w:val="61640ECC"/>
    <w:rsid w:val="61641C35"/>
    <w:rsid w:val="616F5301"/>
    <w:rsid w:val="617350BC"/>
    <w:rsid w:val="618F2220"/>
    <w:rsid w:val="61961F06"/>
    <w:rsid w:val="6198155E"/>
    <w:rsid w:val="619A0A43"/>
    <w:rsid w:val="61A134C4"/>
    <w:rsid w:val="61B876DD"/>
    <w:rsid w:val="61C7358A"/>
    <w:rsid w:val="61E11482"/>
    <w:rsid w:val="61F34FF6"/>
    <w:rsid w:val="61FB40E2"/>
    <w:rsid w:val="6200472B"/>
    <w:rsid w:val="621073DA"/>
    <w:rsid w:val="621117A8"/>
    <w:rsid w:val="62172793"/>
    <w:rsid w:val="621F7F0D"/>
    <w:rsid w:val="62267A6A"/>
    <w:rsid w:val="622A6822"/>
    <w:rsid w:val="622E2697"/>
    <w:rsid w:val="62307F5B"/>
    <w:rsid w:val="62342C0F"/>
    <w:rsid w:val="623C7500"/>
    <w:rsid w:val="623D2E26"/>
    <w:rsid w:val="62467B96"/>
    <w:rsid w:val="62483E20"/>
    <w:rsid w:val="62495D05"/>
    <w:rsid w:val="62650E80"/>
    <w:rsid w:val="62695C70"/>
    <w:rsid w:val="626C17A5"/>
    <w:rsid w:val="62736E90"/>
    <w:rsid w:val="62775A23"/>
    <w:rsid w:val="62873918"/>
    <w:rsid w:val="628A21AA"/>
    <w:rsid w:val="628D2DBE"/>
    <w:rsid w:val="628E47EE"/>
    <w:rsid w:val="628F2A41"/>
    <w:rsid w:val="62926185"/>
    <w:rsid w:val="62963A49"/>
    <w:rsid w:val="62A01DE4"/>
    <w:rsid w:val="62A60524"/>
    <w:rsid w:val="62AE759F"/>
    <w:rsid w:val="62B25B28"/>
    <w:rsid w:val="62C60288"/>
    <w:rsid w:val="62C625B9"/>
    <w:rsid w:val="62C67C06"/>
    <w:rsid w:val="62CE72CB"/>
    <w:rsid w:val="62DD3362"/>
    <w:rsid w:val="62E445D7"/>
    <w:rsid w:val="62E83E6E"/>
    <w:rsid w:val="62F96785"/>
    <w:rsid w:val="62FA19EC"/>
    <w:rsid w:val="631943A4"/>
    <w:rsid w:val="631D472B"/>
    <w:rsid w:val="632A6C90"/>
    <w:rsid w:val="6352267C"/>
    <w:rsid w:val="63550808"/>
    <w:rsid w:val="63683B0D"/>
    <w:rsid w:val="63851228"/>
    <w:rsid w:val="63893305"/>
    <w:rsid w:val="639808BE"/>
    <w:rsid w:val="63A61A92"/>
    <w:rsid w:val="63BE39EA"/>
    <w:rsid w:val="63DE0D17"/>
    <w:rsid w:val="640A0FF6"/>
    <w:rsid w:val="64132184"/>
    <w:rsid w:val="642A5614"/>
    <w:rsid w:val="6442705B"/>
    <w:rsid w:val="644457C2"/>
    <w:rsid w:val="64446ED4"/>
    <w:rsid w:val="64466B3B"/>
    <w:rsid w:val="64470B06"/>
    <w:rsid w:val="646A2CA0"/>
    <w:rsid w:val="647D5AC9"/>
    <w:rsid w:val="64840CC9"/>
    <w:rsid w:val="64962462"/>
    <w:rsid w:val="64995067"/>
    <w:rsid w:val="649D488C"/>
    <w:rsid w:val="649E22EA"/>
    <w:rsid w:val="649E2A0C"/>
    <w:rsid w:val="64AC3BDD"/>
    <w:rsid w:val="64B809C3"/>
    <w:rsid w:val="64B969A0"/>
    <w:rsid w:val="64C40039"/>
    <w:rsid w:val="64CB3D70"/>
    <w:rsid w:val="64E80602"/>
    <w:rsid w:val="64EB4559"/>
    <w:rsid w:val="64F73DDD"/>
    <w:rsid w:val="64F96C64"/>
    <w:rsid w:val="64FD2D60"/>
    <w:rsid w:val="6503533F"/>
    <w:rsid w:val="65101E34"/>
    <w:rsid w:val="651F0123"/>
    <w:rsid w:val="652A6C1E"/>
    <w:rsid w:val="652E0941"/>
    <w:rsid w:val="6537374B"/>
    <w:rsid w:val="653B2033"/>
    <w:rsid w:val="65543616"/>
    <w:rsid w:val="655510C5"/>
    <w:rsid w:val="65804C90"/>
    <w:rsid w:val="65882242"/>
    <w:rsid w:val="658B592E"/>
    <w:rsid w:val="658C052E"/>
    <w:rsid w:val="65930A9E"/>
    <w:rsid w:val="65936F4D"/>
    <w:rsid w:val="659E3C9B"/>
    <w:rsid w:val="65AB182A"/>
    <w:rsid w:val="65B31A18"/>
    <w:rsid w:val="65B630E8"/>
    <w:rsid w:val="65BA2DA7"/>
    <w:rsid w:val="65C04FB8"/>
    <w:rsid w:val="65C11E9B"/>
    <w:rsid w:val="65C90CED"/>
    <w:rsid w:val="65D6774F"/>
    <w:rsid w:val="65D71165"/>
    <w:rsid w:val="65E02E37"/>
    <w:rsid w:val="65E51B62"/>
    <w:rsid w:val="65F35A82"/>
    <w:rsid w:val="66036161"/>
    <w:rsid w:val="66160E96"/>
    <w:rsid w:val="661648EE"/>
    <w:rsid w:val="661B1FB1"/>
    <w:rsid w:val="662924F3"/>
    <w:rsid w:val="662F1AFD"/>
    <w:rsid w:val="663B46CE"/>
    <w:rsid w:val="663C52D1"/>
    <w:rsid w:val="66465D04"/>
    <w:rsid w:val="665F5B86"/>
    <w:rsid w:val="66603091"/>
    <w:rsid w:val="666B6B33"/>
    <w:rsid w:val="666E406D"/>
    <w:rsid w:val="66790615"/>
    <w:rsid w:val="667C588F"/>
    <w:rsid w:val="66941A8F"/>
    <w:rsid w:val="66961FE9"/>
    <w:rsid w:val="66AC43A3"/>
    <w:rsid w:val="66B338AC"/>
    <w:rsid w:val="66B443F6"/>
    <w:rsid w:val="66BD36CE"/>
    <w:rsid w:val="66E305B8"/>
    <w:rsid w:val="66F83A0C"/>
    <w:rsid w:val="66FE00A5"/>
    <w:rsid w:val="672A3F4C"/>
    <w:rsid w:val="672A7CE0"/>
    <w:rsid w:val="673166DB"/>
    <w:rsid w:val="673C5177"/>
    <w:rsid w:val="67417A56"/>
    <w:rsid w:val="675F0447"/>
    <w:rsid w:val="67706CC4"/>
    <w:rsid w:val="677B6569"/>
    <w:rsid w:val="678D188E"/>
    <w:rsid w:val="67906957"/>
    <w:rsid w:val="67941EE0"/>
    <w:rsid w:val="679F2D65"/>
    <w:rsid w:val="67A77AF2"/>
    <w:rsid w:val="67B81E5D"/>
    <w:rsid w:val="67D457B9"/>
    <w:rsid w:val="67DB5CA0"/>
    <w:rsid w:val="67F04776"/>
    <w:rsid w:val="67F7430E"/>
    <w:rsid w:val="67FE3EC7"/>
    <w:rsid w:val="680F47EF"/>
    <w:rsid w:val="68102954"/>
    <w:rsid w:val="681F4440"/>
    <w:rsid w:val="682A52E2"/>
    <w:rsid w:val="682D0AF0"/>
    <w:rsid w:val="683F5366"/>
    <w:rsid w:val="684516CA"/>
    <w:rsid w:val="68454A19"/>
    <w:rsid w:val="685A70FA"/>
    <w:rsid w:val="68604B23"/>
    <w:rsid w:val="68647BB8"/>
    <w:rsid w:val="68857C1D"/>
    <w:rsid w:val="689127B3"/>
    <w:rsid w:val="68955BDD"/>
    <w:rsid w:val="68A80C3C"/>
    <w:rsid w:val="68AA05CD"/>
    <w:rsid w:val="68D53495"/>
    <w:rsid w:val="68DB1E64"/>
    <w:rsid w:val="68E21AFE"/>
    <w:rsid w:val="68EE0C86"/>
    <w:rsid w:val="68F92E98"/>
    <w:rsid w:val="69066F2E"/>
    <w:rsid w:val="691A1C38"/>
    <w:rsid w:val="6930092D"/>
    <w:rsid w:val="693316CA"/>
    <w:rsid w:val="693F73EF"/>
    <w:rsid w:val="694148B0"/>
    <w:rsid w:val="6951717D"/>
    <w:rsid w:val="695C1C3D"/>
    <w:rsid w:val="695C6519"/>
    <w:rsid w:val="695F4C48"/>
    <w:rsid w:val="696D0C7D"/>
    <w:rsid w:val="698F748A"/>
    <w:rsid w:val="69920CF5"/>
    <w:rsid w:val="69950B82"/>
    <w:rsid w:val="69AA42B9"/>
    <w:rsid w:val="69B4492B"/>
    <w:rsid w:val="69BC39B4"/>
    <w:rsid w:val="69BE7DA1"/>
    <w:rsid w:val="69C1395E"/>
    <w:rsid w:val="69C44007"/>
    <w:rsid w:val="69C61A71"/>
    <w:rsid w:val="69CD2E51"/>
    <w:rsid w:val="69D6514A"/>
    <w:rsid w:val="69E3384D"/>
    <w:rsid w:val="69E539A9"/>
    <w:rsid w:val="69F06B28"/>
    <w:rsid w:val="6A087890"/>
    <w:rsid w:val="6A0E16F7"/>
    <w:rsid w:val="6A1357C7"/>
    <w:rsid w:val="6A166B00"/>
    <w:rsid w:val="6A2B0A71"/>
    <w:rsid w:val="6A326A0C"/>
    <w:rsid w:val="6A360121"/>
    <w:rsid w:val="6A3C61C5"/>
    <w:rsid w:val="6A444A96"/>
    <w:rsid w:val="6A4D6551"/>
    <w:rsid w:val="6A502181"/>
    <w:rsid w:val="6A5B2733"/>
    <w:rsid w:val="6A5B6BD7"/>
    <w:rsid w:val="6A6B69AC"/>
    <w:rsid w:val="6A751277"/>
    <w:rsid w:val="6A8655D8"/>
    <w:rsid w:val="6A961B39"/>
    <w:rsid w:val="6A9E391F"/>
    <w:rsid w:val="6AAC0107"/>
    <w:rsid w:val="6AAC25E7"/>
    <w:rsid w:val="6AB144C4"/>
    <w:rsid w:val="6AC1314F"/>
    <w:rsid w:val="6AC27E5C"/>
    <w:rsid w:val="6AC3377F"/>
    <w:rsid w:val="6AC932E9"/>
    <w:rsid w:val="6ACF1342"/>
    <w:rsid w:val="6ADF6074"/>
    <w:rsid w:val="6AF011B8"/>
    <w:rsid w:val="6AFB1413"/>
    <w:rsid w:val="6B0529F2"/>
    <w:rsid w:val="6B2418FE"/>
    <w:rsid w:val="6B2712AD"/>
    <w:rsid w:val="6B2D2EDC"/>
    <w:rsid w:val="6B360DA0"/>
    <w:rsid w:val="6B63672D"/>
    <w:rsid w:val="6B6C6935"/>
    <w:rsid w:val="6B760296"/>
    <w:rsid w:val="6B7B69CC"/>
    <w:rsid w:val="6B8B24A5"/>
    <w:rsid w:val="6B9B1C6C"/>
    <w:rsid w:val="6B9C507B"/>
    <w:rsid w:val="6BAE7F1C"/>
    <w:rsid w:val="6BB151A7"/>
    <w:rsid w:val="6BCB06DB"/>
    <w:rsid w:val="6BDD2225"/>
    <w:rsid w:val="6BFE1686"/>
    <w:rsid w:val="6BFF2AA8"/>
    <w:rsid w:val="6C0B5063"/>
    <w:rsid w:val="6C20436F"/>
    <w:rsid w:val="6C343937"/>
    <w:rsid w:val="6C4F78CF"/>
    <w:rsid w:val="6C510089"/>
    <w:rsid w:val="6C51516B"/>
    <w:rsid w:val="6C624BCB"/>
    <w:rsid w:val="6C6A21A4"/>
    <w:rsid w:val="6C6A4AED"/>
    <w:rsid w:val="6C705954"/>
    <w:rsid w:val="6C746770"/>
    <w:rsid w:val="6C7C1C8C"/>
    <w:rsid w:val="6C854FC6"/>
    <w:rsid w:val="6C8F439E"/>
    <w:rsid w:val="6C9771FA"/>
    <w:rsid w:val="6C9A2157"/>
    <w:rsid w:val="6C9D6D30"/>
    <w:rsid w:val="6CB31069"/>
    <w:rsid w:val="6CC66380"/>
    <w:rsid w:val="6CE92337"/>
    <w:rsid w:val="6CFC589D"/>
    <w:rsid w:val="6D0E3A50"/>
    <w:rsid w:val="6D0F3E64"/>
    <w:rsid w:val="6D1A4BB4"/>
    <w:rsid w:val="6D1E5C16"/>
    <w:rsid w:val="6D2652D3"/>
    <w:rsid w:val="6D2853EA"/>
    <w:rsid w:val="6D2D3858"/>
    <w:rsid w:val="6D433096"/>
    <w:rsid w:val="6D4A61F0"/>
    <w:rsid w:val="6D586D20"/>
    <w:rsid w:val="6D6331C4"/>
    <w:rsid w:val="6D654B77"/>
    <w:rsid w:val="6D834326"/>
    <w:rsid w:val="6D8C4832"/>
    <w:rsid w:val="6D9874DA"/>
    <w:rsid w:val="6D9A63ED"/>
    <w:rsid w:val="6DA01AB6"/>
    <w:rsid w:val="6DAC07D8"/>
    <w:rsid w:val="6DB82F4E"/>
    <w:rsid w:val="6DBA14C2"/>
    <w:rsid w:val="6DC8310C"/>
    <w:rsid w:val="6DCF63C9"/>
    <w:rsid w:val="6DFA1731"/>
    <w:rsid w:val="6E0A18E0"/>
    <w:rsid w:val="6E251D23"/>
    <w:rsid w:val="6E3C5EF7"/>
    <w:rsid w:val="6E573B89"/>
    <w:rsid w:val="6E5E1FB5"/>
    <w:rsid w:val="6E66780E"/>
    <w:rsid w:val="6E8B7009"/>
    <w:rsid w:val="6E90704F"/>
    <w:rsid w:val="6EA16576"/>
    <w:rsid w:val="6EA80E13"/>
    <w:rsid w:val="6EB2187C"/>
    <w:rsid w:val="6EC03E83"/>
    <w:rsid w:val="6ECA68FB"/>
    <w:rsid w:val="6EDA1FE9"/>
    <w:rsid w:val="6EDF5BDD"/>
    <w:rsid w:val="6EE03984"/>
    <w:rsid w:val="6EE20643"/>
    <w:rsid w:val="6EF27F83"/>
    <w:rsid w:val="6EFE6622"/>
    <w:rsid w:val="6F041405"/>
    <w:rsid w:val="6F3C30CF"/>
    <w:rsid w:val="6F3E0FBA"/>
    <w:rsid w:val="6F3E4727"/>
    <w:rsid w:val="6F4E0116"/>
    <w:rsid w:val="6F5B288E"/>
    <w:rsid w:val="6F5B6BDF"/>
    <w:rsid w:val="6F6008BF"/>
    <w:rsid w:val="6F606655"/>
    <w:rsid w:val="6F672AFA"/>
    <w:rsid w:val="6F704A95"/>
    <w:rsid w:val="6F77318A"/>
    <w:rsid w:val="6F7B28B1"/>
    <w:rsid w:val="6F8603C2"/>
    <w:rsid w:val="6F8D56B4"/>
    <w:rsid w:val="6FB61092"/>
    <w:rsid w:val="6FBE49AE"/>
    <w:rsid w:val="6FCB6812"/>
    <w:rsid w:val="6FD87FDB"/>
    <w:rsid w:val="6FDC559B"/>
    <w:rsid w:val="6FDE31CC"/>
    <w:rsid w:val="70014EED"/>
    <w:rsid w:val="700F335A"/>
    <w:rsid w:val="70101B35"/>
    <w:rsid w:val="70157D6A"/>
    <w:rsid w:val="702638A7"/>
    <w:rsid w:val="70375E28"/>
    <w:rsid w:val="70422D9F"/>
    <w:rsid w:val="70485BBB"/>
    <w:rsid w:val="705E3E7B"/>
    <w:rsid w:val="706D5895"/>
    <w:rsid w:val="70753D2A"/>
    <w:rsid w:val="70765D94"/>
    <w:rsid w:val="70792BB8"/>
    <w:rsid w:val="709B1C03"/>
    <w:rsid w:val="70BA4778"/>
    <w:rsid w:val="70CD5E47"/>
    <w:rsid w:val="70DE2DEF"/>
    <w:rsid w:val="70F94A8E"/>
    <w:rsid w:val="70F96F59"/>
    <w:rsid w:val="70FD0992"/>
    <w:rsid w:val="70FE06D2"/>
    <w:rsid w:val="711063AA"/>
    <w:rsid w:val="7116252D"/>
    <w:rsid w:val="712A02F8"/>
    <w:rsid w:val="712D533B"/>
    <w:rsid w:val="714A4437"/>
    <w:rsid w:val="714B3118"/>
    <w:rsid w:val="71813B43"/>
    <w:rsid w:val="71821A53"/>
    <w:rsid w:val="71923D7F"/>
    <w:rsid w:val="719547AA"/>
    <w:rsid w:val="719C1555"/>
    <w:rsid w:val="71A24A17"/>
    <w:rsid w:val="71AA798B"/>
    <w:rsid w:val="71B51B7F"/>
    <w:rsid w:val="71C178DE"/>
    <w:rsid w:val="71CC7824"/>
    <w:rsid w:val="71CD5065"/>
    <w:rsid w:val="71D36237"/>
    <w:rsid w:val="71D51EC3"/>
    <w:rsid w:val="71E03B95"/>
    <w:rsid w:val="71E66512"/>
    <w:rsid w:val="71EC10E2"/>
    <w:rsid w:val="71FA6C3C"/>
    <w:rsid w:val="72011B54"/>
    <w:rsid w:val="72061AEE"/>
    <w:rsid w:val="720B100D"/>
    <w:rsid w:val="720D62B6"/>
    <w:rsid w:val="721D0E7F"/>
    <w:rsid w:val="721E19A8"/>
    <w:rsid w:val="723D55C1"/>
    <w:rsid w:val="7245020D"/>
    <w:rsid w:val="72495261"/>
    <w:rsid w:val="72542E7C"/>
    <w:rsid w:val="726D40F3"/>
    <w:rsid w:val="72832CAC"/>
    <w:rsid w:val="728B78C4"/>
    <w:rsid w:val="72AC07D6"/>
    <w:rsid w:val="72B43E5C"/>
    <w:rsid w:val="72BB1A4F"/>
    <w:rsid w:val="72C44819"/>
    <w:rsid w:val="72CE038D"/>
    <w:rsid w:val="72DB1139"/>
    <w:rsid w:val="72E0071B"/>
    <w:rsid w:val="72E92B46"/>
    <w:rsid w:val="72EE159C"/>
    <w:rsid w:val="730311FF"/>
    <w:rsid w:val="73034484"/>
    <w:rsid w:val="73222FD5"/>
    <w:rsid w:val="732B4800"/>
    <w:rsid w:val="7332410F"/>
    <w:rsid w:val="73384AA7"/>
    <w:rsid w:val="73390A1E"/>
    <w:rsid w:val="73446A3A"/>
    <w:rsid w:val="734F4FA8"/>
    <w:rsid w:val="73501977"/>
    <w:rsid w:val="735F4F07"/>
    <w:rsid w:val="73665951"/>
    <w:rsid w:val="73683A84"/>
    <w:rsid w:val="736B3F4E"/>
    <w:rsid w:val="739C6F7D"/>
    <w:rsid w:val="739F0D41"/>
    <w:rsid w:val="73B2093B"/>
    <w:rsid w:val="73BF200D"/>
    <w:rsid w:val="73D14577"/>
    <w:rsid w:val="73EE71CE"/>
    <w:rsid w:val="73FD2CDB"/>
    <w:rsid w:val="740D15DE"/>
    <w:rsid w:val="74206794"/>
    <w:rsid w:val="744B37C6"/>
    <w:rsid w:val="7469592D"/>
    <w:rsid w:val="7477381A"/>
    <w:rsid w:val="748C3878"/>
    <w:rsid w:val="74A577A6"/>
    <w:rsid w:val="74A67019"/>
    <w:rsid w:val="74A713C6"/>
    <w:rsid w:val="74C64294"/>
    <w:rsid w:val="74D226AF"/>
    <w:rsid w:val="74D952F7"/>
    <w:rsid w:val="74EC5D99"/>
    <w:rsid w:val="75085243"/>
    <w:rsid w:val="75124A48"/>
    <w:rsid w:val="751D6F69"/>
    <w:rsid w:val="752A1E2F"/>
    <w:rsid w:val="75402DFC"/>
    <w:rsid w:val="75444681"/>
    <w:rsid w:val="754665B4"/>
    <w:rsid w:val="75483490"/>
    <w:rsid w:val="754B3449"/>
    <w:rsid w:val="75505DEB"/>
    <w:rsid w:val="755E46AE"/>
    <w:rsid w:val="757F7991"/>
    <w:rsid w:val="75815957"/>
    <w:rsid w:val="75907B21"/>
    <w:rsid w:val="75931175"/>
    <w:rsid w:val="759D203D"/>
    <w:rsid w:val="759E5F26"/>
    <w:rsid w:val="75A256C1"/>
    <w:rsid w:val="75B33DFB"/>
    <w:rsid w:val="75BD690E"/>
    <w:rsid w:val="75C402FB"/>
    <w:rsid w:val="75C6213C"/>
    <w:rsid w:val="75D93D0E"/>
    <w:rsid w:val="75DF6791"/>
    <w:rsid w:val="760839C6"/>
    <w:rsid w:val="760A0E41"/>
    <w:rsid w:val="761A0BB4"/>
    <w:rsid w:val="76416670"/>
    <w:rsid w:val="764D3071"/>
    <w:rsid w:val="765F3174"/>
    <w:rsid w:val="7661781C"/>
    <w:rsid w:val="76622FFC"/>
    <w:rsid w:val="76687222"/>
    <w:rsid w:val="766A1C8D"/>
    <w:rsid w:val="766C5073"/>
    <w:rsid w:val="767B0B0E"/>
    <w:rsid w:val="767D4D76"/>
    <w:rsid w:val="767D5DB1"/>
    <w:rsid w:val="767F1CE3"/>
    <w:rsid w:val="76826FD5"/>
    <w:rsid w:val="76AD18C2"/>
    <w:rsid w:val="76B8407C"/>
    <w:rsid w:val="76B96F36"/>
    <w:rsid w:val="76C24915"/>
    <w:rsid w:val="76F04BB9"/>
    <w:rsid w:val="76F344AF"/>
    <w:rsid w:val="76F94124"/>
    <w:rsid w:val="77073D6D"/>
    <w:rsid w:val="771F0A89"/>
    <w:rsid w:val="77210665"/>
    <w:rsid w:val="772B760F"/>
    <w:rsid w:val="772E3B6A"/>
    <w:rsid w:val="7738068F"/>
    <w:rsid w:val="773F54D4"/>
    <w:rsid w:val="77402897"/>
    <w:rsid w:val="774E4C6B"/>
    <w:rsid w:val="774F6BF4"/>
    <w:rsid w:val="77544315"/>
    <w:rsid w:val="775E693B"/>
    <w:rsid w:val="776526E2"/>
    <w:rsid w:val="77682FD7"/>
    <w:rsid w:val="778831DB"/>
    <w:rsid w:val="77B268FA"/>
    <w:rsid w:val="77CB4236"/>
    <w:rsid w:val="77DD3755"/>
    <w:rsid w:val="77E82B79"/>
    <w:rsid w:val="78060881"/>
    <w:rsid w:val="782448BB"/>
    <w:rsid w:val="78457ECA"/>
    <w:rsid w:val="784F504A"/>
    <w:rsid w:val="786E4FB6"/>
    <w:rsid w:val="787A4046"/>
    <w:rsid w:val="7885302D"/>
    <w:rsid w:val="78854EA3"/>
    <w:rsid w:val="78911D3F"/>
    <w:rsid w:val="78A74C21"/>
    <w:rsid w:val="78B46D34"/>
    <w:rsid w:val="78B706B4"/>
    <w:rsid w:val="78CE63E1"/>
    <w:rsid w:val="78E57EE2"/>
    <w:rsid w:val="78F36B14"/>
    <w:rsid w:val="78F60414"/>
    <w:rsid w:val="79092B8D"/>
    <w:rsid w:val="79103403"/>
    <w:rsid w:val="79264A09"/>
    <w:rsid w:val="79335461"/>
    <w:rsid w:val="794A34E9"/>
    <w:rsid w:val="7974414E"/>
    <w:rsid w:val="797C2BBB"/>
    <w:rsid w:val="79882DCB"/>
    <w:rsid w:val="798F01DA"/>
    <w:rsid w:val="79AF5EF9"/>
    <w:rsid w:val="79B4358F"/>
    <w:rsid w:val="79B64019"/>
    <w:rsid w:val="79CB6849"/>
    <w:rsid w:val="79D84AC6"/>
    <w:rsid w:val="79DC0E4D"/>
    <w:rsid w:val="7A032D54"/>
    <w:rsid w:val="7A150846"/>
    <w:rsid w:val="7A332431"/>
    <w:rsid w:val="7A38234A"/>
    <w:rsid w:val="7A3A2988"/>
    <w:rsid w:val="7A3E180D"/>
    <w:rsid w:val="7A451974"/>
    <w:rsid w:val="7A550088"/>
    <w:rsid w:val="7A590E7A"/>
    <w:rsid w:val="7A604D9C"/>
    <w:rsid w:val="7A620896"/>
    <w:rsid w:val="7A6B072C"/>
    <w:rsid w:val="7A6F3E2A"/>
    <w:rsid w:val="7A8579BE"/>
    <w:rsid w:val="7A941AD3"/>
    <w:rsid w:val="7A9B4D04"/>
    <w:rsid w:val="7AA045D7"/>
    <w:rsid w:val="7AA170FC"/>
    <w:rsid w:val="7AA95D86"/>
    <w:rsid w:val="7AB73C0A"/>
    <w:rsid w:val="7AC27B78"/>
    <w:rsid w:val="7AC8400E"/>
    <w:rsid w:val="7ACC6D78"/>
    <w:rsid w:val="7AD63D87"/>
    <w:rsid w:val="7AD67642"/>
    <w:rsid w:val="7AD93F18"/>
    <w:rsid w:val="7ADC3CD1"/>
    <w:rsid w:val="7AE14945"/>
    <w:rsid w:val="7AE43B48"/>
    <w:rsid w:val="7AE61477"/>
    <w:rsid w:val="7AFE4C8C"/>
    <w:rsid w:val="7B080CE1"/>
    <w:rsid w:val="7B093CE4"/>
    <w:rsid w:val="7B2702E4"/>
    <w:rsid w:val="7B322FD5"/>
    <w:rsid w:val="7B3D09CF"/>
    <w:rsid w:val="7B834271"/>
    <w:rsid w:val="7B94300A"/>
    <w:rsid w:val="7B94326A"/>
    <w:rsid w:val="7BBF07ED"/>
    <w:rsid w:val="7BC751F2"/>
    <w:rsid w:val="7BD34C72"/>
    <w:rsid w:val="7BD5496F"/>
    <w:rsid w:val="7BD74E1D"/>
    <w:rsid w:val="7BE809D9"/>
    <w:rsid w:val="7BEE6369"/>
    <w:rsid w:val="7C1304B8"/>
    <w:rsid w:val="7C1F4C13"/>
    <w:rsid w:val="7C21281F"/>
    <w:rsid w:val="7C2B603A"/>
    <w:rsid w:val="7C3E0521"/>
    <w:rsid w:val="7C3F49E3"/>
    <w:rsid w:val="7C422572"/>
    <w:rsid w:val="7C4565D9"/>
    <w:rsid w:val="7C482A62"/>
    <w:rsid w:val="7C492BE2"/>
    <w:rsid w:val="7C4C347A"/>
    <w:rsid w:val="7C4C5D14"/>
    <w:rsid w:val="7C566EC4"/>
    <w:rsid w:val="7C6458DA"/>
    <w:rsid w:val="7C663902"/>
    <w:rsid w:val="7C6F0D41"/>
    <w:rsid w:val="7C8313D5"/>
    <w:rsid w:val="7C841343"/>
    <w:rsid w:val="7C8965AC"/>
    <w:rsid w:val="7CA41D43"/>
    <w:rsid w:val="7CAF774C"/>
    <w:rsid w:val="7CCA02A0"/>
    <w:rsid w:val="7CDC46C4"/>
    <w:rsid w:val="7CFB7BF8"/>
    <w:rsid w:val="7D0758E2"/>
    <w:rsid w:val="7D366D5F"/>
    <w:rsid w:val="7D4279E6"/>
    <w:rsid w:val="7D512681"/>
    <w:rsid w:val="7D52556E"/>
    <w:rsid w:val="7D5A6C6A"/>
    <w:rsid w:val="7D6877C2"/>
    <w:rsid w:val="7D6D24BA"/>
    <w:rsid w:val="7D7A3D73"/>
    <w:rsid w:val="7D886B71"/>
    <w:rsid w:val="7D9649A4"/>
    <w:rsid w:val="7DB01704"/>
    <w:rsid w:val="7DB5432B"/>
    <w:rsid w:val="7DB60EA6"/>
    <w:rsid w:val="7DBE4F30"/>
    <w:rsid w:val="7DC66FDF"/>
    <w:rsid w:val="7DC85EF5"/>
    <w:rsid w:val="7DCB703F"/>
    <w:rsid w:val="7DE84C50"/>
    <w:rsid w:val="7DE956FE"/>
    <w:rsid w:val="7DEE777A"/>
    <w:rsid w:val="7DEF7F2E"/>
    <w:rsid w:val="7DF2580E"/>
    <w:rsid w:val="7E014C68"/>
    <w:rsid w:val="7E1359A9"/>
    <w:rsid w:val="7E2704D3"/>
    <w:rsid w:val="7E323DFA"/>
    <w:rsid w:val="7E38052A"/>
    <w:rsid w:val="7E4751C6"/>
    <w:rsid w:val="7E620F10"/>
    <w:rsid w:val="7E640454"/>
    <w:rsid w:val="7E775F4D"/>
    <w:rsid w:val="7E78690A"/>
    <w:rsid w:val="7E822DF0"/>
    <w:rsid w:val="7E8233AF"/>
    <w:rsid w:val="7E92450D"/>
    <w:rsid w:val="7EA048B9"/>
    <w:rsid w:val="7EA614C0"/>
    <w:rsid w:val="7EAF31D6"/>
    <w:rsid w:val="7EC94687"/>
    <w:rsid w:val="7ECB3A95"/>
    <w:rsid w:val="7EDE5ECA"/>
    <w:rsid w:val="7EDE6671"/>
    <w:rsid w:val="7EEC1918"/>
    <w:rsid w:val="7EF405DB"/>
    <w:rsid w:val="7EFA03B0"/>
    <w:rsid w:val="7F18449F"/>
    <w:rsid w:val="7F237148"/>
    <w:rsid w:val="7F2829BF"/>
    <w:rsid w:val="7F4F5530"/>
    <w:rsid w:val="7F4F70E7"/>
    <w:rsid w:val="7F5D1676"/>
    <w:rsid w:val="7F5F4873"/>
    <w:rsid w:val="7F6032BE"/>
    <w:rsid w:val="7F753B79"/>
    <w:rsid w:val="7F7841AC"/>
    <w:rsid w:val="7F8C5D78"/>
    <w:rsid w:val="7F967796"/>
    <w:rsid w:val="7F9D2CA9"/>
    <w:rsid w:val="7FBD0853"/>
    <w:rsid w:val="7FDA577E"/>
    <w:rsid w:val="7FDF491C"/>
    <w:rsid w:val="7FE46BA0"/>
    <w:rsid w:val="7FF30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iPriority="0" w:name="heading 8"/>
    <w:lsdException w:qFormat="1" w:unhideWhenUsed="0" w:uiPriority="0" w:semiHidden="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75"/>
    <w:qFormat/>
    <w:uiPriority w:val="9"/>
    <w:pPr>
      <w:keepNext/>
      <w:jc w:val="center"/>
      <w:outlineLvl w:val="0"/>
    </w:pPr>
    <w:rPr>
      <w:b/>
      <w:sz w:val="28"/>
    </w:rPr>
  </w:style>
  <w:style w:type="paragraph" w:styleId="2">
    <w:name w:val="heading 2"/>
    <w:basedOn w:val="1"/>
    <w:next w:val="1"/>
    <w:link w:val="11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23"/>
    <w:qFormat/>
    <w:uiPriority w:val="9"/>
    <w:pPr>
      <w:keepNext/>
      <w:keepLines/>
      <w:spacing w:before="260" w:after="260" w:line="416" w:lineRule="auto"/>
      <w:outlineLvl w:val="2"/>
    </w:pPr>
    <w:rPr>
      <w:b/>
      <w:bCs/>
      <w:sz w:val="32"/>
      <w:szCs w:val="32"/>
    </w:rPr>
  </w:style>
  <w:style w:type="paragraph" w:styleId="5">
    <w:name w:val="heading 4"/>
    <w:basedOn w:val="1"/>
    <w:next w:val="1"/>
    <w:link w:val="82"/>
    <w:qFormat/>
    <w:uiPriority w:val="0"/>
    <w:pPr>
      <w:widowControl/>
      <w:spacing w:before="100" w:beforeAutospacing="1" w:after="100" w:afterAutospacing="1"/>
      <w:jc w:val="left"/>
      <w:outlineLvl w:val="3"/>
    </w:pPr>
    <w:rPr>
      <w:rFonts w:ascii="宋体" w:hAnsi="宋体"/>
      <w:b/>
      <w:bCs/>
      <w:kern w:val="0"/>
      <w:sz w:val="24"/>
      <w:szCs w:val="24"/>
    </w:rPr>
  </w:style>
  <w:style w:type="paragraph" w:styleId="6">
    <w:name w:val="heading 5"/>
    <w:basedOn w:val="1"/>
    <w:next w:val="1"/>
    <w:link w:val="76"/>
    <w:qFormat/>
    <w:uiPriority w:val="0"/>
    <w:pPr>
      <w:widowControl/>
      <w:spacing w:before="100" w:beforeAutospacing="1" w:after="100" w:afterAutospacing="1"/>
      <w:jc w:val="left"/>
      <w:outlineLvl w:val="4"/>
    </w:pPr>
    <w:rPr>
      <w:rFonts w:ascii="Arial Unicode MS" w:hAnsi="Arial Unicode MS" w:eastAsia="Arial Unicode MS"/>
      <w:b/>
      <w:bCs/>
      <w:kern w:val="0"/>
      <w:sz w:val="20"/>
    </w:rPr>
  </w:style>
  <w:style w:type="paragraph" w:styleId="7">
    <w:name w:val="heading 6"/>
    <w:basedOn w:val="1"/>
    <w:next w:val="1"/>
    <w:link w:val="159"/>
    <w:qFormat/>
    <w:uiPriority w:val="0"/>
    <w:pPr>
      <w:widowControl/>
      <w:spacing w:before="100" w:beforeAutospacing="1" w:after="100" w:afterAutospacing="1"/>
      <w:jc w:val="left"/>
      <w:outlineLvl w:val="5"/>
    </w:pPr>
    <w:rPr>
      <w:rFonts w:ascii="宋体" w:hAnsi="宋体"/>
      <w:b/>
      <w:bCs/>
      <w:kern w:val="0"/>
      <w:sz w:val="15"/>
      <w:szCs w:val="15"/>
    </w:rPr>
  </w:style>
  <w:style w:type="paragraph" w:styleId="8">
    <w:name w:val="heading 7"/>
    <w:basedOn w:val="1"/>
    <w:next w:val="1"/>
    <w:link w:val="147"/>
    <w:qFormat/>
    <w:uiPriority w:val="9"/>
    <w:pPr>
      <w:keepNext/>
      <w:keepLines/>
      <w:tabs>
        <w:tab w:val="left" w:pos="420"/>
      </w:tabs>
      <w:autoSpaceDN w:val="0"/>
      <w:spacing w:before="240" w:after="64" w:line="320" w:lineRule="auto"/>
      <w:ind w:left="420" w:hanging="420"/>
      <w:outlineLvl w:val="6"/>
    </w:pPr>
    <w:rPr>
      <w:rFonts w:ascii="仿宋_GB2312" w:hAnsi="宋体" w:eastAsia="仿宋_GB2312" w:cs="宋体"/>
      <w:b/>
      <w:bCs/>
      <w:sz w:val="24"/>
      <w:szCs w:val="24"/>
    </w:rPr>
  </w:style>
  <w:style w:type="paragraph" w:styleId="9">
    <w:name w:val="heading 9"/>
    <w:basedOn w:val="1"/>
    <w:next w:val="10"/>
    <w:link w:val="83"/>
    <w:qFormat/>
    <w:uiPriority w:val="0"/>
    <w:pPr>
      <w:autoSpaceDE w:val="0"/>
      <w:autoSpaceDN w:val="0"/>
      <w:adjustRightInd w:val="0"/>
      <w:spacing w:before="200" w:after="200" w:line="360" w:lineRule="auto"/>
      <w:jc w:val="left"/>
      <w:outlineLvl w:val="8"/>
    </w:pPr>
    <w:rPr>
      <w:rFonts w:ascii="黑体" w:hAnsi="Arial" w:eastAsia="黑体"/>
      <w:kern w:val="0"/>
      <w:sz w:val="28"/>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10">
    <w:name w:val="正文（首行缩进两字）"/>
    <w:basedOn w:val="1"/>
    <w:qFormat/>
    <w:uiPriority w:val="0"/>
    <w:pPr>
      <w:autoSpaceDN w:val="0"/>
    </w:pPr>
    <w:rPr>
      <w:rFonts w:ascii="仿宋_GB2312" w:hAnsi="宋体" w:eastAsia="仿宋_GB2312" w:cs="宋体"/>
      <w:sz w:val="28"/>
      <w:szCs w:val="24"/>
    </w:rPr>
  </w:style>
  <w:style w:type="paragraph" w:styleId="11">
    <w:name w:val="toc 7"/>
    <w:basedOn w:val="1"/>
    <w:next w:val="1"/>
    <w:unhideWhenUsed/>
    <w:qFormat/>
    <w:uiPriority w:val="0"/>
    <w:pPr>
      <w:ind w:left="1260"/>
      <w:jc w:val="left"/>
    </w:pPr>
    <w:rPr>
      <w:szCs w:val="21"/>
    </w:rPr>
  </w:style>
  <w:style w:type="paragraph" w:styleId="12">
    <w:name w:val="Normal Indent"/>
    <w:basedOn w:val="1"/>
    <w:link w:val="139"/>
    <w:qFormat/>
    <w:uiPriority w:val="0"/>
    <w:pPr>
      <w:snapToGrid w:val="0"/>
      <w:spacing w:line="360" w:lineRule="auto"/>
      <w:ind w:firstLine="567"/>
    </w:pPr>
    <w:rPr>
      <w:sz w:val="28"/>
    </w:rPr>
  </w:style>
  <w:style w:type="paragraph" w:styleId="13">
    <w:name w:val="Document Map"/>
    <w:basedOn w:val="1"/>
    <w:link w:val="173"/>
    <w:unhideWhenUsed/>
    <w:qFormat/>
    <w:uiPriority w:val="0"/>
    <w:pPr>
      <w:shd w:val="clear" w:color="auto" w:fill="000080"/>
    </w:pPr>
  </w:style>
  <w:style w:type="paragraph" w:styleId="14">
    <w:name w:val="annotation text"/>
    <w:basedOn w:val="1"/>
    <w:link w:val="119"/>
    <w:qFormat/>
    <w:uiPriority w:val="0"/>
    <w:pPr>
      <w:jc w:val="left"/>
    </w:pPr>
  </w:style>
  <w:style w:type="paragraph" w:styleId="15">
    <w:name w:val="Salutation"/>
    <w:basedOn w:val="1"/>
    <w:next w:val="1"/>
    <w:link w:val="109"/>
    <w:qFormat/>
    <w:uiPriority w:val="0"/>
    <w:rPr>
      <w:rFonts w:ascii="宋体" w:hAnsi="Bookman Old Style"/>
    </w:rPr>
  </w:style>
  <w:style w:type="paragraph" w:styleId="16">
    <w:name w:val="Closing"/>
    <w:basedOn w:val="1"/>
    <w:next w:val="1"/>
    <w:link w:val="163"/>
    <w:qFormat/>
    <w:uiPriority w:val="0"/>
    <w:pPr>
      <w:ind w:left="4320"/>
    </w:pPr>
    <w:rPr>
      <w:rFonts w:ascii="宋体" w:hAnsi="Bookman Old Style"/>
    </w:rPr>
  </w:style>
  <w:style w:type="paragraph" w:styleId="17">
    <w:name w:val="Body Text"/>
    <w:basedOn w:val="1"/>
    <w:link w:val="142"/>
    <w:qFormat/>
    <w:uiPriority w:val="0"/>
    <w:pPr>
      <w:spacing w:line="360" w:lineRule="auto"/>
    </w:pPr>
    <w:rPr>
      <w:rFonts w:ascii="宋体"/>
      <w:spacing w:val="10"/>
      <w:sz w:val="24"/>
    </w:rPr>
  </w:style>
  <w:style w:type="paragraph" w:styleId="18">
    <w:name w:val="Body Text Indent"/>
    <w:basedOn w:val="1"/>
    <w:link w:val="92"/>
    <w:qFormat/>
    <w:uiPriority w:val="0"/>
    <w:pPr>
      <w:ind w:firstLine="525"/>
    </w:pPr>
    <w:rPr>
      <w:sz w:val="28"/>
    </w:rPr>
  </w:style>
  <w:style w:type="paragraph" w:styleId="19">
    <w:name w:val="List 2"/>
    <w:basedOn w:val="1"/>
    <w:qFormat/>
    <w:uiPriority w:val="0"/>
    <w:pPr>
      <w:adjustRightInd w:val="0"/>
      <w:spacing w:line="312" w:lineRule="atLeast"/>
      <w:ind w:left="840" w:hanging="420"/>
      <w:textAlignment w:val="baseline"/>
    </w:pPr>
    <w:rPr>
      <w:kern w:val="0"/>
    </w:rPr>
  </w:style>
  <w:style w:type="paragraph" w:styleId="20">
    <w:name w:val="Block Text"/>
    <w:basedOn w:val="1"/>
    <w:qFormat/>
    <w:uiPriority w:val="0"/>
    <w:pPr>
      <w:ind w:left="56" w:leftChars="20" w:right="285" w:hanging="2"/>
    </w:pPr>
    <w:rPr>
      <w:snapToGrid w:val="0"/>
      <w:kern w:val="0"/>
    </w:rPr>
  </w:style>
  <w:style w:type="paragraph" w:styleId="21">
    <w:name w:val="toc 5"/>
    <w:basedOn w:val="1"/>
    <w:next w:val="1"/>
    <w:unhideWhenUsed/>
    <w:qFormat/>
    <w:uiPriority w:val="0"/>
    <w:pPr>
      <w:ind w:left="840"/>
      <w:jc w:val="left"/>
    </w:pPr>
    <w:rPr>
      <w:szCs w:val="21"/>
    </w:rPr>
  </w:style>
  <w:style w:type="paragraph" w:styleId="22">
    <w:name w:val="toc 3"/>
    <w:basedOn w:val="1"/>
    <w:next w:val="1"/>
    <w:unhideWhenUsed/>
    <w:qFormat/>
    <w:uiPriority w:val="39"/>
    <w:pPr>
      <w:ind w:left="840" w:leftChars="400"/>
    </w:pPr>
    <w:rPr>
      <w:rFonts w:ascii="Calibri" w:hAnsi="Calibri"/>
      <w:szCs w:val="22"/>
    </w:rPr>
  </w:style>
  <w:style w:type="paragraph" w:styleId="23">
    <w:name w:val="Plain Text"/>
    <w:basedOn w:val="1"/>
    <w:link w:val="77"/>
    <w:qFormat/>
    <w:uiPriority w:val="0"/>
    <w:rPr>
      <w:rFonts w:ascii="宋体" w:hAnsi="Courier New"/>
    </w:rPr>
  </w:style>
  <w:style w:type="paragraph" w:styleId="24">
    <w:name w:val="toc 8"/>
    <w:basedOn w:val="1"/>
    <w:next w:val="1"/>
    <w:unhideWhenUsed/>
    <w:qFormat/>
    <w:uiPriority w:val="0"/>
    <w:pPr>
      <w:ind w:left="1470"/>
      <w:jc w:val="left"/>
    </w:pPr>
    <w:rPr>
      <w:szCs w:val="21"/>
    </w:rPr>
  </w:style>
  <w:style w:type="paragraph" w:styleId="25">
    <w:name w:val="Date"/>
    <w:basedOn w:val="1"/>
    <w:next w:val="1"/>
    <w:link w:val="145"/>
    <w:qFormat/>
    <w:uiPriority w:val="0"/>
  </w:style>
  <w:style w:type="paragraph" w:styleId="26">
    <w:name w:val="Body Text Indent 2"/>
    <w:basedOn w:val="1"/>
    <w:link w:val="137"/>
    <w:qFormat/>
    <w:uiPriority w:val="0"/>
    <w:pPr>
      <w:spacing w:line="360" w:lineRule="auto"/>
      <w:ind w:left="476" w:hanging="238"/>
      <w:jc w:val="left"/>
    </w:pPr>
    <w:rPr>
      <w:rFonts w:ascii="宋体" w:hAnsi="Bookman Old Style"/>
    </w:rPr>
  </w:style>
  <w:style w:type="paragraph" w:styleId="27">
    <w:name w:val="Balloon Text"/>
    <w:basedOn w:val="1"/>
    <w:link w:val="131"/>
    <w:qFormat/>
    <w:uiPriority w:val="99"/>
    <w:rPr>
      <w:sz w:val="18"/>
      <w:szCs w:val="18"/>
    </w:rPr>
  </w:style>
  <w:style w:type="paragraph" w:styleId="28">
    <w:name w:val="footer"/>
    <w:basedOn w:val="1"/>
    <w:link w:val="160"/>
    <w:qFormat/>
    <w:uiPriority w:val="99"/>
    <w:pPr>
      <w:tabs>
        <w:tab w:val="center" w:pos="4153"/>
        <w:tab w:val="right" w:pos="8306"/>
      </w:tabs>
      <w:snapToGrid w:val="0"/>
      <w:jc w:val="left"/>
    </w:pPr>
    <w:rPr>
      <w:sz w:val="18"/>
    </w:rPr>
  </w:style>
  <w:style w:type="paragraph" w:styleId="29">
    <w:name w:val="header"/>
    <w:basedOn w:val="1"/>
    <w:link w:val="68"/>
    <w:qFormat/>
    <w:uiPriority w:val="99"/>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39"/>
    <w:pPr>
      <w:tabs>
        <w:tab w:val="right" w:leader="dot" w:pos="8448"/>
      </w:tabs>
    </w:pPr>
  </w:style>
  <w:style w:type="paragraph" w:styleId="31">
    <w:name w:val="toc 4"/>
    <w:basedOn w:val="1"/>
    <w:next w:val="1"/>
    <w:unhideWhenUsed/>
    <w:qFormat/>
    <w:uiPriority w:val="0"/>
    <w:pPr>
      <w:ind w:left="630"/>
      <w:jc w:val="left"/>
    </w:pPr>
    <w:rPr>
      <w:szCs w:val="21"/>
    </w:rPr>
  </w:style>
  <w:style w:type="paragraph" w:styleId="32">
    <w:name w:val="List"/>
    <w:basedOn w:val="1"/>
    <w:qFormat/>
    <w:uiPriority w:val="0"/>
    <w:pPr>
      <w:ind w:left="200" w:hanging="200" w:hangingChars="200"/>
      <w:contextualSpacing/>
    </w:pPr>
  </w:style>
  <w:style w:type="paragraph" w:styleId="33">
    <w:name w:val="footnote text"/>
    <w:basedOn w:val="1"/>
    <w:link w:val="75"/>
    <w:qFormat/>
    <w:uiPriority w:val="0"/>
    <w:pPr>
      <w:adjustRightInd w:val="0"/>
      <w:spacing w:line="312" w:lineRule="atLeast"/>
      <w:jc w:val="left"/>
      <w:textAlignment w:val="baseline"/>
    </w:pPr>
    <w:rPr>
      <w:kern w:val="0"/>
      <w:sz w:val="18"/>
    </w:rPr>
  </w:style>
  <w:style w:type="paragraph" w:styleId="34">
    <w:name w:val="toc 6"/>
    <w:basedOn w:val="1"/>
    <w:next w:val="1"/>
    <w:unhideWhenUsed/>
    <w:qFormat/>
    <w:uiPriority w:val="0"/>
    <w:pPr>
      <w:ind w:left="1050"/>
      <w:jc w:val="left"/>
    </w:pPr>
    <w:rPr>
      <w:szCs w:val="21"/>
    </w:rPr>
  </w:style>
  <w:style w:type="paragraph" w:styleId="35">
    <w:name w:val="Body Text Indent 3"/>
    <w:basedOn w:val="1"/>
    <w:link w:val="154"/>
    <w:qFormat/>
    <w:uiPriority w:val="0"/>
    <w:pPr>
      <w:spacing w:line="360" w:lineRule="auto"/>
      <w:ind w:firstLine="525"/>
    </w:pPr>
    <w:rPr>
      <w:kern w:val="0"/>
      <w:sz w:val="24"/>
    </w:rPr>
  </w:style>
  <w:style w:type="paragraph" w:styleId="36">
    <w:name w:val="table of figures"/>
    <w:basedOn w:val="1"/>
    <w:next w:val="1"/>
    <w:qFormat/>
    <w:uiPriority w:val="0"/>
    <w:pPr>
      <w:adjustRightInd w:val="0"/>
      <w:snapToGrid w:val="0"/>
    </w:pPr>
    <w:rPr>
      <w:rFonts w:ascii="华文细黑" w:eastAsia="华文细黑"/>
      <w:b/>
      <w:sz w:val="18"/>
      <w:szCs w:val="18"/>
    </w:rPr>
  </w:style>
  <w:style w:type="paragraph" w:styleId="37">
    <w:name w:val="toc 2"/>
    <w:basedOn w:val="1"/>
    <w:next w:val="1"/>
    <w:qFormat/>
    <w:uiPriority w:val="39"/>
    <w:pPr>
      <w:ind w:left="420" w:leftChars="200"/>
    </w:pPr>
  </w:style>
  <w:style w:type="paragraph" w:styleId="38">
    <w:name w:val="toc 9"/>
    <w:basedOn w:val="1"/>
    <w:next w:val="1"/>
    <w:unhideWhenUsed/>
    <w:qFormat/>
    <w:uiPriority w:val="0"/>
    <w:pPr>
      <w:ind w:left="1680"/>
      <w:jc w:val="left"/>
    </w:pPr>
    <w:rPr>
      <w:szCs w:val="21"/>
    </w:rPr>
  </w:style>
  <w:style w:type="paragraph" w:styleId="39">
    <w:name w:val="Body Text 2"/>
    <w:basedOn w:val="1"/>
    <w:link w:val="115"/>
    <w:qFormat/>
    <w:uiPriority w:val="0"/>
    <w:pPr>
      <w:adjustRightInd w:val="0"/>
      <w:snapToGrid w:val="0"/>
      <w:jc w:val="center"/>
    </w:pPr>
    <w:rPr>
      <w:rFonts w:eastAsia="仿宋_GB2312"/>
      <w:spacing w:val="-8"/>
    </w:rPr>
  </w:style>
  <w:style w:type="paragraph" w:styleId="40">
    <w:name w:val="HTML Preformatted"/>
    <w:basedOn w:val="1"/>
    <w:link w:val="1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41">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42">
    <w:name w:val="index 1"/>
    <w:basedOn w:val="1"/>
    <w:next w:val="1"/>
    <w:unhideWhenUsed/>
    <w:qFormat/>
    <w:uiPriority w:val="99"/>
    <w:rPr>
      <w:rFonts w:eastAsia="仿宋_GB2312"/>
    </w:rPr>
  </w:style>
  <w:style w:type="paragraph" w:styleId="43">
    <w:name w:val="Title"/>
    <w:basedOn w:val="6"/>
    <w:link w:val="67"/>
    <w:qFormat/>
    <w:uiPriority w:val="10"/>
    <w:pPr>
      <w:spacing w:beforeLines="100" w:afterLines="100"/>
      <w:ind w:firstLine="320" w:firstLineChars="38"/>
      <w:jc w:val="center"/>
    </w:pPr>
    <w:rPr>
      <w:rFonts w:ascii="黑体" w:hAnsi="宋体" w:eastAsia="黑体"/>
      <w:sz w:val="84"/>
      <w:szCs w:val="84"/>
    </w:rPr>
  </w:style>
  <w:style w:type="paragraph" w:styleId="44">
    <w:name w:val="annotation subject"/>
    <w:basedOn w:val="14"/>
    <w:next w:val="14"/>
    <w:link w:val="118"/>
    <w:qFormat/>
    <w:uiPriority w:val="0"/>
    <w:rPr>
      <w:b/>
      <w:bCs/>
    </w:rPr>
  </w:style>
  <w:style w:type="paragraph" w:styleId="45">
    <w:name w:val="Body Text First Indent"/>
    <w:basedOn w:val="17"/>
    <w:qFormat/>
    <w:uiPriority w:val="0"/>
    <w:pPr>
      <w:widowControl w:val="0"/>
      <w:adjustRightInd w:val="0"/>
      <w:spacing w:after="120" w:line="312" w:lineRule="atLeast"/>
      <w:ind w:firstLine="420" w:firstLineChars="100"/>
      <w:jc w:val="both"/>
      <w:textAlignment w:val="baseline"/>
    </w:pPr>
    <w:rPr>
      <w:rFonts w:ascii="Times New Roman" w:hAnsi="Times New Roman" w:eastAsia="宋体" w:cs="Times New Roman"/>
      <w:sz w:val="28"/>
      <w:lang w:val="en-US" w:eastAsia="zh-CN" w:bidi="ar-SA"/>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0"/>
    <w:rPr>
      <w:b/>
      <w:bCs/>
    </w:rPr>
  </w:style>
  <w:style w:type="character" w:styleId="50">
    <w:name w:val="page number"/>
    <w:basedOn w:val="48"/>
    <w:qFormat/>
    <w:uiPriority w:val="0"/>
  </w:style>
  <w:style w:type="character" w:styleId="51">
    <w:name w:val="FollowedHyperlink"/>
    <w:basedOn w:val="48"/>
    <w:qFormat/>
    <w:uiPriority w:val="0"/>
    <w:rPr>
      <w:color w:val="800080"/>
      <w:u w:val="single"/>
    </w:rPr>
  </w:style>
  <w:style w:type="character" w:styleId="52">
    <w:name w:val="Emphasis"/>
    <w:basedOn w:val="48"/>
    <w:qFormat/>
    <w:uiPriority w:val="0"/>
    <w:rPr>
      <w:i/>
      <w:iCs/>
    </w:rPr>
  </w:style>
  <w:style w:type="character" w:styleId="53">
    <w:name w:val="line number"/>
    <w:basedOn w:val="48"/>
    <w:qFormat/>
    <w:uiPriority w:val="0"/>
  </w:style>
  <w:style w:type="character" w:styleId="54">
    <w:name w:val="HTML Definition"/>
    <w:basedOn w:val="48"/>
    <w:qFormat/>
    <w:uiPriority w:val="0"/>
  </w:style>
  <w:style w:type="character" w:styleId="55">
    <w:name w:val="HTML Variable"/>
    <w:basedOn w:val="48"/>
    <w:qFormat/>
    <w:uiPriority w:val="0"/>
  </w:style>
  <w:style w:type="character" w:styleId="56">
    <w:name w:val="Hyperlink"/>
    <w:basedOn w:val="48"/>
    <w:qFormat/>
    <w:uiPriority w:val="99"/>
    <w:rPr>
      <w:color w:val="0000FF"/>
      <w:u w:val="single"/>
    </w:rPr>
  </w:style>
  <w:style w:type="character" w:styleId="57">
    <w:name w:val="HTML Code"/>
    <w:qFormat/>
    <w:uiPriority w:val="0"/>
    <w:rPr>
      <w:rFonts w:ascii="宋体" w:hAnsi="宋体" w:eastAsia="宋体" w:cs="宋体"/>
      <w:spacing w:val="0"/>
      <w:sz w:val="24"/>
      <w:szCs w:val="24"/>
    </w:rPr>
  </w:style>
  <w:style w:type="character" w:styleId="58">
    <w:name w:val="annotation reference"/>
    <w:basedOn w:val="48"/>
    <w:qFormat/>
    <w:uiPriority w:val="0"/>
    <w:rPr>
      <w:sz w:val="21"/>
    </w:rPr>
  </w:style>
  <w:style w:type="character" w:styleId="59">
    <w:name w:val="HTML Cite"/>
    <w:qFormat/>
    <w:uiPriority w:val="0"/>
    <w:rPr>
      <w:i/>
      <w:iCs/>
      <w:spacing w:val="0"/>
      <w:sz w:val="21"/>
    </w:rPr>
  </w:style>
  <w:style w:type="character" w:styleId="60">
    <w:name w:val="footnote reference"/>
    <w:qFormat/>
    <w:uiPriority w:val="0"/>
    <w:rPr>
      <w:vertAlign w:val="superscript"/>
    </w:rPr>
  </w:style>
  <w:style w:type="character" w:styleId="61">
    <w:name w:val="HTML Keyboard"/>
    <w:basedOn w:val="48"/>
    <w:qFormat/>
    <w:uiPriority w:val="0"/>
    <w:rPr>
      <w:rFonts w:ascii="serif" w:hAnsi="serif" w:eastAsia="serif" w:cs="serif"/>
      <w:sz w:val="21"/>
      <w:szCs w:val="21"/>
    </w:rPr>
  </w:style>
  <w:style w:type="character" w:styleId="62">
    <w:name w:val="HTML Sample"/>
    <w:basedOn w:val="48"/>
    <w:qFormat/>
    <w:uiPriority w:val="0"/>
    <w:rPr>
      <w:rFonts w:hint="default" w:ascii="serif" w:hAnsi="serif" w:eastAsia="serif" w:cs="serif"/>
      <w:sz w:val="21"/>
      <w:szCs w:val="21"/>
      <w:u w:val="single"/>
    </w:rPr>
  </w:style>
  <w:style w:type="character" w:customStyle="1" w:styleId="63">
    <w:name w:val="正文（首行缩进两字） Char"/>
    <w:qFormat/>
    <w:uiPriority w:val="0"/>
    <w:rPr>
      <w:rFonts w:eastAsia="宋体"/>
      <w:kern w:val="2"/>
      <w:sz w:val="28"/>
      <w:lang w:val="en-US" w:eastAsia="zh-CN" w:bidi="ar-SA"/>
    </w:rPr>
  </w:style>
  <w:style w:type="character" w:customStyle="1" w:styleId="64">
    <w:name w:val="time1"/>
    <w:qFormat/>
    <w:uiPriority w:val="0"/>
    <w:rPr>
      <w:rFonts w:hint="eastAsia" w:ascii="微软雅黑" w:hAnsi="微软雅黑" w:eastAsia="微软雅黑" w:cs="微软雅黑"/>
      <w:color w:val="383838"/>
      <w:spacing w:val="0"/>
      <w:sz w:val="27"/>
      <w:szCs w:val="27"/>
    </w:rPr>
  </w:style>
  <w:style w:type="character" w:customStyle="1" w:styleId="65">
    <w:name w:val="client1"/>
    <w:basedOn w:val="48"/>
    <w:qFormat/>
    <w:uiPriority w:val="0"/>
    <w:rPr>
      <w:spacing w:val="0"/>
      <w:sz w:val="21"/>
    </w:rPr>
  </w:style>
  <w:style w:type="character" w:customStyle="1" w:styleId="66">
    <w:name w:val="time"/>
    <w:qFormat/>
    <w:uiPriority w:val="0"/>
    <w:rPr>
      <w:spacing w:val="0"/>
      <w:sz w:val="18"/>
      <w:szCs w:val="18"/>
    </w:rPr>
  </w:style>
  <w:style w:type="character" w:customStyle="1" w:styleId="67">
    <w:name w:val="标题 字符"/>
    <w:basedOn w:val="48"/>
    <w:link w:val="43"/>
    <w:qFormat/>
    <w:uiPriority w:val="10"/>
    <w:rPr>
      <w:rFonts w:ascii="黑体" w:hAnsi="宋体" w:eastAsia="黑体"/>
      <w:b/>
      <w:bCs/>
      <w:sz w:val="84"/>
      <w:szCs w:val="84"/>
    </w:rPr>
  </w:style>
  <w:style w:type="character" w:customStyle="1" w:styleId="68">
    <w:name w:val="页眉 字符"/>
    <w:basedOn w:val="48"/>
    <w:link w:val="29"/>
    <w:qFormat/>
    <w:uiPriority w:val="99"/>
    <w:rPr>
      <w:kern w:val="2"/>
      <w:sz w:val="18"/>
    </w:rPr>
  </w:style>
  <w:style w:type="character" w:customStyle="1" w:styleId="69">
    <w:name w:val="r_报告编号"/>
    <w:basedOn w:val="48"/>
    <w:qFormat/>
    <w:uiPriority w:val="0"/>
    <w:rPr>
      <w:spacing w:val="0"/>
      <w:sz w:val="21"/>
    </w:rPr>
  </w:style>
  <w:style w:type="character" w:customStyle="1" w:styleId="70">
    <w:name w:val="r_估价师"/>
    <w:basedOn w:val="48"/>
    <w:qFormat/>
    <w:uiPriority w:val="0"/>
    <w:rPr>
      <w:spacing w:val="0"/>
      <w:sz w:val="21"/>
    </w:rPr>
  </w:style>
  <w:style w:type="character" w:customStyle="1" w:styleId="71">
    <w:name w:val="type"/>
    <w:basedOn w:val="48"/>
    <w:qFormat/>
    <w:uiPriority w:val="0"/>
    <w:rPr>
      <w:spacing w:val="0"/>
      <w:sz w:val="21"/>
    </w:rPr>
  </w:style>
  <w:style w:type="character" w:customStyle="1" w:styleId="72">
    <w:name w:val="current"/>
    <w:qFormat/>
    <w:uiPriority w:val="0"/>
    <w:rPr>
      <w:b/>
      <w:color w:val="FFFFFF"/>
      <w:spacing w:val="0"/>
      <w:sz w:val="21"/>
      <w:bdr w:val="single" w:color="D21300" w:sz="6" w:space="0"/>
      <w:shd w:val="clear" w:color="auto" w:fill="D21300"/>
    </w:rPr>
  </w:style>
  <w:style w:type="character" w:customStyle="1" w:styleId="73">
    <w:name w:val="casecount"/>
    <w:basedOn w:val="48"/>
    <w:qFormat/>
    <w:uiPriority w:val="0"/>
    <w:rPr>
      <w:spacing w:val="0"/>
      <w:sz w:val="21"/>
    </w:rPr>
  </w:style>
  <w:style w:type="character" w:customStyle="1" w:styleId="74">
    <w:name w:val="v_面积汇总的市场比较法总价"/>
    <w:basedOn w:val="48"/>
    <w:qFormat/>
    <w:uiPriority w:val="0"/>
    <w:rPr>
      <w:spacing w:val="0"/>
      <w:sz w:val="21"/>
    </w:rPr>
  </w:style>
  <w:style w:type="character" w:customStyle="1" w:styleId="75">
    <w:name w:val="脚注文本 字符"/>
    <w:basedOn w:val="48"/>
    <w:link w:val="33"/>
    <w:qFormat/>
    <w:uiPriority w:val="0"/>
    <w:rPr>
      <w:sz w:val="18"/>
    </w:rPr>
  </w:style>
  <w:style w:type="character" w:customStyle="1" w:styleId="76">
    <w:name w:val="标题 5 字符"/>
    <w:basedOn w:val="48"/>
    <w:link w:val="6"/>
    <w:qFormat/>
    <w:uiPriority w:val="0"/>
    <w:rPr>
      <w:rFonts w:ascii="Arial Unicode MS" w:hAnsi="Arial Unicode MS" w:eastAsia="Arial Unicode MS"/>
      <w:b/>
      <w:bCs/>
    </w:rPr>
  </w:style>
  <w:style w:type="character" w:customStyle="1" w:styleId="77">
    <w:name w:val="纯文本 字符"/>
    <w:basedOn w:val="48"/>
    <w:link w:val="23"/>
    <w:qFormat/>
    <w:uiPriority w:val="0"/>
    <w:rPr>
      <w:rFonts w:ascii="宋体" w:hAnsi="Courier New" w:eastAsia="宋体"/>
      <w:kern w:val="2"/>
      <w:sz w:val="21"/>
      <w:lang w:val="en-US" w:eastAsia="zh-CN" w:bidi="ar-SA"/>
    </w:rPr>
  </w:style>
  <w:style w:type="character" w:customStyle="1" w:styleId="78">
    <w:name w:val="s_窗"/>
    <w:basedOn w:val="48"/>
    <w:qFormat/>
    <w:uiPriority w:val="0"/>
    <w:rPr>
      <w:spacing w:val="0"/>
      <w:sz w:val="21"/>
    </w:rPr>
  </w:style>
  <w:style w:type="character" w:customStyle="1" w:styleId="79">
    <w:name w:val="s_权利人"/>
    <w:basedOn w:val="48"/>
    <w:qFormat/>
    <w:uiPriority w:val="0"/>
    <w:rPr>
      <w:spacing w:val="0"/>
      <w:sz w:val="21"/>
    </w:rPr>
  </w:style>
  <w:style w:type="character" w:customStyle="1" w:styleId="80">
    <w:name w:val="basefactorname"/>
    <w:basedOn w:val="48"/>
    <w:qFormat/>
    <w:uiPriority w:val="0"/>
    <w:rPr>
      <w:spacing w:val="0"/>
      <w:sz w:val="21"/>
    </w:rPr>
  </w:style>
  <w:style w:type="character" w:customStyle="1" w:styleId="81">
    <w:name w:val="s_房地产变现后应先交纳"/>
    <w:basedOn w:val="48"/>
    <w:qFormat/>
    <w:uiPriority w:val="0"/>
    <w:rPr>
      <w:spacing w:val="0"/>
      <w:sz w:val="21"/>
    </w:rPr>
  </w:style>
  <w:style w:type="character" w:customStyle="1" w:styleId="82">
    <w:name w:val="标题 4 字符"/>
    <w:basedOn w:val="48"/>
    <w:link w:val="5"/>
    <w:qFormat/>
    <w:uiPriority w:val="0"/>
    <w:rPr>
      <w:rFonts w:ascii="宋体" w:hAnsi="宋体"/>
      <w:b/>
      <w:bCs/>
      <w:sz w:val="24"/>
      <w:szCs w:val="24"/>
    </w:rPr>
  </w:style>
  <w:style w:type="character" w:customStyle="1" w:styleId="83">
    <w:name w:val="标题 9 字符"/>
    <w:basedOn w:val="48"/>
    <w:link w:val="9"/>
    <w:qFormat/>
    <w:uiPriority w:val="0"/>
    <w:rPr>
      <w:rFonts w:ascii="黑体" w:hAnsi="Arial" w:eastAsia="黑体"/>
      <w:sz w:val="28"/>
    </w:rPr>
  </w:style>
  <w:style w:type="character" w:customStyle="1" w:styleId="84">
    <w:name w:val="Char Char3"/>
    <w:basedOn w:val="48"/>
    <w:qFormat/>
    <w:uiPriority w:val="0"/>
    <w:rPr>
      <w:b/>
      <w:bCs/>
      <w:color w:val="000000"/>
      <w:kern w:val="28"/>
      <w:sz w:val="28"/>
      <w:szCs w:val="44"/>
    </w:rPr>
  </w:style>
  <w:style w:type="character" w:customStyle="1" w:styleId="85">
    <w:name w:val="s_结构"/>
    <w:basedOn w:val="48"/>
    <w:qFormat/>
    <w:uiPriority w:val="0"/>
    <w:rPr>
      <w:spacing w:val="0"/>
      <w:sz w:val="21"/>
    </w:rPr>
  </w:style>
  <w:style w:type="character" w:customStyle="1" w:styleId="86">
    <w:name w:val="s_地址"/>
    <w:basedOn w:val="48"/>
    <w:qFormat/>
    <w:uiPriority w:val="0"/>
    <w:rPr>
      <w:spacing w:val="0"/>
      <w:sz w:val="21"/>
    </w:rPr>
  </w:style>
  <w:style w:type="character" w:customStyle="1" w:styleId="87">
    <w:name w:val="s_他项权利情况"/>
    <w:basedOn w:val="48"/>
    <w:qFormat/>
    <w:uiPriority w:val="0"/>
    <w:rPr>
      <w:spacing w:val="0"/>
      <w:sz w:val="21"/>
    </w:rPr>
  </w:style>
  <w:style w:type="character" w:customStyle="1" w:styleId="88">
    <w:name w:val="s_土地用途"/>
    <w:basedOn w:val="48"/>
    <w:qFormat/>
    <w:uiPriority w:val="0"/>
    <w:rPr>
      <w:spacing w:val="0"/>
      <w:sz w:val="21"/>
    </w:rPr>
  </w:style>
  <w:style w:type="character" w:customStyle="1" w:styleId="89">
    <w:name w:val="s_楼地面"/>
    <w:basedOn w:val="48"/>
    <w:qFormat/>
    <w:uiPriority w:val="0"/>
    <w:rPr>
      <w:spacing w:val="0"/>
      <w:sz w:val="21"/>
    </w:rPr>
  </w:style>
  <w:style w:type="character" w:customStyle="1" w:styleId="90">
    <w:name w:val="s_间数层数"/>
    <w:basedOn w:val="48"/>
    <w:qFormat/>
    <w:uiPriority w:val="0"/>
    <w:rPr>
      <w:spacing w:val="0"/>
      <w:sz w:val="21"/>
    </w:rPr>
  </w:style>
  <w:style w:type="character" w:customStyle="1" w:styleId="91">
    <w:name w:val="s_建成年份"/>
    <w:basedOn w:val="48"/>
    <w:qFormat/>
    <w:uiPriority w:val="0"/>
    <w:rPr>
      <w:spacing w:val="0"/>
      <w:sz w:val="21"/>
    </w:rPr>
  </w:style>
  <w:style w:type="character" w:customStyle="1" w:styleId="92">
    <w:name w:val="正文文本缩进 字符"/>
    <w:basedOn w:val="48"/>
    <w:link w:val="18"/>
    <w:qFormat/>
    <w:uiPriority w:val="0"/>
    <w:rPr>
      <w:kern w:val="2"/>
      <w:sz w:val="28"/>
    </w:rPr>
  </w:style>
  <w:style w:type="character" w:customStyle="1" w:styleId="93">
    <w:name w:val="appraisers"/>
    <w:basedOn w:val="48"/>
    <w:qFormat/>
    <w:uiPriority w:val="0"/>
    <w:rPr>
      <w:spacing w:val="0"/>
      <w:sz w:val="21"/>
    </w:rPr>
  </w:style>
  <w:style w:type="character" w:customStyle="1" w:styleId="94">
    <w:name w:val="option"/>
    <w:basedOn w:val="48"/>
    <w:qFormat/>
    <w:uiPriority w:val="0"/>
    <w:rPr>
      <w:spacing w:val="0"/>
      <w:sz w:val="21"/>
    </w:rPr>
  </w:style>
  <w:style w:type="character" w:customStyle="1" w:styleId="95">
    <w:name w:val="纯文本 Char1"/>
    <w:basedOn w:val="48"/>
    <w:qFormat/>
    <w:locked/>
    <w:uiPriority w:val="0"/>
    <w:rPr>
      <w:rFonts w:ascii="宋体" w:hAnsi="Courier New" w:eastAsia="宋体" w:cs="Times New Roman"/>
      <w:szCs w:val="20"/>
    </w:rPr>
  </w:style>
  <w:style w:type="character" w:customStyle="1" w:styleId="96">
    <w:name w:val="font51"/>
    <w:basedOn w:val="48"/>
    <w:qFormat/>
    <w:uiPriority w:val="0"/>
    <w:rPr>
      <w:rFonts w:hint="eastAsia" w:ascii="宋体" w:hAnsi="宋体" w:eastAsia="宋体" w:cs="宋体"/>
      <w:color w:val="000000"/>
      <w:sz w:val="20"/>
      <w:szCs w:val="20"/>
      <w:u w:val="none"/>
      <w:vertAlign w:val="superscript"/>
    </w:rPr>
  </w:style>
  <w:style w:type="character" w:customStyle="1" w:styleId="97">
    <w:name w:val="op-map-singlepoint-info-left"/>
    <w:basedOn w:val="48"/>
    <w:qFormat/>
    <w:uiPriority w:val="0"/>
  </w:style>
  <w:style w:type="character" w:customStyle="1" w:styleId="98">
    <w:name w:val="r_价值类型"/>
    <w:basedOn w:val="48"/>
    <w:qFormat/>
    <w:uiPriority w:val="0"/>
    <w:rPr>
      <w:spacing w:val="0"/>
      <w:sz w:val="21"/>
    </w:rPr>
  </w:style>
  <w:style w:type="character" w:customStyle="1" w:styleId="99">
    <w:name w:val="ninetext1"/>
    <w:qFormat/>
    <w:uiPriority w:val="0"/>
    <w:rPr>
      <w:sz w:val="18"/>
      <w:szCs w:val="18"/>
    </w:rPr>
  </w:style>
  <w:style w:type="character" w:customStyle="1" w:styleId="100">
    <w:name w:val="标题 3 Char Char"/>
    <w:qFormat/>
    <w:uiPriority w:val="0"/>
    <w:rPr>
      <w:rFonts w:eastAsia="宋体"/>
      <w:b/>
      <w:bCs/>
      <w:kern w:val="2"/>
      <w:sz w:val="32"/>
      <w:szCs w:val="32"/>
      <w:lang w:val="en-US" w:eastAsia="zh-CN" w:bidi="ar-SA"/>
    </w:rPr>
  </w:style>
  <w:style w:type="character" w:customStyle="1" w:styleId="101">
    <w:name w:val="r_有效年期"/>
    <w:basedOn w:val="48"/>
    <w:qFormat/>
    <w:uiPriority w:val="0"/>
    <w:rPr>
      <w:spacing w:val="0"/>
      <w:sz w:val="21"/>
    </w:rPr>
  </w:style>
  <w:style w:type="character" w:customStyle="1" w:styleId="102">
    <w:name w:val="正文文本缩进 Char1"/>
    <w:basedOn w:val="48"/>
    <w:semiHidden/>
    <w:qFormat/>
    <w:uiPriority w:val="99"/>
    <w:rPr>
      <w:rFonts w:ascii="Times New Roman" w:hAnsi="Times New Roman" w:eastAsia="宋体" w:cs="Times New Roman"/>
      <w:szCs w:val="20"/>
    </w:rPr>
  </w:style>
  <w:style w:type="character" w:customStyle="1" w:styleId="103">
    <w:name w:val="s_房产证号"/>
    <w:basedOn w:val="48"/>
    <w:qFormat/>
    <w:uiPriority w:val="0"/>
    <w:rPr>
      <w:spacing w:val="0"/>
      <w:sz w:val="21"/>
    </w:rPr>
  </w:style>
  <w:style w:type="character" w:customStyle="1" w:styleId="104">
    <w:name w:val="font11"/>
    <w:qFormat/>
    <w:uiPriority w:val="0"/>
    <w:rPr>
      <w:rFonts w:hint="eastAsia" w:ascii="宋体" w:hAnsi="宋体" w:eastAsia="宋体"/>
      <w:color w:val="000000"/>
      <w:spacing w:val="0"/>
      <w:sz w:val="20"/>
      <w:szCs w:val="20"/>
      <w:u w:val="none"/>
      <w:vertAlign w:val="superscript"/>
    </w:rPr>
  </w:style>
  <w:style w:type="character" w:customStyle="1" w:styleId="105">
    <w:name w:val="s_内墙"/>
    <w:basedOn w:val="48"/>
    <w:qFormat/>
    <w:uiPriority w:val="0"/>
    <w:rPr>
      <w:spacing w:val="0"/>
      <w:sz w:val="21"/>
    </w:rPr>
  </w:style>
  <w:style w:type="character" w:customStyle="1" w:styleId="106">
    <w:name w:val="r_结束日期(长)"/>
    <w:basedOn w:val="48"/>
    <w:qFormat/>
    <w:uiPriority w:val="0"/>
    <w:rPr>
      <w:spacing w:val="0"/>
      <w:sz w:val="21"/>
    </w:rPr>
  </w:style>
  <w:style w:type="character" w:customStyle="1" w:styleId="107">
    <w:name w:val="HTML 预设格式 字符"/>
    <w:basedOn w:val="48"/>
    <w:link w:val="40"/>
    <w:qFormat/>
    <w:uiPriority w:val="0"/>
    <w:rPr>
      <w:rFonts w:ascii="宋体" w:hAnsi="宋体" w:cs="宋体"/>
      <w:sz w:val="24"/>
      <w:szCs w:val="24"/>
    </w:rPr>
  </w:style>
  <w:style w:type="character" w:customStyle="1" w:styleId="108">
    <w:name w:val="name21"/>
    <w:basedOn w:val="48"/>
    <w:qFormat/>
    <w:uiPriority w:val="0"/>
    <w:rPr>
      <w:spacing w:val="0"/>
      <w:sz w:val="21"/>
    </w:rPr>
  </w:style>
  <w:style w:type="character" w:customStyle="1" w:styleId="109">
    <w:name w:val="称呼 字符"/>
    <w:basedOn w:val="48"/>
    <w:link w:val="15"/>
    <w:qFormat/>
    <w:uiPriority w:val="0"/>
    <w:rPr>
      <w:rFonts w:ascii="宋体" w:hAnsi="Bookman Old Style"/>
      <w:kern w:val="2"/>
      <w:sz w:val="21"/>
    </w:rPr>
  </w:style>
  <w:style w:type="character" w:customStyle="1" w:styleId="110">
    <w:name w:val="s_建筑面积"/>
    <w:basedOn w:val="48"/>
    <w:qFormat/>
    <w:uiPriority w:val="0"/>
    <w:rPr>
      <w:spacing w:val="0"/>
      <w:sz w:val="21"/>
    </w:rPr>
  </w:style>
  <w:style w:type="character" w:customStyle="1" w:styleId="111">
    <w:name w:val="r_总价(大写)"/>
    <w:basedOn w:val="48"/>
    <w:qFormat/>
    <w:uiPriority w:val="0"/>
    <w:rPr>
      <w:spacing w:val="0"/>
      <w:sz w:val="21"/>
    </w:rPr>
  </w:style>
  <w:style w:type="character" w:customStyle="1" w:styleId="112">
    <w:name w:val="num"/>
    <w:qFormat/>
    <w:uiPriority w:val="0"/>
    <w:rPr>
      <w:color w:val="A00101"/>
      <w:spacing w:val="0"/>
      <w:sz w:val="21"/>
    </w:rPr>
  </w:style>
  <w:style w:type="character" w:customStyle="1" w:styleId="113">
    <w:name w:val="v_单价"/>
    <w:basedOn w:val="48"/>
    <w:qFormat/>
    <w:uiPriority w:val="0"/>
    <w:rPr>
      <w:spacing w:val="0"/>
      <w:sz w:val="21"/>
    </w:rPr>
  </w:style>
  <w:style w:type="character" w:customStyle="1" w:styleId="114">
    <w:name w:val="s_单价(小写)"/>
    <w:basedOn w:val="48"/>
    <w:qFormat/>
    <w:uiPriority w:val="0"/>
    <w:rPr>
      <w:spacing w:val="0"/>
      <w:sz w:val="21"/>
    </w:rPr>
  </w:style>
  <w:style w:type="character" w:customStyle="1" w:styleId="115">
    <w:name w:val="正文文本 2 字符"/>
    <w:basedOn w:val="48"/>
    <w:link w:val="39"/>
    <w:qFormat/>
    <w:uiPriority w:val="0"/>
    <w:rPr>
      <w:rFonts w:eastAsia="仿宋_GB2312"/>
      <w:spacing w:val="-8"/>
      <w:kern w:val="2"/>
      <w:sz w:val="21"/>
    </w:rPr>
  </w:style>
  <w:style w:type="character" w:customStyle="1" w:styleId="116">
    <w:name w:val="正文（首行缩进两字） Char3"/>
    <w:qFormat/>
    <w:uiPriority w:val="0"/>
    <w:rPr>
      <w:rFonts w:eastAsia="宋体"/>
      <w:kern w:val="2"/>
      <w:sz w:val="28"/>
      <w:lang w:val="en-US" w:eastAsia="zh-CN" w:bidi="ar-SA"/>
    </w:rPr>
  </w:style>
  <w:style w:type="character" w:customStyle="1" w:styleId="117">
    <w:name w:val="标题 2 字符"/>
    <w:basedOn w:val="48"/>
    <w:link w:val="2"/>
    <w:qFormat/>
    <w:uiPriority w:val="0"/>
    <w:rPr>
      <w:rFonts w:ascii="Arial" w:hAnsi="Arial" w:eastAsia="黑体"/>
      <w:b/>
      <w:bCs/>
      <w:kern w:val="2"/>
      <w:sz w:val="32"/>
      <w:szCs w:val="32"/>
    </w:rPr>
  </w:style>
  <w:style w:type="character" w:customStyle="1" w:styleId="118">
    <w:name w:val="批注主题 字符"/>
    <w:basedOn w:val="119"/>
    <w:link w:val="44"/>
    <w:qFormat/>
    <w:uiPriority w:val="0"/>
    <w:rPr>
      <w:b/>
      <w:bCs/>
      <w:kern w:val="2"/>
      <w:sz w:val="21"/>
    </w:rPr>
  </w:style>
  <w:style w:type="character" w:customStyle="1" w:styleId="119">
    <w:name w:val="批注文字 字符"/>
    <w:basedOn w:val="48"/>
    <w:link w:val="14"/>
    <w:qFormat/>
    <w:uiPriority w:val="0"/>
    <w:rPr>
      <w:kern w:val="2"/>
      <w:sz w:val="21"/>
    </w:rPr>
  </w:style>
  <w:style w:type="character" w:customStyle="1" w:styleId="120">
    <w:name w:val="链接"/>
    <w:basedOn w:val="48"/>
    <w:qFormat/>
    <w:uiPriority w:val="0"/>
    <w:rPr>
      <w:rFonts w:ascii="Times New Roman" w:eastAsia="宋体"/>
      <w:color w:val="0000FF"/>
      <w:spacing w:val="0"/>
      <w:sz w:val="21"/>
      <w:u w:val="single" w:color="0000FF"/>
      <w:vertAlign w:val="baseline"/>
      <w:lang w:val="en-US" w:eastAsia="zh-CN"/>
    </w:rPr>
  </w:style>
  <w:style w:type="character" w:customStyle="1" w:styleId="121">
    <w:name w:val="type1"/>
    <w:basedOn w:val="48"/>
    <w:qFormat/>
    <w:uiPriority w:val="0"/>
    <w:rPr>
      <w:spacing w:val="0"/>
      <w:sz w:val="21"/>
    </w:rPr>
  </w:style>
  <w:style w:type="character" w:customStyle="1" w:styleId="122">
    <w:name w:val="s_土地使用者"/>
    <w:basedOn w:val="48"/>
    <w:qFormat/>
    <w:uiPriority w:val="0"/>
    <w:rPr>
      <w:spacing w:val="0"/>
      <w:sz w:val="21"/>
    </w:rPr>
  </w:style>
  <w:style w:type="character" w:customStyle="1" w:styleId="123">
    <w:name w:val="标题 3 字符"/>
    <w:basedOn w:val="48"/>
    <w:link w:val="4"/>
    <w:qFormat/>
    <w:uiPriority w:val="9"/>
    <w:rPr>
      <w:b/>
      <w:bCs/>
      <w:kern w:val="2"/>
      <w:sz w:val="32"/>
      <w:szCs w:val="32"/>
    </w:rPr>
  </w:style>
  <w:style w:type="character" w:customStyle="1" w:styleId="124">
    <w:name w:val="s_用地面积"/>
    <w:basedOn w:val="48"/>
    <w:qFormat/>
    <w:uiPriority w:val="0"/>
    <w:rPr>
      <w:spacing w:val="0"/>
      <w:sz w:val="21"/>
    </w:rPr>
  </w:style>
  <w:style w:type="character" w:customStyle="1" w:styleId="125">
    <w:name w:val="s_配套设施"/>
    <w:basedOn w:val="48"/>
    <w:qFormat/>
    <w:uiPriority w:val="0"/>
    <w:rPr>
      <w:spacing w:val="0"/>
      <w:sz w:val="21"/>
    </w:rPr>
  </w:style>
  <w:style w:type="character" w:customStyle="1" w:styleId="126">
    <w:name w:val="yq"/>
    <w:basedOn w:val="48"/>
    <w:qFormat/>
    <w:uiPriority w:val="0"/>
  </w:style>
  <w:style w:type="character" w:customStyle="1" w:styleId="127">
    <w:name w:val="option1"/>
    <w:basedOn w:val="48"/>
    <w:qFormat/>
    <w:uiPriority w:val="0"/>
    <w:rPr>
      <w:spacing w:val="0"/>
      <w:sz w:val="21"/>
    </w:rPr>
  </w:style>
  <w:style w:type="character" w:customStyle="1" w:styleId="128">
    <w:name w:val="yl"/>
    <w:qFormat/>
    <w:uiPriority w:val="0"/>
    <w:rPr>
      <w:rFonts w:hint="default" w:ascii="微软雅黑" w:hAnsi="微软雅黑" w:eastAsia="微软雅黑" w:cs="微软雅黑"/>
      <w:b/>
      <w:color w:val="444343"/>
      <w:spacing w:val="0"/>
      <w:sz w:val="22"/>
      <w:szCs w:val="22"/>
    </w:rPr>
  </w:style>
  <w:style w:type="character" w:customStyle="1" w:styleId="129">
    <w:name w:val="name2"/>
    <w:basedOn w:val="48"/>
    <w:qFormat/>
    <w:uiPriority w:val="0"/>
    <w:rPr>
      <w:spacing w:val="0"/>
      <w:sz w:val="21"/>
    </w:rPr>
  </w:style>
  <w:style w:type="character" w:customStyle="1" w:styleId="130">
    <w:name w:val="r_短估价目的"/>
    <w:basedOn w:val="48"/>
    <w:qFormat/>
    <w:uiPriority w:val="0"/>
    <w:rPr>
      <w:spacing w:val="0"/>
      <w:sz w:val="21"/>
    </w:rPr>
  </w:style>
  <w:style w:type="character" w:customStyle="1" w:styleId="131">
    <w:name w:val="批注框文本 字符"/>
    <w:basedOn w:val="48"/>
    <w:link w:val="27"/>
    <w:qFormat/>
    <w:uiPriority w:val="99"/>
    <w:rPr>
      <w:kern w:val="2"/>
      <w:sz w:val="18"/>
      <w:szCs w:val="18"/>
    </w:rPr>
  </w:style>
  <w:style w:type="character" w:customStyle="1" w:styleId="132">
    <w:name w:val="Char Char1"/>
    <w:qFormat/>
    <w:uiPriority w:val="0"/>
    <w:rPr>
      <w:rFonts w:ascii="宋体" w:eastAsia="宋体"/>
      <w:sz w:val="21"/>
      <w:lang w:val="en-US" w:eastAsia="zh-CN" w:bidi="ar-SA"/>
    </w:rPr>
  </w:style>
  <w:style w:type="character" w:customStyle="1" w:styleId="133">
    <w:name w:val="casenames"/>
    <w:basedOn w:val="48"/>
    <w:qFormat/>
    <w:uiPriority w:val="0"/>
    <w:rPr>
      <w:spacing w:val="0"/>
      <w:sz w:val="21"/>
    </w:rPr>
  </w:style>
  <w:style w:type="character" w:customStyle="1" w:styleId="134">
    <w:name w:val="description"/>
    <w:basedOn w:val="48"/>
    <w:qFormat/>
    <w:uiPriority w:val="0"/>
  </w:style>
  <w:style w:type="character" w:customStyle="1" w:styleId="135">
    <w:name w:val="s_门"/>
    <w:basedOn w:val="48"/>
    <w:qFormat/>
    <w:uiPriority w:val="0"/>
    <w:rPr>
      <w:spacing w:val="0"/>
      <w:sz w:val="21"/>
    </w:rPr>
  </w:style>
  <w:style w:type="character" w:customStyle="1" w:styleId="136">
    <w:name w:val="s_应缴纳"/>
    <w:basedOn w:val="48"/>
    <w:qFormat/>
    <w:uiPriority w:val="0"/>
    <w:rPr>
      <w:spacing w:val="0"/>
      <w:sz w:val="21"/>
    </w:rPr>
  </w:style>
  <w:style w:type="character" w:customStyle="1" w:styleId="137">
    <w:name w:val="正文文本缩进 2 字符"/>
    <w:basedOn w:val="48"/>
    <w:link w:val="26"/>
    <w:qFormat/>
    <w:uiPriority w:val="0"/>
    <w:rPr>
      <w:rFonts w:ascii="宋体" w:hAnsi="Bookman Old Style"/>
      <w:kern w:val="2"/>
      <w:sz w:val="21"/>
    </w:rPr>
  </w:style>
  <w:style w:type="character" w:customStyle="1" w:styleId="138">
    <w:name w:val="s_单价(大写)"/>
    <w:basedOn w:val="48"/>
    <w:qFormat/>
    <w:uiPriority w:val="0"/>
    <w:rPr>
      <w:spacing w:val="0"/>
      <w:sz w:val="21"/>
    </w:rPr>
  </w:style>
  <w:style w:type="character" w:customStyle="1" w:styleId="139">
    <w:name w:val="正文缩进 字符"/>
    <w:link w:val="12"/>
    <w:qFormat/>
    <w:uiPriority w:val="0"/>
    <w:rPr>
      <w:kern w:val="2"/>
      <w:sz w:val="28"/>
    </w:rPr>
  </w:style>
  <w:style w:type="character" w:customStyle="1" w:styleId="140">
    <w:name w:val="font31"/>
    <w:basedOn w:val="48"/>
    <w:qFormat/>
    <w:uiPriority w:val="0"/>
    <w:rPr>
      <w:rFonts w:hint="eastAsia" w:ascii="宋体" w:hAnsi="宋体" w:eastAsia="宋体" w:cs="宋体"/>
      <w:color w:val="000000"/>
      <w:sz w:val="20"/>
      <w:szCs w:val="20"/>
      <w:u w:val="none"/>
    </w:rPr>
  </w:style>
  <w:style w:type="character" w:customStyle="1" w:styleId="141">
    <w:name w:val="font21"/>
    <w:basedOn w:val="48"/>
    <w:qFormat/>
    <w:uiPriority w:val="0"/>
    <w:rPr>
      <w:rFonts w:hint="default" w:ascii="楷体_GB2312" w:eastAsia="楷体_GB2312" w:cs="楷体_GB2312"/>
      <w:color w:val="000000"/>
      <w:sz w:val="20"/>
      <w:szCs w:val="20"/>
      <w:u w:val="none"/>
    </w:rPr>
  </w:style>
  <w:style w:type="character" w:customStyle="1" w:styleId="142">
    <w:name w:val="正文文本 字符"/>
    <w:basedOn w:val="48"/>
    <w:link w:val="17"/>
    <w:qFormat/>
    <w:uiPriority w:val="0"/>
    <w:rPr>
      <w:rFonts w:ascii="宋体"/>
      <w:spacing w:val="10"/>
      <w:kern w:val="2"/>
      <w:sz w:val="24"/>
    </w:rPr>
  </w:style>
  <w:style w:type="character" w:customStyle="1" w:styleId="143">
    <w:name w:val="grame"/>
    <w:basedOn w:val="48"/>
    <w:qFormat/>
    <w:uiPriority w:val="0"/>
    <w:rPr>
      <w:spacing w:val="0"/>
      <w:sz w:val="21"/>
    </w:rPr>
  </w:style>
  <w:style w:type="character" w:customStyle="1" w:styleId="144">
    <w:name w:val="s_土地性质"/>
    <w:basedOn w:val="48"/>
    <w:qFormat/>
    <w:uiPriority w:val="0"/>
    <w:rPr>
      <w:spacing w:val="0"/>
      <w:sz w:val="21"/>
    </w:rPr>
  </w:style>
  <w:style w:type="character" w:customStyle="1" w:styleId="145">
    <w:name w:val="日期 字符"/>
    <w:basedOn w:val="48"/>
    <w:link w:val="25"/>
    <w:qFormat/>
    <w:uiPriority w:val="0"/>
    <w:rPr>
      <w:kern w:val="2"/>
      <w:sz w:val="21"/>
    </w:rPr>
  </w:style>
  <w:style w:type="character" w:customStyle="1" w:styleId="146">
    <w:name w:val="font01"/>
    <w:basedOn w:val="48"/>
    <w:qFormat/>
    <w:uiPriority w:val="0"/>
    <w:rPr>
      <w:rFonts w:hint="eastAsia" w:ascii="楷体_GB2312" w:eastAsia="楷体_GB2312" w:cs="楷体_GB2312"/>
      <w:color w:val="000000"/>
      <w:sz w:val="20"/>
      <w:szCs w:val="20"/>
      <w:u w:val="none"/>
    </w:rPr>
  </w:style>
  <w:style w:type="character" w:customStyle="1" w:styleId="147">
    <w:name w:val="标题 7 字符"/>
    <w:basedOn w:val="48"/>
    <w:link w:val="8"/>
    <w:qFormat/>
    <w:uiPriority w:val="9"/>
    <w:rPr>
      <w:rFonts w:ascii="仿宋_GB2312" w:hAnsi="宋体" w:eastAsia="仿宋_GB2312" w:cs="宋体"/>
      <w:b/>
      <w:bCs/>
      <w:kern w:val="2"/>
      <w:sz w:val="24"/>
      <w:szCs w:val="24"/>
    </w:rPr>
  </w:style>
  <w:style w:type="character" w:customStyle="1" w:styleId="148">
    <w:name w:val="corp1name"/>
    <w:basedOn w:val="48"/>
    <w:qFormat/>
    <w:uiPriority w:val="0"/>
    <w:rPr>
      <w:spacing w:val="0"/>
      <w:sz w:val="21"/>
    </w:rPr>
  </w:style>
  <w:style w:type="character" w:customStyle="1" w:styleId="149">
    <w:name w:val="r_总价(小写)"/>
    <w:basedOn w:val="48"/>
    <w:qFormat/>
    <w:uiPriority w:val="0"/>
    <w:rPr>
      <w:spacing w:val="0"/>
      <w:sz w:val="21"/>
    </w:rPr>
  </w:style>
  <w:style w:type="character" w:customStyle="1" w:styleId="150">
    <w:name w:val="name1"/>
    <w:basedOn w:val="48"/>
    <w:qFormat/>
    <w:uiPriority w:val="0"/>
    <w:rPr>
      <w:spacing w:val="0"/>
      <w:sz w:val="21"/>
    </w:rPr>
  </w:style>
  <w:style w:type="character" w:customStyle="1" w:styleId="151">
    <w:name w:val="s_土地证号"/>
    <w:basedOn w:val="48"/>
    <w:qFormat/>
    <w:uiPriority w:val="0"/>
    <w:rPr>
      <w:spacing w:val="0"/>
      <w:sz w:val="21"/>
    </w:rPr>
  </w:style>
  <w:style w:type="character" w:customStyle="1" w:styleId="152">
    <w:name w:val="blackfont"/>
    <w:basedOn w:val="48"/>
    <w:qFormat/>
    <w:uiPriority w:val="0"/>
    <w:rPr>
      <w:spacing w:val="0"/>
      <w:sz w:val="21"/>
    </w:rPr>
  </w:style>
  <w:style w:type="character" w:customStyle="1" w:styleId="153">
    <w:name w:val="font81"/>
    <w:basedOn w:val="48"/>
    <w:qFormat/>
    <w:uiPriority w:val="0"/>
    <w:rPr>
      <w:rFonts w:hint="eastAsia" w:ascii="宋体" w:hAnsi="宋体" w:eastAsia="宋体" w:cs="宋体"/>
      <w:color w:val="000000"/>
      <w:sz w:val="20"/>
      <w:szCs w:val="20"/>
      <w:u w:val="none"/>
      <w:vertAlign w:val="superscript"/>
    </w:rPr>
  </w:style>
  <w:style w:type="character" w:customStyle="1" w:styleId="154">
    <w:name w:val="正文文本缩进 3 字符"/>
    <w:basedOn w:val="48"/>
    <w:link w:val="35"/>
    <w:qFormat/>
    <w:uiPriority w:val="0"/>
    <w:rPr>
      <w:sz w:val="24"/>
    </w:rPr>
  </w:style>
  <w:style w:type="character" w:customStyle="1" w:styleId="155">
    <w:name w:val="disabled"/>
    <w:qFormat/>
    <w:uiPriority w:val="0"/>
    <w:rPr>
      <w:color w:val="CCCCCC"/>
      <w:spacing w:val="0"/>
      <w:sz w:val="21"/>
      <w:bdr w:val="single" w:color="CCCCCC" w:sz="6" w:space="0"/>
    </w:rPr>
  </w:style>
  <w:style w:type="character" w:customStyle="1" w:styleId="156">
    <w:name w:val="bsharetext"/>
    <w:basedOn w:val="48"/>
    <w:qFormat/>
    <w:uiPriority w:val="0"/>
    <w:rPr>
      <w:spacing w:val="0"/>
      <w:sz w:val="21"/>
    </w:rPr>
  </w:style>
  <w:style w:type="character" w:customStyle="1" w:styleId="157">
    <w:name w:val="c-gap-right"/>
    <w:basedOn w:val="48"/>
    <w:qFormat/>
    <w:uiPriority w:val="0"/>
  </w:style>
  <w:style w:type="character" w:customStyle="1" w:styleId="158">
    <w:name w:val="font71"/>
    <w:basedOn w:val="48"/>
    <w:qFormat/>
    <w:uiPriority w:val="0"/>
    <w:rPr>
      <w:rFonts w:hint="eastAsia" w:ascii="宋体" w:hAnsi="宋体" w:eastAsia="宋体" w:cs="宋体"/>
      <w:color w:val="000000"/>
      <w:sz w:val="20"/>
      <w:szCs w:val="20"/>
      <w:u w:val="none"/>
    </w:rPr>
  </w:style>
  <w:style w:type="character" w:customStyle="1" w:styleId="159">
    <w:name w:val="标题 6 字符"/>
    <w:basedOn w:val="48"/>
    <w:link w:val="7"/>
    <w:qFormat/>
    <w:uiPriority w:val="0"/>
    <w:rPr>
      <w:rFonts w:ascii="宋体" w:hAnsi="宋体"/>
      <w:b/>
      <w:bCs/>
      <w:sz w:val="15"/>
      <w:szCs w:val="15"/>
    </w:rPr>
  </w:style>
  <w:style w:type="character" w:customStyle="1" w:styleId="160">
    <w:name w:val="页脚 字符"/>
    <w:basedOn w:val="48"/>
    <w:link w:val="28"/>
    <w:qFormat/>
    <w:uiPriority w:val="99"/>
    <w:rPr>
      <w:kern w:val="2"/>
      <w:sz w:val="18"/>
    </w:rPr>
  </w:style>
  <w:style w:type="character" w:customStyle="1" w:styleId="161">
    <w:name w:val="r_估价期日"/>
    <w:basedOn w:val="48"/>
    <w:qFormat/>
    <w:uiPriority w:val="0"/>
    <w:rPr>
      <w:spacing w:val="0"/>
      <w:sz w:val="21"/>
    </w:rPr>
  </w:style>
  <w:style w:type="character" w:customStyle="1" w:styleId="162">
    <w:name w:val="detpname"/>
    <w:qFormat/>
    <w:uiPriority w:val="0"/>
    <w:rPr>
      <w:color w:val="A00101"/>
      <w:spacing w:val="0"/>
      <w:sz w:val="21"/>
    </w:rPr>
  </w:style>
  <w:style w:type="character" w:customStyle="1" w:styleId="163">
    <w:name w:val="结束语 字符"/>
    <w:basedOn w:val="48"/>
    <w:link w:val="16"/>
    <w:qFormat/>
    <w:uiPriority w:val="0"/>
    <w:rPr>
      <w:rFonts w:ascii="宋体" w:hAnsi="Bookman Old Style"/>
      <w:kern w:val="2"/>
      <w:sz w:val="21"/>
    </w:rPr>
  </w:style>
  <w:style w:type="character" w:customStyle="1" w:styleId="164">
    <w:name w:val="font41"/>
    <w:basedOn w:val="48"/>
    <w:qFormat/>
    <w:uiPriority w:val="0"/>
    <w:rPr>
      <w:rFonts w:hint="eastAsia" w:ascii="宋体" w:hAnsi="宋体" w:eastAsia="宋体" w:cs="宋体"/>
      <w:color w:val="000000"/>
      <w:sz w:val="20"/>
      <w:szCs w:val="20"/>
      <w:u w:val="none"/>
    </w:rPr>
  </w:style>
  <w:style w:type="character" w:customStyle="1" w:styleId="165">
    <w:name w:val="name"/>
    <w:qFormat/>
    <w:uiPriority w:val="0"/>
    <w:rPr>
      <w:spacing w:val="0"/>
      <w:sz w:val="18"/>
      <w:szCs w:val="18"/>
    </w:rPr>
  </w:style>
  <w:style w:type="character" w:customStyle="1" w:styleId="166">
    <w:name w:val="r_开始日期(长)"/>
    <w:basedOn w:val="48"/>
    <w:qFormat/>
    <w:uiPriority w:val="0"/>
    <w:rPr>
      <w:spacing w:val="0"/>
      <w:sz w:val="21"/>
    </w:rPr>
  </w:style>
  <w:style w:type="character" w:customStyle="1" w:styleId="167">
    <w:name w:val="apple-style-span"/>
    <w:basedOn w:val="48"/>
    <w:qFormat/>
    <w:uiPriority w:val="0"/>
  </w:style>
  <w:style w:type="character" w:customStyle="1" w:styleId="168">
    <w:name w:val="v_面积"/>
    <w:basedOn w:val="48"/>
    <w:qFormat/>
    <w:uiPriority w:val="0"/>
    <w:rPr>
      <w:spacing w:val="0"/>
      <w:sz w:val="21"/>
    </w:rPr>
  </w:style>
  <w:style w:type="character" w:customStyle="1" w:styleId="169">
    <w:name w:val="s_外墙"/>
    <w:basedOn w:val="48"/>
    <w:qFormat/>
    <w:uiPriority w:val="0"/>
    <w:rPr>
      <w:spacing w:val="0"/>
      <w:sz w:val="21"/>
    </w:rPr>
  </w:style>
  <w:style w:type="character" w:customStyle="1" w:styleId="170">
    <w:name w:val="s_估价类型"/>
    <w:basedOn w:val="48"/>
    <w:qFormat/>
    <w:uiPriority w:val="0"/>
    <w:rPr>
      <w:spacing w:val="0"/>
      <w:sz w:val="21"/>
    </w:rPr>
  </w:style>
  <w:style w:type="character" w:customStyle="1" w:styleId="171">
    <w:name w:val="HTML 预设格式 Char1"/>
    <w:basedOn w:val="48"/>
    <w:qFormat/>
    <w:uiPriority w:val="0"/>
    <w:rPr>
      <w:rFonts w:ascii="Courier New" w:hAnsi="Courier New" w:cs="Courier New"/>
      <w:kern w:val="2"/>
    </w:rPr>
  </w:style>
  <w:style w:type="character" w:customStyle="1" w:styleId="172">
    <w:name w:val="批注框文本 Char1"/>
    <w:basedOn w:val="48"/>
    <w:semiHidden/>
    <w:qFormat/>
    <w:uiPriority w:val="99"/>
    <w:rPr>
      <w:rFonts w:ascii="Times New Roman" w:hAnsi="Times New Roman" w:eastAsia="宋体" w:cs="Times New Roman"/>
      <w:sz w:val="18"/>
      <w:szCs w:val="18"/>
    </w:rPr>
  </w:style>
  <w:style w:type="character" w:customStyle="1" w:styleId="173">
    <w:name w:val="文档结构图 字符"/>
    <w:basedOn w:val="48"/>
    <w:link w:val="13"/>
    <w:qFormat/>
    <w:uiPriority w:val="0"/>
    <w:rPr>
      <w:kern w:val="2"/>
      <w:sz w:val="21"/>
      <w:shd w:val="clear" w:color="auto" w:fill="000080"/>
    </w:rPr>
  </w:style>
  <w:style w:type="character" w:customStyle="1" w:styleId="174">
    <w:name w:val="apple-converted-space"/>
    <w:basedOn w:val="48"/>
    <w:qFormat/>
    <w:uiPriority w:val="0"/>
  </w:style>
  <w:style w:type="character" w:customStyle="1" w:styleId="175">
    <w:name w:val="标题 1 字符"/>
    <w:basedOn w:val="48"/>
    <w:link w:val="3"/>
    <w:qFormat/>
    <w:uiPriority w:val="9"/>
    <w:rPr>
      <w:b/>
      <w:kern w:val="2"/>
      <w:sz w:val="28"/>
    </w:rPr>
  </w:style>
  <w:style w:type="paragraph" w:customStyle="1" w:styleId="176">
    <w:name w:val="Char Char Char"/>
    <w:basedOn w:val="1"/>
    <w:qFormat/>
    <w:uiPriority w:val="0"/>
    <w:pPr>
      <w:widowControl/>
      <w:autoSpaceDN w:val="0"/>
      <w:spacing w:after="160" w:line="240" w:lineRule="exact"/>
      <w:jc w:val="left"/>
    </w:pPr>
    <w:rPr>
      <w:rFonts w:ascii="仿宋_GB2312" w:hAnsi="宋体" w:eastAsia="仿宋_GB2312" w:cs="宋体"/>
      <w:szCs w:val="24"/>
    </w:rPr>
  </w:style>
  <w:style w:type="paragraph" w:customStyle="1" w:styleId="177">
    <w:name w:val="xxhblue14"/>
    <w:basedOn w:val="1"/>
    <w:qFormat/>
    <w:uiPriority w:val="0"/>
    <w:pPr>
      <w:widowControl/>
      <w:spacing w:before="100" w:beforeAutospacing="1" w:after="100" w:afterAutospacing="1"/>
      <w:jc w:val="left"/>
    </w:pPr>
    <w:rPr>
      <w:rFonts w:ascii="宋体" w:hAnsi="宋体" w:cs="宋体"/>
      <w:color w:val="004D9C"/>
      <w:kern w:val="0"/>
      <w:szCs w:val="21"/>
    </w:rPr>
  </w:style>
  <w:style w:type="paragraph" w:customStyle="1" w:styleId="178">
    <w:name w:val="tdsctop"/>
    <w:basedOn w:val="1"/>
    <w:qFormat/>
    <w:uiPriority w:val="0"/>
    <w:pPr>
      <w:widowControl/>
      <w:spacing w:before="100" w:beforeAutospacing="1" w:after="100" w:afterAutospacing="1"/>
      <w:jc w:val="left"/>
    </w:pPr>
    <w:rPr>
      <w:rFonts w:ascii="宋体" w:hAnsi="宋体" w:cs="宋体"/>
      <w:color w:val="CA0000"/>
      <w:kern w:val="0"/>
      <w:sz w:val="18"/>
      <w:szCs w:val="18"/>
    </w:rPr>
  </w:style>
  <w:style w:type="paragraph" w:customStyle="1" w:styleId="179">
    <w:name w:val="link8"/>
    <w:basedOn w:val="1"/>
    <w:qFormat/>
    <w:uiPriority w:val="0"/>
    <w:pPr>
      <w:widowControl/>
      <w:spacing w:before="100" w:beforeAutospacing="1" w:after="100" w:afterAutospacing="1" w:line="270" w:lineRule="atLeast"/>
      <w:jc w:val="left"/>
    </w:pPr>
    <w:rPr>
      <w:rFonts w:ascii="宋体" w:hAnsi="宋体" w:cs="宋体"/>
      <w:color w:val="666666"/>
      <w:kern w:val="0"/>
      <w:sz w:val="18"/>
      <w:szCs w:val="18"/>
    </w:rPr>
  </w:style>
  <w:style w:type="paragraph" w:customStyle="1" w:styleId="180">
    <w:name w:val="spbb_bord2"/>
    <w:basedOn w:val="1"/>
    <w:qFormat/>
    <w:uiPriority w:val="0"/>
    <w:pPr>
      <w:widowControl/>
      <w:pBdr>
        <w:left w:val="single" w:color="7D7559" w:sz="6" w:space="0"/>
        <w:bottom w:val="single" w:color="7D7559" w:sz="6" w:space="0"/>
        <w:right w:val="single" w:color="7D7559" w:sz="6" w:space="0"/>
      </w:pBdr>
      <w:spacing w:before="100" w:beforeAutospacing="1" w:after="100" w:afterAutospacing="1"/>
      <w:jc w:val="left"/>
    </w:pPr>
    <w:rPr>
      <w:rFonts w:ascii="宋体" w:hAnsi="宋体" w:cs="宋体"/>
      <w:kern w:val="0"/>
      <w:sz w:val="24"/>
      <w:szCs w:val="24"/>
    </w:rPr>
  </w:style>
  <w:style w:type="paragraph" w:customStyle="1" w:styleId="181">
    <w:name w:val="title01"/>
    <w:basedOn w:val="1"/>
    <w:qFormat/>
    <w:uiPriority w:val="0"/>
    <w:pPr>
      <w:widowControl/>
      <w:spacing w:before="100" w:beforeAutospacing="1" w:after="100" w:afterAutospacing="1"/>
      <w:jc w:val="left"/>
    </w:pPr>
    <w:rPr>
      <w:rFonts w:ascii="宋体" w:hAnsi="宋体" w:cs="宋体"/>
      <w:color w:val="003399"/>
      <w:kern w:val="0"/>
      <w:szCs w:val="21"/>
    </w:rPr>
  </w:style>
  <w:style w:type="paragraph" w:customStyle="1" w:styleId="182">
    <w:name w:val="title03"/>
    <w:basedOn w:val="1"/>
    <w:qFormat/>
    <w:uiPriority w:val="0"/>
    <w:pPr>
      <w:widowControl/>
      <w:spacing w:before="100" w:beforeAutospacing="1" w:after="100" w:afterAutospacing="1"/>
      <w:jc w:val="left"/>
    </w:pPr>
    <w:rPr>
      <w:rFonts w:ascii="宋体" w:hAnsi="宋体" w:cs="宋体"/>
      <w:color w:val="CC0000"/>
      <w:kern w:val="0"/>
      <w:szCs w:val="21"/>
    </w:rPr>
  </w:style>
  <w:style w:type="paragraph" w:customStyle="1" w:styleId="183">
    <w:name w:val="spbb_bord4b1"/>
    <w:basedOn w:val="1"/>
    <w:qFormat/>
    <w:uiPriority w:val="0"/>
    <w:pPr>
      <w:widowControl/>
      <w:pBdr>
        <w:top w:val="single" w:color="69B1DE" w:sz="6" w:space="0"/>
        <w:left w:val="single" w:color="69B1DE" w:sz="6" w:space="0"/>
        <w:bottom w:val="single" w:color="69B1DE" w:sz="6" w:space="0"/>
        <w:right w:val="single" w:color="69B1DE" w:sz="6" w:space="0"/>
      </w:pBdr>
      <w:spacing w:before="100" w:beforeAutospacing="1" w:after="100" w:afterAutospacing="1"/>
      <w:jc w:val="left"/>
    </w:pPr>
    <w:rPr>
      <w:rFonts w:ascii="宋体" w:hAnsi="宋体" w:cs="宋体"/>
      <w:kern w:val="0"/>
      <w:sz w:val="24"/>
      <w:szCs w:val="24"/>
    </w:rPr>
  </w:style>
  <w:style w:type="paragraph" w:customStyle="1" w:styleId="184">
    <w:name w:val="input"/>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85">
    <w:name w:val="样式2"/>
    <w:basedOn w:val="1"/>
    <w:qFormat/>
    <w:uiPriority w:val="0"/>
    <w:pPr>
      <w:spacing w:line="360" w:lineRule="auto"/>
      <w:jc w:val="center"/>
    </w:pPr>
    <w:rPr>
      <w:rFonts w:ascii="宋体" w:hAnsi="Arial"/>
      <w:sz w:val="24"/>
    </w:rPr>
  </w:style>
  <w:style w:type="paragraph" w:customStyle="1" w:styleId="186">
    <w:name w:val="flfg_font12"/>
    <w:basedOn w:val="1"/>
    <w:qFormat/>
    <w:uiPriority w:val="0"/>
    <w:pPr>
      <w:widowControl/>
      <w:spacing w:before="100" w:beforeAutospacing="1" w:after="100" w:afterAutospacing="1" w:line="270" w:lineRule="atLeast"/>
      <w:jc w:val="left"/>
    </w:pPr>
    <w:rPr>
      <w:rFonts w:ascii="宋体" w:hAnsi="宋体" w:cs="宋体"/>
      <w:color w:val="333333"/>
      <w:kern w:val="0"/>
      <w:sz w:val="18"/>
      <w:szCs w:val="18"/>
    </w:rPr>
  </w:style>
  <w:style w:type="paragraph" w:customStyle="1" w:styleId="187">
    <w:name w:val="flfg_link2"/>
    <w:basedOn w:val="1"/>
    <w:qFormat/>
    <w:uiPriority w:val="0"/>
    <w:pPr>
      <w:widowControl/>
      <w:spacing w:before="100" w:beforeAutospacing="1" w:after="100" w:afterAutospacing="1" w:line="270" w:lineRule="atLeast"/>
      <w:jc w:val="left"/>
    </w:pPr>
    <w:rPr>
      <w:rFonts w:ascii="宋体" w:hAnsi="宋体" w:cs="宋体"/>
      <w:color w:val="CC0000"/>
      <w:kern w:val="0"/>
      <w:szCs w:val="21"/>
    </w:rPr>
  </w:style>
  <w:style w:type="paragraph" w:customStyle="1" w:styleId="188">
    <w:name w:val="wskt_link1"/>
    <w:basedOn w:val="1"/>
    <w:qFormat/>
    <w:uiPriority w:val="0"/>
    <w:pPr>
      <w:widowControl/>
      <w:spacing w:before="100" w:beforeAutospacing="1" w:after="100" w:afterAutospacing="1" w:line="240" w:lineRule="atLeast"/>
      <w:jc w:val="left"/>
    </w:pPr>
    <w:rPr>
      <w:rFonts w:ascii="宋体" w:hAnsi="宋体" w:cs="宋体"/>
      <w:color w:val="333333"/>
      <w:kern w:val="0"/>
      <w:sz w:val="18"/>
      <w:szCs w:val="18"/>
    </w:rPr>
  </w:style>
  <w:style w:type="paragraph" w:customStyle="1" w:styleId="189">
    <w:name w:val="igreen12"/>
    <w:basedOn w:val="1"/>
    <w:qFormat/>
    <w:uiPriority w:val="0"/>
    <w:pPr>
      <w:widowControl/>
      <w:spacing w:before="100" w:beforeAutospacing="1" w:after="100" w:afterAutospacing="1"/>
      <w:jc w:val="left"/>
    </w:pPr>
    <w:rPr>
      <w:rFonts w:ascii="宋体" w:hAnsi="宋体" w:cs="宋体"/>
      <w:color w:val="297A17"/>
      <w:kern w:val="0"/>
      <w:sz w:val="18"/>
      <w:szCs w:val="18"/>
    </w:rPr>
  </w:style>
  <w:style w:type="paragraph" w:customStyle="1" w:styleId="190">
    <w:name w:val="ihych"/>
    <w:basedOn w:val="1"/>
    <w:qFormat/>
    <w:uiPriority w:val="0"/>
    <w:pPr>
      <w:widowControl/>
      <w:spacing w:before="100" w:beforeAutospacing="1" w:after="100" w:afterAutospacing="1"/>
      <w:jc w:val="left"/>
    </w:pPr>
    <w:rPr>
      <w:rFonts w:ascii="宋体" w:hAnsi="宋体" w:cs="宋体"/>
      <w:color w:val="333333"/>
      <w:kern w:val="0"/>
      <w:sz w:val="20"/>
    </w:rPr>
  </w:style>
  <w:style w:type="paragraph" w:customStyle="1" w:styleId="191">
    <w:name w:val="dzzh_font"/>
    <w:basedOn w:val="1"/>
    <w:qFormat/>
    <w:uiPriority w:val="0"/>
    <w:pPr>
      <w:widowControl/>
      <w:spacing w:before="100" w:beforeAutospacing="1" w:after="100" w:afterAutospacing="1"/>
      <w:jc w:val="left"/>
    </w:pPr>
    <w:rPr>
      <w:rFonts w:ascii="宋体" w:hAnsi="宋体" w:cs="宋体"/>
      <w:b/>
      <w:bCs/>
      <w:color w:val="FFFFFF"/>
      <w:kern w:val="0"/>
      <w:sz w:val="23"/>
      <w:szCs w:val="23"/>
    </w:rPr>
  </w:style>
  <w:style w:type="paragraph" w:customStyle="1" w:styleId="192">
    <w:name w:val="flfg_bord2"/>
    <w:basedOn w:val="1"/>
    <w:qFormat/>
    <w:uiPriority w:val="0"/>
    <w:pPr>
      <w:widowControl/>
      <w:pBdr>
        <w:bottom w:val="single" w:color="E3F1FB" w:sz="6" w:space="0"/>
      </w:pBdr>
      <w:spacing w:before="100" w:beforeAutospacing="1" w:after="100" w:afterAutospacing="1"/>
      <w:jc w:val="left"/>
    </w:pPr>
    <w:rPr>
      <w:rFonts w:ascii="宋体" w:hAnsi="宋体" w:cs="宋体"/>
      <w:kern w:val="0"/>
      <w:sz w:val="24"/>
      <w:szCs w:val="24"/>
    </w:rPr>
  </w:style>
  <w:style w:type="paragraph" w:customStyle="1" w:styleId="193">
    <w:name w:val="spbb_bord4b"/>
    <w:basedOn w:val="1"/>
    <w:qFormat/>
    <w:uiPriority w:val="0"/>
    <w:pPr>
      <w:widowControl/>
      <w:pBdr>
        <w:top w:val="single" w:color="EEEAEA" w:sz="6" w:space="0"/>
        <w:left w:val="single" w:color="EEEAEA" w:sz="6" w:space="0"/>
        <w:bottom w:val="single" w:color="EEEAEA" w:sz="6" w:space="0"/>
        <w:right w:val="single" w:color="EEEAEA" w:sz="6" w:space="0"/>
      </w:pBdr>
      <w:spacing w:before="100" w:beforeAutospacing="1" w:after="100" w:afterAutospacing="1"/>
      <w:jc w:val="left"/>
    </w:pPr>
    <w:rPr>
      <w:rFonts w:ascii="宋体" w:hAnsi="宋体" w:cs="宋体"/>
      <w:kern w:val="0"/>
      <w:sz w:val="24"/>
      <w:szCs w:val="24"/>
    </w:rPr>
  </w:style>
  <w:style w:type="paragraph" w:customStyle="1" w:styleId="194">
    <w:name w:val="kyqsctop"/>
    <w:basedOn w:val="1"/>
    <w:qFormat/>
    <w:uiPriority w:val="0"/>
    <w:pPr>
      <w:widowControl/>
      <w:spacing w:before="100" w:beforeAutospacing="1" w:after="100" w:afterAutospacing="1"/>
      <w:jc w:val="left"/>
    </w:pPr>
    <w:rPr>
      <w:rFonts w:ascii="宋体" w:hAnsi="宋体" w:cs="宋体"/>
      <w:color w:val="1949B6"/>
      <w:kern w:val="0"/>
      <w:sz w:val="18"/>
      <w:szCs w:val="18"/>
    </w:rPr>
  </w:style>
  <w:style w:type="paragraph" w:customStyle="1" w:styleId="195">
    <w:name w:val="wskt_link"/>
    <w:basedOn w:val="1"/>
    <w:qFormat/>
    <w:uiPriority w:val="0"/>
    <w:pPr>
      <w:widowControl/>
      <w:spacing w:before="100" w:beforeAutospacing="1" w:after="100" w:afterAutospacing="1" w:line="240" w:lineRule="atLeast"/>
      <w:jc w:val="left"/>
    </w:pPr>
    <w:rPr>
      <w:rFonts w:ascii="宋体" w:hAnsi="宋体" w:cs="宋体"/>
      <w:b/>
      <w:bCs/>
      <w:color w:val="333333"/>
      <w:kern w:val="0"/>
      <w:sz w:val="18"/>
      <w:szCs w:val="18"/>
    </w:rPr>
  </w:style>
  <w:style w:type="paragraph" w:customStyle="1" w:styleId="196">
    <w:name w:val="xl30"/>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197">
    <w:name w:val="p0"/>
    <w:basedOn w:val="1"/>
    <w:qFormat/>
    <w:uiPriority w:val="0"/>
    <w:pPr>
      <w:widowControl/>
    </w:pPr>
    <w:rPr>
      <w:kern w:val="0"/>
      <w:szCs w:val="21"/>
    </w:rPr>
  </w:style>
  <w:style w:type="paragraph" w:customStyle="1" w:styleId="198">
    <w:name w:val="font14gray"/>
    <w:basedOn w:val="1"/>
    <w:qFormat/>
    <w:uiPriority w:val="0"/>
    <w:pPr>
      <w:widowControl/>
      <w:spacing w:before="100" w:beforeAutospacing="1" w:after="100" w:afterAutospacing="1"/>
      <w:jc w:val="left"/>
    </w:pPr>
    <w:rPr>
      <w:rFonts w:ascii="宋体" w:hAnsi="宋体" w:cs="宋体"/>
      <w:b/>
      <w:bCs/>
      <w:color w:val="505050"/>
      <w:kern w:val="0"/>
      <w:szCs w:val="21"/>
    </w:rPr>
  </w:style>
  <w:style w:type="paragraph" w:customStyle="1" w:styleId="199">
    <w:name w:val="ittli"/>
    <w:basedOn w:val="1"/>
    <w:qFormat/>
    <w:uiPriority w:val="0"/>
    <w:pPr>
      <w:widowControl/>
      <w:spacing w:before="100" w:beforeAutospacing="1" w:after="100" w:afterAutospacing="1"/>
      <w:jc w:val="left"/>
    </w:pPr>
    <w:rPr>
      <w:rFonts w:ascii="宋体" w:hAnsi="宋体" w:cs="宋体"/>
      <w:color w:val="0953C2"/>
      <w:kern w:val="0"/>
      <w:sz w:val="18"/>
      <w:szCs w:val="18"/>
    </w:rPr>
  </w:style>
  <w:style w:type="paragraph" w:customStyle="1" w:styleId="200">
    <w:name w:val="ilinkdiv"/>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1">
    <w:name w:val="wskt_more1"/>
    <w:basedOn w:val="1"/>
    <w:qFormat/>
    <w:uiPriority w:val="0"/>
    <w:pPr>
      <w:widowControl/>
      <w:spacing w:before="100" w:beforeAutospacing="1" w:after="100" w:afterAutospacing="1" w:line="240" w:lineRule="atLeast"/>
      <w:jc w:val="left"/>
    </w:pPr>
    <w:rPr>
      <w:rFonts w:ascii="宋体" w:hAnsi="宋体" w:cs="宋体"/>
      <w:color w:val="333333"/>
      <w:kern w:val="0"/>
      <w:sz w:val="18"/>
      <w:szCs w:val="18"/>
    </w:rPr>
  </w:style>
  <w:style w:type="paragraph" w:customStyle="1" w:styleId="202">
    <w:name w:val="1"/>
    <w:basedOn w:val="1"/>
    <w:next w:val="26"/>
    <w:qFormat/>
    <w:uiPriority w:val="0"/>
    <w:pPr>
      <w:adjustRightInd w:val="0"/>
      <w:spacing w:line="360" w:lineRule="auto"/>
      <w:ind w:firstLine="600"/>
      <w:textAlignment w:val="baseline"/>
    </w:pPr>
    <w:rPr>
      <w:kern w:val="0"/>
      <w:sz w:val="28"/>
    </w:rPr>
  </w:style>
  <w:style w:type="paragraph" w:customStyle="1" w:styleId="203">
    <w:name w:val="ll0"/>
    <w:basedOn w:val="204"/>
    <w:qFormat/>
    <w:uiPriority w:val="0"/>
    <w:pPr>
      <w:numPr>
        <w:numId w:val="0"/>
      </w:numPr>
      <w:tabs>
        <w:tab w:val="left" w:pos="420"/>
      </w:tabs>
      <w:ind w:firstLine="420"/>
    </w:pPr>
    <w:rPr>
      <w:rFonts w:ascii="宋体" w:eastAsia="宋体"/>
      <w:b w:val="0"/>
      <w:spacing w:val="12"/>
    </w:rPr>
  </w:style>
  <w:style w:type="paragraph" w:customStyle="1" w:styleId="204">
    <w:name w:val="样式1"/>
    <w:basedOn w:val="1"/>
    <w:qFormat/>
    <w:uiPriority w:val="0"/>
    <w:pPr>
      <w:numPr>
        <w:ilvl w:val="0"/>
        <w:numId w:val="1"/>
      </w:numPr>
      <w:spacing w:line="460" w:lineRule="exact"/>
    </w:pPr>
    <w:rPr>
      <w:rFonts w:eastAsia="文鼎中隶简"/>
      <w:b/>
      <w:sz w:val="24"/>
    </w:rPr>
  </w:style>
  <w:style w:type="paragraph" w:customStyle="1" w:styleId="205">
    <w:name w:val="ldzc_name"/>
    <w:basedOn w:val="1"/>
    <w:qFormat/>
    <w:uiPriority w:val="0"/>
    <w:pPr>
      <w:widowControl/>
      <w:spacing w:before="100" w:beforeAutospacing="1" w:after="100" w:afterAutospacing="1"/>
      <w:jc w:val="left"/>
    </w:pPr>
    <w:rPr>
      <w:rFonts w:ascii="宋体" w:hAnsi="宋体" w:cs="宋体"/>
      <w:b/>
      <w:bCs/>
      <w:color w:val="CC0000"/>
      <w:kern w:val="0"/>
      <w:sz w:val="27"/>
      <w:szCs w:val="27"/>
    </w:rPr>
  </w:style>
  <w:style w:type="paragraph" w:customStyle="1" w:styleId="206">
    <w:name w:val="menubox"/>
    <w:basedOn w:val="1"/>
    <w:qFormat/>
    <w:uiPriority w:val="0"/>
    <w:pPr>
      <w:widowControl/>
      <w:spacing w:before="100" w:beforeAutospacing="1" w:after="100" w:afterAutospacing="1" w:line="420" w:lineRule="atLeast"/>
      <w:jc w:val="left"/>
    </w:pPr>
    <w:rPr>
      <w:rFonts w:ascii="宋体" w:hAnsi="宋体" w:cs="宋体"/>
      <w:kern w:val="0"/>
      <w:sz w:val="24"/>
      <w:szCs w:val="24"/>
    </w:rPr>
  </w:style>
  <w:style w:type="paragraph" w:customStyle="1" w:styleId="207">
    <w:name w:val="Char Char Char1 Char Char Char Char"/>
    <w:basedOn w:val="1"/>
    <w:qFormat/>
    <w:uiPriority w:val="0"/>
    <w:pPr>
      <w:widowControl/>
      <w:jc w:val="left"/>
    </w:pPr>
    <w:rPr>
      <w:rFonts w:ascii="宋体" w:hAnsi="宋体" w:cs="Courier New"/>
      <w:kern w:val="0"/>
      <w:sz w:val="32"/>
      <w:szCs w:val="32"/>
    </w:rPr>
  </w:style>
  <w:style w:type="paragraph" w:customStyle="1" w:styleId="208">
    <w:name w:val="basfwhui12"/>
    <w:basedOn w:val="1"/>
    <w:qFormat/>
    <w:uiPriority w:val="0"/>
    <w:pPr>
      <w:widowControl/>
      <w:spacing w:before="100" w:beforeAutospacing="1" w:after="100" w:afterAutospacing="1"/>
      <w:jc w:val="left"/>
    </w:pPr>
    <w:rPr>
      <w:rFonts w:ascii="宋体" w:hAnsi="宋体" w:cs="宋体"/>
      <w:color w:val="343434"/>
      <w:kern w:val="0"/>
      <w:sz w:val="18"/>
      <w:szCs w:val="18"/>
    </w:rPr>
  </w:style>
  <w:style w:type="paragraph" w:customStyle="1" w:styleId="209">
    <w:name w:val="link2"/>
    <w:basedOn w:val="1"/>
    <w:qFormat/>
    <w:uiPriority w:val="0"/>
    <w:pPr>
      <w:widowControl/>
      <w:spacing w:before="100" w:beforeAutospacing="1" w:after="100" w:afterAutospacing="1"/>
      <w:jc w:val="left"/>
    </w:pPr>
    <w:rPr>
      <w:rFonts w:ascii="宋体" w:hAnsi="宋体" w:cs="宋体"/>
      <w:color w:val="003399"/>
      <w:kern w:val="0"/>
      <w:szCs w:val="21"/>
    </w:rPr>
  </w:style>
  <w:style w:type="paragraph" w:customStyle="1" w:styleId="210">
    <w:name w:val="ikqsc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1">
    <w:name w:val="iy13"/>
    <w:basedOn w:val="1"/>
    <w:qFormat/>
    <w:uiPriority w:val="0"/>
    <w:pPr>
      <w:widowControl/>
      <w:spacing w:before="100" w:beforeAutospacing="1" w:after="100" w:afterAutospacing="1"/>
      <w:jc w:val="left"/>
    </w:pPr>
    <w:rPr>
      <w:rFonts w:ascii="宋体" w:hAnsi="宋体" w:cs="宋体"/>
      <w:color w:val="615015"/>
      <w:kern w:val="0"/>
      <w:sz w:val="20"/>
    </w:rPr>
  </w:style>
  <w:style w:type="paragraph" w:customStyle="1" w:styleId="212">
    <w:name w:val="tdscsch"/>
    <w:basedOn w:val="1"/>
    <w:qFormat/>
    <w:uiPriority w:val="0"/>
    <w:pPr>
      <w:widowControl/>
      <w:jc w:val="center"/>
    </w:pPr>
    <w:rPr>
      <w:rFonts w:ascii="宋体" w:hAnsi="宋体" w:cs="宋体"/>
      <w:b/>
      <w:bCs/>
      <w:color w:val="000000"/>
      <w:kern w:val="0"/>
      <w:sz w:val="20"/>
    </w:rPr>
  </w:style>
  <w:style w:type="paragraph" w:customStyle="1" w:styleId="213">
    <w:name w:val="gray12"/>
    <w:basedOn w:val="1"/>
    <w:qFormat/>
    <w:uiPriority w:val="0"/>
    <w:pPr>
      <w:widowControl/>
      <w:spacing w:before="100" w:beforeAutospacing="1" w:after="100" w:afterAutospacing="1"/>
      <w:jc w:val="left"/>
    </w:pPr>
    <w:rPr>
      <w:rFonts w:ascii="宋体" w:hAnsi="宋体" w:cs="宋体"/>
      <w:color w:val="888888"/>
      <w:kern w:val="0"/>
      <w:sz w:val="18"/>
      <w:szCs w:val="18"/>
    </w:rPr>
  </w:style>
  <w:style w:type="paragraph" w:customStyle="1" w:styleId="214">
    <w:name w:val="Char3"/>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15">
    <w:name w:val="tdsch12"/>
    <w:basedOn w:val="1"/>
    <w:qFormat/>
    <w:uiPriority w:val="0"/>
    <w:pPr>
      <w:widowControl/>
      <w:spacing w:before="100" w:beforeAutospacing="1" w:after="100" w:afterAutospacing="1"/>
      <w:jc w:val="left"/>
    </w:pPr>
    <w:rPr>
      <w:rFonts w:ascii="宋体" w:hAnsi="宋体" w:cs="宋体"/>
      <w:color w:val="2A2A2A"/>
      <w:kern w:val="0"/>
      <w:sz w:val="18"/>
      <w:szCs w:val="18"/>
    </w:rPr>
  </w:style>
  <w:style w:type="paragraph" w:customStyle="1" w:styleId="216">
    <w:name w:val="wskt_bord2"/>
    <w:basedOn w:val="1"/>
    <w:qFormat/>
    <w:uiPriority w:val="0"/>
    <w:pPr>
      <w:widowControl/>
      <w:pBdr>
        <w:left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217">
    <w:name w:val="basfwhui14b"/>
    <w:basedOn w:val="1"/>
    <w:qFormat/>
    <w:uiPriority w:val="0"/>
    <w:pPr>
      <w:widowControl/>
      <w:spacing w:before="100" w:beforeAutospacing="1" w:after="100" w:afterAutospacing="1"/>
      <w:jc w:val="left"/>
    </w:pPr>
    <w:rPr>
      <w:rFonts w:ascii="宋体" w:hAnsi="宋体" w:cs="宋体"/>
      <w:b/>
      <w:bCs/>
      <w:color w:val="343434"/>
      <w:kern w:val="0"/>
      <w:szCs w:val="21"/>
    </w:rPr>
  </w:style>
  <w:style w:type="paragraph" w:customStyle="1" w:styleId="218">
    <w:name w:val="目录1"/>
    <w:basedOn w:val="3"/>
    <w:qFormat/>
    <w:uiPriority w:val="0"/>
    <w:pPr>
      <w:keepLines/>
      <w:spacing w:before="340" w:after="330" w:line="500" w:lineRule="exact"/>
    </w:pPr>
    <w:rPr>
      <w:rFonts w:ascii="黑体" w:eastAsia="黑体"/>
      <w:bCs/>
      <w:kern w:val="44"/>
      <w:sz w:val="36"/>
      <w:szCs w:val="36"/>
    </w:rPr>
  </w:style>
  <w:style w:type="paragraph" w:customStyle="1" w:styleId="219">
    <w:name w:val="ih13l18"/>
    <w:basedOn w:val="1"/>
    <w:qFormat/>
    <w:uiPriority w:val="0"/>
    <w:pPr>
      <w:widowControl/>
      <w:spacing w:before="100" w:beforeAutospacing="1" w:after="100" w:afterAutospacing="1" w:line="270" w:lineRule="atLeast"/>
      <w:jc w:val="left"/>
    </w:pPr>
    <w:rPr>
      <w:rFonts w:ascii="宋体" w:hAnsi="宋体" w:cs="宋体"/>
      <w:color w:val="313131"/>
      <w:kern w:val="0"/>
      <w:sz w:val="20"/>
    </w:rPr>
  </w:style>
  <w:style w:type="paragraph" w:customStyle="1" w:styleId="220">
    <w:name w:val="纯文本1"/>
    <w:basedOn w:val="1"/>
    <w:qFormat/>
    <w:uiPriority w:val="0"/>
    <w:rPr>
      <w:rFonts w:ascii="宋体" w:hAnsi="Courier New" w:cs="Courier New"/>
      <w:szCs w:val="21"/>
    </w:rPr>
  </w:style>
  <w:style w:type="paragraph" w:customStyle="1" w:styleId="221">
    <w:name w:val="spbb_link3"/>
    <w:basedOn w:val="1"/>
    <w:qFormat/>
    <w:uiPriority w:val="0"/>
    <w:pPr>
      <w:widowControl/>
      <w:spacing w:before="100" w:beforeAutospacing="1" w:after="100" w:afterAutospacing="1" w:line="240" w:lineRule="atLeast"/>
      <w:jc w:val="left"/>
    </w:pPr>
    <w:rPr>
      <w:rFonts w:ascii="宋体" w:hAnsi="宋体" w:cs="宋体"/>
      <w:color w:val="666666"/>
      <w:kern w:val="0"/>
      <w:sz w:val="18"/>
      <w:szCs w:val="18"/>
    </w:rPr>
  </w:style>
  <w:style w:type="paragraph" w:customStyle="1" w:styleId="222">
    <w:name w:val="blue12"/>
    <w:basedOn w:val="1"/>
    <w:qFormat/>
    <w:uiPriority w:val="0"/>
    <w:pPr>
      <w:widowControl/>
      <w:spacing w:before="100" w:beforeAutospacing="1" w:after="100" w:afterAutospacing="1"/>
      <w:jc w:val="left"/>
    </w:pPr>
    <w:rPr>
      <w:rFonts w:ascii="宋体" w:hAnsi="宋体" w:cs="宋体"/>
      <w:color w:val="075CA4"/>
      <w:kern w:val="0"/>
      <w:sz w:val="18"/>
      <w:szCs w:val="18"/>
    </w:rPr>
  </w:style>
  <w:style w:type="paragraph" w:customStyle="1" w:styleId="223">
    <w:name w:val="bsfwdiv2"/>
    <w:basedOn w:val="1"/>
    <w:qFormat/>
    <w:uiPriority w:val="0"/>
    <w:pPr>
      <w:widowControl/>
      <w:spacing w:before="100" w:beforeAutospacing="1" w:after="100" w:afterAutospacing="1"/>
      <w:jc w:val="left"/>
    </w:pPr>
    <w:rPr>
      <w:rFonts w:ascii="宋体" w:hAnsi="宋体" w:cs="宋体"/>
      <w:b/>
      <w:bCs/>
      <w:color w:val="ADA700"/>
      <w:kern w:val="0"/>
      <w:szCs w:val="21"/>
    </w:rPr>
  </w:style>
  <w:style w:type="paragraph" w:customStyle="1" w:styleId="224">
    <w:name w:val="title02"/>
    <w:basedOn w:val="1"/>
    <w:qFormat/>
    <w:uiPriority w:val="0"/>
    <w:pPr>
      <w:widowControl/>
      <w:spacing w:before="100" w:beforeAutospacing="1" w:after="100" w:afterAutospacing="1"/>
      <w:jc w:val="left"/>
    </w:pPr>
    <w:rPr>
      <w:rFonts w:ascii="宋体" w:hAnsi="宋体" w:cs="宋体"/>
      <w:color w:val="993300"/>
      <w:kern w:val="0"/>
      <w:szCs w:val="21"/>
    </w:rPr>
  </w:style>
  <w:style w:type="paragraph" w:customStyle="1" w:styleId="225">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26">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227">
    <w:name w:val="wskt_bord3a"/>
    <w:basedOn w:val="1"/>
    <w:qFormat/>
    <w:uiPriority w:val="0"/>
    <w:pPr>
      <w:widowControl/>
      <w:pBdr>
        <w:left w:val="single" w:color="C9C9C9" w:sz="6" w:space="0"/>
        <w:bottom w:val="single" w:color="C9C9C9" w:sz="6" w:space="0"/>
        <w:right w:val="single" w:color="C9C9C9" w:sz="6" w:space="0"/>
      </w:pBdr>
      <w:spacing w:before="100" w:beforeAutospacing="1" w:after="100" w:afterAutospacing="1"/>
      <w:jc w:val="left"/>
    </w:pPr>
    <w:rPr>
      <w:rFonts w:ascii="宋体" w:hAnsi="宋体" w:cs="宋体"/>
      <w:kern w:val="0"/>
      <w:sz w:val="24"/>
      <w:szCs w:val="24"/>
    </w:rPr>
  </w:style>
  <w:style w:type="paragraph" w:customStyle="1" w:styleId="228">
    <w:name w:val="link6"/>
    <w:basedOn w:val="1"/>
    <w:qFormat/>
    <w:uiPriority w:val="0"/>
    <w:pPr>
      <w:widowControl/>
      <w:spacing w:before="100" w:beforeAutospacing="1" w:after="100" w:afterAutospacing="1"/>
      <w:jc w:val="left"/>
    </w:pPr>
    <w:rPr>
      <w:rFonts w:ascii="宋体" w:hAnsi="宋体" w:cs="宋体"/>
      <w:color w:val="990000"/>
      <w:kern w:val="0"/>
      <w:sz w:val="18"/>
      <w:szCs w:val="18"/>
    </w:rPr>
  </w:style>
  <w:style w:type="paragraph" w:customStyle="1" w:styleId="229">
    <w:name w:val="ih14"/>
    <w:basedOn w:val="1"/>
    <w:qFormat/>
    <w:uiPriority w:val="0"/>
    <w:pPr>
      <w:widowControl/>
      <w:spacing w:before="100" w:beforeAutospacing="1" w:after="100" w:afterAutospacing="1"/>
      <w:jc w:val="left"/>
    </w:pPr>
    <w:rPr>
      <w:rFonts w:ascii="宋体" w:hAnsi="宋体" w:cs="宋体"/>
      <w:color w:val="0E0E0E"/>
      <w:kern w:val="0"/>
      <w:szCs w:val="21"/>
    </w:rPr>
  </w:style>
  <w:style w:type="paragraph" w:customStyle="1" w:styleId="230">
    <w:name w:val="Char Char"/>
    <w:basedOn w:val="1"/>
    <w:qFormat/>
    <w:uiPriority w:val="99"/>
  </w:style>
  <w:style w:type="paragraph" w:customStyle="1" w:styleId="231">
    <w:name w:val="bordbottom"/>
    <w:basedOn w:val="1"/>
    <w:qFormat/>
    <w:uiPriority w:val="0"/>
    <w:pPr>
      <w:widowControl/>
      <w:pBdr>
        <w:top w:val="single" w:color="CCCCCC" w:sz="6" w:space="0"/>
      </w:pBdr>
      <w:spacing w:before="100" w:beforeAutospacing="1" w:after="100" w:afterAutospacing="1"/>
      <w:jc w:val="left"/>
    </w:pPr>
    <w:rPr>
      <w:rFonts w:ascii="宋体" w:hAnsi="宋体" w:cs="宋体"/>
      <w:kern w:val="0"/>
      <w:sz w:val="24"/>
      <w:szCs w:val="24"/>
    </w:rPr>
  </w:style>
  <w:style w:type="paragraph" w:customStyle="1" w:styleId="232">
    <w:name w:val="menu"/>
    <w:basedOn w:val="1"/>
    <w:qFormat/>
    <w:uiPriority w:val="0"/>
    <w:pPr>
      <w:widowControl/>
      <w:spacing w:before="100" w:beforeAutospacing="1" w:after="100" w:afterAutospacing="1"/>
      <w:jc w:val="left"/>
    </w:pPr>
    <w:rPr>
      <w:rFonts w:ascii="宋体" w:hAnsi="宋体" w:cs="宋体"/>
      <w:color w:val="333333"/>
      <w:kern w:val="0"/>
      <w:szCs w:val="21"/>
    </w:rPr>
  </w:style>
  <w:style w:type="paragraph" w:customStyle="1" w:styleId="233">
    <w:name w:val="location"/>
    <w:basedOn w:val="1"/>
    <w:qFormat/>
    <w:uiPriority w:val="0"/>
    <w:pPr>
      <w:widowControl/>
      <w:spacing w:before="100" w:beforeAutospacing="1" w:after="100" w:afterAutospacing="1"/>
      <w:jc w:val="left"/>
    </w:pPr>
    <w:rPr>
      <w:rFonts w:ascii="宋体" w:hAnsi="宋体" w:cs="宋体"/>
      <w:color w:val="003366"/>
      <w:kern w:val="0"/>
      <w:sz w:val="18"/>
      <w:szCs w:val="18"/>
    </w:rPr>
  </w:style>
  <w:style w:type="paragraph" w:customStyle="1" w:styleId="234">
    <w:name w:val="font14blue"/>
    <w:basedOn w:val="1"/>
    <w:qFormat/>
    <w:uiPriority w:val="0"/>
    <w:pPr>
      <w:widowControl/>
      <w:spacing w:before="100" w:beforeAutospacing="1" w:after="100" w:afterAutospacing="1" w:line="345" w:lineRule="atLeast"/>
      <w:jc w:val="left"/>
    </w:pPr>
    <w:rPr>
      <w:rFonts w:ascii="宋体" w:hAnsi="宋体" w:cs="宋体"/>
      <w:b/>
      <w:bCs/>
      <w:color w:val="184B7A"/>
      <w:kern w:val="0"/>
      <w:szCs w:val="21"/>
    </w:rPr>
  </w:style>
  <w:style w:type="paragraph" w:customStyle="1" w:styleId="235">
    <w:name w:val="ih13"/>
    <w:basedOn w:val="1"/>
    <w:qFormat/>
    <w:uiPriority w:val="0"/>
    <w:pPr>
      <w:widowControl/>
      <w:spacing w:before="100" w:beforeAutospacing="1" w:after="100" w:afterAutospacing="1"/>
      <w:jc w:val="left"/>
    </w:pPr>
    <w:rPr>
      <w:rFonts w:ascii="宋体" w:hAnsi="宋体" w:cs="宋体"/>
      <w:color w:val="212121"/>
      <w:kern w:val="0"/>
      <w:sz w:val="20"/>
    </w:rPr>
  </w:style>
  <w:style w:type="paragraph" w:customStyle="1" w:styleId="236">
    <w:name w:val="more"/>
    <w:basedOn w:val="1"/>
    <w:qFormat/>
    <w:uiPriority w:val="0"/>
    <w:pPr>
      <w:widowControl/>
      <w:spacing w:before="100" w:beforeAutospacing="1" w:after="100" w:afterAutospacing="1"/>
      <w:jc w:val="left"/>
    </w:pPr>
    <w:rPr>
      <w:rFonts w:ascii="宋体" w:hAnsi="宋体" w:cs="宋体"/>
      <w:color w:val="2577B7"/>
      <w:kern w:val="0"/>
      <w:sz w:val="18"/>
      <w:szCs w:val="18"/>
    </w:rPr>
  </w:style>
  <w:style w:type="paragraph" w:customStyle="1" w:styleId="237">
    <w:name w:val="flfg_bord"/>
    <w:basedOn w:val="1"/>
    <w:qFormat/>
    <w:uiPriority w:val="0"/>
    <w:pPr>
      <w:widowControl/>
      <w:pBdr>
        <w:top w:val="single" w:color="E3F1FB" w:sz="6" w:space="0"/>
        <w:left w:val="single" w:color="E3F1FB" w:sz="6" w:space="0"/>
        <w:bottom w:val="single" w:color="E3F1FB" w:sz="6" w:space="0"/>
        <w:right w:val="single" w:color="E3F1FB" w:sz="6" w:space="0"/>
      </w:pBdr>
      <w:spacing w:before="100" w:beforeAutospacing="1" w:after="100" w:afterAutospacing="1"/>
      <w:jc w:val="left"/>
    </w:pPr>
    <w:rPr>
      <w:rFonts w:ascii="宋体" w:hAnsi="宋体" w:cs="宋体"/>
      <w:kern w:val="0"/>
      <w:sz w:val="24"/>
      <w:szCs w:val="24"/>
    </w:rPr>
  </w:style>
  <w:style w:type="paragraph" w:customStyle="1" w:styleId="238">
    <w:name w:val="iw13b"/>
    <w:basedOn w:val="1"/>
    <w:qFormat/>
    <w:uiPriority w:val="0"/>
    <w:pPr>
      <w:widowControl/>
      <w:spacing w:before="100" w:beforeAutospacing="1" w:after="100" w:afterAutospacing="1"/>
      <w:jc w:val="left"/>
    </w:pPr>
    <w:rPr>
      <w:rFonts w:ascii="宋体" w:hAnsi="宋体" w:cs="宋体"/>
      <w:color w:val="FFFFFF"/>
      <w:kern w:val="0"/>
      <w:sz w:val="20"/>
    </w:rPr>
  </w:style>
  <w:style w:type="paragraph" w:customStyle="1" w:styleId="239">
    <w:name w:val="news_bord"/>
    <w:basedOn w:val="1"/>
    <w:qFormat/>
    <w:uiPriority w:val="0"/>
    <w:pPr>
      <w:widowControl/>
      <w:pBdr>
        <w:right w:val="single" w:color="CDDDEA" w:sz="6" w:space="0"/>
      </w:pBdr>
      <w:spacing w:before="100" w:beforeAutospacing="1" w:after="100" w:afterAutospacing="1"/>
      <w:jc w:val="left"/>
    </w:pPr>
    <w:rPr>
      <w:rFonts w:ascii="宋体" w:hAnsi="宋体" w:cs="宋体"/>
      <w:kern w:val="0"/>
      <w:sz w:val="24"/>
      <w:szCs w:val="24"/>
    </w:rPr>
  </w:style>
  <w:style w:type="paragraph" w:customStyle="1" w:styleId="240">
    <w:name w:val="bord1"/>
    <w:basedOn w:val="1"/>
    <w:qFormat/>
    <w:uiPriority w:val="0"/>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241">
    <w:name w:val="wskt_link2"/>
    <w:basedOn w:val="1"/>
    <w:qFormat/>
    <w:uiPriority w:val="0"/>
    <w:pPr>
      <w:widowControl/>
      <w:spacing w:before="100" w:beforeAutospacing="1" w:after="100" w:afterAutospacing="1" w:line="270" w:lineRule="atLeast"/>
      <w:jc w:val="left"/>
    </w:pPr>
    <w:rPr>
      <w:rFonts w:ascii="宋体" w:hAnsi="宋体" w:cs="宋体"/>
      <w:color w:val="333333"/>
      <w:kern w:val="0"/>
      <w:sz w:val="18"/>
      <w:szCs w:val="18"/>
    </w:rPr>
  </w:style>
  <w:style w:type="paragraph" w:customStyle="1" w:styleId="242">
    <w:name w:val="floatl"/>
    <w:basedOn w:val="1"/>
    <w:qFormat/>
    <w:uiPriority w:val="0"/>
    <w:pPr>
      <w:widowControl/>
      <w:spacing w:before="15"/>
      <w:ind w:left="75" w:right="60"/>
      <w:jc w:val="left"/>
    </w:pPr>
    <w:rPr>
      <w:rFonts w:ascii="宋体" w:hAnsi="宋体" w:cs="宋体"/>
      <w:kern w:val="0"/>
      <w:sz w:val="24"/>
      <w:szCs w:val="24"/>
    </w:rPr>
  </w:style>
  <w:style w:type="paragraph" w:customStyle="1" w:styleId="243">
    <w:name w:val="ipadding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4">
    <w:name w:val="目录标题"/>
    <w:basedOn w:val="1"/>
    <w:next w:val="1"/>
    <w:qFormat/>
    <w:uiPriority w:val="0"/>
    <w:pPr>
      <w:widowControl/>
      <w:spacing w:before="215" w:after="419" w:line="436" w:lineRule="atLeast"/>
      <w:ind w:firstLine="419"/>
      <w:jc w:val="center"/>
      <w:textAlignment w:val="baseline"/>
    </w:pPr>
    <w:rPr>
      <w:rFonts w:ascii="Arial" w:eastAsia="黑体"/>
      <w:color w:val="000000"/>
      <w:spacing w:val="283"/>
      <w:kern w:val="0"/>
      <w:sz w:val="42"/>
    </w:rPr>
  </w:style>
  <w:style w:type="paragraph" w:customStyle="1" w:styleId="245">
    <w:name w:val="page"/>
    <w:basedOn w:val="1"/>
    <w:qFormat/>
    <w:uiPriority w:val="0"/>
    <w:pPr>
      <w:widowControl/>
      <w:spacing w:before="100" w:beforeAutospacing="1" w:after="100" w:afterAutospacing="1"/>
      <w:jc w:val="left"/>
    </w:pPr>
    <w:rPr>
      <w:rFonts w:ascii="宋体" w:hAnsi="宋体" w:cs="宋体"/>
      <w:color w:val="184B7A"/>
      <w:kern w:val="0"/>
      <w:szCs w:val="21"/>
    </w:rPr>
  </w:style>
  <w:style w:type="paragraph" w:customStyle="1" w:styleId="246">
    <w:name w:val="spbb_bord1"/>
    <w:basedOn w:val="1"/>
    <w:qFormat/>
    <w:uiPriority w:val="0"/>
    <w:pPr>
      <w:widowControl/>
      <w:pBdr>
        <w:left w:val="single" w:color="DDECF5" w:sz="6" w:space="0"/>
        <w:bottom w:val="single" w:color="DDECF5" w:sz="6" w:space="0"/>
        <w:right w:val="single" w:color="DDECF5" w:sz="6" w:space="0"/>
      </w:pBdr>
      <w:spacing w:before="100" w:beforeAutospacing="1" w:after="100" w:afterAutospacing="1"/>
      <w:jc w:val="left"/>
    </w:pPr>
    <w:rPr>
      <w:rFonts w:ascii="宋体" w:hAnsi="宋体" w:cs="宋体"/>
      <w:kern w:val="0"/>
      <w:sz w:val="24"/>
      <w:szCs w:val="24"/>
    </w:rPr>
  </w:style>
  <w:style w:type="paragraph" w:customStyle="1" w:styleId="247">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248">
    <w:name w:val="tssc13tt"/>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249">
    <w:name w:val="ih12"/>
    <w:basedOn w:val="1"/>
    <w:qFormat/>
    <w:uiPriority w:val="0"/>
    <w:pPr>
      <w:widowControl/>
      <w:spacing w:before="100" w:beforeAutospacing="1" w:after="100" w:afterAutospacing="1"/>
      <w:jc w:val="left"/>
    </w:pPr>
    <w:rPr>
      <w:rFonts w:ascii="宋体" w:hAnsi="宋体" w:cs="宋体"/>
      <w:color w:val="2D2D2D"/>
      <w:kern w:val="0"/>
      <w:sz w:val="18"/>
      <w:szCs w:val="18"/>
    </w:rPr>
  </w:style>
  <w:style w:type="paragraph" w:customStyle="1" w:styleId="250">
    <w:name w:val="Char Char Char Char Char Char Char1"/>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251">
    <w:name w:val="flfg_link1"/>
    <w:basedOn w:val="1"/>
    <w:qFormat/>
    <w:uiPriority w:val="0"/>
    <w:pPr>
      <w:widowControl/>
      <w:spacing w:before="100" w:beforeAutospacing="1" w:after="100" w:afterAutospacing="1" w:line="270" w:lineRule="atLeast"/>
      <w:jc w:val="left"/>
    </w:pPr>
    <w:rPr>
      <w:rFonts w:ascii="宋体" w:hAnsi="宋体" w:cs="宋体"/>
      <w:color w:val="0066FF"/>
      <w:kern w:val="0"/>
      <w:szCs w:val="21"/>
    </w:rPr>
  </w:style>
  <w:style w:type="paragraph" w:customStyle="1" w:styleId="252">
    <w:name w:val="iblue12"/>
    <w:basedOn w:val="1"/>
    <w:qFormat/>
    <w:uiPriority w:val="0"/>
    <w:pPr>
      <w:widowControl/>
      <w:spacing w:before="100" w:beforeAutospacing="1" w:after="100" w:afterAutospacing="1"/>
      <w:jc w:val="left"/>
    </w:pPr>
    <w:rPr>
      <w:rFonts w:ascii="宋体" w:hAnsi="宋体" w:cs="宋体"/>
      <w:color w:val="075CA4"/>
      <w:kern w:val="0"/>
      <w:sz w:val="18"/>
      <w:szCs w:val="18"/>
    </w:rPr>
  </w:style>
  <w:style w:type="paragraph" w:customStyle="1" w:styleId="253">
    <w:name w:val="contentbox"/>
    <w:basedOn w:val="1"/>
    <w:qFormat/>
    <w:uiPriority w:val="0"/>
    <w:pPr>
      <w:widowControl/>
      <w:spacing w:after="100" w:afterAutospacing="1"/>
      <w:jc w:val="left"/>
    </w:pPr>
    <w:rPr>
      <w:rFonts w:ascii="宋体" w:hAnsi="宋体" w:cs="宋体"/>
      <w:kern w:val="0"/>
      <w:sz w:val="24"/>
      <w:szCs w:val="24"/>
    </w:rPr>
  </w:style>
  <w:style w:type="paragraph" w:customStyle="1" w:styleId="254">
    <w:name w:val="tdscschlist"/>
    <w:basedOn w:val="1"/>
    <w:qFormat/>
    <w:uiPriority w:val="0"/>
    <w:pPr>
      <w:widowControl/>
      <w:spacing w:before="165" w:after="100" w:afterAutospacing="1"/>
      <w:jc w:val="left"/>
    </w:pPr>
    <w:rPr>
      <w:rFonts w:ascii="宋体" w:hAnsi="宋体" w:cs="宋体"/>
      <w:kern w:val="0"/>
      <w:sz w:val="24"/>
      <w:szCs w:val="24"/>
    </w:rPr>
  </w:style>
  <w:style w:type="paragraph" w:customStyle="1" w:styleId="255">
    <w:name w:val="bordleft"/>
    <w:basedOn w:val="1"/>
    <w:qFormat/>
    <w:uiPriority w:val="0"/>
    <w:pPr>
      <w:widowControl/>
      <w:pBdr>
        <w:left w:val="single" w:color="CCCCCC" w:sz="6" w:space="0"/>
      </w:pBdr>
      <w:spacing w:before="100" w:beforeAutospacing="1" w:after="100" w:afterAutospacing="1"/>
      <w:jc w:val="left"/>
    </w:pPr>
    <w:rPr>
      <w:rFonts w:ascii="宋体" w:hAnsi="宋体" w:cs="宋体"/>
      <w:kern w:val="0"/>
      <w:sz w:val="24"/>
      <w:szCs w:val="24"/>
    </w:rPr>
  </w:style>
  <w:style w:type="paragraph" w:customStyle="1" w:styleId="256">
    <w:name w:val="Char1 Char Char Char"/>
    <w:basedOn w:val="1"/>
    <w:qFormat/>
    <w:uiPriority w:val="0"/>
  </w:style>
  <w:style w:type="paragraph" w:customStyle="1" w:styleId="257">
    <w:name w:val="zwgk_ldzc_leftmenu1"/>
    <w:basedOn w:val="1"/>
    <w:qFormat/>
    <w:uiPriority w:val="0"/>
    <w:pPr>
      <w:widowControl/>
      <w:spacing w:before="100" w:beforeAutospacing="1" w:after="100" w:afterAutospacing="1" w:line="330" w:lineRule="atLeast"/>
      <w:jc w:val="left"/>
    </w:pPr>
    <w:rPr>
      <w:rFonts w:ascii="宋体" w:hAnsi="宋体" w:cs="宋体"/>
      <w:b/>
      <w:bCs/>
      <w:color w:val="CC0000"/>
      <w:kern w:val="0"/>
      <w:szCs w:val="21"/>
    </w:rPr>
  </w:style>
  <w:style w:type="paragraph" w:customStyle="1" w:styleId="258">
    <w:name w:val="ipadding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9">
    <w:name w:val="报告封面"/>
    <w:basedOn w:val="1"/>
    <w:qFormat/>
    <w:uiPriority w:val="0"/>
    <w:pPr>
      <w:widowControl/>
      <w:spacing w:line="351" w:lineRule="atLeast"/>
      <w:ind w:firstLine="419"/>
      <w:textAlignment w:val="baseline"/>
    </w:pPr>
    <w:rPr>
      <w:color w:val="000000"/>
      <w:kern w:val="0"/>
      <w:sz w:val="54"/>
    </w:rPr>
  </w:style>
  <w:style w:type="paragraph" w:customStyle="1" w:styleId="260">
    <w:name w:val="flfg_bord3"/>
    <w:basedOn w:val="1"/>
    <w:qFormat/>
    <w:uiPriority w:val="0"/>
    <w:pPr>
      <w:widowControl/>
      <w:pBdr>
        <w:right w:val="single" w:color="E3F1FB" w:sz="6" w:space="0"/>
      </w:pBdr>
      <w:spacing w:before="100" w:beforeAutospacing="1" w:after="100" w:afterAutospacing="1"/>
      <w:jc w:val="left"/>
    </w:pPr>
    <w:rPr>
      <w:rFonts w:ascii="宋体" w:hAnsi="宋体" w:cs="宋体"/>
      <w:kern w:val="0"/>
      <w:sz w:val="24"/>
      <w:szCs w:val="24"/>
    </w:rPr>
  </w:style>
  <w:style w:type="paragraph" w:customStyle="1" w:styleId="261">
    <w:name w:val="tssc13txt"/>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262">
    <w:name w:val="节标题"/>
    <w:basedOn w:val="1"/>
    <w:next w:val="263"/>
    <w:qFormat/>
    <w:uiPriority w:val="0"/>
    <w:pPr>
      <w:widowControl/>
      <w:spacing w:line="289" w:lineRule="atLeast"/>
      <w:jc w:val="center"/>
      <w:textAlignment w:val="baseline"/>
    </w:pPr>
    <w:rPr>
      <w:color w:val="000000"/>
      <w:kern w:val="0"/>
      <w:sz w:val="28"/>
    </w:rPr>
  </w:style>
  <w:style w:type="paragraph" w:customStyle="1" w:styleId="263">
    <w:name w:val="小节标题"/>
    <w:basedOn w:val="1"/>
    <w:next w:val="1"/>
    <w:qFormat/>
    <w:uiPriority w:val="0"/>
    <w:pPr>
      <w:widowControl/>
      <w:spacing w:before="175" w:after="102" w:line="351" w:lineRule="atLeast"/>
      <w:textAlignment w:val="baseline"/>
    </w:pPr>
    <w:rPr>
      <w:rFonts w:eastAsia="黑体"/>
      <w:color w:val="000000"/>
      <w:kern w:val="0"/>
    </w:rPr>
  </w:style>
  <w:style w:type="paragraph" w:customStyle="1" w:styleId="264">
    <w:name w:val="bord4b"/>
    <w:basedOn w:val="1"/>
    <w:qFormat/>
    <w:uiPriority w:val="0"/>
    <w:pPr>
      <w:widowControl/>
      <w:pBdr>
        <w:top w:val="single" w:color="D2E8F7" w:sz="6" w:space="0"/>
        <w:left w:val="single" w:color="D2E8F7" w:sz="6" w:space="0"/>
        <w:bottom w:val="single" w:color="D2E8F7" w:sz="6" w:space="0"/>
        <w:right w:val="single" w:color="D2E8F7" w:sz="6" w:space="0"/>
      </w:pBdr>
      <w:spacing w:before="100" w:beforeAutospacing="1" w:after="100" w:afterAutospacing="1"/>
      <w:jc w:val="left"/>
    </w:pPr>
    <w:rPr>
      <w:rFonts w:ascii="宋体" w:hAnsi="宋体" w:cs="宋体"/>
      <w:kern w:val="0"/>
      <w:sz w:val="24"/>
      <w:szCs w:val="24"/>
    </w:rPr>
  </w:style>
  <w:style w:type="paragraph" w:customStyle="1" w:styleId="265">
    <w:name w:val="xxhmore12"/>
    <w:basedOn w:val="1"/>
    <w:qFormat/>
    <w:uiPriority w:val="0"/>
    <w:pPr>
      <w:widowControl/>
      <w:spacing w:before="100" w:beforeAutospacing="1" w:after="100" w:afterAutospacing="1"/>
      <w:jc w:val="left"/>
    </w:pPr>
    <w:rPr>
      <w:rFonts w:ascii="宋体" w:hAnsi="宋体" w:cs="宋体"/>
      <w:color w:val="4A4A4A"/>
      <w:kern w:val="0"/>
      <w:sz w:val="18"/>
      <w:szCs w:val="18"/>
    </w:rPr>
  </w:style>
  <w:style w:type="paragraph" w:customStyle="1" w:styleId="266">
    <w:name w:val="jgdjmenu"/>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7">
    <w:name w:val="zwdtzctl"/>
    <w:basedOn w:val="1"/>
    <w:qFormat/>
    <w:uiPriority w:val="0"/>
    <w:pPr>
      <w:widowControl/>
      <w:spacing w:before="100" w:beforeAutospacing="1" w:after="100" w:afterAutospacing="1"/>
      <w:jc w:val="left"/>
    </w:pPr>
    <w:rPr>
      <w:rFonts w:ascii="宋体" w:hAnsi="宋体" w:cs="宋体"/>
      <w:color w:val="0E3C72"/>
      <w:kern w:val="0"/>
      <w:szCs w:val="21"/>
    </w:rPr>
  </w:style>
  <w:style w:type="paragraph" w:customStyle="1" w:styleId="268">
    <w:name w:val="spbb_bord3a"/>
    <w:basedOn w:val="1"/>
    <w:qFormat/>
    <w:uiPriority w:val="0"/>
    <w:pPr>
      <w:widowControl/>
      <w:pBdr>
        <w:left w:val="single" w:color="7D7559" w:sz="6" w:space="0"/>
        <w:bottom w:val="single" w:color="7D7559" w:sz="6" w:space="0"/>
        <w:right w:val="single" w:color="7D7559" w:sz="6" w:space="0"/>
      </w:pBdr>
      <w:spacing w:before="100" w:beforeAutospacing="1" w:after="100" w:afterAutospacing="1"/>
      <w:jc w:val="left"/>
    </w:pPr>
    <w:rPr>
      <w:rFonts w:ascii="宋体" w:hAnsi="宋体" w:cs="宋体"/>
      <w:kern w:val="0"/>
      <w:sz w:val="24"/>
      <w:szCs w:val="24"/>
    </w:rPr>
  </w:style>
  <w:style w:type="paragraph" w:customStyle="1" w:styleId="269">
    <w:name w:val="spbb_news"/>
    <w:basedOn w:val="1"/>
    <w:qFormat/>
    <w:uiPriority w:val="0"/>
    <w:pPr>
      <w:widowControl/>
      <w:spacing w:before="100" w:beforeAutospacing="1" w:after="100" w:afterAutospacing="1"/>
      <w:jc w:val="left"/>
    </w:pPr>
    <w:rPr>
      <w:rFonts w:ascii="宋体" w:hAnsi="宋体" w:cs="宋体"/>
      <w:color w:val="333333"/>
      <w:kern w:val="0"/>
      <w:sz w:val="18"/>
      <w:szCs w:val="18"/>
    </w:rPr>
  </w:style>
  <w:style w:type="paragraph" w:customStyle="1" w:styleId="270">
    <w:name w:val="spbb_link1"/>
    <w:basedOn w:val="1"/>
    <w:qFormat/>
    <w:uiPriority w:val="0"/>
    <w:pPr>
      <w:widowControl/>
      <w:spacing w:before="100" w:beforeAutospacing="1" w:after="100" w:afterAutospacing="1" w:line="240" w:lineRule="atLeast"/>
      <w:jc w:val="left"/>
    </w:pPr>
    <w:rPr>
      <w:rFonts w:ascii="宋体" w:hAnsi="宋体" w:cs="宋体"/>
      <w:color w:val="666666"/>
      <w:kern w:val="0"/>
      <w:sz w:val="18"/>
      <w:szCs w:val="18"/>
    </w:rPr>
  </w:style>
  <w:style w:type="paragraph" w:customStyle="1" w:styleId="271">
    <w:name w:val="wskt_menu"/>
    <w:basedOn w:val="1"/>
    <w:qFormat/>
    <w:uiPriority w:val="0"/>
    <w:pPr>
      <w:widowControl/>
      <w:spacing w:before="100" w:beforeAutospacing="1" w:after="100" w:afterAutospacing="1" w:line="240" w:lineRule="atLeast"/>
      <w:jc w:val="left"/>
    </w:pPr>
    <w:rPr>
      <w:rFonts w:ascii="宋体" w:hAnsi="宋体" w:cs="宋体"/>
      <w:color w:val="487A00"/>
      <w:kern w:val="0"/>
      <w:sz w:val="18"/>
      <w:szCs w:val="18"/>
    </w:rPr>
  </w:style>
  <w:style w:type="paragraph" w:customStyle="1" w:styleId="272">
    <w:name w:val="font14width"/>
    <w:basedOn w:val="1"/>
    <w:qFormat/>
    <w:uiPriority w:val="0"/>
    <w:pPr>
      <w:widowControl/>
      <w:spacing w:before="100" w:beforeAutospacing="1" w:after="100" w:afterAutospacing="1"/>
      <w:jc w:val="left"/>
    </w:pPr>
    <w:rPr>
      <w:rFonts w:ascii="宋体" w:hAnsi="宋体" w:cs="宋体"/>
      <w:b/>
      <w:bCs/>
      <w:color w:val="FFFFFF"/>
      <w:kern w:val="0"/>
      <w:szCs w:val="21"/>
    </w:rPr>
  </w:style>
  <w:style w:type="paragraph" w:customStyle="1" w:styleId="273">
    <w:name w:val="zmhd_bord3b"/>
    <w:basedOn w:val="1"/>
    <w:qFormat/>
    <w:uiPriority w:val="0"/>
    <w:pPr>
      <w:widowControl/>
      <w:pBdr>
        <w:top w:val="single" w:color="CFD9DE" w:sz="6" w:space="0"/>
        <w:left w:val="single" w:color="CFD9DE" w:sz="6" w:space="0"/>
        <w:right w:val="single" w:color="CFD9DE" w:sz="6" w:space="0"/>
      </w:pBdr>
      <w:spacing w:before="100" w:beforeAutospacing="1" w:after="100" w:afterAutospacing="1"/>
      <w:jc w:val="left"/>
    </w:pPr>
    <w:rPr>
      <w:rFonts w:ascii="宋体" w:hAnsi="宋体" w:cs="宋体"/>
      <w:kern w:val="0"/>
      <w:sz w:val="24"/>
      <w:szCs w:val="24"/>
    </w:rPr>
  </w:style>
  <w:style w:type="paragraph" w:customStyle="1" w:styleId="274">
    <w:name w:val="样式3"/>
    <w:basedOn w:val="1"/>
    <w:qFormat/>
    <w:uiPriority w:val="0"/>
    <w:pPr>
      <w:spacing w:line="360" w:lineRule="auto"/>
      <w:jc w:val="center"/>
    </w:pPr>
    <w:rPr>
      <w:rFonts w:ascii="宋体"/>
      <w:spacing w:val="6"/>
    </w:rPr>
  </w:style>
  <w:style w:type="paragraph" w:customStyle="1" w:styleId="275">
    <w:name w:val="btn2"/>
    <w:basedOn w:val="1"/>
    <w:qFormat/>
    <w:uiPriority w:val="0"/>
    <w:pPr>
      <w:widowControl/>
      <w:shd w:val="clear" w:color="auto" w:fill="ECE9D8"/>
      <w:spacing w:before="100" w:beforeAutospacing="1" w:after="100" w:afterAutospacing="1"/>
      <w:jc w:val="left"/>
    </w:pPr>
    <w:rPr>
      <w:rFonts w:ascii="宋体" w:hAnsi="宋体" w:cs="宋体"/>
      <w:kern w:val="0"/>
      <w:sz w:val="18"/>
      <w:szCs w:val="18"/>
    </w:rPr>
  </w:style>
  <w:style w:type="paragraph" w:customStyle="1" w:styleId="276">
    <w:name w:val="spbb_bord"/>
    <w:basedOn w:val="1"/>
    <w:qFormat/>
    <w:uiPriority w:val="0"/>
    <w:pPr>
      <w:widowControl/>
      <w:pBdr>
        <w:left w:val="single" w:color="CFC9BB" w:sz="6" w:space="0"/>
        <w:bottom w:val="single" w:color="CFC9BB" w:sz="6" w:space="0"/>
        <w:right w:val="single" w:color="CFC9BB" w:sz="6" w:space="0"/>
      </w:pBdr>
      <w:spacing w:before="100" w:beforeAutospacing="1" w:after="100" w:afterAutospacing="1"/>
      <w:jc w:val="left"/>
    </w:pPr>
    <w:rPr>
      <w:rFonts w:ascii="宋体" w:hAnsi="宋体" w:cs="宋体"/>
      <w:kern w:val="0"/>
      <w:sz w:val="24"/>
      <w:szCs w:val="24"/>
    </w:rPr>
  </w:style>
  <w:style w:type="paragraph" w:customStyle="1" w:styleId="277">
    <w:name w:val="bord3b"/>
    <w:basedOn w:val="1"/>
    <w:qFormat/>
    <w:uiPriority w:val="0"/>
    <w:pPr>
      <w:widowControl/>
      <w:pBdr>
        <w:top w:val="single" w:color="D2E8F7" w:sz="6" w:space="0"/>
        <w:left w:val="single" w:color="D2E8F7" w:sz="6" w:space="0"/>
        <w:right w:val="single" w:color="D2E8F7" w:sz="6" w:space="0"/>
      </w:pBdr>
      <w:spacing w:before="100" w:beforeAutospacing="1" w:after="100" w:afterAutospacing="1"/>
      <w:jc w:val="left"/>
    </w:pPr>
    <w:rPr>
      <w:rFonts w:ascii="宋体" w:hAnsi="宋体" w:cs="宋体"/>
      <w:kern w:val="0"/>
      <w:sz w:val="24"/>
      <w:szCs w:val="24"/>
    </w:rPr>
  </w:style>
  <w:style w:type="paragraph" w:customStyle="1" w:styleId="278">
    <w:name w:val="zwdt13l21"/>
    <w:basedOn w:val="1"/>
    <w:qFormat/>
    <w:uiPriority w:val="0"/>
    <w:pPr>
      <w:widowControl/>
      <w:spacing w:before="100" w:beforeAutospacing="1" w:after="100" w:afterAutospacing="1" w:line="315" w:lineRule="atLeast"/>
      <w:jc w:val="left"/>
    </w:pPr>
    <w:rPr>
      <w:rFonts w:ascii="宋体" w:hAnsi="宋体" w:cs="宋体"/>
      <w:color w:val="000000"/>
      <w:kern w:val="0"/>
      <w:sz w:val="20"/>
    </w:rPr>
  </w:style>
  <w:style w:type="paragraph" w:customStyle="1" w:styleId="279">
    <w:name w:val="zmhd_fff"/>
    <w:basedOn w:val="1"/>
    <w:qFormat/>
    <w:uiPriority w:val="0"/>
    <w:pPr>
      <w:widowControl/>
      <w:spacing w:before="100" w:beforeAutospacing="1" w:after="100" w:afterAutospacing="1"/>
      <w:jc w:val="left"/>
    </w:pPr>
    <w:rPr>
      <w:rFonts w:ascii="宋体" w:hAnsi="宋体" w:cs="宋体"/>
      <w:color w:val="FFFFFF"/>
      <w:kern w:val="0"/>
      <w:sz w:val="18"/>
      <w:szCs w:val="18"/>
    </w:rPr>
  </w:style>
  <w:style w:type="paragraph" w:customStyle="1" w:styleId="280">
    <w:name w:val="itdscgreen"/>
    <w:basedOn w:val="1"/>
    <w:qFormat/>
    <w:uiPriority w:val="0"/>
    <w:pPr>
      <w:widowControl/>
      <w:spacing w:before="100" w:beforeAutospacing="1" w:after="100" w:afterAutospacing="1"/>
      <w:jc w:val="left"/>
    </w:pPr>
    <w:rPr>
      <w:rFonts w:ascii="宋体" w:hAnsi="宋体" w:cs="宋体"/>
      <w:color w:val="B0B0B0"/>
      <w:kern w:val="0"/>
      <w:sz w:val="20"/>
    </w:rPr>
  </w:style>
  <w:style w:type="paragraph" w:customStyle="1" w:styleId="281">
    <w:name w:val="Char Char Char Char Char Char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282">
    <w:name w:val="link7"/>
    <w:basedOn w:val="1"/>
    <w:qFormat/>
    <w:uiPriority w:val="0"/>
    <w:pPr>
      <w:widowControl/>
      <w:spacing w:before="100" w:beforeAutospacing="1" w:after="100" w:afterAutospacing="1" w:line="270" w:lineRule="atLeast"/>
      <w:jc w:val="left"/>
    </w:pPr>
    <w:rPr>
      <w:rFonts w:ascii="宋体" w:hAnsi="宋体" w:cs="宋体"/>
      <w:color w:val="666666"/>
      <w:kern w:val="0"/>
      <w:sz w:val="18"/>
      <w:szCs w:val="18"/>
    </w:rPr>
  </w:style>
  <w:style w:type="paragraph" w:customStyle="1" w:styleId="283">
    <w:name w:val="_Style 30"/>
    <w:basedOn w:val="1"/>
    <w:qFormat/>
    <w:uiPriority w:val="0"/>
    <w:rPr>
      <w:rFonts w:ascii="Tahoma" w:hAnsi="Tahoma"/>
      <w:sz w:val="24"/>
    </w:rPr>
  </w:style>
  <w:style w:type="paragraph" w:customStyle="1" w:styleId="284">
    <w:name w:val="spbb_font"/>
    <w:basedOn w:val="1"/>
    <w:qFormat/>
    <w:uiPriority w:val="0"/>
    <w:pPr>
      <w:widowControl/>
      <w:spacing w:before="100" w:beforeAutospacing="1" w:after="100" w:afterAutospacing="1"/>
      <w:jc w:val="left"/>
    </w:pPr>
    <w:rPr>
      <w:rFonts w:ascii="宋体" w:hAnsi="宋体" w:cs="宋体"/>
      <w:color w:val="999999"/>
      <w:kern w:val="0"/>
      <w:szCs w:val="21"/>
    </w:rPr>
  </w:style>
  <w:style w:type="paragraph" w:customStyle="1" w:styleId="285">
    <w:name w:val="bord2b"/>
    <w:basedOn w:val="1"/>
    <w:qFormat/>
    <w:uiPriority w:val="0"/>
    <w:pPr>
      <w:widowControl/>
      <w:pBdr>
        <w:bottom w:val="single" w:color="D2E2E7" w:sz="6" w:space="0"/>
        <w:right w:val="single" w:color="D2E2E7" w:sz="6" w:space="0"/>
      </w:pBdr>
      <w:spacing w:before="100" w:beforeAutospacing="1" w:after="100" w:afterAutospacing="1"/>
      <w:jc w:val="left"/>
    </w:pPr>
    <w:rPr>
      <w:rFonts w:ascii="宋体" w:hAnsi="宋体" w:cs="宋体"/>
      <w:kern w:val="0"/>
      <w:sz w:val="24"/>
      <w:szCs w:val="24"/>
    </w:rPr>
  </w:style>
  <w:style w:type="paragraph" w:customStyle="1" w:styleId="286">
    <w:name w:val="iblues13"/>
    <w:basedOn w:val="1"/>
    <w:qFormat/>
    <w:uiPriority w:val="0"/>
    <w:pPr>
      <w:widowControl/>
      <w:spacing w:before="100" w:beforeAutospacing="1" w:after="100" w:afterAutospacing="1"/>
      <w:jc w:val="left"/>
    </w:pPr>
    <w:rPr>
      <w:rFonts w:ascii="宋体" w:hAnsi="宋体" w:cs="宋体"/>
      <w:color w:val="174B8B"/>
      <w:kern w:val="0"/>
      <w:sz w:val="20"/>
    </w:rPr>
  </w:style>
  <w:style w:type="paragraph" w:customStyle="1" w:styleId="287">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方正楷体简体" w:hAnsi="宋体" w:eastAsia="方正楷体简体"/>
      <w:kern w:val="0"/>
      <w:sz w:val="24"/>
      <w:szCs w:val="24"/>
    </w:rPr>
  </w:style>
  <w:style w:type="paragraph" w:customStyle="1" w:styleId="288">
    <w:name w:val="zwgkmenu"/>
    <w:basedOn w:val="1"/>
    <w:qFormat/>
    <w:uiPriority w:val="0"/>
    <w:pPr>
      <w:widowControl/>
      <w:spacing w:before="100" w:beforeAutospacing="1" w:after="100" w:afterAutospacing="1"/>
      <w:jc w:val="left"/>
    </w:pPr>
    <w:rPr>
      <w:rFonts w:ascii="宋体" w:hAnsi="宋体" w:cs="宋体"/>
      <w:color w:val="003366"/>
      <w:kern w:val="0"/>
      <w:sz w:val="20"/>
    </w:rPr>
  </w:style>
  <w:style w:type="paragraph" w:customStyle="1" w:styleId="28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0">
    <w:name w:val="目录2"/>
    <w:basedOn w:val="2"/>
    <w:qFormat/>
    <w:uiPriority w:val="0"/>
    <w:pPr>
      <w:keepLines w:val="0"/>
      <w:tabs>
        <w:tab w:val="left" w:pos="975"/>
      </w:tabs>
      <w:adjustRightInd w:val="0"/>
      <w:snapToGrid w:val="0"/>
      <w:spacing w:before="0" w:after="0" w:line="440" w:lineRule="exact"/>
      <w:ind w:firstLine="679" w:firstLineChars="200"/>
    </w:pPr>
    <w:rPr>
      <w:rFonts w:ascii="黑体" w:hAnsi="宋体"/>
      <w:spacing w:val="10"/>
      <w:sz w:val="30"/>
      <w:szCs w:val="30"/>
    </w:rPr>
  </w:style>
  <w:style w:type="paragraph" w:customStyle="1" w:styleId="291">
    <w:name w:val="目录4"/>
    <w:basedOn w:val="1"/>
    <w:next w:val="1"/>
    <w:qFormat/>
    <w:uiPriority w:val="0"/>
    <w:pPr>
      <w:widowControl/>
      <w:tabs>
        <w:tab w:val="left" w:leader="dot" w:pos="8503"/>
      </w:tabs>
      <w:spacing w:line="317" w:lineRule="atLeast"/>
      <w:ind w:left="419" w:firstLine="629"/>
      <w:textAlignment w:val="baseline"/>
    </w:pPr>
    <w:rPr>
      <w:color w:val="000000"/>
      <w:kern w:val="0"/>
    </w:rPr>
  </w:style>
  <w:style w:type="paragraph" w:customStyle="1" w:styleId="292">
    <w:name w:val="font14black"/>
    <w:basedOn w:val="1"/>
    <w:qFormat/>
    <w:uiPriority w:val="0"/>
    <w:pPr>
      <w:widowControl/>
      <w:spacing w:before="100" w:beforeAutospacing="1" w:after="100" w:afterAutospacing="1"/>
      <w:jc w:val="left"/>
    </w:pPr>
    <w:rPr>
      <w:rFonts w:ascii="宋体" w:hAnsi="宋体" w:cs="宋体"/>
      <w:b/>
      <w:bCs/>
      <w:color w:val="000000"/>
      <w:kern w:val="0"/>
      <w:szCs w:val="21"/>
    </w:rPr>
  </w:style>
  <w:style w:type="paragraph" w:customStyle="1" w:styleId="293">
    <w:name w:val="bord"/>
    <w:basedOn w:val="1"/>
    <w:qFormat/>
    <w:uiPriority w:val="0"/>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294">
    <w:name w:val="wskt_link3"/>
    <w:basedOn w:val="1"/>
    <w:qFormat/>
    <w:uiPriority w:val="0"/>
    <w:pPr>
      <w:widowControl/>
      <w:spacing w:before="100" w:beforeAutospacing="1" w:after="100" w:afterAutospacing="1" w:line="300" w:lineRule="atLeast"/>
      <w:jc w:val="left"/>
    </w:pPr>
    <w:rPr>
      <w:rFonts w:ascii="宋体" w:hAnsi="宋体" w:cs="宋体"/>
      <w:color w:val="333333"/>
      <w:kern w:val="0"/>
      <w:sz w:val="20"/>
    </w:rPr>
  </w:style>
  <w:style w:type="paragraph" w:customStyle="1" w:styleId="295">
    <w:name w:val="xxhtop"/>
    <w:basedOn w:val="1"/>
    <w:qFormat/>
    <w:uiPriority w:val="0"/>
    <w:pPr>
      <w:widowControl/>
      <w:spacing w:before="100" w:beforeAutospacing="1" w:after="100" w:afterAutospacing="1"/>
      <w:jc w:val="left"/>
    </w:pPr>
    <w:rPr>
      <w:rFonts w:ascii="宋体" w:hAnsi="宋体" w:cs="宋体"/>
      <w:color w:val="0269AB"/>
      <w:kern w:val="0"/>
      <w:sz w:val="18"/>
      <w:szCs w:val="18"/>
    </w:rPr>
  </w:style>
  <w:style w:type="paragraph" w:customStyle="1" w:styleId="296">
    <w:name w:val="目录3"/>
    <w:basedOn w:val="1"/>
    <w:next w:val="1"/>
    <w:qFormat/>
    <w:uiPriority w:val="0"/>
    <w:pPr>
      <w:widowControl/>
      <w:tabs>
        <w:tab w:val="left" w:leader="dot" w:pos="8503"/>
      </w:tabs>
      <w:spacing w:line="317" w:lineRule="atLeast"/>
      <w:ind w:left="419" w:firstLine="419"/>
      <w:textAlignment w:val="baseline"/>
    </w:pPr>
    <w:rPr>
      <w:color w:val="000000"/>
      <w:kern w:val="0"/>
    </w:rPr>
  </w:style>
  <w:style w:type="paragraph" w:customStyle="1" w:styleId="297">
    <w:name w:val="文章副标题"/>
    <w:basedOn w:val="1"/>
    <w:next w:val="298"/>
    <w:qFormat/>
    <w:uiPriority w:val="0"/>
    <w:pPr>
      <w:widowControl/>
      <w:spacing w:before="187" w:after="175" w:line="374" w:lineRule="atLeast"/>
      <w:jc w:val="center"/>
      <w:textAlignment w:val="baseline"/>
    </w:pPr>
    <w:rPr>
      <w:color w:val="000000"/>
      <w:kern w:val="0"/>
      <w:sz w:val="36"/>
    </w:rPr>
  </w:style>
  <w:style w:type="paragraph" w:customStyle="1" w:styleId="298">
    <w:name w:val="章标题"/>
    <w:basedOn w:val="1"/>
    <w:next w:val="262"/>
    <w:qFormat/>
    <w:uiPriority w:val="0"/>
    <w:pPr>
      <w:widowControl/>
      <w:spacing w:before="158" w:after="153" w:line="323" w:lineRule="atLeast"/>
      <w:jc w:val="center"/>
      <w:textAlignment w:val="baseline"/>
    </w:pPr>
    <w:rPr>
      <w:rFonts w:ascii="Arial" w:eastAsia="黑体"/>
      <w:color w:val="000000"/>
      <w:kern w:val="0"/>
      <w:sz w:val="31"/>
    </w:rPr>
  </w:style>
  <w:style w:type="paragraph" w:customStyle="1" w:styleId="299">
    <w:name w:val="bsfwdiv1"/>
    <w:basedOn w:val="1"/>
    <w:qFormat/>
    <w:uiPriority w:val="0"/>
    <w:pPr>
      <w:widowControl/>
      <w:spacing w:before="100" w:beforeAutospacing="1" w:after="100" w:afterAutospacing="1"/>
      <w:jc w:val="left"/>
    </w:pPr>
    <w:rPr>
      <w:rFonts w:ascii="宋体" w:hAnsi="宋体" w:cs="宋体"/>
      <w:b/>
      <w:bCs/>
      <w:color w:val="FFFFFF"/>
      <w:kern w:val="0"/>
      <w:szCs w:val="21"/>
    </w:rPr>
  </w:style>
  <w:style w:type="paragraph" w:customStyle="1" w:styleId="300">
    <w:name w:val="默认段落字体 Para Char Char Char Char Char Char Char"/>
    <w:basedOn w:val="1"/>
    <w:qFormat/>
    <w:uiPriority w:val="0"/>
    <w:rPr>
      <w:rFonts w:eastAsia="Times New Roman"/>
      <w:kern w:val="0"/>
      <w:sz w:val="20"/>
      <w:szCs w:val="24"/>
    </w:rPr>
  </w:style>
  <w:style w:type="paragraph" w:customStyle="1" w:styleId="301">
    <w:name w:val="kyqscblue14b"/>
    <w:basedOn w:val="1"/>
    <w:qFormat/>
    <w:uiPriority w:val="0"/>
    <w:pPr>
      <w:widowControl/>
      <w:spacing w:before="100" w:beforeAutospacing="1" w:after="100" w:afterAutospacing="1"/>
      <w:jc w:val="left"/>
    </w:pPr>
    <w:rPr>
      <w:rFonts w:ascii="宋体" w:hAnsi="宋体" w:cs="宋体"/>
      <w:b/>
      <w:bCs/>
      <w:color w:val="1F6ED9"/>
      <w:kern w:val="0"/>
      <w:szCs w:val="21"/>
    </w:rPr>
  </w:style>
  <w:style w:type="paragraph" w:customStyle="1" w:styleId="302">
    <w:name w:val="bord3b1"/>
    <w:basedOn w:val="1"/>
    <w:qFormat/>
    <w:uiPriority w:val="0"/>
    <w:pPr>
      <w:widowControl/>
      <w:pBdr>
        <w:left w:val="single" w:color="D2E2E7" w:sz="6" w:space="0"/>
        <w:bottom w:val="single" w:color="D2E2E7" w:sz="6" w:space="0"/>
        <w:right w:val="single" w:color="D2E2E7" w:sz="6" w:space="0"/>
      </w:pBdr>
      <w:spacing w:before="100" w:beforeAutospacing="1" w:after="100" w:afterAutospacing="1"/>
      <w:jc w:val="left"/>
    </w:pPr>
    <w:rPr>
      <w:rFonts w:ascii="宋体" w:hAnsi="宋体" w:cs="宋体"/>
      <w:kern w:val="0"/>
      <w:sz w:val="24"/>
      <w:szCs w:val="24"/>
    </w:rPr>
  </w:style>
  <w:style w:type="paragraph" w:customStyle="1" w:styleId="303">
    <w:name w:val="zwdt"/>
    <w:basedOn w:val="1"/>
    <w:qFormat/>
    <w:uiPriority w:val="0"/>
    <w:pPr>
      <w:widowControl/>
      <w:spacing w:before="100" w:beforeAutospacing="1" w:after="100" w:afterAutospacing="1"/>
      <w:jc w:val="left"/>
    </w:pPr>
    <w:rPr>
      <w:rFonts w:ascii="宋体" w:hAnsi="宋体" w:cs="宋体"/>
      <w:color w:val="D01919"/>
      <w:kern w:val="0"/>
      <w:sz w:val="18"/>
      <w:szCs w:val="18"/>
    </w:rPr>
  </w:style>
  <w:style w:type="paragraph" w:customStyle="1" w:styleId="304">
    <w:name w:val="spbb_bord3"/>
    <w:basedOn w:val="1"/>
    <w:qFormat/>
    <w:uiPriority w:val="0"/>
    <w:pPr>
      <w:widowControl/>
      <w:pBdr>
        <w:left w:val="single" w:color="69B1DE" w:sz="6" w:space="0"/>
        <w:bottom w:val="single" w:color="69B1DE" w:sz="6" w:space="0"/>
        <w:right w:val="single" w:color="69B1DE" w:sz="6" w:space="0"/>
      </w:pBdr>
      <w:spacing w:before="100" w:beforeAutospacing="1" w:after="100" w:afterAutospacing="1"/>
      <w:jc w:val="left"/>
    </w:pPr>
    <w:rPr>
      <w:rFonts w:ascii="宋体" w:hAnsi="宋体" w:cs="宋体"/>
      <w:kern w:val="0"/>
      <w:sz w:val="24"/>
      <w:szCs w:val="24"/>
    </w:rPr>
  </w:style>
  <w:style w:type="paragraph" w:customStyle="1" w:styleId="305">
    <w:name w:val="xl45"/>
    <w:basedOn w:val="1"/>
    <w:qFormat/>
    <w:uiPriority w:val="99"/>
    <w:pPr>
      <w:widowControl/>
      <w:spacing w:before="100" w:beforeAutospacing="1" w:after="100" w:afterAutospacing="1"/>
      <w:jc w:val="center"/>
    </w:pPr>
    <w:rPr>
      <w:rFonts w:ascii="Arial Unicode MS" w:hAnsi="Arial Unicode MS" w:eastAsia="Arial Unicode MS" w:cs="Arial Unicode MS"/>
      <w:b/>
      <w:bCs/>
      <w:kern w:val="0"/>
      <w:sz w:val="28"/>
      <w:szCs w:val="28"/>
    </w:rPr>
  </w:style>
  <w:style w:type="paragraph" w:customStyle="1" w:styleId="306">
    <w:name w:val="itime12"/>
    <w:basedOn w:val="1"/>
    <w:qFormat/>
    <w:uiPriority w:val="0"/>
    <w:pPr>
      <w:widowControl/>
      <w:spacing w:before="100" w:beforeAutospacing="1" w:after="100" w:afterAutospacing="1"/>
      <w:jc w:val="left"/>
    </w:pPr>
    <w:rPr>
      <w:rFonts w:ascii="宋体" w:hAnsi="宋体" w:cs="宋体"/>
      <w:color w:val="6E6E6E"/>
      <w:kern w:val="0"/>
      <w:sz w:val="18"/>
      <w:szCs w:val="18"/>
    </w:rPr>
  </w:style>
  <w:style w:type="paragraph" w:customStyle="1" w:styleId="307">
    <w:name w:val="列表段落1"/>
    <w:basedOn w:val="1"/>
    <w:qFormat/>
    <w:uiPriority w:val="34"/>
    <w:pPr>
      <w:ind w:firstLine="420" w:firstLineChars="200"/>
    </w:pPr>
  </w:style>
  <w:style w:type="paragraph" w:customStyle="1" w:styleId="308">
    <w:name w:val="font14widthnew"/>
    <w:basedOn w:val="1"/>
    <w:qFormat/>
    <w:uiPriority w:val="0"/>
    <w:pPr>
      <w:widowControl/>
      <w:spacing w:before="100" w:beforeAutospacing="1" w:after="100" w:afterAutospacing="1"/>
      <w:jc w:val="left"/>
    </w:pPr>
    <w:rPr>
      <w:rFonts w:ascii="宋体" w:hAnsi="宋体" w:cs="宋体"/>
      <w:b/>
      <w:bCs/>
      <w:color w:val="A11414"/>
      <w:kern w:val="0"/>
      <w:szCs w:val="21"/>
    </w:rPr>
  </w:style>
  <w:style w:type="paragraph" w:customStyle="1" w:styleId="309">
    <w:name w:val="列出段落1"/>
    <w:basedOn w:val="1"/>
    <w:qFormat/>
    <w:uiPriority w:val="34"/>
    <w:pPr>
      <w:ind w:firstLine="420" w:firstLineChars="200"/>
    </w:pPr>
  </w:style>
  <w:style w:type="paragraph" w:customStyle="1" w:styleId="310">
    <w:name w:val="link1"/>
    <w:basedOn w:val="1"/>
    <w:qFormat/>
    <w:uiPriority w:val="0"/>
    <w:pPr>
      <w:widowControl/>
      <w:spacing w:before="100" w:beforeAutospacing="1" w:after="100" w:afterAutospacing="1" w:line="270" w:lineRule="atLeast"/>
      <w:jc w:val="left"/>
    </w:pPr>
    <w:rPr>
      <w:rFonts w:ascii="宋体" w:hAnsi="宋体" w:cs="宋体"/>
      <w:color w:val="003366"/>
      <w:kern w:val="0"/>
      <w:sz w:val="18"/>
      <w:szCs w:val="18"/>
    </w:rPr>
  </w:style>
  <w:style w:type="paragraph" w:customStyle="1" w:styleId="311">
    <w:name w:val="zmhd_bord1"/>
    <w:basedOn w:val="1"/>
    <w:qFormat/>
    <w:uiPriority w:val="0"/>
    <w:pPr>
      <w:widowControl/>
      <w:pBdr>
        <w:top w:val="single" w:color="CFD9DE" w:sz="6" w:space="0"/>
        <w:left w:val="single" w:color="CFD9DE" w:sz="6" w:space="0"/>
        <w:bottom w:val="single" w:color="CFD9DE" w:sz="6" w:space="0"/>
        <w:right w:val="single" w:color="CFD9DE" w:sz="6" w:space="0"/>
      </w:pBdr>
      <w:spacing w:before="100" w:beforeAutospacing="1" w:after="100" w:afterAutospacing="1"/>
      <w:jc w:val="left"/>
    </w:pPr>
    <w:rPr>
      <w:rFonts w:ascii="宋体" w:hAnsi="宋体" w:cs="宋体"/>
      <w:kern w:val="0"/>
      <w:sz w:val="24"/>
      <w:szCs w:val="24"/>
    </w:rPr>
  </w:style>
  <w:style w:type="paragraph" w:customStyle="1" w:styleId="312">
    <w:name w:val="zwf_title"/>
    <w:basedOn w:val="1"/>
    <w:qFormat/>
    <w:uiPriority w:val="0"/>
    <w:pPr>
      <w:widowControl/>
      <w:spacing w:before="100" w:beforeAutospacing="1" w:after="100" w:afterAutospacing="1" w:line="345" w:lineRule="atLeast"/>
      <w:jc w:val="left"/>
    </w:pPr>
    <w:rPr>
      <w:rFonts w:ascii="宋体" w:hAnsi="宋体" w:cs="宋体"/>
      <w:b/>
      <w:bCs/>
      <w:color w:val="666666"/>
      <w:kern w:val="0"/>
      <w:sz w:val="24"/>
      <w:szCs w:val="24"/>
    </w:rPr>
  </w:style>
  <w:style w:type="paragraph" w:customStyle="1" w:styleId="313">
    <w:name w:val="iblue16b"/>
    <w:basedOn w:val="1"/>
    <w:qFormat/>
    <w:uiPriority w:val="0"/>
    <w:pPr>
      <w:widowControl/>
      <w:spacing w:before="100" w:beforeAutospacing="1" w:after="100" w:afterAutospacing="1"/>
      <w:jc w:val="left"/>
    </w:pPr>
    <w:rPr>
      <w:rFonts w:ascii="宋体" w:hAnsi="宋体" w:cs="宋体"/>
      <w:color w:val="0953C2"/>
      <w:kern w:val="0"/>
      <w:sz w:val="23"/>
      <w:szCs w:val="23"/>
    </w:rPr>
  </w:style>
  <w:style w:type="paragraph" w:customStyle="1" w:styleId="314">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15">
    <w:name w:val="bsfwtop"/>
    <w:basedOn w:val="1"/>
    <w:qFormat/>
    <w:uiPriority w:val="0"/>
    <w:pPr>
      <w:widowControl/>
      <w:spacing w:before="100" w:beforeAutospacing="1" w:after="100" w:afterAutospacing="1"/>
      <w:jc w:val="left"/>
    </w:pPr>
    <w:rPr>
      <w:rFonts w:ascii="宋体" w:hAnsi="宋体" w:cs="宋体"/>
      <w:color w:val="6C8C0A"/>
      <w:kern w:val="0"/>
      <w:sz w:val="18"/>
      <w:szCs w:val="18"/>
    </w:rPr>
  </w:style>
  <w:style w:type="paragraph" w:customStyle="1" w:styleId="316">
    <w:name w:val="ipadding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7">
    <w:name w:val="xxhw12"/>
    <w:basedOn w:val="1"/>
    <w:qFormat/>
    <w:uiPriority w:val="0"/>
    <w:pPr>
      <w:widowControl/>
      <w:spacing w:before="100" w:beforeAutospacing="1" w:after="100" w:afterAutospacing="1"/>
      <w:jc w:val="left"/>
    </w:pPr>
    <w:rPr>
      <w:rFonts w:ascii="宋体" w:hAnsi="宋体" w:cs="宋体"/>
      <w:color w:val="FFFFFF"/>
      <w:kern w:val="0"/>
      <w:sz w:val="18"/>
      <w:szCs w:val="18"/>
    </w:rPr>
  </w:style>
  <w:style w:type="paragraph" w:customStyle="1" w:styleId="318">
    <w:name w:val="ibl1"/>
    <w:basedOn w:val="1"/>
    <w:qFormat/>
    <w:uiPriority w:val="0"/>
    <w:pPr>
      <w:widowControl/>
      <w:spacing w:before="100" w:beforeAutospacing="1" w:after="100" w:afterAutospacing="1"/>
      <w:jc w:val="left"/>
    </w:pPr>
    <w:rPr>
      <w:rFonts w:ascii="宋体" w:hAnsi="宋体" w:cs="宋体"/>
      <w:color w:val="04399B"/>
      <w:spacing w:val="15"/>
      <w:kern w:val="0"/>
      <w:sz w:val="18"/>
      <w:szCs w:val="18"/>
    </w:rPr>
  </w:style>
  <w:style w:type="paragraph" w:customStyle="1" w:styleId="319">
    <w:name w:val="bordtop"/>
    <w:basedOn w:val="1"/>
    <w:qFormat/>
    <w:uiPriority w:val="0"/>
    <w:pPr>
      <w:widowControl/>
      <w:pBdr>
        <w:top w:val="single" w:color="CCCCCC" w:sz="6" w:space="0"/>
      </w:pBdr>
      <w:spacing w:before="100" w:beforeAutospacing="1" w:after="100" w:afterAutospacing="1"/>
      <w:jc w:val="left"/>
    </w:pPr>
    <w:rPr>
      <w:rFonts w:ascii="宋体" w:hAnsi="宋体" w:cs="宋体"/>
      <w:kern w:val="0"/>
      <w:sz w:val="24"/>
      <w:szCs w:val="24"/>
    </w:rPr>
  </w:style>
  <w:style w:type="paragraph" w:customStyle="1" w:styleId="320">
    <w:name w:val="ilinks"/>
    <w:basedOn w:val="1"/>
    <w:qFormat/>
    <w:uiPriority w:val="0"/>
    <w:pPr>
      <w:widowControl/>
      <w:spacing w:before="100" w:beforeAutospacing="1" w:after="100" w:afterAutospacing="1"/>
      <w:jc w:val="left"/>
    </w:pPr>
    <w:rPr>
      <w:rFonts w:ascii="宋体" w:hAnsi="宋体" w:cs="宋体"/>
      <w:b/>
      <w:bCs/>
      <w:color w:val="FFFFFF"/>
      <w:kern w:val="0"/>
      <w:sz w:val="18"/>
      <w:szCs w:val="18"/>
    </w:rPr>
  </w:style>
  <w:style w:type="paragraph" w:customStyle="1" w:styleId="321">
    <w:name w:val="style2"/>
    <w:basedOn w:val="1"/>
    <w:qFormat/>
    <w:uiPriority w:val="0"/>
    <w:pPr>
      <w:widowControl/>
      <w:spacing w:before="100" w:beforeAutospacing="1" w:after="100" w:afterAutospacing="1"/>
      <w:jc w:val="left"/>
    </w:pPr>
    <w:rPr>
      <w:rFonts w:ascii="楷体_GB2312" w:hAnsi="宋体" w:eastAsia="楷体_GB2312" w:cs="宋体"/>
      <w:kern w:val="0"/>
      <w:szCs w:val="21"/>
    </w:rPr>
  </w:style>
  <w:style w:type="paragraph" w:customStyle="1" w:styleId="322">
    <w:name w:val="spbb_bord4b2"/>
    <w:basedOn w:val="1"/>
    <w:qFormat/>
    <w:uiPriority w:val="0"/>
    <w:pPr>
      <w:widowControl/>
      <w:pBdr>
        <w:top w:val="single" w:color="CFC9BB" w:sz="6" w:space="0"/>
        <w:left w:val="single" w:color="CFC9BB" w:sz="6" w:space="0"/>
        <w:bottom w:val="single" w:color="CFC9BB" w:sz="6" w:space="0"/>
        <w:right w:val="single" w:color="CFC9BB" w:sz="6" w:space="0"/>
      </w:pBdr>
      <w:spacing w:before="100" w:beforeAutospacing="1" w:after="100" w:afterAutospacing="1"/>
      <w:jc w:val="left"/>
    </w:pPr>
    <w:rPr>
      <w:rFonts w:ascii="宋体" w:hAnsi="宋体" w:cs="宋体"/>
      <w:kern w:val="0"/>
      <w:sz w:val="24"/>
      <w:szCs w:val="24"/>
    </w:rPr>
  </w:style>
  <w:style w:type="paragraph" w:customStyle="1" w:styleId="323">
    <w:name w:val="font12"/>
    <w:basedOn w:val="1"/>
    <w:qFormat/>
    <w:uiPriority w:val="0"/>
    <w:pPr>
      <w:widowControl/>
      <w:spacing w:before="100" w:beforeAutospacing="1" w:after="100" w:afterAutospacing="1" w:line="270" w:lineRule="atLeast"/>
      <w:jc w:val="left"/>
    </w:pPr>
    <w:rPr>
      <w:rFonts w:ascii="宋体" w:hAnsi="宋体" w:cs="宋体"/>
      <w:color w:val="000000"/>
      <w:kern w:val="0"/>
      <w:sz w:val="18"/>
      <w:szCs w:val="18"/>
    </w:rPr>
  </w:style>
  <w:style w:type="paragraph" w:customStyle="1" w:styleId="324">
    <w:name w:val="flfg_bord1"/>
    <w:basedOn w:val="1"/>
    <w:qFormat/>
    <w:uiPriority w:val="0"/>
    <w:pPr>
      <w:widowControl/>
      <w:pBdr>
        <w:bottom w:val="single" w:color="E3F1FB" w:sz="6" w:space="0"/>
        <w:right w:val="single" w:color="E3F1FB" w:sz="6" w:space="0"/>
      </w:pBdr>
      <w:spacing w:before="100" w:beforeAutospacing="1" w:after="100" w:afterAutospacing="1"/>
      <w:jc w:val="left"/>
    </w:pPr>
    <w:rPr>
      <w:rFonts w:ascii="宋体" w:hAnsi="宋体" w:cs="宋体"/>
      <w:kern w:val="0"/>
      <w:sz w:val="24"/>
      <w:szCs w:val="24"/>
    </w:rPr>
  </w:style>
  <w:style w:type="paragraph" w:customStyle="1" w:styleId="325">
    <w:name w:val="xwdt_img_bord4b"/>
    <w:basedOn w:val="1"/>
    <w:qFormat/>
    <w:uiPriority w:val="0"/>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326">
    <w:name w:val="spbb_link2"/>
    <w:basedOn w:val="1"/>
    <w:qFormat/>
    <w:uiPriority w:val="0"/>
    <w:pPr>
      <w:widowControl/>
      <w:spacing w:before="100" w:beforeAutospacing="1" w:after="100" w:afterAutospacing="1" w:line="300" w:lineRule="atLeast"/>
      <w:jc w:val="left"/>
    </w:pPr>
    <w:rPr>
      <w:rFonts w:ascii="宋体" w:hAnsi="宋体" w:cs="宋体"/>
      <w:color w:val="45A1D1"/>
      <w:kern w:val="0"/>
      <w:szCs w:val="21"/>
    </w:rPr>
  </w:style>
  <w:style w:type="paragraph" w:customStyle="1" w:styleId="327">
    <w:name w:val="文章总标题"/>
    <w:basedOn w:val="1"/>
    <w:next w:val="297"/>
    <w:qFormat/>
    <w:uiPriority w:val="0"/>
    <w:pPr>
      <w:widowControl/>
      <w:spacing w:before="566" w:after="544" w:line="566" w:lineRule="atLeast"/>
      <w:jc w:val="center"/>
      <w:textAlignment w:val="baseline"/>
    </w:pPr>
    <w:rPr>
      <w:rFonts w:ascii="Arial" w:eastAsia="黑体"/>
      <w:color w:val="000000"/>
      <w:kern w:val="0"/>
      <w:sz w:val="54"/>
    </w:rPr>
  </w:style>
  <w:style w:type="paragraph" w:customStyle="1" w:styleId="328">
    <w:name w:val="wskt_more"/>
    <w:basedOn w:val="1"/>
    <w:qFormat/>
    <w:uiPriority w:val="0"/>
    <w:pPr>
      <w:widowControl/>
      <w:spacing w:before="100" w:beforeAutospacing="1" w:after="100" w:afterAutospacing="1" w:line="240" w:lineRule="atLeast"/>
      <w:jc w:val="left"/>
    </w:pPr>
    <w:rPr>
      <w:rFonts w:ascii="宋体" w:hAnsi="宋体" w:cs="宋体"/>
      <w:color w:val="E9471B"/>
      <w:kern w:val="0"/>
      <w:sz w:val="18"/>
      <w:szCs w:val="18"/>
    </w:rPr>
  </w:style>
  <w:style w:type="paragraph" w:customStyle="1" w:styleId="329">
    <w:name w:val="zw_title"/>
    <w:basedOn w:val="1"/>
    <w:qFormat/>
    <w:uiPriority w:val="0"/>
    <w:pPr>
      <w:widowControl/>
      <w:spacing w:before="100" w:beforeAutospacing="1" w:after="100" w:afterAutospacing="1" w:line="360" w:lineRule="auto"/>
      <w:jc w:val="left"/>
    </w:pPr>
    <w:rPr>
      <w:rFonts w:ascii="宋体" w:hAnsi="宋体" w:cs="宋体"/>
      <w:b/>
      <w:bCs/>
      <w:color w:val="333333"/>
      <w:kern w:val="0"/>
      <w:sz w:val="35"/>
      <w:szCs w:val="35"/>
    </w:rPr>
  </w:style>
  <w:style w:type="paragraph" w:customStyle="1" w:styleId="330">
    <w:name w:val="trs_editor"/>
    <w:basedOn w:val="1"/>
    <w:qFormat/>
    <w:uiPriority w:val="0"/>
    <w:pPr>
      <w:widowControl/>
      <w:spacing w:before="100" w:beforeAutospacing="1" w:after="100" w:afterAutospacing="1"/>
      <w:jc w:val="left"/>
    </w:pPr>
    <w:rPr>
      <w:rFonts w:ascii="宋体" w:hAnsi="宋体" w:cs="宋体"/>
      <w:kern w:val="0"/>
      <w:szCs w:val="21"/>
    </w:rPr>
  </w:style>
  <w:style w:type="paragraph" w:customStyle="1" w:styleId="331">
    <w:name w:val="列出段落2"/>
    <w:basedOn w:val="1"/>
    <w:unhideWhenUsed/>
    <w:qFormat/>
    <w:uiPriority w:val="99"/>
    <w:pPr>
      <w:ind w:firstLine="420" w:firstLineChars="200"/>
    </w:pPr>
  </w:style>
  <w:style w:type="paragraph" w:customStyle="1" w:styleId="332">
    <w:name w:val="align_center"/>
    <w:basedOn w:val="1"/>
    <w:qFormat/>
    <w:uiPriority w:val="0"/>
    <w:pPr>
      <w:widowControl/>
      <w:spacing w:before="100" w:beforeAutospacing="1" w:after="100" w:afterAutospacing="1"/>
      <w:jc w:val="center"/>
    </w:pPr>
    <w:rPr>
      <w:rFonts w:ascii="宋体" w:hAnsi="宋体" w:cs="宋体"/>
      <w:kern w:val="0"/>
      <w:sz w:val="24"/>
      <w:szCs w:val="24"/>
    </w:rPr>
  </w:style>
  <w:style w:type="character" w:customStyle="1" w:styleId="333">
    <w:name w:val="fontstrikethrough"/>
    <w:basedOn w:val="48"/>
    <w:qFormat/>
    <w:uiPriority w:val="0"/>
    <w:rPr>
      <w:strike/>
    </w:rPr>
  </w:style>
  <w:style w:type="character" w:customStyle="1" w:styleId="334">
    <w:name w:val="fontborder"/>
    <w:basedOn w:val="48"/>
    <w:qFormat/>
    <w:uiPriority w:val="0"/>
    <w:rPr>
      <w:bdr w:val="single" w:color="000000" w:sz="6" w:space="0"/>
    </w:rPr>
  </w:style>
  <w:style w:type="character" w:customStyle="1" w:styleId="335">
    <w:name w:val="first-child"/>
    <w:basedOn w:val="48"/>
    <w:qFormat/>
    <w:uiPriority w:val="0"/>
  </w:style>
  <w:style w:type="character" w:customStyle="1" w:styleId="336">
    <w:name w:val="layui-laypage-curr"/>
    <w:basedOn w:val="48"/>
    <w:qFormat/>
    <w:uiPriority w:val="0"/>
  </w:style>
  <w:style w:type="character" w:customStyle="1" w:styleId="337">
    <w:name w:val="layui-this2"/>
    <w:basedOn w:val="48"/>
    <w:qFormat/>
    <w:uiPriority w:val="0"/>
    <w:rPr>
      <w:bdr w:val="single" w:color="EEEEEE" w:sz="6" w:space="0"/>
      <w:shd w:val="clear" w:fill="FFFFFF"/>
    </w:rPr>
  </w:style>
  <w:style w:type="paragraph" w:customStyle="1" w:styleId="338">
    <w:name w:val="lemmawgt-lemmatitle-title"/>
    <w:basedOn w:val="1"/>
    <w:qFormat/>
    <w:uiPriority w:val="0"/>
    <w:pPr>
      <w:spacing w:before="0" w:beforeAutospacing="0" w:after="75" w:afterAutospacing="0" w:line="585" w:lineRule="atLeast"/>
      <w:ind w:left="0" w:right="0"/>
      <w:jc w:val="left"/>
    </w:pPr>
    <w:rPr>
      <w:kern w:val="0"/>
      <w:lang w:val="en-US" w:eastAsia="zh-CN" w:bidi="ar"/>
    </w:rPr>
  </w:style>
  <w:style w:type="character" w:customStyle="1" w:styleId="339">
    <w:name w:val="lemmawgt-lemmatitle-title1"/>
    <w:basedOn w:val="48"/>
    <w:qFormat/>
    <w:uiPriority w:val="0"/>
  </w:style>
  <w:style w:type="character" w:customStyle="1" w:styleId="340">
    <w:name w:val="hover27"/>
    <w:basedOn w:val="48"/>
    <w:qFormat/>
    <w:uiPriority w:val="0"/>
  </w:style>
  <w:style w:type="character" w:customStyle="1" w:styleId="341">
    <w:name w:val="hover28"/>
    <w:basedOn w:val="48"/>
    <w:qFormat/>
    <w:uiPriority w:val="0"/>
    <w:rPr>
      <w:color w:val="315EFB"/>
    </w:rPr>
  </w:style>
  <w:style w:type="character" w:customStyle="1" w:styleId="342">
    <w:name w:val="c-icon28"/>
    <w:basedOn w:val="4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733;&#22836;&#20272;&#20215;&#27169;&#26495;---&#24066;&#22330;&#27604;&#36739;&#2786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汕头估价模板---市场比较法</Template>
  <Company>微软中国</Company>
  <Pages>41</Pages>
  <Words>20965</Words>
  <Characters>23303</Characters>
  <Lines>167</Lines>
  <Paragraphs>47</Paragraphs>
  <TotalTime>5</TotalTime>
  <ScaleCrop>false</ScaleCrop>
  <LinksUpToDate>false</LinksUpToDate>
  <CharactersWithSpaces>23765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2019-08-29T00:43:00Z</dcterms:created>
  <dc:creator>陈锋涛</dc:creator>
  <cp:lastModifiedBy>今天</cp:lastModifiedBy>
  <cp:lastPrinted>2021-05-25T06:14:00Z</cp:lastPrinted>
  <dcterms:modified xsi:type="dcterms:W3CDTF">2022-04-19T07:54:27Z</dcterms:modified>
  <dc:subject>模板</dc:subject>
  <dc:title>市场比较法</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028D3345045F4811B5802E42CAD487B7</vt:lpwstr>
  </property>
</Properties>
</file>