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23" w:rsidRDefault="00563BD8">
      <w:pPr>
        <w:keepNext/>
        <w:keepLines/>
        <w:adjustRightInd w:val="0"/>
        <w:snapToGrid w:val="0"/>
        <w:ind w:firstLineChars="300" w:firstLine="964"/>
        <w:jc w:val="left"/>
        <w:rPr>
          <w:rFonts w:ascii="宋体" w:hAnsi="宋体"/>
          <w:outline/>
          <w:color w:val="000000"/>
          <w:kern w:val="44"/>
          <w:sz w:val="32"/>
          <w:szCs w:val="32"/>
        </w:rPr>
      </w:pPr>
      <w:r>
        <w:rPr>
          <w:rFonts w:ascii="宋体" w:hAnsi="宋体" w:cs="Arial" w:hint="eastAsia"/>
          <w:b/>
          <w:noProof/>
          <w:kern w:val="44"/>
          <w:sz w:val="32"/>
          <w:szCs w:val="32"/>
        </w:rPr>
        <w:drawing>
          <wp:anchor distT="0" distB="0" distL="114300" distR="114300" simplePos="0" relativeHeight="251659264" behindDoc="0" locked="0" layoutInCell="1" allowOverlap="1">
            <wp:simplePos x="0" y="0"/>
            <wp:positionH relativeFrom="column">
              <wp:posOffset>-57785</wp:posOffset>
            </wp:positionH>
            <wp:positionV relativeFrom="paragraph">
              <wp:posOffset>-53340</wp:posOffset>
            </wp:positionV>
            <wp:extent cx="552450" cy="552450"/>
            <wp:effectExtent l="19050" t="0" r="0" b="0"/>
            <wp:wrapNone/>
            <wp:docPr id="1" name="图片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3"/>
                    <pic:cNvPicPr>
                      <a:picLocks noChangeAspect="1" noChangeArrowheads="1"/>
                    </pic:cNvPicPr>
                  </pic:nvPicPr>
                  <pic:blipFill>
                    <a:blip r:embed="rId9"/>
                    <a:stretch>
                      <a:fillRect/>
                    </a:stretch>
                  </pic:blipFill>
                  <pic:spPr>
                    <a:xfrm>
                      <a:off x="0" y="0"/>
                      <a:ext cx="552450" cy="552450"/>
                    </a:xfrm>
                    <a:prstGeom prst="rect">
                      <a:avLst/>
                    </a:prstGeom>
                    <a:noFill/>
                    <a:ln>
                      <a:noFill/>
                    </a:ln>
                  </pic:spPr>
                </pic:pic>
              </a:graphicData>
            </a:graphic>
          </wp:anchor>
        </w:drawing>
      </w:r>
      <w:bookmarkStart w:id="0" w:name="_Toc360633036"/>
      <w:r>
        <w:rPr>
          <w:rFonts w:ascii="宋体" w:hAnsi="宋体" w:hint="eastAsia"/>
          <w:b/>
          <w:kern w:val="44"/>
          <w:sz w:val="32"/>
          <w:szCs w:val="20"/>
        </w:rPr>
        <w:t>山西同兴中资产评估有限公司</w:t>
      </w:r>
      <w:bookmarkEnd w:id="0"/>
    </w:p>
    <w:p w:rsidR="00282123" w:rsidRDefault="00563BD8">
      <w:pPr>
        <w:keepNext/>
        <w:keepLines/>
        <w:adjustRightInd w:val="0"/>
        <w:snapToGrid w:val="0"/>
        <w:jc w:val="left"/>
        <w:rPr>
          <w:rFonts w:ascii="宋体" w:hAnsi="宋体"/>
          <w:outline/>
          <w:color w:val="000000"/>
          <w:kern w:val="44"/>
          <w:sz w:val="32"/>
          <w:szCs w:val="32"/>
        </w:rPr>
      </w:pPr>
      <w:r>
        <w:rPr>
          <w:rFonts w:ascii="宋体" w:hAnsi="宋体"/>
          <w:outline/>
          <w:color w:val="000000"/>
          <w:kern w:val="44"/>
          <w:sz w:val="32"/>
          <w:szCs w:val="32"/>
        </w:rPr>
        <w:t>S</w:t>
      </w:r>
      <w:r>
        <w:rPr>
          <w:rFonts w:ascii="宋体" w:hAnsi="宋体" w:hint="eastAsia"/>
          <w:outline/>
          <w:color w:val="000000"/>
          <w:kern w:val="44"/>
          <w:sz w:val="32"/>
          <w:szCs w:val="32"/>
        </w:rPr>
        <w:t xml:space="preserve">han </w:t>
      </w:r>
      <w:r>
        <w:rPr>
          <w:rFonts w:ascii="宋体" w:hAnsi="宋体" w:hint="eastAsia"/>
          <w:outline/>
          <w:color w:val="000000"/>
          <w:kern w:val="44"/>
          <w:sz w:val="32"/>
          <w:szCs w:val="32"/>
        </w:rPr>
        <w:t xml:space="preserve"> shan</w:t>
      </w:r>
      <w:r>
        <w:rPr>
          <w:rFonts w:ascii="宋体" w:hAnsi="宋体" w:hint="eastAsia"/>
          <w:outline/>
          <w:color w:val="000000"/>
          <w:kern w:val="44"/>
          <w:sz w:val="32"/>
          <w:szCs w:val="32"/>
        </w:rPr>
        <w:t>xi tong xing zhong</w:t>
      </w:r>
    </w:p>
    <w:p w:rsidR="00282123" w:rsidRDefault="00563BD8">
      <w:pPr>
        <w:keepNext/>
        <w:tabs>
          <w:tab w:val="left" w:pos="786"/>
        </w:tabs>
        <w:adjustRightInd w:val="0"/>
        <w:snapToGrid w:val="0"/>
        <w:jc w:val="left"/>
        <w:rPr>
          <w:rFonts w:ascii="宋体" w:hAnsi="宋体"/>
          <w:b/>
          <w:spacing w:val="24"/>
          <w:szCs w:val="21"/>
        </w:rPr>
      </w:pPr>
      <w:bookmarkStart w:id="1" w:name="_Toc360633038"/>
      <w:r>
        <w:rPr>
          <w:rFonts w:ascii="宋体" w:hAnsi="宋体" w:hint="eastAsia"/>
          <w:b/>
          <w:spacing w:val="24"/>
          <w:szCs w:val="21"/>
        </w:rPr>
        <w:t xml:space="preserve">ASSETS </w:t>
      </w:r>
      <w:r>
        <w:rPr>
          <w:rFonts w:ascii="宋体" w:hAnsi="宋体"/>
          <w:b/>
          <w:spacing w:val="24"/>
          <w:szCs w:val="21"/>
        </w:rPr>
        <w:t>＆</w:t>
      </w:r>
      <w:r>
        <w:rPr>
          <w:rFonts w:ascii="宋体" w:hAnsi="宋体" w:hint="eastAsia"/>
          <w:b/>
          <w:spacing w:val="24"/>
          <w:szCs w:val="21"/>
        </w:rPr>
        <w:t xml:space="preserve"> APPRAISAL CO.,LTD</w:t>
      </w:r>
      <w:bookmarkEnd w:id="1"/>
    </w:p>
    <w:p w:rsidR="00282123" w:rsidRDefault="00563BD8">
      <w:pPr>
        <w:rPr>
          <w:rFonts w:ascii="宋体" w:hAnsi="宋体"/>
          <w:sz w:val="28"/>
          <w:szCs w:val="28"/>
        </w:rPr>
      </w:pPr>
      <w:r>
        <w:rPr>
          <w:rFonts w:ascii="宋体" w:hAnsi="宋体" w:hint="eastAsia"/>
          <w:b/>
          <w:bCs/>
          <w:sz w:val="28"/>
          <w:szCs w:val="28"/>
        </w:rPr>
        <w:t>本资产评估报告依据中国资产评估准则编制</w:t>
      </w:r>
    </w:p>
    <w:p w:rsidR="00282123" w:rsidRDefault="00563BD8">
      <w:pPr>
        <w:rPr>
          <w:rFonts w:ascii="宋体" w:hAnsi="宋体"/>
          <w:b/>
          <w:bCs/>
          <w:sz w:val="30"/>
          <w:szCs w:val="30"/>
        </w:rPr>
      </w:pPr>
      <w:r>
        <w:rPr>
          <w:rFonts w:ascii="宋体" w:hAnsi="宋体" w:hint="eastAsia"/>
          <w:b/>
          <w:bCs/>
          <w:sz w:val="28"/>
          <w:szCs w:val="28"/>
        </w:rPr>
        <w:t>人民法院委托司法执行财产处置参考价目的资产评估报告</w:t>
      </w:r>
    </w:p>
    <w:p w:rsidR="00282123" w:rsidRDefault="00282123">
      <w:pPr>
        <w:adjustRightInd w:val="0"/>
        <w:snapToGrid w:val="0"/>
        <w:spacing w:line="300" w:lineRule="auto"/>
        <w:jc w:val="center"/>
        <w:rPr>
          <w:rFonts w:ascii="宋体" w:hAnsi="宋体"/>
          <w:b/>
          <w:sz w:val="44"/>
          <w:szCs w:val="20"/>
        </w:rPr>
      </w:pPr>
    </w:p>
    <w:p w:rsidR="00282123" w:rsidRDefault="00282123">
      <w:pPr>
        <w:adjustRightInd w:val="0"/>
        <w:snapToGrid w:val="0"/>
        <w:spacing w:line="300" w:lineRule="auto"/>
        <w:jc w:val="center"/>
        <w:rPr>
          <w:rFonts w:ascii="宋体" w:hAnsi="宋体"/>
          <w:b/>
          <w:sz w:val="44"/>
          <w:szCs w:val="20"/>
        </w:rPr>
      </w:pPr>
    </w:p>
    <w:p w:rsidR="00282123" w:rsidRDefault="00563BD8">
      <w:pPr>
        <w:spacing w:line="60" w:lineRule="auto"/>
        <w:jc w:val="center"/>
        <w:rPr>
          <w:rFonts w:ascii="宋体" w:hAnsi="宋体" w:cs="黑体"/>
          <w:b/>
          <w:sz w:val="40"/>
          <w:szCs w:val="40"/>
        </w:rPr>
      </w:pPr>
      <w:r>
        <w:rPr>
          <w:rFonts w:ascii="宋体" w:hAnsi="宋体" w:cs="黑体" w:hint="eastAsia"/>
          <w:b/>
          <w:sz w:val="40"/>
          <w:szCs w:val="40"/>
        </w:rPr>
        <w:t>太原市</w:t>
      </w:r>
      <w:r>
        <w:rPr>
          <w:rFonts w:ascii="宋体" w:hAnsi="宋体" w:cs="黑体" w:hint="eastAsia"/>
          <w:b/>
          <w:sz w:val="40"/>
          <w:szCs w:val="40"/>
        </w:rPr>
        <w:t>中级人民法院</w:t>
      </w:r>
      <w:r>
        <w:rPr>
          <w:rFonts w:ascii="宋体" w:hAnsi="宋体" w:cs="黑体" w:hint="eastAsia"/>
          <w:b/>
          <w:sz w:val="40"/>
          <w:szCs w:val="40"/>
        </w:rPr>
        <w:t>拟</w:t>
      </w:r>
      <w:r>
        <w:rPr>
          <w:rFonts w:ascii="宋体" w:hAnsi="宋体" w:cs="黑体" w:hint="eastAsia"/>
          <w:b/>
          <w:sz w:val="40"/>
          <w:szCs w:val="40"/>
        </w:rPr>
        <w:t>司法</w:t>
      </w:r>
      <w:r>
        <w:rPr>
          <w:rFonts w:ascii="宋体" w:hAnsi="宋体" w:cs="黑体" w:hint="eastAsia"/>
          <w:b/>
          <w:sz w:val="40"/>
          <w:szCs w:val="40"/>
        </w:rPr>
        <w:t>处置</w:t>
      </w:r>
      <w:r>
        <w:rPr>
          <w:rFonts w:ascii="宋体" w:hAnsi="宋体" w:cs="黑体" w:hint="eastAsia"/>
          <w:b/>
          <w:sz w:val="40"/>
          <w:szCs w:val="40"/>
        </w:rPr>
        <w:t>所涉及</w:t>
      </w:r>
    </w:p>
    <w:p w:rsidR="00282123" w:rsidRDefault="00563BD8">
      <w:pPr>
        <w:spacing w:line="60" w:lineRule="auto"/>
        <w:jc w:val="center"/>
        <w:rPr>
          <w:rFonts w:ascii="宋体" w:hAnsi="宋体" w:cs="黑体"/>
          <w:b/>
          <w:sz w:val="40"/>
          <w:szCs w:val="40"/>
        </w:rPr>
      </w:pPr>
      <w:r>
        <w:rPr>
          <w:rFonts w:ascii="宋体" w:hAnsi="宋体" w:cs="黑体" w:hint="eastAsia"/>
          <w:b/>
          <w:sz w:val="40"/>
          <w:szCs w:val="40"/>
        </w:rPr>
        <w:t>位于太原市五龙口街</w:t>
      </w:r>
      <w:r>
        <w:rPr>
          <w:rFonts w:ascii="宋体" w:hAnsi="宋体" w:cs="黑体" w:hint="eastAsia"/>
          <w:b/>
          <w:sz w:val="40"/>
          <w:szCs w:val="40"/>
        </w:rPr>
        <w:t>99</w:t>
      </w:r>
      <w:r>
        <w:rPr>
          <w:rFonts w:ascii="宋体" w:hAnsi="宋体" w:cs="黑体" w:hint="eastAsia"/>
          <w:b/>
          <w:sz w:val="40"/>
          <w:szCs w:val="40"/>
        </w:rPr>
        <w:t>号特别特花园车位使用权</w:t>
      </w:r>
      <w:r>
        <w:rPr>
          <w:rFonts w:ascii="宋体" w:hAnsi="宋体" w:cs="黑体" w:hint="eastAsia"/>
          <w:b/>
          <w:sz w:val="40"/>
          <w:szCs w:val="40"/>
        </w:rPr>
        <w:t>评估项目</w:t>
      </w:r>
    </w:p>
    <w:p w:rsidR="00282123" w:rsidRDefault="00563BD8">
      <w:pPr>
        <w:spacing w:line="60" w:lineRule="auto"/>
        <w:jc w:val="center"/>
        <w:rPr>
          <w:rFonts w:ascii="宋体" w:hAnsi="宋体"/>
          <w:sz w:val="18"/>
          <w:szCs w:val="20"/>
        </w:rPr>
      </w:pPr>
      <w:r>
        <w:rPr>
          <w:rFonts w:ascii="宋体" w:hAnsi="宋体" w:cs="黑体" w:hint="eastAsia"/>
          <w:b/>
          <w:sz w:val="40"/>
          <w:szCs w:val="40"/>
        </w:rPr>
        <w:t>资产评估报告</w:t>
      </w:r>
    </w:p>
    <w:p w:rsidR="00282123" w:rsidRDefault="00282123">
      <w:pPr>
        <w:jc w:val="center"/>
        <w:rPr>
          <w:rFonts w:ascii="宋体" w:hAnsi="宋体"/>
          <w:b/>
          <w:bCs/>
          <w:sz w:val="24"/>
          <w:szCs w:val="24"/>
        </w:rPr>
      </w:pPr>
      <w:bookmarkStart w:id="2" w:name="_Toc210969788"/>
      <w:bookmarkStart w:id="3" w:name="_Toc214894742"/>
      <w:bookmarkStart w:id="4" w:name="_Toc210969993"/>
    </w:p>
    <w:bookmarkEnd w:id="2"/>
    <w:bookmarkEnd w:id="3"/>
    <w:bookmarkEnd w:id="4"/>
    <w:p w:rsidR="00282123" w:rsidRDefault="00563BD8">
      <w:pPr>
        <w:jc w:val="center"/>
        <w:rPr>
          <w:rFonts w:ascii="宋体" w:hAnsi="宋体"/>
          <w:b/>
          <w:bCs/>
          <w:sz w:val="30"/>
          <w:szCs w:val="20"/>
        </w:rPr>
      </w:pPr>
      <w:r>
        <w:rPr>
          <w:rFonts w:ascii="宋体" w:hAnsi="宋体" w:hint="eastAsia"/>
          <w:b/>
          <w:bCs/>
          <w:sz w:val="24"/>
          <w:szCs w:val="24"/>
        </w:rPr>
        <w:t>晋同兴中评报字</w:t>
      </w:r>
      <w:r>
        <w:rPr>
          <w:rFonts w:ascii="宋体" w:hAnsi="宋体" w:hint="eastAsia"/>
          <w:b/>
          <w:bCs/>
          <w:sz w:val="24"/>
          <w:szCs w:val="24"/>
        </w:rPr>
        <w:t>(202</w:t>
      </w:r>
      <w:r>
        <w:rPr>
          <w:rFonts w:ascii="宋体" w:hAnsi="宋体" w:hint="eastAsia"/>
          <w:b/>
          <w:bCs/>
          <w:sz w:val="24"/>
          <w:szCs w:val="24"/>
        </w:rPr>
        <w:t>2</w:t>
      </w:r>
      <w:r>
        <w:rPr>
          <w:rFonts w:ascii="宋体" w:hAnsi="宋体" w:hint="eastAsia"/>
          <w:b/>
          <w:bCs/>
          <w:sz w:val="24"/>
          <w:szCs w:val="24"/>
        </w:rPr>
        <w:t>)</w:t>
      </w:r>
      <w:r>
        <w:rPr>
          <w:rFonts w:ascii="宋体" w:hAnsi="宋体" w:hint="eastAsia"/>
          <w:b/>
          <w:bCs/>
          <w:sz w:val="24"/>
          <w:szCs w:val="24"/>
        </w:rPr>
        <w:t>第</w:t>
      </w:r>
      <w:r>
        <w:rPr>
          <w:rFonts w:ascii="宋体" w:hAnsi="宋体" w:hint="eastAsia"/>
          <w:b/>
          <w:bCs/>
          <w:sz w:val="24"/>
          <w:szCs w:val="24"/>
        </w:rPr>
        <w:t>007</w:t>
      </w:r>
      <w:r>
        <w:rPr>
          <w:rFonts w:ascii="宋体" w:hAnsi="宋体" w:hint="eastAsia"/>
          <w:b/>
          <w:bCs/>
          <w:sz w:val="24"/>
          <w:szCs w:val="24"/>
        </w:rPr>
        <w:t>号</w:t>
      </w:r>
    </w:p>
    <w:p w:rsidR="00282123" w:rsidRDefault="00563BD8" w:rsidP="008B5CD1">
      <w:pPr>
        <w:spacing w:afterLines="50" w:line="360" w:lineRule="auto"/>
        <w:jc w:val="center"/>
        <w:rPr>
          <w:rFonts w:ascii="宋体" w:hAnsi="宋体"/>
          <w:sz w:val="24"/>
          <w:szCs w:val="24"/>
        </w:rPr>
      </w:pPr>
      <w:r>
        <w:rPr>
          <w:rFonts w:ascii="宋体" w:hAnsi="宋体"/>
          <w:b/>
          <w:bCs/>
          <w:sz w:val="24"/>
          <w:szCs w:val="24"/>
        </w:rPr>
        <w:t>（共</w:t>
      </w:r>
      <w:r>
        <w:rPr>
          <w:rFonts w:ascii="宋体" w:hAnsi="宋体" w:hint="eastAsia"/>
          <w:b/>
          <w:bCs/>
          <w:sz w:val="24"/>
          <w:szCs w:val="24"/>
        </w:rPr>
        <w:t>1</w:t>
      </w:r>
      <w:r>
        <w:rPr>
          <w:rFonts w:ascii="宋体" w:hAnsi="宋体"/>
          <w:b/>
          <w:bCs/>
          <w:sz w:val="24"/>
          <w:szCs w:val="24"/>
        </w:rPr>
        <w:t>册，第</w:t>
      </w:r>
      <w:r>
        <w:rPr>
          <w:rFonts w:ascii="宋体" w:hAnsi="宋体" w:hint="eastAsia"/>
          <w:b/>
          <w:bCs/>
          <w:sz w:val="24"/>
          <w:szCs w:val="24"/>
        </w:rPr>
        <w:t>1</w:t>
      </w:r>
      <w:r>
        <w:rPr>
          <w:rFonts w:ascii="宋体" w:hAnsi="宋体"/>
          <w:b/>
          <w:bCs/>
          <w:sz w:val="24"/>
          <w:szCs w:val="24"/>
        </w:rPr>
        <w:t>册）</w:t>
      </w:r>
    </w:p>
    <w:p w:rsidR="00282123" w:rsidRDefault="00282123">
      <w:pPr>
        <w:jc w:val="center"/>
        <w:rPr>
          <w:rFonts w:ascii="宋体" w:hAnsi="宋体"/>
          <w:sz w:val="18"/>
          <w:szCs w:val="20"/>
        </w:rPr>
      </w:pPr>
    </w:p>
    <w:p w:rsidR="00282123" w:rsidRDefault="00282123">
      <w:pPr>
        <w:jc w:val="center"/>
        <w:rPr>
          <w:rFonts w:ascii="宋体" w:hAnsi="宋体"/>
          <w:sz w:val="28"/>
          <w:szCs w:val="20"/>
        </w:rPr>
      </w:pPr>
    </w:p>
    <w:p w:rsidR="00282123" w:rsidRDefault="00282123">
      <w:pPr>
        <w:jc w:val="center"/>
        <w:rPr>
          <w:rFonts w:ascii="宋体" w:hAnsi="宋体"/>
          <w:sz w:val="28"/>
          <w:szCs w:val="20"/>
        </w:rPr>
      </w:pPr>
    </w:p>
    <w:p w:rsidR="00282123" w:rsidRDefault="00282123">
      <w:pPr>
        <w:jc w:val="center"/>
        <w:rPr>
          <w:rFonts w:ascii="宋体" w:hAnsi="宋体"/>
          <w:sz w:val="28"/>
          <w:szCs w:val="20"/>
        </w:rPr>
      </w:pPr>
    </w:p>
    <w:p w:rsidR="00282123" w:rsidRDefault="00282123">
      <w:pPr>
        <w:jc w:val="center"/>
        <w:rPr>
          <w:rFonts w:ascii="宋体" w:hAnsi="宋体"/>
          <w:sz w:val="28"/>
          <w:szCs w:val="20"/>
        </w:rPr>
      </w:pPr>
    </w:p>
    <w:p w:rsidR="00282123" w:rsidRDefault="00282123">
      <w:pPr>
        <w:jc w:val="center"/>
        <w:rPr>
          <w:rFonts w:ascii="宋体" w:hAnsi="宋体"/>
          <w:sz w:val="28"/>
          <w:szCs w:val="20"/>
        </w:rPr>
      </w:pPr>
    </w:p>
    <w:p w:rsidR="00282123" w:rsidRDefault="00282123">
      <w:pPr>
        <w:jc w:val="center"/>
        <w:rPr>
          <w:rFonts w:ascii="宋体" w:hAnsi="宋体"/>
          <w:sz w:val="28"/>
          <w:szCs w:val="20"/>
        </w:rPr>
      </w:pPr>
    </w:p>
    <w:p w:rsidR="00282123" w:rsidRDefault="00563BD8">
      <w:pPr>
        <w:jc w:val="center"/>
        <w:rPr>
          <w:rFonts w:ascii="宋体" w:hAnsi="宋体"/>
          <w:b/>
          <w:sz w:val="36"/>
          <w:szCs w:val="20"/>
        </w:rPr>
      </w:pPr>
      <w:bookmarkStart w:id="5" w:name="_Toc210969994"/>
      <w:bookmarkStart w:id="6" w:name="_Toc210969789"/>
      <w:bookmarkStart w:id="7" w:name="_Toc214894743"/>
      <w:r>
        <w:rPr>
          <w:rFonts w:ascii="宋体" w:hAnsi="宋体" w:hint="eastAsia"/>
          <w:b/>
          <w:sz w:val="36"/>
          <w:szCs w:val="20"/>
        </w:rPr>
        <w:t>山西同兴中资产评估有限公司</w:t>
      </w:r>
      <w:bookmarkEnd w:id="5"/>
      <w:bookmarkEnd w:id="6"/>
      <w:bookmarkEnd w:id="7"/>
    </w:p>
    <w:p w:rsidR="00282123" w:rsidRDefault="00563BD8">
      <w:pPr>
        <w:spacing w:line="60" w:lineRule="auto"/>
        <w:jc w:val="center"/>
        <w:rPr>
          <w:rFonts w:ascii="宋体" w:hAnsi="宋体"/>
          <w:b/>
          <w:sz w:val="32"/>
          <w:szCs w:val="20"/>
        </w:rPr>
        <w:sectPr w:rsidR="00282123">
          <w:footerReference w:type="even" r:id="rId10"/>
          <w:headerReference w:type="first" r:id="rId11"/>
          <w:footerReference w:type="first" r:id="rId12"/>
          <w:pgSz w:w="11906" w:h="16838"/>
          <w:pgMar w:top="1644" w:right="1474" w:bottom="1418" w:left="1531" w:header="936" w:footer="754" w:gutter="0"/>
          <w:pgNumType w:start="1"/>
          <w:cols w:space="720"/>
          <w:docGrid w:type="lines" w:linePitch="312"/>
        </w:sectPr>
      </w:pPr>
      <w:r>
        <w:rPr>
          <w:rFonts w:ascii="宋体" w:hAnsi="宋体" w:hint="eastAsia"/>
          <w:b/>
          <w:sz w:val="30"/>
          <w:szCs w:val="30"/>
        </w:rPr>
        <w:t>2022</w:t>
      </w:r>
      <w:r>
        <w:rPr>
          <w:rFonts w:ascii="宋体" w:hAnsi="宋体" w:hint="eastAsia"/>
          <w:b/>
          <w:sz w:val="30"/>
          <w:szCs w:val="30"/>
        </w:rPr>
        <w:t>年</w:t>
      </w:r>
      <w:r>
        <w:rPr>
          <w:rFonts w:ascii="宋体" w:hAnsi="宋体" w:hint="eastAsia"/>
          <w:b/>
          <w:sz w:val="30"/>
          <w:szCs w:val="30"/>
        </w:rPr>
        <w:t>3</w:t>
      </w:r>
      <w:r>
        <w:rPr>
          <w:rFonts w:ascii="宋体" w:hAnsi="宋体" w:hint="eastAsia"/>
          <w:b/>
          <w:sz w:val="30"/>
          <w:szCs w:val="30"/>
        </w:rPr>
        <w:t>月</w:t>
      </w:r>
      <w:r>
        <w:rPr>
          <w:rFonts w:ascii="宋体" w:hAnsi="宋体" w:hint="eastAsia"/>
          <w:b/>
          <w:sz w:val="30"/>
          <w:szCs w:val="30"/>
        </w:rPr>
        <w:t>10</w:t>
      </w:r>
      <w:r>
        <w:rPr>
          <w:rFonts w:ascii="宋体" w:hAnsi="宋体" w:hint="eastAsia"/>
          <w:b/>
          <w:sz w:val="30"/>
          <w:szCs w:val="30"/>
        </w:rPr>
        <w:t>日</w:t>
      </w:r>
    </w:p>
    <w:p w:rsidR="00282123" w:rsidRDefault="00282123">
      <w:pPr>
        <w:spacing w:line="60" w:lineRule="auto"/>
        <w:jc w:val="center"/>
        <w:rPr>
          <w:rFonts w:ascii="宋体" w:hAnsi="宋体"/>
          <w:b/>
          <w:szCs w:val="20"/>
        </w:rPr>
      </w:pPr>
    </w:p>
    <w:p w:rsidR="00282123" w:rsidRDefault="00563BD8">
      <w:pPr>
        <w:jc w:val="center"/>
        <w:rPr>
          <w:rFonts w:ascii="宋体" w:hAnsi="宋体"/>
          <w:b/>
          <w:sz w:val="30"/>
          <w:szCs w:val="20"/>
        </w:rPr>
      </w:pPr>
      <w:bookmarkStart w:id="8" w:name="_Toc214894749"/>
      <w:bookmarkStart w:id="9" w:name="_Toc360633039"/>
      <w:bookmarkStart w:id="10" w:name="_Toc210969999"/>
      <w:bookmarkStart w:id="11" w:name="_Toc210969794"/>
      <w:r>
        <w:rPr>
          <w:rFonts w:ascii="宋体" w:hAnsi="宋体" w:hint="eastAsia"/>
          <w:b/>
          <w:sz w:val="32"/>
          <w:szCs w:val="20"/>
        </w:rPr>
        <w:t>目</w:t>
      </w:r>
      <w:r>
        <w:rPr>
          <w:rFonts w:ascii="宋体" w:hAnsi="宋体" w:hint="eastAsia"/>
          <w:b/>
          <w:sz w:val="32"/>
          <w:szCs w:val="20"/>
        </w:rPr>
        <w:t xml:space="preserve">   </w:t>
      </w:r>
      <w:r>
        <w:rPr>
          <w:rFonts w:ascii="宋体" w:hAnsi="宋体" w:hint="eastAsia"/>
          <w:b/>
          <w:sz w:val="32"/>
          <w:szCs w:val="20"/>
        </w:rPr>
        <w:t>录</w:t>
      </w:r>
      <w:bookmarkEnd w:id="8"/>
      <w:bookmarkEnd w:id="9"/>
      <w:bookmarkEnd w:id="10"/>
      <w:bookmarkEnd w:id="11"/>
    </w:p>
    <w:p w:rsidR="00282123" w:rsidRDefault="00282123">
      <w:pPr>
        <w:tabs>
          <w:tab w:val="left" w:pos="0"/>
        </w:tabs>
        <w:adjustRightInd w:val="0"/>
        <w:snapToGrid w:val="0"/>
        <w:spacing w:line="360" w:lineRule="auto"/>
        <w:jc w:val="distribute"/>
        <w:rPr>
          <w:rFonts w:ascii="宋体" w:hAnsi="宋体"/>
          <w:sz w:val="28"/>
          <w:szCs w:val="20"/>
        </w:rPr>
      </w:pPr>
    </w:p>
    <w:p w:rsidR="00282123" w:rsidRDefault="00282123">
      <w:pPr>
        <w:pStyle w:val="10"/>
        <w:tabs>
          <w:tab w:val="clear" w:pos="8891"/>
          <w:tab w:val="right" w:leader="dot" w:pos="8901"/>
        </w:tabs>
      </w:pPr>
      <w:r w:rsidRPr="00282123">
        <w:rPr>
          <w:rFonts w:cs="宋体"/>
          <w:caps w:val="0"/>
        </w:rPr>
        <w:fldChar w:fldCharType="begin"/>
      </w:r>
      <w:r w:rsidR="00563BD8">
        <w:rPr>
          <w:rFonts w:cs="宋体" w:hint="eastAsia"/>
          <w:caps w:val="0"/>
        </w:rPr>
        <w:instrText>TOC \o "1-3" \h \z \u</w:instrText>
      </w:r>
      <w:r w:rsidRPr="00282123">
        <w:rPr>
          <w:rFonts w:cs="宋体"/>
          <w:caps w:val="0"/>
        </w:rPr>
        <w:fldChar w:fldCharType="separate"/>
      </w:r>
      <w:hyperlink w:anchor="_Toc17641" w:history="1">
        <w:r w:rsidR="00563BD8">
          <w:rPr>
            <w:rFonts w:hint="eastAsia"/>
            <w:kern w:val="44"/>
            <w:szCs w:val="52"/>
          </w:rPr>
          <w:t>第一部分、声明</w:t>
        </w:r>
        <w:r w:rsidR="00563BD8">
          <w:tab/>
        </w:r>
        <w:r>
          <w:fldChar w:fldCharType="begin"/>
        </w:r>
        <w:r w:rsidR="00563BD8">
          <w:instrText xml:space="preserve"> PAGEREF _Toc17641 \h </w:instrText>
        </w:r>
        <w:r>
          <w:fldChar w:fldCharType="separate"/>
        </w:r>
        <w:r w:rsidR="00563BD8">
          <w:t>3</w:t>
        </w:r>
        <w:r>
          <w:fldChar w:fldCharType="end"/>
        </w:r>
      </w:hyperlink>
    </w:p>
    <w:p w:rsidR="00282123" w:rsidRDefault="00282123">
      <w:pPr>
        <w:pStyle w:val="10"/>
        <w:tabs>
          <w:tab w:val="clear" w:pos="8891"/>
          <w:tab w:val="right" w:leader="dot" w:pos="8901"/>
        </w:tabs>
      </w:pPr>
      <w:hyperlink w:anchor="_Toc26587" w:history="1">
        <w:r w:rsidR="00563BD8">
          <w:rPr>
            <w:rFonts w:hint="eastAsia"/>
            <w:kern w:val="44"/>
            <w:szCs w:val="52"/>
          </w:rPr>
          <w:t>第二部分、资产评估报告摘要</w:t>
        </w:r>
        <w:r w:rsidR="00563BD8">
          <w:tab/>
        </w:r>
        <w:r>
          <w:fldChar w:fldCharType="begin"/>
        </w:r>
        <w:r w:rsidR="00563BD8">
          <w:instrText xml:space="preserve"> PAGEREF _Toc26587 \h </w:instrText>
        </w:r>
        <w:r>
          <w:fldChar w:fldCharType="separate"/>
        </w:r>
        <w:r w:rsidR="00563BD8">
          <w:t>6</w:t>
        </w:r>
        <w:r>
          <w:fldChar w:fldCharType="end"/>
        </w:r>
      </w:hyperlink>
    </w:p>
    <w:p w:rsidR="00282123" w:rsidRDefault="00282123">
      <w:pPr>
        <w:pStyle w:val="10"/>
        <w:tabs>
          <w:tab w:val="clear" w:pos="8891"/>
          <w:tab w:val="right" w:leader="dot" w:pos="8901"/>
        </w:tabs>
      </w:pPr>
      <w:hyperlink w:anchor="_Toc21700" w:history="1">
        <w:r w:rsidR="00563BD8">
          <w:rPr>
            <w:rFonts w:hint="eastAsia"/>
            <w:kern w:val="44"/>
            <w:szCs w:val="52"/>
          </w:rPr>
          <w:t>第三部分、资产评估报告正文</w:t>
        </w:r>
        <w:r w:rsidR="00563BD8">
          <w:tab/>
        </w:r>
        <w:r>
          <w:fldChar w:fldCharType="begin"/>
        </w:r>
        <w:r w:rsidR="00563BD8">
          <w:instrText xml:space="preserve"> PAGEREF _Toc21700 \h </w:instrText>
        </w:r>
        <w:r>
          <w:fldChar w:fldCharType="separate"/>
        </w:r>
        <w:r w:rsidR="00563BD8">
          <w:t>10</w:t>
        </w:r>
        <w:r>
          <w:fldChar w:fldCharType="end"/>
        </w:r>
      </w:hyperlink>
    </w:p>
    <w:p w:rsidR="00282123" w:rsidRDefault="00282123">
      <w:pPr>
        <w:pStyle w:val="31"/>
        <w:tabs>
          <w:tab w:val="right" w:leader="dot" w:pos="8901"/>
        </w:tabs>
        <w:rPr>
          <w:i w:val="0"/>
          <w:iCs w:val="0"/>
          <w:sz w:val="28"/>
          <w:szCs w:val="28"/>
        </w:rPr>
      </w:pPr>
      <w:hyperlink w:anchor="_Toc29367" w:history="1">
        <w:r w:rsidR="00563BD8">
          <w:rPr>
            <w:rFonts w:ascii="宋体" w:hAnsi="宋体" w:hint="eastAsia"/>
            <w:bCs/>
            <w:i w:val="0"/>
            <w:iCs w:val="0"/>
            <w:sz w:val="28"/>
            <w:szCs w:val="40"/>
          </w:rPr>
          <w:t>一、</w:t>
        </w:r>
        <w:r w:rsidR="00563BD8">
          <w:rPr>
            <w:rFonts w:ascii="宋体" w:hAnsi="宋体" w:hint="eastAsia"/>
            <w:bCs/>
            <w:i w:val="0"/>
            <w:iCs w:val="0"/>
            <w:sz w:val="28"/>
            <w:szCs w:val="40"/>
          </w:rPr>
          <w:t>委托方、</w:t>
        </w:r>
        <w:r w:rsidR="00563BD8">
          <w:rPr>
            <w:rFonts w:ascii="宋体" w:hAnsi="宋体" w:hint="eastAsia"/>
            <w:bCs/>
            <w:i w:val="0"/>
            <w:iCs w:val="0"/>
            <w:sz w:val="28"/>
            <w:szCs w:val="40"/>
          </w:rPr>
          <w:t>申请人、</w:t>
        </w:r>
        <w:r w:rsidR="00563BD8">
          <w:rPr>
            <w:rFonts w:ascii="宋体" w:hAnsi="宋体" w:hint="eastAsia"/>
            <w:bCs/>
            <w:i w:val="0"/>
            <w:iCs w:val="0"/>
            <w:sz w:val="28"/>
            <w:szCs w:val="40"/>
          </w:rPr>
          <w:t>被执行人及相关</w:t>
        </w:r>
        <w:r w:rsidR="00563BD8">
          <w:rPr>
            <w:rFonts w:ascii="宋体" w:hAnsi="宋体" w:hint="eastAsia"/>
            <w:bCs/>
            <w:i w:val="0"/>
            <w:iCs w:val="0"/>
            <w:sz w:val="28"/>
            <w:szCs w:val="40"/>
          </w:rPr>
          <w:t>资产评估报告使用人</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_Toc29367 \h </w:instrText>
        </w:r>
        <w:r>
          <w:rPr>
            <w:i w:val="0"/>
            <w:iCs w:val="0"/>
            <w:sz w:val="28"/>
            <w:szCs w:val="28"/>
          </w:rPr>
        </w:r>
        <w:r>
          <w:rPr>
            <w:i w:val="0"/>
            <w:iCs w:val="0"/>
            <w:sz w:val="28"/>
            <w:szCs w:val="28"/>
          </w:rPr>
          <w:fldChar w:fldCharType="separate"/>
        </w:r>
        <w:r w:rsidR="00563BD8">
          <w:rPr>
            <w:i w:val="0"/>
            <w:iCs w:val="0"/>
            <w:sz w:val="28"/>
            <w:szCs w:val="28"/>
          </w:rPr>
          <w:t>11</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30980" w:history="1">
        <w:r w:rsidR="00563BD8">
          <w:rPr>
            <w:rFonts w:ascii="宋体" w:hAnsi="宋体" w:hint="eastAsia"/>
            <w:bCs/>
            <w:i w:val="0"/>
            <w:iCs w:val="0"/>
            <w:sz w:val="28"/>
            <w:szCs w:val="40"/>
          </w:rPr>
          <w:t>二、评估目的</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_Toc30980 \h </w:instrText>
        </w:r>
        <w:r>
          <w:rPr>
            <w:i w:val="0"/>
            <w:iCs w:val="0"/>
            <w:sz w:val="28"/>
            <w:szCs w:val="28"/>
          </w:rPr>
        </w:r>
        <w:r>
          <w:rPr>
            <w:i w:val="0"/>
            <w:iCs w:val="0"/>
            <w:sz w:val="28"/>
            <w:szCs w:val="28"/>
          </w:rPr>
          <w:fldChar w:fldCharType="separate"/>
        </w:r>
        <w:r w:rsidR="00563BD8">
          <w:rPr>
            <w:i w:val="0"/>
            <w:iCs w:val="0"/>
            <w:sz w:val="28"/>
            <w:szCs w:val="28"/>
          </w:rPr>
          <w:t>12</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23322" w:history="1">
        <w:r w:rsidR="00563BD8">
          <w:rPr>
            <w:rFonts w:ascii="宋体" w:hAnsi="宋体" w:hint="eastAsia"/>
            <w:bCs/>
            <w:i w:val="0"/>
            <w:iCs w:val="0"/>
            <w:sz w:val="28"/>
            <w:szCs w:val="40"/>
          </w:rPr>
          <w:t>三、评估对象和评估范围</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_Toc23322 \h </w:instrText>
        </w:r>
        <w:r>
          <w:rPr>
            <w:i w:val="0"/>
            <w:iCs w:val="0"/>
            <w:sz w:val="28"/>
            <w:szCs w:val="28"/>
          </w:rPr>
        </w:r>
        <w:r>
          <w:rPr>
            <w:i w:val="0"/>
            <w:iCs w:val="0"/>
            <w:sz w:val="28"/>
            <w:szCs w:val="28"/>
          </w:rPr>
          <w:fldChar w:fldCharType="separate"/>
        </w:r>
        <w:r w:rsidR="00563BD8">
          <w:rPr>
            <w:i w:val="0"/>
            <w:iCs w:val="0"/>
            <w:sz w:val="28"/>
            <w:szCs w:val="28"/>
          </w:rPr>
          <w:t>12</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21909" w:history="1">
        <w:r w:rsidR="00563BD8">
          <w:rPr>
            <w:rFonts w:ascii="宋体" w:hAnsi="宋体" w:hint="eastAsia"/>
            <w:bCs/>
            <w:i w:val="0"/>
            <w:iCs w:val="0"/>
            <w:sz w:val="28"/>
            <w:szCs w:val="40"/>
          </w:rPr>
          <w:t>六、评估依据</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_Toc21909 \h </w:instrText>
        </w:r>
        <w:r>
          <w:rPr>
            <w:i w:val="0"/>
            <w:iCs w:val="0"/>
            <w:sz w:val="28"/>
            <w:szCs w:val="28"/>
          </w:rPr>
        </w:r>
        <w:r>
          <w:rPr>
            <w:i w:val="0"/>
            <w:iCs w:val="0"/>
            <w:sz w:val="28"/>
            <w:szCs w:val="28"/>
          </w:rPr>
          <w:fldChar w:fldCharType="separate"/>
        </w:r>
        <w:r w:rsidR="00563BD8">
          <w:rPr>
            <w:i w:val="0"/>
            <w:iCs w:val="0"/>
            <w:sz w:val="28"/>
            <w:szCs w:val="28"/>
          </w:rPr>
          <w:t>13</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17634" w:history="1">
        <w:r w:rsidR="00563BD8">
          <w:rPr>
            <w:rFonts w:ascii="宋体" w:hAnsi="宋体" w:hint="eastAsia"/>
            <w:bCs/>
            <w:i w:val="0"/>
            <w:iCs w:val="0"/>
            <w:sz w:val="28"/>
            <w:szCs w:val="40"/>
          </w:rPr>
          <w:t>七、评估方法</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_Toc17634 \h </w:instrText>
        </w:r>
        <w:r>
          <w:rPr>
            <w:i w:val="0"/>
            <w:iCs w:val="0"/>
            <w:sz w:val="28"/>
            <w:szCs w:val="28"/>
          </w:rPr>
        </w:r>
        <w:r>
          <w:rPr>
            <w:i w:val="0"/>
            <w:iCs w:val="0"/>
            <w:sz w:val="28"/>
            <w:szCs w:val="28"/>
          </w:rPr>
          <w:fldChar w:fldCharType="separate"/>
        </w:r>
        <w:r w:rsidR="00563BD8">
          <w:rPr>
            <w:i w:val="0"/>
            <w:iCs w:val="0"/>
            <w:sz w:val="28"/>
            <w:szCs w:val="28"/>
          </w:rPr>
          <w:t>15</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7973" w:history="1">
        <w:r w:rsidR="00563BD8">
          <w:rPr>
            <w:rFonts w:ascii="宋体" w:hAnsi="宋体" w:hint="eastAsia"/>
            <w:bCs/>
            <w:i w:val="0"/>
            <w:iCs w:val="0"/>
            <w:sz w:val="28"/>
            <w:szCs w:val="40"/>
          </w:rPr>
          <w:t>八、评估程序实施过程和情况</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_Toc7973 \h </w:instrText>
        </w:r>
        <w:r>
          <w:rPr>
            <w:i w:val="0"/>
            <w:iCs w:val="0"/>
            <w:sz w:val="28"/>
            <w:szCs w:val="28"/>
          </w:rPr>
        </w:r>
        <w:r>
          <w:rPr>
            <w:i w:val="0"/>
            <w:iCs w:val="0"/>
            <w:sz w:val="28"/>
            <w:szCs w:val="28"/>
          </w:rPr>
          <w:fldChar w:fldCharType="separate"/>
        </w:r>
        <w:r w:rsidR="00563BD8">
          <w:rPr>
            <w:i w:val="0"/>
            <w:iCs w:val="0"/>
            <w:sz w:val="28"/>
            <w:szCs w:val="28"/>
          </w:rPr>
          <w:t>16</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1080" w:history="1">
        <w:r w:rsidR="00563BD8">
          <w:rPr>
            <w:rFonts w:ascii="宋体" w:hAnsi="宋体" w:hint="eastAsia"/>
            <w:bCs/>
            <w:i w:val="0"/>
            <w:iCs w:val="0"/>
            <w:sz w:val="28"/>
            <w:szCs w:val="40"/>
          </w:rPr>
          <w:t>九、评估假设</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_Toc1080 \h </w:instrText>
        </w:r>
        <w:r>
          <w:rPr>
            <w:i w:val="0"/>
            <w:iCs w:val="0"/>
            <w:sz w:val="28"/>
            <w:szCs w:val="28"/>
          </w:rPr>
        </w:r>
        <w:r>
          <w:rPr>
            <w:i w:val="0"/>
            <w:iCs w:val="0"/>
            <w:sz w:val="28"/>
            <w:szCs w:val="28"/>
          </w:rPr>
          <w:fldChar w:fldCharType="separate"/>
        </w:r>
        <w:r w:rsidR="00563BD8">
          <w:rPr>
            <w:i w:val="0"/>
            <w:iCs w:val="0"/>
            <w:sz w:val="28"/>
            <w:szCs w:val="28"/>
          </w:rPr>
          <w:t>17</w:t>
        </w:r>
        <w:r>
          <w:rPr>
            <w:i w:val="0"/>
            <w:iCs w:val="0"/>
            <w:sz w:val="28"/>
            <w:szCs w:val="28"/>
          </w:rPr>
          <w:fldChar w:fldCharType="end"/>
        </w:r>
      </w:hyperlink>
    </w:p>
    <w:p w:rsidR="00282123" w:rsidRDefault="00282123">
      <w:pPr>
        <w:pStyle w:val="31"/>
        <w:tabs>
          <w:tab w:val="right" w:leader="dot" w:pos="8901"/>
        </w:tabs>
        <w:rPr>
          <w:i w:val="0"/>
          <w:iCs w:val="0"/>
          <w:sz w:val="28"/>
          <w:szCs w:val="28"/>
        </w:rPr>
      </w:pPr>
      <w:hyperlink w:anchor="_Toc5308" w:history="1">
        <w:r w:rsidR="00563BD8">
          <w:rPr>
            <w:rFonts w:ascii="宋体" w:hAnsi="宋体" w:hint="eastAsia"/>
            <w:bCs/>
            <w:i w:val="0"/>
            <w:iCs w:val="0"/>
            <w:sz w:val="28"/>
            <w:szCs w:val="40"/>
          </w:rPr>
          <w:t>十、</w:t>
        </w:r>
        <w:r w:rsidR="00563BD8">
          <w:rPr>
            <w:rFonts w:ascii="宋体" w:hAnsi="宋体" w:hint="eastAsia"/>
            <w:bCs/>
            <w:i w:val="0"/>
            <w:iCs w:val="0"/>
            <w:sz w:val="28"/>
            <w:szCs w:val="40"/>
          </w:rPr>
          <w:t xml:space="preserve"> </w:t>
        </w:r>
        <w:r w:rsidR="00563BD8">
          <w:rPr>
            <w:rFonts w:ascii="宋体" w:hAnsi="宋体" w:hint="eastAsia"/>
            <w:bCs/>
            <w:i w:val="0"/>
            <w:iCs w:val="0"/>
            <w:sz w:val="28"/>
            <w:szCs w:val="40"/>
          </w:rPr>
          <w:t>评估结论</w:t>
        </w:r>
        <w:r w:rsidR="00563BD8">
          <w:rPr>
            <w:rFonts w:ascii="宋体" w:hAnsi="宋体" w:hint="eastAsia"/>
            <w:bCs/>
            <w:i w:val="0"/>
            <w:iCs w:val="0"/>
            <w:sz w:val="28"/>
            <w:szCs w:val="40"/>
          </w:rPr>
          <w:t>：</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_Toc5308 \h </w:instrText>
        </w:r>
        <w:r>
          <w:rPr>
            <w:i w:val="0"/>
            <w:iCs w:val="0"/>
            <w:sz w:val="28"/>
            <w:szCs w:val="28"/>
          </w:rPr>
        </w:r>
        <w:r>
          <w:rPr>
            <w:i w:val="0"/>
            <w:iCs w:val="0"/>
            <w:sz w:val="28"/>
            <w:szCs w:val="28"/>
          </w:rPr>
          <w:fldChar w:fldCharType="separate"/>
        </w:r>
        <w:r w:rsidR="00563BD8">
          <w:rPr>
            <w:i w:val="0"/>
            <w:iCs w:val="0"/>
            <w:sz w:val="28"/>
            <w:szCs w:val="28"/>
          </w:rPr>
          <w:t>18</w:t>
        </w:r>
        <w:r>
          <w:rPr>
            <w:i w:val="0"/>
            <w:iCs w:val="0"/>
            <w:sz w:val="28"/>
            <w:szCs w:val="28"/>
          </w:rPr>
          <w:fldChar w:fldCharType="end"/>
        </w:r>
      </w:hyperlink>
    </w:p>
    <w:p w:rsidR="00282123" w:rsidRDefault="00282123">
      <w:pPr>
        <w:pStyle w:val="31"/>
        <w:tabs>
          <w:tab w:val="right" w:leader="dot" w:pos="8901"/>
        </w:tabs>
      </w:pPr>
      <w:hyperlink w:anchor="_Toc12517" w:history="1">
        <w:r w:rsidR="00563BD8">
          <w:rPr>
            <w:rFonts w:ascii="宋体" w:hAnsi="宋体" w:hint="eastAsia"/>
            <w:bCs/>
            <w:i w:val="0"/>
            <w:iCs w:val="0"/>
            <w:sz w:val="28"/>
            <w:szCs w:val="40"/>
          </w:rPr>
          <w:t>十一、特别事项说明</w:t>
        </w:r>
        <w:r w:rsidR="00563BD8">
          <w:rPr>
            <w:i w:val="0"/>
            <w:iCs w:val="0"/>
            <w:sz w:val="28"/>
            <w:szCs w:val="28"/>
          </w:rPr>
          <w:tab/>
        </w:r>
        <w:r>
          <w:rPr>
            <w:i w:val="0"/>
            <w:iCs w:val="0"/>
            <w:sz w:val="28"/>
            <w:szCs w:val="28"/>
          </w:rPr>
          <w:fldChar w:fldCharType="begin"/>
        </w:r>
        <w:r w:rsidR="00563BD8">
          <w:rPr>
            <w:i w:val="0"/>
            <w:iCs w:val="0"/>
            <w:sz w:val="28"/>
            <w:szCs w:val="28"/>
          </w:rPr>
          <w:instrText xml:space="preserve"> PAGEREF _Toc12517 \h </w:instrText>
        </w:r>
        <w:r>
          <w:rPr>
            <w:i w:val="0"/>
            <w:iCs w:val="0"/>
            <w:sz w:val="28"/>
            <w:szCs w:val="28"/>
          </w:rPr>
        </w:r>
        <w:r>
          <w:rPr>
            <w:i w:val="0"/>
            <w:iCs w:val="0"/>
            <w:sz w:val="28"/>
            <w:szCs w:val="28"/>
          </w:rPr>
          <w:fldChar w:fldCharType="separate"/>
        </w:r>
        <w:r w:rsidR="00563BD8">
          <w:rPr>
            <w:i w:val="0"/>
            <w:iCs w:val="0"/>
            <w:sz w:val="28"/>
            <w:szCs w:val="28"/>
          </w:rPr>
          <w:t>18</w:t>
        </w:r>
        <w:r>
          <w:rPr>
            <w:i w:val="0"/>
            <w:iCs w:val="0"/>
            <w:sz w:val="28"/>
            <w:szCs w:val="28"/>
          </w:rPr>
          <w:fldChar w:fldCharType="end"/>
        </w:r>
      </w:hyperlink>
    </w:p>
    <w:p w:rsidR="00282123" w:rsidRDefault="00282123">
      <w:pPr>
        <w:pStyle w:val="10"/>
        <w:tabs>
          <w:tab w:val="clear" w:pos="8891"/>
          <w:tab w:val="right" w:leader="dot" w:pos="8901"/>
        </w:tabs>
      </w:pPr>
      <w:hyperlink w:anchor="_Toc3197" w:history="1">
        <w:r w:rsidR="00563BD8">
          <w:rPr>
            <w:rFonts w:hint="eastAsia"/>
            <w:kern w:val="44"/>
            <w:szCs w:val="52"/>
          </w:rPr>
          <w:t>第四部分、资产评估报告附件</w:t>
        </w:r>
        <w:r w:rsidR="00563BD8">
          <w:tab/>
        </w:r>
        <w:r>
          <w:fldChar w:fldCharType="begin"/>
        </w:r>
        <w:r w:rsidR="00563BD8">
          <w:instrText xml:space="preserve"> PAGEREF _Toc3197 \h </w:instrText>
        </w:r>
        <w:r>
          <w:fldChar w:fldCharType="separate"/>
        </w:r>
        <w:r w:rsidR="00563BD8">
          <w:t>22</w:t>
        </w:r>
        <w:r>
          <w:fldChar w:fldCharType="end"/>
        </w:r>
      </w:hyperlink>
    </w:p>
    <w:p w:rsidR="00282123" w:rsidRDefault="00282123" w:rsidP="008B5CD1">
      <w:pPr>
        <w:tabs>
          <w:tab w:val="right" w:leader="dot" w:pos="8891"/>
        </w:tabs>
        <w:adjustRightInd w:val="0"/>
        <w:snapToGrid w:val="0"/>
        <w:spacing w:line="360" w:lineRule="auto"/>
        <w:ind w:firstLineChars="175" w:firstLine="368"/>
        <w:jc w:val="left"/>
        <w:rPr>
          <w:rFonts w:ascii="宋体" w:hAnsi="宋体"/>
          <w:i/>
          <w:smallCaps/>
          <w:sz w:val="28"/>
          <w:szCs w:val="20"/>
        </w:rPr>
        <w:sectPr w:rsidR="00282123">
          <w:headerReference w:type="default" r:id="rId13"/>
          <w:footerReference w:type="default" r:id="rId14"/>
          <w:footerReference w:type="first" r:id="rId15"/>
          <w:type w:val="nextColumn"/>
          <w:pgSz w:w="11906" w:h="16838"/>
          <w:pgMar w:top="1440" w:right="1474" w:bottom="1440" w:left="1531" w:header="936" w:footer="936" w:gutter="0"/>
          <w:cols w:space="720"/>
          <w:docGrid w:type="linesAndChars" w:linePitch="312"/>
        </w:sectPr>
      </w:pPr>
      <w:r>
        <w:rPr>
          <w:rFonts w:ascii="宋体" w:hAnsi="宋体" w:cs="宋体"/>
          <w:szCs w:val="24"/>
        </w:rPr>
        <w:fldChar w:fldCharType="end"/>
      </w:r>
    </w:p>
    <w:p w:rsidR="00282123" w:rsidRDefault="00282123">
      <w:pPr>
        <w:tabs>
          <w:tab w:val="left" w:pos="6510"/>
        </w:tabs>
        <w:rPr>
          <w:rFonts w:ascii="宋体" w:hAnsi="宋体"/>
          <w:sz w:val="28"/>
          <w:szCs w:val="20"/>
        </w:rPr>
      </w:pPr>
    </w:p>
    <w:p w:rsidR="00282123" w:rsidRDefault="00282123">
      <w:pPr>
        <w:keepNext/>
        <w:keepLines/>
        <w:adjustRightInd w:val="0"/>
        <w:snapToGrid w:val="0"/>
        <w:spacing w:line="360" w:lineRule="auto"/>
        <w:jc w:val="center"/>
        <w:outlineLvl w:val="0"/>
        <w:rPr>
          <w:rFonts w:ascii="宋体" w:hAnsi="宋体"/>
          <w:b/>
          <w:kern w:val="44"/>
          <w:sz w:val="52"/>
          <w:szCs w:val="52"/>
        </w:rPr>
      </w:pPr>
      <w:bookmarkStart w:id="12" w:name="_Toc210969798"/>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563BD8">
      <w:pPr>
        <w:keepNext/>
        <w:keepLines/>
        <w:adjustRightInd w:val="0"/>
        <w:snapToGrid w:val="0"/>
        <w:spacing w:line="360" w:lineRule="auto"/>
        <w:jc w:val="center"/>
        <w:outlineLvl w:val="0"/>
        <w:rPr>
          <w:rFonts w:ascii="宋体" w:hAnsi="宋体"/>
          <w:b/>
          <w:kern w:val="44"/>
          <w:sz w:val="52"/>
          <w:szCs w:val="52"/>
        </w:rPr>
      </w:pPr>
      <w:bookmarkStart w:id="13" w:name="_Toc17641"/>
      <w:r>
        <w:rPr>
          <w:rFonts w:ascii="宋体" w:hAnsi="宋体" w:hint="eastAsia"/>
          <w:b/>
          <w:kern w:val="44"/>
          <w:sz w:val="52"/>
          <w:szCs w:val="52"/>
        </w:rPr>
        <w:t>第一部分、声明</w:t>
      </w:r>
      <w:bookmarkEnd w:id="12"/>
      <w:bookmarkEnd w:id="13"/>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282123">
      <w:pPr>
        <w:jc w:val="center"/>
        <w:rPr>
          <w:rFonts w:ascii="宋体" w:hAnsi="宋体"/>
          <w:sz w:val="36"/>
          <w:szCs w:val="36"/>
        </w:rPr>
      </w:pPr>
    </w:p>
    <w:p w:rsidR="00282123" w:rsidRDefault="00563BD8">
      <w:pPr>
        <w:jc w:val="center"/>
        <w:rPr>
          <w:rFonts w:ascii="宋体" w:hAnsi="宋体"/>
          <w:w w:val="150"/>
          <w:sz w:val="36"/>
          <w:szCs w:val="20"/>
        </w:rPr>
      </w:pPr>
      <w:r>
        <w:rPr>
          <w:rFonts w:ascii="宋体" w:hAnsi="宋体" w:hint="eastAsia"/>
          <w:sz w:val="36"/>
          <w:szCs w:val="36"/>
        </w:rPr>
        <w:lastRenderedPageBreak/>
        <w:t>资产评估师声明</w:t>
      </w:r>
    </w:p>
    <w:p w:rsidR="00282123" w:rsidRDefault="00282123">
      <w:pPr>
        <w:snapToGrid w:val="0"/>
        <w:spacing w:line="360" w:lineRule="auto"/>
        <w:rPr>
          <w:rFonts w:ascii="宋体" w:hAnsi="宋体"/>
          <w:sz w:val="24"/>
          <w:szCs w:val="20"/>
        </w:rPr>
      </w:pP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一、本资产评估报告依据财政部发布的资产评估基本准则和中国资产评估协会发布的资产评估执业准则和职业道德准则编制。</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二、</w:t>
      </w:r>
      <w:r>
        <w:rPr>
          <w:rFonts w:ascii="宋体" w:hAnsi="宋体" w:hint="eastAsia"/>
          <w:sz w:val="24"/>
          <w:szCs w:val="20"/>
        </w:rPr>
        <w:t>委托方</w:t>
      </w:r>
      <w:r>
        <w:rPr>
          <w:rFonts w:ascii="宋体" w:hAnsi="宋体" w:hint="eastAsia"/>
          <w:sz w:val="24"/>
          <w:szCs w:val="20"/>
        </w:rPr>
        <w:t>或者其他资产评估报告使用人应当按照法律、行政法规规定及本资产评估报告载明的使用范围使用资产评估报告；</w:t>
      </w:r>
      <w:r>
        <w:rPr>
          <w:rFonts w:ascii="宋体" w:hAnsi="宋体" w:hint="eastAsia"/>
          <w:sz w:val="24"/>
          <w:szCs w:val="20"/>
        </w:rPr>
        <w:t>委托方</w:t>
      </w:r>
      <w:r>
        <w:rPr>
          <w:rFonts w:ascii="宋体" w:hAnsi="宋体" w:hint="eastAsia"/>
          <w:sz w:val="24"/>
          <w:szCs w:val="20"/>
        </w:rPr>
        <w:t>或者其他资产评估报告使用人违反前述规定使用资产评估报告的，本资产评估机构及资产评估专业人员不承担责任。</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三、本资产评估报告仅供</w:t>
      </w:r>
      <w:r>
        <w:rPr>
          <w:rFonts w:ascii="宋体" w:hAnsi="宋体" w:hint="eastAsia"/>
          <w:sz w:val="24"/>
          <w:szCs w:val="20"/>
        </w:rPr>
        <w:t>委托方</w:t>
      </w:r>
      <w:r>
        <w:rPr>
          <w:rFonts w:ascii="宋体" w:hAnsi="宋体" w:hint="eastAsia"/>
          <w:sz w:val="24"/>
          <w:szCs w:val="20"/>
        </w:rPr>
        <w:t>、资产评估委托合同中约定的其他资产评估报告使用人和法律、行政法规规定的资产评估报告使用人使用；除此之外，其他任何机构和个人不能成为本资产评估报告的使用人。</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四、本资产评估机构及资产评估专业人员提示资产评估报告使用人应当正确理解评估结论，评估结论不等同于评估对象可实现价格，评</w:t>
      </w:r>
      <w:r>
        <w:rPr>
          <w:rFonts w:ascii="宋体" w:hAnsi="宋体" w:hint="eastAsia"/>
          <w:sz w:val="24"/>
          <w:szCs w:val="20"/>
        </w:rPr>
        <w:t>估结论不应当被认为是对评估对象可实现价格的保证。</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五、本资产评估机构及资产评估师遵守法律、行政法规和资产评估准则，坚持独立、客观和公正的原则，并对所出具的资产评估报告依法承担责任。</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六、资产评估报告使用人应当关注评估结论成立的假设前提、资产评估报告特别事项说明和使用限制。</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七、评估对象涉及的资产单由</w:t>
      </w:r>
      <w:r>
        <w:rPr>
          <w:rFonts w:ascii="宋体" w:hAnsi="宋体" w:hint="eastAsia"/>
          <w:sz w:val="24"/>
          <w:szCs w:val="20"/>
        </w:rPr>
        <w:t>委托方</w:t>
      </w:r>
      <w:r>
        <w:rPr>
          <w:rFonts w:ascii="宋体" w:hAnsi="宋体" w:hint="eastAsia"/>
          <w:sz w:val="24"/>
          <w:szCs w:val="20"/>
        </w:rPr>
        <w:t>申报并经其采用签名、盖章或法律允许的其他方式确认；</w:t>
      </w:r>
      <w:r>
        <w:rPr>
          <w:rFonts w:ascii="宋体" w:hAnsi="宋体" w:hint="eastAsia"/>
          <w:sz w:val="24"/>
          <w:szCs w:val="20"/>
        </w:rPr>
        <w:t>委托方</w:t>
      </w:r>
      <w:r>
        <w:rPr>
          <w:rFonts w:ascii="宋体" w:hAnsi="宋体" w:hint="eastAsia"/>
          <w:sz w:val="24"/>
          <w:szCs w:val="20"/>
        </w:rPr>
        <w:t>和其他相关当事人依法对其提供资料的真实性、完整性、合法性负责。</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八、本资产评估机构及资产评估师与资产评估报告中的评估对象没有现存或者预期的利益关系；与</w:t>
      </w:r>
      <w:r>
        <w:rPr>
          <w:rFonts w:ascii="宋体" w:hAnsi="宋体" w:hint="eastAsia"/>
          <w:sz w:val="24"/>
          <w:szCs w:val="20"/>
        </w:rPr>
        <w:t>相关当事人没有现存或者预期的利益关系，对相关当事人不存在偏见。</w:t>
      </w:r>
    </w:p>
    <w:p w:rsidR="00282123" w:rsidRDefault="00563BD8">
      <w:pPr>
        <w:snapToGrid w:val="0"/>
        <w:spacing w:line="520" w:lineRule="exact"/>
        <w:ind w:firstLineChars="200" w:firstLine="480"/>
        <w:rPr>
          <w:rFonts w:ascii="宋体" w:hAnsi="宋体"/>
          <w:sz w:val="24"/>
          <w:szCs w:val="20"/>
        </w:rPr>
      </w:pPr>
      <w:r>
        <w:rPr>
          <w:rFonts w:ascii="宋体" w:hAnsi="宋体" w:hint="eastAsia"/>
          <w:sz w:val="24"/>
          <w:szCs w:val="20"/>
        </w:rPr>
        <w:t>九、资产评估师已经对资产评估报告中的评估对象及其所涉及资产进行现场调查；已经对评估对象及其所涉及资产的法律权属状况给予必要的关注，对评估对象及其所涉及资产的法律权属资料进行了查验，对已经发现的问题进行了如实披露，并且</w:t>
      </w:r>
      <w:r>
        <w:rPr>
          <w:rFonts w:ascii="宋体" w:hAnsi="宋体" w:hint="eastAsia"/>
          <w:sz w:val="24"/>
          <w:szCs w:val="20"/>
        </w:rPr>
        <w:lastRenderedPageBreak/>
        <w:t>已提请</w:t>
      </w:r>
      <w:r>
        <w:rPr>
          <w:rFonts w:ascii="宋体" w:hAnsi="宋体" w:hint="eastAsia"/>
          <w:sz w:val="24"/>
          <w:szCs w:val="20"/>
        </w:rPr>
        <w:t>委托方</w:t>
      </w:r>
      <w:r>
        <w:rPr>
          <w:rFonts w:ascii="宋体" w:hAnsi="宋体" w:hint="eastAsia"/>
          <w:sz w:val="24"/>
          <w:szCs w:val="20"/>
        </w:rPr>
        <w:t>及其他相关当事人完善产权以满足出具资产评估报告的要求。</w:t>
      </w:r>
    </w:p>
    <w:p w:rsidR="00282123" w:rsidRDefault="00563BD8">
      <w:pPr>
        <w:snapToGrid w:val="0"/>
        <w:spacing w:line="520" w:lineRule="exact"/>
        <w:ind w:firstLineChars="200" w:firstLine="488"/>
        <w:rPr>
          <w:rFonts w:ascii="宋体" w:hAnsi="宋体"/>
          <w:spacing w:val="2"/>
          <w:sz w:val="24"/>
          <w:szCs w:val="20"/>
        </w:rPr>
      </w:pPr>
      <w:r>
        <w:rPr>
          <w:rFonts w:ascii="宋体" w:hAnsi="宋体" w:hint="eastAsia"/>
          <w:spacing w:val="2"/>
          <w:sz w:val="24"/>
          <w:szCs w:val="20"/>
        </w:rPr>
        <w:t>十、</w:t>
      </w:r>
      <w:r>
        <w:rPr>
          <w:rFonts w:ascii="宋体" w:hAnsi="宋体" w:hint="eastAsia"/>
          <w:spacing w:val="2"/>
          <w:sz w:val="24"/>
          <w:szCs w:val="20"/>
        </w:rPr>
        <w:t>本资产评估报告是根据人民法院及相关当事人提供的资料和信息出具，资料和信息的真实性、完整性、合法性对评估结论构成影响，依据同一标的资产的其他资料或者信息可能得出与本报告不一致的评估结论</w:t>
      </w:r>
    </w:p>
    <w:p w:rsidR="00282123" w:rsidRDefault="00563BD8">
      <w:pPr>
        <w:snapToGrid w:val="0"/>
        <w:spacing w:line="520" w:lineRule="exact"/>
        <w:ind w:firstLineChars="200" w:firstLine="488"/>
        <w:rPr>
          <w:rFonts w:ascii="宋体" w:hAnsi="宋体"/>
          <w:snapToGrid w:val="0"/>
          <w:sz w:val="24"/>
          <w:szCs w:val="20"/>
        </w:rPr>
      </w:pPr>
      <w:r>
        <w:rPr>
          <w:rFonts w:ascii="宋体" w:hAnsi="宋体" w:hint="eastAsia"/>
          <w:spacing w:val="2"/>
          <w:sz w:val="24"/>
          <w:szCs w:val="20"/>
        </w:rPr>
        <w:t>十</w:t>
      </w:r>
      <w:r>
        <w:rPr>
          <w:rFonts w:ascii="宋体" w:hAnsi="宋体" w:hint="eastAsia"/>
          <w:spacing w:val="2"/>
          <w:sz w:val="24"/>
          <w:szCs w:val="20"/>
        </w:rPr>
        <w:t>一</w:t>
      </w:r>
      <w:r>
        <w:rPr>
          <w:rFonts w:ascii="宋体" w:hAnsi="宋体" w:hint="eastAsia"/>
          <w:spacing w:val="2"/>
          <w:sz w:val="24"/>
          <w:szCs w:val="20"/>
        </w:rPr>
        <w:t>、未经</w:t>
      </w:r>
      <w:r>
        <w:rPr>
          <w:rFonts w:ascii="宋体" w:hAnsi="宋体" w:hint="eastAsia"/>
          <w:spacing w:val="2"/>
          <w:sz w:val="24"/>
          <w:szCs w:val="20"/>
        </w:rPr>
        <w:t>委托方</w:t>
      </w:r>
      <w:r>
        <w:rPr>
          <w:rFonts w:ascii="宋体" w:hAnsi="宋体" w:hint="eastAsia"/>
          <w:spacing w:val="2"/>
          <w:sz w:val="24"/>
          <w:szCs w:val="20"/>
        </w:rPr>
        <w:t>书面许可，资产评估机构及其资产评估专业人员不得将资产评估报告的内容向第三方提供或者公开，法律、行政法规另有规定的除外。</w:t>
      </w:r>
      <w:r>
        <w:rPr>
          <w:rFonts w:ascii="宋体" w:hAnsi="宋体" w:hint="eastAsia"/>
          <w:snapToGrid w:val="0"/>
          <w:sz w:val="24"/>
          <w:szCs w:val="20"/>
        </w:rPr>
        <w:t>未征得资产评估机构同意，资产评估报告的内容不得被摘抄、引用或者披露于公开媒体，法律、行政法规规定以及相关当事人另有约定的除外。</w:t>
      </w: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563BD8">
      <w:pPr>
        <w:tabs>
          <w:tab w:val="left" w:pos="5250"/>
        </w:tabs>
        <w:rPr>
          <w:rFonts w:ascii="宋体" w:hAnsi="宋体"/>
          <w:sz w:val="28"/>
          <w:szCs w:val="20"/>
        </w:rPr>
      </w:pPr>
      <w:r>
        <w:rPr>
          <w:rFonts w:ascii="宋体" w:hAnsi="宋体"/>
          <w:sz w:val="28"/>
          <w:szCs w:val="20"/>
        </w:rPr>
        <w:tab/>
      </w:r>
    </w:p>
    <w:p w:rsidR="00282123" w:rsidRDefault="00282123">
      <w:pPr>
        <w:rPr>
          <w:rFonts w:ascii="宋体" w:hAnsi="宋体"/>
          <w:sz w:val="28"/>
          <w:szCs w:val="20"/>
        </w:rPr>
      </w:pPr>
    </w:p>
    <w:p w:rsidR="00282123" w:rsidRDefault="00282123">
      <w:pPr>
        <w:rPr>
          <w:rFonts w:ascii="宋体" w:hAnsi="宋体"/>
          <w:sz w:val="28"/>
          <w:szCs w:val="20"/>
        </w:rPr>
      </w:pPr>
    </w:p>
    <w:p w:rsidR="00282123" w:rsidRDefault="00282123">
      <w:pPr>
        <w:tabs>
          <w:tab w:val="left" w:pos="6510"/>
        </w:tabs>
        <w:rPr>
          <w:rFonts w:ascii="宋体" w:hAnsi="宋体"/>
          <w:sz w:val="28"/>
          <w:szCs w:val="20"/>
        </w:rPr>
      </w:pPr>
    </w:p>
    <w:p w:rsidR="00282123" w:rsidRDefault="00282123">
      <w:pPr>
        <w:keepNext/>
        <w:keepLines/>
        <w:adjustRightInd w:val="0"/>
        <w:snapToGrid w:val="0"/>
        <w:spacing w:line="360" w:lineRule="auto"/>
        <w:jc w:val="center"/>
        <w:outlineLvl w:val="0"/>
        <w:rPr>
          <w:rFonts w:ascii="宋体" w:hAnsi="宋体"/>
          <w:b/>
          <w:kern w:val="44"/>
          <w:sz w:val="52"/>
          <w:szCs w:val="52"/>
        </w:rPr>
      </w:pPr>
      <w:bookmarkStart w:id="14" w:name="_Toc210969802"/>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563BD8">
      <w:pPr>
        <w:keepNext/>
        <w:keepLines/>
        <w:adjustRightInd w:val="0"/>
        <w:snapToGrid w:val="0"/>
        <w:spacing w:line="360" w:lineRule="auto"/>
        <w:jc w:val="center"/>
        <w:outlineLvl w:val="0"/>
        <w:rPr>
          <w:rFonts w:ascii="宋体" w:hAnsi="宋体"/>
          <w:b/>
          <w:kern w:val="44"/>
          <w:sz w:val="52"/>
          <w:szCs w:val="52"/>
        </w:rPr>
      </w:pPr>
      <w:bookmarkStart w:id="15" w:name="_Toc26587"/>
      <w:r>
        <w:rPr>
          <w:rFonts w:ascii="宋体" w:hAnsi="宋体" w:hint="eastAsia"/>
          <w:b/>
          <w:kern w:val="44"/>
          <w:sz w:val="52"/>
          <w:szCs w:val="52"/>
        </w:rPr>
        <w:t>第二部分、资产评估报告摘要</w:t>
      </w:r>
      <w:bookmarkEnd w:id="14"/>
      <w:bookmarkEnd w:id="15"/>
    </w:p>
    <w:p w:rsidR="00282123" w:rsidRDefault="00282123">
      <w:pPr>
        <w:spacing w:line="60" w:lineRule="auto"/>
        <w:jc w:val="center"/>
        <w:rPr>
          <w:rFonts w:ascii="宋体" w:hAnsi="宋体" w:cs="黑体"/>
          <w:b/>
          <w:sz w:val="36"/>
          <w:szCs w:val="36"/>
        </w:rPr>
      </w:pPr>
      <w:bookmarkStart w:id="16" w:name="_Toc210970009"/>
      <w:bookmarkStart w:id="17" w:name="_Toc210969804"/>
      <w:bookmarkStart w:id="18" w:name="_Toc214894758"/>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36"/>
          <w:szCs w:val="36"/>
        </w:rPr>
      </w:pPr>
    </w:p>
    <w:p w:rsidR="00282123" w:rsidRDefault="00282123">
      <w:pPr>
        <w:spacing w:line="60" w:lineRule="auto"/>
        <w:jc w:val="center"/>
        <w:rPr>
          <w:rFonts w:ascii="宋体" w:hAnsi="宋体" w:cs="黑体"/>
          <w:b/>
          <w:sz w:val="20"/>
          <w:szCs w:val="20"/>
        </w:rPr>
      </w:pPr>
    </w:p>
    <w:bookmarkEnd w:id="16"/>
    <w:bookmarkEnd w:id="17"/>
    <w:bookmarkEnd w:id="18"/>
    <w:p w:rsidR="00282123" w:rsidRDefault="00563BD8">
      <w:pPr>
        <w:spacing w:line="60" w:lineRule="auto"/>
        <w:jc w:val="center"/>
        <w:rPr>
          <w:rFonts w:ascii="宋体" w:hAnsi="宋体" w:cs="黑体"/>
          <w:b/>
          <w:sz w:val="40"/>
          <w:szCs w:val="40"/>
        </w:rPr>
      </w:pPr>
      <w:r>
        <w:rPr>
          <w:rFonts w:ascii="宋体" w:hAnsi="宋体" w:cs="黑体" w:hint="eastAsia"/>
          <w:b/>
          <w:sz w:val="40"/>
          <w:szCs w:val="40"/>
        </w:rPr>
        <w:t>太原市中级人民法院拟司法处置所涉及</w:t>
      </w:r>
    </w:p>
    <w:p w:rsidR="00282123" w:rsidRDefault="00563BD8">
      <w:pPr>
        <w:spacing w:line="60" w:lineRule="auto"/>
        <w:jc w:val="center"/>
        <w:rPr>
          <w:rFonts w:ascii="宋体" w:hAnsi="宋体" w:cs="黑体"/>
          <w:b/>
          <w:sz w:val="36"/>
          <w:szCs w:val="36"/>
        </w:rPr>
      </w:pPr>
      <w:r>
        <w:rPr>
          <w:rFonts w:ascii="宋体" w:hAnsi="宋体" w:cs="黑体" w:hint="eastAsia"/>
          <w:b/>
          <w:sz w:val="40"/>
          <w:szCs w:val="40"/>
        </w:rPr>
        <w:t>位于太原市五龙口街</w:t>
      </w:r>
      <w:r>
        <w:rPr>
          <w:rFonts w:ascii="宋体" w:hAnsi="宋体" w:cs="黑体" w:hint="eastAsia"/>
          <w:b/>
          <w:sz w:val="40"/>
          <w:szCs w:val="40"/>
        </w:rPr>
        <w:t>99</w:t>
      </w:r>
      <w:r>
        <w:rPr>
          <w:rFonts w:ascii="宋体" w:hAnsi="宋体" w:cs="黑体" w:hint="eastAsia"/>
          <w:b/>
          <w:sz w:val="40"/>
          <w:szCs w:val="40"/>
        </w:rPr>
        <w:t>号特别特花园车位使用权评估项目</w:t>
      </w:r>
    </w:p>
    <w:p w:rsidR="00282123" w:rsidRDefault="00563BD8">
      <w:pPr>
        <w:spacing w:line="60" w:lineRule="auto"/>
        <w:jc w:val="center"/>
        <w:rPr>
          <w:rFonts w:ascii="宋体" w:hAnsi="宋体" w:cs="黑体"/>
          <w:b/>
          <w:sz w:val="36"/>
          <w:szCs w:val="36"/>
        </w:rPr>
      </w:pPr>
      <w:r>
        <w:rPr>
          <w:rFonts w:ascii="宋体" w:hAnsi="宋体" w:cs="黑体" w:hint="eastAsia"/>
          <w:b/>
          <w:sz w:val="36"/>
          <w:szCs w:val="36"/>
        </w:rPr>
        <w:t>资产评估报告</w:t>
      </w:r>
      <w:r>
        <w:rPr>
          <w:rFonts w:ascii="宋体" w:hAnsi="宋体" w:cs="黑体" w:hint="eastAsia"/>
          <w:b/>
          <w:sz w:val="36"/>
          <w:szCs w:val="36"/>
        </w:rPr>
        <w:t>摘要</w:t>
      </w:r>
    </w:p>
    <w:p w:rsidR="00282123" w:rsidRDefault="00282123">
      <w:pPr>
        <w:spacing w:line="60" w:lineRule="auto"/>
        <w:rPr>
          <w:rFonts w:ascii="宋体" w:hAnsi="宋体"/>
          <w:sz w:val="24"/>
          <w:szCs w:val="20"/>
        </w:rPr>
      </w:pPr>
      <w:r>
        <w:rPr>
          <w:rFonts w:ascii="宋体" w:hAnsi="宋体"/>
          <w:sz w:val="24"/>
          <w:szCs w:val="20"/>
        </w:rPr>
        <w:pict>
          <v:shapetype id="_x0000_t202" coordsize="21600,21600" o:spt="202" path="m,l,21600r21600,l21600,xe">
            <v:stroke joinstyle="miter"/>
            <v:path gradientshapeok="t" o:connecttype="rect"/>
          </v:shapetype>
          <v:shape id="_x0000_s1026" type="#_x0000_t202" style="position:absolute;left:0;text-align:left;margin-left:0;margin-top:29.05pt;width:400.4pt;height:78.15pt;z-index:251660288;mso-position-horizontal:center" o:gfxdata="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LicVgtQAAAAHAQAADwAAAAAA&#10;AAABACAAAAAiAAAAZHJzL2Rvd25yZXYueG1sUEsBAhQAFAAAAAgAh07iQA+ILchQAgAAoAQAAA4A&#10;AAAAAAAAAQAgAAAAIwEAAGRycy9lMm9Eb2MueG1sUEsFBgAAAAAGAAYAWQEAAOUFAAAAAA==&#10;" fillcolor="#eeece1">
            <v:textbox style="mso-fit-shape-to-text:t">
              <w:txbxContent>
                <w:p w:rsidR="00282123" w:rsidRDefault="00563BD8">
                  <w:pPr>
                    <w:tabs>
                      <w:tab w:val="left" w:pos="0"/>
                      <w:tab w:val="left" w:pos="840"/>
                      <w:tab w:val="left" w:pos="1050"/>
                    </w:tabs>
                    <w:adjustRightInd w:val="0"/>
                    <w:snapToGrid w:val="0"/>
                    <w:spacing w:line="360" w:lineRule="auto"/>
                    <w:jc w:val="center"/>
                    <w:rPr>
                      <w:rFonts w:ascii="宋体"/>
                      <w:sz w:val="24"/>
                    </w:rPr>
                  </w:pPr>
                  <w:r>
                    <w:rPr>
                      <w:rFonts w:ascii="宋体" w:hint="eastAsia"/>
                      <w:sz w:val="24"/>
                    </w:rPr>
                    <w:t>重要提示</w:t>
                  </w:r>
                </w:p>
                <w:p w:rsidR="00282123" w:rsidRDefault="00563BD8">
                  <w:pPr>
                    <w:tabs>
                      <w:tab w:val="left" w:pos="0"/>
                      <w:tab w:val="left" w:pos="840"/>
                      <w:tab w:val="left" w:pos="1050"/>
                    </w:tabs>
                    <w:adjustRightInd w:val="0"/>
                    <w:snapToGrid w:val="0"/>
                    <w:spacing w:line="360" w:lineRule="auto"/>
                    <w:ind w:firstLine="523"/>
                    <w:jc w:val="left"/>
                  </w:pPr>
                  <w:r>
                    <w:rPr>
                      <w:rFonts w:ascii="宋体" w:hint="eastAsia"/>
                      <w:sz w:val="24"/>
                    </w:rPr>
                    <w:t>本摘要内容摘自资产评估报告正文，欲了解本评估业务的详细情况和正确理解评估结论，应当阅读资产评估报告正文。</w:t>
                  </w:r>
                </w:p>
              </w:txbxContent>
            </v:textbox>
            <w10:wrap type="topAndBottom"/>
          </v:shape>
        </w:pict>
      </w:r>
    </w:p>
    <w:p w:rsidR="00282123" w:rsidRDefault="00563BD8">
      <w:pPr>
        <w:spacing w:line="520" w:lineRule="exact"/>
        <w:ind w:firstLineChars="200" w:firstLine="480"/>
        <w:rPr>
          <w:rFonts w:ascii="宋体" w:hAnsi="宋体"/>
          <w:b/>
          <w:bCs/>
          <w:sz w:val="24"/>
        </w:rPr>
      </w:pPr>
      <w:r>
        <w:rPr>
          <w:rFonts w:ascii="宋体" w:hAnsi="宋体" w:hint="eastAsia"/>
          <w:sz w:val="24"/>
          <w:szCs w:val="20"/>
        </w:rPr>
        <w:t>山西同兴中资产评估有限公司接受</w:t>
      </w:r>
      <w:r>
        <w:rPr>
          <w:rFonts w:ascii="宋体" w:hAnsi="宋体" w:hint="eastAsia"/>
          <w:sz w:val="24"/>
          <w:szCs w:val="20"/>
        </w:rPr>
        <w:t>贵单位</w:t>
      </w:r>
      <w:r>
        <w:rPr>
          <w:rFonts w:ascii="宋体" w:hAnsi="宋体" w:hint="eastAsia"/>
          <w:sz w:val="24"/>
          <w:szCs w:val="20"/>
        </w:rPr>
        <w:t>委托，按照法律、行政法规和资产评估准则的规定，坚持独立、客观和公正的原则，采用</w:t>
      </w:r>
      <w:r>
        <w:rPr>
          <w:rFonts w:ascii="宋体" w:hAnsi="宋体" w:hint="eastAsia"/>
          <w:sz w:val="24"/>
          <w:szCs w:val="20"/>
        </w:rPr>
        <w:t>市场比较法</w:t>
      </w:r>
      <w:r>
        <w:rPr>
          <w:rFonts w:ascii="宋体" w:hAnsi="宋体" w:hint="eastAsia"/>
          <w:sz w:val="24"/>
          <w:szCs w:val="20"/>
        </w:rPr>
        <w:t>并</w:t>
      </w:r>
      <w:r>
        <w:rPr>
          <w:rFonts w:ascii="宋体" w:hAnsi="宋体" w:hint="eastAsia"/>
          <w:sz w:val="24"/>
          <w:szCs w:val="20"/>
        </w:rPr>
        <w:t>按照必要的评估程序，对</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w:t>
      </w:r>
      <w:r>
        <w:rPr>
          <w:rFonts w:ascii="宋体" w:hAnsi="宋体" w:hint="eastAsia"/>
          <w:sz w:val="24"/>
          <w:szCs w:val="20"/>
        </w:rPr>
        <w:t>处置</w:t>
      </w:r>
      <w:r>
        <w:rPr>
          <w:rFonts w:ascii="宋体" w:hAnsi="宋体" w:hint="eastAsia"/>
          <w:sz w:val="24"/>
          <w:szCs w:val="20"/>
        </w:rPr>
        <w:t>所涉及位于太原市五龙口街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在</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的市场价值进行了评估。现将资产评估报告摘要如下：</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一、评估目的：由于</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司法处置</w:t>
      </w:r>
      <w:r>
        <w:rPr>
          <w:rFonts w:ascii="宋体" w:hAnsi="宋体" w:hint="eastAsia"/>
          <w:sz w:val="24"/>
          <w:szCs w:val="20"/>
        </w:rPr>
        <w:t>的需要，特委托我公司对</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进行评估，本次评估目的为确定委估资产在评估基准日</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的市场价值，为其拟</w:t>
      </w:r>
      <w:r>
        <w:rPr>
          <w:rFonts w:ascii="宋体" w:hAnsi="宋体" w:hint="eastAsia"/>
          <w:sz w:val="24"/>
          <w:szCs w:val="20"/>
        </w:rPr>
        <w:t>司法处置</w:t>
      </w:r>
      <w:r>
        <w:rPr>
          <w:rFonts w:ascii="宋体" w:hAnsi="宋体" w:hint="eastAsia"/>
          <w:sz w:val="24"/>
          <w:szCs w:val="20"/>
        </w:rPr>
        <w:t>之经济行为提供价值参考。</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二、评估对象和评估范围：评估对象为</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w:t>
      </w:r>
      <w:r>
        <w:rPr>
          <w:rFonts w:ascii="宋体" w:hAnsi="宋体" w:hint="eastAsia"/>
          <w:sz w:val="24"/>
          <w:szCs w:val="20"/>
        </w:rPr>
        <w:t>处置</w:t>
      </w:r>
      <w:r>
        <w:rPr>
          <w:rFonts w:ascii="宋体" w:hAnsi="宋体" w:hint="eastAsia"/>
          <w:sz w:val="24"/>
          <w:szCs w:val="20"/>
        </w:rPr>
        <w:t>所涉及</w:t>
      </w:r>
      <w:r>
        <w:rPr>
          <w:rFonts w:ascii="宋体" w:hAnsi="宋体" w:hint="eastAsia"/>
          <w:sz w:val="24"/>
          <w:szCs w:val="20"/>
        </w:rPr>
        <w:t>的</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；评估范围为</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号特别特花园地下车库共计</w:t>
      </w:r>
      <w:r>
        <w:rPr>
          <w:rFonts w:ascii="宋体" w:hAnsi="宋体" w:hint="eastAsia"/>
          <w:sz w:val="24"/>
          <w:szCs w:val="20"/>
        </w:rPr>
        <w:t>55</w:t>
      </w:r>
      <w:r>
        <w:rPr>
          <w:rFonts w:ascii="宋体" w:hAnsi="宋体" w:hint="eastAsia"/>
          <w:sz w:val="24"/>
          <w:szCs w:val="20"/>
        </w:rPr>
        <w:t>个车位的使用权，其中负一层</w:t>
      </w:r>
      <w:r>
        <w:rPr>
          <w:rFonts w:ascii="宋体" w:hAnsi="宋体" w:hint="eastAsia"/>
          <w:sz w:val="24"/>
          <w:szCs w:val="20"/>
        </w:rPr>
        <w:t>39</w:t>
      </w:r>
      <w:r>
        <w:rPr>
          <w:rFonts w:ascii="宋体" w:hAnsi="宋体" w:hint="eastAsia"/>
          <w:sz w:val="24"/>
          <w:szCs w:val="20"/>
        </w:rPr>
        <w:t>个</w:t>
      </w:r>
      <w:r>
        <w:rPr>
          <w:rFonts w:ascii="宋体" w:hAnsi="宋体" w:hint="eastAsia"/>
          <w:sz w:val="24"/>
          <w:szCs w:val="20"/>
        </w:rPr>
        <w:t>车位的使用权，负二层</w:t>
      </w:r>
      <w:r>
        <w:rPr>
          <w:rFonts w:ascii="宋体" w:hAnsi="宋体" w:hint="eastAsia"/>
          <w:sz w:val="24"/>
          <w:szCs w:val="20"/>
        </w:rPr>
        <w:t>16</w:t>
      </w:r>
      <w:r>
        <w:rPr>
          <w:rFonts w:ascii="宋体" w:hAnsi="宋体" w:hint="eastAsia"/>
          <w:sz w:val="24"/>
          <w:szCs w:val="20"/>
        </w:rPr>
        <w:t>个车位的使用权，</w:t>
      </w:r>
      <w:r>
        <w:rPr>
          <w:rFonts w:ascii="宋体" w:hAnsi="宋体" w:hint="eastAsia"/>
          <w:sz w:val="24"/>
          <w:szCs w:val="20"/>
        </w:rPr>
        <w:t>具体</w:t>
      </w:r>
      <w:r>
        <w:rPr>
          <w:rFonts w:ascii="宋体" w:hAnsi="宋体" w:hint="eastAsia"/>
          <w:sz w:val="24"/>
          <w:szCs w:val="20"/>
        </w:rPr>
        <w:t>明细详见</w:t>
      </w:r>
      <w:r>
        <w:rPr>
          <w:rFonts w:ascii="宋体" w:hAnsi="宋体" w:hint="eastAsia"/>
          <w:sz w:val="24"/>
          <w:szCs w:val="20"/>
        </w:rPr>
        <w:t>下表</w:t>
      </w:r>
      <w:r>
        <w:rPr>
          <w:rFonts w:ascii="宋体" w:hAnsi="宋体" w:hint="eastAsia"/>
          <w:sz w:val="24"/>
          <w:szCs w:val="20"/>
        </w:rPr>
        <w:t>。</w:t>
      </w:r>
    </w:p>
    <w:tbl>
      <w:tblPr>
        <w:tblW w:w="4997" w:type="pct"/>
        <w:tblLayout w:type="fixed"/>
        <w:tblLook w:val="04A0"/>
      </w:tblPr>
      <w:tblGrid>
        <w:gridCol w:w="673"/>
        <w:gridCol w:w="2474"/>
        <w:gridCol w:w="1748"/>
        <w:gridCol w:w="1294"/>
        <w:gridCol w:w="1281"/>
        <w:gridCol w:w="804"/>
        <w:gridCol w:w="838"/>
      </w:tblGrid>
      <w:tr w:rsidR="00282123">
        <w:trPr>
          <w:trHeight w:val="94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序号</w:t>
            </w:r>
          </w:p>
        </w:tc>
        <w:tc>
          <w:tcPr>
            <w:tcW w:w="13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名称</w:t>
            </w:r>
          </w:p>
        </w:tc>
        <w:tc>
          <w:tcPr>
            <w:tcW w:w="9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所在层数</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计量单位</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个数</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备注</w:t>
            </w:r>
          </w:p>
        </w:tc>
      </w:tr>
      <w:tr w:rsidR="00282123">
        <w:trPr>
          <w:trHeight w:val="480"/>
        </w:trPr>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1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号特别特花园负一层地下车库</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负一层中心位置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r>
              <w:rPr>
                <w:rFonts w:ascii="Arial" w:hAnsi="Arial" w:cs="Arial" w:hint="eastAsia"/>
                <w:color w:val="000000"/>
                <w:kern w:val="0"/>
                <w:sz w:val="18"/>
                <w:szCs w:val="18"/>
                <w:lang/>
              </w:rPr>
              <w:t>3</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480"/>
        </w:trPr>
        <w:tc>
          <w:tcPr>
            <w:tcW w:w="36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1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负一层边缘位置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26</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480"/>
        </w:trPr>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1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w:t>
            </w:r>
            <w:r>
              <w:rPr>
                <w:rFonts w:ascii="宋体" w:hAnsi="宋体" w:cs="宋体" w:hint="eastAsia"/>
                <w:color w:val="000000"/>
                <w:kern w:val="0"/>
                <w:sz w:val="20"/>
                <w:szCs w:val="20"/>
                <w:lang/>
              </w:rPr>
              <w:lastRenderedPageBreak/>
              <w:t>特花园负二层地下车库</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层中心位置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9</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36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1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层边缘位置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hint="eastAsia"/>
                <w:color w:val="000000"/>
                <w:kern w:val="0"/>
                <w:sz w:val="18"/>
                <w:szCs w:val="18"/>
                <w:lang/>
              </w:rPr>
              <w:t>7</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268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lastRenderedPageBreak/>
              <w:t>合计</w:t>
            </w:r>
          </w:p>
        </w:tc>
        <w:tc>
          <w:tcPr>
            <w:tcW w:w="710"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20"/>
                <w:szCs w:val="20"/>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r>
              <w:rPr>
                <w:rFonts w:ascii="Arial" w:hAnsi="Arial" w:cs="Arial" w:hint="eastAsia"/>
                <w:color w:val="000000"/>
                <w:kern w:val="0"/>
                <w:sz w:val="18"/>
                <w:szCs w:val="18"/>
                <w:lang/>
              </w:rPr>
              <w:t>5</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bl>
    <w:p w:rsidR="00282123" w:rsidRDefault="00563BD8">
      <w:pPr>
        <w:spacing w:line="520" w:lineRule="exact"/>
        <w:ind w:firstLineChars="200" w:firstLine="480"/>
        <w:rPr>
          <w:rFonts w:ascii="宋体" w:hAnsi="宋体"/>
          <w:sz w:val="24"/>
          <w:szCs w:val="20"/>
        </w:rPr>
      </w:pPr>
      <w:r>
        <w:rPr>
          <w:rFonts w:ascii="宋体" w:hAnsi="宋体" w:hint="eastAsia"/>
          <w:sz w:val="24"/>
          <w:szCs w:val="20"/>
        </w:rPr>
        <w:t>三、价值类型：市场价值。</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四、评估基准日：</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五、评估方法：评估人员在认真分析所掌握的资料，并对评估对象进行了实地查勘，按照国家有关法律、法规及资产评估操作规范要求，遵照国家有关法律、法规、估价技术标准，结合本次评估目的，考虑评估对象的具体情况，我们认为评估对象适合采用</w:t>
      </w:r>
      <w:r>
        <w:rPr>
          <w:rFonts w:ascii="宋体" w:hAnsi="宋体" w:hint="eastAsia"/>
          <w:sz w:val="24"/>
          <w:szCs w:val="20"/>
        </w:rPr>
        <w:t>市场比较法</w:t>
      </w:r>
      <w:r>
        <w:rPr>
          <w:rFonts w:ascii="宋体" w:hAnsi="宋体" w:hint="eastAsia"/>
          <w:sz w:val="24"/>
          <w:szCs w:val="20"/>
        </w:rPr>
        <w:t>进行估算。</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六、评估结论：</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经评估，截止评估基准日</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w:t>
      </w:r>
      <w:r>
        <w:rPr>
          <w:rFonts w:ascii="宋体" w:hAnsi="宋体" w:hint="eastAsia"/>
          <w:sz w:val="24"/>
          <w:szCs w:val="20"/>
        </w:rPr>
        <w:t>处置</w:t>
      </w:r>
      <w:r>
        <w:rPr>
          <w:rFonts w:ascii="宋体" w:hAnsi="宋体" w:hint="eastAsia"/>
          <w:sz w:val="24"/>
          <w:szCs w:val="20"/>
        </w:rPr>
        <w:t>所涉及</w:t>
      </w:r>
      <w:r>
        <w:rPr>
          <w:rFonts w:ascii="宋体" w:hAnsi="宋体" w:hint="eastAsia"/>
          <w:sz w:val="24"/>
          <w:szCs w:val="20"/>
        </w:rPr>
        <w:t>的</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评估</w:t>
      </w:r>
      <w:r>
        <w:rPr>
          <w:rFonts w:ascii="宋体" w:hAnsi="宋体" w:hint="eastAsia"/>
          <w:sz w:val="24"/>
          <w:szCs w:val="20"/>
        </w:rPr>
        <w:t>价值为</w:t>
      </w:r>
      <w:r>
        <w:rPr>
          <w:rFonts w:ascii="宋体" w:hAnsi="宋体" w:hint="eastAsia"/>
          <w:sz w:val="24"/>
          <w:szCs w:val="20"/>
        </w:rPr>
        <w:t>4,708,950.00</w:t>
      </w:r>
      <w:r>
        <w:rPr>
          <w:rFonts w:ascii="宋体" w:hAnsi="宋体" w:hint="eastAsia"/>
          <w:sz w:val="24"/>
          <w:szCs w:val="20"/>
        </w:rPr>
        <w:t>元（大写人民币肆佰柒拾万捌仟玖佰伍拾元整）。</w:t>
      </w:r>
      <w:r>
        <w:rPr>
          <w:rFonts w:ascii="宋体" w:hAnsi="宋体" w:hint="eastAsia"/>
          <w:sz w:val="24"/>
          <w:szCs w:val="20"/>
        </w:rPr>
        <w:t xml:space="preserve"> </w:t>
      </w:r>
    </w:p>
    <w:tbl>
      <w:tblPr>
        <w:tblW w:w="4997" w:type="pct"/>
        <w:tblLayout w:type="fixed"/>
        <w:tblLook w:val="04A0"/>
      </w:tblPr>
      <w:tblGrid>
        <w:gridCol w:w="617"/>
        <w:gridCol w:w="1494"/>
        <w:gridCol w:w="1639"/>
        <w:gridCol w:w="737"/>
        <w:gridCol w:w="817"/>
        <w:gridCol w:w="776"/>
        <w:gridCol w:w="1117"/>
        <w:gridCol w:w="1308"/>
        <w:gridCol w:w="607"/>
      </w:tblGrid>
      <w:tr w:rsidR="00282123">
        <w:trPr>
          <w:trHeight w:val="940"/>
        </w:trPr>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序号</w:t>
            </w: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名称</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所在层数</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计量单位</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车位个数</w:t>
            </w:r>
          </w:p>
        </w:tc>
        <w:tc>
          <w:tcPr>
            <w:tcW w:w="613" w:type="pct"/>
            <w:tcBorders>
              <w:top w:val="single" w:sz="4" w:space="0" w:color="000000"/>
              <w:left w:val="nil"/>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评估单价</w:t>
            </w:r>
          </w:p>
        </w:tc>
        <w:tc>
          <w:tcPr>
            <w:tcW w:w="718" w:type="pct"/>
            <w:tcBorders>
              <w:top w:val="single" w:sz="4" w:space="0" w:color="000000"/>
              <w:left w:val="nil"/>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评估价值</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备注</w:t>
            </w:r>
          </w:p>
        </w:tc>
      </w:tr>
      <w:tr w:rsidR="00282123">
        <w:trPr>
          <w:trHeight w:val="604"/>
        </w:trPr>
        <w:tc>
          <w:tcPr>
            <w:tcW w:w="33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8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号特别特花园负一层地下车库</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负一层中心位置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13</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88,112.00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1,145,456.00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584"/>
        </w:trPr>
        <w:tc>
          <w:tcPr>
            <w:tcW w:w="33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8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负一层边缘位置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26 </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86,391.00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2,246,166.00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593"/>
        </w:trPr>
        <w:tc>
          <w:tcPr>
            <w:tcW w:w="33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8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号特别特花园负二层地下车库</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层中心位置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9</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83,047.00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747,423.00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33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8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层边缘位置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hint="eastAsia"/>
                <w:color w:val="000000"/>
                <w:kern w:val="0"/>
                <w:sz w:val="18"/>
                <w:szCs w:val="18"/>
                <w:lang/>
              </w:rPr>
              <w:t>7</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81,415.00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569,905.00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205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合计</w:t>
            </w:r>
          </w:p>
        </w:tc>
        <w:tc>
          <w:tcPr>
            <w:tcW w:w="404"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20"/>
                <w:szCs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r>
              <w:rPr>
                <w:rFonts w:ascii="Arial" w:hAnsi="Arial" w:cs="Arial" w:hint="eastAsia"/>
                <w:color w:val="000000"/>
                <w:kern w:val="0"/>
                <w:sz w:val="18"/>
                <w:szCs w:val="18"/>
                <w:lang/>
              </w:rPr>
              <w:t>5</w:t>
            </w:r>
          </w:p>
        </w:tc>
        <w:tc>
          <w:tcPr>
            <w:tcW w:w="613"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jc w:val="right"/>
              <w:rPr>
                <w:rFonts w:ascii="Arial" w:hAnsi="Arial" w:cs="Arial"/>
                <w:color w:val="000000"/>
                <w:sz w:val="18"/>
                <w:szCs w:val="18"/>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4,708,950.00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left"/>
              <w:rPr>
                <w:rFonts w:ascii="Arial" w:hAnsi="Arial" w:cs="Arial"/>
                <w:color w:val="000000"/>
                <w:sz w:val="18"/>
                <w:szCs w:val="18"/>
              </w:rPr>
            </w:pPr>
          </w:p>
        </w:tc>
      </w:tr>
    </w:tbl>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七、评估结论的使用有效期：本报告评估结论使用有效期为一年，即自</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至</w:t>
      </w:r>
      <w:r>
        <w:rPr>
          <w:rFonts w:ascii="宋体" w:hAnsi="宋体" w:hint="eastAsia"/>
          <w:sz w:val="24"/>
          <w:szCs w:val="20"/>
        </w:rPr>
        <w:t>202</w:t>
      </w:r>
      <w:r>
        <w:rPr>
          <w:rFonts w:ascii="宋体" w:hAnsi="宋体" w:hint="eastAsia"/>
          <w:sz w:val="24"/>
          <w:szCs w:val="20"/>
        </w:rPr>
        <w:t>3</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1</w:t>
      </w:r>
      <w:r>
        <w:rPr>
          <w:rFonts w:ascii="宋体" w:hAnsi="宋体" w:hint="eastAsia"/>
          <w:sz w:val="24"/>
          <w:szCs w:val="20"/>
        </w:rPr>
        <w:t>9</w:t>
      </w:r>
      <w:r>
        <w:rPr>
          <w:rFonts w:ascii="宋体" w:hAnsi="宋体" w:hint="eastAsia"/>
          <w:sz w:val="24"/>
          <w:szCs w:val="20"/>
        </w:rPr>
        <w:t>日</w:t>
      </w:r>
      <w:r>
        <w:rPr>
          <w:rFonts w:ascii="宋体" w:hAnsi="宋体" w:hint="eastAsia"/>
          <w:sz w:val="24"/>
          <w:szCs w:val="20"/>
        </w:rPr>
        <w:t>期间使用有效。</w:t>
      </w:r>
    </w:p>
    <w:p w:rsidR="00282123" w:rsidRDefault="00563BD8">
      <w:pPr>
        <w:spacing w:line="520" w:lineRule="exact"/>
        <w:ind w:firstLineChars="200" w:firstLine="488"/>
        <w:rPr>
          <w:rFonts w:ascii="宋体" w:hAnsi="宋体"/>
          <w:spacing w:val="2"/>
          <w:sz w:val="24"/>
          <w:szCs w:val="20"/>
        </w:rPr>
      </w:pPr>
      <w:r>
        <w:rPr>
          <w:rFonts w:ascii="宋体" w:hAnsi="宋体" w:hint="eastAsia"/>
          <w:spacing w:val="2"/>
          <w:sz w:val="24"/>
          <w:szCs w:val="20"/>
        </w:rPr>
        <w:t>八、特别事项说明：</w:t>
      </w:r>
    </w:p>
    <w:p w:rsidR="00282123" w:rsidRDefault="00563BD8">
      <w:pPr>
        <w:tabs>
          <w:tab w:val="left" w:pos="1260"/>
        </w:tabs>
        <w:spacing w:line="520" w:lineRule="exact"/>
        <w:ind w:firstLineChars="200" w:firstLine="480"/>
        <w:rPr>
          <w:rFonts w:ascii="Arial Narrow" w:hAnsi="Arial Narrow"/>
          <w:sz w:val="24"/>
        </w:rPr>
      </w:pPr>
      <w:r>
        <w:rPr>
          <w:rFonts w:ascii="Arial Narrow" w:hAnsi="Arial Narrow" w:hint="eastAsia"/>
          <w:sz w:val="24"/>
        </w:rPr>
        <w:t>（一）本次现场勘验被执行人未到现场，本次现场由资产评估专业人员、委托方及申请人三方共同核查。</w:t>
      </w:r>
    </w:p>
    <w:p w:rsidR="00282123" w:rsidRDefault="00563BD8">
      <w:pPr>
        <w:tabs>
          <w:tab w:val="left" w:pos="1260"/>
        </w:tabs>
        <w:spacing w:line="520" w:lineRule="exact"/>
        <w:ind w:firstLineChars="200" w:firstLine="480"/>
        <w:rPr>
          <w:rFonts w:ascii="Arial Narrow" w:hAnsi="Arial Narrow"/>
          <w:sz w:val="24"/>
        </w:rPr>
      </w:pPr>
      <w:r>
        <w:rPr>
          <w:rFonts w:ascii="Arial Narrow" w:hAnsi="Arial Narrow" w:hint="eastAsia"/>
          <w:sz w:val="24"/>
        </w:rPr>
        <w:t>（二）经现场勘查特别特花园地下车库负一、负二层车位共计</w:t>
      </w:r>
      <w:r>
        <w:rPr>
          <w:rFonts w:ascii="Arial Narrow" w:hAnsi="Arial Narrow" w:hint="eastAsia"/>
          <w:sz w:val="24"/>
        </w:rPr>
        <w:t>107</w:t>
      </w:r>
      <w:r>
        <w:rPr>
          <w:rFonts w:ascii="Arial Narrow" w:hAnsi="Arial Narrow" w:hint="eastAsia"/>
          <w:sz w:val="24"/>
        </w:rPr>
        <w:t>个。纳入本次评估范围的</w:t>
      </w:r>
      <w:r>
        <w:rPr>
          <w:rFonts w:ascii="Arial Narrow" w:hAnsi="Arial Narrow" w:hint="eastAsia"/>
          <w:sz w:val="24"/>
        </w:rPr>
        <w:t>55</w:t>
      </w:r>
      <w:r>
        <w:rPr>
          <w:rFonts w:ascii="Arial Narrow" w:hAnsi="Arial Narrow" w:hint="eastAsia"/>
          <w:sz w:val="24"/>
        </w:rPr>
        <w:t>个车位的使用权车位号分别为负一层</w:t>
      </w:r>
      <w:r>
        <w:rPr>
          <w:rFonts w:ascii="Arial Narrow" w:hAnsi="Arial Narrow" w:hint="eastAsia"/>
          <w:sz w:val="24"/>
        </w:rPr>
        <w:t>3</w:t>
      </w:r>
      <w:r>
        <w:rPr>
          <w:rFonts w:ascii="Arial Narrow" w:hAnsi="Arial Narrow" w:hint="eastAsia"/>
          <w:sz w:val="24"/>
        </w:rPr>
        <w:t>、</w:t>
      </w:r>
      <w:r>
        <w:rPr>
          <w:rFonts w:ascii="Arial Narrow" w:hAnsi="Arial Narrow" w:hint="eastAsia"/>
          <w:sz w:val="24"/>
        </w:rPr>
        <w:t>4</w:t>
      </w:r>
      <w:r>
        <w:rPr>
          <w:rFonts w:ascii="Arial Narrow" w:hAnsi="Arial Narrow" w:hint="eastAsia"/>
          <w:sz w:val="24"/>
        </w:rPr>
        <w:t>、</w:t>
      </w:r>
      <w:r>
        <w:rPr>
          <w:rFonts w:ascii="Arial Narrow" w:hAnsi="Arial Narrow" w:hint="eastAsia"/>
          <w:sz w:val="24"/>
        </w:rPr>
        <w:t>5</w:t>
      </w:r>
      <w:r>
        <w:rPr>
          <w:rFonts w:ascii="Arial Narrow" w:hAnsi="Arial Narrow" w:hint="eastAsia"/>
          <w:sz w:val="24"/>
        </w:rPr>
        <w:t>、</w:t>
      </w:r>
      <w:r>
        <w:rPr>
          <w:rFonts w:ascii="Arial Narrow" w:hAnsi="Arial Narrow" w:hint="eastAsia"/>
          <w:sz w:val="24"/>
        </w:rPr>
        <w:t>7</w:t>
      </w:r>
      <w:r>
        <w:rPr>
          <w:rFonts w:ascii="Arial Narrow" w:hAnsi="Arial Narrow" w:hint="eastAsia"/>
          <w:sz w:val="24"/>
        </w:rPr>
        <w:t>、</w:t>
      </w:r>
      <w:r>
        <w:rPr>
          <w:rFonts w:ascii="Arial Narrow" w:hAnsi="Arial Narrow" w:hint="eastAsia"/>
          <w:sz w:val="24"/>
        </w:rPr>
        <w:t>8</w:t>
      </w:r>
      <w:r>
        <w:rPr>
          <w:rFonts w:ascii="Arial Narrow" w:hAnsi="Arial Narrow" w:hint="eastAsia"/>
          <w:sz w:val="24"/>
        </w:rPr>
        <w:t>、</w:t>
      </w:r>
      <w:r>
        <w:rPr>
          <w:rFonts w:ascii="Arial Narrow" w:hAnsi="Arial Narrow" w:hint="eastAsia"/>
          <w:sz w:val="24"/>
        </w:rPr>
        <w:t>10-20</w:t>
      </w:r>
      <w:r>
        <w:rPr>
          <w:rFonts w:ascii="Arial Narrow" w:hAnsi="Arial Narrow" w:hint="eastAsia"/>
          <w:sz w:val="24"/>
        </w:rPr>
        <w:t>、</w:t>
      </w:r>
      <w:r>
        <w:rPr>
          <w:rFonts w:ascii="Arial Narrow" w:hAnsi="Arial Narrow" w:hint="eastAsia"/>
          <w:sz w:val="24"/>
        </w:rPr>
        <w:t>23</w:t>
      </w:r>
      <w:r>
        <w:rPr>
          <w:rFonts w:ascii="Arial Narrow" w:hAnsi="Arial Narrow" w:hint="eastAsia"/>
          <w:sz w:val="24"/>
        </w:rPr>
        <w:t>、</w:t>
      </w:r>
      <w:r>
        <w:rPr>
          <w:rFonts w:ascii="Arial Narrow" w:hAnsi="Arial Narrow" w:hint="eastAsia"/>
          <w:sz w:val="24"/>
        </w:rPr>
        <w:t>25-28</w:t>
      </w:r>
      <w:r>
        <w:rPr>
          <w:rFonts w:ascii="Arial Narrow" w:hAnsi="Arial Narrow" w:hint="eastAsia"/>
          <w:sz w:val="24"/>
        </w:rPr>
        <w:t>、</w:t>
      </w:r>
      <w:r>
        <w:rPr>
          <w:rFonts w:ascii="Arial Narrow" w:hAnsi="Arial Narrow" w:hint="eastAsia"/>
          <w:sz w:val="24"/>
        </w:rPr>
        <w:lastRenderedPageBreak/>
        <w:t>31-34</w:t>
      </w:r>
      <w:r>
        <w:rPr>
          <w:rFonts w:ascii="Arial Narrow" w:hAnsi="Arial Narrow" w:hint="eastAsia"/>
          <w:sz w:val="24"/>
        </w:rPr>
        <w:t>、</w:t>
      </w:r>
      <w:r>
        <w:rPr>
          <w:rFonts w:ascii="Arial Narrow" w:hAnsi="Arial Narrow" w:hint="eastAsia"/>
          <w:sz w:val="24"/>
        </w:rPr>
        <w:t>36</w:t>
      </w:r>
      <w:r>
        <w:rPr>
          <w:rFonts w:ascii="Arial Narrow" w:hAnsi="Arial Narrow" w:hint="eastAsia"/>
          <w:sz w:val="24"/>
        </w:rPr>
        <w:t>、</w:t>
      </w:r>
      <w:r>
        <w:rPr>
          <w:rFonts w:ascii="Arial Narrow" w:hAnsi="Arial Narrow" w:hint="eastAsia"/>
          <w:sz w:val="24"/>
        </w:rPr>
        <w:t>38</w:t>
      </w:r>
      <w:r>
        <w:rPr>
          <w:rFonts w:ascii="Arial Narrow" w:hAnsi="Arial Narrow" w:hint="eastAsia"/>
          <w:sz w:val="24"/>
        </w:rPr>
        <w:t>、</w:t>
      </w:r>
      <w:r>
        <w:rPr>
          <w:rFonts w:ascii="Arial Narrow" w:hAnsi="Arial Narrow" w:hint="eastAsia"/>
          <w:sz w:val="24"/>
        </w:rPr>
        <w:t>43-47</w:t>
      </w:r>
      <w:r>
        <w:rPr>
          <w:rFonts w:ascii="Arial Narrow" w:hAnsi="Arial Narrow" w:hint="eastAsia"/>
          <w:sz w:val="24"/>
        </w:rPr>
        <w:t>、</w:t>
      </w:r>
      <w:r>
        <w:rPr>
          <w:rFonts w:ascii="Arial Narrow" w:hAnsi="Arial Narrow" w:hint="eastAsia"/>
          <w:sz w:val="24"/>
        </w:rPr>
        <w:t>49</w:t>
      </w:r>
      <w:r>
        <w:rPr>
          <w:rFonts w:ascii="Arial Narrow" w:hAnsi="Arial Narrow" w:hint="eastAsia"/>
          <w:sz w:val="24"/>
        </w:rPr>
        <w:t>、</w:t>
      </w:r>
      <w:r>
        <w:rPr>
          <w:rFonts w:ascii="Arial Narrow" w:hAnsi="Arial Narrow" w:hint="eastAsia"/>
          <w:sz w:val="24"/>
        </w:rPr>
        <w:t>52-57</w:t>
      </w:r>
      <w:r>
        <w:rPr>
          <w:rFonts w:ascii="Arial Narrow" w:hAnsi="Arial Narrow" w:hint="eastAsia"/>
          <w:sz w:val="24"/>
        </w:rPr>
        <w:t>，共计</w:t>
      </w:r>
      <w:r>
        <w:rPr>
          <w:rFonts w:ascii="Arial Narrow" w:hAnsi="Arial Narrow" w:hint="eastAsia"/>
          <w:sz w:val="24"/>
        </w:rPr>
        <w:t>39</w:t>
      </w:r>
      <w:r>
        <w:rPr>
          <w:rFonts w:ascii="Arial Narrow" w:hAnsi="Arial Narrow" w:hint="eastAsia"/>
          <w:sz w:val="24"/>
        </w:rPr>
        <w:t>个车位；负二层</w:t>
      </w:r>
      <w:r>
        <w:rPr>
          <w:rFonts w:ascii="Arial Narrow" w:hAnsi="Arial Narrow" w:hint="eastAsia"/>
          <w:sz w:val="24"/>
        </w:rPr>
        <w:t>12</w:t>
      </w:r>
      <w:r>
        <w:rPr>
          <w:rFonts w:ascii="Arial Narrow" w:hAnsi="Arial Narrow" w:hint="eastAsia"/>
          <w:sz w:val="24"/>
        </w:rPr>
        <w:t>、</w:t>
      </w:r>
      <w:r>
        <w:rPr>
          <w:rFonts w:ascii="Arial Narrow" w:hAnsi="Arial Narrow" w:hint="eastAsia"/>
          <w:sz w:val="24"/>
        </w:rPr>
        <w:t>24</w:t>
      </w:r>
      <w:r>
        <w:rPr>
          <w:rFonts w:ascii="Arial Narrow" w:hAnsi="Arial Narrow" w:hint="eastAsia"/>
          <w:sz w:val="24"/>
        </w:rPr>
        <w:t>、</w:t>
      </w:r>
      <w:r>
        <w:rPr>
          <w:rFonts w:ascii="Arial Narrow" w:hAnsi="Arial Narrow" w:hint="eastAsia"/>
          <w:sz w:val="24"/>
        </w:rPr>
        <w:t>33-46</w:t>
      </w:r>
      <w:r>
        <w:rPr>
          <w:rFonts w:ascii="Arial Narrow" w:hAnsi="Arial Narrow" w:hint="eastAsia"/>
          <w:sz w:val="24"/>
        </w:rPr>
        <w:t>，共计</w:t>
      </w:r>
      <w:r>
        <w:rPr>
          <w:rFonts w:ascii="Arial Narrow" w:hAnsi="Arial Narrow" w:hint="eastAsia"/>
          <w:sz w:val="24"/>
        </w:rPr>
        <w:t>16</w:t>
      </w:r>
      <w:r>
        <w:rPr>
          <w:rFonts w:ascii="Arial Narrow" w:hAnsi="Arial Narrow" w:hint="eastAsia"/>
          <w:sz w:val="24"/>
        </w:rPr>
        <w:t>个车位。</w:t>
      </w:r>
    </w:p>
    <w:p w:rsidR="00282123" w:rsidRDefault="00563BD8">
      <w:pPr>
        <w:tabs>
          <w:tab w:val="left" w:pos="1260"/>
        </w:tabs>
        <w:spacing w:line="520" w:lineRule="exact"/>
        <w:ind w:firstLineChars="200" w:firstLine="480"/>
        <w:rPr>
          <w:rFonts w:ascii="Arial Narrow" w:hAnsi="Arial Narrow"/>
          <w:sz w:val="24"/>
        </w:rPr>
      </w:pPr>
      <w:r>
        <w:rPr>
          <w:rFonts w:ascii="Arial Narrow" w:hAnsi="Arial Narrow" w:hint="eastAsia"/>
          <w:sz w:val="24"/>
        </w:rPr>
        <w:t>（三）</w:t>
      </w:r>
      <w:r>
        <w:rPr>
          <w:rFonts w:ascii="宋体" w:hAnsi="宋体" w:hint="eastAsia"/>
          <w:sz w:val="24"/>
          <w:szCs w:val="20"/>
        </w:rPr>
        <w:t>纳入本次评估范围的</w:t>
      </w:r>
      <w:r>
        <w:rPr>
          <w:rFonts w:ascii="宋体" w:hAnsi="宋体" w:hint="eastAsia"/>
          <w:sz w:val="24"/>
          <w:szCs w:val="20"/>
        </w:rPr>
        <w:t>55</w:t>
      </w:r>
      <w:r>
        <w:rPr>
          <w:rFonts w:ascii="宋体" w:hAnsi="宋体" w:hint="eastAsia"/>
          <w:sz w:val="24"/>
          <w:szCs w:val="20"/>
        </w:rPr>
        <w:t>个车位使用权的产权持有方</w:t>
      </w:r>
      <w:r>
        <w:rPr>
          <w:rFonts w:ascii="宋体" w:hAnsi="宋体" w:hint="eastAsia"/>
          <w:sz w:val="24"/>
          <w:szCs w:val="20"/>
        </w:rPr>
        <w:t>为山西</w:t>
      </w:r>
      <w:r w:rsidR="008B5CD1">
        <w:rPr>
          <w:rFonts w:ascii="宋体" w:hAnsi="宋体" w:hint="eastAsia"/>
          <w:sz w:val="24"/>
          <w:szCs w:val="20"/>
        </w:rPr>
        <w:t>盛嘉</w:t>
      </w:r>
      <w:r>
        <w:rPr>
          <w:rFonts w:ascii="宋体" w:hAnsi="宋体" w:hint="eastAsia"/>
          <w:sz w:val="24"/>
          <w:szCs w:val="20"/>
        </w:rPr>
        <w:t>房地产开发有限公司</w:t>
      </w:r>
      <w:r>
        <w:rPr>
          <w:rFonts w:ascii="宋体" w:hAnsi="宋体" w:hint="eastAsia"/>
          <w:sz w:val="24"/>
          <w:szCs w:val="20"/>
        </w:rPr>
        <w:t>，</w:t>
      </w:r>
      <w:r>
        <w:rPr>
          <w:rFonts w:ascii="宋体" w:hAnsi="宋体" w:hint="eastAsia"/>
          <w:sz w:val="24"/>
          <w:szCs w:val="20"/>
        </w:rPr>
        <w:t>提请报告使用</w:t>
      </w:r>
      <w:r>
        <w:rPr>
          <w:rFonts w:ascii="宋体" w:hAnsi="宋体" w:hint="eastAsia"/>
          <w:sz w:val="24"/>
          <w:szCs w:val="20"/>
        </w:rPr>
        <w:t>方</w:t>
      </w:r>
      <w:r>
        <w:rPr>
          <w:rFonts w:ascii="宋体" w:hAnsi="宋体" w:hint="eastAsia"/>
          <w:sz w:val="24"/>
          <w:szCs w:val="20"/>
        </w:rPr>
        <w:t>关注</w:t>
      </w:r>
      <w:r>
        <w:rPr>
          <w:rFonts w:ascii="宋体" w:hAnsi="宋体" w:hint="eastAsia"/>
          <w:sz w:val="24"/>
          <w:szCs w:val="20"/>
        </w:rPr>
        <w:t>。</w:t>
      </w:r>
    </w:p>
    <w:p w:rsidR="00282123" w:rsidRDefault="00563BD8">
      <w:pPr>
        <w:tabs>
          <w:tab w:val="left" w:pos="1260"/>
        </w:tabs>
        <w:spacing w:line="520" w:lineRule="exact"/>
        <w:ind w:firstLineChars="200" w:firstLine="480"/>
        <w:rPr>
          <w:rFonts w:ascii="Arial Narrow" w:hAnsi="Arial Narrow"/>
          <w:sz w:val="24"/>
        </w:rPr>
      </w:pPr>
      <w:r>
        <w:rPr>
          <w:rFonts w:ascii="Arial Narrow" w:hAnsi="Arial Narrow" w:hint="eastAsia"/>
          <w:sz w:val="24"/>
        </w:rPr>
        <w:t>（四）评估结论不包含车位管理费及其他可能存在的费用，提请报告使用方关注。</w:t>
      </w:r>
    </w:p>
    <w:p w:rsidR="00282123" w:rsidRDefault="00563BD8">
      <w:pPr>
        <w:tabs>
          <w:tab w:val="left" w:pos="1260"/>
        </w:tabs>
        <w:spacing w:line="520" w:lineRule="exact"/>
        <w:ind w:firstLineChars="200" w:firstLine="480"/>
        <w:rPr>
          <w:rFonts w:ascii="Arial Narrow" w:hAnsi="Arial Narrow"/>
          <w:sz w:val="24"/>
        </w:rPr>
      </w:pPr>
      <w:r>
        <w:rPr>
          <w:rFonts w:ascii="Arial Narrow" w:hAnsi="Arial Narrow" w:hint="eastAsia"/>
          <w:sz w:val="24"/>
        </w:rPr>
        <w:t>（五）</w:t>
      </w:r>
      <w:r>
        <w:rPr>
          <w:rFonts w:ascii="Arial Narrow" w:hAnsi="Arial Narrow"/>
          <w:sz w:val="24"/>
        </w:rPr>
        <w:t>对</w:t>
      </w:r>
      <w:r>
        <w:rPr>
          <w:rFonts w:ascii="Arial Narrow" w:hAnsi="Arial Narrow" w:hint="eastAsia"/>
          <w:sz w:val="24"/>
        </w:rPr>
        <w:t>委估资产</w:t>
      </w:r>
      <w:r>
        <w:rPr>
          <w:rFonts w:ascii="Arial Narrow" w:hAnsi="Arial Narrow"/>
          <w:sz w:val="24"/>
        </w:rPr>
        <w:t>存在的可能影响评估值的瑕疵事项，在委托时未作特殊说明而评估人员已履行评估程序仍无法获悉的情况下，评估机构及评估人员不承担相关责任。</w:t>
      </w:r>
    </w:p>
    <w:p w:rsidR="00282123" w:rsidRDefault="00563BD8">
      <w:pPr>
        <w:tabs>
          <w:tab w:val="left" w:pos="1260"/>
        </w:tabs>
        <w:spacing w:line="520" w:lineRule="exact"/>
        <w:ind w:firstLineChars="200" w:firstLine="480"/>
        <w:rPr>
          <w:rFonts w:ascii="Arial Narrow" w:hAnsi="Arial Narrow"/>
          <w:sz w:val="24"/>
        </w:rPr>
      </w:pPr>
      <w:r>
        <w:rPr>
          <w:rFonts w:ascii="Arial Narrow" w:hAnsi="Arial Narrow" w:hint="eastAsia"/>
          <w:sz w:val="24"/>
        </w:rPr>
        <w:t>（六）</w:t>
      </w:r>
      <w:r>
        <w:rPr>
          <w:rFonts w:ascii="Arial Narrow" w:hAnsi="Arial Narrow"/>
          <w:sz w:val="24"/>
        </w:rPr>
        <w:t>提供必要的资料并保证所提供资料的真实性、合法性和完整性，恰当使用评估报告是委托方和当事方的责任。本评估报告中涉及的原始资料及相关产权证明文件及有关资料由委托方提供，委托方对上述资料的真实性、准确性、完整性已做出承诺。</w:t>
      </w:r>
    </w:p>
    <w:p w:rsidR="00282123" w:rsidRDefault="00563BD8">
      <w:pPr>
        <w:spacing w:line="520" w:lineRule="exact"/>
        <w:ind w:firstLineChars="200" w:firstLine="480"/>
        <w:rPr>
          <w:rFonts w:ascii="Arial Narrow" w:hAnsi="Arial Narrow"/>
          <w:sz w:val="24"/>
        </w:rPr>
      </w:pPr>
      <w:r>
        <w:rPr>
          <w:rFonts w:ascii="Arial Narrow" w:hAnsi="Arial Narrow"/>
          <w:sz w:val="24"/>
        </w:rPr>
        <w:t>（</w:t>
      </w:r>
      <w:r>
        <w:rPr>
          <w:rFonts w:ascii="Arial Narrow" w:hAnsi="Arial Narrow" w:hint="eastAsia"/>
          <w:sz w:val="24"/>
        </w:rPr>
        <w:t>七</w:t>
      </w:r>
      <w:r>
        <w:rPr>
          <w:rFonts w:ascii="Arial Narrow" w:hAnsi="Arial Narrow"/>
          <w:sz w:val="24"/>
        </w:rPr>
        <w:t>）其他需要说明的事项</w:t>
      </w:r>
    </w:p>
    <w:p w:rsidR="00282123" w:rsidRDefault="00563BD8">
      <w:pPr>
        <w:adjustRightInd w:val="0"/>
        <w:snapToGrid w:val="0"/>
        <w:spacing w:line="520" w:lineRule="exact"/>
        <w:ind w:firstLineChars="200" w:firstLine="480"/>
        <w:rPr>
          <w:rFonts w:ascii="宋体" w:hAnsi="宋体" w:cs="宋体"/>
          <w:sz w:val="24"/>
          <w:szCs w:val="20"/>
        </w:rPr>
      </w:pPr>
      <w:r>
        <w:rPr>
          <w:rFonts w:ascii="宋体" w:hAnsi="宋体" w:cs="宋体" w:hint="eastAsia"/>
          <w:sz w:val="24"/>
          <w:szCs w:val="20"/>
        </w:rPr>
        <w:t>1</w:t>
      </w:r>
      <w:r>
        <w:rPr>
          <w:rFonts w:ascii="宋体" w:hAnsi="宋体" w:cs="宋体" w:hint="eastAsia"/>
          <w:sz w:val="24"/>
          <w:szCs w:val="20"/>
        </w:rPr>
        <w:t>、本报告依据的是委托方提供的相关资料，委托方对所提供资料的真实性、完整性及产生的后果负责，评估人员仅对操作过程及采用</w:t>
      </w:r>
      <w:r>
        <w:rPr>
          <w:rFonts w:ascii="宋体" w:hAnsi="宋体" w:cs="宋体" w:hint="eastAsia"/>
          <w:sz w:val="24"/>
          <w:szCs w:val="20"/>
        </w:rPr>
        <w:t>方法</w:t>
      </w:r>
      <w:r>
        <w:rPr>
          <w:rFonts w:ascii="宋体" w:hAnsi="宋体" w:cs="宋体" w:hint="eastAsia"/>
          <w:sz w:val="24"/>
          <w:szCs w:val="20"/>
        </w:rPr>
        <w:t>的公允性负责。</w:t>
      </w:r>
    </w:p>
    <w:p w:rsidR="00282123" w:rsidRDefault="00563BD8" w:rsidP="008B5CD1">
      <w:pPr>
        <w:tabs>
          <w:tab w:val="left" w:pos="0"/>
        </w:tabs>
        <w:spacing w:line="520" w:lineRule="exact"/>
        <w:ind w:firstLineChars="222" w:firstLine="533"/>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、本报告只为</w:t>
      </w:r>
      <w:r>
        <w:rPr>
          <w:rFonts w:ascii="宋体" w:hAnsi="宋体" w:cs="宋体" w:hint="eastAsia"/>
          <w:sz w:val="24"/>
          <w:szCs w:val="24"/>
        </w:rPr>
        <w:t>委托方</w:t>
      </w:r>
      <w:r>
        <w:rPr>
          <w:rFonts w:ascii="宋体" w:hAnsi="宋体" w:cs="宋体" w:hint="eastAsia"/>
          <w:sz w:val="24"/>
          <w:szCs w:val="20"/>
        </w:rPr>
        <w:t>太原市中级人民法院</w:t>
      </w:r>
      <w:r>
        <w:rPr>
          <w:rFonts w:ascii="宋体" w:hAnsi="宋体" w:cs="宋体" w:hint="eastAsia"/>
          <w:sz w:val="24"/>
          <w:szCs w:val="24"/>
        </w:rPr>
        <w:t>司法处置</w:t>
      </w:r>
      <w:r>
        <w:rPr>
          <w:rFonts w:ascii="宋体" w:hAnsi="宋体" w:cs="宋体" w:hint="eastAsia"/>
          <w:sz w:val="24"/>
          <w:szCs w:val="24"/>
        </w:rPr>
        <w:t>之经济行为参考使用</w:t>
      </w:r>
      <w:r>
        <w:rPr>
          <w:rFonts w:ascii="宋体" w:hAnsi="宋体" w:cs="宋体" w:hint="eastAsia"/>
          <w:sz w:val="24"/>
          <w:szCs w:val="24"/>
        </w:rPr>
        <w:t>,</w:t>
      </w:r>
      <w:r>
        <w:rPr>
          <w:rFonts w:ascii="宋体" w:hAnsi="宋体" w:cs="宋体" w:hint="eastAsia"/>
          <w:sz w:val="24"/>
          <w:szCs w:val="24"/>
        </w:rPr>
        <w:t>有其他行为目的则需要特定目的的评估。</w:t>
      </w:r>
    </w:p>
    <w:p w:rsidR="00282123" w:rsidRDefault="00563BD8" w:rsidP="008B5CD1">
      <w:pPr>
        <w:tabs>
          <w:tab w:val="left" w:pos="0"/>
        </w:tabs>
        <w:spacing w:line="520" w:lineRule="exact"/>
        <w:ind w:firstLineChars="222" w:firstLine="533"/>
        <w:rPr>
          <w:rFonts w:ascii="宋体" w:hAnsi="宋体" w:cs="宋体"/>
          <w:sz w:val="24"/>
          <w:szCs w:val="24"/>
        </w:rPr>
      </w:pPr>
      <w:r>
        <w:rPr>
          <w:rFonts w:ascii="宋体" w:hAnsi="宋体" w:cs="宋体" w:hint="eastAsia"/>
          <w:sz w:val="24"/>
          <w:szCs w:val="24"/>
        </w:rPr>
        <w:t>以上内容摘自资产评估报告，欲了解本评估项目的详细情况和合理理解评估结论，应当阅读资产评估报告正文。</w:t>
      </w:r>
    </w:p>
    <w:p w:rsidR="00282123" w:rsidRDefault="00563BD8" w:rsidP="008B5CD1">
      <w:pPr>
        <w:tabs>
          <w:tab w:val="left" w:pos="0"/>
        </w:tabs>
        <w:spacing w:line="520" w:lineRule="exact"/>
        <w:ind w:firstLineChars="222" w:firstLine="533"/>
        <w:rPr>
          <w:rFonts w:ascii="宋体" w:hAnsi="宋体" w:cs="宋体"/>
          <w:sz w:val="24"/>
          <w:szCs w:val="24"/>
        </w:rPr>
      </w:pPr>
      <w:r>
        <w:rPr>
          <w:rFonts w:ascii="宋体" w:hAnsi="宋体" w:cs="宋体" w:hint="eastAsia"/>
          <w:sz w:val="24"/>
          <w:szCs w:val="24"/>
        </w:rPr>
        <w:t>评估机构提醒</w:t>
      </w:r>
      <w:r>
        <w:rPr>
          <w:rFonts w:ascii="宋体" w:hAnsi="宋体" w:cs="宋体" w:hint="eastAsia"/>
          <w:spacing w:val="2"/>
          <w:sz w:val="24"/>
          <w:szCs w:val="20"/>
        </w:rPr>
        <w:t>资产评估报告使用人应当充分考虑资产评估报告中载明的假设、限制条件、特别事项说明及其对评估结论的影响。</w:t>
      </w:r>
    </w:p>
    <w:p w:rsidR="00282123" w:rsidRDefault="00282123">
      <w:pPr>
        <w:rPr>
          <w:rFonts w:ascii="宋体" w:hAnsi="宋体" w:cs="宋体"/>
          <w:sz w:val="24"/>
          <w:szCs w:val="20"/>
        </w:rPr>
        <w:sectPr w:rsidR="00282123">
          <w:footerReference w:type="default" r:id="rId16"/>
          <w:pgSz w:w="11906" w:h="16838"/>
          <w:pgMar w:top="1440" w:right="1474" w:bottom="1440" w:left="1531" w:header="936" w:footer="936" w:gutter="0"/>
          <w:cols w:space="720"/>
          <w:docGrid w:type="linesAndChars" w:linePitch="312"/>
        </w:sectPr>
      </w:pPr>
    </w:p>
    <w:p w:rsidR="00282123" w:rsidRDefault="00282123">
      <w:pPr>
        <w:keepNext/>
        <w:keepLines/>
        <w:adjustRightInd w:val="0"/>
        <w:snapToGrid w:val="0"/>
        <w:spacing w:line="500" w:lineRule="exact"/>
        <w:jc w:val="center"/>
        <w:outlineLvl w:val="0"/>
        <w:rPr>
          <w:rFonts w:ascii="宋体" w:hAnsi="宋体"/>
          <w:b/>
          <w:kern w:val="44"/>
          <w:sz w:val="52"/>
          <w:szCs w:val="52"/>
        </w:rPr>
      </w:pPr>
      <w:bookmarkStart w:id="19" w:name="_Toc210969807"/>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563BD8">
      <w:pPr>
        <w:keepNext/>
        <w:keepLines/>
        <w:adjustRightInd w:val="0"/>
        <w:snapToGrid w:val="0"/>
        <w:spacing w:line="360" w:lineRule="auto"/>
        <w:jc w:val="center"/>
        <w:outlineLvl w:val="0"/>
        <w:rPr>
          <w:rFonts w:ascii="宋体" w:hAnsi="宋体"/>
          <w:b/>
          <w:kern w:val="44"/>
          <w:sz w:val="52"/>
          <w:szCs w:val="52"/>
        </w:rPr>
      </w:pPr>
      <w:bookmarkStart w:id="20" w:name="_Toc21700"/>
      <w:r>
        <w:rPr>
          <w:rFonts w:ascii="宋体" w:hAnsi="宋体" w:hint="eastAsia"/>
          <w:b/>
          <w:kern w:val="44"/>
          <w:sz w:val="52"/>
          <w:szCs w:val="52"/>
        </w:rPr>
        <w:t>第三部分、资产评估报告正文</w:t>
      </w:r>
      <w:bookmarkEnd w:id="19"/>
      <w:bookmarkEnd w:id="20"/>
    </w:p>
    <w:p w:rsidR="00282123" w:rsidRDefault="00282123">
      <w:pPr>
        <w:spacing w:line="600" w:lineRule="exact"/>
        <w:jc w:val="center"/>
        <w:rPr>
          <w:rFonts w:ascii="宋体" w:hAnsi="宋体" w:cs="黑体"/>
          <w:b/>
          <w:sz w:val="36"/>
          <w:szCs w:val="36"/>
        </w:rPr>
      </w:pPr>
      <w:bookmarkStart w:id="21" w:name="_Toc360633045"/>
      <w:bookmarkStart w:id="22" w:name="_Toc214894764"/>
      <w:bookmarkStart w:id="23" w:name="_Toc210970014"/>
      <w:bookmarkStart w:id="24" w:name="_Toc210969809"/>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282123">
      <w:pPr>
        <w:spacing w:line="600" w:lineRule="exact"/>
        <w:jc w:val="center"/>
        <w:rPr>
          <w:rFonts w:ascii="宋体" w:hAnsi="宋体" w:cs="黑体"/>
          <w:b/>
          <w:sz w:val="36"/>
          <w:szCs w:val="36"/>
        </w:rPr>
      </w:pPr>
    </w:p>
    <w:p w:rsidR="00282123" w:rsidRDefault="00563BD8">
      <w:pPr>
        <w:jc w:val="center"/>
        <w:rPr>
          <w:rFonts w:ascii="宋体" w:hAnsi="宋体" w:cs="黑体"/>
          <w:b/>
          <w:sz w:val="40"/>
          <w:szCs w:val="40"/>
        </w:rPr>
      </w:pPr>
      <w:bookmarkStart w:id="25" w:name="_Toc210970015"/>
      <w:bookmarkStart w:id="26" w:name="_Toc214894765"/>
      <w:bookmarkStart w:id="27" w:name="_Toc210969810"/>
      <w:bookmarkStart w:id="28" w:name="_Toc360633046"/>
      <w:bookmarkEnd w:id="21"/>
      <w:bookmarkEnd w:id="22"/>
      <w:bookmarkEnd w:id="23"/>
      <w:bookmarkEnd w:id="24"/>
      <w:r>
        <w:rPr>
          <w:rFonts w:ascii="宋体" w:hAnsi="宋体" w:cs="黑体" w:hint="eastAsia"/>
          <w:b/>
          <w:sz w:val="40"/>
          <w:szCs w:val="40"/>
        </w:rPr>
        <w:lastRenderedPageBreak/>
        <w:t>太原市</w:t>
      </w:r>
      <w:r>
        <w:rPr>
          <w:rFonts w:ascii="宋体" w:hAnsi="宋体" w:cs="黑体" w:hint="eastAsia"/>
          <w:b/>
          <w:sz w:val="40"/>
          <w:szCs w:val="40"/>
        </w:rPr>
        <w:t>中级人民法院</w:t>
      </w:r>
      <w:r>
        <w:rPr>
          <w:rFonts w:ascii="宋体" w:hAnsi="宋体" w:cs="黑体" w:hint="eastAsia"/>
          <w:b/>
          <w:sz w:val="40"/>
          <w:szCs w:val="40"/>
        </w:rPr>
        <w:t>拟</w:t>
      </w:r>
      <w:r>
        <w:rPr>
          <w:rFonts w:ascii="宋体" w:hAnsi="宋体" w:cs="黑体" w:hint="eastAsia"/>
          <w:b/>
          <w:sz w:val="40"/>
          <w:szCs w:val="40"/>
        </w:rPr>
        <w:t>司法</w:t>
      </w:r>
      <w:r>
        <w:rPr>
          <w:rFonts w:ascii="宋体" w:hAnsi="宋体" w:cs="黑体" w:hint="eastAsia"/>
          <w:b/>
          <w:sz w:val="40"/>
          <w:szCs w:val="40"/>
        </w:rPr>
        <w:t>处置</w:t>
      </w:r>
      <w:r>
        <w:rPr>
          <w:rFonts w:ascii="宋体" w:hAnsi="宋体" w:cs="黑体" w:hint="eastAsia"/>
          <w:b/>
          <w:sz w:val="40"/>
          <w:szCs w:val="40"/>
        </w:rPr>
        <w:t>所涉及</w:t>
      </w:r>
    </w:p>
    <w:p w:rsidR="00282123" w:rsidRDefault="00563BD8">
      <w:pPr>
        <w:jc w:val="center"/>
        <w:rPr>
          <w:rFonts w:ascii="宋体" w:hAnsi="宋体" w:cs="黑体"/>
          <w:b/>
          <w:sz w:val="40"/>
          <w:szCs w:val="40"/>
        </w:rPr>
      </w:pPr>
      <w:r>
        <w:rPr>
          <w:rFonts w:ascii="宋体" w:hAnsi="宋体" w:cs="黑体" w:hint="eastAsia"/>
          <w:b/>
          <w:sz w:val="40"/>
          <w:szCs w:val="40"/>
        </w:rPr>
        <w:t>位于太原市五龙口街</w:t>
      </w:r>
      <w:r>
        <w:rPr>
          <w:rFonts w:ascii="宋体" w:hAnsi="宋体" w:cs="黑体" w:hint="eastAsia"/>
          <w:b/>
          <w:sz w:val="40"/>
          <w:szCs w:val="40"/>
        </w:rPr>
        <w:t>99</w:t>
      </w:r>
      <w:r>
        <w:rPr>
          <w:rFonts w:ascii="宋体" w:hAnsi="宋体" w:cs="黑体" w:hint="eastAsia"/>
          <w:b/>
          <w:sz w:val="40"/>
          <w:szCs w:val="40"/>
        </w:rPr>
        <w:t>号特别特花园车位使用权资产</w:t>
      </w:r>
      <w:r>
        <w:rPr>
          <w:rFonts w:ascii="宋体" w:hAnsi="宋体" w:cs="黑体" w:hint="eastAsia"/>
          <w:b/>
          <w:sz w:val="40"/>
          <w:szCs w:val="40"/>
        </w:rPr>
        <w:t>评估项目</w:t>
      </w:r>
    </w:p>
    <w:p w:rsidR="00282123" w:rsidRDefault="00563BD8">
      <w:pPr>
        <w:jc w:val="center"/>
        <w:rPr>
          <w:rFonts w:ascii="宋体" w:hAnsi="宋体" w:cs="黑体"/>
          <w:b/>
          <w:sz w:val="36"/>
          <w:szCs w:val="36"/>
        </w:rPr>
      </w:pPr>
      <w:r>
        <w:rPr>
          <w:rFonts w:ascii="宋体" w:hAnsi="宋体" w:cs="黑体" w:hint="eastAsia"/>
          <w:b/>
          <w:sz w:val="36"/>
          <w:szCs w:val="36"/>
        </w:rPr>
        <w:t>资产评估报告</w:t>
      </w:r>
    </w:p>
    <w:bookmarkEnd w:id="25"/>
    <w:bookmarkEnd w:id="26"/>
    <w:bookmarkEnd w:id="27"/>
    <w:bookmarkEnd w:id="28"/>
    <w:p w:rsidR="00282123" w:rsidRDefault="00563BD8">
      <w:pPr>
        <w:spacing w:line="480" w:lineRule="auto"/>
        <w:jc w:val="center"/>
        <w:rPr>
          <w:rFonts w:ascii="宋体" w:hAnsi="宋体"/>
          <w:b/>
          <w:bCs/>
          <w:sz w:val="30"/>
          <w:szCs w:val="20"/>
        </w:rPr>
      </w:pPr>
      <w:r>
        <w:rPr>
          <w:rFonts w:ascii="宋体" w:hAnsi="宋体" w:hint="eastAsia"/>
          <w:bCs/>
          <w:sz w:val="24"/>
          <w:szCs w:val="24"/>
        </w:rPr>
        <w:t>晋同兴中评报字（</w:t>
      </w:r>
      <w:r>
        <w:rPr>
          <w:rFonts w:ascii="宋体" w:hAnsi="宋体" w:hint="eastAsia"/>
          <w:bCs/>
          <w:sz w:val="24"/>
          <w:szCs w:val="24"/>
        </w:rPr>
        <w:t>202</w:t>
      </w:r>
      <w:r>
        <w:rPr>
          <w:rFonts w:ascii="宋体" w:hAnsi="宋体" w:hint="eastAsia"/>
          <w:bCs/>
          <w:sz w:val="24"/>
          <w:szCs w:val="24"/>
        </w:rPr>
        <w:t>2</w:t>
      </w:r>
      <w:r>
        <w:rPr>
          <w:rFonts w:ascii="宋体" w:hAnsi="宋体" w:hint="eastAsia"/>
          <w:bCs/>
          <w:sz w:val="24"/>
          <w:szCs w:val="24"/>
        </w:rPr>
        <w:t>）第</w:t>
      </w:r>
      <w:r>
        <w:rPr>
          <w:rFonts w:ascii="宋体" w:hAnsi="宋体" w:hint="eastAsia"/>
          <w:bCs/>
          <w:sz w:val="24"/>
          <w:szCs w:val="24"/>
        </w:rPr>
        <w:t>007</w:t>
      </w:r>
      <w:r>
        <w:rPr>
          <w:rFonts w:ascii="宋体" w:hAnsi="宋体" w:hint="eastAsia"/>
          <w:bCs/>
          <w:sz w:val="24"/>
          <w:szCs w:val="24"/>
        </w:rPr>
        <w:t>号</w:t>
      </w:r>
    </w:p>
    <w:p w:rsidR="00282123" w:rsidRDefault="00563BD8">
      <w:pPr>
        <w:tabs>
          <w:tab w:val="center" w:pos="4450"/>
        </w:tabs>
        <w:adjustRightInd w:val="0"/>
        <w:snapToGrid w:val="0"/>
        <w:spacing w:line="520" w:lineRule="exact"/>
        <w:jc w:val="left"/>
        <w:rPr>
          <w:rFonts w:ascii="宋体" w:hAnsi="宋体"/>
          <w:sz w:val="24"/>
          <w:szCs w:val="20"/>
        </w:rPr>
      </w:pPr>
      <w:r>
        <w:rPr>
          <w:rFonts w:ascii="宋体" w:hAnsi="宋体" w:hint="eastAsia"/>
          <w:sz w:val="24"/>
          <w:szCs w:val="20"/>
        </w:rPr>
        <w:t>太原市中级人民法院</w:t>
      </w:r>
      <w:r>
        <w:rPr>
          <w:rFonts w:ascii="宋体" w:hAnsi="宋体" w:hint="eastAsia"/>
          <w:sz w:val="24"/>
          <w:szCs w:val="20"/>
        </w:rPr>
        <w:t>：</w:t>
      </w:r>
      <w:r>
        <w:rPr>
          <w:rFonts w:ascii="宋体" w:hAnsi="宋体" w:hint="eastAsia"/>
          <w:sz w:val="24"/>
          <w:szCs w:val="20"/>
        </w:rPr>
        <w:tab/>
      </w:r>
    </w:p>
    <w:p w:rsidR="00282123" w:rsidRDefault="00563BD8">
      <w:pPr>
        <w:tabs>
          <w:tab w:val="left" w:pos="11988"/>
        </w:tabs>
        <w:adjustRightInd w:val="0"/>
        <w:snapToGrid w:val="0"/>
        <w:spacing w:line="520" w:lineRule="exact"/>
        <w:ind w:firstLineChars="200" w:firstLine="480"/>
        <w:jc w:val="left"/>
        <w:rPr>
          <w:rFonts w:ascii="宋体" w:hAnsi="宋体"/>
          <w:spacing w:val="2"/>
          <w:sz w:val="24"/>
          <w:szCs w:val="24"/>
        </w:rPr>
      </w:pPr>
      <w:r>
        <w:rPr>
          <w:rFonts w:ascii="宋体" w:hAnsi="宋体" w:hint="eastAsia"/>
          <w:sz w:val="24"/>
          <w:szCs w:val="20"/>
        </w:rPr>
        <w:t>山西同兴中资产评估有限公司接受</w:t>
      </w:r>
      <w:r>
        <w:rPr>
          <w:rFonts w:ascii="宋体" w:hAnsi="宋体" w:hint="eastAsia"/>
          <w:sz w:val="24"/>
          <w:szCs w:val="20"/>
        </w:rPr>
        <w:t>贵单位</w:t>
      </w:r>
      <w:r>
        <w:rPr>
          <w:rFonts w:ascii="宋体" w:hAnsi="宋体" w:hint="eastAsia"/>
          <w:sz w:val="24"/>
          <w:szCs w:val="20"/>
        </w:rPr>
        <w:t>委托，按照法律、行政法规和资产评估准则的规定，坚持独立、客观和公正的原则，采用</w:t>
      </w:r>
      <w:r>
        <w:rPr>
          <w:rFonts w:ascii="宋体" w:hAnsi="宋体" w:hint="eastAsia"/>
          <w:sz w:val="24"/>
          <w:szCs w:val="20"/>
        </w:rPr>
        <w:t>市场比较法</w:t>
      </w:r>
      <w:r>
        <w:rPr>
          <w:rFonts w:ascii="宋体" w:hAnsi="宋体" w:hint="eastAsia"/>
          <w:sz w:val="24"/>
          <w:szCs w:val="20"/>
        </w:rPr>
        <w:t>并</w:t>
      </w:r>
      <w:r>
        <w:rPr>
          <w:rFonts w:ascii="宋体" w:hAnsi="宋体" w:hint="eastAsia"/>
          <w:sz w:val="24"/>
          <w:szCs w:val="20"/>
        </w:rPr>
        <w:t>按照必要的评估程序，对</w:t>
      </w:r>
      <w:r>
        <w:rPr>
          <w:rFonts w:ascii="宋体" w:hAnsi="宋体" w:hint="eastAsia"/>
          <w:sz w:val="24"/>
          <w:szCs w:val="20"/>
        </w:rPr>
        <w:t>太原市中级人民法院</w:t>
      </w:r>
      <w:r>
        <w:rPr>
          <w:rFonts w:ascii="宋体" w:hAnsi="宋体" w:hint="eastAsia"/>
          <w:sz w:val="24"/>
          <w:szCs w:val="20"/>
        </w:rPr>
        <w:t>拟处置</w:t>
      </w:r>
      <w:r>
        <w:rPr>
          <w:rFonts w:ascii="宋体" w:hAnsi="宋体" w:hint="eastAsia"/>
          <w:sz w:val="24"/>
          <w:szCs w:val="20"/>
        </w:rPr>
        <w:t>所涉及</w:t>
      </w:r>
      <w:r>
        <w:rPr>
          <w:rFonts w:ascii="宋体" w:hAnsi="宋体" w:hint="eastAsia"/>
          <w:sz w:val="24"/>
          <w:szCs w:val="20"/>
        </w:rPr>
        <w:t>的</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在</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的市场价值进行了评估。</w:t>
      </w:r>
      <w:r>
        <w:rPr>
          <w:rFonts w:ascii="宋体" w:hAnsi="宋体" w:hint="eastAsia"/>
          <w:spacing w:val="2"/>
          <w:sz w:val="24"/>
          <w:szCs w:val="24"/>
        </w:rPr>
        <w:t>现将资产评估情况报告如下。</w:t>
      </w:r>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29" w:name="_Toc29367"/>
      <w:r>
        <w:rPr>
          <w:rFonts w:ascii="宋体" w:hAnsi="宋体" w:hint="eastAsia"/>
          <w:bCs/>
          <w:sz w:val="24"/>
          <w:szCs w:val="24"/>
        </w:rPr>
        <w:t>一、</w:t>
      </w:r>
      <w:r>
        <w:rPr>
          <w:rFonts w:ascii="宋体" w:hAnsi="宋体" w:hint="eastAsia"/>
          <w:bCs/>
          <w:sz w:val="24"/>
          <w:szCs w:val="24"/>
        </w:rPr>
        <w:t>委托方、</w:t>
      </w:r>
      <w:r>
        <w:rPr>
          <w:rFonts w:ascii="宋体" w:hAnsi="宋体" w:hint="eastAsia"/>
          <w:bCs/>
          <w:sz w:val="24"/>
          <w:szCs w:val="24"/>
        </w:rPr>
        <w:t>申请人、</w:t>
      </w:r>
      <w:r>
        <w:rPr>
          <w:rFonts w:ascii="宋体" w:hAnsi="宋体" w:hint="eastAsia"/>
          <w:bCs/>
          <w:sz w:val="24"/>
          <w:szCs w:val="24"/>
        </w:rPr>
        <w:t>被执行人及相关</w:t>
      </w:r>
      <w:r>
        <w:rPr>
          <w:rFonts w:ascii="宋体" w:hAnsi="宋体" w:hint="eastAsia"/>
          <w:bCs/>
          <w:sz w:val="24"/>
          <w:szCs w:val="24"/>
        </w:rPr>
        <w:t>资产评估报告使用人</w:t>
      </w:r>
      <w:bookmarkEnd w:id="29"/>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（一）委托方概况</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名</w:t>
      </w:r>
      <w:r>
        <w:rPr>
          <w:rFonts w:ascii="宋体" w:hAnsi="宋体" w:hint="eastAsia"/>
          <w:sz w:val="24"/>
          <w:szCs w:val="20"/>
        </w:rPr>
        <w:t xml:space="preserve">      </w:t>
      </w:r>
      <w:r>
        <w:rPr>
          <w:rFonts w:ascii="宋体" w:hAnsi="宋体" w:hint="eastAsia"/>
          <w:sz w:val="24"/>
          <w:szCs w:val="20"/>
        </w:rPr>
        <w:t>称</w:t>
      </w:r>
      <w:r>
        <w:rPr>
          <w:rFonts w:ascii="宋体" w:hAnsi="宋体" w:hint="eastAsia"/>
          <w:sz w:val="24"/>
          <w:szCs w:val="20"/>
        </w:rPr>
        <w:t>：</w:t>
      </w:r>
      <w:r>
        <w:rPr>
          <w:rFonts w:ascii="宋体" w:hAnsi="宋体" w:hint="eastAsia"/>
          <w:sz w:val="24"/>
          <w:szCs w:val="20"/>
        </w:rPr>
        <w:t>太原市中级人民法院</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（二）申请人概况</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统一社会信用代码</w:t>
      </w:r>
      <w:r>
        <w:rPr>
          <w:rFonts w:ascii="宋体" w:hAnsi="宋体" w:hint="eastAsia"/>
          <w:sz w:val="24"/>
          <w:szCs w:val="20"/>
        </w:rPr>
        <w:t>：</w:t>
      </w:r>
      <w:r>
        <w:rPr>
          <w:rFonts w:ascii="宋体" w:hAnsi="宋体" w:hint="eastAsia"/>
          <w:sz w:val="24"/>
          <w:szCs w:val="20"/>
        </w:rPr>
        <w:t xml:space="preserve">91140109719866104U </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企业名称</w:t>
      </w:r>
      <w:r>
        <w:rPr>
          <w:rFonts w:ascii="宋体" w:hAnsi="宋体" w:hint="eastAsia"/>
          <w:sz w:val="24"/>
          <w:szCs w:val="20"/>
        </w:rPr>
        <w:t>：</w:t>
      </w:r>
      <w:r>
        <w:rPr>
          <w:rFonts w:ascii="宋体" w:hAnsi="宋体" w:hint="eastAsia"/>
          <w:sz w:val="24"/>
          <w:szCs w:val="20"/>
        </w:rPr>
        <w:t>太原巨盛机械设备器材有限公司</w:t>
      </w:r>
      <w:r>
        <w:rPr>
          <w:rFonts w:ascii="宋体" w:hAnsi="宋体" w:hint="eastAsia"/>
          <w:sz w:val="24"/>
          <w:szCs w:val="20"/>
        </w:rPr>
        <w:t xml:space="preserve"> </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法定代表人</w:t>
      </w:r>
      <w:r>
        <w:rPr>
          <w:rFonts w:ascii="宋体" w:hAnsi="宋体" w:hint="eastAsia"/>
          <w:sz w:val="24"/>
          <w:szCs w:val="20"/>
        </w:rPr>
        <w:t>：</w:t>
      </w:r>
      <w:r>
        <w:rPr>
          <w:rFonts w:ascii="宋体" w:hAnsi="宋体" w:hint="eastAsia"/>
          <w:sz w:val="24"/>
          <w:szCs w:val="20"/>
        </w:rPr>
        <w:t>安树孚</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注册资本</w:t>
      </w:r>
      <w:r>
        <w:rPr>
          <w:rFonts w:ascii="宋体" w:hAnsi="宋体" w:hint="eastAsia"/>
          <w:sz w:val="24"/>
          <w:szCs w:val="20"/>
        </w:rPr>
        <w:t>：</w:t>
      </w:r>
      <w:r>
        <w:rPr>
          <w:rFonts w:ascii="宋体" w:hAnsi="宋体" w:hint="eastAsia"/>
          <w:sz w:val="24"/>
          <w:szCs w:val="20"/>
        </w:rPr>
        <w:t>50</w:t>
      </w:r>
      <w:r>
        <w:rPr>
          <w:rFonts w:ascii="宋体" w:hAnsi="宋体" w:hint="eastAsia"/>
          <w:sz w:val="24"/>
          <w:szCs w:val="20"/>
        </w:rPr>
        <w:t>万人民币</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企业类型</w:t>
      </w:r>
      <w:r>
        <w:rPr>
          <w:rFonts w:ascii="宋体" w:hAnsi="宋体" w:hint="eastAsia"/>
          <w:sz w:val="24"/>
          <w:szCs w:val="20"/>
        </w:rPr>
        <w:t>：</w:t>
      </w:r>
      <w:r>
        <w:rPr>
          <w:rFonts w:ascii="宋体" w:hAnsi="宋体" w:hint="eastAsia"/>
          <w:sz w:val="24"/>
          <w:szCs w:val="20"/>
        </w:rPr>
        <w:t>有限责任公司</w:t>
      </w:r>
      <w:r>
        <w:rPr>
          <w:rFonts w:ascii="宋体" w:hAnsi="宋体" w:hint="eastAsia"/>
          <w:sz w:val="24"/>
          <w:szCs w:val="20"/>
        </w:rPr>
        <w:t>(</w:t>
      </w:r>
      <w:r>
        <w:rPr>
          <w:rFonts w:ascii="宋体" w:hAnsi="宋体" w:hint="eastAsia"/>
          <w:sz w:val="24"/>
          <w:szCs w:val="20"/>
        </w:rPr>
        <w:t>自然人独资</w:t>
      </w:r>
      <w:r>
        <w:rPr>
          <w:rFonts w:ascii="宋体" w:hAnsi="宋体" w:hint="eastAsia"/>
          <w:sz w:val="24"/>
          <w:szCs w:val="20"/>
        </w:rPr>
        <w:t>)</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注册地址</w:t>
      </w:r>
      <w:r>
        <w:rPr>
          <w:rFonts w:ascii="宋体" w:hAnsi="宋体" w:hint="eastAsia"/>
          <w:sz w:val="24"/>
          <w:szCs w:val="20"/>
        </w:rPr>
        <w:t>：</w:t>
      </w:r>
      <w:r>
        <w:rPr>
          <w:rFonts w:ascii="宋体" w:hAnsi="宋体" w:hint="eastAsia"/>
          <w:sz w:val="24"/>
          <w:szCs w:val="20"/>
        </w:rPr>
        <w:t>太原市万柏林区迎泽西大街</w:t>
      </w:r>
      <w:r>
        <w:rPr>
          <w:rFonts w:ascii="宋体" w:hAnsi="宋体" w:hint="eastAsia"/>
          <w:sz w:val="24"/>
          <w:szCs w:val="20"/>
        </w:rPr>
        <w:t>599</w:t>
      </w:r>
      <w:r>
        <w:rPr>
          <w:rFonts w:ascii="宋体" w:hAnsi="宋体" w:hint="eastAsia"/>
          <w:sz w:val="24"/>
          <w:szCs w:val="20"/>
        </w:rPr>
        <w:t>号铁十二局建安处小区</w:t>
      </w:r>
      <w:r>
        <w:rPr>
          <w:rFonts w:ascii="宋体" w:hAnsi="宋体" w:hint="eastAsia"/>
          <w:sz w:val="24"/>
          <w:szCs w:val="20"/>
        </w:rPr>
        <w:t>19</w:t>
      </w:r>
      <w:r>
        <w:rPr>
          <w:rFonts w:ascii="宋体" w:hAnsi="宋体" w:hint="eastAsia"/>
          <w:sz w:val="24"/>
          <w:szCs w:val="20"/>
        </w:rPr>
        <w:t>幢</w:t>
      </w:r>
      <w:r>
        <w:rPr>
          <w:rFonts w:ascii="宋体" w:hAnsi="宋体" w:hint="eastAsia"/>
          <w:sz w:val="24"/>
          <w:szCs w:val="20"/>
        </w:rPr>
        <w:t>3</w:t>
      </w:r>
      <w:r>
        <w:rPr>
          <w:rFonts w:ascii="宋体" w:hAnsi="宋体" w:hint="eastAsia"/>
          <w:sz w:val="24"/>
          <w:szCs w:val="20"/>
        </w:rPr>
        <w:t>层</w:t>
      </w:r>
      <w:r>
        <w:rPr>
          <w:rFonts w:ascii="宋体" w:hAnsi="宋体" w:hint="eastAsia"/>
          <w:sz w:val="24"/>
          <w:szCs w:val="20"/>
        </w:rPr>
        <w:t>6</w:t>
      </w:r>
      <w:r>
        <w:rPr>
          <w:rFonts w:ascii="宋体" w:hAnsi="宋体" w:hint="eastAsia"/>
          <w:sz w:val="24"/>
          <w:szCs w:val="20"/>
        </w:rPr>
        <w:t>号</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经营范围</w:t>
      </w:r>
      <w:r>
        <w:rPr>
          <w:rFonts w:ascii="宋体" w:hAnsi="宋体" w:hint="eastAsia"/>
          <w:sz w:val="24"/>
          <w:szCs w:val="20"/>
        </w:rPr>
        <w:t>：</w:t>
      </w:r>
      <w:r>
        <w:rPr>
          <w:rFonts w:ascii="宋体" w:hAnsi="宋体" w:hint="eastAsia"/>
          <w:sz w:val="24"/>
          <w:szCs w:val="20"/>
        </w:rPr>
        <w:t>机械设备租赁、施工模具租赁，建筑材料、普通机械设备的批发零售。（依法须经批准的项目，经相关部门批准后方可开展经营活动）</w:t>
      </w:r>
      <w:r>
        <w:rPr>
          <w:rFonts w:ascii="宋体" w:hAnsi="宋体" w:hint="eastAsia"/>
          <w:sz w:val="24"/>
          <w:szCs w:val="20"/>
        </w:rPr>
        <w:t>。</w:t>
      </w:r>
    </w:p>
    <w:p w:rsidR="00282123" w:rsidRDefault="00563BD8">
      <w:pPr>
        <w:spacing w:line="520" w:lineRule="exact"/>
        <w:ind w:firstLineChars="200" w:firstLine="480"/>
        <w:rPr>
          <w:rFonts w:ascii="宋体" w:hAnsi="宋体"/>
          <w:sz w:val="24"/>
          <w:szCs w:val="20"/>
          <w:highlight w:val="yellow"/>
        </w:rPr>
      </w:pPr>
      <w:r>
        <w:rPr>
          <w:rFonts w:ascii="宋体" w:hAnsi="宋体" w:hint="eastAsia"/>
          <w:sz w:val="24"/>
          <w:szCs w:val="20"/>
        </w:rPr>
        <w:t>（三）被执行人</w:t>
      </w:r>
      <w:r>
        <w:rPr>
          <w:rFonts w:ascii="宋体" w:hAnsi="宋体" w:hint="eastAsia"/>
          <w:sz w:val="24"/>
          <w:szCs w:val="20"/>
        </w:rPr>
        <w:t>概况</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统一社会信用代码：</w:t>
      </w:r>
      <w:r>
        <w:rPr>
          <w:rFonts w:ascii="宋体" w:hAnsi="宋体" w:hint="eastAsia"/>
          <w:sz w:val="24"/>
          <w:szCs w:val="20"/>
        </w:rPr>
        <w:t>91140100666622797R</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lastRenderedPageBreak/>
        <w:t>企业名称：</w:t>
      </w:r>
      <w:r>
        <w:rPr>
          <w:rFonts w:ascii="宋体" w:hAnsi="宋体" w:hint="eastAsia"/>
          <w:sz w:val="24"/>
          <w:szCs w:val="20"/>
        </w:rPr>
        <w:t xml:space="preserve"> </w:t>
      </w:r>
      <w:r>
        <w:rPr>
          <w:rFonts w:ascii="宋体" w:hAnsi="宋体" w:hint="eastAsia"/>
          <w:sz w:val="24"/>
          <w:szCs w:val="20"/>
        </w:rPr>
        <w:t>太原市盛嘉房地产开发有限公司</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法定代表人</w:t>
      </w:r>
      <w:r>
        <w:rPr>
          <w:rFonts w:ascii="宋体" w:hAnsi="宋体" w:hint="eastAsia"/>
          <w:sz w:val="24"/>
          <w:szCs w:val="20"/>
        </w:rPr>
        <w:t>：</w:t>
      </w:r>
      <w:r>
        <w:rPr>
          <w:rFonts w:ascii="宋体" w:hAnsi="宋体" w:hint="eastAsia"/>
          <w:sz w:val="24"/>
          <w:szCs w:val="20"/>
        </w:rPr>
        <w:t xml:space="preserve"> </w:t>
      </w:r>
      <w:r>
        <w:rPr>
          <w:rFonts w:ascii="宋体" w:hAnsi="宋体" w:hint="eastAsia"/>
          <w:sz w:val="24"/>
          <w:szCs w:val="20"/>
        </w:rPr>
        <w:t>赵存楼</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类型：</w:t>
      </w:r>
      <w:r>
        <w:rPr>
          <w:rFonts w:ascii="宋体" w:hAnsi="宋体" w:hint="eastAsia"/>
          <w:sz w:val="24"/>
          <w:szCs w:val="20"/>
        </w:rPr>
        <w:t xml:space="preserve"> </w:t>
      </w:r>
      <w:r>
        <w:rPr>
          <w:rFonts w:ascii="宋体" w:hAnsi="宋体" w:hint="eastAsia"/>
          <w:sz w:val="24"/>
          <w:szCs w:val="20"/>
        </w:rPr>
        <w:t>有限责任公司</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成立日期：</w:t>
      </w:r>
      <w:r>
        <w:rPr>
          <w:rFonts w:ascii="宋体" w:hAnsi="宋体" w:hint="eastAsia"/>
          <w:sz w:val="24"/>
          <w:szCs w:val="20"/>
        </w:rPr>
        <w:t xml:space="preserve"> 200</w:t>
      </w:r>
      <w:r>
        <w:rPr>
          <w:rFonts w:ascii="宋体" w:hAnsi="宋体" w:hint="eastAsia"/>
          <w:sz w:val="24"/>
          <w:szCs w:val="20"/>
        </w:rPr>
        <w:t>7</w:t>
      </w:r>
      <w:r>
        <w:rPr>
          <w:rFonts w:ascii="宋体" w:hAnsi="宋体" w:hint="eastAsia"/>
          <w:sz w:val="24"/>
          <w:szCs w:val="20"/>
        </w:rPr>
        <w:t>年</w:t>
      </w:r>
      <w:r>
        <w:rPr>
          <w:rFonts w:ascii="宋体" w:hAnsi="宋体" w:hint="eastAsia"/>
          <w:sz w:val="24"/>
          <w:szCs w:val="20"/>
        </w:rPr>
        <w:t>09</w:t>
      </w:r>
      <w:r>
        <w:rPr>
          <w:rFonts w:ascii="宋体" w:hAnsi="宋体" w:hint="eastAsia"/>
          <w:sz w:val="24"/>
          <w:szCs w:val="20"/>
        </w:rPr>
        <w:t>月</w:t>
      </w:r>
      <w:r>
        <w:rPr>
          <w:rFonts w:ascii="宋体" w:hAnsi="宋体" w:hint="eastAsia"/>
          <w:sz w:val="24"/>
          <w:szCs w:val="20"/>
        </w:rPr>
        <w:t>2</w:t>
      </w:r>
      <w:r>
        <w:rPr>
          <w:rFonts w:ascii="宋体" w:hAnsi="宋体" w:hint="eastAsia"/>
          <w:sz w:val="24"/>
          <w:szCs w:val="20"/>
        </w:rPr>
        <w:t>0</w:t>
      </w:r>
      <w:r>
        <w:rPr>
          <w:rFonts w:ascii="宋体" w:hAnsi="宋体" w:hint="eastAsia"/>
          <w:sz w:val="24"/>
          <w:szCs w:val="20"/>
        </w:rPr>
        <w:t>日</w:t>
      </w:r>
      <w:r>
        <w:rPr>
          <w:rFonts w:ascii="宋体" w:hAnsi="宋体" w:hint="eastAsia"/>
          <w:sz w:val="24"/>
          <w:szCs w:val="20"/>
        </w:rPr>
        <w:t xml:space="preserve"> </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注册资本：</w:t>
      </w:r>
      <w:r>
        <w:rPr>
          <w:rFonts w:ascii="宋体" w:hAnsi="宋体" w:hint="eastAsia"/>
          <w:sz w:val="24"/>
          <w:szCs w:val="20"/>
        </w:rPr>
        <w:t xml:space="preserve"> </w:t>
      </w:r>
      <w:r>
        <w:rPr>
          <w:rFonts w:ascii="宋体" w:hAnsi="宋体" w:hint="eastAsia"/>
          <w:sz w:val="24"/>
          <w:szCs w:val="20"/>
        </w:rPr>
        <w:t>1000</w:t>
      </w:r>
      <w:r>
        <w:rPr>
          <w:rFonts w:ascii="宋体" w:hAnsi="宋体" w:hint="eastAsia"/>
          <w:sz w:val="24"/>
          <w:szCs w:val="20"/>
        </w:rPr>
        <w:t>万人民币</w:t>
      </w:r>
      <w:r>
        <w:rPr>
          <w:rFonts w:ascii="宋体" w:hAnsi="宋体" w:hint="eastAsia"/>
          <w:sz w:val="24"/>
          <w:szCs w:val="20"/>
        </w:rPr>
        <w:t xml:space="preserve"> </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地所：</w:t>
      </w:r>
      <w:r>
        <w:rPr>
          <w:rFonts w:ascii="宋体" w:hAnsi="宋体" w:hint="eastAsia"/>
          <w:sz w:val="24"/>
          <w:szCs w:val="20"/>
        </w:rPr>
        <w:t>太原市杏花岭区五龙口街</w:t>
      </w:r>
      <w:r>
        <w:rPr>
          <w:rFonts w:ascii="宋体" w:hAnsi="宋体" w:hint="eastAsia"/>
          <w:sz w:val="24"/>
          <w:szCs w:val="20"/>
        </w:rPr>
        <w:t>551</w:t>
      </w:r>
      <w:r>
        <w:rPr>
          <w:rFonts w:ascii="宋体" w:hAnsi="宋体" w:hint="eastAsia"/>
          <w:sz w:val="24"/>
          <w:szCs w:val="20"/>
        </w:rPr>
        <w:t>号</w:t>
      </w:r>
    </w:p>
    <w:p w:rsidR="00282123" w:rsidRDefault="00563BD8">
      <w:pPr>
        <w:spacing w:line="520" w:lineRule="exact"/>
        <w:ind w:firstLineChars="300" w:firstLine="720"/>
        <w:rPr>
          <w:rFonts w:ascii="宋体" w:hAnsi="宋体"/>
          <w:sz w:val="24"/>
          <w:szCs w:val="20"/>
        </w:rPr>
      </w:pPr>
      <w:r>
        <w:rPr>
          <w:rFonts w:ascii="宋体" w:hAnsi="宋体" w:hint="eastAsia"/>
          <w:sz w:val="24"/>
          <w:szCs w:val="20"/>
        </w:rPr>
        <w:t>经营范围：</w:t>
      </w:r>
      <w:r>
        <w:rPr>
          <w:rFonts w:ascii="宋体" w:hAnsi="宋体" w:hint="eastAsia"/>
          <w:sz w:val="24"/>
          <w:szCs w:val="20"/>
        </w:rPr>
        <w:t xml:space="preserve"> </w:t>
      </w:r>
      <w:r>
        <w:rPr>
          <w:rFonts w:ascii="宋体" w:hAnsi="宋体" w:hint="eastAsia"/>
          <w:sz w:val="24"/>
          <w:szCs w:val="20"/>
        </w:rPr>
        <w:t>房地产的开发、销售。（法律、法规禁止经营的不得经营，需经审批的未获批准前不得经营，许可项目在许可证有效期限内经营）</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（四）资产评估委托合同约定的其他资产评估报告使用人</w:t>
      </w:r>
    </w:p>
    <w:p w:rsidR="00282123" w:rsidRDefault="00563BD8">
      <w:pPr>
        <w:spacing w:line="520" w:lineRule="exact"/>
        <w:ind w:firstLineChars="200" w:firstLine="488"/>
        <w:rPr>
          <w:rFonts w:ascii="宋体" w:hAnsi="宋体"/>
          <w:sz w:val="24"/>
          <w:szCs w:val="20"/>
        </w:rPr>
      </w:pPr>
      <w:r>
        <w:rPr>
          <w:rFonts w:ascii="宋体" w:hAnsi="宋体" w:hint="eastAsia"/>
          <w:spacing w:val="2"/>
          <w:position w:val="2"/>
          <w:sz w:val="24"/>
          <w:szCs w:val="20"/>
        </w:rPr>
        <w:t>除法律、行政法规另有规定外，其他任何机构和个人不能成为本资产评估报告的使用人。</w:t>
      </w:r>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0" w:name="_Toc30980"/>
      <w:r>
        <w:rPr>
          <w:rFonts w:ascii="宋体" w:hAnsi="宋体" w:hint="eastAsia"/>
          <w:bCs/>
          <w:sz w:val="24"/>
          <w:szCs w:val="24"/>
        </w:rPr>
        <w:t>二、评估目的</w:t>
      </w:r>
      <w:bookmarkEnd w:id="30"/>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由于</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司法处置</w:t>
      </w:r>
      <w:r>
        <w:rPr>
          <w:rFonts w:ascii="宋体" w:hAnsi="宋体" w:hint="eastAsia"/>
          <w:sz w:val="24"/>
          <w:szCs w:val="20"/>
        </w:rPr>
        <w:t>的需要，特委托我公司对</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进行评估，本次评估目的为确定委估资产在评估基准日</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的市场价值，为其拟</w:t>
      </w:r>
      <w:r>
        <w:rPr>
          <w:rFonts w:ascii="宋体" w:hAnsi="宋体" w:hint="eastAsia"/>
          <w:sz w:val="24"/>
          <w:szCs w:val="20"/>
        </w:rPr>
        <w:t>司法处置</w:t>
      </w:r>
      <w:r>
        <w:rPr>
          <w:rFonts w:ascii="宋体" w:hAnsi="宋体" w:hint="eastAsia"/>
          <w:sz w:val="24"/>
          <w:szCs w:val="20"/>
        </w:rPr>
        <w:t>之经济行为提供价值参考。</w:t>
      </w:r>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1" w:name="_Toc23322"/>
      <w:r>
        <w:rPr>
          <w:rFonts w:ascii="宋体" w:hAnsi="宋体" w:hint="eastAsia"/>
          <w:bCs/>
          <w:sz w:val="24"/>
          <w:szCs w:val="24"/>
        </w:rPr>
        <w:t>三、评估对象和评估范围</w:t>
      </w:r>
      <w:bookmarkEnd w:id="31"/>
    </w:p>
    <w:p w:rsidR="00282123" w:rsidRDefault="00563BD8">
      <w:pPr>
        <w:adjustRightInd w:val="0"/>
        <w:snapToGrid w:val="0"/>
        <w:spacing w:line="520" w:lineRule="exact"/>
        <w:ind w:left="539"/>
        <w:rPr>
          <w:rFonts w:ascii="宋体" w:hAnsi="宋体"/>
          <w:sz w:val="24"/>
          <w:szCs w:val="20"/>
        </w:rPr>
      </w:pPr>
      <w:r>
        <w:rPr>
          <w:rFonts w:ascii="宋体" w:hAnsi="宋体" w:hint="eastAsia"/>
          <w:sz w:val="24"/>
          <w:szCs w:val="20"/>
        </w:rPr>
        <w:t>（一）评</w:t>
      </w:r>
      <w:r>
        <w:rPr>
          <w:rFonts w:ascii="宋体" w:hAnsi="宋体" w:hint="eastAsia"/>
          <w:sz w:val="24"/>
          <w:szCs w:val="20"/>
        </w:rPr>
        <w:t>估对象</w:t>
      </w:r>
    </w:p>
    <w:p w:rsidR="00282123" w:rsidRDefault="00563BD8">
      <w:pPr>
        <w:adjustRightInd w:val="0"/>
        <w:snapToGrid w:val="0"/>
        <w:spacing w:line="520" w:lineRule="exact"/>
        <w:ind w:firstLine="540"/>
        <w:rPr>
          <w:rFonts w:ascii="宋体" w:hAnsi="宋体"/>
          <w:sz w:val="24"/>
          <w:szCs w:val="20"/>
        </w:rPr>
      </w:pPr>
      <w:r>
        <w:rPr>
          <w:rFonts w:ascii="宋体" w:hAnsi="宋体" w:hint="eastAsia"/>
          <w:sz w:val="24"/>
          <w:szCs w:val="20"/>
        </w:rPr>
        <w:t>评估对象为</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w:t>
      </w:r>
      <w:r>
        <w:rPr>
          <w:rFonts w:ascii="宋体" w:hAnsi="宋体" w:hint="eastAsia"/>
          <w:sz w:val="24"/>
          <w:szCs w:val="20"/>
        </w:rPr>
        <w:t>处置</w:t>
      </w:r>
      <w:r>
        <w:rPr>
          <w:rFonts w:ascii="宋体" w:hAnsi="宋体" w:hint="eastAsia"/>
          <w:sz w:val="24"/>
          <w:szCs w:val="20"/>
        </w:rPr>
        <w:t>所涉及</w:t>
      </w:r>
      <w:r>
        <w:rPr>
          <w:rFonts w:ascii="宋体" w:hAnsi="宋体" w:hint="eastAsia"/>
          <w:sz w:val="24"/>
          <w:szCs w:val="20"/>
        </w:rPr>
        <w:t>的</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p>
    <w:p w:rsidR="00282123" w:rsidRDefault="00563BD8">
      <w:pPr>
        <w:adjustRightInd w:val="0"/>
        <w:snapToGrid w:val="0"/>
        <w:spacing w:line="520" w:lineRule="exact"/>
        <w:ind w:firstLine="540"/>
        <w:rPr>
          <w:rFonts w:ascii="宋体" w:hAnsi="宋体"/>
          <w:sz w:val="24"/>
          <w:szCs w:val="20"/>
        </w:rPr>
      </w:pPr>
      <w:r>
        <w:rPr>
          <w:rFonts w:ascii="宋体" w:hAnsi="宋体" w:hint="eastAsia"/>
          <w:sz w:val="24"/>
          <w:szCs w:val="20"/>
        </w:rPr>
        <w:t>（二）评估范围</w:t>
      </w:r>
    </w:p>
    <w:p w:rsidR="00282123" w:rsidRDefault="00563BD8">
      <w:pPr>
        <w:adjustRightInd w:val="0"/>
        <w:snapToGrid w:val="0"/>
        <w:spacing w:line="520" w:lineRule="exact"/>
        <w:ind w:firstLine="540"/>
        <w:rPr>
          <w:rFonts w:ascii="宋体" w:hAnsi="宋体"/>
          <w:sz w:val="24"/>
          <w:szCs w:val="20"/>
        </w:rPr>
      </w:pPr>
      <w:r>
        <w:rPr>
          <w:rFonts w:ascii="宋体" w:hAnsi="宋体" w:hint="eastAsia"/>
          <w:sz w:val="24"/>
          <w:szCs w:val="20"/>
        </w:rPr>
        <w:t>评估范围为</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号特别特花园地下车库共计</w:t>
      </w:r>
      <w:r>
        <w:rPr>
          <w:rFonts w:ascii="宋体" w:hAnsi="宋体" w:hint="eastAsia"/>
          <w:sz w:val="24"/>
          <w:szCs w:val="20"/>
        </w:rPr>
        <w:t>55</w:t>
      </w:r>
      <w:r>
        <w:rPr>
          <w:rFonts w:ascii="宋体" w:hAnsi="宋体" w:hint="eastAsia"/>
          <w:sz w:val="24"/>
          <w:szCs w:val="20"/>
        </w:rPr>
        <w:t>个车位的使用权，其中负一层</w:t>
      </w:r>
      <w:r>
        <w:rPr>
          <w:rFonts w:ascii="宋体" w:hAnsi="宋体" w:hint="eastAsia"/>
          <w:sz w:val="24"/>
          <w:szCs w:val="20"/>
        </w:rPr>
        <w:t>39</w:t>
      </w:r>
      <w:r>
        <w:rPr>
          <w:rFonts w:ascii="宋体" w:hAnsi="宋体" w:hint="eastAsia"/>
          <w:sz w:val="24"/>
          <w:szCs w:val="20"/>
        </w:rPr>
        <w:t>个车位的使用权，负二层</w:t>
      </w:r>
      <w:r>
        <w:rPr>
          <w:rFonts w:ascii="宋体" w:hAnsi="宋体" w:hint="eastAsia"/>
          <w:sz w:val="24"/>
          <w:szCs w:val="20"/>
        </w:rPr>
        <w:t>16</w:t>
      </w:r>
      <w:r>
        <w:rPr>
          <w:rFonts w:ascii="宋体" w:hAnsi="宋体" w:hint="eastAsia"/>
          <w:sz w:val="24"/>
          <w:szCs w:val="20"/>
        </w:rPr>
        <w:t>个车位的使用权，</w:t>
      </w:r>
      <w:r>
        <w:rPr>
          <w:rFonts w:ascii="宋体" w:hAnsi="宋体" w:hint="eastAsia"/>
          <w:sz w:val="24"/>
          <w:szCs w:val="20"/>
        </w:rPr>
        <w:t>具体</w:t>
      </w:r>
      <w:r>
        <w:rPr>
          <w:rFonts w:ascii="宋体" w:hAnsi="宋体" w:hint="eastAsia"/>
          <w:sz w:val="24"/>
          <w:szCs w:val="20"/>
        </w:rPr>
        <w:t>明细详见</w:t>
      </w:r>
      <w:r>
        <w:rPr>
          <w:rFonts w:ascii="宋体" w:hAnsi="宋体" w:hint="eastAsia"/>
          <w:sz w:val="24"/>
          <w:szCs w:val="20"/>
        </w:rPr>
        <w:t>下表</w:t>
      </w:r>
      <w:r>
        <w:rPr>
          <w:rFonts w:ascii="宋体" w:hAnsi="宋体" w:hint="eastAsia"/>
          <w:sz w:val="24"/>
          <w:szCs w:val="20"/>
        </w:rPr>
        <w:t>。</w:t>
      </w:r>
    </w:p>
    <w:tbl>
      <w:tblPr>
        <w:tblW w:w="4997" w:type="pct"/>
        <w:tblLayout w:type="fixed"/>
        <w:tblLook w:val="04A0"/>
      </w:tblPr>
      <w:tblGrid>
        <w:gridCol w:w="673"/>
        <w:gridCol w:w="2474"/>
        <w:gridCol w:w="1748"/>
        <w:gridCol w:w="1294"/>
        <w:gridCol w:w="1281"/>
        <w:gridCol w:w="804"/>
        <w:gridCol w:w="838"/>
      </w:tblGrid>
      <w:tr w:rsidR="00282123">
        <w:trPr>
          <w:trHeight w:val="940"/>
        </w:trPr>
        <w:tc>
          <w:tcPr>
            <w:tcW w:w="36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序号</w:t>
            </w:r>
          </w:p>
        </w:tc>
        <w:tc>
          <w:tcPr>
            <w:tcW w:w="13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名称</w:t>
            </w:r>
          </w:p>
        </w:tc>
        <w:tc>
          <w:tcPr>
            <w:tcW w:w="9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所在层数</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计量单位</w:t>
            </w:r>
          </w:p>
        </w:tc>
        <w:tc>
          <w:tcPr>
            <w:tcW w:w="44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个数</w:t>
            </w:r>
          </w:p>
        </w:tc>
        <w:tc>
          <w:tcPr>
            <w:tcW w:w="46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备注</w:t>
            </w:r>
          </w:p>
        </w:tc>
      </w:tr>
      <w:tr w:rsidR="00282123">
        <w:trPr>
          <w:trHeight w:val="480"/>
        </w:trPr>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1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号特别特花园负一层地下车库</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负一层中心位置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r>
              <w:rPr>
                <w:rFonts w:ascii="Arial" w:hAnsi="Arial" w:cs="Arial" w:hint="eastAsia"/>
                <w:color w:val="000000"/>
                <w:kern w:val="0"/>
                <w:sz w:val="18"/>
                <w:szCs w:val="18"/>
                <w:lang/>
              </w:rPr>
              <w:t>3</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480"/>
        </w:trPr>
        <w:tc>
          <w:tcPr>
            <w:tcW w:w="36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1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负一层边缘位置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26</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480"/>
        </w:trPr>
        <w:tc>
          <w:tcPr>
            <w:tcW w:w="369"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lastRenderedPageBreak/>
              <w:t>2</w:t>
            </w:r>
          </w:p>
        </w:tc>
        <w:tc>
          <w:tcPr>
            <w:tcW w:w="135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号特别特花园负二层地下车库</w:t>
            </w: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层中心位置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9</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369"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1356"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95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层边缘位置</w:t>
            </w:r>
          </w:p>
        </w:tc>
        <w:tc>
          <w:tcPr>
            <w:tcW w:w="7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hint="eastAsia"/>
                <w:color w:val="000000"/>
                <w:kern w:val="0"/>
                <w:sz w:val="18"/>
                <w:szCs w:val="18"/>
                <w:lang/>
              </w:rPr>
              <w:t>7</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2684"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合计</w:t>
            </w:r>
          </w:p>
        </w:tc>
        <w:tc>
          <w:tcPr>
            <w:tcW w:w="710"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20"/>
                <w:szCs w:val="20"/>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44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r>
              <w:rPr>
                <w:rFonts w:ascii="Arial" w:hAnsi="Arial" w:cs="Arial" w:hint="eastAsia"/>
                <w:color w:val="000000"/>
                <w:kern w:val="0"/>
                <w:sz w:val="18"/>
                <w:szCs w:val="18"/>
                <w:lang/>
              </w:rPr>
              <w:t>5</w:t>
            </w:r>
          </w:p>
        </w:tc>
        <w:tc>
          <w:tcPr>
            <w:tcW w:w="4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bl>
    <w:tbl>
      <w:tblPr>
        <w:tblStyle w:val="ad"/>
        <w:tblpPr w:leftFromText="180" w:rightFromText="180" w:vertAnchor="text" w:tblpX="10483" w:tblpY="-2928"/>
        <w:tblOverlap w:val="never"/>
        <w:tblW w:w="697" w:type="pct"/>
        <w:tblLook w:val="04A0"/>
      </w:tblPr>
      <w:tblGrid>
        <w:gridCol w:w="5501"/>
      </w:tblGrid>
      <w:tr w:rsidR="00282123">
        <w:trPr>
          <w:trHeight w:val="30"/>
        </w:trPr>
        <w:tc>
          <w:tcPr>
            <w:tcW w:w="5000" w:type="pct"/>
          </w:tcPr>
          <w:tbl>
            <w:tblPr>
              <w:tblW w:w="4998" w:type="pct"/>
              <w:tblLook w:val="04A0"/>
            </w:tblPr>
            <w:tblGrid>
              <w:gridCol w:w="616"/>
              <w:gridCol w:w="1016"/>
              <w:gridCol w:w="1016"/>
              <w:gridCol w:w="1216"/>
              <w:gridCol w:w="995"/>
              <w:gridCol w:w="416"/>
            </w:tblGrid>
            <w:tr w:rsidR="00282123">
              <w:trPr>
                <w:trHeight w:val="240"/>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sz w:val="18"/>
                      <w:szCs w:val="18"/>
                    </w:rPr>
                  </w:pPr>
                  <w:r>
                    <w:rPr>
                      <w:rFonts w:ascii="宋体" w:hAnsi="宋体" w:cs="宋体" w:hint="eastAsia"/>
                      <w:color w:val="000000"/>
                      <w:kern w:val="0"/>
                      <w:sz w:val="20"/>
                      <w:szCs w:val="20"/>
                      <w:lang/>
                    </w:rPr>
                    <w:t>序号</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名称</w:t>
                  </w:r>
                </w:p>
              </w:tc>
              <w:tc>
                <w:tcPr>
                  <w:tcW w:w="7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sz w:val="18"/>
                      <w:szCs w:val="18"/>
                    </w:rPr>
                  </w:pPr>
                  <w:r>
                    <w:rPr>
                      <w:rFonts w:ascii="宋体" w:hAnsi="宋体" w:cs="宋体" w:hint="eastAsia"/>
                      <w:color w:val="000000"/>
                      <w:kern w:val="0"/>
                      <w:sz w:val="20"/>
                      <w:szCs w:val="20"/>
                      <w:lang/>
                    </w:rPr>
                    <w:t>计量单位</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存放地点</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sz w:val="18"/>
                      <w:szCs w:val="18"/>
                    </w:rPr>
                  </w:pPr>
                  <w:r>
                    <w:rPr>
                      <w:rFonts w:ascii="宋体" w:hAnsi="宋体" w:cs="宋体" w:hint="eastAsia"/>
                      <w:color w:val="000000"/>
                      <w:kern w:val="0"/>
                      <w:sz w:val="20"/>
                      <w:szCs w:val="20"/>
                      <w:lang/>
                    </w:rPr>
                    <w:t>估算重量（</w:t>
                  </w:r>
                  <w:r>
                    <w:rPr>
                      <w:rFonts w:ascii="宋体" w:hAnsi="宋体" w:cs="宋体" w:hint="eastAsia"/>
                      <w:color w:val="000000"/>
                      <w:kern w:val="0"/>
                      <w:sz w:val="20"/>
                      <w:szCs w:val="20"/>
                      <w:lang/>
                    </w:rPr>
                    <w:t>t</w:t>
                  </w:r>
                  <w:r>
                    <w:rPr>
                      <w:rFonts w:ascii="宋体" w:hAnsi="宋体" w:cs="宋体" w:hint="eastAsia"/>
                      <w:color w:val="000000"/>
                      <w:kern w:val="0"/>
                      <w:sz w:val="20"/>
                      <w:szCs w:val="20"/>
                      <w:lang/>
                    </w:rPr>
                    <w:t>）</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kern w:val="0"/>
                      <w:sz w:val="20"/>
                      <w:szCs w:val="20"/>
                      <w:lang/>
                    </w:rPr>
                  </w:pPr>
                  <w:r>
                    <w:rPr>
                      <w:rFonts w:ascii="宋体" w:hAnsi="宋体" w:cs="宋体" w:hint="eastAsia"/>
                      <w:color w:val="000000"/>
                      <w:kern w:val="0"/>
                      <w:sz w:val="20"/>
                      <w:szCs w:val="20"/>
                      <w:lang/>
                    </w:rPr>
                    <w:t>备注</w:t>
                  </w:r>
                </w:p>
              </w:tc>
            </w:tr>
            <w:tr w:rsidR="00282123">
              <w:trPr>
                <w:trHeight w:val="240"/>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sz w:val="18"/>
                      <w:szCs w:val="18"/>
                    </w:rPr>
                  </w:pPr>
                  <w:r>
                    <w:rPr>
                      <w:rFonts w:ascii="Arial" w:hAnsi="Arial" w:cs="Arial"/>
                      <w:color w:val="000000"/>
                      <w:kern w:val="0"/>
                      <w:sz w:val="20"/>
                      <w:szCs w:val="20"/>
                      <w:lang/>
                    </w:rPr>
                    <w:t>1</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Style w:val="font81"/>
                      <w:rFonts w:hint="default"/>
                      <w:lang/>
                    </w:rPr>
                    <w:t>特细碎石</w:t>
                  </w:r>
                </w:p>
              </w:tc>
              <w:tc>
                <w:tcPr>
                  <w:tcW w:w="7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sz w:val="18"/>
                      <w:szCs w:val="18"/>
                    </w:rPr>
                  </w:pPr>
                  <w:r>
                    <w:rPr>
                      <w:rFonts w:ascii="宋体" w:hAnsi="宋体" w:cs="宋体" w:hint="eastAsia"/>
                      <w:color w:val="000000"/>
                      <w:kern w:val="0"/>
                      <w:sz w:val="20"/>
                      <w:szCs w:val="20"/>
                      <w:lang/>
                    </w:rPr>
                    <w:t>吨</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桃源石料厂</w:t>
                  </w:r>
                </w:p>
              </w:tc>
              <w:tc>
                <w:tcPr>
                  <w:tcW w:w="1055" w:type="pct"/>
                  <w:tcBorders>
                    <w:top w:val="single" w:sz="4" w:space="0" w:color="000000"/>
                    <w:left w:val="nil"/>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宋体" w:hAnsi="宋体" w:cs="宋体"/>
                      <w:color w:val="000000"/>
                      <w:sz w:val="18"/>
                      <w:szCs w:val="18"/>
                    </w:rPr>
                  </w:pPr>
                  <w:r>
                    <w:rPr>
                      <w:rFonts w:ascii="Arial" w:hAnsi="Arial" w:cs="Arial"/>
                      <w:color w:val="000000"/>
                      <w:kern w:val="0"/>
                      <w:sz w:val="20"/>
                      <w:szCs w:val="20"/>
                      <w:lang/>
                    </w:rPr>
                    <w:t>1,029</w:t>
                  </w:r>
                </w:p>
              </w:tc>
              <w:tc>
                <w:tcPr>
                  <w:tcW w:w="1055"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framePr w:hSpace="180" w:wrap="around" w:vAnchor="text" w:hAnchor="text" w:x="10483" w:y="-2928"/>
                    <w:widowControl/>
                    <w:suppressOverlap/>
                    <w:jc w:val="center"/>
                    <w:textAlignment w:val="center"/>
                    <w:rPr>
                      <w:rFonts w:ascii="Arial" w:hAnsi="Arial" w:cs="Arial"/>
                      <w:color w:val="000000"/>
                      <w:kern w:val="0"/>
                      <w:sz w:val="20"/>
                      <w:szCs w:val="20"/>
                      <w:lang/>
                    </w:rPr>
                  </w:pPr>
                </w:p>
              </w:tc>
            </w:tr>
            <w:tr w:rsidR="00282123">
              <w:trPr>
                <w:trHeight w:val="240"/>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2</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Style w:val="font81"/>
                      <w:rFonts w:hint="default"/>
                      <w:lang/>
                    </w:rPr>
                    <w:t>细碎石</w:t>
                  </w:r>
                </w:p>
              </w:tc>
              <w:tc>
                <w:tcPr>
                  <w:tcW w:w="7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宋体" w:hAnsi="宋体" w:cs="宋体" w:hint="eastAsia"/>
                      <w:color w:val="000000"/>
                      <w:kern w:val="0"/>
                      <w:sz w:val="20"/>
                      <w:szCs w:val="20"/>
                      <w:lang/>
                    </w:rPr>
                    <w:t>吨</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桃源石料厂</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435</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framePr w:hSpace="180" w:wrap="around" w:vAnchor="text" w:hAnchor="text" w:x="10483" w:y="-2928"/>
                    <w:widowControl/>
                    <w:suppressOverlap/>
                    <w:jc w:val="center"/>
                    <w:textAlignment w:val="center"/>
                    <w:rPr>
                      <w:rFonts w:ascii="Arial" w:hAnsi="Arial" w:cs="Arial"/>
                      <w:color w:val="000000"/>
                      <w:kern w:val="0"/>
                      <w:sz w:val="20"/>
                      <w:szCs w:val="20"/>
                      <w:lang/>
                    </w:rPr>
                  </w:pPr>
                </w:p>
              </w:tc>
            </w:tr>
            <w:tr w:rsidR="00282123">
              <w:trPr>
                <w:trHeight w:val="240"/>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3</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Style w:val="font81"/>
                      <w:rFonts w:hint="default"/>
                      <w:lang/>
                    </w:rPr>
                    <w:t>中碎石</w:t>
                  </w:r>
                </w:p>
              </w:tc>
              <w:tc>
                <w:tcPr>
                  <w:tcW w:w="7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宋体" w:hAnsi="宋体" w:cs="宋体" w:hint="eastAsia"/>
                      <w:color w:val="000000"/>
                      <w:kern w:val="0"/>
                      <w:sz w:val="20"/>
                      <w:szCs w:val="20"/>
                      <w:lang/>
                    </w:rPr>
                    <w:t>吨</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桃源石料厂</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3,214</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framePr w:hSpace="180" w:wrap="around" w:vAnchor="text" w:hAnchor="text" w:x="10483" w:y="-2928"/>
                    <w:widowControl/>
                    <w:suppressOverlap/>
                    <w:jc w:val="center"/>
                    <w:textAlignment w:val="center"/>
                    <w:rPr>
                      <w:rFonts w:ascii="Arial" w:hAnsi="Arial" w:cs="Arial"/>
                      <w:color w:val="000000"/>
                      <w:kern w:val="0"/>
                      <w:sz w:val="20"/>
                      <w:szCs w:val="20"/>
                      <w:lang/>
                    </w:rPr>
                  </w:pPr>
                </w:p>
              </w:tc>
            </w:tr>
            <w:tr w:rsidR="00282123">
              <w:trPr>
                <w:trHeight w:val="240"/>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4</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Style w:val="font81"/>
                      <w:rFonts w:hint="default"/>
                      <w:lang/>
                    </w:rPr>
                    <w:t>粗碎石</w:t>
                  </w:r>
                </w:p>
              </w:tc>
              <w:tc>
                <w:tcPr>
                  <w:tcW w:w="7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宋体" w:hAnsi="宋体" w:cs="宋体" w:hint="eastAsia"/>
                      <w:color w:val="000000"/>
                      <w:kern w:val="0"/>
                      <w:sz w:val="20"/>
                      <w:szCs w:val="20"/>
                      <w:lang/>
                    </w:rPr>
                    <w:t>吨</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桃源石料厂</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3,010</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framePr w:hSpace="180" w:wrap="around" w:vAnchor="text" w:hAnchor="text" w:x="10483" w:y="-2928"/>
                    <w:widowControl/>
                    <w:suppressOverlap/>
                    <w:jc w:val="center"/>
                    <w:textAlignment w:val="center"/>
                    <w:rPr>
                      <w:rFonts w:ascii="Arial" w:hAnsi="Arial" w:cs="Arial"/>
                      <w:color w:val="000000"/>
                      <w:kern w:val="0"/>
                      <w:sz w:val="20"/>
                      <w:szCs w:val="20"/>
                      <w:lang/>
                    </w:rPr>
                  </w:pPr>
                </w:p>
              </w:tc>
            </w:tr>
            <w:tr w:rsidR="00282123">
              <w:trPr>
                <w:trHeight w:val="240"/>
              </w:trPr>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5</w:t>
                  </w:r>
                </w:p>
              </w:tc>
              <w:tc>
                <w:tcPr>
                  <w:tcW w:w="7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Style w:val="font81"/>
                      <w:rFonts w:hint="default"/>
                      <w:lang/>
                    </w:rPr>
                    <w:t>粉砂</w:t>
                  </w:r>
                </w:p>
              </w:tc>
              <w:tc>
                <w:tcPr>
                  <w:tcW w:w="7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宋体" w:hAnsi="宋体" w:cs="宋体" w:hint="eastAsia"/>
                      <w:color w:val="000000"/>
                      <w:kern w:val="0"/>
                      <w:sz w:val="20"/>
                      <w:szCs w:val="20"/>
                      <w:lang/>
                    </w:rPr>
                    <w:t>吨</w:t>
                  </w:r>
                </w:p>
              </w:tc>
              <w:tc>
                <w:tcPr>
                  <w:tcW w:w="105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桃源石料厂</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1,442</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framePr w:hSpace="180" w:wrap="around" w:vAnchor="text" w:hAnchor="text" w:x="10483" w:y="-2928"/>
                    <w:widowControl/>
                    <w:suppressOverlap/>
                    <w:jc w:val="center"/>
                    <w:textAlignment w:val="center"/>
                    <w:rPr>
                      <w:rFonts w:ascii="Arial" w:hAnsi="Arial" w:cs="Arial"/>
                      <w:color w:val="000000"/>
                      <w:kern w:val="0"/>
                      <w:sz w:val="20"/>
                      <w:szCs w:val="20"/>
                      <w:lang/>
                    </w:rPr>
                  </w:pPr>
                </w:p>
              </w:tc>
            </w:tr>
            <w:tr w:rsidR="00282123">
              <w:trPr>
                <w:trHeight w:val="286"/>
              </w:trPr>
              <w:tc>
                <w:tcPr>
                  <w:tcW w:w="1133"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framePr w:hSpace="180" w:wrap="around" w:vAnchor="text" w:hAnchor="text" w:x="10483" w:y="-2928"/>
                    <w:widowControl/>
                    <w:suppressOverlap/>
                    <w:jc w:val="center"/>
                    <w:textAlignment w:val="center"/>
                    <w:rPr>
                      <w:sz w:val="18"/>
                      <w:szCs w:val="18"/>
                    </w:rPr>
                  </w:pPr>
                  <w:r>
                    <w:rPr>
                      <w:rFonts w:ascii="宋体" w:hAnsi="宋体" w:cs="宋体" w:hint="eastAsia"/>
                      <w:color w:val="000000"/>
                      <w:kern w:val="0"/>
                      <w:sz w:val="20"/>
                      <w:szCs w:val="20"/>
                      <w:lang/>
                    </w:rPr>
                    <w:t>合计</w:t>
                  </w:r>
                </w:p>
              </w:tc>
              <w:tc>
                <w:tcPr>
                  <w:tcW w:w="704" w:type="pct"/>
                  <w:tcBorders>
                    <w:top w:val="nil"/>
                    <w:left w:val="single" w:sz="4" w:space="0" w:color="000000"/>
                    <w:bottom w:val="single" w:sz="4" w:space="0" w:color="000000"/>
                    <w:right w:val="single" w:sz="4" w:space="0" w:color="000000"/>
                  </w:tcBorders>
                  <w:shd w:val="clear" w:color="auto" w:fill="auto"/>
                  <w:noWrap/>
                  <w:vAlign w:val="center"/>
                </w:tcPr>
                <w:p w:rsidR="00282123" w:rsidRDefault="00282123">
                  <w:pPr>
                    <w:framePr w:hSpace="180" w:wrap="around" w:vAnchor="text" w:hAnchor="text" w:x="10483" w:y="-2928"/>
                    <w:suppressOverlap/>
                    <w:jc w:val="center"/>
                    <w:rPr>
                      <w:rFonts w:ascii="Arial" w:hAnsi="Arial" w:cs="Arial"/>
                      <w:color w:val="000000"/>
                      <w:sz w:val="18"/>
                      <w:szCs w:val="18"/>
                    </w:rPr>
                  </w:pPr>
                </w:p>
              </w:tc>
              <w:tc>
                <w:tcPr>
                  <w:tcW w:w="1050" w:type="pct"/>
                  <w:tcBorders>
                    <w:top w:val="nil"/>
                    <w:left w:val="single" w:sz="4" w:space="0" w:color="000000"/>
                    <w:bottom w:val="single" w:sz="4" w:space="0" w:color="000000"/>
                    <w:right w:val="single" w:sz="4" w:space="0" w:color="000000"/>
                  </w:tcBorders>
                  <w:shd w:val="clear" w:color="auto" w:fill="auto"/>
                  <w:noWrap/>
                  <w:vAlign w:val="center"/>
                </w:tcPr>
                <w:p w:rsidR="00282123" w:rsidRDefault="00282123">
                  <w:pPr>
                    <w:framePr w:hSpace="180" w:wrap="around" w:vAnchor="text" w:hAnchor="text" w:x="10483" w:y="-2928"/>
                    <w:suppressOverlap/>
                    <w:jc w:val="center"/>
                    <w:rPr>
                      <w:sz w:val="18"/>
                      <w:szCs w:val="18"/>
                    </w:rPr>
                  </w:pP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framePr w:hSpace="180" w:wrap="around" w:vAnchor="text" w:hAnchor="text" w:x="10483" w:y="-2928"/>
                    <w:widowControl/>
                    <w:suppressOverlap/>
                    <w:jc w:val="center"/>
                    <w:textAlignment w:val="center"/>
                    <w:rPr>
                      <w:rFonts w:ascii="Arial" w:hAnsi="Arial" w:cs="Arial"/>
                      <w:color w:val="000000"/>
                      <w:sz w:val="18"/>
                      <w:szCs w:val="18"/>
                    </w:rPr>
                  </w:pPr>
                  <w:r>
                    <w:rPr>
                      <w:rFonts w:ascii="Arial" w:hAnsi="Arial" w:cs="Arial"/>
                      <w:color w:val="000000"/>
                      <w:kern w:val="0"/>
                      <w:sz w:val="20"/>
                      <w:szCs w:val="20"/>
                      <w:lang/>
                    </w:rPr>
                    <w:t>9,130.00</w:t>
                  </w:r>
                </w:p>
              </w:tc>
              <w:tc>
                <w:tcPr>
                  <w:tcW w:w="10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framePr w:hSpace="180" w:wrap="around" w:vAnchor="text" w:hAnchor="text" w:x="10483" w:y="-2928"/>
                    <w:widowControl/>
                    <w:suppressOverlap/>
                    <w:jc w:val="center"/>
                    <w:textAlignment w:val="center"/>
                    <w:rPr>
                      <w:rFonts w:ascii="Arial" w:hAnsi="Arial" w:cs="Arial"/>
                      <w:color w:val="000000"/>
                      <w:kern w:val="0"/>
                      <w:sz w:val="20"/>
                      <w:szCs w:val="20"/>
                      <w:lang/>
                    </w:rPr>
                  </w:pPr>
                </w:p>
              </w:tc>
            </w:tr>
          </w:tbl>
          <w:p w:rsidR="00282123" w:rsidRDefault="00282123">
            <w:pPr>
              <w:adjustRightInd w:val="0"/>
              <w:snapToGrid w:val="0"/>
              <w:spacing w:line="520" w:lineRule="exact"/>
              <w:rPr>
                <w:rFonts w:ascii="宋体" w:hAnsi="宋体"/>
                <w:sz w:val="24"/>
                <w:szCs w:val="20"/>
              </w:rPr>
            </w:pPr>
          </w:p>
        </w:tc>
      </w:tr>
    </w:tbl>
    <w:p w:rsidR="00282123" w:rsidRDefault="00563BD8">
      <w:pPr>
        <w:spacing w:line="520" w:lineRule="exact"/>
        <w:ind w:firstLineChars="200" w:firstLine="480"/>
        <w:rPr>
          <w:rFonts w:ascii="宋体" w:hAnsi="宋体"/>
          <w:sz w:val="24"/>
          <w:szCs w:val="20"/>
        </w:rPr>
      </w:pPr>
      <w:r>
        <w:rPr>
          <w:rFonts w:ascii="宋体" w:hAnsi="宋体" w:hint="eastAsia"/>
          <w:sz w:val="24"/>
          <w:szCs w:val="20"/>
        </w:rPr>
        <w:t>四、价值类型及其定义</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根据本次资产评估的特定目的，评估时的市场条件以及评估对象的自身特点，确定本评估项目的价值类型为市场价值。</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市场价值的内涵：市场价值是指自愿买方和自愿卖方在各自理性行事且未受任何强迫压制的情况下，经过一段合理的展示期，某项资产在评估基准日进行正常交易的价值估计数额。</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五、评估基准日</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本项目选定的资产评估基准日是</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评估基准日是根据评估人员与委托方现场勘查之日，确定为评估基准日。</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（一）现场勘验</w:t>
      </w:r>
    </w:p>
    <w:p w:rsidR="00282123" w:rsidRDefault="00563BD8">
      <w:pPr>
        <w:spacing w:line="520" w:lineRule="exact"/>
        <w:ind w:firstLineChars="200" w:firstLine="480"/>
        <w:rPr>
          <w:rFonts w:ascii="宋体" w:hAnsi="宋体"/>
          <w:sz w:val="24"/>
          <w:szCs w:val="20"/>
        </w:rPr>
      </w:pPr>
      <w:r>
        <w:rPr>
          <w:rFonts w:ascii="宋体" w:hAnsi="宋体" w:hint="eastAsia"/>
          <w:sz w:val="24"/>
          <w:szCs w:val="20"/>
        </w:rPr>
        <w:t>本次现场勘验被执行人未到现场，本次现场由资产评估专业人员、委托方及申请人三方共同核查。经现场勘查特别特花园地下车库负一、负二层车位共计</w:t>
      </w:r>
      <w:r>
        <w:rPr>
          <w:rFonts w:ascii="宋体" w:hAnsi="宋体" w:hint="eastAsia"/>
          <w:sz w:val="24"/>
          <w:szCs w:val="20"/>
        </w:rPr>
        <w:t>107</w:t>
      </w:r>
      <w:r>
        <w:rPr>
          <w:rFonts w:ascii="宋体" w:hAnsi="宋体" w:hint="eastAsia"/>
          <w:sz w:val="24"/>
          <w:szCs w:val="20"/>
        </w:rPr>
        <w:t>个。纳入本次评估范围的</w:t>
      </w:r>
      <w:r>
        <w:rPr>
          <w:rFonts w:ascii="宋体" w:hAnsi="宋体" w:hint="eastAsia"/>
          <w:sz w:val="24"/>
          <w:szCs w:val="20"/>
        </w:rPr>
        <w:t>5</w:t>
      </w:r>
      <w:r>
        <w:rPr>
          <w:rFonts w:ascii="宋体" w:hAnsi="宋体" w:hint="eastAsia"/>
          <w:sz w:val="24"/>
          <w:szCs w:val="20"/>
        </w:rPr>
        <w:t>5</w:t>
      </w:r>
      <w:r>
        <w:rPr>
          <w:rFonts w:ascii="宋体" w:hAnsi="宋体" w:hint="eastAsia"/>
          <w:sz w:val="24"/>
          <w:szCs w:val="20"/>
        </w:rPr>
        <w:t>个车位的使用权车位号分别为负一层</w:t>
      </w:r>
      <w:r>
        <w:rPr>
          <w:rFonts w:ascii="宋体" w:hAnsi="宋体" w:hint="eastAsia"/>
          <w:sz w:val="24"/>
          <w:szCs w:val="20"/>
        </w:rPr>
        <w:t>3</w:t>
      </w:r>
      <w:r>
        <w:rPr>
          <w:rFonts w:ascii="宋体" w:hAnsi="宋体" w:hint="eastAsia"/>
          <w:sz w:val="24"/>
          <w:szCs w:val="20"/>
        </w:rPr>
        <w:t>、</w:t>
      </w:r>
      <w:r>
        <w:rPr>
          <w:rFonts w:ascii="宋体" w:hAnsi="宋体" w:hint="eastAsia"/>
          <w:sz w:val="24"/>
          <w:szCs w:val="20"/>
        </w:rPr>
        <w:t>4</w:t>
      </w:r>
      <w:r>
        <w:rPr>
          <w:rFonts w:ascii="宋体" w:hAnsi="宋体" w:hint="eastAsia"/>
          <w:sz w:val="24"/>
          <w:szCs w:val="20"/>
        </w:rPr>
        <w:t>、</w:t>
      </w:r>
      <w:r>
        <w:rPr>
          <w:rFonts w:ascii="宋体" w:hAnsi="宋体" w:hint="eastAsia"/>
          <w:sz w:val="24"/>
          <w:szCs w:val="20"/>
        </w:rPr>
        <w:t>5</w:t>
      </w:r>
      <w:r>
        <w:rPr>
          <w:rFonts w:ascii="宋体" w:hAnsi="宋体" w:hint="eastAsia"/>
          <w:sz w:val="24"/>
          <w:szCs w:val="20"/>
        </w:rPr>
        <w:t>、</w:t>
      </w:r>
      <w:r>
        <w:rPr>
          <w:rFonts w:ascii="宋体" w:hAnsi="宋体" w:hint="eastAsia"/>
          <w:sz w:val="24"/>
          <w:szCs w:val="20"/>
        </w:rPr>
        <w:t>7</w:t>
      </w:r>
      <w:r>
        <w:rPr>
          <w:rFonts w:ascii="宋体" w:hAnsi="宋体" w:hint="eastAsia"/>
          <w:sz w:val="24"/>
          <w:szCs w:val="20"/>
        </w:rPr>
        <w:t>、</w:t>
      </w:r>
      <w:r>
        <w:rPr>
          <w:rFonts w:ascii="宋体" w:hAnsi="宋体" w:hint="eastAsia"/>
          <w:sz w:val="24"/>
          <w:szCs w:val="20"/>
        </w:rPr>
        <w:t>8</w:t>
      </w:r>
      <w:r>
        <w:rPr>
          <w:rFonts w:ascii="宋体" w:hAnsi="宋体" w:hint="eastAsia"/>
          <w:sz w:val="24"/>
          <w:szCs w:val="20"/>
        </w:rPr>
        <w:t>、</w:t>
      </w:r>
      <w:r>
        <w:rPr>
          <w:rFonts w:ascii="宋体" w:hAnsi="宋体" w:hint="eastAsia"/>
          <w:sz w:val="24"/>
          <w:szCs w:val="20"/>
        </w:rPr>
        <w:t>10-20</w:t>
      </w:r>
      <w:r>
        <w:rPr>
          <w:rFonts w:ascii="宋体" w:hAnsi="宋体" w:hint="eastAsia"/>
          <w:sz w:val="24"/>
          <w:szCs w:val="20"/>
        </w:rPr>
        <w:t>、</w:t>
      </w:r>
      <w:r>
        <w:rPr>
          <w:rFonts w:ascii="宋体" w:hAnsi="宋体" w:hint="eastAsia"/>
          <w:sz w:val="24"/>
          <w:szCs w:val="20"/>
        </w:rPr>
        <w:t>23</w:t>
      </w:r>
      <w:r>
        <w:rPr>
          <w:rFonts w:ascii="宋体" w:hAnsi="宋体" w:hint="eastAsia"/>
          <w:sz w:val="24"/>
          <w:szCs w:val="20"/>
        </w:rPr>
        <w:t>、</w:t>
      </w:r>
      <w:r>
        <w:rPr>
          <w:rFonts w:ascii="宋体" w:hAnsi="宋体" w:hint="eastAsia"/>
          <w:sz w:val="24"/>
          <w:szCs w:val="20"/>
        </w:rPr>
        <w:t>25-28</w:t>
      </w:r>
      <w:r>
        <w:rPr>
          <w:rFonts w:ascii="宋体" w:hAnsi="宋体" w:hint="eastAsia"/>
          <w:sz w:val="24"/>
          <w:szCs w:val="20"/>
        </w:rPr>
        <w:t>、</w:t>
      </w:r>
      <w:r>
        <w:rPr>
          <w:rFonts w:ascii="宋体" w:hAnsi="宋体" w:hint="eastAsia"/>
          <w:sz w:val="24"/>
          <w:szCs w:val="20"/>
        </w:rPr>
        <w:t>31-34</w:t>
      </w:r>
      <w:r>
        <w:rPr>
          <w:rFonts w:ascii="宋体" w:hAnsi="宋体" w:hint="eastAsia"/>
          <w:sz w:val="24"/>
          <w:szCs w:val="20"/>
        </w:rPr>
        <w:t>、</w:t>
      </w:r>
      <w:r>
        <w:rPr>
          <w:rFonts w:ascii="宋体" w:hAnsi="宋体" w:hint="eastAsia"/>
          <w:sz w:val="24"/>
          <w:szCs w:val="20"/>
        </w:rPr>
        <w:t>36</w:t>
      </w:r>
      <w:r>
        <w:rPr>
          <w:rFonts w:ascii="宋体" w:hAnsi="宋体" w:hint="eastAsia"/>
          <w:sz w:val="24"/>
          <w:szCs w:val="20"/>
        </w:rPr>
        <w:t>、</w:t>
      </w:r>
      <w:r>
        <w:rPr>
          <w:rFonts w:ascii="宋体" w:hAnsi="宋体" w:hint="eastAsia"/>
          <w:sz w:val="24"/>
          <w:szCs w:val="20"/>
        </w:rPr>
        <w:t>38</w:t>
      </w:r>
      <w:r>
        <w:rPr>
          <w:rFonts w:ascii="宋体" w:hAnsi="宋体" w:hint="eastAsia"/>
          <w:sz w:val="24"/>
          <w:szCs w:val="20"/>
        </w:rPr>
        <w:t>、</w:t>
      </w:r>
      <w:r>
        <w:rPr>
          <w:rFonts w:ascii="宋体" w:hAnsi="宋体" w:hint="eastAsia"/>
          <w:sz w:val="24"/>
          <w:szCs w:val="20"/>
        </w:rPr>
        <w:t>43-47</w:t>
      </w:r>
      <w:r>
        <w:rPr>
          <w:rFonts w:ascii="宋体" w:hAnsi="宋体" w:hint="eastAsia"/>
          <w:sz w:val="24"/>
          <w:szCs w:val="20"/>
        </w:rPr>
        <w:t>、</w:t>
      </w:r>
      <w:r>
        <w:rPr>
          <w:rFonts w:ascii="宋体" w:hAnsi="宋体" w:hint="eastAsia"/>
          <w:sz w:val="24"/>
          <w:szCs w:val="20"/>
        </w:rPr>
        <w:t>49</w:t>
      </w:r>
      <w:r>
        <w:rPr>
          <w:rFonts w:ascii="宋体" w:hAnsi="宋体" w:hint="eastAsia"/>
          <w:sz w:val="24"/>
          <w:szCs w:val="20"/>
        </w:rPr>
        <w:t>、</w:t>
      </w:r>
      <w:r>
        <w:rPr>
          <w:rFonts w:ascii="宋体" w:hAnsi="宋体" w:hint="eastAsia"/>
          <w:sz w:val="24"/>
          <w:szCs w:val="20"/>
        </w:rPr>
        <w:t>52-57</w:t>
      </w:r>
      <w:r>
        <w:rPr>
          <w:rFonts w:ascii="宋体" w:hAnsi="宋体" w:hint="eastAsia"/>
          <w:sz w:val="24"/>
          <w:szCs w:val="20"/>
        </w:rPr>
        <w:t>，共计</w:t>
      </w:r>
      <w:r>
        <w:rPr>
          <w:rFonts w:ascii="宋体" w:hAnsi="宋体" w:hint="eastAsia"/>
          <w:sz w:val="24"/>
          <w:szCs w:val="20"/>
        </w:rPr>
        <w:t>39</w:t>
      </w:r>
      <w:r>
        <w:rPr>
          <w:rFonts w:ascii="宋体" w:hAnsi="宋体" w:hint="eastAsia"/>
          <w:sz w:val="24"/>
          <w:szCs w:val="20"/>
        </w:rPr>
        <w:t>个车位；负二层</w:t>
      </w:r>
      <w:r>
        <w:rPr>
          <w:rFonts w:ascii="宋体" w:hAnsi="宋体" w:hint="eastAsia"/>
          <w:sz w:val="24"/>
          <w:szCs w:val="20"/>
        </w:rPr>
        <w:t>12</w:t>
      </w:r>
      <w:r>
        <w:rPr>
          <w:rFonts w:ascii="宋体" w:hAnsi="宋体" w:hint="eastAsia"/>
          <w:sz w:val="24"/>
          <w:szCs w:val="20"/>
        </w:rPr>
        <w:t>、</w:t>
      </w:r>
      <w:r>
        <w:rPr>
          <w:rFonts w:ascii="宋体" w:hAnsi="宋体" w:hint="eastAsia"/>
          <w:sz w:val="24"/>
          <w:szCs w:val="20"/>
        </w:rPr>
        <w:t>24</w:t>
      </w:r>
      <w:r>
        <w:rPr>
          <w:rFonts w:ascii="宋体" w:hAnsi="宋体" w:hint="eastAsia"/>
          <w:sz w:val="24"/>
          <w:szCs w:val="20"/>
        </w:rPr>
        <w:t>、</w:t>
      </w:r>
      <w:r>
        <w:rPr>
          <w:rFonts w:ascii="宋体" w:hAnsi="宋体" w:hint="eastAsia"/>
          <w:sz w:val="24"/>
          <w:szCs w:val="20"/>
        </w:rPr>
        <w:t>33-46</w:t>
      </w:r>
      <w:r>
        <w:rPr>
          <w:rFonts w:ascii="宋体" w:hAnsi="宋体" w:hint="eastAsia"/>
          <w:sz w:val="24"/>
          <w:szCs w:val="20"/>
        </w:rPr>
        <w:t>，共计</w:t>
      </w:r>
      <w:r>
        <w:rPr>
          <w:rFonts w:ascii="宋体" w:hAnsi="宋体" w:hint="eastAsia"/>
          <w:sz w:val="24"/>
          <w:szCs w:val="20"/>
        </w:rPr>
        <w:t>1</w:t>
      </w:r>
      <w:r>
        <w:rPr>
          <w:rFonts w:ascii="宋体" w:hAnsi="宋体" w:hint="eastAsia"/>
          <w:sz w:val="24"/>
          <w:szCs w:val="20"/>
        </w:rPr>
        <w:t>6</w:t>
      </w:r>
      <w:r>
        <w:rPr>
          <w:rFonts w:ascii="宋体" w:hAnsi="宋体" w:hint="eastAsia"/>
          <w:sz w:val="24"/>
          <w:szCs w:val="20"/>
        </w:rPr>
        <w:t>个车位。</w:t>
      </w:r>
    </w:p>
    <w:p w:rsidR="00282123" w:rsidRDefault="00563BD8">
      <w:pPr>
        <w:keepNext/>
        <w:keepLines/>
        <w:adjustRightInd w:val="0"/>
        <w:snapToGrid w:val="0"/>
        <w:spacing w:line="440" w:lineRule="atLeast"/>
        <w:ind w:firstLineChars="218" w:firstLine="523"/>
        <w:outlineLvl w:val="2"/>
        <w:rPr>
          <w:rFonts w:ascii="宋体" w:hAnsi="宋体"/>
          <w:bCs/>
          <w:sz w:val="24"/>
          <w:szCs w:val="24"/>
        </w:rPr>
      </w:pPr>
      <w:bookmarkStart w:id="32" w:name="_Toc21909"/>
      <w:r>
        <w:rPr>
          <w:rFonts w:ascii="宋体" w:hAnsi="宋体" w:hint="eastAsia"/>
          <w:bCs/>
          <w:sz w:val="24"/>
          <w:szCs w:val="24"/>
        </w:rPr>
        <w:t>六、评估依据</w:t>
      </w:r>
      <w:bookmarkEnd w:id="32"/>
    </w:p>
    <w:p w:rsidR="00282123" w:rsidRDefault="00563BD8">
      <w:pPr>
        <w:adjustRightInd w:val="0"/>
        <w:snapToGrid w:val="0"/>
        <w:spacing w:line="440" w:lineRule="atLeast"/>
        <w:ind w:left="539"/>
        <w:rPr>
          <w:rFonts w:ascii="宋体" w:hAnsi="宋体"/>
          <w:sz w:val="24"/>
          <w:szCs w:val="20"/>
        </w:rPr>
      </w:pPr>
      <w:r>
        <w:rPr>
          <w:rFonts w:ascii="宋体" w:hAnsi="宋体" w:hint="eastAsia"/>
          <w:sz w:val="24"/>
          <w:szCs w:val="20"/>
        </w:rPr>
        <w:t>（一）</w:t>
      </w:r>
      <w:r>
        <w:rPr>
          <w:rFonts w:ascii="宋体" w:hAnsi="宋体" w:hint="eastAsia"/>
          <w:sz w:val="24"/>
          <w:szCs w:val="20"/>
        </w:rPr>
        <w:t>经济</w:t>
      </w:r>
      <w:r>
        <w:rPr>
          <w:rFonts w:ascii="宋体" w:hAnsi="宋体" w:hint="eastAsia"/>
          <w:sz w:val="24"/>
          <w:szCs w:val="20"/>
        </w:rPr>
        <w:t>行为依据</w:t>
      </w:r>
    </w:p>
    <w:p w:rsidR="00282123" w:rsidRDefault="00563BD8">
      <w:pPr>
        <w:adjustRightInd w:val="0"/>
        <w:snapToGrid w:val="0"/>
        <w:spacing w:line="440" w:lineRule="atLeast"/>
        <w:ind w:firstLineChars="200" w:firstLine="480"/>
        <w:rPr>
          <w:rFonts w:ascii="宋体" w:hAnsi="宋体"/>
          <w:sz w:val="24"/>
          <w:szCs w:val="20"/>
        </w:rPr>
      </w:pPr>
      <w:r>
        <w:rPr>
          <w:rFonts w:ascii="宋体" w:hAnsi="宋体" w:hint="eastAsia"/>
          <w:sz w:val="24"/>
          <w:szCs w:val="20"/>
        </w:rPr>
        <w:t>1.</w:t>
      </w:r>
      <w:r>
        <w:rPr>
          <w:rFonts w:ascii="宋体" w:hAnsi="宋体" w:hint="eastAsia"/>
          <w:sz w:val="24"/>
          <w:szCs w:val="20"/>
        </w:rPr>
        <w:t>太原市中级人民法院</w:t>
      </w:r>
      <w:r>
        <w:rPr>
          <w:rFonts w:ascii="宋体" w:hAnsi="宋体" w:hint="eastAsia"/>
          <w:sz w:val="24"/>
          <w:szCs w:val="20"/>
        </w:rPr>
        <w:t>提供</w:t>
      </w:r>
      <w:r>
        <w:rPr>
          <w:rFonts w:ascii="宋体" w:hAnsi="宋体" w:hint="eastAsia"/>
          <w:sz w:val="24"/>
          <w:szCs w:val="20"/>
        </w:rPr>
        <w:t>的</w:t>
      </w:r>
      <w:r>
        <w:rPr>
          <w:rFonts w:ascii="宋体" w:hAnsi="宋体" w:hint="eastAsia"/>
          <w:sz w:val="24"/>
          <w:szCs w:val="20"/>
        </w:rPr>
        <w:t>案件委托书</w:t>
      </w:r>
      <w:r>
        <w:rPr>
          <w:rFonts w:ascii="宋体" w:hAnsi="宋体" w:hint="eastAsia"/>
          <w:sz w:val="24"/>
          <w:szCs w:val="20"/>
        </w:rPr>
        <w:t>。</w:t>
      </w:r>
    </w:p>
    <w:p w:rsidR="00282123" w:rsidRDefault="00563BD8">
      <w:pPr>
        <w:adjustRightInd w:val="0"/>
        <w:snapToGrid w:val="0"/>
        <w:spacing w:line="440" w:lineRule="atLeast"/>
        <w:ind w:left="539"/>
        <w:rPr>
          <w:rFonts w:ascii="宋体" w:hAnsi="宋体"/>
          <w:sz w:val="24"/>
          <w:szCs w:val="20"/>
        </w:rPr>
      </w:pPr>
      <w:r>
        <w:rPr>
          <w:rFonts w:ascii="宋体" w:hAnsi="宋体" w:hint="eastAsia"/>
          <w:sz w:val="24"/>
          <w:szCs w:val="20"/>
        </w:rPr>
        <w:t>（二）法律依据</w:t>
      </w:r>
    </w:p>
    <w:p w:rsidR="00282123" w:rsidRDefault="00563BD8">
      <w:pPr>
        <w:tabs>
          <w:tab w:val="left" w:pos="945"/>
          <w:tab w:val="left" w:pos="6103"/>
        </w:tabs>
        <w:adjustRightInd w:val="0"/>
        <w:snapToGrid w:val="0"/>
        <w:spacing w:line="440" w:lineRule="atLeast"/>
        <w:ind w:firstLineChars="215" w:firstLine="516"/>
        <w:jc w:val="left"/>
        <w:rPr>
          <w:rFonts w:ascii="宋体" w:hAnsi="宋体"/>
          <w:sz w:val="24"/>
          <w:szCs w:val="20"/>
        </w:rPr>
      </w:pPr>
      <w:r>
        <w:rPr>
          <w:rFonts w:ascii="宋体" w:hAnsi="宋体" w:hint="eastAsia"/>
          <w:sz w:val="24"/>
          <w:szCs w:val="20"/>
        </w:rPr>
        <w:t>1.</w:t>
      </w:r>
      <w:r>
        <w:rPr>
          <w:rFonts w:ascii="宋体" w:hAnsi="宋体" w:hint="eastAsia"/>
          <w:sz w:val="24"/>
          <w:szCs w:val="20"/>
        </w:rPr>
        <w:t>《中华人民共和国资产评估法》（</w:t>
      </w:r>
      <w:r>
        <w:rPr>
          <w:rFonts w:ascii="宋体" w:hAnsi="宋体" w:hint="eastAsia"/>
          <w:sz w:val="24"/>
          <w:szCs w:val="20"/>
        </w:rPr>
        <w:t>2016</w:t>
      </w:r>
      <w:r>
        <w:rPr>
          <w:rFonts w:ascii="宋体" w:hAnsi="宋体" w:hint="eastAsia"/>
          <w:sz w:val="24"/>
          <w:szCs w:val="20"/>
        </w:rPr>
        <w:t>年</w:t>
      </w:r>
      <w:r>
        <w:rPr>
          <w:rFonts w:ascii="宋体" w:hAnsi="宋体" w:hint="eastAsia"/>
          <w:sz w:val="24"/>
          <w:szCs w:val="20"/>
        </w:rPr>
        <w:t>7</w:t>
      </w:r>
      <w:r>
        <w:rPr>
          <w:rFonts w:ascii="宋体" w:hAnsi="宋体" w:hint="eastAsia"/>
          <w:sz w:val="24"/>
          <w:szCs w:val="20"/>
        </w:rPr>
        <w:t>月</w:t>
      </w:r>
      <w:r>
        <w:rPr>
          <w:rFonts w:ascii="宋体" w:hAnsi="宋体" w:hint="eastAsia"/>
          <w:sz w:val="24"/>
          <w:szCs w:val="20"/>
        </w:rPr>
        <w:t>2</w:t>
      </w:r>
      <w:r>
        <w:rPr>
          <w:rFonts w:ascii="宋体" w:hAnsi="宋体" w:hint="eastAsia"/>
          <w:sz w:val="24"/>
          <w:szCs w:val="20"/>
        </w:rPr>
        <w:t>日第十二届全国人民代表大会常务委员会第二十一次会议通过，自</w:t>
      </w:r>
      <w:r>
        <w:rPr>
          <w:rFonts w:ascii="宋体" w:hAnsi="宋体" w:hint="eastAsia"/>
          <w:sz w:val="24"/>
          <w:szCs w:val="20"/>
        </w:rPr>
        <w:t>2016</w:t>
      </w:r>
      <w:r>
        <w:rPr>
          <w:rFonts w:ascii="宋体" w:hAnsi="宋体" w:hint="eastAsia"/>
          <w:sz w:val="24"/>
          <w:szCs w:val="20"/>
        </w:rPr>
        <w:t>年</w:t>
      </w:r>
      <w:r>
        <w:rPr>
          <w:rFonts w:ascii="宋体" w:hAnsi="宋体" w:hint="eastAsia"/>
          <w:sz w:val="24"/>
          <w:szCs w:val="20"/>
        </w:rPr>
        <w:t>12</w:t>
      </w:r>
      <w:r>
        <w:rPr>
          <w:rFonts w:ascii="宋体" w:hAnsi="宋体" w:hint="eastAsia"/>
          <w:sz w:val="24"/>
          <w:szCs w:val="20"/>
        </w:rPr>
        <w:t>月</w:t>
      </w:r>
      <w:r>
        <w:rPr>
          <w:rFonts w:ascii="宋体" w:hAnsi="宋体" w:hint="eastAsia"/>
          <w:sz w:val="24"/>
          <w:szCs w:val="20"/>
        </w:rPr>
        <w:t>1</w:t>
      </w:r>
      <w:r>
        <w:rPr>
          <w:rFonts w:ascii="宋体" w:hAnsi="宋体" w:hint="eastAsia"/>
          <w:sz w:val="24"/>
          <w:szCs w:val="20"/>
        </w:rPr>
        <w:t>日起施行）；</w:t>
      </w:r>
    </w:p>
    <w:p w:rsidR="00282123" w:rsidRDefault="00563BD8">
      <w:pPr>
        <w:tabs>
          <w:tab w:val="left" w:pos="945"/>
          <w:tab w:val="left" w:pos="6103"/>
        </w:tabs>
        <w:adjustRightInd w:val="0"/>
        <w:snapToGrid w:val="0"/>
        <w:spacing w:line="440" w:lineRule="atLeast"/>
        <w:ind w:firstLineChars="215" w:firstLine="516"/>
        <w:jc w:val="left"/>
        <w:rPr>
          <w:rFonts w:ascii="宋体" w:hAnsi="宋体"/>
          <w:sz w:val="24"/>
          <w:szCs w:val="20"/>
        </w:rPr>
      </w:pPr>
      <w:r>
        <w:rPr>
          <w:rFonts w:ascii="宋体" w:hAnsi="宋体" w:hint="eastAsia"/>
          <w:sz w:val="24"/>
          <w:szCs w:val="20"/>
        </w:rPr>
        <w:t>2.</w:t>
      </w:r>
      <w:r>
        <w:rPr>
          <w:rFonts w:ascii="宋体" w:hAnsi="宋体" w:hint="eastAsia"/>
          <w:sz w:val="24"/>
          <w:szCs w:val="20"/>
        </w:rPr>
        <w:t>《中华人民共和国民法典》（</w:t>
      </w:r>
      <w:r>
        <w:rPr>
          <w:rFonts w:ascii="宋体" w:hAnsi="宋体" w:hint="eastAsia"/>
          <w:sz w:val="24"/>
          <w:szCs w:val="20"/>
        </w:rPr>
        <w:t>2020</w:t>
      </w:r>
      <w:r>
        <w:rPr>
          <w:rFonts w:ascii="宋体" w:hAnsi="宋体" w:hint="eastAsia"/>
          <w:sz w:val="24"/>
          <w:szCs w:val="20"/>
        </w:rPr>
        <w:t>年</w:t>
      </w:r>
      <w:r>
        <w:rPr>
          <w:rFonts w:ascii="宋体" w:hAnsi="宋体" w:hint="eastAsia"/>
          <w:sz w:val="24"/>
          <w:szCs w:val="20"/>
        </w:rPr>
        <w:t>5</w:t>
      </w:r>
      <w:r>
        <w:rPr>
          <w:rFonts w:ascii="宋体" w:hAnsi="宋体" w:hint="eastAsia"/>
          <w:sz w:val="24"/>
          <w:szCs w:val="20"/>
        </w:rPr>
        <w:t>月</w:t>
      </w:r>
      <w:r>
        <w:rPr>
          <w:rFonts w:ascii="宋体" w:hAnsi="宋体" w:hint="eastAsia"/>
          <w:sz w:val="24"/>
          <w:szCs w:val="20"/>
        </w:rPr>
        <w:t>28</w:t>
      </w:r>
      <w:r>
        <w:rPr>
          <w:rFonts w:ascii="宋体" w:hAnsi="宋体" w:hint="eastAsia"/>
          <w:sz w:val="24"/>
          <w:szCs w:val="20"/>
        </w:rPr>
        <w:t>日，十三届全国人大三次会议表决通过，自</w:t>
      </w:r>
      <w:r>
        <w:rPr>
          <w:rFonts w:ascii="宋体" w:hAnsi="宋体" w:hint="eastAsia"/>
          <w:sz w:val="24"/>
          <w:szCs w:val="20"/>
        </w:rPr>
        <w:t>2021</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1</w:t>
      </w:r>
      <w:r>
        <w:rPr>
          <w:rFonts w:ascii="宋体" w:hAnsi="宋体" w:hint="eastAsia"/>
          <w:sz w:val="24"/>
          <w:szCs w:val="20"/>
        </w:rPr>
        <w:t>日起施行）；</w:t>
      </w:r>
    </w:p>
    <w:p w:rsidR="00282123" w:rsidRDefault="00563BD8">
      <w:pPr>
        <w:tabs>
          <w:tab w:val="left" w:pos="945"/>
          <w:tab w:val="left" w:pos="6103"/>
        </w:tabs>
        <w:adjustRightInd w:val="0"/>
        <w:snapToGrid w:val="0"/>
        <w:spacing w:line="440" w:lineRule="atLeast"/>
        <w:ind w:firstLineChars="215" w:firstLine="516"/>
        <w:jc w:val="left"/>
        <w:rPr>
          <w:rFonts w:ascii="宋体" w:hAnsi="宋体"/>
          <w:sz w:val="24"/>
          <w:szCs w:val="20"/>
        </w:rPr>
      </w:pPr>
      <w:r>
        <w:rPr>
          <w:rFonts w:ascii="宋体" w:hAnsi="宋体" w:hint="eastAsia"/>
          <w:sz w:val="24"/>
          <w:szCs w:val="20"/>
        </w:rPr>
        <w:t>3</w:t>
      </w:r>
      <w:r>
        <w:rPr>
          <w:rFonts w:ascii="宋体" w:hAnsi="宋体" w:hint="eastAsia"/>
          <w:sz w:val="24"/>
          <w:szCs w:val="20"/>
        </w:rPr>
        <w:t>.</w:t>
      </w:r>
      <w:r>
        <w:rPr>
          <w:rFonts w:ascii="宋体" w:hAnsi="宋体" w:hint="eastAsia"/>
          <w:sz w:val="24"/>
          <w:szCs w:val="20"/>
        </w:rPr>
        <w:t>《中华人民共和国拍卖法》</w:t>
      </w:r>
      <w:r>
        <w:rPr>
          <w:rFonts w:ascii="宋体" w:hAnsi="宋体" w:hint="eastAsia"/>
          <w:sz w:val="24"/>
          <w:szCs w:val="20"/>
        </w:rPr>
        <w:t>（</w:t>
      </w:r>
      <w:r>
        <w:rPr>
          <w:rFonts w:ascii="宋体" w:hAnsi="宋体" w:hint="eastAsia"/>
          <w:sz w:val="24"/>
          <w:szCs w:val="20"/>
        </w:rPr>
        <w:t>2017</w:t>
      </w:r>
      <w:r>
        <w:rPr>
          <w:rFonts w:ascii="宋体" w:hAnsi="宋体" w:hint="eastAsia"/>
          <w:sz w:val="24"/>
          <w:szCs w:val="20"/>
        </w:rPr>
        <w:t>年</w:t>
      </w:r>
      <w:r>
        <w:rPr>
          <w:rFonts w:ascii="宋体" w:hAnsi="宋体" w:hint="eastAsia"/>
          <w:sz w:val="24"/>
          <w:szCs w:val="20"/>
        </w:rPr>
        <w:t>4</w:t>
      </w:r>
      <w:r>
        <w:rPr>
          <w:rFonts w:ascii="宋体" w:hAnsi="宋体" w:hint="eastAsia"/>
          <w:sz w:val="24"/>
          <w:szCs w:val="20"/>
        </w:rPr>
        <w:t>月</w:t>
      </w:r>
      <w:r>
        <w:rPr>
          <w:rFonts w:ascii="宋体" w:hAnsi="宋体" w:hint="eastAsia"/>
          <w:sz w:val="24"/>
          <w:szCs w:val="20"/>
        </w:rPr>
        <w:t>24</w:t>
      </w:r>
      <w:r>
        <w:rPr>
          <w:rFonts w:ascii="宋体" w:hAnsi="宋体" w:hint="eastAsia"/>
          <w:sz w:val="24"/>
          <w:szCs w:val="20"/>
        </w:rPr>
        <w:t>日第十二届全国人民代表大会常</w:t>
      </w:r>
      <w:r>
        <w:rPr>
          <w:rFonts w:ascii="宋体" w:hAnsi="宋体" w:hint="eastAsia"/>
          <w:sz w:val="24"/>
          <w:szCs w:val="20"/>
        </w:rPr>
        <w:lastRenderedPageBreak/>
        <w:t>务委员会第十四次会议修正</w:t>
      </w:r>
      <w:r>
        <w:rPr>
          <w:rFonts w:ascii="宋体" w:hAnsi="宋体" w:hint="eastAsia"/>
          <w:sz w:val="24"/>
          <w:szCs w:val="20"/>
        </w:rPr>
        <w:t>）；</w:t>
      </w:r>
    </w:p>
    <w:p w:rsidR="00282123" w:rsidRDefault="00563BD8">
      <w:pPr>
        <w:tabs>
          <w:tab w:val="left" w:pos="945"/>
          <w:tab w:val="left" w:pos="6103"/>
        </w:tabs>
        <w:adjustRightInd w:val="0"/>
        <w:snapToGrid w:val="0"/>
        <w:spacing w:line="520" w:lineRule="exact"/>
        <w:ind w:firstLineChars="215" w:firstLine="516"/>
        <w:jc w:val="left"/>
        <w:rPr>
          <w:rFonts w:ascii="宋体" w:hAnsi="宋体"/>
          <w:sz w:val="24"/>
          <w:szCs w:val="20"/>
        </w:rPr>
      </w:pPr>
      <w:r>
        <w:rPr>
          <w:rFonts w:ascii="宋体" w:hAnsi="宋体" w:hint="eastAsia"/>
          <w:sz w:val="24"/>
          <w:szCs w:val="20"/>
        </w:rPr>
        <w:t>4</w:t>
      </w:r>
      <w:r>
        <w:rPr>
          <w:rFonts w:ascii="宋体" w:hAnsi="宋体" w:hint="eastAsia"/>
          <w:sz w:val="24"/>
          <w:szCs w:val="20"/>
        </w:rPr>
        <w:t>.</w:t>
      </w:r>
      <w:r>
        <w:rPr>
          <w:rFonts w:ascii="宋体" w:hAnsi="宋体" w:hint="eastAsia"/>
          <w:sz w:val="24"/>
          <w:szCs w:val="20"/>
        </w:rPr>
        <w:t>《最高人民法院关于人民法院确定财产处置参考价若干问题的规定》</w:t>
      </w:r>
      <w:r>
        <w:rPr>
          <w:rFonts w:ascii="宋体" w:hAnsi="宋体" w:hint="eastAsia"/>
          <w:sz w:val="24"/>
          <w:szCs w:val="20"/>
        </w:rPr>
        <w:t>（</w:t>
      </w:r>
      <w:r>
        <w:rPr>
          <w:rFonts w:ascii="宋体" w:hAnsi="宋体" w:hint="eastAsia"/>
          <w:sz w:val="24"/>
          <w:szCs w:val="20"/>
        </w:rPr>
        <w:t>2018</w:t>
      </w:r>
      <w:r>
        <w:rPr>
          <w:rFonts w:ascii="宋体" w:hAnsi="宋体" w:hint="eastAsia"/>
          <w:sz w:val="24"/>
          <w:szCs w:val="20"/>
        </w:rPr>
        <w:t>年</w:t>
      </w:r>
      <w:r>
        <w:rPr>
          <w:rFonts w:ascii="宋体" w:hAnsi="宋体" w:hint="eastAsia"/>
          <w:sz w:val="24"/>
          <w:szCs w:val="20"/>
        </w:rPr>
        <w:t>6</w:t>
      </w:r>
      <w:r>
        <w:rPr>
          <w:rFonts w:ascii="宋体" w:hAnsi="宋体" w:hint="eastAsia"/>
          <w:sz w:val="24"/>
          <w:szCs w:val="20"/>
        </w:rPr>
        <w:t>月</w:t>
      </w:r>
      <w:r>
        <w:rPr>
          <w:rFonts w:ascii="宋体" w:hAnsi="宋体" w:hint="eastAsia"/>
          <w:sz w:val="24"/>
          <w:szCs w:val="20"/>
        </w:rPr>
        <w:t>4</w:t>
      </w:r>
      <w:r>
        <w:rPr>
          <w:rFonts w:ascii="宋体" w:hAnsi="宋体" w:hint="eastAsia"/>
          <w:sz w:val="24"/>
          <w:szCs w:val="20"/>
        </w:rPr>
        <w:t>日由最高人民法院审判委员会第</w:t>
      </w:r>
      <w:r>
        <w:rPr>
          <w:rFonts w:ascii="宋体" w:hAnsi="宋体" w:hint="eastAsia"/>
          <w:sz w:val="24"/>
          <w:szCs w:val="20"/>
        </w:rPr>
        <w:t>1741</w:t>
      </w:r>
      <w:r>
        <w:rPr>
          <w:rFonts w:ascii="宋体" w:hAnsi="宋体" w:hint="eastAsia"/>
          <w:sz w:val="24"/>
          <w:szCs w:val="20"/>
        </w:rPr>
        <w:t>次会议通过，现予公布，自</w:t>
      </w:r>
      <w:r>
        <w:rPr>
          <w:rFonts w:ascii="宋体" w:hAnsi="宋体" w:hint="eastAsia"/>
          <w:sz w:val="24"/>
          <w:szCs w:val="20"/>
        </w:rPr>
        <w:t>2018</w:t>
      </w:r>
      <w:r>
        <w:rPr>
          <w:rFonts w:ascii="宋体" w:hAnsi="宋体" w:hint="eastAsia"/>
          <w:sz w:val="24"/>
          <w:szCs w:val="20"/>
        </w:rPr>
        <w:t>年</w:t>
      </w:r>
      <w:r>
        <w:rPr>
          <w:rFonts w:ascii="宋体" w:hAnsi="宋体" w:hint="eastAsia"/>
          <w:sz w:val="24"/>
          <w:szCs w:val="20"/>
        </w:rPr>
        <w:t>9</w:t>
      </w:r>
      <w:r>
        <w:rPr>
          <w:rFonts w:ascii="宋体" w:hAnsi="宋体" w:hint="eastAsia"/>
          <w:sz w:val="24"/>
          <w:szCs w:val="20"/>
        </w:rPr>
        <w:t>月</w:t>
      </w:r>
      <w:r>
        <w:rPr>
          <w:rFonts w:ascii="宋体" w:hAnsi="宋体" w:hint="eastAsia"/>
          <w:sz w:val="24"/>
          <w:szCs w:val="20"/>
        </w:rPr>
        <w:t>1</w:t>
      </w:r>
      <w:r>
        <w:rPr>
          <w:rFonts w:ascii="宋体" w:hAnsi="宋体" w:hint="eastAsia"/>
          <w:sz w:val="24"/>
          <w:szCs w:val="20"/>
        </w:rPr>
        <w:t>日起施行</w:t>
      </w:r>
      <w:r>
        <w:rPr>
          <w:rFonts w:ascii="宋体" w:hAnsi="宋体" w:hint="eastAsia"/>
          <w:sz w:val="24"/>
          <w:szCs w:val="20"/>
        </w:rPr>
        <w:t>）；</w:t>
      </w:r>
    </w:p>
    <w:p w:rsidR="00282123" w:rsidRDefault="00563BD8">
      <w:pPr>
        <w:tabs>
          <w:tab w:val="left" w:pos="945"/>
          <w:tab w:val="left" w:pos="6103"/>
        </w:tabs>
        <w:adjustRightInd w:val="0"/>
        <w:snapToGrid w:val="0"/>
        <w:spacing w:line="520" w:lineRule="exact"/>
        <w:ind w:firstLineChars="215" w:firstLine="516"/>
        <w:jc w:val="left"/>
        <w:rPr>
          <w:rFonts w:ascii="宋体" w:hAnsi="宋体"/>
          <w:sz w:val="24"/>
          <w:szCs w:val="20"/>
        </w:rPr>
      </w:pPr>
      <w:r>
        <w:rPr>
          <w:rFonts w:ascii="宋体" w:hAnsi="宋体" w:hint="eastAsia"/>
          <w:sz w:val="24"/>
          <w:szCs w:val="20"/>
        </w:rPr>
        <w:t>5</w:t>
      </w:r>
      <w:r>
        <w:rPr>
          <w:rFonts w:ascii="宋体" w:hAnsi="宋体" w:hint="eastAsia"/>
          <w:sz w:val="24"/>
          <w:szCs w:val="20"/>
        </w:rPr>
        <w:t>.</w:t>
      </w:r>
      <w:r>
        <w:rPr>
          <w:rFonts w:ascii="宋体" w:hAnsi="宋体" w:hint="eastAsia"/>
          <w:sz w:val="24"/>
          <w:szCs w:val="20"/>
        </w:rPr>
        <w:t>《人民法院委托评估工作规范》</w:t>
      </w:r>
      <w:r>
        <w:rPr>
          <w:rFonts w:ascii="宋体" w:hAnsi="宋体" w:hint="eastAsia"/>
          <w:sz w:val="24"/>
          <w:szCs w:val="20"/>
        </w:rPr>
        <w:t>（</w:t>
      </w:r>
      <w:r>
        <w:rPr>
          <w:rFonts w:ascii="宋体" w:hAnsi="宋体" w:hint="eastAsia"/>
          <w:sz w:val="24"/>
          <w:szCs w:val="20"/>
        </w:rPr>
        <w:t>法办〔</w:t>
      </w:r>
      <w:r>
        <w:rPr>
          <w:rFonts w:ascii="宋体" w:hAnsi="宋体" w:hint="eastAsia"/>
          <w:sz w:val="24"/>
          <w:szCs w:val="20"/>
        </w:rPr>
        <w:t>2018</w:t>
      </w:r>
      <w:r>
        <w:rPr>
          <w:rFonts w:ascii="宋体" w:hAnsi="宋体" w:hint="eastAsia"/>
          <w:sz w:val="24"/>
          <w:szCs w:val="20"/>
        </w:rPr>
        <w:t>〕</w:t>
      </w:r>
      <w:r>
        <w:rPr>
          <w:rFonts w:ascii="宋体" w:hAnsi="宋体" w:hint="eastAsia"/>
          <w:sz w:val="24"/>
          <w:szCs w:val="20"/>
        </w:rPr>
        <w:t>273</w:t>
      </w:r>
      <w:r>
        <w:rPr>
          <w:rFonts w:ascii="宋体" w:hAnsi="宋体" w:hint="eastAsia"/>
          <w:sz w:val="24"/>
          <w:szCs w:val="20"/>
        </w:rPr>
        <w:t>号</w:t>
      </w:r>
      <w:r>
        <w:rPr>
          <w:rFonts w:ascii="宋体" w:hAnsi="宋体" w:hint="eastAsia"/>
          <w:sz w:val="24"/>
          <w:szCs w:val="20"/>
        </w:rPr>
        <w:t>）；</w:t>
      </w:r>
    </w:p>
    <w:p w:rsidR="00282123" w:rsidRDefault="00563BD8">
      <w:pPr>
        <w:tabs>
          <w:tab w:val="left" w:pos="945"/>
          <w:tab w:val="left" w:pos="6103"/>
        </w:tabs>
        <w:adjustRightInd w:val="0"/>
        <w:snapToGrid w:val="0"/>
        <w:spacing w:line="520" w:lineRule="exact"/>
        <w:ind w:firstLineChars="215" w:firstLine="516"/>
        <w:jc w:val="left"/>
        <w:rPr>
          <w:rFonts w:ascii="宋体" w:hAnsi="宋体"/>
          <w:sz w:val="24"/>
          <w:szCs w:val="20"/>
        </w:rPr>
      </w:pPr>
      <w:r>
        <w:rPr>
          <w:rFonts w:ascii="宋体" w:hAnsi="宋体" w:hint="eastAsia"/>
          <w:sz w:val="24"/>
          <w:szCs w:val="20"/>
        </w:rPr>
        <w:t>6</w:t>
      </w:r>
      <w:r>
        <w:rPr>
          <w:rFonts w:ascii="宋体" w:hAnsi="宋体" w:hint="eastAsia"/>
          <w:sz w:val="24"/>
          <w:szCs w:val="20"/>
        </w:rPr>
        <w:t>.</w:t>
      </w:r>
      <w:r>
        <w:rPr>
          <w:rFonts w:ascii="宋体" w:hAnsi="宋体" w:hint="eastAsia"/>
          <w:sz w:val="24"/>
          <w:szCs w:val="20"/>
        </w:rPr>
        <w:t>其他相关法律、法规和通知文件等。</w:t>
      </w:r>
    </w:p>
    <w:p w:rsidR="00282123" w:rsidRDefault="00563BD8">
      <w:pPr>
        <w:adjustRightInd w:val="0"/>
        <w:snapToGrid w:val="0"/>
        <w:spacing w:line="520" w:lineRule="exact"/>
        <w:ind w:left="539"/>
        <w:rPr>
          <w:rFonts w:ascii="宋体" w:hAnsi="宋体"/>
          <w:sz w:val="24"/>
          <w:szCs w:val="20"/>
        </w:rPr>
      </w:pPr>
      <w:r>
        <w:rPr>
          <w:rFonts w:ascii="宋体" w:hAnsi="宋体" w:hint="eastAsia"/>
          <w:sz w:val="24"/>
          <w:szCs w:val="20"/>
        </w:rPr>
        <w:t>（三）准则依据</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1</w:t>
      </w:r>
      <w:r>
        <w:rPr>
          <w:rFonts w:ascii="宋体" w:hAnsi="宋体" w:hint="eastAsia"/>
          <w:sz w:val="24"/>
          <w:szCs w:val="20"/>
        </w:rPr>
        <w:t>．财政部关于印发《资产评估准则——基本准则》的通知（财资</w:t>
      </w:r>
      <w:r>
        <w:rPr>
          <w:rFonts w:ascii="宋体" w:hAnsi="宋体" w:hint="eastAsia"/>
          <w:sz w:val="24"/>
          <w:szCs w:val="20"/>
        </w:rPr>
        <w:t>[2017]43</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2</w:t>
      </w:r>
      <w:r>
        <w:rPr>
          <w:rFonts w:ascii="宋体" w:hAnsi="宋体" w:hint="eastAsia"/>
          <w:sz w:val="24"/>
          <w:szCs w:val="20"/>
        </w:rPr>
        <w:t>．中评协关于印发《资产评估执业准则</w:t>
      </w:r>
      <w:r>
        <w:rPr>
          <w:rFonts w:ascii="宋体" w:hAnsi="宋体" w:hint="eastAsia"/>
          <w:sz w:val="24"/>
          <w:szCs w:val="20"/>
        </w:rPr>
        <w:t>-</w:t>
      </w:r>
      <w:r>
        <w:rPr>
          <w:rFonts w:ascii="宋体" w:hAnsi="宋体" w:hint="eastAsia"/>
          <w:sz w:val="24"/>
          <w:szCs w:val="20"/>
        </w:rPr>
        <w:t>资产评估报告》的通知（中评协〔</w:t>
      </w:r>
      <w:r>
        <w:rPr>
          <w:rFonts w:ascii="宋体" w:hAnsi="宋体" w:hint="eastAsia"/>
          <w:sz w:val="24"/>
          <w:szCs w:val="20"/>
        </w:rPr>
        <w:t>2018</w:t>
      </w:r>
      <w:r>
        <w:rPr>
          <w:rFonts w:ascii="宋体" w:hAnsi="宋体" w:hint="eastAsia"/>
          <w:sz w:val="24"/>
          <w:szCs w:val="20"/>
        </w:rPr>
        <w:t>〕</w:t>
      </w:r>
      <w:r>
        <w:rPr>
          <w:rFonts w:ascii="宋体" w:hAnsi="宋体" w:hint="eastAsia"/>
          <w:sz w:val="24"/>
          <w:szCs w:val="20"/>
        </w:rPr>
        <w:t>35</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 xml:space="preserve">3. </w:t>
      </w:r>
      <w:r>
        <w:rPr>
          <w:rFonts w:ascii="宋体" w:hAnsi="宋体" w:hint="eastAsia"/>
          <w:sz w:val="24"/>
          <w:szCs w:val="20"/>
        </w:rPr>
        <w:t>中评协关于印发《资产评估执业准则——资产评估程序》的通知（中评协〔</w:t>
      </w:r>
      <w:r>
        <w:rPr>
          <w:rFonts w:ascii="宋体" w:hAnsi="宋体" w:hint="eastAsia"/>
          <w:sz w:val="24"/>
          <w:szCs w:val="20"/>
        </w:rPr>
        <w:t>2018</w:t>
      </w:r>
      <w:r>
        <w:rPr>
          <w:rFonts w:ascii="宋体" w:hAnsi="宋体" w:hint="eastAsia"/>
          <w:sz w:val="24"/>
          <w:szCs w:val="20"/>
        </w:rPr>
        <w:t>〕</w:t>
      </w:r>
      <w:r>
        <w:rPr>
          <w:rFonts w:ascii="宋体" w:hAnsi="宋体" w:hint="eastAsia"/>
          <w:sz w:val="24"/>
          <w:szCs w:val="20"/>
        </w:rPr>
        <w:t>36</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 xml:space="preserve">4. </w:t>
      </w:r>
      <w:r>
        <w:rPr>
          <w:rFonts w:ascii="宋体" w:hAnsi="宋体" w:hint="eastAsia"/>
          <w:sz w:val="24"/>
          <w:szCs w:val="20"/>
        </w:rPr>
        <w:t>中评协关于印发《资产评估职业道德准则》的通知（中评协</w:t>
      </w:r>
      <w:r>
        <w:rPr>
          <w:rFonts w:ascii="宋体" w:hAnsi="宋体" w:hint="eastAsia"/>
          <w:sz w:val="24"/>
          <w:szCs w:val="20"/>
        </w:rPr>
        <w:t>[2017]30</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5</w:t>
      </w:r>
      <w:r>
        <w:rPr>
          <w:rFonts w:ascii="宋体" w:hAnsi="宋体" w:hint="eastAsia"/>
          <w:sz w:val="24"/>
          <w:szCs w:val="20"/>
        </w:rPr>
        <w:t xml:space="preserve">. </w:t>
      </w:r>
      <w:r>
        <w:rPr>
          <w:rFonts w:ascii="宋体" w:hAnsi="宋体" w:hint="eastAsia"/>
          <w:sz w:val="24"/>
          <w:szCs w:val="20"/>
        </w:rPr>
        <w:t>中评协关于印发《资产评估机构业务质量控制指南》的通知（中评协</w:t>
      </w:r>
      <w:r>
        <w:rPr>
          <w:rFonts w:ascii="宋体" w:hAnsi="宋体" w:hint="eastAsia"/>
          <w:sz w:val="24"/>
          <w:szCs w:val="20"/>
        </w:rPr>
        <w:t>[2017]46</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6</w:t>
      </w:r>
      <w:r>
        <w:rPr>
          <w:rFonts w:ascii="宋体" w:hAnsi="宋体" w:hint="eastAsia"/>
          <w:sz w:val="24"/>
          <w:szCs w:val="20"/>
        </w:rPr>
        <w:t>.</w:t>
      </w:r>
      <w:r>
        <w:rPr>
          <w:rFonts w:ascii="宋体" w:hAnsi="宋体" w:hint="eastAsia"/>
          <w:sz w:val="24"/>
          <w:szCs w:val="20"/>
        </w:rPr>
        <w:t>中评协关于印发《资产评估对象法律权属指导意见》的通知（中评协〔</w:t>
      </w:r>
      <w:r>
        <w:rPr>
          <w:rFonts w:ascii="宋体" w:hAnsi="宋体" w:hint="eastAsia"/>
          <w:sz w:val="24"/>
          <w:szCs w:val="20"/>
        </w:rPr>
        <w:t>2017</w:t>
      </w:r>
      <w:r>
        <w:rPr>
          <w:rFonts w:ascii="宋体" w:hAnsi="宋体" w:hint="eastAsia"/>
          <w:sz w:val="24"/>
          <w:szCs w:val="20"/>
        </w:rPr>
        <w:t>〕</w:t>
      </w:r>
      <w:r>
        <w:rPr>
          <w:rFonts w:ascii="宋体" w:hAnsi="宋体" w:hint="eastAsia"/>
          <w:sz w:val="24"/>
          <w:szCs w:val="20"/>
        </w:rPr>
        <w:t>48</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7</w:t>
      </w:r>
      <w:r>
        <w:rPr>
          <w:rFonts w:ascii="宋体" w:hAnsi="宋体" w:hint="eastAsia"/>
          <w:sz w:val="24"/>
          <w:szCs w:val="20"/>
        </w:rPr>
        <w:t xml:space="preserve">. </w:t>
      </w:r>
      <w:r>
        <w:rPr>
          <w:rFonts w:ascii="宋体" w:hAnsi="宋体" w:hint="eastAsia"/>
          <w:sz w:val="24"/>
          <w:szCs w:val="20"/>
        </w:rPr>
        <w:t>中评协关于印发修订《资产评估价值类型指导意见》的通知（中评协</w:t>
      </w:r>
      <w:r>
        <w:rPr>
          <w:rFonts w:ascii="宋体" w:hAnsi="宋体" w:hint="eastAsia"/>
          <w:sz w:val="24"/>
          <w:szCs w:val="20"/>
        </w:rPr>
        <w:t>[</w:t>
      </w:r>
      <w:r>
        <w:rPr>
          <w:rFonts w:ascii="宋体" w:hAnsi="宋体" w:hint="eastAsia"/>
          <w:sz w:val="24"/>
          <w:szCs w:val="20"/>
        </w:rPr>
        <w:t>2017]47</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8</w:t>
      </w:r>
      <w:r>
        <w:rPr>
          <w:rFonts w:ascii="宋体" w:hAnsi="宋体" w:hint="eastAsia"/>
          <w:sz w:val="24"/>
          <w:szCs w:val="20"/>
        </w:rPr>
        <w:t xml:space="preserve">. </w:t>
      </w:r>
      <w:r>
        <w:rPr>
          <w:rFonts w:ascii="宋体" w:hAnsi="宋体" w:hint="eastAsia"/>
          <w:sz w:val="24"/>
          <w:szCs w:val="20"/>
        </w:rPr>
        <w:t>中评协关于印发《资产评估执业准则——资产评估委托合同》的通知（中评协</w:t>
      </w:r>
      <w:r>
        <w:rPr>
          <w:rFonts w:ascii="宋体" w:hAnsi="宋体" w:hint="eastAsia"/>
          <w:sz w:val="24"/>
          <w:szCs w:val="20"/>
        </w:rPr>
        <w:t>[2017</w:t>
      </w:r>
      <w:r>
        <w:rPr>
          <w:rFonts w:ascii="宋体" w:hAnsi="宋体" w:hint="eastAsia"/>
          <w:sz w:val="24"/>
          <w:szCs w:val="20"/>
        </w:rPr>
        <w:t>〕</w:t>
      </w:r>
      <w:r>
        <w:rPr>
          <w:rFonts w:ascii="宋体" w:hAnsi="宋体" w:hint="eastAsia"/>
          <w:sz w:val="24"/>
          <w:szCs w:val="20"/>
        </w:rPr>
        <w:t>33</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9</w:t>
      </w:r>
      <w:r>
        <w:rPr>
          <w:rFonts w:ascii="宋体" w:hAnsi="宋体" w:hint="eastAsia"/>
          <w:sz w:val="24"/>
          <w:szCs w:val="20"/>
        </w:rPr>
        <w:t>.</w:t>
      </w:r>
      <w:r>
        <w:rPr>
          <w:rFonts w:ascii="宋体" w:hAnsi="宋体" w:hint="eastAsia"/>
          <w:sz w:val="24"/>
          <w:szCs w:val="20"/>
        </w:rPr>
        <w:t>中评协关于印发《资产评估执业准则——资产评估档案》的通知（中评协〔</w:t>
      </w:r>
      <w:r>
        <w:rPr>
          <w:rFonts w:ascii="宋体" w:hAnsi="宋体" w:hint="eastAsia"/>
          <w:sz w:val="24"/>
          <w:szCs w:val="20"/>
        </w:rPr>
        <w:t>2018</w:t>
      </w:r>
      <w:r>
        <w:rPr>
          <w:rFonts w:ascii="宋体" w:hAnsi="宋体" w:hint="eastAsia"/>
          <w:sz w:val="24"/>
          <w:szCs w:val="20"/>
        </w:rPr>
        <w:t>〕</w:t>
      </w:r>
      <w:r>
        <w:rPr>
          <w:rFonts w:ascii="宋体" w:hAnsi="宋体" w:hint="eastAsia"/>
          <w:sz w:val="24"/>
          <w:szCs w:val="20"/>
        </w:rPr>
        <w:t>37</w:t>
      </w:r>
      <w:r>
        <w:rPr>
          <w:rFonts w:ascii="宋体" w:hAnsi="宋体" w:hint="eastAsia"/>
          <w:sz w:val="24"/>
          <w:szCs w:val="20"/>
        </w:rPr>
        <w:t>号）</w:t>
      </w:r>
      <w:r>
        <w:rPr>
          <w:rFonts w:ascii="宋体" w:hAnsi="宋体" w:hint="eastAsia"/>
          <w:sz w:val="24"/>
          <w:szCs w:val="20"/>
        </w:rPr>
        <w:t>；</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1</w:t>
      </w:r>
      <w:r>
        <w:rPr>
          <w:rFonts w:ascii="宋体" w:hAnsi="宋体" w:hint="eastAsia"/>
          <w:sz w:val="24"/>
          <w:szCs w:val="20"/>
        </w:rPr>
        <w:t>0</w:t>
      </w:r>
      <w:r>
        <w:rPr>
          <w:rFonts w:ascii="宋体" w:hAnsi="宋体" w:hint="eastAsia"/>
          <w:sz w:val="24"/>
          <w:szCs w:val="20"/>
        </w:rPr>
        <w:t>.</w:t>
      </w:r>
      <w:r>
        <w:rPr>
          <w:rFonts w:ascii="宋体" w:hAnsi="宋体" w:hint="eastAsia"/>
          <w:sz w:val="24"/>
          <w:szCs w:val="20"/>
        </w:rPr>
        <w:t>中评协关于印发《人民法院委托司法执行财产处置资产评估指导意见》的通知（中评协〔</w:t>
      </w:r>
      <w:r>
        <w:rPr>
          <w:rFonts w:ascii="宋体" w:hAnsi="宋体" w:hint="eastAsia"/>
          <w:sz w:val="24"/>
          <w:szCs w:val="20"/>
        </w:rPr>
        <w:t>2019</w:t>
      </w:r>
      <w:r>
        <w:rPr>
          <w:rFonts w:ascii="宋体" w:hAnsi="宋体" w:hint="eastAsia"/>
          <w:sz w:val="24"/>
          <w:szCs w:val="20"/>
        </w:rPr>
        <w:t>〕</w:t>
      </w:r>
      <w:r>
        <w:rPr>
          <w:rFonts w:ascii="宋体" w:hAnsi="宋体" w:hint="eastAsia"/>
          <w:sz w:val="24"/>
          <w:szCs w:val="20"/>
        </w:rPr>
        <w:t>14</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1</w:t>
      </w:r>
      <w:r>
        <w:rPr>
          <w:rFonts w:ascii="宋体" w:hAnsi="宋体" w:hint="eastAsia"/>
          <w:sz w:val="24"/>
          <w:szCs w:val="20"/>
        </w:rPr>
        <w:t>1</w:t>
      </w:r>
      <w:r>
        <w:rPr>
          <w:rFonts w:ascii="宋体" w:hAnsi="宋体" w:hint="eastAsia"/>
          <w:sz w:val="24"/>
          <w:szCs w:val="20"/>
        </w:rPr>
        <w:t>.</w:t>
      </w:r>
      <w:r>
        <w:rPr>
          <w:rFonts w:ascii="宋体" w:hAnsi="宋体" w:hint="eastAsia"/>
          <w:sz w:val="24"/>
          <w:szCs w:val="20"/>
        </w:rPr>
        <w:t>中评协关于印发《资产评估执业准则——资产评估方法》的通知（中评协</w:t>
      </w:r>
      <w:r>
        <w:rPr>
          <w:rFonts w:ascii="宋体" w:hAnsi="宋体" w:hint="eastAsia"/>
          <w:sz w:val="24"/>
          <w:szCs w:val="20"/>
        </w:rPr>
        <w:lastRenderedPageBreak/>
        <w:t>〔</w:t>
      </w:r>
      <w:r>
        <w:rPr>
          <w:rFonts w:ascii="宋体" w:hAnsi="宋体" w:hint="eastAsia"/>
          <w:sz w:val="24"/>
          <w:szCs w:val="20"/>
        </w:rPr>
        <w:t>2019</w:t>
      </w:r>
      <w:r>
        <w:rPr>
          <w:rFonts w:ascii="宋体" w:hAnsi="宋体" w:hint="eastAsia"/>
          <w:sz w:val="24"/>
          <w:szCs w:val="20"/>
        </w:rPr>
        <w:t>〕</w:t>
      </w:r>
      <w:r>
        <w:rPr>
          <w:rFonts w:ascii="宋体" w:hAnsi="宋体" w:hint="eastAsia"/>
          <w:sz w:val="24"/>
          <w:szCs w:val="20"/>
        </w:rPr>
        <w:t>35</w:t>
      </w:r>
      <w:r>
        <w:rPr>
          <w:rFonts w:ascii="宋体" w:hAnsi="宋体" w:hint="eastAsia"/>
          <w:sz w:val="24"/>
          <w:szCs w:val="20"/>
        </w:rPr>
        <w:t>号）；</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1</w:t>
      </w:r>
      <w:r>
        <w:rPr>
          <w:rFonts w:ascii="宋体" w:hAnsi="宋体" w:hint="eastAsia"/>
          <w:sz w:val="24"/>
          <w:szCs w:val="20"/>
        </w:rPr>
        <w:t>2</w:t>
      </w:r>
      <w:r>
        <w:rPr>
          <w:rFonts w:ascii="宋体" w:hAnsi="宋体" w:hint="eastAsia"/>
          <w:sz w:val="24"/>
          <w:szCs w:val="20"/>
        </w:rPr>
        <w:t>.</w:t>
      </w:r>
      <w:r>
        <w:rPr>
          <w:rFonts w:ascii="宋体" w:hAnsi="宋体" w:hint="eastAsia"/>
          <w:sz w:val="24"/>
          <w:szCs w:val="20"/>
        </w:rPr>
        <w:t>中评协关于印发《资产评估准则术语</w:t>
      </w:r>
      <w:r>
        <w:rPr>
          <w:rFonts w:ascii="宋体" w:hAnsi="宋体" w:hint="eastAsia"/>
          <w:sz w:val="24"/>
          <w:szCs w:val="20"/>
        </w:rPr>
        <w:t>2020</w:t>
      </w:r>
      <w:r>
        <w:rPr>
          <w:rFonts w:ascii="宋体" w:hAnsi="宋体" w:hint="eastAsia"/>
          <w:sz w:val="24"/>
          <w:szCs w:val="20"/>
        </w:rPr>
        <w:t>》的通知（中评协〔</w:t>
      </w:r>
      <w:r>
        <w:rPr>
          <w:rFonts w:ascii="宋体" w:hAnsi="宋体" w:hint="eastAsia"/>
          <w:sz w:val="24"/>
          <w:szCs w:val="20"/>
        </w:rPr>
        <w:t>2020</w:t>
      </w:r>
      <w:r>
        <w:rPr>
          <w:rFonts w:ascii="宋体" w:hAnsi="宋体" w:hint="eastAsia"/>
          <w:sz w:val="24"/>
          <w:szCs w:val="20"/>
        </w:rPr>
        <w:t>〕</w:t>
      </w:r>
      <w:r>
        <w:rPr>
          <w:rFonts w:ascii="宋体" w:hAnsi="宋体" w:hint="eastAsia"/>
          <w:sz w:val="24"/>
          <w:szCs w:val="20"/>
        </w:rPr>
        <w:t>31</w:t>
      </w:r>
      <w:r>
        <w:rPr>
          <w:rFonts w:ascii="宋体" w:hAnsi="宋体" w:hint="eastAsia"/>
          <w:sz w:val="24"/>
          <w:szCs w:val="20"/>
        </w:rPr>
        <w:t>号）。</w:t>
      </w:r>
    </w:p>
    <w:p w:rsidR="00282123" w:rsidRDefault="00563BD8" w:rsidP="008B5CD1">
      <w:pPr>
        <w:adjustRightInd w:val="0"/>
        <w:snapToGrid w:val="0"/>
        <w:spacing w:line="520" w:lineRule="exact"/>
        <w:ind w:firstLineChars="177" w:firstLine="425"/>
        <w:rPr>
          <w:rFonts w:ascii="宋体" w:hAnsi="宋体"/>
          <w:sz w:val="24"/>
          <w:szCs w:val="20"/>
        </w:rPr>
      </w:pPr>
      <w:r>
        <w:rPr>
          <w:rFonts w:ascii="宋体" w:hAnsi="宋体" w:hint="eastAsia"/>
          <w:sz w:val="24"/>
          <w:szCs w:val="20"/>
        </w:rPr>
        <w:t>（四）权属依据</w:t>
      </w:r>
    </w:p>
    <w:p w:rsidR="00282123" w:rsidRDefault="00563BD8">
      <w:pPr>
        <w:tabs>
          <w:tab w:val="left" w:pos="6103"/>
        </w:tabs>
        <w:adjustRightInd w:val="0"/>
        <w:snapToGrid w:val="0"/>
        <w:spacing w:line="520" w:lineRule="exact"/>
        <w:ind w:firstLineChars="232" w:firstLine="566"/>
        <w:rPr>
          <w:rFonts w:ascii="宋体" w:hAnsi="宋体"/>
          <w:spacing w:val="2"/>
          <w:sz w:val="24"/>
          <w:szCs w:val="20"/>
        </w:rPr>
      </w:pPr>
      <w:r>
        <w:rPr>
          <w:rFonts w:ascii="宋体" w:hAnsi="宋体" w:hint="eastAsia"/>
          <w:spacing w:val="2"/>
          <w:sz w:val="24"/>
          <w:szCs w:val="20"/>
        </w:rPr>
        <w:t>1.</w:t>
      </w:r>
      <w:r>
        <w:rPr>
          <w:rFonts w:ascii="宋体" w:hAnsi="宋体" w:hint="eastAsia"/>
          <w:spacing w:val="2"/>
          <w:sz w:val="24"/>
          <w:szCs w:val="20"/>
        </w:rPr>
        <w:t>太原市中级人民法院提供的查封清单。</w:t>
      </w:r>
    </w:p>
    <w:p w:rsidR="00282123" w:rsidRDefault="00563BD8" w:rsidP="008B5CD1">
      <w:pPr>
        <w:adjustRightInd w:val="0"/>
        <w:snapToGrid w:val="0"/>
        <w:spacing w:line="520" w:lineRule="exact"/>
        <w:ind w:firstLineChars="177" w:firstLine="425"/>
        <w:rPr>
          <w:rFonts w:ascii="宋体" w:hAnsi="宋体"/>
          <w:sz w:val="24"/>
          <w:szCs w:val="20"/>
        </w:rPr>
      </w:pPr>
      <w:r>
        <w:rPr>
          <w:rFonts w:ascii="宋体" w:hAnsi="宋体" w:hint="eastAsia"/>
          <w:sz w:val="24"/>
          <w:szCs w:val="20"/>
        </w:rPr>
        <w:t>（五）取价依据</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1</w:t>
      </w:r>
      <w:r>
        <w:rPr>
          <w:rFonts w:ascii="宋体" w:hAnsi="宋体" w:hint="eastAsia"/>
          <w:sz w:val="24"/>
          <w:szCs w:val="20"/>
        </w:rPr>
        <w:t>.</w:t>
      </w:r>
      <w:r>
        <w:rPr>
          <w:rFonts w:ascii="宋体" w:hAnsi="宋体" w:hint="eastAsia"/>
          <w:sz w:val="24"/>
          <w:szCs w:val="20"/>
        </w:rPr>
        <w:t>评估人员市场调查所了解、收集的资料；</w:t>
      </w:r>
    </w:p>
    <w:p w:rsidR="00282123" w:rsidRDefault="00563BD8">
      <w:pPr>
        <w:adjustRightInd w:val="0"/>
        <w:snapToGrid w:val="0"/>
        <w:spacing w:line="520" w:lineRule="exact"/>
        <w:ind w:firstLineChars="215" w:firstLine="516"/>
        <w:rPr>
          <w:rFonts w:ascii="宋体" w:hAnsi="宋体"/>
          <w:sz w:val="24"/>
          <w:szCs w:val="20"/>
        </w:rPr>
      </w:pPr>
      <w:r>
        <w:rPr>
          <w:rFonts w:ascii="宋体" w:hAnsi="宋体" w:hint="eastAsia"/>
          <w:sz w:val="24"/>
          <w:szCs w:val="20"/>
        </w:rPr>
        <w:t>2</w:t>
      </w:r>
      <w:r>
        <w:rPr>
          <w:rFonts w:ascii="宋体" w:hAnsi="宋体" w:hint="eastAsia"/>
          <w:sz w:val="24"/>
          <w:szCs w:val="20"/>
        </w:rPr>
        <w:t>.</w:t>
      </w:r>
      <w:r>
        <w:rPr>
          <w:rFonts w:ascii="宋体" w:hAnsi="宋体" w:hint="eastAsia"/>
          <w:sz w:val="24"/>
          <w:szCs w:val="20"/>
        </w:rPr>
        <w:t>其他相关资料。</w:t>
      </w:r>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3" w:name="_Toc17634"/>
      <w:r>
        <w:rPr>
          <w:rFonts w:ascii="宋体" w:hAnsi="宋体" w:hint="eastAsia"/>
          <w:bCs/>
          <w:sz w:val="24"/>
          <w:szCs w:val="24"/>
        </w:rPr>
        <w:t>七、评估方法</w:t>
      </w:r>
      <w:bookmarkEnd w:id="33"/>
    </w:p>
    <w:p w:rsidR="00282123" w:rsidRDefault="00563BD8">
      <w:pPr>
        <w:keepNext/>
        <w:keepLines/>
        <w:adjustRightInd w:val="0"/>
        <w:snapToGrid w:val="0"/>
        <w:spacing w:line="520" w:lineRule="exact"/>
        <w:ind w:firstLineChars="150" w:firstLine="360"/>
        <w:outlineLvl w:val="2"/>
        <w:rPr>
          <w:rFonts w:ascii="宋体" w:hAnsi="宋体"/>
          <w:bCs/>
          <w:sz w:val="24"/>
          <w:szCs w:val="24"/>
        </w:rPr>
      </w:pPr>
      <w:bookmarkStart w:id="34" w:name="_Toc19196"/>
      <w:bookmarkStart w:id="35" w:name="_Toc22512"/>
      <w:r>
        <w:rPr>
          <w:rFonts w:ascii="宋体" w:hAnsi="宋体" w:hint="eastAsia"/>
          <w:bCs/>
          <w:sz w:val="24"/>
          <w:szCs w:val="24"/>
        </w:rPr>
        <w:t>（一）评估方法的选择及适用性分析</w:t>
      </w:r>
      <w:bookmarkEnd w:id="34"/>
      <w:bookmarkEnd w:id="35"/>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hint="eastAsia"/>
          <w:sz w:val="24"/>
          <w:szCs w:val="24"/>
        </w:rPr>
        <w:t>根据资产评估执业准则的规定，资产评估师执行评估业务，应当根据评估对象、价值类型、资料收集情况等相关条件，分析</w:t>
      </w:r>
      <w:r>
        <w:rPr>
          <w:rFonts w:ascii="宋体" w:hAnsi="宋体" w:hint="eastAsia"/>
          <w:sz w:val="24"/>
          <w:szCs w:val="24"/>
        </w:rPr>
        <w:t>市场法</w:t>
      </w:r>
      <w:r>
        <w:rPr>
          <w:rFonts w:ascii="宋体" w:hAnsi="宋体" w:hint="eastAsia"/>
          <w:sz w:val="24"/>
          <w:szCs w:val="24"/>
        </w:rPr>
        <w:t>、</w:t>
      </w:r>
      <w:r>
        <w:rPr>
          <w:rFonts w:ascii="宋体" w:hAnsi="宋体" w:hint="eastAsia"/>
          <w:sz w:val="24"/>
          <w:szCs w:val="24"/>
        </w:rPr>
        <w:t>成本法</w:t>
      </w:r>
      <w:r>
        <w:rPr>
          <w:rFonts w:ascii="宋体" w:hAnsi="宋体" w:hint="eastAsia"/>
          <w:sz w:val="24"/>
          <w:szCs w:val="24"/>
        </w:rPr>
        <w:t>和</w:t>
      </w:r>
      <w:r>
        <w:rPr>
          <w:rFonts w:ascii="宋体" w:hAnsi="宋体"/>
          <w:sz w:val="24"/>
          <w:szCs w:val="24"/>
        </w:rPr>
        <w:t>收益法</w:t>
      </w:r>
      <w:r>
        <w:rPr>
          <w:rFonts w:ascii="宋体" w:hAnsi="宋体" w:hint="eastAsia"/>
          <w:sz w:val="24"/>
          <w:szCs w:val="24"/>
        </w:rPr>
        <w:t>三种资产评估基本方法的适用性，并恰当选择。</w:t>
      </w:r>
      <w:r>
        <w:rPr>
          <w:rFonts w:ascii="宋体" w:hAnsi="宋体" w:hint="eastAsia"/>
          <w:sz w:val="24"/>
          <w:szCs w:val="24"/>
        </w:rPr>
        <w:t xml:space="preserve"> </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hint="eastAsia"/>
          <w:sz w:val="24"/>
          <w:szCs w:val="20"/>
        </w:rPr>
        <w:t>评估人员在认真分析所掌握的资料，并对评估对象进行了实地查</w:t>
      </w:r>
      <w:r>
        <w:rPr>
          <w:rFonts w:ascii="宋体" w:hAnsi="宋体" w:hint="eastAsia"/>
          <w:sz w:val="24"/>
          <w:szCs w:val="20"/>
        </w:rPr>
        <w:t>勘</w:t>
      </w:r>
      <w:r>
        <w:rPr>
          <w:rFonts w:ascii="宋体" w:hAnsi="宋体" w:hint="eastAsia"/>
          <w:sz w:val="24"/>
          <w:szCs w:val="20"/>
        </w:rPr>
        <w:t>，按照国家有关法律、法规及资产评估操作规范要求</w:t>
      </w:r>
      <w:r>
        <w:rPr>
          <w:rFonts w:ascii="宋体" w:hAnsi="宋体" w:hint="eastAsia"/>
          <w:sz w:val="24"/>
          <w:szCs w:val="20"/>
        </w:rPr>
        <w:t>，</w:t>
      </w:r>
      <w:r>
        <w:rPr>
          <w:rFonts w:ascii="宋体" w:hAnsi="宋体" w:hint="eastAsia"/>
          <w:sz w:val="24"/>
          <w:szCs w:val="20"/>
        </w:rPr>
        <w:t>遵照国家有关法律、法规、估价技术标准，结合本次评估目的，考虑</w:t>
      </w:r>
      <w:r>
        <w:rPr>
          <w:rFonts w:ascii="宋体" w:hAnsi="宋体" w:hint="eastAsia"/>
          <w:sz w:val="24"/>
          <w:szCs w:val="20"/>
        </w:rPr>
        <w:t>到估价对象为</w:t>
      </w:r>
      <w:r>
        <w:rPr>
          <w:rFonts w:ascii="宋体" w:hAnsi="宋体" w:hint="eastAsia"/>
          <w:sz w:val="24"/>
          <w:szCs w:val="20"/>
        </w:rPr>
        <w:t>车位使用权</w:t>
      </w:r>
      <w:r>
        <w:rPr>
          <w:rFonts w:ascii="宋体" w:hAnsi="宋体" w:hint="eastAsia"/>
          <w:sz w:val="24"/>
          <w:szCs w:val="20"/>
        </w:rPr>
        <w:t>，结合</w:t>
      </w:r>
      <w:r>
        <w:rPr>
          <w:rFonts w:ascii="宋体" w:hAnsi="宋体" w:hint="eastAsia"/>
          <w:sz w:val="24"/>
          <w:szCs w:val="20"/>
        </w:rPr>
        <w:t>现有的</w:t>
      </w:r>
      <w:r>
        <w:rPr>
          <w:rFonts w:ascii="宋体" w:hAnsi="宋体" w:hint="eastAsia"/>
          <w:sz w:val="24"/>
          <w:szCs w:val="20"/>
        </w:rPr>
        <w:t>资料</w:t>
      </w:r>
      <w:r>
        <w:rPr>
          <w:rFonts w:ascii="宋体" w:hAnsi="宋体" w:hint="eastAsia"/>
          <w:sz w:val="24"/>
          <w:szCs w:val="20"/>
        </w:rPr>
        <w:t>情况，我们认为评估对象适合采用</w:t>
      </w:r>
      <w:r>
        <w:rPr>
          <w:rFonts w:ascii="宋体" w:hAnsi="宋体" w:hint="eastAsia"/>
          <w:sz w:val="24"/>
          <w:szCs w:val="20"/>
        </w:rPr>
        <w:t>市场比较法</w:t>
      </w:r>
      <w:r>
        <w:rPr>
          <w:rFonts w:ascii="宋体" w:hAnsi="宋体" w:hint="eastAsia"/>
          <w:sz w:val="24"/>
          <w:szCs w:val="20"/>
        </w:rPr>
        <w:t>进行估算，故本次</w:t>
      </w:r>
      <w:r>
        <w:rPr>
          <w:rFonts w:ascii="宋体" w:hAnsi="宋体" w:hint="eastAsia"/>
          <w:sz w:val="24"/>
          <w:szCs w:val="20"/>
        </w:rPr>
        <w:t>对太原市中级人民法院</w:t>
      </w:r>
      <w:r>
        <w:rPr>
          <w:rFonts w:ascii="宋体" w:hAnsi="宋体" w:hint="eastAsia"/>
          <w:sz w:val="24"/>
          <w:szCs w:val="20"/>
        </w:rPr>
        <w:t>拟</w:t>
      </w:r>
      <w:r>
        <w:rPr>
          <w:rFonts w:ascii="宋体" w:hAnsi="宋体" w:hint="eastAsia"/>
          <w:sz w:val="24"/>
          <w:szCs w:val="20"/>
        </w:rPr>
        <w:t>司法</w:t>
      </w:r>
      <w:r>
        <w:rPr>
          <w:rFonts w:ascii="宋体" w:hAnsi="宋体" w:hint="eastAsia"/>
          <w:sz w:val="24"/>
          <w:szCs w:val="20"/>
        </w:rPr>
        <w:t>处置的</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采用</w:t>
      </w:r>
      <w:r>
        <w:rPr>
          <w:rFonts w:ascii="宋体" w:hAnsi="宋体" w:hint="eastAsia"/>
          <w:sz w:val="24"/>
          <w:szCs w:val="20"/>
        </w:rPr>
        <w:t>市场比较法进行评估</w:t>
      </w:r>
      <w:r>
        <w:rPr>
          <w:rFonts w:ascii="宋体" w:hAnsi="宋体" w:hint="eastAsia"/>
          <w:sz w:val="24"/>
          <w:szCs w:val="24"/>
        </w:rPr>
        <w:t>。</w:t>
      </w:r>
    </w:p>
    <w:p w:rsidR="00282123" w:rsidRDefault="00563BD8" w:rsidP="008B5CD1">
      <w:pPr>
        <w:tabs>
          <w:tab w:val="left" w:pos="0"/>
        </w:tabs>
        <w:spacing w:line="520" w:lineRule="exact"/>
        <w:ind w:leftChars="200" w:left="420"/>
        <w:rPr>
          <w:rFonts w:ascii="宋体" w:hAnsi="宋体"/>
          <w:sz w:val="24"/>
          <w:szCs w:val="24"/>
        </w:rPr>
      </w:pPr>
      <w:r>
        <w:rPr>
          <w:rFonts w:ascii="宋体" w:hAnsi="宋体" w:hint="eastAsia"/>
          <w:sz w:val="24"/>
          <w:szCs w:val="24"/>
        </w:rPr>
        <w:t>（</w:t>
      </w:r>
      <w:r>
        <w:rPr>
          <w:rFonts w:ascii="宋体" w:hAnsi="宋体" w:hint="eastAsia"/>
          <w:sz w:val="24"/>
          <w:szCs w:val="24"/>
        </w:rPr>
        <w:t>二</w:t>
      </w:r>
      <w:r>
        <w:rPr>
          <w:rFonts w:ascii="宋体" w:hAnsi="宋体" w:hint="eastAsia"/>
          <w:sz w:val="24"/>
          <w:szCs w:val="24"/>
        </w:rPr>
        <w:t>）</w:t>
      </w:r>
      <w:r>
        <w:rPr>
          <w:rFonts w:ascii="宋体" w:hAnsi="宋体"/>
          <w:sz w:val="24"/>
          <w:szCs w:val="24"/>
        </w:rPr>
        <w:t>评估方法</w:t>
      </w:r>
    </w:p>
    <w:p w:rsidR="00282123" w:rsidRDefault="00563BD8">
      <w:pPr>
        <w:snapToGrid w:val="0"/>
        <w:spacing w:line="520" w:lineRule="exact"/>
        <w:ind w:firstLineChars="200" w:firstLine="480"/>
        <w:rPr>
          <w:rFonts w:ascii="Arial Narrow" w:hAnsi="Arial Narrow"/>
          <w:sz w:val="24"/>
        </w:rPr>
      </w:pPr>
      <w:r>
        <w:rPr>
          <w:rFonts w:ascii="Arial Narrow" w:hAnsi="Arial Narrow"/>
          <w:sz w:val="24"/>
        </w:rPr>
        <w:t>本次评估采用</w:t>
      </w:r>
      <w:r>
        <w:rPr>
          <w:rFonts w:ascii="Arial Narrow" w:hAnsi="Arial Narrow" w:hint="eastAsia"/>
          <w:sz w:val="24"/>
        </w:rPr>
        <w:t>市场比较法。</w:t>
      </w:r>
    </w:p>
    <w:p w:rsidR="00282123" w:rsidRDefault="00563BD8">
      <w:pPr>
        <w:snapToGrid w:val="0"/>
        <w:spacing w:line="520" w:lineRule="exact"/>
        <w:ind w:firstLineChars="200" w:firstLine="480"/>
        <w:rPr>
          <w:rFonts w:ascii="Arial Narrow" w:hAnsi="Arial Narrow"/>
          <w:sz w:val="24"/>
        </w:rPr>
      </w:pPr>
      <w:r>
        <w:rPr>
          <w:rFonts w:ascii="宋体" w:hAnsi="宋体" w:hint="eastAsia"/>
          <w:bCs/>
          <w:sz w:val="24"/>
          <w:szCs w:val="24"/>
        </w:rPr>
        <w:t>1</w:t>
      </w:r>
      <w:r>
        <w:rPr>
          <w:rFonts w:ascii="宋体" w:hAnsi="宋体" w:hint="eastAsia"/>
          <w:bCs/>
          <w:sz w:val="24"/>
          <w:szCs w:val="24"/>
        </w:rPr>
        <w:t>、</w:t>
      </w:r>
      <w:r>
        <w:rPr>
          <w:rFonts w:ascii="宋体" w:hAnsi="宋体" w:hint="eastAsia"/>
          <w:bCs/>
          <w:sz w:val="24"/>
          <w:szCs w:val="24"/>
        </w:rPr>
        <w:t>市场比较法</w:t>
      </w:r>
      <w:r>
        <w:rPr>
          <w:rFonts w:ascii="宋体" w:hAnsi="宋体" w:hint="eastAsia"/>
          <w:bCs/>
          <w:sz w:val="24"/>
          <w:szCs w:val="24"/>
        </w:rPr>
        <w:t>，</w:t>
      </w:r>
      <w:r>
        <w:rPr>
          <w:rFonts w:ascii="Arial Narrow" w:hAnsi="Arial Narrow" w:hint="eastAsia"/>
          <w:sz w:val="24"/>
        </w:rPr>
        <w:t>市场比较法也称市场法、比较法、现行市价法。它是指通过比较被评估的资产与最近出售的类似的资产的异同，并将类似资产的市场价格进行合理调整，从而确定被评估资产价值的一种资产评估方法</w:t>
      </w:r>
      <w:r>
        <w:rPr>
          <w:rFonts w:ascii="Arial Narrow" w:hAnsi="Arial Narrow" w:hint="eastAsia"/>
          <w:sz w:val="24"/>
        </w:rPr>
        <w:t>。</w:t>
      </w:r>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6" w:name="_Toc17488"/>
      <w:r>
        <w:rPr>
          <w:rFonts w:ascii="宋体" w:hAnsi="宋体" w:hint="eastAsia"/>
          <w:bCs/>
          <w:sz w:val="24"/>
          <w:szCs w:val="24"/>
        </w:rPr>
        <w:lastRenderedPageBreak/>
        <w:t>2</w:t>
      </w:r>
      <w:r>
        <w:rPr>
          <w:rFonts w:ascii="宋体" w:hAnsi="宋体" w:hint="eastAsia"/>
          <w:bCs/>
          <w:sz w:val="24"/>
          <w:szCs w:val="24"/>
        </w:rPr>
        <w:t>、计算公式</w:t>
      </w:r>
      <w:bookmarkEnd w:id="36"/>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7" w:name="_Toc30020"/>
      <w:r>
        <w:rPr>
          <w:rFonts w:ascii="宋体" w:hAnsi="宋体" w:hint="eastAsia"/>
          <w:bCs/>
          <w:sz w:val="24"/>
          <w:szCs w:val="24"/>
        </w:rPr>
        <w:t>PD=PB</w:t>
      </w:r>
      <w:r>
        <w:rPr>
          <w:rFonts w:ascii="宋体" w:hAnsi="宋体" w:hint="eastAsia"/>
          <w:bCs/>
          <w:sz w:val="24"/>
          <w:szCs w:val="24"/>
        </w:rPr>
        <w:t>×</w:t>
      </w:r>
      <w:r>
        <w:rPr>
          <w:rFonts w:ascii="宋体" w:hAnsi="宋体" w:hint="eastAsia"/>
          <w:bCs/>
          <w:sz w:val="24"/>
          <w:szCs w:val="24"/>
        </w:rPr>
        <w:t>A</w:t>
      </w:r>
      <w:r>
        <w:rPr>
          <w:rFonts w:ascii="宋体" w:hAnsi="宋体" w:hint="eastAsia"/>
          <w:bCs/>
          <w:sz w:val="24"/>
          <w:szCs w:val="24"/>
        </w:rPr>
        <w:t>×</w:t>
      </w:r>
      <w:r>
        <w:rPr>
          <w:rFonts w:ascii="宋体" w:hAnsi="宋体" w:hint="eastAsia"/>
          <w:bCs/>
          <w:sz w:val="24"/>
          <w:szCs w:val="24"/>
        </w:rPr>
        <w:t>B</w:t>
      </w:r>
      <w:r>
        <w:rPr>
          <w:rFonts w:ascii="宋体" w:hAnsi="宋体" w:hint="eastAsia"/>
          <w:bCs/>
          <w:sz w:val="24"/>
          <w:szCs w:val="24"/>
        </w:rPr>
        <w:t>×</w:t>
      </w:r>
      <w:r>
        <w:rPr>
          <w:rFonts w:ascii="宋体" w:hAnsi="宋体" w:hint="eastAsia"/>
          <w:bCs/>
          <w:sz w:val="24"/>
          <w:szCs w:val="24"/>
        </w:rPr>
        <w:t>C</w:t>
      </w:r>
      <w:r>
        <w:rPr>
          <w:rFonts w:ascii="宋体" w:hAnsi="宋体" w:hint="eastAsia"/>
          <w:bCs/>
          <w:sz w:val="24"/>
          <w:szCs w:val="24"/>
        </w:rPr>
        <w:t>×</w:t>
      </w:r>
      <w:r>
        <w:rPr>
          <w:rFonts w:ascii="宋体" w:hAnsi="宋体" w:hint="eastAsia"/>
          <w:bCs/>
          <w:sz w:val="24"/>
          <w:szCs w:val="24"/>
        </w:rPr>
        <w:t>D</w:t>
      </w:r>
      <w:bookmarkEnd w:id="37"/>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8" w:name="_Toc3106"/>
      <w:r>
        <w:rPr>
          <w:rFonts w:ascii="宋体" w:hAnsi="宋体" w:hint="eastAsia"/>
          <w:bCs/>
          <w:sz w:val="24"/>
          <w:szCs w:val="24"/>
        </w:rPr>
        <w:t>式中：</w:t>
      </w:r>
      <w:r>
        <w:rPr>
          <w:rFonts w:ascii="宋体" w:hAnsi="宋体" w:hint="eastAsia"/>
          <w:bCs/>
          <w:sz w:val="24"/>
          <w:szCs w:val="24"/>
        </w:rPr>
        <w:t xml:space="preserve">PD </w:t>
      </w:r>
      <w:r>
        <w:rPr>
          <w:rFonts w:ascii="宋体" w:hAnsi="宋体" w:hint="eastAsia"/>
          <w:bCs/>
          <w:sz w:val="24"/>
          <w:szCs w:val="24"/>
        </w:rPr>
        <w:t>—</w:t>
      </w:r>
      <w:r>
        <w:rPr>
          <w:rFonts w:ascii="宋体" w:hAnsi="宋体" w:hint="eastAsia"/>
          <w:bCs/>
          <w:sz w:val="24"/>
          <w:szCs w:val="24"/>
        </w:rPr>
        <w:t>委估资产</w:t>
      </w:r>
      <w:r>
        <w:rPr>
          <w:rFonts w:ascii="宋体" w:hAnsi="宋体" w:hint="eastAsia"/>
          <w:bCs/>
          <w:sz w:val="24"/>
          <w:szCs w:val="24"/>
        </w:rPr>
        <w:t>价格</w:t>
      </w:r>
      <w:bookmarkEnd w:id="38"/>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39" w:name="_Toc26251"/>
      <w:r>
        <w:rPr>
          <w:rFonts w:ascii="宋体" w:hAnsi="宋体" w:hint="eastAsia"/>
          <w:bCs/>
          <w:sz w:val="24"/>
          <w:szCs w:val="24"/>
        </w:rPr>
        <w:t xml:space="preserve">PB </w:t>
      </w:r>
      <w:r>
        <w:rPr>
          <w:rFonts w:ascii="宋体" w:hAnsi="宋体" w:hint="eastAsia"/>
          <w:bCs/>
          <w:sz w:val="24"/>
          <w:szCs w:val="24"/>
        </w:rPr>
        <w:t>—比较实例</w:t>
      </w:r>
      <w:r>
        <w:rPr>
          <w:rFonts w:ascii="宋体" w:hAnsi="宋体" w:hint="eastAsia"/>
          <w:bCs/>
          <w:sz w:val="24"/>
          <w:szCs w:val="24"/>
        </w:rPr>
        <w:t>车位使用权</w:t>
      </w:r>
      <w:r>
        <w:rPr>
          <w:rFonts w:ascii="宋体" w:hAnsi="宋体" w:hint="eastAsia"/>
          <w:bCs/>
          <w:sz w:val="24"/>
          <w:szCs w:val="24"/>
        </w:rPr>
        <w:t>价格</w:t>
      </w:r>
      <w:bookmarkEnd w:id="39"/>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0" w:name="_Toc26036"/>
      <w:r>
        <w:rPr>
          <w:rFonts w:ascii="宋体" w:hAnsi="宋体" w:hint="eastAsia"/>
          <w:bCs/>
          <w:sz w:val="24"/>
          <w:szCs w:val="24"/>
        </w:rPr>
        <w:t xml:space="preserve">A </w:t>
      </w:r>
      <w:r>
        <w:rPr>
          <w:rFonts w:ascii="宋体" w:hAnsi="宋体" w:hint="eastAsia"/>
          <w:bCs/>
          <w:sz w:val="24"/>
          <w:szCs w:val="24"/>
        </w:rPr>
        <w:t>—</w:t>
      </w:r>
      <w:r>
        <w:rPr>
          <w:rFonts w:ascii="宋体" w:hAnsi="宋体" w:hint="eastAsia"/>
          <w:bCs/>
          <w:sz w:val="24"/>
          <w:szCs w:val="24"/>
        </w:rPr>
        <w:t>委估资产</w:t>
      </w:r>
      <w:r>
        <w:rPr>
          <w:rFonts w:ascii="宋体" w:hAnsi="宋体" w:hint="eastAsia"/>
          <w:bCs/>
          <w:sz w:val="24"/>
          <w:szCs w:val="24"/>
        </w:rPr>
        <w:t>估价期日价格修正指数</w:t>
      </w:r>
      <w:r>
        <w:rPr>
          <w:rFonts w:ascii="宋体" w:hAnsi="宋体" w:hint="eastAsia"/>
          <w:bCs/>
          <w:sz w:val="24"/>
          <w:szCs w:val="24"/>
        </w:rPr>
        <w:t>/</w:t>
      </w:r>
      <w:r>
        <w:rPr>
          <w:rFonts w:ascii="宋体" w:hAnsi="宋体" w:hint="eastAsia"/>
          <w:bCs/>
          <w:sz w:val="24"/>
          <w:szCs w:val="24"/>
        </w:rPr>
        <w:t>比较实例</w:t>
      </w:r>
      <w:bookmarkEnd w:id="40"/>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1" w:name="_Toc15039"/>
      <w:r>
        <w:rPr>
          <w:rFonts w:ascii="宋体" w:hAnsi="宋体" w:hint="eastAsia"/>
          <w:bCs/>
          <w:sz w:val="24"/>
          <w:szCs w:val="24"/>
        </w:rPr>
        <w:t>车位使用权</w:t>
      </w:r>
      <w:r>
        <w:rPr>
          <w:rFonts w:ascii="宋体" w:hAnsi="宋体" w:hint="eastAsia"/>
          <w:bCs/>
          <w:sz w:val="24"/>
          <w:szCs w:val="24"/>
        </w:rPr>
        <w:t>交易日期价格修正指数</w:t>
      </w:r>
      <w:bookmarkEnd w:id="41"/>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2" w:name="_Toc2814"/>
      <w:r>
        <w:rPr>
          <w:rFonts w:ascii="宋体" w:hAnsi="宋体" w:hint="eastAsia"/>
          <w:bCs/>
          <w:sz w:val="24"/>
          <w:szCs w:val="24"/>
        </w:rPr>
        <w:t xml:space="preserve">B </w:t>
      </w:r>
      <w:r>
        <w:rPr>
          <w:rFonts w:ascii="宋体" w:hAnsi="宋体" w:hint="eastAsia"/>
          <w:bCs/>
          <w:sz w:val="24"/>
          <w:szCs w:val="24"/>
        </w:rPr>
        <w:t>—</w:t>
      </w:r>
      <w:r>
        <w:rPr>
          <w:rFonts w:ascii="宋体" w:hAnsi="宋体" w:hint="eastAsia"/>
          <w:bCs/>
          <w:sz w:val="24"/>
          <w:szCs w:val="24"/>
        </w:rPr>
        <w:t>委估资产</w:t>
      </w:r>
      <w:r>
        <w:rPr>
          <w:rFonts w:ascii="宋体" w:hAnsi="宋体" w:hint="eastAsia"/>
          <w:bCs/>
          <w:sz w:val="24"/>
          <w:szCs w:val="24"/>
        </w:rPr>
        <w:t>情况指数</w:t>
      </w:r>
      <w:r>
        <w:rPr>
          <w:rFonts w:ascii="宋体" w:hAnsi="宋体" w:hint="eastAsia"/>
          <w:bCs/>
          <w:sz w:val="24"/>
          <w:szCs w:val="24"/>
        </w:rPr>
        <w:t>/</w:t>
      </w:r>
      <w:r>
        <w:rPr>
          <w:rFonts w:ascii="宋体" w:hAnsi="宋体" w:hint="eastAsia"/>
          <w:bCs/>
          <w:sz w:val="24"/>
          <w:szCs w:val="24"/>
        </w:rPr>
        <w:t>比较实例</w:t>
      </w:r>
      <w:r>
        <w:rPr>
          <w:rFonts w:ascii="宋体" w:hAnsi="宋体" w:hint="eastAsia"/>
          <w:bCs/>
          <w:sz w:val="24"/>
          <w:szCs w:val="24"/>
        </w:rPr>
        <w:t>车位使用权</w:t>
      </w:r>
      <w:r>
        <w:rPr>
          <w:rFonts w:ascii="宋体" w:hAnsi="宋体" w:hint="eastAsia"/>
          <w:bCs/>
          <w:sz w:val="24"/>
          <w:szCs w:val="24"/>
        </w:rPr>
        <w:t>情况指数</w:t>
      </w:r>
      <w:bookmarkEnd w:id="42"/>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3" w:name="_Toc5966"/>
      <w:r>
        <w:rPr>
          <w:rFonts w:ascii="宋体" w:hAnsi="宋体" w:hint="eastAsia"/>
          <w:bCs/>
          <w:sz w:val="24"/>
          <w:szCs w:val="24"/>
        </w:rPr>
        <w:t xml:space="preserve">C </w:t>
      </w:r>
      <w:r>
        <w:rPr>
          <w:rFonts w:ascii="宋体" w:hAnsi="宋体" w:hint="eastAsia"/>
          <w:bCs/>
          <w:sz w:val="24"/>
          <w:szCs w:val="24"/>
        </w:rPr>
        <w:t>—</w:t>
      </w:r>
      <w:r>
        <w:rPr>
          <w:rFonts w:ascii="宋体" w:hAnsi="宋体" w:hint="eastAsia"/>
          <w:bCs/>
          <w:sz w:val="24"/>
          <w:szCs w:val="24"/>
        </w:rPr>
        <w:t>委估资产</w:t>
      </w:r>
      <w:r>
        <w:rPr>
          <w:rFonts w:ascii="宋体" w:hAnsi="宋体" w:hint="eastAsia"/>
          <w:bCs/>
          <w:sz w:val="24"/>
          <w:szCs w:val="24"/>
        </w:rPr>
        <w:t>区域因素条件指数</w:t>
      </w:r>
      <w:r>
        <w:rPr>
          <w:rFonts w:ascii="宋体" w:hAnsi="宋体" w:hint="eastAsia"/>
          <w:bCs/>
          <w:sz w:val="24"/>
          <w:szCs w:val="24"/>
        </w:rPr>
        <w:t>/</w:t>
      </w:r>
      <w:r>
        <w:rPr>
          <w:rFonts w:ascii="宋体" w:hAnsi="宋体" w:hint="eastAsia"/>
          <w:bCs/>
          <w:sz w:val="24"/>
          <w:szCs w:val="24"/>
        </w:rPr>
        <w:t>比较实例</w:t>
      </w:r>
      <w:bookmarkEnd w:id="43"/>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4" w:name="_Toc31142"/>
      <w:r>
        <w:rPr>
          <w:rFonts w:ascii="宋体" w:hAnsi="宋体" w:hint="eastAsia"/>
          <w:bCs/>
          <w:sz w:val="24"/>
          <w:szCs w:val="24"/>
        </w:rPr>
        <w:t>车位使用权</w:t>
      </w:r>
      <w:r>
        <w:rPr>
          <w:rFonts w:ascii="宋体" w:hAnsi="宋体" w:hint="eastAsia"/>
          <w:bCs/>
          <w:sz w:val="24"/>
          <w:szCs w:val="24"/>
        </w:rPr>
        <w:t>区域因素条件指数</w:t>
      </w:r>
      <w:bookmarkEnd w:id="44"/>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5" w:name="_Toc370"/>
      <w:r>
        <w:rPr>
          <w:rFonts w:ascii="宋体" w:hAnsi="宋体" w:hint="eastAsia"/>
          <w:bCs/>
          <w:sz w:val="24"/>
          <w:szCs w:val="24"/>
        </w:rPr>
        <w:t xml:space="preserve">D </w:t>
      </w:r>
      <w:r>
        <w:rPr>
          <w:rFonts w:ascii="宋体" w:hAnsi="宋体" w:hint="eastAsia"/>
          <w:bCs/>
          <w:sz w:val="24"/>
          <w:szCs w:val="24"/>
        </w:rPr>
        <w:t>—</w:t>
      </w:r>
      <w:r>
        <w:rPr>
          <w:rFonts w:ascii="宋体" w:hAnsi="宋体" w:hint="eastAsia"/>
          <w:bCs/>
          <w:sz w:val="24"/>
          <w:szCs w:val="24"/>
        </w:rPr>
        <w:t>委估资产</w:t>
      </w:r>
      <w:r>
        <w:rPr>
          <w:rFonts w:ascii="宋体" w:hAnsi="宋体" w:hint="eastAsia"/>
          <w:bCs/>
          <w:sz w:val="24"/>
          <w:szCs w:val="24"/>
        </w:rPr>
        <w:t>个别因素条件指数</w:t>
      </w:r>
      <w:r>
        <w:rPr>
          <w:rFonts w:ascii="宋体" w:hAnsi="宋体" w:hint="eastAsia"/>
          <w:bCs/>
          <w:sz w:val="24"/>
          <w:szCs w:val="24"/>
        </w:rPr>
        <w:t>/</w:t>
      </w:r>
      <w:r>
        <w:rPr>
          <w:rFonts w:ascii="宋体" w:hAnsi="宋体" w:hint="eastAsia"/>
          <w:bCs/>
          <w:sz w:val="24"/>
          <w:szCs w:val="24"/>
        </w:rPr>
        <w:t>比较实例</w:t>
      </w:r>
      <w:bookmarkEnd w:id="45"/>
    </w:p>
    <w:p w:rsidR="00282123" w:rsidRDefault="00563BD8">
      <w:pPr>
        <w:keepNext/>
        <w:keepLines/>
        <w:adjustRightInd w:val="0"/>
        <w:snapToGrid w:val="0"/>
        <w:spacing w:line="520" w:lineRule="exact"/>
        <w:ind w:firstLineChars="218" w:firstLine="523"/>
        <w:outlineLvl w:val="2"/>
        <w:rPr>
          <w:rFonts w:ascii="Arial Narrow" w:hAnsi="Arial Narrow"/>
          <w:sz w:val="24"/>
        </w:rPr>
      </w:pPr>
      <w:bookmarkStart w:id="46" w:name="_Toc20354"/>
      <w:r>
        <w:rPr>
          <w:rFonts w:ascii="宋体" w:hAnsi="宋体" w:hint="eastAsia"/>
          <w:bCs/>
          <w:sz w:val="24"/>
          <w:szCs w:val="24"/>
        </w:rPr>
        <w:t>车位使用权</w:t>
      </w:r>
      <w:r>
        <w:rPr>
          <w:rFonts w:ascii="宋体" w:hAnsi="宋体" w:hint="eastAsia"/>
          <w:bCs/>
          <w:sz w:val="24"/>
          <w:szCs w:val="24"/>
        </w:rPr>
        <w:t>个别因素条件指数</w:t>
      </w:r>
      <w:bookmarkEnd w:id="46"/>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7" w:name="_Toc7973"/>
      <w:r>
        <w:rPr>
          <w:rFonts w:ascii="宋体" w:hAnsi="宋体" w:hint="eastAsia"/>
          <w:bCs/>
          <w:sz w:val="24"/>
          <w:szCs w:val="24"/>
        </w:rPr>
        <w:t>八、评估程序实施过程和情况</w:t>
      </w:r>
      <w:bookmarkEnd w:id="47"/>
    </w:p>
    <w:p w:rsidR="00282123" w:rsidRDefault="00563BD8">
      <w:pPr>
        <w:tabs>
          <w:tab w:val="left" w:pos="6103"/>
        </w:tabs>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本次评估程序实施过程介绍如下：</w:t>
      </w:r>
    </w:p>
    <w:p w:rsidR="00282123" w:rsidRDefault="00563BD8">
      <w:pPr>
        <w:tabs>
          <w:tab w:val="left" w:pos="6103"/>
        </w:tabs>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（一）明确资产评估业务基本事项</w:t>
      </w:r>
    </w:p>
    <w:p w:rsidR="00282123" w:rsidRDefault="00563BD8">
      <w:pPr>
        <w:adjustRightInd w:val="0"/>
        <w:snapToGrid w:val="0"/>
        <w:spacing w:line="520" w:lineRule="exact"/>
        <w:ind w:firstLine="540"/>
        <w:rPr>
          <w:rFonts w:ascii="宋体" w:hAnsi="宋体"/>
          <w:spacing w:val="2"/>
          <w:sz w:val="24"/>
          <w:szCs w:val="20"/>
        </w:rPr>
      </w:pPr>
      <w:r>
        <w:rPr>
          <w:rFonts w:ascii="宋体" w:hAnsi="宋体" w:hint="eastAsia"/>
          <w:spacing w:val="2"/>
          <w:sz w:val="24"/>
          <w:szCs w:val="20"/>
        </w:rPr>
        <w:t xml:space="preserve"> </w:t>
      </w:r>
      <w:r>
        <w:rPr>
          <w:rFonts w:ascii="宋体" w:hAnsi="宋体" w:hint="eastAsia"/>
          <w:spacing w:val="2"/>
          <w:sz w:val="24"/>
          <w:szCs w:val="20"/>
        </w:rPr>
        <w:t>受理资产评估业务前，公司业务负责人与</w:t>
      </w:r>
      <w:r>
        <w:rPr>
          <w:rFonts w:ascii="宋体" w:hAnsi="宋体" w:hint="eastAsia"/>
          <w:spacing w:val="2"/>
          <w:sz w:val="24"/>
          <w:szCs w:val="20"/>
        </w:rPr>
        <w:t>委托方</w:t>
      </w:r>
      <w:r>
        <w:rPr>
          <w:rFonts w:ascii="宋体" w:hAnsi="宋体" w:hint="eastAsia"/>
          <w:spacing w:val="2"/>
          <w:sz w:val="24"/>
          <w:szCs w:val="20"/>
        </w:rPr>
        <w:t>进行交流，了解并明确资产评估业务基本事项，包括被评估单位以及</w:t>
      </w:r>
      <w:r>
        <w:rPr>
          <w:rFonts w:ascii="宋体" w:hAnsi="宋体" w:hint="eastAsia"/>
          <w:spacing w:val="2"/>
          <w:sz w:val="24"/>
          <w:szCs w:val="20"/>
        </w:rPr>
        <w:t>委托方</w:t>
      </w:r>
      <w:r>
        <w:rPr>
          <w:rFonts w:ascii="宋体" w:hAnsi="宋体" w:hint="eastAsia"/>
          <w:spacing w:val="2"/>
          <w:sz w:val="24"/>
          <w:szCs w:val="20"/>
        </w:rPr>
        <w:t>以外的其他资产评估报告使用人、评估目的、价值类型、评估对象和评估范围、评估基准日、资产评估报告使用范围、资产评估报告提交期限及方式、评估服务费及支付方式、</w:t>
      </w:r>
      <w:r>
        <w:rPr>
          <w:rFonts w:ascii="宋体" w:hAnsi="宋体" w:hint="eastAsia"/>
          <w:spacing w:val="2"/>
          <w:sz w:val="24"/>
          <w:szCs w:val="20"/>
        </w:rPr>
        <w:t>委托方</w:t>
      </w:r>
      <w:r>
        <w:rPr>
          <w:rFonts w:ascii="宋体" w:hAnsi="宋体" w:hint="eastAsia"/>
          <w:spacing w:val="2"/>
          <w:sz w:val="24"/>
          <w:szCs w:val="20"/>
        </w:rPr>
        <w:t>与资产评估机构及其资产评估专业人员工作配合和协助等需要明确的重要事项。</w:t>
      </w:r>
    </w:p>
    <w:p w:rsidR="00282123" w:rsidRDefault="00563BD8">
      <w:pPr>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t>（</w:t>
      </w:r>
      <w:r>
        <w:rPr>
          <w:rFonts w:ascii="宋体" w:hAnsi="宋体" w:hint="eastAsia"/>
          <w:bCs/>
          <w:spacing w:val="2"/>
          <w:sz w:val="24"/>
          <w:szCs w:val="20"/>
        </w:rPr>
        <w:t>二</w:t>
      </w:r>
      <w:r>
        <w:rPr>
          <w:rFonts w:ascii="宋体" w:hAnsi="宋体" w:hint="eastAsia"/>
          <w:bCs/>
          <w:spacing w:val="2"/>
          <w:sz w:val="24"/>
          <w:szCs w:val="20"/>
        </w:rPr>
        <w:t>）编制资产评估计划</w:t>
      </w:r>
    </w:p>
    <w:p w:rsidR="00282123" w:rsidRDefault="00563BD8">
      <w:pPr>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评估计划是明确评估技术思路，合理安排人员、突出项目重点、防止出现评估疏漏的保证。根据本项目的具体情况，制定了资产评估操作方案和计划，拟定收集资料提纲。根据评估计划和评估方案，组建评估小组成员，执行本次评估任务。</w:t>
      </w:r>
    </w:p>
    <w:p w:rsidR="00282123" w:rsidRDefault="00563BD8">
      <w:pPr>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t>（</w:t>
      </w:r>
      <w:r>
        <w:rPr>
          <w:rFonts w:ascii="宋体" w:hAnsi="宋体" w:hint="eastAsia"/>
          <w:bCs/>
          <w:spacing w:val="2"/>
          <w:sz w:val="24"/>
          <w:szCs w:val="20"/>
        </w:rPr>
        <w:t>三</w:t>
      </w:r>
      <w:r>
        <w:rPr>
          <w:rFonts w:ascii="宋体" w:hAnsi="宋体" w:hint="eastAsia"/>
          <w:bCs/>
          <w:spacing w:val="2"/>
          <w:sz w:val="24"/>
          <w:szCs w:val="20"/>
        </w:rPr>
        <w:t>）进行评估现场调查</w:t>
      </w:r>
    </w:p>
    <w:p w:rsidR="00282123" w:rsidRDefault="00563BD8">
      <w:pPr>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评估人员对纳入评估范</w:t>
      </w:r>
      <w:r>
        <w:rPr>
          <w:rFonts w:ascii="宋体" w:hAnsi="宋体" w:hint="eastAsia"/>
          <w:spacing w:val="2"/>
          <w:sz w:val="24"/>
          <w:szCs w:val="20"/>
        </w:rPr>
        <w:t>围内的资产进行了核实。核实内容主要为核实资产产权、数量、使用状态及其他影响评估作价的重要因素，主要步骤如下：</w:t>
      </w:r>
    </w:p>
    <w:p w:rsidR="00282123" w:rsidRDefault="00563BD8">
      <w:pPr>
        <w:tabs>
          <w:tab w:val="left" w:pos="6103"/>
        </w:tabs>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lastRenderedPageBreak/>
        <w:t>1</w:t>
      </w:r>
      <w:r>
        <w:rPr>
          <w:rFonts w:ascii="宋体" w:hAnsi="宋体" w:hint="eastAsia"/>
          <w:bCs/>
          <w:spacing w:val="2"/>
          <w:sz w:val="24"/>
          <w:szCs w:val="20"/>
        </w:rPr>
        <w:t>.</w:t>
      </w:r>
      <w:r>
        <w:rPr>
          <w:rFonts w:ascii="宋体" w:hAnsi="宋体" w:hint="eastAsia"/>
          <w:bCs/>
          <w:spacing w:val="2"/>
          <w:sz w:val="24"/>
          <w:szCs w:val="20"/>
        </w:rPr>
        <w:t>收集资产的产权证明文件和反映性能、状态、经济技木指标等情况的</w:t>
      </w:r>
      <w:r>
        <w:rPr>
          <w:rFonts w:ascii="宋体" w:hAnsi="宋体" w:hint="eastAsia"/>
          <w:bCs/>
          <w:spacing w:val="2"/>
          <w:sz w:val="24"/>
          <w:szCs w:val="20"/>
        </w:rPr>
        <w:t>文件</w:t>
      </w:r>
      <w:r>
        <w:rPr>
          <w:rFonts w:ascii="宋体" w:hAnsi="宋体" w:hint="eastAsia"/>
          <w:bCs/>
          <w:spacing w:val="2"/>
          <w:sz w:val="24"/>
          <w:szCs w:val="20"/>
        </w:rPr>
        <w:t>资料</w:t>
      </w:r>
      <w:r>
        <w:rPr>
          <w:rFonts w:ascii="宋体" w:hAnsi="宋体" w:hint="eastAsia"/>
          <w:bCs/>
          <w:spacing w:val="2"/>
          <w:sz w:val="24"/>
          <w:szCs w:val="20"/>
        </w:rPr>
        <w:t>；</w:t>
      </w:r>
    </w:p>
    <w:p w:rsidR="00282123" w:rsidRDefault="00563BD8">
      <w:pPr>
        <w:tabs>
          <w:tab w:val="left" w:pos="6103"/>
        </w:tabs>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t>2.</w:t>
      </w:r>
      <w:r>
        <w:rPr>
          <w:rFonts w:ascii="宋体" w:hAnsi="宋体" w:hint="eastAsia"/>
          <w:bCs/>
          <w:spacing w:val="2"/>
          <w:sz w:val="24"/>
          <w:szCs w:val="20"/>
        </w:rPr>
        <w:t>资产评估师和评估专业人员通过询问、核对</w:t>
      </w:r>
      <w:r>
        <w:rPr>
          <w:rFonts w:ascii="宋体" w:hAnsi="宋体" w:hint="eastAsia"/>
          <w:bCs/>
          <w:spacing w:val="2"/>
          <w:sz w:val="24"/>
          <w:szCs w:val="20"/>
        </w:rPr>
        <w:t>评估范围</w:t>
      </w:r>
      <w:r>
        <w:rPr>
          <w:rFonts w:ascii="宋体" w:hAnsi="宋体" w:hint="eastAsia"/>
          <w:bCs/>
          <w:spacing w:val="2"/>
          <w:sz w:val="24"/>
          <w:szCs w:val="20"/>
        </w:rPr>
        <w:t>、</w:t>
      </w:r>
      <w:r>
        <w:rPr>
          <w:rFonts w:ascii="宋体" w:hAnsi="宋体" w:hint="eastAsia"/>
          <w:bCs/>
          <w:spacing w:val="2"/>
          <w:sz w:val="24"/>
          <w:szCs w:val="20"/>
        </w:rPr>
        <w:t>实地</w:t>
      </w:r>
      <w:r>
        <w:rPr>
          <w:rFonts w:ascii="宋体" w:hAnsi="宋体" w:hint="eastAsia"/>
          <w:bCs/>
          <w:spacing w:val="2"/>
          <w:sz w:val="24"/>
          <w:szCs w:val="20"/>
        </w:rPr>
        <w:t>勘查</w:t>
      </w:r>
      <w:r>
        <w:rPr>
          <w:rFonts w:ascii="宋体" w:hAnsi="宋体" w:hint="eastAsia"/>
          <w:bCs/>
          <w:spacing w:val="2"/>
          <w:sz w:val="24"/>
          <w:szCs w:val="20"/>
        </w:rPr>
        <w:t>等</w:t>
      </w:r>
      <w:r>
        <w:rPr>
          <w:rFonts w:ascii="宋体" w:hAnsi="宋体" w:hint="eastAsia"/>
          <w:bCs/>
          <w:spacing w:val="2"/>
          <w:sz w:val="24"/>
          <w:szCs w:val="20"/>
        </w:rPr>
        <w:t>方式进行现场调查，获取评估业务需要的基础资料，了解评估对象现状，关注评估对象法律权属；</w:t>
      </w:r>
    </w:p>
    <w:p w:rsidR="00282123" w:rsidRDefault="00563BD8">
      <w:pPr>
        <w:tabs>
          <w:tab w:val="left" w:pos="6103"/>
        </w:tabs>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t>3.</w:t>
      </w:r>
      <w:r>
        <w:rPr>
          <w:rFonts w:ascii="宋体" w:hAnsi="宋体" w:hint="eastAsia"/>
          <w:bCs/>
          <w:spacing w:val="2"/>
          <w:sz w:val="24"/>
          <w:szCs w:val="20"/>
        </w:rPr>
        <w:t>审查和完善委托方填报的资产评估申报表。评估人员通过查阅有关资料，了</w:t>
      </w:r>
    </w:p>
    <w:p w:rsidR="00282123" w:rsidRDefault="00563BD8">
      <w:pPr>
        <w:tabs>
          <w:tab w:val="left" w:pos="6103"/>
        </w:tabs>
        <w:adjustRightInd w:val="0"/>
        <w:snapToGrid w:val="0"/>
        <w:spacing w:line="520" w:lineRule="exact"/>
        <w:rPr>
          <w:rFonts w:ascii="宋体" w:hAnsi="宋体"/>
          <w:bCs/>
          <w:spacing w:val="2"/>
          <w:sz w:val="24"/>
          <w:szCs w:val="20"/>
        </w:rPr>
      </w:pPr>
      <w:r>
        <w:rPr>
          <w:rFonts w:ascii="宋体" w:hAnsi="宋体" w:hint="eastAsia"/>
          <w:bCs/>
          <w:spacing w:val="2"/>
          <w:sz w:val="24"/>
          <w:szCs w:val="20"/>
        </w:rPr>
        <w:t>解纳入评估范围的具体资产的详细状況，然后仔细审查各类</w:t>
      </w:r>
      <w:r>
        <w:rPr>
          <w:rFonts w:ascii="宋体" w:hAnsi="宋体" w:hint="eastAsia"/>
          <w:bCs/>
          <w:spacing w:val="2"/>
          <w:sz w:val="24"/>
          <w:szCs w:val="20"/>
        </w:rPr>
        <w:t xml:space="preserve"> </w:t>
      </w:r>
      <w:r>
        <w:rPr>
          <w:rFonts w:ascii="宋体" w:hAnsi="宋体" w:hint="eastAsia"/>
          <w:bCs/>
          <w:spacing w:val="2"/>
          <w:sz w:val="24"/>
          <w:szCs w:val="20"/>
        </w:rPr>
        <w:t>“资产评估申报表”检查有无填项不全、错填、资产项目不明确等情況，开根据经验及掌握的有关资料</w:t>
      </w:r>
      <w:r>
        <w:rPr>
          <w:rFonts w:ascii="宋体" w:hAnsi="宋体" w:hint="eastAsia"/>
          <w:bCs/>
          <w:spacing w:val="2"/>
          <w:sz w:val="24"/>
          <w:szCs w:val="20"/>
        </w:rPr>
        <w:t>，</w:t>
      </w:r>
      <w:r>
        <w:rPr>
          <w:rFonts w:ascii="宋体" w:hAnsi="宋体" w:hint="eastAsia"/>
          <w:bCs/>
          <w:spacing w:val="2"/>
          <w:sz w:val="24"/>
          <w:szCs w:val="20"/>
        </w:rPr>
        <w:t>检查“资产评估申报表”有无漏项等，同时反馈给委托方对“资产评估申报表”进行完善。要求委托方对其提供的评估明細表及相关证明材料以签宇、盖章或者其他方式进行确认。</w:t>
      </w:r>
    </w:p>
    <w:p w:rsidR="00282123" w:rsidRDefault="00563BD8">
      <w:pPr>
        <w:tabs>
          <w:tab w:val="left" w:pos="6103"/>
        </w:tabs>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w:t>
      </w:r>
      <w:r>
        <w:rPr>
          <w:rFonts w:ascii="宋体" w:hAnsi="宋体" w:hint="eastAsia"/>
          <w:spacing w:val="2"/>
          <w:sz w:val="24"/>
          <w:szCs w:val="20"/>
        </w:rPr>
        <w:t>四</w:t>
      </w:r>
      <w:r>
        <w:rPr>
          <w:rFonts w:ascii="宋体" w:hAnsi="宋体" w:hint="eastAsia"/>
          <w:spacing w:val="2"/>
          <w:sz w:val="24"/>
          <w:szCs w:val="20"/>
        </w:rPr>
        <w:t>）收集整理评估资料</w:t>
      </w:r>
    </w:p>
    <w:p w:rsidR="00282123" w:rsidRDefault="00563BD8">
      <w:pPr>
        <w:tabs>
          <w:tab w:val="left" w:pos="6103"/>
        </w:tabs>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t>资产评估专业人员应当根据资产评估业务具体情况收集资产评估业务需要的资料。包括：</w:t>
      </w:r>
      <w:r>
        <w:rPr>
          <w:rFonts w:ascii="宋体" w:hAnsi="宋体" w:hint="eastAsia"/>
          <w:bCs/>
          <w:spacing w:val="2"/>
          <w:sz w:val="24"/>
          <w:szCs w:val="20"/>
        </w:rPr>
        <w:t>委托方</w:t>
      </w:r>
      <w:r>
        <w:rPr>
          <w:rFonts w:ascii="宋体" w:hAnsi="宋体" w:hint="eastAsia"/>
          <w:bCs/>
          <w:spacing w:val="2"/>
          <w:sz w:val="24"/>
          <w:szCs w:val="20"/>
        </w:rPr>
        <w:t>或者其他相关当事人提供的涉及评估对象和评估范围等资料</w:t>
      </w:r>
      <w:r>
        <w:rPr>
          <w:rFonts w:ascii="宋体" w:hAnsi="宋体" w:hint="eastAsia"/>
          <w:bCs/>
          <w:spacing w:val="2"/>
          <w:sz w:val="24"/>
          <w:szCs w:val="20"/>
        </w:rPr>
        <w:t>，</w:t>
      </w:r>
      <w:r>
        <w:rPr>
          <w:rFonts w:ascii="宋体" w:hAnsi="宋体" w:hint="eastAsia"/>
          <w:bCs/>
          <w:spacing w:val="2"/>
          <w:sz w:val="24"/>
          <w:szCs w:val="20"/>
        </w:rPr>
        <w:t>并对收集的评估资料进行分析、归纳和整理，形成评定估算和编制资产评估报告的依据。</w:t>
      </w:r>
    </w:p>
    <w:p w:rsidR="00282123" w:rsidRDefault="00563BD8">
      <w:pPr>
        <w:tabs>
          <w:tab w:val="left" w:pos="6103"/>
        </w:tabs>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w:t>
      </w:r>
      <w:r>
        <w:rPr>
          <w:rFonts w:ascii="宋体" w:hAnsi="宋体" w:hint="eastAsia"/>
          <w:spacing w:val="2"/>
          <w:sz w:val="24"/>
          <w:szCs w:val="20"/>
        </w:rPr>
        <w:t>五</w:t>
      </w:r>
      <w:r>
        <w:rPr>
          <w:rFonts w:ascii="宋体" w:hAnsi="宋体" w:hint="eastAsia"/>
          <w:spacing w:val="2"/>
          <w:sz w:val="24"/>
          <w:szCs w:val="20"/>
        </w:rPr>
        <w:t>）评定估算形成结论</w:t>
      </w:r>
    </w:p>
    <w:p w:rsidR="00282123" w:rsidRDefault="00563BD8">
      <w:pPr>
        <w:tabs>
          <w:tab w:val="left" w:pos="6103"/>
        </w:tabs>
        <w:adjustRightInd w:val="0"/>
        <w:snapToGrid w:val="0"/>
        <w:spacing w:line="520" w:lineRule="exact"/>
        <w:ind w:firstLine="539"/>
        <w:rPr>
          <w:rFonts w:ascii="宋体" w:hAnsi="宋体"/>
          <w:bCs/>
          <w:spacing w:val="2"/>
          <w:sz w:val="24"/>
          <w:szCs w:val="20"/>
        </w:rPr>
      </w:pPr>
      <w:r>
        <w:rPr>
          <w:rFonts w:ascii="宋体" w:hAnsi="宋体" w:hint="eastAsia"/>
          <w:bCs/>
          <w:spacing w:val="2"/>
          <w:sz w:val="24"/>
          <w:szCs w:val="20"/>
        </w:rPr>
        <w:t>资产评估专业人员根据评估目的、评估对象、价值类型、资料收集等情况，分析</w:t>
      </w:r>
      <w:r>
        <w:rPr>
          <w:rFonts w:ascii="宋体" w:hAnsi="宋体" w:hint="eastAsia"/>
          <w:bCs/>
          <w:spacing w:val="2"/>
          <w:sz w:val="24"/>
          <w:szCs w:val="20"/>
        </w:rPr>
        <w:t>市场法</w:t>
      </w:r>
      <w:r>
        <w:rPr>
          <w:rFonts w:ascii="宋体" w:hAnsi="宋体" w:hint="eastAsia"/>
          <w:bCs/>
          <w:spacing w:val="2"/>
          <w:sz w:val="24"/>
          <w:szCs w:val="20"/>
        </w:rPr>
        <w:t>、收益法和</w:t>
      </w:r>
      <w:r>
        <w:rPr>
          <w:rFonts w:ascii="宋体" w:hAnsi="宋体" w:hint="eastAsia"/>
          <w:bCs/>
          <w:spacing w:val="2"/>
          <w:sz w:val="24"/>
          <w:szCs w:val="20"/>
        </w:rPr>
        <w:t>成本法</w:t>
      </w:r>
      <w:r>
        <w:rPr>
          <w:rFonts w:ascii="宋体" w:hAnsi="宋体" w:hint="eastAsia"/>
          <w:bCs/>
          <w:spacing w:val="2"/>
          <w:sz w:val="24"/>
          <w:szCs w:val="20"/>
        </w:rPr>
        <w:t>三种资产评估基本方法的适用性，选择评估方法。针对各类资产的具体情况，根据选用的评估方法，选取相应的公式和参数进行分析、计算和判断，形成测算结果。项目负责人对形成的测算结果进行综合分析，形成评估结论，编制初步资产评估报告。</w:t>
      </w:r>
    </w:p>
    <w:p w:rsidR="00282123" w:rsidRDefault="00563BD8">
      <w:pPr>
        <w:tabs>
          <w:tab w:val="left" w:pos="6103"/>
        </w:tabs>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w:t>
      </w:r>
      <w:r>
        <w:rPr>
          <w:rFonts w:ascii="宋体" w:hAnsi="宋体" w:hint="eastAsia"/>
          <w:spacing w:val="2"/>
          <w:sz w:val="24"/>
          <w:szCs w:val="20"/>
        </w:rPr>
        <w:t>六</w:t>
      </w:r>
      <w:r>
        <w:rPr>
          <w:rFonts w:ascii="宋体" w:hAnsi="宋体" w:hint="eastAsia"/>
          <w:spacing w:val="2"/>
          <w:sz w:val="24"/>
          <w:szCs w:val="20"/>
        </w:rPr>
        <w:t>）编制出具评估报告</w:t>
      </w:r>
    </w:p>
    <w:p w:rsidR="00282123" w:rsidRDefault="00563BD8">
      <w:pPr>
        <w:adjustRightInd w:val="0"/>
        <w:snapToGrid w:val="0"/>
        <w:spacing w:line="520" w:lineRule="exact"/>
        <w:ind w:firstLine="539"/>
        <w:rPr>
          <w:rFonts w:ascii="宋体" w:hAnsi="宋体"/>
          <w:spacing w:val="2"/>
          <w:sz w:val="24"/>
          <w:szCs w:val="20"/>
        </w:rPr>
      </w:pPr>
      <w:r>
        <w:rPr>
          <w:rFonts w:ascii="宋体" w:hAnsi="宋体" w:hint="eastAsia"/>
          <w:spacing w:val="2"/>
          <w:sz w:val="24"/>
          <w:szCs w:val="20"/>
        </w:rPr>
        <w:t>根据公司资产评估业务流程管理办法规定，对初步资产评估报告进行内部审核。项目负责人在内部审核完成后，根据审核意见修改资产评估报告，形成评估报告征求意见稿。在</w:t>
      </w:r>
      <w:r>
        <w:rPr>
          <w:rFonts w:ascii="宋体" w:hAnsi="宋体" w:hint="eastAsia"/>
          <w:spacing w:val="2"/>
          <w:sz w:val="24"/>
          <w:szCs w:val="20"/>
        </w:rPr>
        <w:t>不影响对评估结论进行独立判断的前提下，与</w:t>
      </w:r>
      <w:r>
        <w:rPr>
          <w:rFonts w:ascii="宋体" w:hAnsi="宋体" w:hint="eastAsia"/>
          <w:spacing w:val="2"/>
          <w:sz w:val="24"/>
          <w:szCs w:val="20"/>
        </w:rPr>
        <w:t>委托方</w:t>
      </w:r>
      <w:r>
        <w:rPr>
          <w:rFonts w:ascii="宋体" w:hAnsi="宋体" w:hint="eastAsia"/>
          <w:spacing w:val="2"/>
          <w:sz w:val="24"/>
          <w:szCs w:val="20"/>
        </w:rPr>
        <w:t>就资产评估报告</w:t>
      </w:r>
      <w:r>
        <w:rPr>
          <w:rFonts w:ascii="宋体" w:hAnsi="宋体" w:hint="eastAsia"/>
          <w:spacing w:val="2"/>
          <w:sz w:val="24"/>
          <w:szCs w:val="20"/>
        </w:rPr>
        <w:lastRenderedPageBreak/>
        <w:t>有关内容进行沟通，根据</w:t>
      </w:r>
      <w:r>
        <w:rPr>
          <w:rFonts w:ascii="宋体" w:hAnsi="宋体" w:hint="eastAsia"/>
          <w:spacing w:val="2"/>
          <w:sz w:val="24"/>
          <w:szCs w:val="20"/>
        </w:rPr>
        <w:t>委托方</w:t>
      </w:r>
      <w:r>
        <w:rPr>
          <w:rFonts w:ascii="宋体" w:hAnsi="宋体" w:hint="eastAsia"/>
          <w:spacing w:val="2"/>
          <w:sz w:val="24"/>
          <w:szCs w:val="20"/>
        </w:rPr>
        <w:t>反馈意见进行合理修改后形成资产评估报告正式稿并向</w:t>
      </w:r>
      <w:r>
        <w:rPr>
          <w:rFonts w:ascii="宋体" w:hAnsi="宋体" w:hint="eastAsia"/>
          <w:spacing w:val="2"/>
          <w:sz w:val="24"/>
          <w:szCs w:val="20"/>
        </w:rPr>
        <w:t>委托方</w:t>
      </w:r>
      <w:r>
        <w:rPr>
          <w:rFonts w:ascii="宋体" w:hAnsi="宋体" w:hint="eastAsia"/>
          <w:spacing w:val="2"/>
          <w:sz w:val="24"/>
          <w:szCs w:val="20"/>
        </w:rPr>
        <w:t>提交。</w:t>
      </w:r>
    </w:p>
    <w:p w:rsidR="00282123" w:rsidRDefault="00563BD8">
      <w:pPr>
        <w:keepNext/>
        <w:keepLines/>
        <w:adjustRightInd w:val="0"/>
        <w:snapToGrid w:val="0"/>
        <w:spacing w:line="520" w:lineRule="exact"/>
        <w:ind w:firstLineChars="218" w:firstLine="523"/>
        <w:outlineLvl w:val="2"/>
        <w:rPr>
          <w:rFonts w:ascii="宋体" w:hAnsi="宋体"/>
          <w:bCs/>
          <w:sz w:val="24"/>
          <w:szCs w:val="24"/>
        </w:rPr>
      </w:pPr>
      <w:bookmarkStart w:id="48" w:name="_Toc1080"/>
      <w:r>
        <w:rPr>
          <w:rFonts w:ascii="宋体" w:hAnsi="宋体" w:hint="eastAsia"/>
          <w:bCs/>
          <w:sz w:val="24"/>
          <w:szCs w:val="24"/>
        </w:rPr>
        <w:t>九、评估假设</w:t>
      </w:r>
      <w:bookmarkEnd w:id="48"/>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sz w:val="24"/>
          <w:szCs w:val="24"/>
        </w:rPr>
        <w:t>1</w:t>
      </w:r>
      <w:r>
        <w:rPr>
          <w:rFonts w:ascii="宋体" w:hAnsi="宋体"/>
          <w:sz w:val="24"/>
          <w:szCs w:val="24"/>
        </w:rPr>
        <w:t>、</w:t>
      </w:r>
      <w:r>
        <w:rPr>
          <w:rFonts w:ascii="宋体" w:hAnsi="宋体" w:hint="eastAsia"/>
          <w:sz w:val="24"/>
          <w:szCs w:val="24"/>
        </w:rPr>
        <w:t>宏观及外部环境的</w:t>
      </w:r>
      <w:r>
        <w:rPr>
          <w:rFonts w:ascii="宋体" w:hAnsi="宋体"/>
          <w:sz w:val="24"/>
          <w:szCs w:val="24"/>
        </w:rPr>
        <w:t>假设</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sz w:val="24"/>
          <w:szCs w:val="24"/>
        </w:rPr>
        <w:t>（</w:t>
      </w:r>
      <w:r>
        <w:rPr>
          <w:rFonts w:ascii="宋体" w:hAnsi="宋体"/>
          <w:sz w:val="24"/>
          <w:szCs w:val="24"/>
        </w:rPr>
        <w:t>1</w:t>
      </w:r>
      <w:r>
        <w:rPr>
          <w:rFonts w:ascii="宋体" w:hAnsi="宋体"/>
          <w:sz w:val="24"/>
          <w:szCs w:val="24"/>
        </w:rPr>
        <w:t>）国家现行的相关法律、法规、政策未发生重大变化；</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sz w:val="24"/>
          <w:szCs w:val="24"/>
        </w:rPr>
        <w:t>（</w:t>
      </w:r>
      <w:r>
        <w:rPr>
          <w:rFonts w:ascii="宋体" w:hAnsi="宋体" w:hint="eastAsia"/>
          <w:sz w:val="24"/>
          <w:szCs w:val="24"/>
        </w:rPr>
        <w:t>2</w:t>
      </w:r>
      <w:r>
        <w:rPr>
          <w:rFonts w:ascii="宋体" w:hAnsi="宋体"/>
          <w:sz w:val="24"/>
          <w:szCs w:val="24"/>
        </w:rPr>
        <w:t>）</w:t>
      </w:r>
      <w:r>
        <w:rPr>
          <w:rFonts w:ascii="宋体" w:hAnsi="宋体" w:hint="eastAsia"/>
          <w:sz w:val="24"/>
          <w:szCs w:val="24"/>
        </w:rPr>
        <w:t>产权持有人</w:t>
      </w:r>
      <w:r>
        <w:rPr>
          <w:rFonts w:ascii="宋体" w:hAnsi="宋体"/>
          <w:sz w:val="24"/>
          <w:szCs w:val="24"/>
        </w:rPr>
        <w:t>所在地的社会经济环境无重大变化；</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w:t>
      </w:r>
      <w:r>
        <w:rPr>
          <w:rFonts w:ascii="宋体" w:hAnsi="宋体" w:hint="eastAsia"/>
          <w:sz w:val="24"/>
          <w:szCs w:val="24"/>
        </w:rPr>
        <w:t>市场供求关系不发生较大变化，其市场价格不发生大幅波动；</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w:t>
      </w:r>
      <w:r>
        <w:rPr>
          <w:rFonts w:ascii="宋体" w:hAnsi="宋体"/>
          <w:sz w:val="24"/>
          <w:szCs w:val="24"/>
        </w:rPr>
        <w:t>无其他人力不可抗拒的重大影响</w:t>
      </w:r>
      <w:r>
        <w:rPr>
          <w:rFonts w:ascii="宋体" w:hAnsi="宋体" w:hint="eastAsia"/>
          <w:sz w:val="24"/>
          <w:szCs w:val="24"/>
        </w:rPr>
        <w:t>。</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hint="eastAsia"/>
          <w:sz w:val="24"/>
          <w:szCs w:val="24"/>
        </w:rPr>
        <w:t>2</w:t>
      </w:r>
      <w:r>
        <w:rPr>
          <w:rFonts w:ascii="宋体" w:hAnsi="宋体" w:hint="eastAsia"/>
          <w:sz w:val="24"/>
          <w:szCs w:val="24"/>
        </w:rPr>
        <w:t>、交易</w:t>
      </w:r>
      <w:r>
        <w:rPr>
          <w:rFonts w:ascii="宋体" w:hAnsi="宋体"/>
          <w:sz w:val="24"/>
          <w:szCs w:val="24"/>
        </w:rPr>
        <w:t>假设</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）交易原则假设，即假设被评估资产已经处于交易过程中，评估师根据待估资产的交易条件等模拟市场进行估价。</w:t>
      </w:r>
    </w:p>
    <w:p w:rsidR="00282123" w:rsidRDefault="00563BD8" w:rsidP="008B5CD1">
      <w:pPr>
        <w:tabs>
          <w:tab w:val="left" w:pos="0"/>
        </w:tabs>
        <w:spacing w:line="520" w:lineRule="exact"/>
        <w:ind w:firstLineChars="222" w:firstLine="533"/>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）假设评估范围内的资产真实、完整</w:t>
      </w:r>
      <w:r>
        <w:rPr>
          <w:rFonts w:ascii="宋体" w:hAnsi="宋体" w:hint="eastAsia"/>
          <w:sz w:val="24"/>
          <w:szCs w:val="24"/>
        </w:rPr>
        <w:t>，不存在产权瑕疵，不涉及任何抵押权、</w:t>
      </w:r>
      <w:r>
        <w:rPr>
          <w:rFonts w:ascii="宋体" w:hAnsi="宋体" w:hint="eastAsia"/>
          <w:sz w:val="24"/>
          <w:szCs w:val="24"/>
        </w:rPr>
        <w:t>留置权或担保事宜，不存在其它限制交易事项。</w:t>
      </w:r>
    </w:p>
    <w:p w:rsidR="00282123" w:rsidRDefault="00563BD8">
      <w:pPr>
        <w:adjustRightInd w:val="0"/>
        <w:snapToGrid w:val="0"/>
        <w:spacing w:line="520" w:lineRule="exact"/>
        <w:ind w:firstLineChars="225" w:firstLine="549"/>
        <w:rPr>
          <w:rFonts w:ascii="宋体" w:hAnsi="宋体"/>
          <w:spacing w:val="2"/>
          <w:sz w:val="24"/>
          <w:szCs w:val="20"/>
        </w:rPr>
      </w:pPr>
      <w:r>
        <w:rPr>
          <w:rFonts w:ascii="宋体" w:hAnsi="宋体" w:hint="eastAsia"/>
          <w:spacing w:val="2"/>
          <w:sz w:val="24"/>
          <w:szCs w:val="20"/>
        </w:rPr>
        <w:t>本评估报告评估结论在上述假设条件下在评估基准日时成立，当上述假设条件发生较大变化时，签字资产评估师及本评估机构将不承担由于假设条件改变而推导出不同评估结论的责任。</w:t>
      </w:r>
    </w:p>
    <w:p w:rsidR="00282123" w:rsidRDefault="00563BD8">
      <w:pPr>
        <w:keepNext/>
        <w:keepLines/>
        <w:numPr>
          <w:ilvl w:val="0"/>
          <w:numId w:val="1"/>
        </w:numPr>
        <w:adjustRightInd w:val="0"/>
        <w:snapToGrid w:val="0"/>
        <w:spacing w:line="520" w:lineRule="exact"/>
        <w:ind w:firstLineChars="218" w:firstLine="523"/>
        <w:outlineLvl w:val="2"/>
        <w:rPr>
          <w:rFonts w:ascii="宋体" w:hAnsi="宋体"/>
          <w:bCs/>
          <w:sz w:val="24"/>
          <w:szCs w:val="24"/>
        </w:rPr>
      </w:pPr>
      <w:bookmarkStart w:id="49" w:name="_Toc5308"/>
      <w:r>
        <w:rPr>
          <w:rFonts w:ascii="宋体" w:hAnsi="宋体" w:hint="eastAsia"/>
          <w:bCs/>
          <w:sz w:val="24"/>
          <w:szCs w:val="24"/>
        </w:rPr>
        <w:t>评估结论</w:t>
      </w:r>
      <w:r>
        <w:rPr>
          <w:rFonts w:ascii="宋体" w:hAnsi="宋体" w:hint="eastAsia"/>
          <w:bCs/>
          <w:sz w:val="24"/>
          <w:szCs w:val="24"/>
        </w:rPr>
        <w:t>：</w:t>
      </w:r>
      <w:bookmarkEnd w:id="49"/>
    </w:p>
    <w:p w:rsidR="00282123" w:rsidRDefault="00563BD8">
      <w:pPr>
        <w:adjustRightInd w:val="0"/>
        <w:snapToGrid w:val="0"/>
        <w:spacing w:line="520" w:lineRule="exact"/>
        <w:ind w:firstLineChars="200" w:firstLine="480"/>
        <w:rPr>
          <w:rFonts w:ascii="宋体" w:hAnsi="宋体"/>
          <w:sz w:val="24"/>
          <w:szCs w:val="20"/>
        </w:rPr>
      </w:pPr>
      <w:bookmarkStart w:id="50" w:name="_Toc12517"/>
      <w:r>
        <w:rPr>
          <w:rFonts w:ascii="宋体" w:hAnsi="宋体" w:hint="eastAsia"/>
          <w:sz w:val="24"/>
          <w:szCs w:val="20"/>
        </w:rPr>
        <w:t>经评估，截止评估基准日</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w:t>
      </w:r>
      <w:r>
        <w:rPr>
          <w:rFonts w:ascii="宋体" w:hAnsi="宋体" w:hint="eastAsia"/>
          <w:sz w:val="24"/>
          <w:szCs w:val="20"/>
        </w:rPr>
        <w:t>太原市中级人民法院</w:t>
      </w:r>
      <w:r>
        <w:rPr>
          <w:rFonts w:ascii="宋体" w:hAnsi="宋体" w:hint="eastAsia"/>
          <w:sz w:val="24"/>
          <w:szCs w:val="20"/>
        </w:rPr>
        <w:t>拟</w:t>
      </w:r>
      <w:r>
        <w:rPr>
          <w:rFonts w:ascii="宋体" w:hAnsi="宋体" w:hint="eastAsia"/>
          <w:sz w:val="24"/>
          <w:szCs w:val="20"/>
        </w:rPr>
        <w:t>司法</w:t>
      </w:r>
      <w:r>
        <w:rPr>
          <w:rFonts w:ascii="宋体" w:hAnsi="宋体" w:hint="eastAsia"/>
          <w:sz w:val="24"/>
          <w:szCs w:val="20"/>
        </w:rPr>
        <w:t>处置</w:t>
      </w:r>
      <w:r>
        <w:rPr>
          <w:rFonts w:ascii="宋体" w:hAnsi="宋体" w:hint="eastAsia"/>
          <w:sz w:val="24"/>
          <w:szCs w:val="20"/>
        </w:rPr>
        <w:t>所涉及</w:t>
      </w:r>
      <w:r>
        <w:rPr>
          <w:rFonts w:ascii="宋体" w:hAnsi="宋体" w:hint="eastAsia"/>
          <w:sz w:val="24"/>
          <w:szCs w:val="20"/>
        </w:rPr>
        <w:t>的</w:t>
      </w:r>
      <w:r>
        <w:rPr>
          <w:rFonts w:ascii="宋体" w:hAnsi="宋体" w:hint="eastAsia"/>
          <w:sz w:val="24"/>
          <w:szCs w:val="20"/>
        </w:rPr>
        <w:t>位于太原市五龙口街</w:t>
      </w:r>
      <w:r>
        <w:rPr>
          <w:rFonts w:ascii="宋体" w:hAnsi="宋体" w:hint="eastAsia"/>
          <w:sz w:val="24"/>
          <w:szCs w:val="20"/>
        </w:rPr>
        <w:t>99</w:t>
      </w:r>
      <w:r>
        <w:rPr>
          <w:rFonts w:ascii="宋体" w:hAnsi="宋体" w:hint="eastAsia"/>
          <w:sz w:val="24"/>
          <w:szCs w:val="20"/>
        </w:rPr>
        <w:t>号特别特花园车位使用权</w:t>
      </w:r>
      <w:r>
        <w:rPr>
          <w:rFonts w:ascii="宋体" w:hAnsi="宋体" w:hint="eastAsia"/>
          <w:sz w:val="24"/>
          <w:szCs w:val="20"/>
        </w:rPr>
        <w:t>评估</w:t>
      </w:r>
      <w:r>
        <w:rPr>
          <w:rFonts w:ascii="宋体" w:hAnsi="宋体" w:hint="eastAsia"/>
          <w:sz w:val="24"/>
          <w:szCs w:val="20"/>
        </w:rPr>
        <w:t>价值为</w:t>
      </w:r>
      <w:r>
        <w:rPr>
          <w:rFonts w:ascii="宋体" w:hAnsi="宋体" w:hint="eastAsia"/>
          <w:sz w:val="24"/>
          <w:szCs w:val="20"/>
        </w:rPr>
        <w:t>4,708,950.00</w:t>
      </w:r>
      <w:r>
        <w:rPr>
          <w:rFonts w:ascii="宋体" w:hAnsi="宋体" w:hint="eastAsia"/>
          <w:sz w:val="24"/>
          <w:szCs w:val="20"/>
        </w:rPr>
        <w:t>元（大写人民币肆佰柒拾万捌仟玖佰伍拾元整）。</w:t>
      </w:r>
      <w:r>
        <w:rPr>
          <w:rFonts w:ascii="宋体" w:hAnsi="宋体" w:hint="eastAsia"/>
          <w:sz w:val="24"/>
          <w:szCs w:val="20"/>
        </w:rPr>
        <w:t xml:space="preserve"> </w:t>
      </w:r>
    </w:p>
    <w:tbl>
      <w:tblPr>
        <w:tblW w:w="4997" w:type="pct"/>
        <w:tblLayout w:type="fixed"/>
        <w:tblLook w:val="04A0"/>
      </w:tblPr>
      <w:tblGrid>
        <w:gridCol w:w="617"/>
        <w:gridCol w:w="1494"/>
        <w:gridCol w:w="1639"/>
        <w:gridCol w:w="737"/>
        <w:gridCol w:w="817"/>
        <w:gridCol w:w="776"/>
        <w:gridCol w:w="1117"/>
        <w:gridCol w:w="1308"/>
        <w:gridCol w:w="607"/>
      </w:tblGrid>
      <w:tr w:rsidR="00282123">
        <w:trPr>
          <w:trHeight w:val="940"/>
        </w:trPr>
        <w:tc>
          <w:tcPr>
            <w:tcW w:w="33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序号</w:t>
            </w:r>
          </w:p>
        </w:tc>
        <w:tc>
          <w:tcPr>
            <w:tcW w:w="8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名称</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所在层数</w:t>
            </w:r>
          </w:p>
        </w:tc>
        <w:tc>
          <w:tcPr>
            <w:tcW w:w="4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计量单位</w:t>
            </w:r>
          </w:p>
        </w:tc>
        <w:tc>
          <w:tcPr>
            <w:tcW w:w="4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车位个数</w:t>
            </w:r>
          </w:p>
        </w:tc>
        <w:tc>
          <w:tcPr>
            <w:tcW w:w="613" w:type="pct"/>
            <w:tcBorders>
              <w:top w:val="single" w:sz="4" w:space="0" w:color="000000"/>
              <w:left w:val="nil"/>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评估单价</w:t>
            </w:r>
          </w:p>
        </w:tc>
        <w:tc>
          <w:tcPr>
            <w:tcW w:w="718" w:type="pct"/>
            <w:tcBorders>
              <w:top w:val="single" w:sz="4" w:space="0" w:color="000000"/>
              <w:left w:val="nil"/>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评估价值</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t>备注</w:t>
            </w:r>
          </w:p>
        </w:tc>
      </w:tr>
      <w:tr w:rsidR="00282123">
        <w:trPr>
          <w:trHeight w:val="604"/>
        </w:trPr>
        <w:tc>
          <w:tcPr>
            <w:tcW w:w="33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8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号特别特花园负一层地下车库</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负一层中心位置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13</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88,112.00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1,145,456.00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584"/>
        </w:trPr>
        <w:tc>
          <w:tcPr>
            <w:tcW w:w="33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8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负一层边缘位置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-1</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26 </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86,391.00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2,246,166.00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r>
      <w:tr w:rsidR="00282123">
        <w:trPr>
          <w:trHeight w:val="593"/>
        </w:trPr>
        <w:tc>
          <w:tcPr>
            <w:tcW w:w="338"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81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太原市五龙口</w:t>
            </w:r>
            <w:r>
              <w:rPr>
                <w:rFonts w:ascii="宋体" w:hAnsi="宋体" w:cs="宋体" w:hint="eastAsia"/>
                <w:color w:val="000000"/>
                <w:kern w:val="0"/>
                <w:sz w:val="20"/>
                <w:szCs w:val="20"/>
                <w:lang/>
              </w:rPr>
              <w:lastRenderedPageBreak/>
              <w:t>街</w:t>
            </w:r>
            <w:r>
              <w:rPr>
                <w:rFonts w:ascii="宋体" w:hAnsi="宋体" w:cs="宋体" w:hint="eastAsia"/>
                <w:color w:val="000000"/>
                <w:kern w:val="0"/>
                <w:sz w:val="20"/>
                <w:szCs w:val="20"/>
                <w:lang/>
              </w:rPr>
              <w:t>99</w:t>
            </w:r>
            <w:r>
              <w:rPr>
                <w:rFonts w:ascii="宋体" w:hAnsi="宋体" w:cs="宋体" w:hint="eastAsia"/>
                <w:color w:val="000000"/>
                <w:kern w:val="0"/>
                <w:sz w:val="20"/>
                <w:szCs w:val="20"/>
                <w:lang/>
              </w:rPr>
              <w:t>号特别特花园负二层地下车库</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lastRenderedPageBreak/>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层中心位置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9</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83,047.00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747,423.00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338" w:type="pct"/>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81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282123">
            <w:pPr>
              <w:jc w:val="center"/>
              <w:rPr>
                <w:rFonts w:ascii="宋体" w:hAnsi="宋体" w:cs="宋体"/>
                <w:color w:val="000000"/>
                <w:sz w:val="20"/>
                <w:szCs w:val="20"/>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2123" w:rsidRDefault="00563BD8">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rPr>
              <w:t>负</w:t>
            </w:r>
            <w:r>
              <w:rPr>
                <w:rFonts w:ascii="宋体" w:hAnsi="宋体" w:cs="宋体" w:hint="eastAsia"/>
                <w:color w:val="000000"/>
                <w:kern w:val="0"/>
                <w:sz w:val="20"/>
                <w:szCs w:val="20"/>
                <w:lang/>
              </w:rPr>
              <w:t>二</w:t>
            </w:r>
            <w:r>
              <w:rPr>
                <w:rFonts w:ascii="宋体" w:hAnsi="宋体" w:cs="宋体" w:hint="eastAsia"/>
                <w:color w:val="000000"/>
                <w:kern w:val="0"/>
                <w:sz w:val="20"/>
                <w:szCs w:val="20"/>
                <w:lang/>
              </w:rPr>
              <w:t>层边缘位置</w:t>
            </w:r>
          </w:p>
        </w:tc>
        <w:tc>
          <w:tcPr>
            <w:tcW w:w="40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-2</w:t>
            </w: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rPr>
              <w:t>个</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hint="eastAsia"/>
                <w:color w:val="000000"/>
                <w:kern w:val="0"/>
                <w:sz w:val="18"/>
                <w:szCs w:val="18"/>
                <w:lang/>
              </w:rPr>
              <w:t>7</w:t>
            </w:r>
          </w:p>
        </w:tc>
        <w:tc>
          <w:tcPr>
            <w:tcW w:w="61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 xml:space="preserve">81,415.00   </w:t>
            </w: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569,905.00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宋体" w:hAnsi="宋体" w:cs="宋体"/>
                <w:color w:val="000000"/>
                <w:sz w:val="18"/>
                <w:szCs w:val="18"/>
              </w:rPr>
            </w:pPr>
          </w:p>
        </w:tc>
      </w:tr>
      <w:tr w:rsidR="00282123">
        <w:trPr>
          <w:trHeight w:val="480"/>
        </w:trPr>
        <w:tc>
          <w:tcPr>
            <w:tcW w:w="2055" w:type="pct"/>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20"/>
                <w:szCs w:val="20"/>
              </w:rPr>
            </w:pPr>
            <w:r>
              <w:rPr>
                <w:rFonts w:ascii="宋体" w:hAnsi="宋体" w:cs="宋体" w:hint="eastAsia"/>
                <w:color w:val="000000"/>
                <w:kern w:val="0"/>
                <w:sz w:val="20"/>
                <w:szCs w:val="20"/>
                <w:lang/>
              </w:rPr>
              <w:lastRenderedPageBreak/>
              <w:t>合计</w:t>
            </w:r>
          </w:p>
        </w:tc>
        <w:tc>
          <w:tcPr>
            <w:tcW w:w="404"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20"/>
                <w:szCs w:val="20"/>
              </w:rPr>
            </w:pPr>
          </w:p>
        </w:tc>
        <w:tc>
          <w:tcPr>
            <w:tcW w:w="44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center"/>
              <w:rPr>
                <w:rFonts w:ascii="Arial" w:hAnsi="Arial" w:cs="Arial"/>
                <w:color w:val="000000"/>
                <w:sz w:val="18"/>
                <w:szCs w:val="18"/>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center"/>
              <w:textAlignment w:val="center"/>
              <w:rPr>
                <w:rFonts w:ascii="Arial" w:hAnsi="Arial" w:cs="Arial"/>
                <w:color w:val="000000"/>
                <w:sz w:val="18"/>
                <w:szCs w:val="18"/>
              </w:rPr>
            </w:pPr>
            <w:r>
              <w:rPr>
                <w:rFonts w:ascii="Arial" w:hAnsi="Arial" w:cs="Arial"/>
                <w:color w:val="000000"/>
                <w:kern w:val="0"/>
                <w:sz w:val="18"/>
                <w:szCs w:val="18"/>
                <w:lang/>
              </w:rPr>
              <w:t>5</w:t>
            </w:r>
            <w:r>
              <w:rPr>
                <w:rFonts w:ascii="Arial" w:hAnsi="Arial" w:cs="Arial" w:hint="eastAsia"/>
                <w:color w:val="000000"/>
                <w:kern w:val="0"/>
                <w:sz w:val="18"/>
                <w:szCs w:val="18"/>
                <w:lang/>
              </w:rPr>
              <w:t>5</w:t>
            </w:r>
          </w:p>
        </w:tc>
        <w:tc>
          <w:tcPr>
            <w:tcW w:w="613" w:type="pct"/>
            <w:tcBorders>
              <w:top w:val="single" w:sz="4" w:space="0" w:color="000000"/>
              <w:left w:val="nil"/>
              <w:bottom w:val="single" w:sz="4" w:space="0" w:color="000000"/>
              <w:right w:val="single" w:sz="4" w:space="0" w:color="000000"/>
            </w:tcBorders>
            <w:shd w:val="clear" w:color="auto" w:fill="auto"/>
            <w:noWrap/>
            <w:vAlign w:val="center"/>
          </w:tcPr>
          <w:p w:rsidR="00282123" w:rsidRDefault="00282123">
            <w:pPr>
              <w:jc w:val="right"/>
              <w:rPr>
                <w:rFonts w:ascii="Arial" w:hAnsi="Arial" w:cs="Arial"/>
                <w:color w:val="000000"/>
                <w:sz w:val="18"/>
                <w:szCs w:val="18"/>
              </w:rPr>
            </w:pPr>
          </w:p>
        </w:tc>
        <w:tc>
          <w:tcPr>
            <w:tcW w:w="71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563BD8">
            <w:pPr>
              <w:widowControl/>
              <w:jc w:val="right"/>
              <w:textAlignment w:val="center"/>
              <w:rPr>
                <w:rFonts w:ascii="Arial" w:hAnsi="Arial" w:cs="Arial"/>
                <w:color w:val="000000"/>
                <w:sz w:val="18"/>
                <w:szCs w:val="18"/>
              </w:rPr>
            </w:pPr>
            <w:r>
              <w:rPr>
                <w:rFonts w:ascii="Arial" w:hAnsi="Arial" w:cs="Arial"/>
                <w:color w:val="000000"/>
                <w:kern w:val="0"/>
                <w:sz w:val="18"/>
                <w:szCs w:val="18"/>
                <w:lang/>
              </w:rPr>
              <w:t xml:space="preserve">4,708,950.00    </w:t>
            </w:r>
          </w:p>
        </w:tc>
        <w:tc>
          <w:tcPr>
            <w:tcW w:w="33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282123" w:rsidRDefault="00282123">
            <w:pPr>
              <w:jc w:val="left"/>
              <w:rPr>
                <w:rFonts w:ascii="Arial" w:hAnsi="Arial" w:cs="Arial"/>
                <w:color w:val="000000"/>
                <w:sz w:val="18"/>
                <w:szCs w:val="18"/>
              </w:rPr>
            </w:pPr>
          </w:p>
        </w:tc>
      </w:tr>
    </w:tbl>
    <w:p w:rsidR="00282123" w:rsidRDefault="00563BD8">
      <w:pPr>
        <w:keepNext/>
        <w:keepLines/>
        <w:adjustRightInd w:val="0"/>
        <w:snapToGrid w:val="0"/>
        <w:spacing w:line="520" w:lineRule="exact"/>
        <w:ind w:firstLineChars="200" w:firstLine="480"/>
        <w:outlineLvl w:val="2"/>
        <w:rPr>
          <w:rFonts w:ascii="宋体" w:hAnsi="宋体"/>
          <w:bCs/>
          <w:sz w:val="24"/>
          <w:szCs w:val="24"/>
        </w:rPr>
      </w:pPr>
      <w:r>
        <w:rPr>
          <w:rFonts w:ascii="宋体" w:hAnsi="宋体" w:hint="eastAsia"/>
          <w:bCs/>
          <w:sz w:val="24"/>
          <w:szCs w:val="24"/>
        </w:rPr>
        <w:t>十一、特别事项说明</w:t>
      </w:r>
      <w:bookmarkEnd w:id="50"/>
    </w:p>
    <w:p w:rsidR="00282123" w:rsidRDefault="00563BD8">
      <w:pPr>
        <w:adjustRightInd w:val="0"/>
        <w:snapToGrid w:val="0"/>
        <w:spacing w:line="520" w:lineRule="exact"/>
        <w:ind w:firstLineChars="200" w:firstLine="480"/>
        <w:rPr>
          <w:rFonts w:ascii="宋体" w:hAnsi="宋体"/>
          <w:bCs/>
          <w:sz w:val="24"/>
          <w:szCs w:val="20"/>
        </w:rPr>
      </w:pPr>
      <w:r>
        <w:rPr>
          <w:rFonts w:ascii="宋体" w:hAnsi="宋体" w:hint="eastAsia"/>
          <w:bCs/>
          <w:sz w:val="24"/>
          <w:szCs w:val="20"/>
        </w:rPr>
        <w:t>以下为在评估过程中已发现可能影响评估结论但非评估人员执业水平和能力所能评定估算的有关事项：</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（一）本次现场勘验被执行人未到现场，本次现场由资产评估专业人员、委托方及申请人三方共同核查。</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（二）</w:t>
      </w:r>
      <w:r>
        <w:rPr>
          <w:rFonts w:ascii="宋体" w:hAnsi="宋体" w:hint="eastAsia"/>
          <w:sz w:val="24"/>
          <w:szCs w:val="20"/>
        </w:rPr>
        <w:t>经现场</w:t>
      </w:r>
      <w:r>
        <w:rPr>
          <w:rFonts w:ascii="宋体" w:hAnsi="宋体" w:hint="eastAsia"/>
          <w:sz w:val="24"/>
          <w:szCs w:val="20"/>
        </w:rPr>
        <w:t>勘查</w:t>
      </w:r>
      <w:r>
        <w:rPr>
          <w:rFonts w:ascii="宋体" w:hAnsi="宋体" w:hint="eastAsia"/>
          <w:sz w:val="24"/>
          <w:szCs w:val="20"/>
        </w:rPr>
        <w:t>特别特花园地下车库负一、负二层车位共计</w:t>
      </w:r>
      <w:r>
        <w:rPr>
          <w:rFonts w:ascii="宋体" w:hAnsi="宋体" w:hint="eastAsia"/>
          <w:sz w:val="24"/>
          <w:szCs w:val="20"/>
        </w:rPr>
        <w:t>107</w:t>
      </w:r>
      <w:r>
        <w:rPr>
          <w:rFonts w:ascii="宋体" w:hAnsi="宋体" w:hint="eastAsia"/>
          <w:sz w:val="24"/>
          <w:szCs w:val="20"/>
        </w:rPr>
        <w:t>个</w:t>
      </w:r>
      <w:r>
        <w:rPr>
          <w:rFonts w:ascii="宋体" w:hAnsi="宋体" w:hint="eastAsia"/>
          <w:sz w:val="24"/>
          <w:szCs w:val="20"/>
        </w:rPr>
        <w:t>。</w:t>
      </w:r>
      <w:r>
        <w:rPr>
          <w:rFonts w:ascii="宋体" w:hAnsi="宋体" w:hint="eastAsia"/>
          <w:sz w:val="24"/>
          <w:szCs w:val="20"/>
        </w:rPr>
        <w:t>纳入本次评估范围的</w:t>
      </w:r>
      <w:r>
        <w:rPr>
          <w:rFonts w:ascii="宋体" w:hAnsi="宋体" w:hint="eastAsia"/>
          <w:sz w:val="24"/>
          <w:szCs w:val="20"/>
        </w:rPr>
        <w:t>55</w:t>
      </w:r>
      <w:r>
        <w:rPr>
          <w:rFonts w:ascii="宋体" w:hAnsi="宋体" w:hint="eastAsia"/>
          <w:sz w:val="24"/>
          <w:szCs w:val="20"/>
        </w:rPr>
        <w:t>个</w:t>
      </w:r>
      <w:r>
        <w:rPr>
          <w:rFonts w:ascii="宋体" w:hAnsi="宋体" w:hint="eastAsia"/>
          <w:sz w:val="24"/>
          <w:szCs w:val="20"/>
        </w:rPr>
        <w:t>车位</w:t>
      </w:r>
      <w:r>
        <w:rPr>
          <w:rFonts w:ascii="宋体" w:hAnsi="宋体" w:hint="eastAsia"/>
          <w:sz w:val="24"/>
          <w:szCs w:val="20"/>
        </w:rPr>
        <w:t>的使用权车位号分别为</w:t>
      </w:r>
      <w:r>
        <w:rPr>
          <w:rFonts w:ascii="宋体" w:hAnsi="宋体" w:hint="eastAsia"/>
          <w:sz w:val="24"/>
          <w:szCs w:val="20"/>
        </w:rPr>
        <w:t>负一层</w:t>
      </w:r>
      <w:r>
        <w:rPr>
          <w:rFonts w:ascii="宋体" w:hAnsi="宋体" w:hint="eastAsia"/>
          <w:sz w:val="24"/>
          <w:szCs w:val="20"/>
        </w:rPr>
        <w:t>3</w:t>
      </w:r>
      <w:r>
        <w:rPr>
          <w:rFonts w:ascii="宋体" w:hAnsi="宋体" w:hint="eastAsia"/>
          <w:sz w:val="24"/>
          <w:szCs w:val="20"/>
        </w:rPr>
        <w:t>、</w:t>
      </w:r>
      <w:r>
        <w:rPr>
          <w:rFonts w:ascii="宋体" w:hAnsi="宋体" w:hint="eastAsia"/>
          <w:sz w:val="24"/>
          <w:szCs w:val="20"/>
        </w:rPr>
        <w:t>4</w:t>
      </w:r>
      <w:r>
        <w:rPr>
          <w:rFonts w:ascii="宋体" w:hAnsi="宋体" w:hint="eastAsia"/>
          <w:sz w:val="24"/>
          <w:szCs w:val="20"/>
        </w:rPr>
        <w:t>、</w:t>
      </w:r>
      <w:r>
        <w:rPr>
          <w:rFonts w:ascii="宋体" w:hAnsi="宋体" w:hint="eastAsia"/>
          <w:sz w:val="24"/>
          <w:szCs w:val="20"/>
        </w:rPr>
        <w:t>5</w:t>
      </w:r>
      <w:r>
        <w:rPr>
          <w:rFonts w:ascii="宋体" w:hAnsi="宋体" w:hint="eastAsia"/>
          <w:sz w:val="24"/>
          <w:szCs w:val="20"/>
        </w:rPr>
        <w:t>、</w:t>
      </w:r>
      <w:r>
        <w:rPr>
          <w:rFonts w:ascii="宋体" w:hAnsi="宋体" w:hint="eastAsia"/>
          <w:sz w:val="24"/>
          <w:szCs w:val="20"/>
        </w:rPr>
        <w:t>7</w:t>
      </w:r>
      <w:r>
        <w:rPr>
          <w:rFonts w:ascii="宋体" w:hAnsi="宋体" w:hint="eastAsia"/>
          <w:sz w:val="24"/>
          <w:szCs w:val="20"/>
        </w:rPr>
        <w:t>、</w:t>
      </w:r>
      <w:r>
        <w:rPr>
          <w:rFonts w:ascii="宋体" w:hAnsi="宋体" w:hint="eastAsia"/>
          <w:sz w:val="24"/>
          <w:szCs w:val="20"/>
        </w:rPr>
        <w:t>8</w:t>
      </w:r>
      <w:r>
        <w:rPr>
          <w:rFonts w:ascii="宋体" w:hAnsi="宋体" w:hint="eastAsia"/>
          <w:sz w:val="24"/>
          <w:szCs w:val="20"/>
        </w:rPr>
        <w:t>、</w:t>
      </w:r>
      <w:r>
        <w:rPr>
          <w:rFonts w:ascii="宋体" w:hAnsi="宋体" w:hint="eastAsia"/>
          <w:sz w:val="24"/>
          <w:szCs w:val="20"/>
        </w:rPr>
        <w:t>10-20</w:t>
      </w:r>
      <w:r>
        <w:rPr>
          <w:rFonts w:ascii="宋体" w:hAnsi="宋体" w:hint="eastAsia"/>
          <w:sz w:val="24"/>
          <w:szCs w:val="20"/>
        </w:rPr>
        <w:t>、</w:t>
      </w:r>
      <w:r>
        <w:rPr>
          <w:rFonts w:ascii="宋体" w:hAnsi="宋体" w:hint="eastAsia"/>
          <w:sz w:val="24"/>
          <w:szCs w:val="20"/>
        </w:rPr>
        <w:t>23</w:t>
      </w:r>
      <w:r>
        <w:rPr>
          <w:rFonts w:ascii="宋体" w:hAnsi="宋体" w:hint="eastAsia"/>
          <w:sz w:val="24"/>
          <w:szCs w:val="20"/>
        </w:rPr>
        <w:t>、</w:t>
      </w:r>
      <w:r>
        <w:rPr>
          <w:rFonts w:ascii="宋体" w:hAnsi="宋体" w:hint="eastAsia"/>
          <w:sz w:val="24"/>
          <w:szCs w:val="20"/>
        </w:rPr>
        <w:t>25-28</w:t>
      </w:r>
      <w:r>
        <w:rPr>
          <w:rFonts w:ascii="宋体" w:hAnsi="宋体" w:hint="eastAsia"/>
          <w:sz w:val="24"/>
          <w:szCs w:val="20"/>
        </w:rPr>
        <w:t>、</w:t>
      </w:r>
      <w:r>
        <w:rPr>
          <w:rFonts w:ascii="宋体" w:hAnsi="宋体" w:hint="eastAsia"/>
          <w:sz w:val="24"/>
          <w:szCs w:val="20"/>
        </w:rPr>
        <w:t>31-34</w:t>
      </w:r>
      <w:r>
        <w:rPr>
          <w:rFonts w:ascii="宋体" w:hAnsi="宋体" w:hint="eastAsia"/>
          <w:sz w:val="24"/>
          <w:szCs w:val="20"/>
        </w:rPr>
        <w:t>、</w:t>
      </w:r>
      <w:r>
        <w:rPr>
          <w:rFonts w:ascii="宋体" w:hAnsi="宋体" w:hint="eastAsia"/>
          <w:sz w:val="24"/>
          <w:szCs w:val="20"/>
        </w:rPr>
        <w:t>36</w:t>
      </w:r>
      <w:r>
        <w:rPr>
          <w:rFonts w:ascii="宋体" w:hAnsi="宋体" w:hint="eastAsia"/>
          <w:sz w:val="24"/>
          <w:szCs w:val="20"/>
        </w:rPr>
        <w:t>、</w:t>
      </w:r>
      <w:r>
        <w:rPr>
          <w:rFonts w:ascii="宋体" w:hAnsi="宋体" w:hint="eastAsia"/>
          <w:sz w:val="24"/>
          <w:szCs w:val="20"/>
        </w:rPr>
        <w:t>38</w:t>
      </w:r>
      <w:r>
        <w:rPr>
          <w:rFonts w:ascii="宋体" w:hAnsi="宋体" w:hint="eastAsia"/>
          <w:sz w:val="24"/>
          <w:szCs w:val="20"/>
        </w:rPr>
        <w:t>、</w:t>
      </w:r>
      <w:r>
        <w:rPr>
          <w:rFonts w:ascii="宋体" w:hAnsi="宋体" w:hint="eastAsia"/>
          <w:sz w:val="24"/>
          <w:szCs w:val="20"/>
        </w:rPr>
        <w:t>43-47</w:t>
      </w:r>
      <w:r>
        <w:rPr>
          <w:rFonts w:ascii="宋体" w:hAnsi="宋体" w:hint="eastAsia"/>
          <w:sz w:val="24"/>
          <w:szCs w:val="20"/>
        </w:rPr>
        <w:t>、</w:t>
      </w:r>
      <w:r>
        <w:rPr>
          <w:rFonts w:ascii="宋体" w:hAnsi="宋体" w:hint="eastAsia"/>
          <w:sz w:val="24"/>
          <w:szCs w:val="20"/>
        </w:rPr>
        <w:t>49</w:t>
      </w:r>
      <w:r>
        <w:rPr>
          <w:rFonts w:ascii="宋体" w:hAnsi="宋体" w:hint="eastAsia"/>
          <w:sz w:val="24"/>
          <w:szCs w:val="20"/>
        </w:rPr>
        <w:t>、</w:t>
      </w:r>
      <w:r>
        <w:rPr>
          <w:rFonts w:ascii="宋体" w:hAnsi="宋体" w:hint="eastAsia"/>
          <w:sz w:val="24"/>
          <w:szCs w:val="20"/>
        </w:rPr>
        <w:t>52-57</w:t>
      </w:r>
      <w:r>
        <w:rPr>
          <w:rFonts w:ascii="宋体" w:hAnsi="宋体" w:hint="eastAsia"/>
          <w:sz w:val="24"/>
          <w:szCs w:val="20"/>
        </w:rPr>
        <w:t>，共计</w:t>
      </w:r>
      <w:r>
        <w:rPr>
          <w:rFonts w:ascii="宋体" w:hAnsi="宋体" w:hint="eastAsia"/>
          <w:sz w:val="24"/>
          <w:szCs w:val="20"/>
        </w:rPr>
        <w:t>39</w:t>
      </w:r>
      <w:r>
        <w:rPr>
          <w:rFonts w:ascii="宋体" w:hAnsi="宋体" w:hint="eastAsia"/>
          <w:sz w:val="24"/>
          <w:szCs w:val="20"/>
        </w:rPr>
        <w:t>个车位；</w:t>
      </w:r>
      <w:r>
        <w:rPr>
          <w:rFonts w:ascii="宋体" w:hAnsi="宋体" w:hint="eastAsia"/>
          <w:sz w:val="24"/>
          <w:szCs w:val="20"/>
        </w:rPr>
        <w:t>负二层</w:t>
      </w:r>
      <w:r>
        <w:rPr>
          <w:rFonts w:ascii="宋体" w:hAnsi="宋体" w:hint="eastAsia"/>
          <w:sz w:val="24"/>
          <w:szCs w:val="20"/>
        </w:rPr>
        <w:t>12</w:t>
      </w:r>
      <w:r>
        <w:rPr>
          <w:rFonts w:ascii="宋体" w:hAnsi="宋体" w:hint="eastAsia"/>
          <w:sz w:val="24"/>
          <w:szCs w:val="20"/>
        </w:rPr>
        <w:t>、</w:t>
      </w:r>
      <w:r>
        <w:rPr>
          <w:rFonts w:ascii="宋体" w:hAnsi="宋体" w:hint="eastAsia"/>
          <w:sz w:val="24"/>
          <w:szCs w:val="20"/>
        </w:rPr>
        <w:t>24</w:t>
      </w:r>
      <w:r>
        <w:rPr>
          <w:rFonts w:ascii="宋体" w:hAnsi="宋体" w:hint="eastAsia"/>
          <w:sz w:val="24"/>
          <w:szCs w:val="20"/>
        </w:rPr>
        <w:t>、</w:t>
      </w:r>
      <w:r>
        <w:rPr>
          <w:rFonts w:ascii="宋体" w:hAnsi="宋体" w:hint="eastAsia"/>
          <w:sz w:val="24"/>
          <w:szCs w:val="20"/>
        </w:rPr>
        <w:t>33-46</w:t>
      </w:r>
      <w:r>
        <w:rPr>
          <w:rFonts w:ascii="宋体" w:hAnsi="宋体" w:hint="eastAsia"/>
          <w:sz w:val="24"/>
          <w:szCs w:val="20"/>
        </w:rPr>
        <w:t>，共计</w:t>
      </w:r>
      <w:r>
        <w:rPr>
          <w:rFonts w:ascii="宋体" w:hAnsi="宋体" w:hint="eastAsia"/>
          <w:sz w:val="24"/>
          <w:szCs w:val="20"/>
        </w:rPr>
        <w:t>16</w:t>
      </w:r>
      <w:r>
        <w:rPr>
          <w:rFonts w:ascii="宋体" w:hAnsi="宋体" w:hint="eastAsia"/>
          <w:sz w:val="24"/>
          <w:szCs w:val="20"/>
        </w:rPr>
        <w:t>个车位。</w:t>
      </w:r>
    </w:p>
    <w:p w:rsidR="00A71141" w:rsidRDefault="00563BD8" w:rsidP="00A71141">
      <w:pPr>
        <w:tabs>
          <w:tab w:val="left" w:pos="1260"/>
        </w:tabs>
        <w:spacing w:line="520" w:lineRule="exact"/>
        <w:ind w:firstLineChars="200" w:firstLine="480"/>
        <w:rPr>
          <w:rFonts w:ascii="Arial Narrow" w:hAnsi="Arial Narrow"/>
          <w:sz w:val="24"/>
        </w:rPr>
      </w:pPr>
      <w:r>
        <w:rPr>
          <w:rFonts w:ascii="宋体" w:hAnsi="宋体" w:hint="eastAsia"/>
          <w:sz w:val="24"/>
          <w:szCs w:val="20"/>
        </w:rPr>
        <w:t>（三）</w:t>
      </w:r>
      <w:r w:rsidR="00A71141">
        <w:rPr>
          <w:rFonts w:ascii="宋体" w:hAnsi="宋体" w:hint="eastAsia"/>
          <w:sz w:val="24"/>
          <w:szCs w:val="20"/>
        </w:rPr>
        <w:t>纳入本次评估范围的55个车位使用权的产权持有方为山西盛嘉房地产开发有限公司，提请报告使用方关注。</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（四）</w:t>
      </w:r>
      <w:r>
        <w:rPr>
          <w:rFonts w:ascii="宋体" w:hAnsi="宋体" w:hint="eastAsia"/>
          <w:sz w:val="24"/>
          <w:szCs w:val="20"/>
        </w:rPr>
        <w:t>评估结论不包含</w:t>
      </w:r>
      <w:r>
        <w:rPr>
          <w:rFonts w:ascii="宋体" w:hAnsi="宋体" w:hint="eastAsia"/>
          <w:sz w:val="24"/>
          <w:szCs w:val="20"/>
        </w:rPr>
        <w:t>车位管理费</w:t>
      </w:r>
      <w:r>
        <w:rPr>
          <w:rFonts w:ascii="宋体" w:hAnsi="宋体" w:hint="eastAsia"/>
          <w:sz w:val="24"/>
          <w:szCs w:val="20"/>
        </w:rPr>
        <w:t>及其他</w:t>
      </w:r>
      <w:r>
        <w:rPr>
          <w:rFonts w:ascii="宋体" w:hAnsi="宋体" w:hint="eastAsia"/>
          <w:sz w:val="24"/>
          <w:szCs w:val="20"/>
        </w:rPr>
        <w:t>可能存在的费用</w:t>
      </w:r>
      <w:r>
        <w:rPr>
          <w:rFonts w:ascii="宋体" w:hAnsi="宋体" w:hint="eastAsia"/>
          <w:sz w:val="24"/>
          <w:szCs w:val="20"/>
        </w:rPr>
        <w:t>，提请报告使用</w:t>
      </w:r>
      <w:r>
        <w:rPr>
          <w:rFonts w:ascii="宋体" w:hAnsi="宋体" w:hint="eastAsia"/>
          <w:sz w:val="24"/>
          <w:szCs w:val="20"/>
        </w:rPr>
        <w:t>方</w:t>
      </w:r>
      <w:r>
        <w:rPr>
          <w:rFonts w:ascii="宋体" w:hAnsi="宋体" w:hint="eastAsia"/>
          <w:sz w:val="24"/>
          <w:szCs w:val="20"/>
        </w:rPr>
        <w:t>关注</w:t>
      </w:r>
      <w:r>
        <w:rPr>
          <w:rFonts w:ascii="宋体" w:hAnsi="宋体" w:hint="eastAsia"/>
          <w:sz w:val="24"/>
          <w:szCs w:val="20"/>
        </w:rPr>
        <w:t>。</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w:t>
      </w:r>
      <w:r>
        <w:rPr>
          <w:rFonts w:ascii="宋体" w:hAnsi="宋体" w:hint="eastAsia"/>
          <w:sz w:val="24"/>
          <w:szCs w:val="20"/>
        </w:rPr>
        <w:t>五</w:t>
      </w:r>
      <w:r>
        <w:rPr>
          <w:rFonts w:ascii="宋体" w:hAnsi="宋体" w:hint="eastAsia"/>
          <w:sz w:val="24"/>
          <w:szCs w:val="20"/>
        </w:rPr>
        <w:t>）提供必要的资料并保证所提供资</w:t>
      </w:r>
      <w:r>
        <w:rPr>
          <w:rFonts w:ascii="宋体" w:hAnsi="宋体" w:hint="eastAsia"/>
          <w:sz w:val="24"/>
          <w:szCs w:val="20"/>
        </w:rPr>
        <w:t>料的真实性、合法性和完整性，恰当使用评估报告是委托方和当事方的责任。本评估报告中涉及的原始资料及相关产权证明文件及有关资料由委托方及产权持有者提供，委托方及产权持有者对上述资料的真实性、准确性已做出承诺。</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w:t>
      </w:r>
      <w:r>
        <w:rPr>
          <w:rFonts w:ascii="宋体" w:hAnsi="宋体" w:hint="eastAsia"/>
          <w:sz w:val="24"/>
          <w:szCs w:val="20"/>
        </w:rPr>
        <w:t>六</w:t>
      </w:r>
      <w:r>
        <w:rPr>
          <w:rFonts w:ascii="宋体" w:hAnsi="宋体" w:hint="eastAsia"/>
          <w:sz w:val="24"/>
          <w:szCs w:val="20"/>
        </w:rPr>
        <w:t>）本次评估财产涉及当事人欠缴与评估财产相关的税费情况，由于未能获取、掌握到相关资料，本次评估并未考虑该事项。提请报告使用方关注。</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w:t>
      </w:r>
      <w:r>
        <w:rPr>
          <w:rFonts w:ascii="宋体" w:hAnsi="宋体" w:hint="eastAsia"/>
          <w:sz w:val="24"/>
          <w:szCs w:val="20"/>
        </w:rPr>
        <w:t>七</w:t>
      </w:r>
      <w:r>
        <w:rPr>
          <w:rFonts w:ascii="宋体" w:hAnsi="宋体" w:hint="eastAsia"/>
          <w:sz w:val="24"/>
          <w:szCs w:val="20"/>
        </w:rPr>
        <w:t>）其他需要说明的事项</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1</w:t>
      </w:r>
      <w:r>
        <w:rPr>
          <w:rFonts w:ascii="宋体" w:hAnsi="宋体" w:hint="eastAsia"/>
          <w:sz w:val="24"/>
          <w:szCs w:val="20"/>
        </w:rPr>
        <w:t>.</w:t>
      </w:r>
      <w:r>
        <w:rPr>
          <w:rFonts w:ascii="宋体" w:hAnsi="宋体" w:hint="eastAsia"/>
          <w:sz w:val="24"/>
          <w:szCs w:val="20"/>
        </w:rPr>
        <w:t>资产评估师对评估对象的法律权属状况给予了必要的关注，并对查验情况予以披露，但不对评估对象的法律权属作任何形式的保证，亦不承担验证评估对象法律权属资料的真实性、合法性和完整性的责任。</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2</w:t>
      </w:r>
      <w:r>
        <w:rPr>
          <w:rFonts w:ascii="宋体" w:hAnsi="宋体" w:hint="eastAsia"/>
          <w:sz w:val="24"/>
          <w:szCs w:val="20"/>
        </w:rPr>
        <w:t>、本报告依据的是委托方提供的相关资料，委托方对所提供资料的真实性、完整</w:t>
      </w:r>
      <w:r>
        <w:rPr>
          <w:rFonts w:ascii="宋体" w:hAnsi="宋体" w:hint="eastAsia"/>
          <w:sz w:val="24"/>
          <w:szCs w:val="20"/>
        </w:rPr>
        <w:lastRenderedPageBreak/>
        <w:t>性及产生的后果负责，评估人员仅对操作过程及采用的公允性负责。</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3</w:t>
      </w:r>
      <w:r>
        <w:rPr>
          <w:rFonts w:ascii="宋体" w:hAnsi="宋体" w:hint="eastAsia"/>
          <w:sz w:val="24"/>
          <w:szCs w:val="20"/>
        </w:rPr>
        <w:t>、本报告只为委托方太原市中级人民法院拟司法处置之经济行为参考使用</w:t>
      </w:r>
      <w:r>
        <w:rPr>
          <w:rFonts w:ascii="宋体" w:hAnsi="宋体" w:hint="eastAsia"/>
          <w:sz w:val="24"/>
          <w:szCs w:val="20"/>
        </w:rPr>
        <w:t>,</w:t>
      </w:r>
      <w:r>
        <w:rPr>
          <w:rFonts w:ascii="宋体" w:hAnsi="宋体" w:hint="eastAsia"/>
          <w:sz w:val="24"/>
          <w:szCs w:val="20"/>
        </w:rPr>
        <w:t>有其他行为目的则需要特定目的的评估。</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评估报告使用者应注意以上特别事项对评估结果产生的影响。</w:t>
      </w:r>
      <w:r>
        <w:rPr>
          <w:rFonts w:ascii="宋体" w:hAnsi="宋体" w:hint="eastAsia"/>
          <w:sz w:val="24"/>
          <w:szCs w:val="20"/>
        </w:rPr>
        <w:tab/>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十二、资产评估报告使用限制说明</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（一）使用范围</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1.</w:t>
      </w:r>
      <w:r>
        <w:rPr>
          <w:rFonts w:ascii="宋体" w:hAnsi="宋体" w:hint="eastAsia"/>
          <w:sz w:val="24"/>
          <w:szCs w:val="20"/>
        </w:rPr>
        <w:t>本资产评估报告经承办该项业务的资产评估专业人员（或资产评估师）签名并加盖资产评估机构印章后方可正式使用；</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2.</w:t>
      </w:r>
      <w:r>
        <w:rPr>
          <w:rFonts w:ascii="宋体" w:hAnsi="宋体" w:hint="eastAsia"/>
          <w:sz w:val="24"/>
          <w:szCs w:val="20"/>
        </w:rPr>
        <w:t>评估结论使用有效期为自评估基准日起一年（</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20</w:t>
      </w:r>
      <w:r>
        <w:rPr>
          <w:rFonts w:ascii="宋体" w:hAnsi="宋体" w:hint="eastAsia"/>
          <w:sz w:val="24"/>
          <w:szCs w:val="20"/>
        </w:rPr>
        <w:t>日</w:t>
      </w:r>
      <w:r>
        <w:rPr>
          <w:rFonts w:ascii="宋体" w:hAnsi="宋体" w:hint="eastAsia"/>
          <w:sz w:val="24"/>
          <w:szCs w:val="20"/>
        </w:rPr>
        <w:t>至</w:t>
      </w:r>
      <w:r>
        <w:rPr>
          <w:rFonts w:ascii="宋体" w:hAnsi="宋体" w:hint="eastAsia"/>
          <w:sz w:val="24"/>
          <w:szCs w:val="20"/>
        </w:rPr>
        <w:t>202</w:t>
      </w:r>
      <w:r>
        <w:rPr>
          <w:rFonts w:ascii="宋体" w:hAnsi="宋体" w:hint="eastAsia"/>
          <w:sz w:val="24"/>
          <w:szCs w:val="20"/>
        </w:rPr>
        <w:t>3</w:t>
      </w:r>
      <w:r>
        <w:rPr>
          <w:rFonts w:ascii="宋体" w:hAnsi="宋体" w:hint="eastAsia"/>
          <w:sz w:val="24"/>
          <w:szCs w:val="20"/>
        </w:rPr>
        <w:t>年</w:t>
      </w:r>
      <w:r>
        <w:rPr>
          <w:rFonts w:ascii="宋体" w:hAnsi="宋体" w:hint="eastAsia"/>
          <w:sz w:val="24"/>
          <w:szCs w:val="20"/>
        </w:rPr>
        <w:t>1</w:t>
      </w:r>
      <w:r>
        <w:rPr>
          <w:rFonts w:ascii="宋体" w:hAnsi="宋体" w:hint="eastAsia"/>
          <w:sz w:val="24"/>
          <w:szCs w:val="20"/>
        </w:rPr>
        <w:t>月</w:t>
      </w:r>
      <w:r>
        <w:rPr>
          <w:rFonts w:ascii="宋体" w:hAnsi="宋体" w:hint="eastAsia"/>
          <w:sz w:val="24"/>
          <w:szCs w:val="20"/>
        </w:rPr>
        <w:t>1</w:t>
      </w:r>
      <w:r>
        <w:rPr>
          <w:rFonts w:ascii="宋体" w:hAnsi="宋体" w:hint="eastAsia"/>
          <w:sz w:val="24"/>
          <w:szCs w:val="20"/>
        </w:rPr>
        <w:t>9</w:t>
      </w:r>
      <w:r>
        <w:rPr>
          <w:rFonts w:ascii="宋体" w:hAnsi="宋体" w:hint="eastAsia"/>
          <w:sz w:val="24"/>
          <w:szCs w:val="20"/>
        </w:rPr>
        <w:t>日）。委托方或者其他资产评估报告使用人应当在评估结论使用有效期内使用资产评估报告。</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3.</w:t>
      </w:r>
      <w:r>
        <w:rPr>
          <w:rFonts w:ascii="宋体" w:hAnsi="宋体" w:hint="eastAsia"/>
          <w:sz w:val="24"/>
          <w:szCs w:val="20"/>
        </w:rPr>
        <w:t>未经委托方书面许可，资产评估机构及其资产评估专业人员不得将资产评估报告的内容向第三方提供或者公开，法律、行政法规另有规定的除外。</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4.</w:t>
      </w:r>
      <w:r>
        <w:rPr>
          <w:rFonts w:ascii="宋体" w:hAnsi="宋体" w:hint="eastAsia"/>
          <w:sz w:val="24"/>
          <w:szCs w:val="20"/>
        </w:rPr>
        <w:t>未征得资产评估机构同意，资产评估报告的内容不得被摘抄、引用或者披露于公开媒体，</w:t>
      </w:r>
      <w:r>
        <w:rPr>
          <w:rFonts w:ascii="宋体" w:hAnsi="宋体" w:hint="eastAsia"/>
          <w:sz w:val="24"/>
          <w:szCs w:val="20"/>
        </w:rPr>
        <w:t>法律、行政法规规定以及相关当事人另有约定的除外。</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（二）委托方或者其他资产评估报告使用人未按照法律、行政法规规定和资产评估报告载明的使用范围使用资产评估报告的，资产评估机构及其资产评估专业人员不承担责任</w:t>
      </w:r>
      <w:r>
        <w:rPr>
          <w:rFonts w:ascii="宋体" w:hAnsi="宋体" w:hint="eastAsia"/>
          <w:sz w:val="24"/>
          <w:szCs w:val="20"/>
        </w:rPr>
        <w:t>。</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（三）除委托方、资产评估委托合同中约定的其他资产评估报告使用人和法律、行政法规规定的资产评估报告使用人之外，其他任何机构和个人不能成为资产评估报告的使用人</w:t>
      </w:r>
      <w:r>
        <w:rPr>
          <w:rFonts w:ascii="宋体" w:hAnsi="宋体" w:hint="eastAsia"/>
          <w:sz w:val="24"/>
          <w:szCs w:val="20"/>
        </w:rPr>
        <w:t>。</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（四）资产评估报告使用人应当正确理解评估结论。评估结论不等同于评估对象可实现价格，评估结论不应当被认为是对评估对象可实现价格的保证。</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（五）本报告依</w:t>
      </w:r>
      <w:r>
        <w:rPr>
          <w:rFonts w:ascii="宋体" w:hAnsi="宋体" w:hint="eastAsia"/>
          <w:sz w:val="24"/>
          <w:szCs w:val="20"/>
        </w:rPr>
        <w:t>据的是委托方提供的相关资料，委托方对所提供资料的真实性、完整性及产生的后果负责，评估人员仅对操作过程及采用的公允性负责。</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（六）本报告只为委托方太原市中级人民法院拟司法处置之经济行为参考使用</w:t>
      </w:r>
      <w:r>
        <w:rPr>
          <w:rFonts w:ascii="宋体" w:hAnsi="宋体" w:hint="eastAsia"/>
          <w:sz w:val="24"/>
          <w:szCs w:val="20"/>
        </w:rPr>
        <w:t>,</w:t>
      </w:r>
      <w:r>
        <w:rPr>
          <w:rFonts w:ascii="宋体" w:hAnsi="宋体" w:hint="eastAsia"/>
          <w:sz w:val="24"/>
          <w:szCs w:val="20"/>
        </w:rPr>
        <w:lastRenderedPageBreak/>
        <w:t>有其他行为目的则需要特定目的的评估。</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资产评估报告使用人按本报告所载明的评估目的使用时，应关注上述报告使用限制事项。</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十三、资产评估报告日</w:t>
      </w:r>
    </w:p>
    <w:p w:rsidR="00282123" w:rsidRDefault="00563BD8">
      <w:pPr>
        <w:adjustRightInd w:val="0"/>
        <w:snapToGrid w:val="0"/>
        <w:spacing w:line="520" w:lineRule="exact"/>
        <w:ind w:firstLineChars="200" w:firstLine="480"/>
        <w:rPr>
          <w:rFonts w:ascii="宋体" w:hAnsi="宋体"/>
          <w:sz w:val="24"/>
          <w:szCs w:val="20"/>
        </w:rPr>
      </w:pPr>
      <w:r>
        <w:rPr>
          <w:rFonts w:ascii="宋体" w:hAnsi="宋体" w:hint="eastAsia"/>
          <w:sz w:val="24"/>
          <w:szCs w:val="20"/>
        </w:rPr>
        <w:t>本资产评估报告日为</w:t>
      </w:r>
      <w:r>
        <w:rPr>
          <w:rFonts w:ascii="宋体" w:hAnsi="宋体" w:hint="eastAsia"/>
          <w:sz w:val="24"/>
          <w:szCs w:val="20"/>
        </w:rPr>
        <w:t>2022</w:t>
      </w:r>
      <w:r>
        <w:rPr>
          <w:rFonts w:ascii="宋体" w:hAnsi="宋体" w:hint="eastAsia"/>
          <w:sz w:val="24"/>
          <w:szCs w:val="20"/>
        </w:rPr>
        <w:t>年</w:t>
      </w:r>
      <w:r>
        <w:rPr>
          <w:rFonts w:ascii="宋体" w:hAnsi="宋体" w:hint="eastAsia"/>
          <w:sz w:val="24"/>
          <w:szCs w:val="20"/>
        </w:rPr>
        <w:t>3</w:t>
      </w:r>
      <w:r>
        <w:rPr>
          <w:rFonts w:ascii="宋体" w:hAnsi="宋体" w:hint="eastAsia"/>
          <w:sz w:val="24"/>
          <w:szCs w:val="20"/>
        </w:rPr>
        <w:t>月</w:t>
      </w:r>
      <w:r>
        <w:rPr>
          <w:rFonts w:ascii="宋体" w:hAnsi="宋体" w:hint="eastAsia"/>
          <w:sz w:val="24"/>
          <w:szCs w:val="20"/>
        </w:rPr>
        <w:t>10</w:t>
      </w:r>
      <w:bookmarkStart w:id="51" w:name="_GoBack"/>
      <w:bookmarkEnd w:id="51"/>
      <w:r>
        <w:rPr>
          <w:rFonts w:ascii="宋体" w:hAnsi="宋体" w:hint="eastAsia"/>
          <w:sz w:val="24"/>
          <w:szCs w:val="20"/>
        </w:rPr>
        <w:t>日</w:t>
      </w:r>
      <w:r>
        <w:rPr>
          <w:rFonts w:ascii="宋体" w:hAnsi="宋体" w:hint="eastAsia"/>
          <w:sz w:val="24"/>
          <w:szCs w:val="20"/>
        </w:rPr>
        <w:t>，是资产评估师和评估专业人员形成评估结论的日期。</w:t>
      </w: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563BD8">
      <w:pPr>
        <w:spacing w:line="360" w:lineRule="auto"/>
        <w:rPr>
          <w:rFonts w:ascii="宋体" w:hAnsi="宋体"/>
          <w:b/>
          <w:sz w:val="24"/>
          <w:szCs w:val="20"/>
        </w:rPr>
      </w:pPr>
      <w:r>
        <w:rPr>
          <w:rFonts w:ascii="宋体" w:hAnsi="宋体" w:hint="eastAsia"/>
          <w:b/>
          <w:sz w:val="24"/>
          <w:szCs w:val="20"/>
        </w:rPr>
        <w:t>资产评估师（资产评估专业人员）（签章）：</w:t>
      </w: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pacing w:val="30"/>
          <w:sz w:val="24"/>
          <w:szCs w:val="20"/>
        </w:rPr>
      </w:pPr>
    </w:p>
    <w:p w:rsidR="00282123" w:rsidRDefault="00563BD8">
      <w:pPr>
        <w:spacing w:line="360" w:lineRule="auto"/>
        <w:rPr>
          <w:rFonts w:ascii="宋体" w:hAnsi="宋体"/>
          <w:b/>
          <w:sz w:val="24"/>
          <w:szCs w:val="20"/>
        </w:rPr>
      </w:pPr>
      <w:r>
        <w:rPr>
          <w:rFonts w:ascii="宋体" w:hAnsi="宋体" w:hint="eastAsia"/>
          <w:b/>
          <w:sz w:val="24"/>
          <w:szCs w:val="20"/>
        </w:rPr>
        <w:t>资产评估师（资产评估专业人员）（签章）：</w:t>
      </w: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282123">
      <w:pPr>
        <w:spacing w:line="360" w:lineRule="auto"/>
        <w:rPr>
          <w:rFonts w:ascii="宋体" w:hAnsi="宋体"/>
          <w:b/>
          <w:sz w:val="24"/>
          <w:szCs w:val="20"/>
        </w:rPr>
      </w:pPr>
    </w:p>
    <w:p w:rsidR="00282123" w:rsidRDefault="00563BD8">
      <w:pPr>
        <w:spacing w:line="360" w:lineRule="auto"/>
        <w:jc w:val="right"/>
        <w:rPr>
          <w:rFonts w:ascii="宋体" w:hAnsi="宋体"/>
          <w:b/>
          <w:spacing w:val="30"/>
          <w:sz w:val="24"/>
          <w:szCs w:val="20"/>
        </w:rPr>
      </w:pPr>
      <w:r>
        <w:rPr>
          <w:rFonts w:ascii="宋体" w:hAnsi="宋体" w:hint="eastAsia"/>
          <w:b/>
          <w:spacing w:val="30"/>
          <w:sz w:val="24"/>
          <w:szCs w:val="20"/>
        </w:rPr>
        <w:t>山西同兴中资产评估有限公司</w:t>
      </w:r>
    </w:p>
    <w:p w:rsidR="00282123" w:rsidRDefault="00563BD8" w:rsidP="008B5CD1">
      <w:pPr>
        <w:spacing w:line="360" w:lineRule="auto"/>
        <w:ind w:firstLineChars="2442" w:firstLine="5884"/>
        <w:rPr>
          <w:rFonts w:ascii="宋体" w:hAnsi="宋体"/>
          <w:b/>
          <w:sz w:val="24"/>
          <w:szCs w:val="20"/>
        </w:rPr>
        <w:sectPr w:rsidR="00282123">
          <w:pgSz w:w="11906" w:h="16838"/>
          <w:pgMar w:top="1588" w:right="1474" w:bottom="1588" w:left="1531" w:header="936" w:footer="851" w:gutter="0"/>
          <w:cols w:space="720"/>
          <w:docGrid w:type="linesAndChars" w:linePitch="312"/>
        </w:sectPr>
      </w:pPr>
      <w:r>
        <w:rPr>
          <w:rFonts w:ascii="宋体" w:hAnsi="宋体" w:hint="eastAsia"/>
          <w:b/>
          <w:sz w:val="24"/>
          <w:szCs w:val="20"/>
        </w:rPr>
        <w:t>2022</w:t>
      </w:r>
      <w:r>
        <w:rPr>
          <w:rFonts w:ascii="宋体" w:hAnsi="宋体" w:hint="eastAsia"/>
          <w:b/>
          <w:sz w:val="24"/>
          <w:szCs w:val="20"/>
        </w:rPr>
        <w:t>年</w:t>
      </w:r>
      <w:r>
        <w:rPr>
          <w:rFonts w:ascii="宋体" w:hAnsi="宋体" w:hint="eastAsia"/>
          <w:b/>
          <w:sz w:val="24"/>
          <w:szCs w:val="20"/>
        </w:rPr>
        <w:t>3</w:t>
      </w:r>
      <w:r>
        <w:rPr>
          <w:rFonts w:ascii="宋体" w:hAnsi="宋体" w:hint="eastAsia"/>
          <w:b/>
          <w:sz w:val="24"/>
          <w:szCs w:val="20"/>
        </w:rPr>
        <w:t>月</w:t>
      </w:r>
      <w:r>
        <w:rPr>
          <w:rFonts w:ascii="宋体" w:hAnsi="宋体" w:hint="eastAsia"/>
          <w:b/>
          <w:sz w:val="24"/>
          <w:szCs w:val="20"/>
        </w:rPr>
        <w:t>10</w:t>
      </w:r>
      <w:r>
        <w:rPr>
          <w:rFonts w:ascii="宋体" w:hAnsi="宋体" w:hint="eastAsia"/>
          <w:b/>
          <w:sz w:val="24"/>
          <w:szCs w:val="20"/>
        </w:rPr>
        <w:t>日</w:t>
      </w:r>
    </w:p>
    <w:p w:rsidR="00282123" w:rsidRDefault="00282123">
      <w:pPr>
        <w:keepNext/>
        <w:keepLines/>
        <w:adjustRightInd w:val="0"/>
        <w:snapToGrid w:val="0"/>
        <w:spacing w:line="360" w:lineRule="auto"/>
        <w:jc w:val="center"/>
        <w:outlineLvl w:val="0"/>
        <w:rPr>
          <w:rFonts w:ascii="宋体" w:hAnsi="宋体"/>
          <w:b/>
          <w:kern w:val="44"/>
          <w:sz w:val="52"/>
          <w:szCs w:val="52"/>
        </w:rPr>
      </w:pPr>
      <w:bookmarkStart w:id="52" w:name="_Toc210969811"/>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282123">
      <w:pPr>
        <w:keepNext/>
        <w:keepLines/>
        <w:adjustRightInd w:val="0"/>
        <w:snapToGrid w:val="0"/>
        <w:spacing w:line="360" w:lineRule="auto"/>
        <w:jc w:val="center"/>
        <w:outlineLvl w:val="0"/>
        <w:rPr>
          <w:rFonts w:ascii="宋体" w:hAnsi="宋体"/>
          <w:b/>
          <w:kern w:val="44"/>
          <w:sz w:val="52"/>
          <w:szCs w:val="52"/>
        </w:rPr>
      </w:pPr>
    </w:p>
    <w:p w:rsidR="00282123" w:rsidRDefault="00563BD8">
      <w:pPr>
        <w:keepNext/>
        <w:keepLines/>
        <w:adjustRightInd w:val="0"/>
        <w:snapToGrid w:val="0"/>
        <w:spacing w:line="360" w:lineRule="auto"/>
        <w:jc w:val="center"/>
        <w:outlineLvl w:val="0"/>
        <w:rPr>
          <w:rFonts w:ascii="宋体" w:hAnsi="宋体"/>
          <w:b/>
          <w:kern w:val="44"/>
          <w:sz w:val="52"/>
          <w:szCs w:val="52"/>
        </w:rPr>
        <w:sectPr w:rsidR="00282123">
          <w:pgSz w:w="11906" w:h="16838"/>
          <w:pgMar w:top="1440" w:right="1474" w:bottom="1440" w:left="1531" w:header="935" w:footer="753" w:gutter="0"/>
          <w:cols w:space="720"/>
          <w:docGrid w:type="linesAndChars" w:linePitch="312"/>
        </w:sectPr>
      </w:pPr>
      <w:bookmarkStart w:id="53" w:name="_Toc3197"/>
      <w:r>
        <w:rPr>
          <w:rFonts w:ascii="宋体" w:hAnsi="宋体" w:hint="eastAsia"/>
          <w:b/>
          <w:kern w:val="44"/>
          <w:sz w:val="52"/>
          <w:szCs w:val="52"/>
        </w:rPr>
        <w:t>第四部分、资产评估报告附件</w:t>
      </w:r>
      <w:bookmarkEnd w:id="52"/>
      <w:bookmarkEnd w:id="53"/>
    </w:p>
    <w:p w:rsidR="00282123" w:rsidRDefault="00282123">
      <w:pPr>
        <w:tabs>
          <w:tab w:val="left" w:pos="0"/>
          <w:tab w:val="left" w:pos="840"/>
          <w:tab w:val="left" w:pos="1050"/>
        </w:tabs>
        <w:spacing w:line="360" w:lineRule="auto"/>
        <w:jc w:val="center"/>
        <w:rPr>
          <w:rFonts w:ascii="宋体" w:hAnsi="宋体" w:cs="黑体"/>
          <w:b/>
          <w:sz w:val="36"/>
          <w:szCs w:val="36"/>
        </w:rPr>
      </w:pPr>
    </w:p>
    <w:p w:rsidR="00282123" w:rsidRDefault="00563BD8">
      <w:pPr>
        <w:tabs>
          <w:tab w:val="left" w:pos="0"/>
          <w:tab w:val="left" w:pos="840"/>
          <w:tab w:val="left" w:pos="1050"/>
        </w:tabs>
        <w:spacing w:line="360" w:lineRule="auto"/>
        <w:jc w:val="center"/>
        <w:rPr>
          <w:rFonts w:ascii="宋体" w:hAnsi="宋体"/>
          <w:b/>
          <w:sz w:val="28"/>
          <w:szCs w:val="20"/>
        </w:rPr>
      </w:pPr>
      <w:r>
        <w:rPr>
          <w:rFonts w:ascii="宋体" w:hAnsi="宋体" w:cs="黑体" w:hint="eastAsia"/>
          <w:b/>
          <w:sz w:val="36"/>
          <w:szCs w:val="36"/>
        </w:rPr>
        <w:t>资产评估报告附件</w:t>
      </w:r>
    </w:p>
    <w:p w:rsidR="00282123" w:rsidRDefault="00282123">
      <w:pPr>
        <w:tabs>
          <w:tab w:val="left" w:pos="0"/>
          <w:tab w:val="left" w:pos="840"/>
          <w:tab w:val="left" w:pos="1050"/>
        </w:tabs>
        <w:spacing w:line="360" w:lineRule="auto"/>
        <w:rPr>
          <w:rFonts w:ascii="宋体" w:hAnsi="宋体"/>
          <w:b/>
          <w:sz w:val="28"/>
          <w:szCs w:val="20"/>
        </w:rPr>
      </w:pP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附件一：资产评估明细表</w:t>
      </w:r>
      <w:r>
        <w:rPr>
          <w:rFonts w:ascii="宋体" w:hAnsi="宋体" w:hint="eastAsia"/>
          <w:bCs/>
          <w:sz w:val="24"/>
          <w:szCs w:val="24"/>
        </w:rPr>
        <w:t>；</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二</w:t>
      </w:r>
      <w:r>
        <w:rPr>
          <w:rFonts w:ascii="宋体" w:hAnsi="宋体" w:hint="eastAsia"/>
          <w:bCs/>
          <w:sz w:val="24"/>
          <w:szCs w:val="24"/>
        </w:rPr>
        <w:t>：</w:t>
      </w:r>
      <w:r>
        <w:rPr>
          <w:rFonts w:ascii="宋体" w:hAnsi="宋体" w:hint="eastAsia"/>
          <w:bCs/>
          <w:sz w:val="24"/>
          <w:szCs w:val="24"/>
        </w:rPr>
        <w:t>执行案件鉴定委托书</w:t>
      </w:r>
      <w:r>
        <w:rPr>
          <w:rFonts w:ascii="宋体" w:hAnsi="宋体" w:hint="eastAsia"/>
          <w:bCs/>
          <w:sz w:val="24"/>
          <w:szCs w:val="24"/>
        </w:rPr>
        <w:t>；</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三：查封清单；</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四</w:t>
      </w:r>
      <w:r>
        <w:rPr>
          <w:rFonts w:ascii="宋体" w:hAnsi="宋体" w:hint="eastAsia"/>
          <w:bCs/>
          <w:sz w:val="24"/>
          <w:szCs w:val="24"/>
        </w:rPr>
        <w:t>：</w:t>
      </w:r>
      <w:r>
        <w:rPr>
          <w:rFonts w:ascii="宋体" w:hAnsi="宋体" w:hint="eastAsia"/>
          <w:bCs/>
          <w:sz w:val="24"/>
          <w:szCs w:val="24"/>
        </w:rPr>
        <w:t>申请人营业执照复印件；</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五</w:t>
      </w:r>
      <w:r>
        <w:rPr>
          <w:rFonts w:ascii="宋体" w:hAnsi="宋体" w:hint="eastAsia"/>
          <w:bCs/>
          <w:sz w:val="24"/>
          <w:szCs w:val="24"/>
        </w:rPr>
        <w:t>：</w:t>
      </w:r>
      <w:r>
        <w:rPr>
          <w:rFonts w:ascii="宋体" w:hAnsi="宋体" w:hint="eastAsia"/>
          <w:bCs/>
          <w:sz w:val="24"/>
          <w:szCs w:val="24"/>
        </w:rPr>
        <w:t>现场照片</w:t>
      </w:r>
      <w:r>
        <w:rPr>
          <w:rFonts w:ascii="宋体" w:hAnsi="宋体" w:hint="eastAsia"/>
          <w:bCs/>
          <w:sz w:val="24"/>
          <w:szCs w:val="24"/>
        </w:rPr>
        <w:t>；</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六</w:t>
      </w:r>
      <w:r>
        <w:rPr>
          <w:rFonts w:ascii="宋体" w:hAnsi="宋体" w:hint="eastAsia"/>
          <w:bCs/>
          <w:sz w:val="24"/>
          <w:szCs w:val="24"/>
        </w:rPr>
        <w:t>：</w:t>
      </w:r>
      <w:r>
        <w:rPr>
          <w:rFonts w:ascii="宋体" w:hAnsi="宋体" w:hint="eastAsia"/>
          <w:bCs/>
          <w:sz w:val="24"/>
          <w:szCs w:val="24"/>
        </w:rPr>
        <w:t>资产</w:t>
      </w:r>
      <w:r>
        <w:rPr>
          <w:rFonts w:ascii="宋体" w:hAnsi="宋体" w:hint="eastAsia"/>
          <w:bCs/>
          <w:sz w:val="24"/>
          <w:szCs w:val="24"/>
        </w:rPr>
        <w:t>评估师承诺函；</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七</w:t>
      </w:r>
      <w:r>
        <w:rPr>
          <w:rFonts w:ascii="宋体" w:hAnsi="宋体" w:hint="eastAsia"/>
          <w:bCs/>
          <w:sz w:val="24"/>
          <w:szCs w:val="24"/>
        </w:rPr>
        <w:t>：资产评估机构法人营业执照副本；</w:t>
      </w:r>
    </w:p>
    <w:p w:rsidR="00282123" w:rsidRDefault="00563BD8">
      <w:pPr>
        <w:tabs>
          <w:tab w:val="left" w:pos="0"/>
          <w:tab w:val="left" w:pos="840"/>
          <w:tab w:val="left" w:pos="1050"/>
        </w:tabs>
        <w:spacing w:line="520" w:lineRule="exact"/>
        <w:ind w:firstLineChars="200" w:firstLine="480"/>
        <w:rPr>
          <w:rFonts w:ascii="宋体" w:hAnsi="宋体"/>
          <w:bCs/>
          <w:sz w:val="24"/>
          <w:szCs w:val="24"/>
        </w:rPr>
      </w:pPr>
      <w:r>
        <w:rPr>
          <w:rFonts w:ascii="宋体" w:hAnsi="宋体" w:hint="eastAsia"/>
          <w:bCs/>
          <w:sz w:val="24"/>
          <w:szCs w:val="24"/>
        </w:rPr>
        <w:t>附件</w:t>
      </w:r>
      <w:r>
        <w:rPr>
          <w:rFonts w:ascii="宋体" w:hAnsi="宋体" w:hint="eastAsia"/>
          <w:bCs/>
          <w:sz w:val="24"/>
          <w:szCs w:val="24"/>
        </w:rPr>
        <w:t>八</w:t>
      </w:r>
      <w:r>
        <w:rPr>
          <w:rFonts w:ascii="宋体" w:hAnsi="宋体" w:hint="eastAsia"/>
          <w:bCs/>
          <w:sz w:val="24"/>
          <w:szCs w:val="24"/>
        </w:rPr>
        <w:t>：资产评估机构备案证明；</w:t>
      </w:r>
    </w:p>
    <w:p w:rsidR="00282123" w:rsidRDefault="00563BD8">
      <w:pPr>
        <w:tabs>
          <w:tab w:val="left" w:pos="0"/>
          <w:tab w:val="left" w:pos="840"/>
          <w:tab w:val="left" w:pos="1050"/>
        </w:tabs>
        <w:spacing w:line="520" w:lineRule="exact"/>
        <w:ind w:firstLineChars="200" w:firstLine="480"/>
        <w:rPr>
          <w:rFonts w:ascii="宋体" w:hAnsi="宋体"/>
          <w:b/>
          <w:sz w:val="28"/>
          <w:szCs w:val="20"/>
        </w:rPr>
      </w:pPr>
      <w:r>
        <w:rPr>
          <w:rFonts w:ascii="宋体" w:hAnsi="宋体" w:hint="eastAsia"/>
          <w:bCs/>
          <w:sz w:val="24"/>
          <w:szCs w:val="24"/>
        </w:rPr>
        <w:t>附件</w:t>
      </w:r>
      <w:r>
        <w:rPr>
          <w:rFonts w:ascii="宋体" w:hAnsi="宋体" w:hint="eastAsia"/>
          <w:bCs/>
          <w:sz w:val="24"/>
          <w:szCs w:val="24"/>
        </w:rPr>
        <w:t>九</w:t>
      </w:r>
      <w:r>
        <w:rPr>
          <w:rFonts w:ascii="宋体" w:hAnsi="宋体" w:hint="eastAsia"/>
          <w:bCs/>
          <w:sz w:val="24"/>
          <w:szCs w:val="24"/>
        </w:rPr>
        <w:t>：资产评估师资格证明文件</w:t>
      </w:r>
      <w:r>
        <w:rPr>
          <w:rFonts w:ascii="宋体" w:hAnsi="宋体" w:hint="eastAsia"/>
          <w:bCs/>
          <w:sz w:val="24"/>
          <w:szCs w:val="24"/>
        </w:rPr>
        <w:t>。</w:t>
      </w:r>
    </w:p>
    <w:p w:rsidR="00282123" w:rsidRDefault="00282123">
      <w:pPr>
        <w:tabs>
          <w:tab w:val="left" w:pos="0"/>
          <w:tab w:val="left" w:pos="840"/>
          <w:tab w:val="left" w:pos="1050"/>
        </w:tabs>
        <w:spacing w:line="360" w:lineRule="auto"/>
        <w:rPr>
          <w:rFonts w:ascii="宋体" w:hAnsi="宋体"/>
          <w:b/>
          <w:sz w:val="28"/>
          <w:szCs w:val="20"/>
        </w:rPr>
      </w:pPr>
    </w:p>
    <w:p w:rsidR="00282123" w:rsidRDefault="00282123">
      <w:pPr>
        <w:adjustRightInd w:val="0"/>
        <w:snapToGrid w:val="0"/>
        <w:spacing w:line="360" w:lineRule="auto"/>
        <w:rPr>
          <w:rFonts w:ascii="宋体" w:hAnsi="宋体"/>
          <w:b/>
          <w:sz w:val="28"/>
          <w:szCs w:val="20"/>
        </w:rPr>
        <w:sectPr w:rsidR="00282123">
          <w:pgSz w:w="11906" w:h="16838"/>
          <w:pgMar w:top="1440" w:right="1474" w:bottom="1440" w:left="1531" w:header="935" w:footer="753" w:gutter="0"/>
          <w:cols w:space="720"/>
          <w:docGrid w:type="linesAndChars" w:linePitch="312"/>
        </w:sectPr>
      </w:pPr>
    </w:p>
    <w:p w:rsidR="00282123" w:rsidRDefault="00282123">
      <w:pPr>
        <w:tabs>
          <w:tab w:val="left" w:pos="0"/>
          <w:tab w:val="left" w:pos="840"/>
          <w:tab w:val="left" w:pos="1050"/>
        </w:tabs>
        <w:spacing w:line="360" w:lineRule="auto"/>
        <w:rPr>
          <w:rFonts w:ascii="宋体" w:hAnsi="宋体"/>
          <w:b/>
          <w:sz w:val="28"/>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282123">
      <w:pPr>
        <w:tabs>
          <w:tab w:val="left" w:pos="3570"/>
        </w:tabs>
        <w:spacing w:line="360" w:lineRule="auto"/>
        <w:ind w:firstLine="840"/>
        <w:rPr>
          <w:rFonts w:ascii="宋体" w:hAnsi="宋体"/>
          <w:sz w:val="24"/>
          <w:szCs w:val="20"/>
        </w:rPr>
      </w:pPr>
    </w:p>
    <w:p w:rsidR="00282123" w:rsidRDefault="00563BD8">
      <w:pPr>
        <w:tabs>
          <w:tab w:val="left" w:pos="3570"/>
        </w:tabs>
        <w:spacing w:line="360" w:lineRule="auto"/>
        <w:ind w:firstLine="840"/>
        <w:rPr>
          <w:rFonts w:ascii="宋体" w:hAnsi="宋体"/>
          <w:sz w:val="24"/>
          <w:szCs w:val="20"/>
        </w:rPr>
      </w:pPr>
      <w:r>
        <w:rPr>
          <w:rFonts w:ascii="宋体" w:hAnsi="宋体" w:hint="eastAsia"/>
          <w:sz w:val="24"/>
          <w:szCs w:val="20"/>
        </w:rPr>
        <w:t>[</w:t>
      </w:r>
      <w:r>
        <w:rPr>
          <w:rFonts w:ascii="宋体" w:hAnsi="宋体" w:hint="eastAsia"/>
          <w:sz w:val="24"/>
          <w:szCs w:val="20"/>
        </w:rPr>
        <w:t>此页无正文</w:t>
      </w:r>
      <w:r>
        <w:rPr>
          <w:rFonts w:ascii="宋体" w:hAnsi="宋体" w:hint="eastAsia"/>
          <w:sz w:val="24"/>
          <w:szCs w:val="20"/>
        </w:rPr>
        <w:t>]</w:t>
      </w:r>
      <w:r>
        <w:rPr>
          <w:rFonts w:ascii="宋体" w:hAnsi="宋体"/>
          <w:sz w:val="24"/>
          <w:szCs w:val="20"/>
        </w:rPr>
        <w:tab/>
      </w:r>
    </w:p>
    <w:p w:rsidR="00282123" w:rsidRDefault="00282123">
      <w:pPr>
        <w:spacing w:line="360" w:lineRule="auto"/>
        <w:ind w:firstLine="2310"/>
        <w:rPr>
          <w:rFonts w:ascii="宋体" w:hAnsi="宋体"/>
          <w:sz w:val="24"/>
          <w:szCs w:val="20"/>
        </w:rPr>
      </w:pPr>
    </w:p>
    <w:p w:rsidR="00282123" w:rsidRDefault="00282123">
      <w:pPr>
        <w:spacing w:line="360" w:lineRule="auto"/>
        <w:ind w:firstLine="2310"/>
        <w:rPr>
          <w:rFonts w:ascii="宋体" w:hAnsi="宋体"/>
          <w:sz w:val="24"/>
          <w:szCs w:val="20"/>
        </w:rPr>
      </w:pPr>
    </w:p>
    <w:p w:rsidR="00282123" w:rsidRDefault="00282123">
      <w:pPr>
        <w:spacing w:line="360" w:lineRule="auto"/>
        <w:rPr>
          <w:rFonts w:ascii="宋体" w:hAnsi="宋体"/>
          <w:sz w:val="24"/>
          <w:szCs w:val="20"/>
        </w:rPr>
      </w:pPr>
    </w:p>
    <w:p w:rsidR="00282123" w:rsidRDefault="00282123">
      <w:pPr>
        <w:spacing w:line="360" w:lineRule="auto"/>
        <w:rPr>
          <w:rFonts w:ascii="宋体" w:hAnsi="宋体"/>
          <w:sz w:val="24"/>
          <w:szCs w:val="20"/>
        </w:rPr>
      </w:pPr>
    </w:p>
    <w:p w:rsidR="00282123" w:rsidRDefault="00282123">
      <w:pPr>
        <w:spacing w:line="360" w:lineRule="auto"/>
        <w:rPr>
          <w:rFonts w:ascii="宋体" w:hAnsi="宋体"/>
          <w:sz w:val="24"/>
          <w:szCs w:val="20"/>
        </w:rPr>
      </w:pPr>
    </w:p>
    <w:p w:rsidR="00282123" w:rsidRDefault="00282123">
      <w:pPr>
        <w:spacing w:line="360" w:lineRule="auto"/>
        <w:rPr>
          <w:rFonts w:ascii="宋体" w:hAnsi="宋体"/>
          <w:sz w:val="24"/>
          <w:szCs w:val="20"/>
        </w:rPr>
      </w:pPr>
    </w:p>
    <w:p w:rsidR="00282123" w:rsidRDefault="00282123">
      <w:pPr>
        <w:spacing w:line="360" w:lineRule="auto"/>
        <w:rPr>
          <w:rFonts w:ascii="宋体" w:hAnsi="宋体"/>
          <w:sz w:val="24"/>
          <w:szCs w:val="20"/>
        </w:rPr>
      </w:pPr>
    </w:p>
    <w:p w:rsidR="00282123" w:rsidRDefault="00282123">
      <w:pPr>
        <w:spacing w:line="360" w:lineRule="auto"/>
        <w:rPr>
          <w:rFonts w:ascii="宋体" w:hAnsi="宋体"/>
          <w:sz w:val="24"/>
          <w:szCs w:val="20"/>
        </w:rPr>
      </w:pPr>
    </w:p>
    <w:p w:rsidR="00282123" w:rsidRDefault="00282123">
      <w:pPr>
        <w:spacing w:line="360" w:lineRule="auto"/>
        <w:rPr>
          <w:rFonts w:ascii="宋体" w:hAnsi="宋体"/>
          <w:sz w:val="24"/>
          <w:szCs w:val="20"/>
        </w:rPr>
      </w:pPr>
    </w:p>
    <w:p w:rsidR="00282123" w:rsidRDefault="00563BD8">
      <w:pPr>
        <w:spacing w:line="360" w:lineRule="auto"/>
        <w:jc w:val="right"/>
        <w:rPr>
          <w:rFonts w:ascii="宋体" w:hAnsi="宋体"/>
          <w:sz w:val="24"/>
          <w:szCs w:val="20"/>
        </w:rPr>
      </w:pPr>
      <w:r>
        <w:rPr>
          <w:rFonts w:ascii="宋体" w:hAnsi="宋体" w:hint="eastAsia"/>
          <w:sz w:val="24"/>
          <w:szCs w:val="20"/>
        </w:rPr>
        <w:t>评估机构名称：山西同兴中资产评估有限公司</w:t>
      </w:r>
    </w:p>
    <w:p w:rsidR="00282123" w:rsidRDefault="00563BD8">
      <w:pPr>
        <w:spacing w:line="360" w:lineRule="auto"/>
        <w:jc w:val="right"/>
        <w:rPr>
          <w:rFonts w:ascii="宋体" w:hAnsi="宋体"/>
          <w:sz w:val="24"/>
          <w:szCs w:val="20"/>
        </w:rPr>
      </w:pPr>
      <w:r>
        <w:rPr>
          <w:rFonts w:ascii="宋体" w:hAnsi="宋体" w:hint="eastAsia"/>
          <w:sz w:val="24"/>
          <w:szCs w:val="20"/>
        </w:rPr>
        <w:t>机构地址：太原市杏花岭区新建路</w:t>
      </w:r>
      <w:r>
        <w:rPr>
          <w:rFonts w:ascii="宋体" w:hAnsi="宋体" w:hint="eastAsia"/>
          <w:sz w:val="24"/>
          <w:szCs w:val="20"/>
        </w:rPr>
        <w:t>78</w:t>
      </w:r>
      <w:r>
        <w:rPr>
          <w:rFonts w:ascii="宋体" w:hAnsi="宋体" w:hint="eastAsia"/>
          <w:sz w:val="24"/>
          <w:szCs w:val="20"/>
        </w:rPr>
        <w:t>号</w:t>
      </w:r>
      <w:r>
        <w:rPr>
          <w:rFonts w:ascii="宋体" w:hAnsi="宋体" w:hint="eastAsia"/>
          <w:sz w:val="24"/>
          <w:szCs w:val="20"/>
        </w:rPr>
        <w:t>24</w:t>
      </w:r>
      <w:r>
        <w:rPr>
          <w:rFonts w:ascii="宋体" w:hAnsi="宋体" w:hint="eastAsia"/>
          <w:sz w:val="24"/>
          <w:szCs w:val="20"/>
        </w:rPr>
        <w:t>层</w:t>
      </w:r>
    </w:p>
    <w:p w:rsidR="00282123" w:rsidRDefault="00563BD8">
      <w:pPr>
        <w:spacing w:line="360" w:lineRule="auto"/>
        <w:jc w:val="center"/>
        <w:rPr>
          <w:rFonts w:ascii="宋体" w:hAnsi="宋体"/>
          <w:sz w:val="24"/>
          <w:szCs w:val="20"/>
        </w:rPr>
      </w:pPr>
      <w:r>
        <w:rPr>
          <w:rFonts w:ascii="宋体" w:hAnsi="宋体" w:hint="eastAsia"/>
          <w:sz w:val="24"/>
          <w:szCs w:val="20"/>
        </w:rPr>
        <w:t>法定代表人：冯著杰</w:t>
      </w:r>
    </w:p>
    <w:p w:rsidR="00282123" w:rsidRDefault="00563BD8">
      <w:pPr>
        <w:spacing w:line="360" w:lineRule="auto"/>
        <w:jc w:val="center"/>
        <w:rPr>
          <w:rFonts w:ascii="宋体" w:hAnsi="宋体"/>
          <w:sz w:val="24"/>
          <w:szCs w:val="20"/>
        </w:rPr>
      </w:pPr>
      <w:r>
        <w:rPr>
          <w:rFonts w:ascii="宋体" w:hAnsi="宋体" w:hint="eastAsia"/>
          <w:sz w:val="24"/>
          <w:szCs w:val="20"/>
        </w:rPr>
        <w:t>联</w:t>
      </w:r>
      <w:r>
        <w:rPr>
          <w:rFonts w:ascii="宋体" w:hAnsi="宋体" w:hint="eastAsia"/>
          <w:sz w:val="24"/>
          <w:szCs w:val="20"/>
        </w:rPr>
        <w:t xml:space="preserve"> </w:t>
      </w:r>
      <w:r>
        <w:rPr>
          <w:rFonts w:ascii="宋体" w:hAnsi="宋体" w:hint="eastAsia"/>
          <w:sz w:val="24"/>
          <w:szCs w:val="20"/>
        </w:rPr>
        <w:t>系人：冯著杰</w:t>
      </w:r>
    </w:p>
    <w:p w:rsidR="00282123" w:rsidRDefault="00563BD8">
      <w:pPr>
        <w:spacing w:line="360" w:lineRule="auto"/>
        <w:jc w:val="center"/>
        <w:rPr>
          <w:rFonts w:ascii="宋体" w:hAnsi="宋体"/>
          <w:sz w:val="24"/>
          <w:szCs w:val="20"/>
        </w:rPr>
      </w:pPr>
      <w:r>
        <w:rPr>
          <w:rFonts w:ascii="宋体" w:hAnsi="宋体" w:hint="eastAsia"/>
          <w:sz w:val="24"/>
          <w:szCs w:val="20"/>
        </w:rPr>
        <w:t>联系电话：</w:t>
      </w:r>
      <w:r>
        <w:rPr>
          <w:rFonts w:ascii="宋体" w:hAnsi="宋体"/>
          <w:sz w:val="24"/>
          <w:szCs w:val="20"/>
        </w:rPr>
        <w:t>(</w:t>
      </w:r>
      <w:r>
        <w:rPr>
          <w:rFonts w:ascii="宋体" w:hAnsi="宋体" w:hint="eastAsia"/>
          <w:sz w:val="24"/>
          <w:szCs w:val="20"/>
        </w:rPr>
        <w:t>0351</w:t>
      </w:r>
      <w:r>
        <w:rPr>
          <w:rFonts w:ascii="宋体" w:hAnsi="宋体"/>
          <w:sz w:val="24"/>
          <w:szCs w:val="20"/>
        </w:rPr>
        <w:t>)</w:t>
      </w:r>
      <w:r>
        <w:rPr>
          <w:rFonts w:ascii="宋体" w:hAnsi="宋体" w:hint="eastAsia"/>
          <w:sz w:val="24"/>
          <w:szCs w:val="20"/>
        </w:rPr>
        <w:t xml:space="preserve">8339291   </w:t>
      </w:r>
    </w:p>
    <w:p w:rsidR="00282123" w:rsidRDefault="00563BD8">
      <w:pPr>
        <w:spacing w:line="360" w:lineRule="auto"/>
        <w:jc w:val="center"/>
        <w:rPr>
          <w:rFonts w:ascii="宋体" w:hAnsi="宋体"/>
          <w:sz w:val="24"/>
          <w:szCs w:val="20"/>
        </w:rPr>
      </w:pPr>
      <w:r>
        <w:rPr>
          <w:rFonts w:ascii="宋体" w:hAnsi="宋体" w:hint="eastAsia"/>
          <w:sz w:val="24"/>
          <w:szCs w:val="20"/>
        </w:rPr>
        <w:t>邮政编码：</w:t>
      </w:r>
      <w:r>
        <w:rPr>
          <w:rFonts w:ascii="宋体" w:hAnsi="宋体" w:hint="eastAsia"/>
          <w:sz w:val="24"/>
          <w:szCs w:val="20"/>
        </w:rPr>
        <w:t>030002</w:t>
      </w:r>
    </w:p>
    <w:p w:rsidR="00282123" w:rsidRDefault="00282123">
      <w:pPr>
        <w:rPr>
          <w:rFonts w:ascii="宋体" w:hAnsi="宋体"/>
        </w:rPr>
      </w:pPr>
    </w:p>
    <w:sectPr w:rsidR="00282123" w:rsidSect="00282123">
      <w:pgSz w:w="11906" w:h="16838"/>
      <w:pgMar w:top="1440" w:right="1474" w:bottom="1440" w:left="1531" w:header="935" w:footer="753"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BD8" w:rsidRDefault="00563BD8" w:rsidP="00282123">
      <w:r>
        <w:separator/>
      </w:r>
    </w:p>
  </w:endnote>
  <w:endnote w:type="continuationSeparator" w:id="1">
    <w:p w:rsidR="00563BD8" w:rsidRDefault="00563BD8" w:rsidP="00282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282123">
    <w:pPr>
      <w:pStyle w:val="aa"/>
      <w:framePr w:wrap="around" w:vAnchor="text" w:hAnchor="margin" w:xAlign="right" w:y="1"/>
      <w:rPr>
        <w:rStyle w:val="ae"/>
      </w:rPr>
    </w:pPr>
    <w:r>
      <w:fldChar w:fldCharType="begin"/>
    </w:r>
    <w:r w:rsidR="00563BD8">
      <w:rPr>
        <w:rStyle w:val="ae"/>
      </w:rPr>
      <w:instrText xml:space="preserve">PAGE  </w:instrText>
    </w:r>
    <w:r>
      <w:fldChar w:fldCharType="separate"/>
    </w:r>
    <w:r w:rsidR="00563BD8">
      <w:rPr>
        <w:rStyle w:val="ae"/>
      </w:rPr>
      <w:t>37</w:t>
    </w:r>
    <w:r>
      <w:fldChar w:fldCharType="end"/>
    </w:r>
  </w:p>
  <w:p w:rsidR="00282123" w:rsidRDefault="00282123">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282123">
    <w:pPr>
      <w:pStyle w:val="aa"/>
    </w:pPr>
    <w:r>
      <w:pict>
        <v:shapetype id="_x0000_t202" coordsize="21600,21600" o:spt="202" path="m,l,21600r21600,l21600,xe">
          <v:stroke joinstyle="miter"/>
          <v:path gradientshapeok="t" o:connecttype="rect"/>
        </v:shapetype>
        <v:shape id="_x0000_s2054" type="#_x0000_t202" style="position:absolute;margin-left:-35.45pt;margin-top:0;width:4.55pt;height:10.35pt;z-index:251661312;mso-wrap-style:none;mso-position-horizontal:right;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4vdRNAAAAACAQAADwAAAAAAAAABACAAAAAiAAAA&#10;ZHJzL2Rvd25yZXYueG1sUEsBAhQAFAAAAAgAh07iQODESlIPAgAADwQAAA4AAAAAAAAAAQAgAAAA&#10;HwEAAGRycy9lMm9Eb2MueG1sUEsFBgAAAAAGAAYAWQEAAKAFAAAAAA==&#10;" filled="f" stroked="f">
          <v:textbox style="mso-fit-shape-to-text:t" inset="0,0,0,0">
            <w:txbxContent>
              <w:p w:rsidR="00282123" w:rsidRDefault="00282123">
                <w:pPr>
                  <w:snapToGrid w:val="0"/>
                  <w:rPr>
                    <w:sz w:val="18"/>
                  </w:rPr>
                </w:pPr>
                <w:r>
                  <w:rPr>
                    <w:rFonts w:hint="eastAsia"/>
                    <w:sz w:val="18"/>
                  </w:rPr>
                  <w:fldChar w:fldCharType="begin"/>
                </w:r>
                <w:r w:rsidR="00563BD8">
                  <w:rPr>
                    <w:rFonts w:hint="eastAsia"/>
                    <w:sz w:val="18"/>
                  </w:rPr>
                  <w:instrText xml:space="preserve"> PAGE  \* MERGEFORMAT </w:instrText>
                </w:r>
                <w:r>
                  <w:rPr>
                    <w:rFonts w:hint="eastAsia"/>
                    <w:sz w:val="18"/>
                  </w:rPr>
                  <w:fldChar w:fldCharType="separate"/>
                </w:r>
                <w:r w:rsidR="00563BD8">
                  <w:rPr>
                    <w:sz w:val="18"/>
                  </w:rPr>
                  <w:t>4</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8B5CD1">
    <w:pPr>
      <w:pStyle w:val="aa"/>
      <w:ind w:right="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5.05pt;height:7.4pt" o:hrpct="0" o:hralign="center" o:hr="t">
          <v:imagedata r:id="rId1" o:title="BD15155_"/>
        </v:shape>
      </w:pict>
    </w:r>
  </w:p>
  <w:p w:rsidR="00282123" w:rsidRDefault="00563BD8">
    <w:pPr>
      <w:pStyle w:val="aa"/>
      <w:ind w:right="17"/>
      <w:rPr>
        <w:sz w:val="21"/>
        <w:szCs w:val="21"/>
      </w:rPr>
    </w:pPr>
    <w:r>
      <w:rPr>
        <w:rFonts w:hint="eastAsia"/>
        <w:sz w:val="21"/>
        <w:szCs w:val="21"/>
      </w:rPr>
      <w:t>山西同兴中资产评估有限公司</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282123">
    <w:pPr>
      <w:pStyle w:val="aa"/>
      <w:tabs>
        <w:tab w:val="left" w:pos="5262"/>
        <w:tab w:val="right" w:pos="9021"/>
      </w:tabs>
      <w:jc w:val="right"/>
    </w:pPr>
    <w:r>
      <w:pict>
        <v:shapetype id="_x0000_t202" coordsize="21600,21600" o:spt="202" path="m,l,21600r21600,l21600,xe">
          <v:stroke joinstyle="miter"/>
          <v:path gradientshapeok="t" o:connecttype="rect"/>
        </v:shapetype>
        <v:shape id="_x0000_s2053" type="#_x0000_t202" style="position:absolute;left:0;text-align:left;margin-left:422.55pt;margin-top:7.5pt;width:9.05pt;height:10.35pt;z-index:251660288;mso-wrap-style:none;mso-position-horizontal-relative:margin" o:gfxdata="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NSwavNYAAAAJAQAADwAAAAAAAAABACAA&#10;AAAiAAAAZHJzL2Rvd25yZXYueG1sUEsBAhQAFAAAAAgAh07iQIckdt0PAgAAEAQAAA4AAAAAAAAA&#10;AQAgAAAAJQEAAGRycy9lMm9Eb2MueG1sUEsFBgAAAAAGAAYAWQEAAKYFAAAAAA==&#10;" filled="f" stroked="f">
          <v:textbox style="mso-fit-shape-to-text:t" inset="0,0,0,0">
            <w:txbxContent>
              <w:p w:rsidR="00282123" w:rsidRDefault="00282123">
                <w:pPr>
                  <w:snapToGrid w:val="0"/>
                  <w:jc w:val="right"/>
                  <w:rPr>
                    <w:sz w:val="18"/>
                  </w:rPr>
                </w:pPr>
                <w:r>
                  <w:rPr>
                    <w:rFonts w:hint="eastAsia"/>
                    <w:sz w:val="18"/>
                  </w:rPr>
                  <w:fldChar w:fldCharType="begin"/>
                </w:r>
                <w:r w:rsidR="00563BD8">
                  <w:rPr>
                    <w:rFonts w:hint="eastAsia"/>
                    <w:sz w:val="18"/>
                  </w:rPr>
                  <w:instrText xml:space="preserve"> PAGE  \* MERGEFORMAT </w:instrText>
                </w:r>
                <w:r>
                  <w:rPr>
                    <w:rFonts w:hint="eastAsia"/>
                    <w:sz w:val="18"/>
                  </w:rPr>
                  <w:fldChar w:fldCharType="separate"/>
                </w:r>
                <w:r w:rsidR="00563BD8">
                  <w:rPr>
                    <w:sz w:val="18"/>
                  </w:rPr>
                  <w:t>40</w:t>
                </w:r>
                <w:r>
                  <w:rPr>
                    <w:rFonts w:hint="eastAsia"/>
                    <w:sz w:val="18"/>
                  </w:rPr>
                  <w:fldChar w:fldCharType="end"/>
                </w:r>
              </w:p>
            </w:txbxContent>
          </v:textbox>
          <w10:wrap anchorx="margin"/>
        </v:shape>
      </w:pict>
    </w:r>
    <w:r w:rsidR="00563BD8">
      <w:rPr>
        <w:rFonts w:hint="eastAsia"/>
        <w:b/>
        <w:bCs/>
        <w:sz w:val="21"/>
        <w:szCs w:val="21"/>
      </w:rPr>
      <w:t>湖北众联资产评估有限公司</w:t>
    </w:r>
    <w:r w:rsidR="00563BD8">
      <w:rPr>
        <w:rFonts w:hint="eastAsia"/>
      </w:rPr>
      <w:tab/>
    </w:r>
    <w:r w:rsidR="00563BD8">
      <w:rPr>
        <w:rFonts w:hint="eastAsia"/>
      </w:rPr>
      <w:tab/>
    </w:r>
    <w:r w:rsidR="00563BD8">
      <w:rPr>
        <w:rFonts w:hint="eastAsia"/>
      </w:rPr>
      <w:tab/>
    </w:r>
    <w:r w:rsidR="00563BD8">
      <w:rPr>
        <w:rFonts w:hint="eastAsia"/>
      </w:rP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8B5CD1">
    <w:pPr>
      <w:pStyle w:val="aa"/>
      <w:ind w:right="17"/>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5.05pt;height:7.4pt" o:hrpct="0" o:hralign="center" o:hr="t">
          <v:imagedata r:id="rId1" o:title="BD15155_"/>
        </v:shape>
      </w:pict>
    </w:r>
  </w:p>
  <w:p w:rsidR="00282123" w:rsidRDefault="00282123">
    <w:pPr>
      <w:pStyle w:val="aa"/>
      <w:ind w:right="17"/>
      <w:rPr>
        <w:sz w:val="21"/>
        <w:szCs w:val="21"/>
      </w:rPr>
    </w:pPr>
    <w:r>
      <w:rPr>
        <w:sz w:val="21"/>
        <w:szCs w:val="21"/>
      </w:rPr>
      <w:pict>
        <v:shapetype id="_x0000_t202" coordsize="21600,21600" o:spt="202" path="m,l,21600r21600,l21600,xe">
          <v:stroke joinstyle="miter"/>
          <v:path gradientshapeok="t" o:connecttype="rect"/>
        </v:shapetype>
        <v:shape id="_x0000_s2049" type="#_x0000_t202" style="position:absolute;margin-left:-30.95pt;margin-top:0;width:9.05pt;height:10.35pt;z-index:251662336;mso-wrap-style:none;mso-position-horizontal:right;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SdAAAAADAQAADwAAAAAAAAABACAAAAAiAAAA&#10;ZHJzL2Rvd25yZXYueG1sUEsBAhQAFAAAAAgAh07iQJkv3M0PAgAAEAQAAA4AAAAAAAAAAQAgAAAA&#10;HwEAAGRycy9lMm9Eb2MueG1sUEsFBgAAAAAGAAYAWQEAAKAFAAAAAA==&#10;" filled="f" stroked="f">
          <v:textbox style="mso-fit-shape-to-text:t" inset="0,0,0,0">
            <w:txbxContent>
              <w:p w:rsidR="00282123" w:rsidRDefault="00282123">
                <w:pPr>
                  <w:snapToGrid w:val="0"/>
                  <w:rPr>
                    <w:szCs w:val="21"/>
                  </w:rPr>
                </w:pPr>
                <w:r>
                  <w:rPr>
                    <w:rFonts w:hint="eastAsia"/>
                    <w:szCs w:val="21"/>
                  </w:rPr>
                  <w:fldChar w:fldCharType="begin"/>
                </w:r>
                <w:r w:rsidR="00563BD8">
                  <w:rPr>
                    <w:rFonts w:hint="eastAsia"/>
                    <w:szCs w:val="21"/>
                  </w:rPr>
                  <w:instrText xml:space="preserve"> PAGE  \* MERGEFORMAT </w:instrText>
                </w:r>
                <w:r>
                  <w:rPr>
                    <w:rFonts w:hint="eastAsia"/>
                    <w:szCs w:val="21"/>
                  </w:rPr>
                  <w:fldChar w:fldCharType="separate"/>
                </w:r>
                <w:r w:rsidR="00A71141">
                  <w:rPr>
                    <w:noProof/>
                    <w:szCs w:val="21"/>
                  </w:rPr>
                  <w:t>21</w:t>
                </w:r>
                <w:r>
                  <w:rPr>
                    <w:rFonts w:hint="eastAsia"/>
                    <w:szCs w:val="21"/>
                  </w:rPr>
                  <w:fldChar w:fldCharType="end"/>
                </w:r>
              </w:p>
            </w:txbxContent>
          </v:textbox>
          <w10:wrap anchorx="margin"/>
        </v:shape>
      </w:pict>
    </w:r>
    <w:r w:rsidR="00563BD8">
      <w:rPr>
        <w:rFonts w:hint="eastAsia"/>
        <w:sz w:val="21"/>
        <w:szCs w:val="21"/>
      </w:rPr>
      <w:t>山西同兴中资产评估有限公司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BD8" w:rsidRDefault="00563BD8" w:rsidP="00282123">
      <w:r>
        <w:separator/>
      </w:r>
    </w:p>
  </w:footnote>
  <w:footnote w:type="continuationSeparator" w:id="1">
    <w:p w:rsidR="00563BD8" w:rsidRDefault="00563BD8" w:rsidP="00282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282123">
    <w:pPr>
      <w:pStyle w:val="ab"/>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123" w:rsidRDefault="00563BD8">
    <w:pPr>
      <w:jc w:val="right"/>
      <w:rPr>
        <w:rFonts w:ascii="宋体" w:hAnsi="宋体"/>
        <w:sz w:val="20"/>
        <w:szCs w:val="20"/>
      </w:rPr>
    </w:pPr>
    <w:r>
      <w:rPr>
        <w:rFonts w:hint="eastAsia"/>
      </w:rPr>
      <w:t>资产评估报告</w:t>
    </w:r>
    <w:r w:rsidR="00282123" w:rsidRPr="00282123">
      <w:rPr>
        <w:rFonts w:ascii="宋体" w:hAnsi="宋体"/>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05pt;height:7.4pt" o:hrpct="0" o:hralign="center" o:hr="t">
          <v:imagedata r:id="rId1" o:title="BD15155_"/>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A548B1"/>
    <w:multiLevelType w:val="singleLevel"/>
    <w:tmpl w:val="E1A548B1"/>
    <w:lvl w:ilvl="0">
      <w:start w:val="10"/>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420"/>
  <w:drawingGridHorizontalSpacing w:val="105"/>
  <w:drawingGridVerticalSpacing w:val="156"/>
  <w:noPunctuationKerning/>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C1EFF"/>
    <w:rsid w:val="00004789"/>
    <w:rsid w:val="0001358F"/>
    <w:rsid w:val="00023E20"/>
    <w:rsid w:val="00027CD7"/>
    <w:rsid w:val="00046DA9"/>
    <w:rsid w:val="00057D29"/>
    <w:rsid w:val="00057E54"/>
    <w:rsid w:val="00070611"/>
    <w:rsid w:val="00072BC0"/>
    <w:rsid w:val="000822D9"/>
    <w:rsid w:val="00083FA3"/>
    <w:rsid w:val="000952E3"/>
    <w:rsid w:val="00095A84"/>
    <w:rsid w:val="00096698"/>
    <w:rsid w:val="000A392C"/>
    <w:rsid w:val="000B354F"/>
    <w:rsid w:val="000D2E76"/>
    <w:rsid w:val="000D54B5"/>
    <w:rsid w:val="000E01D8"/>
    <w:rsid w:val="000F18C4"/>
    <w:rsid w:val="000F29ED"/>
    <w:rsid w:val="000F4115"/>
    <w:rsid w:val="001266F1"/>
    <w:rsid w:val="00164388"/>
    <w:rsid w:val="001717DA"/>
    <w:rsid w:val="00174B75"/>
    <w:rsid w:val="00185CD8"/>
    <w:rsid w:val="00190208"/>
    <w:rsid w:val="001940A0"/>
    <w:rsid w:val="001B7865"/>
    <w:rsid w:val="001D34E4"/>
    <w:rsid w:val="001D66F5"/>
    <w:rsid w:val="001E31F7"/>
    <w:rsid w:val="001E468A"/>
    <w:rsid w:val="00211CD6"/>
    <w:rsid w:val="00213DC6"/>
    <w:rsid w:val="002170C3"/>
    <w:rsid w:val="00243A63"/>
    <w:rsid w:val="00247292"/>
    <w:rsid w:val="002472FC"/>
    <w:rsid w:val="00260639"/>
    <w:rsid w:val="00280015"/>
    <w:rsid w:val="00282123"/>
    <w:rsid w:val="00286F5A"/>
    <w:rsid w:val="002A2384"/>
    <w:rsid w:val="002A3768"/>
    <w:rsid w:val="002B6BB9"/>
    <w:rsid w:val="002E1D0B"/>
    <w:rsid w:val="002E57A3"/>
    <w:rsid w:val="002E747B"/>
    <w:rsid w:val="002F17E6"/>
    <w:rsid w:val="00301C6D"/>
    <w:rsid w:val="00316E74"/>
    <w:rsid w:val="00322080"/>
    <w:rsid w:val="00340B3A"/>
    <w:rsid w:val="0034727A"/>
    <w:rsid w:val="00352935"/>
    <w:rsid w:val="00365998"/>
    <w:rsid w:val="00370F39"/>
    <w:rsid w:val="0037361E"/>
    <w:rsid w:val="00382EFA"/>
    <w:rsid w:val="003837E8"/>
    <w:rsid w:val="00394A46"/>
    <w:rsid w:val="003A5482"/>
    <w:rsid w:val="003B30BE"/>
    <w:rsid w:val="003C6692"/>
    <w:rsid w:val="003D2FC6"/>
    <w:rsid w:val="003D315A"/>
    <w:rsid w:val="003E0DEC"/>
    <w:rsid w:val="003F7CC3"/>
    <w:rsid w:val="00421B2F"/>
    <w:rsid w:val="004613A1"/>
    <w:rsid w:val="00461EDD"/>
    <w:rsid w:val="00474FBD"/>
    <w:rsid w:val="00487C43"/>
    <w:rsid w:val="0049662D"/>
    <w:rsid w:val="004A269E"/>
    <w:rsid w:val="004B13DA"/>
    <w:rsid w:val="004B2426"/>
    <w:rsid w:val="004B5DCD"/>
    <w:rsid w:val="004C2898"/>
    <w:rsid w:val="004D1D2F"/>
    <w:rsid w:val="004D40A8"/>
    <w:rsid w:val="004F2BD1"/>
    <w:rsid w:val="005119FB"/>
    <w:rsid w:val="00512DC4"/>
    <w:rsid w:val="005430B2"/>
    <w:rsid w:val="005515E3"/>
    <w:rsid w:val="00563BD8"/>
    <w:rsid w:val="005711D0"/>
    <w:rsid w:val="00586B6A"/>
    <w:rsid w:val="00587B38"/>
    <w:rsid w:val="00590E86"/>
    <w:rsid w:val="00592F84"/>
    <w:rsid w:val="005967D3"/>
    <w:rsid w:val="005A2F1F"/>
    <w:rsid w:val="005B4669"/>
    <w:rsid w:val="005C6BC3"/>
    <w:rsid w:val="0061287B"/>
    <w:rsid w:val="00626A9B"/>
    <w:rsid w:val="00630991"/>
    <w:rsid w:val="00632AE7"/>
    <w:rsid w:val="00632B8D"/>
    <w:rsid w:val="00633E26"/>
    <w:rsid w:val="00647032"/>
    <w:rsid w:val="006478EB"/>
    <w:rsid w:val="006736E9"/>
    <w:rsid w:val="0068357E"/>
    <w:rsid w:val="006859F0"/>
    <w:rsid w:val="006B1DC9"/>
    <w:rsid w:val="006C0E22"/>
    <w:rsid w:val="006C1F80"/>
    <w:rsid w:val="006C3DAB"/>
    <w:rsid w:val="006C7845"/>
    <w:rsid w:val="006E18A3"/>
    <w:rsid w:val="006F6557"/>
    <w:rsid w:val="006F7F73"/>
    <w:rsid w:val="00704D6C"/>
    <w:rsid w:val="0072389C"/>
    <w:rsid w:val="00725BD8"/>
    <w:rsid w:val="00730A3E"/>
    <w:rsid w:val="007328FF"/>
    <w:rsid w:val="007352FE"/>
    <w:rsid w:val="0077453E"/>
    <w:rsid w:val="007939D6"/>
    <w:rsid w:val="007A0B4C"/>
    <w:rsid w:val="007B0F70"/>
    <w:rsid w:val="007B5548"/>
    <w:rsid w:val="007C655C"/>
    <w:rsid w:val="007D1873"/>
    <w:rsid w:val="007E788E"/>
    <w:rsid w:val="007F4CA1"/>
    <w:rsid w:val="007F76BC"/>
    <w:rsid w:val="008102E3"/>
    <w:rsid w:val="008236EB"/>
    <w:rsid w:val="00834994"/>
    <w:rsid w:val="0087124B"/>
    <w:rsid w:val="008742D0"/>
    <w:rsid w:val="008842BD"/>
    <w:rsid w:val="00892C98"/>
    <w:rsid w:val="00897366"/>
    <w:rsid w:val="008A67B4"/>
    <w:rsid w:val="008B0103"/>
    <w:rsid w:val="008B5CD1"/>
    <w:rsid w:val="008B77BC"/>
    <w:rsid w:val="008C19FC"/>
    <w:rsid w:val="008C5895"/>
    <w:rsid w:val="008C6DD4"/>
    <w:rsid w:val="008D6E93"/>
    <w:rsid w:val="008F0072"/>
    <w:rsid w:val="00902381"/>
    <w:rsid w:val="00932F23"/>
    <w:rsid w:val="00952939"/>
    <w:rsid w:val="00961EBF"/>
    <w:rsid w:val="00962141"/>
    <w:rsid w:val="00964DCE"/>
    <w:rsid w:val="0097281A"/>
    <w:rsid w:val="009746F8"/>
    <w:rsid w:val="00984F3A"/>
    <w:rsid w:val="00993EBA"/>
    <w:rsid w:val="009D7DA0"/>
    <w:rsid w:val="009E6D9A"/>
    <w:rsid w:val="00A15CC2"/>
    <w:rsid w:val="00A22BDC"/>
    <w:rsid w:val="00A25C00"/>
    <w:rsid w:val="00A40D04"/>
    <w:rsid w:val="00A44B3B"/>
    <w:rsid w:val="00A45374"/>
    <w:rsid w:val="00A5211C"/>
    <w:rsid w:val="00A566D3"/>
    <w:rsid w:val="00A62188"/>
    <w:rsid w:val="00A626CE"/>
    <w:rsid w:val="00A63D6D"/>
    <w:rsid w:val="00A65C1B"/>
    <w:rsid w:val="00A66E5D"/>
    <w:rsid w:val="00A71141"/>
    <w:rsid w:val="00A811C0"/>
    <w:rsid w:val="00A873B5"/>
    <w:rsid w:val="00AA4C6F"/>
    <w:rsid w:val="00AB0C56"/>
    <w:rsid w:val="00AB6352"/>
    <w:rsid w:val="00AC7A5F"/>
    <w:rsid w:val="00AD219C"/>
    <w:rsid w:val="00AF2E4A"/>
    <w:rsid w:val="00AF3DA7"/>
    <w:rsid w:val="00AF6129"/>
    <w:rsid w:val="00B00C7F"/>
    <w:rsid w:val="00B07747"/>
    <w:rsid w:val="00B16891"/>
    <w:rsid w:val="00B227EF"/>
    <w:rsid w:val="00B33B46"/>
    <w:rsid w:val="00B446F1"/>
    <w:rsid w:val="00B83BBE"/>
    <w:rsid w:val="00B862DE"/>
    <w:rsid w:val="00B96949"/>
    <w:rsid w:val="00BA258D"/>
    <w:rsid w:val="00BA6EA3"/>
    <w:rsid w:val="00BA7B8A"/>
    <w:rsid w:val="00BD0CF5"/>
    <w:rsid w:val="00BD5E0C"/>
    <w:rsid w:val="00C1452A"/>
    <w:rsid w:val="00C32377"/>
    <w:rsid w:val="00C41CCC"/>
    <w:rsid w:val="00C44FAC"/>
    <w:rsid w:val="00C522C2"/>
    <w:rsid w:val="00C6361B"/>
    <w:rsid w:val="00C7515F"/>
    <w:rsid w:val="00C93C9B"/>
    <w:rsid w:val="00CC1AE9"/>
    <w:rsid w:val="00CC3FA1"/>
    <w:rsid w:val="00CF5190"/>
    <w:rsid w:val="00D06F98"/>
    <w:rsid w:val="00D41EFE"/>
    <w:rsid w:val="00D5549F"/>
    <w:rsid w:val="00D66261"/>
    <w:rsid w:val="00D74DFE"/>
    <w:rsid w:val="00D83CA6"/>
    <w:rsid w:val="00D86AB4"/>
    <w:rsid w:val="00D91EA5"/>
    <w:rsid w:val="00DA3CB6"/>
    <w:rsid w:val="00DB1C23"/>
    <w:rsid w:val="00DB323C"/>
    <w:rsid w:val="00DB493C"/>
    <w:rsid w:val="00DF665F"/>
    <w:rsid w:val="00E12FD9"/>
    <w:rsid w:val="00E215FB"/>
    <w:rsid w:val="00E27EFD"/>
    <w:rsid w:val="00E42122"/>
    <w:rsid w:val="00E635CD"/>
    <w:rsid w:val="00E777FA"/>
    <w:rsid w:val="00E85DF6"/>
    <w:rsid w:val="00E92C96"/>
    <w:rsid w:val="00E95525"/>
    <w:rsid w:val="00E97B1D"/>
    <w:rsid w:val="00EA43C7"/>
    <w:rsid w:val="00EC16E4"/>
    <w:rsid w:val="00ED0106"/>
    <w:rsid w:val="00ED46D3"/>
    <w:rsid w:val="00ED660A"/>
    <w:rsid w:val="00EE0413"/>
    <w:rsid w:val="00EE4980"/>
    <w:rsid w:val="00F003D5"/>
    <w:rsid w:val="00F01E53"/>
    <w:rsid w:val="00F254D9"/>
    <w:rsid w:val="00F256CD"/>
    <w:rsid w:val="00F320D2"/>
    <w:rsid w:val="00F43AA3"/>
    <w:rsid w:val="00F5215C"/>
    <w:rsid w:val="00F72241"/>
    <w:rsid w:val="00F726D4"/>
    <w:rsid w:val="00F75AF4"/>
    <w:rsid w:val="00FA48EF"/>
    <w:rsid w:val="00FA55A7"/>
    <w:rsid w:val="00FB2EDB"/>
    <w:rsid w:val="00FC0234"/>
    <w:rsid w:val="00FC1EFF"/>
    <w:rsid w:val="00FD326A"/>
    <w:rsid w:val="00FD713B"/>
    <w:rsid w:val="00FE0361"/>
    <w:rsid w:val="011D7359"/>
    <w:rsid w:val="023B07A0"/>
    <w:rsid w:val="03120F01"/>
    <w:rsid w:val="03591751"/>
    <w:rsid w:val="03C61406"/>
    <w:rsid w:val="03C760FD"/>
    <w:rsid w:val="03DC6E7A"/>
    <w:rsid w:val="051F0F31"/>
    <w:rsid w:val="05CF5667"/>
    <w:rsid w:val="063D1F64"/>
    <w:rsid w:val="06CE6EF8"/>
    <w:rsid w:val="06D77B26"/>
    <w:rsid w:val="07433EBC"/>
    <w:rsid w:val="074E40B0"/>
    <w:rsid w:val="07C713C2"/>
    <w:rsid w:val="07D945A6"/>
    <w:rsid w:val="07F54B49"/>
    <w:rsid w:val="08295527"/>
    <w:rsid w:val="082F3856"/>
    <w:rsid w:val="088019F9"/>
    <w:rsid w:val="094267FD"/>
    <w:rsid w:val="095B63F9"/>
    <w:rsid w:val="09BF099E"/>
    <w:rsid w:val="0A692EC3"/>
    <w:rsid w:val="0AD518DF"/>
    <w:rsid w:val="0B11135A"/>
    <w:rsid w:val="0B316913"/>
    <w:rsid w:val="0CBB5AA3"/>
    <w:rsid w:val="0D991374"/>
    <w:rsid w:val="0DD642D7"/>
    <w:rsid w:val="0DFA6D92"/>
    <w:rsid w:val="0E980546"/>
    <w:rsid w:val="0EB173B8"/>
    <w:rsid w:val="0FAC71C0"/>
    <w:rsid w:val="100C0984"/>
    <w:rsid w:val="10680E71"/>
    <w:rsid w:val="115F2397"/>
    <w:rsid w:val="12065815"/>
    <w:rsid w:val="136B4C91"/>
    <w:rsid w:val="138E2BB9"/>
    <w:rsid w:val="1446115B"/>
    <w:rsid w:val="14D22329"/>
    <w:rsid w:val="14FB2910"/>
    <w:rsid w:val="155F1D91"/>
    <w:rsid w:val="15E95C36"/>
    <w:rsid w:val="16673E67"/>
    <w:rsid w:val="16A03DCC"/>
    <w:rsid w:val="177223CF"/>
    <w:rsid w:val="17F642C2"/>
    <w:rsid w:val="184D3E9A"/>
    <w:rsid w:val="18644361"/>
    <w:rsid w:val="18AD793A"/>
    <w:rsid w:val="18C8736D"/>
    <w:rsid w:val="198A0FBE"/>
    <w:rsid w:val="19AD19A3"/>
    <w:rsid w:val="19D128BA"/>
    <w:rsid w:val="19DB1692"/>
    <w:rsid w:val="19FF5DFF"/>
    <w:rsid w:val="1A8934B4"/>
    <w:rsid w:val="1A9874BB"/>
    <w:rsid w:val="1AE866A5"/>
    <w:rsid w:val="1B7C5EDF"/>
    <w:rsid w:val="1BC81575"/>
    <w:rsid w:val="1C07237E"/>
    <w:rsid w:val="1CE92445"/>
    <w:rsid w:val="1CF60754"/>
    <w:rsid w:val="1DA67345"/>
    <w:rsid w:val="1DD04CC6"/>
    <w:rsid w:val="1E9F6190"/>
    <w:rsid w:val="1EAA20FC"/>
    <w:rsid w:val="1EBE42D0"/>
    <w:rsid w:val="1F675F83"/>
    <w:rsid w:val="1FA87435"/>
    <w:rsid w:val="20FA78A2"/>
    <w:rsid w:val="210139F2"/>
    <w:rsid w:val="211D1035"/>
    <w:rsid w:val="213746F3"/>
    <w:rsid w:val="21610C17"/>
    <w:rsid w:val="21796A6C"/>
    <w:rsid w:val="218D22C4"/>
    <w:rsid w:val="21904C77"/>
    <w:rsid w:val="219F776C"/>
    <w:rsid w:val="21BB4955"/>
    <w:rsid w:val="21C306C2"/>
    <w:rsid w:val="21DA541B"/>
    <w:rsid w:val="22A92EE5"/>
    <w:rsid w:val="235C54BC"/>
    <w:rsid w:val="2394599F"/>
    <w:rsid w:val="23E72D7E"/>
    <w:rsid w:val="243D0345"/>
    <w:rsid w:val="258638C7"/>
    <w:rsid w:val="25A27F90"/>
    <w:rsid w:val="25E02858"/>
    <w:rsid w:val="260F25F1"/>
    <w:rsid w:val="26B5323D"/>
    <w:rsid w:val="26C559FD"/>
    <w:rsid w:val="26C95B89"/>
    <w:rsid w:val="276045C4"/>
    <w:rsid w:val="27834D7E"/>
    <w:rsid w:val="279F7B6F"/>
    <w:rsid w:val="28197E5A"/>
    <w:rsid w:val="285F5023"/>
    <w:rsid w:val="292A7ACF"/>
    <w:rsid w:val="297B6262"/>
    <w:rsid w:val="2A775461"/>
    <w:rsid w:val="2AB21325"/>
    <w:rsid w:val="2B24171E"/>
    <w:rsid w:val="2D60721F"/>
    <w:rsid w:val="2DA63C05"/>
    <w:rsid w:val="2DBD0F0A"/>
    <w:rsid w:val="2DCC32DF"/>
    <w:rsid w:val="2DD633AF"/>
    <w:rsid w:val="303A6921"/>
    <w:rsid w:val="304E0818"/>
    <w:rsid w:val="30C34FBD"/>
    <w:rsid w:val="30EF0A7C"/>
    <w:rsid w:val="30F1256C"/>
    <w:rsid w:val="32496897"/>
    <w:rsid w:val="32632221"/>
    <w:rsid w:val="32651B7C"/>
    <w:rsid w:val="3275690F"/>
    <w:rsid w:val="32BD5F02"/>
    <w:rsid w:val="33D377A4"/>
    <w:rsid w:val="33D42063"/>
    <w:rsid w:val="34363FAE"/>
    <w:rsid w:val="34D43B4A"/>
    <w:rsid w:val="35325A82"/>
    <w:rsid w:val="35D22E50"/>
    <w:rsid w:val="360940B5"/>
    <w:rsid w:val="36171E4E"/>
    <w:rsid w:val="3695647E"/>
    <w:rsid w:val="369B4720"/>
    <w:rsid w:val="36DF25EF"/>
    <w:rsid w:val="36DF48C4"/>
    <w:rsid w:val="370C0A24"/>
    <w:rsid w:val="373D3A9E"/>
    <w:rsid w:val="374B1931"/>
    <w:rsid w:val="37812649"/>
    <w:rsid w:val="37923543"/>
    <w:rsid w:val="37A521EF"/>
    <w:rsid w:val="37D37733"/>
    <w:rsid w:val="38080B42"/>
    <w:rsid w:val="383D5FDA"/>
    <w:rsid w:val="38CF7859"/>
    <w:rsid w:val="38D43D96"/>
    <w:rsid w:val="38F76948"/>
    <w:rsid w:val="3AD65FF4"/>
    <w:rsid w:val="3AE82EF4"/>
    <w:rsid w:val="3B144F3F"/>
    <w:rsid w:val="3B5832A5"/>
    <w:rsid w:val="3BB72B62"/>
    <w:rsid w:val="3C59260C"/>
    <w:rsid w:val="3C685895"/>
    <w:rsid w:val="3D13256A"/>
    <w:rsid w:val="3D1808F0"/>
    <w:rsid w:val="3E100BBC"/>
    <w:rsid w:val="3E5F7B54"/>
    <w:rsid w:val="3E8B6B7A"/>
    <w:rsid w:val="3F6B315B"/>
    <w:rsid w:val="3FE670FE"/>
    <w:rsid w:val="41701945"/>
    <w:rsid w:val="41986256"/>
    <w:rsid w:val="419B1151"/>
    <w:rsid w:val="425E2DCE"/>
    <w:rsid w:val="429A3BAB"/>
    <w:rsid w:val="42C6780A"/>
    <w:rsid w:val="435244E7"/>
    <w:rsid w:val="437D16DC"/>
    <w:rsid w:val="447A6AFE"/>
    <w:rsid w:val="4481695C"/>
    <w:rsid w:val="454D7199"/>
    <w:rsid w:val="45BA43D3"/>
    <w:rsid w:val="45DA351F"/>
    <w:rsid w:val="473232A3"/>
    <w:rsid w:val="47746D6A"/>
    <w:rsid w:val="47F0347F"/>
    <w:rsid w:val="48081624"/>
    <w:rsid w:val="48476BA9"/>
    <w:rsid w:val="4A6F69D9"/>
    <w:rsid w:val="4B2E0B0B"/>
    <w:rsid w:val="4B8C7044"/>
    <w:rsid w:val="4BAA25C5"/>
    <w:rsid w:val="4BE33DD6"/>
    <w:rsid w:val="4CCE7192"/>
    <w:rsid w:val="4CDE1051"/>
    <w:rsid w:val="4D416536"/>
    <w:rsid w:val="4D69348C"/>
    <w:rsid w:val="4DBA4B9A"/>
    <w:rsid w:val="4EBA6009"/>
    <w:rsid w:val="4FF847FC"/>
    <w:rsid w:val="50333745"/>
    <w:rsid w:val="508138FB"/>
    <w:rsid w:val="50B842D7"/>
    <w:rsid w:val="51556E86"/>
    <w:rsid w:val="5230522C"/>
    <w:rsid w:val="539F3E8B"/>
    <w:rsid w:val="53A9596C"/>
    <w:rsid w:val="544E3223"/>
    <w:rsid w:val="5471615E"/>
    <w:rsid w:val="54B70A82"/>
    <w:rsid w:val="55247608"/>
    <w:rsid w:val="55684751"/>
    <w:rsid w:val="56A96E4A"/>
    <w:rsid w:val="56F44A13"/>
    <w:rsid w:val="576C0011"/>
    <w:rsid w:val="57B631F4"/>
    <w:rsid w:val="580A7D41"/>
    <w:rsid w:val="59767FFF"/>
    <w:rsid w:val="59D40607"/>
    <w:rsid w:val="59E40B5C"/>
    <w:rsid w:val="59F75733"/>
    <w:rsid w:val="5AAC3023"/>
    <w:rsid w:val="5AEC12BC"/>
    <w:rsid w:val="5B500161"/>
    <w:rsid w:val="5BCE15CA"/>
    <w:rsid w:val="5C2F3817"/>
    <w:rsid w:val="5D3A1773"/>
    <w:rsid w:val="5DAF56F2"/>
    <w:rsid w:val="5EBF17F6"/>
    <w:rsid w:val="5EEF64F3"/>
    <w:rsid w:val="5F267539"/>
    <w:rsid w:val="5F3E1952"/>
    <w:rsid w:val="60195EAB"/>
    <w:rsid w:val="605C1614"/>
    <w:rsid w:val="607D1D44"/>
    <w:rsid w:val="60F57E9E"/>
    <w:rsid w:val="6189617B"/>
    <w:rsid w:val="61D73F2A"/>
    <w:rsid w:val="61DA00CC"/>
    <w:rsid w:val="62CF4061"/>
    <w:rsid w:val="63923075"/>
    <w:rsid w:val="63FE2688"/>
    <w:rsid w:val="64772514"/>
    <w:rsid w:val="64FD49EB"/>
    <w:rsid w:val="6566082E"/>
    <w:rsid w:val="65BF56A3"/>
    <w:rsid w:val="661F0C9F"/>
    <w:rsid w:val="66572855"/>
    <w:rsid w:val="668D14E6"/>
    <w:rsid w:val="66D070FF"/>
    <w:rsid w:val="67D05858"/>
    <w:rsid w:val="681B132B"/>
    <w:rsid w:val="68742B9F"/>
    <w:rsid w:val="68A35D1C"/>
    <w:rsid w:val="691519D4"/>
    <w:rsid w:val="69261344"/>
    <w:rsid w:val="6A8915F0"/>
    <w:rsid w:val="6ACF22DB"/>
    <w:rsid w:val="6AF018AC"/>
    <w:rsid w:val="6B3E3B32"/>
    <w:rsid w:val="6B3F4140"/>
    <w:rsid w:val="6CA60725"/>
    <w:rsid w:val="6CF118FF"/>
    <w:rsid w:val="6D057734"/>
    <w:rsid w:val="6D4E5088"/>
    <w:rsid w:val="6D763651"/>
    <w:rsid w:val="6DA460FE"/>
    <w:rsid w:val="6E16557A"/>
    <w:rsid w:val="6EC943CE"/>
    <w:rsid w:val="6ED45B70"/>
    <w:rsid w:val="6F4417FF"/>
    <w:rsid w:val="6F475063"/>
    <w:rsid w:val="6FD1216C"/>
    <w:rsid w:val="6FF546DA"/>
    <w:rsid w:val="6FFC2A44"/>
    <w:rsid w:val="70760948"/>
    <w:rsid w:val="70BC7D76"/>
    <w:rsid w:val="71101365"/>
    <w:rsid w:val="714C4513"/>
    <w:rsid w:val="72F4552A"/>
    <w:rsid w:val="73412605"/>
    <w:rsid w:val="73640558"/>
    <w:rsid w:val="73B60C4F"/>
    <w:rsid w:val="73D72557"/>
    <w:rsid w:val="75440F4A"/>
    <w:rsid w:val="75C3635C"/>
    <w:rsid w:val="760B24E1"/>
    <w:rsid w:val="762A5C94"/>
    <w:rsid w:val="7631261A"/>
    <w:rsid w:val="765D3D37"/>
    <w:rsid w:val="76627C68"/>
    <w:rsid w:val="771602C7"/>
    <w:rsid w:val="774A2CEC"/>
    <w:rsid w:val="775A6BD1"/>
    <w:rsid w:val="77BB00C9"/>
    <w:rsid w:val="77C143AD"/>
    <w:rsid w:val="788F1338"/>
    <w:rsid w:val="78F952A5"/>
    <w:rsid w:val="79746BF5"/>
    <w:rsid w:val="79772DB3"/>
    <w:rsid w:val="79CF101B"/>
    <w:rsid w:val="7A187910"/>
    <w:rsid w:val="7AA1236C"/>
    <w:rsid w:val="7AEF5CCE"/>
    <w:rsid w:val="7AF533E3"/>
    <w:rsid w:val="7B5A3030"/>
    <w:rsid w:val="7BD7064A"/>
    <w:rsid w:val="7C282A31"/>
    <w:rsid w:val="7C4B4301"/>
    <w:rsid w:val="7D134DAA"/>
    <w:rsid w:val="7DF05C5B"/>
    <w:rsid w:val="7E33137C"/>
    <w:rsid w:val="7E5A16A2"/>
    <w:rsid w:val="7EA07CFC"/>
    <w:rsid w:val="7EEF6B0E"/>
    <w:rsid w:val="7FE038C7"/>
    <w:rsid w:val="7FE20F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23"/>
    <w:pPr>
      <w:widowControl w:val="0"/>
      <w:jc w:val="both"/>
    </w:pPr>
    <w:rPr>
      <w:rFonts w:ascii="Calibri" w:hAnsi="Calibri"/>
      <w:kern w:val="2"/>
      <w:sz w:val="21"/>
      <w:szCs w:val="22"/>
    </w:rPr>
  </w:style>
  <w:style w:type="paragraph" w:styleId="1">
    <w:name w:val="heading 1"/>
    <w:basedOn w:val="a"/>
    <w:next w:val="a"/>
    <w:link w:val="1Char"/>
    <w:qFormat/>
    <w:rsid w:val="00282123"/>
    <w:pPr>
      <w:keepNext/>
      <w:keepLines/>
      <w:adjustRightInd w:val="0"/>
      <w:snapToGrid w:val="0"/>
      <w:spacing w:line="360" w:lineRule="auto"/>
      <w:jc w:val="center"/>
      <w:outlineLvl w:val="0"/>
    </w:pPr>
    <w:rPr>
      <w:rFonts w:ascii="Times New Roman" w:eastAsia="黑体" w:hAnsi="Times New Roman"/>
      <w:b/>
      <w:kern w:val="44"/>
      <w:sz w:val="36"/>
      <w:szCs w:val="20"/>
    </w:rPr>
  </w:style>
  <w:style w:type="paragraph" w:styleId="2">
    <w:name w:val="heading 2"/>
    <w:basedOn w:val="a"/>
    <w:next w:val="a0"/>
    <w:link w:val="2Char"/>
    <w:qFormat/>
    <w:rsid w:val="00282123"/>
    <w:pPr>
      <w:keepNext/>
      <w:tabs>
        <w:tab w:val="left" w:pos="786"/>
      </w:tabs>
      <w:adjustRightInd w:val="0"/>
      <w:snapToGrid w:val="0"/>
      <w:ind w:left="786" w:hanging="360"/>
      <w:jc w:val="left"/>
      <w:outlineLvl w:val="1"/>
    </w:pPr>
    <w:rPr>
      <w:rFonts w:ascii="Times New Roman" w:eastAsia="华文行楷" w:hAnsi="Times New Roman"/>
      <w:sz w:val="32"/>
      <w:szCs w:val="20"/>
    </w:rPr>
  </w:style>
  <w:style w:type="paragraph" w:styleId="3">
    <w:name w:val="heading 3"/>
    <w:basedOn w:val="a"/>
    <w:next w:val="a"/>
    <w:link w:val="3Char"/>
    <w:qFormat/>
    <w:rsid w:val="00282123"/>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0"/>
    <w:link w:val="4Char"/>
    <w:qFormat/>
    <w:rsid w:val="00282123"/>
    <w:pPr>
      <w:keepNext/>
      <w:tabs>
        <w:tab w:val="left" w:pos="786"/>
      </w:tabs>
      <w:ind w:left="786" w:hanging="360"/>
      <w:outlineLvl w:val="3"/>
    </w:pPr>
    <w:rPr>
      <w:rFonts w:ascii="Times New Roman" w:hAnsi="Times New Roman"/>
      <w:sz w:val="28"/>
      <w:szCs w:val="20"/>
    </w:rPr>
  </w:style>
  <w:style w:type="paragraph" w:styleId="5">
    <w:name w:val="heading 5"/>
    <w:basedOn w:val="a"/>
    <w:next w:val="a0"/>
    <w:link w:val="5Char"/>
    <w:qFormat/>
    <w:rsid w:val="00282123"/>
    <w:pPr>
      <w:keepNext/>
      <w:tabs>
        <w:tab w:val="left" w:pos="786"/>
        <w:tab w:val="left" w:pos="1080"/>
      </w:tabs>
      <w:ind w:left="786" w:hanging="360"/>
      <w:outlineLvl w:val="4"/>
    </w:pPr>
    <w:rPr>
      <w:rFonts w:ascii="Times New Roman" w:hAnsi="Times New Roman"/>
      <w:spacing w:val="-6"/>
      <w:sz w:val="28"/>
      <w:szCs w:val="20"/>
    </w:rPr>
  </w:style>
  <w:style w:type="paragraph" w:styleId="6">
    <w:name w:val="heading 6"/>
    <w:basedOn w:val="a"/>
    <w:next w:val="a"/>
    <w:link w:val="6Char"/>
    <w:qFormat/>
    <w:rsid w:val="00282123"/>
    <w:pPr>
      <w:keepNext/>
      <w:adjustRightInd w:val="0"/>
      <w:snapToGrid w:val="0"/>
      <w:spacing w:line="300" w:lineRule="auto"/>
      <w:jc w:val="center"/>
      <w:outlineLvl w:val="5"/>
    </w:pPr>
    <w:rPr>
      <w:rFonts w:ascii="Times New Roman" w:eastAsia="幼圆" w:hAnsi="Times New Roman"/>
      <w:b/>
      <w:sz w:val="4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282123"/>
    <w:pPr>
      <w:ind w:firstLine="420"/>
    </w:pPr>
    <w:rPr>
      <w:rFonts w:ascii="Times New Roman" w:hAnsi="Times New Roman"/>
      <w:szCs w:val="20"/>
    </w:rPr>
  </w:style>
  <w:style w:type="paragraph" w:styleId="7">
    <w:name w:val="toc 7"/>
    <w:basedOn w:val="a"/>
    <w:next w:val="a"/>
    <w:semiHidden/>
    <w:qFormat/>
    <w:rsid w:val="00282123"/>
    <w:pPr>
      <w:ind w:left="1260"/>
      <w:jc w:val="left"/>
    </w:pPr>
    <w:rPr>
      <w:rFonts w:ascii="Times New Roman" w:hAnsi="Times New Roman"/>
      <w:sz w:val="18"/>
      <w:szCs w:val="18"/>
    </w:rPr>
  </w:style>
  <w:style w:type="paragraph" w:styleId="a4">
    <w:name w:val="Document Map"/>
    <w:basedOn w:val="a"/>
    <w:link w:val="Char"/>
    <w:semiHidden/>
    <w:qFormat/>
    <w:rsid w:val="00282123"/>
    <w:pPr>
      <w:shd w:val="clear" w:color="auto" w:fill="000080"/>
    </w:pPr>
    <w:rPr>
      <w:rFonts w:ascii="Times New Roman" w:hAnsi="Times New Roman"/>
      <w:szCs w:val="20"/>
    </w:rPr>
  </w:style>
  <w:style w:type="paragraph" w:styleId="30">
    <w:name w:val="Body Text 3"/>
    <w:basedOn w:val="a"/>
    <w:link w:val="3Char0"/>
    <w:qFormat/>
    <w:rsid w:val="00282123"/>
    <w:pPr>
      <w:tabs>
        <w:tab w:val="left" w:pos="0"/>
        <w:tab w:val="left" w:pos="1260"/>
      </w:tabs>
      <w:spacing w:line="480" w:lineRule="auto"/>
      <w:jc w:val="center"/>
    </w:pPr>
    <w:rPr>
      <w:rFonts w:ascii="隶书" w:eastAsia="隶书" w:hAnsi="Times New Roman"/>
      <w:b/>
      <w:sz w:val="36"/>
      <w:szCs w:val="20"/>
    </w:rPr>
  </w:style>
  <w:style w:type="paragraph" w:styleId="a5">
    <w:name w:val="Body Text"/>
    <w:basedOn w:val="a"/>
    <w:link w:val="Char0"/>
    <w:qFormat/>
    <w:rsid w:val="00282123"/>
    <w:pPr>
      <w:jc w:val="center"/>
    </w:pPr>
    <w:rPr>
      <w:rFonts w:ascii="Times New Roman" w:hAnsi="Times New Roman"/>
      <w:sz w:val="28"/>
      <w:szCs w:val="20"/>
    </w:rPr>
  </w:style>
  <w:style w:type="paragraph" w:styleId="a6">
    <w:name w:val="Body Text Indent"/>
    <w:basedOn w:val="a"/>
    <w:link w:val="Char1"/>
    <w:qFormat/>
    <w:rsid w:val="00282123"/>
    <w:pPr>
      <w:ind w:firstLine="540"/>
    </w:pPr>
    <w:rPr>
      <w:rFonts w:ascii="Times New Roman" w:hAnsi="Times New Roman"/>
      <w:sz w:val="28"/>
      <w:szCs w:val="20"/>
    </w:rPr>
  </w:style>
  <w:style w:type="paragraph" w:styleId="50">
    <w:name w:val="toc 5"/>
    <w:basedOn w:val="a"/>
    <w:next w:val="a"/>
    <w:semiHidden/>
    <w:qFormat/>
    <w:rsid w:val="00282123"/>
    <w:pPr>
      <w:ind w:left="840"/>
      <w:jc w:val="left"/>
    </w:pPr>
    <w:rPr>
      <w:rFonts w:ascii="Times New Roman" w:hAnsi="Times New Roman"/>
      <w:sz w:val="18"/>
      <w:szCs w:val="18"/>
    </w:rPr>
  </w:style>
  <w:style w:type="paragraph" w:styleId="31">
    <w:name w:val="toc 3"/>
    <w:basedOn w:val="a"/>
    <w:next w:val="a"/>
    <w:uiPriority w:val="39"/>
    <w:qFormat/>
    <w:rsid w:val="00282123"/>
    <w:pPr>
      <w:ind w:left="420"/>
      <w:jc w:val="left"/>
    </w:pPr>
    <w:rPr>
      <w:rFonts w:ascii="Times New Roman" w:hAnsi="Times New Roman"/>
      <w:i/>
      <w:iCs/>
      <w:sz w:val="20"/>
      <w:szCs w:val="20"/>
    </w:rPr>
  </w:style>
  <w:style w:type="paragraph" w:styleId="a7">
    <w:name w:val="Plain Text"/>
    <w:basedOn w:val="a"/>
    <w:link w:val="Char2"/>
    <w:qFormat/>
    <w:rsid w:val="00282123"/>
    <w:rPr>
      <w:rFonts w:ascii="宋体" w:hAnsi="Courier New"/>
      <w:szCs w:val="20"/>
    </w:rPr>
  </w:style>
  <w:style w:type="paragraph" w:styleId="8">
    <w:name w:val="toc 8"/>
    <w:basedOn w:val="a"/>
    <w:next w:val="a"/>
    <w:semiHidden/>
    <w:qFormat/>
    <w:rsid w:val="00282123"/>
    <w:pPr>
      <w:ind w:left="1470"/>
      <w:jc w:val="left"/>
    </w:pPr>
    <w:rPr>
      <w:rFonts w:ascii="Times New Roman" w:hAnsi="Times New Roman"/>
      <w:sz w:val="18"/>
      <w:szCs w:val="18"/>
    </w:rPr>
  </w:style>
  <w:style w:type="paragraph" w:styleId="a8">
    <w:name w:val="Date"/>
    <w:basedOn w:val="a"/>
    <w:next w:val="a"/>
    <w:link w:val="Char3"/>
    <w:qFormat/>
    <w:rsid w:val="00282123"/>
    <w:pPr>
      <w:adjustRightInd w:val="0"/>
      <w:spacing w:line="312" w:lineRule="atLeast"/>
      <w:jc w:val="right"/>
      <w:textAlignment w:val="baseline"/>
    </w:pPr>
    <w:rPr>
      <w:rFonts w:ascii="Times New Roman" w:hAnsi="Times New Roman"/>
      <w:kern w:val="0"/>
      <w:sz w:val="28"/>
      <w:szCs w:val="20"/>
    </w:rPr>
  </w:style>
  <w:style w:type="paragraph" w:styleId="20">
    <w:name w:val="Body Text Indent 2"/>
    <w:basedOn w:val="a"/>
    <w:link w:val="2Char0"/>
    <w:qFormat/>
    <w:rsid w:val="00282123"/>
    <w:pPr>
      <w:ind w:firstLine="540"/>
    </w:pPr>
    <w:rPr>
      <w:rFonts w:ascii="Times New Roman" w:hAnsi="Times New Roman"/>
      <w:b/>
      <w:sz w:val="28"/>
      <w:szCs w:val="20"/>
    </w:rPr>
  </w:style>
  <w:style w:type="paragraph" w:styleId="a9">
    <w:name w:val="Balloon Text"/>
    <w:basedOn w:val="a"/>
    <w:link w:val="Char4"/>
    <w:semiHidden/>
    <w:qFormat/>
    <w:rsid w:val="00282123"/>
    <w:rPr>
      <w:rFonts w:ascii="Times New Roman" w:hAnsi="Times New Roman"/>
      <w:sz w:val="18"/>
      <w:szCs w:val="18"/>
    </w:rPr>
  </w:style>
  <w:style w:type="paragraph" w:styleId="aa">
    <w:name w:val="footer"/>
    <w:basedOn w:val="a"/>
    <w:link w:val="Char5"/>
    <w:uiPriority w:val="99"/>
    <w:qFormat/>
    <w:rsid w:val="00282123"/>
    <w:pPr>
      <w:tabs>
        <w:tab w:val="center" w:pos="4153"/>
        <w:tab w:val="right" w:pos="8306"/>
      </w:tabs>
      <w:snapToGrid w:val="0"/>
      <w:jc w:val="left"/>
    </w:pPr>
    <w:rPr>
      <w:rFonts w:ascii="Times New Roman" w:hAnsi="Times New Roman"/>
      <w:sz w:val="18"/>
      <w:szCs w:val="20"/>
    </w:rPr>
  </w:style>
  <w:style w:type="paragraph" w:styleId="ab">
    <w:name w:val="header"/>
    <w:basedOn w:val="a"/>
    <w:link w:val="Char6"/>
    <w:qFormat/>
    <w:rsid w:val="00282123"/>
    <w:pPr>
      <w:pBdr>
        <w:bottom w:val="single" w:sz="6" w:space="1" w:color="auto"/>
      </w:pBdr>
      <w:tabs>
        <w:tab w:val="center" w:pos="4153"/>
        <w:tab w:val="right" w:pos="8306"/>
      </w:tabs>
      <w:snapToGrid w:val="0"/>
      <w:jc w:val="center"/>
    </w:pPr>
    <w:rPr>
      <w:rFonts w:ascii="Times New Roman" w:hAnsi="Times New Roman"/>
      <w:sz w:val="18"/>
      <w:szCs w:val="20"/>
    </w:rPr>
  </w:style>
  <w:style w:type="paragraph" w:styleId="10">
    <w:name w:val="toc 1"/>
    <w:basedOn w:val="a"/>
    <w:next w:val="a"/>
    <w:uiPriority w:val="39"/>
    <w:qFormat/>
    <w:rsid w:val="00282123"/>
    <w:pPr>
      <w:tabs>
        <w:tab w:val="right" w:leader="dot" w:pos="8891"/>
      </w:tabs>
      <w:spacing w:before="120" w:after="120" w:line="360" w:lineRule="auto"/>
      <w:jc w:val="left"/>
    </w:pPr>
    <w:rPr>
      <w:rFonts w:ascii="宋体" w:hAnsi="宋体"/>
      <w:b/>
      <w:bCs/>
      <w:caps/>
      <w:sz w:val="28"/>
      <w:szCs w:val="28"/>
    </w:rPr>
  </w:style>
  <w:style w:type="paragraph" w:styleId="40">
    <w:name w:val="toc 4"/>
    <w:basedOn w:val="a"/>
    <w:next w:val="a"/>
    <w:semiHidden/>
    <w:qFormat/>
    <w:rsid w:val="00282123"/>
    <w:pPr>
      <w:ind w:left="630"/>
      <w:jc w:val="left"/>
    </w:pPr>
    <w:rPr>
      <w:rFonts w:ascii="Times New Roman" w:hAnsi="Times New Roman"/>
      <w:sz w:val="18"/>
      <w:szCs w:val="18"/>
    </w:rPr>
  </w:style>
  <w:style w:type="paragraph" w:styleId="60">
    <w:name w:val="toc 6"/>
    <w:basedOn w:val="a"/>
    <w:next w:val="a"/>
    <w:semiHidden/>
    <w:qFormat/>
    <w:rsid w:val="00282123"/>
    <w:pPr>
      <w:ind w:left="1050"/>
      <w:jc w:val="left"/>
    </w:pPr>
    <w:rPr>
      <w:rFonts w:ascii="Times New Roman" w:hAnsi="Times New Roman"/>
      <w:sz w:val="18"/>
      <w:szCs w:val="18"/>
    </w:rPr>
  </w:style>
  <w:style w:type="paragraph" w:styleId="32">
    <w:name w:val="Body Text Indent 3"/>
    <w:basedOn w:val="a"/>
    <w:link w:val="3Char1"/>
    <w:qFormat/>
    <w:rsid w:val="00282123"/>
    <w:pPr>
      <w:spacing w:line="360" w:lineRule="auto"/>
      <w:ind w:firstLine="720"/>
    </w:pPr>
    <w:rPr>
      <w:rFonts w:ascii="Times New Roman" w:hAnsi="Times New Roman"/>
      <w:sz w:val="28"/>
      <w:szCs w:val="20"/>
    </w:rPr>
  </w:style>
  <w:style w:type="paragraph" w:styleId="21">
    <w:name w:val="toc 2"/>
    <w:basedOn w:val="a"/>
    <w:next w:val="a"/>
    <w:uiPriority w:val="39"/>
    <w:qFormat/>
    <w:rsid w:val="00282123"/>
    <w:pPr>
      <w:tabs>
        <w:tab w:val="right" w:leader="dot" w:pos="8891"/>
      </w:tabs>
      <w:adjustRightInd w:val="0"/>
      <w:snapToGrid w:val="0"/>
      <w:spacing w:line="360" w:lineRule="auto"/>
      <w:ind w:firstLineChars="175" w:firstLine="420"/>
      <w:jc w:val="left"/>
    </w:pPr>
    <w:rPr>
      <w:rFonts w:ascii="宋体" w:hAnsi="宋体"/>
      <w:i/>
      <w:smallCaps/>
      <w:sz w:val="20"/>
      <w:szCs w:val="20"/>
    </w:rPr>
  </w:style>
  <w:style w:type="paragraph" w:styleId="9">
    <w:name w:val="toc 9"/>
    <w:basedOn w:val="a"/>
    <w:next w:val="a"/>
    <w:semiHidden/>
    <w:qFormat/>
    <w:rsid w:val="00282123"/>
    <w:pPr>
      <w:ind w:left="1680"/>
      <w:jc w:val="left"/>
    </w:pPr>
    <w:rPr>
      <w:rFonts w:ascii="Times New Roman" w:hAnsi="Times New Roman"/>
      <w:sz w:val="18"/>
      <w:szCs w:val="18"/>
    </w:rPr>
  </w:style>
  <w:style w:type="paragraph" w:styleId="22">
    <w:name w:val="Body Text 2"/>
    <w:basedOn w:val="a"/>
    <w:link w:val="2Char1"/>
    <w:qFormat/>
    <w:rsid w:val="00282123"/>
    <w:pPr>
      <w:spacing w:line="60" w:lineRule="auto"/>
      <w:jc w:val="center"/>
      <w:outlineLvl w:val="0"/>
    </w:pPr>
    <w:rPr>
      <w:rFonts w:ascii="宋体" w:hAnsi="Times New Roman"/>
      <w:sz w:val="48"/>
      <w:szCs w:val="20"/>
    </w:rPr>
  </w:style>
  <w:style w:type="paragraph" w:styleId="HTML">
    <w:name w:val="HTML Preformatted"/>
    <w:basedOn w:val="a"/>
    <w:link w:val="HTMLChar"/>
    <w:qFormat/>
    <w:rsid w:val="002821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w:color w:val="000000"/>
      <w:kern w:val="0"/>
      <w:sz w:val="20"/>
      <w:szCs w:val="20"/>
    </w:rPr>
  </w:style>
  <w:style w:type="paragraph" w:styleId="ac">
    <w:name w:val="Normal (Web)"/>
    <w:basedOn w:val="a"/>
    <w:qFormat/>
    <w:rsid w:val="00282123"/>
    <w:pPr>
      <w:widowControl/>
      <w:spacing w:before="100" w:beforeAutospacing="1" w:after="100" w:afterAutospacing="1"/>
      <w:jc w:val="left"/>
    </w:pPr>
    <w:rPr>
      <w:rFonts w:ascii="宋体" w:hAnsi="宋体" w:cs="宋体"/>
      <w:kern w:val="0"/>
      <w:sz w:val="24"/>
      <w:szCs w:val="24"/>
    </w:rPr>
  </w:style>
  <w:style w:type="table" w:styleId="ad">
    <w:name w:val="Table Grid"/>
    <w:basedOn w:val="a2"/>
    <w:qFormat/>
    <w:rsid w:val="0028212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1"/>
    <w:qFormat/>
    <w:rsid w:val="00282123"/>
    <w:rPr>
      <w:rFonts w:eastAsia="宋体"/>
      <w:sz w:val="24"/>
      <w:szCs w:val="24"/>
      <w:lang w:val="en-US" w:eastAsia="zh-CN" w:bidi="ar-SA"/>
    </w:rPr>
  </w:style>
  <w:style w:type="character" w:styleId="af">
    <w:name w:val="FollowedHyperlink"/>
    <w:qFormat/>
    <w:rsid w:val="00282123"/>
    <w:rPr>
      <w:rFonts w:eastAsia="宋体"/>
      <w:color w:val="800080"/>
      <w:sz w:val="24"/>
      <w:szCs w:val="24"/>
      <w:u w:val="single"/>
      <w:lang w:val="en-US" w:eastAsia="zh-CN" w:bidi="ar-SA"/>
    </w:rPr>
  </w:style>
  <w:style w:type="character" w:styleId="af0">
    <w:name w:val="Hyperlink"/>
    <w:uiPriority w:val="99"/>
    <w:qFormat/>
    <w:rsid w:val="00282123"/>
    <w:rPr>
      <w:rFonts w:eastAsia="宋体"/>
      <w:color w:val="0000FF"/>
      <w:sz w:val="24"/>
      <w:szCs w:val="24"/>
      <w:u w:val="single"/>
      <w:lang w:val="en-US" w:eastAsia="zh-CN" w:bidi="ar-SA"/>
    </w:rPr>
  </w:style>
  <w:style w:type="paragraph" w:customStyle="1" w:styleId="11">
    <w:name w:val="样式1"/>
    <w:basedOn w:val="a"/>
    <w:qFormat/>
    <w:rsid w:val="00282123"/>
    <w:rPr>
      <w:rFonts w:ascii="Times New Roman" w:hAnsi="Times New Roman"/>
      <w:szCs w:val="20"/>
    </w:rPr>
  </w:style>
  <w:style w:type="paragraph" w:customStyle="1" w:styleId="Af1">
    <w:name w:val="标题A"/>
    <w:basedOn w:val="1"/>
    <w:qFormat/>
    <w:rsid w:val="00282123"/>
  </w:style>
  <w:style w:type="paragraph" w:customStyle="1" w:styleId="B">
    <w:name w:val="标题B"/>
    <w:basedOn w:val="1"/>
    <w:qFormat/>
    <w:rsid w:val="00282123"/>
  </w:style>
  <w:style w:type="paragraph" w:customStyle="1" w:styleId="C">
    <w:name w:val="标题C"/>
    <w:basedOn w:val="1"/>
    <w:qFormat/>
    <w:rsid w:val="00282123"/>
  </w:style>
  <w:style w:type="character" w:customStyle="1" w:styleId="2Char">
    <w:name w:val="标题 2 Char"/>
    <w:basedOn w:val="a1"/>
    <w:link w:val="2"/>
    <w:qFormat/>
    <w:rsid w:val="00282123"/>
    <w:rPr>
      <w:rFonts w:ascii="Times New Roman" w:eastAsia="华文行楷" w:hAnsi="Times New Roman" w:cs="Times New Roman"/>
      <w:sz w:val="32"/>
      <w:szCs w:val="20"/>
    </w:rPr>
  </w:style>
  <w:style w:type="character" w:customStyle="1" w:styleId="1Char">
    <w:name w:val="标题 1 Char"/>
    <w:basedOn w:val="a1"/>
    <w:link w:val="1"/>
    <w:qFormat/>
    <w:rsid w:val="00282123"/>
    <w:rPr>
      <w:rFonts w:ascii="Times New Roman" w:eastAsia="黑体" w:hAnsi="Times New Roman" w:cs="Times New Roman"/>
      <w:b/>
      <w:kern w:val="44"/>
      <w:sz w:val="36"/>
      <w:szCs w:val="20"/>
    </w:rPr>
  </w:style>
  <w:style w:type="character" w:customStyle="1" w:styleId="3Char">
    <w:name w:val="标题 3 Char"/>
    <w:basedOn w:val="a1"/>
    <w:link w:val="3"/>
    <w:qFormat/>
    <w:rsid w:val="00282123"/>
    <w:rPr>
      <w:rFonts w:ascii="Times New Roman" w:eastAsia="宋体" w:hAnsi="Times New Roman" w:cs="Times New Roman"/>
      <w:b/>
      <w:bCs/>
      <w:sz w:val="32"/>
      <w:szCs w:val="32"/>
    </w:rPr>
  </w:style>
  <w:style w:type="character" w:customStyle="1" w:styleId="4Char">
    <w:name w:val="标题 4 Char"/>
    <w:basedOn w:val="a1"/>
    <w:link w:val="4"/>
    <w:qFormat/>
    <w:rsid w:val="00282123"/>
    <w:rPr>
      <w:rFonts w:ascii="Times New Roman" w:eastAsia="宋体" w:hAnsi="Times New Roman" w:cs="Times New Roman"/>
      <w:sz w:val="28"/>
      <w:szCs w:val="20"/>
    </w:rPr>
  </w:style>
  <w:style w:type="character" w:customStyle="1" w:styleId="5Char">
    <w:name w:val="标题 5 Char"/>
    <w:basedOn w:val="a1"/>
    <w:link w:val="5"/>
    <w:qFormat/>
    <w:rsid w:val="00282123"/>
    <w:rPr>
      <w:rFonts w:ascii="Times New Roman" w:eastAsia="宋体" w:hAnsi="Times New Roman" w:cs="Times New Roman"/>
      <w:spacing w:val="-6"/>
      <w:sz w:val="28"/>
      <w:szCs w:val="20"/>
    </w:rPr>
  </w:style>
  <w:style w:type="character" w:customStyle="1" w:styleId="6Char">
    <w:name w:val="标题 6 Char"/>
    <w:basedOn w:val="a1"/>
    <w:link w:val="6"/>
    <w:qFormat/>
    <w:rsid w:val="00282123"/>
    <w:rPr>
      <w:rFonts w:ascii="Times New Roman" w:eastAsia="幼圆" w:hAnsi="Times New Roman" w:cs="Times New Roman"/>
      <w:b/>
      <w:sz w:val="44"/>
      <w:szCs w:val="20"/>
    </w:rPr>
  </w:style>
  <w:style w:type="character" w:customStyle="1" w:styleId="txtstyle21">
    <w:name w:val="txtstyle21"/>
    <w:basedOn w:val="a1"/>
    <w:qFormat/>
    <w:rsid w:val="00282123"/>
    <w:rPr>
      <w:rFonts w:eastAsia="宋体"/>
      <w:sz w:val="24"/>
      <w:szCs w:val="24"/>
      <w:lang w:val="en-US" w:eastAsia="zh-CN" w:bidi="ar-SA"/>
    </w:rPr>
  </w:style>
  <w:style w:type="character" w:customStyle="1" w:styleId="contentgg">
    <w:name w:val="content_gg"/>
    <w:basedOn w:val="a1"/>
    <w:qFormat/>
    <w:rsid w:val="00282123"/>
    <w:rPr>
      <w:rFonts w:eastAsia="宋体"/>
      <w:sz w:val="24"/>
      <w:szCs w:val="24"/>
      <w:lang w:val="en-US" w:eastAsia="zh-CN" w:bidi="ar-SA"/>
    </w:rPr>
  </w:style>
  <w:style w:type="character" w:customStyle="1" w:styleId="3Char1">
    <w:name w:val="正文文本缩进 3 Char"/>
    <w:basedOn w:val="a1"/>
    <w:link w:val="32"/>
    <w:qFormat/>
    <w:rsid w:val="00282123"/>
    <w:rPr>
      <w:rFonts w:ascii="Times New Roman" w:eastAsia="宋体" w:hAnsi="Times New Roman" w:cs="Times New Roman"/>
      <w:sz w:val="28"/>
      <w:szCs w:val="20"/>
    </w:rPr>
  </w:style>
  <w:style w:type="character" w:customStyle="1" w:styleId="Char3">
    <w:name w:val="日期 Char"/>
    <w:basedOn w:val="a1"/>
    <w:link w:val="a8"/>
    <w:qFormat/>
    <w:rsid w:val="00282123"/>
    <w:rPr>
      <w:rFonts w:ascii="Times New Roman" w:eastAsia="宋体" w:hAnsi="Times New Roman" w:cs="Times New Roman"/>
      <w:kern w:val="0"/>
      <w:sz w:val="28"/>
      <w:szCs w:val="20"/>
    </w:rPr>
  </w:style>
  <w:style w:type="character" w:customStyle="1" w:styleId="Char4">
    <w:name w:val="批注框文本 Char"/>
    <w:basedOn w:val="a1"/>
    <w:link w:val="a9"/>
    <w:semiHidden/>
    <w:qFormat/>
    <w:rsid w:val="00282123"/>
    <w:rPr>
      <w:rFonts w:ascii="Times New Roman" w:eastAsia="宋体" w:hAnsi="Times New Roman" w:cs="Times New Roman"/>
      <w:sz w:val="18"/>
      <w:szCs w:val="18"/>
    </w:rPr>
  </w:style>
  <w:style w:type="character" w:customStyle="1" w:styleId="Char">
    <w:name w:val="文档结构图 Char"/>
    <w:basedOn w:val="a1"/>
    <w:link w:val="a4"/>
    <w:semiHidden/>
    <w:qFormat/>
    <w:rsid w:val="00282123"/>
    <w:rPr>
      <w:rFonts w:ascii="Times New Roman" w:eastAsia="宋体" w:hAnsi="Times New Roman" w:cs="Times New Roman"/>
      <w:szCs w:val="20"/>
      <w:shd w:val="clear" w:color="auto" w:fill="000080"/>
    </w:rPr>
  </w:style>
  <w:style w:type="character" w:customStyle="1" w:styleId="Char6">
    <w:name w:val="页眉 Char"/>
    <w:basedOn w:val="a1"/>
    <w:link w:val="ab"/>
    <w:qFormat/>
    <w:rsid w:val="00282123"/>
    <w:rPr>
      <w:rFonts w:ascii="Times New Roman" w:eastAsia="宋体" w:hAnsi="Times New Roman" w:cs="Times New Roman"/>
      <w:sz w:val="18"/>
      <w:szCs w:val="20"/>
    </w:rPr>
  </w:style>
  <w:style w:type="character" w:customStyle="1" w:styleId="Char5">
    <w:name w:val="页脚 Char"/>
    <w:basedOn w:val="a1"/>
    <w:link w:val="aa"/>
    <w:uiPriority w:val="99"/>
    <w:qFormat/>
    <w:rsid w:val="00282123"/>
    <w:rPr>
      <w:rFonts w:ascii="Times New Roman" w:eastAsia="宋体" w:hAnsi="Times New Roman" w:cs="Times New Roman"/>
      <w:sz w:val="18"/>
      <w:szCs w:val="20"/>
    </w:rPr>
  </w:style>
  <w:style w:type="character" w:customStyle="1" w:styleId="3Char0">
    <w:name w:val="正文文本 3 Char"/>
    <w:basedOn w:val="a1"/>
    <w:link w:val="30"/>
    <w:qFormat/>
    <w:rsid w:val="00282123"/>
    <w:rPr>
      <w:rFonts w:ascii="隶书" w:eastAsia="隶书" w:hAnsi="Times New Roman" w:cs="Times New Roman"/>
      <w:b/>
      <w:sz w:val="36"/>
      <w:szCs w:val="20"/>
    </w:rPr>
  </w:style>
  <w:style w:type="character" w:customStyle="1" w:styleId="Char0">
    <w:name w:val="正文文本 Char"/>
    <w:basedOn w:val="a1"/>
    <w:link w:val="a5"/>
    <w:qFormat/>
    <w:rsid w:val="00282123"/>
    <w:rPr>
      <w:rFonts w:ascii="Times New Roman" w:eastAsia="宋体" w:hAnsi="Times New Roman" w:cs="Times New Roman"/>
      <w:sz w:val="28"/>
      <w:szCs w:val="20"/>
    </w:rPr>
  </w:style>
  <w:style w:type="character" w:customStyle="1" w:styleId="2Char0">
    <w:name w:val="正文文本缩进 2 Char"/>
    <w:basedOn w:val="a1"/>
    <w:link w:val="20"/>
    <w:qFormat/>
    <w:rsid w:val="00282123"/>
    <w:rPr>
      <w:rFonts w:ascii="Times New Roman" w:eastAsia="宋体" w:hAnsi="Times New Roman" w:cs="Times New Roman"/>
      <w:b/>
      <w:sz w:val="28"/>
      <w:szCs w:val="20"/>
    </w:rPr>
  </w:style>
  <w:style w:type="character" w:customStyle="1" w:styleId="Char1">
    <w:name w:val="正文文本缩进 Char"/>
    <w:basedOn w:val="a1"/>
    <w:link w:val="a6"/>
    <w:qFormat/>
    <w:rsid w:val="00282123"/>
    <w:rPr>
      <w:rFonts w:ascii="Times New Roman" w:eastAsia="宋体" w:hAnsi="Times New Roman" w:cs="Times New Roman"/>
      <w:sz w:val="28"/>
      <w:szCs w:val="20"/>
    </w:rPr>
  </w:style>
  <w:style w:type="character" w:customStyle="1" w:styleId="Char2">
    <w:name w:val="纯文本 Char"/>
    <w:basedOn w:val="a1"/>
    <w:link w:val="a7"/>
    <w:qFormat/>
    <w:rsid w:val="00282123"/>
    <w:rPr>
      <w:rFonts w:ascii="宋体" w:eastAsia="宋体" w:hAnsi="Courier New" w:cs="Times New Roman"/>
      <w:szCs w:val="20"/>
    </w:rPr>
  </w:style>
  <w:style w:type="character" w:customStyle="1" w:styleId="2Char1">
    <w:name w:val="正文文本 2 Char"/>
    <w:basedOn w:val="a1"/>
    <w:link w:val="22"/>
    <w:qFormat/>
    <w:rsid w:val="00282123"/>
    <w:rPr>
      <w:rFonts w:ascii="宋体" w:eastAsia="宋体" w:hAnsi="Times New Roman" w:cs="Times New Roman"/>
      <w:sz w:val="48"/>
      <w:szCs w:val="20"/>
    </w:rPr>
  </w:style>
  <w:style w:type="character" w:customStyle="1" w:styleId="HTMLChar">
    <w:name w:val="HTML 预设格式 Char"/>
    <w:basedOn w:val="a1"/>
    <w:link w:val="HTML"/>
    <w:qFormat/>
    <w:rsid w:val="00282123"/>
    <w:rPr>
      <w:rFonts w:ascii="黑体" w:eastAsia="黑体" w:hAnsi="Courier New" w:cs="Courier"/>
      <w:color w:val="000000"/>
      <w:kern w:val="0"/>
      <w:sz w:val="20"/>
      <w:szCs w:val="20"/>
    </w:rPr>
  </w:style>
  <w:style w:type="paragraph" w:customStyle="1" w:styleId="xl36">
    <w:name w:val="xl36"/>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1">
    <w:name w:val="xl31"/>
    <w:basedOn w:val="a"/>
    <w:qFormat/>
    <w:rsid w:val="00282123"/>
    <w:pPr>
      <w:widowControl/>
      <w:pBdr>
        <w:top w:val="single" w:sz="4" w:space="0" w:color="auto"/>
        <w:lef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7">
    <w:name w:val="xl37"/>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pt">
    <w:name w:val="pt"/>
    <w:basedOn w:val="a"/>
    <w:qFormat/>
    <w:rsid w:val="00282123"/>
    <w:pPr>
      <w:widowControl/>
      <w:spacing w:before="100" w:beforeAutospacing="1" w:after="100" w:afterAutospacing="1" w:line="360" w:lineRule="auto"/>
      <w:jc w:val="left"/>
    </w:pPr>
    <w:rPr>
      <w:rFonts w:ascii="ˎ̥" w:hAnsi="ˎ̥" w:cs="宋体"/>
      <w:kern w:val="0"/>
      <w:sz w:val="18"/>
      <w:szCs w:val="18"/>
    </w:rPr>
  </w:style>
  <w:style w:type="paragraph" w:customStyle="1" w:styleId="xl34">
    <w:name w:val="xl34"/>
    <w:basedOn w:val="a"/>
    <w:qFormat/>
    <w:rsid w:val="00282123"/>
    <w:pPr>
      <w:widowControl/>
      <w:pBdr>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Char7">
    <w:name w:val="Char"/>
    <w:basedOn w:val="a"/>
    <w:qFormat/>
    <w:rsid w:val="00282123"/>
    <w:rPr>
      <w:rFonts w:ascii="Tahoma" w:hAnsi="Tahoma"/>
      <w:sz w:val="24"/>
      <w:szCs w:val="20"/>
    </w:rPr>
  </w:style>
  <w:style w:type="paragraph" w:customStyle="1" w:styleId="xl38">
    <w:name w:val="xl38"/>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2">
    <w:name w:val="xl32"/>
    <w:basedOn w:val="a"/>
    <w:qFormat/>
    <w:rsid w:val="00282123"/>
    <w:pPr>
      <w:widowControl/>
      <w:pBdr>
        <w:top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5">
    <w:name w:val="xl35"/>
    <w:basedOn w:val="a"/>
    <w:qFormat/>
    <w:rsid w:val="00282123"/>
    <w:pPr>
      <w:widowControl/>
      <w:pBdr>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3">
    <w:name w:val="xl33"/>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42">
    <w:name w:val="xl42"/>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FF"/>
      <w:kern w:val="0"/>
      <w:sz w:val="20"/>
      <w:szCs w:val="20"/>
    </w:rPr>
  </w:style>
  <w:style w:type="paragraph" w:customStyle="1" w:styleId="xl44">
    <w:name w:val="xl44"/>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FF"/>
      <w:kern w:val="0"/>
      <w:sz w:val="20"/>
      <w:szCs w:val="20"/>
    </w:rPr>
  </w:style>
  <w:style w:type="paragraph" w:customStyle="1" w:styleId="1Char0">
    <w:name w:val="1 Char"/>
    <w:basedOn w:val="a"/>
    <w:qFormat/>
    <w:rsid w:val="00282123"/>
    <w:rPr>
      <w:rFonts w:ascii="Tahoma" w:hAnsi="Tahoma"/>
      <w:sz w:val="24"/>
      <w:szCs w:val="20"/>
    </w:rPr>
  </w:style>
  <w:style w:type="paragraph" w:customStyle="1" w:styleId="xl40">
    <w:name w:val="xl40"/>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font5">
    <w:name w:val="font5"/>
    <w:basedOn w:val="a"/>
    <w:qFormat/>
    <w:rsid w:val="00282123"/>
    <w:pPr>
      <w:widowControl/>
      <w:spacing w:before="100" w:beforeAutospacing="1" w:after="100" w:afterAutospacing="1"/>
      <w:jc w:val="left"/>
    </w:pPr>
    <w:rPr>
      <w:rFonts w:ascii="宋体" w:hAnsi="宋体" w:hint="eastAsia"/>
      <w:kern w:val="0"/>
      <w:sz w:val="18"/>
      <w:szCs w:val="18"/>
    </w:rPr>
  </w:style>
  <w:style w:type="paragraph" w:customStyle="1" w:styleId="font7">
    <w:name w:val="font7"/>
    <w:basedOn w:val="a"/>
    <w:qFormat/>
    <w:rsid w:val="00282123"/>
    <w:pPr>
      <w:widowControl/>
      <w:spacing w:before="100" w:beforeAutospacing="1" w:after="100" w:afterAutospacing="1"/>
      <w:jc w:val="left"/>
    </w:pPr>
    <w:rPr>
      <w:rFonts w:ascii="Times New Roman" w:hAnsi="Times New Roman"/>
      <w:b/>
      <w:bCs/>
      <w:kern w:val="0"/>
      <w:sz w:val="20"/>
      <w:szCs w:val="20"/>
    </w:rPr>
  </w:style>
  <w:style w:type="paragraph" w:customStyle="1" w:styleId="12">
    <w:name w:val="图1"/>
    <w:basedOn w:val="a"/>
    <w:next w:val="a"/>
    <w:qFormat/>
    <w:rsid w:val="00282123"/>
    <w:pPr>
      <w:tabs>
        <w:tab w:val="left" w:pos="777"/>
      </w:tabs>
      <w:spacing w:beforeLines="50" w:afterLines="100" w:line="360" w:lineRule="auto"/>
      <w:ind w:left="1105" w:hanging="748"/>
      <w:jc w:val="center"/>
    </w:pPr>
    <w:rPr>
      <w:rFonts w:ascii="Times New Roman" w:hAnsi="Times New Roman"/>
      <w:kern w:val="0"/>
      <w:sz w:val="24"/>
      <w:szCs w:val="24"/>
    </w:rPr>
  </w:style>
  <w:style w:type="paragraph" w:customStyle="1" w:styleId="xl43">
    <w:name w:val="xl43"/>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font6">
    <w:name w:val="font6"/>
    <w:basedOn w:val="a"/>
    <w:qFormat/>
    <w:rsid w:val="00282123"/>
    <w:pPr>
      <w:widowControl/>
      <w:spacing w:before="100" w:beforeAutospacing="1" w:after="100" w:afterAutospacing="1"/>
      <w:jc w:val="left"/>
    </w:pPr>
    <w:rPr>
      <w:rFonts w:ascii="宋体" w:hAnsi="宋体" w:hint="eastAsia"/>
      <w:kern w:val="0"/>
      <w:sz w:val="20"/>
      <w:szCs w:val="20"/>
    </w:rPr>
  </w:style>
  <w:style w:type="paragraph" w:customStyle="1" w:styleId="ParaCharCharCharCharCharCharChar">
    <w:name w:val="默认段落字体 Para Char Char Char Char Char Char Char"/>
    <w:basedOn w:val="a"/>
    <w:qFormat/>
    <w:rsid w:val="00282123"/>
    <w:rPr>
      <w:rFonts w:ascii="Tahoma" w:hAnsi="Tahoma"/>
      <w:sz w:val="24"/>
      <w:szCs w:val="20"/>
    </w:rPr>
  </w:style>
  <w:style w:type="paragraph" w:customStyle="1" w:styleId="xl24">
    <w:name w:val="xl24"/>
    <w:basedOn w:val="a"/>
    <w:qFormat/>
    <w:rsid w:val="00282123"/>
    <w:pPr>
      <w:widowControl/>
      <w:pBdr>
        <w:bottom w:val="single" w:sz="4" w:space="0" w:color="auto"/>
        <w:right w:val="single" w:sz="4" w:space="0" w:color="auto"/>
      </w:pBdr>
      <w:spacing w:before="100" w:beforeAutospacing="1" w:after="100" w:afterAutospacing="1"/>
      <w:jc w:val="right"/>
    </w:pPr>
    <w:rPr>
      <w:rFonts w:ascii="宋体" w:hAnsi="宋体"/>
      <w:kern w:val="0"/>
      <w:szCs w:val="21"/>
    </w:rPr>
  </w:style>
  <w:style w:type="paragraph" w:customStyle="1" w:styleId="xl46">
    <w:name w:val="xl46"/>
    <w:basedOn w:val="a"/>
    <w:qFormat/>
    <w:rsid w:val="00282123"/>
    <w:pPr>
      <w:widowControl/>
      <w:pBdr>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8">
    <w:name w:val="xl28"/>
    <w:basedOn w:val="a"/>
    <w:qFormat/>
    <w:rsid w:val="00282123"/>
    <w:pPr>
      <w:widowControl/>
      <w:pBdr>
        <w:bottom w:val="single" w:sz="4" w:space="0" w:color="auto"/>
      </w:pBdr>
      <w:spacing w:before="100" w:beforeAutospacing="1" w:after="100" w:afterAutospacing="1"/>
      <w:jc w:val="center"/>
      <w:textAlignment w:val="top"/>
    </w:pPr>
    <w:rPr>
      <w:rFonts w:ascii="Arial" w:eastAsia="Arial Unicode MS" w:hAnsi="Arial" w:cs="Arial"/>
      <w:kern w:val="0"/>
      <w:sz w:val="24"/>
      <w:szCs w:val="24"/>
    </w:rPr>
  </w:style>
  <w:style w:type="paragraph" w:customStyle="1" w:styleId="xl39">
    <w:name w:val="xl39"/>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2">
    <w:name w:val="单位"/>
    <w:basedOn w:val="a"/>
    <w:qFormat/>
    <w:rsid w:val="00282123"/>
    <w:pPr>
      <w:keepNext/>
      <w:spacing w:after="120"/>
      <w:jc w:val="right"/>
    </w:pPr>
    <w:rPr>
      <w:rFonts w:ascii="Times New Roman" w:hAnsi="Times New Roman"/>
      <w:szCs w:val="21"/>
    </w:rPr>
  </w:style>
  <w:style w:type="paragraph" w:customStyle="1" w:styleId="xl41">
    <w:name w:val="xl41"/>
    <w:basedOn w:val="a"/>
    <w:qFormat/>
    <w:rsid w:val="0028212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FF"/>
      <w:kern w:val="0"/>
      <w:sz w:val="20"/>
      <w:szCs w:val="20"/>
    </w:rPr>
  </w:style>
  <w:style w:type="paragraph" w:customStyle="1" w:styleId="Style39">
    <w:name w:val="_Style 39"/>
    <w:basedOn w:val="a"/>
    <w:next w:val="a7"/>
    <w:qFormat/>
    <w:rsid w:val="00282123"/>
    <w:rPr>
      <w:rFonts w:ascii="宋体" w:hAnsi="Courier New"/>
      <w:szCs w:val="20"/>
    </w:rPr>
  </w:style>
  <w:style w:type="paragraph" w:customStyle="1" w:styleId="xl45">
    <w:name w:val="xl45"/>
    <w:basedOn w:val="a"/>
    <w:qFormat/>
    <w:rsid w:val="00282123"/>
    <w:pPr>
      <w:widowControl/>
      <w:pBdr>
        <w:left w:val="single" w:sz="4" w:space="0" w:color="auto"/>
        <w:bottom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Style40">
    <w:name w:val="_Style 40"/>
    <w:basedOn w:val="a"/>
    <w:next w:val="a5"/>
    <w:qFormat/>
    <w:rsid w:val="00282123"/>
    <w:pPr>
      <w:jc w:val="center"/>
    </w:pPr>
    <w:rPr>
      <w:rFonts w:ascii="Times New Roman" w:hAnsi="Times New Roman"/>
      <w:sz w:val="28"/>
      <w:szCs w:val="20"/>
    </w:rPr>
  </w:style>
  <w:style w:type="character" w:customStyle="1" w:styleId="13">
    <w:name w:val="占位符文本1"/>
    <w:basedOn w:val="a1"/>
    <w:uiPriority w:val="99"/>
    <w:semiHidden/>
    <w:qFormat/>
    <w:rsid w:val="00282123"/>
    <w:rPr>
      <w:color w:val="808080"/>
    </w:rPr>
  </w:style>
  <w:style w:type="paragraph" w:customStyle="1" w:styleId="14">
    <w:name w:val="列出段落1"/>
    <w:basedOn w:val="a"/>
    <w:uiPriority w:val="34"/>
    <w:qFormat/>
    <w:rsid w:val="00282123"/>
    <w:pPr>
      <w:ind w:firstLineChars="200" w:firstLine="420"/>
    </w:pPr>
  </w:style>
  <w:style w:type="character" w:customStyle="1" w:styleId="font01">
    <w:name w:val="font01"/>
    <w:basedOn w:val="a1"/>
    <w:qFormat/>
    <w:rsid w:val="00282123"/>
    <w:rPr>
      <w:rFonts w:ascii="宋体" w:eastAsia="宋体" w:hAnsi="宋体" w:cs="宋体" w:hint="eastAsia"/>
      <w:color w:val="000000"/>
      <w:sz w:val="20"/>
      <w:szCs w:val="20"/>
      <w:u w:val="none"/>
    </w:rPr>
  </w:style>
  <w:style w:type="character" w:customStyle="1" w:styleId="font41">
    <w:name w:val="font41"/>
    <w:basedOn w:val="a1"/>
    <w:qFormat/>
    <w:rsid w:val="00282123"/>
    <w:rPr>
      <w:rFonts w:ascii="Times New Roman" w:hAnsi="Times New Roman" w:cs="Times New Roman" w:hint="default"/>
      <w:color w:val="000000"/>
      <w:sz w:val="20"/>
      <w:szCs w:val="20"/>
      <w:u w:val="none"/>
    </w:rPr>
  </w:style>
  <w:style w:type="character" w:customStyle="1" w:styleId="font21">
    <w:name w:val="font21"/>
    <w:basedOn w:val="a1"/>
    <w:qFormat/>
    <w:rsid w:val="00282123"/>
    <w:rPr>
      <w:rFonts w:ascii="Times New Roman" w:hAnsi="Times New Roman" w:cs="Times New Roman" w:hint="default"/>
      <w:color w:val="000000"/>
      <w:sz w:val="20"/>
      <w:szCs w:val="20"/>
      <w:u w:val="none"/>
    </w:rPr>
  </w:style>
  <w:style w:type="character" w:customStyle="1" w:styleId="font91">
    <w:name w:val="font91"/>
    <w:basedOn w:val="a1"/>
    <w:qFormat/>
    <w:rsid w:val="00282123"/>
    <w:rPr>
      <w:rFonts w:ascii="宋体" w:eastAsia="宋体" w:hAnsi="宋体" w:cs="宋体" w:hint="eastAsia"/>
      <w:color w:val="000000"/>
      <w:sz w:val="20"/>
      <w:szCs w:val="20"/>
      <w:u w:val="none"/>
    </w:rPr>
  </w:style>
  <w:style w:type="character" w:customStyle="1" w:styleId="font101">
    <w:name w:val="font101"/>
    <w:basedOn w:val="a1"/>
    <w:qFormat/>
    <w:rsid w:val="00282123"/>
    <w:rPr>
      <w:rFonts w:ascii="Arial" w:hAnsi="Arial" w:cs="Arial" w:hint="default"/>
      <w:color w:val="000000"/>
      <w:sz w:val="20"/>
      <w:szCs w:val="20"/>
      <w:u w:val="none"/>
    </w:rPr>
  </w:style>
  <w:style w:type="character" w:customStyle="1" w:styleId="font11">
    <w:name w:val="font11"/>
    <w:basedOn w:val="a1"/>
    <w:qFormat/>
    <w:rsid w:val="00282123"/>
    <w:rPr>
      <w:rFonts w:ascii="宋体" w:eastAsia="宋体" w:hAnsi="宋体" w:cs="宋体" w:hint="eastAsia"/>
      <w:color w:val="000000"/>
      <w:sz w:val="20"/>
      <w:szCs w:val="20"/>
      <w:u w:val="none"/>
    </w:rPr>
  </w:style>
  <w:style w:type="character" w:customStyle="1" w:styleId="font51">
    <w:name w:val="font51"/>
    <w:basedOn w:val="a1"/>
    <w:qFormat/>
    <w:rsid w:val="00282123"/>
    <w:rPr>
      <w:rFonts w:ascii="宋体" w:eastAsia="宋体" w:hAnsi="宋体" w:cs="宋体" w:hint="eastAsia"/>
      <w:color w:val="000000"/>
      <w:sz w:val="20"/>
      <w:szCs w:val="20"/>
      <w:u w:val="none"/>
    </w:rPr>
  </w:style>
  <w:style w:type="character" w:customStyle="1" w:styleId="font71">
    <w:name w:val="font71"/>
    <w:basedOn w:val="a1"/>
    <w:qFormat/>
    <w:rsid w:val="00282123"/>
    <w:rPr>
      <w:rFonts w:ascii="宋体" w:eastAsia="宋体" w:hAnsi="宋体" w:cs="宋体" w:hint="eastAsia"/>
      <w:color w:val="000000"/>
      <w:sz w:val="20"/>
      <w:szCs w:val="20"/>
      <w:u w:val="none"/>
    </w:rPr>
  </w:style>
  <w:style w:type="character" w:customStyle="1" w:styleId="font81">
    <w:name w:val="font81"/>
    <w:basedOn w:val="a1"/>
    <w:rsid w:val="00282123"/>
    <w:rPr>
      <w:rFonts w:ascii="宋体" w:eastAsia="宋体" w:hAnsi="宋体" w:cs="宋体" w:hint="eastAsia"/>
      <w:color w:val="000000"/>
      <w:sz w:val="20"/>
      <w:szCs w:val="20"/>
      <w:u w:val="none"/>
    </w:rPr>
  </w:style>
  <w:style w:type="character" w:customStyle="1" w:styleId="font31">
    <w:name w:val="font31"/>
    <w:basedOn w:val="a1"/>
    <w:qFormat/>
    <w:rsid w:val="00282123"/>
    <w:rPr>
      <w:rFonts w:ascii="Arial" w:hAnsi="Arial" w:cs="Arial" w:hint="default"/>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footer5.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E479E-F04E-4E0C-A7E8-9BA64C9EF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1685</Words>
  <Characters>9605</Characters>
  <Application>Microsoft Office Word</Application>
  <DocSecurity>0</DocSecurity>
  <Lines>80</Lines>
  <Paragraphs>22</Paragraphs>
  <ScaleCrop>false</ScaleCrop>
  <Company>china</Company>
  <LinksUpToDate>false</LinksUpToDate>
  <CharactersWithSpaces>11268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win7-test</cp:lastModifiedBy>
  <cp:revision>165</cp:revision>
  <cp:lastPrinted>2021-11-03T06:33:00Z</cp:lastPrinted>
  <dcterms:created xsi:type="dcterms:W3CDTF">2017-09-22T14:12:00Z</dcterms:created>
  <dcterms:modified xsi:type="dcterms:W3CDTF">2022-05-26T07:58:00Z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D34C65D0837B4AD6A0BD7BEEDDD2BF32</vt:lpwstr>
  </property>
</Properties>
</file>