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line="360" w:lineRule="auto"/>
        <w:textAlignment w:val="bottom"/>
        <w:rPr>
          <w:rFonts w:hint="eastAsia"/>
          <w:b/>
          <w:szCs w:val="24"/>
        </w:rPr>
      </w:pPr>
      <w:r>
        <w:rPr>
          <w:rFonts w:hint="eastAsia"/>
          <w:b/>
          <w:szCs w:val="24"/>
        </w:rPr>
        <w:t>本资产评估报告依据中国资产评估准则编制</w:t>
      </w:r>
    </w:p>
    <w:p>
      <w:pPr>
        <w:keepNext w:val="0"/>
        <w:keepLines w:val="0"/>
        <w:pageBreakBefore w:val="0"/>
        <w:widowControl/>
        <w:kinsoku/>
        <w:wordWrap/>
        <w:overflowPunct/>
        <w:topLinePunct w:val="0"/>
        <w:autoSpaceDE w:val="0"/>
        <w:autoSpaceDN w:val="0"/>
        <w:bidi w:val="0"/>
        <w:adjustRightInd/>
        <w:snapToGrid/>
        <w:spacing w:line="360" w:lineRule="auto"/>
        <w:textAlignment w:val="bottom"/>
        <w:rPr>
          <w:rFonts w:hint="eastAsia"/>
          <w:b/>
          <w:szCs w:val="24"/>
        </w:rPr>
      </w:pPr>
    </w:p>
    <w:p>
      <w:pPr>
        <w:keepNext w:val="0"/>
        <w:keepLines w:val="0"/>
        <w:pageBreakBefore w:val="0"/>
        <w:widowControl/>
        <w:kinsoku/>
        <w:wordWrap/>
        <w:overflowPunct/>
        <w:topLinePunct w:val="0"/>
        <w:autoSpaceDE w:val="0"/>
        <w:autoSpaceDN w:val="0"/>
        <w:bidi w:val="0"/>
        <w:adjustRightInd/>
        <w:snapToGrid/>
        <w:spacing w:line="360" w:lineRule="auto"/>
        <w:ind w:firstLine="1440" w:firstLineChars="600"/>
        <w:textAlignment w:val="bottom"/>
        <w:rPr>
          <w:b/>
          <w:szCs w:val="24"/>
        </w:rPr>
      </w:pPr>
      <w:bookmarkStart w:id="48" w:name="_GoBack"/>
      <w:bookmarkEnd w:id="48"/>
      <w:r>
        <w:pict>
          <v:shape id="Text Box 11" o:spid="_x0000_s1029" o:spt="202" type="#_x0000_t202" style="position:absolute;left:0pt;margin-left:44.15pt;margin-top:16.85pt;height:149.75pt;width:378.5pt;z-index:251660288;mso-width-relative:page;mso-height-relative:page;" filled="f" stroked="t" coordsize="21600,21600">
            <v:path/>
            <v:fill on="f" focussize="0,0"/>
            <v:stroke weight="1.5pt" color="#FFFFFF" joinstyle="miter"/>
            <v:imagedata o:title=""/>
            <o:lock v:ext="edit" aspectratio="t"/>
            <v:textbox inset="2.54mm,2.3mm,2.54mm,1.27mm">
              <w:txbxContent>
                <w:p>
                  <w:pPr>
                    <w:pStyle w:val="28"/>
                    <w:spacing w:before="0" w:beforeAutospacing="0" w:after="0" w:afterAutospacing="0"/>
                    <w:jc w:val="center"/>
                    <w:rPr>
                      <w:rFonts w:hint="eastAsia" w:cs="Times New Roman"/>
                      <w:b/>
                      <w:bCs/>
                      <w:sz w:val="32"/>
                      <w:szCs w:val="32"/>
                    </w:rPr>
                  </w:pPr>
                  <w:bookmarkStart w:id="46" w:name="OLE_LINK2"/>
                  <w:bookmarkStart w:id="47" w:name="OLE_LINK1"/>
                  <w:r>
                    <w:rPr>
                      <w:rFonts w:hint="eastAsia" w:cs="Times New Roman"/>
                      <w:b/>
                      <w:bCs/>
                      <w:sz w:val="32"/>
                      <w:szCs w:val="32"/>
                    </w:rPr>
                    <w:t>定西市安定区人民法院拟执行财产处置涉及的</w:t>
                  </w:r>
                </w:p>
                <w:p>
                  <w:pPr>
                    <w:pStyle w:val="28"/>
                    <w:spacing w:before="0" w:beforeAutospacing="0" w:after="0" w:afterAutospacing="0"/>
                    <w:jc w:val="center"/>
                    <w:rPr>
                      <w:rFonts w:hint="default" w:cs="Times New Roman"/>
                      <w:b/>
                      <w:bCs/>
                      <w:sz w:val="32"/>
                      <w:szCs w:val="32"/>
                    </w:rPr>
                  </w:pPr>
                  <w:r>
                    <w:rPr>
                      <w:rFonts w:hint="eastAsia" w:cs="Times New Roman"/>
                      <w:b/>
                      <w:bCs/>
                      <w:sz w:val="32"/>
                      <w:szCs w:val="32"/>
                    </w:rPr>
                    <w:t>甘肃省玉成面业有限公司部分资产价值评估项目</w:t>
                  </w:r>
                  <w:bookmarkEnd w:id="46"/>
                  <w:bookmarkEnd w:id="47"/>
                </w:p>
                <w:p>
                  <w:pPr>
                    <w:pStyle w:val="28"/>
                    <w:spacing w:before="0" w:beforeAutospacing="0" w:after="0" w:afterAutospacing="0"/>
                    <w:jc w:val="center"/>
                    <w:rPr>
                      <w:rFonts w:hint="default"/>
                    </w:rPr>
                  </w:pPr>
                  <w:r>
                    <w:rPr>
                      <w:rFonts w:cs="Times New Roman"/>
                      <w:b/>
                      <w:bCs/>
                      <w:color w:val="000000"/>
                      <w:sz w:val="44"/>
                      <w:szCs w:val="44"/>
                    </w:rPr>
                    <w:t>资产评估报告</w:t>
                  </w:r>
                </w:p>
                <w:p>
                  <w:pPr>
                    <w:pStyle w:val="28"/>
                    <w:spacing w:before="0" w:beforeAutospacing="0" w:after="0" w:afterAutospacing="0" w:line="280" w:lineRule="exact"/>
                    <w:jc w:val="center"/>
                    <w:rPr>
                      <w:rFonts w:hint="default" w:ascii="Times New Roman" w:hAnsi="Times New Roman" w:cs="Times New Roman"/>
                      <w:highlight w:val="none"/>
                    </w:rPr>
                  </w:pPr>
                  <w:r>
                    <w:rPr>
                      <w:rFonts w:hint="default" w:ascii="Times New Roman" w:hAnsi="Times New Roman" w:cs="Times New Roman"/>
                      <w:color w:val="000000"/>
                      <w:highlight w:val="none"/>
                    </w:rPr>
                    <w:t>甘天兴评报字（202</w:t>
                  </w:r>
                  <w:r>
                    <w:rPr>
                      <w:rFonts w:hint="default" w:ascii="Times New Roman" w:hAnsi="Times New Roman" w:cs="Times New Roman"/>
                      <w:color w:val="000000"/>
                      <w:highlight w:val="none"/>
                      <w:lang w:val="en-US" w:eastAsia="zh-CN"/>
                    </w:rPr>
                    <w:t>2</w:t>
                  </w:r>
                  <w:r>
                    <w:rPr>
                      <w:rFonts w:hint="default" w:ascii="Times New Roman" w:hAnsi="Times New Roman" w:cs="Times New Roman"/>
                      <w:color w:val="000000"/>
                      <w:highlight w:val="none"/>
                    </w:rPr>
                    <w:t>）第</w:t>
                  </w:r>
                  <w:r>
                    <w:rPr>
                      <w:rFonts w:hint="eastAsia" w:ascii="Times New Roman" w:hAnsi="Times New Roman" w:cs="Times New Roman"/>
                      <w:color w:val="000000"/>
                      <w:highlight w:val="none"/>
                      <w:lang w:val="en-US" w:eastAsia="zh-CN"/>
                    </w:rPr>
                    <w:t>108</w:t>
                  </w:r>
                  <w:r>
                    <w:rPr>
                      <w:rFonts w:hint="default" w:ascii="Times New Roman" w:hAnsi="Times New Roman" w:cs="Times New Roman"/>
                      <w:color w:val="000000"/>
                      <w:highlight w:val="none"/>
                    </w:rPr>
                    <w:t>号</w:t>
                  </w:r>
                </w:p>
                <w:p>
                  <w:pPr>
                    <w:pStyle w:val="28"/>
                    <w:spacing w:before="0" w:beforeAutospacing="0" w:after="0" w:afterAutospacing="0" w:line="280" w:lineRule="exact"/>
                    <w:jc w:val="center"/>
                    <w:rPr>
                      <w:rFonts w:hint="default"/>
                    </w:rPr>
                  </w:pPr>
                  <w:r>
                    <w:rPr>
                      <w:rFonts w:cs="Times New Roman"/>
                      <w:color w:val="000000"/>
                    </w:rPr>
                    <w:t>（共</w:t>
                  </w:r>
                  <w:r>
                    <w:rPr>
                      <w:rFonts w:cs="Times New Roman"/>
                    </w:rPr>
                    <w:t>1</w:t>
                  </w:r>
                  <w:r>
                    <w:rPr>
                      <w:rFonts w:cs="Times New Roman"/>
                      <w:color w:val="000000"/>
                    </w:rPr>
                    <w:t>册，第</w:t>
                  </w:r>
                  <w:r>
                    <w:rPr>
                      <w:rFonts w:cs="Times New Roman"/>
                    </w:rPr>
                    <w:t>1</w:t>
                  </w:r>
                  <w:r>
                    <w:rPr>
                      <w:rFonts w:cs="Times New Roman"/>
                      <w:color w:val="000000"/>
                    </w:rPr>
                    <w:t>册）</w:t>
                  </w:r>
                </w:p>
              </w:txbxContent>
            </v:textbox>
          </v:shape>
        </w:pict>
      </w:r>
      <w:r>
        <w:rPr>
          <w:rFonts w:hint="eastAsia"/>
          <w:b/>
          <w:szCs w:val="24"/>
        </w:rPr>
        <w:t>人民法院委托司法执行财产处置参考价目的资产评估报告</w:t>
      </w:r>
      <w:r>
        <w:rPr>
          <w:b/>
          <w:szCs w:val="24"/>
        </w:rPr>
        <w:pict>
          <v:shape id="_x0000_s1034" o:spid="_x0000_s1034" o:spt="202" type="#_x0000_t202" style="position:absolute;left:0pt;margin-left:-93.6pt;margin-top:-71.25pt;height:840pt;width:597.75pt;z-index:251661312;mso-width-relative:page;mso-height-relative:page;" fillcolor="#DAE3F3" filled="f" stroked="t" coordsize="21600,21600">
            <v:path/>
            <v:fill on="f" focussize="0,0"/>
            <v:stroke weight="1pt" color="#FFFFFF" joinstyle="miter"/>
            <v:imagedata o:title=""/>
            <o:lock v:ext="edit"/>
          </v:shape>
        </w:pict>
      </w:r>
    </w:p>
    <w:p>
      <w:pPr>
        <w:widowControl/>
        <w:autoSpaceDE w:val="0"/>
        <w:autoSpaceDN w:val="0"/>
        <w:spacing w:line="600" w:lineRule="atLeast"/>
        <w:textAlignment w:val="bottom"/>
        <w:rPr>
          <w:b/>
          <w:color w:val="FF0000"/>
          <w:sz w:val="30"/>
        </w:rPr>
      </w:pPr>
      <w:r>
        <w:pict>
          <v:shape id="文本框 2" o:spid="_x0000_s1030" o:spt="202" type="#_x0000_t202" style="position:absolute;left:0pt;margin-left:-93.6pt;margin-top:-71.25pt;height:840pt;width:597.75pt;z-index:251659264;mso-width-relative:page;mso-height-relative:page;" fillcolor="#DAE3F3" filled="f" stroked="t" coordsize="21600,21600">
            <v:path/>
            <v:fill on="f" focussize="0,0"/>
            <v:stroke weight="1pt" color="#FFFFFF" joinstyle="miter"/>
            <v:imagedata o:title=""/>
            <o:lock v:ext="edit"/>
          </v:shape>
        </w:pict>
      </w: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rPr>
          <w:sz w:val="30"/>
        </w:rPr>
      </w:pPr>
    </w:p>
    <w:p>
      <w:pPr>
        <w:jc w:val="center"/>
        <w:rPr>
          <w:sz w:val="30"/>
        </w:rPr>
      </w:pPr>
    </w:p>
    <w:p>
      <w:pPr>
        <w:jc w:val="center"/>
        <w:rPr>
          <w:sz w:val="30"/>
        </w:rPr>
      </w:pPr>
    </w:p>
    <w:p>
      <w:pPr>
        <w:jc w:val="center"/>
        <w:rPr>
          <w:sz w:val="30"/>
        </w:rPr>
      </w:pPr>
    </w:p>
    <w:p>
      <w:pPr>
        <w:jc w:val="center"/>
        <w:rPr>
          <w:sz w:val="30"/>
        </w:rPr>
      </w:pPr>
    </w:p>
    <w:p>
      <w:pPr>
        <w:jc w:val="center"/>
        <w:rPr>
          <w:sz w:val="30"/>
        </w:rPr>
      </w:pPr>
    </w:p>
    <w:p>
      <w:pPr>
        <w:jc w:val="center"/>
        <w:rPr>
          <w:sz w:val="30"/>
        </w:rPr>
      </w:pPr>
    </w:p>
    <w:p>
      <w:pPr>
        <w:jc w:val="center"/>
        <w:rPr>
          <w:sz w:val="30"/>
        </w:rPr>
      </w:pPr>
    </w:p>
    <w:p>
      <w:pPr>
        <w:jc w:val="center"/>
        <w:rPr>
          <w:b/>
          <w:sz w:val="30"/>
        </w:rPr>
      </w:pPr>
    </w:p>
    <w:p>
      <w:pPr>
        <w:jc w:val="center"/>
        <w:rPr>
          <w:sz w:val="30"/>
        </w:rPr>
      </w:pPr>
    </w:p>
    <w:p>
      <w:pPr>
        <w:jc w:val="center"/>
        <w:rPr>
          <w:sz w:val="30"/>
        </w:rPr>
      </w:pPr>
    </w:p>
    <w:p>
      <w:pPr>
        <w:jc w:val="center"/>
        <w:rPr>
          <w:sz w:val="30"/>
        </w:rPr>
      </w:pPr>
    </w:p>
    <w:p>
      <w:pPr>
        <w:jc w:val="center"/>
        <w:rPr>
          <w:sz w:val="30"/>
        </w:rPr>
      </w:pPr>
    </w:p>
    <w:p>
      <w:pPr>
        <w:jc w:val="center"/>
        <w:rPr>
          <w:sz w:val="30"/>
        </w:rPr>
      </w:pPr>
    </w:p>
    <w:p>
      <w:pPr>
        <w:jc w:val="center"/>
        <w:rPr>
          <w:sz w:val="30"/>
        </w:rPr>
      </w:pPr>
    </w:p>
    <w:p>
      <w:pPr>
        <w:jc w:val="center"/>
        <w:rPr>
          <w:sz w:val="30"/>
        </w:rPr>
      </w:pPr>
    </w:p>
    <w:p>
      <w:pPr>
        <w:rPr>
          <w:sz w:val="30"/>
        </w:rPr>
      </w:pPr>
    </w:p>
    <w:p>
      <w:pPr>
        <w:tabs>
          <w:tab w:val="left" w:pos="0"/>
        </w:tabs>
        <w:spacing w:line="360" w:lineRule="auto"/>
        <w:ind w:firstLine="2409" w:firstLineChars="800"/>
        <w:rPr>
          <w:rFonts w:eastAsiaTheme="minorEastAsia"/>
          <w:b/>
          <w:sz w:val="30"/>
          <w:szCs w:val="30"/>
        </w:rPr>
      </w:pPr>
      <w:r>
        <w:rPr>
          <w:rFonts w:hAnsiTheme="minorEastAsia" w:eastAsiaTheme="minorEastAsia"/>
          <w:b/>
          <w:sz w:val="30"/>
          <w:szCs w:val="30"/>
        </w:rPr>
        <w:t>甘肃天健兴业资产评估有限公司</w:t>
      </w:r>
    </w:p>
    <w:p>
      <w:pPr>
        <w:spacing w:line="360" w:lineRule="auto"/>
        <w:ind w:firstLine="562" w:firstLineChars="200"/>
        <w:rPr>
          <w:rFonts w:eastAsiaTheme="minorEastAsia"/>
          <w:b/>
          <w:sz w:val="30"/>
          <w:szCs w:val="30"/>
        </w:rPr>
      </w:pPr>
      <w:r>
        <w:rPr>
          <w:rFonts w:eastAsiaTheme="minorEastAsia"/>
          <w:b/>
          <w:sz w:val="28"/>
          <w:szCs w:val="28"/>
        </w:rPr>
        <w:t xml:space="preserve">                   </w:t>
      </w:r>
      <w:r>
        <w:rPr>
          <w:rFonts w:eastAsiaTheme="minorEastAsia"/>
          <w:b/>
          <w:sz w:val="30"/>
          <w:szCs w:val="30"/>
        </w:rPr>
        <w:t xml:space="preserve"> 20</w:t>
      </w:r>
      <w:r>
        <w:rPr>
          <w:rFonts w:hint="eastAsia" w:eastAsiaTheme="minorEastAsia"/>
          <w:b/>
          <w:sz w:val="30"/>
          <w:szCs w:val="30"/>
        </w:rPr>
        <w:t>2</w:t>
      </w:r>
      <w:r>
        <w:rPr>
          <w:rFonts w:hint="eastAsia" w:eastAsiaTheme="minorEastAsia"/>
          <w:b/>
          <w:sz w:val="30"/>
          <w:szCs w:val="30"/>
          <w:lang w:val="en-US" w:eastAsia="zh-CN"/>
        </w:rPr>
        <w:t>2</w:t>
      </w:r>
      <w:r>
        <w:rPr>
          <w:rFonts w:hAnsiTheme="minorEastAsia" w:eastAsiaTheme="minorEastAsia"/>
          <w:b/>
          <w:sz w:val="30"/>
          <w:szCs w:val="30"/>
        </w:rPr>
        <w:t>年</w:t>
      </w:r>
      <w:r>
        <w:rPr>
          <w:rFonts w:hint="eastAsia" w:hAnsiTheme="minorEastAsia" w:eastAsiaTheme="minorEastAsia"/>
          <w:b/>
          <w:sz w:val="30"/>
          <w:szCs w:val="30"/>
          <w:lang w:val="en-US" w:eastAsia="zh-CN"/>
        </w:rPr>
        <w:t>6</w:t>
      </w:r>
      <w:r>
        <w:rPr>
          <w:rFonts w:hAnsiTheme="minorEastAsia" w:eastAsiaTheme="minorEastAsia"/>
          <w:b/>
          <w:sz w:val="30"/>
          <w:szCs w:val="30"/>
        </w:rPr>
        <w:t>月</w:t>
      </w:r>
      <w:r>
        <w:rPr>
          <w:rFonts w:hint="eastAsia" w:hAnsiTheme="minorEastAsia" w:eastAsiaTheme="minorEastAsia"/>
          <w:b/>
          <w:sz w:val="30"/>
          <w:szCs w:val="30"/>
          <w:lang w:val="en-US" w:eastAsia="zh-CN"/>
        </w:rPr>
        <w:t>10</w:t>
      </w:r>
      <w:r>
        <w:rPr>
          <w:rFonts w:hAnsiTheme="minorEastAsia" w:eastAsiaTheme="minorEastAsia"/>
          <w:b/>
          <w:sz w:val="30"/>
          <w:szCs w:val="30"/>
        </w:rPr>
        <w:t>日</w:t>
      </w:r>
    </w:p>
    <w:p>
      <w:pPr>
        <w:jc w:val="center"/>
        <w:rPr>
          <w:sz w:val="30"/>
        </w:rPr>
      </w:pPr>
    </w:p>
    <w:p>
      <w:pPr>
        <w:rPr>
          <w:sz w:val="30"/>
        </w:rPr>
      </w:pPr>
    </w:p>
    <w:p>
      <w:pPr>
        <w:rPr>
          <w:sz w:val="30"/>
        </w:rPr>
        <w:sectPr>
          <w:headerReference r:id="rId3" w:type="default"/>
          <w:footerReference r:id="rId4" w:type="even"/>
          <w:pgSz w:w="11906" w:h="16838"/>
          <w:pgMar w:top="1440" w:right="1797" w:bottom="1440" w:left="1797" w:header="851" w:footer="851" w:gutter="0"/>
          <w:cols w:space="425" w:num="1"/>
        </w:sectPr>
      </w:pPr>
    </w:p>
    <w:p>
      <w:pPr>
        <w:spacing w:before="480" w:after="480"/>
        <w:jc w:val="center"/>
        <w:rPr>
          <w:b/>
          <w:sz w:val="36"/>
          <w:szCs w:val="36"/>
        </w:rPr>
      </w:pPr>
      <w:r>
        <w:rPr>
          <w:b/>
          <w:sz w:val="36"/>
          <w:szCs w:val="36"/>
        </w:rPr>
        <w:t>目    录</w:t>
      </w:r>
    </w:p>
    <w:p>
      <w:pPr>
        <w:pStyle w:val="26"/>
        <w:keepNext w:val="0"/>
        <w:keepLines w:val="0"/>
        <w:pageBreakBefore w:val="0"/>
        <w:widowControl w:val="0"/>
        <w:tabs>
          <w:tab w:val="right" w:leader="dot" w:pos="8504"/>
        </w:tabs>
        <w:kinsoku/>
        <w:wordWrap/>
        <w:overflowPunct/>
        <w:topLinePunct w:val="0"/>
        <w:autoSpaceDE/>
        <w:autoSpaceDN/>
        <w:bidi w:val="0"/>
        <w:spacing w:line="360" w:lineRule="auto"/>
        <w:textAlignment w:val="auto"/>
        <w:rPr>
          <w:rFonts w:hint="default" w:ascii="Times New Roman" w:hAnsi="Times New Roman" w:cs="Times New Roman"/>
        </w:rPr>
      </w:pPr>
      <w:r>
        <w:rPr>
          <w:rStyle w:val="33"/>
          <w:rFonts w:hint="default" w:ascii="Times New Roman" w:hAnsi="Times New Roman" w:cs="Times New Roman" w:eastAsiaTheme="minorEastAsia"/>
          <w:b/>
          <w:smallCaps w:val="0"/>
          <w:szCs w:val="24"/>
        </w:rPr>
        <w:fldChar w:fldCharType="begin"/>
      </w:r>
      <w:r>
        <w:rPr>
          <w:rStyle w:val="33"/>
          <w:rFonts w:hint="default" w:ascii="Times New Roman" w:hAnsi="Times New Roman" w:cs="Times New Roman" w:eastAsiaTheme="minorEastAsia"/>
          <w:b/>
          <w:smallCaps w:val="0"/>
          <w:szCs w:val="24"/>
        </w:rPr>
        <w:instrText xml:space="preserve"> TOC \o "1-3" \h \z \u </w:instrText>
      </w:r>
      <w:r>
        <w:rPr>
          <w:rStyle w:val="33"/>
          <w:rFonts w:hint="default" w:ascii="Times New Roman" w:hAnsi="Times New Roman" w:cs="Times New Roman" w:eastAsiaTheme="minorEastAsia"/>
          <w:b/>
          <w:smallCaps w:val="0"/>
          <w:szCs w:val="24"/>
        </w:rPr>
        <w:fldChar w:fldCharType="separate"/>
      </w:r>
      <w:r>
        <w:rPr>
          <w:rFonts w:hint="default" w:ascii="Times New Roman" w:hAnsi="Times New Roman" w:cs="Times New Roman" w:eastAsiaTheme="minorEastAsia"/>
          <w:smallCaps w:val="0"/>
          <w:szCs w:val="24"/>
        </w:rPr>
        <w:fldChar w:fldCharType="begin"/>
      </w:r>
      <w:r>
        <w:rPr>
          <w:rFonts w:hint="default" w:ascii="Times New Roman" w:hAnsi="Times New Roman" w:cs="Times New Roman" w:eastAsiaTheme="minorEastAsia"/>
          <w:smallCaps w:val="0"/>
          <w:szCs w:val="24"/>
        </w:rPr>
        <w:instrText xml:space="preserve"> HYPERLINK \l _Toc13984 </w:instrText>
      </w:r>
      <w:r>
        <w:rPr>
          <w:rFonts w:hint="default" w:ascii="Times New Roman" w:hAnsi="Times New Roman" w:cs="Times New Roman" w:eastAsiaTheme="minorEastAsia"/>
          <w:smallCaps w:val="0"/>
          <w:szCs w:val="24"/>
        </w:rPr>
        <w:fldChar w:fldCharType="separate"/>
      </w:r>
      <w:r>
        <w:rPr>
          <w:rFonts w:hint="default" w:ascii="Times New Roman" w:hAnsi="Times New Roman" w:eastAsia="宋体" w:cs="Times New Roman"/>
        </w:rPr>
        <w:t>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_Toc13984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mallCaps w:val="0"/>
          <w:szCs w:val="24"/>
        </w:rPr>
        <w:fldChar w:fldCharType="end"/>
      </w:r>
    </w:p>
    <w:p>
      <w:pPr>
        <w:pStyle w:val="26"/>
        <w:keepNext w:val="0"/>
        <w:keepLines w:val="0"/>
        <w:pageBreakBefore w:val="0"/>
        <w:widowControl w:val="0"/>
        <w:tabs>
          <w:tab w:val="right" w:leader="dot" w:pos="850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_Toc32499 </w:instrText>
      </w:r>
      <w:r>
        <w:rPr>
          <w:rFonts w:hint="default" w:ascii="Times New Roman" w:hAnsi="Times New Roman" w:cs="Times New Roman" w:eastAsiaTheme="minorEastAsia"/>
          <w:smallCaps/>
          <w:szCs w:val="24"/>
        </w:rPr>
        <w:fldChar w:fldCharType="separate"/>
      </w:r>
      <w:r>
        <w:rPr>
          <w:rFonts w:hint="default" w:ascii="Times New Roman" w:hAnsi="Times New Roman" w:eastAsia="宋体" w:cs="Times New Roman"/>
        </w:rPr>
        <w:t>资产评估报告摘要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_Toc32499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26"/>
        <w:keepNext w:val="0"/>
        <w:keepLines w:val="0"/>
        <w:pageBreakBefore w:val="0"/>
        <w:widowControl w:val="0"/>
        <w:tabs>
          <w:tab w:val="right" w:leader="dot" w:pos="850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_Toc18407 </w:instrText>
      </w:r>
      <w:r>
        <w:rPr>
          <w:rFonts w:hint="default" w:ascii="Times New Roman" w:hAnsi="Times New Roman" w:cs="Times New Roman" w:eastAsiaTheme="minorEastAsia"/>
          <w:smallCaps/>
          <w:szCs w:val="24"/>
        </w:rPr>
        <w:fldChar w:fldCharType="separate"/>
      </w:r>
      <w:r>
        <w:rPr>
          <w:rFonts w:hint="default" w:ascii="Times New Roman" w:hAnsi="Times New Roman" w:eastAsia="宋体" w:cs="Times New Roman"/>
        </w:rPr>
        <w:t>资产评估报告正文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_Toc18407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_Toc30897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一、委托人、产权持有人和评估委托合同约定的其他评估报告使用者概况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_Toc30897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_Toc12047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二、评估目的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_Toc12047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_Toc11958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三、评估对象和评估范围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_Toc11958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_Toc4270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四、价值类型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_Toc4270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_Toc11370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五、评估基准日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_Toc11370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_Toc9976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六、评估依据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_Toc9976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_Toc22010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七、评估方法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_Toc22010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_Toc5409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八、评估程序实施过程和情况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_Toc5409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_Toc15003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九、评估假设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_Toc15003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_Toc2831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十、评估结论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_Toc2831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_Toc23031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十一、特别事项说明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_Toc23031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_Toc25509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十二、资产评估报告使用限制说明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_Toc25509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_Toc32222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十三、资产评估报告日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_Toc32222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13"/>
        <w:keepNext w:val="0"/>
        <w:keepLines w:val="0"/>
        <w:pageBreakBefore w:val="0"/>
        <w:widowControl w:val="0"/>
        <w:tabs>
          <w:tab w:val="right" w:leader="dot" w:pos="8504"/>
          <w:tab w:val="clear" w:pos="849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_Toc31253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28"/>
        </w:rPr>
        <w:t>十四、</w:t>
      </w:r>
      <w:r>
        <w:rPr>
          <w:rFonts w:hint="default" w:ascii="Times New Roman" w:hAnsi="Times New Roman" w:cs="Times New Roman"/>
        </w:rPr>
        <w:t>资产评估专业人员签名和资产评估机构盖章</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_Toc31253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pStyle w:val="26"/>
        <w:keepNext w:val="0"/>
        <w:keepLines w:val="0"/>
        <w:pageBreakBefore w:val="0"/>
        <w:widowControl w:val="0"/>
        <w:tabs>
          <w:tab w:val="right" w:leader="dot" w:pos="8504"/>
        </w:tabs>
        <w:kinsoku/>
        <w:wordWrap/>
        <w:overflowPunct/>
        <w:topLinePunct w:val="0"/>
        <w:autoSpaceDE/>
        <w:autoSpaceDN/>
        <w:bidi w:val="0"/>
        <w:spacing w:line="360" w:lineRule="auto"/>
        <w:textAlignment w:val="auto"/>
        <w:rPr>
          <w:rFonts w:hint="default" w:ascii="Times New Roman" w:hAnsi="Times New Roman" w:cs="Times New Roman"/>
        </w:rPr>
      </w:pPr>
      <w:r>
        <w:rPr>
          <w:rFonts w:hint="default" w:ascii="Times New Roman" w:hAnsi="Times New Roman" w:cs="Times New Roman" w:eastAsiaTheme="minorEastAsia"/>
          <w:smallCaps/>
          <w:szCs w:val="24"/>
        </w:rPr>
        <w:fldChar w:fldCharType="begin"/>
      </w:r>
      <w:r>
        <w:rPr>
          <w:rFonts w:hint="default" w:ascii="Times New Roman" w:hAnsi="Times New Roman" w:cs="Times New Roman" w:eastAsiaTheme="minorEastAsia"/>
          <w:smallCaps/>
          <w:szCs w:val="24"/>
        </w:rPr>
        <w:instrText xml:space="preserve"> HYPERLINK \l _Toc4794 </w:instrText>
      </w:r>
      <w:r>
        <w:rPr>
          <w:rFonts w:hint="default" w:ascii="Times New Roman" w:hAnsi="Times New Roman" w:cs="Times New Roman" w:eastAsiaTheme="minorEastAsia"/>
          <w:smallCaps/>
          <w:szCs w:val="24"/>
        </w:rPr>
        <w:fldChar w:fldCharType="separate"/>
      </w:r>
      <w:r>
        <w:rPr>
          <w:rFonts w:hint="default" w:ascii="Times New Roman" w:hAnsi="Times New Roman" w:cs="Times New Roman" w:eastAsiaTheme="minorEastAsia"/>
          <w:szCs w:val="36"/>
        </w:rPr>
        <w:t>资产评估报告附件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_Toc4794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eastAsiaTheme="minorEastAsia"/>
          <w:smallCaps/>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eastAsiaTheme="minorEastAsia"/>
          <w:b/>
          <w:smallCaps/>
          <w:szCs w:val="24"/>
        </w:rPr>
      </w:pPr>
      <w:r>
        <w:rPr>
          <w:rFonts w:hint="default" w:ascii="Times New Roman" w:hAnsi="Times New Roman" w:cs="Times New Roman" w:eastAsiaTheme="minorEastAsia"/>
          <w:smallCaps/>
          <w:szCs w:val="24"/>
        </w:rPr>
        <w:fldChar w:fldCharType="end"/>
      </w:r>
    </w:p>
    <w:p>
      <w:pPr>
        <w:adjustRightInd w:val="0"/>
        <w:snapToGrid w:val="0"/>
        <w:spacing w:line="360" w:lineRule="auto"/>
        <w:ind w:firstLine="480" w:firstLineChars="200"/>
      </w:pPr>
    </w:p>
    <w:p>
      <w:pPr>
        <w:tabs>
          <w:tab w:val="left" w:pos="2038"/>
        </w:tabs>
        <w:sectPr>
          <w:headerReference r:id="rId5" w:type="default"/>
          <w:footerReference r:id="rId6" w:type="default"/>
          <w:pgSz w:w="11906" w:h="16838"/>
          <w:pgMar w:top="1588" w:right="1701" w:bottom="1247" w:left="1701" w:header="1134" w:footer="907" w:gutter="0"/>
          <w:pgNumType w:start="1"/>
          <w:cols w:space="720" w:num="1"/>
          <w:docGrid w:linePitch="450" w:charSpace="-4916"/>
        </w:sectPr>
      </w:pPr>
      <w:r>
        <w:tab/>
      </w:r>
    </w:p>
    <w:p>
      <w:pPr>
        <w:pStyle w:val="4"/>
        <w:snapToGrid w:val="0"/>
        <w:spacing w:before="60" w:after="60" w:line="360" w:lineRule="auto"/>
        <w:ind w:firstLine="0"/>
        <w:jc w:val="center"/>
        <w:textAlignment w:val="auto"/>
        <w:rPr>
          <w:rFonts w:ascii="Times New Roman" w:hAnsi="Times New Roman" w:eastAsia="宋体"/>
          <w:b w:val="0"/>
          <w:color w:val="000000"/>
          <w:sz w:val="30"/>
          <w:szCs w:val="30"/>
        </w:rPr>
      </w:pPr>
      <w:bookmarkStart w:id="0" w:name="_Toc13984"/>
      <w:r>
        <w:rPr>
          <w:rStyle w:val="49"/>
          <w:rFonts w:hint="eastAsia" w:ascii="Times New Roman" w:hAnsi="Times New Roman" w:eastAsia="宋体"/>
          <w:b/>
        </w:rPr>
        <w:t>声明</w:t>
      </w:r>
      <w:bookmarkEnd w:id="0"/>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asciiTheme="minorEastAsia" w:hAnsiTheme="minorEastAsia" w:eastAsiaTheme="minorEastAsia"/>
          <w:szCs w:val="24"/>
        </w:rPr>
      </w:pPr>
      <w:r>
        <w:rPr>
          <w:rFonts w:hint="eastAsia" w:asciiTheme="minorEastAsia" w:hAnsiTheme="minorEastAsia" w:eastAsiaTheme="minorEastAsia"/>
          <w:szCs w:val="24"/>
        </w:rPr>
        <w:t>一、本资产评估报告依据财政部发布的资产评估基本准则和中国资产评估协会发布的资产评估执业准则和职业道德准则编制。</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asciiTheme="minorEastAsia" w:hAnsiTheme="minorEastAsia" w:eastAsiaTheme="minorEastAsia"/>
          <w:szCs w:val="24"/>
        </w:rPr>
      </w:pPr>
      <w:r>
        <w:rPr>
          <w:rFonts w:hint="eastAsia" w:asciiTheme="minorEastAsia" w:hAnsiTheme="minorEastAsia" w:eastAsiaTheme="minorEastAsia"/>
          <w:szCs w:val="24"/>
        </w:rPr>
        <w:t>二、委托人或者其他资产评估报告使用人应当按照法律、行政法规规定及本资产评估报告载明的使用范围使用资产评估报告；委托人或者其他资产评估报告使用人违反前述规定使用资产评估报告的，本资产评估机构及资产评估师不承担责任。本资产评估报告仅供委托人、资产评估委托合同中约定的其他资产评估报告使用人和法律、行政法规规定的资产评估报告使用人使用；除此之外，其他任何机构和个人不能成为资产评估报告的使用人。本资产评估机构及资产评估师提示资产评估报告使用人应当正确理解评估结论，评估结论不等同于评估对象可实现价格，评估结论不应当被认为是对评估对象可实现价格的保证。</w:t>
      </w:r>
      <w:r>
        <w:rPr>
          <w:rFonts w:asciiTheme="minorEastAsia" w:hAnsiTheme="minorEastAsia" w:eastAsiaTheme="minorEastAsia"/>
          <w:szCs w:val="24"/>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asciiTheme="minorEastAsia" w:hAnsiTheme="minorEastAsia" w:eastAsiaTheme="minorEastAsia"/>
          <w:szCs w:val="24"/>
        </w:rPr>
      </w:pPr>
      <w:r>
        <w:rPr>
          <w:rFonts w:hint="eastAsia" w:asciiTheme="minorEastAsia" w:hAnsiTheme="minorEastAsia" w:eastAsiaTheme="minorEastAsia"/>
          <w:szCs w:val="24"/>
        </w:rPr>
        <w:t>三、本资产评估机构及资产评估师遵守法律、行政法规和资产评估准则，坚持独立、客观和公正的原则，并对所出具的资产评估报告依法承担责任。</w:t>
      </w:r>
      <w:r>
        <w:rPr>
          <w:rFonts w:asciiTheme="minorEastAsia" w:hAnsiTheme="minorEastAsia" w:eastAsiaTheme="minorEastAsia"/>
          <w:szCs w:val="24"/>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asciiTheme="minorEastAsia" w:hAnsiTheme="minorEastAsia" w:eastAsiaTheme="minorEastAsia"/>
          <w:szCs w:val="24"/>
        </w:rPr>
      </w:pPr>
      <w:r>
        <w:rPr>
          <w:rFonts w:hint="eastAsia" w:asciiTheme="minorEastAsia" w:hAnsiTheme="minorEastAsia" w:eastAsiaTheme="minorEastAsia"/>
          <w:szCs w:val="24"/>
        </w:rPr>
        <w:t>四、评估对象涉及的资产清单由委托人、产权持有人申报并经其采用签名、盖章或法律允许的其他方式确认；委托人和其他相关当事人依法对其提供资料的真实性、完整性、合法性负责。</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asciiTheme="minorEastAsia" w:hAnsiTheme="minorEastAsia" w:eastAsiaTheme="minorEastAsia"/>
          <w:szCs w:val="24"/>
        </w:rPr>
      </w:pPr>
      <w:r>
        <w:rPr>
          <w:rFonts w:hint="eastAsia" w:asciiTheme="minorEastAsia" w:hAnsiTheme="minorEastAsia" w:eastAsiaTheme="minorEastAsia"/>
          <w:szCs w:val="24"/>
        </w:rPr>
        <w:t>五、本资产评估机构及资产评估师与资产评估报告中的评估对象没有现存或者预期的利益关系；与相关当事人没有现存或者预期的利益关系，对相关当事人不存在偏见。</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asciiTheme="minorEastAsia" w:hAnsiTheme="minorEastAsia" w:eastAsiaTheme="minorEastAsia"/>
          <w:szCs w:val="24"/>
        </w:rPr>
      </w:pPr>
      <w:r>
        <w:rPr>
          <w:rFonts w:hint="eastAsia" w:asciiTheme="minorEastAsia" w:hAnsiTheme="minorEastAsia" w:eastAsiaTheme="minor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hint="eastAsia" w:asciiTheme="minorEastAsia" w:hAnsiTheme="minorEastAsia" w:eastAsiaTheme="minorEastAsia"/>
          <w:szCs w:val="24"/>
        </w:rPr>
      </w:pPr>
      <w:r>
        <w:rPr>
          <w:rFonts w:hint="eastAsia" w:asciiTheme="minorEastAsia" w:hAnsiTheme="minorEastAsia" w:eastAsiaTheme="minorEastAsia"/>
          <w:szCs w:val="24"/>
        </w:rPr>
        <w:t>七、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pStyle w:val="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baseline"/>
        <w:rPr>
          <w:rFonts w:hint="eastAsia" w:asciiTheme="minorEastAsia" w:hAnsiTheme="minorEastAsia" w:eastAsiaTheme="minorEastAsia"/>
          <w:szCs w:val="24"/>
          <w:lang w:eastAsia="zh-CN"/>
        </w:rPr>
      </w:pPr>
      <w:r>
        <w:rPr>
          <w:rFonts w:hint="eastAsia" w:asciiTheme="minorEastAsia" w:hAnsiTheme="minorEastAsia" w:eastAsiaTheme="minorEastAsia"/>
          <w:szCs w:val="24"/>
          <w:lang w:val="en-US" w:eastAsia="zh-CN"/>
        </w:rPr>
        <w:t>八、</w:t>
      </w:r>
      <w:r>
        <w:rPr>
          <w:rFonts w:hint="eastAsia" w:asciiTheme="minorEastAsia" w:hAnsiTheme="minorEastAsia" w:eastAsiaTheme="minorEastAsia"/>
          <w:szCs w:val="24"/>
        </w:rPr>
        <w:t>本资产评估报告是根据人民法院及相关当事人提供的资料和信息出具，资料和信息的真实性、完整性、合法性对评估结论构成影响，依据同一标的资产的其他资料或者信息可能得出与本报告不一致的评估结论</w:t>
      </w:r>
      <w:r>
        <w:rPr>
          <w:rFonts w:hint="eastAsia" w:asciiTheme="minorEastAsia" w:hAnsiTheme="minorEastAsia" w:eastAsiaTheme="minorEastAsia"/>
          <w:szCs w:val="24"/>
          <w:lang w:eastAsia="zh-CN"/>
        </w:rPr>
        <w:t>。</w:t>
      </w:r>
    </w:p>
    <w:p>
      <w:pPr>
        <w:pStyle w:val="2"/>
        <w:snapToGrid w:val="0"/>
        <w:spacing w:line="360" w:lineRule="auto"/>
        <w:ind w:firstLine="480" w:firstLineChars="200"/>
        <w:rPr>
          <w:rFonts w:hint="eastAsia" w:asciiTheme="minorEastAsia" w:hAnsiTheme="minorEastAsia" w:eastAsiaTheme="minorEastAsia"/>
          <w:szCs w:val="24"/>
        </w:rPr>
      </w:pPr>
    </w:p>
    <w:p>
      <w:pPr>
        <w:widowControl/>
        <w:jc w:val="center"/>
        <w:rPr>
          <w:rFonts w:hint="eastAsia" w:cs="Times New Roman" w:asciiTheme="minorEastAsia" w:hAnsiTheme="minorEastAsia" w:eastAsiaTheme="minorEastAsia"/>
          <w:b/>
          <w:kern w:val="0"/>
          <w:sz w:val="30"/>
          <w:szCs w:val="30"/>
        </w:rPr>
      </w:pPr>
      <w:r>
        <w:rPr>
          <w:rFonts w:hint="eastAsia" w:cs="Times New Roman" w:asciiTheme="minorEastAsia" w:hAnsiTheme="minorEastAsia" w:eastAsiaTheme="minorEastAsia"/>
          <w:b/>
          <w:kern w:val="0"/>
          <w:sz w:val="30"/>
          <w:szCs w:val="30"/>
        </w:rPr>
        <w:t>定西市安定区人民法院拟执行财产处置涉及的</w:t>
      </w:r>
    </w:p>
    <w:p>
      <w:pPr>
        <w:widowControl/>
        <w:jc w:val="center"/>
        <w:rPr>
          <w:rFonts w:hint="eastAsia" w:cs="Times New Roman" w:asciiTheme="minorEastAsia" w:hAnsiTheme="minorEastAsia" w:eastAsiaTheme="minorEastAsia"/>
          <w:b/>
          <w:kern w:val="0"/>
          <w:sz w:val="30"/>
          <w:szCs w:val="30"/>
        </w:rPr>
      </w:pPr>
      <w:r>
        <w:rPr>
          <w:rFonts w:hint="eastAsia" w:cs="Times New Roman" w:asciiTheme="minorEastAsia" w:hAnsiTheme="minorEastAsia" w:eastAsiaTheme="minorEastAsia"/>
          <w:b/>
          <w:kern w:val="0"/>
          <w:sz w:val="30"/>
          <w:szCs w:val="30"/>
        </w:rPr>
        <w:t>甘肃省玉成面业有限公司部分资产价值评估项目</w:t>
      </w:r>
    </w:p>
    <w:p>
      <w:pPr>
        <w:pStyle w:val="4"/>
        <w:snapToGrid w:val="0"/>
        <w:spacing w:before="60" w:after="60" w:line="360" w:lineRule="auto"/>
        <w:ind w:firstLine="0"/>
        <w:jc w:val="center"/>
        <w:textAlignment w:val="auto"/>
        <w:rPr>
          <w:rStyle w:val="49"/>
          <w:rFonts w:ascii="Times New Roman" w:hAnsi="Times New Roman" w:eastAsia="宋体"/>
          <w:b/>
        </w:rPr>
      </w:pPr>
      <w:bookmarkStart w:id="1" w:name="_Toc32499"/>
      <w:r>
        <w:rPr>
          <w:rStyle w:val="49"/>
          <w:rFonts w:hint="eastAsia" w:ascii="Times New Roman" w:hAnsi="Times New Roman" w:eastAsia="宋体"/>
          <w:b/>
        </w:rPr>
        <w:t>资产评估报告摘要</w:t>
      </w:r>
      <w:bookmarkEnd w:id="1"/>
    </w:p>
    <w:p>
      <w:pPr>
        <w:adjustRightInd w:val="0"/>
        <w:snapToGrid w:val="0"/>
        <w:spacing w:before="60" w:after="60" w:line="360" w:lineRule="auto"/>
        <w:jc w:val="center"/>
        <w:rPr>
          <w:rFonts w:hint="default" w:ascii="Times New Roman" w:hAnsi="Times New Roman" w:cs="Times New Roman" w:eastAsiaTheme="minorEastAsia"/>
          <w:b/>
          <w:spacing w:val="20"/>
          <w:szCs w:val="24"/>
        </w:rPr>
      </w:pPr>
      <w:r>
        <w:rPr>
          <w:rFonts w:hint="default" w:ascii="Times New Roman" w:hAnsi="Times New Roman" w:cs="Times New Roman" w:eastAsiaTheme="minorEastAsia"/>
          <w:szCs w:val="24"/>
          <w:highlight w:val="none"/>
        </w:rPr>
        <w:t>甘天兴评报字（202</w:t>
      </w:r>
      <w:r>
        <w:rPr>
          <w:rFonts w:hint="default" w:ascii="Times New Roman" w:hAnsi="Times New Roman" w:cs="Times New Roman" w:eastAsiaTheme="minorEastAsia"/>
          <w:szCs w:val="24"/>
          <w:highlight w:val="none"/>
          <w:lang w:val="en-US" w:eastAsia="zh-CN"/>
        </w:rPr>
        <w:t>2</w:t>
      </w:r>
      <w:r>
        <w:rPr>
          <w:rFonts w:hint="default" w:ascii="Times New Roman" w:hAnsi="Times New Roman" w:cs="Times New Roman" w:eastAsiaTheme="minorEastAsia"/>
          <w:szCs w:val="24"/>
          <w:highlight w:val="none"/>
        </w:rPr>
        <w:t>）第</w:t>
      </w:r>
      <w:r>
        <w:rPr>
          <w:rFonts w:hint="eastAsia" w:cs="Times New Roman" w:eastAsiaTheme="minorEastAsia"/>
          <w:szCs w:val="24"/>
          <w:highlight w:val="none"/>
          <w:lang w:val="en-US" w:eastAsia="zh-CN"/>
        </w:rPr>
        <w:t>108</w:t>
      </w:r>
      <w:r>
        <w:rPr>
          <w:rFonts w:hint="default" w:ascii="Times New Roman" w:hAnsi="Times New Roman" w:cs="Times New Roman" w:eastAsiaTheme="minorEastAsia"/>
          <w:szCs w:val="24"/>
          <w:highlight w:val="none"/>
        </w:rPr>
        <w:t>号</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甘肃天健兴业资产评估有限公司接受定西市安定区人民法院的委托，按照有关法律、行政法规和资产评估准则的规定，坚持独立、客观、公正的原则，采用适宜的评估方法，按照必要的评估程序，对定西市安定区人民法院拟执行财产处置涉及的甘肃省玉成面业有限公司部分</w:t>
      </w:r>
      <w:r>
        <w:rPr>
          <w:rFonts w:hint="default" w:ascii="Times New Roman" w:hAnsi="Times New Roman" w:cs="Times New Roman" w:eastAsiaTheme="minorEastAsia"/>
          <w:szCs w:val="24"/>
          <w:lang w:eastAsia="zh-CN"/>
        </w:rPr>
        <w:t>资产</w:t>
      </w:r>
      <w:r>
        <w:rPr>
          <w:rFonts w:hint="default" w:ascii="Times New Roman" w:hAnsi="Times New Roman" w:cs="Times New Roman" w:eastAsiaTheme="minorEastAsia"/>
          <w:szCs w:val="24"/>
        </w:rPr>
        <w:t>在202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5</w:t>
      </w:r>
      <w:r>
        <w:rPr>
          <w:rFonts w:hint="default" w:ascii="Times New Roman" w:hAnsi="Times New Roman" w:cs="Times New Roman" w:eastAsiaTheme="minorEastAsia"/>
          <w:szCs w:val="24"/>
        </w:rPr>
        <w:t>月31日的市场价值进行了评估。现将资产评估情况报告如下。</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Times New Roman" w:hAnsi="Times New Roman" w:cs="Times New Roman" w:eastAsiaTheme="minorEastAsia"/>
          <w:szCs w:val="24"/>
          <w:lang w:eastAsia="zh-CN"/>
        </w:rPr>
      </w:pPr>
      <w:r>
        <w:rPr>
          <w:rFonts w:hint="default" w:ascii="Times New Roman" w:hAnsi="Times New Roman" w:cs="Times New Roman" w:eastAsiaTheme="minorEastAsia"/>
          <w:szCs w:val="24"/>
        </w:rPr>
        <w:t>一、评估目的：根据</w:t>
      </w:r>
      <w:r>
        <w:rPr>
          <w:rFonts w:hint="default" w:ascii="Times New Roman" w:hAnsi="Times New Roman" w:cs="Times New Roman" w:eastAsiaTheme="minorEastAsia"/>
          <w:szCs w:val="24"/>
          <w:lang w:eastAsia="zh-CN"/>
        </w:rPr>
        <w:t>定西市安定区人民法院</w:t>
      </w:r>
      <w:r>
        <w:rPr>
          <w:rFonts w:hint="default" w:ascii="Times New Roman" w:hAnsi="Times New Roman" w:cs="Times New Roman" w:eastAsiaTheme="minorEastAsia"/>
          <w:szCs w:val="24"/>
        </w:rPr>
        <w:t>的委托，</w:t>
      </w:r>
      <w:r>
        <w:rPr>
          <w:rFonts w:hint="eastAsia" w:cs="Times New Roman" w:eastAsiaTheme="minorEastAsia"/>
          <w:szCs w:val="24"/>
          <w:lang w:val="en-US" w:eastAsia="zh-CN"/>
        </w:rPr>
        <w:t>对</w:t>
      </w:r>
      <w:r>
        <w:rPr>
          <w:rFonts w:hint="default" w:ascii="Times New Roman" w:hAnsi="Times New Roman" w:cs="Times New Roman" w:eastAsiaTheme="minorEastAsia"/>
          <w:szCs w:val="24"/>
        </w:rPr>
        <w:t>定西市安定区人民法院拟执行财产处置涉及的甘肃省玉成面业有限公司部分资产的市场价值</w:t>
      </w:r>
      <w:r>
        <w:rPr>
          <w:rFonts w:hint="eastAsia" w:ascii="Times New Roman" w:hAnsi="Times New Roman" w:cs="Times New Roman" w:eastAsiaTheme="minorEastAsia"/>
          <w:szCs w:val="24"/>
          <w:lang w:val="en-US" w:eastAsia="zh-CN"/>
        </w:rPr>
        <w:t>进行评估</w:t>
      </w:r>
      <w:r>
        <w:rPr>
          <w:rFonts w:hint="default" w:ascii="Times New Roman" w:hAnsi="Times New Roman" w:cs="Times New Roman" w:eastAsiaTheme="minorEastAsia"/>
          <w:szCs w:val="24"/>
        </w:rPr>
        <w:t>，为定西市安定区人民法院</w:t>
      </w:r>
      <w:r>
        <w:rPr>
          <w:rFonts w:hint="eastAsia" w:ascii="Times New Roman" w:hAnsi="Times New Roman" w:cs="Times New Roman" w:eastAsiaTheme="minorEastAsia"/>
          <w:szCs w:val="24"/>
          <w:lang w:val="en-US" w:eastAsia="zh-CN"/>
        </w:rPr>
        <w:t>确定</w:t>
      </w:r>
      <w:r>
        <w:rPr>
          <w:rFonts w:hint="default" w:ascii="Times New Roman" w:hAnsi="Times New Roman" w:cs="Times New Roman" w:eastAsiaTheme="minorEastAsia"/>
          <w:szCs w:val="24"/>
        </w:rPr>
        <w:t>财产处置</w:t>
      </w:r>
      <w:r>
        <w:rPr>
          <w:rFonts w:hint="eastAsia" w:ascii="Times New Roman" w:hAnsi="Times New Roman" w:cs="Times New Roman" w:eastAsiaTheme="minorEastAsia"/>
          <w:szCs w:val="24"/>
        </w:rPr>
        <w:t>参考价提供参考依据</w:t>
      </w:r>
      <w:r>
        <w:rPr>
          <w:rFonts w:hint="eastAsia" w:cs="Times New Roman" w:eastAsiaTheme="minorEastAsia"/>
          <w:szCs w:val="24"/>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lang w:eastAsia="zh-CN"/>
        </w:rPr>
      </w:pPr>
      <w:r>
        <w:rPr>
          <w:rFonts w:hint="default" w:ascii="Times New Roman" w:hAnsi="Times New Roman" w:cs="Times New Roman" w:eastAsiaTheme="minorEastAsia"/>
          <w:szCs w:val="24"/>
        </w:rPr>
        <w:t>二、评估对象：评估对象为定西市安定区人民法院于评估基准日执行财产处置涉及的甘肃省玉成面业有限公司部分资产的市场价值。</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三、评估范围：定西市安定区人民法院申报的甘肃省玉成面业有限公司部分资产，包括固定资产—房屋建（构）筑物、机器设备、车辆、电子及办公设备，无形资产—土地使用权。具体以委托人申报的资产评估明细表为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四、价值类型：市场价值。</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五、评估基准日：202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5</w:t>
      </w:r>
      <w:r>
        <w:rPr>
          <w:rFonts w:hint="default" w:ascii="Times New Roman" w:hAnsi="Times New Roman" w:cs="Times New Roman" w:eastAsiaTheme="minorEastAsia"/>
          <w:szCs w:val="24"/>
        </w:rPr>
        <w:t>月31日。</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六、评估方法：房屋建（构）筑物、机器设备采用成本法，土地使用权采用</w:t>
      </w:r>
      <w:r>
        <w:rPr>
          <w:rFonts w:hint="eastAsia" w:cs="Times New Roman" w:eastAsiaTheme="minorEastAsia"/>
          <w:szCs w:val="24"/>
          <w:lang w:val="en-US" w:eastAsia="zh-CN"/>
        </w:rPr>
        <w:t>成本逼近法</w:t>
      </w:r>
      <w:r>
        <w:rPr>
          <w:rFonts w:hint="default" w:ascii="Times New Roman" w:hAnsi="Times New Roman" w:cs="Times New Roman" w:eastAsiaTheme="minorEastAsia"/>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七、评估结论：</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Times New Roman" w:hAnsi="Times New Roman" w:eastAsia="宋体" w:cs="Times New Roman"/>
          <w:szCs w:val="24"/>
          <w:lang w:eastAsia="zh-CN"/>
        </w:rPr>
      </w:pPr>
      <w:r>
        <w:rPr>
          <w:rFonts w:hint="default" w:ascii="Times New Roman" w:hAnsi="Times New Roman" w:cs="Times New Roman"/>
          <w:szCs w:val="24"/>
        </w:rPr>
        <w:t>经评估，截至评估基准日2022年5月31日，定西市安定区人民法院拟执行财产处置涉及的甘肃省玉成面业有限公司部分资产的评估价值为</w:t>
      </w:r>
      <w:r>
        <w:rPr>
          <w:rFonts w:hint="eastAsia" w:cs="Times New Roman"/>
          <w:szCs w:val="24"/>
          <w:lang w:val="en-US" w:eastAsia="zh-CN"/>
        </w:rPr>
        <w:t>960.51</w:t>
      </w:r>
      <w:r>
        <w:rPr>
          <w:rFonts w:hint="default" w:ascii="Times New Roman" w:hAnsi="Times New Roman" w:cs="Times New Roman"/>
          <w:szCs w:val="24"/>
        </w:rPr>
        <w:t>万元</w:t>
      </w:r>
      <w:r>
        <w:rPr>
          <w:rFonts w:hint="eastAsia" w:cs="Times New Roman"/>
          <w:szCs w:val="24"/>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报告使用者在使用本报告的评估结论时，请注意本报告正文中第十一项“特别事项说明”对评估结论的影响；并关注评估结论成立的评估假设及前提条件。</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我们特别强调：本评估意见仅作为定西市安定区人民法院财产处置行为提供价值参考依据，而不能取代交易各方进行最终交易价格的决定。</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rPr>
      </w:pPr>
      <w:r>
        <w:rPr>
          <w:rFonts w:hint="default" w:ascii="Times New Roman" w:hAnsi="Times New Roman" w:cs="Times New Roman" w:eastAsiaTheme="minorEastAsia"/>
        </w:rPr>
        <w:t>本报告及其结论仅用于本报告设定的评估目的，而不能用于其他目的。</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rPr>
      </w:pPr>
      <w:r>
        <w:rPr>
          <w:rFonts w:hint="default" w:ascii="Times New Roman" w:hAnsi="Times New Roman" w:cs="Times New Roman" w:eastAsiaTheme="minorEastAsia"/>
        </w:rPr>
        <w:t>根据国家的有关规定，本评估结论使用的有效期限为1年，自评估基准日202</w:t>
      </w:r>
      <w:r>
        <w:rPr>
          <w:rFonts w:hint="default" w:ascii="Times New Roman" w:hAnsi="Times New Roman" w:cs="Times New Roman" w:eastAsiaTheme="minorEastAsia"/>
          <w:lang w:val="en-US" w:eastAsia="zh-CN"/>
        </w:rPr>
        <w:t>2</w:t>
      </w:r>
      <w:r>
        <w:rPr>
          <w:rFonts w:hint="default" w:ascii="Times New Roman" w:hAnsi="Times New Roman" w:cs="Times New Roman" w:eastAsiaTheme="minorEastAsia"/>
        </w:rPr>
        <w:t>年</w:t>
      </w:r>
      <w:r>
        <w:rPr>
          <w:rFonts w:hint="eastAsia" w:cs="Times New Roman" w:eastAsiaTheme="minorEastAsia"/>
          <w:lang w:val="en-US" w:eastAsia="zh-CN"/>
        </w:rPr>
        <w:t>5</w:t>
      </w:r>
      <w:r>
        <w:rPr>
          <w:rFonts w:hint="default" w:ascii="Times New Roman" w:hAnsi="Times New Roman" w:cs="Times New Roman" w:eastAsiaTheme="minorEastAsia"/>
        </w:rPr>
        <w:t>月31日起，至202</w:t>
      </w:r>
      <w:r>
        <w:rPr>
          <w:rFonts w:hint="default" w:ascii="Times New Roman" w:hAnsi="Times New Roman" w:cs="Times New Roman" w:eastAsiaTheme="minorEastAsia"/>
          <w:lang w:val="en-US" w:eastAsia="zh-CN"/>
        </w:rPr>
        <w:t>3</w:t>
      </w:r>
      <w:r>
        <w:rPr>
          <w:rFonts w:hint="default" w:ascii="Times New Roman" w:hAnsi="Times New Roman" w:cs="Times New Roman" w:eastAsiaTheme="minorEastAsia"/>
        </w:rPr>
        <w:t>年</w:t>
      </w:r>
      <w:r>
        <w:rPr>
          <w:rFonts w:hint="eastAsia" w:cs="Times New Roman" w:eastAsiaTheme="minorEastAsia"/>
          <w:lang w:val="en-US" w:eastAsia="zh-CN"/>
        </w:rPr>
        <w:t>5</w:t>
      </w:r>
      <w:r>
        <w:rPr>
          <w:rFonts w:hint="default" w:ascii="Times New Roman" w:hAnsi="Times New Roman" w:cs="Times New Roman" w:eastAsiaTheme="minorEastAsia"/>
        </w:rPr>
        <w:t>月30日止。</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rPr>
          <w:rFonts w:hint="default" w:ascii="Times New Roman" w:hAnsi="Times New Roman" w:cs="Times New Roman" w:eastAsiaTheme="minorEastAsia"/>
          <w:b/>
        </w:rPr>
      </w:pPr>
      <w:r>
        <w:rPr>
          <w:rFonts w:hint="default" w:ascii="Times New Roman" w:hAnsi="Times New Roman" w:cs="Times New Roman" w:eastAsiaTheme="minorEastAsia"/>
          <w:b/>
        </w:rPr>
        <w:t xml:space="preserve">以上内容摘自评估报告正文，欲了解本评估项目的全面情况和合理理解评估结论，请报告使用者在征得评估报告所有者许可后，认真阅读评估报告全文，并请关注特别事项说明部分的内容。 </w:t>
      </w:r>
    </w:p>
    <w:p>
      <w:pPr>
        <w:widowControl/>
        <w:jc w:val="left"/>
        <w:rPr>
          <w:rFonts w:asciiTheme="minorEastAsia" w:hAnsiTheme="minorEastAsia" w:eastAsiaTheme="minorEastAsia"/>
          <w:b/>
          <w:color w:val="FF0000"/>
          <w:kern w:val="0"/>
          <w:sz w:val="30"/>
          <w:szCs w:val="30"/>
        </w:rPr>
      </w:pPr>
      <w:r>
        <w:rPr>
          <w:rFonts w:asciiTheme="minorEastAsia" w:hAnsiTheme="minorEastAsia" w:eastAsiaTheme="minorEastAsia"/>
          <w:b/>
          <w:color w:val="FF0000"/>
          <w:sz w:val="30"/>
          <w:szCs w:val="30"/>
        </w:rPr>
        <w:br w:type="page"/>
      </w:r>
    </w:p>
    <w:p>
      <w:pPr>
        <w:keepNext w:val="0"/>
        <w:keepLines w:val="0"/>
        <w:pageBreakBefore w:val="0"/>
        <w:widowControl/>
        <w:kinsoku/>
        <w:wordWrap/>
        <w:overflowPunct/>
        <w:topLinePunct w:val="0"/>
        <w:autoSpaceDE/>
        <w:autoSpaceDN/>
        <w:bidi w:val="0"/>
        <w:adjustRightInd/>
        <w:snapToGrid/>
        <w:jc w:val="center"/>
        <w:textAlignment w:val="auto"/>
        <w:rPr>
          <w:rFonts w:hint="eastAsia" w:asciiTheme="minorEastAsia" w:hAnsiTheme="minorEastAsia" w:eastAsiaTheme="minorEastAsia"/>
          <w:b/>
          <w:kern w:val="0"/>
          <w:sz w:val="30"/>
          <w:szCs w:val="30"/>
        </w:rPr>
      </w:pPr>
      <w:r>
        <w:rPr>
          <w:rFonts w:hint="eastAsia" w:asciiTheme="minorEastAsia" w:hAnsiTheme="minorEastAsia" w:eastAsiaTheme="minorEastAsia"/>
          <w:b/>
          <w:kern w:val="0"/>
          <w:sz w:val="30"/>
          <w:szCs w:val="30"/>
        </w:rPr>
        <w:t>定西市安定区人民法院拟执行财产处置涉及的</w:t>
      </w:r>
    </w:p>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b/>
          <w:kern w:val="0"/>
          <w:sz w:val="30"/>
          <w:szCs w:val="30"/>
        </w:rPr>
      </w:pPr>
      <w:r>
        <w:rPr>
          <w:rFonts w:hint="eastAsia" w:asciiTheme="minorEastAsia" w:hAnsiTheme="minorEastAsia" w:eastAsiaTheme="minorEastAsia"/>
          <w:b/>
          <w:kern w:val="0"/>
          <w:sz w:val="30"/>
          <w:szCs w:val="30"/>
        </w:rPr>
        <w:t>甘肃省玉成面业有限公司部分资产价值评估项目</w:t>
      </w:r>
    </w:p>
    <w:p>
      <w:pPr>
        <w:pStyle w:val="4"/>
        <w:snapToGrid w:val="0"/>
        <w:spacing w:before="60" w:after="60" w:line="360" w:lineRule="auto"/>
        <w:ind w:firstLine="0"/>
        <w:jc w:val="center"/>
        <w:textAlignment w:val="auto"/>
        <w:rPr>
          <w:rStyle w:val="49"/>
          <w:rFonts w:ascii="Times New Roman" w:hAnsi="Times New Roman" w:eastAsia="宋体"/>
          <w:b w:val="0"/>
        </w:rPr>
      </w:pPr>
      <w:bookmarkStart w:id="2" w:name="_Toc18407"/>
      <w:r>
        <w:rPr>
          <w:rStyle w:val="49"/>
          <w:rFonts w:hint="eastAsia" w:ascii="Times New Roman" w:hAnsi="Times New Roman" w:eastAsia="宋体"/>
          <w:b/>
        </w:rPr>
        <w:t>资产评估报告正文</w:t>
      </w:r>
      <w:bookmarkEnd w:id="2"/>
    </w:p>
    <w:p>
      <w:pPr>
        <w:adjustRightInd w:val="0"/>
        <w:snapToGrid w:val="0"/>
        <w:spacing w:before="60" w:after="60" w:line="360" w:lineRule="auto"/>
        <w:jc w:val="center"/>
        <w:rPr>
          <w:rFonts w:hint="default" w:ascii="Times New Roman" w:hAnsi="Times New Roman" w:cs="Times New Roman" w:eastAsiaTheme="minorEastAsia"/>
          <w:kern w:val="0"/>
          <w:szCs w:val="24"/>
        </w:rPr>
      </w:pPr>
      <w:r>
        <w:rPr>
          <w:rFonts w:hint="default" w:ascii="Times New Roman" w:hAnsi="Times New Roman" w:cs="Times New Roman" w:eastAsiaTheme="minorEastAsia"/>
          <w:kern w:val="0"/>
          <w:szCs w:val="24"/>
          <w:highlight w:val="none"/>
        </w:rPr>
        <w:t>甘天兴评报字（202</w:t>
      </w:r>
      <w:r>
        <w:rPr>
          <w:rFonts w:hint="default" w:ascii="Times New Roman" w:hAnsi="Times New Roman" w:cs="Times New Roman" w:eastAsiaTheme="minorEastAsia"/>
          <w:kern w:val="0"/>
          <w:szCs w:val="24"/>
          <w:highlight w:val="none"/>
          <w:lang w:val="en-US" w:eastAsia="zh-CN"/>
        </w:rPr>
        <w:t>2</w:t>
      </w:r>
      <w:r>
        <w:rPr>
          <w:rFonts w:hint="default" w:ascii="Times New Roman" w:hAnsi="Times New Roman" w:cs="Times New Roman" w:eastAsiaTheme="minorEastAsia"/>
          <w:kern w:val="0"/>
          <w:szCs w:val="24"/>
          <w:highlight w:val="none"/>
        </w:rPr>
        <w:t>）第</w:t>
      </w:r>
      <w:r>
        <w:rPr>
          <w:rFonts w:hint="eastAsia" w:cs="Times New Roman" w:eastAsiaTheme="minorEastAsia"/>
          <w:kern w:val="0"/>
          <w:szCs w:val="24"/>
          <w:highlight w:val="none"/>
          <w:lang w:val="en-US" w:eastAsia="zh-CN"/>
        </w:rPr>
        <w:t>108</w:t>
      </w:r>
      <w:r>
        <w:rPr>
          <w:rFonts w:hint="default" w:ascii="Times New Roman" w:hAnsi="Times New Roman" w:cs="Times New Roman" w:eastAsiaTheme="minorEastAsia"/>
          <w:kern w:val="0"/>
          <w:szCs w:val="24"/>
          <w:highlight w:val="none"/>
        </w:rPr>
        <w:t>号</w:t>
      </w:r>
    </w:p>
    <w:p>
      <w:pPr>
        <w:pStyle w:val="2"/>
        <w:pageBreakBefore w:val="0"/>
        <w:widowControl w:val="0"/>
        <w:kinsoku/>
        <w:wordWrap/>
        <w:overflowPunct/>
        <w:topLinePunct w:val="0"/>
        <w:autoSpaceDE/>
        <w:autoSpaceDN/>
        <w:bidi w:val="0"/>
        <w:adjustRightInd w:val="0"/>
        <w:snapToGrid w:val="0"/>
        <w:spacing w:line="360" w:lineRule="auto"/>
        <w:ind w:firstLine="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lang w:eastAsia="zh-CN"/>
        </w:rPr>
        <w:t>定西市安定区人民法院</w:t>
      </w:r>
      <w:r>
        <w:rPr>
          <w:rFonts w:hint="default" w:ascii="Times New Roman" w:hAnsi="Times New Roman" w:cs="Times New Roman" w:eastAsiaTheme="minorEastAsia"/>
          <w:b/>
          <w:szCs w:val="24"/>
        </w:rPr>
        <w:t>：</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甘肃天健兴业资产评估有限公司接受贵单位的委托，按照有关法律、行政法规和资产评估准则的规定，坚持独立、客观和公正的原则，采用适宜的评估方法，按照必要的评估程序，对定西市安定区人民法院拟执行财产处置涉及的甘肃省玉成面业有限公司部分资产在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5</w:t>
      </w:r>
      <w:r>
        <w:rPr>
          <w:rFonts w:hint="default" w:ascii="Times New Roman" w:hAnsi="Times New Roman" w:cs="Times New Roman" w:eastAsiaTheme="minorEastAsia"/>
          <w:szCs w:val="24"/>
        </w:rPr>
        <w:t>月31日的市场价值进行了评估。现将资产评估情况报告如下。</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3" w:name="_Toc30897"/>
      <w:bookmarkStart w:id="4" w:name="_Toc490978137"/>
      <w:bookmarkStart w:id="5" w:name="_Toc403664411"/>
      <w:r>
        <w:rPr>
          <w:rFonts w:hint="default" w:ascii="Times New Roman" w:hAnsi="Times New Roman" w:cs="Times New Roman" w:eastAsiaTheme="minorEastAsia"/>
          <w:sz w:val="28"/>
          <w:szCs w:val="28"/>
        </w:rPr>
        <w:t>一、委托人、产权持有人和评估委托合同约定的其他评估报告使用者概况</w:t>
      </w:r>
      <w:bookmarkEnd w:id="3"/>
    </w:p>
    <w:p>
      <w:pPr>
        <w:pageBreakBefore w:val="0"/>
        <w:widowControl w:val="0"/>
        <w:kinsoku/>
        <w:wordWrap/>
        <w:overflowPunct/>
        <w:topLinePunct w:val="0"/>
        <w:autoSpaceDE/>
        <w:autoSpaceDN/>
        <w:bidi w:val="0"/>
        <w:adjustRightInd w:val="0"/>
        <w:snapToGrid w:val="0"/>
        <w:spacing w:before="60" w:after="60" w:line="360" w:lineRule="auto"/>
        <w:ind w:firstLine="482" w:firstLineChars="200"/>
        <w:rPr>
          <w:rFonts w:hint="default" w:ascii="Times New Roman" w:hAnsi="Times New Roman" w:cs="Times New Roman" w:eastAsiaTheme="minorEastAsia"/>
          <w:szCs w:val="24"/>
        </w:rPr>
      </w:pPr>
      <w:bookmarkStart w:id="6" w:name="_Toc492260129"/>
      <w:r>
        <w:rPr>
          <w:rFonts w:hint="default" w:ascii="Times New Roman" w:hAnsi="Times New Roman" w:cs="Times New Roman" w:eastAsiaTheme="minorEastAsia"/>
          <w:b/>
          <w:szCs w:val="24"/>
        </w:rPr>
        <w:t>（一）委托</w:t>
      </w:r>
      <w:r>
        <w:rPr>
          <w:rFonts w:hint="default" w:ascii="Times New Roman" w:hAnsi="Times New Roman" w:cs="Times New Roman" w:eastAsiaTheme="minorEastAsia"/>
          <w:b/>
          <w:szCs w:val="24"/>
          <w:lang w:val="en-US" w:eastAsia="zh-CN"/>
        </w:rPr>
        <w:t>人</w:t>
      </w:r>
      <w:r>
        <w:rPr>
          <w:rFonts w:hint="default" w:ascii="Times New Roman" w:hAnsi="Times New Roman" w:cs="Times New Roman" w:eastAsiaTheme="minorEastAsia"/>
          <w:b/>
          <w:szCs w:val="24"/>
        </w:rPr>
        <w:t>概况</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lang w:eastAsia="zh-CN"/>
        </w:rPr>
      </w:pPr>
      <w:r>
        <w:rPr>
          <w:rFonts w:hint="eastAsia" w:cs="Times New Roman" w:eastAsiaTheme="minorEastAsia"/>
          <w:szCs w:val="24"/>
          <w:lang w:val="en-US" w:eastAsia="zh-CN"/>
        </w:rPr>
        <w:t>委托人</w:t>
      </w:r>
      <w:r>
        <w:rPr>
          <w:rFonts w:hint="default" w:ascii="Times New Roman" w:hAnsi="Times New Roman" w:cs="Times New Roman" w:eastAsiaTheme="minorEastAsia"/>
          <w:szCs w:val="24"/>
        </w:rPr>
        <w:t>名称：定西市安定区人民法院</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统一社会信用代码：11621102015326038A</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eastAsia" w:cs="Times New Roman" w:eastAsiaTheme="minorEastAsia"/>
          <w:szCs w:val="24"/>
          <w:lang w:val="en-US" w:eastAsia="zh-CN"/>
        </w:rPr>
        <w:t>地址</w:t>
      </w:r>
      <w:r>
        <w:rPr>
          <w:rFonts w:hint="default" w:ascii="Times New Roman" w:hAnsi="Times New Roman" w:cs="Times New Roman" w:eastAsiaTheme="minorEastAsia"/>
          <w:szCs w:val="24"/>
        </w:rPr>
        <w:t>：甘肃省定西市安定区民主路6号</w:t>
      </w:r>
    </w:p>
    <w:p>
      <w:pPr>
        <w:pageBreakBefore w:val="0"/>
        <w:widowControl w:val="0"/>
        <w:kinsoku/>
        <w:wordWrap/>
        <w:overflowPunct/>
        <w:topLinePunct w:val="0"/>
        <w:autoSpaceDE/>
        <w:autoSpaceDN/>
        <w:bidi w:val="0"/>
        <w:adjustRightInd w:val="0"/>
        <w:snapToGrid w:val="0"/>
        <w:spacing w:before="60" w:after="60"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w:t>
      </w:r>
      <w:r>
        <w:rPr>
          <w:rFonts w:hint="eastAsia" w:cs="Times New Roman" w:eastAsiaTheme="minorEastAsia"/>
          <w:b/>
          <w:szCs w:val="24"/>
          <w:lang w:val="en-US" w:eastAsia="zh-CN"/>
        </w:rPr>
        <w:t>二</w:t>
      </w:r>
      <w:r>
        <w:rPr>
          <w:rFonts w:hint="default" w:ascii="Times New Roman" w:hAnsi="Times New Roman" w:cs="Times New Roman" w:eastAsiaTheme="minorEastAsia"/>
          <w:b/>
          <w:szCs w:val="24"/>
        </w:rPr>
        <w:t>）委托人</w:t>
      </w:r>
      <w:r>
        <w:rPr>
          <w:rFonts w:hint="default" w:ascii="Times New Roman" w:hAnsi="Times New Roman" w:cs="Times New Roman" w:eastAsiaTheme="minorEastAsia"/>
          <w:b/>
          <w:szCs w:val="24"/>
          <w:lang w:val="en-US" w:eastAsia="zh-CN"/>
        </w:rPr>
        <w:t>及产权持有人</w:t>
      </w:r>
      <w:r>
        <w:rPr>
          <w:rFonts w:hint="default" w:ascii="Times New Roman" w:hAnsi="Times New Roman" w:cs="Times New Roman" w:eastAsiaTheme="minorEastAsia"/>
          <w:b/>
          <w:szCs w:val="24"/>
        </w:rPr>
        <w:t>概况</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企业名称</w:t>
      </w:r>
      <w:r>
        <w:rPr>
          <w:rFonts w:hint="eastAsia" w:cs="Times New Roman" w:eastAsiaTheme="minorEastAsia"/>
          <w:szCs w:val="24"/>
          <w:lang w:eastAsia="zh-CN"/>
        </w:rPr>
        <w:t>：</w:t>
      </w:r>
      <w:r>
        <w:rPr>
          <w:rFonts w:hint="default" w:ascii="Times New Roman" w:hAnsi="Times New Roman" w:cs="Times New Roman" w:eastAsiaTheme="minorEastAsia"/>
          <w:szCs w:val="24"/>
        </w:rPr>
        <w:t>甘肃省玉成面业有限公司</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统一社会信用代码</w:t>
      </w:r>
      <w:r>
        <w:rPr>
          <w:rFonts w:hint="eastAsia" w:cs="Times New Roman" w:eastAsiaTheme="minorEastAsia"/>
          <w:szCs w:val="24"/>
          <w:lang w:eastAsia="zh-CN"/>
        </w:rPr>
        <w:t>：</w:t>
      </w:r>
      <w:r>
        <w:rPr>
          <w:rFonts w:hint="default" w:ascii="Times New Roman" w:hAnsi="Times New Roman" w:cs="Times New Roman" w:eastAsiaTheme="minorEastAsia"/>
          <w:szCs w:val="24"/>
        </w:rPr>
        <w:t>91621102561122235C</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eastAsia" w:cs="Times New Roman" w:eastAsiaTheme="minorEastAsia"/>
          <w:szCs w:val="24"/>
          <w:lang w:val="en-US" w:eastAsia="zh-CN"/>
        </w:rPr>
      </w:pPr>
      <w:r>
        <w:rPr>
          <w:rFonts w:hint="eastAsia" w:cs="Times New Roman" w:eastAsiaTheme="minorEastAsia"/>
          <w:szCs w:val="24"/>
          <w:lang w:val="en-US" w:eastAsia="zh-CN"/>
        </w:rPr>
        <w:t>法定代表人：高浩南</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eastAsia" w:cs="Times New Roman" w:eastAsiaTheme="minorEastAsia"/>
          <w:szCs w:val="24"/>
          <w:lang w:val="en-US" w:eastAsia="zh-CN"/>
        </w:rPr>
      </w:pPr>
      <w:r>
        <w:rPr>
          <w:rFonts w:hint="eastAsia" w:cs="Times New Roman" w:eastAsiaTheme="minorEastAsia"/>
          <w:szCs w:val="24"/>
          <w:lang w:val="en-US" w:eastAsia="zh-CN"/>
        </w:rPr>
        <w:t>成立日期：2010年06月02日</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cs="Times New Roman" w:eastAsiaTheme="minorEastAsia"/>
          <w:szCs w:val="24"/>
          <w:lang w:val="en-US" w:eastAsia="zh-CN"/>
        </w:rPr>
      </w:pPr>
      <w:r>
        <w:rPr>
          <w:rFonts w:hint="eastAsia" w:cs="Times New Roman" w:eastAsiaTheme="minorEastAsia"/>
          <w:szCs w:val="24"/>
          <w:lang w:val="en-US" w:eastAsia="zh-CN"/>
        </w:rPr>
        <w:t>注册资本：玖佰捌拾万元人民币</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cs="Times New Roman" w:eastAsiaTheme="minorEastAsia"/>
          <w:szCs w:val="24"/>
          <w:lang w:val="en-US" w:eastAsia="zh-CN"/>
        </w:rPr>
      </w:pPr>
      <w:r>
        <w:rPr>
          <w:rFonts w:hint="eastAsia" w:cs="Times New Roman" w:eastAsiaTheme="minorEastAsia"/>
          <w:szCs w:val="24"/>
          <w:lang w:val="en-US" w:eastAsia="zh-CN"/>
        </w:rPr>
        <w:t>企业类型：有限责任公司（自然人投资或控股）</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cs="Times New Roman" w:eastAsiaTheme="minorEastAsia"/>
          <w:szCs w:val="24"/>
          <w:lang w:val="en-US" w:eastAsia="zh-CN"/>
        </w:rPr>
      </w:pPr>
      <w:r>
        <w:rPr>
          <w:rFonts w:hint="eastAsia" w:cs="Times New Roman" w:eastAsiaTheme="minorEastAsia"/>
          <w:szCs w:val="24"/>
          <w:lang w:val="en-US" w:eastAsia="zh-CN"/>
        </w:rPr>
        <w:t>注册地址：甘肃省定西市安定区宁远镇红土村</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cs="Times New Roman" w:eastAsiaTheme="minorEastAsia"/>
          <w:szCs w:val="24"/>
          <w:lang w:val="en-US" w:eastAsia="zh-CN"/>
        </w:rPr>
      </w:pPr>
      <w:r>
        <w:rPr>
          <w:rFonts w:hint="eastAsia" w:cs="Times New Roman" w:eastAsiaTheme="minorEastAsia"/>
          <w:szCs w:val="24"/>
          <w:lang w:val="en-US" w:eastAsia="zh-CN"/>
        </w:rPr>
        <w:t>经营范围：</w:t>
      </w:r>
      <w:r>
        <w:rPr>
          <w:rFonts w:hint="default" w:cs="Times New Roman" w:eastAsiaTheme="minorEastAsia"/>
          <w:szCs w:val="24"/>
          <w:lang w:val="en-US" w:eastAsia="zh-CN"/>
        </w:rPr>
        <w:t>面粉加工、销售；米、植物油批发兼零售；小麦销售；仓储服务。（依法须经批准的项目，经相关部门批准后方可开展经营活动）</w:t>
      </w:r>
    </w:p>
    <w:p>
      <w:pPr>
        <w:pageBreakBefore w:val="0"/>
        <w:widowControl w:val="0"/>
        <w:kinsoku/>
        <w:wordWrap/>
        <w:overflowPunct/>
        <w:topLinePunct w:val="0"/>
        <w:autoSpaceDE/>
        <w:autoSpaceDN/>
        <w:bidi w:val="0"/>
        <w:adjustRightInd w:val="0"/>
        <w:snapToGrid w:val="0"/>
        <w:spacing w:before="60" w:after="60" w:line="360" w:lineRule="auto"/>
        <w:ind w:firstLine="482"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b/>
          <w:szCs w:val="24"/>
        </w:rPr>
        <w:t>（</w:t>
      </w:r>
      <w:r>
        <w:rPr>
          <w:rFonts w:hint="eastAsia" w:cs="Times New Roman" w:eastAsiaTheme="minorEastAsia"/>
          <w:b/>
          <w:szCs w:val="24"/>
          <w:lang w:val="en-US" w:eastAsia="zh-CN"/>
        </w:rPr>
        <w:t>三</w:t>
      </w:r>
      <w:r>
        <w:rPr>
          <w:rFonts w:hint="default" w:ascii="Times New Roman" w:hAnsi="Times New Roman" w:cs="Times New Roman" w:eastAsiaTheme="minorEastAsia"/>
          <w:b/>
          <w:szCs w:val="24"/>
        </w:rPr>
        <w:t>）资产评估委托合同约定的其他评估报告使用者</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评估报告使用者是指委托人、资产评估委托合同确定的其他评估报告使用者以及国家法律法规明确的评估报告使用者，本评估报告的使用者为委托人、产权持有单位及国家法律法规明确的评估报告使用者。</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除国家法律、法规另有规定外，任何未经评估机构和委托人确认的机构或个人不能由于得到评估报告而成为评估报告使用者。</w:t>
      </w:r>
    </w:p>
    <w:p>
      <w:pPr>
        <w:pageBreakBefore w:val="0"/>
        <w:widowControl w:val="0"/>
        <w:kinsoku/>
        <w:wordWrap/>
        <w:overflowPunct/>
        <w:topLinePunct w:val="0"/>
        <w:autoSpaceDE/>
        <w:autoSpaceDN/>
        <w:bidi w:val="0"/>
        <w:adjustRightInd w:val="0"/>
        <w:snapToGrid w:val="0"/>
        <w:spacing w:before="60" w:after="60"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w:t>
      </w:r>
      <w:r>
        <w:rPr>
          <w:rFonts w:hint="eastAsia" w:cs="Times New Roman" w:eastAsiaTheme="minorEastAsia"/>
          <w:b/>
          <w:szCs w:val="24"/>
          <w:lang w:val="en-US" w:eastAsia="zh-CN"/>
        </w:rPr>
        <w:t>四</w:t>
      </w:r>
      <w:r>
        <w:rPr>
          <w:rFonts w:hint="default" w:ascii="Times New Roman" w:hAnsi="Times New Roman" w:cs="Times New Roman" w:eastAsiaTheme="minorEastAsia"/>
          <w:b/>
          <w:szCs w:val="24"/>
        </w:rPr>
        <w:t>）委托人和产权持有人的关系</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委托人定西市安定区人民法院</w:t>
      </w:r>
      <w:r>
        <w:rPr>
          <w:rFonts w:hint="eastAsia" w:cs="Times New Roman" w:eastAsiaTheme="minorEastAsia"/>
          <w:szCs w:val="24"/>
          <w:lang w:val="en-US" w:eastAsia="zh-CN"/>
        </w:rPr>
        <w:t>拟办理甘肃金控定西融资担保有限公司申请执行甘肃省玉成面业有限公司部分资产抵押贷款案件。</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7" w:name="_Toc12047"/>
      <w:r>
        <w:rPr>
          <w:rFonts w:hint="default" w:ascii="Times New Roman" w:hAnsi="Times New Roman" w:cs="Times New Roman" w:eastAsiaTheme="minorEastAsia"/>
          <w:sz w:val="28"/>
          <w:szCs w:val="28"/>
        </w:rPr>
        <w:t>二、评估目的</w:t>
      </w:r>
      <w:bookmarkEnd w:id="6"/>
      <w:bookmarkEnd w:id="7"/>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bookmarkStart w:id="8" w:name="_Toc492260130"/>
      <w:r>
        <w:rPr>
          <w:rFonts w:hint="default" w:ascii="Times New Roman" w:hAnsi="Times New Roman" w:cs="Times New Roman" w:eastAsiaTheme="minorEastAsia"/>
          <w:szCs w:val="24"/>
        </w:rPr>
        <w:t>根据定西市安定区人民法院的委托，对定西市安定区人民法院拟执行财产处置涉及的甘肃省玉成面业有限公司部分资产的市场价值进行评估，为定西市安定区人民法院确定财产处置参考价提供参考依据。</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9" w:name="_Toc11958"/>
      <w:r>
        <w:rPr>
          <w:rFonts w:hint="default" w:ascii="Times New Roman" w:hAnsi="Times New Roman" w:cs="Times New Roman" w:eastAsiaTheme="minorEastAsia"/>
          <w:sz w:val="28"/>
          <w:szCs w:val="28"/>
        </w:rPr>
        <w:t>三、评估对象和评估范围</w:t>
      </w:r>
      <w:bookmarkEnd w:id="8"/>
      <w:bookmarkEnd w:id="9"/>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（一）评估对象</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评估对象为定西市安定区人民法院于评估基准日执行财产处置涉及的甘肃省玉成面业有限公司部分资产的市场价值。</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（二）评估范围</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评估范围为定西市安定区人民法院申报的甘肃省玉成面业有限公司部分资产，包括固定资产—房屋建（构）筑物、机器设备、车辆、电子及办公设备，无形资产—土地使用权。具体以委托人申报的资产评估明细表为准。</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一）实物资产的分布状况及特点</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定西市安定区人民法院委估实物资产位于甘肃省定西市安定区西环路1幢1011号、甘肃省定西市安定区友谊北路(友谊广场）2号楼3单元6楼601室、甘肃省安定区宁远镇红土村，实物资产量较大、存放地点集中。具体实物资产类型及特点如下：</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定西市安定区人民法院申报的纳入本次评估范围的房屋建（构）筑物共16项，主要为建宁家园商铺、友谊广场住宅、门卫、职工宿舍、磅房及化验室、库房、生产车间、锅炉房、办公楼、变压器旁库房及大门、围墙、雨棚、草坪绿化、地坪硬化等辅助设施，房屋建筑物建成于2005年6月、2012年6月、2011年12月。主要建筑结构为钢混结构、砖混结构、框架结构及彩钢。</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机器设备共50项，主要为电子汽车衡、上料机、磨粉机、去石洗麦甩干机、螺旋输送机、斗式提升机、清粉机、卧式刷麸机、磁选器、高方平筛、吸风分离器、雾化着水机、脉冲除尘器、离心通风机、重力分级去石机、自横振动筛、着水混合机、粉状物料缝包机、防堵闭风器、空压机、热水锅炉、电热鼓风恒温干燥箱、K系列温度控制器、箱式电阻炉、61-71型容重器、单项感应电动机、电力变压器等，截至评估基准日，设备已停止生产，维护保养状况良好。</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车辆共</w:t>
      </w:r>
      <w:r>
        <w:rPr>
          <w:rFonts w:hint="eastAsia" w:cs="Times New Roman"/>
          <w:szCs w:val="24"/>
          <w:lang w:val="en-US" w:eastAsia="zh-CN"/>
        </w:rPr>
        <w:t>6</w:t>
      </w:r>
      <w:r>
        <w:rPr>
          <w:rFonts w:hint="default" w:ascii="Times New Roman" w:hAnsi="Times New Roman" w:cs="Times New Roman"/>
          <w:szCs w:val="24"/>
          <w:lang w:eastAsia="zh-CN"/>
        </w:rPr>
        <w:t>辆，具体为轻型厢式货车、中型客车、小型轿车、跃进虎H500载货汽车、梅赛德斯奔驰等，该</w:t>
      </w:r>
      <w:r>
        <w:rPr>
          <w:rFonts w:hint="eastAsia" w:cs="Times New Roman"/>
          <w:szCs w:val="24"/>
          <w:lang w:val="en-US" w:eastAsia="zh-CN"/>
        </w:rPr>
        <w:t>6</w:t>
      </w:r>
      <w:r>
        <w:rPr>
          <w:rFonts w:hint="default" w:ascii="Times New Roman" w:hAnsi="Times New Roman" w:cs="Times New Roman"/>
          <w:szCs w:val="24"/>
          <w:lang w:eastAsia="zh-CN"/>
        </w:rPr>
        <w:t>辆车已被定西市安定区人民法院查封。</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电子及办公设备共35项，主要为圆餐桌、凳子、单人床（木制）、黑色铁架沙发、电脑桌、铁皮柜、四人沙发、陶瓷落地大花瓶、三人皮沙发、电视、办公桌（带侧柜）、会议桌、老板椅、高档老板椅、台式电脑、实木文件柜、茶吧机、空调、远红外碳纤维电暖器、票据打印机、保险柜等，该电子及办公设备维修保养状况较好，可以正常使用。</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纳入本次评估范围的房屋建（构）筑物共16项，总建筑面积3,863.01平方米。其中：建宁家园商铺房屋所有权人为高玉，权证编号定市房权证安定区字第21246号，坐落于甘肃省定西市安定区西环路1幢1011号，未设定抵押他项权；友谊广场住宅房屋所有权人为高玉，权证编号甘（2019）安定区不动产权第000489号，坐落于甘肃省定西市安定区友谊北路(友谊广场）2号楼3单元6楼601室，该住宅已为庞淑兰在定西农村商业银行股份有限公司做抵押担保；门卫、职工宿舍、磅房及化验室、库房、生产车间、锅炉房、办公楼、变压器旁库房及大门、围墙、雨棚、草坪绿化、地坪硬化等辅助设施，权利人为甘肃省玉成面业有限公司，坐落于甘肃省安定区宁远镇红土村，原不动产权证编号甘（2019）安定区不动产权第000489号，已设定抵押权，权利人为甘肃金控定西融资担保有限公司，不动产登记证明书编号为甘（2021）安定区不动产证明第0001075号，抵押方式一般抵押，反担保（抵押）合同编号DX-2021-DY-0006-01。未办理不动产权证书的库房、锅炉房、变压器旁库房由委托人、产权持有人等相关资产管理人员现场测量，建筑面积的确定根据现场测量的数据确定。资产权属清晰，无异议。</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二）企业申报的账面记录或者未记录的无形资产情况</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纳入评估范围的无形资产—土地使用权，委估宗地面积为4,986.60平方米，土地证载权利人为甘肃省玉成面业有限公司，坐落于甘肃省安定区宁远镇红土村，原不动产权证编号甘（2019）安定区不动产权第000489号，土地用途为工业用地，土地性质为出让，土地取得时间为2011年1月18日，土地终止日期为2061年1月17日，土地使用权剩余年限38.66年，四至：北至空地，南至312国道，西至道路，东至空地、定西琛楷农业有限公司。委估宗地已设定抵押权，权利人为甘肃金控定西融资担保有限公司，不动产登记证明书编号为甘（2021）安定区不动产证明第0001075号，抵押方式一般抵押，反担保（抵押）合同编号DX-2021-DY-0006-01。资产权属清晰，无异议。</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委托申报的评估对象和评估范围与经济行为涉及的评估对象和评估范围一致，不重不漏。</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10" w:name="_Toc4270"/>
      <w:bookmarkStart w:id="11" w:name="_Toc153011971"/>
      <w:r>
        <w:rPr>
          <w:rFonts w:hint="default" w:ascii="Times New Roman" w:hAnsi="Times New Roman" w:cs="Times New Roman" w:eastAsiaTheme="minorEastAsia"/>
          <w:sz w:val="28"/>
          <w:szCs w:val="28"/>
        </w:rPr>
        <w:t>四、价值类型</w:t>
      </w:r>
      <w:bookmarkEnd w:id="10"/>
      <w:bookmarkEnd w:id="11"/>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eastAsia" w:cs="Times New Roman" w:eastAsiaTheme="minorEastAsia"/>
          <w:szCs w:val="24"/>
          <w:lang w:eastAsia="zh-CN"/>
        </w:rPr>
      </w:pPr>
      <w:r>
        <w:rPr>
          <w:rFonts w:hint="default" w:ascii="Times New Roman" w:hAnsi="Times New Roman" w:cs="Times New Roman" w:eastAsiaTheme="minorEastAsia"/>
          <w:szCs w:val="24"/>
        </w:rPr>
        <w:t>人民法院委托司法执行财产处置资产评估的价值类型一般为市场价值</w:t>
      </w:r>
      <w:r>
        <w:rPr>
          <w:rFonts w:hint="eastAsia" w:cs="Times New Roman" w:eastAsiaTheme="minorEastAsia"/>
          <w:szCs w:val="24"/>
          <w:lang w:eastAsia="zh-CN"/>
        </w:rPr>
        <w:t>。</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highlight w:val="yellow"/>
        </w:rPr>
      </w:pPr>
      <w:r>
        <w:rPr>
          <w:rFonts w:hint="default" w:ascii="Times New Roman" w:hAnsi="Times New Roman" w:cs="Times New Roman" w:eastAsiaTheme="minorEastAsia"/>
          <w:szCs w:val="24"/>
        </w:rPr>
        <w:t>本次评估价值类型为市场价值，本报告书所称市场价值是指自愿买方和自愿卖方在各自理性行事且未受任何强迫的情况下，评估对象在评估基准日进行正常公平交易的价值估计数额。</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12" w:name="_Toc11370"/>
      <w:r>
        <w:rPr>
          <w:rFonts w:hint="default" w:ascii="Times New Roman" w:hAnsi="Times New Roman" w:cs="Times New Roman" w:eastAsiaTheme="minorEastAsia"/>
          <w:sz w:val="28"/>
          <w:szCs w:val="28"/>
        </w:rPr>
        <w:t>五、评估基准日</w:t>
      </w:r>
      <w:bookmarkEnd w:id="4"/>
      <w:bookmarkEnd w:id="12"/>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评估基准日是202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5</w:t>
      </w:r>
      <w:r>
        <w:rPr>
          <w:rFonts w:hint="default" w:ascii="Times New Roman" w:hAnsi="Times New Roman" w:cs="Times New Roman" w:eastAsiaTheme="minorEastAsia"/>
          <w:szCs w:val="24"/>
        </w:rPr>
        <w:t>月31日。</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评估基准日是由委托人确定的，与资产评估委托合同约定的评估基准日一致。</w:t>
      </w:r>
    </w:p>
    <w:bookmarkEnd w:id="5"/>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13" w:name="_Toc9976"/>
      <w:bookmarkStart w:id="14" w:name="_Toc448559713"/>
      <w:r>
        <w:rPr>
          <w:rFonts w:hint="default" w:ascii="Times New Roman" w:hAnsi="Times New Roman" w:cs="Times New Roman" w:eastAsiaTheme="minorEastAsia"/>
          <w:sz w:val="28"/>
          <w:szCs w:val="28"/>
        </w:rPr>
        <w:t>六、评估依据</w:t>
      </w:r>
      <w:bookmarkEnd w:id="13"/>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本次评估工作中所遵循的经济行为依据、法律法规依据、评估准则依据、资产权属依据和评估取价依据为：</w:t>
      </w:r>
    </w:p>
    <w:bookmarkEnd w:id="14"/>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（一）经济行为依据</w:t>
      </w:r>
    </w:p>
    <w:p>
      <w:pPr>
        <w:pStyle w:val="2"/>
        <w:pageBreakBefore w:val="0"/>
        <w:widowControl w:val="0"/>
        <w:tabs>
          <w:tab w:val="left" w:pos="851"/>
        </w:tabs>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highlight w:val="none"/>
          <w:lang w:val="en-US"/>
        </w:rPr>
      </w:pPr>
      <w:r>
        <w:rPr>
          <w:rFonts w:hint="default" w:ascii="Times New Roman" w:hAnsi="Times New Roman" w:cs="Times New Roman" w:eastAsiaTheme="minorEastAsia"/>
          <w:szCs w:val="24"/>
          <w:highlight w:val="none"/>
          <w:lang w:eastAsia="zh-CN"/>
        </w:rPr>
        <w:t>定西市安定区人民法院</w:t>
      </w:r>
      <w:r>
        <w:rPr>
          <w:rFonts w:hint="eastAsia" w:cs="Times New Roman" w:eastAsiaTheme="minorEastAsia"/>
          <w:szCs w:val="24"/>
          <w:highlight w:val="none"/>
          <w:lang w:val="en-US" w:eastAsia="zh-CN"/>
        </w:rPr>
        <w:t>委托评估函（2022）甘1102执1289号。</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（二）</w:t>
      </w:r>
      <w:bookmarkStart w:id="15" w:name="_Toc143578291"/>
      <w:bookmarkStart w:id="16" w:name="_Toc80893259"/>
      <w:bookmarkStart w:id="17" w:name="_Toc213846101"/>
      <w:bookmarkStart w:id="18" w:name="_Toc113244878"/>
      <w:bookmarkStart w:id="19" w:name="_Toc113332682"/>
      <w:r>
        <w:rPr>
          <w:rFonts w:hint="default" w:ascii="Times New Roman" w:hAnsi="Times New Roman" w:cs="Times New Roman" w:eastAsiaTheme="minorEastAsia"/>
          <w:b/>
          <w:szCs w:val="24"/>
        </w:rPr>
        <w:t>法律法规依据</w:t>
      </w:r>
      <w:bookmarkEnd w:id="15"/>
      <w:bookmarkEnd w:id="16"/>
      <w:bookmarkEnd w:id="17"/>
      <w:bookmarkEnd w:id="18"/>
      <w:bookmarkEnd w:id="19"/>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《中华人民共和国企业国有资产法》（中华人民共和国第十一届全国人民代表大会常务委员会第五次会议于2008年10月28日通过）；</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《中华人民共和国公司法》（2018年10月26日第十三届全国人民代表大会常务委员会第六次会议《关于修改〈中华人民共和国公司法〉的决定》第四次修正）；</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《中华人民共和国民法典》（2020年5月28日第十三届全国人民代表大会第三次会议通过）；</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《中华人民共和国土地管理法》（根据2019年8月26日第十三届全国人民代表大会常务委员会第十二次会议《关于修改〈中华人民共和国土地管理法〉、〈中华人民共和国城市房地产管理法〉的决定》第三次修正)；</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《中华人民共和国土地管理法实施条例》（中华人民共和国国务院令第743号2021年4月21日国务院第132次常务会议修订）；</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《中华人民共和国资产评估法》（中华人民共和国主席令第46号）；</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关于深化增值税改革有关政策的公告(财政部 税务总局 海关总署公告2019年第39号)；</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《最高人民法院关于人民法院确定财产处置参考价若干问题的规定》（法释〔2018〕15号）；</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szCs w:val="24"/>
        </w:rPr>
        <w:t>国土资源部办公厅关于印发《国有建设用地使用权出让地价评估技术规范》的通知（国土资厅发[2018]4号）；</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ab/>
      </w:r>
      <w:r>
        <w:rPr>
          <w:rFonts w:hint="default" w:ascii="Times New Roman" w:hAnsi="Times New Roman" w:cs="Times New Roman" w:eastAsiaTheme="minorEastAsia"/>
          <w:szCs w:val="24"/>
        </w:rPr>
        <w:t>中华人民共和国国家标准《城镇土地估价规程》GB/T 18508—2014；</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中华人民共和国国家标准《城镇土地分等定级规程》GB/T 18507—2014；</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ab/>
      </w:r>
      <w:r>
        <w:rPr>
          <w:rFonts w:hint="default" w:ascii="Times New Roman" w:hAnsi="Times New Roman" w:cs="Times New Roman" w:eastAsiaTheme="minorEastAsia"/>
          <w:szCs w:val="24"/>
        </w:rPr>
        <w:t>中华人民共和国国家标准《土地利用现状分类》GB/T 21010—2017；</w:t>
      </w:r>
    </w:p>
    <w:p>
      <w:pPr>
        <w:pStyle w:val="2"/>
        <w:pageBreakBefore w:val="0"/>
        <w:widowControl w:val="0"/>
        <w:numPr>
          <w:ilvl w:val="0"/>
          <w:numId w:val="2"/>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其它相关的法律法规文件。</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（三）</w:t>
      </w:r>
      <w:bookmarkStart w:id="20" w:name="_Toc213846102"/>
      <w:r>
        <w:rPr>
          <w:rFonts w:hint="default" w:ascii="Times New Roman" w:hAnsi="Times New Roman" w:cs="Times New Roman" w:eastAsiaTheme="minorEastAsia"/>
          <w:b/>
          <w:szCs w:val="24"/>
        </w:rPr>
        <w:t>评估准则依据</w:t>
      </w:r>
      <w:bookmarkEnd w:id="20"/>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《资产评估基本准则》（财资〔2017〕43号）；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《资产评估职业道德准则》（中评协〔2017〕30号）；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《资产评估执业准则——资产评估程序》（中评协〔2018〕36号）；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《资产评估执业准则——资产评估报告》（中评协〔2018〕35号）；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《资产评估执业准则——资产评估委托合同》（中评协〔2017〕33号）；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《资产评估执业准则——资产评估档案》（中评协〔2018〕37号）；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《资产评估执业准则——不动产》（中评协〔2017〕38号）；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《资产评估执业准则——机器设备》（中评协〔2017〕39号）；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color w:val="000000"/>
          <w:shd w:val="clear" w:color="auto" w:fill="FFFFFF"/>
        </w:rPr>
        <w:t>《资产评估执业准则——资产评估方法》（中评协〔2019〕35号）；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《企业国有资产评估报告指南》（中评协〔2017〕42号）；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《资产评估机构业务质量控制指南》（中评协〔2017〕46号）；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《资产评估价值类型指导意见》（中评协〔2017〕47号）；</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《资产评估对象法律权属指导意见》（中评协〔2017〕48号）</w:t>
      </w:r>
      <w:r>
        <w:rPr>
          <w:rFonts w:hint="eastAsia" w:cs="Times New Roman" w:eastAsiaTheme="minorEastAsia"/>
          <w:szCs w:val="24"/>
          <w:lang w:eastAsia="zh-CN"/>
        </w:rPr>
        <w:t>；</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关于印发《人民法院委托评估工作规范》的通知</w:t>
      </w:r>
      <w:r>
        <w:rPr>
          <w:rFonts w:hint="eastAsia" w:cs="Times New Roman" w:eastAsiaTheme="minorEastAsia"/>
          <w:szCs w:val="24"/>
          <w:lang w:eastAsia="zh-CN"/>
        </w:rPr>
        <w:t>（</w:t>
      </w:r>
      <w:r>
        <w:rPr>
          <w:rFonts w:hint="default" w:ascii="Times New Roman" w:hAnsi="Times New Roman" w:cs="Times New Roman" w:eastAsiaTheme="minorEastAsia"/>
          <w:szCs w:val="24"/>
        </w:rPr>
        <w:t>法办〔2018〕273号</w:t>
      </w:r>
      <w:r>
        <w:rPr>
          <w:rFonts w:hint="eastAsia" w:cs="Times New Roman" w:eastAsiaTheme="minorEastAsia"/>
          <w:szCs w:val="24"/>
          <w:lang w:eastAsia="zh-CN"/>
        </w:rPr>
        <w:t>）；</w:t>
      </w:r>
    </w:p>
    <w:p>
      <w:pPr>
        <w:pStyle w:val="2"/>
        <w:pageBreakBefore w:val="0"/>
        <w:widowControl w:val="0"/>
        <w:numPr>
          <w:ilvl w:val="0"/>
          <w:numId w:val="3"/>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中评协关于印发《人民法院委托司法执行财产处置资产评估指导意见》的通知</w:t>
      </w:r>
      <w:r>
        <w:rPr>
          <w:rFonts w:hint="eastAsia" w:cs="Times New Roman" w:eastAsiaTheme="minorEastAsia"/>
          <w:szCs w:val="24"/>
          <w:lang w:eastAsia="zh-CN"/>
        </w:rPr>
        <w:t>（中评协〔2019〕14号）。</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（四）资产权属依据</w:t>
      </w:r>
    </w:p>
    <w:p>
      <w:pPr>
        <w:pStyle w:val="2"/>
        <w:pageBreakBefore w:val="0"/>
        <w:widowControl w:val="0"/>
        <w:numPr>
          <w:ilvl w:val="0"/>
          <w:numId w:val="4"/>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bookmarkStart w:id="21" w:name="_Toc495555895"/>
      <w:bookmarkStart w:id="22" w:name="_Toc522509760"/>
      <w:bookmarkStart w:id="23" w:name="_Toc502117271"/>
      <w:bookmarkStart w:id="24" w:name="_Toc403664410"/>
      <w:r>
        <w:rPr>
          <w:rFonts w:hint="eastAsia" w:cs="Times New Roman" w:eastAsiaTheme="minorEastAsia"/>
          <w:szCs w:val="24"/>
          <w:lang w:val="en-US" w:eastAsia="zh-CN"/>
        </w:rPr>
        <w:t>不动产权证书、房屋所有权证</w:t>
      </w:r>
      <w:r>
        <w:rPr>
          <w:rFonts w:hint="default" w:ascii="Times New Roman" w:hAnsi="Times New Roman" w:cs="Times New Roman" w:eastAsiaTheme="minorEastAsia"/>
          <w:szCs w:val="24"/>
          <w:lang w:val="en-US" w:eastAsia="zh-CN"/>
        </w:rPr>
        <w:t>；</w:t>
      </w:r>
    </w:p>
    <w:p>
      <w:pPr>
        <w:pStyle w:val="2"/>
        <w:pageBreakBefore w:val="0"/>
        <w:widowControl w:val="0"/>
        <w:numPr>
          <w:ilvl w:val="0"/>
          <w:numId w:val="4"/>
        </w:numPr>
        <w:tabs>
          <w:tab w:val="left" w:pos="851"/>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其他权属文件。</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（五）评估取价依据</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产权持有人提供的房屋建（构）筑物清查评估明细表；</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关于印发《基本建设项目成本管理规定》的通知（财建[2016]504号）；</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参考原国家计委、建设部及当地有关部门公布制定的收费标准</w:t>
      </w:r>
      <w:r>
        <w:rPr>
          <w:rFonts w:hint="default" w:ascii="Times New Roman" w:hAnsi="Times New Roman" w:cs="Times New Roman"/>
          <w:szCs w:val="24"/>
          <w:lang w:eastAsia="zh-CN"/>
        </w:rPr>
        <w:t>；</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kern w:val="2"/>
          <w:szCs w:val="24"/>
        </w:rPr>
        <w:t>中国人民银行授权全国银行间同业拆借中心公布，202</w:t>
      </w:r>
      <w:r>
        <w:rPr>
          <w:rFonts w:hint="default" w:ascii="Times New Roman" w:hAnsi="Times New Roman" w:cs="Times New Roman"/>
          <w:kern w:val="2"/>
          <w:szCs w:val="24"/>
          <w:lang w:val="en-US" w:eastAsia="zh-CN"/>
        </w:rPr>
        <w:t>2</w:t>
      </w:r>
      <w:r>
        <w:rPr>
          <w:rFonts w:hint="default" w:ascii="Times New Roman" w:hAnsi="Times New Roman" w:cs="Times New Roman"/>
          <w:kern w:val="2"/>
          <w:szCs w:val="24"/>
        </w:rPr>
        <w:t>年</w:t>
      </w:r>
      <w:r>
        <w:rPr>
          <w:rFonts w:hint="eastAsia" w:cs="Times New Roman"/>
          <w:kern w:val="2"/>
          <w:szCs w:val="24"/>
          <w:lang w:val="en-US" w:eastAsia="zh-CN"/>
        </w:rPr>
        <w:t>5</w:t>
      </w:r>
      <w:r>
        <w:rPr>
          <w:rFonts w:hint="default" w:ascii="Times New Roman" w:hAnsi="Times New Roman" w:cs="Times New Roman"/>
          <w:kern w:val="2"/>
          <w:szCs w:val="24"/>
        </w:rPr>
        <w:t>月2</w:t>
      </w:r>
      <w:r>
        <w:rPr>
          <w:rFonts w:hint="eastAsia" w:cs="Times New Roman"/>
          <w:kern w:val="2"/>
          <w:szCs w:val="24"/>
          <w:lang w:val="en-US" w:eastAsia="zh-CN"/>
        </w:rPr>
        <w:t>0</w:t>
      </w:r>
      <w:r>
        <w:rPr>
          <w:rFonts w:hint="default" w:ascii="Times New Roman" w:hAnsi="Times New Roman" w:cs="Times New Roman"/>
          <w:kern w:val="2"/>
          <w:szCs w:val="24"/>
        </w:rPr>
        <w:t>日贷款市场报价利率（LPR）</w:t>
      </w:r>
      <w:r>
        <w:rPr>
          <w:rFonts w:hint="default" w:ascii="Times New Roman" w:hAnsi="Times New Roman" w:cs="Times New Roman"/>
          <w:szCs w:val="24"/>
        </w:rPr>
        <w:t>；</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《房屋完损等级及评定标准》（城住字〔1984〕第678号）；</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甘肃省住房和城乡建设厅关于发布《甘肃省建设工程计价规则》（试行）的公告（甘建公告[2020]84号）；</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甘肃省住房和城乡建设厅关于发布《甘肃省建筑与装饰工程预算定额地区基价》等定额地区基价的公告（甘建公告〔2020〕61号）；</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甘肃省住房和城乡建设厅关于重新调整甘肃省建设工程计价依据增值税税率有关规定的通知（甘建价〔2019〕118号）；</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ab/>
      </w:r>
      <w:r>
        <w:rPr>
          <w:rFonts w:hint="default" w:ascii="Times New Roman" w:hAnsi="Times New Roman" w:cs="Times New Roman"/>
          <w:szCs w:val="24"/>
        </w:rPr>
        <w:tab/>
      </w:r>
      <w:r>
        <w:rPr>
          <w:rFonts w:hint="eastAsia" w:cs="Times New Roman"/>
          <w:szCs w:val="24"/>
          <w:lang w:val="en-US" w:eastAsia="zh-CN"/>
        </w:rPr>
        <w:t>定西</w:t>
      </w:r>
      <w:r>
        <w:rPr>
          <w:rFonts w:hint="default" w:ascii="Times New Roman" w:hAnsi="Times New Roman" w:cs="Times New Roman"/>
          <w:szCs w:val="24"/>
        </w:rPr>
        <w:t>市202</w:t>
      </w:r>
      <w:r>
        <w:rPr>
          <w:rFonts w:hint="eastAsia" w:cs="Times New Roman"/>
          <w:szCs w:val="24"/>
          <w:lang w:val="en-US" w:eastAsia="zh-CN"/>
        </w:rPr>
        <w:t>2</w:t>
      </w:r>
      <w:r>
        <w:rPr>
          <w:rFonts w:hint="default" w:ascii="Times New Roman" w:hAnsi="Times New Roman" w:cs="Times New Roman"/>
          <w:szCs w:val="24"/>
        </w:rPr>
        <w:t>年第</w:t>
      </w:r>
      <w:r>
        <w:rPr>
          <w:rFonts w:hint="eastAsia" w:cs="Times New Roman"/>
          <w:szCs w:val="24"/>
          <w:lang w:val="en-US" w:eastAsia="zh-CN"/>
        </w:rPr>
        <w:t>一</w:t>
      </w:r>
      <w:r>
        <w:rPr>
          <w:rFonts w:hint="default" w:ascii="Times New Roman" w:hAnsi="Times New Roman" w:cs="Times New Roman"/>
          <w:szCs w:val="24"/>
        </w:rPr>
        <w:t>季度工程建设材料信息价；</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定西市住房和城乡建设局关于发布《定西市2021年下半年建设工程人工市场信息价》的通知；</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商务部、发改委、公安部、环境保护部令2012年第12号《机动车强制报废标准规定》；</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kern w:val="2"/>
          <w:szCs w:val="24"/>
        </w:rPr>
        <w:t>机械工业出版社202</w:t>
      </w:r>
      <w:r>
        <w:rPr>
          <w:rFonts w:hint="default" w:ascii="Times New Roman" w:hAnsi="Times New Roman" w:cs="Times New Roman"/>
          <w:kern w:val="2"/>
          <w:szCs w:val="24"/>
          <w:lang w:val="en-US" w:eastAsia="zh-CN"/>
        </w:rPr>
        <w:t>2</w:t>
      </w:r>
      <w:r>
        <w:rPr>
          <w:rFonts w:hint="default" w:ascii="Times New Roman" w:hAnsi="Times New Roman" w:cs="Times New Roman"/>
          <w:kern w:val="2"/>
          <w:szCs w:val="24"/>
        </w:rPr>
        <w:t>年《中国机电产品报价手册》；</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《最新资产评估常用数据与参数手册》；</w:t>
      </w:r>
    </w:p>
    <w:p>
      <w:pPr>
        <w:pStyle w:val="2"/>
        <w:pageBreakBefore w:val="0"/>
        <w:widowControl w:val="0"/>
        <w:numPr>
          <w:ilvl w:val="0"/>
          <w:numId w:val="5"/>
        </w:numPr>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szCs w:val="24"/>
        </w:rPr>
      </w:pPr>
      <w:r>
        <w:rPr>
          <w:rFonts w:hint="default" w:ascii="Times New Roman" w:hAnsi="Times New Roman" w:cs="Times New Roman"/>
          <w:szCs w:val="24"/>
        </w:rPr>
        <w:t>评估人员现场收集的其他资料。</w:t>
      </w:r>
    </w:p>
    <w:bookmarkEnd w:id="21"/>
    <w:bookmarkEnd w:id="22"/>
    <w:bookmarkEnd w:id="23"/>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25" w:name="_Toc22010"/>
      <w:r>
        <w:rPr>
          <w:rFonts w:hint="default" w:ascii="Times New Roman" w:hAnsi="Times New Roman" w:cs="Times New Roman" w:eastAsiaTheme="minorEastAsia"/>
          <w:sz w:val="28"/>
          <w:szCs w:val="28"/>
        </w:rPr>
        <w:t>七、评估方法</w:t>
      </w:r>
      <w:bookmarkEnd w:id="25"/>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（一）评估方法简介</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资产评估基本方法包括市场法、收益法和成本法。</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市场法是利用市场上同样或类似资产的近期交易价格，经过直接比较或类比分析以估测资产价值的评估方法，市场法适用的条件是在同一供求范围内存在足够多的类似被评估资产的交易案例。</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收益法是将被评估资产的未来预期收益依一定折现率折成现值确定资产价值的评估方法，收益法适用的条件是与被评估资产相对应的收益和成本能够比较准确的量化。</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成本法是指首先估测被评估资产的重置成本，然后估测被评估资产业已存在的各种贬损因素，并将其从重置成本中予以扣除而得到被评估资产价值的各种评估方法的总称。</w:t>
      </w:r>
    </w:p>
    <w:p>
      <w:pPr>
        <w:pStyle w:val="2"/>
        <w:pageBreakBefore w:val="0"/>
        <w:widowControl w:val="0"/>
        <w:kinsoku/>
        <w:wordWrap/>
        <w:overflowPunct/>
        <w:topLinePunct w:val="0"/>
        <w:autoSpaceDE/>
        <w:autoSpaceDN/>
        <w:bidi w:val="0"/>
        <w:adjustRightInd w:val="0"/>
        <w:snapToGrid w:val="0"/>
        <w:spacing w:line="360" w:lineRule="auto"/>
        <w:ind w:firstLine="482" w:firstLineChars="200"/>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（二）评估方法的选择</w:t>
      </w:r>
    </w:p>
    <w:p>
      <w:pPr>
        <w:pStyle w:val="2"/>
        <w:pageBreakBefore w:val="0"/>
        <w:widowControl w:val="0"/>
        <w:kinsoku/>
        <w:wordWrap/>
        <w:overflowPunct/>
        <w:topLinePunct w:val="0"/>
        <w:autoSpaceDE/>
        <w:autoSpaceDN/>
        <w:bidi w:val="0"/>
        <w:adjustRightInd w:val="0"/>
        <w:snapToGrid w:val="0"/>
        <w:spacing w:line="360" w:lineRule="auto"/>
        <w:ind w:firstLine="417" w:firstLineChars="174"/>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遵照《资产评估基本准则》的相关要求：资产评估师执行评估业务，应当根据评估对象、评估目的、价值类型、资料收集情况等相关条件，分析收益法、市场法和成本法三种资产评估基本方法的适用性，恰当选择一种或多种资产评估方法。</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17" w:firstLineChars="174"/>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本次评估范围为</w:t>
      </w:r>
      <w:r>
        <w:rPr>
          <w:rFonts w:hint="default" w:ascii="Times New Roman" w:hAnsi="Times New Roman" w:cs="Times New Roman" w:eastAsiaTheme="minorEastAsia"/>
          <w:szCs w:val="24"/>
          <w:lang w:eastAsia="zh-CN"/>
        </w:rPr>
        <w:t>定西市安定区人民法院</w:t>
      </w:r>
      <w:r>
        <w:rPr>
          <w:rFonts w:hint="eastAsia" w:cs="Times New Roman" w:eastAsiaTheme="minorEastAsia"/>
          <w:szCs w:val="24"/>
          <w:lang w:val="en-US" w:eastAsia="zh-CN"/>
        </w:rPr>
        <w:t>拟执行财产处置</w:t>
      </w:r>
      <w:r>
        <w:rPr>
          <w:rFonts w:hint="default" w:ascii="Times New Roman" w:hAnsi="Times New Roman" w:cs="Times New Roman" w:eastAsiaTheme="minorEastAsia"/>
          <w:szCs w:val="24"/>
        </w:rPr>
        <w:t>涉及的部分资产。由于我国目前市场化、信息化程度不高，市场上同类资产交易资料较为缺乏，在选取可比参照物方面具有极大难度，故本次评估未采用市场法。</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17" w:firstLineChars="174"/>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收益法的基础是经济学的预期效用理论，即对投资者来讲，企业的价值在于预期企业未来所能够产生的收益。从收益法适用条件来看，本次评估目的为征地拆迁所涉及的部分房地产资产，因此本次评估不适用收益法。</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结合本次评估情况，产权持有人可以提供、评估师也可以从外部收集到满足成本法所需的资料，可以对产权持有人资产展开全面的清查和评估，因此本次评估适用成本法。</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因此，本次评估选用成本法进行评估。</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（三）具体评估方法介绍</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1、房屋建（构）筑物</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eastAsia" w:ascii="Times New Roman" w:hAnsi="Times New Roman" w:eastAsia="宋体" w:cs="Times New Roman"/>
          <w:kern w:val="0"/>
          <w:sz w:val="24"/>
          <w:lang w:val="en-US" w:eastAsia="zh-CN" w:bidi="ar-SA"/>
        </w:rPr>
      </w:pPr>
      <w:r>
        <w:rPr>
          <w:rFonts w:hint="default" w:ascii="Times New Roman" w:hAnsi="Times New Roman" w:eastAsia="宋体" w:cs="Times New Roman"/>
          <w:kern w:val="0"/>
          <w:sz w:val="24"/>
          <w:lang w:val="en-US" w:eastAsia="zh-CN" w:bidi="ar-SA"/>
        </w:rPr>
        <w:t>根据评估范围内房屋建（构）筑物的特点、评估价值类型、评估目的、资料收集情况等相关条件，主要采用成本法、市场法评估</w:t>
      </w:r>
      <w:r>
        <w:rPr>
          <w:rFonts w:hint="eastAsia" w:ascii="Times New Roman" w:hAnsi="Times New Roman" w:eastAsia="宋体" w:cs="Times New Roman"/>
          <w:kern w:val="0"/>
          <w:sz w:val="24"/>
          <w:lang w:val="en-US" w:eastAsia="zh-CN" w:bidi="ar-SA"/>
        </w:rPr>
        <w:t>。</w:t>
      </w:r>
    </w:p>
    <w:p>
      <w:pPr>
        <w:pageBreakBefore w:val="0"/>
        <w:widowControl w:val="0"/>
        <w:kinsoku/>
        <w:wordWrap/>
        <w:overflowPunct/>
        <w:topLinePunct w:val="0"/>
        <w:autoSpaceDE/>
        <w:autoSpaceDN/>
        <w:bidi w:val="0"/>
        <w:adjustRightInd w:val="0"/>
        <w:snapToGrid w:val="0"/>
        <w:spacing w:before="60" w:after="60" w:line="360" w:lineRule="auto"/>
        <w:ind w:left="0" w:firstLine="482" w:firstLineChars="200"/>
        <w:jc w:val="both"/>
        <w:textAlignment w:val="baseline"/>
        <w:rPr>
          <w:rFonts w:hint="default" w:ascii="Times New Roman" w:hAnsi="Times New Roman" w:eastAsia="宋体" w:cs="Times New Roman"/>
          <w:b/>
          <w:bCs/>
          <w:kern w:val="0"/>
          <w:sz w:val="24"/>
          <w:lang w:val="en-US" w:eastAsia="zh-CN" w:bidi="ar-SA"/>
        </w:rPr>
      </w:pPr>
      <w:r>
        <w:rPr>
          <w:rFonts w:hint="eastAsia" w:ascii="Times New Roman" w:hAnsi="Times New Roman" w:eastAsia="宋体" w:cs="Times New Roman"/>
          <w:b/>
          <w:bCs/>
          <w:kern w:val="0"/>
          <w:sz w:val="24"/>
          <w:lang w:val="en-US" w:eastAsia="zh-CN" w:bidi="ar-SA"/>
        </w:rPr>
        <w:t>一）成本法</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lang w:val="en-US" w:eastAsia="zh-CN" w:bidi="ar-SA"/>
        </w:rPr>
      </w:pPr>
      <w:r>
        <w:rPr>
          <w:rFonts w:hint="default" w:ascii="Times New Roman" w:hAnsi="Times New Roman" w:eastAsia="宋体" w:cs="Times New Roman"/>
          <w:kern w:val="0"/>
          <w:sz w:val="24"/>
          <w:lang w:val="en-US" w:eastAsia="zh-CN" w:bidi="ar-SA"/>
        </w:rPr>
        <w:t>成本法计算公式：</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评估值＝重置全价×综合成新率</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①重置全价的确定</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重置全价＝含税建安工程造价＋前期及其他费用＋资金成本－可抵扣增值税</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（1）含税建安综合造价的确定</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评估工作中，评估人员可通过查勘待估建（构）筑物的各项实物情况和调查工程竣工图纸、工程结算资料齐全情况，采取不同评估方法分别确定待估建（构）筑物建安工程综合造价。一般综合造价的确定可根据实际情况采用重编预算法、决算调整法、类比系数调整法、单方造价指标法等方法中的一种方法来确定评估对象的建安工程综合造价或同时运用几种方法综合确定评估对象的建安工程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重编预算法：以待估建筑物的工程竣工资料、图纸、预决算资料为基础，结合现场勘察结果，重新编制工程量清单，按各地现行建筑工程预算定额和取费标准计算出评估基准日各个主要建筑物和具有代表性的建筑物的工程造价，并计入评估基准日现行的国家及各地对建设项目收取的各项工程建设其他费用后，根据工程建设合理工期计算资金成本，得出建筑物的重置成本。</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决算调整法：对于竣工图纸、工程决算资料齐全的房屋建筑物，以决算资料中经确认的工程量为基础，分析房屋建筑物建安工程综合造价决算中的各项构成费用，并根据评估基准日当地市场的人工、材料等价格信息和相关取费文件，对房屋建筑物建安工程综合造价决算进行调整，确定其建安工程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类比系数调整法：对于设计图纸及工程决算资料不齐全的建（构）筑物可使用类比系数调整法进行测算，可通过对典型工程案例或省市当地工程造价主管部门公布的《已完工造价分析表》中的工程结算实例的建筑面积、结构型式、层高、层数、跨度、材质、内外装修、施工质量、使用维修维护等各项情况与评估对象进行比较，参考决算调整法测算出的典型工程案例人工费、材料费、机械费增长率，调整典型工程案例或工程结算实例建安工程综合造价后求取此类建（构）筑物的建安工程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单方造价指标估算法：对于某些建成年份较早的建筑物，其账面历史成本已不具备参考价值，且工程图纸、工程决算资料也不齐全，估价人员经综合分析后可采用单方造价指标，并结合以往类似工程经验，求取此类建（构）筑物的建安工程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对于大型、价值高、重要的建(构)筑物采用决算调整法确定其建安综合造价，即以待估建(构)筑物决算中的工程量为基础，按现行工程预算价格、费率，将调整为按现行计算的建安综合造价。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一般建(构)筑物：根据典型房屋和构筑物实物工程量，按照现行建筑安装工程定额(或指标)和取费标准及当地的材料价格、人工工资，确定其综合造价；计算出典型工程综合造价后，再运用类比法对类似房屋和构筑物进行分析，找出其与典型房屋和构筑物的差异因素，进行增减调整，从而计算出与典型工程类似的房屋和构筑物的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对于价值量小、结构简单的建(构)筑物采用单方造价法确定其建安综合造价。</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(2)前期及其他费用</w:t>
      </w:r>
    </w:p>
    <w:p>
      <w:pPr>
        <w:pageBreakBefore w:val="0"/>
        <w:widowControl w:val="0"/>
        <w:kinsoku/>
        <w:wordWrap/>
        <w:overflowPunct/>
        <w:topLinePunct w:val="0"/>
        <w:autoSpaceDE/>
        <w:autoSpaceDN/>
        <w:bidi w:val="0"/>
        <w:adjustRightInd w:val="0"/>
        <w:snapToGrid w:val="0"/>
        <w:spacing w:before="60" w:after="60" w:line="360" w:lineRule="auto"/>
        <w:ind w:left="0"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建设工程前期及其他费用按照产权持有人的工程建设投资额，根据行业、国家或地方政府规定的收费标准计取。前期及其他费用名称、计费基础、计费标准、计费依据如下表：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333"/>
        <w:gridCol w:w="1631"/>
        <w:gridCol w:w="1188"/>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序号</w:t>
            </w:r>
          </w:p>
        </w:tc>
        <w:tc>
          <w:tcPr>
            <w:tcW w:w="1337" w:type="pct"/>
            <w:noWrap w:val="0"/>
            <w:vAlign w:val="center"/>
          </w:tcPr>
          <w:p>
            <w:pPr>
              <w:widowControl/>
              <w:jc w:val="center"/>
              <w:rPr>
                <w:color w:val="000000"/>
                <w:kern w:val="0"/>
                <w:sz w:val="21"/>
                <w:szCs w:val="21"/>
              </w:rPr>
            </w:pPr>
            <w:r>
              <w:rPr>
                <w:color w:val="000000"/>
                <w:kern w:val="0"/>
                <w:sz w:val="21"/>
                <w:szCs w:val="21"/>
              </w:rPr>
              <w:t>工程或费用名称</w:t>
            </w:r>
          </w:p>
        </w:tc>
        <w:tc>
          <w:tcPr>
            <w:tcW w:w="935" w:type="pct"/>
            <w:noWrap w:val="0"/>
            <w:vAlign w:val="center"/>
          </w:tcPr>
          <w:p>
            <w:pPr>
              <w:widowControl/>
              <w:jc w:val="center"/>
              <w:rPr>
                <w:color w:val="000000"/>
                <w:kern w:val="0"/>
                <w:sz w:val="21"/>
                <w:szCs w:val="21"/>
              </w:rPr>
            </w:pPr>
            <w:r>
              <w:rPr>
                <w:color w:val="000000"/>
                <w:kern w:val="0"/>
                <w:sz w:val="21"/>
                <w:szCs w:val="21"/>
              </w:rPr>
              <w:t>取费基础</w:t>
            </w:r>
          </w:p>
        </w:tc>
        <w:tc>
          <w:tcPr>
            <w:tcW w:w="681" w:type="pct"/>
            <w:noWrap w:val="0"/>
            <w:vAlign w:val="center"/>
          </w:tcPr>
          <w:p>
            <w:pPr>
              <w:widowControl/>
              <w:jc w:val="center"/>
              <w:rPr>
                <w:color w:val="000000"/>
                <w:kern w:val="0"/>
                <w:sz w:val="21"/>
                <w:szCs w:val="21"/>
              </w:rPr>
            </w:pPr>
            <w:r>
              <w:rPr>
                <w:color w:val="000000"/>
                <w:kern w:val="0"/>
                <w:sz w:val="21"/>
                <w:szCs w:val="21"/>
              </w:rPr>
              <w:t>费率</w:t>
            </w:r>
          </w:p>
        </w:tc>
        <w:tc>
          <w:tcPr>
            <w:tcW w:w="1532" w:type="pct"/>
            <w:noWrap w:val="0"/>
            <w:vAlign w:val="center"/>
          </w:tcPr>
          <w:p>
            <w:pPr>
              <w:widowControl/>
              <w:jc w:val="center"/>
              <w:rPr>
                <w:color w:val="000000"/>
                <w:kern w:val="0"/>
                <w:sz w:val="21"/>
                <w:szCs w:val="21"/>
              </w:rPr>
            </w:pPr>
            <w:r>
              <w:rPr>
                <w:color w:val="000000"/>
                <w:kern w:val="0"/>
                <w:sz w:val="21"/>
                <w:szCs w:val="21"/>
              </w:rPr>
              <w:t>取费依据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1</w:t>
            </w:r>
          </w:p>
        </w:tc>
        <w:tc>
          <w:tcPr>
            <w:tcW w:w="1337" w:type="pct"/>
            <w:noWrap w:val="0"/>
            <w:vAlign w:val="center"/>
          </w:tcPr>
          <w:p>
            <w:pPr>
              <w:widowControl/>
              <w:jc w:val="left"/>
              <w:rPr>
                <w:color w:val="000000"/>
                <w:kern w:val="0"/>
                <w:sz w:val="21"/>
                <w:szCs w:val="21"/>
              </w:rPr>
            </w:pPr>
            <w:r>
              <w:rPr>
                <w:color w:val="000000"/>
                <w:kern w:val="0"/>
                <w:sz w:val="21"/>
                <w:szCs w:val="21"/>
              </w:rPr>
              <w:t>建设单位管理费</w:t>
            </w:r>
          </w:p>
        </w:tc>
        <w:tc>
          <w:tcPr>
            <w:tcW w:w="935" w:type="pct"/>
            <w:noWrap w:val="0"/>
            <w:vAlign w:val="center"/>
          </w:tcPr>
          <w:p>
            <w:pPr>
              <w:widowControl/>
              <w:jc w:val="center"/>
              <w:rPr>
                <w:color w:val="000000"/>
                <w:kern w:val="0"/>
                <w:sz w:val="21"/>
                <w:szCs w:val="21"/>
              </w:rPr>
            </w:pPr>
            <w:r>
              <w:rPr>
                <w:color w:val="000000"/>
                <w:kern w:val="0"/>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1.83%</w:t>
            </w:r>
          </w:p>
        </w:tc>
        <w:tc>
          <w:tcPr>
            <w:tcW w:w="1532" w:type="pct"/>
            <w:noWrap w:val="0"/>
            <w:vAlign w:val="center"/>
          </w:tcPr>
          <w:p>
            <w:pPr>
              <w:widowControl/>
              <w:jc w:val="center"/>
              <w:rPr>
                <w:color w:val="000000"/>
                <w:kern w:val="0"/>
                <w:sz w:val="21"/>
                <w:szCs w:val="21"/>
              </w:rPr>
            </w:pPr>
            <w:r>
              <w:rPr>
                <w:color w:val="000000"/>
                <w:kern w:val="0"/>
                <w:sz w:val="21"/>
                <w:szCs w:val="21"/>
              </w:rPr>
              <w:t>财建〔2016〕504号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2</w:t>
            </w:r>
          </w:p>
        </w:tc>
        <w:tc>
          <w:tcPr>
            <w:tcW w:w="1337" w:type="pct"/>
            <w:noWrap w:val="0"/>
            <w:vAlign w:val="center"/>
          </w:tcPr>
          <w:p>
            <w:pPr>
              <w:widowControl/>
              <w:jc w:val="left"/>
              <w:rPr>
                <w:color w:val="000000"/>
                <w:kern w:val="0"/>
                <w:sz w:val="21"/>
                <w:szCs w:val="21"/>
              </w:rPr>
            </w:pPr>
            <w:r>
              <w:rPr>
                <w:color w:val="000000"/>
                <w:kern w:val="0"/>
                <w:sz w:val="21"/>
                <w:szCs w:val="21"/>
              </w:rPr>
              <w:t>工程监理费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2.40%</w:t>
            </w:r>
          </w:p>
        </w:tc>
        <w:tc>
          <w:tcPr>
            <w:tcW w:w="1532" w:type="pct"/>
            <w:vMerge w:val="restart"/>
            <w:noWrap w:val="0"/>
            <w:vAlign w:val="center"/>
          </w:tcPr>
          <w:p>
            <w:pPr>
              <w:widowControl/>
              <w:jc w:val="both"/>
              <w:rPr>
                <w:rFonts w:hint="eastAsia" w:eastAsia="宋体"/>
                <w:color w:val="000000"/>
                <w:kern w:val="0"/>
                <w:sz w:val="21"/>
                <w:szCs w:val="21"/>
                <w:lang w:eastAsia="zh-CN"/>
              </w:rPr>
            </w:pPr>
            <w:r>
              <w:rPr>
                <w:rFonts w:hint="eastAsia"/>
                <w:color w:val="000000"/>
                <w:kern w:val="0"/>
                <w:sz w:val="21"/>
                <w:szCs w:val="21"/>
              </w:rPr>
              <w:t>参考原国家计委、建设部及当地有关部门公布制定的收费标准</w:t>
            </w:r>
            <w:r>
              <w:rPr>
                <w:rFonts w:hint="eastAsia" w:eastAsia="宋体"/>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3</w:t>
            </w:r>
          </w:p>
        </w:tc>
        <w:tc>
          <w:tcPr>
            <w:tcW w:w="1337" w:type="pct"/>
            <w:noWrap w:val="0"/>
            <w:vAlign w:val="center"/>
          </w:tcPr>
          <w:p>
            <w:pPr>
              <w:widowControl/>
              <w:jc w:val="left"/>
              <w:rPr>
                <w:color w:val="000000"/>
                <w:kern w:val="0"/>
                <w:sz w:val="21"/>
                <w:szCs w:val="21"/>
              </w:rPr>
            </w:pPr>
            <w:r>
              <w:rPr>
                <w:color w:val="000000"/>
                <w:kern w:val="0"/>
                <w:sz w:val="21"/>
                <w:szCs w:val="21"/>
              </w:rPr>
              <w:t>工程勘察设计费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4.70%</w:t>
            </w:r>
          </w:p>
        </w:tc>
        <w:tc>
          <w:tcPr>
            <w:tcW w:w="1532" w:type="pct"/>
            <w:vMerge w:val="continue"/>
            <w:noWrap w:val="0"/>
            <w:vAlign w:val="center"/>
          </w:tcPr>
          <w:p>
            <w:pPr>
              <w:widowControl/>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4</w:t>
            </w:r>
          </w:p>
        </w:tc>
        <w:tc>
          <w:tcPr>
            <w:tcW w:w="1337" w:type="pct"/>
            <w:noWrap w:val="0"/>
            <w:vAlign w:val="center"/>
          </w:tcPr>
          <w:p>
            <w:pPr>
              <w:widowControl/>
              <w:jc w:val="left"/>
              <w:rPr>
                <w:color w:val="000000"/>
                <w:kern w:val="0"/>
                <w:sz w:val="21"/>
                <w:szCs w:val="21"/>
              </w:rPr>
            </w:pPr>
            <w:r>
              <w:rPr>
                <w:color w:val="000000"/>
                <w:kern w:val="0"/>
                <w:sz w:val="21"/>
                <w:szCs w:val="21"/>
              </w:rPr>
              <w:t>招标代理费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0.55%</w:t>
            </w:r>
          </w:p>
        </w:tc>
        <w:tc>
          <w:tcPr>
            <w:tcW w:w="1532" w:type="pct"/>
            <w:vMerge w:val="continue"/>
            <w:noWrap w:val="0"/>
            <w:vAlign w:val="center"/>
          </w:tcPr>
          <w:p>
            <w:pPr>
              <w:widowControl/>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5</w:t>
            </w:r>
          </w:p>
        </w:tc>
        <w:tc>
          <w:tcPr>
            <w:tcW w:w="1337" w:type="pct"/>
            <w:noWrap w:val="0"/>
            <w:vAlign w:val="center"/>
          </w:tcPr>
          <w:p>
            <w:pPr>
              <w:widowControl/>
              <w:jc w:val="left"/>
              <w:rPr>
                <w:color w:val="000000"/>
                <w:kern w:val="0"/>
                <w:sz w:val="21"/>
                <w:szCs w:val="21"/>
              </w:rPr>
            </w:pPr>
            <w:r>
              <w:rPr>
                <w:color w:val="000000"/>
                <w:kern w:val="0"/>
                <w:sz w:val="21"/>
                <w:szCs w:val="21"/>
              </w:rPr>
              <w:t>环境评价费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0.37%</w:t>
            </w:r>
          </w:p>
        </w:tc>
        <w:tc>
          <w:tcPr>
            <w:tcW w:w="1532" w:type="pct"/>
            <w:vMerge w:val="continue"/>
            <w:noWrap w:val="0"/>
            <w:vAlign w:val="center"/>
          </w:tcPr>
          <w:p>
            <w:pPr>
              <w:widowControl/>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p>
        </w:tc>
        <w:tc>
          <w:tcPr>
            <w:tcW w:w="1337" w:type="pct"/>
            <w:noWrap w:val="0"/>
            <w:vAlign w:val="center"/>
          </w:tcPr>
          <w:p>
            <w:pPr>
              <w:widowControl/>
              <w:jc w:val="center"/>
              <w:rPr>
                <w:color w:val="000000"/>
                <w:kern w:val="0"/>
                <w:sz w:val="21"/>
                <w:szCs w:val="21"/>
              </w:rPr>
            </w:pPr>
            <w:r>
              <w:rPr>
                <w:color w:val="000000"/>
                <w:kern w:val="0"/>
                <w:sz w:val="21"/>
                <w:szCs w:val="21"/>
              </w:rPr>
              <w:t>小计</w:t>
            </w:r>
          </w:p>
        </w:tc>
        <w:tc>
          <w:tcPr>
            <w:tcW w:w="935" w:type="pct"/>
            <w:noWrap w:val="0"/>
            <w:vAlign w:val="center"/>
          </w:tcPr>
          <w:p>
            <w:pPr>
              <w:widowControl/>
              <w:jc w:val="center"/>
              <w:rPr>
                <w:color w:val="000000"/>
                <w:kern w:val="0"/>
                <w:sz w:val="21"/>
                <w:szCs w:val="21"/>
              </w:rPr>
            </w:pP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9.85%</w:t>
            </w:r>
          </w:p>
        </w:tc>
        <w:tc>
          <w:tcPr>
            <w:tcW w:w="1532" w:type="pct"/>
            <w:noWrap w:val="0"/>
            <w:vAlign w:val="center"/>
          </w:tcPr>
          <w:p>
            <w:pPr>
              <w:widowControl/>
              <w:jc w:val="center"/>
              <w:rPr>
                <w:color w:val="000000"/>
                <w:kern w:val="0"/>
                <w:sz w:val="21"/>
                <w:szCs w:val="21"/>
              </w:rPr>
            </w:pPr>
          </w:p>
        </w:tc>
      </w:tr>
    </w:tbl>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（3）资金成本按照产权持有人的合理建设工期，参照评估基准日中国人民银行授权全国银行间同业拆借中心公布2022年</w:t>
      </w:r>
      <w:r>
        <w:rPr>
          <w:rFonts w:hint="eastAsia" w:ascii="Times New Roman" w:hAnsi="Times New Roman" w:eastAsia="宋体" w:cs="Times New Roman"/>
          <w:kern w:val="0"/>
          <w:sz w:val="24"/>
          <w:szCs w:val="24"/>
          <w:lang w:val="en-US" w:eastAsia="zh-CN" w:bidi="ar-SA"/>
        </w:rPr>
        <w:t>5</w:t>
      </w:r>
      <w:r>
        <w:rPr>
          <w:rFonts w:hint="default" w:ascii="Times New Roman" w:hAnsi="Times New Roman" w:eastAsia="宋体" w:cs="Times New Roman"/>
          <w:kern w:val="0"/>
          <w:sz w:val="24"/>
          <w:szCs w:val="24"/>
          <w:lang w:val="en-US" w:eastAsia="zh-CN" w:bidi="ar-SA"/>
        </w:rPr>
        <w:t>月2</w:t>
      </w:r>
      <w:r>
        <w:rPr>
          <w:rFonts w:hint="eastAsia" w:ascii="Times New Roman" w:hAnsi="Times New Roman" w:eastAsia="宋体" w:cs="Times New Roman"/>
          <w:kern w:val="0"/>
          <w:sz w:val="24"/>
          <w:szCs w:val="24"/>
          <w:lang w:val="en-US" w:eastAsia="zh-CN" w:bidi="ar-SA"/>
        </w:rPr>
        <w:t>0</w:t>
      </w:r>
      <w:r>
        <w:rPr>
          <w:rFonts w:hint="default" w:ascii="Times New Roman" w:hAnsi="Times New Roman" w:eastAsia="宋体" w:cs="Times New Roman"/>
          <w:kern w:val="0"/>
          <w:sz w:val="24"/>
          <w:szCs w:val="24"/>
          <w:lang w:val="en-US" w:eastAsia="zh-CN" w:bidi="ar-SA"/>
        </w:rPr>
        <w:t>日贷款市场报价利率，以含税建安工程造价、前期及其他费用等总和为基数按照资金均匀投入计取。产权持有人的合理建设工期为1年。资金成本计算公式如下：</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资金成本＝(含税建安工程造价＋前期及其他费用)×贷款利率×合理建设工期×50%</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（4）可抵扣增值税</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highlight w:val="yellow"/>
          <w:lang w:val="en-US" w:eastAsia="zh-CN" w:bidi="ar-SA"/>
        </w:rPr>
      </w:pPr>
      <w:r>
        <w:rPr>
          <w:rFonts w:hint="default" w:ascii="Times New Roman" w:hAnsi="Times New Roman" w:eastAsia="宋体" w:cs="Times New Roman"/>
          <w:kern w:val="0"/>
          <w:sz w:val="24"/>
          <w:szCs w:val="24"/>
          <w:lang w:val="en-US" w:eastAsia="zh-CN" w:bidi="ar-SA"/>
        </w:rPr>
        <w:t>根据《财政部、税务总局、海关总署关于深化增值税改革有关政策的公告》（财政部、税务总局、海关总署公告2019年第39号）文件，对于符合增值税抵扣条件的建筑工程，重置全价扣除相应的增值税。</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②综合成新率的确定</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（A）对于价值大、重要的建（构）筑物采用打分法成新率和年限法成新率综合确定，其计算公式为：</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综合成新率＝打分法成新率×60%＋年限法成新率×40%</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其中：</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年限法成新率（%）＝尚可使用年限÷（尚可使用年限＋已使用年限）×100%</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现场勘察打分法成新率对主要建筑物逐项查阅各类建筑物的竣工资料，了解其历年来的维修、管理情况，并经现场勘察后，分别对建筑物的结构、装修、设备三部分进行打分，填写成新率的现场勘察表，测算勘察成新率。</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（B）对于单价价值小、结构相对简单的建（构）筑物，采用年限法并根据具体情况进行修正后确定成新率，计算公式：</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成新率＝（耐用年限－已使用年限）÷耐用年限×100%。</w:t>
      </w:r>
    </w:p>
    <w:p>
      <w:pPr>
        <w:pageBreakBefore w:val="0"/>
        <w:widowControl w:val="0"/>
        <w:kinsoku/>
        <w:wordWrap/>
        <w:overflowPunct/>
        <w:topLinePunct w:val="0"/>
        <w:autoSpaceDE/>
        <w:autoSpaceDN/>
        <w:bidi w:val="0"/>
        <w:adjustRightInd w:val="0"/>
        <w:snapToGrid w:val="0"/>
        <w:spacing w:before="60" w:after="60" w:line="360" w:lineRule="auto"/>
        <w:ind w:firstLine="482" w:firstLineChars="200"/>
        <w:jc w:val="both"/>
        <w:textAlignment w:val="baseline"/>
        <w:rPr>
          <w:rFonts w:hint="default" w:ascii="Times New Roman" w:hAnsi="Times New Roman" w:eastAsia="宋体" w:cs="Times New Roman"/>
          <w:b/>
          <w:bCs/>
          <w:kern w:val="0"/>
          <w:sz w:val="24"/>
          <w:szCs w:val="24"/>
          <w:lang w:val="en-US" w:eastAsia="zh-CN" w:bidi="ar-SA"/>
        </w:rPr>
      </w:pPr>
      <w:r>
        <w:rPr>
          <w:rFonts w:hint="eastAsia" w:ascii="Times New Roman" w:hAnsi="Times New Roman" w:eastAsia="宋体" w:cs="Times New Roman"/>
          <w:b/>
          <w:bCs/>
          <w:kern w:val="0"/>
          <w:sz w:val="24"/>
          <w:szCs w:val="24"/>
          <w:lang w:val="en-US" w:eastAsia="zh-CN" w:bidi="ar-SA"/>
        </w:rPr>
        <w:t>二）市场法</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根据本次评估目的和委估资产所处的地理位置，对外购商品房，且当地房地产市场发达，有可供比较案例，本次评估采用市场比较法。具体评估思路为：在售房交易市场中，选择与委估建筑物处于同一供需圈内具有较强相关性、替代性的近期交易实例作为参照物，再根据委估资产与参照物的状况、区域因素和交易情况等差异进行比较和修正，评估出委估资产的公开市场价值。计算公式如下：</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某项参照物调整后的市场价格（比准价值）=市场价格×交易情况修正系数×交易日期修正系数×不动产状况修正系数</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评估单位价值=各个参照物调整后市场单位价格（比准价格）的加权（算术）平均数</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评估价值=评估单位价值×评估建筑物建筑面积</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运用市场法估价应按下列步骤进行：</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(1)选取案例</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评估人员经过市场调查、对比分析，选取数个与待估房地产结构、用途、区域位置相近的物业作参照物。</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(2)编制比较因素条件指数表</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通过待估房地产与参照物各因素条件的分析比较，主要包括区位状况因素、实物状况因素和权益状况因素、对影响物业成交价格的各项因素进行比较，确定参照物相对于待估房地产影响因素的综合分值。</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(3)价格修正</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各参照物在交易价格的基础上进行期日修正、交易情况修正、区位状况因素修正、实物状况因素修正和权益状况因素修正，确定修正后的交易价格，然后比照各因素指数，进行因素修正确定比准价格。</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(4)计算评估单位价值</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依照最终测算的参照物的比准价格，如果价格比较接近，则采用算术平均值确定委估建筑物的单位价值，如果价格有较大差异，分析原因后采用加权平均法确定待估建筑物的单位价值。</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(5)房地产评估价值</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jc w:val="both"/>
        <w:textAlignment w:val="baseline"/>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房地产评估价值＝评估单位价值×评估建筑物建筑面积</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eastAsia="宋体" w:cs="Times New Roman"/>
          <w:lang w:val="en-US" w:eastAsia="zh-CN"/>
        </w:rPr>
      </w:pPr>
      <w:r>
        <w:rPr>
          <w:rFonts w:hint="default" w:ascii="Times New Roman" w:hAnsi="Times New Roman" w:cs="Times New Roman"/>
        </w:rPr>
        <w:t>2、</w:t>
      </w:r>
      <w:r>
        <w:rPr>
          <w:rFonts w:hint="eastAsia" w:cs="Times New Roman"/>
          <w:lang w:val="en-US" w:eastAsia="zh-CN"/>
        </w:rPr>
        <w:t>设备类资产</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本次机器设备的评估主要采用重置成本法。机器设备评估的重置成本法是通过估算全新机器设备的更新重置成本，然后扣减实体性贬值、功能性贬值和经济性贬值，或在确定综合成新率的基础上，确定机器设备评估价值的方法。设备的重置价值一般包括重新购置或建造与评估对象功效相同的全新资产所需的一切合理的直接费用和间接费用，如设备的购置价、运杂费、设备基础费、安装调试费、前期及其他费用、资金成本等。本次评估采用的计算公式为：</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评估价值=重置价值×综合成新率</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b w:val="0"/>
          <w:bCs w:val="0"/>
          <w:color w:val="auto"/>
          <w:szCs w:val="24"/>
        </w:rPr>
      </w:pPr>
      <w:r>
        <w:rPr>
          <w:rFonts w:hint="default" w:ascii="Times New Roman" w:hAnsi="Times New Roman" w:cs="Times New Roman"/>
          <w:b w:val="0"/>
          <w:bCs w:val="0"/>
          <w:color w:val="auto"/>
          <w:szCs w:val="24"/>
        </w:rPr>
        <w:t>一）机器设备的评估</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1.机器设备重置全价的确定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重置全价＝设备购置价＋运杂费＋设备基础费＋安装调试费＋前期及其他费用＋资金成本－可抵扣的增值税进项税</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对于零星购置的小型设备，不需要安装的设备，重置全价＝设备购置价格+运杂费－可抵扣的增值税进项税。对于一些运杂费和安装费包含在设备费中的，则直接用不含税购置价作为重置价值。</w:t>
      </w:r>
    </w:p>
    <w:p>
      <w:pPr>
        <w:pStyle w:val="2"/>
        <w:snapToGrid w:val="0"/>
        <w:spacing w:line="360" w:lineRule="auto"/>
        <w:ind w:firstLineChars="175"/>
        <w:rPr>
          <w:rFonts w:hint="default" w:ascii="Times New Roman" w:hAnsi="Times New Roman" w:cs="Times New Roman"/>
          <w:color w:val="auto"/>
          <w:szCs w:val="24"/>
        </w:rPr>
      </w:pPr>
      <w:r>
        <w:rPr>
          <w:rFonts w:hint="default" w:ascii="Times New Roman" w:hAnsi="Times New Roman" w:cs="Times New Roman"/>
          <w:color w:val="auto"/>
          <w:szCs w:val="24"/>
        </w:rPr>
        <w:t>（1）设备购置价</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于仍在现行市场流通的设备，直接按现行市场价确定设备的购置价格；对于已经淘汰、厂家不再生产、市场已不再流通的设备，则采用类似设备与委估设备比较，综合考虑设备的性能、技术参数、使用功能等方面的差异，分析确定购置价格。</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（2）运杂费</w:t>
      </w:r>
    </w:p>
    <w:p>
      <w:pPr>
        <w:pStyle w:val="2"/>
        <w:snapToGrid w:val="0"/>
        <w:spacing w:line="360" w:lineRule="auto"/>
        <w:ind w:firstLine="480" w:firstLineChars="200"/>
        <w:rPr>
          <w:rFonts w:hint="default" w:ascii="Times New Roman" w:hAnsi="Times New Roman" w:eastAsia="宋体" w:cs="Times New Roman"/>
          <w:color w:val="auto"/>
          <w:szCs w:val="24"/>
          <w:lang w:val="en-US" w:eastAsia="zh-CN"/>
        </w:rPr>
      </w:pPr>
      <w:r>
        <w:rPr>
          <w:rFonts w:hint="default" w:ascii="Times New Roman" w:hAnsi="Times New Roman" w:cs="Times New Roman"/>
          <w:color w:val="auto"/>
          <w:szCs w:val="24"/>
        </w:rPr>
        <w:t>对于国产设备，运杂费是指厂家或经销商销售处到设备安装现场的运输费用。本次评估，考虑生产厂家与设备所在地的距离、设备重量及外形尺寸等因素，按不同运杂费率计取。</w:t>
      </w:r>
      <w:r>
        <w:rPr>
          <w:rFonts w:hint="default" w:ascii="Times New Roman" w:hAnsi="Times New Roman" w:cs="Times New Roman"/>
          <w:color w:val="auto"/>
          <w:szCs w:val="24"/>
          <w:lang w:val="en-US" w:eastAsia="zh-CN"/>
        </w:rPr>
        <w:t>本次评估设备运输费用均已包含在设备购置价里，不再另行计算。</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（3）设备基础费</w:t>
      </w:r>
    </w:p>
    <w:p>
      <w:pPr>
        <w:pStyle w:val="2"/>
        <w:snapToGrid w:val="0"/>
        <w:spacing w:line="360" w:lineRule="auto"/>
        <w:ind w:firstLine="480" w:firstLineChars="200"/>
        <w:rPr>
          <w:rFonts w:hint="default" w:ascii="Times New Roman" w:hAnsi="Times New Roman" w:eastAsia="宋体" w:cs="Times New Roman"/>
          <w:color w:val="auto"/>
          <w:szCs w:val="24"/>
          <w:lang w:val="en-US" w:eastAsia="zh-CN"/>
        </w:rPr>
      </w:pPr>
      <w:r>
        <w:rPr>
          <w:rFonts w:hint="default" w:ascii="Times New Roman" w:hAnsi="Times New Roman" w:cs="Times New Roman"/>
          <w:color w:val="auto"/>
          <w:szCs w:val="24"/>
        </w:rPr>
        <w:t>对于设备的基础费，根据设备的特点，参照《机械工业建设项目概算编制办法及各项概算指标》</w:t>
      </w:r>
      <w:r>
        <w:rPr>
          <w:rFonts w:hint="default" w:ascii="Times New Roman" w:hAnsi="Times New Roman" w:cs="Times New Roman"/>
          <w:color w:val="auto"/>
          <w:szCs w:val="24"/>
          <w:lang w:val="en-US" w:eastAsia="zh-CN"/>
        </w:rPr>
        <w:t>等</w:t>
      </w:r>
      <w:r>
        <w:rPr>
          <w:rFonts w:hint="default" w:ascii="Times New Roman" w:hAnsi="Times New Roman" w:cs="Times New Roman"/>
          <w:color w:val="auto"/>
          <w:szCs w:val="24"/>
        </w:rPr>
        <w:t>，以购置价为基础，按不同安装费率计取。如设备不需单独的基础或基础已在建设厂房时统一建设，在计算设备重置全价时不再考虑设备基础费用。</w:t>
      </w:r>
      <w:r>
        <w:rPr>
          <w:rFonts w:hint="default" w:ascii="Times New Roman" w:hAnsi="Times New Roman" w:cs="Times New Roman"/>
          <w:color w:val="auto"/>
          <w:szCs w:val="24"/>
          <w:lang w:val="en-US" w:eastAsia="zh-CN"/>
        </w:rPr>
        <w:t>本次评估</w:t>
      </w:r>
      <w:r>
        <w:rPr>
          <w:rFonts w:hint="default" w:ascii="Times New Roman" w:hAnsi="Times New Roman" w:cs="Times New Roman"/>
          <w:color w:val="auto"/>
          <w:szCs w:val="24"/>
        </w:rPr>
        <w:t>设备的基础费</w:t>
      </w:r>
      <w:r>
        <w:rPr>
          <w:rFonts w:hint="default" w:ascii="Times New Roman" w:hAnsi="Times New Roman" w:cs="Times New Roman"/>
          <w:color w:val="auto"/>
          <w:szCs w:val="24"/>
          <w:lang w:val="en-US" w:eastAsia="zh-CN"/>
        </w:rPr>
        <w:t>已经包含在土建工程费用中，此处不单独考虑</w:t>
      </w:r>
      <w:r>
        <w:rPr>
          <w:rFonts w:hint="default" w:ascii="Times New Roman" w:hAnsi="Times New Roman" w:cs="Times New Roman"/>
          <w:color w:val="auto"/>
          <w:szCs w:val="24"/>
        </w:rPr>
        <w:t>设备基础费用</w:t>
      </w:r>
      <w:r>
        <w:rPr>
          <w:rFonts w:hint="default" w:ascii="Times New Roman" w:hAnsi="Times New Roman" w:cs="Times New Roman"/>
          <w:color w:val="auto"/>
          <w:szCs w:val="24"/>
          <w:lang w:eastAsia="zh-CN"/>
        </w:rPr>
        <w:t>。</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（4）安装调试费</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根据设备的特点、重量、安装难易程度，参考</w:t>
      </w:r>
      <w:r>
        <w:rPr>
          <w:rFonts w:hint="default" w:ascii="Times New Roman" w:hAnsi="Times New Roman" w:cs="Times New Roman"/>
          <w:color w:val="auto"/>
          <w:szCs w:val="24"/>
          <w:lang w:val="en-US" w:eastAsia="zh-CN"/>
        </w:rPr>
        <w:t>面粉生产设备</w:t>
      </w:r>
      <w:r>
        <w:rPr>
          <w:rFonts w:hint="default" w:ascii="Times New Roman" w:hAnsi="Times New Roman" w:cs="Times New Roman"/>
          <w:color w:val="auto"/>
          <w:szCs w:val="24"/>
        </w:rPr>
        <w:t>行业定额，以购置价为基础，按不同安装费率计取。</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对小型、无需安装的设备，不考虑安装调试费。</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（5）前期及其他费用</w:t>
      </w:r>
    </w:p>
    <w:p>
      <w:pPr>
        <w:pStyle w:val="2"/>
        <w:snapToGrid w:val="0"/>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前期及其他费用包括建设单位管理费、</w:t>
      </w:r>
      <w:r>
        <w:rPr>
          <w:rFonts w:hint="default" w:ascii="Times New Roman" w:hAnsi="Times New Roman" w:eastAsia="宋体" w:cs="Times New Roman"/>
          <w:color w:val="auto"/>
          <w:szCs w:val="24"/>
          <w:lang w:val="en-US" w:eastAsia="zh-CN"/>
        </w:rPr>
        <w:t>勘察费设计费</w:t>
      </w:r>
      <w:r>
        <w:rPr>
          <w:rFonts w:hint="default" w:ascii="Times New Roman" w:hAnsi="Times New Roman" w:eastAsia="宋体" w:cs="Times New Roman"/>
          <w:color w:val="auto"/>
          <w:szCs w:val="24"/>
        </w:rPr>
        <w:t>、工程监理费、</w:t>
      </w:r>
      <w:r>
        <w:rPr>
          <w:rFonts w:hint="default" w:ascii="Times New Roman" w:hAnsi="Times New Roman" w:eastAsia="宋体" w:cs="Times New Roman"/>
          <w:color w:val="auto"/>
          <w:szCs w:val="24"/>
          <w:lang w:val="en-US" w:eastAsia="zh-CN"/>
        </w:rPr>
        <w:t>招投标代理费</w:t>
      </w:r>
      <w:r>
        <w:rPr>
          <w:rFonts w:hint="default" w:ascii="Times New Roman" w:hAnsi="Times New Roman" w:eastAsia="宋体" w:cs="Times New Roman"/>
          <w:color w:val="auto"/>
          <w:szCs w:val="24"/>
        </w:rPr>
        <w:t>、环境评价费等</w:t>
      </w:r>
      <w:r>
        <w:rPr>
          <w:rFonts w:hint="eastAsia" w:ascii="Times New Roman" w:hAnsi="Times New Roman" w:eastAsia="宋体" w:cs="Times New Roman"/>
          <w:color w:val="auto"/>
          <w:szCs w:val="24"/>
          <w:lang w:eastAsia="zh-CN"/>
        </w:rPr>
        <w:t>。</w:t>
      </w:r>
      <w:r>
        <w:rPr>
          <w:rFonts w:hint="default" w:ascii="Times New Roman" w:hAnsi="Times New Roman" w:eastAsia="宋体" w:cs="Times New Roman"/>
          <w:color w:val="auto"/>
          <w:szCs w:val="24"/>
        </w:rPr>
        <w:t>本次评估经测算的前期费用及其他费用费率如下表所示：</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333"/>
        <w:gridCol w:w="1631"/>
        <w:gridCol w:w="1188"/>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序号</w:t>
            </w:r>
          </w:p>
        </w:tc>
        <w:tc>
          <w:tcPr>
            <w:tcW w:w="1337" w:type="pct"/>
            <w:noWrap w:val="0"/>
            <w:vAlign w:val="center"/>
          </w:tcPr>
          <w:p>
            <w:pPr>
              <w:widowControl/>
              <w:jc w:val="center"/>
              <w:rPr>
                <w:color w:val="000000"/>
                <w:kern w:val="0"/>
                <w:sz w:val="21"/>
                <w:szCs w:val="21"/>
              </w:rPr>
            </w:pPr>
            <w:r>
              <w:rPr>
                <w:color w:val="000000"/>
                <w:kern w:val="0"/>
                <w:sz w:val="21"/>
                <w:szCs w:val="21"/>
              </w:rPr>
              <w:t>工程或费用名称</w:t>
            </w:r>
          </w:p>
        </w:tc>
        <w:tc>
          <w:tcPr>
            <w:tcW w:w="935" w:type="pct"/>
            <w:noWrap w:val="0"/>
            <w:vAlign w:val="center"/>
          </w:tcPr>
          <w:p>
            <w:pPr>
              <w:widowControl/>
              <w:jc w:val="center"/>
              <w:rPr>
                <w:color w:val="000000"/>
                <w:kern w:val="0"/>
                <w:sz w:val="21"/>
                <w:szCs w:val="21"/>
              </w:rPr>
            </w:pPr>
            <w:r>
              <w:rPr>
                <w:color w:val="000000"/>
                <w:kern w:val="0"/>
                <w:sz w:val="21"/>
                <w:szCs w:val="21"/>
              </w:rPr>
              <w:t>取费基础</w:t>
            </w:r>
          </w:p>
        </w:tc>
        <w:tc>
          <w:tcPr>
            <w:tcW w:w="681" w:type="pct"/>
            <w:noWrap w:val="0"/>
            <w:vAlign w:val="center"/>
          </w:tcPr>
          <w:p>
            <w:pPr>
              <w:widowControl/>
              <w:jc w:val="center"/>
              <w:rPr>
                <w:color w:val="000000"/>
                <w:kern w:val="0"/>
                <w:sz w:val="21"/>
                <w:szCs w:val="21"/>
              </w:rPr>
            </w:pPr>
            <w:r>
              <w:rPr>
                <w:color w:val="000000"/>
                <w:kern w:val="0"/>
                <w:sz w:val="21"/>
                <w:szCs w:val="21"/>
              </w:rPr>
              <w:t>费率</w:t>
            </w:r>
          </w:p>
        </w:tc>
        <w:tc>
          <w:tcPr>
            <w:tcW w:w="1532" w:type="pct"/>
            <w:noWrap w:val="0"/>
            <w:vAlign w:val="center"/>
          </w:tcPr>
          <w:p>
            <w:pPr>
              <w:widowControl/>
              <w:jc w:val="center"/>
              <w:rPr>
                <w:color w:val="000000"/>
                <w:kern w:val="0"/>
                <w:sz w:val="21"/>
                <w:szCs w:val="21"/>
              </w:rPr>
            </w:pPr>
            <w:r>
              <w:rPr>
                <w:color w:val="000000"/>
                <w:kern w:val="0"/>
                <w:sz w:val="21"/>
                <w:szCs w:val="21"/>
              </w:rPr>
              <w:t>取费依据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1</w:t>
            </w:r>
          </w:p>
        </w:tc>
        <w:tc>
          <w:tcPr>
            <w:tcW w:w="1337" w:type="pct"/>
            <w:noWrap w:val="0"/>
            <w:vAlign w:val="center"/>
          </w:tcPr>
          <w:p>
            <w:pPr>
              <w:widowControl/>
              <w:jc w:val="left"/>
              <w:rPr>
                <w:color w:val="000000"/>
                <w:kern w:val="0"/>
                <w:sz w:val="21"/>
                <w:szCs w:val="21"/>
              </w:rPr>
            </w:pPr>
            <w:r>
              <w:rPr>
                <w:color w:val="000000"/>
                <w:kern w:val="0"/>
                <w:sz w:val="21"/>
                <w:szCs w:val="21"/>
              </w:rPr>
              <w:t>建设单位管理费</w:t>
            </w:r>
          </w:p>
        </w:tc>
        <w:tc>
          <w:tcPr>
            <w:tcW w:w="935" w:type="pct"/>
            <w:noWrap w:val="0"/>
            <w:vAlign w:val="center"/>
          </w:tcPr>
          <w:p>
            <w:pPr>
              <w:widowControl/>
              <w:jc w:val="center"/>
              <w:rPr>
                <w:color w:val="000000"/>
                <w:kern w:val="0"/>
                <w:sz w:val="21"/>
                <w:szCs w:val="21"/>
              </w:rPr>
            </w:pPr>
            <w:r>
              <w:rPr>
                <w:color w:val="000000"/>
                <w:kern w:val="0"/>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1.83%</w:t>
            </w:r>
          </w:p>
        </w:tc>
        <w:tc>
          <w:tcPr>
            <w:tcW w:w="1532" w:type="pct"/>
            <w:noWrap w:val="0"/>
            <w:vAlign w:val="center"/>
          </w:tcPr>
          <w:p>
            <w:pPr>
              <w:widowControl/>
              <w:jc w:val="center"/>
              <w:rPr>
                <w:color w:val="000000"/>
                <w:kern w:val="0"/>
                <w:sz w:val="21"/>
                <w:szCs w:val="21"/>
              </w:rPr>
            </w:pPr>
            <w:r>
              <w:rPr>
                <w:color w:val="000000"/>
                <w:kern w:val="0"/>
                <w:sz w:val="21"/>
                <w:szCs w:val="21"/>
              </w:rPr>
              <w:t>财建〔2016〕504号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2</w:t>
            </w:r>
          </w:p>
        </w:tc>
        <w:tc>
          <w:tcPr>
            <w:tcW w:w="1337" w:type="pct"/>
            <w:noWrap w:val="0"/>
            <w:vAlign w:val="center"/>
          </w:tcPr>
          <w:p>
            <w:pPr>
              <w:widowControl/>
              <w:jc w:val="left"/>
              <w:rPr>
                <w:color w:val="000000"/>
                <w:kern w:val="0"/>
                <w:sz w:val="21"/>
                <w:szCs w:val="21"/>
              </w:rPr>
            </w:pPr>
            <w:r>
              <w:rPr>
                <w:color w:val="000000"/>
                <w:kern w:val="0"/>
                <w:sz w:val="21"/>
                <w:szCs w:val="21"/>
              </w:rPr>
              <w:t>工程监理费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2.40%</w:t>
            </w:r>
          </w:p>
        </w:tc>
        <w:tc>
          <w:tcPr>
            <w:tcW w:w="1532" w:type="pct"/>
            <w:vMerge w:val="restart"/>
            <w:noWrap w:val="0"/>
            <w:vAlign w:val="center"/>
          </w:tcPr>
          <w:p>
            <w:pPr>
              <w:widowControl/>
              <w:jc w:val="both"/>
              <w:rPr>
                <w:rFonts w:hint="eastAsia" w:eastAsia="宋体"/>
                <w:color w:val="000000"/>
                <w:kern w:val="0"/>
                <w:sz w:val="21"/>
                <w:szCs w:val="21"/>
                <w:lang w:eastAsia="zh-CN"/>
              </w:rPr>
            </w:pPr>
            <w:r>
              <w:rPr>
                <w:rFonts w:hint="eastAsia"/>
                <w:color w:val="000000"/>
                <w:kern w:val="0"/>
                <w:sz w:val="21"/>
                <w:szCs w:val="21"/>
              </w:rPr>
              <w:t>参考原国家计委、建设部及当地有关部门公布制定的收费标准</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3</w:t>
            </w:r>
          </w:p>
        </w:tc>
        <w:tc>
          <w:tcPr>
            <w:tcW w:w="1337" w:type="pct"/>
            <w:noWrap w:val="0"/>
            <w:vAlign w:val="center"/>
          </w:tcPr>
          <w:p>
            <w:pPr>
              <w:widowControl/>
              <w:jc w:val="left"/>
              <w:rPr>
                <w:color w:val="000000"/>
                <w:kern w:val="0"/>
                <w:sz w:val="21"/>
                <w:szCs w:val="21"/>
              </w:rPr>
            </w:pPr>
            <w:r>
              <w:rPr>
                <w:color w:val="000000"/>
                <w:kern w:val="0"/>
                <w:sz w:val="21"/>
                <w:szCs w:val="21"/>
              </w:rPr>
              <w:t>工程勘察设计费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4.70%</w:t>
            </w:r>
          </w:p>
        </w:tc>
        <w:tc>
          <w:tcPr>
            <w:tcW w:w="1532" w:type="pct"/>
            <w:vMerge w:val="continue"/>
            <w:noWrap w:val="0"/>
            <w:vAlign w:val="center"/>
          </w:tcPr>
          <w:p>
            <w:pPr>
              <w:widowControl/>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4</w:t>
            </w:r>
          </w:p>
        </w:tc>
        <w:tc>
          <w:tcPr>
            <w:tcW w:w="1337" w:type="pct"/>
            <w:noWrap w:val="0"/>
            <w:vAlign w:val="center"/>
          </w:tcPr>
          <w:p>
            <w:pPr>
              <w:widowControl/>
              <w:jc w:val="left"/>
              <w:rPr>
                <w:color w:val="000000"/>
                <w:kern w:val="0"/>
                <w:sz w:val="21"/>
                <w:szCs w:val="21"/>
              </w:rPr>
            </w:pPr>
            <w:r>
              <w:rPr>
                <w:color w:val="000000"/>
                <w:kern w:val="0"/>
                <w:sz w:val="21"/>
                <w:szCs w:val="21"/>
              </w:rPr>
              <w:t>招标代理费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0.55%</w:t>
            </w:r>
          </w:p>
        </w:tc>
        <w:tc>
          <w:tcPr>
            <w:tcW w:w="1532" w:type="pct"/>
            <w:vMerge w:val="continue"/>
            <w:noWrap w:val="0"/>
            <w:vAlign w:val="center"/>
          </w:tcPr>
          <w:p>
            <w:pPr>
              <w:widowControl/>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r>
              <w:rPr>
                <w:color w:val="000000"/>
                <w:kern w:val="0"/>
                <w:sz w:val="21"/>
                <w:szCs w:val="21"/>
              </w:rPr>
              <w:t>5</w:t>
            </w:r>
          </w:p>
        </w:tc>
        <w:tc>
          <w:tcPr>
            <w:tcW w:w="1337" w:type="pct"/>
            <w:noWrap w:val="0"/>
            <w:vAlign w:val="center"/>
          </w:tcPr>
          <w:p>
            <w:pPr>
              <w:widowControl/>
              <w:jc w:val="left"/>
              <w:rPr>
                <w:color w:val="000000"/>
                <w:kern w:val="0"/>
                <w:sz w:val="21"/>
                <w:szCs w:val="21"/>
              </w:rPr>
            </w:pPr>
            <w:r>
              <w:rPr>
                <w:color w:val="000000"/>
                <w:kern w:val="0"/>
                <w:sz w:val="21"/>
                <w:szCs w:val="21"/>
              </w:rPr>
              <w:t>环境评价费</w:t>
            </w:r>
          </w:p>
        </w:tc>
        <w:tc>
          <w:tcPr>
            <w:tcW w:w="935" w:type="pct"/>
            <w:noWrap w:val="0"/>
            <w:vAlign w:val="center"/>
          </w:tcPr>
          <w:p>
            <w:pPr>
              <w:jc w:val="center"/>
              <w:rPr>
                <w:sz w:val="21"/>
                <w:szCs w:val="21"/>
              </w:rPr>
            </w:pPr>
            <w:r>
              <w:rPr>
                <w:sz w:val="21"/>
                <w:szCs w:val="21"/>
              </w:rPr>
              <w:t>建安工程造价</w:t>
            </w: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0.37%</w:t>
            </w:r>
          </w:p>
        </w:tc>
        <w:tc>
          <w:tcPr>
            <w:tcW w:w="1532" w:type="pct"/>
            <w:vMerge w:val="continue"/>
            <w:noWrap w:val="0"/>
            <w:vAlign w:val="center"/>
          </w:tcPr>
          <w:p>
            <w:pPr>
              <w:widowControl/>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3" w:type="pct"/>
            <w:noWrap w:val="0"/>
            <w:vAlign w:val="center"/>
          </w:tcPr>
          <w:p>
            <w:pPr>
              <w:widowControl/>
              <w:jc w:val="center"/>
              <w:rPr>
                <w:color w:val="000000"/>
                <w:kern w:val="0"/>
                <w:sz w:val="21"/>
                <w:szCs w:val="21"/>
              </w:rPr>
            </w:pPr>
          </w:p>
        </w:tc>
        <w:tc>
          <w:tcPr>
            <w:tcW w:w="1337" w:type="pct"/>
            <w:noWrap w:val="0"/>
            <w:vAlign w:val="center"/>
          </w:tcPr>
          <w:p>
            <w:pPr>
              <w:widowControl/>
              <w:jc w:val="center"/>
              <w:rPr>
                <w:color w:val="000000"/>
                <w:kern w:val="0"/>
                <w:sz w:val="21"/>
                <w:szCs w:val="21"/>
              </w:rPr>
            </w:pPr>
            <w:r>
              <w:rPr>
                <w:color w:val="000000"/>
                <w:kern w:val="0"/>
                <w:sz w:val="21"/>
                <w:szCs w:val="21"/>
              </w:rPr>
              <w:t>小计</w:t>
            </w:r>
          </w:p>
        </w:tc>
        <w:tc>
          <w:tcPr>
            <w:tcW w:w="935" w:type="pct"/>
            <w:noWrap w:val="0"/>
            <w:vAlign w:val="center"/>
          </w:tcPr>
          <w:p>
            <w:pPr>
              <w:widowControl/>
              <w:jc w:val="center"/>
              <w:rPr>
                <w:color w:val="000000"/>
                <w:kern w:val="0"/>
                <w:sz w:val="21"/>
                <w:szCs w:val="21"/>
              </w:rPr>
            </w:pPr>
          </w:p>
        </w:tc>
        <w:tc>
          <w:tcPr>
            <w:tcW w:w="118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Arial Narrow" w:cs="Times New Roman"/>
                <w:i w:val="0"/>
                <w:iCs w:val="0"/>
                <w:color w:val="000000"/>
                <w:kern w:val="0"/>
                <w:sz w:val="21"/>
                <w:szCs w:val="21"/>
                <w:u w:val="none"/>
                <w:lang w:val="en-US" w:eastAsia="zh-CN" w:bidi="ar"/>
              </w:rPr>
              <w:t>9.85%</w:t>
            </w:r>
          </w:p>
        </w:tc>
        <w:tc>
          <w:tcPr>
            <w:tcW w:w="1532" w:type="pct"/>
            <w:noWrap w:val="0"/>
            <w:vAlign w:val="center"/>
          </w:tcPr>
          <w:p>
            <w:pPr>
              <w:widowControl/>
              <w:jc w:val="center"/>
              <w:rPr>
                <w:color w:val="000000"/>
                <w:kern w:val="0"/>
                <w:sz w:val="21"/>
                <w:szCs w:val="21"/>
              </w:rPr>
            </w:pPr>
          </w:p>
        </w:tc>
      </w:tr>
    </w:tbl>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（6）资金成本</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根据建设项目的合理建设工期，按评估基准日适用的贷款利率，资金成本按建设期内均匀性投入计取。本次评估，对于大、中型设备，合理工期在</w:t>
      </w:r>
      <w:r>
        <w:rPr>
          <w:rFonts w:hint="default" w:ascii="Times New Roman" w:hAnsi="Times New Roman" w:cs="Times New Roman"/>
          <w:color w:val="auto"/>
          <w:szCs w:val="24"/>
          <w:lang w:val="en-US" w:eastAsia="zh-CN"/>
        </w:rPr>
        <w:t>1年</w:t>
      </w:r>
      <w:r>
        <w:rPr>
          <w:rFonts w:hint="default" w:ascii="Times New Roman" w:hAnsi="Times New Roman" w:cs="Times New Roman"/>
          <w:color w:val="auto"/>
          <w:szCs w:val="24"/>
        </w:rPr>
        <w:t>计算其资金成本。</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资金成本=（设备购置价+运杂费+安装调试费+基础费用+其他费用)×贷款利率×建设工期×1/2</w:t>
      </w:r>
    </w:p>
    <w:p>
      <w:pPr>
        <w:pStyle w:val="2"/>
        <w:snapToGrid w:val="0"/>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贷款利率应按照合理工期长短来确定对应的利率，评估基准日执行的贷款利率为2022年</w:t>
      </w:r>
      <w:r>
        <w:rPr>
          <w:rFonts w:hint="eastAsia" w:ascii="Times New Roman" w:hAnsi="Times New Roman" w:eastAsia="宋体" w:cs="Times New Roman"/>
          <w:color w:val="auto"/>
          <w:szCs w:val="24"/>
          <w:lang w:val="en-US" w:eastAsia="zh-CN"/>
        </w:rPr>
        <w:t>5</w:t>
      </w:r>
      <w:r>
        <w:rPr>
          <w:rFonts w:hint="default" w:ascii="Times New Roman" w:hAnsi="Times New Roman" w:eastAsia="宋体" w:cs="Times New Roman"/>
          <w:color w:val="auto"/>
          <w:szCs w:val="24"/>
        </w:rPr>
        <w:t>月20日全国银行间同业拆借中心受权公布贷款市场报价利率（LPR）</w:t>
      </w:r>
      <w:r>
        <w:rPr>
          <w:rFonts w:hint="default" w:ascii="Times New Roman" w:hAnsi="Times New Roman" w:eastAsia="宋体" w:cs="Times New Roman"/>
          <w:color w:val="auto"/>
          <w:szCs w:val="24"/>
          <w:lang w:eastAsia="zh-CN"/>
        </w:rPr>
        <w:t>，</w:t>
      </w:r>
      <w:r>
        <w:rPr>
          <w:rFonts w:hint="default" w:ascii="Times New Roman" w:hAnsi="Times New Roman" w:eastAsia="宋体" w:cs="Times New Roman"/>
          <w:color w:val="auto"/>
          <w:szCs w:val="24"/>
        </w:rPr>
        <w:t>中国人民银行授权全国银行间同业拆借中心公布2022年</w:t>
      </w:r>
      <w:r>
        <w:rPr>
          <w:rFonts w:hint="eastAsia" w:ascii="Times New Roman" w:hAnsi="Times New Roman" w:eastAsia="宋体" w:cs="Times New Roman"/>
          <w:color w:val="auto"/>
          <w:szCs w:val="24"/>
          <w:lang w:val="en-US" w:eastAsia="zh-CN"/>
        </w:rPr>
        <w:t>5</w:t>
      </w:r>
      <w:r>
        <w:rPr>
          <w:rFonts w:hint="default" w:ascii="Times New Roman" w:hAnsi="Times New Roman" w:eastAsia="宋体" w:cs="Times New Roman"/>
          <w:color w:val="auto"/>
          <w:szCs w:val="24"/>
        </w:rPr>
        <w:t>月20日贷款市场报价利率（LPR）为1年期LPR为3.7%</w:t>
      </w:r>
      <w:r>
        <w:rPr>
          <w:rFonts w:hint="default" w:ascii="Times New Roman" w:hAnsi="Times New Roman" w:eastAsia="宋体" w:cs="Times New Roman"/>
          <w:color w:val="auto"/>
          <w:szCs w:val="24"/>
          <w:lang w:eastAsia="zh-CN"/>
        </w:rPr>
        <w:t>。</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2.综合成新率的确定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（1）对大型、关键设备，采用勘察成新率和理论成新率按权重确定：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综合成新率=勘察成新率×0.6＋理论成新率×0.4</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①勘察成新率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勘察成新率的确定主要以企业设备实际状况为主，根据设备的技术状态、工作环境、维护保养情况，依据现场实际勘察情况对设备分部位进行逐项打分，确定勘察成新率。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②理论成新率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理论成新率根据设备的经济寿命年限（或尚可使用年限）和已使用的年限确定。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理论成新率=(经济寿命年限-已使用的年限)/经济寿命年限×100%</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对于已使用年限超过经济寿命年限的设备，使用如下计算公式：</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理论成新率=尚可使用年限/(已使用年限+尚可使用年限)×100%</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（2）对于价值量低、结构轻巧、简单、使用情况正常的设备，主要根据使用时间，结合维修保养情况，以使用年限法确定成新率。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3.评估值的计算</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评估值=重置全价×综合成新率</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b w:val="0"/>
          <w:bCs w:val="0"/>
          <w:color w:val="auto"/>
          <w:szCs w:val="24"/>
        </w:rPr>
      </w:pPr>
      <w:r>
        <w:rPr>
          <w:rFonts w:hint="default" w:ascii="Times New Roman" w:hAnsi="Times New Roman" w:cs="Times New Roman"/>
          <w:b w:val="0"/>
          <w:bCs w:val="0"/>
          <w:color w:val="auto"/>
          <w:szCs w:val="24"/>
        </w:rPr>
        <w:t>二）车辆的评估</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1.车辆重置全价</w:t>
      </w:r>
    </w:p>
    <w:p>
      <w:pPr>
        <w:pStyle w:val="2"/>
        <w:snapToGrid w:val="0"/>
        <w:spacing w:line="360" w:lineRule="auto"/>
        <w:ind w:firstLine="480" w:firstLineChars="200"/>
        <w:rPr>
          <w:rFonts w:hint="default" w:ascii="Times New Roman" w:hAnsi="Times New Roman" w:eastAsia="宋体" w:cs="Times New Roman"/>
          <w:color w:val="auto"/>
          <w:szCs w:val="24"/>
          <w:lang w:eastAsia="zh-CN"/>
        </w:rPr>
      </w:pPr>
      <w:r>
        <w:rPr>
          <w:rFonts w:hint="default" w:ascii="Times New Roman" w:hAnsi="Times New Roman" w:cs="Times New Roman"/>
          <w:color w:val="auto"/>
          <w:szCs w:val="24"/>
        </w:rPr>
        <w:t>车辆重置全价由购置价、车辆购置税和其它合理费用（如验车费、牌照费、手续费等）三部分构成。购置价主要参照同类车型最新交易的市场价格确定</w:t>
      </w:r>
      <w:r>
        <w:rPr>
          <w:rFonts w:hint="default" w:ascii="Times New Roman" w:hAnsi="Times New Roman" w:cs="Times New Roman"/>
          <w:color w:val="auto"/>
          <w:szCs w:val="24"/>
          <w:lang w:eastAsia="zh-CN"/>
        </w:rPr>
        <w:t>。</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2.综合成新率的确定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对于运输车辆，以车辆行驶里程、使用年限两种方法根据孰低原则确定成新率，然后结合现场勘察情况进行调整，如果现场勘察情况与孰低法确定成新率差异不大的，则不调整。</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年限成新率=（车辆法定行驶年限-已行驶年限）/车辆规定行驶年限×100%</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里程成新率=（车辆法定行驶里程-累计行驶里程）/车辆法定行驶里程×100%</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在确定成新率时，对于基本能够正常使用的设备(车辆)，成新率一般不低于15%。</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3.车辆评估值的确定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评估值=车辆重置全价×综合成新率</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t>三）电子及办公设备的评估</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1.电子设备重置全价的确定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电子设备多为</w:t>
      </w:r>
      <w:r>
        <w:rPr>
          <w:rStyle w:val="34"/>
          <w:rFonts w:hint="default" w:ascii="Times New Roman" w:hAnsi="Times New Roman" w:cs="Times New Roman"/>
          <w:color w:val="auto"/>
          <w:kern w:val="2"/>
          <w:sz w:val="24"/>
          <w:szCs w:val="24"/>
        </w:rPr>
        <w:t>桌</w:t>
      </w:r>
      <w:r>
        <w:rPr>
          <w:rStyle w:val="34"/>
          <w:rFonts w:hint="default" w:ascii="Times New Roman" w:hAnsi="Times New Roman" w:cs="Times New Roman"/>
          <w:color w:val="auto"/>
          <w:kern w:val="2"/>
          <w:sz w:val="24"/>
          <w:szCs w:val="24"/>
          <w:lang w:val="en-US" w:eastAsia="zh-CN"/>
        </w:rPr>
        <w:t>子</w:t>
      </w:r>
      <w:r>
        <w:rPr>
          <w:rStyle w:val="34"/>
          <w:rFonts w:hint="default" w:ascii="Times New Roman" w:hAnsi="Times New Roman" w:cs="Times New Roman"/>
          <w:color w:val="auto"/>
          <w:kern w:val="2"/>
          <w:sz w:val="24"/>
          <w:szCs w:val="24"/>
          <w:lang w:eastAsia="zh-CN"/>
        </w:rPr>
        <w:t>、</w:t>
      </w:r>
      <w:r>
        <w:rPr>
          <w:rStyle w:val="34"/>
          <w:rFonts w:hint="default" w:ascii="Times New Roman" w:hAnsi="Times New Roman" w:cs="Times New Roman"/>
          <w:color w:val="auto"/>
          <w:kern w:val="2"/>
          <w:sz w:val="24"/>
          <w:szCs w:val="24"/>
          <w:lang w:val="en-US" w:eastAsia="zh-CN"/>
        </w:rPr>
        <w:t>椅</w:t>
      </w:r>
      <w:r>
        <w:rPr>
          <w:rStyle w:val="34"/>
          <w:rFonts w:hint="default" w:ascii="Times New Roman" w:hAnsi="Times New Roman" w:cs="Times New Roman"/>
          <w:color w:val="auto"/>
          <w:kern w:val="2"/>
          <w:sz w:val="24"/>
          <w:szCs w:val="24"/>
          <w:lang w:eastAsia="zh-CN"/>
        </w:rPr>
        <w:t>子、床、沙发、电脑桌、</w:t>
      </w:r>
      <w:r>
        <w:rPr>
          <w:rStyle w:val="34"/>
          <w:rFonts w:hint="default" w:ascii="Times New Roman" w:hAnsi="Times New Roman" w:cs="Times New Roman"/>
          <w:color w:val="auto"/>
          <w:kern w:val="2"/>
          <w:sz w:val="24"/>
          <w:szCs w:val="24"/>
          <w:lang w:val="en-US" w:eastAsia="zh-CN"/>
        </w:rPr>
        <w:t>办公桌等</w:t>
      </w:r>
      <w:r>
        <w:rPr>
          <w:rFonts w:hint="default" w:ascii="Times New Roman" w:hAnsi="Times New Roman" w:cs="Times New Roman"/>
          <w:color w:val="auto"/>
          <w:szCs w:val="24"/>
        </w:rPr>
        <w:t>等设备，由经销商负责运送安装调试，重置成本直接以市场采购价确定。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2.成新率的确定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电子及办公设备成新率，主要依据其经济寿命年限来确定其综合成新率。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3.评估价值的确定</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评估值=重置全价×成新率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对于购置时间较早，已停产且无类比价格的车辆及电子设备，主要查询二手交易价采用市场法进行评估。</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四）待报废设备</w:t>
      </w:r>
    </w:p>
    <w:p>
      <w:pPr>
        <w:pStyle w:val="2"/>
        <w:snapToGrid w:val="0"/>
        <w:spacing w:line="360" w:lineRule="auto"/>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rPr>
        <w:t>对于待报废的机器设备、车辆、电子设备本次评估按其清理变现后的净收益额作为评估值，对于无回收价值的设备评估值为零。</w:t>
      </w:r>
    </w:p>
    <w:p>
      <w:pPr>
        <w:keepNext w:val="0"/>
        <w:keepLines w:val="0"/>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3、无形资产—土地使用权</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根据评估对象的特点、具体条件和项目的实际情况，依据《城镇土地估价规程》，结合评估对象所在区域的土地市场情况和资产评估师收集的有关资料，分析、选择适宜于评估对象土地使用权价格的评估方法。</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依据《镇土地估价规程》规定，评估对象设定用途为工业用地，可以采用基准地价系数修正法、市场比较法、剩余法、收益还原法、成本逼近法等方法评估。本次评估根据当地地产市场发育情况并结合委估宗地的具体特点及评估目的，选择适当的评估方法进行评估：由于委估宗地当地政府及相关部门公布了有关征地补偿标准文件，土地的取得成本和开发成本费用容易确定，故选择成本逼近法进行评估；收益法是将评估土地在未来每年预期的纯收益（地租），以一定的还原利率，将评估对象在未来每年的纯收益折算为评估时日收益总和的一种方法，根据本次评估目的为资产处置，土地使用权不具备独立的经济实体状态，必须依附于特定的主体，才能给特定的主体发挥作用并带来经济收益，因委估宗地正在待处置，土地的纯收益不能合理量化，故本次评估不适宜采用收益法进行评估。委估宗地位于定西市郊区，不在基准地价覆盖范围内，故不选择基准地价系数修正法；经查询中国土地市场网，委估宗地所在区域工业用地交易不活跃，近三年类似用地的土地市场招牌挂案例不宜获取，故不选用市场法评估。因为剩余法适用于具有投资开发或再开发潜力的土地估价。允许运用于以下情形：（1）待开发房地产或待拆迁改造后再开发房地产的土地估价；（2）仅将土地开发整理成可供直接利用的土地估价；（3）现有房地产中地价的单独评估。</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成本逼近法是以开发土地所耗费的各项费用之和为主要依据，再加上一定的利息、利润、应缴纳的税金和土地增值收益来确定土地价格的估价方法。</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评估方法如下：</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出让土地价格＝(土地取得费＋土地开发费＋税费＋投资利息＋土地开发利润＋增值收益)×年期修正系数×区域及个别因素修正</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eastAsia" w:ascii="Times New Roman" w:hAnsi="Times New Roman" w:eastAsia="宋体" w:cs="Times New Roman"/>
          <w:kern w:val="0"/>
          <w:szCs w:val="24"/>
          <w:vertAlign w:val="superscript"/>
          <w:lang w:val="en-US" w:eastAsia="zh-CN"/>
        </w:rPr>
      </w:pPr>
      <w:r>
        <w:rPr>
          <w:rFonts w:hint="default" w:ascii="Times New Roman" w:hAnsi="Times New Roman" w:cs="Times New Roman"/>
          <w:kern w:val="0"/>
          <w:szCs w:val="24"/>
        </w:rPr>
        <w:t>年期修正系数K=l－l/(1+r)</w:t>
      </w:r>
      <w:r>
        <w:rPr>
          <w:rFonts w:hint="eastAsia" w:cs="Times New Roman"/>
          <w:kern w:val="0"/>
          <w:szCs w:val="24"/>
          <w:vertAlign w:val="superscript"/>
          <w:lang w:val="en-US" w:eastAsia="zh-CN"/>
        </w:rPr>
        <w:t>n</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其中：K—年期修正系数</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 xml:space="preserve">      r—土地还原率</w:t>
      </w:r>
    </w:p>
    <w:p>
      <w:pPr>
        <w:pageBreakBefore w:val="0"/>
        <w:widowControl w:val="0"/>
        <w:kinsoku/>
        <w:wordWrap/>
        <w:overflowPunct/>
        <w:topLinePunct w:val="0"/>
        <w:autoSpaceDE/>
        <w:autoSpaceDN/>
        <w:bidi w:val="0"/>
        <w:adjustRightInd w:val="0"/>
        <w:snapToGrid w:val="0"/>
        <w:spacing w:before="60" w:after="60" w:line="360" w:lineRule="auto"/>
        <w:ind w:firstLine="480" w:firstLineChars="200"/>
        <w:textAlignment w:val="baseline"/>
        <w:rPr>
          <w:rFonts w:hint="default" w:ascii="Times New Roman" w:hAnsi="Times New Roman" w:cs="Times New Roman"/>
          <w:kern w:val="0"/>
          <w:szCs w:val="24"/>
        </w:rPr>
      </w:pPr>
      <w:r>
        <w:rPr>
          <w:rFonts w:hint="default" w:ascii="Times New Roman" w:hAnsi="Times New Roman" w:cs="Times New Roman"/>
          <w:kern w:val="0"/>
          <w:szCs w:val="24"/>
        </w:rPr>
        <w:t xml:space="preserve">      n—土地使用年期</w:t>
      </w:r>
    </w:p>
    <w:bookmarkEnd w:id="24"/>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26" w:name="_Toc5409"/>
      <w:bookmarkStart w:id="27" w:name="_Toc403664414"/>
      <w:r>
        <w:rPr>
          <w:rFonts w:hint="default" w:ascii="Times New Roman" w:hAnsi="Times New Roman" w:cs="Times New Roman" w:eastAsiaTheme="minorEastAsia"/>
          <w:sz w:val="28"/>
          <w:szCs w:val="28"/>
        </w:rPr>
        <w:t>八、评估程序实施过程和情况</w:t>
      </w:r>
      <w:bookmarkEnd w:id="26"/>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根据国家有关部门关于资产评估的规定和会计核算的一般原则，依据国家有关部门相关法律规定和规范化要求，按照与委托人的资产评估约定函所约定的事项，甘肃天健兴业资产评估有限公司业已实施了对委托人提供的法律性文件及相关资料的验证审核，按产权持有人提交的资产清单，对相关资产进行了必要的产权查验、实地察看与核对，进行了必要的市场调查和交易价格的比较等其他有必要实施的资产评估程序。资产评估的详细过程如下：</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bookmarkStart w:id="28" w:name="_Toc3810868"/>
      <w:r>
        <w:rPr>
          <w:rFonts w:hint="default" w:ascii="Times New Roman" w:hAnsi="Times New Roman" w:cs="Times New Roman" w:eastAsiaTheme="minorEastAsia"/>
          <w:szCs w:val="24"/>
        </w:rPr>
        <w:t>1．接受委托及准备阶段</w:t>
      </w:r>
      <w:bookmarkEnd w:id="28"/>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bookmarkStart w:id="29" w:name="_Toc3810869"/>
      <w:r>
        <w:rPr>
          <w:rFonts w:hint="default" w:ascii="Times New Roman" w:hAnsi="Times New Roman" w:cs="Times New Roman" w:eastAsiaTheme="minorEastAsia"/>
          <w:szCs w:val="24"/>
        </w:rPr>
        <w:t>（1）甘肃天健兴业资产评估有限公司于202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6</w:t>
      </w:r>
      <w:r>
        <w:rPr>
          <w:rFonts w:hint="default" w:ascii="Times New Roman" w:hAnsi="Times New Roman" w:cs="Times New Roman" w:eastAsiaTheme="minorEastAsia"/>
          <w:szCs w:val="24"/>
        </w:rPr>
        <w:t>月接受委托人的委托，从事本资产评估项目。在接受委托后，甘肃天健兴业资产评估有限公司即与委托人就本次评估目的、评估对象与评估范围、评估基准日、委托评估资产的特点等影响资产评估方案的问题进行了认真讨论。</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（2）根据委托评估资产的特点，有针对性地布置资产评估申报明细表，并设计主要资产调查表，对委托人参与资产评估配合人员进行业务培训，填写资产评估清查表和各类调查表。</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（3）评估方案的设计</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依据了解资产的特点，制定评估实施计划，确定评估人员，组成资产评估现场工作小组。</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（4）评估资料的准备</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收集和整理评估对象市场交易价格信息、主要资产市场价格信息、评估对象产权证明文件等。</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2.现场清查阶段</w:t>
      </w:r>
      <w:bookmarkEnd w:id="29"/>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bookmarkStart w:id="30" w:name="_Toc3810870"/>
      <w:r>
        <w:rPr>
          <w:rFonts w:hint="default" w:ascii="Times New Roman" w:hAnsi="Times New Roman" w:cs="Times New Roman" w:eastAsiaTheme="minorEastAsia"/>
          <w:szCs w:val="24"/>
        </w:rPr>
        <w:t>（1）评估对象真实性和合法性的查证</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根据委托人及产权持有人申报的资产评估明细，评估人员针对实物资产进行查证，以确认资产的真实准确。</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对固定资产的调查采用重点和一般相结合的原则，重点调查房屋建筑物资产。评估人员，查阅了相关工程的设计、施工文件，工程承包合同，工程款项结算资料等，从而确定资产的真实性。</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（2）资产实际状态的调查</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房屋建（构）筑物的调查主要包括对于房屋的座落位置、建筑面积、建成年</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月与企业提供的有关资料进行核对；核实房屋建筑物的结构类型、层数、层高、檐高、跨度、柱距、建筑面积；勘察并记录房屋建筑物的装修、设施及其使用状况、实际用途以及企业维护维修状况等。查阅主要房屋建筑物的预(决)算书及施工图纸等；查阅有关房屋所有权证，主要核对房屋所有权证中所载“所有权人”、“建筑面积”、“结构”及“示意图”，检查是否与评估申报表中所列内容一致，对于无房屋所有权证的房屋建筑面积，根据竣工结（决）算资料来确定。</w:t>
      </w:r>
      <w:r>
        <w:rPr>
          <w:rFonts w:hint="default" w:ascii="Times New Roman" w:hAnsi="Times New Roman" w:cs="Times New Roman" w:eastAsiaTheme="minorEastAsia"/>
          <w:szCs w:val="24"/>
        </w:rPr>
        <w:cr/>
      </w:r>
      <w:r>
        <w:rPr>
          <w:rFonts w:hint="eastAsia" w:cs="Times New Roman" w:eastAsiaTheme="minorEastAsia"/>
          <w:szCs w:val="24"/>
          <w:lang w:val="en-US" w:eastAsia="zh-CN"/>
        </w:rPr>
        <w:t xml:space="preserve">   </w:t>
      </w:r>
      <w:r>
        <w:rPr>
          <w:rFonts w:hint="default" w:ascii="Times New Roman" w:hAnsi="Times New Roman" w:cs="Times New Roman" w:eastAsiaTheme="minorEastAsia"/>
          <w:szCs w:val="24"/>
        </w:rPr>
        <w:t>（3）实物资产价值构成及业务发展情况的调查</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根据产权持有人的资产特点，调查其资产价值构成的合理性和合规性。重点核查固定资产账面金额的真实性、准确性、完整性和合规性。查阅了有关会计凭证、会计账簿以及工程决算、工程施工合同等资料。</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3．</w:t>
      </w:r>
      <w:bookmarkEnd w:id="30"/>
      <w:r>
        <w:rPr>
          <w:rFonts w:hint="default" w:ascii="Times New Roman" w:hAnsi="Times New Roman" w:cs="Times New Roman" w:eastAsiaTheme="minorEastAsia"/>
          <w:szCs w:val="24"/>
        </w:rPr>
        <w:t>选择评估方法、收集市场信息和估算过程</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评估人员在现场依据针对本项目特点制定的工作计划，结合实际情况确定的作价原则及估值模型，明确评估参数和价格标准后，参考企业提供的历史资料和收集的基准日期间市场资料开始评定估算工作。</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bookmarkStart w:id="31" w:name="_Toc3810871"/>
      <w:r>
        <w:rPr>
          <w:rFonts w:hint="default" w:ascii="Times New Roman" w:hAnsi="Times New Roman" w:cs="Times New Roman" w:eastAsiaTheme="minorEastAsia"/>
          <w:szCs w:val="24"/>
        </w:rPr>
        <w:t>4．评估汇总阶段</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（1）评估结果的确定</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依据甘肃天健兴业资产评估有限公司评估人员在评估现场勘察的情况以及所进行的必要的市场调查和测算，确定委托评估资产的评估价值。</w:t>
      </w:r>
    </w:p>
    <w:bookmarkEnd w:id="31"/>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bookmarkStart w:id="32" w:name="_Toc3810872"/>
      <w:r>
        <w:rPr>
          <w:rFonts w:hint="default" w:ascii="Times New Roman" w:hAnsi="Times New Roman" w:cs="Times New Roman" w:eastAsiaTheme="minorEastAsia"/>
          <w:szCs w:val="24"/>
        </w:rPr>
        <w:t>（2）评估结果的分析和评估报告的撰写</w:t>
      </w:r>
    </w:p>
    <w:bookmarkEnd w:id="32"/>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按照甘肃天健兴业资产评估有限公司规范化要求编制相关资产的评估报告书。评估结果及相关资产评估报告按甘肃天健兴业资产评估有限公司规定程序进行三级复核，经签字资产评估师最后复核无误后，由项目组完成并提交报告。</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（3）工作底稿的整理归档</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上述四阶段工作时间为202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6</w:t>
      </w:r>
      <w:r>
        <w:rPr>
          <w:rFonts w:hint="default" w:ascii="Times New Roman" w:hAnsi="Times New Roman" w:cs="Times New Roman" w:eastAsiaTheme="minorEastAsia"/>
          <w:szCs w:val="24"/>
        </w:rPr>
        <w:t>月</w:t>
      </w:r>
      <w:r>
        <w:rPr>
          <w:rFonts w:hint="default" w:ascii="Times New Roman" w:hAnsi="Times New Roman" w:cs="Times New Roman" w:eastAsiaTheme="minorEastAsia"/>
          <w:szCs w:val="24"/>
          <w:lang w:val="en-US" w:eastAsia="zh-CN"/>
        </w:rPr>
        <w:t>1</w:t>
      </w:r>
      <w:r>
        <w:rPr>
          <w:rFonts w:hint="default" w:ascii="Times New Roman" w:hAnsi="Times New Roman" w:cs="Times New Roman" w:eastAsiaTheme="minorEastAsia"/>
          <w:szCs w:val="24"/>
        </w:rPr>
        <w:t>日－202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6</w:t>
      </w:r>
      <w:r>
        <w:rPr>
          <w:rFonts w:hint="default" w:ascii="Times New Roman" w:hAnsi="Times New Roman" w:cs="Times New Roman" w:eastAsiaTheme="minorEastAsia"/>
          <w:szCs w:val="24"/>
        </w:rPr>
        <w:t>月</w:t>
      </w:r>
      <w:r>
        <w:rPr>
          <w:rFonts w:hint="eastAsia" w:cs="Times New Roman" w:eastAsiaTheme="minorEastAsia"/>
          <w:szCs w:val="24"/>
          <w:lang w:val="en-US" w:eastAsia="zh-CN"/>
        </w:rPr>
        <w:t>10</w:t>
      </w:r>
      <w:r>
        <w:rPr>
          <w:rFonts w:hint="default" w:ascii="Times New Roman" w:hAnsi="Times New Roman" w:cs="Times New Roman" w:eastAsiaTheme="minorEastAsia"/>
          <w:szCs w:val="24"/>
        </w:rPr>
        <w:t>日。</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33" w:name="_Toc15003"/>
      <w:r>
        <w:rPr>
          <w:rFonts w:hint="default" w:ascii="Times New Roman" w:hAnsi="Times New Roman" w:cs="Times New Roman" w:eastAsiaTheme="minorEastAsia"/>
          <w:sz w:val="28"/>
          <w:szCs w:val="28"/>
        </w:rPr>
        <w:t>九、评估假设</w:t>
      </w:r>
      <w:bookmarkEnd w:id="33"/>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1．交易假设：假定所有待评估资产已经处在交易过程中，评估师根据待评估资产的交易条件等模拟市场进行估价。</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公开市场假设：公开市场假设是对资产拟进入的市场的条件以及资产在这样的市场条件下接受何种影响的一种假定。公开市场是指充分发达与完善的市场条件，是指一个有自愿的买方和卖方的竞争性市场，在这个市场上，买方和卖方的地位平等，都有获取足够市场信息的机会和时间，买卖双方的交易都是在自愿的、理智的、非强制性或不受限制的条件下进行。</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rPr>
        <w:t>评估人员根据认定这些假设条件在评估基准日时成立，并根据这些假设推论 出相应的评估结论。如果未来经济环境发生较大变化或其它假设条件不成立时， 评估人员将不承担由于假设条件的改变而可能推导出不同评估结果的责任。</w:t>
      </w:r>
    </w:p>
    <w:bookmarkEnd w:id="27"/>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34" w:name="_Toc2831"/>
      <w:bookmarkStart w:id="35" w:name="_Toc186357222"/>
      <w:bookmarkStart w:id="36" w:name="_Toc186555678"/>
      <w:bookmarkStart w:id="37" w:name="_Toc403664415"/>
      <w:r>
        <w:rPr>
          <w:rFonts w:hint="default" w:ascii="Times New Roman" w:hAnsi="Times New Roman" w:cs="Times New Roman" w:eastAsiaTheme="minorEastAsia"/>
          <w:sz w:val="28"/>
          <w:szCs w:val="28"/>
        </w:rPr>
        <w:t>十、评估结论</w:t>
      </w:r>
      <w:bookmarkEnd w:id="34"/>
    </w:p>
    <w:bookmarkEnd w:id="35"/>
    <w:bookmarkEnd w:id="36"/>
    <w:p>
      <w:pPr>
        <w:pStyle w:val="2"/>
        <w:snapToGrid w:val="0"/>
        <w:spacing w:line="440" w:lineRule="exact"/>
        <w:ind w:firstLine="48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经评估，截至评估基准日202</w:t>
      </w:r>
      <w:r>
        <w:rPr>
          <w:rFonts w:hint="default" w:ascii="Times New Roman" w:hAnsi="Times New Roman" w:cs="Times New Roman"/>
          <w:szCs w:val="24"/>
          <w:highlight w:val="none"/>
          <w:lang w:val="en-US" w:eastAsia="zh-CN"/>
        </w:rPr>
        <w:t>2</w:t>
      </w:r>
      <w:r>
        <w:rPr>
          <w:rFonts w:hint="default" w:ascii="Times New Roman" w:hAnsi="Times New Roman" w:cs="Times New Roman"/>
          <w:szCs w:val="24"/>
          <w:highlight w:val="none"/>
        </w:rPr>
        <w:t>年</w:t>
      </w:r>
      <w:r>
        <w:rPr>
          <w:rFonts w:hint="eastAsia" w:ascii="Times New Roman" w:hAnsi="Times New Roman" w:cs="Times New Roman"/>
          <w:szCs w:val="24"/>
          <w:highlight w:val="none"/>
          <w:lang w:val="en-US" w:eastAsia="zh-CN"/>
        </w:rPr>
        <w:t>5</w:t>
      </w:r>
      <w:r>
        <w:rPr>
          <w:rFonts w:hint="default" w:ascii="Times New Roman" w:hAnsi="Times New Roman" w:cs="Times New Roman"/>
          <w:szCs w:val="24"/>
          <w:highlight w:val="none"/>
        </w:rPr>
        <w:t>月31日，</w:t>
      </w:r>
      <w:r>
        <w:rPr>
          <w:rFonts w:hint="eastAsia" w:ascii="Times New Roman" w:hAnsi="Times New Roman" w:cs="Times New Roman"/>
          <w:szCs w:val="24"/>
          <w:highlight w:val="none"/>
          <w:lang w:eastAsia="zh-CN"/>
        </w:rPr>
        <w:t>定西市安定区人民法院</w:t>
      </w:r>
      <w:r>
        <w:rPr>
          <w:rFonts w:hint="default" w:ascii="Times New Roman" w:hAnsi="Times New Roman" w:cs="Times New Roman"/>
          <w:szCs w:val="24"/>
          <w:highlight w:val="none"/>
          <w:lang w:eastAsia="zh-CN"/>
        </w:rPr>
        <w:t>拟执行财产处置涉及的甘肃省玉成面业有限公司部分</w:t>
      </w:r>
      <w:r>
        <w:rPr>
          <w:rFonts w:hint="default" w:ascii="Times New Roman" w:hAnsi="Times New Roman" w:cs="Times New Roman"/>
          <w:szCs w:val="24"/>
          <w:highlight w:val="none"/>
        </w:rPr>
        <w:t>资产的评估价值为</w:t>
      </w:r>
      <w:r>
        <w:rPr>
          <w:rFonts w:hint="eastAsia" w:cs="Times New Roman"/>
          <w:szCs w:val="24"/>
          <w:highlight w:val="none"/>
          <w:lang w:val="en-US" w:eastAsia="zh-CN"/>
        </w:rPr>
        <w:t>960.51</w:t>
      </w:r>
      <w:r>
        <w:rPr>
          <w:rFonts w:hint="default" w:ascii="Times New Roman" w:hAnsi="Times New Roman" w:cs="Times New Roman"/>
          <w:szCs w:val="24"/>
          <w:highlight w:val="none"/>
        </w:rPr>
        <w:t>万元。评估结果详见下表：</w:t>
      </w:r>
    </w:p>
    <w:p>
      <w:pPr>
        <w:pStyle w:val="2"/>
        <w:snapToGrid w:val="0"/>
        <w:spacing w:line="360" w:lineRule="auto"/>
        <w:ind w:firstLine="482" w:firstLineChars="200"/>
        <w:jc w:val="center"/>
        <w:rPr>
          <w:rFonts w:ascii="宋体" w:hAnsi="宋体"/>
          <w:b/>
          <w:szCs w:val="24"/>
          <w:highlight w:val="none"/>
        </w:rPr>
      </w:pPr>
      <w:r>
        <w:rPr>
          <w:rFonts w:hint="eastAsia" w:ascii="宋体" w:hAnsi="宋体"/>
          <w:b/>
          <w:szCs w:val="24"/>
          <w:highlight w:val="none"/>
        </w:rPr>
        <w:t>资产评估结果汇总表</w:t>
      </w:r>
    </w:p>
    <w:p>
      <w:pPr>
        <w:pStyle w:val="2"/>
        <w:snapToGrid w:val="0"/>
        <w:spacing w:line="240" w:lineRule="auto"/>
        <w:ind w:firstLine="0"/>
        <w:rPr>
          <w:rFonts w:ascii="宋体" w:hAnsi="宋体"/>
          <w:sz w:val="21"/>
          <w:szCs w:val="21"/>
          <w:highlight w:val="none"/>
        </w:rPr>
      </w:pPr>
      <w:r>
        <w:rPr>
          <w:rFonts w:hint="eastAsia" w:ascii="宋体" w:hAnsi="宋体"/>
          <w:sz w:val="21"/>
          <w:szCs w:val="21"/>
          <w:highlight w:val="none"/>
        </w:rPr>
        <w:t>产权持有人：甘肃省玉成面业有限公司</w:t>
      </w:r>
      <w:r>
        <w:rPr>
          <w:rFonts w:hint="eastAsia" w:ascii="宋体" w:hAnsi="宋体"/>
          <w:sz w:val="21"/>
          <w:szCs w:val="21"/>
          <w:highlight w:val="none"/>
          <w:lang w:val="en-US" w:eastAsia="zh-CN"/>
        </w:rPr>
        <w:t xml:space="preserve">                                     </w:t>
      </w:r>
      <w:r>
        <w:rPr>
          <w:rFonts w:hint="eastAsia" w:ascii="宋体" w:hAnsi="宋体"/>
          <w:sz w:val="21"/>
          <w:szCs w:val="21"/>
          <w:highlight w:val="none"/>
        </w:rPr>
        <w:t>单位：万元</w:t>
      </w:r>
    </w:p>
    <w:tbl>
      <w:tblPr>
        <w:tblStyle w:val="3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
        <w:gridCol w:w="3621"/>
        <w:gridCol w:w="1155"/>
        <w:gridCol w:w="1155"/>
        <w:gridCol w:w="987"/>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34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r>
              <w:rPr>
                <w:rFonts w:hint="eastAsia" w:ascii="宋体" w:hAnsi="宋体" w:eastAsia="宋体" w:cs="宋体"/>
                <w:i w:val="0"/>
                <w:iCs w:val="0"/>
                <w:color w:val="000000"/>
                <w:kern w:val="0"/>
                <w:sz w:val="21"/>
                <w:szCs w:val="21"/>
                <w:highlight w:val="none"/>
                <w:u w:val="none"/>
                <w:lang w:val="en-US" w:eastAsia="zh-CN" w:bidi="ar"/>
              </w:rPr>
              <w:t>目</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账面价值</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评估价值</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增减值</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增值率％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34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C=B-A</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D=C/A×100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非流动资产</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961.21</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其中：固定资产</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890.90</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房屋建（构）筑物</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776.42</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050" w:firstLineChars="5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机器设备</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61.52</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050" w:firstLineChars="5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51.71</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电子及办公设备</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0.55</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无形资产</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70.31</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无形资产—土地使用权</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70.31</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auto"/>
                <w:sz w:val="21"/>
                <w:szCs w:val="21"/>
                <w:u w:val="none"/>
              </w:rPr>
              <w:t>资产总计</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lang w:val="en-US" w:eastAsia="zh-CN"/>
              </w:rPr>
            </w:pPr>
            <w:r>
              <w:rPr>
                <w:rFonts w:hint="eastAsia" w:cs="Times New Roman"/>
                <w:b/>
                <w:bCs/>
                <w:i w:val="0"/>
                <w:iCs w:val="0"/>
                <w:color w:val="000000"/>
                <w:sz w:val="21"/>
                <w:szCs w:val="21"/>
                <w:u w:val="none"/>
                <w:lang w:val="en-US" w:eastAsia="zh-CN"/>
              </w:rPr>
              <w:t>960.51</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21"/>
                <w:szCs w:val="21"/>
                <w:u w:val="none"/>
              </w:rPr>
            </w:pPr>
          </w:p>
        </w:tc>
      </w:tr>
    </w:tbl>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rPr>
      </w:pPr>
      <w:r>
        <w:rPr>
          <w:rFonts w:hint="default" w:ascii="Times New Roman" w:hAnsi="Times New Roman" w:cs="Times New Roman"/>
          <w:szCs w:val="24"/>
        </w:rPr>
        <w:t>注：评估结论的详细情况见《资产评估明细表》。</w:t>
      </w:r>
    </w:p>
    <w:bookmarkEnd w:id="37"/>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38" w:name="_Toc23031"/>
      <w:bookmarkStart w:id="39" w:name="_Toc477576904"/>
      <w:bookmarkStart w:id="40" w:name="_Toc403664417"/>
      <w:r>
        <w:rPr>
          <w:rFonts w:hint="default" w:ascii="Times New Roman" w:hAnsi="Times New Roman" w:cs="Times New Roman" w:eastAsiaTheme="minorEastAsia"/>
          <w:sz w:val="28"/>
          <w:szCs w:val="28"/>
        </w:rPr>
        <w:t>十一、特别事项说明</w:t>
      </w:r>
      <w:bookmarkEnd w:id="38"/>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以下事项并非本公司评估人员执业水平和能力所能评定和估算，但该事项确实可能影响评估结论，提请本评估报告使用者对此应特别关注：</w:t>
      </w:r>
    </w:p>
    <w:p>
      <w:pPr>
        <w:pStyle w:val="2"/>
        <w:pageBreakBefore w:val="0"/>
        <w:widowControl w:val="0"/>
        <w:numPr>
          <w:ilvl w:val="4"/>
          <w:numId w:val="6"/>
        </w:numPr>
        <w:tabs>
          <w:tab w:val="left" w:pos="567"/>
          <w:tab w:val="left" w:pos="1134"/>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本报告所称“评估价值”系指我们对所评估资产在现有用途不变，以及在评估基准日之状况和外部经济环境前提下，为本报告书所列明的目的而提出的公允估值意见，而不对其它用途负责。</w:t>
      </w:r>
    </w:p>
    <w:p>
      <w:pPr>
        <w:pStyle w:val="2"/>
        <w:numPr>
          <w:ilvl w:val="4"/>
          <w:numId w:val="6"/>
        </w:numPr>
        <w:tabs>
          <w:tab w:val="left" w:pos="567"/>
          <w:tab w:val="left" w:pos="1134"/>
          <w:tab w:val="left" w:pos="1276"/>
        </w:tabs>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报告中的评估结论是反映评估对象在本次评估目的下，根据公开市场的原则确定的公允价值，未考虑该等资产进行产权登记或权属变更过程中应承担的相关费用和税项，也未对资产评估增值额作任何纳税调整准备。评估结论不应当被认为是对评估对象可实现价格的保证。</w:t>
      </w:r>
    </w:p>
    <w:p>
      <w:pPr>
        <w:pStyle w:val="2"/>
        <w:numPr>
          <w:ilvl w:val="4"/>
          <w:numId w:val="6"/>
        </w:numPr>
        <w:tabs>
          <w:tab w:val="left" w:pos="567"/>
          <w:tab w:val="left" w:pos="1134"/>
          <w:tab w:val="left" w:pos="1276"/>
        </w:tabs>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资产评估机构及其资产评估师执行人民法院委托司法执行财产处置资产评估，</w:t>
      </w:r>
      <w:r>
        <w:rPr>
          <w:rFonts w:hint="eastAsia" w:cs="Times New Roman" w:eastAsiaTheme="minorEastAsia"/>
          <w:szCs w:val="24"/>
          <w:lang w:val="en-US" w:eastAsia="zh-CN"/>
        </w:rPr>
        <w:t>未</w:t>
      </w:r>
      <w:r>
        <w:rPr>
          <w:rFonts w:hint="default" w:ascii="Times New Roman" w:hAnsi="Times New Roman" w:cs="Times New Roman" w:eastAsiaTheme="minorEastAsia"/>
          <w:szCs w:val="24"/>
        </w:rPr>
        <w:t>考虑评估对象被查封以及原有的担保物权和其他优先受偿权情况对评估结论的影响</w:t>
      </w:r>
      <w:r>
        <w:rPr>
          <w:rFonts w:hint="eastAsia" w:cs="Times New Roman" w:eastAsiaTheme="minorEastAsia"/>
          <w:szCs w:val="24"/>
          <w:lang w:eastAsia="zh-CN"/>
        </w:rPr>
        <w:t>。</w:t>
      </w:r>
    </w:p>
    <w:p>
      <w:pPr>
        <w:pStyle w:val="2"/>
        <w:numPr>
          <w:ilvl w:val="4"/>
          <w:numId w:val="6"/>
        </w:numPr>
        <w:tabs>
          <w:tab w:val="left" w:pos="567"/>
          <w:tab w:val="left" w:pos="1134"/>
          <w:tab w:val="left" w:pos="1276"/>
        </w:tabs>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资产评估机构</w:t>
      </w:r>
      <w:r>
        <w:rPr>
          <w:rFonts w:hint="eastAsia" w:cs="Times New Roman" w:eastAsiaTheme="minorEastAsia"/>
          <w:szCs w:val="24"/>
          <w:lang w:val="en-US" w:eastAsia="zh-CN"/>
        </w:rPr>
        <w:t>在</w:t>
      </w:r>
      <w:r>
        <w:rPr>
          <w:rFonts w:hint="default" w:ascii="Times New Roman" w:hAnsi="Times New Roman" w:cs="Times New Roman" w:eastAsiaTheme="minorEastAsia"/>
          <w:szCs w:val="24"/>
        </w:rPr>
        <w:t>执行人民法院委托司法执行财产处置资产评估，资产评估师在评定估算形成评估结论的过程中不考虑评估费、拍卖费、诉讼费、律师费以及交易税费等财产处置费用对评估结论的影响。</w:t>
      </w:r>
    </w:p>
    <w:p>
      <w:pPr>
        <w:pStyle w:val="2"/>
        <w:pageBreakBefore w:val="0"/>
        <w:widowControl w:val="0"/>
        <w:numPr>
          <w:ilvl w:val="4"/>
          <w:numId w:val="6"/>
        </w:numPr>
        <w:tabs>
          <w:tab w:val="left" w:pos="567"/>
          <w:tab w:val="left" w:pos="1134"/>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在资产评估结果有效使用期内，如果资产数量及作价标准发生变化时，应当进行适当调整，而不能直接使用评估结论。</w:t>
      </w:r>
    </w:p>
    <w:p>
      <w:pPr>
        <w:pStyle w:val="2"/>
        <w:pageBreakBefore w:val="0"/>
        <w:widowControl w:val="0"/>
        <w:numPr>
          <w:ilvl w:val="4"/>
          <w:numId w:val="6"/>
        </w:numPr>
        <w:tabs>
          <w:tab w:val="left" w:pos="567"/>
          <w:tab w:val="left" w:pos="1134"/>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本次纳入评估范围的固定资产的评估价值不包含增值税。</w:t>
      </w:r>
    </w:p>
    <w:p>
      <w:pPr>
        <w:pStyle w:val="2"/>
        <w:pageBreakBefore w:val="0"/>
        <w:widowControl w:val="0"/>
        <w:numPr>
          <w:ilvl w:val="4"/>
          <w:numId w:val="6"/>
        </w:numPr>
        <w:tabs>
          <w:tab w:val="left" w:pos="567"/>
          <w:tab w:val="left" w:pos="1134"/>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资产评估程序受限情况、处理方式及其对评估结论的影响：</w:t>
      </w:r>
    </w:p>
    <w:p>
      <w:pPr>
        <w:pStyle w:val="2"/>
        <w:pageBreakBefore w:val="0"/>
        <w:widowControl w:val="0"/>
        <w:tabs>
          <w:tab w:val="left" w:pos="567"/>
          <w:tab w:val="left" w:pos="1134"/>
          <w:tab w:val="left" w:pos="1276"/>
        </w:tabs>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次评估中，资产评估师未对各种建（构）筑物的隐蔽工程及内部结构（非肉眼所能观察的部分）做技术检测，房屋、构筑物评估结论是在假定产权持有人提供的有关工程资料是真实有效的前提下，在未借助任何检测仪器的条件下，通过实地勘察做出判断。</w:t>
      </w:r>
    </w:p>
    <w:p>
      <w:pPr>
        <w:pStyle w:val="2"/>
        <w:pageBreakBefore w:val="0"/>
        <w:widowControl w:val="0"/>
        <w:numPr>
          <w:ilvl w:val="4"/>
          <w:numId w:val="6"/>
        </w:numPr>
        <w:tabs>
          <w:tab w:val="left" w:pos="567"/>
          <w:tab w:val="left" w:pos="1134"/>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权属资料不全面或者存在瑕疵的情形：</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Cs w:val="24"/>
          <w:lang w:eastAsia="zh-CN"/>
        </w:rPr>
      </w:pPr>
      <w:r>
        <w:rPr>
          <w:rFonts w:hint="default" w:ascii="Times New Roman" w:hAnsi="Times New Roman" w:cs="Times New Roman"/>
          <w:szCs w:val="24"/>
          <w:lang w:eastAsia="zh-CN"/>
        </w:rPr>
        <w:t>纳入本次评估范围的房屋建（构）筑物共16项，总建筑面积3,863.01平方米。其中：建宁家园商铺房屋所有权人为高玉，权证编号定市房权证安定区字第21246号，坐落于甘肃省定西市安定区西环路1幢1011号，未设定抵押他项权；友谊广场住宅房屋所有权人为高玉，权证编号甘（2019）安定区不动产权第000489号，坐落于甘肃省定西市安定区友谊北路(友谊广场）2号楼3单元6楼601室，该住宅已为庞淑兰在定西农村商业银行股份有限公司做抵押担保；门卫、职工宿舍、磅房及化验室、库房、生产车间、锅炉房、办公楼、变压器旁库房及大门、围墙、雨棚、草坪绿化、地坪硬化等辅助设施，权利人为甘肃省玉成面业有限公司，坐落于甘肃省安定区宁远镇红土村，原不动产权证编号甘（2019）安定区不动产权第000489号，已设定抵押权，权利人为甘肃金控定西融资担保有限公司，不动产登记证明书编号为甘（2021）安定区不动产证明第0001075号，抵押方式一般抵押，反担保（抵押）合同编号DX-2021-DY-0006-01。未办理不动产权证书的库房、锅炉房、变压器旁库房由委托人、产权持有人等相关资产管理人员现场测量，建筑面积的确定根据现场测量的数据确定。资产权属清晰，无异议。</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本次评估未考虑上述相关事项对评估结论的影响。提请评估报告使用者关注上述特别事项对评估结论的影响。</w:t>
      </w: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41" w:name="_Toc25509"/>
      <w:r>
        <w:rPr>
          <w:rFonts w:hint="default" w:ascii="Times New Roman" w:hAnsi="Times New Roman" w:cs="Times New Roman" w:eastAsiaTheme="minorEastAsia"/>
          <w:sz w:val="28"/>
          <w:szCs w:val="28"/>
        </w:rPr>
        <w:t>十二、资产评估报告使用限制说明</w:t>
      </w:r>
      <w:bookmarkEnd w:id="41"/>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本评估报告只能用于评估报告载明的评估目的和用途；</w:t>
      </w:r>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 xml:space="preserve">委托人或者其他资产评估报告使用人未按照法律、行政法规规定和资产评估报告载明的使用范围使用资产评估报告的，资产评估机构及其资产评估师不承担责任； </w:t>
      </w:r>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 xml:space="preserve">除委托人、资产评估委托合同中约定的其他资产评估报告使用人和法律、行政法规规定的资产评估报告使用人之外，其他任何机构和个人不能成为资产评估报告的使用人； </w:t>
      </w:r>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资产评估报告使用人应当正确理解评估结论，评估结论不等同于评估对象可实现价格，评估结论不应当被认为是对评估对象可实现价格的保证。</w:t>
      </w:r>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本评估报告需提交国有资产监督管理部门或者企业有关主管部门审查，备案后方可正式使用；</w:t>
      </w:r>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本评估报告的全部或者部分内容被摘抄、引用或者被披露于公开媒体，需评估机构审阅相关内容，法律、法规规定以及相关当事方另有约定除外；</w:t>
      </w:r>
    </w:p>
    <w:p>
      <w:pPr>
        <w:pStyle w:val="2"/>
        <w:pageBreakBefore w:val="0"/>
        <w:widowControl w:val="0"/>
        <w:numPr>
          <w:ilvl w:val="0"/>
          <w:numId w:val="7"/>
        </w:numPr>
        <w:tabs>
          <w:tab w:val="left" w:pos="567"/>
          <w:tab w:val="left" w:pos="851"/>
          <w:tab w:val="left" w:pos="1276"/>
        </w:tabs>
        <w:kinsoku/>
        <w:wordWrap/>
        <w:overflowPunct/>
        <w:topLinePunct w:val="0"/>
        <w:autoSpaceDE/>
        <w:autoSpaceDN/>
        <w:bidi w:val="0"/>
        <w:adjustRightInd w:val="0"/>
        <w:snapToGrid w:val="0"/>
        <w:spacing w:line="360" w:lineRule="auto"/>
        <w:ind w:left="0"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本评估报告所揭示的评估结论仅对本项目对应的经济行为有效，资产评估结果使用有效期为自评估基准日起一年，即评估基准日202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5</w:t>
      </w:r>
      <w:r>
        <w:rPr>
          <w:rFonts w:hint="default" w:ascii="Times New Roman" w:hAnsi="Times New Roman" w:cs="Times New Roman" w:eastAsiaTheme="minorEastAsia"/>
          <w:szCs w:val="24"/>
        </w:rPr>
        <w:t>月31日至202</w:t>
      </w:r>
      <w:r>
        <w:rPr>
          <w:rFonts w:hint="default" w:ascii="Times New Roman" w:hAnsi="Times New Roman" w:cs="Times New Roman" w:eastAsiaTheme="minorEastAsia"/>
          <w:szCs w:val="24"/>
          <w:lang w:val="en-US" w:eastAsia="zh-CN"/>
        </w:rPr>
        <w:t>3</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5</w:t>
      </w:r>
      <w:r>
        <w:rPr>
          <w:rFonts w:hint="default" w:ascii="Times New Roman" w:hAnsi="Times New Roman" w:cs="Times New Roman" w:eastAsiaTheme="minorEastAsia"/>
          <w:szCs w:val="24"/>
        </w:rPr>
        <w:t>月30日止。当评估目的在有效期内实现时，要以评估结论作为价值的参考依据（还需结合评估基准日的期后事项的调整）。超过一年，需重新进行资产评估。</w:t>
      </w:r>
    </w:p>
    <w:bookmarkEnd w:id="39"/>
    <w:bookmarkEnd w:id="40"/>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42" w:name="_Toc32222"/>
      <w:r>
        <w:rPr>
          <w:rFonts w:hint="default" w:ascii="Times New Roman" w:hAnsi="Times New Roman" w:cs="Times New Roman" w:eastAsiaTheme="minorEastAsia"/>
          <w:sz w:val="28"/>
          <w:szCs w:val="28"/>
        </w:rPr>
        <w:t>十三、资产评估报告日</w:t>
      </w:r>
      <w:bookmarkEnd w:id="42"/>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资产评估报告日为202</w:t>
      </w:r>
      <w:r>
        <w:rPr>
          <w:rFonts w:hint="default"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rPr>
        <w:t>年</w:t>
      </w:r>
      <w:r>
        <w:rPr>
          <w:rFonts w:hint="eastAsia" w:cs="Times New Roman" w:eastAsiaTheme="minorEastAsia"/>
          <w:szCs w:val="24"/>
          <w:lang w:val="en-US" w:eastAsia="zh-CN"/>
        </w:rPr>
        <w:t>6</w:t>
      </w:r>
      <w:r>
        <w:rPr>
          <w:rFonts w:hint="default" w:ascii="Times New Roman" w:hAnsi="Times New Roman" w:cs="Times New Roman" w:eastAsiaTheme="minorEastAsia"/>
          <w:szCs w:val="24"/>
        </w:rPr>
        <w:t>月</w:t>
      </w:r>
      <w:r>
        <w:rPr>
          <w:rFonts w:hint="eastAsia" w:cs="Times New Roman" w:eastAsiaTheme="minorEastAsia"/>
          <w:szCs w:val="24"/>
          <w:lang w:val="en-US" w:eastAsia="zh-CN"/>
        </w:rPr>
        <w:t>10</w:t>
      </w:r>
      <w:r>
        <w:rPr>
          <w:rFonts w:hint="default" w:ascii="Times New Roman" w:hAnsi="Times New Roman" w:cs="Times New Roman" w:eastAsiaTheme="minorEastAsia"/>
          <w:szCs w:val="24"/>
        </w:rPr>
        <w:t>日。</w:t>
      </w: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p>
    <w:p>
      <w:pPr>
        <w:pStyle w:val="2"/>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szCs w:val="24"/>
        </w:rPr>
      </w:pPr>
    </w:p>
    <w:p>
      <w:pPr>
        <w:pStyle w:val="5"/>
        <w:pageBreakBefore w:val="0"/>
        <w:widowControl w:val="0"/>
        <w:kinsoku/>
        <w:wordWrap/>
        <w:overflowPunct/>
        <w:topLinePunct w:val="0"/>
        <w:autoSpaceDE/>
        <w:autoSpaceDN/>
        <w:bidi w:val="0"/>
        <w:adjustRightInd w:val="0"/>
        <w:snapToGrid w:val="0"/>
        <w:spacing w:before="60" w:after="60" w:line="360" w:lineRule="auto"/>
        <w:ind w:firstLine="562" w:firstLineChars="200"/>
        <w:rPr>
          <w:rFonts w:hint="default" w:ascii="Times New Roman" w:hAnsi="Times New Roman" w:cs="Times New Roman" w:eastAsiaTheme="minorEastAsia"/>
          <w:sz w:val="28"/>
          <w:szCs w:val="28"/>
        </w:rPr>
      </w:pPr>
      <w:bookmarkStart w:id="43" w:name="_Toc31253"/>
      <w:r>
        <w:rPr>
          <w:rFonts w:hint="default" w:ascii="Times New Roman" w:hAnsi="Times New Roman" w:cs="Times New Roman" w:eastAsiaTheme="minorEastAsia"/>
          <w:sz w:val="28"/>
          <w:szCs w:val="28"/>
        </w:rPr>
        <w:t>十四、</w:t>
      </w:r>
      <w:r>
        <w:rPr>
          <w:rFonts w:hint="default" w:ascii="Times New Roman" w:hAnsi="Times New Roman" w:cs="Times New Roman"/>
          <w:sz w:val="28"/>
        </w:rPr>
        <w:t>资产评估专业人员签名和资产评估机构盖章</w:t>
      </w:r>
      <w:bookmarkEnd w:id="43"/>
    </w:p>
    <w:p>
      <w:pPr>
        <w:tabs>
          <w:tab w:val="left" w:pos="3345"/>
        </w:tabs>
        <w:adjustRightInd w:val="0"/>
        <w:snapToGrid w:val="0"/>
        <w:spacing w:before="60" w:after="60" w:line="360" w:lineRule="auto"/>
        <w:ind w:firstLine="616" w:firstLineChars="200"/>
        <w:rPr>
          <w:rFonts w:asciiTheme="minorEastAsia" w:hAnsiTheme="minorEastAsia" w:eastAsiaTheme="minorEastAsia"/>
          <w:spacing w:val="14"/>
          <w:sz w:val="28"/>
          <w:szCs w:val="28"/>
        </w:rPr>
      </w:pPr>
    </w:p>
    <w:p>
      <w:pPr>
        <w:pStyle w:val="2"/>
      </w:pPr>
    </w:p>
    <w:p>
      <w:pPr>
        <w:pStyle w:val="2"/>
      </w:pPr>
    </w:p>
    <w:p>
      <w:pPr>
        <w:adjustRightInd w:val="0"/>
        <w:snapToGrid w:val="0"/>
        <w:spacing w:before="60" w:after="60" w:line="360" w:lineRule="auto"/>
        <w:ind w:firstLine="538" w:firstLineChars="200"/>
        <w:rPr>
          <w:rFonts w:asciiTheme="minorEastAsia" w:hAnsiTheme="minorEastAsia" w:eastAsiaTheme="minorEastAsia"/>
          <w:spacing w:val="14"/>
          <w:szCs w:val="24"/>
        </w:rPr>
      </w:pPr>
      <w:r>
        <w:rPr>
          <w:rFonts w:hint="eastAsia" w:asciiTheme="minorEastAsia" w:hAnsiTheme="minorEastAsia" w:eastAsiaTheme="minorEastAsia"/>
          <w:b/>
          <w:spacing w:val="14"/>
          <w:szCs w:val="24"/>
        </w:rPr>
        <w:t>资产评估机构：甘肃天健兴业资产评估有限公司</w:t>
      </w:r>
      <w:r>
        <w:rPr>
          <w:rFonts w:asciiTheme="minorEastAsia" w:hAnsiTheme="minorEastAsia" w:eastAsiaTheme="minorEastAsia"/>
          <w:b/>
          <w:spacing w:val="14"/>
          <w:szCs w:val="24"/>
        </w:rPr>
        <w:t xml:space="preserve"> </w:t>
      </w:r>
      <w:r>
        <w:rPr>
          <w:rFonts w:asciiTheme="minorEastAsia" w:hAnsiTheme="minorEastAsia" w:eastAsiaTheme="minorEastAsia"/>
          <w:szCs w:val="24"/>
        </w:rPr>
        <w:t xml:space="preserve"> </w:t>
      </w:r>
    </w:p>
    <w:p>
      <w:pPr>
        <w:adjustRightInd w:val="0"/>
        <w:snapToGrid w:val="0"/>
        <w:spacing w:before="60" w:after="60" w:line="360" w:lineRule="auto"/>
        <w:ind w:firstLine="536" w:firstLineChars="200"/>
        <w:rPr>
          <w:rFonts w:asciiTheme="minorEastAsia" w:hAnsiTheme="minorEastAsia" w:eastAsiaTheme="minorEastAsia"/>
          <w:spacing w:val="14"/>
          <w:szCs w:val="24"/>
        </w:rPr>
      </w:pPr>
    </w:p>
    <w:p>
      <w:pPr>
        <w:adjustRightInd w:val="0"/>
        <w:snapToGrid w:val="0"/>
        <w:spacing w:before="60" w:after="60" w:line="360" w:lineRule="auto"/>
        <w:ind w:firstLine="536" w:firstLineChars="200"/>
        <w:rPr>
          <w:rFonts w:asciiTheme="minorEastAsia" w:hAnsiTheme="minorEastAsia" w:eastAsiaTheme="minorEastAsia"/>
          <w:spacing w:val="14"/>
          <w:szCs w:val="24"/>
        </w:rPr>
      </w:pPr>
    </w:p>
    <w:p>
      <w:pPr>
        <w:adjustRightInd w:val="0"/>
        <w:snapToGrid w:val="0"/>
        <w:spacing w:before="60" w:after="60" w:line="360" w:lineRule="auto"/>
        <w:ind w:firstLine="538" w:firstLineChars="200"/>
        <w:rPr>
          <w:rFonts w:asciiTheme="minorEastAsia" w:hAnsiTheme="minorEastAsia" w:eastAsiaTheme="minorEastAsia"/>
          <w:b/>
          <w:spacing w:val="14"/>
          <w:szCs w:val="24"/>
        </w:rPr>
      </w:pPr>
      <w:r>
        <w:rPr>
          <w:rFonts w:hint="eastAsia" w:asciiTheme="minorEastAsia" w:hAnsiTheme="minorEastAsia" w:eastAsiaTheme="minorEastAsia"/>
          <w:b/>
          <w:spacing w:val="14"/>
          <w:szCs w:val="24"/>
        </w:rPr>
        <w:t>法定代表人：焦东红</w:t>
      </w:r>
      <w:r>
        <w:rPr>
          <w:rFonts w:asciiTheme="minorEastAsia" w:hAnsiTheme="minorEastAsia" w:eastAsiaTheme="minorEastAsia"/>
          <w:b/>
          <w:spacing w:val="14"/>
          <w:szCs w:val="24"/>
        </w:rPr>
        <w:t xml:space="preserve"> </w:t>
      </w:r>
    </w:p>
    <w:p>
      <w:pPr>
        <w:adjustRightInd w:val="0"/>
        <w:snapToGrid w:val="0"/>
        <w:spacing w:before="60" w:after="60" w:line="360" w:lineRule="auto"/>
        <w:ind w:firstLine="538" w:firstLineChars="200"/>
        <w:rPr>
          <w:rFonts w:asciiTheme="minorEastAsia" w:hAnsiTheme="minorEastAsia" w:eastAsiaTheme="minorEastAsia"/>
          <w:b/>
          <w:spacing w:val="14"/>
          <w:szCs w:val="24"/>
        </w:rPr>
      </w:pPr>
    </w:p>
    <w:p>
      <w:pPr>
        <w:adjustRightInd w:val="0"/>
        <w:snapToGrid w:val="0"/>
        <w:spacing w:before="60" w:after="60" w:line="360" w:lineRule="auto"/>
        <w:ind w:firstLine="538" w:firstLineChars="200"/>
        <w:rPr>
          <w:rFonts w:asciiTheme="minorEastAsia" w:hAnsiTheme="minorEastAsia" w:eastAsiaTheme="minorEastAsia"/>
          <w:b/>
          <w:spacing w:val="14"/>
          <w:szCs w:val="24"/>
        </w:rPr>
      </w:pPr>
    </w:p>
    <w:p>
      <w:pPr>
        <w:adjustRightInd w:val="0"/>
        <w:snapToGrid w:val="0"/>
        <w:spacing w:before="60" w:after="60" w:line="360" w:lineRule="auto"/>
        <w:ind w:firstLine="538" w:firstLineChars="200"/>
        <w:rPr>
          <w:rFonts w:asciiTheme="minorEastAsia" w:hAnsiTheme="minorEastAsia" w:eastAsiaTheme="minorEastAsia"/>
          <w:b/>
          <w:spacing w:val="14"/>
          <w:szCs w:val="24"/>
        </w:rPr>
      </w:pPr>
      <w:r>
        <w:rPr>
          <w:rFonts w:hint="eastAsia" w:asciiTheme="minorEastAsia" w:hAnsiTheme="minorEastAsia" w:eastAsiaTheme="minorEastAsia"/>
          <w:b/>
          <w:spacing w:val="14"/>
          <w:szCs w:val="24"/>
        </w:rPr>
        <w:t>资产评估师：</w:t>
      </w:r>
    </w:p>
    <w:p>
      <w:pPr>
        <w:adjustRightInd w:val="0"/>
        <w:snapToGrid w:val="0"/>
        <w:spacing w:before="60" w:after="60" w:line="360" w:lineRule="auto"/>
        <w:ind w:firstLine="538" w:firstLineChars="200"/>
        <w:rPr>
          <w:rFonts w:asciiTheme="minorEastAsia" w:hAnsiTheme="minorEastAsia" w:eastAsiaTheme="minorEastAsia"/>
          <w:b/>
          <w:spacing w:val="14"/>
          <w:szCs w:val="24"/>
        </w:rPr>
      </w:pPr>
    </w:p>
    <w:p>
      <w:pPr>
        <w:adjustRightInd w:val="0"/>
        <w:snapToGrid w:val="0"/>
        <w:spacing w:before="60" w:after="60" w:line="360" w:lineRule="auto"/>
        <w:ind w:firstLine="538" w:firstLineChars="200"/>
        <w:rPr>
          <w:rFonts w:asciiTheme="minorEastAsia" w:hAnsiTheme="minorEastAsia" w:eastAsiaTheme="minorEastAsia"/>
          <w:b/>
          <w:spacing w:val="14"/>
          <w:szCs w:val="24"/>
        </w:rPr>
      </w:pPr>
    </w:p>
    <w:p>
      <w:pPr>
        <w:adjustRightInd w:val="0"/>
        <w:snapToGrid w:val="0"/>
        <w:spacing w:before="60" w:after="60" w:line="360" w:lineRule="auto"/>
        <w:ind w:firstLine="538" w:firstLineChars="200"/>
        <w:rPr>
          <w:rFonts w:asciiTheme="minorEastAsia" w:hAnsiTheme="minorEastAsia" w:eastAsiaTheme="minorEastAsia"/>
          <w:b/>
          <w:spacing w:val="14"/>
          <w:szCs w:val="24"/>
        </w:rPr>
      </w:pPr>
      <w:r>
        <w:rPr>
          <w:rFonts w:hint="eastAsia" w:asciiTheme="minorEastAsia" w:hAnsiTheme="minorEastAsia" w:eastAsiaTheme="minorEastAsia"/>
          <w:b/>
          <w:spacing w:val="14"/>
          <w:szCs w:val="24"/>
        </w:rPr>
        <w:t>资产评估师：</w:t>
      </w:r>
    </w:p>
    <w:p>
      <w:pPr>
        <w:adjustRightInd w:val="0"/>
        <w:snapToGrid w:val="0"/>
        <w:spacing w:before="60" w:after="60" w:line="360" w:lineRule="auto"/>
        <w:ind w:firstLine="536" w:firstLineChars="200"/>
        <w:rPr>
          <w:rFonts w:asciiTheme="minorEastAsia" w:hAnsiTheme="minorEastAsia" w:eastAsiaTheme="minorEastAsia"/>
          <w:spacing w:val="14"/>
          <w:szCs w:val="24"/>
        </w:rPr>
      </w:pPr>
    </w:p>
    <w:p>
      <w:pPr>
        <w:adjustRightInd w:val="0"/>
        <w:snapToGrid w:val="0"/>
        <w:spacing w:before="60" w:after="60" w:line="360" w:lineRule="auto"/>
        <w:ind w:firstLine="536" w:firstLineChars="200"/>
        <w:rPr>
          <w:rFonts w:asciiTheme="minorEastAsia" w:hAnsiTheme="minorEastAsia" w:eastAsiaTheme="minorEastAsia"/>
          <w:spacing w:val="14"/>
          <w:szCs w:val="24"/>
        </w:rPr>
      </w:pPr>
    </w:p>
    <w:p>
      <w:pPr>
        <w:adjustRightInd w:val="0"/>
        <w:snapToGrid w:val="0"/>
        <w:spacing w:before="60" w:after="60" w:line="360" w:lineRule="auto"/>
        <w:ind w:firstLine="538" w:firstLineChars="200"/>
        <w:jc w:val="right"/>
        <w:rPr>
          <w:rFonts w:asciiTheme="minorEastAsia" w:hAnsiTheme="minorEastAsia" w:eastAsiaTheme="minorEastAsia"/>
          <w:b/>
          <w:spacing w:val="14"/>
          <w:szCs w:val="24"/>
        </w:rPr>
      </w:pPr>
      <w:r>
        <w:rPr>
          <w:rFonts w:hint="eastAsia" w:asciiTheme="minorEastAsia" w:hAnsiTheme="minorEastAsia" w:eastAsiaTheme="minorEastAsia"/>
          <w:b/>
          <w:spacing w:val="14"/>
          <w:szCs w:val="24"/>
        </w:rPr>
        <w:t>二〇二</w:t>
      </w:r>
      <w:r>
        <w:rPr>
          <w:rFonts w:hint="eastAsia" w:asciiTheme="minorEastAsia" w:hAnsiTheme="minorEastAsia" w:eastAsiaTheme="minorEastAsia"/>
          <w:b/>
          <w:spacing w:val="14"/>
          <w:szCs w:val="24"/>
          <w:lang w:val="en-US" w:eastAsia="zh-CN"/>
        </w:rPr>
        <w:t>二</w:t>
      </w:r>
      <w:r>
        <w:rPr>
          <w:rFonts w:hint="eastAsia" w:asciiTheme="minorEastAsia" w:hAnsiTheme="minorEastAsia" w:eastAsiaTheme="minorEastAsia"/>
          <w:b/>
          <w:spacing w:val="14"/>
          <w:szCs w:val="24"/>
        </w:rPr>
        <w:t>年</w:t>
      </w:r>
      <w:r>
        <w:rPr>
          <w:rFonts w:hint="eastAsia" w:asciiTheme="minorEastAsia" w:hAnsiTheme="minorEastAsia" w:eastAsiaTheme="minorEastAsia"/>
          <w:b/>
          <w:spacing w:val="14"/>
          <w:szCs w:val="24"/>
          <w:lang w:val="en-US" w:eastAsia="zh-CN"/>
        </w:rPr>
        <w:t>六</w:t>
      </w:r>
      <w:r>
        <w:rPr>
          <w:rFonts w:hint="eastAsia" w:asciiTheme="minorEastAsia" w:hAnsiTheme="minorEastAsia" w:eastAsiaTheme="minorEastAsia"/>
          <w:b/>
          <w:spacing w:val="14"/>
          <w:szCs w:val="24"/>
        </w:rPr>
        <w:t>月</w:t>
      </w:r>
      <w:r>
        <w:rPr>
          <w:rFonts w:hint="eastAsia" w:asciiTheme="minorEastAsia" w:hAnsiTheme="minorEastAsia" w:eastAsiaTheme="minorEastAsia"/>
          <w:b/>
          <w:spacing w:val="14"/>
          <w:szCs w:val="24"/>
          <w:lang w:val="en-US" w:eastAsia="zh-CN"/>
        </w:rPr>
        <w:t>十</w:t>
      </w:r>
      <w:r>
        <w:rPr>
          <w:rFonts w:hint="eastAsia" w:asciiTheme="minorEastAsia" w:hAnsiTheme="minorEastAsia" w:eastAsiaTheme="minorEastAsia"/>
          <w:b/>
          <w:spacing w:val="14"/>
          <w:szCs w:val="24"/>
        </w:rPr>
        <w:t>日</w:t>
      </w:r>
      <w:bookmarkStart w:id="44" w:name="_Toc334347482"/>
    </w:p>
    <w:bookmarkEnd w:id="44"/>
    <w:p>
      <w:pPr>
        <w:adjustRightInd w:val="0"/>
        <w:snapToGrid w:val="0"/>
        <w:spacing w:before="60" w:after="60" w:line="360" w:lineRule="auto"/>
        <w:ind w:firstLine="480" w:firstLineChars="200"/>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adjustRightInd w:val="0"/>
        <w:snapToGrid w:val="0"/>
        <w:spacing w:before="60" w:after="60" w:line="360" w:lineRule="auto"/>
        <w:ind w:firstLine="480" w:firstLineChars="200"/>
        <w:rPr>
          <w:rFonts w:asciiTheme="minorEastAsia" w:hAnsiTheme="minorEastAsia" w:eastAsiaTheme="minorEastAsia"/>
          <w:szCs w:val="24"/>
        </w:rPr>
      </w:pPr>
    </w:p>
    <w:p>
      <w:pPr>
        <w:adjustRightInd w:val="0"/>
        <w:snapToGrid w:val="0"/>
        <w:spacing w:before="60" w:after="60" w:line="360" w:lineRule="auto"/>
        <w:ind w:firstLine="480" w:firstLineChars="200"/>
        <w:rPr>
          <w:rFonts w:asciiTheme="minorEastAsia" w:hAnsiTheme="minorEastAsia" w:eastAsiaTheme="minorEastAsia"/>
          <w:szCs w:val="24"/>
        </w:rPr>
      </w:pPr>
    </w:p>
    <w:p>
      <w:pPr>
        <w:pStyle w:val="4"/>
        <w:snapToGrid w:val="0"/>
        <w:spacing w:before="60" w:after="60" w:line="360" w:lineRule="auto"/>
        <w:ind w:firstLine="0"/>
        <w:jc w:val="center"/>
        <w:textAlignment w:val="auto"/>
        <w:rPr>
          <w:rFonts w:asciiTheme="minorEastAsia" w:hAnsiTheme="minorEastAsia" w:eastAsiaTheme="minorEastAsia"/>
          <w:spacing w:val="20"/>
          <w:sz w:val="36"/>
          <w:szCs w:val="36"/>
        </w:rPr>
      </w:pPr>
      <w:bookmarkStart w:id="45" w:name="_Toc4794"/>
      <w:r>
        <w:rPr>
          <w:rStyle w:val="49"/>
          <w:rFonts w:hint="eastAsia" w:asciiTheme="minorEastAsia" w:hAnsiTheme="minorEastAsia" w:eastAsiaTheme="minorEastAsia"/>
          <w:b/>
          <w:szCs w:val="36"/>
        </w:rPr>
        <w:t>资产评估报告附件</w:t>
      </w:r>
      <w:bookmarkEnd w:id="45"/>
    </w:p>
    <w:p>
      <w:pPr>
        <w:tabs>
          <w:tab w:val="left" w:pos="284"/>
        </w:tabs>
        <w:adjustRightInd w:val="0"/>
        <w:snapToGrid w:val="0"/>
        <w:spacing w:before="60" w:after="60" w:line="360" w:lineRule="auto"/>
        <w:ind w:left="338"/>
        <w:rPr>
          <w:rFonts w:asciiTheme="minorEastAsia" w:hAnsiTheme="minorEastAsia" w:eastAsiaTheme="minorEastAsia"/>
          <w:szCs w:val="24"/>
        </w:rPr>
      </w:pP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default" w:ascii="Times New Roman" w:hAnsi="Times New Roman" w:cs="Times New Roman" w:eastAsiaTheme="minorEastAsia"/>
          <w:szCs w:val="24"/>
          <w:highlight w:val="none"/>
          <w:lang w:eastAsia="zh-CN"/>
        </w:rPr>
        <w:t>定西市安定区人民法院</w:t>
      </w:r>
      <w:r>
        <w:rPr>
          <w:rFonts w:hint="eastAsia" w:cs="Times New Roman" w:eastAsiaTheme="minorEastAsia"/>
          <w:szCs w:val="24"/>
          <w:highlight w:val="none"/>
          <w:lang w:val="en-US" w:eastAsia="zh-CN"/>
        </w:rPr>
        <w:t>委托评估函</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产权持有人法人营业执照副本（复印件）</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评估对象涉及的主要权属证明资料</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产权持有人承诺函</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签字资产评估师承诺函</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资产评估机构法人营业执照副本（复印件）</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资产评估机构资格证明文件（复印件）</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签字资产评估师资格证明文件（复印件）</w:t>
      </w:r>
    </w:p>
    <w:p>
      <w:pPr>
        <w:pStyle w:val="58"/>
        <w:numPr>
          <w:ilvl w:val="0"/>
          <w:numId w:val="8"/>
        </w:numPr>
        <w:tabs>
          <w:tab w:val="left" w:pos="284"/>
        </w:tabs>
        <w:adjustRightInd w:val="0"/>
        <w:snapToGrid w:val="0"/>
        <w:spacing w:before="60" w:after="60" w:line="360" w:lineRule="auto"/>
        <w:ind w:firstLineChars="0"/>
        <w:rPr>
          <w:rFonts w:asciiTheme="minorEastAsia" w:hAnsiTheme="minorEastAsia" w:eastAsiaTheme="minorEastAsia"/>
          <w:szCs w:val="24"/>
        </w:rPr>
      </w:pPr>
      <w:r>
        <w:rPr>
          <w:rFonts w:hint="eastAsia" w:asciiTheme="minorEastAsia" w:hAnsiTheme="minorEastAsia" w:eastAsiaTheme="minorEastAsia"/>
          <w:szCs w:val="24"/>
        </w:rPr>
        <w:t>资产评估汇总表及明细表</w:t>
      </w:r>
    </w:p>
    <w:p>
      <w:pPr>
        <w:adjustRightInd w:val="0"/>
        <w:snapToGrid w:val="0"/>
        <w:spacing w:before="60" w:after="60" w:line="360" w:lineRule="auto"/>
        <w:ind w:firstLine="480" w:firstLineChars="200"/>
        <w:rPr>
          <w:rFonts w:asciiTheme="minorEastAsia" w:hAnsiTheme="minorEastAsia" w:eastAsiaTheme="minorEastAsia"/>
          <w:szCs w:val="24"/>
        </w:rPr>
      </w:pPr>
    </w:p>
    <w:sectPr>
      <w:headerReference r:id="rId7" w:type="default"/>
      <w:footerReference r:id="rId8" w:type="default"/>
      <w:pgSz w:w="11906" w:h="16838"/>
      <w:pgMar w:top="1588" w:right="1701" w:bottom="1247" w:left="1701" w:header="1134" w:footer="907" w:gutter="0"/>
      <w:pgNumType w:start="1"/>
      <w:cols w:space="720" w:num="1"/>
      <w:docGrid w:linePitch="45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00"/>
    <w:family w:val="roman"/>
    <w:pitch w:val="default"/>
    <w:sig w:usb0="00000000" w:usb1="00000000" w:usb2="00000000" w:usb3="00000000" w:csb0="00000001" w:csb1="00000000"/>
  </w:font>
  <w:font w:name="Monotype Sorts">
    <w:altName w:val="Symbol"/>
    <w:panose1 w:val="00000000000000000000"/>
    <w:charset w:val="02"/>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2"/>
      </w:rPr>
    </w:pPr>
    <w:r>
      <w:rPr>
        <w:rStyle w:val="32"/>
      </w:rPr>
      <w:fldChar w:fldCharType="begin"/>
    </w:r>
    <w:r>
      <w:rPr>
        <w:rStyle w:val="32"/>
      </w:rPr>
      <w:instrText xml:space="preserve">PAGE  </w:instrText>
    </w:r>
    <w:r>
      <w:rPr>
        <w:rStyle w:val="32"/>
      </w:rP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600"/>
        <w:tab w:val="clear" w:pos="8306"/>
      </w:tabs>
      <w:ind w:right="-96"/>
      <w:jc w:val="both"/>
      <w:rPr>
        <w:rFonts w:ascii="黑体" w:eastAsia="黑体"/>
        <w:color w:val="808080"/>
      </w:rPr>
    </w:pPr>
    <w:r>
      <w:rPr>
        <w:rFonts w:hint="eastAsia" w:ascii="黑体" w:eastAsia="黑体"/>
        <w:color w:val="808080"/>
        <w:u w:val="single"/>
      </w:rPr>
      <w:t xml:space="preserve">                                                                                             </w:t>
    </w:r>
    <w:r>
      <w:rPr>
        <w:rFonts w:hint="eastAsia" w:ascii="黑体" w:eastAsia="黑体"/>
        <w:color w:val="808080"/>
      </w:rPr>
      <w:t xml:space="preserve"> </w:t>
    </w:r>
  </w:p>
  <w:p>
    <w:pPr>
      <w:pStyle w:val="19"/>
      <w:tabs>
        <w:tab w:val="right" w:pos="8600"/>
        <w:tab w:val="clear" w:pos="8306"/>
      </w:tabs>
      <w:ind w:right="-96"/>
      <w:jc w:val="both"/>
      <w:rPr>
        <w:rFonts w:ascii="宋体" w:hAnsi="宋体"/>
        <w:szCs w:val="18"/>
      </w:rPr>
    </w:pPr>
    <w:r>
      <w:rPr>
        <w:rFonts w:hint="eastAsia" w:ascii="宋体" w:hAnsi="宋体"/>
        <w:szCs w:val="18"/>
      </w:rPr>
      <w:t>甘肃天健兴业资产评估有限公司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600"/>
        <w:tab w:val="clear" w:pos="8306"/>
      </w:tabs>
      <w:ind w:right="-96"/>
      <w:jc w:val="both"/>
      <w:rPr>
        <w:rFonts w:ascii="黑体" w:eastAsia="黑体"/>
        <w:color w:val="808080"/>
      </w:rPr>
    </w:pPr>
    <w:r>
      <w:rPr>
        <w:rFonts w:hint="eastAsia" w:ascii="黑体" w:eastAsia="黑体"/>
        <w:color w:val="808080"/>
        <w:u w:val="single"/>
      </w:rPr>
      <w:t xml:space="preserve">                                                                                             </w:t>
    </w:r>
    <w:r>
      <w:rPr>
        <w:rFonts w:hint="eastAsia" w:ascii="黑体" w:eastAsia="黑体"/>
        <w:color w:val="808080"/>
      </w:rPr>
      <w:t xml:space="preserve"> </w:t>
    </w:r>
  </w:p>
  <w:p>
    <w:pPr>
      <w:pStyle w:val="19"/>
      <w:tabs>
        <w:tab w:val="right" w:pos="8600"/>
        <w:tab w:val="clear" w:pos="8306"/>
      </w:tabs>
      <w:ind w:right="-96"/>
      <w:jc w:val="both"/>
    </w:pPr>
    <w:r>
      <w:rPr>
        <w:rFonts w:hint="eastAsia" w:ascii="宋体" w:hAnsi="宋体"/>
        <w:szCs w:val="18"/>
      </w:rPr>
      <w:t xml:space="preserve">甘肃天健兴业资产评估有限公司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Cs w:val="18"/>
      </w:rPr>
    </w:pPr>
    <w:r>
      <w:rPr>
        <w:rFonts w:hint="eastAsia" w:ascii="宋体" w:hAnsi="宋体"/>
        <w:szCs w:val="18"/>
      </w:rPr>
      <w:t>目录</w:t>
    </w:r>
    <w:r>
      <w:rPr>
        <w:rFonts w:hint="eastAsia"/>
        <w:b/>
        <w:i/>
      </w:rPr>
      <w:t xml:space="preserve"> </w:t>
    </w:r>
    <w:r>
      <w:rPr>
        <w:rFonts w:hint="eastAsia" w:ascii="黑体" w:eastAsia="黑体"/>
        <w:color w:val="808080"/>
        <w:sz w:val="15"/>
      </w:rPr>
      <w:t xml:space="preserve">         </w:t>
    </w:r>
    <w:r>
      <w:rPr>
        <w:rFonts w:ascii="黑体" w:eastAsia="黑体"/>
        <w:color w:val="808080"/>
        <w:sz w:val="15"/>
      </w:rPr>
      <w:t xml:space="preserve">                                                                                         </w:t>
    </w:r>
    <w:r>
      <w:rPr>
        <w:rFonts w:hint="eastAsia" w:ascii="宋体" w:hAnsi="宋体"/>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ascii="宋体" w:hAnsi="宋体"/>
        <w:szCs w:val="18"/>
      </w:rPr>
    </w:pPr>
    <w:r>
      <w:rPr>
        <w:rFonts w:hint="eastAsia" w:ascii="宋体" w:hAnsi="宋体"/>
        <w:szCs w:val="18"/>
      </w:rPr>
      <w:t>定西市安定区人民法院拟</w:t>
    </w:r>
    <w:r>
      <w:rPr>
        <w:rFonts w:hint="eastAsia" w:ascii="宋体" w:hAnsi="宋体"/>
        <w:szCs w:val="18"/>
        <w:lang w:val="en-US" w:eastAsia="zh-CN"/>
      </w:rPr>
      <w:t>执行财产</w:t>
    </w:r>
    <w:r>
      <w:rPr>
        <w:rFonts w:hint="eastAsia" w:ascii="宋体" w:hAnsi="宋体"/>
        <w:szCs w:val="18"/>
      </w:rPr>
      <w:t>处置涉及的</w:t>
    </w:r>
  </w:p>
  <w:p>
    <w:pPr>
      <w:pStyle w:val="20"/>
      <w:jc w:val="both"/>
      <w:rPr>
        <w:rFonts w:ascii="宋体" w:hAnsi="宋体"/>
        <w:szCs w:val="18"/>
      </w:rPr>
    </w:pPr>
    <w:r>
      <w:rPr>
        <w:rFonts w:hint="eastAsia" w:ascii="宋体" w:hAnsi="宋体"/>
        <w:szCs w:val="18"/>
        <w:lang w:val="en-US" w:eastAsia="zh-CN"/>
      </w:rPr>
      <w:t>甘肃省玉成面业有限公司部分资产</w:t>
    </w:r>
    <w:r>
      <w:rPr>
        <w:rFonts w:hint="eastAsia" w:ascii="宋体" w:hAnsi="宋体"/>
        <w:szCs w:val="18"/>
      </w:rPr>
      <w:t>价值评估项目资产评估报告</w:t>
    </w:r>
    <w:r>
      <w:rPr>
        <w:rFonts w:hint="eastAsia" w:ascii="黑体" w:eastAsia="黑体"/>
        <w:color w:val="808080"/>
        <w:sz w:val="15"/>
      </w:rPr>
      <w:t xml:space="preserve">        </w:t>
    </w:r>
    <w:r>
      <w:rPr>
        <w:rFonts w:hint="eastAsia" w:ascii="黑体" w:eastAsia="黑体"/>
        <w:color w:val="808080"/>
        <w:sz w:val="15"/>
        <w:lang w:val="en-US" w:eastAsia="zh-CN"/>
      </w:rPr>
      <w:t xml:space="preserve">          </w:t>
    </w:r>
    <w:r>
      <w:rPr>
        <w:rFonts w:hint="eastAsia" w:ascii="黑体" w:eastAsia="黑体"/>
        <w:color w:val="808080"/>
        <w:sz w:val="15"/>
      </w:rPr>
      <w:t xml:space="preserve">         </w:t>
    </w:r>
    <w:r>
      <w:rPr>
        <w:rFonts w:hint="eastAsia" w:ascii="黑体" w:eastAsia="黑体"/>
        <w:color w:val="808080"/>
        <w:sz w:val="15"/>
        <w:lang w:val="en-US" w:eastAsia="zh-CN"/>
      </w:rPr>
      <w:t xml:space="preserve">    </w:t>
    </w:r>
    <w:r>
      <w:rPr>
        <w:rFonts w:hint="eastAsia" w:ascii="黑体" w:eastAsia="黑体"/>
        <w:color w:val="808080"/>
        <w:sz w:val="15"/>
      </w:rPr>
      <w:t xml:space="preserve">          </w:t>
    </w:r>
    <w:r>
      <w:rPr>
        <w:rFonts w:hint="eastAsia" w:ascii="宋体" w:hAnsi="宋体"/>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Pr>
        <w:rFonts w:ascii="宋体" w:hAnsi="宋体"/>
        <w:szCs w:val="18"/>
      </w:rPr>
      <w:t>1</w:t>
    </w:r>
    <w:r>
      <w:rPr>
        <w:rFonts w:ascii="宋体" w:hAnsi="宋体"/>
        <w:szCs w:val="18"/>
      </w:rPr>
      <w:fldChar w:fldCharType="end"/>
    </w:r>
    <w:r>
      <w:rPr>
        <w:rFonts w:hint="eastAsia" w:ascii="宋体" w:hAnsi="宋体"/>
        <w:szCs w:val="18"/>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70EBA"/>
    <w:multiLevelType w:val="multilevel"/>
    <w:tmpl w:val="08A70EBA"/>
    <w:lvl w:ilvl="0" w:tentative="0">
      <w:start w:val="1"/>
      <w:numFmt w:val="chineseCountingThousand"/>
      <w:lvlText w:val="（%1）"/>
      <w:lvlJc w:val="left"/>
      <w:pPr>
        <w:ind w:left="2580" w:hanging="420"/>
      </w:pPr>
      <w:rPr>
        <w:rFonts w:hint="default"/>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1">
    <w:nsid w:val="17CE75A3"/>
    <w:multiLevelType w:val="multilevel"/>
    <w:tmpl w:val="17CE75A3"/>
    <w:lvl w:ilvl="0" w:tentative="0">
      <w:start w:val="1"/>
      <w:numFmt w:val="japaneseCounting"/>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chineseCountingThousand"/>
      <w:lvlText w:val="（%5）"/>
      <w:lvlJc w:val="left"/>
      <w:pPr>
        <w:ind w:left="1412" w:hanging="419"/>
      </w:pPr>
      <w:rPr>
        <w:rFonts w:hint="default"/>
        <w:lang w:val="en-US"/>
      </w:r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4811FEF"/>
    <w:multiLevelType w:val="multilevel"/>
    <w:tmpl w:val="24811F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B42DB8"/>
    <w:multiLevelType w:val="multilevel"/>
    <w:tmpl w:val="25B42DB8"/>
    <w:lvl w:ilvl="0" w:tentative="0">
      <w:start w:val="1"/>
      <w:numFmt w:val="chineseCountingThousand"/>
      <w:lvlText w:val="%1、"/>
      <w:lvlJc w:val="left"/>
      <w:pPr>
        <w:ind w:left="758" w:hanging="420"/>
      </w:pPr>
    </w:lvl>
    <w:lvl w:ilvl="1" w:tentative="0">
      <w:start w:val="1"/>
      <w:numFmt w:val="lowerLetter"/>
      <w:lvlText w:val="%2)"/>
      <w:lvlJc w:val="left"/>
      <w:pPr>
        <w:ind w:left="1178" w:hanging="420"/>
      </w:pPr>
    </w:lvl>
    <w:lvl w:ilvl="2" w:tentative="0">
      <w:start w:val="1"/>
      <w:numFmt w:val="lowerRoman"/>
      <w:lvlText w:val="%3."/>
      <w:lvlJc w:val="right"/>
      <w:pPr>
        <w:ind w:left="1598" w:hanging="420"/>
      </w:pPr>
    </w:lvl>
    <w:lvl w:ilvl="3" w:tentative="0">
      <w:start w:val="1"/>
      <w:numFmt w:val="decimal"/>
      <w:lvlText w:val="%4."/>
      <w:lvlJc w:val="left"/>
      <w:pPr>
        <w:ind w:left="2018" w:hanging="420"/>
      </w:pPr>
    </w:lvl>
    <w:lvl w:ilvl="4" w:tentative="0">
      <w:start w:val="1"/>
      <w:numFmt w:val="lowerLetter"/>
      <w:lvlText w:val="%5)"/>
      <w:lvlJc w:val="left"/>
      <w:pPr>
        <w:ind w:left="2438" w:hanging="420"/>
      </w:pPr>
    </w:lvl>
    <w:lvl w:ilvl="5" w:tentative="0">
      <w:start w:val="1"/>
      <w:numFmt w:val="lowerRoman"/>
      <w:lvlText w:val="%6."/>
      <w:lvlJc w:val="right"/>
      <w:pPr>
        <w:ind w:left="2858" w:hanging="420"/>
      </w:pPr>
    </w:lvl>
    <w:lvl w:ilvl="6" w:tentative="0">
      <w:start w:val="1"/>
      <w:numFmt w:val="decimal"/>
      <w:lvlText w:val="%7."/>
      <w:lvlJc w:val="left"/>
      <w:pPr>
        <w:ind w:left="3278" w:hanging="420"/>
      </w:pPr>
    </w:lvl>
    <w:lvl w:ilvl="7" w:tentative="0">
      <w:start w:val="1"/>
      <w:numFmt w:val="lowerLetter"/>
      <w:lvlText w:val="%8)"/>
      <w:lvlJc w:val="left"/>
      <w:pPr>
        <w:ind w:left="3698" w:hanging="420"/>
      </w:pPr>
    </w:lvl>
    <w:lvl w:ilvl="8" w:tentative="0">
      <w:start w:val="1"/>
      <w:numFmt w:val="lowerRoman"/>
      <w:lvlText w:val="%9."/>
      <w:lvlJc w:val="right"/>
      <w:pPr>
        <w:ind w:left="4118" w:hanging="420"/>
      </w:pPr>
    </w:lvl>
  </w:abstractNum>
  <w:abstractNum w:abstractNumId="4">
    <w:nsid w:val="31B35751"/>
    <w:multiLevelType w:val="multilevel"/>
    <w:tmpl w:val="31B357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7F7A19"/>
    <w:multiLevelType w:val="multilevel"/>
    <w:tmpl w:val="357F7A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015D7B"/>
    <w:multiLevelType w:val="singleLevel"/>
    <w:tmpl w:val="49015D7B"/>
    <w:lvl w:ilvl="0" w:tentative="0">
      <w:start w:val="1"/>
      <w:numFmt w:val="bullet"/>
      <w:pStyle w:val="35"/>
      <w:lvlText w:val=""/>
      <w:lvlJc w:val="left"/>
      <w:pPr>
        <w:tabs>
          <w:tab w:val="left" w:pos="425"/>
        </w:tabs>
        <w:ind w:left="425" w:hanging="425"/>
      </w:pPr>
      <w:rPr>
        <w:rFonts w:hint="default" w:ascii="Monotype Sorts" w:hAnsi="Monotype Sorts"/>
        <w:sz w:val="16"/>
      </w:rPr>
    </w:lvl>
  </w:abstractNum>
  <w:abstractNum w:abstractNumId="7">
    <w:nsid w:val="53890065"/>
    <w:multiLevelType w:val="multilevel"/>
    <w:tmpl w:val="5389006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20"/>
  <w:drawingGridVerticalSpacing w:val="240"/>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WY5MGM1YWQwZWY2YzFjMDhhZjBkM2Y5ZTUyNGE1OWUifQ=="/>
  </w:docVars>
  <w:rsids>
    <w:rsidRoot w:val="00B622BA"/>
    <w:rsid w:val="0000062B"/>
    <w:rsid w:val="000008C3"/>
    <w:rsid w:val="00001E5A"/>
    <w:rsid w:val="000027AF"/>
    <w:rsid w:val="00004D73"/>
    <w:rsid w:val="00006CEF"/>
    <w:rsid w:val="00007E99"/>
    <w:rsid w:val="00011F78"/>
    <w:rsid w:val="00012DD3"/>
    <w:rsid w:val="0001780E"/>
    <w:rsid w:val="00020760"/>
    <w:rsid w:val="00020E07"/>
    <w:rsid w:val="000238FC"/>
    <w:rsid w:val="00025D6F"/>
    <w:rsid w:val="000268EB"/>
    <w:rsid w:val="00026D0F"/>
    <w:rsid w:val="0003193A"/>
    <w:rsid w:val="00031CC0"/>
    <w:rsid w:val="00032CD6"/>
    <w:rsid w:val="00033B89"/>
    <w:rsid w:val="00033E1D"/>
    <w:rsid w:val="000351FE"/>
    <w:rsid w:val="00035EAF"/>
    <w:rsid w:val="00036939"/>
    <w:rsid w:val="00040F9E"/>
    <w:rsid w:val="00042AB8"/>
    <w:rsid w:val="00042EAF"/>
    <w:rsid w:val="00044128"/>
    <w:rsid w:val="00045EC9"/>
    <w:rsid w:val="000466BF"/>
    <w:rsid w:val="00046B0B"/>
    <w:rsid w:val="00051082"/>
    <w:rsid w:val="000520E7"/>
    <w:rsid w:val="00054686"/>
    <w:rsid w:val="00055007"/>
    <w:rsid w:val="00056FD4"/>
    <w:rsid w:val="00057823"/>
    <w:rsid w:val="00060AC0"/>
    <w:rsid w:val="000621EA"/>
    <w:rsid w:val="00062463"/>
    <w:rsid w:val="00063022"/>
    <w:rsid w:val="00071649"/>
    <w:rsid w:val="00071A2A"/>
    <w:rsid w:val="000723B4"/>
    <w:rsid w:val="00072438"/>
    <w:rsid w:val="00073EB3"/>
    <w:rsid w:val="00075742"/>
    <w:rsid w:val="000768DD"/>
    <w:rsid w:val="000769A9"/>
    <w:rsid w:val="0007783F"/>
    <w:rsid w:val="00081DC3"/>
    <w:rsid w:val="000829DE"/>
    <w:rsid w:val="000843A1"/>
    <w:rsid w:val="00085BD6"/>
    <w:rsid w:val="00086600"/>
    <w:rsid w:val="000873D2"/>
    <w:rsid w:val="00092830"/>
    <w:rsid w:val="00093293"/>
    <w:rsid w:val="00094B54"/>
    <w:rsid w:val="00095224"/>
    <w:rsid w:val="0009595E"/>
    <w:rsid w:val="000967FC"/>
    <w:rsid w:val="0009752F"/>
    <w:rsid w:val="000976ED"/>
    <w:rsid w:val="000A3260"/>
    <w:rsid w:val="000A6BA6"/>
    <w:rsid w:val="000A7238"/>
    <w:rsid w:val="000B12D0"/>
    <w:rsid w:val="000B182E"/>
    <w:rsid w:val="000B190D"/>
    <w:rsid w:val="000B281B"/>
    <w:rsid w:val="000B301C"/>
    <w:rsid w:val="000B3B91"/>
    <w:rsid w:val="000B44A0"/>
    <w:rsid w:val="000B6054"/>
    <w:rsid w:val="000C0105"/>
    <w:rsid w:val="000C1C38"/>
    <w:rsid w:val="000C3253"/>
    <w:rsid w:val="000C3C6C"/>
    <w:rsid w:val="000C4847"/>
    <w:rsid w:val="000C521E"/>
    <w:rsid w:val="000C5AF6"/>
    <w:rsid w:val="000C76B4"/>
    <w:rsid w:val="000D03F3"/>
    <w:rsid w:val="000D0738"/>
    <w:rsid w:val="000D154D"/>
    <w:rsid w:val="000D1849"/>
    <w:rsid w:val="000D19C7"/>
    <w:rsid w:val="000D297C"/>
    <w:rsid w:val="000D3701"/>
    <w:rsid w:val="000D7A9D"/>
    <w:rsid w:val="000E01A1"/>
    <w:rsid w:val="000E08F9"/>
    <w:rsid w:val="000E3BE0"/>
    <w:rsid w:val="000E4EAD"/>
    <w:rsid w:val="000E6295"/>
    <w:rsid w:val="000E68E6"/>
    <w:rsid w:val="000E703D"/>
    <w:rsid w:val="000E7495"/>
    <w:rsid w:val="000E7AAA"/>
    <w:rsid w:val="000F02FB"/>
    <w:rsid w:val="000F3098"/>
    <w:rsid w:val="000F32F6"/>
    <w:rsid w:val="000F4B19"/>
    <w:rsid w:val="000F6B69"/>
    <w:rsid w:val="000F6F58"/>
    <w:rsid w:val="0010034D"/>
    <w:rsid w:val="00101406"/>
    <w:rsid w:val="00101A6E"/>
    <w:rsid w:val="00101EAC"/>
    <w:rsid w:val="001067CA"/>
    <w:rsid w:val="00111D85"/>
    <w:rsid w:val="001123A5"/>
    <w:rsid w:val="0011249E"/>
    <w:rsid w:val="00112AF8"/>
    <w:rsid w:val="00114527"/>
    <w:rsid w:val="00116FC6"/>
    <w:rsid w:val="0012136F"/>
    <w:rsid w:val="001235A5"/>
    <w:rsid w:val="001248D9"/>
    <w:rsid w:val="001250DA"/>
    <w:rsid w:val="00130205"/>
    <w:rsid w:val="0013095C"/>
    <w:rsid w:val="001328AF"/>
    <w:rsid w:val="00133F98"/>
    <w:rsid w:val="00134112"/>
    <w:rsid w:val="00136364"/>
    <w:rsid w:val="001363FA"/>
    <w:rsid w:val="00136C4A"/>
    <w:rsid w:val="00137DD7"/>
    <w:rsid w:val="001427A7"/>
    <w:rsid w:val="00142DD3"/>
    <w:rsid w:val="00145BD5"/>
    <w:rsid w:val="00147058"/>
    <w:rsid w:val="001538D5"/>
    <w:rsid w:val="001545BF"/>
    <w:rsid w:val="001545C7"/>
    <w:rsid w:val="001546E4"/>
    <w:rsid w:val="0015499C"/>
    <w:rsid w:val="00156F21"/>
    <w:rsid w:val="001604D8"/>
    <w:rsid w:val="001629A3"/>
    <w:rsid w:val="00166CFD"/>
    <w:rsid w:val="00170E3D"/>
    <w:rsid w:val="00170ED0"/>
    <w:rsid w:val="00175EA0"/>
    <w:rsid w:val="00180966"/>
    <w:rsid w:val="001825A6"/>
    <w:rsid w:val="00184DB9"/>
    <w:rsid w:val="00185F65"/>
    <w:rsid w:val="00186128"/>
    <w:rsid w:val="0018629A"/>
    <w:rsid w:val="00186320"/>
    <w:rsid w:val="0018741B"/>
    <w:rsid w:val="001904E6"/>
    <w:rsid w:val="0019089E"/>
    <w:rsid w:val="00191890"/>
    <w:rsid w:val="00191A84"/>
    <w:rsid w:val="00192154"/>
    <w:rsid w:val="001922FD"/>
    <w:rsid w:val="0019464C"/>
    <w:rsid w:val="001947ED"/>
    <w:rsid w:val="001953B7"/>
    <w:rsid w:val="00195BBE"/>
    <w:rsid w:val="0019747E"/>
    <w:rsid w:val="0019784E"/>
    <w:rsid w:val="00197D75"/>
    <w:rsid w:val="001A1382"/>
    <w:rsid w:val="001A1881"/>
    <w:rsid w:val="001A2314"/>
    <w:rsid w:val="001A7A9B"/>
    <w:rsid w:val="001B0D8C"/>
    <w:rsid w:val="001B0EE7"/>
    <w:rsid w:val="001B1C09"/>
    <w:rsid w:val="001B2BE7"/>
    <w:rsid w:val="001B3699"/>
    <w:rsid w:val="001B5131"/>
    <w:rsid w:val="001B62C6"/>
    <w:rsid w:val="001B6ED0"/>
    <w:rsid w:val="001B73CC"/>
    <w:rsid w:val="001C1D14"/>
    <w:rsid w:val="001C22A2"/>
    <w:rsid w:val="001C590E"/>
    <w:rsid w:val="001C5E61"/>
    <w:rsid w:val="001C6F36"/>
    <w:rsid w:val="001C6F8A"/>
    <w:rsid w:val="001D2038"/>
    <w:rsid w:val="001D3141"/>
    <w:rsid w:val="001D3AB3"/>
    <w:rsid w:val="001D621E"/>
    <w:rsid w:val="001D75BE"/>
    <w:rsid w:val="001E1777"/>
    <w:rsid w:val="001E1C0D"/>
    <w:rsid w:val="001E5737"/>
    <w:rsid w:val="001E7F43"/>
    <w:rsid w:val="001F0552"/>
    <w:rsid w:val="001F27BD"/>
    <w:rsid w:val="001F2DA7"/>
    <w:rsid w:val="001F326F"/>
    <w:rsid w:val="001F38CC"/>
    <w:rsid w:val="001F4458"/>
    <w:rsid w:val="001F4D9E"/>
    <w:rsid w:val="002001CF"/>
    <w:rsid w:val="002016EB"/>
    <w:rsid w:val="002066AA"/>
    <w:rsid w:val="00212E01"/>
    <w:rsid w:val="00217A1C"/>
    <w:rsid w:val="00220EB0"/>
    <w:rsid w:val="00222329"/>
    <w:rsid w:val="00222CB9"/>
    <w:rsid w:val="00225CD9"/>
    <w:rsid w:val="00226FBA"/>
    <w:rsid w:val="0022734E"/>
    <w:rsid w:val="00231C67"/>
    <w:rsid w:val="0023373C"/>
    <w:rsid w:val="002353FC"/>
    <w:rsid w:val="00236524"/>
    <w:rsid w:val="00236757"/>
    <w:rsid w:val="00236DA0"/>
    <w:rsid w:val="002376FA"/>
    <w:rsid w:val="00240686"/>
    <w:rsid w:val="00240747"/>
    <w:rsid w:val="00241C54"/>
    <w:rsid w:val="00241DE2"/>
    <w:rsid w:val="00241F46"/>
    <w:rsid w:val="00242587"/>
    <w:rsid w:val="00242AD1"/>
    <w:rsid w:val="00242D86"/>
    <w:rsid w:val="002445C3"/>
    <w:rsid w:val="00247ADA"/>
    <w:rsid w:val="0025112B"/>
    <w:rsid w:val="00254383"/>
    <w:rsid w:val="002566E5"/>
    <w:rsid w:val="00256CF6"/>
    <w:rsid w:val="00260453"/>
    <w:rsid w:val="00262A38"/>
    <w:rsid w:val="00263495"/>
    <w:rsid w:val="00263D33"/>
    <w:rsid w:val="0026681C"/>
    <w:rsid w:val="00267E26"/>
    <w:rsid w:val="002707F8"/>
    <w:rsid w:val="002716E9"/>
    <w:rsid w:val="00271711"/>
    <w:rsid w:val="002727F1"/>
    <w:rsid w:val="002741C3"/>
    <w:rsid w:val="00274FF4"/>
    <w:rsid w:val="002759B1"/>
    <w:rsid w:val="0027611D"/>
    <w:rsid w:val="002772E8"/>
    <w:rsid w:val="00280E91"/>
    <w:rsid w:val="0028306B"/>
    <w:rsid w:val="002832F1"/>
    <w:rsid w:val="00283B8D"/>
    <w:rsid w:val="00284B86"/>
    <w:rsid w:val="00286A82"/>
    <w:rsid w:val="0029311D"/>
    <w:rsid w:val="00293125"/>
    <w:rsid w:val="00295733"/>
    <w:rsid w:val="00295D9D"/>
    <w:rsid w:val="002A2F7B"/>
    <w:rsid w:val="002A5FEE"/>
    <w:rsid w:val="002A6405"/>
    <w:rsid w:val="002A645B"/>
    <w:rsid w:val="002A6DC5"/>
    <w:rsid w:val="002B0F6F"/>
    <w:rsid w:val="002B1035"/>
    <w:rsid w:val="002B1BB4"/>
    <w:rsid w:val="002B2AD5"/>
    <w:rsid w:val="002B3F85"/>
    <w:rsid w:val="002B6465"/>
    <w:rsid w:val="002B69CE"/>
    <w:rsid w:val="002B7E40"/>
    <w:rsid w:val="002C011B"/>
    <w:rsid w:val="002C0DF7"/>
    <w:rsid w:val="002C3503"/>
    <w:rsid w:val="002C3753"/>
    <w:rsid w:val="002C3849"/>
    <w:rsid w:val="002C737F"/>
    <w:rsid w:val="002D419A"/>
    <w:rsid w:val="002D4CE6"/>
    <w:rsid w:val="002D606B"/>
    <w:rsid w:val="002D6537"/>
    <w:rsid w:val="002D6BF0"/>
    <w:rsid w:val="002D7F26"/>
    <w:rsid w:val="002E047C"/>
    <w:rsid w:val="002E1070"/>
    <w:rsid w:val="002E36EC"/>
    <w:rsid w:val="002E6582"/>
    <w:rsid w:val="002E6F58"/>
    <w:rsid w:val="002F1254"/>
    <w:rsid w:val="002F1F93"/>
    <w:rsid w:val="002F32E6"/>
    <w:rsid w:val="002F33DA"/>
    <w:rsid w:val="002F37DA"/>
    <w:rsid w:val="002F4B70"/>
    <w:rsid w:val="002F5780"/>
    <w:rsid w:val="002F6BAA"/>
    <w:rsid w:val="002F6F68"/>
    <w:rsid w:val="00301F6B"/>
    <w:rsid w:val="003023FD"/>
    <w:rsid w:val="003024E2"/>
    <w:rsid w:val="00303728"/>
    <w:rsid w:val="003039AF"/>
    <w:rsid w:val="00303E60"/>
    <w:rsid w:val="0030516D"/>
    <w:rsid w:val="003055FB"/>
    <w:rsid w:val="003065E7"/>
    <w:rsid w:val="00310358"/>
    <w:rsid w:val="00310DFF"/>
    <w:rsid w:val="00310E75"/>
    <w:rsid w:val="0031127B"/>
    <w:rsid w:val="00314000"/>
    <w:rsid w:val="0032014D"/>
    <w:rsid w:val="00320426"/>
    <w:rsid w:val="00321C47"/>
    <w:rsid w:val="003232F4"/>
    <w:rsid w:val="00324AF7"/>
    <w:rsid w:val="00327D32"/>
    <w:rsid w:val="003318DC"/>
    <w:rsid w:val="00334B69"/>
    <w:rsid w:val="00335FBF"/>
    <w:rsid w:val="00336778"/>
    <w:rsid w:val="00340484"/>
    <w:rsid w:val="00340E92"/>
    <w:rsid w:val="003427AF"/>
    <w:rsid w:val="003446B5"/>
    <w:rsid w:val="00344DCE"/>
    <w:rsid w:val="00345020"/>
    <w:rsid w:val="00347043"/>
    <w:rsid w:val="00347F67"/>
    <w:rsid w:val="00351BC5"/>
    <w:rsid w:val="00353205"/>
    <w:rsid w:val="00356622"/>
    <w:rsid w:val="00357918"/>
    <w:rsid w:val="003618EA"/>
    <w:rsid w:val="00365747"/>
    <w:rsid w:val="00365B39"/>
    <w:rsid w:val="003662B7"/>
    <w:rsid w:val="00366C0E"/>
    <w:rsid w:val="00367289"/>
    <w:rsid w:val="00372001"/>
    <w:rsid w:val="00373C00"/>
    <w:rsid w:val="00373C40"/>
    <w:rsid w:val="00374017"/>
    <w:rsid w:val="00374450"/>
    <w:rsid w:val="00375706"/>
    <w:rsid w:val="00375E84"/>
    <w:rsid w:val="00376CF2"/>
    <w:rsid w:val="00377D57"/>
    <w:rsid w:val="003802C6"/>
    <w:rsid w:val="0038177F"/>
    <w:rsid w:val="0038259F"/>
    <w:rsid w:val="003911FA"/>
    <w:rsid w:val="00391DB7"/>
    <w:rsid w:val="00397EC7"/>
    <w:rsid w:val="003A0C71"/>
    <w:rsid w:val="003A4060"/>
    <w:rsid w:val="003B1769"/>
    <w:rsid w:val="003B2D60"/>
    <w:rsid w:val="003B300D"/>
    <w:rsid w:val="003B429F"/>
    <w:rsid w:val="003B554C"/>
    <w:rsid w:val="003B55CE"/>
    <w:rsid w:val="003B58BF"/>
    <w:rsid w:val="003B5E78"/>
    <w:rsid w:val="003B6254"/>
    <w:rsid w:val="003C1508"/>
    <w:rsid w:val="003C2D40"/>
    <w:rsid w:val="003C325C"/>
    <w:rsid w:val="003C3F28"/>
    <w:rsid w:val="003C4738"/>
    <w:rsid w:val="003C6CFB"/>
    <w:rsid w:val="003C7593"/>
    <w:rsid w:val="003D02D7"/>
    <w:rsid w:val="003D23B2"/>
    <w:rsid w:val="003D28EB"/>
    <w:rsid w:val="003D3172"/>
    <w:rsid w:val="003D5E28"/>
    <w:rsid w:val="003D5E76"/>
    <w:rsid w:val="003D7B3C"/>
    <w:rsid w:val="003D7F99"/>
    <w:rsid w:val="003E0CDA"/>
    <w:rsid w:val="003E1293"/>
    <w:rsid w:val="003E1C01"/>
    <w:rsid w:val="003E4887"/>
    <w:rsid w:val="003E518D"/>
    <w:rsid w:val="003E5BDB"/>
    <w:rsid w:val="003F09D0"/>
    <w:rsid w:val="003F34E2"/>
    <w:rsid w:val="003F3E64"/>
    <w:rsid w:val="003F44E5"/>
    <w:rsid w:val="003F4D28"/>
    <w:rsid w:val="003F5027"/>
    <w:rsid w:val="003F5B97"/>
    <w:rsid w:val="003F6C43"/>
    <w:rsid w:val="00400814"/>
    <w:rsid w:val="00402ECD"/>
    <w:rsid w:val="00406DEA"/>
    <w:rsid w:val="0040750B"/>
    <w:rsid w:val="00407B52"/>
    <w:rsid w:val="004103F8"/>
    <w:rsid w:val="00411C15"/>
    <w:rsid w:val="004149FE"/>
    <w:rsid w:val="0041512D"/>
    <w:rsid w:val="0041683A"/>
    <w:rsid w:val="004172C9"/>
    <w:rsid w:val="00421B00"/>
    <w:rsid w:val="00425EA8"/>
    <w:rsid w:val="004264CD"/>
    <w:rsid w:val="00426EFD"/>
    <w:rsid w:val="00432873"/>
    <w:rsid w:val="00433FCB"/>
    <w:rsid w:val="004345F3"/>
    <w:rsid w:val="00435469"/>
    <w:rsid w:val="00436213"/>
    <w:rsid w:val="004427E8"/>
    <w:rsid w:val="004444F8"/>
    <w:rsid w:val="0044464C"/>
    <w:rsid w:val="0045137F"/>
    <w:rsid w:val="004513BF"/>
    <w:rsid w:val="00451C08"/>
    <w:rsid w:val="004523EB"/>
    <w:rsid w:val="00453BF9"/>
    <w:rsid w:val="004559E5"/>
    <w:rsid w:val="004602A4"/>
    <w:rsid w:val="004613E0"/>
    <w:rsid w:val="00464953"/>
    <w:rsid w:val="004728CA"/>
    <w:rsid w:val="00476A61"/>
    <w:rsid w:val="0047772C"/>
    <w:rsid w:val="00477789"/>
    <w:rsid w:val="00482271"/>
    <w:rsid w:val="00482663"/>
    <w:rsid w:val="0048373B"/>
    <w:rsid w:val="00484713"/>
    <w:rsid w:val="004851FD"/>
    <w:rsid w:val="0048586A"/>
    <w:rsid w:val="00485ABA"/>
    <w:rsid w:val="0048779F"/>
    <w:rsid w:val="004901E7"/>
    <w:rsid w:val="00491440"/>
    <w:rsid w:val="00494056"/>
    <w:rsid w:val="00494064"/>
    <w:rsid w:val="00495439"/>
    <w:rsid w:val="004A0991"/>
    <w:rsid w:val="004A1AC6"/>
    <w:rsid w:val="004A2F98"/>
    <w:rsid w:val="004A39DB"/>
    <w:rsid w:val="004A44EE"/>
    <w:rsid w:val="004A4571"/>
    <w:rsid w:val="004A6484"/>
    <w:rsid w:val="004A7EDE"/>
    <w:rsid w:val="004B0A3B"/>
    <w:rsid w:val="004B0C3B"/>
    <w:rsid w:val="004B143D"/>
    <w:rsid w:val="004B2016"/>
    <w:rsid w:val="004B2F74"/>
    <w:rsid w:val="004B3323"/>
    <w:rsid w:val="004B337F"/>
    <w:rsid w:val="004B40DE"/>
    <w:rsid w:val="004B4DD1"/>
    <w:rsid w:val="004B52F7"/>
    <w:rsid w:val="004B701C"/>
    <w:rsid w:val="004C1569"/>
    <w:rsid w:val="004C21A8"/>
    <w:rsid w:val="004C2C65"/>
    <w:rsid w:val="004C36A7"/>
    <w:rsid w:val="004C49EB"/>
    <w:rsid w:val="004D4694"/>
    <w:rsid w:val="004D4799"/>
    <w:rsid w:val="004D4E0A"/>
    <w:rsid w:val="004D50F8"/>
    <w:rsid w:val="004E0720"/>
    <w:rsid w:val="004E1A65"/>
    <w:rsid w:val="004E4890"/>
    <w:rsid w:val="004E5970"/>
    <w:rsid w:val="004E72E3"/>
    <w:rsid w:val="004F3624"/>
    <w:rsid w:val="004F546C"/>
    <w:rsid w:val="005002BB"/>
    <w:rsid w:val="00507BAF"/>
    <w:rsid w:val="00510489"/>
    <w:rsid w:val="00513CC3"/>
    <w:rsid w:val="00513F6A"/>
    <w:rsid w:val="005155A7"/>
    <w:rsid w:val="005172D4"/>
    <w:rsid w:val="00520F35"/>
    <w:rsid w:val="005219A3"/>
    <w:rsid w:val="00522374"/>
    <w:rsid w:val="00522542"/>
    <w:rsid w:val="005240C8"/>
    <w:rsid w:val="005253F5"/>
    <w:rsid w:val="00525CBE"/>
    <w:rsid w:val="0052622A"/>
    <w:rsid w:val="00526353"/>
    <w:rsid w:val="005268CE"/>
    <w:rsid w:val="00530668"/>
    <w:rsid w:val="00530C95"/>
    <w:rsid w:val="00531395"/>
    <w:rsid w:val="00532209"/>
    <w:rsid w:val="00533CB5"/>
    <w:rsid w:val="00535E7F"/>
    <w:rsid w:val="0053619B"/>
    <w:rsid w:val="00540D64"/>
    <w:rsid w:val="0054112D"/>
    <w:rsid w:val="00541B22"/>
    <w:rsid w:val="00542D09"/>
    <w:rsid w:val="00545BAB"/>
    <w:rsid w:val="00545DF6"/>
    <w:rsid w:val="00547A29"/>
    <w:rsid w:val="005500CC"/>
    <w:rsid w:val="0055272C"/>
    <w:rsid w:val="005531EF"/>
    <w:rsid w:val="00553FDC"/>
    <w:rsid w:val="00554BD1"/>
    <w:rsid w:val="005550A9"/>
    <w:rsid w:val="00555AD5"/>
    <w:rsid w:val="00555E85"/>
    <w:rsid w:val="00557F1F"/>
    <w:rsid w:val="00561238"/>
    <w:rsid w:val="0056429D"/>
    <w:rsid w:val="00564482"/>
    <w:rsid w:val="00565FA7"/>
    <w:rsid w:val="005674A1"/>
    <w:rsid w:val="005678E6"/>
    <w:rsid w:val="00572B69"/>
    <w:rsid w:val="00573E26"/>
    <w:rsid w:val="00574176"/>
    <w:rsid w:val="00575746"/>
    <w:rsid w:val="00575ABB"/>
    <w:rsid w:val="00575C51"/>
    <w:rsid w:val="00575EBA"/>
    <w:rsid w:val="00580B50"/>
    <w:rsid w:val="00581BFA"/>
    <w:rsid w:val="00582952"/>
    <w:rsid w:val="0058338E"/>
    <w:rsid w:val="00583491"/>
    <w:rsid w:val="00583729"/>
    <w:rsid w:val="005837A1"/>
    <w:rsid w:val="005838FD"/>
    <w:rsid w:val="00584535"/>
    <w:rsid w:val="00593D48"/>
    <w:rsid w:val="00596552"/>
    <w:rsid w:val="00596ADE"/>
    <w:rsid w:val="00596F40"/>
    <w:rsid w:val="005975C8"/>
    <w:rsid w:val="005A0B83"/>
    <w:rsid w:val="005A3D32"/>
    <w:rsid w:val="005A492C"/>
    <w:rsid w:val="005A5FDD"/>
    <w:rsid w:val="005A71D2"/>
    <w:rsid w:val="005A79A5"/>
    <w:rsid w:val="005B01A7"/>
    <w:rsid w:val="005B2288"/>
    <w:rsid w:val="005B23AF"/>
    <w:rsid w:val="005B247F"/>
    <w:rsid w:val="005B50EF"/>
    <w:rsid w:val="005B73F4"/>
    <w:rsid w:val="005C08AA"/>
    <w:rsid w:val="005C1113"/>
    <w:rsid w:val="005C1E31"/>
    <w:rsid w:val="005C208F"/>
    <w:rsid w:val="005C33EB"/>
    <w:rsid w:val="005C4EF2"/>
    <w:rsid w:val="005C4F95"/>
    <w:rsid w:val="005C635B"/>
    <w:rsid w:val="005C71A6"/>
    <w:rsid w:val="005C7209"/>
    <w:rsid w:val="005C72CC"/>
    <w:rsid w:val="005C7703"/>
    <w:rsid w:val="005D0183"/>
    <w:rsid w:val="005D2CAE"/>
    <w:rsid w:val="005D4F07"/>
    <w:rsid w:val="005D7696"/>
    <w:rsid w:val="005E0798"/>
    <w:rsid w:val="005E0FD1"/>
    <w:rsid w:val="005E1C6E"/>
    <w:rsid w:val="005E1C85"/>
    <w:rsid w:val="005E21B1"/>
    <w:rsid w:val="005E5AE5"/>
    <w:rsid w:val="005E743C"/>
    <w:rsid w:val="005E7523"/>
    <w:rsid w:val="005E7BAA"/>
    <w:rsid w:val="005F0B07"/>
    <w:rsid w:val="005F2727"/>
    <w:rsid w:val="005F2C11"/>
    <w:rsid w:val="005F2F5F"/>
    <w:rsid w:val="005F4163"/>
    <w:rsid w:val="005F682C"/>
    <w:rsid w:val="00601350"/>
    <w:rsid w:val="00601775"/>
    <w:rsid w:val="00604977"/>
    <w:rsid w:val="00604C44"/>
    <w:rsid w:val="00605431"/>
    <w:rsid w:val="006066CD"/>
    <w:rsid w:val="0060771A"/>
    <w:rsid w:val="0062083F"/>
    <w:rsid w:val="00620847"/>
    <w:rsid w:val="00622D67"/>
    <w:rsid w:val="00626B77"/>
    <w:rsid w:val="006319DE"/>
    <w:rsid w:val="006323FA"/>
    <w:rsid w:val="006352FD"/>
    <w:rsid w:val="0064258C"/>
    <w:rsid w:val="00642A62"/>
    <w:rsid w:val="00643D13"/>
    <w:rsid w:val="00644702"/>
    <w:rsid w:val="006462AC"/>
    <w:rsid w:val="00646E9A"/>
    <w:rsid w:val="0064700B"/>
    <w:rsid w:val="0065034F"/>
    <w:rsid w:val="006507F3"/>
    <w:rsid w:val="0065298C"/>
    <w:rsid w:val="0065338A"/>
    <w:rsid w:val="0065402E"/>
    <w:rsid w:val="00654304"/>
    <w:rsid w:val="00654308"/>
    <w:rsid w:val="00654619"/>
    <w:rsid w:val="00656697"/>
    <w:rsid w:val="0066073C"/>
    <w:rsid w:val="0066469B"/>
    <w:rsid w:val="00666D6D"/>
    <w:rsid w:val="00667237"/>
    <w:rsid w:val="006673FF"/>
    <w:rsid w:val="00672183"/>
    <w:rsid w:val="00674DB6"/>
    <w:rsid w:val="006768C4"/>
    <w:rsid w:val="0067763E"/>
    <w:rsid w:val="006778EC"/>
    <w:rsid w:val="00677F61"/>
    <w:rsid w:val="0068013E"/>
    <w:rsid w:val="00680AD0"/>
    <w:rsid w:val="00684741"/>
    <w:rsid w:val="00684F55"/>
    <w:rsid w:val="0068583C"/>
    <w:rsid w:val="00687C0E"/>
    <w:rsid w:val="00690A8A"/>
    <w:rsid w:val="0069513F"/>
    <w:rsid w:val="00695598"/>
    <w:rsid w:val="006978C3"/>
    <w:rsid w:val="006A5ED7"/>
    <w:rsid w:val="006A5FC9"/>
    <w:rsid w:val="006A618C"/>
    <w:rsid w:val="006A6491"/>
    <w:rsid w:val="006A6EB0"/>
    <w:rsid w:val="006B01B1"/>
    <w:rsid w:val="006B0257"/>
    <w:rsid w:val="006B0EF4"/>
    <w:rsid w:val="006B21EC"/>
    <w:rsid w:val="006B249F"/>
    <w:rsid w:val="006B4FED"/>
    <w:rsid w:val="006B5B53"/>
    <w:rsid w:val="006B5F26"/>
    <w:rsid w:val="006B673E"/>
    <w:rsid w:val="006B69A0"/>
    <w:rsid w:val="006C3089"/>
    <w:rsid w:val="006C4FD5"/>
    <w:rsid w:val="006C69DD"/>
    <w:rsid w:val="006D0026"/>
    <w:rsid w:val="006D0713"/>
    <w:rsid w:val="006D3971"/>
    <w:rsid w:val="006D5BCD"/>
    <w:rsid w:val="006E2A9B"/>
    <w:rsid w:val="006E2AFE"/>
    <w:rsid w:val="006E2BD7"/>
    <w:rsid w:val="006E31DD"/>
    <w:rsid w:val="006E32EB"/>
    <w:rsid w:val="006E34E6"/>
    <w:rsid w:val="006E6149"/>
    <w:rsid w:val="006E64FB"/>
    <w:rsid w:val="006E706B"/>
    <w:rsid w:val="006F0C02"/>
    <w:rsid w:val="006F0C5A"/>
    <w:rsid w:val="006F1599"/>
    <w:rsid w:val="006F4A63"/>
    <w:rsid w:val="006F65A0"/>
    <w:rsid w:val="006F7E20"/>
    <w:rsid w:val="0070130D"/>
    <w:rsid w:val="00701CDB"/>
    <w:rsid w:val="00702066"/>
    <w:rsid w:val="00704559"/>
    <w:rsid w:val="00704D6A"/>
    <w:rsid w:val="0070511F"/>
    <w:rsid w:val="007051F3"/>
    <w:rsid w:val="00705D2A"/>
    <w:rsid w:val="007103B4"/>
    <w:rsid w:val="0071103F"/>
    <w:rsid w:val="007137C5"/>
    <w:rsid w:val="0071382E"/>
    <w:rsid w:val="0071468B"/>
    <w:rsid w:val="007167A0"/>
    <w:rsid w:val="00720DF5"/>
    <w:rsid w:val="00722E2C"/>
    <w:rsid w:val="00725BA2"/>
    <w:rsid w:val="00726C29"/>
    <w:rsid w:val="0072759A"/>
    <w:rsid w:val="00731837"/>
    <w:rsid w:val="0073376F"/>
    <w:rsid w:val="007349BA"/>
    <w:rsid w:val="00734DD5"/>
    <w:rsid w:val="0073574E"/>
    <w:rsid w:val="00736BAD"/>
    <w:rsid w:val="00736D69"/>
    <w:rsid w:val="00741F0D"/>
    <w:rsid w:val="00747BFB"/>
    <w:rsid w:val="00751D3A"/>
    <w:rsid w:val="00753842"/>
    <w:rsid w:val="007538B9"/>
    <w:rsid w:val="007544A7"/>
    <w:rsid w:val="00754689"/>
    <w:rsid w:val="00755185"/>
    <w:rsid w:val="007551D9"/>
    <w:rsid w:val="007566A4"/>
    <w:rsid w:val="00756976"/>
    <w:rsid w:val="007579C4"/>
    <w:rsid w:val="0076012A"/>
    <w:rsid w:val="0076089D"/>
    <w:rsid w:val="00760A75"/>
    <w:rsid w:val="00764CA3"/>
    <w:rsid w:val="00764F7A"/>
    <w:rsid w:val="00766C1F"/>
    <w:rsid w:val="00770FD5"/>
    <w:rsid w:val="007712EA"/>
    <w:rsid w:val="0077429C"/>
    <w:rsid w:val="007815E3"/>
    <w:rsid w:val="00784831"/>
    <w:rsid w:val="00785D28"/>
    <w:rsid w:val="00785F2A"/>
    <w:rsid w:val="00786C3E"/>
    <w:rsid w:val="00786CEA"/>
    <w:rsid w:val="00790769"/>
    <w:rsid w:val="00790832"/>
    <w:rsid w:val="007928C9"/>
    <w:rsid w:val="00792C23"/>
    <w:rsid w:val="00794FFE"/>
    <w:rsid w:val="007955D8"/>
    <w:rsid w:val="00796B9C"/>
    <w:rsid w:val="007A08CB"/>
    <w:rsid w:val="007A117C"/>
    <w:rsid w:val="007A1FFA"/>
    <w:rsid w:val="007A28E3"/>
    <w:rsid w:val="007A439F"/>
    <w:rsid w:val="007A5379"/>
    <w:rsid w:val="007A746A"/>
    <w:rsid w:val="007B0280"/>
    <w:rsid w:val="007B27EB"/>
    <w:rsid w:val="007B519F"/>
    <w:rsid w:val="007B5A11"/>
    <w:rsid w:val="007B5BAE"/>
    <w:rsid w:val="007B61AB"/>
    <w:rsid w:val="007C0BD7"/>
    <w:rsid w:val="007C17A2"/>
    <w:rsid w:val="007C31BC"/>
    <w:rsid w:val="007C4844"/>
    <w:rsid w:val="007C6001"/>
    <w:rsid w:val="007C7C9B"/>
    <w:rsid w:val="007D0AA8"/>
    <w:rsid w:val="007D1B6A"/>
    <w:rsid w:val="007D4068"/>
    <w:rsid w:val="007D4EED"/>
    <w:rsid w:val="007D5186"/>
    <w:rsid w:val="007D5A81"/>
    <w:rsid w:val="007D72BC"/>
    <w:rsid w:val="007D7A75"/>
    <w:rsid w:val="007E2951"/>
    <w:rsid w:val="007E470A"/>
    <w:rsid w:val="007E5964"/>
    <w:rsid w:val="007E6259"/>
    <w:rsid w:val="007E64FA"/>
    <w:rsid w:val="007E7C37"/>
    <w:rsid w:val="007E7E90"/>
    <w:rsid w:val="007F00A2"/>
    <w:rsid w:val="007F08C6"/>
    <w:rsid w:val="007F3330"/>
    <w:rsid w:val="007F347E"/>
    <w:rsid w:val="007F510F"/>
    <w:rsid w:val="007F55CA"/>
    <w:rsid w:val="007F7873"/>
    <w:rsid w:val="007F799A"/>
    <w:rsid w:val="0080070C"/>
    <w:rsid w:val="0080090C"/>
    <w:rsid w:val="00800C26"/>
    <w:rsid w:val="00801F6E"/>
    <w:rsid w:val="0080202D"/>
    <w:rsid w:val="0080293F"/>
    <w:rsid w:val="00802DB3"/>
    <w:rsid w:val="0080326C"/>
    <w:rsid w:val="008048BF"/>
    <w:rsid w:val="008075EF"/>
    <w:rsid w:val="0080778E"/>
    <w:rsid w:val="008124DE"/>
    <w:rsid w:val="008157EC"/>
    <w:rsid w:val="008169F5"/>
    <w:rsid w:val="00816D31"/>
    <w:rsid w:val="00816E25"/>
    <w:rsid w:val="00821BCA"/>
    <w:rsid w:val="008248AE"/>
    <w:rsid w:val="008254F1"/>
    <w:rsid w:val="00825E04"/>
    <w:rsid w:val="008275BC"/>
    <w:rsid w:val="00827810"/>
    <w:rsid w:val="00830D85"/>
    <w:rsid w:val="00831744"/>
    <w:rsid w:val="008323A4"/>
    <w:rsid w:val="0083285C"/>
    <w:rsid w:val="008356DB"/>
    <w:rsid w:val="00837D47"/>
    <w:rsid w:val="00840F68"/>
    <w:rsid w:val="00843620"/>
    <w:rsid w:val="0084425B"/>
    <w:rsid w:val="00845A11"/>
    <w:rsid w:val="008463C4"/>
    <w:rsid w:val="00850E22"/>
    <w:rsid w:val="00853768"/>
    <w:rsid w:val="00853AB8"/>
    <w:rsid w:val="008540B3"/>
    <w:rsid w:val="00857036"/>
    <w:rsid w:val="0085716F"/>
    <w:rsid w:val="00860D98"/>
    <w:rsid w:val="0086169D"/>
    <w:rsid w:val="00862CC7"/>
    <w:rsid w:val="00863071"/>
    <w:rsid w:val="00863484"/>
    <w:rsid w:val="008639F0"/>
    <w:rsid w:val="00864A56"/>
    <w:rsid w:val="00867A64"/>
    <w:rsid w:val="00867F37"/>
    <w:rsid w:val="00870993"/>
    <w:rsid w:val="00872355"/>
    <w:rsid w:val="00872C8D"/>
    <w:rsid w:val="0087688C"/>
    <w:rsid w:val="00877917"/>
    <w:rsid w:val="00884D52"/>
    <w:rsid w:val="00884FCC"/>
    <w:rsid w:val="00885094"/>
    <w:rsid w:val="00886130"/>
    <w:rsid w:val="008864E9"/>
    <w:rsid w:val="00887D54"/>
    <w:rsid w:val="00890D05"/>
    <w:rsid w:val="00891ED6"/>
    <w:rsid w:val="008939C0"/>
    <w:rsid w:val="00897F90"/>
    <w:rsid w:val="008A020A"/>
    <w:rsid w:val="008A0B61"/>
    <w:rsid w:val="008A0D9D"/>
    <w:rsid w:val="008A1112"/>
    <w:rsid w:val="008A4CE0"/>
    <w:rsid w:val="008A5EEE"/>
    <w:rsid w:val="008A6B93"/>
    <w:rsid w:val="008A760D"/>
    <w:rsid w:val="008A7C94"/>
    <w:rsid w:val="008B3AE1"/>
    <w:rsid w:val="008B3F82"/>
    <w:rsid w:val="008B48D2"/>
    <w:rsid w:val="008B4A07"/>
    <w:rsid w:val="008B59AC"/>
    <w:rsid w:val="008C055A"/>
    <w:rsid w:val="008C6664"/>
    <w:rsid w:val="008D2639"/>
    <w:rsid w:val="008D43FA"/>
    <w:rsid w:val="008D468B"/>
    <w:rsid w:val="008D485D"/>
    <w:rsid w:val="008D5128"/>
    <w:rsid w:val="008E01E9"/>
    <w:rsid w:val="008E1B14"/>
    <w:rsid w:val="008E64F9"/>
    <w:rsid w:val="008E6816"/>
    <w:rsid w:val="008E7020"/>
    <w:rsid w:val="008E7C63"/>
    <w:rsid w:val="008F1CD3"/>
    <w:rsid w:val="008F43D4"/>
    <w:rsid w:val="008F4D0A"/>
    <w:rsid w:val="008F5830"/>
    <w:rsid w:val="008F67DD"/>
    <w:rsid w:val="008F7359"/>
    <w:rsid w:val="008F7B0F"/>
    <w:rsid w:val="008F7C29"/>
    <w:rsid w:val="00901095"/>
    <w:rsid w:val="00901CEF"/>
    <w:rsid w:val="00902751"/>
    <w:rsid w:val="009055A9"/>
    <w:rsid w:val="0090794B"/>
    <w:rsid w:val="00911E02"/>
    <w:rsid w:val="00912B2A"/>
    <w:rsid w:val="00916FD4"/>
    <w:rsid w:val="00917598"/>
    <w:rsid w:val="009309C7"/>
    <w:rsid w:val="00932537"/>
    <w:rsid w:val="009347B9"/>
    <w:rsid w:val="00934992"/>
    <w:rsid w:val="00934F5F"/>
    <w:rsid w:val="00935526"/>
    <w:rsid w:val="009356CA"/>
    <w:rsid w:val="009376AD"/>
    <w:rsid w:val="00940F61"/>
    <w:rsid w:val="00941E1D"/>
    <w:rsid w:val="00943A1A"/>
    <w:rsid w:val="00944801"/>
    <w:rsid w:val="00945784"/>
    <w:rsid w:val="00945F98"/>
    <w:rsid w:val="009477E0"/>
    <w:rsid w:val="00947B91"/>
    <w:rsid w:val="00947F8A"/>
    <w:rsid w:val="00950EB5"/>
    <w:rsid w:val="00951C07"/>
    <w:rsid w:val="009523E5"/>
    <w:rsid w:val="009540D5"/>
    <w:rsid w:val="009568C4"/>
    <w:rsid w:val="00960A0E"/>
    <w:rsid w:val="00961635"/>
    <w:rsid w:val="0096243E"/>
    <w:rsid w:val="009652AE"/>
    <w:rsid w:val="00965790"/>
    <w:rsid w:val="009658E2"/>
    <w:rsid w:val="00965D58"/>
    <w:rsid w:val="00965E1B"/>
    <w:rsid w:val="0096653D"/>
    <w:rsid w:val="00970032"/>
    <w:rsid w:val="00970AF1"/>
    <w:rsid w:val="00971032"/>
    <w:rsid w:val="0097115C"/>
    <w:rsid w:val="0097186F"/>
    <w:rsid w:val="00971C52"/>
    <w:rsid w:val="00972B28"/>
    <w:rsid w:val="009740D7"/>
    <w:rsid w:val="0097465B"/>
    <w:rsid w:val="00974728"/>
    <w:rsid w:val="009755B5"/>
    <w:rsid w:val="00976158"/>
    <w:rsid w:val="00976F30"/>
    <w:rsid w:val="0097736A"/>
    <w:rsid w:val="00977CB9"/>
    <w:rsid w:val="00980FB9"/>
    <w:rsid w:val="00985760"/>
    <w:rsid w:val="00986853"/>
    <w:rsid w:val="00987A64"/>
    <w:rsid w:val="00987C6D"/>
    <w:rsid w:val="00990DDC"/>
    <w:rsid w:val="00993B0A"/>
    <w:rsid w:val="0099478F"/>
    <w:rsid w:val="009947BB"/>
    <w:rsid w:val="00997095"/>
    <w:rsid w:val="009A0C04"/>
    <w:rsid w:val="009A0F97"/>
    <w:rsid w:val="009A1A90"/>
    <w:rsid w:val="009A48CB"/>
    <w:rsid w:val="009A651D"/>
    <w:rsid w:val="009A6B4B"/>
    <w:rsid w:val="009A75F7"/>
    <w:rsid w:val="009B0038"/>
    <w:rsid w:val="009B0631"/>
    <w:rsid w:val="009B2D67"/>
    <w:rsid w:val="009B3B8A"/>
    <w:rsid w:val="009B6895"/>
    <w:rsid w:val="009C015B"/>
    <w:rsid w:val="009C0848"/>
    <w:rsid w:val="009C3561"/>
    <w:rsid w:val="009C3B4A"/>
    <w:rsid w:val="009C4721"/>
    <w:rsid w:val="009C491E"/>
    <w:rsid w:val="009C5BF3"/>
    <w:rsid w:val="009C5CE2"/>
    <w:rsid w:val="009C6031"/>
    <w:rsid w:val="009C73EF"/>
    <w:rsid w:val="009D20B4"/>
    <w:rsid w:val="009D4546"/>
    <w:rsid w:val="009D4C34"/>
    <w:rsid w:val="009D7D37"/>
    <w:rsid w:val="009E0A42"/>
    <w:rsid w:val="009E127F"/>
    <w:rsid w:val="009E1715"/>
    <w:rsid w:val="009E1995"/>
    <w:rsid w:val="009E4F62"/>
    <w:rsid w:val="009E5F7B"/>
    <w:rsid w:val="009E6BAD"/>
    <w:rsid w:val="009E73AA"/>
    <w:rsid w:val="009F1FC0"/>
    <w:rsid w:val="009F25F9"/>
    <w:rsid w:val="009F395D"/>
    <w:rsid w:val="009F3DE9"/>
    <w:rsid w:val="009F6F4D"/>
    <w:rsid w:val="00A01295"/>
    <w:rsid w:val="00A01481"/>
    <w:rsid w:val="00A036FA"/>
    <w:rsid w:val="00A03764"/>
    <w:rsid w:val="00A0401B"/>
    <w:rsid w:val="00A049D5"/>
    <w:rsid w:val="00A04AB6"/>
    <w:rsid w:val="00A110D9"/>
    <w:rsid w:val="00A172F6"/>
    <w:rsid w:val="00A1787B"/>
    <w:rsid w:val="00A17BA4"/>
    <w:rsid w:val="00A17D23"/>
    <w:rsid w:val="00A21434"/>
    <w:rsid w:val="00A21B08"/>
    <w:rsid w:val="00A22982"/>
    <w:rsid w:val="00A2451E"/>
    <w:rsid w:val="00A245C3"/>
    <w:rsid w:val="00A246B9"/>
    <w:rsid w:val="00A247DF"/>
    <w:rsid w:val="00A252AE"/>
    <w:rsid w:val="00A26C30"/>
    <w:rsid w:val="00A26E19"/>
    <w:rsid w:val="00A31FE4"/>
    <w:rsid w:val="00A340F2"/>
    <w:rsid w:val="00A36235"/>
    <w:rsid w:val="00A4183E"/>
    <w:rsid w:val="00A41D17"/>
    <w:rsid w:val="00A4317A"/>
    <w:rsid w:val="00A4455F"/>
    <w:rsid w:val="00A44634"/>
    <w:rsid w:val="00A4496E"/>
    <w:rsid w:val="00A459D0"/>
    <w:rsid w:val="00A46B9D"/>
    <w:rsid w:val="00A47E13"/>
    <w:rsid w:val="00A53613"/>
    <w:rsid w:val="00A538BC"/>
    <w:rsid w:val="00A55D3F"/>
    <w:rsid w:val="00A56625"/>
    <w:rsid w:val="00A56974"/>
    <w:rsid w:val="00A6045C"/>
    <w:rsid w:val="00A604E5"/>
    <w:rsid w:val="00A612A7"/>
    <w:rsid w:val="00A61770"/>
    <w:rsid w:val="00A62D6B"/>
    <w:rsid w:val="00A647D4"/>
    <w:rsid w:val="00A66CDD"/>
    <w:rsid w:val="00A66FB9"/>
    <w:rsid w:val="00A67746"/>
    <w:rsid w:val="00A67CD7"/>
    <w:rsid w:val="00A71ECB"/>
    <w:rsid w:val="00A7505A"/>
    <w:rsid w:val="00A752CB"/>
    <w:rsid w:val="00A77B9B"/>
    <w:rsid w:val="00A81EB9"/>
    <w:rsid w:val="00A83258"/>
    <w:rsid w:val="00A83767"/>
    <w:rsid w:val="00A838EE"/>
    <w:rsid w:val="00A83B9F"/>
    <w:rsid w:val="00A86E10"/>
    <w:rsid w:val="00A87147"/>
    <w:rsid w:val="00A90BEF"/>
    <w:rsid w:val="00A90DA6"/>
    <w:rsid w:val="00A910E6"/>
    <w:rsid w:val="00A93D11"/>
    <w:rsid w:val="00A940F3"/>
    <w:rsid w:val="00A9462F"/>
    <w:rsid w:val="00A947A4"/>
    <w:rsid w:val="00A956DE"/>
    <w:rsid w:val="00AA010A"/>
    <w:rsid w:val="00AA2EC9"/>
    <w:rsid w:val="00AB0084"/>
    <w:rsid w:val="00AB3D7A"/>
    <w:rsid w:val="00AB4CBA"/>
    <w:rsid w:val="00AB6A24"/>
    <w:rsid w:val="00AC0AFC"/>
    <w:rsid w:val="00AC1177"/>
    <w:rsid w:val="00AC2C4C"/>
    <w:rsid w:val="00AC36CA"/>
    <w:rsid w:val="00AC4BAB"/>
    <w:rsid w:val="00AC5B52"/>
    <w:rsid w:val="00AC69E5"/>
    <w:rsid w:val="00AC6E97"/>
    <w:rsid w:val="00AD03AA"/>
    <w:rsid w:val="00AD15BF"/>
    <w:rsid w:val="00AD17BE"/>
    <w:rsid w:val="00AD263E"/>
    <w:rsid w:val="00AD3120"/>
    <w:rsid w:val="00AD414B"/>
    <w:rsid w:val="00AD4843"/>
    <w:rsid w:val="00AD56DB"/>
    <w:rsid w:val="00AD5AF2"/>
    <w:rsid w:val="00AD744D"/>
    <w:rsid w:val="00AD7538"/>
    <w:rsid w:val="00AD7AA7"/>
    <w:rsid w:val="00AE2498"/>
    <w:rsid w:val="00AE2911"/>
    <w:rsid w:val="00AE45A6"/>
    <w:rsid w:val="00AE4D40"/>
    <w:rsid w:val="00AE561D"/>
    <w:rsid w:val="00AE75A5"/>
    <w:rsid w:val="00AF1F54"/>
    <w:rsid w:val="00AF2230"/>
    <w:rsid w:val="00AF3475"/>
    <w:rsid w:val="00AF4B41"/>
    <w:rsid w:val="00AF5599"/>
    <w:rsid w:val="00AF79E6"/>
    <w:rsid w:val="00AF7B1C"/>
    <w:rsid w:val="00B00A7F"/>
    <w:rsid w:val="00B0147C"/>
    <w:rsid w:val="00B04B1F"/>
    <w:rsid w:val="00B057DE"/>
    <w:rsid w:val="00B07475"/>
    <w:rsid w:val="00B1010C"/>
    <w:rsid w:val="00B113C4"/>
    <w:rsid w:val="00B13C33"/>
    <w:rsid w:val="00B14FB4"/>
    <w:rsid w:val="00B2036F"/>
    <w:rsid w:val="00B206A7"/>
    <w:rsid w:val="00B216A9"/>
    <w:rsid w:val="00B21F12"/>
    <w:rsid w:val="00B2263F"/>
    <w:rsid w:val="00B23931"/>
    <w:rsid w:val="00B23EC2"/>
    <w:rsid w:val="00B24AEF"/>
    <w:rsid w:val="00B26661"/>
    <w:rsid w:val="00B30E7F"/>
    <w:rsid w:val="00B31627"/>
    <w:rsid w:val="00B333E2"/>
    <w:rsid w:val="00B339F4"/>
    <w:rsid w:val="00B377C5"/>
    <w:rsid w:val="00B37B38"/>
    <w:rsid w:val="00B4183D"/>
    <w:rsid w:val="00B44168"/>
    <w:rsid w:val="00B447C2"/>
    <w:rsid w:val="00B461E2"/>
    <w:rsid w:val="00B4684F"/>
    <w:rsid w:val="00B50CEE"/>
    <w:rsid w:val="00B517E3"/>
    <w:rsid w:val="00B51DC2"/>
    <w:rsid w:val="00B53CEF"/>
    <w:rsid w:val="00B547B2"/>
    <w:rsid w:val="00B550D7"/>
    <w:rsid w:val="00B55434"/>
    <w:rsid w:val="00B55871"/>
    <w:rsid w:val="00B55E80"/>
    <w:rsid w:val="00B57773"/>
    <w:rsid w:val="00B622BA"/>
    <w:rsid w:val="00B635AD"/>
    <w:rsid w:val="00B641C2"/>
    <w:rsid w:val="00B65B54"/>
    <w:rsid w:val="00B71FF7"/>
    <w:rsid w:val="00B7283F"/>
    <w:rsid w:val="00B74EE0"/>
    <w:rsid w:val="00B8296C"/>
    <w:rsid w:val="00B83D90"/>
    <w:rsid w:val="00B864A4"/>
    <w:rsid w:val="00B8733D"/>
    <w:rsid w:val="00B91054"/>
    <w:rsid w:val="00B927D7"/>
    <w:rsid w:val="00B92CE0"/>
    <w:rsid w:val="00B9506B"/>
    <w:rsid w:val="00B97A9C"/>
    <w:rsid w:val="00BA0242"/>
    <w:rsid w:val="00BA39DB"/>
    <w:rsid w:val="00BA5172"/>
    <w:rsid w:val="00BA622D"/>
    <w:rsid w:val="00BA6B08"/>
    <w:rsid w:val="00BB04BB"/>
    <w:rsid w:val="00BB2A4E"/>
    <w:rsid w:val="00BB3CDB"/>
    <w:rsid w:val="00BB437D"/>
    <w:rsid w:val="00BB4389"/>
    <w:rsid w:val="00BB472C"/>
    <w:rsid w:val="00BB5EAC"/>
    <w:rsid w:val="00BB7459"/>
    <w:rsid w:val="00BC0BD5"/>
    <w:rsid w:val="00BC1185"/>
    <w:rsid w:val="00BC1675"/>
    <w:rsid w:val="00BC2BC9"/>
    <w:rsid w:val="00BC53F4"/>
    <w:rsid w:val="00BC69FF"/>
    <w:rsid w:val="00BC7D02"/>
    <w:rsid w:val="00BC7DF8"/>
    <w:rsid w:val="00BD1B96"/>
    <w:rsid w:val="00BD2051"/>
    <w:rsid w:val="00BD2323"/>
    <w:rsid w:val="00BD2B67"/>
    <w:rsid w:val="00BD3DF9"/>
    <w:rsid w:val="00BD456A"/>
    <w:rsid w:val="00BD59A4"/>
    <w:rsid w:val="00BD631C"/>
    <w:rsid w:val="00BD6C13"/>
    <w:rsid w:val="00BD6DE5"/>
    <w:rsid w:val="00BE14CA"/>
    <w:rsid w:val="00BE17B2"/>
    <w:rsid w:val="00BE3BF8"/>
    <w:rsid w:val="00BE60ED"/>
    <w:rsid w:val="00BE6362"/>
    <w:rsid w:val="00BE6F93"/>
    <w:rsid w:val="00BE7A2D"/>
    <w:rsid w:val="00BE7F1F"/>
    <w:rsid w:val="00BF008A"/>
    <w:rsid w:val="00BF00AE"/>
    <w:rsid w:val="00BF31CF"/>
    <w:rsid w:val="00BF4BEF"/>
    <w:rsid w:val="00BF4F57"/>
    <w:rsid w:val="00BF5AA6"/>
    <w:rsid w:val="00BF6648"/>
    <w:rsid w:val="00BF7084"/>
    <w:rsid w:val="00BF7221"/>
    <w:rsid w:val="00C00743"/>
    <w:rsid w:val="00C00839"/>
    <w:rsid w:val="00C016CF"/>
    <w:rsid w:val="00C0291C"/>
    <w:rsid w:val="00C03E9E"/>
    <w:rsid w:val="00C04C6C"/>
    <w:rsid w:val="00C062AC"/>
    <w:rsid w:val="00C10C18"/>
    <w:rsid w:val="00C146FA"/>
    <w:rsid w:val="00C14716"/>
    <w:rsid w:val="00C14F61"/>
    <w:rsid w:val="00C1525F"/>
    <w:rsid w:val="00C20766"/>
    <w:rsid w:val="00C20A72"/>
    <w:rsid w:val="00C2114B"/>
    <w:rsid w:val="00C2143D"/>
    <w:rsid w:val="00C24283"/>
    <w:rsid w:val="00C26A58"/>
    <w:rsid w:val="00C26F49"/>
    <w:rsid w:val="00C3071C"/>
    <w:rsid w:val="00C31FCC"/>
    <w:rsid w:val="00C328D9"/>
    <w:rsid w:val="00C333F3"/>
    <w:rsid w:val="00C3390A"/>
    <w:rsid w:val="00C34B67"/>
    <w:rsid w:val="00C35CFF"/>
    <w:rsid w:val="00C37485"/>
    <w:rsid w:val="00C37A81"/>
    <w:rsid w:val="00C40149"/>
    <w:rsid w:val="00C41F1E"/>
    <w:rsid w:val="00C41F65"/>
    <w:rsid w:val="00C4397C"/>
    <w:rsid w:val="00C45051"/>
    <w:rsid w:val="00C50F89"/>
    <w:rsid w:val="00C52B7B"/>
    <w:rsid w:val="00C550F5"/>
    <w:rsid w:val="00C55BCD"/>
    <w:rsid w:val="00C5745D"/>
    <w:rsid w:val="00C60966"/>
    <w:rsid w:val="00C61E95"/>
    <w:rsid w:val="00C64DBE"/>
    <w:rsid w:val="00C65B41"/>
    <w:rsid w:val="00C70836"/>
    <w:rsid w:val="00C71C77"/>
    <w:rsid w:val="00C7559C"/>
    <w:rsid w:val="00C75C46"/>
    <w:rsid w:val="00C76C09"/>
    <w:rsid w:val="00C8254A"/>
    <w:rsid w:val="00C830CD"/>
    <w:rsid w:val="00C8531F"/>
    <w:rsid w:val="00C85CEE"/>
    <w:rsid w:val="00C87AFC"/>
    <w:rsid w:val="00C913CA"/>
    <w:rsid w:val="00C91487"/>
    <w:rsid w:val="00C926F0"/>
    <w:rsid w:val="00C938B3"/>
    <w:rsid w:val="00C947E7"/>
    <w:rsid w:val="00C96695"/>
    <w:rsid w:val="00C968B2"/>
    <w:rsid w:val="00C9715C"/>
    <w:rsid w:val="00C978D3"/>
    <w:rsid w:val="00CA03BE"/>
    <w:rsid w:val="00CA1094"/>
    <w:rsid w:val="00CA3039"/>
    <w:rsid w:val="00CA4ABC"/>
    <w:rsid w:val="00CA4BEF"/>
    <w:rsid w:val="00CA5932"/>
    <w:rsid w:val="00CA6EAC"/>
    <w:rsid w:val="00CB0944"/>
    <w:rsid w:val="00CB0CB2"/>
    <w:rsid w:val="00CB0CCA"/>
    <w:rsid w:val="00CB1727"/>
    <w:rsid w:val="00CB1CFA"/>
    <w:rsid w:val="00CB2AC1"/>
    <w:rsid w:val="00CB427E"/>
    <w:rsid w:val="00CB5AB9"/>
    <w:rsid w:val="00CB6D79"/>
    <w:rsid w:val="00CC0F5D"/>
    <w:rsid w:val="00CC2C06"/>
    <w:rsid w:val="00CC418D"/>
    <w:rsid w:val="00CC4A02"/>
    <w:rsid w:val="00CC71DA"/>
    <w:rsid w:val="00CD0176"/>
    <w:rsid w:val="00CD2902"/>
    <w:rsid w:val="00CD4491"/>
    <w:rsid w:val="00CD4D14"/>
    <w:rsid w:val="00CE0C3D"/>
    <w:rsid w:val="00CE1EA3"/>
    <w:rsid w:val="00CE25B1"/>
    <w:rsid w:val="00CE370E"/>
    <w:rsid w:val="00CE41E2"/>
    <w:rsid w:val="00CE6AC2"/>
    <w:rsid w:val="00CF01BE"/>
    <w:rsid w:val="00CF03DB"/>
    <w:rsid w:val="00CF0A34"/>
    <w:rsid w:val="00CF0BD4"/>
    <w:rsid w:val="00CF1E63"/>
    <w:rsid w:val="00CF419D"/>
    <w:rsid w:val="00CF5CF1"/>
    <w:rsid w:val="00CF5ECE"/>
    <w:rsid w:val="00CF6325"/>
    <w:rsid w:val="00CF75F2"/>
    <w:rsid w:val="00CF75FA"/>
    <w:rsid w:val="00CF7CC3"/>
    <w:rsid w:val="00CF7F22"/>
    <w:rsid w:val="00D0386A"/>
    <w:rsid w:val="00D0631F"/>
    <w:rsid w:val="00D075D2"/>
    <w:rsid w:val="00D10EA4"/>
    <w:rsid w:val="00D11CB0"/>
    <w:rsid w:val="00D16EBA"/>
    <w:rsid w:val="00D206EF"/>
    <w:rsid w:val="00D24655"/>
    <w:rsid w:val="00D24B00"/>
    <w:rsid w:val="00D33387"/>
    <w:rsid w:val="00D344E4"/>
    <w:rsid w:val="00D35822"/>
    <w:rsid w:val="00D36ED7"/>
    <w:rsid w:val="00D41ACB"/>
    <w:rsid w:val="00D435A8"/>
    <w:rsid w:val="00D44B89"/>
    <w:rsid w:val="00D47935"/>
    <w:rsid w:val="00D5042E"/>
    <w:rsid w:val="00D508D3"/>
    <w:rsid w:val="00D5093F"/>
    <w:rsid w:val="00D521FB"/>
    <w:rsid w:val="00D5225F"/>
    <w:rsid w:val="00D542C4"/>
    <w:rsid w:val="00D562D3"/>
    <w:rsid w:val="00D565CD"/>
    <w:rsid w:val="00D56BFE"/>
    <w:rsid w:val="00D57B10"/>
    <w:rsid w:val="00D60AD0"/>
    <w:rsid w:val="00D60E66"/>
    <w:rsid w:val="00D61296"/>
    <w:rsid w:val="00D633C4"/>
    <w:rsid w:val="00D63DA0"/>
    <w:rsid w:val="00D64427"/>
    <w:rsid w:val="00D644C6"/>
    <w:rsid w:val="00D65B2A"/>
    <w:rsid w:val="00D67939"/>
    <w:rsid w:val="00D710BC"/>
    <w:rsid w:val="00D716C0"/>
    <w:rsid w:val="00D723DF"/>
    <w:rsid w:val="00D75121"/>
    <w:rsid w:val="00D75EB5"/>
    <w:rsid w:val="00D76006"/>
    <w:rsid w:val="00D760C2"/>
    <w:rsid w:val="00D805E9"/>
    <w:rsid w:val="00D8296A"/>
    <w:rsid w:val="00D838A0"/>
    <w:rsid w:val="00D8633D"/>
    <w:rsid w:val="00D86541"/>
    <w:rsid w:val="00D876B0"/>
    <w:rsid w:val="00D9066B"/>
    <w:rsid w:val="00D912E2"/>
    <w:rsid w:val="00D91AC1"/>
    <w:rsid w:val="00D91F35"/>
    <w:rsid w:val="00D92A0D"/>
    <w:rsid w:val="00D92C6D"/>
    <w:rsid w:val="00D92FD1"/>
    <w:rsid w:val="00D95877"/>
    <w:rsid w:val="00D96B08"/>
    <w:rsid w:val="00D96B10"/>
    <w:rsid w:val="00D9712A"/>
    <w:rsid w:val="00D971B9"/>
    <w:rsid w:val="00D97BB0"/>
    <w:rsid w:val="00DA11AE"/>
    <w:rsid w:val="00DA4D1E"/>
    <w:rsid w:val="00DB0C95"/>
    <w:rsid w:val="00DB0D13"/>
    <w:rsid w:val="00DB1374"/>
    <w:rsid w:val="00DB2FA1"/>
    <w:rsid w:val="00DB4651"/>
    <w:rsid w:val="00DB5B29"/>
    <w:rsid w:val="00DB753B"/>
    <w:rsid w:val="00DC0EAB"/>
    <w:rsid w:val="00DC1B05"/>
    <w:rsid w:val="00DC6A5B"/>
    <w:rsid w:val="00DD02BF"/>
    <w:rsid w:val="00DD25C3"/>
    <w:rsid w:val="00DD4796"/>
    <w:rsid w:val="00DD48CD"/>
    <w:rsid w:val="00DE0370"/>
    <w:rsid w:val="00DE2021"/>
    <w:rsid w:val="00DE3081"/>
    <w:rsid w:val="00DE3995"/>
    <w:rsid w:val="00DE5383"/>
    <w:rsid w:val="00DE53FD"/>
    <w:rsid w:val="00DE71A9"/>
    <w:rsid w:val="00DE7D10"/>
    <w:rsid w:val="00DF04BC"/>
    <w:rsid w:val="00DF078F"/>
    <w:rsid w:val="00DF1039"/>
    <w:rsid w:val="00DF3E40"/>
    <w:rsid w:val="00DF451A"/>
    <w:rsid w:val="00DF5CAA"/>
    <w:rsid w:val="00DF667C"/>
    <w:rsid w:val="00E00938"/>
    <w:rsid w:val="00E0100A"/>
    <w:rsid w:val="00E02098"/>
    <w:rsid w:val="00E0209D"/>
    <w:rsid w:val="00E0432D"/>
    <w:rsid w:val="00E04B04"/>
    <w:rsid w:val="00E10D99"/>
    <w:rsid w:val="00E15A1A"/>
    <w:rsid w:val="00E17797"/>
    <w:rsid w:val="00E22C98"/>
    <w:rsid w:val="00E233FE"/>
    <w:rsid w:val="00E246CB"/>
    <w:rsid w:val="00E248AD"/>
    <w:rsid w:val="00E259D0"/>
    <w:rsid w:val="00E26BD0"/>
    <w:rsid w:val="00E2797D"/>
    <w:rsid w:val="00E35352"/>
    <w:rsid w:val="00E35554"/>
    <w:rsid w:val="00E36E79"/>
    <w:rsid w:val="00E42B39"/>
    <w:rsid w:val="00E47837"/>
    <w:rsid w:val="00E513EF"/>
    <w:rsid w:val="00E5152F"/>
    <w:rsid w:val="00E517E2"/>
    <w:rsid w:val="00E518F0"/>
    <w:rsid w:val="00E537F6"/>
    <w:rsid w:val="00E5523B"/>
    <w:rsid w:val="00E559DE"/>
    <w:rsid w:val="00E56F99"/>
    <w:rsid w:val="00E6023B"/>
    <w:rsid w:val="00E61827"/>
    <w:rsid w:val="00E62978"/>
    <w:rsid w:val="00E635EA"/>
    <w:rsid w:val="00E63A1D"/>
    <w:rsid w:val="00E643C6"/>
    <w:rsid w:val="00E64D9A"/>
    <w:rsid w:val="00E67258"/>
    <w:rsid w:val="00E70A81"/>
    <w:rsid w:val="00E71C68"/>
    <w:rsid w:val="00E72618"/>
    <w:rsid w:val="00E72B9D"/>
    <w:rsid w:val="00E74ACA"/>
    <w:rsid w:val="00E75B0D"/>
    <w:rsid w:val="00E75B95"/>
    <w:rsid w:val="00E779C4"/>
    <w:rsid w:val="00E779DA"/>
    <w:rsid w:val="00E82DD0"/>
    <w:rsid w:val="00E848FC"/>
    <w:rsid w:val="00E86AD1"/>
    <w:rsid w:val="00E90799"/>
    <w:rsid w:val="00E94741"/>
    <w:rsid w:val="00E966D4"/>
    <w:rsid w:val="00E9769E"/>
    <w:rsid w:val="00E97DC5"/>
    <w:rsid w:val="00EA0F65"/>
    <w:rsid w:val="00EA3EB9"/>
    <w:rsid w:val="00EA69D9"/>
    <w:rsid w:val="00EA7B06"/>
    <w:rsid w:val="00EA7ED9"/>
    <w:rsid w:val="00EB10BD"/>
    <w:rsid w:val="00EB197B"/>
    <w:rsid w:val="00EB229A"/>
    <w:rsid w:val="00EB2EA3"/>
    <w:rsid w:val="00EB5B12"/>
    <w:rsid w:val="00EC2BD6"/>
    <w:rsid w:val="00EC52BE"/>
    <w:rsid w:val="00EC5D2F"/>
    <w:rsid w:val="00EC648B"/>
    <w:rsid w:val="00EC6C0A"/>
    <w:rsid w:val="00ED184C"/>
    <w:rsid w:val="00ED1EC0"/>
    <w:rsid w:val="00ED2B13"/>
    <w:rsid w:val="00ED35D1"/>
    <w:rsid w:val="00ED3FD0"/>
    <w:rsid w:val="00ED7664"/>
    <w:rsid w:val="00ED7C0A"/>
    <w:rsid w:val="00EE14C8"/>
    <w:rsid w:val="00EE2D71"/>
    <w:rsid w:val="00EE3E5C"/>
    <w:rsid w:val="00EE4D8F"/>
    <w:rsid w:val="00EE57C3"/>
    <w:rsid w:val="00EE6D2D"/>
    <w:rsid w:val="00EE7402"/>
    <w:rsid w:val="00EE789A"/>
    <w:rsid w:val="00EF0A3B"/>
    <w:rsid w:val="00EF246A"/>
    <w:rsid w:val="00EF32C8"/>
    <w:rsid w:val="00F05376"/>
    <w:rsid w:val="00F05E37"/>
    <w:rsid w:val="00F06B38"/>
    <w:rsid w:val="00F06C54"/>
    <w:rsid w:val="00F107E7"/>
    <w:rsid w:val="00F108B5"/>
    <w:rsid w:val="00F10B98"/>
    <w:rsid w:val="00F12039"/>
    <w:rsid w:val="00F140A9"/>
    <w:rsid w:val="00F16358"/>
    <w:rsid w:val="00F21BF4"/>
    <w:rsid w:val="00F22B37"/>
    <w:rsid w:val="00F2326B"/>
    <w:rsid w:val="00F2326C"/>
    <w:rsid w:val="00F2534F"/>
    <w:rsid w:val="00F343F5"/>
    <w:rsid w:val="00F349BE"/>
    <w:rsid w:val="00F3696C"/>
    <w:rsid w:val="00F3704D"/>
    <w:rsid w:val="00F3728E"/>
    <w:rsid w:val="00F373E5"/>
    <w:rsid w:val="00F43589"/>
    <w:rsid w:val="00F45203"/>
    <w:rsid w:val="00F463FD"/>
    <w:rsid w:val="00F50905"/>
    <w:rsid w:val="00F52481"/>
    <w:rsid w:val="00F524C0"/>
    <w:rsid w:val="00F529A3"/>
    <w:rsid w:val="00F5397B"/>
    <w:rsid w:val="00F53C38"/>
    <w:rsid w:val="00F546A7"/>
    <w:rsid w:val="00F558DE"/>
    <w:rsid w:val="00F576AC"/>
    <w:rsid w:val="00F60F83"/>
    <w:rsid w:val="00F62A94"/>
    <w:rsid w:val="00F63433"/>
    <w:rsid w:val="00F637C0"/>
    <w:rsid w:val="00F6655B"/>
    <w:rsid w:val="00F70CAE"/>
    <w:rsid w:val="00F722F1"/>
    <w:rsid w:val="00F733C4"/>
    <w:rsid w:val="00F73CF5"/>
    <w:rsid w:val="00F74273"/>
    <w:rsid w:val="00F8055D"/>
    <w:rsid w:val="00F808EF"/>
    <w:rsid w:val="00F80E06"/>
    <w:rsid w:val="00F8436A"/>
    <w:rsid w:val="00F87ACF"/>
    <w:rsid w:val="00F91D9F"/>
    <w:rsid w:val="00F94D41"/>
    <w:rsid w:val="00F95AC5"/>
    <w:rsid w:val="00F95B43"/>
    <w:rsid w:val="00F96B57"/>
    <w:rsid w:val="00F97AB3"/>
    <w:rsid w:val="00F97EFE"/>
    <w:rsid w:val="00FA1503"/>
    <w:rsid w:val="00FA1E60"/>
    <w:rsid w:val="00FA20A5"/>
    <w:rsid w:val="00FA34BC"/>
    <w:rsid w:val="00FA4AA8"/>
    <w:rsid w:val="00FA7AB0"/>
    <w:rsid w:val="00FB0AFC"/>
    <w:rsid w:val="00FB0C78"/>
    <w:rsid w:val="00FB35AA"/>
    <w:rsid w:val="00FB409B"/>
    <w:rsid w:val="00FB713C"/>
    <w:rsid w:val="00FB76C9"/>
    <w:rsid w:val="00FC19C1"/>
    <w:rsid w:val="00FC2266"/>
    <w:rsid w:val="00FC256C"/>
    <w:rsid w:val="00FC722D"/>
    <w:rsid w:val="00FC784A"/>
    <w:rsid w:val="00FD1CAE"/>
    <w:rsid w:val="00FD284D"/>
    <w:rsid w:val="00FD2E3B"/>
    <w:rsid w:val="00FD35B8"/>
    <w:rsid w:val="00FD446A"/>
    <w:rsid w:val="00FD5500"/>
    <w:rsid w:val="00FD55B1"/>
    <w:rsid w:val="00FD5674"/>
    <w:rsid w:val="00FD601C"/>
    <w:rsid w:val="00FD63BF"/>
    <w:rsid w:val="00FE1E7D"/>
    <w:rsid w:val="00FE1F9C"/>
    <w:rsid w:val="00FE3E7A"/>
    <w:rsid w:val="00FE60C7"/>
    <w:rsid w:val="00FE68AA"/>
    <w:rsid w:val="00FE7121"/>
    <w:rsid w:val="00FF1F38"/>
    <w:rsid w:val="00FF2585"/>
    <w:rsid w:val="00FF2AF1"/>
    <w:rsid w:val="00FF345E"/>
    <w:rsid w:val="00FF357D"/>
    <w:rsid w:val="00FF50A2"/>
    <w:rsid w:val="00FF664C"/>
    <w:rsid w:val="00FF7073"/>
    <w:rsid w:val="00FF7A55"/>
    <w:rsid w:val="00FF7D92"/>
    <w:rsid w:val="01C00BDC"/>
    <w:rsid w:val="03791427"/>
    <w:rsid w:val="04267B2D"/>
    <w:rsid w:val="06053E05"/>
    <w:rsid w:val="06A44794"/>
    <w:rsid w:val="076026E8"/>
    <w:rsid w:val="0BE1258C"/>
    <w:rsid w:val="0C6E76D7"/>
    <w:rsid w:val="0D910E82"/>
    <w:rsid w:val="102E38C6"/>
    <w:rsid w:val="169721C5"/>
    <w:rsid w:val="16AF22B5"/>
    <w:rsid w:val="18DA4769"/>
    <w:rsid w:val="1BA62EAA"/>
    <w:rsid w:val="1DD761AF"/>
    <w:rsid w:val="255F47F5"/>
    <w:rsid w:val="28DD7CE6"/>
    <w:rsid w:val="29051210"/>
    <w:rsid w:val="2B3E1D19"/>
    <w:rsid w:val="2EF239A5"/>
    <w:rsid w:val="2FDF6FE0"/>
    <w:rsid w:val="33101278"/>
    <w:rsid w:val="341474A9"/>
    <w:rsid w:val="3501695B"/>
    <w:rsid w:val="35596842"/>
    <w:rsid w:val="39406294"/>
    <w:rsid w:val="3A54519D"/>
    <w:rsid w:val="3ACC7DDF"/>
    <w:rsid w:val="3B24620C"/>
    <w:rsid w:val="41E579D9"/>
    <w:rsid w:val="468C2726"/>
    <w:rsid w:val="49AB59AC"/>
    <w:rsid w:val="4CAC51BC"/>
    <w:rsid w:val="4F24490B"/>
    <w:rsid w:val="4FEF6DB1"/>
    <w:rsid w:val="50BB0015"/>
    <w:rsid w:val="53206AC2"/>
    <w:rsid w:val="540A75E7"/>
    <w:rsid w:val="540B4EE9"/>
    <w:rsid w:val="55B4222E"/>
    <w:rsid w:val="5876675E"/>
    <w:rsid w:val="59216A23"/>
    <w:rsid w:val="5988716F"/>
    <w:rsid w:val="5A4C7330"/>
    <w:rsid w:val="624548C5"/>
    <w:rsid w:val="67D4355B"/>
    <w:rsid w:val="68035E0F"/>
    <w:rsid w:val="68974C5D"/>
    <w:rsid w:val="6D8968E1"/>
    <w:rsid w:val="6E623FDB"/>
    <w:rsid w:val="778A10AC"/>
    <w:rsid w:val="78CF42CD"/>
    <w:rsid w:val="793A2DDE"/>
    <w:rsid w:val="7A0E1242"/>
    <w:rsid w:val="7B3665D4"/>
    <w:rsid w:val="7B95154C"/>
    <w:rsid w:val="7BD957C3"/>
    <w:rsid w:val="7FB4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49"/>
    <w:qFormat/>
    <w:uiPriority w:val="0"/>
    <w:pPr>
      <w:keepNext/>
      <w:keepLines/>
      <w:adjustRightInd w:val="0"/>
      <w:spacing w:before="340" w:after="330" w:line="578" w:lineRule="atLeast"/>
      <w:ind w:firstLine="425"/>
      <w:textAlignment w:val="baseline"/>
      <w:outlineLvl w:val="0"/>
    </w:pPr>
    <w:rPr>
      <w:rFonts w:eastAsia="黑体"/>
      <w:b/>
      <w:kern w:val="44"/>
      <w:sz w:val="36"/>
    </w:rPr>
  </w:style>
  <w:style w:type="paragraph" w:styleId="4">
    <w:name w:val="heading 2"/>
    <w:basedOn w:val="1"/>
    <w:next w:val="1"/>
    <w:link w:val="56"/>
    <w:qFormat/>
    <w:uiPriority w:val="0"/>
    <w:pPr>
      <w:keepNext/>
      <w:keepLines/>
      <w:adjustRightInd w:val="0"/>
      <w:spacing w:before="260" w:after="260" w:line="416" w:lineRule="atLeast"/>
      <w:ind w:firstLine="425"/>
      <w:textAlignment w:val="baseline"/>
      <w:outlineLvl w:val="1"/>
    </w:pPr>
    <w:rPr>
      <w:rFonts w:ascii="Arial" w:hAnsi="Arial" w:eastAsia="黑体"/>
      <w:b/>
      <w:kern w:val="0"/>
      <w:sz w:val="32"/>
    </w:rPr>
  </w:style>
  <w:style w:type="paragraph" w:styleId="5">
    <w:name w:val="heading 3"/>
    <w:basedOn w:val="1"/>
    <w:next w:val="2"/>
    <w:qFormat/>
    <w:uiPriority w:val="0"/>
    <w:pPr>
      <w:keepNext/>
      <w:keepLines/>
      <w:spacing w:before="260" w:after="260" w:line="416" w:lineRule="auto"/>
      <w:outlineLvl w:val="2"/>
    </w:pPr>
    <w:rPr>
      <w:b/>
      <w:sz w:val="32"/>
    </w:rPr>
  </w:style>
  <w:style w:type="paragraph" w:styleId="6">
    <w:name w:val="heading 4"/>
    <w:basedOn w:val="1"/>
    <w:next w:val="2"/>
    <w:qFormat/>
    <w:uiPriority w:val="0"/>
    <w:pPr>
      <w:keepNext/>
      <w:keepLines/>
      <w:adjustRightInd w:val="0"/>
      <w:spacing w:before="280" w:after="290" w:line="376" w:lineRule="atLeast"/>
      <w:ind w:firstLine="425"/>
      <w:textAlignment w:val="baseline"/>
      <w:outlineLvl w:val="3"/>
    </w:pPr>
    <w:rPr>
      <w:rFonts w:ascii="Arial" w:hAnsi="Arial" w:eastAsia="黑体"/>
      <w:kern w:val="0"/>
      <w:sz w:val="28"/>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54"/>
    <w:qFormat/>
    <w:uiPriority w:val="0"/>
    <w:pPr>
      <w:adjustRightInd w:val="0"/>
      <w:spacing w:before="60" w:after="60" w:line="312" w:lineRule="atLeast"/>
      <w:ind w:firstLine="420"/>
      <w:textAlignment w:val="baseline"/>
    </w:pPr>
    <w:rPr>
      <w:kern w:val="0"/>
    </w:rPr>
  </w:style>
  <w:style w:type="paragraph" w:styleId="7">
    <w:name w:val="toc 7"/>
    <w:basedOn w:val="1"/>
    <w:next w:val="1"/>
    <w:semiHidden/>
    <w:qFormat/>
    <w:uiPriority w:val="0"/>
    <w:pPr>
      <w:ind w:left="1440"/>
      <w:jc w:val="left"/>
    </w:pPr>
    <w:rPr>
      <w:rFonts w:asciiTheme="minorHAnsi" w:hAnsiTheme="minorHAnsi" w:cstheme="minorHAnsi"/>
      <w:sz w:val="18"/>
      <w:szCs w:val="18"/>
    </w:rPr>
  </w:style>
  <w:style w:type="paragraph" w:styleId="8">
    <w:name w:val="Document Map"/>
    <w:basedOn w:val="1"/>
    <w:semiHidden/>
    <w:qFormat/>
    <w:uiPriority w:val="0"/>
    <w:pPr>
      <w:shd w:val="clear" w:color="auto" w:fill="000080"/>
    </w:pPr>
  </w:style>
  <w:style w:type="paragraph" w:styleId="9">
    <w:name w:val="annotation text"/>
    <w:basedOn w:val="1"/>
    <w:link w:val="51"/>
    <w:qFormat/>
    <w:uiPriority w:val="0"/>
    <w:pPr>
      <w:jc w:val="left"/>
    </w:pPr>
  </w:style>
  <w:style w:type="paragraph" w:styleId="10">
    <w:name w:val="Body Text"/>
    <w:basedOn w:val="1"/>
    <w:qFormat/>
    <w:uiPriority w:val="0"/>
    <w:pPr>
      <w:spacing w:after="120"/>
    </w:pPr>
  </w:style>
  <w:style w:type="paragraph" w:styleId="11">
    <w:name w:val="Body Text Indent"/>
    <w:basedOn w:val="1"/>
    <w:qFormat/>
    <w:uiPriority w:val="0"/>
    <w:pPr>
      <w:ind w:firstLine="430"/>
    </w:pPr>
    <w:rPr>
      <w:rFonts w:ascii="黑体" w:eastAsia="黑体"/>
    </w:rPr>
  </w:style>
  <w:style w:type="paragraph" w:styleId="12">
    <w:name w:val="toc 5"/>
    <w:basedOn w:val="1"/>
    <w:next w:val="1"/>
    <w:semiHidden/>
    <w:qFormat/>
    <w:uiPriority w:val="0"/>
    <w:pPr>
      <w:ind w:left="960"/>
      <w:jc w:val="left"/>
    </w:pPr>
    <w:rPr>
      <w:rFonts w:asciiTheme="minorHAnsi" w:hAnsiTheme="minorHAnsi" w:cstheme="minorHAnsi"/>
      <w:sz w:val="18"/>
      <w:szCs w:val="18"/>
    </w:rPr>
  </w:style>
  <w:style w:type="paragraph" w:styleId="13">
    <w:name w:val="toc 3"/>
    <w:basedOn w:val="1"/>
    <w:next w:val="1"/>
    <w:qFormat/>
    <w:uiPriority w:val="39"/>
    <w:pPr>
      <w:tabs>
        <w:tab w:val="right" w:leader="dot" w:pos="8494"/>
      </w:tabs>
      <w:spacing w:line="360" w:lineRule="auto"/>
      <w:ind w:left="480" w:leftChars="200"/>
    </w:pPr>
    <w:rPr>
      <w:rFonts w:asciiTheme="minorHAnsi" w:hAnsiTheme="minorHAnsi" w:cstheme="minorHAnsi"/>
      <w:iCs/>
    </w:rPr>
  </w:style>
  <w:style w:type="paragraph" w:styleId="14">
    <w:name w:val="Plain Text"/>
    <w:basedOn w:val="1"/>
    <w:qFormat/>
    <w:uiPriority w:val="0"/>
    <w:rPr>
      <w:rFonts w:ascii="宋体" w:hAnsi="Courier New"/>
    </w:rPr>
  </w:style>
  <w:style w:type="paragraph" w:styleId="15">
    <w:name w:val="toc 8"/>
    <w:basedOn w:val="1"/>
    <w:next w:val="1"/>
    <w:semiHidden/>
    <w:qFormat/>
    <w:uiPriority w:val="0"/>
    <w:pPr>
      <w:ind w:left="1680"/>
      <w:jc w:val="left"/>
    </w:pPr>
    <w:rPr>
      <w:rFonts w:asciiTheme="minorHAnsi" w:hAnsiTheme="minorHAnsi" w:cstheme="minorHAnsi"/>
      <w:sz w:val="18"/>
      <w:szCs w:val="18"/>
    </w:rPr>
  </w:style>
  <w:style w:type="paragraph" w:styleId="16">
    <w:name w:val="Date"/>
    <w:basedOn w:val="1"/>
    <w:next w:val="1"/>
    <w:qFormat/>
    <w:uiPriority w:val="0"/>
    <w:pPr>
      <w:adjustRightInd w:val="0"/>
      <w:spacing w:before="60" w:after="60" w:line="312" w:lineRule="atLeast"/>
      <w:ind w:firstLine="425"/>
      <w:textAlignment w:val="baseline"/>
    </w:pPr>
    <w:rPr>
      <w:rFonts w:ascii="Arial Narrow" w:hAnsi="Arial Narrow"/>
      <w:kern w:val="0"/>
    </w:rPr>
  </w:style>
  <w:style w:type="paragraph" w:styleId="17">
    <w:name w:val="Body Text Indent 2"/>
    <w:basedOn w:val="1"/>
    <w:qFormat/>
    <w:uiPriority w:val="0"/>
    <w:pPr>
      <w:spacing w:line="360" w:lineRule="auto"/>
      <w:ind w:firstLine="480"/>
    </w:pPr>
    <w:rPr>
      <w:rFonts w:ascii="宋体"/>
    </w:rPr>
  </w:style>
  <w:style w:type="paragraph" w:styleId="18">
    <w:name w:val="Balloon Text"/>
    <w:basedOn w:val="1"/>
    <w:semiHidden/>
    <w:qFormat/>
    <w:uiPriority w:val="0"/>
    <w:rPr>
      <w:sz w:val="18"/>
      <w:szCs w:val="18"/>
    </w:rPr>
  </w:style>
  <w:style w:type="paragraph" w:styleId="19">
    <w:name w:val="footer"/>
    <w:basedOn w:val="1"/>
    <w:link w:val="59"/>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spacing w:before="120" w:after="120" w:line="360" w:lineRule="auto"/>
    </w:pPr>
    <w:rPr>
      <w:rFonts w:ascii="宋体" w:hAnsi="宋体" w:cstheme="minorHAnsi"/>
      <w:bCs/>
      <w:caps/>
    </w:rPr>
  </w:style>
  <w:style w:type="paragraph" w:styleId="22">
    <w:name w:val="toc 4"/>
    <w:basedOn w:val="1"/>
    <w:next w:val="1"/>
    <w:semiHidden/>
    <w:qFormat/>
    <w:uiPriority w:val="0"/>
    <w:pPr>
      <w:ind w:left="720"/>
      <w:jc w:val="left"/>
    </w:pPr>
    <w:rPr>
      <w:rFonts w:asciiTheme="minorHAnsi" w:hAnsiTheme="minorHAnsi" w:cstheme="minorHAnsi"/>
      <w:sz w:val="18"/>
      <w:szCs w:val="18"/>
    </w:rPr>
  </w:style>
  <w:style w:type="paragraph" w:styleId="23">
    <w:name w:val="toc 6"/>
    <w:basedOn w:val="1"/>
    <w:next w:val="1"/>
    <w:semiHidden/>
    <w:qFormat/>
    <w:uiPriority w:val="0"/>
    <w:pPr>
      <w:ind w:left="1200"/>
      <w:jc w:val="left"/>
    </w:pPr>
    <w:rPr>
      <w:rFonts w:asciiTheme="minorHAnsi" w:hAnsiTheme="minorHAnsi" w:cstheme="minorHAnsi"/>
      <w:sz w:val="18"/>
      <w:szCs w:val="18"/>
    </w:rPr>
  </w:style>
  <w:style w:type="paragraph" w:styleId="24">
    <w:name w:val="Body Text Indent 3"/>
    <w:basedOn w:val="1"/>
    <w:qFormat/>
    <w:uiPriority w:val="0"/>
    <w:pPr>
      <w:ind w:firstLine="645"/>
    </w:pPr>
    <w:rPr>
      <w:rFonts w:ascii="宋体"/>
    </w:rPr>
  </w:style>
  <w:style w:type="paragraph" w:styleId="25">
    <w:name w:val="table of figures"/>
    <w:basedOn w:val="1"/>
    <w:next w:val="1"/>
    <w:semiHidden/>
    <w:qFormat/>
    <w:uiPriority w:val="0"/>
    <w:pPr>
      <w:ind w:left="200" w:leftChars="200" w:hanging="200" w:hangingChars="200"/>
    </w:pPr>
  </w:style>
  <w:style w:type="paragraph" w:styleId="26">
    <w:name w:val="toc 2"/>
    <w:basedOn w:val="1"/>
    <w:next w:val="1"/>
    <w:qFormat/>
    <w:uiPriority w:val="39"/>
    <w:pPr>
      <w:ind w:left="238"/>
    </w:pPr>
    <w:rPr>
      <w:rFonts w:asciiTheme="minorHAnsi" w:hAnsiTheme="minorHAnsi" w:cstheme="minorHAnsi"/>
      <w:smallCaps/>
    </w:rPr>
  </w:style>
  <w:style w:type="paragraph" w:styleId="27">
    <w:name w:val="toc 9"/>
    <w:basedOn w:val="1"/>
    <w:next w:val="1"/>
    <w:semiHidden/>
    <w:qFormat/>
    <w:uiPriority w:val="0"/>
    <w:pPr>
      <w:ind w:left="1920"/>
      <w:jc w:val="left"/>
    </w:pPr>
    <w:rPr>
      <w:rFonts w:asciiTheme="minorHAnsi" w:hAnsiTheme="minorHAnsi" w:cstheme="minorHAnsi"/>
      <w:sz w:val="18"/>
      <w:szCs w:val="18"/>
    </w:rPr>
  </w:style>
  <w:style w:type="paragraph" w:styleId="28">
    <w:name w:val="Normal (Web)"/>
    <w:basedOn w:val="1"/>
    <w:qFormat/>
    <w:uiPriority w:val="99"/>
    <w:pPr>
      <w:widowControl/>
      <w:spacing w:before="100" w:beforeAutospacing="1" w:after="100" w:afterAutospacing="1"/>
      <w:jc w:val="left"/>
    </w:pPr>
    <w:rPr>
      <w:rFonts w:hint="eastAsia" w:ascii="宋体" w:hAnsi="宋体" w:cs="Arial Unicode MS"/>
      <w:kern w:val="0"/>
      <w:szCs w:val="24"/>
    </w:rPr>
  </w:style>
  <w:style w:type="paragraph" w:styleId="29">
    <w:name w:val="annotation subject"/>
    <w:basedOn w:val="9"/>
    <w:next w:val="9"/>
    <w:link w:val="52"/>
    <w:qFormat/>
    <w:uiPriority w:val="0"/>
    <w:rPr>
      <w:b/>
      <w:bCs/>
    </w:rPr>
  </w:style>
  <w:style w:type="character" w:styleId="32">
    <w:name w:val="page number"/>
    <w:basedOn w:val="31"/>
    <w:qFormat/>
    <w:uiPriority w:val="0"/>
  </w:style>
  <w:style w:type="character" w:styleId="33">
    <w:name w:val="Hyperlink"/>
    <w:qFormat/>
    <w:uiPriority w:val="99"/>
    <w:rPr>
      <w:color w:val="0000FF"/>
      <w:u w:val="single"/>
    </w:rPr>
  </w:style>
  <w:style w:type="character" w:styleId="34">
    <w:name w:val="annotation reference"/>
    <w:semiHidden/>
    <w:qFormat/>
    <w:uiPriority w:val="0"/>
    <w:rPr>
      <w:sz w:val="21"/>
    </w:rPr>
  </w:style>
  <w:style w:type="paragraph" w:customStyle="1" w:styleId="35">
    <w:name w:val="说明1"/>
    <w:basedOn w:val="1"/>
    <w:qFormat/>
    <w:uiPriority w:val="0"/>
    <w:pPr>
      <w:numPr>
        <w:ilvl w:val="0"/>
        <w:numId w:val="1"/>
      </w:numPr>
      <w:suppressLineNumbers/>
      <w:spacing w:line="440" w:lineRule="exact"/>
      <w:ind w:left="851" w:hanging="284"/>
    </w:pPr>
    <w:rPr>
      <w:kern w:val="21"/>
      <w:sz w:val="28"/>
    </w:rPr>
  </w:style>
  <w:style w:type="paragraph" w:customStyle="1" w:styleId="36">
    <w:name w:val="正文文本缩进 21"/>
    <w:basedOn w:val="1"/>
    <w:qFormat/>
    <w:uiPriority w:val="0"/>
    <w:pPr>
      <w:adjustRightInd w:val="0"/>
      <w:jc w:val="left"/>
      <w:textAlignment w:val="baseline"/>
    </w:pPr>
    <w:rPr>
      <w:rFonts w:eastAsia="楷体_GB2312"/>
      <w:sz w:val="30"/>
    </w:rPr>
  </w:style>
  <w:style w:type="paragraph" w:customStyle="1" w:styleId="37">
    <w:name w:val="zw"/>
    <w:basedOn w:val="1"/>
    <w:qFormat/>
    <w:uiPriority w:val="0"/>
    <w:pPr>
      <w:autoSpaceDE w:val="0"/>
      <w:autoSpaceDN w:val="0"/>
      <w:adjustRightInd w:val="0"/>
      <w:spacing w:before="60" w:after="60" w:line="440" w:lineRule="atLeast"/>
      <w:ind w:firstLine="601"/>
      <w:textAlignment w:val="bottom"/>
    </w:pPr>
    <w:rPr>
      <w:rFonts w:ascii="Arial Narrow" w:hAnsi="Arial" w:eastAsia="昆仑楷体"/>
      <w:kern w:val="0"/>
      <w:sz w:val="28"/>
    </w:rPr>
  </w:style>
  <w:style w:type="paragraph" w:customStyle="1" w:styleId="38">
    <w:name w:val="ZW1"/>
    <w:basedOn w:val="1"/>
    <w:qFormat/>
    <w:uiPriority w:val="0"/>
    <w:pPr>
      <w:spacing w:before="120" w:line="360" w:lineRule="auto"/>
      <w:ind w:firstLine="567"/>
    </w:pPr>
    <w:rPr>
      <w:rFonts w:ascii="Arial Narrow" w:hAnsi="Arial Narrow"/>
    </w:rPr>
  </w:style>
  <w:style w:type="paragraph" w:customStyle="1" w:styleId="39">
    <w:name w:val="yl"/>
    <w:basedOn w:val="1"/>
    <w:qFormat/>
    <w:uiPriority w:val="0"/>
    <w:pPr>
      <w:spacing w:line="360" w:lineRule="auto"/>
      <w:ind w:firstLine="540" w:firstLineChars="225"/>
    </w:pPr>
    <w:rPr>
      <w:rFonts w:ascii="宋体" w:hAnsi="宋体"/>
    </w:rPr>
  </w:style>
  <w:style w:type="paragraph" w:customStyle="1" w:styleId="40">
    <w:name w:val="mfont"/>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spacing w:val="20"/>
      <w:kern w:val="0"/>
      <w:sz w:val="21"/>
      <w:szCs w:val="21"/>
    </w:rPr>
  </w:style>
  <w:style w:type="paragraph" w:customStyle="1" w:styleId="41">
    <w:name w:val="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42">
    <w:name w:val="H2"/>
    <w:basedOn w:val="1"/>
    <w:qFormat/>
    <w:uiPriority w:val="0"/>
    <w:pPr>
      <w:widowControl/>
      <w:adjustRightInd w:val="0"/>
      <w:spacing w:before="240" w:after="240" w:line="360" w:lineRule="atLeast"/>
      <w:ind w:right="28"/>
      <w:textAlignment w:val="baseline"/>
    </w:pPr>
    <w:rPr>
      <w:rFonts w:ascii="黑体" w:eastAsia="黑体"/>
      <w:b/>
      <w:kern w:val="0"/>
      <w:sz w:val="28"/>
    </w:rPr>
  </w:style>
  <w:style w:type="paragraph" w:customStyle="1" w:styleId="43">
    <w:name w:val="_Style 39"/>
    <w:basedOn w:val="1"/>
    <w:qFormat/>
    <w:uiPriority w:val="0"/>
    <w:rPr>
      <w:rFonts w:ascii="Tahoma" w:hAnsi="Tahoma"/>
    </w:rPr>
  </w:style>
  <w:style w:type="paragraph" w:customStyle="1" w:styleId="44">
    <w:name w:val="样式1"/>
    <w:basedOn w:val="25"/>
    <w:qFormat/>
    <w:uiPriority w:val="0"/>
    <w:pPr>
      <w:adjustRightInd w:val="0"/>
      <w:ind w:left="0" w:leftChars="0" w:firstLine="0" w:firstLineChars="0"/>
      <w:jc w:val="left"/>
      <w:textAlignment w:val="baseline"/>
    </w:pPr>
    <w:rPr>
      <w:rFonts w:ascii="宋体"/>
      <w:kern w:val="0"/>
      <w:sz w:val="18"/>
      <w:szCs w:val="24"/>
    </w:rPr>
  </w:style>
  <w:style w:type="paragraph" w:customStyle="1" w:styleId="45">
    <w:name w:val="Char2 Char Char Char Char Char Char"/>
    <w:basedOn w:val="1"/>
    <w:qFormat/>
    <w:uiPriority w:val="0"/>
    <w:rPr>
      <w:rFonts w:ascii="Tahoma" w:hAnsi="Tahoma"/>
    </w:rPr>
  </w:style>
  <w:style w:type="paragraph" w:customStyle="1" w:styleId="46">
    <w:name w:val="Char Char Char Char"/>
    <w:basedOn w:val="1"/>
    <w:qFormat/>
    <w:uiPriority w:val="0"/>
    <w:rPr>
      <w:rFonts w:ascii="Tahoma" w:hAnsi="Tahoma"/>
    </w:rPr>
  </w:style>
  <w:style w:type="paragraph" w:customStyle="1" w:styleId="47">
    <w:name w:val="fig"/>
    <w:basedOn w:val="1"/>
    <w:qFormat/>
    <w:uiPriority w:val="0"/>
    <w:pPr>
      <w:adjustRightInd w:val="0"/>
      <w:spacing w:before="120" w:after="240" w:line="360" w:lineRule="atLeast"/>
      <w:jc w:val="center"/>
      <w:textAlignment w:val="baseline"/>
    </w:pPr>
    <w:rPr>
      <w:rFonts w:ascii="黑体" w:eastAsia="黑体"/>
      <w:kern w:val="0"/>
    </w:rPr>
  </w:style>
  <w:style w:type="paragraph" w:customStyle="1" w:styleId="48">
    <w:name w:val="Char"/>
    <w:basedOn w:val="1"/>
    <w:qFormat/>
    <w:uiPriority w:val="0"/>
    <w:pPr>
      <w:widowControl/>
      <w:spacing w:after="160" w:line="240" w:lineRule="exact"/>
      <w:jc w:val="left"/>
    </w:pPr>
    <w:rPr>
      <w:rFonts w:ascii="Verdana" w:hAnsi="Verdana"/>
      <w:kern w:val="0"/>
      <w:sz w:val="20"/>
      <w:lang w:eastAsia="en-US"/>
    </w:rPr>
  </w:style>
  <w:style w:type="character" w:customStyle="1" w:styleId="49">
    <w:name w:val="标题 1 Char"/>
    <w:link w:val="3"/>
    <w:qFormat/>
    <w:uiPriority w:val="0"/>
    <w:rPr>
      <w:rFonts w:eastAsia="黑体"/>
      <w:b/>
      <w:kern w:val="44"/>
      <w:sz w:val="36"/>
      <w:lang w:val="en-US" w:eastAsia="zh-CN" w:bidi="ar-SA"/>
    </w:rPr>
  </w:style>
  <w:style w:type="paragraph" w:customStyle="1" w:styleId="50">
    <w:name w:val="Char Char Char Char Char Char Char Char Char Char Char Char Char"/>
    <w:basedOn w:val="1"/>
    <w:qFormat/>
    <w:uiPriority w:val="0"/>
    <w:rPr>
      <w:rFonts w:ascii="Tahoma" w:hAnsi="Tahoma"/>
    </w:rPr>
  </w:style>
  <w:style w:type="character" w:customStyle="1" w:styleId="51">
    <w:name w:val="批注文字 Char"/>
    <w:link w:val="9"/>
    <w:qFormat/>
    <w:uiPriority w:val="0"/>
    <w:rPr>
      <w:kern w:val="2"/>
      <w:sz w:val="24"/>
    </w:rPr>
  </w:style>
  <w:style w:type="character" w:customStyle="1" w:styleId="52">
    <w:name w:val="批注主题 Char"/>
    <w:link w:val="29"/>
    <w:qFormat/>
    <w:uiPriority w:val="0"/>
    <w:rPr>
      <w:b/>
      <w:bCs/>
      <w:kern w:val="2"/>
      <w:sz w:val="24"/>
    </w:rPr>
  </w:style>
  <w:style w:type="paragraph" w:customStyle="1" w:styleId="53">
    <w:name w:val="Revision"/>
    <w:hidden/>
    <w:semiHidden/>
    <w:qFormat/>
    <w:uiPriority w:val="99"/>
    <w:rPr>
      <w:rFonts w:ascii="Times New Roman" w:hAnsi="Times New Roman" w:eastAsia="宋体" w:cs="Times New Roman"/>
      <w:kern w:val="2"/>
      <w:sz w:val="24"/>
      <w:lang w:val="en-US" w:eastAsia="zh-CN" w:bidi="ar-SA"/>
    </w:rPr>
  </w:style>
  <w:style w:type="character" w:customStyle="1" w:styleId="54">
    <w:name w:val="正文缩进 Char"/>
    <w:link w:val="2"/>
    <w:qFormat/>
    <w:uiPriority w:val="0"/>
    <w:rPr>
      <w:sz w:val="24"/>
    </w:rPr>
  </w:style>
  <w:style w:type="paragraph" w:customStyle="1" w:styleId="55">
    <w:name w:val="默认段落字体 Para Char Char Char Char Char Char Char"/>
    <w:basedOn w:val="1"/>
    <w:qFormat/>
    <w:uiPriority w:val="0"/>
    <w:rPr>
      <w:rFonts w:ascii="Tahoma" w:hAnsi="Tahoma"/>
    </w:rPr>
  </w:style>
  <w:style w:type="character" w:customStyle="1" w:styleId="56">
    <w:name w:val="标题 2 Char"/>
    <w:link w:val="4"/>
    <w:qFormat/>
    <w:uiPriority w:val="0"/>
    <w:rPr>
      <w:rFonts w:ascii="Arial" w:hAnsi="Arial" w:eastAsia="黑体"/>
      <w:b/>
      <w:sz w:val="32"/>
    </w:rPr>
  </w:style>
  <w:style w:type="paragraph" w:customStyle="1" w:styleId="57">
    <w:name w:val="Char Char1 Char Char Char Char"/>
    <w:basedOn w:val="1"/>
    <w:qFormat/>
    <w:uiPriority w:val="0"/>
    <w:rPr>
      <w:sz w:val="21"/>
      <w:szCs w:val="21"/>
    </w:rPr>
  </w:style>
  <w:style w:type="paragraph" w:styleId="58">
    <w:name w:val="List Paragraph"/>
    <w:basedOn w:val="1"/>
    <w:qFormat/>
    <w:uiPriority w:val="34"/>
    <w:pPr>
      <w:ind w:firstLine="420" w:firstLineChars="200"/>
    </w:pPr>
  </w:style>
  <w:style w:type="character" w:customStyle="1" w:styleId="59">
    <w:name w:val="页脚 Char"/>
    <w:basedOn w:val="31"/>
    <w:link w:val="19"/>
    <w:qFormat/>
    <w:uiPriority w:val="0"/>
    <w:rPr>
      <w:kern w:val="2"/>
      <w:sz w:val="18"/>
    </w:rPr>
  </w:style>
  <w:style w:type="character" w:customStyle="1" w:styleId="60">
    <w:name w:val="正文缩进 字符1"/>
    <w:qFormat/>
    <w:uiPriority w:val="0"/>
    <w:rPr>
      <w:sz w:val="24"/>
    </w:rPr>
  </w:style>
  <w:style w:type="character" w:customStyle="1" w:styleId="61">
    <w:name w:val="正文缩进 Char2"/>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34"/>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55E3F-2EEA-4B07-928C-2E92561A91C2}">
  <ds:schemaRefs/>
</ds:datastoreItem>
</file>

<file path=docProps/app.xml><?xml version="1.0" encoding="utf-8"?>
<Properties xmlns="http://schemas.openxmlformats.org/officeDocument/2006/extended-properties" xmlns:vt="http://schemas.openxmlformats.org/officeDocument/2006/docPropsVTypes">
  <Template>Normal</Template>
  <Company>xycpa.china</Company>
  <Pages>28</Pages>
  <Words>16398</Words>
  <Characters>17143</Characters>
  <Lines>129</Lines>
  <Paragraphs>36</Paragraphs>
  <TotalTime>2</TotalTime>
  <ScaleCrop>false</ScaleCrop>
  <LinksUpToDate>false</LinksUpToDate>
  <CharactersWithSpaces>17281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2015-01-13T08:03:00Z</dcterms:created>
  <dc:creator>xz</dc:creator>
  <cp:lastModifiedBy>我心飞翔</cp:lastModifiedBy>
  <cp:lastPrinted>2022-06-16T10:29:26Z</cp:lastPrinted>
  <dcterms:modified xsi:type="dcterms:W3CDTF">2022-06-16T10:31:48Z</dcterms:modified>
  <dc:title>报告格式</dc:title>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673168AE92594E20953231E365DC7072</vt:lpwstr>
  </property>
  <property fmtid="{D5CDD505-2E9C-101B-9397-08002B2CF9AE}" pid="4" name="commondata">
    <vt:lpwstr>eyJoZGlkIjoiOWY5MGM1YWQwZWY2YzFjMDhhZjBkM2Y5ZTUyNGE1OWUifQ==</vt:lpwstr>
  </property>
</Properties>
</file>