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highlight w:val="none"/>
        </w:rPr>
      </w:pPr>
      <w:r>
        <w:rPr>
          <w:rFonts w:ascii="宋体" w:hAnsi="宋体" w:eastAsia="宋体" w:cs="宋体"/>
          <w:sz w:val="24"/>
          <w:szCs w:val="24"/>
        </w:rPr>
        <w:drawing>
          <wp:inline distT="0" distB="0" distL="114300" distR="114300">
            <wp:extent cx="640715" cy="729615"/>
            <wp:effectExtent l="0" t="0" r="6985" b="13335"/>
            <wp:docPr id="1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6"/>
                    <pic:cNvPicPr>
                      <a:picLocks noChangeAspect="1"/>
                    </pic:cNvPicPr>
                  </pic:nvPicPr>
                  <pic:blipFill>
                    <a:blip r:embed="rId8"/>
                    <a:stretch>
                      <a:fillRect/>
                    </a:stretch>
                  </pic:blipFill>
                  <pic:spPr>
                    <a:xfrm>
                      <a:off x="0" y="0"/>
                      <a:ext cx="640715" cy="729615"/>
                    </a:xfrm>
                    <a:prstGeom prst="rect">
                      <a:avLst/>
                    </a:prstGeom>
                    <a:noFill/>
                    <a:ln w="9525">
                      <a:noFill/>
                    </a:ln>
                  </pic:spPr>
                </pic:pic>
              </a:graphicData>
            </a:graphic>
          </wp:inline>
        </w:drawing>
      </w: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lang w:val="en-US" w:eastAsia="zh-CN"/>
        </w:rPr>
      </w:pPr>
    </w:p>
    <w:p>
      <w:pPr>
        <w:rPr>
          <w:rFonts w:hint="eastAsia" w:ascii="仿宋_GB2312" w:hAnsi="宋体" w:eastAsia="仿宋_GB2312"/>
          <w:highlight w:val="none"/>
          <w:lang w:val="en-US" w:eastAsia="zh-CN"/>
        </w:rPr>
      </w:pPr>
    </w:p>
    <w:p>
      <w:pPr>
        <w:rPr>
          <w:rFonts w:hint="eastAsia" w:ascii="仿宋_GB2312" w:hAnsi="宋体" w:eastAsia="仿宋_GB2312"/>
          <w:highlight w:val="none"/>
          <w:lang w:val="en-US" w:eastAsia="zh-CN"/>
        </w:rPr>
      </w:pPr>
    </w:p>
    <w:p>
      <w:pPr>
        <w:jc w:val="center"/>
        <w:rPr>
          <w:rFonts w:hint="eastAsia" w:ascii="仿宋_GB2312" w:hAnsi="宋体" w:eastAsia="仿宋_GB2312"/>
          <w:sz w:val="44"/>
          <w:szCs w:val="44"/>
          <w:highlight w:val="none"/>
        </w:rPr>
      </w:pPr>
      <w:r>
        <w:rPr>
          <w:rFonts w:hint="eastAsia" w:ascii="仿宋_GB2312" w:hAnsi="宋体" w:eastAsia="仿宋_GB2312"/>
          <w:sz w:val="44"/>
          <w:szCs w:val="44"/>
          <w:highlight w:val="none"/>
        </w:rPr>
        <w:t>涉执房地产处置司法评估报告</w:t>
      </w: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spacing w:line="560" w:lineRule="exact"/>
        <w:ind w:left="2559" w:leftChars="152" w:hanging="2240" w:hangingChars="700"/>
        <w:rPr>
          <w:rFonts w:hint="eastAsia" w:ascii="仿宋_GB2312" w:hAnsi="宋体" w:eastAsia="仿宋_GB2312"/>
          <w:spacing w:val="-20"/>
          <w:sz w:val="32"/>
          <w:szCs w:val="32"/>
          <w:highlight w:val="none"/>
        </w:rPr>
      </w:pPr>
      <w:r>
        <w:rPr>
          <w:rFonts w:hint="eastAsia" w:ascii="仿宋_GB2312" w:hAnsi="宋体" w:eastAsia="仿宋_GB2312"/>
          <w:sz w:val="32"/>
          <w:szCs w:val="32"/>
          <w:highlight w:val="none"/>
        </w:rPr>
        <w:t>估价项目名称：</w:t>
      </w:r>
      <w:r>
        <w:rPr>
          <w:rFonts w:hint="eastAsia" w:ascii="仿宋_GB2312" w:hAnsi="宋体" w:eastAsia="仿宋_GB2312"/>
          <w:spacing w:val="-6"/>
          <w:sz w:val="32"/>
          <w:szCs w:val="32"/>
          <w:highlight w:val="none"/>
          <w:lang w:eastAsia="zh-CN"/>
        </w:rPr>
        <w:t>兴国县潋江镇平川大道226号盛发绿苑1号楼4D房住宅</w:t>
      </w:r>
      <w:r>
        <w:rPr>
          <w:rFonts w:hint="eastAsia" w:ascii="仿宋_GB2312" w:hAnsi="宋体" w:eastAsia="仿宋_GB2312"/>
          <w:spacing w:val="-6"/>
          <w:sz w:val="32"/>
          <w:szCs w:val="32"/>
          <w:highlight w:val="none"/>
          <w:lang w:val="en-US" w:eastAsia="zh-CN"/>
        </w:rPr>
        <w:t>房地产</w:t>
      </w:r>
      <w:r>
        <w:rPr>
          <w:rFonts w:hint="eastAsia" w:ascii="仿宋_GB2312" w:hAnsi="宋体" w:eastAsia="仿宋_GB2312"/>
          <w:spacing w:val="-6"/>
          <w:sz w:val="32"/>
          <w:szCs w:val="32"/>
          <w:highlight w:val="none"/>
        </w:rPr>
        <w:t>市场</w:t>
      </w:r>
      <w:r>
        <w:rPr>
          <w:rFonts w:hint="eastAsia" w:ascii="仿宋_GB2312" w:hAnsi="宋体" w:eastAsia="仿宋_GB2312"/>
          <w:spacing w:val="-6"/>
          <w:sz w:val="32"/>
          <w:szCs w:val="32"/>
          <w:highlight w:val="none"/>
          <w:lang w:val="en-US" w:eastAsia="zh-CN"/>
        </w:rPr>
        <w:t>价格</w:t>
      </w:r>
      <w:r>
        <w:rPr>
          <w:rFonts w:hint="eastAsia" w:ascii="仿宋_GB2312" w:hAnsi="宋体" w:eastAsia="仿宋_GB2312"/>
          <w:spacing w:val="-6"/>
          <w:sz w:val="32"/>
          <w:szCs w:val="32"/>
          <w:highlight w:val="none"/>
        </w:rPr>
        <w:t>评估</w:t>
      </w:r>
    </w:p>
    <w:p>
      <w:pPr>
        <w:spacing w:line="560" w:lineRule="exact"/>
        <w:ind w:left="3007" w:leftChars="152" w:hanging="2688" w:hangingChars="700"/>
        <w:rPr>
          <w:rFonts w:hint="eastAsia" w:ascii="仿宋_GB2312" w:hAnsi="宋体" w:eastAsia="仿宋_GB2312"/>
          <w:sz w:val="32"/>
          <w:szCs w:val="32"/>
          <w:highlight w:val="none"/>
        </w:rPr>
      </w:pPr>
      <w:r>
        <w:rPr>
          <w:rFonts w:hint="eastAsia" w:ascii="仿宋_GB2312" w:hAnsi="宋体" w:eastAsia="仿宋_GB2312"/>
          <w:spacing w:val="32"/>
          <w:sz w:val="32"/>
          <w:szCs w:val="32"/>
          <w:highlight w:val="none"/>
        </w:rPr>
        <w:t>估价委托人：</w:t>
      </w:r>
      <w:r>
        <w:rPr>
          <w:rFonts w:hint="eastAsia" w:ascii="仿宋_GB2312" w:hAnsi="宋体" w:eastAsia="仿宋_GB2312"/>
          <w:sz w:val="32"/>
          <w:szCs w:val="32"/>
          <w:highlight w:val="none"/>
          <w:lang w:eastAsia="zh-CN"/>
        </w:rPr>
        <w:t>兴国县人民法院</w:t>
      </w:r>
    </w:p>
    <w:p>
      <w:pPr>
        <w:spacing w:line="560" w:lineRule="exact"/>
        <w:ind w:firstLine="320" w:firstLineChars="100"/>
        <w:rPr>
          <w:rFonts w:hint="eastAsia" w:ascii="仿宋_GB2312" w:hAnsi="宋体" w:eastAsia="仿宋_GB2312"/>
          <w:sz w:val="32"/>
          <w:szCs w:val="32"/>
          <w:highlight w:val="none"/>
          <w:lang w:val="en-US"/>
        </w:rPr>
      </w:pPr>
      <w:r>
        <w:rPr>
          <w:rFonts w:hint="eastAsia" w:ascii="仿宋_GB2312" w:hAnsi="宋体" w:eastAsia="仿宋_GB2312"/>
          <w:sz w:val="32"/>
          <w:szCs w:val="32"/>
          <w:highlight w:val="none"/>
        </w:rPr>
        <w:t>产   权   人 ：</w:t>
      </w:r>
      <w:r>
        <w:rPr>
          <w:rFonts w:hint="eastAsia" w:ascii="仿宋_GB2312" w:hAnsi="宋体" w:eastAsia="仿宋_GB2312"/>
          <w:sz w:val="32"/>
          <w:szCs w:val="32"/>
          <w:highlight w:val="none"/>
          <w:lang w:eastAsia="zh-CN"/>
        </w:rPr>
        <w:t>刘美悦</w:t>
      </w:r>
    </w:p>
    <w:p>
      <w:pPr>
        <w:spacing w:line="560" w:lineRule="exact"/>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 xml:space="preserve">  估   价   方：</w:t>
      </w:r>
      <w:r>
        <w:rPr>
          <w:rFonts w:hint="eastAsia" w:ascii="仿宋_GB2312" w:hAnsi="宋体" w:eastAsia="仿宋_GB2312"/>
          <w:sz w:val="32"/>
          <w:szCs w:val="32"/>
          <w:highlight w:val="none"/>
          <w:lang w:eastAsia="zh-CN"/>
        </w:rPr>
        <w:t>江西新源洪城房地产土地资产评估有限公司</w:t>
      </w:r>
    </w:p>
    <w:p>
      <w:pPr>
        <w:spacing w:line="560" w:lineRule="exact"/>
        <w:ind w:firstLine="0" w:firstLineChars="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 xml:space="preserve">  估  价 人 员：</w:t>
      </w:r>
      <w:r>
        <w:rPr>
          <w:rFonts w:hint="eastAsia" w:ascii="仿宋_GB2312" w:hAnsi="宋体" w:eastAsia="仿宋_GB2312"/>
          <w:sz w:val="32"/>
          <w:szCs w:val="32"/>
          <w:highlight w:val="none"/>
          <w:lang w:eastAsia="zh-CN"/>
        </w:rPr>
        <w:t>汪文春</w:t>
      </w: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lang w:eastAsia="zh-CN"/>
        </w:rPr>
        <w:t>3619970062</w:t>
      </w:r>
    </w:p>
    <w:p>
      <w:pPr>
        <w:spacing w:line="560" w:lineRule="exact"/>
        <w:ind w:firstLine="2560" w:firstLineChars="8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张泗芳</w:t>
      </w: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lang w:eastAsia="zh-CN"/>
        </w:rPr>
        <w:t>4420110222</w:t>
      </w:r>
    </w:p>
    <w:p>
      <w:pPr>
        <w:spacing w:line="560" w:lineRule="exact"/>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 xml:space="preserve">  估价报告出具日期：</w:t>
      </w:r>
      <w:r>
        <w:rPr>
          <w:rFonts w:hint="eastAsia" w:ascii="仿宋_GB2312" w:hAnsi="宋体" w:eastAsia="仿宋_GB2312"/>
          <w:sz w:val="32"/>
          <w:szCs w:val="32"/>
          <w:highlight w:val="none"/>
          <w:lang w:eastAsia="zh-CN"/>
        </w:rPr>
        <w:t>2022年4月24日</w:t>
      </w:r>
      <w:r>
        <w:rPr>
          <w:rFonts w:hint="eastAsia" w:ascii="仿宋_GB2312" w:hAnsi="宋体" w:eastAsia="仿宋_GB2312"/>
          <w:sz w:val="32"/>
          <w:szCs w:val="32"/>
          <w:highlight w:val="none"/>
          <w:lang w:val="en-US" w:eastAsia="zh-CN"/>
        </w:rPr>
        <w:t xml:space="preserve"> </w:t>
      </w:r>
    </w:p>
    <w:p>
      <w:pPr>
        <w:tabs>
          <w:tab w:val="left" w:pos="315"/>
        </w:tabs>
        <w:spacing w:line="560" w:lineRule="exact"/>
        <w:ind w:firstLine="320" w:firstLineChars="1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估价报告编号：新洪房估字[202</w:t>
      </w:r>
      <w:r>
        <w:rPr>
          <w:rFonts w:hint="eastAsia" w:ascii="仿宋_GB2312" w:hAnsi="宋体" w:eastAsia="仿宋_GB2312"/>
          <w:color w:val="000000"/>
          <w:sz w:val="32"/>
          <w:szCs w:val="32"/>
          <w:highlight w:val="none"/>
          <w:lang w:val="en-US" w:eastAsia="zh-CN"/>
        </w:rPr>
        <w:t>2</w:t>
      </w:r>
      <w:r>
        <w:rPr>
          <w:rFonts w:hint="eastAsia" w:ascii="仿宋_GB2312" w:hAnsi="宋体" w:eastAsia="仿宋_GB2312"/>
          <w:color w:val="000000"/>
          <w:sz w:val="32"/>
          <w:szCs w:val="32"/>
          <w:highlight w:val="none"/>
        </w:rPr>
        <w:t>]第</w:t>
      </w:r>
      <w:r>
        <w:rPr>
          <w:rFonts w:hint="eastAsia" w:ascii="仿宋_GB2312" w:hAnsi="宋体" w:eastAsia="仿宋_GB2312"/>
          <w:color w:val="000000"/>
          <w:sz w:val="32"/>
          <w:szCs w:val="32"/>
          <w:highlight w:val="none"/>
          <w:lang w:val="en-US" w:eastAsia="zh-CN"/>
        </w:rPr>
        <w:t>146</w:t>
      </w:r>
      <w:r>
        <w:rPr>
          <w:rFonts w:hint="eastAsia" w:ascii="仿宋_GB2312" w:hAnsi="宋体" w:eastAsia="仿宋_GB2312"/>
          <w:color w:val="000000"/>
          <w:sz w:val="32"/>
          <w:szCs w:val="32"/>
          <w:highlight w:val="none"/>
        </w:rPr>
        <w:t>号</w:t>
      </w:r>
    </w:p>
    <w:p>
      <w:pPr>
        <w:spacing w:line="300" w:lineRule="exact"/>
        <w:jc w:val="center"/>
        <w:rPr>
          <w:rFonts w:hint="eastAsia" w:ascii="仿宋_GB2312" w:hAnsi="宋体" w:eastAsia="仿宋_GB2312"/>
          <w:b/>
          <w:sz w:val="32"/>
          <w:szCs w:val="32"/>
          <w:highlight w:val="none"/>
        </w:rPr>
      </w:pPr>
    </w:p>
    <w:p>
      <w:pPr>
        <w:spacing w:line="520" w:lineRule="exact"/>
        <w:jc w:val="center"/>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致估价委托人函</w:t>
      </w:r>
    </w:p>
    <w:p>
      <w:pPr>
        <w:spacing w:line="540" w:lineRule="exact"/>
        <w:rPr>
          <w:rFonts w:hint="eastAsia" w:ascii="仿宋_GB2312" w:hAnsi="仿宋_GB2312" w:eastAsia="仿宋_GB2312"/>
          <w:b/>
          <w:sz w:val="28"/>
          <w:szCs w:val="28"/>
          <w:highlight w:val="none"/>
        </w:rPr>
      </w:pPr>
      <w:r>
        <w:rPr>
          <w:rFonts w:hint="eastAsia" w:ascii="仿宋_GB2312" w:hAnsi="仿宋_GB2312" w:eastAsia="仿宋_GB2312"/>
          <w:b/>
          <w:sz w:val="28"/>
          <w:szCs w:val="28"/>
          <w:highlight w:val="none"/>
          <w:lang w:eastAsia="zh-CN"/>
        </w:rPr>
        <w:t>兴国县人民法院</w:t>
      </w:r>
      <w:r>
        <w:rPr>
          <w:rFonts w:hint="eastAsia" w:ascii="仿宋_GB2312" w:hAnsi="仿宋_GB2312" w:eastAsia="仿宋_GB2312"/>
          <w:b/>
          <w:sz w:val="28"/>
          <w:szCs w:val="28"/>
          <w:highlight w:val="none"/>
        </w:rPr>
        <w:t>：</w:t>
      </w:r>
    </w:p>
    <w:p>
      <w:pPr>
        <w:spacing w:line="500" w:lineRule="exact"/>
        <w:ind w:left="2" w:leftChars="1"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应贵院的书面委托[</w:t>
      </w:r>
      <w:r>
        <w:rPr>
          <w:rFonts w:hint="eastAsia" w:ascii="仿宋_GB2312" w:hAnsi="宋体" w:eastAsia="仿宋_GB2312"/>
          <w:sz w:val="28"/>
          <w:szCs w:val="28"/>
          <w:highlight w:val="none"/>
          <w:lang w:val="en-US" w:eastAsia="zh-CN"/>
        </w:rPr>
        <w:t>案号：（2019）赣0732执1003号</w:t>
      </w:r>
      <w:r>
        <w:rPr>
          <w:rFonts w:hint="eastAsia" w:ascii="仿宋_GB2312" w:hAnsi="宋体" w:eastAsia="仿宋_GB2312"/>
          <w:sz w:val="28"/>
          <w:szCs w:val="28"/>
          <w:highlight w:val="none"/>
        </w:rPr>
        <w:t>]，我公司派遣房地产专业估价人员，就贵院</w:t>
      </w:r>
      <w:r>
        <w:rPr>
          <w:rFonts w:hint="eastAsia" w:ascii="仿宋_GB2312" w:hAnsi="宋体" w:eastAsia="仿宋_GB2312"/>
          <w:sz w:val="28"/>
          <w:szCs w:val="28"/>
          <w:highlight w:val="none"/>
          <w:lang w:eastAsia="zh-CN"/>
        </w:rPr>
        <w:t>在执行刘纪浩申请执行刘美悦借款合同纠纷一案中涉及的</w:t>
      </w:r>
      <w:r>
        <w:rPr>
          <w:rFonts w:hint="eastAsia" w:ascii="仿宋_GB2312" w:hAnsi="宋体" w:eastAsia="仿宋_GB2312"/>
          <w:sz w:val="28"/>
          <w:szCs w:val="28"/>
          <w:highlight w:val="none"/>
        </w:rPr>
        <w:t>被执行人</w:t>
      </w:r>
      <w:r>
        <w:rPr>
          <w:rFonts w:hint="eastAsia" w:ascii="仿宋_GB2312" w:hAnsi="宋体" w:eastAsia="仿宋_GB2312"/>
          <w:sz w:val="28"/>
          <w:szCs w:val="28"/>
          <w:highlight w:val="none"/>
          <w:lang w:val="en-US" w:eastAsia="zh-CN"/>
        </w:rPr>
        <w:t>刘美悦</w:t>
      </w:r>
      <w:r>
        <w:rPr>
          <w:rFonts w:hint="eastAsia" w:ascii="仿宋_GB2312" w:hAnsi="宋体" w:eastAsia="仿宋_GB2312"/>
          <w:sz w:val="28"/>
          <w:szCs w:val="28"/>
          <w:highlight w:val="none"/>
        </w:rPr>
        <w:t>名下的位于</w:t>
      </w:r>
      <w:r>
        <w:rPr>
          <w:rFonts w:hint="eastAsia" w:ascii="仿宋_GB2312" w:hAnsi="宋体" w:eastAsia="仿宋_GB2312"/>
          <w:sz w:val="28"/>
          <w:szCs w:val="28"/>
          <w:highlight w:val="none"/>
          <w:lang w:val="en-US" w:eastAsia="zh-CN"/>
        </w:rPr>
        <w:t>兴国县潋江镇平川大道226号盛发绿苑1号楼4D房住宅</w:t>
      </w:r>
      <w:r>
        <w:rPr>
          <w:rFonts w:hint="eastAsia" w:ascii="仿宋_GB2312" w:hAnsi="宋体" w:eastAsia="仿宋_GB2312"/>
          <w:sz w:val="28"/>
          <w:szCs w:val="28"/>
          <w:highlight w:val="none"/>
        </w:rPr>
        <w:t>房地产的市场</w:t>
      </w:r>
      <w:r>
        <w:rPr>
          <w:rFonts w:hint="eastAsia" w:ascii="仿宋_GB2312" w:hAnsi="宋体" w:eastAsia="仿宋_GB2312"/>
          <w:sz w:val="28"/>
          <w:szCs w:val="28"/>
          <w:highlight w:val="none"/>
          <w:lang w:val="en-US" w:eastAsia="zh-CN"/>
        </w:rPr>
        <w:t>价格</w:t>
      </w:r>
      <w:r>
        <w:rPr>
          <w:rFonts w:hint="eastAsia" w:ascii="仿宋_GB2312" w:hAnsi="宋体" w:eastAsia="仿宋_GB2312"/>
          <w:sz w:val="28"/>
          <w:szCs w:val="28"/>
          <w:highlight w:val="none"/>
        </w:rPr>
        <w:t>进行评估，为贵院</w:t>
      </w:r>
      <w:r>
        <w:rPr>
          <w:rFonts w:hint="eastAsia" w:ascii="仿宋_GB2312" w:hAnsi="宋体" w:eastAsia="仿宋_GB2312"/>
          <w:sz w:val="28"/>
          <w:szCs w:val="28"/>
          <w:highlight w:val="none"/>
          <w:lang w:eastAsia="zh-CN"/>
        </w:rPr>
        <w:t>确定财产</w:t>
      </w:r>
      <w:r>
        <w:rPr>
          <w:rFonts w:hint="eastAsia" w:ascii="仿宋_GB2312" w:hAnsi="宋体" w:eastAsia="仿宋_GB2312"/>
          <w:sz w:val="28"/>
          <w:szCs w:val="28"/>
          <w:highlight w:val="none"/>
        </w:rPr>
        <w:t>处置</w:t>
      </w:r>
      <w:r>
        <w:rPr>
          <w:rFonts w:hint="eastAsia" w:ascii="仿宋_GB2312" w:hAnsi="宋体" w:eastAsia="仿宋_GB2312"/>
          <w:sz w:val="28"/>
          <w:szCs w:val="28"/>
          <w:highlight w:val="none"/>
          <w:lang w:eastAsia="zh-CN"/>
        </w:rPr>
        <w:t>参考价</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参考</w:t>
      </w:r>
      <w:r>
        <w:rPr>
          <w:rFonts w:hint="eastAsia" w:ascii="仿宋_GB2312" w:hAnsi="宋体" w:eastAsia="仿宋_GB2312"/>
          <w:sz w:val="28"/>
          <w:szCs w:val="28"/>
          <w:highlight w:val="none"/>
        </w:rPr>
        <w:t>依据。</w:t>
      </w:r>
    </w:p>
    <w:p>
      <w:pPr>
        <w:spacing w:line="500" w:lineRule="exact"/>
        <w:ind w:left="2" w:leftChars="1"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由实地查看取得的及估价委托人提供的资料，结合平时估价实践中积累的资料、经验，我公司房地产专业估价人员根据估价目的，遵循估价原则，按照估价程序，选用</w:t>
      </w:r>
      <w:r>
        <w:rPr>
          <w:rFonts w:hint="eastAsia" w:ascii="仿宋_GB2312" w:hAnsi="宋体" w:eastAsia="仿宋_GB2312"/>
          <w:sz w:val="28"/>
          <w:szCs w:val="28"/>
          <w:highlight w:val="none"/>
          <w:lang w:val="en-US" w:eastAsia="zh-CN"/>
        </w:rPr>
        <w:t>比较</w:t>
      </w:r>
      <w:r>
        <w:rPr>
          <w:rFonts w:hint="eastAsia" w:ascii="仿宋_GB2312" w:hAnsi="宋体" w:eastAsia="仿宋_GB2312"/>
          <w:sz w:val="28"/>
          <w:szCs w:val="28"/>
          <w:highlight w:val="none"/>
        </w:rPr>
        <w:t>法，并在综合分析影响估价对象房地产价值因素的基础上，对估价对象在</w:t>
      </w:r>
      <w:r>
        <w:rPr>
          <w:rFonts w:hint="eastAsia" w:ascii="仿宋_GB2312" w:hAnsi="宋体" w:eastAsia="仿宋_GB2312"/>
          <w:sz w:val="28"/>
          <w:szCs w:val="28"/>
          <w:highlight w:val="none"/>
          <w:lang w:eastAsia="zh-CN"/>
        </w:rPr>
        <w:t>2022年4月21日</w:t>
      </w:r>
      <w:r>
        <w:rPr>
          <w:rFonts w:hint="eastAsia" w:ascii="仿宋_GB2312" w:hAnsi="宋体" w:eastAsia="仿宋_GB2312"/>
          <w:sz w:val="28"/>
          <w:szCs w:val="28"/>
          <w:highlight w:val="none"/>
        </w:rPr>
        <w:t>的客观合理价值进行估算和判定，得出估价结果——估价对象评估价值</w:t>
      </w:r>
      <w:r>
        <w:rPr>
          <w:rFonts w:hint="eastAsia" w:ascii="仿宋_GB2312" w:hAnsi="宋体" w:eastAsia="仿宋_GB2312"/>
          <w:sz w:val="28"/>
          <w:szCs w:val="28"/>
          <w:highlight w:val="none"/>
          <w:lang w:val="en-US" w:eastAsia="zh-CN"/>
        </w:rPr>
        <w:t>为</w:t>
      </w:r>
      <w:r>
        <w:rPr>
          <w:rFonts w:hint="eastAsia" w:ascii="仿宋_GB2312" w:hAnsi="宋体" w:eastAsia="仿宋_GB2312"/>
          <w:sz w:val="28"/>
          <w:szCs w:val="28"/>
          <w:highlight w:val="none"/>
        </w:rPr>
        <w:t>大写人民币</w:t>
      </w:r>
      <w:r>
        <w:rPr>
          <w:rFonts w:hint="eastAsia" w:ascii="仿宋_GB2312" w:hAnsi="宋体" w:eastAsia="仿宋_GB2312"/>
          <w:b/>
          <w:bCs/>
          <w:sz w:val="28"/>
          <w:szCs w:val="28"/>
          <w:highlight w:val="none"/>
        </w:rPr>
        <w:fldChar w:fldCharType="begin"/>
      </w:r>
      <w:r>
        <w:rPr>
          <w:rFonts w:hint="eastAsia" w:ascii="仿宋_GB2312" w:hAnsi="宋体" w:eastAsia="仿宋_GB2312"/>
          <w:b/>
          <w:bCs/>
          <w:sz w:val="28"/>
          <w:szCs w:val="28"/>
          <w:highlight w:val="none"/>
        </w:rPr>
        <w:instrText xml:space="preserve"> = 1057700 \* CHINESENUM2 \* MERGEFORMAT </w:instrText>
      </w:r>
      <w:r>
        <w:rPr>
          <w:rFonts w:hint="eastAsia" w:ascii="仿宋_GB2312" w:hAnsi="宋体" w:eastAsia="仿宋_GB2312"/>
          <w:b/>
          <w:bCs/>
          <w:sz w:val="28"/>
          <w:szCs w:val="28"/>
          <w:highlight w:val="none"/>
        </w:rPr>
        <w:fldChar w:fldCharType="separate"/>
      </w:r>
      <w:r>
        <w:rPr>
          <w:rFonts w:hint="eastAsia" w:ascii="仿宋_GB2312" w:hAnsi="宋体" w:eastAsia="仿宋_GB2312"/>
          <w:b/>
          <w:bCs/>
          <w:sz w:val="28"/>
          <w:szCs w:val="28"/>
          <w:highlight w:val="none"/>
          <w:lang w:eastAsia="zh-CN"/>
        </w:rPr>
        <w:t>玖拾柒万玖仟柒佰</w:t>
      </w:r>
      <w:r>
        <w:rPr>
          <w:rFonts w:hint="eastAsia" w:ascii="仿宋_GB2312" w:hAnsi="宋体" w:eastAsia="仿宋_GB2312"/>
          <w:b/>
          <w:bCs/>
          <w:sz w:val="28"/>
          <w:szCs w:val="28"/>
          <w:highlight w:val="none"/>
        </w:rPr>
        <w:fldChar w:fldCharType="end"/>
      </w:r>
      <w:r>
        <w:rPr>
          <w:rFonts w:hint="eastAsia" w:ascii="仿宋_GB2312" w:hAnsi="宋体" w:eastAsia="仿宋_GB2312"/>
          <w:b/>
          <w:bCs/>
          <w:sz w:val="28"/>
          <w:szCs w:val="28"/>
          <w:highlight w:val="none"/>
          <w:lang w:eastAsia="zh-CN"/>
        </w:rPr>
        <w:t>元整</w:t>
      </w:r>
      <w:r>
        <w:rPr>
          <w:rFonts w:hint="eastAsia" w:ascii="仿宋_GB2312" w:hAnsi="宋体" w:eastAsia="仿宋_GB2312"/>
          <w:b/>
          <w:sz w:val="28"/>
          <w:szCs w:val="28"/>
          <w:highlight w:val="none"/>
        </w:rPr>
        <w:t>（¥</w:t>
      </w:r>
      <w:r>
        <w:rPr>
          <w:rFonts w:hint="eastAsia" w:ascii="仿宋_GB2312" w:hAnsi="宋体" w:eastAsia="仿宋_GB2312"/>
          <w:b/>
          <w:sz w:val="28"/>
          <w:szCs w:val="28"/>
          <w:highlight w:val="none"/>
          <w:lang w:eastAsia="zh-CN"/>
        </w:rPr>
        <w:t>97.97</w:t>
      </w:r>
      <w:r>
        <w:rPr>
          <w:rFonts w:hint="eastAsia" w:ascii="仿宋_GB2312" w:hAnsi="宋体" w:eastAsia="仿宋_GB2312"/>
          <w:b/>
          <w:sz w:val="28"/>
          <w:szCs w:val="28"/>
          <w:highlight w:val="none"/>
          <w:lang w:val="en-US" w:eastAsia="zh-CN"/>
        </w:rPr>
        <w:t>万</w:t>
      </w:r>
      <w:r>
        <w:rPr>
          <w:rFonts w:hint="eastAsia" w:ascii="仿宋_GB2312" w:hAnsi="宋体" w:eastAsia="仿宋_GB2312"/>
          <w:b/>
          <w:sz w:val="28"/>
          <w:szCs w:val="28"/>
          <w:highlight w:val="none"/>
        </w:rPr>
        <w:t>元）</w:t>
      </w:r>
      <w:r>
        <w:rPr>
          <w:rFonts w:hint="eastAsia" w:ascii="仿宋_GB2312" w:hAnsi="宋体" w:eastAsia="仿宋_GB2312"/>
          <w:sz w:val="28"/>
          <w:szCs w:val="28"/>
          <w:highlight w:val="none"/>
        </w:rPr>
        <w:t>。</w:t>
      </w:r>
    </w:p>
    <w:tbl>
      <w:tblPr>
        <w:tblStyle w:val="2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5"/>
        <w:gridCol w:w="930"/>
        <w:gridCol w:w="1635"/>
        <w:gridCol w:w="442"/>
        <w:gridCol w:w="667"/>
        <w:gridCol w:w="1006"/>
        <w:gridCol w:w="1035"/>
        <w:gridCol w:w="118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《房屋所有权证》证号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房屋所有权人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坐落</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用途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结构</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评估层/总楼层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建筑面积（</w:t>
            </w:r>
            <w:r>
              <w:rPr>
                <w:rFonts w:hint="eastAsia" w:ascii="宋体" w:hAnsi="宋体" w:eastAsia="宋体" w:cs="宋体"/>
                <w:b/>
                <w:bCs/>
                <w:i w:val="0"/>
                <w:iCs w:val="0"/>
                <w:color w:val="000000"/>
                <w:kern w:val="0"/>
                <w:sz w:val="20"/>
                <w:szCs w:val="20"/>
                <w:u w:val="none"/>
                <w:lang w:val="en-US" w:eastAsia="zh-CN" w:bidi="ar"/>
              </w:rPr>
              <w:t>㎡</w:t>
            </w:r>
            <w:r>
              <w:rPr>
                <w:rFonts w:hint="eastAsia" w:ascii="仿宋_GB2312" w:hAnsi="宋体" w:eastAsia="仿宋_GB2312" w:cs="仿宋_GB2312"/>
                <w:b/>
                <w:bCs/>
                <w:i w:val="0"/>
                <w:iCs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评估单价（元/</w:t>
            </w:r>
            <w:r>
              <w:rPr>
                <w:rFonts w:hint="eastAsia" w:ascii="宋体" w:hAnsi="宋体" w:eastAsia="宋体" w:cs="宋体"/>
                <w:b/>
                <w:bCs/>
                <w:i w:val="0"/>
                <w:iCs w:val="0"/>
                <w:color w:val="000000"/>
                <w:kern w:val="0"/>
                <w:sz w:val="20"/>
                <w:szCs w:val="20"/>
                <w:u w:val="none"/>
                <w:lang w:val="en-US" w:eastAsia="zh-CN" w:bidi="ar"/>
              </w:rPr>
              <w:t>㎡</w:t>
            </w:r>
            <w:r>
              <w:rPr>
                <w:rFonts w:hint="eastAsia" w:ascii="仿宋_GB2312" w:hAnsi="宋体" w:eastAsia="仿宋_GB2312" w:cs="仿宋_GB2312"/>
                <w:b/>
                <w:bCs/>
                <w:i w:val="0"/>
                <w:iCs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评估总值（万元）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兴房权证潋字第LJ23914号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刘美悦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潋江镇平川大道226号盛发绿苑1号楼4D房</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住宅</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钢混</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156.72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97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bCs/>
                <w:szCs w:val="21"/>
                <w:lang w:bidi="ar"/>
              </w:rPr>
              <w:t>备注:</w:t>
            </w:r>
            <w:r>
              <w:rPr>
                <w:rFonts w:hint="eastAsia" w:ascii="仿宋_GB2312" w:hAnsi="仿宋_GB2312" w:eastAsia="仿宋_GB2312" w:cs="仿宋_GB2312"/>
                <w:bCs/>
                <w:szCs w:val="21"/>
                <w:lang w:val="en-US" w:eastAsia="zh-CN" w:bidi="ar"/>
              </w:rPr>
              <w:t>1、本次估价对象评估价值为房地合一价值，包含房屋所有权、所对应的土地使用权价值以及室内装修价值（水、电、消防等房屋配套设施设备价值、不可拆除的装饰装修价值，不包含家具家电、机器设备、债权债务、特许经营权等其他财产价值）</w:t>
            </w:r>
            <w:r>
              <w:rPr>
                <w:rFonts w:hint="eastAsia" w:ascii="仿宋_GB2312" w:hAnsi="仿宋_GB2312" w:eastAsia="仿宋_GB2312" w:cs="仿宋_GB2312"/>
                <w:szCs w:val="21"/>
              </w:rPr>
              <w:t>，</w:t>
            </w:r>
            <w:r>
              <w:rPr>
                <w:rFonts w:hint="eastAsia" w:ascii="仿宋_GB2312" w:hAnsi="仿宋_GB2312" w:eastAsia="仿宋_GB2312" w:cs="仿宋_GB2312"/>
                <w:szCs w:val="21"/>
                <w:highlight w:val="none"/>
              </w:rPr>
              <w:t>详细装修情况见P</w:t>
            </w:r>
            <w:r>
              <w:rPr>
                <w:rFonts w:hint="eastAsia" w:ascii="仿宋_GB2312" w:hAnsi="仿宋_GB2312" w:eastAsia="仿宋_GB2312" w:cs="仿宋_GB2312"/>
                <w:szCs w:val="21"/>
                <w:highlight w:val="none"/>
                <w:lang w:val="en-US" w:eastAsia="zh-CN"/>
              </w:rPr>
              <w:t>9</w:t>
            </w:r>
            <w:r>
              <w:rPr>
                <w:rFonts w:hint="eastAsia" w:ascii="仿宋_GB2312" w:hAnsi="仿宋_GB2312" w:eastAsia="仿宋_GB2312" w:cs="仿宋_GB2312"/>
                <w:szCs w:val="21"/>
                <w:highlight w:val="none"/>
              </w:rPr>
              <w:t>页</w:t>
            </w:r>
            <w:r>
              <w:rPr>
                <w:rFonts w:hint="eastAsia" w:ascii="仿宋_GB2312" w:hAnsi="仿宋_GB2312" w:eastAsia="仿宋_GB2312" w:cs="仿宋_GB2312"/>
                <w:szCs w:val="21"/>
                <w:highlight w:val="none"/>
                <w:lang w:eastAsia="zh-CN"/>
              </w:rPr>
              <w:t>。</w:t>
            </w:r>
          </w:p>
          <w:p>
            <w:pPr>
              <w:keepNext w:val="0"/>
              <w:keepLines w:val="0"/>
              <w:widowControl/>
              <w:suppressLineNumbers w:val="0"/>
              <w:ind w:firstLine="420" w:firstLineChars="200"/>
              <w:jc w:val="both"/>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szCs w:val="21"/>
                <w:highlight w:val="none"/>
                <w:lang w:val="en-US" w:eastAsia="zh-CN"/>
              </w:rPr>
              <w:t>2、</w:t>
            </w:r>
            <w:r>
              <w:rPr>
                <w:rFonts w:hint="eastAsia" w:ascii="仿宋_GB2312" w:hAnsi="仿宋_GB2312" w:eastAsia="仿宋_GB2312" w:cs="仿宋_GB2312"/>
                <w:szCs w:val="21"/>
              </w:rPr>
              <w:t>本次评估房屋信息来源于《不动产登记信息查询结果》</w:t>
            </w:r>
            <w:r>
              <w:rPr>
                <w:rFonts w:hint="eastAsia" w:ascii="仿宋_GB2312" w:hAnsi="仿宋_GB2312" w:eastAsia="仿宋_GB2312" w:cs="仿宋_GB2312"/>
                <w:szCs w:val="21"/>
                <w:lang w:eastAsia="zh-CN"/>
              </w:rPr>
              <w:t>，提请报告使用人注意。</w:t>
            </w:r>
          </w:p>
        </w:tc>
      </w:tr>
    </w:tbl>
    <w:p>
      <w:pPr>
        <w:spacing w:line="480" w:lineRule="exact"/>
        <w:ind w:firstLine="556"/>
        <w:jc w:val="left"/>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估价的有关情况和相关专业意见，请见附后的估价报告。本估价报告使用期限至20</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年</w:t>
      </w:r>
      <w:r>
        <w:rPr>
          <w:rFonts w:hint="eastAsia" w:ascii="仿宋_GB2312" w:hAnsi="宋体" w:eastAsia="仿宋_GB2312"/>
          <w:sz w:val="28"/>
          <w:szCs w:val="28"/>
          <w:highlight w:val="none"/>
          <w:lang w:val="en-US" w:eastAsia="zh-CN"/>
        </w:rPr>
        <w:t>4</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日止。另请关注本估价报告中的价值内涵和估价的假设及限制条件。</w:t>
      </w:r>
    </w:p>
    <w:p>
      <w:pPr>
        <w:spacing w:line="480" w:lineRule="exact"/>
        <w:ind w:firstLine="555"/>
        <w:jc w:val="left"/>
        <w:rPr>
          <w:rFonts w:hint="eastAsia" w:ascii="仿宋_GB2312" w:hAnsi="宋体" w:eastAsia="仿宋_GB2312"/>
          <w:sz w:val="28"/>
          <w:szCs w:val="28"/>
          <w:highlight w:val="none"/>
          <w:shd w:val="clear" w:color="FFFFFF" w:fill="D9D9D9"/>
          <w:lang w:val="en-US" w:eastAsia="zh-CN"/>
        </w:rPr>
      </w:pPr>
      <w:r>
        <w:rPr>
          <w:rFonts w:hint="eastAsia" w:ascii="仿宋_GB2312" w:hAnsi="宋体" w:eastAsia="仿宋_GB2312"/>
          <w:sz w:val="28"/>
          <w:szCs w:val="28"/>
          <w:highlight w:val="none"/>
        </w:rPr>
        <w:t>此致！</w:t>
      </w:r>
    </w:p>
    <w:p>
      <w:pPr>
        <w:spacing w:line="480" w:lineRule="exact"/>
        <w:ind w:firstLine="56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估价机构法定代表人签章：</w:t>
      </w:r>
    </w:p>
    <w:p>
      <w:pPr>
        <w:spacing w:line="520" w:lineRule="exact"/>
        <w:jc w:val="right"/>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eastAsia="zh-CN"/>
        </w:rPr>
        <w:t>江西新源洪城房地产土地资产评估有限公司</w:t>
      </w:r>
      <w:r>
        <w:rPr>
          <w:rFonts w:hint="eastAsia" w:ascii="仿宋_GB2312" w:hAnsi="宋体" w:eastAsia="仿宋_GB2312"/>
          <w:sz w:val="28"/>
          <w:szCs w:val="28"/>
          <w:highlight w:val="none"/>
        </w:rPr>
        <w:t xml:space="preserve">                          （机构公章）</w:t>
      </w:r>
    </w:p>
    <w:p>
      <w:pPr>
        <w:spacing w:line="520" w:lineRule="exact"/>
        <w:jc w:val="right"/>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2022年4月24日</w:t>
      </w:r>
    </w:p>
    <w:p>
      <w:pPr>
        <w:spacing w:line="240" w:lineRule="auto"/>
        <w:ind w:firstLine="0" w:firstLineChars="0"/>
        <w:jc w:val="left"/>
        <w:rPr>
          <w:rFonts w:hint="eastAsia"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br w:type="page"/>
      </w: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t>目       录</w:t>
      </w:r>
    </w:p>
    <w:p>
      <w:pPr>
        <w:tabs>
          <w:tab w:val="left" w:pos="315"/>
        </w:tabs>
        <w:spacing w:line="400" w:lineRule="exact"/>
        <w:ind w:firstLine="321" w:firstLineChars="100"/>
        <w:jc w:val="center"/>
        <w:rPr>
          <w:rFonts w:hint="eastAsia" w:ascii="仿宋_GB2312" w:hAnsi="宋体" w:eastAsia="仿宋_GB2312"/>
          <w:b/>
          <w:color w:val="000000"/>
          <w:sz w:val="32"/>
          <w:szCs w:val="32"/>
          <w:highlight w:val="none"/>
        </w:rPr>
      </w:pP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TOC \o "1-2" \h \z \u </w:instrText>
      </w:r>
      <w:r>
        <w:rPr>
          <w:rFonts w:hint="eastAsia" w:ascii="仿宋_GB2312" w:hAnsi="宋体" w:eastAsia="仿宋_GB2312"/>
          <w:szCs w:val="21"/>
          <w:highlight w:val="none"/>
        </w:rPr>
        <w:fldChar w:fldCharType="separate"/>
      </w: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_Toc2746 </w:instrText>
      </w:r>
      <w:r>
        <w:rPr>
          <w:rFonts w:hint="eastAsia" w:ascii="仿宋_GB2312" w:hAnsi="宋体" w:eastAsia="仿宋_GB2312"/>
          <w:szCs w:val="21"/>
          <w:highlight w:val="none"/>
        </w:rPr>
        <w:fldChar w:fldCharType="separate"/>
      </w:r>
      <w:r>
        <w:rPr>
          <w:rFonts w:hint="eastAsia" w:ascii="仿宋_GB2312" w:eastAsia="仿宋_GB2312"/>
          <w:highlight w:val="none"/>
        </w:rPr>
        <w:t>一、估价师声明</w:t>
      </w:r>
      <w:r>
        <w:tab/>
      </w:r>
      <w:r>
        <w:fldChar w:fldCharType="begin"/>
      </w:r>
      <w:r>
        <w:instrText xml:space="preserve"> PAGEREF _Toc2746 \h </w:instrText>
      </w:r>
      <w:r>
        <w:fldChar w:fldCharType="separate"/>
      </w:r>
      <w:r>
        <w:t>4</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_Toc18427 </w:instrText>
      </w:r>
      <w:r>
        <w:rPr>
          <w:rFonts w:hint="eastAsia" w:ascii="仿宋_GB2312" w:hAnsi="宋体" w:eastAsia="仿宋_GB2312"/>
          <w:szCs w:val="21"/>
          <w:highlight w:val="none"/>
        </w:rPr>
        <w:fldChar w:fldCharType="separate"/>
      </w:r>
      <w:r>
        <w:rPr>
          <w:rFonts w:hint="eastAsia" w:ascii="仿宋_GB2312" w:eastAsia="仿宋_GB2312"/>
          <w:highlight w:val="none"/>
        </w:rPr>
        <w:t>二、估价的假设和限制条件</w:t>
      </w:r>
      <w:r>
        <w:tab/>
      </w:r>
      <w:r>
        <w:fldChar w:fldCharType="begin"/>
      </w:r>
      <w:r>
        <w:instrText xml:space="preserve"> PAGEREF _Toc18427 \h </w:instrText>
      </w:r>
      <w:r>
        <w:fldChar w:fldCharType="separate"/>
      </w:r>
      <w:r>
        <w:t>5</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_Toc30600 </w:instrText>
      </w:r>
      <w:r>
        <w:rPr>
          <w:rFonts w:hint="eastAsia" w:ascii="仿宋_GB2312" w:hAnsi="宋体" w:eastAsia="仿宋_GB2312"/>
          <w:szCs w:val="21"/>
          <w:highlight w:val="none"/>
        </w:rPr>
        <w:fldChar w:fldCharType="separate"/>
      </w:r>
      <w:r>
        <w:rPr>
          <w:rFonts w:hint="eastAsia" w:ascii="仿宋_GB2312" w:eastAsia="仿宋_GB2312"/>
          <w:bCs w:val="0"/>
          <w:highlight w:val="none"/>
        </w:rPr>
        <w:t>三、估价结果报告</w:t>
      </w:r>
      <w:r>
        <w:tab/>
      </w:r>
      <w:r>
        <w:fldChar w:fldCharType="begin"/>
      </w:r>
      <w:r>
        <w:instrText xml:space="preserve"> PAGEREF _Toc30600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_Toc14691 </w:instrText>
      </w:r>
      <w:r>
        <w:rPr>
          <w:rFonts w:hint="eastAsia" w:ascii="仿宋_GB2312" w:hAnsi="宋体" w:eastAsia="仿宋_GB2312"/>
          <w:szCs w:val="21"/>
          <w:highlight w:val="none"/>
        </w:rPr>
        <w:fldChar w:fldCharType="separate"/>
      </w:r>
      <w:r>
        <w:rPr>
          <w:rFonts w:hint="eastAsia" w:ascii="仿宋_GB2312" w:eastAsia="仿宋_GB2312"/>
          <w:highlight w:val="none"/>
        </w:rPr>
        <w:t>（一）估价委托人</w:t>
      </w:r>
      <w:r>
        <w:tab/>
      </w:r>
      <w:r>
        <w:fldChar w:fldCharType="begin"/>
      </w:r>
      <w:r>
        <w:instrText xml:space="preserve"> PAGEREF _Toc14691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_Toc12025 </w:instrText>
      </w:r>
      <w:r>
        <w:rPr>
          <w:rFonts w:hint="eastAsia" w:ascii="仿宋_GB2312" w:hAnsi="宋体" w:eastAsia="仿宋_GB2312"/>
          <w:szCs w:val="21"/>
          <w:highlight w:val="none"/>
        </w:rPr>
        <w:fldChar w:fldCharType="separate"/>
      </w:r>
      <w:r>
        <w:rPr>
          <w:rFonts w:hint="eastAsia" w:ascii="仿宋_GB2312" w:eastAsia="仿宋_GB2312"/>
          <w:highlight w:val="none"/>
        </w:rPr>
        <w:t>（二）估价方</w:t>
      </w:r>
      <w:r>
        <w:tab/>
      </w:r>
      <w:r>
        <w:fldChar w:fldCharType="begin"/>
      </w:r>
      <w:r>
        <w:instrText xml:space="preserve"> PAGEREF _Toc12025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_Toc22199 </w:instrText>
      </w:r>
      <w:r>
        <w:rPr>
          <w:rFonts w:hint="eastAsia" w:ascii="仿宋_GB2312" w:hAnsi="宋体" w:eastAsia="仿宋_GB2312"/>
          <w:szCs w:val="21"/>
          <w:highlight w:val="none"/>
        </w:rPr>
        <w:fldChar w:fldCharType="separate"/>
      </w:r>
      <w:r>
        <w:rPr>
          <w:rFonts w:hint="eastAsia" w:ascii="仿宋_GB2312" w:eastAsia="仿宋_GB2312"/>
          <w:highlight w:val="none"/>
        </w:rPr>
        <w:t>（三）估价目的</w:t>
      </w:r>
      <w:r>
        <w:tab/>
      </w:r>
      <w:r>
        <w:fldChar w:fldCharType="begin"/>
      </w:r>
      <w:r>
        <w:instrText xml:space="preserve"> PAGEREF _Toc22199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_Toc22576 </w:instrText>
      </w:r>
      <w:r>
        <w:rPr>
          <w:rFonts w:hint="eastAsia" w:ascii="仿宋_GB2312" w:hAnsi="宋体" w:eastAsia="仿宋_GB2312"/>
          <w:szCs w:val="21"/>
          <w:highlight w:val="none"/>
        </w:rPr>
        <w:fldChar w:fldCharType="separate"/>
      </w:r>
      <w:r>
        <w:rPr>
          <w:rFonts w:hint="eastAsia" w:ascii="仿宋_GB2312" w:eastAsia="仿宋_GB2312"/>
          <w:highlight w:val="none"/>
        </w:rPr>
        <w:t>（四）估价对象</w:t>
      </w:r>
      <w:r>
        <w:tab/>
      </w:r>
      <w:r>
        <w:fldChar w:fldCharType="begin"/>
      </w:r>
      <w:r>
        <w:instrText xml:space="preserve"> PAGEREF _Toc22576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_Toc29465 </w:instrText>
      </w:r>
      <w:r>
        <w:rPr>
          <w:rFonts w:hint="eastAsia" w:ascii="仿宋_GB2312" w:hAnsi="宋体" w:eastAsia="仿宋_GB2312"/>
          <w:szCs w:val="21"/>
          <w:highlight w:val="none"/>
        </w:rPr>
        <w:fldChar w:fldCharType="separate"/>
      </w:r>
      <w:r>
        <w:rPr>
          <w:rFonts w:hint="eastAsia" w:ascii="仿宋_GB2312" w:eastAsia="仿宋_GB2312"/>
          <w:highlight w:val="none"/>
        </w:rPr>
        <w:t>（五）价值时点</w:t>
      </w:r>
      <w:r>
        <w:tab/>
      </w:r>
      <w:r>
        <w:fldChar w:fldCharType="begin"/>
      </w:r>
      <w:r>
        <w:instrText xml:space="preserve"> PAGEREF _Toc29465 \h </w:instrText>
      </w:r>
      <w:r>
        <w:fldChar w:fldCharType="separate"/>
      </w:r>
      <w:r>
        <w:t>10</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_Toc26640 </w:instrText>
      </w:r>
      <w:r>
        <w:rPr>
          <w:rFonts w:hint="eastAsia" w:ascii="仿宋_GB2312" w:hAnsi="宋体" w:eastAsia="仿宋_GB2312"/>
          <w:szCs w:val="21"/>
          <w:highlight w:val="none"/>
        </w:rPr>
        <w:fldChar w:fldCharType="separate"/>
      </w:r>
      <w:r>
        <w:rPr>
          <w:rFonts w:hint="eastAsia" w:ascii="仿宋_GB2312" w:eastAsia="仿宋_GB2312"/>
          <w:highlight w:val="none"/>
        </w:rPr>
        <w:t>（六）</w:t>
      </w:r>
      <w:r>
        <w:rPr>
          <w:rFonts w:hint="eastAsia" w:ascii="仿宋_GB2312" w:hAnsi="Times New Roman" w:eastAsia="仿宋_GB2312" w:cs="Times New Roman"/>
          <w:bCs w:val="0"/>
          <w:kern w:val="2"/>
          <w:szCs w:val="30"/>
          <w:highlight w:val="none"/>
          <w:lang w:bidi="ar"/>
        </w:rPr>
        <w:t>价值</w:t>
      </w:r>
      <w:r>
        <w:rPr>
          <w:rFonts w:hint="eastAsia" w:ascii="仿宋_GB2312" w:hAnsi="Times New Roman" w:eastAsia="仿宋_GB2312" w:cs="Times New Roman"/>
          <w:bCs w:val="0"/>
          <w:kern w:val="2"/>
          <w:szCs w:val="30"/>
          <w:highlight w:val="none"/>
          <w:lang w:val="en-US" w:eastAsia="zh-CN" w:bidi="ar"/>
        </w:rPr>
        <w:t>类型</w:t>
      </w:r>
      <w:r>
        <w:tab/>
      </w:r>
      <w:r>
        <w:fldChar w:fldCharType="begin"/>
      </w:r>
      <w:r>
        <w:instrText xml:space="preserve"> PAGEREF _Toc26640 \h </w:instrText>
      </w:r>
      <w:r>
        <w:fldChar w:fldCharType="separate"/>
      </w:r>
      <w:r>
        <w:t>10</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_Toc3336 </w:instrText>
      </w:r>
      <w:r>
        <w:rPr>
          <w:rFonts w:hint="eastAsia" w:ascii="仿宋_GB2312" w:hAnsi="宋体" w:eastAsia="仿宋_GB2312"/>
          <w:szCs w:val="21"/>
          <w:highlight w:val="none"/>
        </w:rPr>
        <w:fldChar w:fldCharType="separate"/>
      </w:r>
      <w:r>
        <w:rPr>
          <w:rFonts w:hint="eastAsia" w:ascii="仿宋_GB2312" w:eastAsia="仿宋_GB2312"/>
          <w:highlight w:val="none"/>
        </w:rPr>
        <w:t>（七）估价依据</w:t>
      </w:r>
      <w:r>
        <w:tab/>
      </w:r>
      <w:r>
        <w:fldChar w:fldCharType="begin"/>
      </w:r>
      <w:r>
        <w:instrText xml:space="preserve"> PAGEREF _Toc3336 \h </w:instrText>
      </w:r>
      <w:r>
        <w:fldChar w:fldCharType="separate"/>
      </w:r>
      <w:r>
        <w:t>10</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_Toc21428 </w:instrText>
      </w:r>
      <w:r>
        <w:rPr>
          <w:rFonts w:hint="eastAsia" w:ascii="仿宋_GB2312" w:hAnsi="宋体" w:eastAsia="仿宋_GB2312"/>
          <w:szCs w:val="21"/>
          <w:highlight w:val="none"/>
        </w:rPr>
        <w:fldChar w:fldCharType="separate"/>
      </w:r>
      <w:r>
        <w:rPr>
          <w:rFonts w:hint="eastAsia" w:ascii="仿宋_GB2312" w:eastAsia="仿宋_GB2312"/>
          <w:highlight w:val="none"/>
        </w:rPr>
        <w:t>（八）估价原则</w:t>
      </w:r>
      <w:r>
        <w:tab/>
      </w:r>
      <w:r>
        <w:fldChar w:fldCharType="begin"/>
      </w:r>
      <w:r>
        <w:instrText xml:space="preserve"> PAGEREF _Toc21428 \h </w:instrText>
      </w:r>
      <w:r>
        <w:fldChar w:fldCharType="separate"/>
      </w:r>
      <w:r>
        <w:t>12</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_Toc23396 </w:instrText>
      </w:r>
      <w:r>
        <w:rPr>
          <w:rFonts w:hint="eastAsia" w:ascii="仿宋_GB2312" w:hAnsi="宋体" w:eastAsia="仿宋_GB2312"/>
          <w:szCs w:val="21"/>
          <w:highlight w:val="none"/>
        </w:rPr>
        <w:fldChar w:fldCharType="separate"/>
      </w:r>
      <w:r>
        <w:rPr>
          <w:rFonts w:hint="eastAsia" w:ascii="仿宋_GB2312" w:eastAsia="仿宋_GB2312"/>
          <w:highlight w:val="none"/>
        </w:rPr>
        <w:t>（九）估价方法</w:t>
      </w:r>
      <w:r>
        <w:tab/>
      </w:r>
      <w:r>
        <w:fldChar w:fldCharType="begin"/>
      </w:r>
      <w:r>
        <w:instrText xml:space="preserve"> PAGEREF _Toc23396 \h </w:instrText>
      </w:r>
      <w:r>
        <w:fldChar w:fldCharType="separate"/>
      </w:r>
      <w:r>
        <w:t>13</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_Toc31723 </w:instrText>
      </w:r>
      <w:r>
        <w:rPr>
          <w:rFonts w:hint="eastAsia" w:ascii="仿宋_GB2312" w:hAnsi="宋体" w:eastAsia="仿宋_GB2312"/>
          <w:szCs w:val="21"/>
          <w:highlight w:val="none"/>
        </w:rPr>
        <w:fldChar w:fldCharType="separate"/>
      </w:r>
      <w:r>
        <w:rPr>
          <w:rFonts w:hint="eastAsia" w:ascii="仿宋_GB2312" w:eastAsia="仿宋_GB2312"/>
          <w:highlight w:val="none"/>
        </w:rPr>
        <w:t>（十）估价结果</w:t>
      </w:r>
      <w:r>
        <w:tab/>
      </w:r>
      <w:r>
        <w:fldChar w:fldCharType="begin"/>
      </w:r>
      <w:r>
        <w:instrText xml:space="preserve"> PAGEREF _Toc31723 \h </w:instrText>
      </w:r>
      <w:r>
        <w:fldChar w:fldCharType="separate"/>
      </w:r>
      <w:r>
        <w:t>14</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_Toc21377 </w:instrText>
      </w:r>
      <w:r>
        <w:rPr>
          <w:rFonts w:hint="eastAsia" w:ascii="仿宋_GB2312" w:hAnsi="宋体" w:eastAsia="仿宋_GB2312"/>
          <w:szCs w:val="21"/>
          <w:highlight w:val="none"/>
        </w:rPr>
        <w:fldChar w:fldCharType="separate"/>
      </w:r>
      <w:r>
        <w:rPr>
          <w:rFonts w:hint="eastAsia" w:ascii="仿宋_GB2312" w:eastAsia="仿宋_GB2312"/>
          <w:highlight w:val="none"/>
        </w:rPr>
        <w:t>（十一）注册房地产估价师</w:t>
      </w:r>
      <w:r>
        <w:rPr>
          <w:rFonts w:hint="eastAsia" w:ascii="仿宋_GB2312" w:eastAsia="仿宋_GB2312"/>
          <w:highlight w:val="none"/>
          <w:lang w:val="en-US" w:eastAsia="zh-CN"/>
        </w:rPr>
        <w:t>及其他评估专业人员</w:t>
      </w:r>
      <w:r>
        <w:tab/>
      </w:r>
      <w:r>
        <w:fldChar w:fldCharType="begin"/>
      </w:r>
      <w:r>
        <w:instrText xml:space="preserve"> PAGEREF _Toc21377 \h </w:instrText>
      </w:r>
      <w:r>
        <w:fldChar w:fldCharType="separate"/>
      </w:r>
      <w:r>
        <w:t>14</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_Toc16752 </w:instrText>
      </w:r>
      <w:r>
        <w:rPr>
          <w:rFonts w:hint="eastAsia" w:ascii="仿宋_GB2312" w:hAnsi="宋体" w:eastAsia="仿宋_GB2312"/>
          <w:szCs w:val="21"/>
          <w:highlight w:val="none"/>
        </w:rPr>
        <w:fldChar w:fldCharType="separate"/>
      </w:r>
      <w:r>
        <w:rPr>
          <w:rFonts w:hint="eastAsia" w:ascii="仿宋_GB2312" w:eastAsia="仿宋_GB2312"/>
          <w:highlight w:val="none"/>
        </w:rPr>
        <w:t>（十二）实地查勘日期</w:t>
      </w:r>
      <w:r>
        <w:tab/>
      </w:r>
      <w:r>
        <w:fldChar w:fldCharType="begin"/>
      </w:r>
      <w:r>
        <w:instrText xml:space="preserve"> PAGEREF _Toc16752 \h </w:instrText>
      </w:r>
      <w:r>
        <w:fldChar w:fldCharType="separate"/>
      </w:r>
      <w:r>
        <w:t>14</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_Toc30975 </w:instrText>
      </w:r>
      <w:r>
        <w:rPr>
          <w:rFonts w:hint="eastAsia" w:ascii="仿宋_GB2312" w:hAnsi="宋体" w:eastAsia="仿宋_GB2312"/>
          <w:szCs w:val="21"/>
          <w:highlight w:val="none"/>
        </w:rPr>
        <w:fldChar w:fldCharType="separate"/>
      </w:r>
      <w:r>
        <w:rPr>
          <w:rFonts w:hint="eastAsia" w:ascii="仿宋_GB2312" w:eastAsia="仿宋_GB2312"/>
          <w:highlight w:val="none"/>
        </w:rPr>
        <w:t>（十三）估价作业日期</w:t>
      </w:r>
      <w:r>
        <w:tab/>
      </w:r>
      <w:r>
        <w:fldChar w:fldCharType="begin"/>
      </w:r>
      <w:r>
        <w:instrText xml:space="preserve"> PAGEREF _Toc30975 \h </w:instrText>
      </w:r>
      <w:r>
        <w:fldChar w:fldCharType="separate"/>
      </w:r>
      <w:r>
        <w:t>15</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_Toc28654 </w:instrText>
      </w:r>
      <w:r>
        <w:rPr>
          <w:rFonts w:hint="eastAsia" w:ascii="仿宋_GB2312" w:hAnsi="宋体" w:eastAsia="仿宋_GB2312"/>
          <w:szCs w:val="21"/>
          <w:highlight w:val="none"/>
        </w:rPr>
        <w:fldChar w:fldCharType="separate"/>
      </w:r>
      <w:r>
        <w:rPr>
          <w:rFonts w:hint="eastAsia" w:ascii="仿宋_GB2312" w:eastAsia="仿宋_GB2312"/>
          <w:highlight w:val="none"/>
        </w:rPr>
        <w:t>四、附  件</w:t>
      </w:r>
      <w:r>
        <w:tab/>
      </w:r>
      <w:r>
        <w:fldChar w:fldCharType="begin"/>
      </w:r>
      <w:r>
        <w:instrText xml:space="preserve"> PAGEREF _Toc28654 \h </w:instrText>
      </w:r>
      <w:r>
        <w:fldChar w:fldCharType="separate"/>
      </w:r>
      <w:r>
        <w:t>16</w:t>
      </w:r>
      <w:r>
        <w:fldChar w:fldCharType="end"/>
      </w:r>
      <w:r>
        <w:rPr>
          <w:rFonts w:hint="eastAsia" w:ascii="仿宋_GB2312" w:hAnsi="宋体" w:eastAsia="仿宋_GB2312"/>
          <w:szCs w:val="21"/>
          <w:highlight w:val="none"/>
        </w:rPr>
        <w:fldChar w:fldCharType="end"/>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宋体" w:eastAsia="仿宋_GB2312"/>
          <w:szCs w:val="21"/>
          <w:highlight w:val="none"/>
        </w:rPr>
        <w:fldChar w:fldCharType="end"/>
      </w:r>
      <w:r>
        <w:rPr>
          <w:rFonts w:hint="eastAsia" w:ascii="仿宋_GB2312" w:hAnsi="华文细黑" w:eastAsia="仿宋_GB2312"/>
          <w:bCs/>
          <w:caps/>
          <w:szCs w:val="21"/>
          <w:highlight w:val="none"/>
        </w:rPr>
        <w:t>（一）《</w:t>
      </w:r>
      <w:r>
        <w:rPr>
          <w:rFonts w:hint="eastAsia" w:ascii="仿宋_GB2312" w:hAnsi="华文细黑" w:eastAsia="仿宋_GB2312"/>
          <w:bCs/>
          <w:caps/>
          <w:szCs w:val="21"/>
          <w:highlight w:val="none"/>
          <w:lang w:eastAsia="zh-CN"/>
        </w:rPr>
        <w:t>兴国县人民法院司法技术委托书</w:t>
      </w:r>
      <w:r>
        <w:rPr>
          <w:rFonts w:hint="eastAsia" w:ascii="仿宋_GB2312" w:hAnsi="华文细黑" w:eastAsia="仿宋_GB2312"/>
          <w:bCs/>
          <w:caps/>
          <w:szCs w:val="21"/>
          <w:highlight w:val="none"/>
        </w:rPr>
        <w:t>》复印件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（二）估价对象位置图</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（三）估价对象现状照片</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（四）估价对象产权材料（复印件）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（五）评估机构《营业执照》（复印件）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（六）房地产评估机构</w:t>
      </w:r>
      <w:r>
        <w:rPr>
          <w:rFonts w:hint="eastAsia" w:ascii="仿宋_GB2312" w:hAnsi="华文细黑" w:eastAsia="仿宋_GB2312"/>
          <w:bCs/>
          <w:caps/>
          <w:szCs w:val="21"/>
          <w:highlight w:val="none"/>
          <w:lang w:eastAsia="zh-CN"/>
        </w:rPr>
        <w:t>备案</w:t>
      </w:r>
      <w:r>
        <w:rPr>
          <w:rFonts w:hint="eastAsia" w:ascii="仿宋_GB2312" w:hAnsi="华文细黑" w:eastAsia="仿宋_GB2312"/>
          <w:bCs/>
          <w:caps/>
          <w:szCs w:val="21"/>
          <w:highlight w:val="none"/>
        </w:rPr>
        <w:t>证书（复印件）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（七）房地产估价师注册证书（复印件）</w:t>
      </w:r>
    </w:p>
    <w:p>
      <w:pPr>
        <w:spacing w:line="500" w:lineRule="exact"/>
        <w:rPr>
          <w:rFonts w:hint="eastAsia" w:ascii="仿宋_GB2312" w:hAnsi="宋体" w:eastAsia="仿宋_GB2312"/>
          <w:sz w:val="28"/>
          <w:szCs w:val="28"/>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rPr>
          <w:rFonts w:hint="eastAsia" w:ascii="仿宋_GB2312" w:eastAsia="仿宋_GB2312"/>
          <w:b/>
          <w:highlight w:val="none"/>
        </w:rPr>
      </w:pPr>
      <w:bookmarkStart w:id="0" w:name="_Toc31399"/>
      <w:bookmarkStart w:id="1" w:name="_Toc2746"/>
      <w:bookmarkStart w:id="2" w:name="_Toc517794682"/>
      <w:bookmarkStart w:id="3" w:name="_Toc517794424"/>
      <w:r>
        <w:rPr>
          <w:rFonts w:hint="eastAsia" w:ascii="仿宋_GB2312" w:eastAsia="仿宋_GB2312"/>
          <w:b/>
          <w:highlight w:val="none"/>
        </w:rPr>
        <w:br w:type="page"/>
      </w:r>
    </w:p>
    <w:p>
      <w:pPr>
        <w:pStyle w:val="2"/>
        <w:spacing w:after="93" w:line="520" w:lineRule="exact"/>
        <w:rPr>
          <w:rFonts w:hint="eastAsia" w:ascii="仿宋_GB2312" w:eastAsia="仿宋_GB2312"/>
          <w:b/>
          <w:highlight w:val="none"/>
        </w:rPr>
      </w:pPr>
      <w:r>
        <w:rPr>
          <w:rFonts w:hint="eastAsia" w:ascii="仿宋_GB2312" w:eastAsia="仿宋_GB2312"/>
          <w:b/>
          <w:highlight w:val="none"/>
        </w:rPr>
        <w:t>一、估价师声明</w:t>
      </w:r>
      <w:bookmarkEnd w:id="0"/>
      <w:bookmarkEnd w:id="1"/>
      <w:bookmarkEnd w:id="2"/>
      <w:bookmarkEnd w:id="3"/>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我们根据自己的专业知识和职业道德，在此郑重声明：</w:t>
      </w:r>
    </w:p>
    <w:p>
      <w:pPr>
        <w:spacing w:line="420" w:lineRule="exact"/>
        <w:rPr>
          <w:rFonts w:hint="eastAsia" w:ascii="仿宋_GB2312" w:hAnsi="宋体" w:eastAsia="仿宋_GB2312"/>
          <w:sz w:val="28"/>
          <w:szCs w:val="28"/>
          <w:highlight w:val="none"/>
        </w:rPr>
      </w:pPr>
      <w:r>
        <w:rPr>
          <w:rFonts w:hint="eastAsia" w:ascii="仿宋_GB2312" w:hAnsi="宋体" w:eastAsia="仿宋_GB2312"/>
          <w:sz w:val="30"/>
          <w:highlight w:val="none"/>
        </w:rPr>
        <w:t xml:space="preserve"> </w:t>
      </w:r>
      <w:r>
        <w:rPr>
          <w:rFonts w:hint="eastAsia" w:ascii="仿宋_GB2312" w:hAnsi="宋体" w:eastAsia="仿宋_GB2312"/>
          <w:sz w:val="28"/>
          <w:szCs w:val="28"/>
          <w:highlight w:val="none"/>
        </w:rPr>
        <w:t xml:space="preserve">   1、我们在本估价报告中对事实的陈述是真实的、准确的，没有虚假记载、误导性陈述和重大遗漏。</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2、估价报告中的分析</w:t>
      </w: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rPr>
        <w:t>意见和结论，是我</w:t>
      </w:r>
      <w:r>
        <w:rPr>
          <w:rFonts w:hint="eastAsia" w:ascii="仿宋_GB2312" w:hAnsi="宋体" w:eastAsia="仿宋_GB2312"/>
          <w:sz w:val="28"/>
          <w:szCs w:val="28"/>
          <w:highlight w:val="none"/>
          <w:lang w:eastAsia="zh-CN"/>
        </w:rPr>
        <w:t>们</w:t>
      </w:r>
      <w:r>
        <w:rPr>
          <w:rFonts w:hint="eastAsia" w:ascii="仿宋_GB2312" w:hAnsi="宋体" w:eastAsia="仿宋_GB2312"/>
          <w:sz w:val="28"/>
          <w:szCs w:val="28"/>
          <w:highlight w:val="none"/>
        </w:rPr>
        <w:t>公正的专业分析、意见和结论，但要受估价报告中已说明的假设和限制条件的限制和影响。</w:t>
      </w:r>
    </w:p>
    <w:p>
      <w:pPr>
        <w:spacing w:line="46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3、我们与本估价报告中的估价对象没有现实或潜在的利益，与估价委托人及估价利害关系人没有利害关系，也对估价对象、估价委托人及估价利害关系人没有偏见。</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4、我们依照中华人民共和国国家标准《房地产估价规范》、《房地产估价基本术语标准》以及相关房地产估价专项标准进行分析，形成意见和结论，撰写本估价报告。</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5、本估价报告中，除使用政府部门、行业公布的价格资料和公开市场价格信息外，主要依据估价委托人提供的有关资料，包括但不限于其提供的权属证件等复印件，估价委托人应对其提供的全部资料</w:t>
      </w:r>
      <w:r>
        <w:rPr>
          <w:rFonts w:hint="eastAsia" w:ascii="仿宋_GB2312" w:hAnsi="宋体" w:eastAsia="仿宋_GB2312"/>
          <w:sz w:val="28"/>
          <w:szCs w:val="28"/>
          <w:highlight w:val="none"/>
          <w:lang w:eastAsia="zh-CN"/>
        </w:rPr>
        <w:t>和领勘指界</w:t>
      </w:r>
      <w:r>
        <w:rPr>
          <w:rFonts w:hint="eastAsia" w:ascii="仿宋_GB2312" w:hAnsi="宋体" w:eastAsia="仿宋_GB2312"/>
          <w:sz w:val="28"/>
          <w:szCs w:val="28"/>
          <w:highlight w:val="none"/>
        </w:rPr>
        <w:t>的真实性、</w:t>
      </w:r>
      <w:r>
        <w:rPr>
          <w:rFonts w:hint="eastAsia" w:ascii="仿宋_GB2312" w:hAnsi="宋体" w:eastAsia="仿宋_GB2312"/>
          <w:sz w:val="28"/>
          <w:szCs w:val="28"/>
          <w:highlight w:val="none"/>
          <w:lang w:eastAsia="zh-CN"/>
        </w:rPr>
        <w:t>准确性、</w:t>
      </w:r>
      <w:r>
        <w:rPr>
          <w:rFonts w:hint="eastAsia" w:ascii="仿宋_GB2312" w:hAnsi="宋体" w:eastAsia="仿宋_GB2312"/>
          <w:sz w:val="28"/>
          <w:szCs w:val="28"/>
          <w:highlight w:val="none"/>
        </w:rPr>
        <w:t>合法性和完整性承担全部法律责任。</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6、我</w:t>
      </w:r>
      <w:r>
        <w:rPr>
          <w:rFonts w:hint="eastAsia" w:ascii="仿宋_GB2312" w:hAnsi="宋体" w:eastAsia="仿宋_GB2312"/>
          <w:sz w:val="28"/>
          <w:szCs w:val="28"/>
          <w:highlight w:val="none"/>
          <w:lang w:eastAsia="zh-CN"/>
        </w:rPr>
        <w:t>司</w:t>
      </w:r>
      <w:r>
        <w:rPr>
          <w:rFonts w:hint="eastAsia" w:ascii="仿宋_GB2312" w:hAnsi="宋体" w:eastAsia="仿宋_GB2312"/>
          <w:sz w:val="28"/>
          <w:szCs w:val="28"/>
          <w:highlight w:val="none"/>
        </w:rPr>
        <w:t>估价人员已进行了实地查勘，但仅限于其外观和使用状况。估价人员不承担对估价对象的建筑结构、质量进行调查的责任和其他被遮盖、未暴露及难于触及的部分进行检视的责任。</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7、没有其他行业的专业人员对估价报告提供了重要专业帮助。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420" w:lineRule="exact"/>
        <w:ind w:left="0" w:right="0" w:firstLine="560" w:firstLineChars="200"/>
        <w:jc w:val="left"/>
        <w:rPr>
          <w:rFonts w:hint="eastAsia" w:ascii="仿宋_GB2312" w:hAnsi="Times New Roman" w:eastAsia="仿宋_GB2312" w:cs="Times New Roman"/>
          <w:i w:val="0"/>
          <w:iCs w:val="0"/>
          <w:caps w:val="0"/>
          <w:spacing w:val="0"/>
          <w:kern w:val="2"/>
          <w:sz w:val="28"/>
          <w:szCs w:val="28"/>
          <w:highlight w:val="none"/>
        </w:rPr>
      </w:pPr>
      <w:r>
        <w:rPr>
          <w:rFonts w:hint="eastAsia" w:ascii="仿宋_GB2312" w:hAnsi="宋体" w:eastAsia="仿宋_GB2312"/>
          <w:sz w:val="28"/>
          <w:szCs w:val="28"/>
          <w:highlight w:val="none"/>
        </w:rPr>
        <w:t>8、</w:t>
      </w:r>
      <w:r>
        <w:rPr>
          <w:rFonts w:eastAsia="仿宋_GB2312"/>
          <w:color w:val="000000"/>
          <w:sz w:val="28"/>
          <w:szCs w:val="28"/>
        </w:rPr>
        <w:t>若相关权利人在收到报告后对估价报告有异议，</w:t>
      </w:r>
      <w:r>
        <w:rPr>
          <w:rFonts w:hint="eastAsia" w:eastAsia="仿宋_GB2312"/>
          <w:color w:val="000000"/>
          <w:sz w:val="28"/>
          <w:szCs w:val="28"/>
        </w:rPr>
        <w:t>五</w:t>
      </w:r>
      <w:r>
        <w:rPr>
          <w:rFonts w:eastAsia="仿宋_GB2312"/>
          <w:color w:val="000000"/>
          <w:sz w:val="28"/>
          <w:szCs w:val="28"/>
        </w:rPr>
        <w:t>天内提交书面意见；逾期未提交，视为对本次估价报告无意见</w:t>
      </w:r>
      <w:r>
        <w:rPr>
          <w:rFonts w:hint="eastAsia" w:ascii="仿宋_GB2312" w:hAnsi="Times New Roman" w:eastAsia="仿宋_GB2312" w:cs="Times New Roman"/>
          <w:i w:val="0"/>
          <w:iCs w:val="0"/>
          <w:caps w:val="0"/>
          <w:spacing w:val="0"/>
          <w:kern w:val="2"/>
          <w:sz w:val="28"/>
          <w:szCs w:val="28"/>
          <w:highlight w:val="none"/>
          <w:shd w:val="clear"/>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注册房地产估价师</w:t>
      </w:r>
      <w:r>
        <w:rPr>
          <w:rFonts w:hint="eastAsia" w:ascii="仿宋_GB2312" w:hAnsi="宋体" w:eastAsia="仿宋_GB2312"/>
          <w:sz w:val="28"/>
          <w:szCs w:val="28"/>
          <w:highlight w:val="none"/>
        </w:rPr>
        <w:t>签名：</w:t>
      </w:r>
    </w:p>
    <w:tbl>
      <w:tblPr>
        <w:tblStyle w:val="26"/>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姓名</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注册号</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w:t>
            </w:r>
          </w:p>
        </w:tc>
        <w:tc>
          <w:tcPr>
            <w:tcW w:w="2879"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汪文春</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kern w:val="0"/>
                <w:sz w:val="24"/>
                <w:szCs w:val="24"/>
                <w:highlight w:val="none"/>
                <w:lang w:eastAsia="zh-CN" w:bidi="ar"/>
              </w:rPr>
            </w:pPr>
            <w:r>
              <w:rPr>
                <w:rFonts w:hint="eastAsia" w:eastAsia="仿宋_GB2312" w:cs="仿宋_GB2312"/>
                <w:kern w:val="0"/>
                <w:sz w:val="24"/>
                <w:szCs w:val="24"/>
                <w:highlight w:val="none"/>
                <w:lang w:eastAsia="zh-CN" w:bidi="ar"/>
              </w:rPr>
              <w:t>3619970062</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2022年4月24日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971"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张泗芳</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kern w:val="0"/>
                <w:sz w:val="24"/>
                <w:szCs w:val="24"/>
                <w:highlight w:val="none"/>
                <w:lang w:eastAsia="zh-CN" w:bidi="ar"/>
              </w:rPr>
              <w:t>4420110222</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2022年4月24日</w:t>
            </w:r>
          </w:p>
        </w:tc>
      </w:tr>
    </w:tbl>
    <w:p>
      <w:pPr>
        <w:spacing w:line="240" w:lineRule="exact"/>
        <w:ind w:firstLine="200"/>
        <w:jc w:val="center"/>
        <w:rPr>
          <w:rFonts w:hint="eastAsia" w:ascii="仿宋_GB2312" w:hAnsi="宋体" w:eastAsia="仿宋_GB2312"/>
          <w:bCs/>
          <w:sz w:val="28"/>
          <w:szCs w:val="28"/>
          <w:highlight w:val="none"/>
        </w:rPr>
      </w:pPr>
    </w:p>
    <w:p>
      <w:pPr>
        <w:pStyle w:val="2"/>
        <w:spacing w:after="93" w:line="520" w:lineRule="exact"/>
        <w:rPr>
          <w:rFonts w:hint="eastAsia" w:ascii="仿宋_GB2312" w:hAnsi="宋体" w:eastAsia="仿宋_GB2312"/>
          <w:b/>
          <w:highlight w:val="none"/>
        </w:rPr>
      </w:pPr>
      <w:bookmarkStart w:id="4" w:name="_Toc517794683"/>
      <w:bookmarkStart w:id="5" w:name="_Toc517794425"/>
      <w:bookmarkStart w:id="6" w:name="_Toc29444"/>
      <w:bookmarkStart w:id="7" w:name="_Toc18427"/>
      <w:r>
        <w:rPr>
          <w:rFonts w:hint="eastAsia" w:ascii="仿宋_GB2312" w:eastAsia="仿宋_GB2312"/>
          <w:b/>
          <w:highlight w:val="none"/>
        </w:rPr>
        <w:t>二、估价的假设和限制条件</w:t>
      </w:r>
      <w:bookmarkEnd w:id="4"/>
      <w:bookmarkEnd w:id="5"/>
      <w:bookmarkEnd w:id="6"/>
      <w:bookmarkEnd w:id="7"/>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一、一般性假设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1、估价对象产权明晰，手续齐全，可在公开市场上自由转让。</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2、估价对象合法、持续使用；市场供应关系、市场结构保持稳定、未发生重大变化或实质性改变。</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4、估价委托人提供了估价对象的</w:t>
      </w:r>
      <w:r>
        <w:rPr>
          <w:rFonts w:hint="eastAsia" w:ascii="仿宋_GB2312" w:hAnsi="仿宋" w:eastAsia="仿宋_GB2312" w:cs="Times New Roman"/>
          <w:sz w:val="28"/>
          <w:szCs w:val="28"/>
          <w:highlight w:val="none"/>
          <w:lang w:eastAsia="zh-CN"/>
        </w:rPr>
        <w:t>《兴国县不动产登记情况查询证明》</w:t>
      </w:r>
      <w:r>
        <w:rPr>
          <w:rFonts w:hint="eastAsia" w:ascii="仿宋_GB2312" w:hAnsi="仿宋" w:eastAsia="仿宋_GB2312" w:cs="Times New Roman"/>
          <w:sz w:val="28"/>
          <w:szCs w:val="28"/>
          <w:highlight w:val="none"/>
        </w:rPr>
        <w:t>，我们对记载的权属、面积、用途等资料进行了必要的审慎检查，在无理由怀疑其合法性、真实性、准确性和完整性的情况下，假定估价委托人提供的资料合法、真实、准确、完整。</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5、估价人员对估价对象仅进行了外观和利用状况的现场查勘，对被遮盖、未暴露及隐蔽工程未能进行专业的测试和检验，在估价过程中</w:t>
      </w:r>
      <w:r>
        <w:rPr>
          <w:rFonts w:hint="eastAsia" w:ascii="仿宋_GB2312" w:hAnsi="仿宋" w:eastAsia="仿宋_GB2312" w:cs="Times New Roman"/>
          <w:sz w:val="28"/>
          <w:szCs w:val="28"/>
          <w:highlight w:val="none"/>
          <w:lang w:eastAsia="zh-CN"/>
        </w:rPr>
        <w:t>我们对房屋安全等影响估价对象价值或价格的重大因素给予了关注，在无理由怀疑估价对象存在安全隐患且无相应的专业机构进行鉴定、检测的情况下</w:t>
      </w:r>
      <w:r>
        <w:rPr>
          <w:rFonts w:hint="eastAsia" w:ascii="仿宋_GB2312" w:hAnsi="仿宋" w:eastAsia="仿宋_GB2312" w:cs="Times New Roman"/>
          <w:sz w:val="28"/>
          <w:szCs w:val="28"/>
          <w:highlight w:val="none"/>
        </w:rPr>
        <w:t>，本次估价对被遮盖、未暴露及隐蔽工程以其状况良好为假设前提。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lang w:val="en-US" w:eastAsia="zh-CN"/>
        </w:rPr>
      </w:pPr>
      <w:r>
        <w:rPr>
          <w:rFonts w:hint="eastAsia" w:ascii="仿宋_GB2312" w:hAnsi="仿宋" w:eastAsia="仿宋_GB2312" w:cs="Times New Roman"/>
          <w:sz w:val="28"/>
          <w:szCs w:val="28"/>
          <w:highlight w:val="none"/>
          <w:lang w:val="en-US" w:eastAsia="zh-CN"/>
        </w:rPr>
        <w:t>6、估价委托人提供的资料中未明确存在欠缴税金及相关费用，本次估价以估价对象不存在欠缴税金及相关费用为假设前提。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lang w:val="en-US" w:eastAsia="zh-CN"/>
        </w:rPr>
      </w:pPr>
      <w:r>
        <w:rPr>
          <w:rFonts w:hint="eastAsia" w:ascii="仿宋_GB2312" w:hAnsi="仿宋" w:eastAsia="仿宋_GB2312" w:cs="Times New Roman"/>
          <w:sz w:val="28"/>
          <w:szCs w:val="28"/>
          <w:highlight w:val="none"/>
          <w:lang w:val="en-US" w:eastAsia="zh-CN"/>
        </w:rPr>
        <w:t>7、估价委托人提供的资料中未明确存在租赁权、用益物权及占有使用情况，</w:t>
      </w:r>
      <w:r>
        <w:rPr>
          <w:rFonts w:hint="eastAsia" w:ascii="仿宋_GB2312" w:eastAsia="仿宋_GB2312"/>
          <w:sz w:val="28"/>
          <w:szCs w:val="28"/>
          <w:highlight w:val="none"/>
        </w:rPr>
        <w:t>估价人员</w:t>
      </w:r>
      <w:r>
        <w:rPr>
          <w:rFonts w:hint="eastAsia" w:ascii="仿宋_GB2312" w:eastAsia="仿宋_GB2312"/>
          <w:sz w:val="28"/>
          <w:szCs w:val="28"/>
          <w:highlight w:val="none"/>
          <w:lang w:eastAsia="zh-CN"/>
        </w:rPr>
        <w:t>经过</w:t>
      </w:r>
      <w:r>
        <w:rPr>
          <w:rFonts w:hint="eastAsia" w:ascii="仿宋_GB2312" w:eastAsia="仿宋_GB2312"/>
          <w:sz w:val="28"/>
          <w:szCs w:val="28"/>
          <w:highlight w:val="none"/>
        </w:rPr>
        <w:t>现场查勘</w:t>
      </w:r>
      <w:r>
        <w:rPr>
          <w:rFonts w:hint="eastAsia" w:ascii="仿宋_GB2312" w:eastAsia="仿宋_GB2312"/>
          <w:sz w:val="28"/>
          <w:szCs w:val="28"/>
          <w:highlight w:val="none"/>
          <w:lang w:eastAsia="zh-CN"/>
        </w:rPr>
        <w:t>和尽职调查后也未发现</w:t>
      </w:r>
      <w:r>
        <w:rPr>
          <w:rFonts w:hint="eastAsia" w:ascii="仿宋_GB2312" w:hAnsi="Times New Roman" w:eastAsia="仿宋_GB2312" w:cs="Times New Roman"/>
          <w:i w:val="0"/>
          <w:iCs w:val="0"/>
          <w:caps w:val="0"/>
          <w:spacing w:val="0"/>
          <w:sz w:val="28"/>
          <w:szCs w:val="28"/>
          <w:highlight w:val="none"/>
          <w:shd w:val="clear"/>
        </w:rPr>
        <w:t>存在租赁权、用益物权及占有使用情况</w:t>
      </w:r>
      <w:r>
        <w:rPr>
          <w:rFonts w:hint="eastAsia" w:ascii="仿宋_GB2312" w:hAnsi="Times New Roman" w:eastAsia="仿宋_GB2312" w:cs="Times New Roman"/>
          <w:i w:val="0"/>
          <w:iCs w:val="0"/>
          <w:caps w:val="0"/>
          <w:spacing w:val="0"/>
          <w:sz w:val="28"/>
          <w:szCs w:val="28"/>
          <w:highlight w:val="none"/>
          <w:shd w:val="clear"/>
          <w:lang w:eastAsia="zh-CN"/>
        </w:rPr>
        <w:t>，</w:t>
      </w:r>
      <w:r>
        <w:rPr>
          <w:rFonts w:hint="eastAsia" w:ascii="仿宋_GB2312" w:eastAsia="仿宋_GB2312"/>
          <w:sz w:val="28"/>
          <w:szCs w:val="28"/>
          <w:highlight w:val="none"/>
          <w:lang w:eastAsia="zh-CN"/>
        </w:rPr>
        <w:t>本次</w:t>
      </w:r>
      <w:r>
        <w:rPr>
          <w:rFonts w:hint="eastAsia" w:ascii="仿宋_GB2312" w:hAnsi="仿宋" w:eastAsia="仿宋_GB2312" w:cs="Times New Roman"/>
          <w:sz w:val="28"/>
          <w:szCs w:val="28"/>
          <w:highlight w:val="none"/>
          <w:lang w:val="en-US" w:eastAsia="zh-CN"/>
        </w:rPr>
        <w:t>估价以估价对象</w:t>
      </w:r>
      <w:r>
        <w:rPr>
          <w:rFonts w:hint="eastAsia" w:ascii="仿宋_GB2312" w:eastAsia="仿宋_GB2312"/>
          <w:sz w:val="28"/>
          <w:szCs w:val="28"/>
          <w:highlight w:val="none"/>
          <w:lang w:eastAsia="zh-CN"/>
        </w:rPr>
        <w:t>不存在租赁权、用益物权及占有使用情况</w:t>
      </w:r>
      <w:r>
        <w:rPr>
          <w:rFonts w:hint="eastAsia" w:ascii="仿宋_GB2312" w:hAnsi="仿宋" w:eastAsia="仿宋_GB2312" w:cs="Times New Roman"/>
          <w:sz w:val="28"/>
          <w:szCs w:val="28"/>
          <w:highlight w:val="none"/>
          <w:lang w:val="en-US" w:eastAsia="zh-CN"/>
        </w:rPr>
        <w:t>为假设前提</w:t>
      </w:r>
      <w:r>
        <w:rPr>
          <w:rFonts w:hint="eastAsia" w:ascii="仿宋_GB2312" w:eastAsia="仿宋_GB2312"/>
          <w:sz w:val="28"/>
          <w:szCs w:val="28"/>
          <w:highlight w:val="none"/>
          <w:lang w:eastAsia="zh-CN"/>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二、未定事项假设</w:t>
      </w:r>
    </w:p>
    <w:p>
      <w:pPr>
        <w:keepNext w:val="0"/>
        <w:keepLines w:val="0"/>
        <w:pageBreakBefore w:val="0"/>
        <w:widowControl w:val="0"/>
        <w:tabs>
          <w:tab w:val="left" w:pos="426"/>
          <w:tab w:val="left" w:pos="1065"/>
        </w:tabs>
        <w:kinsoku/>
        <w:wordWrap/>
        <w:overflowPunct/>
        <w:topLinePunct w:val="0"/>
        <w:autoSpaceDE/>
        <w:autoSpaceDN/>
        <w:bidi w:val="0"/>
        <w:adjustRightInd w:val="0"/>
        <w:snapToGrid w:val="0"/>
        <w:spacing w:line="520" w:lineRule="exact"/>
        <w:ind w:right="68" w:firstLine="548" w:firstLineChars="196"/>
        <w:textAlignment w:val="auto"/>
        <w:rPr>
          <w:rFonts w:hint="eastAsia" w:ascii="仿宋_GB2312" w:eastAsia="仿宋_GB2312"/>
          <w:snapToGrid w:val="0"/>
          <w:spacing w:val="4"/>
          <w:sz w:val="28"/>
          <w:szCs w:val="28"/>
        </w:rPr>
      </w:pPr>
      <w:r>
        <w:rPr>
          <w:rFonts w:hint="eastAsia" w:ascii="仿宋_GB2312" w:eastAsia="仿宋_GB2312"/>
          <w:sz w:val="28"/>
          <w:szCs w:val="28"/>
        </w:rPr>
        <w:t>本次估价</w:t>
      </w:r>
      <w:r>
        <w:rPr>
          <w:rFonts w:hint="eastAsia" w:ascii="仿宋_GB2312" w:eastAsia="仿宋_GB2312"/>
          <w:sz w:val="28"/>
          <w:szCs w:val="28"/>
          <w:lang w:eastAsia="zh-CN"/>
        </w:rPr>
        <w:t>对象已被法院查封，</w:t>
      </w:r>
      <w:r>
        <w:rPr>
          <w:rFonts w:hint="eastAsia" w:ascii="仿宋_GB2312" w:hAnsi="宋体" w:eastAsia="仿宋_GB2312"/>
          <w:sz w:val="28"/>
          <w:szCs w:val="28"/>
        </w:rPr>
        <w:t>考虑到本次估价目的，本次评估未考虑他项权利对房地产价值的影响，提请</w:t>
      </w:r>
      <w:r>
        <w:rPr>
          <w:rFonts w:hint="eastAsia" w:ascii="仿宋_GB2312" w:eastAsia="仿宋_GB2312"/>
          <w:snapToGrid w:val="0"/>
          <w:spacing w:val="4"/>
          <w:sz w:val="28"/>
          <w:szCs w:val="28"/>
          <w:lang w:eastAsia="zh-CN"/>
        </w:rPr>
        <w:t>报告使用人</w:t>
      </w:r>
      <w:r>
        <w:rPr>
          <w:rFonts w:hint="eastAsia" w:ascii="仿宋_GB2312" w:hAnsi="宋体" w:eastAsia="仿宋_GB2312"/>
          <w:sz w:val="28"/>
          <w:szCs w:val="28"/>
        </w:rPr>
        <w:t>注意</w:t>
      </w:r>
      <w:r>
        <w:rPr>
          <w:rFonts w:hint="eastAsia" w:ascii="仿宋_GB2312" w:eastAsia="仿宋_GB2312"/>
          <w:snapToGrid w:val="0"/>
          <w:spacing w:val="4"/>
          <w:sz w:val="28"/>
          <w:szCs w:val="28"/>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三、背离事实假设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0" w:firstLineChars="200"/>
        <w:jc w:val="left"/>
        <w:rPr>
          <w:rFonts w:hint="eastAsia" w:ascii="仿宋_GB2312" w:hAnsi="仿宋" w:eastAsia="仿宋_GB2312" w:cs="Times New Roman"/>
          <w:snapToGrid/>
          <w:spacing w:val="0"/>
          <w:sz w:val="28"/>
          <w:szCs w:val="28"/>
          <w:highlight w:val="none"/>
        </w:rPr>
      </w:pPr>
      <w:r>
        <w:rPr>
          <w:rFonts w:hint="eastAsia" w:ascii="仿宋_GB2312" w:hAnsi="仿宋" w:eastAsia="仿宋_GB2312" w:cs="Times New Roman"/>
          <w:snapToGrid/>
          <w:spacing w:val="0"/>
          <w:sz w:val="28"/>
          <w:szCs w:val="28"/>
          <w:highlight w:val="none"/>
          <w:lang w:eastAsia="zh-CN"/>
        </w:rPr>
        <w:t>本次估价不存在背离事实假设</w:t>
      </w:r>
      <w:r>
        <w:rPr>
          <w:rFonts w:hint="eastAsia" w:ascii="仿宋_GB2312" w:hAnsi="仿宋" w:eastAsia="仿宋_GB2312" w:cs="Times New Roman"/>
          <w:snapToGrid/>
          <w:spacing w:val="0"/>
          <w:sz w:val="28"/>
          <w:szCs w:val="28"/>
          <w:highlight w:val="none"/>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四、不相一致假设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napToGrid/>
          <w:spacing w:val="0"/>
          <w:sz w:val="28"/>
          <w:szCs w:val="28"/>
          <w:highlight w:val="none"/>
          <w:lang w:eastAsia="zh-CN"/>
        </w:rPr>
      </w:pPr>
      <w:r>
        <w:rPr>
          <w:rFonts w:hint="eastAsia" w:ascii="仿宋_GB2312" w:hAnsi="仿宋" w:eastAsia="仿宋_GB2312" w:cs="Times New Roman"/>
          <w:snapToGrid/>
          <w:spacing w:val="0"/>
          <w:sz w:val="28"/>
          <w:szCs w:val="28"/>
          <w:highlight w:val="none"/>
          <w:lang w:eastAsia="zh-CN"/>
        </w:rPr>
        <w:t>本次估价不存在不相一致假设。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五、依据不足假设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lang w:val="en-US" w:eastAsia="zh-CN"/>
        </w:rPr>
      </w:pPr>
      <w:r>
        <w:rPr>
          <w:rFonts w:hint="eastAsia" w:ascii="仿宋_GB2312" w:hAnsi="仿宋" w:eastAsia="仿宋_GB2312" w:cs="Times New Roman"/>
          <w:sz w:val="28"/>
          <w:szCs w:val="28"/>
          <w:highlight w:val="none"/>
          <w:lang w:val="en-US" w:eastAsia="zh-CN"/>
        </w:rPr>
        <w:t>本次估价委托人提供的资料中未记载建筑物的建成年份，经估价人员现场查勘得估价对象约建成于2010年,仅限于本报告中使用，不作其它任何用途。</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六、估价报告使用限制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sz w:val="28"/>
          <w:szCs w:val="28"/>
          <w:highlight w:val="none"/>
        </w:rPr>
        <w:t>1、本估价报告仅为</w:t>
      </w:r>
      <w:r>
        <w:rPr>
          <w:rFonts w:hint="eastAsia" w:ascii="仿宋_GB2312" w:hAnsi="仿宋" w:eastAsia="仿宋_GB2312" w:cs="Times New Roman"/>
          <w:b/>
          <w:bCs/>
          <w:sz w:val="28"/>
          <w:szCs w:val="28"/>
          <w:highlight w:val="none"/>
          <w:lang w:eastAsia="zh-CN"/>
        </w:rPr>
        <w:t>兴国县人民法院</w:t>
      </w:r>
      <w:r>
        <w:rPr>
          <w:rFonts w:hint="eastAsia" w:ascii="仿宋_GB2312" w:hAnsi="仿宋" w:eastAsia="仿宋_GB2312" w:cs="Times New Roman"/>
          <w:sz w:val="28"/>
          <w:szCs w:val="28"/>
          <w:highlight w:val="none"/>
          <w:lang w:eastAsia="zh-CN"/>
        </w:rPr>
        <w:t>确定财产</w:t>
      </w:r>
      <w:r>
        <w:rPr>
          <w:rFonts w:hint="eastAsia" w:ascii="仿宋_GB2312" w:hAnsi="仿宋" w:eastAsia="仿宋_GB2312" w:cs="Times New Roman"/>
          <w:sz w:val="28"/>
          <w:szCs w:val="28"/>
          <w:highlight w:val="none"/>
        </w:rPr>
        <w:t>处置</w:t>
      </w:r>
      <w:r>
        <w:rPr>
          <w:rFonts w:hint="eastAsia" w:ascii="仿宋_GB2312" w:hAnsi="仿宋" w:eastAsia="仿宋_GB2312" w:cs="Times New Roman"/>
          <w:sz w:val="28"/>
          <w:szCs w:val="28"/>
          <w:highlight w:val="none"/>
          <w:lang w:eastAsia="zh-CN"/>
        </w:rPr>
        <w:t>参考价</w:t>
      </w:r>
      <w:r>
        <w:rPr>
          <w:rFonts w:hint="eastAsia" w:ascii="仿宋_GB2312" w:hAnsi="仿宋" w:eastAsia="仿宋_GB2312" w:cs="Times New Roman"/>
          <w:sz w:val="28"/>
          <w:szCs w:val="28"/>
          <w:highlight w:val="none"/>
        </w:rPr>
        <w:t>提供</w:t>
      </w:r>
      <w:r>
        <w:rPr>
          <w:rFonts w:hint="eastAsia" w:ascii="仿宋_GB2312" w:hAnsi="仿宋" w:eastAsia="仿宋_GB2312" w:cs="Times New Roman"/>
          <w:sz w:val="28"/>
          <w:szCs w:val="28"/>
          <w:highlight w:val="none"/>
          <w:lang w:eastAsia="zh-CN"/>
        </w:rPr>
        <w:t>参考</w:t>
      </w:r>
      <w:r>
        <w:rPr>
          <w:rFonts w:hint="eastAsia" w:ascii="仿宋_GB2312" w:hAnsi="仿宋" w:eastAsia="仿宋_GB2312" w:cs="Times New Roman"/>
          <w:sz w:val="28"/>
          <w:szCs w:val="28"/>
          <w:highlight w:val="none"/>
        </w:rPr>
        <w:t>依据，不作它用；</w:t>
      </w:r>
      <w:r>
        <w:rPr>
          <w:rFonts w:hint="eastAsia" w:ascii="仿宋_GB2312" w:hAnsi="仿宋" w:eastAsia="仿宋_GB2312" w:cs="Times New Roman"/>
          <w:kern w:val="2"/>
          <w:sz w:val="28"/>
          <w:szCs w:val="28"/>
          <w:highlight w:val="none"/>
          <w:lang w:val="en-US" w:eastAsia="zh-CN"/>
        </w:rPr>
        <w:t>报告使用人</w:t>
      </w:r>
      <w:r>
        <w:rPr>
          <w:rFonts w:hint="eastAsia" w:ascii="仿宋_GB2312" w:hAnsi="仿宋" w:eastAsia="仿宋_GB2312" w:cs="Times New Roman"/>
          <w:i w:val="0"/>
          <w:iCs w:val="0"/>
          <w:caps w:val="0"/>
          <w:spacing w:val="0"/>
          <w:sz w:val="28"/>
          <w:szCs w:val="28"/>
          <w:highlight w:val="none"/>
          <w:shd w:val="clear"/>
        </w:rPr>
        <w:t>应当按照法律规定和报告</w:t>
      </w:r>
      <w:r>
        <w:rPr>
          <w:rFonts w:hint="eastAsia" w:ascii="仿宋_GB2312" w:hAnsi="仿宋" w:eastAsia="仿宋_GB2312" w:cs="Times New Roman"/>
          <w:i w:val="0"/>
          <w:iCs w:val="0"/>
          <w:caps w:val="0"/>
          <w:spacing w:val="0"/>
          <w:kern w:val="2"/>
          <w:sz w:val="28"/>
          <w:szCs w:val="28"/>
          <w:highlight w:val="none"/>
          <w:shd w:val="clear"/>
          <w:lang w:eastAsia="zh-CN"/>
        </w:rPr>
        <w:t>所</w:t>
      </w:r>
      <w:r>
        <w:rPr>
          <w:rFonts w:hint="eastAsia" w:ascii="仿宋_GB2312" w:hAnsi="仿宋" w:eastAsia="仿宋_GB2312" w:cs="Times New Roman"/>
          <w:i w:val="0"/>
          <w:iCs w:val="0"/>
          <w:caps w:val="0"/>
          <w:spacing w:val="0"/>
          <w:sz w:val="28"/>
          <w:szCs w:val="28"/>
          <w:highlight w:val="none"/>
          <w:shd w:val="clear"/>
        </w:rPr>
        <w:t>载明的用途、使用人、使用期限等使用范围使用</w:t>
      </w:r>
      <w:r>
        <w:rPr>
          <w:rFonts w:hint="eastAsia" w:ascii="仿宋_GB2312" w:hAnsi="仿宋" w:eastAsia="仿宋_GB2312" w:cs="Times New Roman"/>
          <w:i w:val="0"/>
          <w:iCs w:val="0"/>
          <w:caps w:val="0"/>
          <w:spacing w:val="0"/>
          <w:kern w:val="2"/>
          <w:sz w:val="28"/>
          <w:szCs w:val="28"/>
          <w:highlight w:val="none"/>
          <w:shd w:val="clear"/>
          <w:lang w:eastAsia="zh-CN"/>
        </w:rPr>
        <w:t>本估价</w:t>
      </w:r>
      <w:r>
        <w:rPr>
          <w:rFonts w:hint="eastAsia" w:ascii="仿宋_GB2312" w:hAnsi="仿宋" w:eastAsia="仿宋_GB2312" w:cs="Times New Roman"/>
          <w:i w:val="0"/>
          <w:iCs w:val="0"/>
          <w:caps w:val="0"/>
          <w:spacing w:val="0"/>
          <w:sz w:val="28"/>
          <w:szCs w:val="28"/>
          <w:highlight w:val="none"/>
          <w:shd w:val="clear"/>
        </w:rPr>
        <w:t>报告</w:t>
      </w:r>
      <w:r>
        <w:rPr>
          <w:rFonts w:hint="eastAsia" w:ascii="仿宋_GB2312" w:hAnsi="仿宋" w:eastAsia="仿宋_GB2312" w:cs="Times New Roman"/>
          <w:i w:val="0"/>
          <w:iCs w:val="0"/>
          <w:caps w:val="0"/>
          <w:spacing w:val="0"/>
          <w:sz w:val="28"/>
          <w:szCs w:val="28"/>
          <w:highlight w:val="none"/>
          <w:shd w:val="clear"/>
          <w:lang w:eastAsia="zh-CN"/>
        </w:rPr>
        <w:t>；</w:t>
      </w:r>
      <w:r>
        <w:rPr>
          <w:rFonts w:hint="eastAsia" w:ascii="仿宋_GB2312" w:hAnsi="仿宋" w:eastAsia="仿宋_GB2312" w:cs="Times New Roman"/>
          <w:i w:val="0"/>
          <w:iCs w:val="0"/>
          <w:caps w:val="0"/>
          <w:spacing w:val="0"/>
          <w:sz w:val="28"/>
          <w:szCs w:val="28"/>
          <w:highlight w:val="none"/>
          <w:shd w:val="clear"/>
        </w:rPr>
        <w:t>否则，房地产估价机构和注册房地产估价师依法不承担责任</w:t>
      </w:r>
      <w:r>
        <w:rPr>
          <w:rFonts w:hint="eastAsia" w:ascii="仿宋_GB2312" w:hAnsi="仿宋" w:eastAsia="仿宋_GB2312" w:cs="Times New Roman"/>
          <w:i w:val="0"/>
          <w:iCs w:val="0"/>
          <w:caps w:val="0"/>
          <w:spacing w:val="0"/>
          <w:kern w:val="2"/>
          <w:sz w:val="28"/>
          <w:szCs w:val="28"/>
          <w:highlight w:val="none"/>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sz w:val="28"/>
          <w:szCs w:val="28"/>
          <w:highlight w:val="none"/>
          <w:lang w:val="en-US" w:eastAsia="zh-CN"/>
        </w:rPr>
        <w:t>2、</w:t>
      </w:r>
      <w:r>
        <w:rPr>
          <w:rFonts w:hint="eastAsia" w:ascii="仿宋_GB2312" w:hAnsi="仿宋" w:eastAsia="仿宋_GB2312" w:cs="Times New Roman"/>
          <w:sz w:val="28"/>
          <w:szCs w:val="28"/>
          <w:highlight w:val="none"/>
        </w:rPr>
        <w:t>本估价报告自出具之日起一年内有效</w:t>
      </w:r>
      <w:r>
        <w:rPr>
          <w:rFonts w:hint="eastAsia" w:ascii="仿宋_GB2312" w:hAnsi="仿宋" w:eastAsia="仿宋_GB2312" w:cs="Times New Roman"/>
          <w:sz w:val="28"/>
          <w:szCs w:val="28"/>
          <w:highlight w:val="none"/>
          <w:lang w:eastAsia="zh-CN"/>
        </w:rPr>
        <w:t>。</w:t>
      </w:r>
      <w:r>
        <w:rPr>
          <w:rFonts w:hint="eastAsia" w:ascii="仿宋_GB2312" w:hAnsi="仿宋" w:eastAsia="仿宋_GB2312" w:cs="Times New Roman"/>
          <w:i w:val="0"/>
          <w:iCs w:val="0"/>
          <w:caps w:val="0"/>
          <w:spacing w:val="0"/>
          <w:sz w:val="28"/>
          <w:szCs w:val="28"/>
          <w:highlight w:val="none"/>
          <w:shd w:val="clear"/>
        </w:rPr>
        <w:t>在报告使用期限</w:t>
      </w:r>
      <w:r>
        <w:rPr>
          <w:rFonts w:hint="eastAsia" w:ascii="仿宋_GB2312" w:hAnsi="仿宋" w:eastAsia="仿宋_GB2312" w:cs="Times New Roman"/>
          <w:i w:val="0"/>
          <w:iCs w:val="0"/>
          <w:caps w:val="0"/>
          <w:spacing w:val="0"/>
          <w:sz w:val="28"/>
          <w:szCs w:val="28"/>
          <w:highlight w:val="none"/>
          <w:shd w:val="clear"/>
          <w:lang w:eastAsia="zh-CN"/>
        </w:rPr>
        <w:t>及</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结果有效期内，</w:t>
      </w:r>
      <w:r>
        <w:rPr>
          <w:rFonts w:hint="eastAsia" w:ascii="仿宋_GB2312" w:hAnsi="仿宋" w:eastAsia="仿宋_GB2312" w:cs="Times New Roman"/>
          <w:i w:val="0"/>
          <w:iCs w:val="0"/>
          <w:caps w:val="0"/>
          <w:spacing w:val="0"/>
          <w:sz w:val="28"/>
          <w:szCs w:val="28"/>
          <w:highlight w:val="none"/>
          <w:shd w:val="clear"/>
          <w:lang w:eastAsia="zh-CN"/>
        </w:rPr>
        <w:t>或者</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报告</w:t>
      </w:r>
      <w:r>
        <w:rPr>
          <w:rFonts w:hint="eastAsia" w:ascii="仿宋_GB2312" w:hAnsi="仿宋" w:eastAsia="仿宋_GB2312" w:cs="Times New Roman"/>
          <w:i w:val="0"/>
          <w:iCs w:val="0"/>
          <w:caps w:val="0"/>
          <w:spacing w:val="0"/>
          <w:sz w:val="28"/>
          <w:szCs w:val="28"/>
          <w:highlight w:val="none"/>
          <w:shd w:val="clear"/>
          <w:lang w:eastAsia="zh-CN"/>
        </w:rPr>
        <w:t>和</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结果未使用之前，如果</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sz w:val="28"/>
          <w:szCs w:val="28"/>
          <w:highlight w:val="none"/>
          <w:shd w:val="clear"/>
        </w:rPr>
        <w:t>状况或者房地产市场状况发生明显变化的，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结果应当进行相应调整后才可使用</w:t>
      </w:r>
      <w:r>
        <w:rPr>
          <w:rFonts w:hint="eastAsia" w:ascii="仿宋_GB2312" w:hAnsi="仿宋" w:eastAsia="仿宋_GB2312" w:cs="Times New Roman"/>
          <w:i w:val="0"/>
          <w:iCs w:val="0"/>
          <w:caps w:val="0"/>
          <w:spacing w:val="0"/>
          <w:kern w:val="2"/>
          <w:sz w:val="28"/>
          <w:szCs w:val="28"/>
          <w:highlight w:val="none"/>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i w:val="0"/>
          <w:iCs w:val="0"/>
          <w:caps w:val="0"/>
          <w:spacing w:val="0"/>
          <w:kern w:val="2"/>
          <w:sz w:val="28"/>
          <w:szCs w:val="28"/>
          <w:highlight w:val="none"/>
          <w:shd w:val="clear"/>
          <w:lang w:val="en-US" w:eastAsia="zh-CN"/>
        </w:rPr>
        <w:t>3、</w:t>
      </w:r>
      <w:r>
        <w:rPr>
          <w:rFonts w:hint="eastAsia" w:ascii="仿宋_GB2312" w:hAnsi="仿宋" w:eastAsia="仿宋_GB2312" w:cs="Times New Roman"/>
          <w:i w:val="0"/>
          <w:iCs w:val="0"/>
          <w:caps w:val="0"/>
          <w:spacing w:val="0"/>
          <w:kern w:val="2"/>
          <w:sz w:val="28"/>
          <w:szCs w:val="28"/>
          <w:highlight w:val="none"/>
          <w:shd w:val="clear"/>
          <w:lang w:eastAsia="zh-CN"/>
        </w:rPr>
        <w:t>若</w:t>
      </w:r>
      <w:r>
        <w:rPr>
          <w:rFonts w:hint="eastAsia" w:ascii="仿宋_GB2312" w:hAnsi="仿宋" w:eastAsia="仿宋_GB2312" w:cs="Times New Roman"/>
          <w:i w:val="0"/>
          <w:iCs w:val="0"/>
          <w:caps w:val="0"/>
          <w:spacing w:val="0"/>
          <w:sz w:val="28"/>
          <w:szCs w:val="28"/>
          <w:highlight w:val="none"/>
          <w:shd w:val="clear"/>
        </w:rPr>
        <w:t>财产拍卖或者变卖之日与价值时点不一致，可能导致</w:t>
      </w:r>
      <w:r>
        <w:rPr>
          <w:rFonts w:hint="eastAsia" w:ascii="仿宋_GB2312" w:hAnsi="仿宋" w:eastAsia="仿宋_GB2312" w:cs="Times New Roman"/>
          <w:i w:val="0"/>
          <w:iCs w:val="0"/>
          <w:caps w:val="0"/>
          <w:spacing w:val="0"/>
          <w:kern w:val="2"/>
          <w:sz w:val="28"/>
          <w:szCs w:val="28"/>
          <w:highlight w:val="none"/>
          <w:shd w:val="clear"/>
          <w:lang w:eastAsia="zh-CN"/>
        </w:rPr>
        <w:t>估价结果</w:t>
      </w:r>
      <w:r>
        <w:rPr>
          <w:rFonts w:hint="eastAsia" w:ascii="仿宋_GB2312" w:hAnsi="仿宋" w:eastAsia="仿宋_GB2312" w:cs="Times New Roman"/>
          <w:i w:val="0"/>
          <w:iCs w:val="0"/>
          <w:caps w:val="0"/>
          <w:spacing w:val="0"/>
          <w:sz w:val="28"/>
          <w:szCs w:val="28"/>
          <w:highlight w:val="none"/>
          <w:shd w:val="clear"/>
        </w:rPr>
        <w:t>对应的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对象状况、房地产市场状况、欠缴税费状况等与财产拍卖或者变卖时的相应状况不一致，发生明显变化的，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结果应当进行相应调整后才可使用</w:t>
      </w:r>
      <w:r>
        <w:rPr>
          <w:rFonts w:hint="eastAsia" w:ascii="仿宋_GB2312" w:hAnsi="仿宋" w:eastAsia="仿宋_GB2312" w:cs="Times New Roman"/>
          <w:i w:val="0"/>
          <w:iCs w:val="0"/>
          <w:caps w:val="0"/>
          <w:spacing w:val="0"/>
          <w:kern w:val="2"/>
          <w:sz w:val="28"/>
          <w:szCs w:val="28"/>
          <w:highlight w:val="none"/>
          <w:shd w:val="clear"/>
          <w:lang w:eastAsia="zh-CN"/>
        </w:rPr>
        <w:t>。</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4</w:t>
      </w:r>
      <w:r>
        <w:rPr>
          <w:rFonts w:hint="eastAsia" w:ascii="仿宋_GB2312" w:hAnsi="仿宋" w:eastAsia="仿宋_GB2312" w:cs="Times New Roman"/>
          <w:sz w:val="28"/>
          <w:szCs w:val="28"/>
          <w:highlight w:val="none"/>
        </w:rPr>
        <w:t>、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5</w:t>
      </w:r>
      <w:r>
        <w:rPr>
          <w:rFonts w:hint="eastAsia" w:ascii="仿宋_GB2312" w:hAnsi="仿宋" w:eastAsia="仿宋_GB2312" w:cs="Times New Roman"/>
          <w:sz w:val="28"/>
          <w:szCs w:val="28"/>
          <w:highlight w:val="none"/>
        </w:rPr>
        <w:t>、本报告必须经估价机构加盖公章后方可使用，估价机构仅对本报告的原件承担责任，对任何形式的复制件概不认可且不承担责任。</w:t>
      </w:r>
    </w:p>
    <w:p>
      <w:pPr>
        <w:tabs>
          <w:tab w:val="left" w:pos="3023"/>
        </w:tabs>
        <w:spacing w:line="520" w:lineRule="exact"/>
        <w:ind w:firstLine="562" w:firstLineChars="200"/>
        <w:rPr>
          <w:rFonts w:hint="eastAsia" w:ascii="仿宋_GB2312" w:eastAsia="仿宋_GB2312"/>
          <w:b/>
          <w:bCs/>
          <w:sz w:val="28"/>
          <w:szCs w:val="28"/>
          <w:highlight w:val="none"/>
        </w:rPr>
      </w:pPr>
      <w:r>
        <w:rPr>
          <w:rFonts w:hint="eastAsia" w:ascii="仿宋_GB2312" w:eastAsia="仿宋_GB2312"/>
          <w:b/>
          <w:bCs/>
          <w:sz w:val="28"/>
          <w:szCs w:val="28"/>
          <w:highlight w:val="none"/>
        </w:rPr>
        <w:t>七、需要特别说明的事项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1、本</w:t>
      </w:r>
      <w:r>
        <w:rPr>
          <w:rFonts w:hint="eastAsia" w:ascii="仿宋_GB2312" w:hAnsi="仿宋" w:eastAsia="仿宋_GB2312" w:cs="Times New Roman"/>
          <w:sz w:val="28"/>
          <w:szCs w:val="28"/>
          <w:highlight w:val="none"/>
        </w:rPr>
        <w:t>估价结果未扣除法定优先受偿款，也未计入估价对象处置时应交纳的拍卖费、契税、土地增值税、交易手续费、评估费、诉讼费、律师费</w:t>
      </w:r>
      <w:r>
        <w:rPr>
          <w:rFonts w:hint="eastAsia" w:ascii="仿宋_GB2312" w:hAnsi="仿宋" w:eastAsia="仿宋_GB2312" w:cs="Times New Roman"/>
          <w:sz w:val="28"/>
          <w:szCs w:val="28"/>
          <w:highlight w:val="none"/>
          <w:lang w:eastAsia="zh-CN"/>
        </w:rPr>
        <w:t>、</w:t>
      </w:r>
      <w:r>
        <w:rPr>
          <w:rFonts w:hint="eastAsia" w:ascii="仿宋_GB2312" w:hAnsi="仿宋" w:eastAsia="仿宋_GB2312" w:cs="Times New Roman"/>
          <w:sz w:val="28"/>
          <w:szCs w:val="28"/>
          <w:highlight w:val="none"/>
        </w:rPr>
        <w:t>发证费以及税收、物业费、供暖费、水电气费等法律、法规规定应交纳的有关税费及费用。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i w:val="0"/>
          <w:iCs w:val="0"/>
          <w:caps w:val="0"/>
          <w:spacing w:val="0"/>
          <w:kern w:val="2"/>
          <w:sz w:val="28"/>
          <w:szCs w:val="28"/>
          <w:highlight w:val="none"/>
          <w:shd w:val="clear"/>
          <w:lang w:val="en-US" w:eastAsia="zh-CN"/>
        </w:rPr>
        <w:t>2、本</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kern w:val="2"/>
          <w:sz w:val="28"/>
          <w:szCs w:val="28"/>
          <w:highlight w:val="none"/>
          <w:shd w:val="clear"/>
        </w:rPr>
        <w:t>结果仅为人民法院确定财产处置参考价服务，不是</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kern w:val="2"/>
          <w:sz w:val="28"/>
          <w:szCs w:val="28"/>
          <w:highlight w:val="none"/>
          <w:shd w:val="clear"/>
        </w:rPr>
        <w:t>处置可实现的成交价格，也不应当被视为对</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kern w:val="2"/>
          <w:sz w:val="28"/>
          <w:szCs w:val="28"/>
          <w:highlight w:val="none"/>
          <w:shd w:val="clear"/>
        </w:rPr>
        <w:t>处置成交价格的保证</w:t>
      </w:r>
      <w:r>
        <w:rPr>
          <w:rFonts w:hint="eastAsia" w:ascii="仿宋_GB2312" w:hAnsi="仿宋" w:eastAsia="仿宋_GB2312" w:cs="Times New Roman"/>
          <w:i w:val="0"/>
          <w:iCs w:val="0"/>
          <w:caps w:val="0"/>
          <w:spacing w:val="0"/>
          <w:kern w:val="2"/>
          <w:sz w:val="28"/>
          <w:szCs w:val="28"/>
          <w:highlight w:val="none"/>
          <w:shd w:val="clear"/>
          <w:lang w:eastAsia="zh-CN"/>
        </w:rPr>
        <w:t>。</w:t>
      </w:r>
    </w:p>
    <w:p>
      <w:pPr>
        <w:tabs>
          <w:tab w:val="left" w:pos="3023"/>
        </w:tabs>
        <w:spacing w:line="520" w:lineRule="exact"/>
        <w:ind w:firstLine="560" w:firstLineChars="200"/>
        <w:rPr>
          <w:rFonts w:hint="eastAsia" w:ascii="仿宋_GB2312" w:eastAsia="仿宋_GB2312"/>
          <w:sz w:val="28"/>
          <w:szCs w:val="28"/>
          <w:highlight w:val="none"/>
          <w:lang w:val="en-US" w:eastAsia="zh-CN"/>
        </w:rPr>
      </w:pPr>
    </w:p>
    <w:p>
      <w:pPr>
        <w:pStyle w:val="3"/>
        <w:rPr>
          <w:rFonts w:hint="eastAsia" w:ascii="仿宋_GB2312" w:eastAsia="仿宋_GB2312"/>
          <w:b/>
          <w:bCs w:val="0"/>
          <w:highlight w:val="none"/>
        </w:rPr>
      </w:pPr>
      <w:bookmarkStart w:id="8" w:name="_Toc517794684"/>
      <w:bookmarkStart w:id="9" w:name="_Toc517794426"/>
    </w:p>
    <w:p>
      <w:pPr>
        <w:spacing w:after="93" w:line="540" w:lineRule="exact"/>
        <w:ind w:firstLine="105"/>
        <w:rPr>
          <w:rFonts w:hint="eastAsia" w:ascii="仿宋_GB2312" w:eastAsia="仿宋_GB2312"/>
          <w:b/>
          <w:bCs w:val="0"/>
          <w:highlight w:val="none"/>
        </w:rPr>
      </w:pPr>
      <w:bookmarkStart w:id="10" w:name="_Toc30600"/>
      <w:bookmarkStart w:id="11" w:name="_Toc9201"/>
      <w:r>
        <w:rPr>
          <w:rFonts w:hint="eastAsia" w:ascii="仿宋_GB2312" w:eastAsia="仿宋_GB2312"/>
          <w:b/>
          <w:bCs w:val="0"/>
          <w:highlight w:val="none"/>
        </w:rPr>
        <w:br w:type="page"/>
      </w:r>
    </w:p>
    <w:p>
      <w:pPr>
        <w:pStyle w:val="2"/>
        <w:spacing w:after="93" w:line="540" w:lineRule="exact"/>
        <w:ind w:firstLine="105"/>
        <w:rPr>
          <w:rFonts w:hint="eastAsia" w:ascii="仿宋_GB2312" w:eastAsia="仿宋_GB2312"/>
          <w:b/>
          <w:bCs w:val="0"/>
          <w:highlight w:val="none"/>
        </w:rPr>
      </w:pPr>
      <w:r>
        <w:rPr>
          <w:rFonts w:hint="eastAsia" w:ascii="仿宋_GB2312" w:eastAsia="仿宋_GB2312"/>
          <w:b/>
          <w:bCs w:val="0"/>
          <w:highlight w:val="none"/>
        </w:rPr>
        <w:t>三、估价结果报告</w:t>
      </w:r>
      <w:bookmarkEnd w:id="8"/>
      <w:bookmarkEnd w:id="9"/>
      <w:bookmarkEnd w:id="10"/>
      <w:bookmarkEnd w:id="11"/>
    </w:p>
    <w:p>
      <w:pPr>
        <w:pStyle w:val="4"/>
        <w:spacing w:line="540" w:lineRule="exact"/>
        <w:ind w:firstLine="420"/>
        <w:rPr>
          <w:rFonts w:hint="eastAsia" w:ascii="仿宋_GB2312" w:eastAsia="仿宋_GB2312"/>
          <w:b/>
          <w:highlight w:val="none"/>
        </w:rPr>
      </w:pPr>
      <w:bookmarkStart w:id="12" w:name="_Toc517794685"/>
      <w:bookmarkStart w:id="13" w:name="_Toc517794427"/>
      <w:bookmarkStart w:id="14" w:name="_Toc14691"/>
      <w:bookmarkStart w:id="15" w:name="_Toc4558"/>
      <w:r>
        <w:rPr>
          <w:rFonts w:hint="eastAsia" w:ascii="仿宋_GB2312" w:eastAsia="仿宋_GB2312"/>
          <w:b/>
          <w:highlight w:val="none"/>
        </w:rPr>
        <w:t>（一）估价委托人</w:t>
      </w:r>
      <w:bookmarkEnd w:id="12"/>
      <w:bookmarkEnd w:id="13"/>
      <w:bookmarkEnd w:id="14"/>
      <w:bookmarkEnd w:id="15"/>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估价委托人：</w:t>
      </w:r>
      <w:r>
        <w:rPr>
          <w:rFonts w:hint="eastAsia" w:ascii="仿宋_GB2312" w:hAnsi="宋体" w:eastAsia="仿宋_GB2312"/>
          <w:sz w:val="28"/>
          <w:szCs w:val="28"/>
          <w:highlight w:val="none"/>
          <w:lang w:eastAsia="zh-CN"/>
        </w:rPr>
        <w:t>兴国县人民法院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highlight w:val="none"/>
        </w:rPr>
      </w:pPr>
      <w:bookmarkStart w:id="16" w:name="_Toc517794686"/>
      <w:bookmarkStart w:id="17" w:name="_Toc517794428"/>
      <w:bookmarkStart w:id="18" w:name="_Toc6714"/>
      <w:bookmarkStart w:id="19" w:name="_Toc12025"/>
      <w:r>
        <w:rPr>
          <w:rFonts w:hint="eastAsia" w:ascii="仿宋_GB2312" w:eastAsia="仿宋_GB2312"/>
          <w:b/>
          <w:highlight w:val="none"/>
        </w:rPr>
        <w:t>（二）估价方</w:t>
      </w:r>
      <w:bookmarkEnd w:id="16"/>
      <w:bookmarkEnd w:id="17"/>
      <w:bookmarkEnd w:id="18"/>
      <w:bookmarkEnd w:id="19"/>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机构</w:t>
      </w:r>
      <w:r>
        <w:rPr>
          <w:rFonts w:hint="default" w:ascii="Times New Roman" w:hAnsi="Times New Roman" w:eastAsia="仿宋_GB2312" w:cs="Times New Roman"/>
          <w:spacing w:val="-4"/>
          <w:sz w:val="28"/>
          <w:szCs w:val="28"/>
          <w:highlight w:val="none"/>
          <w:lang w:val="en-US" w:eastAsia="zh-CN"/>
        </w:rPr>
        <w:t>名称</w:t>
      </w:r>
      <w:r>
        <w:rPr>
          <w:rFonts w:hint="default" w:ascii="Times New Roman" w:hAnsi="Times New Roman" w:eastAsia="仿宋_GB2312" w:cs="Times New Roman"/>
          <w:spacing w:val="-4"/>
          <w:sz w:val="28"/>
          <w:szCs w:val="28"/>
          <w:highlight w:val="none"/>
        </w:rPr>
        <w:t xml:space="preserve">：江西新源洪城房地产土地资产评估有限公司  </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lang w:val="en-US" w:eastAsia="zh-CN"/>
        </w:rPr>
      </w:pPr>
      <w:r>
        <w:rPr>
          <w:rFonts w:hint="default" w:ascii="Times New Roman" w:hAnsi="Times New Roman" w:eastAsia="仿宋_GB2312" w:cs="Times New Roman"/>
          <w:spacing w:val="-4"/>
          <w:sz w:val="28"/>
          <w:szCs w:val="28"/>
          <w:highlight w:val="none"/>
          <w:lang w:val="en-US" w:eastAsia="zh-CN"/>
        </w:rPr>
        <w:t>证书编号：</w:t>
      </w:r>
      <w:r>
        <w:rPr>
          <w:rFonts w:hint="default" w:ascii="Times New Roman" w:hAnsi="Times New Roman" w:eastAsia="仿宋_GB2312" w:cs="Times New Roman"/>
          <w:spacing w:val="-4"/>
          <w:sz w:val="28"/>
          <w:szCs w:val="28"/>
          <w:highlight w:val="none"/>
        </w:rPr>
        <w:t>建房估证字[2012]122号</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备案等级：壹级</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统一社会信用代码：913601000958893237</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lang w:eastAsia="zh-CN"/>
        </w:rPr>
      </w:pPr>
      <w:r>
        <w:rPr>
          <w:rFonts w:hint="default" w:ascii="Times New Roman" w:hAnsi="Times New Roman" w:eastAsia="仿宋_GB2312" w:cs="Times New Roman"/>
          <w:spacing w:val="-4"/>
          <w:sz w:val="28"/>
          <w:szCs w:val="28"/>
          <w:highlight w:val="none"/>
        </w:rPr>
        <w:t>法</w:t>
      </w:r>
      <w:r>
        <w:rPr>
          <w:rFonts w:hint="default" w:ascii="Times New Roman" w:hAnsi="Times New Roman" w:eastAsia="仿宋_GB2312" w:cs="Times New Roman"/>
          <w:spacing w:val="-4"/>
          <w:sz w:val="28"/>
          <w:szCs w:val="28"/>
          <w:highlight w:val="none"/>
          <w:lang w:val="en-US" w:eastAsia="zh-CN"/>
        </w:rPr>
        <w:t>定</w:t>
      </w:r>
      <w:r>
        <w:rPr>
          <w:rFonts w:hint="default" w:ascii="Times New Roman" w:hAnsi="Times New Roman" w:eastAsia="仿宋_GB2312" w:cs="Times New Roman"/>
          <w:spacing w:val="-4"/>
          <w:sz w:val="28"/>
          <w:szCs w:val="28"/>
          <w:highlight w:val="none"/>
        </w:rPr>
        <w:t>代表人：严兴中</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lang w:val="en-US" w:eastAsia="zh-CN"/>
        </w:rPr>
        <w:t>详细</w:t>
      </w:r>
      <w:r>
        <w:rPr>
          <w:rFonts w:hint="default" w:ascii="Times New Roman" w:hAnsi="Times New Roman" w:eastAsia="仿宋_GB2312" w:cs="Times New Roman"/>
          <w:spacing w:val="-4"/>
          <w:sz w:val="28"/>
          <w:szCs w:val="28"/>
          <w:highlight w:val="none"/>
        </w:rPr>
        <w:t>地址：江西省南昌市高新开发区紫阳大道3088号泰豪科技广场B栋12楼1211室</w:t>
      </w:r>
    </w:p>
    <w:p>
      <w:pPr>
        <w:spacing w:line="520" w:lineRule="exact"/>
        <w:ind w:firstLine="544" w:firstLineChars="200"/>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pacing w:val="-4"/>
          <w:sz w:val="28"/>
          <w:szCs w:val="28"/>
          <w:highlight w:val="none"/>
        </w:rPr>
        <w:t>联系电话：</w:t>
      </w:r>
      <w:r>
        <w:rPr>
          <w:rFonts w:ascii="Times New Roman" w:hAnsi="Times New Roman" w:eastAsia="仿宋_GB2312" w:cs="Times New Roman"/>
          <w:spacing w:val="-4"/>
          <w:sz w:val="28"/>
          <w:szCs w:val="28"/>
          <w:highlight w:val="none"/>
        </w:rPr>
        <w:t>0791-86166688</w:t>
      </w:r>
      <w:r>
        <w:rPr>
          <w:rFonts w:hint="default" w:ascii="Times New Roman" w:hAnsi="Times New Roman" w:eastAsia="仿宋_GB2312" w:cs="Times New Roman"/>
          <w:spacing w:val="-4"/>
          <w:sz w:val="28"/>
          <w:szCs w:val="28"/>
          <w:highlight w:val="none"/>
        </w:rPr>
        <w:t>、</w:t>
      </w:r>
      <w:r>
        <w:rPr>
          <w:rFonts w:hint="default" w:ascii="Times New Roman" w:hAnsi="Times New Roman" w:eastAsia="仿宋_GB2312" w:cs="Times New Roman"/>
          <w:spacing w:val="-4"/>
          <w:sz w:val="28"/>
          <w:szCs w:val="28"/>
          <w:highlight w:val="none"/>
          <w:lang w:val="en-US" w:eastAsia="zh-CN"/>
        </w:rPr>
        <w:t>0791-</w:t>
      </w:r>
      <w:r>
        <w:rPr>
          <w:rFonts w:ascii="Times New Roman" w:hAnsi="Times New Roman" w:eastAsia="仿宋_GB2312" w:cs="Times New Roman"/>
          <w:spacing w:val="-4"/>
          <w:sz w:val="28"/>
          <w:szCs w:val="28"/>
          <w:highlight w:val="none"/>
        </w:rPr>
        <w:t>861</w:t>
      </w:r>
      <w:r>
        <w:rPr>
          <w:rFonts w:hint="default" w:ascii="Times New Roman" w:hAnsi="Times New Roman" w:eastAsia="仿宋_GB2312" w:cs="Times New Roman"/>
          <w:spacing w:val="-4"/>
          <w:sz w:val="28"/>
          <w:szCs w:val="28"/>
          <w:highlight w:val="none"/>
          <w:lang w:val="en-US" w:eastAsia="zh-CN"/>
        </w:rPr>
        <w:t>00755</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sz w:val="28"/>
          <w:highlight w:val="none"/>
        </w:rPr>
      </w:pPr>
      <w:bookmarkStart w:id="20" w:name="_Toc22199"/>
      <w:bookmarkStart w:id="21" w:name="_Toc517794687"/>
      <w:bookmarkStart w:id="22" w:name="_Toc517794429"/>
      <w:bookmarkStart w:id="23" w:name="_Toc20253"/>
      <w:r>
        <w:rPr>
          <w:rFonts w:hint="eastAsia" w:ascii="仿宋_GB2312" w:eastAsia="仿宋_GB2312"/>
          <w:b/>
          <w:highlight w:val="none"/>
        </w:rPr>
        <w:t>（三）估价目的</w:t>
      </w:r>
      <w:bookmarkEnd w:id="20"/>
      <w:bookmarkEnd w:id="21"/>
      <w:bookmarkEnd w:id="22"/>
      <w:bookmarkEnd w:id="23"/>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为估价委托人</w:t>
      </w:r>
      <w:r>
        <w:rPr>
          <w:rFonts w:hint="eastAsia" w:ascii="仿宋_GB2312" w:hAnsi="宋体" w:eastAsia="仿宋_GB2312"/>
          <w:sz w:val="28"/>
          <w:szCs w:val="28"/>
          <w:highlight w:val="none"/>
          <w:lang w:eastAsia="zh-CN"/>
        </w:rPr>
        <w:t>确定财产</w:t>
      </w:r>
      <w:r>
        <w:rPr>
          <w:rFonts w:hint="eastAsia" w:ascii="仿宋_GB2312" w:hAnsi="宋体" w:eastAsia="仿宋_GB2312"/>
          <w:sz w:val="28"/>
          <w:szCs w:val="28"/>
          <w:highlight w:val="none"/>
        </w:rPr>
        <w:t>处置</w:t>
      </w:r>
      <w:r>
        <w:rPr>
          <w:rFonts w:hint="eastAsia" w:ascii="仿宋_GB2312" w:hAnsi="宋体" w:eastAsia="仿宋_GB2312"/>
          <w:sz w:val="28"/>
          <w:szCs w:val="28"/>
          <w:highlight w:val="none"/>
          <w:lang w:eastAsia="zh-CN"/>
        </w:rPr>
        <w:t>参考价</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参考</w:t>
      </w:r>
      <w:r>
        <w:rPr>
          <w:rFonts w:hint="eastAsia" w:ascii="仿宋_GB2312" w:hAnsi="宋体" w:eastAsia="仿宋_GB2312"/>
          <w:sz w:val="28"/>
          <w:szCs w:val="28"/>
          <w:highlight w:val="none"/>
        </w:rPr>
        <w:t>依据。</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00" w:lineRule="exact"/>
        <w:ind w:firstLine="420"/>
        <w:rPr>
          <w:rFonts w:hint="eastAsia" w:ascii="仿宋_GB2312" w:eastAsia="仿宋_GB2312"/>
          <w:b/>
          <w:highlight w:val="none"/>
        </w:rPr>
      </w:pPr>
      <w:bookmarkStart w:id="24" w:name="_Toc517794430"/>
      <w:bookmarkStart w:id="25" w:name="_Toc14706"/>
      <w:bookmarkStart w:id="26" w:name="_Toc22576"/>
      <w:bookmarkStart w:id="27" w:name="_Toc517794688"/>
      <w:r>
        <w:rPr>
          <w:rFonts w:hint="eastAsia" w:ascii="仿宋_GB2312" w:eastAsia="仿宋_GB2312"/>
          <w:b/>
          <w:highlight w:val="none"/>
        </w:rPr>
        <w:t>（四）估价对象</w:t>
      </w:r>
      <w:bookmarkEnd w:id="24"/>
      <w:bookmarkEnd w:id="25"/>
      <w:bookmarkEnd w:id="26"/>
      <w:bookmarkEnd w:id="27"/>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w:t>
      </w:r>
      <w:r>
        <w:rPr>
          <w:rFonts w:hint="eastAsia" w:ascii="仿宋_GB2312" w:hAnsi="宋体" w:eastAsia="仿宋_GB2312"/>
          <w:sz w:val="28"/>
          <w:szCs w:val="28"/>
          <w:highlight w:val="none"/>
          <w:lang w:val="en-US" w:eastAsia="zh-CN"/>
        </w:rPr>
        <w:t>为</w:t>
      </w:r>
      <w:r>
        <w:rPr>
          <w:rFonts w:hint="eastAsia" w:ascii="仿宋_GB2312" w:hAnsi="宋体" w:eastAsia="仿宋_GB2312"/>
          <w:bCs/>
          <w:sz w:val="28"/>
          <w:szCs w:val="28"/>
          <w:highlight w:val="none"/>
          <w:lang w:eastAsia="zh-CN"/>
        </w:rPr>
        <w:t>兴国县潋江镇平川大道226号盛发绿苑1号楼4D房住宅</w:t>
      </w:r>
      <w:r>
        <w:rPr>
          <w:rFonts w:hint="eastAsia" w:ascii="仿宋_GB2312" w:hAnsi="宋体" w:eastAsia="仿宋_GB2312"/>
          <w:bCs/>
          <w:sz w:val="28"/>
          <w:szCs w:val="28"/>
          <w:highlight w:val="none"/>
          <w:lang w:val="en-US" w:eastAsia="zh-CN"/>
        </w:rPr>
        <w:t>房屋</w:t>
      </w:r>
      <w:r>
        <w:rPr>
          <w:rFonts w:hint="eastAsia" w:ascii="仿宋_GB2312" w:hAnsi="宋体" w:eastAsia="仿宋_GB2312"/>
          <w:sz w:val="28"/>
          <w:szCs w:val="28"/>
          <w:highlight w:val="none"/>
        </w:rPr>
        <w:t>，包括了房屋所有权和所分摊土地在剩余使用年期的使用权、以及房屋内部装修。房屋建筑面积为</w:t>
      </w:r>
      <w:r>
        <w:rPr>
          <w:rFonts w:hint="eastAsia" w:ascii="仿宋_GB2312" w:hAnsi="宋体" w:eastAsia="仿宋_GB2312"/>
          <w:sz w:val="28"/>
          <w:szCs w:val="28"/>
          <w:highlight w:val="none"/>
          <w:lang w:val="en-US" w:eastAsia="zh-CN"/>
        </w:rPr>
        <w:t>156.72</w:t>
      </w:r>
      <w:r>
        <w:rPr>
          <w:rFonts w:hint="eastAsia" w:ascii="仿宋_GB2312" w:hAnsi="宋体" w:eastAsia="仿宋_GB2312"/>
          <w:sz w:val="28"/>
          <w:szCs w:val="28"/>
          <w:highlight w:val="none"/>
        </w:rPr>
        <w:t>平方米。现将估价对象区位状况、实物状况、权益状况概述如下：</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1、区位状况</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（1）坐落</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估价对象位于</w:t>
      </w:r>
      <w:r>
        <w:rPr>
          <w:rFonts w:hint="eastAsia" w:ascii="仿宋_GB2312" w:hAnsi="宋体" w:eastAsia="仿宋_GB2312"/>
          <w:color w:val="000000"/>
          <w:sz w:val="28"/>
          <w:szCs w:val="28"/>
          <w:highlight w:val="none"/>
          <w:lang w:val="en-US" w:eastAsia="zh-CN"/>
        </w:rPr>
        <w:t>兴国县潋江镇平川大道226号盛发绿苑1号楼4D房</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（2）楼层</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估价对象为</w:t>
      </w:r>
      <w:r>
        <w:rPr>
          <w:rFonts w:hint="eastAsia" w:ascii="仿宋_GB2312" w:hAnsi="宋体" w:eastAsia="仿宋_GB2312"/>
          <w:color w:val="000000"/>
          <w:sz w:val="28"/>
          <w:szCs w:val="28"/>
          <w:highlight w:val="none"/>
          <w:lang w:val="en-US" w:eastAsia="zh-CN"/>
        </w:rPr>
        <w:t>11</w:t>
      </w:r>
      <w:r>
        <w:rPr>
          <w:rFonts w:hint="eastAsia" w:ascii="仿宋_GB2312" w:hAnsi="宋体" w:eastAsia="仿宋_GB2312"/>
          <w:color w:val="000000"/>
          <w:sz w:val="28"/>
          <w:szCs w:val="28"/>
          <w:highlight w:val="none"/>
        </w:rPr>
        <w:t>层建筑物的第</w:t>
      </w:r>
      <w:r>
        <w:rPr>
          <w:rFonts w:hint="eastAsia" w:ascii="仿宋_GB2312" w:hAnsi="宋体" w:eastAsia="仿宋_GB2312"/>
          <w:color w:val="000000"/>
          <w:sz w:val="28"/>
          <w:szCs w:val="28"/>
          <w:highlight w:val="none"/>
          <w:lang w:val="en-US" w:eastAsia="zh-CN"/>
        </w:rPr>
        <w:t>4层</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（3）交通</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估价对象附近可乘</w:t>
      </w:r>
      <w:r>
        <w:rPr>
          <w:rFonts w:hint="eastAsia" w:ascii="仿宋_GB2312" w:hAnsi="宋体" w:eastAsia="仿宋_GB2312"/>
          <w:sz w:val="28"/>
          <w:szCs w:val="28"/>
          <w:highlight w:val="none"/>
          <w:lang w:val="en-US" w:eastAsia="zh-CN"/>
        </w:rPr>
        <w:t>13路、3路线</w:t>
      </w:r>
      <w:r>
        <w:rPr>
          <w:rFonts w:hint="eastAsia" w:ascii="仿宋_GB2312" w:hAnsi="宋体" w:eastAsia="仿宋_GB2312"/>
          <w:sz w:val="28"/>
          <w:szCs w:val="28"/>
          <w:highlight w:val="none"/>
        </w:rPr>
        <w:t>公交车</w:t>
      </w:r>
      <w:r>
        <w:rPr>
          <w:rFonts w:hint="eastAsia" w:ascii="仿宋_GB2312" w:hAnsi="宋体" w:eastAsia="仿宋_GB2312"/>
          <w:sz w:val="28"/>
          <w:szCs w:val="28"/>
          <w:highlight w:val="none"/>
          <w:lang w:val="en-US" w:eastAsia="zh-CN"/>
        </w:rPr>
        <w:t>，</w:t>
      </w:r>
      <w:r>
        <w:rPr>
          <w:rFonts w:hint="eastAsia" w:ascii="仿宋_GB2312" w:hAnsi="宋体" w:eastAsia="仿宋_GB2312"/>
          <w:sz w:val="28"/>
          <w:szCs w:val="28"/>
          <w:highlight w:val="none"/>
        </w:rPr>
        <w:t>交通</w:t>
      </w:r>
      <w:r>
        <w:rPr>
          <w:rFonts w:hint="eastAsia" w:ascii="仿宋_GB2312" w:hAnsi="宋体" w:eastAsia="仿宋_GB2312"/>
          <w:sz w:val="28"/>
          <w:szCs w:val="28"/>
          <w:highlight w:val="none"/>
          <w:lang w:val="en-US" w:eastAsia="zh-CN"/>
        </w:rPr>
        <w:t>便利</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（4）环境及配套设施</w:t>
      </w:r>
    </w:p>
    <w:p>
      <w:pPr>
        <w:spacing w:line="52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估价对象位于</w:t>
      </w:r>
      <w:r>
        <w:rPr>
          <w:rFonts w:hint="eastAsia" w:ascii="仿宋_GB2312" w:hAnsi="宋体" w:eastAsia="仿宋_GB2312"/>
          <w:sz w:val="28"/>
          <w:szCs w:val="28"/>
          <w:highlight w:val="none"/>
          <w:lang w:val="en-US" w:eastAsia="zh-CN"/>
        </w:rPr>
        <w:t>兴国县潋江镇平川大道226号盛发绿苑1号楼4D房</w:t>
      </w: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val="en-US" w:eastAsia="zh-CN"/>
        </w:rPr>
        <w:t>周边环境状况较优，市政基础设施及生活配套设施较完善，具体如下：</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教育：</w:t>
      </w:r>
      <w:r>
        <w:rPr>
          <w:rFonts w:hint="eastAsia" w:ascii="仿宋_GB2312" w:hAnsi="宋体" w:eastAsia="仿宋_GB2312"/>
          <w:sz w:val="28"/>
          <w:szCs w:val="28"/>
          <w:highlight w:val="none"/>
          <w:lang w:eastAsia="zh-CN"/>
        </w:rPr>
        <w:t>兴国县实验小学、兴国县第七中学</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购物：</w:t>
      </w:r>
      <w:r>
        <w:rPr>
          <w:rFonts w:hint="eastAsia" w:ascii="仿宋_GB2312" w:hAnsi="宋体" w:eastAsia="仿宋_GB2312"/>
          <w:sz w:val="28"/>
          <w:szCs w:val="28"/>
          <w:highlight w:val="none"/>
          <w:lang w:eastAsia="zh-CN"/>
        </w:rPr>
        <w:t>阳光中心商城、太平洋购物广场</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医院：</w:t>
      </w:r>
      <w:r>
        <w:rPr>
          <w:rFonts w:hint="eastAsia" w:ascii="仿宋_GB2312" w:hAnsi="宋体" w:eastAsia="仿宋_GB2312"/>
          <w:sz w:val="28"/>
          <w:szCs w:val="28"/>
          <w:highlight w:val="none"/>
          <w:lang w:eastAsia="zh-CN"/>
        </w:rPr>
        <w:t>兴国县中医院</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银行：</w:t>
      </w:r>
      <w:r>
        <w:rPr>
          <w:rFonts w:hint="eastAsia" w:ascii="仿宋_GB2312" w:hAnsi="宋体" w:eastAsia="仿宋_GB2312"/>
          <w:sz w:val="28"/>
          <w:szCs w:val="28"/>
          <w:highlight w:val="none"/>
          <w:lang w:eastAsia="zh-CN"/>
        </w:rPr>
        <w:t>中国建设银行、中国农业发展银行</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其他：</w:t>
      </w:r>
      <w:r>
        <w:rPr>
          <w:rFonts w:hint="eastAsia" w:ascii="仿宋_GB2312" w:hAnsi="宋体" w:eastAsia="仿宋_GB2312"/>
          <w:sz w:val="28"/>
          <w:szCs w:val="28"/>
          <w:highlight w:val="none"/>
          <w:lang w:eastAsia="zh-CN"/>
        </w:rPr>
        <w:t>五福广场</w:t>
      </w:r>
      <w:r>
        <w:rPr>
          <w:rFonts w:hint="eastAsia" w:ascii="仿宋_GB2312" w:hAnsi="宋体" w:eastAsia="仿宋_GB2312"/>
          <w:sz w:val="28"/>
          <w:szCs w:val="28"/>
          <w:highlight w:val="none"/>
        </w:rPr>
        <w:t>等。</w:t>
      </w:r>
    </w:p>
    <w:p>
      <w:pPr>
        <w:spacing w:line="52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     2、实物状况</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lang w:eastAsia="zh-CN"/>
        </w:rPr>
        <w:t>估价对象</w:t>
      </w:r>
      <w:r>
        <w:rPr>
          <w:rFonts w:hint="eastAsia" w:ascii="仿宋_GB2312" w:hAnsi="仿宋" w:eastAsia="仿宋_GB2312"/>
          <w:sz w:val="28"/>
          <w:szCs w:val="28"/>
          <w:highlight w:val="none"/>
        </w:rPr>
        <w:t>位于</w:t>
      </w:r>
      <w:r>
        <w:rPr>
          <w:rFonts w:hint="eastAsia" w:ascii="仿宋_GB2312" w:hAnsi="仿宋" w:eastAsia="仿宋_GB2312"/>
          <w:sz w:val="28"/>
          <w:szCs w:val="28"/>
          <w:highlight w:val="none"/>
          <w:lang w:val="en-US" w:eastAsia="zh-CN"/>
        </w:rPr>
        <w:t>兴国县潋江镇平川大道226号盛发绿苑1号楼4D房</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根据估价人员现场查勘，</w:t>
      </w:r>
      <w:r>
        <w:rPr>
          <w:rFonts w:hint="eastAsia" w:ascii="仿宋_GB2312" w:hAnsi="仿宋" w:eastAsia="仿宋_GB2312"/>
          <w:sz w:val="28"/>
          <w:szCs w:val="28"/>
          <w:highlight w:val="none"/>
        </w:rPr>
        <w:t>建筑面积为</w:t>
      </w:r>
      <w:r>
        <w:rPr>
          <w:rFonts w:hint="eastAsia" w:ascii="仿宋_GB2312" w:hAnsi="仿宋" w:eastAsia="仿宋_GB2312"/>
          <w:sz w:val="28"/>
          <w:szCs w:val="28"/>
          <w:highlight w:val="none"/>
          <w:lang w:val="en-US" w:eastAsia="zh-CN"/>
        </w:rPr>
        <w:t>156.72</w:t>
      </w:r>
      <w:r>
        <w:rPr>
          <w:rFonts w:hint="eastAsia" w:ascii="仿宋_GB2312" w:hAnsi="仿宋" w:eastAsia="仿宋_GB2312"/>
          <w:sz w:val="28"/>
          <w:szCs w:val="28"/>
          <w:highlight w:val="none"/>
        </w:rPr>
        <w:t>平方米</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为</w:t>
      </w:r>
      <w:r>
        <w:rPr>
          <w:rFonts w:hint="eastAsia" w:ascii="仿宋_GB2312" w:hAnsi="仿宋" w:eastAsia="仿宋_GB2312"/>
          <w:sz w:val="28"/>
          <w:szCs w:val="28"/>
          <w:highlight w:val="none"/>
          <w:lang w:val="en-US" w:eastAsia="zh-CN"/>
        </w:rPr>
        <w:t>钢混</w:t>
      </w:r>
      <w:r>
        <w:rPr>
          <w:rFonts w:hint="eastAsia" w:ascii="仿宋_GB2312" w:hAnsi="仿宋" w:eastAsia="仿宋_GB2312"/>
          <w:sz w:val="28"/>
          <w:szCs w:val="28"/>
          <w:highlight w:val="none"/>
        </w:rPr>
        <w:t>结构</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其所处楼栋总楼层为</w:t>
      </w:r>
      <w:r>
        <w:rPr>
          <w:rFonts w:hint="eastAsia" w:ascii="仿宋_GB2312" w:hAnsi="仿宋" w:eastAsia="仿宋_GB2312"/>
          <w:sz w:val="28"/>
          <w:szCs w:val="28"/>
          <w:highlight w:val="none"/>
          <w:lang w:val="en-US" w:eastAsia="zh-CN"/>
        </w:rPr>
        <w:t>11</w:t>
      </w:r>
      <w:r>
        <w:rPr>
          <w:rFonts w:hint="eastAsia" w:ascii="仿宋_GB2312" w:hAnsi="仿宋" w:eastAsia="仿宋_GB2312"/>
          <w:sz w:val="28"/>
          <w:szCs w:val="28"/>
          <w:highlight w:val="none"/>
        </w:rPr>
        <w:t>层，评估层为第</w:t>
      </w:r>
      <w:r>
        <w:rPr>
          <w:rFonts w:hint="eastAsia" w:ascii="仿宋_GB2312" w:hAnsi="仿宋" w:eastAsia="仿宋_GB2312"/>
          <w:sz w:val="28"/>
          <w:szCs w:val="28"/>
          <w:highlight w:val="none"/>
          <w:lang w:val="en-US" w:eastAsia="zh-CN"/>
        </w:rPr>
        <w:t>4</w:t>
      </w:r>
      <w:r>
        <w:rPr>
          <w:rFonts w:hint="eastAsia" w:ascii="仿宋_GB2312" w:hAnsi="仿宋" w:eastAsia="仿宋_GB2312"/>
          <w:sz w:val="28"/>
          <w:szCs w:val="28"/>
          <w:highlight w:val="none"/>
        </w:rPr>
        <w:t>层，</w:t>
      </w:r>
      <w:r>
        <w:rPr>
          <w:rFonts w:hint="eastAsia" w:ascii="仿宋_GB2312" w:hAnsi="仿宋" w:eastAsia="仿宋_GB2312"/>
          <w:sz w:val="28"/>
          <w:szCs w:val="28"/>
          <w:highlight w:val="none"/>
          <w:lang w:val="en-US" w:eastAsia="zh-CN"/>
        </w:rPr>
        <w:t>根据估价人员现场查勘，</w:t>
      </w:r>
      <w:r>
        <w:rPr>
          <w:rFonts w:hint="eastAsia" w:ascii="仿宋_GB2312" w:hAnsi="仿宋" w:eastAsia="仿宋_GB2312"/>
          <w:sz w:val="28"/>
          <w:szCs w:val="28"/>
          <w:highlight w:val="none"/>
        </w:rPr>
        <w:t>该</w:t>
      </w:r>
      <w:r>
        <w:rPr>
          <w:rFonts w:hint="eastAsia" w:ascii="仿宋_GB2312" w:hAnsi="仿宋" w:eastAsia="仿宋_GB2312"/>
          <w:sz w:val="28"/>
          <w:szCs w:val="28"/>
          <w:highlight w:val="none"/>
          <w:lang w:val="en-US" w:eastAsia="zh-CN"/>
        </w:rPr>
        <w:t>房屋目前空置，室内中装，有露台。</w:t>
      </w:r>
      <w:r>
        <w:rPr>
          <w:rFonts w:hint="eastAsia" w:ascii="仿宋_GB2312" w:hAnsi="仿宋" w:eastAsia="仿宋_GB2312"/>
          <w:sz w:val="28"/>
          <w:szCs w:val="28"/>
          <w:highlight w:val="none"/>
          <w:lang w:eastAsia="zh-CN"/>
        </w:rPr>
        <w:t>房屋</w:t>
      </w:r>
      <w:r>
        <w:rPr>
          <w:rFonts w:hint="eastAsia" w:ascii="仿宋_GB2312" w:hAnsi="仿宋" w:eastAsia="仿宋_GB2312"/>
          <w:sz w:val="28"/>
          <w:szCs w:val="28"/>
          <w:highlight w:val="none"/>
          <w:lang w:val="en-US" w:eastAsia="zh-CN"/>
        </w:rPr>
        <w:t>登记</w:t>
      </w:r>
      <w:r>
        <w:rPr>
          <w:rFonts w:hint="eastAsia" w:ascii="仿宋_GB2312" w:hAnsi="仿宋" w:eastAsia="仿宋_GB2312"/>
          <w:sz w:val="28"/>
          <w:szCs w:val="28"/>
          <w:highlight w:val="none"/>
        </w:rPr>
        <w:t>用途为</w:t>
      </w:r>
      <w:r>
        <w:rPr>
          <w:rFonts w:hint="eastAsia" w:ascii="仿宋_GB2312" w:hAnsi="仿宋" w:eastAsia="仿宋_GB2312"/>
          <w:sz w:val="28"/>
          <w:szCs w:val="28"/>
          <w:highlight w:val="none"/>
          <w:lang w:val="en-US" w:eastAsia="zh-CN"/>
        </w:rPr>
        <w:t>住宅</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层高约3米</w:t>
      </w:r>
      <w:r>
        <w:rPr>
          <w:rFonts w:hint="eastAsia" w:ascii="仿宋_GB2312" w:hAnsi="仿宋" w:eastAsia="仿宋_GB2312"/>
          <w:sz w:val="28"/>
          <w:szCs w:val="28"/>
          <w:highlight w:val="none"/>
        </w:rPr>
        <w:t>，于</w:t>
      </w:r>
      <w:r>
        <w:rPr>
          <w:rFonts w:hint="eastAsia" w:ascii="仿宋_GB2312" w:hAnsi="仿宋" w:eastAsia="仿宋_GB2312"/>
          <w:sz w:val="28"/>
          <w:szCs w:val="28"/>
          <w:highlight w:val="none"/>
          <w:lang w:val="en-US" w:eastAsia="zh-CN"/>
        </w:rPr>
        <w:t>2010年</w:t>
      </w:r>
      <w:r>
        <w:rPr>
          <w:rFonts w:hint="eastAsia" w:ascii="仿宋_GB2312" w:hAnsi="仿宋" w:eastAsia="仿宋_GB2312"/>
          <w:sz w:val="28"/>
          <w:szCs w:val="28"/>
          <w:highlight w:val="none"/>
        </w:rPr>
        <w:t>建成，成新度约为</w:t>
      </w:r>
      <w:r>
        <w:rPr>
          <w:rFonts w:hint="eastAsia" w:ascii="仿宋_GB2312" w:hAnsi="仿宋" w:eastAsia="仿宋_GB2312"/>
          <w:sz w:val="28"/>
          <w:szCs w:val="28"/>
          <w:highlight w:val="none"/>
          <w:lang w:val="en-US" w:eastAsia="zh-CN"/>
        </w:rPr>
        <w:t>八成新</w:t>
      </w:r>
      <w:r>
        <w:rPr>
          <w:rFonts w:hint="eastAsia" w:ascii="仿宋_GB2312" w:hAnsi="仿宋" w:eastAsia="仿宋_GB2312"/>
          <w:sz w:val="28"/>
          <w:szCs w:val="28"/>
          <w:highlight w:val="none"/>
        </w:rPr>
        <w:t>，朝向为</w:t>
      </w:r>
      <w:r>
        <w:rPr>
          <w:rFonts w:hint="eastAsia" w:ascii="仿宋_GB2312" w:hAnsi="仿宋" w:eastAsia="仿宋_GB2312"/>
          <w:sz w:val="28"/>
          <w:szCs w:val="28"/>
          <w:highlight w:val="none"/>
          <w:lang w:val="en-US" w:eastAsia="zh-CN"/>
        </w:rPr>
        <w:t>东</w:t>
      </w:r>
      <w:r>
        <w:rPr>
          <w:rFonts w:hint="eastAsia" w:ascii="仿宋_GB2312" w:hAnsi="仿宋" w:eastAsia="仿宋_GB2312"/>
          <w:sz w:val="28"/>
          <w:szCs w:val="28"/>
          <w:highlight w:val="none"/>
        </w:rPr>
        <w:t>，采光、通风</w:t>
      </w:r>
      <w:r>
        <w:rPr>
          <w:rFonts w:hint="eastAsia" w:ascii="仿宋_GB2312" w:hAnsi="仿宋" w:eastAsia="仿宋_GB2312"/>
          <w:sz w:val="28"/>
          <w:szCs w:val="28"/>
          <w:highlight w:val="none"/>
          <w:lang w:val="en-US" w:eastAsia="zh-CN"/>
        </w:rPr>
        <w:t>较好</w:t>
      </w:r>
      <w:r>
        <w:rPr>
          <w:rFonts w:hint="eastAsia" w:ascii="仿宋_GB2312" w:hAnsi="仿宋" w:eastAsia="仿宋_GB2312"/>
          <w:sz w:val="28"/>
          <w:szCs w:val="28"/>
          <w:highlight w:val="none"/>
        </w:rPr>
        <w:t>。</w:t>
      </w:r>
    </w:p>
    <w:p>
      <w:pPr>
        <w:spacing w:line="520" w:lineRule="exact"/>
        <w:ind w:firstLine="588" w:firstLineChars="210"/>
        <w:rPr>
          <w:rFonts w:hint="eastAsia" w:ascii="仿宋_GB2312" w:hAnsi="宋体" w:eastAsia="仿宋_GB2312"/>
          <w:sz w:val="28"/>
          <w:szCs w:val="28"/>
          <w:highlight w:val="none"/>
        </w:rPr>
      </w:pPr>
      <w:bookmarkStart w:id="28" w:name="OLE_LINK46"/>
      <w:r>
        <w:rPr>
          <w:rFonts w:hint="eastAsia" w:ascii="仿宋_GB2312" w:hAnsi="宋体" w:eastAsia="仿宋_GB2312"/>
          <w:sz w:val="28"/>
          <w:szCs w:val="28"/>
          <w:highlight w:val="none"/>
        </w:rPr>
        <w:t>客厅：地面为</w:t>
      </w:r>
      <w:r>
        <w:rPr>
          <w:rFonts w:hint="eastAsia" w:ascii="仿宋_GB2312" w:hAnsi="宋体" w:eastAsia="仿宋_GB2312"/>
          <w:sz w:val="28"/>
          <w:szCs w:val="28"/>
          <w:highlight w:val="none"/>
          <w:lang w:eastAsia="zh-CN"/>
        </w:rPr>
        <w:t>地砖</w:t>
      </w:r>
      <w:r>
        <w:rPr>
          <w:rFonts w:hint="eastAsia" w:ascii="仿宋_GB2312" w:hAnsi="宋体" w:eastAsia="仿宋_GB2312"/>
          <w:sz w:val="28"/>
          <w:szCs w:val="28"/>
          <w:highlight w:val="none"/>
        </w:rPr>
        <w:t>、墙面为乳胶漆、天花为</w:t>
      </w:r>
      <w:r>
        <w:rPr>
          <w:rFonts w:hint="eastAsia" w:ascii="仿宋_GB2312" w:hAnsi="宋体" w:eastAsia="仿宋_GB2312"/>
          <w:sz w:val="28"/>
          <w:szCs w:val="28"/>
          <w:highlight w:val="none"/>
          <w:lang w:eastAsia="zh-CN"/>
        </w:rPr>
        <w:t>夹板造型吊顶</w:t>
      </w:r>
      <w:r>
        <w:rPr>
          <w:rFonts w:hint="eastAsia" w:ascii="仿宋_GB2312" w:hAnsi="宋体" w:eastAsia="仿宋_GB2312"/>
          <w:sz w:val="28"/>
          <w:szCs w:val="28"/>
          <w:highlight w:val="none"/>
        </w:rPr>
        <w:t>；</w:t>
      </w:r>
    </w:p>
    <w:p>
      <w:pPr>
        <w:spacing w:line="520" w:lineRule="exact"/>
        <w:ind w:firstLine="588" w:firstLineChars="210"/>
        <w:rPr>
          <w:rFonts w:hint="eastAsia" w:ascii="仿宋_GB2312" w:hAnsi="宋体" w:eastAsia="仿宋_GB2312"/>
          <w:sz w:val="28"/>
          <w:szCs w:val="28"/>
          <w:highlight w:val="none"/>
        </w:rPr>
      </w:pPr>
      <w:r>
        <w:rPr>
          <w:rFonts w:hint="eastAsia" w:ascii="仿宋_GB2312" w:hAnsi="宋体" w:eastAsia="仿宋_GB2312"/>
          <w:sz w:val="28"/>
          <w:szCs w:val="28"/>
          <w:highlight w:val="none"/>
        </w:rPr>
        <w:t>房间：地面为</w:t>
      </w:r>
      <w:r>
        <w:rPr>
          <w:rFonts w:hint="eastAsia" w:ascii="仿宋_GB2312" w:hAnsi="宋体" w:eastAsia="仿宋_GB2312"/>
          <w:sz w:val="28"/>
          <w:szCs w:val="28"/>
          <w:highlight w:val="none"/>
          <w:lang w:eastAsia="zh-CN"/>
        </w:rPr>
        <w:t>地砖</w:t>
      </w:r>
      <w:r>
        <w:rPr>
          <w:rFonts w:hint="eastAsia" w:ascii="仿宋_GB2312" w:hAnsi="宋体" w:eastAsia="仿宋_GB2312"/>
          <w:sz w:val="28"/>
          <w:szCs w:val="28"/>
          <w:highlight w:val="none"/>
        </w:rPr>
        <w:t>、墙面为</w:t>
      </w:r>
      <w:r>
        <w:rPr>
          <w:rFonts w:hint="eastAsia" w:ascii="仿宋_GB2312" w:hAnsi="宋体" w:eastAsia="仿宋_GB2312"/>
          <w:sz w:val="28"/>
          <w:szCs w:val="28"/>
          <w:highlight w:val="none"/>
          <w:lang w:eastAsia="zh-CN"/>
        </w:rPr>
        <w:t>乳胶漆</w:t>
      </w:r>
      <w:r>
        <w:rPr>
          <w:rFonts w:hint="eastAsia" w:ascii="仿宋_GB2312" w:hAnsi="宋体" w:eastAsia="仿宋_GB2312"/>
          <w:sz w:val="28"/>
          <w:szCs w:val="28"/>
          <w:highlight w:val="none"/>
        </w:rPr>
        <w:t>、天花为</w:t>
      </w:r>
      <w:r>
        <w:rPr>
          <w:rFonts w:hint="eastAsia" w:ascii="仿宋_GB2312" w:hAnsi="宋体" w:eastAsia="仿宋_GB2312"/>
          <w:sz w:val="28"/>
          <w:szCs w:val="28"/>
          <w:highlight w:val="none"/>
          <w:lang w:eastAsia="zh-CN"/>
        </w:rPr>
        <w:t>乳胶漆</w:t>
      </w:r>
      <w:r>
        <w:rPr>
          <w:rFonts w:hint="eastAsia" w:ascii="仿宋_GB2312" w:hAnsi="宋体" w:eastAsia="仿宋_GB2312"/>
          <w:sz w:val="28"/>
          <w:szCs w:val="28"/>
          <w:highlight w:val="none"/>
        </w:rPr>
        <w:t>；</w:t>
      </w:r>
    </w:p>
    <w:p>
      <w:pPr>
        <w:spacing w:line="520" w:lineRule="exact"/>
        <w:ind w:firstLine="588" w:firstLineChars="210"/>
        <w:rPr>
          <w:rFonts w:hint="eastAsia" w:ascii="仿宋_GB2312" w:hAnsi="宋体" w:eastAsia="仿宋_GB2312"/>
          <w:sz w:val="28"/>
          <w:szCs w:val="28"/>
          <w:highlight w:val="none"/>
        </w:rPr>
      </w:pPr>
      <w:r>
        <w:rPr>
          <w:rFonts w:hint="eastAsia" w:ascii="仿宋_GB2312" w:hAnsi="宋体" w:eastAsia="仿宋_GB2312"/>
          <w:sz w:val="28"/>
          <w:szCs w:val="28"/>
          <w:highlight w:val="none"/>
        </w:rPr>
        <w:t>门窗：入户门为防盗门、房间门为木门、铝合金窗；</w:t>
      </w:r>
    </w:p>
    <w:p>
      <w:pPr>
        <w:spacing w:line="520" w:lineRule="exact"/>
        <w:ind w:firstLine="588" w:firstLineChars="210"/>
        <w:rPr>
          <w:rFonts w:hint="eastAsia" w:ascii="仿宋_GB2312" w:hAnsi="宋体" w:eastAsia="仿宋_GB2312"/>
          <w:sz w:val="28"/>
          <w:szCs w:val="28"/>
          <w:highlight w:val="none"/>
        </w:rPr>
      </w:pPr>
      <w:r>
        <w:rPr>
          <w:rFonts w:hint="eastAsia" w:ascii="仿宋_GB2312" w:hAnsi="宋体" w:eastAsia="仿宋_GB2312"/>
          <w:sz w:val="28"/>
          <w:szCs w:val="28"/>
          <w:highlight w:val="none"/>
        </w:rPr>
        <w:t>卫生间：地面为地砖，墙面为瓷砖到顶，天花为扣板吊顶；</w:t>
      </w:r>
    </w:p>
    <w:p>
      <w:pPr>
        <w:spacing w:line="520" w:lineRule="exact"/>
        <w:ind w:firstLine="588" w:firstLineChars="210"/>
        <w:rPr>
          <w:rFonts w:hint="eastAsia" w:ascii="仿宋_GB2312" w:hAnsi="宋体" w:eastAsia="仿宋_GB2312"/>
          <w:sz w:val="28"/>
          <w:szCs w:val="28"/>
          <w:highlight w:val="none"/>
        </w:rPr>
      </w:pPr>
      <w:r>
        <w:rPr>
          <w:rFonts w:hint="eastAsia" w:ascii="仿宋_GB2312" w:hAnsi="宋体" w:eastAsia="仿宋_GB2312"/>
          <w:sz w:val="28"/>
          <w:szCs w:val="28"/>
          <w:highlight w:val="none"/>
        </w:rPr>
        <w:t>厨房：地面为地砖，墙面为瓷砖到顶，天花为扣板吊顶。</w:t>
      </w:r>
    </w:p>
    <w:bookmarkEnd w:id="28"/>
    <w:p>
      <w:pPr>
        <w:spacing w:line="520" w:lineRule="exact"/>
        <w:ind w:firstLine="560" w:firstLineChars="200"/>
        <w:rPr>
          <w:rFonts w:hint="eastAsia" w:ascii="仿宋_GB2312" w:hAnsi="宋体" w:eastAsia="仿宋_GB2312"/>
          <w:sz w:val="28"/>
          <w:szCs w:val="28"/>
          <w:highlight w:val="none"/>
          <w:lang w:eastAsia="zh-CN"/>
        </w:rPr>
      </w:pPr>
      <w:r>
        <w:rPr>
          <w:rFonts w:hint="eastAsia" w:ascii="仿宋_GB2312" w:hAnsi="仿宋" w:eastAsia="仿宋_GB2312"/>
          <w:sz w:val="28"/>
          <w:szCs w:val="28"/>
          <w:highlight w:val="none"/>
        </w:rPr>
        <w:t>具体情况</w:t>
      </w:r>
      <w:r>
        <w:rPr>
          <w:rFonts w:hint="eastAsia" w:ascii="仿宋_GB2312" w:hAnsi="仿宋" w:eastAsia="仿宋_GB2312"/>
          <w:sz w:val="28"/>
          <w:szCs w:val="28"/>
          <w:highlight w:val="none"/>
          <w:lang w:eastAsia="zh-CN"/>
        </w:rPr>
        <w:t>详见《估价对象</w:t>
      </w:r>
      <w:r>
        <w:rPr>
          <w:rFonts w:hint="eastAsia" w:ascii="仿宋_GB2312" w:hAnsi="仿宋" w:eastAsia="仿宋_GB2312"/>
          <w:sz w:val="28"/>
          <w:szCs w:val="28"/>
          <w:highlight w:val="none"/>
          <w:lang w:val="en-US" w:eastAsia="zh-CN"/>
        </w:rPr>
        <w:t>现状</w:t>
      </w:r>
      <w:r>
        <w:rPr>
          <w:rFonts w:hint="eastAsia" w:ascii="仿宋_GB2312" w:hAnsi="仿宋" w:eastAsia="仿宋_GB2312"/>
          <w:sz w:val="28"/>
          <w:szCs w:val="28"/>
          <w:highlight w:val="none"/>
          <w:lang w:eastAsia="zh-CN"/>
        </w:rPr>
        <w:t>照片》</w:t>
      </w:r>
      <w:r>
        <w:rPr>
          <w:rFonts w:hint="eastAsia" w:ascii="仿宋_GB2312" w:hAnsi="宋体"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宋体" w:eastAsia="仿宋_GB2312"/>
          <w:sz w:val="28"/>
          <w:szCs w:val="28"/>
          <w:highlight w:val="none"/>
        </w:rPr>
        <w:t>至价值时点，</w:t>
      </w:r>
      <w:r>
        <w:rPr>
          <w:rFonts w:hint="eastAsia" w:ascii="仿宋_GB2312" w:hAnsi="宋体" w:eastAsia="仿宋_GB2312"/>
          <w:color w:val="000000"/>
          <w:sz w:val="28"/>
          <w:szCs w:val="28"/>
          <w:highlight w:val="none"/>
        </w:rPr>
        <w:t>根据对估价对象的外部观察，供电等设施较完善，</w:t>
      </w:r>
      <w:r>
        <w:rPr>
          <w:rFonts w:hint="eastAsia" w:ascii="仿宋_GB2312" w:hAnsi="宋体" w:eastAsia="仿宋_GB2312"/>
          <w:sz w:val="28"/>
          <w:szCs w:val="28"/>
          <w:highlight w:val="none"/>
        </w:rPr>
        <w:t>估价对象所在整栋建筑物维护保养</w:t>
      </w:r>
      <w:r>
        <w:rPr>
          <w:rFonts w:hint="eastAsia" w:ascii="仿宋_GB2312" w:hAnsi="宋体" w:eastAsia="仿宋_GB2312"/>
          <w:sz w:val="28"/>
          <w:szCs w:val="28"/>
          <w:highlight w:val="none"/>
          <w:lang w:val="en-US" w:eastAsia="zh-CN"/>
        </w:rPr>
        <w:t>一般</w:t>
      </w:r>
      <w:r>
        <w:rPr>
          <w:rFonts w:hint="eastAsia" w:ascii="仿宋_GB2312" w:hAnsi="宋体" w:eastAsia="仿宋_GB2312"/>
          <w:sz w:val="28"/>
          <w:szCs w:val="28"/>
          <w:highlight w:val="none"/>
          <w:lang w:eastAsia="zh-CN"/>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3、权益状况</w:t>
      </w:r>
    </w:p>
    <w:p>
      <w:pPr>
        <w:spacing w:line="520" w:lineRule="exact"/>
        <w:ind w:firstLine="560" w:firstLineChars="200"/>
        <w:rPr>
          <w:rFonts w:hint="eastAsia" w:ascii="仿宋_GB2312" w:hAnsi="仿宋" w:eastAsia="仿宋_GB2312" w:cs="仿宋_GB2312"/>
          <w:bCs/>
          <w:color w:val="000000"/>
          <w:sz w:val="28"/>
          <w:szCs w:val="28"/>
          <w:highlight w:val="none"/>
        </w:rPr>
      </w:pPr>
      <w:r>
        <w:rPr>
          <w:rFonts w:hint="eastAsia" w:ascii="仿宋_GB2312" w:hAnsi="仿宋" w:eastAsia="仿宋_GB2312" w:cs="仿宋_GB2312"/>
          <w:bCs/>
          <w:color w:val="000000"/>
          <w:sz w:val="28"/>
          <w:szCs w:val="28"/>
          <w:highlight w:val="none"/>
        </w:rPr>
        <w:t>（1）</w:t>
      </w:r>
      <w:r>
        <w:rPr>
          <w:rFonts w:hint="eastAsia" w:ascii="仿宋_GB2312" w:hAnsi="仿宋" w:eastAsia="仿宋_GB2312" w:cs="仿宋_GB2312"/>
          <w:bCs/>
          <w:color w:val="000000"/>
          <w:sz w:val="28"/>
          <w:szCs w:val="28"/>
          <w:highlight w:val="none"/>
          <w:lang w:val="en-US" w:eastAsia="zh-CN"/>
        </w:rPr>
        <w:t>房屋</w:t>
      </w:r>
      <w:r>
        <w:rPr>
          <w:rFonts w:hint="eastAsia" w:ascii="仿宋_GB2312" w:hAnsi="仿宋" w:eastAsia="仿宋_GB2312" w:cs="仿宋_GB2312"/>
          <w:bCs/>
          <w:color w:val="000000"/>
          <w:sz w:val="28"/>
          <w:szCs w:val="28"/>
          <w:highlight w:val="none"/>
        </w:rPr>
        <w:t>权益状况</w:t>
      </w:r>
    </w:p>
    <w:p>
      <w:pPr>
        <w:spacing w:line="520" w:lineRule="exact"/>
        <w:ind w:firstLine="560" w:firstLineChars="200"/>
        <w:rPr>
          <w:rFonts w:hint="eastAsia" w:ascii="仿宋_GB2312" w:hAnsi="仿宋" w:eastAsia="仿宋_GB2312" w:cs="仿宋_GB2312"/>
          <w:color w:val="000000"/>
          <w:sz w:val="28"/>
          <w:szCs w:val="28"/>
          <w:highlight w:val="none"/>
        </w:rPr>
      </w:pPr>
      <w:r>
        <w:rPr>
          <w:rFonts w:ascii="仿宋_GB2312" w:hAnsi="宋体" w:eastAsia="仿宋_GB2312"/>
          <w:color w:val="000000"/>
          <w:sz w:val="28"/>
          <w:szCs w:val="28"/>
          <w:highlight w:val="none"/>
        </w:rPr>
        <w:t>根据委托人提供的</w:t>
      </w:r>
      <w:r>
        <w:rPr>
          <w:rFonts w:hint="eastAsia" w:ascii="仿宋_GB2312" w:eastAsia="仿宋_GB2312"/>
          <w:sz w:val="28"/>
          <w:szCs w:val="28"/>
          <w:highlight w:val="none"/>
          <w:lang w:eastAsia="zh-CN"/>
        </w:rPr>
        <w:t>《兴国县不动产登记情况查询证明》</w:t>
      </w:r>
      <w:r>
        <w:rPr>
          <w:rFonts w:hint="eastAsia" w:ascii="仿宋_GB2312" w:eastAsia="仿宋_GB2312"/>
          <w:sz w:val="28"/>
          <w:szCs w:val="28"/>
          <w:highlight w:val="none"/>
          <w:lang w:val="en-US" w:eastAsia="zh-CN"/>
        </w:rPr>
        <w:t>记载</w:t>
      </w:r>
      <w:r>
        <w:rPr>
          <w:rFonts w:hint="eastAsia" w:ascii="仿宋_GB2312" w:hAnsi="仿宋" w:eastAsia="仿宋_GB2312" w:cs="仿宋_GB2312"/>
          <w:bCs/>
          <w:color w:val="000000"/>
          <w:sz w:val="28"/>
          <w:szCs w:val="28"/>
          <w:highlight w:val="none"/>
        </w:rPr>
        <w:t>，</w:t>
      </w:r>
      <w:r>
        <w:rPr>
          <w:rFonts w:hint="eastAsia" w:ascii="仿宋_GB2312" w:hAnsi="仿宋" w:eastAsia="仿宋_GB2312" w:cs="仿宋_GB2312"/>
          <w:bCs/>
          <w:color w:val="000000"/>
          <w:sz w:val="28"/>
          <w:szCs w:val="28"/>
          <w:highlight w:val="none"/>
          <w:lang w:val="en-US" w:eastAsia="zh-CN"/>
        </w:rPr>
        <w:t>房屋</w:t>
      </w:r>
      <w:r>
        <w:rPr>
          <w:rFonts w:hint="eastAsia" w:ascii="仿宋_GB2312" w:hAnsi="仿宋" w:eastAsia="仿宋_GB2312" w:cs="仿宋_GB2312"/>
          <w:color w:val="000000"/>
          <w:sz w:val="28"/>
          <w:szCs w:val="28"/>
          <w:highlight w:val="none"/>
        </w:rPr>
        <w:t>权益状况如下：</w:t>
      </w:r>
    </w:p>
    <w:p>
      <w:pPr>
        <w:spacing w:line="560" w:lineRule="exact"/>
        <w:jc w:val="center"/>
        <w:rPr>
          <w:rFonts w:ascii="宋体" w:hAnsi="宋体"/>
          <w:color w:val="000000"/>
          <w:sz w:val="28"/>
          <w:szCs w:val="28"/>
          <w:highlight w:val="none"/>
        </w:rPr>
      </w:pPr>
      <w:r>
        <w:rPr>
          <w:rFonts w:hint="eastAsia" w:ascii="仿宋_GB2312" w:hAnsi="宋体" w:eastAsia="仿宋_GB2312"/>
          <w:b/>
          <w:color w:val="000000"/>
          <w:sz w:val="28"/>
          <w:szCs w:val="28"/>
          <w:highlight w:val="none"/>
          <w:lang w:val="en-US" w:eastAsia="zh-CN"/>
        </w:rPr>
        <w:t>房屋</w:t>
      </w:r>
      <w:r>
        <w:rPr>
          <w:rFonts w:hint="eastAsia" w:ascii="仿宋_GB2312" w:hAnsi="宋体" w:eastAsia="仿宋_GB2312"/>
          <w:b/>
          <w:color w:val="000000"/>
          <w:sz w:val="28"/>
          <w:szCs w:val="28"/>
          <w:highlight w:val="none"/>
        </w:rPr>
        <w:t>权益状况表</w:t>
      </w:r>
    </w:p>
    <w:tbl>
      <w:tblPr>
        <w:tblStyle w:val="26"/>
        <w:tblW w:w="8775"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75"/>
        <w:gridCol w:w="823"/>
        <w:gridCol w:w="1407"/>
        <w:gridCol w:w="957"/>
        <w:gridCol w:w="921"/>
        <w:gridCol w:w="987"/>
        <w:gridCol w:w="925"/>
        <w:gridCol w:w="108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82" w:hRule="atLeast"/>
          <w:jc w:val="center"/>
        </w:trPr>
        <w:tc>
          <w:tcPr>
            <w:tcW w:w="1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《房屋所有权证》</w:t>
            </w:r>
            <w:r>
              <w:rPr>
                <w:rFonts w:hint="default" w:ascii="仿宋_GB2312" w:hAnsi="宋体" w:eastAsia="仿宋_GB2312" w:cs="仿宋_GB2312"/>
                <w:b/>
                <w:bCs/>
                <w:i w:val="0"/>
                <w:iCs w:val="0"/>
                <w:color w:val="000000"/>
                <w:kern w:val="0"/>
                <w:sz w:val="21"/>
                <w:szCs w:val="21"/>
                <w:highlight w:val="none"/>
                <w:u w:val="none"/>
                <w:lang w:val="en-US" w:eastAsia="zh-CN" w:bidi="ar"/>
              </w:rPr>
              <w:t>证号</w:t>
            </w:r>
          </w:p>
        </w:tc>
        <w:tc>
          <w:tcPr>
            <w:tcW w:w="82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1"/>
                <w:szCs w:val="21"/>
                <w:highlight w:val="none"/>
                <w:u w:val="none"/>
                <w:lang w:val="en-US" w:eastAsia="zh-CN" w:bidi="ar"/>
              </w:rPr>
            </w:pPr>
            <w:r>
              <w:rPr>
                <w:rFonts w:hint="default" w:ascii="仿宋_GB2312" w:hAnsi="宋体" w:eastAsia="仿宋_GB2312" w:cs="仿宋_GB2312"/>
                <w:b/>
                <w:bCs/>
                <w:i w:val="0"/>
                <w:iCs w:val="0"/>
                <w:color w:val="000000"/>
                <w:kern w:val="0"/>
                <w:sz w:val="21"/>
                <w:szCs w:val="21"/>
                <w:highlight w:val="none"/>
                <w:u w:val="none"/>
                <w:lang w:val="en-US" w:eastAsia="zh-CN" w:bidi="ar"/>
              </w:rPr>
              <w:t>房屋所</w:t>
            </w:r>
          </w:p>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有权人</w:t>
            </w:r>
          </w:p>
        </w:tc>
        <w:tc>
          <w:tcPr>
            <w:tcW w:w="14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 xml:space="preserve"> 房屋坐落</w:t>
            </w:r>
          </w:p>
        </w:tc>
        <w:tc>
          <w:tcPr>
            <w:tcW w:w="95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1"/>
                <w:szCs w:val="21"/>
                <w:highlight w:val="none"/>
                <w:u w:val="none"/>
                <w:lang w:val="en-US" w:eastAsia="zh-CN" w:bidi="ar"/>
              </w:rPr>
            </w:pPr>
            <w:r>
              <w:rPr>
                <w:rFonts w:hint="default" w:ascii="仿宋_GB2312" w:hAnsi="宋体" w:eastAsia="仿宋_GB2312" w:cs="仿宋_GB2312"/>
                <w:b/>
                <w:bCs/>
                <w:i w:val="0"/>
                <w:iCs w:val="0"/>
                <w:color w:val="000000"/>
                <w:kern w:val="0"/>
                <w:sz w:val="21"/>
                <w:szCs w:val="21"/>
                <w:highlight w:val="none"/>
                <w:u w:val="none"/>
                <w:lang w:val="en-US" w:eastAsia="zh-CN" w:bidi="ar"/>
              </w:rPr>
              <w:t>评估层/</w:t>
            </w:r>
          </w:p>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总楼层</w:t>
            </w:r>
          </w:p>
        </w:tc>
        <w:tc>
          <w:tcPr>
            <w:tcW w:w="9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设计用途</w:t>
            </w:r>
          </w:p>
        </w:tc>
        <w:tc>
          <w:tcPr>
            <w:tcW w:w="98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房屋结构</w:t>
            </w:r>
          </w:p>
        </w:tc>
        <w:tc>
          <w:tcPr>
            <w:tcW w:w="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建筑面积（㎡）</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建成年代（约）</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兴房权证潋字第LJ23914号</w:t>
            </w:r>
          </w:p>
        </w:tc>
        <w:tc>
          <w:tcPr>
            <w:tcW w:w="82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刘美悦</w:t>
            </w:r>
          </w:p>
        </w:tc>
        <w:tc>
          <w:tcPr>
            <w:tcW w:w="14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潋江镇平川大道226号盛发绿苑1号楼4D房</w:t>
            </w:r>
          </w:p>
        </w:tc>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val="en-US" w:bidi="ar"/>
              </w:rPr>
            </w:pPr>
            <w:r>
              <w:rPr>
                <w:rFonts w:hint="eastAsia" w:ascii="仿宋_GB2312" w:hAnsi="宋体" w:eastAsia="仿宋_GB2312" w:cs="仿宋_GB2312"/>
                <w:i w:val="0"/>
                <w:iCs w:val="0"/>
                <w:color w:val="000000"/>
                <w:kern w:val="0"/>
                <w:sz w:val="20"/>
                <w:szCs w:val="20"/>
                <w:highlight w:val="none"/>
                <w:u w:val="none"/>
                <w:lang w:val="en-US" w:eastAsia="zh-CN" w:bidi="ar"/>
              </w:rPr>
              <w:t>4/11</w:t>
            </w:r>
          </w:p>
        </w:tc>
        <w:tc>
          <w:tcPr>
            <w:tcW w:w="9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default" w:ascii="仿宋_GB2312" w:hAnsi="宋体" w:eastAsia="仿宋_GB2312" w:cs="仿宋_GB2312"/>
                <w:i w:val="0"/>
                <w:iCs w:val="0"/>
                <w:color w:val="000000"/>
                <w:kern w:val="0"/>
                <w:sz w:val="20"/>
                <w:szCs w:val="20"/>
                <w:highlight w:val="none"/>
                <w:u w:val="none"/>
                <w:lang w:val="en-US" w:eastAsia="zh-CN" w:bidi="ar"/>
              </w:rPr>
              <w:t>住宅</w:t>
            </w:r>
          </w:p>
        </w:tc>
        <w:tc>
          <w:tcPr>
            <w:tcW w:w="98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钢混</w:t>
            </w:r>
          </w:p>
        </w:tc>
        <w:tc>
          <w:tcPr>
            <w:tcW w:w="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val="en-US" w:bidi="ar"/>
              </w:rPr>
            </w:pPr>
            <w:r>
              <w:rPr>
                <w:rFonts w:hint="eastAsia" w:ascii="仿宋_GB2312" w:hAnsi="宋体" w:eastAsia="仿宋_GB2312" w:cs="仿宋_GB2312"/>
                <w:i w:val="0"/>
                <w:iCs w:val="0"/>
                <w:color w:val="000000"/>
                <w:kern w:val="0"/>
                <w:sz w:val="20"/>
                <w:szCs w:val="20"/>
                <w:highlight w:val="none"/>
                <w:u w:val="none"/>
                <w:lang w:val="en-US" w:eastAsia="zh-CN" w:bidi="ar"/>
              </w:rPr>
              <w:t>156.72</w:t>
            </w:r>
            <w:r>
              <w:rPr>
                <w:rFonts w:hint="default" w:ascii="仿宋_GB2312" w:hAnsi="宋体" w:eastAsia="仿宋_GB2312" w:cs="仿宋_GB2312"/>
                <w:i w:val="0"/>
                <w:iCs w:val="0"/>
                <w:color w:val="000000"/>
                <w:kern w:val="0"/>
                <w:sz w:val="20"/>
                <w:szCs w:val="20"/>
                <w:highlight w:val="none"/>
                <w:u w:val="none"/>
                <w:lang w:val="en-US" w:eastAsia="zh-CN" w:bidi="ar"/>
              </w:rPr>
              <w:t xml:space="preserve"> </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2010年</w:t>
            </w:r>
            <w:r>
              <w:rPr>
                <w:rFonts w:hint="default" w:ascii="仿宋_GB2312" w:hAnsi="宋体" w:eastAsia="仿宋_GB2312" w:cs="仿宋_GB2312"/>
                <w:i w:val="0"/>
                <w:iCs w:val="0"/>
                <w:color w:val="000000"/>
                <w:kern w:val="0"/>
                <w:sz w:val="20"/>
                <w:szCs w:val="20"/>
                <w:highlight w:val="none"/>
                <w:u w:val="none"/>
                <w:lang w:val="en-US" w:eastAsia="zh-CN" w:bidi="ar"/>
              </w:rPr>
              <w:t xml:space="preserve"> </w:t>
            </w:r>
          </w:p>
        </w:tc>
      </w:tr>
    </w:tbl>
    <w:p>
      <w:pPr>
        <w:spacing w:line="52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val="en-US" w:eastAsia="zh-CN"/>
        </w:rPr>
        <w:t>2</w:t>
      </w:r>
      <w:r>
        <w:rPr>
          <w:rFonts w:hint="eastAsia" w:ascii="仿宋_GB2312" w:hAnsi="宋体" w:eastAsia="仿宋_GB2312"/>
          <w:sz w:val="28"/>
          <w:szCs w:val="28"/>
          <w:highlight w:val="none"/>
        </w:rPr>
        <w:t>）他项权利</w:t>
      </w:r>
      <w:r>
        <w:rPr>
          <w:rFonts w:hint="eastAsia" w:ascii="仿宋_GB2312" w:hAnsi="宋体" w:eastAsia="仿宋_GB2312"/>
          <w:sz w:val="28"/>
          <w:szCs w:val="28"/>
          <w:highlight w:val="none"/>
          <w:lang w:val="en-US" w:eastAsia="zh-CN"/>
        </w:rPr>
        <w:t>状况</w:t>
      </w:r>
    </w:p>
    <w:p>
      <w:pPr>
        <w:spacing w:line="52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cs="Times New Roman"/>
          <w:sz w:val="28"/>
          <w:szCs w:val="28"/>
          <w:highlight w:val="none"/>
        </w:rPr>
        <w:t>根据</w:t>
      </w:r>
      <w:r>
        <w:rPr>
          <w:rFonts w:hint="eastAsia" w:ascii="仿宋_GB2312" w:hAnsi="宋体" w:eastAsia="仿宋_GB2312" w:cs="Times New Roman"/>
          <w:sz w:val="28"/>
          <w:szCs w:val="28"/>
          <w:highlight w:val="none"/>
          <w:lang w:eastAsia="zh-CN"/>
        </w:rPr>
        <w:t>估价委托人</w:t>
      </w:r>
      <w:r>
        <w:rPr>
          <w:rFonts w:hint="eastAsia" w:ascii="仿宋_GB2312" w:hAnsi="宋体" w:eastAsia="仿宋_GB2312" w:cs="Times New Roman"/>
          <w:sz w:val="28"/>
          <w:szCs w:val="28"/>
          <w:highlight w:val="none"/>
        </w:rPr>
        <w:t>提供的</w:t>
      </w:r>
      <w:r>
        <w:rPr>
          <w:rFonts w:hint="eastAsia" w:ascii="仿宋_GB2312" w:hAnsi="仿宋_GB2312" w:eastAsia="仿宋_GB2312" w:cs="仿宋_GB2312"/>
          <w:bCs/>
          <w:sz w:val="28"/>
          <w:szCs w:val="28"/>
          <w:highlight w:val="none"/>
          <w:lang w:eastAsia="zh-CN"/>
        </w:rPr>
        <w:t>《兴国县不动产权登记情况查询证明》</w:t>
      </w:r>
      <w:r>
        <w:rPr>
          <w:rFonts w:hint="eastAsia" w:ascii="仿宋_GB2312" w:hAnsi="宋体" w:eastAsia="仿宋_GB2312" w:cs="Times New Roman"/>
          <w:sz w:val="28"/>
          <w:szCs w:val="28"/>
          <w:highlight w:val="none"/>
        </w:rPr>
        <w:t>显示，至价值时点止，估价对象未设置如租赁权、地役权、典权等其他他项权利。</w:t>
      </w: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已设定抵押权且已被查封。</w:t>
      </w:r>
      <w:r>
        <w:rPr>
          <w:rFonts w:hint="eastAsia" w:ascii="仿宋_GB2312" w:hAnsi="宋体" w:eastAsia="仿宋_GB2312"/>
          <w:sz w:val="28"/>
          <w:szCs w:val="28"/>
          <w:highlight w:val="none"/>
        </w:rPr>
        <w:t>结合本次估价目的，本次评估未考虑他项权利的影响，提请</w:t>
      </w:r>
      <w:r>
        <w:rPr>
          <w:rFonts w:hint="eastAsia" w:ascii="仿宋_GB2312" w:hAnsi="宋体" w:eastAsia="仿宋_GB2312"/>
          <w:sz w:val="28"/>
          <w:szCs w:val="28"/>
          <w:highlight w:val="none"/>
          <w:lang w:eastAsia="zh-CN"/>
        </w:rPr>
        <w:t>报告使用人</w:t>
      </w:r>
      <w:r>
        <w:rPr>
          <w:rFonts w:hint="eastAsia" w:ascii="仿宋_GB2312" w:hAnsi="宋体" w:eastAsia="仿宋_GB2312"/>
          <w:sz w:val="28"/>
          <w:szCs w:val="28"/>
          <w:highlight w:val="none"/>
        </w:rPr>
        <w:t>注意</w:t>
      </w:r>
      <w:r>
        <w:rPr>
          <w:rFonts w:hint="eastAsia" w:ascii="仿宋_GB2312" w:hAnsi="宋体" w:eastAsia="仿宋_GB2312"/>
          <w:sz w:val="28"/>
          <w:szCs w:val="28"/>
          <w:highlight w:val="none"/>
          <w:lang w:eastAsia="zh-CN"/>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spacing w:val="-20"/>
          <w:sz w:val="28"/>
          <w:highlight w:val="none"/>
        </w:rPr>
      </w:pPr>
      <w:bookmarkStart w:id="29" w:name="_Toc517794689"/>
      <w:bookmarkStart w:id="30" w:name="_Toc517794431"/>
      <w:bookmarkStart w:id="31" w:name="_Toc29465"/>
      <w:bookmarkStart w:id="32" w:name="_Toc17706"/>
      <w:r>
        <w:rPr>
          <w:rFonts w:hint="eastAsia" w:ascii="仿宋_GB2312" w:eastAsia="仿宋_GB2312"/>
          <w:b/>
          <w:highlight w:val="none"/>
        </w:rPr>
        <w:t>（五）价值时点</w:t>
      </w:r>
      <w:bookmarkEnd w:id="29"/>
      <w:bookmarkEnd w:id="30"/>
      <w:bookmarkEnd w:id="31"/>
      <w:bookmarkEnd w:id="32"/>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根据《房地产估价规范》及估价委托人所出具的委托书，</w:t>
      </w:r>
      <w:r>
        <w:rPr>
          <w:rFonts w:hint="eastAsia" w:ascii="仿宋_GB2312" w:hAnsi="宋体" w:eastAsia="仿宋_GB2312"/>
          <w:sz w:val="28"/>
          <w:szCs w:val="28"/>
          <w:highlight w:val="none"/>
          <w:lang w:eastAsia="zh-CN"/>
        </w:rPr>
        <w:t>本次估价</w:t>
      </w:r>
      <w:r>
        <w:rPr>
          <w:rFonts w:hint="eastAsia" w:ascii="仿宋_GB2312" w:hAnsi="宋体" w:eastAsia="仿宋_GB2312"/>
          <w:sz w:val="28"/>
          <w:szCs w:val="28"/>
          <w:highlight w:val="none"/>
        </w:rPr>
        <w:t>价值时点与估价师实地查勘之日一致，为</w:t>
      </w:r>
      <w:r>
        <w:rPr>
          <w:rFonts w:hint="eastAsia" w:ascii="仿宋_GB2312" w:hAnsi="宋体" w:eastAsia="仿宋_GB2312"/>
          <w:sz w:val="28"/>
          <w:szCs w:val="28"/>
          <w:highlight w:val="none"/>
          <w:lang w:eastAsia="zh-CN"/>
        </w:rPr>
        <w:t>2022年4月21日</w:t>
      </w:r>
      <w:r>
        <w:rPr>
          <w:rFonts w:hint="eastAsia" w:ascii="仿宋_GB2312" w:hAnsi="宋体" w:eastAsia="仿宋_GB2312"/>
          <w:sz w:val="28"/>
          <w:szCs w:val="28"/>
          <w:highlight w:val="none"/>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highlight w:val="none"/>
        </w:rPr>
      </w:pPr>
      <w:bookmarkStart w:id="33" w:name="_Toc517794690"/>
      <w:bookmarkStart w:id="34" w:name="_Toc20684"/>
      <w:bookmarkStart w:id="35" w:name="_Toc517794432"/>
      <w:bookmarkStart w:id="36" w:name="_Toc26640"/>
      <w:r>
        <w:rPr>
          <w:rFonts w:hint="eastAsia" w:ascii="仿宋_GB2312" w:eastAsia="仿宋_GB2312"/>
          <w:b/>
          <w:highlight w:val="none"/>
        </w:rPr>
        <w:t>（六）</w:t>
      </w:r>
      <w:r>
        <w:rPr>
          <w:rFonts w:hint="eastAsia" w:ascii="仿宋_GB2312" w:hAnsi="Times New Roman" w:eastAsia="仿宋_GB2312" w:cs="Times New Roman"/>
          <w:b/>
          <w:bCs w:val="0"/>
          <w:kern w:val="2"/>
          <w:szCs w:val="30"/>
          <w:highlight w:val="none"/>
          <w:lang w:bidi="ar"/>
        </w:rPr>
        <w:t>价值</w:t>
      </w:r>
      <w:r>
        <w:rPr>
          <w:rFonts w:hint="eastAsia" w:ascii="仿宋_GB2312" w:hAnsi="Times New Roman" w:eastAsia="仿宋_GB2312" w:cs="Times New Roman"/>
          <w:b/>
          <w:bCs w:val="0"/>
          <w:kern w:val="2"/>
          <w:szCs w:val="30"/>
          <w:highlight w:val="none"/>
          <w:lang w:val="en-US" w:eastAsia="zh-CN" w:bidi="ar"/>
        </w:rPr>
        <w:t>类型</w:t>
      </w:r>
      <w:bookmarkEnd w:id="33"/>
      <w:bookmarkEnd w:id="34"/>
      <w:bookmarkEnd w:id="35"/>
      <w:bookmarkEnd w:id="36"/>
    </w:p>
    <w:p>
      <w:pPr>
        <w:spacing w:line="54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在估价的假设和限制条件下的市场</w:t>
      </w:r>
      <w:r>
        <w:rPr>
          <w:rFonts w:hint="eastAsia" w:ascii="仿宋_GB2312" w:hAnsi="宋体" w:eastAsia="仿宋_GB2312"/>
          <w:color w:val="000000"/>
          <w:sz w:val="28"/>
          <w:szCs w:val="28"/>
          <w:highlight w:val="none"/>
          <w:lang w:eastAsia="zh-CN"/>
        </w:rPr>
        <w:t>价格</w:t>
      </w:r>
      <w:r>
        <w:rPr>
          <w:rFonts w:hint="eastAsia" w:ascii="仿宋_GB2312" w:hAnsi="宋体" w:eastAsia="仿宋_GB2312"/>
          <w:color w:val="000000"/>
          <w:sz w:val="28"/>
          <w:szCs w:val="28"/>
          <w:highlight w:val="none"/>
        </w:rPr>
        <w:t>。</w:t>
      </w:r>
    </w:p>
    <w:p>
      <w:pPr>
        <w:spacing w:line="540" w:lineRule="exact"/>
        <w:ind w:firstLine="562" w:firstLineChars="200"/>
        <w:rPr>
          <w:rFonts w:hint="eastAsia" w:ascii="仿宋_GB2312" w:hAnsi="宋体" w:eastAsia="仿宋_GB2312"/>
          <w:color w:val="000000"/>
          <w:sz w:val="28"/>
          <w:szCs w:val="28"/>
          <w:highlight w:val="none"/>
        </w:rPr>
      </w:pPr>
      <w:r>
        <w:rPr>
          <w:rFonts w:hint="eastAsia" w:ascii="仿宋_GB2312" w:hAnsi="宋体" w:eastAsia="仿宋_GB2312"/>
          <w:b/>
          <w:color w:val="000000"/>
          <w:sz w:val="28"/>
          <w:szCs w:val="28"/>
          <w:highlight w:val="none"/>
        </w:rPr>
        <w:t>市场</w:t>
      </w:r>
      <w:r>
        <w:rPr>
          <w:rFonts w:hint="eastAsia" w:ascii="仿宋_GB2312" w:hAnsi="宋体" w:eastAsia="仿宋_GB2312"/>
          <w:b/>
          <w:color w:val="000000"/>
          <w:sz w:val="28"/>
          <w:szCs w:val="28"/>
          <w:highlight w:val="none"/>
          <w:lang w:eastAsia="zh-CN"/>
        </w:rPr>
        <w:t>价格</w:t>
      </w:r>
      <w:r>
        <w:rPr>
          <w:rFonts w:hint="eastAsia" w:ascii="仿宋_GB2312" w:hAnsi="宋体" w:eastAsia="仿宋_GB2312"/>
          <w:b/>
          <w:color w:val="000000"/>
          <w:sz w:val="28"/>
          <w:szCs w:val="28"/>
          <w:highlight w:val="none"/>
        </w:rPr>
        <w:t>：</w:t>
      </w:r>
      <w:r>
        <w:rPr>
          <w:rFonts w:hint="eastAsia" w:ascii="仿宋_GB2312" w:hAnsi="宋体" w:eastAsia="仿宋_GB2312"/>
          <w:color w:val="000000"/>
          <w:sz w:val="28"/>
          <w:szCs w:val="28"/>
          <w:highlight w:val="none"/>
        </w:rPr>
        <w:t>简称市场价或市价，是某种房地产在市场上的平均交易价格，以一些类似房地产的成交价格为基础测算，剔除偶然的和不正常的因素造成的价格偏差，并消除房地产之间的状况不同造成的价格差异。</w:t>
      </w:r>
    </w:p>
    <w:p>
      <w:pPr>
        <w:keepNext w:val="0"/>
        <w:keepLines w:val="0"/>
        <w:tabs>
          <w:tab w:val="left" w:pos="315"/>
        </w:tabs>
        <w:adjustRightInd/>
        <w:snapToGrid/>
        <w:spacing w:line="360" w:lineRule="exact"/>
        <w:ind w:firstLine="281" w:firstLineChars="100"/>
        <w:jc w:val="center"/>
        <w:outlineLvl w:val="9"/>
        <w:rPr>
          <w:rFonts w:hint="eastAsia" w:ascii="仿宋_GB2312" w:hAnsi="宋体" w:eastAsia="仿宋_GB2312"/>
          <w:b/>
          <w:color w:val="000000"/>
          <w:sz w:val="28"/>
          <w:szCs w:val="28"/>
          <w:highlight w:val="none"/>
        </w:rPr>
      </w:pPr>
      <w:bookmarkStart w:id="37" w:name="_Toc517794691"/>
      <w:bookmarkStart w:id="38" w:name="_Toc517794433"/>
    </w:p>
    <w:p>
      <w:pPr>
        <w:pStyle w:val="4"/>
        <w:spacing w:line="520" w:lineRule="exact"/>
        <w:ind w:firstLine="420"/>
        <w:rPr>
          <w:rFonts w:hint="eastAsia" w:ascii="仿宋_GB2312" w:eastAsia="仿宋_GB2312"/>
          <w:b/>
          <w:color w:val="000000"/>
          <w:sz w:val="28"/>
          <w:highlight w:val="none"/>
        </w:rPr>
      </w:pPr>
      <w:bookmarkStart w:id="39" w:name="_Toc13492"/>
      <w:bookmarkStart w:id="40" w:name="_Toc3336"/>
      <w:r>
        <w:rPr>
          <w:rFonts w:hint="eastAsia" w:ascii="仿宋_GB2312" w:eastAsia="仿宋_GB2312"/>
          <w:b/>
          <w:highlight w:val="none"/>
        </w:rPr>
        <w:t>（七）估价依据</w:t>
      </w:r>
      <w:bookmarkEnd w:id="37"/>
      <w:bookmarkEnd w:id="38"/>
      <w:bookmarkEnd w:id="39"/>
      <w:bookmarkEnd w:id="40"/>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1、相关法律法规</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中华人民共和国城市房地产管理法》（根据2019年8月26日第十三届全国人民代表大会常务委员会第十二次会议《关于修改〈中华人民共和国土地管理法〉、〈中华人民共和国城市房地产管理法〉的决定》第三次修</w:t>
      </w:r>
      <w:r>
        <w:rPr>
          <w:rFonts w:hint="eastAsia" w:ascii="仿宋_GB2312" w:hAnsi="宋体" w:eastAsia="仿宋_GB2312"/>
          <w:color w:val="000000"/>
          <w:sz w:val="28"/>
          <w:szCs w:val="28"/>
          <w:highlight w:val="none"/>
          <w:lang w:eastAsia="zh-CN"/>
        </w:rPr>
        <w:t>正</w:t>
      </w:r>
      <w:r>
        <w:rPr>
          <w:rFonts w:hint="eastAsia" w:ascii="仿宋_GB2312" w:hAnsi="宋体" w:eastAsia="仿宋_GB2312"/>
          <w:color w:val="000000"/>
          <w:sz w:val="28"/>
          <w:szCs w:val="28"/>
          <w:highlight w:val="none"/>
        </w:rPr>
        <w:t>，2020年1月1日起施行）；</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lang w:eastAsia="zh-CN"/>
        </w:rPr>
        <w:t>（</w:t>
      </w:r>
      <w:r>
        <w:rPr>
          <w:rFonts w:hint="eastAsia" w:ascii="仿宋_GB2312" w:hAnsi="宋体" w:eastAsia="仿宋_GB2312"/>
          <w:color w:val="000000"/>
          <w:sz w:val="28"/>
          <w:szCs w:val="28"/>
          <w:highlight w:val="none"/>
          <w:lang w:val="en-US" w:eastAsia="zh-CN"/>
        </w:rPr>
        <w:t>2</w:t>
      </w:r>
      <w:r>
        <w:rPr>
          <w:rFonts w:hint="eastAsia" w:ascii="仿宋_GB2312" w:hAnsi="宋体" w:eastAsia="仿宋_GB2312"/>
          <w:color w:val="000000"/>
          <w:sz w:val="28"/>
          <w:szCs w:val="28"/>
          <w:highlight w:val="none"/>
          <w:lang w:eastAsia="zh-CN"/>
        </w:rPr>
        <w:t>）</w:t>
      </w:r>
      <w:r>
        <w:rPr>
          <w:rFonts w:hint="eastAsia" w:ascii="仿宋_GB2312" w:hAnsi="宋体" w:eastAsia="仿宋_GB2312"/>
          <w:color w:val="000000"/>
          <w:sz w:val="28"/>
          <w:szCs w:val="28"/>
          <w:highlight w:val="none"/>
        </w:rPr>
        <w:t>《中华人民共和国资产评估法》（2016年7月2日第十二届全国人民代表大会常务委员会第二十一次会议通过）；</w:t>
      </w:r>
    </w:p>
    <w:p>
      <w:pPr>
        <w:tabs>
          <w:tab w:val="left" w:pos="2912"/>
        </w:tabs>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3）《中华人民共和国土地管理法》（根据2019年8月26日第十三届全国人民代表大会常务委员会第十二次会议《关于修改〈中华人民共和国土地管理法〉、〈中华人民共和国城市房地产管理法〉的决定》第三次修正，2020年1月1日起施行）;</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（4）《中华人民共和国民法典》（中华人民共和国第十三届全国人民代表大会第三次会议于2020年5月28日通过</w:t>
      </w:r>
      <w:r>
        <w:rPr>
          <w:rFonts w:hint="eastAsia" w:ascii="仿宋_GB2312" w:hAnsi="宋体" w:eastAsia="仿宋_GB2312"/>
          <w:color w:val="000000"/>
          <w:sz w:val="28"/>
          <w:szCs w:val="28"/>
          <w:highlight w:val="none"/>
          <w:lang w:eastAsia="zh-CN"/>
        </w:rPr>
        <w:t>，</w:t>
      </w:r>
      <w:r>
        <w:rPr>
          <w:rFonts w:hint="eastAsia" w:ascii="仿宋_GB2312" w:hAnsi="宋体" w:eastAsia="仿宋_GB2312"/>
          <w:color w:val="000000"/>
          <w:sz w:val="28"/>
          <w:szCs w:val="28"/>
          <w:highlight w:val="none"/>
        </w:rPr>
        <w:t>自2021年1月1日起施行）；</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（5）《中华人民共和国税收征收管理法》（2015年4月24日中华人民共和国主席令第23号发布）；</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（6）《中华人民共和国契税</w:t>
      </w:r>
      <w:r>
        <w:rPr>
          <w:rFonts w:hint="eastAsia" w:ascii="仿宋_GB2312" w:hAnsi="宋体" w:eastAsia="仿宋_GB2312"/>
          <w:color w:val="000000"/>
          <w:sz w:val="28"/>
          <w:szCs w:val="28"/>
          <w:highlight w:val="none"/>
          <w:lang w:eastAsia="zh-CN"/>
        </w:rPr>
        <w:t>法</w:t>
      </w:r>
      <w:r>
        <w:rPr>
          <w:rFonts w:hint="eastAsia" w:ascii="仿宋_GB2312" w:hAnsi="宋体" w:eastAsia="仿宋_GB2312"/>
          <w:color w:val="000000"/>
          <w:sz w:val="28"/>
          <w:szCs w:val="28"/>
          <w:highlight w:val="none"/>
        </w:rPr>
        <w:t>》（</w:t>
      </w:r>
      <w:r>
        <w:rPr>
          <w:rFonts w:hint="eastAsia" w:ascii="仿宋_GB2312" w:hAnsi="宋体" w:eastAsia="仿宋_GB2312" w:cs="Times New Roman"/>
          <w:color w:val="000000"/>
          <w:sz w:val="28"/>
          <w:szCs w:val="28"/>
          <w:highlight w:val="none"/>
          <w:lang w:eastAsia="zh-CN"/>
        </w:rPr>
        <w:t>由</w:t>
      </w:r>
      <w:r>
        <w:rPr>
          <w:rFonts w:hint="eastAsia" w:ascii="仿宋_GB2312" w:hAnsi="宋体" w:eastAsia="仿宋_GB2312" w:cs="Times New Roman"/>
          <w:i w:val="0"/>
          <w:iCs w:val="0"/>
          <w:caps w:val="0"/>
          <w:color w:val="000000"/>
          <w:spacing w:val="0"/>
          <w:sz w:val="28"/>
          <w:szCs w:val="28"/>
          <w:highlight w:val="none"/>
          <w:shd w:val="clear"/>
        </w:rPr>
        <w:t>中华人民共和国第十三届全国人民代表大会常务委员会第二十一次会议于2020年8月11日通过，自2021年9月1日起施行</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（7）《关于全面推开营业税改征增值税试点的通知》</w:t>
      </w:r>
      <w:r>
        <w:rPr>
          <w:rFonts w:hint="eastAsia" w:ascii="仿宋_GB2312" w:hAnsi="宋体" w:eastAsia="仿宋_GB2312"/>
          <w:color w:val="000000"/>
          <w:sz w:val="28"/>
          <w:szCs w:val="28"/>
          <w:highlight w:val="none"/>
          <w:lang w:eastAsia="zh-CN"/>
        </w:rPr>
        <w:t>（</w:t>
      </w:r>
      <w:r>
        <w:rPr>
          <w:rFonts w:hint="eastAsia" w:ascii="仿宋_GB2312" w:hAnsi="宋体" w:eastAsia="仿宋_GB2312"/>
          <w:color w:val="000000"/>
          <w:sz w:val="28"/>
          <w:szCs w:val="28"/>
          <w:highlight w:val="none"/>
        </w:rPr>
        <w:t>财税〔2016〕36号</w:t>
      </w:r>
      <w:r>
        <w:rPr>
          <w:rFonts w:hint="eastAsia" w:ascii="仿宋_GB2312" w:hAnsi="宋体" w:eastAsia="仿宋_GB2312"/>
          <w:color w:val="000000"/>
          <w:sz w:val="28"/>
          <w:szCs w:val="28"/>
          <w:highlight w:val="none"/>
          <w:lang w:eastAsia="zh-CN"/>
        </w:rPr>
        <w:t>）；</w:t>
      </w:r>
    </w:p>
    <w:p>
      <w:pPr>
        <w:spacing w:line="520" w:lineRule="exact"/>
        <w:ind w:firstLine="560" w:firstLineChars="200"/>
        <w:rPr>
          <w:rFonts w:hint="eastAsia" w:ascii="仿宋_GB2312" w:hAnsi="宋体" w:eastAsia="仿宋_GB2312"/>
          <w:color w:val="000000"/>
          <w:sz w:val="28"/>
          <w:szCs w:val="28"/>
          <w:highlight w:val="none"/>
          <w:lang w:eastAsia="zh-CN"/>
        </w:rPr>
      </w:pPr>
      <w:r>
        <w:rPr>
          <w:rFonts w:hint="eastAsia" w:ascii="仿宋_GB2312" w:hAnsi="宋体" w:eastAsia="仿宋_GB2312"/>
          <w:color w:val="000000"/>
          <w:sz w:val="28"/>
          <w:szCs w:val="28"/>
          <w:highlight w:val="none"/>
        </w:rPr>
        <w:t>（8）《中华人民共和国拍卖法》(中华人民共和国主席令第24号发布，自2015年4月24日起施行)</w:t>
      </w:r>
      <w:r>
        <w:rPr>
          <w:rFonts w:hint="eastAsia" w:ascii="仿宋_GB2312" w:hAnsi="宋体" w:eastAsia="仿宋_GB2312"/>
          <w:color w:val="000000"/>
          <w:sz w:val="28"/>
          <w:szCs w:val="28"/>
          <w:highlight w:val="none"/>
          <w:lang w:eastAsia="zh-CN"/>
        </w:rPr>
        <w:t>；</w:t>
      </w:r>
    </w:p>
    <w:p>
      <w:pPr>
        <w:spacing w:line="520" w:lineRule="exact"/>
        <w:ind w:firstLine="560" w:firstLineChars="200"/>
        <w:rPr>
          <w:rFonts w:hint="eastAsia" w:ascii="仿宋_GB2312" w:hAnsi="宋体" w:eastAsia="仿宋_GB2312"/>
          <w:color w:val="000000"/>
          <w:sz w:val="28"/>
          <w:szCs w:val="28"/>
          <w:highlight w:val="none"/>
          <w:lang w:eastAsia="zh-CN"/>
        </w:rPr>
      </w:pPr>
      <w:r>
        <w:rPr>
          <w:rFonts w:hint="eastAsia" w:ascii="仿宋_GB2312" w:hAnsi="宋体" w:eastAsia="仿宋_GB2312"/>
          <w:color w:val="000000"/>
          <w:sz w:val="28"/>
          <w:szCs w:val="28"/>
          <w:highlight w:val="none"/>
        </w:rPr>
        <w:t>（9）《最高人民法院关于人民法院委托评估、拍卖和变卖工作的若干规定》（2009年8月24日法释〔2009〕16号）</w:t>
      </w:r>
      <w:r>
        <w:rPr>
          <w:rFonts w:hint="eastAsia" w:ascii="仿宋_GB2312" w:hAnsi="宋体" w:eastAsia="仿宋_GB2312"/>
          <w:color w:val="000000"/>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2、技术标准、规程、规范</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（1）《房地产估价规范》（GB/T50291-2015）</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（2）《房地产估价基本术语标准》（GB/T50899-2013）</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lang w:val="en-US" w:eastAsia="zh-CN"/>
        </w:rPr>
        <w:t>3</w:t>
      </w:r>
      <w:r>
        <w:rPr>
          <w:rFonts w:hint="eastAsia" w:ascii="仿宋_GB2312" w:hAnsi="仿宋" w:eastAsia="仿宋_GB2312"/>
          <w:sz w:val="28"/>
          <w:szCs w:val="28"/>
          <w:highlight w:val="none"/>
          <w:lang w:eastAsia="zh-CN"/>
        </w:rPr>
        <w:t>）关于印发《涉执房地产处置司法评估指导意见（试行）》的通知（中房学〔2021〕37号）。</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3、估价委托人提供的相关资料</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1</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eastAsia="zh-CN"/>
        </w:rPr>
        <w:t>《兴国县人民法院司法技术委托书》</w:t>
      </w:r>
      <w:r>
        <w:rPr>
          <w:rFonts w:hint="eastAsia" w:ascii="仿宋_GB2312" w:hAnsi="仿宋" w:eastAsia="仿宋_GB2312"/>
          <w:sz w:val="28"/>
          <w:szCs w:val="28"/>
          <w:highlight w:val="none"/>
        </w:rPr>
        <w:t>复印件</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2</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eastAsia="zh-CN"/>
        </w:rPr>
        <w:t>《兴国县不动产登记情况查询证明》</w:t>
      </w:r>
      <w:r>
        <w:rPr>
          <w:rFonts w:hint="eastAsia" w:ascii="仿宋_GB2312" w:hAnsi="仿宋" w:eastAsia="仿宋_GB2312"/>
          <w:sz w:val="28"/>
          <w:szCs w:val="28"/>
          <w:highlight w:val="none"/>
        </w:rPr>
        <w:t>复印件</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宋体"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3</w:t>
      </w:r>
      <w:r>
        <w:rPr>
          <w:rFonts w:hint="eastAsia" w:ascii="仿宋_GB2312" w:hAnsi="仿宋" w:eastAsia="仿宋_GB2312"/>
          <w:sz w:val="28"/>
          <w:szCs w:val="28"/>
          <w:highlight w:val="none"/>
        </w:rPr>
        <w:t>）</w:t>
      </w:r>
      <w:r>
        <w:rPr>
          <w:rFonts w:hint="eastAsia" w:ascii="仿宋_GB2312" w:hAnsi="宋体" w:eastAsia="仿宋_GB2312"/>
          <w:sz w:val="28"/>
          <w:szCs w:val="28"/>
          <w:highlight w:val="none"/>
          <w:lang w:eastAsia="zh-CN"/>
        </w:rPr>
        <w:t>兴国县人民法院</w:t>
      </w:r>
      <w:r>
        <w:rPr>
          <w:rFonts w:hint="eastAsia" w:ascii="仿宋_GB2312" w:hAnsi="宋体" w:eastAsia="仿宋_GB2312"/>
          <w:sz w:val="28"/>
          <w:szCs w:val="28"/>
          <w:highlight w:val="none"/>
        </w:rPr>
        <w:t>提供的相关资料</w:t>
      </w:r>
      <w:r>
        <w:rPr>
          <w:rFonts w:hint="eastAsia" w:ascii="仿宋_GB2312" w:hAnsi="宋体"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4、估价人员调查收集的相关资料</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（1）估价人员实地查勘和估价机构掌握的其他相关资料；</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20" w:lineRule="exact"/>
        <w:ind w:firstLine="420"/>
        <w:rPr>
          <w:rFonts w:hint="eastAsia" w:ascii="仿宋_GB2312" w:eastAsia="仿宋_GB2312"/>
          <w:b/>
          <w:highlight w:val="none"/>
        </w:rPr>
      </w:pPr>
      <w:bookmarkStart w:id="41" w:name="_Toc517794692"/>
      <w:bookmarkStart w:id="42" w:name="_Toc517794434"/>
      <w:bookmarkStart w:id="43" w:name="_Toc31488"/>
      <w:bookmarkStart w:id="44" w:name="_Toc21428"/>
      <w:r>
        <w:rPr>
          <w:rFonts w:hint="eastAsia" w:ascii="仿宋_GB2312" w:eastAsia="仿宋_GB2312"/>
          <w:b/>
          <w:highlight w:val="none"/>
        </w:rPr>
        <w:t>（八）估价原则</w:t>
      </w:r>
      <w:bookmarkEnd w:id="41"/>
      <w:bookmarkEnd w:id="42"/>
      <w:bookmarkEnd w:id="43"/>
      <w:bookmarkEnd w:id="44"/>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1、合法原则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要求房地产估价应以估价对象的合法权益为前提进行。</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合法权益包括合法产权、合法使用、合法处分等方面。</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 w:val="0"/>
          <w:bCs/>
          <w:sz w:val="28"/>
          <w:szCs w:val="28"/>
          <w:highlight w:val="none"/>
          <w:lang w:val="en-US" w:eastAsia="zh-CN"/>
        </w:rPr>
        <w:t>2</w:t>
      </w:r>
      <w:r>
        <w:rPr>
          <w:rFonts w:hint="eastAsia" w:ascii="仿宋_GB2312" w:hAnsi="宋体" w:eastAsia="仿宋_GB2312"/>
          <w:b w:val="0"/>
          <w:bCs/>
          <w:sz w:val="28"/>
          <w:szCs w:val="28"/>
          <w:highlight w:val="none"/>
        </w:rPr>
        <w:t>、独立、客观、公正原则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要求站在中立的立场上，实事求</w:t>
      </w:r>
      <w:r>
        <w:rPr>
          <w:rFonts w:hint="eastAsia" w:ascii="仿宋_GB2312" w:hAnsi="宋体" w:eastAsia="仿宋_GB2312"/>
          <w:bCs/>
          <w:sz w:val="28"/>
          <w:szCs w:val="28"/>
          <w:highlight w:val="none"/>
          <w:lang w:val="en-US" w:eastAsia="zh-CN"/>
        </w:rPr>
        <w:t>是</w:t>
      </w:r>
      <w:r>
        <w:rPr>
          <w:rFonts w:hint="eastAsia" w:ascii="仿宋_GB2312" w:hAnsi="宋体" w:eastAsia="仿宋_GB2312"/>
          <w:bCs/>
          <w:sz w:val="28"/>
          <w:szCs w:val="28"/>
          <w:highlight w:val="none"/>
        </w:rPr>
        <w:t>，公平正直地评估出对各方估价利害关系人均是公平合理价值或价格的原则。</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3、替代原则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要求房地产估价结果不得明显偏离类似房地产在同等条件下的正常价格。</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类似房地产是指与估价对象处在同一供求范围内，并在用途、规模、档次、建筑结构等方面与估价对象相同或相近的房地产。</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4、价值时点原则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要求房地产估价结果应是估价对象在价值时点时的客观合理价格或价值。价值时点是评估房地产价格的时间界定。</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lang w:val="en-US" w:eastAsia="zh-CN"/>
        </w:rPr>
        <w:t>5</w:t>
      </w:r>
      <w:r>
        <w:rPr>
          <w:rFonts w:hint="eastAsia" w:ascii="仿宋_GB2312" w:hAnsi="宋体" w:eastAsia="仿宋_GB2312"/>
          <w:b w:val="0"/>
          <w:bCs/>
          <w:sz w:val="28"/>
          <w:szCs w:val="28"/>
          <w:highlight w:val="none"/>
        </w:rPr>
        <w:t>、最高最佳使用原则</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要求房地产估价应以估价对象的最高最佳使用为前提进行。</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最高最佳使用指法律上允许、技术上可能、经济上可行，经过充分合理的论证，能使估价对象的价值达到最大的一种最可能的使用。</w:t>
      </w:r>
    </w:p>
    <w:p>
      <w:pPr>
        <w:spacing w:line="500" w:lineRule="exact"/>
        <w:ind w:firstLine="560" w:firstLineChars="200"/>
        <w:rPr>
          <w:rFonts w:hint="eastAsia" w:ascii="仿宋_GB2312" w:hAnsi="宋体" w:eastAsia="仿宋_GB2312"/>
          <w:sz w:val="28"/>
          <w:szCs w:val="28"/>
          <w:highlight w:val="none"/>
        </w:rPr>
      </w:pPr>
    </w:p>
    <w:p>
      <w:pPr>
        <w:pStyle w:val="4"/>
        <w:spacing w:line="500" w:lineRule="exact"/>
        <w:ind w:firstLine="420"/>
        <w:rPr>
          <w:rFonts w:hint="eastAsia" w:ascii="仿宋_GB2312" w:eastAsia="仿宋_GB2312"/>
          <w:b/>
          <w:highlight w:val="none"/>
        </w:rPr>
      </w:pPr>
      <w:bookmarkStart w:id="45" w:name="_Toc517794693"/>
      <w:bookmarkStart w:id="46" w:name="_Toc517794435"/>
      <w:bookmarkStart w:id="47" w:name="_Toc32451"/>
      <w:bookmarkStart w:id="48" w:name="_Toc23396"/>
      <w:r>
        <w:rPr>
          <w:rFonts w:hint="eastAsia" w:ascii="仿宋_GB2312" w:eastAsia="仿宋_GB2312"/>
          <w:b/>
          <w:highlight w:val="none"/>
        </w:rPr>
        <w:t>（九）估价方法</w:t>
      </w:r>
      <w:bookmarkEnd w:id="45"/>
      <w:bookmarkEnd w:id="46"/>
      <w:bookmarkEnd w:id="47"/>
      <w:bookmarkEnd w:id="48"/>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1、估价方法的选用</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根据《房地产估价规范》（GB/T50291-2015），通行的估价方法有比较法、收益法、成本法、假设开发法等。</w:t>
      </w:r>
    </w:p>
    <w:p>
      <w:pPr>
        <w:spacing w:line="500" w:lineRule="exact"/>
        <w:ind w:firstLine="536" w:firstLineChars="200"/>
        <w:rPr>
          <w:rFonts w:hint="eastAsia" w:ascii="仿宋_GB2312" w:hAnsi="宋体" w:eastAsia="仿宋_GB2312"/>
          <w:spacing w:val="-6"/>
          <w:sz w:val="28"/>
          <w:szCs w:val="28"/>
          <w:highlight w:val="none"/>
        </w:rPr>
      </w:pPr>
      <w:r>
        <w:rPr>
          <w:rFonts w:hint="eastAsia" w:ascii="仿宋_GB2312" w:hAnsi="宋体" w:eastAsia="仿宋_GB2312"/>
          <w:spacing w:val="-6"/>
          <w:sz w:val="28"/>
          <w:szCs w:val="28"/>
          <w:highlight w:val="none"/>
        </w:rPr>
        <w:t>估价人员细致地分析了估价对象的特点和实际状况，并研究了估价委托人提供及估价方所掌握的资料后，确定采用比较法作为</w:t>
      </w:r>
      <w:r>
        <w:rPr>
          <w:rFonts w:hint="eastAsia" w:ascii="仿宋_GB2312" w:hAnsi="宋体" w:eastAsia="仿宋_GB2312"/>
          <w:spacing w:val="-6"/>
          <w:sz w:val="28"/>
          <w:szCs w:val="28"/>
          <w:highlight w:val="none"/>
          <w:lang w:eastAsia="zh-CN"/>
        </w:rPr>
        <w:t>本次估价</w:t>
      </w:r>
      <w:r>
        <w:rPr>
          <w:rFonts w:hint="eastAsia" w:ascii="仿宋_GB2312" w:hAnsi="宋体" w:eastAsia="仿宋_GB2312"/>
          <w:spacing w:val="-6"/>
          <w:sz w:val="28"/>
          <w:szCs w:val="28"/>
          <w:highlight w:val="none"/>
        </w:rPr>
        <w:t>的测算方法，确定待估房地产的价值。理由如下：</w:t>
      </w:r>
    </w:p>
    <w:p>
      <w:pPr>
        <w:spacing w:line="500" w:lineRule="exact"/>
        <w:ind w:firstLine="536" w:firstLineChars="200"/>
        <w:rPr>
          <w:rFonts w:eastAsia="仿宋_GB2312"/>
          <w:spacing w:val="-6"/>
          <w:sz w:val="28"/>
          <w:szCs w:val="28"/>
          <w:highlight w:val="none"/>
        </w:rPr>
      </w:pPr>
      <w:r>
        <w:rPr>
          <w:rFonts w:eastAsia="仿宋_GB2312"/>
          <w:spacing w:val="-6"/>
          <w:sz w:val="28"/>
          <w:szCs w:val="28"/>
          <w:highlight w:val="none"/>
        </w:rPr>
        <w:t>（1）选用方法的理由</w:t>
      </w:r>
    </w:p>
    <w:p>
      <w:pPr>
        <w:spacing w:line="540" w:lineRule="exact"/>
        <w:ind w:firstLine="536" w:firstLineChars="200"/>
        <w:rPr>
          <w:rFonts w:hint="eastAsia" w:eastAsia="仿宋_GB2312"/>
          <w:sz w:val="28"/>
          <w:szCs w:val="28"/>
          <w:highlight w:val="none"/>
          <w:lang w:eastAsia="zh-CN"/>
        </w:rPr>
      </w:pPr>
      <w:r>
        <w:rPr>
          <w:rFonts w:eastAsia="仿宋_GB2312"/>
          <w:spacing w:val="-6"/>
          <w:sz w:val="28"/>
          <w:szCs w:val="28"/>
          <w:highlight w:val="none"/>
        </w:rPr>
        <w:t>估价对象</w:t>
      </w:r>
      <w:r>
        <w:rPr>
          <w:rFonts w:hint="eastAsia" w:eastAsia="仿宋_GB2312"/>
          <w:spacing w:val="-6"/>
          <w:sz w:val="28"/>
          <w:szCs w:val="28"/>
          <w:highlight w:val="none"/>
          <w:lang w:eastAsia="zh-CN"/>
        </w:rPr>
        <w:t>现状</w:t>
      </w:r>
      <w:r>
        <w:rPr>
          <w:rFonts w:eastAsia="仿宋_GB2312"/>
          <w:spacing w:val="-6"/>
          <w:sz w:val="28"/>
          <w:szCs w:val="28"/>
          <w:highlight w:val="none"/>
        </w:rPr>
        <w:t>用途为</w:t>
      </w:r>
      <w:r>
        <w:rPr>
          <w:rFonts w:hint="eastAsia" w:eastAsia="仿宋_GB2312"/>
          <w:spacing w:val="-6"/>
          <w:sz w:val="28"/>
          <w:szCs w:val="28"/>
          <w:highlight w:val="none"/>
          <w:lang w:eastAsia="zh-CN"/>
        </w:rPr>
        <w:t>住宅</w:t>
      </w:r>
      <w:r>
        <w:rPr>
          <w:rFonts w:eastAsia="仿宋_GB2312"/>
          <w:spacing w:val="-6"/>
          <w:sz w:val="28"/>
          <w:szCs w:val="28"/>
          <w:highlight w:val="none"/>
        </w:rPr>
        <w:t>，</w:t>
      </w:r>
      <w:r>
        <w:rPr>
          <w:rFonts w:eastAsia="仿宋_GB2312"/>
          <w:sz w:val="28"/>
          <w:szCs w:val="28"/>
          <w:highlight w:val="none"/>
        </w:rPr>
        <w:t>所在区域近期内</w:t>
      </w:r>
      <w:r>
        <w:rPr>
          <w:rFonts w:hint="eastAsia" w:eastAsia="仿宋_GB2312"/>
          <w:sz w:val="28"/>
          <w:szCs w:val="28"/>
          <w:highlight w:val="none"/>
        </w:rPr>
        <w:t>类似</w:t>
      </w:r>
      <w:r>
        <w:rPr>
          <w:rFonts w:hint="eastAsia" w:eastAsia="仿宋_GB2312"/>
          <w:sz w:val="28"/>
          <w:szCs w:val="28"/>
          <w:highlight w:val="none"/>
          <w:lang w:eastAsia="zh-CN"/>
        </w:rPr>
        <w:t>住宅</w:t>
      </w:r>
      <w:r>
        <w:rPr>
          <w:rFonts w:hint="eastAsia" w:eastAsia="仿宋_GB2312"/>
          <w:sz w:val="28"/>
          <w:szCs w:val="28"/>
          <w:highlight w:val="none"/>
        </w:rPr>
        <w:t>房地产</w:t>
      </w:r>
      <w:r>
        <w:rPr>
          <w:rFonts w:eastAsia="仿宋_GB2312"/>
          <w:sz w:val="28"/>
          <w:szCs w:val="28"/>
          <w:highlight w:val="none"/>
        </w:rPr>
        <w:t>交易案例较丰富，故本次评估可选用比较法进行测算</w:t>
      </w:r>
      <w:r>
        <w:rPr>
          <w:rFonts w:hint="eastAsia" w:eastAsia="仿宋_GB2312"/>
          <w:sz w:val="28"/>
          <w:szCs w:val="28"/>
          <w:highlight w:val="none"/>
          <w:lang w:eastAsia="zh-CN"/>
        </w:rPr>
        <w:t>。</w:t>
      </w:r>
    </w:p>
    <w:p>
      <w:pPr>
        <w:spacing w:line="500" w:lineRule="exact"/>
        <w:ind w:firstLine="536" w:firstLineChars="200"/>
        <w:rPr>
          <w:rFonts w:eastAsia="仿宋_GB2312"/>
          <w:spacing w:val="-6"/>
          <w:sz w:val="28"/>
          <w:szCs w:val="28"/>
          <w:highlight w:val="none"/>
        </w:rPr>
      </w:pPr>
      <w:r>
        <w:rPr>
          <w:rFonts w:eastAsia="仿宋_GB2312"/>
          <w:spacing w:val="-6"/>
          <w:sz w:val="28"/>
          <w:szCs w:val="28"/>
          <w:highlight w:val="none"/>
        </w:rPr>
        <w:t>（2）未选用方法的理由</w:t>
      </w:r>
    </w:p>
    <w:p>
      <w:pPr>
        <w:spacing w:line="540" w:lineRule="exact"/>
        <w:ind w:firstLine="560" w:firstLineChars="200"/>
        <w:rPr>
          <w:rFonts w:hint="eastAsia" w:ascii="仿宋_GB2312" w:hAnsi="宋体" w:eastAsia="仿宋_GB2312" w:cs="仿宋_GB2312"/>
          <w:color w:val="auto"/>
          <w:sz w:val="28"/>
          <w:szCs w:val="28"/>
        </w:rPr>
      </w:pPr>
      <w:r>
        <w:rPr>
          <w:rFonts w:hint="eastAsia" w:ascii="仿宋_GB2312" w:hAnsi="宋体" w:eastAsia="仿宋_GB2312" w:cs="仿宋_GB2312"/>
          <w:sz w:val="28"/>
          <w:szCs w:val="28"/>
          <w:highlight w:val="none"/>
        </w:rPr>
        <w:t>估价对象</w:t>
      </w:r>
      <w:r>
        <w:rPr>
          <w:rFonts w:hint="eastAsia" w:ascii="仿宋_GB2312" w:hAnsi="宋体" w:eastAsia="仿宋_GB2312" w:cs="仿宋_GB2312"/>
          <w:sz w:val="28"/>
          <w:szCs w:val="28"/>
          <w:highlight w:val="none"/>
          <w:lang w:val="en-US" w:eastAsia="zh-CN"/>
        </w:rPr>
        <w:t>房屋现状用途</w:t>
      </w:r>
      <w:r>
        <w:rPr>
          <w:rFonts w:hint="eastAsia" w:ascii="仿宋_GB2312" w:hAnsi="宋体" w:eastAsia="仿宋_GB2312" w:cs="仿宋_GB2312"/>
          <w:sz w:val="28"/>
          <w:szCs w:val="28"/>
          <w:highlight w:val="none"/>
        </w:rPr>
        <w:t>为</w:t>
      </w:r>
      <w:r>
        <w:rPr>
          <w:rFonts w:hint="eastAsia" w:ascii="仿宋_GB2312" w:hAnsi="宋体" w:eastAsia="仿宋_GB2312" w:cs="仿宋_GB2312"/>
          <w:sz w:val="28"/>
          <w:szCs w:val="28"/>
          <w:highlight w:val="none"/>
          <w:lang w:val="en-US" w:eastAsia="zh-CN"/>
        </w:rPr>
        <w:t>住宅</w:t>
      </w:r>
      <w:r>
        <w:rPr>
          <w:rFonts w:hint="eastAsia" w:ascii="仿宋_GB2312" w:hAnsi="宋体" w:eastAsia="仿宋_GB2312" w:cs="仿宋_GB2312"/>
          <w:sz w:val="28"/>
          <w:szCs w:val="28"/>
          <w:highlight w:val="none"/>
        </w:rPr>
        <w:t>，采用成本法进行评估会一定程度上低估估价对象的价值，故不宜选用成本法</w:t>
      </w:r>
      <w:r>
        <w:rPr>
          <w:rFonts w:hint="eastAsia" w:ascii="仿宋_GB2312" w:hAnsi="宋体" w:eastAsia="仿宋_GB2312" w:cs="仿宋_GB2312"/>
          <w:sz w:val="28"/>
          <w:szCs w:val="28"/>
          <w:highlight w:val="none"/>
          <w:lang w:eastAsia="zh-CN"/>
        </w:rPr>
        <w:t>；</w:t>
      </w:r>
      <w:r>
        <w:rPr>
          <w:rFonts w:hint="eastAsia" w:ascii="仿宋_GB2312" w:hAnsi="宋体" w:eastAsia="仿宋_GB2312" w:cs="仿宋_GB2312"/>
          <w:sz w:val="28"/>
          <w:szCs w:val="28"/>
          <w:highlight w:val="none"/>
        </w:rPr>
        <w:t>估价对象为已开发完成房地产，再投资开发潜力不高，故不宜选用假设开发法</w:t>
      </w:r>
      <w:r>
        <w:rPr>
          <w:rFonts w:hint="eastAsia" w:ascii="仿宋_GB2312" w:hAnsi="宋体" w:eastAsia="仿宋_GB2312" w:cs="仿宋_GB2312"/>
          <w:sz w:val="28"/>
          <w:szCs w:val="28"/>
          <w:highlight w:val="none"/>
          <w:lang w:eastAsia="zh-CN"/>
        </w:rPr>
        <w:t>；</w:t>
      </w:r>
      <w:r>
        <w:rPr>
          <w:rFonts w:hint="eastAsia" w:ascii="仿宋_GB2312" w:hAnsi="宋体" w:eastAsia="仿宋_GB2312" w:cs="仿宋_GB2312"/>
          <w:color w:val="auto"/>
          <w:sz w:val="28"/>
          <w:szCs w:val="28"/>
        </w:rPr>
        <w:t>由于同类住宅房屋市场价格上涨幅度远大于租金情况，采用收益法难以体现住宅的价值，故不宜选用收益法。</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2、选用估价方法简介</w:t>
      </w:r>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比较法是将估价对象与估价时点有过交易的类似房地产进行比较，对于这些类似房地产的已知价格作适当的修正，以此估算对象的客观合理价格或价值的方法。</w:t>
      </w:r>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比较法公式：</w:t>
      </w:r>
    </w:p>
    <w:p>
      <w:pPr>
        <w:tabs>
          <w:tab w:val="left" w:pos="5568"/>
        </w:tabs>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估价对象价格=可比实例价格×市场状况调整修正系数×交易情况修正系数×房地产状况调整系数。</w:t>
      </w:r>
    </w:p>
    <w:p>
      <w:pPr>
        <w:tabs>
          <w:tab w:val="left" w:pos="525"/>
        </w:tabs>
        <w:spacing w:line="500" w:lineRule="exact"/>
        <w:ind w:firstLine="560" w:firstLineChars="200"/>
        <w:rPr>
          <w:rFonts w:hint="eastAsia" w:ascii="仿宋_GB2312" w:hAnsi="宋体" w:eastAsia="仿宋_GB2312"/>
          <w:sz w:val="28"/>
          <w:szCs w:val="28"/>
          <w:highlight w:val="none"/>
        </w:rPr>
      </w:pPr>
    </w:p>
    <w:p>
      <w:pPr>
        <w:pStyle w:val="4"/>
        <w:spacing w:line="520" w:lineRule="exact"/>
        <w:ind w:firstLine="420"/>
        <w:rPr>
          <w:rFonts w:hint="eastAsia" w:ascii="仿宋_GB2312" w:eastAsia="仿宋_GB2312"/>
          <w:b/>
          <w:highlight w:val="none"/>
          <w:lang w:val="en-US" w:eastAsia="zh-CN"/>
        </w:rPr>
      </w:pPr>
      <w:bookmarkStart w:id="49" w:name="_Toc10617"/>
      <w:bookmarkStart w:id="50" w:name="_Toc517794694"/>
      <w:bookmarkStart w:id="51" w:name="_Toc517794436"/>
      <w:bookmarkStart w:id="52" w:name="_Toc31723"/>
      <w:r>
        <w:rPr>
          <w:rFonts w:hint="eastAsia" w:ascii="仿宋_GB2312" w:eastAsia="仿宋_GB2312"/>
          <w:b/>
          <w:highlight w:val="none"/>
        </w:rPr>
        <w:t>（十）估价结果</w:t>
      </w:r>
      <w:bookmarkEnd w:id="49"/>
      <w:bookmarkEnd w:id="50"/>
      <w:bookmarkEnd w:id="51"/>
      <w:bookmarkEnd w:id="52"/>
    </w:p>
    <w:p>
      <w:pPr>
        <w:spacing w:line="500" w:lineRule="exact"/>
        <w:ind w:firstLine="560" w:firstLineChars="200"/>
        <w:rPr>
          <w:rFonts w:hint="eastAsia" w:ascii="仿宋_GB2312" w:hAnsi="宋体" w:eastAsia="仿宋_GB2312" w:cs="仿宋_GB2312"/>
          <w:sz w:val="28"/>
          <w:szCs w:val="28"/>
          <w:highlight w:val="none"/>
          <w:lang w:bidi="ar"/>
        </w:rPr>
      </w:pPr>
      <w:r>
        <w:rPr>
          <w:rFonts w:hint="eastAsia" w:ascii="仿宋_GB2312" w:hAnsi="宋体" w:eastAsia="仿宋_GB2312"/>
          <w:sz w:val="28"/>
          <w:szCs w:val="28"/>
          <w:highlight w:val="none"/>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宋体" w:eastAsia="仿宋_GB2312"/>
          <w:sz w:val="28"/>
          <w:szCs w:val="28"/>
          <w:highlight w:val="none"/>
          <w:lang w:eastAsia="zh-CN"/>
        </w:rPr>
        <w:t>2022年4月21日</w:t>
      </w:r>
      <w:r>
        <w:rPr>
          <w:rFonts w:hint="eastAsia" w:ascii="仿宋_GB2312" w:hAnsi="宋体" w:eastAsia="仿宋_GB2312"/>
          <w:sz w:val="28"/>
          <w:szCs w:val="28"/>
          <w:highlight w:val="none"/>
        </w:rPr>
        <w:t>，</w:t>
      </w:r>
      <w:r>
        <w:rPr>
          <w:rFonts w:hint="eastAsia" w:ascii="仿宋_GB2312" w:hAnsi="宋体" w:eastAsia="仿宋_GB2312" w:cs="仿宋_GB2312"/>
          <w:sz w:val="28"/>
          <w:szCs w:val="28"/>
          <w:highlight w:val="none"/>
          <w:lang w:bidi="ar"/>
        </w:rPr>
        <w:t>在满足估价假设和限制条件下的价值进行估算和判定，得出估价结果——评估价值为大写人民币</w:t>
      </w:r>
      <w:r>
        <w:rPr>
          <w:rFonts w:hint="eastAsia" w:ascii="仿宋_GB2312" w:hAnsi="仿宋_GB2312" w:eastAsia="仿宋_GB2312" w:cs="仿宋_GB2312"/>
          <w:b/>
          <w:bCs/>
          <w:color w:val="000000"/>
          <w:sz w:val="28"/>
          <w:szCs w:val="28"/>
          <w:highlight w:val="none"/>
          <w:lang w:bidi="ar"/>
        </w:rPr>
        <w:fldChar w:fldCharType="begin"/>
      </w:r>
      <w:r>
        <w:rPr>
          <w:rFonts w:hint="eastAsia" w:ascii="仿宋_GB2312" w:hAnsi="仿宋_GB2312" w:eastAsia="仿宋_GB2312" w:cs="仿宋_GB2312"/>
          <w:b/>
          <w:bCs/>
          <w:color w:val="000000"/>
          <w:sz w:val="28"/>
          <w:szCs w:val="28"/>
          <w:highlight w:val="none"/>
          <w:lang w:bidi="ar"/>
        </w:rPr>
        <w:instrText xml:space="preserve"> = 2888800 \* CHINESENUM2 \* MERGEFORMAT </w:instrText>
      </w:r>
      <w:r>
        <w:rPr>
          <w:rFonts w:hint="eastAsia" w:ascii="仿宋_GB2312" w:hAnsi="仿宋_GB2312" w:eastAsia="仿宋_GB2312" w:cs="仿宋_GB2312"/>
          <w:b/>
          <w:bCs/>
          <w:color w:val="000000"/>
          <w:sz w:val="28"/>
          <w:szCs w:val="28"/>
          <w:highlight w:val="none"/>
          <w:lang w:bidi="ar"/>
        </w:rPr>
        <w:fldChar w:fldCharType="separate"/>
      </w:r>
      <w:r>
        <w:rPr>
          <w:rFonts w:hint="eastAsia" w:ascii="仿宋_GB2312" w:hAnsi="仿宋_GB2312" w:eastAsia="仿宋_GB2312" w:cs="仿宋_GB2312"/>
          <w:b/>
          <w:bCs/>
          <w:color w:val="000000"/>
          <w:sz w:val="28"/>
          <w:szCs w:val="28"/>
          <w:highlight w:val="none"/>
          <w:lang w:eastAsia="zh-CN"/>
        </w:rPr>
        <w:t>玖拾柒万玖仟柒佰</w:t>
      </w:r>
      <w:r>
        <w:rPr>
          <w:rFonts w:hint="eastAsia" w:ascii="仿宋_GB2312" w:hAnsi="仿宋_GB2312" w:eastAsia="仿宋_GB2312" w:cs="仿宋_GB2312"/>
          <w:b/>
          <w:bCs/>
          <w:color w:val="000000"/>
          <w:sz w:val="28"/>
          <w:szCs w:val="28"/>
          <w:highlight w:val="none"/>
          <w:lang w:bidi="ar"/>
        </w:rPr>
        <w:fldChar w:fldCharType="end"/>
      </w:r>
      <w:r>
        <w:rPr>
          <w:rFonts w:hint="eastAsia" w:ascii="仿宋_GB2312" w:hAnsi="仿宋_GB2312" w:eastAsia="仿宋_GB2312" w:cs="仿宋_GB2312"/>
          <w:color w:val="000000"/>
          <w:sz w:val="28"/>
          <w:szCs w:val="28"/>
          <w:highlight w:val="none"/>
        </w:rPr>
        <w:t>元整</w:t>
      </w:r>
      <w:r>
        <w:rPr>
          <w:rFonts w:hint="eastAsia" w:ascii="仿宋_GB2312" w:hAnsi="宋体" w:eastAsia="仿宋_GB2312"/>
          <w:sz w:val="28"/>
          <w:szCs w:val="28"/>
          <w:highlight w:val="none"/>
        </w:rPr>
        <w:t>（</w:t>
      </w:r>
      <w:r>
        <w:rPr>
          <w:rFonts w:hint="eastAsia" w:ascii="仿宋_GB2312" w:hAnsi="宋体" w:eastAsia="仿宋_GB2312"/>
          <w:b/>
          <w:bCs/>
          <w:sz w:val="28"/>
          <w:szCs w:val="28"/>
          <w:highlight w:val="none"/>
          <w:lang w:val="zh-CN"/>
        </w:rPr>
        <w:t>¥97.97</w:t>
      </w:r>
      <w:r>
        <w:rPr>
          <w:rFonts w:hint="eastAsia" w:ascii="仿宋_GB2312" w:hAnsi="宋体" w:eastAsia="仿宋_GB2312"/>
          <w:b/>
          <w:bCs/>
          <w:sz w:val="28"/>
          <w:szCs w:val="28"/>
          <w:highlight w:val="none"/>
          <w:lang w:val="en-US" w:eastAsia="zh-CN"/>
        </w:rPr>
        <w:t>万</w:t>
      </w:r>
      <w:r>
        <w:rPr>
          <w:rFonts w:hint="eastAsia" w:ascii="仿宋_GB2312" w:hAnsi="宋体" w:eastAsia="仿宋_GB2312"/>
          <w:b/>
          <w:bCs/>
          <w:sz w:val="28"/>
          <w:szCs w:val="28"/>
          <w:highlight w:val="none"/>
          <w:lang w:val="zh-CN"/>
        </w:rPr>
        <w:t>元</w:t>
      </w:r>
      <w:r>
        <w:rPr>
          <w:rFonts w:hint="eastAsia" w:ascii="仿宋_GB2312" w:hAnsi="宋体" w:eastAsia="仿宋_GB2312"/>
          <w:sz w:val="28"/>
          <w:szCs w:val="28"/>
          <w:highlight w:val="none"/>
        </w:rPr>
        <w:t>）</w:t>
      </w:r>
      <w:r>
        <w:rPr>
          <w:rFonts w:hint="eastAsia" w:ascii="仿宋_GB2312" w:hAnsi="宋体" w:eastAsia="仿宋_GB2312" w:cs="仿宋_GB2312"/>
          <w:sz w:val="28"/>
          <w:szCs w:val="28"/>
          <w:highlight w:val="none"/>
          <w:lang w:bidi="ar"/>
        </w:rPr>
        <w:t>，具体详见下表：</w:t>
      </w:r>
    </w:p>
    <w:p>
      <w:pPr>
        <w:spacing w:line="500" w:lineRule="exact"/>
        <w:ind w:firstLine="562" w:firstLineChars="200"/>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估价结果汇总表</w:t>
      </w:r>
    </w:p>
    <w:tbl>
      <w:tblPr>
        <w:tblStyle w:val="26"/>
        <w:tblW w:w="800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2113"/>
        <w:gridCol w:w="30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569" w:type="dxa"/>
            <w:gridSpan w:val="2"/>
            <w:tcBorders>
              <w:tl2br w:val="nil"/>
              <w:tr2bl w:val="nil"/>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snapToGrid/>
              <w:spacing w:line="240" w:lineRule="exact"/>
              <w:ind w:firstLine="0" w:firstLineChars="0"/>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                   </w:t>
            </w:r>
          </w:p>
          <w:p>
            <w:pPr>
              <w:widowControl/>
              <w:snapToGrid w:val="0"/>
              <w:spacing w:line="240" w:lineRule="auto"/>
              <w:ind w:firstLine="210" w:firstLineChars="100"/>
              <mc:AlternateContent>
                <mc:Choice Requires="wpsCustomData">
                  <wpsCustomData:diagonalParaType/>
                </mc:Choice>
              </mc:AlternateContent>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rPr>
              <w:t>相关结果</w:t>
            </w:r>
          </w:p>
          <w:p>
            <w:pPr>
              <w:widowControl/>
              <w:spacing w:line="240" w:lineRule="exact"/>
              <w:ind w:firstLine="1155" w:firstLineChars="550"/>
              <w:rPr>
                <w:rFonts w:hint="eastAsia" w:ascii="仿宋_GB2312" w:hAnsi="仿宋_GB2312" w:eastAsia="仿宋_GB2312" w:cs="仿宋_GB2312"/>
                <w:color w:val="000000"/>
                <w:kern w:val="0"/>
                <w:sz w:val="21"/>
                <w:szCs w:val="21"/>
                <w:highlight w:val="none"/>
              </w:rPr>
            </w:pPr>
          </w:p>
          <w:p>
            <w:pPr>
              <w:widowControl/>
              <w:spacing w:line="240" w:lineRule="exact"/>
              <w:ind w:firstLine="0" w:firstLineChars="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 w:val="21"/>
                <w:szCs w:val="21"/>
                <w:highlight w:val="none"/>
              </w:rPr>
              <w:t>估价对象</w:t>
            </w:r>
          </w:p>
        </w:tc>
        <w:tc>
          <w:tcPr>
            <w:tcW w:w="3010" w:type="dxa"/>
            <w:tcBorders>
              <w:tl2br w:val="nil"/>
              <w:tr2bl w:val="nil"/>
            </w:tcBorders>
            <w:noWrap w:val="0"/>
            <w:vAlign w:val="center"/>
          </w:tcPr>
          <w:p>
            <w:pPr>
              <w:widowControl/>
              <w:spacing w:line="240" w:lineRule="auto"/>
              <w:jc w:val="center"/>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rPr>
              <w:t>潋江镇平川大道226号盛发绿苑1号楼4D房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56" w:type="dxa"/>
            <w:vMerge w:val="restart"/>
            <w:tcBorders>
              <w:tl2br w:val="nil"/>
              <w:tr2bl w:val="nil"/>
            </w:tcBorders>
            <w:noWrap w:val="0"/>
            <w:vAlign w:val="center"/>
          </w:tcPr>
          <w:p>
            <w:pPr>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测算结果</w:t>
            </w:r>
          </w:p>
        </w:tc>
        <w:tc>
          <w:tcPr>
            <w:tcW w:w="2113" w:type="dxa"/>
            <w:tcBorders>
              <w:tl2br w:val="nil"/>
              <w:tr2bl w:val="nil"/>
            </w:tcBorders>
            <w:noWrap w:val="0"/>
            <w:vAlign w:val="center"/>
          </w:tcPr>
          <w:p>
            <w:pPr>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评估单价（元/</w:t>
            </w:r>
            <w:r>
              <w:rPr>
                <w:rFonts w:hint="eastAsia" w:ascii="仿宋_GB2312" w:hAnsi="宋体" w:cs="宋体"/>
                <w:color w:val="000000"/>
                <w:szCs w:val="21"/>
                <w:highlight w:val="none"/>
              </w:rPr>
              <w:t>㎡</w:t>
            </w:r>
            <w:r>
              <w:rPr>
                <w:rFonts w:hint="eastAsia" w:ascii="仿宋_GB2312" w:hAnsi="仿宋_GB2312" w:eastAsia="仿宋_GB2312" w:cs="仿宋_GB2312"/>
                <w:color w:val="000000"/>
                <w:szCs w:val="21"/>
                <w:highlight w:val="none"/>
              </w:rPr>
              <w:t>）</w:t>
            </w:r>
          </w:p>
        </w:tc>
        <w:tc>
          <w:tcPr>
            <w:tcW w:w="3010" w:type="dxa"/>
            <w:tcBorders>
              <w:tl2br w:val="nil"/>
              <w:tr2bl w:val="nil"/>
            </w:tcBorders>
            <w:noWrap w:val="0"/>
            <w:vAlign w:val="center"/>
          </w:tcPr>
          <w:p>
            <w:pPr>
              <w:keepNext w:val="0"/>
              <w:keepLines w:val="0"/>
              <w:widowControl/>
              <w:suppressLineNumbers w:val="0"/>
              <w:jc w:val="center"/>
              <w:textAlignment w:val="auto"/>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i w:val="0"/>
                <w:color w:val="000000"/>
                <w:kern w:val="2"/>
                <w:sz w:val="21"/>
                <w:szCs w:val="21"/>
                <w:highlight w:val="none"/>
                <w:u w:val="none"/>
                <w:lang w:val="en-US" w:eastAsia="zh-CN" w:bidi="ar"/>
              </w:rPr>
              <w:t>6251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56" w:type="dxa"/>
            <w:vMerge w:val="continue"/>
            <w:tcBorders>
              <w:tl2br w:val="nil"/>
              <w:tr2bl w:val="nil"/>
            </w:tcBorders>
            <w:noWrap w:val="0"/>
            <w:vAlign w:val="center"/>
          </w:tcPr>
          <w:p>
            <w:pPr>
              <w:jc w:val="center"/>
              <w:rPr>
                <w:rFonts w:hint="eastAsia" w:ascii="仿宋_GB2312" w:hAnsi="仿宋_GB2312" w:eastAsia="仿宋_GB2312" w:cs="仿宋_GB2312"/>
                <w:color w:val="000000"/>
                <w:szCs w:val="21"/>
                <w:highlight w:val="none"/>
              </w:rPr>
            </w:pPr>
          </w:p>
        </w:tc>
        <w:tc>
          <w:tcPr>
            <w:tcW w:w="2113" w:type="dxa"/>
            <w:tcBorders>
              <w:tl2br w:val="nil"/>
              <w:tr2bl w:val="nil"/>
            </w:tcBorders>
            <w:noWrap w:val="0"/>
            <w:vAlign w:val="center"/>
          </w:tcPr>
          <w:p>
            <w:pPr>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评估</w:t>
            </w:r>
            <w:r>
              <w:rPr>
                <w:rFonts w:hint="eastAsia" w:ascii="仿宋_GB2312" w:hAnsi="仿宋_GB2312" w:eastAsia="仿宋_GB2312" w:cs="仿宋_GB2312"/>
                <w:color w:val="000000"/>
                <w:szCs w:val="21"/>
                <w:highlight w:val="none"/>
                <w:lang w:val="en-US" w:eastAsia="zh-CN"/>
              </w:rPr>
              <w:t>价</w:t>
            </w:r>
            <w:r>
              <w:rPr>
                <w:rFonts w:hint="eastAsia" w:ascii="仿宋_GB2312" w:hAnsi="仿宋_GB2312" w:eastAsia="仿宋_GB2312" w:cs="仿宋_GB2312"/>
                <w:color w:val="000000"/>
                <w:szCs w:val="21"/>
                <w:highlight w:val="none"/>
              </w:rPr>
              <w:t>值（</w:t>
            </w:r>
            <w:r>
              <w:rPr>
                <w:rFonts w:hint="eastAsia" w:ascii="仿宋_GB2312" w:hAnsi="仿宋_GB2312" w:eastAsia="仿宋_GB2312" w:cs="仿宋_GB2312"/>
                <w:color w:val="000000"/>
                <w:szCs w:val="21"/>
                <w:highlight w:val="none"/>
                <w:lang w:val="en-US" w:eastAsia="zh-CN"/>
              </w:rPr>
              <w:t>万</w:t>
            </w:r>
            <w:r>
              <w:rPr>
                <w:rFonts w:hint="eastAsia" w:ascii="仿宋_GB2312" w:hAnsi="仿宋_GB2312" w:eastAsia="仿宋_GB2312" w:cs="仿宋_GB2312"/>
                <w:color w:val="000000"/>
                <w:szCs w:val="21"/>
                <w:highlight w:val="none"/>
              </w:rPr>
              <w:t>元）</w:t>
            </w:r>
          </w:p>
        </w:tc>
        <w:tc>
          <w:tcPr>
            <w:tcW w:w="3010" w:type="dxa"/>
            <w:tcBorders>
              <w:tl2br w:val="nil"/>
              <w:tr2bl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0"/>
                <w:szCs w:val="20"/>
                <w:highlight w:val="none"/>
                <w:u w:val="none"/>
                <w:lang w:val="en-US" w:eastAsia="zh-CN" w:bidi="ar-SA"/>
              </w:rPr>
            </w:pPr>
            <w:r>
              <w:rPr>
                <w:rFonts w:hint="eastAsia" w:ascii="仿宋_GB2312" w:hAnsi="宋体" w:eastAsia="仿宋_GB2312" w:cs="仿宋_GB2312"/>
                <w:i w:val="0"/>
                <w:color w:val="000000"/>
                <w:kern w:val="0"/>
                <w:sz w:val="20"/>
                <w:szCs w:val="20"/>
                <w:highlight w:val="none"/>
                <w:u w:val="none"/>
                <w:lang w:val="en-US" w:eastAsia="zh-CN" w:bidi="ar"/>
              </w:rPr>
              <w:t>97.97</w:t>
            </w:r>
          </w:p>
        </w:tc>
      </w:tr>
    </w:tbl>
    <w:p>
      <w:pPr>
        <w:pStyle w:val="4"/>
        <w:spacing w:line="520" w:lineRule="exact"/>
        <w:ind w:firstLine="301" w:firstLineChars="100"/>
        <w:rPr>
          <w:rFonts w:hint="eastAsia" w:ascii="仿宋_GB2312" w:eastAsia="仿宋_GB2312"/>
          <w:b/>
          <w:highlight w:val="none"/>
        </w:rPr>
      </w:pPr>
      <w:bookmarkStart w:id="53" w:name="_Toc517794437"/>
      <w:bookmarkStart w:id="54" w:name="_Toc517794695"/>
      <w:bookmarkStart w:id="55" w:name="_Toc6539"/>
    </w:p>
    <w:p>
      <w:pPr>
        <w:pStyle w:val="4"/>
        <w:spacing w:line="520" w:lineRule="exact"/>
        <w:ind w:firstLine="301" w:firstLineChars="100"/>
        <w:rPr>
          <w:rFonts w:hint="eastAsia" w:ascii="仿宋_GB2312" w:eastAsia="仿宋_GB2312"/>
          <w:b/>
          <w:highlight w:val="none"/>
        </w:rPr>
      </w:pPr>
      <w:bookmarkStart w:id="56" w:name="_Toc21377"/>
      <w:r>
        <w:rPr>
          <w:rFonts w:hint="eastAsia" w:ascii="仿宋_GB2312" w:eastAsia="仿宋_GB2312"/>
          <w:b/>
          <w:highlight w:val="none"/>
        </w:rPr>
        <w:t>（十一）注册房地产估价师</w:t>
      </w:r>
      <w:r>
        <w:rPr>
          <w:rFonts w:hint="eastAsia" w:ascii="仿宋_GB2312" w:eastAsia="仿宋_GB2312"/>
          <w:b/>
          <w:highlight w:val="none"/>
          <w:lang w:val="en-US" w:eastAsia="zh-CN"/>
        </w:rPr>
        <w:t>及其他评估专业人员</w:t>
      </w:r>
      <w:bookmarkEnd w:id="53"/>
      <w:bookmarkEnd w:id="54"/>
      <w:bookmarkEnd w:id="55"/>
      <w:bookmarkEnd w:id="56"/>
    </w:p>
    <w:tbl>
      <w:tblPr>
        <w:tblStyle w:val="26"/>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姓名</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注册号</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w:t>
            </w:r>
          </w:p>
        </w:tc>
        <w:tc>
          <w:tcPr>
            <w:tcW w:w="2879"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汪文春</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kern w:val="0"/>
                <w:sz w:val="24"/>
                <w:szCs w:val="24"/>
                <w:highlight w:val="none"/>
                <w:lang w:eastAsia="zh-CN" w:bidi="ar"/>
              </w:rPr>
            </w:pPr>
            <w:r>
              <w:rPr>
                <w:rFonts w:hint="eastAsia" w:eastAsia="仿宋_GB2312" w:cs="仿宋_GB2312"/>
                <w:kern w:val="0"/>
                <w:sz w:val="24"/>
                <w:szCs w:val="24"/>
                <w:highlight w:val="none"/>
                <w:lang w:eastAsia="zh-CN" w:bidi="ar"/>
              </w:rPr>
              <w:t>3619970062</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2022年4月24日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971"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张泗芳</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kern w:val="0"/>
                <w:sz w:val="24"/>
                <w:szCs w:val="24"/>
                <w:highlight w:val="none"/>
                <w:lang w:eastAsia="zh-CN" w:bidi="ar"/>
              </w:rPr>
              <w:t>4420110222</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2022年4月24日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val="en-US" w:eastAsia="zh-CN" w:bidi="ar"/>
              </w:rPr>
              <w:t>刘清霞</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val="en-US" w:eastAsia="zh-CN" w:bidi="ar"/>
              </w:rPr>
              <w:t>-</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val="en-US" w:eastAsia="zh-CN" w:bidi="ar"/>
              </w:rPr>
            </w:pPr>
            <w:r>
              <w:rPr>
                <w:rFonts w:hint="eastAsia" w:eastAsia="仿宋_GB2312" w:cs="仿宋_GB2312"/>
                <w:kern w:val="0"/>
                <w:sz w:val="24"/>
                <w:szCs w:val="24"/>
                <w:highlight w:val="none"/>
                <w:lang w:val="en-US" w:eastAsia="zh-CN" w:bidi="ar"/>
              </w:rPr>
              <w:t>-</w:t>
            </w: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2022年4月24日</w:t>
            </w:r>
          </w:p>
        </w:tc>
      </w:tr>
    </w:tbl>
    <w:p>
      <w:pPr>
        <w:pStyle w:val="4"/>
        <w:spacing w:line="520" w:lineRule="exact"/>
        <w:ind w:firstLine="301" w:firstLineChars="100"/>
        <w:rPr>
          <w:rFonts w:hint="eastAsia" w:ascii="仿宋_GB2312" w:eastAsia="仿宋_GB2312"/>
          <w:b/>
          <w:highlight w:val="none"/>
        </w:rPr>
      </w:pPr>
      <w:bookmarkStart w:id="57" w:name="_Toc517794438"/>
      <w:bookmarkStart w:id="58" w:name="_Toc554"/>
      <w:bookmarkStart w:id="59" w:name="_Toc517794696"/>
    </w:p>
    <w:p>
      <w:pPr>
        <w:pStyle w:val="4"/>
        <w:spacing w:line="520" w:lineRule="exact"/>
        <w:ind w:firstLine="301" w:firstLineChars="100"/>
        <w:rPr>
          <w:rFonts w:hint="eastAsia" w:ascii="仿宋_GB2312" w:eastAsia="仿宋_GB2312"/>
          <w:b/>
          <w:highlight w:val="none"/>
        </w:rPr>
      </w:pPr>
      <w:bookmarkStart w:id="60" w:name="_Toc16752"/>
      <w:r>
        <w:rPr>
          <w:rFonts w:hint="eastAsia" w:ascii="仿宋_GB2312" w:eastAsia="仿宋_GB2312"/>
          <w:b/>
          <w:highlight w:val="none"/>
        </w:rPr>
        <w:t>（十二）实地查勘日期</w:t>
      </w:r>
      <w:bookmarkEnd w:id="57"/>
      <w:bookmarkEnd w:id="58"/>
      <w:bookmarkEnd w:id="59"/>
      <w:bookmarkEnd w:id="60"/>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2022年4月21日</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p>
    <w:p>
      <w:pPr>
        <w:pStyle w:val="4"/>
        <w:spacing w:line="520" w:lineRule="exact"/>
        <w:ind w:firstLine="301" w:firstLineChars="100"/>
        <w:rPr>
          <w:rFonts w:hint="eastAsia" w:ascii="仿宋_GB2312" w:eastAsia="仿宋_GB2312"/>
          <w:b/>
          <w:highlight w:val="none"/>
        </w:rPr>
      </w:pPr>
      <w:bookmarkStart w:id="61" w:name="_Toc517794697"/>
      <w:bookmarkStart w:id="62" w:name="_Toc16765"/>
      <w:bookmarkStart w:id="63" w:name="_Toc517794439"/>
      <w:bookmarkStart w:id="64" w:name="_Toc30975"/>
      <w:r>
        <w:rPr>
          <w:rFonts w:hint="eastAsia" w:ascii="仿宋_GB2312" w:eastAsia="仿宋_GB2312"/>
          <w:b/>
          <w:highlight w:val="none"/>
        </w:rPr>
        <w:t>（十三）估价作业日期</w:t>
      </w:r>
      <w:bookmarkEnd w:id="61"/>
      <w:bookmarkEnd w:id="62"/>
      <w:bookmarkEnd w:id="63"/>
      <w:bookmarkEnd w:id="64"/>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2022年4月21日（受理估价委托之日）</w:t>
      </w:r>
      <w:r>
        <w:rPr>
          <w:rFonts w:hint="eastAsia" w:ascii="仿宋_GB2312" w:hAnsi="宋体" w:eastAsia="仿宋_GB2312"/>
          <w:sz w:val="28"/>
          <w:szCs w:val="28"/>
          <w:highlight w:val="none"/>
        </w:rPr>
        <w:t>至</w:t>
      </w:r>
      <w:r>
        <w:rPr>
          <w:rFonts w:hint="eastAsia" w:ascii="仿宋_GB2312" w:hAnsi="宋体" w:eastAsia="仿宋_GB2312"/>
          <w:sz w:val="28"/>
          <w:szCs w:val="28"/>
          <w:highlight w:val="none"/>
          <w:lang w:eastAsia="zh-CN"/>
        </w:rPr>
        <w:t>2022年4月24日</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p>
    <w:p>
      <w:pPr>
        <w:spacing w:line="520" w:lineRule="exact"/>
        <w:ind w:firstLine="560" w:firstLineChars="200"/>
        <w:rPr>
          <w:rFonts w:hint="eastAsia" w:ascii="仿宋_GB2312" w:hAnsi="宋体" w:eastAsia="仿宋_GB2312"/>
          <w:sz w:val="28"/>
          <w:szCs w:val="28"/>
          <w:highlight w:val="none"/>
        </w:rPr>
      </w:pPr>
    </w:p>
    <w:p>
      <w:pPr>
        <w:pStyle w:val="3"/>
        <w:rPr>
          <w:rFonts w:hint="eastAsia" w:ascii="仿宋_GB2312" w:eastAsia="仿宋_GB2312"/>
          <w:b/>
          <w:highlight w:val="none"/>
        </w:rPr>
      </w:pPr>
      <w:bookmarkStart w:id="65" w:name="_Toc517794698"/>
      <w:bookmarkStart w:id="66" w:name="_Toc517794440"/>
    </w:p>
    <w:p>
      <w:pPr>
        <w:spacing w:after="93"/>
        <w:rPr>
          <w:rFonts w:hint="eastAsia" w:ascii="仿宋_GB2312" w:eastAsia="仿宋_GB2312"/>
          <w:b/>
          <w:highlight w:val="none"/>
        </w:rPr>
      </w:pPr>
      <w:bookmarkStart w:id="67" w:name="_Toc27875"/>
      <w:r>
        <w:rPr>
          <w:rFonts w:hint="eastAsia" w:ascii="仿宋_GB2312" w:eastAsia="仿宋_GB2312"/>
          <w:b/>
          <w:highlight w:val="none"/>
        </w:rPr>
        <w:br w:type="page"/>
      </w:r>
    </w:p>
    <w:p>
      <w:pPr>
        <w:pStyle w:val="3"/>
        <w:rPr>
          <w:rFonts w:hint="eastAsia"/>
        </w:rPr>
      </w:pPr>
    </w:p>
    <w:p>
      <w:pPr>
        <w:pStyle w:val="2"/>
        <w:spacing w:after="93"/>
        <w:rPr>
          <w:rFonts w:hint="eastAsia" w:ascii="仿宋_GB2312" w:eastAsia="仿宋_GB2312"/>
          <w:b/>
          <w:highlight w:val="none"/>
        </w:rPr>
      </w:pPr>
      <w:bookmarkStart w:id="68" w:name="_Toc28654"/>
      <w:r>
        <w:rPr>
          <w:rFonts w:hint="eastAsia" w:ascii="仿宋_GB2312" w:eastAsia="仿宋_GB2312"/>
          <w:b/>
          <w:highlight w:val="none"/>
        </w:rPr>
        <w:t>四、附  件</w:t>
      </w:r>
      <w:bookmarkEnd w:id="65"/>
      <w:bookmarkEnd w:id="66"/>
      <w:bookmarkEnd w:id="67"/>
      <w:bookmarkEnd w:id="68"/>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（一）《</w:t>
      </w:r>
      <w:r>
        <w:rPr>
          <w:rFonts w:hint="eastAsia" w:ascii="仿宋_GB2312" w:hAnsi="宋体" w:eastAsia="仿宋_GB2312"/>
          <w:bCs/>
          <w:sz w:val="28"/>
          <w:szCs w:val="28"/>
          <w:highlight w:val="none"/>
          <w:lang w:eastAsia="zh-CN"/>
        </w:rPr>
        <w:t>兴国县人民法院司法技术委托书</w:t>
      </w:r>
      <w:r>
        <w:rPr>
          <w:rFonts w:hint="eastAsia" w:ascii="仿宋_GB2312" w:hAnsi="宋体" w:eastAsia="仿宋_GB2312"/>
          <w:bCs/>
          <w:sz w:val="28"/>
          <w:szCs w:val="28"/>
          <w:highlight w:val="none"/>
        </w:rPr>
        <w:t>》复印件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（二）估价对象位置图</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（三）估价对象现状照片</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（四）估价对象产权材料（复印件）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（五）评估机构《营业执照》（复印件）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（六）房地产评估机构</w:t>
      </w:r>
      <w:r>
        <w:rPr>
          <w:rFonts w:hint="eastAsia" w:ascii="仿宋_GB2312" w:hAnsi="宋体" w:eastAsia="仿宋_GB2312"/>
          <w:bCs/>
          <w:sz w:val="28"/>
          <w:szCs w:val="28"/>
          <w:highlight w:val="none"/>
          <w:lang w:eastAsia="zh-CN"/>
        </w:rPr>
        <w:t>备案</w:t>
      </w:r>
      <w:r>
        <w:rPr>
          <w:rFonts w:hint="eastAsia" w:ascii="仿宋_GB2312" w:hAnsi="宋体" w:eastAsia="仿宋_GB2312"/>
          <w:bCs/>
          <w:sz w:val="28"/>
          <w:szCs w:val="28"/>
          <w:highlight w:val="none"/>
        </w:rPr>
        <w:t>证书（复印件）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（七）房地产估价师注册证书（复印件）</w:t>
      </w: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bookmarkStart w:id="69" w:name="_GoBack"/>
      <w:bookmarkEnd w:id="69"/>
    </w:p>
    <w:sectPr>
      <w:headerReference r:id="rId4" w:type="first"/>
      <w:footerReference r:id="rId6" w:type="first"/>
      <w:headerReference r:id="rId3" w:type="default"/>
      <w:footerReference r:id="rId5"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1YCvg+QBAAC9&#10;AwAADgAAAAAAAAABACAAAAAiAQAAZHJzL2Uyb0RvYy54bWxQSwUGAAAAAAYABgBZAQAAeAUAAAAA&#10;">
              <v:fill on="f" focussize="0,0"/>
              <v:stroke on="f" weight="1.2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x5ACleQBAAC9&#10;AwAADgAAAAAAAAABACAAAAAiAQAAZHJzL2Uyb0RvYy54bWxQSwUGAAAAAAYABgBZAQAAeAUAAAAA&#10;">
              <v:fill on="f" focussize="0,0"/>
              <v:stroke on="f" weight="1.2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anchor distT="0" distB="0" distL="114300" distR="114300" simplePos="0" relativeHeight="251661312" behindDoc="1" locked="0" layoutInCell="1" allowOverlap="1">
          <wp:simplePos x="0" y="0"/>
          <wp:positionH relativeFrom="column">
            <wp:posOffset>-9525</wp:posOffset>
          </wp:positionH>
          <wp:positionV relativeFrom="paragraph">
            <wp:posOffset>-15875</wp:posOffset>
          </wp:positionV>
          <wp:extent cx="5366385" cy="493395"/>
          <wp:effectExtent l="0" t="0" r="5715" b="1905"/>
          <wp:wrapNone/>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anchor>
      </w:drawing>
    </w:r>
  </w:p>
  <w:p>
    <w:pPr>
      <w:pStyle w:val="20"/>
      <w:jc w:val="both"/>
    </w:pPr>
  </w:p>
  <w:p>
    <w:pPr>
      <w:pStyle w:val="20"/>
      <w:jc w:val="both"/>
    </w:pPr>
  </w:p>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MzA2ZjUzN2UzZDgxODJmNDg4OGNlZjJkZDBlYjQifQ=="/>
  </w:docVars>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67A4E"/>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582A"/>
    <w:rsid w:val="00F97C9A"/>
    <w:rsid w:val="00FA169C"/>
    <w:rsid w:val="00FA79A9"/>
    <w:rsid w:val="00FB3EBD"/>
    <w:rsid w:val="00FC0E49"/>
    <w:rsid w:val="00FC1615"/>
    <w:rsid w:val="00FC3ABA"/>
    <w:rsid w:val="00FD1FEF"/>
    <w:rsid w:val="00FD239F"/>
    <w:rsid w:val="00FD4DB9"/>
    <w:rsid w:val="00FD6C32"/>
    <w:rsid w:val="00FD77C7"/>
    <w:rsid w:val="00FE77A2"/>
    <w:rsid w:val="00FF1A9E"/>
    <w:rsid w:val="017546AF"/>
    <w:rsid w:val="01791A64"/>
    <w:rsid w:val="019B3F2B"/>
    <w:rsid w:val="01C16AB1"/>
    <w:rsid w:val="01F33EC3"/>
    <w:rsid w:val="02210538"/>
    <w:rsid w:val="02891CB6"/>
    <w:rsid w:val="0299418F"/>
    <w:rsid w:val="02A6200C"/>
    <w:rsid w:val="02E76063"/>
    <w:rsid w:val="02F55377"/>
    <w:rsid w:val="03036BD2"/>
    <w:rsid w:val="03076E6D"/>
    <w:rsid w:val="032B274B"/>
    <w:rsid w:val="0332763D"/>
    <w:rsid w:val="03350B6D"/>
    <w:rsid w:val="03782E39"/>
    <w:rsid w:val="03AB382C"/>
    <w:rsid w:val="03DF18D5"/>
    <w:rsid w:val="03DF241C"/>
    <w:rsid w:val="03F314D8"/>
    <w:rsid w:val="04170CE5"/>
    <w:rsid w:val="0449749E"/>
    <w:rsid w:val="044B320C"/>
    <w:rsid w:val="04710E71"/>
    <w:rsid w:val="048816B8"/>
    <w:rsid w:val="048B0FC4"/>
    <w:rsid w:val="04C07AE1"/>
    <w:rsid w:val="04C54D74"/>
    <w:rsid w:val="04D27ADE"/>
    <w:rsid w:val="050A40DA"/>
    <w:rsid w:val="051F2D36"/>
    <w:rsid w:val="05431D70"/>
    <w:rsid w:val="055545D8"/>
    <w:rsid w:val="05DB54EF"/>
    <w:rsid w:val="063A1EFD"/>
    <w:rsid w:val="064E64DD"/>
    <w:rsid w:val="0652324F"/>
    <w:rsid w:val="065A7420"/>
    <w:rsid w:val="06640A44"/>
    <w:rsid w:val="066B3B0D"/>
    <w:rsid w:val="067B067C"/>
    <w:rsid w:val="06CA37CD"/>
    <w:rsid w:val="075061B9"/>
    <w:rsid w:val="07653D54"/>
    <w:rsid w:val="079921BB"/>
    <w:rsid w:val="07AB71AC"/>
    <w:rsid w:val="07BD52F9"/>
    <w:rsid w:val="07BF2E74"/>
    <w:rsid w:val="07D665E0"/>
    <w:rsid w:val="08574477"/>
    <w:rsid w:val="087D0351"/>
    <w:rsid w:val="08837446"/>
    <w:rsid w:val="088B2284"/>
    <w:rsid w:val="08BB3117"/>
    <w:rsid w:val="08EC6C80"/>
    <w:rsid w:val="09AF2509"/>
    <w:rsid w:val="09B84172"/>
    <w:rsid w:val="09BD15CA"/>
    <w:rsid w:val="09C73F9C"/>
    <w:rsid w:val="09FF2B67"/>
    <w:rsid w:val="09FF66EA"/>
    <w:rsid w:val="0A7A1399"/>
    <w:rsid w:val="0AD414FD"/>
    <w:rsid w:val="0B09353A"/>
    <w:rsid w:val="0B0B182B"/>
    <w:rsid w:val="0B363DA9"/>
    <w:rsid w:val="0B60355E"/>
    <w:rsid w:val="0BA35284"/>
    <w:rsid w:val="0BB00A93"/>
    <w:rsid w:val="0BEB2A11"/>
    <w:rsid w:val="0C82629B"/>
    <w:rsid w:val="0C8830D2"/>
    <w:rsid w:val="0CFF4BD6"/>
    <w:rsid w:val="0D1F6D33"/>
    <w:rsid w:val="0D4E2BE0"/>
    <w:rsid w:val="0DBC5C40"/>
    <w:rsid w:val="0DE44266"/>
    <w:rsid w:val="0E5E5583"/>
    <w:rsid w:val="0E703EFD"/>
    <w:rsid w:val="0E71269E"/>
    <w:rsid w:val="0E8B3429"/>
    <w:rsid w:val="0EB5073B"/>
    <w:rsid w:val="0EC00201"/>
    <w:rsid w:val="0EC57564"/>
    <w:rsid w:val="0ECA12B7"/>
    <w:rsid w:val="0ED03425"/>
    <w:rsid w:val="0EE72762"/>
    <w:rsid w:val="0EEA4512"/>
    <w:rsid w:val="0EEF112C"/>
    <w:rsid w:val="0F477BE1"/>
    <w:rsid w:val="0F6C47C9"/>
    <w:rsid w:val="0F792CA2"/>
    <w:rsid w:val="0F962F6D"/>
    <w:rsid w:val="0F9A25D5"/>
    <w:rsid w:val="0FAA3245"/>
    <w:rsid w:val="0FC83A7B"/>
    <w:rsid w:val="0FF46710"/>
    <w:rsid w:val="100937F0"/>
    <w:rsid w:val="10185E37"/>
    <w:rsid w:val="103A0076"/>
    <w:rsid w:val="105146F4"/>
    <w:rsid w:val="106B119F"/>
    <w:rsid w:val="10A82413"/>
    <w:rsid w:val="11027E25"/>
    <w:rsid w:val="11107F3B"/>
    <w:rsid w:val="117D6CF8"/>
    <w:rsid w:val="11801F81"/>
    <w:rsid w:val="118243C0"/>
    <w:rsid w:val="118E639D"/>
    <w:rsid w:val="11AB2762"/>
    <w:rsid w:val="11B920D0"/>
    <w:rsid w:val="11FF50DA"/>
    <w:rsid w:val="120F5DCE"/>
    <w:rsid w:val="125F20C9"/>
    <w:rsid w:val="12A8526A"/>
    <w:rsid w:val="13223F37"/>
    <w:rsid w:val="1331706A"/>
    <w:rsid w:val="13570CD5"/>
    <w:rsid w:val="136A3604"/>
    <w:rsid w:val="137A0B41"/>
    <w:rsid w:val="13C05CC6"/>
    <w:rsid w:val="147A59BC"/>
    <w:rsid w:val="14A86A2D"/>
    <w:rsid w:val="14E65A2F"/>
    <w:rsid w:val="15113E60"/>
    <w:rsid w:val="1573659D"/>
    <w:rsid w:val="15C90EB0"/>
    <w:rsid w:val="165A6754"/>
    <w:rsid w:val="16712D33"/>
    <w:rsid w:val="169B60F6"/>
    <w:rsid w:val="16AB2AF2"/>
    <w:rsid w:val="16F341AE"/>
    <w:rsid w:val="173E4F2C"/>
    <w:rsid w:val="17475BAE"/>
    <w:rsid w:val="17603B12"/>
    <w:rsid w:val="1765261F"/>
    <w:rsid w:val="177C25AB"/>
    <w:rsid w:val="17837DA8"/>
    <w:rsid w:val="17B74C7D"/>
    <w:rsid w:val="17C12001"/>
    <w:rsid w:val="17EA57A1"/>
    <w:rsid w:val="1830746E"/>
    <w:rsid w:val="185B5AC1"/>
    <w:rsid w:val="18615713"/>
    <w:rsid w:val="187379C7"/>
    <w:rsid w:val="187F03D4"/>
    <w:rsid w:val="18AA141F"/>
    <w:rsid w:val="18C166C6"/>
    <w:rsid w:val="18C2794C"/>
    <w:rsid w:val="18E92232"/>
    <w:rsid w:val="19415A68"/>
    <w:rsid w:val="194C013A"/>
    <w:rsid w:val="19617D14"/>
    <w:rsid w:val="196232A4"/>
    <w:rsid w:val="19A35132"/>
    <w:rsid w:val="19C5047F"/>
    <w:rsid w:val="19CE7805"/>
    <w:rsid w:val="1A290DB4"/>
    <w:rsid w:val="1A30090A"/>
    <w:rsid w:val="1A4E036B"/>
    <w:rsid w:val="1A4F75D7"/>
    <w:rsid w:val="1A576313"/>
    <w:rsid w:val="1A6C2FE9"/>
    <w:rsid w:val="1A6F16FF"/>
    <w:rsid w:val="1A7A46C7"/>
    <w:rsid w:val="1ADB4228"/>
    <w:rsid w:val="1B043843"/>
    <w:rsid w:val="1B113F92"/>
    <w:rsid w:val="1B200A86"/>
    <w:rsid w:val="1B216E41"/>
    <w:rsid w:val="1B280C01"/>
    <w:rsid w:val="1B30509F"/>
    <w:rsid w:val="1B30723E"/>
    <w:rsid w:val="1B3B43EB"/>
    <w:rsid w:val="1B5E7A2D"/>
    <w:rsid w:val="1BA07501"/>
    <w:rsid w:val="1BB65B53"/>
    <w:rsid w:val="1BD71CE4"/>
    <w:rsid w:val="1C0B3FC7"/>
    <w:rsid w:val="1C1E7846"/>
    <w:rsid w:val="1C5E56F7"/>
    <w:rsid w:val="1C6E5957"/>
    <w:rsid w:val="1C850B1F"/>
    <w:rsid w:val="1CBF58ED"/>
    <w:rsid w:val="1CE011EF"/>
    <w:rsid w:val="1CFE5FE4"/>
    <w:rsid w:val="1D9674E6"/>
    <w:rsid w:val="1DE90309"/>
    <w:rsid w:val="1E311F10"/>
    <w:rsid w:val="1E5C36C2"/>
    <w:rsid w:val="1E6B15DD"/>
    <w:rsid w:val="1E857CDA"/>
    <w:rsid w:val="1E947B06"/>
    <w:rsid w:val="1E9A18D8"/>
    <w:rsid w:val="1E9C51D3"/>
    <w:rsid w:val="1E9E379A"/>
    <w:rsid w:val="1E9F391E"/>
    <w:rsid w:val="1EED0196"/>
    <w:rsid w:val="1F134757"/>
    <w:rsid w:val="1F1D3322"/>
    <w:rsid w:val="1F4201AC"/>
    <w:rsid w:val="1F5E2B38"/>
    <w:rsid w:val="1F613C00"/>
    <w:rsid w:val="1F61496A"/>
    <w:rsid w:val="1F9250BC"/>
    <w:rsid w:val="1F944163"/>
    <w:rsid w:val="1FA87083"/>
    <w:rsid w:val="1FD17E39"/>
    <w:rsid w:val="200A0366"/>
    <w:rsid w:val="20106291"/>
    <w:rsid w:val="203355D0"/>
    <w:rsid w:val="206275E3"/>
    <w:rsid w:val="20671013"/>
    <w:rsid w:val="206D65DC"/>
    <w:rsid w:val="206E258D"/>
    <w:rsid w:val="207E11CE"/>
    <w:rsid w:val="20921D9B"/>
    <w:rsid w:val="20AE55BD"/>
    <w:rsid w:val="20C2147F"/>
    <w:rsid w:val="20CB69A1"/>
    <w:rsid w:val="210B4169"/>
    <w:rsid w:val="212568FD"/>
    <w:rsid w:val="213D52BE"/>
    <w:rsid w:val="214C3F99"/>
    <w:rsid w:val="216C19AD"/>
    <w:rsid w:val="216D438D"/>
    <w:rsid w:val="218249D8"/>
    <w:rsid w:val="21983C9D"/>
    <w:rsid w:val="219B67D1"/>
    <w:rsid w:val="21AB1A12"/>
    <w:rsid w:val="21AC51ED"/>
    <w:rsid w:val="21C92176"/>
    <w:rsid w:val="21EB36A6"/>
    <w:rsid w:val="21EE324B"/>
    <w:rsid w:val="220C3312"/>
    <w:rsid w:val="222B0ACC"/>
    <w:rsid w:val="22383586"/>
    <w:rsid w:val="22A05038"/>
    <w:rsid w:val="22A87D3A"/>
    <w:rsid w:val="22BC0B9E"/>
    <w:rsid w:val="22BC71BA"/>
    <w:rsid w:val="22C22041"/>
    <w:rsid w:val="22DC4337"/>
    <w:rsid w:val="22E7791E"/>
    <w:rsid w:val="22ED2CEB"/>
    <w:rsid w:val="2317647F"/>
    <w:rsid w:val="231A312D"/>
    <w:rsid w:val="232B7C82"/>
    <w:rsid w:val="23347106"/>
    <w:rsid w:val="234336D9"/>
    <w:rsid w:val="236575D8"/>
    <w:rsid w:val="239A4258"/>
    <w:rsid w:val="23BA53F8"/>
    <w:rsid w:val="23C56EF6"/>
    <w:rsid w:val="242E3AA8"/>
    <w:rsid w:val="24956360"/>
    <w:rsid w:val="249D00A4"/>
    <w:rsid w:val="24A754CE"/>
    <w:rsid w:val="24B76DA8"/>
    <w:rsid w:val="25265C82"/>
    <w:rsid w:val="254B3D77"/>
    <w:rsid w:val="259B737D"/>
    <w:rsid w:val="25D67D40"/>
    <w:rsid w:val="26181A08"/>
    <w:rsid w:val="26876718"/>
    <w:rsid w:val="269B0941"/>
    <w:rsid w:val="26C45168"/>
    <w:rsid w:val="26E8097E"/>
    <w:rsid w:val="26EF45CE"/>
    <w:rsid w:val="27074F3E"/>
    <w:rsid w:val="276A1E7D"/>
    <w:rsid w:val="2774664A"/>
    <w:rsid w:val="2789508E"/>
    <w:rsid w:val="27A25B8D"/>
    <w:rsid w:val="27A9005A"/>
    <w:rsid w:val="27DD2663"/>
    <w:rsid w:val="28160D4A"/>
    <w:rsid w:val="28241089"/>
    <w:rsid w:val="28A56337"/>
    <w:rsid w:val="28CA1746"/>
    <w:rsid w:val="28D0546E"/>
    <w:rsid w:val="28DE4E2F"/>
    <w:rsid w:val="28E31F31"/>
    <w:rsid w:val="28F571D7"/>
    <w:rsid w:val="292B7481"/>
    <w:rsid w:val="29342307"/>
    <w:rsid w:val="297D4B7B"/>
    <w:rsid w:val="2A2A1998"/>
    <w:rsid w:val="2A7B2735"/>
    <w:rsid w:val="2AA5771A"/>
    <w:rsid w:val="2AAC6A7C"/>
    <w:rsid w:val="2ADE3165"/>
    <w:rsid w:val="2AF06AD4"/>
    <w:rsid w:val="2B663EF2"/>
    <w:rsid w:val="2B7B7415"/>
    <w:rsid w:val="2B7D6B6B"/>
    <w:rsid w:val="2BF66FD8"/>
    <w:rsid w:val="2C294A8D"/>
    <w:rsid w:val="2C76367F"/>
    <w:rsid w:val="2C9F1ECD"/>
    <w:rsid w:val="2CB61DB2"/>
    <w:rsid w:val="2CBA1D72"/>
    <w:rsid w:val="2CF5520B"/>
    <w:rsid w:val="2D2A0BE9"/>
    <w:rsid w:val="2D5F7CBC"/>
    <w:rsid w:val="2D600E75"/>
    <w:rsid w:val="2DDE26F0"/>
    <w:rsid w:val="2E283B14"/>
    <w:rsid w:val="2E312541"/>
    <w:rsid w:val="2E6006DB"/>
    <w:rsid w:val="2E7801F9"/>
    <w:rsid w:val="2E8E5375"/>
    <w:rsid w:val="2EA35F63"/>
    <w:rsid w:val="2EAD16F6"/>
    <w:rsid w:val="2EE40541"/>
    <w:rsid w:val="2EE77E30"/>
    <w:rsid w:val="2F2C4DFE"/>
    <w:rsid w:val="2F326539"/>
    <w:rsid w:val="2F996519"/>
    <w:rsid w:val="2FC61653"/>
    <w:rsid w:val="2FDC71F1"/>
    <w:rsid w:val="300F2826"/>
    <w:rsid w:val="30327E11"/>
    <w:rsid w:val="304C5448"/>
    <w:rsid w:val="30582ABE"/>
    <w:rsid w:val="306F4D23"/>
    <w:rsid w:val="309D760A"/>
    <w:rsid w:val="30D67D50"/>
    <w:rsid w:val="313126C9"/>
    <w:rsid w:val="31585DBA"/>
    <w:rsid w:val="31667D3F"/>
    <w:rsid w:val="317D2916"/>
    <w:rsid w:val="31AF6E68"/>
    <w:rsid w:val="31B82D71"/>
    <w:rsid w:val="31DC63B1"/>
    <w:rsid w:val="32020DA6"/>
    <w:rsid w:val="32496AB6"/>
    <w:rsid w:val="32542581"/>
    <w:rsid w:val="327162B8"/>
    <w:rsid w:val="328C01BE"/>
    <w:rsid w:val="32A22815"/>
    <w:rsid w:val="32CA465E"/>
    <w:rsid w:val="32DA7097"/>
    <w:rsid w:val="32E3156C"/>
    <w:rsid w:val="33470468"/>
    <w:rsid w:val="33577E20"/>
    <w:rsid w:val="336278CF"/>
    <w:rsid w:val="336A0E94"/>
    <w:rsid w:val="33862DEE"/>
    <w:rsid w:val="33905438"/>
    <w:rsid w:val="33A862A8"/>
    <w:rsid w:val="33AA302E"/>
    <w:rsid w:val="33F54E8F"/>
    <w:rsid w:val="34222A94"/>
    <w:rsid w:val="342A476B"/>
    <w:rsid w:val="34965E99"/>
    <w:rsid w:val="34A8580A"/>
    <w:rsid w:val="34D9572E"/>
    <w:rsid w:val="35220AED"/>
    <w:rsid w:val="353E10D4"/>
    <w:rsid w:val="35413437"/>
    <w:rsid w:val="357941C9"/>
    <w:rsid w:val="3584501D"/>
    <w:rsid w:val="35A109F9"/>
    <w:rsid w:val="35D85CEB"/>
    <w:rsid w:val="35DB40D8"/>
    <w:rsid w:val="35E02809"/>
    <w:rsid w:val="35EC36D5"/>
    <w:rsid w:val="3606679E"/>
    <w:rsid w:val="361D50EE"/>
    <w:rsid w:val="3635001F"/>
    <w:rsid w:val="363A739E"/>
    <w:rsid w:val="36457C68"/>
    <w:rsid w:val="36564524"/>
    <w:rsid w:val="36802D23"/>
    <w:rsid w:val="36B06E37"/>
    <w:rsid w:val="36E2737F"/>
    <w:rsid w:val="370E53C4"/>
    <w:rsid w:val="37137A04"/>
    <w:rsid w:val="372A7772"/>
    <w:rsid w:val="382D591E"/>
    <w:rsid w:val="385B6441"/>
    <w:rsid w:val="3878752F"/>
    <w:rsid w:val="38C428A1"/>
    <w:rsid w:val="38F24B18"/>
    <w:rsid w:val="39133BC4"/>
    <w:rsid w:val="3961049C"/>
    <w:rsid w:val="39D66286"/>
    <w:rsid w:val="39DE062D"/>
    <w:rsid w:val="3A1E7D06"/>
    <w:rsid w:val="3A2B6D34"/>
    <w:rsid w:val="3A3344E3"/>
    <w:rsid w:val="3A386B9F"/>
    <w:rsid w:val="3AA27E45"/>
    <w:rsid w:val="3AEA50EF"/>
    <w:rsid w:val="3B234BA7"/>
    <w:rsid w:val="3BC169A3"/>
    <w:rsid w:val="3BE54858"/>
    <w:rsid w:val="3C1F7539"/>
    <w:rsid w:val="3C4538C5"/>
    <w:rsid w:val="3C7B702D"/>
    <w:rsid w:val="3CCF588F"/>
    <w:rsid w:val="3CD06291"/>
    <w:rsid w:val="3CD2323A"/>
    <w:rsid w:val="3CD56DD1"/>
    <w:rsid w:val="3D2E30BF"/>
    <w:rsid w:val="3D576C80"/>
    <w:rsid w:val="3D6848C8"/>
    <w:rsid w:val="3D751A8A"/>
    <w:rsid w:val="3D8F5B01"/>
    <w:rsid w:val="3DA10B92"/>
    <w:rsid w:val="3DA951EA"/>
    <w:rsid w:val="3DBF2E93"/>
    <w:rsid w:val="3DDE17BE"/>
    <w:rsid w:val="3DF55E77"/>
    <w:rsid w:val="3E212548"/>
    <w:rsid w:val="3E265296"/>
    <w:rsid w:val="3E357503"/>
    <w:rsid w:val="3E374C17"/>
    <w:rsid w:val="3E8057F7"/>
    <w:rsid w:val="3E965D5C"/>
    <w:rsid w:val="3EA47656"/>
    <w:rsid w:val="3ED34A6E"/>
    <w:rsid w:val="3EFC47F8"/>
    <w:rsid w:val="3F09498D"/>
    <w:rsid w:val="3F1B1653"/>
    <w:rsid w:val="3F20773C"/>
    <w:rsid w:val="3F5D1A50"/>
    <w:rsid w:val="3FBF5BFE"/>
    <w:rsid w:val="4038752C"/>
    <w:rsid w:val="403D71F7"/>
    <w:rsid w:val="4092477E"/>
    <w:rsid w:val="40AB5591"/>
    <w:rsid w:val="40D1104C"/>
    <w:rsid w:val="40F212D4"/>
    <w:rsid w:val="41271F0F"/>
    <w:rsid w:val="412A5E2A"/>
    <w:rsid w:val="41416676"/>
    <w:rsid w:val="414F2C60"/>
    <w:rsid w:val="4174334F"/>
    <w:rsid w:val="419B0F8E"/>
    <w:rsid w:val="419B3060"/>
    <w:rsid w:val="41F86970"/>
    <w:rsid w:val="4224025B"/>
    <w:rsid w:val="42291924"/>
    <w:rsid w:val="425906F9"/>
    <w:rsid w:val="425A6AE3"/>
    <w:rsid w:val="429D46D0"/>
    <w:rsid w:val="42BE1A90"/>
    <w:rsid w:val="42C055EB"/>
    <w:rsid w:val="42DD59CE"/>
    <w:rsid w:val="437E12E0"/>
    <w:rsid w:val="439703A6"/>
    <w:rsid w:val="43B77325"/>
    <w:rsid w:val="43F952C2"/>
    <w:rsid w:val="446A27C5"/>
    <w:rsid w:val="449361A8"/>
    <w:rsid w:val="449966EE"/>
    <w:rsid w:val="44C41654"/>
    <w:rsid w:val="44D038F6"/>
    <w:rsid w:val="44D73316"/>
    <w:rsid w:val="44EA49BE"/>
    <w:rsid w:val="45391373"/>
    <w:rsid w:val="453A1090"/>
    <w:rsid w:val="459F4194"/>
    <w:rsid w:val="46065274"/>
    <w:rsid w:val="463B0E83"/>
    <w:rsid w:val="465240FD"/>
    <w:rsid w:val="466762DF"/>
    <w:rsid w:val="471C4E62"/>
    <w:rsid w:val="47426BBC"/>
    <w:rsid w:val="47D07EA7"/>
    <w:rsid w:val="481B635E"/>
    <w:rsid w:val="481C5A61"/>
    <w:rsid w:val="48316972"/>
    <w:rsid w:val="48346D7B"/>
    <w:rsid w:val="48721B82"/>
    <w:rsid w:val="48E17FC3"/>
    <w:rsid w:val="48F8266E"/>
    <w:rsid w:val="49220A1C"/>
    <w:rsid w:val="49260C65"/>
    <w:rsid w:val="493D62FA"/>
    <w:rsid w:val="4998485F"/>
    <w:rsid w:val="49A93B76"/>
    <w:rsid w:val="49BE0241"/>
    <w:rsid w:val="49C356DE"/>
    <w:rsid w:val="49CA0211"/>
    <w:rsid w:val="49D64807"/>
    <w:rsid w:val="49E822BB"/>
    <w:rsid w:val="49FA1F6C"/>
    <w:rsid w:val="4A15757E"/>
    <w:rsid w:val="4A4A5EED"/>
    <w:rsid w:val="4A5567B4"/>
    <w:rsid w:val="4A762D4C"/>
    <w:rsid w:val="4ABE2FFA"/>
    <w:rsid w:val="4AE619EB"/>
    <w:rsid w:val="4AE71F4C"/>
    <w:rsid w:val="4AF32A44"/>
    <w:rsid w:val="4B080B30"/>
    <w:rsid w:val="4B2737FD"/>
    <w:rsid w:val="4BA97B61"/>
    <w:rsid w:val="4BB35BFC"/>
    <w:rsid w:val="4BB53D92"/>
    <w:rsid w:val="4BCC7955"/>
    <w:rsid w:val="4C415895"/>
    <w:rsid w:val="4C471016"/>
    <w:rsid w:val="4C505623"/>
    <w:rsid w:val="4D4E07D9"/>
    <w:rsid w:val="4D715D40"/>
    <w:rsid w:val="4DB07202"/>
    <w:rsid w:val="4DEF0270"/>
    <w:rsid w:val="4E846FB7"/>
    <w:rsid w:val="4E8E78EE"/>
    <w:rsid w:val="4EA31B59"/>
    <w:rsid w:val="4EB8591F"/>
    <w:rsid w:val="4EF57506"/>
    <w:rsid w:val="4F221D66"/>
    <w:rsid w:val="4F2636D4"/>
    <w:rsid w:val="4F3B7DB9"/>
    <w:rsid w:val="4FA677F0"/>
    <w:rsid w:val="4FDF7065"/>
    <w:rsid w:val="50113BA4"/>
    <w:rsid w:val="505F31D2"/>
    <w:rsid w:val="506747A8"/>
    <w:rsid w:val="5084138B"/>
    <w:rsid w:val="509D1F55"/>
    <w:rsid w:val="50C027B2"/>
    <w:rsid w:val="50E2154A"/>
    <w:rsid w:val="50E30D2E"/>
    <w:rsid w:val="51136059"/>
    <w:rsid w:val="514B3CE9"/>
    <w:rsid w:val="517506B5"/>
    <w:rsid w:val="51C82EEE"/>
    <w:rsid w:val="52015ED5"/>
    <w:rsid w:val="52173CCD"/>
    <w:rsid w:val="522A4D1E"/>
    <w:rsid w:val="527441A8"/>
    <w:rsid w:val="53601AA9"/>
    <w:rsid w:val="538B2CE0"/>
    <w:rsid w:val="538C2947"/>
    <w:rsid w:val="53C50CBE"/>
    <w:rsid w:val="541835A7"/>
    <w:rsid w:val="545D1506"/>
    <w:rsid w:val="54A02ECF"/>
    <w:rsid w:val="54BC16CD"/>
    <w:rsid w:val="54F06C83"/>
    <w:rsid w:val="552E252C"/>
    <w:rsid w:val="55715D67"/>
    <w:rsid w:val="5595310E"/>
    <w:rsid w:val="55A2468D"/>
    <w:rsid w:val="55C81670"/>
    <w:rsid w:val="55D458DD"/>
    <w:rsid w:val="55FE3518"/>
    <w:rsid w:val="56131FB6"/>
    <w:rsid w:val="56433460"/>
    <w:rsid w:val="56645561"/>
    <w:rsid w:val="566B3A9B"/>
    <w:rsid w:val="56AD3A82"/>
    <w:rsid w:val="56B06CDF"/>
    <w:rsid w:val="56F9783E"/>
    <w:rsid w:val="572B3D5A"/>
    <w:rsid w:val="57B73535"/>
    <w:rsid w:val="57F472AC"/>
    <w:rsid w:val="581461F4"/>
    <w:rsid w:val="583044F9"/>
    <w:rsid w:val="585D5890"/>
    <w:rsid w:val="58B87771"/>
    <w:rsid w:val="59635F2D"/>
    <w:rsid w:val="596607E2"/>
    <w:rsid w:val="596B434B"/>
    <w:rsid w:val="598A36AD"/>
    <w:rsid w:val="59C14CD9"/>
    <w:rsid w:val="59CA5E79"/>
    <w:rsid w:val="59CD791D"/>
    <w:rsid w:val="5A13562A"/>
    <w:rsid w:val="5AA262D0"/>
    <w:rsid w:val="5ABB682F"/>
    <w:rsid w:val="5AC21E7D"/>
    <w:rsid w:val="5ACA133F"/>
    <w:rsid w:val="5B174B23"/>
    <w:rsid w:val="5B626DE6"/>
    <w:rsid w:val="5B675D6A"/>
    <w:rsid w:val="5BA12346"/>
    <w:rsid w:val="5BB2189C"/>
    <w:rsid w:val="5C3C34F3"/>
    <w:rsid w:val="5C9B1828"/>
    <w:rsid w:val="5D555369"/>
    <w:rsid w:val="5D9910A9"/>
    <w:rsid w:val="5DE97F30"/>
    <w:rsid w:val="5E1C7F6D"/>
    <w:rsid w:val="5E5A0A2E"/>
    <w:rsid w:val="5E5B0E4D"/>
    <w:rsid w:val="5E9448B3"/>
    <w:rsid w:val="5EFE0D55"/>
    <w:rsid w:val="5F254E92"/>
    <w:rsid w:val="5F3A033D"/>
    <w:rsid w:val="5F3A6606"/>
    <w:rsid w:val="5F4C3822"/>
    <w:rsid w:val="5F607623"/>
    <w:rsid w:val="5F6A2AE4"/>
    <w:rsid w:val="5F822038"/>
    <w:rsid w:val="5FB16EE5"/>
    <w:rsid w:val="5FEB0458"/>
    <w:rsid w:val="60015026"/>
    <w:rsid w:val="601755E5"/>
    <w:rsid w:val="601D5D43"/>
    <w:rsid w:val="6082039A"/>
    <w:rsid w:val="6099150E"/>
    <w:rsid w:val="60C4788F"/>
    <w:rsid w:val="60EA2555"/>
    <w:rsid w:val="615B44C7"/>
    <w:rsid w:val="61734BA9"/>
    <w:rsid w:val="61751CAB"/>
    <w:rsid w:val="61AE4E29"/>
    <w:rsid w:val="61B44337"/>
    <w:rsid w:val="61CB0C82"/>
    <w:rsid w:val="61E647DF"/>
    <w:rsid w:val="61E81897"/>
    <w:rsid w:val="61FB2829"/>
    <w:rsid w:val="62155210"/>
    <w:rsid w:val="626A0D6C"/>
    <w:rsid w:val="627C072F"/>
    <w:rsid w:val="62EF4030"/>
    <w:rsid w:val="62FE75FF"/>
    <w:rsid w:val="631C6170"/>
    <w:rsid w:val="6325603F"/>
    <w:rsid w:val="634F012F"/>
    <w:rsid w:val="6395380A"/>
    <w:rsid w:val="63BE38F7"/>
    <w:rsid w:val="63CC1248"/>
    <w:rsid w:val="645B7DEE"/>
    <w:rsid w:val="64646F2A"/>
    <w:rsid w:val="6469035B"/>
    <w:rsid w:val="6492787D"/>
    <w:rsid w:val="64B6038C"/>
    <w:rsid w:val="64BC2BCB"/>
    <w:rsid w:val="64D00A58"/>
    <w:rsid w:val="650329A3"/>
    <w:rsid w:val="651A3211"/>
    <w:rsid w:val="6571511B"/>
    <w:rsid w:val="65866387"/>
    <w:rsid w:val="658C7C81"/>
    <w:rsid w:val="65961EFB"/>
    <w:rsid w:val="65E64C72"/>
    <w:rsid w:val="663822ED"/>
    <w:rsid w:val="664B41AA"/>
    <w:rsid w:val="666C58ED"/>
    <w:rsid w:val="66DB1A91"/>
    <w:rsid w:val="671D6A7E"/>
    <w:rsid w:val="67282862"/>
    <w:rsid w:val="67384285"/>
    <w:rsid w:val="67500136"/>
    <w:rsid w:val="675862E1"/>
    <w:rsid w:val="67A20B9E"/>
    <w:rsid w:val="67A36BAE"/>
    <w:rsid w:val="67CF1F0D"/>
    <w:rsid w:val="6812693C"/>
    <w:rsid w:val="682F3931"/>
    <w:rsid w:val="684D1F6F"/>
    <w:rsid w:val="685F364C"/>
    <w:rsid w:val="686271C3"/>
    <w:rsid w:val="689939B1"/>
    <w:rsid w:val="68BA5C46"/>
    <w:rsid w:val="690D26AC"/>
    <w:rsid w:val="697150E5"/>
    <w:rsid w:val="69C435B9"/>
    <w:rsid w:val="69DE11A4"/>
    <w:rsid w:val="6A327841"/>
    <w:rsid w:val="6A531178"/>
    <w:rsid w:val="6A8E2B3C"/>
    <w:rsid w:val="6AA0062F"/>
    <w:rsid w:val="6AEE6896"/>
    <w:rsid w:val="6AF232A7"/>
    <w:rsid w:val="6B113A02"/>
    <w:rsid w:val="6B68202E"/>
    <w:rsid w:val="6C1F29B4"/>
    <w:rsid w:val="6C5D70FB"/>
    <w:rsid w:val="6C742DA4"/>
    <w:rsid w:val="6C8F0BE9"/>
    <w:rsid w:val="6CBC5701"/>
    <w:rsid w:val="6CFB6A9D"/>
    <w:rsid w:val="6D1B3F16"/>
    <w:rsid w:val="6D250C66"/>
    <w:rsid w:val="6D4941AD"/>
    <w:rsid w:val="6D5A617B"/>
    <w:rsid w:val="6D637AE8"/>
    <w:rsid w:val="6D97645B"/>
    <w:rsid w:val="6DDE36E9"/>
    <w:rsid w:val="6DF9421C"/>
    <w:rsid w:val="6DFF1A61"/>
    <w:rsid w:val="6E175FD6"/>
    <w:rsid w:val="6E2D640E"/>
    <w:rsid w:val="6E54681D"/>
    <w:rsid w:val="6E8B26A3"/>
    <w:rsid w:val="6ED766F7"/>
    <w:rsid w:val="6EEE4D20"/>
    <w:rsid w:val="6F42007F"/>
    <w:rsid w:val="6F884D63"/>
    <w:rsid w:val="6F967023"/>
    <w:rsid w:val="6FD30627"/>
    <w:rsid w:val="6FD9322F"/>
    <w:rsid w:val="70203CAA"/>
    <w:rsid w:val="702A234C"/>
    <w:rsid w:val="70394698"/>
    <w:rsid w:val="70566023"/>
    <w:rsid w:val="70A373CA"/>
    <w:rsid w:val="70BC18FE"/>
    <w:rsid w:val="70ED2BEF"/>
    <w:rsid w:val="71012E2D"/>
    <w:rsid w:val="7105112F"/>
    <w:rsid w:val="713F4668"/>
    <w:rsid w:val="714E6C19"/>
    <w:rsid w:val="71AC6C98"/>
    <w:rsid w:val="71AF6F6F"/>
    <w:rsid w:val="71FA3760"/>
    <w:rsid w:val="7219458B"/>
    <w:rsid w:val="72320198"/>
    <w:rsid w:val="72AB7AAB"/>
    <w:rsid w:val="72B450F2"/>
    <w:rsid w:val="72B50041"/>
    <w:rsid w:val="72D35373"/>
    <w:rsid w:val="72F4309A"/>
    <w:rsid w:val="7317587D"/>
    <w:rsid w:val="73676856"/>
    <w:rsid w:val="736F5723"/>
    <w:rsid w:val="73982336"/>
    <w:rsid w:val="73C5124B"/>
    <w:rsid w:val="73CF4F2E"/>
    <w:rsid w:val="74216D11"/>
    <w:rsid w:val="74287282"/>
    <w:rsid w:val="742A20F7"/>
    <w:rsid w:val="745900E0"/>
    <w:rsid w:val="746C0098"/>
    <w:rsid w:val="746E5A74"/>
    <w:rsid w:val="747D6113"/>
    <w:rsid w:val="74960197"/>
    <w:rsid w:val="74C20896"/>
    <w:rsid w:val="75237B58"/>
    <w:rsid w:val="75656AFF"/>
    <w:rsid w:val="75701148"/>
    <w:rsid w:val="757442F9"/>
    <w:rsid w:val="75747148"/>
    <w:rsid w:val="75BA6428"/>
    <w:rsid w:val="75C03902"/>
    <w:rsid w:val="763F17BF"/>
    <w:rsid w:val="766F5F27"/>
    <w:rsid w:val="76926E86"/>
    <w:rsid w:val="76AB2AED"/>
    <w:rsid w:val="76D32D78"/>
    <w:rsid w:val="76EC5602"/>
    <w:rsid w:val="773564A4"/>
    <w:rsid w:val="773612D1"/>
    <w:rsid w:val="774F2105"/>
    <w:rsid w:val="77657A2E"/>
    <w:rsid w:val="7788724B"/>
    <w:rsid w:val="77BF3A66"/>
    <w:rsid w:val="77F67838"/>
    <w:rsid w:val="783C0BC4"/>
    <w:rsid w:val="786860BD"/>
    <w:rsid w:val="789837B0"/>
    <w:rsid w:val="78C24071"/>
    <w:rsid w:val="78F96587"/>
    <w:rsid w:val="78FA2463"/>
    <w:rsid w:val="791C68AC"/>
    <w:rsid w:val="793939A7"/>
    <w:rsid w:val="7A0318B7"/>
    <w:rsid w:val="7A315E25"/>
    <w:rsid w:val="7A966606"/>
    <w:rsid w:val="7AD1435D"/>
    <w:rsid w:val="7ADA188B"/>
    <w:rsid w:val="7B10431F"/>
    <w:rsid w:val="7B246530"/>
    <w:rsid w:val="7B3A598C"/>
    <w:rsid w:val="7B913670"/>
    <w:rsid w:val="7BA85FEE"/>
    <w:rsid w:val="7BDD2DCF"/>
    <w:rsid w:val="7C55204D"/>
    <w:rsid w:val="7CB943EA"/>
    <w:rsid w:val="7CCD0FC4"/>
    <w:rsid w:val="7CF5251A"/>
    <w:rsid w:val="7CFA1772"/>
    <w:rsid w:val="7D9D0865"/>
    <w:rsid w:val="7DC40185"/>
    <w:rsid w:val="7DC806DC"/>
    <w:rsid w:val="7E2771D5"/>
    <w:rsid w:val="7E425F17"/>
    <w:rsid w:val="7E567B96"/>
    <w:rsid w:val="7E74210C"/>
    <w:rsid w:val="7E774EE7"/>
    <w:rsid w:val="7E8B6678"/>
    <w:rsid w:val="7EEF1B77"/>
    <w:rsid w:val="7F111E31"/>
    <w:rsid w:val="7F144340"/>
    <w:rsid w:val="7F3714F9"/>
    <w:rsid w:val="7F7977F0"/>
    <w:rsid w:val="7F871387"/>
    <w:rsid w:val="7F94559A"/>
    <w:rsid w:val="7F9D5AC0"/>
    <w:rsid w:val="7FAC316D"/>
    <w:rsid w:val="7FBA42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7">
    <w:name w:val="Default Paragraph Font"/>
    <w:semiHidden/>
    <w:qFormat/>
    <w:uiPriority w:val="0"/>
    <w:rPr>
      <w:rFonts w:ascii="楷体_GB2312" w:eastAsia="楷体_GB2312"/>
      <w:b/>
      <w:bCs/>
      <w:sz w:val="30"/>
      <w:szCs w:val="24"/>
    </w:rPr>
  </w:style>
  <w:style w:type="table" w:default="1" w:styleId="26">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link w:val="112"/>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w:basedOn w:val="1"/>
    <w:qFormat/>
    <w:uiPriority w:val="0"/>
    <w:pPr>
      <w:spacing w:after="120" w:afterLines="0"/>
    </w:pPr>
  </w:style>
  <w:style w:type="paragraph" w:styleId="13">
    <w:name w:val="Body Text Indent"/>
    <w:basedOn w:val="1"/>
    <w:qFormat/>
    <w:uiPriority w:val="0"/>
    <w:pPr>
      <w:ind w:left="420" w:firstLine="629"/>
    </w:pPr>
    <w:rPr>
      <w:rFonts w:ascii="楷体_GB2312" w:eastAsia="楷体_GB2312"/>
      <w:b/>
      <w:sz w:val="30"/>
    </w:rPr>
  </w:style>
  <w:style w:type="paragraph" w:styleId="14">
    <w:name w:val="Block Text"/>
    <w:basedOn w:val="1"/>
    <w:qFormat/>
    <w:uiPriority w:val="0"/>
    <w:pPr>
      <w:ind w:left="420" w:right="342"/>
    </w:pPr>
    <w:rPr>
      <w:rFonts w:ascii="楷体_GB2312" w:eastAsia="楷体_GB2312"/>
      <w:b/>
      <w:sz w:val="30"/>
    </w:rPr>
  </w:style>
  <w:style w:type="paragraph" w:styleId="15">
    <w:name w:val="Plain Text"/>
    <w:basedOn w:val="1"/>
    <w:link w:val="123"/>
    <w:qFormat/>
    <w:uiPriority w:val="0"/>
    <w:rPr>
      <w:rFonts w:ascii="宋体" w:hAnsi="Courier New"/>
      <w:szCs w:val="24"/>
    </w:rPr>
  </w:style>
  <w:style w:type="paragraph" w:styleId="16">
    <w:name w:val="Date"/>
    <w:basedOn w:val="1"/>
    <w:next w:val="1"/>
    <w:qFormat/>
    <w:uiPriority w:val="0"/>
    <w:rPr>
      <w:rFonts w:ascii="楷体_GB2312" w:eastAsia="楷体_GB2312"/>
      <w:b/>
      <w:sz w:val="30"/>
    </w:rPr>
  </w:style>
  <w:style w:type="paragraph" w:styleId="17">
    <w:name w:val="Body Text Indent 2"/>
    <w:basedOn w:val="1"/>
    <w:qFormat/>
    <w:uiPriority w:val="0"/>
    <w:pPr>
      <w:ind w:left="420" w:firstLine="602"/>
    </w:pPr>
    <w:rPr>
      <w:rFonts w:ascii="楷体_GB2312" w:eastAsia="楷体_GB2312"/>
      <w:b/>
      <w:sz w:val="30"/>
    </w:rPr>
  </w:style>
  <w:style w:type="paragraph" w:styleId="18">
    <w:name w:val="Balloon Text"/>
    <w:basedOn w:val="1"/>
    <w:link w:val="111"/>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Body Text Indent 3"/>
    <w:basedOn w:val="1"/>
    <w:qFormat/>
    <w:uiPriority w:val="0"/>
    <w:pPr>
      <w:ind w:left="420" w:firstLine="630"/>
    </w:pPr>
    <w:rPr>
      <w:rFonts w:ascii="楷体_GB2312" w:eastAsia="楷体_GB2312"/>
      <w:b/>
      <w:sz w:val="30"/>
    </w:rPr>
  </w:style>
  <w:style w:type="paragraph" w:styleId="23">
    <w:name w:val="toc 2"/>
    <w:basedOn w:val="1"/>
    <w:next w:val="1"/>
    <w:qFormat/>
    <w:uiPriority w:val="39"/>
    <w:pPr>
      <w:ind w:left="420" w:leftChars="200"/>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8">
    <w:name w:val="Strong"/>
    <w:basedOn w:val="27"/>
    <w:qFormat/>
    <w:uiPriority w:val="0"/>
    <w:rPr>
      <w:b w:val="0"/>
      <w:bCs w:val="0"/>
      <w:szCs w:val="24"/>
    </w:rPr>
  </w:style>
  <w:style w:type="character" w:styleId="29">
    <w:name w:val="page number"/>
    <w:basedOn w:val="27"/>
    <w:qFormat/>
    <w:uiPriority w:val="0"/>
    <w:rPr>
      <w:szCs w:val="24"/>
    </w:rPr>
  </w:style>
  <w:style w:type="character" w:styleId="30">
    <w:name w:val="FollowedHyperlink"/>
    <w:basedOn w:val="27"/>
    <w:qFormat/>
    <w:uiPriority w:val="0"/>
    <w:rPr>
      <w:color w:val="333333"/>
      <w:szCs w:val="24"/>
      <w:u w:val="none"/>
    </w:rPr>
  </w:style>
  <w:style w:type="character" w:styleId="31">
    <w:name w:val="Emphasis"/>
    <w:basedOn w:val="27"/>
    <w:qFormat/>
    <w:uiPriority w:val="0"/>
    <w:rPr>
      <w:szCs w:val="24"/>
    </w:rPr>
  </w:style>
  <w:style w:type="character" w:styleId="32">
    <w:name w:val="HTML Definition"/>
    <w:basedOn w:val="27"/>
    <w:qFormat/>
    <w:uiPriority w:val="0"/>
    <w:rPr>
      <w:szCs w:val="24"/>
    </w:rPr>
  </w:style>
  <w:style w:type="character" w:styleId="33">
    <w:name w:val="HTML Variable"/>
    <w:basedOn w:val="27"/>
    <w:qFormat/>
    <w:uiPriority w:val="0"/>
    <w:rPr>
      <w:szCs w:val="24"/>
    </w:rPr>
  </w:style>
  <w:style w:type="character" w:styleId="34">
    <w:name w:val="Hyperlink"/>
    <w:basedOn w:val="27"/>
    <w:qFormat/>
    <w:uiPriority w:val="99"/>
    <w:rPr>
      <w:color w:val="136EC2"/>
      <w:szCs w:val="24"/>
      <w:u w:val="single"/>
    </w:rPr>
  </w:style>
  <w:style w:type="character" w:styleId="35">
    <w:name w:val="HTML Code"/>
    <w:basedOn w:val="27"/>
    <w:qFormat/>
    <w:uiPriority w:val="0"/>
    <w:rPr>
      <w:rFonts w:ascii="Courier New" w:hAnsi="Courier New" w:eastAsia="Courier New" w:cs="Courier New"/>
      <w:sz w:val="20"/>
      <w:szCs w:val="24"/>
    </w:rPr>
  </w:style>
  <w:style w:type="character" w:styleId="36">
    <w:name w:val="HTML Cite"/>
    <w:basedOn w:val="27"/>
    <w:qFormat/>
    <w:uiPriority w:val="0"/>
    <w:rPr>
      <w:szCs w:val="24"/>
    </w:rPr>
  </w:style>
  <w:style w:type="character" w:styleId="37">
    <w:name w:val="HTML Keyboard"/>
    <w:basedOn w:val="27"/>
    <w:qFormat/>
    <w:uiPriority w:val="0"/>
    <w:rPr>
      <w:rFonts w:ascii="Courier New" w:hAnsi="Courier New" w:eastAsia="Courier New" w:cs="Courier New"/>
      <w:sz w:val="20"/>
      <w:szCs w:val="24"/>
    </w:rPr>
  </w:style>
  <w:style w:type="character" w:styleId="38">
    <w:name w:val="HTML Sample"/>
    <w:basedOn w:val="27"/>
    <w:qFormat/>
    <w:uiPriority w:val="0"/>
    <w:rPr>
      <w:rFonts w:ascii="Courier New" w:hAnsi="Courier New" w:eastAsia="Courier New" w:cs="Courier New"/>
      <w:szCs w:val="24"/>
    </w:rPr>
  </w:style>
  <w:style w:type="paragraph" w:customStyle="1" w:styleId="39">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1">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2">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6">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7">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8">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9">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1">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2">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3">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6">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7">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8">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9">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2">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3">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7">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0">
    <w:name w:val="p0"/>
    <w:basedOn w:val="1"/>
    <w:qFormat/>
    <w:uiPriority w:val="0"/>
    <w:pPr>
      <w:widowControl/>
    </w:pPr>
    <w:rPr>
      <w:kern w:val="0"/>
      <w:szCs w:val="21"/>
    </w:rPr>
  </w:style>
  <w:style w:type="paragraph" w:customStyle="1" w:styleId="8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3">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9">
    <w:name w:val="1"/>
    <w:basedOn w:val="1"/>
    <w:qFormat/>
    <w:uiPriority w:val="0"/>
    <w:pPr>
      <w:ind w:left="420" w:leftChars="200" w:firstLine="629" w:firstLineChars="209"/>
    </w:pPr>
    <w:rPr>
      <w:rFonts w:ascii="楷体_GB2312" w:eastAsia="楷体_GB2312"/>
      <w:b/>
      <w:bCs/>
      <w:sz w:val="30"/>
      <w:szCs w:val="24"/>
    </w:rPr>
  </w:style>
  <w:style w:type="paragraph" w:customStyle="1" w:styleId="90">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1">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2">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3">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5">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2">
    <w:name w:val=" Char"/>
    <w:basedOn w:val="1"/>
    <w:qFormat/>
    <w:uiPriority w:val="0"/>
    <w:pPr>
      <w:snapToGrid w:val="0"/>
      <w:spacing w:line="360" w:lineRule="auto"/>
      <w:ind w:firstLine="200" w:firstLineChars="200"/>
    </w:pPr>
    <w:rPr>
      <w:szCs w:val="24"/>
    </w:rPr>
  </w:style>
  <w:style w:type="paragraph" w:customStyle="1" w:styleId="103">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4">
    <w:name w:val="报告正文"/>
    <w:basedOn w:val="1"/>
    <w:link w:val="114"/>
    <w:qFormat/>
    <w:uiPriority w:val="0"/>
    <w:pPr>
      <w:adjustRightInd w:val="0"/>
      <w:snapToGrid w:val="0"/>
      <w:spacing w:line="336" w:lineRule="auto"/>
      <w:ind w:left="2603"/>
    </w:pPr>
    <w:rPr>
      <w:rFonts w:ascii="华文细黑" w:eastAsia="华文细黑" w:cs="宋体"/>
      <w:sz w:val="22"/>
      <w:szCs w:val="24"/>
    </w:rPr>
  </w:style>
  <w:style w:type="paragraph" w:customStyle="1" w:styleId="105">
    <w:name w:val="修订"/>
    <w:semiHidden/>
    <w:qFormat/>
    <w:uiPriority w:val="99"/>
    <w:rPr>
      <w:rFonts w:ascii="Times New Roman" w:hAnsi="Times New Roman" w:eastAsia="宋体" w:cs="Times New Roman"/>
      <w:kern w:val="2"/>
      <w:sz w:val="21"/>
      <w:lang w:val="en-US" w:eastAsia="zh-CN" w:bidi="ar-SA"/>
    </w:rPr>
  </w:style>
  <w:style w:type="character" w:customStyle="1" w:styleId="106">
    <w:name w:val="fwcdp02bhov"/>
    <w:basedOn w:val="27"/>
    <w:qFormat/>
    <w:uiPriority w:val="0"/>
    <w:rPr>
      <w:color w:val="C60003"/>
      <w:szCs w:val="24"/>
    </w:rPr>
  </w:style>
  <w:style w:type="character" w:customStyle="1" w:styleId="107">
    <w:name w:val="fwsxdlsphov"/>
    <w:basedOn w:val="27"/>
    <w:qFormat/>
    <w:uiPriority w:val="0"/>
    <w:rPr>
      <w:color w:val="000000"/>
      <w:szCs w:val="24"/>
      <w:u w:val="single"/>
    </w:rPr>
  </w:style>
  <w:style w:type="character" w:customStyle="1" w:styleId="108">
    <w:name w:val="fwcdp02a"/>
    <w:basedOn w:val="27"/>
    <w:qFormat/>
    <w:uiPriority w:val="0"/>
    <w:rPr>
      <w:szCs w:val="24"/>
    </w:rPr>
  </w:style>
  <w:style w:type="character" w:customStyle="1" w:styleId="109">
    <w:name w:val="fwcdp02chov"/>
    <w:basedOn w:val="27"/>
    <w:qFormat/>
    <w:uiPriority w:val="0"/>
    <w:rPr>
      <w:color w:val="C60003"/>
      <w:szCs w:val="24"/>
    </w:rPr>
  </w:style>
  <w:style w:type="character" w:customStyle="1" w:styleId="110">
    <w:name w:val="newtxt1"/>
    <w:basedOn w:val="27"/>
    <w:qFormat/>
    <w:uiPriority w:val="0"/>
    <w:rPr>
      <w:szCs w:val="24"/>
    </w:rPr>
  </w:style>
  <w:style w:type="character" w:customStyle="1" w:styleId="111">
    <w:name w:val="批注框文本 Char"/>
    <w:basedOn w:val="27"/>
    <w:link w:val="18"/>
    <w:qFormat/>
    <w:uiPriority w:val="0"/>
    <w:rPr>
      <w:kern w:val="2"/>
      <w:sz w:val="18"/>
      <w:szCs w:val="18"/>
    </w:rPr>
  </w:style>
  <w:style w:type="character" w:customStyle="1" w:styleId="112">
    <w:name w:val="报告正文 Char Char Char Char"/>
    <w:basedOn w:val="27"/>
    <w:link w:val="3"/>
    <w:qFormat/>
    <w:uiPriority w:val="0"/>
    <w:rPr>
      <w:rFonts w:ascii="华文细黑" w:eastAsia="华文细黑" w:cs="宋体"/>
      <w:kern w:val="2"/>
      <w:sz w:val="22"/>
      <w:szCs w:val="24"/>
      <w:lang w:val="en-US" w:eastAsia="zh-CN" w:bidi="ar-SA"/>
    </w:rPr>
  </w:style>
  <w:style w:type="character" w:customStyle="1" w:styleId="113">
    <w:name w:val="fwsxcdh3sping"/>
    <w:basedOn w:val="27"/>
    <w:qFormat/>
    <w:uiPriority w:val="0"/>
    <w:rPr>
      <w:szCs w:val="24"/>
    </w:rPr>
  </w:style>
  <w:style w:type="character" w:customStyle="1" w:styleId="114">
    <w:name w:val="报告正文 Char1"/>
    <w:basedOn w:val="27"/>
    <w:link w:val="104"/>
    <w:qFormat/>
    <w:uiPriority w:val="0"/>
    <w:rPr>
      <w:rFonts w:ascii="华文细黑" w:eastAsia="华文细黑" w:cs="宋体"/>
      <w:kern w:val="2"/>
      <w:sz w:val="22"/>
      <w:szCs w:val="24"/>
      <w:lang w:val="en-US" w:eastAsia="zh-CN" w:bidi="ar-SA"/>
    </w:rPr>
  </w:style>
  <w:style w:type="character" w:customStyle="1" w:styleId="115">
    <w:name w:val="apple-converted-space"/>
    <w:basedOn w:val="27"/>
    <w:qFormat/>
    <w:uiPriority w:val="0"/>
    <w:rPr>
      <w:szCs w:val="24"/>
    </w:rPr>
  </w:style>
  <w:style w:type="character" w:customStyle="1" w:styleId="116">
    <w:name w:val="gdimgri"/>
    <w:basedOn w:val="27"/>
    <w:qFormat/>
    <w:uiPriority w:val="0"/>
    <w:rPr>
      <w:szCs w:val="24"/>
    </w:rPr>
  </w:style>
  <w:style w:type="character" w:customStyle="1" w:styleId="117">
    <w:name w:val="fwsxcddmath02"/>
    <w:basedOn w:val="27"/>
    <w:qFormat/>
    <w:uiPriority w:val="0"/>
    <w:rPr>
      <w:szCs w:val="24"/>
    </w:rPr>
  </w:style>
  <w:style w:type="character" w:customStyle="1" w:styleId="118">
    <w:name w:val="fwcdp02c"/>
    <w:basedOn w:val="27"/>
    <w:qFormat/>
    <w:uiPriority w:val="0"/>
    <w:rPr>
      <w:szCs w:val="24"/>
    </w:rPr>
  </w:style>
  <w:style w:type="character" w:customStyle="1" w:styleId="119">
    <w:name w:val="h1501"/>
    <w:basedOn w:val="27"/>
    <w:qFormat/>
    <w:uiPriority w:val="0"/>
    <w:rPr>
      <w:rFonts w:hint="default" w:ascii="ˎ̥" w:hAnsi="ˎ̥"/>
      <w:sz w:val="21"/>
      <w:szCs w:val="21"/>
    </w:rPr>
  </w:style>
  <w:style w:type="character" w:customStyle="1" w:styleId="120">
    <w:name w:val="fwcdp02ahov"/>
    <w:basedOn w:val="27"/>
    <w:qFormat/>
    <w:uiPriority w:val="0"/>
    <w:rPr>
      <w:color w:val="C60003"/>
      <w:szCs w:val="24"/>
    </w:rPr>
  </w:style>
  <w:style w:type="character" w:customStyle="1" w:styleId="121">
    <w:name w:val="gdimgle"/>
    <w:basedOn w:val="27"/>
    <w:qFormat/>
    <w:uiPriority w:val="0"/>
    <w:rPr>
      <w:szCs w:val="24"/>
    </w:rPr>
  </w:style>
  <w:style w:type="character" w:customStyle="1" w:styleId="122">
    <w:name w:val="fdpfyhov"/>
    <w:basedOn w:val="27"/>
    <w:qFormat/>
    <w:uiPriority w:val="0"/>
    <w:rPr>
      <w:color w:val="000000"/>
      <w:szCs w:val="24"/>
      <w:shd w:val="clear" w:color="auto" w:fill="F9DF88"/>
    </w:rPr>
  </w:style>
  <w:style w:type="character" w:customStyle="1" w:styleId="123">
    <w:name w:val="纯文本 Char"/>
    <w:basedOn w:val="27"/>
    <w:link w:val="15"/>
    <w:qFormat/>
    <w:uiPriority w:val="0"/>
    <w:rPr>
      <w:rFonts w:ascii="宋体" w:hAnsi="Courier New" w:eastAsia="宋体"/>
      <w:kern w:val="2"/>
      <w:sz w:val="21"/>
      <w:szCs w:val="24"/>
      <w:lang w:val="en-US" w:eastAsia="zh-CN" w:bidi="ar-SA"/>
    </w:rPr>
  </w:style>
  <w:style w:type="character" w:customStyle="1" w:styleId="124">
    <w:name w:val="fwcdp02b"/>
    <w:basedOn w:val="27"/>
    <w:qFormat/>
    <w:uiPriority w:val="0"/>
    <w:rPr>
      <w:szCs w:val="24"/>
    </w:rPr>
  </w:style>
  <w:style w:type="character" w:customStyle="1" w:styleId="125">
    <w:name w:val="zxtime"/>
    <w:basedOn w:val="27"/>
    <w:qFormat/>
    <w:uiPriority w:val="0"/>
    <w:rPr>
      <w:color w:val="969696"/>
      <w:sz w:val="18"/>
      <w:szCs w:val="18"/>
    </w:rPr>
  </w:style>
  <w:style w:type="character" w:customStyle="1" w:styleId="126">
    <w:name w:val="bsharetext"/>
    <w:basedOn w:val="27"/>
    <w:qFormat/>
    <w:uiPriority w:val="0"/>
  </w:style>
  <w:style w:type="character" w:customStyle="1" w:styleId="127">
    <w:name w:val="topc1_2"/>
    <w:basedOn w:val="27"/>
    <w:qFormat/>
    <w:uiPriority w:val="0"/>
    <w:rPr>
      <w:rFonts w:ascii="黑体" w:hAnsi="宋体" w:eastAsia="黑体" w:cs="黑体"/>
      <w:color w:val="FA3902"/>
      <w:sz w:val="24"/>
      <w:szCs w:val="24"/>
    </w:rPr>
  </w:style>
  <w:style w:type="character" w:customStyle="1" w:styleId="128">
    <w:name w:val="toptit"/>
    <w:basedOn w:val="27"/>
    <w:qFormat/>
    <w:uiPriority w:val="0"/>
  </w:style>
  <w:style w:type="character" w:customStyle="1" w:styleId="129">
    <w:name w:val="toptit1"/>
    <w:basedOn w:val="27"/>
    <w:qFormat/>
    <w:uiPriority w:val="0"/>
    <w:rPr>
      <w:sz w:val="24"/>
      <w:szCs w:val="24"/>
    </w:rPr>
  </w:style>
  <w:style w:type="character" w:customStyle="1" w:styleId="130">
    <w:name w:val="topc0"/>
    <w:basedOn w:val="27"/>
    <w:qFormat/>
    <w:uiPriority w:val="0"/>
    <w:rPr>
      <w:rFonts w:ascii="微软雅黑" w:hAnsi="微软雅黑" w:eastAsia="微软雅黑" w:cs="微软雅黑"/>
      <w:b w:val="0"/>
      <w:color w:val="737373"/>
      <w:sz w:val="22"/>
      <w:szCs w:val="22"/>
    </w:rPr>
  </w:style>
  <w:style w:type="character" w:customStyle="1" w:styleId="131">
    <w:name w:val="topc1"/>
    <w:basedOn w:val="27"/>
    <w:qFormat/>
    <w:uiPriority w:val="0"/>
    <w:rPr>
      <w:rFonts w:hint="eastAsia" w:ascii="微软雅黑" w:hAnsi="微软雅黑" w:eastAsia="微软雅黑" w:cs="微软雅黑"/>
      <w:color w:val="FFFFFF"/>
      <w:spacing w:val="11"/>
      <w:sz w:val="22"/>
      <w:szCs w:val="22"/>
      <w:shd w:val="clear" w:fill="E74A05"/>
    </w:rPr>
  </w:style>
  <w:style w:type="character" w:customStyle="1" w:styleId="132">
    <w:name w:val="topc11"/>
    <w:basedOn w:val="27"/>
    <w:qFormat/>
    <w:uiPriority w:val="0"/>
    <w:rPr>
      <w:rFonts w:hint="eastAsia" w:ascii="黑体" w:hAnsi="宋体" w:eastAsia="黑体" w:cs="黑体"/>
      <w:color w:val="FA3902"/>
      <w:sz w:val="24"/>
      <w:szCs w:val="24"/>
    </w:rPr>
  </w:style>
  <w:style w:type="character" w:customStyle="1" w:styleId="133">
    <w:name w:val="topc1_3"/>
    <w:basedOn w:val="27"/>
    <w:qFormat/>
    <w:uiPriority w:val="0"/>
    <w:rPr>
      <w:color w:val="B80002"/>
      <w:spacing w:val="11"/>
      <w:sz w:val="21"/>
      <w:szCs w:val="21"/>
      <w:bdr w:val="single" w:color="0A8DD3" w:sz="6" w:space="0"/>
      <w:shd w:val="clear" w:fill="FFFFFF"/>
    </w:rPr>
  </w:style>
  <w:style w:type="character" w:customStyle="1" w:styleId="134">
    <w:name w:val="toptit_3"/>
    <w:basedOn w:val="27"/>
    <w:qFormat/>
    <w:uiPriority w:val="0"/>
  </w:style>
  <w:style w:type="character" w:customStyle="1" w:styleId="135">
    <w:name w:val="topc0_3"/>
    <w:basedOn w:val="27"/>
    <w:qFormat/>
    <w:uiPriority w:val="0"/>
    <w:rPr>
      <w:color w:val="000000"/>
      <w:sz w:val="21"/>
      <w:szCs w:val="21"/>
    </w:rPr>
  </w:style>
  <w:style w:type="character" w:customStyle="1" w:styleId="136">
    <w:name w:val="topc0_normal"/>
    <w:basedOn w:val="27"/>
    <w:qFormat/>
    <w:uiPriority w:val="0"/>
    <w:rPr>
      <w:rFonts w:hint="eastAsia" w:ascii="黑体" w:hAnsi="宋体" w:eastAsia="黑体" w:cs="黑体"/>
      <w:color w:val="939192"/>
      <w:sz w:val="24"/>
      <w:szCs w:val="24"/>
    </w:rPr>
  </w:style>
  <w:style w:type="character" w:customStyle="1" w:styleId="137">
    <w:name w:val="toptit_normal"/>
    <w:basedOn w:val="27"/>
    <w:qFormat/>
    <w:uiPriority w:val="0"/>
  </w:style>
  <w:style w:type="character" w:customStyle="1" w:styleId="138">
    <w:name w:val="topc1_normal"/>
    <w:basedOn w:val="27"/>
    <w:qFormat/>
    <w:uiPriority w:val="0"/>
    <w:rPr>
      <w:rFonts w:hint="eastAsia" w:ascii="黑体" w:hAnsi="宋体" w:eastAsia="黑体" w:cs="黑体"/>
      <w:color w:val="FA3902"/>
      <w:sz w:val="24"/>
      <w:szCs w:val="24"/>
    </w:rPr>
  </w:style>
  <w:style w:type="character" w:customStyle="1" w:styleId="139">
    <w:name w:val="topc0_2"/>
    <w:basedOn w:val="27"/>
    <w:qFormat/>
    <w:uiPriority w:val="0"/>
    <w:rPr>
      <w:rFonts w:hint="eastAsia" w:ascii="黑体" w:hAnsi="宋体" w:eastAsia="黑体" w:cs="黑体"/>
      <w:color w:val="939192"/>
      <w:sz w:val="24"/>
      <w:szCs w:val="24"/>
    </w:rPr>
  </w:style>
  <w:style w:type="character" w:customStyle="1" w:styleId="140">
    <w:name w:val="toptit_2"/>
    <w:basedOn w:val="27"/>
    <w:qFormat/>
    <w:uiPriority w:val="0"/>
  </w:style>
  <w:style w:type="character" w:customStyle="1" w:styleId="141">
    <w:name w:val="toptit_top"/>
    <w:basedOn w:val="27"/>
    <w:qFormat/>
    <w:uiPriority w:val="0"/>
  </w:style>
  <w:style w:type="character" w:customStyle="1" w:styleId="142">
    <w:name w:val="topc0_top"/>
    <w:basedOn w:val="27"/>
    <w:qFormat/>
    <w:uiPriority w:val="0"/>
    <w:rPr>
      <w:rFonts w:hint="eastAsia" w:ascii="黑体" w:hAnsi="宋体" w:eastAsia="黑体" w:cs="黑体"/>
      <w:color w:val="939192"/>
      <w:sz w:val="27"/>
      <w:szCs w:val="27"/>
    </w:rPr>
  </w:style>
  <w:style w:type="character" w:customStyle="1" w:styleId="143">
    <w:name w:val="topc1_top"/>
    <w:basedOn w:val="27"/>
    <w:qFormat/>
    <w:uiPriority w:val="0"/>
    <w:rPr>
      <w:rFonts w:hint="eastAsia" w:ascii="黑体" w:hAnsi="宋体" w:eastAsia="黑体" w:cs="黑体"/>
      <w:color w:val="FA3902"/>
      <w:sz w:val="27"/>
      <w:szCs w:val="27"/>
    </w:rPr>
  </w:style>
  <w:style w:type="character" w:customStyle="1" w:styleId="144">
    <w:name w:val="topc07"/>
    <w:basedOn w:val="27"/>
    <w:qFormat/>
    <w:uiPriority w:val="0"/>
    <w:rPr>
      <w:rFonts w:ascii="微软雅黑" w:hAnsi="微软雅黑" w:eastAsia="微软雅黑" w:cs="微软雅黑"/>
      <w:b w:val="0"/>
      <w:color w:val="737373"/>
      <w:sz w:val="22"/>
      <w:szCs w:val="22"/>
    </w:rPr>
  </w:style>
  <w:style w:type="character" w:customStyle="1" w:styleId="145">
    <w:name w:val="topc17"/>
    <w:basedOn w:val="27"/>
    <w:qFormat/>
    <w:uiPriority w:val="0"/>
    <w:rPr>
      <w:rFonts w:hint="eastAsia" w:ascii="微软雅黑" w:hAnsi="微软雅黑" w:eastAsia="微软雅黑" w:cs="微软雅黑"/>
      <w:color w:val="FFFFFF"/>
      <w:spacing w:val="11"/>
      <w:sz w:val="22"/>
      <w:szCs w:val="22"/>
      <w:shd w:val="clear" w:fill="E74A05"/>
    </w:rPr>
  </w:style>
  <w:style w:type="character" w:customStyle="1" w:styleId="146">
    <w:name w:val="topc18"/>
    <w:basedOn w:val="27"/>
    <w:qFormat/>
    <w:uiPriority w:val="0"/>
    <w:rPr>
      <w:rFonts w:ascii="黑体" w:hAnsi="宋体" w:eastAsia="黑体" w:cs="黑体"/>
      <w:color w:val="FA3902"/>
      <w:sz w:val="24"/>
      <w:szCs w:val="24"/>
    </w:rPr>
  </w:style>
  <w:style w:type="character" w:customStyle="1" w:styleId="147">
    <w:name w:val="toptit_32"/>
    <w:basedOn w:val="27"/>
    <w:qFormat/>
    <w:uiPriority w:val="0"/>
  </w:style>
  <w:style w:type="character" w:customStyle="1" w:styleId="148">
    <w:name w:val="font21"/>
    <w:basedOn w:val="27"/>
    <w:qFormat/>
    <w:uiPriority w:val="0"/>
    <w:rPr>
      <w:rFonts w:hint="default" w:ascii="仿宋_GB2312" w:eastAsia="仿宋_GB2312" w:cs="仿宋_GB2312"/>
      <w:color w:val="000000"/>
      <w:sz w:val="21"/>
      <w:szCs w:val="21"/>
      <w:u w:val="none"/>
    </w:rPr>
  </w:style>
  <w:style w:type="character" w:customStyle="1" w:styleId="149">
    <w:name w:val="font01"/>
    <w:basedOn w:val="27"/>
    <w:qFormat/>
    <w:uiPriority w:val="0"/>
    <w:rPr>
      <w:rFonts w:hint="eastAsia" w:ascii="宋体" w:hAnsi="宋体" w:eastAsia="宋体" w:cs="宋体"/>
      <w:color w:val="000000"/>
      <w:sz w:val="21"/>
      <w:szCs w:val="21"/>
      <w:u w:val="none"/>
    </w:rPr>
  </w:style>
  <w:style w:type="character" w:customStyle="1" w:styleId="150">
    <w:name w:val="span1"/>
    <w:basedOn w:val="27"/>
    <w:qFormat/>
    <w:uiPriority w:val="0"/>
    <w:rPr>
      <w:color w:val="1C1C1C"/>
      <w:sz w:val="21"/>
      <w:szCs w:val="21"/>
    </w:rPr>
  </w:style>
  <w:style w:type="character" w:customStyle="1" w:styleId="151">
    <w:name w:val="font31"/>
    <w:basedOn w:val="27"/>
    <w:qFormat/>
    <w:uiPriority w:val="0"/>
    <w:rPr>
      <w:rFonts w:hint="default" w:ascii="仿宋_GB2312" w:eastAsia="仿宋_GB2312" w:cs="仿宋_GB2312"/>
      <w:color w:val="000000"/>
      <w:sz w:val="21"/>
      <w:szCs w:val="21"/>
      <w:u w:val="none"/>
    </w:rPr>
  </w:style>
  <w:style w:type="character" w:customStyle="1" w:styleId="152">
    <w:name w:val="font41"/>
    <w:basedOn w:val="27"/>
    <w:qFormat/>
    <w:uiPriority w:val="0"/>
    <w:rPr>
      <w:rFonts w:hint="eastAsia" w:ascii="宋体" w:hAnsi="宋体" w:eastAsia="宋体" w:cs="宋体"/>
      <w:color w:val="000000"/>
      <w:sz w:val="21"/>
      <w:szCs w:val="21"/>
      <w:u w:val="none"/>
    </w:rPr>
  </w:style>
  <w:style w:type="character" w:customStyle="1" w:styleId="153">
    <w:name w:val="font11"/>
    <w:basedOn w:val="27"/>
    <w:qFormat/>
    <w:uiPriority w:val="0"/>
    <w:rPr>
      <w:rFonts w:hint="default" w:ascii="仿宋_GB2312" w:eastAsia="仿宋_GB2312" w:cs="仿宋_GB2312"/>
      <w:color w:val="000000"/>
      <w:sz w:val="21"/>
      <w:szCs w:val="21"/>
      <w:u w:val="none"/>
    </w:rPr>
  </w:style>
  <w:style w:type="character" w:customStyle="1" w:styleId="154">
    <w:name w:val="font51"/>
    <w:basedOn w:val="2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17</Pages>
  <Words>6656</Words>
  <Characters>7047</Characters>
  <Lines>124</Lines>
  <Paragraphs>35</Paragraphs>
  <TotalTime>1</TotalTime>
  <ScaleCrop>false</ScaleCrop>
  <LinksUpToDate>false</LinksUpToDate>
  <CharactersWithSpaces>7189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Administrator</cp:lastModifiedBy>
  <cp:lastPrinted>2021-11-08T07:29:00Z</cp:lastPrinted>
  <dcterms:modified xsi:type="dcterms:W3CDTF">2022-07-06T01:22:26Z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28BCE21D94EC4BA08802867DC688ABD6</vt:lpwstr>
  </property>
  <property fmtid="{D5CDD505-2E9C-101B-9397-08002B2CF9AE}" pid="4" name="commondata">
    <vt:lpwstr>eyJoZGlkIjoiNWQyOGUzZDk3ODA3OWUyZWQwMGU1MTU1MjAyM2UyYzQifQ==</vt:lpwstr>
  </property>
</Properties>
</file>