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right"/>
        <w:rPr>
          <w:rFonts w:ascii="仿宋_GB2312" w:eastAsia="仿宋_GB2312" w:hAnsi="Arial Narrow"/>
          <w:b/>
          <w:sz w:val="48"/>
          <w:szCs w:val="48"/>
        </w:rPr>
      </w:pPr>
    </w:p>
    <w:p>
      <w:pPr>
        <w:spacing w:line="360" w:lineRule="auto"/>
        <w:jc w:val="center"/>
        <w:rPr>
          <w:rFonts w:ascii="Arial Narrow" w:eastAsia="仿宋_GB2312" w:hAnsi="Arial Narrow"/>
          <w:b/>
          <w:sz w:val="48"/>
          <w:szCs w:val="48"/>
        </w:rPr>
      </w:pPr>
      <w:proofErr w:type="gramStart"/>
      <w:r>
        <w:rPr>
          <w:rFonts w:ascii="Arial Narrow" w:eastAsia="仿宋_GB2312" w:hAnsi="Arial Narrow" w:hint="eastAsia"/>
          <w:b/>
          <w:sz w:val="48"/>
          <w:szCs w:val="48"/>
        </w:rPr>
        <w:t>涉执房地产</w:t>
      </w:r>
      <w:proofErr w:type="gramEnd"/>
      <w:r>
        <w:rPr>
          <w:rFonts w:ascii="Arial Narrow" w:eastAsia="仿宋_GB2312" w:hAnsi="Arial Narrow" w:hint="eastAsia"/>
          <w:b/>
          <w:sz w:val="48"/>
          <w:szCs w:val="48"/>
        </w:rPr>
        <w:t>处置司法评估报告</w:t>
      </w:r>
    </w:p>
    <w:p>
      <w:pPr>
        <w:jc w:val="center"/>
        <w:rPr>
          <w:szCs w:val="21"/>
        </w:rPr>
      </w:pPr>
      <w:r>
        <w:rPr>
          <w:noProof/>
          <w:szCs w:val="21"/>
        </w:rPr>
        <w:drawing>
          <wp:inline distT="0" distB="0" distL="0" distR="0">
            <wp:extent cx="3360000" cy="2520000"/>
            <wp:effectExtent l="953"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360000" cy="2520000"/>
                    </a:xfrm>
                    <a:prstGeom prst="rect">
                      <a:avLst/>
                    </a:prstGeom>
                  </pic:spPr>
                </pic:pic>
              </a:graphicData>
            </a:graphic>
          </wp:inline>
        </w:drawing>
      </w:r>
    </w:p>
    <w:p>
      <w:pPr>
        <w:spacing w:line="480" w:lineRule="auto"/>
        <w:jc w:val="center"/>
        <w:rPr>
          <w:rFonts w:ascii="仿宋_GB2312" w:eastAsia="仿宋_GB2312" w:hAnsi="Arial Narrow"/>
        </w:rPr>
      </w:pPr>
    </w:p>
    <w:p>
      <w:pPr>
        <w:spacing w:line="600" w:lineRule="exact"/>
        <w:ind w:leftChars="4" w:left="2270" w:hangingChars="704" w:hanging="2262"/>
        <w:jc w:val="both"/>
        <w:rPr>
          <w:rFonts w:ascii="仿宋_GB2312" w:eastAsia="仿宋_GB2312" w:hAnsi="Arial Narrow"/>
          <w:b/>
          <w:sz w:val="32"/>
          <w:szCs w:val="32"/>
        </w:rPr>
      </w:pPr>
      <w:r>
        <w:rPr>
          <w:rFonts w:ascii="仿宋_GB2312" w:eastAsia="仿宋_GB2312" w:hAnsi="Arial Narrow" w:hint="eastAsia"/>
          <w:b/>
          <w:sz w:val="32"/>
          <w:szCs w:val="32"/>
        </w:rPr>
        <w:t>估价项目名称</w:t>
      </w:r>
      <w:r>
        <w:rPr>
          <w:rFonts w:ascii="仿宋_GB2312" w:eastAsia="仿宋_GB2312" w:hAnsi="Arial Narrow" w:hint="eastAsia"/>
          <w:sz w:val="32"/>
          <w:szCs w:val="32"/>
        </w:rPr>
        <w:t>：泉州市</w:t>
      </w:r>
      <w:proofErr w:type="gramStart"/>
      <w:r>
        <w:rPr>
          <w:rFonts w:ascii="仿宋_GB2312" w:eastAsia="仿宋_GB2312" w:hAnsi="Arial Narrow" w:hint="eastAsia"/>
          <w:sz w:val="32"/>
          <w:szCs w:val="32"/>
        </w:rPr>
        <w:t>鲤</w:t>
      </w:r>
      <w:proofErr w:type="gramEnd"/>
      <w:r>
        <w:rPr>
          <w:rFonts w:ascii="仿宋_GB2312" w:eastAsia="仿宋_GB2312" w:hAnsi="Arial Narrow" w:hint="eastAsia"/>
          <w:sz w:val="32"/>
          <w:szCs w:val="32"/>
        </w:rPr>
        <w:t>城区浮桥街道延陵社区</w:t>
      </w:r>
      <w:proofErr w:type="gramStart"/>
      <w:r>
        <w:rPr>
          <w:rFonts w:ascii="仿宋_GB2312" w:eastAsia="仿宋_GB2312" w:hAnsi="Arial Narrow" w:hint="eastAsia"/>
          <w:sz w:val="32"/>
          <w:szCs w:val="32"/>
        </w:rPr>
        <w:t>珑</w:t>
      </w:r>
      <w:proofErr w:type="gramEnd"/>
      <w:r>
        <w:rPr>
          <w:rFonts w:ascii="仿宋" w:eastAsia="仿宋" w:hAnsi="仿宋" w:cs="微软雅黑" w:hint="eastAsia"/>
          <w:sz w:val="32"/>
          <w:szCs w:val="32"/>
        </w:rPr>
        <w:t>玥</w:t>
      </w:r>
      <w:r>
        <w:rPr>
          <w:rFonts w:ascii="仿宋_GB2312" w:eastAsia="仿宋_GB2312" w:hAnsi="仿宋_GB2312" w:cs="仿宋_GB2312" w:hint="eastAsia"/>
          <w:sz w:val="32"/>
          <w:szCs w:val="32"/>
        </w:rPr>
        <w:t>湾二期项目</w:t>
      </w:r>
      <w:r>
        <w:rPr>
          <w:rFonts w:ascii="仿宋_GB2312" w:eastAsia="仿宋_GB2312" w:hAnsi="Arial Narrow" w:hint="eastAsia"/>
          <w:sz w:val="32"/>
          <w:szCs w:val="32"/>
        </w:rPr>
        <w:t>9号楼901（</w:t>
      </w:r>
      <w:proofErr w:type="gramStart"/>
      <w:r>
        <w:rPr>
          <w:rFonts w:ascii="仿宋_GB2312" w:eastAsia="仿宋_GB2312" w:hAnsi="Arial Narrow" w:hint="eastAsia"/>
          <w:sz w:val="32"/>
          <w:szCs w:val="32"/>
        </w:rPr>
        <w:t>珑</w:t>
      </w:r>
      <w:proofErr w:type="gramEnd"/>
      <w:r>
        <w:rPr>
          <w:rFonts w:ascii="仿宋" w:eastAsia="仿宋" w:hAnsi="仿宋" w:cs="微软雅黑" w:hint="eastAsia"/>
          <w:sz w:val="32"/>
          <w:szCs w:val="32"/>
        </w:rPr>
        <w:t>玥</w:t>
      </w:r>
      <w:r>
        <w:rPr>
          <w:rFonts w:ascii="仿宋_GB2312" w:eastAsia="仿宋_GB2312" w:hAnsi="仿宋_GB2312" w:cs="仿宋_GB2312" w:hint="eastAsia"/>
          <w:sz w:val="32"/>
          <w:szCs w:val="32"/>
        </w:rPr>
        <w:t>湾二期</w:t>
      </w:r>
      <w:r>
        <w:rPr>
          <w:rFonts w:ascii="仿宋_GB2312" w:eastAsia="仿宋_GB2312" w:hAnsi="Arial Narrow" w:hint="eastAsia"/>
          <w:sz w:val="32"/>
          <w:szCs w:val="32"/>
        </w:rPr>
        <w:t>）住宅房地产市场价格评估</w:t>
      </w:r>
    </w:p>
    <w:p>
      <w:pPr>
        <w:spacing w:line="600" w:lineRule="exact"/>
        <w:jc w:val="both"/>
        <w:rPr>
          <w:rFonts w:ascii="仿宋_GB2312" w:eastAsia="仿宋_GB2312" w:hAnsi="Arial Narrow"/>
          <w:sz w:val="32"/>
          <w:szCs w:val="32"/>
        </w:rPr>
      </w:pPr>
      <w:r>
        <w:rPr>
          <w:rFonts w:ascii="仿宋_GB2312" w:eastAsia="仿宋_GB2312" w:hAnsi="Arial Narrow" w:hint="eastAsia"/>
          <w:b/>
          <w:sz w:val="32"/>
          <w:szCs w:val="32"/>
        </w:rPr>
        <w:t>估价委托人</w:t>
      </w:r>
      <w:r>
        <w:rPr>
          <w:rFonts w:ascii="仿宋_GB2312" w:eastAsia="仿宋_GB2312" w:hAnsi="Arial Narrow" w:hint="eastAsia"/>
          <w:sz w:val="32"/>
          <w:szCs w:val="32"/>
        </w:rPr>
        <w:t>:       福建省泉州市中级人民法院</w:t>
      </w:r>
    </w:p>
    <w:p>
      <w:pPr>
        <w:spacing w:line="600" w:lineRule="exact"/>
        <w:ind w:left="3036" w:hangingChars="945" w:hanging="3036"/>
        <w:jc w:val="both"/>
        <w:rPr>
          <w:rFonts w:ascii="仿宋_GB2312" w:eastAsia="仿宋_GB2312" w:hAnsi="Arial Narrow"/>
          <w:sz w:val="32"/>
          <w:szCs w:val="32"/>
        </w:rPr>
      </w:pPr>
      <w:r>
        <w:rPr>
          <w:rFonts w:ascii="仿宋_GB2312" w:eastAsia="仿宋_GB2312" w:hAnsi="Arial Narrow" w:hint="eastAsia"/>
          <w:b/>
          <w:sz w:val="32"/>
          <w:szCs w:val="32"/>
        </w:rPr>
        <w:t>房地产估价机构</w:t>
      </w:r>
      <w:r>
        <w:rPr>
          <w:rFonts w:ascii="仿宋_GB2312" w:eastAsia="仿宋_GB2312" w:hAnsi="Arial Narrow" w:hint="eastAsia"/>
          <w:sz w:val="32"/>
          <w:szCs w:val="32"/>
        </w:rPr>
        <w:t xml:space="preserve">:   </w:t>
      </w:r>
      <w:r>
        <w:rPr>
          <w:rFonts w:ascii="仿宋_GB2312" w:eastAsia="仿宋_GB2312" w:hAnsi="Arial Narrow" w:hint="eastAsia"/>
          <w:spacing w:val="-41"/>
          <w:sz w:val="32"/>
          <w:szCs w:val="32"/>
        </w:rPr>
        <w:t>厦门市大学资产评估土地房地产估价有限责任公司</w:t>
      </w:r>
    </w:p>
    <w:p>
      <w:pPr>
        <w:spacing w:line="600" w:lineRule="exact"/>
        <w:ind w:left="3119" w:hangingChars="971" w:hanging="3119"/>
        <w:jc w:val="both"/>
        <w:rPr>
          <w:rFonts w:ascii="仿宋_GB2312" w:eastAsia="仿宋_GB2312" w:hAnsi="Arial Narrow"/>
          <w:sz w:val="32"/>
          <w:szCs w:val="32"/>
        </w:rPr>
      </w:pPr>
      <w:r>
        <w:rPr>
          <w:rFonts w:ascii="仿宋_GB2312" w:eastAsia="仿宋_GB2312" w:hAnsi="Arial Narrow" w:hint="eastAsia"/>
          <w:b/>
          <w:sz w:val="32"/>
          <w:szCs w:val="32"/>
        </w:rPr>
        <w:t>注册房地产估价师</w:t>
      </w:r>
      <w:r>
        <w:rPr>
          <w:rFonts w:ascii="仿宋_GB2312" w:eastAsia="仿宋_GB2312" w:hAnsi="Arial Narrow" w:hint="eastAsia"/>
          <w:sz w:val="32"/>
          <w:szCs w:val="32"/>
        </w:rPr>
        <w:t>:</w:t>
      </w:r>
      <w:r>
        <w:rPr>
          <w:rFonts w:ascii="仿宋_GB2312" w:eastAsia="仿宋_GB2312" w:hAnsi="Arial Narrow"/>
          <w:sz w:val="32"/>
          <w:szCs w:val="32"/>
        </w:rPr>
        <w:t xml:space="preserve"> </w:t>
      </w:r>
      <w:r>
        <w:rPr>
          <w:rFonts w:ascii="仿宋_GB2312" w:eastAsia="仿宋_GB2312" w:hAnsi="Arial Narrow" w:hint="eastAsia"/>
          <w:sz w:val="32"/>
          <w:szCs w:val="32"/>
        </w:rPr>
        <w:t>王志东(注册号:3520070010)</w:t>
      </w:r>
    </w:p>
    <w:p>
      <w:pPr>
        <w:spacing w:line="600" w:lineRule="exact"/>
        <w:ind w:leftChars="900" w:left="1890" w:firstLineChars="300" w:firstLine="960"/>
        <w:jc w:val="both"/>
        <w:rPr>
          <w:rFonts w:ascii="仿宋_GB2312" w:eastAsia="仿宋_GB2312" w:hAnsi="Arial Narrow"/>
          <w:sz w:val="32"/>
          <w:szCs w:val="32"/>
        </w:rPr>
      </w:pPr>
      <w:r>
        <w:rPr>
          <w:rFonts w:ascii="仿宋_GB2312" w:eastAsia="仿宋_GB2312" w:hAnsi="Arial Narrow" w:hint="eastAsia"/>
          <w:sz w:val="32"/>
          <w:szCs w:val="32"/>
        </w:rPr>
        <w:t>黄教岳(注册号:3520190020)</w:t>
      </w:r>
    </w:p>
    <w:p>
      <w:pPr>
        <w:spacing w:line="600" w:lineRule="exact"/>
        <w:ind w:left="2837" w:hangingChars="883" w:hanging="2837"/>
        <w:jc w:val="both"/>
        <w:rPr>
          <w:rFonts w:ascii="仿宋_GB2312" w:eastAsia="仿宋_GB2312" w:hAnsi="Arial Narrow"/>
          <w:sz w:val="32"/>
          <w:szCs w:val="32"/>
        </w:rPr>
      </w:pPr>
      <w:r>
        <w:rPr>
          <w:rFonts w:ascii="仿宋_GB2312" w:eastAsia="仿宋_GB2312" w:hAnsi="Arial Narrow" w:hint="eastAsia"/>
          <w:b/>
          <w:sz w:val="32"/>
          <w:szCs w:val="32"/>
        </w:rPr>
        <w:t>估价报告出具日期</w:t>
      </w:r>
      <w:r>
        <w:rPr>
          <w:rFonts w:ascii="仿宋_GB2312" w:eastAsia="仿宋_GB2312" w:hAnsi="Arial Narrow" w:hint="eastAsia"/>
          <w:sz w:val="32"/>
          <w:szCs w:val="32"/>
        </w:rPr>
        <w:t>: 2021年09月24日</w:t>
      </w:r>
    </w:p>
    <w:p>
      <w:pPr>
        <w:spacing w:line="600" w:lineRule="atLeast"/>
        <w:ind w:left="3023" w:hangingChars="941" w:hanging="3023"/>
        <w:jc w:val="both"/>
        <w:rPr>
          <w:rFonts w:ascii="仿宋_GB2312" w:eastAsia="仿宋_GB2312" w:hAnsi="Arial Narrow"/>
          <w:sz w:val="30"/>
          <w:szCs w:val="30"/>
        </w:rPr>
      </w:pPr>
      <w:r>
        <w:rPr>
          <w:rFonts w:ascii="仿宋_GB2312" w:eastAsia="仿宋_GB2312" w:hAnsi="Arial Narrow" w:hint="eastAsia"/>
          <w:b/>
          <w:sz w:val="32"/>
          <w:szCs w:val="32"/>
        </w:rPr>
        <w:t>估价报告编号</w:t>
      </w:r>
      <w:r>
        <w:rPr>
          <w:rFonts w:ascii="仿宋_GB2312" w:eastAsia="仿宋_GB2312" w:hAnsi="Arial Narrow" w:hint="eastAsia"/>
          <w:sz w:val="32"/>
          <w:szCs w:val="32"/>
        </w:rPr>
        <w:t xml:space="preserve">:     </w:t>
      </w:r>
      <w:r>
        <w:rPr>
          <w:rFonts w:ascii="仿宋_GB2312" w:eastAsia="仿宋_GB2312" w:hint="eastAsia"/>
          <w:color w:val="000000" w:themeColor="text1"/>
          <w:sz w:val="32"/>
          <w:szCs w:val="32"/>
        </w:rPr>
        <w:t>大学评估</w:t>
      </w:r>
      <w:proofErr w:type="gramStart"/>
      <w:r>
        <w:rPr>
          <w:rFonts w:ascii="仿宋_GB2312" w:eastAsia="仿宋_GB2312" w:hint="eastAsia"/>
          <w:color w:val="000000" w:themeColor="text1"/>
          <w:sz w:val="32"/>
          <w:szCs w:val="32"/>
        </w:rPr>
        <w:t>房估字</w:t>
      </w:r>
      <w:proofErr w:type="gramEnd"/>
      <w:r>
        <w:rPr>
          <w:rFonts w:ascii="仿宋_GB2312" w:eastAsia="仿宋_GB2312" w:hint="eastAsia"/>
          <w:color w:val="000000" w:themeColor="text1"/>
          <w:sz w:val="32"/>
          <w:szCs w:val="32"/>
        </w:rPr>
        <w:t>[2021]810070号</w:t>
      </w:r>
    </w:p>
    <w:p>
      <w:pPr>
        <w:spacing w:line="400" w:lineRule="exact"/>
        <w:ind w:left="3023" w:hangingChars="941" w:hanging="3023"/>
        <w:rPr>
          <w:rFonts w:ascii="仿宋_GB2312" w:eastAsia="仿宋_GB2312" w:hAnsi="Arial Narrow"/>
          <w:b/>
          <w:sz w:val="32"/>
          <w:szCs w:val="32"/>
          <w:u w:val="single"/>
        </w:rPr>
      </w:pPr>
      <w:r>
        <w:rPr>
          <w:rFonts w:ascii="仿宋_GB2312" w:eastAsia="仿宋_GB2312" w:hAnsi="Arial Narrow" w:hint="eastAsia"/>
          <w:b/>
          <w:sz w:val="32"/>
          <w:szCs w:val="32"/>
          <w:u w:val="single"/>
        </w:rPr>
        <w:t xml:space="preserve">                                                   </w:t>
      </w:r>
    </w:p>
    <w:p>
      <w:pPr>
        <w:spacing w:line="336" w:lineRule="auto"/>
        <w:ind w:left="1976" w:hangingChars="941" w:hanging="1976"/>
        <w:rPr>
          <w:rFonts w:ascii="仿宋_GB2312" w:eastAsia="仿宋_GB2312" w:hAnsi="Arial Narrow"/>
        </w:rPr>
      </w:pPr>
      <w:r>
        <w:rPr>
          <w:rFonts w:ascii="仿宋_GB2312" w:eastAsia="仿宋_GB2312" w:hAnsi="Arial Narrow" w:hint="eastAsia"/>
        </w:rPr>
        <w:t xml:space="preserve">地址: 厦门市湖里区高林中路523号7层          </w:t>
      </w:r>
      <w:r>
        <w:rPr>
          <w:rFonts w:ascii="仿宋_GB2312" w:eastAsia="仿宋_GB2312" w:hAnsi="Arial Narrow"/>
        </w:rPr>
        <w:t xml:space="preserve">              </w:t>
      </w:r>
      <w:r>
        <w:rPr>
          <w:rFonts w:ascii="仿宋_GB2312" w:eastAsia="仿宋_GB2312" w:hAnsi="Arial Narrow" w:hint="eastAsia"/>
        </w:rPr>
        <w:t>电话：0592-5804752</w:t>
      </w:r>
    </w:p>
    <w:p>
      <w:pPr>
        <w:rPr>
          <w:rFonts w:ascii="仿宋_GB2312" w:eastAsia="仿宋_GB2312" w:hAnsi="Arial Narrow"/>
          <w:b/>
          <w:sz w:val="28"/>
          <w:szCs w:val="28"/>
        </w:rPr>
      </w:pPr>
      <w:bookmarkStart w:id="0" w:name="_Toc380677772"/>
      <w:bookmarkStart w:id="1" w:name="_Toc380677455"/>
    </w:p>
    <w:p>
      <w:pPr>
        <w:jc w:val="center"/>
        <w:rPr>
          <w:rFonts w:ascii="仿宋_GB2312" w:eastAsia="仿宋_GB2312" w:hAnsi="Arial Narrow"/>
          <w:b/>
          <w:sz w:val="28"/>
          <w:szCs w:val="28"/>
        </w:rPr>
      </w:pPr>
      <w:r>
        <w:rPr>
          <w:rFonts w:ascii="仿宋_GB2312" w:eastAsia="仿宋_GB2312" w:hAnsi="Arial Narrow" w:hint="eastAsia"/>
          <w:b/>
          <w:sz w:val="28"/>
          <w:szCs w:val="28"/>
        </w:rPr>
        <w:t>致估价委托人函</w:t>
      </w:r>
      <w:bookmarkEnd w:id="0"/>
      <w:bookmarkEnd w:id="1"/>
    </w:p>
    <w:p>
      <w:pPr>
        <w:pStyle w:val="a8"/>
        <w:spacing w:line="360" w:lineRule="auto"/>
        <w:rPr>
          <w:rStyle w:val="af6"/>
          <w:rFonts w:ascii="仿宋_GB2312" w:eastAsia="仿宋_GB2312" w:hAnsi="仿宋" w:hint="default"/>
          <w:b/>
          <w:sz w:val="24"/>
          <w:szCs w:val="24"/>
        </w:rPr>
      </w:pPr>
      <w:bookmarkStart w:id="2" w:name="_Toc380677456"/>
      <w:bookmarkStart w:id="3" w:name="_Toc380677773"/>
      <w:r>
        <w:rPr>
          <w:rStyle w:val="af6"/>
          <w:rFonts w:ascii="仿宋_GB2312" w:eastAsia="仿宋_GB2312" w:hAnsi="仿宋"/>
          <w:b/>
          <w:sz w:val="24"/>
          <w:szCs w:val="24"/>
        </w:rPr>
        <w:t>福建省泉州市中级人民法院：</w:t>
      </w:r>
      <w:bookmarkEnd w:id="2"/>
      <w:bookmarkEnd w:id="3"/>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lastRenderedPageBreak/>
        <w:t>受贵方的委托，我公司委派注册房地产估价师王志东(注册号:3520070010)、黄教岳(注册号:3520190020)对估价对象进行了估价。</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bCs/>
          <w:sz w:val="24"/>
        </w:rPr>
        <w:t>估价目的：拟为估价委托人确定财产处置参考</w:t>
      </w:r>
      <w:proofErr w:type="gramStart"/>
      <w:r>
        <w:rPr>
          <w:rFonts w:ascii="仿宋_GB2312" w:eastAsia="仿宋_GB2312" w:hAnsi="Arial Narrow" w:hint="eastAsia"/>
          <w:bCs/>
          <w:sz w:val="24"/>
        </w:rPr>
        <w:t>价提供</w:t>
      </w:r>
      <w:proofErr w:type="gramEnd"/>
      <w:r>
        <w:rPr>
          <w:rFonts w:ascii="仿宋_GB2312" w:eastAsia="仿宋_GB2312" w:hAnsi="Arial Narrow" w:hint="eastAsia"/>
          <w:bCs/>
          <w:sz w:val="24"/>
        </w:rPr>
        <w:t>参考依据。</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估价对象：财产范围包括房屋建筑物及其分摊的土地使用权和配套设施，不包含动产（家具、电器等）、债权债务、特许经营权等其他财产或权益。名称为泉州市</w:t>
      </w:r>
      <w:proofErr w:type="gramStart"/>
      <w:r>
        <w:rPr>
          <w:rFonts w:ascii="仿宋_GB2312" w:eastAsia="仿宋_GB2312" w:hAnsi="Arial Narrow" w:hint="eastAsia"/>
          <w:sz w:val="24"/>
        </w:rPr>
        <w:t>鲤</w:t>
      </w:r>
      <w:proofErr w:type="gramEnd"/>
      <w:r>
        <w:rPr>
          <w:rFonts w:ascii="仿宋_GB2312" w:eastAsia="仿宋_GB2312" w:hAnsi="Arial Narrow" w:hint="eastAsia"/>
          <w:sz w:val="24"/>
        </w:rPr>
        <w:t>城区浮桥街道延陵社区</w:t>
      </w:r>
      <w:proofErr w:type="gramStart"/>
      <w:r>
        <w:rPr>
          <w:rFonts w:ascii="仿宋_GB2312" w:eastAsia="仿宋_GB2312" w:hAnsi="Arial Narrow" w:hint="eastAsia"/>
          <w:sz w:val="24"/>
        </w:rPr>
        <w:t>珑</w:t>
      </w:r>
      <w:proofErr w:type="gramEnd"/>
      <w:r>
        <w:rPr>
          <w:rFonts w:ascii="仿宋" w:eastAsia="仿宋" w:hAnsi="仿宋" w:cs="微软雅黑" w:hint="eastAsia"/>
          <w:sz w:val="24"/>
        </w:rPr>
        <w:t>玥</w:t>
      </w:r>
      <w:r>
        <w:rPr>
          <w:rFonts w:ascii="仿宋_GB2312" w:eastAsia="仿宋_GB2312" w:hAnsi="仿宋_GB2312" w:cs="仿宋_GB2312" w:hint="eastAsia"/>
          <w:sz w:val="24"/>
        </w:rPr>
        <w:t>湾二期项目</w:t>
      </w:r>
      <w:r>
        <w:rPr>
          <w:rFonts w:ascii="仿宋_GB2312" w:eastAsia="仿宋_GB2312" w:hAnsi="Arial Narrow" w:hint="eastAsia"/>
          <w:sz w:val="24"/>
        </w:rPr>
        <w:t>9号楼901住宅房地产，据《泉州市商品房买卖合同（网上签约）登记备案申请表》及《商品房买卖合同》（合同编号：201806120142），建筑面积为124.33平方米；土地使用权类型为出让，用途为住宅，实际用途为住宅，权属人为：张育玲。</w:t>
      </w:r>
    </w:p>
    <w:p>
      <w:pPr>
        <w:spacing w:line="360" w:lineRule="auto"/>
        <w:ind w:firstLineChars="200" w:firstLine="480"/>
        <w:jc w:val="both"/>
        <w:rPr>
          <w:rFonts w:ascii="仿宋_GB2312" w:eastAsia="仿宋_GB2312" w:hAnsi="Arial Narrow"/>
          <w:color w:val="000000"/>
          <w:sz w:val="24"/>
        </w:rPr>
      </w:pPr>
      <w:r>
        <w:rPr>
          <w:rFonts w:ascii="仿宋_GB2312" w:eastAsia="仿宋_GB2312" w:hAnsi="Arial Narrow" w:hint="eastAsia"/>
          <w:color w:val="000000"/>
          <w:sz w:val="24"/>
        </w:rPr>
        <w:t>价值时点：2021年09月09日。</w:t>
      </w:r>
    </w:p>
    <w:p>
      <w:pPr>
        <w:spacing w:line="360" w:lineRule="auto"/>
        <w:ind w:firstLineChars="200" w:firstLine="480"/>
        <w:jc w:val="both"/>
        <w:rPr>
          <w:rFonts w:ascii="仿宋_GB2312" w:eastAsia="仿宋_GB2312" w:hAnsi="Arial Narrow"/>
          <w:color w:val="000000"/>
          <w:sz w:val="24"/>
        </w:rPr>
      </w:pPr>
      <w:r>
        <w:rPr>
          <w:rFonts w:ascii="仿宋_GB2312" w:eastAsia="仿宋_GB2312" w:hAnsi="Arial Narrow" w:hint="eastAsia"/>
          <w:color w:val="000000"/>
          <w:sz w:val="24"/>
        </w:rPr>
        <w:t>价值类型：市场价值。</w:t>
      </w:r>
    </w:p>
    <w:p>
      <w:pPr>
        <w:spacing w:line="360" w:lineRule="auto"/>
        <w:ind w:firstLineChars="200" w:firstLine="480"/>
        <w:jc w:val="both"/>
        <w:rPr>
          <w:rFonts w:ascii="仿宋_GB2312" w:eastAsia="仿宋_GB2312" w:hAnsi="Arial Narrow"/>
          <w:color w:val="000000"/>
          <w:sz w:val="24"/>
        </w:rPr>
      </w:pPr>
      <w:r>
        <w:rPr>
          <w:rFonts w:ascii="仿宋_GB2312" w:eastAsia="仿宋_GB2312" w:hAnsi="Arial Narrow" w:hint="eastAsia"/>
          <w:color w:val="000000"/>
          <w:sz w:val="24"/>
        </w:rPr>
        <w:t>估价方法：比较法、收益法。</w:t>
      </w:r>
    </w:p>
    <w:p>
      <w:pPr>
        <w:spacing w:line="360" w:lineRule="auto"/>
        <w:ind w:firstLine="482"/>
        <w:rPr>
          <w:rFonts w:ascii="仿宋_GB2312" w:eastAsia="仿宋_GB2312" w:hAnsi="Arial Narrow"/>
          <w:color w:val="000000"/>
          <w:sz w:val="24"/>
        </w:rPr>
      </w:pPr>
      <w:r>
        <w:rPr>
          <w:rFonts w:ascii="仿宋_GB2312" w:eastAsia="仿宋_GB2312" w:hAnsi="Arial Narrow" w:hint="eastAsia"/>
          <w:color w:val="000000"/>
          <w:sz w:val="24"/>
        </w:rPr>
        <w:t>估价结果：在公开市场和持续使用前提下，在本报告估价的假设和限制条件下，</w:t>
      </w:r>
      <w:r>
        <w:rPr>
          <w:rFonts w:ascii="仿宋_GB2312" w:eastAsia="仿宋_GB2312" w:hAnsi="Arial Narrow" w:hint="eastAsia"/>
          <w:sz w:val="24"/>
        </w:rPr>
        <w:t>福建省泉州市中级人民法院委托评估的泉州市</w:t>
      </w:r>
      <w:proofErr w:type="gramStart"/>
      <w:r>
        <w:rPr>
          <w:rFonts w:ascii="仿宋_GB2312" w:eastAsia="仿宋_GB2312" w:hAnsi="Arial Narrow" w:hint="eastAsia"/>
          <w:sz w:val="24"/>
        </w:rPr>
        <w:t>鲤</w:t>
      </w:r>
      <w:proofErr w:type="gramEnd"/>
      <w:r>
        <w:rPr>
          <w:rFonts w:ascii="仿宋_GB2312" w:eastAsia="仿宋_GB2312" w:hAnsi="Arial Narrow" w:hint="eastAsia"/>
          <w:sz w:val="24"/>
        </w:rPr>
        <w:t>城区浮桥街道延陵社区</w:t>
      </w:r>
      <w:proofErr w:type="gramStart"/>
      <w:r>
        <w:rPr>
          <w:rFonts w:ascii="仿宋_GB2312" w:eastAsia="仿宋_GB2312" w:hAnsi="Arial Narrow" w:hint="eastAsia"/>
          <w:sz w:val="24"/>
        </w:rPr>
        <w:t>珑</w:t>
      </w:r>
      <w:proofErr w:type="gramEnd"/>
      <w:r>
        <w:rPr>
          <w:rFonts w:ascii="仿宋" w:eastAsia="仿宋" w:hAnsi="仿宋" w:cs="微软雅黑" w:hint="eastAsia"/>
          <w:sz w:val="24"/>
        </w:rPr>
        <w:t>玥</w:t>
      </w:r>
      <w:r>
        <w:rPr>
          <w:rFonts w:ascii="仿宋_GB2312" w:eastAsia="仿宋_GB2312" w:hAnsi="仿宋_GB2312" w:cs="仿宋_GB2312" w:hint="eastAsia"/>
          <w:sz w:val="24"/>
        </w:rPr>
        <w:t>湾二期项目</w:t>
      </w:r>
      <w:r>
        <w:rPr>
          <w:rFonts w:ascii="仿宋_GB2312" w:eastAsia="仿宋_GB2312" w:hAnsi="Arial Narrow" w:hint="eastAsia"/>
          <w:sz w:val="24"/>
        </w:rPr>
        <w:t>9号楼901住宅房地产的市场价值为</w:t>
      </w:r>
      <w:r>
        <w:rPr>
          <w:rFonts w:ascii="仿宋_GB2312" w:eastAsia="仿宋_GB2312" w:hAnsi="Arial Narrow" w:hint="eastAsia"/>
          <w:b/>
          <w:sz w:val="24"/>
        </w:rPr>
        <w:t>人民币</w:t>
      </w:r>
      <w:proofErr w:type="gramStart"/>
      <w:r>
        <w:rPr>
          <w:rFonts w:ascii="仿宋_GB2312" w:eastAsia="仿宋_GB2312" w:hAnsi="Arial Narrow" w:hint="eastAsia"/>
          <w:b/>
          <w:sz w:val="24"/>
        </w:rPr>
        <w:t>贰佰伍拾万零肆佰</w:t>
      </w:r>
      <w:proofErr w:type="gramEnd"/>
      <w:r>
        <w:rPr>
          <w:rFonts w:ascii="仿宋_GB2312" w:eastAsia="仿宋_GB2312" w:hAnsi="Arial Narrow" w:hint="eastAsia"/>
          <w:b/>
          <w:sz w:val="24"/>
        </w:rPr>
        <w:t>元整（RMB250.04万元）</w:t>
      </w:r>
      <w:r>
        <w:rPr>
          <w:rFonts w:ascii="仿宋_GB2312" w:eastAsia="仿宋_GB2312" w:hAnsi="Arial Narrow" w:hint="eastAsia"/>
          <w:sz w:val="24"/>
        </w:rPr>
        <w:t>，</w:t>
      </w:r>
      <w:r>
        <w:rPr>
          <w:rFonts w:ascii="仿宋_GB2312" w:eastAsia="仿宋_GB2312" w:hAnsi="Arial Narrow" w:hint="eastAsia"/>
          <w:bCs/>
          <w:sz w:val="24"/>
        </w:rPr>
        <w:t>评估单价为每平方米</w:t>
      </w:r>
      <w:r>
        <w:rPr>
          <w:rFonts w:ascii="仿宋_GB2312" w:eastAsia="仿宋_GB2312" w:hAnsi="Arial Narrow" w:hint="eastAsia"/>
          <w:b/>
          <w:bCs/>
          <w:sz w:val="24"/>
        </w:rPr>
        <w:t>人民币贰万零壹佰壹拾壹元整（RMB20111元/平方米）</w:t>
      </w:r>
      <w:r>
        <w:rPr>
          <w:rFonts w:ascii="仿宋_GB2312" w:eastAsia="仿宋_GB2312" w:hAnsi="Arial Narrow" w:hint="eastAsia"/>
          <w:sz w:val="24"/>
        </w:rPr>
        <w:t>。</w:t>
      </w:r>
      <w:r>
        <w:rPr>
          <w:rFonts w:ascii="仿宋_GB2312" w:eastAsia="仿宋_GB2312" w:hAnsi="Arial Narrow" w:hint="eastAsia"/>
          <w:color w:val="000000"/>
          <w:sz w:val="24"/>
        </w:rPr>
        <w:t>若估价对象以本评估价值进行交易，卖方需缴纳相关税费为人民币</w:t>
      </w:r>
      <w:proofErr w:type="gramStart"/>
      <w:r>
        <w:rPr>
          <w:rFonts w:ascii="仿宋_GB2312" w:eastAsia="仿宋_GB2312" w:hAnsi="Arial Narrow" w:hint="eastAsia"/>
          <w:color w:val="000000"/>
          <w:sz w:val="24"/>
        </w:rPr>
        <w:t>壹拾陆万肆仟肆佰</w:t>
      </w:r>
      <w:proofErr w:type="gramEnd"/>
      <w:r>
        <w:rPr>
          <w:rFonts w:ascii="仿宋_GB2312" w:eastAsia="仿宋_GB2312" w:hAnsi="Arial Narrow" w:hint="eastAsia"/>
          <w:color w:val="000000"/>
          <w:sz w:val="24"/>
        </w:rPr>
        <w:t>元整（RMB16.44万元）。扣除卖方需缴纳相关税费后评估总价为</w:t>
      </w:r>
      <w:r>
        <w:rPr>
          <w:rFonts w:ascii="仿宋_GB2312" w:eastAsia="仿宋_GB2312" w:hAnsi="Arial Narrow" w:hint="eastAsia"/>
          <w:b/>
          <w:sz w:val="24"/>
        </w:rPr>
        <w:t>人民币贰佰叁拾叁万陆仟元整（RMB233.60万元）</w:t>
      </w:r>
      <w:r>
        <w:rPr>
          <w:rFonts w:ascii="仿宋_GB2312" w:eastAsia="仿宋_GB2312" w:hAnsi="Arial Narrow" w:hint="eastAsia"/>
          <w:sz w:val="24"/>
        </w:rPr>
        <w:t>，</w:t>
      </w:r>
      <w:r>
        <w:rPr>
          <w:rFonts w:ascii="仿宋_GB2312" w:eastAsia="仿宋_GB2312" w:hAnsi="Arial Narrow" w:hint="eastAsia"/>
          <w:bCs/>
          <w:sz w:val="24"/>
        </w:rPr>
        <w:t>评估单价为每平方米</w:t>
      </w:r>
      <w:r>
        <w:rPr>
          <w:rFonts w:ascii="仿宋_GB2312" w:eastAsia="仿宋_GB2312" w:hAnsi="Arial Narrow" w:hint="eastAsia"/>
          <w:b/>
          <w:bCs/>
          <w:sz w:val="24"/>
        </w:rPr>
        <w:t>人民币壹万捌仟柒佰捌拾玖元整（RMB18789元/平方米）</w:t>
      </w:r>
      <w:r>
        <w:rPr>
          <w:rFonts w:ascii="仿宋_GB2312" w:eastAsia="仿宋_GB2312" w:hAnsi="Arial Narrow" w:hint="eastAsia"/>
          <w:sz w:val="24"/>
        </w:rPr>
        <w:t>。</w:t>
      </w:r>
    </w:p>
    <w:p>
      <w:pPr>
        <w:pStyle w:val="20"/>
        <w:ind w:leftChars="0" w:left="0" w:firstLineChars="200" w:firstLine="480"/>
        <w:jc w:val="both"/>
        <w:rPr>
          <w:rFonts w:ascii="仿宋_GB2312"/>
          <w:color w:val="000000"/>
        </w:rPr>
      </w:pPr>
      <w:r>
        <w:rPr>
          <w:rFonts w:ascii="仿宋_GB2312" w:hint="eastAsia"/>
        </w:rPr>
        <w:t>特别提示：①本估价结果包含房产对应的土地使用权价值。②估价结果已扣估价对象以本评估价值进行交易卖方需缴纳相关税费（暂估）。③本估价报告的有效使用期限为一年，即从2021年09月24日起至2022年09月23日止的期限内有效。欲了解本评估项目的全面情况，应认真阅读房地产估价报告书全文</w:t>
      </w:r>
      <w:r>
        <w:rPr>
          <w:rFonts w:ascii="仿宋_GB2312" w:hint="eastAsia"/>
          <w:color w:val="000000"/>
        </w:rPr>
        <w:t>。</w:t>
      </w:r>
    </w:p>
    <w:p>
      <w:pPr>
        <w:pStyle w:val="20"/>
        <w:ind w:leftChars="0" w:left="0" w:firstLineChars="200" w:firstLine="480"/>
        <w:jc w:val="both"/>
        <w:rPr>
          <w:rFonts w:ascii="仿宋_GB2312"/>
          <w:color w:val="000000"/>
        </w:rPr>
      </w:pPr>
    </w:p>
    <w:p>
      <w:pPr>
        <w:pStyle w:val="a8"/>
        <w:spacing w:line="360" w:lineRule="auto"/>
        <w:ind w:right="964" w:firstLineChars="800" w:firstLine="1928"/>
        <w:jc w:val="both"/>
        <w:rPr>
          <w:rFonts w:ascii="仿宋_GB2312" w:eastAsia="仿宋_GB2312" w:hAnsi="Arial Narrow" w:hint="default"/>
          <w:b/>
          <w:sz w:val="24"/>
          <w:szCs w:val="24"/>
        </w:rPr>
      </w:pPr>
      <w:bookmarkStart w:id="4" w:name="_Toc380677457"/>
      <w:bookmarkStart w:id="5" w:name="_Toc380677774"/>
      <w:r>
        <w:rPr>
          <w:rFonts w:ascii="仿宋_GB2312" w:eastAsia="仿宋_GB2312" w:hAnsi="Arial Narrow"/>
          <w:b/>
          <w:sz w:val="24"/>
          <w:szCs w:val="24"/>
        </w:rPr>
        <w:t>厦门市大学资产评估土地房地产估价有限责任公司</w:t>
      </w:r>
    </w:p>
    <w:p>
      <w:pPr>
        <w:pStyle w:val="a8"/>
        <w:spacing w:line="360" w:lineRule="auto"/>
        <w:ind w:right="1928"/>
        <w:jc w:val="right"/>
        <w:rPr>
          <w:rFonts w:ascii="仿宋_GB2312" w:eastAsia="仿宋_GB2312" w:hAnsi="Arial Narrow" w:hint="default"/>
          <w:b/>
          <w:sz w:val="24"/>
          <w:szCs w:val="24"/>
        </w:rPr>
      </w:pPr>
      <w:bookmarkStart w:id="6" w:name="_Toc380677458"/>
      <w:bookmarkStart w:id="7" w:name="_Toc380677775"/>
      <w:bookmarkEnd w:id="4"/>
      <w:bookmarkEnd w:id="5"/>
      <w:r>
        <w:rPr>
          <w:rFonts w:ascii="仿宋_GB2312" w:eastAsia="仿宋_GB2312" w:hAnsi="Arial Narrow"/>
          <w:b/>
          <w:sz w:val="24"/>
          <w:szCs w:val="24"/>
        </w:rPr>
        <w:t>法定代表人：</w:t>
      </w:r>
      <w:bookmarkEnd w:id="6"/>
      <w:bookmarkEnd w:id="7"/>
    </w:p>
    <w:p>
      <w:pPr>
        <w:pStyle w:val="a8"/>
        <w:spacing w:line="360" w:lineRule="auto"/>
        <w:ind w:right="1205"/>
        <w:jc w:val="right"/>
        <w:rPr>
          <w:rFonts w:ascii="仿宋_GB2312" w:eastAsia="仿宋_GB2312" w:hAnsi="Arial Narrow" w:hint="default"/>
          <w:b/>
          <w:sz w:val="24"/>
          <w:szCs w:val="24"/>
        </w:rPr>
      </w:pPr>
      <w:r>
        <w:rPr>
          <w:rFonts w:ascii="仿宋_GB2312" w:eastAsia="仿宋_GB2312" w:hAnsi="Arial Narrow"/>
          <w:b/>
          <w:sz w:val="24"/>
          <w:szCs w:val="24"/>
        </w:rPr>
        <w:t>二零二一年九月二十四日</w:t>
      </w:r>
    </w:p>
    <w:p>
      <w:pPr>
        <w:jc w:val="center"/>
        <w:rPr>
          <w:rFonts w:ascii="仿宋_GB2312" w:eastAsia="仿宋_GB2312" w:hAnsi="Arial Narrow"/>
          <w:b/>
          <w:bCs/>
          <w:sz w:val="36"/>
          <w:szCs w:val="36"/>
        </w:rPr>
      </w:pPr>
    </w:p>
    <w:p>
      <w:pPr>
        <w:jc w:val="center"/>
        <w:rPr>
          <w:rFonts w:ascii="仿宋_GB2312" w:eastAsia="仿宋_GB2312" w:hAnsi="Arial Narrow"/>
          <w:b/>
          <w:bCs/>
          <w:sz w:val="36"/>
          <w:szCs w:val="36"/>
        </w:rPr>
      </w:pPr>
      <w:r>
        <w:rPr>
          <w:rFonts w:ascii="仿宋_GB2312" w:eastAsia="仿宋_GB2312" w:hAnsi="Arial Narrow" w:hint="eastAsia"/>
          <w:b/>
          <w:bCs/>
          <w:sz w:val="36"/>
          <w:szCs w:val="36"/>
        </w:rPr>
        <w:lastRenderedPageBreak/>
        <w:t>目录</w:t>
      </w:r>
    </w:p>
    <w:p>
      <w:pPr>
        <w:pStyle w:val="21"/>
        <w:rPr>
          <w:rFonts w:ascii="仿宋_GB2312" w:eastAsia="仿宋_GB2312" w:hAnsiTheme="minorHAnsi" w:cstheme="minorBidi"/>
          <w:b w:val="0"/>
          <w:bCs w:val="0"/>
          <w:noProof/>
          <w:sz w:val="24"/>
        </w:rPr>
      </w:pPr>
      <w:r>
        <w:rPr>
          <w:rFonts w:ascii="仿宋_GB2312" w:eastAsia="仿宋_GB2312" w:hAnsi="Arial Narrow" w:hint="eastAsia"/>
          <w:b w:val="0"/>
          <w:bCs w:val="0"/>
          <w:sz w:val="24"/>
        </w:rPr>
        <w:fldChar w:fldCharType="begin"/>
      </w:r>
      <w:r>
        <w:rPr>
          <w:rFonts w:ascii="仿宋_GB2312" w:eastAsia="仿宋_GB2312" w:hAnsi="Arial Narrow" w:hint="eastAsia"/>
          <w:b w:val="0"/>
          <w:bCs w:val="0"/>
          <w:sz w:val="24"/>
        </w:rPr>
        <w:instrText xml:space="preserve"> TOC \o "1-2" \h \z \u </w:instrText>
      </w:r>
      <w:r>
        <w:rPr>
          <w:rFonts w:ascii="仿宋_GB2312" w:eastAsia="仿宋_GB2312" w:hAnsi="Arial Narrow" w:hint="eastAsia"/>
          <w:b w:val="0"/>
          <w:bCs w:val="0"/>
          <w:sz w:val="24"/>
        </w:rPr>
        <w:fldChar w:fldCharType="separate"/>
      </w:r>
      <w:hyperlink w:anchor="_Toc18005484" w:history="1">
        <w:r>
          <w:rPr>
            <w:rStyle w:val="af3"/>
            <w:rFonts w:ascii="仿宋_GB2312" w:eastAsia="仿宋_GB2312" w:hAnsi="Arial Narrow" w:hint="eastAsia"/>
            <w:b w:val="0"/>
            <w:noProof/>
            <w:sz w:val="24"/>
          </w:rPr>
          <w:t>估价师声明</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_Toc18005484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3</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85" w:history="1">
        <w:r>
          <w:rPr>
            <w:rStyle w:val="af3"/>
            <w:rFonts w:ascii="仿宋_GB2312" w:eastAsia="仿宋_GB2312" w:hAnsi="Arial Narrow" w:hint="eastAsia"/>
            <w:b w:val="0"/>
            <w:noProof/>
            <w:sz w:val="24"/>
          </w:rPr>
          <w:t>估价假设和限制条件</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_Toc18005485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4</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86" w:history="1">
        <w:r>
          <w:rPr>
            <w:rStyle w:val="af3"/>
            <w:rFonts w:ascii="仿宋_GB2312" w:eastAsia="仿宋_GB2312" w:hAnsi="Arial Narrow" w:hint="eastAsia"/>
            <w:b w:val="0"/>
            <w:noProof/>
            <w:sz w:val="24"/>
          </w:rPr>
          <w:t>估价结果报告</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_Toc18005486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6</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87" w:history="1">
        <w:r>
          <w:rPr>
            <w:rStyle w:val="af3"/>
            <w:rFonts w:ascii="仿宋_GB2312" w:eastAsia="仿宋_GB2312" w:hAnsi="Arial Narrow" w:hint="eastAsia"/>
            <w:b w:val="0"/>
            <w:noProof/>
            <w:kern w:val="0"/>
            <w:sz w:val="24"/>
          </w:rPr>
          <w:t>一、估价委托人：</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_Toc18005487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6</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88" w:history="1">
        <w:r>
          <w:rPr>
            <w:rStyle w:val="af3"/>
            <w:rFonts w:ascii="仿宋_GB2312" w:eastAsia="仿宋_GB2312" w:hAnsi="Arial Narrow" w:hint="eastAsia"/>
            <w:b w:val="0"/>
            <w:noProof/>
            <w:kern w:val="0"/>
            <w:sz w:val="24"/>
          </w:rPr>
          <w:t>二、房地产估价机构：</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_Toc18005488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6</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89" w:history="1">
        <w:r>
          <w:rPr>
            <w:rStyle w:val="af3"/>
            <w:rFonts w:ascii="仿宋_GB2312" w:eastAsia="仿宋_GB2312" w:hint="eastAsia"/>
            <w:b w:val="0"/>
            <w:noProof/>
            <w:kern w:val="28"/>
            <w:sz w:val="24"/>
          </w:rPr>
          <w:t>三、估价目的：</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_Toc18005489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6</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0" w:history="1">
        <w:r>
          <w:rPr>
            <w:rStyle w:val="af3"/>
            <w:rFonts w:ascii="仿宋_GB2312" w:eastAsia="仿宋_GB2312" w:hAnsi="Arial Narrow" w:hint="eastAsia"/>
            <w:b w:val="0"/>
            <w:noProof/>
            <w:kern w:val="0"/>
            <w:sz w:val="24"/>
          </w:rPr>
          <w:t>四、估价对象：</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_Toc18005490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6</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1" w:history="1">
        <w:r>
          <w:rPr>
            <w:rStyle w:val="af3"/>
            <w:rFonts w:ascii="仿宋_GB2312" w:eastAsia="仿宋_GB2312" w:hAnsi="Arial Narrow" w:hint="eastAsia"/>
            <w:b w:val="0"/>
            <w:noProof/>
            <w:kern w:val="0"/>
            <w:sz w:val="24"/>
          </w:rPr>
          <w:t>五、价值时点：</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_Toc18005491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7</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2" w:history="1">
        <w:r>
          <w:rPr>
            <w:rStyle w:val="af3"/>
            <w:rFonts w:ascii="仿宋_GB2312" w:eastAsia="仿宋_GB2312" w:hAnsi="Arial Narrow" w:hint="eastAsia"/>
            <w:b w:val="0"/>
            <w:noProof/>
            <w:kern w:val="0"/>
            <w:sz w:val="24"/>
          </w:rPr>
          <w:t>六、价值类型：</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_Toc18005492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7</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3" w:history="1">
        <w:r>
          <w:rPr>
            <w:rStyle w:val="af3"/>
            <w:rFonts w:ascii="仿宋_GB2312" w:eastAsia="仿宋_GB2312" w:hAnsi="Arial Narrow" w:hint="eastAsia"/>
            <w:b w:val="0"/>
            <w:noProof/>
            <w:kern w:val="0"/>
            <w:sz w:val="24"/>
          </w:rPr>
          <w:t>七、估价原则：</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_Toc18005493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8</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4" w:history="1">
        <w:r>
          <w:rPr>
            <w:rStyle w:val="af3"/>
            <w:rFonts w:ascii="仿宋_GB2312" w:eastAsia="仿宋_GB2312" w:hAnsi="Arial Narrow" w:hint="eastAsia"/>
            <w:b w:val="0"/>
            <w:noProof/>
            <w:kern w:val="0"/>
            <w:sz w:val="24"/>
          </w:rPr>
          <w:t>八、估价依据：</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_Toc18005494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8</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5" w:history="1">
        <w:r>
          <w:rPr>
            <w:rStyle w:val="af3"/>
            <w:rFonts w:ascii="仿宋_GB2312" w:eastAsia="仿宋_GB2312" w:hAnsi="Arial Narrow" w:hint="eastAsia"/>
            <w:b w:val="0"/>
            <w:noProof/>
            <w:kern w:val="0"/>
            <w:sz w:val="24"/>
          </w:rPr>
          <w:t>九、估价方法：</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_Toc18005495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9</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6" w:history="1">
        <w:r>
          <w:rPr>
            <w:rStyle w:val="af3"/>
            <w:rFonts w:ascii="仿宋_GB2312" w:eastAsia="仿宋_GB2312" w:hAnsi="Arial Narrow" w:hint="eastAsia"/>
            <w:b w:val="0"/>
            <w:noProof/>
            <w:kern w:val="0"/>
            <w:sz w:val="24"/>
          </w:rPr>
          <w:t>十、估价结果：</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_Toc18005496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9</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7" w:history="1">
        <w:r>
          <w:rPr>
            <w:rStyle w:val="af3"/>
            <w:rFonts w:ascii="仿宋_GB2312" w:eastAsia="仿宋_GB2312" w:hAnsi="Arial Narrow" w:hint="eastAsia"/>
            <w:b w:val="0"/>
            <w:noProof/>
            <w:kern w:val="0"/>
            <w:sz w:val="24"/>
          </w:rPr>
          <w:t>十一、注册房地产估价师：</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_Toc18005497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10</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498" w:history="1">
        <w:r>
          <w:rPr>
            <w:rStyle w:val="af3"/>
            <w:rFonts w:ascii="仿宋_GB2312" w:eastAsia="仿宋_GB2312" w:hAnsi="Arial Narrow" w:hint="eastAsia"/>
            <w:b w:val="0"/>
            <w:noProof/>
            <w:kern w:val="0"/>
            <w:sz w:val="24"/>
          </w:rPr>
          <w:t>十二、实地查勘期：</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_Toc18005498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10</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500" w:history="1">
        <w:r>
          <w:rPr>
            <w:rStyle w:val="af3"/>
            <w:rFonts w:ascii="仿宋_GB2312" w:eastAsia="仿宋_GB2312" w:hAnsi="Arial Narrow" w:hint="eastAsia"/>
            <w:b w:val="0"/>
            <w:noProof/>
            <w:kern w:val="0"/>
            <w:sz w:val="24"/>
          </w:rPr>
          <w:t>十三、估价作业日期：</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_Toc18005500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10</w:t>
        </w:r>
        <w:r>
          <w:rPr>
            <w:rFonts w:ascii="仿宋_GB2312" w:eastAsia="仿宋_GB2312"/>
            <w:b w:val="0"/>
            <w:noProof/>
            <w:sz w:val="24"/>
          </w:rPr>
          <w:fldChar w:fldCharType="end"/>
        </w:r>
      </w:hyperlink>
    </w:p>
    <w:p>
      <w:pPr>
        <w:pStyle w:val="21"/>
        <w:rPr>
          <w:rFonts w:ascii="仿宋_GB2312" w:eastAsia="仿宋_GB2312" w:hAnsiTheme="minorHAnsi" w:cstheme="minorBidi"/>
          <w:b w:val="0"/>
          <w:bCs w:val="0"/>
          <w:noProof/>
          <w:sz w:val="24"/>
        </w:rPr>
      </w:pPr>
      <w:hyperlink w:anchor="_Toc18005501" w:history="1">
        <w:r>
          <w:rPr>
            <w:rStyle w:val="af3"/>
            <w:rFonts w:ascii="仿宋_GB2312" w:eastAsia="仿宋_GB2312" w:hAnsi="Arial Narrow" w:hint="eastAsia"/>
            <w:b w:val="0"/>
            <w:noProof/>
            <w:kern w:val="0"/>
            <w:sz w:val="24"/>
          </w:rPr>
          <w:t>十四、估价报告应用的有效期：</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_Toc18005501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10</w:t>
        </w:r>
        <w:r>
          <w:rPr>
            <w:rFonts w:ascii="仿宋_GB2312" w:eastAsia="仿宋_GB2312"/>
            <w:b w:val="0"/>
            <w:noProof/>
            <w:sz w:val="24"/>
          </w:rPr>
          <w:fldChar w:fldCharType="end"/>
        </w:r>
      </w:hyperlink>
    </w:p>
    <w:p>
      <w:pPr>
        <w:pStyle w:val="21"/>
        <w:rPr>
          <w:rFonts w:asciiTheme="minorHAnsi" w:eastAsiaTheme="minorEastAsia" w:hAnsiTheme="minorHAnsi" w:cstheme="minorBidi"/>
          <w:b w:val="0"/>
          <w:bCs w:val="0"/>
          <w:noProof/>
          <w:sz w:val="21"/>
          <w:szCs w:val="22"/>
        </w:rPr>
      </w:pPr>
      <w:hyperlink w:anchor="_Toc18005512" w:history="1">
        <w:r>
          <w:rPr>
            <w:rStyle w:val="af3"/>
            <w:rFonts w:ascii="仿宋_GB2312" w:eastAsia="仿宋_GB2312" w:hAnsi="Arial Narrow" w:hint="eastAsia"/>
            <w:b w:val="0"/>
            <w:noProof/>
            <w:sz w:val="24"/>
          </w:rPr>
          <w:t>附件</w:t>
        </w:r>
        <w:r>
          <w:rPr>
            <w:rFonts w:ascii="仿宋_GB2312" w:eastAsia="仿宋_GB2312"/>
            <w:b w:val="0"/>
            <w:noProof/>
            <w:sz w:val="24"/>
          </w:rPr>
          <w:tab/>
        </w:r>
        <w:r>
          <w:rPr>
            <w:rFonts w:ascii="仿宋_GB2312" w:eastAsia="仿宋_GB2312"/>
            <w:b w:val="0"/>
            <w:noProof/>
            <w:sz w:val="24"/>
          </w:rPr>
          <w:fldChar w:fldCharType="begin"/>
        </w:r>
        <w:r>
          <w:rPr>
            <w:rFonts w:ascii="仿宋_GB2312" w:eastAsia="仿宋_GB2312"/>
            <w:b w:val="0"/>
            <w:noProof/>
            <w:sz w:val="24"/>
          </w:rPr>
          <w:instrText xml:space="preserve"> PAGEREF _Toc18005512 \h </w:instrText>
        </w:r>
        <w:r>
          <w:rPr>
            <w:rFonts w:ascii="仿宋_GB2312" w:eastAsia="仿宋_GB2312"/>
            <w:b w:val="0"/>
            <w:noProof/>
            <w:sz w:val="24"/>
          </w:rPr>
        </w:r>
        <w:r>
          <w:rPr>
            <w:rFonts w:ascii="仿宋_GB2312" w:eastAsia="仿宋_GB2312"/>
            <w:b w:val="0"/>
            <w:noProof/>
            <w:sz w:val="24"/>
          </w:rPr>
          <w:fldChar w:fldCharType="separate"/>
        </w:r>
        <w:r>
          <w:rPr>
            <w:rFonts w:ascii="仿宋_GB2312" w:eastAsia="仿宋_GB2312"/>
            <w:b w:val="0"/>
            <w:noProof/>
            <w:sz w:val="24"/>
          </w:rPr>
          <w:t>11</w:t>
        </w:r>
        <w:r>
          <w:rPr>
            <w:rFonts w:ascii="仿宋_GB2312" w:eastAsia="仿宋_GB2312"/>
            <w:b w:val="0"/>
            <w:noProof/>
            <w:sz w:val="24"/>
          </w:rPr>
          <w:fldChar w:fldCharType="end"/>
        </w:r>
      </w:hyperlink>
    </w:p>
    <w:p>
      <w:pPr>
        <w:rPr>
          <w:rFonts w:ascii="仿宋_GB2312" w:eastAsia="仿宋_GB2312" w:hAnsi="Arial Narrow"/>
          <w:b/>
          <w:sz w:val="24"/>
        </w:rPr>
        <w:sectPr>
          <w:headerReference w:type="default" r:id="rId10"/>
          <w:footerReference w:type="default" r:id="rId11"/>
          <w:type w:val="continuous"/>
          <w:pgSz w:w="11907" w:h="16840"/>
          <w:pgMar w:top="1440" w:right="1797" w:bottom="1440" w:left="1797" w:header="794" w:footer="794" w:gutter="0"/>
          <w:pgNumType w:start="0"/>
          <w:cols w:space="720"/>
          <w:titlePg/>
        </w:sectPr>
      </w:pPr>
      <w:r>
        <w:rPr>
          <w:rFonts w:ascii="仿宋_GB2312" w:eastAsia="仿宋_GB2312" w:hAnsi="Arial Narrow" w:hint="eastAsia"/>
          <w:b/>
          <w:bCs/>
          <w:sz w:val="24"/>
        </w:rPr>
        <w:fldChar w:fldCharType="end"/>
      </w:r>
    </w:p>
    <w:p>
      <w:pPr>
        <w:pStyle w:val="2"/>
        <w:spacing w:beforeLines="0" w:line="360" w:lineRule="auto"/>
        <w:rPr>
          <w:rFonts w:hAnsi="Arial Narrow"/>
        </w:rPr>
      </w:pPr>
      <w:bookmarkStart w:id="8" w:name="_Toc256581897"/>
      <w:bookmarkStart w:id="9" w:name="_Toc146963121"/>
      <w:bookmarkStart w:id="10" w:name="_Toc18005484"/>
      <w:r>
        <w:rPr>
          <w:rFonts w:hAnsi="Arial Narrow" w:hint="eastAsia"/>
        </w:rPr>
        <w:lastRenderedPageBreak/>
        <w:t>估价师声明</w:t>
      </w:r>
      <w:bookmarkEnd w:id="8"/>
      <w:bookmarkEnd w:id="9"/>
      <w:bookmarkEnd w:id="10"/>
    </w:p>
    <w:p>
      <w:pPr>
        <w:widowControl w:val="0"/>
        <w:spacing w:line="360" w:lineRule="auto"/>
        <w:ind w:firstLineChars="200" w:firstLine="482"/>
        <w:rPr>
          <w:rFonts w:ascii="仿宋_GB2312" w:eastAsia="仿宋_GB2312" w:hAnsi="Arial Narrow"/>
          <w:b/>
          <w:sz w:val="24"/>
        </w:rPr>
      </w:pPr>
      <w:bookmarkStart w:id="11" w:name="_Toc380677461"/>
      <w:bookmarkStart w:id="12" w:name="_Toc380677778"/>
      <w:r>
        <w:rPr>
          <w:rFonts w:ascii="仿宋_GB2312" w:eastAsia="仿宋_GB2312" w:hAnsi="Arial Narrow" w:hint="eastAsia"/>
          <w:b/>
          <w:sz w:val="24"/>
        </w:rPr>
        <w:t>我们根据自己的专业知识和职业道德，在此郑重声明：</w:t>
      </w:r>
      <w:bookmarkEnd w:id="11"/>
      <w:bookmarkEnd w:id="12"/>
    </w:p>
    <w:p>
      <w:pPr>
        <w:widowControl w:val="0"/>
        <w:spacing w:line="360" w:lineRule="auto"/>
        <w:ind w:firstLineChars="192" w:firstLine="461"/>
        <w:jc w:val="both"/>
        <w:rPr>
          <w:rFonts w:ascii="仿宋_GB2312" w:eastAsia="仿宋_GB2312" w:hAnsi="宋体"/>
          <w:sz w:val="24"/>
        </w:rPr>
      </w:pPr>
      <w:r>
        <w:rPr>
          <w:rFonts w:ascii="仿宋_GB2312" w:eastAsia="仿宋_GB2312" w:hAnsi="宋体" w:hint="eastAsia"/>
          <w:sz w:val="24"/>
        </w:rPr>
        <w:t>一、注册房地产估价师在估价报告中对事实的说明是真实和准确的，没有虚假记载、误导性陈述和重大遗漏。</w:t>
      </w:r>
    </w:p>
    <w:p>
      <w:pPr>
        <w:widowControl w:val="0"/>
        <w:spacing w:line="360" w:lineRule="auto"/>
        <w:ind w:firstLineChars="192" w:firstLine="461"/>
        <w:jc w:val="both"/>
        <w:rPr>
          <w:rFonts w:ascii="仿宋_GB2312" w:eastAsia="仿宋_GB2312" w:hAnsi="宋体"/>
          <w:sz w:val="24"/>
        </w:rPr>
      </w:pPr>
      <w:r>
        <w:rPr>
          <w:rFonts w:ascii="仿宋_GB2312" w:eastAsia="仿宋_GB2312" w:hAnsi="宋体" w:hint="eastAsia"/>
          <w:sz w:val="24"/>
        </w:rPr>
        <w:t>二、估价报告中的分析、意见和结论是注册房地产估价师独立、客观、公正的专业分析、意见和结论，但受到估价报告中已说明的估价假设和限制条件的限制。</w:t>
      </w:r>
    </w:p>
    <w:p>
      <w:pPr>
        <w:widowControl w:val="0"/>
        <w:spacing w:line="360" w:lineRule="auto"/>
        <w:ind w:firstLineChars="192" w:firstLine="461"/>
        <w:jc w:val="both"/>
        <w:rPr>
          <w:rFonts w:ascii="仿宋_GB2312" w:eastAsia="仿宋_GB2312" w:hAnsi="宋体"/>
          <w:sz w:val="24"/>
        </w:rPr>
      </w:pPr>
      <w:r>
        <w:rPr>
          <w:rFonts w:ascii="仿宋_GB2312" w:eastAsia="仿宋_GB2312" w:hAnsi="宋体" w:hint="eastAsia"/>
          <w:sz w:val="24"/>
        </w:rPr>
        <w:t>三、注册房地产估价师与估价报告中的估价对象没有现实或潜在的利益，与估价委托人及估价利害关系人没有利害关系，也对估价对象、估价委托人及估价利害关系人没有偏见。</w:t>
      </w:r>
    </w:p>
    <w:p>
      <w:pPr>
        <w:widowControl w:val="0"/>
        <w:spacing w:line="360" w:lineRule="auto"/>
        <w:ind w:firstLineChars="192" w:firstLine="461"/>
        <w:jc w:val="both"/>
        <w:rPr>
          <w:rFonts w:ascii="仿宋_GB2312" w:eastAsia="仿宋_GB2312" w:hAnsi="宋体"/>
          <w:sz w:val="24"/>
        </w:rPr>
      </w:pPr>
      <w:r>
        <w:rPr>
          <w:rFonts w:ascii="仿宋_GB2312" w:eastAsia="仿宋_GB2312" w:hAnsi="宋体" w:hint="eastAsia"/>
          <w:sz w:val="24"/>
        </w:rPr>
        <w:t>四、注册房地产估价师是按照中华人民共和国国家标准《房地产估价规范》（中华人民共和国国家标准GB/T50291-2015）、《房地产估价基本术语标准》（中华人民共和国国家标准GB/T50899-2013）进行估价工作，撰写估价报告。</w:t>
      </w:r>
    </w:p>
    <w:p>
      <w:pPr>
        <w:widowControl w:val="0"/>
        <w:spacing w:line="360" w:lineRule="auto"/>
        <w:ind w:firstLineChars="192" w:firstLine="461"/>
        <w:jc w:val="both"/>
        <w:rPr>
          <w:rFonts w:ascii="仿宋_GB2312" w:eastAsia="仿宋_GB2312" w:hAnsi="宋体"/>
          <w:sz w:val="24"/>
        </w:rPr>
      </w:pPr>
      <w:r>
        <w:rPr>
          <w:rFonts w:ascii="仿宋_GB2312" w:eastAsia="仿宋_GB2312" w:hAnsi="宋体" w:hint="eastAsia"/>
          <w:sz w:val="24"/>
        </w:rPr>
        <w:t>五、注册房地产估价师王志东（注册号：3520070010）、黄教岳（注册号：3520190020）已于2021年09月09日对本估价报告中的估价对象进行了实地查勘，但仅限于对估价对象外观和使用状况的一般性查勘。</w:t>
      </w:r>
    </w:p>
    <w:p>
      <w:pPr>
        <w:widowControl w:val="0"/>
        <w:spacing w:line="360" w:lineRule="auto"/>
        <w:ind w:firstLineChars="192" w:firstLine="461"/>
        <w:jc w:val="both"/>
        <w:rPr>
          <w:rFonts w:ascii="仿宋_GB2312" w:eastAsia="仿宋_GB2312" w:hAnsi="宋体"/>
          <w:sz w:val="24"/>
        </w:rPr>
      </w:pPr>
      <w:r>
        <w:rPr>
          <w:rFonts w:ascii="仿宋_GB2312" w:eastAsia="仿宋_GB2312" w:hAnsi="宋体" w:hint="eastAsia"/>
          <w:sz w:val="24"/>
        </w:rPr>
        <w:t>六、没有人对本估价报告提供重要专业帮助。</w:t>
      </w:r>
    </w:p>
    <w:p>
      <w:pPr>
        <w:widowControl w:val="0"/>
        <w:ind w:firstLineChars="192" w:firstLine="461"/>
        <w:jc w:val="both"/>
        <w:rPr>
          <w:rFonts w:ascii="仿宋_GB2312" w:eastAsia="仿宋_GB2312" w:hAnsi="宋体"/>
          <w:sz w:val="24"/>
        </w:rPr>
      </w:pPr>
    </w:p>
    <w:p>
      <w:pPr>
        <w:spacing w:line="480" w:lineRule="auto"/>
        <w:ind w:firstLineChars="192" w:firstLine="461"/>
        <w:rPr>
          <w:rFonts w:ascii="仿宋_GB2312" w:eastAsia="仿宋_GB2312" w:hAnsi="宋体"/>
          <w:bCs/>
          <w:sz w:val="24"/>
        </w:rPr>
      </w:pPr>
      <w:r>
        <w:rPr>
          <w:rFonts w:ascii="仿宋_GB2312" w:eastAsia="仿宋_GB2312" w:hAnsi="宋体" w:hint="eastAsia"/>
          <w:bCs/>
          <w:sz w:val="24"/>
        </w:rPr>
        <w:t>注册房地产估价师</w:t>
      </w:r>
    </w:p>
    <w:tbl>
      <w:tblPr>
        <w:tblW w:w="8045" w:type="dxa"/>
        <w:jc w:val="center"/>
        <w:tblLayout w:type="fixed"/>
        <w:tblLook w:val="04A0"/>
      </w:tblPr>
      <w:tblGrid>
        <w:gridCol w:w="1557"/>
        <w:gridCol w:w="2410"/>
        <w:gridCol w:w="2268"/>
        <w:gridCol w:w="1810"/>
      </w:tblGrid>
      <w:tr>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姓名</w:t>
            </w:r>
          </w:p>
        </w:tc>
        <w:tc>
          <w:tcPr>
            <w:tcW w:w="2410" w:type="dxa"/>
            <w:tcBorders>
              <w:top w:val="single" w:sz="4" w:space="0" w:color="auto"/>
              <w:left w:val="nil"/>
              <w:right w:val="single" w:sz="4" w:space="0" w:color="auto"/>
            </w:tcBorders>
            <w:vAlign w:val="center"/>
          </w:tcPr>
          <w:p>
            <w:pPr>
              <w:spacing w:line="312" w:lineRule="auto"/>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注册号</w:t>
            </w:r>
          </w:p>
        </w:tc>
        <w:tc>
          <w:tcPr>
            <w:tcW w:w="2268" w:type="dxa"/>
            <w:tcBorders>
              <w:top w:val="single" w:sz="4" w:space="0" w:color="auto"/>
              <w:left w:val="nil"/>
              <w:right w:val="single" w:sz="4" w:space="0" w:color="auto"/>
            </w:tcBorders>
            <w:vAlign w:val="center"/>
          </w:tcPr>
          <w:p>
            <w:pPr>
              <w:spacing w:line="312" w:lineRule="auto"/>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签名</w:t>
            </w:r>
          </w:p>
        </w:tc>
        <w:tc>
          <w:tcPr>
            <w:tcW w:w="1810" w:type="dxa"/>
            <w:tcBorders>
              <w:top w:val="single" w:sz="4" w:space="0" w:color="auto"/>
              <w:left w:val="nil"/>
              <w:right w:val="single" w:sz="4" w:space="0" w:color="auto"/>
            </w:tcBorders>
            <w:vAlign w:val="center"/>
          </w:tcPr>
          <w:p>
            <w:pPr>
              <w:spacing w:line="312" w:lineRule="auto"/>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日期</w:t>
            </w:r>
          </w:p>
        </w:tc>
      </w:tr>
      <w:tr>
        <w:trPr>
          <w:trHeight w:val="491"/>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r>
              <w:rPr>
                <w:rFonts w:ascii="仿宋_GB2312" w:eastAsia="仿宋_GB2312" w:hAnsi="Arial Narrow" w:cs="宋体" w:hint="eastAsia"/>
                <w:color w:val="000000"/>
                <w:kern w:val="0"/>
                <w:sz w:val="22"/>
                <w:szCs w:val="22"/>
              </w:rPr>
              <w:t xml:space="preserve">　</w:t>
            </w:r>
            <w:r>
              <w:rPr>
                <w:rFonts w:ascii="仿宋_GB2312" w:eastAsia="仿宋_GB2312" w:hAnsi="Arial Narrow" w:hint="eastAsia"/>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r>
              <w:rPr>
                <w:rFonts w:ascii="仿宋_GB2312" w:eastAsia="仿宋_GB2312" w:hAnsi="Arial Narrow" w:hint="eastAsia"/>
                <w:bCs/>
                <w:color w:val="000000"/>
                <w:sz w:val="24"/>
              </w:rPr>
              <w:t>3520070010</w:t>
            </w:r>
            <w:r>
              <w:rPr>
                <w:rFonts w:ascii="仿宋_GB2312" w:eastAsia="仿宋_GB2312" w:hAnsi="Arial Narrow" w:cs="宋体" w:hint="eastAsia"/>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r>
              <w:rPr>
                <w:rFonts w:ascii="仿宋_GB2312" w:eastAsia="仿宋_GB2312" w:hAnsi="Arial Narrow" w:cs="宋体" w:hint="eastAsia"/>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r>
      <w:tr>
        <w:trPr>
          <w:trHeight w:val="406"/>
          <w:jc w:val="center"/>
        </w:trPr>
        <w:tc>
          <w:tcPr>
            <w:tcW w:w="1557" w:type="dxa"/>
            <w:vMerge/>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r>
      <w:tr>
        <w:trPr>
          <w:trHeight w:val="948"/>
          <w:jc w:val="center"/>
        </w:trPr>
        <w:tc>
          <w:tcPr>
            <w:tcW w:w="1557" w:type="dxa"/>
            <w:vMerge w:val="restart"/>
            <w:tcBorders>
              <w:top w:val="nil"/>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r>
              <w:rPr>
                <w:rFonts w:ascii="仿宋_GB2312" w:eastAsia="仿宋_GB2312" w:hAnsi="Arial Narrow" w:cs="宋体" w:hint="eastAsia"/>
                <w:color w:val="000000"/>
                <w:kern w:val="0"/>
                <w:sz w:val="22"/>
                <w:szCs w:val="22"/>
              </w:rPr>
              <w:t xml:space="preserve">　</w:t>
            </w:r>
            <w:r>
              <w:rPr>
                <w:rFonts w:ascii="仿宋_GB2312" w:eastAsia="仿宋_GB2312" w:hAnsi="Arial Narrow" w:hint="eastAsia"/>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r>
              <w:rPr>
                <w:rFonts w:ascii="仿宋_GB2312" w:eastAsia="仿宋_GB2312" w:hAnsi="Arial Narrow" w:hint="eastAsia"/>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pPr>
              <w:spacing w:line="312" w:lineRule="auto"/>
              <w:jc w:val="center"/>
              <w:rPr>
                <w:rFonts w:ascii="仿宋_GB2312" w:eastAsia="仿宋_GB2312" w:hAnsi="Arial Narrow" w:cs="宋体"/>
                <w:color w:val="000000"/>
                <w:kern w:val="0"/>
                <w:sz w:val="22"/>
                <w:szCs w:val="22"/>
              </w:rPr>
            </w:pPr>
          </w:p>
        </w:tc>
      </w:tr>
    </w:tbl>
    <w:p>
      <w:pPr>
        <w:spacing w:line="288" w:lineRule="auto"/>
        <w:ind w:left="839"/>
        <w:rPr>
          <w:rFonts w:ascii="仿宋_GB2312" w:eastAsia="仿宋_GB2312" w:hAnsi="Arial Narrow"/>
          <w:sz w:val="24"/>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rPr>
          <w:rFonts w:ascii="仿宋_GB2312" w:eastAsia="仿宋_GB2312" w:hAnsi="Arial Narrow"/>
        </w:rPr>
      </w:pPr>
    </w:p>
    <w:p>
      <w:pPr>
        <w:pStyle w:val="2"/>
        <w:spacing w:beforeLines="0" w:line="360" w:lineRule="auto"/>
        <w:rPr>
          <w:rFonts w:hAnsi="Arial Narrow"/>
          <w:sz w:val="24"/>
        </w:rPr>
      </w:pPr>
      <w:bookmarkStart w:id="13" w:name="_Toc256581898"/>
      <w:bookmarkStart w:id="14" w:name="_Toc256581899"/>
      <w:bookmarkStart w:id="15" w:name="_Toc146963122"/>
      <w:bookmarkStart w:id="16" w:name="_Toc18005485"/>
      <w:r>
        <w:rPr>
          <w:rFonts w:hAnsi="Arial Narrow" w:hint="eastAsia"/>
        </w:rPr>
        <w:t>估价假设和限制条件</w:t>
      </w:r>
      <w:bookmarkEnd w:id="13"/>
      <w:bookmarkEnd w:id="14"/>
      <w:bookmarkEnd w:id="15"/>
      <w:bookmarkEnd w:id="16"/>
    </w:p>
    <w:p>
      <w:pPr>
        <w:spacing w:line="360" w:lineRule="auto"/>
        <w:ind w:firstLineChars="200" w:firstLine="482"/>
        <w:jc w:val="both"/>
        <w:rPr>
          <w:rFonts w:ascii="仿宋_GB2312" w:eastAsia="仿宋_GB2312" w:hAnsi="Arial Narrow"/>
          <w:b/>
          <w:sz w:val="24"/>
        </w:rPr>
      </w:pPr>
      <w:r>
        <w:rPr>
          <w:rFonts w:ascii="仿宋_GB2312" w:eastAsia="仿宋_GB2312" w:hAnsi="Arial Narrow" w:hint="eastAsia"/>
          <w:b/>
          <w:sz w:val="24"/>
        </w:rPr>
        <w:t>一、本次估价的各项估价假设</w:t>
      </w:r>
    </w:p>
    <w:p>
      <w:pPr>
        <w:spacing w:line="360" w:lineRule="auto"/>
        <w:ind w:firstLineChars="200" w:firstLine="482"/>
        <w:jc w:val="both"/>
        <w:rPr>
          <w:rFonts w:ascii="仿宋_GB2312" w:eastAsia="仿宋_GB2312" w:hAnsi="Arial Narrow"/>
          <w:b/>
          <w:sz w:val="24"/>
        </w:rPr>
      </w:pPr>
      <w:r>
        <w:rPr>
          <w:rFonts w:ascii="仿宋_GB2312" w:eastAsia="仿宋_GB2312" w:hAnsi="Arial Narrow" w:hint="eastAsia"/>
          <w:b/>
          <w:sz w:val="24"/>
        </w:rPr>
        <w:t>（一）一般假设</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1、我们对估价所依据的估价委托人提供的估价对象的权属、面积、用途等资料进行了审慎检查，无理由怀疑其合法性、真实性、准确性和完整性，假定它们是合法、真实、准确和完整的。</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2、我们对房屋安全、环境污染等影响估价对象价值的重大因素给予了关注，无理由怀疑估价对象存在安全隐患且无相应的专业机构进行鉴定、检测，假定建筑结构等是安全的且在耐用年限内能够正常使用。</w:t>
      </w:r>
    </w:p>
    <w:p>
      <w:pPr>
        <w:spacing w:line="360" w:lineRule="auto"/>
        <w:ind w:firstLineChars="192" w:firstLine="461"/>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3、由于估价委托人未明确是否存在租赁权、用益物权及占有使用的情况，我们经过尽职调查后也未发现、掌握相关情况，本次估价假设估价对象不存在租赁权、用益物权及占有使用的情况。</w:t>
      </w:r>
    </w:p>
    <w:p>
      <w:pPr>
        <w:spacing w:line="360" w:lineRule="auto"/>
        <w:ind w:firstLineChars="192" w:firstLine="461"/>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4、因估价委托人未明确是否存在欠缴税金及相关费用，本次估价假设估价对象不存在欠缴税金及相关费用的情况。</w:t>
      </w:r>
    </w:p>
    <w:p>
      <w:pPr>
        <w:spacing w:line="360" w:lineRule="auto"/>
        <w:ind w:firstLineChars="245" w:firstLine="590"/>
        <w:jc w:val="both"/>
        <w:rPr>
          <w:rFonts w:ascii="仿宋_GB2312" w:eastAsia="仿宋_GB2312" w:hAnsi="Arial Narrow"/>
          <w:b/>
          <w:sz w:val="24"/>
        </w:rPr>
      </w:pPr>
      <w:r>
        <w:rPr>
          <w:rFonts w:ascii="仿宋_GB2312" w:eastAsia="仿宋_GB2312" w:hAnsi="Arial Narrow" w:hint="eastAsia"/>
          <w:b/>
          <w:sz w:val="24"/>
        </w:rPr>
        <w:t>（二）未定事项假设</w:t>
      </w:r>
    </w:p>
    <w:p>
      <w:pPr>
        <w:spacing w:line="360" w:lineRule="auto"/>
        <w:ind w:firstLineChars="245" w:firstLine="588"/>
        <w:jc w:val="both"/>
        <w:rPr>
          <w:rFonts w:ascii="仿宋_GB2312" w:eastAsia="仿宋_GB2312" w:hAnsi="Arial Narrow"/>
          <w:sz w:val="24"/>
        </w:rPr>
      </w:pPr>
      <w:r>
        <w:rPr>
          <w:rFonts w:ascii="仿宋_GB2312" w:eastAsia="仿宋_GB2312" w:hAnsi="Arial Narrow" w:hint="eastAsia"/>
          <w:sz w:val="24"/>
        </w:rPr>
        <w:t>本估价项目不存在未定事项，故本估价报告无未定事项假设。</w:t>
      </w:r>
    </w:p>
    <w:p>
      <w:pPr>
        <w:spacing w:line="360" w:lineRule="auto"/>
        <w:ind w:firstLineChars="245" w:firstLine="590"/>
        <w:jc w:val="both"/>
        <w:rPr>
          <w:rFonts w:ascii="仿宋_GB2312" w:eastAsia="仿宋_GB2312" w:hAnsi="Arial Narrow"/>
          <w:b/>
          <w:sz w:val="24"/>
        </w:rPr>
      </w:pPr>
      <w:r>
        <w:rPr>
          <w:rFonts w:ascii="仿宋_GB2312" w:eastAsia="仿宋_GB2312" w:hAnsi="Arial Narrow" w:hint="eastAsia"/>
          <w:b/>
          <w:sz w:val="24"/>
        </w:rPr>
        <w:t>（三）背离事实假设</w:t>
      </w:r>
    </w:p>
    <w:p>
      <w:pPr>
        <w:spacing w:line="360" w:lineRule="auto"/>
        <w:ind w:firstLineChars="245" w:firstLine="588"/>
        <w:jc w:val="both"/>
        <w:rPr>
          <w:rFonts w:ascii="仿宋_GB2312" w:eastAsia="仿宋_GB2312" w:hAnsi="Arial Narrow"/>
          <w:sz w:val="24"/>
        </w:rPr>
      </w:pPr>
      <w:r>
        <w:rPr>
          <w:rFonts w:ascii="仿宋_GB2312" w:eastAsia="仿宋_GB2312" w:hAnsi="Arial Narrow" w:hint="eastAsia"/>
          <w:sz w:val="24"/>
        </w:rPr>
        <w:t>根据估价目的，本次评估中不考虑查封、担保物权或其他优先受偿权等对估价对象的影响。</w:t>
      </w:r>
    </w:p>
    <w:p>
      <w:pPr>
        <w:spacing w:line="360" w:lineRule="auto"/>
        <w:ind w:firstLineChars="245" w:firstLine="590"/>
        <w:jc w:val="both"/>
        <w:rPr>
          <w:rFonts w:ascii="仿宋_GB2312" w:eastAsia="仿宋_GB2312" w:hAnsi="Arial Narrow"/>
          <w:b/>
          <w:sz w:val="24"/>
        </w:rPr>
      </w:pPr>
      <w:r>
        <w:rPr>
          <w:rFonts w:ascii="仿宋_GB2312" w:eastAsia="仿宋_GB2312" w:hAnsi="Arial Narrow" w:hint="eastAsia"/>
          <w:b/>
          <w:sz w:val="24"/>
        </w:rPr>
        <w:t>（四）不相一致假设</w:t>
      </w:r>
    </w:p>
    <w:p>
      <w:pPr>
        <w:spacing w:line="360" w:lineRule="auto"/>
        <w:ind w:firstLineChars="245" w:firstLine="588"/>
        <w:jc w:val="both"/>
        <w:rPr>
          <w:rFonts w:ascii="仿宋_GB2312" w:eastAsia="仿宋_GB2312" w:hAnsi="Arial Narrow"/>
          <w:sz w:val="24"/>
        </w:rPr>
      </w:pPr>
      <w:r>
        <w:rPr>
          <w:rFonts w:ascii="仿宋_GB2312" w:eastAsia="仿宋_GB2312" w:hAnsi="Arial Narrow" w:hint="eastAsia"/>
          <w:sz w:val="24"/>
        </w:rPr>
        <w:t>本估价项目不存在不相一致事项，故本估价报告无不相一致假设。</w:t>
      </w:r>
    </w:p>
    <w:p>
      <w:pPr>
        <w:spacing w:line="360" w:lineRule="auto"/>
        <w:ind w:firstLineChars="245" w:firstLine="590"/>
        <w:jc w:val="both"/>
        <w:rPr>
          <w:rFonts w:ascii="仿宋_GB2312" w:eastAsia="仿宋_GB2312" w:hAnsi="Arial Narrow"/>
          <w:b/>
          <w:sz w:val="24"/>
        </w:rPr>
      </w:pPr>
      <w:r>
        <w:rPr>
          <w:rFonts w:ascii="仿宋_GB2312" w:eastAsia="仿宋_GB2312" w:hAnsi="Arial Narrow" w:hint="eastAsia"/>
          <w:b/>
          <w:sz w:val="24"/>
        </w:rPr>
        <w:t>（五）依据不足假设</w:t>
      </w:r>
    </w:p>
    <w:p>
      <w:pPr>
        <w:spacing w:line="360" w:lineRule="auto"/>
        <w:ind w:firstLineChars="192" w:firstLine="461"/>
        <w:rPr>
          <w:rFonts w:ascii="仿宋_GB2312" w:eastAsia="仿宋_GB2312" w:hAnsi="宋体"/>
          <w:bCs/>
          <w:sz w:val="24"/>
        </w:rPr>
      </w:pPr>
      <w:r>
        <w:rPr>
          <w:rFonts w:ascii="仿宋_GB2312" w:eastAsia="仿宋_GB2312" w:hAnsi="宋体" w:hint="eastAsia"/>
          <w:bCs/>
          <w:sz w:val="24"/>
        </w:rPr>
        <w:t>1、估价委托人仅提供了《泉州市商品房买卖合同（网上签约）登记备案申请表》及《商品房买卖合同》（合同编号：201806120142），未提供产权证，据了解，产权证尚未办理，因条件限制，无法进一步核实，为此，本次估价未考虑其可能的影响，此外，对于建筑面积等数据，依据了上述购房合同，并以此作为本次估价的必要假设前提。</w:t>
      </w:r>
    </w:p>
    <w:p>
      <w:pPr>
        <w:spacing w:line="360" w:lineRule="auto"/>
        <w:ind w:firstLineChars="192" w:firstLine="461"/>
        <w:rPr>
          <w:rFonts w:ascii="仿宋_GB2312" w:eastAsia="仿宋_GB2312" w:hAnsi="宋体"/>
          <w:bCs/>
          <w:sz w:val="24"/>
        </w:rPr>
      </w:pPr>
      <w:r>
        <w:rPr>
          <w:rFonts w:ascii="仿宋_GB2312" w:eastAsia="仿宋_GB2312" w:hAnsi="宋体" w:hint="eastAsia"/>
          <w:bCs/>
          <w:sz w:val="24"/>
        </w:rPr>
        <w:lastRenderedPageBreak/>
        <w:t>2、因估价委托人提供的相关资料，未记载估价对象房产建成时间，经调查了解，估价对象房产</w:t>
      </w:r>
      <w:proofErr w:type="gramStart"/>
      <w:r>
        <w:rPr>
          <w:rFonts w:ascii="仿宋_GB2312" w:eastAsia="仿宋_GB2312" w:hAnsi="宋体" w:hint="eastAsia"/>
          <w:bCs/>
          <w:sz w:val="24"/>
        </w:rPr>
        <w:t>约建成</w:t>
      </w:r>
      <w:proofErr w:type="gramEnd"/>
      <w:r>
        <w:rPr>
          <w:rFonts w:ascii="仿宋_GB2312" w:eastAsia="仿宋_GB2312" w:hAnsi="宋体" w:hint="eastAsia"/>
          <w:bCs/>
          <w:sz w:val="24"/>
        </w:rPr>
        <w:t>于2019年，并以此作为本次估价的必要假设前提。</w:t>
      </w:r>
    </w:p>
    <w:p>
      <w:pPr>
        <w:spacing w:line="360" w:lineRule="auto"/>
        <w:ind w:firstLineChars="225" w:firstLine="542"/>
        <w:jc w:val="both"/>
        <w:rPr>
          <w:rFonts w:ascii="仿宋_GB2312" w:eastAsia="仿宋_GB2312" w:hAnsi="Arial Narrow"/>
          <w:b/>
          <w:sz w:val="24"/>
        </w:rPr>
      </w:pPr>
      <w:r>
        <w:rPr>
          <w:rFonts w:ascii="仿宋_GB2312" w:eastAsia="仿宋_GB2312" w:hAnsi="Arial Narrow" w:hint="eastAsia"/>
          <w:b/>
          <w:sz w:val="24"/>
        </w:rPr>
        <w:t>二、估价报告使用限制</w:t>
      </w:r>
    </w:p>
    <w:p>
      <w:pPr>
        <w:spacing w:line="360" w:lineRule="auto"/>
        <w:ind w:firstLineChars="225" w:firstLine="540"/>
        <w:jc w:val="both"/>
        <w:rPr>
          <w:rFonts w:ascii="仿宋_GB2312" w:eastAsia="仿宋_GB2312" w:hAnsi="Arial Narrow"/>
          <w:sz w:val="24"/>
        </w:rPr>
      </w:pPr>
      <w:r>
        <w:rPr>
          <w:rFonts w:ascii="仿宋_GB2312" w:eastAsia="仿宋_GB2312" w:hAnsi="Arial Narrow" w:hint="eastAsia"/>
          <w:sz w:val="24"/>
        </w:rPr>
        <w:t>（1）本估价报告的有效使用期限为一年，即从2021年09月24日起至2022年09月23日止的期限内有效。超过使用期限，或虽未超过使用期限,但估价对象的价格标准出现较大波动,需重新进行估价。</w:t>
      </w:r>
    </w:p>
    <w:p>
      <w:pPr>
        <w:spacing w:line="360" w:lineRule="auto"/>
        <w:ind w:firstLineChars="225" w:firstLine="540"/>
        <w:jc w:val="both"/>
        <w:rPr>
          <w:rFonts w:ascii="仿宋_GB2312" w:eastAsia="仿宋_GB2312" w:hAnsi="Arial Narrow"/>
          <w:sz w:val="24"/>
        </w:rPr>
      </w:pPr>
      <w:r>
        <w:rPr>
          <w:rFonts w:ascii="仿宋_GB2312" w:eastAsia="仿宋_GB2312" w:hAnsi="Arial Narrow" w:hint="eastAsia"/>
          <w:sz w:val="24"/>
        </w:rPr>
        <w:t>（2）附件与其报告正文配套使用方有效。</w:t>
      </w:r>
    </w:p>
    <w:p>
      <w:pPr>
        <w:spacing w:line="360" w:lineRule="auto"/>
        <w:ind w:firstLineChars="225" w:firstLine="540"/>
        <w:jc w:val="both"/>
        <w:rPr>
          <w:rFonts w:ascii="仿宋_GB2312" w:eastAsia="仿宋_GB2312" w:hAnsi="Arial Narrow"/>
          <w:sz w:val="24"/>
        </w:rPr>
      </w:pPr>
      <w:r>
        <w:rPr>
          <w:rFonts w:ascii="仿宋_GB2312" w:eastAsia="仿宋_GB2312" w:hAnsi="Arial Narrow" w:hint="eastAsia"/>
          <w:sz w:val="24"/>
        </w:rPr>
        <w:t>（3）本评估结论仅为估价委托人确定财产处置参考</w:t>
      </w:r>
      <w:proofErr w:type="gramStart"/>
      <w:r>
        <w:rPr>
          <w:rFonts w:ascii="仿宋_GB2312" w:eastAsia="仿宋_GB2312" w:hAnsi="Arial Narrow" w:hint="eastAsia"/>
          <w:sz w:val="24"/>
        </w:rPr>
        <w:t>价提供</w:t>
      </w:r>
      <w:proofErr w:type="gramEnd"/>
      <w:r>
        <w:rPr>
          <w:rFonts w:ascii="仿宋_GB2312" w:eastAsia="仿宋_GB2312" w:hAnsi="Arial Narrow" w:hint="eastAsia"/>
          <w:sz w:val="24"/>
        </w:rPr>
        <w:t>参考依据这一经济目的使用，不得作为其他经济目的和用途使用。估价委托人应合理使用评估价值。凡因估价委托人使用估价报告不当造成的后果与签字注册房地产估价师及其所在评估机构无关。</w:t>
      </w:r>
    </w:p>
    <w:p>
      <w:pPr>
        <w:spacing w:line="360" w:lineRule="auto"/>
        <w:ind w:firstLineChars="225" w:firstLine="540"/>
        <w:jc w:val="both"/>
        <w:rPr>
          <w:rFonts w:ascii="仿宋_GB2312" w:eastAsia="仿宋_GB2312" w:hAnsi="Arial Narrow"/>
          <w:sz w:val="24"/>
        </w:rPr>
      </w:pPr>
      <w:r>
        <w:rPr>
          <w:rFonts w:ascii="仿宋_GB2312" w:eastAsia="仿宋_GB2312" w:hAnsi="Arial Narrow" w:hint="eastAsia"/>
          <w:sz w:val="24"/>
        </w:rPr>
        <w:t>（4）本估价报告需经本公司加盖公章、法定代表人签名（或盖章）及房地产估价师签名后方可有效。未经本公司书面同意，任何单位或个人不得将本报告的全部或部分内容发表于任何公开媒体上。</w:t>
      </w:r>
    </w:p>
    <w:p>
      <w:pPr>
        <w:spacing w:line="360" w:lineRule="auto"/>
        <w:ind w:firstLineChars="225" w:firstLine="540"/>
        <w:jc w:val="both"/>
        <w:rPr>
          <w:rFonts w:ascii="仿宋_GB2312" w:eastAsia="仿宋_GB2312" w:hAnsi="Arial Narrow"/>
          <w:sz w:val="24"/>
        </w:rPr>
      </w:pPr>
    </w:p>
    <w:p>
      <w:pPr>
        <w:pStyle w:val="2"/>
        <w:spacing w:beforeLines="0" w:line="360" w:lineRule="auto"/>
        <w:ind w:firstLine="200"/>
        <w:rPr>
          <w:rFonts w:hAnsi="Arial Narrow"/>
          <w:sz w:val="24"/>
        </w:rPr>
      </w:pPr>
      <w:r>
        <w:rPr>
          <w:rFonts w:hAnsi="Arial Narrow" w:hint="eastAsia"/>
          <w:sz w:val="24"/>
        </w:rPr>
        <w:br w:type="page"/>
      </w:r>
      <w:bookmarkStart w:id="17" w:name="_Toc18005486"/>
      <w:bookmarkStart w:id="18" w:name="_Toc256581900"/>
      <w:bookmarkStart w:id="19" w:name="_Toc146963123"/>
      <w:r>
        <w:rPr>
          <w:rFonts w:hAnsi="Arial Narrow" w:hint="eastAsia"/>
        </w:rPr>
        <w:lastRenderedPageBreak/>
        <w:t>估价结果报告</w:t>
      </w:r>
      <w:bookmarkEnd w:id="17"/>
      <w:bookmarkEnd w:id="18"/>
      <w:bookmarkEnd w:id="19"/>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20" w:name="_Toc18005487"/>
      <w:r>
        <w:rPr>
          <w:rFonts w:ascii="仿宋_GB2312" w:eastAsia="仿宋_GB2312" w:hAnsi="Arial Narrow" w:hint="eastAsia"/>
          <w:bCs w:val="0"/>
          <w:kern w:val="0"/>
          <w:sz w:val="24"/>
          <w:szCs w:val="20"/>
        </w:rPr>
        <w:t>一、估价委托人：</w:t>
      </w:r>
      <w:bookmarkEnd w:id="20"/>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估价委托人：福建省泉州市中级人民法院</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21" w:name="_Toc18005488"/>
      <w:r>
        <w:rPr>
          <w:rFonts w:ascii="仿宋_GB2312" w:eastAsia="仿宋_GB2312" w:hAnsi="Arial Narrow" w:hint="eastAsia"/>
          <w:bCs w:val="0"/>
          <w:kern w:val="0"/>
          <w:sz w:val="24"/>
          <w:szCs w:val="20"/>
        </w:rPr>
        <w:t>二、房地产估价机构：</w:t>
      </w:r>
      <w:bookmarkEnd w:id="21"/>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名称：厦门市大学资产评估土地房地产估价有限责任公司</w:t>
      </w:r>
    </w:p>
    <w:p>
      <w:pPr>
        <w:pStyle w:val="a8"/>
        <w:spacing w:line="360" w:lineRule="auto"/>
        <w:ind w:firstLineChars="200" w:firstLine="480"/>
        <w:jc w:val="both"/>
        <w:rPr>
          <w:rFonts w:ascii="仿宋_GB2312" w:eastAsia="仿宋_GB2312" w:hAnsi="Arial Narrow" w:hint="default"/>
          <w:spacing w:val="-60"/>
          <w:sz w:val="24"/>
          <w:szCs w:val="24"/>
        </w:rPr>
      </w:pPr>
      <w:r>
        <w:rPr>
          <w:rFonts w:ascii="仿宋_GB2312" w:eastAsia="仿宋_GB2312" w:hAnsi="Arial Narrow"/>
          <w:sz w:val="24"/>
          <w:szCs w:val="24"/>
        </w:rPr>
        <w:t>法定代表人：</w:t>
      </w:r>
      <w:r>
        <w:rPr>
          <w:rFonts w:ascii="仿宋_GB2312" w:eastAsia="仿宋_GB2312" w:hAnsi="Arial Narrow"/>
          <w:spacing w:val="-30"/>
          <w:sz w:val="24"/>
          <w:szCs w:val="24"/>
        </w:rPr>
        <w:t xml:space="preserve">王 健 青        </w:t>
      </w:r>
      <w:r>
        <w:rPr>
          <w:rFonts w:ascii="仿宋_GB2312" w:eastAsia="仿宋_GB2312" w:hAnsi="Arial Narrow"/>
          <w:sz w:val="24"/>
          <w:szCs w:val="24"/>
        </w:rPr>
        <w:t>统一社会信用代码：</w:t>
      </w:r>
      <w:r>
        <w:rPr>
          <w:rFonts w:ascii="仿宋_GB2312" w:eastAsia="仿宋_GB2312" w:hAnsi="Arial Narrow"/>
          <w:spacing w:val="-20"/>
          <w:sz w:val="24"/>
          <w:szCs w:val="24"/>
        </w:rPr>
        <w:t>9135020015502324XR</w:t>
      </w:r>
    </w:p>
    <w:p>
      <w:pPr>
        <w:pStyle w:val="a8"/>
        <w:spacing w:line="360" w:lineRule="auto"/>
        <w:ind w:firstLineChars="200" w:firstLine="480"/>
        <w:jc w:val="both"/>
        <w:rPr>
          <w:rFonts w:ascii="仿宋_GB2312" w:eastAsia="仿宋_GB2312" w:hAnsi="Arial Narrow" w:hint="default"/>
          <w:spacing w:val="-60"/>
          <w:sz w:val="24"/>
          <w:szCs w:val="24"/>
        </w:rPr>
      </w:pPr>
      <w:r>
        <w:rPr>
          <w:rFonts w:ascii="仿宋_GB2312" w:eastAsia="仿宋_GB2312" w:hAnsi="Arial Narrow"/>
          <w:sz w:val="24"/>
          <w:szCs w:val="24"/>
        </w:rPr>
        <w:t>备案等级：一级       资质证书编号</w:t>
      </w:r>
      <w:r>
        <w:rPr>
          <w:rFonts w:ascii="仿宋_GB2312" w:eastAsia="仿宋_GB2312" w:hAnsi="Arial Narrow"/>
          <w:bCs/>
          <w:sz w:val="24"/>
          <w:szCs w:val="24"/>
        </w:rPr>
        <w:t>：352017003</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bCs/>
          <w:sz w:val="24"/>
        </w:rPr>
        <w:t>住所：厦门市湖里区高林中路523号701单元、702单元、703单元</w:t>
      </w:r>
    </w:p>
    <w:p>
      <w:pPr>
        <w:spacing w:line="360" w:lineRule="auto"/>
        <w:ind w:firstLineChars="200" w:firstLine="482"/>
        <w:jc w:val="both"/>
        <w:rPr>
          <w:rStyle w:val="Char7"/>
          <w:rFonts w:ascii="仿宋_GB2312" w:eastAsia="仿宋_GB2312" w:hAnsi="Arial Narrow"/>
          <w:b w:val="0"/>
          <w:sz w:val="24"/>
          <w:szCs w:val="24"/>
        </w:rPr>
      </w:pPr>
      <w:bookmarkStart w:id="22" w:name="_Toc18005489"/>
      <w:r>
        <w:rPr>
          <w:rStyle w:val="Char7"/>
          <w:rFonts w:ascii="仿宋_GB2312" w:eastAsia="仿宋_GB2312" w:hAnsi="Arial Narrow" w:hint="eastAsia"/>
          <w:sz w:val="24"/>
          <w:szCs w:val="24"/>
        </w:rPr>
        <w:t>三、估价目的：</w:t>
      </w:r>
      <w:bookmarkEnd w:id="22"/>
    </w:p>
    <w:p>
      <w:pPr>
        <w:pStyle w:val="XBT"/>
        <w:spacing w:before="0" w:after="0" w:line="360" w:lineRule="auto"/>
        <w:ind w:firstLineChars="200" w:firstLine="480"/>
        <w:jc w:val="both"/>
        <w:rPr>
          <w:rStyle w:val="Char7"/>
          <w:rFonts w:ascii="仿宋_GB2312" w:eastAsia="仿宋_GB2312" w:hAnsi="Arial Narrow"/>
          <w:b/>
          <w:sz w:val="24"/>
          <w:szCs w:val="24"/>
        </w:rPr>
      </w:pPr>
      <w:r>
        <w:rPr>
          <w:rFonts w:ascii="仿宋_GB2312" w:eastAsia="仿宋_GB2312" w:hint="eastAsia"/>
          <w:b w:val="0"/>
          <w:bCs/>
          <w:kern w:val="2"/>
        </w:rPr>
        <w:t>拟为估价委托人确定财产处置参考</w:t>
      </w:r>
      <w:proofErr w:type="gramStart"/>
      <w:r>
        <w:rPr>
          <w:rFonts w:ascii="仿宋_GB2312" w:eastAsia="仿宋_GB2312" w:hint="eastAsia"/>
          <w:b w:val="0"/>
          <w:bCs/>
          <w:kern w:val="2"/>
        </w:rPr>
        <w:t>价提供</w:t>
      </w:r>
      <w:proofErr w:type="gramEnd"/>
      <w:r>
        <w:rPr>
          <w:rFonts w:ascii="仿宋_GB2312" w:eastAsia="仿宋_GB2312" w:hint="eastAsia"/>
          <w:b w:val="0"/>
          <w:bCs/>
          <w:kern w:val="2"/>
        </w:rPr>
        <w:t>参考依据。</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23" w:name="_Toc18005490"/>
      <w:r>
        <w:rPr>
          <w:rFonts w:ascii="仿宋_GB2312" w:eastAsia="仿宋_GB2312" w:hAnsi="Arial Narrow" w:hint="eastAsia"/>
          <w:bCs w:val="0"/>
          <w:kern w:val="0"/>
          <w:sz w:val="24"/>
          <w:szCs w:val="20"/>
        </w:rPr>
        <w:t>四、估价对象：</w:t>
      </w:r>
      <w:bookmarkEnd w:id="23"/>
    </w:p>
    <w:p>
      <w:pPr>
        <w:spacing w:line="360" w:lineRule="auto"/>
        <w:ind w:firstLineChars="224" w:firstLine="538"/>
        <w:jc w:val="both"/>
        <w:rPr>
          <w:rFonts w:ascii="仿宋_GB2312" w:eastAsia="仿宋_GB2312" w:hAnsi="Arial Narrow"/>
          <w:sz w:val="24"/>
        </w:rPr>
      </w:pPr>
      <w:r>
        <w:rPr>
          <w:rFonts w:ascii="仿宋_GB2312" w:eastAsia="仿宋_GB2312" w:hAnsi="Arial Narrow" w:hint="eastAsia"/>
          <w:sz w:val="24"/>
        </w:rPr>
        <w:t>（一）估价对象财产范围</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财产范围包括房屋建筑物及其分摊的土地使用权和配套设施，不包含动产（家具、电器等）、债权债务、特许经营权等其他财产或权益。</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（二）估价对象基本状况</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1、名称：</w:t>
      </w:r>
      <w:proofErr w:type="gramStart"/>
      <w:r>
        <w:rPr>
          <w:rFonts w:ascii="仿宋_GB2312" w:eastAsia="仿宋_GB2312" w:hAnsi="Arial Narrow" w:hint="eastAsia"/>
          <w:bCs/>
          <w:sz w:val="24"/>
        </w:rPr>
        <w:t>珑</w:t>
      </w:r>
      <w:proofErr w:type="gramEnd"/>
      <w:r>
        <w:rPr>
          <w:rFonts w:ascii="仿宋" w:eastAsia="仿宋" w:hAnsi="仿宋" w:cs="微软雅黑" w:hint="eastAsia"/>
          <w:bCs/>
          <w:sz w:val="24"/>
        </w:rPr>
        <w:t>玥</w:t>
      </w:r>
      <w:r>
        <w:rPr>
          <w:rFonts w:ascii="仿宋_GB2312" w:eastAsia="仿宋_GB2312" w:hAnsi="仿宋_GB2312" w:cs="仿宋_GB2312" w:hint="eastAsia"/>
          <w:bCs/>
          <w:sz w:val="24"/>
        </w:rPr>
        <w:t>湾二期</w:t>
      </w:r>
      <w:r>
        <w:rPr>
          <w:rFonts w:ascii="仿宋_GB2312" w:eastAsia="仿宋_GB2312" w:hAnsi="Arial Narrow" w:hint="eastAsia"/>
          <w:sz w:val="24"/>
        </w:rPr>
        <w:t>。</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w:t>
      </w:r>
      <w:r>
        <w:rPr>
          <w:rFonts w:ascii="仿宋_GB2312" w:eastAsia="仿宋_GB2312" w:hAnsi="Arial Narrow" w:hint="eastAsia"/>
          <w:bCs/>
          <w:sz w:val="24"/>
        </w:rPr>
        <w:t>坐落：泉州市</w:t>
      </w:r>
      <w:proofErr w:type="gramStart"/>
      <w:r>
        <w:rPr>
          <w:rFonts w:ascii="仿宋_GB2312" w:eastAsia="仿宋_GB2312" w:hAnsi="Arial Narrow" w:hint="eastAsia"/>
          <w:bCs/>
          <w:sz w:val="24"/>
        </w:rPr>
        <w:t>鲤</w:t>
      </w:r>
      <w:proofErr w:type="gramEnd"/>
      <w:r>
        <w:rPr>
          <w:rFonts w:ascii="仿宋_GB2312" w:eastAsia="仿宋_GB2312" w:hAnsi="Arial Narrow" w:hint="eastAsia"/>
          <w:bCs/>
          <w:sz w:val="24"/>
        </w:rPr>
        <w:t>城区浮桥街道延陵社区</w:t>
      </w:r>
      <w:proofErr w:type="gramStart"/>
      <w:r>
        <w:rPr>
          <w:rFonts w:ascii="仿宋_GB2312" w:eastAsia="仿宋_GB2312" w:hAnsi="Arial Narrow" w:hint="eastAsia"/>
          <w:bCs/>
          <w:sz w:val="24"/>
        </w:rPr>
        <w:t>珑</w:t>
      </w:r>
      <w:proofErr w:type="gramEnd"/>
      <w:r>
        <w:rPr>
          <w:rFonts w:ascii="仿宋" w:eastAsia="仿宋" w:hAnsi="仿宋" w:cs="微软雅黑" w:hint="eastAsia"/>
          <w:bCs/>
          <w:sz w:val="24"/>
        </w:rPr>
        <w:t>玥</w:t>
      </w:r>
      <w:r>
        <w:rPr>
          <w:rFonts w:ascii="仿宋_GB2312" w:eastAsia="仿宋_GB2312" w:hAnsi="仿宋_GB2312" w:cs="仿宋_GB2312" w:hint="eastAsia"/>
          <w:bCs/>
          <w:sz w:val="24"/>
        </w:rPr>
        <w:t>湾二期项目</w:t>
      </w:r>
      <w:r>
        <w:rPr>
          <w:rFonts w:ascii="仿宋_GB2312" w:eastAsia="仿宋_GB2312" w:hAnsi="Arial Narrow" w:hint="eastAsia"/>
          <w:bCs/>
          <w:sz w:val="24"/>
        </w:rPr>
        <w:t>9号楼901</w:t>
      </w:r>
      <w:r>
        <w:rPr>
          <w:rFonts w:ascii="仿宋_GB2312" w:eastAsia="仿宋_GB2312" w:hAnsi="Arial Narrow" w:hint="eastAsia"/>
          <w:sz w:val="24"/>
        </w:rPr>
        <w:t>。</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3、规模：建筑面积为124.33平方米。</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4、用途：规划、设计及登记用途为住宅，实际用途为住宅。</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5、权属：土地为出让住宅用地使用权，土地使用权人和房屋所有权人为张育玲。</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6、利用现状：</w:t>
      </w:r>
      <w:r>
        <w:rPr>
          <w:rFonts w:ascii="仿宋_GB2312" w:eastAsia="仿宋_GB2312" w:hAnsi="Arial Narrow" w:hint="eastAsia"/>
          <w:bCs/>
          <w:sz w:val="24"/>
        </w:rPr>
        <w:t>于实地查勘之日，估价对象土地上有房屋等土地附着物，估价对象房屋现为空置。</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7、他项权利：</w:t>
      </w:r>
      <w:r>
        <w:rPr>
          <w:rFonts w:ascii="Arial Narrow" w:eastAsia="仿宋_GB2312" w:hAnsi="Arial Narrow" w:hint="eastAsia"/>
          <w:sz w:val="24"/>
        </w:rPr>
        <w:t>因</w:t>
      </w:r>
      <w:r>
        <w:rPr>
          <w:rFonts w:ascii="Arial Narrow" w:eastAsia="仿宋_GB2312" w:hAnsi="Arial Narrow"/>
          <w:sz w:val="24"/>
        </w:rPr>
        <w:t>客观条件限制，无法</w:t>
      </w:r>
      <w:r>
        <w:rPr>
          <w:rFonts w:ascii="Arial Narrow" w:eastAsia="仿宋_GB2312" w:hAnsi="Arial Narrow" w:hint="eastAsia"/>
          <w:sz w:val="24"/>
        </w:rPr>
        <w:t>得知</w:t>
      </w:r>
      <w:r>
        <w:rPr>
          <w:rFonts w:ascii="Arial Narrow" w:eastAsia="仿宋_GB2312" w:hAnsi="Arial Narrow"/>
          <w:sz w:val="24"/>
        </w:rPr>
        <w:t>他项权利</w:t>
      </w:r>
      <w:r>
        <w:rPr>
          <w:rFonts w:ascii="Arial Narrow" w:eastAsia="仿宋_GB2312" w:hAnsi="Arial Narrow" w:hint="eastAsia"/>
          <w:sz w:val="24"/>
        </w:rPr>
        <w:t>具体</w:t>
      </w:r>
      <w:r>
        <w:rPr>
          <w:rFonts w:ascii="Arial Narrow" w:eastAsia="仿宋_GB2312" w:hAnsi="Arial Narrow"/>
          <w:sz w:val="24"/>
        </w:rPr>
        <w:t>状况</w:t>
      </w:r>
      <w:r>
        <w:rPr>
          <w:rFonts w:ascii="仿宋_GB2312" w:eastAsia="仿宋_GB2312" w:hAnsi="Arial Narrow" w:hint="eastAsia"/>
          <w:sz w:val="24"/>
        </w:rPr>
        <w:t>。</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8、估价对象产权登记状况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2332"/>
        <w:gridCol w:w="4484"/>
      </w:tblGrid>
      <w:tr>
        <w:trPr>
          <w:trHeight w:val="369"/>
          <w:jc w:val="center"/>
        </w:trPr>
        <w:tc>
          <w:tcPr>
            <w:tcW w:w="1142"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房地坐落</w:t>
            </w:r>
          </w:p>
        </w:tc>
        <w:tc>
          <w:tcPr>
            <w:tcW w:w="3858" w:type="pct"/>
            <w:gridSpan w:val="2"/>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泉州市</w:t>
            </w:r>
            <w:proofErr w:type="gramStart"/>
            <w:r>
              <w:rPr>
                <w:rFonts w:ascii="仿宋_GB2312" w:eastAsia="仿宋_GB2312" w:hAnsi="Arial Narrow" w:hint="eastAsia"/>
                <w:sz w:val="22"/>
                <w:szCs w:val="22"/>
              </w:rPr>
              <w:t>鲤</w:t>
            </w:r>
            <w:proofErr w:type="gramEnd"/>
            <w:r>
              <w:rPr>
                <w:rFonts w:ascii="仿宋_GB2312" w:eastAsia="仿宋_GB2312" w:hAnsi="Arial Narrow" w:hint="eastAsia"/>
                <w:sz w:val="22"/>
                <w:szCs w:val="22"/>
              </w:rPr>
              <w:t>城区浮桥街道延陵社区</w:t>
            </w:r>
            <w:proofErr w:type="gramStart"/>
            <w:r>
              <w:rPr>
                <w:rFonts w:ascii="仿宋_GB2312" w:eastAsia="仿宋_GB2312" w:hAnsi="Arial Narrow" w:hint="eastAsia"/>
                <w:sz w:val="22"/>
                <w:szCs w:val="22"/>
              </w:rPr>
              <w:t>珑</w:t>
            </w:r>
            <w:proofErr w:type="gramEnd"/>
            <w:r>
              <w:rPr>
                <w:rFonts w:ascii="仿宋" w:eastAsia="仿宋" w:hAnsi="仿宋" w:cs="微软雅黑" w:hint="eastAsia"/>
                <w:sz w:val="22"/>
                <w:szCs w:val="22"/>
              </w:rPr>
              <w:t>玥</w:t>
            </w:r>
            <w:r>
              <w:rPr>
                <w:rFonts w:ascii="仿宋_GB2312" w:eastAsia="仿宋_GB2312" w:hAnsi="仿宋_GB2312" w:cs="仿宋_GB2312" w:hint="eastAsia"/>
                <w:sz w:val="22"/>
                <w:szCs w:val="22"/>
              </w:rPr>
              <w:t>湾二期项目</w:t>
            </w:r>
            <w:r>
              <w:rPr>
                <w:rFonts w:ascii="仿宋_GB2312" w:eastAsia="仿宋_GB2312" w:hAnsi="Arial Narrow" w:hint="eastAsia"/>
                <w:sz w:val="22"/>
                <w:szCs w:val="22"/>
              </w:rPr>
              <w:t>9号楼901</w:t>
            </w:r>
          </w:p>
        </w:tc>
      </w:tr>
      <w:tr>
        <w:trPr>
          <w:trHeight w:val="369"/>
          <w:jc w:val="center"/>
        </w:trPr>
        <w:tc>
          <w:tcPr>
            <w:tcW w:w="1142"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权利人</w:t>
            </w:r>
          </w:p>
        </w:tc>
        <w:tc>
          <w:tcPr>
            <w:tcW w:w="3858" w:type="pct"/>
            <w:gridSpan w:val="2"/>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张育玲</w:t>
            </w:r>
          </w:p>
        </w:tc>
      </w:tr>
      <w:tr>
        <w:trPr>
          <w:trHeight w:val="369"/>
          <w:jc w:val="center"/>
        </w:trPr>
        <w:tc>
          <w:tcPr>
            <w:tcW w:w="1142" w:type="pct"/>
            <w:vMerge w:val="restart"/>
            <w:shd w:val="clear" w:color="auto" w:fill="auto"/>
            <w:vAlign w:val="center"/>
          </w:tcPr>
          <w:p>
            <w:pPr>
              <w:ind w:right="-108"/>
              <w:jc w:val="both"/>
              <w:rPr>
                <w:rFonts w:ascii="仿宋_GB2312" w:eastAsia="仿宋_GB2312" w:hAnsi="Arial Narrow"/>
                <w:sz w:val="22"/>
                <w:szCs w:val="22"/>
              </w:rPr>
            </w:pPr>
            <w:r>
              <w:rPr>
                <w:rFonts w:ascii="仿宋_GB2312" w:eastAsia="仿宋_GB2312" w:hAnsi="Arial Narrow" w:hint="eastAsia"/>
                <w:sz w:val="22"/>
                <w:szCs w:val="22"/>
              </w:rPr>
              <w:t>土地状况</w:t>
            </w: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使用权类型</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themeColor="text1"/>
                <w:sz w:val="22"/>
                <w:szCs w:val="22"/>
              </w:rPr>
              <w:t>出让</w:t>
            </w:r>
          </w:p>
        </w:tc>
      </w:tr>
      <w:tr>
        <w:trPr>
          <w:trHeight w:val="369"/>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批准土地用途</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居住</w:t>
            </w:r>
          </w:p>
        </w:tc>
      </w:tr>
      <w:tr>
        <w:trPr>
          <w:trHeight w:val="225"/>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批准终止日期</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4"/>
              </w:rPr>
              <w:t>2085年10月30日</w:t>
            </w:r>
          </w:p>
        </w:tc>
      </w:tr>
      <w:tr>
        <w:trPr>
          <w:trHeight w:val="369"/>
          <w:jc w:val="center"/>
        </w:trPr>
        <w:tc>
          <w:tcPr>
            <w:tcW w:w="1142" w:type="pct"/>
            <w:vMerge w:val="restart"/>
            <w:shd w:val="clear" w:color="auto" w:fill="auto"/>
            <w:vAlign w:val="center"/>
          </w:tcPr>
          <w:p>
            <w:pPr>
              <w:ind w:right="-108"/>
              <w:jc w:val="both"/>
              <w:rPr>
                <w:rFonts w:ascii="仿宋_GB2312" w:eastAsia="仿宋_GB2312" w:hAnsi="Arial Narrow"/>
                <w:sz w:val="22"/>
                <w:szCs w:val="22"/>
              </w:rPr>
            </w:pPr>
            <w:r>
              <w:rPr>
                <w:rFonts w:ascii="仿宋_GB2312" w:eastAsia="仿宋_GB2312" w:hAnsi="Arial Narrow" w:hint="eastAsia"/>
                <w:sz w:val="22"/>
                <w:szCs w:val="22"/>
              </w:rPr>
              <w:t>房屋状况</w:t>
            </w: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批准房屋用途</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住宅</w:t>
            </w:r>
          </w:p>
        </w:tc>
      </w:tr>
      <w:tr>
        <w:trPr>
          <w:trHeight w:val="369"/>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建筑面积</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124.33平方米</w:t>
            </w:r>
          </w:p>
        </w:tc>
      </w:tr>
      <w:tr>
        <w:trPr>
          <w:trHeight w:val="165"/>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总层数</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32</w:t>
            </w:r>
          </w:p>
        </w:tc>
      </w:tr>
      <w:tr>
        <w:trPr>
          <w:trHeight w:val="369"/>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室号或部位</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901</w:t>
            </w:r>
          </w:p>
        </w:tc>
      </w:tr>
      <w:tr>
        <w:trPr>
          <w:trHeight w:val="369"/>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建筑结构</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钢混结构</w:t>
            </w:r>
          </w:p>
        </w:tc>
      </w:tr>
      <w:tr>
        <w:trPr>
          <w:trHeight w:val="369"/>
          <w:jc w:val="center"/>
        </w:trPr>
        <w:tc>
          <w:tcPr>
            <w:tcW w:w="1142" w:type="pct"/>
            <w:vMerge/>
            <w:shd w:val="clear" w:color="auto" w:fill="auto"/>
            <w:vAlign w:val="center"/>
          </w:tcPr>
          <w:p>
            <w:pPr>
              <w:ind w:right="-108"/>
              <w:jc w:val="both"/>
              <w:rPr>
                <w:rFonts w:ascii="仿宋_GB2312" w:eastAsia="仿宋_GB2312" w:hAnsi="Arial Narrow"/>
                <w:sz w:val="22"/>
                <w:szCs w:val="22"/>
              </w:rPr>
            </w:pPr>
          </w:p>
        </w:tc>
        <w:tc>
          <w:tcPr>
            <w:tcW w:w="1320"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建成年份</w:t>
            </w:r>
          </w:p>
        </w:tc>
        <w:tc>
          <w:tcPr>
            <w:tcW w:w="2538" w:type="pct"/>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themeColor="text1"/>
                <w:sz w:val="22"/>
                <w:szCs w:val="22"/>
              </w:rPr>
              <w:t>据调查了解，</w:t>
            </w:r>
            <w:proofErr w:type="gramStart"/>
            <w:r>
              <w:rPr>
                <w:rFonts w:ascii="仿宋_GB2312" w:eastAsia="仿宋_GB2312" w:hAnsi="宋体" w:hint="eastAsia"/>
                <w:color w:val="000000" w:themeColor="text1"/>
                <w:sz w:val="22"/>
                <w:szCs w:val="22"/>
              </w:rPr>
              <w:t>约建成</w:t>
            </w:r>
            <w:proofErr w:type="gramEnd"/>
            <w:r>
              <w:rPr>
                <w:rFonts w:ascii="仿宋_GB2312" w:eastAsia="仿宋_GB2312" w:hAnsi="宋体" w:hint="eastAsia"/>
                <w:color w:val="000000" w:themeColor="text1"/>
                <w:sz w:val="22"/>
                <w:szCs w:val="22"/>
              </w:rPr>
              <w:t>于2019年</w:t>
            </w:r>
          </w:p>
        </w:tc>
      </w:tr>
    </w:tbl>
    <w:p>
      <w:pPr>
        <w:spacing w:line="400" w:lineRule="exact"/>
        <w:ind w:firstLineChars="225" w:firstLine="540"/>
        <w:rPr>
          <w:rFonts w:ascii="仿宋_GB2312" w:eastAsia="仿宋_GB2312" w:hAnsi="Arial Narrow"/>
          <w:sz w:val="24"/>
        </w:rPr>
      </w:pPr>
      <w:r>
        <w:rPr>
          <w:rFonts w:ascii="仿宋_GB2312" w:eastAsia="仿宋_GB2312" w:hAnsi="Arial Narrow" w:hint="eastAsia"/>
          <w:sz w:val="24"/>
        </w:rPr>
        <w:t>（三）土地基本状况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1"/>
        <w:gridCol w:w="1410"/>
        <w:gridCol w:w="1767"/>
        <w:gridCol w:w="1767"/>
        <w:gridCol w:w="1769"/>
      </w:tblGrid>
      <w:tr>
        <w:trPr>
          <w:trHeight w:val="454"/>
          <w:jc w:val="center"/>
        </w:trPr>
        <w:tc>
          <w:tcPr>
            <w:tcW w:w="1201" w:type="pct"/>
            <w:vMerge w:val="restar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四至</w:t>
            </w:r>
          </w:p>
        </w:tc>
        <w:tc>
          <w:tcPr>
            <w:tcW w:w="798"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东至</w:t>
            </w:r>
          </w:p>
        </w:tc>
        <w:tc>
          <w:tcPr>
            <w:tcW w:w="1000"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站前大道</w:t>
            </w:r>
          </w:p>
        </w:tc>
        <w:tc>
          <w:tcPr>
            <w:tcW w:w="1000"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西至</w:t>
            </w:r>
          </w:p>
        </w:tc>
        <w:tc>
          <w:tcPr>
            <w:tcW w:w="1001"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五号路、泉州实验中学鲤城附属学校</w:t>
            </w:r>
          </w:p>
        </w:tc>
      </w:tr>
      <w:tr>
        <w:trPr>
          <w:trHeight w:val="454"/>
          <w:jc w:val="center"/>
        </w:trPr>
        <w:tc>
          <w:tcPr>
            <w:tcW w:w="1201" w:type="pct"/>
            <w:vMerge/>
            <w:shd w:val="clear" w:color="auto" w:fill="auto"/>
            <w:vAlign w:val="center"/>
          </w:tcPr>
          <w:p>
            <w:pPr>
              <w:jc w:val="both"/>
              <w:rPr>
                <w:rFonts w:ascii="仿宋_GB2312" w:eastAsia="仿宋_GB2312" w:hAnsi="Arial Narrow"/>
                <w:sz w:val="22"/>
                <w:szCs w:val="22"/>
              </w:rPr>
            </w:pPr>
          </w:p>
        </w:tc>
        <w:tc>
          <w:tcPr>
            <w:tcW w:w="798"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南至</w:t>
            </w:r>
          </w:p>
        </w:tc>
        <w:tc>
          <w:tcPr>
            <w:tcW w:w="1000"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田中东路</w:t>
            </w:r>
          </w:p>
        </w:tc>
        <w:tc>
          <w:tcPr>
            <w:tcW w:w="1000"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北至</w:t>
            </w:r>
          </w:p>
        </w:tc>
        <w:tc>
          <w:tcPr>
            <w:tcW w:w="1001" w:type="pct"/>
            <w:shd w:val="clear" w:color="auto" w:fill="auto"/>
            <w:vAlign w:val="center"/>
          </w:tcPr>
          <w:p>
            <w:pPr>
              <w:jc w:val="center"/>
              <w:rPr>
                <w:rFonts w:ascii="仿宋_GB2312" w:eastAsia="仿宋_GB2312" w:hAnsi="宋体"/>
                <w:sz w:val="22"/>
                <w:szCs w:val="22"/>
              </w:rPr>
            </w:pPr>
            <w:r>
              <w:rPr>
                <w:rFonts w:ascii="仿宋_GB2312" w:eastAsia="仿宋_GB2312" w:hAnsi="宋体" w:hint="eastAsia"/>
                <w:sz w:val="22"/>
                <w:szCs w:val="22"/>
              </w:rPr>
              <w:t>一号路</w:t>
            </w:r>
          </w:p>
        </w:tc>
      </w:tr>
      <w:tr>
        <w:trPr>
          <w:trHeight w:val="454"/>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形状</w:t>
            </w:r>
          </w:p>
        </w:tc>
        <w:tc>
          <w:tcPr>
            <w:tcW w:w="3799" w:type="pct"/>
            <w:gridSpan w:val="4"/>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themeColor="text1"/>
                <w:sz w:val="22"/>
                <w:szCs w:val="22"/>
              </w:rPr>
              <w:t>形状呈长方形，形状较规则</w:t>
            </w:r>
          </w:p>
        </w:tc>
      </w:tr>
      <w:tr>
        <w:trPr>
          <w:trHeight w:val="680"/>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土地使用期限</w:t>
            </w:r>
          </w:p>
        </w:tc>
        <w:tc>
          <w:tcPr>
            <w:tcW w:w="3799" w:type="pct"/>
            <w:gridSpan w:val="4"/>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2085年10月30日止（土地使用权剩余期限为64.18年）</w:t>
            </w:r>
          </w:p>
        </w:tc>
      </w:tr>
      <w:tr>
        <w:trPr>
          <w:trHeight w:val="454"/>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规划条件</w:t>
            </w:r>
          </w:p>
        </w:tc>
        <w:tc>
          <w:tcPr>
            <w:tcW w:w="3799" w:type="pct"/>
            <w:gridSpan w:val="4"/>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小区土地用途为居住，宗地面积为55153.40平方米</w:t>
            </w:r>
          </w:p>
        </w:tc>
      </w:tr>
      <w:tr>
        <w:trPr>
          <w:trHeight w:val="1021"/>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开发程度</w:t>
            </w:r>
          </w:p>
        </w:tc>
        <w:tc>
          <w:tcPr>
            <w:tcW w:w="3799" w:type="pct"/>
            <w:gridSpan w:val="4"/>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themeColor="text1"/>
                <w:sz w:val="22"/>
                <w:szCs w:val="22"/>
              </w:rPr>
              <w:t>土地开发程度达到红线内“六通一平”(即通上水、通下水、通路、通电、通燃气、通讯及场地平整)，红线外达到“六通”(即通上水、通下水、通路、通电、通燃气、通讯)</w:t>
            </w:r>
          </w:p>
        </w:tc>
      </w:tr>
    </w:tbl>
    <w:p>
      <w:pPr>
        <w:spacing w:line="400" w:lineRule="exact"/>
        <w:ind w:firstLineChars="225" w:firstLine="540"/>
        <w:rPr>
          <w:rFonts w:ascii="仿宋_GB2312" w:eastAsia="仿宋_GB2312" w:hAnsi="Arial Narrow"/>
          <w:sz w:val="24"/>
        </w:rPr>
      </w:pPr>
      <w:r>
        <w:rPr>
          <w:rFonts w:ascii="仿宋_GB2312" w:eastAsia="仿宋_GB2312" w:hAnsi="Arial Narrow" w:hint="eastAsia"/>
          <w:sz w:val="24"/>
        </w:rPr>
        <w:t>（四）建筑物基本状况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6712"/>
      </w:tblGrid>
      <w:tr>
        <w:trPr>
          <w:trHeight w:val="253"/>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建筑结构</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themeColor="text1"/>
                <w:sz w:val="22"/>
                <w:szCs w:val="22"/>
              </w:rPr>
              <w:t>钢混结构</w:t>
            </w:r>
          </w:p>
        </w:tc>
      </w:tr>
      <w:tr>
        <w:trPr>
          <w:trHeight w:val="359"/>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设施设备</w:t>
            </w:r>
          </w:p>
        </w:tc>
        <w:tc>
          <w:tcPr>
            <w:tcW w:w="3799" w:type="pct"/>
            <w:shd w:val="clear" w:color="auto" w:fill="auto"/>
            <w:vAlign w:val="center"/>
          </w:tcPr>
          <w:p>
            <w:pPr>
              <w:jc w:val="both"/>
              <w:rPr>
                <w:rFonts w:ascii="仿宋_GB2312" w:eastAsia="仿宋_GB2312" w:hAnsi="宋体"/>
                <w:color w:val="000000" w:themeColor="text1"/>
                <w:sz w:val="22"/>
                <w:szCs w:val="22"/>
              </w:rPr>
            </w:pPr>
            <w:r>
              <w:rPr>
                <w:rFonts w:ascii="仿宋_GB2312" w:eastAsia="仿宋_GB2312" w:hAnsi="宋体" w:hint="eastAsia"/>
                <w:color w:val="000000" w:themeColor="text1"/>
                <w:sz w:val="22"/>
                <w:szCs w:val="22"/>
              </w:rPr>
              <w:t>建筑物配二部电梯带步行楼梯，估价对象水、电、燃气、通讯、消防等设施设备齐全</w:t>
            </w:r>
          </w:p>
        </w:tc>
      </w:tr>
      <w:tr>
        <w:trPr>
          <w:trHeight w:val="265"/>
          <w:jc w:val="center"/>
        </w:trPr>
        <w:tc>
          <w:tcPr>
            <w:tcW w:w="1201" w:type="pct"/>
            <w:vMerge w:val="restar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装饰装修</w:t>
            </w:r>
          </w:p>
        </w:tc>
        <w:tc>
          <w:tcPr>
            <w:tcW w:w="3799" w:type="pct"/>
            <w:shd w:val="clear" w:color="auto" w:fill="auto"/>
            <w:vAlign w:val="center"/>
          </w:tcPr>
          <w:p>
            <w:pPr>
              <w:spacing w:line="400" w:lineRule="exact"/>
              <w:jc w:val="both"/>
              <w:rPr>
                <w:rFonts w:ascii="仿宋_GB2312" w:eastAsia="仿宋_GB2312" w:hAnsi="Arial Narrow"/>
                <w:sz w:val="22"/>
                <w:szCs w:val="22"/>
              </w:rPr>
            </w:pPr>
            <w:r>
              <w:rPr>
                <w:rFonts w:ascii="仿宋_GB2312" w:eastAsia="仿宋_GB2312" w:hAnsi="Arial Narrow" w:hint="eastAsia"/>
                <w:sz w:val="22"/>
                <w:szCs w:val="22"/>
              </w:rPr>
              <w:t>建筑物外墙面为</w:t>
            </w:r>
            <w:r>
              <w:rPr>
                <w:rFonts w:ascii="仿宋_GB2312" w:eastAsia="仿宋_GB2312" w:hAnsi="宋体" w:hint="eastAsia"/>
                <w:color w:val="000000" w:themeColor="text1"/>
                <w:sz w:val="22"/>
                <w:szCs w:val="22"/>
              </w:rPr>
              <w:t>墙砖饰面</w:t>
            </w:r>
          </w:p>
        </w:tc>
      </w:tr>
      <w:tr>
        <w:trPr>
          <w:trHeight w:val="454"/>
          <w:jc w:val="center"/>
        </w:trPr>
        <w:tc>
          <w:tcPr>
            <w:tcW w:w="1201" w:type="pct"/>
            <w:vMerge/>
            <w:shd w:val="clear" w:color="auto" w:fill="auto"/>
            <w:vAlign w:val="center"/>
          </w:tcPr>
          <w:p>
            <w:pPr>
              <w:jc w:val="both"/>
              <w:rPr>
                <w:rFonts w:ascii="仿宋_GB2312" w:eastAsia="仿宋_GB2312" w:hAnsi="Arial Narrow"/>
                <w:sz w:val="22"/>
                <w:szCs w:val="22"/>
              </w:rPr>
            </w:pP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估价对象室内装修如下：入户门为防盗门，铝合金窗，</w:t>
            </w:r>
            <w:r>
              <w:rPr>
                <w:rFonts w:ascii="仿宋_GB2312" w:eastAsia="仿宋_GB2312" w:hAnsi="宋体" w:hint="eastAsia"/>
                <w:color w:val="000000" w:themeColor="text1"/>
                <w:sz w:val="22"/>
                <w:szCs w:val="22"/>
              </w:rPr>
              <w:t>毛坯</w:t>
            </w:r>
            <w:proofErr w:type="gramStart"/>
            <w:r>
              <w:rPr>
                <w:rFonts w:ascii="仿宋_GB2312" w:eastAsia="仿宋_GB2312" w:hAnsi="宋体" w:hint="eastAsia"/>
                <w:color w:val="000000" w:themeColor="text1"/>
                <w:sz w:val="22"/>
                <w:szCs w:val="22"/>
              </w:rPr>
              <w:t>房状态</w:t>
            </w:r>
            <w:proofErr w:type="gramEnd"/>
          </w:p>
        </w:tc>
      </w:tr>
      <w:tr>
        <w:trPr>
          <w:trHeight w:val="385"/>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建成时间</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sz w:val="22"/>
                <w:szCs w:val="22"/>
              </w:rPr>
              <w:t>据调查了解，</w:t>
            </w:r>
            <w:proofErr w:type="gramStart"/>
            <w:r>
              <w:rPr>
                <w:rFonts w:ascii="仿宋_GB2312" w:eastAsia="仿宋_GB2312" w:hAnsi="宋体" w:hint="eastAsia"/>
                <w:color w:val="000000"/>
                <w:sz w:val="22"/>
                <w:szCs w:val="22"/>
              </w:rPr>
              <w:t>约建成</w:t>
            </w:r>
            <w:proofErr w:type="gramEnd"/>
            <w:r>
              <w:rPr>
                <w:rFonts w:ascii="仿宋_GB2312" w:eastAsia="仿宋_GB2312" w:hAnsi="宋体" w:hint="eastAsia"/>
                <w:color w:val="000000"/>
                <w:sz w:val="22"/>
                <w:szCs w:val="22"/>
              </w:rPr>
              <w:t>于2019年</w:t>
            </w:r>
          </w:p>
        </w:tc>
      </w:tr>
      <w:tr>
        <w:trPr>
          <w:trHeight w:val="255"/>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户型</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户型为：3房2厅1厨2卫2阳台</w:t>
            </w:r>
          </w:p>
        </w:tc>
      </w:tr>
      <w:tr>
        <w:trPr>
          <w:trHeight w:val="454"/>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维护状况</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于实地查勘之日，</w:t>
            </w:r>
            <w:proofErr w:type="gramStart"/>
            <w:r>
              <w:rPr>
                <w:rFonts w:ascii="仿宋_GB2312" w:eastAsia="仿宋_GB2312" w:hAnsi="Arial Narrow" w:hint="eastAsia"/>
                <w:sz w:val="22"/>
                <w:szCs w:val="22"/>
              </w:rPr>
              <w:t>委估对象水</w:t>
            </w:r>
            <w:proofErr w:type="gramEnd"/>
            <w:r>
              <w:rPr>
                <w:rFonts w:ascii="仿宋_GB2312" w:eastAsia="仿宋_GB2312" w:hAnsi="Arial Narrow" w:hint="eastAsia"/>
                <w:sz w:val="22"/>
                <w:szCs w:val="22"/>
              </w:rPr>
              <w:t>、电、燃气等设施齐全，使用正常</w:t>
            </w:r>
          </w:p>
        </w:tc>
      </w:tr>
      <w:tr>
        <w:trPr>
          <w:trHeight w:val="454"/>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层高</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约</w:t>
            </w:r>
            <w:r>
              <w:rPr>
                <w:rFonts w:ascii="仿宋_GB2312" w:eastAsia="仿宋_GB2312" w:hAnsi="Arial Narrow"/>
                <w:sz w:val="22"/>
                <w:szCs w:val="22"/>
              </w:rPr>
              <w:t>3米</w:t>
            </w:r>
          </w:p>
        </w:tc>
      </w:tr>
      <w:tr>
        <w:trPr>
          <w:trHeight w:val="454"/>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楼层</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位于第9层，总层数32层</w:t>
            </w:r>
          </w:p>
        </w:tc>
      </w:tr>
      <w:tr>
        <w:trPr>
          <w:trHeight w:val="342"/>
          <w:jc w:val="center"/>
        </w:trPr>
        <w:tc>
          <w:tcPr>
            <w:tcW w:w="1201" w:type="pct"/>
            <w:shd w:val="clear" w:color="auto" w:fill="auto"/>
            <w:vAlign w:val="center"/>
          </w:tcPr>
          <w:p>
            <w:pPr>
              <w:jc w:val="both"/>
              <w:rPr>
                <w:rFonts w:ascii="仿宋_GB2312" w:eastAsia="仿宋_GB2312" w:hAnsi="Arial Narrow"/>
                <w:sz w:val="22"/>
                <w:szCs w:val="22"/>
              </w:rPr>
            </w:pPr>
            <w:r>
              <w:rPr>
                <w:rFonts w:ascii="仿宋_GB2312" w:eastAsia="仿宋_GB2312" w:hAnsi="Arial Narrow" w:hint="eastAsia"/>
                <w:sz w:val="22"/>
                <w:szCs w:val="22"/>
              </w:rPr>
              <w:t>朝向</w:t>
            </w:r>
          </w:p>
        </w:tc>
        <w:tc>
          <w:tcPr>
            <w:tcW w:w="3799" w:type="pct"/>
            <w:shd w:val="clear" w:color="auto" w:fill="auto"/>
            <w:vAlign w:val="center"/>
          </w:tcPr>
          <w:p>
            <w:pPr>
              <w:jc w:val="both"/>
              <w:rPr>
                <w:rFonts w:ascii="仿宋_GB2312" w:eastAsia="仿宋_GB2312" w:hAnsi="Arial Narrow"/>
                <w:sz w:val="22"/>
                <w:szCs w:val="22"/>
              </w:rPr>
            </w:pPr>
            <w:r>
              <w:rPr>
                <w:rFonts w:ascii="仿宋_GB2312" w:eastAsia="仿宋_GB2312" w:hAnsi="宋体" w:hint="eastAsia"/>
                <w:color w:val="000000" w:themeColor="text1"/>
                <w:sz w:val="22"/>
                <w:szCs w:val="22"/>
              </w:rPr>
              <w:t>南北</w:t>
            </w:r>
          </w:p>
        </w:tc>
      </w:tr>
    </w:tbl>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24" w:name="_Toc18005491"/>
      <w:r>
        <w:rPr>
          <w:rFonts w:ascii="仿宋_GB2312" w:eastAsia="仿宋_GB2312" w:hAnsi="Arial Narrow" w:hint="eastAsia"/>
          <w:bCs w:val="0"/>
          <w:kern w:val="0"/>
          <w:sz w:val="24"/>
          <w:szCs w:val="20"/>
        </w:rPr>
        <w:t>五、价值时点：</w:t>
      </w:r>
      <w:bookmarkEnd w:id="24"/>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2021年09月09日（实地查勘日）。</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25" w:name="_Toc18005492"/>
      <w:bookmarkStart w:id="26" w:name="_Toc133384820"/>
      <w:bookmarkStart w:id="27" w:name="_Toc256581901"/>
      <w:bookmarkStart w:id="28" w:name="_Toc146963125"/>
      <w:r>
        <w:rPr>
          <w:rFonts w:ascii="仿宋_GB2312" w:eastAsia="仿宋_GB2312" w:hAnsi="Arial Narrow" w:hint="eastAsia"/>
          <w:bCs w:val="0"/>
          <w:kern w:val="0"/>
          <w:sz w:val="24"/>
          <w:szCs w:val="20"/>
        </w:rPr>
        <w:t>六、价值类型：</w:t>
      </w:r>
      <w:bookmarkEnd w:id="25"/>
    </w:p>
    <w:p>
      <w:pPr>
        <w:spacing w:line="360" w:lineRule="auto"/>
        <w:ind w:firstLineChars="200" w:firstLine="480"/>
        <w:jc w:val="both"/>
        <w:rPr>
          <w:rFonts w:ascii="仿宋_GB2312" w:eastAsia="仿宋_GB2312" w:hAnsi="Arial Narrow"/>
          <w:kern w:val="0"/>
          <w:sz w:val="24"/>
          <w:szCs w:val="20"/>
        </w:rPr>
      </w:pPr>
      <w:r>
        <w:rPr>
          <w:rFonts w:ascii="仿宋_GB2312" w:eastAsia="仿宋_GB2312" w:hAnsi="Arial Narrow" w:hint="eastAsia"/>
          <w:kern w:val="0"/>
          <w:sz w:val="24"/>
          <w:szCs w:val="20"/>
        </w:rPr>
        <w:t>1、价值类型</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本次估价的价值类型为市场价值。</w:t>
      </w:r>
    </w:p>
    <w:p>
      <w:pPr>
        <w:spacing w:line="360" w:lineRule="auto"/>
        <w:ind w:firstLineChars="200" w:firstLine="480"/>
        <w:jc w:val="both"/>
        <w:rPr>
          <w:rFonts w:ascii="仿宋_GB2312" w:eastAsia="仿宋_GB2312" w:hAnsi="Arial Narrow"/>
          <w:kern w:val="0"/>
          <w:sz w:val="24"/>
          <w:szCs w:val="20"/>
        </w:rPr>
      </w:pPr>
      <w:r>
        <w:rPr>
          <w:rFonts w:ascii="仿宋_GB2312" w:eastAsia="仿宋_GB2312" w:hAnsi="Arial Narrow" w:hint="eastAsia"/>
          <w:kern w:val="0"/>
          <w:sz w:val="24"/>
          <w:szCs w:val="20"/>
        </w:rPr>
        <w:t>2、价值定义</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市场价值是估价对象经适当营销后，由熟悉情况、谨慎行事且不受强迫的交易双方，以公平交易方式在价值时点自愿进行交易的金额。</w:t>
      </w:r>
    </w:p>
    <w:p>
      <w:pPr>
        <w:spacing w:line="360" w:lineRule="auto"/>
        <w:ind w:firstLineChars="200" w:firstLine="480"/>
        <w:jc w:val="both"/>
        <w:rPr>
          <w:rFonts w:ascii="仿宋_GB2312" w:eastAsia="仿宋_GB2312" w:hAnsi="Arial Narrow"/>
          <w:kern w:val="0"/>
          <w:sz w:val="24"/>
          <w:szCs w:val="20"/>
        </w:rPr>
      </w:pPr>
      <w:r>
        <w:rPr>
          <w:rFonts w:ascii="仿宋_GB2312" w:eastAsia="仿宋_GB2312" w:hAnsi="Arial Narrow" w:hint="eastAsia"/>
          <w:kern w:val="0"/>
          <w:sz w:val="24"/>
          <w:szCs w:val="20"/>
        </w:rPr>
        <w:lastRenderedPageBreak/>
        <w:t>3、价值内涵</w:t>
      </w:r>
    </w:p>
    <w:p>
      <w:pPr>
        <w:pStyle w:val="ad"/>
        <w:spacing w:before="0" w:after="0" w:line="360" w:lineRule="auto"/>
        <w:ind w:firstLineChars="200" w:firstLine="480"/>
        <w:jc w:val="both"/>
        <w:outlineLvl w:val="9"/>
        <w:rPr>
          <w:rFonts w:ascii="仿宋_GB2312" w:eastAsia="仿宋_GB2312" w:hAnsi="Arial Narrow"/>
          <w:b w:val="0"/>
          <w:bCs w:val="0"/>
          <w:kern w:val="2"/>
          <w:sz w:val="24"/>
          <w:szCs w:val="24"/>
        </w:rPr>
      </w:pPr>
      <w:bookmarkStart w:id="29" w:name="_Toc18005493"/>
      <w:r>
        <w:rPr>
          <w:rFonts w:ascii="仿宋_GB2312" w:eastAsia="仿宋_GB2312" w:hAnsi="Arial Narrow" w:hint="eastAsia"/>
          <w:b w:val="0"/>
          <w:bCs w:val="0"/>
          <w:kern w:val="2"/>
          <w:sz w:val="24"/>
          <w:szCs w:val="24"/>
        </w:rPr>
        <w:t>指估价对象在价值时点，且满足本次估价的假设和限制条件下，包括建筑物、分摊的土地使用权（含土地出让金）及配套设施的价值；不包括动产、债权债务、特许经营权等其他财产或权益；付款方式是一次性付清房价款；交易税费负担方式为法律法规规定的方式；房屋面积内涵为建筑面积；开发程度为现房，具备“六通”。</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r>
        <w:rPr>
          <w:rFonts w:ascii="仿宋_GB2312" w:eastAsia="仿宋_GB2312" w:hAnsi="Arial Narrow" w:hint="eastAsia"/>
          <w:bCs w:val="0"/>
          <w:kern w:val="0"/>
          <w:sz w:val="24"/>
          <w:szCs w:val="20"/>
        </w:rPr>
        <w:t>七、估价原则：</w:t>
      </w:r>
      <w:bookmarkEnd w:id="29"/>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本次估价遵循了以下原则：</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bCs/>
          <w:sz w:val="24"/>
        </w:rPr>
        <w:t>1、</w:t>
      </w:r>
      <w:r>
        <w:rPr>
          <w:rFonts w:ascii="仿宋_GB2312" w:eastAsia="仿宋_GB2312" w:hAnsi="Arial Narrow" w:hint="eastAsia"/>
          <w:sz w:val="24"/>
        </w:rPr>
        <w:t>合法原则：即以估价对象的合法使用、合法处分为前提进行估价；</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2、最高最佳使用原则：估价对象在保持现状前提下其法定用途为住宅，实际用途为住宅，即为其最高最佳使用；</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3、替代原则：即估价结果不得明显偏离类似房地产在同等条件下正常价格；</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4、价值时点原则：即估价结果应是估价对象在价值时点的客观价格或价值；</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5、独立、客观、公正原则：遵循独立、客观、公正原则，要求估价机构和估价师应站在中立的立场上实事求是、公平正直地评估出对各方估价利害关系人均是公平合理的价值。</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30" w:name="_Toc18005494"/>
      <w:r>
        <w:rPr>
          <w:rFonts w:ascii="仿宋_GB2312" w:eastAsia="仿宋_GB2312" w:hAnsi="Arial Narrow" w:hint="eastAsia"/>
          <w:bCs w:val="0"/>
          <w:kern w:val="0"/>
          <w:sz w:val="24"/>
          <w:szCs w:val="20"/>
        </w:rPr>
        <w:t>八、估价依据：</w:t>
      </w:r>
      <w:bookmarkEnd w:id="30"/>
    </w:p>
    <w:p>
      <w:pPr>
        <w:pStyle w:val="XBT"/>
        <w:spacing w:before="0" w:after="0" w:line="360" w:lineRule="auto"/>
        <w:ind w:firstLineChars="200" w:firstLine="480"/>
        <w:jc w:val="both"/>
        <w:rPr>
          <w:rFonts w:ascii="仿宋_GB2312" w:eastAsia="仿宋_GB2312"/>
          <w:b w:val="0"/>
          <w:szCs w:val="24"/>
        </w:rPr>
      </w:pPr>
      <w:r>
        <w:rPr>
          <w:rFonts w:ascii="仿宋_GB2312" w:eastAsia="仿宋_GB2312" w:hint="eastAsia"/>
          <w:b w:val="0"/>
          <w:szCs w:val="24"/>
        </w:rPr>
        <w:t>1、本次估价所依据的有关法律、法规和政策文件</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w:t>
      </w:r>
      <w:r>
        <w:rPr>
          <w:rFonts w:ascii="仿宋_GB2312" w:eastAsia="仿宋_GB2312" w:hAnsi="Arial Narrow"/>
          <w:sz w:val="24"/>
        </w:rPr>
        <w:t>1</w:t>
      </w:r>
      <w:r>
        <w:rPr>
          <w:rFonts w:ascii="仿宋_GB2312" w:eastAsia="仿宋_GB2312" w:hAnsi="Arial Narrow" w:hint="eastAsia"/>
          <w:sz w:val="24"/>
        </w:rPr>
        <w:t>）《中华人民共和国城市房地产管理法》（</w:t>
      </w:r>
      <w:r>
        <w:rPr>
          <w:rFonts w:ascii="仿宋_GB2312" w:eastAsia="仿宋_GB2312" w:hAnsi="Arial Narrow"/>
          <w:sz w:val="24"/>
        </w:rPr>
        <w:t>2019</w:t>
      </w:r>
      <w:r>
        <w:rPr>
          <w:rFonts w:ascii="仿宋_GB2312" w:eastAsia="仿宋_GB2312" w:hAnsi="Arial Narrow" w:hint="eastAsia"/>
          <w:sz w:val="24"/>
        </w:rPr>
        <w:t>年</w:t>
      </w:r>
      <w:r>
        <w:rPr>
          <w:rFonts w:ascii="仿宋_GB2312" w:eastAsia="仿宋_GB2312" w:hAnsi="Arial Narrow"/>
          <w:sz w:val="24"/>
        </w:rPr>
        <w:t>8</w:t>
      </w:r>
      <w:r>
        <w:rPr>
          <w:rFonts w:ascii="仿宋_GB2312" w:eastAsia="仿宋_GB2312" w:hAnsi="Arial Narrow" w:hint="eastAsia"/>
          <w:sz w:val="24"/>
        </w:rPr>
        <w:t>月</w:t>
      </w:r>
      <w:r>
        <w:rPr>
          <w:rFonts w:ascii="仿宋_GB2312" w:eastAsia="仿宋_GB2312" w:hAnsi="Arial Narrow"/>
          <w:sz w:val="24"/>
        </w:rPr>
        <w:t>26</w:t>
      </w:r>
      <w:r>
        <w:rPr>
          <w:rFonts w:ascii="仿宋_GB2312" w:eastAsia="仿宋_GB2312" w:hAnsi="Arial Narrow" w:hint="eastAsia"/>
          <w:sz w:val="24"/>
        </w:rPr>
        <w:t>日第十三届全国人民代表大会常务委员会第十二次会议通过《关于修改〈中华人民共和国城市房地产管理法〉的决定》），自</w:t>
      </w:r>
      <w:r>
        <w:rPr>
          <w:rFonts w:ascii="仿宋_GB2312" w:eastAsia="仿宋_GB2312" w:hAnsi="Arial Narrow"/>
          <w:sz w:val="24"/>
        </w:rPr>
        <w:t>2020</w:t>
      </w:r>
      <w:r>
        <w:rPr>
          <w:rFonts w:ascii="仿宋_GB2312" w:eastAsia="仿宋_GB2312" w:hAnsi="Arial Narrow" w:hint="eastAsia"/>
          <w:sz w:val="24"/>
        </w:rPr>
        <w:t>年</w:t>
      </w:r>
      <w:r>
        <w:rPr>
          <w:rFonts w:ascii="仿宋_GB2312" w:eastAsia="仿宋_GB2312" w:hAnsi="Arial Narrow"/>
          <w:sz w:val="24"/>
        </w:rPr>
        <w:t>1</w:t>
      </w:r>
      <w:r>
        <w:rPr>
          <w:rFonts w:ascii="仿宋_GB2312" w:eastAsia="仿宋_GB2312" w:hAnsi="Arial Narrow" w:hint="eastAsia"/>
          <w:sz w:val="24"/>
        </w:rPr>
        <w:t>月</w:t>
      </w:r>
      <w:r>
        <w:rPr>
          <w:rFonts w:ascii="仿宋_GB2312" w:eastAsia="仿宋_GB2312" w:hAnsi="Arial Narrow"/>
          <w:sz w:val="24"/>
        </w:rPr>
        <w:t>1</w:t>
      </w:r>
      <w:r>
        <w:rPr>
          <w:rFonts w:ascii="仿宋_GB2312" w:eastAsia="仿宋_GB2312" w:hAnsi="Arial Narrow" w:hint="eastAsia"/>
          <w:sz w:val="24"/>
        </w:rPr>
        <w:t>日起施行；</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w:t>
      </w:r>
      <w:r>
        <w:rPr>
          <w:rFonts w:ascii="仿宋_GB2312" w:eastAsia="仿宋_GB2312" w:hAnsi="Arial Narrow"/>
          <w:sz w:val="24"/>
        </w:rPr>
        <w:t>2</w:t>
      </w:r>
      <w:r>
        <w:rPr>
          <w:rFonts w:ascii="仿宋_GB2312" w:eastAsia="仿宋_GB2312" w:hAnsi="Arial Narrow" w:hint="eastAsia"/>
          <w:sz w:val="24"/>
        </w:rPr>
        <w:t>）《中华人民共和国土地管理法》（</w:t>
      </w:r>
      <w:r>
        <w:rPr>
          <w:rFonts w:ascii="仿宋_GB2312" w:eastAsia="仿宋_GB2312" w:hAnsi="Arial Narrow"/>
          <w:sz w:val="24"/>
        </w:rPr>
        <w:t>2019</w:t>
      </w:r>
      <w:r>
        <w:rPr>
          <w:rFonts w:ascii="仿宋_GB2312" w:eastAsia="仿宋_GB2312" w:hAnsi="Arial Narrow" w:hint="eastAsia"/>
          <w:sz w:val="24"/>
        </w:rPr>
        <w:t>年</w:t>
      </w:r>
      <w:r>
        <w:rPr>
          <w:rFonts w:ascii="仿宋_GB2312" w:eastAsia="仿宋_GB2312" w:hAnsi="Arial Narrow"/>
          <w:sz w:val="24"/>
        </w:rPr>
        <w:t>8</w:t>
      </w:r>
      <w:r>
        <w:rPr>
          <w:rFonts w:ascii="仿宋_GB2312" w:eastAsia="仿宋_GB2312" w:hAnsi="Arial Narrow" w:hint="eastAsia"/>
          <w:sz w:val="24"/>
        </w:rPr>
        <w:t>月</w:t>
      </w:r>
      <w:r>
        <w:rPr>
          <w:rFonts w:ascii="仿宋_GB2312" w:eastAsia="仿宋_GB2312" w:hAnsi="Arial Narrow"/>
          <w:sz w:val="24"/>
        </w:rPr>
        <w:t>26</w:t>
      </w:r>
      <w:r>
        <w:rPr>
          <w:rFonts w:ascii="仿宋_GB2312" w:eastAsia="仿宋_GB2312" w:hAnsi="Arial Narrow" w:hint="eastAsia"/>
          <w:sz w:val="24"/>
        </w:rPr>
        <w:t>日第十三届全国人民代表大会常务委员会第十二次会议通过《关于修改〈中华人民共和国土地管理法〉的决定》），自</w:t>
      </w:r>
      <w:r>
        <w:rPr>
          <w:rFonts w:ascii="仿宋_GB2312" w:eastAsia="仿宋_GB2312" w:hAnsi="Arial Narrow"/>
          <w:sz w:val="24"/>
        </w:rPr>
        <w:t>2020</w:t>
      </w:r>
      <w:r>
        <w:rPr>
          <w:rFonts w:ascii="仿宋_GB2312" w:eastAsia="仿宋_GB2312" w:hAnsi="Arial Narrow" w:hint="eastAsia"/>
          <w:sz w:val="24"/>
        </w:rPr>
        <w:t>年</w:t>
      </w:r>
      <w:r>
        <w:rPr>
          <w:rFonts w:ascii="仿宋_GB2312" w:eastAsia="仿宋_GB2312" w:hAnsi="Arial Narrow"/>
          <w:sz w:val="24"/>
        </w:rPr>
        <w:t>1</w:t>
      </w:r>
      <w:r>
        <w:rPr>
          <w:rFonts w:ascii="仿宋_GB2312" w:eastAsia="仿宋_GB2312" w:hAnsi="Arial Narrow" w:hint="eastAsia"/>
          <w:sz w:val="24"/>
        </w:rPr>
        <w:t>月</w:t>
      </w:r>
      <w:r>
        <w:rPr>
          <w:rFonts w:ascii="仿宋_GB2312" w:eastAsia="仿宋_GB2312" w:hAnsi="Arial Narrow"/>
          <w:sz w:val="24"/>
        </w:rPr>
        <w:t>1</w:t>
      </w:r>
      <w:r>
        <w:rPr>
          <w:rFonts w:ascii="仿宋_GB2312" w:eastAsia="仿宋_GB2312" w:hAnsi="Arial Narrow" w:hint="eastAsia"/>
          <w:sz w:val="24"/>
        </w:rPr>
        <w:t>日起施行；</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3）《中华人民共和国城乡规划法》（中华人民共和国主席令第七十四号，2007年10月28日第十届全国人民代表大会常务委员会第三十次会议通过；2019年4月23日第十三届全国人民代表大会常务委员会第十次会议《关于修改〈中华人民共和国建筑法〉等八部法律的决定》第二次修正）；</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（4）《中华人民共和国城乡规划法》中华人民共和国主席令第二十九号，2019年4月23日第十三届全国人民代表大会常务委员会第十次会议第二次修正；</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（5）《中华人民共和国民法典》（2020年5月28日第十三届全国人民代表大会三次会议表决通过，自2021年1月1日起施行）；</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lastRenderedPageBreak/>
        <w:t>（6）《中华人民共和国资产评估法》（2016年7月2日第十二届全国人民代表大会常务委员会第二十一次会议通过，自2016年12月1日起施行）；</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 xml:space="preserve">（7）《最高人民法院关于人民法院委托评估、拍卖工作的若干规定》（法释【2011】21号）； </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（8）《福建省高级人民法院司法评估拍卖工作规定（试行）》（闽高法【2012】335号）。</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2、本次估价采用的技术规程及技术标准</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（1）中华人民共和国国家标准GB/T50291-2015《房地产估价规范》；</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（2）中华人民共和国国家标准GB/T50899-2013《房地产估价基本术语标准》；</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（3）中华人民共和国国家标准GB/T18508-2014《城镇土地估价规程》；</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（4）建设部《房屋完损等级评定标准》。</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3、估价委托人提供的有关资料</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（1）《福建省泉州市中级人民法院司法评估委托书》（（2021）闽05</w:t>
      </w:r>
      <w:proofErr w:type="gramStart"/>
      <w:r>
        <w:rPr>
          <w:rFonts w:ascii="仿宋_GB2312" w:eastAsia="仿宋_GB2312" w:hAnsi="Arial Narrow" w:hint="eastAsia"/>
          <w:sz w:val="24"/>
        </w:rPr>
        <w:t>委评54号</w:t>
      </w:r>
      <w:proofErr w:type="gramEnd"/>
      <w:r>
        <w:rPr>
          <w:rFonts w:ascii="仿宋_GB2312" w:eastAsia="仿宋_GB2312" w:hAnsi="Arial Narrow" w:hint="eastAsia"/>
          <w:sz w:val="24"/>
        </w:rPr>
        <w:t>）及其附件；</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（2）《泉州市商品房买卖合同（网上签约）登记备案申请表》及《商品房买卖合同》（合同编号：201806120142）。</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sz w:val="24"/>
        </w:rPr>
        <w:t>4、</w:t>
      </w:r>
      <w:r>
        <w:rPr>
          <w:rFonts w:ascii="仿宋_GB2312" w:eastAsia="仿宋_GB2312" w:hAnsi="Arial Narrow" w:hint="eastAsia"/>
          <w:kern w:val="0"/>
          <w:sz w:val="24"/>
        </w:rPr>
        <w:t>估价人员掌握和搜集的有关资料</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（1）评估基准日银行利息率；</w:t>
      </w:r>
    </w:p>
    <w:p>
      <w:pPr>
        <w:widowControl w:val="0"/>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（2）评估人员现场察勘、记录等；</w:t>
      </w:r>
    </w:p>
    <w:p>
      <w:pPr>
        <w:widowControl w:val="0"/>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kern w:val="0"/>
          <w:sz w:val="24"/>
        </w:rPr>
        <w:t>（3）有关询价资料和参数资料等厦门市大学</w:t>
      </w:r>
      <w:r>
        <w:rPr>
          <w:rFonts w:ascii="仿宋_GB2312" w:eastAsia="仿宋_GB2312" w:hAnsi="Arial Narrow" w:hint="eastAsia"/>
          <w:sz w:val="24"/>
        </w:rPr>
        <w:t>资产评估土地房地产估价有限责任公司</w:t>
      </w:r>
      <w:r>
        <w:rPr>
          <w:rFonts w:ascii="仿宋_GB2312" w:eastAsia="仿宋_GB2312" w:hAnsi="Arial Narrow" w:hint="eastAsia"/>
          <w:kern w:val="0"/>
          <w:sz w:val="24"/>
        </w:rPr>
        <w:t>收集的其他有关资料。</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31" w:name="_Toc18005495"/>
      <w:r>
        <w:rPr>
          <w:rFonts w:ascii="仿宋_GB2312" w:eastAsia="仿宋_GB2312" w:hAnsi="Arial Narrow" w:hint="eastAsia"/>
          <w:bCs w:val="0"/>
          <w:kern w:val="0"/>
          <w:sz w:val="24"/>
          <w:szCs w:val="20"/>
        </w:rPr>
        <w:t>九、估价方法：</w:t>
      </w:r>
      <w:bookmarkEnd w:id="31"/>
    </w:p>
    <w:p>
      <w:pPr>
        <w:autoSpaceDE w:val="0"/>
        <w:autoSpaceDN w:val="0"/>
        <w:adjustRightInd w:val="0"/>
        <w:spacing w:line="360" w:lineRule="auto"/>
        <w:ind w:firstLineChars="200" w:firstLine="480"/>
        <w:jc w:val="both"/>
        <w:rPr>
          <w:rFonts w:ascii="仿宋_GB2312" w:eastAsia="仿宋_GB2312" w:hAnsi="Arial Narrow" w:cs="仿宋_GB2312"/>
          <w:sz w:val="24"/>
          <w:lang w:val="zh-CN"/>
        </w:rPr>
      </w:pPr>
      <w:r>
        <w:rPr>
          <w:rFonts w:ascii="仿宋_GB2312" w:eastAsia="仿宋_GB2312" w:hAnsi="Arial Narrow" w:cs="仿宋_GB2312" w:hint="eastAsia"/>
          <w:sz w:val="24"/>
          <w:lang w:val="zh-CN"/>
        </w:rPr>
        <w:t>（一）估价方法的名称：比较法、收益法。</w:t>
      </w:r>
    </w:p>
    <w:p>
      <w:pPr>
        <w:autoSpaceDE w:val="0"/>
        <w:autoSpaceDN w:val="0"/>
        <w:adjustRightInd w:val="0"/>
        <w:spacing w:line="360" w:lineRule="auto"/>
        <w:ind w:firstLineChars="200" w:firstLine="480"/>
        <w:jc w:val="both"/>
        <w:rPr>
          <w:rFonts w:ascii="仿宋_GB2312" w:eastAsia="仿宋_GB2312" w:hAnsi="Arial Narrow" w:cs="仿宋_GB2312"/>
          <w:sz w:val="24"/>
          <w:lang w:val="zh-CN"/>
        </w:rPr>
      </w:pPr>
      <w:r>
        <w:rPr>
          <w:rFonts w:ascii="仿宋_GB2312" w:eastAsia="仿宋_GB2312" w:hAnsi="Arial Narrow" w:cs="仿宋_GB2312" w:hint="eastAsia"/>
          <w:sz w:val="24"/>
          <w:lang w:val="zh-CN"/>
        </w:rPr>
        <w:t>（二）估价方法的定义</w:t>
      </w:r>
    </w:p>
    <w:p>
      <w:pPr>
        <w:widowControl w:val="0"/>
        <w:autoSpaceDE w:val="0"/>
        <w:autoSpaceDN w:val="0"/>
        <w:adjustRightInd w:val="0"/>
        <w:spacing w:line="360" w:lineRule="auto"/>
        <w:ind w:firstLineChars="200" w:firstLine="480"/>
        <w:jc w:val="both"/>
        <w:rPr>
          <w:rFonts w:ascii="仿宋_GB2312" w:eastAsia="仿宋_GB2312" w:hAnsi="Arial Narrow" w:cs="仿宋_GB2312"/>
          <w:sz w:val="24"/>
          <w:lang w:val="zh-CN"/>
        </w:rPr>
      </w:pPr>
      <w:r>
        <w:rPr>
          <w:rFonts w:ascii="仿宋_GB2312" w:eastAsia="仿宋_GB2312" w:hAnsi="Arial Narrow" w:cs="仿宋_GB2312" w:hint="eastAsia"/>
          <w:sz w:val="24"/>
          <w:lang w:val="zh-CN"/>
        </w:rPr>
        <w:t>比较法：指将</w:t>
      </w:r>
      <w:proofErr w:type="gramStart"/>
      <w:r>
        <w:rPr>
          <w:rFonts w:ascii="仿宋_GB2312" w:eastAsia="仿宋_GB2312" w:hAnsi="Arial Narrow" w:cs="仿宋_GB2312" w:hint="eastAsia"/>
          <w:sz w:val="24"/>
          <w:lang w:val="zh-CN"/>
        </w:rPr>
        <w:t>待估对象</w:t>
      </w:r>
      <w:proofErr w:type="gramEnd"/>
      <w:r>
        <w:rPr>
          <w:rFonts w:ascii="仿宋_GB2312" w:eastAsia="仿宋_GB2312" w:hAnsi="Arial Narrow" w:cs="仿宋_GB2312" w:hint="eastAsia"/>
          <w:sz w:val="24"/>
          <w:lang w:val="zh-CN"/>
        </w:rPr>
        <w:t>房地产与在较近时期内已经发生了交易的类似房地产加以比较对照，从已经发生了交易的类似房地产的既知价格，通过交易情况修正、交易日期修正、区域因素修正和个别因素修正等，最后得出估价对象最可能实现的合理价格。</w:t>
      </w:r>
    </w:p>
    <w:p>
      <w:pPr>
        <w:autoSpaceDE w:val="0"/>
        <w:autoSpaceDN w:val="0"/>
        <w:adjustRightInd w:val="0"/>
        <w:spacing w:line="360" w:lineRule="auto"/>
        <w:ind w:firstLineChars="200" w:firstLine="480"/>
        <w:jc w:val="both"/>
        <w:rPr>
          <w:rFonts w:ascii="仿宋_GB2312" w:eastAsia="仿宋_GB2312" w:hAnsi="Arial Narrow" w:cs="仿宋_GB2312"/>
          <w:sz w:val="24"/>
          <w:lang w:val="zh-CN"/>
        </w:rPr>
      </w:pPr>
      <w:r>
        <w:rPr>
          <w:rFonts w:ascii="仿宋_GB2312" w:eastAsia="仿宋_GB2312" w:hAnsi="Arial Narrow" w:cs="仿宋_GB2312" w:hint="eastAsia"/>
          <w:sz w:val="24"/>
          <w:lang w:val="zh-CN"/>
        </w:rPr>
        <w:t>收益法：是指先求取估价对象未来的正常净收益，再选用适当的资本化率将其折现到价值时点后累加，以此估算估价对象客观合理价格或价值的方法。</w:t>
      </w:r>
    </w:p>
    <w:p>
      <w:pPr>
        <w:pStyle w:val="ad"/>
        <w:spacing w:before="0" w:after="0" w:line="360" w:lineRule="auto"/>
        <w:ind w:firstLineChars="200" w:firstLine="482"/>
        <w:jc w:val="both"/>
        <w:outlineLvl w:val="9"/>
        <w:rPr>
          <w:rFonts w:ascii="仿宋_GB2312" w:eastAsia="仿宋_GB2312" w:hAnsi="Arial Narrow"/>
          <w:bCs w:val="0"/>
          <w:kern w:val="0"/>
          <w:sz w:val="24"/>
          <w:szCs w:val="20"/>
        </w:rPr>
      </w:pPr>
      <w:bookmarkStart w:id="32" w:name="_Toc18005496"/>
      <w:r>
        <w:rPr>
          <w:rFonts w:ascii="仿宋_GB2312" w:eastAsia="仿宋_GB2312" w:hAnsi="Arial Narrow" w:hint="eastAsia"/>
          <w:bCs w:val="0"/>
          <w:kern w:val="0"/>
          <w:sz w:val="24"/>
          <w:szCs w:val="20"/>
        </w:rPr>
        <w:t>十、估价结果：</w:t>
      </w:r>
      <w:bookmarkEnd w:id="32"/>
    </w:p>
    <w:p>
      <w:pPr>
        <w:spacing w:line="360" w:lineRule="auto"/>
        <w:ind w:firstLine="482"/>
        <w:rPr>
          <w:rFonts w:ascii="仿宋_GB2312" w:eastAsia="仿宋_GB2312" w:hAnsi="Arial Narrow"/>
          <w:color w:val="000000"/>
          <w:sz w:val="24"/>
        </w:rPr>
      </w:pPr>
      <w:bookmarkStart w:id="33" w:name="_Toc380677791"/>
      <w:r>
        <w:rPr>
          <w:rFonts w:ascii="仿宋_GB2312" w:eastAsia="仿宋_GB2312" w:hAnsi="Arial Narrow" w:hint="eastAsia"/>
          <w:sz w:val="24"/>
        </w:rPr>
        <w:lastRenderedPageBreak/>
        <w:t>在公开市场和持续使用前提下，在本报告估价的假设和限制条件下，</w:t>
      </w:r>
      <w:bookmarkEnd w:id="33"/>
      <w:r>
        <w:rPr>
          <w:rFonts w:ascii="仿宋_GB2312" w:eastAsia="仿宋_GB2312" w:hAnsi="Arial Narrow" w:hint="eastAsia"/>
          <w:sz w:val="24"/>
        </w:rPr>
        <w:t>福建省泉州市中级人民法院委托评估的泉州市</w:t>
      </w:r>
      <w:proofErr w:type="gramStart"/>
      <w:r>
        <w:rPr>
          <w:rFonts w:ascii="仿宋_GB2312" w:eastAsia="仿宋_GB2312" w:hAnsi="Arial Narrow" w:hint="eastAsia"/>
          <w:sz w:val="24"/>
        </w:rPr>
        <w:t>鲤</w:t>
      </w:r>
      <w:proofErr w:type="gramEnd"/>
      <w:r>
        <w:rPr>
          <w:rFonts w:ascii="仿宋_GB2312" w:eastAsia="仿宋_GB2312" w:hAnsi="Arial Narrow" w:hint="eastAsia"/>
          <w:sz w:val="24"/>
        </w:rPr>
        <w:t>城区浮桥街道延陵社区</w:t>
      </w:r>
      <w:proofErr w:type="gramStart"/>
      <w:r>
        <w:rPr>
          <w:rFonts w:ascii="仿宋_GB2312" w:eastAsia="仿宋_GB2312" w:hAnsi="Arial Narrow" w:hint="eastAsia"/>
          <w:sz w:val="24"/>
        </w:rPr>
        <w:t>珑</w:t>
      </w:r>
      <w:proofErr w:type="gramEnd"/>
      <w:r>
        <w:rPr>
          <w:rFonts w:ascii="仿宋" w:eastAsia="仿宋" w:hAnsi="仿宋" w:cs="微软雅黑" w:hint="eastAsia"/>
          <w:sz w:val="24"/>
        </w:rPr>
        <w:t>玥</w:t>
      </w:r>
      <w:r>
        <w:rPr>
          <w:rFonts w:ascii="仿宋_GB2312" w:eastAsia="仿宋_GB2312" w:hAnsi="仿宋_GB2312" w:cs="仿宋_GB2312" w:hint="eastAsia"/>
          <w:sz w:val="24"/>
        </w:rPr>
        <w:t>湾二期项目</w:t>
      </w:r>
      <w:r>
        <w:rPr>
          <w:rFonts w:ascii="仿宋_GB2312" w:eastAsia="仿宋_GB2312" w:hAnsi="Arial Narrow" w:hint="eastAsia"/>
          <w:sz w:val="24"/>
        </w:rPr>
        <w:t>9号楼901住宅房地产的市场价值为</w:t>
      </w:r>
      <w:r>
        <w:rPr>
          <w:rFonts w:ascii="仿宋_GB2312" w:eastAsia="仿宋_GB2312" w:hAnsi="Arial Narrow" w:hint="eastAsia"/>
          <w:b/>
          <w:sz w:val="24"/>
        </w:rPr>
        <w:t>人民币</w:t>
      </w:r>
      <w:proofErr w:type="gramStart"/>
      <w:r>
        <w:rPr>
          <w:rFonts w:ascii="仿宋_GB2312" w:eastAsia="仿宋_GB2312" w:hAnsi="Arial Narrow" w:hint="eastAsia"/>
          <w:b/>
          <w:sz w:val="24"/>
        </w:rPr>
        <w:t>贰佰伍拾万零肆佰</w:t>
      </w:r>
      <w:proofErr w:type="gramEnd"/>
      <w:r>
        <w:rPr>
          <w:rFonts w:ascii="仿宋_GB2312" w:eastAsia="仿宋_GB2312" w:hAnsi="Arial Narrow" w:hint="eastAsia"/>
          <w:b/>
          <w:sz w:val="24"/>
        </w:rPr>
        <w:t>元整（RMB250.04万元）</w:t>
      </w:r>
      <w:r>
        <w:rPr>
          <w:rFonts w:ascii="仿宋_GB2312" w:eastAsia="仿宋_GB2312" w:hAnsi="Arial Narrow" w:hint="eastAsia"/>
          <w:sz w:val="24"/>
        </w:rPr>
        <w:t>，</w:t>
      </w:r>
      <w:r>
        <w:rPr>
          <w:rFonts w:ascii="仿宋_GB2312" w:eastAsia="仿宋_GB2312" w:hAnsi="Arial Narrow" w:hint="eastAsia"/>
          <w:bCs/>
          <w:sz w:val="24"/>
        </w:rPr>
        <w:t>评估单价为每平方米</w:t>
      </w:r>
      <w:r>
        <w:rPr>
          <w:rFonts w:ascii="仿宋_GB2312" w:eastAsia="仿宋_GB2312" w:hAnsi="Arial Narrow" w:hint="eastAsia"/>
          <w:b/>
          <w:bCs/>
          <w:sz w:val="24"/>
        </w:rPr>
        <w:t>人民币贰万零壹佰壹拾壹元整（RMB20111元/平方米）</w:t>
      </w:r>
      <w:r>
        <w:rPr>
          <w:rFonts w:ascii="仿宋_GB2312" w:eastAsia="仿宋_GB2312" w:hAnsi="Arial Narrow" w:hint="eastAsia"/>
          <w:sz w:val="24"/>
        </w:rPr>
        <w:t>。</w:t>
      </w:r>
      <w:r>
        <w:rPr>
          <w:rFonts w:ascii="仿宋_GB2312" w:eastAsia="仿宋_GB2312" w:hAnsi="Arial Narrow" w:hint="eastAsia"/>
          <w:color w:val="000000"/>
          <w:sz w:val="24"/>
        </w:rPr>
        <w:t>若估价对象以本评估价值进行交易，卖方需缴纳相关税费为人民币</w:t>
      </w:r>
      <w:proofErr w:type="gramStart"/>
      <w:r>
        <w:rPr>
          <w:rFonts w:ascii="仿宋_GB2312" w:eastAsia="仿宋_GB2312" w:hAnsi="Arial Narrow" w:hint="eastAsia"/>
          <w:color w:val="000000"/>
          <w:sz w:val="24"/>
        </w:rPr>
        <w:t>壹拾陆万肆仟肆佰</w:t>
      </w:r>
      <w:proofErr w:type="gramEnd"/>
      <w:r>
        <w:rPr>
          <w:rFonts w:ascii="仿宋_GB2312" w:eastAsia="仿宋_GB2312" w:hAnsi="Arial Narrow" w:hint="eastAsia"/>
          <w:color w:val="000000"/>
          <w:sz w:val="24"/>
        </w:rPr>
        <w:t>元整（RMB16.44万元）。扣除卖方需缴纳相关税费后评估总价为</w:t>
      </w:r>
      <w:r>
        <w:rPr>
          <w:rFonts w:ascii="仿宋_GB2312" w:eastAsia="仿宋_GB2312" w:hAnsi="Arial Narrow" w:hint="eastAsia"/>
          <w:b/>
          <w:sz w:val="24"/>
        </w:rPr>
        <w:t>人民币贰佰叁拾叁万陆仟元整（RMB233.60万元）</w:t>
      </w:r>
      <w:r>
        <w:rPr>
          <w:rFonts w:ascii="仿宋_GB2312" w:eastAsia="仿宋_GB2312" w:hAnsi="Arial Narrow" w:hint="eastAsia"/>
          <w:sz w:val="24"/>
        </w:rPr>
        <w:t>，</w:t>
      </w:r>
      <w:r>
        <w:rPr>
          <w:rFonts w:ascii="仿宋_GB2312" w:eastAsia="仿宋_GB2312" w:hAnsi="Arial Narrow" w:hint="eastAsia"/>
          <w:bCs/>
          <w:sz w:val="24"/>
        </w:rPr>
        <w:t>评估单价为每平方米</w:t>
      </w:r>
      <w:r>
        <w:rPr>
          <w:rFonts w:ascii="仿宋_GB2312" w:eastAsia="仿宋_GB2312" w:hAnsi="Arial Narrow" w:hint="eastAsia"/>
          <w:b/>
          <w:bCs/>
          <w:sz w:val="24"/>
        </w:rPr>
        <w:t>人民币壹万捌仟柒佰捌拾玖元整（RMB18789元/平方米）</w:t>
      </w:r>
      <w:r>
        <w:rPr>
          <w:rFonts w:ascii="仿宋_GB2312" w:eastAsia="仿宋_GB2312" w:hAnsi="Arial Narrow" w:hint="eastAsia"/>
          <w:color w:val="000000"/>
          <w:sz w:val="24"/>
        </w:rPr>
        <w:t>。</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价值内涵：指估价对象在价值时点，且满足本次估价的假设和限制条件下，包括建筑物、分摊的土地使用权（含土地出让金）及配套设施的价值；不包括动产、债权债务、特许经营权等其他财产或权益；付款方式是一次性付清房价款；交易税费负担方式为法律法规规定的方式；房屋面积内涵为建筑面积；开发程度为现房，具备“六通”。</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相关专业意见：无。</w:t>
      </w:r>
    </w:p>
    <w:p>
      <w:pPr>
        <w:pStyle w:val="2"/>
        <w:spacing w:beforeLines="0" w:line="360" w:lineRule="auto"/>
        <w:ind w:firstLine="482"/>
        <w:jc w:val="both"/>
        <w:rPr>
          <w:rFonts w:hAnsi="Arial Narrow"/>
          <w:b w:val="0"/>
          <w:kern w:val="0"/>
          <w:sz w:val="24"/>
          <w:szCs w:val="20"/>
        </w:rPr>
      </w:pPr>
      <w:bookmarkStart w:id="34" w:name="_Toc18005497"/>
      <w:r>
        <w:rPr>
          <w:rFonts w:hAnsi="Arial Narrow" w:hint="eastAsia"/>
          <w:bCs w:val="0"/>
          <w:kern w:val="0"/>
          <w:sz w:val="24"/>
          <w:szCs w:val="20"/>
        </w:rPr>
        <w:t>十一、注册房地产估价师：</w:t>
      </w:r>
      <w:bookmarkEnd w:id="34"/>
    </w:p>
    <w:tbl>
      <w:tblPr>
        <w:tblW w:w="5000" w:type="pct"/>
        <w:jc w:val="center"/>
        <w:tblLook w:val="04A0"/>
      </w:tblPr>
      <w:tblGrid>
        <w:gridCol w:w="1710"/>
        <w:gridCol w:w="2647"/>
        <w:gridCol w:w="2491"/>
        <w:gridCol w:w="1986"/>
      </w:tblGrid>
      <w:tr>
        <w:trPr>
          <w:trHeight w:val="632"/>
          <w:jc w:val="center"/>
        </w:trPr>
        <w:tc>
          <w:tcPr>
            <w:tcW w:w="968" w:type="pc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姓名</w:t>
            </w:r>
          </w:p>
        </w:tc>
        <w:tc>
          <w:tcPr>
            <w:tcW w:w="1498" w:type="pct"/>
            <w:tcBorders>
              <w:top w:val="single" w:sz="4" w:space="0" w:color="auto"/>
              <w:left w:val="nil"/>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注册号</w:t>
            </w:r>
          </w:p>
        </w:tc>
        <w:tc>
          <w:tcPr>
            <w:tcW w:w="1410" w:type="pct"/>
            <w:tcBorders>
              <w:top w:val="single" w:sz="4" w:space="0" w:color="auto"/>
              <w:left w:val="nil"/>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签名</w:t>
            </w:r>
          </w:p>
        </w:tc>
        <w:tc>
          <w:tcPr>
            <w:tcW w:w="1125" w:type="pct"/>
            <w:tcBorders>
              <w:top w:val="single" w:sz="4" w:space="0" w:color="auto"/>
              <w:left w:val="nil"/>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日期</w:t>
            </w:r>
          </w:p>
        </w:tc>
      </w:tr>
      <w:tr>
        <w:trPr>
          <w:trHeight w:val="312"/>
          <w:jc w:val="center"/>
        </w:trPr>
        <w:tc>
          <w:tcPr>
            <w:tcW w:w="968"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 xml:space="preserve">　</w:t>
            </w:r>
            <w:r>
              <w:rPr>
                <w:rFonts w:ascii="仿宋_GB2312" w:eastAsia="仿宋_GB2312" w:hAnsi="Arial Narrow" w:hint="eastAsia"/>
                <w:sz w:val="24"/>
              </w:rPr>
              <w:t>王志东</w:t>
            </w:r>
          </w:p>
        </w:tc>
        <w:tc>
          <w:tcPr>
            <w:tcW w:w="1498"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hint="eastAsia"/>
                <w:bCs/>
                <w:sz w:val="24"/>
              </w:rPr>
              <w:t>3520070010</w:t>
            </w:r>
            <w:r>
              <w:rPr>
                <w:rFonts w:ascii="仿宋_GB2312" w:eastAsia="仿宋_GB2312" w:hAnsi="Arial Narrow" w:cs="宋体" w:hint="eastAsia"/>
                <w:kern w:val="0"/>
                <w:sz w:val="22"/>
                <w:szCs w:val="22"/>
              </w:rPr>
              <w:t xml:space="preserve">　</w:t>
            </w:r>
          </w:p>
        </w:tc>
        <w:tc>
          <w:tcPr>
            <w:tcW w:w="1410"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125"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r>
      <w:tr>
        <w:trPr>
          <w:trHeight w:val="312"/>
          <w:jc w:val="center"/>
        </w:trPr>
        <w:tc>
          <w:tcPr>
            <w:tcW w:w="968"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498"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410"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125"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r>
      <w:tr>
        <w:trPr>
          <w:trHeight w:val="312"/>
          <w:jc w:val="center"/>
        </w:trPr>
        <w:tc>
          <w:tcPr>
            <w:tcW w:w="968" w:type="pct"/>
            <w:vMerge w:val="restart"/>
            <w:tcBorders>
              <w:top w:val="nil"/>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 xml:space="preserve">　</w:t>
            </w:r>
            <w:r>
              <w:rPr>
                <w:rFonts w:ascii="仿宋_GB2312" w:eastAsia="仿宋_GB2312" w:hAnsi="Arial Narrow" w:hint="eastAsia"/>
                <w:sz w:val="24"/>
              </w:rPr>
              <w:t>黄教岳</w:t>
            </w:r>
          </w:p>
        </w:tc>
        <w:tc>
          <w:tcPr>
            <w:tcW w:w="1498"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hint="eastAsia"/>
                <w:bCs/>
                <w:sz w:val="24"/>
              </w:rPr>
              <w:t>3520190020</w:t>
            </w:r>
          </w:p>
        </w:tc>
        <w:tc>
          <w:tcPr>
            <w:tcW w:w="1410"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r>
              <w:rPr>
                <w:rFonts w:ascii="仿宋_GB2312" w:eastAsia="仿宋_GB2312" w:hAnsi="Arial Narrow" w:cs="宋体" w:hint="eastAsia"/>
                <w:kern w:val="0"/>
                <w:sz w:val="22"/>
                <w:szCs w:val="22"/>
              </w:rPr>
              <w:t xml:space="preserve">　</w:t>
            </w:r>
          </w:p>
        </w:tc>
        <w:tc>
          <w:tcPr>
            <w:tcW w:w="1125" w:type="pct"/>
            <w:vMerge w:val="restart"/>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r>
      <w:tr>
        <w:trPr>
          <w:trHeight w:val="312"/>
          <w:jc w:val="center"/>
        </w:trPr>
        <w:tc>
          <w:tcPr>
            <w:tcW w:w="968" w:type="pct"/>
            <w:vMerge/>
            <w:tcBorders>
              <w:top w:val="nil"/>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498"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410"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c>
          <w:tcPr>
            <w:tcW w:w="1125" w:type="pct"/>
            <w:vMerge/>
            <w:tcBorders>
              <w:top w:val="single" w:sz="4" w:space="0" w:color="auto"/>
              <w:left w:val="single" w:sz="4" w:space="0" w:color="auto"/>
              <w:bottom w:val="single" w:sz="4" w:space="0" w:color="auto"/>
              <w:right w:val="single" w:sz="4" w:space="0" w:color="auto"/>
            </w:tcBorders>
            <w:vAlign w:val="center"/>
          </w:tcPr>
          <w:p>
            <w:pPr>
              <w:jc w:val="center"/>
              <w:rPr>
                <w:rFonts w:ascii="仿宋_GB2312" w:eastAsia="仿宋_GB2312" w:hAnsi="Arial Narrow" w:cs="宋体"/>
                <w:kern w:val="0"/>
                <w:sz w:val="22"/>
                <w:szCs w:val="22"/>
              </w:rPr>
            </w:pPr>
          </w:p>
        </w:tc>
      </w:tr>
    </w:tbl>
    <w:p>
      <w:pPr>
        <w:pStyle w:val="ad"/>
        <w:widowControl w:val="0"/>
        <w:spacing w:before="0" w:after="0" w:line="360" w:lineRule="auto"/>
        <w:ind w:firstLineChars="200" w:firstLine="482"/>
        <w:jc w:val="both"/>
        <w:outlineLvl w:val="9"/>
        <w:rPr>
          <w:rFonts w:ascii="仿宋_GB2312" w:eastAsia="仿宋_GB2312" w:hAnsi="Arial Narrow"/>
          <w:bCs w:val="0"/>
          <w:kern w:val="0"/>
          <w:sz w:val="24"/>
          <w:szCs w:val="20"/>
        </w:rPr>
      </w:pPr>
      <w:bookmarkStart w:id="35" w:name="_Toc18005498"/>
      <w:r>
        <w:rPr>
          <w:rFonts w:ascii="仿宋_GB2312" w:eastAsia="仿宋_GB2312" w:hAnsi="Arial Narrow" w:hint="eastAsia"/>
          <w:bCs w:val="0"/>
          <w:kern w:val="0"/>
          <w:sz w:val="24"/>
          <w:szCs w:val="20"/>
        </w:rPr>
        <w:t>十二、实地查勘期：</w:t>
      </w:r>
      <w:bookmarkEnd w:id="35"/>
    </w:p>
    <w:p>
      <w:pPr>
        <w:pStyle w:val="ad"/>
        <w:widowControl w:val="0"/>
        <w:spacing w:before="0" w:after="0" w:line="360" w:lineRule="auto"/>
        <w:ind w:firstLineChars="200" w:firstLine="480"/>
        <w:jc w:val="both"/>
        <w:outlineLvl w:val="9"/>
        <w:rPr>
          <w:rFonts w:ascii="仿宋_GB2312" w:eastAsia="仿宋_GB2312" w:hAnsi="Arial Narrow"/>
          <w:b w:val="0"/>
          <w:sz w:val="24"/>
        </w:rPr>
      </w:pPr>
      <w:r>
        <w:rPr>
          <w:rFonts w:ascii="仿宋_GB2312" w:eastAsia="仿宋_GB2312" w:hAnsi="Arial Narrow" w:hint="eastAsia"/>
          <w:b w:val="0"/>
          <w:sz w:val="24"/>
        </w:rPr>
        <w:t>2021年09月09日</w:t>
      </w:r>
    </w:p>
    <w:p>
      <w:pPr>
        <w:pStyle w:val="ad"/>
        <w:widowControl w:val="0"/>
        <w:spacing w:before="0" w:after="0" w:line="360" w:lineRule="auto"/>
        <w:ind w:firstLineChars="200" w:firstLine="482"/>
        <w:jc w:val="both"/>
        <w:outlineLvl w:val="9"/>
        <w:rPr>
          <w:rFonts w:ascii="仿宋_GB2312" w:eastAsia="仿宋_GB2312" w:hAnsi="Arial Narrow"/>
          <w:bCs w:val="0"/>
          <w:kern w:val="0"/>
          <w:sz w:val="24"/>
          <w:szCs w:val="20"/>
        </w:rPr>
      </w:pPr>
      <w:bookmarkStart w:id="36" w:name="_Toc18005500"/>
      <w:r>
        <w:rPr>
          <w:rFonts w:ascii="仿宋_GB2312" w:eastAsia="仿宋_GB2312" w:hAnsi="Arial Narrow" w:hint="eastAsia"/>
          <w:bCs w:val="0"/>
          <w:kern w:val="0"/>
          <w:sz w:val="24"/>
          <w:szCs w:val="20"/>
        </w:rPr>
        <w:t>十三、估价作业日期：</w:t>
      </w:r>
      <w:bookmarkEnd w:id="36"/>
    </w:p>
    <w:p>
      <w:pPr>
        <w:widowControl w:val="0"/>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2021年09月09日至2021年09月24日。</w:t>
      </w:r>
    </w:p>
    <w:p>
      <w:pPr>
        <w:pStyle w:val="ad"/>
        <w:widowControl w:val="0"/>
        <w:spacing w:before="0" w:after="0" w:line="360" w:lineRule="auto"/>
        <w:ind w:firstLineChars="200" w:firstLine="482"/>
        <w:jc w:val="both"/>
        <w:outlineLvl w:val="9"/>
        <w:rPr>
          <w:rFonts w:ascii="仿宋_GB2312" w:eastAsia="仿宋_GB2312" w:hAnsi="Arial Narrow"/>
          <w:bCs w:val="0"/>
          <w:kern w:val="0"/>
          <w:sz w:val="24"/>
          <w:szCs w:val="20"/>
        </w:rPr>
      </w:pPr>
      <w:bookmarkStart w:id="37" w:name="_Toc18005501"/>
      <w:r>
        <w:rPr>
          <w:rFonts w:ascii="仿宋_GB2312" w:eastAsia="仿宋_GB2312" w:hAnsi="Arial Narrow" w:hint="eastAsia"/>
          <w:bCs w:val="0"/>
          <w:kern w:val="0"/>
          <w:sz w:val="24"/>
          <w:szCs w:val="20"/>
        </w:rPr>
        <w:t>十四、估价报告应用的有效期：</w:t>
      </w:r>
      <w:bookmarkEnd w:id="37"/>
    </w:p>
    <w:p>
      <w:pPr>
        <w:widowControl w:val="0"/>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本估价报告的有效使用期限为一年，即从2021年09月24日起至2022年09月23日止的期限内有效。</w:t>
      </w:r>
    </w:p>
    <w:p>
      <w:pPr>
        <w:widowControl w:val="0"/>
        <w:spacing w:line="360" w:lineRule="auto"/>
        <w:ind w:firstLineChars="225" w:firstLine="540"/>
        <w:jc w:val="both"/>
        <w:rPr>
          <w:rFonts w:ascii="仿宋_GB2312" w:eastAsia="仿宋_GB2312" w:hAnsi="Arial Narrow"/>
          <w:sz w:val="24"/>
        </w:rPr>
      </w:pPr>
    </w:p>
    <w:p>
      <w:pPr>
        <w:widowControl w:val="0"/>
        <w:spacing w:line="440" w:lineRule="exact"/>
        <w:ind w:leftChars="1325" w:left="4554" w:right="482" w:hangingChars="735" w:hanging="1771"/>
        <w:jc w:val="both"/>
        <w:rPr>
          <w:rFonts w:ascii="仿宋_GB2312" w:eastAsia="仿宋_GB2312" w:hAnsi="Arial Narrow"/>
          <w:b/>
          <w:sz w:val="24"/>
        </w:rPr>
      </w:pPr>
      <w:r>
        <w:rPr>
          <w:rFonts w:ascii="仿宋_GB2312" w:eastAsia="仿宋_GB2312" w:hAnsi="Arial Narrow" w:hint="eastAsia"/>
          <w:b/>
          <w:sz w:val="24"/>
        </w:rPr>
        <w:t>厦门市大学资产评估土地房地产估价有限责任公司二零二一年九月二十四日</w:t>
      </w:r>
      <w:bookmarkEnd w:id="26"/>
      <w:bookmarkEnd w:id="27"/>
      <w:bookmarkEnd w:id="28"/>
    </w:p>
    <w:p>
      <w:pPr>
        <w:widowControl w:val="0"/>
        <w:spacing w:line="440" w:lineRule="exact"/>
        <w:ind w:leftChars="1325" w:left="4547" w:right="482" w:hangingChars="735" w:hanging="1764"/>
        <w:jc w:val="both"/>
        <w:rPr>
          <w:rFonts w:ascii="仿宋_GB2312" w:eastAsia="仿宋_GB2312" w:hAnsi="Arial Narrow"/>
          <w:b/>
          <w:sz w:val="24"/>
        </w:rPr>
      </w:pPr>
      <w:r>
        <w:rPr>
          <w:rFonts w:ascii="仿宋_GB2312" w:eastAsia="仿宋_GB2312"/>
          <w:sz w:val="24"/>
        </w:rPr>
        <w:t xml:space="preserve"> </w:t>
      </w:r>
    </w:p>
    <w:p>
      <w:pPr>
        <w:pStyle w:val="2"/>
        <w:spacing w:before="156"/>
        <w:rPr>
          <w:rFonts w:hAnsi="Arial Narrow"/>
        </w:rPr>
      </w:pPr>
      <w:bookmarkStart w:id="38" w:name="_Toc146963124"/>
      <w:bookmarkStart w:id="39" w:name="_Toc256581902"/>
      <w:bookmarkStart w:id="40" w:name="_Toc18005512"/>
      <w:r>
        <w:rPr>
          <w:rFonts w:hAnsi="Arial Narrow" w:hint="eastAsia"/>
        </w:rPr>
        <w:lastRenderedPageBreak/>
        <w:t>附件</w:t>
      </w:r>
      <w:bookmarkEnd w:id="38"/>
      <w:bookmarkEnd w:id="39"/>
      <w:bookmarkEnd w:id="40"/>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1、估价对象位置图；</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2、估价对象实地查勘情况和相关照片；</w:t>
      </w:r>
    </w:p>
    <w:p>
      <w:pPr>
        <w:spacing w:line="360" w:lineRule="auto"/>
        <w:ind w:firstLineChars="200" w:firstLine="480"/>
        <w:jc w:val="both"/>
        <w:rPr>
          <w:rFonts w:ascii="仿宋_GB2312" w:eastAsia="仿宋_GB2312" w:hAnsi="Arial Narrow"/>
          <w:kern w:val="0"/>
          <w:sz w:val="24"/>
        </w:rPr>
      </w:pPr>
      <w:r>
        <w:rPr>
          <w:rFonts w:ascii="仿宋_GB2312" w:eastAsia="仿宋_GB2312" w:hAnsi="Arial Narrow" w:hint="eastAsia"/>
          <w:sz w:val="24"/>
        </w:rPr>
        <w:t>3、《福建省泉州市中级人民法院司法评估委托书》（（2021）闽05</w:t>
      </w:r>
      <w:proofErr w:type="gramStart"/>
      <w:r>
        <w:rPr>
          <w:rFonts w:ascii="仿宋_GB2312" w:eastAsia="仿宋_GB2312" w:hAnsi="Arial Narrow" w:hint="eastAsia"/>
          <w:sz w:val="24"/>
        </w:rPr>
        <w:t>委评54号</w:t>
      </w:r>
      <w:proofErr w:type="gramEnd"/>
      <w:r>
        <w:rPr>
          <w:rFonts w:ascii="仿宋_GB2312" w:eastAsia="仿宋_GB2312" w:hAnsi="Arial Narrow" w:hint="eastAsia"/>
          <w:sz w:val="24"/>
        </w:rPr>
        <w:t>）及其附件</w:t>
      </w:r>
      <w:r>
        <w:rPr>
          <w:rFonts w:ascii="仿宋_GB2312" w:eastAsia="仿宋_GB2312" w:hAnsi="Arial Narrow" w:hint="eastAsia"/>
          <w:kern w:val="0"/>
          <w:sz w:val="24"/>
        </w:rPr>
        <w:t>；</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4、《泉州市商品房买卖合同（网上签约）登记备案申请表》及《商品房买卖合同》（合同编号：201806120142）复印件；</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5、房地产估价机构营业执照复印件；</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6、房地产估价机构资质证书复印件；</w:t>
      </w:r>
    </w:p>
    <w:p>
      <w:pPr>
        <w:spacing w:line="360" w:lineRule="auto"/>
        <w:ind w:firstLineChars="200" w:firstLine="480"/>
        <w:jc w:val="both"/>
        <w:rPr>
          <w:rFonts w:ascii="仿宋_GB2312" w:eastAsia="仿宋_GB2312" w:hAnsi="Arial Narrow"/>
          <w:sz w:val="24"/>
        </w:rPr>
      </w:pPr>
      <w:r>
        <w:rPr>
          <w:rFonts w:ascii="仿宋_GB2312" w:eastAsia="仿宋_GB2312" w:hAnsi="Arial Narrow" w:hint="eastAsia"/>
          <w:sz w:val="24"/>
        </w:rPr>
        <w:t>7、注册房地产估价师注册证书复印件。</w:t>
      </w:r>
    </w:p>
    <w:p>
      <w:pPr>
        <w:pStyle w:val="a8"/>
        <w:snapToGrid w:val="0"/>
        <w:spacing w:line="320" w:lineRule="exact"/>
        <w:ind w:firstLineChars="200" w:firstLine="480"/>
        <w:rPr>
          <w:rFonts w:ascii="仿宋_GB2312" w:eastAsia="仿宋_GB2312" w:hAnsi="Arial Narrow" w:hint="default"/>
          <w:sz w:val="24"/>
        </w:rPr>
      </w:pPr>
    </w:p>
    <w:p>
      <w:pPr>
        <w:spacing w:line="500" w:lineRule="exact"/>
        <w:ind w:right="561"/>
        <w:jc w:val="center"/>
        <w:rPr>
          <w:rFonts w:ascii="仿宋_GB2312" w:eastAsia="仿宋_GB2312" w:hAnsi="宋体"/>
          <w:b/>
          <w:bCs/>
          <w:color w:val="000000" w:themeColor="text1"/>
          <w:sz w:val="32"/>
          <w:szCs w:val="32"/>
        </w:rPr>
      </w:pPr>
      <w:r>
        <w:rPr>
          <w:rFonts w:ascii="仿宋_GB2312" w:eastAsia="仿宋_GB2312" w:hAnsi="Arial Narrow" w:hint="eastAsia"/>
          <w:sz w:val="24"/>
        </w:rPr>
        <w:br w:type="page"/>
      </w:r>
      <w:r>
        <w:rPr>
          <w:rFonts w:ascii="仿宋_GB2312" w:eastAsia="仿宋_GB2312" w:hAnsi="宋体" w:hint="eastAsia"/>
          <w:b/>
          <w:color w:val="000000" w:themeColor="text1"/>
          <w:sz w:val="32"/>
          <w:szCs w:val="32"/>
        </w:rPr>
        <w:lastRenderedPageBreak/>
        <w:t>估价对象位置图</w:t>
      </w:r>
    </w:p>
    <w:tbl>
      <w:tblPr>
        <w:tblStyle w:val="af0"/>
        <w:tblW w:w="8990" w:type="dxa"/>
        <w:tblLayout w:type="fixed"/>
        <w:tblLook w:val="04A0"/>
      </w:tblPr>
      <w:tblGrid>
        <w:gridCol w:w="8990"/>
      </w:tblGrid>
      <w:tr>
        <w:trPr>
          <w:trHeight w:val="4744"/>
        </w:trPr>
        <w:tc>
          <w:tcPr>
            <w:tcW w:w="8990" w:type="dxa"/>
          </w:tcPr>
          <w:p>
            <w:pPr>
              <w:spacing w:line="500" w:lineRule="exact"/>
              <w:ind w:right="561"/>
              <w:jc w:val="center"/>
              <w:rPr>
                <w:rFonts w:ascii="仿宋_GB2312" w:eastAsia="仿宋_GB2312" w:hAnsi="宋体"/>
                <w:bCs/>
                <w:color w:val="000000" w:themeColor="text1"/>
                <w:spacing w:val="40"/>
                <w:sz w:val="24"/>
              </w:rPr>
            </w:pPr>
            <w:r>
              <w:rPr>
                <w:rFonts w:ascii="仿宋_GB2312" w:eastAsia="仿宋_GB2312"/>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26" type="#_x0000_t63" style="position:absolute;left:0;text-align:left;margin-left:182.3pt;margin-top:68.2pt;width:83pt;height:36.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" adj="9501,60450" fillcolor="#bbd5f0" strokecolor="#739cc3" strokeweight="1.25pt">
                  <v:fill color2="#9cbee0" focus="100%" type="gradient">
                    <o:fill v:ext="view" type="gradientUnscaled"/>
                  </v:fill>
                  <v:stroke miterlimit="2"/>
                  <v:textbox>
                    <w:txbxContent>
                      <w:p>
                        <w:r>
                          <w:rPr>
                            <w:rFonts w:hint="eastAsia"/>
                          </w:rPr>
                          <w:t>估价对象</w:t>
                        </w:r>
                      </w:p>
                    </w:txbxContent>
                  </v:textbox>
                </v:shape>
              </w:pict>
            </w:r>
            <w:r>
              <w:rPr>
                <w:rFonts w:ascii="仿宋_GB2312" w:eastAsia="仿宋_GB2312"/>
                <w:noProof/>
              </w:rPr>
              <w:pict>
                <v:shapetype id="_x0000_t202" coordsize="21600,21600" o:spt="202" path="m,l,21600r21600,l21600,xe">
                  <v:stroke joinstyle="miter"/>
                  <v:path gradientshapeok="t" o:connecttype="rect"/>
                </v:shapetype>
                <v:shape id="Text Box 286" o:spid="_x0000_s1027" type="#_x0000_t202" style="position:absolute;left:0;text-align:left;margin-left:10.2pt;margin-top:6.35pt;width:415.5pt;height:223.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" stroked="f">
                  <v:textbox>
                    <w:txbxContent>
                      <w:p>
                        <w:pPr>
                          <w:jc w:val="center"/>
                        </w:pPr>
                        <w:r>
                          <w:t xml:space="preserve"> </w:t>
                        </w:r>
                        <w:r>
                          <w:rPr>
                            <w:noProof/>
                          </w:rPr>
                          <w:drawing>
                            <wp:inline distT="0" distB="0" distL="0" distR="0">
                              <wp:extent cx="5093970" cy="27158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3970" cy="2715895"/>
                                      </a:xfrm>
                                      <a:prstGeom prst="rect">
                                        <a:avLst/>
                                      </a:prstGeom>
                                    </pic:spPr>
                                  </pic:pic>
                                </a:graphicData>
                              </a:graphic>
                            </wp:inline>
                          </w:drawing>
                        </w:r>
                        <w:r>
                          <w:t xml:space="preserve"> </w:t>
                        </w:r>
                      </w:p>
                    </w:txbxContent>
                  </v:textbox>
                </v:shape>
              </w:pict>
            </w:r>
          </w:p>
        </w:tc>
      </w:tr>
    </w:tbl>
    <w:p>
      <w:pPr>
        <w:rPr>
          <w:rFonts w:ascii="仿宋_GB2312" w:eastAsia="仿宋_GB2312" w:hAnsi="宋体"/>
          <w:b/>
          <w:color w:val="000000" w:themeColor="text1"/>
          <w:sz w:val="32"/>
          <w:szCs w:val="32"/>
        </w:rPr>
      </w:pPr>
    </w:p>
    <w:p>
      <w:pPr>
        <w:rPr>
          <w:rFonts w:ascii="仿宋_GB2312" w:eastAsia="仿宋_GB2312" w:hAnsi="宋体"/>
          <w:b/>
          <w:color w:val="000000" w:themeColor="text1"/>
          <w:sz w:val="32"/>
          <w:szCs w:val="32"/>
        </w:rPr>
      </w:pPr>
      <w:r>
        <w:rPr>
          <w:rFonts w:ascii="仿宋_GB2312" w:eastAsia="仿宋_GB2312" w:hAnsi="宋体"/>
          <w:b/>
          <w:color w:val="000000" w:themeColor="text1"/>
          <w:sz w:val="32"/>
          <w:szCs w:val="32"/>
        </w:rPr>
        <w:br w:type="page"/>
      </w:r>
    </w:p>
    <w:p>
      <w:pPr>
        <w:spacing w:line="500" w:lineRule="exact"/>
        <w:ind w:right="561"/>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估价对象照片</w:t>
      </w:r>
    </w:p>
    <w:p>
      <w:pPr>
        <w:rPr>
          <w:rFonts w:ascii="仿宋_GB2312" w:eastAsia="仿宋_GB2312" w:hAnsi="Arial Narrow"/>
          <w:sz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0"/>
        <w:gridCol w:w="3220"/>
        <w:gridCol w:w="3220"/>
      </w:tblGrid>
      <w:tr>
        <w:trPr>
          <w:trHeight w:val="2342"/>
          <w:jc w:val="center"/>
        </w:trPr>
        <w:tc>
          <w:tcPr>
            <w:tcW w:w="33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71040" cy="14782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1040" cy="1478280"/>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07540" cy="14306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07540" cy="1430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r>
      <w:tr>
        <w:trPr>
          <w:trHeight w:val="299"/>
          <w:jc w:val="center"/>
        </w:trPr>
        <w:tc>
          <w:tcPr>
            <w:tcW w:w="3320" w:type="dxa"/>
            <w:vAlign w:val="center"/>
          </w:tcPr>
          <w:p>
            <w:pPr>
              <w:ind w:rightChars="-50" w:right="-105"/>
              <w:jc w:val="center"/>
              <w:rPr>
                <w:rFonts w:ascii="仿宋_GB2312" w:eastAsia="仿宋_GB2312" w:hAnsi="宋体"/>
                <w:szCs w:val="21"/>
              </w:rPr>
            </w:pPr>
            <w:r>
              <w:rPr>
                <w:rFonts w:ascii="仿宋_GB2312" w:eastAsia="仿宋_GB2312" w:hAnsi="宋体" w:hint="eastAsia"/>
                <w:color w:val="000000" w:themeColor="text1"/>
                <w:szCs w:val="21"/>
              </w:rPr>
              <w:t>室号</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color w:val="000000" w:themeColor="text1"/>
                <w:szCs w:val="21"/>
              </w:rPr>
              <w:t>室内</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r>
      <w:tr>
        <w:trPr>
          <w:trHeight w:val="2334"/>
          <w:jc w:val="center"/>
        </w:trPr>
        <w:tc>
          <w:tcPr>
            <w:tcW w:w="3320" w:type="dxa"/>
            <w:vAlign w:val="center"/>
          </w:tcPr>
          <w:p>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extent cx="1971040" cy="14782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1040" cy="1478280"/>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extent cx="1907540" cy="14306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extent cx="1907540" cy="14306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r>
      <w:tr>
        <w:trPr>
          <w:trHeight w:val="301"/>
          <w:jc w:val="center"/>
        </w:trPr>
        <w:tc>
          <w:tcPr>
            <w:tcW w:w="33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r>
      <w:tr>
        <w:trPr>
          <w:trHeight w:val="1910"/>
          <w:jc w:val="center"/>
        </w:trPr>
        <w:tc>
          <w:tcPr>
            <w:tcW w:w="33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71040" cy="14782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1040" cy="1478280"/>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07540" cy="14306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07540" cy="14306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r>
      <w:tr>
        <w:trPr>
          <w:trHeight w:val="301"/>
          <w:jc w:val="center"/>
        </w:trPr>
        <w:tc>
          <w:tcPr>
            <w:tcW w:w="33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室内</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阳台</w:t>
            </w:r>
          </w:p>
        </w:tc>
      </w:tr>
      <w:tr>
        <w:trPr>
          <w:trHeight w:val="301"/>
          <w:jc w:val="center"/>
        </w:trPr>
        <w:tc>
          <w:tcPr>
            <w:tcW w:w="33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71040" cy="1478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1040" cy="1478280"/>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07540" cy="14306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907540" cy="14306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7540" cy="1430655"/>
                          </a:xfrm>
                          <a:prstGeom prst="rect">
                            <a:avLst/>
                          </a:prstGeom>
                        </pic:spPr>
                      </pic:pic>
                    </a:graphicData>
                  </a:graphic>
                </wp:inline>
              </w:drawing>
            </w:r>
          </w:p>
        </w:tc>
      </w:tr>
      <w:tr>
        <w:trPr>
          <w:trHeight w:val="301"/>
          <w:jc w:val="center"/>
        </w:trPr>
        <w:tc>
          <w:tcPr>
            <w:tcW w:w="33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景观</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景观</w:t>
            </w:r>
          </w:p>
        </w:tc>
        <w:tc>
          <w:tcPr>
            <w:tcW w:w="3220" w:type="dxa"/>
            <w:vAlign w:val="center"/>
          </w:tcPr>
          <w:p>
            <w:pPr>
              <w:ind w:leftChars="-50" w:left="-105" w:rightChars="-50" w:right="-105"/>
              <w:jc w:val="center"/>
              <w:rPr>
                <w:rFonts w:ascii="仿宋_GB2312" w:eastAsia="仿宋_GB2312" w:hAnsi="宋体"/>
                <w:szCs w:val="21"/>
              </w:rPr>
            </w:pPr>
            <w:r>
              <w:rPr>
                <w:rFonts w:ascii="仿宋_GB2312" w:eastAsia="仿宋_GB2312" w:hAnsi="宋体" w:hint="eastAsia"/>
                <w:szCs w:val="21"/>
              </w:rPr>
              <w:t>小区环境</w:t>
            </w:r>
          </w:p>
        </w:tc>
      </w:tr>
    </w:tbl>
    <w:p>
      <w:pPr>
        <w:rPr>
          <w:rFonts w:ascii="仿宋_GB2312" w:eastAsia="仿宋_GB2312" w:hAnsi="Arial Narrow"/>
          <w:sz w:val="24"/>
        </w:rPr>
      </w:pPr>
    </w:p>
    <w:p>
      <w:pPr>
        <w:spacing w:line="360" w:lineRule="auto"/>
        <w:rPr>
          <w:rFonts w:ascii="仿宋_GB2312" w:eastAsia="仿宋_GB2312" w:hAnsi="Arial Narrow"/>
          <w:b/>
          <w:sz w:val="24"/>
        </w:rPr>
      </w:pPr>
    </w:p>
    <w:p>
      <w:pPr>
        <w:spacing w:line="360" w:lineRule="auto"/>
        <w:rPr>
          <w:rFonts w:ascii="仿宋_GB2312" w:eastAsia="仿宋_GB2312" w:hAnsi="Arial Narrow"/>
          <w:b/>
          <w:sz w:val="24"/>
        </w:rPr>
      </w:pPr>
    </w:p>
    <w:p>
      <w:pPr>
        <w:spacing w:line="360" w:lineRule="auto"/>
        <w:rPr>
          <w:rFonts w:ascii="仿宋_GB2312" w:eastAsia="仿宋_GB2312" w:hAnsi="Arial Narrow"/>
          <w:b/>
          <w:sz w:val="24"/>
        </w:rPr>
      </w:pPr>
    </w:p>
    <w:p>
      <w:pPr>
        <w:spacing w:line="360" w:lineRule="auto"/>
        <w:rPr>
          <w:rFonts w:ascii="仿宋_GB2312" w:eastAsia="仿宋_GB2312" w:hAnsi="Arial Narrow"/>
          <w:b/>
          <w:sz w:val="24"/>
        </w:rPr>
      </w:pPr>
    </w:p>
    <w:p>
      <w:pPr>
        <w:spacing w:line="360" w:lineRule="auto"/>
        <w:rPr>
          <w:rFonts w:ascii="仿宋_GB2312" w:eastAsia="仿宋_GB2312" w:hAnsi="Arial Narrow"/>
          <w:b/>
          <w:sz w:val="24"/>
        </w:rPr>
      </w:pPr>
    </w:p>
    <w:p>
      <w:pPr>
        <w:spacing w:line="360" w:lineRule="auto"/>
        <w:rPr>
          <w:rFonts w:ascii="仿宋_GB2312" w:eastAsia="仿宋_GB2312" w:hAnsi="Arial Narrow"/>
          <w:b/>
          <w:sz w:val="24"/>
        </w:rPr>
      </w:pPr>
    </w:p>
    <w:sectPr>
      <w:headerReference w:type="default" r:id="rId25"/>
      <w:pgSz w:w="11907" w:h="16840"/>
      <w:pgMar w:top="1246" w:right="1588" w:bottom="1091" w:left="1701" w:header="794" w:footer="794"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b"/>
      <w:ind w:right="360"/>
      <w:jc w:val="left"/>
      <w:rPr>
        <w:rFonts w:ascii="仿宋" w:eastAsia="仿宋" w:hAnsi="仿宋"/>
      </w:rPr>
    </w:pPr>
    <w:r>
      <w:rPr>
        <w:rStyle w:val="af1"/>
        <w:rFonts w:ascii="仿宋" w:eastAsia="仿宋" w:hAnsi="仿宋" w:hint="eastAsia"/>
        <w:kern w:val="0"/>
      </w:rPr>
      <w:t>厦门市大学资产评估土地房地产估价有限责任公司         第</w:t>
    </w:r>
    <w:r>
      <w:rPr>
        <w:rStyle w:val="af1"/>
        <w:rFonts w:ascii="仿宋" w:eastAsia="仿宋" w:hAnsi="仿宋"/>
        <w:kern w:val="0"/>
      </w:rPr>
      <w:fldChar w:fldCharType="begin"/>
    </w:r>
    <w:r>
      <w:rPr>
        <w:rStyle w:val="af1"/>
        <w:rFonts w:ascii="仿宋" w:eastAsia="仿宋" w:hAnsi="仿宋"/>
        <w:kern w:val="0"/>
      </w:rPr>
      <w:instrText xml:space="preserve"> PAGE   \* MERGEFORMAT </w:instrText>
    </w:r>
    <w:r>
      <w:rPr>
        <w:rStyle w:val="af1"/>
        <w:rFonts w:ascii="仿宋" w:eastAsia="仿宋" w:hAnsi="仿宋"/>
        <w:kern w:val="0"/>
      </w:rPr>
      <w:fldChar w:fldCharType="separate"/>
    </w:r>
    <w:r>
      <w:rPr>
        <w:rStyle w:val="af1"/>
        <w:rFonts w:ascii="仿宋" w:eastAsia="仿宋" w:hAnsi="仿宋"/>
        <w:noProof/>
        <w:kern w:val="0"/>
        <w:lang w:val="zh-CN"/>
      </w:rPr>
      <w:t>7</w:t>
    </w:r>
    <w:r>
      <w:rPr>
        <w:rStyle w:val="af1"/>
        <w:rFonts w:ascii="仿宋" w:eastAsia="仿宋" w:hAnsi="仿宋"/>
        <w:kern w:val="0"/>
      </w:rPr>
      <w:fldChar w:fldCharType="end"/>
    </w:r>
    <w:r>
      <w:rPr>
        <w:rStyle w:val="af1"/>
        <w:rFonts w:ascii="仿宋" w:eastAsia="仿宋" w:hAnsi="仿宋" w:hint="eastAsia"/>
      </w:rPr>
      <w:t>页            电话</w:t>
    </w:r>
    <w:r>
      <w:rPr>
        <w:rStyle w:val="af1"/>
        <w:rFonts w:ascii="仿宋" w:eastAsia="仿宋" w:hAnsi="仿宋"/>
      </w:rPr>
      <w:t>:</w:t>
    </w:r>
    <w:r>
      <w:rPr>
        <w:rStyle w:val="af1"/>
        <w:rFonts w:ascii="仿宋" w:eastAsia="仿宋" w:hAnsi="仿宋" w:hint="eastAsia"/>
      </w:rPr>
      <w:t>0592-5804752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c"/>
      <w:jc w:val="right"/>
    </w:pPr>
    <w:r>
      <w:rPr>
        <w:rFonts w:ascii="仿宋_GB2312" w:eastAsia="仿宋_GB2312" w:hAnsi="Arial Narrow" w:hint="eastAsia"/>
        <w:szCs w:val="18"/>
      </w:rPr>
      <w:t>泉州市</w:t>
    </w:r>
    <w:proofErr w:type="gramStart"/>
    <w:r>
      <w:rPr>
        <w:rFonts w:ascii="仿宋_GB2312" w:eastAsia="仿宋_GB2312" w:hAnsi="Arial Narrow" w:hint="eastAsia"/>
        <w:szCs w:val="18"/>
      </w:rPr>
      <w:t>鲤</w:t>
    </w:r>
    <w:proofErr w:type="gramEnd"/>
    <w:r>
      <w:rPr>
        <w:rFonts w:ascii="仿宋_GB2312" w:eastAsia="仿宋_GB2312" w:hAnsi="Arial Narrow" w:hint="eastAsia"/>
        <w:szCs w:val="18"/>
      </w:rPr>
      <w:t>城区浮桥街道延陵社区</w:t>
    </w:r>
    <w:proofErr w:type="gramStart"/>
    <w:r>
      <w:rPr>
        <w:rFonts w:ascii="仿宋_GB2312" w:eastAsia="仿宋_GB2312" w:hAnsi="Arial Narrow" w:hint="eastAsia"/>
        <w:szCs w:val="18"/>
      </w:rPr>
      <w:t>珑</w:t>
    </w:r>
    <w:proofErr w:type="gramEnd"/>
    <w:r>
      <w:rPr>
        <w:rFonts w:ascii="仿宋" w:eastAsia="仿宋" w:hAnsi="仿宋" w:cs="微软雅黑" w:hint="eastAsia"/>
        <w:szCs w:val="18"/>
      </w:rPr>
      <w:t>玥</w:t>
    </w:r>
    <w:r>
      <w:rPr>
        <w:rFonts w:ascii="仿宋_GB2312" w:eastAsia="仿宋_GB2312" w:hAnsi="仿宋_GB2312" w:cs="仿宋_GB2312" w:hint="eastAsia"/>
        <w:szCs w:val="18"/>
      </w:rPr>
      <w:t>湾二期项目</w:t>
    </w:r>
    <w:r>
      <w:rPr>
        <w:rFonts w:ascii="仿宋_GB2312" w:eastAsia="仿宋_GB2312" w:hAnsi="Arial Narrow" w:hint="eastAsia"/>
        <w:szCs w:val="18"/>
      </w:rPr>
      <w:t>9号楼901（</w:t>
    </w:r>
    <w:proofErr w:type="gramStart"/>
    <w:r>
      <w:rPr>
        <w:rFonts w:ascii="仿宋_GB2312" w:eastAsia="仿宋_GB2312" w:hAnsi="Arial Narrow" w:hint="eastAsia"/>
        <w:szCs w:val="18"/>
      </w:rPr>
      <w:t>珑</w:t>
    </w:r>
    <w:proofErr w:type="gramEnd"/>
    <w:r>
      <w:rPr>
        <w:rFonts w:ascii="仿宋" w:eastAsia="仿宋" w:hAnsi="仿宋" w:cs="微软雅黑" w:hint="eastAsia"/>
        <w:szCs w:val="18"/>
      </w:rPr>
      <w:t>玥</w:t>
    </w:r>
    <w:r>
      <w:rPr>
        <w:rFonts w:ascii="仿宋_GB2312" w:eastAsia="仿宋_GB2312" w:hAnsi="仿宋_GB2312" w:cs="仿宋_GB2312" w:hint="eastAsia"/>
        <w:szCs w:val="18"/>
      </w:rPr>
      <w:t>湾二期</w:t>
    </w:r>
    <w:r>
      <w:rPr>
        <w:rFonts w:ascii="仿宋_GB2312" w:eastAsia="仿宋_GB2312" w:hAnsi="Arial Narrow" w:hint="eastAsia"/>
        <w:szCs w:val="18"/>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ac"/>
      <w:jc w:val="right"/>
    </w:pPr>
    <w:r>
      <w:rPr>
        <w:rFonts w:ascii="仿宋_GB2312" w:eastAsia="仿宋_GB2312" w:hAnsi="Arial Narrow" w:hint="eastAsia"/>
        <w:szCs w:val="18"/>
      </w:rPr>
      <w:t>泉州市</w:t>
    </w:r>
    <w:proofErr w:type="gramStart"/>
    <w:r>
      <w:rPr>
        <w:rFonts w:ascii="仿宋_GB2312" w:eastAsia="仿宋_GB2312" w:hAnsi="Arial Narrow" w:hint="eastAsia"/>
        <w:szCs w:val="18"/>
      </w:rPr>
      <w:t>鲤</w:t>
    </w:r>
    <w:proofErr w:type="gramEnd"/>
    <w:r>
      <w:rPr>
        <w:rFonts w:ascii="仿宋_GB2312" w:eastAsia="仿宋_GB2312" w:hAnsi="Arial Narrow" w:hint="eastAsia"/>
        <w:szCs w:val="18"/>
      </w:rPr>
      <w:t>城区浮桥街道延陵社区</w:t>
    </w:r>
    <w:proofErr w:type="gramStart"/>
    <w:r>
      <w:rPr>
        <w:rFonts w:ascii="仿宋_GB2312" w:eastAsia="仿宋_GB2312" w:hAnsi="Arial Narrow" w:hint="eastAsia"/>
        <w:szCs w:val="18"/>
      </w:rPr>
      <w:t>珑</w:t>
    </w:r>
    <w:proofErr w:type="gramEnd"/>
    <w:r>
      <w:rPr>
        <w:rFonts w:ascii="仿宋" w:eastAsia="仿宋" w:hAnsi="仿宋" w:cs="微软雅黑" w:hint="eastAsia"/>
        <w:szCs w:val="18"/>
      </w:rPr>
      <w:t>玥</w:t>
    </w:r>
    <w:r>
      <w:rPr>
        <w:rFonts w:ascii="仿宋_GB2312" w:eastAsia="仿宋_GB2312" w:hAnsi="仿宋_GB2312" w:cs="仿宋_GB2312" w:hint="eastAsia"/>
        <w:szCs w:val="18"/>
      </w:rPr>
      <w:t>湾二期项目</w:t>
    </w:r>
    <w:r>
      <w:rPr>
        <w:rFonts w:ascii="仿宋_GB2312" w:eastAsia="仿宋_GB2312" w:hAnsi="Arial Narrow" w:hint="eastAsia"/>
        <w:szCs w:val="18"/>
      </w:rPr>
      <w:t>9号楼901（</w:t>
    </w:r>
    <w:proofErr w:type="gramStart"/>
    <w:r>
      <w:rPr>
        <w:rFonts w:ascii="仿宋_GB2312" w:eastAsia="仿宋_GB2312" w:hAnsi="Arial Narrow" w:hint="eastAsia"/>
        <w:szCs w:val="18"/>
      </w:rPr>
      <w:t>珑</w:t>
    </w:r>
    <w:proofErr w:type="gramEnd"/>
    <w:r>
      <w:rPr>
        <w:rFonts w:ascii="仿宋" w:eastAsia="仿宋" w:hAnsi="仿宋" w:cs="微软雅黑" w:hint="eastAsia"/>
        <w:szCs w:val="18"/>
      </w:rPr>
      <w:t>玥</w:t>
    </w:r>
    <w:r>
      <w:rPr>
        <w:rFonts w:ascii="仿宋_GB2312" w:eastAsia="仿宋_GB2312" w:hAnsi="仿宋_GB2312" w:cs="仿宋_GB2312" w:hint="eastAsia"/>
        <w:szCs w:val="18"/>
      </w:rPr>
      <w:t>湾二期</w:t>
    </w:r>
    <w:r>
      <w:rPr>
        <w:rFonts w:ascii="仿宋_GB2312" w:eastAsia="仿宋_GB2312" w:hAnsi="Arial Narrow" w:hint="eastAsia"/>
        <w:szCs w:val="1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5230F"/>
    <w:multiLevelType w:val="multilevel"/>
    <w:tmpl w:val="07D5230F"/>
    <w:lvl w:ilvl="0">
      <w:start w:val="1"/>
      <w:numFmt w:val="decimalEnclosedParen"/>
      <w:lvlText w:val="%1"/>
      <w:lvlJc w:val="left"/>
      <w:pPr>
        <w:ind w:left="900" w:hanging="360"/>
      </w:pPr>
      <w:rPr>
        <w:rFonts w:hint="default"/>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1">
    <w:nsid w:val="0CF848DE"/>
    <w:multiLevelType w:val="multilevel"/>
    <w:tmpl w:val="0CF848DE"/>
    <w:lvl w:ilvl="0">
      <w:start w:val="1"/>
      <w:numFmt w:val="chineseCountingThousand"/>
      <w:pStyle w:val="1"/>
      <w:suff w:val="nothing"/>
      <w:lvlText w:val="第%1章"/>
      <w:lvlJc w:val="left"/>
      <w:pPr>
        <w:ind w:left="0" w:firstLine="0"/>
      </w:pPr>
      <w:rPr>
        <w:rFonts w:hint="eastAsia"/>
      </w:rPr>
    </w:lvl>
    <w:lvl w:ilvl="1">
      <w:start w:val="1"/>
      <w:numFmt w:val="decimal"/>
      <w:suff w:val="nothing"/>
      <w:lvlText w:val="1.%2"/>
      <w:lvlJc w:val="left"/>
      <w:pPr>
        <w:ind w:left="0" w:firstLine="0"/>
      </w:pPr>
      <w:rPr>
        <w:rFonts w:hint="eastAsia"/>
      </w:rPr>
    </w:lvl>
    <w:lvl w:ilvl="2">
      <w:start w:val="1"/>
      <w:numFmt w:val="decimal"/>
      <w:suff w:val="nothing"/>
      <w:lvlText w:val="1.1.%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149956F2"/>
    <w:multiLevelType w:val="hybridMultilevel"/>
    <w:tmpl w:val="E23A4B54"/>
    <w:lvl w:ilvl="0" w:tplc="C5ACE954">
      <w:start w:val="2"/>
      <w:numFmt w:val="japaneseCounting"/>
      <w:lvlText w:val="（%1）"/>
      <w:lvlJc w:val="left"/>
      <w:pPr>
        <w:ind w:left="1247" w:hanging="765"/>
      </w:pPr>
      <w:rPr>
        <w:rFonts w:cs="Arial" w:hint="default"/>
        <w:b/>
        <w:sz w:val="24"/>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1DFF0876"/>
    <w:multiLevelType w:val="hybridMultilevel"/>
    <w:tmpl w:val="5096057E"/>
    <w:lvl w:ilvl="0" w:tplc="45A2C97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00E6F40"/>
    <w:multiLevelType w:val="hybridMultilevel"/>
    <w:tmpl w:val="25F2420E"/>
    <w:lvl w:ilvl="0" w:tplc="98E05640">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61FD764B"/>
    <w:multiLevelType w:val="singleLevel"/>
    <w:tmpl w:val="61FD764B"/>
    <w:lvl w:ilvl="0">
      <w:start w:val="1"/>
      <w:numFmt w:val="decimal"/>
      <w:lvlText w:val="%1"/>
      <w:lvlJc w:val="left"/>
      <w:pPr>
        <w:tabs>
          <w:tab w:val="left" w:pos="840"/>
        </w:tabs>
        <w:ind w:left="840" w:hanging="360"/>
      </w:pPr>
      <w:rPr>
        <w:rFonts w:hint="eastAsia"/>
        <w:b w:val="0"/>
        <w:color w:val="auto"/>
      </w:rPr>
    </w:lvl>
  </w:abstractNum>
  <w:abstractNum w:abstractNumId="6">
    <w:nsid w:val="6F9322BF"/>
    <w:multiLevelType w:val="multilevel"/>
    <w:tmpl w:val="6F9322BF"/>
    <w:lvl w:ilvl="0">
      <w:start w:val="1"/>
      <w:numFmt w:val="decimalEnclosedCircle"/>
      <w:lvlText w:val="%1"/>
      <w:lvlJc w:val="left"/>
      <w:pPr>
        <w:ind w:left="900" w:hanging="360"/>
      </w:pPr>
      <w:rPr>
        <w:rFonts w:ascii="仿宋_GB2312" w:eastAsia="仿宋_GB2312" w:hAnsi="宋体" w:hint="default"/>
        <w:sz w:val="24"/>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num w:numId="1">
    <w:abstractNumId w:val="1"/>
  </w:num>
  <w:num w:numId="2">
    <w:abstractNumId w:val="5"/>
  </w:num>
  <w:num w:numId="3">
    <w:abstractNumId w:val="0"/>
  </w:num>
  <w:num w:numId="4">
    <w:abstractNumId w:val="6"/>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revisionView w:inkAnnotations="0"/>
  <w:defaultTabStop w:val="420"/>
  <w:drawingGridVerticalSpacing w:val="156"/>
  <w:noPunctuationKerning/>
  <w:characterSpacingControl w:val="compressPunctuation"/>
  <w:hdrShapeDefaults>
    <o:shapedefaults v:ext="edit" spidmax="4097"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strokecolor="#739cc3">
      <v:fill angle="90" type="gradient">
        <o:fill v:ext="view" type="gradientUnscaled"/>
      </v:fill>
      <v:stroke color="#739cc3" weight="1.25pt"/>
    </o:shapedefaults>
    <o:shapelayout v:ext="edit">
      <o:idmap v:ext="edit" data="1"/>
      <o:rules v:ext="edit">
        <o:r id="V:Rule1" type="callout"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qFormat="1"/>
    <w:lsdException w:name="footer" w:qFormat="1"/>
    <w:lsdException w:name="caption" w:qFormat="1"/>
    <w:lsdException w:name="annotation reference" w:qFormat="1"/>
    <w:lsdException w:name="page number"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Note Heading" w:qFormat="1"/>
    <w:lsdException w:name="Body Text 2" w:qFormat="1"/>
    <w:lsdException w:name="Body Text Indent 2" w:qFormat="1"/>
    <w:lsdException w:name="Body Text Indent 3" w:qFormat="1"/>
    <w:lsdException w:name="Hyperlink" w:uiPriority="99" w:qFormat="1"/>
    <w:lsdException w:name="FollowedHyperlink"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numPr>
        <w:numId w:val="1"/>
      </w:numPr>
      <w:spacing w:before="340" w:after="330" w:line="578" w:lineRule="auto"/>
      <w:outlineLvl w:val="0"/>
    </w:pPr>
    <w:rPr>
      <w:rFonts w:ascii="Arial" w:eastAsia="黑体" w:hAnsi="Arial"/>
      <w:b/>
      <w:kern w:val="44"/>
      <w:sz w:val="52"/>
      <w:szCs w:val="20"/>
    </w:rPr>
  </w:style>
  <w:style w:type="paragraph" w:styleId="2">
    <w:name w:val="heading 2"/>
    <w:basedOn w:val="a"/>
    <w:next w:val="a"/>
    <w:link w:val="2Char"/>
    <w:qFormat/>
    <w:pPr>
      <w:keepNext/>
      <w:keepLines/>
      <w:spacing w:beforeLines="50" w:line="288" w:lineRule="auto"/>
      <w:jc w:val="center"/>
      <w:outlineLvl w:val="1"/>
    </w:pPr>
    <w:rPr>
      <w:rFonts w:ascii="仿宋_GB2312" w:eastAsia="仿宋_GB2312" w:hAnsi="仿宋"/>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te Heading"/>
    <w:basedOn w:val="a"/>
    <w:next w:val="a"/>
    <w:qFormat/>
    <w:pPr>
      <w:jc w:val="center"/>
    </w:pPr>
    <w:rPr>
      <w:szCs w:val="20"/>
    </w:rPr>
  </w:style>
  <w:style w:type="paragraph" w:styleId="a4">
    <w:name w:val="Normal Indent"/>
    <w:basedOn w:val="a"/>
    <w:pPr>
      <w:ind w:firstLine="420"/>
    </w:pPr>
    <w:rPr>
      <w:szCs w:val="20"/>
    </w:rPr>
  </w:style>
  <w:style w:type="paragraph" w:styleId="a5">
    <w:name w:val="annotation text"/>
    <w:basedOn w:val="a"/>
    <w:link w:val="Char"/>
    <w:semiHidden/>
    <w:qFormat/>
  </w:style>
  <w:style w:type="paragraph" w:styleId="a6">
    <w:name w:val="Body Text"/>
    <w:basedOn w:val="a"/>
    <w:link w:val="Char0"/>
    <w:qFormat/>
    <w:pPr>
      <w:spacing w:line="480" w:lineRule="exact"/>
    </w:pPr>
    <w:rPr>
      <w:rFonts w:ascii="宋体"/>
      <w:sz w:val="24"/>
      <w:szCs w:val="20"/>
    </w:rPr>
  </w:style>
  <w:style w:type="paragraph" w:styleId="a7">
    <w:name w:val="Body Text Indent"/>
    <w:basedOn w:val="a"/>
    <w:link w:val="Char1"/>
    <w:qFormat/>
    <w:pPr>
      <w:spacing w:line="480" w:lineRule="exact"/>
      <w:ind w:firstLine="480"/>
    </w:pPr>
    <w:rPr>
      <w:rFonts w:ascii="宋体"/>
      <w:sz w:val="24"/>
      <w:szCs w:val="20"/>
    </w:rPr>
  </w:style>
  <w:style w:type="paragraph" w:styleId="5">
    <w:name w:val="toc 5"/>
    <w:basedOn w:val="a"/>
    <w:next w:val="a"/>
    <w:semiHidden/>
    <w:qFormat/>
    <w:pPr>
      <w:ind w:leftChars="800" w:left="1680"/>
    </w:pPr>
  </w:style>
  <w:style w:type="paragraph" w:styleId="3">
    <w:name w:val="toc 3"/>
    <w:basedOn w:val="a"/>
    <w:next w:val="a"/>
    <w:uiPriority w:val="39"/>
    <w:semiHidden/>
    <w:qFormat/>
    <w:pPr>
      <w:ind w:leftChars="400" w:left="840"/>
    </w:pPr>
  </w:style>
  <w:style w:type="paragraph" w:styleId="a8">
    <w:name w:val="Plain Text"/>
    <w:aliases w:val="普通文字, Char Char,Char Char, Char,四号,图形,普通文字 Char Char Char Char,普通文字 Char Char Char Char Char,普通文字 Char Char Char Char Char Char,普通文字 Char Char Char Char Char Char Char Char,普通文字 Char1 Char,普通文字 Char1 Char Char Char Char"/>
    <w:basedOn w:val="a"/>
    <w:link w:val="Char2"/>
    <w:qFormat/>
    <w:rPr>
      <w:rFonts w:ascii="宋体" w:hAnsi="Courier New" w:hint="eastAsia"/>
      <w:szCs w:val="20"/>
    </w:rPr>
  </w:style>
  <w:style w:type="paragraph" w:styleId="8">
    <w:name w:val="toc 8"/>
    <w:basedOn w:val="a"/>
    <w:next w:val="a"/>
    <w:semiHidden/>
    <w:qFormat/>
    <w:pPr>
      <w:ind w:leftChars="1400" w:left="2940"/>
    </w:pPr>
  </w:style>
  <w:style w:type="paragraph" w:styleId="a9">
    <w:name w:val="Date"/>
    <w:basedOn w:val="a"/>
    <w:next w:val="a"/>
    <w:link w:val="Char3"/>
    <w:qFormat/>
    <w:pPr>
      <w:adjustRightInd w:val="0"/>
      <w:spacing w:line="312" w:lineRule="atLeast"/>
      <w:jc w:val="right"/>
      <w:textAlignment w:val="baseline"/>
    </w:pPr>
    <w:rPr>
      <w:rFonts w:ascii="黑体" w:eastAsia="黑体" w:hAnsi="Arial Narrow"/>
      <w:b/>
      <w:kern w:val="0"/>
      <w:sz w:val="32"/>
      <w:szCs w:val="20"/>
    </w:rPr>
  </w:style>
  <w:style w:type="paragraph" w:styleId="20">
    <w:name w:val="Body Text Indent 2"/>
    <w:basedOn w:val="a"/>
    <w:link w:val="2Char0"/>
    <w:qFormat/>
    <w:pPr>
      <w:spacing w:line="360" w:lineRule="auto"/>
      <w:ind w:leftChars="29" w:left="61"/>
    </w:pPr>
    <w:rPr>
      <w:rFonts w:ascii="Arial Narrow" w:eastAsia="仿宋_GB2312" w:hAnsi="Arial Narrow"/>
      <w:sz w:val="24"/>
    </w:rPr>
  </w:style>
  <w:style w:type="paragraph" w:styleId="aa">
    <w:name w:val="Balloon Text"/>
    <w:basedOn w:val="a"/>
    <w:link w:val="Char4"/>
    <w:uiPriority w:val="99"/>
    <w:semiHidden/>
    <w:qFormat/>
    <w:rPr>
      <w:sz w:val="18"/>
      <w:szCs w:val="18"/>
    </w:rPr>
  </w:style>
  <w:style w:type="paragraph" w:styleId="ab">
    <w:name w:val="footer"/>
    <w:basedOn w:val="a"/>
    <w:link w:val="Char5"/>
    <w:qFormat/>
    <w:pPr>
      <w:pBdr>
        <w:top w:val="single" w:sz="6" w:space="1" w:color="auto"/>
      </w:pBdr>
      <w:snapToGrid w:val="0"/>
      <w:jc w:val="center"/>
    </w:pPr>
    <w:rPr>
      <w:sz w:val="18"/>
      <w:szCs w:val="20"/>
    </w:rPr>
  </w:style>
  <w:style w:type="paragraph" w:styleId="ac">
    <w:name w:val="header"/>
    <w:basedOn w:val="a"/>
    <w:next w:val="ab"/>
    <w:link w:val="Char6"/>
    <w:qFormat/>
    <w:pPr>
      <w:pBdr>
        <w:bottom w:val="single" w:sz="6" w:space="1" w:color="auto"/>
      </w:pBdr>
      <w:tabs>
        <w:tab w:val="center" w:pos="4153"/>
        <w:tab w:val="right" w:pos="8306"/>
      </w:tabs>
      <w:adjustRightInd w:val="0"/>
      <w:spacing w:line="240" w:lineRule="atLeast"/>
      <w:jc w:val="center"/>
      <w:textAlignment w:val="baseline"/>
    </w:pPr>
    <w:rPr>
      <w:kern w:val="0"/>
      <w:sz w:val="18"/>
      <w:szCs w:val="20"/>
    </w:rPr>
  </w:style>
  <w:style w:type="paragraph" w:styleId="10">
    <w:name w:val="toc 1"/>
    <w:basedOn w:val="a"/>
    <w:next w:val="a"/>
    <w:uiPriority w:val="39"/>
    <w:qFormat/>
    <w:pPr>
      <w:tabs>
        <w:tab w:val="right" w:leader="dot" w:pos="8303"/>
      </w:tabs>
      <w:jc w:val="center"/>
    </w:pPr>
    <w:rPr>
      <w:rFonts w:ascii="仿宋_GB2312" w:eastAsia="仿宋_GB2312"/>
      <w:b/>
      <w:sz w:val="32"/>
      <w:szCs w:val="32"/>
    </w:rPr>
  </w:style>
  <w:style w:type="paragraph" w:styleId="4">
    <w:name w:val="toc 4"/>
    <w:basedOn w:val="a"/>
    <w:next w:val="a"/>
    <w:semiHidden/>
    <w:qFormat/>
    <w:pPr>
      <w:ind w:leftChars="600" w:left="1260"/>
    </w:pPr>
  </w:style>
  <w:style w:type="paragraph" w:styleId="ad">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6">
    <w:name w:val="toc 6"/>
    <w:basedOn w:val="a"/>
    <w:next w:val="a"/>
    <w:semiHidden/>
    <w:qFormat/>
    <w:pPr>
      <w:ind w:leftChars="1000" w:left="2100"/>
    </w:pPr>
  </w:style>
  <w:style w:type="paragraph" w:styleId="30">
    <w:name w:val="Body Text Indent 3"/>
    <w:basedOn w:val="a"/>
    <w:link w:val="3Char"/>
    <w:qFormat/>
    <w:pPr>
      <w:ind w:firstLineChars="200" w:firstLine="560"/>
    </w:pPr>
    <w:rPr>
      <w:sz w:val="28"/>
    </w:rPr>
  </w:style>
  <w:style w:type="paragraph" w:styleId="21">
    <w:name w:val="toc 2"/>
    <w:basedOn w:val="a"/>
    <w:next w:val="a"/>
    <w:uiPriority w:val="39"/>
    <w:qFormat/>
    <w:pPr>
      <w:tabs>
        <w:tab w:val="right" w:leader="dot" w:pos="8303"/>
      </w:tabs>
      <w:ind w:leftChars="200" w:left="420"/>
    </w:pPr>
    <w:rPr>
      <w:rFonts w:ascii="楷体_GB2312" w:eastAsia="楷体_GB2312"/>
      <w:b/>
      <w:bCs/>
      <w:sz w:val="32"/>
    </w:rPr>
  </w:style>
  <w:style w:type="paragraph" w:styleId="9">
    <w:name w:val="toc 9"/>
    <w:basedOn w:val="a"/>
    <w:next w:val="a"/>
    <w:semiHidden/>
    <w:qFormat/>
    <w:pPr>
      <w:ind w:leftChars="1600" w:left="3360"/>
    </w:pPr>
  </w:style>
  <w:style w:type="paragraph" w:styleId="22">
    <w:name w:val="Body Text 2"/>
    <w:basedOn w:val="a"/>
    <w:link w:val="2Char1"/>
    <w:qFormat/>
    <w:rPr>
      <w:sz w:val="24"/>
    </w:rPr>
  </w:style>
  <w:style w:type="paragraph" w:styleId="ae">
    <w:name w:val="Normal (Web)"/>
    <w:basedOn w:val="a"/>
    <w:uiPriority w:val="99"/>
    <w:qFormat/>
    <w:pPr>
      <w:spacing w:before="100" w:beforeAutospacing="1" w:after="100" w:afterAutospacing="1"/>
    </w:pPr>
    <w:rPr>
      <w:rFonts w:ascii="宋体" w:hAnsi="宋体"/>
      <w:kern w:val="0"/>
      <w:sz w:val="24"/>
    </w:rPr>
  </w:style>
  <w:style w:type="paragraph" w:styleId="af">
    <w:name w:val="annotation subject"/>
    <w:basedOn w:val="a5"/>
    <w:next w:val="a5"/>
    <w:link w:val="Char8"/>
    <w:semiHidden/>
    <w:qFormat/>
    <w:rPr>
      <w:b/>
      <w:bCs/>
    </w:rPr>
  </w:style>
  <w:style w:type="table" w:styleId="af0">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semiHidden/>
    <w:qFormat/>
    <w:rPr>
      <w:sz w:val="21"/>
      <w:szCs w:val="21"/>
    </w:rPr>
  </w:style>
  <w:style w:type="character" w:customStyle="1" w:styleId="1Char">
    <w:name w:val="标题 1 Char"/>
    <w:link w:val="1"/>
    <w:uiPriority w:val="9"/>
    <w:qFormat/>
    <w:rPr>
      <w:rFonts w:ascii="Arial" w:eastAsia="黑体" w:hAnsi="Arial"/>
      <w:b/>
      <w:kern w:val="44"/>
      <w:sz w:val="52"/>
    </w:rPr>
  </w:style>
  <w:style w:type="character" w:customStyle="1" w:styleId="2Char">
    <w:name w:val="标题 2 Char"/>
    <w:link w:val="2"/>
    <w:qFormat/>
    <w:rPr>
      <w:rFonts w:ascii="仿宋_GB2312" w:eastAsia="仿宋_GB2312" w:hAnsi="仿宋"/>
      <w:b/>
      <w:bCs/>
      <w:kern w:val="2"/>
      <w:sz w:val="32"/>
      <w:szCs w:val="32"/>
    </w:rPr>
  </w:style>
  <w:style w:type="character" w:customStyle="1" w:styleId="Char">
    <w:name w:val="批注文字 Char"/>
    <w:link w:val="a5"/>
    <w:semiHidden/>
    <w:qFormat/>
    <w:rPr>
      <w:kern w:val="2"/>
      <w:sz w:val="21"/>
      <w:szCs w:val="24"/>
    </w:rPr>
  </w:style>
  <w:style w:type="character" w:customStyle="1" w:styleId="Char8">
    <w:name w:val="批注主题 Char"/>
    <w:link w:val="af"/>
    <w:semiHidden/>
    <w:qFormat/>
    <w:rPr>
      <w:b/>
      <w:bCs/>
      <w:kern w:val="2"/>
      <w:sz w:val="21"/>
      <w:szCs w:val="24"/>
    </w:rPr>
  </w:style>
  <w:style w:type="character" w:customStyle="1" w:styleId="Char0">
    <w:name w:val="正文文本 Char"/>
    <w:link w:val="a6"/>
    <w:qFormat/>
    <w:rPr>
      <w:rFonts w:ascii="宋体"/>
      <w:kern w:val="2"/>
      <w:sz w:val="24"/>
    </w:rPr>
  </w:style>
  <w:style w:type="character" w:customStyle="1" w:styleId="Char1">
    <w:name w:val="正文文本缩进 Char"/>
    <w:link w:val="a7"/>
    <w:qFormat/>
    <w:rPr>
      <w:rFonts w:ascii="宋体"/>
      <w:kern w:val="2"/>
      <w:sz w:val="24"/>
    </w:rPr>
  </w:style>
  <w:style w:type="character" w:customStyle="1" w:styleId="Char2">
    <w:name w:val="纯文本 Char"/>
    <w:aliases w:val="普通文字 Char, Char Char Char,Char Char Char, Char Char1,四号 Char,图形 Char,普通文字 Char Char Char Char Char1,普通文字 Char Char Char Char Char Char1,普通文字 Char Char Char Char Char Char Char,普通文字 Char Char Char Char Char Char Char Char Char"/>
    <w:link w:val="a8"/>
    <w:qFormat/>
    <w:rPr>
      <w:rFonts w:ascii="宋体" w:eastAsia="宋体" w:hAnsi="Courier New"/>
      <w:kern w:val="2"/>
      <w:sz w:val="21"/>
      <w:lang w:val="en-US" w:eastAsia="zh-CN" w:bidi="ar-SA"/>
    </w:rPr>
  </w:style>
  <w:style w:type="character" w:customStyle="1" w:styleId="Char3">
    <w:name w:val="日期 Char"/>
    <w:link w:val="a9"/>
    <w:qFormat/>
    <w:rPr>
      <w:rFonts w:ascii="黑体" w:eastAsia="黑体" w:hAnsi="Arial Narrow"/>
      <w:b/>
      <w:sz w:val="32"/>
    </w:rPr>
  </w:style>
  <w:style w:type="character" w:customStyle="1" w:styleId="2Char0">
    <w:name w:val="正文文本缩进 2 Char"/>
    <w:link w:val="20"/>
    <w:qFormat/>
    <w:rPr>
      <w:rFonts w:ascii="Arial Narrow" w:eastAsia="仿宋_GB2312" w:hAnsi="Arial Narrow"/>
      <w:kern w:val="2"/>
      <w:sz w:val="24"/>
      <w:szCs w:val="24"/>
    </w:rPr>
  </w:style>
  <w:style w:type="character" w:customStyle="1" w:styleId="Char4">
    <w:name w:val="批注框文本 Char"/>
    <w:link w:val="aa"/>
    <w:uiPriority w:val="99"/>
    <w:semiHidden/>
    <w:qFormat/>
    <w:rPr>
      <w:kern w:val="2"/>
      <w:sz w:val="18"/>
      <w:szCs w:val="18"/>
    </w:rPr>
  </w:style>
  <w:style w:type="character" w:customStyle="1" w:styleId="Char5">
    <w:name w:val="页脚 Char"/>
    <w:link w:val="ab"/>
    <w:qFormat/>
    <w:rPr>
      <w:kern w:val="2"/>
      <w:sz w:val="18"/>
    </w:rPr>
  </w:style>
  <w:style w:type="character" w:customStyle="1" w:styleId="Char6">
    <w:name w:val="页眉 Char"/>
    <w:link w:val="ac"/>
    <w:uiPriority w:val="99"/>
    <w:qFormat/>
    <w:rPr>
      <w:sz w:val="18"/>
    </w:rPr>
  </w:style>
  <w:style w:type="character" w:customStyle="1" w:styleId="Char7">
    <w:name w:val="副标题 Char"/>
    <w:link w:val="ad"/>
    <w:qFormat/>
    <w:rPr>
      <w:rFonts w:ascii="Cambria" w:hAnsi="Cambria" w:cs="Times New Roman"/>
      <w:b/>
      <w:bCs/>
      <w:kern w:val="28"/>
      <w:sz w:val="32"/>
      <w:szCs w:val="32"/>
    </w:rPr>
  </w:style>
  <w:style w:type="paragraph" w:customStyle="1" w:styleId="XBT">
    <w:name w:val="XBT"/>
    <w:basedOn w:val="a"/>
    <w:qFormat/>
    <w:pPr>
      <w:adjustRightInd w:val="0"/>
      <w:spacing w:before="360" w:after="240" w:line="440" w:lineRule="atLeast"/>
      <w:ind w:firstLine="482"/>
      <w:textAlignment w:val="baseline"/>
    </w:pPr>
    <w:rPr>
      <w:rFonts w:ascii="Arial Narrow" w:eastAsia="黑体" w:hAnsi="Arial Narrow"/>
      <w:b/>
      <w:kern w:val="0"/>
      <w:sz w:val="24"/>
      <w:szCs w:val="20"/>
    </w:rPr>
  </w:style>
  <w:style w:type="paragraph" w:customStyle="1" w:styleId="zw">
    <w:name w:val="zw"/>
    <w:basedOn w:val="a"/>
    <w:qFormat/>
    <w:pPr>
      <w:adjustRightInd w:val="0"/>
      <w:spacing w:line="360" w:lineRule="auto"/>
      <w:ind w:firstLine="482"/>
      <w:textAlignment w:val="baseline"/>
    </w:pPr>
    <w:rPr>
      <w:rFonts w:ascii="Arial Narrow" w:eastAsia="楷体_GB2312" w:hAnsi="Arial Narrow"/>
      <w:kern w:val="0"/>
      <w:sz w:val="24"/>
      <w:szCs w:val="20"/>
    </w:rPr>
  </w:style>
  <w:style w:type="paragraph" w:customStyle="1" w:styleId="Char9">
    <w:name w:val="Char"/>
    <w:basedOn w:val="a"/>
    <w:qFormat/>
    <w:rPr>
      <w:rFonts w:ascii="宋体" w:hAnsi="宋体" w:cs="宋体"/>
      <w:sz w:val="32"/>
      <w:szCs w:val="32"/>
    </w:rPr>
  </w:style>
  <w:style w:type="paragraph" w:customStyle="1" w:styleId="Char10">
    <w:name w:val="Char1"/>
    <w:basedOn w:val="a"/>
    <w:qFormat/>
    <w:rPr>
      <w:rFonts w:ascii="宋体" w:hAnsi="宋体" w:cs="宋体"/>
      <w:sz w:val="32"/>
      <w:szCs w:val="32"/>
    </w:rPr>
  </w:style>
  <w:style w:type="paragraph" w:customStyle="1" w:styleId="TOC1">
    <w:name w:val="TOC 标题1"/>
    <w:basedOn w:val="1"/>
    <w:next w:val="a"/>
    <w:uiPriority w:val="39"/>
    <w:qFormat/>
    <w:pPr>
      <w:numPr>
        <w:numId w:val="0"/>
      </w:numPr>
      <w:spacing w:before="480" w:after="0" w:line="276" w:lineRule="auto"/>
      <w:outlineLvl w:val="9"/>
    </w:pPr>
    <w:rPr>
      <w:rFonts w:ascii="Cambria" w:eastAsia="宋体" w:hAnsi="Cambria"/>
      <w:bCs/>
      <w:color w:val="365F91"/>
      <w:kern w:val="0"/>
      <w:sz w:val="28"/>
      <w:szCs w:val="28"/>
    </w:rPr>
  </w:style>
  <w:style w:type="character" w:customStyle="1" w:styleId="tpccontent1">
    <w:name w:val="tpc_content1"/>
    <w:qFormat/>
    <w:rPr>
      <w:sz w:val="20"/>
      <w:szCs w:val="20"/>
    </w:rPr>
  </w:style>
  <w:style w:type="character" w:customStyle="1" w:styleId="til1">
    <w:name w:val="til1"/>
    <w:basedOn w:val="a0"/>
    <w:qFormat/>
  </w:style>
  <w:style w:type="character" w:customStyle="1" w:styleId="CharChar">
    <w:name w:val="普通文字 Char Char"/>
    <w:qFormat/>
    <w:rPr>
      <w:rFonts w:ascii="宋体" w:eastAsia="宋体" w:hAnsi="Courier New"/>
      <w:kern w:val="2"/>
      <w:sz w:val="21"/>
      <w:lang w:val="en-US" w:eastAsia="zh-CN" w:bidi="ar-SA"/>
    </w:rPr>
  </w:style>
  <w:style w:type="paragraph" w:customStyle="1" w:styleId="-">
    <w:name w:val="模版-正文空两格"/>
    <w:basedOn w:val="a"/>
    <w:qFormat/>
    <w:pPr>
      <w:adjustRightInd w:val="0"/>
      <w:snapToGrid w:val="0"/>
      <w:spacing w:line="420" w:lineRule="exact"/>
      <w:ind w:firstLineChars="200" w:firstLine="440"/>
    </w:pPr>
    <w:rPr>
      <w:rFonts w:ascii="宋体" w:hAnsi="宋体"/>
      <w:color w:val="000000"/>
      <w:spacing w:val="-10"/>
      <w:kern w:val="24"/>
      <w:sz w:val="24"/>
    </w:rPr>
  </w:style>
  <w:style w:type="paragraph" w:customStyle="1" w:styleId="Char12">
    <w:name w:val="Char12"/>
    <w:basedOn w:val="a"/>
    <w:qFormat/>
    <w:rPr>
      <w:rFonts w:ascii="Verdana" w:eastAsia="仿宋_GB2312" w:hAnsi="Verdana"/>
      <w:kern w:val="0"/>
      <w:sz w:val="24"/>
      <w:szCs w:val="20"/>
      <w:lang w:eastAsia="en-US"/>
    </w:rPr>
  </w:style>
  <w:style w:type="character" w:customStyle="1" w:styleId="3Char">
    <w:name w:val="正文文本缩进 3 Char"/>
    <w:link w:val="30"/>
    <w:qFormat/>
    <w:rPr>
      <w:kern w:val="2"/>
      <w:sz w:val="28"/>
      <w:szCs w:val="24"/>
    </w:rPr>
  </w:style>
  <w:style w:type="character" w:customStyle="1" w:styleId="2Char1">
    <w:name w:val="正文文本 2 Char"/>
    <w:link w:val="22"/>
    <w:rPr>
      <w:kern w:val="2"/>
      <w:sz w:val="24"/>
      <w:szCs w:val="24"/>
    </w:rPr>
  </w:style>
  <w:style w:type="paragraph" w:customStyle="1" w:styleId="CharCharChar1CharCharCharChar">
    <w:name w:val="Char Char Char1 Char Char Char Char"/>
    <w:basedOn w:val="a"/>
    <w:qFormat/>
    <w:rPr>
      <w:rFonts w:ascii="宋体" w:hAnsi="宋体" w:cs="Courier New"/>
      <w:sz w:val="32"/>
      <w:szCs w:val="32"/>
    </w:rPr>
  </w:style>
  <w:style w:type="paragraph" w:customStyle="1" w:styleId="CharCharCharCharCharChar">
    <w:name w:val="Char Char Char Char Char Char"/>
    <w:basedOn w:val="a"/>
    <w:qFormat/>
  </w:style>
  <w:style w:type="character" w:customStyle="1" w:styleId="grame">
    <w:name w:val="grame"/>
    <w:qFormat/>
  </w:style>
  <w:style w:type="paragraph" w:customStyle="1" w:styleId="CharCharChar1CharCharCharChar2">
    <w:name w:val="Char Char Char1 Char Char Char Char2"/>
    <w:basedOn w:val="a"/>
    <w:rPr>
      <w:rFonts w:ascii="宋体" w:hAnsi="宋体" w:cs="Courier New"/>
      <w:sz w:val="32"/>
      <w:szCs w:val="32"/>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CharChar12">
    <w:name w:val="Char Char12"/>
    <w:semiHidden/>
    <w:qFormat/>
    <w:locked/>
    <w:rPr>
      <w:rFonts w:eastAsia="宋体"/>
      <w:kern w:val="2"/>
      <w:sz w:val="21"/>
      <w:szCs w:val="24"/>
      <w:lang w:val="en-US" w:eastAsia="zh-CN" w:bidi="ar-SA"/>
    </w:rPr>
  </w:style>
  <w:style w:type="character" w:customStyle="1" w:styleId="CharChar3">
    <w:name w:val="Char Char3"/>
    <w:semiHidden/>
    <w:qFormat/>
    <w:locked/>
    <w:rPr>
      <w:rFonts w:eastAsia="宋体"/>
      <w:kern w:val="2"/>
      <w:sz w:val="21"/>
      <w:szCs w:val="24"/>
      <w:lang w:val="en-US" w:eastAsia="zh-CN" w:bidi="ar-SA"/>
    </w:rPr>
  </w:style>
  <w:style w:type="paragraph" w:customStyle="1" w:styleId="Char11">
    <w:name w:val="Char11"/>
    <w:basedOn w:val="a"/>
    <w:qFormat/>
    <w:rPr>
      <w:rFonts w:ascii="Verdana" w:eastAsia="仿宋_GB2312" w:hAnsi="Verdana"/>
      <w:kern w:val="0"/>
      <w:sz w:val="24"/>
      <w:szCs w:val="20"/>
      <w:lang w:eastAsia="en-US"/>
    </w:rPr>
  </w:style>
  <w:style w:type="paragraph" w:customStyle="1" w:styleId="CharCharChar1CharCharCharChar1">
    <w:name w:val="Char Char Char1 Char Char Char Char1"/>
    <w:basedOn w:val="a"/>
    <w:rPr>
      <w:rFonts w:ascii="宋体" w:hAnsi="宋体" w:cs="Courier New"/>
      <w:sz w:val="32"/>
      <w:szCs w:val="32"/>
    </w:rPr>
  </w:style>
  <w:style w:type="paragraph" w:customStyle="1" w:styleId="CharCharCharCharCharChar1">
    <w:name w:val="Char Char Char Char Char Char1"/>
    <w:basedOn w:val="a"/>
  </w:style>
  <w:style w:type="character" w:customStyle="1" w:styleId="CharChar31">
    <w:name w:val="Char Char31"/>
    <w:semiHidden/>
    <w:qFormat/>
    <w:locked/>
    <w:rPr>
      <w:rFonts w:eastAsia="宋体"/>
      <w:kern w:val="2"/>
      <w:sz w:val="21"/>
      <w:szCs w:val="24"/>
      <w:lang w:val="en-US" w:eastAsia="zh-CN" w:bidi="ar-SA"/>
    </w:rPr>
  </w:style>
  <w:style w:type="paragraph" w:customStyle="1" w:styleId="Char13">
    <w:name w:val="Char13"/>
    <w:basedOn w:val="a"/>
    <w:qFormat/>
    <w:rPr>
      <w:rFonts w:ascii="Verdana" w:eastAsia="仿宋_GB2312" w:hAnsi="Verdana"/>
      <w:kern w:val="0"/>
      <w:sz w:val="24"/>
      <w:szCs w:val="20"/>
      <w:lang w:eastAsia="en-US"/>
    </w:rPr>
  </w:style>
  <w:style w:type="paragraph" w:customStyle="1" w:styleId="CharCharChar1CharCharCharChar3">
    <w:name w:val="Char Char Char1 Char Char Char Char3"/>
    <w:basedOn w:val="a"/>
    <w:qFormat/>
    <w:rPr>
      <w:rFonts w:ascii="宋体" w:hAnsi="宋体" w:cs="Courier New"/>
      <w:sz w:val="32"/>
      <w:szCs w:val="32"/>
    </w:rPr>
  </w:style>
  <w:style w:type="paragraph" w:customStyle="1" w:styleId="CharCharCharCharCharChar2">
    <w:name w:val="Char Char Char Char Char Char2"/>
    <w:basedOn w:val="a"/>
    <w:qFormat/>
  </w:style>
  <w:style w:type="character" w:customStyle="1" w:styleId="CharChar32">
    <w:name w:val="Char Char32"/>
    <w:semiHidden/>
    <w:qFormat/>
    <w:locked/>
    <w:rPr>
      <w:rFonts w:eastAsia="宋体"/>
      <w:kern w:val="2"/>
      <w:sz w:val="21"/>
      <w:szCs w:val="24"/>
      <w:lang w:val="en-US" w:eastAsia="zh-CN" w:bidi="ar-SA"/>
    </w:rPr>
  </w:style>
  <w:style w:type="paragraph" w:customStyle="1" w:styleId="Char14">
    <w:name w:val="Char14"/>
    <w:basedOn w:val="a"/>
    <w:qFormat/>
    <w:rPr>
      <w:rFonts w:ascii="Verdana" w:eastAsia="仿宋_GB2312" w:hAnsi="Verdana"/>
      <w:kern w:val="0"/>
      <w:sz w:val="24"/>
      <w:szCs w:val="20"/>
      <w:lang w:eastAsia="en-US"/>
    </w:rPr>
  </w:style>
  <w:style w:type="paragraph" w:customStyle="1" w:styleId="CharCharChar1CharCharCharChar4">
    <w:name w:val="Char Char Char1 Char Char Char Char4"/>
    <w:basedOn w:val="a"/>
    <w:qFormat/>
    <w:rPr>
      <w:rFonts w:ascii="宋体" w:hAnsi="宋体" w:cs="Courier New"/>
      <w:sz w:val="32"/>
      <w:szCs w:val="32"/>
    </w:rPr>
  </w:style>
  <w:style w:type="paragraph" w:customStyle="1" w:styleId="CharCharCharCharCharChar3">
    <w:name w:val="Char Char Char Char Char Char3"/>
    <w:basedOn w:val="a"/>
    <w:qFormat/>
  </w:style>
  <w:style w:type="character" w:customStyle="1" w:styleId="CharChar33">
    <w:name w:val="Char Char33"/>
    <w:semiHidden/>
    <w:qFormat/>
    <w:locked/>
    <w:rPr>
      <w:rFonts w:eastAsia="宋体"/>
      <w:kern w:val="2"/>
      <w:sz w:val="21"/>
      <w:szCs w:val="24"/>
      <w:lang w:val="en-US" w:eastAsia="zh-CN" w:bidi="ar-SA"/>
    </w:rPr>
  </w:style>
  <w:style w:type="paragraph" w:customStyle="1" w:styleId="Char15">
    <w:name w:val="Char15"/>
    <w:basedOn w:val="a"/>
    <w:qFormat/>
    <w:rPr>
      <w:rFonts w:ascii="Verdana" w:eastAsia="仿宋_GB2312" w:hAnsi="Verdana"/>
      <w:kern w:val="0"/>
      <w:sz w:val="24"/>
      <w:szCs w:val="20"/>
      <w:lang w:eastAsia="en-US"/>
    </w:rPr>
  </w:style>
  <w:style w:type="paragraph" w:customStyle="1" w:styleId="CharCharChar1CharCharCharChar5">
    <w:name w:val="Char Char Char1 Char Char Char Char5"/>
    <w:basedOn w:val="a"/>
    <w:qFormat/>
    <w:rPr>
      <w:rFonts w:ascii="宋体" w:hAnsi="宋体" w:cs="Courier New"/>
      <w:sz w:val="32"/>
      <w:szCs w:val="32"/>
    </w:rPr>
  </w:style>
  <w:style w:type="paragraph" w:customStyle="1" w:styleId="CharCharCharCharCharChar4">
    <w:name w:val="Char Char Char Char Char Char4"/>
    <w:basedOn w:val="a"/>
    <w:qFormat/>
  </w:style>
  <w:style w:type="paragraph" w:customStyle="1" w:styleId="Char16">
    <w:name w:val="Char16"/>
    <w:basedOn w:val="a"/>
    <w:qFormat/>
    <w:rPr>
      <w:rFonts w:ascii="Verdana" w:eastAsia="仿宋_GB2312" w:hAnsi="Verdana"/>
      <w:kern w:val="0"/>
      <w:sz w:val="24"/>
      <w:szCs w:val="20"/>
      <w:lang w:eastAsia="en-US"/>
    </w:rPr>
  </w:style>
  <w:style w:type="paragraph" w:customStyle="1" w:styleId="CharCharChar1CharCharCharChar6">
    <w:name w:val="Char Char Char1 Char Char Char Char6"/>
    <w:basedOn w:val="a"/>
    <w:qFormat/>
    <w:rPr>
      <w:rFonts w:ascii="宋体" w:hAnsi="宋体" w:cs="Courier New"/>
      <w:sz w:val="32"/>
      <w:szCs w:val="32"/>
    </w:rPr>
  </w:style>
  <w:style w:type="paragraph" w:customStyle="1" w:styleId="CharCharCharCharCharChar5">
    <w:name w:val="Char Char Char Char Char Char5"/>
    <w:basedOn w:val="a"/>
    <w:qFormat/>
  </w:style>
  <w:style w:type="character" w:customStyle="1" w:styleId="CharChar34">
    <w:name w:val="Char Char34"/>
    <w:semiHidden/>
    <w:qFormat/>
    <w:locked/>
    <w:rPr>
      <w:rFonts w:eastAsia="宋体"/>
      <w:kern w:val="2"/>
      <w:sz w:val="21"/>
      <w:szCs w:val="24"/>
      <w:lang w:val="en-US" w:eastAsia="zh-CN" w:bidi="ar-SA"/>
    </w:rPr>
  </w:style>
  <w:style w:type="paragraph" w:customStyle="1" w:styleId="Char17">
    <w:name w:val="Char17"/>
    <w:basedOn w:val="a"/>
    <w:qFormat/>
    <w:rPr>
      <w:rFonts w:ascii="Verdana" w:eastAsia="仿宋_GB2312" w:hAnsi="Verdana"/>
      <w:kern w:val="0"/>
      <w:sz w:val="24"/>
      <w:szCs w:val="20"/>
      <w:lang w:eastAsia="en-US"/>
    </w:rPr>
  </w:style>
  <w:style w:type="paragraph" w:customStyle="1" w:styleId="CharCharChar1CharCharCharChar7">
    <w:name w:val="Char Char Char1 Char Char Char Char7"/>
    <w:basedOn w:val="a"/>
    <w:qFormat/>
    <w:rPr>
      <w:rFonts w:ascii="宋体" w:hAnsi="宋体" w:cs="Courier New"/>
      <w:sz w:val="32"/>
      <w:szCs w:val="32"/>
    </w:rPr>
  </w:style>
  <w:style w:type="paragraph" w:customStyle="1" w:styleId="CharCharCharCharCharChar6">
    <w:name w:val="Char Char Char Char Char Char6"/>
    <w:basedOn w:val="a"/>
    <w:qFormat/>
  </w:style>
  <w:style w:type="character" w:customStyle="1" w:styleId="CharChar35">
    <w:name w:val="Char Char35"/>
    <w:semiHidden/>
    <w:qFormat/>
    <w:locked/>
    <w:rPr>
      <w:rFonts w:eastAsia="宋体"/>
      <w:kern w:val="2"/>
      <w:sz w:val="21"/>
      <w:szCs w:val="24"/>
      <w:lang w:val="en-US" w:eastAsia="zh-CN" w:bidi="ar-SA"/>
    </w:rPr>
  </w:style>
  <w:style w:type="paragraph" w:styleId="af5">
    <w:name w:val="List Paragraph"/>
    <w:basedOn w:val="a"/>
    <w:uiPriority w:val="34"/>
    <w:qFormat/>
    <w:pPr>
      <w:ind w:firstLineChars="200" w:firstLine="420"/>
    </w:pPr>
  </w:style>
  <w:style w:type="paragraph" w:customStyle="1" w:styleId="11">
    <w:name w:val="修订1"/>
    <w:hidden/>
    <w:uiPriority w:val="99"/>
    <w:unhideWhenUsed/>
    <w:qFormat/>
    <w:rPr>
      <w:rFonts w:ascii="Times New Roman" w:eastAsia="宋体" w:hAnsi="Times New Roman" w:cs="Times New Roman"/>
      <w:kern w:val="2"/>
      <w:sz w:val="21"/>
      <w:szCs w:val="24"/>
    </w:rPr>
  </w:style>
  <w:style w:type="table" w:customStyle="1" w:styleId="12">
    <w:name w:val="网格型1"/>
    <w:basedOn w:val="a1"/>
    <w:next w:val="af0"/>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ubtle Reference"/>
    <w:basedOn w:val="a0"/>
    <w:uiPriority w:val="31"/>
    <w:qFormat/>
    <w:rPr>
      <w:smallCaps/>
      <w:color w:val="5A5A5A" w:themeColor="text1" w:themeTint="A5"/>
    </w:rPr>
  </w:style>
</w:styles>
</file>

<file path=word/webSettings.xml><?xml version="1.0" encoding="utf-8"?>
<w:webSettings xmlns:r="http://schemas.openxmlformats.org/officeDocument/2006/relationships" xmlns:w="http://schemas.openxmlformats.org/wordprocessingml/2006/main">
  <w:divs>
    <w:div w:id="337735818">
      <w:bodyDiv w:val="1"/>
      <w:marLeft w:val="0"/>
      <w:marRight w:val="0"/>
      <w:marTop w:val="0"/>
      <w:marBottom w:val="0"/>
      <w:divBdr>
        <w:top w:val="none" w:sz="0" w:space="0" w:color="auto"/>
        <w:left w:val="none" w:sz="0" w:space="0" w:color="auto"/>
        <w:bottom w:val="none" w:sz="0" w:space="0" w:color="auto"/>
        <w:right w:val="none" w:sz="0" w:space="0" w:color="auto"/>
      </w:divBdr>
    </w:div>
    <w:div w:id="469597765">
      <w:bodyDiv w:val="1"/>
      <w:marLeft w:val="0"/>
      <w:marRight w:val="0"/>
      <w:marTop w:val="0"/>
      <w:marBottom w:val="0"/>
      <w:divBdr>
        <w:top w:val="none" w:sz="0" w:space="0" w:color="auto"/>
        <w:left w:val="none" w:sz="0" w:space="0" w:color="auto"/>
        <w:bottom w:val="none" w:sz="0" w:space="0" w:color="auto"/>
        <w:right w:val="none" w:sz="0" w:space="0" w:color="auto"/>
      </w:divBdr>
    </w:div>
    <w:div w:id="877594901">
      <w:bodyDiv w:val="1"/>
      <w:marLeft w:val="0"/>
      <w:marRight w:val="0"/>
      <w:marTop w:val="0"/>
      <w:marBottom w:val="0"/>
      <w:divBdr>
        <w:top w:val="none" w:sz="0" w:space="0" w:color="auto"/>
        <w:left w:val="none" w:sz="0" w:space="0" w:color="auto"/>
        <w:bottom w:val="none" w:sz="0" w:space="0" w:color="auto"/>
        <w:right w:val="none" w:sz="0" w:space="0" w:color="auto"/>
      </w:divBdr>
    </w:div>
    <w:div w:id="1080256436">
      <w:bodyDiv w:val="1"/>
      <w:marLeft w:val="0"/>
      <w:marRight w:val="0"/>
      <w:marTop w:val="0"/>
      <w:marBottom w:val="0"/>
      <w:divBdr>
        <w:top w:val="none" w:sz="0" w:space="0" w:color="auto"/>
        <w:left w:val="none" w:sz="0" w:space="0" w:color="auto"/>
        <w:bottom w:val="none" w:sz="0" w:space="0" w:color="auto"/>
        <w:right w:val="none" w:sz="0" w:space="0" w:color="auto"/>
      </w:divBdr>
    </w:div>
    <w:div w:id="1091005654">
      <w:bodyDiv w:val="1"/>
      <w:marLeft w:val="0"/>
      <w:marRight w:val="0"/>
      <w:marTop w:val="0"/>
      <w:marBottom w:val="0"/>
      <w:divBdr>
        <w:top w:val="none" w:sz="0" w:space="0" w:color="auto"/>
        <w:left w:val="none" w:sz="0" w:space="0" w:color="auto"/>
        <w:bottom w:val="none" w:sz="0" w:space="0" w:color="auto"/>
        <w:right w:val="none" w:sz="0" w:space="0" w:color="auto"/>
      </w:divBdr>
    </w:div>
    <w:div w:id="1518494612">
      <w:bodyDiv w:val="1"/>
      <w:marLeft w:val="0"/>
      <w:marRight w:val="0"/>
      <w:marTop w:val="0"/>
      <w:marBottom w:val="0"/>
      <w:divBdr>
        <w:top w:val="none" w:sz="0" w:space="0" w:color="auto"/>
        <w:left w:val="none" w:sz="0" w:space="0" w:color="auto"/>
        <w:bottom w:val="none" w:sz="0" w:space="0" w:color="auto"/>
        <w:right w:val="none" w:sz="0" w:space="0" w:color="auto"/>
      </w:divBdr>
    </w:div>
    <w:div w:id="1733700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8EAA5C-657B-43A1-8D9D-004EFFC6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15</Pages>
  <Words>1197</Words>
  <Characters>6828</Characters>
  <Application>Microsoft Office Word</Application>
  <DocSecurity>0</DocSecurity>
  <Lines>56</Lines>
  <Paragraphs>16</Paragraphs>
  <ScaleCrop>false</ScaleCrop>
  <Company>lyzxgs</Company>
  <LinksUpToDate>false</LinksUpToDate>
  <CharactersWithSpaces>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subject/>
  <dc:creator>lyzx</dc:creator>
  <cp:keywords/>
  <cp:lastModifiedBy>NTKO</cp:lastModifiedBy>
  <cp:revision>23</cp:revision>
  <cp:lastPrinted>2022-06-28T07:55:00Z</cp:lastPrinted>
  <dcterms:created xsi:type="dcterms:W3CDTF">2021-09-23T00:48:00Z</dcterms:created>
  <dcterms:modified xsi:type="dcterms:W3CDTF">2022-06-28T07:56:00Z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