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eastAsia="黑体"/>
          <w:bCs/>
          <w:spacing w:val="40"/>
          <w:sz w:val="52"/>
        </w:rPr>
      </w:pPr>
    </w:p>
    <w:p>
      <w:pPr>
        <w:spacing w:line="600" w:lineRule="exact"/>
        <w:rPr>
          <w:rFonts w:ascii="黑体" w:eastAsia="黑体"/>
          <w:bCs/>
          <w:spacing w:val="40"/>
          <w:sz w:val="52"/>
        </w:rPr>
      </w:pPr>
    </w:p>
    <w:p>
      <w:pPr>
        <w:spacing w:line="600" w:lineRule="exact"/>
        <w:rPr>
          <w:rFonts w:ascii="黑体" w:eastAsia="黑体"/>
          <w:bCs/>
          <w:spacing w:val="40"/>
          <w:sz w:val="52"/>
        </w:rPr>
      </w:pPr>
    </w:p>
    <w:p>
      <w:pPr>
        <w:spacing w:line="600" w:lineRule="exact"/>
        <w:rPr>
          <w:rFonts w:ascii="黑体" w:eastAsia="黑体"/>
          <w:bCs/>
          <w:spacing w:val="40"/>
          <w:sz w:val="52"/>
        </w:rPr>
      </w:pPr>
    </w:p>
    <w:p>
      <w:pPr>
        <w:spacing w:line="600" w:lineRule="exact"/>
        <w:jc w:val="center"/>
        <w:rPr>
          <w:rFonts w:ascii="黑体" w:eastAsia="黑体"/>
          <w:bCs/>
          <w:spacing w:val="40"/>
          <w:sz w:val="52"/>
        </w:rPr>
      </w:pPr>
    </w:p>
    <w:p>
      <w:pPr>
        <w:spacing w:line="600" w:lineRule="exact"/>
        <w:jc w:val="center"/>
        <w:rPr>
          <w:rFonts w:ascii="黑体" w:eastAsia="黑体"/>
          <w:bCs/>
          <w:spacing w:val="40"/>
          <w:sz w:val="52"/>
        </w:rPr>
      </w:pPr>
      <w:r>
        <w:rPr>
          <w:rFonts w:hint="eastAsia" w:ascii="黑体" w:eastAsia="黑体"/>
          <w:bCs/>
          <w:spacing w:val="40"/>
          <w:sz w:val="52"/>
        </w:rPr>
        <w:t>涉执房地产处置</w:t>
      </w:r>
    </w:p>
    <w:p>
      <w:pPr>
        <w:spacing w:line="600" w:lineRule="exact"/>
        <w:jc w:val="center"/>
        <w:rPr>
          <w:rFonts w:ascii="黑体" w:eastAsia="黑体"/>
          <w:bCs/>
          <w:spacing w:val="40"/>
          <w:sz w:val="52"/>
        </w:rPr>
      </w:pPr>
      <w:r>
        <w:rPr>
          <w:rFonts w:hint="eastAsia" w:ascii="黑体" w:eastAsia="黑体"/>
          <w:bCs/>
          <w:spacing w:val="40"/>
          <w:sz w:val="52"/>
        </w:rPr>
        <w:t>司法评估报告</w:t>
      </w:r>
    </w:p>
    <w:p>
      <w:pPr>
        <w:spacing w:line="600" w:lineRule="exact"/>
        <w:rPr>
          <w:rFonts w:ascii="楷体_GB2312" w:eastAsia="楷体_GB2312"/>
          <w:sz w:val="24"/>
        </w:rPr>
      </w:pPr>
      <w:r>
        <w:rPr>
          <w:rFonts w:hint="eastAsia" w:ascii="楷体_GB2312" w:eastAsia="楷体_GB2312"/>
          <w:sz w:val="24"/>
        </w:rPr>
        <w:t xml:space="preserve">             </w:t>
      </w:r>
    </w:p>
    <w:p>
      <w:pPr>
        <w:spacing w:line="600" w:lineRule="exact"/>
        <w:rPr>
          <w:rFonts w:ascii="楷体_GB2312" w:eastAsia="楷体_GB2312"/>
          <w:sz w:val="24"/>
        </w:rPr>
      </w:pPr>
    </w:p>
    <w:p>
      <w:pPr>
        <w:spacing w:line="600" w:lineRule="exact"/>
        <w:ind w:left="1680" w:leftChars="800"/>
        <w:rPr>
          <w:rFonts w:ascii="楷体_GB2312" w:eastAsia="楷体_GB2312"/>
          <w:sz w:val="24"/>
        </w:rPr>
      </w:pPr>
    </w:p>
    <w:p>
      <w:pPr>
        <w:spacing w:line="640" w:lineRule="exact"/>
        <w:ind w:left="3395" w:leftChars="550" w:right="-315" w:rightChars="-150" w:hanging="2240" w:hangingChars="700"/>
        <w:rPr>
          <w:rFonts w:ascii="楷体_GB2312" w:eastAsia="楷体_GB2312"/>
          <w:sz w:val="32"/>
          <w:szCs w:val="32"/>
        </w:rPr>
      </w:pPr>
      <w:r>
        <w:rPr>
          <w:rFonts w:hint="eastAsia" w:ascii="楷体_GB2312" w:eastAsia="楷体_GB2312"/>
          <w:sz w:val="32"/>
          <w:szCs w:val="32"/>
        </w:rPr>
        <w:t>估价报告编号：湘天信2022（鉴）字第05-10575号</w:t>
      </w:r>
    </w:p>
    <w:p>
      <w:pPr>
        <w:spacing w:line="640" w:lineRule="exact"/>
        <w:ind w:left="3570" w:leftChars="550" w:right="-315" w:rightChars="-150" w:hanging="2415" w:hangingChars="1150"/>
        <w:rPr>
          <w:rFonts w:ascii="楷体_GB2312" w:eastAsia="楷体_GB2312"/>
          <w:sz w:val="32"/>
          <w:szCs w:val="32"/>
        </w:rPr>
      </w:pPr>
      <w:r>
        <w:pict>
          <v:line id="直线 2" o:spid="_x0000_s1027" o:spt="20" style="position:absolute;left:0pt;margin-left:120.75pt;margin-top:0pt;height:0pt;width:0.05pt;z-index:251659264;mso-width-relative:page;mso-height-relative:page;" coordsize="21600,21600" o:allowincell="f">
            <v:path arrowok="t"/>
            <v:fill focussize="0,0"/>
            <v:stroke/>
            <v:imagedata o:title=""/>
            <o:lock v:ext="edit"/>
          </v:line>
        </w:pict>
      </w:r>
      <w:r>
        <w:rPr>
          <w:rFonts w:hint="eastAsia" w:ascii="楷体_GB2312" w:eastAsia="楷体_GB2312"/>
          <w:sz w:val="32"/>
          <w:szCs w:val="32"/>
        </w:rPr>
        <w:t>估价项目名称：醴陵市来龙门街道办事处狮子坡102号101、102房地产市场价值估价</w:t>
      </w:r>
    </w:p>
    <w:p>
      <w:pPr>
        <w:tabs>
          <w:tab w:val="left" w:pos="2880"/>
        </w:tabs>
        <w:spacing w:line="640" w:lineRule="exact"/>
        <w:ind w:left="4035" w:leftChars="550" w:right="-315" w:rightChars="-150" w:hanging="2880" w:hangingChars="720"/>
        <w:jc w:val="left"/>
        <w:rPr>
          <w:rFonts w:ascii="楷体_GB2312" w:eastAsia="楷体_GB2312"/>
          <w:sz w:val="32"/>
          <w:szCs w:val="32"/>
        </w:rPr>
      </w:pPr>
      <w:r>
        <w:rPr>
          <w:rFonts w:hint="eastAsia" w:ascii="楷体_GB2312" w:eastAsia="楷体_GB2312"/>
          <w:spacing w:val="40"/>
          <w:kern w:val="0"/>
          <w:sz w:val="32"/>
          <w:szCs w:val="32"/>
        </w:rPr>
        <w:t>估价委托人</w:t>
      </w:r>
      <w:r>
        <w:rPr>
          <w:rFonts w:hint="eastAsia" w:ascii="楷体_GB2312" w:eastAsia="楷体_GB2312"/>
          <w:sz w:val="32"/>
          <w:szCs w:val="32"/>
        </w:rPr>
        <w:t>：醴陵市人民法院</w:t>
      </w:r>
    </w:p>
    <w:p>
      <w:pPr>
        <w:tabs>
          <w:tab w:val="left" w:pos="3045"/>
        </w:tabs>
        <w:spacing w:line="640" w:lineRule="exact"/>
        <w:ind w:left="3459" w:leftChars="550" w:right="-315" w:rightChars="-150" w:hanging="2304" w:hangingChars="720"/>
        <w:jc w:val="left"/>
        <w:rPr>
          <w:rFonts w:ascii="楷体_GB2312" w:eastAsia="楷体_GB2312"/>
          <w:sz w:val="32"/>
          <w:szCs w:val="32"/>
        </w:rPr>
      </w:pPr>
      <w:r>
        <w:rPr>
          <w:rFonts w:hint="eastAsia" w:ascii="楷体_GB2312" w:eastAsia="楷体_GB2312"/>
          <w:sz w:val="32"/>
          <w:szCs w:val="32"/>
        </w:rPr>
        <w:t>房地产估价机构：天信房地产土地资产评估有限公司</w:t>
      </w:r>
    </w:p>
    <w:p>
      <w:pPr>
        <w:tabs>
          <w:tab w:val="left" w:pos="3045"/>
          <w:tab w:val="left" w:pos="7513"/>
        </w:tabs>
        <w:spacing w:line="640" w:lineRule="exact"/>
        <w:ind w:left="3459" w:leftChars="550" w:right="-315" w:rightChars="-150" w:hanging="2304" w:hangingChars="720"/>
        <w:jc w:val="left"/>
        <w:rPr>
          <w:rFonts w:ascii="楷体_GB2312" w:eastAsia="楷体_GB2312"/>
          <w:spacing w:val="10"/>
          <w:sz w:val="32"/>
          <w:szCs w:val="32"/>
        </w:rPr>
      </w:pPr>
      <w:r>
        <w:rPr>
          <w:rFonts w:hint="eastAsia" w:ascii="楷体_GB2312" w:eastAsia="楷体_GB2312"/>
          <w:sz w:val="32"/>
          <w:szCs w:val="32"/>
        </w:rPr>
        <w:t>注册房地产估价师</w:t>
      </w:r>
      <w:r>
        <w:rPr>
          <w:rFonts w:hint="eastAsia" w:ascii="楷体_GB2312" w:eastAsia="楷体_GB2312"/>
          <w:spacing w:val="10"/>
          <w:sz w:val="32"/>
          <w:szCs w:val="32"/>
        </w:rPr>
        <w:t>：</w:t>
      </w:r>
      <w:r>
        <w:rPr>
          <w:rFonts w:hint="eastAsia" w:ascii="楷体_GB2312" w:eastAsia="楷体_GB2312"/>
          <w:sz w:val="32"/>
          <w:szCs w:val="32"/>
        </w:rPr>
        <w:t xml:space="preserve">江  </w:t>
      </w:r>
      <w:r>
        <w:rPr>
          <w:rFonts w:ascii="楷体_GB2312" w:eastAsia="楷体_GB2312"/>
          <w:sz w:val="32"/>
          <w:szCs w:val="32"/>
        </w:rPr>
        <w:t xml:space="preserve">  </w:t>
      </w:r>
      <w:r>
        <w:rPr>
          <w:rFonts w:hint="eastAsia" w:ascii="楷体_GB2312" w:eastAsia="楷体_GB2312"/>
          <w:sz w:val="32"/>
          <w:szCs w:val="32"/>
        </w:rPr>
        <w:t>玲（注册号：4320040125）</w:t>
      </w:r>
    </w:p>
    <w:p>
      <w:pPr>
        <w:tabs>
          <w:tab w:val="left" w:pos="3045"/>
          <w:tab w:val="left" w:pos="7513"/>
        </w:tabs>
        <w:spacing w:line="640" w:lineRule="exact"/>
        <w:ind w:left="1155" w:leftChars="550" w:right="-315" w:rightChars="-150" w:firstLine="2880" w:firstLineChars="900"/>
        <w:jc w:val="left"/>
        <w:rPr>
          <w:rFonts w:ascii="楷体_GB2312" w:eastAsia="楷体_GB2312"/>
          <w:color w:val="000000"/>
          <w:sz w:val="32"/>
          <w:szCs w:val="32"/>
        </w:rPr>
      </w:pPr>
      <w:r>
        <w:rPr>
          <w:rFonts w:hint="eastAsia" w:ascii="楷体_GB2312" w:eastAsia="楷体_GB2312"/>
          <w:color w:val="000000"/>
          <w:sz w:val="32"/>
          <w:szCs w:val="32"/>
        </w:rPr>
        <w:t>欧阳娟娟（</w:t>
      </w:r>
      <w:r>
        <w:rPr>
          <w:rFonts w:hint="eastAsia" w:ascii="楷体_GB2312" w:eastAsia="楷体_GB2312"/>
          <w:sz w:val="32"/>
          <w:szCs w:val="32"/>
        </w:rPr>
        <w:t>注册号：</w:t>
      </w:r>
      <w:r>
        <w:rPr>
          <w:rFonts w:hint="eastAsia" w:ascii="楷体_GB2312" w:eastAsia="楷体_GB2312"/>
          <w:color w:val="000000"/>
          <w:sz w:val="32"/>
          <w:szCs w:val="32"/>
        </w:rPr>
        <w:t>4320210057）</w:t>
      </w:r>
    </w:p>
    <w:p>
      <w:pPr>
        <w:tabs>
          <w:tab w:val="left" w:pos="3045"/>
          <w:tab w:val="left" w:pos="7513"/>
        </w:tabs>
        <w:spacing w:line="640" w:lineRule="exact"/>
        <w:ind w:left="1155" w:leftChars="550" w:right="-315" w:rightChars="-150"/>
        <w:jc w:val="left"/>
        <w:rPr>
          <w:rFonts w:ascii="楷体_GB2312" w:eastAsia="楷体_GB2312"/>
          <w:color w:val="000000"/>
          <w:sz w:val="32"/>
          <w:szCs w:val="32"/>
        </w:rPr>
      </w:pPr>
      <w:r>
        <w:rPr>
          <w:rFonts w:hint="eastAsia" w:ascii="楷体_GB2312" w:eastAsia="楷体_GB2312"/>
          <w:sz w:val="32"/>
          <w:szCs w:val="32"/>
        </w:rPr>
        <w:t>估价报告出具日期：二</w:t>
      </w:r>
      <w:r>
        <w:rPr>
          <w:rFonts w:hint="eastAsia" w:ascii="宋体" w:hAnsi="宋体" w:cs="宋体"/>
          <w:sz w:val="32"/>
          <w:szCs w:val="32"/>
        </w:rPr>
        <w:t>〇</w:t>
      </w:r>
      <w:r>
        <w:rPr>
          <w:rFonts w:hint="eastAsia" w:ascii="楷体_GB2312" w:hAnsi="楷体_GB2312" w:eastAsia="楷体_GB2312" w:cs="楷体_GB2312"/>
          <w:sz w:val="32"/>
          <w:szCs w:val="32"/>
        </w:rPr>
        <w:t>二二年六月二十日</w:t>
      </w:r>
    </w:p>
    <w:p/>
    <w:p>
      <w:pPr>
        <w:sectPr>
          <w:headerReference r:id="rId3" w:type="default"/>
          <w:footerReference r:id="rId4" w:type="default"/>
          <w:pgSz w:w="11906" w:h="16838"/>
          <w:pgMar w:top="1440" w:right="1797" w:bottom="1440" w:left="1797" w:header="851" w:footer="992" w:gutter="0"/>
          <w:cols w:space="425" w:num="1"/>
          <w:titlePg/>
          <w:docGrid w:type="lines" w:linePitch="312" w:charSpace="0"/>
        </w:sectPr>
      </w:pPr>
    </w:p>
    <w:p>
      <w:bookmarkStart w:id="0" w:name="_Hlk89182580"/>
    </w:p>
    <w:p>
      <w:pPr>
        <w:adjustRightInd w:val="0"/>
        <w:spacing w:line="360" w:lineRule="auto"/>
        <w:ind w:firstLine="560" w:firstLineChars="200"/>
        <w:rPr>
          <w:rFonts w:ascii="楷体_GB2312" w:eastAsia="楷体_GB2312"/>
          <w:sz w:val="28"/>
        </w:rPr>
      </w:pPr>
      <w:r>
        <w:rPr>
          <w:rFonts w:ascii="楷体_GB2312" w:eastAsia="楷体_GB2312"/>
          <w:sz w:val="28"/>
        </w:rPr>
        <w:t xml:space="preserve">                    </w:t>
      </w:r>
      <w:bookmarkEnd w:id="0"/>
    </w:p>
    <w:p>
      <w:pPr>
        <w:adjustRightInd w:val="0"/>
        <w:spacing w:line="360" w:lineRule="auto"/>
        <w:ind w:firstLine="560" w:firstLineChars="200"/>
        <w:jc w:val="center"/>
        <w:rPr>
          <w:rFonts w:ascii="黑体" w:eastAsia="黑体"/>
          <w:b/>
          <w:bCs/>
          <w:sz w:val="36"/>
          <w:szCs w:val="36"/>
        </w:rPr>
      </w:pPr>
      <w:r>
        <w:rPr>
          <w:rFonts w:ascii="楷体_GB2312" w:eastAsia="楷体_GB2312"/>
          <w:sz w:val="28"/>
        </w:rPr>
        <w:br w:type="page"/>
      </w:r>
      <w:r>
        <w:rPr>
          <w:rFonts w:hint="eastAsia" w:ascii="黑体" w:eastAsia="黑体"/>
          <w:b/>
          <w:bCs/>
          <w:sz w:val="36"/>
          <w:szCs w:val="36"/>
        </w:rPr>
        <w:t>致估价委托人函</w:t>
      </w:r>
    </w:p>
    <w:p>
      <w:pPr>
        <w:adjustRightInd w:val="0"/>
        <w:spacing w:line="440" w:lineRule="exact"/>
        <w:rPr>
          <w:rFonts w:ascii="楷体_GB2312" w:eastAsia="楷体_GB2312"/>
          <w:sz w:val="28"/>
        </w:rPr>
      </w:pPr>
    </w:p>
    <w:p>
      <w:pPr>
        <w:adjustRightInd w:val="0"/>
        <w:spacing w:line="480" w:lineRule="exact"/>
        <w:rPr>
          <w:rFonts w:ascii="楷体_GB2312" w:eastAsia="楷体_GB2312"/>
          <w:sz w:val="28"/>
        </w:rPr>
      </w:pPr>
      <w:r>
        <w:rPr>
          <w:rFonts w:hint="eastAsia" w:ascii="楷体_GB2312" w:eastAsia="楷体_GB2312"/>
          <w:sz w:val="28"/>
        </w:rPr>
        <w:t>醴陵市人民法院：</w:t>
      </w:r>
    </w:p>
    <w:p>
      <w:pPr>
        <w:adjustRightInd w:val="0"/>
        <w:spacing w:line="480" w:lineRule="exact"/>
        <w:ind w:firstLine="560" w:firstLineChars="200"/>
        <w:rPr>
          <w:rFonts w:ascii="楷体_GB2312" w:eastAsia="楷体_GB2312"/>
          <w:sz w:val="28"/>
        </w:rPr>
      </w:pPr>
      <w:bookmarkStart w:id="1" w:name="_Hlk88570552"/>
      <w:r>
        <w:rPr>
          <w:rFonts w:hint="eastAsia" w:ascii="楷体_GB2312" w:eastAsia="楷体_GB2312"/>
          <w:sz w:val="28"/>
        </w:rPr>
        <w:t>承蒙委托，我公司</w:t>
      </w:r>
      <w:r>
        <w:rPr>
          <w:rFonts w:hint="eastAsia" w:ascii="楷体_GB2312" w:eastAsia="楷体_GB2312"/>
          <w:sz w:val="28"/>
          <w:szCs w:val="22"/>
        </w:rPr>
        <w:t>注册房地产估价师遵循估价原则，按照估价程序，采用适宜的估价方法，对贵院委托醴陵市板杉房地产综合开发有限公司单独所有的位于醴陵市来龙门街道办事处狮子坡102号101、102房地产市场价值</w:t>
      </w:r>
      <w:r>
        <w:rPr>
          <w:rFonts w:hint="eastAsia" w:ascii="楷体_GB2312" w:eastAsia="楷体_GB2312"/>
          <w:sz w:val="28"/>
        </w:rPr>
        <w:t>进</w:t>
      </w:r>
      <w:bookmarkEnd w:id="1"/>
      <w:r>
        <w:rPr>
          <w:rFonts w:hint="eastAsia" w:ascii="楷体_GB2312" w:eastAsia="楷体_GB2312"/>
          <w:sz w:val="28"/>
        </w:rPr>
        <w:t>行了评估，总建筑面积为596.86平方米，价值时点为</w:t>
      </w:r>
      <w:r>
        <w:rPr>
          <w:rFonts w:ascii="楷体_GB2312" w:eastAsia="楷体_GB2312"/>
          <w:sz w:val="28"/>
        </w:rPr>
        <w:t>2022</w:t>
      </w:r>
      <w:r>
        <w:rPr>
          <w:rFonts w:hint="eastAsia" w:ascii="楷体_GB2312" w:eastAsia="楷体_GB2312"/>
          <w:sz w:val="28"/>
        </w:rPr>
        <w:t>年</w:t>
      </w:r>
      <w:r>
        <w:rPr>
          <w:rFonts w:ascii="楷体_GB2312" w:eastAsia="楷体_GB2312"/>
          <w:sz w:val="28"/>
        </w:rPr>
        <w:t>5</w:t>
      </w:r>
      <w:r>
        <w:rPr>
          <w:rFonts w:hint="eastAsia" w:ascii="楷体_GB2312" w:eastAsia="楷体_GB2312"/>
          <w:sz w:val="28"/>
        </w:rPr>
        <w:t>月</w:t>
      </w:r>
      <w:r>
        <w:rPr>
          <w:rFonts w:ascii="楷体_GB2312" w:eastAsia="楷体_GB2312"/>
          <w:sz w:val="28"/>
        </w:rPr>
        <w:t>25</w:t>
      </w:r>
      <w:r>
        <w:rPr>
          <w:rFonts w:hint="eastAsia" w:ascii="楷体_GB2312" w:eastAsia="楷体_GB2312"/>
          <w:sz w:val="28"/>
        </w:rPr>
        <w:t>日。</w:t>
      </w:r>
    </w:p>
    <w:p>
      <w:pPr>
        <w:adjustRightInd w:val="0"/>
        <w:spacing w:line="480" w:lineRule="exact"/>
        <w:ind w:firstLine="560" w:firstLineChars="200"/>
        <w:rPr>
          <w:rFonts w:ascii="楷体_GB2312" w:eastAsia="楷体_GB2312"/>
          <w:sz w:val="28"/>
        </w:rPr>
      </w:pPr>
      <w:r>
        <w:rPr>
          <w:rFonts w:hint="eastAsia" w:ascii="楷体_GB2312" w:eastAsia="楷体_GB2312"/>
          <w:sz w:val="28"/>
        </w:rPr>
        <w:t>估价目的：为人民法院确定财产处置参考价提供参考依据。</w:t>
      </w:r>
    </w:p>
    <w:p>
      <w:pPr>
        <w:adjustRightInd w:val="0"/>
        <w:spacing w:line="480" w:lineRule="exact"/>
        <w:ind w:firstLine="560" w:firstLineChars="200"/>
        <w:rPr>
          <w:rFonts w:ascii="楷体_GB2312" w:eastAsia="楷体_GB2312"/>
          <w:sz w:val="28"/>
        </w:rPr>
      </w:pPr>
      <w:r>
        <w:rPr>
          <w:rFonts w:hint="eastAsia" w:ascii="楷体_GB2312" w:eastAsia="楷体_GB2312"/>
          <w:sz w:val="28"/>
        </w:rPr>
        <w:t>经注册房地产估价师现场勘察和市场调查，本着独立、客观、公正、合法的原则，在认真分析现有资料的基础上，结合估价经验，并综合考虑房地产市场价格影响因素的影响，通过认真测算，本公司确认估价对象在市场上有足够的买方和卖方，并且进入市场无障碍的前提下，</w:t>
      </w:r>
      <w:r>
        <w:rPr>
          <w:rFonts w:hint="eastAsia" w:ascii="楷体_GB2312" w:eastAsia="楷体_GB2312"/>
          <w:b/>
          <w:bCs/>
          <w:sz w:val="28"/>
        </w:rPr>
        <w:t>于价值时点的估价结果为人民币贰佰贰拾伍万壹仟陆佰</w:t>
      </w:r>
      <w:r>
        <w:rPr>
          <w:rFonts w:hint="eastAsia" w:ascii="楷体_GB2312" w:eastAsia="楷体_GB2312"/>
          <w:b/>
          <w:bCs/>
          <w:sz w:val="28"/>
          <w:szCs w:val="22"/>
        </w:rPr>
        <w:t>元整（</w:t>
      </w:r>
      <w:r>
        <w:rPr>
          <w:rFonts w:hint="eastAsia" w:ascii="楷体_GB2312" w:eastAsia="楷体_GB2312"/>
          <w:b/>
          <w:bCs/>
          <w:sz w:val="28"/>
        </w:rPr>
        <w:t>￥</w:t>
      </w:r>
      <w:r>
        <w:rPr>
          <w:rFonts w:hint="eastAsia" w:ascii="楷体_GB2312" w:hAnsi="宋体" w:eastAsia="楷体_GB2312" w:cs="宋体"/>
          <w:b/>
          <w:bCs/>
          <w:kern w:val="0"/>
          <w:sz w:val="28"/>
          <w:szCs w:val="28"/>
        </w:rPr>
        <w:t>225.16万</w:t>
      </w:r>
      <w:r>
        <w:rPr>
          <w:rFonts w:hint="eastAsia" w:ascii="楷体_GB2312" w:eastAsia="楷体_GB2312"/>
          <w:b/>
          <w:bCs/>
          <w:sz w:val="28"/>
        </w:rPr>
        <w:t>元），</w:t>
      </w:r>
      <w:r>
        <w:rPr>
          <w:rFonts w:hint="eastAsia" w:ascii="楷体_GB2312" w:hAnsi="宋体" w:eastAsia="楷体_GB2312"/>
          <w:b/>
          <w:bCs/>
          <w:sz w:val="28"/>
        </w:rPr>
        <w:t>详见下表</w:t>
      </w:r>
      <w:r>
        <w:rPr>
          <w:rFonts w:hint="eastAsia" w:ascii="楷体_GB2312" w:eastAsia="楷体_GB2312"/>
          <w:sz w:val="28"/>
        </w:rPr>
        <w:t>：</w:t>
      </w:r>
    </w:p>
    <w:tbl>
      <w:tblPr>
        <w:tblStyle w:val="3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1"/>
        <w:gridCol w:w="1867"/>
        <w:gridCol w:w="1753"/>
        <w:gridCol w:w="735"/>
        <w:gridCol w:w="716"/>
        <w:gridCol w:w="821"/>
        <w:gridCol w:w="1121"/>
        <w:gridCol w:w="1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51" w:type="pct"/>
            <w:shd w:val="clear" w:color="auto" w:fill="auto"/>
            <w:noWrap/>
            <w:vAlign w:val="center"/>
          </w:tcPr>
          <w:p>
            <w:pPr>
              <w:widowControl/>
              <w:spacing w:line="300" w:lineRule="exact"/>
              <w:jc w:val="center"/>
              <w:rPr>
                <w:rFonts w:ascii="楷体_GB2312" w:hAnsi="宋体" w:eastAsia="楷体_GB2312" w:cs="宋体"/>
                <w:b/>
                <w:bCs/>
                <w:kern w:val="0"/>
                <w:sz w:val="20"/>
              </w:rPr>
            </w:pPr>
            <w:r>
              <w:rPr>
                <w:rFonts w:hint="eastAsia" w:ascii="楷体_GB2312" w:hAnsi="宋体" w:eastAsia="楷体_GB2312" w:cs="宋体"/>
                <w:b/>
                <w:bCs/>
                <w:kern w:val="0"/>
                <w:sz w:val="20"/>
              </w:rPr>
              <w:t>房屋所有权人</w:t>
            </w:r>
          </w:p>
        </w:tc>
        <w:tc>
          <w:tcPr>
            <w:tcW w:w="987" w:type="pct"/>
            <w:vAlign w:val="center"/>
          </w:tcPr>
          <w:p>
            <w:pPr>
              <w:widowControl/>
              <w:spacing w:line="300" w:lineRule="exact"/>
              <w:jc w:val="center"/>
              <w:rPr>
                <w:rFonts w:ascii="楷体_GB2312" w:hAnsi="宋体" w:eastAsia="楷体_GB2312" w:cs="宋体"/>
                <w:b/>
                <w:bCs/>
                <w:kern w:val="0"/>
                <w:sz w:val="20"/>
              </w:rPr>
            </w:pPr>
            <w:r>
              <w:rPr>
                <w:rFonts w:hint="eastAsia" w:ascii="楷体_GB2312" w:hAnsi="宋体" w:eastAsia="楷体_GB2312" w:cs="宋体"/>
                <w:b/>
                <w:bCs/>
                <w:kern w:val="0"/>
                <w:sz w:val="20"/>
              </w:rPr>
              <w:t>房屋所有权证</w:t>
            </w:r>
          </w:p>
        </w:tc>
        <w:tc>
          <w:tcPr>
            <w:tcW w:w="927" w:type="pct"/>
            <w:vAlign w:val="center"/>
          </w:tcPr>
          <w:p>
            <w:pPr>
              <w:widowControl/>
              <w:spacing w:line="300" w:lineRule="exact"/>
              <w:jc w:val="center"/>
              <w:rPr>
                <w:rFonts w:ascii="楷体_GB2312" w:hAnsi="宋体" w:eastAsia="楷体_GB2312" w:cs="宋体"/>
                <w:b/>
                <w:bCs/>
                <w:kern w:val="0"/>
                <w:sz w:val="20"/>
              </w:rPr>
            </w:pPr>
            <w:r>
              <w:rPr>
                <w:rFonts w:hint="eastAsia" w:ascii="楷体_GB2312" w:hAnsi="宋体" w:eastAsia="楷体_GB2312" w:cs="宋体"/>
                <w:b/>
                <w:bCs/>
                <w:kern w:val="0"/>
                <w:sz w:val="20"/>
              </w:rPr>
              <w:t>坐落/名称</w:t>
            </w:r>
          </w:p>
        </w:tc>
        <w:tc>
          <w:tcPr>
            <w:tcW w:w="389" w:type="pct"/>
            <w:shd w:val="clear" w:color="auto" w:fill="auto"/>
            <w:noWrap/>
            <w:vAlign w:val="center"/>
          </w:tcPr>
          <w:p>
            <w:pPr>
              <w:widowControl/>
              <w:spacing w:line="300" w:lineRule="exact"/>
              <w:jc w:val="center"/>
              <w:rPr>
                <w:rFonts w:ascii="楷体_GB2312" w:hAnsi="宋体" w:eastAsia="楷体_GB2312" w:cs="宋体"/>
                <w:b/>
                <w:bCs/>
                <w:kern w:val="0"/>
                <w:sz w:val="20"/>
              </w:rPr>
            </w:pPr>
            <w:r>
              <w:rPr>
                <w:rFonts w:hint="eastAsia" w:ascii="楷体_GB2312" w:hAnsi="宋体" w:eastAsia="楷体_GB2312" w:cs="宋体"/>
                <w:b/>
                <w:bCs/>
                <w:kern w:val="0"/>
                <w:sz w:val="20"/>
              </w:rPr>
              <w:t>用途</w:t>
            </w:r>
          </w:p>
        </w:tc>
        <w:tc>
          <w:tcPr>
            <w:tcW w:w="379" w:type="pct"/>
            <w:shd w:val="clear" w:color="auto" w:fill="auto"/>
            <w:noWrap/>
            <w:vAlign w:val="center"/>
          </w:tcPr>
          <w:p>
            <w:pPr>
              <w:widowControl/>
              <w:spacing w:line="300" w:lineRule="exact"/>
              <w:jc w:val="center"/>
              <w:rPr>
                <w:rFonts w:ascii="楷体_GB2312" w:hAnsi="宋体" w:eastAsia="楷体_GB2312" w:cs="宋体"/>
                <w:b/>
                <w:bCs/>
                <w:kern w:val="0"/>
                <w:sz w:val="20"/>
              </w:rPr>
            </w:pPr>
            <w:r>
              <w:rPr>
                <w:rFonts w:hint="eastAsia" w:ascii="楷体_GB2312" w:hAnsi="宋体" w:eastAsia="楷体_GB2312" w:cs="宋体"/>
                <w:b/>
                <w:bCs/>
                <w:kern w:val="0"/>
                <w:sz w:val="20"/>
              </w:rPr>
              <w:t>楼层</w:t>
            </w:r>
          </w:p>
        </w:tc>
        <w:tc>
          <w:tcPr>
            <w:tcW w:w="433" w:type="pct"/>
            <w:shd w:val="clear" w:color="auto" w:fill="auto"/>
            <w:vAlign w:val="center"/>
          </w:tcPr>
          <w:p>
            <w:pPr>
              <w:widowControl/>
              <w:spacing w:line="300" w:lineRule="exact"/>
              <w:jc w:val="center"/>
              <w:rPr>
                <w:rFonts w:ascii="楷体_GB2312" w:hAnsi="宋体" w:eastAsia="楷体_GB2312" w:cs="宋体"/>
                <w:b/>
                <w:bCs/>
                <w:kern w:val="0"/>
                <w:sz w:val="20"/>
              </w:rPr>
            </w:pPr>
            <w:r>
              <w:rPr>
                <w:rFonts w:hint="eastAsia" w:ascii="楷体_GB2312" w:hAnsi="宋体" w:eastAsia="楷体_GB2312" w:cs="宋体"/>
                <w:b/>
                <w:bCs/>
                <w:kern w:val="0"/>
                <w:sz w:val="20"/>
              </w:rPr>
              <w:t>建筑面积（</w:t>
            </w:r>
            <w:r>
              <w:rPr>
                <w:rFonts w:hint="eastAsia" w:ascii="Segoe UI Symbol" w:hAnsi="Segoe UI Symbol" w:eastAsia="Segoe UI Symbol" w:cs="Segoe UI Symbol"/>
                <w:b/>
                <w:bCs/>
                <w:kern w:val="0"/>
                <w:sz w:val="20"/>
              </w:rPr>
              <w:t>㎡</w:t>
            </w:r>
            <w:r>
              <w:rPr>
                <w:rFonts w:hint="eastAsia" w:ascii="楷体_GB2312" w:hAnsi="楷体_GB2312" w:eastAsia="楷体_GB2312" w:cs="楷体_GB2312"/>
                <w:b/>
                <w:bCs/>
                <w:kern w:val="0"/>
                <w:sz w:val="20"/>
              </w:rPr>
              <w:t>）</w:t>
            </w:r>
          </w:p>
        </w:tc>
        <w:tc>
          <w:tcPr>
            <w:tcW w:w="592" w:type="pct"/>
            <w:shd w:val="clear" w:color="auto" w:fill="auto"/>
            <w:noWrap/>
            <w:vAlign w:val="center"/>
          </w:tcPr>
          <w:p>
            <w:pPr>
              <w:widowControl/>
              <w:spacing w:line="300" w:lineRule="exact"/>
              <w:jc w:val="center"/>
              <w:rPr>
                <w:rFonts w:ascii="楷体_GB2312" w:hAnsi="宋体" w:eastAsia="楷体_GB2312" w:cs="宋体"/>
                <w:b/>
                <w:bCs/>
                <w:kern w:val="0"/>
                <w:sz w:val="20"/>
              </w:rPr>
            </w:pPr>
            <w:r>
              <w:rPr>
                <w:rFonts w:hint="eastAsia" w:ascii="楷体_GB2312" w:hAnsi="宋体" w:eastAsia="楷体_GB2312" w:cs="宋体"/>
                <w:b/>
                <w:bCs/>
                <w:kern w:val="0"/>
                <w:sz w:val="20"/>
              </w:rPr>
              <w:t>单价</w:t>
            </w:r>
          </w:p>
          <w:p>
            <w:pPr>
              <w:widowControl/>
              <w:spacing w:line="300" w:lineRule="exact"/>
              <w:jc w:val="center"/>
              <w:rPr>
                <w:rFonts w:ascii="楷体_GB2312" w:hAnsi="宋体" w:eastAsia="楷体_GB2312" w:cs="宋体"/>
                <w:b/>
                <w:bCs/>
                <w:kern w:val="0"/>
                <w:sz w:val="20"/>
              </w:rPr>
            </w:pPr>
            <w:r>
              <w:rPr>
                <w:rFonts w:hint="eastAsia" w:ascii="楷体_GB2312" w:hAnsi="宋体" w:eastAsia="楷体_GB2312" w:cs="宋体"/>
                <w:b/>
                <w:bCs/>
                <w:kern w:val="0"/>
                <w:sz w:val="20"/>
              </w:rPr>
              <w:t>（元/</w:t>
            </w:r>
            <w:r>
              <w:rPr>
                <w:rFonts w:hint="eastAsia" w:ascii="Segoe UI Symbol" w:hAnsi="Segoe UI Symbol" w:eastAsia="Segoe UI Symbol" w:cs="Segoe UI Symbol"/>
                <w:b/>
                <w:bCs/>
                <w:kern w:val="0"/>
                <w:sz w:val="20"/>
              </w:rPr>
              <w:t>㎡</w:t>
            </w:r>
            <w:r>
              <w:rPr>
                <w:rFonts w:hint="eastAsia" w:ascii="楷体_GB2312" w:hAnsi="楷体_GB2312" w:eastAsia="楷体_GB2312" w:cs="楷体_GB2312"/>
                <w:b/>
                <w:bCs/>
                <w:kern w:val="0"/>
                <w:sz w:val="20"/>
              </w:rPr>
              <w:t>）</w:t>
            </w:r>
          </w:p>
        </w:tc>
        <w:tc>
          <w:tcPr>
            <w:tcW w:w="539" w:type="pct"/>
            <w:shd w:val="clear" w:color="auto" w:fill="auto"/>
            <w:noWrap/>
            <w:vAlign w:val="center"/>
          </w:tcPr>
          <w:p>
            <w:pPr>
              <w:widowControl/>
              <w:spacing w:line="300" w:lineRule="exact"/>
              <w:jc w:val="center"/>
              <w:rPr>
                <w:rFonts w:ascii="楷体_GB2312" w:hAnsi="宋体" w:eastAsia="楷体_GB2312" w:cs="宋体"/>
                <w:b/>
                <w:bCs/>
                <w:kern w:val="0"/>
                <w:sz w:val="20"/>
              </w:rPr>
            </w:pPr>
            <w:r>
              <w:rPr>
                <w:rFonts w:hint="eastAsia" w:ascii="楷体_GB2312" w:hAnsi="宋体" w:eastAsia="楷体_GB2312" w:cs="宋体"/>
                <w:b/>
                <w:bCs/>
                <w:kern w:val="0"/>
                <w:sz w:val="20"/>
              </w:rPr>
              <w:t>总价</w:t>
            </w:r>
          </w:p>
          <w:p>
            <w:pPr>
              <w:widowControl/>
              <w:spacing w:line="300" w:lineRule="exact"/>
              <w:jc w:val="center"/>
              <w:rPr>
                <w:rFonts w:ascii="楷体_GB2312" w:hAnsi="宋体" w:eastAsia="楷体_GB2312" w:cs="宋体"/>
                <w:b/>
                <w:bCs/>
                <w:kern w:val="0"/>
                <w:sz w:val="20"/>
              </w:rPr>
            </w:pPr>
            <w:r>
              <w:rPr>
                <w:rFonts w:hint="eastAsia" w:ascii="楷体_GB2312" w:hAnsi="宋体" w:eastAsia="楷体_GB2312" w:cs="宋体"/>
                <w:b/>
                <w:bCs/>
                <w:kern w:val="0"/>
                <w:sz w:val="20"/>
              </w:rPr>
              <w:t>（万元</w:t>
            </w:r>
            <w:r>
              <w:rPr>
                <w:rFonts w:hint="eastAsia" w:ascii="楷体_GB2312" w:hAnsi="楷体_GB2312" w:eastAsia="楷体_GB2312" w:cs="楷体_GB2312"/>
                <w:b/>
                <w:bCs/>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51" w:type="pct"/>
            <w:shd w:val="clear" w:color="auto" w:fill="auto"/>
            <w:vAlign w:val="center"/>
          </w:tcPr>
          <w:p>
            <w:pPr>
              <w:widowControl/>
              <w:spacing w:line="300" w:lineRule="exact"/>
              <w:jc w:val="center"/>
              <w:rPr>
                <w:rFonts w:ascii="楷体_GB2312" w:hAnsi="宋体" w:eastAsia="楷体_GB2312" w:cs="宋体"/>
                <w:kern w:val="0"/>
                <w:sz w:val="20"/>
              </w:rPr>
            </w:pPr>
            <w:r>
              <w:rPr>
                <w:rFonts w:hint="eastAsia" w:ascii="楷体_GB2312" w:hAnsi="宋体" w:eastAsia="楷体_GB2312" w:cs="宋体"/>
                <w:kern w:val="0"/>
                <w:sz w:val="20"/>
              </w:rPr>
              <w:t>醴陵市板杉房地产综合开发有限公司</w:t>
            </w:r>
          </w:p>
        </w:tc>
        <w:tc>
          <w:tcPr>
            <w:tcW w:w="987" w:type="pct"/>
            <w:vAlign w:val="center"/>
          </w:tcPr>
          <w:p>
            <w:pPr>
              <w:widowControl/>
              <w:spacing w:line="300" w:lineRule="exact"/>
              <w:jc w:val="center"/>
              <w:rPr>
                <w:rFonts w:ascii="楷体_GB2312" w:hAnsi="宋体" w:eastAsia="楷体_GB2312" w:cs="宋体"/>
                <w:kern w:val="0"/>
                <w:sz w:val="20"/>
              </w:rPr>
            </w:pPr>
            <w:r>
              <w:rPr>
                <w:rFonts w:hint="eastAsia" w:ascii="楷体_GB2312" w:hAnsi="宋体" w:eastAsia="楷体_GB2312" w:cs="宋体"/>
                <w:kern w:val="0"/>
                <w:sz w:val="20"/>
              </w:rPr>
              <w:t>醴房权证来龙门字第711003637号</w:t>
            </w:r>
          </w:p>
        </w:tc>
        <w:tc>
          <w:tcPr>
            <w:tcW w:w="927" w:type="pct"/>
            <w:vAlign w:val="center"/>
          </w:tcPr>
          <w:p>
            <w:pPr>
              <w:widowControl/>
              <w:spacing w:line="300" w:lineRule="exact"/>
              <w:jc w:val="center"/>
              <w:rPr>
                <w:rFonts w:ascii="楷体_GB2312" w:hAnsi="宋体" w:eastAsia="楷体_GB2312" w:cs="宋体"/>
                <w:kern w:val="0"/>
                <w:sz w:val="20"/>
              </w:rPr>
            </w:pPr>
            <w:r>
              <w:rPr>
                <w:rFonts w:hint="eastAsia" w:ascii="楷体_GB2312" w:hAnsi="宋体" w:eastAsia="楷体_GB2312" w:cs="宋体"/>
                <w:kern w:val="0"/>
                <w:sz w:val="20"/>
              </w:rPr>
              <w:t>醴陵市来龙门街道办事处狮子坡102号101</w:t>
            </w:r>
          </w:p>
        </w:tc>
        <w:tc>
          <w:tcPr>
            <w:tcW w:w="389" w:type="pct"/>
            <w:shd w:val="clear" w:color="auto" w:fill="auto"/>
            <w:vAlign w:val="center"/>
          </w:tcPr>
          <w:p>
            <w:pPr>
              <w:widowControl/>
              <w:spacing w:line="300" w:lineRule="exact"/>
              <w:jc w:val="center"/>
              <w:rPr>
                <w:rFonts w:ascii="楷体_GB2312" w:hAnsi="宋体" w:eastAsia="楷体_GB2312" w:cs="宋体"/>
                <w:kern w:val="0"/>
                <w:sz w:val="20"/>
              </w:rPr>
            </w:pPr>
            <w:r>
              <w:rPr>
                <w:rFonts w:hint="eastAsia" w:ascii="楷体_GB2312" w:hAnsi="宋体" w:eastAsia="楷体_GB2312" w:cs="宋体"/>
                <w:kern w:val="0"/>
                <w:sz w:val="20"/>
              </w:rPr>
              <w:t>商业</w:t>
            </w:r>
          </w:p>
        </w:tc>
        <w:tc>
          <w:tcPr>
            <w:tcW w:w="379" w:type="pct"/>
            <w:shd w:val="clear" w:color="auto" w:fill="auto"/>
            <w:vAlign w:val="center"/>
          </w:tcPr>
          <w:p>
            <w:pPr>
              <w:widowControl/>
              <w:spacing w:line="300" w:lineRule="exact"/>
              <w:jc w:val="center"/>
              <w:rPr>
                <w:rFonts w:ascii="楷体_GB2312" w:hAnsi="宋体" w:eastAsia="楷体_GB2312" w:cs="宋体"/>
                <w:kern w:val="0"/>
                <w:sz w:val="20"/>
              </w:rPr>
            </w:pPr>
            <w:r>
              <w:rPr>
                <w:rFonts w:hint="eastAsia" w:ascii="楷体_GB2312" w:hAnsi="宋体" w:eastAsia="楷体_GB2312" w:cs="宋体"/>
                <w:kern w:val="0"/>
                <w:sz w:val="20"/>
              </w:rPr>
              <w:t>1/6</w:t>
            </w:r>
          </w:p>
        </w:tc>
        <w:tc>
          <w:tcPr>
            <w:tcW w:w="433" w:type="pct"/>
            <w:shd w:val="clear" w:color="auto" w:fill="auto"/>
            <w:noWrap/>
            <w:vAlign w:val="center"/>
          </w:tcPr>
          <w:p>
            <w:pPr>
              <w:widowControl/>
              <w:spacing w:line="300" w:lineRule="exact"/>
              <w:jc w:val="center"/>
              <w:rPr>
                <w:rFonts w:ascii="楷体_GB2312" w:hAnsi="宋体" w:eastAsia="楷体_GB2312" w:cs="宋体"/>
                <w:kern w:val="0"/>
                <w:sz w:val="20"/>
              </w:rPr>
            </w:pPr>
            <w:r>
              <w:rPr>
                <w:rFonts w:hint="eastAsia" w:ascii="楷体_GB2312" w:hAnsi="宋体" w:eastAsia="楷体_GB2312" w:cs="宋体"/>
                <w:kern w:val="0"/>
                <w:sz w:val="20"/>
              </w:rPr>
              <w:t>358.72</w:t>
            </w:r>
          </w:p>
        </w:tc>
        <w:tc>
          <w:tcPr>
            <w:tcW w:w="1120" w:type="dxa"/>
            <w:shd w:val="clear" w:color="auto" w:fill="auto"/>
            <w:noWrap/>
            <w:vAlign w:val="center"/>
          </w:tcPr>
          <w:p>
            <w:pPr>
              <w:widowControl/>
              <w:spacing w:line="300" w:lineRule="exact"/>
              <w:jc w:val="center"/>
              <w:rPr>
                <w:rFonts w:ascii="楷体_GB2312" w:hAnsi="宋体" w:eastAsia="楷体_GB2312" w:cs="宋体"/>
                <w:kern w:val="0"/>
                <w:sz w:val="20"/>
              </w:rPr>
            </w:pPr>
            <w:r>
              <w:rPr>
                <w:rFonts w:hint="eastAsia" w:ascii="楷体_GB2312" w:hAnsi="宋体" w:eastAsia="楷体_GB2312" w:cs="宋体"/>
                <w:kern w:val="0"/>
                <w:sz w:val="20"/>
              </w:rPr>
              <w:t>4031</w:t>
            </w:r>
          </w:p>
        </w:tc>
        <w:tc>
          <w:tcPr>
            <w:tcW w:w="1021" w:type="dxa"/>
            <w:shd w:val="clear" w:color="auto" w:fill="auto"/>
            <w:noWrap/>
            <w:vAlign w:val="center"/>
          </w:tcPr>
          <w:p>
            <w:pPr>
              <w:widowControl/>
              <w:spacing w:line="300" w:lineRule="exact"/>
              <w:jc w:val="center"/>
              <w:rPr>
                <w:rFonts w:ascii="楷体_GB2312" w:hAnsi="宋体" w:eastAsia="楷体_GB2312" w:cs="宋体"/>
                <w:kern w:val="0"/>
                <w:sz w:val="20"/>
              </w:rPr>
            </w:pPr>
            <w:r>
              <w:rPr>
                <w:rFonts w:hint="eastAsia" w:ascii="楷体_GB2312" w:hAnsi="宋体" w:eastAsia="楷体_GB2312" w:cs="宋体"/>
                <w:kern w:val="0"/>
                <w:sz w:val="20"/>
              </w:rPr>
              <w:t>144.6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51" w:type="pct"/>
            <w:shd w:val="clear" w:color="auto" w:fill="auto"/>
            <w:vAlign w:val="center"/>
          </w:tcPr>
          <w:p>
            <w:pPr>
              <w:widowControl/>
              <w:spacing w:line="300" w:lineRule="exact"/>
              <w:jc w:val="center"/>
              <w:rPr>
                <w:rFonts w:ascii="楷体_GB2312" w:hAnsi="宋体" w:eastAsia="楷体_GB2312" w:cs="宋体"/>
                <w:kern w:val="0"/>
                <w:sz w:val="20"/>
              </w:rPr>
            </w:pPr>
            <w:r>
              <w:rPr>
                <w:rFonts w:hint="eastAsia" w:ascii="楷体_GB2312" w:hAnsi="宋体" w:eastAsia="楷体_GB2312" w:cs="宋体"/>
                <w:kern w:val="0"/>
                <w:sz w:val="20"/>
              </w:rPr>
              <w:t>醴陵市板杉房地产综合开发有限公司</w:t>
            </w:r>
          </w:p>
        </w:tc>
        <w:tc>
          <w:tcPr>
            <w:tcW w:w="987" w:type="pct"/>
            <w:vAlign w:val="center"/>
          </w:tcPr>
          <w:p>
            <w:pPr>
              <w:widowControl/>
              <w:spacing w:line="300" w:lineRule="exact"/>
              <w:jc w:val="center"/>
              <w:rPr>
                <w:rFonts w:ascii="楷体_GB2312" w:hAnsi="宋体" w:eastAsia="楷体_GB2312" w:cs="宋体"/>
                <w:kern w:val="0"/>
                <w:sz w:val="20"/>
              </w:rPr>
            </w:pPr>
            <w:r>
              <w:rPr>
                <w:rFonts w:hint="eastAsia" w:ascii="楷体_GB2312" w:hAnsi="宋体" w:eastAsia="楷体_GB2312" w:cs="宋体"/>
                <w:kern w:val="0"/>
                <w:sz w:val="20"/>
              </w:rPr>
              <w:t>醴房权证来龙门字第711003636号</w:t>
            </w:r>
          </w:p>
        </w:tc>
        <w:tc>
          <w:tcPr>
            <w:tcW w:w="927" w:type="pct"/>
            <w:vAlign w:val="center"/>
          </w:tcPr>
          <w:p>
            <w:pPr>
              <w:widowControl/>
              <w:spacing w:line="300" w:lineRule="exact"/>
              <w:jc w:val="center"/>
              <w:rPr>
                <w:rFonts w:ascii="楷体_GB2312" w:hAnsi="宋体" w:eastAsia="楷体_GB2312" w:cs="宋体"/>
                <w:kern w:val="0"/>
                <w:sz w:val="20"/>
              </w:rPr>
            </w:pPr>
            <w:r>
              <w:rPr>
                <w:rFonts w:hint="eastAsia" w:ascii="楷体_GB2312" w:hAnsi="宋体" w:eastAsia="楷体_GB2312" w:cs="宋体"/>
                <w:kern w:val="0"/>
                <w:sz w:val="20"/>
              </w:rPr>
              <w:t>醴陵市来龙门街道办事处狮子坡102号</w:t>
            </w:r>
          </w:p>
        </w:tc>
        <w:tc>
          <w:tcPr>
            <w:tcW w:w="389" w:type="pct"/>
            <w:shd w:val="clear" w:color="auto" w:fill="auto"/>
            <w:vAlign w:val="center"/>
          </w:tcPr>
          <w:p>
            <w:pPr>
              <w:widowControl/>
              <w:spacing w:line="300" w:lineRule="exact"/>
              <w:jc w:val="center"/>
              <w:rPr>
                <w:rFonts w:ascii="楷体_GB2312" w:hAnsi="宋体" w:eastAsia="楷体_GB2312" w:cs="宋体"/>
                <w:kern w:val="0"/>
                <w:sz w:val="20"/>
              </w:rPr>
            </w:pPr>
            <w:r>
              <w:rPr>
                <w:rFonts w:hint="eastAsia" w:ascii="楷体_GB2312" w:hAnsi="宋体" w:eastAsia="楷体_GB2312" w:cs="宋体"/>
                <w:kern w:val="0"/>
                <w:sz w:val="20"/>
              </w:rPr>
              <w:t>综合</w:t>
            </w:r>
          </w:p>
        </w:tc>
        <w:tc>
          <w:tcPr>
            <w:tcW w:w="379" w:type="pct"/>
            <w:shd w:val="clear" w:color="auto" w:fill="auto"/>
            <w:vAlign w:val="center"/>
          </w:tcPr>
          <w:p>
            <w:pPr>
              <w:widowControl/>
              <w:spacing w:line="300" w:lineRule="exact"/>
              <w:jc w:val="center"/>
              <w:rPr>
                <w:rFonts w:ascii="楷体_GB2312" w:hAnsi="宋体" w:eastAsia="楷体_GB2312" w:cs="宋体"/>
                <w:kern w:val="0"/>
                <w:sz w:val="20"/>
              </w:rPr>
            </w:pPr>
            <w:r>
              <w:rPr>
                <w:rFonts w:hint="eastAsia" w:ascii="楷体_GB2312" w:hAnsi="宋体" w:eastAsia="楷体_GB2312" w:cs="宋体"/>
                <w:kern w:val="0"/>
                <w:sz w:val="20"/>
              </w:rPr>
              <w:t>1-2/2</w:t>
            </w:r>
          </w:p>
        </w:tc>
        <w:tc>
          <w:tcPr>
            <w:tcW w:w="433" w:type="pct"/>
            <w:shd w:val="clear" w:color="auto" w:fill="auto"/>
            <w:noWrap/>
            <w:vAlign w:val="center"/>
          </w:tcPr>
          <w:p>
            <w:pPr>
              <w:widowControl/>
              <w:spacing w:line="300" w:lineRule="exact"/>
              <w:jc w:val="center"/>
              <w:rPr>
                <w:rFonts w:ascii="楷体_GB2312" w:hAnsi="宋体" w:eastAsia="楷体_GB2312" w:cs="宋体"/>
                <w:kern w:val="0"/>
                <w:sz w:val="20"/>
              </w:rPr>
            </w:pPr>
            <w:r>
              <w:rPr>
                <w:rFonts w:hint="eastAsia" w:ascii="楷体_GB2312" w:hAnsi="宋体" w:eastAsia="楷体_GB2312" w:cs="宋体"/>
                <w:kern w:val="0"/>
                <w:sz w:val="20"/>
              </w:rPr>
              <w:t>238.14</w:t>
            </w:r>
          </w:p>
        </w:tc>
        <w:tc>
          <w:tcPr>
            <w:tcW w:w="1120" w:type="dxa"/>
            <w:shd w:val="clear" w:color="auto" w:fill="auto"/>
            <w:noWrap/>
            <w:vAlign w:val="center"/>
          </w:tcPr>
          <w:p>
            <w:pPr>
              <w:widowControl/>
              <w:spacing w:line="300" w:lineRule="exact"/>
              <w:jc w:val="center"/>
              <w:rPr>
                <w:rFonts w:ascii="楷体_GB2312" w:hAnsi="宋体" w:eastAsia="楷体_GB2312" w:cs="宋体"/>
                <w:kern w:val="0"/>
                <w:sz w:val="20"/>
              </w:rPr>
            </w:pPr>
            <w:r>
              <w:rPr>
                <w:rFonts w:hint="eastAsia" w:ascii="楷体_GB2312" w:hAnsi="宋体" w:eastAsia="楷体_GB2312" w:cs="宋体"/>
                <w:kern w:val="0"/>
                <w:sz w:val="20"/>
              </w:rPr>
              <w:t>3383</w:t>
            </w:r>
          </w:p>
        </w:tc>
        <w:tc>
          <w:tcPr>
            <w:tcW w:w="1021" w:type="dxa"/>
            <w:shd w:val="clear" w:color="auto" w:fill="auto"/>
            <w:noWrap/>
            <w:vAlign w:val="center"/>
          </w:tcPr>
          <w:p>
            <w:pPr>
              <w:widowControl/>
              <w:spacing w:line="300" w:lineRule="exact"/>
              <w:jc w:val="center"/>
              <w:rPr>
                <w:rFonts w:ascii="楷体_GB2312" w:hAnsi="宋体" w:eastAsia="楷体_GB2312" w:cs="宋体"/>
                <w:kern w:val="0"/>
                <w:sz w:val="20"/>
              </w:rPr>
            </w:pPr>
            <w:r>
              <w:rPr>
                <w:rFonts w:hint="eastAsia" w:ascii="楷体_GB2312" w:hAnsi="宋体" w:eastAsia="楷体_GB2312" w:cs="宋体"/>
                <w:kern w:val="0"/>
                <w:sz w:val="20"/>
              </w:rPr>
              <w:t>80.56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751" w:type="pct"/>
            <w:shd w:val="clear" w:color="auto" w:fill="auto"/>
            <w:vAlign w:val="center"/>
          </w:tcPr>
          <w:p>
            <w:pPr>
              <w:widowControl/>
              <w:spacing w:line="300" w:lineRule="exact"/>
              <w:jc w:val="center"/>
              <w:rPr>
                <w:rFonts w:ascii="楷体_GB2312" w:eastAsia="楷体_GB2312"/>
                <w:b/>
                <w:bCs/>
                <w:color w:val="000000"/>
                <w:sz w:val="20"/>
              </w:rPr>
            </w:pPr>
            <w:r>
              <w:rPr>
                <w:rFonts w:hint="eastAsia" w:ascii="楷体_GB2312" w:eastAsia="楷体_GB2312"/>
                <w:b/>
                <w:bCs/>
                <w:color w:val="000000"/>
                <w:sz w:val="20"/>
              </w:rPr>
              <w:t>合计</w:t>
            </w:r>
          </w:p>
        </w:tc>
        <w:tc>
          <w:tcPr>
            <w:tcW w:w="987" w:type="pct"/>
            <w:vAlign w:val="center"/>
          </w:tcPr>
          <w:p>
            <w:pPr>
              <w:widowControl/>
              <w:spacing w:line="300" w:lineRule="exact"/>
              <w:jc w:val="center"/>
              <w:rPr>
                <w:rFonts w:ascii="楷体_GB2312" w:hAnsi="宋体" w:eastAsia="楷体_GB2312" w:cs="宋体"/>
                <w:b/>
                <w:bCs/>
                <w:kern w:val="0"/>
                <w:sz w:val="20"/>
              </w:rPr>
            </w:pPr>
            <w:r>
              <w:rPr>
                <w:rFonts w:hint="eastAsia" w:ascii="楷体_GB2312" w:hAnsi="宋体" w:eastAsia="楷体_GB2312" w:cs="宋体"/>
                <w:b/>
                <w:bCs/>
                <w:kern w:val="0"/>
                <w:sz w:val="20"/>
              </w:rPr>
              <w:t>/</w:t>
            </w:r>
          </w:p>
        </w:tc>
        <w:tc>
          <w:tcPr>
            <w:tcW w:w="927" w:type="pct"/>
            <w:vAlign w:val="center"/>
          </w:tcPr>
          <w:p>
            <w:pPr>
              <w:widowControl/>
              <w:spacing w:line="300" w:lineRule="exact"/>
              <w:jc w:val="center"/>
              <w:rPr>
                <w:rFonts w:ascii="楷体_GB2312" w:hAnsi="宋体" w:eastAsia="楷体_GB2312" w:cs="宋体"/>
                <w:b/>
                <w:bCs/>
                <w:kern w:val="0"/>
                <w:sz w:val="20"/>
              </w:rPr>
            </w:pPr>
            <w:r>
              <w:rPr>
                <w:rFonts w:hint="eastAsia" w:ascii="楷体_GB2312" w:hAnsi="宋体" w:eastAsia="楷体_GB2312" w:cs="宋体"/>
                <w:b/>
                <w:bCs/>
                <w:kern w:val="0"/>
                <w:sz w:val="20"/>
              </w:rPr>
              <w:t>/</w:t>
            </w:r>
          </w:p>
        </w:tc>
        <w:tc>
          <w:tcPr>
            <w:tcW w:w="389" w:type="pct"/>
            <w:shd w:val="clear" w:color="auto" w:fill="auto"/>
            <w:vAlign w:val="center"/>
          </w:tcPr>
          <w:p>
            <w:pPr>
              <w:widowControl/>
              <w:spacing w:line="300" w:lineRule="exact"/>
              <w:jc w:val="center"/>
              <w:rPr>
                <w:rFonts w:ascii="楷体_GB2312" w:hAnsi="宋体" w:eastAsia="楷体_GB2312" w:cs="宋体"/>
                <w:b/>
                <w:bCs/>
                <w:kern w:val="0"/>
                <w:sz w:val="20"/>
              </w:rPr>
            </w:pPr>
            <w:r>
              <w:rPr>
                <w:rFonts w:hint="eastAsia" w:ascii="楷体_GB2312" w:hAnsi="宋体" w:eastAsia="楷体_GB2312" w:cs="宋体"/>
                <w:b/>
                <w:bCs/>
                <w:kern w:val="0"/>
                <w:sz w:val="20"/>
              </w:rPr>
              <w:t>/</w:t>
            </w:r>
          </w:p>
        </w:tc>
        <w:tc>
          <w:tcPr>
            <w:tcW w:w="379" w:type="pct"/>
            <w:shd w:val="clear" w:color="auto" w:fill="auto"/>
            <w:vAlign w:val="center"/>
          </w:tcPr>
          <w:p>
            <w:pPr>
              <w:widowControl/>
              <w:spacing w:line="300" w:lineRule="exact"/>
              <w:jc w:val="center"/>
              <w:rPr>
                <w:rFonts w:ascii="楷体_GB2312" w:hAnsi="宋体" w:eastAsia="楷体_GB2312" w:cs="宋体"/>
                <w:b/>
                <w:bCs/>
                <w:kern w:val="0"/>
                <w:sz w:val="20"/>
              </w:rPr>
            </w:pPr>
            <w:r>
              <w:rPr>
                <w:rFonts w:hint="eastAsia" w:ascii="楷体_GB2312" w:hAnsi="宋体" w:eastAsia="楷体_GB2312" w:cs="宋体"/>
                <w:b/>
                <w:bCs/>
                <w:kern w:val="0"/>
                <w:sz w:val="20"/>
              </w:rPr>
              <w:t>/</w:t>
            </w:r>
          </w:p>
        </w:tc>
        <w:tc>
          <w:tcPr>
            <w:tcW w:w="433" w:type="pct"/>
            <w:shd w:val="clear" w:color="auto" w:fill="auto"/>
            <w:noWrap/>
            <w:vAlign w:val="center"/>
          </w:tcPr>
          <w:p>
            <w:pPr>
              <w:widowControl/>
              <w:spacing w:line="300" w:lineRule="exact"/>
              <w:jc w:val="center"/>
              <w:rPr>
                <w:rFonts w:ascii="楷体_GB2312" w:hAnsi="宋体" w:eastAsia="楷体_GB2312" w:cs="宋体"/>
                <w:b/>
                <w:bCs/>
                <w:kern w:val="0"/>
                <w:sz w:val="20"/>
              </w:rPr>
            </w:pPr>
            <w:r>
              <w:rPr>
                <w:rFonts w:hint="eastAsia" w:ascii="楷体_GB2312" w:hAnsi="宋体" w:eastAsia="楷体_GB2312" w:cs="宋体"/>
                <w:b/>
                <w:bCs/>
                <w:kern w:val="0"/>
                <w:sz w:val="20"/>
              </w:rPr>
              <w:t>596.86</w:t>
            </w:r>
          </w:p>
        </w:tc>
        <w:tc>
          <w:tcPr>
            <w:tcW w:w="592" w:type="pct"/>
            <w:shd w:val="clear" w:color="auto" w:fill="auto"/>
            <w:noWrap/>
            <w:vAlign w:val="center"/>
          </w:tcPr>
          <w:p>
            <w:pPr>
              <w:widowControl/>
              <w:spacing w:line="300" w:lineRule="exact"/>
              <w:jc w:val="center"/>
              <w:rPr>
                <w:rFonts w:ascii="楷体_GB2312" w:hAnsi="宋体" w:eastAsia="楷体_GB2312" w:cs="宋体"/>
                <w:b/>
                <w:bCs/>
                <w:kern w:val="0"/>
                <w:sz w:val="20"/>
              </w:rPr>
            </w:pPr>
            <w:r>
              <w:rPr>
                <w:rFonts w:hint="eastAsia" w:ascii="楷体_GB2312" w:hAnsi="宋体" w:eastAsia="楷体_GB2312" w:cs="宋体"/>
                <w:b/>
                <w:bCs/>
                <w:kern w:val="0"/>
                <w:sz w:val="20"/>
              </w:rPr>
              <w:t>/</w:t>
            </w:r>
          </w:p>
        </w:tc>
        <w:tc>
          <w:tcPr>
            <w:tcW w:w="1021" w:type="dxa"/>
            <w:shd w:val="clear" w:color="auto" w:fill="auto"/>
            <w:noWrap/>
            <w:vAlign w:val="center"/>
          </w:tcPr>
          <w:p>
            <w:pPr>
              <w:widowControl/>
              <w:spacing w:line="300" w:lineRule="exact"/>
              <w:jc w:val="center"/>
              <w:rPr>
                <w:rFonts w:ascii="楷体_GB2312" w:hAnsi="宋体" w:eastAsia="楷体_GB2312" w:cs="宋体"/>
                <w:kern w:val="0"/>
                <w:sz w:val="20"/>
              </w:rPr>
            </w:pPr>
            <w:r>
              <w:rPr>
                <w:rFonts w:hint="eastAsia" w:ascii="楷体_GB2312" w:hAnsi="宋体" w:eastAsia="楷体_GB2312" w:cs="宋体"/>
                <w:b/>
                <w:bCs/>
                <w:kern w:val="0"/>
                <w:sz w:val="20"/>
              </w:rPr>
              <w:t>225.16</w:t>
            </w:r>
          </w:p>
        </w:tc>
      </w:tr>
    </w:tbl>
    <w:p>
      <w:pPr>
        <w:tabs>
          <w:tab w:val="center" w:pos="4620"/>
        </w:tabs>
        <w:adjustRightInd w:val="0"/>
        <w:spacing w:line="500" w:lineRule="exact"/>
        <w:ind w:firstLine="560" w:firstLineChars="200"/>
        <w:rPr>
          <w:rFonts w:ascii="楷体_GB2312" w:eastAsia="楷体_GB2312"/>
          <w:sz w:val="28"/>
        </w:rPr>
      </w:pPr>
      <w:r>
        <w:rPr>
          <w:rFonts w:hint="eastAsia" w:ascii="楷体_GB2312" w:eastAsia="楷体_GB2312"/>
          <w:sz w:val="28"/>
        </w:rPr>
        <w:t xml:space="preserve">     </w:t>
      </w:r>
      <w:r>
        <w:rPr>
          <w:rFonts w:hint="eastAsia" w:ascii="楷体_GB2312" w:eastAsia="楷体_GB2312"/>
          <w:sz w:val="28"/>
        </w:rPr>
        <w:tab/>
      </w:r>
    </w:p>
    <w:p>
      <w:pPr>
        <w:adjustRightInd w:val="0"/>
        <w:spacing w:line="400" w:lineRule="exact"/>
        <w:ind w:firstLine="560" w:firstLineChars="200"/>
        <w:rPr>
          <w:rFonts w:ascii="楷体_GB2312" w:eastAsia="楷体_GB2312"/>
          <w:b/>
          <w:bCs/>
          <w:sz w:val="28"/>
        </w:rPr>
      </w:pPr>
      <w:r>
        <w:rPr>
          <w:rFonts w:hint="eastAsia" w:ascii="楷体_GB2312" w:eastAsia="楷体_GB2312"/>
          <w:sz w:val="28"/>
        </w:rPr>
        <w:t xml:space="preserve">       </w:t>
      </w:r>
    </w:p>
    <w:p>
      <w:pPr>
        <w:spacing w:line="600" w:lineRule="exact"/>
        <w:ind w:right="1967"/>
        <w:rPr>
          <w:rFonts w:ascii="楷体_GB2312" w:eastAsia="楷体_GB2312"/>
          <w:b/>
          <w:bCs/>
          <w:sz w:val="28"/>
        </w:rPr>
      </w:pPr>
    </w:p>
    <w:p>
      <w:pPr>
        <w:spacing w:line="600" w:lineRule="exact"/>
        <w:ind w:firstLine="2249" w:firstLineChars="800"/>
        <w:jc w:val="right"/>
        <w:rPr>
          <w:rFonts w:ascii="楷体_GB2312" w:eastAsia="楷体_GB2312"/>
          <w:b/>
          <w:bCs/>
          <w:sz w:val="28"/>
        </w:rPr>
      </w:pPr>
      <w:r>
        <w:rPr>
          <w:rFonts w:hint="eastAsia" w:ascii="楷体_GB2312" w:eastAsia="楷体_GB2312"/>
          <w:b/>
          <w:bCs/>
          <w:sz w:val="28"/>
        </w:rPr>
        <w:t>天信房地产土地资产评估有限公司</w:t>
      </w:r>
    </w:p>
    <w:p>
      <w:pPr>
        <w:snapToGrid w:val="0"/>
        <w:spacing w:line="600" w:lineRule="exact"/>
        <w:ind w:firstLine="560"/>
        <w:rPr>
          <w:rFonts w:ascii="楷体_GB2312" w:eastAsia="楷体_GB2312"/>
          <w:b/>
          <w:bCs/>
          <w:sz w:val="28"/>
        </w:rPr>
      </w:pPr>
      <w:r>
        <w:rPr>
          <w:rFonts w:hint="eastAsia" w:ascii="楷体_GB2312" w:eastAsia="楷体_GB2312"/>
          <w:sz w:val="28"/>
        </w:rPr>
        <w:t xml:space="preserve">                    </w:t>
      </w:r>
      <w:r>
        <w:rPr>
          <w:rFonts w:ascii="楷体_GB2312" w:eastAsia="楷体_GB2312"/>
          <w:sz w:val="28"/>
        </w:rPr>
        <w:t xml:space="preserve"> </w:t>
      </w:r>
      <w:r>
        <w:rPr>
          <w:rFonts w:hint="eastAsia" w:ascii="楷体_GB2312" w:eastAsia="楷体_GB2312"/>
          <w:sz w:val="28"/>
        </w:rPr>
        <w:t xml:space="preserve">         </w:t>
      </w:r>
      <w:r>
        <w:rPr>
          <w:rFonts w:ascii="楷体_GB2312" w:eastAsia="楷体_GB2312"/>
          <w:sz w:val="28"/>
        </w:rPr>
        <w:t xml:space="preserve">  </w:t>
      </w:r>
      <w:r>
        <w:rPr>
          <w:rFonts w:hint="eastAsia" w:ascii="楷体_GB2312" w:eastAsia="楷体_GB2312"/>
          <w:sz w:val="28"/>
        </w:rPr>
        <w:t xml:space="preserve"> </w:t>
      </w:r>
      <w:r>
        <w:rPr>
          <w:rFonts w:ascii="楷体_GB2312" w:eastAsia="楷体_GB2312"/>
          <w:sz w:val="28"/>
        </w:rPr>
        <w:t xml:space="preserve">  </w:t>
      </w:r>
      <w:r>
        <w:rPr>
          <w:rFonts w:hint="eastAsia" w:ascii="楷体_GB2312" w:eastAsia="楷体_GB2312"/>
          <w:sz w:val="28"/>
        </w:rPr>
        <w:t xml:space="preserve">  </w:t>
      </w:r>
      <w:r>
        <w:rPr>
          <w:rFonts w:hint="eastAsia" w:ascii="楷体_GB2312" w:eastAsia="楷体_GB2312"/>
          <w:b/>
          <w:bCs/>
          <w:sz w:val="28"/>
        </w:rPr>
        <w:t>法定代表人：</w:t>
      </w:r>
    </w:p>
    <w:p>
      <w:pPr>
        <w:spacing w:line="600" w:lineRule="exact"/>
        <w:ind w:right="560"/>
        <w:jc w:val="center"/>
        <w:rPr>
          <w:rFonts w:ascii="黑体" w:eastAsia="黑体"/>
          <w:b/>
          <w:bCs/>
          <w:sz w:val="36"/>
          <w:szCs w:val="36"/>
        </w:rPr>
      </w:pPr>
      <w:r>
        <w:rPr>
          <w:rFonts w:hint="eastAsia" w:ascii="楷体_GB2312" w:eastAsia="楷体_GB2312"/>
          <w:b/>
          <w:bCs/>
          <w:sz w:val="28"/>
        </w:rPr>
        <w:t xml:space="preserve">                               </w:t>
      </w:r>
      <w:r>
        <w:rPr>
          <w:rFonts w:ascii="楷体_GB2312" w:eastAsia="楷体_GB2312"/>
          <w:b/>
          <w:bCs/>
          <w:sz w:val="28"/>
        </w:rPr>
        <w:t xml:space="preserve"> </w:t>
      </w:r>
      <w:r>
        <w:rPr>
          <w:rFonts w:hint="eastAsia" w:ascii="楷体_GB2312" w:eastAsia="楷体_GB2312"/>
          <w:b/>
          <w:bCs/>
          <w:sz w:val="28"/>
        </w:rPr>
        <w:t xml:space="preserve">  </w:t>
      </w:r>
      <w:r>
        <w:rPr>
          <w:rFonts w:ascii="楷体_GB2312" w:eastAsia="楷体_GB2312"/>
          <w:b/>
          <w:bCs/>
          <w:sz w:val="28"/>
        </w:rPr>
        <w:t xml:space="preserve">   </w:t>
      </w:r>
      <w:r>
        <w:rPr>
          <w:rFonts w:hint="eastAsia" w:ascii="楷体_GB2312" w:eastAsia="楷体_GB2312"/>
          <w:b/>
          <w:bCs/>
          <w:sz w:val="28"/>
        </w:rPr>
        <w:t>二○二二年六月二十日</w:t>
      </w:r>
    </w:p>
    <w:p>
      <w:pPr>
        <w:pStyle w:val="15"/>
        <w:spacing w:line="700" w:lineRule="exact"/>
        <w:jc w:val="center"/>
        <w:rPr>
          <w:rFonts w:ascii="黑体" w:eastAsia="黑体"/>
          <w:b/>
          <w:bCs/>
          <w:sz w:val="36"/>
          <w:szCs w:val="36"/>
        </w:rPr>
      </w:pPr>
    </w:p>
    <w:p>
      <w:pPr>
        <w:pStyle w:val="15"/>
        <w:spacing w:line="700" w:lineRule="exact"/>
        <w:jc w:val="center"/>
        <w:rPr>
          <w:rFonts w:ascii="黑体" w:eastAsia="黑体"/>
          <w:b/>
          <w:bCs/>
          <w:sz w:val="36"/>
          <w:szCs w:val="36"/>
        </w:rPr>
      </w:pPr>
    </w:p>
    <w:p>
      <w:pPr>
        <w:pStyle w:val="2"/>
        <w:keepNext w:val="0"/>
        <w:keepLines w:val="0"/>
        <w:spacing w:before="0" w:after="0"/>
        <w:jc w:val="center"/>
        <w:rPr>
          <w:rFonts w:ascii="黑体" w:hAnsi="黑体" w:eastAsia="黑体"/>
          <w:sz w:val="36"/>
          <w:szCs w:val="36"/>
        </w:rPr>
      </w:pPr>
      <w:bookmarkStart w:id="2" w:name="_Toc322348928"/>
      <w:bookmarkStart w:id="3" w:name="_Toc101642615"/>
      <w:r>
        <w:rPr>
          <w:rFonts w:hint="eastAsia" w:ascii="黑体" w:hAnsi="黑体" w:eastAsia="黑体"/>
          <w:sz w:val="36"/>
          <w:szCs w:val="36"/>
        </w:rPr>
        <w:t>估价结果报告</w:t>
      </w:r>
      <w:bookmarkEnd w:id="2"/>
      <w:bookmarkEnd w:id="3"/>
    </w:p>
    <w:p>
      <w:pPr>
        <w:jc w:val="center"/>
        <w:rPr>
          <w:rFonts w:ascii="楷体_GB2312" w:eastAsia="楷体_GB2312"/>
        </w:rPr>
      </w:pPr>
    </w:p>
    <w:p>
      <w:pPr>
        <w:pStyle w:val="3"/>
        <w:ind w:firstLine="562" w:firstLineChars="200"/>
        <w:jc w:val="left"/>
        <w:rPr>
          <w:sz w:val="28"/>
          <w:szCs w:val="28"/>
        </w:rPr>
      </w:pPr>
      <w:bookmarkStart w:id="4" w:name="_Toc322348929"/>
      <w:bookmarkStart w:id="5" w:name="_Toc101642616"/>
      <w:r>
        <w:rPr>
          <w:rFonts w:hint="eastAsia"/>
          <w:sz w:val="28"/>
          <w:szCs w:val="28"/>
        </w:rPr>
        <w:t>一、估价委托人</w:t>
      </w:r>
      <w:bookmarkEnd w:id="4"/>
      <w:bookmarkEnd w:id="5"/>
    </w:p>
    <w:p>
      <w:pPr>
        <w:snapToGrid w:val="0"/>
        <w:spacing w:line="480" w:lineRule="exact"/>
        <w:ind w:firstLine="560" w:firstLineChars="200"/>
        <w:rPr>
          <w:rFonts w:ascii="楷体_GB2312" w:eastAsia="楷体_GB2312"/>
          <w:sz w:val="28"/>
        </w:rPr>
      </w:pPr>
      <w:r>
        <w:rPr>
          <w:rFonts w:hint="eastAsia" w:ascii="楷体_GB2312" w:eastAsia="楷体_GB2312"/>
          <w:sz w:val="28"/>
        </w:rPr>
        <w:t>单位名称：醴陵市人民法院</w:t>
      </w:r>
    </w:p>
    <w:p>
      <w:pPr>
        <w:snapToGrid w:val="0"/>
        <w:spacing w:line="480" w:lineRule="exact"/>
        <w:ind w:firstLine="548" w:firstLineChars="196"/>
        <w:rPr>
          <w:rFonts w:ascii="楷体_GB2312" w:hAnsi="宋体" w:eastAsia="楷体_GB2312"/>
          <w:sz w:val="28"/>
        </w:rPr>
      </w:pPr>
      <w:bookmarkStart w:id="6" w:name="_Toc322348930"/>
    </w:p>
    <w:p>
      <w:pPr>
        <w:pStyle w:val="3"/>
        <w:ind w:firstLine="562" w:firstLineChars="200"/>
        <w:jc w:val="left"/>
        <w:rPr>
          <w:sz w:val="28"/>
          <w:szCs w:val="28"/>
        </w:rPr>
      </w:pPr>
      <w:bookmarkStart w:id="7" w:name="_Toc101642617"/>
      <w:r>
        <w:rPr>
          <w:rFonts w:hint="eastAsia"/>
          <w:sz w:val="28"/>
          <w:szCs w:val="28"/>
        </w:rPr>
        <w:t>二、</w:t>
      </w:r>
      <w:bookmarkEnd w:id="6"/>
      <w:r>
        <w:rPr>
          <w:rFonts w:hint="eastAsia"/>
          <w:sz w:val="28"/>
          <w:szCs w:val="28"/>
        </w:rPr>
        <w:t>房地产估价机构</w:t>
      </w:r>
      <w:bookmarkEnd w:id="7"/>
    </w:p>
    <w:p>
      <w:pPr>
        <w:snapToGrid w:val="0"/>
        <w:spacing w:line="480" w:lineRule="exact"/>
        <w:ind w:firstLine="560" w:firstLineChars="200"/>
        <w:rPr>
          <w:rFonts w:ascii="楷体_GB2312" w:eastAsia="楷体_GB2312"/>
          <w:sz w:val="28"/>
        </w:rPr>
      </w:pPr>
      <w:bookmarkStart w:id="8" w:name="_Toc322348931"/>
      <w:r>
        <w:rPr>
          <w:rFonts w:hint="eastAsia" w:ascii="楷体_GB2312" w:eastAsia="楷体_GB2312"/>
          <w:sz w:val="28"/>
        </w:rPr>
        <w:t>机构名称：天信房地产土地资产评估有限公司</w:t>
      </w:r>
    </w:p>
    <w:p>
      <w:pPr>
        <w:snapToGrid w:val="0"/>
        <w:spacing w:line="480" w:lineRule="exact"/>
        <w:ind w:firstLine="560" w:firstLineChars="200"/>
        <w:rPr>
          <w:rFonts w:ascii="楷体_GB2312" w:eastAsia="楷体_GB2312"/>
          <w:sz w:val="28"/>
        </w:rPr>
      </w:pPr>
      <w:r>
        <w:rPr>
          <w:rFonts w:hint="eastAsia" w:ascii="楷体_GB2312" w:eastAsia="楷体_GB2312"/>
          <w:sz w:val="28"/>
        </w:rPr>
        <w:t>法定代表人：贺方</w:t>
      </w:r>
    </w:p>
    <w:p>
      <w:pPr>
        <w:snapToGrid w:val="0"/>
        <w:spacing w:line="480" w:lineRule="exact"/>
        <w:ind w:firstLine="560" w:firstLineChars="200"/>
        <w:rPr>
          <w:rFonts w:ascii="楷体_GB2312" w:eastAsia="楷体_GB2312"/>
          <w:sz w:val="28"/>
        </w:rPr>
      </w:pPr>
      <w:r>
        <w:rPr>
          <w:rFonts w:hint="eastAsia" w:ascii="楷体_GB2312" w:eastAsia="楷体_GB2312"/>
          <w:sz w:val="28"/>
        </w:rPr>
        <w:t>住所：长沙市雨花区湘府东路二段99号汇财御景湾新寓11栋1601房</w:t>
      </w:r>
    </w:p>
    <w:p>
      <w:pPr>
        <w:snapToGrid w:val="0"/>
        <w:spacing w:line="480" w:lineRule="exact"/>
        <w:ind w:firstLine="560" w:firstLineChars="200"/>
        <w:rPr>
          <w:rFonts w:ascii="楷体_GB2312" w:eastAsia="楷体_GB2312"/>
          <w:sz w:val="28"/>
        </w:rPr>
      </w:pPr>
      <w:r>
        <w:rPr>
          <w:rFonts w:hint="eastAsia" w:ascii="楷体_GB2312" w:eastAsia="楷体_GB2312"/>
          <w:sz w:val="28"/>
        </w:rPr>
        <w:t>统一社会信用代码：91430111572239789T</w:t>
      </w:r>
    </w:p>
    <w:p>
      <w:pPr>
        <w:snapToGrid w:val="0"/>
        <w:spacing w:line="480" w:lineRule="exact"/>
        <w:ind w:firstLine="560" w:firstLineChars="200"/>
        <w:rPr>
          <w:rFonts w:ascii="楷体_GB2312" w:eastAsia="楷体_GB2312"/>
          <w:sz w:val="28"/>
        </w:rPr>
      </w:pPr>
      <w:r>
        <w:rPr>
          <w:rFonts w:hint="eastAsia" w:ascii="楷体_GB2312" w:eastAsia="楷体_GB2312"/>
          <w:sz w:val="28"/>
        </w:rPr>
        <w:t>备案等级：一级</w:t>
      </w:r>
    </w:p>
    <w:p>
      <w:pPr>
        <w:snapToGrid w:val="0"/>
        <w:spacing w:line="480" w:lineRule="exact"/>
        <w:ind w:firstLine="560" w:firstLineChars="200"/>
        <w:rPr>
          <w:rFonts w:ascii="楷体_GB2312" w:eastAsia="楷体_GB2312"/>
          <w:sz w:val="28"/>
        </w:rPr>
      </w:pPr>
      <w:r>
        <w:rPr>
          <w:rFonts w:hint="eastAsia" w:ascii="楷体_GB2312" w:eastAsia="楷体_GB2312"/>
          <w:sz w:val="28"/>
        </w:rPr>
        <w:t>证书编号：湘建房估(长)字第0510264号</w:t>
      </w:r>
    </w:p>
    <w:p>
      <w:pPr>
        <w:snapToGrid w:val="0"/>
        <w:spacing w:line="480" w:lineRule="exact"/>
        <w:ind w:firstLine="560" w:firstLineChars="200"/>
        <w:rPr>
          <w:rFonts w:ascii="楷体_GB2312" w:eastAsia="楷体_GB2312"/>
          <w:sz w:val="28"/>
        </w:rPr>
      </w:pPr>
      <w:r>
        <w:rPr>
          <w:rFonts w:hint="eastAsia" w:ascii="楷体_GB2312" w:eastAsia="楷体_GB2312"/>
          <w:sz w:val="28"/>
        </w:rPr>
        <w:t>联系电话：0731-89796208</w:t>
      </w:r>
    </w:p>
    <w:p>
      <w:pPr>
        <w:snapToGrid w:val="0"/>
        <w:spacing w:line="480" w:lineRule="exact"/>
        <w:ind w:firstLine="551" w:firstLineChars="196"/>
        <w:rPr>
          <w:rFonts w:ascii="黑体" w:eastAsia="黑体"/>
          <w:b/>
          <w:sz w:val="28"/>
        </w:rPr>
      </w:pPr>
    </w:p>
    <w:p>
      <w:pPr>
        <w:pStyle w:val="3"/>
        <w:ind w:firstLine="562" w:firstLineChars="200"/>
        <w:jc w:val="left"/>
        <w:rPr>
          <w:sz w:val="28"/>
          <w:szCs w:val="28"/>
        </w:rPr>
      </w:pPr>
      <w:bookmarkStart w:id="9" w:name="_Toc101642618"/>
      <w:r>
        <w:rPr>
          <w:rFonts w:hint="eastAsia"/>
          <w:sz w:val="28"/>
          <w:szCs w:val="28"/>
        </w:rPr>
        <w:t>三、估价目的</w:t>
      </w:r>
      <w:bookmarkEnd w:id="9"/>
    </w:p>
    <w:p>
      <w:pPr>
        <w:pStyle w:val="15"/>
        <w:spacing w:line="440" w:lineRule="exact"/>
        <w:ind w:firstLine="560" w:firstLineChars="200"/>
        <w:rPr>
          <w:rFonts w:ascii="楷体_GB2312" w:hAnsi="宋体" w:eastAsia="楷体_GB2312"/>
          <w:sz w:val="28"/>
        </w:rPr>
      </w:pPr>
      <w:r>
        <w:rPr>
          <w:rFonts w:hint="eastAsia" w:ascii="楷体_GB2312" w:eastAsia="楷体_GB2312"/>
          <w:sz w:val="28"/>
        </w:rPr>
        <w:t>根据《湖南省醴陵市人民法院委托书》</w:t>
      </w:r>
      <w:r>
        <w:rPr>
          <w:rFonts w:ascii="楷体_GB2312" w:eastAsia="楷体_GB2312"/>
          <w:sz w:val="28"/>
        </w:rPr>
        <w:t>[</w:t>
      </w:r>
      <w:r>
        <w:rPr>
          <w:rFonts w:hint="eastAsia" w:ascii="楷体_GB2312" w:eastAsia="楷体_GB2312"/>
          <w:sz w:val="28"/>
        </w:rPr>
        <w:t>（2022）湘0281技辅17号、（2022）湘0281技辅18号</w:t>
      </w:r>
      <w:r>
        <w:rPr>
          <w:rFonts w:ascii="楷体_GB2312" w:eastAsia="楷体_GB2312"/>
          <w:sz w:val="28"/>
        </w:rPr>
        <w:t>]</w:t>
      </w:r>
      <w:r>
        <w:rPr>
          <w:rFonts w:hint="eastAsia" w:ascii="楷体_GB2312" w:eastAsia="楷体_GB2312"/>
          <w:sz w:val="28"/>
        </w:rPr>
        <w:t>，本次估价目的为人民法院确定财产处置参考价提供参考依据。</w:t>
      </w:r>
    </w:p>
    <w:p>
      <w:pPr>
        <w:snapToGrid w:val="0"/>
        <w:spacing w:line="480" w:lineRule="exact"/>
        <w:ind w:firstLine="551" w:firstLineChars="196"/>
        <w:rPr>
          <w:rFonts w:ascii="黑体" w:eastAsia="黑体"/>
          <w:b/>
          <w:sz w:val="28"/>
        </w:rPr>
      </w:pPr>
    </w:p>
    <w:p>
      <w:pPr>
        <w:pStyle w:val="3"/>
        <w:spacing w:line="480" w:lineRule="exact"/>
        <w:ind w:firstLine="562" w:firstLineChars="200"/>
        <w:jc w:val="left"/>
        <w:rPr>
          <w:sz w:val="28"/>
          <w:szCs w:val="28"/>
        </w:rPr>
      </w:pPr>
      <w:bookmarkStart w:id="10" w:name="_Toc101642619"/>
      <w:r>
        <w:rPr>
          <w:rFonts w:hint="eastAsia"/>
          <w:sz w:val="28"/>
          <w:szCs w:val="28"/>
        </w:rPr>
        <w:t>四、估价对象</w:t>
      </w:r>
      <w:bookmarkEnd w:id="8"/>
      <w:bookmarkEnd w:id="10"/>
    </w:p>
    <w:p>
      <w:pPr>
        <w:snapToGrid w:val="0"/>
        <w:spacing w:line="480" w:lineRule="exact"/>
        <w:ind w:firstLine="560" w:firstLineChars="200"/>
        <w:rPr>
          <w:rFonts w:ascii="楷体_GB2312" w:hAnsi="仿宋" w:eastAsia="楷体_GB2312"/>
          <w:sz w:val="28"/>
          <w:szCs w:val="28"/>
        </w:rPr>
      </w:pPr>
      <w:r>
        <w:rPr>
          <w:rFonts w:hint="eastAsia" w:ascii="楷体_GB2312" w:hAnsi="仿宋" w:eastAsia="楷体_GB2312"/>
          <w:sz w:val="28"/>
          <w:szCs w:val="28"/>
        </w:rPr>
        <w:t>（一）估价对象财产范围界定</w:t>
      </w:r>
    </w:p>
    <w:p>
      <w:pPr>
        <w:pStyle w:val="15"/>
        <w:adjustRightInd w:val="0"/>
        <w:snapToGrid w:val="0"/>
        <w:spacing w:line="480" w:lineRule="exact"/>
        <w:ind w:firstLine="560" w:firstLineChars="200"/>
        <w:rPr>
          <w:rFonts w:ascii="楷体_GB2312" w:hAnsi="宋体" w:eastAsia="楷体_GB2312"/>
          <w:color w:val="FF0000"/>
          <w:sz w:val="28"/>
        </w:rPr>
      </w:pPr>
      <w:r>
        <w:rPr>
          <w:rFonts w:hint="eastAsia" w:ascii="楷体_GB2312" w:hAnsi="宋体" w:eastAsia="楷体_GB2312"/>
          <w:sz w:val="28"/>
        </w:rPr>
        <w:t>本次估价对象范围为醴陵市板杉房地产综合开发有限公司单独所有的位于醴陵市来龙门街道办事处狮子坡102号101、102房地产，总建筑面积为596.86平方米，用途为分别商业、综合，本次评估设定用途为商业、综合，包括房屋主体、土地使用权价值、供电、供水、室内装饰装修等，不包含家具家电等可移动的非房屋附属设施设备的价值及不包含债权债务等。</w:t>
      </w:r>
    </w:p>
    <w:p>
      <w:pPr>
        <w:spacing w:line="480" w:lineRule="exact"/>
        <w:ind w:firstLine="560" w:firstLineChars="200"/>
        <w:rPr>
          <w:rFonts w:ascii="楷体_GB2312" w:hAnsi="仿宋" w:eastAsia="楷体_GB2312"/>
          <w:sz w:val="28"/>
          <w:szCs w:val="28"/>
        </w:rPr>
      </w:pPr>
      <w:r>
        <w:rPr>
          <w:rFonts w:hint="eastAsia" w:ascii="楷体_GB2312" w:hAnsi="仿宋" w:eastAsia="楷体_GB2312"/>
          <w:sz w:val="28"/>
          <w:szCs w:val="28"/>
        </w:rPr>
        <w:t>（二）估价对象基本状况</w:t>
      </w:r>
    </w:p>
    <w:p>
      <w:pPr>
        <w:spacing w:line="480" w:lineRule="exact"/>
        <w:ind w:firstLine="560" w:firstLineChars="200"/>
        <w:rPr>
          <w:rFonts w:ascii="楷体_GB2312" w:hAnsi="仿宋" w:eastAsia="楷体_GB2312"/>
          <w:sz w:val="28"/>
          <w:szCs w:val="28"/>
        </w:rPr>
      </w:pPr>
      <w:r>
        <w:rPr>
          <w:rFonts w:hint="eastAsia" w:ascii="仿宋" w:hAnsi="仿宋" w:eastAsia="仿宋"/>
          <w:sz w:val="28"/>
          <w:szCs w:val="28"/>
        </w:rPr>
        <w:t>1.</w:t>
      </w:r>
      <w:r>
        <w:rPr>
          <w:rFonts w:hint="eastAsia" w:ascii="楷体_GB2312" w:hAnsi="仿宋" w:eastAsia="楷体_GB2312"/>
          <w:sz w:val="28"/>
          <w:szCs w:val="28"/>
        </w:rPr>
        <w:t>估价对象基本情况详见下表：</w:t>
      </w:r>
    </w:p>
    <w:p>
      <w:pPr>
        <w:spacing w:line="480" w:lineRule="exact"/>
        <w:rPr>
          <w:rFonts w:ascii="楷体_GB2312" w:hAnsi="仿宋" w:eastAsia="楷体_GB2312"/>
          <w:sz w:val="28"/>
          <w:szCs w:val="28"/>
        </w:rPr>
      </w:pPr>
    </w:p>
    <w:tbl>
      <w:tblPr>
        <w:tblStyle w:val="33"/>
        <w:tblW w:w="501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7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04"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估价对象1名称</w:t>
            </w:r>
          </w:p>
        </w:tc>
        <w:tc>
          <w:tcPr>
            <w:tcW w:w="3896" w:type="pct"/>
            <w:shd w:val="clear" w:color="auto" w:fill="auto"/>
            <w:noWrap/>
            <w:vAlign w:val="center"/>
          </w:tcPr>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醴陵市来龙门街道办事处狮子坡102号101商业房地产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104"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坐落</w:t>
            </w:r>
          </w:p>
        </w:tc>
        <w:tc>
          <w:tcPr>
            <w:tcW w:w="3896" w:type="pct"/>
            <w:shd w:val="clear" w:color="auto" w:fill="auto"/>
            <w:noWrap/>
            <w:vAlign w:val="center"/>
          </w:tcPr>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醴陵市来龙门街道办事处狮子坡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04"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规模</w:t>
            </w:r>
          </w:p>
        </w:tc>
        <w:tc>
          <w:tcPr>
            <w:tcW w:w="3896" w:type="pct"/>
            <w:shd w:val="clear" w:color="auto" w:fill="auto"/>
            <w:noWrap/>
            <w:vAlign w:val="center"/>
          </w:tcPr>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估价对象建筑面积358.72平方米，总土地面积为57.73平方米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04"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用途</w:t>
            </w:r>
          </w:p>
        </w:tc>
        <w:tc>
          <w:tcPr>
            <w:tcW w:w="3896" w:type="pct"/>
            <w:shd w:val="clear" w:color="auto" w:fill="auto"/>
            <w:noWrap/>
            <w:vAlign w:val="center"/>
          </w:tcPr>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商业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0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估价对象2名称</w:t>
            </w:r>
          </w:p>
        </w:tc>
        <w:tc>
          <w:tcPr>
            <w:tcW w:w="389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醴陵市来龙门街道办事处狮子坡102号102房地产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0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坐落</w:t>
            </w:r>
          </w:p>
        </w:tc>
        <w:tc>
          <w:tcPr>
            <w:tcW w:w="389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醴陵市来龙门街道办事处狮子坡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0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规模</w:t>
            </w:r>
          </w:p>
        </w:tc>
        <w:tc>
          <w:tcPr>
            <w:tcW w:w="389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估价对象建筑面积238.14平方米，土地面积为120.90平方米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0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用途</w:t>
            </w:r>
          </w:p>
        </w:tc>
        <w:tc>
          <w:tcPr>
            <w:tcW w:w="389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综合</w:t>
            </w:r>
          </w:p>
        </w:tc>
      </w:tr>
    </w:tbl>
    <w:p>
      <w:pPr>
        <w:spacing w:line="420" w:lineRule="exact"/>
        <w:ind w:firstLine="560" w:firstLineChars="200"/>
        <w:rPr>
          <w:rFonts w:ascii="楷体_GB2312" w:hAnsi="仿宋" w:eastAsia="楷体_GB2312"/>
          <w:sz w:val="28"/>
          <w:szCs w:val="28"/>
        </w:rPr>
      </w:pPr>
      <w:r>
        <w:rPr>
          <w:rFonts w:ascii="楷体_GB2312" w:hAnsi="仿宋" w:eastAsia="楷体_GB2312"/>
          <w:sz w:val="28"/>
          <w:szCs w:val="28"/>
        </w:rPr>
        <w:t>2.</w:t>
      </w:r>
      <w:r>
        <w:rPr>
          <w:rFonts w:hint="eastAsia" w:ascii="楷体_GB2312" w:hAnsi="仿宋" w:eastAsia="楷体_GB2312"/>
          <w:sz w:val="28"/>
          <w:szCs w:val="28"/>
        </w:rPr>
        <w:t>区位状况</w:t>
      </w:r>
    </w:p>
    <w:tbl>
      <w:tblPr>
        <w:tblStyle w:val="33"/>
        <w:tblW w:w="513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2191"/>
        <w:gridCol w:w="6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582" w:type="pct"/>
            <w:gridSpan w:val="2"/>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项目</w:t>
            </w:r>
          </w:p>
        </w:tc>
        <w:tc>
          <w:tcPr>
            <w:tcW w:w="3417"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详细情况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455" w:type="pct"/>
            <w:vMerge w:val="restar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位置状况</w:t>
            </w:r>
          </w:p>
        </w:tc>
        <w:tc>
          <w:tcPr>
            <w:tcW w:w="1126"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坐落</w:t>
            </w:r>
          </w:p>
        </w:tc>
        <w:tc>
          <w:tcPr>
            <w:tcW w:w="3417" w:type="pct"/>
            <w:shd w:val="clear" w:color="auto" w:fill="auto"/>
            <w:vAlign w:val="center"/>
          </w:tcPr>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醴陵市来龙门街道办事处狮子坡102号101、102房地产。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455" w:type="pct"/>
            <w:vMerge w:val="continue"/>
            <w:vAlign w:val="center"/>
          </w:tcPr>
          <w:p>
            <w:pPr>
              <w:widowControl/>
              <w:jc w:val="left"/>
              <w:rPr>
                <w:rFonts w:ascii="楷体_GB2312" w:hAnsi="宋体" w:eastAsia="楷体_GB2312" w:cs="宋体"/>
                <w:color w:val="000000"/>
                <w:kern w:val="0"/>
                <w:sz w:val="24"/>
                <w:szCs w:val="24"/>
              </w:rPr>
            </w:pPr>
          </w:p>
        </w:tc>
        <w:tc>
          <w:tcPr>
            <w:tcW w:w="1126"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方位</w:t>
            </w:r>
          </w:p>
        </w:tc>
        <w:tc>
          <w:tcPr>
            <w:tcW w:w="3417" w:type="pct"/>
            <w:shd w:val="clear" w:color="auto" w:fill="auto"/>
            <w:vAlign w:val="center"/>
          </w:tcPr>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估价对象位于醴陵市来龙门街道办事处狮子坡102号</w:t>
            </w:r>
            <w:r>
              <w:rPr>
                <w:rFonts w:ascii="楷体_GB2312" w:hAnsi="宋体" w:eastAsia="楷体_GB2312" w:cs="宋体"/>
                <w:color w:val="000000"/>
                <w:kern w:val="0"/>
                <w:sz w:val="24"/>
                <w:szCs w:val="24"/>
              </w:rPr>
              <w:t>，处于</w:t>
            </w:r>
            <w:r>
              <w:rPr>
                <w:rFonts w:hint="eastAsia" w:ascii="楷体_GB2312" w:hAnsi="宋体" w:eastAsia="楷体_GB2312" w:cs="宋体"/>
                <w:color w:val="000000"/>
                <w:kern w:val="0"/>
                <w:sz w:val="24"/>
                <w:szCs w:val="24"/>
                <w:lang w:eastAsia="zh-CN"/>
              </w:rPr>
              <w:t>醴陵市</w:t>
            </w:r>
            <w:r>
              <w:rPr>
                <w:rFonts w:ascii="楷体_GB2312" w:hAnsi="宋体" w:eastAsia="楷体_GB2312" w:cs="宋体"/>
                <w:color w:val="000000"/>
                <w:kern w:val="0"/>
                <w:sz w:val="24"/>
                <w:szCs w:val="24"/>
              </w:rPr>
              <w:t>，该</w:t>
            </w:r>
            <w:r>
              <w:rPr>
                <w:rFonts w:hint="eastAsia" w:ascii="楷体_GB2312" w:hAnsi="宋体" w:eastAsia="楷体_GB2312" w:cs="宋体"/>
                <w:color w:val="000000"/>
                <w:kern w:val="0"/>
                <w:sz w:val="24"/>
                <w:szCs w:val="24"/>
              </w:rPr>
              <w:t>楼宇</w:t>
            </w:r>
            <w:r>
              <w:rPr>
                <w:rFonts w:ascii="楷体_GB2312" w:hAnsi="宋体" w:eastAsia="楷体_GB2312" w:cs="宋体"/>
                <w:color w:val="000000"/>
                <w:kern w:val="0"/>
                <w:sz w:val="24"/>
                <w:szCs w:val="24"/>
              </w:rPr>
              <w:t>东</w:t>
            </w:r>
            <w:r>
              <w:rPr>
                <w:rFonts w:hint="eastAsia" w:ascii="楷体_GB2312" w:hAnsi="宋体" w:eastAsia="楷体_GB2312" w:cs="宋体"/>
                <w:color w:val="000000"/>
                <w:kern w:val="0"/>
                <w:sz w:val="24"/>
                <w:szCs w:val="24"/>
              </w:rPr>
              <w:t>邻其他房屋，西邻醴陵市狮子坡中心小学，南临狮子坡路，北邻住宅。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455" w:type="pct"/>
            <w:vMerge w:val="continue"/>
            <w:vAlign w:val="center"/>
          </w:tcPr>
          <w:p>
            <w:pPr>
              <w:widowControl/>
              <w:jc w:val="left"/>
              <w:rPr>
                <w:rFonts w:ascii="楷体_GB2312" w:hAnsi="宋体" w:eastAsia="楷体_GB2312" w:cs="宋体"/>
                <w:color w:val="000000"/>
                <w:kern w:val="0"/>
                <w:sz w:val="24"/>
                <w:szCs w:val="24"/>
              </w:rPr>
            </w:pPr>
          </w:p>
        </w:tc>
        <w:tc>
          <w:tcPr>
            <w:tcW w:w="1126"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临街状况</w:t>
            </w:r>
          </w:p>
        </w:tc>
        <w:tc>
          <w:tcPr>
            <w:tcW w:w="3417" w:type="pct"/>
            <w:shd w:val="clear" w:color="auto" w:fill="auto"/>
            <w:vAlign w:val="center"/>
          </w:tcPr>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临狮子坡路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455" w:type="pct"/>
            <w:vMerge w:val="continue"/>
            <w:vAlign w:val="center"/>
          </w:tcPr>
          <w:p>
            <w:pPr>
              <w:widowControl/>
              <w:jc w:val="left"/>
              <w:rPr>
                <w:rFonts w:ascii="楷体_GB2312" w:hAnsi="宋体" w:eastAsia="楷体_GB2312" w:cs="宋体"/>
                <w:color w:val="000000"/>
                <w:kern w:val="0"/>
                <w:sz w:val="24"/>
                <w:szCs w:val="24"/>
              </w:rPr>
            </w:pPr>
          </w:p>
        </w:tc>
        <w:tc>
          <w:tcPr>
            <w:tcW w:w="1126"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所在层数/总层数</w:t>
            </w:r>
          </w:p>
        </w:tc>
        <w:tc>
          <w:tcPr>
            <w:tcW w:w="3417" w:type="pct"/>
            <w:shd w:val="clear" w:color="auto" w:fill="auto"/>
            <w:vAlign w:val="center"/>
          </w:tcPr>
          <w:p>
            <w:pPr>
              <w:widowControl/>
              <w:tabs>
                <w:tab w:val="center" w:pos="3129"/>
              </w:tabs>
              <w:jc w:val="left"/>
              <w:rPr>
                <w:rFonts w:ascii="楷体_GB2312" w:hAnsi="宋体" w:eastAsia="楷体_GB2312" w:cs="宋体"/>
                <w:color w:val="000000"/>
                <w:kern w:val="0"/>
                <w:sz w:val="24"/>
                <w:szCs w:val="24"/>
              </w:rPr>
            </w:pPr>
            <w:r>
              <w:rPr>
                <w:rFonts w:hint="eastAsia" w:ascii="楷体_GB2312" w:hAnsi="宋体" w:eastAsia="楷体_GB2312"/>
                <w:sz w:val="24"/>
                <w:szCs w:val="24"/>
              </w:rPr>
              <w:t>估价对象1：第1层</w:t>
            </w:r>
            <w:r>
              <w:rPr>
                <w:rFonts w:ascii="楷体_GB2312" w:hAnsi="宋体" w:eastAsia="楷体_GB2312"/>
                <w:sz w:val="24"/>
                <w:szCs w:val="24"/>
              </w:rPr>
              <w:t>/共</w:t>
            </w:r>
            <w:r>
              <w:rPr>
                <w:rFonts w:hint="eastAsia" w:ascii="楷体_GB2312" w:hAnsi="宋体" w:eastAsia="楷体_GB2312"/>
                <w:sz w:val="24"/>
                <w:szCs w:val="24"/>
              </w:rPr>
              <w:t>6层；估价对象2：第1-2层</w:t>
            </w:r>
            <w:r>
              <w:rPr>
                <w:rFonts w:ascii="楷体_GB2312" w:hAnsi="宋体" w:eastAsia="楷体_GB2312"/>
                <w:sz w:val="24"/>
                <w:szCs w:val="24"/>
              </w:rPr>
              <w:t>/共</w:t>
            </w:r>
            <w:r>
              <w:rPr>
                <w:rFonts w:hint="eastAsia" w:ascii="楷体_GB2312" w:hAnsi="宋体" w:eastAsia="楷体_GB2312"/>
                <w:sz w:val="24"/>
                <w:szCs w:val="24"/>
              </w:rPr>
              <w:t>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455" w:type="pct"/>
            <w:vMerge w:val="continue"/>
            <w:vAlign w:val="center"/>
          </w:tcPr>
          <w:p>
            <w:pPr>
              <w:widowControl/>
              <w:jc w:val="left"/>
              <w:rPr>
                <w:rFonts w:ascii="楷体_GB2312" w:hAnsi="宋体" w:eastAsia="楷体_GB2312" w:cs="宋体"/>
                <w:color w:val="000000"/>
                <w:kern w:val="0"/>
                <w:sz w:val="24"/>
                <w:szCs w:val="24"/>
              </w:rPr>
            </w:pPr>
          </w:p>
        </w:tc>
        <w:tc>
          <w:tcPr>
            <w:tcW w:w="1126"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朝向</w:t>
            </w:r>
          </w:p>
        </w:tc>
        <w:tc>
          <w:tcPr>
            <w:tcW w:w="3417" w:type="pct"/>
            <w:shd w:val="clear" w:color="auto" w:fill="auto"/>
            <w:vAlign w:val="center"/>
          </w:tcPr>
          <w:p>
            <w:pPr>
              <w:widowControl/>
              <w:jc w:val="left"/>
              <w:rPr>
                <w:rFonts w:ascii="楷体_GB2312" w:hAnsi="宋体" w:eastAsia="楷体_GB2312"/>
                <w:sz w:val="24"/>
                <w:szCs w:val="24"/>
              </w:rPr>
            </w:pPr>
            <w:r>
              <w:rPr>
                <w:rFonts w:hint="eastAsia" w:ascii="楷体_GB2312" w:hAnsi="宋体" w:eastAsia="楷体_GB2312"/>
                <w:sz w:val="24"/>
                <w:szCs w:val="24"/>
              </w:rPr>
              <w:t>南北朝向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455" w:type="pct"/>
            <w:vMerge w:val="restar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交通状况</w:t>
            </w:r>
          </w:p>
        </w:tc>
        <w:tc>
          <w:tcPr>
            <w:tcW w:w="1126"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道路名称与类型</w:t>
            </w:r>
          </w:p>
        </w:tc>
        <w:tc>
          <w:tcPr>
            <w:tcW w:w="3417" w:type="pct"/>
            <w:shd w:val="clear" w:color="auto" w:fill="auto"/>
            <w:vAlign w:val="center"/>
          </w:tcPr>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估价对象位于狮子坡路，为支路，道路通达度一般，对外联接一般。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455" w:type="pct"/>
            <w:vMerge w:val="continue"/>
            <w:vAlign w:val="center"/>
          </w:tcPr>
          <w:p>
            <w:pPr>
              <w:widowControl/>
              <w:jc w:val="left"/>
              <w:rPr>
                <w:rFonts w:ascii="楷体_GB2312" w:hAnsi="宋体" w:eastAsia="楷体_GB2312" w:cs="宋体"/>
                <w:color w:val="000000"/>
                <w:kern w:val="0"/>
                <w:sz w:val="24"/>
                <w:szCs w:val="24"/>
              </w:rPr>
            </w:pPr>
          </w:p>
        </w:tc>
        <w:tc>
          <w:tcPr>
            <w:tcW w:w="1126"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交通</w:t>
            </w:r>
          </w:p>
        </w:tc>
        <w:tc>
          <w:tcPr>
            <w:tcW w:w="3417" w:type="pct"/>
            <w:shd w:val="clear" w:color="auto" w:fill="auto"/>
            <w:vAlign w:val="center"/>
          </w:tcPr>
          <w:p>
            <w:pPr>
              <w:widowControl/>
              <w:jc w:val="left"/>
              <w:rPr>
                <w:rFonts w:ascii="楷体_GB2312" w:hAnsi="宋体" w:eastAsia="楷体_GB2312" w:cs="宋体"/>
                <w:kern w:val="0"/>
                <w:sz w:val="24"/>
                <w:szCs w:val="24"/>
              </w:rPr>
            </w:pPr>
            <w:r>
              <w:rPr>
                <w:rFonts w:hint="eastAsia" w:ascii="楷体_GB2312" w:hAnsi="宋体" w:eastAsia="楷体_GB2312" w:cs="宋体"/>
                <w:kern w:val="0"/>
                <w:sz w:val="24"/>
                <w:szCs w:val="24"/>
              </w:rPr>
              <w:t>公交：距离瓷城大道300米，</w:t>
            </w:r>
            <w:r>
              <w:rPr>
                <w:rFonts w:hint="eastAsia" w:ascii="楷体_GB2312" w:eastAsia="楷体_GB2312"/>
                <w:sz w:val="24"/>
                <w:szCs w:val="24"/>
              </w:rPr>
              <w:t>有醴陵12路 ; 醴陵1路 ; 醴陵4路 ; 醴陵5路等公交线路通过</w:t>
            </w:r>
            <w:r>
              <w:rPr>
                <w:rFonts w:hint="eastAsia" w:ascii="楷体_GB2312" w:hAnsi="宋体" w:eastAsia="楷体_GB2312"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455" w:type="pct"/>
            <w:vMerge w:val="continue"/>
            <w:vAlign w:val="center"/>
          </w:tcPr>
          <w:p>
            <w:pPr>
              <w:widowControl/>
              <w:jc w:val="left"/>
              <w:rPr>
                <w:rFonts w:ascii="楷体_GB2312" w:hAnsi="宋体" w:eastAsia="楷体_GB2312" w:cs="宋体"/>
                <w:color w:val="000000"/>
                <w:kern w:val="0"/>
                <w:sz w:val="24"/>
                <w:szCs w:val="24"/>
              </w:rPr>
            </w:pPr>
          </w:p>
        </w:tc>
        <w:tc>
          <w:tcPr>
            <w:tcW w:w="1126"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交通管制</w:t>
            </w:r>
          </w:p>
        </w:tc>
        <w:tc>
          <w:tcPr>
            <w:tcW w:w="3417" w:type="pct"/>
            <w:shd w:val="clear" w:color="auto" w:fill="auto"/>
            <w:vAlign w:val="center"/>
          </w:tcPr>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周边道路无交通管制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455" w:type="pct"/>
            <w:vMerge w:val="continue"/>
            <w:vAlign w:val="center"/>
          </w:tcPr>
          <w:p>
            <w:pPr>
              <w:widowControl/>
              <w:jc w:val="left"/>
              <w:rPr>
                <w:rFonts w:ascii="楷体_GB2312" w:hAnsi="宋体" w:eastAsia="楷体_GB2312" w:cs="宋体"/>
                <w:color w:val="000000"/>
                <w:kern w:val="0"/>
                <w:sz w:val="24"/>
                <w:szCs w:val="24"/>
              </w:rPr>
            </w:pPr>
          </w:p>
        </w:tc>
        <w:tc>
          <w:tcPr>
            <w:tcW w:w="1126"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出入可利用</w:t>
            </w:r>
          </w:p>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交通工具</w:t>
            </w:r>
          </w:p>
        </w:tc>
        <w:tc>
          <w:tcPr>
            <w:tcW w:w="3417" w:type="pct"/>
            <w:shd w:val="clear" w:color="auto" w:fill="auto"/>
            <w:vAlign w:val="center"/>
          </w:tcPr>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主要交通方式为公共交通汽车及自驾。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455" w:type="pct"/>
            <w:vMerge w:val="restar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环境状况</w:t>
            </w:r>
          </w:p>
        </w:tc>
        <w:tc>
          <w:tcPr>
            <w:tcW w:w="1126"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自然环境</w:t>
            </w:r>
          </w:p>
        </w:tc>
        <w:tc>
          <w:tcPr>
            <w:tcW w:w="3417" w:type="pct"/>
            <w:shd w:val="clear" w:color="auto" w:fill="auto"/>
            <w:vAlign w:val="center"/>
          </w:tcPr>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无明显的大气污染、水文污染，有轻度噪声污染；周边部分影响视觉环境的杂乱因素；卫生状况一般。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455" w:type="pct"/>
            <w:vMerge w:val="continue"/>
            <w:vAlign w:val="center"/>
          </w:tcPr>
          <w:p>
            <w:pPr>
              <w:widowControl/>
              <w:jc w:val="left"/>
              <w:rPr>
                <w:rFonts w:ascii="楷体_GB2312" w:hAnsi="宋体" w:eastAsia="楷体_GB2312" w:cs="宋体"/>
                <w:color w:val="000000"/>
                <w:kern w:val="0"/>
                <w:sz w:val="24"/>
                <w:szCs w:val="24"/>
              </w:rPr>
            </w:pPr>
          </w:p>
        </w:tc>
        <w:tc>
          <w:tcPr>
            <w:tcW w:w="1126"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人文环境</w:t>
            </w:r>
          </w:p>
        </w:tc>
        <w:tc>
          <w:tcPr>
            <w:tcW w:w="3417" w:type="pct"/>
            <w:shd w:val="clear" w:color="auto" w:fill="auto"/>
            <w:vAlign w:val="center"/>
          </w:tcPr>
          <w:p>
            <w:pPr>
              <w:widowControl/>
              <w:jc w:val="left"/>
              <w:rPr>
                <w:rFonts w:ascii="楷体_GB2312" w:hAnsi="宋体" w:eastAsia="楷体_GB2312" w:cs="宋体"/>
                <w:color w:val="FF0000"/>
                <w:kern w:val="0"/>
                <w:sz w:val="24"/>
                <w:szCs w:val="24"/>
              </w:rPr>
            </w:pPr>
            <w:r>
              <w:rPr>
                <w:rFonts w:hint="eastAsia" w:ascii="楷体_GB2312" w:hAnsi="宋体" w:eastAsia="楷体_GB2312" w:cs="宋体"/>
                <w:kern w:val="0"/>
                <w:sz w:val="24"/>
                <w:szCs w:val="24"/>
              </w:rPr>
              <w:t>位于</w:t>
            </w:r>
            <w:r>
              <w:rPr>
                <w:rFonts w:hint="eastAsia" w:ascii="楷体_GB2312" w:hAnsi="宋体" w:eastAsia="楷体_GB2312" w:cs="宋体"/>
                <w:color w:val="000000"/>
                <w:kern w:val="0"/>
                <w:sz w:val="24"/>
                <w:szCs w:val="24"/>
              </w:rPr>
              <w:t>醴陵市来龙门街道办事处狮子坡102号，</w:t>
            </w:r>
            <w:bookmarkStart w:id="11" w:name="_Hlk98436109"/>
            <w:r>
              <w:rPr>
                <w:rFonts w:hint="eastAsia" w:ascii="楷体_GB2312" w:hAnsi="宋体" w:eastAsia="楷体_GB2312" w:cs="宋体"/>
                <w:color w:val="000000"/>
                <w:kern w:val="0"/>
                <w:sz w:val="24"/>
                <w:szCs w:val="24"/>
              </w:rPr>
              <w:t>周边聚集有醴陵市狮子坡中心小学，治安环境较好</w:t>
            </w:r>
            <w:bookmarkEnd w:id="11"/>
            <w:r>
              <w:rPr>
                <w:rFonts w:hint="eastAsia" w:ascii="楷体_GB2312" w:hAnsi="宋体" w:eastAsia="楷体_GB2312" w:cs="宋体"/>
                <w:color w:val="000000"/>
                <w:kern w:val="0"/>
                <w:sz w:val="24"/>
                <w:szCs w:val="24"/>
              </w:rPr>
              <w:t>，人文环境较好。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455" w:type="pct"/>
            <w:vMerge w:val="restar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外部配套设施</w:t>
            </w:r>
          </w:p>
        </w:tc>
        <w:tc>
          <w:tcPr>
            <w:tcW w:w="1126"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基础设施</w:t>
            </w:r>
          </w:p>
        </w:tc>
        <w:tc>
          <w:tcPr>
            <w:tcW w:w="3417" w:type="pct"/>
            <w:shd w:val="clear" w:color="auto" w:fill="auto"/>
            <w:vAlign w:val="center"/>
          </w:tcPr>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区域内基础设施条件达到“六通一平”（通上水、通下水、通电、通路、通讯、通气和场地平整），供水、供电的保证度较高，排水、排污直接接入市政管网，通信及互联网等讯息接收流畅，能满足生活日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jc w:val="center"/>
        </w:trPr>
        <w:tc>
          <w:tcPr>
            <w:tcW w:w="455" w:type="pct"/>
            <w:vMerge w:val="continue"/>
            <w:vAlign w:val="center"/>
          </w:tcPr>
          <w:p>
            <w:pPr>
              <w:widowControl/>
              <w:jc w:val="left"/>
              <w:rPr>
                <w:rFonts w:ascii="楷体_GB2312" w:hAnsi="宋体" w:eastAsia="楷体_GB2312" w:cs="宋体"/>
                <w:color w:val="000000"/>
                <w:kern w:val="0"/>
                <w:sz w:val="24"/>
                <w:szCs w:val="24"/>
              </w:rPr>
            </w:pPr>
          </w:p>
        </w:tc>
        <w:tc>
          <w:tcPr>
            <w:tcW w:w="1126"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公共服务设施</w:t>
            </w:r>
          </w:p>
        </w:tc>
        <w:tc>
          <w:tcPr>
            <w:tcW w:w="3417" w:type="pct"/>
            <w:shd w:val="clear" w:color="auto" w:fill="auto"/>
            <w:vAlign w:val="center"/>
          </w:tcPr>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购物：天添乐购生活超市(春天国际店)；</w:t>
            </w:r>
          </w:p>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金融：中国农业银行(醴陵城东分理处)、中国工商银行(醴陵解放路支行)；</w:t>
            </w:r>
          </w:p>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医院：醴陵市妇幼保健院等。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455"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规划条件</w:t>
            </w:r>
          </w:p>
        </w:tc>
        <w:tc>
          <w:tcPr>
            <w:tcW w:w="1126"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规划条件</w:t>
            </w:r>
          </w:p>
        </w:tc>
        <w:tc>
          <w:tcPr>
            <w:tcW w:w="3417" w:type="pct"/>
            <w:shd w:val="clear" w:color="auto" w:fill="auto"/>
            <w:vAlign w:val="center"/>
          </w:tcPr>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估价对象建筑高度、消防间距及土地使用要求等符合规划限制要求。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55"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居住聚集程度</w:t>
            </w:r>
          </w:p>
        </w:tc>
        <w:tc>
          <w:tcPr>
            <w:tcW w:w="1126"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居住聚集程度</w:t>
            </w:r>
          </w:p>
        </w:tc>
        <w:tc>
          <w:tcPr>
            <w:tcW w:w="3417" w:type="pct"/>
            <w:shd w:val="clear" w:color="auto" w:fill="auto"/>
            <w:vAlign w:val="center"/>
          </w:tcPr>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周边聚集较多自建房等，居住聚集度高。</w:t>
            </w:r>
          </w:p>
        </w:tc>
      </w:tr>
    </w:tbl>
    <w:p>
      <w:pPr>
        <w:spacing w:line="420" w:lineRule="exact"/>
        <w:ind w:firstLine="560" w:firstLineChars="200"/>
        <w:rPr>
          <w:rFonts w:ascii="楷体_GB2312" w:hAnsi="仿宋" w:eastAsia="楷体_GB2312"/>
          <w:sz w:val="28"/>
          <w:szCs w:val="28"/>
        </w:rPr>
      </w:pPr>
      <w:r>
        <w:rPr>
          <w:rFonts w:ascii="仿宋" w:hAnsi="仿宋" w:eastAsia="仿宋"/>
          <w:sz w:val="28"/>
          <w:szCs w:val="28"/>
        </w:rPr>
        <w:t>3.</w:t>
      </w:r>
      <w:r>
        <w:rPr>
          <w:rFonts w:hint="eastAsia" w:ascii="楷体_GB2312" w:hAnsi="仿宋" w:eastAsia="楷体_GB2312"/>
          <w:sz w:val="28"/>
          <w:szCs w:val="28"/>
        </w:rPr>
        <w:t>估价对象权属状况</w:t>
      </w:r>
    </w:p>
    <w:p>
      <w:pPr>
        <w:spacing w:line="440" w:lineRule="exact"/>
        <w:ind w:firstLine="560" w:firstLineChars="200"/>
        <w:rPr>
          <w:rFonts w:ascii="楷体_GB2312" w:eastAsia="楷体_GB2312"/>
          <w:sz w:val="28"/>
        </w:rPr>
      </w:pPr>
      <w:r>
        <w:rPr>
          <w:rFonts w:hint="eastAsia" w:ascii="仿宋" w:hAnsi="仿宋" w:eastAsia="仿宋"/>
          <w:sz w:val="28"/>
        </w:rPr>
        <w:t>⑴</w:t>
      </w:r>
      <w:r>
        <w:rPr>
          <w:rFonts w:hint="eastAsia" w:ascii="楷体_GB2312" w:eastAsia="楷体_GB2312"/>
          <w:sz w:val="28"/>
        </w:rPr>
        <w:t>产权登记状况描述</w:t>
      </w:r>
    </w:p>
    <w:p>
      <w:pPr>
        <w:snapToGrid w:val="0"/>
        <w:spacing w:line="420" w:lineRule="exact"/>
        <w:ind w:firstLine="560" w:firstLineChars="200"/>
        <w:rPr>
          <w:rFonts w:ascii="楷体_GB2312" w:hAnsi="宋体" w:eastAsia="楷体_GB2312"/>
          <w:sz w:val="28"/>
        </w:rPr>
      </w:pPr>
      <w:r>
        <w:rPr>
          <w:rFonts w:hint="eastAsia" w:ascii="楷体_GB2312" w:hAnsi="宋体" w:eastAsia="楷体_GB2312"/>
          <w:sz w:val="28"/>
        </w:rPr>
        <w:t>根据估价委托人提供的《房屋所有权证》和《国有土地使用权证》，估价对象权属状况如下：</w:t>
      </w:r>
    </w:p>
    <w:p>
      <w:pPr>
        <w:snapToGrid w:val="0"/>
        <w:spacing w:line="420" w:lineRule="exact"/>
        <w:ind w:firstLine="560" w:firstLineChars="200"/>
        <w:rPr>
          <w:rFonts w:ascii="楷体_GB2312" w:eastAsia="楷体_GB2312"/>
          <w:sz w:val="28"/>
        </w:rPr>
      </w:pPr>
      <w:r>
        <w:rPr>
          <w:rFonts w:ascii="楷体_GB2312" w:hAnsi="宋体" w:eastAsia="楷体_GB2312"/>
          <w:sz w:val="28"/>
        </w:rPr>
        <w:fldChar w:fldCharType="begin"/>
      </w:r>
      <w:r>
        <w:rPr>
          <w:rFonts w:ascii="楷体_GB2312" w:hAnsi="宋体" w:eastAsia="楷体_GB2312"/>
          <w:sz w:val="28"/>
        </w:rPr>
        <w:instrText xml:space="preserve"> </w:instrText>
      </w:r>
      <w:r>
        <w:rPr>
          <w:rFonts w:hint="eastAsia" w:ascii="楷体_GB2312" w:hAnsi="宋体" w:eastAsia="楷体_GB2312"/>
          <w:sz w:val="28"/>
        </w:rPr>
        <w:instrText xml:space="preserve">= 1 \* GB3</w:instrText>
      </w:r>
      <w:r>
        <w:rPr>
          <w:rFonts w:ascii="楷体_GB2312" w:hAnsi="宋体" w:eastAsia="楷体_GB2312"/>
          <w:sz w:val="28"/>
        </w:rPr>
        <w:instrText xml:space="preserve"> </w:instrText>
      </w:r>
      <w:r>
        <w:rPr>
          <w:rFonts w:ascii="楷体_GB2312" w:hAnsi="宋体" w:eastAsia="楷体_GB2312"/>
          <w:sz w:val="28"/>
        </w:rPr>
        <w:fldChar w:fldCharType="separate"/>
      </w:r>
      <w:r>
        <w:rPr>
          <w:rFonts w:hint="eastAsia" w:ascii="楷体_GB2312" w:hAnsi="宋体" w:eastAsia="楷体_GB2312"/>
          <w:sz w:val="28"/>
        </w:rPr>
        <w:t>①</w:t>
      </w:r>
      <w:r>
        <w:rPr>
          <w:rFonts w:ascii="楷体_GB2312" w:hAnsi="宋体" w:eastAsia="楷体_GB2312"/>
          <w:sz w:val="28"/>
        </w:rPr>
        <w:fldChar w:fldCharType="end"/>
      </w:r>
      <w:r>
        <w:rPr>
          <w:rFonts w:hint="eastAsia" w:ascii="楷体_GB2312" w:hAnsi="宋体" w:eastAsia="楷体_GB2312"/>
          <w:sz w:val="28"/>
        </w:rPr>
        <w:t>房屋所有权</w:t>
      </w:r>
      <w:r>
        <w:rPr>
          <w:rFonts w:hint="eastAsia" w:ascii="楷体_GB2312" w:eastAsia="楷体_GB2312"/>
          <w:sz w:val="28"/>
        </w:rPr>
        <w:t>登记状况</w:t>
      </w:r>
    </w:p>
    <w:tbl>
      <w:tblPr>
        <w:tblStyle w:val="33"/>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698"/>
        <w:gridCol w:w="1591"/>
        <w:gridCol w:w="1243"/>
        <w:gridCol w:w="1349"/>
        <w:gridCol w:w="824"/>
        <w:gridCol w:w="846"/>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blHeader/>
          <w:jc w:val="center"/>
        </w:trPr>
        <w:tc>
          <w:tcPr>
            <w:tcW w:w="381"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估价</w:t>
            </w:r>
          </w:p>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对象</w:t>
            </w:r>
          </w:p>
        </w:tc>
        <w:tc>
          <w:tcPr>
            <w:tcW w:w="897"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房屋所有权人</w:t>
            </w:r>
          </w:p>
        </w:tc>
        <w:tc>
          <w:tcPr>
            <w:tcW w:w="841"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产权证号</w:t>
            </w:r>
          </w:p>
        </w:tc>
        <w:tc>
          <w:tcPr>
            <w:tcW w:w="658"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共有情况</w:t>
            </w:r>
          </w:p>
        </w:tc>
        <w:tc>
          <w:tcPr>
            <w:tcW w:w="714"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坐落</w:t>
            </w:r>
          </w:p>
        </w:tc>
        <w:tc>
          <w:tcPr>
            <w:tcW w:w="436"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用途</w:t>
            </w:r>
          </w:p>
        </w:tc>
        <w:tc>
          <w:tcPr>
            <w:tcW w:w="448"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楼层</w:t>
            </w:r>
          </w:p>
        </w:tc>
        <w:tc>
          <w:tcPr>
            <w:tcW w:w="622"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381"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1</w:t>
            </w:r>
          </w:p>
        </w:tc>
        <w:tc>
          <w:tcPr>
            <w:tcW w:w="897"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醴陵市板杉房地产综合开发有限公司</w:t>
            </w:r>
          </w:p>
        </w:tc>
        <w:tc>
          <w:tcPr>
            <w:tcW w:w="841"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醴房权证来龙门字第711003637号</w:t>
            </w:r>
          </w:p>
        </w:tc>
        <w:tc>
          <w:tcPr>
            <w:tcW w:w="658"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单独所有</w:t>
            </w:r>
          </w:p>
        </w:tc>
        <w:tc>
          <w:tcPr>
            <w:tcW w:w="714"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狮子坡102号101</w:t>
            </w:r>
          </w:p>
        </w:tc>
        <w:tc>
          <w:tcPr>
            <w:tcW w:w="436"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商业</w:t>
            </w:r>
          </w:p>
        </w:tc>
        <w:tc>
          <w:tcPr>
            <w:tcW w:w="448"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1/6</w:t>
            </w:r>
          </w:p>
        </w:tc>
        <w:tc>
          <w:tcPr>
            <w:tcW w:w="622"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358.72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381"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2</w:t>
            </w:r>
          </w:p>
        </w:tc>
        <w:tc>
          <w:tcPr>
            <w:tcW w:w="897"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醴陵市板杉房地产综合开发有限公司</w:t>
            </w:r>
          </w:p>
        </w:tc>
        <w:tc>
          <w:tcPr>
            <w:tcW w:w="841"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醴房权证来龙门字第711003636号</w:t>
            </w:r>
          </w:p>
        </w:tc>
        <w:tc>
          <w:tcPr>
            <w:tcW w:w="658"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单独所有</w:t>
            </w:r>
          </w:p>
        </w:tc>
        <w:tc>
          <w:tcPr>
            <w:tcW w:w="714"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狮子坡102号</w:t>
            </w:r>
          </w:p>
        </w:tc>
        <w:tc>
          <w:tcPr>
            <w:tcW w:w="436"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综合</w:t>
            </w:r>
          </w:p>
        </w:tc>
        <w:tc>
          <w:tcPr>
            <w:tcW w:w="448"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1-2/2</w:t>
            </w:r>
          </w:p>
        </w:tc>
        <w:tc>
          <w:tcPr>
            <w:tcW w:w="622"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238.14</w:t>
            </w:r>
          </w:p>
        </w:tc>
      </w:tr>
    </w:tbl>
    <w:p>
      <w:pPr>
        <w:snapToGrid w:val="0"/>
        <w:spacing w:line="420" w:lineRule="exact"/>
        <w:ind w:firstLine="560" w:firstLineChars="200"/>
        <w:rPr>
          <w:rFonts w:ascii="楷体_GB2312" w:hAnsi="宋体" w:eastAsia="楷体_GB2312"/>
          <w:sz w:val="28"/>
        </w:rPr>
      </w:pPr>
      <w:r>
        <w:rPr>
          <w:rFonts w:hint="eastAsia" w:ascii="楷体_GB2312" w:hAnsi="宋体" w:eastAsia="楷体_GB2312"/>
          <w:sz w:val="28"/>
        </w:rPr>
        <w:t>②国有土地使用权登记状况</w:t>
      </w:r>
    </w:p>
    <w:tbl>
      <w:tblPr>
        <w:tblStyle w:val="33"/>
        <w:tblW w:w="514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696"/>
        <w:gridCol w:w="2035"/>
        <w:gridCol w:w="1109"/>
        <w:gridCol w:w="899"/>
        <w:gridCol w:w="1065"/>
        <w:gridCol w:w="1109"/>
        <w:gridCol w:w="1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blHeader/>
          <w:jc w:val="center"/>
        </w:trPr>
        <w:tc>
          <w:tcPr>
            <w:tcW w:w="377"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估价</w:t>
            </w:r>
          </w:p>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对象</w:t>
            </w:r>
          </w:p>
        </w:tc>
        <w:tc>
          <w:tcPr>
            <w:tcW w:w="870"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土地使用权人</w:t>
            </w:r>
          </w:p>
        </w:tc>
        <w:tc>
          <w:tcPr>
            <w:tcW w:w="1044"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产权证号</w:t>
            </w:r>
          </w:p>
        </w:tc>
        <w:tc>
          <w:tcPr>
            <w:tcW w:w="570"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坐落</w:t>
            </w:r>
          </w:p>
        </w:tc>
        <w:tc>
          <w:tcPr>
            <w:tcW w:w="462"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使用权类型</w:t>
            </w:r>
          </w:p>
        </w:tc>
        <w:tc>
          <w:tcPr>
            <w:tcW w:w="547"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地类</w:t>
            </w:r>
          </w:p>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（用途）</w:t>
            </w:r>
          </w:p>
        </w:tc>
        <w:tc>
          <w:tcPr>
            <w:tcW w:w="570"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使用权面积（㎡）</w:t>
            </w:r>
          </w:p>
        </w:tc>
        <w:tc>
          <w:tcPr>
            <w:tcW w:w="557"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终止日期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377" w:type="pct"/>
            <w:vMerge w:val="restar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1</w:t>
            </w:r>
          </w:p>
        </w:tc>
        <w:tc>
          <w:tcPr>
            <w:tcW w:w="870"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醴陵市板杉房地产综合开发有限公司</w:t>
            </w:r>
          </w:p>
        </w:tc>
        <w:tc>
          <w:tcPr>
            <w:tcW w:w="1044"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醴国用（2006）第A3801064768号</w:t>
            </w:r>
          </w:p>
        </w:tc>
        <w:tc>
          <w:tcPr>
            <w:tcW w:w="570"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狮子坡102号（1号门面）</w:t>
            </w:r>
          </w:p>
        </w:tc>
        <w:tc>
          <w:tcPr>
            <w:tcW w:w="462"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出让</w:t>
            </w:r>
          </w:p>
        </w:tc>
        <w:tc>
          <w:tcPr>
            <w:tcW w:w="547"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商业</w:t>
            </w:r>
          </w:p>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用地</w:t>
            </w:r>
          </w:p>
        </w:tc>
        <w:tc>
          <w:tcPr>
            <w:tcW w:w="570"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6.95</w:t>
            </w:r>
          </w:p>
        </w:tc>
        <w:tc>
          <w:tcPr>
            <w:tcW w:w="557"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2042年12月9日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377" w:type="pct"/>
            <w:vMerge w:val="continue"/>
            <w:shd w:val="clear" w:color="auto" w:fill="auto"/>
            <w:vAlign w:val="center"/>
          </w:tcPr>
          <w:p>
            <w:pPr>
              <w:spacing w:line="280" w:lineRule="exact"/>
              <w:jc w:val="center"/>
              <w:rPr>
                <w:rFonts w:ascii="楷体_GB2312" w:hAnsi="楷体_GB2312" w:eastAsia="楷体_GB2312" w:cs="楷体_GB2312"/>
                <w:szCs w:val="21"/>
              </w:rPr>
            </w:pPr>
          </w:p>
        </w:tc>
        <w:tc>
          <w:tcPr>
            <w:tcW w:w="870"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醴陵市板杉房地产综合开发有限公司</w:t>
            </w:r>
          </w:p>
        </w:tc>
        <w:tc>
          <w:tcPr>
            <w:tcW w:w="1044"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醴国用（2006）第A3801064769号</w:t>
            </w:r>
          </w:p>
        </w:tc>
        <w:tc>
          <w:tcPr>
            <w:tcW w:w="570"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狮子坡102号（2号门面）</w:t>
            </w:r>
          </w:p>
        </w:tc>
        <w:tc>
          <w:tcPr>
            <w:tcW w:w="462"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出让</w:t>
            </w:r>
          </w:p>
        </w:tc>
        <w:tc>
          <w:tcPr>
            <w:tcW w:w="547"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商业</w:t>
            </w:r>
          </w:p>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用地</w:t>
            </w:r>
          </w:p>
        </w:tc>
        <w:tc>
          <w:tcPr>
            <w:tcW w:w="570"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6.91</w:t>
            </w:r>
          </w:p>
        </w:tc>
        <w:tc>
          <w:tcPr>
            <w:tcW w:w="557"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2042年12月9日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377" w:type="pct"/>
            <w:vMerge w:val="continue"/>
            <w:shd w:val="clear" w:color="auto" w:fill="auto"/>
            <w:vAlign w:val="center"/>
          </w:tcPr>
          <w:p>
            <w:pPr>
              <w:spacing w:line="280" w:lineRule="exact"/>
              <w:jc w:val="center"/>
              <w:rPr>
                <w:rFonts w:ascii="楷体_GB2312" w:hAnsi="楷体_GB2312" w:eastAsia="楷体_GB2312" w:cs="楷体_GB2312"/>
                <w:szCs w:val="21"/>
              </w:rPr>
            </w:pPr>
          </w:p>
        </w:tc>
        <w:tc>
          <w:tcPr>
            <w:tcW w:w="870"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醴陵市板杉房地产综合开发有限公司</w:t>
            </w:r>
          </w:p>
        </w:tc>
        <w:tc>
          <w:tcPr>
            <w:tcW w:w="1044"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醴国用（2006）第A3801064770号</w:t>
            </w:r>
          </w:p>
        </w:tc>
        <w:tc>
          <w:tcPr>
            <w:tcW w:w="570"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狮子坡102号（3号门面）</w:t>
            </w:r>
          </w:p>
        </w:tc>
        <w:tc>
          <w:tcPr>
            <w:tcW w:w="462"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出让</w:t>
            </w:r>
          </w:p>
        </w:tc>
        <w:tc>
          <w:tcPr>
            <w:tcW w:w="547"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商业</w:t>
            </w:r>
          </w:p>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用地</w:t>
            </w:r>
          </w:p>
        </w:tc>
        <w:tc>
          <w:tcPr>
            <w:tcW w:w="570"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5.27</w:t>
            </w:r>
          </w:p>
        </w:tc>
        <w:tc>
          <w:tcPr>
            <w:tcW w:w="557"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2042年12月9日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377" w:type="pct"/>
            <w:vMerge w:val="continue"/>
            <w:shd w:val="clear" w:color="auto" w:fill="auto"/>
            <w:vAlign w:val="center"/>
          </w:tcPr>
          <w:p>
            <w:pPr>
              <w:spacing w:line="280" w:lineRule="exact"/>
              <w:jc w:val="center"/>
              <w:rPr>
                <w:rFonts w:ascii="楷体_GB2312" w:hAnsi="楷体_GB2312" w:eastAsia="楷体_GB2312" w:cs="楷体_GB2312"/>
                <w:szCs w:val="21"/>
              </w:rPr>
            </w:pPr>
          </w:p>
        </w:tc>
        <w:tc>
          <w:tcPr>
            <w:tcW w:w="870"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醴陵市板杉房地产综合开发有限公司</w:t>
            </w:r>
          </w:p>
        </w:tc>
        <w:tc>
          <w:tcPr>
            <w:tcW w:w="1044"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醴国用（2006）第A3801064771号</w:t>
            </w:r>
          </w:p>
        </w:tc>
        <w:tc>
          <w:tcPr>
            <w:tcW w:w="570"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狮子坡102号（4号门面）</w:t>
            </w:r>
          </w:p>
        </w:tc>
        <w:tc>
          <w:tcPr>
            <w:tcW w:w="462"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出让</w:t>
            </w:r>
          </w:p>
        </w:tc>
        <w:tc>
          <w:tcPr>
            <w:tcW w:w="547"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商业</w:t>
            </w:r>
          </w:p>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用地</w:t>
            </w:r>
          </w:p>
        </w:tc>
        <w:tc>
          <w:tcPr>
            <w:tcW w:w="570"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6.71</w:t>
            </w:r>
          </w:p>
        </w:tc>
        <w:tc>
          <w:tcPr>
            <w:tcW w:w="557"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2042年12月9日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377" w:type="pct"/>
            <w:vMerge w:val="continue"/>
            <w:shd w:val="clear" w:color="auto" w:fill="auto"/>
            <w:vAlign w:val="center"/>
          </w:tcPr>
          <w:p>
            <w:pPr>
              <w:spacing w:line="280" w:lineRule="exact"/>
              <w:jc w:val="center"/>
              <w:rPr>
                <w:rFonts w:ascii="楷体_GB2312" w:hAnsi="楷体_GB2312" w:eastAsia="楷体_GB2312" w:cs="楷体_GB2312"/>
                <w:szCs w:val="21"/>
              </w:rPr>
            </w:pPr>
          </w:p>
        </w:tc>
        <w:tc>
          <w:tcPr>
            <w:tcW w:w="870"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醴陵市板杉房地产综合开发有限公司</w:t>
            </w:r>
          </w:p>
        </w:tc>
        <w:tc>
          <w:tcPr>
            <w:tcW w:w="1044"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醴国用（2006）第A3801064772号</w:t>
            </w:r>
          </w:p>
        </w:tc>
        <w:tc>
          <w:tcPr>
            <w:tcW w:w="570"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狮子坡102号（5号门面）</w:t>
            </w:r>
          </w:p>
        </w:tc>
        <w:tc>
          <w:tcPr>
            <w:tcW w:w="462"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出让</w:t>
            </w:r>
          </w:p>
        </w:tc>
        <w:tc>
          <w:tcPr>
            <w:tcW w:w="547"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商业</w:t>
            </w:r>
          </w:p>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用地</w:t>
            </w:r>
          </w:p>
        </w:tc>
        <w:tc>
          <w:tcPr>
            <w:tcW w:w="570"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6.71</w:t>
            </w:r>
          </w:p>
        </w:tc>
        <w:tc>
          <w:tcPr>
            <w:tcW w:w="557"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2042年12月9日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377" w:type="pct"/>
            <w:vMerge w:val="continue"/>
            <w:shd w:val="clear" w:color="auto" w:fill="auto"/>
            <w:vAlign w:val="center"/>
          </w:tcPr>
          <w:p>
            <w:pPr>
              <w:spacing w:line="280" w:lineRule="exact"/>
              <w:jc w:val="center"/>
              <w:rPr>
                <w:rFonts w:ascii="楷体_GB2312" w:hAnsi="楷体_GB2312" w:eastAsia="楷体_GB2312" w:cs="楷体_GB2312"/>
                <w:szCs w:val="21"/>
              </w:rPr>
            </w:pPr>
          </w:p>
        </w:tc>
        <w:tc>
          <w:tcPr>
            <w:tcW w:w="870"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醴陵市板杉房地产综合开发有限公司</w:t>
            </w:r>
          </w:p>
        </w:tc>
        <w:tc>
          <w:tcPr>
            <w:tcW w:w="1044"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醴国用（2006）第A3801064773号</w:t>
            </w:r>
          </w:p>
        </w:tc>
        <w:tc>
          <w:tcPr>
            <w:tcW w:w="570"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狮子坡102号（6号门面）</w:t>
            </w:r>
          </w:p>
        </w:tc>
        <w:tc>
          <w:tcPr>
            <w:tcW w:w="462"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出让</w:t>
            </w:r>
          </w:p>
        </w:tc>
        <w:tc>
          <w:tcPr>
            <w:tcW w:w="547"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商业</w:t>
            </w:r>
          </w:p>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用地</w:t>
            </w:r>
          </w:p>
        </w:tc>
        <w:tc>
          <w:tcPr>
            <w:tcW w:w="570"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5.76</w:t>
            </w:r>
          </w:p>
        </w:tc>
        <w:tc>
          <w:tcPr>
            <w:tcW w:w="557"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2042年12月9日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377" w:type="pct"/>
            <w:vMerge w:val="continue"/>
            <w:shd w:val="clear" w:color="auto" w:fill="auto"/>
            <w:vAlign w:val="center"/>
          </w:tcPr>
          <w:p>
            <w:pPr>
              <w:spacing w:line="280" w:lineRule="exact"/>
              <w:jc w:val="center"/>
              <w:rPr>
                <w:rFonts w:ascii="楷体_GB2312" w:hAnsi="楷体_GB2312" w:eastAsia="楷体_GB2312" w:cs="楷体_GB2312"/>
                <w:szCs w:val="21"/>
              </w:rPr>
            </w:pPr>
          </w:p>
        </w:tc>
        <w:tc>
          <w:tcPr>
            <w:tcW w:w="870"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醴陵市板杉房地产综合开发有限公司</w:t>
            </w:r>
          </w:p>
        </w:tc>
        <w:tc>
          <w:tcPr>
            <w:tcW w:w="1044"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醴国用（2006）第A3801064774号</w:t>
            </w:r>
          </w:p>
        </w:tc>
        <w:tc>
          <w:tcPr>
            <w:tcW w:w="570"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狮子坡102号（7号门面）</w:t>
            </w:r>
          </w:p>
        </w:tc>
        <w:tc>
          <w:tcPr>
            <w:tcW w:w="462"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出让</w:t>
            </w:r>
          </w:p>
        </w:tc>
        <w:tc>
          <w:tcPr>
            <w:tcW w:w="547"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商业</w:t>
            </w:r>
          </w:p>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用地</w:t>
            </w:r>
          </w:p>
        </w:tc>
        <w:tc>
          <w:tcPr>
            <w:tcW w:w="570"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5.76</w:t>
            </w:r>
          </w:p>
        </w:tc>
        <w:tc>
          <w:tcPr>
            <w:tcW w:w="557"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2042年12月9日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377" w:type="pct"/>
            <w:vMerge w:val="continue"/>
            <w:shd w:val="clear" w:color="auto" w:fill="auto"/>
            <w:vAlign w:val="center"/>
          </w:tcPr>
          <w:p>
            <w:pPr>
              <w:spacing w:line="280" w:lineRule="exact"/>
              <w:jc w:val="center"/>
              <w:rPr>
                <w:rFonts w:ascii="楷体_GB2312" w:hAnsi="楷体_GB2312" w:eastAsia="楷体_GB2312" w:cs="楷体_GB2312"/>
                <w:szCs w:val="21"/>
              </w:rPr>
            </w:pPr>
          </w:p>
        </w:tc>
        <w:tc>
          <w:tcPr>
            <w:tcW w:w="870"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醴陵市板杉房地产综合开发有限公司</w:t>
            </w:r>
          </w:p>
        </w:tc>
        <w:tc>
          <w:tcPr>
            <w:tcW w:w="1044"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醴国用（2006）第A3801064775号</w:t>
            </w:r>
          </w:p>
        </w:tc>
        <w:tc>
          <w:tcPr>
            <w:tcW w:w="570"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狮子坡102号（8号门面）</w:t>
            </w:r>
          </w:p>
        </w:tc>
        <w:tc>
          <w:tcPr>
            <w:tcW w:w="462"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出让</w:t>
            </w:r>
          </w:p>
        </w:tc>
        <w:tc>
          <w:tcPr>
            <w:tcW w:w="547"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商业</w:t>
            </w:r>
          </w:p>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用地</w:t>
            </w:r>
          </w:p>
        </w:tc>
        <w:tc>
          <w:tcPr>
            <w:tcW w:w="570"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6.71</w:t>
            </w:r>
          </w:p>
        </w:tc>
        <w:tc>
          <w:tcPr>
            <w:tcW w:w="557"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2042年12月9日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377" w:type="pct"/>
            <w:vMerge w:val="continue"/>
            <w:shd w:val="clear" w:color="auto" w:fill="auto"/>
            <w:vAlign w:val="center"/>
          </w:tcPr>
          <w:p>
            <w:pPr>
              <w:spacing w:line="280" w:lineRule="exact"/>
              <w:jc w:val="center"/>
              <w:rPr>
                <w:rFonts w:ascii="楷体_GB2312" w:hAnsi="楷体_GB2312" w:eastAsia="楷体_GB2312" w:cs="楷体_GB2312"/>
                <w:szCs w:val="21"/>
              </w:rPr>
            </w:pPr>
          </w:p>
        </w:tc>
        <w:tc>
          <w:tcPr>
            <w:tcW w:w="870"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醴陵市板杉房地产综合开发有限公司</w:t>
            </w:r>
          </w:p>
        </w:tc>
        <w:tc>
          <w:tcPr>
            <w:tcW w:w="1044"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醴国用（2006）第A3801064776号</w:t>
            </w:r>
          </w:p>
        </w:tc>
        <w:tc>
          <w:tcPr>
            <w:tcW w:w="570"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狮子坡102号（9号门面）</w:t>
            </w:r>
          </w:p>
        </w:tc>
        <w:tc>
          <w:tcPr>
            <w:tcW w:w="462"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出让</w:t>
            </w:r>
          </w:p>
        </w:tc>
        <w:tc>
          <w:tcPr>
            <w:tcW w:w="547"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商业</w:t>
            </w:r>
          </w:p>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用地</w:t>
            </w:r>
          </w:p>
        </w:tc>
        <w:tc>
          <w:tcPr>
            <w:tcW w:w="570"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6.95</w:t>
            </w:r>
          </w:p>
        </w:tc>
        <w:tc>
          <w:tcPr>
            <w:tcW w:w="557"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2042年12月9日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377"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2</w:t>
            </w:r>
          </w:p>
        </w:tc>
        <w:tc>
          <w:tcPr>
            <w:tcW w:w="870"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醴陵市板杉房地产综合开发有限公司</w:t>
            </w:r>
          </w:p>
        </w:tc>
        <w:tc>
          <w:tcPr>
            <w:tcW w:w="1044"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醴国用（2006）第A3801064778号</w:t>
            </w:r>
          </w:p>
        </w:tc>
        <w:tc>
          <w:tcPr>
            <w:tcW w:w="570"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狮子坡102号（10号门面）</w:t>
            </w:r>
          </w:p>
        </w:tc>
        <w:tc>
          <w:tcPr>
            <w:tcW w:w="900" w:type="dxa"/>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出让</w:t>
            </w:r>
          </w:p>
        </w:tc>
        <w:tc>
          <w:tcPr>
            <w:tcW w:w="1065" w:type="dxa"/>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商业</w:t>
            </w:r>
          </w:p>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用地</w:t>
            </w:r>
          </w:p>
        </w:tc>
        <w:tc>
          <w:tcPr>
            <w:tcW w:w="570"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120.90</w:t>
            </w:r>
          </w:p>
        </w:tc>
        <w:tc>
          <w:tcPr>
            <w:tcW w:w="557" w:type="pct"/>
            <w:shd w:val="clear" w:color="auto" w:fill="auto"/>
            <w:vAlign w:val="center"/>
          </w:tcPr>
          <w:p>
            <w:pPr>
              <w:spacing w:line="280" w:lineRule="exact"/>
              <w:jc w:val="center"/>
              <w:rPr>
                <w:rFonts w:ascii="楷体_GB2312" w:hAnsi="楷体_GB2312" w:eastAsia="楷体_GB2312" w:cs="楷体_GB2312"/>
                <w:szCs w:val="21"/>
              </w:rPr>
            </w:pPr>
            <w:r>
              <w:rPr>
                <w:rFonts w:hint="eastAsia" w:ascii="楷体_GB2312" w:hAnsi="楷体_GB2312" w:eastAsia="楷体_GB2312" w:cs="楷体_GB2312"/>
                <w:szCs w:val="21"/>
              </w:rPr>
              <w:t>2042年12月9日</w:t>
            </w:r>
          </w:p>
        </w:tc>
      </w:tr>
    </w:tbl>
    <w:p>
      <w:pPr>
        <w:pStyle w:val="15"/>
        <w:adjustRightInd w:val="0"/>
        <w:snapToGrid w:val="0"/>
        <w:spacing w:line="480" w:lineRule="exact"/>
        <w:ind w:firstLine="560" w:firstLineChars="200"/>
        <w:rPr>
          <w:rFonts w:ascii="楷体_GB2312" w:hAnsi="宋体" w:eastAsia="楷体_GB2312"/>
          <w:sz w:val="28"/>
        </w:rPr>
      </w:pPr>
      <w:r>
        <w:rPr>
          <w:rFonts w:hint="eastAsia" w:ascii="仿宋" w:hAnsi="仿宋" w:eastAsia="仿宋"/>
          <w:sz w:val="28"/>
        </w:rPr>
        <w:t>⑵</w:t>
      </w:r>
      <w:r>
        <w:rPr>
          <w:rFonts w:hint="eastAsia" w:ascii="楷体_GB2312" w:hAnsi="宋体" w:eastAsia="楷体_GB2312"/>
          <w:sz w:val="28"/>
        </w:rPr>
        <w:t>估价对象其他权益状况</w:t>
      </w:r>
    </w:p>
    <w:p>
      <w:pPr>
        <w:pStyle w:val="15"/>
        <w:adjustRightInd w:val="0"/>
        <w:snapToGrid w:val="0"/>
        <w:spacing w:line="480" w:lineRule="exact"/>
        <w:ind w:firstLine="560" w:firstLineChars="200"/>
        <w:rPr>
          <w:rFonts w:ascii="楷体_GB2312" w:hAnsi="宋体" w:eastAsia="楷体_GB2312"/>
          <w:sz w:val="28"/>
        </w:rPr>
      </w:pPr>
      <w:r>
        <w:rPr>
          <w:rFonts w:ascii="仿宋" w:hAnsi="仿宋" w:eastAsia="仿宋"/>
          <w:sz w:val="28"/>
        </w:rPr>
        <w:fldChar w:fldCharType="begin"/>
      </w:r>
      <w:r>
        <w:rPr>
          <w:rFonts w:ascii="仿宋" w:hAnsi="仿宋" w:eastAsia="仿宋"/>
          <w:sz w:val="28"/>
        </w:rPr>
        <w:instrText xml:space="preserve"> </w:instrText>
      </w:r>
      <w:r>
        <w:rPr>
          <w:rFonts w:hint="eastAsia" w:ascii="仿宋" w:hAnsi="仿宋" w:eastAsia="仿宋"/>
          <w:sz w:val="28"/>
        </w:rPr>
        <w:instrText xml:space="preserve">= 1 \* GB3</w:instrText>
      </w:r>
      <w:r>
        <w:rPr>
          <w:rFonts w:ascii="仿宋" w:hAnsi="仿宋" w:eastAsia="仿宋"/>
          <w:sz w:val="28"/>
        </w:rPr>
        <w:instrText xml:space="preserve"> </w:instrText>
      </w:r>
      <w:r>
        <w:rPr>
          <w:rFonts w:ascii="仿宋" w:hAnsi="仿宋" w:eastAsia="仿宋"/>
          <w:sz w:val="28"/>
        </w:rPr>
        <w:fldChar w:fldCharType="separate"/>
      </w:r>
      <w:r>
        <w:rPr>
          <w:rFonts w:hint="eastAsia" w:ascii="仿宋" w:hAnsi="仿宋" w:eastAsia="仿宋"/>
          <w:sz w:val="28"/>
        </w:rPr>
        <w:t>①</w:t>
      </w:r>
      <w:r>
        <w:rPr>
          <w:rFonts w:ascii="仿宋" w:hAnsi="仿宋" w:eastAsia="仿宋"/>
          <w:sz w:val="28"/>
        </w:rPr>
        <w:fldChar w:fldCharType="end"/>
      </w:r>
      <w:r>
        <w:rPr>
          <w:rFonts w:hint="eastAsia" w:ascii="楷体_GB2312" w:hAnsi="宋体" w:eastAsia="楷体_GB2312"/>
          <w:sz w:val="28"/>
        </w:rPr>
        <w:t>租赁或占用情况：估价对象部分有租赁情况，由于估价委托人未提供租赁合同，</w:t>
      </w:r>
      <w:r>
        <w:rPr>
          <w:rFonts w:hint="eastAsia" w:ascii="楷体_GB2312" w:eastAsia="楷体_GB2312"/>
          <w:sz w:val="28"/>
        </w:rPr>
        <w:t>本则次估价结果未考虑估价对象租赁限制的影响</w:t>
      </w:r>
      <w:r>
        <w:rPr>
          <w:rFonts w:hint="eastAsia" w:ascii="楷体_GB2312" w:hAnsi="宋体" w:eastAsia="楷体_GB2312"/>
          <w:sz w:val="28"/>
        </w:rPr>
        <w:t>。</w:t>
      </w:r>
    </w:p>
    <w:p>
      <w:pPr>
        <w:pStyle w:val="15"/>
        <w:adjustRightInd w:val="0"/>
        <w:snapToGrid w:val="0"/>
        <w:spacing w:line="480" w:lineRule="exact"/>
        <w:ind w:firstLine="560" w:firstLineChars="200"/>
        <w:rPr>
          <w:rFonts w:ascii="楷体_GB2312" w:hAnsi="宋体" w:eastAsia="楷体_GB2312"/>
          <w:sz w:val="28"/>
        </w:rPr>
      </w:pPr>
      <w:r>
        <w:rPr>
          <w:rFonts w:hint="eastAsia" w:ascii="仿宋" w:hAnsi="仿宋" w:eastAsia="仿宋"/>
          <w:sz w:val="28"/>
        </w:rPr>
        <w:t>②</w:t>
      </w:r>
      <w:r>
        <w:rPr>
          <w:rFonts w:hint="eastAsia" w:ascii="楷体_GB2312" w:hAnsi="宋体" w:eastAsia="楷体_GB2312"/>
          <w:sz w:val="28"/>
        </w:rPr>
        <w:t>用益物权设立情况：估价对象未设立用益物权。</w:t>
      </w:r>
    </w:p>
    <w:p>
      <w:pPr>
        <w:pStyle w:val="15"/>
        <w:adjustRightInd w:val="0"/>
        <w:snapToGrid w:val="0"/>
        <w:spacing w:line="480" w:lineRule="exact"/>
        <w:ind w:firstLine="560" w:firstLineChars="200"/>
        <w:rPr>
          <w:rFonts w:ascii="楷体_GB2312" w:hAnsi="宋体" w:eastAsia="楷体_GB2312"/>
          <w:sz w:val="28"/>
        </w:rPr>
      </w:pPr>
      <w:r>
        <w:rPr>
          <w:rFonts w:ascii="仿宋" w:hAnsi="仿宋" w:eastAsia="仿宋"/>
          <w:sz w:val="28"/>
        </w:rPr>
        <w:fldChar w:fldCharType="begin"/>
      </w:r>
      <w:r>
        <w:rPr>
          <w:rFonts w:ascii="仿宋" w:hAnsi="仿宋" w:eastAsia="仿宋"/>
          <w:sz w:val="28"/>
        </w:rPr>
        <w:instrText xml:space="preserve"> </w:instrText>
      </w:r>
      <w:r>
        <w:rPr>
          <w:rFonts w:hint="eastAsia" w:ascii="仿宋" w:hAnsi="仿宋" w:eastAsia="仿宋"/>
          <w:sz w:val="28"/>
        </w:rPr>
        <w:instrText xml:space="preserve">= 3 \* GB3</w:instrText>
      </w:r>
      <w:r>
        <w:rPr>
          <w:rFonts w:ascii="仿宋" w:hAnsi="仿宋" w:eastAsia="仿宋"/>
          <w:sz w:val="28"/>
        </w:rPr>
        <w:instrText xml:space="preserve"> </w:instrText>
      </w:r>
      <w:r>
        <w:rPr>
          <w:rFonts w:ascii="仿宋" w:hAnsi="仿宋" w:eastAsia="仿宋"/>
          <w:sz w:val="28"/>
        </w:rPr>
        <w:fldChar w:fldCharType="separate"/>
      </w:r>
      <w:r>
        <w:rPr>
          <w:rFonts w:hint="eastAsia" w:ascii="仿宋" w:hAnsi="仿宋" w:eastAsia="仿宋"/>
          <w:sz w:val="28"/>
        </w:rPr>
        <w:t>③</w:t>
      </w:r>
      <w:r>
        <w:rPr>
          <w:rFonts w:ascii="仿宋" w:hAnsi="仿宋" w:eastAsia="仿宋"/>
          <w:sz w:val="28"/>
        </w:rPr>
        <w:fldChar w:fldCharType="end"/>
      </w:r>
      <w:r>
        <w:rPr>
          <w:rFonts w:hint="eastAsia" w:ascii="楷体_GB2312" w:hAnsi="宋体" w:eastAsia="楷体_GB2312"/>
          <w:sz w:val="28"/>
        </w:rPr>
        <w:t>担保物权设立情况：估价对象未设立担保物权。</w:t>
      </w:r>
    </w:p>
    <w:p>
      <w:pPr>
        <w:snapToGrid w:val="0"/>
        <w:spacing w:line="480" w:lineRule="exact"/>
        <w:ind w:firstLine="555"/>
        <w:rPr>
          <w:rFonts w:ascii="楷体_GB2312" w:eastAsia="楷体_GB2312"/>
          <w:sz w:val="28"/>
        </w:rPr>
      </w:pPr>
      <w:r>
        <w:rPr>
          <w:rFonts w:hint="eastAsia" w:ascii="仿宋" w:hAnsi="仿宋" w:eastAsia="仿宋"/>
          <w:sz w:val="28"/>
        </w:rPr>
        <w:t>④</w:t>
      </w:r>
      <w:r>
        <w:rPr>
          <w:rFonts w:hint="eastAsia" w:ascii="楷体_GB2312" w:hAnsi="宋体" w:eastAsia="楷体_GB2312"/>
          <w:sz w:val="28"/>
        </w:rPr>
        <w:t>抵押权及</w:t>
      </w:r>
      <w:r>
        <w:rPr>
          <w:rFonts w:hint="eastAsia" w:ascii="楷体_GB2312" w:eastAsia="楷体_GB2312"/>
          <w:sz w:val="28"/>
        </w:rPr>
        <w:t>法定优先受偿权</w:t>
      </w:r>
      <w:r>
        <w:rPr>
          <w:rFonts w:hint="eastAsia" w:ascii="楷体_GB2312" w:hAnsi="宋体" w:eastAsia="楷体_GB2312"/>
          <w:sz w:val="28"/>
        </w:rPr>
        <w:t>情况：</w:t>
      </w:r>
      <w:r>
        <w:rPr>
          <w:rFonts w:hint="eastAsia" w:ascii="楷体_GB2312" w:eastAsia="楷体_GB2312"/>
          <w:sz w:val="28"/>
        </w:rPr>
        <w:t>根据估价委托人提供的</w:t>
      </w:r>
      <w:r>
        <w:rPr>
          <w:rFonts w:hint="eastAsia" w:ascii="楷体_GB2312" w:hAnsi="宋体" w:eastAsia="楷体_GB2312"/>
          <w:sz w:val="28"/>
        </w:rPr>
        <w:t>《房屋所有权证》</w:t>
      </w:r>
      <w:r>
        <w:rPr>
          <w:rFonts w:hint="eastAsia" w:ascii="楷体_GB2312" w:eastAsia="楷体_GB2312"/>
          <w:sz w:val="28"/>
        </w:rPr>
        <w:t>。本次估价目的为人民法院确定财产处置参考价提供参考依据，涉执房地产处置司法评估结果不应当考虑评估对象被查封以及原有的担保物和其他优先受偿权的影响。故本次评估未考虑估价对象原有的担保物和其他优先受偿权的影响。</w:t>
      </w:r>
    </w:p>
    <w:p>
      <w:pPr>
        <w:snapToGrid w:val="0"/>
        <w:spacing w:line="480" w:lineRule="exact"/>
        <w:ind w:firstLine="555"/>
        <w:rPr>
          <w:rFonts w:ascii="楷体_GB2312" w:hAnsi="宋体" w:eastAsia="楷体_GB2312"/>
          <w:sz w:val="28"/>
        </w:rPr>
      </w:pPr>
      <w:r>
        <w:rPr>
          <w:rFonts w:hint="eastAsia" w:ascii="仿宋" w:hAnsi="仿宋" w:eastAsia="仿宋"/>
          <w:sz w:val="28"/>
        </w:rPr>
        <w:t>⑤</w:t>
      </w:r>
      <w:r>
        <w:rPr>
          <w:rFonts w:hint="eastAsia" w:ascii="楷体_GB2312" w:hAnsi="宋体" w:eastAsia="楷体_GB2312"/>
          <w:sz w:val="28"/>
        </w:rPr>
        <w:t>拖欠税费情况：无</w:t>
      </w:r>
    </w:p>
    <w:p>
      <w:pPr>
        <w:spacing w:line="480" w:lineRule="exact"/>
        <w:ind w:firstLine="560" w:firstLineChars="200"/>
        <w:rPr>
          <w:rFonts w:ascii="楷体_GB2312" w:hAnsi="仿宋" w:eastAsia="楷体_GB2312"/>
          <w:sz w:val="28"/>
          <w:szCs w:val="28"/>
        </w:rPr>
      </w:pPr>
      <w:r>
        <w:rPr>
          <w:rFonts w:hint="eastAsia" w:ascii="楷体_GB2312" w:hAnsi="仿宋" w:eastAsia="楷体_GB2312"/>
          <w:sz w:val="28"/>
          <w:szCs w:val="28"/>
        </w:rPr>
        <w:t>（三）土地基本状况</w:t>
      </w:r>
    </w:p>
    <w:p>
      <w:pPr>
        <w:spacing w:line="480" w:lineRule="exact"/>
        <w:ind w:firstLine="560" w:firstLineChars="200"/>
        <w:rPr>
          <w:rFonts w:ascii="楷体_GB2312" w:hAnsi="仿宋" w:eastAsia="楷体_GB2312"/>
          <w:sz w:val="28"/>
          <w:szCs w:val="28"/>
        </w:rPr>
      </w:pPr>
      <w:r>
        <w:rPr>
          <w:rFonts w:hint="eastAsia" w:ascii="楷体_GB2312" w:hAnsi="仿宋" w:eastAsia="楷体_GB2312"/>
          <w:sz w:val="28"/>
          <w:szCs w:val="28"/>
        </w:rPr>
        <w:t>估价对象土地基本状况详见下表：</w:t>
      </w:r>
    </w:p>
    <w:tbl>
      <w:tblPr>
        <w:tblStyle w:val="33"/>
        <w:tblW w:w="478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2"/>
        <w:gridCol w:w="6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356"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估价对象</w:t>
            </w:r>
          </w:p>
        </w:tc>
        <w:tc>
          <w:tcPr>
            <w:tcW w:w="3643" w:type="pct"/>
            <w:shd w:val="clear" w:color="auto" w:fill="auto"/>
            <w:noWrap/>
            <w:vAlign w:val="center"/>
          </w:tcPr>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醴陵市来龙门街道办事处狮子坡102号101、102房地产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356"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四至</w:t>
            </w:r>
          </w:p>
        </w:tc>
        <w:tc>
          <w:tcPr>
            <w:tcW w:w="3643" w:type="pct"/>
            <w:shd w:val="clear" w:color="auto" w:fill="auto"/>
            <w:noWrap/>
            <w:vAlign w:val="center"/>
          </w:tcPr>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估价对象所在楼宇</w:t>
            </w:r>
            <w:r>
              <w:rPr>
                <w:rFonts w:ascii="楷体_GB2312" w:hAnsi="宋体" w:eastAsia="楷体_GB2312" w:cs="宋体"/>
                <w:color w:val="000000"/>
                <w:kern w:val="0"/>
                <w:sz w:val="24"/>
                <w:szCs w:val="24"/>
              </w:rPr>
              <w:t>东</w:t>
            </w:r>
            <w:r>
              <w:rPr>
                <w:rFonts w:hint="eastAsia" w:ascii="楷体_GB2312" w:hAnsi="宋体" w:eastAsia="楷体_GB2312" w:cs="宋体"/>
                <w:color w:val="000000"/>
                <w:kern w:val="0"/>
                <w:sz w:val="24"/>
                <w:szCs w:val="24"/>
              </w:rPr>
              <w:t>邻其他房屋，西邻醴陵市狮子坡中心小学，南临狮子坡路，北邻住宅。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356"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形状</w:t>
            </w:r>
          </w:p>
        </w:tc>
        <w:tc>
          <w:tcPr>
            <w:tcW w:w="3643" w:type="pct"/>
            <w:shd w:val="clear" w:color="auto" w:fill="auto"/>
            <w:noWrap/>
            <w:vAlign w:val="center"/>
          </w:tcPr>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形状规则。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356"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土地使用期限</w:t>
            </w:r>
          </w:p>
        </w:tc>
        <w:tc>
          <w:tcPr>
            <w:tcW w:w="3643" w:type="pct"/>
            <w:shd w:val="clear" w:color="auto" w:fill="auto"/>
            <w:noWrap/>
            <w:vAlign w:val="center"/>
          </w:tcPr>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土地终止期限：2042年12月9日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356"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开发程度</w:t>
            </w:r>
          </w:p>
        </w:tc>
        <w:tc>
          <w:tcPr>
            <w:tcW w:w="3643" w:type="pct"/>
            <w:shd w:val="clear" w:color="auto" w:fill="auto"/>
            <w:noWrap/>
            <w:vAlign w:val="center"/>
          </w:tcPr>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已达到六通（通路、通电、供水、排水、通讯、通气），红线内场地平整。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356"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土地使用权类型</w:t>
            </w:r>
          </w:p>
        </w:tc>
        <w:tc>
          <w:tcPr>
            <w:tcW w:w="3643" w:type="pct"/>
            <w:shd w:val="clear" w:color="auto" w:fill="auto"/>
            <w:noWrap/>
            <w:vAlign w:val="center"/>
          </w:tcPr>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出让</w:t>
            </w:r>
          </w:p>
        </w:tc>
      </w:tr>
    </w:tbl>
    <w:p>
      <w:pPr>
        <w:spacing w:line="460" w:lineRule="exact"/>
        <w:ind w:firstLine="560" w:firstLineChars="200"/>
        <w:rPr>
          <w:rFonts w:ascii="楷体_GB2312" w:hAnsi="仿宋" w:eastAsia="楷体_GB2312"/>
          <w:sz w:val="28"/>
          <w:szCs w:val="28"/>
        </w:rPr>
      </w:pPr>
      <w:r>
        <w:rPr>
          <w:rFonts w:hint="eastAsia" w:ascii="楷体_GB2312" w:hAnsi="仿宋" w:eastAsia="楷体_GB2312"/>
          <w:sz w:val="28"/>
          <w:szCs w:val="28"/>
        </w:rPr>
        <w:t>（四）建筑物基本状况</w:t>
      </w:r>
    </w:p>
    <w:p>
      <w:pPr>
        <w:spacing w:line="460" w:lineRule="exact"/>
        <w:ind w:firstLine="560" w:firstLineChars="200"/>
        <w:rPr>
          <w:rFonts w:ascii="楷体_GB2312" w:hAnsi="仿宋" w:eastAsia="楷体_GB2312"/>
          <w:sz w:val="28"/>
          <w:szCs w:val="28"/>
        </w:rPr>
      </w:pPr>
      <w:r>
        <w:rPr>
          <w:rFonts w:hint="eastAsia" w:ascii="楷体_GB2312" w:hAnsi="仿宋" w:eastAsia="楷体_GB2312"/>
          <w:sz w:val="28"/>
          <w:szCs w:val="28"/>
        </w:rPr>
        <w:t>估价对象建筑物基本状况详见下表：</w:t>
      </w:r>
    </w:p>
    <w:tbl>
      <w:tblPr>
        <w:tblStyle w:val="33"/>
        <w:tblW w:w="4947" w:type="pct"/>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3825"/>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911"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估价对象</w:t>
            </w:r>
          </w:p>
        </w:tc>
        <w:tc>
          <w:tcPr>
            <w:tcW w:w="2044" w:type="pct"/>
            <w:shd w:val="clear" w:color="auto" w:fill="auto"/>
            <w:noWrap/>
            <w:vAlign w:val="center"/>
          </w:tcPr>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醴陵市来龙门街道办事处狮子坡102号101</w:t>
            </w:r>
          </w:p>
        </w:tc>
        <w:tc>
          <w:tcPr>
            <w:tcW w:w="2045" w:type="pct"/>
          </w:tcPr>
          <w:p>
            <w:pPr>
              <w:widowControl/>
              <w:jc w:val="left"/>
              <w:rPr>
                <w:rFonts w:ascii="楷体_GB2312" w:hAnsi="宋体" w:eastAsia="楷体_GB2312"/>
                <w:bCs/>
                <w:sz w:val="24"/>
                <w:szCs w:val="24"/>
              </w:rPr>
            </w:pPr>
            <w:r>
              <w:rPr>
                <w:rFonts w:hint="eastAsia" w:ascii="楷体_GB2312" w:hAnsi="宋体" w:eastAsia="楷体_GB2312" w:cs="宋体"/>
                <w:color w:val="000000"/>
                <w:kern w:val="0"/>
                <w:sz w:val="24"/>
                <w:szCs w:val="24"/>
              </w:rPr>
              <w:t>醴陵市来龙门街道办事处狮子坡102号102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911"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建成年份</w:t>
            </w:r>
          </w:p>
        </w:tc>
        <w:tc>
          <w:tcPr>
            <w:tcW w:w="2044" w:type="pct"/>
            <w:shd w:val="clear" w:color="auto" w:fill="auto"/>
            <w:noWrap/>
            <w:vAlign w:val="center"/>
          </w:tcPr>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约2000年</w:t>
            </w:r>
          </w:p>
        </w:tc>
        <w:tc>
          <w:tcPr>
            <w:tcW w:w="2045" w:type="pct"/>
          </w:tcPr>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约2000年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trPr>
        <w:tc>
          <w:tcPr>
            <w:tcW w:w="911"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新旧程度</w:t>
            </w:r>
          </w:p>
        </w:tc>
        <w:tc>
          <w:tcPr>
            <w:tcW w:w="2044" w:type="pct"/>
            <w:shd w:val="clear" w:color="auto" w:fill="auto"/>
            <w:noWrap/>
            <w:vAlign w:val="center"/>
          </w:tcPr>
          <w:p>
            <w:pPr>
              <w:widowControl/>
              <w:jc w:val="left"/>
              <w:rPr>
                <w:rFonts w:ascii="楷体_GB2312" w:hAnsi="宋体" w:eastAsia="楷体_GB2312" w:cs="宋体"/>
                <w:color w:val="000000"/>
                <w:kern w:val="0"/>
                <w:sz w:val="24"/>
                <w:szCs w:val="24"/>
              </w:rPr>
            </w:pPr>
            <w:r>
              <w:rPr>
                <w:rFonts w:hint="eastAsia" w:ascii="楷体_GB2312" w:hAnsi="宋体" w:eastAsia="楷体_GB2312"/>
                <w:sz w:val="24"/>
                <w:szCs w:val="24"/>
              </w:rPr>
              <w:t>60%</w:t>
            </w:r>
          </w:p>
        </w:tc>
        <w:tc>
          <w:tcPr>
            <w:tcW w:w="2045" w:type="pct"/>
          </w:tcPr>
          <w:p>
            <w:pPr>
              <w:widowControl/>
              <w:jc w:val="left"/>
              <w:rPr>
                <w:rFonts w:ascii="楷体_GB2312" w:hAnsi="宋体" w:eastAsia="楷体_GB2312"/>
                <w:sz w:val="24"/>
                <w:szCs w:val="24"/>
              </w:rPr>
            </w:pPr>
            <w:r>
              <w:rPr>
                <w:rFonts w:hint="eastAsia" w:ascii="楷体_GB2312" w:hAnsi="宋体" w:eastAsia="楷体_GB2312"/>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911"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建筑结构</w:t>
            </w:r>
          </w:p>
        </w:tc>
        <w:tc>
          <w:tcPr>
            <w:tcW w:w="2044" w:type="pct"/>
            <w:shd w:val="clear" w:color="auto" w:fill="auto"/>
            <w:noWrap/>
            <w:vAlign w:val="center"/>
          </w:tcPr>
          <w:p>
            <w:pPr>
              <w:widowControl/>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混合结构</w:t>
            </w:r>
          </w:p>
        </w:tc>
        <w:tc>
          <w:tcPr>
            <w:tcW w:w="2045" w:type="pct"/>
          </w:tcPr>
          <w:p>
            <w:pPr>
              <w:widowControl/>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混合结构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11"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设施设备</w:t>
            </w:r>
          </w:p>
        </w:tc>
        <w:tc>
          <w:tcPr>
            <w:tcW w:w="2044" w:type="pct"/>
            <w:shd w:val="clear" w:color="auto" w:fill="auto"/>
            <w:noWrap/>
            <w:vAlign w:val="center"/>
          </w:tcPr>
          <w:p>
            <w:pPr>
              <w:adjustRightInd w:val="0"/>
              <w:jc w:val="left"/>
              <w:rPr>
                <w:rFonts w:ascii="楷体_GB2312" w:hAnsi="宋体" w:eastAsia="楷体_GB2312"/>
                <w:sz w:val="24"/>
                <w:szCs w:val="24"/>
              </w:rPr>
            </w:pPr>
            <w:r>
              <w:rPr>
                <w:rFonts w:hint="eastAsia" w:ascii="楷体_GB2312" w:hAnsi="宋体" w:eastAsia="楷体_GB2312"/>
                <w:sz w:val="24"/>
                <w:szCs w:val="24"/>
              </w:rPr>
              <w:t>供电线路全部隐蔽敷没，</w:t>
            </w:r>
            <w:r>
              <w:rPr>
                <w:rFonts w:ascii="楷体_GB2312" w:hAnsi="宋体" w:eastAsia="楷体_GB2312"/>
                <w:sz w:val="24"/>
                <w:szCs w:val="24"/>
              </w:rPr>
              <w:t>市政供水等</w:t>
            </w:r>
            <w:r>
              <w:rPr>
                <w:rFonts w:hint="eastAsia" w:ascii="楷体_GB2312" w:hAnsi="宋体" w:eastAsia="楷体_GB2312"/>
                <w:sz w:val="24"/>
                <w:szCs w:val="24"/>
              </w:rPr>
              <w:t>。</w:t>
            </w:r>
          </w:p>
        </w:tc>
        <w:tc>
          <w:tcPr>
            <w:tcW w:w="2045" w:type="pct"/>
          </w:tcPr>
          <w:p>
            <w:pPr>
              <w:adjustRightInd w:val="0"/>
              <w:jc w:val="left"/>
              <w:rPr>
                <w:rFonts w:ascii="楷体_GB2312" w:hAnsi="宋体" w:eastAsia="楷体_GB2312"/>
                <w:sz w:val="24"/>
                <w:szCs w:val="24"/>
              </w:rPr>
            </w:pPr>
            <w:r>
              <w:rPr>
                <w:rFonts w:hint="eastAsia" w:ascii="楷体_GB2312" w:hAnsi="宋体" w:eastAsia="楷体_GB2312"/>
                <w:sz w:val="24"/>
                <w:szCs w:val="24"/>
              </w:rPr>
              <w:t>供电线路全部隐蔽敷没，</w:t>
            </w:r>
            <w:r>
              <w:rPr>
                <w:rFonts w:ascii="楷体_GB2312" w:hAnsi="宋体" w:eastAsia="楷体_GB2312"/>
                <w:sz w:val="24"/>
                <w:szCs w:val="24"/>
              </w:rPr>
              <w:t>市政供水等</w:t>
            </w:r>
            <w:r>
              <w:rPr>
                <w:rFonts w:hint="eastAsia" w:ascii="楷体_GB2312" w:hAnsi="宋体" w:eastAsia="楷体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11"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装饰装修</w:t>
            </w:r>
          </w:p>
        </w:tc>
        <w:tc>
          <w:tcPr>
            <w:tcW w:w="2044" w:type="pct"/>
            <w:shd w:val="clear" w:color="auto" w:fill="auto"/>
            <w:noWrap/>
            <w:vAlign w:val="center"/>
          </w:tcPr>
          <w:p>
            <w:pPr>
              <w:adjustRightInd w:val="0"/>
              <w:jc w:val="left"/>
              <w:rPr>
                <w:rFonts w:ascii="楷体_GB2312" w:hAnsi="宋体" w:eastAsia="楷体_GB2312"/>
                <w:sz w:val="24"/>
                <w:szCs w:val="24"/>
              </w:rPr>
            </w:pPr>
            <w:r>
              <w:rPr>
                <w:rFonts w:hint="eastAsia" w:ascii="楷体_GB2312" w:hAnsi="宋体" w:eastAsia="楷体_GB2312"/>
                <w:sz w:val="24"/>
                <w:szCs w:val="24"/>
              </w:rPr>
              <w:t>估价对象外墙为方块瓷砖，总楼层为6层，本次评估为第1层，建筑面积为358.72平方米，共分成9个可以独立使用的门面，层高为4.3米，门面进深12米，每个开间约3米左右，入户为卷闸门，地面为地板砖，墙面为普通抹灰，该房屋水、电、通讯、网络等基础设施齐全。根据注册房地产估价师现场查勘情况，房屋工程质量合格，完损程度判定为基本完好房。但对估价对象的现实勘察仅限于其外观和使用状况，对被遮盖、未暴露及难以接触到的部分，则是依据委托方提供的资料进行评估，我们不承担对估价对象建筑结构质量进行调查的责任。</w:t>
            </w:r>
          </w:p>
        </w:tc>
        <w:tc>
          <w:tcPr>
            <w:tcW w:w="2045" w:type="pct"/>
          </w:tcPr>
          <w:p>
            <w:pPr>
              <w:adjustRightInd w:val="0"/>
              <w:jc w:val="left"/>
              <w:rPr>
                <w:rFonts w:ascii="楷体_GB2312" w:hAnsi="宋体" w:eastAsia="楷体_GB2312"/>
                <w:sz w:val="24"/>
                <w:szCs w:val="24"/>
              </w:rPr>
            </w:pPr>
            <w:r>
              <w:rPr>
                <w:rFonts w:hint="eastAsia" w:ascii="楷体_GB2312" w:hAnsi="宋体" w:eastAsia="楷体_GB2312"/>
                <w:sz w:val="24"/>
                <w:szCs w:val="24"/>
              </w:rPr>
              <w:t>估价对象外墙为方块瓷砖，总楼层为2层，本次评估为第1-2层，建筑面积为238.14平方米，一楼作门面使用，开间8米，进深14米，二层可作住宅，一楼入户为卷闸门，地面为地板砖，墙面为部分墙砖部分墙漆，室内设楼梯。该房屋水、电、通讯、网络等基础设施齐全。根据注册房地产估价师现场查勘情况，房屋工程质量合格，完损程度判定为基本完好房。但对估价对象的现实勘察仅限于其外观和使用状况，对被遮盖、未暴露及难以接触到的部分，则是依据委托方提供的资料进行评估，我们不承担对估价对象建筑结构质量进行调查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911"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维护状况</w:t>
            </w:r>
          </w:p>
        </w:tc>
        <w:tc>
          <w:tcPr>
            <w:tcW w:w="2044" w:type="pct"/>
            <w:shd w:val="clear" w:color="auto" w:fill="auto"/>
            <w:noWrap/>
            <w:vAlign w:val="center"/>
          </w:tcPr>
          <w:p>
            <w:pPr>
              <w:widowControl/>
              <w:jc w:val="left"/>
              <w:rPr>
                <w:rFonts w:ascii="楷体_GB2312" w:hAnsi="宋体" w:eastAsia="楷体_GB2312" w:cs="宋体"/>
                <w:color w:val="000000"/>
                <w:kern w:val="0"/>
                <w:sz w:val="24"/>
                <w:szCs w:val="24"/>
              </w:rPr>
            </w:pPr>
            <w:r>
              <w:rPr>
                <w:rFonts w:hint="eastAsia" w:ascii="楷体_GB2312" w:hAnsi="宋体" w:eastAsia="楷体_GB2312"/>
                <w:sz w:val="24"/>
                <w:szCs w:val="24"/>
              </w:rPr>
              <w:t>使用正常，维护保养较好，约6成新</w:t>
            </w:r>
          </w:p>
        </w:tc>
        <w:tc>
          <w:tcPr>
            <w:tcW w:w="2045" w:type="pct"/>
          </w:tcPr>
          <w:p>
            <w:pPr>
              <w:widowControl/>
              <w:jc w:val="left"/>
              <w:rPr>
                <w:rFonts w:ascii="楷体_GB2312" w:hAnsi="宋体" w:eastAsia="楷体_GB2312"/>
                <w:sz w:val="24"/>
                <w:szCs w:val="24"/>
              </w:rPr>
            </w:pPr>
            <w:r>
              <w:rPr>
                <w:rFonts w:hint="eastAsia" w:ascii="楷体_GB2312" w:hAnsi="宋体" w:eastAsia="楷体_GB2312"/>
                <w:sz w:val="24"/>
                <w:szCs w:val="24"/>
              </w:rPr>
              <w:t>使用正常，维护保养较好，约6成新</w:t>
            </w:r>
          </w:p>
        </w:tc>
      </w:tr>
    </w:tbl>
    <w:p>
      <w:pPr>
        <w:spacing w:line="400" w:lineRule="exact"/>
        <w:jc w:val="left"/>
        <w:rPr>
          <w:rFonts w:ascii="楷体_GB2312" w:eastAsia="楷体_GB2312"/>
          <w:kern w:val="0"/>
          <w:sz w:val="28"/>
        </w:rPr>
      </w:pPr>
      <w:bookmarkStart w:id="12" w:name="_GoBack"/>
      <w:bookmarkEnd w:id="12"/>
    </w:p>
    <w:p/>
    <w:sectPr>
      <w:pgSz w:w="11906" w:h="16838"/>
      <w:pgMar w:top="1021" w:right="1191" w:bottom="1021" w:left="1191" w:header="851" w:footer="992" w:gutter="284"/>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5F" w:usb2="00000000" w:usb3="00000000" w:csb0="2000019F" w:csb1="00000000"/>
  </w:font>
  <w:font w:name="Verdana">
    <w:panose1 w:val="020B0604030504040204"/>
    <w:charset w:val="00"/>
    <w:family w:val="swiss"/>
    <w:pitch w:val="default"/>
    <w:sig w:usb0="A1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幼圆">
    <w:panose1 w:val="0201050906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Segoe UI Symbol">
    <w:panose1 w:val="020B0502040204020203"/>
    <w:charset w:val="00"/>
    <w:family w:val="swiss"/>
    <w:pitch w:val="default"/>
    <w:sig w:usb0="8000006F" w:usb1="1200FBEF" w:usb2="0064C000" w:usb3="00000002" w:csb0="00000001" w:csb1="4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left" w:pos="9135"/>
        <w:tab w:val="clear" w:pos="8306"/>
      </w:tabs>
      <w:ind w:right="49"/>
      <w:rPr>
        <w:rFonts w:ascii="宋体" w:hAnsi="宋体"/>
        <w:position w:val="-24"/>
        <w:sz w:val="15"/>
        <w:szCs w:val="15"/>
      </w:rPr>
    </w:pPr>
    <w:r>
      <w:pict>
        <v:line id="直接连接符 79" o:spid="_x0000_s2050" o:spt="20" style="position:absolute;left:0pt;margin-left:0pt;margin-top:1.6pt;height:0pt;width:473.3pt;z-index:251660288;mso-width-relative:page;mso-height-relative:page;" coordsize="21600,21600">
          <v:path arrowok="t"/>
          <v:fill focussize="0,0"/>
          <v:stroke/>
          <v:imagedata o:title=""/>
          <o:lock v:ext="edit"/>
        </v:line>
      </w:pict>
    </w:r>
    <w:r>
      <w:rPr>
        <w:rFonts w:hint="eastAsia"/>
        <w:position w:val="-24"/>
        <w:sz w:val="15"/>
        <w:szCs w:val="15"/>
      </w:rPr>
      <w:t>天信房地产土地资产评估有限公司</w:t>
    </w:r>
    <w:r>
      <w:rPr>
        <w:position w:val="-24"/>
        <w:sz w:val="15"/>
        <w:szCs w:val="15"/>
      </w:rPr>
      <w:t xml:space="preserve">                        </w:t>
    </w:r>
    <w:r>
      <w:rPr>
        <w:kern w:val="0"/>
        <w:position w:val="-24"/>
        <w:sz w:val="15"/>
        <w:szCs w:val="15"/>
      </w:rPr>
      <w:t xml:space="preserve">- </w:t>
    </w:r>
    <w:r>
      <w:rPr>
        <w:kern w:val="0"/>
        <w:position w:val="-24"/>
        <w:sz w:val="15"/>
        <w:szCs w:val="15"/>
      </w:rPr>
      <w:fldChar w:fldCharType="begin"/>
    </w:r>
    <w:r>
      <w:rPr>
        <w:kern w:val="0"/>
        <w:position w:val="-24"/>
        <w:sz w:val="15"/>
        <w:szCs w:val="15"/>
      </w:rPr>
      <w:instrText xml:space="preserve"> PAGE </w:instrText>
    </w:r>
    <w:r>
      <w:rPr>
        <w:kern w:val="0"/>
        <w:position w:val="-24"/>
        <w:sz w:val="15"/>
        <w:szCs w:val="15"/>
      </w:rPr>
      <w:fldChar w:fldCharType="separate"/>
    </w:r>
    <w:r>
      <w:rPr>
        <w:kern w:val="0"/>
        <w:position w:val="-24"/>
        <w:sz w:val="15"/>
        <w:szCs w:val="15"/>
      </w:rPr>
      <w:t>20</w:t>
    </w:r>
    <w:r>
      <w:rPr>
        <w:kern w:val="0"/>
        <w:position w:val="-24"/>
        <w:sz w:val="15"/>
        <w:szCs w:val="15"/>
      </w:rPr>
      <w:fldChar w:fldCharType="end"/>
    </w:r>
    <w:r>
      <w:rPr>
        <w:kern w:val="0"/>
        <w:position w:val="-24"/>
        <w:sz w:val="15"/>
        <w:szCs w:val="15"/>
      </w:rPr>
      <w:t xml:space="preserve"> -</w:t>
    </w:r>
    <w:r>
      <w:rPr>
        <w:position w:val="-24"/>
        <w:sz w:val="15"/>
        <w:szCs w:val="15"/>
      </w:rPr>
      <w:t xml:space="preserve">                 </w:t>
    </w:r>
    <w:r>
      <w:rPr>
        <w:rFonts w:hint="eastAsia" w:ascii="宋体" w:hAnsi="宋体"/>
        <w:position w:val="-24"/>
        <w:sz w:val="15"/>
        <w:szCs w:val="15"/>
      </w:rPr>
      <w:t>TIANXIN REAL ESTATE LAND CAPITAL APPRAISAL Co.,LTD</w:t>
    </w:r>
  </w:p>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left" w:pos="8295"/>
        <w:tab w:val="clear" w:pos="8306"/>
      </w:tabs>
      <w:ind w:firstLine="1440" w:firstLineChars="800"/>
      <w:jc w:val="both"/>
      <w:textAlignment w:val="center"/>
    </w:pPr>
    <w:r>
      <w:rPr>
        <w:rFonts w:hint="eastAsia"/>
        <w:kern w:val="0"/>
        <w:position w:val="20"/>
      </w:rPr>
      <w:t>《房地产估价报告》</w:t>
    </w:r>
    <w:r>
      <w:rPr>
        <w:kern w:val="0"/>
        <w:position w:val="20"/>
      </w:rPr>
      <w:t xml:space="preserve">                                          </w:t>
    </w:r>
    <w:r>
      <w:rPr>
        <w:position w:val="20"/>
      </w:rPr>
      <w:t>Real Estate Appraisal Report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doNotTrackMoves/>
  <w:documentProtection w:edit="trackedChanges"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zYWRjYzY2ZTJlM2I0ODBmNTMyY2Q1Njk5ZGE2YTgifQ=="/>
  </w:docVars>
  <w:rsids>
    <w:rsidRoot w:val="00DF4A04"/>
    <w:rsid w:val="00343B20"/>
    <w:rsid w:val="00AC351B"/>
    <w:rsid w:val="00CE5E9E"/>
    <w:rsid w:val="00DF4A04"/>
    <w:rsid w:val="115560EE"/>
    <w:rsid w:val="170D0DFB"/>
    <w:rsid w:val="1CC818EA"/>
    <w:rsid w:val="2A6861E0"/>
    <w:rsid w:val="328E6B4F"/>
    <w:rsid w:val="38BA28AF"/>
    <w:rsid w:val="3C6830E4"/>
    <w:rsid w:val="417B255F"/>
    <w:rsid w:val="42A930FC"/>
    <w:rsid w:val="516923D4"/>
    <w:rsid w:val="5F892ECC"/>
    <w:rsid w:val="60A40AFD"/>
    <w:rsid w:val="6B504D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nhideWhenUsed="0" w:uiPriority="0" w:semiHidden="0" w:name="heading 3" w:locked="1"/>
    <w:lsdException w:qFormat="1" w:unhideWhenUsed="0" w:uiPriority="0" w:semiHidden="0" w:name="heading 4" w:locked="1"/>
    <w:lsdException w:qFormat="1" w:unhideWhenUsed="0" w:uiPriority="0" w:semiHidden="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ocked="1"/>
    <w:lsdException w:qFormat="1" w:unhideWhenUsed="0" w:uiPriority="39" w:semiHidden="0" w:name="toc 2" w:locked="1"/>
    <w:lsdException w:qFormat="1" w:unhideWhenUsed="0" w:uiPriority="39" w:semiHidden="0" w:name="toc 3" w:locked="1"/>
    <w:lsdException w:qFormat="1" w:unhideWhenUsed="0" w:uiPriority="0" w:semiHidden="0" w:name="toc 4" w:locked="1"/>
    <w:lsdException w:qFormat="1" w:unhideWhenUsed="0" w:uiPriority="0" w:semiHidden="0" w:name="toc 5" w:locked="1"/>
    <w:lsdException w:qFormat="1" w:unhideWhenUsed="0" w:uiPriority="0" w:semiHidden="0" w:name="toc 6" w:locked="1"/>
    <w:lsdException w:qFormat="1" w:unhideWhenUsed="0" w:uiPriority="0" w:semiHidden="0" w:name="toc 7" w:locked="1"/>
    <w:lsdException w:qFormat="1" w:unhideWhenUsed="0" w:uiPriority="0" w:semiHidden="0" w:name="toc 8" w:locked="1"/>
    <w:lsdException w:qFormat="1" w:unhideWhenUsed="0" w:uiPriority="0" w:semiHidden="0" w:name="toc 9" w:locked="1"/>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0" w:name="caption" w:locked="1"/>
    <w:lsdException w:qFormat="1"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qFormat="1" w:unhideWhenUsed="0" w:uiPriority="0" w:semiHidden="0"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qFormat="1" w:unhideWhenUsed="0" w:uiPriority="99"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99" w:semiHidden="0" w:name="Balloon Text"/>
    <w:lsdException w:qFormat="1" w:unhideWhenUsed="0" w:uiPriority="59" w:semiHidden="0" w:name="Table Grid" w:locked="1"/>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52"/>
    <w:qFormat/>
    <w:locked/>
    <w:uiPriority w:val="0"/>
    <w:pPr>
      <w:keepNext/>
      <w:keepLines/>
      <w:spacing w:before="340" w:after="330" w:line="578" w:lineRule="auto"/>
      <w:outlineLvl w:val="0"/>
    </w:pPr>
    <w:rPr>
      <w:b/>
      <w:bCs/>
      <w:kern w:val="44"/>
      <w:sz w:val="44"/>
      <w:szCs w:val="44"/>
    </w:rPr>
  </w:style>
  <w:style w:type="paragraph" w:styleId="3">
    <w:name w:val="heading 2"/>
    <w:basedOn w:val="1"/>
    <w:next w:val="4"/>
    <w:link w:val="41"/>
    <w:qFormat/>
    <w:locked/>
    <w:uiPriority w:val="0"/>
    <w:pPr>
      <w:keepNext/>
      <w:keepLines/>
      <w:jc w:val="center"/>
      <w:outlineLvl w:val="1"/>
    </w:pPr>
    <w:rPr>
      <w:rFonts w:ascii="Arial" w:hAnsi="Arial" w:eastAsia="黑体"/>
      <w:b/>
      <w:sz w:val="32"/>
    </w:rPr>
  </w:style>
  <w:style w:type="paragraph" w:styleId="5">
    <w:name w:val="heading 3"/>
    <w:basedOn w:val="1"/>
    <w:next w:val="1"/>
    <w:link w:val="42"/>
    <w:qFormat/>
    <w:locked/>
    <w:uiPriority w:val="0"/>
    <w:pPr>
      <w:keepNext/>
      <w:keepLines/>
      <w:spacing w:before="260" w:after="260" w:line="416" w:lineRule="auto"/>
      <w:outlineLvl w:val="2"/>
    </w:pPr>
    <w:rPr>
      <w:b/>
      <w:bCs/>
      <w:sz w:val="32"/>
      <w:szCs w:val="32"/>
    </w:rPr>
  </w:style>
  <w:style w:type="paragraph" w:styleId="6">
    <w:name w:val="heading 4"/>
    <w:basedOn w:val="1"/>
    <w:next w:val="1"/>
    <w:link w:val="53"/>
    <w:qFormat/>
    <w:locked/>
    <w:uiPriority w:val="0"/>
    <w:pPr>
      <w:keepNext/>
      <w:keepLines/>
      <w:suppressAutoHyphens/>
      <w:snapToGrid w:val="0"/>
      <w:spacing w:line="300" w:lineRule="auto"/>
      <w:ind w:firstLine="560"/>
      <w:outlineLvl w:val="3"/>
    </w:pPr>
    <w:rPr>
      <w:rFonts w:ascii="??_GB2312" w:hAnsi="??_GB2312" w:eastAsia="Times New Roman"/>
      <w:bCs/>
      <w:kern w:val="0"/>
      <w:sz w:val="28"/>
      <w:szCs w:val="28"/>
      <w:lang w:val="zh-CN" w:eastAsia="ar-SA"/>
    </w:rPr>
  </w:style>
  <w:style w:type="paragraph" w:styleId="7">
    <w:name w:val="heading 5"/>
    <w:basedOn w:val="1"/>
    <w:next w:val="1"/>
    <w:link w:val="54"/>
    <w:qFormat/>
    <w:locked/>
    <w:uiPriority w:val="0"/>
    <w:pPr>
      <w:keepNext/>
      <w:keepLines/>
      <w:spacing w:before="280" w:after="290" w:line="376" w:lineRule="auto"/>
      <w:outlineLvl w:val="4"/>
    </w:pPr>
    <w:rPr>
      <w:rFonts w:ascii="Calibri" w:hAnsi="Calibri"/>
      <w:b/>
      <w:bCs/>
      <w:sz w:val="28"/>
      <w:szCs w:val="28"/>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139"/>
    <w:qFormat/>
    <w:uiPriority w:val="0"/>
    <w:pPr>
      <w:ind w:firstLine="420"/>
    </w:pPr>
    <w:rPr>
      <w:rFonts w:eastAsia="楷体_GB2312"/>
      <w:sz w:val="28"/>
    </w:rPr>
  </w:style>
  <w:style w:type="paragraph" w:styleId="8">
    <w:name w:val="toc 7"/>
    <w:basedOn w:val="1"/>
    <w:next w:val="1"/>
    <w:qFormat/>
    <w:locked/>
    <w:uiPriority w:val="0"/>
    <w:pPr>
      <w:ind w:left="1260"/>
      <w:jc w:val="left"/>
    </w:pPr>
    <w:rPr>
      <w:szCs w:val="24"/>
    </w:rPr>
  </w:style>
  <w:style w:type="paragraph" w:styleId="9">
    <w:name w:val="Salutation"/>
    <w:basedOn w:val="1"/>
    <w:next w:val="1"/>
    <w:link w:val="57"/>
    <w:qFormat/>
    <w:uiPriority w:val="99"/>
    <w:rPr>
      <w:sz w:val="30"/>
    </w:rPr>
  </w:style>
  <w:style w:type="paragraph" w:styleId="10">
    <w:name w:val="Closing"/>
    <w:basedOn w:val="1"/>
    <w:link w:val="55"/>
    <w:qFormat/>
    <w:uiPriority w:val="0"/>
    <w:pPr>
      <w:ind w:left="100" w:leftChars="2100"/>
    </w:pPr>
    <w:rPr>
      <w:rFonts w:ascii="楷体_GB2312" w:eastAsia="楷体_GB2312"/>
      <w:sz w:val="28"/>
    </w:rPr>
  </w:style>
  <w:style w:type="paragraph" w:styleId="11">
    <w:name w:val="Body Text"/>
    <w:basedOn w:val="1"/>
    <w:link w:val="56"/>
    <w:qFormat/>
    <w:uiPriority w:val="0"/>
    <w:pPr>
      <w:spacing w:line="500" w:lineRule="exact"/>
    </w:pPr>
    <w:rPr>
      <w:sz w:val="32"/>
    </w:rPr>
  </w:style>
  <w:style w:type="paragraph" w:styleId="12">
    <w:name w:val="Body Text Indent"/>
    <w:basedOn w:val="1"/>
    <w:link w:val="58"/>
    <w:qFormat/>
    <w:uiPriority w:val="0"/>
    <w:pPr>
      <w:adjustRightInd w:val="0"/>
      <w:spacing w:line="400" w:lineRule="exact"/>
      <w:ind w:firstLine="555"/>
    </w:pPr>
    <w:rPr>
      <w:rFonts w:ascii="楷体_GB2312" w:eastAsia="楷体_GB2312"/>
      <w:sz w:val="28"/>
    </w:rPr>
  </w:style>
  <w:style w:type="paragraph" w:styleId="13">
    <w:name w:val="toc 5"/>
    <w:basedOn w:val="1"/>
    <w:next w:val="1"/>
    <w:qFormat/>
    <w:locked/>
    <w:uiPriority w:val="0"/>
    <w:pPr>
      <w:ind w:left="840"/>
      <w:jc w:val="left"/>
    </w:pPr>
    <w:rPr>
      <w:szCs w:val="24"/>
    </w:rPr>
  </w:style>
  <w:style w:type="paragraph" w:styleId="14">
    <w:name w:val="toc 3"/>
    <w:basedOn w:val="1"/>
    <w:next w:val="1"/>
    <w:qFormat/>
    <w:locked/>
    <w:uiPriority w:val="39"/>
    <w:pPr>
      <w:tabs>
        <w:tab w:val="right" w:leader="middleDot" w:pos="9030"/>
      </w:tabs>
      <w:spacing w:line="480" w:lineRule="exact"/>
      <w:ind w:left="420" w:firstLine="841" w:firstLineChars="400"/>
      <w:jc w:val="left"/>
    </w:pPr>
    <w:rPr>
      <w:rFonts w:eastAsia="楷体"/>
      <w:sz w:val="24"/>
      <w:szCs w:val="24"/>
    </w:rPr>
  </w:style>
  <w:style w:type="paragraph" w:styleId="15">
    <w:name w:val="Plain Text"/>
    <w:basedOn w:val="1"/>
    <w:link w:val="46"/>
    <w:qFormat/>
    <w:uiPriority w:val="0"/>
    <w:rPr>
      <w:rFonts w:ascii="宋体" w:hAnsi="Courier New"/>
      <w:kern w:val="0"/>
      <w:sz w:val="20"/>
    </w:rPr>
  </w:style>
  <w:style w:type="paragraph" w:styleId="16">
    <w:name w:val="toc 8"/>
    <w:basedOn w:val="1"/>
    <w:next w:val="1"/>
    <w:qFormat/>
    <w:locked/>
    <w:uiPriority w:val="0"/>
    <w:pPr>
      <w:ind w:left="1470"/>
      <w:jc w:val="left"/>
    </w:pPr>
    <w:rPr>
      <w:szCs w:val="24"/>
    </w:rPr>
  </w:style>
  <w:style w:type="paragraph" w:styleId="17">
    <w:name w:val="Date"/>
    <w:basedOn w:val="1"/>
    <w:next w:val="1"/>
    <w:link w:val="43"/>
    <w:qFormat/>
    <w:uiPriority w:val="0"/>
    <w:rPr>
      <w:sz w:val="30"/>
    </w:rPr>
  </w:style>
  <w:style w:type="paragraph" w:styleId="18">
    <w:name w:val="Body Text Indent 2"/>
    <w:basedOn w:val="1"/>
    <w:link w:val="60"/>
    <w:qFormat/>
    <w:uiPriority w:val="0"/>
    <w:pPr>
      <w:snapToGrid w:val="0"/>
      <w:spacing w:line="480" w:lineRule="exact"/>
      <w:ind w:firstLine="420" w:firstLineChars="175"/>
    </w:pPr>
    <w:rPr>
      <w:rFonts w:ascii="楷体_GB2312" w:eastAsia="楷体_GB2312"/>
      <w:sz w:val="24"/>
    </w:rPr>
  </w:style>
  <w:style w:type="paragraph" w:styleId="19">
    <w:name w:val="Balloon Text"/>
    <w:basedOn w:val="1"/>
    <w:link w:val="49"/>
    <w:qFormat/>
    <w:uiPriority w:val="99"/>
    <w:rPr>
      <w:sz w:val="18"/>
      <w:szCs w:val="18"/>
    </w:rPr>
  </w:style>
  <w:style w:type="paragraph" w:styleId="20">
    <w:name w:val="footer"/>
    <w:basedOn w:val="1"/>
    <w:link w:val="48"/>
    <w:qFormat/>
    <w:uiPriority w:val="99"/>
    <w:pPr>
      <w:tabs>
        <w:tab w:val="center" w:pos="4153"/>
        <w:tab w:val="right" w:pos="8306"/>
      </w:tabs>
      <w:snapToGrid w:val="0"/>
      <w:jc w:val="left"/>
    </w:pPr>
    <w:rPr>
      <w:sz w:val="18"/>
      <w:szCs w:val="18"/>
    </w:rPr>
  </w:style>
  <w:style w:type="paragraph" w:styleId="21">
    <w:name w:val="header"/>
    <w:basedOn w:val="1"/>
    <w:link w:val="47"/>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locked/>
    <w:uiPriority w:val="39"/>
    <w:pPr>
      <w:spacing w:before="120" w:line="380" w:lineRule="exact"/>
      <w:jc w:val="left"/>
    </w:pPr>
    <w:rPr>
      <w:rFonts w:eastAsia="楷体"/>
      <w:bCs/>
      <w:iCs/>
      <w:sz w:val="28"/>
      <w:szCs w:val="28"/>
    </w:rPr>
  </w:style>
  <w:style w:type="paragraph" w:styleId="23">
    <w:name w:val="toc 4"/>
    <w:basedOn w:val="1"/>
    <w:next w:val="1"/>
    <w:qFormat/>
    <w:locked/>
    <w:uiPriority w:val="0"/>
    <w:pPr>
      <w:ind w:left="630"/>
      <w:jc w:val="left"/>
    </w:pPr>
    <w:rPr>
      <w:szCs w:val="24"/>
    </w:rPr>
  </w:style>
  <w:style w:type="paragraph" w:styleId="24">
    <w:name w:val="toc 6"/>
    <w:basedOn w:val="1"/>
    <w:next w:val="1"/>
    <w:qFormat/>
    <w:locked/>
    <w:uiPriority w:val="0"/>
    <w:pPr>
      <w:ind w:left="1050"/>
      <w:jc w:val="left"/>
    </w:pPr>
    <w:rPr>
      <w:szCs w:val="24"/>
    </w:rPr>
  </w:style>
  <w:style w:type="paragraph" w:styleId="25">
    <w:name w:val="Body Text Indent 3"/>
    <w:basedOn w:val="1"/>
    <w:link w:val="51"/>
    <w:qFormat/>
    <w:uiPriority w:val="0"/>
    <w:pPr>
      <w:snapToGrid w:val="0"/>
      <w:spacing w:line="440" w:lineRule="exact"/>
      <w:ind w:firstLine="524" w:firstLineChars="187"/>
    </w:pPr>
    <w:rPr>
      <w:rFonts w:ascii="楷体_GB2312" w:eastAsia="楷体_GB2312"/>
      <w:sz w:val="28"/>
    </w:rPr>
  </w:style>
  <w:style w:type="paragraph" w:styleId="26">
    <w:name w:val="table of figures"/>
    <w:basedOn w:val="1"/>
    <w:next w:val="1"/>
    <w:unhideWhenUsed/>
    <w:qFormat/>
    <w:uiPriority w:val="99"/>
    <w:pPr>
      <w:spacing w:before="120" w:after="120"/>
      <w:ind w:left="840" w:hanging="420"/>
      <w:jc w:val="center"/>
    </w:pPr>
    <w:rPr>
      <w:rFonts w:ascii="Calibri" w:hAnsi="Calibri" w:eastAsia="黑体"/>
    </w:rPr>
  </w:style>
  <w:style w:type="paragraph" w:styleId="27">
    <w:name w:val="toc 2"/>
    <w:basedOn w:val="1"/>
    <w:next w:val="1"/>
    <w:qFormat/>
    <w:locked/>
    <w:uiPriority w:val="39"/>
    <w:pPr>
      <w:tabs>
        <w:tab w:val="right" w:leader="middleDot" w:pos="9030"/>
      </w:tabs>
      <w:spacing w:line="480" w:lineRule="exact"/>
      <w:jc w:val="center"/>
    </w:pPr>
    <w:rPr>
      <w:rFonts w:ascii="楷体_GB2312" w:eastAsia="楷体_GB2312"/>
      <w:sz w:val="28"/>
      <w:szCs w:val="32"/>
    </w:rPr>
  </w:style>
  <w:style w:type="paragraph" w:styleId="28">
    <w:name w:val="toc 9"/>
    <w:basedOn w:val="1"/>
    <w:next w:val="1"/>
    <w:qFormat/>
    <w:locked/>
    <w:uiPriority w:val="0"/>
    <w:pPr>
      <w:ind w:left="1680"/>
      <w:jc w:val="left"/>
    </w:pPr>
    <w:rPr>
      <w:szCs w:val="24"/>
    </w:rPr>
  </w:style>
  <w:style w:type="paragraph" w:styleId="29">
    <w:name w:val="Body Text 2"/>
    <w:basedOn w:val="1"/>
    <w:link w:val="59"/>
    <w:qFormat/>
    <w:uiPriority w:val="0"/>
    <w:pPr>
      <w:snapToGrid w:val="0"/>
      <w:spacing w:line="14" w:lineRule="exact"/>
    </w:pPr>
    <w:rPr>
      <w:rFonts w:ascii="楷体_GB2312" w:eastAsia="楷体_GB2312"/>
      <w:sz w:val="28"/>
    </w:rPr>
  </w:style>
  <w:style w:type="paragraph" w:styleId="30">
    <w:name w:val="Normal (Web)"/>
    <w:basedOn w:val="1"/>
    <w:qFormat/>
    <w:uiPriority w:val="99"/>
    <w:pPr>
      <w:widowControl/>
      <w:suppressAutoHyphens/>
      <w:spacing w:before="280" w:after="280"/>
      <w:jc w:val="left"/>
    </w:pPr>
    <w:rPr>
      <w:rFonts w:ascii="宋体" w:hAnsi="宋体" w:cs="宋体"/>
      <w:kern w:val="0"/>
      <w:sz w:val="24"/>
      <w:szCs w:val="24"/>
      <w:lang w:eastAsia="ar-SA"/>
    </w:rPr>
  </w:style>
  <w:style w:type="paragraph" w:styleId="31">
    <w:name w:val="Title"/>
    <w:basedOn w:val="1"/>
    <w:next w:val="1"/>
    <w:link w:val="131"/>
    <w:qFormat/>
    <w:locked/>
    <w:uiPriority w:val="0"/>
    <w:pPr>
      <w:spacing w:before="240" w:after="60"/>
      <w:jc w:val="center"/>
      <w:outlineLvl w:val="0"/>
    </w:pPr>
    <w:rPr>
      <w:rFonts w:ascii="Cambria" w:hAnsi="Cambria"/>
      <w:b/>
      <w:bCs/>
      <w:sz w:val="32"/>
      <w:szCs w:val="32"/>
    </w:rPr>
  </w:style>
  <w:style w:type="paragraph" w:styleId="32">
    <w:name w:val="Body Text First Indent"/>
    <w:basedOn w:val="11"/>
    <w:link w:val="66"/>
    <w:qFormat/>
    <w:uiPriority w:val="0"/>
    <w:pPr>
      <w:spacing w:after="120" w:line="240" w:lineRule="auto"/>
      <w:ind w:firstLine="420" w:firstLineChars="100"/>
    </w:pPr>
    <w:rPr>
      <w:sz w:val="21"/>
    </w:rPr>
  </w:style>
  <w:style w:type="table" w:styleId="34">
    <w:name w:val="Table Grid"/>
    <w:basedOn w:val="33"/>
    <w:qFormat/>
    <w:locked/>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Strong"/>
    <w:qFormat/>
    <w:locked/>
    <w:uiPriority w:val="22"/>
    <w:rPr>
      <w:b/>
      <w:bCs/>
    </w:rPr>
  </w:style>
  <w:style w:type="character" w:styleId="37">
    <w:name w:val="page number"/>
    <w:qFormat/>
    <w:uiPriority w:val="0"/>
  </w:style>
  <w:style w:type="character" w:styleId="38">
    <w:name w:val="FollowedHyperlink"/>
    <w:basedOn w:val="35"/>
    <w:unhideWhenUsed/>
    <w:qFormat/>
    <w:uiPriority w:val="99"/>
    <w:rPr>
      <w:color w:val="003366"/>
      <w:u w:val="none"/>
    </w:rPr>
  </w:style>
  <w:style w:type="character" w:styleId="39">
    <w:name w:val="Emphasis"/>
    <w:basedOn w:val="35"/>
    <w:qFormat/>
    <w:locked/>
    <w:uiPriority w:val="0"/>
  </w:style>
  <w:style w:type="character" w:styleId="40">
    <w:name w:val="Hyperlink"/>
    <w:basedOn w:val="35"/>
    <w:qFormat/>
    <w:uiPriority w:val="99"/>
    <w:rPr>
      <w:color w:val="003366"/>
      <w:u w:val="none"/>
    </w:rPr>
  </w:style>
  <w:style w:type="character" w:customStyle="1" w:styleId="41">
    <w:name w:val="标题 2 字符"/>
    <w:link w:val="3"/>
    <w:qFormat/>
    <w:locked/>
    <w:uiPriority w:val="0"/>
    <w:rPr>
      <w:rFonts w:ascii="Cambria" w:hAnsi="Cambria" w:eastAsia="宋体" w:cs="Times New Roman"/>
      <w:b/>
      <w:bCs/>
      <w:sz w:val="32"/>
      <w:szCs w:val="32"/>
    </w:rPr>
  </w:style>
  <w:style w:type="character" w:customStyle="1" w:styleId="42">
    <w:name w:val="标题 3 字符"/>
    <w:link w:val="5"/>
    <w:qFormat/>
    <w:locked/>
    <w:uiPriority w:val="0"/>
    <w:rPr>
      <w:rFonts w:ascii="Times New Roman" w:hAnsi="Times New Roman" w:cs="Times New Roman"/>
      <w:b/>
      <w:bCs/>
      <w:sz w:val="32"/>
      <w:szCs w:val="32"/>
    </w:rPr>
  </w:style>
  <w:style w:type="character" w:customStyle="1" w:styleId="43">
    <w:name w:val="日期 字符"/>
    <w:link w:val="17"/>
    <w:qFormat/>
    <w:locked/>
    <w:uiPriority w:val="0"/>
    <w:rPr>
      <w:rFonts w:ascii="Times New Roman" w:hAnsi="Times New Roman" w:eastAsia="宋体" w:cs="Times New Roman"/>
      <w:sz w:val="20"/>
      <w:szCs w:val="20"/>
    </w:rPr>
  </w:style>
  <w:style w:type="character" w:customStyle="1" w:styleId="44">
    <w:name w:val="Plain Text Char"/>
    <w:qFormat/>
    <w:locked/>
    <w:uiPriority w:val="99"/>
    <w:rPr>
      <w:rFonts w:ascii="宋体" w:hAnsi="Courier New"/>
    </w:rPr>
  </w:style>
  <w:style w:type="character" w:customStyle="1" w:styleId="45">
    <w:name w:val="Plain Text Char1"/>
    <w:qFormat/>
    <w:locked/>
    <w:uiPriority w:val="0"/>
    <w:rPr>
      <w:rFonts w:ascii="宋体" w:hAnsi="Courier New" w:cs="Times New Roman"/>
      <w:sz w:val="21"/>
      <w:szCs w:val="21"/>
    </w:rPr>
  </w:style>
  <w:style w:type="character" w:customStyle="1" w:styleId="46">
    <w:name w:val="纯文本 字符"/>
    <w:link w:val="15"/>
    <w:qFormat/>
    <w:locked/>
    <w:uiPriority w:val="0"/>
    <w:rPr>
      <w:rFonts w:ascii="宋体" w:hAnsi="Courier New" w:eastAsia="宋体" w:cs="Courier New"/>
      <w:sz w:val="21"/>
      <w:szCs w:val="21"/>
    </w:rPr>
  </w:style>
  <w:style w:type="character" w:customStyle="1" w:styleId="47">
    <w:name w:val="页眉 字符"/>
    <w:link w:val="21"/>
    <w:qFormat/>
    <w:locked/>
    <w:uiPriority w:val="0"/>
    <w:rPr>
      <w:rFonts w:ascii="Times New Roman" w:hAnsi="Times New Roman" w:eastAsia="宋体" w:cs="Times New Roman"/>
      <w:sz w:val="18"/>
      <w:szCs w:val="18"/>
    </w:rPr>
  </w:style>
  <w:style w:type="character" w:customStyle="1" w:styleId="48">
    <w:name w:val="页脚 字符"/>
    <w:link w:val="20"/>
    <w:qFormat/>
    <w:locked/>
    <w:uiPriority w:val="99"/>
    <w:rPr>
      <w:rFonts w:ascii="Times New Roman" w:hAnsi="Times New Roman" w:eastAsia="宋体" w:cs="Times New Roman"/>
      <w:sz w:val="18"/>
      <w:szCs w:val="18"/>
    </w:rPr>
  </w:style>
  <w:style w:type="character" w:customStyle="1" w:styleId="49">
    <w:name w:val="批注框文本 字符"/>
    <w:link w:val="19"/>
    <w:qFormat/>
    <w:locked/>
    <w:uiPriority w:val="99"/>
    <w:rPr>
      <w:rFonts w:ascii="Times New Roman" w:hAnsi="Times New Roman" w:eastAsia="宋体" w:cs="Times New Roman"/>
      <w:sz w:val="18"/>
      <w:szCs w:val="18"/>
    </w:rPr>
  </w:style>
  <w:style w:type="character" w:customStyle="1" w:styleId="50">
    <w:name w:val="Char Char"/>
    <w:qFormat/>
    <w:uiPriority w:val="99"/>
    <w:rPr>
      <w:rFonts w:ascii="宋体" w:hAnsi="Courier New" w:cs="Times New Roman"/>
      <w:kern w:val="2"/>
      <w:sz w:val="21"/>
    </w:rPr>
  </w:style>
  <w:style w:type="character" w:customStyle="1" w:styleId="51">
    <w:name w:val="正文文本缩进 3 字符"/>
    <w:link w:val="25"/>
    <w:qFormat/>
    <w:locked/>
    <w:uiPriority w:val="0"/>
    <w:rPr>
      <w:rFonts w:ascii="Times New Roman" w:hAnsi="Times New Roman" w:cs="Times New Roman"/>
      <w:sz w:val="16"/>
      <w:szCs w:val="16"/>
    </w:rPr>
  </w:style>
  <w:style w:type="character" w:customStyle="1" w:styleId="52">
    <w:name w:val="标题 1 字符"/>
    <w:link w:val="2"/>
    <w:qFormat/>
    <w:uiPriority w:val="0"/>
    <w:rPr>
      <w:rFonts w:ascii="Times New Roman" w:hAnsi="Times New Roman"/>
      <w:b/>
      <w:bCs/>
      <w:kern w:val="44"/>
      <w:sz w:val="44"/>
      <w:szCs w:val="44"/>
    </w:rPr>
  </w:style>
  <w:style w:type="character" w:customStyle="1" w:styleId="53">
    <w:name w:val="标题 4 字符"/>
    <w:link w:val="6"/>
    <w:qFormat/>
    <w:uiPriority w:val="0"/>
    <w:rPr>
      <w:rFonts w:ascii="??_GB2312" w:hAnsi="??_GB2312" w:eastAsia="Times New Roman"/>
      <w:bCs/>
      <w:sz w:val="28"/>
      <w:szCs w:val="28"/>
      <w:lang w:val="zh-CN" w:eastAsia="ar-SA"/>
    </w:rPr>
  </w:style>
  <w:style w:type="character" w:customStyle="1" w:styleId="54">
    <w:name w:val="标题 5 字符"/>
    <w:link w:val="7"/>
    <w:qFormat/>
    <w:uiPriority w:val="0"/>
    <w:rPr>
      <w:b/>
      <w:bCs/>
      <w:kern w:val="2"/>
      <w:sz w:val="28"/>
      <w:szCs w:val="28"/>
    </w:rPr>
  </w:style>
  <w:style w:type="character" w:customStyle="1" w:styleId="55">
    <w:name w:val="结束语 字符"/>
    <w:link w:val="10"/>
    <w:qFormat/>
    <w:uiPriority w:val="0"/>
    <w:rPr>
      <w:rFonts w:ascii="楷体_GB2312" w:hAnsi="Times New Roman" w:eastAsia="楷体_GB2312"/>
      <w:kern w:val="2"/>
      <w:sz w:val="28"/>
    </w:rPr>
  </w:style>
  <w:style w:type="character" w:customStyle="1" w:styleId="56">
    <w:name w:val="正文文本 字符"/>
    <w:link w:val="11"/>
    <w:qFormat/>
    <w:uiPriority w:val="0"/>
    <w:rPr>
      <w:rFonts w:ascii="Times New Roman" w:hAnsi="Times New Roman"/>
      <w:kern w:val="2"/>
      <w:sz w:val="32"/>
    </w:rPr>
  </w:style>
  <w:style w:type="character" w:customStyle="1" w:styleId="57">
    <w:name w:val="称呼 字符"/>
    <w:link w:val="9"/>
    <w:qFormat/>
    <w:uiPriority w:val="0"/>
    <w:rPr>
      <w:rFonts w:ascii="Times New Roman" w:hAnsi="Times New Roman"/>
      <w:kern w:val="2"/>
      <w:sz w:val="30"/>
    </w:rPr>
  </w:style>
  <w:style w:type="character" w:customStyle="1" w:styleId="58">
    <w:name w:val="正文文本缩进 字符"/>
    <w:link w:val="12"/>
    <w:qFormat/>
    <w:uiPriority w:val="0"/>
    <w:rPr>
      <w:rFonts w:ascii="楷体_GB2312" w:hAnsi="Times New Roman" w:eastAsia="楷体_GB2312"/>
      <w:kern w:val="2"/>
      <w:sz w:val="28"/>
    </w:rPr>
  </w:style>
  <w:style w:type="character" w:customStyle="1" w:styleId="59">
    <w:name w:val="正文文本 2 字符"/>
    <w:link w:val="29"/>
    <w:qFormat/>
    <w:uiPriority w:val="0"/>
    <w:rPr>
      <w:rFonts w:ascii="楷体_GB2312" w:hAnsi="Times New Roman" w:eastAsia="楷体_GB2312"/>
      <w:kern w:val="2"/>
      <w:sz w:val="28"/>
    </w:rPr>
  </w:style>
  <w:style w:type="character" w:customStyle="1" w:styleId="60">
    <w:name w:val="正文文本缩进 2 字符"/>
    <w:link w:val="18"/>
    <w:qFormat/>
    <w:uiPriority w:val="0"/>
    <w:rPr>
      <w:rFonts w:ascii="楷体_GB2312" w:hAnsi="Times New Roman" w:eastAsia="楷体_GB2312"/>
      <w:kern w:val="2"/>
      <w:sz w:val="24"/>
    </w:rPr>
  </w:style>
  <w:style w:type="paragraph" w:customStyle="1" w:styleId="61">
    <w:name w:val="样式1"/>
    <w:basedOn w:val="22"/>
    <w:qFormat/>
    <w:uiPriority w:val="0"/>
    <w:pPr>
      <w:spacing w:before="156" w:beforeLines="50"/>
    </w:pPr>
    <w:rPr>
      <w:spacing w:val="20"/>
      <w:sz w:val="32"/>
    </w:rPr>
  </w:style>
  <w:style w:type="paragraph" w:customStyle="1" w:styleId="62">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63">
    <w:name w:val="样式2"/>
    <w:basedOn w:val="1"/>
    <w:qFormat/>
    <w:uiPriority w:val="0"/>
    <w:pPr>
      <w:snapToGrid w:val="0"/>
      <w:spacing w:line="480" w:lineRule="exact"/>
      <w:ind w:firstLine="420" w:firstLineChars="175"/>
    </w:pPr>
    <w:rPr>
      <w:rFonts w:ascii="楷体_GB2312" w:eastAsia="楷体_GB2312"/>
      <w:sz w:val="24"/>
    </w:rPr>
  </w:style>
  <w:style w:type="paragraph" w:customStyle="1" w:styleId="64">
    <w:name w:val="Char"/>
    <w:basedOn w:val="1"/>
    <w:qFormat/>
    <w:uiPriority w:val="0"/>
    <w:rPr>
      <w:szCs w:val="24"/>
    </w:rPr>
  </w:style>
  <w:style w:type="paragraph" w:customStyle="1" w:styleId="65">
    <w:name w:val="Char1"/>
    <w:basedOn w:val="1"/>
    <w:qFormat/>
    <w:uiPriority w:val="0"/>
    <w:pPr>
      <w:widowControl/>
      <w:spacing w:after="160" w:line="240" w:lineRule="exact"/>
      <w:jc w:val="left"/>
    </w:pPr>
    <w:rPr>
      <w:rFonts w:ascii="Verdana" w:hAnsi="Verdana" w:cs="Verdana"/>
      <w:kern w:val="0"/>
      <w:sz w:val="20"/>
      <w:lang w:eastAsia="en-US"/>
    </w:rPr>
  </w:style>
  <w:style w:type="character" w:customStyle="1" w:styleId="66">
    <w:name w:val="正文文本首行缩进 字符"/>
    <w:link w:val="32"/>
    <w:qFormat/>
    <w:uiPriority w:val="0"/>
    <w:rPr>
      <w:rFonts w:ascii="Times New Roman" w:hAnsi="Times New Roman"/>
      <w:kern w:val="2"/>
      <w:sz w:val="21"/>
    </w:rPr>
  </w:style>
  <w:style w:type="paragraph" w:customStyle="1" w:styleId="67">
    <w:name w:val="zw"/>
    <w:basedOn w:val="1"/>
    <w:qFormat/>
    <w:uiPriority w:val="0"/>
    <w:pPr>
      <w:autoSpaceDE w:val="0"/>
      <w:autoSpaceDN w:val="0"/>
      <w:adjustRightInd w:val="0"/>
      <w:spacing w:line="360" w:lineRule="auto"/>
      <w:ind w:firstLine="482"/>
      <w:textAlignment w:val="bottom"/>
    </w:pPr>
    <w:rPr>
      <w:rFonts w:ascii="Arial Narrow" w:hAnsi="Arial Narrow" w:eastAsia="幼圆"/>
      <w:kern w:val="0"/>
      <w:sz w:val="24"/>
      <w:lang w:val="zh-CN" w:eastAsia="ar-SA"/>
    </w:rPr>
  </w:style>
  <w:style w:type="character" w:customStyle="1" w:styleId="68">
    <w:name w:val="批注框文本 Char1"/>
    <w:qFormat/>
    <w:uiPriority w:val="0"/>
    <w:rPr>
      <w:kern w:val="2"/>
      <w:sz w:val="18"/>
      <w:szCs w:val="18"/>
    </w:rPr>
  </w:style>
  <w:style w:type="character" w:customStyle="1" w:styleId="69">
    <w:name w:val="m_481"/>
    <w:qFormat/>
    <w:uiPriority w:val="0"/>
  </w:style>
  <w:style w:type="character" w:customStyle="1" w:styleId="70">
    <w:name w:val="m_91"/>
    <w:qFormat/>
    <w:uiPriority w:val="0"/>
  </w:style>
  <w:style w:type="character" w:customStyle="1" w:styleId="71">
    <w:name w:val="m_311"/>
    <w:qFormat/>
    <w:uiPriority w:val="0"/>
  </w:style>
  <w:style w:type="character" w:customStyle="1" w:styleId="72">
    <w:name w:val="til1"/>
    <w:qFormat/>
    <w:uiPriority w:val="0"/>
  </w:style>
  <w:style w:type="character" w:customStyle="1" w:styleId="73">
    <w:name w:val="m_110"/>
    <w:qFormat/>
    <w:uiPriority w:val="0"/>
  </w:style>
  <w:style w:type="character" w:customStyle="1" w:styleId="74">
    <w:name w:val="m_141"/>
    <w:qFormat/>
    <w:uiPriority w:val="0"/>
  </w:style>
  <w:style w:type="paragraph" w:customStyle="1" w:styleId="75">
    <w:name w:val="xl2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76">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Arial Unicode MS" w:hAnsi="Arial Unicode MS" w:eastAsia="Arial Unicode MS" w:cs="Arial Unicode MS"/>
      <w:kern w:val="0"/>
      <w:sz w:val="24"/>
      <w:szCs w:val="24"/>
    </w:rPr>
  </w:style>
  <w:style w:type="paragraph" w:customStyle="1" w:styleId="77">
    <w:name w:val="xl2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78">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79">
    <w:name w:val="Char Char Char1 Char Char Char Char"/>
    <w:basedOn w:val="1"/>
    <w:qFormat/>
    <w:uiPriority w:val="0"/>
    <w:rPr>
      <w:rFonts w:ascii="楷体_GB2312" w:eastAsia="楷体_GB2312"/>
      <w:sz w:val="32"/>
      <w:szCs w:val="24"/>
    </w:rPr>
  </w:style>
  <w:style w:type="paragraph" w:customStyle="1" w:styleId="80">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81">
    <w:name w:val="font0"/>
    <w:basedOn w:val="1"/>
    <w:qFormat/>
    <w:uiPriority w:val="0"/>
    <w:pPr>
      <w:widowControl/>
      <w:spacing w:before="100" w:beforeAutospacing="1" w:after="100" w:afterAutospacing="1"/>
      <w:jc w:val="left"/>
    </w:pPr>
    <w:rPr>
      <w:rFonts w:hint="eastAsia" w:ascii="宋体" w:hAnsi="宋体" w:cs="Arial Unicode MS"/>
      <w:kern w:val="0"/>
      <w:sz w:val="24"/>
      <w:szCs w:val="24"/>
    </w:rPr>
  </w:style>
  <w:style w:type="paragraph" w:customStyle="1" w:styleId="82">
    <w:name w:val="xl3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eastAsia="Arial Unicode MS"/>
      <w:kern w:val="0"/>
      <w:sz w:val="24"/>
      <w:szCs w:val="24"/>
    </w:rPr>
  </w:style>
  <w:style w:type="paragraph" w:customStyle="1" w:styleId="83">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84">
    <w:name w:val="font6"/>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85">
    <w:name w:val="font5"/>
    <w:basedOn w:val="1"/>
    <w:qFormat/>
    <w:uiPriority w:val="0"/>
    <w:pPr>
      <w:widowControl/>
      <w:spacing w:before="100" w:beforeAutospacing="1" w:after="100" w:afterAutospacing="1"/>
      <w:jc w:val="left"/>
    </w:pPr>
    <w:rPr>
      <w:rFonts w:hint="eastAsia" w:ascii="宋体" w:hAnsi="宋体" w:cs="Arial Unicode MS"/>
      <w:kern w:val="0"/>
      <w:sz w:val="24"/>
      <w:szCs w:val="24"/>
    </w:rPr>
  </w:style>
  <w:style w:type="paragraph" w:customStyle="1" w:styleId="86">
    <w:name w:val="xl3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87">
    <w:name w:val="四号仿宋28磅"/>
    <w:basedOn w:val="1"/>
    <w:qFormat/>
    <w:uiPriority w:val="0"/>
    <w:pPr>
      <w:spacing w:line="560" w:lineRule="exact"/>
      <w:ind w:firstLine="200" w:firstLineChars="200"/>
    </w:pPr>
    <w:rPr>
      <w:rFonts w:ascii="仿宋_GB2312" w:eastAsia="仿宋_GB2312"/>
      <w:sz w:val="28"/>
    </w:rPr>
  </w:style>
  <w:style w:type="paragraph" w:customStyle="1" w:styleId="88">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89">
    <w:name w:val="xl3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eastAsia="Arial Unicode MS"/>
      <w:kern w:val="0"/>
      <w:sz w:val="24"/>
      <w:szCs w:val="24"/>
    </w:rPr>
  </w:style>
  <w:style w:type="paragraph" w:customStyle="1" w:styleId="90">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Arial Unicode MS" w:hAnsi="Arial Unicode MS" w:eastAsia="Arial Unicode MS" w:cs="Arial Unicode MS"/>
      <w:kern w:val="0"/>
      <w:sz w:val="24"/>
      <w:szCs w:val="24"/>
    </w:rPr>
  </w:style>
  <w:style w:type="paragraph" w:customStyle="1" w:styleId="91">
    <w:name w:val="xl34"/>
    <w:basedOn w:val="1"/>
    <w:qFormat/>
    <w:uiPriority w:val="0"/>
    <w:pPr>
      <w:widowControl/>
      <w:pBdr>
        <w:top w:val="single" w:color="auto" w:sz="4" w:space="0"/>
        <w:left w:val="single" w:color="auto" w:sz="4" w:space="0"/>
        <w:bottom w:val="single" w:color="auto" w:sz="4" w:space="0"/>
      </w:pBdr>
      <w:spacing w:before="100" w:beforeAutospacing="1" w:after="100" w:afterAutospacing="1"/>
    </w:pPr>
    <w:rPr>
      <w:rFonts w:ascii="Arial Unicode MS" w:hAnsi="Arial Unicode MS" w:eastAsia="Arial Unicode MS" w:cs="Arial Unicode MS"/>
      <w:kern w:val="0"/>
      <w:sz w:val="24"/>
      <w:szCs w:val="24"/>
    </w:rPr>
  </w:style>
  <w:style w:type="paragraph" w:customStyle="1" w:styleId="92">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Arial Unicode MS" w:hAnsi="Arial Unicode MS" w:eastAsia="Arial Unicode MS" w:cs="Arial Unicode MS"/>
      <w:kern w:val="0"/>
      <w:sz w:val="24"/>
      <w:szCs w:val="24"/>
    </w:rPr>
  </w:style>
  <w:style w:type="paragraph" w:customStyle="1" w:styleId="93">
    <w:name w:val="font7"/>
    <w:basedOn w:val="1"/>
    <w:qFormat/>
    <w:uiPriority w:val="0"/>
    <w:pPr>
      <w:widowControl/>
      <w:spacing w:before="100" w:beforeAutospacing="1" w:after="100" w:afterAutospacing="1"/>
      <w:jc w:val="left"/>
    </w:pPr>
    <w:rPr>
      <w:rFonts w:eastAsia="Arial Unicode MS"/>
      <w:kern w:val="0"/>
      <w:sz w:val="24"/>
      <w:szCs w:val="24"/>
    </w:rPr>
  </w:style>
  <w:style w:type="paragraph" w:customStyle="1" w:styleId="94">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Arial Unicode MS" w:hAnsi="Arial Unicode MS" w:eastAsia="Arial Unicode MS" w:cs="Arial Unicode MS"/>
      <w:kern w:val="0"/>
      <w:szCs w:val="21"/>
    </w:rPr>
  </w:style>
  <w:style w:type="paragraph" w:customStyle="1" w:styleId="95">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Arial Unicode MS"/>
      <w:kern w:val="0"/>
      <w:sz w:val="24"/>
      <w:szCs w:val="24"/>
    </w:rPr>
  </w:style>
  <w:style w:type="paragraph" w:customStyle="1" w:styleId="96">
    <w:name w:val="font1"/>
    <w:basedOn w:val="1"/>
    <w:qFormat/>
    <w:uiPriority w:val="0"/>
    <w:pPr>
      <w:widowControl/>
      <w:spacing w:before="100" w:beforeAutospacing="1" w:after="100" w:afterAutospacing="1"/>
      <w:jc w:val="left"/>
    </w:pPr>
    <w:rPr>
      <w:rFonts w:hint="eastAsia" w:ascii="宋体" w:hAnsi="宋体" w:cs="Arial Unicode MS"/>
      <w:kern w:val="0"/>
      <w:sz w:val="24"/>
      <w:szCs w:val="24"/>
    </w:rPr>
  </w:style>
  <w:style w:type="paragraph" w:customStyle="1" w:styleId="97">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98">
    <w:name w:val="xl29"/>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99">
    <w:name w:val="xl67"/>
    <w:basedOn w:val="1"/>
    <w:qFormat/>
    <w:uiPriority w:val="0"/>
    <w:pPr>
      <w:widowControl/>
      <w:spacing w:before="100" w:beforeAutospacing="1" w:after="100" w:afterAutospacing="1"/>
      <w:jc w:val="left"/>
    </w:pPr>
    <w:rPr>
      <w:rFonts w:ascii="宋体" w:hAnsi="宋体" w:cs="宋体"/>
      <w:b/>
      <w:bCs/>
      <w:kern w:val="0"/>
      <w:sz w:val="24"/>
      <w:szCs w:val="24"/>
    </w:rPr>
  </w:style>
  <w:style w:type="paragraph" w:customStyle="1" w:styleId="100">
    <w:name w:val="xl68"/>
    <w:basedOn w:val="1"/>
    <w:qFormat/>
    <w:uiPriority w:val="0"/>
    <w:pPr>
      <w:widowControl/>
      <w:shd w:val="clear" w:color="000000" w:fill="FFFFFF"/>
      <w:spacing w:before="100" w:beforeAutospacing="1" w:after="100" w:afterAutospacing="1"/>
      <w:jc w:val="left"/>
    </w:pPr>
    <w:rPr>
      <w:rFonts w:ascii="宋体" w:hAnsi="宋体" w:cs="宋体"/>
      <w:kern w:val="0"/>
      <w:sz w:val="24"/>
      <w:szCs w:val="24"/>
    </w:rPr>
  </w:style>
  <w:style w:type="paragraph" w:customStyle="1" w:styleId="101">
    <w:name w:val="xl69"/>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02">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4"/>
      <w:szCs w:val="24"/>
    </w:rPr>
  </w:style>
  <w:style w:type="paragraph" w:customStyle="1" w:styleId="103">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4"/>
      <w:szCs w:val="24"/>
    </w:rPr>
  </w:style>
  <w:style w:type="paragraph" w:customStyle="1" w:styleId="104">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_GB2312" w:hAnsi="宋体" w:eastAsia="仿宋_GB2312" w:cs="宋体"/>
      <w:kern w:val="0"/>
      <w:sz w:val="24"/>
      <w:szCs w:val="24"/>
    </w:rPr>
  </w:style>
  <w:style w:type="paragraph" w:customStyle="1" w:styleId="105">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_GB2312" w:hAnsi="宋体" w:eastAsia="仿宋_GB2312" w:cs="宋体"/>
      <w:kern w:val="0"/>
      <w:sz w:val="24"/>
      <w:szCs w:val="24"/>
    </w:rPr>
  </w:style>
  <w:style w:type="paragraph" w:customStyle="1" w:styleId="106">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szCs w:val="24"/>
    </w:rPr>
  </w:style>
  <w:style w:type="paragraph" w:customStyle="1" w:styleId="107">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szCs w:val="24"/>
    </w:rPr>
  </w:style>
  <w:style w:type="paragraph" w:customStyle="1" w:styleId="108">
    <w:name w:val="xl76"/>
    <w:basedOn w:val="1"/>
    <w:qFormat/>
    <w:uiPriority w:val="0"/>
    <w:pPr>
      <w:widowControl/>
      <w:spacing w:before="100" w:beforeAutospacing="1" w:after="100" w:afterAutospacing="1"/>
      <w:jc w:val="center"/>
    </w:pPr>
    <w:rPr>
      <w:rFonts w:ascii="仿宋_GB2312" w:hAnsi="宋体" w:eastAsia="仿宋_GB2312" w:cs="宋体"/>
      <w:kern w:val="0"/>
      <w:sz w:val="24"/>
      <w:szCs w:val="24"/>
    </w:rPr>
  </w:style>
  <w:style w:type="paragraph" w:customStyle="1" w:styleId="109">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4"/>
      <w:szCs w:val="24"/>
    </w:rPr>
  </w:style>
  <w:style w:type="paragraph" w:customStyle="1" w:styleId="110">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4"/>
      <w:szCs w:val="24"/>
    </w:rPr>
  </w:style>
  <w:style w:type="paragraph" w:customStyle="1" w:styleId="111">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szCs w:val="24"/>
    </w:rPr>
  </w:style>
  <w:style w:type="paragraph" w:customStyle="1" w:styleId="112">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szCs w:val="24"/>
    </w:rPr>
  </w:style>
  <w:style w:type="paragraph" w:customStyle="1" w:styleId="113">
    <w:name w:val="xl81"/>
    <w:basedOn w:val="1"/>
    <w:qFormat/>
    <w:uiPriority w:val="0"/>
    <w:pPr>
      <w:widowControl/>
      <w:spacing w:before="100" w:beforeAutospacing="1" w:after="100" w:afterAutospacing="1"/>
      <w:jc w:val="center"/>
    </w:pPr>
    <w:rPr>
      <w:rFonts w:ascii="仿宋_GB2312" w:hAnsi="宋体" w:eastAsia="仿宋_GB2312" w:cs="宋体"/>
      <w:kern w:val="0"/>
      <w:sz w:val="24"/>
      <w:szCs w:val="24"/>
    </w:rPr>
  </w:style>
  <w:style w:type="paragraph" w:customStyle="1" w:styleId="114">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4"/>
      <w:szCs w:val="24"/>
    </w:rPr>
  </w:style>
  <w:style w:type="paragraph" w:customStyle="1" w:styleId="115">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4"/>
      <w:szCs w:val="24"/>
    </w:rPr>
  </w:style>
  <w:style w:type="paragraph" w:customStyle="1" w:styleId="116">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szCs w:val="24"/>
    </w:rPr>
  </w:style>
  <w:style w:type="paragraph" w:customStyle="1" w:styleId="117">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szCs w:val="24"/>
    </w:rPr>
  </w:style>
  <w:style w:type="paragraph" w:customStyle="1" w:styleId="118">
    <w:name w:val="xl86"/>
    <w:basedOn w:val="1"/>
    <w:qFormat/>
    <w:uiPriority w:val="0"/>
    <w:pPr>
      <w:widowControl/>
      <w:spacing w:before="100" w:beforeAutospacing="1" w:after="100" w:afterAutospacing="1"/>
      <w:jc w:val="center"/>
    </w:pPr>
    <w:rPr>
      <w:rFonts w:ascii="仿宋_GB2312" w:hAnsi="宋体" w:eastAsia="仿宋_GB2312" w:cs="宋体"/>
      <w:kern w:val="0"/>
      <w:sz w:val="24"/>
      <w:szCs w:val="24"/>
    </w:rPr>
  </w:style>
  <w:style w:type="paragraph" w:customStyle="1" w:styleId="119">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cs="宋体"/>
      <w:kern w:val="0"/>
      <w:sz w:val="24"/>
      <w:szCs w:val="24"/>
    </w:rPr>
  </w:style>
  <w:style w:type="paragraph" w:customStyle="1" w:styleId="120">
    <w:name w:val="xl8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szCs w:val="24"/>
    </w:rPr>
  </w:style>
  <w:style w:type="paragraph" w:customStyle="1" w:styleId="121">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4"/>
      <w:szCs w:val="24"/>
    </w:rPr>
  </w:style>
  <w:style w:type="paragraph" w:customStyle="1" w:styleId="122">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4"/>
      <w:szCs w:val="24"/>
    </w:rPr>
  </w:style>
  <w:style w:type="paragraph" w:customStyle="1" w:styleId="123">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szCs w:val="24"/>
    </w:rPr>
  </w:style>
  <w:style w:type="paragraph" w:customStyle="1" w:styleId="124">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szCs w:val="24"/>
    </w:rPr>
  </w:style>
  <w:style w:type="paragraph" w:customStyle="1" w:styleId="125">
    <w:name w:val="xl93"/>
    <w:basedOn w:val="1"/>
    <w:qFormat/>
    <w:uiPriority w:val="0"/>
    <w:pPr>
      <w:widowControl/>
      <w:spacing w:before="100" w:beforeAutospacing="1" w:after="100" w:afterAutospacing="1"/>
      <w:jc w:val="center"/>
    </w:pPr>
    <w:rPr>
      <w:rFonts w:ascii="仿宋_GB2312" w:hAnsi="宋体" w:eastAsia="仿宋_GB2312" w:cs="宋体"/>
      <w:kern w:val="0"/>
      <w:sz w:val="24"/>
      <w:szCs w:val="24"/>
    </w:rPr>
  </w:style>
  <w:style w:type="paragraph" w:customStyle="1" w:styleId="126">
    <w:name w:val="xl94"/>
    <w:basedOn w:val="1"/>
    <w:qFormat/>
    <w:uiPriority w:val="0"/>
    <w:pPr>
      <w:widowControl/>
      <w:spacing w:before="100" w:beforeAutospacing="1" w:after="100" w:afterAutospacing="1"/>
      <w:jc w:val="center"/>
    </w:pPr>
    <w:rPr>
      <w:rFonts w:ascii="仿宋_GB2312" w:hAnsi="宋体" w:eastAsia="仿宋_GB2312" w:cs="宋体"/>
      <w:kern w:val="0"/>
      <w:sz w:val="24"/>
      <w:szCs w:val="24"/>
    </w:rPr>
  </w:style>
  <w:style w:type="character" w:customStyle="1" w:styleId="127">
    <w:name w:val="Char Char13"/>
    <w:qFormat/>
    <w:uiPriority w:val="0"/>
    <w:rPr>
      <w:rFonts w:ascii="仿宋_GB2312" w:eastAsia="仿宋_GB2312"/>
      <w:kern w:val="2"/>
      <w:sz w:val="28"/>
      <w:lang w:val="en-US" w:eastAsia="zh-CN" w:bidi="ar-SA"/>
    </w:rPr>
  </w:style>
  <w:style w:type="table" w:customStyle="1" w:styleId="128">
    <w:name w:val="000"/>
    <w:basedOn w:val="33"/>
    <w:qFormat/>
    <w:uiPriority w:val="0"/>
    <w:tblPr>
      <w:tblBorders>
        <w:top w:val="single" w:color="auto" w:sz="8" w:space="0"/>
        <w:bottom w:val="single" w:color="auto" w:sz="8" w:space="0"/>
        <w:insideH w:val="single" w:color="auto" w:sz="4" w:space="0"/>
        <w:insideV w:val="single" w:color="auto" w:sz="4" w:space="0"/>
      </w:tblBorders>
    </w:tblPr>
  </w:style>
  <w:style w:type="character" w:customStyle="1" w:styleId="129">
    <w:name w:val="apple-converted-space"/>
    <w:qFormat/>
    <w:uiPriority w:val="0"/>
  </w:style>
  <w:style w:type="paragraph" w:customStyle="1" w:styleId="130">
    <w:name w:val="列出段落1"/>
    <w:basedOn w:val="1"/>
    <w:qFormat/>
    <w:uiPriority w:val="34"/>
    <w:pPr>
      <w:ind w:firstLine="420" w:firstLineChars="200"/>
    </w:pPr>
  </w:style>
  <w:style w:type="character" w:customStyle="1" w:styleId="131">
    <w:name w:val="标题 字符"/>
    <w:link w:val="31"/>
    <w:qFormat/>
    <w:uiPriority w:val="0"/>
    <w:rPr>
      <w:rFonts w:ascii="Cambria" w:hAnsi="Cambria" w:cs="Times New Roman"/>
      <w:b/>
      <w:bCs/>
      <w:kern w:val="2"/>
      <w:sz w:val="32"/>
      <w:szCs w:val="32"/>
    </w:rPr>
  </w:style>
  <w:style w:type="character" w:customStyle="1" w:styleId="132">
    <w:name w:val="font31"/>
    <w:qFormat/>
    <w:uiPriority w:val="0"/>
    <w:rPr>
      <w:rFonts w:hint="default" w:ascii="楷体_GB2312" w:eastAsia="楷体_GB2312" w:cs="楷体_GB2312"/>
      <w:color w:val="000000"/>
      <w:sz w:val="21"/>
      <w:szCs w:val="21"/>
      <w:u w:val="none"/>
    </w:rPr>
  </w:style>
  <w:style w:type="paragraph" w:customStyle="1" w:styleId="133">
    <w:name w:val="Char3"/>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34">
    <w:name w:val="Char31"/>
    <w:basedOn w:val="1"/>
    <w:qFormat/>
    <w:uiPriority w:val="0"/>
    <w:pPr>
      <w:widowControl/>
      <w:spacing w:after="160" w:line="240" w:lineRule="exact"/>
      <w:jc w:val="left"/>
    </w:pPr>
    <w:rPr>
      <w:rFonts w:ascii="Verdana" w:hAnsi="Verdana" w:eastAsia="仿宋_GB2312"/>
      <w:kern w:val="0"/>
      <w:sz w:val="24"/>
      <w:lang w:eastAsia="en-US"/>
    </w:rPr>
  </w:style>
  <w:style w:type="paragraph" w:styleId="135">
    <w:name w:val="List Paragraph"/>
    <w:basedOn w:val="1"/>
    <w:qFormat/>
    <w:uiPriority w:val="0"/>
    <w:pPr>
      <w:ind w:firstLine="420" w:firstLineChars="200"/>
    </w:pPr>
  </w:style>
  <w:style w:type="paragraph" w:customStyle="1" w:styleId="136">
    <w:name w:val="1"/>
    <w:qFormat/>
    <w:uiPriority w:val="99"/>
    <w:rPr>
      <w:rFonts w:ascii="Calibri" w:hAnsi="Calibri" w:eastAsia="宋体" w:cs="Times New Roman"/>
      <w:lang w:val="en-US" w:eastAsia="zh-CN" w:bidi="ar-SA"/>
    </w:rPr>
  </w:style>
  <w:style w:type="paragraph" w:customStyle="1" w:styleId="137">
    <w:name w:val="TOC 标题2"/>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138">
    <w:name w:val="纯文本 Char2"/>
    <w:qFormat/>
    <w:uiPriority w:val="0"/>
    <w:rPr>
      <w:rFonts w:ascii="宋体" w:hAnsi="Courier New"/>
      <w:kern w:val="2"/>
      <w:sz w:val="21"/>
    </w:rPr>
  </w:style>
  <w:style w:type="character" w:customStyle="1" w:styleId="139">
    <w:name w:val="正文缩进 字符"/>
    <w:link w:val="4"/>
    <w:qFormat/>
    <w:uiPriority w:val="0"/>
    <w:rPr>
      <w:rFonts w:eastAsia="楷体_GB2312"/>
      <w:kern w:val="2"/>
      <w:sz w:val="28"/>
    </w:rPr>
  </w:style>
  <w:style w:type="character" w:customStyle="1" w:styleId="140">
    <w:name w:val="标题 Char1"/>
    <w:qFormat/>
    <w:uiPriority w:val="0"/>
    <w:rPr>
      <w:rFonts w:ascii="Cambria" w:hAnsi="Cambria" w:cs="Times New Roman"/>
      <w:b/>
      <w:bCs/>
      <w:kern w:val="2"/>
      <w:sz w:val="32"/>
      <w:szCs w:val="32"/>
    </w:rPr>
  </w:style>
  <w:style w:type="character" w:customStyle="1" w:styleId="141">
    <w:name w:val="纯文本 字符1"/>
    <w:qFormat/>
    <w:locked/>
    <w:uiPriority w:val="0"/>
    <w:rPr>
      <w:rFonts w:ascii="宋体" w:hAnsi="Courier New"/>
    </w:rPr>
  </w:style>
  <w:style w:type="character" w:customStyle="1" w:styleId="142">
    <w:name w:val="称呼 字符1"/>
    <w:qFormat/>
    <w:uiPriority w:val="99"/>
    <w:rPr>
      <w:kern w:val="2"/>
      <w:sz w:val="30"/>
    </w:rPr>
  </w:style>
  <w:style w:type="paragraph" w:customStyle="1" w:styleId="143">
    <w:name w:val="修订1"/>
    <w:hidden/>
    <w:semiHidden/>
    <w:qFormat/>
    <w:uiPriority w:val="99"/>
    <w:rPr>
      <w:rFonts w:ascii="Times New Roman" w:hAnsi="Times New Roman" w:eastAsia="宋体" w:cs="Times New Roman"/>
      <w:kern w:val="2"/>
      <w:sz w:val="21"/>
      <w:lang w:val="en-US" w:eastAsia="zh-CN" w:bidi="ar-SA"/>
    </w:rPr>
  </w:style>
  <w:style w:type="character" w:customStyle="1" w:styleId="144">
    <w:name w:val="标题 字符1"/>
    <w:qFormat/>
    <w:uiPriority w:val="0"/>
    <w:rPr>
      <w:rFonts w:ascii="Cambria" w:hAnsi="Cambria"/>
      <w:b/>
      <w:bCs/>
      <w:kern w:val="2"/>
      <w:sz w:val="32"/>
      <w:szCs w:val="32"/>
    </w:rPr>
  </w:style>
  <w:style w:type="character" w:customStyle="1" w:styleId="145">
    <w:name w:val="font21"/>
    <w:basedOn w:val="35"/>
    <w:qFormat/>
    <w:uiPriority w:val="0"/>
    <w:rPr>
      <w:rFonts w:hint="eastAsia" w:ascii="楷体_GB2312" w:eastAsia="楷体_GB2312" w:cs="楷体_GB2312"/>
      <w:color w:val="000000"/>
      <w:sz w:val="22"/>
      <w:szCs w:val="22"/>
      <w:u w:val="none"/>
    </w:rPr>
  </w:style>
  <w:style w:type="character" w:customStyle="1" w:styleId="146">
    <w:name w:val="font41"/>
    <w:basedOn w:val="35"/>
    <w:qFormat/>
    <w:uiPriority w:val="0"/>
    <w:rPr>
      <w:rFonts w:hint="eastAsia" w:ascii="宋体" w:hAnsi="宋体" w:eastAsia="宋体" w:cs="宋体"/>
      <w:color w:val="000000"/>
      <w:sz w:val="22"/>
      <w:szCs w:val="22"/>
      <w:u w:val="none"/>
    </w:rPr>
  </w:style>
  <w:style w:type="character" w:customStyle="1" w:styleId="147">
    <w:name w:val="icon"/>
    <w:basedOn w:val="35"/>
    <w:qFormat/>
    <w:uiPriority w:val="0"/>
  </w:style>
  <w:style w:type="character" w:customStyle="1" w:styleId="148">
    <w:name w:val="icon1"/>
    <w:basedOn w:val="35"/>
    <w:qFormat/>
    <w:uiPriority w:val="0"/>
  </w:style>
  <w:style w:type="character" w:customStyle="1" w:styleId="149">
    <w:name w:val="icon2"/>
    <w:basedOn w:val="35"/>
    <w:qFormat/>
    <w:uiPriority w:val="0"/>
  </w:style>
  <w:style w:type="character" w:customStyle="1" w:styleId="150">
    <w:name w:val="icon3"/>
    <w:basedOn w:val="35"/>
    <w:qFormat/>
    <w:uiPriority w:val="0"/>
  </w:style>
  <w:style w:type="character" w:customStyle="1" w:styleId="151">
    <w:name w:val="icon4"/>
    <w:basedOn w:val="35"/>
    <w:qFormat/>
    <w:uiPriority w:val="0"/>
  </w:style>
  <w:style w:type="character" w:customStyle="1" w:styleId="152">
    <w:name w:val="icon5"/>
    <w:basedOn w:val="35"/>
    <w:qFormat/>
    <w:uiPriority w:val="0"/>
  </w:style>
  <w:style w:type="character" w:customStyle="1" w:styleId="153">
    <w:name w:val="icon6"/>
    <w:basedOn w:val="35"/>
    <w:qFormat/>
    <w:uiPriority w:val="0"/>
  </w:style>
  <w:style w:type="character" w:customStyle="1" w:styleId="154">
    <w:name w:val="icon7"/>
    <w:basedOn w:val="35"/>
    <w:qFormat/>
    <w:uiPriority w:val="0"/>
  </w:style>
  <w:style w:type="character" w:customStyle="1" w:styleId="155">
    <w:name w:val="icon8"/>
    <w:basedOn w:val="35"/>
    <w:qFormat/>
    <w:uiPriority w:val="0"/>
  </w:style>
  <w:style w:type="character" w:customStyle="1" w:styleId="156">
    <w:name w:val="icon9"/>
    <w:basedOn w:val="35"/>
    <w:qFormat/>
    <w:uiPriority w:val="0"/>
  </w:style>
  <w:style w:type="character" w:customStyle="1" w:styleId="157">
    <w:name w:val="icon10"/>
    <w:basedOn w:val="35"/>
    <w:qFormat/>
    <w:uiPriority w:val="0"/>
  </w:style>
  <w:style w:type="character" w:customStyle="1" w:styleId="158">
    <w:name w:val="icon11"/>
    <w:basedOn w:val="35"/>
    <w:qFormat/>
    <w:uiPriority w:val="0"/>
  </w:style>
  <w:style w:type="character" w:customStyle="1" w:styleId="159">
    <w:name w:val="icon12"/>
    <w:basedOn w:val="35"/>
    <w:qFormat/>
    <w:uiPriority w:val="0"/>
  </w:style>
  <w:style w:type="character" w:customStyle="1" w:styleId="160">
    <w:name w:val="button"/>
    <w:basedOn w:val="35"/>
    <w:qFormat/>
    <w:uiPriority w:val="0"/>
  </w:style>
  <w:style w:type="character" w:customStyle="1" w:styleId="161">
    <w:name w:val="trdrop"/>
    <w:basedOn w:val="35"/>
    <w:qFormat/>
    <w:uiPriority w:val="0"/>
  </w:style>
  <w:style w:type="character" w:customStyle="1" w:styleId="162">
    <w:name w:val="c_min"/>
    <w:basedOn w:val="35"/>
    <w:qFormat/>
    <w:uiPriority w:val="0"/>
  </w:style>
  <w:style w:type="character" w:customStyle="1" w:styleId="163">
    <w:name w:val="c_close"/>
    <w:basedOn w:val="35"/>
    <w:qFormat/>
    <w:uiPriority w:val="0"/>
  </w:style>
  <w:style w:type="character" w:customStyle="1" w:styleId="164">
    <w:name w:val="hover8"/>
    <w:basedOn w:val="35"/>
    <w:qFormat/>
    <w:uiPriority w:val="0"/>
    <w:rPr>
      <w:color w:val="317ECB"/>
    </w:rPr>
  </w:style>
  <w:style w:type="character" w:customStyle="1" w:styleId="165">
    <w:name w:val="c_max_hover"/>
    <w:basedOn w:val="35"/>
    <w:qFormat/>
    <w:uiPriority w:val="0"/>
  </w:style>
  <w:style w:type="character" w:customStyle="1" w:styleId="166">
    <w:name w:val="cdropleft"/>
    <w:basedOn w:val="35"/>
    <w:qFormat/>
    <w:uiPriority w:val="0"/>
  </w:style>
  <w:style w:type="character" w:customStyle="1" w:styleId="167">
    <w:name w:val="c_max"/>
    <w:basedOn w:val="35"/>
    <w:qFormat/>
    <w:uiPriority w:val="0"/>
  </w:style>
  <w:style w:type="character" w:customStyle="1" w:styleId="168">
    <w:name w:val="c_max1"/>
    <w:basedOn w:val="35"/>
    <w:qFormat/>
    <w:uiPriority w:val="0"/>
  </w:style>
  <w:style w:type="character" w:customStyle="1" w:styleId="169">
    <w:name w:val="c_max1_hover"/>
    <w:basedOn w:val="35"/>
    <w:qFormat/>
    <w:uiPriority w:val="0"/>
  </w:style>
  <w:style w:type="character" w:customStyle="1" w:styleId="170">
    <w:name w:val="tmpztreemove_arrow"/>
    <w:basedOn w:val="35"/>
    <w:qFormat/>
    <w:uiPriority w:val="0"/>
  </w:style>
  <w:style w:type="character" w:customStyle="1" w:styleId="171">
    <w:name w:val="cdropright"/>
    <w:basedOn w:val="35"/>
    <w:qFormat/>
    <w:uiPriority w:val="0"/>
  </w:style>
  <w:style w:type="character" w:customStyle="1" w:styleId="172">
    <w:name w:val="c_close_hover"/>
    <w:basedOn w:val="35"/>
    <w:qFormat/>
    <w:uiPriority w:val="0"/>
  </w:style>
  <w:style w:type="character" w:customStyle="1" w:styleId="173">
    <w:name w:val="c_min_hover"/>
    <w:basedOn w:val="35"/>
    <w:qFormat/>
    <w:uiPriority w:val="0"/>
  </w:style>
  <w:style w:type="character" w:customStyle="1" w:styleId="174">
    <w:name w:val="needsurvey"/>
    <w:basedOn w:val="35"/>
    <w:qFormat/>
    <w:uiPriority w:val="0"/>
    <w:rPr>
      <w:color w:val="FF0000"/>
    </w:rPr>
  </w:style>
  <w:style w:type="character" w:customStyle="1" w:styleId="175">
    <w:name w:val="needsurvey2"/>
    <w:basedOn w:val="35"/>
    <w:qFormat/>
    <w:uiPriority w:val="0"/>
    <w:rPr>
      <w:color w:val="FF0000"/>
    </w:rPr>
  </w:style>
  <w:style w:type="paragraph" w:customStyle="1" w:styleId="176">
    <w:name w:val="修订2"/>
    <w:hidden/>
    <w:unhideWhenUsed/>
    <w:qFormat/>
    <w:uiPriority w:val="99"/>
    <w:rPr>
      <w:rFonts w:ascii="Times New Roman" w:hAnsi="Times New Roman" w:eastAsia="宋体" w:cs="Times New Roman"/>
      <w:kern w:val="2"/>
      <w:sz w:val="21"/>
      <w:lang w:val="en-US" w:eastAsia="zh-CN" w:bidi="ar-SA"/>
    </w:rPr>
  </w:style>
  <w:style w:type="paragraph" w:customStyle="1" w:styleId="177">
    <w:name w:val="修订3"/>
    <w:hidden/>
    <w:semiHidden/>
    <w:qFormat/>
    <w:uiPriority w:val="99"/>
    <w:rPr>
      <w:rFonts w:ascii="Times New Roman" w:hAnsi="Times New Roman" w:eastAsia="宋体" w:cs="Times New Roman"/>
      <w:kern w:val="2"/>
      <w:sz w:val="21"/>
      <w:lang w:val="en-US" w:eastAsia="zh-CN" w:bidi="ar-SA"/>
    </w:rPr>
  </w:style>
  <w:style w:type="paragraph" w:customStyle="1" w:styleId="178">
    <w:name w:val="Revision"/>
    <w:hidden/>
    <w:unhideWhenUsed/>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7E51E6-A7BB-4161-9B00-B3B3E6F321D1}">
  <ds:schemaRefs/>
</ds:datastoreItem>
</file>

<file path=docProps/app.xml><?xml version="1.0" encoding="utf-8"?>
<Properties xmlns="http://schemas.openxmlformats.org/officeDocument/2006/extended-properties" xmlns:vt="http://schemas.openxmlformats.org/officeDocument/2006/docPropsVTypes">
  <Template>Normal</Template>
  <Company>iTianKong.com</Company>
  <Pages>14</Pages>
  <Words>7010</Words>
  <Characters>7961</Characters>
  <Lines>291</Lines>
  <Paragraphs>633</Paragraphs>
  <TotalTime>10</TotalTime>
  <ScaleCrop>false</ScaleCrop>
  <LinksUpToDate>false</LinksUpToDate>
  <CharactersWithSpaces>8246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2016-07-04T09:18:00Z</dcterms:created>
  <dc:creator>陈艳</dc:creator>
  <cp:lastModifiedBy>欧阳娟娟</cp:lastModifiedBy>
  <cp:lastPrinted>2018-01-29T02:55:00Z</cp:lastPrinted>
  <dcterms:modified xsi:type="dcterms:W3CDTF">2022-07-06T08:24:36Z</dcterms:modified>
  <dc:title>房地产抵押估价报告</dc:title>
  <cp:revision>596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B15E06546E6F4B54BF97CE636CB7A854</vt:lpwstr>
  </property>
  <property fmtid="{D5CDD505-2E9C-101B-9397-08002B2CF9AE}" pid="3" name="KSOProductBuildVer">
    <vt:lpwstr>2052-11.1.0.11830</vt:lpwstr>
  </property>
</Properties>
</file>