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420" w:leftChars="-200" w:right="-208" w:rightChars="-99"/>
        <w:rPr>
          <w:sz w:val="48"/>
          <w:szCs w:val="48"/>
        </w:rPr>
      </w:pPr>
      <w:r>
        <w:rPr>
          <w:rFonts w:hint="eastAsia"/>
          <w:sz w:val="48"/>
          <w:szCs w:val="48"/>
          <w:lang w:val="en-US" w:eastAsia="zh-CN"/>
        </w:rPr>
        <w:t xml:space="preserve">  </w:t>
      </w:r>
    </w:p>
    <w:p>
      <w:pPr>
        <w:rPr>
          <w:sz w:val="48"/>
          <w:szCs w:val="48"/>
        </w:rPr>
      </w:pPr>
    </w:p>
    <w:p>
      <w:pPr>
        <w:jc w:val="center"/>
        <w:rPr>
          <w:rFonts w:hint="eastAsia"/>
          <w:b/>
          <w:sz w:val="72"/>
          <w:szCs w:val="72"/>
          <w:lang w:val="en-US" w:eastAsia="zh-CN"/>
        </w:rPr>
      </w:pPr>
      <w:r>
        <w:rPr>
          <w:rFonts w:hint="eastAsia"/>
          <w:b/>
          <w:sz w:val="72"/>
          <w:szCs w:val="72"/>
          <w:lang w:val="en-US" w:eastAsia="zh-CN"/>
        </w:rPr>
        <w:t>涉执</w:t>
      </w:r>
      <w:r>
        <w:rPr>
          <w:b/>
          <w:sz w:val="72"/>
          <w:szCs w:val="72"/>
        </w:rPr>
        <w:t>房地产</w:t>
      </w:r>
      <w:r>
        <w:rPr>
          <w:rFonts w:hint="eastAsia"/>
          <w:b/>
          <w:sz w:val="72"/>
          <w:szCs w:val="72"/>
          <w:lang w:val="en-US" w:eastAsia="zh-CN"/>
        </w:rPr>
        <w:t>处置司法</w:t>
      </w:r>
    </w:p>
    <w:p>
      <w:pPr>
        <w:jc w:val="center"/>
        <w:rPr>
          <w:b/>
          <w:sz w:val="72"/>
          <w:szCs w:val="72"/>
        </w:rPr>
      </w:pPr>
      <w:r>
        <w:rPr>
          <w:rFonts w:hint="eastAsia"/>
          <w:b/>
          <w:sz w:val="72"/>
          <w:szCs w:val="72"/>
          <w:lang w:val="en-US" w:eastAsia="zh-CN"/>
        </w:rPr>
        <w:t>评估</w:t>
      </w:r>
      <w:r>
        <w:rPr>
          <w:b/>
          <w:sz w:val="72"/>
          <w:szCs w:val="72"/>
        </w:rPr>
        <w:t>报告</w:t>
      </w: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pStyle w:val="28"/>
        <w:rPr>
          <w:rFonts w:ascii="Times New Roman" w:hAnsi="Times New Roman" w:eastAsia="仿宋_GB2312"/>
          <w:color w:val="000000"/>
          <w:sz w:val="28"/>
        </w:rPr>
      </w:pPr>
    </w:p>
    <w:p>
      <w:pPr>
        <w:keepNext w:val="0"/>
        <w:keepLines w:val="0"/>
        <w:pageBreakBefore w:val="0"/>
        <w:widowControl w:val="0"/>
        <w:tabs>
          <w:tab w:val="left" w:pos="780"/>
        </w:tabs>
        <w:kinsoku/>
        <w:wordWrap/>
        <w:overflowPunct/>
        <w:topLinePunct w:val="0"/>
        <w:autoSpaceDE/>
        <w:autoSpaceDN/>
        <w:bidi w:val="0"/>
        <w:adjustRightInd w:val="0"/>
        <w:snapToGrid w:val="0"/>
        <w:spacing w:line="700" w:lineRule="exact"/>
        <w:ind w:left="2108" w:right="88" w:rightChars="42" w:hanging="2108" w:hangingChars="700"/>
        <w:textAlignment w:val="auto"/>
        <w:rPr>
          <w:rFonts w:ascii="宋体" w:hAnsi="宋体"/>
          <w:b/>
          <w:snapToGrid w:val="0"/>
          <w:color w:val="000000"/>
          <w:kern w:val="0"/>
          <w:sz w:val="30"/>
          <w:szCs w:val="30"/>
        </w:rPr>
      </w:pPr>
      <w:r>
        <w:rPr>
          <w:rFonts w:ascii="宋体" w:hAnsi="宋体"/>
          <w:b/>
          <w:snapToGrid w:val="0"/>
          <w:color w:val="000000"/>
          <w:kern w:val="0"/>
          <w:sz w:val="30"/>
          <w:szCs w:val="30"/>
        </w:rPr>
        <w:t>估价项目名称：</w:t>
      </w:r>
      <w:r>
        <w:rPr>
          <w:rFonts w:hint="eastAsia" w:ascii="宋体" w:hAnsi="宋体"/>
          <w:b/>
          <w:snapToGrid w:val="0"/>
          <w:color w:val="000000"/>
          <w:kern w:val="0"/>
          <w:sz w:val="30"/>
          <w:szCs w:val="30"/>
          <w:lang w:val="en-US" w:eastAsia="zh-CN"/>
        </w:rPr>
        <w:t>乌拉特中旗海流图镇</w:t>
      </w:r>
      <w:r>
        <w:rPr>
          <w:rFonts w:hint="eastAsia" w:ascii="宋体" w:hAnsi="宋体" w:cs="宋体"/>
          <w:b/>
          <w:bCs w:val="0"/>
          <w:snapToGrid w:val="0"/>
          <w:color w:val="000000"/>
          <w:kern w:val="0"/>
          <w:sz w:val="30"/>
          <w:szCs w:val="30"/>
          <w:lang w:val="en-US" w:eastAsia="zh-CN"/>
        </w:rPr>
        <w:t>花园东路边养街坊一栋四排三室</w:t>
      </w:r>
      <w:r>
        <w:rPr>
          <w:rFonts w:hint="eastAsia" w:ascii="宋体" w:hAnsi="宋体" w:eastAsia="宋体" w:cs="宋体"/>
          <w:b/>
          <w:snapToGrid w:val="0"/>
          <w:color w:val="000000"/>
          <w:kern w:val="0"/>
          <w:sz w:val="30"/>
          <w:szCs w:val="30"/>
          <w:lang w:val="en-US" w:eastAsia="zh-CN"/>
        </w:rPr>
        <w:t>属</w:t>
      </w:r>
      <w:r>
        <w:rPr>
          <w:rFonts w:hint="eastAsia" w:ascii="宋体" w:hAnsi="宋体" w:cs="宋体"/>
          <w:b/>
          <w:snapToGrid w:val="0"/>
          <w:color w:val="000000"/>
          <w:kern w:val="0"/>
          <w:sz w:val="30"/>
          <w:szCs w:val="30"/>
          <w:lang w:val="en-US" w:eastAsia="zh-CN"/>
        </w:rPr>
        <w:t>于王荣联</w:t>
      </w:r>
      <w:r>
        <w:rPr>
          <w:rFonts w:hint="eastAsia" w:ascii="宋体" w:hAnsi="宋体" w:eastAsia="宋体" w:cs="宋体"/>
          <w:b/>
          <w:snapToGrid w:val="0"/>
          <w:color w:val="000000"/>
          <w:kern w:val="0"/>
          <w:sz w:val="30"/>
          <w:szCs w:val="30"/>
          <w:lang w:val="en-US" w:eastAsia="zh-CN"/>
        </w:rPr>
        <w:t>的住宅房地</w:t>
      </w:r>
      <w:r>
        <w:rPr>
          <w:rFonts w:hint="eastAsia" w:ascii="宋体" w:hAnsi="宋体"/>
          <w:b/>
          <w:snapToGrid w:val="0"/>
          <w:color w:val="000000"/>
          <w:kern w:val="0"/>
          <w:sz w:val="30"/>
          <w:szCs w:val="30"/>
          <w:lang w:val="en-US" w:eastAsia="zh-CN"/>
        </w:rPr>
        <w:t>产</w:t>
      </w:r>
      <w:r>
        <w:rPr>
          <w:rFonts w:hint="eastAsia" w:ascii="宋体" w:hAnsi="宋体"/>
          <w:b/>
          <w:snapToGrid w:val="0"/>
          <w:color w:val="000000"/>
          <w:kern w:val="0"/>
          <w:sz w:val="30"/>
          <w:szCs w:val="30"/>
        </w:rPr>
        <w:t>市场价值评估</w:t>
      </w:r>
    </w:p>
    <w:p>
      <w:pPr>
        <w:keepNext w:val="0"/>
        <w:keepLines w:val="0"/>
        <w:pageBreakBefore w:val="0"/>
        <w:widowControl w:val="0"/>
        <w:kinsoku/>
        <w:wordWrap/>
        <w:overflowPunct/>
        <w:topLinePunct w:val="0"/>
        <w:autoSpaceDE/>
        <w:autoSpaceDN/>
        <w:bidi w:val="0"/>
        <w:adjustRightInd w:val="0"/>
        <w:snapToGrid w:val="0"/>
        <w:spacing w:line="700" w:lineRule="exact"/>
        <w:textAlignment w:val="auto"/>
        <w:rPr>
          <w:rFonts w:hint="eastAsia" w:ascii="宋体" w:hAnsi="宋体"/>
          <w:b/>
          <w:snapToGrid w:val="0"/>
          <w:color w:val="000000"/>
          <w:kern w:val="0"/>
          <w:sz w:val="30"/>
          <w:szCs w:val="30"/>
          <w:lang w:val="en-US" w:eastAsia="zh-CN"/>
        </w:rPr>
      </w:pPr>
      <w:r>
        <w:rPr>
          <w:rFonts w:hint="eastAsia" w:ascii="宋体" w:hAnsi="宋体" w:eastAsia="宋体" w:cs="宋体"/>
          <w:b/>
          <w:bCs/>
          <w:sz w:val="30"/>
          <w:szCs w:val="30"/>
        </w:rPr>
        <w:t xml:space="preserve">委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托</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人</w:t>
      </w:r>
      <w:r>
        <w:rPr>
          <w:rFonts w:hint="eastAsia" w:ascii="宋体" w:hAnsi="宋体" w:eastAsia="宋体" w:cs="宋体"/>
          <w:b/>
          <w:bCs/>
          <w:sz w:val="30"/>
          <w:szCs w:val="30"/>
        </w:rPr>
        <w:t xml:space="preserve"> ：</w:t>
      </w:r>
      <w:r>
        <w:rPr>
          <w:rFonts w:hint="eastAsia" w:ascii="宋体" w:hAnsi="宋体"/>
          <w:b/>
          <w:snapToGrid w:val="0"/>
          <w:color w:val="000000"/>
          <w:kern w:val="0"/>
          <w:sz w:val="30"/>
          <w:szCs w:val="30"/>
          <w:lang w:val="en-US" w:eastAsia="zh-CN"/>
        </w:rPr>
        <w:t>五原县人民法院</w:t>
      </w:r>
    </w:p>
    <w:p>
      <w:pPr>
        <w:keepNext w:val="0"/>
        <w:keepLines w:val="0"/>
        <w:pageBreakBefore w:val="0"/>
        <w:widowControl w:val="0"/>
        <w:kinsoku/>
        <w:wordWrap/>
        <w:overflowPunct/>
        <w:topLinePunct w:val="0"/>
        <w:autoSpaceDE/>
        <w:autoSpaceDN/>
        <w:bidi w:val="0"/>
        <w:adjustRightInd w:val="0"/>
        <w:snapToGrid w:val="0"/>
        <w:spacing w:line="700" w:lineRule="exact"/>
        <w:textAlignment w:val="auto"/>
        <w:rPr>
          <w:rFonts w:hint="eastAsia" w:ascii="宋体" w:hAnsi="宋体" w:eastAsia="宋体" w:cs="宋体"/>
          <w:b/>
          <w:bCs/>
          <w:sz w:val="30"/>
          <w:szCs w:val="30"/>
        </w:rPr>
      </w:pPr>
      <w:r>
        <w:rPr>
          <w:rFonts w:hint="eastAsia" w:ascii="宋体" w:hAnsi="宋体" w:cs="宋体"/>
          <w:b/>
          <w:bCs/>
          <w:sz w:val="30"/>
          <w:szCs w:val="30"/>
          <w:lang w:val="en-US" w:eastAsia="zh-CN"/>
        </w:rPr>
        <w:t>房地产</w:t>
      </w:r>
      <w:r>
        <w:rPr>
          <w:rFonts w:hint="eastAsia" w:ascii="宋体" w:hAnsi="宋体" w:eastAsia="宋体" w:cs="宋体"/>
          <w:b/>
          <w:bCs/>
          <w:sz w:val="30"/>
          <w:szCs w:val="30"/>
          <w:lang w:eastAsia="zh-CN"/>
        </w:rPr>
        <w:t>估价</w:t>
      </w:r>
      <w:r>
        <w:rPr>
          <w:rFonts w:hint="eastAsia" w:ascii="宋体" w:hAnsi="宋体" w:eastAsia="宋体" w:cs="宋体"/>
          <w:b/>
          <w:bCs/>
          <w:sz w:val="30"/>
          <w:szCs w:val="30"/>
        </w:rPr>
        <w:t>机构 ：内蒙古金诚房地产评估有限责任公司</w:t>
      </w:r>
    </w:p>
    <w:p>
      <w:pPr>
        <w:keepNext w:val="0"/>
        <w:keepLines w:val="0"/>
        <w:pageBreakBefore w:val="0"/>
        <w:widowControl w:val="0"/>
        <w:kinsoku/>
        <w:wordWrap/>
        <w:overflowPunct/>
        <w:topLinePunct w:val="0"/>
        <w:autoSpaceDE/>
        <w:autoSpaceDN/>
        <w:bidi w:val="0"/>
        <w:adjustRightInd w:val="0"/>
        <w:snapToGrid w:val="0"/>
        <w:spacing w:line="700" w:lineRule="exact"/>
        <w:textAlignment w:val="auto"/>
        <w:outlineLvl w:val="9"/>
        <w:rPr>
          <w:rFonts w:hint="eastAsia" w:ascii="宋体" w:hAnsi="宋体" w:eastAsia="宋体" w:cs="宋体"/>
          <w:b/>
          <w:sz w:val="30"/>
          <w:szCs w:val="30"/>
        </w:rPr>
      </w:pPr>
      <w:r>
        <w:rPr>
          <w:rFonts w:hint="eastAsia" w:ascii="宋体" w:hAnsi="宋体" w:eastAsia="宋体" w:cs="宋体"/>
          <w:b/>
          <w:color w:val="000000"/>
          <w:kern w:val="0"/>
          <w:sz w:val="30"/>
          <w:szCs w:val="30"/>
        </w:rPr>
        <w:t>注册房地产估价师：</w:t>
      </w:r>
      <w:r>
        <w:rPr>
          <w:rFonts w:hint="eastAsia" w:ascii="宋体" w:hAnsi="宋体" w:cs="宋体"/>
          <w:b/>
          <w:color w:val="000000"/>
          <w:sz w:val="30"/>
          <w:szCs w:val="30"/>
          <w:lang w:val="en-US" w:eastAsia="zh-CN"/>
        </w:rPr>
        <w:t>陈佳思</w:t>
      </w:r>
      <w:r>
        <w:rPr>
          <w:rFonts w:hint="eastAsia" w:ascii="宋体" w:hAnsi="宋体" w:eastAsia="宋体" w:cs="宋体"/>
          <w:b/>
          <w:color w:val="000000"/>
          <w:sz w:val="30"/>
          <w:szCs w:val="30"/>
        </w:rPr>
        <w:t>（</w:t>
      </w:r>
      <w:r>
        <w:rPr>
          <w:rFonts w:hint="eastAsia" w:ascii="宋体" w:hAnsi="宋体" w:cs="宋体"/>
          <w:b/>
          <w:color w:val="000000"/>
          <w:sz w:val="30"/>
          <w:szCs w:val="30"/>
          <w:lang w:val="en-US" w:eastAsia="zh-CN"/>
        </w:rPr>
        <w:t>注册号</w:t>
      </w:r>
      <w:r>
        <w:rPr>
          <w:rFonts w:hint="eastAsia" w:ascii="宋体" w:hAnsi="宋体" w:eastAsia="宋体" w:cs="宋体"/>
          <w:b/>
          <w:sz w:val="30"/>
          <w:szCs w:val="30"/>
        </w:rPr>
        <w:t>1520</w:t>
      </w:r>
      <w:r>
        <w:rPr>
          <w:rFonts w:hint="eastAsia" w:ascii="宋体" w:hAnsi="宋体" w:cs="宋体"/>
          <w:b/>
          <w:sz w:val="30"/>
          <w:szCs w:val="30"/>
          <w:lang w:val="en-US" w:eastAsia="zh-CN"/>
        </w:rPr>
        <w:t>190010</w:t>
      </w:r>
      <w:r>
        <w:rPr>
          <w:rFonts w:hint="eastAsia" w:ascii="宋体" w:hAnsi="宋体" w:eastAsia="宋体" w:cs="宋体"/>
          <w:b/>
          <w:sz w:val="30"/>
          <w:szCs w:val="30"/>
        </w:rPr>
        <w:t>）</w:t>
      </w:r>
    </w:p>
    <w:p>
      <w:pPr>
        <w:keepNext w:val="0"/>
        <w:keepLines w:val="0"/>
        <w:pageBreakBefore w:val="0"/>
        <w:widowControl w:val="0"/>
        <w:tabs>
          <w:tab w:val="left" w:pos="2340"/>
          <w:tab w:val="left" w:pos="2520"/>
          <w:tab w:val="left" w:pos="2700"/>
        </w:tabs>
        <w:kinsoku/>
        <w:wordWrap/>
        <w:overflowPunct/>
        <w:topLinePunct w:val="0"/>
        <w:autoSpaceDE/>
        <w:autoSpaceDN/>
        <w:bidi w:val="0"/>
        <w:adjustRightInd w:val="0"/>
        <w:snapToGrid w:val="0"/>
        <w:spacing w:line="700" w:lineRule="exact"/>
        <w:ind w:firstLine="2711" w:firstLineChars="900"/>
        <w:textAlignment w:val="auto"/>
        <w:outlineLvl w:val="9"/>
        <w:rPr>
          <w:rFonts w:hint="eastAsia" w:ascii="宋体" w:hAnsi="宋体" w:eastAsia="宋体" w:cs="宋体"/>
          <w:b/>
          <w:sz w:val="30"/>
          <w:szCs w:val="30"/>
        </w:rPr>
      </w:pPr>
      <w:r>
        <w:rPr>
          <w:rFonts w:hint="eastAsia" w:ascii="宋体" w:hAnsi="宋体" w:cs="宋体"/>
          <w:b/>
          <w:sz w:val="30"/>
          <w:szCs w:val="30"/>
          <w:lang w:val="en-US" w:eastAsia="zh-CN"/>
        </w:rPr>
        <w:t>刘志红</w:t>
      </w:r>
      <w:r>
        <w:rPr>
          <w:rFonts w:hint="eastAsia" w:ascii="宋体" w:hAnsi="宋体" w:eastAsia="宋体" w:cs="宋体"/>
          <w:b/>
          <w:sz w:val="30"/>
          <w:szCs w:val="30"/>
        </w:rPr>
        <w:t>（</w:t>
      </w:r>
      <w:r>
        <w:rPr>
          <w:rFonts w:hint="eastAsia" w:ascii="宋体" w:hAnsi="宋体" w:cs="宋体"/>
          <w:b/>
          <w:color w:val="000000"/>
          <w:sz w:val="30"/>
          <w:szCs w:val="30"/>
          <w:lang w:val="en-US" w:eastAsia="zh-CN"/>
        </w:rPr>
        <w:t>注册号</w:t>
      </w:r>
      <w:r>
        <w:rPr>
          <w:rFonts w:hint="eastAsia" w:ascii="宋体" w:hAnsi="宋体" w:cs="宋体"/>
          <w:b/>
          <w:sz w:val="30"/>
          <w:szCs w:val="30"/>
          <w:lang w:val="en-US" w:eastAsia="zh-CN"/>
        </w:rPr>
        <w:t>1520190005</w:t>
      </w:r>
      <w:r>
        <w:rPr>
          <w:rFonts w:hint="eastAsia" w:ascii="宋体" w:hAnsi="宋体" w:eastAsia="宋体" w:cs="宋体"/>
          <w:b/>
          <w:sz w:val="30"/>
          <w:szCs w:val="30"/>
        </w:rPr>
        <w:t>）</w:t>
      </w:r>
    </w:p>
    <w:p>
      <w:pPr>
        <w:keepNext w:val="0"/>
        <w:keepLines w:val="0"/>
        <w:pageBreakBefore w:val="0"/>
        <w:widowControl w:val="0"/>
        <w:kinsoku/>
        <w:wordWrap/>
        <w:overflowPunct/>
        <w:topLinePunct w:val="0"/>
        <w:autoSpaceDE/>
        <w:autoSpaceDN/>
        <w:bidi w:val="0"/>
        <w:adjustRightInd w:val="0"/>
        <w:snapToGrid w:val="0"/>
        <w:spacing w:line="700" w:lineRule="exact"/>
        <w:textAlignment w:val="auto"/>
        <w:rPr>
          <w:rFonts w:hint="eastAsia" w:ascii="宋体" w:hAnsi="宋体" w:eastAsia="宋体" w:cs="宋体"/>
          <w:b/>
          <w:sz w:val="30"/>
          <w:szCs w:val="30"/>
          <w:lang w:eastAsia="zh-CN"/>
        </w:rPr>
      </w:pPr>
      <w:r>
        <w:rPr>
          <w:rFonts w:hint="eastAsia" w:ascii="宋体" w:hAnsi="宋体" w:eastAsia="宋体" w:cs="宋体"/>
          <w:b/>
          <w:bCs/>
          <w:sz w:val="30"/>
          <w:szCs w:val="30"/>
        </w:rPr>
        <w:t>估价报告出具日期:</w:t>
      </w:r>
      <w:r>
        <w:rPr>
          <w:rFonts w:hint="eastAsia" w:ascii="宋体" w:hAnsi="宋体" w:cs="宋体"/>
          <w:b/>
          <w:bCs/>
          <w:sz w:val="30"/>
          <w:szCs w:val="30"/>
          <w:lang w:eastAsia="zh-CN"/>
        </w:rPr>
        <w:t>2022年5月6日</w:t>
      </w:r>
    </w:p>
    <w:p>
      <w:pPr>
        <w:pStyle w:val="2"/>
        <w:spacing w:before="100" w:beforeAutospacing="1" w:after="100" w:afterAutospacing="1" w:line="480" w:lineRule="exact"/>
        <w:jc w:val="both"/>
        <w:rPr>
          <w:rFonts w:hint="eastAsia" w:ascii="宋体" w:hAnsi="宋体" w:eastAsia="宋体" w:cs="宋体"/>
          <w:b/>
          <w:bCs/>
          <w:sz w:val="30"/>
          <w:szCs w:val="30"/>
        </w:rPr>
      </w:pPr>
      <w:r>
        <w:rPr>
          <w:rFonts w:hint="eastAsia" w:ascii="宋体" w:hAnsi="宋体" w:eastAsia="宋体" w:cs="宋体"/>
          <w:b/>
          <w:bCs/>
          <w:sz w:val="30"/>
          <w:szCs w:val="30"/>
        </w:rPr>
        <w:t>估价报告编号：内金诚估字[20</w:t>
      </w:r>
      <w:r>
        <w:rPr>
          <w:rFonts w:hint="eastAsia" w:ascii="宋体" w:hAnsi="宋体" w:cs="宋体"/>
          <w:b/>
          <w:bCs/>
          <w:sz w:val="30"/>
          <w:szCs w:val="30"/>
          <w:lang w:val="en-US" w:eastAsia="zh-CN"/>
        </w:rPr>
        <w:t>22</w:t>
      </w:r>
      <w:r>
        <w:rPr>
          <w:rFonts w:hint="eastAsia" w:ascii="宋体" w:hAnsi="宋体" w:eastAsia="宋体" w:cs="宋体"/>
          <w:b/>
          <w:bCs/>
          <w:sz w:val="30"/>
          <w:szCs w:val="30"/>
        </w:rPr>
        <w:t>]第</w:t>
      </w:r>
      <w:r>
        <w:rPr>
          <w:rFonts w:hint="eastAsia" w:ascii="宋体" w:hAnsi="宋体" w:cs="宋体"/>
          <w:b/>
          <w:bCs/>
          <w:sz w:val="30"/>
          <w:szCs w:val="30"/>
          <w:lang w:val="en-US" w:eastAsia="zh-CN"/>
        </w:rPr>
        <w:t>10</w:t>
      </w:r>
      <w:r>
        <w:rPr>
          <w:rFonts w:hint="eastAsia" w:ascii="宋体" w:hAnsi="宋体" w:eastAsia="宋体" w:cs="宋体"/>
          <w:b/>
          <w:bCs/>
          <w:sz w:val="30"/>
          <w:szCs w:val="30"/>
        </w:rPr>
        <w:t>号</w:t>
      </w:r>
    </w:p>
    <w:p>
      <w:pPr>
        <w:rPr>
          <w:rFonts w:hint="eastAsia" w:ascii="仿宋_GB2312" w:hAnsi="宋体" w:eastAsia="仿宋_GB2312" w:cs="仿宋_GB2312"/>
          <w:b/>
          <w:bCs/>
          <w:sz w:val="30"/>
          <w:szCs w:val="30"/>
        </w:rPr>
      </w:pPr>
    </w:p>
    <w:p>
      <w:pPr>
        <w:rPr>
          <w:rFonts w:hint="eastAsia" w:ascii="仿宋_GB2312" w:hAnsi="宋体" w:eastAsia="仿宋_GB2312" w:cs="仿宋_GB2312"/>
          <w:b/>
          <w:bCs/>
          <w:sz w:val="30"/>
          <w:szCs w:val="30"/>
          <w:lang w:eastAsia="zh-CN"/>
        </w:rPr>
      </w:pPr>
    </w:p>
    <w:p>
      <w:pPr>
        <w:pStyle w:val="2"/>
        <w:adjustRightInd w:val="0"/>
        <w:snapToGrid w:val="0"/>
        <w:spacing w:before="0" w:afterLines="50" w:line="240" w:lineRule="auto"/>
        <w:ind w:firstLine="708" w:firstLineChars="196"/>
        <w:rPr>
          <w:rFonts w:hint="eastAsia"/>
          <w:color w:val="000000"/>
        </w:rPr>
      </w:pPr>
      <w:r>
        <w:rPr>
          <w:sz w:val="36"/>
          <w:szCs w:val="36"/>
        </w:rPr>
        <w:tab/>
      </w:r>
      <w:bookmarkStart w:id="0" w:name="_Toc318984176"/>
      <w:r>
        <w:rPr>
          <w:rFonts w:hint="eastAsia" w:ascii="仿宋_GB2312" w:eastAsia="仿宋_GB2312"/>
          <w:sz w:val="32"/>
          <w:szCs w:val="32"/>
        </w:rPr>
        <w:t xml:space="preserve">             </w:t>
      </w:r>
      <w:r>
        <w:rPr>
          <w:rFonts w:hint="eastAsia"/>
          <w:color w:val="000000"/>
        </w:rPr>
        <w:t xml:space="preserve">  </w:t>
      </w:r>
    </w:p>
    <w:p>
      <w:pPr>
        <w:rPr>
          <w:rFonts w:hint="default" w:eastAsia="宋体"/>
          <w:lang w:val="en-US" w:eastAsia="zh-CN"/>
        </w:rPr>
      </w:pPr>
      <w:r>
        <w:rPr>
          <w:rFonts w:hint="eastAsia"/>
          <w:color w:val="000000"/>
          <w:lang w:val="en-US" w:eastAsia="zh-CN"/>
        </w:rPr>
        <w:t xml:space="preserve">  </w:t>
      </w:r>
    </w:p>
    <w:p>
      <w:pPr>
        <w:pStyle w:val="2"/>
        <w:adjustRightInd w:val="0"/>
        <w:snapToGrid w:val="0"/>
        <w:spacing w:before="0" w:afterLines="50" w:line="240" w:lineRule="auto"/>
        <w:ind w:firstLine="3074" w:firstLineChars="696"/>
        <w:rPr>
          <w:rFonts w:hint="eastAsia"/>
          <w:color w:val="000000"/>
        </w:rPr>
      </w:pPr>
    </w:p>
    <w:p>
      <w:pPr>
        <w:pStyle w:val="2"/>
        <w:adjustRightInd w:val="0"/>
        <w:snapToGrid w:val="0"/>
        <w:spacing w:before="0" w:afterLines="50" w:line="240" w:lineRule="auto"/>
        <w:ind w:firstLine="2650" w:firstLineChars="600"/>
        <w:rPr>
          <w:rFonts w:hint="eastAsia" w:ascii="宋体" w:hAnsi="宋体"/>
          <w:b w:val="0"/>
          <w:bCs/>
          <w:snapToGrid w:val="0"/>
          <w:color w:val="000000"/>
          <w:kern w:val="0"/>
          <w:sz w:val="28"/>
          <w:szCs w:val="28"/>
          <w:lang w:val="en-US" w:eastAsia="zh-CN"/>
        </w:rPr>
      </w:pPr>
      <w:r>
        <w:rPr>
          <w:rFonts w:hint="eastAsia"/>
          <w:color w:val="000000"/>
        </w:rPr>
        <w:t>致 委 托 方 函</w:t>
      </w:r>
    </w:p>
    <w:p>
      <w:pPr>
        <w:widowControl/>
        <w:adjustRightInd w:val="0"/>
        <w:snapToGrid w:val="0"/>
        <w:spacing w:line="800" w:lineRule="exact"/>
        <w:textAlignment w:val="bottom"/>
        <w:rPr>
          <w:rFonts w:hint="eastAsia" w:ascii="宋体" w:hAnsi="宋体"/>
          <w:b w:val="0"/>
          <w:bCs/>
          <w:sz w:val="28"/>
          <w:szCs w:val="28"/>
        </w:rPr>
      </w:pPr>
      <w:r>
        <w:rPr>
          <w:rFonts w:hint="eastAsia" w:ascii="宋体" w:hAnsi="宋体"/>
          <w:b w:val="0"/>
          <w:bCs/>
          <w:snapToGrid w:val="0"/>
          <w:color w:val="000000"/>
          <w:kern w:val="0"/>
          <w:sz w:val="28"/>
          <w:szCs w:val="28"/>
          <w:lang w:val="en-US" w:eastAsia="zh-CN"/>
        </w:rPr>
        <w:t>巴彦淖尔市乌拉特中旗人民法院</w:t>
      </w:r>
      <w:r>
        <w:rPr>
          <w:rFonts w:hint="eastAsia" w:ascii="宋体" w:hAnsi="宋体"/>
          <w:b w:val="0"/>
          <w:bCs/>
          <w:sz w:val="28"/>
          <w:szCs w:val="28"/>
        </w:rPr>
        <w:t>：</w:t>
      </w:r>
    </w:p>
    <w:p>
      <w:pPr>
        <w:pStyle w:val="28"/>
        <w:adjustRightInd w:val="0"/>
        <w:snapToGrid w:val="0"/>
        <w:spacing w:line="600" w:lineRule="exact"/>
        <w:ind w:firstLine="561"/>
        <w:rPr>
          <w:rFonts w:hint="eastAsia" w:ascii="宋体" w:hAnsi="宋体" w:eastAsia="宋体" w:cs="宋体"/>
          <w:sz w:val="28"/>
          <w:szCs w:val="28"/>
        </w:rPr>
      </w:pPr>
      <w:r>
        <w:rPr>
          <w:rFonts w:hint="eastAsia" w:ascii="宋体" w:hAnsi="宋体" w:eastAsia="宋体" w:cs="宋体"/>
          <w:sz w:val="28"/>
          <w:szCs w:val="28"/>
        </w:rPr>
        <w:t>受贵</w:t>
      </w:r>
      <w:r>
        <w:rPr>
          <w:rFonts w:hint="eastAsia" w:ascii="宋体" w:hAnsi="宋体" w:eastAsia="宋体" w:cs="宋体"/>
          <w:sz w:val="28"/>
          <w:szCs w:val="28"/>
          <w:lang w:val="en-US" w:eastAsia="zh-CN"/>
        </w:rPr>
        <w:t>院</w:t>
      </w:r>
      <w:r>
        <w:rPr>
          <w:rFonts w:hint="eastAsia" w:ascii="宋体" w:hAnsi="宋体" w:eastAsia="宋体" w:cs="宋体"/>
          <w:sz w:val="28"/>
          <w:szCs w:val="28"/>
        </w:rPr>
        <w:t>的委托，我公司根据国家有关房地产价格评估的规定，本着独立、公正、客观、合法的原则，按照科学的方法，对估价对象房地产在正常市场条件下的房地产市场价值进行了评估。</w:t>
      </w:r>
    </w:p>
    <w:p>
      <w:pPr>
        <w:keepNext w:val="0"/>
        <w:keepLines w:val="0"/>
        <w:pageBreakBefore w:val="0"/>
        <w:widowControl w:val="0"/>
        <w:numPr>
          <w:ilvl w:val="0"/>
          <w:numId w:val="1"/>
        </w:numPr>
        <w:tabs>
          <w:tab w:val="left" w:pos="780"/>
        </w:tabs>
        <w:kinsoku/>
        <w:wordWrap/>
        <w:overflowPunct/>
        <w:topLinePunct w:val="0"/>
        <w:autoSpaceDE/>
        <w:autoSpaceDN/>
        <w:bidi w:val="0"/>
        <w:adjustRightInd w:val="0"/>
        <w:snapToGrid w:val="0"/>
        <w:spacing w:line="700" w:lineRule="exact"/>
        <w:ind w:right="88" w:rightChars="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估价对象：</w:t>
      </w:r>
    </w:p>
    <w:p>
      <w:pPr>
        <w:keepNext w:val="0"/>
        <w:keepLines w:val="0"/>
        <w:pageBreakBefore w:val="0"/>
        <w:widowControl w:val="0"/>
        <w:numPr>
          <w:ilvl w:val="0"/>
          <w:numId w:val="0"/>
        </w:numPr>
        <w:tabs>
          <w:tab w:val="left" w:pos="780"/>
        </w:tabs>
        <w:kinsoku/>
        <w:wordWrap/>
        <w:overflowPunct/>
        <w:topLinePunct w:val="0"/>
        <w:autoSpaceDE/>
        <w:autoSpaceDN/>
        <w:bidi w:val="0"/>
        <w:adjustRightInd w:val="0"/>
        <w:snapToGrid w:val="0"/>
        <w:spacing w:line="700" w:lineRule="exact"/>
        <w:ind w:right="88" w:rightChars="42" w:firstLine="560" w:firstLineChars="200"/>
        <w:textAlignment w:val="auto"/>
        <w:rPr>
          <w:rFonts w:hint="default" w:ascii="宋体" w:hAnsi="宋体" w:cs="宋体"/>
          <w:b w:val="0"/>
          <w:bCs w:val="0"/>
          <w:sz w:val="28"/>
          <w:szCs w:val="28"/>
          <w:lang w:val="en-US" w:eastAsia="zh-CN"/>
        </w:rPr>
      </w:pPr>
      <w:r>
        <w:rPr>
          <w:rFonts w:hint="eastAsia" w:ascii="宋体" w:hAnsi="宋体" w:cs="宋体"/>
          <w:sz w:val="28"/>
          <w:szCs w:val="28"/>
          <w:lang w:val="en-US" w:eastAsia="zh-CN"/>
        </w:rPr>
        <w:t>（1）基本情况：位</w:t>
      </w:r>
      <w:r>
        <w:rPr>
          <w:rFonts w:hint="eastAsia" w:ascii="宋体" w:hAnsi="宋体" w:eastAsia="宋体" w:cs="宋体"/>
          <w:b w:val="0"/>
          <w:bCs w:val="0"/>
          <w:sz w:val="28"/>
          <w:szCs w:val="28"/>
          <w:lang w:val="en-US" w:eastAsia="zh-CN"/>
        </w:rPr>
        <w:t>于</w:t>
      </w:r>
      <w:r>
        <w:rPr>
          <w:rFonts w:hint="eastAsia" w:ascii="宋体" w:hAnsi="宋体"/>
          <w:b w:val="0"/>
          <w:bCs/>
          <w:snapToGrid w:val="0"/>
          <w:color w:val="000000"/>
          <w:kern w:val="0"/>
          <w:sz w:val="28"/>
          <w:szCs w:val="28"/>
          <w:lang w:val="en-US" w:eastAsia="zh-CN"/>
        </w:rPr>
        <w:t>乌拉特中旗海流图镇花园东路边养街坊一栋四排三室</w:t>
      </w:r>
      <w:r>
        <w:rPr>
          <w:rFonts w:hint="eastAsia" w:ascii="宋体" w:hAnsi="宋体" w:cs="宋体"/>
          <w:b w:val="0"/>
          <w:bCs w:val="0"/>
          <w:sz w:val="28"/>
          <w:szCs w:val="28"/>
          <w:lang w:val="en-US" w:eastAsia="zh-CN"/>
        </w:rPr>
        <w:t>，</w:t>
      </w:r>
      <w:r>
        <w:rPr>
          <w:rFonts w:hint="eastAsia" w:ascii="宋体" w:hAnsi="宋体" w:cs="宋体"/>
          <w:b w:val="0"/>
          <w:bCs w:val="0"/>
          <w:sz w:val="28"/>
          <w:szCs w:val="28"/>
          <w:lang w:eastAsia="zh-CN"/>
        </w:rPr>
        <w:t>建筑面积为：</w:t>
      </w:r>
      <w:r>
        <w:rPr>
          <w:rFonts w:hint="eastAsia" w:ascii="宋体" w:hAnsi="宋体" w:cs="宋体"/>
          <w:b w:val="0"/>
          <w:bCs w:val="0"/>
          <w:sz w:val="28"/>
          <w:szCs w:val="28"/>
          <w:lang w:val="en-US" w:eastAsia="zh-CN"/>
        </w:rPr>
        <w:t>92.63</w:t>
      </w:r>
      <w:r>
        <w:rPr>
          <w:rFonts w:hint="eastAsia" w:ascii="宋体" w:hAnsi="宋体" w:cs="宋体"/>
          <w:b w:val="0"/>
          <w:bCs w:val="0"/>
          <w:sz w:val="28"/>
          <w:szCs w:val="28"/>
          <w:lang w:eastAsia="zh-CN"/>
        </w:rPr>
        <w:t>平方米，</w:t>
      </w:r>
      <w:r>
        <w:rPr>
          <w:rFonts w:hint="eastAsia" w:ascii="宋体" w:hAnsi="宋体" w:cs="宋体"/>
          <w:b w:val="0"/>
          <w:bCs w:val="0"/>
          <w:sz w:val="28"/>
          <w:szCs w:val="28"/>
          <w:lang w:val="en-US" w:eastAsia="zh-CN"/>
        </w:rPr>
        <w:t>宗地面积为：142.85</w:t>
      </w:r>
      <w:r>
        <w:rPr>
          <w:rFonts w:hint="eastAsia" w:ascii="宋体" w:hAnsi="宋体" w:cs="宋体"/>
          <w:b w:val="0"/>
          <w:bCs w:val="0"/>
          <w:sz w:val="28"/>
          <w:szCs w:val="28"/>
          <w:lang w:eastAsia="zh-CN"/>
        </w:rPr>
        <w:t>平方米。</w:t>
      </w:r>
    </w:p>
    <w:p>
      <w:pPr>
        <w:keepNext w:val="0"/>
        <w:keepLines w:val="0"/>
        <w:pageBreakBefore w:val="0"/>
        <w:widowControl w:val="0"/>
        <w:numPr>
          <w:ilvl w:val="0"/>
          <w:numId w:val="0"/>
        </w:numPr>
        <w:tabs>
          <w:tab w:val="left" w:pos="780"/>
        </w:tabs>
        <w:kinsoku/>
        <w:wordWrap/>
        <w:overflowPunct/>
        <w:topLinePunct w:val="0"/>
        <w:autoSpaceDE/>
        <w:autoSpaceDN/>
        <w:bidi w:val="0"/>
        <w:adjustRightInd w:val="0"/>
        <w:snapToGrid w:val="0"/>
        <w:spacing w:line="700" w:lineRule="exact"/>
        <w:ind w:right="88" w:rightChars="42" w:firstLine="280" w:firstLineChars="1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（2）财产范围：估价对象财产范围包括房屋所有权与其应分摊的国有土地使用权价值，并包括与估价对象房地产不可分割的、满足其功能需要的上下水、暖、电等相关配套设施价值及室内装修价值，</w:t>
      </w:r>
      <w:r>
        <w:rPr>
          <w:rFonts w:hint="eastAsia" w:ascii="宋体" w:hAnsi="宋体" w:eastAsia="宋体" w:cs="宋体"/>
          <w:sz w:val="28"/>
          <w:szCs w:val="28"/>
        </w:rPr>
        <w:t>不包含可移动设施设备</w:t>
      </w:r>
      <w:r>
        <w:rPr>
          <w:rFonts w:hint="eastAsia" w:ascii="宋体" w:hAnsi="宋体" w:cs="宋体"/>
          <w:sz w:val="28"/>
          <w:szCs w:val="28"/>
          <w:lang w:eastAsia="zh-CN"/>
        </w:rPr>
        <w:t>。</w:t>
      </w:r>
    </w:p>
    <w:p>
      <w:pPr>
        <w:pStyle w:val="3"/>
        <w:adjustRightInd w:val="0"/>
        <w:snapToGrid w:val="0"/>
        <w:spacing w:before="0" w:after="0" w:line="540" w:lineRule="exact"/>
        <w:ind w:firstLine="560" w:firstLineChars="200"/>
        <w:rPr>
          <w:rFonts w:hint="eastAsia" w:ascii="宋体" w:hAnsi="宋体" w:eastAsia="宋体" w:cs="宋体"/>
          <w:b w:val="0"/>
          <w:bCs w:val="0"/>
          <w:sz w:val="28"/>
          <w:lang w:eastAsia="zh-CN"/>
        </w:rPr>
      </w:pPr>
      <w:r>
        <w:rPr>
          <w:rFonts w:hint="eastAsia" w:ascii="宋体" w:hAnsi="宋体" w:eastAsia="宋体" w:cs="宋体"/>
          <w:b w:val="0"/>
          <w:bCs w:val="0"/>
          <w:sz w:val="28"/>
          <w:szCs w:val="28"/>
        </w:rPr>
        <w:t>2．估价目的：</w:t>
      </w:r>
      <w:r>
        <w:rPr>
          <w:rFonts w:hint="eastAsia" w:ascii="宋体" w:hAnsi="宋体" w:eastAsia="宋体" w:cs="宋体"/>
          <w:b w:val="0"/>
          <w:bCs w:val="0"/>
          <w:sz w:val="28"/>
          <w:lang w:eastAsia="zh-CN"/>
        </w:rPr>
        <w:t>为人民法院确定财产处置参考价提供参考依据。</w:t>
      </w:r>
    </w:p>
    <w:p>
      <w:pPr>
        <w:pStyle w:val="28"/>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3．价值时点：</w:t>
      </w:r>
      <w:r>
        <w:rPr>
          <w:rFonts w:hint="eastAsia" w:hAnsi="宋体" w:cs="宋体"/>
          <w:sz w:val="28"/>
          <w:szCs w:val="28"/>
          <w:lang w:eastAsia="zh-CN"/>
        </w:rPr>
        <w:t>2022年4月22日</w:t>
      </w:r>
      <w:r>
        <w:rPr>
          <w:rFonts w:hint="eastAsia" w:ascii="宋体" w:hAnsi="宋体" w:eastAsia="宋体" w:cs="宋体"/>
          <w:sz w:val="28"/>
          <w:szCs w:val="28"/>
        </w:rPr>
        <w:t>，</w:t>
      </w:r>
      <w:r>
        <w:rPr>
          <w:rFonts w:hint="eastAsia" w:ascii="宋体" w:hAnsi="宋体" w:eastAsia="宋体" w:cs="宋体"/>
          <w:bCs/>
          <w:sz w:val="28"/>
          <w:szCs w:val="28"/>
        </w:rPr>
        <w:t>该时点为实地查勘之日</w:t>
      </w:r>
      <w:r>
        <w:rPr>
          <w:rFonts w:hint="eastAsia" w:ascii="宋体" w:hAnsi="宋体" w:eastAsia="宋体" w:cs="宋体"/>
          <w:sz w:val="28"/>
          <w:szCs w:val="28"/>
        </w:rPr>
        <w:t>。</w:t>
      </w:r>
    </w:p>
    <w:p>
      <w:pPr>
        <w:pStyle w:val="28"/>
        <w:adjustRightInd w:val="0"/>
        <w:snapToGrid w:val="0"/>
        <w:spacing w:line="600" w:lineRule="exact"/>
        <w:ind w:firstLine="561"/>
        <w:rPr>
          <w:rFonts w:hint="eastAsia" w:ascii="宋体" w:hAnsi="宋体" w:eastAsia="宋体" w:cs="宋体"/>
          <w:sz w:val="28"/>
          <w:szCs w:val="28"/>
        </w:rPr>
      </w:pPr>
      <w:r>
        <w:rPr>
          <w:rFonts w:hint="eastAsia" w:ascii="宋体" w:hAnsi="宋体" w:eastAsia="宋体" w:cs="宋体"/>
          <w:sz w:val="28"/>
          <w:szCs w:val="28"/>
        </w:rPr>
        <w:t>4．价值类型及其定义：</w:t>
      </w:r>
    </w:p>
    <w:p>
      <w:pPr>
        <w:pStyle w:val="28"/>
        <w:adjustRightInd w:val="0"/>
        <w:snapToGrid w:val="0"/>
        <w:spacing w:line="600" w:lineRule="exact"/>
        <w:ind w:firstLine="561"/>
        <w:rPr>
          <w:rFonts w:hint="eastAsia" w:ascii="宋体" w:hAnsi="宋体" w:eastAsia="宋体" w:cs="宋体"/>
          <w:sz w:val="28"/>
          <w:szCs w:val="28"/>
        </w:rPr>
      </w:pPr>
      <w:r>
        <w:rPr>
          <w:rFonts w:hint="eastAsia" w:ascii="宋体" w:hAnsi="宋体" w:eastAsia="宋体" w:cs="宋体"/>
          <w:sz w:val="28"/>
          <w:szCs w:val="28"/>
        </w:rPr>
        <w:t>（1）价值类型：本次估价结果为估价对象房地产的市场价值。市场价值是估价对象经适当营销后，由熟悉情况、谨慎行事且不受强迫的交易双方，以公平交易方式在价值时点自愿进行交易的金额。</w:t>
      </w:r>
    </w:p>
    <w:p>
      <w:pPr>
        <w:pStyle w:val="28"/>
        <w:adjustRightInd w:val="0"/>
        <w:snapToGrid w:val="0"/>
        <w:spacing w:line="600" w:lineRule="exact"/>
        <w:ind w:firstLine="561"/>
        <w:rPr>
          <w:rFonts w:hint="eastAsia" w:ascii="宋体" w:hAnsi="宋体" w:eastAsia="宋体" w:cs="宋体"/>
          <w:sz w:val="28"/>
          <w:szCs w:val="28"/>
        </w:rPr>
      </w:pPr>
      <w:r>
        <w:rPr>
          <w:rFonts w:hint="eastAsia" w:ascii="宋体" w:hAnsi="宋体" w:eastAsia="宋体" w:cs="宋体"/>
          <w:sz w:val="28"/>
          <w:szCs w:val="28"/>
        </w:rPr>
        <w:t>（2）价值内涵</w:t>
      </w:r>
    </w:p>
    <w:p>
      <w:pPr>
        <w:pStyle w:val="28"/>
        <w:adjustRightInd w:val="0"/>
        <w:snapToGrid w:val="0"/>
        <w:spacing w:line="500" w:lineRule="exact"/>
        <w:ind w:firstLine="561"/>
        <w:rPr>
          <w:rFonts w:hint="eastAsia" w:ascii="宋体" w:hAnsi="宋体" w:eastAsia="宋体" w:cs="宋体"/>
          <w:sz w:val="28"/>
          <w:szCs w:val="28"/>
        </w:rPr>
      </w:pPr>
      <w:r>
        <w:rPr>
          <w:rFonts w:hint="eastAsia" w:ascii="宋体" w:hAnsi="宋体" w:eastAsia="宋体" w:cs="宋体"/>
          <w:sz w:val="28"/>
          <w:szCs w:val="28"/>
        </w:rPr>
        <w:t>本次估价对象的价格是估价对象在价值时点为</w:t>
      </w:r>
      <w:r>
        <w:rPr>
          <w:rFonts w:hint="eastAsia" w:hAnsi="宋体" w:cs="宋体"/>
          <w:color w:val="auto"/>
          <w:sz w:val="28"/>
          <w:szCs w:val="28"/>
          <w:lang w:eastAsia="zh-CN"/>
        </w:rPr>
        <w:t>2022年4月22日</w:t>
      </w:r>
      <w:r>
        <w:rPr>
          <w:rFonts w:hint="eastAsia" w:ascii="宋体" w:hAnsi="宋体" w:eastAsia="宋体" w:cs="宋体"/>
          <w:sz w:val="28"/>
          <w:szCs w:val="28"/>
        </w:rPr>
        <w:t>，</w:t>
      </w:r>
      <w:r>
        <w:rPr>
          <w:rFonts w:hint="eastAsia" w:ascii="宋体" w:hAnsi="宋体" w:eastAsia="宋体" w:cs="宋体"/>
          <w:snapToGrid w:val="0"/>
          <w:color w:val="000000"/>
          <w:kern w:val="0"/>
          <w:sz w:val="28"/>
          <w:szCs w:val="28"/>
        </w:rPr>
        <w:t>土地开发程度为宗地外“</w:t>
      </w:r>
      <w:r>
        <w:rPr>
          <w:rFonts w:hint="eastAsia" w:hAnsi="宋体" w:cs="宋体"/>
          <w:snapToGrid w:val="0"/>
          <w:color w:val="000000"/>
          <w:kern w:val="0"/>
          <w:sz w:val="28"/>
          <w:szCs w:val="28"/>
          <w:lang w:val="en-US" w:eastAsia="zh-CN"/>
        </w:rPr>
        <w:t>六通</w:t>
      </w:r>
      <w:r>
        <w:rPr>
          <w:rFonts w:hint="eastAsia" w:ascii="宋体" w:hAnsi="宋体" w:eastAsia="宋体" w:cs="宋体"/>
          <w:snapToGrid w:val="0"/>
          <w:color w:val="000000"/>
          <w:kern w:val="0"/>
          <w:sz w:val="28"/>
          <w:szCs w:val="28"/>
        </w:rPr>
        <w:t>”（</w:t>
      </w:r>
      <w:r>
        <w:rPr>
          <w:rFonts w:hint="eastAsia" w:ascii="宋体" w:hAnsi="宋体" w:eastAsia="宋体" w:cs="宋体"/>
          <w:snapToGrid w:val="0"/>
          <w:color w:val="000000"/>
          <w:kern w:val="0"/>
          <w:sz w:val="28"/>
          <w:szCs w:val="28"/>
          <w:lang w:eastAsia="zh-CN"/>
        </w:rPr>
        <w:t>通路、通电、供</w:t>
      </w:r>
      <w:r>
        <w:rPr>
          <w:rFonts w:hint="eastAsia" w:ascii="宋体" w:hAnsi="宋体" w:eastAsia="宋体" w:cs="宋体"/>
          <w:snapToGrid w:val="0"/>
          <w:color w:val="000000"/>
          <w:kern w:val="0"/>
          <w:sz w:val="28"/>
          <w:szCs w:val="28"/>
          <w:lang w:val="en-US" w:eastAsia="zh-CN"/>
        </w:rPr>
        <w:t>上</w:t>
      </w:r>
      <w:r>
        <w:rPr>
          <w:rFonts w:hint="eastAsia" w:ascii="宋体" w:hAnsi="宋体" w:eastAsia="宋体" w:cs="宋体"/>
          <w:snapToGrid w:val="0"/>
          <w:color w:val="000000"/>
          <w:kern w:val="0"/>
          <w:sz w:val="28"/>
          <w:szCs w:val="28"/>
          <w:lang w:eastAsia="zh-CN"/>
        </w:rPr>
        <w:t>水、供</w:t>
      </w:r>
      <w:r>
        <w:rPr>
          <w:rFonts w:hint="eastAsia" w:ascii="宋体" w:hAnsi="宋体" w:eastAsia="宋体" w:cs="宋体"/>
          <w:snapToGrid w:val="0"/>
          <w:color w:val="000000"/>
          <w:kern w:val="0"/>
          <w:sz w:val="28"/>
          <w:szCs w:val="28"/>
          <w:lang w:val="en-US" w:eastAsia="zh-CN"/>
        </w:rPr>
        <w:t>下</w:t>
      </w:r>
      <w:r>
        <w:rPr>
          <w:rFonts w:hint="eastAsia" w:ascii="宋体" w:hAnsi="宋体" w:eastAsia="宋体" w:cs="宋体"/>
          <w:snapToGrid w:val="0"/>
          <w:color w:val="000000"/>
          <w:kern w:val="0"/>
          <w:sz w:val="28"/>
          <w:szCs w:val="28"/>
          <w:lang w:eastAsia="zh-CN"/>
        </w:rPr>
        <w:t>水、通讯</w:t>
      </w:r>
      <w:r>
        <w:rPr>
          <w:rFonts w:hint="eastAsia" w:hAnsi="宋体" w:cs="宋体"/>
          <w:snapToGrid w:val="0"/>
          <w:color w:val="000000"/>
          <w:kern w:val="0"/>
          <w:sz w:val="28"/>
          <w:szCs w:val="28"/>
          <w:lang w:eastAsia="zh-CN"/>
        </w:rPr>
        <w:t>、</w:t>
      </w:r>
      <w:r>
        <w:rPr>
          <w:rFonts w:hint="eastAsia" w:hAnsi="宋体" w:cs="宋体"/>
          <w:snapToGrid w:val="0"/>
          <w:color w:val="000000"/>
          <w:kern w:val="0"/>
          <w:sz w:val="28"/>
          <w:szCs w:val="28"/>
          <w:lang w:val="en-US" w:eastAsia="zh-CN"/>
        </w:rPr>
        <w:t>通暖</w:t>
      </w:r>
      <w:r>
        <w:rPr>
          <w:rFonts w:hint="eastAsia" w:ascii="宋体" w:hAnsi="宋体" w:eastAsia="宋体" w:cs="宋体"/>
          <w:snapToGrid w:val="0"/>
          <w:color w:val="000000"/>
          <w:kern w:val="0"/>
          <w:sz w:val="28"/>
          <w:szCs w:val="28"/>
          <w:lang w:val="en-US" w:eastAsia="zh-CN"/>
        </w:rPr>
        <w:t>及土地平整</w:t>
      </w:r>
      <w:r>
        <w:rPr>
          <w:rFonts w:hint="eastAsia" w:ascii="宋体" w:hAnsi="宋体" w:eastAsia="宋体" w:cs="宋体"/>
          <w:snapToGrid w:val="0"/>
          <w:color w:val="000000"/>
          <w:kern w:val="0"/>
          <w:sz w:val="28"/>
          <w:szCs w:val="28"/>
        </w:rPr>
        <w:t>）</w:t>
      </w:r>
      <w:r>
        <w:rPr>
          <w:rFonts w:hint="eastAsia" w:ascii="宋体" w:hAnsi="宋体" w:eastAsia="宋体" w:cs="宋体"/>
          <w:color w:val="000000"/>
          <w:sz w:val="28"/>
          <w:szCs w:val="28"/>
        </w:rPr>
        <w:t>，估价对象</w:t>
      </w:r>
      <w:r>
        <w:rPr>
          <w:rFonts w:hint="eastAsia" w:ascii="宋体" w:hAnsi="宋体" w:eastAsia="宋体" w:cs="宋体"/>
          <w:sz w:val="28"/>
          <w:szCs w:val="28"/>
        </w:rPr>
        <w:t>为</w:t>
      </w:r>
      <w:r>
        <w:rPr>
          <w:rFonts w:hint="eastAsia" w:hAnsi="宋体" w:cs="宋体"/>
          <w:sz w:val="28"/>
          <w:szCs w:val="28"/>
          <w:lang w:val="en-US" w:eastAsia="zh-CN"/>
        </w:rPr>
        <w:t>砖木结构</w:t>
      </w:r>
      <w:r>
        <w:rPr>
          <w:rFonts w:hint="eastAsia" w:ascii="宋体" w:hAnsi="宋体" w:eastAsia="宋体" w:cs="宋体"/>
          <w:sz w:val="28"/>
          <w:szCs w:val="28"/>
        </w:rPr>
        <w:t>，用途为</w:t>
      </w:r>
      <w:r>
        <w:rPr>
          <w:rFonts w:hint="eastAsia" w:hAnsi="宋体" w:cs="宋体"/>
          <w:sz w:val="28"/>
          <w:szCs w:val="28"/>
          <w:lang w:eastAsia="zh-CN"/>
        </w:rPr>
        <w:t>住宅</w:t>
      </w:r>
      <w:r>
        <w:rPr>
          <w:rFonts w:hint="eastAsia" w:ascii="宋体" w:hAnsi="宋体" w:eastAsia="宋体" w:cs="宋体"/>
          <w:sz w:val="28"/>
          <w:szCs w:val="28"/>
        </w:rPr>
        <w:t>，装修情况为价值时点现状下（不包含可移动设施设备）的房地产市场价格。</w:t>
      </w:r>
    </w:p>
    <w:p>
      <w:pPr>
        <w:widowControl/>
        <w:numPr>
          <w:ilvl w:val="0"/>
          <w:numId w:val="2"/>
        </w:numPr>
        <w:wordWrap/>
        <w:adjustRightInd w:val="0"/>
        <w:snapToGrid w:val="0"/>
        <w:spacing w:line="600" w:lineRule="exact"/>
        <w:ind w:firstLine="560" w:firstLineChars="200"/>
        <w:textAlignment w:val="bottom"/>
        <w:rPr>
          <w:rFonts w:hint="eastAsia" w:ascii="宋体" w:hAnsi="宋体" w:eastAsia="宋体" w:cs="宋体"/>
          <w:color w:val="000000"/>
          <w:sz w:val="28"/>
          <w:szCs w:val="28"/>
        </w:rPr>
      </w:pPr>
      <w:r>
        <w:rPr>
          <w:rFonts w:hint="eastAsia" w:ascii="宋体" w:hAnsi="宋体" w:eastAsia="宋体" w:cs="宋体"/>
          <w:sz w:val="28"/>
          <w:szCs w:val="28"/>
        </w:rPr>
        <w:t>估价结果：估价人员根据估价目的，遵循估价原则，按照估价程序，认真分析所掌握的资料并对项目用地及临近类似房地产进行实地勘察、调查后，根据估价对象特点，遵照国家有关法律法规、估价技术标准，经过反复研究，决定</w:t>
      </w:r>
      <w:r>
        <w:rPr>
          <w:rFonts w:hint="eastAsia" w:ascii="宋体" w:hAnsi="宋体" w:cs="宋体"/>
          <w:sz w:val="28"/>
          <w:szCs w:val="28"/>
          <w:lang w:val="en-US" w:eastAsia="zh-CN"/>
        </w:rPr>
        <w:t>此次估价</w:t>
      </w:r>
      <w:r>
        <w:rPr>
          <w:rFonts w:hint="eastAsia" w:ascii="宋体" w:hAnsi="宋体" w:eastAsia="宋体" w:cs="宋体"/>
          <w:sz w:val="28"/>
          <w:szCs w:val="28"/>
        </w:rPr>
        <w:t>选用</w:t>
      </w:r>
      <w:r>
        <w:rPr>
          <w:rFonts w:hint="eastAsia" w:ascii="宋体" w:hAnsi="宋体" w:cs="宋体"/>
          <w:sz w:val="28"/>
          <w:szCs w:val="28"/>
          <w:lang w:val="en-US" w:eastAsia="zh-CN"/>
        </w:rPr>
        <w:t>成本法</w:t>
      </w:r>
      <w:r>
        <w:rPr>
          <w:rFonts w:hint="eastAsia" w:ascii="宋体" w:hAnsi="宋体" w:eastAsia="宋体" w:cs="宋体"/>
          <w:sz w:val="28"/>
          <w:szCs w:val="28"/>
        </w:rPr>
        <w:t>作为基本方法。</w:t>
      </w:r>
      <w:r>
        <w:rPr>
          <w:rFonts w:hint="eastAsia"/>
          <w:sz w:val="28"/>
          <w:szCs w:val="28"/>
        </w:rPr>
        <w:t>在认真分析现有资料的基础上，经过周密准确的测算，并结合估价经验与对影响估价对象价格因素的分析，确定估价对象于价值时点的</w:t>
      </w:r>
      <w:r>
        <w:rPr>
          <w:rFonts w:hint="eastAsia" w:cs="宋体"/>
          <w:color w:val="000000"/>
          <w:spacing w:val="-2"/>
          <w:kern w:val="0"/>
          <w:sz w:val="28"/>
          <w:szCs w:val="28"/>
        </w:rPr>
        <w:t>满足本次估价的全部假设和限制条件下的估价结果为：</w:t>
      </w:r>
      <w:r>
        <w:rPr>
          <w:rFonts w:hint="eastAsia" w:ascii="宋体" w:hAnsi="宋体" w:eastAsia="宋体" w:cs="宋体"/>
          <w:color w:val="000000"/>
          <w:sz w:val="28"/>
          <w:szCs w:val="28"/>
        </w:rPr>
        <w:t xml:space="preserve">  </w:t>
      </w:r>
    </w:p>
    <w:p>
      <w:pPr>
        <w:keepNext w:val="0"/>
        <w:keepLines w:val="0"/>
        <w:pageBreakBefore w:val="0"/>
        <w:tabs>
          <w:tab w:val="left" w:pos="0"/>
        </w:tabs>
        <w:kinsoku/>
        <w:wordWrap/>
        <w:overflowPunct/>
        <w:topLinePunct w:val="0"/>
        <w:autoSpaceDE/>
        <w:autoSpaceDN/>
        <w:bidi w:val="0"/>
        <w:spacing w:line="336" w:lineRule="auto"/>
        <w:rPr>
          <w:rFonts w:hint="eastAsia" w:ascii="宋体" w:hAnsi="宋体" w:eastAsia="宋体" w:cs="宋体"/>
          <w:color w:val="000000"/>
          <w:sz w:val="28"/>
          <w:szCs w:val="28"/>
        </w:rPr>
      </w:pPr>
      <w:r>
        <w:rPr>
          <w:rFonts w:hint="eastAsia" w:ascii="宋体" w:hAnsi="宋体" w:cs="宋体"/>
          <w:b w:val="0"/>
          <w:bCs/>
          <w:sz w:val="28"/>
          <w:szCs w:val="28"/>
          <w:lang w:val="en-US" w:eastAsia="zh-CN"/>
        </w:rPr>
        <w:t>房地产</w:t>
      </w:r>
      <w:r>
        <w:rPr>
          <w:rFonts w:hint="eastAsia" w:ascii="宋体" w:hAnsi="宋体" w:eastAsia="宋体" w:cs="宋体"/>
          <w:b w:val="0"/>
          <w:bCs/>
          <w:sz w:val="28"/>
          <w:szCs w:val="28"/>
        </w:rPr>
        <w:t>评估</w:t>
      </w:r>
      <w:r>
        <w:rPr>
          <w:rFonts w:hint="eastAsia" w:ascii="宋体" w:hAnsi="宋体" w:cs="宋体"/>
          <w:b w:val="0"/>
          <w:bCs/>
          <w:sz w:val="28"/>
          <w:szCs w:val="28"/>
          <w:lang w:val="en-US" w:eastAsia="zh-CN"/>
        </w:rPr>
        <w:t>总</w:t>
      </w:r>
      <w:r>
        <w:rPr>
          <w:rFonts w:hint="eastAsia" w:ascii="宋体" w:hAnsi="宋体" w:eastAsia="宋体" w:cs="宋体"/>
          <w:b w:val="0"/>
          <w:bCs/>
          <w:sz w:val="28"/>
          <w:szCs w:val="28"/>
        </w:rPr>
        <w:t>价</w:t>
      </w:r>
      <w:r>
        <w:rPr>
          <w:rFonts w:hint="eastAsia" w:ascii="宋体" w:hAnsi="宋体" w:cs="宋体"/>
          <w:b w:val="0"/>
          <w:bCs/>
          <w:sz w:val="28"/>
          <w:szCs w:val="28"/>
          <w:lang w:eastAsia="zh-CN"/>
        </w:rPr>
        <w:t>：</w:t>
      </w:r>
      <w:r>
        <w:rPr>
          <w:rFonts w:hint="eastAsia" w:ascii="宋体" w:hAnsi="宋体" w:cs="宋体"/>
          <w:b w:val="0"/>
          <w:bCs/>
          <w:i w:val="0"/>
          <w:color w:val="auto"/>
          <w:sz w:val="28"/>
          <w:szCs w:val="28"/>
          <w:u w:val="none"/>
          <w:lang w:val="en-US" w:eastAsia="zh-CN"/>
        </w:rPr>
        <w:t>162300</w:t>
      </w:r>
      <w:r>
        <w:rPr>
          <w:rFonts w:hint="eastAsia" w:ascii="宋体" w:hAnsi="宋体" w:eastAsia="宋体" w:cs="宋体"/>
          <w:color w:val="000000"/>
          <w:sz w:val="28"/>
          <w:szCs w:val="28"/>
        </w:rPr>
        <w:t>元</w:t>
      </w:r>
    </w:p>
    <w:p>
      <w:pPr>
        <w:keepNext w:val="0"/>
        <w:keepLines w:val="0"/>
        <w:pageBreakBefore w:val="0"/>
        <w:tabs>
          <w:tab w:val="left" w:pos="0"/>
        </w:tabs>
        <w:kinsoku/>
        <w:wordWrap/>
        <w:overflowPunct/>
        <w:topLinePunct w:val="0"/>
        <w:autoSpaceDE/>
        <w:autoSpaceDN/>
        <w:bidi w:val="0"/>
        <w:spacing w:line="336" w:lineRule="auto"/>
        <w:rPr>
          <w:rFonts w:hint="eastAsia" w:ascii="宋体" w:hAnsi="宋体" w:eastAsia="宋体" w:cs="宋体"/>
          <w:sz w:val="28"/>
          <w:szCs w:val="28"/>
        </w:rPr>
      </w:pPr>
      <w:r>
        <w:rPr>
          <w:rFonts w:hint="eastAsia" w:ascii="宋体" w:hAnsi="宋体" w:eastAsia="宋体" w:cs="宋体"/>
          <w:sz w:val="28"/>
          <w:szCs w:val="28"/>
        </w:rPr>
        <w:t>（人民币大写：</w:t>
      </w:r>
      <w:r>
        <w:rPr>
          <w:rFonts w:hint="eastAsia" w:ascii="宋体" w:hAnsi="宋体" w:cs="宋体"/>
          <w:sz w:val="28"/>
          <w:szCs w:val="28"/>
          <w:lang w:val="en-US" w:eastAsia="zh-CN"/>
        </w:rPr>
        <w:t>壹拾陆万贰仟叁佰</w:t>
      </w:r>
      <w:r>
        <w:rPr>
          <w:rFonts w:hint="eastAsia" w:ascii="宋体" w:hAnsi="宋体" w:eastAsia="宋体" w:cs="宋体"/>
          <w:sz w:val="28"/>
          <w:szCs w:val="28"/>
        </w:rPr>
        <w:t>元整）。</w:t>
      </w:r>
    </w:p>
    <w:p>
      <w:pPr>
        <w:pStyle w:val="28"/>
        <w:adjustRightInd w:val="0"/>
        <w:snapToGrid w:val="0"/>
        <w:spacing w:line="600" w:lineRule="exact"/>
        <w:ind w:firstLine="383" w:firstLineChars="137"/>
        <w:rPr>
          <w:rFonts w:hint="eastAsia" w:hAnsi="宋体"/>
          <w:sz w:val="28"/>
          <w:szCs w:val="28"/>
        </w:rPr>
      </w:pPr>
      <w:r>
        <w:rPr>
          <w:rFonts w:hint="eastAsia" w:hAnsi="宋体"/>
          <w:color w:val="auto"/>
          <w:sz w:val="28"/>
          <w:szCs w:val="28"/>
        </w:rPr>
        <w:t>6．估价报告使用期限：自估价报告出具之日起计算，使用</w:t>
      </w:r>
      <w:r>
        <w:rPr>
          <w:rFonts w:hint="eastAsia" w:hAnsi="宋体"/>
          <w:sz w:val="28"/>
          <w:szCs w:val="28"/>
        </w:rPr>
        <w:t xml:space="preserve">本估价报告不得超过一年。    </w:t>
      </w:r>
    </w:p>
    <w:p>
      <w:pPr>
        <w:pStyle w:val="28"/>
        <w:adjustRightInd w:val="0"/>
        <w:snapToGrid w:val="0"/>
        <w:spacing w:line="600" w:lineRule="exact"/>
        <w:ind w:firstLine="4200" w:firstLineChars="1500"/>
        <w:rPr>
          <w:rFonts w:hint="eastAsia" w:hAnsi="宋体"/>
          <w:sz w:val="28"/>
          <w:szCs w:val="28"/>
        </w:rPr>
      </w:pPr>
    </w:p>
    <w:p>
      <w:pPr>
        <w:pStyle w:val="28"/>
        <w:adjustRightInd w:val="0"/>
        <w:snapToGrid w:val="0"/>
        <w:spacing w:line="600" w:lineRule="exact"/>
        <w:rPr>
          <w:rFonts w:hint="eastAsia" w:hAnsi="宋体"/>
          <w:sz w:val="28"/>
          <w:szCs w:val="28"/>
          <w:lang w:val="en-US" w:eastAsia="zh-CN"/>
        </w:rPr>
      </w:pPr>
      <w:r>
        <w:rPr>
          <w:rFonts w:hint="eastAsia" w:hAnsi="宋体"/>
          <w:sz w:val="28"/>
          <w:szCs w:val="28"/>
          <w:lang w:val="en-US" w:eastAsia="zh-CN"/>
        </w:rPr>
        <w:t xml:space="preserve">                           </w:t>
      </w:r>
    </w:p>
    <w:p>
      <w:pPr>
        <w:pStyle w:val="28"/>
        <w:adjustRightInd w:val="0"/>
        <w:snapToGrid w:val="0"/>
        <w:spacing w:line="600" w:lineRule="exact"/>
        <w:ind w:firstLine="3920" w:firstLineChars="1400"/>
        <w:rPr>
          <w:rFonts w:hint="eastAsia" w:ascii="宋体" w:hAnsi="宋体"/>
          <w:sz w:val="28"/>
          <w:szCs w:val="28"/>
        </w:rPr>
      </w:pPr>
      <w:r>
        <w:rPr>
          <w:rFonts w:hint="eastAsia" w:hAnsi="宋体"/>
          <w:sz w:val="28"/>
          <w:szCs w:val="28"/>
          <w:lang w:val="en-US" w:eastAsia="zh-CN"/>
        </w:rPr>
        <w:t xml:space="preserve">  </w:t>
      </w:r>
      <w:r>
        <w:rPr>
          <w:rFonts w:hint="eastAsia" w:hAnsi="宋体"/>
          <w:sz w:val="28"/>
          <w:szCs w:val="28"/>
        </w:rPr>
        <w:t>内蒙古金诚房地产评估有限责任公司</w:t>
      </w:r>
      <w:r>
        <w:rPr>
          <w:rFonts w:hint="eastAsia" w:ascii="宋体" w:hAnsi="宋体"/>
          <w:sz w:val="28"/>
          <w:szCs w:val="28"/>
        </w:rPr>
        <w:t xml:space="preserve">             </w:t>
      </w:r>
    </w:p>
    <w:p>
      <w:pPr>
        <w:widowControl/>
        <w:adjustRightInd w:val="0"/>
        <w:snapToGrid w:val="0"/>
        <w:spacing w:line="600" w:lineRule="exact"/>
        <w:ind w:firstLine="560" w:firstLineChars="200"/>
        <w:jc w:val="center"/>
        <w:textAlignment w:val="bottom"/>
        <w:rPr>
          <w:rFonts w:hint="eastAsia" w:ascii="仿宋" w:hAnsi="仿宋" w:eastAsia="仿宋" w:cs="仿宋"/>
          <w:b/>
          <w:sz w:val="44"/>
          <w:szCs w:val="44"/>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b w:val="0"/>
          <w:bCs w:val="0"/>
          <w:sz w:val="28"/>
          <w:szCs w:val="28"/>
          <w:lang w:val="en-US" w:eastAsia="zh-CN"/>
        </w:rPr>
        <w:t xml:space="preserve"> </w:t>
      </w:r>
      <w:bookmarkEnd w:id="0"/>
      <w:bookmarkStart w:id="1" w:name="_Toc318984178"/>
      <w:r>
        <w:rPr>
          <w:rFonts w:hint="eastAsia" w:ascii="宋体" w:hAnsi="宋体" w:cs="宋体"/>
          <w:b w:val="0"/>
          <w:bCs w:val="0"/>
          <w:sz w:val="30"/>
          <w:szCs w:val="30"/>
          <w:lang w:eastAsia="zh-CN"/>
        </w:rPr>
        <w:t>2022年5月6日</w:t>
      </w:r>
    </w:p>
    <w:p>
      <w:pPr>
        <w:keepNext w:val="0"/>
        <w:keepLines w:val="0"/>
        <w:pageBreakBefore w:val="0"/>
        <w:widowControl w:val="0"/>
        <w:kinsoku/>
        <w:wordWrap/>
        <w:overflowPunct/>
        <w:topLinePunct w:val="0"/>
        <w:autoSpaceDE/>
        <w:autoSpaceDN/>
        <w:bidi w:val="0"/>
        <w:adjustRightInd w:val="0"/>
        <w:snapToGrid w:val="0"/>
        <w:spacing w:line="360" w:lineRule="auto"/>
        <w:ind w:firstLine="3975" w:firstLineChars="900"/>
        <w:jc w:val="both"/>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975" w:firstLineChars="900"/>
        <w:jc w:val="both"/>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975" w:firstLineChars="900"/>
        <w:jc w:val="both"/>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975" w:firstLineChars="900"/>
        <w:jc w:val="both"/>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975" w:firstLineChars="900"/>
        <w:jc w:val="both"/>
        <w:textAlignment w:val="auto"/>
        <w:rPr>
          <w:rFonts w:hint="eastAsia" w:ascii="仿宋" w:hAnsi="仿宋" w:eastAsia="仿宋" w:cs="仿宋"/>
          <w:b/>
          <w:sz w:val="44"/>
          <w:szCs w:val="44"/>
        </w:rPr>
      </w:pPr>
      <w:r>
        <w:rPr>
          <w:rFonts w:hint="eastAsia" w:ascii="仿宋" w:hAnsi="仿宋" w:eastAsia="仿宋" w:cs="仿宋"/>
          <w:b/>
          <w:sz w:val="44"/>
          <w:szCs w:val="44"/>
        </w:rPr>
        <w:t>目 录</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注册房地产估价师声明</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二、估价假设和限制条件</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5</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三、房地产估价结果报告</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7</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估价委托方与估价机构</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7</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估价对象</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7</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估价目的与估价时点</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8</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价值</w:t>
      </w:r>
      <w:r>
        <w:rPr>
          <w:rFonts w:hint="eastAsia" w:ascii="宋体" w:hAnsi="宋体" w:eastAsia="宋体" w:cs="宋体"/>
          <w:b w:val="0"/>
          <w:bCs/>
          <w:sz w:val="28"/>
          <w:szCs w:val="28"/>
          <w:lang w:val="en-US" w:eastAsia="zh-CN"/>
        </w:rPr>
        <w:t xml:space="preserve">定义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8</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估价依据</w:t>
      </w:r>
      <w:r>
        <w:rPr>
          <w:rFonts w:hint="eastAsia" w:ascii="宋体" w:hAnsi="宋体" w:eastAsia="宋体" w:cs="宋体"/>
          <w:b w:val="0"/>
          <w:bCs/>
          <w:sz w:val="28"/>
          <w:szCs w:val="28"/>
          <w:lang w:val="en-US" w:eastAsia="zh-CN"/>
        </w:rPr>
        <w:t xml:space="preserve"> </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8</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rPr>
        <w:t>估价原则</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9</w:t>
      </w:r>
    </w:p>
    <w:p>
      <w:pPr>
        <w:keepNext w:val="0"/>
        <w:keepLines w:val="0"/>
        <w:pageBreakBefore w:val="0"/>
        <w:widowControl w:val="0"/>
        <w:tabs>
          <w:tab w:val="left" w:pos="9180"/>
        </w:tabs>
        <w:kinsoku/>
        <w:wordWrap/>
        <w:overflowPunct/>
        <w:topLinePunct w:val="0"/>
        <w:autoSpaceDE/>
        <w:autoSpaceDN/>
        <w:bidi w:val="0"/>
        <w:adjustRightInd w:val="0"/>
        <w:snapToGrid w:val="0"/>
        <w:spacing w:line="360" w:lineRule="auto"/>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rPr>
        <w:t>估价方法……………………………………………………………………</w:t>
      </w:r>
      <w:r>
        <w:rPr>
          <w:rFonts w:hint="eastAsia" w:ascii="宋体" w:hAnsi="宋体" w:cs="宋体"/>
          <w:b w:val="0"/>
          <w:bCs/>
          <w:sz w:val="28"/>
          <w:szCs w:val="28"/>
          <w:lang w:val="en-US" w:eastAsia="zh-CN"/>
        </w:rPr>
        <w:t>10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估价结果……………………………………………………………………1</w:t>
      </w:r>
      <w:r>
        <w:rPr>
          <w:rFonts w:hint="eastAsia" w:ascii="宋体" w:hAnsi="宋体" w:cs="宋体"/>
          <w:b w:val="0"/>
          <w:bCs/>
          <w:sz w:val="28"/>
          <w:szCs w:val="28"/>
          <w:lang w:val="en-US" w:eastAsia="zh-CN"/>
        </w:rPr>
        <w:t>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rPr>
        <w:t>估价人员……………………………………………………………………1</w:t>
      </w:r>
      <w:r>
        <w:rPr>
          <w:rFonts w:hint="eastAsia" w:ascii="宋体" w:hAnsi="宋体" w:cs="宋体"/>
          <w:b w:val="0"/>
          <w:bCs/>
          <w:sz w:val="28"/>
          <w:szCs w:val="28"/>
          <w:lang w:val="en-US" w:eastAsia="zh-CN"/>
        </w:rPr>
        <w:t>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eastAsia="宋体" w:cs="宋体"/>
          <w:b w:val="0"/>
          <w:bCs/>
          <w:sz w:val="28"/>
          <w:szCs w:val="28"/>
          <w:lang w:val="en-US" w:eastAsia="zh-CN"/>
        </w:rPr>
      </w:pPr>
      <w:r>
        <w:rPr>
          <w:rFonts w:hint="eastAsia" w:ascii="宋体" w:hAnsi="宋体" w:cs="宋体"/>
          <w:b w:val="0"/>
          <w:bCs/>
          <w:sz w:val="28"/>
          <w:szCs w:val="28"/>
          <w:lang w:val="en-US" w:eastAsia="zh-CN"/>
        </w:rPr>
        <w:t>估</w:t>
      </w:r>
      <w:r>
        <w:rPr>
          <w:rFonts w:hint="eastAsia" w:ascii="宋体" w:hAnsi="宋体" w:eastAsia="宋体" w:cs="宋体"/>
          <w:b w:val="0"/>
          <w:bCs/>
          <w:sz w:val="28"/>
          <w:szCs w:val="28"/>
        </w:rPr>
        <w:t>价作业日期………………………………………………………………</w:t>
      </w:r>
      <w:r>
        <w:rPr>
          <w:rFonts w:hint="eastAsia" w:ascii="宋体" w:hAnsi="宋体" w:cs="宋体"/>
          <w:b w:val="0"/>
          <w:bCs/>
          <w:sz w:val="28"/>
          <w:szCs w:val="28"/>
          <w:lang w:val="en-US" w:eastAsia="zh-CN"/>
        </w:rPr>
        <w:t>11</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 xml:space="preserve">估价报告应用的有效期  </w:t>
      </w:r>
      <w:r>
        <w:rPr>
          <w:rFonts w:hint="eastAsia" w:ascii="宋体" w:hAnsi="宋体" w:eastAsia="宋体" w:cs="宋体"/>
          <w:b w:val="0"/>
          <w:bCs/>
          <w:sz w:val="28"/>
          <w:szCs w:val="28"/>
        </w:rPr>
        <w:t>…………………………………………………</w:t>
      </w:r>
      <w:r>
        <w:rPr>
          <w:rFonts w:hint="eastAsia" w:ascii="宋体" w:hAnsi="宋体" w:cs="宋体"/>
          <w:b w:val="0"/>
          <w:bCs/>
          <w:sz w:val="28"/>
          <w:szCs w:val="28"/>
          <w:lang w:val="en-US" w:eastAsia="zh-CN"/>
        </w:rPr>
        <w:t>11</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特别提示</w:t>
      </w:r>
      <w:r>
        <w:rPr>
          <w:rFonts w:hint="eastAsia" w:ascii="宋体" w:hAnsi="宋体" w:eastAsia="宋体" w:cs="宋体"/>
          <w:b w:val="0"/>
          <w:bCs/>
          <w:sz w:val="28"/>
          <w:szCs w:val="28"/>
        </w:rPr>
        <w:t>……………………………………………………………………1</w:t>
      </w:r>
      <w:r>
        <w:rPr>
          <w:rFonts w:hint="eastAsia" w:ascii="宋体" w:hAnsi="宋体" w:cs="宋体"/>
          <w:b w:val="0"/>
          <w:bCs/>
          <w:sz w:val="28"/>
          <w:szCs w:val="28"/>
          <w:lang w:val="en-US" w:eastAsia="zh-CN"/>
        </w:rPr>
        <w:t>1</w:t>
      </w:r>
    </w:p>
    <w:p>
      <w:pPr>
        <w:keepNext w:val="0"/>
        <w:keepLines w:val="0"/>
        <w:pageBreakBefore w:val="0"/>
        <w:widowControl w:val="0"/>
        <w:numPr>
          <w:ilvl w:val="0"/>
          <w:numId w:val="0"/>
        </w:numPr>
        <w:tabs>
          <w:tab w:val="left" w:pos="9180"/>
        </w:tabs>
        <w:kinsoku/>
        <w:wordWrap/>
        <w:overflowPunct/>
        <w:topLinePunct w:val="0"/>
        <w:autoSpaceDE/>
        <w:autoSpaceDN/>
        <w:bidi w:val="0"/>
        <w:adjustRightInd w:val="0"/>
        <w:snapToGrid w:val="0"/>
        <w:spacing w:line="360" w:lineRule="auto"/>
        <w:textAlignment w:val="auto"/>
        <w:rPr>
          <w:rFonts w:hint="default"/>
          <w:b/>
          <w:sz w:val="44"/>
          <w:szCs w:val="44"/>
          <w:lang w:val="en-US"/>
        </w:rPr>
      </w:pPr>
      <w:r>
        <w:rPr>
          <w:rFonts w:hint="eastAsia" w:ascii="宋体" w:hAnsi="宋体" w:cs="宋体"/>
          <w:b w:val="0"/>
          <w:bCs/>
          <w:sz w:val="28"/>
          <w:szCs w:val="28"/>
          <w:lang w:val="en-US" w:eastAsia="zh-CN"/>
        </w:rPr>
        <w:t>五、</w:t>
      </w:r>
      <w:r>
        <w:rPr>
          <w:rFonts w:hint="eastAsia" w:ascii="宋体" w:hAnsi="宋体" w:eastAsia="宋体" w:cs="宋体"/>
          <w:b w:val="0"/>
          <w:bCs/>
          <w:sz w:val="28"/>
          <w:szCs w:val="28"/>
        </w:rPr>
        <w:t>附件……………………………………………………………………</w:t>
      </w:r>
      <w:r>
        <w:rPr>
          <w:rFonts w:hint="eastAsia" w:ascii="宋体" w:hAnsi="宋体" w:cs="宋体"/>
          <w:b w:val="0"/>
          <w:bCs/>
          <w:sz w:val="28"/>
          <w:szCs w:val="28"/>
          <w:lang w:val="en-US" w:eastAsia="zh-CN"/>
        </w:rPr>
        <w:t>13</w:t>
      </w: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b/>
          <w:sz w:val="44"/>
          <w:szCs w:val="44"/>
        </w:rPr>
      </w:pPr>
    </w:p>
    <w:p>
      <w:pPr>
        <w:pStyle w:val="28"/>
        <w:spacing w:line="420" w:lineRule="exact"/>
        <w:ind w:right="560" w:firstLine="2650" w:firstLineChars="600"/>
        <w:rPr>
          <w:rStyle w:val="47"/>
          <w:rFonts w:hAnsi="宋体"/>
          <w:color w:val="000000"/>
          <w:sz w:val="28"/>
          <w:szCs w:val="28"/>
        </w:rPr>
      </w:pPr>
      <w:bookmarkStart w:id="19" w:name="_GoBack"/>
      <w:bookmarkEnd w:id="19"/>
      <w:r>
        <w:rPr>
          <w:b/>
          <w:sz w:val="44"/>
          <w:szCs w:val="44"/>
        </w:rPr>
        <w:t>估 价 师 声 明</w:t>
      </w:r>
      <w:bookmarkEnd w:id="1"/>
    </w:p>
    <w:p>
      <w:pPr>
        <w:pStyle w:val="28"/>
        <w:keepNext w:val="0"/>
        <w:keepLines w:val="0"/>
        <w:pageBreakBefore w:val="0"/>
        <w:widowControl w:val="0"/>
        <w:kinsoku/>
        <w:wordWrap/>
        <w:topLinePunct w:val="0"/>
        <w:bidi w:val="0"/>
        <w:adjustRightInd w:val="0"/>
        <w:snapToGrid w:val="0"/>
        <w:spacing w:beforeLines="50" w:line="480" w:lineRule="auto"/>
        <w:textAlignment w:val="baseline"/>
        <w:rPr>
          <w:rFonts w:hAnsi="宋体"/>
          <w:b/>
          <w:color w:val="000000"/>
          <w:sz w:val="28"/>
        </w:rPr>
      </w:pPr>
      <w:r>
        <w:rPr>
          <w:rStyle w:val="47"/>
          <w:rFonts w:hAnsi="宋体"/>
          <w:color w:val="000000"/>
          <w:sz w:val="28"/>
          <w:szCs w:val="28"/>
        </w:rPr>
        <w:t>我们郑重声明：</w:t>
      </w:r>
    </w:p>
    <w:p>
      <w:pPr>
        <w:pStyle w:val="25"/>
        <w:keepNext w:val="0"/>
        <w:keepLines w:val="0"/>
        <w:pageBreakBefore w:val="0"/>
        <w:widowControl w:val="0"/>
        <w:numPr>
          <w:ilvl w:val="0"/>
          <w:numId w:val="4"/>
        </w:numPr>
        <w:tabs>
          <w:tab w:val="left" w:pos="341"/>
        </w:tabs>
        <w:kinsoku/>
        <w:wordWrap/>
        <w:topLinePunct w:val="0"/>
        <w:bidi w:val="0"/>
        <w:adjustRightInd w:val="0"/>
        <w:snapToGrid w:val="0"/>
        <w:spacing w:line="480" w:lineRule="auto"/>
        <w:ind w:left="0" w:firstLine="567"/>
        <w:textAlignment w:val="baseline"/>
        <w:rPr>
          <w:rFonts w:hint="eastAsia" w:ascii="宋体" w:hAnsi="宋体" w:eastAsia="宋体"/>
        </w:rPr>
      </w:pPr>
      <w:r>
        <w:rPr>
          <w:rFonts w:hint="eastAsia" w:ascii="宋体" w:hAnsi="宋体" w:eastAsia="宋体"/>
        </w:rPr>
        <w:t>我们在本估价报告中陈述的事实是真实的和准确的。</w:t>
      </w:r>
    </w:p>
    <w:p>
      <w:pPr>
        <w:pStyle w:val="25"/>
        <w:keepNext w:val="0"/>
        <w:keepLines w:val="0"/>
        <w:pageBreakBefore w:val="0"/>
        <w:widowControl w:val="0"/>
        <w:numPr>
          <w:ilvl w:val="0"/>
          <w:numId w:val="4"/>
        </w:numPr>
        <w:tabs>
          <w:tab w:val="left" w:pos="341"/>
        </w:tabs>
        <w:kinsoku/>
        <w:wordWrap/>
        <w:topLinePunct w:val="0"/>
        <w:bidi w:val="0"/>
        <w:adjustRightInd w:val="0"/>
        <w:snapToGrid w:val="0"/>
        <w:spacing w:line="480" w:lineRule="auto"/>
        <w:ind w:left="0" w:firstLine="567"/>
        <w:textAlignment w:val="baseline"/>
        <w:rPr>
          <w:rFonts w:hint="eastAsia" w:ascii="宋体" w:hAnsi="宋体" w:eastAsia="宋体"/>
        </w:rPr>
      </w:pPr>
      <w:r>
        <w:rPr>
          <w:rFonts w:hint="eastAsia" w:ascii="宋体" w:hAnsi="宋体" w:eastAsia="宋体"/>
        </w:rPr>
        <w:t>本估价报告中的分析、意见和结论是我们自己公正的专业分析、意见和结论，但受到本估价报告中已说明的假设和限制条件的限制。</w:t>
      </w:r>
    </w:p>
    <w:p>
      <w:pPr>
        <w:pStyle w:val="25"/>
        <w:keepNext w:val="0"/>
        <w:keepLines w:val="0"/>
        <w:pageBreakBefore w:val="0"/>
        <w:widowControl w:val="0"/>
        <w:numPr>
          <w:ilvl w:val="0"/>
          <w:numId w:val="4"/>
        </w:numPr>
        <w:tabs>
          <w:tab w:val="left" w:pos="341"/>
        </w:tabs>
        <w:kinsoku/>
        <w:wordWrap/>
        <w:topLinePunct w:val="0"/>
        <w:bidi w:val="0"/>
        <w:adjustRightInd w:val="0"/>
        <w:snapToGrid w:val="0"/>
        <w:spacing w:line="480" w:lineRule="auto"/>
        <w:ind w:left="0" w:firstLine="567"/>
        <w:textAlignment w:val="baseline"/>
        <w:rPr>
          <w:rFonts w:hint="eastAsia" w:ascii="宋体" w:hAnsi="宋体" w:eastAsia="宋体"/>
        </w:rPr>
      </w:pPr>
      <w:r>
        <w:rPr>
          <w:rFonts w:hint="eastAsia" w:ascii="宋体" w:hAnsi="宋体" w:eastAsia="宋体"/>
        </w:rPr>
        <w:t>我们与本估价报告中的估价对象没有利害关系，也与有关当事人没有个人利害关系或偏见。</w:t>
      </w:r>
    </w:p>
    <w:p>
      <w:pPr>
        <w:pStyle w:val="25"/>
        <w:keepNext w:val="0"/>
        <w:keepLines w:val="0"/>
        <w:pageBreakBefore w:val="0"/>
        <w:widowControl w:val="0"/>
        <w:numPr>
          <w:ilvl w:val="0"/>
          <w:numId w:val="4"/>
        </w:numPr>
        <w:tabs>
          <w:tab w:val="left" w:pos="341"/>
        </w:tabs>
        <w:kinsoku/>
        <w:wordWrap/>
        <w:topLinePunct w:val="0"/>
        <w:bidi w:val="0"/>
        <w:adjustRightInd w:val="0"/>
        <w:snapToGrid w:val="0"/>
        <w:spacing w:line="480" w:lineRule="auto"/>
        <w:ind w:left="0" w:firstLine="567"/>
        <w:textAlignment w:val="baseline"/>
        <w:rPr>
          <w:rFonts w:hint="eastAsia" w:ascii="宋体" w:hAnsi="宋体" w:eastAsia="宋体"/>
        </w:rPr>
      </w:pPr>
      <w:r>
        <w:rPr>
          <w:rFonts w:hint="eastAsia" w:ascii="宋体" w:hAnsi="宋体" w:eastAsia="宋体"/>
        </w:rPr>
        <w:t xml:space="preserve">我们依照中华人民共和国国家标准《房地产估价规范》（GB/T </w:t>
      </w:r>
      <w:r>
        <w:rPr>
          <w:rFonts w:hint="eastAsia" w:ascii="宋体" w:hAnsi="宋体" w:eastAsia="宋体"/>
          <w:lang w:eastAsia="zh-CN"/>
        </w:rPr>
        <w:t>50291</w:t>
      </w:r>
      <w:r>
        <w:rPr>
          <w:rFonts w:hint="eastAsia" w:ascii="宋体" w:hAnsi="宋体" w:eastAsia="宋体"/>
        </w:rPr>
        <w:t>-2015）进行分析，形成意见和结论，撰写本估价报告。</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560" w:firstLineChars="200"/>
        <w:rPr>
          <w:rFonts w:hint="eastAsia" w:hAnsi="宋体"/>
          <w:b/>
          <w:sz w:val="28"/>
        </w:rPr>
      </w:pPr>
      <w:bookmarkStart w:id="2" w:name="_Toc318984179"/>
      <w:r>
        <w:rPr>
          <w:rFonts w:hint="eastAsia" w:hAnsi="宋体"/>
          <w:b w:val="0"/>
          <w:bCs/>
          <w:sz w:val="28"/>
          <w:lang w:val="en-US" w:eastAsia="zh-CN"/>
        </w:rPr>
        <w:t>5.</w:t>
      </w:r>
      <w:r>
        <w:rPr>
          <w:rFonts w:hint="eastAsia" w:hAnsi="宋体"/>
          <w:b w:val="0"/>
          <w:bCs/>
          <w:sz w:val="28"/>
        </w:rPr>
        <w:t>注册房地产估价师签章</w:t>
      </w:r>
      <w:r>
        <w:rPr>
          <w:rFonts w:hint="eastAsia" w:hAnsi="宋体"/>
          <w:b/>
          <w:sz w:val="28"/>
        </w:rPr>
        <w:t>：</w:t>
      </w:r>
    </w:p>
    <w:tbl>
      <w:tblPr>
        <w:tblStyle w:val="17"/>
        <w:tblW w:w="8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118"/>
        <w:gridCol w:w="1382"/>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378" w:type="dxa"/>
            <w:gridSpan w:val="2"/>
            <w:noWrap w:val="0"/>
            <w:vAlign w:val="center"/>
          </w:tcPr>
          <w:p>
            <w:pPr>
              <w:keepNext w:val="0"/>
              <w:keepLines w:val="0"/>
              <w:pageBreakBefore w:val="0"/>
              <w:widowControl w:val="0"/>
              <w:kinsoku/>
              <w:wordWrap/>
              <w:topLinePunct w:val="0"/>
              <w:bidi w:val="0"/>
              <w:spacing w:line="480" w:lineRule="auto"/>
              <w:jc w:val="center"/>
              <w:rPr>
                <w:rFonts w:hint="eastAsia" w:ascii="宋体" w:hAnsi="宋体" w:eastAsia="宋体" w:cs="宋体"/>
                <w:sz w:val="28"/>
                <w:szCs w:val="28"/>
              </w:rPr>
            </w:pPr>
            <w:r>
              <w:rPr>
                <w:rFonts w:hint="eastAsia" w:ascii="宋体" w:hAnsi="宋体" w:eastAsia="宋体" w:cs="宋体"/>
                <w:sz w:val="28"/>
                <w:szCs w:val="28"/>
              </w:rPr>
              <w:t>中国注册房地产估价师</w:t>
            </w:r>
          </w:p>
        </w:tc>
        <w:tc>
          <w:tcPr>
            <w:tcW w:w="4521" w:type="dxa"/>
            <w:gridSpan w:val="2"/>
            <w:noWrap w:val="0"/>
            <w:vAlign w:val="center"/>
          </w:tcPr>
          <w:p>
            <w:pPr>
              <w:keepNext w:val="0"/>
              <w:keepLines w:val="0"/>
              <w:pageBreakBefore w:val="0"/>
              <w:widowControl w:val="0"/>
              <w:kinsoku/>
              <w:wordWrap/>
              <w:topLinePunct w:val="0"/>
              <w:bidi w:val="0"/>
              <w:spacing w:line="480" w:lineRule="auto"/>
              <w:jc w:val="center"/>
              <w:rPr>
                <w:rFonts w:hint="eastAsia" w:ascii="宋体" w:hAnsi="宋体" w:eastAsia="宋体" w:cs="宋体"/>
                <w:sz w:val="28"/>
                <w:szCs w:val="28"/>
              </w:rPr>
            </w:pPr>
            <w:r>
              <w:rPr>
                <w:rFonts w:hint="eastAsia" w:ascii="宋体" w:hAnsi="宋体" w:eastAsia="宋体" w:cs="宋体"/>
                <w:sz w:val="28"/>
                <w:szCs w:val="28"/>
              </w:rPr>
              <w:t>中国注册房地产估价师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0" w:type="dxa"/>
            <w:noWrap w:val="0"/>
            <w:vAlign w:val="top"/>
          </w:tcPr>
          <w:p>
            <w:pPr>
              <w:keepNext w:val="0"/>
              <w:keepLines w:val="0"/>
              <w:pageBreakBefore w:val="0"/>
              <w:widowControl w:val="0"/>
              <w:kinsoku/>
              <w:wordWrap/>
              <w:topLinePunct w:val="0"/>
              <w:bidi w:val="0"/>
              <w:spacing w:line="480" w:lineRule="auto"/>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陈佳思</w:t>
            </w:r>
          </w:p>
        </w:tc>
        <w:tc>
          <w:tcPr>
            <w:tcW w:w="3118" w:type="dxa"/>
            <w:noWrap w:val="0"/>
            <w:vAlign w:val="top"/>
          </w:tcPr>
          <w:p>
            <w:pPr>
              <w:keepNext w:val="0"/>
              <w:keepLines w:val="0"/>
              <w:pageBreakBefore w:val="0"/>
              <w:widowControl w:val="0"/>
              <w:kinsoku/>
              <w:wordWrap/>
              <w:topLinePunct w:val="0"/>
              <w:bidi w:val="0"/>
              <w:spacing w:line="480" w:lineRule="auto"/>
              <w:ind w:left="282"/>
              <w:rPr>
                <w:rFonts w:hint="default" w:ascii="宋体" w:hAnsi="宋体" w:eastAsia="宋体" w:cs="宋体"/>
                <w:sz w:val="28"/>
                <w:szCs w:val="28"/>
                <w:lang w:val="en-US" w:eastAsia="zh-CN"/>
              </w:rPr>
            </w:pPr>
            <w:r>
              <w:rPr>
                <w:rFonts w:hint="eastAsia" w:ascii="宋体" w:hAnsi="宋体" w:eastAsia="宋体" w:cs="宋体"/>
                <w:sz w:val="28"/>
                <w:szCs w:val="28"/>
              </w:rPr>
              <w:t>注册号：1520</w:t>
            </w:r>
            <w:r>
              <w:rPr>
                <w:rFonts w:hint="eastAsia" w:ascii="宋体" w:hAnsi="宋体" w:eastAsia="宋体" w:cs="宋体"/>
                <w:sz w:val="28"/>
                <w:szCs w:val="28"/>
                <w:lang w:val="en-US" w:eastAsia="zh-CN"/>
              </w:rPr>
              <w:t>190010</w:t>
            </w:r>
          </w:p>
        </w:tc>
        <w:tc>
          <w:tcPr>
            <w:tcW w:w="1382" w:type="dxa"/>
            <w:noWrap w:val="0"/>
            <w:vAlign w:val="top"/>
          </w:tcPr>
          <w:p>
            <w:pPr>
              <w:keepNext w:val="0"/>
              <w:keepLines w:val="0"/>
              <w:pageBreakBefore w:val="0"/>
              <w:widowControl w:val="0"/>
              <w:kinsoku/>
              <w:wordWrap/>
              <w:topLinePunct w:val="0"/>
              <w:bidi w:val="0"/>
              <w:spacing w:line="480" w:lineRule="auto"/>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刘志红</w:t>
            </w:r>
          </w:p>
        </w:tc>
        <w:tc>
          <w:tcPr>
            <w:tcW w:w="3139" w:type="dxa"/>
            <w:noWrap w:val="0"/>
            <w:vAlign w:val="top"/>
          </w:tcPr>
          <w:p>
            <w:pPr>
              <w:keepNext w:val="0"/>
              <w:keepLines w:val="0"/>
              <w:pageBreakBefore w:val="0"/>
              <w:widowControl w:val="0"/>
              <w:kinsoku/>
              <w:wordWrap/>
              <w:topLinePunct w:val="0"/>
              <w:bidi w:val="0"/>
              <w:spacing w:line="480" w:lineRule="auto"/>
              <w:ind w:left="237"/>
              <w:rPr>
                <w:rFonts w:hint="default" w:ascii="宋体" w:hAnsi="宋体" w:eastAsia="宋体" w:cs="宋体"/>
                <w:sz w:val="28"/>
                <w:szCs w:val="28"/>
                <w:lang w:val="en-US" w:eastAsia="zh-CN"/>
              </w:rPr>
            </w:pPr>
            <w:r>
              <w:rPr>
                <w:rFonts w:hint="eastAsia" w:ascii="宋体" w:hAnsi="宋体" w:eastAsia="宋体" w:cs="宋体"/>
                <w:sz w:val="28"/>
                <w:szCs w:val="28"/>
              </w:rPr>
              <w:t>注册号：15201</w:t>
            </w:r>
            <w:r>
              <w:rPr>
                <w:rFonts w:hint="eastAsia" w:ascii="宋体" w:hAnsi="宋体" w:eastAsia="宋体" w:cs="宋体"/>
                <w:sz w:val="28"/>
                <w:szCs w:val="28"/>
                <w:lang w:val="en-US" w:eastAsia="zh-CN"/>
              </w:rPr>
              <w:t>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4378" w:type="dxa"/>
            <w:gridSpan w:val="2"/>
            <w:noWrap w:val="0"/>
            <w:vAlign w:val="top"/>
          </w:tcPr>
          <w:p>
            <w:pPr>
              <w:keepNext w:val="0"/>
              <w:keepLines w:val="0"/>
              <w:pageBreakBefore w:val="0"/>
              <w:widowControl w:val="0"/>
              <w:kinsoku/>
              <w:wordWrap/>
              <w:topLinePunct w:val="0"/>
              <w:bidi w:val="0"/>
              <w:spacing w:line="480" w:lineRule="auto"/>
              <w:ind w:firstLine="1260" w:firstLineChars="450"/>
              <w:rPr>
                <w:rFonts w:hint="eastAsia" w:ascii="宋体" w:hAnsi="宋体" w:eastAsia="宋体" w:cs="宋体"/>
                <w:sz w:val="28"/>
                <w:szCs w:val="28"/>
              </w:rPr>
            </w:pPr>
          </w:p>
          <w:p>
            <w:pPr>
              <w:keepNext w:val="0"/>
              <w:keepLines w:val="0"/>
              <w:pageBreakBefore w:val="0"/>
              <w:widowControl w:val="0"/>
              <w:kinsoku/>
              <w:wordWrap/>
              <w:topLinePunct w:val="0"/>
              <w:bidi w:val="0"/>
              <w:spacing w:line="480" w:lineRule="auto"/>
              <w:ind w:firstLine="1260" w:firstLineChars="450"/>
              <w:rPr>
                <w:rFonts w:hint="eastAsia" w:ascii="宋体" w:hAnsi="宋体" w:eastAsia="宋体" w:cs="宋体"/>
                <w:sz w:val="28"/>
                <w:szCs w:val="28"/>
              </w:rPr>
            </w:pPr>
          </w:p>
        </w:tc>
        <w:tc>
          <w:tcPr>
            <w:tcW w:w="4521" w:type="dxa"/>
            <w:gridSpan w:val="2"/>
            <w:noWrap w:val="0"/>
            <w:vAlign w:val="top"/>
          </w:tcPr>
          <w:p>
            <w:pPr>
              <w:keepNext w:val="0"/>
              <w:keepLines w:val="0"/>
              <w:pageBreakBefore w:val="0"/>
              <w:widowControl w:val="0"/>
              <w:kinsoku/>
              <w:wordWrap/>
              <w:topLinePunct w:val="0"/>
              <w:bidi w:val="0"/>
              <w:spacing w:line="480" w:lineRule="auto"/>
              <w:ind w:firstLine="1260" w:firstLineChars="450"/>
              <w:rPr>
                <w:rFonts w:hint="eastAsia" w:ascii="宋体" w:hAnsi="宋体" w:eastAsia="宋体" w:cs="宋体"/>
                <w:sz w:val="28"/>
                <w:szCs w:val="28"/>
              </w:rPr>
            </w:pPr>
          </w:p>
          <w:p>
            <w:pPr>
              <w:keepNext w:val="0"/>
              <w:keepLines w:val="0"/>
              <w:pageBreakBefore w:val="0"/>
              <w:widowControl w:val="0"/>
              <w:kinsoku/>
              <w:wordWrap/>
              <w:topLinePunct w:val="0"/>
              <w:bidi w:val="0"/>
              <w:spacing w:line="480" w:lineRule="auto"/>
              <w:ind w:firstLine="1260" w:firstLineChars="450"/>
              <w:rPr>
                <w:rFonts w:hint="eastAsia" w:ascii="宋体" w:hAnsi="宋体" w:eastAsia="宋体" w:cs="宋体"/>
                <w:sz w:val="28"/>
                <w:szCs w:val="28"/>
              </w:rPr>
            </w:pPr>
          </w:p>
        </w:tc>
      </w:tr>
    </w:tbl>
    <w:p>
      <w:pPr>
        <w:pStyle w:val="2"/>
        <w:keepNext w:val="0"/>
        <w:keepLines w:val="0"/>
        <w:pageBreakBefore w:val="0"/>
        <w:widowControl w:val="0"/>
        <w:tabs>
          <w:tab w:val="center" w:pos="4677"/>
        </w:tabs>
        <w:kinsoku/>
        <w:wordWrap/>
        <w:overflowPunct/>
        <w:topLinePunct w:val="0"/>
        <w:autoSpaceDE/>
        <w:autoSpaceDN/>
        <w:bidi w:val="0"/>
        <w:adjustRightInd/>
        <w:snapToGrid/>
        <w:spacing w:before="100" w:beforeAutospacing="1" w:after="100" w:afterAutospacing="1" w:line="480" w:lineRule="auto"/>
        <w:jc w:val="both"/>
        <w:textAlignment w:val="auto"/>
        <w:rPr>
          <w:rFonts w:hint="eastAsia" w:ascii="仿宋" w:hAnsi="仿宋" w:eastAsia="仿宋" w:cs="仿宋"/>
          <w:sz w:val="44"/>
          <w:szCs w:val="44"/>
        </w:rPr>
      </w:pPr>
      <w:r>
        <w:rPr>
          <w:rFonts w:hint="eastAsia" w:ascii="宋体" w:hAnsi="宋体"/>
          <w:sz w:val="36"/>
          <w:szCs w:val="36"/>
          <w:lang w:val="en-US" w:eastAsia="zh-CN"/>
        </w:rPr>
        <w:t xml:space="preserve"> </w:t>
      </w:r>
      <w:bookmarkEnd w:id="2"/>
      <w:bookmarkStart w:id="3" w:name="_Toc318984184"/>
    </w:p>
    <w:p>
      <w:pPr>
        <w:pStyle w:val="2"/>
        <w:keepNext w:val="0"/>
        <w:keepLines w:val="0"/>
        <w:pageBreakBefore w:val="0"/>
        <w:widowControl w:val="0"/>
        <w:tabs>
          <w:tab w:val="center" w:pos="4677"/>
        </w:tabs>
        <w:kinsoku/>
        <w:wordWrap/>
        <w:overflowPunct/>
        <w:topLinePunct w:val="0"/>
        <w:autoSpaceDE/>
        <w:autoSpaceDN/>
        <w:bidi w:val="0"/>
        <w:adjustRightInd/>
        <w:snapToGrid/>
        <w:spacing w:before="100" w:beforeAutospacing="1" w:after="100" w:afterAutospacing="1" w:line="360" w:lineRule="auto"/>
        <w:ind w:firstLine="1325" w:firstLineChars="300"/>
        <w:jc w:val="both"/>
        <w:textAlignment w:val="auto"/>
        <w:rPr>
          <w:rFonts w:hint="eastAsia" w:ascii="仿宋" w:hAnsi="仿宋" w:eastAsia="仿宋" w:cs="仿宋"/>
          <w:sz w:val="44"/>
          <w:szCs w:val="44"/>
        </w:rPr>
      </w:pPr>
    </w:p>
    <w:p>
      <w:pPr>
        <w:pStyle w:val="2"/>
        <w:keepNext w:val="0"/>
        <w:keepLines w:val="0"/>
        <w:pageBreakBefore w:val="0"/>
        <w:widowControl w:val="0"/>
        <w:tabs>
          <w:tab w:val="center" w:pos="4677"/>
        </w:tabs>
        <w:kinsoku/>
        <w:wordWrap/>
        <w:overflowPunct/>
        <w:topLinePunct w:val="0"/>
        <w:autoSpaceDE/>
        <w:autoSpaceDN/>
        <w:bidi w:val="0"/>
        <w:adjustRightInd/>
        <w:snapToGrid/>
        <w:spacing w:before="100" w:beforeAutospacing="1" w:after="100" w:afterAutospacing="1" w:line="360" w:lineRule="auto"/>
        <w:ind w:firstLine="1325" w:firstLineChars="300"/>
        <w:jc w:val="both"/>
        <w:textAlignment w:val="auto"/>
        <w:rPr>
          <w:rFonts w:hint="eastAsia" w:ascii="仿宋" w:hAnsi="仿宋" w:eastAsia="仿宋" w:cs="仿宋"/>
          <w:sz w:val="44"/>
          <w:szCs w:val="44"/>
        </w:rPr>
      </w:pPr>
      <w:r>
        <w:rPr>
          <w:rFonts w:hint="eastAsia" w:ascii="仿宋" w:hAnsi="仿宋" w:eastAsia="仿宋" w:cs="仿宋"/>
          <w:sz w:val="44"/>
          <w:szCs w:val="44"/>
        </w:rPr>
        <w:t>估 价 的 假 设 和 限 制 条 件</w:t>
      </w:r>
      <w:bookmarkStart w:id="4" w:name="_Toc347142421"/>
      <w:bookmarkStart w:id="5" w:name="_Toc209953879"/>
    </w:p>
    <w:p>
      <w:pPr>
        <w:pStyle w:val="2"/>
        <w:keepNext w:val="0"/>
        <w:keepLines w:val="0"/>
        <w:pageBreakBefore w:val="0"/>
        <w:widowControl w:val="0"/>
        <w:tabs>
          <w:tab w:val="center" w:pos="4677"/>
        </w:tabs>
        <w:kinsoku/>
        <w:wordWrap/>
        <w:overflowPunct/>
        <w:topLinePunct w:val="0"/>
        <w:autoSpaceDE/>
        <w:autoSpaceDN/>
        <w:bidi w:val="0"/>
        <w:adjustRightInd/>
        <w:snapToGrid/>
        <w:spacing w:before="100" w:beforeAutospacing="1" w:after="100" w:afterAutospacing="1" w:line="360" w:lineRule="auto"/>
        <w:jc w:val="both"/>
        <w:textAlignment w:val="auto"/>
        <w:rPr>
          <w:rFonts w:hint="eastAsia"/>
        </w:rPr>
      </w:pPr>
      <w:r>
        <w:rPr>
          <w:rFonts w:hint="eastAsia" w:ascii="宋体" w:hAnsi="宋体" w:eastAsia="宋体" w:cs="宋体"/>
          <w:b/>
          <w:bCs/>
          <w:sz w:val="28"/>
          <w:szCs w:val="28"/>
        </w:rPr>
        <w:t>（一）估价假设条件</w:t>
      </w:r>
    </w:p>
    <w:bookmarkEnd w:id="4"/>
    <w:bookmarkEnd w:id="5"/>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.一般假设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rPr>
      </w:pPr>
      <w:r>
        <w:rPr>
          <w:rFonts w:hint="eastAsia" w:ascii="宋体" w:hAnsi="宋体" w:eastAsia="宋体" w:cs="宋体"/>
          <w:sz w:val="28"/>
          <w:szCs w:val="28"/>
          <w:lang w:val="en-US" w:eastAsia="zh-CN"/>
        </w:rPr>
        <w:t>我们对</w:t>
      </w:r>
      <w:r>
        <w:rPr>
          <w:rFonts w:hint="eastAsia" w:ascii="宋体" w:hAnsi="宋体" w:eastAsia="宋体" w:cs="宋体"/>
          <w:sz w:val="28"/>
        </w:rPr>
        <w:t>估价报告所依据的</w:t>
      </w:r>
      <w:r>
        <w:rPr>
          <w:rFonts w:hint="eastAsia" w:ascii="宋体" w:hAnsi="宋体" w:eastAsia="宋体" w:cs="宋体"/>
          <w:sz w:val="28"/>
          <w:lang w:val="en-US" w:eastAsia="zh-CN"/>
        </w:rPr>
        <w:t>估价对象的权属</w:t>
      </w:r>
      <w:r>
        <w:rPr>
          <w:rFonts w:hint="eastAsia" w:ascii="宋体" w:hAnsi="宋体" w:eastAsia="宋体" w:cs="宋体"/>
          <w:sz w:val="28"/>
          <w:lang w:eastAsia="zh-CN"/>
        </w:rPr>
        <w:t>、</w:t>
      </w:r>
      <w:r>
        <w:rPr>
          <w:rFonts w:hint="eastAsia" w:ascii="宋体" w:hAnsi="宋体" w:eastAsia="宋体" w:cs="宋体"/>
          <w:sz w:val="28"/>
        </w:rPr>
        <w:t>建筑面积</w:t>
      </w:r>
      <w:r>
        <w:rPr>
          <w:rFonts w:hint="eastAsia" w:ascii="宋体" w:hAnsi="宋体" w:eastAsia="宋体" w:cs="宋体"/>
          <w:sz w:val="28"/>
          <w:lang w:eastAsia="zh-CN"/>
        </w:rPr>
        <w:t>、</w:t>
      </w:r>
      <w:r>
        <w:rPr>
          <w:rFonts w:hint="eastAsia" w:ascii="宋体" w:hAnsi="宋体" w:eastAsia="宋体" w:cs="宋体"/>
          <w:sz w:val="28"/>
          <w:lang w:val="en-US" w:eastAsia="zh-CN"/>
        </w:rPr>
        <w:t>用途等</w:t>
      </w:r>
      <w:r>
        <w:rPr>
          <w:rFonts w:hint="eastAsia" w:ascii="宋体" w:hAnsi="宋体" w:eastAsia="宋体" w:cs="宋体"/>
          <w:sz w:val="28"/>
        </w:rPr>
        <w:t>资料</w:t>
      </w:r>
      <w:r>
        <w:rPr>
          <w:rFonts w:hint="eastAsia" w:ascii="宋体" w:hAnsi="宋体" w:eastAsia="宋体" w:cs="宋体"/>
          <w:sz w:val="28"/>
          <w:lang w:val="en-US" w:eastAsia="zh-CN"/>
        </w:rPr>
        <w:t>进行了检查</w:t>
      </w:r>
      <w:r>
        <w:rPr>
          <w:rFonts w:hint="eastAsia" w:ascii="宋体" w:hAnsi="宋体" w:eastAsia="宋体" w:cs="宋体"/>
          <w:sz w:val="28"/>
        </w:rPr>
        <w:t>，</w:t>
      </w:r>
      <w:r>
        <w:rPr>
          <w:rFonts w:hint="eastAsia" w:ascii="宋体" w:hAnsi="宋体" w:eastAsia="宋体" w:cs="宋体"/>
          <w:sz w:val="28"/>
          <w:lang w:val="en-US" w:eastAsia="zh-CN"/>
        </w:rPr>
        <w:t>我们假定其是合法、真实、准确和完整的</w:t>
      </w:r>
      <w:r>
        <w:rPr>
          <w:rFonts w:hint="eastAsia" w:ascii="宋体" w:hAnsi="宋体" w:eastAsia="宋体" w:cs="宋体"/>
          <w:sz w:val="28"/>
        </w:rPr>
        <w:t>。估价人员对估价对象的现场勘察仅限于估价对象的外观、室内和使用状况，并未对结构等内在质量进行测试，故不能确定其有无缺陷。本报告以估价对象内在质量符合国家有关标准并足以维持其正常使用为假设前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2.未定事项假设，无</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3.背离事实假设，估价对象存在抵押权以及被法院查封，由于上述两种限制会随着拍卖的完成，其限制全会得以解决，故本次估价假设估价对象无任何限制条件，是完整的产权。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不相一致假设</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估价委托人未提供估价对象的欠缴税费、物业费、供暖费、水电气等及其滞纳金情况，本次评估假设评估对象不存在欠缴税费、物业费、供暖费、水电气等及其滞纳金情况，若评估对象拖欠以上相关费用，该评估价格需做相应调整，不能直接使用本评估结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二</w:t>
      </w:r>
      <w:r>
        <w:rPr>
          <w:rFonts w:hint="eastAsia" w:ascii="宋体" w:hAnsi="宋体" w:eastAsia="宋体" w:cs="宋体"/>
          <w:color w:val="000000"/>
          <w:sz w:val="28"/>
          <w:szCs w:val="28"/>
        </w:rPr>
        <w:t>）估价限制</w:t>
      </w:r>
      <w:r>
        <w:rPr>
          <w:rFonts w:hint="eastAsia" w:ascii="宋体" w:hAnsi="宋体" w:cs="宋体"/>
          <w:color w:val="000000"/>
          <w:sz w:val="28"/>
          <w:szCs w:val="28"/>
          <w:lang w:val="en-US" w:eastAsia="zh-CN"/>
        </w:rPr>
        <w:t>条件</w:t>
      </w:r>
    </w:p>
    <w:p>
      <w:pPr>
        <w:keepNext w:val="0"/>
        <w:keepLines w:val="0"/>
        <w:pageBreakBefore w:val="0"/>
        <w:widowControl w:val="0"/>
        <w:tabs>
          <w:tab w:val="left" w:pos="362"/>
          <w:tab w:val="left" w:pos="905"/>
          <w:tab w:val="left" w:pos="1991"/>
        </w:tabs>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lang w:eastAsia="zh-CN"/>
        </w:rPr>
      </w:pPr>
      <w:r>
        <w:rPr>
          <w:rFonts w:hint="eastAsia" w:ascii="宋体" w:hAnsi="宋体" w:eastAsia="宋体" w:cs="宋体"/>
          <w:color w:val="000000"/>
          <w:sz w:val="28"/>
          <w:szCs w:val="28"/>
        </w:rPr>
        <w:t>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w:t>
      </w:r>
      <w:r>
        <w:rPr>
          <w:rFonts w:hint="eastAsia" w:ascii="宋体" w:hAnsi="宋体" w:eastAsia="宋体" w:cs="宋体"/>
          <w:sz w:val="28"/>
          <w:szCs w:val="28"/>
        </w:rPr>
        <w:t>本报告使用者在应用本估价报告时，应明确本次评估的价格定义及本估价报告中的“估价假设和限制条件”，本报告估价结果是估价对象在满足全部假设与限制条件下，于估价时点在现状利用条件下的房产公开市场价格，</w:t>
      </w:r>
      <w:r>
        <w:rPr>
          <w:rFonts w:hint="eastAsia" w:ascii="宋体" w:hAnsi="宋体" w:eastAsia="宋体" w:cs="宋体"/>
          <w:sz w:val="28"/>
          <w:szCs w:val="28"/>
          <w:lang w:eastAsia="zh-CN"/>
        </w:rPr>
        <w:t>若</w:t>
      </w:r>
      <w:r>
        <w:rPr>
          <w:rFonts w:hint="eastAsia" w:ascii="宋体" w:hAnsi="宋体" w:eastAsia="宋体" w:cs="宋体"/>
          <w:sz w:val="28"/>
          <w:szCs w:val="28"/>
        </w:rPr>
        <w:t>价值时点、房屋利用状况等影响房地产价格的因素发生变化，则估价结果应作相应调整</w:t>
      </w:r>
      <w:r>
        <w:rPr>
          <w:rFonts w:hint="eastAsia" w:ascii="宋体" w:hAnsi="宋体" w:cs="宋体"/>
          <w:sz w:val="28"/>
          <w:szCs w:val="28"/>
          <w:lang w:eastAsia="zh-CN"/>
        </w:rPr>
        <w:t>。</w:t>
      </w:r>
    </w:p>
    <w:p>
      <w:pPr>
        <w:keepNext w:val="0"/>
        <w:keepLines w:val="0"/>
        <w:pageBreakBefore w:val="0"/>
        <w:widowControl w:val="0"/>
        <w:tabs>
          <w:tab w:val="left" w:pos="362"/>
          <w:tab w:val="left" w:pos="905"/>
          <w:tab w:val="left" w:pos="1991"/>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rPr>
        <w:t>本</w:t>
      </w:r>
      <w:r>
        <w:rPr>
          <w:rFonts w:hint="eastAsia" w:ascii="宋体" w:hAnsi="宋体" w:eastAsia="宋体" w:cs="宋体"/>
          <w:sz w:val="28"/>
          <w:szCs w:val="28"/>
        </w:rPr>
        <w:t>估价</w:t>
      </w:r>
      <w:r>
        <w:rPr>
          <w:rFonts w:hint="eastAsia" w:ascii="宋体" w:hAnsi="宋体" w:eastAsia="宋体" w:cs="宋体"/>
          <w:sz w:val="28"/>
        </w:rPr>
        <w:t>报告仅作为委托方在本次估价目的下使用，若改变估价目的或使用条件需向本估价机构咨询后作必要修正甚至重新估价</w:t>
      </w:r>
      <w:r>
        <w:rPr>
          <w:rFonts w:hint="eastAsia" w:ascii="宋体" w:hAnsi="宋体" w:cs="宋体"/>
          <w:sz w:val="28"/>
          <w:lang w:eastAsia="zh-CN"/>
        </w:rPr>
        <w:t>。</w:t>
      </w:r>
    </w:p>
    <w:p>
      <w:pPr>
        <w:keepNext w:val="0"/>
        <w:keepLines w:val="0"/>
        <w:pageBreakBefore w:val="0"/>
        <w:widowControl w:val="0"/>
        <w:tabs>
          <w:tab w:val="left" w:pos="0"/>
          <w:tab w:val="left" w:pos="1086"/>
          <w:tab w:val="left" w:pos="1267"/>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rPr>
        <w:t>本报告估价结果没有考虑快速变现、税费转嫁等特殊的交易方式，以及可能发生的办理产权登记、权利转移相关费用对估价对象房产价值的影响，也未考虑国家宏观政策发生变化，以及遇有自然力和其他不可抗力对估价对象房产价值的影响</w:t>
      </w:r>
      <w:r>
        <w:rPr>
          <w:rFonts w:hint="eastAsia" w:ascii="宋体" w:hAnsi="宋体" w:cs="宋体"/>
          <w:sz w:val="28"/>
          <w:lang w:eastAsia="zh-CN"/>
        </w:rPr>
        <w:t>。</w:t>
      </w:r>
    </w:p>
    <w:p>
      <w:pPr>
        <w:keepNext w:val="0"/>
        <w:keepLines w:val="0"/>
        <w:pageBreakBefore w:val="0"/>
        <w:widowControl w:val="0"/>
        <w:tabs>
          <w:tab w:val="left" w:pos="0"/>
          <w:tab w:val="left" w:pos="181"/>
          <w:tab w:val="left" w:pos="362"/>
          <w:tab w:val="left" w:pos="724"/>
          <w:tab w:val="left" w:pos="905"/>
        </w:tabs>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rPr>
        <w:t>本估价报告的结果为评估范围内房产的整体市场价格，应整体使用。本估价报告分《估价结果报告》和《估价技术报告》，估价报告书附件为报告的有机组成部分</w:t>
      </w:r>
      <w:r>
        <w:rPr>
          <w:rFonts w:hint="eastAsia" w:ascii="宋体" w:hAnsi="宋体" w:eastAsia="宋体" w:cs="宋体"/>
          <w:sz w:val="28"/>
          <w:szCs w:val="28"/>
        </w:rPr>
        <w:t>，与报告具有同等效力，不可分割对待</w:t>
      </w:r>
      <w:r>
        <w:rPr>
          <w:rFonts w:hint="eastAsia" w:ascii="宋体" w:hAnsi="宋体" w:cs="宋体"/>
          <w:sz w:val="28"/>
          <w:szCs w:val="28"/>
          <w:lang w:eastAsia="zh-CN"/>
        </w:rPr>
        <w:t>。</w:t>
      </w:r>
    </w:p>
    <w:p>
      <w:pPr>
        <w:keepNext w:val="0"/>
        <w:keepLines w:val="0"/>
        <w:pageBreakBefore w:val="0"/>
        <w:widowControl w:val="0"/>
        <w:tabs>
          <w:tab w:val="left" w:pos="362"/>
          <w:tab w:val="left" w:pos="905"/>
          <w:tab w:val="left" w:pos="1267"/>
          <w:tab w:val="left" w:pos="1991"/>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000000"/>
          <w:sz w:val="28"/>
          <w:szCs w:val="28"/>
          <w:lang w:val="en-US"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本次评估在市场没有较大波动情况下的有效期限为壹年（</w:t>
      </w:r>
      <w:r>
        <w:rPr>
          <w:rFonts w:hint="eastAsia" w:ascii="宋体" w:hAnsi="宋体" w:cs="宋体"/>
          <w:color w:val="000000" w:themeColor="text1"/>
          <w:sz w:val="28"/>
          <w:szCs w:val="28"/>
          <w:lang w:eastAsia="zh-CN"/>
          <w14:textFill>
            <w14:solidFill>
              <w14:schemeClr w14:val="tx1"/>
            </w14:solidFill>
          </w14:textFill>
        </w:rPr>
        <w:t>202</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至20</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日），如在一年中房地产市场状况和</w:t>
      </w:r>
      <w:r>
        <w:rPr>
          <w:rFonts w:hint="eastAsia" w:ascii="宋体" w:hAnsi="宋体" w:eastAsia="宋体" w:cs="宋体"/>
          <w:color w:val="000000"/>
          <w:sz w:val="28"/>
          <w:szCs w:val="28"/>
        </w:rPr>
        <w:t>估价对象自身情况发生变化，或政府有关政策有重大调整以及不可抗力等状况出现，对估价对象价格产生明显影响</w:t>
      </w:r>
      <w:r>
        <w:rPr>
          <w:rFonts w:hint="eastAsia" w:ascii="宋体" w:hAnsi="宋体" w:eastAsia="宋体" w:cs="宋体"/>
          <w:sz w:val="28"/>
          <w:szCs w:val="28"/>
        </w:rPr>
        <w:t>时，不能直接使用本报告，估价结果应作相应调整，有效期也应随之调整。</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7" w:firstLineChars="0"/>
        <w:textAlignment w:val="auto"/>
        <w:rPr>
          <w:sz w:val="36"/>
          <w:szCs w:val="36"/>
        </w:rPr>
      </w:pPr>
      <w:r>
        <w:rPr>
          <w:rFonts w:hint="eastAsia" w:ascii="宋体" w:hAnsi="宋体" w:eastAsia="宋体" w:cs="宋体"/>
          <w:color w:val="000000"/>
          <w:sz w:val="28"/>
          <w:szCs w:val="28"/>
        </w:rPr>
        <w:t>本报告中的数据全部采用电算化连续计算得出，由于在报告中计算的数据均按四舍五入进行取整，因此，可能出现个别等式左右不完全相等的情况。但些种情况不影响计算结果及最终估价结果的客观准确性。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567" w:leftChars="0"/>
        <w:textAlignment w:val="auto"/>
        <w:rPr>
          <w:sz w:val="36"/>
          <w:szCs w:val="36"/>
        </w:rPr>
      </w:pPr>
    </w:p>
    <w:p>
      <w:pPr>
        <w:pStyle w:val="2"/>
        <w:adjustRightInd w:val="0"/>
        <w:snapToGrid w:val="0"/>
        <w:spacing w:before="0" w:after="0" w:line="600" w:lineRule="exact"/>
        <w:ind w:firstLine="2168" w:firstLineChars="600"/>
        <w:jc w:val="both"/>
        <w:rPr>
          <w:sz w:val="36"/>
          <w:szCs w:val="36"/>
        </w:rPr>
      </w:pPr>
    </w:p>
    <w:p>
      <w:pPr>
        <w:pStyle w:val="2"/>
        <w:adjustRightInd w:val="0"/>
        <w:snapToGrid w:val="0"/>
        <w:spacing w:before="0" w:after="0" w:line="600" w:lineRule="exact"/>
        <w:ind w:firstLine="2168" w:firstLineChars="600"/>
        <w:jc w:val="both"/>
        <w:rPr>
          <w:color w:val="000000"/>
        </w:rPr>
      </w:pPr>
      <w:r>
        <w:rPr>
          <w:sz w:val="36"/>
          <w:szCs w:val="36"/>
        </w:rPr>
        <w:t>房 地 产 估 价 结 果 报 告</w:t>
      </w:r>
      <w:bookmarkEnd w:id="3"/>
    </w:p>
    <w:p>
      <w:pPr>
        <w:pStyle w:val="3"/>
        <w:widowControl w:val="0"/>
        <w:wordWrap/>
        <w:adjustRightInd w:val="0"/>
        <w:snapToGrid w:val="0"/>
        <w:spacing w:before="0" w:after="0" w:line="560" w:lineRule="exact"/>
        <w:textAlignment w:val="auto"/>
        <w:rPr>
          <w:rStyle w:val="47"/>
          <w:rFonts w:ascii="宋体" w:hAnsi="宋体"/>
          <w:b/>
          <w:bCs/>
          <w:sz w:val="28"/>
          <w:szCs w:val="28"/>
        </w:rPr>
      </w:pPr>
      <w:bookmarkStart w:id="6" w:name="_Toc318984185"/>
    </w:p>
    <w:p>
      <w:pPr>
        <w:pStyle w:val="3"/>
        <w:widowControl w:val="0"/>
        <w:wordWrap/>
        <w:adjustRightInd w:val="0"/>
        <w:snapToGrid w:val="0"/>
        <w:spacing w:before="0" w:after="0" w:line="560" w:lineRule="exact"/>
        <w:textAlignment w:val="auto"/>
        <w:rPr>
          <w:rStyle w:val="47"/>
          <w:rFonts w:ascii="宋体" w:hAnsi="宋体"/>
          <w:b/>
          <w:bCs/>
          <w:sz w:val="28"/>
          <w:szCs w:val="28"/>
        </w:rPr>
      </w:pPr>
      <w:r>
        <w:rPr>
          <w:rStyle w:val="47"/>
          <w:rFonts w:ascii="宋体" w:hAnsi="宋体"/>
          <w:b/>
          <w:bCs/>
          <w:sz w:val="28"/>
          <w:szCs w:val="28"/>
        </w:rPr>
        <w:t>一、</w:t>
      </w:r>
      <w:bookmarkEnd w:id="6"/>
      <w:r>
        <w:rPr>
          <w:rStyle w:val="47"/>
          <w:rFonts w:ascii="宋体" w:hAnsi="宋体"/>
          <w:b/>
          <w:bCs/>
          <w:sz w:val="28"/>
          <w:szCs w:val="28"/>
        </w:rPr>
        <w:t>估价委托人</w:t>
      </w:r>
    </w:p>
    <w:p>
      <w:pPr>
        <w:pStyle w:val="28"/>
        <w:widowControl w:val="0"/>
        <w:wordWrap/>
        <w:adjustRightInd w:val="0"/>
        <w:snapToGrid w:val="0"/>
        <w:spacing w:line="560" w:lineRule="exact"/>
        <w:textAlignment w:val="auto"/>
        <w:rPr>
          <w:rFonts w:hint="eastAsia" w:hAnsi="宋体" w:eastAsia="宋体"/>
          <w:color w:val="000000"/>
          <w:sz w:val="28"/>
          <w:lang w:val="en-US" w:eastAsia="zh-CN"/>
        </w:rPr>
      </w:pPr>
      <w:r>
        <w:rPr>
          <w:rFonts w:hAnsi="宋体"/>
          <w:color w:val="000000"/>
          <w:sz w:val="28"/>
        </w:rPr>
        <w:t>委托估价机构：</w:t>
      </w:r>
      <w:r>
        <w:rPr>
          <w:rFonts w:hint="eastAsia" w:hAnsi="宋体"/>
          <w:b w:val="0"/>
          <w:bCs/>
          <w:snapToGrid w:val="0"/>
          <w:color w:val="000000"/>
          <w:kern w:val="0"/>
          <w:sz w:val="28"/>
          <w:szCs w:val="28"/>
          <w:lang w:val="en-US" w:eastAsia="zh-CN"/>
        </w:rPr>
        <w:t>巴彦淖尔市乌拉特中旗人民法院</w:t>
      </w:r>
    </w:p>
    <w:p>
      <w:pPr>
        <w:pStyle w:val="3"/>
        <w:widowControl w:val="0"/>
        <w:wordWrap/>
        <w:adjustRightInd w:val="0"/>
        <w:snapToGrid w:val="0"/>
        <w:spacing w:before="0" w:after="0" w:line="560" w:lineRule="exact"/>
        <w:textAlignment w:val="auto"/>
        <w:rPr>
          <w:rStyle w:val="47"/>
          <w:rFonts w:ascii="宋体" w:hAnsi="宋体"/>
          <w:b w:val="0"/>
          <w:bCs w:val="0"/>
          <w:i w:val="0"/>
          <w:iCs w:val="0"/>
          <w:sz w:val="28"/>
          <w:szCs w:val="28"/>
        </w:rPr>
      </w:pPr>
      <w:bookmarkStart w:id="7" w:name="_Toc318984186"/>
      <w:r>
        <w:rPr>
          <w:rStyle w:val="47"/>
          <w:rFonts w:ascii="宋体" w:hAnsi="宋体"/>
          <w:b w:val="0"/>
          <w:bCs w:val="0"/>
          <w:i w:val="0"/>
          <w:iCs w:val="0"/>
          <w:sz w:val="28"/>
          <w:szCs w:val="28"/>
        </w:rPr>
        <w:t>二、</w:t>
      </w:r>
      <w:bookmarkEnd w:id="7"/>
      <w:r>
        <w:rPr>
          <w:rStyle w:val="47"/>
          <w:rFonts w:ascii="宋体" w:hAnsi="宋体"/>
          <w:b w:val="0"/>
          <w:bCs w:val="0"/>
          <w:i w:val="0"/>
          <w:iCs w:val="0"/>
          <w:sz w:val="28"/>
          <w:szCs w:val="28"/>
        </w:rPr>
        <w:t>估价机构</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bookmarkStart w:id="8" w:name="_Toc318984187"/>
      <w:r>
        <w:rPr>
          <w:rFonts w:hint="eastAsia" w:ascii="宋体" w:hAnsi="宋体" w:eastAsia="宋体" w:cs="宋体"/>
          <w:b w:val="0"/>
          <w:bCs w:val="0"/>
          <w:i w:val="0"/>
          <w:iCs w:val="0"/>
          <w:sz w:val="28"/>
          <w:szCs w:val="28"/>
        </w:rPr>
        <w:t>机构名称：内蒙古金诚房地产评估有限责任公司</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法定代表人: 王文忠</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地    址：内蒙古自治区</w:t>
      </w:r>
      <w:r>
        <w:rPr>
          <w:rFonts w:hint="eastAsia" w:ascii="宋体" w:hAnsi="宋体" w:eastAsia="宋体" w:cs="宋体"/>
          <w:b w:val="0"/>
          <w:bCs w:val="0"/>
          <w:i w:val="0"/>
          <w:iCs w:val="0"/>
          <w:sz w:val="28"/>
          <w:szCs w:val="28"/>
          <w:lang w:val="en-US" w:eastAsia="zh-CN"/>
        </w:rPr>
        <w:t>巴彦淖尔市临河区</w:t>
      </w:r>
      <w:r>
        <w:rPr>
          <w:rFonts w:hint="eastAsia" w:ascii="宋体" w:hAnsi="宋体" w:eastAsia="宋体" w:cs="宋体"/>
          <w:b w:val="0"/>
          <w:bCs w:val="0"/>
          <w:i w:val="0"/>
          <w:iCs w:val="0"/>
          <w:sz w:val="28"/>
          <w:szCs w:val="28"/>
        </w:rPr>
        <w:t>天正温泉公所二楼203室</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统一社会信用代码：911508025706190911</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备案等级: 二级       </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证书编号：内建</w:t>
      </w:r>
      <w:r>
        <w:rPr>
          <w:rFonts w:hint="eastAsia" w:ascii="宋体" w:hAnsi="宋体" w:eastAsia="宋体" w:cs="宋体"/>
          <w:b w:val="0"/>
          <w:bCs w:val="0"/>
          <w:i w:val="0"/>
          <w:iCs w:val="0"/>
          <w:sz w:val="28"/>
          <w:szCs w:val="28"/>
          <w:lang w:val="en-US" w:eastAsia="zh-CN"/>
        </w:rPr>
        <w:t>行</w:t>
      </w:r>
      <w:r>
        <w:rPr>
          <w:rFonts w:hint="eastAsia" w:ascii="宋体" w:hAnsi="宋体" w:eastAsia="宋体" w:cs="宋体"/>
          <w:b w:val="0"/>
          <w:bCs w:val="0"/>
          <w:i w:val="0"/>
          <w:iCs w:val="0"/>
          <w:sz w:val="28"/>
          <w:szCs w:val="28"/>
        </w:rPr>
        <w:t>估备字[20</w:t>
      </w:r>
      <w:r>
        <w:rPr>
          <w:rFonts w:hint="eastAsia" w:ascii="宋体" w:hAnsi="宋体" w:eastAsia="宋体" w:cs="宋体"/>
          <w:b w:val="0"/>
          <w:bCs w:val="0"/>
          <w:i w:val="0"/>
          <w:iCs w:val="0"/>
          <w:sz w:val="28"/>
          <w:szCs w:val="28"/>
          <w:lang w:val="en-US" w:eastAsia="zh-CN"/>
        </w:rPr>
        <w:t>21</w:t>
      </w:r>
      <w:r>
        <w:rPr>
          <w:rFonts w:hint="eastAsia" w:ascii="宋体" w:hAnsi="宋体" w:eastAsia="宋体" w:cs="宋体"/>
          <w:b w:val="0"/>
          <w:bCs w:val="0"/>
          <w:i w:val="0"/>
          <w:iCs w:val="0"/>
          <w:sz w:val="28"/>
          <w:szCs w:val="28"/>
        </w:rPr>
        <w:t>]第00</w:t>
      </w:r>
      <w:r>
        <w:rPr>
          <w:rFonts w:hint="eastAsia" w:ascii="宋体" w:hAnsi="宋体" w:eastAsia="宋体" w:cs="宋体"/>
          <w:b w:val="0"/>
          <w:bCs w:val="0"/>
          <w:i w:val="0"/>
          <w:iCs w:val="0"/>
          <w:sz w:val="28"/>
          <w:szCs w:val="28"/>
          <w:lang w:val="en-US" w:eastAsia="zh-CN"/>
        </w:rPr>
        <w:t>21</w:t>
      </w:r>
      <w:r>
        <w:rPr>
          <w:rFonts w:hint="eastAsia" w:ascii="宋体" w:hAnsi="宋体" w:eastAsia="宋体" w:cs="宋体"/>
          <w:b w:val="0"/>
          <w:bCs w:val="0"/>
          <w:i w:val="0"/>
          <w:iCs w:val="0"/>
          <w:sz w:val="28"/>
          <w:szCs w:val="28"/>
        </w:rPr>
        <w:t>号</w:t>
      </w:r>
    </w:p>
    <w:p>
      <w:pPr>
        <w:pStyle w:val="3"/>
        <w:widowControl w:val="0"/>
        <w:wordWrap/>
        <w:adjustRightInd w:val="0"/>
        <w:snapToGrid w:val="0"/>
        <w:spacing w:before="0" w:after="0" w:line="560" w:lineRule="exact"/>
        <w:textAlignment w:val="auto"/>
        <w:rPr>
          <w:rFonts w:hint="eastAsia" w:ascii="宋体" w:hAnsi="宋体" w:eastAsia="宋体" w:cs="宋体"/>
          <w:b w:val="0"/>
          <w:bCs w:val="0"/>
          <w:i w:val="0"/>
          <w:iCs w:val="0"/>
          <w:sz w:val="28"/>
          <w:szCs w:val="28"/>
        </w:rPr>
      </w:pPr>
      <w:r>
        <w:rPr>
          <w:rFonts w:hint="eastAsia" w:ascii="宋体" w:hAnsi="宋体" w:eastAsia="宋体" w:cs="宋体"/>
          <w:b w:val="0"/>
          <w:bCs w:val="0"/>
          <w:i w:val="0"/>
          <w:iCs w:val="0"/>
          <w:sz w:val="28"/>
          <w:szCs w:val="28"/>
        </w:rPr>
        <w:t>有效期限：20</w:t>
      </w:r>
      <w:r>
        <w:rPr>
          <w:rFonts w:hint="eastAsia" w:ascii="宋体" w:hAnsi="宋体" w:eastAsia="宋体" w:cs="宋体"/>
          <w:b w:val="0"/>
          <w:bCs w:val="0"/>
          <w:i w:val="0"/>
          <w:iCs w:val="0"/>
          <w:sz w:val="28"/>
          <w:szCs w:val="28"/>
          <w:lang w:val="en-US" w:eastAsia="zh-CN"/>
        </w:rPr>
        <w:t>21</w:t>
      </w:r>
      <w:r>
        <w:rPr>
          <w:rFonts w:hint="eastAsia" w:ascii="宋体" w:hAnsi="宋体" w:eastAsia="宋体" w:cs="宋体"/>
          <w:b w:val="0"/>
          <w:bCs w:val="0"/>
          <w:i w:val="0"/>
          <w:iCs w:val="0"/>
          <w:sz w:val="28"/>
          <w:szCs w:val="28"/>
        </w:rPr>
        <w:t>年</w:t>
      </w:r>
      <w:r>
        <w:rPr>
          <w:rFonts w:hint="eastAsia" w:ascii="宋体" w:hAnsi="宋体" w:eastAsia="宋体" w:cs="宋体"/>
          <w:b w:val="0"/>
          <w:bCs w:val="0"/>
          <w:i w:val="0"/>
          <w:iCs w:val="0"/>
          <w:sz w:val="28"/>
          <w:szCs w:val="28"/>
          <w:lang w:val="en-US" w:eastAsia="zh-CN"/>
        </w:rPr>
        <w:t>6</w:t>
      </w:r>
      <w:r>
        <w:rPr>
          <w:rFonts w:hint="eastAsia" w:ascii="宋体" w:hAnsi="宋体" w:eastAsia="宋体" w:cs="宋体"/>
          <w:b w:val="0"/>
          <w:bCs w:val="0"/>
          <w:i w:val="0"/>
          <w:iCs w:val="0"/>
          <w:sz w:val="28"/>
          <w:szCs w:val="28"/>
        </w:rPr>
        <w:t>月</w:t>
      </w:r>
      <w:r>
        <w:rPr>
          <w:rFonts w:hint="eastAsia" w:ascii="宋体" w:hAnsi="宋体" w:eastAsia="宋体" w:cs="宋体"/>
          <w:b w:val="0"/>
          <w:bCs w:val="0"/>
          <w:i w:val="0"/>
          <w:iCs w:val="0"/>
          <w:sz w:val="28"/>
          <w:szCs w:val="28"/>
          <w:lang w:val="en-US" w:eastAsia="zh-CN"/>
        </w:rPr>
        <w:t>11</w:t>
      </w:r>
      <w:r>
        <w:rPr>
          <w:rFonts w:hint="eastAsia" w:ascii="宋体" w:hAnsi="宋体" w:eastAsia="宋体" w:cs="宋体"/>
          <w:b w:val="0"/>
          <w:bCs w:val="0"/>
          <w:i w:val="0"/>
          <w:iCs w:val="0"/>
          <w:sz w:val="28"/>
          <w:szCs w:val="28"/>
        </w:rPr>
        <w:t>日至202</w:t>
      </w:r>
      <w:r>
        <w:rPr>
          <w:rFonts w:hint="eastAsia" w:ascii="宋体" w:hAnsi="宋体" w:eastAsia="宋体" w:cs="宋体"/>
          <w:b w:val="0"/>
          <w:bCs w:val="0"/>
          <w:i w:val="0"/>
          <w:iCs w:val="0"/>
          <w:sz w:val="28"/>
          <w:szCs w:val="28"/>
          <w:lang w:val="en-US" w:eastAsia="zh-CN"/>
        </w:rPr>
        <w:t>4</w:t>
      </w:r>
      <w:r>
        <w:rPr>
          <w:rFonts w:hint="eastAsia" w:ascii="宋体" w:hAnsi="宋体" w:eastAsia="宋体" w:cs="宋体"/>
          <w:b w:val="0"/>
          <w:bCs w:val="0"/>
          <w:i w:val="0"/>
          <w:iCs w:val="0"/>
          <w:sz w:val="28"/>
          <w:szCs w:val="28"/>
        </w:rPr>
        <w:t>年</w:t>
      </w:r>
      <w:r>
        <w:rPr>
          <w:rFonts w:hint="eastAsia" w:ascii="宋体" w:hAnsi="宋体" w:eastAsia="宋体" w:cs="宋体"/>
          <w:b w:val="0"/>
          <w:bCs w:val="0"/>
          <w:i w:val="0"/>
          <w:iCs w:val="0"/>
          <w:sz w:val="28"/>
          <w:szCs w:val="28"/>
          <w:lang w:val="en-US" w:eastAsia="zh-CN"/>
        </w:rPr>
        <w:t>6</w:t>
      </w:r>
      <w:r>
        <w:rPr>
          <w:rFonts w:hint="eastAsia" w:ascii="宋体" w:hAnsi="宋体" w:eastAsia="宋体" w:cs="宋体"/>
          <w:b w:val="0"/>
          <w:bCs w:val="0"/>
          <w:i w:val="0"/>
          <w:iCs w:val="0"/>
          <w:sz w:val="28"/>
          <w:szCs w:val="28"/>
        </w:rPr>
        <w:t>月</w:t>
      </w:r>
      <w:r>
        <w:rPr>
          <w:rFonts w:hint="eastAsia" w:ascii="宋体" w:hAnsi="宋体" w:eastAsia="宋体" w:cs="宋体"/>
          <w:b w:val="0"/>
          <w:bCs w:val="0"/>
          <w:i w:val="0"/>
          <w:iCs w:val="0"/>
          <w:sz w:val="28"/>
          <w:szCs w:val="28"/>
          <w:lang w:val="en-US" w:eastAsia="zh-CN"/>
        </w:rPr>
        <w:t>11</w:t>
      </w:r>
      <w:r>
        <w:rPr>
          <w:rFonts w:hint="eastAsia" w:ascii="宋体" w:hAnsi="宋体" w:eastAsia="宋体" w:cs="宋体"/>
          <w:b w:val="0"/>
          <w:bCs w:val="0"/>
          <w:i w:val="0"/>
          <w:iCs w:val="0"/>
          <w:sz w:val="28"/>
          <w:szCs w:val="28"/>
        </w:rPr>
        <w:t>日</w:t>
      </w:r>
    </w:p>
    <w:p>
      <w:pPr>
        <w:pStyle w:val="3"/>
        <w:widowControl w:val="0"/>
        <w:wordWrap/>
        <w:adjustRightInd w:val="0"/>
        <w:snapToGrid w:val="0"/>
        <w:spacing w:before="0" w:after="0" w:line="560" w:lineRule="exact"/>
        <w:textAlignment w:val="auto"/>
        <w:rPr>
          <w:rStyle w:val="47"/>
          <w:rFonts w:ascii="宋体" w:hAnsi="宋体"/>
          <w:b w:val="0"/>
          <w:bCs w:val="0"/>
          <w:i w:val="0"/>
          <w:iCs w:val="0"/>
          <w:sz w:val="28"/>
          <w:szCs w:val="28"/>
        </w:rPr>
      </w:pPr>
      <w:r>
        <w:rPr>
          <w:rStyle w:val="47"/>
          <w:rFonts w:ascii="宋体" w:hAnsi="宋体"/>
          <w:b w:val="0"/>
          <w:bCs w:val="0"/>
          <w:i w:val="0"/>
          <w:iCs w:val="0"/>
          <w:sz w:val="28"/>
          <w:szCs w:val="28"/>
        </w:rPr>
        <w:t>三、估价对象</w:t>
      </w:r>
      <w:bookmarkEnd w:id="8"/>
    </w:p>
    <w:p>
      <w:pPr>
        <w:pStyle w:val="28"/>
        <w:widowControl w:val="0"/>
        <w:wordWrap/>
        <w:adjustRightInd w:val="0"/>
        <w:snapToGrid w:val="0"/>
        <w:spacing w:line="560" w:lineRule="exact"/>
        <w:ind w:firstLine="560" w:firstLineChars="200"/>
        <w:textAlignment w:val="auto"/>
        <w:rPr>
          <w:rFonts w:hint="eastAsia" w:hAnsi="宋体"/>
          <w:sz w:val="28"/>
          <w:szCs w:val="28"/>
          <w:lang w:val="en-US" w:eastAsia="zh-CN"/>
        </w:rPr>
      </w:pPr>
      <w:bookmarkStart w:id="9" w:name="_Toc318984188"/>
      <w:r>
        <w:rPr>
          <w:rFonts w:hAnsi="宋体"/>
          <w:sz w:val="28"/>
        </w:rPr>
        <w:t>（一）</w:t>
      </w:r>
      <w:r>
        <w:rPr>
          <w:rFonts w:hint="eastAsia" w:hAnsi="宋体"/>
          <w:sz w:val="28"/>
          <w:szCs w:val="28"/>
          <w:lang w:val="en-US" w:eastAsia="zh-CN"/>
        </w:rPr>
        <w:t>土地基本情况</w:t>
      </w:r>
    </w:p>
    <w:p>
      <w:pPr>
        <w:keepNext w:val="0"/>
        <w:keepLines w:val="0"/>
        <w:pageBreakBefore w:val="0"/>
        <w:widowControl w:val="0"/>
        <w:tabs>
          <w:tab w:val="left" w:pos="780"/>
        </w:tabs>
        <w:kinsoku/>
        <w:wordWrap/>
        <w:overflowPunct/>
        <w:topLinePunct w:val="0"/>
        <w:autoSpaceDE/>
        <w:autoSpaceDN/>
        <w:bidi w:val="0"/>
        <w:adjustRightInd w:val="0"/>
        <w:snapToGrid w:val="0"/>
        <w:spacing w:line="700" w:lineRule="exact"/>
        <w:ind w:right="88" w:rightChars="42" w:firstLine="560" w:firstLineChars="200"/>
        <w:textAlignment w:val="auto"/>
        <w:rPr>
          <w:rFonts w:hint="eastAsia" w:hAnsi="宋体" w:cs="宋体"/>
          <w:b w:val="0"/>
          <w:bCs w:val="0"/>
          <w:sz w:val="28"/>
          <w:szCs w:val="28"/>
          <w:lang w:val="en-US" w:eastAsia="zh-CN"/>
        </w:rPr>
      </w:pPr>
      <w:r>
        <w:rPr>
          <w:rFonts w:hint="eastAsia" w:hAnsi="宋体"/>
          <w:sz w:val="28"/>
          <w:szCs w:val="28"/>
          <w:lang w:val="en-US" w:eastAsia="zh-CN"/>
        </w:rPr>
        <w:t>1.</w:t>
      </w:r>
      <w:r>
        <w:rPr>
          <w:rFonts w:hAnsi="宋体"/>
          <w:sz w:val="28"/>
          <w:szCs w:val="28"/>
        </w:rPr>
        <w:t>四至：</w:t>
      </w:r>
      <w:r>
        <w:rPr>
          <w:rFonts w:hint="eastAsia" w:hAnsi="宋体" w:cs="宋体"/>
          <w:b w:val="0"/>
          <w:bCs w:val="0"/>
          <w:sz w:val="28"/>
          <w:szCs w:val="28"/>
          <w:lang w:val="en-US" w:eastAsia="zh-CN"/>
        </w:rPr>
        <w:t>东至巷道、南至住宅区、西至住宅区、北至巷道。</w:t>
      </w:r>
    </w:p>
    <w:p>
      <w:pPr>
        <w:keepNext w:val="0"/>
        <w:keepLines w:val="0"/>
        <w:pageBreakBefore w:val="0"/>
        <w:widowControl w:val="0"/>
        <w:numPr>
          <w:ilvl w:val="0"/>
          <w:numId w:val="0"/>
        </w:numPr>
        <w:tabs>
          <w:tab w:val="left" w:pos="780"/>
        </w:tabs>
        <w:kinsoku/>
        <w:wordWrap/>
        <w:overflowPunct/>
        <w:topLinePunct w:val="0"/>
        <w:autoSpaceDE/>
        <w:autoSpaceDN/>
        <w:bidi w:val="0"/>
        <w:adjustRightInd w:val="0"/>
        <w:snapToGrid w:val="0"/>
        <w:spacing w:line="700" w:lineRule="exact"/>
        <w:ind w:right="88" w:rightChars="42" w:firstLine="560" w:firstLineChars="200"/>
        <w:textAlignment w:val="auto"/>
        <w:rPr>
          <w:rFonts w:hint="eastAsia"/>
          <w:sz w:val="28"/>
          <w:szCs w:val="28"/>
          <w:lang w:val="en-US" w:eastAsia="zh-CN"/>
        </w:rPr>
      </w:pPr>
      <w:r>
        <w:rPr>
          <w:rFonts w:hint="eastAsia"/>
          <w:sz w:val="28"/>
          <w:szCs w:val="28"/>
          <w:lang w:val="en-US" w:eastAsia="zh-CN"/>
        </w:rPr>
        <w:t>2.开发程度：基础设施已达到宗地外“六通”（通路、通电、通上水、通下水、通讯、通暖）以及宗地内场地平整。</w:t>
      </w:r>
    </w:p>
    <w:p>
      <w:pPr>
        <w:pStyle w:val="28"/>
        <w:widowControl w:val="0"/>
        <w:wordWrap/>
        <w:adjustRightInd w:val="0"/>
        <w:snapToGrid w:val="0"/>
        <w:spacing w:line="560" w:lineRule="exact"/>
        <w:ind w:firstLine="560" w:firstLineChars="200"/>
        <w:textAlignment w:val="auto"/>
        <w:rPr>
          <w:rFonts w:hAnsi="宋体"/>
          <w:sz w:val="28"/>
        </w:rPr>
      </w:pPr>
      <w:r>
        <w:rPr>
          <w:rFonts w:hAnsi="宋体"/>
          <w:sz w:val="28"/>
        </w:rPr>
        <w:t>（二）</w:t>
      </w:r>
      <w:r>
        <w:rPr>
          <w:rFonts w:hint="eastAsia" w:hAnsi="宋体"/>
          <w:sz w:val="28"/>
          <w:lang w:val="en-US" w:eastAsia="zh-CN"/>
        </w:rPr>
        <w:t>建筑物基本</w:t>
      </w:r>
      <w:r>
        <w:rPr>
          <w:rFonts w:hAnsi="宋体"/>
          <w:sz w:val="28"/>
        </w:rPr>
        <w:t>状况</w:t>
      </w:r>
    </w:p>
    <w:p>
      <w:pPr>
        <w:wordWrap/>
        <w:adjustRightInd w:val="0"/>
        <w:snapToGrid w:val="0"/>
        <w:spacing w:line="600" w:lineRule="exact"/>
        <w:ind w:firstLine="560" w:firstLineChars="200"/>
        <w:rPr>
          <w:rFonts w:hint="default" w:ascii="宋体" w:hAnsi="宋体"/>
          <w:color w:val="000000" w:themeColor="text1"/>
          <w:sz w:val="28"/>
          <w:szCs w:val="28"/>
          <w:lang w:val="en-US"/>
          <w14:textFill>
            <w14:solidFill>
              <w14:schemeClr w14:val="tx1"/>
            </w14:solidFill>
          </w14:textFill>
        </w:rPr>
      </w:pPr>
      <w:r>
        <w:rPr>
          <w:rFonts w:hint="eastAsia" w:ascii="宋体" w:hAnsi="宋体" w:cs="宋体"/>
          <w:sz w:val="28"/>
          <w:szCs w:val="28"/>
          <w:lang w:val="en-US" w:eastAsia="zh-CN"/>
        </w:rPr>
        <w:t>估价对象位于</w:t>
      </w:r>
      <w:r>
        <w:rPr>
          <w:rFonts w:hint="eastAsia" w:ascii="宋体" w:hAnsi="宋体"/>
          <w:b w:val="0"/>
          <w:bCs/>
          <w:snapToGrid w:val="0"/>
          <w:color w:val="000000"/>
          <w:kern w:val="0"/>
          <w:sz w:val="28"/>
          <w:szCs w:val="28"/>
          <w:lang w:val="en-US" w:eastAsia="zh-CN"/>
        </w:rPr>
        <w:t>乌拉特中旗海流图镇花园东路边养街坊一栋四排三室</w:t>
      </w:r>
      <w:r>
        <w:rPr>
          <w:rFonts w:hint="eastAsia" w:ascii="宋体" w:hAnsi="宋体" w:cs="宋体"/>
          <w:b w:val="0"/>
          <w:bCs w:val="0"/>
          <w:sz w:val="28"/>
          <w:szCs w:val="28"/>
          <w:lang w:val="en-US" w:eastAsia="zh-CN"/>
        </w:rPr>
        <w:t>，</w:t>
      </w:r>
      <w:r>
        <w:rPr>
          <w:rFonts w:hint="eastAsia" w:ascii="宋体" w:hAnsi="宋体"/>
          <w:sz w:val="28"/>
          <w:szCs w:val="28"/>
          <w:lang w:val="en-US" w:eastAsia="zh-CN"/>
        </w:rPr>
        <w:t>砖木结构，</w:t>
      </w:r>
      <w:r>
        <w:rPr>
          <w:rFonts w:hint="eastAsia" w:ascii="宋体" w:hAnsi="宋体"/>
          <w:color w:val="000000" w:themeColor="text1"/>
          <w:sz w:val="28"/>
          <w:szCs w:val="28"/>
          <w:lang w:val="en-US" w:eastAsia="zh-CN"/>
          <w14:textFill>
            <w14:solidFill>
              <w14:schemeClr w14:val="tx1"/>
            </w14:solidFill>
          </w14:textFill>
        </w:rPr>
        <w:t>室内为地板砖地面，部分为铝扣板顶、部分墙面贴壁纸、壁柜、厨房地板砖地面、墙面贴瓷砖、钙塑板顶、厨房整体橱柜，卫生间地板砖地面、墙面贴瓷砖、浴霸、浴室柜、推拉门；室内设施：抽油烟机、太阳能、面池、座便、成套木门；估价对象外墙涂料、部分贴瓷砖、铝合金门窗；水电暖齐全。院内有煤仓、菜窖、渗水井、水泥硬化、铁大门、瓷砖门垛。</w:t>
      </w:r>
    </w:p>
    <w:p>
      <w:pPr>
        <w:keepNext w:val="0"/>
        <w:keepLines w:val="0"/>
        <w:pageBreakBefore w:val="0"/>
        <w:numPr>
          <w:ilvl w:val="0"/>
          <w:numId w:val="5"/>
        </w:numPr>
        <w:kinsoku/>
        <w:wordWrap/>
        <w:overflowPunct/>
        <w:topLinePunct w:val="0"/>
        <w:autoSpaceDE/>
        <w:autoSpaceDN/>
        <w:bidi w:val="0"/>
        <w:adjustRightInd w:val="0"/>
        <w:snapToGrid w:val="0"/>
        <w:spacing w:line="360" w:lineRule="auto"/>
        <w:textAlignment w:val="auto"/>
        <w:rPr>
          <w:rFonts w:ascii="宋体" w:hAnsi="宋体"/>
          <w:sz w:val="28"/>
          <w:szCs w:val="28"/>
        </w:rPr>
      </w:pPr>
      <w:r>
        <w:rPr>
          <w:rFonts w:ascii="宋体" w:hAnsi="宋体"/>
          <w:sz w:val="28"/>
          <w:szCs w:val="28"/>
        </w:rPr>
        <w:t>估价范围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default" w:ascii="宋体" w:hAnsi="宋体" w:cs="宋体"/>
          <w:b w:val="0"/>
          <w:bCs w:val="0"/>
          <w:sz w:val="28"/>
          <w:szCs w:val="28"/>
          <w:lang w:val="en-US" w:eastAsia="zh-CN"/>
        </w:rPr>
      </w:pPr>
      <w:r>
        <w:rPr>
          <w:rFonts w:ascii="宋体" w:hAnsi="宋体"/>
          <w:sz w:val="28"/>
          <w:szCs w:val="28"/>
        </w:rPr>
        <w:t>纳入本次估价范围的估价对象</w:t>
      </w:r>
      <w:r>
        <w:rPr>
          <w:rFonts w:hint="eastAsia" w:ascii="宋体" w:hAnsi="宋体" w:cs="宋体"/>
          <w:sz w:val="28"/>
          <w:szCs w:val="28"/>
          <w:lang w:val="en-US" w:eastAsia="zh-CN"/>
        </w:rPr>
        <w:t>位</w:t>
      </w:r>
      <w:r>
        <w:rPr>
          <w:rFonts w:hint="eastAsia" w:ascii="宋体" w:hAnsi="宋体" w:eastAsia="宋体" w:cs="宋体"/>
          <w:b w:val="0"/>
          <w:bCs w:val="0"/>
          <w:sz w:val="28"/>
          <w:szCs w:val="28"/>
          <w:lang w:val="en-US" w:eastAsia="zh-CN"/>
        </w:rPr>
        <w:t>于</w:t>
      </w:r>
      <w:r>
        <w:rPr>
          <w:rFonts w:hint="eastAsia" w:ascii="宋体" w:hAnsi="宋体"/>
          <w:b w:val="0"/>
          <w:bCs/>
          <w:snapToGrid w:val="0"/>
          <w:color w:val="000000"/>
          <w:kern w:val="0"/>
          <w:sz w:val="28"/>
          <w:szCs w:val="28"/>
          <w:lang w:val="en-US" w:eastAsia="zh-CN"/>
        </w:rPr>
        <w:t>乌拉特中旗海流图镇花园东路边养街坊一栋四排三室</w:t>
      </w:r>
      <w:r>
        <w:rPr>
          <w:rFonts w:hint="eastAsia" w:ascii="宋体" w:hAnsi="宋体" w:cs="宋体"/>
          <w:b w:val="0"/>
          <w:bCs w:val="0"/>
          <w:sz w:val="28"/>
          <w:szCs w:val="28"/>
          <w:lang w:val="en-US" w:eastAsia="zh-CN"/>
        </w:rPr>
        <w:t>，</w:t>
      </w:r>
      <w:r>
        <w:rPr>
          <w:rFonts w:hint="eastAsia" w:ascii="宋体" w:hAnsi="宋体" w:cs="宋体"/>
          <w:b w:val="0"/>
          <w:bCs w:val="0"/>
          <w:sz w:val="28"/>
          <w:szCs w:val="28"/>
          <w:lang w:eastAsia="zh-CN"/>
        </w:rPr>
        <w:t>建筑面积为：</w:t>
      </w:r>
      <w:r>
        <w:rPr>
          <w:rFonts w:hint="eastAsia" w:ascii="宋体" w:hAnsi="宋体" w:cs="宋体"/>
          <w:b w:val="0"/>
          <w:bCs w:val="0"/>
          <w:sz w:val="28"/>
          <w:szCs w:val="28"/>
          <w:lang w:val="en-US" w:eastAsia="zh-CN"/>
        </w:rPr>
        <w:t>92.63</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宗地面积为：142.85</w:t>
      </w:r>
      <w:r>
        <w:rPr>
          <w:rFonts w:hint="eastAsia" w:ascii="宋体" w:hAnsi="宋体" w:cs="宋体"/>
          <w:b w:val="0"/>
          <w:bCs w:val="0"/>
          <w:sz w:val="28"/>
          <w:szCs w:val="28"/>
          <w:lang w:eastAsia="zh-CN"/>
        </w:rPr>
        <w:t>平方米。</w:t>
      </w:r>
      <w:r>
        <w:rPr>
          <w:rFonts w:hint="eastAsia" w:ascii="宋体" w:hAnsi="宋体" w:cs="宋体"/>
          <w:b w:val="0"/>
          <w:bCs w:val="0"/>
          <w:sz w:val="28"/>
          <w:szCs w:val="28"/>
          <w:lang w:val="en-US" w:eastAsia="zh-CN"/>
        </w:rPr>
        <w:t>估价对象财产范围包括房屋所有权与其应分摊的国有土地使用权价值，并包括与估价对象房地产不可分割的、满足其功能需要的上下水、暖、电等相关配套设施价值及室内装修价值，</w:t>
      </w:r>
      <w:r>
        <w:rPr>
          <w:rFonts w:hint="eastAsia" w:ascii="宋体" w:hAnsi="宋体" w:eastAsia="宋体" w:cs="宋体"/>
          <w:sz w:val="28"/>
          <w:szCs w:val="28"/>
        </w:rPr>
        <w:t>不包含可移动设施设备</w:t>
      </w:r>
      <w:r>
        <w:rPr>
          <w:rFonts w:hint="eastAsia" w:ascii="宋体" w:hAnsi="宋体" w:cs="宋体"/>
          <w:sz w:val="28"/>
          <w:szCs w:val="28"/>
          <w:lang w:eastAsia="zh-CN"/>
        </w:rPr>
        <w:t>。</w:t>
      </w:r>
    </w:p>
    <w:p>
      <w:pPr>
        <w:pStyle w:val="3"/>
        <w:wordWrap/>
        <w:adjustRightInd w:val="0"/>
        <w:snapToGrid w:val="0"/>
        <w:spacing w:before="0" w:after="0" w:line="600" w:lineRule="exact"/>
        <w:rPr>
          <w:rStyle w:val="47"/>
          <w:rFonts w:hint="eastAsia" w:ascii="宋体" w:hAnsi="宋体"/>
          <w:b/>
          <w:bCs/>
          <w:sz w:val="28"/>
          <w:szCs w:val="28"/>
        </w:rPr>
      </w:pPr>
      <w:r>
        <w:rPr>
          <w:rStyle w:val="47"/>
          <w:rFonts w:hint="eastAsia" w:ascii="宋体" w:hAnsi="宋体"/>
          <w:b/>
          <w:bCs/>
          <w:sz w:val="28"/>
          <w:szCs w:val="28"/>
        </w:rPr>
        <w:t>四、估价目的</w:t>
      </w:r>
      <w:bookmarkEnd w:id="9"/>
    </w:p>
    <w:p>
      <w:pPr>
        <w:pStyle w:val="3"/>
        <w:wordWrap/>
        <w:adjustRightInd w:val="0"/>
        <w:snapToGrid w:val="0"/>
        <w:spacing w:before="0" w:after="0" w:line="600" w:lineRule="exact"/>
        <w:ind w:firstLine="560" w:firstLineChars="200"/>
        <w:rPr>
          <w:rFonts w:hint="eastAsia" w:ascii="宋体" w:hAnsi="宋体" w:eastAsia="宋体" w:cs="宋体"/>
          <w:b w:val="0"/>
          <w:bCs w:val="0"/>
          <w:sz w:val="28"/>
          <w:lang w:eastAsia="zh-CN"/>
        </w:rPr>
      </w:pPr>
      <w:bookmarkStart w:id="10" w:name="_Toc318984189"/>
      <w:r>
        <w:rPr>
          <w:rFonts w:hint="eastAsia" w:ascii="宋体" w:hAnsi="宋体" w:eastAsia="宋体" w:cs="宋体"/>
          <w:b w:val="0"/>
          <w:bCs w:val="0"/>
          <w:sz w:val="28"/>
          <w:lang w:eastAsia="zh-CN"/>
        </w:rPr>
        <w:t>为人民法院确定财产处置参考价提供参考依据。</w:t>
      </w:r>
    </w:p>
    <w:p>
      <w:pPr>
        <w:pStyle w:val="3"/>
        <w:wordWrap/>
        <w:adjustRightInd w:val="0"/>
        <w:snapToGrid w:val="0"/>
        <w:spacing w:before="0" w:after="0" w:line="600" w:lineRule="exact"/>
        <w:rPr>
          <w:rStyle w:val="47"/>
          <w:rFonts w:hint="eastAsia" w:ascii="宋体" w:hAnsi="宋体"/>
          <w:b/>
          <w:bCs/>
          <w:sz w:val="28"/>
          <w:szCs w:val="28"/>
        </w:rPr>
      </w:pPr>
      <w:r>
        <w:rPr>
          <w:rStyle w:val="47"/>
          <w:rFonts w:hint="eastAsia" w:ascii="宋体" w:hAnsi="宋体"/>
          <w:b/>
          <w:bCs/>
          <w:sz w:val="28"/>
          <w:szCs w:val="28"/>
        </w:rPr>
        <w:t>五、</w:t>
      </w:r>
      <w:bookmarkEnd w:id="10"/>
      <w:r>
        <w:rPr>
          <w:rStyle w:val="47"/>
          <w:rFonts w:hint="eastAsia" w:ascii="宋体" w:hAnsi="宋体"/>
          <w:b/>
          <w:bCs/>
          <w:sz w:val="28"/>
          <w:szCs w:val="28"/>
        </w:rPr>
        <w:t>价值时点</w:t>
      </w:r>
    </w:p>
    <w:p>
      <w:pPr>
        <w:pStyle w:val="28"/>
        <w:wordWrap/>
        <w:adjustRightInd w:val="0"/>
        <w:snapToGrid w:val="0"/>
        <w:spacing w:line="600" w:lineRule="exact"/>
        <w:ind w:firstLine="560" w:firstLineChars="200"/>
        <w:rPr>
          <w:rFonts w:hint="eastAsia" w:hAnsi="宋体"/>
          <w:bCs/>
          <w:sz w:val="28"/>
          <w:szCs w:val="28"/>
        </w:rPr>
      </w:pPr>
      <w:r>
        <w:rPr>
          <w:rFonts w:hint="eastAsia" w:hAnsi="宋体"/>
          <w:bCs/>
          <w:sz w:val="28"/>
          <w:szCs w:val="28"/>
          <w:lang w:eastAsia="zh-CN"/>
        </w:rPr>
        <w:t>2022年4月22日</w:t>
      </w:r>
      <w:r>
        <w:rPr>
          <w:rFonts w:hint="eastAsia" w:hAnsi="宋体"/>
          <w:bCs/>
          <w:sz w:val="28"/>
          <w:szCs w:val="28"/>
        </w:rPr>
        <w:t>，该时点为实地查勘之日。</w:t>
      </w:r>
    </w:p>
    <w:p>
      <w:pPr>
        <w:pStyle w:val="3"/>
        <w:wordWrap/>
        <w:adjustRightInd w:val="0"/>
        <w:snapToGrid w:val="0"/>
        <w:spacing w:before="0" w:after="0" w:line="600" w:lineRule="exact"/>
        <w:rPr>
          <w:rStyle w:val="47"/>
          <w:rFonts w:hint="eastAsia" w:ascii="宋体" w:hAnsi="宋体"/>
          <w:b/>
          <w:bCs/>
          <w:sz w:val="28"/>
          <w:szCs w:val="28"/>
        </w:rPr>
      </w:pPr>
      <w:bookmarkStart w:id="11" w:name="_Toc318984190"/>
      <w:r>
        <w:rPr>
          <w:rStyle w:val="47"/>
          <w:rFonts w:hint="eastAsia" w:ascii="宋体" w:hAnsi="宋体"/>
          <w:b/>
          <w:bCs/>
          <w:sz w:val="28"/>
          <w:szCs w:val="28"/>
        </w:rPr>
        <w:t>六、价值定义</w:t>
      </w:r>
      <w:bookmarkEnd w:id="11"/>
    </w:p>
    <w:p>
      <w:pPr>
        <w:pStyle w:val="28"/>
        <w:wordWrap/>
        <w:adjustRightInd w:val="0"/>
        <w:snapToGrid w:val="0"/>
        <w:spacing w:line="600" w:lineRule="exact"/>
        <w:ind w:firstLine="561"/>
        <w:rPr>
          <w:rFonts w:hint="eastAsia" w:hAnsi="宋体"/>
          <w:sz w:val="28"/>
        </w:rPr>
      </w:pPr>
      <w:r>
        <w:rPr>
          <w:rFonts w:hint="eastAsia" w:hAnsi="宋体"/>
          <w:sz w:val="28"/>
        </w:rPr>
        <w:t>（一）价值类型：本次估价结果为市场价格，采用公开市场价值标准。</w:t>
      </w:r>
    </w:p>
    <w:p>
      <w:pPr>
        <w:wordWrap/>
        <w:adjustRightInd w:val="0"/>
        <w:snapToGrid w:val="0"/>
        <w:spacing w:line="600" w:lineRule="exact"/>
        <w:ind w:firstLine="560" w:firstLineChars="200"/>
        <w:rPr>
          <w:rFonts w:hint="eastAsia" w:ascii="宋体" w:hAnsi="宋体"/>
          <w:sz w:val="28"/>
        </w:rPr>
      </w:pPr>
      <w:r>
        <w:rPr>
          <w:rFonts w:hint="eastAsia" w:ascii="宋体" w:hAnsi="宋体"/>
          <w:sz w:val="28"/>
        </w:rPr>
        <w:t>（二）价值内涵</w:t>
      </w:r>
    </w:p>
    <w:p>
      <w:pPr>
        <w:pStyle w:val="28"/>
        <w:wordWrap/>
        <w:adjustRightInd w:val="0"/>
        <w:snapToGrid w:val="0"/>
        <w:spacing w:line="600" w:lineRule="exact"/>
        <w:ind w:firstLine="561"/>
        <w:rPr>
          <w:rFonts w:hint="eastAsia" w:hAnsi="宋体"/>
          <w:sz w:val="28"/>
          <w:szCs w:val="28"/>
        </w:rPr>
      </w:pPr>
      <w:bookmarkStart w:id="12" w:name="_Toc318984191"/>
      <w:r>
        <w:rPr>
          <w:rFonts w:hint="eastAsia" w:hAnsi="宋体"/>
          <w:sz w:val="28"/>
          <w:szCs w:val="28"/>
        </w:rPr>
        <w:t>本次估价对象的价格是估价对象在价值时点为</w:t>
      </w:r>
      <w:r>
        <w:rPr>
          <w:rFonts w:hint="eastAsia" w:hAnsi="宋体"/>
          <w:sz w:val="28"/>
          <w:szCs w:val="28"/>
          <w:lang w:eastAsia="zh-CN"/>
        </w:rPr>
        <w:t>2022年4月22日</w:t>
      </w:r>
      <w:r>
        <w:rPr>
          <w:rFonts w:hint="eastAsia" w:hAnsi="宋体"/>
          <w:sz w:val="28"/>
          <w:szCs w:val="28"/>
        </w:rPr>
        <w:t>，</w:t>
      </w:r>
      <w:r>
        <w:rPr>
          <w:rFonts w:hint="eastAsia" w:hAnsi="宋体"/>
          <w:snapToGrid w:val="0"/>
          <w:color w:val="000000"/>
          <w:kern w:val="0"/>
          <w:sz w:val="28"/>
          <w:szCs w:val="28"/>
        </w:rPr>
        <w:t>土地开发程度为宗地外“</w:t>
      </w:r>
      <w:r>
        <w:rPr>
          <w:rFonts w:hint="eastAsia" w:hAnsi="宋体"/>
          <w:snapToGrid w:val="0"/>
          <w:color w:val="000000"/>
          <w:kern w:val="0"/>
          <w:sz w:val="28"/>
          <w:szCs w:val="28"/>
          <w:lang w:val="en-US" w:eastAsia="zh-CN"/>
        </w:rPr>
        <w:t>六通</w:t>
      </w:r>
      <w:r>
        <w:rPr>
          <w:rFonts w:hint="eastAsia" w:hAnsi="宋体"/>
          <w:snapToGrid w:val="0"/>
          <w:color w:val="000000"/>
          <w:kern w:val="0"/>
          <w:sz w:val="28"/>
          <w:szCs w:val="28"/>
        </w:rPr>
        <w:t>”（</w:t>
      </w:r>
      <w:r>
        <w:rPr>
          <w:rFonts w:hint="eastAsia" w:hAnsi="宋体"/>
          <w:snapToGrid w:val="0"/>
          <w:color w:val="000000"/>
          <w:kern w:val="0"/>
          <w:sz w:val="28"/>
          <w:szCs w:val="28"/>
          <w:lang w:eastAsia="zh-CN"/>
        </w:rPr>
        <w:t>通路、通电、供</w:t>
      </w:r>
      <w:r>
        <w:rPr>
          <w:rFonts w:hint="eastAsia" w:hAnsi="宋体"/>
          <w:snapToGrid w:val="0"/>
          <w:color w:val="000000"/>
          <w:kern w:val="0"/>
          <w:sz w:val="28"/>
          <w:szCs w:val="28"/>
          <w:lang w:val="en-US" w:eastAsia="zh-CN"/>
        </w:rPr>
        <w:t>上</w:t>
      </w:r>
      <w:r>
        <w:rPr>
          <w:rFonts w:hint="eastAsia" w:hAnsi="宋体"/>
          <w:snapToGrid w:val="0"/>
          <w:color w:val="000000"/>
          <w:kern w:val="0"/>
          <w:sz w:val="28"/>
          <w:szCs w:val="28"/>
          <w:lang w:eastAsia="zh-CN"/>
        </w:rPr>
        <w:t>水、供</w:t>
      </w:r>
      <w:r>
        <w:rPr>
          <w:rFonts w:hint="eastAsia" w:hAnsi="宋体"/>
          <w:snapToGrid w:val="0"/>
          <w:color w:val="000000"/>
          <w:kern w:val="0"/>
          <w:sz w:val="28"/>
          <w:szCs w:val="28"/>
          <w:lang w:val="en-US" w:eastAsia="zh-CN"/>
        </w:rPr>
        <w:t>下</w:t>
      </w:r>
      <w:r>
        <w:rPr>
          <w:rFonts w:hint="eastAsia" w:hAnsi="宋体"/>
          <w:snapToGrid w:val="0"/>
          <w:color w:val="000000"/>
          <w:kern w:val="0"/>
          <w:sz w:val="28"/>
          <w:szCs w:val="28"/>
          <w:lang w:eastAsia="zh-CN"/>
        </w:rPr>
        <w:t>水、通讯、</w:t>
      </w:r>
      <w:r>
        <w:rPr>
          <w:rFonts w:hint="eastAsia" w:hAnsi="宋体"/>
          <w:snapToGrid w:val="0"/>
          <w:color w:val="000000"/>
          <w:kern w:val="0"/>
          <w:sz w:val="28"/>
          <w:szCs w:val="28"/>
          <w:lang w:val="en-US" w:eastAsia="zh-CN"/>
        </w:rPr>
        <w:t>通暖及土地平整</w:t>
      </w:r>
      <w:r>
        <w:rPr>
          <w:rFonts w:hint="eastAsia" w:hAnsi="宋体"/>
          <w:snapToGrid w:val="0"/>
          <w:color w:val="000000"/>
          <w:kern w:val="0"/>
          <w:sz w:val="28"/>
          <w:szCs w:val="28"/>
        </w:rPr>
        <w:t>）</w:t>
      </w:r>
      <w:r>
        <w:rPr>
          <w:rFonts w:hint="eastAsia" w:hAnsi="宋体"/>
          <w:color w:val="000000"/>
          <w:sz w:val="28"/>
          <w:szCs w:val="28"/>
        </w:rPr>
        <w:t>，</w:t>
      </w:r>
      <w:r>
        <w:rPr>
          <w:rFonts w:hint="eastAsia" w:hAnsi="宋体"/>
          <w:sz w:val="28"/>
          <w:szCs w:val="28"/>
        </w:rPr>
        <w:t>估价对象为</w:t>
      </w:r>
      <w:r>
        <w:rPr>
          <w:rFonts w:hint="eastAsia" w:hAnsi="宋体"/>
          <w:sz w:val="28"/>
          <w:szCs w:val="28"/>
          <w:lang w:val="en-US" w:eastAsia="zh-CN"/>
        </w:rPr>
        <w:t>砖木结构</w:t>
      </w:r>
      <w:r>
        <w:rPr>
          <w:rFonts w:hint="eastAsia" w:hAnsi="宋体"/>
          <w:sz w:val="28"/>
          <w:szCs w:val="28"/>
        </w:rPr>
        <w:t>，用途为</w:t>
      </w:r>
      <w:r>
        <w:rPr>
          <w:rFonts w:hint="eastAsia" w:hAnsi="宋体"/>
          <w:sz w:val="28"/>
          <w:szCs w:val="28"/>
          <w:lang w:eastAsia="zh-CN"/>
        </w:rPr>
        <w:t>住宅</w:t>
      </w:r>
      <w:r>
        <w:rPr>
          <w:rFonts w:hint="eastAsia" w:hAnsi="宋体"/>
          <w:sz w:val="28"/>
          <w:szCs w:val="28"/>
        </w:rPr>
        <w:t>，装修情况为价值时点现状下的房地产市场价格。</w:t>
      </w:r>
    </w:p>
    <w:p>
      <w:pPr>
        <w:pStyle w:val="3"/>
        <w:wordWrap/>
        <w:adjustRightInd w:val="0"/>
        <w:snapToGrid w:val="0"/>
        <w:spacing w:before="0" w:after="0" w:line="600" w:lineRule="exact"/>
        <w:rPr>
          <w:rStyle w:val="47"/>
          <w:rFonts w:hint="eastAsia" w:ascii="宋体" w:hAnsi="宋体"/>
          <w:b/>
          <w:bCs/>
          <w:sz w:val="28"/>
          <w:szCs w:val="28"/>
        </w:rPr>
      </w:pPr>
      <w:r>
        <w:rPr>
          <w:rStyle w:val="47"/>
          <w:rFonts w:hint="eastAsia" w:ascii="宋体" w:hAnsi="宋体"/>
          <w:b/>
          <w:bCs/>
          <w:sz w:val="28"/>
          <w:szCs w:val="28"/>
        </w:rPr>
        <w:t>七、估价依据</w:t>
      </w:r>
      <w:bookmarkEnd w:id="12"/>
    </w:p>
    <w:p>
      <w:pPr>
        <w:pStyle w:val="28"/>
        <w:wordWrap/>
        <w:adjustRightInd w:val="0"/>
        <w:snapToGrid w:val="0"/>
        <w:spacing w:line="600" w:lineRule="exact"/>
        <w:ind w:left="554" w:leftChars="264"/>
        <w:rPr>
          <w:rFonts w:hint="eastAsia" w:hAnsi="宋体"/>
          <w:bCs/>
          <w:color w:val="000000"/>
          <w:sz w:val="28"/>
        </w:rPr>
      </w:pPr>
      <w:bookmarkStart w:id="13" w:name="_Toc318984192"/>
      <w:r>
        <w:rPr>
          <w:rFonts w:hint="eastAsia" w:hAnsi="宋体"/>
          <w:bCs/>
          <w:color w:val="000000"/>
          <w:sz w:val="28"/>
        </w:rPr>
        <w:t>（一）国家法律、法规</w:t>
      </w:r>
    </w:p>
    <w:p>
      <w:pPr>
        <w:widowControl/>
        <w:wordWrap/>
        <w:adjustRightInd w:val="0"/>
        <w:snapToGrid w:val="0"/>
        <w:spacing w:line="600" w:lineRule="exact"/>
        <w:ind w:firstLine="560" w:firstLineChars="200"/>
        <w:textAlignment w:val="bottom"/>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1．《中华人民共和国城市房地产管理法》(主席令第72号，2007年8月30日)；</w:t>
      </w:r>
    </w:p>
    <w:p>
      <w:pPr>
        <w:pStyle w:val="28"/>
        <w:wordWrap/>
        <w:adjustRightInd w:val="0"/>
        <w:snapToGrid w:val="0"/>
        <w:spacing w:line="600" w:lineRule="exact"/>
        <w:ind w:firstLine="560" w:firstLineChars="200"/>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2.《中华人民共和国</w:t>
      </w:r>
      <w:r>
        <w:rPr>
          <w:rFonts w:hint="eastAsia" w:hAnsi="宋体" w:cs="宋体"/>
          <w:color w:val="000000"/>
          <w:sz w:val="28"/>
          <w:szCs w:val="28"/>
          <w:lang w:val="en-US" w:eastAsia="zh-CN"/>
        </w:rPr>
        <w:t>民法典</w:t>
      </w:r>
      <w:r>
        <w:rPr>
          <w:rFonts w:hint="eastAsia" w:ascii="宋体" w:hAnsi="宋体" w:eastAsia="宋体" w:cs="宋体"/>
          <w:color w:val="000000"/>
          <w:sz w:val="28"/>
          <w:szCs w:val="28"/>
        </w:rPr>
        <w:t>》（主席令第</w:t>
      </w:r>
      <w:r>
        <w:rPr>
          <w:rFonts w:hint="eastAsia" w:hAnsi="宋体" w:cs="宋体"/>
          <w:color w:val="000000"/>
          <w:sz w:val="28"/>
          <w:szCs w:val="28"/>
          <w:lang w:val="en-US" w:eastAsia="zh-CN"/>
        </w:rPr>
        <w:t>45</w:t>
      </w:r>
      <w:r>
        <w:rPr>
          <w:rFonts w:hint="eastAsia" w:ascii="宋体" w:hAnsi="宋体" w:eastAsia="宋体" w:cs="宋体"/>
          <w:color w:val="000000"/>
          <w:sz w:val="28"/>
          <w:szCs w:val="28"/>
        </w:rPr>
        <w:t>号，20</w:t>
      </w:r>
      <w:r>
        <w:rPr>
          <w:rFonts w:hint="eastAsia" w:hAnsi="宋体" w:cs="宋体"/>
          <w:color w:val="000000"/>
          <w:sz w:val="28"/>
          <w:szCs w:val="28"/>
          <w:lang w:val="en-US" w:eastAsia="zh-CN"/>
        </w:rPr>
        <w:t>21</w:t>
      </w:r>
      <w:r>
        <w:rPr>
          <w:rFonts w:hint="eastAsia" w:ascii="宋体" w:hAnsi="宋体" w:eastAsia="宋体" w:cs="宋体"/>
          <w:color w:val="000000"/>
          <w:sz w:val="28"/>
          <w:szCs w:val="28"/>
        </w:rPr>
        <w:t>年</w:t>
      </w:r>
      <w:r>
        <w:rPr>
          <w:rFonts w:hint="eastAsia" w:hAnsi="宋体" w:cs="宋体"/>
          <w:color w:val="000000"/>
          <w:sz w:val="28"/>
          <w:szCs w:val="28"/>
          <w:lang w:val="en-US" w:eastAsia="zh-CN"/>
        </w:rPr>
        <w:t>1</w:t>
      </w:r>
      <w:r>
        <w:rPr>
          <w:rFonts w:hint="eastAsia" w:ascii="宋体" w:hAnsi="宋体" w:eastAsia="宋体" w:cs="宋体"/>
          <w:color w:val="000000"/>
          <w:sz w:val="28"/>
          <w:szCs w:val="28"/>
        </w:rPr>
        <w:t>月</w:t>
      </w:r>
      <w:r>
        <w:rPr>
          <w:rFonts w:hint="eastAsia" w:hAnsi="宋体" w:cs="宋体"/>
          <w:color w:val="000000"/>
          <w:sz w:val="28"/>
          <w:szCs w:val="28"/>
          <w:lang w:val="en-US" w:eastAsia="zh-CN"/>
        </w:rPr>
        <w:t>1</w:t>
      </w:r>
      <w:r>
        <w:rPr>
          <w:rFonts w:hint="eastAsia" w:ascii="宋体" w:hAnsi="宋体" w:eastAsia="宋体" w:cs="宋体"/>
          <w:color w:val="000000"/>
          <w:sz w:val="28"/>
          <w:szCs w:val="28"/>
        </w:rPr>
        <w:t>日</w:t>
      </w:r>
      <w:r>
        <w:rPr>
          <w:rFonts w:hint="eastAsia" w:hAnsi="宋体" w:cs="宋体"/>
          <w:color w:val="000000"/>
          <w:sz w:val="28"/>
          <w:szCs w:val="28"/>
          <w:lang w:val="en-US" w:eastAsia="zh-CN"/>
        </w:rPr>
        <w:t>实施</w:t>
      </w:r>
      <w:r>
        <w:rPr>
          <w:rFonts w:hint="eastAsia" w:ascii="宋体" w:hAnsi="宋体" w:eastAsia="宋体" w:cs="宋体"/>
          <w:color w:val="000000"/>
          <w:sz w:val="28"/>
          <w:szCs w:val="28"/>
        </w:rPr>
        <w:t>）；</w:t>
      </w:r>
    </w:p>
    <w:p>
      <w:pPr>
        <w:pStyle w:val="28"/>
        <w:wordWrap/>
        <w:adjustRightInd w:val="0"/>
        <w:snapToGrid w:val="0"/>
        <w:spacing w:line="600" w:lineRule="exact"/>
        <w:ind w:firstLine="560" w:firstLineChars="200"/>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w:t>
      </w:r>
      <w:r>
        <w:rPr>
          <w:rFonts w:hint="eastAsia" w:hAnsi="宋体" w:cs="宋体"/>
          <w:color w:val="000000"/>
          <w:sz w:val="28"/>
          <w:szCs w:val="28"/>
          <w:lang w:eastAsia="zh-CN"/>
        </w:rPr>
        <w:t>《</w:t>
      </w:r>
      <w:r>
        <w:rPr>
          <w:rFonts w:hint="eastAsia" w:hAnsi="宋体" w:cs="宋体"/>
          <w:color w:val="000000"/>
          <w:sz w:val="28"/>
          <w:szCs w:val="28"/>
          <w:lang w:val="en-US" w:eastAsia="zh-CN"/>
        </w:rPr>
        <w:t>中华人民共和国资产评估法</w:t>
      </w:r>
      <w:r>
        <w:rPr>
          <w:rFonts w:hint="eastAsia" w:hAnsi="宋体" w:cs="宋体"/>
          <w:color w:val="000000"/>
          <w:sz w:val="28"/>
          <w:szCs w:val="28"/>
          <w:lang w:eastAsia="zh-CN"/>
        </w:rPr>
        <w:t>》（</w:t>
      </w:r>
      <w:r>
        <w:rPr>
          <w:rFonts w:hint="eastAsia" w:hAnsi="宋体" w:cs="宋体"/>
          <w:color w:val="000000"/>
          <w:sz w:val="28"/>
          <w:szCs w:val="28"/>
          <w:lang w:val="en-US" w:eastAsia="zh-CN"/>
        </w:rPr>
        <w:t>人大常委会2016年7月2日通过</w:t>
      </w:r>
      <w:r>
        <w:rPr>
          <w:rFonts w:hint="eastAsia" w:hAnsi="宋体" w:cs="宋体"/>
          <w:color w:val="000000"/>
          <w:sz w:val="28"/>
          <w:szCs w:val="28"/>
          <w:lang w:eastAsia="zh-CN"/>
        </w:rPr>
        <w:t>）；</w:t>
      </w:r>
    </w:p>
    <w:p>
      <w:pPr>
        <w:pStyle w:val="28"/>
        <w:wordWrap/>
        <w:adjustRightInd w:val="0"/>
        <w:snapToGrid w:val="0"/>
        <w:spacing w:line="600" w:lineRule="exact"/>
        <w:ind w:firstLine="560" w:firstLineChars="200"/>
        <w:outlineLvl w:val="9"/>
        <w:rPr>
          <w:rFonts w:hint="eastAsia" w:hAnsi="宋体" w:cs="宋体"/>
          <w:color w:val="000000"/>
          <w:sz w:val="28"/>
          <w:szCs w:val="28"/>
          <w:lang w:eastAsia="zh-CN"/>
        </w:rPr>
      </w:pPr>
      <w:r>
        <w:rPr>
          <w:rFonts w:hint="eastAsia" w:hAnsi="宋体" w:cs="宋体"/>
          <w:color w:val="000000"/>
          <w:sz w:val="28"/>
          <w:szCs w:val="28"/>
          <w:lang w:val="en-US" w:eastAsia="zh-CN"/>
        </w:rPr>
        <w:t>4.</w:t>
      </w:r>
      <w:r>
        <w:rPr>
          <w:rFonts w:hint="eastAsia" w:hAnsi="宋体" w:cs="宋体"/>
          <w:color w:val="000000"/>
          <w:sz w:val="28"/>
          <w:szCs w:val="28"/>
          <w:lang w:eastAsia="zh-CN"/>
        </w:rPr>
        <w:t>《</w:t>
      </w:r>
      <w:r>
        <w:rPr>
          <w:rFonts w:hint="eastAsia" w:hAnsi="宋体" w:cs="宋体"/>
          <w:color w:val="000000"/>
          <w:sz w:val="28"/>
          <w:szCs w:val="28"/>
          <w:lang w:val="en-US" w:eastAsia="zh-CN"/>
        </w:rPr>
        <w:t>最高人民法院关于人民法院确定财产处置参考价若干问题的规定</w:t>
      </w:r>
      <w:r>
        <w:rPr>
          <w:rFonts w:hint="eastAsia" w:hAnsi="宋体" w:cs="宋体"/>
          <w:color w:val="000000"/>
          <w:sz w:val="28"/>
          <w:szCs w:val="28"/>
          <w:lang w:eastAsia="zh-CN"/>
        </w:rPr>
        <w:t>》（</w:t>
      </w:r>
      <w:r>
        <w:rPr>
          <w:rFonts w:hint="eastAsia" w:hAnsi="宋体" w:cs="宋体"/>
          <w:color w:val="000000"/>
          <w:sz w:val="28"/>
          <w:szCs w:val="28"/>
          <w:lang w:val="en-US" w:eastAsia="zh-CN"/>
        </w:rPr>
        <w:t>法释[2018]15号</w:t>
      </w:r>
      <w:r>
        <w:rPr>
          <w:rFonts w:hint="eastAsia" w:hAnsi="宋体" w:cs="宋体"/>
          <w:color w:val="000000"/>
          <w:sz w:val="28"/>
          <w:szCs w:val="28"/>
          <w:lang w:eastAsia="zh-CN"/>
        </w:rPr>
        <w:t>）；</w:t>
      </w:r>
    </w:p>
    <w:p>
      <w:pPr>
        <w:pStyle w:val="28"/>
        <w:wordWrap/>
        <w:adjustRightInd w:val="0"/>
        <w:snapToGrid w:val="0"/>
        <w:spacing w:line="600" w:lineRule="exact"/>
        <w:ind w:firstLine="560" w:firstLineChars="200"/>
        <w:outlineLvl w:val="9"/>
        <w:rPr>
          <w:rFonts w:hint="eastAsia" w:ascii="宋体" w:hAnsi="宋体" w:eastAsia="宋体" w:cs="宋体"/>
          <w:color w:val="000000"/>
          <w:sz w:val="28"/>
          <w:szCs w:val="28"/>
        </w:rPr>
      </w:pPr>
      <w:r>
        <w:rPr>
          <w:rFonts w:hint="eastAsia" w:hAnsi="宋体" w:cs="宋体"/>
          <w:color w:val="000000"/>
          <w:sz w:val="28"/>
          <w:szCs w:val="28"/>
          <w:lang w:val="en-US" w:eastAsia="zh-CN"/>
        </w:rPr>
        <w:t>5</w:t>
      </w:r>
      <w:r>
        <w:rPr>
          <w:rFonts w:hint="eastAsia" w:ascii="宋体" w:hAnsi="宋体" w:eastAsia="宋体" w:cs="宋体"/>
          <w:color w:val="000000"/>
          <w:sz w:val="28"/>
          <w:szCs w:val="28"/>
        </w:rPr>
        <w:t>.《司法鉴定程序通则》；</w:t>
      </w:r>
    </w:p>
    <w:p>
      <w:pPr>
        <w:pStyle w:val="28"/>
        <w:wordWrap/>
        <w:adjustRightInd w:val="0"/>
        <w:snapToGrid w:val="0"/>
        <w:spacing w:line="600" w:lineRule="exact"/>
        <w:ind w:firstLine="560" w:firstLineChars="200"/>
        <w:outlineLvl w:val="9"/>
        <w:rPr>
          <w:rFonts w:hint="default" w:ascii="宋体" w:hAnsi="宋体" w:eastAsia="宋体" w:cs="宋体"/>
          <w:color w:val="000000"/>
          <w:sz w:val="28"/>
          <w:szCs w:val="28"/>
          <w:lang w:val="en-US" w:eastAsia="zh-CN"/>
        </w:rPr>
      </w:pPr>
      <w:r>
        <w:rPr>
          <w:rFonts w:hint="eastAsia" w:hAnsi="宋体" w:cs="宋体"/>
          <w:color w:val="000000"/>
          <w:sz w:val="28"/>
          <w:szCs w:val="28"/>
          <w:lang w:val="en-US" w:eastAsia="zh-CN"/>
        </w:rPr>
        <w:t>6.《人民法院委托评估工作规范》（法办〔2018〕273号）；</w:t>
      </w:r>
    </w:p>
    <w:p>
      <w:pPr>
        <w:pStyle w:val="28"/>
        <w:wordWrap/>
        <w:adjustRightInd w:val="0"/>
        <w:snapToGrid w:val="0"/>
        <w:spacing w:line="600" w:lineRule="exact"/>
        <w:ind w:firstLine="560" w:firstLineChars="200"/>
        <w:outlineLvl w:val="9"/>
        <w:rPr>
          <w:rFonts w:hint="eastAsia" w:ascii="宋体" w:hAnsi="宋体" w:eastAsia="宋体" w:cs="宋体"/>
          <w:color w:val="000000"/>
          <w:sz w:val="28"/>
          <w:szCs w:val="28"/>
        </w:rPr>
      </w:pPr>
      <w:r>
        <w:rPr>
          <w:rFonts w:hint="eastAsia" w:hAnsi="宋体" w:cs="宋体"/>
          <w:color w:val="000000"/>
          <w:sz w:val="28"/>
          <w:szCs w:val="28"/>
          <w:lang w:val="en-US" w:eastAsia="zh-CN"/>
        </w:rPr>
        <w:t>7</w:t>
      </w:r>
      <w:r>
        <w:rPr>
          <w:rFonts w:hint="eastAsia" w:ascii="宋体" w:hAnsi="宋体" w:eastAsia="宋体" w:cs="宋体"/>
          <w:color w:val="000000"/>
          <w:sz w:val="28"/>
          <w:szCs w:val="28"/>
        </w:rPr>
        <w:t>.其他法律规定、政策文件等。</w:t>
      </w:r>
    </w:p>
    <w:p>
      <w:pPr>
        <w:pStyle w:val="28"/>
        <w:wordWrap/>
        <w:adjustRightInd w:val="0"/>
        <w:snapToGrid w:val="0"/>
        <w:spacing w:line="600" w:lineRule="exact"/>
        <w:ind w:firstLine="555"/>
        <w:rPr>
          <w:rFonts w:hAnsi="宋体"/>
          <w:bCs/>
          <w:color w:val="000000"/>
          <w:sz w:val="28"/>
        </w:rPr>
      </w:pPr>
      <w:r>
        <w:rPr>
          <w:rFonts w:hAnsi="宋体"/>
          <w:bCs/>
          <w:color w:val="000000"/>
          <w:sz w:val="28"/>
        </w:rPr>
        <w:t>（</w:t>
      </w:r>
      <w:r>
        <w:rPr>
          <w:rFonts w:hint="eastAsia" w:hAnsi="宋体"/>
          <w:bCs/>
          <w:color w:val="000000"/>
          <w:sz w:val="28"/>
        </w:rPr>
        <w:t>二</w:t>
      </w:r>
      <w:r>
        <w:rPr>
          <w:rFonts w:hAnsi="宋体"/>
          <w:bCs/>
          <w:color w:val="000000"/>
          <w:sz w:val="28"/>
        </w:rPr>
        <w:t>）本次估价采用的技术规程</w:t>
      </w:r>
    </w:p>
    <w:p>
      <w:pPr>
        <w:widowControl/>
        <w:wordWrap/>
        <w:adjustRightInd w:val="0"/>
        <w:snapToGrid w:val="0"/>
        <w:spacing w:line="600" w:lineRule="exact"/>
        <w:ind w:firstLine="560" w:firstLineChars="200"/>
        <w:textAlignment w:val="bottom"/>
        <w:rPr>
          <w:rFonts w:hint="eastAsia" w:ascii="宋体" w:hAnsi="宋体"/>
          <w:snapToGrid w:val="0"/>
          <w:color w:val="000000"/>
          <w:kern w:val="0"/>
          <w:sz w:val="28"/>
        </w:rPr>
      </w:pPr>
      <w:r>
        <w:rPr>
          <w:rFonts w:ascii="宋体" w:hAnsi="宋体"/>
          <w:snapToGrid w:val="0"/>
          <w:color w:val="000000"/>
          <w:kern w:val="0"/>
          <w:sz w:val="28"/>
        </w:rPr>
        <w:t>1</w:t>
      </w:r>
      <w:r>
        <w:rPr>
          <w:rFonts w:ascii="宋体" w:hAnsi="宋体"/>
          <w:color w:val="000000"/>
          <w:sz w:val="28"/>
        </w:rPr>
        <w:t>.</w:t>
      </w:r>
      <w:r>
        <w:rPr>
          <w:rFonts w:hint="eastAsia" w:ascii="宋体" w:hAnsi="宋体"/>
        </w:rPr>
        <w:t xml:space="preserve"> </w:t>
      </w:r>
      <w:r>
        <w:rPr>
          <w:rFonts w:ascii="宋体" w:hAnsi="宋体"/>
          <w:snapToGrid w:val="0"/>
          <w:color w:val="000000"/>
          <w:kern w:val="0"/>
          <w:sz w:val="28"/>
        </w:rPr>
        <w:t xml:space="preserve">《房地产估价规范》（GB/T </w:t>
      </w:r>
      <w:r>
        <w:rPr>
          <w:rFonts w:hint="eastAsia" w:ascii="宋体" w:hAnsi="宋体"/>
          <w:snapToGrid w:val="0"/>
          <w:color w:val="000000"/>
          <w:kern w:val="0"/>
          <w:sz w:val="28"/>
          <w:lang w:eastAsia="zh-CN"/>
        </w:rPr>
        <w:t>50291</w:t>
      </w:r>
      <w:r>
        <w:rPr>
          <w:rFonts w:ascii="宋体" w:hAnsi="宋体"/>
          <w:snapToGrid w:val="0"/>
          <w:color w:val="000000"/>
          <w:kern w:val="0"/>
          <w:sz w:val="28"/>
        </w:rPr>
        <w:t>-</w:t>
      </w:r>
      <w:r>
        <w:rPr>
          <w:rFonts w:hint="eastAsia" w:ascii="宋体" w:hAnsi="宋体"/>
          <w:snapToGrid w:val="0"/>
          <w:color w:val="000000"/>
          <w:kern w:val="0"/>
          <w:sz w:val="28"/>
        </w:rPr>
        <w:t>2015</w:t>
      </w:r>
      <w:r>
        <w:rPr>
          <w:rFonts w:ascii="宋体" w:hAnsi="宋体"/>
          <w:snapToGrid w:val="0"/>
          <w:color w:val="000000"/>
          <w:kern w:val="0"/>
          <w:sz w:val="28"/>
        </w:rPr>
        <w:t>）；</w:t>
      </w:r>
    </w:p>
    <w:p>
      <w:pPr>
        <w:widowControl/>
        <w:wordWrap/>
        <w:adjustRightInd w:val="0"/>
        <w:snapToGrid w:val="0"/>
        <w:spacing w:line="600" w:lineRule="exact"/>
        <w:ind w:firstLine="560" w:firstLineChars="200"/>
        <w:textAlignment w:val="bottom"/>
        <w:rPr>
          <w:rFonts w:hint="eastAsia" w:ascii="宋体" w:hAnsi="宋体" w:eastAsia="宋体"/>
          <w:snapToGrid w:val="0"/>
          <w:color w:val="000000"/>
          <w:kern w:val="0"/>
          <w:sz w:val="28"/>
          <w:lang w:val="en-US" w:eastAsia="zh-CN"/>
        </w:rPr>
      </w:pPr>
      <w:r>
        <w:rPr>
          <w:rFonts w:hint="eastAsia" w:ascii="宋体" w:hAnsi="宋体"/>
          <w:snapToGrid w:val="0"/>
          <w:color w:val="000000"/>
          <w:kern w:val="0"/>
          <w:sz w:val="28"/>
        </w:rPr>
        <w:t>2.《房地产估价基本术语标准》（GB/T 50899-</w:t>
      </w:r>
      <w:r>
        <w:rPr>
          <w:rFonts w:hint="eastAsia" w:ascii="宋体" w:hAnsi="宋体"/>
          <w:snapToGrid w:val="0"/>
          <w:color w:val="000000"/>
          <w:kern w:val="0"/>
          <w:sz w:val="28"/>
          <w:lang w:val="en-US" w:eastAsia="zh-CN"/>
        </w:rPr>
        <w:t>2013</w:t>
      </w:r>
      <w:r>
        <w:rPr>
          <w:rFonts w:hint="eastAsia" w:ascii="宋体" w:hAnsi="宋体"/>
          <w:snapToGrid w:val="0"/>
          <w:color w:val="000000"/>
          <w:kern w:val="0"/>
          <w:sz w:val="28"/>
        </w:rPr>
        <w:t xml:space="preserve"> ）</w:t>
      </w:r>
      <w:r>
        <w:rPr>
          <w:rFonts w:hint="eastAsia" w:ascii="宋体" w:hAnsi="宋体"/>
          <w:snapToGrid w:val="0"/>
          <w:color w:val="000000"/>
          <w:kern w:val="0"/>
          <w:sz w:val="28"/>
          <w:lang w:eastAsia="zh-CN"/>
        </w:rPr>
        <w:t>。</w:t>
      </w:r>
    </w:p>
    <w:p>
      <w:pPr>
        <w:pStyle w:val="28"/>
        <w:wordWrap/>
        <w:adjustRightInd w:val="0"/>
        <w:snapToGrid w:val="0"/>
        <w:spacing w:line="600" w:lineRule="exact"/>
        <w:ind w:firstLine="560" w:firstLineChars="200"/>
        <w:rPr>
          <w:rFonts w:hAnsi="宋体"/>
          <w:bCs/>
          <w:color w:val="000000"/>
          <w:sz w:val="28"/>
        </w:rPr>
      </w:pPr>
      <w:r>
        <w:rPr>
          <w:rFonts w:hAnsi="宋体"/>
          <w:bCs/>
          <w:color w:val="000000"/>
          <w:sz w:val="28"/>
        </w:rPr>
        <w:t>（</w:t>
      </w:r>
      <w:r>
        <w:rPr>
          <w:rFonts w:hint="eastAsia" w:hAnsi="宋体"/>
          <w:bCs/>
          <w:snapToGrid w:val="0"/>
          <w:color w:val="000000"/>
          <w:kern w:val="0"/>
          <w:sz w:val="28"/>
        </w:rPr>
        <w:t>三</w:t>
      </w:r>
      <w:r>
        <w:rPr>
          <w:rFonts w:hAnsi="宋体"/>
          <w:bCs/>
          <w:color w:val="000000"/>
          <w:sz w:val="28"/>
        </w:rPr>
        <w:t>）</w:t>
      </w:r>
      <w:r>
        <w:rPr>
          <w:rFonts w:hint="eastAsia" w:hAnsi="宋体"/>
          <w:bCs/>
          <w:color w:val="000000"/>
          <w:sz w:val="28"/>
          <w:lang w:val="en-US" w:eastAsia="zh-CN"/>
        </w:rPr>
        <w:t>其它相</w:t>
      </w:r>
      <w:r>
        <w:rPr>
          <w:rFonts w:hAnsi="宋体"/>
          <w:bCs/>
          <w:color w:val="000000"/>
          <w:sz w:val="28"/>
        </w:rPr>
        <w:t>关资料</w:t>
      </w:r>
    </w:p>
    <w:p>
      <w:pPr>
        <w:widowControl/>
        <w:wordWrap/>
        <w:adjustRightInd w:val="0"/>
        <w:snapToGrid w:val="0"/>
        <w:spacing w:line="600" w:lineRule="exact"/>
        <w:ind w:firstLine="560" w:firstLineChars="200"/>
        <w:textAlignment w:val="bottom"/>
        <w:rPr>
          <w:rFonts w:hint="eastAsia" w:ascii="宋体" w:hAnsi="宋体"/>
          <w:sz w:val="28"/>
          <w:szCs w:val="28"/>
        </w:rPr>
      </w:pPr>
      <w:r>
        <w:rPr>
          <w:rFonts w:hint="eastAsia" w:ascii="宋体" w:hAnsi="宋体"/>
          <w:snapToGrid w:val="0"/>
          <w:color w:val="000000"/>
          <w:kern w:val="0"/>
          <w:sz w:val="28"/>
        </w:rPr>
        <w:t>1</w:t>
      </w:r>
      <w:r>
        <w:rPr>
          <w:rFonts w:ascii="宋体" w:hAnsi="宋体"/>
          <w:snapToGrid w:val="0"/>
          <w:color w:val="000000"/>
          <w:kern w:val="0"/>
          <w:sz w:val="28"/>
        </w:rPr>
        <w:t>.</w:t>
      </w:r>
      <w:r>
        <w:rPr>
          <w:rFonts w:ascii="宋体" w:hAnsi="宋体"/>
          <w:sz w:val="28"/>
          <w:szCs w:val="28"/>
        </w:rPr>
        <w:t xml:space="preserve"> </w:t>
      </w:r>
      <w:r>
        <w:rPr>
          <w:rFonts w:hint="eastAsia" w:ascii="宋体" w:hAnsi="宋体"/>
          <w:sz w:val="28"/>
          <w:szCs w:val="28"/>
          <w:lang w:val="en-US" w:eastAsia="zh-CN"/>
        </w:rPr>
        <w:t>委托方提供相关资料</w:t>
      </w:r>
      <w:r>
        <w:rPr>
          <w:rFonts w:hint="eastAsia" w:ascii="宋体" w:hAnsi="宋体"/>
          <w:sz w:val="28"/>
          <w:szCs w:val="28"/>
        </w:rPr>
        <w:t>；</w:t>
      </w:r>
    </w:p>
    <w:p>
      <w:pPr>
        <w:pStyle w:val="28"/>
        <w:wordWrap/>
        <w:adjustRightInd w:val="0"/>
        <w:snapToGrid w:val="0"/>
        <w:spacing w:line="600" w:lineRule="exact"/>
        <w:ind w:firstLine="555"/>
        <w:rPr>
          <w:rFonts w:hint="eastAsia" w:hAnsi="宋体" w:eastAsia="宋体"/>
          <w:bCs/>
          <w:color w:val="000000"/>
          <w:sz w:val="28"/>
          <w:lang w:eastAsia="zh-CN"/>
        </w:rPr>
      </w:pPr>
      <w:r>
        <w:rPr>
          <w:rFonts w:hint="eastAsia" w:hAnsi="宋体"/>
          <w:bCs/>
          <w:color w:val="000000"/>
          <w:sz w:val="28"/>
          <w:lang w:val="en-US" w:eastAsia="zh-CN"/>
        </w:rPr>
        <w:t>2.</w:t>
      </w:r>
      <w:r>
        <w:rPr>
          <w:rFonts w:hAnsi="宋体"/>
          <w:bCs/>
          <w:color w:val="000000"/>
          <w:sz w:val="28"/>
        </w:rPr>
        <w:t>评估人员调查收集的</w:t>
      </w:r>
      <w:r>
        <w:rPr>
          <w:rFonts w:hint="eastAsia" w:hAnsi="宋体"/>
          <w:bCs/>
          <w:color w:val="000000"/>
          <w:sz w:val="28"/>
          <w:lang w:val="en-US" w:eastAsia="zh-CN"/>
        </w:rPr>
        <w:t>相关</w:t>
      </w:r>
      <w:r>
        <w:rPr>
          <w:rFonts w:hAnsi="宋体"/>
          <w:bCs/>
          <w:color w:val="000000"/>
          <w:sz w:val="28"/>
        </w:rPr>
        <w:t>资料</w:t>
      </w:r>
      <w:r>
        <w:rPr>
          <w:rFonts w:hint="eastAsia" w:hAnsi="宋体"/>
          <w:bCs/>
          <w:color w:val="000000"/>
          <w:sz w:val="28"/>
          <w:lang w:eastAsia="zh-CN"/>
        </w:rPr>
        <w:t>。</w:t>
      </w:r>
    </w:p>
    <w:p>
      <w:pPr>
        <w:pStyle w:val="3"/>
        <w:wordWrap/>
        <w:adjustRightInd w:val="0"/>
        <w:snapToGrid w:val="0"/>
        <w:spacing w:before="0" w:after="0" w:line="600" w:lineRule="exact"/>
        <w:rPr>
          <w:rStyle w:val="47"/>
          <w:rFonts w:ascii="宋体" w:hAnsi="宋体"/>
          <w:b/>
          <w:bCs/>
          <w:sz w:val="28"/>
          <w:szCs w:val="28"/>
        </w:rPr>
      </w:pPr>
      <w:r>
        <w:rPr>
          <w:rStyle w:val="47"/>
          <w:rFonts w:ascii="宋体" w:hAnsi="宋体"/>
          <w:b/>
          <w:bCs/>
          <w:sz w:val="28"/>
          <w:szCs w:val="28"/>
        </w:rPr>
        <w:t>八、估价原则</w:t>
      </w:r>
      <w:bookmarkEnd w:id="13"/>
    </w:p>
    <w:p>
      <w:pPr>
        <w:pStyle w:val="28"/>
        <w:wordWrap/>
        <w:adjustRightInd w:val="0"/>
        <w:snapToGrid w:val="0"/>
        <w:spacing w:line="600" w:lineRule="exact"/>
        <w:ind w:firstLine="570"/>
        <w:rPr>
          <w:rFonts w:hAnsi="宋体"/>
          <w:color w:val="000000"/>
          <w:kern w:val="0"/>
          <w:sz w:val="28"/>
        </w:rPr>
      </w:pPr>
      <w:r>
        <w:rPr>
          <w:rFonts w:hAnsi="宋体"/>
          <w:color w:val="000000"/>
          <w:sz w:val="28"/>
        </w:rPr>
        <w:t>本评估报告在遵循公正、公平、公开、客观、科学原则的前提下，具</w:t>
      </w:r>
      <w:r>
        <w:rPr>
          <w:rFonts w:hAnsi="宋体"/>
          <w:color w:val="000000"/>
          <w:kern w:val="0"/>
          <w:sz w:val="28"/>
        </w:rPr>
        <w:t>体依据如下原则：</w:t>
      </w:r>
    </w:p>
    <w:p>
      <w:pPr>
        <w:pStyle w:val="28"/>
        <w:pageBreakBefore w:val="0"/>
        <w:numPr>
          <w:ilvl w:val="0"/>
          <w:numId w:val="6"/>
        </w:numPr>
        <w:kinsoku/>
        <w:wordWrap/>
        <w:overflowPunct/>
        <w:topLinePunct w:val="0"/>
        <w:autoSpaceDE/>
        <w:autoSpaceDN/>
        <w:bidi w:val="0"/>
        <w:adjustRightInd w:val="0"/>
        <w:snapToGrid w:val="0"/>
        <w:spacing w:line="360" w:lineRule="auto"/>
        <w:ind w:firstLine="6"/>
        <w:rPr>
          <w:rFonts w:hint="eastAsia" w:hAnsi="宋体"/>
          <w:color w:val="000000"/>
          <w:kern w:val="0"/>
          <w:sz w:val="28"/>
        </w:rPr>
      </w:pPr>
      <w:r>
        <w:rPr>
          <w:rFonts w:hint="eastAsia" w:hAnsi="宋体"/>
          <w:color w:val="000000"/>
          <w:kern w:val="0"/>
          <w:sz w:val="28"/>
        </w:rPr>
        <w:t xml:space="preserve">独立、客观、公正原则：遵循的独立、客观、公正原则，要求站在中立的原则立场上，实事求是，公平正直地评估出对各方估价利害关系人均是公平合理的价值或价格 </w:t>
      </w:r>
      <w:r>
        <w:rPr>
          <w:rFonts w:hAnsi="宋体"/>
          <w:color w:val="000000"/>
          <w:kern w:val="0"/>
          <w:sz w:val="28"/>
        </w:rPr>
        <w:t>。</w:t>
      </w:r>
    </w:p>
    <w:p>
      <w:pPr>
        <w:pStyle w:val="28"/>
        <w:pageBreakBefore w:val="0"/>
        <w:numPr>
          <w:ilvl w:val="0"/>
          <w:numId w:val="6"/>
        </w:numPr>
        <w:kinsoku/>
        <w:wordWrap/>
        <w:overflowPunct/>
        <w:topLinePunct w:val="0"/>
        <w:autoSpaceDE/>
        <w:autoSpaceDN/>
        <w:bidi w:val="0"/>
        <w:adjustRightInd w:val="0"/>
        <w:snapToGrid w:val="0"/>
        <w:spacing w:line="360" w:lineRule="auto"/>
        <w:ind w:firstLine="6"/>
        <w:rPr>
          <w:rFonts w:hAnsi="宋体"/>
          <w:color w:val="000000"/>
          <w:kern w:val="0"/>
          <w:sz w:val="28"/>
        </w:rPr>
      </w:pPr>
      <w:r>
        <w:rPr>
          <w:rFonts w:hint="eastAsia" w:hAnsi="宋体"/>
          <w:color w:val="000000"/>
          <w:kern w:val="0"/>
          <w:sz w:val="28"/>
        </w:rPr>
        <w:t>合法原则：遵循合法原则，要求估价结果是在依法判定的估价对象状况下的价值或价格。</w:t>
      </w:r>
    </w:p>
    <w:p>
      <w:pPr>
        <w:pStyle w:val="28"/>
        <w:pageBreakBefore w:val="0"/>
        <w:numPr>
          <w:ilvl w:val="0"/>
          <w:numId w:val="6"/>
        </w:numPr>
        <w:kinsoku/>
        <w:wordWrap/>
        <w:overflowPunct/>
        <w:topLinePunct w:val="0"/>
        <w:autoSpaceDE/>
        <w:autoSpaceDN/>
        <w:bidi w:val="0"/>
        <w:adjustRightInd w:val="0"/>
        <w:snapToGrid w:val="0"/>
        <w:spacing w:line="360" w:lineRule="auto"/>
        <w:ind w:firstLine="6"/>
        <w:rPr>
          <w:rFonts w:hAnsi="宋体"/>
          <w:color w:val="000000"/>
          <w:kern w:val="0"/>
          <w:sz w:val="28"/>
        </w:rPr>
      </w:pPr>
      <w:r>
        <w:rPr>
          <w:rFonts w:hint="eastAsia" w:hAnsi="宋体"/>
          <w:color w:val="000000"/>
          <w:kern w:val="0"/>
          <w:sz w:val="28"/>
        </w:rPr>
        <w:t>价值时点原则：遵循价值时点原则，要求估价结果是在根据估价目的确定的某一特定时间的价值或价格。</w:t>
      </w:r>
    </w:p>
    <w:p>
      <w:pPr>
        <w:pStyle w:val="28"/>
        <w:pageBreakBefore w:val="0"/>
        <w:numPr>
          <w:ilvl w:val="0"/>
          <w:numId w:val="6"/>
        </w:numPr>
        <w:kinsoku/>
        <w:wordWrap/>
        <w:overflowPunct/>
        <w:topLinePunct w:val="0"/>
        <w:autoSpaceDE/>
        <w:autoSpaceDN/>
        <w:bidi w:val="0"/>
        <w:adjustRightInd w:val="0"/>
        <w:snapToGrid w:val="0"/>
        <w:spacing w:line="360" w:lineRule="auto"/>
        <w:ind w:firstLine="6"/>
        <w:rPr>
          <w:rFonts w:hint="eastAsia" w:hAnsi="宋体"/>
          <w:color w:val="000000"/>
          <w:kern w:val="0"/>
          <w:sz w:val="28"/>
        </w:rPr>
      </w:pPr>
      <w:r>
        <w:rPr>
          <w:rFonts w:hint="eastAsia" w:hAnsi="宋体"/>
          <w:color w:val="000000"/>
          <w:kern w:val="0"/>
          <w:sz w:val="28"/>
        </w:rPr>
        <w:t>替代原则：遵循替代原则，要求估价结果与估价对象的类似房地产在同等条件下价值或价格偏差在合理范围内。</w:t>
      </w:r>
    </w:p>
    <w:p>
      <w:pPr>
        <w:pStyle w:val="28"/>
        <w:pageBreakBefore w:val="0"/>
        <w:numPr>
          <w:ilvl w:val="0"/>
          <w:numId w:val="6"/>
        </w:numPr>
        <w:kinsoku/>
        <w:wordWrap/>
        <w:overflowPunct/>
        <w:topLinePunct w:val="0"/>
        <w:autoSpaceDE/>
        <w:autoSpaceDN/>
        <w:bidi w:val="0"/>
        <w:adjustRightInd w:val="0"/>
        <w:snapToGrid w:val="0"/>
        <w:spacing w:line="360" w:lineRule="auto"/>
        <w:ind w:firstLine="6"/>
        <w:rPr>
          <w:rFonts w:hAnsi="宋体"/>
          <w:color w:val="000000"/>
          <w:kern w:val="0"/>
          <w:sz w:val="28"/>
        </w:rPr>
      </w:pPr>
      <w:r>
        <w:rPr>
          <w:rFonts w:hint="eastAsia" w:hAnsi="宋体"/>
          <w:color w:val="000000"/>
          <w:kern w:val="0"/>
          <w:sz w:val="28"/>
        </w:rPr>
        <w:t>最高最佳利用原则：遵循最高最佳利用原则，要求估价结果是在估价对象最高最佳使用利用状况下的价值或价格。</w:t>
      </w:r>
    </w:p>
    <w:p>
      <w:pPr>
        <w:pStyle w:val="3"/>
        <w:pageBreakBefore w:val="0"/>
        <w:kinsoku/>
        <w:wordWrap/>
        <w:overflowPunct/>
        <w:topLinePunct w:val="0"/>
        <w:autoSpaceDE/>
        <w:autoSpaceDN/>
        <w:bidi w:val="0"/>
        <w:adjustRightInd w:val="0"/>
        <w:snapToGrid w:val="0"/>
        <w:spacing w:before="0" w:after="0" w:line="360" w:lineRule="auto"/>
        <w:rPr>
          <w:rStyle w:val="47"/>
          <w:rFonts w:ascii="宋体" w:hAnsi="宋体"/>
          <w:b/>
          <w:bCs/>
          <w:sz w:val="28"/>
          <w:szCs w:val="28"/>
        </w:rPr>
      </w:pPr>
      <w:bookmarkStart w:id="14" w:name="_Toc318984193"/>
      <w:r>
        <w:rPr>
          <w:rStyle w:val="47"/>
          <w:rFonts w:ascii="宋体" w:hAnsi="宋体"/>
          <w:b/>
          <w:bCs/>
          <w:sz w:val="28"/>
          <w:szCs w:val="28"/>
        </w:rPr>
        <w:t>九、</w:t>
      </w:r>
      <w:bookmarkEnd w:id="14"/>
      <w:r>
        <w:rPr>
          <w:rStyle w:val="47"/>
          <w:rFonts w:ascii="宋体" w:hAnsi="宋体"/>
          <w:b/>
          <w:bCs/>
          <w:sz w:val="28"/>
          <w:szCs w:val="28"/>
        </w:rPr>
        <w:t>估价方法</w:t>
      </w:r>
    </w:p>
    <w:p>
      <w:pPr>
        <w:pageBreakBefore w:val="0"/>
        <w:widowControl/>
        <w:kinsoku/>
        <w:wordWrap/>
        <w:overflowPunct/>
        <w:topLinePunct w:val="0"/>
        <w:autoSpaceDE/>
        <w:autoSpaceDN/>
        <w:bidi w:val="0"/>
        <w:adjustRightInd w:val="0"/>
        <w:snapToGrid w:val="0"/>
        <w:spacing w:line="360" w:lineRule="auto"/>
        <w:ind w:firstLine="560" w:firstLineChars="200"/>
        <w:textAlignment w:val="bottom"/>
        <w:rPr>
          <w:rFonts w:ascii="宋体" w:hAnsi="宋体"/>
          <w:color w:val="auto"/>
          <w:sz w:val="28"/>
        </w:rPr>
      </w:pPr>
      <w:bookmarkStart w:id="15" w:name="_Toc318984194"/>
      <w:r>
        <w:rPr>
          <w:rFonts w:ascii="宋体" w:hAnsi="宋体"/>
          <w:color w:val="auto"/>
          <w:sz w:val="28"/>
        </w:rPr>
        <w:t>估价人员在认真分析所掌握的资料并进行了实地勘查之后，根据估价对象的项目特点，选取</w:t>
      </w:r>
      <w:r>
        <w:rPr>
          <w:rFonts w:hint="eastAsia" w:ascii="宋体" w:hAnsi="宋体"/>
          <w:color w:val="auto"/>
          <w:sz w:val="28"/>
          <w:lang w:val="en-US" w:eastAsia="zh-CN"/>
        </w:rPr>
        <w:t>成本法进行估价，</w:t>
      </w:r>
      <w:r>
        <w:rPr>
          <w:rFonts w:ascii="宋体" w:hAnsi="宋体"/>
          <w:color w:val="auto"/>
          <w:sz w:val="28"/>
        </w:rPr>
        <w:t>得出其市场价值。</w:t>
      </w:r>
    </w:p>
    <w:p>
      <w:pPr>
        <w:pageBreakBefore w:val="0"/>
        <w:widowControl/>
        <w:kinsoku/>
        <w:wordWrap/>
        <w:overflowPunct/>
        <w:topLinePunct w:val="0"/>
        <w:autoSpaceDE/>
        <w:autoSpaceDN/>
        <w:bidi w:val="0"/>
        <w:adjustRightInd w:val="0"/>
        <w:snapToGrid w:val="0"/>
        <w:spacing w:line="360" w:lineRule="auto"/>
        <w:ind w:firstLine="560" w:firstLineChars="200"/>
        <w:textAlignment w:val="bottom"/>
        <w:rPr>
          <w:rFonts w:ascii="宋体" w:hAnsi="宋体"/>
          <w:color w:val="auto"/>
          <w:sz w:val="28"/>
        </w:rPr>
      </w:pPr>
      <w:r>
        <w:rPr>
          <w:rFonts w:hint="eastAsia" w:ascii="宋体" w:hAnsi="宋体" w:eastAsia="宋体" w:cs="宋体"/>
          <w:color w:val="000000"/>
          <w:sz w:val="28"/>
          <w:szCs w:val="28"/>
          <w:lang w:val="en-US" w:eastAsia="zh-CN"/>
        </w:rPr>
        <w:t>成本法：</w:t>
      </w:r>
      <w:r>
        <w:rPr>
          <w:rFonts w:hint="eastAsia" w:ascii="宋体" w:hAnsi="宋体" w:eastAsia="宋体" w:cs="宋体"/>
          <w:color w:val="000000"/>
          <w:sz w:val="28"/>
          <w:szCs w:val="28"/>
        </w:rPr>
        <w:t>以开发或建造估价对象房地产所需要的各项费用之和为基础，加上正常利润和税金，得出房地产的</w:t>
      </w:r>
      <w:r>
        <w:rPr>
          <w:rFonts w:hint="eastAsia" w:ascii="宋体" w:hAnsi="宋体" w:eastAsia="宋体" w:cs="宋体"/>
          <w:color w:val="000000"/>
          <w:sz w:val="28"/>
          <w:szCs w:val="28"/>
          <w:lang w:eastAsia="zh-CN"/>
        </w:rPr>
        <w:t>房地产市场</w:t>
      </w:r>
      <w:r>
        <w:rPr>
          <w:rFonts w:hint="eastAsia" w:ascii="宋体" w:hAnsi="宋体" w:eastAsia="宋体" w:cs="宋体"/>
          <w:color w:val="000000"/>
          <w:sz w:val="28"/>
          <w:szCs w:val="28"/>
        </w:rPr>
        <w:t>格，然后再扣除折旧，以此估算的客观合理价格或价值的方法。</w:t>
      </w:r>
    </w:p>
    <w:p>
      <w:pPr>
        <w:pageBreakBefore w:val="0"/>
        <w:tabs>
          <w:tab w:val="left" w:pos="280"/>
          <w:tab w:val="right" w:leader="middleDot" w:pos="7840"/>
        </w:tabs>
        <w:kinsoku/>
        <w:wordWrap/>
        <w:overflowPunct/>
        <w:topLinePunct w:val="0"/>
        <w:autoSpaceDE/>
        <w:autoSpaceDN/>
        <w:bidi w:val="0"/>
        <w:spacing w:line="360" w:lineRule="auto"/>
        <w:jc w:val="left"/>
        <w:outlineLvl w:val="1"/>
        <w:rPr>
          <w:rFonts w:hint="eastAsia" w:hAnsi="宋体"/>
          <w:sz w:val="28"/>
        </w:rPr>
      </w:pPr>
      <w:r>
        <w:rPr>
          <w:rStyle w:val="47"/>
          <w:rFonts w:hint="eastAsia" w:ascii="宋体" w:hAnsi="宋体"/>
          <w:b/>
          <w:bCs/>
          <w:sz w:val="28"/>
          <w:szCs w:val="28"/>
        </w:rPr>
        <w:t>十、估价结果</w:t>
      </w:r>
      <w:bookmarkEnd w:id="15"/>
    </w:p>
    <w:p>
      <w:pPr>
        <w:pStyle w:val="28"/>
        <w:pageBreakBefore w:val="0"/>
        <w:kinsoku/>
        <w:wordWrap/>
        <w:overflowPunct/>
        <w:topLinePunct w:val="0"/>
        <w:autoSpaceDE/>
        <w:autoSpaceDN/>
        <w:bidi w:val="0"/>
        <w:adjustRightInd w:val="0"/>
        <w:snapToGrid w:val="0"/>
        <w:spacing w:line="360" w:lineRule="auto"/>
        <w:ind w:firstLine="561"/>
        <w:rPr>
          <w:rFonts w:hint="eastAsia" w:hAnsi="宋体"/>
          <w:sz w:val="28"/>
        </w:rPr>
      </w:pPr>
      <w:r>
        <w:rPr>
          <w:rFonts w:hint="eastAsia" w:hAnsi="宋体"/>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w:t>
      </w:r>
    </w:p>
    <w:p>
      <w:pPr>
        <w:pageBreakBefore w:val="0"/>
        <w:tabs>
          <w:tab w:val="left" w:pos="0"/>
        </w:tabs>
        <w:kinsoku/>
        <w:wordWrap/>
        <w:overflowPunct/>
        <w:topLinePunct w:val="0"/>
        <w:autoSpaceDE/>
        <w:autoSpaceDN/>
        <w:bidi w:val="0"/>
        <w:spacing w:line="360" w:lineRule="auto"/>
        <w:rPr>
          <w:rFonts w:hint="eastAsia" w:ascii="宋体" w:hAnsi="宋体" w:eastAsia="宋体" w:cs="宋体"/>
          <w:color w:val="000000"/>
          <w:sz w:val="28"/>
          <w:szCs w:val="28"/>
        </w:rPr>
      </w:pPr>
      <w:bookmarkStart w:id="16" w:name="_Toc318984195"/>
      <w:r>
        <w:rPr>
          <w:rFonts w:hint="eastAsia" w:ascii="宋体" w:hAnsi="宋体" w:eastAsia="宋体" w:cs="宋体"/>
          <w:color w:val="000000"/>
          <w:sz w:val="28"/>
          <w:szCs w:val="28"/>
        </w:rPr>
        <w:t xml:space="preserve"> 结果确定如下：</w:t>
      </w:r>
    </w:p>
    <w:bookmarkEnd w:id="16"/>
    <w:p>
      <w:pPr>
        <w:keepNext w:val="0"/>
        <w:keepLines w:val="0"/>
        <w:pageBreakBefore w:val="0"/>
        <w:tabs>
          <w:tab w:val="left" w:pos="0"/>
        </w:tabs>
        <w:kinsoku/>
        <w:wordWrap/>
        <w:overflowPunct/>
        <w:topLinePunct w:val="0"/>
        <w:autoSpaceDE/>
        <w:autoSpaceDN/>
        <w:bidi w:val="0"/>
        <w:spacing w:line="336" w:lineRule="auto"/>
        <w:rPr>
          <w:rFonts w:hint="eastAsia" w:ascii="宋体" w:hAnsi="宋体" w:eastAsia="宋体" w:cs="宋体"/>
          <w:color w:val="000000"/>
          <w:sz w:val="28"/>
          <w:szCs w:val="28"/>
        </w:rPr>
      </w:pPr>
      <w:r>
        <w:rPr>
          <w:rFonts w:hint="eastAsia" w:ascii="宋体" w:hAnsi="宋体" w:cs="宋体"/>
          <w:b w:val="0"/>
          <w:bCs/>
          <w:sz w:val="28"/>
          <w:szCs w:val="28"/>
          <w:lang w:val="en-US" w:eastAsia="zh-CN"/>
        </w:rPr>
        <w:t>房地产</w:t>
      </w:r>
      <w:r>
        <w:rPr>
          <w:rFonts w:hint="eastAsia" w:ascii="宋体" w:hAnsi="宋体" w:eastAsia="宋体" w:cs="宋体"/>
          <w:b w:val="0"/>
          <w:bCs/>
          <w:sz w:val="28"/>
          <w:szCs w:val="28"/>
        </w:rPr>
        <w:t>评估</w:t>
      </w:r>
      <w:r>
        <w:rPr>
          <w:rFonts w:hint="eastAsia" w:ascii="宋体" w:hAnsi="宋体" w:cs="宋体"/>
          <w:b w:val="0"/>
          <w:bCs/>
          <w:sz w:val="28"/>
          <w:szCs w:val="28"/>
          <w:lang w:val="en-US" w:eastAsia="zh-CN"/>
        </w:rPr>
        <w:t>总</w:t>
      </w:r>
      <w:r>
        <w:rPr>
          <w:rFonts w:hint="eastAsia" w:ascii="宋体" w:hAnsi="宋体" w:eastAsia="宋体" w:cs="宋体"/>
          <w:b w:val="0"/>
          <w:bCs/>
          <w:sz w:val="28"/>
          <w:szCs w:val="28"/>
        </w:rPr>
        <w:t>价</w:t>
      </w:r>
      <w:r>
        <w:rPr>
          <w:rFonts w:hint="eastAsia" w:ascii="宋体" w:hAnsi="宋体" w:cs="宋体"/>
          <w:b w:val="0"/>
          <w:bCs/>
          <w:sz w:val="28"/>
          <w:szCs w:val="28"/>
          <w:lang w:eastAsia="zh-CN"/>
        </w:rPr>
        <w:t>：</w:t>
      </w:r>
      <w:r>
        <w:rPr>
          <w:rFonts w:hint="eastAsia" w:ascii="宋体" w:hAnsi="宋体" w:cs="宋体"/>
          <w:b w:val="0"/>
          <w:bCs/>
          <w:i w:val="0"/>
          <w:color w:val="auto"/>
          <w:sz w:val="28"/>
          <w:szCs w:val="28"/>
          <w:u w:val="none"/>
          <w:lang w:val="en-US" w:eastAsia="zh-CN"/>
        </w:rPr>
        <w:t>162300</w:t>
      </w:r>
      <w:r>
        <w:rPr>
          <w:rFonts w:hint="eastAsia" w:ascii="宋体" w:hAnsi="宋体" w:eastAsia="宋体" w:cs="宋体"/>
          <w:color w:val="000000"/>
          <w:sz w:val="28"/>
          <w:szCs w:val="28"/>
        </w:rPr>
        <w:t>元</w:t>
      </w:r>
    </w:p>
    <w:p>
      <w:pPr>
        <w:keepNext w:val="0"/>
        <w:keepLines w:val="0"/>
        <w:pageBreakBefore w:val="0"/>
        <w:tabs>
          <w:tab w:val="left" w:pos="0"/>
        </w:tabs>
        <w:kinsoku/>
        <w:wordWrap/>
        <w:overflowPunct/>
        <w:topLinePunct w:val="0"/>
        <w:autoSpaceDE/>
        <w:autoSpaceDN/>
        <w:bidi w:val="0"/>
        <w:spacing w:line="336" w:lineRule="auto"/>
        <w:rPr>
          <w:rFonts w:hint="eastAsia" w:ascii="宋体" w:hAnsi="宋体" w:eastAsia="宋体" w:cs="宋体"/>
          <w:sz w:val="28"/>
          <w:szCs w:val="28"/>
        </w:rPr>
      </w:pPr>
      <w:r>
        <w:rPr>
          <w:rFonts w:hint="eastAsia" w:ascii="宋体" w:hAnsi="宋体" w:eastAsia="宋体" w:cs="宋体"/>
          <w:sz w:val="28"/>
          <w:szCs w:val="28"/>
        </w:rPr>
        <w:t>（人民币大写：</w:t>
      </w:r>
      <w:r>
        <w:rPr>
          <w:rFonts w:hint="eastAsia" w:ascii="宋体" w:hAnsi="宋体" w:cs="宋体"/>
          <w:sz w:val="28"/>
          <w:szCs w:val="28"/>
          <w:lang w:val="en-US" w:eastAsia="zh-CN"/>
        </w:rPr>
        <w:t>壹拾陆万贰仟叁佰</w:t>
      </w:r>
      <w:r>
        <w:rPr>
          <w:rFonts w:hint="eastAsia" w:ascii="宋体" w:hAnsi="宋体" w:eastAsia="宋体" w:cs="宋体"/>
          <w:sz w:val="28"/>
          <w:szCs w:val="28"/>
        </w:rPr>
        <w:t>元整）。</w:t>
      </w:r>
    </w:p>
    <w:p>
      <w:pPr>
        <w:pStyle w:val="28"/>
        <w:pageBreakBefore w:val="0"/>
        <w:numPr>
          <w:ilvl w:val="0"/>
          <w:numId w:val="7"/>
        </w:numPr>
        <w:kinsoku/>
        <w:wordWrap/>
        <w:overflowPunct/>
        <w:topLinePunct w:val="0"/>
        <w:autoSpaceDE/>
        <w:autoSpaceDN/>
        <w:bidi w:val="0"/>
        <w:adjustRightInd w:val="0"/>
        <w:snapToGrid w:val="0"/>
        <w:spacing w:line="360" w:lineRule="auto"/>
        <w:rPr>
          <w:rFonts w:hint="eastAsia" w:hAnsi="宋体"/>
          <w:b/>
          <w:sz w:val="28"/>
          <w:lang w:eastAsia="zh-CN"/>
        </w:rPr>
      </w:pPr>
      <w:r>
        <w:rPr>
          <w:rFonts w:hint="eastAsia" w:hAnsi="宋体"/>
          <w:b/>
          <w:sz w:val="28"/>
        </w:rPr>
        <w:t>注册房地产估价师签章</w:t>
      </w:r>
      <w:r>
        <w:rPr>
          <w:rFonts w:hint="eastAsia" w:hAnsi="宋体"/>
          <w:b/>
          <w:sz w:val="28"/>
          <w:lang w:eastAsia="zh-CN"/>
        </w:rPr>
        <w:t>：</w:t>
      </w:r>
    </w:p>
    <w:p>
      <w:pPr>
        <w:pStyle w:val="28"/>
        <w:pageBreakBefore w:val="0"/>
        <w:numPr>
          <w:ilvl w:val="0"/>
          <w:numId w:val="0"/>
        </w:numPr>
        <w:kinsoku/>
        <w:wordWrap/>
        <w:overflowPunct/>
        <w:topLinePunct w:val="0"/>
        <w:autoSpaceDE/>
        <w:autoSpaceDN/>
        <w:bidi w:val="0"/>
        <w:adjustRightInd w:val="0"/>
        <w:snapToGrid w:val="0"/>
        <w:spacing w:line="360" w:lineRule="auto"/>
        <w:rPr>
          <w:rFonts w:hint="eastAsia" w:hAnsi="宋体"/>
          <w:b/>
          <w:sz w:val="28"/>
          <w:lang w:eastAsia="zh-CN"/>
        </w:rPr>
      </w:pPr>
    </w:p>
    <w:p>
      <w:pPr>
        <w:pStyle w:val="28"/>
        <w:pageBreakBefore w:val="0"/>
        <w:widowControl w:val="0"/>
        <w:numPr>
          <w:ilvl w:val="0"/>
          <w:numId w:val="0"/>
        </w:numPr>
        <w:kinsoku/>
        <w:wordWrap/>
        <w:overflowPunct/>
        <w:topLinePunct w:val="0"/>
        <w:autoSpaceDE/>
        <w:autoSpaceDN/>
        <w:bidi w:val="0"/>
        <w:adjustRightInd w:val="0"/>
        <w:snapToGrid w:val="0"/>
        <w:spacing w:line="360" w:lineRule="auto"/>
        <w:jc w:val="both"/>
        <w:textAlignment w:val="baseline"/>
        <w:rPr>
          <w:rFonts w:hint="eastAsia" w:hAnsi="宋体"/>
          <w:b/>
          <w:sz w:val="28"/>
          <w:lang w:eastAsia="zh-CN"/>
        </w:rPr>
      </w:pPr>
    </w:p>
    <w:p>
      <w:pPr>
        <w:pStyle w:val="28"/>
        <w:pageBreakBefore w:val="0"/>
        <w:widowControl w:val="0"/>
        <w:numPr>
          <w:ilvl w:val="0"/>
          <w:numId w:val="0"/>
        </w:numPr>
        <w:kinsoku/>
        <w:wordWrap/>
        <w:overflowPunct/>
        <w:topLinePunct w:val="0"/>
        <w:autoSpaceDE/>
        <w:autoSpaceDN/>
        <w:bidi w:val="0"/>
        <w:adjustRightInd w:val="0"/>
        <w:snapToGrid w:val="0"/>
        <w:spacing w:line="360" w:lineRule="auto"/>
        <w:jc w:val="both"/>
        <w:textAlignment w:val="baseline"/>
        <w:rPr>
          <w:rFonts w:hint="eastAsia" w:hAnsi="宋体"/>
          <w:b/>
          <w:sz w:val="28"/>
          <w:lang w:eastAsia="zh-CN"/>
        </w:rPr>
      </w:pPr>
    </w:p>
    <w:p>
      <w:pPr>
        <w:pStyle w:val="28"/>
        <w:pageBreakBefore w:val="0"/>
        <w:widowControl w:val="0"/>
        <w:numPr>
          <w:ilvl w:val="0"/>
          <w:numId w:val="0"/>
        </w:numPr>
        <w:kinsoku/>
        <w:wordWrap/>
        <w:overflowPunct/>
        <w:topLinePunct w:val="0"/>
        <w:autoSpaceDE/>
        <w:autoSpaceDN/>
        <w:bidi w:val="0"/>
        <w:adjustRightInd w:val="0"/>
        <w:snapToGrid w:val="0"/>
        <w:spacing w:line="360" w:lineRule="auto"/>
        <w:jc w:val="both"/>
        <w:textAlignment w:val="baseline"/>
        <w:rPr>
          <w:rFonts w:hint="eastAsia" w:hAnsi="宋体"/>
          <w:b/>
          <w:sz w:val="28"/>
          <w:lang w:eastAsia="zh-CN"/>
        </w:rPr>
      </w:pPr>
    </w:p>
    <w:p>
      <w:pPr>
        <w:pStyle w:val="28"/>
        <w:pageBreakBefore w:val="0"/>
        <w:widowControl w:val="0"/>
        <w:numPr>
          <w:ilvl w:val="0"/>
          <w:numId w:val="0"/>
        </w:numPr>
        <w:kinsoku/>
        <w:wordWrap/>
        <w:overflowPunct/>
        <w:topLinePunct w:val="0"/>
        <w:autoSpaceDE/>
        <w:autoSpaceDN/>
        <w:bidi w:val="0"/>
        <w:adjustRightInd w:val="0"/>
        <w:snapToGrid w:val="0"/>
        <w:spacing w:line="360" w:lineRule="auto"/>
        <w:jc w:val="both"/>
        <w:textAlignment w:val="baseline"/>
        <w:rPr>
          <w:rFonts w:hint="eastAsia" w:hAnsi="宋体"/>
          <w:b/>
          <w:sz w:val="28"/>
          <w:lang w:eastAsia="zh-CN"/>
        </w:rPr>
      </w:pPr>
    </w:p>
    <w:tbl>
      <w:tblPr>
        <w:tblStyle w:val="17"/>
        <w:tblW w:w="8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118"/>
        <w:gridCol w:w="1382"/>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4378" w:type="dxa"/>
            <w:gridSpan w:val="2"/>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中国注册房地产估价师</w:t>
            </w:r>
          </w:p>
        </w:tc>
        <w:tc>
          <w:tcPr>
            <w:tcW w:w="4521" w:type="dxa"/>
            <w:gridSpan w:val="2"/>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中国注册房地产估价师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0" w:type="dxa"/>
            <w:noWrap w:val="0"/>
            <w:vAlign w:val="top"/>
          </w:tcPr>
          <w:p>
            <w:pPr>
              <w:spacing w:line="60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陈佳思</w:t>
            </w:r>
          </w:p>
        </w:tc>
        <w:tc>
          <w:tcPr>
            <w:tcW w:w="3118" w:type="dxa"/>
            <w:noWrap w:val="0"/>
            <w:vAlign w:val="top"/>
          </w:tcPr>
          <w:p>
            <w:pPr>
              <w:spacing w:line="600" w:lineRule="exact"/>
              <w:ind w:left="282"/>
              <w:rPr>
                <w:rFonts w:hint="default" w:ascii="宋体" w:hAnsi="宋体" w:eastAsia="宋体" w:cs="宋体"/>
                <w:sz w:val="28"/>
                <w:szCs w:val="28"/>
                <w:lang w:val="en-US" w:eastAsia="zh-CN"/>
              </w:rPr>
            </w:pPr>
            <w:r>
              <w:rPr>
                <w:rFonts w:hint="eastAsia" w:ascii="宋体" w:hAnsi="宋体" w:eastAsia="宋体" w:cs="宋体"/>
                <w:sz w:val="28"/>
                <w:szCs w:val="28"/>
              </w:rPr>
              <w:t>注册号：1520</w:t>
            </w:r>
            <w:r>
              <w:rPr>
                <w:rFonts w:hint="eastAsia" w:ascii="宋体" w:hAnsi="宋体" w:eastAsia="宋体" w:cs="宋体"/>
                <w:sz w:val="28"/>
                <w:szCs w:val="28"/>
                <w:lang w:val="en-US" w:eastAsia="zh-CN"/>
              </w:rPr>
              <w:t>190010</w:t>
            </w:r>
          </w:p>
        </w:tc>
        <w:tc>
          <w:tcPr>
            <w:tcW w:w="1382" w:type="dxa"/>
            <w:noWrap w:val="0"/>
            <w:vAlign w:val="top"/>
          </w:tcPr>
          <w:p>
            <w:pPr>
              <w:spacing w:line="600" w:lineRule="exact"/>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刘志红</w:t>
            </w:r>
          </w:p>
        </w:tc>
        <w:tc>
          <w:tcPr>
            <w:tcW w:w="3139" w:type="dxa"/>
            <w:noWrap w:val="0"/>
            <w:vAlign w:val="top"/>
          </w:tcPr>
          <w:p>
            <w:pPr>
              <w:spacing w:line="600" w:lineRule="exact"/>
              <w:ind w:left="237"/>
              <w:rPr>
                <w:rFonts w:hint="default" w:ascii="宋体" w:hAnsi="宋体" w:eastAsia="宋体" w:cs="宋体"/>
                <w:sz w:val="28"/>
                <w:szCs w:val="28"/>
                <w:lang w:val="en-US" w:eastAsia="zh-CN"/>
              </w:rPr>
            </w:pPr>
            <w:r>
              <w:rPr>
                <w:rFonts w:hint="eastAsia" w:ascii="宋体" w:hAnsi="宋体" w:eastAsia="宋体" w:cs="宋体"/>
                <w:sz w:val="28"/>
                <w:szCs w:val="28"/>
              </w:rPr>
              <w:t>注册号：15201</w:t>
            </w:r>
            <w:r>
              <w:rPr>
                <w:rFonts w:hint="eastAsia" w:ascii="宋体" w:hAnsi="宋体" w:eastAsia="宋体" w:cs="宋体"/>
                <w:sz w:val="28"/>
                <w:szCs w:val="28"/>
                <w:lang w:val="en-US" w:eastAsia="zh-CN"/>
              </w:rPr>
              <w:t>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4378" w:type="dxa"/>
            <w:gridSpan w:val="2"/>
            <w:noWrap w:val="0"/>
            <w:vAlign w:val="top"/>
          </w:tcPr>
          <w:p>
            <w:pPr>
              <w:spacing w:line="600" w:lineRule="exact"/>
              <w:ind w:firstLine="1260" w:firstLineChars="450"/>
              <w:rPr>
                <w:rFonts w:hint="eastAsia" w:ascii="宋体" w:hAnsi="宋体" w:eastAsia="宋体" w:cs="宋体"/>
                <w:sz w:val="28"/>
                <w:szCs w:val="28"/>
              </w:rPr>
            </w:pPr>
          </w:p>
          <w:p>
            <w:pPr>
              <w:spacing w:line="600" w:lineRule="exact"/>
              <w:ind w:firstLine="1260" w:firstLineChars="450"/>
              <w:rPr>
                <w:rFonts w:hint="eastAsia" w:ascii="宋体" w:hAnsi="宋体" w:eastAsia="宋体" w:cs="宋体"/>
                <w:sz w:val="28"/>
                <w:szCs w:val="28"/>
              </w:rPr>
            </w:pPr>
          </w:p>
        </w:tc>
        <w:tc>
          <w:tcPr>
            <w:tcW w:w="4521" w:type="dxa"/>
            <w:gridSpan w:val="2"/>
            <w:noWrap w:val="0"/>
            <w:vAlign w:val="top"/>
          </w:tcPr>
          <w:p>
            <w:pPr>
              <w:spacing w:line="600" w:lineRule="exact"/>
              <w:ind w:firstLine="1260" w:firstLineChars="450"/>
              <w:rPr>
                <w:rFonts w:hint="eastAsia" w:ascii="宋体" w:hAnsi="宋体" w:eastAsia="宋体" w:cs="宋体"/>
                <w:sz w:val="28"/>
                <w:szCs w:val="28"/>
              </w:rPr>
            </w:pPr>
          </w:p>
          <w:p>
            <w:pPr>
              <w:spacing w:line="600" w:lineRule="exact"/>
              <w:ind w:firstLine="1260" w:firstLineChars="450"/>
              <w:rPr>
                <w:rFonts w:hint="eastAsia" w:ascii="宋体" w:hAnsi="宋体" w:eastAsia="宋体" w:cs="宋体"/>
                <w:sz w:val="28"/>
                <w:szCs w:val="28"/>
              </w:rPr>
            </w:pPr>
          </w:p>
        </w:tc>
      </w:tr>
    </w:tbl>
    <w:p>
      <w:pPr>
        <w:pageBreakBefore w:val="0"/>
        <w:tabs>
          <w:tab w:val="left" w:pos="0"/>
        </w:tabs>
        <w:kinsoku/>
        <w:wordWrap/>
        <w:overflowPunct/>
        <w:topLinePunct w:val="0"/>
        <w:autoSpaceDE/>
        <w:autoSpaceDN/>
        <w:bidi w:val="0"/>
        <w:spacing w:line="360" w:lineRule="auto"/>
        <w:rPr>
          <w:rStyle w:val="47"/>
          <w:rFonts w:ascii="宋体" w:hAnsi="宋体"/>
          <w:sz w:val="28"/>
          <w:szCs w:val="28"/>
        </w:rPr>
      </w:pPr>
    </w:p>
    <w:p>
      <w:pPr>
        <w:pageBreakBefore w:val="0"/>
        <w:tabs>
          <w:tab w:val="left" w:pos="0"/>
        </w:tabs>
        <w:kinsoku/>
        <w:wordWrap/>
        <w:overflowPunct/>
        <w:topLinePunct w:val="0"/>
        <w:autoSpaceDE/>
        <w:autoSpaceDN/>
        <w:bidi w:val="0"/>
        <w:spacing w:line="360" w:lineRule="auto"/>
        <w:rPr>
          <w:rStyle w:val="47"/>
          <w:rFonts w:ascii="宋体" w:hAnsi="宋体"/>
          <w:sz w:val="28"/>
          <w:szCs w:val="28"/>
        </w:rPr>
      </w:pPr>
      <w:r>
        <w:rPr>
          <w:rStyle w:val="47"/>
          <w:rFonts w:ascii="宋体" w:hAnsi="宋体"/>
          <w:b/>
          <w:bCs/>
          <w:sz w:val="28"/>
          <w:szCs w:val="28"/>
        </w:rPr>
        <w:t>十二</w:t>
      </w:r>
      <w:r>
        <w:rPr>
          <w:rStyle w:val="47"/>
          <w:rFonts w:hint="eastAsia" w:ascii="宋体" w:hAnsi="宋体"/>
          <w:b/>
          <w:bCs/>
          <w:sz w:val="28"/>
          <w:szCs w:val="28"/>
        </w:rPr>
        <w:t>、</w:t>
      </w:r>
      <w:r>
        <w:rPr>
          <w:rStyle w:val="47"/>
          <w:rFonts w:ascii="宋体" w:hAnsi="宋体"/>
          <w:sz w:val="28"/>
          <w:szCs w:val="28"/>
        </w:rPr>
        <w:t>估价作业期</w:t>
      </w:r>
    </w:p>
    <w:p>
      <w:pPr>
        <w:pStyle w:val="28"/>
        <w:pageBreakBefore w:val="0"/>
        <w:kinsoku/>
        <w:wordWrap/>
        <w:overflowPunct/>
        <w:topLinePunct w:val="0"/>
        <w:autoSpaceDE/>
        <w:autoSpaceDN/>
        <w:bidi w:val="0"/>
        <w:adjustRightInd w:val="0"/>
        <w:snapToGrid w:val="0"/>
        <w:spacing w:line="360" w:lineRule="auto"/>
        <w:rPr>
          <w:rFonts w:hint="default" w:hAnsi="宋体"/>
          <w:bCs/>
          <w:color w:val="000000" w:themeColor="text1"/>
          <w:sz w:val="28"/>
          <w:lang w:val="en-US" w:eastAsia="zh-CN"/>
          <w14:textFill>
            <w14:solidFill>
              <w14:schemeClr w14:val="tx1"/>
            </w14:solidFill>
          </w14:textFill>
        </w:rPr>
      </w:pPr>
      <w:r>
        <w:rPr>
          <w:rFonts w:hAnsi="宋体"/>
          <w:bCs/>
          <w:color w:val="000000"/>
          <w:sz w:val="28"/>
        </w:rPr>
        <w:t xml:space="preserve">   </w:t>
      </w:r>
      <w:r>
        <w:rPr>
          <w:rFonts w:hint="eastAsia" w:hAnsi="宋体"/>
          <w:bCs/>
          <w:color w:val="000000"/>
          <w:sz w:val="28"/>
          <w:lang w:eastAsia="zh-CN"/>
        </w:rPr>
        <w:t>2022年4月22日</w:t>
      </w:r>
      <w:r>
        <w:rPr>
          <w:rFonts w:hAnsi="宋体"/>
          <w:bCs/>
          <w:color w:val="000000"/>
          <w:sz w:val="28"/>
        </w:rPr>
        <w:t>至</w:t>
      </w:r>
      <w:r>
        <w:rPr>
          <w:rFonts w:hint="eastAsia" w:hAnsi="宋体"/>
          <w:bCs/>
          <w:color w:val="000000" w:themeColor="text1"/>
          <w:sz w:val="28"/>
          <w:lang w:eastAsia="zh-CN"/>
          <w14:textFill>
            <w14:solidFill>
              <w14:schemeClr w14:val="tx1"/>
            </w14:solidFill>
          </w14:textFill>
        </w:rPr>
        <w:t>202</w:t>
      </w:r>
      <w:r>
        <w:rPr>
          <w:rFonts w:hint="eastAsia" w:hAnsi="宋体"/>
          <w:bCs/>
          <w:color w:val="000000" w:themeColor="text1"/>
          <w:sz w:val="28"/>
          <w:lang w:val="en-US" w:eastAsia="zh-CN"/>
          <w14:textFill>
            <w14:solidFill>
              <w14:schemeClr w14:val="tx1"/>
            </w14:solidFill>
          </w14:textFill>
        </w:rPr>
        <w:t>2</w:t>
      </w:r>
      <w:r>
        <w:rPr>
          <w:rFonts w:hint="eastAsia" w:hAnsi="宋体"/>
          <w:bCs/>
          <w:color w:val="000000" w:themeColor="text1"/>
          <w:sz w:val="28"/>
          <w:lang w:eastAsia="zh-CN"/>
          <w14:textFill>
            <w14:solidFill>
              <w14:schemeClr w14:val="tx1"/>
            </w14:solidFill>
          </w14:textFill>
        </w:rPr>
        <w:t>年</w:t>
      </w:r>
      <w:r>
        <w:rPr>
          <w:rFonts w:hint="eastAsia" w:hAnsi="宋体"/>
          <w:bCs/>
          <w:color w:val="000000" w:themeColor="text1"/>
          <w:sz w:val="28"/>
          <w:lang w:val="en-US" w:eastAsia="zh-CN"/>
          <w14:textFill>
            <w14:solidFill>
              <w14:schemeClr w14:val="tx1"/>
            </w14:solidFill>
          </w14:textFill>
        </w:rPr>
        <w:t>5</w:t>
      </w:r>
      <w:r>
        <w:rPr>
          <w:rFonts w:hint="eastAsia" w:hAnsi="宋体"/>
          <w:bCs/>
          <w:color w:val="000000" w:themeColor="text1"/>
          <w:sz w:val="28"/>
          <w:lang w:eastAsia="zh-CN"/>
          <w14:textFill>
            <w14:solidFill>
              <w14:schemeClr w14:val="tx1"/>
            </w14:solidFill>
          </w14:textFill>
        </w:rPr>
        <w:t>月</w:t>
      </w:r>
      <w:r>
        <w:rPr>
          <w:rFonts w:hint="eastAsia" w:hAnsi="宋体"/>
          <w:bCs/>
          <w:color w:val="000000" w:themeColor="text1"/>
          <w:sz w:val="28"/>
          <w:lang w:val="en-US" w:eastAsia="zh-CN"/>
          <w14:textFill>
            <w14:solidFill>
              <w14:schemeClr w14:val="tx1"/>
            </w14:solidFill>
          </w14:textFill>
        </w:rPr>
        <w:t>6</w:t>
      </w:r>
      <w:r>
        <w:rPr>
          <w:rFonts w:hint="eastAsia" w:hAnsi="宋体"/>
          <w:bCs/>
          <w:color w:val="000000" w:themeColor="text1"/>
          <w:sz w:val="28"/>
          <w:lang w:eastAsia="zh-CN"/>
          <w14:textFill>
            <w14:solidFill>
              <w14:schemeClr w14:val="tx1"/>
            </w14:solidFill>
          </w14:textFill>
        </w:rPr>
        <w:t>日。</w:t>
      </w:r>
    </w:p>
    <w:p>
      <w:pPr>
        <w:pStyle w:val="3"/>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b/>
          <w:sz w:val="28"/>
          <w:szCs w:val="28"/>
        </w:rPr>
      </w:pPr>
      <w:bookmarkStart w:id="17" w:name="_Toc318984196"/>
      <w:r>
        <w:rPr>
          <w:rStyle w:val="47"/>
          <w:rFonts w:hint="eastAsia" w:ascii="宋体" w:hAnsi="宋体"/>
          <w:b/>
          <w:bCs/>
          <w:sz w:val="28"/>
          <w:szCs w:val="28"/>
          <w:lang w:val="en-US"/>
        </w:rPr>
        <w:t>十三</w:t>
      </w:r>
      <w:r>
        <w:rPr>
          <w:rStyle w:val="47"/>
          <w:rFonts w:ascii="宋体" w:hAnsi="宋体"/>
          <w:b/>
          <w:bCs/>
          <w:sz w:val="28"/>
          <w:szCs w:val="28"/>
        </w:rPr>
        <w:t>、</w:t>
      </w:r>
      <w:bookmarkEnd w:id="17"/>
      <w:r>
        <w:rPr>
          <w:rFonts w:hint="eastAsia" w:ascii="宋体" w:hAnsi="宋体" w:eastAsia="宋体" w:cs="宋体"/>
          <w:b/>
          <w:sz w:val="28"/>
          <w:szCs w:val="28"/>
        </w:rPr>
        <w:t>估价报告应用的有效期</w:t>
      </w:r>
    </w:p>
    <w:p>
      <w:pPr>
        <w:keepNext w:val="0"/>
        <w:keepLines w:val="0"/>
        <w:pageBreakBefore w:val="0"/>
        <w:kinsoku/>
        <w:wordWrap/>
        <w:overflowPunct/>
        <w:topLinePunct w:val="0"/>
        <w:autoSpaceDE/>
        <w:autoSpaceDN/>
        <w:bidi w:val="0"/>
        <w:adjustRightInd w:val="0"/>
        <w:snapToGrid w:val="0"/>
        <w:spacing w:line="360" w:lineRule="auto"/>
        <w:ind w:firstLine="560" w:firstLineChars="200"/>
        <w:rPr>
          <w:rFonts w:hint="eastAsia" w:hAnsi="宋体"/>
          <w:b w:val="0"/>
          <w:bCs/>
          <w:sz w:val="28"/>
        </w:rPr>
      </w:pPr>
      <w:r>
        <w:rPr>
          <w:rFonts w:hint="eastAsia" w:ascii="宋体" w:hAnsi="宋体" w:eastAsia="宋体" w:cs="宋体"/>
          <w:color w:val="000000"/>
          <w:sz w:val="28"/>
          <w:szCs w:val="28"/>
        </w:rPr>
        <w:t>估价报告应用的有效期自完成估价报告之日起原则上为</w:t>
      </w:r>
      <w:r>
        <w:rPr>
          <w:rFonts w:hint="eastAsia" w:ascii="宋体" w:hAnsi="宋体" w:eastAsia="宋体" w:cs="宋体"/>
          <w:color w:val="000000"/>
          <w:sz w:val="28"/>
          <w:szCs w:val="28"/>
          <w:lang w:val="en-US" w:eastAsia="zh-CN"/>
        </w:rPr>
        <w:t>一</w:t>
      </w:r>
      <w:r>
        <w:rPr>
          <w:rFonts w:hint="eastAsia" w:ascii="宋体" w:hAnsi="宋体" w:eastAsia="宋体" w:cs="宋体"/>
          <w:color w:val="000000"/>
          <w:sz w:val="28"/>
          <w:szCs w:val="28"/>
        </w:rPr>
        <w:t>年，但市场状况变化很大时，估价报告应用的有效期</w:t>
      </w:r>
      <w:r>
        <w:rPr>
          <w:rFonts w:hint="eastAsia" w:ascii="宋体" w:hAnsi="宋体" w:eastAsia="宋体" w:cs="宋体"/>
          <w:color w:val="000000"/>
          <w:sz w:val="28"/>
          <w:szCs w:val="28"/>
          <w:lang w:val="en-US" w:eastAsia="zh-CN"/>
        </w:rPr>
        <w:t>相应变化</w:t>
      </w:r>
      <w:r>
        <w:rPr>
          <w:rFonts w:hint="eastAsia" w:ascii="宋体" w:hAnsi="宋体" w:eastAsia="宋体" w:cs="宋体"/>
          <w:color w:val="000000"/>
          <w:sz w:val="28"/>
          <w:szCs w:val="28"/>
        </w:rPr>
        <w:t>。</w:t>
      </w:r>
    </w:p>
    <w:p>
      <w:pPr>
        <w:pStyle w:val="28"/>
        <w:adjustRightInd w:val="0"/>
        <w:snapToGrid w:val="0"/>
        <w:spacing w:line="600" w:lineRule="exact"/>
        <w:rPr>
          <w:rFonts w:hint="eastAsia" w:hAnsi="宋体"/>
          <w:b/>
          <w:bCs w:val="0"/>
          <w:sz w:val="28"/>
          <w:lang w:val="en-US" w:eastAsia="zh-CN"/>
        </w:rPr>
      </w:pPr>
      <w:r>
        <w:rPr>
          <w:rFonts w:hint="eastAsia" w:hAnsi="宋体"/>
          <w:b/>
          <w:bCs w:val="0"/>
          <w:sz w:val="28"/>
          <w:lang w:val="en-US" w:eastAsia="zh-CN"/>
        </w:rPr>
        <w:t>十四、特别提示：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50" w:afterAutospacing="0" w:line="360" w:lineRule="auto"/>
        <w:ind w:left="0" w:right="0" w:firstLine="42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shd w:val="clear" w:color="auto" w:fill="FFFFFF"/>
        </w:rPr>
        <w:t>（一）应当按照法律规定和评估报告载明的用途、使用人、使用期限等使用范围使用评估报告。否则，房地产估价机构和注册房地产估价师依法不承担责任；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50" w:afterAutospacing="0" w:line="360" w:lineRule="auto"/>
        <w:ind w:left="0" w:right="0" w:firstLine="42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shd w:val="clear" w:color="auto" w:fill="FFFFFF"/>
        </w:rPr>
        <w:t>（二）</w:t>
      </w:r>
      <w:r>
        <w:rPr>
          <w:rFonts w:hint="eastAsia" w:hAnsi="宋体"/>
          <w:sz w:val="28"/>
          <w:szCs w:val="28"/>
          <w:lang w:val="en-US" w:eastAsia="zh-CN"/>
        </w:rPr>
        <w:t>本评估结果仅作为估价对象在价值时点为人民法院确定财产处置参考价，不是估价对象处置可实现的成交价格，不作为处置变现最终价格实现的保证，最终价值需在拍卖中实现；</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50" w:afterAutospacing="0" w:line="360" w:lineRule="auto"/>
        <w:ind w:left="0" w:right="0" w:firstLine="42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shd w:val="clear" w:color="auto" w:fill="FFFFFF"/>
        </w:rPr>
        <w:t>（三）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50" w:afterAutospacing="0" w:line="360" w:lineRule="auto"/>
        <w:ind w:left="0" w:right="0" w:firstLine="42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shd w:val="clear" w:color="auto" w:fill="FFFFFF"/>
        </w:rPr>
        <w:t>（四）在评估报告使用期限或者评估结果有效期内，评估报告或者评估结果未使用之前，如果评估对象状况或者房地产市场状况发生明显变化的，评估结果应当进行相应调整后才可使用；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150" w:afterAutospacing="0" w:line="360" w:lineRule="auto"/>
        <w:ind w:left="0" w:right="0" w:firstLine="42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shd w:val="clear" w:color="auto" w:fill="FFFFFF"/>
        </w:rPr>
        <w:t>（五）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28"/>
        <w:keepNext w:val="0"/>
        <w:keepLines w:val="0"/>
        <w:pageBreakBefore w:val="0"/>
        <w:kinsoku/>
        <w:wordWrap/>
        <w:overflowPunct/>
        <w:topLinePunct w:val="0"/>
        <w:autoSpaceDE/>
        <w:autoSpaceDN/>
        <w:bidi w:val="0"/>
        <w:adjustRightInd w:val="0"/>
        <w:snapToGrid w:val="0"/>
        <w:spacing w:line="360" w:lineRule="auto"/>
        <w:ind w:firstLine="280" w:firstLineChars="100"/>
        <w:rPr>
          <w:rFonts w:hint="eastAsia" w:ascii="宋体" w:hAnsi="宋体" w:eastAsia="宋体" w:cs="宋体"/>
          <w:b w:val="0"/>
          <w:bCs/>
          <w:sz w:val="28"/>
          <w:szCs w:val="28"/>
          <w:lang w:val="en-US" w:eastAsia="zh-CN"/>
        </w:rPr>
      </w:pPr>
      <w:r>
        <w:rPr>
          <w:rFonts w:hint="eastAsia" w:hAnsi="宋体"/>
          <w:sz w:val="28"/>
          <w:szCs w:val="28"/>
          <w:lang w:val="en-US" w:eastAsia="zh-CN"/>
        </w:rPr>
        <w:t>（六）本次评估结果不包括</w:t>
      </w:r>
      <w:r>
        <w:rPr>
          <w:rFonts w:hint="eastAsia" w:ascii="宋体" w:hAnsi="宋体" w:eastAsia="宋体" w:cs="宋体"/>
          <w:i w:val="0"/>
          <w:iCs w:val="0"/>
          <w:caps w:val="0"/>
          <w:color w:val="auto"/>
          <w:spacing w:val="8"/>
          <w:sz w:val="28"/>
          <w:szCs w:val="28"/>
          <w:shd w:val="clear" w:color="auto" w:fill="FFFFFF"/>
        </w:rPr>
        <w:t>评估费、拍卖费、诉讼费、律师费等财产处置费用</w:t>
      </w:r>
      <w:r>
        <w:rPr>
          <w:rFonts w:hint="eastAsia" w:ascii="宋体" w:hAnsi="宋体" w:cs="宋体"/>
          <w:i w:val="0"/>
          <w:iCs w:val="0"/>
          <w:caps w:val="0"/>
          <w:color w:val="auto"/>
          <w:spacing w:val="8"/>
          <w:sz w:val="28"/>
          <w:szCs w:val="28"/>
          <w:shd w:val="clear" w:color="auto" w:fill="FFFFFF"/>
          <w:lang w:eastAsia="zh-CN"/>
        </w:rPr>
        <w:t>，</w:t>
      </w:r>
      <w:r>
        <w:rPr>
          <w:rFonts w:hint="eastAsia" w:ascii="宋体" w:hAnsi="宋体" w:cs="宋体"/>
          <w:i w:val="0"/>
          <w:iCs w:val="0"/>
          <w:caps w:val="0"/>
          <w:color w:val="auto"/>
          <w:spacing w:val="8"/>
          <w:sz w:val="28"/>
          <w:szCs w:val="28"/>
          <w:shd w:val="clear" w:color="auto" w:fill="FFFFFF"/>
          <w:lang w:val="en-US" w:eastAsia="zh-CN"/>
        </w:rPr>
        <w:t>如拍卖成交后买受人需关注上述各项费用。</w:t>
      </w:r>
    </w:p>
    <w:p>
      <w:pPr>
        <w:pStyle w:val="28"/>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val="0"/>
          <w:bCs/>
          <w:sz w:val="28"/>
          <w:szCs w:val="28"/>
          <w:lang w:val="en-US" w:eastAsia="zh-CN"/>
        </w:rPr>
      </w:pPr>
    </w:p>
    <w:p>
      <w:pPr>
        <w:pStyle w:val="28"/>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val="0"/>
          <w:bCs/>
          <w:sz w:val="28"/>
          <w:szCs w:val="28"/>
          <w:lang w:val="en-US" w:eastAsia="zh-CN"/>
        </w:rPr>
      </w:pPr>
    </w:p>
    <w:p>
      <w:pPr>
        <w:pStyle w:val="28"/>
        <w:adjustRightInd w:val="0"/>
        <w:snapToGrid w:val="0"/>
        <w:spacing w:line="600" w:lineRule="exact"/>
        <w:rPr>
          <w:rFonts w:hint="eastAsia" w:hAnsi="宋体"/>
          <w:b w:val="0"/>
          <w:bCs/>
          <w:sz w:val="28"/>
          <w:lang w:val="en-US" w:eastAsia="zh-CN"/>
        </w:rPr>
      </w:pPr>
    </w:p>
    <w:p>
      <w:pPr>
        <w:pStyle w:val="28"/>
        <w:adjustRightInd w:val="0"/>
        <w:snapToGrid w:val="0"/>
        <w:spacing w:line="600" w:lineRule="exact"/>
        <w:rPr>
          <w:rFonts w:hint="default" w:hAnsi="宋体"/>
          <w:b w:val="0"/>
          <w:bCs/>
          <w:sz w:val="28"/>
          <w:lang w:val="en-US" w:eastAsia="zh-CN"/>
        </w:rPr>
      </w:pPr>
    </w:p>
    <w:p>
      <w:pPr>
        <w:pStyle w:val="28"/>
        <w:adjustRightInd w:val="0"/>
        <w:snapToGrid w:val="0"/>
        <w:spacing w:line="600" w:lineRule="exact"/>
        <w:ind w:firstLine="3920" w:firstLineChars="1400"/>
        <w:rPr>
          <w:rFonts w:hint="eastAsia" w:hAnsi="宋体"/>
          <w:b w:val="0"/>
          <w:bCs/>
          <w:sz w:val="28"/>
        </w:rPr>
      </w:pPr>
      <w:r>
        <w:rPr>
          <w:rFonts w:hint="eastAsia" w:hAnsi="宋体"/>
          <w:b w:val="0"/>
          <w:bCs/>
          <w:sz w:val="28"/>
        </w:rPr>
        <w:t>内蒙古金诚房地产评估有限责任公司</w:t>
      </w:r>
    </w:p>
    <w:p>
      <w:pPr>
        <w:pStyle w:val="28"/>
        <w:adjustRightInd w:val="0"/>
        <w:snapToGrid w:val="0"/>
        <w:spacing w:line="600" w:lineRule="exact"/>
        <w:rPr>
          <w:rFonts w:hint="eastAsia" w:eastAsia="宋体"/>
          <w:sz w:val="44"/>
          <w:szCs w:val="44"/>
          <w:lang w:eastAsia="zh-CN"/>
        </w:rPr>
      </w:pPr>
      <w:r>
        <w:rPr>
          <w:rFonts w:hint="eastAsia" w:hAnsi="宋体"/>
          <w:b w:val="0"/>
          <w:bCs/>
          <w:sz w:val="28"/>
        </w:rPr>
        <w:t xml:space="preserve">                                </w:t>
      </w:r>
      <w:bookmarkStart w:id="18" w:name="_Toc318984203"/>
      <w:r>
        <w:rPr>
          <w:rFonts w:hint="eastAsia" w:hAnsi="宋体"/>
          <w:b w:val="0"/>
          <w:bCs/>
          <w:sz w:val="28"/>
          <w:lang w:val="en-US" w:eastAsia="zh-CN"/>
        </w:rPr>
        <w:t xml:space="preserve">  </w:t>
      </w:r>
      <w:r>
        <w:rPr>
          <w:rFonts w:hint="eastAsia" w:hAnsi="宋体"/>
          <w:b w:val="0"/>
          <w:bCs/>
          <w:sz w:val="28"/>
          <w:lang w:eastAsia="zh-CN"/>
        </w:rPr>
        <w:t>2022年5月6日</w:t>
      </w:r>
    </w:p>
    <w:p>
      <w:pPr>
        <w:pStyle w:val="28"/>
        <w:adjustRightInd w:val="0"/>
        <w:snapToGrid w:val="0"/>
        <w:spacing w:line="600" w:lineRule="exact"/>
        <w:ind w:firstLine="1760" w:firstLineChars="400"/>
        <w:rPr>
          <w:sz w:val="44"/>
          <w:szCs w:val="44"/>
        </w:rPr>
      </w:pPr>
    </w:p>
    <w:p>
      <w:pPr>
        <w:pStyle w:val="28"/>
        <w:adjustRightInd w:val="0"/>
        <w:snapToGrid w:val="0"/>
        <w:spacing w:line="600" w:lineRule="exact"/>
        <w:ind w:firstLine="1760" w:firstLineChars="400"/>
        <w:rPr>
          <w:sz w:val="44"/>
          <w:szCs w:val="44"/>
        </w:rPr>
      </w:pPr>
    </w:p>
    <w:p>
      <w:pPr>
        <w:pStyle w:val="28"/>
        <w:adjustRightInd w:val="0"/>
        <w:snapToGrid w:val="0"/>
        <w:spacing w:line="600" w:lineRule="exact"/>
        <w:ind w:firstLine="1760" w:firstLineChars="400"/>
        <w:rPr>
          <w:sz w:val="44"/>
          <w:szCs w:val="44"/>
        </w:rPr>
      </w:pPr>
    </w:p>
    <w:p>
      <w:pPr>
        <w:pStyle w:val="28"/>
        <w:adjustRightInd w:val="0"/>
        <w:snapToGrid w:val="0"/>
        <w:spacing w:line="600" w:lineRule="exact"/>
        <w:ind w:firstLine="1760" w:firstLineChars="400"/>
        <w:rPr>
          <w:sz w:val="44"/>
          <w:szCs w:val="44"/>
        </w:rPr>
      </w:pPr>
    </w:p>
    <w:p>
      <w:pPr>
        <w:pStyle w:val="28"/>
        <w:adjustRightInd w:val="0"/>
        <w:snapToGrid w:val="0"/>
        <w:spacing w:line="600" w:lineRule="exact"/>
        <w:ind w:firstLine="1760" w:firstLineChars="400"/>
        <w:rPr>
          <w:sz w:val="44"/>
          <w:szCs w:val="44"/>
        </w:rPr>
      </w:pPr>
    </w:p>
    <w:p>
      <w:pPr>
        <w:pStyle w:val="28"/>
        <w:adjustRightInd w:val="0"/>
        <w:snapToGrid w:val="0"/>
        <w:spacing w:line="600" w:lineRule="exact"/>
        <w:ind w:firstLine="1760" w:firstLineChars="400"/>
        <w:rPr>
          <w:sz w:val="44"/>
          <w:szCs w:val="44"/>
        </w:rPr>
      </w:pPr>
    </w:p>
    <w:p>
      <w:pPr>
        <w:pStyle w:val="28"/>
        <w:adjustRightInd w:val="0"/>
        <w:snapToGrid w:val="0"/>
        <w:spacing w:line="600" w:lineRule="exact"/>
        <w:rPr>
          <w:sz w:val="44"/>
          <w:szCs w:val="44"/>
        </w:rPr>
      </w:pPr>
    </w:p>
    <w:p>
      <w:pPr>
        <w:ind w:firstLine="3360" w:firstLineChars="700"/>
        <w:rPr>
          <w:rFonts w:hint="eastAsia"/>
          <w:sz w:val="48"/>
          <w:szCs w:val="48"/>
          <w:lang w:val="en-US" w:eastAsia="zh-CN"/>
        </w:rPr>
      </w:pPr>
      <w:r>
        <w:rPr>
          <w:rFonts w:hint="eastAsia"/>
          <w:sz w:val="48"/>
          <w:szCs w:val="48"/>
          <w:lang w:val="en-US" w:eastAsia="zh-CN"/>
        </w:rPr>
        <w:t xml:space="preserve"> </w:t>
      </w:r>
    </w:p>
    <w:p>
      <w:pPr>
        <w:ind w:firstLine="3360" w:firstLineChars="700"/>
        <w:rPr>
          <w:rFonts w:hint="eastAsia"/>
          <w:sz w:val="48"/>
          <w:szCs w:val="48"/>
          <w:lang w:eastAsia="zh-CN"/>
        </w:rPr>
      </w:pPr>
      <w:r>
        <w:rPr>
          <w:sz w:val="48"/>
          <w:szCs w:val="48"/>
        </w:rPr>
        <w:t xml:space="preserve">附 </w:t>
      </w:r>
      <w:r>
        <w:rPr>
          <w:rFonts w:hint="eastAsia"/>
          <w:sz w:val="48"/>
          <w:szCs w:val="48"/>
          <w:lang w:val="en-US" w:eastAsia="zh-CN"/>
        </w:rPr>
        <w:t xml:space="preserve"> </w:t>
      </w:r>
      <w:r>
        <w:rPr>
          <w:sz w:val="48"/>
          <w:szCs w:val="48"/>
        </w:rPr>
        <w:t>件</w:t>
      </w:r>
      <w:bookmarkEnd w:id="18"/>
      <w:r>
        <w:rPr>
          <w:sz w:val="48"/>
          <w:szCs w:val="48"/>
        </w:rPr>
        <w:cr/>
      </w:r>
    </w:p>
    <w:p>
      <w:pPr>
        <w:pStyle w:val="15"/>
        <w:widowControl w:val="0"/>
        <w:tabs>
          <w:tab w:val="right" w:leader="dot" w:pos="8392"/>
        </w:tabs>
        <w:wordWrap/>
        <w:adjustRightInd w:val="0"/>
        <w:snapToGrid w:val="0"/>
        <w:spacing w:line="560" w:lineRule="exact"/>
        <w:ind w:firstLine="6"/>
        <w:textAlignment w:val="auto"/>
        <w:rPr>
          <w:rFonts w:ascii="宋体" w:hAnsi="宋体"/>
          <w:sz w:val="28"/>
          <w:szCs w:val="28"/>
        </w:rPr>
      </w:pPr>
    </w:p>
    <w:p>
      <w:pPr>
        <w:pStyle w:val="15"/>
        <w:widowControl w:val="0"/>
        <w:tabs>
          <w:tab w:val="right" w:leader="dot" w:pos="8392"/>
        </w:tabs>
        <w:wordWrap/>
        <w:adjustRightInd w:val="0"/>
        <w:snapToGrid w:val="0"/>
        <w:spacing w:line="560" w:lineRule="exact"/>
        <w:ind w:firstLine="6"/>
        <w:textAlignment w:val="auto"/>
        <w:rPr>
          <w:rFonts w:ascii="宋体" w:hAnsi="宋体"/>
          <w:sz w:val="28"/>
          <w:szCs w:val="28"/>
        </w:rPr>
      </w:pPr>
    </w:p>
    <w:p>
      <w:pPr>
        <w:pStyle w:val="15"/>
        <w:widowControl w:val="0"/>
        <w:tabs>
          <w:tab w:val="right" w:leader="dot" w:pos="8392"/>
        </w:tabs>
        <w:wordWrap/>
        <w:adjustRightInd w:val="0"/>
        <w:snapToGrid w:val="0"/>
        <w:spacing w:line="560" w:lineRule="exact"/>
        <w:ind w:left="0" w:leftChars="0" w:firstLine="0" w:firstLineChars="0"/>
        <w:textAlignment w:val="auto"/>
        <w:rPr>
          <w:rFonts w:hint="eastAsia" w:ascii="宋体" w:hAnsi="宋体"/>
          <w:sz w:val="28"/>
          <w:szCs w:val="28"/>
          <w:lang w:val="en-US"/>
        </w:rPr>
      </w:pPr>
      <w:r>
        <w:rPr>
          <w:rFonts w:ascii="宋体" w:hAnsi="宋体"/>
          <w:sz w:val="28"/>
          <w:szCs w:val="28"/>
        </w:rPr>
        <w:t>一</w:t>
      </w:r>
      <w:r>
        <w:rPr>
          <w:rFonts w:hint="eastAsia" w:ascii="宋体" w:hAnsi="宋体"/>
          <w:sz w:val="28"/>
          <w:szCs w:val="28"/>
          <w:lang w:eastAsia="zh-CN"/>
        </w:rPr>
        <w:t>、</w:t>
      </w:r>
      <w:r>
        <w:rPr>
          <w:rFonts w:hint="eastAsia"/>
          <w:sz w:val="28"/>
          <w:szCs w:val="28"/>
        </w:rPr>
        <w:t>估价对象现状照片；</w:t>
      </w:r>
    </w:p>
    <w:p>
      <w:pPr>
        <w:numPr>
          <w:ilvl w:val="0"/>
          <w:numId w:val="0"/>
        </w:numPr>
        <w:spacing w:line="560" w:lineRule="exact"/>
        <w:jc w:val="left"/>
        <w:rPr>
          <w:rFonts w:hint="default" w:eastAsia="宋体"/>
          <w:sz w:val="28"/>
          <w:szCs w:val="28"/>
          <w:lang w:val="en-US" w:eastAsia="zh-CN"/>
        </w:rPr>
      </w:pPr>
      <w:r>
        <w:rPr>
          <w:rFonts w:hint="eastAsia"/>
          <w:sz w:val="28"/>
          <w:szCs w:val="28"/>
        </w:rPr>
        <w:t>二</w:t>
      </w:r>
      <w:r>
        <w:rPr>
          <w:rFonts w:hint="eastAsia"/>
          <w:sz w:val="28"/>
          <w:szCs w:val="28"/>
          <w:lang w:eastAsia="zh-CN"/>
        </w:rPr>
        <w:t>、</w:t>
      </w:r>
      <w:r>
        <w:rPr>
          <w:rFonts w:hint="eastAsia" w:hAnsi="宋体"/>
          <w:b w:val="0"/>
          <w:bCs/>
          <w:sz w:val="28"/>
          <w:lang w:val="en-US" w:eastAsia="zh-CN"/>
        </w:rPr>
        <w:t>估价对象位置图；</w:t>
      </w:r>
    </w:p>
    <w:p>
      <w:pPr>
        <w:pStyle w:val="15"/>
        <w:widowControl w:val="0"/>
        <w:tabs>
          <w:tab w:val="right" w:leader="dot" w:pos="8392"/>
        </w:tabs>
        <w:wordWrap/>
        <w:adjustRightInd w:val="0"/>
        <w:snapToGrid w:val="0"/>
        <w:spacing w:line="560" w:lineRule="exact"/>
        <w:ind w:left="0" w:leftChars="0" w:firstLine="0" w:firstLineChars="0"/>
        <w:textAlignment w:val="auto"/>
        <w:rPr>
          <w:rFonts w:hint="eastAsia"/>
          <w:color w:val="auto"/>
          <w:sz w:val="28"/>
          <w:szCs w:val="28"/>
        </w:rPr>
      </w:pPr>
      <w:r>
        <w:rPr>
          <w:rFonts w:hint="eastAsia"/>
          <w:sz w:val="28"/>
          <w:szCs w:val="28"/>
        </w:rPr>
        <w:t>三、</w:t>
      </w:r>
      <w:r>
        <w:rPr>
          <w:rFonts w:hint="eastAsia" w:ascii="宋体" w:hAnsi="宋体"/>
          <w:sz w:val="28"/>
          <w:szCs w:val="28"/>
          <w:lang w:val="en-US" w:eastAsia="zh-CN"/>
        </w:rPr>
        <w:t>巴彦淖尔市五原县人民法院评估委托书</w:t>
      </w:r>
      <w:r>
        <w:rPr>
          <w:rFonts w:hint="eastAsia" w:ascii="宋体" w:hAnsi="宋体"/>
          <w:color w:val="auto"/>
          <w:sz w:val="28"/>
          <w:szCs w:val="28"/>
          <w:lang w:val="en-US" w:eastAsia="zh-CN"/>
        </w:rPr>
        <w:t>（2021）内0821执1890号复印件；</w:t>
      </w:r>
    </w:p>
    <w:p>
      <w:pPr>
        <w:numPr>
          <w:ilvl w:val="0"/>
          <w:numId w:val="0"/>
        </w:numPr>
        <w:spacing w:line="560" w:lineRule="exact"/>
        <w:jc w:val="left"/>
        <w:rPr>
          <w:rFonts w:hint="eastAsia"/>
          <w:color w:val="auto"/>
          <w:sz w:val="28"/>
          <w:szCs w:val="28"/>
          <w:lang w:val="en-US" w:eastAsia="zh-CN"/>
        </w:rPr>
      </w:pPr>
      <w:r>
        <w:rPr>
          <w:rFonts w:hint="eastAsia"/>
          <w:color w:val="auto"/>
          <w:sz w:val="28"/>
          <w:szCs w:val="28"/>
          <w:lang w:val="en-US" w:eastAsia="zh-CN"/>
        </w:rPr>
        <w:t>四、房地产评估现场查勘表；</w:t>
      </w:r>
    </w:p>
    <w:p>
      <w:pPr>
        <w:numPr>
          <w:ilvl w:val="0"/>
          <w:numId w:val="0"/>
        </w:numPr>
        <w:spacing w:line="560" w:lineRule="exact"/>
        <w:jc w:val="left"/>
        <w:rPr>
          <w:rFonts w:hint="default"/>
          <w:sz w:val="28"/>
          <w:szCs w:val="28"/>
          <w:lang w:val="en-US" w:eastAsia="zh-CN"/>
        </w:rPr>
      </w:pPr>
      <w:r>
        <w:rPr>
          <w:rFonts w:hint="eastAsia" w:hAnsi="宋体"/>
          <w:b w:val="0"/>
          <w:bCs/>
          <w:sz w:val="28"/>
          <w:lang w:val="en-US" w:eastAsia="zh-CN"/>
        </w:rPr>
        <w:t>五、估价对象的《房屋分层分户图》《房产登记信息查询情况说明》《宗地图》复印件；</w:t>
      </w:r>
    </w:p>
    <w:p>
      <w:pPr>
        <w:widowControl w:val="0"/>
        <w:wordWrap/>
        <w:adjustRightInd w:val="0"/>
        <w:snapToGrid w:val="0"/>
        <w:spacing w:line="560" w:lineRule="exact"/>
        <w:textAlignment w:val="auto"/>
        <w:rPr>
          <w:rFonts w:hint="eastAsia" w:eastAsia="宋体"/>
          <w:b w:val="0"/>
          <w:bCs/>
          <w:sz w:val="28"/>
          <w:szCs w:val="28"/>
          <w:lang w:val="en-US" w:eastAsia="zh-CN"/>
        </w:rPr>
      </w:pPr>
      <w:r>
        <w:rPr>
          <w:rFonts w:hint="eastAsia" w:ascii="宋体" w:hAnsi="宋体"/>
          <w:sz w:val="28"/>
          <w:szCs w:val="28"/>
          <w:lang w:val="en-US" w:eastAsia="zh-CN"/>
        </w:rPr>
        <w:t>六</w:t>
      </w:r>
      <w:r>
        <w:rPr>
          <w:rFonts w:hint="eastAsia" w:hAnsi="宋体"/>
          <w:b w:val="0"/>
          <w:bCs/>
          <w:sz w:val="28"/>
          <w:lang w:val="en-US" w:eastAsia="zh-CN"/>
        </w:rPr>
        <w:t>、</w:t>
      </w:r>
      <w:r>
        <w:rPr>
          <w:rFonts w:ascii="宋体" w:hAnsi="宋体"/>
          <w:sz w:val="28"/>
          <w:szCs w:val="28"/>
        </w:rPr>
        <w:t>房地产估价机构营业执照复印件</w:t>
      </w:r>
      <w:r>
        <w:rPr>
          <w:rFonts w:hint="eastAsia" w:ascii="宋体" w:hAnsi="宋体"/>
          <w:sz w:val="28"/>
          <w:szCs w:val="28"/>
        </w:rPr>
        <w:t>；</w:t>
      </w:r>
    </w:p>
    <w:p>
      <w:pPr>
        <w:pStyle w:val="15"/>
        <w:numPr>
          <w:ilvl w:val="0"/>
          <w:numId w:val="0"/>
        </w:numPr>
        <w:tabs>
          <w:tab w:val="right" w:leader="dot" w:pos="8392"/>
        </w:tabs>
        <w:spacing w:line="560" w:lineRule="exact"/>
        <w:ind w:leftChars="0"/>
        <w:jc w:val="left"/>
        <w:rPr>
          <w:rFonts w:hint="eastAsia" w:ascii="宋体" w:hAnsi="宋体"/>
          <w:sz w:val="28"/>
          <w:szCs w:val="28"/>
        </w:rPr>
      </w:pPr>
      <w:r>
        <w:rPr>
          <w:rFonts w:hint="eastAsia" w:ascii="宋体" w:hAnsi="宋体"/>
          <w:sz w:val="28"/>
          <w:szCs w:val="28"/>
          <w:lang w:val="en-US" w:eastAsia="zh-CN"/>
        </w:rPr>
        <w:t>七</w:t>
      </w:r>
      <w:r>
        <w:rPr>
          <w:rFonts w:ascii="宋体" w:hAnsi="宋体"/>
          <w:sz w:val="28"/>
          <w:szCs w:val="28"/>
        </w:rPr>
        <w:t>、房地产估价机构资质证书复印件</w:t>
      </w:r>
      <w:r>
        <w:rPr>
          <w:rFonts w:hint="eastAsia" w:hAnsi="宋体"/>
          <w:sz w:val="28"/>
          <w:szCs w:val="28"/>
          <w:lang w:eastAsia="zh-CN"/>
        </w:rPr>
        <w:t>；</w:t>
      </w:r>
    </w:p>
    <w:p>
      <w:pPr>
        <w:rPr>
          <w:rFonts w:hint="eastAsia"/>
        </w:rPr>
      </w:pPr>
    </w:p>
    <w:p>
      <w:pPr>
        <w:pStyle w:val="28"/>
        <w:spacing w:line="480" w:lineRule="auto"/>
        <w:rPr>
          <w:rFonts w:hint="eastAsia" w:ascii="Times New Roman" w:hAnsi="Times New Roman" w:eastAsia="仿宋_GB2312"/>
          <w:color w:val="000000"/>
          <w:sz w:val="28"/>
        </w:rPr>
      </w:pPr>
    </w:p>
    <w:p>
      <w:pPr>
        <w:pStyle w:val="28"/>
        <w:spacing w:line="480" w:lineRule="auto"/>
        <w:rPr>
          <w:rFonts w:hint="eastAsia" w:hAnsi="宋体" w:cs="宋体"/>
          <w:color w:val="000000"/>
          <w:sz w:val="32"/>
          <w:szCs w:val="32"/>
        </w:rPr>
      </w:pPr>
    </w:p>
    <w:p>
      <w:pPr>
        <w:pStyle w:val="28"/>
        <w:spacing w:line="480" w:lineRule="auto"/>
        <w:rPr>
          <w:rFonts w:hint="eastAsia" w:hAnsi="宋体" w:cs="宋体"/>
          <w:color w:val="000000"/>
          <w:sz w:val="32"/>
          <w:szCs w:val="32"/>
        </w:rPr>
      </w:pPr>
    </w:p>
    <w:p>
      <w:pPr>
        <w:pStyle w:val="28"/>
        <w:spacing w:line="480" w:lineRule="auto"/>
        <w:rPr>
          <w:rFonts w:hint="eastAsia" w:hAnsi="宋体" w:cs="宋体"/>
          <w:color w:val="000000"/>
          <w:sz w:val="32"/>
          <w:szCs w:val="32"/>
        </w:rPr>
      </w:pPr>
    </w:p>
    <w:p>
      <w:pPr>
        <w:pStyle w:val="28"/>
        <w:spacing w:line="480" w:lineRule="auto"/>
        <w:ind w:firstLine="3200" w:firstLineChars="1000"/>
        <w:rPr>
          <w:rFonts w:hint="eastAsia" w:hAnsi="宋体" w:cs="宋体"/>
          <w:color w:val="000000"/>
          <w:sz w:val="32"/>
          <w:szCs w:val="32"/>
        </w:rPr>
      </w:pPr>
    </w:p>
    <w:p>
      <w:pPr>
        <w:pStyle w:val="28"/>
        <w:spacing w:line="480" w:lineRule="auto"/>
        <w:rPr>
          <w:rFonts w:hint="eastAsia" w:hAnsi="宋体" w:cs="宋体"/>
          <w:color w:val="000000"/>
          <w:sz w:val="32"/>
          <w:szCs w:val="32"/>
        </w:rPr>
      </w:pPr>
    </w:p>
    <w:p>
      <w:pPr>
        <w:pStyle w:val="28"/>
        <w:spacing w:line="480" w:lineRule="auto"/>
        <w:ind w:firstLine="3200" w:firstLineChars="1000"/>
        <w:rPr>
          <w:rFonts w:hint="eastAsia" w:hAnsi="宋体" w:cs="宋体"/>
          <w:color w:val="000000"/>
          <w:sz w:val="32"/>
          <w:szCs w:val="32"/>
          <w:lang w:val="en-US" w:eastAsia="zh-CN"/>
        </w:rPr>
      </w:pPr>
      <w:r>
        <w:rPr>
          <w:rFonts w:hint="eastAsia" w:hAnsi="宋体" w:cs="宋体"/>
          <w:color w:val="000000"/>
          <w:sz w:val="32"/>
          <w:szCs w:val="32"/>
        </w:rPr>
        <w:t>估价对象现状照</w:t>
      </w:r>
      <w:r>
        <w:rPr>
          <w:rFonts w:hint="eastAsia" w:hAnsi="宋体" w:cs="宋体"/>
          <w:color w:val="000000"/>
          <w:sz w:val="32"/>
          <w:szCs w:val="32"/>
          <w:lang w:val="en-US" w:eastAsia="zh-CN"/>
        </w:rPr>
        <w:t>片</w:t>
      </w:r>
    </w:p>
    <w:p>
      <w:pPr>
        <w:pStyle w:val="28"/>
        <w:spacing w:line="480" w:lineRule="auto"/>
        <w:rPr>
          <w:rFonts w:hint="default" w:hAnsi="宋体" w:cs="宋体"/>
          <w:color w:val="000000"/>
          <w:sz w:val="32"/>
          <w:szCs w:val="32"/>
          <w:lang w:val="en-US" w:eastAsia="zh-CN"/>
        </w:rPr>
      </w:pPr>
      <w:r>
        <w:rPr>
          <w:rFonts w:hint="default" w:hAnsi="宋体" w:cs="宋体"/>
          <w:color w:val="000000"/>
          <w:sz w:val="32"/>
          <w:szCs w:val="32"/>
          <w:lang w:val="en-US" w:eastAsia="zh-CN"/>
        </w:rPr>
        <w:drawing>
          <wp:inline distT="0" distB="0" distL="114300" distR="114300">
            <wp:extent cx="2620010" cy="2451735"/>
            <wp:effectExtent l="0" t="0" r="8890" b="5715"/>
            <wp:docPr id="8" name="图片 8" descr="微信图片_2022042510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425105217"/>
                    <pic:cNvPicPr>
                      <a:picLocks noChangeAspect="1"/>
                    </pic:cNvPicPr>
                  </pic:nvPicPr>
                  <pic:blipFill>
                    <a:blip r:embed="rId6"/>
                    <a:stretch>
                      <a:fillRect/>
                    </a:stretch>
                  </pic:blipFill>
                  <pic:spPr>
                    <a:xfrm>
                      <a:off x="0" y="0"/>
                      <a:ext cx="2620010" cy="2451735"/>
                    </a:xfrm>
                    <a:prstGeom prst="rect">
                      <a:avLst/>
                    </a:prstGeom>
                  </pic:spPr>
                </pic:pic>
              </a:graphicData>
            </a:graphic>
          </wp:inline>
        </w:drawing>
      </w:r>
      <w:r>
        <w:rPr>
          <w:rFonts w:hint="eastAsia" w:hAnsi="宋体" w:cs="宋体"/>
          <w:color w:val="000000"/>
          <w:sz w:val="32"/>
          <w:szCs w:val="32"/>
          <w:lang w:val="en-US" w:eastAsia="zh-CN"/>
        </w:rPr>
        <w:t xml:space="preserve">  </w:t>
      </w:r>
      <w:r>
        <w:rPr>
          <w:rFonts w:hint="default" w:hAnsi="宋体" w:cs="宋体"/>
          <w:color w:val="000000"/>
          <w:sz w:val="32"/>
          <w:szCs w:val="32"/>
          <w:lang w:val="en-US" w:eastAsia="zh-CN"/>
        </w:rPr>
        <w:drawing>
          <wp:inline distT="0" distB="0" distL="114300" distR="114300">
            <wp:extent cx="2682875" cy="2427605"/>
            <wp:effectExtent l="0" t="0" r="3175" b="10795"/>
            <wp:docPr id="9" name="图片 9" descr="微信图片_2022042510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425105439"/>
                    <pic:cNvPicPr>
                      <a:picLocks noChangeAspect="1"/>
                    </pic:cNvPicPr>
                  </pic:nvPicPr>
                  <pic:blipFill>
                    <a:blip r:embed="rId7"/>
                    <a:stretch>
                      <a:fillRect/>
                    </a:stretch>
                  </pic:blipFill>
                  <pic:spPr>
                    <a:xfrm>
                      <a:off x="0" y="0"/>
                      <a:ext cx="2682875" cy="2427605"/>
                    </a:xfrm>
                    <a:prstGeom prst="rect">
                      <a:avLst/>
                    </a:prstGeom>
                  </pic:spPr>
                </pic:pic>
              </a:graphicData>
            </a:graphic>
          </wp:inline>
        </w:drawing>
      </w:r>
    </w:p>
    <w:p>
      <w:pPr>
        <w:pStyle w:val="28"/>
        <w:spacing w:line="480" w:lineRule="auto"/>
        <w:rPr>
          <w:rFonts w:hint="default" w:hAnsi="宋体" w:cs="宋体"/>
          <w:color w:val="000000"/>
          <w:sz w:val="32"/>
          <w:szCs w:val="32"/>
          <w:lang w:val="en-US" w:eastAsia="zh-CN"/>
        </w:rPr>
      </w:pPr>
      <w:r>
        <w:rPr>
          <w:rFonts w:hint="default" w:hAnsi="宋体" w:cs="宋体"/>
          <w:color w:val="000000"/>
          <w:sz w:val="32"/>
          <w:szCs w:val="32"/>
          <w:lang w:val="en-US" w:eastAsia="zh-CN"/>
        </w:rPr>
        <w:drawing>
          <wp:inline distT="0" distB="0" distL="114300" distR="114300">
            <wp:extent cx="2636520" cy="2409190"/>
            <wp:effectExtent l="0" t="0" r="11430" b="10160"/>
            <wp:docPr id="10" name="图片 10" descr="微信图片_2022042510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0425105232"/>
                    <pic:cNvPicPr>
                      <a:picLocks noChangeAspect="1"/>
                    </pic:cNvPicPr>
                  </pic:nvPicPr>
                  <pic:blipFill>
                    <a:blip r:embed="rId8"/>
                    <a:stretch>
                      <a:fillRect/>
                    </a:stretch>
                  </pic:blipFill>
                  <pic:spPr>
                    <a:xfrm>
                      <a:off x="0" y="0"/>
                      <a:ext cx="2636520" cy="2409190"/>
                    </a:xfrm>
                    <a:prstGeom prst="rect">
                      <a:avLst/>
                    </a:prstGeom>
                  </pic:spPr>
                </pic:pic>
              </a:graphicData>
            </a:graphic>
          </wp:inline>
        </w:drawing>
      </w:r>
      <w:r>
        <w:rPr>
          <w:rFonts w:hint="eastAsia" w:hAnsi="宋体" w:cs="宋体"/>
          <w:color w:val="000000"/>
          <w:sz w:val="32"/>
          <w:szCs w:val="32"/>
          <w:lang w:val="en-US" w:eastAsia="zh-CN"/>
        </w:rPr>
        <w:t xml:space="preserve">  </w:t>
      </w:r>
      <w:r>
        <w:rPr>
          <w:rFonts w:hint="default" w:hAnsi="宋体" w:cs="宋体"/>
          <w:color w:val="000000"/>
          <w:sz w:val="32"/>
          <w:szCs w:val="32"/>
          <w:lang w:val="en-US" w:eastAsia="zh-CN"/>
        </w:rPr>
        <w:drawing>
          <wp:inline distT="0" distB="0" distL="114300" distR="114300">
            <wp:extent cx="2632710" cy="2385695"/>
            <wp:effectExtent l="0" t="0" r="15240" b="14605"/>
            <wp:docPr id="11" name="图片 11" descr="微信图片_2022042510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20425105235"/>
                    <pic:cNvPicPr>
                      <a:picLocks noChangeAspect="1"/>
                    </pic:cNvPicPr>
                  </pic:nvPicPr>
                  <pic:blipFill>
                    <a:blip r:embed="rId9"/>
                    <a:stretch>
                      <a:fillRect/>
                    </a:stretch>
                  </pic:blipFill>
                  <pic:spPr>
                    <a:xfrm>
                      <a:off x="0" y="0"/>
                      <a:ext cx="2632710" cy="2385695"/>
                    </a:xfrm>
                    <a:prstGeom prst="rect">
                      <a:avLst/>
                    </a:prstGeom>
                  </pic:spPr>
                </pic:pic>
              </a:graphicData>
            </a:graphic>
          </wp:inline>
        </w:drawing>
      </w:r>
    </w:p>
    <w:p>
      <w:pPr>
        <w:pStyle w:val="28"/>
        <w:spacing w:line="480" w:lineRule="auto"/>
        <w:rPr>
          <w:rFonts w:hint="default" w:hAnsi="宋体" w:cs="宋体"/>
          <w:color w:val="000000"/>
          <w:sz w:val="32"/>
          <w:szCs w:val="32"/>
          <w:lang w:val="en-US" w:eastAsia="zh-CN"/>
        </w:rPr>
      </w:pPr>
      <w:r>
        <w:rPr>
          <w:rFonts w:hint="default" w:hAnsi="宋体" w:cs="宋体"/>
          <w:color w:val="000000"/>
          <w:sz w:val="32"/>
          <w:szCs w:val="32"/>
          <w:lang w:val="en-US" w:eastAsia="zh-CN"/>
        </w:rPr>
        <w:drawing>
          <wp:inline distT="0" distB="0" distL="114300" distR="114300">
            <wp:extent cx="2632075" cy="2459355"/>
            <wp:effectExtent l="0" t="0" r="15875" b="17145"/>
            <wp:docPr id="14" name="图片 14" descr="微信图片_2022042510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20425105307"/>
                    <pic:cNvPicPr>
                      <a:picLocks noChangeAspect="1"/>
                    </pic:cNvPicPr>
                  </pic:nvPicPr>
                  <pic:blipFill>
                    <a:blip r:embed="rId10"/>
                    <a:stretch>
                      <a:fillRect/>
                    </a:stretch>
                  </pic:blipFill>
                  <pic:spPr>
                    <a:xfrm>
                      <a:off x="0" y="0"/>
                      <a:ext cx="2632075" cy="2459355"/>
                    </a:xfrm>
                    <a:prstGeom prst="rect">
                      <a:avLst/>
                    </a:prstGeom>
                  </pic:spPr>
                </pic:pic>
              </a:graphicData>
            </a:graphic>
          </wp:inline>
        </w:drawing>
      </w:r>
      <w:r>
        <w:rPr>
          <w:rFonts w:hint="eastAsia" w:hAnsi="宋体" w:cs="宋体"/>
          <w:color w:val="000000"/>
          <w:sz w:val="32"/>
          <w:szCs w:val="32"/>
          <w:lang w:val="en-US" w:eastAsia="zh-CN"/>
        </w:rPr>
        <w:t xml:space="preserve">  </w:t>
      </w:r>
      <w:r>
        <w:rPr>
          <w:rFonts w:hint="default" w:hAnsi="宋体" w:cs="宋体"/>
          <w:color w:val="000000"/>
          <w:sz w:val="32"/>
          <w:szCs w:val="32"/>
          <w:lang w:val="en-US" w:eastAsia="zh-CN"/>
        </w:rPr>
        <w:drawing>
          <wp:inline distT="0" distB="0" distL="114300" distR="114300">
            <wp:extent cx="2626360" cy="2411730"/>
            <wp:effectExtent l="0" t="0" r="2540" b="7620"/>
            <wp:docPr id="15" name="图片 15" descr="微信图片_20220425105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20425105239"/>
                    <pic:cNvPicPr>
                      <a:picLocks noChangeAspect="1"/>
                    </pic:cNvPicPr>
                  </pic:nvPicPr>
                  <pic:blipFill>
                    <a:blip r:embed="rId11"/>
                    <a:stretch>
                      <a:fillRect/>
                    </a:stretch>
                  </pic:blipFill>
                  <pic:spPr>
                    <a:xfrm>
                      <a:off x="0" y="0"/>
                      <a:ext cx="2626360" cy="2411730"/>
                    </a:xfrm>
                    <a:prstGeom prst="rect">
                      <a:avLst/>
                    </a:prstGeom>
                  </pic:spPr>
                </pic:pic>
              </a:graphicData>
            </a:graphic>
          </wp:inline>
        </w:drawing>
      </w:r>
    </w:p>
    <w:p>
      <w:pPr>
        <w:pStyle w:val="28"/>
        <w:spacing w:line="480" w:lineRule="auto"/>
        <w:ind w:firstLine="3080" w:firstLineChars="1100"/>
        <w:rPr>
          <w:rFonts w:hint="eastAsia" w:hAnsi="宋体"/>
          <w:b w:val="0"/>
          <w:bCs/>
          <w:sz w:val="28"/>
          <w:lang w:val="en-US" w:eastAsia="zh-CN"/>
        </w:rPr>
      </w:pPr>
      <w:r>
        <w:rPr>
          <w:rFonts w:hint="eastAsia" w:hAnsi="宋体"/>
          <w:b w:val="0"/>
          <w:bCs/>
          <w:sz w:val="28"/>
          <w:lang w:val="en-US" w:eastAsia="zh-CN"/>
        </w:rPr>
        <w:t>估价对象位置图</w:t>
      </w:r>
    </w:p>
    <w:p>
      <w:pPr>
        <w:pStyle w:val="28"/>
        <w:spacing w:line="480" w:lineRule="auto"/>
        <w:rPr>
          <w:rFonts w:hint="default" w:hAnsi="宋体"/>
          <w:b w:val="0"/>
          <w:bCs/>
          <w:sz w:val="28"/>
          <w:lang w:val="en-US" w:eastAsia="zh-CN"/>
        </w:rPr>
      </w:pPr>
      <w:r>
        <w:rPr>
          <w:rFonts w:hint="default" w:hAnsi="宋体"/>
          <w:b w:val="0"/>
          <w:bCs/>
          <w:sz w:val="28"/>
          <w:lang w:val="en-US" w:eastAsia="zh-CN"/>
        </w:rPr>
        <w:drawing>
          <wp:inline distT="0" distB="0" distL="114300" distR="114300">
            <wp:extent cx="5416550" cy="7567295"/>
            <wp:effectExtent l="0" t="0" r="12700" b="14605"/>
            <wp:docPr id="16" name="图片 16" descr="b74bb9d51809aef01f8b86aa9943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b74bb9d51809aef01f8b86aa9943ba2"/>
                    <pic:cNvPicPr>
                      <a:picLocks noChangeAspect="1"/>
                    </pic:cNvPicPr>
                  </pic:nvPicPr>
                  <pic:blipFill>
                    <a:blip r:embed="rId12"/>
                    <a:stretch>
                      <a:fillRect/>
                    </a:stretch>
                  </pic:blipFill>
                  <pic:spPr>
                    <a:xfrm>
                      <a:off x="0" y="0"/>
                      <a:ext cx="5416550" cy="7567295"/>
                    </a:xfrm>
                    <a:prstGeom prst="rect">
                      <a:avLst/>
                    </a:prstGeom>
                  </pic:spPr>
                </pic:pic>
              </a:graphicData>
            </a:graphic>
          </wp:inline>
        </w:drawing>
      </w:r>
    </w:p>
    <w:sectPr>
      <w:headerReference r:id="rId3" w:type="default"/>
      <w:footerReference r:id="rId4" w:type="default"/>
      <w:pgSz w:w="11906" w:h="16838"/>
      <w:pgMar w:top="1440" w:right="1196" w:bottom="1440" w:left="1752" w:header="851" w:footer="992" w:gutter="0"/>
      <w:pgBorders w:offsetFrom="page">
        <w:top w:val="none" w:sz="0" w:space="0"/>
        <w:left w:val="none" w:sz="0" w:space="0"/>
        <w:bottom w:val="none" w:sz="0" w:space="0"/>
        <w:right w:val="none" w:sz="0" w:space="0"/>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double" w:color="auto" w:sz="4" w:space="0"/>
      </w:pBdr>
      <w:jc w:val="center"/>
      <w:rPr>
        <w:b/>
      </w:rPr>
    </w:pPr>
    <w:r>
      <w:rPr>
        <w:rFonts w:hint="eastAsia" w:ascii="黑体" w:eastAsia="黑体"/>
        <w:szCs w:val="18"/>
      </w:rPr>
      <w:t xml:space="preserve">内蒙古金诚房地产评估有限责任公司                               </w:t>
    </w:r>
    <w:r>
      <w:rPr>
        <w:rFonts w:hint="eastAsia" w:ascii="楷体_GB2312" w:eastAsia="楷体_GB2312"/>
        <w:b/>
        <w:kern w:val="0"/>
      </w:rPr>
      <w:t xml:space="preserve">                 第 </w:t>
    </w:r>
    <w:r>
      <w:rPr>
        <w:rFonts w:ascii="楷体_GB2312" w:eastAsia="楷体_GB2312"/>
        <w:b/>
        <w:kern w:val="0"/>
      </w:rPr>
      <w:fldChar w:fldCharType="begin"/>
    </w:r>
    <w:r>
      <w:rPr>
        <w:rFonts w:ascii="楷体_GB2312" w:eastAsia="楷体_GB2312"/>
        <w:b/>
        <w:kern w:val="0"/>
      </w:rPr>
      <w:instrText xml:space="preserve"> PAGE </w:instrText>
    </w:r>
    <w:r>
      <w:rPr>
        <w:rFonts w:ascii="楷体_GB2312" w:eastAsia="楷体_GB2312"/>
        <w:b/>
        <w:kern w:val="0"/>
      </w:rPr>
      <w:fldChar w:fldCharType="separate"/>
    </w:r>
    <w:r>
      <w:rPr>
        <w:rFonts w:ascii="楷体_GB2312" w:eastAsia="楷体_GB2312"/>
        <w:b/>
        <w:kern w:val="0"/>
      </w:rPr>
      <w:t>1</w:t>
    </w:r>
    <w:r>
      <w:rPr>
        <w:rFonts w:ascii="楷体_GB2312" w:eastAsia="楷体_GB2312"/>
        <w:b/>
        <w:kern w:val="0"/>
      </w:rPr>
      <w:fldChar w:fldCharType="end"/>
    </w:r>
    <w:r>
      <w:rPr>
        <w:rFonts w:hint="eastAsia" w:ascii="楷体_GB2312" w:eastAsia="楷体_GB2312"/>
        <w:b/>
        <w:kern w:val="0"/>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spacing w:line="800" w:lineRule="exact"/>
      <w:jc w:val="both"/>
      <w:textAlignment w:val="bottom"/>
      <w:rPr>
        <w:rFonts w:hint="default" w:eastAsia="宋体"/>
        <w:szCs w:val="21"/>
        <w:u w:val="single" w:color="auto"/>
        <w:lang w:val="en-US" w:eastAsia="zh-CN"/>
      </w:rPr>
    </w:pPr>
    <w:r>
      <w:rPr>
        <w:rFonts w:hint="eastAsia" w:ascii="宋体" w:hAnsi="宋体"/>
        <w:b/>
        <w:snapToGrid w:val="0"/>
        <w:color w:val="000000"/>
        <w:kern w:val="0"/>
        <w:sz w:val="18"/>
        <w:szCs w:val="18"/>
        <w:u w:val="single" w:color="auto"/>
        <w:lang w:val="en-US" w:eastAsia="zh-CN"/>
      </w:rPr>
      <w:t xml:space="preserve">                                                                                 </w:t>
    </w:r>
    <w:r>
      <w:rPr>
        <w:rFonts w:hint="eastAsia" w:ascii="宋体" w:hAnsi="宋体"/>
        <w:b/>
        <w:snapToGrid w:val="0"/>
        <w:color w:val="000000"/>
        <w:kern w:val="0"/>
        <w:sz w:val="18"/>
        <w:szCs w:val="18"/>
        <w:u w:val="single" w:color="auto"/>
      </w:rPr>
      <w:t>房地产</w:t>
    </w:r>
    <w:r>
      <w:rPr>
        <w:rFonts w:hint="eastAsia" w:ascii="宋体" w:hAnsi="宋体"/>
        <w:b/>
        <w:snapToGrid w:val="0"/>
        <w:color w:val="000000"/>
        <w:kern w:val="0"/>
        <w:sz w:val="18"/>
        <w:szCs w:val="18"/>
        <w:u w:val="single" w:color="auto"/>
        <w:lang w:val="en-US" w:eastAsia="zh-CN"/>
      </w:rPr>
      <w:t>估价报告书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A15DC"/>
    <w:multiLevelType w:val="singleLevel"/>
    <w:tmpl w:val="816A15DC"/>
    <w:lvl w:ilvl="0" w:tentative="0">
      <w:start w:val="11"/>
      <w:numFmt w:val="chineseCounting"/>
      <w:suff w:val="nothing"/>
      <w:lvlText w:val="%1、"/>
      <w:lvlJc w:val="left"/>
      <w:rPr>
        <w:rFonts w:hint="eastAsia"/>
      </w:rPr>
    </w:lvl>
  </w:abstractNum>
  <w:abstractNum w:abstractNumId="1">
    <w:nsid w:val="982D8870"/>
    <w:multiLevelType w:val="singleLevel"/>
    <w:tmpl w:val="982D8870"/>
    <w:lvl w:ilvl="0" w:tentative="0">
      <w:start w:val="1"/>
      <w:numFmt w:val="chineseCounting"/>
      <w:suff w:val="nothing"/>
      <w:lvlText w:val="%1、"/>
      <w:lvlJc w:val="left"/>
      <w:rPr>
        <w:rFonts w:hint="eastAsia"/>
      </w:rPr>
    </w:lvl>
  </w:abstractNum>
  <w:abstractNum w:abstractNumId="2">
    <w:nsid w:val="CF69CB8D"/>
    <w:multiLevelType w:val="singleLevel"/>
    <w:tmpl w:val="CF69CB8D"/>
    <w:lvl w:ilvl="0" w:tentative="0">
      <w:start w:val="1"/>
      <w:numFmt w:val="decimal"/>
      <w:suff w:val="nothing"/>
      <w:lvlText w:val="%1．"/>
      <w:lvlJc w:val="left"/>
    </w:lvl>
  </w:abstractNum>
  <w:abstractNum w:abstractNumId="3">
    <w:nsid w:val="E1F3731B"/>
    <w:multiLevelType w:val="singleLevel"/>
    <w:tmpl w:val="E1F3731B"/>
    <w:lvl w:ilvl="0" w:tentative="0">
      <w:start w:val="3"/>
      <w:numFmt w:val="chineseCounting"/>
      <w:suff w:val="nothing"/>
      <w:lvlText w:val="（%1）"/>
      <w:lvlJc w:val="left"/>
      <w:rPr>
        <w:rFonts w:hint="eastAsia"/>
      </w:rPr>
    </w:lvl>
  </w:abstractNum>
  <w:abstractNum w:abstractNumId="4">
    <w:nsid w:val="00000009"/>
    <w:multiLevelType w:val="multilevel"/>
    <w:tmpl w:val="00000009"/>
    <w:lvl w:ilvl="0" w:tentative="0">
      <w:start w:val="1"/>
      <w:numFmt w:val="decimal"/>
      <w:lvlText w:val="%1."/>
      <w:lvlJc w:val="left"/>
      <w:pPr>
        <w:tabs>
          <w:tab w:val="left" w:pos="845"/>
        </w:tabs>
        <w:ind w:left="845" w:hanging="42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DB6F7D"/>
    <w:multiLevelType w:val="singleLevel"/>
    <w:tmpl w:val="27DB6F7D"/>
    <w:lvl w:ilvl="0" w:tentative="0">
      <w:start w:val="5"/>
      <w:numFmt w:val="decimal"/>
      <w:suff w:val="nothing"/>
      <w:lvlText w:val="%1．"/>
      <w:lvlJc w:val="left"/>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OTQyODIwNmM1NWRjNGE0ZjlkOTFiMTJkOGVhODUifQ=="/>
  </w:docVars>
  <w:rsids>
    <w:rsidRoot w:val="00000000"/>
    <w:rsid w:val="003B0D0F"/>
    <w:rsid w:val="009776A2"/>
    <w:rsid w:val="009D465F"/>
    <w:rsid w:val="00D5623B"/>
    <w:rsid w:val="00EF61C4"/>
    <w:rsid w:val="01375FE1"/>
    <w:rsid w:val="014A1E34"/>
    <w:rsid w:val="0186170E"/>
    <w:rsid w:val="02214B0E"/>
    <w:rsid w:val="0222570C"/>
    <w:rsid w:val="028350A1"/>
    <w:rsid w:val="032959C8"/>
    <w:rsid w:val="032A595F"/>
    <w:rsid w:val="04396021"/>
    <w:rsid w:val="04882957"/>
    <w:rsid w:val="04FA3792"/>
    <w:rsid w:val="050A703B"/>
    <w:rsid w:val="05357606"/>
    <w:rsid w:val="05373984"/>
    <w:rsid w:val="05E10B93"/>
    <w:rsid w:val="05F27CCF"/>
    <w:rsid w:val="0644294F"/>
    <w:rsid w:val="065F69FD"/>
    <w:rsid w:val="068C1736"/>
    <w:rsid w:val="079321EB"/>
    <w:rsid w:val="08362374"/>
    <w:rsid w:val="08506EB6"/>
    <w:rsid w:val="08640BAA"/>
    <w:rsid w:val="087B7C4D"/>
    <w:rsid w:val="08AE22F2"/>
    <w:rsid w:val="08E9340B"/>
    <w:rsid w:val="09167934"/>
    <w:rsid w:val="0955766D"/>
    <w:rsid w:val="09EE076D"/>
    <w:rsid w:val="0A1039DE"/>
    <w:rsid w:val="0A202268"/>
    <w:rsid w:val="0A567E0E"/>
    <w:rsid w:val="0AB62C05"/>
    <w:rsid w:val="0AC40A1B"/>
    <w:rsid w:val="0B0D16C3"/>
    <w:rsid w:val="0BA34BC9"/>
    <w:rsid w:val="0BB8152E"/>
    <w:rsid w:val="0CA57045"/>
    <w:rsid w:val="0CAB4001"/>
    <w:rsid w:val="0D0A7154"/>
    <w:rsid w:val="0D330337"/>
    <w:rsid w:val="0DA97EE1"/>
    <w:rsid w:val="0DC71698"/>
    <w:rsid w:val="0F4F22D2"/>
    <w:rsid w:val="0F6E5AFA"/>
    <w:rsid w:val="11491233"/>
    <w:rsid w:val="11FC326D"/>
    <w:rsid w:val="13350D6A"/>
    <w:rsid w:val="13351463"/>
    <w:rsid w:val="13373AFC"/>
    <w:rsid w:val="133D6A47"/>
    <w:rsid w:val="13621ABD"/>
    <w:rsid w:val="15404710"/>
    <w:rsid w:val="16294166"/>
    <w:rsid w:val="164E6F6A"/>
    <w:rsid w:val="16ED01F6"/>
    <w:rsid w:val="17054640"/>
    <w:rsid w:val="1726711C"/>
    <w:rsid w:val="183D4265"/>
    <w:rsid w:val="18B8101F"/>
    <w:rsid w:val="190F3010"/>
    <w:rsid w:val="19785652"/>
    <w:rsid w:val="19BC1535"/>
    <w:rsid w:val="1A421FF1"/>
    <w:rsid w:val="1A9E7885"/>
    <w:rsid w:val="1C744D7B"/>
    <w:rsid w:val="1CDA6ECC"/>
    <w:rsid w:val="1CF830B3"/>
    <w:rsid w:val="1CFA3EBD"/>
    <w:rsid w:val="1D466917"/>
    <w:rsid w:val="1D8A5E94"/>
    <w:rsid w:val="1EC00F4E"/>
    <w:rsid w:val="1F8F7E7D"/>
    <w:rsid w:val="1F99522E"/>
    <w:rsid w:val="20984919"/>
    <w:rsid w:val="21F54EAE"/>
    <w:rsid w:val="226E225A"/>
    <w:rsid w:val="234717D9"/>
    <w:rsid w:val="234C55C8"/>
    <w:rsid w:val="2352585A"/>
    <w:rsid w:val="26B767C8"/>
    <w:rsid w:val="27756C38"/>
    <w:rsid w:val="282132D3"/>
    <w:rsid w:val="28490296"/>
    <w:rsid w:val="28CF19E7"/>
    <w:rsid w:val="2A562FBF"/>
    <w:rsid w:val="2AF075DA"/>
    <w:rsid w:val="2B1178AA"/>
    <w:rsid w:val="2C16691E"/>
    <w:rsid w:val="2C716C03"/>
    <w:rsid w:val="2C763F8F"/>
    <w:rsid w:val="2CBF56C3"/>
    <w:rsid w:val="2CE0359D"/>
    <w:rsid w:val="2CF258B5"/>
    <w:rsid w:val="2D7976CC"/>
    <w:rsid w:val="2DAF0CB7"/>
    <w:rsid w:val="2E7D4657"/>
    <w:rsid w:val="2EBF64FE"/>
    <w:rsid w:val="2EEF17A0"/>
    <w:rsid w:val="2F982640"/>
    <w:rsid w:val="30A12ECF"/>
    <w:rsid w:val="30C1487E"/>
    <w:rsid w:val="30CA623E"/>
    <w:rsid w:val="316571FE"/>
    <w:rsid w:val="32765FB1"/>
    <w:rsid w:val="330C780D"/>
    <w:rsid w:val="33AF7CD2"/>
    <w:rsid w:val="34A91EE6"/>
    <w:rsid w:val="35532566"/>
    <w:rsid w:val="355C70A2"/>
    <w:rsid w:val="35C50536"/>
    <w:rsid w:val="35E8438E"/>
    <w:rsid w:val="363E76C2"/>
    <w:rsid w:val="367D103D"/>
    <w:rsid w:val="36B94049"/>
    <w:rsid w:val="36F74D02"/>
    <w:rsid w:val="37DD1444"/>
    <w:rsid w:val="37FE7691"/>
    <w:rsid w:val="38325DD1"/>
    <w:rsid w:val="384C4281"/>
    <w:rsid w:val="386545E0"/>
    <w:rsid w:val="3886433B"/>
    <w:rsid w:val="389E6932"/>
    <w:rsid w:val="390C7307"/>
    <w:rsid w:val="3A863DBD"/>
    <w:rsid w:val="3A96163D"/>
    <w:rsid w:val="3BF00419"/>
    <w:rsid w:val="3C19366F"/>
    <w:rsid w:val="3C1945D3"/>
    <w:rsid w:val="3CF566C3"/>
    <w:rsid w:val="3DAD6D25"/>
    <w:rsid w:val="3E9D11EF"/>
    <w:rsid w:val="3F1B4C51"/>
    <w:rsid w:val="3F622FFE"/>
    <w:rsid w:val="3FF25F9A"/>
    <w:rsid w:val="428719F5"/>
    <w:rsid w:val="42C34DCC"/>
    <w:rsid w:val="42D0054B"/>
    <w:rsid w:val="43F36826"/>
    <w:rsid w:val="450750EC"/>
    <w:rsid w:val="452406A4"/>
    <w:rsid w:val="45792EC0"/>
    <w:rsid w:val="45CB1496"/>
    <w:rsid w:val="46262E8C"/>
    <w:rsid w:val="462B17D3"/>
    <w:rsid w:val="4754097E"/>
    <w:rsid w:val="47E77A40"/>
    <w:rsid w:val="49644C36"/>
    <w:rsid w:val="49E1492B"/>
    <w:rsid w:val="4A9A6992"/>
    <w:rsid w:val="4ABE53B0"/>
    <w:rsid w:val="4B2677CA"/>
    <w:rsid w:val="4B67249F"/>
    <w:rsid w:val="4BAF3752"/>
    <w:rsid w:val="4BE11136"/>
    <w:rsid w:val="4CD3739D"/>
    <w:rsid w:val="4EA4218F"/>
    <w:rsid w:val="4F042E06"/>
    <w:rsid w:val="4FA87A6D"/>
    <w:rsid w:val="4FFC7DCF"/>
    <w:rsid w:val="500205F0"/>
    <w:rsid w:val="506B5683"/>
    <w:rsid w:val="508569B2"/>
    <w:rsid w:val="51D47D7C"/>
    <w:rsid w:val="526D20E1"/>
    <w:rsid w:val="52E55B51"/>
    <w:rsid w:val="538729F5"/>
    <w:rsid w:val="546D6470"/>
    <w:rsid w:val="54C93EC2"/>
    <w:rsid w:val="554C355C"/>
    <w:rsid w:val="555B2524"/>
    <w:rsid w:val="556054E4"/>
    <w:rsid w:val="56072AB7"/>
    <w:rsid w:val="56D276E1"/>
    <w:rsid w:val="577D6654"/>
    <w:rsid w:val="57A54701"/>
    <w:rsid w:val="58195993"/>
    <w:rsid w:val="596470A5"/>
    <w:rsid w:val="596B3EB5"/>
    <w:rsid w:val="5A7845E7"/>
    <w:rsid w:val="5AD77514"/>
    <w:rsid w:val="5B370563"/>
    <w:rsid w:val="5B767933"/>
    <w:rsid w:val="5B8E5FE5"/>
    <w:rsid w:val="5B9C345E"/>
    <w:rsid w:val="5CF83D13"/>
    <w:rsid w:val="5D8D3A6E"/>
    <w:rsid w:val="5E3E24B8"/>
    <w:rsid w:val="5ED06AFE"/>
    <w:rsid w:val="5F3967B0"/>
    <w:rsid w:val="5F865166"/>
    <w:rsid w:val="60A60246"/>
    <w:rsid w:val="60BD3858"/>
    <w:rsid w:val="60C57CD1"/>
    <w:rsid w:val="61090287"/>
    <w:rsid w:val="61543D62"/>
    <w:rsid w:val="62397DD0"/>
    <w:rsid w:val="624901F5"/>
    <w:rsid w:val="62A76A39"/>
    <w:rsid w:val="62D35AB5"/>
    <w:rsid w:val="62DD604F"/>
    <w:rsid w:val="62FF64BA"/>
    <w:rsid w:val="63565245"/>
    <w:rsid w:val="645314D9"/>
    <w:rsid w:val="64AE72EC"/>
    <w:rsid w:val="657D6ED6"/>
    <w:rsid w:val="65CB3F38"/>
    <w:rsid w:val="66472CD4"/>
    <w:rsid w:val="66A843E0"/>
    <w:rsid w:val="66AE2689"/>
    <w:rsid w:val="66B912B0"/>
    <w:rsid w:val="686805C2"/>
    <w:rsid w:val="68AB6D7B"/>
    <w:rsid w:val="68B251EB"/>
    <w:rsid w:val="69916079"/>
    <w:rsid w:val="6A1E53C1"/>
    <w:rsid w:val="6AE74921"/>
    <w:rsid w:val="6B6A31D6"/>
    <w:rsid w:val="6CFD51EF"/>
    <w:rsid w:val="6D510665"/>
    <w:rsid w:val="6DB94C31"/>
    <w:rsid w:val="6E4A0D14"/>
    <w:rsid w:val="70562A96"/>
    <w:rsid w:val="70885A53"/>
    <w:rsid w:val="70B74E9D"/>
    <w:rsid w:val="719034C4"/>
    <w:rsid w:val="71923BD0"/>
    <w:rsid w:val="71CE314F"/>
    <w:rsid w:val="72461B7D"/>
    <w:rsid w:val="73D51057"/>
    <w:rsid w:val="7453392A"/>
    <w:rsid w:val="75BA3AEB"/>
    <w:rsid w:val="75BC549C"/>
    <w:rsid w:val="75D601F1"/>
    <w:rsid w:val="76B76CCF"/>
    <w:rsid w:val="76C16364"/>
    <w:rsid w:val="77AF49D5"/>
    <w:rsid w:val="77EC4C74"/>
    <w:rsid w:val="784F4D23"/>
    <w:rsid w:val="78816F72"/>
    <w:rsid w:val="79CA093E"/>
    <w:rsid w:val="7A6630BB"/>
    <w:rsid w:val="7A7F2602"/>
    <w:rsid w:val="7A9C7B4C"/>
    <w:rsid w:val="7B194038"/>
    <w:rsid w:val="7CB65078"/>
    <w:rsid w:val="7CC45FAC"/>
    <w:rsid w:val="7CE60C0A"/>
    <w:rsid w:val="7DFF090F"/>
    <w:rsid w:val="7E3146D2"/>
    <w:rsid w:val="7E734EFD"/>
    <w:rsid w:val="7E886862"/>
    <w:rsid w:val="7FBD2AFA"/>
    <w:rsid w:val="7FEC58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link w:val="20"/>
    <w:semiHidden/>
    <w:qFormat/>
    <w:uiPriority w:val="0"/>
    <w:rPr>
      <w:rFonts w:ascii="Tahoma" w:hAnsi="Tahoma"/>
      <w:sz w:val="24"/>
      <w:szCs w:val="24"/>
    </w:rPr>
  </w:style>
  <w:style w:type="table" w:default="1" w:styleId="17">
    <w:name w:val="Normal Table"/>
    <w:semiHidden/>
    <w:qFormat/>
    <w:uiPriority w:val="0"/>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Closing"/>
    <w:basedOn w:val="1"/>
    <w:qFormat/>
    <w:uiPriority w:val="0"/>
    <w:pPr>
      <w:ind w:left="100" w:leftChars="2100"/>
    </w:pPr>
    <w:rPr>
      <w:rFonts w:ascii="宋体" w:hAnsi="宋体"/>
      <w:spacing w:val="-4"/>
      <w:kern w:val="0"/>
      <w:sz w:val="36"/>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Cs w:val="21"/>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link w:val="51"/>
    <w:qFormat/>
    <w:uiPriority w:val="0"/>
    <w:pPr>
      <w:pBdr>
        <w:bottom w:val="single" w:color="auto" w:sz="6" w:space="1"/>
      </w:pBdr>
      <w:tabs>
        <w:tab w:val="center" w:pos="4153"/>
        <w:tab w:val="right" w:pos="8306"/>
      </w:tabs>
      <w:snapToGrid w:val="0"/>
      <w:jc w:val="center"/>
    </w:pPr>
    <w:rPr>
      <w:kern w:val="2"/>
      <w:sz w:val="18"/>
    </w:rPr>
  </w:style>
  <w:style w:type="paragraph" w:styleId="13">
    <w:name w:val="toc 1"/>
    <w:basedOn w:val="1"/>
    <w:next w:val="1"/>
    <w:qFormat/>
    <w:uiPriority w:val="0"/>
    <w:pPr>
      <w:tabs>
        <w:tab w:val="right" w:leader="dot" w:pos="8296"/>
      </w:tabs>
    </w:pPr>
    <w:rPr>
      <w:b/>
      <w:sz w:val="28"/>
    </w:rPr>
  </w:style>
  <w:style w:type="paragraph" w:styleId="14">
    <w:name w:val="table of figures"/>
    <w:basedOn w:val="1"/>
    <w:next w:val="1"/>
    <w:semiHidden/>
    <w:qFormat/>
    <w:uiPriority w:val="0"/>
    <w:pPr>
      <w:adjustRightInd w:val="0"/>
      <w:snapToGrid w:val="0"/>
      <w:spacing w:before="120" w:beforeLines="0" w:after="120" w:afterLines="0"/>
      <w:ind w:left="840" w:hanging="420"/>
      <w:jc w:val="center"/>
      <w:outlineLvl w:val="0"/>
    </w:pPr>
    <w:rPr>
      <w:rFonts w:eastAsia="新宋体"/>
      <w:sz w:val="24"/>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Char Char Char Char Char Char Char Char Char Char Char"/>
    <w:basedOn w:val="21"/>
    <w:link w:val="19"/>
    <w:qFormat/>
    <w:uiPriority w:val="0"/>
    <w:rPr>
      <w:rFonts w:ascii="Tahoma" w:hAnsi="Tahoma"/>
      <w:sz w:val="24"/>
      <w:szCs w:val="24"/>
    </w:rPr>
  </w:style>
  <w:style w:type="paragraph" w:customStyle="1" w:styleId="21">
    <w:name w:val="Document Map"/>
    <w:basedOn w:val="1"/>
    <w:qFormat/>
    <w:uiPriority w:val="0"/>
    <w:pPr>
      <w:shd w:val="clear" w:color="auto" w:fill="000080"/>
    </w:pPr>
  </w:style>
  <w:style w:type="character" w:styleId="22">
    <w:name w:val="Strong"/>
    <w:basedOn w:val="19"/>
    <w:qFormat/>
    <w:uiPriority w:val="0"/>
    <w:rPr>
      <w:b/>
      <w:bCs/>
    </w:rPr>
  </w:style>
  <w:style w:type="character" w:styleId="23">
    <w:name w:val="Hyperlink"/>
    <w:basedOn w:val="19"/>
    <w:qFormat/>
    <w:uiPriority w:val="0"/>
    <w:rPr>
      <w:color w:val="0000FF"/>
      <w:u w:val="single"/>
    </w:rPr>
  </w:style>
  <w:style w:type="paragraph" w:customStyle="1" w:styleId="24">
    <w:name w:val="批注主题 Char Char"/>
    <w:basedOn w:val="6"/>
    <w:next w:val="6"/>
    <w:qFormat/>
    <w:uiPriority w:val="0"/>
    <w:rPr>
      <w:b/>
      <w:bCs/>
    </w:rPr>
  </w:style>
  <w:style w:type="paragraph" w:customStyle="1" w:styleId="2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rPr>
  </w:style>
  <w:style w:type="paragraph" w:customStyle="1" w:styleId="26">
    <w:name w:val="Body Text 3"/>
    <w:basedOn w:val="1"/>
    <w:qFormat/>
    <w:uiPriority w:val="0"/>
    <w:pPr>
      <w:spacing w:after="120"/>
    </w:pPr>
    <w:rPr>
      <w:sz w:val="16"/>
      <w:szCs w:val="16"/>
    </w:rPr>
  </w:style>
  <w:style w:type="paragraph" w:customStyle="1" w:styleId="27">
    <w:name w:val="Body Text Indent"/>
    <w:basedOn w:val="1"/>
    <w:link w:val="52"/>
    <w:qFormat/>
    <w:uiPriority w:val="0"/>
    <w:pPr>
      <w:ind w:firstLine="555"/>
    </w:pPr>
    <w:rPr>
      <w:rFonts w:ascii="宋体"/>
      <w:kern w:val="2"/>
      <w:sz w:val="28"/>
    </w:rPr>
  </w:style>
  <w:style w:type="paragraph" w:customStyle="1" w:styleId="28">
    <w:name w:val="Plain Text"/>
    <w:basedOn w:val="1"/>
    <w:link w:val="49"/>
    <w:qFormat/>
    <w:uiPriority w:val="0"/>
    <w:pPr>
      <w:adjustRightInd w:val="0"/>
      <w:textAlignment w:val="baseline"/>
    </w:pPr>
    <w:rPr>
      <w:rFonts w:ascii="宋体" w:hAnsi="Courier New" w:eastAsia="宋体"/>
      <w:kern w:val="2"/>
      <w:sz w:val="21"/>
      <w:lang w:val="en-US" w:eastAsia="zh-CN" w:bidi="ar-SA"/>
    </w:rPr>
  </w:style>
  <w:style w:type="paragraph" w:customStyle="1" w:styleId="29">
    <w:name w:val="Date"/>
    <w:basedOn w:val="1"/>
    <w:next w:val="1"/>
    <w:link w:val="48"/>
    <w:qFormat/>
    <w:uiPriority w:val="0"/>
    <w:pPr>
      <w:ind w:left="100" w:leftChars="2500"/>
    </w:pPr>
    <w:rPr>
      <w:kern w:val="2"/>
      <w:sz w:val="21"/>
    </w:rPr>
  </w:style>
  <w:style w:type="paragraph" w:customStyle="1" w:styleId="30">
    <w:name w:val="批注框文本 Char Char"/>
    <w:basedOn w:val="1"/>
    <w:qFormat/>
    <w:uiPriority w:val="0"/>
    <w:rPr>
      <w:sz w:val="18"/>
      <w:szCs w:val="18"/>
    </w:rPr>
  </w:style>
  <w:style w:type="paragraph" w:customStyle="1" w:styleId="31">
    <w:name w:val="Body Text Indent 3"/>
    <w:basedOn w:val="1"/>
    <w:link w:val="53"/>
    <w:qFormat/>
    <w:uiPriority w:val="0"/>
    <w:pPr>
      <w:spacing w:after="120"/>
      <w:ind w:left="420" w:leftChars="200"/>
    </w:pPr>
    <w:rPr>
      <w:kern w:val="2"/>
      <w:sz w:val="16"/>
      <w:szCs w:val="16"/>
    </w:rPr>
  </w:style>
  <w:style w:type="paragraph" w:customStyle="1" w:styleId="32">
    <w:name w:val="table of figures"/>
    <w:basedOn w:val="1"/>
    <w:next w:val="1"/>
    <w:qFormat/>
    <w:uiPriority w:val="0"/>
    <w:pPr>
      <w:adjustRightInd w:val="0"/>
      <w:snapToGrid w:val="0"/>
      <w:spacing w:before="120" w:after="120"/>
      <w:ind w:left="840" w:hanging="420"/>
      <w:jc w:val="center"/>
      <w:outlineLvl w:val="0"/>
    </w:pPr>
    <w:rPr>
      <w:rFonts w:eastAsia="新宋体"/>
      <w:sz w:val="24"/>
      <w:szCs w:val="24"/>
    </w:rPr>
  </w:style>
  <w:style w:type="paragraph" w:customStyle="1" w:styleId="33">
    <w:name w:val="HTML Addres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
    <w:name w:val="基准页眉样式"/>
    <w:basedOn w:val="1"/>
    <w:qFormat/>
    <w:uiPriority w:val="0"/>
    <w:pPr>
      <w:keepLines/>
      <w:widowControl/>
      <w:tabs>
        <w:tab w:val="center" w:pos="-18551"/>
        <w:tab w:val="right" w:pos="4320"/>
      </w:tabs>
      <w:jc w:val="left"/>
    </w:pPr>
    <w:rPr>
      <w:rFonts w:ascii="Arial" w:hAnsi="Arial"/>
      <w:spacing w:val="-4"/>
      <w:kern w:val="0"/>
      <w:sz w:val="20"/>
      <w:szCs w:val="20"/>
    </w:rPr>
  </w:style>
  <w:style w:type="paragraph" w:customStyle="1" w:styleId="35">
    <w:name w:val="xl30"/>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36">
    <w:name w:val="修订"/>
    <w:qFormat/>
    <w:uiPriority w:val="0"/>
    <w:rPr>
      <w:rFonts w:ascii="Times New Roman" w:hAnsi="Times New Roman" w:eastAsia="宋体" w:cs="Times New Roman"/>
      <w:kern w:val="2"/>
      <w:sz w:val="21"/>
      <w:lang w:val="en-US" w:eastAsia="zh-CN" w:bidi="ar-SA"/>
    </w:rPr>
  </w:style>
  <w:style w:type="paragraph" w:customStyle="1" w:styleId="37">
    <w:name w:val="样式1"/>
    <w:basedOn w:val="3"/>
    <w:qFormat/>
    <w:uiPriority w:val="0"/>
    <w:rPr>
      <w:rFonts w:eastAsia="仿宋_GB2312"/>
    </w:rPr>
  </w:style>
  <w:style w:type="paragraph" w:customStyle="1" w:styleId="38">
    <w:name w:val=" Char Char Char Char Char Char Char"/>
    <w:basedOn w:val="1"/>
    <w:qFormat/>
    <w:uiPriority w:val="0"/>
    <w:rPr>
      <w:rFonts w:ascii="Tahoma" w:hAnsi="Tahoma"/>
      <w:sz w:val="24"/>
    </w:rPr>
  </w:style>
  <w:style w:type="paragraph" w:customStyle="1" w:styleId="39">
    <w:name w:val="xl22"/>
    <w:basedOn w:val="1"/>
    <w:qFormat/>
    <w:uiPriority w:val="0"/>
    <w:pPr>
      <w:widowControl/>
      <w:spacing w:before="100" w:beforeAutospacing="1" w:after="100" w:afterAutospacing="1"/>
      <w:jc w:val="center"/>
    </w:pPr>
    <w:rPr>
      <w:rFonts w:ascii="宋体" w:hAnsi="宋体"/>
      <w:kern w:val="0"/>
      <w:sz w:val="24"/>
    </w:rPr>
  </w:style>
  <w:style w:type="paragraph" w:customStyle="1" w:styleId="40">
    <w:name w:val=" Char"/>
    <w:basedOn w:val="1"/>
    <w:qFormat/>
    <w:uiPriority w:val="0"/>
    <w:rPr>
      <w:rFonts w:ascii="Tahoma" w:hAnsi="Tahoma"/>
      <w:sz w:val="24"/>
    </w:rPr>
  </w:style>
  <w:style w:type="paragraph" w:customStyle="1" w:styleId="41">
    <w:name w:val="样式7"/>
    <w:basedOn w:val="1"/>
    <w:qFormat/>
    <w:uiPriority w:val="0"/>
    <w:pPr>
      <w:spacing w:line="360" w:lineRule="auto"/>
      <w:ind w:firstLine="567"/>
    </w:pPr>
    <w:rPr>
      <w:rFonts w:ascii="仿宋_GB2312" w:eastAsia="仿宋_GB2312"/>
      <w:sz w:val="28"/>
    </w:rPr>
  </w:style>
  <w:style w:type="paragraph" w:customStyle="1" w:styleId="42">
    <w:name w:val="纯文本1"/>
    <w:basedOn w:val="1"/>
    <w:qFormat/>
    <w:uiPriority w:val="0"/>
    <w:pPr>
      <w:adjustRightInd w:val="0"/>
      <w:textAlignment w:val="baseline"/>
    </w:pPr>
    <w:rPr>
      <w:rFonts w:ascii="宋体"/>
      <w:kern w:val="0"/>
    </w:rPr>
  </w:style>
  <w:style w:type="character" w:customStyle="1" w:styleId="43">
    <w:name w:val="page number"/>
    <w:basedOn w:val="19"/>
    <w:qFormat/>
    <w:uiPriority w:val="0"/>
    <w:rPr>
      <w:rFonts w:ascii="Arial" w:hAnsi="Arial"/>
      <w:b/>
      <w:sz w:val="18"/>
    </w:rPr>
  </w:style>
  <w:style w:type="character" w:customStyle="1" w:styleId="44">
    <w:name w:val="annotation reference"/>
    <w:qFormat/>
    <w:uiPriority w:val="0"/>
    <w:rPr>
      <w:sz w:val="21"/>
      <w:szCs w:val="21"/>
    </w:rPr>
  </w:style>
  <w:style w:type="character" w:customStyle="1" w:styleId="45">
    <w:name w:val="apple-style-span"/>
    <w:basedOn w:val="19"/>
    <w:qFormat/>
    <w:uiPriority w:val="0"/>
  </w:style>
  <w:style w:type="character" w:customStyle="1" w:styleId="46">
    <w:name w:val="zbt11"/>
    <w:qFormat/>
    <w:uiPriority w:val="0"/>
    <w:rPr>
      <w:rFonts w:hint="eastAsia" w:ascii="宋体" w:hAnsi="宋体" w:eastAsia="宋体"/>
      <w:color w:val="000000"/>
      <w:spacing w:val="336"/>
      <w:sz w:val="21"/>
      <w:szCs w:val="21"/>
      <w:u w:val="none"/>
    </w:rPr>
  </w:style>
  <w:style w:type="character" w:customStyle="1" w:styleId="47">
    <w:name w:val="标题 3 Char Char"/>
    <w:qFormat/>
    <w:uiPriority w:val="0"/>
    <w:rPr>
      <w:rFonts w:eastAsia="宋体"/>
      <w:b/>
      <w:bCs/>
      <w:kern w:val="2"/>
      <w:sz w:val="32"/>
      <w:szCs w:val="32"/>
      <w:lang w:val="en-US" w:eastAsia="zh-CN" w:bidi="ar-SA"/>
    </w:rPr>
  </w:style>
  <w:style w:type="character" w:customStyle="1" w:styleId="48">
    <w:name w:val="日期 字符"/>
    <w:link w:val="29"/>
    <w:semiHidden/>
    <w:qFormat/>
    <w:uiPriority w:val="0"/>
    <w:rPr>
      <w:kern w:val="2"/>
      <w:sz w:val="21"/>
    </w:rPr>
  </w:style>
  <w:style w:type="character" w:customStyle="1" w:styleId="49">
    <w:name w:val="纯文本 字符"/>
    <w:link w:val="28"/>
    <w:semiHidden/>
    <w:qFormat/>
    <w:uiPriority w:val="0"/>
    <w:rPr>
      <w:rFonts w:ascii="宋体" w:hAnsi="Courier New" w:eastAsia="宋体"/>
      <w:kern w:val="2"/>
      <w:sz w:val="21"/>
      <w:lang w:val="en-US" w:eastAsia="zh-CN" w:bidi="ar-SA"/>
    </w:rPr>
  </w:style>
  <w:style w:type="character" w:customStyle="1" w:styleId="50">
    <w:name w:val="apple-converted-space"/>
    <w:basedOn w:val="19"/>
    <w:qFormat/>
    <w:uiPriority w:val="0"/>
  </w:style>
  <w:style w:type="character" w:customStyle="1" w:styleId="51">
    <w:name w:val="页眉 字符"/>
    <w:link w:val="12"/>
    <w:semiHidden/>
    <w:qFormat/>
    <w:uiPriority w:val="0"/>
    <w:rPr>
      <w:kern w:val="2"/>
      <w:sz w:val="18"/>
    </w:rPr>
  </w:style>
  <w:style w:type="character" w:customStyle="1" w:styleId="52">
    <w:name w:val="正文文本缩进 字符"/>
    <w:link w:val="27"/>
    <w:semiHidden/>
    <w:qFormat/>
    <w:uiPriority w:val="0"/>
    <w:rPr>
      <w:rFonts w:ascii="宋体"/>
      <w:kern w:val="2"/>
      <w:sz w:val="28"/>
    </w:rPr>
  </w:style>
  <w:style w:type="character" w:customStyle="1" w:styleId="53">
    <w:name w:val="正文文本缩进 3 字符"/>
    <w:link w:val="31"/>
    <w:semiHidden/>
    <w:qFormat/>
    <w:uiPriority w:val="0"/>
    <w:rPr>
      <w:kern w:val="2"/>
      <w:sz w:val="16"/>
      <w:szCs w:val="16"/>
    </w:rPr>
  </w:style>
  <w:style w:type="character" w:customStyle="1" w:styleId="54">
    <w:name w:val="标题 3 Char"/>
    <w:qFormat/>
    <w:uiPriority w:val="0"/>
    <w:rPr>
      <w:rFonts w:eastAsia="宋体"/>
      <w:b/>
      <w:bCs/>
      <w:kern w:val="2"/>
      <w:sz w:val="32"/>
      <w:szCs w:val="32"/>
      <w:lang w:val="en-US" w:eastAsia="zh-CN" w:bidi="ar-SA"/>
    </w:rPr>
  </w:style>
  <w:style w:type="character" w:customStyle="1" w:styleId="55">
    <w:name w:val="font01"/>
    <w:basedOn w:val="19"/>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robbiegroup</Company>
  <Pages>36</Pages>
  <Words>15197</Words>
  <Characters>16986</Characters>
  <Lines>150</Lines>
  <Paragraphs>42</Paragraphs>
  <TotalTime>7</TotalTime>
  <ScaleCrop>false</ScaleCrop>
  <LinksUpToDate>false</LinksUpToDate>
  <CharactersWithSpaces>17464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2017-08-11T10:59:00Z</dcterms:created>
  <dc:creator>荆燕</dc:creator>
  <cp:lastModifiedBy>Lenovo</cp:lastModifiedBy>
  <cp:lastPrinted>2022-05-06T07:40:00Z</cp:lastPrinted>
  <dcterms:modified xsi:type="dcterms:W3CDTF">2022-05-23T00:43:48Z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AE1E588A536C4B50B927F583628513F0</vt:lpwstr>
  </property>
</Properties>
</file>