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276"/>
        </w:tabs>
        <w:rPr>
          <w:rFonts w:ascii="宋体" w:hAnsi="宋体"/>
        </w:rPr>
      </w:pPr>
      <w:bookmarkStart w:id="0" w:name="_Toc100475017"/>
      <w:bookmarkStart w:id="1" w:name="_Toc291861676"/>
      <w:r>
        <w:rPr>
          <w:rFonts w:ascii="宋体" w:hAnsi="宋体"/>
        </w:rPr>
        <w:pict>
          <v:shape id="文本框 22" o:spid="_x0000_s1026" o:spt="202" type="#_x0000_t202" style="position:absolute;left:0pt;margin-left:95.15pt;margin-top:3.2pt;height:42.7pt;width:461.85pt;z-index:25166950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">
            <v:path/>
            <v:fill on="f" focussize="0,0"/>
            <v:stroke on="f" joinstyle="miter"/>
            <v:imagedata o:title=""/>
            <o:lock v:ext="edit"/>
            <v:textbox>
              <w:txbxContent>
                <w:p>
                  <w:pPr>
                    <w:pStyle w:val="18"/>
                    <w:spacing w:before="0" w:beforeAutospacing="0" w:after="0" w:afterAutospacing="0"/>
                    <w:jc w:val="center"/>
                    <w:rPr>
                      <w:rFonts w:cs="经典综艺体简"/>
                      <w:b/>
                      <w:sz w:val="44"/>
                      <w:szCs w:val="44"/>
                    </w:rPr>
                  </w:pPr>
                  <w:r>
                    <w:rPr>
                      <w:rFonts w:hint="eastAsia" w:ascii="华文行楷" w:eastAsia="华文行楷" w:cs="经典综艺体简"/>
                      <w:b/>
                      <w:outline/>
                      <w:color w:val="000000"/>
                      <w:sz w:val="44"/>
                      <w:szCs w:val="44"/>
                    </w:rPr>
                    <w:t>云南雨涵房地产评估有限责任公司</w:t>
                  </w:r>
                </w:p>
              </w:txbxContent>
            </v:textbox>
          </v:shape>
        </w:pict>
      </w:r>
      <w:r>
        <w:rPr>
          <w:rFonts w:ascii="宋体" w:hAnsi="宋体"/>
        </w:rPr>
        <w:drawing>
          <wp:anchor distT="0" distB="0" distL="114300" distR="114300" simplePos="0" relativeHeight="251662336" behindDoc="0" locked="0" layoutInCell="1" allowOverlap="1">
            <wp:simplePos x="0" y="0"/>
            <wp:positionH relativeFrom="column">
              <wp:posOffset>318770</wp:posOffset>
            </wp:positionH>
            <wp:positionV relativeFrom="paragraph">
              <wp:posOffset>59690</wp:posOffset>
            </wp:positionV>
            <wp:extent cx="935990" cy="518795"/>
            <wp:effectExtent l="1905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srcRect/>
                    <a:stretch>
                      <a:fillRect/>
                    </a:stretch>
                  </pic:blipFill>
                  <pic:spPr>
                    <a:xfrm>
                      <a:off x="0" y="0"/>
                      <a:ext cx="935990" cy="518795"/>
                    </a:xfrm>
                    <a:prstGeom prst="rect">
                      <a:avLst/>
                    </a:prstGeom>
                    <a:noFill/>
                    <a:ln w="9525">
                      <a:noFill/>
                      <a:miter lim="800000"/>
                      <a:headEnd/>
                      <a:tailEnd/>
                    </a:ln>
                  </pic:spPr>
                </pic:pic>
              </a:graphicData>
            </a:graphic>
          </wp:anchor>
        </w:drawing>
      </w:r>
    </w:p>
    <w:p>
      <w:pPr>
        <w:rPr>
          <w:rFonts w:ascii="宋体" w:hAnsi="宋体"/>
        </w:rPr>
      </w:pPr>
    </w:p>
    <w:p>
      <w:pPr>
        <w:rPr>
          <w:rFonts w:ascii="宋体" w:hAnsi="宋体"/>
        </w:rPr>
      </w:pPr>
    </w:p>
    <w:p>
      <w:pPr>
        <w:rPr>
          <w:rFonts w:ascii="宋体" w:hAnsi="宋体"/>
        </w:rPr>
      </w:pPr>
      <w:r>
        <w:rPr>
          <w:rFonts w:ascii="宋体" w:hAnsi="宋体"/>
        </w:rPr>
        <w:pict>
          <v:shape id="_x0000_i1025" o:spt="75" type="#_x0000_t75" style="height:15.25pt;width:489.05pt;" fillcolor="#808080" filled="t" o:preferrelative="t" stroked="f" coordsize="21600,21600" o:hr="t" o:hrpct="0" o:hralign="center">
            <v:path/>
            <v:fill on="t" focussize="0,0"/>
            <v:stroke on="f" joinstyle="miter"/>
            <v:imagedata r:id="rId9" o:title="BD21328_"/>
            <o:lock v:ext="edit" aspectratio="t"/>
            <w10:wrap type="none"/>
            <w10:anchorlock/>
          </v:shape>
        </w:pict>
      </w:r>
    </w:p>
    <w:p>
      <w:pPr>
        <w:rPr>
          <w:rFonts w:ascii="宋体" w:hAnsi="宋体"/>
        </w:rPr>
      </w:pPr>
      <w:r>
        <w:rPr>
          <w:rFonts w:ascii="宋体" w:hAnsi="宋体"/>
          <w:sz w:val="20"/>
        </w:rPr>
        <w:pict>
          <v:shape id="WordArt 233" o:spid="_x0000_s1027" o:spt="202" type="#_x0000_t202" style="position:absolute;left:0pt;margin-left:40.7pt;margin-top:8.4pt;height:85.25pt;width:505.85pt;z-index:25166131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">
            <v:path/>
            <v:fill on="f" focussize="0,0"/>
            <v:stroke on="f" joinstyle="round"/>
            <v:imagedata o:title=""/>
            <o:lock v:ext="edit"/>
            <v:textbox>
              <w:txbxContent>
                <w:p>
                  <w:pPr>
                    <w:pStyle w:val="18"/>
                    <w:spacing w:before="0" w:beforeAutospacing="0" w:after="0" w:afterAutospacing="0"/>
                    <w:jc w:val="center"/>
                    <w:rPr>
                      <w:sz w:val="84"/>
                      <w:szCs w:val="84"/>
                    </w:rPr>
                  </w:pPr>
                  <w:r>
                    <w:rPr>
                      <w:rFonts w:hint="eastAsia" w:ascii="华文行楷" w:eastAsia="华文行楷"/>
                      <w:shadow/>
                      <w:color w:val="0000FF"/>
                      <w:sz w:val="72"/>
                      <w:szCs w:val="72"/>
                    </w:rPr>
                    <w:t>涉执房地产处置司法评估报告</w:t>
                  </w:r>
                </w:p>
              </w:txbxContent>
            </v:textbox>
          </v:shape>
        </w:pict>
      </w:r>
    </w:p>
    <w:p>
      <w:pPr>
        <w:tabs>
          <w:tab w:val="left" w:pos="7055"/>
        </w:tabs>
        <w:ind w:firstLine="210" w:firstLineChars="100"/>
        <w:rPr>
          <w:rFonts w:ascii="宋体" w:hAnsi="宋体"/>
        </w:rPr>
      </w:pPr>
      <w:r>
        <w:rPr>
          <w:rFonts w:ascii="宋体" w:hAnsi="宋体"/>
        </w:rPr>
        <w:tab/>
      </w:r>
    </w:p>
    <w:p>
      <w:pPr>
        <w:tabs>
          <w:tab w:val="left" w:pos="7055"/>
        </w:tabs>
        <w:snapToGrid w:val="0"/>
        <w:spacing w:line="360" w:lineRule="auto"/>
        <w:ind w:left="1682" w:leftChars="342" w:hanging="964" w:hangingChars="400"/>
        <w:rPr>
          <w:rFonts w:ascii="宋体" w:hAnsi="宋体"/>
          <w:b/>
          <w:sz w:val="24"/>
        </w:rPr>
      </w:pPr>
      <w:r>
        <w:rPr>
          <w:rFonts w:ascii="宋体" w:hAnsi="宋体"/>
          <w:b/>
          <w:sz w:val="24"/>
        </w:rPr>
        <w:tab/>
      </w:r>
      <w:r>
        <w:rPr>
          <w:rFonts w:ascii="宋体" w:hAnsi="宋体"/>
          <w:b/>
          <w:sz w:val="24"/>
        </w:rPr>
        <w:tab/>
      </w:r>
    </w:p>
    <w:p>
      <w:pPr>
        <w:snapToGrid w:val="0"/>
        <w:spacing w:line="360" w:lineRule="auto"/>
        <w:ind w:left="1682" w:leftChars="342" w:hanging="964" w:hangingChars="400"/>
        <w:rPr>
          <w:rFonts w:ascii="宋体" w:hAnsi="宋体"/>
          <w:b/>
          <w:sz w:val="24"/>
        </w:rPr>
      </w:pPr>
    </w:p>
    <w:p>
      <w:pPr>
        <w:snapToGrid w:val="0"/>
        <w:spacing w:line="360" w:lineRule="auto"/>
        <w:ind w:left="1682" w:leftChars="342" w:hanging="964" w:hangingChars="400"/>
        <w:rPr>
          <w:rFonts w:ascii="宋体" w:hAnsi="宋体"/>
          <w:b/>
          <w:sz w:val="24"/>
        </w:rPr>
      </w:pPr>
    </w:p>
    <w:p>
      <w:pPr>
        <w:snapToGrid w:val="0"/>
        <w:spacing w:line="360" w:lineRule="auto"/>
        <w:ind w:left="1682" w:leftChars="342" w:hanging="964" w:hangingChars="400"/>
        <w:rPr>
          <w:rFonts w:ascii="宋体" w:hAnsi="宋体"/>
          <w:b/>
          <w:sz w:val="24"/>
        </w:rPr>
      </w:pPr>
    </w:p>
    <w:p>
      <w:pPr>
        <w:adjustRightInd w:val="0"/>
        <w:snapToGrid w:val="0"/>
        <w:spacing w:line="500" w:lineRule="exact"/>
        <w:ind w:left="850" w:leftChars="405" w:firstLine="3" w:firstLineChars="1"/>
        <w:jc w:val="left"/>
        <w:rPr>
          <w:rFonts w:ascii="宋体" w:hAnsi="宋体"/>
          <w:b/>
          <w:kern w:val="0"/>
          <w:sz w:val="28"/>
        </w:rPr>
      </w:pPr>
      <w:r>
        <w:rPr>
          <w:rFonts w:hint="eastAsia" w:ascii="宋体" w:hAnsi="宋体"/>
          <w:b/>
          <w:kern w:val="0"/>
          <w:sz w:val="28"/>
        </w:rPr>
        <w:t>估价报告编号：云雨涵[2022]  房评 字第B102号</w:t>
      </w:r>
    </w:p>
    <w:p>
      <w:pPr>
        <w:adjustRightInd w:val="0"/>
        <w:snapToGrid w:val="0"/>
        <w:spacing w:line="500" w:lineRule="exact"/>
        <w:ind w:left="850" w:leftChars="405" w:firstLine="3" w:firstLineChars="1"/>
        <w:jc w:val="left"/>
        <w:rPr>
          <w:rFonts w:ascii="宋体" w:hAnsi="宋体"/>
          <w:b/>
          <w:kern w:val="0"/>
          <w:sz w:val="28"/>
        </w:rPr>
      </w:pPr>
    </w:p>
    <w:p>
      <w:pPr>
        <w:adjustRightInd w:val="0"/>
        <w:snapToGrid w:val="0"/>
        <w:spacing w:line="500" w:lineRule="exact"/>
        <w:ind w:left="850" w:leftChars="405"/>
        <w:jc w:val="left"/>
        <w:rPr>
          <w:rFonts w:ascii="宋体" w:hAnsi="宋体"/>
          <w:b/>
          <w:kern w:val="0"/>
          <w:sz w:val="28"/>
        </w:rPr>
      </w:pPr>
      <w:r>
        <w:rPr>
          <w:rFonts w:hint="eastAsia" w:ascii="宋体" w:hAnsi="宋体"/>
          <w:b/>
          <w:kern w:val="0"/>
          <w:sz w:val="28"/>
        </w:rPr>
        <w:t>估价项目名称</w:t>
      </w:r>
      <w:r>
        <w:rPr>
          <w:rFonts w:ascii="宋体" w:hAnsi="宋体"/>
          <w:b/>
          <w:kern w:val="0"/>
          <w:sz w:val="28"/>
        </w:rPr>
        <w:pict>
          <v:shape id="AutoShape 240" o:spid="_x0000_s1028" o:spt="61" type="#_x0000_t61" style="position:absolute;left:0pt;margin-left:797.35pt;margin-top:46.7pt;height:31.8pt;width:136.5pt;z-index:251667456;mso-width-relative:page;mso-height-relative:page;" fillcolor="#92CDDC"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" adj="-3189,74853">
            <v:path/>
            <v:fill type="gradient" on="t" color2="#DAEEF3" angle="135" focus="50%" focussize="0,0"/>
            <v:stroke weight="1pt" color="#92CDDC" joinstyle="miter"/>
            <v:imagedata o:title=""/>
            <o:lock v:ext="edit"/>
            <v:shadow on="t" color="#205867" opacity="32768f" offset="1pt,2pt"/>
            <v:textbox>
              <w:txbxContent>
                <w:p>
                  <w:pPr>
                    <w:jc w:val="center"/>
                    <w:rPr>
                      <w:color w:val="002060"/>
                      <w:sz w:val="28"/>
                      <w:szCs w:val="28"/>
                    </w:rPr>
                  </w:pPr>
                  <w:r>
                    <w:rPr>
                      <w:rFonts w:hint="eastAsia"/>
                      <w:color w:val="002060"/>
                      <w:sz w:val="28"/>
                      <w:szCs w:val="28"/>
                    </w:rPr>
                    <w:t>估价对象所在地块</w:t>
                  </w:r>
                </w:p>
              </w:txbxContent>
            </v:textbox>
          </v:shape>
        </w:pict>
      </w:r>
      <w:r>
        <w:rPr>
          <w:rFonts w:ascii="宋体" w:hAnsi="宋体"/>
          <w:b/>
          <w:kern w:val="0"/>
          <w:sz w:val="28"/>
        </w:rPr>
        <w:pict>
          <v:shape id="AutoShape 237" o:spid="_x0000_s1280" style="position:absolute;left:0pt;margin-left:843.9pt;margin-top:216.55pt;height:16.5pt;width:14.25pt;z-index:251663360;mso-width-relative:page;mso-height-relative:page;" fillcolor="#FF0000" filled="t" stroked="f" coordsize="1809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" path="m0,80041l69127,80041,90488,0,111848,80041,180975,80041,125050,129508,146412,209549,90488,160081,34563,209549,55925,129508,0,80041xe">
            <v:path o:connecttype="custom" o:connectlocs="0,80041;69127,80041;90488,0;111848,80041;180975,80041;125050,129508;146412,209549;90488,160081;34563,209549;55925,129508;0,80041" o:connectangles="0,0,0,0,0,0,0,0,0,0,0"/>
            <v:fill on="t" focussize="0,0"/>
            <v:stroke on="f" joinstyle="miter"/>
            <v:imagedata o:title=""/>
            <o:lock v:ext="edit"/>
          </v:shape>
        </w:pict>
      </w:r>
      <w:r>
        <w:rPr>
          <w:rFonts w:ascii="宋体" w:hAnsi="宋体"/>
          <w:b/>
          <w:kern w:val="0"/>
          <w:sz w:val="28"/>
        </w:rPr>
        <w:pict>
          <v:shape id="AutoShape 241" o:spid="_x0000_s1279" style="position:absolute;left:0pt;margin-left:843.9pt;margin-top:211.05pt;height:16.5pt;width:14.25pt;z-index:251668480;mso-width-relative:page;mso-height-relative:page;" fillcolor="#FF0000" filled="t" stroked="f" coordsize="1809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" path="m0,80041l69127,80041,90488,0,111848,80041,180975,80041,125050,129508,146412,209549,90488,160081,34563,209549,55925,129508,0,80041xe">
            <v:path o:connecttype="custom" o:connectlocs="0,80041;69127,80041;90488,0;111848,80041;180975,80041;125050,129508;146412,209549;90488,160081;34563,209549;55925,129508;0,80041" o:connectangles="0,0,0,0,0,0,0,0,0,0,0"/>
            <v:fill on="t" focussize="0,0"/>
            <v:stroke on="f" joinstyle="miter"/>
            <v:imagedata o:title=""/>
            <o:lock v:ext="edit"/>
          </v:shape>
        </w:pict>
      </w:r>
      <w:r>
        <w:rPr>
          <w:rFonts w:ascii="宋体" w:hAnsi="宋体"/>
          <w:b/>
          <w:kern w:val="0"/>
          <w:sz w:val="28"/>
        </w:rPr>
        <w:pict>
          <v:shape id="AutoShape 239" o:spid="_x0000_s1278" style="position:absolute;left:0pt;margin-left:829.65pt;margin-top:182.55pt;height:16.5pt;width:14.25pt;z-index:251666432;mso-width-relative:page;mso-height-relative:page;" fillcolor="#FF0000" filled="t" stroked="f" coordsize="1809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" path="m0,80041l69127,80041,90488,0,111848,80041,180975,80041,125050,129508,146412,209549,90488,160081,34563,209549,55925,129508,0,80041xe">
            <v:path o:connecttype="custom" o:connectlocs="0,80041;69127,80041;90488,0;111848,80041;180975,80041;125050,129508;146412,209549;90488,160081;34563,209549;55925,129508;0,80041" o:connectangles="0,0,0,0,0,0,0,0,0,0,0"/>
            <v:fill on="t" focussize="0,0"/>
            <v:stroke on="f" joinstyle="miter"/>
            <v:imagedata o:title=""/>
            <o:lock v:ext="edit"/>
          </v:shape>
        </w:pict>
      </w:r>
      <w:r>
        <w:rPr>
          <w:rFonts w:ascii="宋体" w:hAnsi="宋体"/>
          <w:b/>
          <w:kern w:val="0"/>
          <w:sz w:val="28"/>
        </w:rPr>
        <w:pict>
          <v:shape id="AutoShape 238" o:spid="_x0000_s1029" o:spt="61" type="#_x0000_t61" style="position:absolute;left:0pt;margin-left:797.35pt;margin-top:110.3pt;height:31.8pt;width:136.5pt;z-index:251664384;mso-width-relative:page;mso-height-relative:page;" fillcolor="#92CDDC"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" adj="-3189,74853">
            <v:path/>
            <v:fill type="gradient" on="t" color2="#DAEEF3" angle="135" focus="50%" focussize="0,0"/>
            <v:stroke weight="1pt" color="#92CDDC" joinstyle="miter"/>
            <v:imagedata o:title=""/>
            <o:lock v:ext="edit"/>
            <v:shadow on="t" color="#205867" opacity="32768f" offset="1pt,2pt"/>
            <v:textbox>
              <w:txbxContent>
                <w:p>
                  <w:pPr>
                    <w:jc w:val="center"/>
                    <w:rPr>
                      <w:color w:val="002060"/>
                      <w:sz w:val="28"/>
                      <w:szCs w:val="28"/>
                    </w:rPr>
                  </w:pPr>
                  <w:r>
                    <w:rPr>
                      <w:rFonts w:hint="eastAsia"/>
                      <w:color w:val="002060"/>
                      <w:sz w:val="28"/>
                      <w:szCs w:val="28"/>
                    </w:rPr>
                    <w:t>估价对象所在地块</w:t>
                  </w:r>
                </w:p>
              </w:txbxContent>
            </v:textbox>
          </v:shape>
        </w:pict>
      </w:r>
      <w:r>
        <w:rPr>
          <w:rFonts w:hint="eastAsia" w:ascii="宋体" w:hAnsi="宋体"/>
          <w:b/>
          <w:kern w:val="0"/>
          <w:sz w:val="28"/>
        </w:rPr>
        <w:drawing>
          <wp:anchor distT="0" distB="0" distL="114300" distR="114300" simplePos="0" relativeHeight="251665408" behindDoc="0" locked="0" layoutInCell="1" allowOverlap="1">
            <wp:simplePos x="0" y="0"/>
            <wp:positionH relativeFrom="column">
              <wp:posOffset>10302240</wp:posOffset>
            </wp:positionH>
            <wp:positionV relativeFrom="paragraph">
              <wp:posOffset>426085</wp:posOffset>
            </wp:positionV>
            <wp:extent cx="1019175" cy="1056640"/>
            <wp:effectExtent l="152400" t="133350" r="142875" b="124460"/>
            <wp:wrapNone/>
            <wp:docPr id="2" name="图片 1" descr="\\192.168.0.2\software (d)\2009\2009报告\经济开发区管委会-良方制药厂（优化）\估价对象趣味图\1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92.168.0.2\software (d)\2009\2009报告\经济开发区管委会-良方制药厂（优化）\估价对象趣味图\111.bmp"/>
                    <pic:cNvPicPr>
                      <a:picLocks noChangeAspect="1" noChangeArrowheads="1"/>
                    </pic:cNvPicPr>
                  </pic:nvPicPr>
                  <pic:blipFill>
                    <a:blip r:embed="rId10" cstate="print"/>
                    <a:srcRect/>
                    <a:stretch>
                      <a:fillRect/>
                    </a:stretch>
                  </pic:blipFill>
                  <pic:spPr>
                    <a:xfrm rot="1088016">
                      <a:off x="0" y="0"/>
                      <a:ext cx="1019175" cy="1056640"/>
                    </a:xfrm>
                    <a:prstGeom prst="rect">
                      <a:avLst/>
                    </a:prstGeom>
                    <a:noFill/>
                    <a:ln w="9525">
                      <a:noFill/>
                      <a:miter lim="800000"/>
                      <a:headEnd/>
                      <a:tailEnd/>
                    </a:ln>
                  </pic:spPr>
                </pic:pic>
              </a:graphicData>
            </a:graphic>
          </wp:anchor>
        </w:drawing>
      </w:r>
      <w:r>
        <w:rPr>
          <w:rFonts w:hint="eastAsia" w:ascii="宋体" w:hAnsi="宋体"/>
          <w:b/>
          <w:kern w:val="0"/>
          <w:sz w:val="28"/>
        </w:rPr>
        <w:t>：寻甸县仁德镇学府社区华联超市东面一幢住宅房地产市场价值评估</w:t>
      </w:r>
    </w:p>
    <w:p>
      <w:pPr>
        <w:adjustRightInd w:val="0"/>
        <w:snapToGrid w:val="0"/>
        <w:spacing w:line="500" w:lineRule="exact"/>
        <w:ind w:left="850" w:leftChars="405" w:firstLine="3" w:firstLineChars="1"/>
        <w:jc w:val="left"/>
        <w:rPr>
          <w:rFonts w:ascii="宋体" w:hAnsi="宋体"/>
          <w:b/>
          <w:bCs/>
          <w:kern w:val="0"/>
          <w:sz w:val="28"/>
        </w:rPr>
      </w:pPr>
    </w:p>
    <w:p>
      <w:pPr>
        <w:adjustRightInd w:val="0"/>
        <w:snapToGrid w:val="0"/>
        <w:spacing w:line="500" w:lineRule="exact"/>
        <w:ind w:left="850" w:leftChars="405" w:firstLine="3" w:firstLineChars="1"/>
        <w:jc w:val="left"/>
        <w:rPr>
          <w:rFonts w:ascii="宋体" w:hAnsi="宋体"/>
          <w:b/>
          <w:kern w:val="0"/>
          <w:sz w:val="28"/>
        </w:rPr>
      </w:pPr>
      <w:r>
        <w:rPr>
          <w:rFonts w:ascii="宋体" w:hAnsi="宋体"/>
          <w:b/>
          <w:kern w:val="0"/>
          <w:sz w:val="28"/>
        </w:rPr>
        <w:pict>
          <v:shape id="文本框 26" o:spid="_x0000_s1030" o:spt="202" type="#_x0000_t202" style="position:absolute;left:0pt;margin-left:278.8pt;margin-top:682.9pt;height:46.8pt;width:45pt;z-index:25167257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">
            <v:path/>
            <v:fill on="f" focussize="0,0"/>
            <v:stroke on="f" color="#0000FF" joinstyle="round"/>
            <v:imagedata o:title=""/>
            <o:lock v:ext="edit"/>
            <v:textbox style="mso-fit-shape-to-text:t;">
              <w:txbxContent>
                <w:p>
                  <w:pPr>
                    <w:pStyle w:val="18"/>
                    <w:spacing w:before="0" w:beforeAutospacing="0" w:after="0" w:afterAutospacing="0"/>
                    <w:jc w:val="center"/>
                  </w:pPr>
                  <w:r>
                    <w:rPr>
                      <w:rFonts w:hint="eastAsia" w:ascii="华文行楷" w:eastAsia="华文行楷"/>
                      <w:color w:val="FF0000"/>
                      <w:sz w:val="80"/>
                      <w:szCs w:val="80"/>
                    </w:rPr>
                    <w:t>评雨</w:t>
                  </w:r>
                </w:p>
                <w:p>
                  <w:pPr>
                    <w:pStyle w:val="18"/>
                    <w:spacing w:before="0" w:beforeAutospacing="0" w:after="0" w:afterAutospacing="0"/>
                    <w:jc w:val="center"/>
                  </w:pPr>
                  <w:r>
                    <w:rPr>
                      <w:rFonts w:hint="eastAsia" w:ascii="华文行楷" w:eastAsia="华文行楷"/>
                      <w:color w:val="FF0000"/>
                      <w:sz w:val="80"/>
                      <w:szCs w:val="80"/>
                    </w:rPr>
                    <w:t>估涵</w:t>
                  </w:r>
                </w:p>
              </w:txbxContent>
            </v:textbox>
          </v:shape>
        </w:pict>
      </w:r>
      <w:r>
        <w:rPr>
          <w:rFonts w:hint="eastAsia" w:ascii="宋体" w:hAnsi="宋体"/>
          <w:b/>
          <w:kern w:val="0"/>
          <w:sz w:val="28"/>
        </w:rPr>
        <w:t xml:space="preserve"> 估价委托方：寻甸回族彝族自治县人民法院</w:t>
      </w:r>
    </w:p>
    <w:p>
      <w:pPr>
        <w:adjustRightInd w:val="0"/>
        <w:snapToGrid w:val="0"/>
        <w:spacing w:line="500" w:lineRule="exact"/>
        <w:ind w:left="850" w:leftChars="405" w:firstLine="3" w:firstLineChars="1"/>
        <w:jc w:val="left"/>
        <w:rPr>
          <w:rFonts w:ascii="宋体" w:hAnsi="宋体"/>
          <w:b/>
          <w:kern w:val="0"/>
          <w:sz w:val="28"/>
        </w:rPr>
      </w:pPr>
    </w:p>
    <w:p>
      <w:pPr>
        <w:adjustRightInd w:val="0"/>
        <w:snapToGrid w:val="0"/>
        <w:spacing w:line="500" w:lineRule="exact"/>
        <w:ind w:left="850" w:leftChars="405" w:firstLine="3" w:firstLineChars="1"/>
        <w:jc w:val="left"/>
        <w:rPr>
          <w:rFonts w:ascii="宋体" w:hAnsi="宋体"/>
          <w:b/>
          <w:kern w:val="0"/>
          <w:sz w:val="28"/>
        </w:rPr>
      </w:pPr>
      <w:r>
        <w:rPr>
          <w:rFonts w:hint="eastAsia" w:ascii="宋体" w:hAnsi="宋体"/>
          <w:b/>
          <w:kern w:val="0"/>
          <w:sz w:val="28"/>
        </w:rPr>
        <w:t xml:space="preserve"> 估价机构： 云南雨涵房地产评估有限责任公司</w:t>
      </w:r>
    </w:p>
    <w:p>
      <w:pPr>
        <w:adjustRightInd w:val="0"/>
        <w:snapToGrid w:val="0"/>
        <w:spacing w:line="500" w:lineRule="exact"/>
        <w:ind w:left="850" w:leftChars="405" w:firstLine="3" w:firstLineChars="1"/>
        <w:jc w:val="left"/>
        <w:rPr>
          <w:rFonts w:ascii="宋体" w:hAnsi="宋体"/>
          <w:b/>
          <w:kern w:val="0"/>
          <w:sz w:val="28"/>
        </w:rPr>
      </w:pPr>
    </w:p>
    <w:p>
      <w:pPr>
        <w:adjustRightInd w:val="0"/>
        <w:snapToGrid w:val="0"/>
        <w:spacing w:line="500" w:lineRule="exact"/>
        <w:ind w:left="850" w:leftChars="405" w:firstLine="3" w:firstLineChars="1"/>
        <w:jc w:val="left"/>
        <w:rPr>
          <w:rFonts w:ascii="宋体" w:hAnsi="宋体"/>
          <w:b/>
          <w:kern w:val="0"/>
          <w:sz w:val="28"/>
        </w:rPr>
      </w:pPr>
      <w:r>
        <w:rPr>
          <w:rFonts w:hint="eastAsia" w:ascii="宋体" w:hAnsi="宋体"/>
          <w:b/>
          <w:kern w:val="0"/>
          <w:sz w:val="28"/>
        </w:rPr>
        <w:t xml:space="preserve"> 注册房地产估价师： 马海波   注册号：</w:t>
      </w:r>
      <w:r>
        <w:rPr>
          <w:rFonts w:ascii="宋体" w:hAnsi="宋体"/>
          <w:b/>
          <w:kern w:val="0"/>
          <w:sz w:val="28"/>
        </w:rPr>
        <w:t>5320120022</w:t>
      </w:r>
    </w:p>
    <w:p>
      <w:pPr>
        <w:adjustRightInd w:val="0"/>
        <w:snapToGrid w:val="0"/>
        <w:spacing w:line="500" w:lineRule="exact"/>
        <w:ind w:firstLine="3486" w:firstLineChars="1240"/>
        <w:jc w:val="left"/>
        <w:rPr>
          <w:rFonts w:ascii="宋体" w:hAnsi="宋体"/>
          <w:b/>
          <w:kern w:val="0"/>
          <w:sz w:val="28"/>
        </w:rPr>
      </w:pPr>
      <w:r>
        <w:rPr>
          <w:rFonts w:hint="eastAsia" w:ascii="宋体" w:hAnsi="宋体"/>
          <w:b/>
          <w:kern w:val="0"/>
          <w:sz w:val="28"/>
        </w:rPr>
        <w:t>罗开心   注册号：</w:t>
      </w:r>
      <w:r>
        <w:rPr>
          <w:rFonts w:ascii="宋体" w:hAnsi="宋体"/>
          <w:b/>
          <w:kern w:val="0"/>
          <w:sz w:val="28"/>
        </w:rPr>
        <w:t>53201</w:t>
      </w:r>
      <w:r>
        <w:rPr>
          <w:rFonts w:hint="eastAsia" w:ascii="宋体" w:hAnsi="宋体"/>
          <w:b/>
          <w:kern w:val="0"/>
          <w:sz w:val="28"/>
        </w:rPr>
        <w:t>7</w:t>
      </w:r>
      <w:r>
        <w:rPr>
          <w:rFonts w:ascii="宋体" w:hAnsi="宋体"/>
          <w:b/>
          <w:kern w:val="0"/>
          <w:sz w:val="28"/>
        </w:rPr>
        <w:t>002</w:t>
      </w:r>
      <w:r>
        <w:rPr>
          <w:rFonts w:hint="eastAsia" w:ascii="宋体" w:hAnsi="宋体"/>
          <w:b/>
          <w:kern w:val="0"/>
          <w:sz w:val="28"/>
        </w:rPr>
        <w:t>4</w:t>
      </w:r>
    </w:p>
    <w:p>
      <w:pPr>
        <w:adjustRightInd w:val="0"/>
        <w:snapToGrid w:val="0"/>
        <w:spacing w:line="500" w:lineRule="exact"/>
        <w:ind w:firstLine="3486" w:firstLineChars="1240"/>
        <w:jc w:val="left"/>
        <w:rPr>
          <w:rFonts w:ascii="宋体" w:hAnsi="宋体"/>
          <w:b/>
          <w:kern w:val="0"/>
          <w:sz w:val="28"/>
        </w:rPr>
      </w:pPr>
    </w:p>
    <w:p>
      <w:pPr>
        <w:adjustRightInd w:val="0"/>
        <w:snapToGrid w:val="0"/>
        <w:spacing w:line="500" w:lineRule="exact"/>
        <w:ind w:left="850" w:leftChars="405" w:firstLine="3" w:firstLineChars="1"/>
        <w:jc w:val="left"/>
        <w:rPr>
          <w:rFonts w:ascii="宋体" w:hAnsi="宋体"/>
          <w:b/>
          <w:kern w:val="0"/>
          <w:sz w:val="28"/>
        </w:rPr>
      </w:pPr>
      <w:r>
        <w:rPr>
          <w:rFonts w:ascii="宋体" w:hAnsi="宋体"/>
          <w:b/>
          <w:kern w:val="0"/>
          <w:sz w:val="28"/>
        </w:rPr>
        <w:pict>
          <v:shape id="文本框 25" o:spid="_x0000_s1031" o:spt="202" type="#_x0000_t202" style="position:absolute;left:0pt;margin-left:278.8pt;margin-top:682.9pt;height:46.8pt;width:45pt;z-index:25167155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">
            <v:path/>
            <v:fill on="f" focussize="0,0"/>
            <v:stroke on="f" color="#0000FF" joinstyle="round"/>
            <v:imagedata o:title=""/>
            <o:lock v:ext="edit"/>
            <v:textbox style="mso-fit-shape-to-text:t;">
              <w:txbxContent>
                <w:p>
                  <w:pPr>
                    <w:pStyle w:val="18"/>
                    <w:spacing w:before="0" w:beforeAutospacing="0" w:after="0" w:afterAutospacing="0"/>
                    <w:jc w:val="center"/>
                  </w:pPr>
                  <w:r>
                    <w:rPr>
                      <w:rFonts w:hint="eastAsia" w:ascii="华文行楷" w:eastAsia="华文行楷"/>
                      <w:color w:val="FF0000"/>
                      <w:sz w:val="80"/>
                      <w:szCs w:val="80"/>
                    </w:rPr>
                    <w:t>评雨</w:t>
                  </w:r>
                </w:p>
                <w:p>
                  <w:pPr>
                    <w:pStyle w:val="18"/>
                    <w:spacing w:before="0" w:beforeAutospacing="0" w:after="0" w:afterAutospacing="0"/>
                    <w:jc w:val="center"/>
                  </w:pPr>
                  <w:r>
                    <w:rPr>
                      <w:rFonts w:hint="eastAsia" w:ascii="华文行楷" w:eastAsia="华文行楷"/>
                      <w:color w:val="FF0000"/>
                      <w:sz w:val="80"/>
                      <w:szCs w:val="80"/>
                    </w:rPr>
                    <w:t>估涵</w:t>
                  </w:r>
                </w:p>
              </w:txbxContent>
            </v:textbox>
          </v:shape>
        </w:pict>
      </w:r>
      <w:r>
        <w:rPr>
          <w:rFonts w:hint="eastAsia" w:ascii="宋体" w:hAnsi="宋体"/>
          <w:b/>
          <w:kern w:val="0"/>
          <w:sz w:val="28"/>
        </w:rPr>
        <w:t xml:space="preserve"> 估价报告出具日期：  2022年06月17日</w:t>
      </w:r>
    </w:p>
    <w:p>
      <w:pPr>
        <w:rPr>
          <w:rFonts w:ascii="宋体" w:hAnsi="宋体"/>
          <w:sz w:val="10"/>
          <w:szCs w:val="10"/>
        </w:rPr>
      </w:pPr>
    </w:p>
    <w:p>
      <w:pPr>
        <w:rPr>
          <w:rFonts w:ascii="宋体" w:hAnsi="宋体"/>
          <w:sz w:val="10"/>
          <w:szCs w:val="10"/>
        </w:rPr>
      </w:pPr>
    </w:p>
    <w:p>
      <w:pPr>
        <w:rPr>
          <w:rFonts w:ascii="宋体" w:hAnsi="宋体"/>
          <w:sz w:val="10"/>
          <w:szCs w:val="10"/>
        </w:rPr>
      </w:pPr>
      <w:r>
        <w:rPr>
          <w:rFonts w:ascii="宋体" w:hAnsi="宋体"/>
          <w:sz w:val="10"/>
          <w:szCs w:val="10"/>
        </w:rPr>
        <w:drawing>
          <wp:anchor distT="0" distB="0" distL="114300" distR="114300" simplePos="0" relativeHeight="251675648" behindDoc="1" locked="0" layoutInCell="1" allowOverlap="1">
            <wp:simplePos x="0" y="0"/>
            <wp:positionH relativeFrom="column">
              <wp:posOffset>3079115</wp:posOffset>
            </wp:positionH>
            <wp:positionV relativeFrom="paragraph">
              <wp:posOffset>117475</wp:posOffset>
            </wp:positionV>
            <wp:extent cx="1089660" cy="1033145"/>
            <wp:effectExtent l="0" t="0" r="0" b="0"/>
            <wp:wrapTight wrapText="bothSides">
              <wp:wrapPolygon>
                <wp:start x="0" y="0"/>
                <wp:lineTo x="0" y="21109"/>
                <wp:lineTo x="21147" y="21109"/>
                <wp:lineTo x="21147" y="0"/>
                <wp:lineTo x="0" y="0"/>
              </wp:wrapPolygon>
            </wp:wrapTight>
            <wp:docPr id="31" name="图片 31" descr="C:\Users\ADMINI~1\AppData\Local\Temp\15649920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C:\Users\ADMINI~1\AppData\Local\Temp\1564992019(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089660" cy="1033145"/>
                    </a:xfrm>
                    <a:prstGeom prst="rect">
                      <a:avLst/>
                    </a:prstGeom>
                    <a:noFill/>
                    <a:ln>
                      <a:noFill/>
                    </a:ln>
                  </pic:spPr>
                </pic:pic>
              </a:graphicData>
            </a:graphic>
          </wp:anchor>
        </w:drawing>
      </w:r>
      <w:r>
        <w:rPr>
          <w:rFonts w:ascii="宋体" w:hAnsi="宋体"/>
          <w:b/>
          <w:kern w:val="0"/>
          <w:sz w:val="28"/>
        </w:rPr>
        <w:pict>
          <v:shape id="文本框 28" o:spid="_x0000_s1032" o:spt="202" type="#_x0000_t202" style="position:absolute;left:0pt;margin-left:278.8pt;margin-top:682.9pt;height:46.8pt;width:45pt;z-index:25167462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">
            <v:path/>
            <v:fill on="f" focussize="0,0"/>
            <v:stroke on="f" color="#0000FF" joinstyle="round"/>
            <v:imagedata o:title=""/>
            <o:lock v:ext="edit"/>
            <v:textbox style="mso-fit-shape-to-text:t;">
              <w:txbxContent>
                <w:p>
                  <w:pPr>
                    <w:pStyle w:val="18"/>
                    <w:spacing w:before="0" w:beforeAutospacing="0" w:after="0" w:afterAutospacing="0"/>
                    <w:jc w:val="center"/>
                  </w:pPr>
                  <w:r>
                    <w:rPr>
                      <w:rFonts w:hint="eastAsia" w:ascii="华文行楷" w:eastAsia="华文行楷"/>
                      <w:color w:val="FF0000"/>
                      <w:sz w:val="80"/>
                      <w:szCs w:val="80"/>
                    </w:rPr>
                    <w:t>评雨</w:t>
                  </w:r>
                </w:p>
                <w:p>
                  <w:pPr>
                    <w:pStyle w:val="18"/>
                    <w:spacing w:before="0" w:beforeAutospacing="0" w:after="0" w:afterAutospacing="0"/>
                    <w:jc w:val="center"/>
                  </w:pPr>
                  <w:r>
                    <w:rPr>
                      <w:rFonts w:hint="eastAsia" w:ascii="华文行楷" w:eastAsia="华文行楷"/>
                      <w:color w:val="FF0000"/>
                      <w:sz w:val="80"/>
                      <w:szCs w:val="80"/>
                    </w:rPr>
                    <w:t>估涵</w:t>
                  </w:r>
                </w:p>
              </w:txbxContent>
            </v:textbox>
          </v:shape>
        </w:pict>
      </w:r>
      <w:r>
        <w:rPr>
          <w:rFonts w:ascii="宋体" w:hAnsi="宋体"/>
          <w:b/>
          <w:kern w:val="0"/>
          <w:sz w:val="28"/>
        </w:rPr>
        <w:pict>
          <v:shape id="文本框 27" o:spid="_x0000_s1033" o:spt="202" type="#_x0000_t202" style="position:absolute;left:0pt;margin-left:292.8pt;margin-top:684.7pt;height:46.8pt;width:45pt;z-index:25167360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">
            <v:path/>
            <v:fill on="f" focussize="0,0"/>
            <v:stroke on="f" color="#0000FF" joinstyle="round"/>
            <v:imagedata o:title=""/>
            <o:lock v:ext="edit"/>
            <v:textbox style="mso-fit-shape-to-text:t;">
              <w:txbxContent>
                <w:p>
                  <w:pPr>
                    <w:pStyle w:val="18"/>
                    <w:spacing w:before="0" w:beforeAutospacing="0" w:after="0" w:afterAutospacing="0"/>
                    <w:jc w:val="center"/>
                  </w:pPr>
                  <w:r>
                    <w:rPr>
                      <w:rFonts w:hint="eastAsia" w:ascii="华文行楷" w:eastAsia="华文行楷"/>
                      <w:color w:val="FF0000"/>
                      <w:sz w:val="80"/>
                      <w:szCs w:val="80"/>
                    </w:rPr>
                    <w:t>评雨</w:t>
                  </w:r>
                </w:p>
                <w:p>
                  <w:pPr>
                    <w:pStyle w:val="18"/>
                    <w:spacing w:before="0" w:beforeAutospacing="0" w:after="0" w:afterAutospacing="0"/>
                    <w:jc w:val="center"/>
                  </w:pPr>
                  <w:r>
                    <w:rPr>
                      <w:rFonts w:hint="eastAsia" w:ascii="华文行楷" w:eastAsia="华文行楷"/>
                      <w:color w:val="FF0000"/>
                      <w:sz w:val="80"/>
                      <w:szCs w:val="80"/>
                    </w:rPr>
                    <w:t>估涵</w:t>
                  </w:r>
                </w:p>
              </w:txbxContent>
            </v:textbox>
          </v:shape>
        </w:pict>
      </w:r>
      <w:r>
        <w:rPr>
          <w:rFonts w:ascii="宋体" w:hAnsi="宋体"/>
          <w:sz w:val="20"/>
        </w:rPr>
        <w:pict>
          <v:shape id="文本框 24" o:spid="_x0000_s1034" o:spt="202" type="#_x0000_t202" style="position:absolute;left:0pt;margin-left:278.8pt;margin-top:682.9pt;height:46.8pt;width:45pt;z-index:25167052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">
            <v:path/>
            <v:fill on="f" focussize="0,0"/>
            <v:stroke on="f" color="#0000FF" joinstyle="round"/>
            <v:imagedata o:title=""/>
            <o:lock v:ext="edit"/>
            <v:textbox style="mso-fit-shape-to-text:t;">
              <w:txbxContent>
                <w:p>
                  <w:pPr>
                    <w:pStyle w:val="18"/>
                    <w:spacing w:before="0" w:beforeAutospacing="0" w:after="0" w:afterAutospacing="0"/>
                    <w:jc w:val="center"/>
                  </w:pPr>
                  <w:r>
                    <w:rPr>
                      <w:rFonts w:hint="eastAsia" w:ascii="华文行楷" w:eastAsia="华文行楷"/>
                      <w:color w:val="FF0000"/>
                      <w:sz w:val="80"/>
                      <w:szCs w:val="80"/>
                    </w:rPr>
                    <w:t>评雨</w:t>
                  </w:r>
                </w:p>
                <w:p>
                  <w:pPr>
                    <w:pStyle w:val="18"/>
                    <w:spacing w:before="0" w:beforeAutospacing="0" w:after="0" w:afterAutospacing="0"/>
                    <w:jc w:val="center"/>
                  </w:pPr>
                  <w:r>
                    <w:rPr>
                      <w:rFonts w:hint="eastAsia" w:ascii="华文行楷" w:eastAsia="华文行楷"/>
                      <w:color w:val="FF0000"/>
                      <w:sz w:val="80"/>
                      <w:szCs w:val="80"/>
                    </w:rPr>
                    <w:t>估涵</w:t>
                  </w:r>
                </w:p>
              </w:txbxContent>
            </v:textbox>
          </v:shape>
        </w:pict>
      </w:r>
    </w:p>
    <w:p>
      <w:pPr>
        <w:ind w:left="424" w:leftChars="202"/>
        <w:rPr>
          <w:rFonts w:ascii="宋体" w:hAnsi="宋体"/>
          <w:sz w:val="10"/>
          <w:szCs w:val="10"/>
        </w:rPr>
      </w:pPr>
    </w:p>
    <w:p>
      <w:pPr>
        <w:ind w:left="424" w:leftChars="202"/>
        <w:rPr>
          <w:rFonts w:ascii="宋体" w:hAnsi="宋体"/>
          <w:sz w:val="10"/>
          <w:szCs w:val="10"/>
        </w:rPr>
      </w:pPr>
    </w:p>
    <w:p>
      <w:pPr>
        <w:rPr>
          <w:rFonts w:ascii="宋体" w:hAnsi="宋体"/>
          <w:sz w:val="10"/>
          <w:szCs w:val="10"/>
        </w:rPr>
      </w:pPr>
    </w:p>
    <w:p>
      <w:pPr>
        <w:rPr>
          <w:rFonts w:ascii="宋体" w:hAnsi="宋体"/>
          <w:sz w:val="10"/>
          <w:szCs w:val="10"/>
        </w:rPr>
      </w:pPr>
    </w:p>
    <w:p>
      <w:pPr>
        <w:rPr>
          <w:rFonts w:ascii="宋体" w:hAnsi="宋体"/>
          <w:sz w:val="10"/>
          <w:szCs w:val="10"/>
        </w:rPr>
      </w:pPr>
    </w:p>
    <w:p>
      <w:pPr>
        <w:jc w:val="center"/>
        <w:rPr>
          <w:rFonts w:ascii="宋体" w:hAnsi="宋体"/>
        </w:rPr>
      </w:pPr>
    </w:p>
    <w:p>
      <w:pPr>
        <w:jc w:val="center"/>
        <w:rPr>
          <w:rFonts w:ascii="宋体" w:hAnsi="宋体"/>
        </w:rPr>
        <w:sectPr>
          <w:footerReference r:id="rId3" w:type="first"/>
          <w:pgSz w:w="11906" w:h="16838"/>
          <w:pgMar w:top="1021" w:right="397" w:bottom="1247" w:left="397" w:header="851" w:footer="992" w:gutter="0"/>
          <w:cols w:space="425" w:num="1"/>
          <w:docGrid w:type="lines" w:linePitch="312" w:charSpace="0"/>
        </w:sectPr>
      </w:pPr>
      <w:r>
        <w:rPr>
          <w:rFonts w:ascii="宋体" w:hAnsi="宋体"/>
        </w:rPr>
        <w:pict>
          <v:shape id="_x0000_i1026" o:spt="75" type="#_x0000_t75" style="height:17.05pt;width:490.55pt;" fillcolor="#808080" filled="t" o:preferrelative="t" stroked="f" coordsize="21600,21600" o:hr="t" o:hrpct="0" o:hralign="center">
            <v:path/>
            <v:fill on="t" focussize="0,0"/>
            <v:stroke on="f" joinstyle="miter"/>
            <v:imagedata r:id="rId9" o:title="BD21328_"/>
            <o:lock v:ext="edit" aspectratio="t"/>
            <w10:wrap type="none"/>
            <w10:anchorlock/>
          </v:shape>
        </w:pict>
      </w:r>
    </w:p>
    <w:p>
      <w:pPr>
        <w:ind w:firstLine="883" w:firstLineChars="200"/>
        <w:jc w:val="center"/>
        <w:rPr>
          <w:rFonts w:cs="Times New Roman"/>
        </w:rPr>
      </w:pPr>
      <w:r>
        <w:rPr>
          <w:rFonts w:hint="eastAsia" w:ascii="宋体" w:hAnsi="宋体" w:cs="宋体"/>
          <w:b/>
          <w:bCs/>
          <w:sz w:val="44"/>
          <w:szCs w:val="44"/>
        </w:rPr>
        <w:t>致估价委托人函</w:t>
      </w:r>
    </w:p>
    <w:p>
      <w:pPr>
        <w:spacing w:before="240" w:line="520" w:lineRule="exact"/>
        <w:ind w:firstLine="420" w:firstLineChars="150"/>
        <w:rPr>
          <w:rFonts w:ascii="宋体" w:cs="Times New Roman"/>
          <w:b/>
          <w:bCs/>
          <w:sz w:val="28"/>
          <w:szCs w:val="28"/>
        </w:rPr>
      </w:pPr>
      <w:r>
        <w:rPr>
          <w:rFonts w:hint="eastAsia" w:ascii="宋体" w:hAnsi="宋体" w:cs="宋体"/>
          <w:sz w:val="28"/>
          <w:szCs w:val="28"/>
        </w:rPr>
        <w:t>寻甸回族彝族自治县人民法院</w:t>
      </w:r>
      <w:r>
        <w:rPr>
          <w:rFonts w:hint="eastAsia" w:ascii="宋体" w:hAnsi="宋体" w:cs="宋体"/>
          <w:spacing w:val="-2"/>
          <w:sz w:val="28"/>
          <w:szCs w:val="28"/>
        </w:rPr>
        <w:t>：</w:t>
      </w:r>
    </w:p>
    <w:p>
      <w:pPr>
        <w:spacing w:line="520" w:lineRule="exact"/>
        <w:ind w:left="420" w:leftChars="200" w:firstLine="524" w:firstLineChars="200"/>
        <w:jc w:val="left"/>
        <w:rPr>
          <w:rFonts w:ascii="宋体" w:hAnsi="宋体" w:cs="宋体"/>
          <w:spacing w:val="-9"/>
          <w:sz w:val="28"/>
          <w:szCs w:val="28"/>
        </w:rPr>
      </w:pPr>
      <w:r>
        <w:rPr>
          <w:rFonts w:hint="eastAsia" w:ascii="宋体" w:hAnsi="宋体" w:cs="宋体"/>
          <w:spacing w:val="-9"/>
          <w:sz w:val="28"/>
          <w:szCs w:val="28"/>
        </w:rPr>
        <w:t>受贵院的委托，我公司对贵院执行云南寻甸农村商业银行股份有限公司与李洪才，袁桂仙，韩惠刚借款合同纠纷一案中涉及位于寻甸县仁德镇学府社区华联超市东面一幢住宅房地产的市场</w:t>
      </w:r>
      <w:r>
        <w:rPr>
          <w:rFonts w:hint="eastAsia" w:ascii="宋体" w:hAnsi="宋体" w:cs="宋体"/>
          <w:sz w:val="28"/>
          <w:szCs w:val="28"/>
        </w:rPr>
        <w:t>价值</w:t>
      </w:r>
      <w:r>
        <w:rPr>
          <w:rFonts w:hint="eastAsia" w:ascii="宋体" w:hAnsi="宋体" w:cs="宋体"/>
          <w:spacing w:val="-9"/>
          <w:sz w:val="28"/>
          <w:szCs w:val="28"/>
        </w:rPr>
        <w:t>进行了评估。</w:t>
      </w:r>
    </w:p>
    <w:p>
      <w:pPr>
        <w:spacing w:line="520" w:lineRule="exact"/>
        <w:ind w:left="420" w:leftChars="200" w:firstLine="526" w:firstLineChars="200"/>
        <w:jc w:val="left"/>
        <w:rPr>
          <w:rFonts w:ascii="宋体" w:hAnsi="宋体" w:cs="宋体"/>
          <w:spacing w:val="-9"/>
          <w:sz w:val="28"/>
          <w:szCs w:val="28"/>
        </w:rPr>
      </w:pPr>
      <w:r>
        <w:rPr>
          <w:rFonts w:hint="eastAsia" w:ascii="宋体" w:hAnsi="宋体" w:cs="宋体"/>
          <w:b/>
          <w:spacing w:val="-9"/>
          <w:sz w:val="28"/>
          <w:szCs w:val="28"/>
        </w:rPr>
        <w:t>估价目的：</w:t>
      </w:r>
      <w:r>
        <w:rPr>
          <w:rFonts w:hint="eastAsia" w:ascii="宋体" w:hAnsi="宋体" w:cs="宋体"/>
          <w:spacing w:val="-9"/>
          <w:sz w:val="28"/>
          <w:szCs w:val="28"/>
        </w:rPr>
        <w:t>为人民法院确定财产处置参考价提供参考依据。</w:t>
      </w:r>
    </w:p>
    <w:p>
      <w:pPr>
        <w:spacing w:line="520" w:lineRule="exact"/>
        <w:ind w:left="420" w:leftChars="200" w:firstLine="526" w:firstLineChars="200"/>
        <w:jc w:val="left"/>
        <w:rPr>
          <w:rFonts w:ascii="宋体" w:hAnsi="宋体" w:cs="宋体"/>
          <w:spacing w:val="-9"/>
          <w:sz w:val="28"/>
          <w:szCs w:val="28"/>
        </w:rPr>
      </w:pPr>
      <w:r>
        <w:rPr>
          <w:rFonts w:hint="eastAsia" w:ascii="宋体" w:hAnsi="宋体" w:cs="宋体"/>
          <w:b/>
          <w:spacing w:val="-9"/>
          <w:sz w:val="28"/>
          <w:szCs w:val="28"/>
        </w:rPr>
        <w:t>价值时点</w:t>
      </w:r>
      <w:r>
        <w:rPr>
          <w:rFonts w:hint="eastAsia" w:ascii="宋体" w:hAnsi="宋体" w:cs="宋体"/>
          <w:spacing w:val="-9"/>
          <w:sz w:val="28"/>
          <w:szCs w:val="28"/>
        </w:rPr>
        <w:t>：</w:t>
      </w:r>
      <w:r>
        <w:rPr>
          <w:rFonts w:ascii="宋体" w:hAnsi="宋体" w:cs="宋体"/>
          <w:spacing w:val="-9"/>
          <w:sz w:val="28"/>
          <w:szCs w:val="28"/>
        </w:rPr>
        <w:t>2022年02月21日</w:t>
      </w:r>
      <w:r>
        <w:rPr>
          <w:rFonts w:ascii="宋体" w:hAnsi="宋体" w:cs="宋体"/>
          <w:vanish/>
          <w:spacing w:val="-9"/>
          <w:sz w:val="28"/>
          <w:szCs w:val="28"/>
        </w:rPr>
        <w:t>2020年04月14日</w:t>
      </w:r>
      <w:r>
        <w:rPr>
          <w:rFonts w:hint="eastAsia" w:ascii="宋体" w:hAnsi="宋体" w:cs="宋体"/>
          <w:spacing w:val="-9"/>
          <w:sz w:val="28"/>
          <w:szCs w:val="28"/>
        </w:rPr>
        <w:t xml:space="preserve">。 </w:t>
      </w:r>
    </w:p>
    <w:p>
      <w:pPr>
        <w:spacing w:line="520" w:lineRule="exact"/>
        <w:ind w:left="420" w:leftChars="200" w:firstLine="526" w:firstLineChars="200"/>
        <w:jc w:val="left"/>
        <w:rPr>
          <w:rFonts w:ascii="宋体" w:hAnsi="宋体" w:cs="宋体"/>
          <w:spacing w:val="-9"/>
          <w:sz w:val="28"/>
          <w:szCs w:val="28"/>
        </w:rPr>
      </w:pPr>
      <w:r>
        <w:rPr>
          <w:rFonts w:hint="eastAsia" w:ascii="宋体" w:hAnsi="宋体" w:cs="宋体"/>
          <w:b/>
          <w:spacing w:val="-9"/>
          <w:sz w:val="28"/>
          <w:szCs w:val="28"/>
        </w:rPr>
        <w:t>估价对象</w:t>
      </w:r>
      <w:r>
        <w:rPr>
          <w:rFonts w:hint="eastAsia" w:ascii="宋体" w:hAnsi="宋体" w:cs="宋体"/>
          <w:spacing w:val="-9"/>
          <w:sz w:val="28"/>
          <w:szCs w:val="28"/>
        </w:rPr>
        <w:t>：</w:t>
      </w:r>
    </w:p>
    <w:p>
      <w:pPr>
        <w:spacing w:line="520" w:lineRule="exact"/>
        <w:ind w:left="420" w:leftChars="200" w:firstLine="524" w:firstLineChars="200"/>
        <w:jc w:val="left"/>
        <w:rPr>
          <w:rFonts w:ascii="宋体" w:hAnsi="宋体" w:cs="宋体"/>
          <w:spacing w:val="-9"/>
          <w:sz w:val="28"/>
          <w:szCs w:val="28"/>
        </w:rPr>
      </w:pPr>
      <w:r>
        <w:rPr>
          <w:rFonts w:hint="eastAsia" w:ascii="宋体" w:hAnsi="宋体" w:cs="宋体"/>
          <w:spacing w:val="-9"/>
          <w:sz w:val="28"/>
          <w:szCs w:val="28"/>
        </w:rPr>
        <w:t>财产范围：估价对象证载面积的房屋及其占用的土地使用权，含装修及附着在建筑物上的、与估价对象功能相匹配的、不可移动的设施设备（消防、强弱电等），不含其他存在的建（构）筑物、可移动物品及其他债权债务、特许经营权等其他财产或权益。</w:t>
      </w:r>
    </w:p>
    <w:p>
      <w:pPr>
        <w:spacing w:line="520" w:lineRule="exact"/>
        <w:ind w:left="420" w:leftChars="200" w:firstLine="524" w:firstLineChars="200"/>
        <w:jc w:val="left"/>
        <w:rPr>
          <w:rFonts w:ascii="宋体" w:hAnsi="宋体" w:cs="宋体"/>
          <w:spacing w:val="-9"/>
          <w:sz w:val="28"/>
          <w:szCs w:val="28"/>
        </w:rPr>
      </w:pPr>
      <w:r>
        <w:rPr>
          <w:rFonts w:hint="eastAsia" w:ascii="宋体" w:hAnsi="宋体" w:cs="宋体"/>
          <w:spacing w:val="-9"/>
          <w:sz w:val="28"/>
          <w:szCs w:val="28"/>
        </w:rPr>
        <w:t>基本情况：估价对象坐落于寻甸县仁德镇学府社区华联超市东面，整幢建筑物总层数5层，建筑结构为混合结构。估价对象位于1-5层，总建筑面积为622.16㎡，其中李洪才所有的位于1-4层建筑面积为565.41㎡，李贤所有的位于第5层建筑面积为56.75㎡。设计用途均为住宅，实际用途一层为临街商铺，二层至五层为住宅，目前出租，室内中等装修。估价对象土地权所有权类型为集体用地，土地所有权人为寻甸县仁德镇学府居民委员会北营三组，土地使用权类型为宅基地，用途为城镇混合住宅用地，土地使用权总面积为143㎡，其中李洪才名下为93.90㎡，李贤名下49.10㎡。</w:t>
      </w:r>
    </w:p>
    <w:p>
      <w:pPr>
        <w:spacing w:line="520" w:lineRule="exact"/>
        <w:ind w:left="420" w:leftChars="200" w:firstLine="526" w:firstLineChars="200"/>
        <w:jc w:val="left"/>
        <w:rPr>
          <w:rFonts w:ascii="宋体" w:hAnsi="宋体" w:cs="宋体"/>
          <w:spacing w:val="-9"/>
          <w:sz w:val="28"/>
          <w:szCs w:val="28"/>
        </w:rPr>
      </w:pPr>
      <w:r>
        <w:rPr>
          <w:rFonts w:hint="eastAsia" w:ascii="宋体" w:hAnsi="宋体" w:cs="宋体"/>
          <w:b/>
          <w:spacing w:val="-9"/>
          <w:sz w:val="28"/>
          <w:szCs w:val="28"/>
        </w:rPr>
        <w:t>价值类型</w:t>
      </w:r>
      <w:r>
        <w:rPr>
          <w:rFonts w:hint="eastAsia" w:ascii="宋体" w:hAnsi="宋体" w:cs="宋体"/>
          <w:spacing w:val="-9"/>
          <w:sz w:val="28"/>
          <w:szCs w:val="28"/>
        </w:rPr>
        <w:t>：市场价值。</w:t>
      </w:r>
    </w:p>
    <w:p>
      <w:pPr>
        <w:spacing w:line="520" w:lineRule="exact"/>
        <w:ind w:left="420" w:leftChars="200" w:firstLine="526" w:firstLineChars="200"/>
        <w:jc w:val="left"/>
        <w:rPr>
          <w:rFonts w:ascii="宋体" w:hAnsi="宋体" w:cs="宋体"/>
          <w:spacing w:val="-9"/>
          <w:sz w:val="28"/>
          <w:szCs w:val="28"/>
        </w:rPr>
      </w:pPr>
      <w:r>
        <w:rPr>
          <w:rFonts w:hint="eastAsia" w:ascii="宋体" w:hAnsi="宋体" w:cs="宋体"/>
          <w:b/>
          <w:spacing w:val="-9"/>
          <w:sz w:val="28"/>
          <w:szCs w:val="28"/>
        </w:rPr>
        <w:t>估价方法</w:t>
      </w:r>
      <w:r>
        <w:rPr>
          <w:rFonts w:hint="eastAsia" w:ascii="宋体" w:hAnsi="宋体" w:cs="宋体"/>
          <w:spacing w:val="-9"/>
          <w:sz w:val="28"/>
          <w:szCs w:val="28"/>
        </w:rPr>
        <w:t>：收益法。</w:t>
      </w:r>
    </w:p>
    <w:p>
      <w:pPr>
        <w:spacing w:line="520" w:lineRule="exact"/>
        <w:ind w:left="420" w:leftChars="200" w:firstLine="526" w:firstLineChars="200"/>
        <w:jc w:val="left"/>
        <w:rPr>
          <w:rFonts w:ascii="宋体" w:hAnsi="宋体" w:cs="宋体"/>
          <w:spacing w:val="-9"/>
          <w:sz w:val="28"/>
          <w:szCs w:val="28"/>
        </w:rPr>
      </w:pPr>
      <w:r>
        <w:rPr>
          <w:rFonts w:hint="eastAsia" w:ascii="宋体" w:hAnsi="宋体" w:cs="宋体"/>
          <w:b/>
          <w:spacing w:val="-9"/>
          <w:sz w:val="28"/>
          <w:szCs w:val="28"/>
        </w:rPr>
        <w:t>估价结果</w:t>
      </w:r>
      <w:r>
        <w:rPr>
          <w:rFonts w:hint="eastAsia" w:ascii="宋体" w:hAnsi="宋体" w:cs="宋体"/>
          <w:spacing w:val="-9"/>
          <w:sz w:val="28"/>
          <w:szCs w:val="28"/>
        </w:rPr>
        <w:t>：注册房地产估价师根据估价目的，遵循估价原则，在认真分析所掌握资料与影响估价对象价值诸多因素的基础上，运用科学的估价方法进行评估，最终确定估价对象在价值时点的房地产市场价值为（币种：人民币）：</w:t>
      </w:r>
    </w:p>
    <w:p>
      <w:pPr>
        <w:spacing w:line="520" w:lineRule="exact"/>
        <w:ind w:left="420" w:leftChars="200" w:firstLine="526" w:firstLineChars="200"/>
        <w:jc w:val="left"/>
        <w:rPr>
          <w:rFonts w:ascii="宋体" w:hAnsi="宋体" w:cs="宋体"/>
          <w:b/>
          <w:spacing w:val="-9"/>
          <w:sz w:val="28"/>
          <w:szCs w:val="28"/>
        </w:rPr>
      </w:pPr>
      <w:r>
        <w:rPr>
          <w:rFonts w:hint="eastAsia" w:ascii="宋体" w:hAnsi="宋体" w:cs="宋体"/>
          <w:b/>
          <w:spacing w:val="-9"/>
          <w:sz w:val="28"/>
          <w:szCs w:val="28"/>
        </w:rPr>
        <w:t>总价：¥191.07万元（取整至佰位）；大写金额：壹佰玖拾壹万零柒佰元整。单价3071元/平方米。</w:t>
      </w:r>
    </w:p>
    <w:tbl>
      <w:tblPr>
        <w:tblStyle w:val="20"/>
        <w:tblW w:w="9957" w:type="dxa"/>
        <w:jc w:val="center"/>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Layout w:type="fixed"/>
        <w:tblCellMar>
          <w:top w:w="0" w:type="dxa"/>
          <w:left w:w="108" w:type="dxa"/>
          <w:bottom w:w="0" w:type="dxa"/>
          <w:right w:w="108" w:type="dxa"/>
        </w:tblCellMar>
      </w:tblPr>
      <w:tblGrid>
        <w:gridCol w:w="2073"/>
        <w:gridCol w:w="1122"/>
        <w:gridCol w:w="2564"/>
        <w:gridCol w:w="1417"/>
        <w:gridCol w:w="1418"/>
        <w:gridCol w:w="1363"/>
      </w:tblGrid>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9957" w:type="dxa"/>
            <w:gridSpan w:val="6"/>
            <w:shd w:val="clear" w:color="auto" w:fill="auto"/>
            <w:vAlign w:val="center"/>
          </w:tcPr>
          <w:p>
            <w:pPr>
              <w:jc w:val="center"/>
              <w:rPr>
                <w:rFonts w:cs="宋体" w:asciiTheme="majorEastAsia" w:hAnsiTheme="majorEastAsia" w:eastAsiaTheme="majorEastAsia"/>
                <w:b/>
                <w:color w:val="000000"/>
                <w:kern w:val="0"/>
                <w:sz w:val="24"/>
                <w:szCs w:val="24"/>
              </w:rPr>
            </w:pPr>
            <w:r>
              <w:rPr>
                <w:rFonts w:hint="eastAsia" w:cs="宋体" w:asciiTheme="majorEastAsia" w:hAnsiTheme="majorEastAsia" w:eastAsiaTheme="majorEastAsia"/>
                <w:b/>
                <w:color w:val="000000"/>
                <w:kern w:val="0"/>
                <w:sz w:val="24"/>
                <w:szCs w:val="24"/>
              </w:rPr>
              <w:t>估价对象评估结果明细表</w:t>
            </w:r>
          </w:p>
        </w:tc>
      </w:tr>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073" w:type="dxa"/>
            <w:shd w:val="clear" w:color="auto" w:fill="auto"/>
            <w:vAlign w:val="center"/>
          </w:tcPr>
          <w:p>
            <w:pPr>
              <w:jc w:val="center"/>
              <w:rPr>
                <w:rFonts w:cs="宋体" w:asciiTheme="majorEastAsia" w:hAnsiTheme="majorEastAsia" w:eastAsiaTheme="majorEastAsia"/>
                <w:b/>
                <w:color w:val="000000"/>
                <w:kern w:val="0"/>
                <w:sz w:val="22"/>
                <w:szCs w:val="22"/>
              </w:rPr>
            </w:pPr>
            <w:r>
              <w:rPr>
                <w:rFonts w:hint="eastAsia" w:cs="宋体" w:asciiTheme="majorEastAsia" w:hAnsiTheme="majorEastAsia" w:eastAsiaTheme="majorEastAsia"/>
                <w:b/>
                <w:color w:val="000000"/>
                <w:kern w:val="0"/>
                <w:sz w:val="22"/>
                <w:szCs w:val="22"/>
              </w:rPr>
              <w:t>房产证号</w:t>
            </w:r>
          </w:p>
        </w:tc>
        <w:tc>
          <w:tcPr>
            <w:tcW w:w="1122" w:type="dxa"/>
            <w:tcBorders>
              <w:right w:val="single" w:color="auto" w:sz="4" w:space="0"/>
            </w:tcBorders>
            <w:shd w:val="clear" w:color="auto" w:fill="auto"/>
            <w:vAlign w:val="center"/>
          </w:tcPr>
          <w:p>
            <w:pPr>
              <w:jc w:val="center"/>
              <w:rPr>
                <w:rFonts w:cs="宋体" w:asciiTheme="majorEastAsia" w:hAnsiTheme="majorEastAsia" w:eastAsiaTheme="majorEastAsia"/>
                <w:b/>
                <w:color w:val="000000"/>
                <w:kern w:val="0"/>
                <w:sz w:val="22"/>
                <w:szCs w:val="22"/>
              </w:rPr>
            </w:pPr>
            <w:r>
              <w:rPr>
                <w:rFonts w:hint="eastAsia" w:cs="宋体" w:asciiTheme="majorEastAsia" w:hAnsiTheme="majorEastAsia" w:eastAsiaTheme="majorEastAsia"/>
                <w:b/>
                <w:color w:val="000000"/>
                <w:kern w:val="0"/>
                <w:sz w:val="22"/>
                <w:szCs w:val="22"/>
              </w:rPr>
              <w:t>产权人</w:t>
            </w:r>
          </w:p>
        </w:tc>
        <w:tc>
          <w:tcPr>
            <w:tcW w:w="2564" w:type="dxa"/>
            <w:tcBorders>
              <w:left w:val="single" w:color="auto" w:sz="4" w:space="0"/>
            </w:tcBorders>
            <w:shd w:val="clear" w:color="auto" w:fill="auto"/>
            <w:vAlign w:val="center"/>
          </w:tcPr>
          <w:p>
            <w:pPr>
              <w:jc w:val="center"/>
              <w:rPr>
                <w:rFonts w:cs="宋体" w:asciiTheme="majorEastAsia" w:hAnsiTheme="majorEastAsia" w:eastAsiaTheme="majorEastAsia"/>
                <w:b/>
                <w:color w:val="000000"/>
                <w:kern w:val="0"/>
                <w:sz w:val="22"/>
                <w:szCs w:val="22"/>
              </w:rPr>
            </w:pPr>
            <w:r>
              <w:rPr>
                <w:rFonts w:hint="eastAsia" w:cs="宋体" w:asciiTheme="majorEastAsia" w:hAnsiTheme="majorEastAsia" w:eastAsiaTheme="majorEastAsia"/>
                <w:b/>
                <w:color w:val="000000"/>
                <w:kern w:val="0"/>
                <w:sz w:val="22"/>
                <w:szCs w:val="22"/>
              </w:rPr>
              <w:t>坐落</w:t>
            </w:r>
          </w:p>
        </w:tc>
        <w:tc>
          <w:tcPr>
            <w:tcW w:w="1417" w:type="dxa"/>
            <w:tcBorders>
              <w:right w:val="single" w:color="auto" w:sz="4" w:space="0"/>
            </w:tcBorders>
            <w:shd w:val="clear" w:color="auto" w:fill="auto"/>
            <w:vAlign w:val="center"/>
          </w:tcPr>
          <w:p>
            <w:pPr>
              <w:jc w:val="center"/>
              <w:rPr>
                <w:rFonts w:cs="宋体" w:asciiTheme="majorEastAsia" w:hAnsiTheme="majorEastAsia" w:eastAsiaTheme="majorEastAsia"/>
                <w:b/>
                <w:color w:val="000000"/>
                <w:kern w:val="0"/>
                <w:sz w:val="22"/>
                <w:szCs w:val="22"/>
              </w:rPr>
            </w:pPr>
            <w:r>
              <w:rPr>
                <w:rFonts w:hint="eastAsia" w:cs="宋体" w:asciiTheme="majorEastAsia" w:hAnsiTheme="majorEastAsia" w:eastAsiaTheme="majorEastAsia"/>
                <w:b/>
                <w:color w:val="000000"/>
                <w:kern w:val="0"/>
                <w:sz w:val="22"/>
                <w:szCs w:val="22"/>
              </w:rPr>
              <w:t>建筑面积 （㎡）</w:t>
            </w:r>
          </w:p>
        </w:tc>
        <w:tc>
          <w:tcPr>
            <w:tcW w:w="1418" w:type="dxa"/>
            <w:tcBorders>
              <w:left w:val="single" w:color="auto" w:sz="4" w:space="0"/>
            </w:tcBorders>
            <w:shd w:val="clear" w:color="auto" w:fill="auto"/>
            <w:vAlign w:val="center"/>
          </w:tcPr>
          <w:p>
            <w:pPr>
              <w:jc w:val="center"/>
              <w:rPr>
                <w:rFonts w:cs="宋体" w:asciiTheme="majorEastAsia" w:hAnsiTheme="majorEastAsia" w:eastAsiaTheme="majorEastAsia"/>
                <w:b/>
                <w:color w:val="000000"/>
                <w:kern w:val="0"/>
                <w:sz w:val="22"/>
                <w:szCs w:val="22"/>
              </w:rPr>
            </w:pPr>
            <w:r>
              <w:rPr>
                <w:rFonts w:hint="eastAsia" w:cs="宋体" w:asciiTheme="majorEastAsia" w:hAnsiTheme="majorEastAsia" w:eastAsiaTheme="majorEastAsia"/>
                <w:b/>
                <w:color w:val="000000"/>
                <w:kern w:val="0"/>
                <w:sz w:val="22"/>
                <w:szCs w:val="22"/>
              </w:rPr>
              <w:t>评估单价（元/㎡）</w:t>
            </w:r>
          </w:p>
        </w:tc>
        <w:tc>
          <w:tcPr>
            <w:tcW w:w="1363" w:type="dxa"/>
            <w:shd w:val="clear" w:color="auto" w:fill="auto"/>
            <w:vAlign w:val="center"/>
          </w:tcPr>
          <w:p>
            <w:pPr>
              <w:jc w:val="center"/>
              <w:rPr>
                <w:rFonts w:cs="宋体" w:asciiTheme="majorEastAsia" w:hAnsiTheme="majorEastAsia" w:eastAsiaTheme="majorEastAsia"/>
                <w:b/>
                <w:color w:val="000000"/>
                <w:kern w:val="0"/>
                <w:sz w:val="22"/>
                <w:szCs w:val="22"/>
              </w:rPr>
            </w:pPr>
            <w:r>
              <w:rPr>
                <w:rFonts w:hint="eastAsia" w:cs="宋体" w:asciiTheme="majorEastAsia" w:hAnsiTheme="majorEastAsia" w:eastAsiaTheme="majorEastAsia"/>
                <w:b/>
                <w:color w:val="000000"/>
                <w:kern w:val="0"/>
                <w:sz w:val="22"/>
                <w:szCs w:val="22"/>
              </w:rPr>
              <w:t>评估总价（万元）</w:t>
            </w:r>
          </w:p>
        </w:tc>
      </w:tr>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rPr>
          <w:trHeight w:val="734" w:hRule="atLeast"/>
          <w:jc w:val="center"/>
        </w:trPr>
        <w:tc>
          <w:tcPr>
            <w:tcW w:w="2073" w:type="dxa"/>
            <w:shd w:val="clear" w:color="auto" w:fill="auto"/>
            <w:vAlign w:val="center"/>
          </w:tcPr>
          <w:p>
            <w:pPr>
              <w:jc w:val="center"/>
              <w:rPr>
                <w:rFonts w:cs="宋体" w:asciiTheme="majorEastAsia" w:hAnsiTheme="majorEastAsia" w:eastAsiaTheme="majorEastAsia"/>
                <w:sz w:val="24"/>
                <w:szCs w:val="24"/>
              </w:rPr>
            </w:pPr>
            <w:r>
              <w:rPr>
                <w:rFonts w:hint="eastAsia" w:asciiTheme="majorEastAsia" w:hAnsiTheme="majorEastAsia" w:eastAsiaTheme="majorEastAsia"/>
              </w:rPr>
              <w:t>006308</w:t>
            </w:r>
          </w:p>
        </w:tc>
        <w:tc>
          <w:tcPr>
            <w:tcW w:w="1122" w:type="dxa"/>
            <w:tcBorders>
              <w:right w:val="single" w:color="auto" w:sz="4" w:space="0"/>
            </w:tcBorders>
            <w:shd w:val="clear" w:color="auto" w:fill="auto"/>
            <w:vAlign w:val="center"/>
          </w:tcPr>
          <w:p>
            <w:pPr>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李洪才</w:t>
            </w:r>
          </w:p>
        </w:tc>
        <w:tc>
          <w:tcPr>
            <w:tcW w:w="2564" w:type="dxa"/>
            <w:tcBorders>
              <w:left w:val="single" w:color="auto" w:sz="4" w:space="0"/>
            </w:tcBorders>
            <w:shd w:val="clear" w:color="auto" w:fill="auto"/>
            <w:vAlign w:val="center"/>
          </w:tcPr>
          <w:p>
            <w:pPr>
              <w:jc w:val="center"/>
              <w:rPr>
                <w:rFonts w:cs="宋体" w:asciiTheme="majorEastAsia" w:hAnsiTheme="majorEastAsia" w:eastAsiaTheme="majorEastAsia"/>
                <w:sz w:val="24"/>
                <w:szCs w:val="24"/>
              </w:rPr>
            </w:pPr>
            <w:r>
              <w:rPr>
                <w:rFonts w:hint="eastAsia" w:asciiTheme="majorEastAsia" w:hAnsiTheme="majorEastAsia" w:eastAsiaTheme="majorEastAsia"/>
              </w:rPr>
              <w:t>寻甸县仁德镇学府社区华联超市东面</w:t>
            </w:r>
          </w:p>
        </w:tc>
        <w:tc>
          <w:tcPr>
            <w:tcW w:w="1417" w:type="dxa"/>
            <w:tcBorders>
              <w:right w:val="single" w:color="auto" w:sz="4" w:space="0"/>
            </w:tcBorders>
            <w:shd w:val="clear" w:color="auto" w:fill="auto"/>
            <w:vAlign w:val="center"/>
          </w:tcPr>
          <w:p>
            <w:pPr>
              <w:jc w:val="center"/>
              <w:rPr>
                <w:rFonts w:asciiTheme="majorEastAsia" w:hAnsiTheme="majorEastAsia" w:eastAsiaTheme="majorEastAsia"/>
              </w:rPr>
            </w:pPr>
            <w:r>
              <w:rPr>
                <w:rFonts w:hint="eastAsia" w:asciiTheme="majorEastAsia" w:hAnsiTheme="majorEastAsia" w:eastAsiaTheme="majorEastAsia"/>
              </w:rPr>
              <w:t>565.41</w:t>
            </w:r>
          </w:p>
        </w:tc>
        <w:tc>
          <w:tcPr>
            <w:tcW w:w="1418" w:type="dxa"/>
            <w:tcBorders>
              <w:left w:val="single" w:color="auto" w:sz="4" w:space="0"/>
            </w:tcBorders>
            <w:shd w:val="clear" w:color="auto" w:fill="auto"/>
            <w:vAlign w:val="center"/>
          </w:tcPr>
          <w:p>
            <w:pPr>
              <w:jc w:val="center"/>
              <w:rPr>
                <w:rFonts w:asciiTheme="majorEastAsia" w:hAnsiTheme="majorEastAsia" w:eastAsiaTheme="majorEastAsia"/>
              </w:rPr>
            </w:pPr>
            <w:r>
              <w:rPr>
                <w:rFonts w:hint="eastAsia" w:asciiTheme="majorEastAsia" w:hAnsiTheme="majorEastAsia" w:eastAsiaTheme="majorEastAsia"/>
              </w:rPr>
              <w:t>3071</w:t>
            </w:r>
          </w:p>
        </w:tc>
        <w:tc>
          <w:tcPr>
            <w:tcW w:w="1363" w:type="dxa"/>
            <w:shd w:val="clear" w:color="auto" w:fill="auto"/>
            <w:vAlign w:val="center"/>
          </w:tcPr>
          <w:p>
            <w:pPr>
              <w:jc w:val="center"/>
              <w:rPr>
                <w:rFonts w:asciiTheme="majorEastAsia" w:hAnsiTheme="majorEastAsia" w:eastAsiaTheme="majorEastAsia"/>
              </w:rPr>
            </w:pPr>
            <w:r>
              <w:rPr>
                <w:rFonts w:hint="eastAsia" w:asciiTheme="majorEastAsia" w:hAnsiTheme="majorEastAsia" w:eastAsiaTheme="majorEastAsia"/>
              </w:rPr>
              <w:t>173.64</w:t>
            </w:r>
          </w:p>
        </w:tc>
      </w:tr>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rPr>
          <w:trHeight w:val="734" w:hRule="atLeast"/>
          <w:jc w:val="center"/>
        </w:trPr>
        <w:tc>
          <w:tcPr>
            <w:tcW w:w="2073" w:type="dxa"/>
            <w:shd w:val="clear" w:color="auto" w:fill="auto"/>
            <w:vAlign w:val="center"/>
          </w:tcPr>
          <w:p>
            <w:pPr>
              <w:jc w:val="center"/>
              <w:rPr>
                <w:rFonts w:asciiTheme="majorEastAsia" w:hAnsiTheme="majorEastAsia" w:eastAsiaTheme="majorEastAsia"/>
              </w:rPr>
            </w:pPr>
            <w:r>
              <w:rPr>
                <w:rFonts w:hint="eastAsia" w:asciiTheme="majorEastAsia" w:hAnsiTheme="majorEastAsia" w:eastAsiaTheme="majorEastAsia"/>
              </w:rPr>
              <w:t>--</w:t>
            </w:r>
          </w:p>
        </w:tc>
        <w:tc>
          <w:tcPr>
            <w:tcW w:w="1122" w:type="dxa"/>
            <w:tcBorders>
              <w:right w:val="single" w:color="auto" w:sz="4" w:space="0"/>
            </w:tcBorders>
            <w:shd w:val="clear" w:color="auto" w:fill="auto"/>
            <w:vAlign w:val="center"/>
          </w:tcPr>
          <w:p>
            <w:pPr>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李贤</w:t>
            </w:r>
          </w:p>
        </w:tc>
        <w:tc>
          <w:tcPr>
            <w:tcW w:w="2564" w:type="dxa"/>
            <w:tcBorders>
              <w:left w:val="single" w:color="auto" w:sz="4" w:space="0"/>
            </w:tcBorders>
            <w:shd w:val="clear" w:color="auto" w:fill="auto"/>
            <w:vAlign w:val="center"/>
          </w:tcPr>
          <w:p>
            <w:pPr>
              <w:jc w:val="center"/>
              <w:rPr>
                <w:rFonts w:asciiTheme="majorEastAsia" w:hAnsiTheme="majorEastAsia" w:eastAsiaTheme="majorEastAsia"/>
              </w:rPr>
            </w:pPr>
            <w:r>
              <w:rPr>
                <w:rFonts w:hint="eastAsia" w:asciiTheme="majorEastAsia" w:hAnsiTheme="majorEastAsia" w:eastAsiaTheme="majorEastAsia"/>
              </w:rPr>
              <w:t>寻甸县仁德镇学府社区华联超市东面</w:t>
            </w:r>
          </w:p>
        </w:tc>
        <w:tc>
          <w:tcPr>
            <w:tcW w:w="1417" w:type="dxa"/>
            <w:tcBorders>
              <w:right w:val="single" w:color="auto" w:sz="4" w:space="0"/>
            </w:tcBorders>
            <w:shd w:val="clear" w:color="auto" w:fill="auto"/>
            <w:vAlign w:val="center"/>
          </w:tcPr>
          <w:p>
            <w:pPr>
              <w:jc w:val="center"/>
              <w:rPr>
                <w:rFonts w:asciiTheme="majorEastAsia" w:hAnsiTheme="majorEastAsia" w:eastAsiaTheme="majorEastAsia"/>
              </w:rPr>
            </w:pPr>
            <w:r>
              <w:rPr>
                <w:rFonts w:hint="eastAsia" w:asciiTheme="majorEastAsia" w:hAnsiTheme="majorEastAsia" w:eastAsiaTheme="majorEastAsia"/>
              </w:rPr>
              <w:t>56.75</w:t>
            </w:r>
          </w:p>
        </w:tc>
        <w:tc>
          <w:tcPr>
            <w:tcW w:w="1418" w:type="dxa"/>
            <w:tcBorders>
              <w:left w:val="single" w:color="auto" w:sz="4" w:space="0"/>
            </w:tcBorders>
            <w:shd w:val="clear" w:color="auto" w:fill="auto"/>
            <w:vAlign w:val="center"/>
          </w:tcPr>
          <w:p>
            <w:pPr>
              <w:jc w:val="center"/>
              <w:rPr>
                <w:rFonts w:asciiTheme="majorEastAsia" w:hAnsiTheme="majorEastAsia" w:eastAsiaTheme="majorEastAsia"/>
              </w:rPr>
            </w:pPr>
            <w:r>
              <w:rPr>
                <w:rFonts w:hint="eastAsia" w:asciiTheme="majorEastAsia" w:hAnsiTheme="majorEastAsia" w:eastAsiaTheme="majorEastAsia"/>
              </w:rPr>
              <w:t>3071</w:t>
            </w:r>
          </w:p>
        </w:tc>
        <w:tc>
          <w:tcPr>
            <w:tcW w:w="1363" w:type="dxa"/>
            <w:shd w:val="clear" w:color="auto" w:fill="auto"/>
            <w:vAlign w:val="center"/>
          </w:tcPr>
          <w:p>
            <w:pPr>
              <w:jc w:val="center"/>
              <w:rPr>
                <w:rFonts w:asciiTheme="majorEastAsia" w:hAnsiTheme="majorEastAsia" w:eastAsiaTheme="majorEastAsia"/>
              </w:rPr>
            </w:pPr>
            <w:r>
              <w:rPr>
                <w:rFonts w:hint="eastAsia" w:asciiTheme="majorEastAsia" w:hAnsiTheme="majorEastAsia" w:eastAsiaTheme="majorEastAsia"/>
              </w:rPr>
              <w:t>17.43</w:t>
            </w:r>
          </w:p>
        </w:tc>
      </w:tr>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rPr>
          <w:trHeight w:val="461" w:hRule="atLeast"/>
          <w:jc w:val="center"/>
        </w:trPr>
        <w:tc>
          <w:tcPr>
            <w:tcW w:w="5759" w:type="dxa"/>
            <w:gridSpan w:val="3"/>
            <w:shd w:val="clear" w:color="auto" w:fill="auto"/>
            <w:vAlign w:val="center"/>
          </w:tcPr>
          <w:p>
            <w:pPr>
              <w:jc w:val="center"/>
              <w:rPr>
                <w:rFonts w:asciiTheme="majorEastAsia" w:hAnsiTheme="majorEastAsia" w:eastAsiaTheme="majorEastAsia"/>
              </w:rPr>
            </w:pPr>
            <w:r>
              <w:rPr>
                <w:rFonts w:hint="eastAsia" w:asciiTheme="majorEastAsia" w:hAnsiTheme="majorEastAsia" w:eastAsiaTheme="majorEastAsia"/>
              </w:rPr>
              <w:t>合计</w:t>
            </w:r>
          </w:p>
        </w:tc>
        <w:tc>
          <w:tcPr>
            <w:tcW w:w="1417" w:type="dxa"/>
            <w:tcBorders>
              <w:right w:val="single" w:color="auto" w:sz="4" w:space="0"/>
            </w:tcBorders>
            <w:shd w:val="clear" w:color="auto" w:fill="auto"/>
            <w:vAlign w:val="center"/>
          </w:tcPr>
          <w:p>
            <w:pPr>
              <w:jc w:val="center"/>
              <w:rPr>
                <w:rFonts w:asciiTheme="majorEastAsia" w:hAnsiTheme="majorEastAsia" w:eastAsiaTheme="majorEastAsia"/>
              </w:rPr>
            </w:pPr>
            <w:r>
              <w:rPr>
                <w:rFonts w:hint="eastAsia" w:asciiTheme="majorEastAsia" w:hAnsiTheme="majorEastAsia" w:eastAsiaTheme="majorEastAsia"/>
              </w:rPr>
              <w:t>622.16</w:t>
            </w:r>
          </w:p>
        </w:tc>
        <w:tc>
          <w:tcPr>
            <w:tcW w:w="1418" w:type="dxa"/>
            <w:tcBorders>
              <w:left w:val="single" w:color="auto" w:sz="4" w:space="0"/>
            </w:tcBorders>
            <w:shd w:val="clear" w:color="auto" w:fill="auto"/>
            <w:vAlign w:val="center"/>
          </w:tcPr>
          <w:p>
            <w:pPr>
              <w:jc w:val="center"/>
              <w:rPr>
                <w:rFonts w:asciiTheme="majorEastAsia" w:hAnsiTheme="majorEastAsia" w:eastAsiaTheme="majorEastAsia"/>
              </w:rPr>
            </w:pPr>
            <w:r>
              <w:rPr>
                <w:rFonts w:hint="eastAsia" w:asciiTheme="majorEastAsia" w:hAnsiTheme="majorEastAsia" w:eastAsiaTheme="majorEastAsia"/>
              </w:rPr>
              <w:t>--</w:t>
            </w:r>
          </w:p>
        </w:tc>
        <w:tc>
          <w:tcPr>
            <w:tcW w:w="1363" w:type="dxa"/>
            <w:shd w:val="clear" w:color="auto" w:fill="auto"/>
            <w:vAlign w:val="center"/>
          </w:tcPr>
          <w:p>
            <w:pPr>
              <w:jc w:val="center"/>
              <w:rPr>
                <w:rFonts w:asciiTheme="majorEastAsia" w:hAnsiTheme="majorEastAsia" w:eastAsiaTheme="majorEastAsia"/>
              </w:rPr>
            </w:pPr>
            <w:r>
              <w:rPr>
                <w:rFonts w:hint="eastAsia" w:asciiTheme="majorEastAsia" w:hAnsiTheme="majorEastAsia" w:eastAsiaTheme="majorEastAsia"/>
              </w:rPr>
              <w:t>191.07</w:t>
            </w:r>
          </w:p>
        </w:tc>
      </w:tr>
    </w:tbl>
    <w:p>
      <w:pPr>
        <w:ind w:firstLine="883" w:firstLineChars="200"/>
        <w:jc w:val="left"/>
        <w:rPr>
          <w:rFonts w:ascii="宋体" w:hAnsi="宋体" w:cs="宋体"/>
          <w:b/>
          <w:sz w:val="44"/>
          <w:szCs w:val="44"/>
        </w:rPr>
      </w:pPr>
    </w:p>
    <w:p>
      <w:pPr>
        <w:ind w:firstLine="883" w:firstLineChars="200"/>
        <w:jc w:val="left"/>
        <w:rPr>
          <w:rFonts w:ascii="宋体" w:hAnsi="宋体" w:cs="宋体"/>
          <w:b/>
          <w:sz w:val="44"/>
          <w:szCs w:val="44"/>
        </w:rPr>
      </w:pPr>
      <w:r>
        <w:rPr>
          <w:rFonts w:hint="eastAsia" w:ascii="宋体" w:hAnsi="宋体" w:cs="宋体"/>
          <w:b/>
          <w:sz w:val="44"/>
          <w:szCs w:val="44"/>
        </w:rPr>
        <w:t>特别提示</w:t>
      </w:r>
    </w:p>
    <w:p>
      <w:pPr>
        <w:spacing w:line="520" w:lineRule="exact"/>
        <w:ind w:left="420" w:leftChars="200" w:firstLine="524" w:firstLineChars="200"/>
        <w:jc w:val="left"/>
        <w:rPr>
          <w:rFonts w:ascii="宋体" w:hAnsi="宋体" w:cs="宋体"/>
          <w:bCs/>
          <w:spacing w:val="-9"/>
          <w:sz w:val="28"/>
          <w:szCs w:val="28"/>
        </w:rPr>
      </w:pPr>
      <w:r>
        <w:rPr>
          <w:rFonts w:hint="eastAsia" w:ascii="宋体" w:hAnsi="宋体" w:cs="宋体"/>
          <w:spacing w:val="-9"/>
          <w:sz w:val="28"/>
          <w:szCs w:val="28"/>
        </w:rPr>
        <w:t>（一）本报告估价结果中不包含司法诉讼费用、拍卖佣金、过户税费、住房维修基金及其他应付费用及税金</w:t>
      </w:r>
      <w:r>
        <w:rPr>
          <w:rFonts w:hint="eastAsia" w:ascii="宋体" w:hAnsi="宋体" w:cs="宋体"/>
          <w:bCs/>
          <w:spacing w:val="-9"/>
          <w:sz w:val="28"/>
          <w:szCs w:val="28"/>
        </w:rPr>
        <w:t>。</w:t>
      </w:r>
    </w:p>
    <w:p>
      <w:pPr>
        <w:spacing w:line="520" w:lineRule="exact"/>
        <w:ind w:left="420" w:leftChars="200" w:firstLine="524" w:firstLineChars="200"/>
        <w:jc w:val="left"/>
        <w:rPr>
          <w:rFonts w:ascii="宋体" w:hAnsi="宋体" w:cs="宋体"/>
          <w:spacing w:val="-9"/>
          <w:sz w:val="28"/>
          <w:szCs w:val="28"/>
        </w:rPr>
      </w:pPr>
      <w:r>
        <w:rPr>
          <w:rFonts w:hint="eastAsia" w:ascii="宋体" w:hAnsi="宋体" w:cs="宋体"/>
          <w:bCs/>
          <w:spacing w:val="-9"/>
          <w:sz w:val="28"/>
          <w:szCs w:val="28"/>
        </w:rPr>
        <w:t>（二）本次评估涉及的财产范围由委托人提供的（2021）云0129执2276号“委托书”及“补充说明”确定，委托人对委托评估房地产的内容、数量的真实性、完整性负责；本报告评估结论是对2022年02月21日这一价值时点委托评估房地产价值的反映，我机构对价值时点后房地产价值发生的重大变化不负任何责任；对未来社会环境发生不可预见的变化不承担发表意见的责任。</w:t>
      </w:r>
    </w:p>
    <w:p>
      <w:pPr>
        <w:spacing w:line="520" w:lineRule="exact"/>
        <w:ind w:left="420" w:leftChars="200" w:firstLine="524" w:firstLineChars="200"/>
        <w:jc w:val="left"/>
        <w:rPr>
          <w:rFonts w:ascii="宋体" w:hAnsi="宋体" w:cs="宋体"/>
          <w:spacing w:val="-9"/>
          <w:sz w:val="28"/>
          <w:szCs w:val="28"/>
        </w:rPr>
      </w:pPr>
      <w:r>
        <w:rPr>
          <w:rFonts w:hint="eastAsia" w:ascii="宋体" w:hAnsi="宋体" w:cs="宋体"/>
          <w:spacing w:val="-9"/>
          <w:sz w:val="28"/>
          <w:szCs w:val="28"/>
        </w:rPr>
        <w:t>（三）</w:t>
      </w:r>
      <w:r>
        <w:rPr>
          <w:rFonts w:hint="eastAsia" w:ascii="宋体" w:hAnsi="宋体" w:cs="宋体"/>
          <w:bCs/>
          <w:spacing w:val="-9"/>
          <w:sz w:val="28"/>
          <w:szCs w:val="28"/>
        </w:rPr>
        <w:t>本报告是以委托人提供的房地产范围为基础，经评定估算而得到的结果，因资料的真实性、合法性、完整性等原因而影响评估结果的客观性、正确性，我机构及注册房地产估价师不承担任何责任。</w:t>
      </w:r>
    </w:p>
    <w:p>
      <w:pPr>
        <w:spacing w:line="520" w:lineRule="exact"/>
        <w:ind w:left="420" w:leftChars="200" w:firstLine="524" w:firstLineChars="200"/>
        <w:jc w:val="left"/>
        <w:rPr>
          <w:rFonts w:ascii="宋体" w:hAnsi="宋体" w:cs="宋体"/>
          <w:bCs/>
          <w:spacing w:val="-9"/>
          <w:sz w:val="28"/>
          <w:szCs w:val="28"/>
        </w:rPr>
      </w:pPr>
      <w:r>
        <w:rPr>
          <w:rFonts w:hint="eastAsia" w:ascii="宋体" w:hAnsi="宋体" w:cs="宋体"/>
          <w:bCs/>
          <w:spacing w:val="-9"/>
          <w:sz w:val="28"/>
          <w:szCs w:val="28"/>
        </w:rPr>
        <w:t>（四）本报告所称“评估价值”系指所评估房地产在价值时点之状况，根据文中所述的原则、依据、假设、方法程序，为本报告所列明的目的而得出的价值参考依据，评估结论只有在相应的有关原则、依据、假设前提存在的条件下成立。</w:t>
      </w:r>
    </w:p>
    <w:p>
      <w:pPr>
        <w:spacing w:line="520" w:lineRule="exact"/>
        <w:ind w:left="420" w:leftChars="200" w:firstLine="524" w:firstLineChars="200"/>
        <w:jc w:val="left"/>
        <w:rPr>
          <w:rFonts w:ascii="宋体" w:hAnsi="宋体" w:cs="宋体"/>
          <w:bCs/>
          <w:spacing w:val="-9"/>
          <w:sz w:val="28"/>
          <w:szCs w:val="28"/>
        </w:rPr>
      </w:pPr>
      <w:r>
        <w:rPr>
          <w:rFonts w:ascii="宋体" w:hAnsi="宋体" w:cs="宋体"/>
          <w:bCs/>
          <w:spacing w:val="-9"/>
          <w:sz w:val="28"/>
          <w:szCs w:val="28"/>
        </w:rPr>
        <w:br w:type="textWrapping"/>
      </w:r>
      <w:r>
        <w:rPr>
          <w:rFonts w:hint="eastAsia" w:ascii="宋体" w:hAnsi="宋体" w:cs="宋体"/>
          <w:bCs/>
          <w:spacing w:val="-9"/>
          <w:sz w:val="28"/>
          <w:szCs w:val="28"/>
        </w:rPr>
        <w:t>（五）现场调查说明：</w:t>
      </w:r>
    </w:p>
    <w:p>
      <w:pPr>
        <w:spacing w:line="520" w:lineRule="exact"/>
        <w:ind w:left="420" w:leftChars="200" w:firstLine="526" w:firstLineChars="200"/>
        <w:jc w:val="left"/>
        <w:rPr>
          <w:rFonts w:ascii="宋体" w:hAnsi="宋体" w:cs="宋体"/>
          <w:b/>
          <w:bCs/>
          <w:color w:val="000000" w:themeColor="text1"/>
          <w:spacing w:val="-9"/>
          <w:sz w:val="28"/>
          <w:szCs w:val="28"/>
        </w:rPr>
      </w:pPr>
      <w:r>
        <w:rPr>
          <w:rFonts w:hint="eastAsia" w:ascii="宋体" w:hAnsi="宋体" w:cs="宋体"/>
          <w:b/>
          <w:bCs/>
          <w:color w:val="000000" w:themeColor="text1"/>
          <w:spacing w:val="-9"/>
          <w:sz w:val="28"/>
          <w:szCs w:val="28"/>
        </w:rPr>
        <w:t>1、估价对象土地权属为宅基地，交易流转仅限所在村集体。</w:t>
      </w:r>
    </w:p>
    <w:p>
      <w:pPr>
        <w:spacing w:line="520" w:lineRule="exact"/>
        <w:ind w:left="420" w:leftChars="200" w:firstLine="526" w:firstLineChars="200"/>
        <w:jc w:val="left"/>
        <w:rPr>
          <w:rFonts w:ascii="宋体" w:hAnsi="宋体" w:cs="宋体"/>
          <w:b/>
          <w:bCs/>
          <w:color w:val="000000" w:themeColor="text1"/>
          <w:spacing w:val="-9"/>
          <w:sz w:val="28"/>
          <w:szCs w:val="28"/>
        </w:rPr>
      </w:pPr>
      <w:r>
        <w:rPr>
          <w:rFonts w:hint="eastAsia" w:ascii="宋体" w:hAnsi="宋体" w:cs="宋体"/>
          <w:b/>
          <w:bCs/>
          <w:color w:val="000000" w:themeColor="text1"/>
          <w:spacing w:val="-9"/>
          <w:sz w:val="28"/>
          <w:szCs w:val="28"/>
        </w:rPr>
        <w:t>2、估价对象整幢房地产存在第三方占有情况，第三方人提供的部分资料显示，房屋产权人李洪才、李贤于2017年9月3日与买方袁莉君及其家人就整幢房地产（总5层总建筑面积622.16㎡）签订了“房屋转让合同”，买方房款已付并实际占有至今，由于诸多因素未办理房屋权属过户手续，且价值时点一层商铺及部分房间已出租（未提供租赁合同）。</w:t>
      </w:r>
    </w:p>
    <w:p>
      <w:pPr>
        <w:spacing w:line="520" w:lineRule="exact"/>
        <w:ind w:left="420" w:leftChars="200" w:firstLine="526" w:firstLineChars="200"/>
        <w:jc w:val="left"/>
        <w:rPr>
          <w:rFonts w:ascii="宋体" w:hAnsi="宋体" w:cs="宋体"/>
          <w:b/>
          <w:bCs/>
          <w:color w:val="000000" w:themeColor="text1"/>
          <w:spacing w:val="-9"/>
          <w:sz w:val="28"/>
          <w:szCs w:val="28"/>
        </w:rPr>
      </w:pPr>
      <w:r>
        <w:rPr>
          <w:rFonts w:hint="eastAsia" w:ascii="宋体" w:hAnsi="宋体" w:cs="宋体"/>
          <w:b/>
          <w:bCs/>
          <w:color w:val="000000" w:themeColor="text1"/>
          <w:spacing w:val="-9"/>
          <w:sz w:val="28"/>
          <w:szCs w:val="28"/>
        </w:rPr>
        <w:t>以上情况提醒报告使用方注意！</w:t>
      </w:r>
    </w:p>
    <w:p>
      <w:pPr>
        <w:spacing w:line="520" w:lineRule="exact"/>
        <w:ind w:left="420" w:leftChars="200" w:firstLine="524" w:firstLineChars="200"/>
        <w:jc w:val="left"/>
        <w:rPr>
          <w:rFonts w:ascii="宋体" w:hAnsi="宋体" w:cs="宋体"/>
          <w:spacing w:val="-9"/>
          <w:sz w:val="28"/>
          <w:szCs w:val="28"/>
        </w:rPr>
      </w:pPr>
      <w:r>
        <w:rPr>
          <w:rFonts w:hint="eastAsia" w:ascii="宋体" w:hAnsi="宋体" w:cs="宋体"/>
          <w:spacing w:val="-9"/>
          <w:sz w:val="28"/>
          <w:szCs w:val="28"/>
        </w:rPr>
        <w:t>（六）</w:t>
      </w:r>
      <w:r>
        <w:rPr>
          <w:rFonts w:hint="eastAsia" w:ascii="宋体" w:hAnsi="宋体" w:cs="宋体"/>
          <w:bCs/>
          <w:spacing w:val="-9"/>
          <w:sz w:val="28"/>
          <w:szCs w:val="28"/>
        </w:rPr>
        <w:t>重大期后事项</w:t>
      </w:r>
    </w:p>
    <w:p>
      <w:pPr>
        <w:spacing w:line="520" w:lineRule="exact"/>
        <w:ind w:left="420" w:leftChars="200" w:firstLine="524" w:firstLineChars="200"/>
        <w:jc w:val="left"/>
        <w:rPr>
          <w:rFonts w:ascii="宋体" w:hAnsi="宋体" w:cs="宋体"/>
          <w:bCs/>
          <w:spacing w:val="-9"/>
          <w:sz w:val="28"/>
          <w:szCs w:val="28"/>
        </w:rPr>
      </w:pPr>
      <w:r>
        <w:rPr>
          <w:rFonts w:hint="eastAsia" w:ascii="宋体" w:hAnsi="宋体" w:cs="宋体"/>
          <w:bCs/>
          <w:spacing w:val="-9"/>
          <w:sz w:val="28"/>
          <w:szCs w:val="28"/>
        </w:rPr>
        <w:t>1、房地产价格标准发生重大变化，并对评估价值已产生了严重影响时,委托人应及时聘请评估机构重新确定评估价值；</w:t>
      </w:r>
    </w:p>
    <w:p>
      <w:pPr>
        <w:spacing w:line="520" w:lineRule="exact"/>
        <w:ind w:left="420" w:leftChars="200" w:firstLine="524" w:firstLineChars="200"/>
        <w:jc w:val="left"/>
        <w:rPr>
          <w:rFonts w:ascii="宋体" w:hAnsi="宋体" w:cs="宋体"/>
          <w:bCs/>
          <w:spacing w:val="-9"/>
          <w:sz w:val="28"/>
          <w:szCs w:val="28"/>
        </w:rPr>
      </w:pPr>
      <w:r>
        <w:rPr>
          <w:rFonts w:hint="eastAsia" w:ascii="宋体" w:hAnsi="宋体" w:cs="宋体"/>
          <w:bCs/>
          <w:spacing w:val="-9"/>
          <w:sz w:val="28"/>
          <w:szCs w:val="28"/>
        </w:rPr>
        <w:t>2、发生价值时点后的重大期后事项时,不能直接使用本评估报告结论。</w:t>
      </w:r>
    </w:p>
    <w:p>
      <w:pPr>
        <w:spacing w:line="520" w:lineRule="exact"/>
        <w:ind w:left="420" w:leftChars="200" w:firstLine="524" w:firstLineChars="200"/>
        <w:jc w:val="left"/>
        <w:rPr>
          <w:rFonts w:ascii="宋体" w:hAnsi="宋体" w:cs="宋体"/>
          <w:spacing w:val="-9"/>
          <w:sz w:val="28"/>
          <w:szCs w:val="28"/>
        </w:rPr>
      </w:pPr>
      <w:r>
        <w:rPr>
          <w:rFonts w:hint="eastAsia" w:ascii="宋体" w:hAnsi="宋体" w:cs="宋体"/>
          <w:bCs/>
          <w:spacing w:val="-9"/>
          <w:sz w:val="28"/>
          <w:szCs w:val="28"/>
        </w:rPr>
        <w:t>（七）对委托人存在的可能影响房地产评估值的瑕疵事项，在委托人未作特殊说明而注册房地产估价师已履行评估程序仍无法获知的情况下，我机构及注册房地产估价师不承担相关责任。</w:t>
      </w:r>
    </w:p>
    <w:p>
      <w:pPr>
        <w:spacing w:line="520" w:lineRule="exact"/>
        <w:ind w:left="420" w:leftChars="200" w:firstLine="524" w:firstLineChars="200"/>
        <w:jc w:val="left"/>
        <w:rPr>
          <w:rFonts w:ascii="宋体" w:hAnsi="宋体" w:cs="宋体"/>
          <w:bCs/>
          <w:spacing w:val="-9"/>
          <w:sz w:val="28"/>
          <w:szCs w:val="28"/>
        </w:rPr>
      </w:pPr>
      <w:r>
        <w:rPr>
          <w:rFonts w:hint="eastAsia" w:ascii="宋体" w:hAnsi="宋体" w:cs="宋体"/>
          <w:bCs/>
          <w:spacing w:val="-9"/>
          <w:sz w:val="28"/>
          <w:szCs w:val="28"/>
        </w:rPr>
        <w:t>（八）根据房地产评估的要求，评估测算中所依据的部分是现行的政策条款，部分是评估时常用的行业惯例、统计参数或通用参数。当未来经济环境发生较大变化时，我公司注册房地产估价师将不承担由于前提条件变化而导致与本次评估结论不同的责任。</w:t>
      </w:r>
    </w:p>
    <w:p>
      <w:pPr>
        <w:spacing w:line="520" w:lineRule="exact"/>
        <w:ind w:left="420" w:leftChars="200" w:firstLine="524" w:firstLineChars="200"/>
        <w:jc w:val="left"/>
        <w:rPr>
          <w:rFonts w:ascii="宋体" w:hAnsi="宋体" w:cs="宋体"/>
          <w:bCs/>
          <w:spacing w:val="-9"/>
          <w:sz w:val="28"/>
          <w:szCs w:val="28"/>
        </w:rPr>
      </w:pPr>
      <w:r>
        <w:rPr>
          <w:rFonts w:hint="eastAsia" w:ascii="宋体" w:hAnsi="宋体" w:cs="宋体"/>
          <w:spacing w:val="-9"/>
          <w:sz w:val="28"/>
          <w:szCs w:val="28"/>
        </w:rPr>
        <w:t>（</w:t>
      </w:r>
      <w:r>
        <w:rPr>
          <w:rFonts w:hint="eastAsia" w:ascii="宋体" w:hAnsi="宋体" w:cs="宋体"/>
          <w:bCs/>
          <w:spacing w:val="-9"/>
          <w:sz w:val="28"/>
          <w:szCs w:val="28"/>
        </w:rPr>
        <w:t>九）评估报告使用限制说明</w:t>
      </w:r>
    </w:p>
    <w:p>
      <w:pPr>
        <w:spacing w:line="520" w:lineRule="exact"/>
        <w:ind w:left="420" w:leftChars="200" w:firstLine="524" w:firstLineChars="200"/>
        <w:jc w:val="left"/>
        <w:rPr>
          <w:rFonts w:ascii="宋体" w:hAnsi="宋体" w:cs="宋体"/>
          <w:bCs/>
          <w:spacing w:val="-9"/>
          <w:sz w:val="28"/>
          <w:szCs w:val="28"/>
        </w:rPr>
      </w:pPr>
      <w:r>
        <w:rPr>
          <w:rFonts w:hint="eastAsia" w:ascii="宋体" w:hAnsi="宋体" w:cs="宋体"/>
          <w:bCs/>
          <w:spacing w:val="-9"/>
          <w:sz w:val="28"/>
          <w:szCs w:val="28"/>
        </w:rPr>
        <w:t>1、本评估结论仅作为寻甸回族彝族自治县人民法院执行</w:t>
      </w:r>
      <w:r>
        <w:rPr>
          <w:rFonts w:hint="eastAsia" w:ascii="宋体" w:hAnsi="宋体" w:cs="宋体"/>
          <w:spacing w:val="-9"/>
          <w:sz w:val="28"/>
          <w:szCs w:val="28"/>
        </w:rPr>
        <w:t>申请人云南寻甸农村商业银行股份有限公司与李洪才，袁桂仙，韩惠刚借款合同纠纷一案</w:t>
      </w:r>
      <w:r>
        <w:rPr>
          <w:rFonts w:hint="eastAsia" w:ascii="宋体" w:hAnsi="宋体" w:cs="宋体"/>
          <w:bCs/>
          <w:spacing w:val="-9"/>
          <w:sz w:val="28"/>
          <w:szCs w:val="28"/>
        </w:rPr>
        <w:t>时使用，不得作其他用途，如由于使用不当造成的不良后果，与我机构及注册房地产估价师无关，评估结论的有效性依赖于本次评估的假设、限制。本评估报告仅供评估报告中披露的评估报告使用者用于载明的评估目的和用途。未征得本机构同意，评估报告的内容不得被摘抄、引用或披露于公开媒体，法律、法规规定以及相关当事人另有约定的除外。</w:t>
      </w:r>
    </w:p>
    <w:p>
      <w:pPr>
        <w:spacing w:line="520" w:lineRule="exact"/>
        <w:ind w:left="420" w:leftChars="200" w:firstLine="524" w:firstLineChars="200"/>
        <w:jc w:val="left"/>
        <w:rPr>
          <w:rFonts w:ascii="宋体" w:hAnsi="宋体" w:cs="宋体"/>
          <w:bCs/>
          <w:spacing w:val="-9"/>
          <w:sz w:val="28"/>
          <w:szCs w:val="28"/>
        </w:rPr>
      </w:pPr>
      <w:r>
        <w:rPr>
          <w:rFonts w:hint="eastAsia" w:ascii="宋体" w:hAnsi="宋体" w:cs="宋体"/>
          <w:bCs/>
          <w:spacing w:val="-9"/>
          <w:sz w:val="28"/>
          <w:szCs w:val="28"/>
        </w:rPr>
        <w:t>2、</w:t>
      </w:r>
      <w:r>
        <w:rPr>
          <w:rFonts w:hint="eastAsia" w:ascii="宋体" w:hAnsi="宋体" w:cs="宋体"/>
          <w:spacing w:val="-9"/>
          <w:sz w:val="28"/>
          <w:szCs w:val="28"/>
        </w:rPr>
        <w:t>报告使用期限：根据《房地产估价规范》的有关规定，本估价报告使用期限自估价报告出具日期起壹年，即使用期限自2022年06月17日至2023年06月16日止。超过估价报告使用期限使用本估价报告，相关责任由使用者承担。</w:t>
      </w:r>
    </w:p>
    <w:p>
      <w:pPr>
        <w:spacing w:before="240" w:line="520" w:lineRule="exact"/>
        <w:ind w:right="560" w:firstLine="560" w:firstLineChars="200"/>
        <w:jc w:val="center"/>
        <w:rPr>
          <w:rFonts w:ascii="宋体" w:hAnsi="宋体" w:cs="宋体"/>
          <w:sz w:val="28"/>
          <w:szCs w:val="28"/>
        </w:rPr>
      </w:pPr>
    </w:p>
    <w:p>
      <w:pPr>
        <w:spacing w:before="240" w:line="520" w:lineRule="exact"/>
        <w:ind w:right="560" w:firstLine="560" w:firstLineChars="200"/>
        <w:jc w:val="center"/>
        <w:rPr>
          <w:rFonts w:ascii="宋体" w:hAnsi="宋体" w:cs="宋体"/>
          <w:sz w:val="28"/>
          <w:szCs w:val="28"/>
        </w:rPr>
      </w:pPr>
    </w:p>
    <w:p>
      <w:pPr>
        <w:spacing w:before="240" w:line="520" w:lineRule="exact"/>
        <w:ind w:right="560" w:firstLine="560" w:firstLineChars="200"/>
        <w:jc w:val="center"/>
        <w:rPr>
          <w:rFonts w:ascii="宋体" w:hAnsi="宋体" w:cs="宋体"/>
          <w:sz w:val="28"/>
          <w:szCs w:val="28"/>
        </w:rPr>
      </w:pPr>
    </w:p>
    <w:p>
      <w:pPr>
        <w:spacing w:before="240" w:line="520" w:lineRule="exact"/>
        <w:ind w:right="560" w:firstLine="560" w:firstLineChars="200"/>
        <w:jc w:val="center"/>
        <w:rPr>
          <w:rFonts w:ascii="宋体" w:hAnsi="宋体" w:cs="宋体"/>
          <w:sz w:val="28"/>
          <w:szCs w:val="28"/>
        </w:rPr>
      </w:pPr>
      <w:r>
        <w:rPr>
          <w:rFonts w:hint="eastAsia" w:ascii="宋体" w:hAnsi="宋体" w:cs="宋体"/>
          <w:sz w:val="28"/>
          <w:szCs w:val="28"/>
        </w:rPr>
        <w:t>云南雨涵房地产评估有限责任公司</w:t>
      </w:r>
    </w:p>
    <w:p>
      <w:pPr>
        <w:spacing w:line="520" w:lineRule="exact"/>
        <w:ind w:right="1400" w:firstLine="560" w:firstLineChars="200"/>
        <w:jc w:val="center"/>
        <w:rPr>
          <w:rFonts w:ascii="宋体" w:hAnsi="宋体" w:cs="宋体"/>
          <w:sz w:val="28"/>
          <w:szCs w:val="28"/>
        </w:rPr>
      </w:pPr>
      <w:r>
        <w:rPr>
          <w:rFonts w:hint="eastAsia" w:ascii="宋体" w:hAnsi="宋体" w:cs="宋体"/>
          <w:sz w:val="28"/>
          <w:szCs w:val="28"/>
        </w:rPr>
        <w:t>法定代表人（签名或盖章）：</w:t>
      </w:r>
    </w:p>
    <w:p>
      <w:pPr>
        <w:ind w:firstLine="560" w:firstLineChars="200"/>
        <w:jc w:val="center"/>
        <w:rPr>
          <w:rFonts w:ascii="宋体" w:hAnsi="宋体" w:cs="宋体"/>
          <w:sz w:val="28"/>
          <w:szCs w:val="28"/>
        </w:rPr>
      </w:pPr>
      <w:r>
        <w:rPr>
          <w:rFonts w:hint="eastAsia" w:ascii="宋体" w:hAnsi="宋体" w:cs="宋体"/>
          <w:sz w:val="28"/>
          <w:szCs w:val="28"/>
        </w:rPr>
        <w:t>二○二二年六月十七日</w:t>
      </w:r>
    </w:p>
    <w:p>
      <w:pPr>
        <w:ind w:firstLine="560" w:firstLineChars="200"/>
        <w:jc w:val="center"/>
        <w:rPr>
          <w:rFonts w:ascii="宋体" w:hAnsi="宋体" w:cs="宋体"/>
          <w:sz w:val="28"/>
          <w:szCs w:val="28"/>
        </w:rPr>
      </w:pPr>
    </w:p>
    <w:p>
      <w:pPr>
        <w:ind w:firstLine="560" w:firstLineChars="200"/>
        <w:jc w:val="center"/>
        <w:rPr>
          <w:rFonts w:ascii="宋体" w:hAnsi="宋体" w:cs="宋体"/>
          <w:sz w:val="28"/>
          <w:szCs w:val="28"/>
        </w:rPr>
      </w:pPr>
    </w:p>
    <w:p>
      <w:pPr>
        <w:ind w:firstLine="560" w:firstLineChars="200"/>
        <w:jc w:val="center"/>
        <w:rPr>
          <w:rFonts w:ascii="宋体" w:hAnsi="宋体" w:cs="宋体"/>
          <w:sz w:val="28"/>
          <w:szCs w:val="28"/>
        </w:rPr>
      </w:pPr>
    </w:p>
    <w:p>
      <w:pPr>
        <w:ind w:firstLine="560" w:firstLineChars="200"/>
        <w:jc w:val="center"/>
        <w:rPr>
          <w:rFonts w:ascii="宋体" w:hAnsi="宋体" w:cs="宋体"/>
          <w:sz w:val="28"/>
          <w:szCs w:val="28"/>
        </w:rPr>
      </w:pPr>
    </w:p>
    <w:p>
      <w:pPr>
        <w:ind w:firstLine="560" w:firstLineChars="200"/>
        <w:jc w:val="center"/>
        <w:rPr>
          <w:rFonts w:ascii="宋体" w:hAnsi="宋体" w:cs="宋体"/>
          <w:sz w:val="28"/>
          <w:szCs w:val="28"/>
        </w:rPr>
      </w:pPr>
    </w:p>
    <w:p>
      <w:pPr>
        <w:ind w:firstLine="560" w:firstLineChars="200"/>
        <w:jc w:val="center"/>
        <w:rPr>
          <w:rFonts w:ascii="宋体" w:hAnsi="宋体" w:cs="宋体"/>
          <w:sz w:val="28"/>
          <w:szCs w:val="28"/>
        </w:rPr>
      </w:pPr>
    </w:p>
    <w:p>
      <w:pPr>
        <w:ind w:firstLine="560" w:firstLineChars="200"/>
        <w:jc w:val="center"/>
        <w:rPr>
          <w:rFonts w:ascii="宋体" w:hAnsi="宋体" w:cs="宋体"/>
          <w:sz w:val="28"/>
          <w:szCs w:val="28"/>
        </w:rPr>
      </w:pPr>
    </w:p>
    <w:p>
      <w:pPr>
        <w:ind w:firstLine="560" w:firstLineChars="200"/>
        <w:jc w:val="center"/>
        <w:rPr>
          <w:rFonts w:ascii="宋体" w:hAnsi="宋体" w:cs="宋体"/>
          <w:sz w:val="28"/>
          <w:szCs w:val="28"/>
        </w:rPr>
      </w:pPr>
    </w:p>
    <w:p>
      <w:pPr>
        <w:ind w:firstLine="560" w:firstLineChars="200"/>
        <w:jc w:val="center"/>
        <w:rPr>
          <w:rFonts w:ascii="宋体" w:hAnsi="宋体" w:cs="宋体"/>
          <w:sz w:val="28"/>
          <w:szCs w:val="28"/>
        </w:rPr>
      </w:pPr>
    </w:p>
    <w:p>
      <w:pPr>
        <w:ind w:firstLine="560" w:firstLineChars="200"/>
        <w:jc w:val="center"/>
        <w:rPr>
          <w:rFonts w:ascii="宋体" w:hAnsi="宋体" w:cs="宋体"/>
          <w:sz w:val="28"/>
          <w:szCs w:val="28"/>
        </w:rPr>
      </w:pPr>
    </w:p>
    <w:p>
      <w:pPr>
        <w:ind w:firstLine="560" w:firstLineChars="200"/>
        <w:jc w:val="center"/>
        <w:rPr>
          <w:rFonts w:ascii="宋体" w:hAnsi="宋体" w:cs="宋体"/>
          <w:sz w:val="28"/>
          <w:szCs w:val="28"/>
        </w:rPr>
      </w:pPr>
    </w:p>
    <w:p>
      <w:pPr>
        <w:ind w:firstLine="883" w:firstLineChars="200"/>
        <w:jc w:val="center"/>
        <w:rPr>
          <w:rFonts w:ascii="宋体" w:hAnsi="宋体" w:cs="宋体"/>
          <w:b/>
          <w:bCs/>
          <w:sz w:val="44"/>
          <w:szCs w:val="44"/>
        </w:rPr>
      </w:pPr>
      <w:r>
        <w:rPr>
          <w:rFonts w:hint="eastAsia" w:ascii="宋体" w:hAnsi="宋体" w:cs="宋体"/>
          <w:b/>
          <w:bCs/>
          <w:sz w:val="44"/>
          <w:szCs w:val="44"/>
        </w:rPr>
        <w:t>目录</w:t>
      </w:r>
    </w:p>
    <w:p>
      <w:pPr>
        <w:ind w:firstLine="883" w:firstLineChars="200"/>
        <w:jc w:val="center"/>
        <w:rPr>
          <w:rFonts w:ascii="宋体" w:cs="Times New Roman"/>
          <w:b/>
          <w:bCs/>
          <w:sz w:val="44"/>
          <w:szCs w:val="44"/>
        </w:rPr>
      </w:pPr>
    </w:p>
    <w:p>
      <w:pPr>
        <w:pStyle w:val="13"/>
        <w:tabs>
          <w:tab w:val="right" w:leader="dot" w:pos="9213"/>
          <w:tab w:val="clear" w:pos="9203"/>
        </w:tabs>
      </w:pPr>
      <w:r>
        <w:rPr>
          <w:sz w:val="28"/>
          <w:szCs w:val="28"/>
        </w:rPr>
        <w:fldChar w:fldCharType="begin"/>
      </w:r>
      <w:r>
        <w:rPr>
          <w:rFonts w:hint="eastAsia"/>
          <w:sz w:val="28"/>
          <w:szCs w:val="28"/>
        </w:rPr>
        <w:instrText xml:space="preserve">TOC \o "1-2" \h \z \u</w:instrText>
      </w:r>
      <w:r>
        <w:rPr>
          <w:sz w:val="28"/>
          <w:szCs w:val="28"/>
        </w:rPr>
        <w:fldChar w:fldCharType="separate"/>
      </w:r>
      <w:r>
        <w:rPr>
          <w:szCs w:val="28"/>
        </w:rPr>
        <w:fldChar w:fldCharType="begin"/>
      </w:r>
      <w:r>
        <w:rPr>
          <w:szCs w:val="28"/>
        </w:rPr>
        <w:instrText xml:space="preserve"> HYPERLINK \l _Toc12177 </w:instrText>
      </w:r>
      <w:r>
        <w:rPr>
          <w:szCs w:val="28"/>
        </w:rPr>
        <w:fldChar w:fldCharType="separate"/>
      </w:r>
      <w:r>
        <w:rPr>
          <w:rFonts w:hint="eastAsia" w:ascii="宋体" w:hAnsi="宋体" w:cs="宋体"/>
          <w:bCs/>
          <w:spacing w:val="-9"/>
          <w:szCs w:val="44"/>
        </w:rPr>
        <w:t>估价师声明</w:t>
      </w:r>
      <w:r>
        <w:tab/>
      </w:r>
      <w:r>
        <w:fldChar w:fldCharType="begin"/>
      </w:r>
      <w:r>
        <w:instrText xml:space="preserve"> PAGEREF _Toc12177 \h </w:instrText>
      </w:r>
      <w:r>
        <w:fldChar w:fldCharType="separate"/>
      </w:r>
      <w:r>
        <w:t>6</w:t>
      </w:r>
      <w:r>
        <w:fldChar w:fldCharType="end"/>
      </w:r>
      <w:r>
        <w:rPr>
          <w:szCs w:val="28"/>
        </w:rPr>
        <w:fldChar w:fldCharType="end"/>
      </w:r>
    </w:p>
    <w:p>
      <w:pPr>
        <w:pStyle w:val="13"/>
        <w:tabs>
          <w:tab w:val="right" w:leader="dot" w:pos="9213"/>
          <w:tab w:val="clear" w:pos="9203"/>
        </w:tabs>
      </w:pPr>
      <w:r>
        <w:rPr>
          <w:szCs w:val="28"/>
        </w:rPr>
        <w:fldChar w:fldCharType="begin"/>
      </w:r>
      <w:r>
        <w:rPr>
          <w:szCs w:val="28"/>
        </w:rPr>
        <w:instrText xml:space="preserve"> HYPERLINK \l _Toc4946 </w:instrText>
      </w:r>
      <w:r>
        <w:rPr>
          <w:szCs w:val="28"/>
        </w:rPr>
        <w:fldChar w:fldCharType="separate"/>
      </w:r>
      <w:r>
        <w:rPr>
          <w:rFonts w:hint="eastAsia" w:ascii="宋体" w:hAnsi="宋体" w:cs="宋体"/>
          <w:bCs/>
          <w:spacing w:val="-9"/>
          <w:szCs w:val="44"/>
        </w:rPr>
        <w:t>估价假设和限制条件</w:t>
      </w:r>
      <w:r>
        <w:tab/>
      </w:r>
      <w:r>
        <w:fldChar w:fldCharType="begin"/>
      </w:r>
      <w:r>
        <w:instrText xml:space="preserve"> PAGEREF _Toc4946 \h </w:instrText>
      </w:r>
      <w:r>
        <w:fldChar w:fldCharType="separate"/>
      </w:r>
      <w:r>
        <w:t>7</w:t>
      </w:r>
      <w:r>
        <w:fldChar w:fldCharType="end"/>
      </w:r>
      <w:r>
        <w:rPr>
          <w:szCs w:val="28"/>
        </w:rPr>
        <w:fldChar w:fldCharType="end"/>
      </w:r>
    </w:p>
    <w:p>
      <w:pPr>
        <w:pStyle w:val="13"/>
        <w:tabs>
          <w:tab w:val="right" w:leader="dot" w:pos="9213"/>
          <w:tab w:val="clear" w:pos="9203"/>
        </w:tabs>
      </w:pPr>
      <w:r>
        <w:rPr>
          <w:szCs w:val="28"/>
        </w:rPr>
        <w:fldChar w:fldCharType="begin"/>
      </w:r>
      <w:r>
        <w:rPr>
          <w:szCs w:val="28"/>
        </w:rPr>
        <w:instrText xml:space="preserve"> HYPERLINK \l _Toc5107 </w:instrText>
      </w:r>
      <w:r>
        <w:rPr>
          <w:szCs w:val="28"/>
        </w:rPr>
        <w:fldChar w:fldCharType="separate"/>
      </w:r>
      <w:r>
        <w:rPr>
          <w:rFonts w:hint="eastAsia" w:ascii="宋体" w:hAnsi="宋体" w:cs="宋体"/>
          <w:bCs/>
          <w:spacing w:val="-9"/>
          <w:szCs w:val="44"/>
        </w:rPr>
        <w:t>估价结果报告</w:t>
      </w:r>
      <w:r>
        <w:tab/>
      </w:r>
      <w:r>
        <w:fldChar w:fldCharType="begin"/>
      </w:r>
      <w:r>
        <w:instrText xml:space="preserve"> PAGEREF _Toc5107 \h </w:instrText>
      </w:r>
      <w:r>
        <w:fldChar w:fldCharType="separate"/>
      </w:r>
      <w:r>
        <w:t>11</w:t>
      </w:r>
      <w:r>
        <w:fldChar w:fldCharType="end"/>
      </w:r>
      <w:r>
        <w:rPr>
          <w:szCs w:val="28"/>
        </w:rPr>
        <w:fldChar w:fldCharType="end"/>
      </w:r>
    </w:p>
    <w:p>
      <w:pPr>
        <w:pStyle w:val="16"/>
        <w:tabs>
          <w:tab w:val="right" w:leader="dot" w:pos="9213"/>
        </w:tabs>
      </w:pPr>
      <w:r>
        <w:rPr>
          <w:szCs w:val="28"/>
        </w:rPr>
        <w:fldChar w:fldCharType="begin"/>
      </w:r>
      <w:r>
        <w:rPr>
          <w:szCs w:val="28"/>
        </w:rPr>
        <w:instrText xml:space="preserve"> HYPERLINK \l _Toc25814 </w:instrText>
      </w:r>
      <w:r>
        <w:rPr>
          <w:szCs w:val="28"/>
        </w:rPr>
        <w:fldChar w:fldCharType="separate"/>
      </w:r>
      <w:r>
        <w:rPr>
          <w:rFonts w:hint="eastAsia" w:ascii="宋体" w:hAnsi="宋体" w:cs="宋体"/>
          <w:bCs/>
          <w:szCs w:val="28"/>
        </w:rPr>
        <w:t>一、估价委托人</w:t>
      </w:r>
      <w:r>
        <w:tab/>
      </w:r>
      <w:r>
        <w:fldChar w:fldCharType="begin"/>
      </w:r>
      <w:r>
        <w:instrText xml:space="preserve"> PAGEREF _Toc25814 \h </w:instrText>
      </w:r>
      <w:r>
        <w:fldChar w:fldCharType="separate"/>
      </w:r>
      <w:r>
        <w:t>11</w:t>
      </w:r>
      <w:r>
        <w:fldChar w:fldCharType="end"/>
      </w:r>
      <w:r>
        <w:rPr>
          <w:szCs w:val="28"/>
        </w:rPr>
        <w:fldChar w:fldCharType="end"/>
      </w:r>
    </w:p>
    <w:p>
      <w:pPr>
        <w:pStyle w:val="16"/>
        <w:tabs>
          <w:tab w:val="right" w:leader="dot" w:pos="9213"/>
        </w:tabs>
      </w:pPr>
      <w:r>
        <w:rPr>
          <w:szCs w:val="28"/>
        </w:rPr>
        <w:fldChar w:fldCharType="begin"/>
      </w:r>
      <w:r>
        <w:rPr>
          <w:szCs w:val="28"/>
        </w:rPr>
        <w:instrText xml:space="preserve"> HYPERLINK \l _Toc13958 </w:instrText>
      </w:r>
      <w:r>
        <w:rPr>
          <w:szCs w:val="28"/>
        </w:rPr>
        <w:fldChar w:fldCharType="separate"/>
      </w:r>
      <w:r>
        <w:rPr>
          <w:rFonts w:hint="eastAsia" w:ascii="宋体" w:hAnsi="宋体" w:cs="宋体"/>
          <w:bCs/>
          <w:szCs w:val="28"/>
        </w:rPr>
        <w:t>二、房地产估价机构</w:t>
      </w:r>
      <w:bookmarkStart w:id="24" w:name="_GoBack"/>
      <w:bookmarkEnd w:id="24"/>
      <w:r>
        <w:tab/>
      </w:r>
      <w:r>
        <w:fldChar w:fldCharType="begin"/>
      </w:r>
      <w:r>
        <w:instrText xml:space="preserve"> PAGEREF _Toc13958 \h </w:instrText>
      </w:r>
      <w:r>
        <w:fldChar w:fldCharType="separate"/>
      </w:r>
      <w:r>
        <w:t>11</w:t>
      </w:r>
      <w:r>
        <w:fldChar w:fldCharType="end"/>
      </w:r>
      <w:r>
        <w:rPr>
          <w:szCs w:val="28"/>
        </w:rPr>
        <w:fldChar w:fldCharType="end"/>
      </w:r>
    </w:p>
    <w:p>
      <w:pPr>
        <w:pStyle w:val="16"/>
        <w:tabs>
          <w:tab w:val="right" w:leader="dot" w:pos="9213"/>
        </w:tabs>
      </w:pPr>
      <w:r>
        <w:rPr>
          <w:szCs w:val="28"/>
        </w:rPr>
        <w:fldChar w:fldCharType="begin"/>
      </w:r>
      <w:r>
        <w:rPr>
          <w:szCs w:val="28"/>
        </w:rPr>
        <w:instrText xml:space="preserve"> HYPERLINK \l _Toc32346 </w:instrText>
      </w:r>
      <w:r>
        <w:rPr>
          <w:szCs w:val="28"/>
        </w:rPr>
        <w:fldChar w:fldCharType="separate"/>
      </w:r>
      <w:r>
        <w:rPr>
          <w:rFonts w:hint="eastAsia" w:ascii="宋体" w:hAnsi="宋体" w:cs="宋体"/>
          <w:bCs/>
          <w:szCs w:val="28"/>
        </w:rPr>
        <w:t>三、估价目的</w:t>
      </w:r>
      <w:r>
        <w:tab/>
      </w:r>
      <w:r>
        <w:fldChar w:fldCharType="begin"/>
      </w:r>
      <w:r>
        <w:instrText xml:space="preserve"> PAGEREF _Toc32346 \h </w:instrText>
      </w:r>
      <w:r>
        <w:fldChar w:fldCharType="separate"/>
      </w:r>
      <w:r>
        <w:t>11</w:t>
      </w:r>
      <w:r>
        <w:fldChar w:fldCharType="end"/>
      </w:r>
      <w:r>
        <w:rPr>
          <w:szCs w:val="28"/>
        </w:rPr>
        <w:fldChar w:fldCharType="end"/>
      </w:r>
    </w:p>
    <w:p>
      <w:pPr>
        <w:pStyle w:val="16"/>
        <w:tabs>
          <w:tab w:val="right" w:leader="dot" w:pos="9213"/>
        </w:tabs>
      </w:pPr>
      <w:r>
        <w:rPr>
          <w:szCs w:val="28"/>
        </w:rPr>
        <w:fldChar w:fldCharType="begin"/>
      </w:r>
      <w:r>
        <w:rPr>
          <w:szCs w:val="28"/>
        </w:rPr>
        <w:instrText xml:space="preserve"> HYPERLINK \l _Toc4708 </w:instrText>
      </w:r>
      <w:r>
        <w:rPr>
          <w:szCs w:val="28"/>
        </w:rPr>
        <w:fldChar w:fldCharType="separate"/>
      </w:r>
      <w:r>
        <w:rPr>
          <w:rFonts w:hint="eastAsia" w:ascii="宋体" w:hAnsi="宋体" w:cs="宋体"/>
          <w:bCs/>
          <w:szCs w:val="28"/>
        </w:rPr>
        <w:t>四、估价对象</w:t>
      </w:r>
      <w:r>
        <w:tab/>
      </w:r>
      <w:r>
        <w:fldChar w:fldCharType="begin"/>
      </w:r>
      <w:r>
        <w:instrText xml:space="preserve"> PAGEREF _Toc4708 \h </w:instrText>
      </w:r>
      <w:r>
        <w:fldChar w:fldCharType="separate"/>
      </w:r>
      <w:r>
        <w:t>11</w:t>
      </w:r>
      <w:r>
        <w:fldChar w:fldCharType="end"/>
      </w:r>
      <w:r>
        <w:rPr>
          <w:szCs w:val="28"/>
        </w:rPr>
        <w:fldChar w:fldCharType="end"/>
      </w:r>
    </w:p>
    <w:p>
      <w:pPr>
        <w:pStyle w:val="16"/>
        <w:tabs>
          <w:tab w:val="right" w:leader="dot" w:pos="9213"/>
        </w:tabs>
      </w:pPr>
      <w:r>
        <w:rPr>
          <w:szCs w:val="28"/>
        </w:rPr>
        <w:fldChar w:fldCharType="begin"/>
      </w:r>
      <w:r>
        <w:rPr>
          <w:szCs w:val="28"/>
        </w:rPr>
        <w:instrText xml:space="preserve"> HYPERLINK \l _Toc27936 </w:instrText>
      </w:r>
      <w:r>
        <w:rPr>
          <w:szCs w:val="28"/>
        </w:rPr>
        <w:fldChar w:fldCharType="separate"/>
      </w:r>
      <w:r>
        <w:rPr>
          <w:rFonts w:hint="eastAsia" w:ascii="宋体" w:hAnsi="宋体" w:cs="宋体"/>
          <w:bCs/>
          <w:szCs w:val="28"/>
        </w:rPr>
        <w:t>五、价值时点</w:t>
      </w:r>
      <w:r>
        <w:tab/>
      </w:r>
      <w:r>
        <w:fldChar w:fldCharType="begin"/>
      </w:r>
      <w:r>
        <w:instrText xml:space="preserve"> PAGEREF _Toc27936 \h </w:instrText>
      </w:r>
      <w:r>
        <w:fldChar w:fldCharType="separate"/>
      </w:r>
      <w:r>
        <w:t>14</w:t>
      </w:r>
      <w:r>
        <w:fldChar w:fldCharType="end"/>
      </w:r>
      <w:r>
        <w:rPr>
          <w:szCs w:val="28"/>
        </w:rPr>
        <w:fldChar w:fldCharType="end"/>
      </w:r>
    </w:p>
    <w:p>
      <w:pPr>
        <w:pStyle w:val="16"/>
        <w:tabs>
          <w:tab w:val="right" w:leader="dot" w:pos="9213"/>
        </w:tabs>
      </w:pPr>
      <w:r>
        <w:rPr>
          <w:szCs w:val="28"/>
        </w:rPr>
        <w:fldChar w:fldCharType="begin"/>
      </w:r>
      <w:r>
        <w:rPr>
          <w:szCs w:val="28"/>
        </w:rPr>
        <w:instrText xml:space="preserve"> HYPERLINK \l _Toc19472 </w:instrText>
      </w:r>
      <w:r>
        <w:rPr>
          <w:szCs w:val="28"/>
        </w:rPr>
        <w:fldChar w:fldCharType="separate"/>
      </w:r>
      <w:r>
        <w:rPr>
          <w:rFonts w:hint="eastAsia" w:ascii="宋体" w:hAnsi="宋体" w:cs="宋体"/>
          <w:bCs/>
          <w:szCs w:val="28"/>
        </w:rPr>
        <w:t>六、价值类型</w:t>
      </w:r>
      <w:r>
        <w:tab/>
      </w:r>
      <w:r>
        <w:fldChar w:fldCharType="begin"/>
      </w:r>
      <w:r>
        <w:instrText xml:space="preserve"> PAGEREF _Toc19472 \h </w:instrText>
      </w:r>
      <w:r>
        <w:fldChar w:fldCharType="separate"/>
      </w:r>
      <w:r>
        <w:t>15</w:t>
      </w:r>
      <w:r>
        <w:fldChar w:fldCharType="end"/>
      </w:r>
      <w:r>
        <w:rPr>
          <w:szCs w:val="28"/>
        </w:rPr>
        <w:fldChar w:fldCharType="end"/>
      </w:r>
    </w:p>
    <w:p>
      <w:pPr>
        <w:pStyle w:val="16"/>
        <w:tabs>
          <w:tab w:val="right" w:leader="dot" w:pos="9213"/>
        </w:tabs>
      </w:pPr>
      <w:r>
        <w:rPr>
          <w:szCs w:val="28"/>
        </w:rPr>
        <w:fldChar w:fldCharType="begin"/>
      </w:r>
      <w:r>
        <w:rPr>
          <w:szCs w:val="28"/>
        </w:rPr>
        <w:instrText xml:space="preserve"> HYPERLINK \l _Toc1731 </w:instrText>
      </w:r>
      <w:r>
        <w:rPr>
          <w:szCs w:val="28"/>
        </w:rPr>
        <w:fldChar w:fldCharType="separate"/>
      </w:r>
      <w:r>
        <w:rPr>
          <w:rFonts w:hint="eastAsia" w:ascii="宋体" w:hAnsi="宋体" w:cs="宋体"/>
          <w:bCs/>
          <w:spacing w:val="-9"/>
          <w:szCs w:val="28"/>
        </w:rPr>
        <w:t>七、估价原则</w:t>
      </w:r>
      <w:r>
        <w:tab/>
      </w:r>
      <w:r>
        <w:fldChar w:fldCharType="begin"/>
      </w:r>
      <w:r>
        <w:instrText xml:space="preserve"> PAGEREF _Toc1731 \h </w:instrText>
      </w:r>
      <w:r>
        <w:fldChar w:fldCharType="separate"/>
      </w:r>
      <w:r>
        <w:t>15</w:t>
      </w:r>
      <w:r>
        <w:fldChar w:fldCharType="end"/>
      </w:r>
      <w:r>
        <w:rPr>
          <w:szCs w:val="28"/>
        </w:rPr>
        <w:fldChar w:fldCharType="end"/>
      </w:r>
    </w:p>
    <w:p>
      <w:pPr>
        <w:pStyle w:val="16"/>
        <w:tabs>
          <w:tab w:val="right" w:leader="dot" w:pos="9213"/>
        </w:tabs>
      </w:pPr>
      <w:r>
        <w:rPr>
          <w:szCs w:val="28"/>
        </w:rPr>
        <w:fldChar w:fldCharType="begin"/>
      </w:r>
      <w:r>
        <w:rPr>
          <w:szCs w:val="28"/>
        </w:rPr>
        <w:instrText xml:space="preserve"> HYPERLINK \l _Toc8532 </w:instrText>
      </w:r>
      <w:r>
        <w:rPr>
          <w:szCs w:val="28"/>
        </w:rPr>
        <w:fldChar w:fldCharType="separate"/>
      </w:r>
      <w:r>
        <w:rPr>
          <w:rFonts w:hint="eastAsia" w:ascii="宋体" w:hAnsi="宋体" w:cs="宋体"/>
          <w:bCs/>
          <w:spacing w:val="-9"/>
          <w:szCs w:val="28"/>
        </w:rPr>
        <w:t>八、价值依据</w:t>
      </w:r>
      <w:r>
        <w:tab/>
      </w:r>
      <w:r>
        <w:fldChar w:fldCharType="begin"/>
      </w:r>
      <w:r>
        <w:instrText xml:space="preserve"> PAGEREF _Toc8532 \h </w:instrText>
      </w:r>
      <w:r>
        <w:fldChar w:fldCharType="separate"/>
      </w:r>
      <w:r>
        <w:t>16</w:t>
      </w:r>
      <w:r>
        <w:fldChar w:fldCharType="end"/>
      </w:r>
      <w:r>
        <w:rPr>
          <w:szCs w:val="28"/>
        </w:rPr>
        <w:fldChar w:fldCharType="end"/>
      </w:r>
    </w:p>
    <w:p>
      <w:pPr>
        <w:pStyle w:val="16"/>
        <w:tabs>
          <w:tab w:val="right" w:leader="dot" w:pos="9213"/>
        </w:tabs>
      </w:pPr>
      <w:r>
        <w:rPr>
          <w:szCs w:val="28"/>
        </w:rPr>
        <w:fldChar w:fldCharType="begin"/>
      </w:r>
      <w:r>
        <w:rPr>
          <w:szCs w:val="28"/>
        </w:rPr>
        <w:instrText xml:space="preserve"> HYPERLINK \l _Toc15896 </w:instrText>
      </w:r>
      <w:r>
        <w:rPr>
          <w:szCs w:val="28"/>
        </w:rPr>
        <w:fldChar w:fldCharType="separate"/>
      </w:r>
      <w:r>
        <w:rPr>
          <w:rFonts w:hint="eastAsia" w:ascii="宋体" w:hAnsi="宋体" w:cs="宋体"/>
          <w:bCs/>
          <w:szCs w:val="28"/>
        </w:rPr>
        <w:t>九、估价方法</w:t>
      </w:r>
      <w:r>
        <w:tab/>
      </w:r>
      <w:r>
        <w:fldChar w:fldCharType="begin"/>
      </w:r>
      <w:r>
        <w:instrText xml:space="preserve"> PAGEREF _Toc15896 \h </w:instrText>
      </w:r>
      <w:r>
        <w:fldChar w:fldCharType="separate"/>
      </w:r>
      <w:r>
        <w:t>18</w:t>
      </w:r>
      <w:r>
        <w:fldChar w:fldCharType="end"/>
      </w:r>
      <w:r>
        <w:rPr>
          <w:szCs w:val="28"/>
        </w:rPr>
        <w:fldChar w:fldCharType="end"/>
      </w:r>
    </w:p>
    <w:p>
      <w:pPr>
        <w:pStyle w:val="16"/>
        <w:tabs>
          <w:tab w:val="right" w:leader="dot" w:pos="9213"/>
        </w:tabs>
      </w:pPr>
      <w:r>
        <w:rPr>
          <w:szCs w:val="28"/>
        </w:rPr>
        <w:fldChar w:fldCharType="begin"/>
      </w:r>
      <w:r>
        <w:rPr>
          <w:szCs w:val="28"/>
        </w:rPr>
        <w:instrText xml:space="preserve"> HYPERLINK \l _Toc32023 </w:instrText>
      </w:r>
      <w:r>
        <w:rPr>
          <w:szCs w:val="28"/>
        </w:rPr>
        <w:fldChar w:fldCharType="separate"/>
      </w:r>
      <w:r>
        <w:rPr>
          <w:rFonts w:hint="eastAsia" w:ascii="宋体" w:hAnsi="宋体" w:cs="宋体"/>
          <w:bCs/>
          <w:spacing w:val="-9"/>
          <w:szCs w:val="28"/>
        </w:rPr>
        <w:t>十、估价结果</w:t>
      </w:r>
      <w:r>
        <w:tab/>
      </w:r>
      <w:r>
        <w:fldChar w:fldCharType="begin"/>
      </w:r>
      <w:r>
        <w:instrText xml:space="preserve"> PAGEREF _Toc32023 \h </w:instrText>
      </w:r>
      <w:r>
        <w:fldChar w:fldCharType="separate"/>
      </w:r>
      <w:r>
        <w:t>19</w:t>
      </w:r>
      <w:r>
        <w:fldChar w:fldCharType="end"/>
      </w:r>
      <w:r>
        <w:rPr>
          <w:szCs w:val="28"/>
        </w:rPr>
        <w:fldChar w:fldCharType="end"/>
      </w:r>
    </w:p>
    <w:p>
      <w:pPr>
        <w:pStyle w:val="16"/>
        <w:tabs>
          <w:tab w:val="right" w:leader="dot" w:pos="9213"/>
        </w:tabs>
      </w:pPr>
      <w:r>
        <w:rPr>
          <w:szCs w:val="28"/>
        </w:rPr>
        <w:fldChar w:fldCharType="begin"/>
      </w:r>
      <w:r>
        <w:rPr>
          <w:szCs w:val="28"/>
        </w:rPr>
        <w:instrText xml:space="preserve"> HYPERLINK \l _Toc12328 </w:instrText>
      </w:r>
      <w:r>
        <w:rPr>
          <w:szCs w:val="28"/>
        </w:rPr>
        <w:fldChar w:fldCharType="separate"/>
      </w:r>
      <w:r>
        <w:rPr>
          <w:rFonts w:hint="eastAsia" w:ascii="宋体" w:hAnsi="宋体" w:cs="宋体"/>
          <w:bCs/>
          <w:spacing w:val="-9"/>
          <w:szCs w:val="28"/>
        </w:rPr>
        <w:t>十一、注册房地产估价师</w:t>
      </w:r>
      <w:r>
        <w:tab/>
      </w:r>
      <w:r>
        <w:fldChar w:fldCharType="begin"/>
      </w:r>
      <w:r>
        <w:instrText xml:space="preserve"> PAGEREF _Toc12328 \h </w:instrText>
      </w:r>
      <w:r>
        <w:fldChar w:fldCharType="separate"/>
      </w:r>
      <w:r>
        <w:t>20</w:t>
      </w:r>
      <w:r>
        <w:fldChar w:fldCharType="end"/>
      </w:r>
      <w:r>
        <w:rPr>
          <w:szCs w:val="28"/>
        </w:rPr>
        <w:fldChar w:fldCharType="end"/>
      </w:r>
    </w:p>
    <w:p>
      <w:pPr>
        <w:pStyle w:val="16"/>
        <w:tabs>
          <w:tab w:val="right" w:leader="dot" w:pos="9213"/>
        </w:tabs>
      </w:pPr>
      <w:r>
        <w:rPr>
          <w:szCs w:val="28"/>
        </w:rPr>
        <w:fldChar w:fldCharType="begin"/>
      </w:r>
      <w:r>
        <w:rPr>
          <w:szCs w:val="28"/>
        </w:rPr>
        <w:instrText xml:space="preserve"> HYPERLINK \l _Toc30459 </w:instrText>
      </w:r>
      <w:r>
        <w:rPr>
          <w:szCs w:val="28"/>
        </w:rPr>
        <w:fldChar w:fldCharType="separate"/>
      </w:r>
      <w:r>
        <w:rPr>
          <w:rFonts w:hint="eastAsia" w:ascii="宋体" w:hAnsi="宋体" w:cs="宋体"/>
          <w:bCs/>
          <w:spacing w:val="-9"/>
          <w:szCs w:val="28"/>
        </w:rPr>
        <w:t>十二、实地查勘期</w:t>
      </w:r>
      <w:r>
        <w:tab/>
      </w:r>
      <w:r>
        <w:fldChar w:fldCharType="begin"/>
      </w:r>
      <w:r>
        <w:instrText xml:space="preserve"> PAGEREF _Toc30459 \h </w:instrText>
      </w:r>
      <w:r>
        <w:fldChar w:fldCharType="separate"/>
      </w:r>
      <w:r>
        <w:t>20</w:t>
      </w:r>
      <w:r>
        <w:fldChar w:fldCharType="end"/>
      </w:r>
      <w:r>
        <w:rPr>
          <w:szCs w:val="28"/>
        </w:rPr>
        <w:fldChar w:fldCharType="end"/>
      </w:r>
    </w:p>
    <w:p>
      <w:pPr>
        <w:pStyle w:val="16"/>
        <w:tabs>
          <w:tab w:val="right" w:leader="dot" w:pos="9213"/>
        </w:tabs>
      </w:pPr>
      <w:r>
        <w:rPr>
          <w:szCs w:val="28"/>
        </w:rPr>
        <w:fldChar w:fldCharType="begin"/>
      </w:r>
      <w:r>
        <w:rPr>
          <w:szCs w:val="28"/>
        </w:rPr>
        <w:instrText xml:space="preserve"> HYPERLINK \l _Toc12770 </w:instrText>
      </w:r>
      <w:r>
        <w:rPr>
          <w:szCs w:val="28"/>
        </w:rPr>
        <w:fldChar w:fldCharType="separate"/>
      </w:r>
      <w:r>
        <w:rPr>
          <w:rFonts w:hint="eastAsia" w:ascii="宋体" w:hAnsi="宋体" w:cs="宋体"/>
          <w:bCs/>
          <w:spacing w:val="-9"/>
          <w:szCs w:val="28"/>
        </w:rPr>
        <w:t>十三、估价作业日期</w:t>
      </w:r>
      <w:r>
        <w:tab/>
      </w:r>
      <w:r>
        <w:fldChar w:fldCharType="begin"/>
      </w:r>
      <w:r>
        <w:instrText xml:space="preserve"> PAGEREF _Toc12770 \h </w:instrText>
      </w:r>
      <w:r>
        <w:fldChar w:fldCharType="separate"/>
      </w:r>
      <w:r>
        <w:t>20</w:t>
      </w:r>
      <w:r>
        <w:fldChar w:fldCharType="end"/>
      </w:r>
      <w:r>
        <w:rPr>
          <w:szCs w:val="28"/>
        </w:rPr>
        <w:fldChar w:fldCharType="end"/>
      </w:r>
    </w:p>
    <w:p>
      <w:pPr>
        <w:pStyle w:val="13"/>
        <w:tabs>
          <w:tab w:val="right" w:leader="dot" w:pos="9213"/>
          <w:tab w:val="clear" w:pos="9203"/>
        </w:tabs>
      </w:pPr>
      <w:r>
        <w:rPr>
          <w:szCs w:val="28"/>
        </w:rPr>
        <w:fldChar w:fldCharType="begin"/>
      </w:r>
      <w:r>
        <w:rPr>
          <w:szCs w:val="28"/>
        </w:rPr>
        <w:instrText xml:space="preserve"> HYPERLINK \l _Toc1210 </w:instrText>
      </w:r>
      <w:r>
        <w:rPr>
          <w:szCs w:val="28"/>
        </w:rPr>
        <w:fldChar w:fldCharType="separate"/>
      </w:r>
      <w:r>
        <w:rPr>
          <w:rFonts w:hint="eastAsia" w:ascii="宋体" w:hAnsi="宋体" w:cs="宋体"/>
          <w:bCs/>
          <w:spacing w:val="-9"/>
          <w:szCs w:val="44"/>
        </w:rPr>
        <w:t>附件</w:t>
      </w:r>
      <w:r>
        <w:tab/>
      </w:r>
      <w:r>
        <w:fldChar w:fldCharType="begin"/>
      </w:r>
      <w:r>
        <w:instrText xml:space="preserve"> PAGEREF _Toc1210 \h </w:instrText>
      </w:r>
      <w:r>
        <w:fldChar w:fldCharType="separate"/>
      </w:r>
      <w:r>
        <w:t>21</w:t>
      </w:r>
      <w:r>
        <w:fldChar w:fldCharType="end"/>
      </w:r>
      <w:r>
        <w:rPr>
          <w:szCs w:val="28"/>
        </w:rPr>
        <w:fldChar w:fldCharType="end"/>
      </w:r>
    </w:p>
    <w:p>
      <w:pPr>
        <w:pStyle w:val="13"/>
        <w:rPr>
          <w:color w:val="FF0000"/>
        </w:rPr>
      </w:pPr>
      <w:r>
        <w:rPr>
          <w:szCs w:val="28"/>
        </w:rPr>
        <w:fldChar w:fldCharType="end"/>
      </w:r>
    </w:p>
    <w:p>
      <w:pPr>
        <w:pStyle w:val="33"/>
        <w:widowControl w:val="0"/>
        <w:numPr>
          <w:ilvl w:val="0"/>
          <w:numId w:val="1"/>
        </w:numPr>
        <w:ind w:firstLineChars="0"/>
        <w:rPr>
          <w:rFonts w:ascii="宋体" w:hAnsi="宋体" w:cs="宋体"/>
          <w:bCs/>
          <w:spacing w:val="-9"/>
        </w:rPr>
      </w:pPr>
      <w:r>
        <w:rPr>
          <w:rFonts w:hint="eastAsia" w:ascii="宋体" w:hAnsi="宋体" w:cs="宋体"/>
          <w:bCs/>
          <w:spacing w:val="-9"/>
        </w:rPr>
        <w:t>寻甸回族彝族自治县人民法院评估委托书、补充说明复印件</w:t>
      </w:r>
    </w:p>
    <w:p>
      <w:pPr>
        <w:pStyle w:val="33"/>
        <w:widowControl w:val="0"/>
        <w:numPr>
          <w:ilvl w:val="0"/>
          <w:numId w:val="1"/>
        </w:numPr>
        <w:ind w:firstLineChars="0"/>
        <w:rPr>
          <w:rFonts w:ascii="宋体" w:hAnsi="宋体" w:cs="宋体"/>
          <w:bCs/>
          <w:spacing w:val="-9"/>
        </w:rPr>
      </w:pPr>
      <w:r>
        <w:rPr>
          <w:rFonts w:hint="eastAsia" w:ascii="宋体" w:hAnsi="宋体" w:cs="宋体"/>
          <w:bCs/>
          <w:spacing w:val="-9"/>
        </w:rPr>
        <w:t>“房屋信息查询摘抄表”复印件及“房屋所有权证”复印件、“住房权属信息证明”复印件</w:t>
      </w:r>
    </w:p>
    <w:p>
      <w:pPr>
        <w:pStyle w:val="33"/>
        <w:widowControl w:val="0"/>
        <w:numPr>
          <w:ilvl w:val="0"/>
          <w:numId w:val="1"/>
        </w:numPr>
        <w:ind w:firstLineChars="0"/>
        <w:rPr>
          <w:rFonts w:ascii="宋体" w:hAnsi="宋体" w:cs="宋体"/>
          <w:bCs/>
          <w:spacing w:val="-9"/>
        </w:rPr>
      </w:pPr>
      <w:r>
        <w:rPr>
          <w:rFonts w:hint="eastAsia" w:ascii="宋体" w:hAnsi="宋体" w:cs="宋体"/>
          <w:bCs/>
          <w:spacing w:val="-9"/>
        </w:rPr>
        <w:t>“集体土地使用证”及土地申请材料复印件</w:t>
      </w:r>
    </w:p>
    <w:p>
      <w:pPr>
        <w:pStyle w:val="33"/>
        <w:widowControl w:val="0"/>
        <w:numPr>
          <w:ilvl w:val="0"/>
          <w:numId w:val="1"/>
        </w:numPr>
        <w:ind w:firstLineChars="0"/>
        <w:rPr>
          <w:rFonts w:ascii="宋体" w:hAnsi="宋体" w:cs="宋体"/>
          <w:bCs/>
          <w:spacing w:val="-9"/>
        </w:rPr>
      </w:pPr>
      <w:r>
        <w:rPr>
          <w:rFonts w:hint="eastAsia" w:ascii="宋体" w:hAnsi="宋体" w:cs="宋体"/>
          <w:bCs/>
          <w:spacing w:val="-9"/>
        </w:rPr>
        <w:t>现场查勘记录表复印件</w:t>
      </w:r>
    </w:p>
    <w:p>
      <w:pPr>
        <w:pStyle w:val="33"/>
        <w:widowControl w:val="0"/>
        <w:numPr>
          <w:ilvl w:val="0"/>
          <w:numId w:val="1"/>
        </w:numPr>
        <w:ind w:firstLineChars="0"/>
        <w:rPr>
          <w:rFonts w:ascii="宋体" w:hAnsi="宋体" w:cs="宋体"/>
          <w:bCs/>
          <w:spacing w:val="-9"/>
        </w:rPr>
      </w:pPr>
      <w:r>
        <w:rPr>
          <w:rFonts w:hint="eastAsia" w:ascii="宋体" w:hAnsi="宋体" w:cs="宋体"/>
          <w:bCs/>
          <w:spacing w:val="-9"/>
        </w:rPr>
        <w:t>估价对象区位图</w:t>
      </w:r>
    </w:p>
    <w:p>
      <w:pPr>
        <w:pStyle w:val="33"/>
        <w:widowControl w:val="0"/>
        <w:numPr>
          <w:ilvl w:val="0"/>
          <w:numId w:val="1"/>
        </w:numPr>
        <w:ind w:firstLineChars="0"/>
        <w:rPr>
          <w:rFonts w:ascii="宋体" w:hAnsi="宋体" w:cs="宋体"/>
          <w:bCs/>
          <w:spacing w:val="-9"/>
        </w:rPr>
      </w:pPr>
      <w:r>
        <w:rPr>
          <w:rFonts w:hint="eastAsia" w:ascii="宋体" w:hAnsi="宋体" w:cs="宋体"/>
          <w:bCs/>
          <w:spacing w:val="-9"/>
        </w:rPr>
        <w:t>估价对象现场部分照片</w:t>
      </w:r>
    </w:p>
    <w:p>
      <w:pPr>
        <w:pStyle w:val="33"/>
        <w:widowControl w:val="0"/>
        <w:numPr>
          <w:ilvl w:val="0"/>
          <w:numId w:val="1"/>
        </w:numPr>
        <w:ind w:firstLineChars="0"/>
        <w:rPr>
          <w:rFonts w:ascii="宋体" w:hAnsi="宋体" w:cs="宋体"/>
          <w:bCs/>
          <w:spacing w:val="-9"/>
        </w:rPr>
      </w:pPr>
      <w:r>
        <w:rPr>
          <w:rFonts w:hint="eastAsia" w:ascii="宋体" w:hAnsi="宋体" w:cs="宋体"/>
          <w:bCs/>
          <w:spacing w:val="-9"/>
        </w:rPr>
        <w:t>注册房地产估价师估价资格证书复印件</w:t>
      </w:r>
    </w:p>
    <w:p>
      <w:pPr>
        <w:pStyle w:val="33"/>
        <w:widowControl w:val="0"/>
        <w:numPr>
          <w:ilvl w:val="0"/>
          <w:numId w:val="1"/>
        </w:numPr>
        <w:ind w:firstLineChars="0"/>
        <w:rPr>
          <w:rFonts w:ascii="宋体" w:hAnsi="宋体" w:cs="宋体"/>
          <w:bCs/>
          <w:spacing w:val="-9"/>
        </w:rPr>
      </w:pPr>
      <w:r>
        <w:rPr>
          <w:rFonts w:hint="eastAsia" w:ascii="宋体" w:hAnsi="宋体" w:cs="宋体"/>
          <w:bCs/>
          <w:spacing w:val="-9"/>
        </w:rPr>
        <w:t>房地产估价机构营业执照和估价资质证书复印件</w:t>
      </w:r>
    </w:p>
    <w:p>
      <w:pPr>
        <w:pStyle w:val="8"/>
        <w:widowControl w:val="0"/>
        <w:adjustRightInd w:val="0"/>
        <w:snapToGrid w:val="0"/>
        <w:spacing w:beforeLines="50" w:line="324" w:lineRule="auto"/>
        <w:ind w:left="0" w:firstLine="830" w:firstLineChars="196"/>
        <w:jc w:val="center"/>
        <w:outlineLvl w:val="0"/>
        <w:rPr>
          <w:rFonts w:ascii="宋体" w:hAnsi="宋体" w:cs="宋体"/>
          <w:b/>
          <w:bCs/>
          <w:spacing w:val="-9"/>
          <w:sz w:val="44"/>
          <w:szCs w:val="44"/>
        </w:rPr>
      </w:pPr>
    </w:p>
    <w:p>
      <w:pPr>
        <w:pStyle w:val="8"/>
        <w:widowControl w:val="0"/>
        <w:adjustRightInd w:val="0"/>
        <w:snapToGrid w:val="0"/>
        <w:spacing w:beforeLines="50" w:line="324" w:lineRule="auto"/>
        <w:ind w:left="0" w:firstLine="830" w:firstLineChars="196"/>
        <w:jc w:val="center"/>
        <w:outlineLvl w:val="0"/>
        <w:rPr>
          <w:rFonts w:ascii="宋体" w:hAnsi="宋体" w:cs="宋体"/>
          <w:b/>
          <w:bCs/>
          <w:spacing w:val="-9"/>
          <w:sz w:val="44"/>
          <w:szCs w:val="44"/>
        </w:rPr>
      </w:pPr>
    </w:p>
    <w:p>
      <w:pPr>
        <w:pStyle w:val="8"/>
        <w:widowControl w:val="0"/>
        <w:adjustRightInd w:val="0"/>
        <w:snapToGrid w:val="0"/>
        <w:spacing w:beforeLines="50" w:line="324" w:lineRule="auto"/>
        <w:ind w:left="0" w:firstLine="830" w:firstLineChars="196"/>
        <w:jc w:val="center"/>
        <w:outlineLvl w:val="0"/>
        <w:rPr>
          <w:rFonts w:ascii="宋体" w:hAnsi="宋体" w:cs="宋体"/>
          <w:b/>
          <w:bCs/>
          <w:spacing w:val="-9"/>
          <w:sz w:val="44"/>
          <w:szCs w:val="44"/>
        </w:rPr>
      </w:pPr>
    </w:p>
    <w:p>
      <w:pPr>
        <w:pStyle w:val="8"/>
        <w:widowControl w:val="0"/>
        <w:adjustRightInd w:val="0"/>
        <w:snapToGrid w:val="0"/>
        <w:spacing w:beforeLines="50" w:line="324" w:lineRule="auto"/>
        <w:ind w:left="0" w:firstLine="830" w:firstLineChars="196"/>
        <w:jc w:val="center"/>
        <w:outlineLvl w:val="0"/>
        <w:rPr>
          <w:rFonts w:ascii="宋体" w:hAnsi="宋体" w:cs="宋体"/>
          <w:b/>
          <w:bCs/>
          <w:spacing w:val="-9"/>
          <w:sz w:val="44"/>
          <w:szCs w:val="44"/>
        </w:rPr>
      </w:pPr>
    </w:p>
    <w:p>
      <w:pPr>
        <w:pStyle w:val="8"/>
        <w:widowControl w:val="0"/>
        <w:adjustRightInd w:val="0"/>
        <w:snapToGrid w:val="0"/>
        <w:spacing w:beforeLines="50" w:line="324" w:lineRule="auto"/>
        <w:ind w:left="0" w:firstLine="830" w:firstLineChars="196"/>
        <w:jc w:val="center"/>
        <w:outlineLvl w:val="0"/>
        <w:rPr>
          <w:rFonts w:ascii="宋体" w:hAnsi="宋体" w:cs="宋体"/>
          <w:b/>
          <w:bCs/>
          <w:spacing w:val="-9"/>
          <w:sz w:val="44"/>
          <w:szCs w:val="44"/>
        </w:rPr>
      </w:pPr>
      <w:bookmarkStart w:id="2" w:name="_Toc12177"/>
      <w:r>
        <w:rPr>
          <w:rFonts w:hint="eastAsia" w:ascii="宋体" w:hAnsi="宋体" w:cs="宋体"/>
          <w:b/>
          <w:bCs/>
          <w:spacing w:val="-9"/>
          <w:sz w:val="44"/>
          <w:szCs w:val="44"/>
        </w:rPr>
        <w:t>估价师声明</w:t>
      </w:r>
      <w:bookmarkEnd w:id="2"/>
    </w:p>
    <w:p>
      <w:pPr>
        <w:spacing w:line="560" w:lineRule="exact"/>
        <w:ind w:firstLine="562" w:firstLineChars="200"/>
        <w:rPr>
          <w:rFonts w:ascii="宋体" w:hAnsi="宋体" w:cs="宋体"/>
          <w:spacing w:val="-9"/>
          <w:sz w:val="28"/>
          <w:szCs w:val="28"/>
        </w:rPr>
      </w:pPr>
      <w:r>
        <w:rPr>
          <w:rFonts w:hint="eastAsia" w:ascii="宋体" w:hAnsi="宋体" w:cs="宋体"/>
          <w:b/>
          <w:sz w:val="28"/>
          <w:szCs w:val="28"/>
        </w:rPr>
        <w:t>郑重声明：</w:t>
      </w:r>
    </w:p>
    <w:p>
      <w:pPr>
        <w:spacing w:line="560" w:lineRule="exact"/>
        <w:ind w:firstLine="524" w:firstLineChars="200"/>
        <w:rPr>
          <w:rFonts w:ascii="宋体" w:cs="Times New Roman"/>
          <w:spacing w:val="-9"/>
          <w:sz w:val="28"/>
          <w:szCs w:val="28"/>
        </w:rPr>
      </w:pPr>
      <w:r>
        <w:rPr>
          <w:rFonts w:ascii="宋体" w:hAnsi="宋体" w:cs="宋体"/>
          <w:spacing w:val="-9"/>
          <w:sz w:val="28"/>
          <w:szCs w:val="28"/>
        </w:rPr>
        <w:t>1</w:t>
      </w:r>
      <w:r>
        <w:rPr>
          <w:rFonts w:hint="eastAsia" w:ascii="宋体" w:hAnsi="宋体" w:cs="宋体"/>
          <w:spacing w:val="-9"/>
          <w:sz w:val="28"/>
          <w:szCs w:val="28"/>
        </w:rPr>
        <w:t>、注册房地产估价师在估价报告中陈述的事实是真实的和准确的，没有虚假记载、误导性陈述和重大遗漏。</w:t>
      </w:r>
    </w:p>
    <w:p>
      <w:pPr>
        <w:spacing w:line="560" w:lineRule="exact"/>
        <w:ind w:firstLine="524" w:firstLineChars="200"/>
        <w:rPr>
          <w:rFonts w:ascii="宋体" w:cs="Times New Roman"/>
          <w:spacing w:val="-9"/>
          <w:sz w:val="28"/>
          <w:szCs w:val="28"/>
        </w:rPr>
      </w:pPr>
      <w:r>
        <w:rPr>
          <w:rFonts w:ascii="宋体" w:hAnsi="宋体" w:cs="宋体"/>
          <w:spacing w:val="-9"/>
          <w:sz w:val="28"/>
          <w:szCs w:val="28"/>
        </w:rPr>
        <w:t>2</w:t>
      </w:r>
      <w:r>
        <w:rPr>
          <w:rFonts w:hint="eastAsia" w:ascii="宋体" w:hAnsi="宋体" w:cs="宋体"/>
          <w:spacing w:val="-9"/>
          <w:sz w:val="28"/>
          <w:szCs w:val="28"/>
        </w:rPr>
        <w:t>、估价报告中的分析、意见和结论是我们自己独立、客观、公正的专业分析、意见和结论，但受到本估价报告中已说明的假设和限制条件的限制。</w:t>
      </w:r>
    </w:p>
    <w:p>
      <w:pPr>
        <w:spacing w:line="560" w:lineRule="exact"/>
        <w:ind w:firstLine="524" w:firstLineChars="200"/>
        <w:rPr>
          <w:rFonts w:ascii="宋体" w:hAnsi="宋体" w:cs="宋体"/>
          <w:spacing w:val="-9"/>
          <w:sz w:val="28"/>
          <w:szCs w:val="28"/>
        </w:rPr>
      </w:pPr>
      <w:r>
        <w:rPr>
          <w:rFonts w:ascii="宋体" w:hAnsi="宋体" w:cs="宋体"/>
          <w:spacing w:val="-9"/>
          <w:sz w:val="28"/>
          <w:szCs w:val="28"/>
        </w:rPr>
        <w:t>3</w:t>
      </w:r>
      <w:r>
        <w:rPr>
          <w:rFonts w:hint="eastAsia" w:ascii="宋体" w:hAnsi="宋体" w:cs="宋体"/>
          <w:spacing w:val="-9"/>
          <w:sz w:val="28"/>
          <w:szCs w:val="28"/>
        </w:rPr>
        <w:t>、注册房地产估价师与本估价报告中的估价对象没有现实或潜在的利益，与估价委托人及估价利害关系人没有利害关系。我们对本估价报告中的估价对象、估价委托人及估价利害关系人没有偏见。</w:t>
      </w:r>
    </w:p>
    <w:p>
      <w:pPr>
        <w:spacing w:line="560" w:lineRule="exact"/>
        <w:ind w:firstLine="524" w:firstLineChars="200"/>
        <w:rPr>
          <w:rFonts w:ascii="宋体" w:cs="Times New Roman"/>
          <w:spacing w:val="-9"/>
          <w:sz w:val="28"/>
          <w:szCs w:val="28"/>
        </w:rPr>
      </w:pPr>
      <w:r>
        <w:rPr>
          <w:rFonts w:hint="eastAsia" w:ascii="宋体" w:hAnsi="宋体" w:cs="宋体"/>
          <w:spacing w:val="-9"/>
          <w:sz w:val="28"/>
          <w:szCs w:val="28"/>
        </w:rPr>
        <w:t>4、注册房地产估价师是按照中华人民共和国国家标准《房地产估价规范》【GB/T 50291-2015】、《房地产估价基本术语标准》【GB/T 50899-2013】等标准规范，进行分析、整理，形成意见和结论，撰写本估价报告。</w:t>
      </w:r>
    </w:p>
    <w:p>
      <w:pPr>
        <w:spacing w:line="560" w:lineRule="exact"/>
        <w:ind w:firstLine="524" w:firstLineChars="200"/>
        <w:rPr>
          <w:rFonts w:ascii="宋体" w:hAnsi="宋体" w:cs="宋体"/>
          <w:spacing w:val="-9"/>
          <w:sz w:val="28"/>
          <w:szCs w:val="28"/>
        </w:rPr>
      </w:pPr>
      <w:r>
        <w:rPr>
          <w:rFonts w:hint="eastAsia" w:ascii="宋体" w:hAnsi="宋体" w:cs="宋体"/>
          <w:spacing w:val="-9"/>
          <w:sz w:val="28"/>
          <w:szCs w:val="28"/>
        </w:rPr>
        <w:t>5、我们具备执行本次估价业务的专业胜任能力和执业经验，没有人对本估价报告提供重要的专业帮助。</w:t>
      </w:r>
    </w:p>
    <w:p>
      <w:pPr>
        <w:spacing w:line="560" w:lineRule="exact"/>
        <w:ind w:firstLine="524" w:firstLineChars="200"/>
        <w:rPr>
          <w:rFonts w:ascii="宋体" w:hAnsi="宋体" w:cs="宋体"/>
          <w:spacing w:val="-9"/>
          <w:sz w:val="28"/>
          <w:szCs w:val="28"/>
        </w:rPr>
      </w:pPr>
      <w:r>
        <w:rPr>
          <w:rFonts w:hint="eastAsia" w:ascii="宋体" w:hAnsi="宋体" w:cs="宋体"/>
          <w:spacing w:val="-9"/>
          <w:sz w:val="28"/>
          <w:szCs w:val="28"/>
        </w:rPr>
        <w:t>6、注册房地产估价师保守在执业中知悉的国家秘密商业秘密、个人隐私，妥善保管委托人提供的资料。</w:t>
      </w:r>
    </w:p>
    <w:p>
      <w:pPr>
        <w:pStyle w:val="8"/>
        <w:widowControl w:val="0"/>
        <w:adjustRightInd w:val="0"/>
        <w:snapToGrid w:val="0"/>
        <w:spacing w:beforeLines="50"/>
        <w:ind w:left="0" w:firstLine="830" w:firstLineChars="196"/>
        <w:jc w:val="center"/>
        <w:outlineLvl w:val="0"/>
        <w:rPr>
          <w:rFonts w:ascii="宋体" w:hAnsi="宋体" w:cs="宋体"/>
          <w:b/>
          <w:bCs/>
          <w:spacing w:val="-9"/>
          <w:sz w:val="44"/>
          <w:szCs w:val="44"/>
        </w:rPr>
      </w:pPr>
    </w:p>
    <w:p>
      <w:pPr>
        <w:pStyle w:val="8"/>
        <w:widowControl w:val="0"/>
        <w:adjustRightInd w:val="0"/>
        <w:snapToGrid w:val="0"/>
        <w:spacing w:beforeLines="50"/>
        <w:ind w:left="0" w:firstLine="830" w:firstLineChars="196"/>
        <w:jc w:val="center"/>
        <w:outlineLvl w:val="0"/>
        <w:rPr>
          <w:rFonts w:ascii="宋体" w:hAnsi="宋体" w:cs="宋体"/>
          <w:b/>
          <w:bCs/>
          <w:spacing w:val="-9"/>
          <w:sz w:val="44"/>
          <w:szCs w:val="44"/>
        </w:rPr>
      </w:pPr>
    </w:p>
    <w:p>
      <w:pPr>
        <w:pStyle w:val="8"/>
        <w:widowControl w:val="0"/>
        <w:adjustRightInd w:val="0"/>
        <w:snapToGrid w:val="0"/>
        <w:spacing w:beforeLines="50"/>
        <w:ind w:left="0" w:firstLine="830" w:firstLineChars="196"/>
        <w:jc w:val="center"/>
        <w:outlineLvl w:val="0"/>
        <w:rPr>
          <w:rFonts w:ascii="宋体" w:hAnsi="宋体" w:cs="宋体"/>
          <w:b/>
          <w:bCs/>
          <w:spacing w:val="-9"/>
          <w:sz w:val="44"/>
          <w:szCs w:val="44"/>
        </w:rPr>
      </w:pPr>
    </w:p>
    <w:p>
      <w:pPr>
        <w:pStyle w:val="8"/>
        <w:widowControl w:val="0"/>
        <w:adjustRightInd w:val="0"/>
        <w:snapToGrid w:val="0"/>
        <w:spacing w:beforeLines="50"/>
        <w:ind w:left="0" w:firstLine="830" w:firstLineChars="196"/>
        <w:jc w:val="center"/>
        <w:outlineLvl w:val="0"/>
        <w:rPr>
          <w:rFonts w:ascii="宋体" w:hAnsi="宋体" w:cs="宋体"/>
          <w:b/>
          <w:bCs/>
          <w:spacing w:val="-9"/>
          <w:sz w:val="44"/>
          <w:szCs w:val="44"/>
        </w:rPr>
      </w:pPr>
    </w:p>
    <w:p>
      <w:pPr>
        <w:pStyle w:val="8"/>
        <w:widowControl w:val="0"/>
        <w:adjustRightInd w:val="0"/>
        <w:snapToGrid w:val="0"/>
        <w:spacing w:beforeLines="50"/>
        <w:ind w:left="0" w:firstLine="830" w:firstLineChars="196"/>
        <w:jc w:val="center"/>
        <w:outlineLvl w:val="0"/>
        <w:rPr>
          <w:rFonts w:ascii="宋体" w:hAnsi="宋体" w:cs="宋体"/>
          <w:b/>
          <w:bCs/>
          <w:spacing w:val="-9"/>
          <w:sz w:val="44"/>
          <w:szCs w:val="44"/>
        </w:rPr>
      </w:pPr>
    </w:p>
    <w:p>
      <w:pPr>
        <w:pStyle w:val="8"/>
        <w:widowControl w:val="0"/>
        <w:adjustRightInd w:val="0"/>
        <w:snapToGrid w:val="0"/>
        <w:spacing w:beforeLines="50"/>
        <w:ind w:left="0" w:firstLine="830" w:firstLineChars="196"/>
        <w:jc w:val="center"/>
        <w:outlineLvl w:val="0"/>
        <w:rPr>
          <w:rFonts w:ascii="宋体" w:hAnsi="宋体" w:cs="宋体"/>
          <w:b/>
          <w:bCs/>
          <w:spacing w:val="-9"/>
          <w:sz w:val="44"/>
          <w:szCs w:val="44"/>
        </w:rPr>
      </w:pPr>
    </w:p>
    <w:p>
      <w:pPr>
        <w:pStyle w:val="8"/>
        <w:widowControl w:val="0"/>
        <w:adjustRightInd w:val="0"/>
        <w:snapToGrid w:val="0"/>
        <w:spacing w:beforeLines="50"/>
        <w:ind w:left="0" w:firstLine="830" w:firstLineChars="196"/>
        <w:jc w:val="center"/>
        <w:outlineLvl w:val="0"/>
        <w:rPr>
          <w:rFonts w:ascii="宋体" w:hAnsi="宋体" w:cs="宋体"/>
          <w:b/>
          <w:bCs/>
          <w:spacing w:val="-9"/>
          <w:sz w:val="44"/>
          <w:szCs w:val="44"/>
        </w:rPr>
      </w:pPr>
      <w:bookmarkStart w:id="3" w:name="_Toc4946"/>
      <w:r>
        <w:rPr>
          <w:rFonts w:hint="eastAsia" w:ascii="宋体" w:hAnsi="宋体" w:cs="宋体"/>
          <w:b/>
          <w:bCs/>
          <w:spacing w:val="-9"/>
          <w:sz w:val="44"/>
          <w:szCs w:val="44"/>
        </w:rPr>
        <w:t>估价假设和限制条件</w:t>
      </w:r>
      <w:bookmarkEnd w:id="3"/>
    </w:p>
    <w:p>
      <w:pPr>
        <w:pStyle w:val="8"/>
        <w:widowControl w:val="0"/>
        <w:adjustRightInd w:val="0"/>
        <w:snapToGrid w:val="0"/>
        <w:spacing w:beforeLines="50"/>
        <w:ind w:left="0" w:firstLine="551" w:firstLineChars="196"/>
        <w:jc w:val="both"/>
        <w:rPr>
          <w:rFonts w:ascii="宋体" w:hAnsi="宋体" w:cs="宋体"/>
          <w:b/>
          <w:bCs/>
          <w:sz w:val="28"/>
          <w:szCs w:val="28"/>
        </w:rPr>
      </w:pPr>
      <w:r>
        <w:rPr>
          <w:rFonts w:hint="eastAsia" w:ascii="宋体" w:hAnsi="宋体" w:cs="宋体"/>
          <w:b/>
          <w:bCs/>
          <w:sz w:val="28"/>
          <w:szCs w:val="28"/>
        </w:rPr>
        <w:t>一、一般假设</w:t>
      </w:r>
    </w:p>
    <w:p>
      <w:pPr>
        <w:spacing w:line="560" w:lineRule="exact"/>
        <w:ind w:firstLine="524" w:firstLineChars="200"/>
        <w:rPr>
          <w:rFonts w:ascii="宋体" w:hAnsi="宋体" w:cs="宋体"/>
          <w:spacing w:val="-9"/>
          <w:sz w:val="28"/>
          <w:szCs w:val="28"/>
        </w:rPr>
      </w:pPr>
      <w:r>
        <w:rPr>
          <w:rFonts w:hint="eastAsia" w:ascii="宋体" w:hAnsi="宋体" w:cs="宋体"/>
          <w:spacing w:val="-9"/>
          <w:sz w:val="28"/>
          <w:szCs w:val="28"/>
        </w:rPr>
        <w:t>（一）估价对象产权明晰、手续齐全，可在公开市场上自由转让。</w:t>
      </w:r>
    </w:p>
    <w:p>
      <w:pPr>
        <w:spacing w:line="560" w:lineRule="exact"/>
        <w:ind w:firstLine="524" w:firstLineChars="200"/>
        <w:rPr>
          <w:rFonts w:ascii="宋体" w:hAnsi="宋体" w:cs="宋体"/>
          <w:spacing w:val="-9"/>
          <w:sz w:val="28"/>
          <w:szCs w:val="28"/>
        </w:rPr>
      </w:pPr>
      <w:r>
        <w:rPr>
          <w:rFonts w:hint="eastAsia" w:ascii="宋体" w:hAnsi="宋体" w:cs="宋体"/>
          <w:spacing w:val="-9"/>
          <w:sz w:val="28"/>
          <w:szCs w:val="28"/>
        </w:rPr>
        <w:t>（二）委托人提供了“寻甸回族彝族自治县人民法院委托书、补充说明”原件及“房屋信息查询摘抄表”等复印件，注册房地产估价师于现场踏勘之日前往寻甸回族彝族自治县不动产登记中心对相关权属资料进行了查档，估价师对相关材料进行了必要的审慎性核查，在无理由怀疑其合法性、真实性、准确性和完整性的情况下，以</w:t>
      </w:r>
      <w:r>
        <w:rPr>
          <w:rFonts w:hint="eastAsia" w:ascii="宋体" w:hAnsi="宋体" w:cs="宋体"/>
          <w:bCs/>
          <w:spacing w:val="-9"/>
          <w:sz w:val="28"/>
          <w:szCs w:val="28"/>
        </w:rPr>
        <w:t>该项目权属状况准确、完整、明晰为前提。</w:t>
      </w:r>
    </w:p>
    <w:p>
      <w:pPr>
        <w:spacing w:line="560" w:lineRule="exact"/>
        <w:ind w:firstLine="524" w:firstLineChars="200"/>
        <w:rPr>
          <w:rFonts w:ascii="宋体" w:hAnsi="宋体" w:cs="宋体"/>
          <w:spacing w:val="-9"/>
          <w:sz w:val="28"/>
          <w:szCs w:val="28"/>
        </w:rPr>
      </w:pPr>
      <w:r>
        <w:rPr>
          <w:rFonts w:hint="eastAsia" w:ascii="宋体" w:hAnsi="宋体" w:cs="宋体"/>
          <w:spacing w:val="-9"/>
          <w:sz w:val="28"/>
          <w:szCs w:val="28"/>
        </w:rPr>
        <w:t>（三）注册房地产估价师马海波、罗开心已于2022年02月21日在委托方承办人郭昌永法官、申请人代表张宏先生、房屋占有人袁莉君等人的见证性下对估价对象进行了现场查勘。注册房地产估价师已对房屋安全、环境污染等影响估价对象价值的重大因素给予了关注，在无理由怀疑估价对象存在安全隐患且无相应的专业机构进行鉴定、检测的情况下，假定估价对象能正常安全使用。</w:t>
      </w:r>
    </w:p>
    <w:p>
      <w:pPr>
        <w:spacing w:line="560" w:lineRule="exact"/>
        <w:ind w:firstLine="524" w:firstLineChars="200"/>
        <w:rPr>
          <w:rFonts w:ascii="宋体" w:hAnsi="宋体" w:cs="宋体"/>
          <w:spacing w:val="-9"/>
          <w:sz w:val="28"/>
          <w:szCs w:val="28"/>
        </w:rPr>
      </w:pPr>
      <w:r>
        <w:rPr>
          <w:rFonts w:hint="eastAsia" w:ascii="宋体" w:hAnsi="宋体" w:cs="宋体"/>
          <w:spacing w:val="-9"/>
          <w:sz w:val="28"/>
          <w:szCs w:val="28"/>
        </w:rPr>
        <w:t>（四）我们未对房屋建筑面积进行专业测量，经现场查勘观察，房屋建筑面积与证载面积大体相当。</w:t>
      </w:r>
    </w:p>
    <w:p>
      <w:pPr>
        <w:spacing w:line="560" w:lineRule="exact"/>
        <w:ind w:firstLine="524" w:firstLineChars="200"/>
        <w:rPr>
          <w:rFonts w:ascii="宋体" w:hAnsi="宋体" w:cs="宋体"/>
          <w:spacing w:val="-9"/>
          <w:sz w:val="28"/>
          <w:szCs w:val="28"/>
        </w:rPr>
      </w:pPr>
      <w:r>
        <w:rPr>
          <w:rFonts w:hint="eastAsia" w:ascii="宋体" w:hAnsi="宋体" w:cs="宋体"/>
          <w:spacing w:val="-9"/>
          <w:sz w:val="28"/>
          <w:szCs w:val="28"/>
        </w:rPr>
        <w:t>（五）估价对象西侧及东侧均为他户房屋，估价对象应享有公共部位的通行权及水、电等共用设施的使用权。</w:t>
      </w:r>
    </w:p>
    <w:p>
      <w:pPr>
        <w:spacing w:line="560" w:lineRule="exact"/>
        <w:ind w:firstLine="524" w:firstLineChars="200"/>
        <w:rPr>
          <w:rFonts w:ascii="宋体" w:hAnsi="宋体" w:cs="宋体"/>
          <w:spacing w:val="-9"/>
          <w:sz w:val="28"/>
          <w:szCs w:val="28"/>
        </w:rPr>
      </w:pPr>
      <w:r>
        <w:rPr>
          <w:rFonts w:hint="eastAsia" w:ascii="宋体" w:hAnsi="宋体" w:cs="宋体"/>
          <w:spacing w:val="-9"/>
          <w:sz w:val="28"/>
          <w:szCs w:val="28"/>
        </w:rPr>
        <w:t>（六）市场供应关系、市场结构保持稳定、未发生重大变化或实质性改变。</w:t>
      </w:r>
    </w:p>
    <w:p>
      <w:pPr>
        <w:spacing w:line="560" w:lineRule="exact"/>
        <w:ind w:firstLine="524" w:firstLineChars="200"/>
        <w:rPr>
          <w:rFonts w:ascii="宋体" w:hAnsi="宋体" w:cs="宋体"/>
          <w:spacing w:val="-9"/>
          <w:sz w:val="28"/>
          <w:szCs w:val="28"/>
        </w:rPr>
      </w:pPr>
      <w:r>
        <w:rPr>
          <w:rFonts w:hint="eastAsia" w:ascii="宋体" w:hAnsi="宋体" w:cs="宋体"/>
          <w:spacing w:val="-9"/>
          <w:sz w:val="28"/>
          <w:szCs w:val="28"/>
        </w:rPr>
        <w:t>（七）估价对象在价值时点的房地产市场为公开、平等、自愿的交易市场，即能满足以下条件：1、交易双方均为自愿；2、交易双方无任何利害关系，交易的目的是追求各自利益的最大化；3、交易双方了解交易对象、知晓市场行情；4、交易双方有较充裕的时间进行交易；5、不存在特殊买者的附加出价。</w:t>
      </w:r>
    </w:p>
    <w:p>
      <w:pPr>
        <w:pStyle w:val="8"/>
        <w:widowControl w:val="0"/>
        <w:adjustRightInd w:val="0"/>
        <w:snapToGrid w:val="0"/>
        <w:spacing w:beforeLines="50" w:line="324" w:lineRule="auto"/>
        <w:ind w:left="0" w:firstLine="551" w:firstLineChars="196"/>
        <w:jc w:val="both"/>
        <w:rPr>
          <w:rFonts w:ascii="宋体" w:hAnsi="宋体" w:cs="宋体"/>
          <w:b/>
          <w:bCs/>
          <w:sz w:val="28"/>
          <w:szCs w:val="28"/>
        </w:rPr>
      </w:pPr>
      <w:bookmarkStart w:id="4" w:name="_Toc315873734"/>
      <w:bookmarkEnd w:id="4"/>
      <w:r>
        <w:rPr>
          <w:rFonts w:hint="eastAsia" w:ascii="宋体" w:hAnsi="宋体" w:cs="宋体"/>
          <w:b/>
          <w:bCs/>
          <w:sz w:val="28"/>
          <w:szCs w:val="28"/>
        </w:rPr>
        <w:t>二、未定事项假设</w:t>
      </w:r>
    </w:p>
    <w:p>
      <w:pPr>
        <w:spacing w:line="560" w:lineRule="exact"/>
        <w:ind w:firstLine="524" w:firstLineChars="200"/>
        <w:rPr>
          <w:rFonts w:ascii="宋体" w:hAnsi="宋体" w:cs="宋体"/>
          <w:spacing w:val="-9"/>
          <w:sz w:val="28"/>
          <w:szCs w:val="28"/>
        </w:rPr>
      </w:pPr>
      <w:r>
        <w:rPr>
          <w:rFonts w:hint="eastAsia" w:ascii="宋体" w:hAnsi="宋体" w:cs="宋体"/>
          <w:bCs/>
          <w:spacing w:val="-9"/>
          <w:sz w:val="28"/>
          <w:szCs w:val="28"/>
        </w:rPr>
        <w:t>相关产权登记机关提供的</w:t>
      </w:r>
      <w:r>
        <w:rPr>
          <w:rFonts w:hint="eastAsia" w:ascii="宋体" w:hAnsi="宋体" w:cs="宋体"/>
          <w:spacing w:val="-9"/>
          <w:sz w:val="28"/>
          <w:szCs w:val="28"/>
        </w:rPr>
        <w:t>权属资料均未登记估价对象建成年份，据注册房地产估价师调查，估价对象所在项目的建成年份约为2008年，本次估价以此为前提，本次调查的建成年份仅用于本次估价报告。</w:t>
      </w:r>
    </w:p>
    <w:p>
      <w:pPr>
        <w:pStyle w:val="8"/>
        <w:widowControl w:val="0"/>
        <w:adjustRightInd w:val="0"/>
        <w:snapToGrid w:val="0"/>
        <w:spacing w:beforeLines="50" w:line="324" w:lineRule="auto"/>
        <w:ind w:left="0" w:firstLine="551" w:firstLineChars="196"/>
        <w:jc w:val="both"/>
        <w:rPr>
          <w:rFonts w:ascii="宋体" w:hAnsi="宋体" w:cs="宋体"/>
          <w:b/>
          <w:bCs/>
          <w:sz w:val="28"/>
          <w:szCs w:val="28"/>
        </w:rPr>
      </w:pPr>
      <w:r>
        <w:rPr>
          <w:rFonts w:hint="eastAsia" w:ascii="宋体" w:hAnsi="宋体" w:cs="宋体"/>
          <w:b/>
          <w:bCs/>
          <w:sz w:val="28"/>
          <w:szCs w:val="28"/>
        </w:rPr>
        <w:t>三、背离实际情况假设</w:t>
      </w:r>
    </w:p>
    <w:p>
      <w:pPr>
        <w:spacing w:line="560" w:lineRule="exact"/>
        <w:ind w:firstLine="504" w:firstLineChars="200"/>
        <w:rPr>
          <w:rFonts w:ascii="宋体" w:hAnsi="宋体" w:cs="宋体"/>
          <w:spacing w:val="-14"/>
          <w:sz w:val="28"/>
          <w:szCs w:val="28"/>
        </w:rPr>
      </w:pPr>
      <w:r>
        <w:rPr>
          <w:rFonts w:ascii="宋体" w:hAnsi="宋体" w:cs="宋体"/>
          <w:spacing w:val="-14"/>
          <w:sz w:val="28"/>
          <w:szCs w:val="28"/>
        </w:rPr>
        <w:t>1</w:t>
      </w:r>
      <w:r>
        <w:rPr>
          <w:rFonts w:hint="eastAsia" w:ascii="宋体" w:hAnsi="宋体" w:cs="宋体"/>
          <w:spacing w:val="-14"/>
          <w:sz w:val="28"/>
          <w:szCs w:val="28"/>
        </w:rPr>
        <w:t>、估价对象为涉执财产，在公开市场转让是受到限制的，根据估价目的，本次评估价值类型是市场价值，不考虑可能存在的抵押他项权利、查封等因素对房地产价值的影响，本次估价假设其可以在公开市场上进行交易。</w:t>
      </w:r>
    </w:p>
    <w:p>
      <w:pPr>
        <w:spacing w:line="560" w:lineRule="exact"/>
        <w:ind w:firstLine="524" w:firstLineChars="200"/>
        <w:rPr>
          <w:rFonts w:ascii="宋体" w:hAnsi="宋体" w:cs="宋体"/>
          <w:spacing w:val="-9"/>
          <w:sz w:val="28"/>
          <w:szCs w:val="28"/>
        </w:rPr>
      </w:pPr>
      <w:r>
        <w:rPr>
          <w:rFonts w:ascii="宋体" w:hAnsi="宋体" w:cs="宋体"/>
          <w:spacing w:val="-9"/>
          <w:sz w:val="28"/>
          <w:szCs w:val="28"/>
        </w:rPr>
        <w:t>2</w:t>
      </w:r>
      <w:r>
        <w:rPr>
          <w:rFonts w:hint="eastAsia" w:ascii="宋体" w:hAnsi="宋体" w:cs="宋体"/>
          <w:spacing w:val="-9"/>
          <w:sz w:val="28"/>
          <w:szCs w:val="28"/>
        </w:rPr>
        <w:t>、估价对象为宅基地建房，</w:t>
      </w:r>
      <w:r>
        <w:rPr>
          <w:rFonts w:hint="eastAsia" w:ascii="宋体" w:hAnsi="宋体" w:cs="宋体"/>
          <w:spacing w:val="-14"/>
          <w:sz w:val="28"/>
          <w:szCs w:val="28"/>
        </w:rPr>
        <w:t>在公开市场转让是受到限制的，根据估价目的，本次不考虑其对房地产市场价值的影响。</w:t>
      </w:r>
    </w:p>
    <w:p>
      <w:pPr>
        <w:spacing w:line="560" w:lineRule="exact"/>
        <w:ind w:firstLine="524" w:firstLineChars="200"/>
        <w:rPr>
          <w:rFonts w:ascii="宋体" w:hAnsi="宋体" w:cs="宋体"/>
          <w:spacing w:val="-9"/>
          <w:sz w:val="28"/>
          <w:szCs w:val="28"/>
        </w:rPr>
      </w:pPr>
      <w:r>
        <w:rPr>
          <w:rFonts w:hint="eastAsia" w:ascii="宋体" w:hAnsi="宋体" w:cs="宋体"/>
          <w:spacing w:val="-9"/>
          <w:sz w:val="28"/>
          <w:szCs w:val="28"/>
        </w:rPr>
        <w:t>3、经现场调查，</w:t>
      </w:r>
      <w:r>
        <w:rPr>
          <w:rFonts w:hint="eastAsia" w:ascii="宋体" w:hAnsi="宋体" w:cs="宋体"/>
          <w:spacing w:val="-14"/>
          <w:sz w:val="28"/>
          <w:szCs w:val="28"/>
        </w:rPr>
        <w:t>估价对象整幢房地产存在第三方占有情况，第三方人提供的部分资料显示，房屋产权人李洪才、李贤于2017年9月3日与买方袁莉君及其家人就整幢房地产（总5层总建筑面积622.16㎡）签订了“房屋转让合同”，买方房款已付并实际占有至今，由于诸多因素未办理房屋权属过户手续。</w:t>
      </w:r>
      <w:r>
        <w:rPr>
          <w:rFonts w:hint="eastAsia" w:ascii="宋体" w:hAnsi="宋体" w:cs="宋体"/>
          <w:spacing w:val="-9"/>
          <w:sz w:val="28"/>
          <w:szCs w:val="28"/>
        </w:rPr>
        <w:t xml:space="preserve">根据本次估价目的，本次估价未考虑其对价值的影响。 </w:t>
      </w:r>
    </w:p>
    <w:p>
      <w:pPr>
        <w:spacing w:line="560" w:lineRule="exact"/>
        <w:ind w:firstLine="524" w:firstLineChars="200"/>
        <w:rPr>
          <w:rFonts w:ascii="宋体" w:hAnsi="宋体" w:cs="宋体"/>
          <w:spacing w:val="-9"/>
          <w:sz w:val="28"/>
          <w:szCs w:val="28"/>
        </w:rPr>
      </w:pPr>
      <w:r>
        <w:rPr>
          <w:rFonts w:hint="eastAsia" w:ascii="宋体" w:hAnsi="宋体" w:cs="宋体"/>
          <w:spacing w:val="-9"/>
          <w:sz w:val="28"/>
          <w:szCs w:val="28"/>
        </w:rPr>
        <w:t>4、经现场调查，估价对象一层及部分房屋已出租，但未提供相关租赁合同，根据本次估价目的，本次估价未考虑其对价值的影响。</w:t>
      </w:r>
    </w:p>
    <w:p>
      <w:pPr>
        <w:spacing w:line="560" w:lineRule="exact"/>
        <w:ind w:firstLine="524" w:firstLineChars="200"/>
        <w:rPr>
          <w:rFonts w:ascii="宋体" w:hAnsi="宋体" w:cs="宋体"/>
          <w:spacing w:val="-9"/>
          <w:sz w:val="28"/>
          <w:szCs w:val="28"/>
        </w:rPr>
      </w:pPr>
      <w:r>
        <w:rPr>
          <w:rFonts w:hint="eastAsia" w:ascii="宋体" w:hAnsi="宋体" w:cs="宋体"/>
          <w:spacing w:val="-9"/>
          <w:sz w:val="28"/>
          <w:szCs w:val="28"/>
        </w:rPr>
        <w:t>5、估价中未考虑估价对象价值时点之后、处置之前期间因不可抗力、人为破坏等因素造成的实物加速损耗对评估价值的影响。</w:t>
      </w:r>
    </w:p>
    <w:p>
      <w:pPr>
        <w:pStyle w:val="8"/>
        <w:widowControl w:val="0"/>
        <w:adjustRightInd w:val="0"/>
        <w:snapToGrid w:val="0"/>
        <w:spacing w:beforeLines="50" w:line="520" w:lineRule="exact"/>
        <w:ind w:left="0" w:firstLine="551" w:firstLineChars="196"/>
        <w:jc w:val="both"/>
        <w:rPr>
          <w:rFonts w:ascii="宋体" w:hAnsi="宋体" w:cs="宋体"/>
          <w:b/>
          <w:bCs/>
          <w:sz w:val="28"/>
          <w:szCs w:val="28"/>
        </w:rPr>
      </w:pPr>
      <w:r>
        <w:rPr>
          <w:rFonts w:hint="eastAsia" w:ascii="宋体" w:hAnsi="宋体" w:cs="宋体"/>
          <w:b/>
          <w:bCs/>
          <w:sz w:val="28"/>
          <w:szCs w:val="28"/>
        </w:rPr>
        <w:t>四、不相一致假设</w:t>
      </w:r>
    </w:p>
    <w:p>
      <w:pPr>
        <w:spacing w:line="520" w:lineRule="exact"/>
        <w:ind w:firstLine="524" w:firstLineChars="200"/>
        <w:rPr>
          <w:rFonts w:ascii="宋体" w:hAnsi="宋体" w:cs="宋体"/>
          <w:spacing w:val="-9"/>
          <w:sz w:val="28"/>
          <w:szCs w:val="28"/>
        </w:rPr>
      </w:pPr>
      <w:r>
        <w:rPr>
          <w:rFonts w:hint="eastAsia" w:ascii="宋体" w:hAnsi="宋体" w:cs="宋体"/>
          <w:bCs/>
          <w:spacing w:val="-9"/>
          <w:sz w:val="28"/>
          <w:szCs w:val="28"/>
        </w:rPr>
        <w:t>无。</w:t>
      </w:r>
    </w:p>
    <w:p>
      <w:pPr>
        <w:pStyle w:val="8"/>
        <w:widowControl w:val="0"/>
        <w:adjustRightInd w:val="0"/>
        <w:snapToGrid w:val="0"/>
        <w:spacing w:line="520" w:lineRule="exact"/>
        <w:ind w:left="0" w:firstLine="551" w:firstLineChars="196"/>
        <w:jc w:val="both"/>
        <w:rPr>
          <w:rFonts w:ascii="宋体" w:hAnsi="宋体" w:cs="宋体"/>
          <w:bCs/>
          <w:spacing w:val="-9"/>
          <w:sz w:val="28"/>
          <w:szCs w:val="28"/>
        </w:rPr>
      </w:pPr>
      <w:r>
        <w:rPr>
          <w:rFonts w:hint="eastAsia" w:ascii="宋体" w:hAnsi="宋体" w:cs="宋体"/>
          <w:b/>
          <w:bCs/>
          <w:sz w:val="28"/>
          <w:szCs w:val="28"/>
        </w:rPr>
        <w:t>五、依据不足假设</w:t>
      </w:r>
    </w:p>
    <w:p>
      <w:pPr>
        <w:spacing w:line="520" w:lineRule="exact"/>
        <w:ind w:firstLine="524" w:firstLineChars="200"/>
        <w:rPr>
          <w:rFonts w:ascii="宋体" w:hAnsi="宋体" w:cs="宋体"/>
          <w:spacing w:val="-9"/>
          <w:sz w:val="28"/>
          <w:szCs w:val="28"/>
        </w:rPr>
      </w:pPr>
      <w:r>
        <w:rPr>
          <w:rFonts w:hint="eastAsia" w:ascii="宋体" w:hAnsi="宋体" w:cs="宋体"/>
          <w:spacing w:val="-9"/>
          <w:sz w:val="28"/>
          <w:szCs w:val="28"/>
        </w:rPr>
        <w:t>无。</w:t>
      </w:r>
    </w:p>
    <w:p>
      <w:pPr>
        <w:pStyle w:val="8"/>
        <w:widowControl w:val="0"/>
        <w:adjustRightInd w:val="0"/>
        <w:snapToGrid w:val="0"/>
        <w:spacing w:beforeLines="50" w:line="324" w:lineRule="auto"/>
        <w:ind w:left="0" w:firstLine="551" w:firstLineChars="196"/>
        <w:jc w:val="both"/>
        <w:rPr>
          <w:rFonts w:ascii="宋体" w:hAnsi="宋体" w:cs="宋体"/>
          <w:b/>
          <w:bCs/>
          <w:sz w:val="28"/>
          <w:szCs w:val="28"/>
        </w:rPr>
      </w:pPr>
      <w:bookmarkStart w:id="5" w:name="_Toc315873736"/>
      <w:r>
        <w:rPr>
          <w:rFonts w:hint="eastAsia" w:ascii="宋体" w:hAnsi="宋体" w:cs="宋体"/>
          <w:b/>
          <w:bCs/>
          <w:sz w:val="28"/>
          <w:szCs w:val="28"/>
        </w:rPr>
        <w:t>六、本报告使用的限制条件</w:t>
      </w:r>
      <w:bookmarkEnd w:id="5"/>
    </w:p>
    <w:p>
      <w:pPr>
        <w:spacing w:line="560" w:lineRule="exact"/>
        <w:ind w:firstLine="504" w:firstLineChars="200"/>
        <w:rPr>
          <w:rFonts w:ascii="宋体" w:cs="Times New Roman"/>
          <w:spacing w:val="-14"/>
          <w:sz w:val="28"/>
          <w:szCs w:val="28"/>
        </w:rPr>
      </w:pPr>
      <w:r>
        <w:rPr>
          <w:rFonts w:ascii="宋体" w:hAnsi="宋体" w:cs="宋体"/>
          <w:spacing w:val="-14"/>
          <w:sz w:val="28"/>
          <w:szCs w:val="28"/>
        </w:rPr>
        <w:t>1</w:t>
      </w:r>
      <w:r>
        <w:rPr>
          <w:rFonts w:hint="eastAsia" w:ascii="宋体" w:hAnsi="宋体" w:cs="宋体"/>
          <w:spacing w:val="-14"/>
          <w:sz w:val="28"/>
          <w:szCs w:val="28"/>
        </w:rPr>
        <w:t>、本估价报告仅为人民法院确定财产处置参考价提供参考依据，不作他用。</w:t>
      </w:r>
    </w:p>
    <w:p>
      <w:pPr>
        <w:spacing w:line="560" w:lineRule="exact"/>
        <w:ind w:firstLine="524" w:firstLineChars="200"/>
        <w:rPr>
          <w:rFonts w:ascii="宋体" w:hAnsi="宋体" w:cs="宋体"/>
          <w:spacing w:val="-9"/>
          <w:sz w:val="28"/>
          <w:szCs w:val="28"/>
        </w:rPr>
      </w:pPr>
      <w:r>
        <w:rPr>
          <w:rFonts w:ascii="宋体" w:hAnsi="宋体" w:cs="宋体"/>
          <w:spacing w:val="-9"/>
          <w:sz w:val="28"/>
          <w:szCs w:val="28"/>
        </w:rPr>
        <w:t>2</w:t>
      </w:r>
      <w:r>
        <w:rPr>
          <w:rFonts w:hint="eastAsia" w:ascii="宋体" w:hAnsi="宋体" w:cs="宋体"/>
          <w:spacing w:val="-9"/>
          <w:sz w:val="28"/>
          <w:szCs w:val="28"/>
        </w:rPr>
        <w:t>、本次估价结果受价值时点限制，且本估价报告应用的有效期为自报告出具之日起一年内有效，即2022年06月17日至2023年06月16日止。在报告有效期内房地产市场、建筑市场或估价对象自身状况发生重大变化，并对估价对象价值产生明显影响时，估价结果也需做相应调整或委托估价机构重新估价。</w:t>
      </w:r>
    </w:p>
    <w:p>
      <w:pPr>
        <w:spacing w:line="560" w:lineRule="exact"/>
        <w:ind w:firstLine="524" w:firstLineChars="200"/>
        <w:rPr>
          <w:rFonts w:ascii="宋体" w:hAnsi="宋体" w:cs="宋体"/>
          <w:spacing w:val="-9"/>
          <w:sz w:val="28"/>
          <w:szCs w:val="28"/>
        </w:rPr>
      </w:pPr>
      <w:r>
        <w:rPr>
          <w:rFonts w:ascii="宋体" w:hAnsi="宋体" w:cs="宋体"/>
          <w:spacing w:val="-9"/>
          <w:sz w:val="28"/>
          <w:szCs w:val="28"/>
        </w:rPr>
        <w:t>3</w:t>
      </w:r>
      <w:r>
        <w:rPr>
          <w:rFonts w:hint="eastAsia" w:ascii="宋体" w:hAnsi="宋体" w:cs="宋体"/>
          <w:spacing w:val="-9"/>
          <w:sz w:val="28"/>
          <w:szCs w:val="28"/>
        </w:rPr>
        <w:t>、本报告一式四份，均具有同等法律效力。其中交付估价委托人四份估价结果报告，另外技术报告作为估价方留存备查。本估价报告书盖有骑缝章，涂改、换页、复印本估价报告均无效。</w:t>
      </w:r>
    </w:p>
    <w:p>
      <w:pPr>
        <w:spacing w:line="560" w:lineRule="exact"/>
        <w:ind w:firstLine="524" w:firstLineChars="200"/>
        <w:rPr>
          <w:rFonts w:ascii="宋体" w:hAnsi="宋体" w:cs="宋体"/>
          <w:spacing w:val="-9"/>
          <w:sz w:val="28"/>
          <w:szCs w:val="28"/>
        </w:rPr>
      </w:pPr>
      <w:r>
        <w:rPr>
          <w:rFonts w:hint="eastAsia" w:ascii="宋体" w:hAnsi="宋体" w:cs="宋体"/>
          <w:spacing w:val="-9"/>
          <w:sz w:val="28"/>
          <w:szCs w:val="28"/>
        </w:rPr>
        <w:t>4、</w:t>
      </w:r>
      <w:r>
        <w:rPr>
          <w:rFonts w:hint="eastAsia" w:ascii="宋体" w:hAnsi="宋体" w:cs="宋体"/>
          <w:spacing w:val="-4"/>
          <w:sz w:val="28"/>
          <w:szCs w:val="28"/>
        </w:rPr>
        <w:t>本评估结论仅作为</w:t>
      </w:r>
      <w:r>
        <w:rPr>
          <w:rFonts w:hint="eastAsia" w:ascii="宋体" w:hAnsi="宋体" w:cs="宋体"/>
          <w:bCs/>
          <w:spacing w:val="-4"/>
          <w:sz w:val="28"/>
          <w:szCs w:val="28"/>
        </w:rPr>
        <w:t>寻甸回族彝族自治县人民法院执行</w:t>
      </w:r>
      <w:r>
        <w:rPr>
          <w:rFonts w:hint="eastAsia" w:ascii="宋体" w:hAnsi="宋体" w:cs="宋体"/>
          <w:spacing w:val="-4"/>
          <w:sz w:val="28"/>
          <w:szCs w:val="28"/>
        </w:rPr>
        <w:t>申请人</w:t>
      </w:r>
      <w:r>
        <w:rPr>
          <w:rFonts w:hint="eastAsia" w:ascii="宋体" w:hAnsi="宋体" w:cs="宋体"/>
          <w:spacing w:val="-9"/>
          <w:sz w:val="28"/>
          <w:szCs w:val="28"/>
        </w:rPr>
        <w:t>云南寻甸农村商业银行股份有限公司与李洪才，袁桂仙，韩惠刚借款合同纠纷一案</w:t>
      </w:r>
      <w:r>
        <w:rPr>
          <w:rFonts w:hint="eastAsia" w:ascii="宋体" w:hAnsi="宋体" w:cs="宋体"/>
          <w:bCs/>
          <w:spacing w:val="-4"/>
          <w:sz w:val="28"/>
          <w:szCs w:val="28"/>
        </w:rPr>
        <w:t>时使用</w:t>
      </w:r>
      <w:r>
        <w:rPr>
          <w:rFonts w:hint="eastAsia" w:ascii="宋体" w:hAnsi="宋体" w:cs="宋体"/>
          <w:spacing w:val="-4"/>
          <w:sz w:val="28"/>
          <w:szCs w:val="28"/>
        </w:rPr>
        <w:t>，不得作其他用途，如由于使用不当造成的不良后果，与我机构及注册房地产估价师无关，评估结论的有效性依赖于本次评估的假设、限制。本评估报告仅供评估报告中披露的评估报告使用者用于载明的评估目的和用途。未征得本机构同意，评估报告的内容不得被摘抄、引用或披露</w:t>
      </w:r>
      <w:r>
        <w:rPr>
          <w:rFonts w:hint="eastAsia" w:ascii="宋体" w:hAnsi="宋体" w:cs="宋体"/>
          <w:spacing w:val="-9"/>
          <w:sz w:val="28"/>
          <w:szCs w:val="28"/>
        </w:rPr>
        <w:t>于公开媒体，法律、法规规定以及相关当事人另有约定的除外。</w:t>
      </w:r>
    </w:p>
    <w:p>
      <w:pPr>
        <w:spacing w:line="560" w:lineRule="exact"/>
        <w:ind w:firstLine="524" w:firstLineChars="200"/>
        <w:rPr>
          <w:rFonts w:ascii="宋体" w:hAnsi="宋体" w:cs="宋体"/>
          <w:spacing w:val="-9"/>
          <w:sz w:val="28"/>
          <w:szCs w:val="28"/>
        </w:rPr>
      </w:pPr>
      <w:r>
        <w:rPr>
          <w:rFonts w:ascii="宋体" w:hAnsi="宋体" w:cs="宋体"/>
          <w:spacing w:val="-9"/>
          <w:sz w:val="28"/>
          <w:szCs w:val="28"/>
        </w:rPr>
        <w:t>5</w:t>
      </w:r>
      <w:r>
        <w:rPr>
          <w:rFonts w:hint="eastAsia" w:ascii="宋体" w:hAnsi="宋体" w:cs="宋体"/>
          <w:spacing w:val="-9"/>
          <w:sz w:val="28"/>
          <w:szCs w:val="28"/>
        </w:rPr>
        <w:t>、因委托方补充了涉案标的物权属材料，根据寻甸回族自治县人民法院补充说明（2021）云0129执2276号文件中的要求，将两处房产合并评估重新出具了评估报告，内容及结论以本估价报告为准。原估价报告编号：云雨涵（2022）房评字第102号报告部分内容及结论已不适用。</w:t>
      </w:r>
    </w:p>
    <w:p>
      <w:pPr>
        <w:spacing w:line="560" w:lineRule="exact"/>
        <w:ind w:firstLine="524" w:firstLineChars="200"/>
        <w:rPr>
          <w:rFonts w:ascii="宋体" w:hAnsi="宋体" w:cs="宋体"/>
          <w:spacing w:val="-9"/>
          <w:sz w:val="28"/>
          <w:szCs w:val="28"/>
        </w:rPr>
      </w:pPr>
      <w:r>
        <w:rPr>
          <w:rFonts w:hint="eastAsia" w:ascii="宋体" w:hAnsi="宋体" w:cs="宋体"/>
          <w:spacing w:val="-9"/>
          <w:sz w:val="28"/>
          <w:szCs w:val="28"/>
        </w:rPr>
        <w:t>6、本报告中的数据全部采用电算化连续计算得出，由于在报告中计算的数据均按四舍五入进行取整，因此，可能出现个别等式左右不完全相等的情况，但此种情况不影响计算结果及估价结论的准确性。</w:t>
      </w:r>
    </w:p>
    <w:p>
      <w:pPr>
        <w:spacing w:line="560" w:lineRule="exact"/>
        <w:ind w:firstLine="524" w:firstLineChars="200"/>
        <w:rPr>
          <w:rFonts w:ascii="宋体" w:hAnsi="宋体" w:cs="宋体"/>
          <w:spacing w:val="-9"/>
          <w:sz w:val="28"/>
          <w:szCs w:val="28"/>
        </w:rPr>
      </w:pPr>
      <w:r>
        <w:rPr>
          <w:rFonts w:hint="eastAsia" w:ascii="宋体" w:hAnsi="宋体" w:cs="宋体"/>
          <w:spacing w:val="-9"/>
          <w:sz w:val="28"/>
          <w:szCs w:val="28"/>
        </w:rPr>
        <w:t>7、本报告必须经加盖估价机构公章、注册房地产估价师签章后方可使用，估价机构仅对本报告原件承担责任，对任何形式的复制件概不认可且不承担责任。</w:t>
      </w:r>
    </w:p>
    <w:p>
      <w:pPr>
        <w:spacing w:line="560" w:lineRule="exact"/>
        <w:ind w:firstLine="524" w:firstLineChars="200"/>
        <w:rPr>
          <w:rFonts w:ascii="宋体" w:hAnsi="宋体" w:cs="宋体"/>
          <w:spacing w:val="-9"/>
          <w:sz w:val="28"/>
          <w:szCs w:val="28"/>
        </w:rPr>
      </w:pPr>
      <w:r>
        <w:rPr>
          <w:rFonts w:hint="eastAsia" w:ascii="宋体" w:hAnsi="宋体" w:cs="宋体"/>
          <w:spacing w:val="-9"/>
          <w:sz w:val="28"/>
          <w:szCs w:val="28"/>
        </w:rPr>
        <w:t>8、鉴于估价工作占有资料的有限性和分析判断的主观性，本次估价无法考虑影响评估对象价格实现的所有因素，我们出具的估价报告中的分析、判断和结论受评估报告中载明的假设和限制条件的限制，在此提醒本估价报告使用者，充分考虑估价报告中载明的假设和限制条件及其对估价结果的影响，估价结果不可作为该估价对象可实现价格的保证，我们不能保证估价结果的实现，也不承担有关当事人决策的责任。在此我们建议委托人及其他估价报告使用者合理采用估价结果。</w:t>
      </w:r>
    </w:p>
    <w:p>
      <w:pPr>
        <w:spacing w:line="560" w:lineRule="exact"/>
        <w:ind w:firstLine="524" w:firstLineChars="200"/>
        <w:rPr>
          <w:rFonts w:ascii="宋体" w:hAnsi="宋体" w:cs="宋体"/>
          <w:spacing w:val="-9"/>
          <w:sz w:val="28"/>
          <w:szCs w:val="28"/>
        </w:rPr>
      </w:pPr>
      <w:r>
        <w:rPr>
          <w:rFonts w:hint="eastAsia" w:ascii="宋体" w:hAnsi="宋体" w:cs="宋体"/>
          <w:spacing w:val="-9"/>
          <w:sz w:val="28"/>
          <w:szCs w:val="28"/>
        </w:rPr>
        <w:t>9、本报告的最终解释权由本估价机构所有。</w:t>
      </w:r>
    </w:p>
    <w:p>
      <w:pPr>
        <w:spacing w:line="560" w:lineRule="exact"/>
        <w:ind w:firstLine="524" w:firstLineChars="200"/>
        <w:rPr>
          <w:rFonts w:ascii="宋体" w:hAnsi="宋体" w:cs="宋体"/>
          <w:spacing w:val="-9"/>
          <w:sz w:val="28"/>
          <w:szCs w:val="28"/>
        </w:rPr>
      </w:pPr>
    </w:p>
    <w:p>
      <w:pPr>
        <w:spacing w:line="560" w:lineRule="exact"/>
        <w:ind w:firstLine="524" w:firstLineChars="200"/>
        <w:rPr>
          <w:rFonts w:ascii="宋体" w:hAnsi="宋体" w:cs="宋体"/>
          <w:spacing w:val="-9"/>
          <w:sz w:val="28"/>
          <w:szCs w:val="28"/>
        </w:rPr>
      </w:pPr>
    </w:p>
    <w:p>
      <w:pPr>
        <w:spacing w:line="560" w:lineRule="exact"/>
        <w:ind w:firstLine="524" w:firstLineChars="200"/>
        <w:rPr>
          <w:rFonts w:ascii="宋体" w:hAnsi="宋体" w:cs="宋体"/>
          <w:spacing w:val="-9"/>
          <w:sz w:val="28"/>
          <w:szCs w:val="28"/>
        </w:rPr>
      </w:pPr>
    </w:p>
    <w:p>
      <w:pPr>
        <w:spacing w:line="560" w:lineRule="exact"/>
        <w:ind w:firstLine="524" w:firstLineChars="200"/>
        <w:rPr>
          <w:rFonts w:ascii="宋体" w:hAnsi="宋体" w:cs="宋体"/>
          <w:spacing w:val="-9"/>
          <w:sz w:val="28"/>
          <w:szCs w:val="28"/>
        </w:rPr>
      </w:pPr>
    </w:p>
    <w:p>
      <w:pPr>
        <w:spacing w:line="560" w:lineRule="exact"/>
        <w:ind w:firstLine="524" w:firstLineChars="200"/>
        <w:rPr>
          <w:rFonts w:ascii="宋体" w:hAnsi="宋体" w:cs="宋体"/>
          <w:spacing w:val="-9"/>
          <w:sz w:val="28"/>
          <w:szCs w:val="28"/>
        </w:rPr>
      </w:pPr>
    </w:p>
    <w:p>
      <w:pPr>
        <w:spacing w:line="560" w:lineRule="exact"/>
        <w:ind w:firstLine="524" w:firstLineChars="200"/>
        <w:rPr>
          <w:rFonts w:ascii="宋体" w:hAnsi="宋体" w:cs="宋体"/>
          <w:spacing w:val="-9"/>
          <w:sz w:val="28"/>
          <w:szCs w:val="28"/>
        </w:rPr>
      </w:pPr>
    </w:p>
    <w:p>
      <w:pPr>
        <w:spacing w:line="560" w:lineRule="exact"/>
        <w:ind w:firstLine="524" w:firstLineChars="200"/>
        <w:rPr>
          <w:rFonts w:ascii="宋体" w:hAnsi="宋体" w:cs="宋体"/>
          <w:spacing w:val="-9"/>
          <w:sz w:val="28"/>
          <w:szCs w:val="28"/>
        </w:rPr>
      </w:pPr>
    </w:p>
    <w:p>
      <w:pPr>
        <w:spacing w:line="560" w:lineRule="exact"/>
        <w:ind w:firstLine="524" w:firstLineChars="200"/>
        <w:rPr>
          <w:rFonts w:ascii="宋体" w:hAnsi="宋体" w:cs="宋体"/>
          <w:spacing w:val="-9"/>
          <w:sz w:val="28"/>
          <w:szCs w:val="28"/>
        </w:rPr>
      </w:pPr>
    </w:p>
    <w:p>
      <w:pPr>
        <w:spacing w:line="560" w:lineRule="exact"/>
        <w:ind w:firstLine="524" w:firstLineChars="200"/>
        <w:rPr>
          <w:rFonts w:ascii="宋体" w:hAnsi="宋体" w:cs="宋体"/>
          <w:spacing w:val="-9"/>
          <w:sz w:val="28"/>
          <w:szCs w:val="28"/>
        </w:rPr>
      </w:pPr>
    </w:p>
    <w:p>
      <w:pPr>
        <w:spacing w:line="560" w:lineRule="exact"/>
        <w:ind w:firstLine="524" w:firstLineChars="200"/>
        <w:rPr>
          <w:rFonts w:ascii="宋体" w:hAnsi="宋体" w:cs="宋体"/>
          <w:spacing w:val="-9"/>
          <w:sz w:val="28"/>
          <w:szCs w:val="28"/>
        </w:rPr>
      </w:pPr>
    </w:p>
    <w:p>
      <w:pPr>
        <w:spacing w:line="560" w:lineRule="exact"/>
        <w:ind w:firstLine="524" w:firstLineChars="200"/>
        <w:rPr>
          <w:rFonts w:ascii="宋体" w:hAnsi="宋体" w:cs="宋体"/>
          <w:spacing w:val="-9"/>
          <w:sz w:val="28"/>
          <w:szCs w:val="28"/>
        </w:rPr>
      </w:pPr>
    </w:p>
    <w:p>
      <w:pPr>
        <w:spacing w:line="560" w:lineRule="exact"/>
        <w:ind w:firstLine="524" w:firstLineChars="200"/>
        <w:rPr>
          <w:rFonts w:ascii="宋体" w:hAnsi="宋体" w:cs="宋体"/>
          <w:spacing w:val="-9"/>
          <w:sz w:val="28"/>
          <w:szCs w:val="28"/>
        </w:rPr>
      </w:pPr>
    </w:p>
    <w:p>
      <w:pPr>
        <w:spacing w:line="560" w:lineRule="exact"/>
        <w:ind w:firstLine="524" w:firstLineChars="200"/>
        <w:rPr>
          <w:rFonts w:ascii="宋体" w:hAnsi="宋体" w:cs="宋体"/>
          <w:spacing w:val="-9"/>
          <w:sz w:val="28"/>
          <w:szCs w:val="28"/>
        </w:rPr>
      </w:pPr>
    </w:p>
    <w:p>
      <w:pPr>
        <w:spacing w:line="560" w:lineRule="exact"/>
        <w:ind w:firstLine="524" w:firstLineChars="200"/>
        <w:rPr>
          <w:rFonts w:ascii="宋体" w:hAnsi="宋体" w:cs="宋体"/>
          <w:spacing w:val="-9"/>
          <w:sz w:val="28"/>
          <w:szCs w:val="28"/>
        </w:rPr>
      </w:pPr>
    </w:p>
    <w:p>
      <w:pPr>
        <w:spacing w:line="560" w:lineRule="exact"/>
        <w:ind w:firstLine="524" w:firstLineChars="200"/>
        <w:rPr>
          <w:rFonts w:ascii="宋体" w:hAnsi="宋体" w:cs="宋体"/>
          <w:spacing w:val="-9"/>
          <w:sz w:val="28"/>
          <w:szCs w:val="28"/>
        </w:rPr>
      </w:pPr>
    </w:p>
    <w:p>
      <w:pPr>
        <w:spacing w:line="560" w:lineRule="exact"/>
        <w:ind w:firstLine="524" w:firstLineChars="200"/>
        <w:rPr>
          <w:rFonts w:ascii="宋体" w:hAnsi="宋体" w:cs="宋体"/>
          <w:spacing w:val="-9"/>
          <w:sz w:val="28"/>
          <w:szCs w:val="28"/>
        </w:rPr>
      </w:pPr>
    </w:p>
    <w:p>
      <w:pPr>
        <w:spacing w:line="560" w:lineRule="exact"/>
        <w:ind w:firstLine="524" w:firstLineChars="200"/>
        <w:rPr>
          <w:rFonts w:ascii="宋体" w:hAnsi="宋体" w:cs="宋体"/>
          <w:spacing w:val="-9"/>
          <w:sz w:val="28"/>
          <w:szCs w:val="28"/>
        </w:rPr>
      </w:pPr>
    </w:p>
    <w:p>
      <w:pPr>
        <w:spacing w:line="560" w:lineRule="exact"/>
        <w:ind w:firstLine="524" w:firstLineChars="200"/>
        <w:rPr>
          <w:rFonts w:ascii="宋体" w:hAnsi="宋体" w:cs="宋体"/>
          <w:spacing w:val="-9"/>
          <w:sz w:val="28"/>
          <w:szCs w:val="28"/>
        </w:rPr>
      </w:pPr>
    </w:p>
    <w:p>
      <w:pPr>
        <w:pStyle w:val="8"/>
        <w:widowControl w:val="0"/>
        <w:adjustRightInd w:val="0"/>
        <w:snapToGrid w:val="0"/>
        <w:spacing w:beforeLines="50" w:line="324" w:lineRule="auto"/>
        <w:ind w:left="0" w:firstLine="830" w:firstLineChars="196"/>
        <w:jc w:val="center"/>
        <w:outlineLvl w:val="0"/>
        <w:rPr>
          <w:rFonts w:ascii="宋体" w:hAnsi="宋体" w:cs="宋体"/>
          <w:b/>
          <w:bCs/>
          <w:spacing w:val="-9"/>
          <w:sz w:val="44"/>
          <w:szCs w:val="44"/>
        </w:rPr>
      </w:pPr>
      <w:bookmarkStart w:id="6" w:name="_Toc5107"/>
      <w:r>
        <w:rPr>
          <w:rFonts w:hint="eastAsia" w:ascii="宋体" w:hAnsi="宋体" w:cs="宋体"/>
          <w:b/>
          <w:bCs/>
          <w:spacing w:val="-9"/>
          <w:sz w:val="44"/>
          <w:szCs w:val="44"/>
        </w:rPr>
        <w:t>估价结果报告</w:t>
      </w:r>
      <w:bookmarkEnd w:id="6"/>
    </w:p>
    <w:p>
      <w:pPr>
        <w:pStyle w:val="8"/>
        <w:widowControl w:val="0"/>
        <w:adjustRightInd w:val="0"/>
        <w:snapToGrid w:val="0"/>
        <w:spacing w:beforeLines="50" w:line="324" w:lineRule="auto"/>
        <w:ind w:left="0" w:firstLine="551" w:firstLineChars="196"/>
        <w:jc w:val="both"/>
        <w:outlineLvl w:val="1"/>
        <w:rPr>
          <w:rFonts w:ascii="宋体" w:hAnsi="宋体" w:cs="宋体"/>
          <w:b/>
          <w:bCs/>
          <w:sz w:val="28"/>
          <w:szCs w:val="28"/>
        </w:rPr>
      </w:pPr>
      <w:bookmarkStart w:id="7" w:name="_Toc25814"/>
      <w:r>
        <w:rPr>
          <w:rFonts w:hint="eastAsia" w:ascii="宋体" w:hAnsi="宋体" w:cs="宋体"/>
          <w:b/>
          <w:bCs/>
          <w:sz w:val="28"/>
          <w:szCs w:val="28"/>
        </w:rPr>
        <w:t>一、估价委托人</w:t>
      </w:r>
      <w:bookmarkEnd w:id="7"/>
    </w:p>
    <w:p>
      <w:pPr>
        <w:adjustRightInd w:val="0"/>
        <w:snapToGrid w:val="0"/>
        <w:spacing w:line="560" w:lineRule="exact"/>
        <w:ind w:firstLine="560" w:firstLineChars="200"/>
        <w:rPr>
          <w:rFonts w:ascii="宋体" w:hAnsi="宋体" w:cs="宋体"/>
          <w:sz w:val="28"/>
          <w:szCs w:val="28"/>
        </w:rPr>
      </w:pPr>
      <w:r>
        <w:rPr>
          <w:rFonts w:hint="eastAsia" w:ascii="宋体" w:hAnsi="宋体" w:cs="宋体"/>
          <w:sz w:val="28"/>
          <w:szCs w:val="28"/>
        </w:rPr>
        <w:t>名称：寻甸回族彝族自治县人民法院</w:t>
      </w:r>
    </w:p>
    <w:p>
      <w:pPr>
        <w:adjustRightInd w:val="0"/>
        <w:snapToGrid w:val="0"/>
        <w:spacing w:line="560" w:lineRule="exact"/>
        <w:ind w:firstLine="560" w:firstLineChars="200"/>
        <w:rPr>
          <w:rFonts w:ascii="宋体" w:hAnsi="宋体" w:cs="宋体"/>
          <w:sz w:val="28"/>
          <w:szCs w:val="28"/>
        </w:rPr>
      </w:pPr>
      <w:r>
        <w:rPr>
          <w:rFonts w:hint="eastAsia" w:ascii="宋体" w:hAnsi="宋体" w:cs="宋体"/>
          <w:sz w:val="28"/>
          <w:szCs w:val="28"/>
        </w:rPr>
        <w:t>地址：寻甸县凤梧路86号</w:t>
      </w:r>
    </w:p>
    <w:p>
      <w:pPr>
        <w:pStyle w:val="8"/>
        <w:widowControl w:val="0"/>
        <w:adjustRightInd w:val="0"/>
        <w:snapToGrid w:val="0"/>
        <w:spacing w:beforeLines="50" w:line="324" w:lineRule="auto"/>
        <w:ind w:left="0" w:firstLine="551" w:firstLineChars="196"/>
        <w:jc w:val="both"/>
        <w:outlineLvl w:val="1"/>
        <w:rPr>
          <w:rFonts w:ascii="宋体" w:hAnsi="宋体" w:cs="宋体"/>
          <w:b/>
          <w:bCs/>
          <w:sz w:val="28"/>
          <w:szCs w:val="28"/>
        </w:rPr>
      </w:pPr>
      <w:bookmarkStart w:id="8" w:name="_Toc13958"/>
      <w:r>
        <w:rPr>
          <w:rFonts w:hint="eastAsia" w:ascii="宋体" w:hAnsi="宋体" w:cs="宋体"/>
          <w:b/>
          <w:bCs/>
          <w:sz w:val="28"/>
          <w:szCs w:val="28"/>
        </w:rPr>
        <w:t>二、房地产估价机构</w:t>
      </w:r>
      <w:bookmarkEnd w:id="8"/>
    </w:p>
    <w:p>
      <w:pPr>
        <w:adjustRightInd w:val="0"/>
        <w:snapToGrid w:val="0"/>
        <w:spacing w:line="560" w:lineRule="exact"/>
        <w:ind w:firstLine="560" w:firstLineChars="200"/>
        <w:rPr>
          <w:rFonts w:ascii="宋体" w:cs="Times New Roman"/>
          <w:sz w:val="28"/>
          <w:szCs w:val="28"/>
        </w:rPr>
      </w:pPr>
      <w:r>
        <w:rPr>
          <w:rFonts w:hint="eastAsia" w:ascii="宋体" w:hAnsi="宋体" w:cs="宋体"/>
          <w:sz w:val="28"/>
          <w:szCs w:val="28"/>
        </w:rPr>
        <w:t>名称：云南雨涵房地产评估有限责任公司</w:t>
      </w:r>
    </w:p>
    <w:p>
      <w:pPr>
        <w:adjustRightInd w:val="0"/>
        <w:snapToGrid w:val="0"/>
        <w:spacing w:line="560" w:lineRule="exact"/>
        <w:ind w:firstLine="560" w:firstLineChars="200"/>
        <w:rPr>
          <w:rFonts w:ascii="宋体" w:hAnsi="宋体" w:cs="宋体"/>
          <w:sz w:val="28"/>
          <w:szCs w:val="28"/>
        </w:rPr>
      </w:pPr>
      <w:r>
        <w:rPr>
          <w:rFonts w:hint="eastAsia" w:ascii="宋体" w:hAnsi="宋体" w:cs="宋体"/>
          <w:sz w:val="28"/>
          <w:szCs w:val="28"/>
        </w:rPr>
        <w:t>住所：云南省昆明市盘龙区穿金路205号霖岚广场A幢714号</w:t>
      </w:r>
    </w:p>
    <w:p>
      <w:pPr>
        <w:adjustRightInd w:val="0"/>
        <w:snapToGrid w:val="0"/>
        <w:spacing w:line="560" w:lineRule="exact"/>
        <w:ind w:firstLine="560" w:firstLineChars="200"/>
        <w:rPr>
          <w:rFonts w:ascii="宋体" w:cs="Times New Roman"/>
          <w:sz w:val="28"/>
          <w:szCs w:val="28"/>
        </w:rPr>
      </w:pPr>
      <w:r>
        <w:rPr>
          <w:rFonts w:hint="eastAsia" w:ascii="宋体" w:hAnsi="宋体" w:cs="宋体"/>
          <w:sz w:val="28"/>
          <w:szCs w:val="28"/>
        </w:rPr>
        <w:t>法定代表人：马海波    统一社会信用代码：9153010078737665XC</w:t>
      </w:r>
    </w:p>
    <w:p>
      <w:pPr>
        <w:adjustRightInd w:val="0"/>
        <w:snapToGrid w:val="0"/>
        <w:spacing w:line="560" w:lineRule="exact"/>
        <w:ind w:firstLine="560" w:firstLineChars="200"/>
        <w:rPr>
          <w:rFonts w:ascii="宋体" w:cs="Times New Roman"/>
          <w:sz w:val="28"/>
          <w:szCs w:val="28"/>
        </w:rPr>
      </w:pPr>
      <w:r>
        <w:rPr>
          <w:rFonts w:hint="eastAsia" w:ascii="宋体" w:hAnsi="宋体" w:cs="宋体"/>
          <w:sz w:val="28"/>
          <w:szCs w:val="28"/>
        </w:rPr>
        <w:t>资质等级：贰级  资质证书编号：云建房证估字第</w:t>
      </w:r>
      <w:r>
        <w:rPr>
          <w:rFonts w:ascii="宋体" w:hAnsi="宋体" w:cs="宋体"/>
          <w:sz w:val="28"/>
          <w:szCs w:val="28"/>
        </w:rPr>
        <w:t>118</w:t>
      </w:r>
      <w:r>
        <w:rPr>
          <w:rFonts w:hint="eastAsia" w:ascii="宋体" w:hAnsi="宋体" w:cs="宋体"/>
          <w:sz w:val="28"/>
          <w:szCs w:val="28"/>
        </w:rPr>
        <w:t>号</w:t>
      </w:r>
    </w:p>
    <w:p>
      <w:pPr>
        <w:adjustRightInd w:val="0"/>
        <w:snapToGrid w:val="0"/>
        <w:spacing w:line="560" w:lineRule="exact"/>
        <w:ind w:firstLine="560" w:firstLineChars="200"/>
        <w:rPr>
          <w:rFonts w:ascii="宋体" w:cs="Times New Roman"/>
          <w:sz w:val="28"/>
          <w:szCs w:val="28"/>
        </w:rPr>
      </w:pPr>
      <w:r>
        <w:rPr>
          <w:rFonts w:hint="eastAsia" w:ascii="宋体" w:hAnsi="宋体" w:cs="宋体"/>
          <w:sz w:val="28"/>
          <w:szCs w:val="28"/>
        </w:rPr>
        <w:t>电话（传真）：（</w:t>
      </w:r>
      <w:r>
        <w:rPr>
          <w:rFonts w:ascii="宋体" w:hAnsi="宋体" w:cs="宋体"/>
          <w:sz w:val="28"/>
          <w:szCs w:val="28"/>
        </w:rPr>
        <w:t>0871</w:t>
      </w:r>
      <w:r>
        <w:rPr>
          <w:rFonts w:hint="eastAsia" w:ascii="宋体" w:hAnsi="宋体" w:cs="宋体"/>
          <w:sz w:val="28"/>
          <w:szCs w:val="28"/>
        </w:rPr>
        <w:t>）</w:t>
      </w:r>
      <w:r>
        <w:rPr>
          <w:rFonts w:ascii="宋体" w:hAnsi="宋体" w:cs="宋体"/>
          <w:sz w:val="28"/>
          <w:szCs w:val="28"/>
        </w:rPr>
        <w:t>63121005</w:t>
      </w:r>
    </w:p>
    <w:p>
      <w:pPr>
        <w:pStyle w:val="8"/>
        <w:widowControl w:val="0"/>
        <w:adjustRightInd w:val="0"/>
        <w:snapToGrid w:val="0"/>
        <w:spacing w:beforeLines="50" w:line="324" w:lineRule="auto"/>
        <w:ind w:left="0" w:firstLine="551" w:firstLineChars="196"/>
        <w:jc w:val="both"/>
        <w:outlineLvl w:val="1"/>
        <w:rPr>
          <w:rFonts w:ascii="宋体" w:hAnsi="宋体" w:cs="宋体"/>
          <w:b/>
          <w:bCs/>
          <w:sz w:val="28"/>
          <w:szCs w:val="28"/>
        </w:rPr>
      </w:pPr>
      <w:bookmarkStart w:id="9" w:name="_Toc32346"/>
      <w:r>
        <w:rPr>
          <w:rFonts w:hint="eastAsia" w:ascii="宋体" w:hAnsi="宋体" w:cs="宋体"/>
          <w:b/>
          <w:bCs/>
          <w:sz w:val="28"/>
          <w:szCs w:val="28"/>
        </w:rPr>
        <w:t>三、估价目的</w:t>
      </w:r>
      <w:bookmarkEnd w:id="9"/>
    </w:p>
    <w:p>
      <w:pPr>
        <w:spacing w:line="560" w:lineRule="exact"/>
        <w:ind w:firstLine="524" w:firstLineChars="200"/>
        <w:rPr>
          <w:rFonts w:ascii="宋体" w:cs="Times New Roman"/>
          <w:sz w:val="28"/>
          <w:szCs w:val="28"/>
        </w:rPr>
      </w:pPr>
      <w:r>
        <w:rPr>
          <w:rFonts w:hint="eastAsia" w:ascii="宋体" w:hAnsi="宋体" w:cs="宋体"/>
          <w:spacing w:val="-9"/>
          <w:sz w:val="28"/>
          <w:szCs w:val="28"/>
        </w:rPr>
        <w:t>为人民法院确定财产处置参考价提供参考依据</w:t>
      </w:r>
      <w:r>
        <w:rPr>
          <w:rFonts w:hint="eastAsia" w:ascii="宋体" w:hAnsi="宋体" w:cs="宋体"/>
          <w:sz w:val="28"/>
          <w:szCs w:val="28"/>
        </w:rPr>
        <w:t>。</w:t>
      </w:r>
    </w:p>
    <w:p>
      <w:pPr>
        <w:pStyle w:val="8"/>
        <w:widowControl w:val="0"/>
        <w:adjustRightInd w:val="0"/>
        <w:snapToGrid w:val="0"/>
        <w:spacing w:beforeLines="50" w:line="324" w:lineRule="auto"/>
        <w:ind w:left="0" w:firstLine="551" w:firstLineChars="196"/>
        <w:jc w:val="both"/>
        <w:outlineLvl w:val="1"/>
        <w:rPr>
          <w:rFonts w:ascii="宋体" w:hAnsi="宋体" w:cs="宋体"/>
          <w:b/>
          <w:bCs/>
          <w:sz w:val="28"/>
          <w:szCs w:val="28"/>
        </w:rPr>
      </w:pPr>
      <w:bookmarkStart w:id="10" w:name="_Toc4708"/>
      <w:r>
        <w:rPr>
          <w:rFonts w:hint="eastAsia" w:ascii="宋体" w:hAnsi="宋体" w:cs="宋体"/>
          <w:b/>
          <w:bCs/>
          <w:sz w:val="28"/>
          <w:szCs w:val="28"/>
        </w:rPr>
        <w:t>四、估价对象</w:t>
      </w:r>
      <w:bookmarkEnd w:id="10"/>
    </w:p>
    <w:p>
      <w:pPr>
        <w:spacing w:line="560" w:lineRule="exact"/>
        <w:ind w:firstLine="560" w:firstLineChars="200"/>
        <w:rPr>
          <w:rFonts w:ascii="宋体" w:cs="Times New Roman"/>
          <w:sz w:val="28"/>
          <w:szCs w:val="28"/>
        </w:rPr>
      </w:pPr>
      <w:r>
        <w:rPr>
          <w:rFonts w:hint="eastAsia" w:ascii="宋体" w:hAnsi="宋体" w:cs="宋体"/>
          <w:sz w:val="28"/>
          <w:szCs w:val="28"/>
        </w:rPr>
        <w:t>（一）估价对象财产范围</w:t>
      </w:r>
    </w:p>
    <w:p>
      <w:pPr>
        <w:spacing w:line="560" w:lineRule="exact"/>
        <w:ind w:firstLine="524" w:firstLineChars="200"/>
        <w:rPr>
          <w:rFonts w:ascii="宋体" w:hAnsi="宋体" w:cs="宋体"/>
          <w:spacing w:val="-9"/>
          <w:sz w:val="28"/>
          <w:szCs w:val="28"/>
        </w:rPr>
      </w:pPr>
      <w:r>
        <w:rPr>
          <w:rFonts w:hint="eastAsia" w:ascii="宋体" w:hAnsi="宋体" w:cs="宋体"/>
          <w:spacing w:val="-9"/>
          <w:sz w:val="28"/>
          <w:szCs w:val="28"/>
        </w:rPr>
        <w:t>估价对象证载或登记面积的房地产（房屋及其独用或应分摊的土地使用权），含装修及附着在建筑物上的、与估价对象功能相匹配的、不可移动的设施设备（消防、强弱电等），不含其他存在的建（构）筑物、可移动物品及其他债权债务、特许经营权等其他财产或权益。</w:t>
      </w:r>
    </w:p>
    <w:p>
      <w:pPr>
        <w:spacing w:line="560" w:lineRule="exact"/>
        <w:ind w:firstLine="560" w:firstLineChars="200"/>
        <w:rPr>
          <w:rFonts w:ascii="宋体" w:hAnsi="宋体" w:cs="宋体"/>
          <w:sz w:val="28"/>
          <w:szCs w:val="28"/>
        </w:rPr>
      </w:pPr>
      <w:r>
        <w:rPr>
          <w:rFonts w:hint="eastAsia" w:ascii="宋体" w:hAnsi="宋体" w:cs="宋体"/>
          <w:sz w:val="28"/>
          <w:szCs w:val="28"/>
        </w:rPr>
        <w:t>（二）估价对象基本状况描述</w:t>
      </w:r>
    </w:p>
    <w:p>
      <w:pPr>
        <w:tabs>
          <w:tab w:val="left" w:pos="6676"/>
        </w:tabs>
        <w:spacing w:line="560" w:lineRule="exact"/>
        <w:ind w:firstLine="524" w:firstLineChars="200"/>
        <w:rPr>
          <w:rFonts w:ascii="宋体" w:hAnsi="宋体" w:cs="宋体"/>
          <w:color w:val="FF0000"/>
          <w:sz w:val="28"/>
          <w:szCs w:val="28"/>
        </w:rPr>
      </w:pPr>
      <w:r>
        <w:rPr>
          <w:rFonts w:hint="eastAsia" w:ascii="宋体" w:hAnsi="宋体" w:cs="宋体"/>
          <w:spacing w:val="-9"/>
          <w:sz w:val="28"/>
          <w:szCs w:val="28"/>
        </w:rPr>
        <w:t>估价对象坐落于寻甸县仁德镇学府社区华联超市东面，整幢建筑物总层数5层，建筑结构为混合结构。估价对象位于1-5层，总建筑面积为622.16㎡，其中李洪才所有的位于1-4层建筑面积为565.41㎡，李贤所有的位于第5层建筑面积为56.75㎡。设计用途均为住宅，实际用途一层为临街商铺，二层至五层为住宅，目前出租，室内中等装修。估价对象土地权所有权类型为集体用地，土地所有权人为寻甸县仁德镇学府居民委员会北营三组，土地使用权类型为宅基地，用途为城镇混合住宅用地，土地使用权总面积为143㎡，其中李洪才名下为93.90㎡，李贤名下49.10㎡。</w:t>
      </w:r>
    </w:p>
    <w:p>
      <w:pPr>
        <w:tabs>
          <w:tab w:val="left" w:pos="6676"/>
        </w:tabs>
        <w:spacing w:line="560" w:lineRule="exact"/>
        <w:ind w:firstLine="560" w:firstLineChars="200"/>
        <w:rPr>
          <w:rFonts w:ascii="宋体" w:hAnsi="宋体" w:cs="宋体"/>
          <w:sz w:val="28"/>
          <w:szCs w:val="28"/>
        </w:rPr>
      </w:pPr>
      <w:r>
        <w:rPr>
          <w:rFonts w:hint="eastAsia" w:ascii="宋体" w:hAnsi="宋体" w:cs="宋体"/>
          <w:sz w:val="28"/>
          <w:szCs w:val="28"/>
        </w:rPr>
        <w:t>（三）估价对象区位状况描述与分析</w:t>
      </w:r>
    </w:p>
    <w:tbl>
      <w:tblPr>
        <w:tblStyle w:val="20"/>
        <w:tblW w:w="5000" w:type="pct"/>
        <w:jc w:val="center"/>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Layout w:type="autofit"/>
        <w:tblCellMar>
          <w:top w:w="0" w:type="dxa"/>
          <w:left w:w="108" w:type="dxa"/>
          <w:bottom w:w="0" w:type="dxa"/>
          <w:right w:w="108" w:type="dxa"/>
        </w:tblCellMar>
      </w:tblPr>
      <w:tblGrid>
        <w:gridCol w:w="959"/>
        <w:gridCol w:w="1560"/>
        <w:gridCol w:w="6910"/>
      </w:tblGrid>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336" w:type="pct"/>
            <w:gridSpan w:val="2"/>
            <w:vAlign w:val="center"/>
          </w:tcPr>
          <w:p>
            <w:pPr>
              <w:overflowPunct w:val="0"/>
              <w:spacing w:line="276" w:lineRule="auto"/>
              <w:jc w:val="center"/>
              <w:rPr>
                <w:rFonts w:asciiTheme="majorEastAsia" w:hAnsiTheme="majorEastAsia" w:eastAsiaTheme="majorEastAsia"/>
                <w:b/>
                <w:bCs/>
                <w:sz w:val="22"/>
                <w:szCs w:val="22"/>
              </w:rPr>
            </w:pPr>
            <w:r>
              <w:rPr>
                <w:rFonts w:hint="eastAsia" w:asciiTheme="majorEastAsia" w:hAnsiTheme="majorEastAsia" w:eastAsiaTheme="majorEastAsia"/>
                <w:b/>
                <w:bCs/>
                <w:sz w:val="22"/>
                <w:szCs w:val="22"/>
              </w:rPr>
              <w:t>项    目</w:t>
            </w:r>
          </w:p>
        </w:tc>
        <w:tc>
          <w:tcPr>
            <w:tcW w:w="3664" w:type="pct"/>
            <w:vAlign w:val="center"/>
          </w:tcPr>
          <w:p>
            <w:pPr>
              <w:overflowPunct w:val="0"/>
              <w:spacing w:line="276" w:lineRule="auto"/>
              <w:jc w:val="center"/>
              <w:rPr>
                <w:rFonts w:asciiTheme="majorEastAsia" w:hAnsiTheme="majorEastAsia" w:eastAsiaTheme="majorEastAsia"/>
                <w:b/>
                <w:bCs/>
                <w:sz w:val="22"/>
                <w:szCs w:val="22"/>
              </w:rPr>
            </w:pPr>
            <w:r>
              <w:rPr>
                <w:rFonts w:hint="eastAsia" w:asciiTheme="majorEastAsia" w:hAnsiTheme="majorEastAsia" w:eastAsiaTheme="majorEastAsia"/>
                <w:b/>
                <w:bCs/>
                <w:sz w:val="22"/>
                <w:szCs w:val="22"/>
              </w:rPr>
              <w:t>内    容</w:t>
            </w:r>
          </w:p>
        </w:tc>
      </w:tr>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09" w:type="pct"/>
            <w:vMerge w:val="restart"/>
            <w:vAlign w:val="center"/>
          </w:tcPr>
          <w:p>
            <w:pPr>
              <w:spacing w:line="276" w:lineRule="auto"/>
              <w:jc w:val="left"/>
              <w:rPr>
                <w:rFonts w:cs="宋体" w:asciiTheme="majorEastAsia" w:hAnsiTheme="majorEastAsia" w:eastAsiaTheme="majorEastAsia"/>
                <w:b/>
                <w:kern w:val="0"/>
                <w:sz w:val="22"/>
                <w:szCs w:val="22"/>
              </w:rPr>
            </w:pPr>
            <w:r>
              <w:rPr>
                <w:rFonts w:hint="eastAsia" w:cs="宋体" w:asciiTheme="majorEastAsia" w:hAnsiTheme="majorEastAsia" w:eastAsiaTheme="majorEastAsia"/>
                <w:b/>
                <w:kern w:val="0"/>
                <w:sz w:val="22"/>
                <w:szCs w:val="22"/>
              </w:rPr>
              <w:t>位置状况描述</w:t>
            </w:r>
          </w:p>
        </w:tc>
        <w:tc>
          <w:tcPr>
            <w:tcW w:w="827" w:type="pct"/>
            <w:vAlign w:val="center"/>
          </w:tcPr>
          <w:p>
            <w:pPr>
              <w:spacing w:line="276" w:lineRule="auto"/>
              <w:jc w:val="center"/>
              <w:rPr>
                <w:rFonts w:cs="宋体" w:asciiTheme="majorEastAsia" w:hAnsiTheme="majorEastAsia" w:eastAsiaTheme="majorEastAsia"/>
                <w:b/>
                <w:kern w:val="0"/>
                <w:sz w:val="22"/>
                <w:szCs w:val="22"/>
              </w:rPr>
            </w:pPr>
            <w:r>
              <w:rPr>
                <w:rFonts w:hint="eastAsia" w:cs="宋体" w:asciiTheme="majorEastAsia" w:hAnsiTheme="majorEastAsia" w:eastAsiaTheme="majorEastAsia"/>
                <w:b/>
                <w:kern w:val="0"/>
                <w:sz w:val="22"/>
                <w:szCs w:val="22"/>
              </w:rPr>
              <w:t>坐落</w:t>
            </w:r>
          </w:p>
        </w:tc>
        <w:tc>
          <w:tcPr>
            <w:tcW w:w="3664" w:type="pct"/>
            <w:vAlign w:val="center"/>
          </w:tcPr>
          <w:p>
            <w:pPr>
              <w:spacing w:line="276" w:lineRule="auto"/>
              <w:jc w:val="left"/>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估价对象位于寻甸县仁德镇学府社区华联超市东面</w:t>
            </w:r>
          </w:p>
        </w:tc>
      </w:tr>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09" w:type="pct"/>
            <w:vMerge w:val="continue"/>
            <w:vAlign w:val="center"/>
          </w:tcPr>
          <w:p>
            <w:pPr>
              <w:spacing w:line="276" w:lineRule="auto"/>
              <w:jc w:val="left"/>
              <w:rPr>
                <w:rFonts w:cs="宋体" w:asciiTheme="majorEastAsia" w:hAnsiTheme="majorEastAsia" w:eastAsiaTheme="majorEastAsia"/>
                <w:b/>
                <w:kern w:val="0"/>
                <w:sz w:val="22"/>
                <w:szCs w:val="22"/>
              </w:rPr>
            </w:pPr>
          </w:p>
        </w:tc>
        <w:tc>
          <w:tcPr>
            <w:tcW w:w="827" w:type="pct"/>
            <w:vAlign w:val="center"/>
          </w:tcPr>
          <w:p>
            <w:pPr>
              <w:spacing w:line="276" w:lineRule="auto"/>
              <w:jc w:val="center"/>
              <w:rPr>
                <w:rFonts w:cs="宋体" w:asciiTheme="majorEastAsia" w:hAnsiTheme="majorEastAsia" w:eastAsiaTheme="majorEastAsia"/>
                <w:b/>
                <w:kern w:val="0"/>
                <w:sz w:val="22"/>
                <w:szCs w:val="22"/>
              </w:rPr>
            </w:pPr>
            <w:r>
              <w:rPr>
                <w:rFonts w:hint="eastAsia" w:cs="宋体" w:asciiTheme="majorEastAsia" w:hAnsiTheme="majorEastAsia" w:eastAsiaTheme="majorEastAsia"/>
                <w:b/>
                <w:kern w:val="0"/>
                <w:sz w:val="22"/>
                <w:szCs w:val="22"/>
              </w:rPr>
              <w:t>方位四至</w:t>
            </w:r>
          </w:p>
        </w:tc>
        <w:tc>
          <w:tcPr>
            <w:tcW w:w="3664" w:type="pct"/>
            <w:vAlign w:val="center"/>
          </w:tcPr>
          <w:p>
            <w:pPr>
              <w:spacing w:line="276" w:lineRule="auto"/>
              <w:jc w:val="left"/>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估价对象位于寻甸县旭东路上，金世纪小区北侧，东靠东盛综合商贸城，南临旭东路，西靠华联超市，北临永兴巷。</w:t>
            </w:r>
          </w:p>
        </w:tc>
      </w:tr>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09" w:type="pct"/>
            <w:vMerge w:val="continue"/>
            <w:vAlign w:val="center"/>
          </w:tcPr>
          <w:p>
            <w:pPr>
              <w:spacing w:line="276" w:lineRule="auto"/>
              <w:jc w:val="left"/>
              <w:rPr>
                <w:rFonts w:cs="宋体" w:asciiTheme="majorEastAsia" w:hAnsiTheme="majorEastAsia" w:eastAsiaTheme="majorEastAsia"/>
                <w:b/>
                <w:kern w:val="0"/>
                <w:sz w:val="22"/>
                <w:szCs w:val="22"/>
              </w:rPr>
            </w:pPr>
          </w:p>
        </w:tc>
        <w:tc>
          <w:tcPr>
            <w:tcW w:w="827" w:type="pct"/>
            <w:vAlign w:val="center"/>
          </w:tcPr>
          <w:p>
            <w:pPr>
              <w:spacing w:line="276" w:lineRule="auto"/>
              <w:jc w:val="center"/>
              <w:rPr>
                <w:rFonts w:cs="宋体" w:asciiTheme="majorEastAsia" w:hAnsiTheme="majorEastAsia" w:eastAsiaTheme="majorEastAsia"/>
                <w:b/>
                <w:kern w:val="0"/>
                <w:sz w:val="22"/>
                <w:szCs w:val="22"/>
              </w:rPr>
            </w:pPr>
            <w:r>
              <w:rPr>
                <w:rFonts w:hint="eastAsia" w:cs="宋体" w:asciiTheme="majorEastAsia" w:hAnsiTheme="majorEastAsia" w:eastAsiaTheme="majorEastAsia"/>
                <w:b/>
                <w:kern w:val="0"/>
                <w:sz w:val="22"/>
                <w:szCs w:val="22"/>
              </w:rPr>
              <w:t>距重要设施、场所距离</w:t>
            </w:r>
          </w:p>
        </w:tc>
        <w:tc>
          <w:tcPr>
            <w:tcW w:w="3664" w:type="pct"/>
            <w:vAlign w:val="center"/>
          </w:tcPr>
          <w:p>
            <w:pPr>
              <w:spacing w:line="276" w:lineRule="auto"/>
              <w:jc w:val="left"/>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与所在地市一级的（医院、中学、电影院、行政服务中心等）重要设施距离在1公里外</w:t>
            </w:r>
          </w:p>
        </w:tc>
      </w:tr>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09" w:type="pct"/>
            <w:vMerge w:val="continue"/>
            <w:vAlign w:val="center"/>
          </w:tcPr>
          <w:p>
            <w:pPr>
              <w:spacing w:line="276" w:lineRule="auto"/>
              <w:jc w:val="left"/>
              <w:rPr>
                <w:rFonts w:cs="宋体" w:asciiTheme="majorEastAsia" w:hAnsiTheme="majorEastAsia" w:eastAsiaTheme="majorEastAsia"/>
                <w:b/>
                <w:kern w:val="0"/>
                <w:sz w:val="22"/>
                <w:szCs w:val="22"/>
              </w:rPr>
            </w:pPr>
          </w:p>
        </w:tc>
        <w:tc>
          <w:tcPr>
            <w:tcW w:w="827" w:type="pct"/>
            <w:vAlign w:val="center"/>
          </w:tcPr>
          <w:p>
            <w:pPr>
              <w:spacing w:line="276" w:lineRule="auto"/>
              <w:jc w:val="center"/>
              <w:rPr>
                <w:rFonts w:cs="宋体" w:asciiTheme="majorEastAsia" w:hAnsiTheme="majorEastAsia" w:eastAsiaTheme="majorEastAsia"/>
                <w:b/>
                <w:kern w:val="0"/>
                <w:sz w:val="22"/>
                <w:szCs w:val="22"/>
              </w:rPr>
            </w:pPr>
            <w:r>
              <w:rPr>
                <w:rFonts w:hint="eastAsia" w:cs="宋体" w:asciiTheme="majorEastAsia" w:hAnsiTheme="majorEastAsia" w:eastAsiaTheme="majorEastAsia"/>
                <w:b/>
                <w:kern w:val="0"/>
                <w:sz w:val="22"/>
                <w:szCs w:val="22"/>
              </w:rPr>
              <w:t>临街状况</w:t>
            </w:r>
          </w:p>
        </w:tc>
        <w:tc>
          <w:tcPr>
            <w:tcW w:w="3664" w:type="pct"/>
            <w:vAlign w:val="center"/>
          </w:tcPr>
          <w:p>
            <w:pPr>
              <w:spacing w:line="276" w:lineRule="auto"/>
              <w:jc w:val="left"/>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临旭东路</w:t>
            </w:r>
          </w:p>
        </w:tc>
      </w:tr>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09" w:type="pct"/>
            <w:vMerge w:val="restart"/>
            <w:vAlign w:val="center"/>
          </w:tcPr>
          <w:p>
            <w:pPr>
              <w:spacing w:line="276" w:lineRule="auto"/>
              <w:jc w:val="left"/>
              <w:rPr>
                <w:rFonts w:cs="宋体" w:asciiTheme="majorEastAsia" w:hAnsiTheme="majorEastAsia" w:eastAsiaTheme="majorEastAsia"/>
                <w:b/>
                <w:kern w:val="0"/>
                <w:sz w:val="22"/>
                <w:szCs w:val="22"/>
              </w:rPr>
            </w:pPr>
            <w:r>
              <w:rPr>
                <w:rFonts w:hint="eastAsia" w:cs="宋体" w:asciiTheme="majorEastAsia" w:hAnsiTheme="majorEastAsia" w:eastAsiaTheme="majorEastAsia"/>
                <w:b/>
                <w:kern w:val="0"/>
                <w:sz w:val="22"/>
                <w:szCs w:val="22"/>
              </w:rPr>
              <w:t>交通状况描述</w:t>
            </w:r>
          </w:p>
        </w:tc>
        <w:tc>
          <w:tcPr>
            <w:tcW w:w="827" w:type="pct"/>
            <w:vAlign w:val="center"/>
          </w:tcPr>
          <w:p>
            <w:pPr>
              <w:spacing w:line="276" w:lineRule="auto"/>
              <w:jc w:val="center"/>
              <w:rPr>
                <w:rFonts w:cs="宋体" w:asciiTheme="majorEastAsia" w:hAnsiTheme="majorEastAsia" w:eastAsiaTheme="majorEastAsia"/>
                <w:b/>
                <w:kern w:val="0"/>
                <w:sz w:val="22"/>
                <w:szCs w:val="22"/>
              </w:rPr>
            </w:pPr>
            <w:r>
              <w:rPr>
                <w:rFonts w:hint="eastAsia" w:cs="宋体" w:asciiTheme="majorEastAsia" w:hAnsiTheme="majorEastAsia" w:eastAsiaTheme="majorEastAsia"/>
                <w:b/>
                <w:kern w:val="0"/>
                <w:sz w:val="22"/>
                <w:szCs w:val="22"/>
              </w:rPr>
              <w:t>公共交通</w:t>
            </w:r>
          </w:p>
        </w:tc>
        <w:tc>
          <w:tcPr>
            <w:tcW w:w="3664" w:type="pct"/>
            <w:vAlign w:val="center"/>
          </w:tcPr>
          <w:p>
            <w:pPr>
              <w:spacing w:line="276" w:lineRule="auto"/>
              <w:jc w:val="left"/>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附近有公交车设站停靠，公共交通方便程度较好。</w:t>
            </w:r>
          </w:p>
        </w:tc>
      </w:tr>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09" w:type="pct"/>
            <w:vMerge w:val="continue"/>
            <w:vAlign w:val="center"/>
          </w:tcPr>
          <w:p>
            <w:pPr>
              <w:spacing w:line="276" w:lineRule="auto"/>
              <w:jc w:val="left"/>
              <w:rPr>
                <w:rFonts w:cs="宋体" w:asciiTheme="majorEastAsia" w:hAnsiTheme="majorEastAsia" w:eastAsiaTheme="majorEastAsia"/>
                <w:b/>
                <w:kern w:val="0"/>
                <w:sz w:val="22"/>
                <w:szCs w:val="22"/>
              </w:rPr>
            </w:pPr>
          </w:p>
        </w:tc>
        <w:tc>
          <w:tcPr>
            <w:tcW w:w="827" w:type="pct"/>
            <w:vAlign w:val="center"/>
          </w:tcPr>
          <w:p>
            <w:pPr>
              <w:spacing w:line="276" w:lineRule="auto"/>
              <w:jc w:val="center"/>
              <w:rPr>
                <w:rFonts w:cs="宋体" w:asciiTheme="majorEastAsia" w:hAnsiTheme="majorEastAsia" w:eastAsiaTheme="majorEastAsia"/>
                <w:b/>
                <w:kern w:val="0"/>
                <w:sz w:val="22"/>
                <w:szCs w:val="22"/>
              </w:rPr>
            </w:pPr>
            <w:r>
              <w:rPr>
                <w:rFonts w:hint="eastAsia" w:cs="宋体" w:asciiTheme="majorEastAsia" w:hAnsiTheme="majorEastAsia" w:eastAsiaTheme="majorEastAsia"/>
                <w:b/>
                <w:kern w:val="0"/>
                <w:sz w:val="22"/>
                <w:szCs w:val="22"/>
              </w:rPr>
              <w:t>主要交通道路</w:t>
            </w:r>
          </w:p>
        </w:tc>
        <w:tc>
          <w:tcPr>
            <w:tcW w:w="3664" w:type="pct"/>
            <w:vAlign w:val="center"/>
          </w:tcPr>
          <w:p>
            <w:pPr>
              <w:spacing w:line="276" w:lineRule="auto"/>
              <w:jc w:val="left"/>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凤梧路、旭东路</w:t>
            </w:r>
          </w:p>
        </w:tc>
      </w:tr>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09" w:type="pct"/>
            <w:vMerge w:val="continue"/>
            <w:vAlign w:val="center"/>
          </w:tcPr>
          <w:p>
            <w:pPr>
              <w:spacing w:line="276" w:lineRule="auto"/>
              <w:jc w:val="left"/>
              <w:rPr>
                <w:rFonts w:cs="宋体" w:asciiTheme="majorEastAsia" w:hAnsiTheme="majorEastAsia" w:eastAsiaTheme="majorEastAsia"/>
                <w:b/>
                <w:kern w:val="0"/>
                <w:sz w:val="22"/>
                <w:szCs w:val="22"/>
              </w:rPr>
            </w:pPr>
          </w:p>
        </w:tc>
        <w:tc>
          <w:tcPr>
            <w:tcW w:w="827" w:type="pct"/>
            <w:vAlign w:val="center"/>
          </w:tcPr>
          <w:p>
            <w:pPr>
              <w:spacing w:line="276" w:lineRule="auto"/>
              <w:jc w:val="center"/>
              <w:rPr>
                <w:rFonts w:cs="宋体" w:asciiTheme="majorEastAsia" w:hAnsiTheme="majorEastAsia" w:eastAsiaTheme="majorEastAsia"/>
                <w:b/>
                <w:kern w:val="0"/>
                <w:sz w:val="22"/>
                <w:szCs w:val="22"/>
              </w:rPr>
            </w:pPr>
            <w:r>
              <w:rPr>
                <w:rFonts w:hint="eastAsia" w:cs="宋体" w:asciiTheme="majorEastAsia" w:hAnsiTheme="majorEastAsia" w:eastAsiaTheme="majorEastAsia"/>
                <w:b/>
                <w:kern w:val="0"/>
                <w:sz w:val="22"/>
                <w:szCs w:val="22"/>
              </w:rPr>
              <w:t>交通管制</w:t>
            </w:r>
          </w:p>
        </w:tc>
        <w:tc>
          <w:tcPr>
            <w:tcW w:w="3664" w:type="pct"/>
            <w:vAlign w:val="center"/>
          </w:tcPr>
          <w:p>
            <w:pPr>
              <w:spacing w:line="276" w:lineRule="auto"/>
              <w:jc w:val="left"/>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无。</w:t>
            </w:r>
          </w:p>
        </w:tc>
      </w:tr>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09" w:type="pct"/>
            <w:vMerge w:val="continue"/>
            <w:vAlign w:val="center"/>
          </w:tcPr>
          <w:p>
            <w:pPr>
              <w:spacing w:line="276" w:lineRule="auto"/>
              <w:jc w:val="left"/>
              <w:rPr>
                <w:rFonts w:cs="宋体" w:asciiTheme="majorEastAsia" w:hAnsiTheme="majorEastAsia" w:eastAsiaTheme="majorEastAsia"/>
                <w:b/>
                <w:kern w:val="0"/>
                <w:sz w:val="22"/>
                <w:szCs w:val="22"/>
              </w:rPr>
            </w:pPr>
          </w:p>
        </w:tc>
        <w:tc>
          <w:tcPr>
            <w:tcW w:w="827" w:type="pct"/>
            <w:vAlign w:val="center"/>
          </w:tcPr>
          <w:p>
            <w:pPr>
              <w:spacing w:line="276" w:lineRule="auto"/>
              <w:jc w:val="center"/>
              <w:rPr>
                <w:rFonts w:cs="宋体" w:asciiTheme="majorEastAsia" w:hAnsiTheme="majorEastAsia" w:eastAsiaTheme="majorEastAsia"/>
                <w:b/>
                <w:kern w:val="0"/>
                <w:sz w:val="22"/>
                <w:szCs w:val="22"/>
              </w:rPr>
            </w:pPr>
            <w:r>
              <w:rPr>
                <w:rFonts w:hint="eastAsia" w:cs="宋体" w:asciiTheme="majorEastAsia" w:hAnsiTheme="majorEastAsia" w:eastAsiaTheme="majorEastAsia"/>
                <w:b/>
                <w:kern w:val="0"/>
                <w:sz w:val="22"/>
                <w:szCs w:val="22"/>
              </w:rPr>
              <w:t>停车便捷度</w:t>
            </w:r>
          </w:p>
        </w:tc>
        <w:tc>
          <w:tcPr>
            <w:tcW w:w="3664" w:type="pct"/>
            <w:vAlign w:val="center"/>
          </w:tcPr>
          <w:p>
            <w:pPr>
              <w:spacing w:line="276" w:lineRule="auto"/>
              <w:jc w:val="left"/>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估价对象所在区域有停车场，配套多个停车位，停车便捷度较好。</w:t>
            </w:r>
          </w:p>
        </w:tc>
      </w:tr>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09" w:type="pct"/>
            <w:vMerge w:val="restart"/>
            <w:vAlign w:val="center"/>
          </w:tcPr>
          <w:p>
            <w:pPr>
              <w:spacing w:line="276" w:lineRule="auto"/>
              <w:jc w:val="left"/>
              <w:rPr>
                <w:rFonts w:cs="宋体" w:asciiTheme="majorEastAsia" w:hAnsiTheme="majorEastAsia" w:eastAsiaTheme="majorEastAsia"/>
                <w:b/>
                <w:color w:val="000000"/>
                <w:kern w:val="0"/>
                <w:sz w:val="22"/>
                <w:szCs w:val="22"/>
              </w:rPr>
            </w:pPr>
            <w:r>
              <w:rPr>
                <w:rFonts w:hint="eastAsia" w:cs="宋体" w:asciiTheme="majorEastAsia" w:hAnsiTheme="majorEastAsia" w:eastAsiaTheme="majorEastAsia"/>
                <w:b/>
                <w:color w:val="000000"/>
                <w:kern w:val="0"/>
                <w:sz w:val="22"/>
                <w:szCs w:val="22"/>
              </w:rPr>
              <w:t>外部配套设施状况</w:t>
            </w:r>
          </w:p>
        </w:tc>
        <w:tc>
          <w:tcPr>
            <w:tcW w:w="827" w:type="pct"/>
            <w:vAlign w:val="center"/>
          </w:tcPr>
          <w:p>
            <w:pPr>
              <w:spacing w:line="276" w:lineRule="auto"/>
              <w:jc w:val="center"/>
              <w:rPr>
                <w:rFonts w:cs="宋体" w:asciiTheme="majorEastAsia" w:hAnsiTheme="majorEastAsia" w:eastAsiaTheme="majorEastAsia"/>
                <w:b/>
                <w:color w:val="000000"/>
                <w:kern w:val="0"/>
                <w:sz w:val="22"/>
                <w:szCs w:val="22"/>
              </w:rPr>
            </w:pPr>
            <w:r>
              <w:rPr>
                <w:rFonts w:hint="eastAsia" w:cs="宋体" w:asciiTheme="majorEastAsia" w:hAnsiTheme="majorEastAsia" w:eastAsiaTheme="majorEastAsia"/>
                <w:b/>
                <w:color w:val="000000"/>
                <w:kern w:val="0"/>
                <w:sz w:val="22"/>
                <w:szCs w:val="22"/>
              </w:rPr>
              <w:t>基础设施</w:t>
            </w:r>
          </w:p>
        </w:tc>
        <w:tc>
          <w:tcPr>
            <w:tcW w:w="3664" w:type="pct"/>
            <w:vAlign w:val="center"/>
          </w:tcPr>
          <w:p>
            <w:pPr>
              <w:spacing w:line="276" w:lineRule="auto"/>
              <w:jc w:val="left"/>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估价对象所在区域基础设施配套齐全，供水、排水、道路、供电、通信等设施保障率高。</w:t>
            </w:r>
          </w:p>
        </w:tc>
      </w:tr>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09" w:type="pct"/>
            <w:vMerge w:val="continue"/>
            <w:vAlign w:val="center"/>
          </w:tcPr>
          <w:p>
            <w:pPr>
              <w:spacing w:line="276" w:lineRule="auto"/>
              <w:jc w:val="left"/>
              <w:rPr>
                <w:rFonts w:cs="宋体" w:asciiTheme="majorEastAsia" w:hAnsiTheme="majorEastAsia" w:eastAsiaTheme="majorEastAsia"/>
                <w:b/>
                <w:color w:val="000000"/>
                <w:kern w:val="0"/>
                <w:sz w:val="22"/>
                <w:szCs w:val="22"/>
              </w:rPr>
            </w:pPr>
          </w:p>
        </w:tc>
        <w:tc>
          <w:tcPr>
            <w:tcW w:w="827" w:type="pct"/>
            <w:vAlign w:val="center"/>
          </w:tcPr>
          <w:p>
            <w:pPr>
              <w:spacing w:line="276" w:lineRule="auto"/>
              <w:jc w:val="center"/>
              <w:rPr>
                <w:rFonts w:cs="宋体" w:asciiTheme="majorEastAsia" w:hAnsiTheme="majorEastAsia" w:eastAsiaTheme="majorEastAsia"/>
                <w:b/>
                <w:color w:val="000000"/>
                <w:kern w:val="0"/>
                <w:sz w:val="22"/>
                <w:szCs w:val="22"/>
              </w:rPr>
            </w:pPr>
            <w:r>
              <w:rPr>
                <w:rFonts w:hint="eastAsia" w:cs="宋体" w:asciiTheme="majorEastAsia" w:hAnsiTheme="majorEastAsia" w:eastAsiaTheme="majorEastAsia"/>
                <w:b/>
                <w:color w:val="000000"/>
                <w:kern w:val="0"/>
                <w:sz w:val="22"/>
                <w:szCs w:val="22"/>
              </w:rPr>
              <w:t>公共服务设施</w:t>
            </w:r>
          </w:p>
        </w:tc>
        <w:tc>
          <w:tcPr>
            <w:tcW w:w="3664" w:type="pct"/>
            <w:vAlign w:val="center"/>
          </w:tcPr>
          <w:p>
            <w:pPr>
              <w:spacing w:line="276" w:lineRule="auto"/>
              <w:jc w:val="left"/>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学校：华美贝贝幼儿园、寻甸县幼儿园、仁德小学、仁德二中等</w:t>
            </w:r>
          </w:p>
          <w:p>
            <w:pPr>
              <w:spacing w:line="276" w:lineRule="auto"/>
              <w:jc w:val="left"/>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银行：建设银行、农村信用社、寻甸农村商业银行、农业银行等</w:t>
            </w:r>
          </w:p>
          <w:p>
            <w:pPr>
              <w:spacing w:line="276" w:lineRule="auto"/>
              <w:jc w:val="left"/>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医疗：寻甸县第一人民医院、寻甸仁和医院、同济堂大药房、一心堂大健康药店等</w:t>
            </w:r>
          </w:p>
        </w:tc>
      </w:tr>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09" w:type="pct"/>
            <w:vMerge w:val="restart"/>
            <w:vAlign w:val="center"/>
          </w:tcPr>
          <w:p>
            <w:pPr>
              <w:spacing w:line="276" w:lineRule="auto"/>
              <w:jc w:val="left"/>
              <w:rPr>
                <w:rFonts w:cs="宋体" w:asciiTheme="majorEastAsia" w:hAnsiTheme="majorEastAsia" w:eastAsiaTheme="majorEastAsia"/>
                <w:b/>
                <w:color w:val="000000"/>
                <w:kern w:val="0"/>
                <w:sz w:val="22"/>
                <w:szCs w:val="22"/>
              </w:rPr>
            </w:pPr>
            <w:r>
              <w:rPr>
                <w:rFonts w:hint="eastAsia" w:cs="宋体" w:asciiTheme="majorEastAsia" w:hAnsiTheme="majorEastAsia" w:eastAsiaTheme="majorEastAsia"/>
                <w:b/>
                <w:color w:val="000000"/>
                <w:kern w:val="0"/>
                <w:sz w:val="22"/>
                <w:szCs w:val="22"/>
              </w:rPr>
              <w:t>环境</w:t>
            </w:r>
          </w:p>
          <w:p>
            <w:pPr>
              <w:spacing w:line="276" w:lineRule="auto"/>
              <w:jc w:val="left"/>
              <w:rPr>
                <w:rFonts w:cs="宋体" w:asciiTheme="majorEastAsia" w:hAnsiTheme="majorEastAsia" w:eastAsiaTheme="majorEastAsia"/>
                <w:b/>
                <w:color w:val="000000"/>
                <w:kern w:val="0"/>
                <w:sz w:val="22"/>
                <w:szCs w:val="22"/>
              </w:rPr>
            </w:pPr>
            <w:r>
              <w:rPr>
                <w:rFonts w:hint="eastAsia" w:cs="宋体" w:asciiTheme="majorEastAsia" w:hAnsiTheme="majorEastAsia" w:eastAsiaTheme="majorEastAsia"/>
                <w:b/>
                <w:color w:val="000000"/>
                <w:kern w:val="0"/>
                <w:sz w:val="22"/>
                <w:szCs w:val="22"/>
              </w:rPr>
              <w:t>状况</w:t>
            </w:r>
          </w:p>
        </w:tc>
        <w:tc>
          <w:tcPr>
            <w:tcW w:w="827" w:type="pct"/>
            <w:vAlign w:val="center"/>
          </w:tcPr>
          <w:p>
            <w:pPr>
              <w:spacing w:line="276" w:lineRule="auto"/>
              <w:jc w:val="center"/>
              <w:rPr>
                <w:rFonts w:cs="宋体" w:asciiTheme="majorEastAsia" w:hAnsiTheme="majorEastAsia" w:eastAsiaTheme="majorEastAsia"/>
                <w:b/>
                <w:color w:val="000000"/>
                <w:kern w:val="0"/>
                <w:sz w:val="22"/>
                <w:szCs w:val="22"/>
              </w:rPr>
            </w:pPr>
            <w:r>
              <w:rPr>
                <w:rFonts w:hint="eastAsia" w:cs="宋体" w:asciiTheme="majorEastAsia" w:hAnsiTheme="majorEastAsia" w:eastAsiaTheme="majorEastAsia"/>
                <w:b/>
                <w:color w:val="000000"/>
                <w:kern w:val="0"/>
                <w:sz w:val="22"/>
                <w:szCs w:val="22"/>
              </w:rPr>
              <w:t>自然环境</w:t>
            </w:r>
          </w:p>
        </w:tc>
        <w:tc>
          <w:tcPr>
            <w:tcW w:w="3664" w:type="pct"/>
            <w:vAlign w:val="center"/>
          </w:tcPr>
          <w:p>
            <w:pPr>
              <w:spacing w:line="276" w:lineRule="auto"/>
              <w:jc w:val="left"/>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较好</w:t>
            </w:r>
          </w:p>
        </w:tc>
      </w:tr>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09" w:type="pct"/>
            <w:vMerge w:val="continue"/>
            <w:vAlign w:val="center"/>
          </w:tcPr>
          <w:p>
            <w:pPr>
              <w:spacing w:line="276" w:lineRule="auto"/>
              <w:jc w:val="left"/>
              <w:rPr>
                <w:rFonts w:cs="宋体" w:asciiTheme="majorEastAsia" w:hAnsiTheme="majorEastAsia" w:eastAsiaTheme="majorEastAsia"/>
                <w:b/>
                <w:color w:val="000000"/>
                <w:kern w:val="0"/>
                <w:sz w:val="22"/>
                <w:szCs w:val="22"/>
              </w:rPr>
            </w:pPr>
          </w:p>
        </w:tc>
        <w:tc>
          <w:tcPr>
            <w:tcW w:w="827" w:type="pct"/>
            <w:vAlign w:val="center"/>
          </w:tcPr>
          <w:p>
            <w:pPr>
              <w:spacing w:line="276" w:lineRule="auto"/>
              <w:jc w:val="center"/>
              <w:rPr>
                <w:rFonts w:cs="宋体" w:asciiTheme="majorEastAsia" w:hAnsiTheme="majorEastAsia" w:eastAsiaTheme="majorEastAsia"/>
                <w:color w:val="000000"/>
                <w:kern w:val="0"/>
                <w:sz w:val="22"/>
                <w:szCs w:val="22"/>
              </w:rPr>
            </w:pPr>
            <w:r>
              <w:rPr>
                <w:rFonts w:hint="eastAsia" w:cs="宋体" w:asciiTheme="majorEastAsia" w:hAnsiTheme="majorEastAsia" w:eastAsiaTheme="majorEastAsia"/>
                <w:b/>
                <w:color w:val="000000"/>
                <w:kern w:val="0"/>
                <w:sz w:val="22"/>
                <w:szCs w:val="22"/>
              </w:rPr>
              <w:t>人文环境</w:t>
            </w:r>
          </w:p>
        </w:tc>
        <w:tc>
          <w:tcPr>
            <w:tcW w:w="3664" w:type="pct"/>
            <w:vAlign w:val="center"/>
          </w:tcPr>
          <w:p>
            <w:pPr>
              <w:spacing w:line="276" w:lineRule="auto"/>
              <w:jc w:val="left"/>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较好</w:t>
            </w:r>
          </w:p>
        </w:tc>
      </w:tr>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09" w:type="pct"/>
            <w:vMerge w:val="continue"/>
            <w:vAlign w:val="center"/>
          </w:tcPr>
          <w:p>
            <w:pPr>
              <w:spacing w:line="276" w:lineRule="auto"/>
              <w:jc w:val="left"/>
              <w:rPr>
                <w:rFonts w:cs="宋体" w:asciiTheme="majorEastAsia" w:hAnsiTheme="majorEastAsia" w:eastAsiaTheme="majorEastAsia"/>
                <w:b/>
                <w:color w:val="000000"/>
                <w:kern w:val="0"/>
                <w:sz w:val="22"/>
                <w:szCs w:val="22"/>
              </w:rPr>
            </w:pPr>
          </w:p>
        </w:tc>
        <w:tc>
          <w:tcPr>
            <w:tcW w:w="827" w:type="pct"/>
            <w:vAlign w:val="center"/>
          </w:tcPr>
          <w:p>
            <w:pPr>
              <w:spacing w:line="276" w:lineRule="auto"/>
              <w:jc w:val="center"/>
              <w:rPr>
                <w:rFonts w:cs="宋体" w:asciiTheme="majorEastAsia" w:hAnsiTheme="majorEastAsia" w:eastAsiaTheme="majorEastAsia"/>
                <w:b/>
                <w:color w:val="000000"/>
                <w:kern w:val="0"/>
                <w:sz w:val="22"/>
                <w:szCs w:val="22"/>
              </w:rPr>
            </w:pPr>
            <w:r>
              <w:rPr>
                <w:rFonts w:hint="eastAsia" w:cs="宋体" w:asciiTheme="majorEastAsia" w:hAnsiTheme="majorEastAsia" w:eastAsiaTheme="majorEastAsia"/>
                <w:b/>
                <w:color w:val="000000"/>
                <w:kern w:val="0"/>
                <w:sz w:val="22"/>
                <w:szCs w:val="22"/>
              </w:rPr>
              <w:t>景观</w:t>
            </w:r>
          </w:p>
        </w:tc>
        <w:tc>
          <w:tcPr>
            <w:tcW w:w="3664" w:type="pct"/>
            <w:vAlign w:val="center"/>
          </w:tcPr>
          <w:p>
            <w:pPr>
              <w:spacing w:line="276" w:lineRule="auto"/>
              <w:jc w:val="left"/>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较好</w:t>
            </w:r>
          </w:p>
        </w:tc>
      </w:tr>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336" w:type="pct"/>
            <w:gridSpan w:val="2"/>
            <w:vAlign w:val="center"/>
          </w:tcPr>
          <w:p>
            <w:pPr>
              <w:spacing w:line="276" w:lineRule="auto"/>
              <w:jc w:val="center"/>
              <w:rPr>
                <w:rFonts w:cs="宋体" w:asciiTheme="majorEastAsia" w:hAnsiTheme="majorEastAsia" w:eastAsiaTheme="majorEastAsia"/>
                <w:b/>
                <w:color w:val="000000"/>
                <w:kern w:val="0"/>
                <w:sz w:val="22"/>
                <w:szCs w:val="22"/>
              </w:rPr>
            </w:pPr>
            <w:r>
              <w:rPr>
                <w:rFonts w:hint="eastAsia" w:cs="宋体" w:asciiTheme="majorEastAsia" w:hAnsiTheme="majorEastAsia" w:eastAsiaTheme="majorEastAsia"/>
                <w:b/>
                <w:color w:val="000000"/>
                <w:kern w:val="0"/>
                <w:sz w:val="22"/>
                <w:szCs w:val="22"/>
              </w:rPr>
              <w:t>区位状况分析</w:t>
            </w:r>
          </w:p>
        </w:tc>
        <w:tc>
          <w:tcPr>
            <w:tcW w:w="3664" w:type="pct"/>
            <w:vAlign w:val="center"/>
          </w:tcPr>
          <w:p>
            <w:pPr>
              <w:spacing w:line="276" w:lineRule="auto"/>
              <w:jc w:val="left"/>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估价对象位于寻甸县旭东路，周边为住宅、商业聚集区，公共配套完善，周边环境较好，交通条件较好，整体区位状况较好。</w:t>
            </w:r>
          </w:p>
        </w:tc>
      </w:tr>
    </w:tbl>
    <w:p>
      <w:pPr>
        <w:tabs>
          <w:tab w:val="left" w:pos="6676"/>
        </w:tabs>
        <w:spacing w:line="560" w:lineRule="exact"/>
        <w:ind w:firstLine="560" w:firstLineChars="200"/>
        <w:rPr>
          <w:rFonts w:ascii="宋体" w:hAnsi="宋体" w:cs="宋体"/>
          <w:sz w:val="28"/>
          <w:szCs w:val="28"/>
        </w:rPr>
      </w:pPr>
      <w:r>
        <w:rPr>
          <w:rFonts w:hint="eastAsia" w:ascii="宋体" w:hAnsi="宋体" w:cs="宋体"/>
          <w:sz w:val="28"/>
          <w:szCs w:val="28"/>
        </w:rPr>
        <w:t>（四）估价对象土地实物状况描述</w:t>
      </w:r>
      <w:r>
        <w:rPr>
          <w:rFonts w:hint="eastAsia" w:ascii="宋体" w:hAnsi="宋体" w:cs="宋体"/>
          <w:spacing w:val="-9"/>
          <w:sz w:val="28"/>
          <w:szCs w:val="28"/>
        </w:rPr>
        <w:t>及分析</w:t>
      </w:r>
    </w:p>
    <w:p>
      <w:pPr>
        <w:tabs>
          <w:tab w:val="left" w:pos="6676"/>
        </w:tabs>
        <w:spacing w:line="560" w:lineRule="exact"/>
        <w:ind w:firstLine="524" w:firstLineChars="200"/>
        <w:rPr>
          <w:rFonts w:ascii="宋体" w:hAnsi="宋体" w:cs="宋体"/>
          <w:bCs/>
          <w:spacing w:val="-9"/>
          <w:sz w:val="28"/>
          <w:szCs w:val="28"/>
        </w:rPr>
      </w:pPr>
      <w:r>
        <w:rPr>
          <w:rFonts w:hint="eastAsia" w:ascii="宋体" w:hAnsi="宋体" w:cs="宋体"/>
          <w:bCs/>
          <w:spacing w:val="-9"/>
          <w:sz w:val="28"/>
          <w:szCs w:val="28"/>
        </w:rPr>
        <w:t>估价对象坐落于</w:t>
      </w:r>
      <w:r>
        <w:rPr>
          <w:rFonts w:hint="eastAsia" w:ascii="宋体" w:hAnsi="宋体" w:cs="宋体"/>
          <w:spacing w:val="-9"/>
          <w:sz w:val="28"/>
          <w:szCs w:val="28"/>
        </w:rPr>
        <w:t>寻甸县仁德镇学府社区华联超市东面，</w:t>
      </w:r>
      <w:r>
        <w:rPr>
          <w:rFonts w:hint="eastAsia" w:ascii="宋体" w:hAnsi="宋体" w:cs="宋体"/>
          <w:bCs/>
          <w:spacing w:val="-9"/>
          <w:sz w:val="28"/>
          <w:szCs w:val="28"/>
        </w:rPr>
        <w:t>土地所有权为集体所有，土地所有权人为</w:t>
      </w:r>
      <w:r>
        <w:rPr>
          <w:rFonts w:hint="eastAsia" w:ascii="宋体" w:hAnsi="宋体" w:cs="宋体"/>
          <w:spacing w:val="-9"/>
          <w:sz w:val="28"/>
          <w:szCs w:val="28"/>
        </w:rPr>
        <w:t>寻甸县仁德镇学府居民委员会北营三组，</w:t>
      </w:r>
      <w:r>
        <w:rPr>
          <w:rFonts w:hint="eastAsia" w:ascii="宋体" w:hAnsi="宋体" w:cs="宋体"/>
          <w:bCs/>
          <w:spacing w:val="-9"/>
          <w:sz w:val="28"/>
          <w:szCs w:val="28"/>
        </w:rPr>
        <w:t>使用权类型为宅基地，土地用途为城镇混合住宅用地，土地使用权人李洪才的土地使用权面积为93.9㎡，土地使用权人李贤的土地使用权面积为49.10㎡，两宗土地上共同建盖了总5层建筑物。其中1-4层的房屋为李洪才名下，第5层房屋为李贤名下。</w:t>
      </w:r>
    </w:p>
    <w:p>
      <w:pPr>
        <w:tabs>
          <w:tab w:val="left" w:pos="6676"/>
        </w:tabs>
        <w:spacing w:line="560" w:lineRule="exact"/>
        <w:ind w:firstLine="524" w:firstLineChars="200"/>
        <w:rPr>
          <w:rFonts w:ascii="宋体" w:hAnsi="宋体" w:cs="宋体"/>
          <w:spacing w:val="-9"/>
          <w:sz w:val="28"/>
          <w:szCs w:val="28"/>
        </w:rPr>
      </w:pPr>
      <w:r>
        <w:rPr>
          <w:rFonts w:hint="eastAsia" w:ascii="宋体" w:hAnsi="宋体" w:cs="宋体"/>
          <w:spacing w:val="-9"/>
          <w:sz w:val="28"/>
          <w:szCs w:val="28"/>
        </w:rPr>
        <w:t>根据注册房地产估价师现场查勘，所在项目宗地实物状况如下：</w:t>
      </w:r>
    </w:p>
    <w:tbl>
      <w:tblPr>
        <w:tblStyle w:val="21"/>
        <w:tblW w:w="0" w:type="auto"/>
        <w:tblInd w:w="0" w:type="dxa"/>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Layout w:type="autofit"/>
        <w:tblCellMar>
          <w:top w:w="0" w:type="dxa"/>
          <w:left w:w="108" w:type="dxa"/>
          <w:bottom w:w="0" w:type="dxa"/>
          <w:right w:w="108" w:type="dxa"/>
        </w:tblCellMar>
      </w:tblPr>
      <w:tblGrid>
        <w:gridCol w:w="2376"/>
        <w:gridCol w:w="7053"/>
      </w:tblGrid>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c>
          <w:tcPr>
            <w:tcW w:w="2376" w:type="dxa"/>
            <w:vAlign w:val="center"/>
          </w:tcPr>
          <w:p>
            <w:pPr>
              <w:tabs>
                <w:tab w:val="left" w:pos="6676"/>
              </w:tabs>
              <w:spacing w:line="560" w:lineRule="exact"/>
              <w:jc w:val="center"/>
              <w:rPr>
                <w:rFonts w:ascii="宋体" w:hAnsi="宋体" w:cs="宋体"/>
                <w:b/>
                <w:sz w:val="22"/>
                <w:szCs w:val="22"/>
              </w:rPr>
            </w:pPr>
            <w:r>
              <w:rPr>
                <w:rFonts w:hint="eastAsia" w:ascii="宋体" w:hAnsi="宋体" w:cs="宋体"/>
                <w:b/>
                <w:sz w:val="22"/>
                <w:szCs w:val="22"/>
              </w:rPr>
              <w:t>坐落</w:t>
            </w:r>
          </w:p>
        </w:tc>
        <w:tc>
          <w:tcPr>
            <w:tcW w:w="7053" w:type="dxa"/>
            <w:vAlign w:val="center"/>
          </w:tcPr>
          <w:p>
            <w:pPr>
              <w:tabs>
                <w:tab w:val="left" w:pos="6676"/>
              </w:tabs>
              <w:spacing w:line="360" w:lineRule="exact"/>
              <w:jc w:val="center"/>
              <w:rPr>
                <w:rFonts w:ascii="宋体" w:hAnsi="宋体" w:cs="宋体"/>
                <w:spacing w:val="-9"/>
                <w:sz w:val="22"/>
                <w:szCs w:val="22"/>
              </w:rPr>
            </w:pPr>
            <w:r>
              <w:rPr>
                <w:rFonts w:hint="eastAsia" w:cs="宋体" w:asciiTheme="majorEastAsia" w:hAnsiTheme="majorEastAsia" w:eastAsiaTheme="majorEastAsia"/>
                <w:kern w:val="0"/>
                <w:sz w:val="22"/>
                <w:szCs w:val="22"/>
              </w:rPr>
              <w:t>寻甸县仁德镇学府社区华联超市东面</w:t>
            </w:r>
          </w:p>
        </w:tc>
      </w:tr>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c>
          <w:tcPr>
            <w:tcW w:w="2376" w:type="dxa"/>
            <w:vAlign w:val="center"/>
          </w:tcPr>
          <w:p>
            <w:pPr>
              <w:tabs>
                <w:tab w:val="left" w:pos="6676"/>
              </w:tabs>
              <w:spacing w:line="560" w:lineRule="exact"/>
              <w:jc w:val="center"/>
              <w:rPr>
                <w:rFonts w:ascii="宋体" w:hAnsi="宋体" w:cs="宋体"/>
                <w:b/>
                <w:sz w:val="22"/>
                <w:szCs w:val="22"/>
              </w:rPr>
            </w:pPr>
            <w:r>
              <w:rPr>
                <w:rFonts w:hint="eastAsia" w:ascii="宋体" w:hAnsi="宋体" w:cs="宋体"/>
                <w:b/>
                <w:sz w:val="22"/>
                <w:szCs w:val="22"/>
              </w:rPr>
              <w:t>项目四至</w:t>
            </w:r>
          </w:p>
        </w:tc>
        <w:tc>
          <w:tcPr>
            <w:tcW w:w="7053" w:type="dxa"/>
            <w:vAlign w:val="center"/>
          </w:tcPr>
          <w:p>
            <w:pPr>
              <w:tabs>
                <w:tab w:val="left" w:pos="6676"/>
              </w:tabs>
              <w:spacing w:line="360" w:lineRule="exact"/>
              <w:jc w:val="center"/>
              <w:rPr>
                <w:rFonts w:ascii="宋体" w:hAnsi="宋体" w:cs="宋体"/>
                <w:spacing w:val="-9"/>
                <w:sz w:val="22"/>
                <w:szCs w:val="22"/>
              </w:rPr>
            </w:pPr>
            <w:r>
              <w:rPr>
                <w:rFonts w:hint="eastAsia" w:ascii="宋体" w:hAnsi="宋体" w:cs="宋体"/>
                <w:spacing w:val="-9"/>
                <w:sz w:val="22"/>
                <w:szCs w:val="22"/>
              </w:rPr>
              <w:t>东靠东盛综合商贸城，南临旭东路，西靠华联超市，北临永兴巷。</w:t>
            </w:r>
          </w:p>
        </w:tc>
      </w:tr>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rPr>
          <w:trHeight w:val="422" w:hRule="atLeast"/>
        </w:trPr>
        <w:tc>
          <w:tcPr>
            <w:tcW w:w="2376" w:type="dxa"/>
            <w:vAlign w:val="center"/>
          </w:tcPr>
          <w:p>
            <w:pPr>
              <w:tabs>
                <w:tab w:val="left" w:pos="6676"/>
              </w:tabs>
              <w:spacing w:line="560" w:lineRule="exact"/>
              <w:jc w:val="center"/>
              <w:rPr>
                <w:rFonts w:ascii="宋体" w:hAnsi="宋体" w:cs="宋体"/>
                <w:b/>
                <w:sz w:val="22"/>
                <w:szCs w:val="22"/>
              </w:rPr>
            </w:pPr>
            <w:r>
              <w:rPr>
                <w:rFonts w:hint="eastAsia" w:ascii="宋体" w:hAnsi="宋体" w:cs="宋体"/>
                <w:b/>
                <w:sz w:val="22"/>
                <w:szCs w:val="22"/>
              </w:rPr>
              <w:t>宗地形状</w:t>
            </w:r>
          </w:p>
        </w:tc>
        <w:tc>
          <w:tcPr>
            <w:tcW w:w="7053" w:type="dxa"/>
            <w:vAlign w:val="center"/>
          </w:tcPr>
          <w:p>
            <w:pPr>
              <w:tabs>
                <w:tab w:val="left" w:pos="6676"/>
              </w:tabs>
              <w:spacing w:line="360" w:lineRule="exact"/>
              <w:jc w:val="center"/>
              <w:rPr>
                <w:rFonts w:ascii="宋体" w:hAnsi="宋体" w:cs="宋体"/>
                <w:spacing w:val="-9"/>
                <w:sz w:val="22"/>
                <w:szCs w:val="22"/>
              </w:rPr>
            </w:pPr>
            <w:r>
              <w:rPr>
                <w:rFonts w:hint="eastAsia" w:ascii="宋体" w:hAnsi="宋体" w:cs="宋体"/>
                <w:spacing w:val="-9"/>
                <w:sz w:val="22"/>
                <w:szCs w:val="22"/>
              </w:rPr>
              <w:t>规则</w:t>
            </w:r>
          </w:p>
        </w:tc>
      </w:tr>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rPr>
          <w:trHeight w:val="274" w:hRule="atLeast"/>
        </w:trPr>
        <w:tc>
          <w:tcPr>
            <w:tcW w:w="2376" w:type="dxa"/>
            <w:vAlign w:val="center"/>
          </w:tcPr>
          <w:p>
            <w:pPr>
              <w:tabs>
                <w:tab w:val="left" w:pos="6676"/>
              </w:tabs>
              <w:spacing w:line="560" w:lineRule="exact"/>
              <w:jc w:val="center"/>
              <w:rPr>
                <w:rFonts w:ascii="宋体" w:hAnsi="宋体" w:cs="宋体"/>
                <w:b/>
                <w:sz w:val="22"/>
                <w:szCs w:val="22"/>
              </w:rPr>
            </w:pPr>
            <w:r>
              <w:rPr>
                <w:rFonts w:hint="eastAsia" w:ascii="宋体" w:hAnsi="宋体" w:cs="宋体"/>
                <w:b/>
                <w:sz w:val="22"/>
                <w:szCs w:val="22"/>
              </w:rPr>
              <w:t>地形地势</w:t>
            </w:r>
          </w:p>
        </w:tc>
        <w:tc>
          <w:tcPr>
            <w:tcW w:w="7053" w:type="dxa"/>
            <w:vAlign w:val="center"/>
          </w:tcPr>
          <w:p>
            <w:pPr>
              <w:tabs>
                <w:tab w:val="left" w:pos="6676"/>
              </w:tabs>
              <w:spacing w:line="360" w:lineRule="exact"/>
              <w:jc w:val="center"/>
              <w:rPr>
                <w:rFonts w:ascii="宋体" w:hAnsi="宋体" w:cs="宋体"/>
                <w:spacing w:val="-9"/>
                <w:sz w:val="22"/>
                <w:szCs w:val="22"/>
              </w:rPr>
            </w:pPr>
            <w:r>
              <w:rPr>
                <w:rFonts w:hint="eastAsia" w:ascii="宋体" w:hAnsi="宋体" w:cs="宋体"/>
                <w:spacing w:val="-9"/>
                <w:sz w:val="22"/>
                <w:szCs w:val="22"/>
              </w:rPr>
              <w:t>平坦</w:t>
            </w:r>
          </w:p>
        </w:tc>
      </w:tr>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c>
          <w:tcPr>
            <w:tcW w:w="2376" w:type="dxa"/>
            <w:vAlign w:val="center"/>
          </w:tcPr>
          <w:p>
            <w:pPr>
              <w:tabs>
                <w:tab w:val="left" w:pos="6676"/>
              </w:tabs>
              <w:spacing w:line="560" w:lineRule="exact"/>
              <w:jc w:val="center"/>
              <w:rPr>
                <w:rFonts w:ascii="宋体" w:hAnsi="宋体" w:cs="宋体"/>
                <w:b/>
                <w:sz w:val="22"/>
                <w:szCs w:val="22"/>
              </w:rPr>
            </w:pPr>
            <w:r>
              <w:rPr>
                <w:rFonts w:hint="eastAsia" w:ascii="宋体" w:hAnsi="宋体" w:cs="宋体"/>
                <w:b/>
                <w:sz w:val="22"/>
                <w:szCs w:val="22"/>
              </w:rPr>
              <w:t>开发程度</w:t>
            </w:r>
          </w:p>
        </w:tc>
        <w:tc>
          <w:tcPr>
            <w:tcW w:w="7053" w:type="dxa"/>
            <w:vAlign w:val="center"/>
          </w:tcPr>
          <w:p>
            <w:pPr>
              <w:tabs>
                <w:tab w:val="left" w:pos="6676"/>
              </w:tabs>
              <w:spacing w:line="360" w:lineRule="exact"/>
              <w:jc w:val="center"/>
              <w:rPr>
                <w:rFonts w:ascii="宋体" w:hAnsi="宋体" w:cs="宋体"/>
                <w:spacing w:val="-9"/>
                <w:sz w:val="22"/>
                <w:szCs w:val="22"/>
              </w:rPr>
            </w:pPr>
            <w:r>
              <w:rPr>
                <w:rFonts w:hint="eastAsia" w:ascii="宋体" w:hAnsi="宋体" w:cs="宋体"/>
                <w:spacing w:val="-9"/>
                <w:sz w:val="22"/>
                <w:szCs w:val="22"/>
              </w:rPr>
              <w:t>宗地红线外通上水、下水、通路、通电、通讯和宗地红线内场地平整</w:t>
            </w:r>
          </w:p>
        </w:tc>
      </w:tr>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c>
          <w:tcPr>
            <w:tcW w:w="2376" w:type="dxa"/>
            <w:vAlign w:val="center"/>
          </w:tcPr>
          <w:p>
            <w:pPr>
              <w:tabs>
                <w:tab w:val="left" w:pos="6676"/>
              </w:tabs>
              <w:spacing w:line="360" w:lineRule="exact"/>
              <w:jc w:val="center"/>
              <w:rPr>
                <w:rFonts w:ascii="宋体" w:hAnsi="宋体" w:cs="宋体"/>
                <w:b/>
                <w:sz w:val="22"/>
                <w:szCs w:val="22"/>
              </w:rPr>
            </w:pPr>
            <w:r>
              <w:rPr>
                <w:rFonts w:hint="eastAsia" w:ascii="宋体" w:hAnsi="宋体" w:cs="宋体"/>
                <w:b/>
                <w:sz w:val="22"/>
                <w:szCs w:val="22"/>
              </w:rPr>
              <w:t>土地实物状况分析</w:t>
            </w:r>
          </w:p>
        </w:tc>
        <w:tc>
          <w:tcPr>
            <w:tcW w:w="7053" w:type="dxa"/>
            <w:vAlign w:val="center"/>
          </w:tcPr>
          <w:p>
            <w:pPr>
              <w:tabs>
                <w:tab w:val="left" w:pos="6676"/>
              </w:tabs>
              <w:spacing w:line="360" w:lineRule="exact"/>
              <w:jc w:val="center"/>
              <w:rPr>
                <w:rFonts w:ascii="宋体" w:hAnsi="宋体" w:cs="宋体"/>
                <w:sz w:val="22"/>
                <w:szCs w:val="22"/>
              </w:rPr>
            </w:pPr>
            <w:r>
              <w:rPr>
                <w:rFonts w:hint="eastAsia" w:ascii="宋体" w:hAnsi="宋体" w:cs="宋体"/>
                <w:sz w:val="22"/>
                <w:szCs w:val="22"/>
              </w:rPr>
              <w:t>估价对象土地开发程度较高，位置较好，地形地势较好，对房屋使用无不良影响。</w:t>
            </w:r>
          </w:p>
        </w:tc>
      </w:tr>
    </w:tbl>
    <w:p>
      <w:pPr>
        <w:spacing w:line="560" w:lineRule="exact"/>
        <w:ind w:firstLine="524" w:firstLineChars="200"/>
        <w:rPr>
          <w:rFonts w:ascii="宋体" w:hAnsi="宋体" w:cs="宋体"/>
          <w:spacing w:val="-9"/>
          <w:sz w:val="28"/>
          <w:szCs w:val="28"/>
        </w:rPr>
      </w:pPr>
      <w:r>
        <w:rPr>
          <w:rFonts w:hint="eastAsia" w:ascii="宋体" w:hAnsi="宋体" w:cs="宋体"/>
          <w:spacing w:val="-9"/>
          <w:sz w:val="28"/>
          <w:szCs w:val="28"/>
        </w:rPr>
        <w:t>（五）估价对象建筑物实物状况描述及分析</w:t>
      </w:r>
    </w:p>
    <w:p>
      <w:pPr>
        <w:spacing w:line="560" w:lineRule="exact"/>
        <w:ind w:firstLine="524" w:firstLineChars="200"/>
        <w:rPr>
          <w:rFonts w:ascii="宋体" w:hAnsi="宋体" w:cs="宋体"/>
          <w:spacing w:val="-9"/>
          <w:sz w:val="28"/>
          <w:szCs w:val="28"/>
        </w:rPr>
      </w:pPr>
      <w:r>
        <w:rPr>
          <w:rFonts w:hint="eastAsia" w:ascii="宋体" w:hAnsi="宋体" w:cs="宋体"/>
          <w:spacing w:val="-9"/>
          <w:sz w:val="28"/>
          <w:szCs w:val="28"/>
        </w:rPr>
        <w:t>估价对象建筑物登记状况为：估价对象坐落于寻甸县仁德镇学府社区华联超市东面，总层数5层，混合结构，整幢房屋总建筑物面积为622.16㎡，其中房屋所有权人李洪才名下位于第1-4层房屋证载建筑面积为565.41㎡，用途为住宅，房屋所有权人李贤名下位于第5层房屋证载建筑面积为56.75㎡，用途为住宅。</w:t>
      </w:r>
    </w:p>
    <w:p>
      <w:pPr>
        <w:tabs>
          <w:tab w:val="left" w:pos="6676"/>
        </w:tabs>
        <w:spacing w:line="560" w:lineRule="exact"/>
        <w:ind w:firstLine="524" w:firstLineChars="200"/>
        <w:rPr>
          <w:rFonts w:ascii="宋体" w:hAnsi="宋体" w:cs="宋体"/>
          <w:spacing w:val="-9"/>
          <w:sz w:val="28"/>
          <w:szCs w:val="28"/>
        </w:rPr>
      </w:pPr>
      <w:r>
        <w:rPr>
          <w:rFonts w:hint="eastAsia" w:ascii="宋体" w:hAnsi="宋体" w:cs="宋体"/>
          <w:spacing w:val="-9"/>
          <w:sz w:val="28"/>
          <w:szCs w:val="28"/>
        </w:rPr>
        <w:t>根据注册房地产估价师现场查勘，估价对象建筑物状况如下：</w:t>
      </w:r>
    </w:p>
    <w:tbl>
      <w:tblPr>
        <w:tblStyle w:val="21"/>
        <w:tblW w:w="0" w:type="auto"/>
        <w:tblInd w:w="0" w:type="dxa"/>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Layout w:type="autofit"/>
        <w:tblCellMar>
          <w:top w:w="0" w:type="dxa"/>
          <w:left w:w="108" w:type="dxa"/>
          <w:bottom w:w="0" w:type="dxa"/>
          <w:right w:w="108" w:type="dxa"/>
        </w:tblCellMar>
      </w:tblPr>
      <w:tblGrid>
        <w:gridCol w:w="2376"/>
        <w:gridCol w:w="7053"/>
      </w:tblGrid>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c>
          <w:tcPr>
            <w:tcW w:w="2376" w:type="dxa"/>
            <w:vAlign w:val="center"/>
          </w:tcPr>
          <w:p>
            <w:pPr>
              <w:tabs>
                <w:tab w:val="left" w:pos="6676"/>
              </w:tabs>
              <w:spacing w:line="360" w:lineRule="exact"/>
              <w:jc w:val="center"/>
              <w:rPr>
                <w:rFonts w:ascii="宋体" w:hAnsi="宋体" w:cs="宋体"/>
                <w:b/>
                <w:sz w:val="22"/>
                <w:szCs w:val="22"/>
              </w:rPr>
            </w:pPr>
            <w:r>
              <w:rPr>
                <w:rFonts w:hint="eastAsia" w:ascii="宋体" w:hAnsi="宋体" w:cs="宋体"/>
                <w:b/>
                <w:sz w:val="22"/>
                <w:szCs w:val="22"/>
              </w:rPr>
              <w:t>建成年份</w:t>
            </w:r>
          </w:p>
        </w:tc>
        <w:tc>
          <w:tcPr>
            <w:tcW w:w="7053" w:type="dxa"/>
            <w:vAlign w:val="center"/>
          </w:tcPr>
          <w:p>
            <w:pPr>
              <w:tabs>
                <w:tab w:val="left" w:pos="6676"/>
              </w:tabs>
              <w:spacing w:line="360" w:lineRule="exact"/>
              <w:jc w:val="center"/>
              <w:rPr>
                <w:rFonts w:ascii="宋体" w:hAnsi="宋体" w:cs="宋体"/>
                <w:sz w:val="22"/>
                <w:szCs w:val="22"/>
              </w:rPr>
            </w:pPr>
            <w:r>
              <w:rPr>
                <w:rFonts w:hint="eastAsia" w:ascii="宋体" w:hAnsi="宋体" w:cs="宋体"/>
                <w:spacing w:val="-9"/>
                <w:sz w:val="22"/>
                <w:szCs w:val="22"/>
              </w:rPr>
              <w:t>约2008年</w:t>
            </w:r>
          </w:p>
        </w:tc>
      </w:tr>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c>
          <w:tcPr>
            <w:tcW w:w="2376" w:type="dxa"/>
            <w:vAlign w:val="center"/>
          </w:tcPr>
          <w:p>
            <w:pPr>
              <w:tabs>
                <w:tab w:val="left" w:pos="6676"/>
              </w:tabs>
              <w:spacing w:line="360" w:lineRule="exact"/>
              <w:jc w:val="center"/>
              <w:rPr>
                <w:rFonts w:ascii="宋体" w:hAnsi="宋体" w:cs="宋体"/>
                <w:b/>
                <w:sz w:val="22"/>
                <w:szCs w:val="22"/>
              </w:rPr>
            </w:pPr>
            <w:r>
              <w:rPr>
                <w:rFonts w:hint="eastAsia" w:ascii="宋体" w:hAnsi="宋体" w:cs="宋体"/>
                <w:b/>
                <w:sz w:val="22"/>
                <w:szCs w:val="22"/>
              </w:rPr>
              <w:t>项目状况</w:t>
            </w:r>
          </w:p>
        </w:tc>
        <w:tc>
          <w:tcPr>
            <w:tcW w:w="7053" w:type="dxa"/>
            <w:vAlign w:val="center"/>
          </w:tcPr>
          <w:p>
            <w:pPr>
              <w:tabs>
                <w:tab w:val="left" w:pos="6676"/>
              </w:tabs>
              <w:spacing w:line="360" w:lineRule="exact"/>
              <w:jc w:val="center"/>
              <w:rPr>
                <w:rFonts w:ascii="宋体" w:hAnsi="宋体" w:cs="宋体"/>
                <w:spacing w:val="-9"/>
                <w:sz w:val="22"/>
                <w:szCs w:val="22"/>
              </w:rPr>
            </w:pPr>
            <w:r>
              <w:rPr>
                <w:rFonts w:hint="eastAsia" w:ascii="宋体" w:hAnsi="宋体" w:cs="宋体"/>
                <w:spacing w:val="-9"/>
                <w:sz w:val="22"/>
                <w:szCs w:val="22"/>
              </w:rPr>
              <w:t>估价</w:t>
            </w:r>
            <w:r>
              <w:rPr>
                <w:rFonts w:hint="eastAsia" w:ascii="宋体" w:hAnsi="宋体" w:cs="宋体"/>
                <w:sz w:val="22"/>
                <w:szCs w:val="22"/>
              </w:rPr>
              <w:t>对象为宅基地建房，总5层建筑，</w:t>
            </w:r>
            <w:r>
              <w:rPr>
                <w:rFonts w:hint="eastAsia" w:ascii="宋体" w:hAnsi="宋体" w:cs="宋体"/>
                <w:spacing w:val="-9"/>
                <w:sz w:val="22"/>
                <w:szCs w:val="22"/>
              </w:rPr>
              <w:t>临旭东路。</w:t>
            </w:r>
            <w:r>
              <w:rPr>
                <w:rFonts w:hint="eastAsia" w:ascii="宋体" w:hAnsi="宋体" w:cs="宋体"/>
                <w:color w:val="000000" w:themeColor="text1"/>
                <w:sz w:val="22"/>
                <w:szCs w:val="22"/>
              </w:rPr>
              <w:t>一层为商铺，临街宽度约6.5米，南北面均装有卷帘门，正门朝南，临旭东路。南面有楼梯仅上下第二层，北面楼梯为整幢楼上下通道。二层至五层均为住宅。屋顶带露台。</w:t>
            </w:r>
          </w:p>
        </w:tc>
      </w:tr>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c>
          <w:tcPr>
            <w:tcW w:w="2376" w:type="dxa"/>
            <w:vAlign w:val="center"/>
          </w:tcPr>
          <w:p>
            <w:pPr>
              <w:tabs>
                <w:tab w:val="left" w:pos="6676"/>
              </w:tabs>
              <w:spacing w:line="360" w:lineRule="exact"/>
              <w:jc w:val="center"/>
              <w:rPr>
                <w:rFonts w:ascii="宋体" w:hAnsi="宋体" w:cs="宋体"/>
                <w:b/>
                <w:sz w:val="22"/>
                <w:szCs w:val="22"/>
              </w:rPr>
            </w:pPr>
            <w:r>
              <w:rPr>
                <w:rFonts w:hint="eastAsia" w:ascii="宋体" w:hAnsi="宋体" w:cs="宋体"/>
                <w:b/>
                <w:sz w:val="22"/>
                <w:szCs w:val="22"/>
              </w:rPr>
              <w:t>设施设备</w:t>
            </w:r>
          </w:p>
        </w:tc>
        <w:tc>
          <w:tcPr>
            <w:tcW w:w="7053" w:type="dxa"/>
            <w:vAlign w:val="center"/>
          </w:tcPr>
          <w:p>
            <w:pPr>
              <w:tabs>
                <w:tab w:val="left" w:pos="6676"/>
              </w:tabs>
              <w:spacing w:line="360" w:lineRule="exact"/>
              <w:jc w:val="center"/>
              <w:rPr>
                <w:rFonts w:ascii="宋体" w:hAnsi="宋体" w:cs="宋体"/>
                <w:sz w:val="22"/>
                <w:szCs w:val="22"/>
              </w:rPr>
            </w:pPr>
            <w:r>
              <w:rPr>
                <w:rFonts w:hint="eastAsia" w:ascii="宋体" w:hAnsi="宋体" w:cs="宋体"/>
                <w:sz w:val="22"/>
                <w:szCs w:val="22"/>
              </w:rPr>
              <w:t>估价对象项目供水、排水、供电、通讯，性能较好。</w:t>
            </w:r>
          </w:p>
        </w:tc>
      </w:tr>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rPr>
          <w:trHeight w:val="380" w:hRule="atLeast"/>
        </w:trPr>
        <w:tc>
          <w:tcPr>
            <w:tcW w:w="2376" w:type="dxa"/>
            <w:vAlign w:val="center"/>
          </w:tcPr>
          <w:p>
            <w:pPr>
              <w:tabs>
                <w:tab w:val="left" w:pos="6676"/>
              </w:tabs>
              <w:spacing w:line="360" w:lineRule="exact"/>
              <w:jc w:val="center"/>
              <w:rPr>
                <w:rFonts w:ascii="宋体" w:hAnsi="宋体" w:cs="宋体"/>
                <w:b/>
                <w:sz w:val="22"/>
                <w:szCs w:val="22"/>
              </w:rPr>
            </w:pPr>
            <w:r>
              <w:rPr>
                <w:rFonts w:hint="eastAsia" w:ascii="宋体" w:hAnsi="宋体" w:cs="宋体"/>
                <w:b/>
                <w:sz w:val="22"/>
                <w:szCs w:val="22"/>
              </w:rPr>
              <w:t>使用及维护状况</w:t>
            </w:r>
          </w:p>
        </w:tc>
        <w:tc>
          <w:tcPr>
            <w:tcW w:w="7053" w:type="dxa"/>
            <w:vAlign w:val="center"/>
          </w:tcPr>
          <w:p>
            <w:pPr>
              <w:tabs>
                <w:tab w:val="left" w:pos="6676"/>
              </w:tabs>
              <w:spacing w:line="360" w:lineRule="exact"/>
              <w:jc w:val="center"/>
              <w:rPr>
                <w:rFonts w:ascii="宋体" w:hAnsi="宋体" w:cs="宋体"/>
                <w:sz w:val="22"/>
                <w:szCs w:val="22"/>
              </w:rPr>
            </w:pPr>
            <w:r>
              <w:rPr>
                <w:rFonts w:hint="eastAsia" w:ascii="宋体" w:hAnsi="宋体" w:cs="宋体"/>
                <w:sz w:val="22"/>
                <w:szCs w:val="22"/>
              </w:rPr>
              <w:t>出租，维护状况较好。</w:t>
            </w:r>
          </w:p>
        </w:tc>
      </w:tr>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c>
          <w:tcPr>
            <w:tcW w:w="2376" w:type="dxa"/>
            <w:vAlign w:val="center"/>
          </w:tcPr>
          <w:p>
            <w:pPr>
              <w:tabs>
                <w:tab w:val="left" w:pos="6676"/>
              </w:tabs>
              <w:spacing w:line="360" w:lineRule="exact"/>
              <w:jc w:val="center"/>
              <w:rPr>
                <w:rFonts w:ascii="宋体" w:hAnsi="宋体" w:cs="宋体"/>
                <w:b/>
                <w:sz w:val="22"/>
                <w:szCs w:val="22"/>
              </w:rPr>
            </w:pPr>
            <w:r>
              <w:rPr>
                <w:rFonts w:hint="eastAsia" w:ascii="宋体" w:hAnsi="宋体" w:cs="宋体"/>
                <w:b/>
                <w:sz w:val="22"/>
                <w:szCs w:val="22"/>
              </w:rPr>
              <w:t>实际用途</w:t>
            </w:r>
          </w:p>
        </w:tc>
        <w:tc>
          <w:tcPr>
            <w:tcW w:w="7053" w:type="dxa"/>
            <w:vAlign w:val="center"/>
          </w:tcPr>
          <w:p>
            <w:pPr>
              <w:tabs>
                <w:tab w:val="left" w:pos="6676"/>
              </w:tabs>
              <w:spacing w:line="360" w:lineRule="exact"/>
              <w:jc w:val="center"/>
              <w:rPr>
                <w:rFonts w:ascii="宋体" w:hAnsi="宋体" w:cs="宋体"/>
                <w:sz w:val="22"/>
                <w:szCs w:val="22"/>
              </w:rPr>
            </w:pPr>
            <w:r>
              <w:rPr>
                <w:rFonts w:hint="eastAsia" w:ascii="宋体" w:hAnsi="宋体" w:cs="宋体"/>
                <w:sz w:val="22"/>
                <w:szCs w:val="22"/>
              </w:rPr>
              <w:t>一层为商铺，二层以上为住宅</w:t>
            </w:r>
          </w:p>
        </w:tc>
      </w:tr>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c>
          <w:tcPr>
            <w:tcW w:w="2376" w:type="dxa"/>
            <w:vAlign w:val="center"/>
          </w:tcPr>
          <w:p>
            <w:pPr>
              <w:tabs>
                <w:tab w:val="left" w:pos="6676"/>
              </w:tabs>
              <w:spacing w:line="360" w:lineRule="exact"/>
              <w:jc w:val="center"/>
              <w:rPr>
                <w:rFonts w:ascii="宋体" w:hAnsi="宋体" w:cs="宋体"/>
                <w:b/>
                <w:sz w:val="22"/>
                <w:szCs w:val="22"/>
              </w:rPr>
            </w:pPr>
            <w:r>
              <w:rPr>
                <w:rFonts w:hint="eastAsia" w:ascii="宋体" w:hAnsi="宋体" w:cs="宋体"/>
                <w:b/>
                <w:sz w:val="22"/>
                <w:szCs w:val="22"/>
              </w:rPr>
              <w:t>房屋外观情况</w:t>
            </w:r>
          </w:p>
        </w:tc>
        <w:tc>
          <w:tcPr>
            <w:tcW w:w="7053" w:type="dxa"/>
            <w:vAlign w:val="center"/>
          </w:tcPr>
          <w:p>
            <w:pPr>
              <w:tabs>
                <w:tab w:val="left" w:pos="6676"/>
              </w:tabs>
              <w:spacing w:line="360" w:lineRule="exact"/>
              <w:jc w:val="center"/>
              <w:rPr>
                <w:rFonts w:ascii="宋体" w:hAnsi="宋体" w:cs="宋体"/>
                <w:sz w:val="22"/>
                <w:szCs w:val="22"/>
              </w:rPr>
            </w:pPr>
            <w:r>
              <w:rPr>
                <w:rFonts w:hint="eastAsia" w:ascii="宋体" w:hAnsi="宋体" w:cs="宋体"/>
                <w:sz w:val="22"/>
                <w:szCs w:val="22"/>
              </w:rPr>
              <w:t>瓷砖饰面。</w:t>
            </w:r>
          </w:p>
        </w:tc>
      </w:tr>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c>
          <w:tcPr>
            <w:tcW w:w="2376" w:type="dxa"/>
            <w:vAlign w:val="center"/>
          </w:tcPr>
          <w:p>
            <w:pPr>
              <w:tabs>
                <w:tab w:val="left" w:pos="6676"/>
              </w:tabs>
              <w:spacing w:line="360" w:lineRule="exact"/>
              <w:jc w:val="center"/>
              <w:rPr>
                <w:rFonts w:ascii="宋体" w:hAnsi="宋体" w:cs="宋体"/>
                <w:b/>
                <w:sz w:val="22"/>
                <w:szCs w:val="22"/>
              </w:rPr>
            </w:pPr>
            <w:r>
              <w:rPr>
                <w:rFonts w:hint="eastAsia" w:ascii="宋体" w:hAnsi="宋体" w:cs="宋体"/>
                <w:b/>
                <w:sz w:val="22"/>
                <w:szCs w:val="22"/>
              </w:rPr>
              <w:t>装饰装修</w:t>
            </w:r>
          </w:p>
        </w:tc>
        <w:tc>
          <w:tcPr>
            <w:tcW w:w="7053" w:type="dxa"/>
            <w:vAlign w:val="center"/>
          </w:tcPr>
          <w:p>
            <w:pPr>
              <w:tabs>
                <w:tab w:val="left" w:pos="6676"/>
              </w:tabs>
              <w:spacing w:line="360" w:lineRule="exact"/>
              <w:jc w:val="center"/>
              <w:rPr>
                <w:rFonts w:ascii="宋体" w:hAnsi="宋体" w:cs="宋体"/>
                <w:color w:val="000000" w:themeColor="text1"/>
                <w:sz w:val="22"/>
                <w:szCs w:val="22"/>
              </w:rPr>
            </w:pPr>
            <w:r>
              <w:rPr>
                <w:rFonts w:hint="eastAsia" w:ascii="宋体" w:hAnsi="宋体" w:cs="宋体"/>
                <w:color w:val="000000" w:themeColor="text1"/>
                <w:sz w:val="22"/>
                <w:szCs w:val="22"/>
              </w:rPr>
              <w:t>一层地面铺地砖，墙面刷乳胶漆，顶面为石膏板二级吊顶装饰。二层至四层装修一致，窗为铝合金玻璃窗，地面铺地砖，墙面刷乳胶漆，客厅顶面为石膏板二级吊顶装饰，卧室顶面刷乳胶漆；卫生间地面铺地砖，墙面贴瓷砖，顶面为塑料扣板吊顶装饰。室内楼梯踏步铺地砖，不锈钢扶手。</w:t>
            </w:r>
          </w:p>
        </w:tc>
      </w:tr>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c>
          <w:tcPr>
            <w:tcW w:w="2376" w:type="dxa"/>
            <w:vAlign w:val="center"/>
          </w:tcPr>
          <w:p>
            <w:pPr>
              <w:tabs>
                <w:tab w:val="left" w:pos="6676"/>
              </w:tabs>
              <w:spacing w:line="360" w:lineRule="exact"/>
              <w:jc w:val="center"/>
              <w:rPr>
                <w:rFonts w:ascii="宋体" w:hAnsi="宋体" w:cs="宋体"/>
                <w:b/>
                <w:sz w:val="22"/>
                <w:szCs w:val="22"/>
              </w:rPr>
            </w:pPr>
            <w:r>
              <w:rPr>
                <w:rFonts w:hint="eastAsia" w:ascii="宋体" w:hAnsi="宋体" w:cs="宋体"/>
                <w:b/>
                <w:sz w:val="22"/>
                <w:szCs w:val="22"/>
              </w:rPr>
              <w:t>完损程度</w:t>
            </w:r>
          </w:p>
        </w:tc>
        <w:tc>
          <w:tcPr>
            <w:tcW w:w="7053" w:type="dxa"/>
            <w:vAlign w:val="center"/>
          </w:tcPr>
          <w:p>
            <w:pPr>
              <w:tabs>
                <w:tab w:val="left" w:pos="6676"/>
              </w:tabs>
              <w:spacing w:line="360" w:lineRule="exact"/>
              <w:jc w:val="center"/>
              <w:rPr>
                <w:rFonts w:ascii="宋体" w:hAnsi="宋体" w:cs="宋体"/>
                <w:sz w:val="22"/>
                <w:szCs w:val="22"/>
              </w:rPr>
            </w:pPr>
            <w:r>
              <w:rPr>
                <w:rFonts w:hint="eastAsia" w:ascii="宋体" w:hAnsi="宋体" w:cs="宋体"/>
                <w:sz w:val="22"/>
                <w:szCs w:val="22"/>
              </w:rPr>
              <w:t>地基基础承载力好，无不均匀沉降，承重构件完好、屋面完好、楼地面较好，综合成新率80%。</w:t>
            </w:r>
          </w:p>
        </w:tc>
      </w:tr>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c>
          <w:tcPr>
            <w:tcW w:w="2376" w:type="dxa"/>
            <w:vAlign w:val="center"/>
          </w:tcPr>
          <w:p>
            <w:pPr>
              <w:tabs>
                <w:tab w:val="left" w:pos="6676"/>
              </w:tabs>
              <w:spacing w:line="360" w:lineRule="exact"/>
              <w:jc w:val="center"/>
              <w:rPr>
                <w:rFonts w:ascii="宋体" w:hAnsi="宋体" w:cs="宋体"/>
                <w:b/>
                <w:sz w:val="22"/>
                <w:szCs w:val="22"/>
              </w:rPr>
            </w:pPr>
            <w:r>
              <w:rPr>
                <w:rFonts w:hint="eastAsia" w:ascii="宋体" w:hAnsi="宋体" w:cs="宋体"/>
                <w:b/>
                <w:sz w:val="22"/>
                <w:szCs w:val="22"/>
              </w:rPr>
              <w:t>建筑物实物状况分析</w:t>
            </w:r>
          </w:p>
        </w:tc>
        <w:tc>
          <w:tcPr>
            <w:tcW w:w="7053" w:type="dxa"/>
            <w:vAlign w:val="center"/>
          </w:tcPr>
          <w:p>
            <w:pPr>
              <w:tabs>
                <w:tab w:val="left" w:pos="6676"/>
              </w:tabs>
              <w:spacing w:line="360" w:lineRule="exact"/>
              <w:jc w:val="center"/>
              <w:rPr>
                <w:rFonts w:ascii="宋体" w:hAnsi="宋体" w:cs="宋体"/>
                <w:sz w:val="22"/>
                <w:szCs w:val="22"/>
              </w:rPr>
            </w:pPr>
            <w:r>
              <w:rPr>
                <w:rFonts w:hint="eastAsia" w:ascii="宋体" w:hAnsi="宋体" w:cs="宋体"/>
                <w:sz w:val="22"/>
                <w:szCs w:val="22"/>
              </w:rPr>
              <w:t>估价对象建成2008年，目前处于使用状态，设施设备成新度较好，配套设施满足基本需求，总规模较大，利于使用。</w:t>
            </w:r>
          </w:p>
        </w:tc>
      </w:tr>
    </w:tbl>
    <w:p>
      <w:pPr>
        <w:spacing w:line="560" w:lineRule="exact"/>
        <w:ind w:firstLine="524" w:firstLineChars="200"/>
        <w:rPr>
          <w:rFonts w:ascii="宋体" w:hAnsi="宋体" w:cs="宋体"/>
          <w:spacing w:val="-9"/>
          <w:sz w:val="28"/>
          <w:szCs w:val="28"/>
        </w:rPr>
      </w:pPr>
      <w:r>
        <w:rPr>
          <w:rFonts w:hint="eastAsia" w:ascii="宋体" w:hAnsi="宋体" w:cs="宋体"/>
          <w:spacing w:val="-9"/>
          <w:sz w:val="28"/>
          <w:szCs w:val="28"/>
        </w:rPr>
        <w:t>（六）估价对象权益状况描述及分析</w:t>
      </w:r>
    </w:p>
    <w:tbl>
      <w:tblPr>
        <w:tblStyle w:val="21"/>
        <w:tblW w:w="5000" w:type="pct"/>
        <w:tblInd w:w="0" w:type="dxa"/>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Layout w:type="autofit"/>
        <w:tblCellMar>
          <w:top w:w="0" w:type="dxa"/>
          <w:left w:w="108" w:type="dxa"/>
          <w:bottom w:w="0" w:type="dxa"/>
          <w:right w:w="108" w:type="dxa"/>
        </w:tblCellMar>
      </w:tblPr>
      <w:tblGrid>
        <w:gridCol w:w="2661"/>
        <w:gridCol w:w="3333"/>
        <w:gridCol w:w="3435"/>
      </w:tblGrid>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c>
          <w:tcPr>
            <w:tcW w:w="1411" w:type="pct"/>
            <w:vAlign w:val="center"/>
          </w:tcPr>
          <w:p>
            <w:pPr>
              <w:tabs>
                <w:tab w:val="left" w:pos="6676"/>
              </w:tabs>
              <w:spacing w:line="360" w:lineRule="exact"/>
              <w:jc w:val="center"/>
              <w:rPr>
                <w:rFonts w:ascii="宋体" w:hAnsi="宋体" w:cs="宋体"/>
                <w:b/>
                <w:sz w:val="22"/>
                <w:szCs w:val="22"/>
              </w:rPr>
            </w:pPr>
            <w:r>
              <w:rPr>
                <w:rFonts w:hint="eastAsia" w:ascii="宋体" w:hAnsi="宋体" w:cs="宋体"/>
                <w:b/>
                <w:sz w:val="22"/>
                <w:szCs w:val="22"/>
              </w:rPr>
              <w:t>房屋所有权人</w:t>
            </w:r>
          </w:p>
        </w:tc>
        <w:tc>
          <w:tcPr>
            <w:tcW w:w="1767" w:type="pct"/>
            <w:vAlign w:val="center"/>
          </w:tcPr>
          <w:p>
            <w:pPr>
              <w:jc w:val="center"/>
              <w:rPr>
                <w:rFonts w:ascii="宋体" w:hAnsi="宋体" w:cs="宋体"/>
                <w:sz w:val="22"/>
                <w:szCs w:val="22"/>
              </w:rPr>
            </w:pPr>
            <w:r>
              <w:rPr>
                <w:rFonts w:hint="eastAsia" w:ascii="宋体" w:hAnsi="宋体" w:cs="宋体"/>
                <w:sz w:val="22"/>
                <w:szCs w:val="22"/>
              </w:rPr>
              <w:t>李洪才</w:t>
            </w:r>
          </w:p>
        </w:tc>
        <w:tc>
          <w:tcPr>
            <w:tcW w:w="1820" w:type="pct"/>
            <w:vAlign w:val="center"/>
          </w:tcPr>
          <w:p>
            <w:pPr>
              <w:jc w:val="center"/>
              <w:rPr>
                <w:rFonts w:ascii="宋体" w:hAnsi="宋体" w:cs="宋体"/>
                <w:sz w:val="22"/>
                <w:szCs w:val="22"/>
              </w:rPr>
            </w:pPr>
            <w:r>
              <w:rPr>
                <w:rFonts w:hint="eastAsia" w:ascii="宋体" w:hAnsi="宋体" w:cs="宋体"/>
                <w:sz w:val="22"/>
                <w:szCs w:val="22"/>
              </w:rPr>
              <w:t>李贤</w:t>
            </w:r>
          </w:p>
        </w:tc>
      </w:tr>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c>
          <w:tcPr>
            <w:tcW w:w="1411" w:type="pct"/>
            <w:vAlign w:val="center"/>
          </w:tcPr>
          <w:p>
            <w:pPr>
              <w:tabs>
                <w:tab w:val="left" w:pos="6676"/>
              </w:tabs>
              <w:spacing w:line="360" w:lineRule="exact"/>
              <w:jc w:val="center"/>
              <w:rPr>
                <w:rFonts w:ascii="宋体" w:hAnsi="宋体" w:cs="宋体"/>
                <w:b/>
                <w:sz w:val="22"/>
                <w:szCs w:val="22"/>
              </w:rPr>
            </w:pPr>
            <w:r>
              <w:rPr>
                <w:rFonts w:hint="eastAsia" w:ascii="宋体" w:hAnsi="宋体" w:cs="宋体"/>
                <w:b/>
                <w:sz w:val="22"/>
                <w:szCs w:val="22"/>
              </w:rPr>
              <w:t>共有情况</w:t>
            </w:r>
          </w:p>
        </w:tc>
        <w:tc>
          <w:tcPr>
            <w:tcW w:w="1767" w:type="pct"/>
            <w:vAlign w:val="center"/>
          </w:tcPr>
          <w:p>
            <w:pPr>
              <w:jc w:val="center"/>
              <w:rPr>
                <w:rFonts w:ascii="宋体" w:hAnsi="宋体" w:cs="宋体"/>
                <w:sz w:val="22"/>
                <w:szCs w:val="22"/>
              </w:rPr>
            </w:pPr>
            <w:r>
              <w:rPr>
                <w:rFonts w:hint="eastAsia" w:ascii="宋体" w:hAnsi="宋体" w:cs="宋体"/>
                <w:sz w:val="22"/>
                <w:szCs w:val="22"/>
              </w:rPr>
              <w:t>无</w:t>
            </w:r>
          </w:p>
        </w:tc>
        <w:tc>
          <w:tcPr>
            <w:tcW w:w="1820" w:type="pct"/>
            <w:vAlign w:val="center"/>
          </w:tcPr>
          <w:p>
            <w:pPr>
              <w:jc w:val="center"/>
              <w:rPr>
                <w:rFonts w:ascii="宋体" w:hAnsi="宋体" w:cs="宋体"/>
                <w:sz w:val="22"/>
                <w:szCs w:val="22"/>
              </w:rPr>
            </w:pPr>
            <w:r>
              <w:rPr>
                <w:rFonts w:hint="eastAsia" w:ascii="宋体" w:hAnsi="宋体" w:cs="宋体"/>
                <w:sz w:val="22"/>
                <w:szCs w:val="22"/>
              </w:rPr>
              <w:t>无</w:t>
            </w:r>
          </w:p>
        </w:tc>
      </w:tr>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c>
          <w:tcPr>
            <w:tcW w:w="1411" w:type="pct"/>
            <w:vAlign w:val="center"/>
          </w:tcPr>
          <w:p>
            <w:pPr>
              <w:tabs>
                <w:tab w:val="left" w:pos="6676"/>
              </w:tabs>
              <w:spacing w:line="360" w:lineRule="exact"/>
              <w:jc w:val="center"/>
              <w:rPr>
                <w:rFonts w:ascii="宋体" w:hAnsi="宋体" w:cs="宋体"/>
                <w:b/>
                <w:sz w:val="22"/>
                <w:szCs w:val="22"/>
              </w:rPr>
            </w:pPr>
            <w:r>
              <w:rPr>
                <w:rFonts w:hint="eastAsia" w:ascii="宋体" w:hAnsi="宋体" w:cs="宋体"/>
                <w:b/>
                <w:sz w:val="22"/>
                <w:szCs w:val="22"/>
              </w:rPr>
              <w:t>坐落</w:t>
            </w:r>
          </w:p>
        </w:tc>
        <w:tc>
          <w:tcPr>
            <w:tcW w:w="1767" w:type="pct"/>
            <w:vAlign w:val="center"/>
          </w:tcPr>
          <w:p>
            <w:pPr>
              <w:jc w:val="center"/>
              <w:rPr>
                <w:rFonts w:ascii="宋体" w:hAnsi="宋体" w:cs="宋体"/>
                <w:sz w:val="22"/>
                <w:szCs w:val="22"/>
              </w:rPr>
            </w:pPr>
            <w:r>
              <w:rPr>
                <w:rFonts w:hint="eastAsia" w:ascii="宋体" w:hAnsi="宋体" w:cs="宋体"/>
                <w:sz w:val="22"/>
                <w:szCs w:val="22"/>
              </w:rPr>
              <w:t>寻甸县仁德镇学府社区华联超市东面</w:t>
            </w:r>
          </w:p>
        </w:tc>
        <w:tc>
          <w:tcPr>
            <w:tcW w:w="1820" w:type="pct"/>
            <w:vAlign w:val="center"/>
          </w:tcPr>
          <w:p>
            <w:pPr>
              <w:jc w:val="center"/>
              <w:rPr>
                <w:rFonts w:ascii="宋体" w:hAnsi="宋体" w:cs="宋体"/>
                <w:sz w:val="22"/>
                <w:szCs w:val="22"/>
              </w:rPr>
            </w:pPr>
            <w:r>
              <w:rPr>
                <w:rFonts w:hint="eastAsia" w:ascii="宋体" w:hAnsi="宋体" w:cs="宋体"/>
                <w:sz w:val="22"/>
                <w:szCs w:val="22"/>
              </w:rPr>
              <w:t>寻甸县仁德镇学府社区华联超市东面</w:t>
            </w:r>
          </w:p>
        </w:tc>
      </w:tr>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c>
          <w:tcPr>
            <w:tcW w:w="1411" w:type="pct"/>
            <w:vAlign w:val="center"/>
          </w:tcPr>
          <w:p>
            <w:pPr>
              <w:tabs>
                <w:tab w:val="left" w:pos="6676"/>
              </w:tabs>
              <w:spacing w:line="360" w:lineRule="exact"/>
              <w:jc w:val="center"/>
              <w:rPr>
                <w:rFonts w:ascii="宋体" w:hAnsi="宋体" w:cs="宋体"/>
                <w:b/>
                <w:sz w:val="22"/>
                <w:szCs w:val="22"/>
              </w:rPr>
            </w:pPr>
            <w:r>
              <w:rPr>
                <w:rFonts w:hint="eastAsia" w:ascii="宋体" w:hAnsi="宋体" w:cs="宋体"/>
                <w:b/>
                <w:sz w:val="22"/>
                <w:szCs w:val="22"/>
              </w:rPr>
              <w:t>建筑面积（㎡）</w:t>
            </w:r>
          </w:p>
        </w:tc>
        <w:tc>
          <w:tcPr>
            <w:tcW w:w="1767" w:type="pct"/>
            <w:vAlign w:val="center"/>
          </w:tcPr>
          <w:p>
            <w:pPr>
              <w:jc w:val="center"/>
              <w:rPr>
                <w:rFonts w:ascii="宋体" w:hAnsi="宋体" w:cs="宋体"/>
                <w:sz w:val="22"/>
                <w:szCs w:val="22"/>
              </w:rPr>
            </w:pPr>
            <w:r>
              <w:rPr>
                <w:rFonts w:hint="eastAsia" w:ascii="宋体" w:hAnsi="宋体" w:cs="宋体"/>
                <w:sz w:val="22"/>
                <w:szCs w:val="22"/>
              </w:rPr>
              <w:t>565.41</w:t>
            </w:r>
          </w:p>
        </w:tc>
        <w:tc>
          <w:tcPr>
            <w:tcW w:w="1820" w:type="pct"/>
            <w:vAlign w:val="center"/>
          </w:tcPr>
          <w:p>
            <w:pPr>
              <w:jc w:val="center"/>
              <w:rPr>
                <w:rFonts w:ascii="宋体" w:hAnsi="宋体" w:cs="宋体"/>
                <w:sz w:val="22"/>
                <w:szCs w:val="22"/>
              </w:rPr>
            </w:pPr>
            <w:r>
              <w:rPr>
                <w:rFonts w:hint="eastAsia" w:ascii="宋体" w:hAnsi="宋体" w:cs="宋体"/>
                <w:sz w:val="22"/>
                <w:szCs w:val="22"/>
              </w:rPr>
              <w:t>56.75</w:t>
            </w:r>
          </w:p>
        </w:tc>
      </w:tr>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c>
          <w:tcPr>
            <w:tcW w:w="1411" w:type="pct"/>
            <w:vAlign w:val="center"/>
          </w:tcPr>
          <w:p>
            <w:pPr>
              <w:tabs>
                <w:tab w:val="left" w:pos="6676"/>
              </w:tabs>
              <w:spacing w:line="360" w:lineRule="exact"/>
              <w:jc w:val="center"/>
              <w:rPr>
                <w:rFonts w:ascii="宋体" w:hAnsi="宋体" w:cs="宋体"/>
                <w:b/>
                <w:sz w:val="22"/>
                <w:szCs w:val="22"/>
              </w:rPr>
            </w:pPr>
            <w:r>
              <w:rPr>
                <w:rFonts w:hint="eastAsia" w:ascii="宋体" w:hAnsi="宋体" w:cs="宋体"/>
                <w:b/>
                <w:sz w:val="22"/>
                <w:szCs w:val="22"/>
              </w:rPr>
              <w:t>规划用途/实际用途</w:t>
            </w:r>
          </w:p>
        </w:tc>
        <w:tc>
          <w:tcPr>
            <w:tcW w:w="1767" w:type="pct"/>
            <w:vAlign w:val="center"/>
          </w:tcPr>
          <w:p>
            <w:pPr>
              <w:jc w:val="center"/>
              <w:rPr>
                <w:rFonts w:ascii="宋体" w:hAnsi="宋体" w:cs="宋体"/>
                <w:sz w:val="22"/>
                <w:szCs w:val="22"/>
              </w:rPr>
            </w:pPr>
            <w:r>
              <w:rPr>
                <w:rFonts w:hint="eastAsia" w:ascii="宋体" w:hAnsi="宋体" w:cs="宋体"/>
                <w:sz w:val="22"/>
                <w:szCs w:val="22"/>
              </w:rPr>
              <w:t>住宅/一层商铺，二至四层为住宅</w:t>
            </w:r>
          </w:p>
        </w:tc>
        <w:tc>
          <w:tcPr>
            <w:tcW w:w="1820" w:type="pct"/>
            <w:vAlign w:val="center"/>
          </w:tcPr>
          <w:p>
            <w:pPr>
              <w:jc w:val="center"/>
              <w:rPr>
                <w:rFonts w:ascii="宋体" w:hAnsi="宋体" w:cs="宋体"/>
                <w:sz w:val="22"/>
                <w:szCs w:val="22"/>
              </w:rPr>
            </w:pPr>
            <w:r>
              <w:rPr>
                <w:rFonts w:hint="eastAsia" w:ascii="宋体" w:hAnsi="宋体" w:cs="宋体"/>
                <w:sz w:val="22"/>
                <w:szCs w:val="22"/>
              </w:rPr>
              <w:t>住宅/住宅</w:t>
            </w:r>
          </w:p>
        </w:tc>
      </w:tr>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c>
          <w:tcPr>
            <w:tcW w:w="1411" w:type="pct"/>
            <w:vAlign w:val="center"/>
          </w:tcPr>
          <w:p>
            <w:pPr>
              <w:tabs>
                <w:tab w:val="left" w:pos="6676"/>
              </w:tabs>
              <w:spacing w:line="360" w:lineRule="exact"/>
              <w:jc w:val="center"/>
              <w:rPr>
                <w:rFonts w:ascii="宋体" w:hAnsi="宋体" w:cs="宋体"/>
                <w:b/>
                <w:sz w:val="22"/>
                <w:szCs w:val="22"/>
              </w:rPr>
            </w:pPr>
            <w:r>
              <w:rPr>
                <w:rFonts w:hint="eastAsia" w:ascii="宋体" w:hAnsi="宋体" w:cs="宋体"/>
                <w:b/>
                <w:sz w:val="22"/>
                <w:szCs w:val="22"/>
              </w:rPr>
              <w:t>房屋所有权证号</w:t>
            </w:r>
          </w:p>
        </w:tc>
        <w:tc>
          <w:tcPr>
            <w:tcW w:w="1767" w:type="pct"/>
            <w:vAlign w:val="center"/>
          </w:tcPr>
          <w:p>
            <w:pPr>
              <w:jc w:val="center"/>
              <w:rPr>
                <w:rFonts w:ascii="宋体" w:hAnsi="宋体" w:cs="宋体"/>
                <w:sz w:val="22"/>
                <w:szCs w:val="22"/>
              </w:rPr>
            </w:pPr>
            <w:r>
              <w:rPr>
                <w:rFonts w:hint="eastAsia" w:ascii="宋体" w:hAnsi="宋体" w:cs="宋体"/>
                <w:sz w:val="22"/>
                <w:szCs w:val="22"/>
              </w:rPr>
              <w:t>006308</w:t>
            </w:r>
          </w:p>
        </w:tc>
        <w:tc>
          <w:tcPr>
            <w:tcW w:w="1820" w:type="pct"/>
            <w:vAlign w:val="center"/>
          </w:tcPr>
          <w:p>
            <w:pPr>
              <w:jc w:val="center"/>
              <w:rPr>
                <w:rFonts w:ascii="宋体" w:hAnsi="宋体" w:cs="宋体"/>
                <w:sz w:val="22"/>
                <w:szCs w:val="22"/>
              </w:rPr>
            </w:pPr>
            <w:r>
              <w:rPr>
                <w:rFonts w:hint="eastAsia" w:ascii="宋体" w:hAnsi="宋体" w:cs="宋体"/>
                <w:sz w:val="22"/>
                <w:szCs w:val="22"/>
              </w:rPr>
              <w:t>---</w:t>
            </w:r>
          </w:p>
        </w:tc>
      </w:tr>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c>
          <w:tcPr>
            <w:tcW w:w="1411" w:type="pct"/>
            <w:vAlign w:val="center"/>
          </w:tcPr>
          <w:p>
            <w:pPr>
              <w:tabs>
                <w:tab w:val="left" w:pos="6676"/>
              </w:tabs>
              <w:spacing w:line="360" w:lineRule="exact"/>
              <w:jc w:val="center"/>
              <w:rPr>
                <w:rFonts w:ascii="宋体" w:hAnsi="宋体" w:cs="宋体"/>
                <w:b/>
                <w:sz w:val="22"/>
                <w:szCs w:val="22"/>
              </w:rPr>
            </w:pPr>
            <w:r>
              <w:rPr>
                <w:rFonts w:hint="eastAsia" w:ascii="宋体" w:hAnsi="宋体" w:cs="宋体"/>
                <w:b/>
                <w:sz w:val="22"/>
                <w:szCs w:val="22"/>
              </w:rPr>
              <w:t>层数</w:t>
            </w:r>
          </w:p>
        </w:tc>
        <w:tc>
          <w:tcPr>
            <w:tcW w:w="1767" w:type="pct"/>
            <w:vAlign w:val="center"/>
          </w:tcPr>
          <w:p>
            <w:pPr>
              <w:jc w:val="center"/>
              <w:rPr>
                <w:rFonts w:ascii="宋体" w:hAnsi="宋体" w:cs="宋体"/>
                <w:sz w:val="22"/>
                <w:szCs w:val="22"/>
              </w:rPr>
            </w:pPr>
            <w:r>
              <w:rPr>
                <w:rFonts w:hint="eastAsia" w:ascii="宋体" w:hAnsi="宋体" w:cs="宋体"/>
                <w:sz w:val="22"/>
                <w:szCs w:val="22"/>
              </w:rPr>
              <w:t>1-4层/总5层</w:t>
            </w:r>
          </w:p>
        </w:tc>
        <w:tc>
          <w:tcPr>
            <w:tcW w:w="1820" w:type="pct"/>
            <w:vAlign w:val="center"/>
          </w:tcPr>
          <w:p>
            <w:pPr>
              <w:jc w:val="center"/>
              <w:rPr>
                <w:rFonts w:ascii="宋体" w:hAnsi="宋体" w:cs="宋体"/>
                <w:sz w:val="22"/>
                <w:szCs w:val="22"/>
              </w:rPr>
            </w:pPr>
            <w:r>
              <w:rPr>
                <w:rFonts w:hint="eastAsia" w:ascii="宋体" w:hAnsi="宋体" w:cs="宋体"/>
                <w:sz w:val="22"/>
                <w:szCs w:val="22"/>
              </w:rPr>
              <w:t>第5层/总5层</w:t>
            </w:r>
          </w:p>
        </w:tc>
      </w:tr>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c>
          <w:tcPr>
            <w:tcW w:w="1411" w:type="pct"/>
            <w:vAlign w:val="center"/>
          </w:tcPr>
          <w:p>
            <w:pPr>
              <w:tabs>
                <w:tab w:val="left" w:pos="6676"/>
              </w:tabs>
              <w:spacing w:line="360" w:lineRule="exact"/>
              <w:jc w:val="center"/>
              <w:rPr>
                <w:rFonts w:ascii="宋体" w:hAnsi="宋体" w:cs="宋体"/>
                <w:b/>
                <w:sz w:val="22"/>
                <w:szCs w:val="22"/>
              </w:rPr>
            </w:pPr>
            <w:r>
              <w:rPr>
                <w:rFonts w:hint="eastAsia" w:ascii="宋体" w:hAnsi="宋体" w:cs="宋体"/>
                <w:b/>
                <w:sz w:val="22"/>
                <w:szCs w:val="22"/>
              </w:rPr>
              <w:t>建筑结构</w:t>
            </w:r>
          </w:p>
        </w:tc>
        <w:tc>
          <w:tcPr>
            <w:tcW w:w="1767" w:type="pct"/>
            <w:vAlign w:val="center"/>
          </w:tcPr>
          <w:p>
            <w:pPr>
              <w:jc w:val="center"/>
              <w:rPr>
                <w:rFonts w:ascii="宋体" w:hAnsi="宋体" w:cs="宋体"/>
                <w:sz w:val="22"/>
                <w:szCs w:val="22"/>
              </w:rPr>
            </w:pPr>
            <w:r>
              <w:rPr>
                <w:rFonts w:hint="eastAsia" w:ascii="宋体" w:hAnsi="宋体" w:cs="宋体"/>
                <w:sz w:val="22"/>
                <w:szCs w:val="22"/>
              </w:rPr>
              <w:t>混合结构</w:t>
            </w:r>
          </w:p>
        </w:tc>
        <w:tc>
          <w:tcPr>
            <w:tcW w:w="1820" w:type="pct"/>
            <w:vAlign w:val="center"/>
          </w:tcPr>
          <w:p>
            <w:pPr>
              <w:jc w:val="center"/>
              <w:rPr>
                <w:rFonts w:ascii="宋体" w:hAnsi="宋体" w:cs="宋体"/>
                <w:sz w:val="22"/>
                <w:szCs w:val="22"/>
              </w:rPr>
            </w:pPr>
            <w:r>
              <w:rPr>
                <w:rFonts w:hint="eastAsia" w:ascii="宋体" w:hAnsi="宋体" w:cs="宋体"/>
                <w:sz w:val="22"/>
                <w:szCs w:val="22"/>
              </w:rPr>
              <w:t>混合结构</w:t>
            </w:r>
          </w:p>
        </w:tc>
      </w:tr>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c>
          <w:tcPr>
            <w:tcW w:w="1411" w:type="pct"/>
            <w:vAlign w:val="center"/>
          </w:tcPr>
          <w:p>
            <w:pPr>
              <w:tabs>
                <w:tab w:val="left" w:pos="6676"/>
              </w:tabs>
              <w:spacing w:line="360" w:lineRule="exact"/>
              <w:jc w:val="center"/>
              <w:rPr>
                <w:rFonts w:ascii="宋体" w:hAnsi="宋体" w:cs="宋体"/>
                <w:b/>
                <w:sz w:val="22"/>
                <w:szCs w:val="22"/>
              </w:rPr>
            </w:pPr>
            <w:r>
              <w:rPr>
                <w:rFonts w:hint="eastAsia" w:ascii="宋体" w:hAnsi="宋体" w:cs="宋体"/>
                <w:b/>
                <w:sz w:val="22"/>
                <w:szCs w:val="22"/>
              </w:rPr>
              <w:t>使用权类型</w:t>
            </w:r>
          </w:p>
        </w:tc>
        <w:tc>
          <w:tcPr>
            <w:tcW w:w="1767" w:type="pct"/>
            <w:vAlign w:val="center"/>
          </w:tcPr>
          <w:p>
            <w:pPr>
              <w:jc w:val="center"/>
              <w:rPr>
                <w:rFonts w:ascii="宋体" w:hAnsi="宋体" w:cs="宋体"/>
                <w:sz w:val="22"/>
                <w:szCs w:val="22"/>
              </w:rPr>
            </w:pPr>
            <w:r>
              <w:rPr>
                <w:rFonts w:hint="eastAsia" w:ascii="宋体" w:hAnsi="宋体" w:cs="宋体"/>
                <w:sz w:val="22"/>
                <w:szCs w:val="22"/>
              </w:rPr>
              <w:t>宅基地</w:t>
            </w:r>
          </w:p>
        </w:tc>
        <w:tc>
          <w:tcPr>
            <w:tcW w:w="1820" w:type="pct"/>
            <w:vAlign w:val="center"/>
          </w:tcPr>
          <w:p>
            <w:pPr>
              <w:jc w:val="center"/>
              <w:rPr>
                <w:rFonts w:ascii="宋体" w:hAnsi="宋体" w:cs="宋体"/>
                <w:sz w:val="22"/>
                <w:szCs w:val="22"/>
              </w:rPr>
            </w:pPr>
            <w:r>
              <w:rPr>
                <w:rFonts w:hint="eastAsia" w:ascii="宋体" w:hAnsi="宋体" w:cs="宋体"/>
                <w:sz w:val="22"/>
                <w:szCs w:val="22"/>
              </w:rPr>
              <w:t>宅基地</w:t>
            </w:r>
          </w:p>
        </w:tc>
      </w:tr>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c>
          <w:tcPr>
            <w:tcW w:w="1411" w:type="pct"/>
            <w:vAlign w:val="center"/>
          </w:tcPr>
          <w:p>
            <w:pPr>
              <w:tabs>
                <w:tab w:val="left" w:pos="6676"/>
              </w:tabs>
              <w:spacing w:line="360" w:lineRule="exact"/>
              <w:jc w:val="center"/>
              <w:rPr>
                <w:rFonts w:ascii="宋体" w:hAnsi="宋体" w:cs="宋体"/>
                <w:b/>
                <w:sz w:val="22"/>
                <w:szCs w:val="22"/>
              </w:rPr>
            </w:pPr>
            <w:r>
              <w:rPr>
                <w:rFonts w:hint="eastAsia" w:ascii="宋体" w:hAnsi="宋体" w:cs="宋体"/>
                <w:b/>
                <w:sz w:val="22"/>
                <w:szCs w:val="22"/>
              </w:rPr>
              <w:t>土地使用权证号</w:t>
            </w:r>
          </w:p>
        </w:tc>
        <w:tc>
          <w:tcPr>
            <w:tcW w:w="1767" w:type="pct"/>
            <w:vAlign w:val="center"/>
          </w:tcPr>
          <w:p>
            <w:pPr>
              <w:jc w:val="center"/>
              <w:rPr>
                <w:rFonts w:ascii="宋体" w:hAnsi="宋体" w:cs="宋体"/>
                <w:sz w:val="22"/>
                <w:szCs w:val="22"/>
              </w:rPr>
            </w:pPr>
            <w:r>
              <w:rPr>
                <w:rFonts w:hint="eastAsia" w:ascii="宋体" w:hAnsi="宋体" w:cs="宋体"/>
                <w:sz w:val="22"/>
                <w:szCs w:val="22"/>
              </w:rPr>
              <w:t>寻集用（2006）第167号</w:t>
            </w:r>
          </w:p>
        </w:tc>
        <w:tc>
          <w:tcPr>
            <w:tcW w:w="1820" w:type="pct"/>
            <w:vAlign w:val="center"/>
          </w:tcPr>
          <w:p>
            <w:pPr>
              <w:jc w:val="center"/>
              <w:rPr>
                <w:rFonts w:ascii="宋体" w:hAnsi="宋体" w:cs="宋体"/>
                <w:sz w:val="22"/>
                <w:szCs w:val="22"/>
              </w:rPr>
            </w:pPr>
            <w:r>
              <w:rPr>
                <w:rFonts w:hint="eastAsia" w:ascii="宋体" w:hAnsi="宋体" w:cs="宋体"/>
                <w:sz w:val="22"/>
                <w:szCs w:val="22"/>
              </w:rPr>
              <w:t>寻集用（2006）第179号</w:t>
            </w:r>
          </w:p>
        </w:tc>
      </w:tr>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c>
          <w:tcPr>
            <w:tcW w:w="1411" w:type="pct"/>
            <w:vAlign w:val="center"/>
          </w:tcPr>
          <w:p>
            <w:pPr>
              <w:tabs>
                <w:tab w:val="left" w:pos="6676"/>
              </w:tabs>
              <w:spacing w:line="360" w:lineRule="exact"/>
              <w:jc w:val="center"/>
              <w:rPr>
                <w:rFonts w:ascii="宋体" w:hAnsi="宋体" w:cs="宋体"/>
                <w:b/>
                <w:sz w:val="22"/>
                <w:szCs w:val="22"/>
              </w:rPr>
            </w:pPr>
            <w:r>
              <w:rPr>
                <w:rFonts w:hint="eastAsia" w:ascii="宋体" w:hAnsi="宋体" w:cs="宋体"/>
                <w:b/>
                <w:sz w:val="22"/>
                <w:szCs w:val="22"/>
              </w:rPr>
              <w:t>土地所有权人</w:t>
            </w:r>
          </w:p>
        </w:tc>
        <w:tc>
          <w:tcPr>
            <w:tcW w:w="1767" w:type="pct"/>
            <w:vAlign w:val="center"/>
          </w:tcPr>
          <w:p>
            <w:pPr>
              <w:jc w:val="center"/>
              <w:rPr>
                <w:rFonts w:ascii="宋体" w:hAnsi="宋体" w:cs="宋体"/>
                <w:sz w:val="22"/>
                <w:szCs w:val="22"/>
              </w:rPr>
            </w:pPr>
            <w:r>
              <w:rPr>
                <w:rFonts w:hint="eastAsia" w:ascii="宋体" w:hAnsi="宋体" w:cs="宋体"/>
                <w:sz w:val="22"/>
                <w:szCs w:val="22"/>
              </w:rPr>
              <w:t>寻甸县仁德镇学府居民委员会北营三组</w:t>
            </w:r>
          </w:p>
        </w:tc>
        <w:tc>
          <w:tcPr>
            <w:tcW w:w="1820" w:type="pct"/>
            <w:vAlign w:val="center"/>
          </w:tcPr>
          <w:p>
            <w:pPr>
              <w:jc w:val="center"/>
              <w:rPr>
                <w:rFonts w:ascii="宋体" w:hAnsi="宋体" w:cs="宋体"/>
                <w:sz w:val="22"/>
                <w:szCs w:val="22"/>
              </w:rPr>
            </w:pPr>
            <w:r>
              <w:rPr>
                <w:rFonts w:hint="eastAsia" w:ascii="宋体" w:hAnsi="宋体" w:cs="宋体"/>
                <w:sz w:val="22"/>
                <w:szCs w:val="22"/>
              </w:rPr>
              <w:t>寻甸县仁德镇学府居民委员会北营三组</w:t>
            </w:r>
          </w:p>
        </w:tc>
      </w:tr>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c>
          <w:tcPr>
            <w:tcW w:w="1411" w:type="pct"/>
            <w:vAlign w:val="center"/>
          </w:tcPr>
          <w:p>
            <w:pPr>
              <w:tabs>
                <w:tab w:val="left" w:pos="6676"/>
              </w:tabs>
              <w:spacing w:line="360" w:lineRule="exact"/>
              <w:jc w:val="center"/>
              <w:rPr>
                <w:rFonts w:ascii="宋体" w:hAnsi="宋体" w:cs="宋体"/>
                <w:b/>
                <w:sz w:val="22"/>
                <w:szCs w:val="22"/>
              </w:rPr>
            </w:pPr>
            <w:r>
              <w:rPr>
                <w:rFonts w:hint="eastAsia" w:ascii="宋体" w:hAnsi="宋体" w:cs="宋体"/>
                <w:b/>
                <w:sz w:val="22"/>
                <w:szCs w:val="22"/>
              </w:rPr>
              <w:t>土地使用权人</w:t>
            </w:r>
          </w:p>
        </w:tc>
        <w:tc>
          <w:tcPr>
            <w:tcW w:w="1767" w:type="pct"/>
            <w:vAlign w:val="center"/>
          </w:tcPr>
          <w:p>
            <w:pPr>
              <w:jc w:val="center"/>
              <w:rPr>
                <w:rFonts w:ascii="宋体" w:hAnsi="宋体" w:cs="宋体"/>
                <w:sz w:val="22"/>
                <w:szCs w:val="22"/>
              </w:rPr>
            </w:pPr>
            <w:r>
              <w:rPr>
                <w:rFonts w:hint="eastAsia" w:ascii="宋体" w:hAnsi="宋体" w:cs="宋体"/>
                <w:sz w:val="22"/>
                <w:szCs w:val="22"/>
              </w:rPr>
              <w:t>李洪才</w:t>
            </w:r>
          </w:p>
        </w:tc>
        <w:tc>
          <w:tcPr>
            <w:tcW w:w="1820" w:type="pct"/>
            <w:vAlign w:val="center"/>
          </w:tcPr>
          <w:p>
            <w:pPr>
              <w:jc w:val="center"/>
              <w:rPr>
                <w:rFonts w:ascii="宋体" w:hAnsi="宋体" w:cs="宋体"/>
                <w:sz w:val="22"/>
                <w:szCs w:val="22"/>
              </w:rPr>
            </w:pPr>
            <w:r>
              <w:rPr>
                <w:rFonts w:hint="eastAsia" w:ascii="宋体" w:hAnsi="宋体" w:cs="宋体"/>
                <w:sz w:val="22"/>
                <w:szCs w:val="22"/>
              </w:rPr>
              <w:t>李贤</w:t>
            </w:r>
          </w:p>
        </w:tc>
      </w:tr>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c>
          <w:tcPr>
            <w:tcW w:w="1411" w:type="pct"/>
            <w:vAlign w:val="center"/>
          </w:tcPr>
          <w:p>
            <w:pPr>
              <w:tabs>
                <w:tab w:val="left" w:pos="6676"/>
              </w:tabs>
              <w:spacing w:line="360" w:lineRule="exact"/>
              <w:jc w:val="center"/>
              <w:rPr>
                <w:rFonts w:ascii="宋体" w:hAnsi="宋体" w:cs="宋体"/>
                <w:b/>
                <w:sz w:val="22"/>
                <w:szCs w:val="22"/>
              </w:rPr>
            </w:pPr>
            <w:r>
              <w:rPr>
                <w:rFonts w:hint="eastAsia" w:ascii="宋体" w:hAnsi="宋体" w:cs="宋体"/>
                <w:b/>
                <w:sz w:val="22"/>
                <w:szCs w:val="22"/>
              </w:rPr>
              <w:t>土地用途</w:t>
            </w:r>
          </w:p>
        </w:tc>
        <w:tc>
          <w:tcPr>
            <w:tcW w:w="1767" w:type="pct"/>
            <w:vAlign w:val="center"/>
          </w:tcPr>
          <w:p>
            <w:pPr>
              <w:jc w:val="center"/>
              <w:rPr>
                <w:rFonts w:ascii="宋体" w:hAnsi="宋体" w:cs="宋体"/>
                <w:sz w:val="22"/>
                <w:szCs w:val="22"/>
              </w:rPr>
            </w:pPr>
            <w:r>
              <w:rPr>
                <w:rFonts w:hint="eastAsia" w:ascii="宋体" w:hAnsi="宋体" w:cs="宋体"/>
                <w:sz w:val="22"/>
                <w:szCs w:val="22"/>
              </w:rPr>
              <w:t>城镇混合住宅用地</w:t>
            </w:r>
          </w:p>
        </w:tc>
        <w:tc>
          <w:tcPr>
            <w:tcW w:w="1820" w:type="pct"/>
            <w:vAlign w:val="center"/>
          </w:tcPr>
          <w:p>
            <w:pPr>
              <w:jc w:val="center"/>
              <w:rPr>
                <w:rFonts w:ascii="宋体" w:hAnsi="宋体" w:cs="宋体"/>
                <w:sz w:val="22"/>
                <w:szCs w:val="22"/>
              </w:rPr>
            </w:pPr>
            <w:r>
              <w:rPr>
                <w:rFonts w:hint="eastAsia" w:ascii="宋体" w:hAnsi="宋体" w:cs="宋体"/>
                <w:sz w:val="22"/>
                <w:szCs w:val="22"/>
              </w:rPr>
              <w:t>城镇混合住宅用地</w:t>
            </w:r>
          </w:p>
        </w:tc>
      </w:tr>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c>
          <w:tcPr>
            <w:tcW w:w="1411" w:type="pct"/>
            <w:vAlign w:val="center"/>
          </w:tcPr>
          <w:p>
            <w:pPr>
              <w:tabs>
                <w:tab w:val="left" w:pos="6676"/>
              </w:tabs>
              <w:spacing w:line="360" w:lineRule="exact"/>
              <w:jc w:val="center"/>
              <w:rPr>
                <w:rFonts w:ascii="宋体" w:hAnsi="宋体" w:cs="宋体"/>
                <w:b/>
                <w:sz w:val="22"/>
                <w:szCs w:val="22"/>
              </w:rPr>
            </w:pPr>
            <w:r>
              <w:rPr>
                <w:rFonts w:hint="eastAsia" w:ascii="宋体" w:hAnsi="宋体" w:cs="宋体"/>
                <w:b/>
                <w:sz w:val="22"/>
                <w:szCs w:val="22"/>
              </w:rPr>
              <w:t>地号</w:t>
            </w:r>
          </w:p>
        </w:tc>
        <w:tc>
          <w:tcPr>
            <w:tcW w:w="1767" w:type="pct"/>
            <w:vAlign w:val="center"/>
          </w:tcPr>
          <w:p>
            <w:pPr>
              <w:jc w:val="center"/>
              <w:rPr>
                <w:rFonts w:ascii="宋体" w:hAnsi="宋体" w:cs="宋体"/>
                <w:sz w:val="22"/>
                <w:szCs w:val="22"/>
              </w:rPr>
            </w:pPr>
            <w:r>
              <w:rPr>
                <w:rFonts w:hint="eastAsia" w:ascii="宋体" w:hAnsi="宋体" w:cs="宋体"/>
                <w:sz w:val="22"/>
                <w:szCs w:val="22"/>
              </w:rPr>
              <w:t>005-02-42-D-158</w:t>
            </w:r>
          </w:p>
        </w:tc>
        <w:tc>
          <w:tcPr>
            <w:tcW w:w="1820" w:type="pct"/>
            <w:vAlign w:val="center"/>
          </w:tcPr>
          <w:p>
            <w:pPr>
              <w:jc w:val="center"/>
              <w:rPr>
                <w:rFonts w:ascii="宋体" w:hAnsi="宋体" w:cs="宋体"/>
                <w:sz w:val="22"/>
                <w:szCs w:val="22"/>
              </w:rPr>
            </w:pPr>
            <w:r>
              <w:rPr>
                <w:rFonts w:hint="eastAsia" w:ascii="宋体" w:hAnsi="宋体" w:cs="宋体"/>
                <w:sz w:val="22"/>
                <w:szCs w:val="22"/>
              </w:rPr>
              <w:t>005-02-42-D-168</w:t>
            </w:r>
          </w:p>
        </w:tc>
      </w:tr>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c>
          <w:tcPr>
            <w:tcW w:w="1411" w:type="pct"/>
            <w:vAlign w:val="center"/>
          </w:tcPr>
          <w:p>
            <w:pPr>
              <w:tabs>
                <w:tab w:val="left" w:pos="6676"/>
              </w:tabs>
              <w:spacing w:line="360" w:lineRule="exact"/>
              <w:jc w:val="center"/>
              <w:rPr>
                <w:rFonts w:ascii="宋体" w:hAnsi="宋体" w:cs="宋体"/>
                <w:b/>
                <w:sz w:val="22"/>
                <w:szCs w:val="22"/>
              </w:rPr>
            </w:pPr>
            <w:r>
              <w:rPr>
                <w:rFonts w:hint="eastAsia" w:ascii="宋体" w:hAnsi="宋体" w:cs="宋体"/>
                <w:b/>
                <w:sz w:val="22"/>
                <w:szCs w:val="22"/>
              </w:rPr>
              <w:t>使用权面积（㎡）</w:t>
            </w:r>
          </w:p>
        </w:tc>
        <w:tc>
          <w:tcPr>
            <w:tcW w:w="1767" w:type="pct"/>
            <w:vAlign w:val="center"/>
          </w:tcPr>
          <w:p>
            <w:pPr>
              <w:jc w:val="center"/>
              <w:rPr>
                <w:rFonts w:ascii="宋体" w:hAnsi="宋体" w:cs="宋体"/>
                <w:sz w:val="22"/>
                <w:szCs w:val="22"/>
              </w:rPr>
            </w:pPr>
            <w:r>
              <w:rPr>
                <w:rFonts w:hint="eastAsia" w:ascii="宋体" w:hAnsi="宋体" w:cs="宋体"/>
                <w:sz w:val="22"/>
                <w:szCs w:val="22"/>
              </w:rPr>
              <w:t>93.90</w:t>
            </w:r>
          </w:p>
        </w:tc>
        <w:tc>
          <w:tcPr>
            <w:tcW w:w="1820" w:type="pct"/>
            <w:vAlign w:val="center"/>
          </w:tcPr>
          <w:p>
            <w:pPr>
              <w:jc w:val="center"/>
              <w:rPr>
                <w:rFonts w:ascii="宋体" w:hAnsi="宋体" w:cs="宋体"/>
                <w:sz w:val="22"/>
                <w:szCs w:val="22"/>
              </w:rPr>
            </w:pPr>
            <w:r>
              <w:rPr>
                <w:rFonts w:hint="eastAsia" w:ascii="宋体" w:hAnsi="宋体" w:cs="宋体"/>
                <w:sz w:val="22"/>
                <w:szCs w:val="22"/>
              </w:rPr>
              <w:t>49.10</w:t>
            </w:r>
          </w:p>
        </w:tc>
      </w:tr>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c>
          <w:tcPr>
            <w:tcW w:w="1411" w:type="pct"/>
            <w:vAlign w:val="center"/>
          </w:tcPr>
          <w:p>
            <w:pPr>
              <w:tabs>
                <w:tab w:val="left" w:pos="6676"/>
              </w:tabs>
              <w:spacing w:line="360" w:lineRule="exact"/>
              <w:jc w:val="center"/>
              <w:rPr>
                <w:rFonts w:ascii="宋体" w:hAnsi="宋体" w:cs="宋体"/>
                <w:b/>
                <w:sz w:val="22"/>
                <w:szCs w:val="22"/>
              </w:rPr>
            </w:pPr>
            <w:r>
              <w:rPr>
                <w:rFonts w:hint="eastAsia" w:ascii="宋体" w:hAnsi="宋体" w:cs="宋体"/>
                <w:b/>
                <w:sz w:val="22"/>
                <w:szCs w:val="22"/>
              </w:rPr>
              <w:t>终止日期</w:t>
            </w:r>
          </w:p>
        </w:tc>
        <w:tc>
          <w:tcPr>
            <w:tcW w:w="3588" w:type="pct"/>
            <w:gridSpan w:val="2"/>
            <w:vAlign w:val="center"/>
          </w:tcPr>
          <w:p>
            <w:pPr>
              <w:jc w:val="center"/>
              <w:rPr>
                <w:rFonts w:ascii="宋体" w:hAnsi="宋体" w:cs="宋体"/>
                <w:sz w:val="22"/>
                <w:szCs w:val="22"/>
              </w:rPr>
            </w:pPr>
            <w:r>
              <w:rPr>
                <w:rFonts w:hint="eastAsia" w:ascii="宋体" w:hAnsi="宋体" w:cs="宋体"/>
                <w:sz w:val="22"/>
                <w:szCs w:val="22"/>
              </w:rPr>
              <w:t>--</w:t>
            </w:r>
          </w:p>
        </w:tc>
      </w:tr>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c>
          <w:tcPr>
            <w:tcW w:w="1411" w:type="pct"/>
            <w:vAlign w:val="center"/>
          </w:tcPr>
          <w:p>
            <w:pPr>
              <w:tabs>
                <w:tab w:val="left" w:pos="6676"/>
              </w:tabs>
              <w:spacing w:line="360" w:lineRule="exact"/>
              <w:jc w:val="center"/>
              <w:rPr>
                <w:rFonts w:ascii="宋体" w:hAnsi="宋体" w:cs="宋体"/>
                <w:b/>
                <w:sz w:val="22"/>
                <w:szCs w:val="22"/>
              </w:rPr>
            </w:pPr>
            <w:r>
              <w:rPr>
                <w:rFonts w:hint="eastAsia" w:ascii="宋体" w:hAnsi="宋体" w:cs="宋体"/>
                <w:b/>
                <w:sz w:val="22"/>
                <w:szCs w:val="22"/>
              </w:rPr>
              <w:t>查封信息</w:t>
            </w:r>
          </w:p>
        </w:tc>
        <w:tc>
          <w:tcPr>
            <w:tcW w:w="3588" w:type="pct"/>
            <w:gridSpan w:val="2"/>
            <w:vAlign w:val="center"/>
          </w:tcPr>
          <w:p>
            <w:pPr>
              <w:jc w:val="center"/>
              <w:rPr>
                <w:rFonts w:ascii="宋体" w:hAnsi="宋体" w:cs="宋体"/>
                <w:sz w:val="22"/>
                <w:szCs w:val="22"/>
              </w:rPr>
            </w:pPr>
            <w:r>
              <w:rPr>
                <w:rFonts w:hint="eastAsia" w:ascii="宋体" w:hAnsi="宋体" w:cs="宋体"/>
                <w:sz w:val="22"/>
                <w:szCs w:val="22"/>
              </w:rPr>
              <w:t>--</w:t>
            </w:r>
          </w:p>
        </w:tc>
      </w:tr>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c>
          <w:tcPr>
            <w:tcW w:w="1411" w:type="pct"/>
            <w:vAlign w:val="center"/>
          </w:tcPr>
          <w:p>
            <w:pPr>
              <w:tabs>
                <w:tab w:val="left" w:pos="6676"/>
              </w:tabs>
              <w:spacing w:line="360" w:lineRule="exact"/>
              <w:jc w:val="center"/>
              <w:rPr>
                <w:rFonts w:ascii="宋体" w:hAnsi="宋体" w:cs="宋体"/>
                <w:b/>
                <w:sz w:val="22"/>
                <w:szCs w:val="22"/>
              </w:rPr>
            </w:pPr>
            <w:r>
              <w:rPr>
                <w:rFonts w:hint="eastAsia" w:ascii="宋体" w:hAnsi="宋体" w:cs="宋体"/>
                <w:b/>
                <w:sz w:val="22"/>
                <w:szCs w:val="22"/>
              </w:rPr>
              <w:t>抵押信息</w:t>
            </w:r>
          </w:p>
        </w:tc>
        <w:tc>
          <w:tcPr>
            <w:tcW w:w="3588" w:type="pct"/>
            <w:gridSpan w:val="2"/>
            <w:vAlign w:val="center"/>
          </w:tcPr>
          <w:p>
            <w:pPr>
              <w:jc w:val="center"/>
              <w:rPr>
                <w:rFonts w:ascii="宋体" w:hAnsi="宋体" w:cs="宋体"/>
                <w:sz w:val="22"/>
                <w:szCs w:val="22"/>
              </w:rPr>
            </w:pPr>
            <w:r>
              <w:rPr>
                <w:rFonts w:hint="eastAsia" w:ascii="宋体" w:hAnsi="宋体" w:cs="宋体"/>
                <w:sz w:val="22"/>
                <w:szCs w:val="22"/>
              </w:rPr>
              <w:t>--</w:t>
            </w:r>
          </w:p>
        </w:tc>
      </w:tr>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c>
          <w:tcPr>
            <w:tcW w:w="1411" w:type="pct"/>
            <w:vAlign w:val="center"/>
          </w:tcPr>
          <w:p>
            <w:pPr>
              <w:tabs>
                <w:tab w:val="left" w:pos="6676"/>
              </w:tabs>
              <w:spacing w:line="360" w:lineRule="exact"/>
              <w:jc w:val="center"/>
              <w:rPr>
                <w:rFonts w:ascii="宋体" w:hAnsi="宋体" w:cs="宋体"/>
                <w:b/>
                <w:sz w:val="22"/>
                <w:szCs w:val="22"/>
              </w:rPr>
            </w:pPr>
            <w:r>
              <w:rPr>
                <w:rFonts w:hint="eastAsia" w:ascii="宋体" w:hAnsi="宋体" w:cs="宋体"/>
                <w:b/>
                <w:sz w:val="22"/>
                <w:szCs w:val="22"/>
              </w:rPr>
              <w:t>租赁情况</w:t>
            </w:r>
          </w:p>
        </w:tc>
        <w:tc>
          <w:tcPr>
            <w:tcW w:w="3588" w:type="pct"/>
            <w:gridSpan w:val="2"/>
            <w:vAlign w:val="center"/>
          </w:tcPr>
          <w:p>
            <w:pPr>
              <w:jc w:val="center"/>
              <w:rPr>
                <w:rFonts w:ascii="宋体" w:hAnsi="宋体" w:cs="宋体"/>
                <w:sz w:val="22"/>
                <w:szCs w:val="22"/>
              </w:rPr>
            </w:pPr>
            <w:r>
              <w:rPr>
                <w:rFonts w:hint="eastAsia" w:ascii="宋体" w:hAnsi="宋体" w:cs="宋体"/>
                <w:sz w:val="22"/>
                <w:szCs w:val="22"/>
              </w:rPr>
              <w:t>有租赁情况</w:t>
            </w:r>
          </w:p>
        </w:tc>
      </w:tr>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c>
          <w:tcPr>
            <w:tcW w:w="1411" w:type="pct"/>
            <w:vAlign w:val="center"/>
          </w:tcPr>
          <w:p>
            <w:pPr>
              <w:tabs>
                <w:tab w:val="left" w:pos="6676"/>
              </w:tabs>
              <w:spacing w:line="360" w:lineRule="exact"/>
              <w:jc w:val="center"/>
              <w:rPr>
                <w:rFonts w:ascii="宋体" w:hAnsi="宋体" w:cs="宋体"/>
                <w:b/>
                <w:sz w:val="22"/>
                <w:szCs w:val="22"/>
              </w:rPr>
            </w:pPr>
            <w:r>
              <w:rPr>
                <w:rFonts w:hint="eastAsia" w:ascii="宋体" w:hAnsi="宋体" w:cs="宋体"/>
                <w:b/>
                <w:sz w:val="22"/>
                <w:szCs w:val="22"/>
              </w:rPr>
              <w:t>物业管理情况</w:t>
            </w:r>
          </w:p>
        </w:tc>
        <w:tc>
          <w:tcPr>
            <w:tcW w:w="3588" w:type="pct"/>
            <w:gridSpan w:val="2"/>
            <w:vAlign w:val="center"/>
          </w:tcPr>
          <w:p>
            <w:pPr>
              <w:jc w:val="center"/>
              <w:rPr>
                <w:rFonts w:ascii="宋体" w:hAnsi="宋体" w:cs="宋体"/>
                <w:sz w:val="22"/>
                <w:szCs w:val="22"/>
              </w:rPr>
            </w:pPr>
            <w:r>
              <w:rPr>
                <w:rFonts w:hint="eastAsia" w:ascii="宋体" w:hAnsi="宋体" w:cs="宋体"/>
                <w:sz w:val="22"/>
                <w:szCs w:val="22"/>
              </w:rPr>
              <w:t>自建房，自行管理。</w:t>
            </w:r>
          </w:p>
        </w:tc>
      </w:tr>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rPr>
          <w:trHeight w:val="659" w:hRule="atLeast"/>
        </w:trPr>
        <w:tc>
          <w:tcPr>
            <w:tcW w:w="1411" w:type="pct"/>
            <w:vAlign w:val="center"/>
          </w:tcPr>
          <w:p>
            <w:pPr>
              <w:tabs>
                <w:tab w:val="left" w:pos="6676"/>
              </w:tabs>
              <w:spacing w:line="360" w:lineRule="exact"/>
              <w:jc w:val="center"/>
              <w:rPr>
                <w:rFonts w:ascii="宋体" w:hAnsi="宋体" w:cs="宋体"/>
                <w:b/>
                <w:sz w:val="22"/>
                <w:szCs w:val="22"/>
              </w:rPr>
            </w:pPr>
            <w:r>
              <w:rPr>
                <w:rFonts w:hint="eastAsia" w:ascii="宋体" w:hAnsi="宋体" w:cs="宋体"/>
                <w:b/>
                <w:sz w:val="22"/>
                <w:szCs w:val="22"/>
              </w:rPr>
              <w:t>权属状况分析</w:t>
            </w:r>
          </w:p>
        </w:tc>
        <w:tc>
          <w:tcPr>
            <w:tcW w:w="3588" w:type="pct"/>
            <w:gridSpan w:val="2"/>
            <w:vAlign w:val="center"/>
          </w:tcPr>
          <w:p>
            <w:pPr>
              <w:jc w:val="center"/>
              <w:rPr>
                <w:rFonts w:ascii="宋体" w:hAnsi="宋体" w:cs="宋体"/>
                <w:sz w:val="22"/>
                <w:szCs w:val="22"/>
              </w:rPr>
            </w:pPr>
            <w:r>
              <w:rPr>
                <w:rFonts w:hint="eastAsia" w:ascii="宋体" w:hAnsi="宋体" w:cs="宋体"/>
                <w:sz w:val="22"/>
                <w:szCs w:val="22"/>
              </w:rPr>
              <w:t>估价对象权属明晰，两宗土地上共同建盖一幢房屋，土地为宅基地，交易受限，根据本次估价目的，本次设定对估价无影响。</w:t>
            </w:r>
          </w:p>
        </w:tc>
      </w:tr>
    </w:tbl>
    <w:p>
      <w:pPr>
        <w:pStyle w:val="8"/>
        <w:widowControl w:val="0"/>
        <w:adjustRightInd w:val="0"/>
        <w:snapToGrid w:val="0"/>
        <w:spacing w:beforeLines="50" w:line="324" w:lineRule="auto"/>
        <w:ind w:left="0" w:firstLine="551" w:firstLineChars="196"/>
        <w:jc w:val="both"/>
        <w:outlineLvl w:val="1"/>
        <w:rPr>
          <w:rFonts w:ascii="宋体" w:hAnsi="宋体" w:cs="宋体"/>
          <w:b/>
          <w:bCs/>
          <w:sz w:val="28"/>
          <w:szCs w:val="28"/>
        </w:rPr>
      </w:pPr>
      <w:bookmarkStart w:id="11" w:name="_Toc27936"/>
      <w:r>
        <w:rPr>
          <w:rFonts w:hint="eastAsia" w:ascii="宋体" w:hAnsi="宋体" w:cs="宋体"/>
          <w:b/>
          <w:bCs/>
          <w:sz w:val="28"/>
          <w:szCs w:val="28"/>
        </w:rPr>
        <w:t>五、价值时点</w:t>
      </w:r>
      <w:bookmarkEnd w:id="11"/>
    </w:p>
    <w:p>
      <w:pPr>
        <w:spacing w:line="560" w:lineRule="exact"/>
        <w:ind w:firstLine="560" w:firstLineChars="200"/>
        <w:rPr>
          <w:rFonts w:ascii="宋体" w:cs="Times New Roman"/>
          <w:sz w:val="28"/>
          <w:szCs w:val="28"/>
        </w:rPr>
      </w:pPr>
      <w:r>
        <w:rPr>
          <w:rFonts w:hint="eastAsia" w:ascii="宋体" w:hAnsi="宋体" w:cs="宋体"/>
          <w:sz w:val="28"/>
          <w:szCs w:val="28"/>
        </w:rPr>
        <w:t>司法评估委托书未约定价值时点，根据估价目的，本次估价以完成房地产现场查勘日期为价值时点，即价值时点为</w:t>
      </w:r>
      <w:r>
        <w:rPr>
          <w:rFonts w:ascii="宋体" w:hAnsi="宋体" w:cs="宋体"/>
          <w:sz w:val="28"/>
          <w:szCs w:val="28"/>
        </w:rPr>
        <w:t>2022年02月21日</w:t>
      </w:r>
      <w:r>
        <w:rPr>
          <w:rFonts w:hint="eastAsia" w:ascii="宋体" w:hAnsi="宋体" w:cs="宋体"/>
          <w:sz w:val="28"/>
          <w:szCs w:val="28"/>
        </w:rPr>
        <w:t>。</w:t>
      </w:r>
    </w:p>
    <w:p>
      <w:pPr>
        <w:pStyle w:val="8"/>
        <w:widowControl w:val="0"/>
        <w:adjustRightInd w:val="0"/>
        <w:snapToGrid w:val="0"/>
        <w:spacing w:beforeLines="50" w:line="324" w:lineRule="auto"/>
        <w:ind w:left="0" w:firstLine="551" w:firstLineChars="196"/>
        <w:jc w:val="both"/>
        <w:outlineLvl w:val="1"/>
        <w:rPr>
          <w:rFonts w:ascii="宋体" w:hAnsi="宋体" w:cs="宋体"/>
          <w:b/>
          <w:bCs/>
          <w:sz w:val="28"/>
          <w:szCs w:val="28"/>
        </w:rPr>
      </w:pPr>
      <w:bookmarkStart w:id="12" w:name="_Toc19472"/>
      <w:r>
        <w:rPr>
          <w:rFonts w:hint="eastAsia" w:ascii="宋体" w:hAnsi="宋体" w:cs="宋体"/>
          <w:b/>
          <w:bCs/>
          <w:sz w:val="28"/>
          <w:szCs w:val="28"/>
        </w:rPr>
        <w:t>六、价值类型</w:t>
      </w:r>
      <w:bookmarkEnd w:id="12"/>
    </w:p>
    <w:p>
      <w:pPr>
        <w:spacing w:line="560" w:lineRule="exact"/>
        <w:ind w:firstLine="560" w:firstLineChars="200"/>
        <w:rPr>
          <w:rFonts w:ascii="宋体" w:hAnsi="宋体" w:cs="宋体"/>
          <w:sz w:val="28"/>
          <w:szCs w:val="28"/>
        </w:rPr>
      </w:pPr>
      <w:bookmarkStart w:id="13" w:name="_Toc362529614"/>
      <w:bookmarkStart w:id="14" w:name="_Toc363564625"/>
      <w:bookmarkStart w:id="15" w:name="_Toc378495836"/>
      <w:r>
        <w:rPr>
          <w:rFonts w:hint="eastAsia" w:ascii="宋体" w:hAnsi="宋体" w:cs="宋体"/>
          <w:sz w:val="28"/>
          <w:szCs w:val="28"/>
        </w:rPr>
        <w:t>房地产市场价值。即</w:t>
      </w:r>
      <w:r>
        <w:rPr>
          <w:rFonts w:hint="eastAsia" w:ascii="宋体" w:hAnsi="宋体" w:cs="宋体"/>
          <w:spacing w:val="-9"/>
          <w:sz w:val="28"/>
          <w:szCs w:val="28"/>
        </w:rPr>
        <w:t>估价对象经适当营销后，由熟悉情况、谨慎行事且不受强迫的交易双方，以公平交易方式在价值时点自愿进行交易的金额</w:t>
      </w:r>
      <w:r>
        <w:rPr>
          <w:rFonts w:hint="eastAsia" w:ascii="宋体" w:hAnsi="宋体" w:cs="宋体"/>
          <w:sz w:val="28"/>
          <w:szCs w:val="28"/>
        </w:rPr>
        <w:t>。</w:t>
      </w:r>
    </w:p>
    <w:bookmarkEnd w:id="13"/>
    <w:bookmarkEnd w:id="14"/>
    <w:bookmarkEnd w:id="15"/>
    <w:p>
      <w:pPr>
        <w:pStyle w:val="8"/>
        <w:widowControl w:val="0"/>
        <w:adjustRightInd w:val="0"/>
        <w:snapToGrid w:val="0"/>
        <w:spacing w:beforeLines="50" w:line="324" w:lineRule="auto"/>
        <w:ind w:left="0" w:firstLine="516" w:firstLineChars="196"/>
        <w:jc w:val="both"/>
        <w:outlineLvl w:val="1"/>
        <w:rPr>
          <w:rFonts w:ascii="宋体" w:hAnsi="宋体" w:cs="宋体"/>
          <w:b/>
          <w:bCs/>
          <w:spacing w:val="-9"/>
          <w:sz w:val="28"/>
          <w:szCs w:val="28"/>
        </w:rPr>
      </w:pPr>
      <w:bookmarkStart w:id="16" w:name="_Toc1731"/>
      <w:r>
        <w:rPr>
          <w:rFonts w:hint="eastAsia" w:ascii="宋体" w:hAnsi="宋体" w:cs="宋体"/>
          <w:b/>
          <w:bCs/>
          <w:spacing w:val="-9"/>
          <w:sz w:val="28"/>
          <w:szCs w:val="28"/>
        </w:rPr>
        <w:t>七、估价原则</w:t>
      </w:r>
      <w:bookmarkEnd w:id="16"/>
    </w:p>
    <w:p>
      <w:pPr>
        <w:spacing w:line="560" w:lineRule="exact"/>
        <w:ind w:firstLine="560" w:firstLineChars="200"/>
        <w:rPr>
          <w:rFonts w:ascii="宋体" w:cs="Times New Roman"/>
          <w:sz w:val="28"/>
          <w:szCs w:val="28"/>
        </w:rPr>
      </w:pPr>
      <w:r>
        <w:rPr>
          <w:rFonts w:hint="eastAsia" w:ascii="宋体" w:hAnsi="宋体" w:cs="宋体"/>
          <w:sz w:val="28"/>
          <w:szCs w:val="28"/>
        </w:rPr>
        <w:t>我们在本次估价时遵循了以下原则：</w:t>
      </w:r>
    </w:p>
    <w:p>
      <w:pPr>
        <w:spacing w:line="560" w:lineRule="exact"/>
        <w:ind w:firstLine="560" w:firstLineChars="200"/>
        <w:rPr>
          <w:rFonts w:ascii="宋体" w:cs="Times New Roman"/>
          <w:sz w:val="28"/>
          <w:szCs w:val="28"/>
        </w:rPr>
      </w:pPr>
      <w:r>
        <w:rPr>
          <w:rFonts w:hint="eastAsia" w:ascii="宋体" w:hAnsi="宋体" w:cs="宋体"/>
          <w:sz w:val="28"/>
          <w:szCs w:val="28"/>
        </w:rPr>
        <w:t>（一）合法原则</w:t>
      </w:r>
    </w:p>
    <w:p>
      <w:pPr>
        <w:spacing w:line="560" w:lineRule="exact"/>
        <w:ind w:firstLine="560" w:firstLineChars="200"/>
        <w:rPr>
          <w:rFonts w:ascii="宋体" w:hAnsi="宋体" w:cs="宋体"/>
          <w:sz w:val="28"/>
          <w:szCs w:val="28"/>
        </w:rPr>
      </w:pPr>
      <w:r>
        <w:rPr>
          <w:rFonts w:hint="eastAsia" w:ascii="宋体" w:hAnsi="宋体" w:cs="宋体"/>
          <w:sz w:val="28"/>
          <w:szCs w:val="28"/>
        </w:rPr>
        <w:t>合法原则要求房地产估价应以估价对象的合法权益为前提进行。合法权益包括合法产权、合法使用、合法处分等方面，在合法产权方面，应以房地产权属证书和有关证件为依据；在合法使用方面，应以城市规划、土地用途管制等为依据；在合法处分方面，应以法律、法规或合同等允许的处分方式为依据；在其他方面，如评估出的价格必须符合国家的价格政策。</w:t>
      </w:r>
    </w:p>
    <w:p>
      <w:pPr>
        <w:spacing w:line="560" w:lineRule="exact"/>
        <w:ind w:firstLine="560" w:firstLineChars="200"/>
        <w:rPr>
          <w:rFonts w:ascii="宋体" w:hAnsi="宋体" w:cs="宋体"/>
          <w:sz w:val="28"/>
          <w:szCs w:val="28"/>
        </w:rPr>
      </w:pPr>
      <w:r>
        <w:rPr>
          <w:rFonts w:hint="eastAsia" w:ascii="宋体" w:hAnsi="宋体" w:cs="宋体"/>
          <w:sz w:val="28"/>
          <w:szCs w:val="28"/>
        </w:rPr>
        <w:t>（二）独立、客观、公正原则</w:t>
      </w:r>
    </w:p>
    <w:p>
      <w:pPr>
        <w:spacing w:line="560" w:lineRule="exact"/>
        <w:ind w:firstLine="560" w:firstLineChars="200"/>
        <w:rPr>
          <w:rFonts w:ascii="宋体" w:hAnsi="宋体" w:cs="宋体"/>
          <w:sz w:val="28"/>
          <w:szCs w:val="28"/>
        </w:rPr>
      </w:pPr>
      <w:r>
        <w:rPr>
          <w:rFonts w:hint="eastAsia" w:ascii="宋体" w:hAnsi="宋体" w:cs="宋体"/>
          <w:sz w:val="28"/>
          <w:szCs w:val="28"/>
        </w:rPr>
        <w:t>遵循独立客观公正原则，应站在中立的立场上实事求是、公平正直地评估出对各方估价利害关系人均是公平合理的价值。</w:t>
      </w:r>
    </w:p>
    <w:p>
      <w:pPr>
        <w:spacing w:line="560" w:lineRule="exact"/>
        <w:ind w:firstLine="560" w:firstLineChars="200"/>
        <w:rPr>
          <w:rFonts w:ascii="宋体" w:cs="Times New Roman"/>
          <w:sz w:val="28"/>
          <w:szCs w:val="28"/>
        </w:rPr>
      </w:pPr>
      <w:r>
        <w:rPr>
          <w:rFonts w:hint="eastAsia" w:ascii="宋体" w:hAnsi="宋体" w:cs="宋体"/>
          <w:sz w:val="28"/>
          <w:szCs w:val="28"/>
        </w:rPr>
        <w:t>独立、客观、公正原则要求估价机构和注册房地产估价师站在中立的立场上，凭借估价专业知识、经验和应有的职业道德，按照估价对象的本来面目、实事求是、坚持原则、公平正直地进行估价。本次评估未受估价委托人在内任何单位和个人的干扰，没有偏袒相关当事人中的任何一方，本着各方当事人理性而谨慎并出于利己动机，以注册房地产估价师身份来反复、精细地权衡估价对象的评估价值。</w:t>
      </w:r>
    </w:p>
    <w:p>
      <w:pPr>
        <w:spacing w:line="560" w:lineRule="exact"/>
        <w:ind w:firstLine="560" w:firstLineChars="200"/>
        <w:rPr>
          <w:rFonts w:ascii="宋体" w:cs="Times New Roman"/>
          <w:sz w:val="28"/>
          <w:szCs w:val="28"/>
        </w:rPr>
      </w:pPr>
      <w:r>
        <w:rPr>
          <w:rFonts w:hint="eastAsia" w:ascii="宋体" w:hAnsi="宋体" w:cs="宋体"/>
          <w:sz w:val="28"/>
          <w:szCs w:val="28"/>
        </w:rPr>
        <w:t>（三）最高最佳利用原则</w:t>
      </w:r>
    </w:p>
    <w:p>
      <w:pPr>
        <w:spacing w:line="560" w:lineRule="exact"/>
        <w:ind w:firstLine="560" w:firstLineChars="200"/>
        <w:rPr>
          <w:rFonts w:ascii="宋体" w:hAnsi="宋体" w:cs="宋体"/>
          <w:sz w:val="28"/>
          <w:szCs w:val="28"/>
        </w:rPr>
      </w:pPr>
      <w:r>
        <w:rPr>
          <w:rFonts w:hint="eastAsia" w:ascii="宋体" w:hAnsi="宋体" w:cs="宋体"/>
          <w:sz w:val="28"/>
          <w:szCs w:val="28"/>
        </w:rPr>
        <w:t>所谓最高最佳利用是估价对象一种最可能的利用，这种最可能的利用是法律上允许、技术上可能、财务上可行、经过充分合理的论证，并能给予估价对象价值最大化。它的一种具体表现，是以能使估价对象获利最多的用途和开发强度来衡量。最高最佳利用状况包括最佳的用途、规模和档次等。确定估价对象的最高最佳利用状况，应了解、分析估价对象的权利人或意向取得者对估价对象依法享有的开发利用权力。若两者的开发利用权利不同，应根据估价目的确定是从权利人角度还是从意向取得者角度进行估价，相应确定最高最佳利用状况。当估价对象已做了某种利用，估价时应根据最高最佳利用原则对估价前提做出下列之一的判断和选择，并在估价报告中说明。</w:t>
      </w:r>
    </w:p>
    <w:p>
      <w:pPr>
        <w:spacing w:line="560" w:lineRule="exact"/>
        <w:ind w:firstLine="420" w:firstLineChars="150"/>
        <w:rPr>
          <w:rFonts w:ascii="宋体" w:cs="Times New Roman"/>
          <w:sz w:val="28"/>
          <w:szCs w:val="28"/>
        </w:rPr>
      </w:pPr>
      <w:r>
        <w:rPr>
          <w:rFonts w:hint="eastAsia" w:ascii="宋体" w:hAnsi="宋体" w:cs="宋体"/>
          <w:sz w:val="28"/>
          <w:szCs w:val="28"/>
        </w:rPr>
        <w:t>（四）替代原则</w:t>
      </w:r>
    </w:p>
    <w:p>
      <w:pPr>
        <w:spacing w:line="560" w:lineRule="exact"/>
        <w:ind w:firstLine="560" w:firstLineChars="200"/>
        <w:rPr>
          <w:rFonts w:ascii="宋体" w:cs="Times New Roman"/>
          <w:sz w:val="28"/>
          <w:szCs w:val="28"/>
        </w:rPr>
      </w:pPr>
      <w:r>
        <w:rPr>
          <w:rFonts w:hint="eastAsia" w:ascii="宋体" w:hAnsi="宋体" w:cs="宋体"/>
          <w:sz w:val="28"/>
          <w:szCs w:val="28"/>
        </w:rPr>
        <w:t>替代原则要求房地产估价结果应与类似房地产在同等条件下的价值偏差在合理范围内。其理论依据是同一市场上相同物品具有相同市场价值的经济学原理。替代原则是保证房地产估价能够运用市场资料进行和完成的重要理论前提。</w:t>
      </w:r>
    </w:p>
    <w:p>
      <w:pPr>
        <w:spacing w:line="560" w:lineRule="exact"/>
        <w:ind w:firstLine="560" w:firstLineChars="200"/>
        <w:rPr>
          <w:rFonts w:ascii="宋体" w:cs="Times New Roman"/>
          <w:sz w:val="28"/>
          <w:szCs w:val="28"/>
        </w:rPr>
      </w:pPr>
      <w:r>
        <w:rPr>
          <w:rFonts w:hint="eastAsia" w:ascii="宋体" w:hAnsi="宋体" w:cs="宋体"/>
          <w:sz w:val="28"/>
          <w:szCs w:val="28"/>
        </w:rPr>
        <w:t>（五）价值时点原则</w:t>
      </w:r>
    </w:p>
    <w:p>
      <w:pPr>
        <w:spacing w:line="560" w:lineRule="exact"/>
        <w:ind w:firstLine="560" w:firstLineChars="200"/>
        <w:rPr>
          <w:rFonts w:ascii="宋体" w:cs="Times New Roman"/>
          <w:sz w:val="28"/>
          <w:szCs w:val="28"/>
        </w:rPr>
      </w:pPr>
      <w:r>
        <w:rPr>
          <w:rFonts w:hint="eastAsia" w:ascii="宋体" w:hAnsi="宋体" w:cs="宋体"/>
          <w:sz w:val="28"/>
          <w:szCs w:val="28"/>
        </w:rPr>
        <w:t>价值时点原则要求房，同一估价对象在不同时点会具有不同的市场价格。所以在评估一地产估价结果应是在由估价目的确定的某一特定日期的价值。价值时点原则强调的是估价结论具有很强的时间相关性和时效性。估价结论首先具有很强的时间相关性，这是考虑到资金的时间价值，在不同的时间点上发生的现金流量对其价值影响是不同的。估价结论同时具有很强的时效性，这是考虑到房地产市场的波动性宗房地产的价格时，必须假定市场停止在价值时点上，同时估价对象房地产的状况通常也是以其在该时点时的状况为准。</w:t>
      </w:r>
    </w:p>
    <w:p>
      <w:pPr>
        <w:pStyle w:val="8"/>
        <w:widowControl w:val="0"/>
        <w:adjustRightInd w:val="0"/>
        <w:snapToGrid w:val="0"/>
        <w:spacing w:beforeLines="50" w:line="324" w:lineRule="auto"/>
        <w:ind w:left="0" w:firstLine="516" w:firstLineChars="196"/>
        <w:jc w:val="both"/>
        <w:outlineLvl w:val="1"/>
        <w:rPr>
          <w:rFonts w:ascii="宋体" w:hAnsi="宋体" w:cs="宋体"/>
          <w:b/>
          <w:bCs/>
          <w:spacing w:val="-9"/>
          <w:sz w:val="28"/>
          <w:szCs w:val="28"/>
        </w:rPr>
      </w:pPr>
      <w:bookmarkStart w:id="17" w:name="_Toc8532"/>
      <w:r>
        <w:rPr>
          <w:rFonts w:hint="eastAsia" w:ascii="宋体" w:hAnsi="宋体" w:cs="宋体"/>
          <w:b/>
          <w:bCs/>
          <w:spacing w:val="-9"/>
          <w:sz w:val="28"/>
          <w:szCs w:val="28"/>
        </w:rPr>
        <w:t>八、价值依据</w:t>
      </w:r>
      <w:bookmarkEnd w:id="17"/>
    </w:p>
    <w:p>
      <w:pPr>
        <w:spacing w:line="560" w:lineRule="exact"/>
        <w:ind w:firstLine="560" w:firstLineChars="200"/>
        <w:rPr>
          <w:rFonts w:ascii="宋体" w:hAnsi="宋体" w:cs="宋体"/>
          <w:sz w:val="28"/>
          <w:szCs w:val="28"/>
        </w:rPr>
      </w:pPr>
      <w:r>
        <w:rPr>
          <w:rFonts w:hint="eastAsia" w:ascii="宋体" w:hAnsi="宋体" w:cs="宋体"/>
          <w:sz w:val="28"/>
          <w:szCs w:val="28"/>
        </w:rPr>
        <w:t>（一）有关法律、法规和政策性文件</w:t>
      </w:r>
    </w:p>
    <w:p>
      <w:pPr>
        <w:spacing w:line="560" w:lineRule="exact"/>
        <w:ind w:firstLine="560" w:firstLineChars="200"/>
        <w:rPr>
          <w:rFonts w:ascii="宋体" w:cs="Times New Roman"/>
          <w:sz w:val="28"/>
          <w:szCs w:val="28"/>
        </w:rPr>
      </w:pPr>
      <w:r>
        <w:rPr>
          <w:rFonts w:hint="eastAsia" w:ascii="宋体" w:hAnsi="宋体" w:cs="宋体"/>
          <w:sz w:val="28"/>
          <w:szCs w:val="28"/>
        </w:rPr>
        <w:t>1、《中华人民共和国民法典》（中华人民共和国主席令第45号，2021年1月1日施行）；</w:t>
      </w:r>
    </w:p>
    <w:p>
      <w:pPr>
        <w:spacing w:line="560" w:lineRule="exact"/>
        <w:ind w:firstLine="560" w:firstLineChars="200"/>
        <w:rPr>
          <w:rFonts w:ascii="宋体" w:cs="Times New Roman"/>
          <w:sz w:val="28"/>
          <w:szCs w:val="28"/>
        </w:rPr>
      </w:pPr>
      <w:r>
        <w:rPr>
          <w:rFonts w:hint="eastAsia" w:ascii="宋体" w:hAnsi="宋体" w:cs="宋体"/>
          <w:sz w:val="28"/>
          <w:szCs w:val="28"/>
        </w:rPr>
        <w:t>2、《中华人民共和国城市房地产管理法》（2019年8月26日中华人民共和国第十三届全国人民代表大会常务委员会第十二次会议第三次修正，自2020年1月1日起施行）；</w:t>
      </w:r>
    </w:p>
    <w:p>
      <w:pPr>
        <w:spacing w:line="560" w:lineRule="exact"/>
        <w:ind w:firstLine="560" w:firstLineChars="200"/>
        <w:rPr>
          <w:rFonts w:ascii="宋体" w:cs="Times New Roman"/>
          <w:sz w:val="28"/>
          <w:szCs w:val="28"/>
        </w:rPr>
      </w:pPr>
      <w:r>
        <w:rPr>
          <w:rFonts w:hint="eastAsia" w:ascii="宋体" w:hAnsi="宋体" w:cs="宋体"/>
          <w:sz w:val="28"/>
          <w:szCs w:val="28"/>
        </w:rPr>
        <w:t>3、《中华人民共和国土地管理法》（2019年8月26日中华人民共和国第十三届全国人民代表大会常务委员会第十二次会议第三次修正，自2020年1月1日起施行）；</w:t>
      </w:r>
    </w:p>
    <w:p>
      <w:pPr>
        <w:spacing w:line="560" w:lineRule="exact"/>
        <w:ind w:firstLine="560" w:firstLineChars="200"/>
        <w:rPr>
          <w:rFonts w:ascii="宋体" w:cs="Times New Roman"/>
          <w:sz w:val="28"/>
          <w:szCs w:val="28"/>
        </w:rPr>
      </w:pPr>
      <w:r>
        <w:rPr>
          <w:rFonts w:hint="eastAsia" w:ascii="宋体" w:hAnsi="宋体" w:cs="宋体"/>
          <w:sz w:val="28"/>
          <w:szCs w:val="28"/>
        </w:rPr>
        <w:t>4、《中华人民共和国资产评估法》（2016年7月2日中华人民共和国主席令第46号公布）；</w:t>
      </w:r>
    </w:p>
    <w:p>
      <w:pPr>
        <w:spacing w:line="560" w:lineRule="exact"/>
        <w:ind w:firstLine="560" w:firstLineChars="200"/>
        <w:rPr>
          <w:rFonts w:ascii="宋体" w:hAnsi="宋体" w:cs="宋体"/>
          <w:sz w:val="28"/>
          <w:szCs w:val="28"/>
        </w:rPr>
      </w:pPr>
      <w:r>
        <w:rPr>
          <w:rFonts w:hint="eastAsia" w:ascii="宋体" w:hAnsi="宋体" w:cs="宋体"/>
          <w:sz w:val="28"/>
          <w:szCs w:val="28"/>
        </w:rPr>
        <w:t>5、《中华人民共和国城镇国有土地使用权出让和转让暂行条例》（1990年5月19日国务院令第55号发布，根据2020年11月29日《国务院关于修改和废止部分行政法规的决定》修订）；</w:t>
      </w:r>
    </w:p>
    <w:p>
      <w:pPr>
        <w:spacing w:line="560" w:lineRule="exact"/>
        <w:ind w:left="567"/>
        <w:rPr>
          <w:rFonts w:ascii="宋体" w:hAnsi="宋体" w:cs="宋体"/>
          <w:sz w:val="28"/>
          <w:szCs w:val="28"/>
        </w:rPr>
      </w:pPr>
      <w:r>
        <w:rPr>
          <w:rFonts w:hint="eastAsia" w:ascii="宋体" w:hAnsi="宋体" w:cs="宋体"/>
          <w:sz w:val="28"/>
          <w:szCs w:val="28"/>
        </w:rPr>
        <w:t>6、《最高人民法院关于人民法院确定财产处置参考价若干问题的规定》（法释[</w:t>
      </w:r>
      <w:r>
        <w:rPr>
          <w:rFonts w:ascii="宋体" w:hAnsi="宋体" w:cs="宋体"/>
          <w:sz w:val="28"/>
          <w:szCs w:val="28"/>
        </w:rPr>
        <w:t>2018]15</w:t>
      </w:r>
      <w:r>
        <w:rPr>
          <w:rFonts w:hint="eastAsia" w:ascii="宋体" w:hAnsi="宋体" w:cs="宋体"/>
          <w:sz w:val="28"/>
          <w:szCs w:val="28"/>
        </w:rPr>
        <w:t>号）；</w:t>
      </w:r>
    </w:p>
    <w:p>
      <w:pPr>
        <w:spacing w:line="560" w:lineRule="exact"/>
        <w:ind w:firstLine="560" w:firstLineChars="200"/>
        <w:rPr>
          <w:rFonts w:ascii="宋体" w:hAnsi="宋体" w:cs="宋体"/>
          <w:sz w:val="28"/>
          <w:szCs w:val="28"/>
        </w:rPr>
      </w:pPr>
      <w:r>
        <w:rPr>
          <w:rFonts w:hint="eastAsia" w:ascii="宋体" w:hAnsi="宋体" w:cs="宋体"/>
          <w:sz w:val="28"/>
          <w:szCs w:val="28"/>
        </w:rPr>
        <w:t>（二）技术标准、规程、规范</w:t>
      </w:r>
    </w:p>
    <w:p>
      <w:pPr>
        <w:spacing w:line="560" w:lineRule="exact"/>
        <w:ind w:firstLine="560" w:firstLineChars="200"/>
        <w:rPr>
          <w:rFonts w:ascii="宋体" w:hAnsi="宋体" w:cs="宋体"/>
          <w:sz w:val="28"/>
          <w:szCs w:val="28"/>
        </w:rPr>
      </w:pPr>
      <w:r>
        <w:rPr>
          <w:rFonts w:hint="eastAsia" w:ascii="宋体" w:hAnsi="宋体" w:cs="宋体"/>
          <w:sz w:val="28"/>
          <w:szCs w:val="28"/>
        </w:rPr>
        <w:t>1、《房地产估价规范》（中华人民共和国国家标准</w:t>
      </w:r>
      <w:r>
        <w:rPr>
          <w:rFonts w:ascii="宋体" w:hAnsi="宋体" w:cs="宋体"/>
          <w:sz w:val="28"/>
          <w:szCs w:val="28"/>
        </w:rPr>
        <w:t>GB/T50291-</w:t>
      </w:r>
      <w:r>
        <w:rPr>
          <w:rFonts w:hint="eastAsia" w:ascii="宋体" w:hAnsi="宋体" w:cs="宋体"/>
          <w:sz w:val="28"/>
          <w:szCs w:val="28"/>
        </w:rPr>
        <w:t>2015）；</w:t>
      </w:r>
    </w:p>
    <w:p>
      <w:pPr>
        <w:spacing w:line="560" w:lineRule="exact"/>
        <w:ind w:firstLine="560" w:firstLineChars="200"/>
        <w:rPr>
          <w:rFonts w:ascii="宋体" w:hAnsi="宋体" w:cs="宋体"/>
          <w:sz w:val="28"/>
          <w:szCs w:val="28"/>
        </w:rPr>
      </w:pPr>
      <w:r>
        <w:rPr>
          <w:rFonts w:hint="eastAsia" w:ascii="宋体" w:hAnsi="宋体" w:cs="宋体"/>
          <w:sz w:val="28"/>
          <w:szCs w:val="28"/>
        </w:rPr>
        <w:t>2、《房地产估价基本术语标准》（中华人民共和国国家标准</w:t>
      </w:r>
      <w:r>
        <w:rPr>
          <w:rFonts w:ascii="宋体" w:hAnsi="宋体" w:cs="宋体"/>
          <w:sz w:val="28"/>
          <w:szCs w:val="28"/>
        </w:rPr>
        <w:t>GB/T50899-2013</w:t>
      </w:r>
      <w:r>
        <w:rPr>
          <w:rFonts w:hint="eastAsia" w:ascii="宋体" w:hAnsi="宋体" w:cs="宋体"/>
          <w:sz w:val="28"/>
          <w:szCs w:val="28"/>
        </w:rPr>
        <w:t>）；</w:t>
      </w:r>
    </w:p>
    <w:p>
      <w:pPr>
        <w:spacing w:line="560" w:lineRule="exact"/>
        <w:ind w:firstLine="560" w:firstLineChars="200"/>
        <w:rPr>
          <w:rFonts w:ascii="宋体" w:hAnsi="宋体" w:cs="宋体"/>
          <w:sz w:val="28"/>
          <w:szCs w:val="28"/>
        </w:rPr>
      </w:pPr>
      <w:r>
        <w:rPr>
          <w:rFonts w:hint="eastAsia" w:ascii="宋体" w:hAnsi="宋体" w:cs="宋体"/>
          <w:sz w:val="28"/>
          <w:szCs w:val="28"/>
        </w:rPr>
        <w:t>3、《人民法院委托评估工作规范》（2</w:t>
      </w:r>
      <w:r>
        <w:rPr>
          <w:rFonts w:ascii="宋体" w:hAnsi="宋体" w:cs="宋体"/>
          <w:sz w:val="28"/>
          <w:szCs w:val="28"/>
        </w:rPr>
        <w:t>018</w:t>
      </w:r>
      <w:r>
        <w:rPr>
          <w:rFonts w:hint="eastAsia" w:ascii="宋体" w:hAnsi="宋体" w:cs="宋体"/>
          <w:sz w:val="28"/>
          <w:szCs w:val="28"/>
        </w:rPr>
        <w:t>年1</w:t>
      </w:r>
      <w:r>
        <w:rPr>
          <w:rFonts w:ascii="宋体" w:hAnsi="宋体" w:cs="宋体"/>
          <w:sz w:val="28"/>
          <w:szCs w:val="28"/>
        </w:rPr>
        <w:t>2</w:t>
      </w:r>
      <w:r>
        <w:rPr>
          <w:rFonts w:hint="eastAsia" w:ascii="宋体" w:hAnsi="宋体" w:cs="宋体"/>
          <w:sz w:val="28"/>
          <w:szCs w:val="28"/>
        </w:rPr>
        <w:t>月1</w:t>
      </w:r>
      <w:r>
        <w:rPr>
          <w:rFonts w:ascii="宋体" w:hAnsi="宋体" w:cs="宋体"/>
          <w:sz w:val="28"/>
          <w:szCs w:val="28"/>
        </w:rPr>
        <w:t>0</w:t>
      </w:r>
      <w:r>
        <w:rPr>
          <w:rFonts w:hint="eastAsia" w:ascii="宋体" w:hAnsi="宋体" w:cs="宋体"/>
          <w:sz w:val="28"/>
          <w:szCs w:val="28"/>
        </w:rPr>
        <w:t>日）；</w:t>
      </w:r>
    </w:p>
    <w:p>
      <w:pPr>
        <w:spacing w:line="560" w:lineRule="exact"/>
        <w:ind w:left="567"/>
        <w:rPr>
          <w:rFonts w:ascii="宋体" w:hAnsi="宋体" w:cs="宋体"/>
          <w:sz w:val="28"/>
          <w:szCs w:val="28"/>
        </w:rPr>
      </w:pPr>
      <w:r>
        <w:rPr>
          <w:rFonts w:hint="eastAsia" w:ascii="宋体" w:hAnsi="宋体" w:cs="宋体"/>
          <w:sz w:val="28"/>
          <w:szCs w:val="28"/>
        </w:rPr>
        <w:t>4、《涉执房地产处置司法评估指导意见（试行）》（中房学[2021]37号通知，2021年9月1日起施行）</w:t>
      </w:r>
    </w:p>
    <w:p>
      <w:pPr>
        <w:spacing w:line="560" w:lineRule="exact"/>
        <w:ind w:firstLine="560" w:firstLineChars="200"/>
        <w:rPr>
          <w:rFonts w:ascii="宋体" w:hAnsi="宋体" w:cs="宋体"/>
          <w:sz w:val="28"/>
          <w:szCs w:val="28"/>
        </w:rPr>
      </w:pPr>
      <w:r>
        <w:rPr>
          <w:rFonts w:hint="eastAsia" w:ascii="宋体" w:hAnsi="宋体" w:cs="宋体"/>
          <w:sz w:val="28"/>
          <w:szCs w:val="28"/>
        </w:rPr>
        <w:t>（三）其他与估价项目相关资料</w:t>
      </w:r>
    </w:p>
    <w:p>
      <w:pPr>
        <w:spacing w:line="56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bCs/>
          <w:sz w:val="28"/>
          <w:szCs w:val="28"/>
        </w:rPr>
        <w:t>寻甸回族彝族自治县人民法院委托书、补充说明</w:t>
      </w:r>
      <w:r>
        <w:rPr>
          <w:rFonts w:hint="eastAsia" w:ascii="宋体" w:hAnsi="宋体" w:cs="宋体"/>
          <w:sz w:val="28"/>
          <w:szCs w:val="28"/>
        </w:rPr>
        <w:t>；</w:t>
      </w:r>
    </w:p>
    <w:p>
      <w:pPr>
        <w:spacing w:line="560" w:lineRule="exact"/>
        <w:ind w:firstLine="560" w:firstLineChars="200"/>
        <w:rPr>
          <w:rFonts w:ascii="宋体" w:hAnsi="宋体" w:cs="宋体"/>
          <w:sz w:val="28"/>
          <w:szCs w:val="28"/>
        </w:rPr>
      </w:pPr>
      <w:r>
        <w:rPr>
          <w:rFonts w:hint="eastAsia" w:ascii="宋体" w:hAnsi="宋体" w:cs="宋体"/>
          <w:sz w:val="28"/>
          <w:szCs w:val="28"/>
        </w:rPr>
        <w:t>2、</w:t>
      </w:r>
      <w:r>
        <w:rPr>
          <w:rFonts w:hint="eastAsia" w:ascii="宋体" w:hAnsi="宋体" w:cs="宋体"/>
          <w:bCs/>
          <w:sz w:val="28"/>
          <w:szCs w:val="28"/>
        </w:rPr>
        <w:t>“房屋信息查询摘抄表”复印件</w:t>
      </w:r>
      <w:r>
        <w:rPr>
          <w:rFonts w:hint="eastAsia" w:ascii="宋体" w:hAnsi="宋体" w:cs="宋体"/>
          <w:sz w:val="28"/>
          <w:szCs w:val="28"/>
        </w:rPr>
        <w:t>；</w:t>
      </w:r>
    </w:p>
    <w:p>
      <w:pPr>
        <w:spacing w:line="560" w:lineRule="exact"/>
        <w:ind w:firstLine="560" w:firstLineChars="200"/>
        <w:rPr>
          <w:rFonts w:ascii="宋体" w:hAnsi="宋体" w:cs="宋体"/>
          <w:sz w:val="28"/>
          <w:szCs w:val="28"/>
        </w:rPr>
      </w:pPr>
      <w:r>
        <w:rPr>
          <w:rFonts w:hint="eastAsia" w:ascii="宋体" w:hAnsi="宋体" w:cs="宋体"/>
          <w:sz w:val="28"/>
          <w:szCs w:val="28"/>
        </w:rPr>
        <w:t>3、估价委托人提供的其他相关资料</w:t>
      </w:r>
      <w:r>
        <w:rPr>
          <w:rFonts w:hint="eastAsia" w:ascii="宋体" w:hAnsi="宋体" w:cs="宋体"/>
          <w:bCs/>
          <w:sz w:val="28"/>
          <w:szCs w:val="28"/>
        </w:rPr>
        <w:t>；</w:t>
      </w:r>
    </w:p>
    <w:p>
      <w:pPr>
        <w:spacing w:line="560" w:lineRule="exact"/>
        <w:ind w:firstLine="560" w:firstLineChars="200"/>
        <w:rPr>
          <w:rFonts w:ascii="宋体" w:hAnsi="宋体" w:cs="宋体"/>
          <w:sz w:val="28"/>
          <w:szCs w:val="28"/>
        </w:rPr>
      </w:pPr>
      <w:r>
        <w:rPr>
          <w:rFonts w:hint="eastAsia" w:ascii="宋体" w:hAnsi="宋体" w:cs="宋体"/>
          <w:sz w:val="28"/>
          <w:szCs w:val="28"/>
        </w:rPr>
        <w:t>（四）估价机构和注册房地产估价师所搜集掌握有关资料</w:t>
      </w:r>
    </w:p>
    <w:p>
      <w:pPr>
        <w:spacing w:line="560" w:lineRule="exact"/>
        <w:ind w:firstLine="560" w:firstLineChars="200"/>
        <w:rPr>
          <w:rFonts w:ascii="宋体" w:hAnsi="宋体" w:cs="宋体"/>
          <w:sz w:val="28"/>
          <w:szCs w:val="28"/>
        </w:rPr>
      </w:pPr>
      <w:r>
        <w:rPr>
          <w:rFonts w:hint="eastAsia" w:ascii="宋体" w:hAnsi="宋体" w:cs="宋体"/>
          <w:sz w:val="28"/>
          <w:szCs w:val="28"/>
        </w:rPr>
        <w:t>1、现场查勘记录资料；</w:t>
      </w:r>
    </w:p>
    <w:p>
      <w:pPr>
        <w:spacing w:line="560" w:lineRule="exact"/>
        <w:ind w:firstLine="560" w:firstLineChars="200"/>
        <w:rPr>
          <w:rFonts w:ascii="宋体" w:hAnsi="宋体" w:cs="宋体"/>
          <w:sz w:val="28"/>
          <w:szCs w:val="28"/>
        </w:rPr>
      </w:pPr>
      <w:r>
        <w:rPr>
          <w:rFonts w:hint="eastAsia" w:ascii="宋体" w:hAnsi="宋体" w:cs="宋体"/>
          <w:sz w:val="28"/>
          <w:szCs w:val="28"/>
        </w:rPr>
        <w:t>2、</w:t>
      </w:r>
      <w:r>
        <w:rPr>
          <w:rFonts w:hint="eastAsia" w:ascii="宋体" w:hAnsi="宋体" w:cs="宋体"/>
          <w:spacing w:val="-9"/>
          <w:sz w:val="28"/>
          <w:szCs w:val="28"/>
        </w:rPr>
        <w:t>“住房权属信息证明”、房屋所有权证、土地使用证及土地登记等资料</w:t>
      </w:r>
      <w:r>
        <w:rPr>
          <w:rFonts w:hint="eastAsia" w:ascii="宋体" w:hAnsi="宋体" w:cs="宋体"/>
          <w:bCs/>
          <w:sz w:val="28"/>
          <w:szCs w:val="28"/>
        </w:rPr>
        <w:t>；</w:t>
      </w:r>
    </w:p>
    <w:p>
      <w:pPr>
        <w:spacing w:line="560" w:lineRule="exact"/>
        <w:ind w:firstLine="560" w:firstLineChars="200"/>
        <w:rPr>
          <w:rFonts w:ascii="宋体" w:hAnsi="宋体" w:cs="宋体"/>
          <w:sz w:val="28"/>
          <w:szCs w:val="28"/>
        </w:rPr>
      </w:pPr>
      <w:r>
        <w:rPr>
          <w:rFonts w:hint="eastAsia" w:ascii="宋体" w:hAnsi="宋体" w:cs="宋体"/>
          <w:sz w:val="28"/>
          <w:szCs w:val="28"/>
        </w:rPr>
        <w:t>3、寻甸县房地产市场租售价格资料；</w:t>
      </w:r>
    </w:p>
    <w:p>
      <w:pPr>
        <w:spacing w:line="560" w:lineRule="exact"/>
        <w:ind w:firstLine="560" w:firstLineChars="200"/>
        <w:rPr>
          <w:rFonts w:ascii="宋体" w:hAnsi="宋体" w:cs="宋体"/>
          <w:sz w:val="28"/>
          <w:szCs w:val="28"/>
        </w:rPr>
      </w:pPr>
      <w:r>
        <w:rPr>
          <w:rFonts w:hint="eastAsia" w:ascii="宋体" w:hAnsi="宋体" w:cs="宋体"/>
          <w:sz w:val="28"/>
          <w:szCs w:val="28"/>
        </w:rPr>
        <w:t>4、寻甸县概况、规划、经济发展及自然、人文环境资料；</w:t>
      </w:r>
    </w:p>
    <w:p>
      <w:pPr>
        <w:spacing w:line="560" w:lineRule="exact"/>
        <w:ind w:firstLine="560" w:firstLineChars="200"/>
        <w:rPr>
          <w:rFonts w:ascii="宋体" w:hAnsi="宋体" w:cs="宋体"/>
          <w:sz w:val="28"/>
          <w:szCs w:val="28"/>
        </w:rPr>
      </w:pPr>
      <w:r>
        <w:rPr>
          <w:rFonts w:hint="eastAsia" w:ascii="宋体" w:hAnsi="宋体" w:cs="宋体"/>
          <w:sz w:val="28"/>
          <w:szCs w:val="28"/>
        </w:rPr>
        <w:t>5、估价机构及估价人员掌握的其他相关信息资料。</w:t>
      </w:r>
    </w:p>
    <w:p>
      <w:pPr>
        <w:pStyle w:val="8"/>
        <w:widowControl w:val="0"/>
        <w:adjustRightInd w:val="0"/>
        <w:snapToGrid w:val="0"/>
        <w:spacing w:beforeLines="50" w:line="324" w:lineRule="auto"/>
        <w:ind w:left="0" w:firstLine="551" w:firstLineChars="196"/>
        <w:jc w:val="both"/>
        <w:outlineLvl w:val="1"/>
        <w:rPr>
          <w:rFonts w:ascii="宋体" w:hAnsi="宋体" w:cs="宋体"/>
          <w:b/>
          <w:bCs/>
          <w:sz w:val="28"/>
          <w:szCs w:val="28"/>
        </w:rPr>
      </w:pPr>
      <w:bookmarkStart w:id="18" w:name="_Toc15896"/>
      <w:r>
        <w:rPr>
          <w:rFonts w:hint="eastAsia" w:ascii="宋体" w:hAnsi="宋体" w:cs="宋体"/>
          <w:b/>
          <w:bCs/>
          <w:sz w:val="28"/>
          <w:szCs w:val="28"/>
        </w:rPr>
        <w:t>九、估价方法</w:t>
      </w:r>
      <w:bookmarkEnd w:id="18"/>
    </w:p>
    <w:p>
      <w:pPr>
        <w:spacing w:line="560" w:lineRule="exact"/>
        <w:ind w:firstLine="560" w:firstLineChars="200"/>
        <w:rPr>
          <w:rFonts w:ascii="宋体" w:hAnsi="宋体" w:cs="宋体"/>
          <w:sz w:val="28"/>
          <w:szCs w:val="28"/>
        </w:rPr>
      </w:pPr>
      <w:r>
        <w:rPr>
          <w:rFonts w:hint="eastAsia" w:ascii="宋体" w:hAnsi="宋体" w:cs="宋体"/>
          <w:sz w:val="28"/>
          <w:szCs w:val="28"/>
        </w:rPr>
        <w:t>根据《房地产估价规范》（GB/T 50291-2015），通行的估价方法有比较法、收益法、成本法、假设开发法等。估价方法的选择应根据当地房地产市场发育情况并结合估价对象的具体特点及估价目的等，选择适当的估价方法。</w:t>
      </w:r>
    </w:p>
    <w:p>
      <w:pPr>
        <w:spacing w:line="560" w:lineRule="exact"/>
        <w:ind w:firstLine="560" w:firstLineChars="200"/>
        <w:rPr>
          <w:rFonts w:ascii="宋体" w:hAnsi="宋体" w:cs="宋体"/>
          <w:sz w:val="28"/>
          <w:szCs w:val="28"/>
        </w:rPr>
      </w:pPr>
      <w:r>
        <w:rPr>
          <w:rFonts w:hint="eastAsia" w:ascii="宋体" w:hAnsi="宋体" w:cs="宋体"/>
          <w:sz w:val="28"/>
          <w:szCs w:val="28"/>
        </w:rPr>
        <w:t>（一）、估价对象方法定义及适用性分析</w:t>
      </w:r>
    </w:p>
    <w:p>
      <w:pPr>
        <w:spacing w:line="560" w:lineRule="exact"/>
        <w:ind w:firstLine="560" w:firstLineChars="200"/>
        <w:rPr>
          <w:rFonts w:ascii="宋体" w:hAnsi="宋体" w:cs="宋体"/>
          <w:sz w:val="28"/>
          <w:szCs w:val="28"/>
        </w:rPr>
      </w:pPr>
      <w:r>
        <w:rPr>
          <w:rFonts w:hint="eastAsia" w:ascii="宋体" w:hAnsi="宋体" w:cs="宋体"/>
          <w:sz w:val="28"/>
          <w:szCs w:val="28"/>
        </w:rPr>
        <w:t>根据估价对象具体情况，按照技术规范，选取比较法作为本次估价的基本方法来求取估价对象的价值或价格。选用的理由及估价方法定义如下：</w:t>
      </w:r>
    </w:p>
    <w:tbl>
      <w:tblPr>
        <w:tblStyle w:val="21"/>
        <w:tblW w:w="9368" w:type="dxa"/>
        <w:tblInd w:w="0" w:type="dxa"/>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Layout w:type="autofit"/>
        <w:tblCellMar>
          <w:top w:w="0" w:type="dxa"/>
          <w:left w:w="108" w:type="dxa"/>
          <w:bottom w:w="0" w:type="dxa"/>
          <w:right w:w="108" w:type="dxa"/>
        </w:tblCellMar>
      </w:tblPr>
      <w:tblGrid>
        <w:gridCol w:w="959"/>
        <w:gridCol w:w="3118"/>
        <w:gridCol w:w="4395"/>
        <w:gridCol w:w="896"/>
      </w:tblGrid>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rPr>
          <w:trHeight w:val="320" w:hRule="atLeast"/>
        </w:trPr>
        <w:tc>
          <w:tcPr>
            <w:tcW w:w="959" w:type="dxa"/>
            <w:vAlign w:val="center"/>
          </w:tcPr>
          <w:p>
            <w:pPr>
              <w:spacing w:line="320" w:lineRule="exact"/>
              <w:jc w:val="center"/>
              <w:rPr>
                <w:rFonts w:ascii="宋体" w:hAnsi="宋体" w:cs="宋体"/>
                <w:sz w:val="18"/>
                <w:szCs w:val="18"/>
              </w:rPr>
            </w:pPr>
            <w:r>
              <w:rPr>
                <w:rFonts w:hint="eastAsia" w:ascii="宋体" w:hAnsi="宋体" w:cs="宋体"/>
                <w:sz w:val="18"/>
                <w:szCs w:val="18"/>
              </w:rPr>
              <w:t>可选估价方法</w:t>
            </w:r>
          </w:p>
        </w:tc>
        <w:tc>
          <w:tcPr>
            <w:tcW w:w="3118" w:type="dxa"/>
            <w:vAlign w:val="center"/>
          </w:tcPr>
          <w:p>
            <w:pPr>
              <w:spacing w:line="320" w:lineRule="exact"/>
              <w:jc w:val="center"/>
              <w:rPr>
                <w:rFonts w:ascii="宋体" w:hAnsi="宋体" w:cs="宋体"/>
                <w:sz w:val="18"/>
                <w:szCs w:val="18"/>
              </w:rPr>
            </w:pPr>
            <w:r>
              <w:rPr>
                <w:rFonts w:hint="eastAsia" w:ascii="宋体" w:hAnsi="宋体" w:cs="宋体"/>
                <w:sz w:val="18"/>
                <w:szCs w:val="18"/>
              </w:rPr>
              <w:t>估价方法定义</w:t>
            </w:r>
          </w:p>
        </w:tc>
        <w:tc>
          <w:tcPr>
            <w:tcW w:w="4395" w:type="dxa"/>
            <w:vAlign w:val="center"/>
          </w:tcPr>
          <w:p>
            <w:pPr>
              <w:spacing w:line="320" w:lineRule="exact"/>
              <w:jc w:val="center"/>
              <w:rPr>
                <w:rFonts w:ascii="宋体" w:hAnsi="宋体" w:cs="宋体"/>
                <w:sz w:val="18"/>
                <w:szCs w:val="18"/>
              </w:rPr>
            </w:pPr>
            <w:r>
              <w:rPr>
                <w:rFonts w:hint="eastAsia" w:ascii="宋体" w:hAnsi="宋体" w:cs="宋体"/>
                <w:sz w:val="18"/>
                <w:szCs w:val="18"/>
              </w:rPr>
              <w:t>估价方法是否选取理由</w:t>
            </w:r>
          </w:p>
        </w:tc>
        <w:tc>
          <w:tcPr>
            <w:tcW w:w="896" w:type="dxa"/>
            <w:vAlign w:val="center"/>
          </w:tcPr>
          <w:p>
            <w:pPr>
              <w:spacing w:line="320" w:lineRule="exact"/>
              <w:jc w:val="center"/>
              <w:rPr>
                <w:rFonts w:ascii="宋体" w:hAnsi="宋体" w:cs="宋体"/>
                <w:sz w:val="18"/>
                <w:szCs w:val="18"/>
              </w:rPr>
            </w:pPr>
            <w:r>
              <w:rPr>
                <w:rFonts w:hint="eastAsia" w:ascii="宋体" w:hAnsi="宋体" w:cs="宋体"/>
                <w:sz w:val="18"/>
                <w:szCs w:val="18"/>
              </w:rPr>
              <w:t>是否选取</w:t>
            </w:r>
          </w:p>
        </w:tc>
      </w:tr>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rPr>
          <w:trHeight w:val="411" w:hRule="atLeast"/>
        </w:trPr>
        <w:tc>
          <w:tcPr>
            <w:tcW w:w="959" w:type="dxa"/>
            <w:vAlign w:val="center"/>
          </w:tcPr>
          <w:p>
            <w:pPr>
              <w:spacing w:line="320" w:lineRule="exact"/>
              <w:jc w:val="center"/>
              <w:rPr>
                <w:rFonts w:ascii="宋体" w:hAnsi="宋体" w:cs="宋体"/>
                <w:sz w:val="18"/>
                <w:szCs w:val="18"/>
              </w:rPr>
            </w:pPr>
            <w:r>
              <w:rPr>
                <w:rFonts w:hint="eastAsia" w:ascii="宋体" w:hAnsi="宋体" w:cs="宋体"/>
                <w:sz w:val="18"/>
                <w:szCs w:val="18"/>
              </w:rPr>
              <w:t>比较法</w:t>
            </w:r>
          </w:p>
        </w:tc>
        <w:tc>
          <w:tcPr>
            <w:tcW w:w="3118" w:type="dxa"/>
            <w:vAlign w:val="center"/>
          </w:tcPr>
          <w:p>
            <w:pPr>
              <w:spacing w:line="320" w:lineRule="exact"/>
              <w:jc w:val="center"/>
              <w:rPr>
                <w:rFonts w:ascii="宋体" w:hAnsi="宋体" w:cs="宋体"/>
                <w:sz w:val="18"/>
                <w:szCs w:val="18"/>
              </w:rPr>
            </w:pPr>
            <w:r>
              <w:rPr>
                <w:rFonts w:hint="eastAsia" w:ascii="宋体" w:hAnsi="宋体" w:cs="宋体"/>
                <w:sz w:val="18"/>
                <w:szCs w:val="18"/>
              </w:rPr>
              <w:t>比较法是选取一定数量的可比实例，将它们与估价对象进行比较，根据其间的差异对可比实例成交价格进行处理后得到估价对象价值或价格的方法。</w:t>
            </w:r>
          </w:p>
        </w:tc>
        <w:tc>
          <w:tcPr>
            <w:tcW w:w="4395" w:type="dxa"/>
            <w:vAlign w:val="center"/>
          </w:tcPr>
          <w:p>
            <w:pPr>
              <w:spacing w:line="320" w:lineRule="exact"/>
              <w:jc w:val="center"/>
              <w:rPr>
                <w:rFonts w:ascii="宋体" w:hAnsi="宋体" w:cs="宋体"/>
                <w:sz w:val="18"/>
                <w:szCs w:val="18"/>
              </w:rPr>
            </w:pPr>
            <w:r>
              <w:rPr>
                <w:rFonts w:hint="eastAsia" w:ascii="宋体" w:hAnsi="宋体" w:cs="宋体"/>
                <w:sz w:val="18"/>
                <w:szCs w:val="18"/>
              </w:rPr>
              <w:t>比较法适用的同类型房地产数量较多、经常发生交易且具有一定可比性的房地产。对于数量很少的房地产，很少发生交易的房地产、可比性差的房地产，则难以采用比较法进行估价。估价对象为宅基地建房的住房，类似房地产缺乏交易实例，本次评估不选取比较法对估价对象市场价值进行估价。</w:t>
            </w:r>
          </w:p>
        </w:tc>
        <w:tc>
          <w:tcPr>
            <w:tcW w:w="896" w:type="dxa"/>
            <w:vAlign w:val="center"/>
          </w:tcPr>
          <w:p>
            <w:pPr>
              <w:spacing w:line="320" w:lineRule="exact"/>
              <w:jc w:val="center"/>
              <w:rPr>
                <w:rFonts w:ascii="宋体" w:hAnsi="宋体" w:cs="宋体"/>
                <w:sz w:val="18"/>
                <w:szCs w:val="18"/>
              </w:rPr>
            </w:pPr>
            <w:r>
              <w:rPr>
                <w:rFonts w:hint="eastAsia" w:ascii="宋体" w:hAnsi="宋体" w:cs="宋体"/>
                <w:sz w:val="18"/>
                <w:szCs w:val="18"/>
              </w:rPr>
              <w:t>不选取</w:t>
            </w:r>
          </w:p>
        </w:tc>
      </w:tr>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rPr>
          <w:trHeight w:val="411" w:hRule="atLeast"/>
        </w:trPr>
        <w:tc>
          <w:tcPr>
            <w:tcW w:w="959" w:type="dxa"/>
            <w:vAlign w:val="center"/>
          </w:tcPr>
          <w:p>
            <w:pPr>
              <w:spacing w:line="320" w:lineRule="exact"/>
              <w:jc w:val="center"/>
              <w:rPr>
                <w:rFonts w:ascii="宋体" w:hAnsi="宋体" w:cs="宋体"/>
                <w:sz w:val="18"/>
                <w:szCs w:val="18"/>
              </w:rPr>
            </w:pPr>
            <w:r>
              <w:rPr>
                <w:rFonts w:hint="eastAsia" w:ascii="宋体" w:hAnsi="宋体" w:cs="宋体"/>
                <w:sz w:val="18"/>
                <w:szCs w:val="18"/>
              </w:rPr>
              <w:t>收益法</w:t>
            </w:r>
          </w:p>
        </w:tc>
        <w:tc>
          <w:tcPr>
            <w:tcW w:w="3118" w:type="dxa"/>
            <w:vAlign w:val="center"/>
          </w:tcPr>
          <w:p>
            <w:pPr>
              <w:spacing w:line="320" w:lineRule="exact"/>
              <w:jc w:val="center"/>
              <w:rPr>
                <w:rFonts w:ascii="宋体" w:hAnsi="宋体" w:cs="宋体"/>
                <w:sz w:val="18"/>
                <w:szCs w:val="18"/>
              </w:rPr>
            </w:pPr>
            <w:r>
              <w:rPr>
                <w:rFonts w:hint="eastAsia" w:ascii="宋体" w:hAnsi="宋体" w:cs="宋体"/>
                <w:sz w:val="18"/>
                <w:szCs w:val="18"/>
              </w:rPr>
              <w:t>预测估价对象的未来收益，利用报酬率或资本化率、收益成熟将未来收益转换为价值得到估价对象价值或价格的方法。</w:t>
            </w:r>
          </w:p>
        </w:tc>
        <w:tc>
          <w:tcPr>
            <w:tcW w:w="4395" w:type="dxa"/>
            <w:vAlign w:val="center"/>
          </w:tcPr>
          <w:p>
            <w:pPr>
              <w:spacing w:line="320" w:lineRule="exact"/>
              <w:jc w:val="center"/>
              <w:rPr>
                <w:rFonts w:ascii="宋体" w:hAnsi="宋体" w:cs="宋体"/>
                <w:sz w:val="18"/>
                <w:szCs w:val="18"/>
              </w:rPr>
            </w:pPr>
            <w:r>
              <w:rPr>
                <w:rFonts w:hint="eastAsia" w:ascii="宋体" w:hAnsi="宋体" w:cs="宋体"/>
                <w:sz w:val="18"/>
                <w:szCs w:val="18"/>
              </w:rPr>
              <w:t>收益法适宜用于有经济收益或有潜在经济收益的房地产，对于行政办公楼、学校、公园等公共、公益性房地产的估价，收益法一般不适用。估价对象证载为住宅，实际为商铺及住宅，周边同类物业有出租，市场租赁活跃，故本次评估宜选用收益法进行估价。</w:t>
            </w:r>
          </w:p>
        </w:tc>
        <w:tc>
          <w:tcPr>
            <w:tcW w:w="896" w:type="dxa"/>
            <w:vAlign w:val="center"/>
          </w:tcPr>
          <w:p>
            <w:pPr>
              <w:spacing w:line="320" w:lineRule="exact"/>
              <w:jc w:val="center"/>
              <w:rPr>
                <w:rFonts w:ascii="宋体" w:hAnsi="宋体" w:cs="宋体"/>
                <w:sz w:val="18"/>
                <w:szCs w:val="18"/>
              </w:rPr>
            </w:pPr>
            <w:r>
              <w:rPr>
                <w:rFonts w:hint="eastAsia" w:ascii="宋体" w:hAnsi="宋体" w:cs="宋体"/>
                <w:sz w:val="18"/>
                <w:szCs w:val="18"/>
              </w:rPr>
              <w:t>选取</w:t>
            </w:r>
          </w:p>
          <w:p>
            <w:pPr>
              <w:spacing w:line="320" w:lineRule="exact"/>
              <w:jc w:val="center"/>
              <w:rPr>
                <w:rFonts w:ascii="宋体" w:hAnsi="宋体" w:cs="宋体"/>
                <w:sz w:val="18"/>
                <w:szCs w:val="18"/>
              </w:rPr>
            </w:pPr>
          </w:p>
        </w:tc>
      </w:tr>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rPr>
          <w:trHeight w:val="127" w:hRule="atLeast"/>
        </w:trPr>
        <w:tc>
          <w:tcPr>
            <w:tcW w:w="959" w:type="dxa"/>
            <w:vAlign w:val="center"/>
          </w:tcPr>
          <w:p>
            <w:pPr>
              <w:spacing w:line="320" w:lineRule="exact"/>
              <w:jc w:val="center"/>
              <w:rPr>
                <w:rFonts w:ascii="宋体" w:hAnsi="宋体" w:cs="宋体"/>
                <w:sz w:val="18"/>
                <w:szCs w:val="18"/>
              </w:rPr>
            </w:pPr>
            <w:r>
              <w:rPr>
                <w:rFonts w:hint="eastAsia" w:ascii="宋体" w:hAnsi="宋体" w:cs="宋体"/>
                <w:sz w:val="18"/>
                <w:szCs w:val="18"/>
              </w:rPr>
              <w:t>成本法</w:t>
            </w:r>
          </w:p>
        </w:tc>
        <w:tc>
          <w:tcPr>
            <w:tcW w:w="3118" w:type="dxa"/>
            <w:vAlign w:val="center"/>
          </w:tcPr>
          <w:p>
            <w:pPr>
              <w:spacing w:line="320" w:lineRule="exact"/>
              <w:jc w:val="center"/>
              <w:rPr>
                <w:rFonts w:ascii="宋体" w:hAnsi="宋体" w:cs="宋体"/>
                <w:sz w:val="18"/>
                <w:szCs w:val="18"/>
              </w:rPr>
            </w:pPr>
            <w:r>
              <w:rPr>
                <w:rFonts w:hint="eastAsia" w:ascii="宋体" w:hAnsi="宋体" w:cs="宋体"/>
                <w:sz w:val="18"/>
                <w:szCs w:val="18"/>
              </w:rPr>
              <w:t>求取估价对象在价值时点的重新购建价格和折旧，然后将重新购建价格减去折旧来的求取估价对象的方法。</w:t>
            </w:r>
          </w:p>
        </w:tc>
        <w:tc>
          <w:tcPr>
            <w:tcW w:w="4395" w:type="dxa"/>
            <w:vAlign w:val="center"/>
          </w:tcPr>
          <w:p>
            <w:pPr>
              <w:spacing w:line="320" w:lineRule="exact"/>
              <w:jc w:val="center"/>
              <w:rPr>
                <w:rFonts w:ascii="宋体" w:hAnsi="宋体" w:cs="宋体"/>
                <w:sz w:val="18"/>
                <w:szCs w:val="18"/>
              </w:rPr>
            </w:pPr>
            <w:r>
              <w:rPr>
                <w:rFonts w:hint="eastAsia" w:ascii="宋体" w:hAnsi="宋体" w:cs="宋体"/>
                <w:sz w:val="18"/>
                <w:szCs w:val="18"/>
              </w:rPr>
              <w:t>成本法可用于新近开发完成的房地产、可以假设重新开发的现有房地产、正在开发的房地产、计划开发的房地产，一般适用于测算可独立开发建设的整体房地产的价值或价格。也适用于很少发生交易而限制了比较法的运用，又没有经济收益或没有潜在的经济收益而限制了收益法运用的房地产。估价对象为宅基地建房，处于县城中心区域，属于高价值物业，与成本关联性弱，故本次不宜选用成本法作为估价方法。</w:t>
            </w:r>
          </w:p>
        </w:tc>
        <w:tc>
          <w:tcPr>
            <w:tcW w:w="896" w:type="dxa"/>
            <w:vAlign w:val="center"/>
          </w:tcPr>
          <w:p>
            <w:pPr>
              <w:spacing w:line="320" w:lineRule="exact"/>
              <w:jc w:val="center"/>
              <w:rPr>
                <w:rFonts w:ascii="宋体" w:hAnsi="宋体" w:cs="宋体"/>
                <w:sz w:val="18"/>
                <w:szCs w:val="18"/>
              </w:rPr>
            </w:pPr>
            <w:r>
              <w:rPr>
                <w:rFonts w:hint="eastAsia" w:ascii="宋体" w:hAnsi="宋体" w:cs="宋体"/>
                <w:sz w:val="18"/>
                <w:szCs w:val="18"/>
              </w:rPr>
              <w:t>不选取</w:t>
            </w:r>
          </w:p>
        </w:tc>
      </w:tr>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959" w:type="dxa"/>
            <w:vAlign w:val="center"/>
          </w:tcPr>
          <w:p>
            <w:pPr>
              <w:spacing w:line="320" w:lineRule="exact"/>
              <w:jc w:val="center"/>
              <w:rPr>
                <w:rFonts w:ascii="宋体" w:hAnsi="宋体" w:cs="宋体"/>
                <w:sz w:val="18"/>
                <w:szCs w:val="18"/>
              </w:rPr>
            </w:pPr>
            <w:r>
              <w:rPr>
                <w:rFonts w:hint="eastAsia" w:ascii="宋体" w:hAnsi="宋体" w:cs="宋体"/>
                <w:sz w:val="18"/>
                <w:szCs w:val="18"/>
              </w:rPr>
              <w:t>假设开发法</w:t>
            </w:r>
          </w:p>
        </w:tc>
        <w:tc>
          <w:tcPr>
            <w:tcW w:w="3118" w:type="dxa"/>
            <w:vAlign w:val="center"/>
          </w:tcPr>
          <w:p>
            <w:pPr>
              <w:spacing w:line="320" w:lineRule="exact"/>
              <w:jc w:val="center"/>
              <w:rPr>
                <w:rFonts w:ascii="宋体" w:hAnsi="宋体" w:cs="宋体"/>
                <w:sz w:val="18"/>
                <w:szCs w:val="18"/>
              </w:rPr>
            </w:pPr>
            <w:r>
              <w:rPr>
                <w:rFonts w:hint="eastAsia" w:ascii="宋体" w:hAnsi="宋体" w:cs="宋体"/>
                <w:sz w:val="18"/>
                <w:szCs w:val="18"/>
              </w:rPr>
              <w:t>假设开发法是求得估价对象后续开发的必要支出及折现率或后续开发的必要支出及应得利润和开发完成后的价值，将开发完成后的价值和必要支出折现到价值时点后相减，或将开发完成后的价值减去后续开发的必要支出及应得利润得到估价对象价值或价格的方法。</w:t>
            </w:r>
          </w:p>
        </w:tc>
        <w:tc>
          <w:tcPr>
            <w:tcW w:w="4395" w:type="dxa"/>
            <w:vAlign w:val="center"/>
          </w:tcPr>
          <w:p>
            <w:pPr>
              <w:spacing w:line="320" w:lineRule="exact"/>
              <w:jc w:val="center"/>
              <w:rPr>
                <w:rFonts w:ascii="宋体" w:hAnsi="宋体" w:cs="宋体"/>
                <w:sz w:val="18"/>
                <w:szCs w:val="18"/>
              </w:rPr>
            </w:pPr>
            <w:r>
              <w:rPr>
                <w:rFonts w:hint="eastAsia" w:ascii="宋体" w:hAnsi="宋体" w:cs="宋体"/>
                <w:sz w:val="18"/>
                <w:szCs w:val="18"/>
              </w:rPr>
              <w:t>假设开发法适用于具有开发或再开发潜力且开发完成后的价值可以采用比较法、收益法等成本法以外的方法测算的房地产，估价对象为已完成开发并投入使用中的住宅，不适宜选用假设开发法进行估价。</w:t>
            </w:r>
          </w:p>
        </w:tc>
        <w:tc>
          <w:tcPr>
            <w:tcW w:w="896" w:type="dxa"/>
            <w:vAlign w:val="center"/>
          </w:tcPr>
          <w:p>
            <w:pPr>
              <w:spacing w:line="320" w:lineRule="exact"/>
              <w:jc w:val="center"/>
              <w:rPr>
                <w:rFonts w:ascii="宋体" w:hAnsi="宋体" w:cs="宋体"/>
                <w:sz w:val="18"/>
                <w:szCs w:val="18"/>
              </w:rPr>
            </w:pPr>
            <w:r>
              <w:rPr>
                <w:rFonts w:hint="eastAsia" w:ascii="宋体" w:hAnsi="宋体" w:cs="宋体"/>
                <w:sz w:val="18"/>
                <w:szCs w:val="18"/>
              </w:rPr>
              <w:t>不选取</w:t>
            </w:r>
          </w:p>
        </w:tc>
      </w:tr>
    </w:tbl>
    <w:p>
      <w:pPr>
        <w:pStyle w:val="8"/>
        <w:widowControl w:val="0"/>
        <w:adjustRightInd w:val="0"/>
        <w:snapToGrid w:val="0"/>
        <w:spacing w:beforeLines="50" w:line="520" w:lineRule="exact"/>
        <w:ind w:firstLine="513" w:firstLineChars="196"/>
        <w:rPr>
          <w:rFonts w:ascii="宋体" w:hAnsi="宋体" w:cs="宋体"/>
          <w:spacing w:val="-9"/>
          <w:sz w:val="28"/>
          <w:szCs w:val="28"/>
        </w:rPr>
      </w:pPr>
      <w:r>
        <w:rPr>
          <w:rFonts w:hint="eastAsia" w:ascii="宋体" w:hAnsi="宋体" w:cs="宋体"/>
          <w:spacing w:val="-9"/>
          <w:sz w:val="28"/>
          <w:szCs w:val="28"/>
        </w:rPr>
        <w:t>（二）估价技术路线</w:t>
      </w:r>
    </w:p>
    <w:p>
      <w:pPr>
        <w:spacing w:line="560" w:lineRule="exact"/>
        <w:ind w:firstLine="524" w:firstLineChars="200"/>
        <w:rPr>
          <w:rFonts w:cs="宋体" w:asciiTheme="majorEastAsia" w:hAnsiTheme="majorEastAsia" w:eastAsiaTheme="majorEastAsia"/>
          <w:spacing w:val="-9"/>
          <w:sz w:val="28"/>
          <w:szCs w:val="28"/>
        </w:rPr>
      </w:pPr>
      <w:r>
        <w:rPr>
          <w:rFonts w:hint="eastAsia" w:cs="宋体" w:asciiTheme="majorEastAsia" w:hAnsiTheme="majorEastAsia" w:eastAsiaTheme="majorEastAsia"/>
          <w:spacing w:val="-9"/>
          <w:sz w:val="28"/>
          <w:szCs w:val="28"/>
        </w:rPr>
        <w:t>收益法是预测估价对象的未来收益，利用报酬率或资本化率、收益成熟将未来收益转换为价值得到估价对象价值或价格的方法。</w:t>
      </w:r>
    </w:p>
    <w:p>
      <w:pPr>
        <w:spacing w:line="560" w:lineRule="exact"/>
        <w:ind w:firstLine="524" w:firstLineChars="200"/>
        <w:rPr>
          <w:rFonts w:cs="宋体" w:asciiTheme="majorEastAsia" w:hAnsiTheme="majorEastAsia" w:eastAsiaTheme="majorEastAsia"/>
          <w:spacing w:val="-9"/>
          <w:sz w:val="28"/>
          <w:szCs w:val="28"/>
        </w:rPr>
      </w:pPr>
      <w:r>
        <w:rPr>
          <w:rFonts w:hint="eastAsia" w:cs="宋体" w:asciiTheme="majorEastAsia" w:hAnsiTheme="majorEastAsia" w:eastAsiaTheme="majorEastAsia"/>
          <w:spacing w:val="-9"/>
          <w:sz w:val="28"/>
          <w:szCs w:val="28"/>
        </w:rPr>
        <w:t>运用收益法进行估价时，应按照下列步骤进行：</w:t>
      </w:r>
    </w:p>
    <w:p>
      <w:pPr>
        <w:spacing w:line="560" w:lineRule="exact"/>
        <w:ind w:firstLine="524" w:firstLineChars="200"/>
        <w:rPr>
          <w:rFonts w:cs="宋体" w:asciiTheme="majorEastAsia" w:hAnsiTheme="majorEastAsia" w:eastAsiaTheme="majorEastAsia"/>
          <w:spacing w:val="-9"/>
          <w:sz w:val="28"/>
          <w:szCs w:val="28"/>
        </w:rPr>
      </w:pPr>
      <w:r>
        <w:rPr>
          <w:rFonts w:hint="eastAsia" w:cs="宋体" w:asciiTheme="majorEastAsia" w:hAnsiTheme="majorEastAsia" w:eastAsiaTheme="majorEastAsia"/>
          <w:spacing w:val="-9"/>
          <w:sz w:val="28"/>
          <w:szCs w:val="28"/>
        </w:rPr>
        <w:t>①选择具体估价方法；②测算收益期或持有期；③测算未来收益；④确定报酬率或资本化率、收益乘数；⑤计算收益价值。</w:t>
      </w:r>
    </w:p>
    <w:p>
      <w:pPr>
        <w:pStyle w:val="8"/>
        <w:widowControl w:val="0"/>
        <w:adjustRightInd w:val="0"/>
        <w:snapToGrid w:val="0"/>
        <w:spacing w:beforeLines="50" w:line="520" w:lineRule="exact"/>
        <w:ind w:left="0" w:firstLine="516" w:firstLineChars="196"/>
        <w:jc w:val="both"/>
        <w:outlineLvl w:val="1"/>
        <w:rPr>
          <w:rFonts w:ascii="宋体" w:hAnsi="宋体" w:cs="宋体"/>
          <w:b/>
          <w:bCs/>
          <w:spacing w:val="-9"/>
          <w:sz w:val="28"/>
          <w:szCs w:val="28"/>
        </w:rPr>
      </w:pPr>
      <w:bookmarkStart w:id="19" w:name="_Toc32023"/>
      <w:r>
        <w:rPr>
          <w:rFonts w:hint="eastAsia" w:ascii="宋体" w:hAnsi="宋体" w:cs="宋体"/>
          <w:b/>
          <w:bCs/>
          <w:spacing w:val="-9"/>
          <w:sz w:val="28"/>
          <w:szCs w:val="28"/>
        </w:rPr>
        <w:t>十、估价结果</w:t>
      </w:r>
      <w:bookmarkEnd w:id="19"/>
    </w:p>
    <w:p>
      <w:pPr>
        <w:spacing w:line="520" w:lineRule="exact"/>
        <w:ind w:firstLine="524" w:firstLineChars="200"/>
        <w:rPr>
          <w:rFonts w:ascii="宋体" w:hAnsi="宋体" w:cs="宋体"/>
          <w:spacing w:val="-9"/>
          <w:sz w:val="28"/>
          <w:szCs w:val="28"/>
        </w:rPr>
      </w:pPr>
      <w:r>
        <w:rPr>
          <w:rFonts w:hint="eastAsia" w:ascii="宋体" w:hAnsi="宋体" w:cs="宋体"/>
          <w:spacing w:val="-9"/>
          <w:sz w:val="28"/>
          <w:szCs w:val="28"/>
        </w:rPr>
        <w:t>注册房地产估价师根据估价目的，遵循估价原则，在认真分析所掌握资料与影响估价对象价值诸多因素的基础上，运用科学的估价方法进行评估，最终确定估价对象在价值时点的房地产市场价值为（币种：人民币）：</w:t>
      </w:r>
    </w:p>
    <w:p>
      <w:pPr>
        <w:spacing w:line="520" w:lineRule="exact"/>
        <w:ind w:left="420" w:leftChars="200" w:firstLine="526" w:firstLineChars="200"/>
        <w:jc w:val="left"/>
        <w:rPr>
          <w:rFonts w:ascii="宋体" w:hAnsi="宋体" w:cs="宋体"/>
          <w:b/>
          <w:spacing w:val="-9"/>
          <w:sz w:val="28"/>
          <w:szCs w:val="28"/>
        </w:rPr>
      </w:pPr>
      <w:r>
        <w:rPr>
          <w:rFonts w:hint="eastAsia" w:ascii="宋体" w:hAnsi="宋体" w:cs="宋体"/>
          <w:b/>
          <w:spacing w:val="-9"/>
          <w:sz w:val="28"/>
          <w:szCs w:val="28"/>
        </w:rPr>
        <w:t>总价：¥191.07万元（取整至佰位）；大写金额：壹佰玖拾壹万零柒佰元整。单价3071元/平方米。</w:t>
      </w:r>
    </w:p>
    <w:tbl>
      <w:tblPr>
        <w:tblStyle w:val="20"/>
        <w:tblW w:w="9957" w:type="dxa"/>
        <w:jc w:val="center"/>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Layout w:type="fixed"/>
        <w:tblCellMar>
          <w:top w:w="0" w:type="dxa"/>
          <w:left w:w="108" w:type="dxa"/>
          <w:bottom w:w="0" w:type="dxa"/>
          <w:right w:w="108" w:type="dxa"/>
        </w:tblCellMar>
      </w:tblPr>
      <w:tblGrid>
        <w:gridCol w:w="2073"/>
        <w:gridCol w:w="1272"/>
        <w:gridCol w:w="2414"/>
        <w:gridCol w:w="1417"/>
        <w:gridCol w:w="1418"/>
        <w:gridCol w:w="1363"/>
      </w:tblGrid>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9957" w:type="dxa"/>
            <w:gridSpan w:val="6"/>
            <w:shd w:val="clear" w:color="auto" w:fill="auto"/>
            <w:vAlign w:val="center"/>
          </w:tcPr>
          <w:p>
            <w:pPr>
              <w:jc w:val="center"/>
              <w:rPr>
                <w:rFonts w:cs="宋体" w:asciiTheme="majorEastAsia" w:hAnsiTheme="majorEastAsia" w:eastAsiaTheme="majorEastAsia"/>
                <w:b/>
                <w:color w:val="000000"/>
                <w:kern w:val="0"/>
                <w:sz w:val="24"/>
                <w:szCs w:val="24"/>
              </w:rPr>
            </w:pPr>
            <w:r>
              <w:rPr>
                <w:rFonts w:hint="eastAsia" w:cs="宋体" w:asciiTheme="majorEastAsia" w:hAnsiTheme="majorEastAsia" w:eastAsiaTheme="majorEastAsia"/>
                <w:b/>
                <w:color w:val="000000"/>
                <w:kern w:val="0"/>
                <w:sz w:val="24"/>
                <w:szCs w:val="24"/>
              </w:rPr>
              <w:t>估价对象评估结果明细表</w:t>
            </w:r>
          </w:p>
        </w:tc>
      </w:tr>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073" w:type="dxa"/>
            <w:shd w:val="clear" w:color="auto" w:fill="auto"/>
            <w:vAlign w:val="center"/>
          </w:tcPr>
          <w:p>
            <w:pPr>
              <w:jc w:val="center"/>
              <w:rPr>
                <w:rFonts w:cs="宋体" w:asciiTheme="majorEastAsia" w:hAnsiTheme="majorEastAsia" w:eastAsiaTheme="majorEastAsia"/>
                <w:b/>
                <w:color w:val="000000"/>
                <w:kern w:val="0"/>
                <w:sz w:val="22"/>
                <w:szCs w:val="22"/>
              </w:rPr>
            </w:pPr>
            <w:r>
              <w:rPr>
                <w:rFonts w:hint="eastAsia" w:cs="宋体" w:asciiTheme="majorEastAsia" w:hAnsiTheme="majorEastAsia" w:eastAsiaTheme="majorEastAsia"/>
                <w:b/>
                <w:color w:val="000000"/>
                <w:kern w:val="0"/>
                <w:sz w:val="22"/>
                <w:szCs w:val="22"/>
              </w:rPr>
              <w:t>房产证号</w:t>
            </w:r>
          </w:p>
        </w:tc>
        <w:tc>
          <w:tcPr>
            <w:tcW w:w="1272" w:type="dxa"/>
            <w:tcBorders>
              <w:right w:val="single" w:color="auto" w:sz="4" w:space="0"/>
            </w:tcBorders>
            <w:shd w:val="clear" w:color="auto" w:fill="auto"/>
            <w:vAlign w:val="center"/>
          </w:tcPr>
          <w:p>
            <w:pPr>
              <w:jc w:val="center"/>
              <w:rPr>
                <w:rFonts w:cs="宋体" w:asciiTheme="majorEastAsia" w:hAnsiTheme="majorEastAsia" w:eastAsiaTheme="majorEastAsia"/>
                <w:b/>
                <w:color w:val="000000"/>
                <w:kern w:val="0"/>
                <w:sz w:val="22"/>
                <w:szCs w:val="22"/>
              </w:rPr>
            </w:pPr>
            <w:r>
              <w:rPr>
                <w:rFonts w:hint="eastAsia" w:cs="宋体" w:asciiTheme="majorEastAsia" w:hAnsiTheme="majorEastAsia" w:eastAsiaTheme="majorEastAsia"/>
                <w:b/>
                <w:color w:val="000000"/>
                <w:kern w:val="0"/>
                <w:sz w:val="22"/>
                <w:szCs w:val="22"/>
              </w:rPr>
              <w:t>产权人</w:t>
            </w:r>
          </w:p>
        </w:tc>
        <w:tc>
          <w:tcPr>
            <w:tcW w:w="2414" w:type="dxa"/>
            <w:tcBorders>
              <w:left w:val="single" w:color="auto" w:sz="4" w:space="0"/>
            </w:tcBorders>
            <w:shd w:val="clear" w:color="auto" w:fill="auto"/>
            <w:vAlign w:val="center"/>
          </w:tcPr>
          <w:p>
            <w:pPr>
              <w:jc w:val="center"/>
              <w:rPr>
                <w:rFonts w:cs="宋体" w:asciiTheme="majorEastAsia" w:hAnsiTheme="majorEastAsia" w:eastAsiaTheme="majorEastAsia"/>
                <w:b/>
                <w:color w:val="000000"/>
                <w:kern w:val="0"/>
                <w:sz w:val="22"/>
                <w:szCs w:val="22"/>
              </w:rPr>
            </w:pPr>
            <w:r>
              <w:rPr>
                <w:rFonts w:hint="eastAsia" w:cs="宋体" w:asciiTheme="majorEastAsia" w:hAnsiTheme="majorEastAsia" w:eastAsiaTheme="majorEastAsia"/>
                <w:b/>
                <w:color w:val="000000"/>
                <w:kern w:val="0"/>
                <w:sz w:val="22"/>
                <w:szCs w:val="22"/>
              </w:rPr>
              <w:t>坐落</w:t>
            </w:r>
          </w:p>
        </w:tc>
        <w:tc>
          <w:tcPr>
            <w:tcW w:w="1417" w:type="dxa"/>
            <w:tcBorders>
              <w:right w:val="single" w:color="auto" w:sz="4" w:space="0"/>
            </w:tcBorders>
            <w:shd w:val="clear" w:color="auto" w:fill="auto"/>
            <w:vAlign w:val="center"/>
          </w:tcPr>
          <w:p>
            <w:pPr>
              <w:jc w:val="center"/>
              <w:rPr>
                <w:rFonts w:cs="宋体" w:asciiTheme="majorEastAsia" w:hAnsiTheme="majorEastAsia" w:eastAsiaTheme="majorEastAsia"/>
                <w:b/>
                <w:color w:val="000000"/>
                <w:kern w:val="0"/>
                <w:sz w:val="22"/>
                <w:szCs w:val="22"/>
              </w:rPr>
            </w:pPr>
            <w:r>
              <w:rPr>
                <w:rFonts w:hint="eastAsia" w:cs="宋体" w:asciiTheme="majorEastAsia" w:hAnsiTheme="majorEastAsia" w:eastAsiaTheme="majorEastAsia"/>
                <w:b/>
                <w:color w:val="000000"/>
                <w:kern w:val="0"/>
                <w:sz w:val="22"/>
                <w:szCs w:val="22"/>
              </w:rPr>
              <w:t>建筑面积 （㎡）</w:t>
            </w:r>
          </w:p>
        </w:tc>
        <w:tc>
          <w:tcPr>
            <w:tcW w:w="1418" w:type="dxa"/>
            <w:tcBorders>
              <w:left w:val="single" w:color="auto" w:sz="4" w:space="0"/>
            </w:tcBorders>
            <w:shd w:val="clear" w:color="auto" w:fill="auto"/>
            <w:vAlign w:val="center"/>
          </w:tcPr>
          <w:p>
            <w:pPr>
              <w:jc w:val="center"/>
              <w:rPr>
                <w:rFonts w:cs="宋体" w:asciiTheme="majorEastAsia" w:hAnsiTheme="majorEastAsia" w:eastAsiaTheme="majorEastAsia"/>
                <w:b/>
                <w:color w:val="000000"/>
                <w:kern w:val="0"/>
                <w:sz w:val="22"/>
                <w:szCs w:val="22"/>
              </w:rPr>
            </w:pPr>
            <w:r>
              <w:rPr>
                <w:rFonts w:hint="eastAsia" w:cs="宋体" w:asciiTheme="majorEastAsia" w:hAnsiTheme="majorEastAsia" w:eastAsiaTheme="majorEastAsia"/>
                <w:b/>
                <w:color w:val="000000"/>
                <w:kern w:val="0"/>
                <w:sz w:val="22"/>
                <w:szCs w:val="22"/>
              </w:rPr>
              <w:t>评估单价（元/㎡）</w:t>
            </w:r>
          </w:p>
        </w:tc>
        <w:tc>
          <w:tcPr>
            <w:tcW w:w="1363" w:type="dxa"/>
            <w:shd w:val="clear" w:color="auto" w:fill="auto"/>
            <w:vAlign w:val="center"/>
          </w:tcPr>
          <w:p>
            <w:pPr>
              <w:jc w:val="center"/>
              <w:rPr>
                <w:rFonts w:cs="宋体" w:asciiTheme="majorEastAsia" w:hAnsiTheme="majorEastAsia" w:eastAsiaTheme="majorEastAsia"/>
                <w:b/>
                <w:color w:val="000000"/>
                <w:kern w:val="0"/>
                <w:sz w:val="22"/>
                <w:szCs w:val="22"/>
              </w:rPr>
            </w:pPr>
            <w:r>
              <w:rPr>
                <w:rFonts w:hint="eastAsia" w:cs="宋体" w:asciiTheme="majorEastAsia" w:hAnsiTheme="majorEastAsia" w:eastAsiaTheme="majorEastAsia"/>
                <w:b/>
                <w:color w:val="000000"/>
                <w:kern w:val="0"/>
                <w:sz w:val="22"/>
                <w:szCs w:val="22"/>
              </w:rPr>
              <w:t>评估总价（万元）</w:t>
            </w:r>
          </w:p>
        </w:tc>
      </w:tr>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rPr>
          <w:trHeight w:val="734" w:hRule="atLeast"/>
          <w:jc w:val="center"/>
        </w:trPr>
        <w:tc>
          <w:tcPr>
            <w:tcW w:w="2073" w:type="dxa"/>
            <w:shd w:val="clear" w:color="auto" w:fill="auto"/>
            <w:vAlign w:val="center"/>
          </w:tcPr>
          <w:p>
            <w:pPr>
              <w:jc w:val="center"/>
              <w:rPr>
                <w:rFonts w:cs="宋体" w:asciiTheme="majorEastAsia" w:hAnsiTheme="majorEastAsia" w:eastAsiaTheme="majorEastAsia"/>
                <w:sz w:val="24"/>
                <w:szCs w:val="24"/>
              </w:rPr>
            </w:pPr>
            <w:r>
              <w:rPr>
                <w:rFonts w:hint="eastAsia" w:asciiTheme="majorEastAsia" w:hAnsiTheme="majorEastAsia" w:eastAsiaTheme="majorEastAsia"/>
              </w:rPr>
              <w:t>006308</w:t>
            </w:r>
          </w:p>
        </w:tc>
        <w:tc>
          <w:tcPr>
            <w:tcW w:w="1272" w:type="dxa"/>
            <w:tcBorders>
              <w:right w:val="single" w:color="auto" w:sz="4" w:space="0"/>
            </w:tcBorders>
            <w:shd w:val="clear" w:color="auto" w:fill="auto"/>
            <w:vAlign w:val="center"/>
          </w:tcPr>
          <w:p>
            <w:pPr>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李洪才</w:t>
            </w:r>
          </w:p>
        </w:tc>
        <w:tc>
          <w:tcPr>
            <w:tcW w:w="2414" w:type="dxa"/>
            <w:tcBorders>
              <w:left w:val="single" w:color="auto" w:sz="4" w:space="0"/>
            </w:tcBorders>
            <w:shd w:val="clear" w:color="auto" w:fill="auto"/>
            <w:vAlign w:val="center"/>
          </w:tcPr>
          <w:p>
            <w:pPr>
              <w:jc w:val="center"/>
              <w:rPr>
                <w:rFonts w:cs="宋体" w:asciiTheme="majorEastAsia" w:hAnsiTheme="majorEastAsia" w:eastAsiaTheme="majorEastAsia"/>
                <w:sz w:val="24"/>
                <w:szCs w:val="24"/>
              </w:rPr>
            </w:pPr>
            <w:r>
              <w:rPr>
                <w:rFonts w:hint="eastAsia" w:asciiTheme="majorEastAsia" w:hAnsiTheme="majorEastAsia" w:eastAsiaTheme="majorEastAsia"/>
              </w:rPr>
              <w:t>寻甸县仁德镇学府社区华联超市东面</w:t>
            </w:r>
          </w:p>
        </w:tc>
        <w:tc>
          <w:tcPr>
            <w:tcW w:w="1417" w:type="dxa"/>
            <w:tcBorders>
              <w:right w:val="single" w:color="auto" w:sz="4" w:space="0"/>
            </w:tcBorders>
            <w:shd w:val="clear" w:color="auto" w:fill="auto"/>
            <w:vAlign w:val="center"/>
          </w:tcPr>
          <w:p>
            <w:pPr>
              <w:jc w:val="center"/>
              <w:rPr>
                <w:rFonts w:asciiTheme="majorEastAsia" w:hAnsiTheme="majorEastAsia" w:eastAsiaTheme="majorEastAsia"/>
              </w:rPr>
            </w:pPr>
            <w:r>
              <w:rPr>
                <w:rFonts w:hint="eastAsia" w:asciiTheme="majorEastAsia" w:hAnsiTheme="majorEastAsia" w:eastAsiaTheme="majorEastAsia"/>
              </w:rPr>
              <w:t>565.41</w:t>
            </w:r>
          </w:p>
        </w:tc>
        <w:tc>
          <w:tcPr>
            <w:tcW w:w="1418" w:type="dxa"/>
            <w:tcBorders>
              <w:left w:val="single" w:color="auto" w:sz="4" w:space="0"/>
            </w:tcBorders>
            <w:shd w:val="clear" w:color="auto" w:fill="auto"/>
            <w:vAlign w:val="center"/>
          </w:tcPr>
          <w:p>
            <w:pPr>
              <w:jc w:val="center"/>
              <w:rPr>
                <w:rFonts w:asciiTheme="majorEastAsia" w:hAnsiTheme="majorEastAsia" w:eastAsiaTheme="majorEastAsia"/>
              </w:rPr>
            </w:pPr>
            <w:r>
              <w:rPr>
                <w:rFonts w:hint="eastAsia" w:asciiTheme="majorEastAsia" w:hAnsiTheme="majorEastAsia" w:eastAsiaTheme="majorEastAsia"/>
              </w:rPr>
              <w:t>3071</w:t>
            </w:r>
          </w:p>
        </w:tc>
        <w:tc>
          <w:tcPr>
            <w:tcW w:w="1363" w:type="dxa"/>
            <w:shd w:val="clear" w:color="auto" w:fill="auto"/>
            <w:vAlign w:val="center"/>
          </w:tcPr>
          <w:p>
            <w:pPr>
              <w:jc w:val="center"/>
              <w:rPr>
                <w:rFonts w:asciiTheme="majorEastAsia" w:hAnsiTheme="majorEastAsia" w:eastAsiaTheme="majorEastAsia"/>
              </w:rPr>
            </w:pPr>
            <w:r>
              <w:rPr>
                <w:rFonts w:hint="eastAsia" w:asciiTheme="majorEastAsia" w:hAnsiTheme="majorEastAsia" w:eastAsiaTheme="majorEastAsia"/>
              </w:rPr>
              <w:t>173.64</w:t>
            </w:r>
          </w:p>
        </w:tc>
      </w:tr>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rPr>
          <w:trHeight w:val="734" w:hRule="atLeast"/>
          <w:jc w:val="center"/>
        </w:trPr>
        <w:tc>
          <w:tcPr>
            <w:tcW w:w="2073" w:type="dxa"/>
            <w:shd w:val="clear" w:color="auto" w:fill="auto"/>
            <w:vAlign w:val="center"/>
          </w:tcPr>
          <w:p>
            <w:pPr>
              <w:jc w:val="center"/>
              <w:rPr>
                <w:rFonts w:asciiTheme="majorEastAsia" w:hAnsiTheme="majorEastAsia" w:eastAsiaTheme="majorEastAsia"/>
              </w:rPr>
            </w:pPr>
            <w:r>
              <w:rPr>
                <w:rFonts w:hint="eastAsia" w:asciiTheme="majorEastAsia" w:hAnsiTheme="majorEastAsia" w:eastAsiaTheme="majorEastAsia"/>
              </w:rPr>
              <w:t>--</w:t>
            </w:r>
          </w:p>
        </w:tc>
        <w:tc>
          <w:tcPr>
            <w:tcW w:w="1272" w:type="dxa"/>
            <w:tcBorders>
              <w:right w:val="single" w:color="auto" w:sz="4" w:space="0"/>
            </w:tcBorders>
            <w:shd w:val="clear" w:color="auto" w:fill="auto"/>
            <w:vAlign w:val="center"/>
          </w:tcPr>
          <w:p>
            <w:pPr>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李贤</w:t>
            </w:r>
          </w:p>
        </w:tc>
        <w:tc>
          <w:tcPr>
            <w:tcW w:w="2414" w:type="dxa"/>
            <w:tcBorders>
              <w:left w:val="single" w:color="auto" w:sz="4" w:space="0"/>
            </w:tcBorders>
            <w:shd w:val="clear" w:color="auto" w:fill="auto"/>
            <w:vAlign w:val="center"/>
          </w:tcPr>
          <w:p>
            <w:pPr>
              <w:jc w:val="center"/>
              <w:rPr>
                <w:rFonts w:asciiTheme="majorEastAsia" w:hAnsiTheme="majorEastAsia" w:eastAsiaTheme="majorEastAsia"/>
              </w:rPr>
            </w:pPr>
            <w:r>
              <w:rPr>
                <w:rFonts w:hint="eastAsia" w:asciiTheme="majorEastAsia" w:hAnsiTheme="majorEastAsia" w:eastAsiaTheme="majorEastAsia"/>
              </w:rPr>
              <w:t>寻甸县仁德镇学府社区华联超市东面</w:t>
            </w:r>
          </w:p>
        </w:tc>
        <w:tc>
          <w:tcPr>
            <w:tcW w:w="1417" w:type="dxa"/>
            <w:tcBorders>
              <w:right w:val="single" w:color="auto" w:sz="4" w:space="0"/>
            </w:tcBorders>
            <w:shd w:val="clear" w:color="auto" w:fill="auto"/>
            <w:vAlign w:val="center"/>
          </w:tcPr>
          <w:p>
            <w:pPr>
              <w:jc w:val="center"/>
              <w:rPr>
                <w:rFonts w:asciiTheme="majorEastAsia" w:hAnsiTheme="majorEastAsia" w:eastAsiaTheme="majorEastAsia"/>
              </w:rPr>
            </w:pPr>
            <w:r>
              <w:rPr>
                <w:rFonts w:hint="eastAsia" w:asciiTheme="majorEastAsia" w:hAnsiTheme="majorEastAsia" w:eastAsiaTheme="majorEastAsia"/>
              </w:rPr>
              <w:t>56.75</w:t>
            </w:r>
          </w:p>
        </w:tc>
        <w:tc>
          <w:tcPr>
            <w:tcW w:w="1418" w:type="dxa"/>
            <w:tcBorders>
              <w:left w:val="single" w:color="auto" w:sz="4" w:space="0"/>
            </w:tcBorders>
            <w:shd w:val="clear" w:color="auto" w:fill="auto"/>
            <w:vAlign w:val="center"/>
          </w:tcPr>
          <w:p>
            <w:pPr>
              <w:jc w:val="center"/>
              <w:rPr>
                <w:rFonts w:asciiTheme="majorEastAsia" w:hAnsiTheme="majorEastAsia" w:eastAsiaTheme="majorEastAsia"/>
              </w:rPr>
            </w:pPr>
            <w:r>
              <w:rPr>
                <w:rFonts w:hint="eastAsia" w:asciiTheme="majorEastAsia" w:hAnsiTheme="majorEastAsia" w:eastAsiaTheme="majorEastAsia"/>
              </w:rPr>
              <w:t>3071</w:t>
            </w:r>
          </w:p>
        </w:tc>
        <w:tc>
          <w:tcPr>
            <w:tcW w:w="1363" w:type="dxa"/>
            <w:shd w:val="clear" w:color="auto" w:fill="auto"/>
            <w:vAlign w:val="center"/>
          </w:tcPr>
          <w:p>
            <w:pPr>
              <w:jc w:val="center"/>
              <w:rPr>
                <w:rFonts w:asciiTheme="majorEastAsia" w:hAnsiTheme="majorEastAsia" w:eastAsiaTheme="majorEastAsia"/>
              </w:rPr>
            </w:pPr>
            <w:r>
              <w:rPr>
                <w:rFonts w:hint="eastAsia" w:asciiTheme="majorEastAsia" w:hAnsiTheme="majorEastAsia" w:eastAsiaTheme="majorEastAsia"/>
              </w:rPr>
              <w:t>17.43</w:t>
            </w:r>
          </w:p>
        </w:tc>
      </w:tr>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rPr>
          <w:trHeight w:val="461" w:hRule="atLeast"/>
          <w:jc w:val="center"/>
        </w:trPr>
        <w:tc>
          <w:tcPr>
            <w:tcW w:w="5759" w:type="dxa"/>
            <w:gridSpan w:val="3"/>
            <w:shd w:val="clear" w:color="auto" w:fill="auto"/>
            <w:vAlign w:val="center"/>
          </w:tcPr>
          <w:p>
            <w:pPr>
              <w:jc w:val="center"/>
              <w:rPr>
                <w:rFonts w:asciiTheme="majorEastAsia" w:hAnsiTheme="majorEastAsia" w:eastAsiaTheme="majorEastAsia"/>
              </w:rPr>
            </w:pPr>
            <w:r>
              <w:rPr>
                <w:rFonts w:hint="eastAsia" w:asciiTheme="majorEastAsia" w:hAnsiTheme="majorEastAsia" w:eastAsiaTheme="majorEastAsia"/>
              </w:rPr>
              <w:t>合计</w:t>
            </w:r>
          </w:p>
        </w:tc>
        <w:tc>
          <w:tcPr>
            <w:tcW w:w="1417" w:type="dxa"/>
            <w:tcBorders>
              <w:right w:val="single" w:color="auto" w:sz="4" w:space="0"/>
            </w:tcBorders>
            <w:shd w:val="clear" w:color="auto" w:fill="auto"/>
            <w:vAlign w:val="center"/>
          </w:tcPr>
          <w:p>
            <w:pPr>
              <w:jc w:val="center"/>
              <w:rPr>
                <w:rFonts w:asciiTheme="majorEastAsia" w:hAnsiTheme="majorEastAsia" w:eastAsiaTheme="majorEastAsia"/>
              </w:rPr>
            </w:pPr>
            <w:r>
              <w:rPr>
                <w:rFonts w:hint="eastAsia" w:asciiTheme="majorEastAsia" w:hAnsiTheme="majorEastAsia" w:eastAsiaTheme="majorEastAsia"/>
              </w:rPr>
              <w:t>622.16</w:t>
            </w:r>
          </w:p>
        </w:tc>
        <w:tc>
          <w:tcPr>
            <w:tcW w:w="1418" w:type="dxa"/>
            <w:tcBorders>
              <w:left w:val="single" w:color="auto" w:sz="4" w:space="0"/>
            </w:tcBorders>
            <w:shd w:val="clear" w:color="auto" w:fill="auto"/>
            <w:vAlign w:val="center"/>
          </w:tcPr>
          <w:p>
            <w:pPr>
              <w:jc w:val="center"/>
              <w:rPr>
                <w:rFonts w:asciiTheme="majorEastAsia" w:hAnsiTheme="majorEastAsia" w:eastAsiaTheme="majorEastAsia"/>
              </w:rPr>
            </w:pPr>
            <w:r>
              <w:rPr>
                <w:rFonts w:hint="eastAsia" w:asciiTheme="majorEastAsia" w:hAnsiTheme="majorEastAsia" w:eastAsiaTheme="majorEastAsia"/>
              </w:rPr>
              <w:t>--</w:t>
            </w:r>
          </w:p>
        </w:tc>
        <w:tc>
          <w:tcPr>
            <w:tcW w:w="1363" w:type="dxa"/>
            <w:shd w:val="clear" w:color="auto" w:fill="auto"/>
            <w:vAlign w:val="center"/>
          </w:tcPr>
          <w:p>
            <w:pPr>
              <w:jc w:val="center"/>
              <w:rPr>
                <w:rFonts w:asciiTheme="majorEastAsia" w:hAnsiTheme="majorEastAsia" w:eastAsiaTheme="majorEastAsia"/>
              </w:rPr>
            </w:pPr>
            <w:r>
              <w:rPr>
                <w:rFonts w:hint="eastAsia" w:asciiTheme="majorEastAsia" w:hAnsiTheme="majorEastAsia" w:eastAsiaTheme="majorEastAsia"/>
              </w:rPr>
              <w:t>191.07</w:t>
            </w:r>
          </w:p>
        </w:tc>
      </w:tr>
    </w:tbl>
    <w:p>
      <w:pPr>
        <w:pStyle w:val="8"/>
        <w:widowControl w:val="0"/>
        <w:adjustRightInd w:val="0"/>
        <w:snapToGrid w:val="0"/>
        <w:spacing w:beforeLines="50" w:line="324" w:lineRule="auto"/>
        <w:ind w:left="0" w:firstLine="516" w:firstLineChars="196"/>
        <w:jc w:val="both"/>
        <w:outlineLvl w:val="1"/>
        <w:rPr>
          <w:rFonts w:ascii="宋体" w:hAnsi="宋体" w:cs="宋体"/>
          <w:b/>
          <w:bCs/>
          <w:spacing w:val="-9"/>
          <w:sz w:val="28"/>
          <w:szCs w:val="28"/>
        </w:rPr>
      </w:pPr>
    </w:p>
    <w:p>
      <w:pPr>
        <w:pStyle w:val="8"/>
        <w:widowControl w:val="0"/>
        <w:adjustRightInd w:val="0"/>
        <w:snapToGrid w:val="0"/>
        <w:spacing w:beforeLines="50" w:line="324" w:lineRule="auto"/>
        <w:ind w:left="0" w:firstLine="516" w:firstLineChars="196"/>
        <w:jc w:val="both"/>
        <w:outlineLvl w:val="1"/>
        <w:rPr>
          <w:rFonts w:ascii="宋体" w:hAnsi="宋体" w:cs="宋体"/>
          <w:b/>
          <w:bCs/>
          <w:spacing w:val="-9"/>
          <w:sz w:val="28"/>
          <w:szCs w:val="28"/>
        </w:rPr>
      </w:pPr>
      <w:bookmarkStart w:id="20" w:name="_Toc12328"/>
      <w:r>
        <w:rPr>
          <w:rFonts w:hint="eastAsia" w:ascii="宋体" w:hAnsi="宋体" w:cs="宋体"/>
          <w:b/>
          <w:bCs/>
          <w:spacing w:val="-9"/>
          <w:sz w:val="28"/>
          <w:szCs w:val="28"/>
        </w:rPr>
        <w:t>十一、注册房地产估价师</w:t>
      </w:r>
      <w:bookmarkEnd w:id="20"/>
    </w:p>
    <w:tbl>
      <w:tblPr>
        <w:tblStyle w:val="20"/>
        <w:tblW w:w="9915" w:type="dxa"/>
        <w:jc w:val="center"/>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Layout w:type="fixed"/>
        <w:tblCellMar>
          <w:top w:w="0" w:type="dxa"/>
          <w:left w:w="108" w:type="dxa"/>
          <w:bottom w:w="0" w:type="dxa"/>
          <w:right w:w="108" w:type="dxa"/>
        </w:tblCellMar>
      </w:tblPr>
      <w:tblGrid>
        <w:gridCol w:w="1445"/>
        <w:gridCol w:w="1509"/>
        <w:gridCol w:w="4924"/>
        <w:gridCol w:w="2037"/>
      </w:tblGrid>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rPr>
          <w:trHeight w:val="329" w:hRule="atLeast"/>
          <w:jc w:val="center"/>
        </w:trPr>
        <w:tc>
          <w:tcPr>
            <w:tcW w:w="1445" w:type="dxa"/>
            <w:vAlign w:val="center"/>
          </w:tcPr>
          <w:p>
            <w:pPr>
              <w:spacing w:line="560" w:lineRule="exact"/>
              <w:jc w:val="center"/>
              <w:rPr>
                <w:rFonts w:ascii="宋体" w:hAnsi="宋体" w:cs="宋体"/>
              </w:rPr>
            </w:pPr>
            <w:r>
              <w:rPr>
                <w:rFonts w:hint="eastAsia" w:ascii="宋体" w:hAnsi="宋体" w:cs="宋体"/>
              </w:rPr>
              <w:t>姓名</w:t>
            </w:r>
          </w:p>
        </w:tc>
        <w:tc>
          <w:tcPr>
            <w:tcW w:w="1509" w:type="dxa"/>
            <w:vAlign w:val="center"/>
          </w:tcPr>
          <w:p>
            <w:pPr>
              <w:spacing w:line="560" w:lineRule="exact"/>
              <w:jc w:val="center"/>
              <w:rPr>
                <w:rFonts w:ascii="宋体" w:hAnsi="宋体" w:cs="宋体"/>
              </w:rPr>
            </w:pPr>
            <w:r>
              <w:rPr>
                <w:rFonts w:hint="eastAsia" w:ascii="宋体" w:hAnsi="宋体" w:cs="宋体"/>
              </w:rPr>
              <w:t>注册号</w:t>
            </w:r>
          </w:p>
        </w:tc>
        <w:tc>
          <w:tcPr>
            <w:tcW w:w="4924" w:type="dxa"/>
            <w:vAlign w:val="center"/>
          </w:tcPr>
          <w:p>
            <w:pPr>
              <w:spacing w:line="560" w:lineRule="exact"/>
              <w:jc w:val="center"/>
              <w:rPr>
                <w:rFonts w:ascii="宋体" w:hAnsi="宋体" w:cs="宋体"/>
              </w:rPr>
            </w:pPr>
            <w:r>
              <w:rPr>
                <w:rFonts w:hint="eastAsia" w:ascii="宋体" w:hAnsi="宋体" w:cs="宋体"/>
              </w:rPr>
              <w:t>签名、盖章</w:t>
            </w:r>
          </w:p>
        </w:tc>
        <w:tc>
          <w:tcPr>
            <w:tcW w:w="2037" w:type="dxa"/>
            <w:vAlign w:val="center"/>
          </w:tcPr>
          <w:p>
            <w:pPr>
              <w:spacing w:line="560" w:lineRule="exact"/>
              <w:jc w:val="center"/>
              <w:rPr>
                <w:rFonts w:ascii="宋体" w:hAnsi="宋体" w:cs="宋体"/>
              </w:rPr>
            </w:pPr>
            <w:r>
              <w:rPr>
                <w:rFonts w:hint="eastAsia" w:ascii="宋体" w:hAnsi="宋体" w:cs="宋体"/>
              </w:rPr>
              <w:t>日期</w:t>
            </w:r>
          </w:p>
        </w:tc>
      </w:tr>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rPr>
          <w:trHeight w:val="1424" w:hRule="atLeast"/>
          <w:jc w:val="center"/>
        </w:trPr>
        <w:tc>
          <w:tcPr>
            <w:tcW w:w="1445" w:type="dxa"/>
            <w:vAlign w:val="center"/>
          </w:tcPr>
          <w:p>
            <w:pPr>
              <w:spacing w:line="560" w:lineRule="exact"/>
              <w:jc w:val="center"/>
              <w:rPr>
                <w:rFonts w:ascii="宋体" w:hAnsi="宋体" w:cs="宋体"/>
              </w:rPr>
            </w:pPr>
            <w:r>
              <w:rPr>
                <w:rFonts w:hint="eastAsia" w:ascii="宋体" w:hAnsi="宋体" w:cs="宋体"/>
              </w:rPr>
              <w:t xml:space="preserve">马海波  </w:t>
            </w:r>
          </w:p>
        </w:tc>
        <w:tc>
          <w:tcPr>
            <w:tcW w:w="1509" w:type="dxa"/>
            <w:vAlign w:val="center"/>
          </w:tcPr>
          <w:p>
            <w:pPr>
              <w:spacing w:line="560" w:lineRule="exact"/>
              <w:jc w:val="center"/>
              <w:rPr>
                <w:rFonts w:ascii="宋体" w:hAnsi="宋体" w:cs="宋体"/>
              </w:rPr>
            </w:pPr>
            <w:r>
              <w:rPr>
                <w:rFonts w:ascii="宋体" w:hAnsi="宋体" w:cs="宋体"/>
              </w:rPr>
              <w:t>5320120022</w:t>
            </w:r>
          </w:p>
        </w:tc>
        <w:tc>
          <w:tcPr>
            <w:tcW w:w="4924" w:type="dxa"/>
            <w:vAlign w:val="center"/>
          </w:tcPr>
          <w:p>
            <w:pPr>
              <w:spacing w:line="560" w:lineRule="exact"/>
              <w:jc w:val="center"/>
              <w:rPr>
                <w:rFonts w:ascii="宋体" w:hAnsi="宋体" w:cs="宋体"/>
              </w:rPr>
            </w:pPr>
          </w:p>
          <w:p>
            <w:pPr>
              <w:spacing w:line="560" w:lineRule="exact"/>
              <w:jc w:val="center"/>
              <w:rPr>
                <w:rFonts w:ascii="宋体" w:hAnsi="宋体" w:cs="宋体"/>
              </w:rPr>
            </w:pPr>
          </w:p>
          <w:p>
            <w:pPr>
              <w:spacing w:line="560" w:lineRule="exact"/>
              <w:jc w:val="center"/>
              <w:rPr>
                <w:rFonts w:ascii="宋体" w:hAnsi="宋体" w:cs="宋体"/>
              </w:rPr>
            </w:pPr>
          </w:p>
        </w:tc>
        <w:tc>
          <w:tcPr>
            <w:tcW w:w="2037" w:type="dxa"/>
            <w:vAlign w:val="center"/>
          </w:tcPr>
          <w:p>
            <w:pPr>
              <w:spacing w:line="560" w:lineRule="exact"/>
              <w:jc w:val="center"/>
              <w:rPr>
                <w:rFonts w:ascii="宋体" w:hAnsi="宋体" w:cs="宋体"/>
              </w:rPr>
            </w:pPr>
            <w:r>
              <w:rPr>
                <w:rFonts w:hint="eastAsia" w:ascii="宋体" w:hAnsi="宋体" w:cs="宋体"/>
              </w:rPr>
              <w:t>2022年06月17日</w:t>
            </w:r>
          </w:p>
        </w:tc>
      </w:tr>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rPr>
          <w:trHeight w:val="1414" w:hRule="atLeast"/>
          <w:jc w:val="center"/>
        </w:trPr>
        <w:tc>
          <w:tcPr>
            <w:tcW w:w="1445" w:type="dxa"/>
            <w:vAlign w:val="center"/>
          </w:tcPr>
          <w:p>
            <w:pPr>
              <w:spacing w:line="560" w:lineRule="exact"/>
              <w:jc w:val="center"/>
              <w:rPr>
                <w:rFonts w:ascii="宋体" w:hAnsi="宋体" w:cs="宋体"/>
              </w:rPr>
            </w:pPr>
            <w:r>
              <w:rPr>
                <w:rFonts w:hint="eastAsia" w:ascii="宋体" w:hAnsi="宋体" w:cs="宋体"/>
              </w:rPr>
              <w:t>罗开心</w:t>
            </w:r>
          </w:p>
        </w:tc>
        <w:tc>
          <w:tcPr>
            <w:tcW w:w="1509" w:type="dxa"/>
            <w:vAlign w:val="center"/>
          </w:tcPr>
          <w:p>
            <w:pPr>
              <w:spacing w:line="560" w:lineRule="exact"/>
              <w:jc w:val="center"/>
              <w:rPr>
                <w:rFonts w:ascii="宋体" w:hAnsi="宋体" w:cs="宋体"/>
              </w:rPr>
            </w:pPr>
            <w:r>
              <w:rPr>
                <w:rFonts w:ascii="宋体" w:hAnsi="宋体" w:cs="宋体"/>
              </w:rPr>
              <w:t>5320170024</w:t>
            </w:r>
          </w:p>
        </w:tc>
        <w:tc>
          <w:tcPr>
            <w:tcW w:w="4924" w:type="dxa"/>
            <w:vAlign w:val="center"/>
          </w:tcPr>
          <w:p>
            <w:pPr>
              <w:spacing w:line="560" w:lineRule="exact"/>
              <w:jc w:val="center"/>
              <w:rPr>
                <w:rFonts w:ascii="宋体" w:hAnsi="宋体" w:cs="宋体"/>
              </w:rPr>
            </w:pPr>
          </w:p>
          <w:p>
            <w:pPr>
              <w:spacing w:line="560" w:lineRule="exact"/>
              <w:jc w:val="center"/>
              <w:rPr>
                <w:rFonts w:ascii="宋体" w:hAnsi="宋体" w:cs="宋体"/>
              </w:rPr>
            </w:pPr>
          </w:p>
          <w:p>
            <w:pPr>
              <w:spacing w:line="560" w:lineRule="exact"/>
              <w:jc w:val="center"/>
              <w:rPr>
                <w:rFonts w:ascii="宋体" w:hAnsi="宋体" w:cs="宋体"/>
              </w:rPr>
            </w:pPr>
          </w:p>
        </w:tc>
        <w:tc>
          <w:tcPr>
            <w:tcW w:w="2037" w:type="dxa"/>
            <w:vAlign w:val="center"/>
          </w:tcPr>
          <w:p>
            <w:pPr>
              <w:spacing w:line="560" w:lineRule="exact"/>
              <w:jc w:val="center"/>
              <w:rPr>
                <w:rFonts w:ascii="宋体" w:hAnsi="宋体" w:cs="宋体"/>
              </w:rPr>
            </w:pPr>
            <w:r>
              <w:rPr>
                <w:rFonts w:hint="eastAsia" w:ascii="宋体" w:hAnsi="宋体" w:cs="宋体"/>
              </w:rPr>
              <w:t>2022年06月17日</w:t>
            </w:r>
          </w:p>
        </w:tc>
      </w:tr>
    </w:tbl>
    <w:p>
      <w:pPr>
        <w:pStyle w:val="8"/>
        <w:widowControl w:val="0"/>
        <w:adjustRightInd w:val="0"/>
        <w:snapToGrid w:val="0"/>
        <w:spacing w:line="560" w:lineRule="exact"/>
        <w:ind w:left="0" w:firstLine="516" w:firstLineChars="196"/>
        <w:jc w:val="both"/>
        <w:outlineLvl w:val="1"/>
        <w:rPr>
          <w:rFonts w:ascii="宋体" w:hAnsi="宋体" w:cs="宋体"/>
          <w:b/>
          <w:bCs/>
          <w:spacing w:val="-9"/>
          <w:sz w:val="28"/>
          <w:szCs w:val="28"/>
        </w:rPr>
      </w:pPr>
      <w:bookmarkStart w:id="21" w:name="_Toc30459"/>
      <w:r>
        <w:rPr>
          <w:rFonts w:hint="eastAsia" w:ascii="宋体" w:hAnsi="宋体" w:cs="宋体"/>
          <w:b/>
          <w:bCs/>
          <w:spacing w:val="-9"/>
          <w:sz w:val="28"/>
          <w:szCs w:val="28"/>
        </w:rPr>
        <w:t>十二、实地查勘期</w:t>
      </w:r>
      <w:bookmarkEnd w:id="21"/>
    </w:p>
    <w:p>
      <w:pPr>
        <w:spacing w:line="560" w:lineRule="exact"/>
        <w:ind w:firstLine="560" w:firstLineChars="200"/>
        <w:rPr>
          <w:rFonts w:ascii="宋体" w:hAnsi="宋体" w:cs="宋体"/>
          <w:sz w:val="28"/>
          <w:szCs w:val="28"/>
        </w:rPr>
      </w:pPr>
      <w:r>
        <w:rPr>
          <w:rFonts w:hint="eastAsia" w:ascii="宋体" w:hAnsi="宋体" w:cs="宋体"/>
          <w:sz w:val="28"/>
          <w:szCs w:val="28"/>
        </w:rPr>
        <w:t>自</w:t>
      </w:r>
      <w:r>
        <w:rPr>
          <w:rFonts w:ascii="宋体" w:hAnsi="宋体" w:cs="宋体"/>
          <w:sz w:val="28"/>
          <w:szCs w:val="28"/>
        </w:rPr>
        <w:t>2022年02月21日</w:t>
      </w:r>
      <w:r>
        <w:rPr>
          <w:rFonts w:hint="eastAsia" w:ascii="宋体" w:hAnsi="宋体" w:cs="宋体"/>
          <w:sz w:val="28"/>
          <w:szCs w:val="28"/>
        </w:rPr>
        <w:t>起至</w:t>
      </w:r>
      <w:r>
        <w:rPr>
          <w:rFonts w:ascii="宋体" w:hAnsi="宋体" w:cs="宋体"/>
          <w:sz w:val="28"/>
          <w:szCs w:val="28"/>
        </w:rPr>
        <w:t>2022年02月21日</w:t>
      </w:r>
      <w:r>
        <w:rPr>
          <w:rFonts w:hint="eastAsia" w:ascii="宋体" w:hAnsi="宋体" w:cs="宋体"/>
          <w:sz w:val="28"/>
          <w:szCs w:val="28"/>
        </w:rPr>
        <w:t>止。</w:t>
      </w:r>
    </w:p>
    <w:p>
      <w:pPr>
        <w:pStyle w:val="8"/>
        <w:widowControl w:val="0"/>
        <w:adjustRightInd w:val="0"/>
        <w:snapToGrid w:val="0"/>
        <w:spacing w:line="560" w:lineRule="exact"/>
        <w:ind w:left="0" w:firstLine="516" w:firstLineChars="196"/>
        <w:jc w:val="both"/>
        <w:outlineLvl w:val="1"/>
        <w:rPr>
          <w:rFonts w:ascii="宋体" w:hAnsi="宋体" w:cs="宋体"/>
          <w:b/>
          <w:bCs/>
          <w:spacing w:val="-9"/>
          <w:sz w:val="28"/>
          <w:szCs w:val="28"/>
        </w:rPr>
      </w:pPr>
      <w:bookmarkStart w:id="22" w:name="_Toc12770"/>
      <w:r>
        <w:rPr>
          <w:rFonts w:hint="eastAsia" w:ascii="宋体" w:hAnsi="宋体" w:cs="宋体"/>
          <w:b/>
          <w:bCs/>
          <w:spacing w:val="-9"/>
          <w:sz w:val="28"/>
          <w:szCs w:val="28"/>
        </w:rPr>
        <w:t>十三、估价作业日期</w:t>
      </w:r>
      <w:bookmarkEnd w:id="22"/>
    </w:p>
    <w:p>
      <w:pPr>
        <w:spacing w:line="560" w:lineRule="exact"/>
        <w:ind w:firstLine="524" w:firstLineChars="200"/>
        <w:rPr>
          <w:rFonts w:ascii="宋体" w:hAnsi="宋体" w:cs="宋体"/>
          <w:sz w:val="28"/>
          <w:szCs w:val="28"/>
        </w:rPr>
      </w:pPr>
      <w:r>
        <w:rPr>
          <w:rFonts w:hint="eastAsia" w:ascii="宋体" w:hAnsi="宋体" w:cs="宋体"/>
          <w:spacing w:val="-9"/>
          <w:sz w:val="28"/>
          <w:szCs w:val="28"/>
        </w:rPr>
        <w:t>自接受委托之日</w:t>
      </w:r>
      <w:r>
        <w:rPr>
          <w:rFonts w:ascii="宋体" w:hAnsi="宋体" w:cs="宋体"/>
          <w:spacing w:val="-9"/>
          <w:sz w:val="28"/>
          <w:szCs w:val="28"/>
        </w:rPr>
        <w:t>2022年02月</w:t>
      </w:r>
      <w:r>
        <w:rPr>
          <w:rFonts w:hint="eastAsia" w:ascii="宋体" w:hAnsi="宋体" w:cs="宋体"/>
          <w:spacing w:val="-9"/>
          <w:sz w:val="28"/>
          <w:szCs w:val="28"/>
        </w:rPr>
        <w:t>16</w:t>
      </w:r>
      <w:r>
        <w:rPr>
          <w:rFonts w:ascii="宋体" w:hAnsi="宋体" w:cs="宋体"/>
          <w:spacing w:val="-9"/>
          <w:sz w:val="28"/>
          <w:szCs w:val="28"/>
        </w:rPr>
        <w:t>日</w:t>
      </w:r>
      <w:r>
        <w:rPr>
          <w:rFonts w:hint="eastAsia" w:ascii="宋体" w:hAnsi="宋体" w:cs="宋体"/>
          <w:spacing w:val="-9"/>
          <w:sz w:val="28"/>
          <w:szCs w:val="28"/>
        </w:rPr>
        <w:t>起</w:t>
      </w:r>
      <w:r>
        <w:rPr>
          <w:rFonts w:hint="eastAsia" w:ascii="宋体" w:hAnsi="宋体" w:cs="宋体"/>
          <w:sz w:val="28"/>
          <w:szCs w:val="28"/>
        </w:rPr>
        <w:t>至估价报告出具之日2022年06月17日止。</w:t>
      </w:r>
    </w:p>
    <w:p>
      <w:pPr>
        <w:spacing w:line="560" w:lineRule="exact"/>
        <w:ind w:firstLine="560" w:firstLineChars="200"/>
        <w:rPr>
          <w:rFonts w:ascii="宋体" w:hAnsi="宋体"/>
          <w:sz w:val="28"/>
        </w:rPr>
      </w:pPr>
    </w:p>
    <w:p>
      <w:pPr>
        <w:spacing w:line="560" w:lineRule="exact"/>
        <w:ind w:firstLine="560" w:firstLineChars="200"/>
        <w:rPr>
          <w:rFonts w:ascii="宋体" w:hAnsi="宋体"/>
          <w:sz w:val="28"/>
        </w:rPr>
      </w:pPr>
    </w:p>
    <w:p>
      <w:pPr>
        <w:spacing w:line="560" w:lineRule="exact"/>
        <w:ind w:firstLine="560" w:firstLineChars="200"/>
        <w:rPr>
          <w:rFonts w:ascii="宋体" w:hAnsi="宋体"/>
          <w:sz w:val="28"/>
        </w:rPr>
      </w:pPr>
    </w:p>
    <w:p>
      <w:pPr>
        <w:spacing w:line="560" w:lineRule="exact"/>
        <w:ind w:firstLine="560" w:firstLineChars="200"/>
        <w:rPr>
          <w:rFonts w:ascii="宋体" w:hAnsi="宋体"/>
          <w:sz w:val="28"/>
        </w:rPr>
      </w:pPr>
    </w:p>
    <w:p>
      <w:pPr>
        <w:spacing w:line="480" w:lineRule="exact"/>
        <w:ind w:firstLine="3664" w:firstLineChars="1145"/>
        <w:rPr>
          <w:rFonts w:ascii="宋体" w:hAnsi="宋体"/>
          <w:sz w:val="32"/>
        </w:rPr>
      </w:pPr>
    </w:p>
    <w:p>
      <w:pPr>
        <w:spacing w:line="480" w:lineRule="exact"/>
        <w:ind w:firstLine="3664" w:firstLineChars="1145"/>
        <w:rPr>
          <w:rFonts w:ascii="宋体" w:hAnsi="宋体"/>
          <w:sz w:val="32"/>
        </w:rPr>
      </w:pPr>
      <w:r>
        <w:rPr>
          <w:rFonts w:hint="eastAsia" w:ascii="宋体" w:hAnsi="宋体"/>
          <w:sz w:val="32"/>
        </w:rPr>
        <w:t>云南雨涵房地产评估有限责任公司</w:t>
      </w:r>
    </w:p>
    <w:p>
      <w:pPr>
        <w:spacing w:line="560" w:lineRule="exact"/>
        <w:ind w:firstLine="640" w:firstLineChars="200"/>
        <w:jc w:val="center"/>
        <w:rPr>
          <w:rFonts w:ascii="宋体" w:hAnsi="宋体" w:cs="宋体"/>
          <w:sz w:val="28"/>
          <w:szCs w:val="28"/>
        </w:rPr>
      </w:pPr>
      <w:r>
        <w:rPr>
          <w:rFonts w:hint="eastAsia" w:ascii="宋体" w:hAnsi="宋体"/>
          <w:sz w:val="32"/>
        </w:rPr>
        <w:t xml:space="preserve">            二○二二年六月十七日</w:t>
      </w:r>
    </w:p>
    <w:p>
      <w:pPr>
        <w:pStyle w:val="8"/>
        <w:widowControl w:val="0"/>
        <w:adjustRightInd w:val="0"/>
        <w:snapToGrid w:val="0"/>
        <w:spacing w:beforeLines="50" w:line="324" w:lineRule="auto"/>
        <w:ind w:left="0" w:firstLine="4568" w:firstLineChars="1078"/>
        <w:outlineLvl w:val="0"/>
        <w:rPr>
          <w:rFonts w:ascii="宋体" w:hAnsi="宋体" w:cs="宋体"/>
          <w:b/>
          <w:bCs/>
          <w:spacing w:val="-9"/>
          <w:sz w:val="44"/>
          <w:szCs w:val="44"/>
        </w:rPr>
      </w:pPr>
    </w:p>
    <w:p>
      <w:pPr>
        <w:pStyle w:val="8"/>
        <w:widowControl w:val="0"/>
        <w:adjustRightInd w:val="0"/>
        <w:snapToGrid w:val="0"/>
        <w:spacing w:beforeLines="50" w:line="324" w:lineRule="auto"/>
        <w:ind w:left="0" w:firstLine="4568" w:firstLineChars="1078"/>
        <w:outlineLvl w:val="0"/>
        <w:rPr>
          <w:rFonts w:ascii="宋体" w:hAnsi="宋体" w:cs="宋体"/>
          <w:b/>
          <w:bCs/>
          <w:spacing w:val="-9"/>
          <w:sz w:val="44"/>
          <w:szCs w:val="44"/>
        </w:rPr>
      </w:pPr>
    </w:p>
    <w:p>
      <w:pPr>
        <w:pStyle w:val="8"/>
        <w:widowControl w:val="0"/>
        <w:adjustRightInd w:val="0"/>
        <w:snapToGrid w:val="0"/>
        <w:spacing w:beforeLines="50" w:line="324" w:lineRule="auto"/>
        <w:ind w:left="0" w:firstLine="4568" w:firstLineChars="1078"/>
        <w:outlineLvl w:val="0"/>
        <w:rPr>
          <w:rFonts w:ascii="宋体" w:hAnsi="宋体" w:cs="宋体"/>
          <w:b/>
          <w:bCs/>
          <w:spacing w:val="-9"/>
          <w:sz w:val="44"/>
          <w:szCs w:val="44"/>
        </w:rPr>
      </w:pPr>
    </w:p>
    <w:p>
      <w:pPr>
        <w:pStyle w:val="8"/>
        <w:widowControl w:val="0"/>
        <w:adjustRightInd w:val="0"/>
        <w:snapToGrid w:val="0"/>
        <w:spacing w:beforeLines="50" w:line="324" w:lineRule="auto"/>
        <w:ind w:left="0" w:firstLine="4568" w:firstLineChars="1078"/>
        <w:outlineLvl w:val="0"/>
        <w:rPr>
          <w:rFonts w:ascii="宋体" w:hAnsi="宋体" w:cs="宋体"/>
          <w:b/>
          <w:bCs/>
          <w:spacing w:val="-9"/>
          <w:sz w:val="44"/>
          <w:szCs w:val="44"/>
        </w:rPr>
      </w:pPr>
    </w:p>
    <w:p>
      <w:pPr>
        <w:pStyle w:val="8"/>
        <w:widowControl w:val="0"/>
        <w:adjustRightInd w:val="0"/>
        <w:snapToGrid w:val="0"/>
        <w:spacing w:beforeLines="50" w:line="324" w:lineRule="auto"/>
        <w:ind w:left="0" w:firstLine="4568" w:firstLineChars="1078"/>
        <w:outlineLvl w:val="0"/>
        <w:rPr>
          <w:rFonts w:ascii="宋体" w:hAnsi="宋体" w:cs="宋体"/>
          <w:b/>
          <w:bCs/>
          <w:spacing w:val="-9"/>
          <w:sz w:val="44"/>
          <w:szCs w:val="44"/>
        </w:rPr>
      </w:pPr>
    </w:p>
    <w:p>
      <w:pPr>
        <w:pStyle w:val="8"/>
        <w:widowControl w:val="0"/>
        <w:adjustRightInd w:val="0"/>
        <w:snapToGrid w:val="0"/>
        <w:spacing w:beforeLines="50" w:line="324" w:lineRule="auto"/>
        <w:ind w:left="0" w:firstLine="4568" w:firstLineChars="1078"/>
        <w:outlineLvl w:val="0"/>
        <w:rPr>
          <w:rFonts w:ascii="宋体" w:hAnsi="宋体" w:cs="宋体"/>
          <w:b/>
          <w:bCs/>
          <w:spacing w:val="-9"/>
          <w:sz w:val="44"/>
          <w:szCs w:val="44"/>
        </w:rPr>
      </w:pPr>
      <w:bookmarkStart w:id="23" w:name="_Toc1210"/>
      <w:r>
        <w:rPr>
          <w:rFonts w:hint="eastAsia" w:ascii="宋体" w:hAnsi="宋体" w:cs="宋体"/>
          <w:b/>
          <w:bCs/>
          <w:spacing w:val="-9"/>
          <w:sz w:val="44"/>
          <w:szCs w:val="44"/>
        </w:rPr>
        <w:t>附件</w:t>
      </w:r>
      <w:bookmarkEnd w:id="23"/>
    </w:p>
    <w:p>
      <w:pPr>
        <w:pStyle w:val="8"/>
        <w:widowControl w:val="0"/>
        <w:adjustRightInd w:val="0"/>
        <w:snapToGrid w:val="0"/>
        <w:spacing w:beforeLines="50" w:line="324" w:lineRule="auto"/>
        <w:ind w:left="0" w:firstLine="516" w:firstLineChars="196"/>
        <w:jc w:val="both"/>
        <w:rPr>
          <w:rFonts w:ascii="宋体" w:hAnsi="宋体" w:cs="宋体"/>
          <w:b/>
          <w:bCs/>
          <w:spacing w:val="-9"/>
          <w:sz w:val="28"/>
          <w:szCs w:val="28"/>
        </w:rPr>
      </w:pPr>
    </w:p>
    <w:p>
      <w:pPr>
        <w:pStyle w:val="33"/>
        <w:widowControl w:val="0"/>
        <w:numPr>
          <w:ilvl w:val="0"/>
          <w:numId w:val="2"/>
        </w:numPr>
        <w:ind w:firstLineChars="0"/>
        <w:rPr>
          <w:rFonts w:ascii="宋体" w:hAnsi="宋体" w:cs="宋体"/>
          <w:b/>
          <w:bCs/>
          <w:spacing w:val="-9"/>
          <w:sz w:val="28"/>
          <w:szCs w:val="28"/>
        </w:rPr>
      </w:pPr>
      <w:r>
        <w:rPr>
          <w:rFonts w:hint="eastAsia" w:ascii="宋体" w:hAnsi="宋体" w:cs="宋体"/>
          <w:b/>
          <w:bCs/>
          <w:spacing w:val="-9"/>
          <w:sz w:val="28"/>
          <w:szCs w:val="28"/>
        </w:rPr>
        <w:t>寻甸回族彝族自治县人民法院评估委托书、补充说明复印件</w:t>
      </w:r>
    </w:p>
    <w:p>
      <w:pPr>
        <w:pStyle w:val="33"/>
        <w:widowControl w:val="0"/>
        <w:numPr>
          <w:ilvl w:val="0"/>
          <w:numId w:val="2"/>
        </w:numPr>
        <w:ind w:firstLineChars="0"/>
        <w:rPr>
          <w:rFonts w:ascii="宋体" w:hAnsi="宋体" w:cs="宋体"/>
          <w:b/>
          <w:bCs/>
          <w:spacing w:val="-9"/>
          <w:sz w:val="28"/>
          <w:szCs w:val="28"/>
        </w:rPr>
      </w:pPr>
      <w:r>
        <w:rPr>
          <w:rFonts w:hint="eastAsia" w:ascii="宋体" w:hAnsi="宋体" w:cs="宋体"/>
          <w:b/>
          <w:bCs/>
          <w:spacing w:val="-9"/>
          <w:sz w:val="28"/>
          <w:szCs w:val="28"/>
        </w:rPr>
        <w:t>“房屋信息查询摘抄表”复印件及“房屋所有权证”复印件、“住房权属信息证明”复印件</w:t>
      </w:r>
    </w:p>
    <w:p>
      <w:pPr>
        <w:pStyle w:val="33"/>
        <w:widowControl w:val="0"/>
        <w:numPr>
          <w:ilvl w:val="0"/>
          <w:numId w:val="2"/>
        </w:numPr>
        <w:ind w:firstLineChars="0"/>
        <w:rPr>
          <w:rFonts w:ascii="宋体" w:hAnsi="宋体" w:cs="宋体"/>
          <w:b/>
          <w:bCs/>
          <w:spacing w:val="-9"/>
          <w:sz w:val="28"/>
          <w:szCs w:val="28"/>
        </w:rPr>
      </w:pPr>
      <w:r>
        <w:rPr>
          <w:rFonts w:hint="eastAsia" w:ascii="宋体" w:hAnsi="宋体" w:cs="宋体"/>
          <w:b/>
          <w:bCs/>
          <w:spacing w:val="-9"/>
          <w:sz w:val="28"/>
          <w:szCs w:val="28"/>
        </w:rPr>
        <w:t xml:space="preserve"> “集体土地使用证”及土地申请材料复印件</w:t>
      </w:r>
    </w:p>
    <w:p>
      <w:pPr>
        <w:pStyle w:val="33"/>
        <w:widowControl w:val="0"/>
        <w:numPr>
          <w:ilvl w:val="0"/>
          <w:numId w:val="2"/>
        </w:numPr>
        <w:ind w:firstLineChars="0"/>
        <w:rPr>
          <w:rFonts w:ascii="宋体" w:hAnsi="宋体" w:cs="宋体"/>
          <w:b/>
          <w:bCs/>
          <w:spacing w:val="-9"/>
          <w:sz w:val="28"/>
          <w:szCs w:val="28"/>
        </w:rPr>
      </w:pPr>
      <w:r>
        <w:rPr>
          <w:rFonts w:hint="eastAsia" w:ascii="宋体" w:hAnsi="宋体" w:cs="宋体"/>
          <w:b/>
          <w:bCs/>
          <w:spacing w:val="-9"/>
          <w:sz w:val="28"/>
          <w:szCs w:val="28"/>
        </w:rPr>
        <w:t>现场查勘记录表复印件</w:t>
      </w:r>
    </w:p>
    <w:p>
      <w:pPr>
        <w:pStyle w:val="33"/>
        <w:widowControl w:val="0"/>
        <w:numPr>
          <w:ilvl w:val="0"/>
          <w:numId w:val="2"/>
        </w:numPr>
        <w:ind w:firstLineChars="0"/>
        <w:rPr>
          <w:rFonts w:ascii="宋体" w:hAnsi="宋体" w:cs="宋体"/>
          <w:b/>
          <w:bCs/>
          <w:spacing w:val="-9"/>
          <w:sz w:val="28"/>
          <w:szCs w:val="28"/>
        </w:rPr>
      </w:pPr>
      <w:r>
        <w:rPr>
          <w:rFonts w:hint="eastAsia" w:ascii="宋体" w:hAnsi="宋体" w:cs="宋体"/>
          <w:b/>
          <w:bCs/>
          <w:spacing w:val="-9"/>
          <w:sz w:val="28"/>
          <w:szCs w:val="28"/>
        </w:rPr>
        <w:t>估价对象区位图</w:t>
      </w:r>
    </w:p>
    <w:p>
      <w:pPr>
        <w:pStyle w:val="33"/>
        <w:widowControl w:val="0"/>
        <w:numPr>
          <w:ilvl w:val="0"/>
          <w:numId w:val="2"/>
        </w:numPr>
        <w:ind w:firstLineChars="0"/>
        <w:rPr>
          <w:rFonts w:ascii="宋体" w:hAnsi="宋体" w:cs="宋体"/>
          <w:b/>
          <w:bCs/>
          <w:spacing w:val="-9"/>
          <w:sz w:val="28"/>
          <w:szCs w:val="28"/>
        </w:rPr>
      </w:pPr>
      <w:r>
        <w:rPr>
          <w:rFonts w:hint="eastAsia" w:ascii="宋体" w:hAnsi="宋体" w:cs="宋体"/>
          <w:b/>
          <w:bCs/>
          <w:spacing w:val="-9"/>
          <w:sz w:val="28"/>
          <w:szCs w:val="28"/>
        </w:rPr>
        <w:t>估价对象部分照片</w:t>
      </w:r>
    </w:p>
    <w:p>
      <w:pPr>
        <w:pStyle w:val="33"/>
        <w:widowControl w:val="0"/>
        <w:numPr>
          <w:ilvl w:val="0"/>
          <w:numId w:val="2"/>
        </w:numPr>
        <w:ind w:firstLineChars="0"/>
        <w:rPr>
          <w:rFonts w:ascii="宋体" w:hAnsi="宋体" w:cs="宋体"/>
          <w:b/>
          <w:bCs/>
          <w:spacing w:val="-9"/>
          <w:sz w:val="28"/>
          <w:szCs w:val="28"/>
        </w:rPr>
      </w:pPr>
      <w:r>
        <w:rPr>
          <w:rFonts w:hint="eastAsia" w:ascii="宋体" w:hAnsi="宋体" w:cs="宋体"/>
          <w:b/>
          <w:bCs/>
          <w:spacing w:val="-9"/>
          <w:sz w:val="28"/>
          <w:szCs w:val="28"/>
        </w:rPr>
        <w:t>注册房地产估价师估价资格证书复印件</w:t>
      </w:r>
    </w:p>
    <w:p>
      <w:pPr>
        <w:pStyle w:val="33"/>
        <w:widowControl w:val="0"/>
        <w:numPr>
          <w:ilvl w:val="0"/>
          <w:numId w:val="2"/>
        </w:numPr>
        <w:ind w:firstLineChars="0"/>
        <w:rPr>
          <w:rFonts w:ascii="宋体" w:hAnsi="宋体" w:cs="宋体"/>
          <w:b/>
          <w:bCs/>
          <w:spacing w:val="-9"/>
          <w:sz w:val="28"/>
          <w:szCs w:val="28"/>
        </w:rPr>
      </w:pPr>
      <w:r>
        <w:rPr>
          <w:rFonts w:hint="eastAsia" w:ascii="宋体" w:hAnsi="宋体" w:cs="宋体"/>
          <w:b/>
          <w:bCs/>
          <w:spacing w:val="-9"/>
          <w:sz w:val="28"/>
          <w:szCs w:val="28"/>
        </w:rPr>
        <w:t>房地产估价机构营业执照和估价资质证书复印件</w:t>
      </w:r>
    </w:p>
    <w:p>
      <w:pPr>
        <w:ind w:firstLine="205" w:firstLineChars="98"/>
        <w:rPr>
          <w:rFonts w:ascii="宋体" w:hAnsi="宋体" w:cs="宋体"/>
        </w:rPr>
      </w:pPr>
    </w:p>
    <w:p>
      <w:pPr>
        <w:ind w:firstLine="205" w:firstLineChars="98"/>
        <w:rPr>
          <w:rFonts w:ascii="宋体" w:hAnsi="宋体" w:cs="宋体"/>
        </w:rPr>
      </w:pPr>
    </w:p>
    <w:bookmarkEnd w:id="0"/>
    <w:bookmarkEnd w:id="1"/>
    <w:p>
      <w:pPr>
        <w:ind w:firstLine="205" w:firstLineChars="98"/>
        <w:rPr>
          <w:rFonts w:ascii="宋体" w:hAnsi="宋体" w:cs="宋体"/>
        </w:rPr>
      </w:pPr>
    </w:p>
    <w:sectPr>
      <w:headerReference r:id="rId5" w:type="first"/>
      <w:headerReference r:id="rId4" w:type="default"/>
      <w:footerReference r:id="rId6" w:type="default"/>
      <w:pgSz w:w="11906" w:h="16838"/>
      <w:pgMar w:top="1440" w:right="1134" w:bottom="1701" w:left="1559" w:header="851" w:footer="759"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monospace">
    <w:altName w:val="Times New Roman"/>
    <w:panose1 w:val="00000000000000000000"/>
    <w:charset w:val="00"/>
    <w:family w:val="auto"/>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经典综艺体简">
    <w:altName w:val="宋体"/>
    <w:panose1 w:val="00000000000000000000"/>
    <w:charset w:val="86"/>
    <w:family w:val="modern"/>
    <w:pitch w:val="default"/>
    <w:sig w:usb0="00000000" w:usb1="00000000" w:usb2="0000001E" w:usb3="00000000" w:csb0="20040000" w:csb1="00000000"/>
  </w:font>
  <w:font w:name="华文行楷">
    <w:panose1 w:val="02010800040101010101"/>
    <w:charset w:val="86"/>
    <w:family w:val="auto"/>
    <w:pitch w:val="default"/>
    <w:sig w:usb0="00000001" w:usb1="080F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thinThickSmallGap" w:color="622423" w:sz="24" w:space="1"/>
      </w:pBdr>
      <w:tabs>
        <w:tab w:val="right" w:pos="9213"/>
        <w:tab w:val="clear" w:pos="4153"/>
        <w:tab w:val="clear" w:pos="8306"/>
      </w:tabs>
      <w:rPr>
        <w:rFonts w:ascii="Cambria" w:hAnsi="Cambria"/>
      </w:rPr>
    </w:pPr>
    <w:r>
      <w:rPr>
        <w:rFonts w:ascii="宋体" w:hAnsi="宋体" w:cs="楷体_GB2312"/>
        <w:iCs/>
        <w:color w:val="0070C0"/>
      </w:rPr>
      <w:pict>
        <v:group id="_x0000_s6204" o:spid="_x0000_s6204" o:spt="203" style="position:absolute;left:0pt;margin-left:1.15pt;margin-top:802.1pt;height:15pt;width:594.45pt;mso-position-horizontal-relative:page;mso-position-vertical-relative:page;z-index:251664384;mso-width-relative:page;mso-height-relative:page;mso-width-percent:1000;" coordorigin="0,14970" coordsize="12255,300">
          <o:lock v:ext="edit"/>
          <v:shape id="_x0000_s6205" o:spid="_x0000_s6205" o:spt="202" type="#_x0000_t202" style="position:absolute;left:10803;top:14982;height:288;width:659;" filled="f" stroked="f" coordsize="21600,21600">
            <v:path/>
            <v:fill on="f" focussize="0,0"/>
            <v:stroke on="f" joinstyle="miter"/>
            <v:imagedata o:title=""/>
            <o:lock v:ext="edit"/>
            <v:textbox inset="0mm,0mm,0mm,0mm">
              <w:txbxContent>
                <w:p>
                  <w:pPr>
                    <w:jc w:val="center"/>
                  </w:pPr>
                  <w:r>
                    <w:fldChar w:fldCharType="begin"/>
                  </w:r>
                  <w:r>
                    <w:instrText xml:space="preserve"> PAGE    \* MERGEFORMAT </w:instrText>
                  </w:r>
                  <w:r>
                    <w:fldChar w:fldCharType="separate"/>
                  </w:r>
                  <w:r>
                    <w:rPr>
                      <w:color w:val="8B8B8B" w:themeColor="background1" w:themeShade="8C"/>
                      <w:lang w:val="zh-CN"/>
                    </w:rPr>
                    <w:t>1</w:t>
                  </w:r>
                  <w:r>
                    <w:rPr>
                      <w:color w:val="8B8B8B" w:themeColor="background1" w:themeShade="8C"/>
                      <w:lang w:val="zh-CN"/>
                    </w:rPr>
                    <w:fldChar w:fldCharType="end"/>
                  </w:r>
                </w:p>
              </w:txbxContent>
            </v:textbox>
          </v:shape>
          <v:group id="_x0000_s6206" o:spid="_x0000_s6206" o:spt="203" style="position:absolute;left:0;top:14970;flip:x;height:230;width:12255;" coordorigin="-8,14978" coordsize="12255,230">
            <o:lock v:ext="edit"/>
            <v:shape id="_x0000_s6207" o:spid="_x0000_s6207" o:spt="34" type="#_x0000_t34" style="position:absolute;left:-8;top:14978;flip:y;height:230;width:1260;" o:connectortype="elbow" filled="f" stroked="t" coordsize="21600,21600" adj=",1024457,257">
              <v:path arrowok="t"/>
              <v:fill on="f" focussize="0,0"/>
              <v:stroke color="#A5A5A5" joinstyle="miter"/>
              <v:imagedata o:title=""/>
              <o:lock v:ext="edit"/>
            </v:shape>
            <v:shape id="_x0000_s6208" o:spid="_x0000_s6208" o:spt="34" type="#_x0000_t34" style="position:absolute;left:1252;top:14978;height:230;width:10995;rotation:11796480f;" o:connectortype="elbow" filled="f" stroked="t" coordsize="21600,21600" adj="20904,-1024457,-24046">
              <v:path arrowok="t"/>
              <v:fill on="f" focussize="0,0"/>
              <v:stroke color="#A5A5A5" joinstyle="miter"/>
              <v:imagedata o:title=""/>
              <o:lock v:ext="edit"/>
            </v:shape>
          </v:group>
        </v:group>
      </w:pict>
    </w:r>
    <w:sdt>
      <w:sdtPr>
        <w:rPr>
          <w:rFonts w:ascii="Cambria" w:hAnsi="Cambria"/>
        </w:rPr>
        <w:id w:val="2807138"/>
        <w:showingPlcHdr/>
      </w:sdtPr>
      <w:sdtEndPr>
        <w:rPr>
          <w:rFonts w:ascii="Cambria" w:hAnsi="Cambria"/>
        </w:rPr>
      </w:sdtEndPr>
      <w:sdtContent>
        <w:r>
          <w:rPr>
            <w:rFonts w:ascii="Cambria" w:hAnsi="Cambria"/>
          </w:rPr>
          <w:t xml:space="preserve">     </w:t>
        </w:r>
      </w:sdtContent>
    </w:sdt>
    <w:r>
      <w:rPr>
        <w:rFonts w:hint="eastAsia" w:ascii="宋体" w:hAnsi="宋体" w:cs="楷体_GB2312"/>
        <w:iCs/>
        <w:color w:val="0070C0"/>
      </w:rPr>
      <w:t>地址： 云南省昆明市穿金路205号霖岚广场A幢714号    电话（传真）：0871-63121005      邮编：65005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thinThickSmallGap" w:color="622423" w:sz="24" w:space="1"/>
      </w:pBdr>
      <w:tabs>
        <w:tab w:val="right" w:pos="9213"/>
        <w:tab w:val="clear" w:pos="4153"/>
        <w:tab w:val="clear" w:pos="8306"/>
      </w:tabs>
      <w:rPr>
        <w:rFonts w:ascii="Cambria" w:hAnsi="Cambria"/>
      </w:rPr>
    </w:pPr>
    <w:r>
      <w:rPr>
        <w:rFonts w:ascii="Cambria" w:hAnsi="Cambria"/>
      </w:rPr>
      <w:pict>
        <v:group id="_x0000_s6199" o:spid="_x0000_s6199" o:spt="203" style="position:absolute;left:0pt;margin-left:-1.05pt;margin-top:801.65pt;height:15pt;width:594.45pt;mso-position-horizontal-relative:page;mso-position-vertical-relative:page;z-index:251662336;mso-width-relative:page;mso-height-relative:page;mso-width-percent:1000;" coordorigin="0,14970" coordsize="12255,300">
          <o:lock v:ext="edit"/>
          <v:shape id="_x0000_s6200" o:spid="_x0000_s6200" o:spt="202" type="#_x0000_t202" style="position:absolute;left:10803;top:14982;height:288;width:659;" filled="f" stroked="f" coordsize="21600,21600">
            <v:path/>
            <v:fill on="f" focussize="0,0"/>
            <v:stroke on="f" joinstyle="miter"/>
            <v:imagedata o:title=""/>
            <o:lock v:ext="edit"/>
            <v:textbox inset="0mm,0mm,0mm,0mm">
              <w:txbxContent>
                <w:p>
                  <w:pPr>
                    <w:jc w:val="center"/>
                  </w:pPr>
                  <w:r>
                    <w:fldChar w:fldCharType="begin"/>
                  </w:r>
                  <w:r>
                    <w:instrText xml:space="preserve"> PAGE    \* MERGEFORMAT </w:instrText>
                  </w:r>
                  <w:r>
                    <w:fldChar w:fldCharType="separate"/>
                  </w:r>
                  <w:r>
                    <w:rPr>
                      <w:color w:val="8B8B8B" w:themeColor="background1" w:themeShade="8C"/>
                      <w:lang w:val="zh-CN"/>
                    </w:rPr>
                    <w:t>4</w:t>
                  </w:r>
                  <w:r>
                    <w:rPr>
                      <w:color w:val="8B8B8B" w:themeColor="background1" w:themeShade="8C"/>
                      <w:lang w:val="zh-CN"/>
                    </w:rPr>
                    <w:fldChar w:fldCharType="end"/>
                  </w:r>
                </w:p>
              </w:txbxContent>
            </v:textbox>
          </v:shape>
          <v:group id="_x0000_s6201" o:spid="_x0000_s6201" o:spt="203" style="position:absolute;left:0;top:14970;flip:x;height:230;width:12255;" coordorigin="-8,14978" coordsize="12255,230">
            <o:lock v:ext="edit"/>
            <v:shape id="_x0000_s6202" o:spid="_x0000_s6202" o:spt="34" type="#_x0000_t34" style="position:absolute;left:-8;top:14978;flip:y;height:230;width:1260;" o:connectortype="elbow" filled="f" stroked="t" coordsize="21600,21600" adj=",1024457,257">
              <v:path arrowok="t"/>
              <v:fill on="f" focussize="0,0"/>
              <v:stroke color="#A5A5A5" joinstyle="miter"/>
              <v:imagedata o:title=""/>
              <o:lock v:ext="edit"/>
            </v:shape>
            <v:shape id="_x0000_s6203" o:spid="_x0000_s6203" o:spt="34" type="#_x0000_t34" style="position:absolute;left:1252;top:14978;height:230;width:10995;rotation:11796480f;" o:connectortype="elbow" filled="f" stroked="t" coordsize="21600,21600" adj="20904,-1024457,-24046">
              <v:path arrowok="t"/>
              <v:fill on="f" focussize="0,0"/>
              <v:stroke color="#A5A5A5" joinstyle="miter"/>
              <v:imagedata o:title=""/>
              <o:lock v:ext="edit"/>
            </v:shape>
          </v:group>
        </v:group>
      </w:pict>
    </w:r>
    <w:sdt>
      <w:sdtPr>
        <w:rPr>
          <w:rFonts w:ascii="Cambria" w:hAnsi="Cambria"/>
        </w:rPr>
        <w:id w:val="10865745"/>
        <w:showingPlcHdr/>
      </w:sdtPr>
      <w:sdtEndPr>
        <w:rPr>
          <w:rFonts w:ascii="Cambria" w:hAnsi="Cambria"/>
        </w:rPr>
      </w:sdtEndPr>
      <w:sdtContent>
        <w:r>
          <w:rPr>
            <w:rFonts w:ascii="Cambria" w:hAnsi="Cambria"/>
          </w:rPr>
          <w:t xml:space="preserve">     </w:t>
        </w:r>
      </w:sdtContent>
    </w:sdt>
    <w:r>
      <w:rPr>
        <w:rFonts w:hint="eastAsia" w:ascii="宋体" w:hAnsi="宋体" w:cs="楷体_GB2312"/>
        <w:iCs/>
        <w:color w:val="0070C0"/>
      </w:rPr>
      <w:t>地址： 云南省昆明市穿金路205号霖岚广场A幢714号    电话（传真）：0871-63121005      邮编：65005</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thickThinSmallGap" w:color="622423" w:sz="24" w:space="1"/>
      </w:pBdr>
      <w:rPr>
        <w:rFonts w:ascii="Cambria" w:hAnsi="Cambria" w:cs="Times New Roman"/>
        <w:color w:val="548DD4"/>
        <w:sz w:val="32"/>
        <w:szCs w:val="32"/>
      </w:rPr>
    </w:pPr>
    <w:r>
      <w:rPr>
        <w:rFonts w:hint="eastAsia" w:ascii="宋体" w:hAnsi="宋体" w:cs="楷体_GB2312"/>
        <w:i/>
        <w:iCs/>
        <w:color w:val="548DD4"/>
        <w:sz w:val="28"/>
        <w:szCs w:val="28"/>
      </w:rPr>
      <w:drawing>
        <wp:anchor distT="0" distB="0" distL="114300" distR="114300" simplePos="0" relativeHeight="251660288" behindDoc="0" locked="0" layoutInCell="1" allowOverlap="1">
          <wp:simplePos x="0" y="0"/>
          <wp:positionH relativeFrom="column">
            <wp:posOffset>377825</wp:posOffset>
          </wp:positionH>
          <wp:positionV relativeFrom="paragraph">
            <wp:posOffset>-236220</wp:posOffset>
          </wp:positionV>
          <wp:extent cx="847090" cy="469265"/>
          <wp:effectExtent l="19050" t="0" r="0" b="0"/>
          <wp:wrapNone/>
          <wp:docPr id="7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1"/>
                  <pic:cNvPicPr>
                    <a:picLocks noChangeAspect="1" noChangeArrowheads="1"/>
                  </pic:cNvPicPr>
                </pic:nvPicPr>
                <pic:blipFill>
                  <a:blip r:embed="rId1"/>
                  <a:srcRect/>
                  <a:stretch>
                    <a:fillRect/>
                  </a:stretch>
                </pic:blipFill>
                <pic:spPr>
                  <a:xfrm>
                    <a:off x="0" y="0"/>
                    <a:ext cx="847090" cy="469265"/>
                  </a:xfrm>
                  <a:prstGeom prst="rect">
                    <a:avLst/>
                  </a:prstGeom>
                  <a:noFill/>
                  <a:ln w="9525">
                    <a:noFill/>
                    <a:miter lim="800000"/>
                    <a:headEnd/>
                    <a:tailEnd/>
                  </a:ln>
                </pic:spPr>
              </pic:pic>
            </a:graphicData>
          </a:graphic>
        </wp:anchor>
      </w:drawing>
    </w:r>
    <w:r>
      <w:rPr>
        <w:rFonts w:hint="eastAsia" w:ascii="宋体" w:hAnsi="宋体" w:cs="楷体_GB2312"/>
        <w:i/>
        <w:iCs/>
        <w:color w:val="548DD4"/>
        <w:sz w:val="28"/>
        <w:szCs w:val="28"/>
      </w:rPr>
      <w:t xml:space="preserve">云南雨涵房地产评估有限责任公司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thickThinSmallGap" w:color="622423" w:sz="24" w:space="1"/>
      </w:pBdr>
      <w:rPr>
        <w:rFonts w:ascii="Cambria" w:hAnsi="Cambria" w:cs="Times New Roman"/>
        <w:color w:val="548DD4"/>
        <w:sz w:val="32"/>
        <w:szCs w:val="32"/>
      </w:rPr>
    </w:pPr>
    <w:r>
      <w:rPr>
        <w:rFonts w:hint="eastAsia" w:ascii="宋体" w:hAnsi="宋体" w:cs="楷体_GB2312"/>
        <w:i/>
        <w:iCs/>
        <w:color w:val="548DD4"/>
        <w:sz w:val="28"/>
        <w:szCs w:val="28"/>
      </w:rPr>
      <w:drawing>
        <wp:anchor distT="0" distB="0" distL="114300" distR="114300" simplePos="0" relativeHeight="251659264" behindDoc="0" locked="0" layoutInCell="1" allowOverlap="1">
          <wp:simplePos x="0" y="0"/>
          <wp:positionH relativeFrom="column">
            <wp:posOffset>377825</wp:posOffset>
          </wp:positionH>
          <wp:positionV relativeFrom="paragraph">
            <wp:posOffset>-236220</wp:posOffset>
          </wp:positionV>
          <wp:extent cx="847090" cy="469265"/>
          <wp:effectExtent l="19050" t="0" r="0" b="0"/>
          <wp:wrapNone/>
          <wp:docPr id="6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1"/>
                  <pic:cNvPicPr>
                    <a:picLocks noChangeAspect="1" noChangeArrowheads="1"/>
                  </pic:cNvPicPr>
                </pic:nvPicPr>
                <pic:blipFill>
                  <a:blip r:embed="rId1"/>
                  <a:srcRect/>
                  <a:stretch>
                    <a:fillRect/>
                  </a:stretch>
                </pic:blipFill>
                <pic:spPr>
                  <a:xfrm>
                    <a:off x="0" y="0"/>
                    <a:ext cx="847090" cy="469265"/>
                  </a:xfrm>
                  <a:prstGeom prst="rect">
                    <a:avLst/>
                  </a:prstGeom>
                  <a:noFill/>
                  <a:ln w="9525">
                    <a:noFill/>
                    <a:miter lim="800000"/>
                    <a:headEnd/>
                    <a:tailEnd/>
                  </a:ln>
                </pic:spPr>
              </pic:pic>
            </a:graphicData>
          </a:graphic>
        </wp:anchor>
      </w:drawing>
    </w:r>
    <w:r>
      <w:rPr>
        <w:rFonts w:hint="eastAsia" w:ascii="宋体" w:hAnsi="宋体" w:cs="楷体_GB2312"/>
        <w:i/>
        <w:iCs/>
        <w:color w:val="548DD4"/>
        <w:sz w:val="28"/>
        <w:szCs w:val="28"/>
      </w:rPr>
      <w:t xml:space="preserve">云南雨涵房地产评估有限责任公司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DD0B58"/>
    <w:multiLevelType w:val="multilevel"/>
    <w:tmpl w:val="44DD0B58"/>
    <w:lvl w:ilvl="0" w:tentative="0">
      <w:start w:val="1"/>
      <w:numFmt w:val="japaneseCounting"/>
      <w:lvlText w:val="(%1)"/>
      <w:lvlJc w:val="left"/>
      <w:pPr>
        <w:ind w:left="978" w:hanging="720"/>
      </w:pPr>
      <w:rPr>
        <w:rFonts w:hint="default"/>
      </w:rPr>
    </w:lvl>
    <w:lvl w:ilvl="1" w:tentative="0">
      <w:start w:val="1"/>
      <w:numFmt w:val="lowerLetter"/>
      <w:lvlText w:val="%2)"/>
      <w:lvlJc w:val="left"/>
      <w:pPr>
        <w:ind w:left="1098" w:hanging="420"/>
      </w:pPr>
    </w:lvl>
    <w:lvl w:ilvl="2" w:tentative="0">
      <w:start w:val="1"/>
      <w:numFmt w:val="lowerRoman"/>
      <w:lvlText w:val="%3."/>
      <w:lvlJc w:val="right"/>
      <w:pPr>
        <w:ind w:left="1518" w:hanging="420"/>
      </w:pPr>
    </w:lvl>
    <w:lvl w:ilvl="3" w:tentative="0">
      <w:start w:val="1"/>
      <w:numFmt w:val="decimal"/>
      <w:lvlText w:val="%4."/>
      <w:lvlJc w:val="left"/>
      <w:pPr>
        <w:ind w:left="1938" w:hanging="420"/>
      </w:pPr>
    </w:lvl>
    <w:lvl w:ilvl="4" w:tentative="0">
      <w:start w:val="1"/>
      <w:numFmt w:val="lowerLetter"/>
      <w:lvlText w:val="%5)"/>
      <w:lvlJc w:val="left"/>
      <w:pPr>
        <w:ind w:left="2358" w:hanging="420"/>
      </w:pPr>
    </w:lvl>
    <w:lvl w:ilvl="5" w:tentative="0">
      <w:start w:val="1"/>
      <w:numFmt w:val="lowerRoman"/>
      <w:lvlText w:val="%6."/>
      <w:lvlJc w:val="right"/>
      <w:pPr>
        <w:ind w:left="2778" w:hanging="420"/>
      </w:pPr>
    </w:lvl>
    <w:lvl w:ilvl="6" w:tentative="0">
      <w:start w:val="1"/>
      <w:numFmt w:val="decimal"/>
      <w:lvlText w:val="%7."/>
      <w:lvlJc w:val="left"/>
      <w:pPr>
        <w:ind w:left="3198" w:hanging="420"/>
      </w:pPr>
    </w:lvl>
    <w:lvl w:ilvl="7" w:tentative="0">
      <w:start w:val="1"/>
      <w:numFmt w:val="lowerLetter"/>
      <w:lvlText w:val="%8)"/>
      <w:lvlJc w:val="left"/>
      <w:pPr>
        <w:ind w:left="3618" w:hanging="420"/>
      </w:pPr>
    </w:lvl>
    <w:lvl w:ilvl="8" w:tentative="0">
      <w:start w:val="1"/>
      <w:numFmt w:val="lowerRoman"/>
      <w:lvlText w:val="%9."/>
      <w:lvlJc w:val="right"/>
      <w:pPr>
        <w:ind w:left="4038" w:hanging="420"/>
      </w:pPr>
    </w:lvl>
  </w:abstractNum>
  <w:abstractNum w:abstractNumId="1">
    <w:nsid w:val="53923CAB"/>
    <w:multiLevelType w:val="multilevel"/>
    <w:tmpl w:val="53923CAB"/>
    <w:lvl w:ilvl="0" w:tentative="0">
      <w:start w:val="1"/>
      <w:numFmt w:val="japaneseCounting"/>
      <w:lvlText w:val="(%1)"/>
      <w:lvlJc w:val="left"/>
      <w:pPr>
        <w:ind w:left="978" w:hanging="720"/>
      </w:pPr>
      <w:rPr>
        <w:rFonts w:hint="default"/>
      </w:rPr>
    </w:lvl>
    <w:lvl w:ilvl="1" w:tentative="0">
      <w:start w:val="1"/>
      <w:numFmt w:val="lowerLetter"/>
      <w:lvlText w:val="%2)"/>
      <w:lvlJc w:val="left"/>
      <w:pPr>
        <w:ind w:left="1098" w:hanging="420"/>
      </w:pPr>
    </w:lvl>
    <w:lvl w:ilvl="2" w:tentative="0">
      <w:start w:val="1"/>
      <w:numFmt w:val="lowerRoman"/>
      <w:lvlText w:val="%3."/>
      <w:lvlJc w:val="right"/>
      <w:pPr>
        <w:ind w:left="1518" w:hanging="420"/>
      </w:pPr>
    </w:lvl>
    <w:lvl w:ilvl="3" w:tentative="0">
      <w:start w:val="1"/>
      <w:numFmt w:val="decimal"/>
      <w:lvlText w:val="%4."/>
      <w:lvlJc w:val="left"/>
      <w:pPr>
        <w:ind w:left="1938" w:hanging="420"/>
      </w:pPr>
    </w:lvl>
    <w:lvl w:ilvl="4" w:tentative="0">
      <w:start w:val="1"/>
      <w:numFmt w:val="lowerLetter"/>
      <w:lvlText w:val="%5)"/>
      <w:lvlJc w:val="left"/>
      <w:pPr>
        <w:ind w:left="2358" w:hanging="420"/>
      </w:pPr>
    </w:lvl>
    <w:lvl w:ilvl="5" w:tentative="0">
      <w:start w:val="1"/>
      <w:numFmt w:val="lowerRoman"/>
      <w:lvlText w:val="%6."/>
      <w:lvlJc w:val="right"/>
      <w:pPr>
        <w:ind w:left="2778" w:hanging="420"/>
      </w:pPr>
    </w:lvl>
    <w:lvl w:ilvl="6" w:tentative="0">
      <w:start w:val="1"/>
      <w:numFmt w:val="decimal"/>
      <w:lvlText w:val="%7."/>
      <w:lvlJc w:val="left"/>
      <w:pPr>
        <w:ind w:left="3198" w:hanging="420"/>
      </w:pPr>
    </w:lvl>
    <w:lvl w:ilvl="7" w:tentative="0">
      <w:start w:val="1"/>
      <w:numFmt w:val="lowerLetter"/>
      <w:lvlText w:val="%8)"/>
      <w:lvlJc w:val="left"/>
      <w:pPr>
        <w:ind w:left="3618" w:hanging="420"/>
      </w:pPr>
    </w:lvl>
    <w:lvl w:ilvl="8" w:tentative="0">
      <w:start w:val="1"/>
      <w:numFmt w:val="lowerRoman"/>
      <w:lvlText w:val="%9."/>
      <w:lvlJc w:val="right"/>
      <w:pPr>
        <w:ind w:left="4038"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dit="readOnly"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6"/>
      <o:rules v:ext="edit">
        <o:r id="V:Rule1" type="connector" idref="#_x0000_s6202"/>
        <o:r id="V:Rule2" type="connector" idref="#_x0000_s6203"/>
        <o:r id="V:Rule3" type="connector" idref="#_x0000_s6207"/>
        <o:r id="V:Rule4" type="connector" idref="#_x0000_s6208"/>
      </o:rules>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cyMTNhOWFjNWQwNjQ3MTljOGI3ZDU2ZGQ1MWJkNjcifQ=="/>
  </w:docVars>
  <w:rsids>
    <w:rsidRoot w:val="00172A27"/>
    <w:rsid w:val="000016DA"/>
    <w:rsid w:val="00001827"/>
    <w:rsid w:val="00005290"/>
    <w:rsid w:val="00005C43"/>
    <w:rsid w:val="0000658B"/>
    <w:rsid w:val="00007541"/>
    <w:rsid w:val="00007B44"/>
    <w:rsid w:val="000117C6"/>
    <w:rsid w:val="00012C13"/>
    <w:rsid w:val="000131E6"/>
    <w:rsid w:val="00013FB0"/>
    <w:rsid w:val="0001534F"/>
    <w:rsid w:val="00015F97"/>
    <w:rsid w:val="00016EBD"/>
    <w:rsid w:val="00016F07"/>
    <w:rsid w:val="00020A22"/>
    <w:rsid w:val="00020DA1"/>
    <w:rsid w:val="00022554"/>
    <w:rsid w:val="00023110"/>
    <w:rsid w:val="00026078"/>
    <w:rsid w:val="000307BD"/>
    <w:rsid w:val="00030AD1"/>
    <w:rsid w:val="00031C69"/>
    <w:rsid w:val="00032357"/>
    <w:rsid w:val="0003311C"/>
    <w:rsid w:val="0003429C"/>
    <w:rsid w:val="000344BB"/>
    <w:rsid w:val="00035187"/>
    <w:rsid w:val="000358DE"/>
    <w:rsid w:val="00036274"/>
    <w:rsid w:val="000369C3"/>
    <w:rsid w:val="00037BF0"/>
    <w:rsid w:val="00040917"/>
    <w:rsid w:val="000420CD"/>
    <w:rsid w:val="000428C6"/>
    <w:rsid w:val="00042D90"/>
    <w:rsid w:val="000438B8"/>
    <w:rsid w:val="00044CAA"/>
    <w:rsid w:val="000456F8"/>
    <w:rsid w:val="000461AE"/>
    <w:rsid w:val="000468A2"/>
    <w:rsid w:val="00046DA4"/>
    <w:rsid w:val="00050F10"/>
    <w:rsid w:val="00052126"/>
    <w:rsid w:val="00052143"/>
    <w:rsid w:val="0005359C"/>
    <w:rsid w:val="00053BD3"/>
    <w:rsid w:val="00054198"/>
    <w:rsid w:val="00057376"/>
    <w:rsid w:val="00060C58"/>
    <w:rsid w:val="00060D27"/>
    <w:rsid w:val="000611E2"/>
    <w:rsid w:val="00061C6D"/>
    <w:rsid w:val="00061EB0"/>
    <w:rsid w:val="00062963"/>
    <w:rsid w:val="00062FC2"/>
    <w:rsid w:val="000651AF"/>
    <w:rsid w:val="00066506"/>
    <w:rsid w:val="00066DA6"/>
    <w:rsid w:val="00067382"/>
    <w:rsid w:val="0007024E"/>
    <w:rsid w:val="00070B66"/>
    <w:rsid w:val="00070BED"/>
    <w:rsid w:val="00072506"/>
    <w:rsid w:val="000726FF"/>
    <w:rsid w:val="000730FF"/>
    <w:rsid w:val="00073378"/>
    <w:rsid w:val="000740D6"/>
    <w:rsid w:val="000747CB"/>
    <w:rsid w:val="000758F6"/>
    <w:rsid w:val="0007697A"/>
    <w:rsid w:val="000778CD"/>
    <w:rsid w:val="00081896"/>
    <w:rsid w:val="00081DCF"/>
    <w:rsid w:val="00081E62"/>
    <w:rsid w:val="00085569"/>
    <w:rsid w:val="000920A9"/>
    <w:rsid w:val="00093355"/>
    <w:rsid w:val="00093B46"/>
    <w:rsid w:val="000947BF"/>
    <w:rsid w:val="0009530F"/>
    <w:rsid w:val="0009606A"/>
    <w:rsid w:val="00096713"/>
    <w:rsid w:val="00096EB3"/>
    <w:rsid w:val="000A1B7B"/>
    <w:rsid w:val="000A1CF4"/>
    <w:rsid w:val="000A2C79"/>
    <w:rsid w:val="000A343A"/>
    <w:rsid w:val="000A3D88"/>
    <w:rsid w:val="000A5369"/>
    <w:rsid w:val="000A5663"/>
    <w:rsid w:val="000A6A7E"/>
    <w:rsid w:val="000B0A7A"/>
    <w:rsid w:val="000B1BA6"/>
    <w:rsid w:val="000B23AF"/>
    <w:rsid w:val="000B27EF"/>
    <w:rsid w:val="000B4200"/>
    <w:rsid w:val="000B46C5"/>
    <w:rsid w:val="000B4C44"/>
    <w:rsid w:val="000B6192"/>
    <w:rsid w:val="000B78A5"/>
    <w:rsid w:val="000C1492"/>
    <w:rsid w:val="000C1537"/>
    <w:rsid w:val="000C1889"/>
    <w:rsid w:val="000C28A6"/>
    <w:rsid w:val="000C28D0"/>
    <w:rsid w:val="000C3B84"/>
    <w:rsid w:val="000C4019"/>
    <w:rsid w:val="000C5333"/>
    <w:rsid w:val="000C788A"/>
    <w:rsid w:val="000D02B8"/>
    <w:rsid w:val="000D102A"/>
    <w:rsid w:val="000D1580"/>
    <w:rsid w:val="000D1E1D"/>
    <w:rsid w:val="000D233C"/>
    <w:rsid w:val="000D2CC7"/>
    <w:rsid w:val="000D2D51"/>
    <w:rsid w:val="000D3142"/>
    <w:rsid w:val="000D33DD"/>
    <w:rsid w:val="000D4FFE"/>
    <w:rsid w:val="000D5280"/>
    <w:rsid w:val="000D5B11"/>
    <w:rsid w:val="000D72AB"/>
    <w:rsid w:val="000E0042"/>
    <w:rsid w:val="000E0EED"/>
    <w:rsid w:val="000E2110"/>
    <w:rsid w:val="000E426C"/>
    <w:rsid w:val="000E4F2F"/>
    <w:rsid w:val="000E5023"/>
    <w:rsid w:val="000E6DF2"/>
    <w:rsid w:val="000E6EBE"/>
    <w:rsid w:val="000F02A9"/>
    <w:rsid w:val="000F251E"/>
    <w:rsid w:val="000F2C9E"/>
    <w:rsid w:val="000F35F7"/>
    <w:rsid w:val="000F49F5"/>
    <w:rsid w:val="000F6B00"/>
    <w:rsid w:val="000F704C"/>
    <w:rsid w:val="000F7D57"/>
    <w:rsid w:val="001002AB"/>
    <w:rsid w:val="00100902"/>
    <w:rsid w:val="00101E72"/>
    <w:rsid w:val="00102381"/>
    <w:rsid w:val="00103E81"/>
    <w:rsid w:val="0010544C"/>
    <w:rsid w:val="00106934"/>
    <w:rsid w:val="001101EE"/>
    <w:rsid w:val="001120D3"/>
    <w:rsid w:val="00112935"/>
    <w:rsid w:val="00113046"/>
    <w:rsid w:val="00113825"/>
    <w:rsid w:val="00115052"/>
    <w:rsid w:val="00115BA0"/>
    <w:rsid w:val="00117949"/>
    <w:rsid w:val="00121971"/>
    <w:rsid w:val="00122595"/>
    <w:rsid w:val="0012313D"/>
    <w:rsid w:val="001234B7"/>
    <w:rsid w:val="00123899"/>
    <w:rsid w:val="0012449F"/>
    <w:rsid w:val="001259C6"/>
    <w:rsid w:val="001271FE"/>
    <w:rsid w:val="001307DF"/>
    <w:rsid w:val="00130CC2"/>
    <w:rsid w:val="00130E77"/>
    <w:rsid w:val="001313B7"/>
    <w:rsid w:val="00131597"/>
    <w:rsid w:val="00132B16"/>
    <w:rsid w:val="00135555"/>
    <w:rsid w:val="001362A5"/>
    <w:rsid w:val="00136F0D"/>
    <w:rsid w:val="00137849"/>
    <w:rsid w:val="00140FFC"/>
    <w:rsid w:val="001424C7"/>
    <w:rsid w:val="0014252F"/>
    <w:rsid w:val="001449B4"/>
    <w:rsid w:val="00146472"/>
    <w:rsid w:val="00150DA8"/>
    <w:rsid w:val="001516B1"/>
    <w:rsid w:val="001527D1"/>
    <w:rsid w:val="00155B85"/>
    <w:rsid w:val="00156152"/>
    <w:rsid w:val="00156AD9"/>
    <w:rsid w:val="0016393C"/>
    <w:rsid w:val="00166772"/>
    <w:rsid w:val="001677AB"/>
    <w:rsid w:val="0016793F"/>
    <w:rsid w:val="0017089B"/>
    <w:rsid w:val="00172612"/>
    <w:rsid w:val="001726BC"/>
    <w:rsid w:val="00172A27"/>
    <w:rsid w:val="00172A9E"/>
    <w:rsid w:val="001747C7"/>
    <w:rsid w:val="00174DF6"/>
    <w:rsid w:val="00176072"/>
    <w:rsid w:val="001760E9"/>
    <w:rsid w:val="001763AB"/>
    <w:rsid w:val="00180117"/>
    <w:rsid w:val="001802E4"/>
    <w:rsid w:val="00180494"/>
    <w:rsid w:val="00181410"/>
    <w:rsid w:val="00181E27"/>
    <w:rsid w:val="0018235B"/>
    <w:rsid w:val="001829F5"/>
    <w:rsid w:val="001833B9"/>
    <w:rsid w:val="0018461D"/>
    <w:rsid w:val="00186510"/>
    <w:rsid w:val="001867A5"/>
    <w:rsid w:val="00190C88"/>
    <w:rsid w:val="00191E65"/>
    <w:rsid w:val="00193F63"/>
    <w:rsid w:val="00193F80"/>
    <w:rsid w:val="00195B5B"/>
    <w:rsid w:val="00196CE6"/>
    <w:rsid w:val="0019757D"/>
    <w:rsid w:val="00197A87"/>
    <w:rsid w:val="00197C15"/>
    <w:rsid w:val="001A0A3B"/>
    <w:rsid w:val="001A15EF"/>
    <w:rsid w:val="001A204C"/>
    <w:rsid w:val="001A35F4"/>
    <w:rsid w:val="001A4031"/>
    <w:rsid w:val="001A4776"/>
    <w:rsid w:val="001A50D3"/>
    <w:rsid w:val="001A5DCD"/>
    <w:rsid w:val="001A5DF4"/>
    <w:rsid w:val="001A6BA4"/>
    <w:rsid w:val="001A7170"/>
    <w:rsid w:val="001A773C"/>
    <w:rsid w:val="001A7F37"/>
    <w:rsid w:val="001B1627"/>
    <w:rsid w:val="001B1C8C"/>
    <w:rsid w:val="001B2DB9"/>
    <w:rsid w:val="001B3E6F"/>
    <w:rsid w:val="001B47E8"/>
    <w:rsid w:val="001B5F4D"/>
    <w:rsid w:val="001B7DE8"/>
    <w:rsid w:val="001C0A2D"/>
    <w:rsid w:val="001C144C"/>
    <w:rsid w:val="001C1C8B"/>
    <w:rsid w:val="001C3D02"/>
    <w:rsid w:val="001C3DFF"/>
    <w:rsid w:val="001C4E61"/>
    <w:rsid w:val="001C54CD"/>
    <w:rsid w:val="001C58AD"/>
    <w:rsid w:val="001C6EA0"/>
    <w:rsid w:val="001C7D59"/>
    <w:rsid w:val="001D0302"/>
    <w:rsid w:val="001D158D"/>
    <w:rsid w:val="001D1D0C"/>
    <w:rsid w:val="001D2968"/>
    <w:rsid w:val="001D2CD9"/>
    <w:rsid w:val="001D3583"/>
    <w:rsid w:val="001D3DD7"/>
    <w:rsid w:val="001D4789"/>
    <w:rsid w:val="001D4AFE"/>
    <w:rsid w:val="001D4B31"/>
    <w:rsid w:val="001D59B7"/>
    <w:rsid w:val="001D69D1"/>
    <w:rsid w:val="001D7541"/>
    <w:rsid w:val="001D7E7D"/>
    <w:rsid w:val="001E2D8A"/>
    <w:rsid w:val="001E6605"/>
    <w:rsid w:val="001E6D0A"/>
    <w:rsid w:val="001E7B39"/>
    <w:rsid w:val="001E7BFE"/>
    <w:rsid w:val="001F0311"/>
    <w:rsid w:val="001F056E"/>
    <w:rsid w:val="001F2692"/>
    <w:rsid w:val="001F28B0"/>
    <w:rsid w:val="001F29AA"/>
    <w:rsid w:val="001F339A"/>
    <w:rsid w:val="001F351A"/>
    <w:rsid w:val="001F3DE4"/>
    <w:rsid w:val="001F4EAC"/>
    <w:rsid w:val="001F5A67"/>
    <w:rsid w:val="001F6C22"/>
    <w:rsid w:val="001F736B"/>
    <w:rsid w:val="001F7B4B"/>
    <w:rsid w:val="0020040E"/>
    <w:rsid w:val="00201E16"/>
    <w:rsid w:val="0020207A"/>
    <w:rsid w:val="00202AF4"/>
    <w:rsid w:val="00203291"/>
    <w:rsid w:val="002048D7"/>
    <w:rsid w:val="00205DE3"/>
    <w:rsid w:val="00206C6B"/>
    <w:rsid w:val="00207496"/>
    <w:rsid w:val="00207BE6"/>
    <w:rsid w:val="00211253"/>
    <w:rsid w:val="00211280"/>
    <w:rsid w:val="00211308"/>
    <w:rsid w:val="002115EA"/>
    <w:rsid w:val="00211EF3"/>
    <w:rsid w:val="00213258"/>
    <w:rsid w:val="00214B99"/>
    <w:rsid w:val="00220091"/>
    <w:rsid w:val="00220E51"/>
    <w:rsid w:val="00220EB9"/>
    <w:rsid w:val="00221A50"/>
    <w:rsid w:val="0022340B"/>
    <w:rsid w:val="002235CD"/>
    <w:rsid w:val="002245B3"/>
    <w:rsid w:val="002248DA"/>
    <w:rsid w:val="00224BCD"/>
    <w:rsid w:val="0022521C"/>
    <w:rsid w:val="00225D99"/>
    <w:rsid w:val="00227213"/>
    <w:rsid w:val="0022748F"/>
    <w:rsid w:val="00227968"/>
    <w:rsid w:val="002310CD"/>
    <w:rsid w:val="002314E2"/>
    <w:rsid w:val="00231FEF"/>
    <w:rsid w:val="0023223F"/>
    <w:rsid w:val="0023299D"/>
    <w:rsid w:val="002333D1"/>
    <w:rsid w:val="0023398E"/>
    <w:rsid w:val="00233E40"/>
    <w:rsid w:val="0023572C"/>
    <w:rsid w:val="00240D57"/>
    <w:rsid w:val="00241DCC"/>
    <w:rsid w:val="00243302"/>
    <w:rsid w:val="00245981"/>
    <w:rsid w:val="0024705B"/>
    <w:rsid w:val="00252FB9"/>
    <w:rsid w:val="00253160"/>
    <w:rsid w:val="002546D4"/>
    <w:rsid w:val="002546D6"/>
    <w:rsid w:val="0025480B"/>
    <w:rsid w:val="002558F9"/>
    <w:rsid w:val="0026032D"/>
    <w:rsid w:val="00261661"/>
    <w:rsid w:val="00261838"/>
    <w:rsid w:val="00262E68"/>
    <w:rsid w:val="00264002"/>
    <w:rsid w:val="00264A71"/>
    <w:rsid w:val="00265AE6"/>
    <w:rsid w:val="00266714"/>
    <w:rsid w:val="00267D1F"/>
    <w:rsid w:val="00271AC8"/>
    <w:rsid w:val="00273F07"/>
    <w:rsid w:val="002758AF"/>
    <w:rsid w:val="00275A48"/>
    <w:rsid w:val="00276D89"/>
    <w:rsid w:val="002775D8"/>
    <w:rsid w:val="0028072E"/>
    <w:rsid w:val="00280DA5"/>
    <w:rsid w:val="00280FBB"/>
    <w:rsid w:val="002817BC"/>
    <w:rsid w:val="00282113"/>
    <w:rsid w:val="0028218D"/>
    <w:rsid w:val="0028399B"/>
    <w:rsid w:val="00283D10"/>
    <w:rsid w:val="00284244"/>
    <w:rsid w:val="002848E3"/>
    <w:rsid w:val="00286CFF"/>
    <w:rsid w:val="0028734B"/>
    <w:rsid w:val="00287A2E"/>
    <w:rsid w:val="00292582"/>
    <w:rsid w:val="00292587"/>
    <w:rsid w:val="00295292"/>
    <w:rsid w:val="002952A5"/>
    <w:rsid w:val="0029559C"/>
    <w:rsid w:val="00295F60"/>
    <w:rsid w:val="0029604B"/>
    <w:rsid w:val="002964F0"/>
    <w:rsid w:val="00296810"/>
    <w:rsid w:val="002970C5"/>
    <w:rsid w:val="002A0781"/>
    <w:rsid w:val="002A1047"/>
    <w:rsid w:val="002A2671"/>
    <w:rsid w:val="002A28D4"/>
    <w:rsid w:val="002A2993"/>
    <w:rsid w:val="002A2B7D"/>
    <w:rsid w:val="002A3356"/>
    <w:rsid w:val="002A350F"/>
    <w:rsid w:val="002A5496"/>
    <w:rsid w:val="002A5DD6"/>
    <w:rsid w:val="002A6510"/>
    <w:rsid w:val="002A6A07"/>
    <w:rsid w:val="002A6F70"/>
    <w:rsid w:val="002A7D8B"/>
    <w:rsid w:val="002B2782"/>
    <w:rsid w:val="002B2B22"/>
    <w:rsid w:val="002B3986"/>
    <w:rsid w:val="002B3D2E"/>
    <w:rsid w:val="002B426C"/>
    <w:rsid w:val="002B43F0"/>
    <w:rsid w:val="002B4864"/>
    <w:rsid w:val="002B4E20"/>
    <w:rsid w:val="002B6390"/>
    <w:rsid w:val="002B77BA"/>
    <w:rsid w:val="002C16DC"/>
    <w:rsid w:val="002C1922"/>
    <w:rsid w:val="002C2270"/>
    <w:rsid w:val="002C23D9"/>
    <w:rsid w:val="002C4894"/>
    <w:rsid w:val="002C4E55"/>
    <w:rsid w:val="002C6076"/>
    <w:rsid w:val="002C6E12"/>
    <w:rsid w:val="002C7149"/>
    <w:rsid w:val="002C77E3"/>
    <w:rsid w:val="002C7AE7"/>
    <w:rsid w:val="002C7EA0"/>
    <w:rsid w:val="002D066C"/>
    <w:rsid w:val="002D0E56"/>
    <w:rsid w:val="002D10BD"/>
    <w:rsid w:val="002D1592"/>
    <w:rsid w:val="002D16F8"/>
    <w:rsid w:val="002D1B12"/>
    <w:rsid w:val="002D35CF"/>
    <w:rsid w:val="002D43FB"/>
    <w:rsid w:val="002D4732"/>
    <w:rsid w:val="002D7E71"/>
    <w:rsid w:val="002E0C50"/>
    <w:rsid w:val="002E2347"/>
    <w:rsid w:val="002E252E"/>
    <w:rsid w:val="002E2746"/>
    <w:rsid w:val="002E2978"/>
    <w:rsid w:val="002E2A70"/>
    <w:rsid w:val="002E3E52"/>
    <w:rsid w:val="002E553B"/>
    <w:rsid w:val="002E5553"/>
    <w:rsid w:val="002E55F2"/>
    <w:rsid w:val="002E5629"/>
    <w:rsid w:val="002E5D49"/>
    <w:rsid w:val="002E6BB3"/>
    <w:rsid w:val="002E7D58"/>
    <w:rsid w:val="002E7D5B"/>
    <w:rsid w:val="002F04FD"/>
    <w:rsid w:val="002F0CF8"/>
    <w:rsid w:val="002F0DDD"/>
    <w:rsid w:val="002F10E7"/>
    <w:rsid w:val="002F1804"/>
    <w:rsid w:val="002F1E29"/>
    <w:rsid w:val="002F23A1"/>
    <w:rsid w:val="002F34D6"/>
    <w:rsid w:val="002F455F"/>
    <w:rsid w:val="002F5FFD"/>
    <w:rsid w:val="002F7003"/>
    <w:rsid w:val="002F793D"/>
    <w:rsid w:val="0030054B"/>
    <w:rsid w:val="00300862"/>
    <w:rsid w:val="003061A1"/>
    <w:rsid w:val="003069CB"/>
    <w:rsid w:val="00306C98"/>
    <w:rsid w:val="003070C0"/>
    <w:rsid w:val="00307C32"/>
    <w:rsid w:val="00307CB2"/>
    <w:rsid w:val="00311145"/>
    <w:rsid w:val="0031131B"/>
    <w:rsid w:val="00311B6E"/>
    <w:rsid w:val="003128D8"/>
    <w:rsid w:val="003131AA"/>
    <w:rsid w:val="00313943"/>
    <w:rsid w:val="0031490C"/>
    <w:rsid w:val="0031513C"/>
    <w:rsid w:val="0031578D"/>
    <w:rsid w:val="00315F4A"/>
    <w:rsid w:val="003166A8"/>
    <w:rsid w:val="0031738A"/>
    <w:rsid w:val="00317E9C"/>
    <w:rsid w:val="003208C2"/>
    <w:rsid w:val="00321B26"/>
    <w:rsid w:val="00322047"/>
    <w:rsid w:val="00322DB7"/>
    <w:rsid w:val="0032344B"/>
    <w:rsid w:val="00323C8A"/>
    <w:rsid w:val="00323C97"/>
    <w:rsid w:val="00324139"/>
    <w:rsid w:val="0032508D"/>
    <w:rsid w:val="0032559F"/>
    <w:rsid w:val="00326067"/>
    <w:rsid w:val="003266B1"/>
    <w:rsid w:val="00327811"/>
    <w:rsid w:val="00332748"/>
    <w:rsid w:val="003328F2"/>
    <w:rsid w:val="0033405F"/>
    <w:rsid w:val="003354D6"/>
    <w:rsid w:val="003355E8"/>
    <w:rsid w:val="00336DC4"/>
    <w:rsid w:val="00337CAC"/>
    <w:rsid w:val="0034132E"/>
    <w:rsid w:val="0034176E"/>
    <w:rsid w:val="00341AB6"/>
    <w:rsid w:val="00341B33"/>
    <w:rsid w:val="00343EF9"/>
    <w:rsid w:val="0034534E"/>
    <w:rsid w:val="00345365"/>
    <w:rsid w:val="00345D55"/>
    <w:rsid w:val="003473B6"/>
    <w:rsid w:val="00351A4C"/>
    <w:rsid w:val="00351AF2"/>
    <w:rsid w:val="003525C3"/>
    <w:rsid w:val="00353486"/>
    <w:rsid w:val="00353492"/>
    <w:rsid w:val="00353B5D"/>
    <w:rsid w:val="00354990"/>
    <w:rsid w:val="00354AA8"/>
    <w:rsid w:val="00355150"/>
    <w:rsid w:val="003561BF"/>
    <w:rsid w:val="00356353"/>
    <w:rsid w:val="0036071F"/>
    <w:rsid w:val="00361F98"/>
    <w:rsid w:val="00362A49"/>
    <w:rsid w:val="00362B22"/>
    <w:rsid w:val="00363AAF"/>
    <w:rsid w:val="00363F10"/>
    <w:rsid w:val="00365F38"/>
    <w:rsid w:val="003675A6"/>
    <w:rsid w:val="00367A80"/>
    <w:rsid w:val="00367EB7"/>
    <w:rsid w:val="00367F81"/>
    <w:rsid w:val="00370822"/>
    <w:rsid w:val="00370DDC"/>
    <w:rsid w:val="0037198E"/>
    <w:rsid w:val="00373D00"/>
    <w:rsid w:val="00374A0D"/>
    <w:rsid w:val="00374A21"/>
    <w:rsid w:val="00374B88"/>
    <w:rsid w:val="00375489"/>
    <w:rsid w:val="00375608"/>
    <w:rsid w:val="00375832"/>
    <w:rsid w:val="00376138"/>
    <w:rsid w:val="00376862"/>
    <w:rsid w:val="00376E64"/>
    <w:rsid w:val="003772EA"/>
    <w:rsid w:val="00380ACA"/>
    <w:rsid w:val="003812F1"/>
    <w:rsid w:val="003814DA"/>
    <w:rsid w:val="0038285E"/>
    <w:rsid w:val="00383AE3"/>
    <w:rsid w:val="00383E44"/>
    <w:rsid w:val="00387406"/>
    <w:rsid w:val="00387F7A"/>
    <w:rsid w:val="00391934"/>
    <w:rsid w:val="00393EA2"/>
    <w:rsid w:val="003941B9"/>
    <w:rsid w:val="00394DEF"/>
    <w:rsid w:val="00395110"/>
    <w:rsid w:val="003A00AA"/>
    <w:rsid w:val="003A1301"/>
    <w:rsid w:val="003A22BB"/>
    <w:rsid w:val="003A349C"/>
    <w:rsid w:val="003A631E"/>
    <w:rsid w:val="003A789C"/>
    <w:rsid w:val="003B21FB"/>
    <w:rsid w:val="003B2A7B"/>
    <w:rsid w:val="003B357D"/>
    <w:rsid w:val="003B51DD"/>
    <w:rsid w:val="003B5336"/>
    <w:rsid w:val="003B650C"/>
    <w:rsid w:val="003B7589"/>
    <w:rsid w:val="003B7BEF"/>
    <w:rsid w:val="003C076F"/>
    <w:rsid w:val="003C2940"/>
    <w:rsid w:val="003C34B0"/>
    <w:rsid w:val="003C421B"/>
    <w:rsid w:val="003C4AFF"/>
    <w:rsid w:val="003C4D28"/>
    <w:rsid w:val="003C4F68"/>
    <w:rsid w:val="003C5371"/>
    <w:rsid w:val="003C5B7E"/>
    <w:rsid w:val="003C62A6"/>
    <w:rsid w:val="003C7591"/>
    <w:rsid w:val="003C7AE7"/>
    <w:rsid w:val="003C7F24"/>
    <w:rsid w:val="003D0F13"/>
    <w:rsid w:val="003D158D"/>
    <w:rsid w:val="003D3698"/>
    <w:rsid w:val="003D3914"/>
    <w:rsid w:val="003D3CFD"/>
    <w:rsid w:val="003D3EFE"/>
    <w:rsid w:val="003D7355"/>
    <w:rsid w:val="003E293D"/>
    <w:rsid w:val="003E33EA"/>
    <w:rsid w:val="003E35A1"/>
    <w:rsid w:val="003E4512"/>
    <w:rsid w:val="003E4B63"/>
    <w:rsid w:val="003E5284"/>
    <w:rsid w:val="003E684E"/>
    <w:rsid w:val="003E743D"/>
    <w:rsid w:val="003E76F1"/>
    <w:rsid w:val="003E7D26"/>
    <w:rsid w:val="003E7D8A"/>
    <w:rsid w:val="003E7E3B"/>
    <w:rsid w:val="003F0F2F"/>
    <w:rsid w:val="003F21AB"/>
    <w:rsid w:val="003F24A3"/>
    <w:rsid w:val="003F2D4E"/>
    <w:rsid w:val="003F3969"/>
    <w:rsid w:val="003F4605"/>
    <w:rsid w:val="003F4625"/>
    <w:rsid w:val="003F573E"/>
    <w:rsid w:val="003F5944"/>
    <w:rsid w:val="003F6924"/>
    <w:rsid w:val="003F760A"/>
    <w:rsid w:val="003F7F61"/>
    <w:rsid w:val="004023F7"/>
    <w:rsid w:val="00402CD4"/>
    <w:rsid w:val="00402CF6"/>
    <w:rsid w:val="00404EB1"/>
    <w:rsid w:val="004059E1"/>
    <w:rsid w:val="004064A2"/>
    <w:rsid w:val="004108F2"/>
    <w:rsid w:val="00410CBE"/>
    <w:rsid w:val="004117F0"/>
    <w:rsid w:val="00411CF6"/>
    <w:rsid w:val="004120E8"/>
    <w:rsid w:val="004133D5"/>
    <w:rsid w:val="0041369A"/>
    <w:rsid w:val="004143D5"/>
    <w:rsid w:val="00414E85"/>
    <w:rsid w:val="004157FF"/>
    <w:rsid w:val="0041596C"/>
    <w:rsid w:val="00417F0D"/>
    <w:rsid w:val="00420C83"/>
    <w:rsid w:val="00423E69"/>
    <w:rsid w:val="004241DA"/>
    <w:rsid w:val="00425ADC"/>
    <w:rsid w:val="00425F4B"/>
    <w:rsid w:val="004277BF"/>
    <w:rsid w:val="00427B0D"/>
    <w:rsid w:val="0043013C"/>
    <w:rsid w:val="00431512"/>
    <w:rsid w:val="00432489"/>
    <w:rsid w:val="00433305"/>
    <w:rsid w:val="00433907"/>
    <w:rsid w:val="004352E3"/>
    <w:rsid w:val="00436C24"/>
    <w:rsid w:val="00436ECE"/>
    <w:rsid w:val="00437A39"/>
    <w:rsid w:val="00437B63"/>
    <w:rsid w:val="00437D97"/>
    <w:rsid w:val="004410EA"/>
    <w:rsid w:val="00443727"/>
    <w:rsid w:val="004444D6"/>
    <w:rsid w:val="00445A94"/>
    <w:rsid w:val="00445EE9"/>
    <w:rsid w:val="004462B1"/>
    <w:rsid w:val="00446740"/>
    <w:rsid w:val="0045012D"/>
    <w:rsid w:val="0045061E"/>
    <w:rsid w:val="0045108B"/>
    <w:rsid w:val="00452784"/>
    <w:rsid w:val="00452B97"/>
    <w:rsid w:val="00453CCD"/>
    <w:rsid w:val="00454BE8"/>
    <w:rsid w:val="00454E6C"/>
    <w:rsid w:val="0045596C"/>
    <w:rsid w:val="00455ACD"/>
    <w:rsid w:val="00456B04"/>
    <w:rsid w:val="0045700B"/>
    <w:rsid w:val="00460B82"/>
    <w:rsid w:val="00462258"/>
    <w:rsid w:val="00462BB2"/>
    <w:rsid w:val="004632AC"/>
    <w:rsid w:val="0046330A"/>
    <w:rsid w:val="00464953"/>
    <w:rsid w:val="00464F53"/>
    <w:rsid w:val="00465129"/>
    <w:rsid w:val="004659AA"/>
    <w:rsid w:val="00465F17"/>
    <w:rsid w:val="00466CE4"/>
    <w:rsid w:val="00467786"/>
    <w:rsid w:val="00471349"/>
    <w:rsid w:val="00471517"/>
    <w:rsid w:val="00472071"/>
    <w:rsid w:val="00472158"/>
    <w:rsid w:val="004721D1"/>
    <w:rsid w:val="004725BC"/>
    <w:rsid w:val="00472868"/>
    <w:rsid w:val="0047413D"/>
    <w:rsid w:val="0047436A"/>
    <w:rsid w:val="004751A4"/>
    <w:rsid w:val="00476A24"/>
    <w:rsid w:val="0047774D"/>
    <w:rsid w:val="00477FD9"/>
    <w:rsid w:val="0048047B"/>
    <w:rsid w:val="00481223"/>
    <w:rsid w:val="00481DAD"/>
    <w:rsid w:val="00483D90"/>
    <w:rsid w:val="0048485D"/>
    <w:rsid w:val="00484A85"/>
    <w:rsid w:val="004850FA"/>
    <w:rsid w:val="00490EE8"/>
    <w:rsid w:val="00491808"/>
    <w:rsid w:val="0049372E"/>
    <w:rsid w:val="00493EC4"/>
    <w:rsid w:val="00494F1B"/>
    <w:rsid w:val="00495DDE"/>
    <w:rsid w:val="00497297"/>
    <w:rsid w:val="00497316"/>
    <w:rsid w:val="004977E0"/>
    <w:rsid w:val="00497A9A"/>
    <w:rsid w:val="004A3611"/>
    <w:rsid w:val="004A4AE3"/>
    <w:rsid w:val="004A4DA5"/>
    <w:rsid w:val="004A5184"/>
    <w:rsid w:val="004A58DE"/>
    <w:rsid w:val="004A5A17"/>
    <w:rsid w:val="004A6CEE"/>
    <w:rsid w:val="004B0B54"/>
    <w:rsid w:val="004B22A4"/>
    <w:rsid w:val="004B43F8"/>
    <w:rsid w:val="004B594F"/>
    <w:rsid w:val="004B6072"/>
    <w:rsid w:val="004B60BD"/>
    <w:rsid w:val="004C059A"/>
    <w:rsid w:val="004C0DD4"/>
    <w:rsid w:val="004C1086"/>
    <w:rsid w:val="004C14F1"/>
    <w:rsid w:val="004C1F54"/>
    <w:rsid w:val="004C28F6"/>
    <w:rsid w:val="004C2FF0"/>
    <w:rsid w:val="004C3E81"/>
    <w:rsid w:val="004C44E0"/>
    <w:rsid w:val="004C62D6"/>
    <w:rsid w:val="004C6348"/>
    <w:rsid w:val="004C69AF"/>
    <w:rsid w:val="004C751C"/>
    <w:rsid w:val="004D291E"/>
    <w:rsid w:val="004D3673"/>
    <w:rsid w:val="004D441C"/>
    <w:rsid w:val="004D59B3"/>
    <w:rsid w:val="004D679A"/>
    <w:rsid w:val="004D794E"/>
    <w:rsid w:val="004E1A84"/>
    <w:rsid w:val="004E26AD"/>
    <w:rsid w:val="004E327F"/>
    <w:rsid w:val="004E4205"/>
    <w:rsid w:val="004E47B5"/>
    <w:rsid w:val="004E4CFE"/>
    <w:rsid w:val="004E5734"/>
    <w:rsid w:val="004E6746"/>
    <w:rsid w:val="004E7AD9"/>
    <w:rsid w:val="004E7FA6"/>
    <w:rsid w:val="004F1948"/>
    <w:rsid w:val="004F23B8"/>
    <w:rsid w:val="004F2EAB"/>
    <w:rsid w:val="004F3874"/>
    <w:rsid w:val="004F3BAF"/>
    <w:rsid w:val="004F3DE3"/>
    <w:rsid w:val="004F490F"/>
    <w:rsid w:val="004F507F"/>
    <w:rsid w:val="004F5490"/>
    <w:rsid w:val="004F56A2"/>
    <w:rsid w:val="004F6798"/>
    <w:rsid w:val="004F7075"/>
    <w:rsid w:val="004F742F"/>
    <w:rsid w:val="004F7834"/>
    <w:rsid w:val="004F787D"/>
    <w:rsid w:val="00504365"/>
    <w:rsid w:val="00504633"/>
    <w:rsid w:val="00505403"/>
    <w:rsid w:val="005056EF"/>
    <w:rsid w:val="00506464"/>
    <w:rsid w:val="0050706F"/>
    <w:rsid w:val="00510327"/>
    <w:rsid w:val="00510E1D"/>
    <w:rsid w:val="00510F53"/>
    <w:rsid w:val="005118A9"/>
    <w:rsid w:val="0051244D"/>
    <w:rsid w:val="00512C82"/>
    <w:rsid w:val="00513120"/>
    <w:rsid w:val="00513606"/>
    <w:rsid w:val="00516924"/>
    <w:rsid w:val="0051792D"/>
    <w:rsid w:val="005203E3"/>
    <w:rsid w:val="0052170F"/>
    <w:rsid w:val="0052279D"/>
    <w:rsid w:val="00522A7A"/>
    <w:rsid w:val="00522D0D"/>
    <w:rsid w:val="00522FE9"/>
    <w:rsid w:val="00523C67"/>
    <w:rsid w:val="00523F24"/>
    <w:rsid w:val="00525C90"/>
    <w:rsid w:val="00526AD5"/>
    <w:rsid w:val="00526D00"/>
    <w:rsid w:val="00532B64"/>
    <w:rsid w:val="00534414"/>
    <w:rsid w:val="00534C90"/>
    <w:rsid w:val="00534E65"/>
    <w:rsid w:val="00534E85"/>
    <w:rsid w:val="00535240"/>
    <w:rsid w:val="00535D6A"/>
    <w:rsid w:val="00535EE6"/>
    <w:rsid w:val="00537D0D"/>
    <w:rsid w:val="00541BE7"/>
    <w:rsid w:val="00542C80"/>
    <w:rsid w:val="00543057"/>
    <w:rsid w:val="005433B0"/>
    <w:rsid w:val="0054434E"/>
    <w:rsid w:val="00544906"/>
    <w:rsid w:val="00545402"/>
    <w:rsid w:val="005454A7"/>
    <w:rsid w:val="00546C70"/>
    <w:rsid w:val="005510F6"/>
    <w:rsid w:val="00552E9E"/>
    <w:rsid w:val="005532FA"/>
    <w:rsid w:val="00553B63"/>
    <w:rsid w:val="00553DBE"/>
    <w:rsid w:val="00554BB3"/>
    <w:rsid w:val="00555747"/>
    <w:rsid w:val="00555C11"/>
    <w:rsid w:val="00556ABE"/>
    <w:rsid w:val="005578B5"/>
    <w:rsid w:val="00562454"/>
    <w:rsid w:val="00564BD4"/>
    <w:rsid w:val="00564DD4"/>
    <w:rsid w:val="00565B49"/>
    <w:rsid w:val="005660B9"/>
    <w:rsid w:val="005669CB"/>
    <w:rsid w:val="00567482"/>
    <w:rsid w:val="005678B6"/>
    <w:rsid w:val="0057087E"/>
    <w:rsid w:val="005709A7"/>
    <w:rsid w:val="005724B2"/>
    <w:rsid w:val="00572F79"/>
    <w:rsid w:val="00573118"/>
    <w:rsid w:val="00573327"/>
    <w:rsid w:val="005733E0"/>
    <w:rsid w:val="00573F51"/>
    <w:rsid w:val="00574C9B"/>
    <w:rsid w:val="00575D3F"/>
    <w:rsid w:val="005778D6"/>
    <w:rsid w:val="0058066E"/>
    <w:rsid w:val="0058135B"/>
    <w:rsid w:val="00582474"/>
    <w:rsid w:val="00582CC8"/>
    <w:rsid w:val="00583C79"/>
    <w:rsid w:val="005862D1"/>
    <w:rsid w:val="00586351"/>
    <w:rsid w:val="005905A4"/>
    <w:rsid w:val="00590B4D"/>
    <w:rsid w:val="00590D2C"/>
    <w:rsid w:val="00594F67"/>
    <w:rsid w:val="00595241"/>
    <w:rsid w:val="005978F0"/>
    <w:rsid w:val="005A263E"/>
    <w:rsid w:val="005A3C8A"/>
    <w:rsid w:val="005A41F7"/>
    <w:rsid w:val="005A4C3B"/>
    <w:rsid w:val="005A654F"/>
    <w:rsid w:val="005A7412"/>
    <w:rsid w:val="005B0517"/>
    <w:rsid w:val="005B0784"/>
    <w:rsid w:val="005B266E"/>
    <w:rsid w:val="005B3078"/>
    <w:rsid w:val="005B3546"/>
    <w:rsid w:val="005B3616"/>
    <w:rsid w:val="005B4047"/>
    <w:rsid w:val="005B6195"/>
    <w:rsid w:val="005B748D"/>
    <w:rsid w:val="005C06CD"/>
    <w:rsid w:val="005C1BF0"/>
    <w:rsid w:val="005C2353"/>
    <w:rsid w:val="005C663E"/>
    <w:rsid w:val="005C67BF"/>
    <w:rsid w:val="005C7110"/>
    <w:rsid w:val="005C71B7"/>
    <w:rsid w:val="005D0981"/>
    <w:rsid w:val="005D2BFF"/>
    <w:rsid w:val="005D2F4F"/>
    <w:rsid w:val="005D3C83"/>
    <w:rsid w:val="005D409A"/>
    <w:rsid w:val="005D5A12"/>
    <w:rsid w:val="005D7B81"/>
    <w:rsid w:val="005D7EB5"/>
    <w:rsid w:val="005D7F63"/>
    <w:rsid w:val="005E1630"/>
    <w:rsid w:val="005E2F34"/>
    <w:rsid w:val="005E342F"/>
    <w:rsid w:val="005E5667"/>
    <w:rsid w:val="005F3468"/>
    <w:rsid w:val="005F3C31"/>
    <w:rsid w:val="005F46A7"/>
    <w:rsid w:val="005F5C4F"/>
    <w:rsid w:val="005F61A6"/>
    <w:rsid w:val="005F7570"/>
    <w:rsid w:val="005F761C"/>
    <w:rsid w:val="005F7BC0"/>
    <w:rsid w:val="00600CD0"/>
    <w:rsid w:val="00601E28"/>
    <w:rsid w:val="00603B8F"/>
    <w:rsid w:val="00604C0A"/>
    <w:rsid w:val="0060640A"/>
    <w:rsid w:val="00607188"/>
    <w:rsid w:val="00607405"/>
    <w:rsid w:val="00611339"/>
    <w:rsid w:val="00612C9C"/>
    <w:rsid w:val="006131D4"/>
    <w:rsid w:val="006134C4"/>
    <w:rsid w:val="00613A88"/>
    <w:rsid w:val="00613D88"/>
    <w:rsid w:val="006148CE"/>
    <w:rsid w:val="00615C2F"/>
    <w:rsid w:val="00616E4E"/>
    <w:rsid w:val="006203B0"/>
    <w:rsid w:val="00620470"/>
    <w:rsid w:val="00620E0D"/>
    <w:rsid w:val="006215C5"/>
    <w:rsid w:val="00621E3C"/>
    <w:rsid w:val="00622505"/>
    <w:rsid w:val="00622D40"/>
    <w:rsid w:val="00623472"/>
    <w:rsid w:val="00623489"/>
    <w:rsid w:val="00623E1C"/>
    <w:rsid w:val="00624395"/>
    <w:rsid w:val="00624D1F"/>
    <w:rsid w:val="0063012E"/>
    <w:rsid w:val="00630F14"/>
    <w:rsid w:val="00631B1E"/>
    <w:rsid w:val="00631E5A"/>
    <w:rsid w:val="0063275E"/>
    <w:rsid w:val="00633E69"/>
    <w:rsid w:val="00634AAD"/>
    <w:rsid w:val="00634DA1"/>
    <w:rsid w:val="00635497"/>
    <w:rsid w:val="00635C61"/>
    <w:rsid w:val="0063642E"/>
    <w:rsid w:val="00636F90"/>
    <w:rsid w:val="00637200"/>
    <w:rsid w:val="0064098B"/>
    <w:rsid w:val="006410F7"/>
    <w:rsid w:val="006413F3"/>
    <w:rsid w:val="006414C8"/>
    <w:rsid w:val="0064183F"/>
    <w:rsid w:val="00641A66"/>
    <w:rsid w:val="006428B5"/>
    <w:rsid w:val="006429C5"/>
    <w:rsid w:val="00643BAA"/>
    <w:rsid w:val="006447C2"/>
    <w:rsid w:val="00646BFC"/>
    <w:rsid w:val="0065010D"/>
    <w:rsid w:val="0065215E"/>
    <w:rsid w:val="00655D92"/>
    <w:rsid w:val="00656A35"/>
    <w:rsid w:val="0065759F"/>
    <w:rsid w:val="00657A2C"/>
    <w:rsid w:val="00657EC3"/>
    <w:rsid w:val="006602D0"/>
    <w:rsid w:val="006613B1"/>
    <w:rsid w:val="00661680"/>
    <w:rsid w:val="00662195"/>
    <w:rsid w:val="0066275E"/>
    <w:rsid w:val="0066467B"/>
    <w:rsid w:val="006650A0"/>
    <w:rsid w:val="00665109"/>
    <w:rsid w:val="00666E4C"/>
    <w:rsid w:val="006700EC"/>
    <w:rsid w:val="00671AEC"/>
    <w:rsid w:val="00671D77"/>
    <w:rsid w:val="00673102"/>
    <w:rsid w:val="00674AB9"/>
    <w:rsid w:val="006753D8"/>
    <w:rsid w:val="006756E3"/>
    <w:rsid w:val="006765BC"/>
    <w:rsid w:val="00676A03"/>
    <w:rsid w:val="00676BCA"/>
    <w:rsid w:val="0068034D"/>
    <w:rsid w:val="0068128B"/>
    <w:rsid w:val="00682AE0"/>
    <w:rsid w:val="00684E6A"/>
    <w:rsid w:val="00684E90"/>
    <w:rsid w:val="0068549F"/>
    <w:rsid w:val="006862B5"/>
    <w:rsid w:val="0068673F"/>
    <w:rsid w:val="0069111F"/>
    <w:rsid w:val="006916E8"/>
    <w:rsid w:val="0069311E"/>
    <w:rsid w:val="0069517A"/>
    <w:rsid w:val="00695491"/>
    <w:rsid w:val="006958D1"/>
    <w:rsid w:val="00695A35"/>
    <w:rsid w:val="00695F39"/>
    <w:rsid w:val="0069643C"/>
    <w:rsid w:val="00696D2F"/>
    <w:rsid w:val="00696FF8"/>
    <w:rsid w:val="00697177"/>
    <w:rsid w:val="0069721A"/>
    <w:rsid w:val="006979AD"/>
    <w:rsid w:val="006A01D2"/>
    <w:rsid w:val="006A099D"/>
    <w:rsid w:val="006A0BF4"/>
    <w:rsid w:val="006A1283"/>
    <w:rsid w:val="006A13B3"/>
    <w:rsid w:val="006A2680"/>
    <w:rsid w:val="006A3966"/>
    <w:rsid w:val="006A3B70"/>
    <w:rsid w:val="006A40AA"/>
    <w:rsid w:val="006A5878"/>
    <w:rsid w:val="006A58C8"/>
    <w:rsid w:val="006A5BEA"/>
    <w:rsid w:val="006A631A"/>
    <w:rsid w:val="006A6CB9"/>
    <w:rsid w:val="006A777E"/>
    <w:rsid w:val="006B093B"/>
    <w:rsid w:val="006B2182"/>
    <w:rsid w:val="006B2421"/>
    <w:rsid w:val="006B25E2"/>
    <w:rsid w:val="006B2B58"/>
    <w:rsid w:val="006B36C4"/>
    <w:rsid w:val="006B376A"/>
    <w:rsid w:val="006B5370"/>
    <w:rsid w:val="006B5E6D"/>
    <w:rsid w:val="006B60D7"/>
    <w:rsid w:val="006B7442"/>
    <w:rsid w:val="006B79E5"/>
    <w:rsid w:val="006C26CC"/>
    <w:rsid w:val="006C2AB9"/>
    <w:rsid w:val="006C2FF0"/>
    <w:rsid w:val="006C3246"/>
    <w:rsid w:val="006C35E8"/>
    <w:rsid w:val="006C3722"/>
    <w:rsid w:val="006C3CAB"/>
    <w:rsid w:val="006C4C2D"/>
    <w:rsid w:val="006C5EF9"/>
    <w:rsid w:val="006C6AF8"/>
    <w:rsid w:val="006C76CD"/>
    <w:rsid w:val="006C7BC2"/>
    <w:rsid w:val="006C7D5D"/>
    <w:rsid w:val="006D071F"/>
    <w:rsid w:val="006D18B7"/>
    <w:rsid w:val="006D1D66"/>
    <w:rsid w:val="006D3996"/>
    <w:rsid w:val="006D4F56"/>
    <w:rsid w:val="006D69B8"/>
    <w:rsid w:val="006E3135"/>
    <w:rsid w:val="006E333B"/>
    <w:rsid w:val="006E3F5C"/>
    <w:rsid w:val="006E3F83"/>
    <w:rsid w:val="006E4463"/>
    <w:rsid w:val="006E484F"/>
    <w:rsid w:val="006E50FF"/>
    <w:rsid w:val="006E5341"/>
    <w:rsid w:val="006E5B8F"/>
    <w:rsid w:val="006E63AA"/>
    <w:rsid w:val="006E642E"/>
    <w:rsid w:val="006E690A"/>
    <w:rsid w:val="006E71C2"/>
    <w:rsid w:val="006E7B64"/>
    <w:rsid w:val="006F032F"/>
    <w:rsid w:val="006F0E26"/>
    <w:rsid w:val="006F1E1F"/>
    <w:rsid w:val="006F21E0"/>
    <w:rsid w:val="006F2D46"/>
    <w:rsid w:val="006F5578"/>
    <w:rsid w:val="006F60CC"/>
    <w:rsid w:val="006F666C"/>
    <w:rsid w:val="006F69CE"/>
    <w:rsid w:val="006F759E"/>
    <w:rsid w:val="006F7D08"/>
    <w:rsid w:val="00700142"/>
    <w:rsid w:val="0070064F"/>
    <w:rsid w:val="00700827"/>
    <w:rsid w:val="007013FC"/>
    <w:rsid w:val="00702ECB"/>
    <w:rsid w:val="007054A9"/>
    <w:rsid w:val="007062AA"/>
    <w:rsid w:val="007078C0"/>
    <w:rsid w:val="00707FF9"/>
    <w:rsid w:val="0071190E"/>
    <w:rsid w:val="00711E38"/>
    <w:rsid w:val="00713049"/>
    <w:rsid w:val="007137D2"/>
    <w:rsid w:val="00713A08"/>
    <w:rsid w:val="0071494B"/>
    <w:rsid w:val="00714CA2"/>
    <w:rsid w:val="00716452"/>
    <w:rsid w:val="007167C5"/>
    <w:rsid w:val="00716ECC"/>
    <w:rsid w:val="0071705A"/>
    <w:rsid w:val="007176D6"/>
    <w:rsid w:val="00717777"/>
    <w:rsid w:val="00717CE1"/>
    <w:rsid w:val="00717F18"/>
    <w:rsid w:val="00721E15"/>
    <w:rsid w:val="0072370E"/>
    <w:rsid w:val="007239D6"/>
    <w:rsid w:val="00725A13"/>
    <w:rsid w:val="00725A41"/>
    <w:rsid w:val="00730599"/>
    <w:rsid w:val="00731F08"/>
    <w:rsid w:val="007324BA"/>
    <w:rsid w:val="00733513"/>
    <w:rsid w:val="00733E66"/>
    <w:rsid w:val="0073489A"/>
    <w:rsid w:val="007348CC"/>
    <w:rsid w:val="00734C69"/>
    <w:rsid w:val="00735562"/>
    <w:rsid w:val="00735BD8"/>
    <w:rsid w:val="00736F9D"/>
    <w:rsid w:val="0073704B"/>
    <w:rsid w:val="00740E30"/>
    <w:rsid w:val="007414B7"/>
    <w:rsid w:val="00741B83"/>
    <w:rsid w:val="00743473"/>
    <w:rsid w:val="0074370B"/>
    <w:rsid w:val="007442B0"/>
    <w:rsid w:val="00744EAA"/>
    <w:rsid w:val="00745A31"/>
    <w:rsid w:val="007477ED"/>
    <w:rsid w:val="00747972"/>
    <w:rsid w:val="00750341"/>
    <w:rsid w:val="007507AE"/>
    <w:rsid w:val="00752623"/>
    <w:rsid w:val="00752D0D"/>
    <w:rsid w:val="007533D4"/>
    <w:rsid w:val="007537AC"/>
    <w:rsid w:val="00753B57"/>
    <w:rsid w:val="0075538C"/>
    <w:rsid w:val="007562A3"/>
    <w:rsid w:val="007569FD"/>
    <w:rsid w:val="00756A2A"/>
    <w:rsid w:val="00757E85"/>
    <w:rsid w:val="00761820"/>
    <w:rsid w:val="007622AC"/>
    <w:rsid w:val="007623A7"/>
    <w:rsid w:val="00762D7B"/>
    <w:rsid w:val="00762F3C"/>
    <w:rsid w:val="00764510"/>
    <w:rsid w:val="007648B5"/>
    <w:rsid w:val="007666A7"/>
    <w:rsid w:val="00766B74"/>
    <w:rsid w:val="00766DCE"/>
    <w:rsid w:val="00767BF9"/>
    <w:rsid w:val="007706E9"/>
    <w:rsid w:val="00770A98"/>
    <w:rsid w:val="007718D3"/>
    <w:rsid w:val="007754A3"/>
    <w:rsid w:val="0077557D"/>
    <w:rsid w:val="007759AB"/>
    <w:rsid w:val="0078000C"/>
    <w:rsid w:val="007801EB"/>
    <w:rsid w:val="007816C3"/>
    <w:rsid w:val="00782967"/>
    <w:rsid w:val="00782E9A"/>
    <w:rsid w:val="0078339F"/>
    <w:rsid w:val="007844A7"/>
    <w:rsid w:val="00784B79"/>
    <w:rsid w:val="0078506B"/>
    <w:rsid w:val="00786286"/>
    <w:rsid w:val="0078683E"/>
    <w:rsid w:val="0078706B"/>
    <w:rsid w:val="00790843"/>
    <w:rsid w:val="00790FE0"/>
    <w:rsid w:val="00791702"/>
    <w:rsid w:val="00796315"/>
    <w:rsid w:val="00797C58"/>
    <w:rsid w:val="007A005D"/>
    <w:rsid w:val="007A1338"/>
    <w:rsid w:val="007A4675"/>
    <w:rsid w:val="007A4A0A"/>
    <w:rsid w:val="007A5AB1"/>
    <w:rsid w:val="007A66F3"/>
    <w:rsid w:val="007A7884"/>
    <w:rsid w:val="007B1831"/>
    <w:rsid w:val="007B2291"/>
    <w:rsid w:val="007B3960"/>
    <w:rsid w:val="007B43D1"/>
    <w:rsid w:val="007B56A8"/>
    <w:rsid w:val="007B6ADF"/>
    <w:rsid w:val="007B6F57"/>
    <w:rsid w:val="007C02C6"/>
    <w:rsid w:val="007C0EAD"/>
    <w:rsid w:val="007C18E5"/>
    <w:rsid w:val="007C1CE3"/>
    <w:rsid w:val="007C228C"/>
    <w:rsid w:val="007C3506"/>
    <w:rsid w:val="007C3BF9"/>
    <w:rsid w:val="007C5312"/>
    <w:rsid w:val="007C58C6"/>
    <w:rsid w:val="007C740A"/>
    <w:rsid w:val="007C7CB4"/>
    <w:rsid w:val="007D2246"/>
    <w:rsid w:val="007D36C6"/>
    <w:rsid w:val="007D41FD"/>
    <w:rsid w:val="007D5658"/>
    <w:rsid w:val="007D74E3"/>
    <w:rsid w:val="007E0443"/>
    <w:rsid w:val="007E0533"/>
    <w:rsid w:val="007E099B"/>
    <w:rsid w:val="007E276A"/>
    <w:rsid w:val="007E2933"/>
    <w:rsid w:val="007E5D06"/>
    <w:rsid w:val="007E5DAD"/>
    <w:rsid w:val="007F0A47"/>
    <w:rsid w:val="007F1E16"/>
    <w:rsid w:val="007F31AC"/>
    <w:rsid w:val="007F52C1"/>
    <w:rsid w:val="007F5B46"/>
    <w:rsid w:val="007F72FB"/>
    <w:rsid w:val="00800902"/>
    <w:rsid w:val="00802C0C"/>
    <w:rsid w:val="00802F76"/>
    <w:rsid w:val="008036E8"/>
    <w:rsid w:val="008038D7"/>
    <w:rsid w:val="00803C50"/>
    <w:rsid w:val="008048D6"/>
    <w:rsid w:val="00804E9E"/>
    <w:rsid w:val="00805F3F"/>
    <w:rsid w:val="00806AA8"/>
    <w:rsid w:val="008075BE"/>
    <w:rsid w:val="008079E6"/>
    <w:rsid w:val="00807DC0"/>
    <w:rsid w:val="008109CF"/>
    <w:rsid w:val="00811200"/>
    <w:rsid w:val="00811206"/>
    <w:rsid w:val="00811294"/>
    <w:rsid w:val="008115ED"/>
    <w:rsid w:val="00811FB2"/>
    <w:rsid w:val="0081421A"/>
    <w:rsid w:val="00815EC5"/>
    <w:rsid w:val="00816E96"/>
    <w:rsid w:val="00817EB4"/>
    <w:rsid w:val="00820CA1"/>
    <w:rsid w:val="00820D9F"/>
    <w:rsid w:val="008218CF"/>
    <w:rsid w:val="00821C24"/>
    <w:rsid w:val="00827357"/>
    <w:rsid w:val="00827D56"/>
    <w:rsid w:val="008304B5"/>
    <w:rsid w:val="00830C4F"/>
    <w:rsid w:val="00831821"/>
    <w:rsid w:val="0083245F"/>
    <w:rsid w:val="0083272D"/>
    <w:rsid w:val="00834428"/>
    <w:rsid w:val="00835D8B"/>
    <w:rsid w:val="008364A4"/>
    <w:rsid w:val="00836748"/>
    <w:rsid w:val="00836796"/>
    <w:rsid w:val="00841131"/>
    <w:rsid w:val="008422E7"/>
    <w:rsid w:val="008437F1"/>
    <w:rsid w:val="00843914"/>
    <w:rsid w:val="00844237"/>
    <w:rsid w:val="008456A1"/>
    <w:rsid w:val="00846389"/>
    <w:rsid w:val="00846E0F"/>
    <w:rsid w:val="00847459"/>
    <w:rsid w:val="00850705"/>
    <w:rsid w:val="00851ABA"/>
    <w:rsid w:val="008527E9"/>
    <w:rsid w:val="00853714"/>
    <w:rsid w:val="008545D5"/>
    <w:rsid w:val="00854624"/>
    <w:rsid w:val="008552B3"/>
    <w:rsid w:val="008552D9"/>
    <w:rsid w:val="008553FB"/>
    <w:rsid w:val="00857173"/>
    <w:rsid w:val="008574D2"/>
    <w:rsid w:val="0085767F"/>
    <w:rsid w:val="00857C56"/>
    <w:rsid w:val="0086039C"/>
    <w:rsid w:val="008605AE"/>
    <w:rsid w:val="00860E84"/>
    <w:rsid w:val="00862136"/>
    <w:rsid w:val="008622C6"/>
    <w:rsid w:val="00862E2D"/>
    <w:rsid w:val="00863651"/>
    <w:rsid w:val="0086395E"/>
    <w:rsid w:val="00864282"/>
    <w:rsid w:val="00864D63"/>
    <w:rsid w:val="00867D4D"/>
    <w:rsid w:val="008705CB"/>
    <w:rsid w:val="00870C30"/>
    <w:rsid w:val="00870C93"/>
    <w:rsid w:val="0087172C"/>
    <w:rsid w:val="00872F30"/>
    <w:rsid w:val="0087331A"/>
    <w:rsid w:val="00873395"/>
    <w:rsid w:val="00873B7A"/>
    <w:rsid w:val="00874413"/>
    <w:rsid w:val="00876958"/>
    <w:rsid w:val="00876FBB"/>
    <w:rsid w:val="00880834"/>
    <w:rsid w:val="008818BA"/>
    <w:rsid w:val="00881B51"/>
    <w:rsid w:val="00882D7D"/>
    <w:rsid w:val="0088504D"/>
    <w:rsid w:val="00886A09"/>
    <w:rsid w:val="00891236"/>
    <w:rsid w:val="008928B6"/>
    <w:rsid w:val="00893C72"/>
    <w:rsid w:val="0089453C"/>
    <w:rsid w:val="0089514A"/>
    <w:rsid w:val="00895A79"/>
    <w:rsid w:val="00895B8F"/>
    <w:rsid w:val="0089670D"/>
    <w:rsid w:val="008967D2"/>
    <w:rsid w:val="00896E2B"/>
    <w:rsid w:val="00897528"/>
    <w:rsid w:val="00897E33"/>
    <w:rsid w:val="008A0671"/>
    <w:rsid w:val="008A073F"/>
    <w:rsid w:val="008A0B2F"/>
    <w:rsid w:val="008A0F96"/>
    <w:rsid w:val="008A26A1"/>
    <w:rsid w:val="008A352B"/>
    <w:rsid w:val="008A3FBB"/>
    <w:rsid w:val="008A584C"/>
    <w:rsid w:val="008A79B8"/>
    <w:rsid w:val="008B007C"/>
    <w:rsid w:val="008B1ED8"/>
    <w:rsid w:val="008B35C1"/>
    <w:rsid w:val="008B3B36"/>
    <w:rsid w:val="008B49F9"/>
    <w:rsid w:val="008B658D"/>
    <w:rsid w:val="008B665B"/>
    <w:rsid w:val="008B6886"/>
    <w:rsid w:val="008B7D97"/>
    <w:rsid w:val="008C1080"/>
    <w:rsid w:val="008C4E8F"/>
    <w:rsid w:val="008C4E9B"/>
    <w:rsid w:val="008C7269"/>
    <w:rsid w:val="008D2189"/>
    <w:rsid w:val="008D2EC3"/>
    <w:rsid w:val="008D3390"/>
    <w:rsid w:val="008D38CA"/>
    <w:rsid w:val="008D39D3"/>
    <w:rsid w:val="008D4C0B"/>
    <w:rsid w:val="008D550C"/>
    <w:rsid w:val="008D56D4"/>
    <w:rsid w:val="008D5818"/>
    <w:rsid w:val="008D5D3B"/>
    <w:rsid w:val="008D7F20"/>
    <w:rsid w:val="008E5548"/>
    <w:rsid w:val="008E57ED"/>
    <w:rsid w:val="008E7ED8"/>
    <w:rsid w:val="008F11EC"/>
    <w:rsid w:val="008F2355"/>
    <w:rsid w:val="008F3447"/>
    <w:rsid w:val="008F3699"/>
    <w:rsid w:val="008F3871"/>
    <w:rsid w:val="008F43AE"/>
    <w:rsid w:val="008F47C6"/>
    <w:rsid w:val="008F51B0"/>
    <w:rsid w:val="008F5655"/>
    <w:rsid w:val="008F67E1"/>
    <w:rsid w:val="008F757D"/>
    <w:rsid w:val="00900222"/>
    <w:rsid w:val="009004D6"/>
    <w:rsid w:val="0090069E"/>
    <w:rsid w:val="00900BB0"/>
    <w:rsid w:val="00901C80"/>
    <w:rsid w:val="0090386C"/>
    <w:rsid w:val="009040DF"/>
    <w:rsid w:val="009048FA"/>
    <w:rsid w:val="00905110"/>
    <w:rsid w:val="009057C6"/>
    <w:rsid w:val="00905F44"/>
    <w:rsid w:val="009065C8"/>
    <w:rsid w:val="009074F3"/>
    <w:rsid w:val="00907805"/>
    <w:rsid w:val="009079D0"/>
    <w:rsid w:val="00907C7A"/>
    <w:rsid w:val="0091044E"/>
    <w:rsid w:val="009109C3"/>
    <w:rsid w:val="00912276"/>
    <w:rsid w:val="009131B3"/>
    <w:rsid w:val="00916DDF"/>
    <w:rsid w:val="00916EE7"/>
    <w:rsid w:val="009175C0"/>
    <w:rsid w:val="009175F2"/>
    <w:rsid w:val="00920534"/>
    <w:rsid w:val="009217CE"/>
    <w:rsid w:val="0092293F"/>
    <w:rsid w:val="00923179"/>
    <w:rsid w:val="0092469A"/>
    <w:rsid w:val="00924FCB"/>
    <w:rsid w:val="00925238"/>
    <w:rsid w:val="00925E7C"/>
    <w:rsid w:val="00927262"/>
    <w:rsid w:val="00927321"/>
    <w:rsid w:val="009308C6"/>
    <w:rsid w:val="00931B58"/>
    <w:rsid w:val="00931DCC"/>
    <w:rsid w:val="0093269F"/>
    <w:rsid w:val="00932E5D"/>
    <w:rsid w:val="00933A7A"/>
    <w:rsid w:val="00935737"/>
    <w:rsid w:val="009367EC"/>
    <w:rsid w:val="00937B2C"/>
    <w:rsid w:val="00940561"/>
    <w:rsid w:val="009415E6"/>
    <w:rsid w:val="0094206B"/>
    <w:rsid w:val="00942D20"/>
    <w:rsid w:val="00943003"/>
    <w:rsid w:val="00944201"/>
    <w:rsid w:val="00944A04"/>
    <w:rsid w:val="0094560F"/>
    <w:rsid w:val="00945667"/>
    <w:rsid w:val="00946D60"/>
    <w:rsid w:val="00946DF0"/>
    <w:rsid w:val="0095005C"/>
    <w:rsid w:val="00950F9C"/>
    <w:rsid w:val="0095171B"/>
    <w:rsid w:val="00951DC8"/>
    <w:rsid w:val="009522ED"/>
    <w:rsid w:val="00952FD6"/>
    <w:rsid w:val="00953644"/>
    <w:rsid w:val="00953759"/>
    <w:rsid w:val="00954D03"/>
    <w:rsid w:val="00955918"/>
    <w:rsid w:val="00956713"/>
    <w:rsid w:val="009567EE"/>
    <w:rsid w:val="00956F66"/>
    <w:rsid w:val="00956F8F"/>
    <w:rsid w:val="0095799B"/>
    <w:rsid w:val="00957E29"/>
    <w:rsid w:val="009604AE"/>
    <w:rsid w:val="0096055A"/>
    <w:rsid w:val="00962989"/>
    <w:rsid w:val="00963833"/>
    <w:rsid w:val="00964027"/>
    <w:rsid w:val="00964ACA"/>
    <w:rsid w:val="00965601"/>
    <w:rsid w:val="00965639"/>
    <w:rsid w:val="00967736"/>
    <w:rsid w:val="00967DCC"/>
    <w:rsid w:val="009700D6"/>
    <w:rsid w:val="00970802"/>
    <w:rsid w:val="00971A82"/>
    <w:rsid w:val="00972272"/>
    <w:rsid w:val="0097227E"/>
    <w:rsid w:val="00972A20"/>
    <w:rsid w:val="00972A35"/>
    <w:rsid w:val="009732CF"/>
    <w:rsid w:val="009734E1"/>
    <w:rsid w:val="00973897"/>
    <w:rsid w:val="00974273"/>
    <w:rsid w:val="0097443C"/>
    <w:rsid w:val="009746C3"/>
    <w:rsid w:val="00974F2A"/>
    <w:rsid w:val="0097531C"/>
    <w:rsid w:val="00975477"/>
    <w:rsid w:val="00975C87"/>
    <w:rsid w:val="00977C22"/>
    <w:rsid w:val="00980B55"/>
    <w:rsid w:val="00981680"/>
    <w:rsid w:val="00981A80"/>
    <w:rsid w:val="0098250B"/>
    <w:rsid w:val="00983FAA"/>
    <w:rsid w:val="0098430E"/>
    <w:rsid w:val="00986992"/>
    <w:rsid w:val="00986DC3"/>
    <w:rsid w:val="00990A72"/>
    <w:rsid w:val="009928C5"/>
    <w:rsid w:val="00992D1E"/>
    <w:rsid w:val="00992F0D"/>
    <w:rsid w:val="0099367D"/>
    <w:rsid w:val="00995046"/>
    <w:rsid w:val="009953AC"/>
    <w:rsid w:val="0099799A"/>
    <w:rsid w:val="00997BCE"/>
    <w:rsid w:val="009A0100"/>
    <w:rsid w:val="009A0171"/>
    <w:rsid w:val="009A080F"/>
    <w:rsid w:val="009A1822"/>
    <w:rsid w:val="009A26F4"/>
    <w:rsid w:val="009A2ECB"/>
    <w:rsid w:val="009A4B63"/>
    <w:rsid w:val="009A59D6"/>
    <w:rsid w:val="009A65B9"/>
    <w:rsid w:val="009B123A"/>
    <w:rsid w:val="009B3EB6"/>
    <w:rsid w:val="009B4984"/>
    <w:rsid w:val="009B4C22"/>
    <w:rsid w:val="009B59E1"/>
    <w:rsid w:val="009B6FEA"/>
    <w:rsid w:val="009C22A3"/>
    <w:rsid w:val="009C45D2"/>
    <w:rsid w:val="009C5151"/>
    <w:rsid w:val="009C5CB3"/>
    <w:rsid w:val="009C65DC"/>
    <w:rsid w:val="009C795E"/>
    <w:rsid w:val="009D12FE"/>
    <w:rsid w:val="009D13FF"/>
    <w:rsid w:val="009D1778"/>
    <w:rsid w:val="009D1E10"/>
    <w:rsid w:val="009D1F81"/>
    <w:rsid w:val="009D2870"/>
    <w:rsid w:val="009D2D7C"/>
    <w:rsid w:val="009D5BAA"/>
    <w:rsid w:val="009D7068"/>
    <w:rsid w:val="009D72BF"/>
    <w:rsid w:val="009D79A9"/>
    <w:rsid w:val="009D79D3"/>
    <w:rsid w:val="009E114C"/>
    <w:rsid w:val="009E1623"/>
    <w:rsid w:val="009E1636"/>
    <w:rsid w:val="009E3DEA"/>
    <w:rsid w:val="009E4377"/>
    <w:rsid w:val="009E5126"/>
    <w:rsid w:val="009E52E1"/>
    <w:rsid w:val="009E6732"/>
    <w:rsid w:val="009E6E37"/>
    <w:rsid w:val="009E7509"/>
    <w:rsid w:val="009E7D45"/>
    <w:rsid w:val="009F0884"/>
    <w:rsid w:val="009F0A3B"/>
    <w:rsid w:val="009F11F9"/>
    <w:rsid w:val="009F2C1D"/>
    <w:rsid w:val="009F2E5C"/>
    <w:rsid w:val="009F352F"/>
    <w:rsid w:val="009F3548"/>
    <w:rsid w:val="009F3C65"/>
    <w:rsid w:val="009F3C81"/>
    <w:rsid w:val="009F3E98"/>
    <w:rsid w:val="009F65CD"/>
    <w:rsid w:val="009F67AE"/>
    <w:rsid w:val="009F778B"/>
    <w:rsid w:val="009F7B83"/>
    <w:rsid w:val="00A01D4A"/>
    <w:rsid w:val="00A0284E"/>
    <w:rsid w:val="00A032DB"/>
    <w:rsid w:val="00A0546E"/>
    <w:rsid w:val="00A05613"/>
    <w:rsid w:val="00A05973"/>
    <w:rsid w:val="00A05C21"/>
    <w:rsid w:val="00A07F1F"/>
    <w:rsid w:val="00A10C77"/>
    <w:rsid w:val="00A111ED"/>
    <w:rsid w:val="00A11CEF"/>
    <w:rsid w:val="00A131C1"/>
    <w:rsid w:val="00A13E68"/>
    <w:rsid w:val="00A13F5F"/>
    <w:rsid w:val="00A16559"/>
    <w:rsid w:val="00A174F1"/>
    <w:rsid w:val="00A208A5"/>
    <w:rsid w:val="00A21364"/>
    <w:rsid w:val="00A221A2"/>
    <w:rsid w:val="00A244E5"/>
    <w:rsid w:val="00A24C38"/>
    <w:rsid w:val="00A26AF9"/>
    <w:rsid w:val="00A2748E"/>
    <w:rsid w:val="00A30379"/>
    <w:rsid w:val="00A3125A"/>
    <w:rsid w:val="00A332FE"/>
    <w:rsid w:val="00A33E52"/>
    <w:rsid w:val="00A34660"/>
    <w:rsid w:val="00A3468C"/>
    <w:rsid w:val="00A355EF"/>
    <w:rsid w:val="00A4096D"/>
    <w:rsid w:val="00A40F2A"/>
    <w:rsid w:val="00A41E9D"/>
    <w:rsid w:val="00A43493"/>
    <w:rsid w:val="00A43ED2"/>
    <w:rsid w:val="00A448C9"/>
    <w:rsid w:val="00A45400"/>
    <w:rsid w:val="00A4573D"/>
    <w:rsid w:val="00A46381"/>
    <w:rsid w:val="00A46692"/>
    <w:rsid w:val="00A46DD5"/>
    <w:rsid w:val="00A47873"/>
    <w:rsid w:val="00A47B27"/>
    <w:rsid w:val="00A5139E"/>
    <w:rsid w:val="00A520E5"/>
    <w:rsid w:val="00A525FF"/>
    <w:rsid w:val="00A52D54"/>
    <w:rsid w:val="00A53A47"/>
    <w:rsid w:val="00A56E30"/>
    <w:rsid w:val="00A573AD"/>
    <w:rsid w:val="00A60ECE"/>
    <w:rsid w:val="00A61BE3"/>
    <w:rsid w:val="00A62749"/>
    <w:rsid w:val="00A667B6"/>
    <w:rsid w:val="00A66E53"/>
    <w:rsid w:val="00A674B8"/>
    <w:rsid w:val="00A67CBE"/>
    <w:rsid w:val="00A67F9C"/>
    <w:rsid w:val="00A702AE"/>
    <w:rsid w:val="00A7186B"/>
    <w:rsid w:val="00A719EF"/>
    <w:rsid w:val="00A720FD"/>
    <w:rsid w:val="00A72C03"/>
    <w:rsid w:val="00A7426A"/>
    <w:rsid w:val="00A74C73"/>
    <w:rsid w:val="00A75DD4"/>
    <w:rsid w:val="00A760FB"/>
    <w:rsid w:val="00A76E42"/>
    <w:rsid w:val="00A76E7C"/>
    <w:rsid w:val="00A80107"/>
    <w:rsid w:val="00A805C0"/>
    <w:rsid w:val="00A807D7"/>
    <w:rsid w:val="00A81793"/>
    <w:rsid w:val="00A81C6D"/>
    <w:rsid w:val="00A81C8F"/>
    <w:rsid w:val="00A81DCC"/>
    <w:rsid w:val="00A8297C"/>
    <w:rsid w:val="00A82BD5"/>
    <w:rsid w:val="00A8355A"/>
    <w:rsid w:val="00A83CA3"/>
    <w:rsid w:val="00A84D2D"/>
    <w:rsid w:val="00A85D58"/>
    <w:rsid w:val="00A869DD"/>
    <w:rsid w:val="00A86ADF"/>
    <w:rsid w:val="00A86B72"/>
    <w:rsid w:val="00A909FB"/>
    <w:rsid w:val="00A91F08"/>
    <w:rsid w:val="00A936D0"/>
    <w:rsid w:val="00A93771"/>
    <w:rsid w:val="00A95342"/>
    <w:rsid w:val="00A957D2"/>
    <w:rsid w:val="00A95B7F"/>
    <w:rsid w:val="00A968AA"/>
    <w:rsid w:val="00A96E30"/>
    <w:rsid w:val="00A97DE3"/>
    <w:rsid w:val="00AA0B5D"/>
    <w:rsid w:val="00AA0BCB"/>
    <w:rsid w:val="00AA0C59"/>
    <w:rsid w:val="00AA0F03"/>
    <w:rsid w:val="00AA11F5"/>
    <w:rsid w:val="00AA1785"/>
    <w:rsid w:val="00AA1D84"/>
    <w:rsid w:val="00AA3AEF"/>
    <w:rsid w:val="00AA4FDC"/>
    <w:rsid w:val="00AA6AB1"/>
    <w:rsid w:val="00AA7506"/>
    <w:rsid w:val="00AB1CAE"/>
    <w:rsid w:val="00AB423B"/>
    <w:rsid w:val="00AB4E1D"/>
    <w:rsid w:val="00AB5E6C"/>
    <w:rsid w:val="00AB6EAE"/>
    <w:rsid w:val="00AB713A"/>
    <w:rsid w:val="00AC01FD"/>
    <w:rsid w:val="00AC0A8E"/>
    <w:rsid w:val="00AC0B2C"/>
    <w:rsid w:val="00AC3ADD"/>
    <w:rsid w:val="00AC3E27"/>
    <w:rsid w:val="00AC414D"/>
    <w:rsid w:val="00AC415C"/>
    <w:rsid w:val="00AC6086"/>
    <w:rsid w:val="00AC67C8"/>
    <w:rsid w:val="00AC766D"/>
    <w:rsid w:val="00AC7B91"/>
    <w:rsid w:val="00AC7C97"/>
    <w:rsid w:val="00AD1BC2"/>
    <w:rsid w:val="00AD2DDE"/>
    <w:rsid w:val="00AD36D2"/>
    <w:rsid w:val="00AD3A5E"/>
    <w:rsid w:val="00AD630E"/>
    <w:rsid w:val="00AD73D5"/>
    <w:rsid w:val="00AD7653"/>
    <w:rsid w:val="00AE00DB"/>
    <w:rsid w:val="00AE0264"/>
    <w:rsid w:val="00AE0B26"/>
    <w:rsid w:val="00AE0DF2"/>
    <w:rsid w:val="00AE3B28"/>
    <w:rsid w:val="00AE458D"/>
    <w:rsid w:val="00AE6A28"/>
    <w:rsid w:val="00AE6AF9"/>
    <w:rsid w:val="00AF0970"/>
    <w:rsid w:val="00AF1A83"/>
    <w:rsid w:val="00AF25D2"/>
    <w:rsid w:val="00AF4C4C"/>
    <w:rsid w:val="00AF4C79"/>
    <w:rsid w:val="00AF546B"/>
    <w:rsid w:val="00AF65B2"/>
    <w:rsid w:val="00AF66E6"/>
    <w:rsid w:val="00AF7ADD"/>
    <w:rsid w:val="00B002BE"/>
    <w:rsid w:val="00B0058D"/>
    <w:rsid w:val="00B012EC"/>
    <w:rsid w:val="00B0194B"/>
    <w:rsid w:val="00B0487D"/>
    <w:rsid w:val="00B0603D"/>
    <w:rsid w:val="00B068DB"/>
    <w:rsid w:val="00B06DC1"/>
    <w:rsid w:val="00B07915"/>
    <w:rsid w:val="00B07ACA"/>
    <w:rsid w:val="00B1217E"/>
    <w:rsid w:val="00B128FA"/>
    <w:rsid w:val="00B13063"/>
    <w:rsid w:val="00B13A66"/>
    <w:rsid w:val="00B1442B"/>
    <w:rsid w:val="00B14AC4"/>
    <w:rsid w:val="00B15461"/>
    <w:rsid w:val="00B16C02"/>
    <w:rsid w:val="00B16D91"/>
    <w:rsid w:val="00B16E7C"/>
    <w:rsid w:val="00B17275"/>
    <w:rsid w:val="00B17C01"/>
    <w:rsid w:val="00B20E28"/>
    <w:rsid w:val="00B21E8C"/>
    <w:rsid w:val="00B22266"/>
    <w:rsid w:val="00B23CF8"/>
    <w:rsid w:val="00B240BE"/>
    <w:rsid w:val="00B24584"/>
    <w:rsid w:val="00B24770"/>
    <w:rsid w:val="00B24DE8"/>
    <w:rsid w:val="00B25D2A"/>
    <w:rsid w:val="00B2641F"/>
    <w:rsid w:val="00B31E4C"/>
    <w:rsid w:val="00B32C03"/>
    <w:rsid w:val="00B344F6"/>
    <w:rsid w:val="00B34A38"/>
    <w:rsid w:val="00B36E0F"/>
    <w:rsid w:val="00B408E6"/>
    <w:rsid w:val="00B40E23"/>
    <w:rsid w:val="00B412ED"/>
    <w:rsid w:val="00B42396"/>
    <w:rsid w:val="00B44442"/>
    <w:rsid w:val="00B4485C"/>
    <w:rsid w:val="00B4576B"/>
    <w:rsid w:val="00B46A14"/>
    <w:rsid w:val="00B46AF3"/>
    <w:rsid w:val="00B50BAF"/>
    <w:rsid w:val="00B52443"/>
    <w:rsid w:val="00B53A29"/>
    <w:rsid w:val="00B544DE"/>
    <w:rsid w:val="00B5480A"/>
    <w:rsid w:val="00B54824"/>
    <w:rsid w:val="00B57132"/>
    <w:rsid w:val="00B60525"/>
    <w:rsid w:val="00B61AB7"/>
    <w:rsid w:val="00B62194"/>
    <w:rsid w:val="00B637D2"/>
    <w:rsid w:val="00B64A11"/>
    <w:rsid w:val="00B6585D"/>
    <w:rsid w:val="00B65C15"/>
    <w:rsid w:val="00B66471"/>
    <w:rsid w:val="00B67560"/>
    <w:rsid w:val="00B71230"/>
    <w:rsid w:val="00B723A2"/>
    <w:rsid w:val="00B737DF"/>
    <w:rsid w:val="00B738F4"/>
    <w:rsid w:val="00B73D4E"/>
    <w:rsid w:val="00B742F3"/>
    <w:rsid w:val="00B74E9E"/>
    <w:rsid w:val="00B74F99"/>
    <w:rsid w:val="00B81D84"/>
    <w:rsid w:val="00B82E6E"/>
    <w:rsid w:val="00B842A7"/>
    <w:rsid w:val="00B843B7"/>
    <w:rsid w:val="00B843DC"/>
    <w:rsid w:val="00B8545B"/>
    <w:rsid w:val="00B857C7"/>
    <w:rsid w:val="00B86019"/>
    <w:rsid w:val="00B86ABA"/>
    <w:rsid w:val="00B86C2B"/>
    <w:rsid w:val="00B86C95"/>
    <w:rsid w:val="00B86D45"/>
    <w:rsid w:val="00B87E2F"/>
    <w:rsid w:val="00B901D4"/>
    <w:rsid w:val="00B912EB"/>
    <w:rsid w:val="00B935DB"/>
    <w:rsid w:val="00B941E3"/>
    <w:rsid w:val="00B9491D"/>
    <w:rsid w:val="00B94BBC"/>
    <w:rsid w:val="00B95BFF"/>
    <w:rsid w:val="00B95F3C"/>
    <w:rsid w:val="00B961DB"/>
    <w:rsid w:val="00B979DC"/>
    <w:rsid w:val="00B97F78"/>
    <w:rsid w:val="00BA0B92"/>
    <w:rsid w:val="00BA13C9"/>
    <w:rsid w:val="00BA2D4D"/>
    <w:rsid w:val="00BA3E77"/>
    <w:rsid w:val="00BA49BE"/>
    <w:rsid w:val="00BA4D59"/>
    <w:rsid w:val="00BA50BA"/>
    <w:rsid w:val="00BA5B7C"/>
    <w:rsid w:val="00BA5C6A"/>
    <w:rsid w:val="00BB02EB"/>
    <w:rsid w:val="00BB0A3B"/>
    <w:rsid w:val="00BB139F"/>
    <w:rsid w:val="00BB287F"/>
    <w:rsid w:val="00BB3E4E"/>
    <w:rsid w:val="00BC0103"/>
    <w:rsid w:val="00BC0497"/>
    <w:rsid w:val="00BC3318"/>
    <w:rsid w:val="00BC365A"/>
    <w:rsid w:val="00BC3A6E"/>
    <w:rsid w:val="00BC537A"/>
    <w:rsid w:val="00BC6DA9"/>
    <w:rsid w:val="00BC7E94"/>
    <w:rsid w:val="00BD12C2"/>
    <w:rsid w:val="00BD1A2C"/>
    <w:rsid w:val="00BD250B"/>
    <w:rsid w:val="00BD3A84"/>
    <w:rsid w:val="00BD3A91"/>
    <w:rsid w:val="00BD6353"/>
    <w:rsid w:val="00BD7347"/>
    <w:rsid w:val="00BE0210"/>
    <w:rsid w:val="00BE0828"/>
    <w:rsid w:val="00BE4E4B"/>
    <w:rsid w:val="00BE6334"/>
    <w:rsid w:val="00BE67ED"/>
    <w:rsid w:val="00BF1031"/>
    <w:rsid w:val="00BF11A8"/>
    <w:rsid w:val="00BF1507"/>
    <w:rsid w:val="00BF2507"/>
    <w:rsid w:val="00BF2A6C"/>
    <w:rsid w:val="00BF384A"/>
    <w:rsid w:val="00BF384B"/>
    <w:rsid w:val="00BF4ACC"/>
    <w:rsid w:val="00BF74DA"/>
    <w:rsid w:val="00C005C9"/>
    <w:rsid w:val="00C00D11"/>
    <w:rsid w:val="00C03008"/>
    <w:rsid w:val="00C035AE"/>
    <w:rsid w:val="00C044F8"/>
    <w:rsid w:val="00C0626A"/>
    <w:rsid w:val="00C062C0"/>
    <w:rsid w:val="00C078D8"/>
    <w:rsid w:val="00C111F7"/>
    <w:rsid w:val="00C11A2C"/>
    <w:rsid w:val="00C11E07"/>
    <w:rsid w:val="00C13637"/>
    <w:rsid w:val="00C1383A"/>
    <w:rsid w:val="00C144E7"/>
    <w:rsid w:val="00C14915"/>
    <w:rsid w:val="00C14960"/>
    <w:rsid w:val="00C14B14"/>
    <w:rsid w:val="00C14EAF"/>
    <w:rsid w:val="00C16DF5"/>
    <w:rsid w:val="00C17385"/>
    <w:rsid w:val="00C17498"/>
    <w:rsid w:val="00C236F4"/>
    <w:rsid w:val="00C23993"/>
    <w:rsid w:val="00C241BE"/>
    <w:rsid w:val="00C241C7"/>
    <w:rsid w:val="00C24530"/>
    <w:rsid w:val="00C320EE"/>
    <w:rsid w:val="00C33A33"/>
    <w:rsid w:val="00C33F29"/>
    <w:rsid w:val="00C34195"/>
    <w:rsid w:val="00C343E7"/>
    <w:rsid w:val="00C357BD"/>
    <w:rsid w:val="00C36514"/>
    <w:rsid w:val="00C36AD2"/>
    <w:rsid w:val="00C3716D"/>
    <w:rsid w:val="00C37A01"/>
    <w:rsid w:val="00C37D07"/>
    <w:rsid w:val="00C401E8"/>
    <w:rsid w:val="00C417D3"/>
    <w:rsid w:val="00C41EB6"/>
    <w:rsid w:val="00C41EC3"/>
    <w:rsid w:val="00C43392"/>
    <w:rsid w:val="00C45CA8"/>
    <w:rsid w:val="00C51ED5"/>
    <w:rsid w:val="00C52466"/>
    <w:rsid w:val="00C5352D"/>
    <w:rsid w:val="00C543C0"/>
    <w:rsid w:val="00C550AD"/>
    <w:rsid w:val="00C568D0"/>
    <w:rsid w:val="00C56946"/>
    <w:rsid w:val="00C60743"/>
    <w:rsid w:val="00C627B6"/>
    <w:rsid w:val="00C62B44"/>
    <w:rsid w:val="00C637CC"/>
    <w:rsid w:val="00C65CEA"/>
    <w:rsid w:val="00C66008"/>
    <w:rsid w:val="00C7086C"/>
    <w:rsid w:val="00C72412"/>
    <w:rsid w:val="00C73BB3"/>
    <w:rsid w:val="00C73E0F"/>
    <w:rsid w:val="00C7588F"/>
    <w:rsid w:val="00C77B6A"/>
    <w:rsid w:val="00C81BFA"/>
    <w:rsid w:val="00C81D24"/>
    <w:rsid w:val="00C82815"/>
    <w:rsid w:val="00C82862"/>
    <w:rsid w:val="00C8388E"/>
    <w:rsid w:val="00C84409"/>
    <w:rsid w:val="00C8442D"/>
    <w:rsid w:val="00C85718"/>
    <w:rsid w:val="00C861A3"/>
    <w:rsid w:val="00C86BAF"/>
    <w:rsid w:val="00C879D3"/>
    <w:rsid w:val="00C87AAD"/>
    <w:rsid w:val="00C87E5B"/>
    <w:rsid w:val="00C90666"/>
    <w:rsid w:val="00C90AC2"/>
    <w:rsid w:val="00C92650"/>
    <w:rsid w:val="00C93191"/>
    <w:rsid w:val="00C9359D"/>
    <w:rsid w:val="00C9394A"/>
    <w:rsid w:val="00C93C7C"/>
    <w:rsid w:val="00C94561"/>
    <w:rsid w:val="00C964E0"/>
    <w:rsid w:val="00CA2589"/>
    <w:rsid w:val="00CA3037"/>
    <w:rsid w:val="00CA41B7"/>
    <w:rsid w:val="00CA578B"/>
    <w:rsid w:val="00CA76A9"/>
    <w:rsid w:val="00CB18EE"/>
    <w:rsid w:val="00CB2B00"/>
    <w:rsid w:val="00CB324A"/>
    <w:rsid w:val="00CB350A"/>
    <w:rsid w:val="00CB4DDF"/>
    <w:rsid w:val="00CB5E65"/>
    <w:rsid w:val="00CB5EB0"/>
    <w:rsid w:val="00CB7836"/>
    <w:rsid w:val="00CB79D1"/>
    <w:rsid w:val="00CB7A86"/>
    <w:rsid w:val="00CB7DAB"/>
    <w:rsid w:val="00CC0E12"/>
    <w:rsid w:val="00CC237B"/>
    <w:rsid w:val="00CC249E"/>
    <w:rsid w:val="00CC2579"/>
    <w:rsid w:val="00CC3DD2"/>
    <w:rsid w:val="00CC4C67"/>
    <w:rsid w:val="00CC5210"/>
    <w:rsid w:val="00CC5405"/>
    <w:rsid w:val="00CC5D25"/>
    <w:rsid w:val="00CC780E"/>
    <w:rsid w:val="00CD0FE6"/>
    <w:rsid w:val="00CD25F9"/>
    <w:rsid w:val="00CD3CF0"/>
    <w:rsid w:val="00CD3F6E"/>
    <w:rsid w:val="00CD4020"/>
    <w:rsid w:val="00CD453C"/>
    <w:rsid w:val="00CD45BA"/>
    <w:rsid w:val="00CD46A6"/>
    <w:rsid w:val="00CD580F"/>
    <w:rsid w:val="00CD6BA2"/>
    <w:rsid w:val="00CD7092"/>
    <w:rsid w:val="00CD78D8"/>
    <w:rsid w:val="00CE08CA"/>
    <w:rsid w:val="00CE197B"/>
    <w:rsid w:val="00CE1EF6"/>
    <w:rsid w:val="00CE5F4B"/>
    <w:rsid w:val="00CE6657"/>
    <w:rsid w:val="00CE6A9B"/>
    <w:rsid w:val="00CE6D42"/>
    <w:rsid w:val="00CE753A"/>
    <w:rsid w:val="00CF0373"/>
    <w:rsid w:val="00CF22AE"/>
    <w:rsid w:val="00CF22F2"/>
    <w:rsid w:val="00CF2F15"/>
    <w:rsid w:val="00CF3403"/>
    <w:rsid w:val="00CF3B0E"/>
    <w:rsid w:val="00CF45A7"/>
    <w:rsid w:val="00CF5224"/>
    <w:rsid w:val="00CF5F53"/>
    <w:rsid w:val="00CF61DE"/>
    <w:rsid w:val="00CF6573"/>
    <w:rsid w:val="00D01704"/>
    <w:rsid w:val="00D01C89"/>
    <w:rsid w:val="00D02EE8"/>
    <w:rsid w:val="00D033CE"/>
    <w:rsid w:val="00D052D0"/>
    <w:rsid w:val="00D05460"/>
    <w:rsid w:val="00D061D2"/>
    <w:rsid w:val="00D07181"/>
    <w:rsid w:val="00D07A37"/>
    <w:rsid w:val="00D07D79"/>
    <w:rsid w:val="00D1135C"/>
    <w:rsid w:val="00D12E09"/>
    <w:rsid w:val="00D138DD"/>
    <w:rsid w:val="00D13C54"/>
    <w:rsid w:val="00D13FC6"/>
    <w:rsid w:val="00D15054"/>
    <w:rsid w:val="00D1540E"/>
    <w:rsid w:val="00D17665"/>
    <w:rsid w:val="00D17805"/>
    <w:rsid w:val="00D2105D"/>
    <w:rsid w:val="00D22FD4"/>
    <w:rsid w:val="00D245FC"/>
    <w:rsid w:val="00D254F9"/>
    <w:rsid w:val="00D25623"/>
    <w:rsid w:val="00D27041"/>
    <w:rsid w:val="00D27151"/>
    <w:rsid w:val="00D274E4"/>
    <w:rsid w:val="00D276ED"/>
    <w:rsid w:val="00D2799D"/>
    <w:rsid w:val="00D30702"/>
    <w:rsid w:val="00D3261D"/>
    <w:rsid w:val="00D329E0"/>
    <w:rsid w:val="00D3317C"/>
    <w:rsid w:val="00D33A5D"/>
    <w:rsid w:val="00D33C1B"/>
    <w:rsid w:val="00D33EBA"/>
    <w:rsid w:val="00D33F91"/>
    <w:rsid w:val="00D34C1E"/>
    <w:rsid w:val="00D35C27"/>
    <w:rsid w:val="00D35D17"/>
    <w:rsid w:val="00D362B2"/>
    <w:rsid w:val="00D36609"/>
    <w:rsid w:val="00D37F13"/>
    <w:rsid w:val="00D40277"/>
    <w:rsid w:val="00D4070E"/>
    <w:rsid w:val="00D40EAC"/>
    <w:rsid w:val="00D423D7"/>
    <w:rsid w:val="00D4298A"/>
    <w:rsid w:val="00D42C31"/>
    <w:rsid w:val="00D43352"/>
    <w:rsid w:val="00D43377"/>
    <w:rsid w:val="00D43512"/>
    <w:rsid w:val="00D43E2E"/>
    <w:rsid w:val="00D448CA"/>
    <w:rsid w:val="00D45485"/>
    <w:rsid w:val="00D454B6"/>
    <w:rsid w:val="00D47396"/>
    <w:rsid w:val="00D51AFC"/>
    <w:rsid w:val="00D54438"/>
    <w:rsid w:val="00D54E9E"/>
    <w:rsid w:val="00D5566A"/>
    <w:rsid w:val="00D558AB"/>
    <w:rsid w:val="00D55AC1"/>
    <w:rsid w:val="00D562AD"/>
    <w:rsid w:val="00D562D4"/>
    <w:rsid w:val="00D574E1"/>
    <w:rsid w:val="00D5756C"/>
    <w:rsid w:val="00D57A39"/>
    <w:rsid w:val="00D61CC0"/>
    <w:rsid w:val="00D63484"/>
    <w:rsid w:val="00D64776"/>
    <w:rsid w:val="00D661E2"/>
    <w:rsid w:val="00D6693C"/>
    <w:rsid w:val="00D67481"/>
    <w:rsid w:val="00D67829"/>
    <w:rsid w:val="00D67E7A"/>
    <w:rsid w:val="00D7005C"/>
    <w:rsid w:val="00D713BC"/>
    <w:rsid w:val="00D72A92"/>
    <w:rsid w:val="00D72E47"/>
    <w:rsid w:val="00D75143"/>
    <w:rsid w:val="00D75E21"/>
    <w:rsid w:val="00D822D0"/>
    <w:rsid w:val="00D82337"/>
    <w:rsid w:val="00D82BE1"/>
    <w:rsid w:val="00D83CE4"/>
    <w:rsid w:val="00D845DB"/>
    <w:rsid w:val="00D859A5"/>
    <w:rsid w:val="00D863EB"/>
    <w:rsid w:val="00D86948"/>
    <w:rsid w:val="00D87731"/>
    <w:rsid w:val="00D909AC"/>
    <w:rsid w:val="00D91193"/>
    <w:rsid w:val="00D91443"/>
    <w:rsid w:val="00D9160A"/>
    <w:rsid w:val="00D92340"/>
    <w:rsid w:val="00D93C30"/>
    <w:rsid w:val="00D9400F"/>
    <w:rsid w:val="00D94896"/>
    <w:rsid w:val="00D9591F"/>
    <w:rsid w:val="00D9636A"/>
    <w:rsid w:val="00D96826"/>
    <w:rsid w:val="00DA015D"/>
    <w:rsid w:val="00DA1A0F"/>
    <w:rsid w:val="00DA1C01"/>
    <w:rsid w:val="00DA1E04"/>
    <w:rsid w:val="00DA2F97"/>
    <w:rsid w:val="00DA3BC9"/>
    <w:rsid w:val="00DA3F15"/>
    <w:rsid w:val="00DA4C67"/>
    <w:rsid w:val="00DA5CFF"/>
    <w:rsid w:val="00DA61C5"/>
    <w:rsid w:val="00DA7173"/>
    <w:rsid w:val="00DB014F"/>
    <w:rsid w:val="00DB0B8F"/>
    <w:rsid w:val="00DB15B1"/>
    <w:rsid w:val="00DB1CCA"/>
    <w:rsid w:val="00DB2E29"/>
    <w:rsid w:val="00DB2ED6"/>
    <w:rsid w:val="00DB3942"/>
    <w:rsid w:val="00DB4D06"/>
    <w:rsid w:val="00DB61B0"/>
    <w:rsid w:val="00DB6253"/>
    <w:rsid w:val="00DB7766"/>
    <w:rsid w:val="00DB7CB9"/>
    <w:rsid w:val="00DC096F"/>
    <w:rsid w:val="00DC09E3"/>
    <w:rsid w:val="00DC0B24"/>
    <w:rsid w:val="00DC1918"/>
    <w:rsid w:val="00DC1E88"/>
    <w:rsid w:val="00DC295F"/>
    <w:rsid w:val="00DC2BED"/>
    <w:rsid w:val="00DC4A30"/>
    <w:rsid w:val="00DC4D9B"/>
    <w:rsid w:val="00DC5D0E"/>
    <w:rsid w:val="00DC7429"/>
    <w:rsid w:val="00DC7E76"/>
    <w:rsid w:val="00DD125A"/>
    <w:rsid w:val="00DD168C"/>
    <w:rsid w:val="00DD18B9"/>
    <w:rsid w:val="00DD1BB0"/>
    <w:rsid w:val="00DD205F"/>
    <w:rsid w:val="00DD2750"/>
    <w:rsid w:val="00DD35EA"/>
    <w:rsid w:val="00DD5AB7"/>
    <w:rsid w:val="00DD5D8D"/>
    <w:rsid w:val="00DD65C0"/>
    <w:rsid w:val="00DD66A4"/>
    <w:rsid w:val="00DD683E"/>
    <w:rsid w:val="00DD6972"/>
    <w:rsid w:val="00DD7302"/>
    <w:rsid w:val="00DD7319"/>
    <w:rsid w:val="00DE0016"/>
    <w:rsid w:val="00DE0416"/>
    <w:rsid w:val="00DE0B08"/>
    <w:rsid w:val="00DE138F"/>
    <w:rsid w:val="00DE2625"/>
    <w:rsid w:val="00DE2696"/>
    <w:rsid w:val="00DE2D32"/>
    <w:rsid w:val="00DE3780"/>
    <w:rsid w:val="00DE395B"/>
    <w:rsid w:val="00DE3E2B"/>
    <w:rsid w:val="00DE5CCA"/>
    <w:rsid w:val="00DE5F0E"/>
    <w:rsid w:val="00DE7075"/>
    <w:rsid w:val="00DE7A1B"/>
    <w:rsid w:val="00DF06B2"/>
    <w:rsid w:val="00DF15FC"/>
    <w:rsid w:val="00DF1CAD"/>
    <w:rsid w:val="00DF3B25"/>
    <w:rsid w:val="00DF4EFF"/>
    <w:rsid w:val="00DF535C"/>
    <w:rsid w:val="00DF7CA8"/>
    <w:rsid w:val="00E00759"/>
    <w:rsid w:val="00E01356"/>
    <w:rsid w:val="00E0153A"/>
    <w:rsid w:val="00E036C8"/>
    <w:rsid w:val="00E04438"/>
    <w:rsid w:val="00E049E8"/>
    <w:rsid w:val="00E055ED"/>
    <w:rsid w:val="00E05CE8"/>
    <w:rsid w:val="00E073D9"/>
    <w:rsid w:val="00E10BB0"/>
    <w:rsid w:val="00E123EF"/>
    <w:rsid w:val="00E12B97"/>
    <w:rsid w:val="00E13246"/>
    <w:rsid w:val="00E15B14"/>
    <w:rsid w:val="00E16C9D"/>
    <w:rsid w:val="00E17736"/>
    <w:rsid w:val="00E17C8D"/>
    <w:rsid w:val="00E207E6"/>
    <w:rsid w:val="00E216BF"/>
    <w:rsid w:val="00E21E67"/>
    <w:rsid w:val="00E22B9A"/>
    <w:rsid w:val="00E23B0F"/>
    <w:rsid w:val="00E23E98"/>
    <w:rsid w:val="00E24438"/>
    <w:rsid w:val="00E2583C"/>
    <w:rsid w:val="00E27F65"/>
    <w:rsid w:val="00E35FE2"/>
    <w:rsid w:val="00E36D35"/>
    <w:rsid w:val="00E3714B"/>
    <w:rsid w:val="00E377A3"/>
    <w:rsid w:val="00E37E28"/>
    <w:rsid w:val="00E4097D"/>
    <w:rsid w:val="00E40B9E"/>
    <w:rsid w:val="00E41C20"/>
    <w:rsid w:val="00E4256C"/>
    <w:rsid w:val="00E4273C"/>
    <w:rsid w:val="00E44F74"/>
    <w:rsid w:val="00E450AC"/>
    <w:rsid w:val="00E451EB"/>
    <w:rsid w:val="00E45333"/>
    <w:rsid w:val="00E457B9"/>
    <w:rsid w:val="00E458C2"/>
    <w:rsid w:val="00E46280"/>
    <w:rsid w:val="00E46B93"/>
    <w:rsid w:val="00E46EC3"/>
    <w:rsid w:val="00E46FFF"/>
    <w:rsid w:val="00E52AEB"/>
    <w:rsid w:val="00E52B53"/>
    <w:rsid w:val="00E52B8F"/>
    <w:rsid w:val="00E52EDE"/>
    <w:rsid w:val="00E53A2F"/>
    <w:rsid w:val="00E569BE"/>
    <w:rsid w:val="00E56BD9"/>
    <w:rsid w:val="00E575D4"/>
    <w:rsid w:val="00E57991"/>
    <w:rsid w:val="00E60492"/>
    <w:rsid w:val="00E612FB"/>
    <w:rsid w:val="00E61E30"/>
    <w:rsid w:val="00E6249E"/>
    <w:rsid w:val="00E63797"/>
    <w:rsid w:val="00E65139"/>
    <w:rsid w:val="00E66869"/>
    <w:rsid w:val="00E66F53"/>
    <w:rsid w:val="00E6705C"/>
    <w:rsid w:val="00E67157"/>
    <w:rsid w:val="00E67E29"/>
    <w:rsid w:val="00E7049A"/>
    <w:rsid w:val="00E7240E"/>
    <w:rsid w:val="00E72705"/>
    <w:rsid w:val="00E739D6"/>
    <w:rsid w:val="00E73CF1"/>
    <w:rsid w:val="00E7438B"/>
    <w:rsid w:val="00E76238"/>
    <w:rsid w:val="00E767CA"/>
    <w:rsid w:val="00E77A57"/>
    <w:rsid w:val="00E81B63"/>
    <w:rsid w:val="00E82833"/>
    <w:rsid w:val="00E833D1"/>
    <w:rsid w:val="00E85EA3"/>
    <w:rsid w:val="00E85FE3"/>
    <w:rsid w:val="00E8698B"/>
    <w:rsid w:val="00E86EC4"/>
    <w:rsid w:val="00E871C1"/>
    <w:rsid w:val="00E87F9A"/>
    <w:rsid w:val="00E9237A"/>
    <w:rsid w:val="00E961CD"/>
    <w:rsid w:val="00E971BB"/>
    <w:rsid w:val="00E973DD"/>
    <w:rsid w:val="00E97F7C"/>
    <w:rsid w:val="00EA0E45"/>
    <w:rsid w:val="00EA1657"/>
    <w:rsid w:val="00EA27CA"/>
    <w:rsid w:val="00EA283A"/>
    <w:rsid w:val="00EA335D"/>
    <w:rsid w:val="00EA41D9"/>
    <w:rsid w:val="00EA65E8"/>
    <w:rsid w:val="00EA749E"/>
    <w:rsid w:val="00EB1ABF"/>
    <w:rsid w:val="00EB28F2"/>
    <w:rsid w:val="00EB2AF5"/>
    <w:rsid w:val="00EB3480"/>
    <w:rsid w:val="00EB3A4C"/>
    <w:rsid w:val="00EB3E5D"/>
    <w:rsid w:val="00EB5D6B"/>
    <w:rsid w:val="00EB64BC"/>
    <w:rsid w:val="00EB697C"/>
    <w:rsid w:val="00EB718E"/>
    <w:rsid w:val="00EB74D2"/>
    <w:rsid w:val="00EB7E48"/>
    <w:rsid w:val="00EC28B5"/>
    <w:rsid w:val="00EC305E"/>
    <w:rsid w:val="00EC3FBA"/>
    <w:rsid w:val="00EC5F58"/>
    <w:rsid w:val="00EC6C47"/>
    <w:rsid w:val="00EC6D9E"/>
    <w:rsid w:val="00EC6EC5"/>
    <w:rsid w:val="00EC7608"/>
    <w:rsid w:val="00EC7884"/>
    <w:rsid w:val="00ED04A1"/>
    <w:rsid w:val="00ED0537"/>
    <w:rsid w:val="00ED09B6"/>
    <w:rsid w:val="00ED14C2"/>
    <w:rsid w:val="00ED3575"/>
    <w:rsid w:val="00ED407E"/>
    <w:rsid w:val="00ED4B62"/>
    <w:rsid w:val="00ED5368"/>
    <w:rsid w:val="00ED67D2"/>
    <w:rsid w:val="00EE04DF"/>
    <w:rsid w:val="00EE0C46"/>
    <w:rsid w:val="00EE1937"/>
    <w:rsid w:val="00EE1BC5"/>
    <w:rsid w:val="00EE211C"/>
    <w:rsid w:val="00EE2C8E"/>
    <w:rsid w:val="00EE3624"/>
    <w:rsid w:val="00EE6583"/>
    <w:rsid w:val="00EE760D"/>
    <w:rsid w:val="00EE763D"/>
    <w:rsid w:val="00EF0F03"/>
    <w:rsid w:val="00EF164B"/>
    <w:rsid w:val="00EF1E23"/>
    <w:rsid w:val="00EF20BC"/>
    <w:rsid w:val="00EF70C5"/>
    <w:rsid w:val="00F0060E"/>
    <w:rsid w:val="00F0140E"/>
    <w:rsid w:val="00F01422"/>
    <w:rsid w:val="00F02F35"/>
    <w:rsid w:val="00F04AE9"/>
    <w:rsid w:val="00F04FE1"/>
    <w:rsid w:val="00F07080"/>
    <w:rsid w:val="00F073C2"/>
    <w:rsid w:val="00F1361D"/>
    <w:rsid w:val="00F13E78"/>
    <w:rsid w:val="00F141C0"/>
    <w:rsid w:val="00F149B9"/>
    <w:rsid w:val="00F15325"/>
    <w:rsid w:val="00F16FD4"/>
    <w:rsid w:val="00F17D83"/>
    <w:rsid w:val="00F20ED9"/>
    <w:rsid w:val="00F21949"/>
    <w:rsid w:val="00F22767"/>
    <w:rsid w:val="00F2285B"/>
    <w:rsid w:val="00F229BD"/>
    <w:rsid w:val="00F22C3C"/>
    <w:rsid w:val="00F23583"/>
    <w:rsid w:val="00F26297"/>
    <w:rsid w:val="00F269E8"/>
    <w:rsid w:val="00F27231"/>
    <w:rsid w:val="00F30414"/>
    <w:rsid w:val="00F30C48"/>
    <w:rsid w:val="00F3150F"/>
    <w:rsid w:val="00F32B5F"/>
    <w:rsid w:val="00F333A0"/>
    <w:rsid w:val="00F33B70"/>
    <w:rsid w:val="00F35C54"/>
    <w:rsid w:val="00F36DC6"/>
    <w:rsid w:val="00F3716A"/>
    <w:rsid w:val="00F3718C"/>
    <w:rsid w:val="00F37808"/>
    <w:rsid w:val="00F40003"/>
    <w:rsid w:val="00F41FA4"/>
    <w:rsid w:val="00F4375A"/>
    <w:rsid w:val="00F44058"/>
    <w:rsid w:val="00F445F5"/>
    <w:rsid w:val="00F44E14"/>
    <w:rsid w:val="00F45285"/>
    <w:rsid w:val="00F47EB0"/>
    <w:rsid w:val="00F51903"/>
    <w:rsid w:val="00F5301C"/>
    <w:rsid w:val="00F53972"/>
    <w:rsid w:val="00F53C77"/>
    <w:rsid w:val="00F55C13"/>
    <w:rsid w:val="00F5796B"/>
    <w:rsid w:val="00F6075E"/>
    <w:rsid w:val="00F60B3F"/>
    <w:rsid w:val="00F60C7D"/>
    <w:rsid w:val="00F62496"/>
    <w:rsid w:val="00F63028"/>
    <w:rsid w:val="00F63651"/>
    <w:rsid w:val="00F63827"/>
    <w:rsid w:val="00F656DF"/>
    <w:rsid w:val="00F6589C"/>
    <w:rsid w:val="00F65CDF"/>
    <w:rsid w:val="00F670CC"/>
    <w:rsid w:val="00F67222"/>
    <w:rsid w:val="00F70315"/>
    <w:rsid w:val="00F71568"/>
    <w:rsid w:val="00F7271B"/>
    <w:rsid w:val="00F728E3"/>
    <w:rsid w:val="00F7346D"/>
    <w:rsid w:val="00F73972"/>
    <w:rsid w:val="00F73BE8"/>
    <w:rsid w:val="00F8093F"/>
    <w:rsid w:val="00F82F09"/>
    <w:rsid w:val="00F8407A"/>
    <w:rsid w:val="00F846E2"/>
    <w:rsid w:val="00F85A7A"/>
    <w:rsid w:val="00F86E79"/>
    <w:rsid w:val="00F908AE"/>
    <w:rsid w:val="00F91C3B"/>
    <w:rsid w:val="00F91EFE"/>
    <w:rsid w:val="00F92264"/>
    <w:rsid w:val="00F92A8D"/>
    <w:rsid w:val="00F938FB"/>
    <w:rsid w:val="00F93D5B"/>
    <w:rsid w:val="00F967BF"/>
    <w:rsid w:val="00F97920"/>
    <w:rsid w:val="00F97F77"/>
    <w:rsid w:val="00FA00CE"/>
    <w:rsid w:val="00FA07E1"/>
    <w:rsid w:val="00FA0BA2"/>
    <w:rsid w:val="00FA135A"/>
    <w:rsid w:val="00FA1C90"/>
    <w:rsid w:val="00FA2095"/>
    <w:rsid w:val="00FA32C6"/>
    <w:rsid w:val="00FA5EE1"/>
    <w:rsid w:val="00FA7181"/>
    <w:rsid w:val="00FA7310"/>
    <w:rsid w:val="00FA789D"/>
    <w:rsid w:val="00FA7FF2"/>
    <w:rsid w:val="00FB0B03"/>
    <w:rsid w:val="00FB2952"/>
    <w:rsid w:val="00FB47C8"/>
    <w:rsid w:val="00FB4C4A"/>
    <w:rsid w:val="00FB614C"/>
    <w:rsid w:val="00FB63A7"/>
    <w:rsid w:val="00FB65FE"/>
    <w:rsid w:val="00FC2ADC"/>
    <w:rsid w:val="00FC4473"/>
    <w:rsid w:val="00FC4CB2"/>
    <w:rsid w:val="00FC5246"/>
    <w:rsid w:val="00FC6389"/>
    <w:rsid w:val="00FC722F"/>
    <w:rsid w:val="00FC745D"/>
    <w:rsid w:val="00FD1227"/>
    <w:rsid w:val="00FD12F3"/>
    <w:rsid w:val="00FD1326"/>
    <w:rsid w:val="00FD244F"/>
    <w:rsid w:val="00FD2F80"/>
    <w:rsid w:val="00FD3856"/>
    <w:rsid w:val="00FD3F3B"/>
    <w:rsid w:val="00FD479E"/>
    <w:rsid w:val="00FD561D"/>
    <w:rsid w:val="00FD5E9C"/>
    <w:rsid w:val="00FD696B"/>
    <w:rsid w:val="00FD720E"/>
    <w:rsid w:val="00FE5277"/>
    <w:rsid w:val="00FE53CA"/>
    <w:rsid w:val="00FE65E6"/>
    <w:rsid w:val="00FE681B"/>
    <w:rsid w:val="00FE6FC2"/>
    <w:rsid w:val="00FE7667"/>
    <w:rsid w:val="00FE79A1"/>
    <w:rsid w:val="00FF0224"/>
    <w:rsid w:val="00FF07E5"/>
    <w:rsid w:val="00FF0B51"/>
    <w:rsid w:val="00FF0DB1"/>
    <w:rsid w:val="00FF12BA"/>
    <w:rsid w:val="00FF2476"/>
    <w:rsid w:val="00FF255B"/>
    <w:rsid w:val="00FF2605"/>
    <w:rsid w:val="00FF2CDF"/>
    <w:rsid w:val="00FF3602"/>
    <w:rsid w:val="00FF64EA"/>
    <w:rsid w:val="00FF65F2"/>
    <w:rsid w:val="00FF74C1"/>
    <w:rsid w:val="1A426017"/>
    <w:rsid w:val="3905179D"/>
    <w:rsid w:val="3ECC1AD5"/>
    <w:rsid w:val="457B4C28"/>
    <w:rsid w:val="64EE7FDD"/>
    <w:rsid w:val="6F0B69E0"/>
    <w:rsid w:val="72D54F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ocked="1"/>
    <w:lsdException w:qFormat="1" w:unhideWhenUsed="0" w:uiPriority="39"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ocked="1"/>
    <w:lsdException w:qFormat="1" w:unhideWhenUsed="0" w:uiPriority="0" w:semiHidden="0" w:name="Emphasis" w:locked="1"/>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qFormat="1" w:unhideWhenUsed="0" w:uiPriority="0" w:semiHidden="0"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34"/>
    <w:qFormat/>
    <w:locked/>
    <w:uiPriority w:val="0"/>
    <w:pPr>
      <w:keepNext/>
      <w:keepLines/>
      <w:spacing w:before="340" w:after="330" w:line="578" w:lineRule="auto"/>
      <w:outlineLvl w:val="0"/>
    </w:pPr>
    <w:rPr>
      <w:b/>
      <w:bCs/>
      <w:kern w:val="44"/>
      <w:sz w:val="44"/>
      <w:szCs w:val="44"/>
    </w:rPr>
  </w:style>
  <w:style w:type="paragraph" w:styleId="3">
    <w:name w:val="heading 2"/>
    <w:basedOn w:val="1"/>
    <w:next w:val="1"/>
    <w:link w:val="28"/>
    <w:qFormat/>
    <w:uiPriority w:val="99"/>
    <w:pPr>
      <w:keepNext/>
      <w:keepLines/>
      <w:spacing w:before="260" w:after="260" w:line="416" w:lineRule="auto"/>
      <w:outlineLvl w:val="1"/>
    </w:pPr>
    <w:rPr>
      <w:rFonts w:ascii="Cambria" w:hAnsi="Cambria" w:cs="Cambria"/>
      <w:b/>
      <w:bCs/>
      <w:sz w:val="32"/>
      <w:szCs w:val="32"/>
    </w:rPr>
  </w:style>
  <w:style w:type="paragraph" w:styleId="4">
    <w:name w:val="heading 3"/>
    <w:basedOn w:val="1"/>
    <w:next w:val="1"/>
    <w:link w:val="51"/>
    <w:semiHidden/>
    <w:unhideWhenUsed/>
    <w:qFormat/>
    <w:locked/>
    <w:uiPriority w:val="0"/>
    <w:pPr>
      <w:keepNext/>
      <w:keepLines/>
      <w:spacing w:before="260" w:after="260" w:line="416" w:lineRule="auto"/>
      <w:outlineLvl w:val="2"/>
    </w:pPr>
    <w:rPr>
      <w:b/>
      <w:bCs/>
      <w:sz w:val="32"/>
      <w:szCs w:val="32"/>
    </w:rPr>
  </w:style>
  <w:style w:type="character" w:default="1" w:styleId="22">
    <w:name w:val="Default Paragraph Font"/>
    <w:semiHidden/>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9"/>
    <w:semiHidden/>
    <w:unhideWhenUsed/>
    <w:qFormat/>
    <w:uiPriority w:val="99"/>
    <w:rPr>
      <w:rFonts w:ascii="宋体"/>
      <w:sz w:val="18"/>
      <w:szCs w:val="18"/>
    </w:rPr>
  </w:style>
  <w:style w:type="paragraph" w:styleId="6">
    <w:name w:val="annotation text"/>
    <w:basedOn w:val="1"/>
    <w:link w:val="37"/>
    <w:semiHidden/>
    <w:unhideWhenUsed/>
    <w:qFormat/>
    <w:uiPriority w:val="99"/>
    <w:pPr>
      <w:jc w:val="left"/>
    </w:pPr>
  </w:style>
  <w:style w:type="paragraph" w:styleId="7">
    <w:name w:val="Body Text"/>
    <w:basedOn w:val="1"/>
    <w:link w:val="42"/>
    <w:qFormat/>
    <w:uiPriority w:val="0"/>
    <w:pPr>
      <w:spacing w:after="120"/>
    </w:pPr>
    <w:rPr>
      <w:rFonts w:ascii="Times New Roman" w:hAnsi="Times New Roman" w:cs="Times New Roman"/>
      <w:szCs w:val="24"/>
    </w:rPr>
  </w:style>
  <w:style w:type="paragraph" w:styleId="8">
    <w:name w:val="Body Text Indent"/>
    <w:basedOn w:val="1"/>
    <w:link w:val="32"/>
    <w:qFormat/>
    <w:uiPriority w:val="99"/>
    <w:pPr>
      <w:widowControl/>
      <w:ind w:left="420"/>
      <w:jc w:val="left"/>
    </w:pPr>
    <w:rPr>
      <w:rFonts w:ascii="Times New Roman" w:hAnsi="Times New Roman" w:cs="Times New Roman"/>
      <w:sz w:val="30"/>
      <w:szCs w:val="30"/>
    </w:rPr>
  </w:style>
  <w:style w:type="paragraph" w:styleId="9">
    <w:name w:val="Date"/>
    <w:basedOn w:val="1"/>
    <w:next w:val="1"/>
    <w:link w:val="31"/>
    <w:semiHidden/>
    <w:qFormat/>
    <w:uiPriority w:val="99"/>
    <w:pPr>
      <w:ind w:left="100" w:leftChars="2500"/>
    </w:pPr>
  </w:style>
  <w:style w:type="paragraph" w:styleId="10">
    <w:name w:val="Balloon Text"/>
    <w:basedOn w:val="1"/>
    <w:link w:val="35"/>
    <w:semiHidden/>
    <w:unhideWhenUsed/>
    <w:qFormat/>
    <w:uiPriority w:val="99"/>
    <w:rPr>
      <w:sz w:val="18"/>
      <w:szCs w:val="18"/>
    </w:rPr>
  </w:style>
  <w:style w:type="paragraph" w:styleId="11">
    <w:name w:val="footer"/>
    <w:basedOn w:val="1"/>
    <w:link w:val="30"/>
    <w:qFormat/>
    <w:uiPriority w:val="99"/>
    <w:pPr>
      <w:tabs>
        <w:tab w:val="center" w:pos="4153"/>
        <w:tab w:val="right" w:pos="8306"/>
      </w:tabs>
      <w:snapToGrid w:val="0"/>
      <w:jc w:val="left"/>
    </w:pPr>
    <w:rPr>
      <w:sz w:val="18"/>
      <w:szCs w:val="18"/>
    </w:rPr>
  </w:style>
  <w:style w:type="paragraph" w:styleId="12">
    <w:name w:val="header"/>
    <w:basedOn w:val="1"/>
    <w:link w:val="29"/>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locked/>
    <w:uiPriority w:val="39"/>
    <w:pPr>
      <w:tabs>
        <w:tab w:val="right" w:leader="dot" w:pos="9203"/>
      </w:tabs>
    </w:pPr>
    <w:rPr>
      <w:rFonts w:ascii="宋体" w:hAnsi="宋体" w:cs="宋体"/>
      <w:b/>
      <w:bCs/>
      <w:spacing w:val="-9"/>
    </w:rPr>
  </w:style>
  <w:style w:type="paragraph" w:styleId="14">
    <w:name w:val="footnote text"/>
    <w:basedOn w:val="1"/>
    <w:link w:val="36"/>
    <w:semiHidden/>
    <w:unhideWhenUsed/>
    <w:qFormat/>
    <w:uiPriority w:val="99"/>
    <w:pPr>
      <w:snapToGrid w:val="0"/>
      <w:jc w:val="left"/>
    </w:pPr>
    <w:rPr>
      <w:sz w:val="18"/>
      <w:szCs w:val="18"/>
    </w:rPr>
  </w:style>
  <w:style w:type="paragraph" w:styleId="15">
    <w:name w:val="Body Text Indent 3"/>
    <w:basedOn w:val="1"/>
    <w:link w:val="53"/>
    <w:qFormat/>
    <w:uiPriority w:val="0"/>
    <w:pPr>
      <w:spacing w:after="120"/>
      <w:ind w:left="420" w:leftChars="200"/>
    </w:pPr>
    <w:rPr>
      <w:sz w:val="16"/>
      <w:szCs w:val="16"/>
    </w:rPr>
  </w:style>
  <w:style w:type="paragraph" w:styleId="16">
    <w:name w:val="toc 2"/>
    <w:basedOn w:val="1"/>
    <w:next w:val="1"/>
    <w:qFormat/>
    <w:locked/>
    <w:uiPriority w:val="39"/>
    <w:pPr>
      <w:ind w:left="420" w:leftChars="200"/>
    </w:pPr>
  </w:style>
  <w:style w:type="paragraph" w:styleId="17">
    <w:name w:val="Body Text 2"/>
    <w:basedOn w:val="1"/>
    <w:link w:val="52"/>
    <w:qFormat/>
    <w:uiPriority w:val="0"/>
    <w:pPr>
      <w:spacing w:after="120" w:line="480" w:lineRule="auto"/>
    </w:pPr>
    <w:rPr>
      <w:rFonts w:ascii="Times New Roman" w:hAnsi="Times New Roman" w:cs="Times New Roman"/>
      <w:szCs w:val="24"/>
    </w:rPr>
  </w:style>
  <w:style w:type="paragraph" w:styleId="18">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19">
    <w:name w:val="annotation subject"/>
    <w:basedOn w:val="6"/>
    <w:next w:val="6"/>
    <w:link w:val="38"/>
    <w:semiHidden/>
    <w:unhideWhenUsed/>
    <w:qFormat/>
    <w:uiPriority w:val="99"/>
    <w:rPr>
      <w:b/>
      <w:bCs/>
    </w:rPr>
  </w:style>
  <w:style w:type="table" w:styleId="21">
    <w:name w:val="Table Grid"/>
    <w:basedOn w:val="20"/>
    <w:qFormat/>
    <w:uiPriority w:val="99"/>
    <w:rPr>
      <w:rFonts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3">
    <w:name w:val="Strong"/>
    <w:basedOn w:val="22"/>
    <w:qFormat/>
    <w:locked/>
    <w:uiPriority w:val="22"/>
    <w:rPr>
      <w:b/>
      <w:bCs/>
    </w:rPr>
  </w:style>
  <w:style w:type="character" w:styleId="24">
    <w:name w:val="Hyperlink"/>
    <w:basedOn w:val="22"/>
    <w:qFormat/>
    <w:uiPriority w:val="99"/>
    <w:rPr>
      <w:color w:val="0000FF"/>
      <w:u w:val="single"/>
    </w:rPr>
  </w:style>
  <w:style w:type="character" w:styleId="25">
    <w:name w:val="annotation reference"/>
    <w:basedOn w:val="22"/>
    <w:semiHidden/>
    <w:unhideWhenUsed/>
    <w:qFormat/>
    <w:uiPriority w:val="99"/>
    <w:rPr>
      <w:sz w:val="21"/>
      <w:szCs w:val="21"/>
    </w:rPr>
  </w:style>
  <w:style w:type="character" w:styleId="26">
    <w:name w:val="footnote reference"/>
    <w:basedOn w:val="22"/>
    <w:semiHidden/>
    <w:unhideWhenUsed/>
    <w:qFormat/>
    <w:uiPriority w:val="99"/>
    <w:rPr>
      <w:vertAlign w:val="superscript"/>
    </w:rPr>
  </w:style>
  <w:style w:type="character" w:styleId="27">
    <w:name w:val="HTML Sample"/>
    <w:basedOn w:val="22"/>
    <w:qFormat/>
    <w:uiPriority w:val="0"/>
    <w:rPr>
      <w:rFonts w:hint="default" w:ascii="monospace" w:hAnsi="monospace" w:eastAsia="monospace" w:cs="monospace"/>
      <w:sz w:val="21"/>
      <w:szCs w:val="21"/>
    </w:rPr>
  </w:style>
  <w:style w:type="character" w:customStyle="1" w:styleId="28">
    <w:name w:val="标题 2 Char"/>
    <w:basedOn w:val="22"/>
    <w:link w:val="3"/>
    <w:qFormat/>
    <w:locked/>
    <w:uiPriority w:val="99"/>
    <w:rPr>
      <w:rFonts w:ascii="Cambria" w:hAnsi="Cambria" w:eastAsia="宋体" w:cs="Cambria"/>
      <w:b/>
      <w:bCs/>
      <w:sz w:val="32"/>
      <w:szCs w:val="32"/>
    </w:rPr>
  </w:style>
  <w:style w:type="character" w:customStyle="1" w:styleId="29">
    <w:name w:val="页眉 Char"/>
    <w:basedOn w:val="22"/>
    <w:link w:val="12"/>
    <w:qFormat/>
    <w:locked/>
    <w:uiPriority w:val="99"/>
    <w:rPr>
      <w:sz w:val="18"/>
      <w:szCs w:val="18"/>
    </w:rPr>
  </w:style>
  <w:style w:type="character" w:customStyle="1" w:styleId="30">
    <w:name w:val="页脚 Char"/>
    <w:basedOn w:val="22"/>
    <w:link w:val="11"/>
    <w:qFormat/>
    <w:locked/>
    <w:uiPriority w:val="99"/>
    <w:rPr>
      <w:sz w:val="18"/>
      <w:szCs w:val="18"/>
    </w:rPr>
  </w:style>
  <w:style w:type="character" w:customStyle="1" w:styleId="31">
    <w:name w:val="日期 Char"/>
    <w:basedOn w:val="22"/>
    <w:link w:val="9"/>
    <w:semiHidden/>
    <w:qFormat/>
    <w:locked/>
    <w:uiPriority w:val="99"/>
  </w:style>
  <w:style w:type="character" w:customStyle="1" w:styleId="32">
    <w:name w:val="正文文本缩进 Char"/>
    <w:basedOn w:val="22"/>
    <w:link w:val="8"/>
    <w:qFormat/>
    <w:locked/>
    <w:uiPriority w:val="99"/>
    <w:rPr>
      <w:rFonts w:ascii="Times New Roman" w:hAnsi="Times New Roman" w:eastAsia="宋体" w:cs="Times New Roman"/>
      <w:sz w:val="20"/>
      <w:szCs w:val="20"/>
    </w:rPr>
  </w:style>
  <w:style w:type="paragraph" w:styleId="33">
    <w:name w:val="List Paragraph"/>
    <w:basedOn w:val="1"/>
    <w:qFormat/>
    <w:uiPriority w:val="99"/>
    <w:pPr>
      <w:widowControl/>
      <w:ind w:firstLine="420" w:firstLineChars="200"/>
      <w:jc w:val="left"/>
    </w:pPr>
    <w:rPr>
      <w:rFonts w:ascii="Times New Roman" w:hAnsi="Times New Roman" w:cs="Times New Roman"/>
    </w:rPr>
  </w:style>
  <w:style w:type="character" w:customStyle="1" w:styleId="34">
    <w:name w:val="标题 1 Char"/>
    <w:basedOn w:val="22"/>
    <w:link w:val="2"/>
    <w:qFormat/>
    <w:uiPriority w:val="0"/>
    <w:rPr>
      <w:rFonts w:cs="Calibri"/>
      <w:b/>
      <w:bCs/>
      <w:kern w:val="44"/>
      <w:sz w:val="44"/>
      <w:szCs w:val="44"/>
    </w:rPr>
  </w:style>
  <w:style w:type="character" w:customStyle="1" w:styleId="35">
    <w:name w:val="批注框文本 Char"/>
    <w:basedOn w:val="22"/>
    <w:link w:val="10"/>
    <w:semiHidden/>
    <w:qFormat/>
    <w:uiPriority w:val="99"/>
    <w:rPr>
      <w:rFonts w:cs="Calibri"/>
      <w:kern w:val="2"/>
      <w:sz w:val="18"/>
      <w:szCs w:val="18"/>
    </w:rPr>
  </w:style>
  <w:style w:type="character" w:customStyle="1" w:styleId="36">
    <w:name w:val="脚注文本 Char"/>
    <w:basedOn w:val="22"/>
    <w:link w:val="14"/>
    <w:semiHidden/>
    <w:qFormat/>
    <w:uiPriority w:val="99"/>
    <w:rPr>
      <w:rFonts w:cs="Calibri"/>
      <w:kern w:val="2"/>
      <w:sz w:val="18"/>
      <w:szCs w:val="18"/>
    </w:rPr>
  </w:style>
  <w:style w:type="character" w:customStyle="1" w:styleId="37">
    <w:name w:val="批注文字 Char"/>
    <w:basedOn w:val="22"/>
    <w:link w:val="6"/>
    <w:semiHidden/>
    <w:qFormat/>
    <w:uiPriority w:val="99"/>
    <w:rPr>
      <w:rFonts w:cs="Calibri"/>
      <w:kern w:val="2"/>
      <w:sz w:val="21"/>
      <w:szCs w:val="21"/>
    </w:rPr>
  </w:style>
  <w:style w:type="character" w:customStyle="1" w:styleId="38">
    <w:name w:val="批注主题 Char"/>
    <w:basedOn w:val="37"/>
    <w:link w:val="19"/>
    <w:semiHidden/>
    <w:qFormat/>
    <w:uiPriority w:val="99"/>
    <w:rPr>
      <w:rFonts w:cs="Calibri"/>
      <w:b/>
      <w:bCs/>
      <w:kern w:val="2"/>
      <w:sz w:val="21"/>
      <w:szCs w:val="21"/>
    </w:rPr>
  </w:style>
  <w:style w:type="character" w:customStyle="1" w:styleId="39">
    <w:name w:val="文档结构图 Char"/>
    <w:basedOn w:val="22"/>
    <w:link w:val="5"/>
    <w:semiHidden/>
    <w:qFormat/>
    <w:uiPriority w:val="99"/>
    <w:rPr>
      <w:rFonts w:ascii="宋体" w:cs="Calibri"/>
      <w:kern w:val="2"/>
      <w:sz w:val="18"/>
      <w:szCs w:val="18"/>
    </w:rPr>
  </w:style>
  <w:style w:type="paragraph" w:customStyle="1" w:styleId="40">
    <w:name w:val="修订1"/>
    <w:hidden/>
    <w:semiHidden/>
    <w:qFormat/>
    <w:uiPriority w:val="99"/>
    <w:rPr>
      <w:rFonts w:ascii="Calibri" w:hAnsi="Calibri" w:eastAsia="宋体" w:cs="Calibri"/>
      <w:kern w:val="2"/>
      <w:sz w:val="21"/>
      <w:szCs w:val="21"/>
      <w:lang w:val="en-US" w:eastAsia="zh-CN" w:bidi="ar-SA"/>
    </w:rPr>
  </w:style>
  <w:style w:type="character" w:customStyle="1" w:styleId="41">
    <w:name w:val="正文文本_"/>
    <w:basedOn w:val="22"/>
    <w:qFormat/>
    <w:uiPriority w:val="0"/>
    <w:rPr>
      <w:rFonts w:ascii="黑体" w:hAnsi="黑体" w:cs="黑体"/>
      <w:color w:val="auto"/>
      <w:spacing w:val="20"/>
      <w:sz w:val="25"/>
      <w:szCs w:val="25"/>
      <w:lang w:val="en-US" w:eastAsia="zh-CN"/>
    </w:rPr>
  </w:style>
  <w:style w:type="character" w:customStyle="1" w:styleId="42">
    <w:name w:val="正文文本 Char"/>
    <w:basedOn w:val="22"/>
    <w:link w:val="7"/>
    <w:qFormat/>
    <w:uiPriority w:val="0"/>
    <w:rPr>
      <w:rFonts w:ascii="Times New Roman" w:hAnsi="Times New Roman"/>
      <w:kern w:val="2"/>
      <w:sz w:val="21"/>
      <w:szCs w:val="24"/>
    </w:rPr>
  </w:style>
  <w:style w:type="character" w:customStyle="1" w:styleId="43">
    <w:name w:val="正文文本 Char1"/>
    <w:basedOn w:val="22"/>
    <w:semiHidden/>
    <w:qFormat/>
    <w:uiPriority w:val="99"/>
    <w:rPr>
      <w:rFonts w:cs="Calibri"/>
      <w:kern w:val="2"/>
      <w:sz w:val="21"/>
      <w:szCs w:val="21"/>
    </w:rPr>
  </w:style>
  <w:style w:type="character" w:customStyle="1" w:styleId="44">
    <w:name w:val="正文文本 (3) + 12.5 pt"/>
    <w:basedOn w:val="22"/>
    <w:qFormat/>
    <w:uiPriority w:val="0"/>
    <w:rPr>
      <w:rFonts w:ascii="黑体" w:hAnsi="黑体" w:cs="黑体"/>
      <w:spacing w:val="20"/>
      <w:kern w:val="0"/>
      <w:sz w:val="25"/>
      <w:szCs w:val="25"/>
      <w:lang w:eastAsia="en-US"/>
    </w:rPr>
  </w:style>
  <w:style w:type="character" w:customStyle="1" w:styleId="45">
    <w:name w:val="正文文本 + 12 pt"/>
    <w:basedOn w:val="22"/>
    <w:qFormat/>
    <w:uiPriority w:val="0"/>
    <w:rPr>
      <w:rFonts w:ascii="宋体" w:hAnsi="Courier New" w:eastAsia="宋体" w:cs="Times New Roman"/>
      <w:sz w:val="24"/>
      <w:szCs w:val="24"/>
      <w:lang w:val="en-US" w:eastAsia="en-US"/>
    </w:rPr>
  </w:style>
  <w:style w:type="character" w:customStyle="1" w:styleId="46">
    <w:name w:val="正文文本 (3)_"/>
    <w:basedOn w:val="22"/>
    <w:link w:val="47"/>
    <w:qFormat/>
    <w:uiPriority w:val="0"/>
    <w:rPr>
      <w:rFonts w:ascii="黑体" w:hAnsi="黑体" w:cs="黑体"/>
      <w:spacing w:val="20"/>
      <w:shd w:val="clear" w:color="auto" w:fill="FFFFFF"/>
      <w:lang w:eastAsia="en-US"/>
    </w:rPr>
  </w:style>
  <w:style w:type="paragraph" w:customStyle="1" w:styleId="47">
    <w:name w:val="正文文本 (3)"/>
    <w:basedOn w:val="1"/>
    <w:link w:val="46"/>
    <w:qFormat/>
    <w:uiPriority w:val="0"/>
    <w:pPr>
      <w:shd w:val="clear" w:color="auto" w:fill="FFFFFF"/>
      <w:spacing w:after="300" w:line="240" w:lineRule="atLeast"/>
      <w:ind w:hanging="1220"/>
      <w:jc w:val="distribute"/>
    </w:pPr>
    <w:rPr>
      <w:rFonts w:ascii="黑体" w:hAnsi="黑体" w:cs="黑体"/>
      <w:spacing w:val="20"/>
      <w:kern w:val="0"/>
      <w:sz w:val="20"/>
      <w:szCs w:val="20"/>
      <w:lang w:eastAsia="en-US"/>
    </w:rPr>
  </w:style>
  <w:style w:type="paragraph" w:customStyle="1" w:styleId="48">
    <w:name w:val="修订11"/>
    <w:hidden/>
    <w:semiHidden/>
    <w:qFormat/>
    <w:uiPriority w:val="99"/>
    <w:rPr>
      <w:rFonts w:ascii="Calibri" w:hAnsi="Calibri" w:eastAsia="宋体" w:cs="Calibri"/>
      <w:kern w:val="2"/>
      <w:sz w:val="21"/>
      <w:szCs w:val="21"/>
      <w:lang w:val="en-US" w:eastAsia="zh-CN" w:bidi="ar-SA"/>
    </w:rPr>
  </w:style>
  <w:style w:type="paragraph" w:customStyle="1" w:styleId="49">
    <w:name w:val="MTDisplayEquation"/>
    <w:basedOn w:val="1"/>
    <w:next w:val="1"/>
    <w:link w:val="50"/>
    <w:qFormat/>
    <w:uiPriority w:val="0"/>
    <w:pPr>
      <w:tabs>
        <w:tab w:val="center" w:pos="4600"/>
        <w:tab w:val="right" w:pos="9220"/>
      </w:tabs>
      <w:spacing w:line="560" w:lineRule="exact"/>
      <w:ind w:firstLine="560" w:firstLineChars="200"/>
    </w:pPr>
    <w:rPr>
      <w:rFonts w:ascii="宋体" w:cs="Times New Roman"/>
      <w:sz w:val="28"/>
      <w:szCs w:val="28"/>
    </w:rPr>
  </w:style>
  <w:style w:type="character" w:customStyle="1" w:styleId="50">
    <w:name w:val="MTDisplayEquation Char"/>
    <w:basedOn w:val="22"/>
    <w:link w:val="49"/>
    <w:qFormat/>
    <w:uiPriority w:val="0"/>
    <w:rPr>
      <w:rFonts w:ascii="宋体"/>
      <w:kern w:val="2"/>
      <w:sz w:val="28"/>
      <w:szCs w:val="28"/>
    </w:rPr>
  </w:style>
  <w:style w:type="character" w:customStyle="1" w:styleId="51">
    <w:name w:val="标题 3 Char"/>
    <w:basedOn w:val="22"/>
    <w:link w:val="4"/>
    <w:semiHidden/>
    <w:qFormat/>
    <w:uiPriority w:val="0"/>
    <w:rPr>
      <w:rFonts w:cs="Calibri"/>
      <w:b/>
      <w:bCs/>
      <w:kern w:val="2"/>
      <w:sz w:val="32"/>
      <w:szCs w:val="32"/>
    </w:rPr>
  </w:style>
  <w:style w:type="character" w:customStyle="1" w:styleId="52">
    <w:name w:val="正文文本 2 Char"/>
    <w:basedOn w:val="22"/>
    <w:link w:val="17"/>
    <w:qFormat/>
    <w:uiPriority w:val="0"/>
    <w:rPr>
      <w:rFonts w:ascii="Times New Roman" w:hAnsi="Times New Roman"/>
      <w:kern w:val="2"/>
      <w:sz w:val="21"/>
      <w:szCs w:val="24"/>
    </w:rPr>
  </w:style>
  <w:style w:type="character" w:customStyle="1" w:styleId="53">
    <w:name w:val="正文文本缩进 3 Char"/>
    <w:basedOn w:val="22"/>
    <w:link w:val="15"/>
    <w:qFormat/>
    <w:uiPriority w:val="0"/>
    <w:rPr>
      <w:rFonts w:cs="Calibri"/>
      <w:kern w:val="2"/>
      <w:sz w:val="16"/>
      <w:szCs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6205"/>
    <customShpInfo spid="_x0000_s6207"/>
    <customShpInfo spid="_x0000_s6208"/>
    <customShpInfo spid="_x0000_s6206"/>
    <customShpInfo spid="_x0000_s6204"/>
    <customShpInfo spid="_x0000_s6200"/>
    <customShpInfo spid="_x0000_s6202"/>
    <customShpInfo spid="_x0000_s6203"/>
    <customShpInfo spid="_x0000_s6201"/>
    <customShpInfo spid="_x0000_s6199"/>
    <customShpInfo spid="_x0000_s1026"/>
    <customShpInfo spid="_x0000_s1027"/>
    <customShpInfo spid="_x0000_s1028"/>
    <customShpInfo spid="_x0000_s1280"/>
    <customShpInfo spid="_x0000_s1279"/>
    <customShpInfo spid="_x0000_s1278"/>
    <customShpInfo spid="_x0000_s1029"/>
    <customShpInfo spid="_x0000_s1030"/>
    <customShpInfo spid="_x0000_s1031"/>
    <customShpInfo spid="_x0000_s1032"/>
    <customShpInfo spid="_x0000_s1033"/>
    <customShpInfo spid="_x0000_s103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9B9C0B-C2A1-44EA-9B82-8C9ED9651B6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37</Pages>
  <Words>20178</Words>
  <Characters>21565</Characters>
  <Lines>32</Lines>
  <Paragraphs>48</Paragraphs>
  <TotalTime>1</TotalTime>
  <ScaleCrop>false</ScaleCrop>
  <LinksUpToDate>false</LinksUpToDate>
  <CharactersWithSpaces>21668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2020-03-30T07:01:00Z</dcterms:created>
  <dc:creator>user</dc:creator>
  <cp:lastModifiedBy>皮特罗罗</cp:lastModifiedBy>
  <cp:lastPrinted>2021-12-17T02:29:00Z</cp:lastPrinted>
  <dcterms:modified xsi:type="dcterms:W3CDTF">2022-06-19T08:12:28Z</dcterms:modified>
  <dc:title>致 估 价 委 托 方 函</dc:title>
  <cp:revision>265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3D3F9C23E381480788B22D3F2D681572</vt:lpwstr>
  </property>
</Properties>
</file>