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ascii="宋体" w:hAnsi="宋体"/>
          <w:b/>
          <w:spacing w:val="60"/>
          <w:sz w:val="52"/>
          <w:szCs w:val="52"/>
        </w:rPr>
      </w:pPr>
    </w:p>
    <w:p>
      <w:pPr>
        <w:spacing w:line="240" w:lineRule="auto"/>
        <w:ind w:firstLine="0" w:firstLineChars="0"/>
        <w:jc w:val="center"/>
        <w:rPr>
          <w:rFonts w:ascii="宋体" w:hAnsi="宋体"/>
          <w:b/>
          <w:spacing w:val="60"/>
          <w:sz w:val="52"/>
          <w:szCs w:val="52"/>
        </w:rPr>
      </w:pPr>
      <w:r>
        <w:rPr>
          <w:rFonts w:hint="eastAsia" w:ascii="宋体" w:hAnsi="宋体"/>
          <w:b/>
          <w:spacing w:val="60"/>
          <w:sz w:val="52"/>
          <w:szCs w:val="52"/>
        </w:rPr>
        <w:t xml:space="preserve">房地产估价报告                                                                                                                                                                                                                                                                                                                                                                                                                                                                                                                                                                       </w:t>
      </w:r>
    </w:p>
    <w:p>
      <w:pPr>
        <w:ind w:firstLine="482"/>
        <w:jc w:val="center"/>
        <w:rPr>
          <w:rFonts w:ascii="宋体" w:hAnsi="宋体"/>
          <w:b/>
          <w:szCs w:val="24"/>
        </w:rPr>
      </w:pPr>
    </w:p>
    <w:p>
      <w:pPr>
        <w:spacing w:line="240" w:lineRule="auto"/>
        <w:ind w:firstLine="602"/>
        <w:jc w:val="center"/>
        <w:rPr>
          <w:rFonts w:hint="eastAsia" w:ascii="宋体" w:hAnsi="宋体" w:eastAsia="宋体"/>
          <w:b/>
          <w:sz w:val="30"/>
          <w:lang w:val="en-US" w:eastAsia="zh-CN"/>
        </w:rPr>
      </w:pPr>
      <w:r>
        <w:rPr>
          <w:rFonts w:hint="eastAsia" w:ascii="宋体" w:hAnsi="宋体" w:eastAsia="宋体"/>
          <w:b/>
          <w:sz w:val="30"/>
          <w:lang w:val="en-US" w:eastAsia="zh-CN"/>
        </w:rPr>
        <w:drawing>
          <wp:inline distT="0" distB="0" distL="114300" distR="114300">
            <wp:extent cx="3239770" cy="4319905"/>
            <wp:effectExtent l="0" t="0" r="17780" b="4445"/>
            <wp:docPr id="3" name="图片 3" descr="IMG_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9907"/>
                    <pic:cNvPicPr>
                      <a:picLocks noChangeAspect="1"/>
                    </pic:cNvPicPr>
                  </pic:nvPicPr>
                  <pic:blipFill>
                    <a:blip r:embed="rId17"/>
                    <a:stretch>
                      <a:fillRect/>
                    </a:stretch>
                  </pic:blipFill>
                  <pic:spPr>
                    <a:xfrm>
                      <a:off x="0" y="0"/>
                      <a:ext cx="3239770" cy="4319905"/>
                    </a:xfrm>
                    <a:prstGeom prst="rect">
                      <a:avLst/>
                    </a:prstGeom>
                  </pic:spPr>
                </pic:pic>
              </a:graphicData>
            </a:graphic>
          </wp:inline>
        </w:drawing>
      </w:r>
    </w:p>
    <w:tbl>
      <w:tblPr>
        <w:tblStyle w:val="29"/>
        <w:tblW w:w="0" w:type="auto"/>
        <w:tblInd w:w="974" w:type="dxa"/>
        <w:tblLayout w:type="autofit"/>
        <w:tblCellMar>
          <w:top w:w="0" w:type="dxa"/>
          <w:left w:w="108" w:type="dxa"/>
          <w:bottom w:w="0" w:type="dxa"/>
          <w:right w:w="108" w:type="dxa"/>
        </w:tblCellMar>
      </w:tblPr>
      <w:tblGrid>
        <w:gridCol w:w="2678"/>
        <w:gridCol w:w="5670"/>
      </w:tblGrid>
      <w:tr>
        <w:tblPrEx>
          <w:tblCellMar>
            <w:top w:w="0" w:type="dxa"/>
            <w:left w:w="108" w:type="dxa"/>
            <w:bottom w:w="0" w:type="dxa"/>
            <w:right w:w="108" w:type="dxa"/>
          </w:tblCellMar>
        </w:tblPrEx>
        <w:trPr>
          <w:trHeight w:val="510" w:hRule="atLeast"/>
        </w:trPr>
        <w:tc>
          <w:tcPr>
            <w:tcW w:w="2678" w:type="dxa"/>
            <w:shd w:val="clear" w:color="auto" w:fill="auto"/>
          </w:tcPr>
          <w:p>
            <w:pPr>
              <w:tabs>
                <w:tab w:val="left" w:pos="1185"/>
              </w:tabs>
              <w:ind w:firstLine="0" w:firstLineChars="0"/>
              <w:rPr>
                <w:rFonts w:ascii="宋体" w:hAnsi="宋体"/>
                <w:b/>
                <w:sz w:val="28"/>
                <w:szCs w:val="28"/>
              </w:rPr>
            </w:pPr>
            <w:r>
              <w:rPr>
                <w:rFonts w:hint="eastAsia" w:ascii="宋体" w:hAnsi="宋体"/>
                <w:b/>
                <w:spacing w:val="-6"/>
                <w:sz w:val="28"/>
                <w:szCs w:val="28"/>
              </w:rPr>
              <w:t xml:space="preserve">估 价 报 告 编 </w:t>
            </w:r>
            <w:r>
              <w:rPr>
                <w:rFonts w:hint="eastAsia" w:ascii="宋体" w:hAnsi="宋体"/>
                <w:b/>
                <w:sz w:val="28"/>
                <w:szCs w:val="28"/>
              </w:rPr>
              <w:t>号：</w:t>
            </w:r>
          </w:p>
        </w:tc>
        <w:tc>
          <w:tcPr>
            <w:tcW w:w="5670" w:type="dxa"/>
            <w:shd w:val="clear" w:color="auto" w:fill="auto"/>
          </w:tcPr>
          <w:p>
            <w:pPr>
              <w:tabs>
                <w:tab w:val="left" w:pos="1185"/>
              </w:tabs>
              <w:ind w:firstLine="0" w:firstLineChars="0"/>
              <w:jc w:val="left"/>
              <w:rPr>
                <w:rFonts w:hint="eastAsia" w:ascii="宋体" w:hAnsi="宋体" w:eastAsia="宋体"/>
                <w:b/>
                <w:sz w:val="28"/>
                <w:szCs w:val="28"/>
                <w:lang w:eastAsia="zh-CN"/>
              </w:rPr>
            </w:pPr>
            <w:r>
              <w:rPr>
                <w:rFonts w:hint="eastAsia" w:ascii="宋体" w:hAnsi="宋体"/>
                <w:sz w:val="28"/>
                <w:szCs w:val="28"/>
                <w:lang w:eastAsia="zh-CN"/>
              </w:rPr>
              <w:t>建融房估</w:t>
            </w:r>
            <w:r>
              <w:rPr>
                <w:rFonts w:hint="default" w:ascii="宋体" w:hAnsi="宋体"/>
                <w:sz w:val="28"/>
                <w:szCs w:val="28"/>
                <w:lang w:val="en-US" w:eastAsia="zh-CN"/>
              </w:rPr>
              <w:t>〔202</w:t>
            </w:r>
            <w:r>
              <w:rPr>
                <w:rFonts w:hint="eastAsia" w:ascii="宋体" w:hAnsi="宋体"/>
                <w:sz w:val="28"/>
                <w:szCs w:val="28"/>
                <w:lang w:val="en-US" w:eastAsia="zh-CN"/>
              </w:rPr>
              <w:t>2〕10060025号</w:t>
            </w:r>
          </w:p>
        </w:tc>
      </w:tr>
      <w:tr>
        <w:tblPrEx>
          <w:tblCellMar>
            <w:top w:w="0" w:type="dxa"/>
            <w:left w:w="108" w:type="dxa"/>
            <w:bottom w:w="0" w:type="dxa"/>
            <w:right w:w="108" w:type="dxa"/>
          </w:tblCellMar>
        </w:tblPrEx>
        <w:tc>
          <w:tcPr>
            <w:tcW w:w="2678" w:type="dxa"/>
            <w:shd w:val="clear" w:color="auto" w:fill="auto"/>
          </w:tcPr>
          <w:p>
            <w:pPr>
              <w:tabs>
                <w:tab w:val="left" w:pos="1185"/>
              </w:tabs>
              <w:ind w:firstLine="0" w:firstLineChars="0"/>
              <w:rPr>
                <w:rFonts w:ascii="宋体" w:hAnsi="宋体"/>
                <w:b/>
                <w:sz w:val="28"/>
                <w:szCs w:val="28"/>
              </w:rPr>
            </w:pPr>
            <w:r>
              <w:rPr>
                <w:rFonts w:hint="eastAsia" w:ascii="宋体" w:hAnsi="宋体"/>
                <w:b/>
                <w:spacing w:val="-6"/>
                <w:sz w:val="28"/>
                <w:szCs w:val="28"/>
              </w:rPr>
              <w:t xml:space="preserve">估 价 项 目 名 </w:t>
            </w:r>
            <w:r>
              <w:rPr>
                <w:rFonts w:hint="eastAsia" w:ascii="宋体" w:hAnsi="宋体"/>
                <w:b/>
                <w:sz w:val="28"/>
                <w:szCs w:val="28"/>
              </w:rPr>
              <w:t>称：</w:t>
            </w:r>
          </w:p>
        </w:tc>
        <w:tc>
          <w:tcPr>
            <w:tcW w:w="5670" w:type="dxa"/>
            <w:shd w:val="clear" w:color="auto" w:fill="auto"/>
          </w:tcPr>
          <w:p>
            <w:pPr>
              <w:tabs>
                <w:tab w:val="left" w:pos="1185"/>
              </w:tabs>
              <w:ind w:firstLine="0" w:firstLineChars="0"/>
              <w:jc w:val="left"/>
              <w:rPr>
                <w:rFonts w:ascii="宋体" w:hAnsi="宋体"/>
                <w:b/>
                <w:sz w:val="28"/>
                <w:szCs w:val="28"/>
              </w:rPr>
            </w:pPr>
            <w:r>
              <w:rPr>
                <w:rFonts w:hint="eastAsia" w:ascii="宋体" w:hAnsi="宋体"/>
                <w:sz w:val="28"/>
                <w:szCs w:val="28"/>
                <w:lang w:eastAsia="zh-CN"/>
              </w:rPr>
              <w:t>晋江市梅岭街道人工湖片区晋江世茂人工湖项目K5地块A1幢610室</w:t>
            </w:r>
            <w:r>
              <w:rPr>
                <w:rFonts w:hint="eastAsia" w:ascii="宋体" w:hAnsi="宋体"/>
                <w:sz w:val="28"/>
                <w:szCs w:val="28"/>
              </w:rPr>
              <w:t>住宅市场价值评估</w:t>
            </w:r>
          </w:p>
        </w:tc>
      </w:tr>
      <w:tr>
        <w:tblPrEx>
          <w:tblCellMar>
            <w:top w:w="0" w:type="dxa"/>
            <w:left w:w="108" w:type="dxa"/>
            <w:bottom w:w="0" w:type="dxa"/>
            <w:right w:w="108" w:type="dxa"/>
          </w:tblCellMar>
        </w:tblPrEx>
        <w:trPr>
          <w:trHeight w:val="510" w:hRule="atLeast"/>
        </w:trPr>
        <w:tc>
          <w:tcPr>
            <w:tcW w:w="2678" w:type="dxa"/>
            <w:shd w:val="clear" w:color="auto" w:fill="auto"/>
          </w:tcPr>
          <w:p>
            <w:pPr>
              <w:tabs>
                <w:tab w:val="left" w:pos="1185"/>
              </w:tabs>
              <w:ind w:firstLine="0" w:firstLineChars="0"/>
              <w:rPr>
                <w:rFonts w:ascii="宋体" w:hAnsi="宋体"/>
                <w:b/>
                <w:sz w:val="28"/>
                <w:szCs w:val="28"/>
              </w:rPr>
            </w:pPr>
            <w:r>
              <w:rPr>
                <w:rFonts w:hint="eastAsia" w:ascii="宋体" w:hAnsi="宋体"/>
                <w:b/>
                <w:spacing w:val="18"/>
                <w:sz w:val="28"/>
                <w:szCs w:val="28"/>
              </w:rPr>
              <w:t xml:space="preserve">估 价 委 托 </w:t>
            </w:r>
            <w:r>
              <w:rPr>
                <w:rFonts w:hint="eastAsia" w:ascii="宋体" w:hAnsi="宋体"/>
                <w:b/>
                <w:sz w:val="28"/>
                <w:szCs w:val="28"/>
              </w:rPr>
              <w:t>人：</w:t>
            </w:r>
          </w:p>
        </w:tc>
        <w:tc>
          <w:tcPr>
            <w:tcW w:w="5670" w:type="dxa"/>
            <w:shd w:val="clear" w:color="auto" w:fill="auto"/>
          </w:tcPr>
          <w:p>
            <w:pPr>
              <w:tabs>
                <w:tab w:val="left" w:pos="1185"/>
              </w:tabs>
              <w:ind w:firstLine="0" w:firstLineChars="0"/>
              <w:jc w:val="left"/>
              <w:rPr>
                <w:rFonts w:hint="eastAsia" w:ascii="宋体" w:hAnsi="宋体" w:eastAsia="宋体"/>
                <w:b/>
                <w:sz w:val="28"/>
                <w:szCs w:val="28"/>
                <w:lang w:eastAsia="zh-CN"/>
              </w:rPr>
            </w:pPr>
            <w:r>
              <w:rPr>
                <w:rFonts w:hint="eastAsia" w:ascii="宋体" w:hAnsi="宋体"/>
                <w:sz w:val="28"/>
                <w:szCs w:val="28"/>
                <w:lang w:eastAsia="zh-CN"/>
              </w:rPr>
              <w:t>安溪县人民法院</w:t>
            </w:r>
          </w:p>
        </w:tc>
      </w:tr>
      <w:tr>
        <w:tblPrEx>
          <w:tblCellMar>
            <w:top w:w="0" w:type="dxa"/>
            <w:left w:w="108" w:type="dxa"/>
            <w:bottom w:w="0" w:type="dxa"/>
            <w:right w:w="108" w:type="dxa"/>
          </w:tblCellMar>
        </w:tblPrEx>
        <w:trPr>
          <w:trHeight w:val="510" w:hRule="atLeast"/>
        </w:trPr>
        <w:tc>
          <w:tcPr>
            <w:tcW w:w="2678" w:type="dxa"/>
            <w:shd w:val="clear" w:color="auto" w:fill="auto"/>
          </w:tcPr>
          <w:p>
            <w:pPr>
              <w:tabs>
                <w:tab w:val="left" w:pos="1185"/>
              </w:tabs>
              <w:ind w:firstLine="0" w:firstLineChars="0"/>
              <w:rPr>
                <w:rFonts w:ascii="宋体" w:hAnsi="宋体"/>
                <w:b/>
                <w:sz w:val="28"/>
                <w:szCs w:val="28"/>
              </w:rPr>
            </w:pPr>
            <w:r>
              <w:rPr>
                <w:rFonts w:hint="eastAsia" w:ascii="宋体" w:hAnsi="宋体"/>
                <w:b/>
                <w:spacing w:val="24"/>
                <w:sz w:val="28"/>
                <w:szCs w:val="28"/>
              </w:rPr>
              <w:t>房地产估价机</w:t>
            </w:r>
            <w:r>
              <w:rPr>
                <w:rFonts w:hint="eastAsia" w:ascii="宋体" w:hAnsi="宋体"/>
                <w:b/>
                <w:sz w:val="28"/>
                <w:szCs w:val="28"/>
              </w:rPr>
              <w:t>构：</w:t>
            </w:r>
          </w:p>
        </w:tc>
        <w:tc>
          <w:tcPr>
            <w:tcW w:w="5670" w:type="dxa"/>
            <w:shd w:val="clear" w:color="auto" w:fill="auto"/>
          </w:tcPr>
          <w:p>
            <w:pPr>
              <w:tabs>
                <w:tab w:val="left" w:pos="1185"/>
              </w:tabs>
              <w:ind w:firstLine="0" w:firstLineChars="0"/>
              <w:jc w:val="left"/>
              <w:rPr>
                <w:rFonts w:ascii="宋体" w:hAnsi="宋体"/>
                <w:b/>
                <w:sz w:val="28"/>
                <w:szCs w:val="28"/>
              </w:rPr>
            </w:pPr>
            <w:r>
              <w:rPr>
                <w:rFonts w:hint="eastAsia" w:ascii="宋体" w:hAnsi="宋体"/>
                <w:sz w:val="28"/>
                <w:szCs w:val="28"/>
              </w:rPr>
              <w:t>福州建融房地产评估咨询有限公司</w:t>
            </w:r>
          </w:p>
        </w:tc>
      </w:tr>
      <w:tr>
        <w:tblPrEx>
          <w:tblCellMar>
            <w:top w:w="0" w:type="dxa"/>
            <w:left w:w="108" w:type="dxa"/>
            <w:bottom w:w="0" w:type="dxa"/>
            <w:right w:w="108" w:type="dxa"/>
          </w:tblCellMar>
        </w:tblPrEx>
        <w:tc>
          <w:tcPr>
            <w:tcW w:w="2678" w:type="dxa"/>
            <w:shd w:val="clear" w:color="auto" w:fill="auto"/>
          </w:tcPr>
          <w:p>
            <w:pPr>
              <w:tabs>
                <w:tab w:val="left" w:pos="1185"/>
              </w:tabs>
              <w:ind w:firstLine="0" w:firstLineChars="0"/>
              <w:rPr>
                <w:rFonts w:ascii="宋体" w:hAnsi="宋体"/>
                <w:b/>
                <w:sz w:val="28"/>
                <w:szCs w:val="28"/>
              </w:rPr>
            </w:pPr>
            <w:r>
              <w:rPr>
                <w:rFonts w:hint="eastAsia" w:ascii="宋体" w:hAnsi="宋体"/>
                <w:b/>
                <w:sz w:val="28"/>
                <w:szCs w:val="28"/>
              </w:rPr>
              <w:t>注册房地产</w:t>
            </w:r>
            <w:r>
              <w:rPr>
                <w:rFonts w:ascii="宋体" w:hAnsi="宋体"/>
                <w:b/>
                <w:sz w:val="28"/>
                <w:szCs w:val="28"/>
              </w:rPr>
              <w:t>估价师</w:t>
            </w:r>
            <w:r>
              <w:rPr>
                <w:rFonts w:hint="eastAsia" w:ascii="宋体" w:hAnsi="宋体"/>
                <w:b/>
                <w:sz w:val="28"/>
                <w:szCs w:val="28"/>
              </w:rPr>
              <w:t>：</w:t>
            </w:r>
          </w:p>
        </w:tc>
        <w:tc>
          <w:tcPr>
            <w:tcW w:w="5670" w:type="dxa"/>
            <w:shd w:val="clear" w:color="auto" w:fill="auto"/>
          </w:tcPr>
          <w:p>
            <w:pPr>
              <w:tabs>
                <w:tab w:val="left" w:pos="1185"/>
              </w:tabs>
              <w:ind w:firstLine="0" w:firstLineChars="0"/>
              <w:jc w:val="left"/>
              <w:rPr>
                <w:rFonts w:ascii="宋体" w:hAnsi="宋体"/>
                <w:sz w:val="28"/>
                <w:szCs w:val="28"/>
              </w:rPr>
            </w:pPr>
            <w:r>
              <w:rPr>
                <w:rFonts w:hint="eastAsia" w:ascii="宋体" w:hAnsi="宋体"/>
                <w:sz w:val="28"/>
                <w:szCs w:val="28"/>
                <w:lang w:eastAsia="zh-CN"/>
              </w:rPr>
              <w:t>王倩泓</w:t>
            </w:r>
            <w:r>
              <w:rPr>
                <w:rFonts w:hint="eastAsia" w:ascii="宋体" w:hAnsi="宋体"/>
                <w:sz w:val="28"/>
                <w:szCs w:val="28"/>
              </w:rPr>
              <w:t>（注册号</w:t>
            </w:r>
            <w:r>
              <w:rPr>
                <w:rFonts w:hint="eastAsia" w:ascii="宋体" w:hAnsi="宋体"/>
                <w:sz w:val="28"/>
                <w:szCs w:val="28"/>
                <w:lang w:eastAsia="zh-CN"/>
              </w:rPr>
              <w:t>3520200084</w:t>
            </w:r>
            <w:r>
              <w:rPr>
                <w:rFonts w:hint="eastAsia" w:ascii="宋体" w:hAnsi="宋体"/>
                <w:sz w:val="28"/>
                <w:szCs w:val="28"/>
              </w:rPr>
              <w:t>）</w:t>
            </w:r>
          </w:p>
          <w:p>
            <w:pPr>
              <w:tabs>
                <w:tab w:val="left" w:pos="1185"/>
              </w:tabs>
              <w:ind w:firstLine="0" w:firstLineChars="0"/>
              <w:jc w:val="left"/>
              <w:rPr>
                <w:rFonts w:ascii="宋体" w:hAnsi="宋体"/>
                <w:b/>
                <w:sz w:val="28"/>
                <w:szCs w:val="28"/>
              </w:rPr>
            </w:pPr>
            <w:r>
              <w:rPr>
                <w:rFonts w:hint="eastAsia" w:ascii="宋体" w:hAnsi="宋体"/>
                <w:sz w:val="28"/>
                <w:szCs w:val="28"/>
                <w:lang w:eastAsia="zh-CN"/>
              </w:rPr>
              <w:t>林月英</w:t>
            </w:r>
            <w:r>
              <w:rPr>
                <w:rFonts w:hint="eastAsia" w:ascii="宋体" w:hAnsi="宋体"/>
                <w:sz w:val="28"/>
                <w:szCs w:val="28"/>
              </w:rPr>
              <w:t>（注册号</w:t>
            </w:r>
            <w:r>
              <w:rPr>
                <w:rFonts w:hint="eastAsia" w:ascii="宋体" w:hAnsi="宋体"/>
                <w:sz w:val="28"/>
                <w:szCs w:val="28"/>
                <w:lang w:eastAsia="zh-CN"/>
              </w:rPr>
              <w:t>3520180068</w:t>
            </w:r>
            <w:r>
              <w:rPr>
                <w:rFonts w:hint="eastAsia" w:ascii="宋体" w:hAnsi="宋体"/>
                <w:sz w:val="28"/>
                <w:szCs w:val="28"/>
              </w:rPr>
              <w:t>）</w:t>
            </w:r>
          </w:p>
        </w:tc>
      </w:tr>
      <w:tr>
        <w:tblPrEx>
          <w:tblCellMar>
            <w:top w:w="0" w:type="dxa"/>
            <w:left w:w="108" w:type="dxa"/>
            <w:bottom w:w="0" w:type="dxa"/>
            <w:right w:w="108" w:type="dxa"/>
          </w:tblCellMar>
        </w:tblPrEx>
        <w:trPr>
          <w:trHeight w:val="510" w:hRule="atLeast"/>
        </w:trPr>
        <w:tc>
          <w:tcPr>
            <w:tcW w:w="2678" w:type="dxa"/>
            <w:shd w:val="clear" w:color="auto" w:fill="auto"/>
          </w:tcPr>
          <w:p>
            <w:pPr>
              <w:tabs>
                <w:tab w:val="left" w:pos="1185"/>
              </w:tabs>
              <w:ind w:firstLine="0" w:firstLineChars="0"/>
              <w:rPr>
                <w:rFonts w:ascii="宋体" w:hAnsi="宋体"/>
                <w:b/>
                <w:sz w:val="28"/>
                <w:szCs w:val="28"/>
              </w:rPr>
            </w:pPr>
            <w:r>
              <w:rPr>
                <w:rFonts w:hint="eastAsia" w:ascii="宋体" w:hAnsi="宋体"/>
                <w:b/>
                <w:sz w:val="28"/>
                <w:szCs w:val="28"/>
              </w:rPr>
              <w:t>估价报告出具日期：</w:t>
            </w:r>
          </w:p>
        </w:tc>
        <w:tc>
          <w:tcPr>
            <w:tcW w:w="5670" w:type="dxa"/>
            <w:shd w:val="clear" w:color="auto" w:fill="auto"/>
          </w:tcPr>
          <w:p>
            <w:pPr>
              <w:tabs>
                <w:tab w:val="left" w:pos="1185"/>
              </w:tabs>
              <w:ind w:firstLine="0" w:firstLineChars="0"/>
              <w:jc w:val="left"/>
              <w:rPr>
                <w:rFonts w:hint="eastAsia" w:ascii="宋体" w:hAnsi="宋体" w:eastAsia="宋体"/>
                <w:b/>
                <w:sz w:val="28"/>
                <w:szCs w:val="28"/>
                <w:lang w:eastAsia="zh-CN"/>
              </w:rPr>
            </w:pPr>
            <w:r>
              <w:rPr>
                <w:rFonts w:hint="eastAsia" w:ascii="宋体" w:hAnsi="宋体"/>
                <w:sz w:val="28"/>
                <w:szCs w:val="28"/>
              </w:rPr>
              <w:t>20</w:t>
            </w:r>
            <w:r>
              <w:rPr>
                <w:rFonts w:hint="eastAsia" w:ascii="宋体" w:hAnsi="宋体"/>
                <w:sz w:val="28"/>
                <w:szCs w:val="28"/>
                <w:lang w:eastAsia="zh-CN"/>
              </w:rPr>
              <w:t>22年6月12日</w:t>
            </w:r>
          </w:p>
        </w:tc>
      </w:tr>
    </w:tbl>
    <w:p>
      <w:pPr>
        <w:spacing w:line="720" w:lineRule="exact"/>
        <w:ind w:firstLine="0" w:firstLineChars="0"/>
        <w:jc w:val="center"/>
        <w:rPr>
          <w:rFonts w:hint="eastAsia" w:ascii="宋体" w:hAnsi="宋体"/>
          <w:b/>
          <w:sz w:val="44"/>
          <w:szCs w:val="44"/>
        </w:rPr>
      </w:pPr>
    </w:p>
    <w:p>
      <w:pPr>
        <w:spacing w:line="720" w:lineRule="exact"/>
        <w:ind w:firstLine="0" w:firstLineChars="0"/>
        <w:jc w:val="center"/>
        <w:rPr>
          <w:rFonts w:ascii="宋体" w:hAnsi="宋体"/>
          <w:b/>
          <w:sz w:val="44"/>
          <w:szCs w:val="44"/>
        </w:rPr>
      </w:pPr>
      <w:r>
        <w:rPr>
          <w:rFonts w:hint="eastAsia" w:ascii="宋体" w:hAnsi="宋体"/>
          <w:b/>
          <w:sz w:val="44"/>
          <w:szCs w:val="44"/>
        </w:rPr>
        <w:t>致估价委托人函</w:t>
      </w:r>
    </w:p>
    <w:p>
      <w:pPr>
        <w:spacing w:line="460" w:lineRule="exact"/>
        <w:ind w:right="420" w:firstLine="422"/>
        <w:jc w:val="center"/>
        <w:rPr>
          <w:rFonts w:hint="eastAsia" w:ascii="宋体" w:hAnsi="宋体" w:eastAsia="宋体"/>
          <w:b/>
          <w:sz w:val="21"/>
          <w:szCs w:val="21"/>
          <w:lang w:eastAsia="zh-CN"/>
        </w:rPr>
      </w:pPr>
      <w:r>
        <w:rPr>
          <w:rFonts w:hint="eastAsia" w:ascii="宋体" w:hAnsi="宋体"/>
          <w:b/>
          <w:sz w:val="21"/>
          <w:szCs w:val="21"/>
          <w:lang w:eastAsia="zh-CN"/>
        </w:rPr>
        <w:t>建融房估</w:t>
      </w:r>
      <w:r>
        <w:rPr>
          <w:rFonts w:hint="default" w:ascii="宋体" w:hAnsi="宋体"/>
          <w:b/>
          <w:sz w:val="21"/>
          <w:szCs w:val="21"/>
          <w:lang w:val="en-US" w:eastAsia="zh-CN"/>
        </w:rPr>
        <w:t>〔202</w:t>
      </w:r>
      <w:r>
        <w:rPr>
          <w:rFonts w:hint="eastAsia" w:ascii="宋体" w:hAnsi="宋体"/>
          <w:b/>
          <w:sz w:val="21"/>
          <w:szCs w:val="21"/>
          <w:lang w:val="en-US" w:eastAsia="zh-CN"/>
        </w:rPr>
        <w:t>2〕10060025号</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ascii="宋体" w:hAnsi="宋体"/>
          <w:b/>
        </w:rPr>
      </w:pPr>
      <w:r>
        <w:rPr>
          <w:rFonts w:hint="eastAsia" w:ascii="宋体" w:hAnsi="宋体"/>
          <w:b/>
          <w:lang w:eastAsia="zh-CN"/>
        </w:rPr>
        <w:t>安溪县人民法院</w:t>
      </w:r>
      <w:r>
        <w:rPr>
          <w:rFonts w:hint="eastAsia" w:ascii="宋体" w:hAnsi="宋体"/>
          <w:b/>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szCs w:val="24"/>
        </w:rPr>
      </w:pPr>
      <w:r>
        <w:rPr>
          <w:rFonts w:hint="eastAsia" w:ascii="宋体" w:hAnsi="宋体"/>
          <w:szCs w:val="24"/>
        </w:rPr>
        <w:t>受贵方的委托，本公司特派估价人员（注册房地产估价师：</w:t>
      </w:r>
      <w:r>
        <w:rPr>
          <w:rFonts w:hint="eastAsia" w:ascii="宋体" w:hAnsi="宋体"/>
          <w:szCs w:val="24"/>
          <w:lang w:eastAsia="zh-CN"/>
        </w:rPr>
        <w:t>王倩泓</w:t>
      </w:r>
      <w:r>
        <w:rPr>
          <w:rFonts w:hint="eastAsia" w:ascii="宋体" w:hAnsi="宋体"/>
          <w:szCs w:val="24"/>
        </w:rPr>
        <w:t>，注册号</w:t>
      </w:r>
      <w:r>
        <w:rPr>
          <w:rFonts w:hint="eastAsia" w:ascii="宋体" w:hAnsi="宋体"/>
          <w:szCs w:val="24"/>
          <w:lang w:eastAsia="zh-CN"/>
        </w:rPr>
        <w:t>3520200084</w:t>
      </w:r>
      <w:r>
        <w:rPr>
          <w:rFonts w:hint="eastAsia" w:ascii="宋体" w:hAnsi="宋体"/>
          <w:szCs w:val="24"/>
        </w:rPr>
        <w:t>，注册房地产估价师：</w:t>
      </w:r>
      <w:r>
        <w:rPr>
          <w:rFonts w:hint="eastAsia" w:ascii="宋体" w:hAnsi="宋体"/>
          <w:szCs w:val="24"/>
          <w:lang w:eastAsia="zh-CN"/>
        </w:rPr>
        <w:t>林月英</w:t>
      </w:r>
      <w:r>
        <w:rPr>
          <w:rFonts w:hint="eastAsia" w:ascii="宋体" w:hAnsi="宋体"/>
          <w:szCs w:val="24"/>
        </w:rPr>
        <w:t>，注册号</w:t>
      </w:r>
      <w:r>
        <w:rPr>
          <w:rFonts w:hint="eastAsia" w:ascii="宋体" w:hAnsi="宋体"/>
          <w:szCs w:val="24"/>
          <w:lang w:eastAsia="zh-CN"/>
        </w:rPr>
        <w:t>3520180068</w:t>
      </w:r>
      <w:r>
        <w:rPr>
          <w:rFonts w:hint="eastAsia" w:ascii="宋体" w:hAnsi="宋体"/>
          <w:szCs w:val="24"/>
        </w:rPr>
        <w:t>）对估价对象进行了估价，现将有关事项函复如下。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szCs w:val="24"/>
        </w:rPr>
      </w:pPr>
      <w:r>
        <w:rPr>
          <w:rFonts w:hint="eastAsia" w:ascii="宋体" w:hAnsi="宋体"/>
          <w:szCs w:val="24"/>
        </w:rPr>
        <w:t>估价目的：</w:t>
      </w:r>
      <w:r>
        <w:rPr>
          <w:rFonts w:hint="eastAsia" w:ascii="宋体" w:hAnsi="宋体"/>
          <w:szCs w:val="24"/>
          <w:lang w:eastAsia="zh-CN"/>
        </w:rPr>
        <w:t>为司法拍卖提供参考依据而评估房地产市场价值</w:t>
      </w:r>
      <w:r>
        <w:rPr>
          <w:rFonts w:hint="eastAsia" w:ascii="宋体" w:hAnsi="宋体"/>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spacing w:val="-4"/>
          <w:szCs w:val="24"/>
        </w:rPr>
      </w:pPr>
      <w:r>
        <w:rPr>
          <w:rFonts w:hint="eastAsia" w:ascii="宋体" w:hAnsi="宋体"/>
          <w:szCs w:val="24"/>
        </w:rPr>
        <w:t>估价对象：</w:t>
      </w:r>
      <w:r>
        <w:rPr>
          <w:rFonts w:hint="eastAsia" w:ascii="宋体" w:hAnsi="宋体"/>
          <w:szCs w:val="24"/>
          <w:lang w:eastAsia="zh-CN"/>
        </w:rPr>
        <w:t>晋江市梅岭街道人工湖片区晋江世茂人工湖项目K5地块A1幢610室</w:t>
      </w:r>
      <w:r>
        <w:rPr>
          <w:rFonts w:hint="eastAsia" w:ascii="宋体" w:hAnsi="宋体"/>
          <w:szCs w:val="24"/>
        </w:rPr>
        <w:t>住宅；财产范围包括建筑物（含二次装修）、相应分摊的国有土地使用权（含国有土地使用权出让金）及公共配套设施</w:t>
      </w:r>
      <w:r>
        <w:rPr>
          <w:rFonts w:ascii="宋体" w:hAnsi="宋体"/>
          <w:szCs w:val="24"/>
        </w:rPr>
        <w:t>，不包括</w:t>
      </w:r>
      <w:r>
        <w:rPr>
          <w:rFonts w:hint="eastAsia" w:ascii="宋体" w:hAnsi="宋体"/>
          <w:szCs w:val="21"/>
        </w:rPr>
        <w:t>室内</w:t>
      </w:r>
      <w:r>
        <w:rPr>
          <w:rFonts w:ascii="宋体" w:hAnsi="宋体"/>
          <w:szCs w:val="24"/>
        </w:rPr>
        <w:t>动产、债权债务等</w:t>
      </w:r>
      <w:r>
        <w:rPr>
          <w:rFonts w:hint="eastAsia" w:ascii="宋体" w:hAnsi="宋体"/>
          <w:szCs w:val="24"/>
        </w:rPr>
        <w:t>其他</w:t>
      </w:r>
      <w:r>
        <w:rPr>
          <w:rFonts w:ascii="宋体" w:hAnsi="宋体"/>
          <w:szCs w:val="24"/>
        </w:rPr>
        <w:t>财产或权益</w:t>
      </w:r>
      <w:r>
        <w:rPr>
          <w:rFonts w:hint="eastAsia" w:ascii="宋体" w:hAnsi="宋体"/>
          <w:szCs w:val="24"/>
        </w:rPr>
        <w:t>；建筑面积为</w:t>
      </w:r>
      <w:r>
        <w:rPr>
          <w:rFonts w:hint="eastAsia" w:ascii="宋体" w:hAnsi="宋体"/>
          <w:szCs w:val="24"/>
          <w:lang w:eastAsia="zh-CN"/>
        </w:rPr>
        <w:t>87.38</w:t>
      </w:r>
      <w:r>
        <w:rPr>
          <w:rFonts w:hint="eastAsia" w:ascii="宋体" w:hAnsi="宋体"/>
          <w:szCs w:val="24"/>
        </w:rPr>
        <w:t>㎡；用途为住宅，土地使用权类型为出让；</w:t>
      </w:r>
      <w:r>
        <w:rPr>
          <w:rFonts w:hint="eastAsia" w:ascii="宋体" w:hAnsi="宋体"/>
          <w:szCs w:val="24"/>
          <w:lang w:eastAsia="zh-CN"/>
        </w:rPr>
        <w:t>权利人</w:t>
      </w:r>
      <w:r>
        <w:rPr>
          <w:rFonts w:hint="eastAsia" w:ascii="宋体" w:hAnsi="宋体"/>
          <w:szCs w:val="24"/>
        </w:rPr>
        <w:t>为</w:t>
      </w:r>
      <w:r>
        <w:rPr>
          <w:rFonts w:hint="eastAsia" w:ascii="宋体" w:hAnsi="宋体"/>
          <w:spacing w:val="-4"/>
          <w:szCs w:val="24"/>
          <w:lang w:eastAsia="zh-CN"/>
        </w:rPr>
        <w:t>王文强</w:t>
      </w:r>
      <w:r>
        <w:rPr>
          <w:rFonts w:hint="eastAsia" w:ascii="宋体" w:hAnsi="宋体"/>
          <w:spacing w:val="-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szCs w:val="24"/>
        </w:rPr>
      </w:pPr>
      <w:r>
        <w:rPr>
          <w:rFonts w:hint="eastAsia" w:ascii="宋体" w:hAnsi="宋体"/>
          <w:szCs w:val="24"/>
        </w:rPr>
        <w:t>价值时点：</w:t>
      </w:r>
      <w:r>
        <w:rPr>
          <w:rFonts w:hint="eastAsia" w:ascii="宋体" w:hAnsi="宋体"/>
          <w:szCs w:val="24"/>
          <w:lang w:eastAsia="zh-CN"/>
        </w:rPr>
        <w:t>2022年6月6日</w:t>
      </w:r>
      <w:r>
        <w:rPr>
          <w:rFonts w:hint="eastAsia" w:ascii="宋体" w:hAnsi="宋体"/>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ascii="宋体" w:hAnsi="宋体"/>
          <w:szCs w:val="24"/>
        </w:rPr>
      </w:pPr>
      <w:r>
        <w:rPr>
          <w:rFonts w:hint="eastAsia" w:ascii="宋体" w:hAnsi="宋体"/>
          <w:szCs w:val="24"/>
        </w:rPr>
        <w:t>价值类型：市场价值。</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szCs w:val="24"/>
          <w:lang w:val="en-US" w:eastAsia="zh-CN"/>
        </w:rPr>
      </w:pPr>
      <w:r>
        <w:rPr>
          <w:rFonts w:hint="eastAsia" w:ascii="宋体" w:hAnsi="宋体"/>
          <w:szCs w:val="24"/>
        </w:rPr>
        <w:t>经过实地查勘和市场调查，按照估价目的，遵循估价原则，选用比较法进行了分析、测算，确定估价对象在价值时点且满足本次估价假设和限制条件下的市场价值为人民币</w:t>
      </w:r>
      <w:r>
        <w:rPr>
          <w:rFonts w:hint="eastAsia" w:ascii="宋体" w:hAnsi="宋体"/>
          <w:szCs w:val="24"/>
          <w:lang w:eastAsia="zh-CN"/>
        </w:rPr>
        <w:t>壹佰零柒万肆仟贰佰</w:t>
      </w:r>
      <w:r>
        <w:rPr>
          <w:rFonts w:hint="eastAsia" w:ascii="宋体" w:hAnsi="宋体"/>
          <w:szCs w:val="24"/>
        </w:rPr>
        <w:t>元整（小写：</w:t>
      </w:r>
      <w:r>
        <w:rPr>
          <w:rFonts w:hint="eastAsia" w:ascii="宋体" w:hAnsi="宋体"/>
          <w:szCs w:val="24"/>
          <w:lang w:eastAsia="zh-CN"/>
        </w:rPr>
        <w:t>1,074,200元</w:t>
      </w:r>
      <w:r>
        <w:rPr>
          <w:rFonts w:hint="eastAsia" w:ascii="宋体" w:hAnsi="宋体"/>
          <w:szCs w:val="24"/>
        </w:rPr>
        <w:t>）</w:t>
      </w:r>
      <w:r>
        <w:rPr>
          <w:rFonts w:hint="eastAsia" w:ascii="宋体" w:hAnsi="宋体"/>
          <w:szCs w:val="24"/>
          <w:lang w:eastAsia="zh-CN"/>
        </w:rPr>
        <w:t>，住宅单价</w:t>
      </w:r>
      <w:r>
        <w:rPr>
          <w:rFonts w:hint="eastAsia" w:ascii="宋体" w:hAnsi="宋体"/>
          <w:szCs w:val="24"/>
          <w:lang w:val="en-US" w:eastAsia="zh-CN"/>
        </w:rPr>
        <w:t>12294元/</w:t>
      </w:r>
      <w:r>
        <w:rPr>
          <w:rFonts w:hint="eastAsia" w:ascii="宋体" w:hAnsi="宋体"/>
          <w:szCs w:val="24"/>
        </w:rPr>
        <w:t>㎡</w:t>
      </w:r>
      <w:r>
        <w:rPr>
          <w:rFonts w:hint="eastAsia" w:ascii="宋体" w:hAnsi="宋体"/>
          <w:szCs w:val="24"/>
          <w:lang w:val="en-US" w:eastAsia="zh-CN"/>
        </w:rPr>
        <w:t>.</w:t>
      </w:r>
    </w:p>
    <w:p>
      <w:pPr>
        <w:spacing w:line="400" w:lineRule="exact"/>
        <w:ind w:firstLine="422"/>
        <w:rPr>
          <w:rFonts w:hint="eastAsia" w:ascii="宋体" w:hAnsi="宋体"/>
          <w:b/>
          <w:sz w:val="21"/>
          <w:szCs w:val="21"/>
        </w:rPr>
      </w:pPr>
      <w:r>
        <w:rPr>
          <w:rFonts w:hint="eastAsia" w:ascii="宋体" w:hAnsi="宋体"/>
          <w:b/>
          <w:sz w:val="21"/>
          <w:szCs w:val="21"/>
        </w:rPr>
        <w:t>特别</w:t>
      </w:r>
      <w:r>
        <w:rPr>
          <w:rFonts w:ascii="宋体" w:hAnsi="宋体"/>
          <w:b/>
          <w:sz w:val="21"/>
          <w:szCs w:val="21"/>
        </w:rPr>
        <w:t>提示：</w:t>
      </w:r>
      <w:r>
        <w:rPr>
          <w:rFonts w:ascii="宋体" w:hAnsi="宋体"/>
          <w:b/>
          <w:sz w:val="21"/>
          <w:szCs w:val="21"/>
        </w:rPr>
        <w:fldChar w:fldCharType="begin"/>
      </w:r>
      <w:r>
        <w:rPr>
          <w:rFonts w:ascii="宋体" w:hAnsi="宋体"/>
          <w:b/>
          <w:sz w:val="21"/>
          <w:szCs w:val="21"/>
        </w:rPr>
        <w:instrText xml:space="preserve"> </w:instrText>
      </w:r>
      <w:r>
        <w:rPr>
          <w:rFonts w:hint="eastAsia" w:ascii="宋体" w:hAnsi="宋体"/>
          <w:b/>
          <w:sz w:val="21"/>
          <w:szCs w:val="21"/>
        </w:rPr>
        <w:instrText xml:space="preserve">= 1 \* GB3</w:instrText>
      </w:r>
      <w:r>
        <w:rPr>
          <w:rFonts w:ascii="宋体" w:hAnsi="宋体"/>
          <w:b/>
          <w:sz w:val="21"/>
          <w:szCs w:val="21"/>
        </w:rPr>
        <w:instrText xml:space="preserve"> </w:instrText>
      </w:r>
      <w:r>
        <w:rPr>
          <w:rFonts w:ascii="宋体" w:hAnsi="宋体"/>
          <w:b/>
          <w:sz w:val="21"/>
          <w:szCs w:val="21"/>
        </w:rPr>
        <w:fldChar w:fldCharType="separate"/>
      </w:r>
      <w:r>
        <w:rPr>
          <w:rFonts w:hint="eastAsia" w:ascii="宋体" w:hAnsi="宋体"/>
          <w:b/>
          <w:sz w:val="21"/>
          <w:szCs w:val="21"/>
        </w:rPr>
        <w:t>①</w:t>
      </w:r>
      <w:r>
        <w:rPr>
          <w:rFonts w:ascii="宋体" w:hAnsi="宋体"/>
          <w:b/>
          <w:sz w:val="21"/>
          <w:szCs w:val="21"/>
        </w:rPr>
        <w:fldChar w:fldCharType="end"/>
      </w:r>
      <w:r>
        <w:rPr>
          <w:rFonts w:hint="eastAsia" w:ascii="宋体" w:hAnsi="宋体"/>
          <w:b/>
          <w:sz w:val="21"/>
          <w:szCs w:val="21"/>
        </w:rPr>
        <w:t>本估价报告的使用期限为一</w:t>
      </w:r>
      <w:r>
        <w:rPr>
          <w:rFonts w:ascii="宋体" w:hAnsi="宋体"/>
          <w:b/>
          <w:sz w:val="21"/>
          <w:szCs w:val="21"/>
        </w:rPr>
        <w:t>年</w:t>
      </w:r>
      <w:r>
        <w:rPr>
          <w:rFonts w:hint="eastAsia" w:ascii="宋体" w:hAnsi="宋体"/>
          <w:b/>
          <w:sz w:val="21"/>
          <w:szCs w:val="21"/>
        </w:rPr>
        <w:t>，</w:t>
      </w:r>
      <w:r>
        <w:rPr>
          <w:rFonts w:ascii="宋体" w:hAnsi="宋体"/>
          <w:b/>
          <w:sz w:val="21"/>
          <w:szCs w:val="21"/>
        </w:rPr>
        <w:t>自</w:t>
      </w:r>
      <w:r>
        <w:rPr>
          <w:rFonts w:hint="eastAsia" w:ascii="宋体" w:hAnsi="宋体"/>
          <w:b/>
          <w:sz w:val="21"/>
          <w:szCs w:val="21"/>
        </w:rPr>
        <w:t>本报告出具之日起计</w:t>
      </w:r>
      <w:r>
        <w:rPr>
          <w:rFonts w:ascii="宋体" w:hAnsi="宋体"/>
          <w:b/>
          <w:sz w:val="21"/>
          <w:szCs w:val="21"/>
        </w:rPr>
        <w:t>；</w:t>
      </w:r>
      <w:r>
        <w:rPr>
          <w:rFonts w:ascii="宋体" w:hAnsi="宋体"/>
          <w:b/>
          <w:sz w:val="21"/>
          <w:szCs w:val="21"/>
        </w:rPr>
        <w:fldChar w:fldCharType="begin"/>
      </w:r>
      <w:r>
        <w:rPr>
          <w:rFonts w:ascii="宋体" w:hAnsi="宋体"/>
          <w:b/>
          <w:sz w:val="21"/>
          <w:szCs w:val="21"/>
        </w:rPr>
        <w:instrText xml:space="preserve"> </w:instrText>
      </w:r>
      <w:r>
        <w:rPr>
          <w:rFonts w:hint="eastAsia" w:ascii="宋体" w:hAnsi="宋体"/>
          <w:b/>
          <w:sz w:val="21"/>
          <w:szCs w:val="21"/>
        </w:rPr>
        <w:instrText xml:space="preserve">= 2 \* GB3</w:instrText>
      </w:r>
      <w:r>
        <w:rPr>
          <w:rFonts w:ascii="宋体" w:hAnsi="宋体"/>
          <w:b/>
          <w:sz w:val="21"/>
          <w:szCs w:val="21"/>
        </w:rPr>
        <w:instrText xml:space="preserve"> </w:instrText>
      </w:r>
      <w:r>
        <w:rPr>
          <w:rFonts w:ascii="宋体" w:hAnsi="宋体"/>
          <w:b/>
          <w:sz w:val="21"/>
          <w:szCs w:val="21"/>
        </w:rPr>
        <w:fldChar w:fldCharType="separate"/>
      </w:r>
      <w:r>
        <w:rPr>
          <w:rFonts w:hint="eastAsia" w:ascii="宋体" w:hAnsi="宋体"/>
          <w:b/>
          <w:sz w:val="21"/>
          <w:szCs w:val="21"/>
        </w:rPr>
        <w:t>②</w:t>
      </w:r>
      <w:r>
        <w:rPr>
          <w:rFonts w:ascii="宋体" w:hAnsi="宋体"/>
          <w:b/>
          <w:sz w:val="21"/>
          <w:szCs w:val="21"/>
        </w:rPr>
        <w:fldChar w:fldCharType="end"/>
      </w:r>
      <w:r>
        <w:rPr>
          <w:rFonts w:hint="eastAsia" w:ascii="宋体" w:hAnsi="宋体"/>
          <w:b/>
          <w:sz w:val="21"/>
          <w:szCs w:val="21"/>
          <w:lang w:eastAsia="zh-CN"/>
        </w:rPr>
        <w:t>估价结果不包括估价对象原有的担保物权和其他法定优先受偿款；</w:t>
      </w:r>
      <w:r>
        <w:rPr>
          <w:rFonts w:hint="default" w:ascii="宋体" w:hAnsi="宋体"/>
          <w:b/>
          <w:sz w:val="21"/>
          <w:szCs w:val="21"/>
          <w:lang w:eastAsia="zh-CN"/>
        </w:rPr>
        <w:t>③</w:t>
      </w:r>
      <w:r>
        <w:rPr>
          <w:rFonts w:hint="eastAsia" w:ascii="宋体" w:hAnsi="宋体"/>
          <w:b/>
          <w:sz w:val="21"/>
          <w:szCs w:val="21"/>
        </w:rPr>
        <w:t>详情请阅读本报告书全文。</w:t>
      </w:r>
    </w:p>
    <w:p>
      <w:pPr>
        <w:spacing w:line="400" w:lineRule="exact"/>
        <w:ind w:firstLine="422"/>
        <w:rPr>
          <w:rFonts w:hint="eastAsia" w:ascii="宋体" w:hAnsi="宋体"/>
          <w:b/>
          <w:sz w:val="21"/>
          <w:szCs w:val="21"/>
        </w:rPr>
      </w:pPr>
    </w:p>
    <w:p>
      <w:pPr>
        <w:spacing w:line="400" w:lineRule="exact"/>
        <w:ind w:firstLine="422"/>
        <w:rPr>
          <w:rFonts w:hint="eastAsia" w:ascii="宋体" w:hAnsi="宋体"/>
          <w:b/>
          <w:sz w:val="21"/>
          <w:szCs w:val="21"/>
        </w:rPr>
      </w:pPr>
    </w:p>
    <w:p>
      <w:pPr>
        <w:spacing w:line="400" w:lineRule="exact"/>
        <w:ind w:firstLine="422"/>
        <w:rPr>
          <w:rFonts w:hint="eastAsia" w:ascii="宋体" w:hAnsi="宋体"/>
          <w:b/>
          <w:sz w:val="21"/>
          <w:szCs w:val="21"/>
        </w:rPr>
      </w:pPr>
    </w:p>
    <w:p>
      <w:pPr>
        <w:spacing w:line="400" w:lineRule="exact"/>
        <w:ind w:firstLine="422"/>
        <w:rPr>
          <w:rFonts w:hint="eastAsia" w:ascii="宋体" w:hAnsi="宋体"/>
          <w:b/>
          <w:sz w:val="21"/>
          <w:szCs w:val="21"/>
        </w:rPr>
      </w:pPr>
    </w:p>
    <w:p>
      <w:pPr>
        <w:spacing w:line="400" w:lineRule="exact"/>
        <w:ind w:firstLine="422"/>
        <w:rPr>
          <w:rFonts w:hint="eastAsia" w:ascii="宋体" w:hAnsi="宋体"/>
          <w:b/>
          <w:sz w:val="21"/>
          <w:szCs w:val="21"/>
        </w:rPr>
      </w:pPr>
    </w:p>
    <w:p>
      <w:pPr>
        <w:spacing w:line="400" w:lineRule="exact"/>
        <w:ind w:firstLine="422"/>
        <w:rPr>
          <w:rFonts w:hint="eastAsia" w:ascii="宋体" w:hAnsi="宋体"/>
          <w:b/>
          <w:sz w:val="21"/>
          <w:szCs w:val="21"/>
        </w:rPr>
      </w:pPr>
    </w:p>
    <w:p>
      <w:pPr>
        <w:spacing w:line="400" w:lineRule="exact"/>
        <w:ind w:firstLine="422"/>
        <w:rPr>
          <w:rFonts w:hint="eastAsia" w:ascii="宋体" w:hAnsi="宋体"/>
          <w:b/>
          <w:sz w:val="21"/>
          <w:szCs w:val="21"/>
        </w:rPr>
      </w:pPr>
    </w:p>
    <w:p>
      <w:pPr>
        <w:spacing w:line="400" w:lineRule="exact"/>
        <w:ind w:firstLine="422"/>
        <w:rPr>
          <w:rFonts w:hint="eastAsia" w:ascii="宋体" w:hAnsi="宋体"/>
          <w:b/>
          <w:sz w:val="21"/>
          <w:szCs w:val="21"/>
        </w:rPr>
      </w:pPr>
    </w:p>
    <w:tbl>
      <w:tblPr>
        <w:tblStyle w:val="29"/>
        <w:tblW w:w="9796" w:type="dxa"/>
        <w:tblInd w:w="0" w:type="dxa"/>
        <w:tblLayout w:type="autofit"/>
        <w:tblCellMar>
          <w:top w:w="0" w:type="dxa"/>
          <w:left w:w="108" w:type="dxa"/>
          <w:bottom w:w="0" w:type="dxa"/>
          <w:right w:w="108" w:type="dxa"/>
        </w:tblCellMar>
      </w:tblPr>
      <w:tblGrid>
        <w:gridCol w:w="5211"/>
        <w:gridCol w:w="4585"/>
      </w:tblGrid>
      <w:tr>
        <w:tblPrEx>
          <w:tblCellMar>
            <w:top w:w="0" w:type="dxa"/>
            <w:left w:w="108" w:type="dxa"/>
            <w:bottom w:w="0" w:type="dxa"/>
            <w:right w:w="108" w:type="dxa"/>
          </w:tblCellMar>
        </w:tblPrEx>
        <w:trPr>
          <w:trHeight w:val="554" w:hRule="atLeast"/>
        </w:trPr>
        <w:tc>
          <w:tcPr>
            <w:tcW w:w="5211" w:type="dxa"/>
            <w:shd w:val="clear" w:color="auto" w:fill="auto"/>
            <w:vAlign w:val="bottom"/>
          </w:tcPr>
          <w:p>
            <w:pPr>
              <w:spacing w:line="400" w:lineRule="exact"/>
              <w:ind w:firstLine="480"/>
              <w:rPr>
                <w:rFonts w:ascii="宋体" w:hAnsi="宋体"/>
                <w:szCs w:val="24"/>
              </w:rPr>
            </w:pPr>
            <w:r>
              <w:rPr>
                <w:rFonts w:hint="eastAsia" w:ascii="宋体" w:hAnsi="宋体"/>
                <w:szCs w:val="24"/>
              </w:rPr>
              <w:t>法定代表人张孔斌</w:t>
            </w:r>
            <w:r>
              <w:rPr>
                <w:rFonts w:ascii="宋体" w:hAnsi="宋体"/>
                <w:szCs w:val="24"/>
              </w:rPr>
              <w:t>（签章）</w:t>
            </w:r>
            <w:r>
              <w:rPr>
                <w:rFonts w:hint="eastAsia" w:ascii="宋体" w:hAnsi="宋体"/>
                <w:szCs w:val="24"/>
              </w:rPr>
              <w:t>:</w:t>
            </w:r>
          </w:p>
        </w:tc>
        <w:tc>
          <w:tcPr>
            <w:tcW w:w="4585" w:type="dxa"/>
            <w:shd w:val="clear" w:color="auto" w:fill="auto"/>
          </w:tcPr>
          <w:p>
            <w:pPr>
              <w:spacing w:line="400" w:lineRule="exact"/>
              <w:ind w:firstLine="480"/>
              <w:rPr>
                <w:rFonts w:ascii="宋体" w:hAnsi="宋体"/>
                <w:szCs w:val="24"/>
              </w:rPr>
            </w:pPr>
          </w:p>
        </w:tc>
      </w:tr>
      <w:tr>
        <w:tblPrEx>
          <w:tblCellMar>
            <w:top w:w="0" w:type="dxa"/>
            <w:left w:w="108" w:type="dxa"/>
            <w:bottom w:w="0" w:type="dxa"/>
            <w:right w:w="108" w:type="dxa"/>
          </w:tblCellMar>
        </w:tblPrEx>
        <w:trPr>
          <w:trHeight w:val="618" w:hRule="atLeast"/>
        </w:trPr>
        <w:tc>
          <w:tcPr>
            <w:tcW w:w="5211" w:type="dxa"/>
            <w:shd w:val="clear" w:color="auto" w:fill="auto"/>
          </w:tcPr>
          <w:p>
            <w:pPr>
              <w:spacing w:line="400" w:lineRule="exact"/>
              <w:ind w:firstLine="0" w:firstLineChars="0"/>
              <w:rPr>
                <w:rFonts w:ascii="宋体" w:hAnsi="宋体"/>
                <w:szCs w:val="24"/>
              </w:rPr>
            </w:pPr>
          </w:p>
          <w:p>
            <w:pPr>
              <w:spacing w:line="400" w:lineRule="exact"/>
              <w:ind w:firstLine="0" w:firstLineChars="0"/>
              <w:rPr>
                <w:rFonts w:ascii="宋体" w:hAnsi="宋体"/>
                <w:szCs w:val="24"/>
              </w:rPr>
            </w:pPr>
          </w:p>
        </w:tc>
        <w:tc>
          <w:tcPr>
            <w:tcW w:w="4585" w:type="dxa"/>
            <w:shd w:val="clear" w:color="auto" w:fill="auto"/>
            <w:vAlign w:val="center"/>
          </w:tcPr>
          <w:p>
            <w:pPr>
              <w:spacing w:line="400" w:lineRule="exact"/>
              <w:ind w:firstLine="0" w:firstLineChars="0"/>
              <w:rPr>
                <w:rFonts w:ascii="宋体" w:hAnsi="宋体"/>
                <w:szCs w:val="24"/>
              </w:rPr>
            </w:pPr>
          </w:p>
          <w:p>
            <w:pPr>
              <w:spacing w:line="400" w:lineRule="exact"/>
              <w:ind w:firstLine="0" w:firstLineChars="0"/>
              <w:rPr>
                <w:rFonts w:ascii="宋体" w:hAnsi="宋体"/>
                <w:szCs w:val="24"/>
              </w:rPr>
            </w:pPr>
            <w:r>
              <w:rPr>
                <w:rFonts w:hint="eastAsia" w:ascii="宋体" w:hAnsi="宋体"/>
                <w:szCs w:val="24"/>
              </w:rPr>
              <w:t>福州建融房地产评估咨询有限公司（</w:t>
            </w:r>
            <w:r>
              <w:rPr>
                <w:rFonts w:ascii="宋体" w:hAnsi="宋体"/>
                <w:szCs w:val="24"/>
              </w:rPr>
              <w:t>公章）</w:t>
            </w:r>
          </w:p>
        </w:tc>
      </w:tr>
      <w:tr>
        <w:tblPrEx>
          <w:tblCellMar>
            <w:top w:w="0" w:type="dxa"/>
            <w:left w:w="108" w:type="dxa"/>
            <w:bottom w:w="0" w:type="dxa"/>
            <w:right w:w="108" w:type="dxa"/>
          </w:tblCellMar>
        </w:tblPrEx>
        <w:tc>
          <w:tcPr>
            <w:tcW w:w="5211" w:type="dxa"/>
            <w:shd w:val="clear" w:color="auto" w:fill="auto"/>
          </w:tcPr>
          <w:p>
            <w:pPr>
              <w:spacing w:line="400" w:lineRule="exact"/>
              <w:ind w:firstLine="480"/>
              <w:rPr>
                <w:rFonts w:ascii="宋体" w:hAnsi="宋体"/>
                <w:szCs w:val="24"/>
              </w:rPr>
            </w:pPr>
          </w:p>
        </w:tc>
        <w:tc>
          <w:tcPr>
            <w:tcW w:w="4585" w:type="dxa"/>
            <w:shd w:val="clear" w:color="auto" w:fill="auto"/>
            <w:vAlign w:val="center"/>
          </w:tcPr>
          <w:p>
            <w:pPr>
              <w:spacing w:line="400" w:lineRule="exact"/>
              <w:ind w:firstLine="480"/>
              <w:jc w:val="center"/>
              <w:rPr>
                <w:rFonts w:hint="eastAsia" w:ascii="宋体" w:hAnsi="宋体" w:eastAsia="宋体"/>
                <w:szCs w:val="24"/>
                <w:lang w:eastAsia="zh-CN"/>
              </w:rPr>
            </w:pPr>
            <w:r>
              <w:rPr>
                <w:rFonts w:hint="eastAsia" w:ascii="宋体" w:hAnsi="宋体"/>
                <w:szCs w:val="24"/>
              </w:rPr>
              <w:t>20</w:t>
            </w:r>
            <w:r>
              <w:rPr>
                <w:rFonts w:hint="eastAsia" w:ascii="宋体" w:hAnsi="宋体"/>
                <w:szCs w:val="24"/>
                <w:lang w:eastAsia="zh-CN"/>
              </w:rPr>
              <w:t>22年6月12日</w:t>
            </w:r>
          </w:p>
        </w:tc>
      </w:tr>
    </w:tbl>
    <w:p>
      <w:pPr>
        <w:ind w:firstLine="480"/>
        <w:jc w:val="right"/>
        <w:rPr>
          <w:rFonts w:ascii="宋体" w:hAnsi="宋体"/>
          <w:szCs w:val="24"/>
        </w:rPr>
        <w:sectPr>
          <w:headerReference r:id="rId5" w:type="default"/>
          <w:pgSz w:w="11906" w:h="16838"/>
          <w:pgMar w:top="1418" w:right="1191" w:bottom="1134" w:left="1418" w:header="624" w:footer="680" w:gutter="0"/>
          <w:pgNumType w:start="1"/>
          <w:cols w:space="425" w:num="1"/>
          <w:docGrid w:type="lines" w:linePitch="326" w:charSpace="0"/>
        </w:sectPr>
      </w:pPr>
    </w:p>
    <w:p>
      <w:pPr>
        <w:spacing w:line="240" w:lineRule="auto"/>
        <w:ind w:firstLine="0" w:firstLineChars="0"/>
        <w:jc w:val="center"/>
        <w:rPr>
          <w:rFonts w:ascii="宋体" w:hAnsi="宋体"/>
          <w:b/>
          <w:sz w:val="44"/>
          <w:szCs w:val="44"/>
        </w:rPr>
      </w:pPr>
      <w:r>
        <w:rPr>
          <w:rFonts w:hint="eastAsia" w:ascii="宋体" w:hAnsi="宋体"/>
          <w:b/>
          <w:sz w:val="44"/>
          <w:szCs w:val="44"/>
        </w:rPr>
        <w:t>目 录</w:t>
      </w:r>
    </w:p>
    <w:p>
      <w:pPr>
        <w:pStyle w:val="20"/>
        <w:tabs>
          <w:tab w:val="right" w:leader="dot" w:pos="9287"/>
        </w:tabs>
        <w:spacing w:line="320" w:lineRule="exact"/>
        <w:ind w:firstLine="420"/>
        <w:rPr>
          <w:rFonts w:ascii="Calibri" w:hAnsi="Calibri" w:cs="Times New Roman"/>
          <w:b w:val="0"/>
          <w:bCs w:val="0"/>
          <w:caps w:val="0"/>
          <w:szCs w:val="22"/>
        </w:rPr>
      </w:pPr>
      <w:r>
        <w:rPr>
          <w:rFonts w:ascii="宋体" w:hAnsi="宋体"/>
          <w:b w:val="0"/>
          <w:bCs w:val="0"/>
          <w:caps w:val="0"/>
          <w:smallCaps/>
          <w:szCs w:val="24"/>
        </w:rPr>
        <w:fldChar w:fldCharType="begin"/>
      </w:r>
      <w:r>
        <w:rPr>
          <w:rFonts w:ascii="宋体" w:hAnsi="宋体"/>
          <w:b w:val="0"/>
          <w:bCs w:val="0"/>
          <w:caps w:val="0"/>
          <w:smallCaps/>
          <w:szCs w:val="24"/>
        </w:rPr>
        <w:instrText xml:space="preserve"> TOC \o "1-2" \u </w:instrText>
      </w:r>
      <w:r>
        <w:rPr>
          <w:rFonts w:ascii="宋体" w:hAnsi="宋体"/>
          <w:b w:val="0"/>
          <w:bCs w:val="0"/>
          <w:caps w:val="0"/>
          <w:smallCaps/>
          <w:szCs w:val="24"/>
        </w:rPr>
        <w:fldChar w:fldCharType="separate"/>
      </w:r>
      <w:r>
        <w:rPr>
          <w:rFonts w:hint="eastAsia"/>
        </w:rPr>
        <w:t>估价师声明</w:t>
      </w:r>
      <w:r>
        <w:tab/>
      </w:r>
      <w:r>
        <w:fldChar w:fldCharType="begin"/>
      </w:r>
      <w:r>
        <w:instrText xml:space="preserve"> PAGEREF _Toc452718575 \h </w:instrText>
      </w:r>
      <w:r>
        <w:fldChar w:fldCharType="separate"/>
      </w:r>
      <w:r>
        <w:t>1</w:t>
      </w:r>
      <w:r>
        <w:fldChar w:fldCharType="end"/>
      </w:r>
    </w:p>
    <w:p>
      <w:pPr>
        <w:pStyle w:val="20"/>
        <w:tabs>
          <w:tab w:val="right" w:leader="dot" w:pos="9287"/>
        </w:tabs>
        <w:spacing w:line="320" w:lineRule="exact"/>
        <w:ind w:firstLine="422"/>
        <w:rPr>
          <w:rFonts w:ascii="Calibri" w:hAnsi="Calibri" w:cs="Times New Roman"/>
          <w:b w:val="0"/>
          <w:bCs w:val="0"/>
          <w:caps w:val="0"/>
          <w:szCs w:val="22"/>
        </w:rPr>
      </w:pPr>
      <w:r>
        <w:rPr>
          <w:rFonts w:hint="eastAsia"/>
        </w:rPr>
        <w:t>估价假设和限制条件</w:t>
      </w:r>
      <w:r>
        <w:tab/>
      </w:r>
      <w:r>
        <w:fldChar w:fldCharType="begin"/>
      </w:r>
      <w:r>
        <w:instrText xml:space="preserve"> PAGEREF _Toc452718576 \h </w:instrText>
      </w:r>
      <w:r>
        <w:fldChar w:fldCharType="separate"/>
      </w:r>
      <w:r>
        <w:t>2</w:t>
      </w:r>
      <w:r>
        <w:fldChar w:fldCharType="end"/>
      </w:r>
    </w:p>
    <w:p>
      <w:pPr>
        <w:pStyle w:val="20"/>
        <w:tabs>
          <w:tab w:val="right" w:leader="dot" w:pos="9287"/>
        </w:tabs>
        <w:spacing w:line="320" w:lineRule="exact"/>
        <w:ind w:firstLine="422"/>
        <w:rPr>
          <w:rFonts w:ascii="Calibri" w:hAnsi="Calibri" w:cs="Times New Roman"/>
          <w:b w:val="0"/>
          <w:bCs w:val="0"/>
          <w:caps w:val="0"/>
          <w:szCs w:val="22"/>
        </w:rPr>
      </w:pPr>
      <w:r>
        <w:rPr>
          <w:rFonts w:hint="eastAsia"/>
        </w:rPr>
        <w:t>估价结果报告</w:t>
      </w:r>
      <w:r>
        <w:tab/>
      </w:r>
      <w:r>
        <w:rPr>
          <w:rFonts w:hint="eastAsia"/>
        </w:rPr>
        <w:t>3</w:t>
      </w:r>
    </w:p>
    <w:p>
      <w:pPr>
        <w:pStyle w:val="24"/>
        <w:spacing w:line="320" w:lineRule="exact"/>
        <w:ind w:firstLine="840"/>
        <w:rPr>
          <w:rFonts w:ascii="Calibri" w:hAnsi="Calibri" w:cs="Times New Roman"/>
          <w:smallCaps w:val="0"/>
          <w:szCs w:val="22"/>
        </w:rPr>
      </w:pPr>
      <w:r>
        <w:rPr>
          <w:rFonts w:hint="eastAsia" w:ascii="宋体" w:hAnsi="宋体"/>
        </w:rPr>
        <w:t>一、估价委托人</w:t>
      </w:r>
      <w:r>
        <w:tab/>
      </w:r>
      <w:r>
        <w:rPr>
          <w:rFonts w:hint="eastAsia"/>
        </w:rPr>
        <w:t>3</w:t>
      </w:r>
    </w:p>
    <w:p>
      <w:pPr>
        <w:pStyle w:val="24"/>
        <w:spacing w:line="320" w:lineRule="exact"/>
        <w:ind w:firstLine="840"/>
        <w:rPr>
          <w:rFonts w:ascii="Calibri" w:hAnsi="Calibri" w:cs="Times New Roman"/>
          <w:smallCaps w:val="0"/>
          <w:szCs w:val="22"/>
        </w:rPr>
      </w:pPr>
      <w:r>
        <w:rPr>
          <w:rFonts w:hint="eastAsia" w:ascii="宋体" w:hAnsi="宋体"/>
        </w:rPr>
        <w:t>二、房地产估价机构</w:t>
      </w:r>
      <w:r>
        <w:tab/>
      </w:r>
      <w:r>
        <w:rPr>
          <w:rFonts w:hint="eastAsia"/>
        </w:rPr>
        <w:t>3</w:t>
      </w:r>
    </w:p>
    <w:p>
      <w:pPr>
        <w:pStyle w:val="24"/>
        <w:spacing w:line="320" w:lineRule="exact"/>
        <w:ind w:firstLine="840"/>
        <w:rPr>
          <w:rFonts w:ascii="Calibri" w:hAnsi="Calibri" w:cs="Times New Roman"/>
          <w:smallCaps w:val="0"/>
          <w:szCs w:val="22"/>
        </w:rPr>
      </w:pPr>
      <w:r>
        <w:rPr>
          <w:rFonts w:hint="eastAsia" w:ascii="宋体" w:hAnsi="宋体"/>
        </w:rPr>
        <w:t>三、估价目的</w:t>
      </w:r>
      <w:r>
        <w:tab/>
      </w:r>
      <w:r>
        <w:rPr>
          <w:rFonts w:hint="eastAsia"/>
        </w:rPr>
        <w:t>3</w:t>
      </w:r>
    </w:p>
    <w:p>
      <w:pPr>
        <w:pStyle w:val="24"/>
        <w:spacing w:line="320" w:lineRule="exact"/>
        <w:ind w:firstLine="840"/>
        <w:rPr>
          <w:rFonts w:ascii="Calibri" w:hAnsi="Calibri" w:cs="Times New Roman"/>
          <w:smallCaps w:val="0"/>
          <w:szCs w:val="22"/>
        </w:rPr>
      </w:pPr>
      <w:r>
        <w:rPr>
          <w:rFonts w:hint="eastAsia" w:ascii="宋体" w:hAnsi="宋体"/>
        </w:rPr>
        <w:t>四、估价对象</w:t>
      </w:r>
      <w:r>
        <w:tab/>
      </w:r>
      <w:r>
        <w:rPr>
          <w:rFonts w:hint="eastAsia"/>
        </w:rPr>
        <w:t>3</w:t>
      </w:r>
    </w:p>
    <w:p>
      <w:pPr>
        <w:pStyle w:val="24"/>
        <w:spacing w:line="320" w:lineRule="exact"/>
        <w:ind w:firstLine="840"/>
        <w:rPr>
          <w:rFonts w:ascii="Calibri" w:hAnsi="Calibri" w:cs="Times New Roman"/>
          <w:smallCaps w:val="0"/>
          <w:szCs w:val="22"/>
        </w:rPr>
      </w:pPr>
      <w:r>
        <w:rPr>
          <w:rFonts w:hint="eastAsia" w:ascii="宋体" w:hAnsi="宋体"/>
        </w:rPr>
        <w:t>五、价值时点</w:t>
      </w:r>
      <w:r>
        <w:tab/>
      </w:r>
      <w:r>
        <w:rPr>
          <w:rFonts w:hint="eastAsia"/>
        </w:rPr>
        <w:t>4</w:t>
      </w:r>
    </w:p>
    <w:p>
      <w:pPr>
        <w:pStyle w:val="24"/>
        <w:spacing w:line="320" w:lineRule="exact"/>
        <w:ind w:firstLine="840"/>
        <w:rPr>
          <w:rFonts w:ascii="Calibri" w:hAnsi="Calibri" w:cs="Times New Roman"/>
          <w:smallCaps w:val="0"/>
          <w:szCs w:val="22"/>
        </w:rPr>
      </w:pPr>
      <w:r>
        <w:rPr>
          <w:rFonts w:hint="eastAsia" w:ascii="宋体" w:hAnsi="宋体"/>
        </w:rPr>
        <w:t>六、价值类型</w:t>
      </w:r>
      <w:r>
        <w:tab/>
      </w:r>
      <w:r>
        <w:rPr>
          <w:rFonts w:hint="eastAsia"/>
        </w:rPr>
        <w:t>5</w:t>
      </w:r>
    </w:p>
    <w:p>
      <w:pPr>
        <w:pStyle w:val="24"/>
        <w:spacing w:line="320" w:lineRule="exact"/>
        <w:ind w:firstLine="840"/>
        <w:rPr>
          <w:rFonts w:ascii="Calibri" w:hAnsi="Calibri" w:cs="Times New Roman"/>
          <w:smallCaps w:val="0"/>
          <w:szCs w:val="22"/>
        </w:rPr>
      </w:pPr>
      <w:r>
        <w:rPr>
          <w:rFonts w:hint="eastAsia" w:ascii="宋体" w:hAnsi="宋体"/>
        </w:rPr>
        <w:t>七、估价原则</w:t>
      </w:r>
      <w:r>
        <w:tab/>
      </w:r>
      <w:r>
        <w:rPr>
          <w:rFonts w:hint="eastAsia"/>
        </w:rPr>
        <w:t>5</w:t>
      </w:r>
    </w:p>
    <w:p>
      <w:pPr>
        <w:pStyle w:val="24"/>
        <w:spacing w:line="320" w:lineRule="exact"/>
        <w:ind w:firstLine="840"/>
        <w:rPr>
          <w:rFonts w:ascii="Calibri" w:hAnsi="Calibri" w:cs="Times New Roman"/>
          <w:smallCaps w:val="0"/>
          <w:szCs w:val="22"/>
        </w:rPr>
      </w:pPr>
      <w:r>
        <w:rPr>
          <w:rFonts w:hint="eastAsia" w:ascii="宋体" w:hAnsi="宋体"/>
        </w:rPr>
        <w:t>八、估价依据</w:t>
      </w:r>
      <w:r>
        <w:tab/>
      </w:r>
      <w:r>
        <w:rPr>
          <w:rFonts w:hint="eastAsia"/>
        </w:rPr>
        <w:t>7</w:t>
      </w:r>
    </w:p>
    <w:p>
      <w:pPr>
        <w:pStyle w:val="24"/>
        <w:spacing w:line="320" w:lineRule="exact"/>
        <w:ind w:firstLine="840"/>
        <w:rPr>
          <w:rFonts w:ascii="Calibri" w:hAnsi="Calibri" w:cs="Times New Roman"/>
          <w:smallCaps w:val="0"/>
          <w:szCs w:val="22"/>
        </w:rPr>
      </w:pPr>
      <w:r>
        <w:rPr>
          <w:rFonts w:hint="eastAsia" w:ascii="宋体" w:hAnsi="宋体"/>
        </w:rPr>
        <w:t>九、估价方法</w:t>
      </w:r>
      <w:r>
        <w:tab/>
      </w:r>
      <w:r>
        <w:rPr>
          <w:rFonts w:hint="eastAsia"/>
        </w:rPr>
        <w:t>7</w:t>
      </w:r>
    </w:p>
    <w:p>
      <w:pPr>
        <w:pStyle w:val="24"/>
        <w:spacing w:line="320" w:lineRule="exact"/>
        <w:ind w:firstLine="840"/>
        <w:rPr>
          <w:rFonts w:ascii="Calibri" w:hAnsi="Calibri" w:cs="Times New Roman"/>
          <w:smallCaps w:val="0"/>
          <w:szCs w:val="22"/>
        </w:rPr>
      </w:pPr>
      <w:r>
        <w:rPr>
          <w:rFonts w:hint="eastAsia" w:ascii="宋体" w:hAnsi="宋体"/>
        </w:rPr>
        <w:t>十、估价结果</w:t>
      </w:r>
      <w:r>
        <w:tab/>
      </w:r>
      <w:r>
        <w:rPr>
          <w:rFonts w:hint="eastAsia"/>
        </w:rPr>
        <w:t>7</w:t>
      </w:r>
    </w:p>
    <w:p>
      <w:pPr>
        <w:pStyle w:val="24"/>
        <w:spacing w:line="320" w:lineRule="exact"/>
        <w:ind w:firstLine="840"/>
        <w:rPr>
          <w:rFonts w:ascii="Calibri" w:hAnsi="Calibri" w:cs="Times New Roman"/>
          <w:smallCaps w:val="0"/>
          <w:szCs w:val="22"/>
        </w:rPr>
      </w:pPr>
      <w:r>
        <w:rPr>
          <w:rFonts w:hint="eastAsia" w:ascii="宋体" w:hAnsi="宋体"/>
        </w:rPr>
        <w:t>十一、注册房地产估价师</w:t>
      </w:r>
      <w:r>
        <w:tab/>
      </w:r>
      <w:r>
        <w:rPr>
          <w:rFonts w:hint="eastAsia"/>
        </w:rPr>
        <w:t>8</w:t>
      </w:r>
    </w:p>
    <w:p>
      <w:pPr>
        <w:pStyle w:val="24"/>
        <w:spacing w:line="320" w:lineRule="exact"/>
        <w:ind w:firstLine="840"/>
        <w:rPr>
          <w:rFonts w:ascii="Calibri" w:hAnsi="Calibri" w:cs="Times New Roman"/>
          <w:smallCaps w:val="0"/>
          <w:szCs w:val="22"/>
        </w:rPr>
      </w:pPr>
      <w:r>
        <w:rPr>
          <w:rFonts w:hint="eastAsia" w:ascii="宋体" w:hAnsi="宋体"/>
        </w:rPr>
        <w:t>十二、实地查勘日期</w:t>
      </w:r>
      <w:r>
        <w:tab/>
      </w:r>
      <w:r>
        <w:rPr>
          <w:rFonts w:hint="eastAsia"/>
        </w:rPr>
        <w:t>8</w:t>
      </w:r>
    </w:p>
    <w:p>
      <w:pPr>
        <w:pStyle w:val="24"/>
        <w:spacing w:line="320" w:lineRule="exact"/>
        <w:ind w:firstLine="840"/>
        <w:rPr>
          <w:rFonts w:ascii="Calibri" w:hAnsi="Calibri" w:cs="Times New Roman"/>
          <w:smallCaps w:val="0"/>
          <w:szCs w:val="22"/>
        </w:rPr>
      </w:pPr>
      <w:r>
        <w:rPr>
          <w:rFonts w:hint="eastAsia" w:ascii="宋体" w:hAnsi="宋体"/>
        </w:rPr>
        <w:t>十三、估价作业期</w:t>
      </w:r>
      <w:r>
        <w:tab/>
      </w:r>
      <w:r>
        <w:rPr>
          <w:rFonts w:hint="eastAsia"/>
        </w:rPr>
        <w:t>8</w:t>
      </w:r>
    </w:p>
    <w:p>
      <w:pPr>
        <w:pStyle w:val="20"/>
        <w:tabs>
          <w:tab w:val="right" w:leader="dot" w:pos="9287"/>
        </w:tabs>
        <w:spacing w:line="320" w:lineRule="exact"/>
        <w:ind w:firstLine="422"/>
        <w:rPr>
          <w:rFonts w:hint="eastAsia" w:ascii="Calibri" w:hAnsi="Calibri" w:eastAsia="宋体" w:cs="Times New Roman"/>
          <w:b w:val="0"/>
          <w:bCs w:val="0"/>
          <w:caps w:val="0"/>
          <w:szCs w:val="22"/>
          <w:lang w:eastAsia="zh-CN"/>
        </w:rPr>
      </w:pPr>
      <w:r>
        <w:rPr>
          <w:rFonts w:hint="eastAsia"/>
        </w:rPr>
        <w:t>附件</w:t>
      </w:r>
      <w:r>
        <w:tab/>
      </w:r>
      <w:r>
        <w:rPr>
          <w:rFonts w:hint="eastAsia"/>
          <w:lang w:val="en-US" w:eastAsia="zh-CN"/>
        </w:rPr>
        <w:t>9</w:t>
      </w:r>
    </w:p>
    <w:p>
      <w:pPr>
        <w:pStyle w:val="24"/>
        <w:spacing w:line="320" w:lineRule="exact"/>
        <w:ind w:firstLine="843"/>
        <w:rPr>
          <w:rFonts w:hint="eastAsia" w:ascii="宋体" w:hAnsi="宋体"/>
          <w:b/>
        </w:rPr>
      </w:pPr>
      <w:r>
        <w:rPr>
          <w:rFonts w:ascii="宋体" w:hAnsi="宋体"/>
          <w:b/>
          <w:bCs/>
          <w:caps/>
          <w:smallCaps w:val="0"/>
          <w:szCs w:val="24"/>
        </w:rPr>
        <w:fldChar w:fldCharType="end"/>
      </w:r>
      <w:r>
        <w:rPr>
          <w:rFonts w:hint="eastAsia" w:ascii="宋体" w:hAnsi="宋体"/>
          <w:b/>
        </w:rPr>
        <w:t>一、</w:t>
      </w:r>
      <w:r>
        <w:rPr>
          <w:rFonts w:hint="eastAsia" w:ascii="宋体" w:hAnsi="宋体"/>
          <w:b/>
          <w:lang w:eastAsia="zh-CN"/>
        </w:rPr>
        <w:t>福建省安溪县人民法院价格评估委托书[（2022）闽0524执272号]</w:t>
      </w:r>
      <w:r>
        <w:rPr>
          <w:rFonts w:hint="eastAsia" w:ascii="宋体" w:hAnsi="宋体"/>
          <w:b/>
        </w:rPr>
        <w:t xml:space="preserve"> 复印件</w:t>
      </w:r>
    </w:p>
    <w:p>
      <w:pPr>
        <w:ind w:firstLine="843" w:firstLineChars="400"/>
      </w:pPr>
      <w:r>
        <w:rPr>
          <w:rFonts w:hint="eastAsia" w:ascii="宋体" w:hAnsi="宋体" w:eastAsia="宋体" w:cs="Courier New"/>
          <w:b/>
          <w:smallCaps/>
          <w:kern w:val="2"/>
          <w:sz w:val="21"/>
          <w:lang w:val="en-US" w:eastAsia="zh-CN" w:bidi="ar-SA"/>
        </w:rPr>
        <w:t>二、福建省</w:t>
      </w:r>
      <w:r>
        <w:rPr>
          <w:rFonts w:hint="eastAsia" w:ascii="宋体" w:hAnsi="宋体" w:cs="Courier New"/>
          <w:b/>
          <w:smallCaps/>
          <w:kern w:val="2"/>
          <w:sz w:val="21"/>
          <w:lang w:val="en-US" w:eastAsia="zh-CN" w:bidi="ar-SA"/>
        </w:rPr>
        <w:t>安溪县人民法院</w:t>
      </w:r>
      <w:r>
        <w:rPr>
          <w:rFonts w:hint="eastAsia" w:ascii="宋体" w:hAnsi="宋体" w:eastAsia="宋体" w:cs="Courier New"/>
          <w:b/>
          <w:smallCaps/>
          <w:kern w:val="2"/>
          <w:sz w:val="21"/>
          <w:lang w:val="en-US" w:eastAsia="zh-CN" w:bidi="ar-SA"/>
        </w:rPr>
        <w:t>价格</w:t>
      </w:r>
      <w:r>
        <w:rPr>
          <w:rFonts w:hint="eastAsia" w:ascii="宋体" w:hAnsi="宋体" w:cs="Courier New"/>
          <w:b/>
          <w:smallCaps/>
          <w:kern w:val="2"/>
          <w:sz w:val="21"/>
          <w:lang w:val="en-US" w:eastAsia="zh-CN" w:bidi="ar-SA"/>
        </w:rPr>
        <w:t>执行裁定书</w:t>
      </w:r>
      <w:r>
        <w:rPr>
          <w:rFonts w:hint="eastAsia" w:ascii="宋体" w:hAnsi="宋体" w:eastAsia="宋体" w:cs="Courier New"/>
          <w:b/>
          <w:smallCaps/>
          <w:kern w:val="2"/>
          <w:sz w:val="21"/>
          <w:lang w:val="en-US" w:eastAsia="zh-CN" w:bidi="ar-SA"/>
        </w:rPr>
        <w:t>[</w:t>
      </w:r>
      <w:r>
        <w:rPr>
          <w:rFonts w:hint="eastAsia" w:ascii="宋体" w:hAnsi="宋体" w:cs="Courier New"/>
          <w:b/>
          <w:smallCaps/>
          <w:kern w:val="2"/>
          <w:sz w:val="21"/>
          <w:lang w:val="en-US" w:eastAsia="zh-CN" w:bidi="ar-SA"/>
        </w:rPr>
        <w:t>（2022）闽0524执272号</w:t>
      </w:r>
      <w:r>
        <w:rPr>
          <w:rFonts w:hint="eastAsia" w:ascii="宋体" w:hAnsi="宋体" w:eastAsia="宋体" w:cs="Courier New"/>
          <w:b/>
          <w:smallCaps/>
          <w:kern w:val="2"/>
          <w:sz w:val="21"/>
          <w:lang w:val="en-US" w:eastAsia="zh-CN" w:bidi="ar-SA"/>
        </w:rPr>
        <w:t>] 复印件</w:t>
      </w:r>
    </w:p>
    <w:p>
      <w:pPr>
        <w:pStyle w:val="24"/>
        <w:spacing w:line="320" w:lineRule="exact"/>
        <w:ind w:firstLine="843"/>
        <w:rPr>
          <w:rFonts w:ascii="宋体" w:hAnsi="宋体"/>
          <w:b/>
        </w:rPr>
      </w:pPr>
      <w:r>
        <w:rPr>
          <w:rFonts w:hint="eastAsia" w:ascii="宋体" w:hAnsi="宋体"/>
          <w:b/>
          <w:lang w:eastAsia="zh-CN"/>
        </w:rPr>
        <w:t>三</w:t>
      </w:r>
      <w:r>
        <w:rPr>
          <w:rFonts w:hint="eastAsia" w:ascii="宋体" w:hAnsi="宋体"/>
          <w:b/>
        </w:rPr>
        <w:t>、估价对象位置图</w:t>
      </w:r>
    </w:p>
    <w:p>
      <w:pPr>
        <w:pStyle w:val="24"/>
        <w:spacing w:line="320" w:lineRule="exact"/>
        <w:ind w:firstLine="843"/>
        <w:rPr>
          <w:rFonts w:ascii="宋体" w:hAnsi="宋体"/>
          <w:b/>
        </w:rPr>
      </w:pPr>
      <w:r>
        <w:rPr>
          <w:rFonts w:hint="eastAsia" w:ascii="宋体" w:hAnsi="宋体"/>
          <w:b/>
          <w:lang w:eastAsia="zh-CN"/>
        </w:rPr>
        <w:t>四</w:t>
      </w:r>
      <w:r>
        <w:rPr>
          <w:rFonts w:hint="eastAsia" w:ascii="宋体" w:hAnsi="宋体"/>
          <w:b/>
        </w:rPr>
        <w:t>、估价对象实地查勘情况和相关照片</w:t>
      </w:r>
    </w:p>
    <w:p>
      <w:pPr>
        <w:pStyle w:val="24"/>
        <w:spacing w:line="320" w:lineRule="exact"/>
        <w:ind w:firstLine="843"/>
        <w:rPr>
          <w:rFonts w:ascii="宋体" w:hAnsi="宋体"/>
          <w:b/>
        </w:rPr>
      </w:pPr>
      <w:r>
        <w:rPr>
          <w:rFonts w:hint="eastAsia" w:ascii="宋体" w:hAnsi="宋体"/>
          <w:b/>
          <w:lang w:eastAsia="zh-CN"/>
        </w:rPr>
        <w:t>五</w:t>
      </w:r>
      <w:r>
        <w:rPr>
          <w:rFonts w:hint="eastAsia" w:ascii="宋体" w:hAnsi="宋体"/>
          <w:b/>
        </w:rPr>
        <w:t>、估价对象权属证明文件复印件</w:t>
      </w:r>
    </w:p>
    <w:p>
      <w:pPr>
        <w:pStyle w:val="24"/>
        <w:spacing w:line="320" w:lineRule="exact"/>
        <w:ind w:firstLine="1260" w:firstLineChars="600"/>
        <w:rPr>
          <w:rFonts w:hint="eastAsia" w:ascii="宋体" w:hAnsi="宋体"/>
          <w:lang w:eastAsia="zh-CN"/>
        </w:rPr>
      </w:pPr>
      <w:r>
        <w:rPr>
          <w:rFonts w:hint="eastAsia" w:ascii="宋体" w:hAnsi="宋体"/>
        </w:rPr>
        <w:t>1.</w:t>
      </w:r>
      <w:r>
        <w:rPr>
          <w:rFonts w:hint="eastAsia" w:ascii="宋体" w:hAnsi="宋体"/>
          <w:lang w:eastAsia="zh-CN"/>
        </w:rPr>
        <w:t>《不动产权证书》（证号：闽（2020）晋江市不动产权第0010889号）</w:t>
      </w:r>
    </w:p>
    <w:p>
      <w:pPr>
        <w:rPr>
          <w:rFonts w:ascii="宋体" w:hAnsi="宋体"/>
          <w:b/>
        </w:rPr>
      </w:pPr>
      <w:r>
        <w:rPr>
          <w:rFonts w:hint="eastAsia" w:ascii="宋体" w:hAnsi="宋体"/>
          <w:lang w:val="en-US" w:eastAsia="zh-CN"/>
        </w:rPr>
        <w:t xml:space="preserve">   </w:t>
      </w:r>
      <w:r>
        <w:rPr>
          <w:rFonts w:hint="eastAsia" w:ascii="宋体" w:hAnsi="宋体"/>
          <w:b/>
          <w:lang w:eastAsia="zh-CN"/>
        </w:rPr>
        <w:t>六</w:t>
      </w:r>
      <w:r>
        <w:rPr>
          <w:rFonts w:ascii="宋体" w:hAnsi="宋体"/>
          <w:b/>
        </w:rPr>
        <w:t>、</w:t>
      </w:r>
      <w:r>
        <w:rPr>
          <w:rFonts w:hint="eastAsia" w:ascii="宋体" w:hAnsi="宋体"/>
          <w:b/>
        </w:rPr>
        <w:t>专业帮助情况和相关专业意见（没</w:t>
      </w:r>
      <w:r>
        <w:rPr>
          <w:rFonts w:ascii="宋体" w:hAnsi="宋体"/>
          <w:b/>
        </w:rPr>
        <w:t>有人对本估价报告提供重要专业帮助</w:t>
      </w:r>
      <w:r>
        <w:rPr>
          <w:rFonts w:hint="eastAsia" w:ascii="宋体" w:hAnsi="宋体"/>
          <w:b/>
        </w:rPr>
        <w:t>）</w:t>
      </w:r>
    </w:p>
    <w:p>
      <w:pPr>
        <w:pStyle w:val="24"/>
        <w:spacing w:line="320" w:lineRule="exact"/>
        <w:ind w:firstLine="820" w:firstLineChars="389"/>
        <w:rPr>
          <w:rFonts w:ascii="宋体" w:hAnsi="宋体"/>
          <w:b/>
          <w:bCs/>
        </w:rPr>
      </w:pPr>
      <w:r>
        <w:rPr>
          <w:rFonts w:hint="eastAsia" w:ascii="宋体" w:hAnsi="宋体"/>
          <w:b/>
          <w:lang w:eastAsia="zh-CN"/>
        </w:rPr>
        <w:t>七</w:t>
      </w:r>
      <w:r>
        <w:rPr>
          <w:rFonts w:ascii="宋体" w:hAnsi="宋体"/>
          <w:b/>
        </w:rPr>
        <w:t>、</w:t>
      </w:r>
      <w:r>
        <w:rPr>
          <w:rFonts w:hint="eastAsia" w:ascii="宋体" w:hAnsi="宋体"/>
          <w:b/>
          <w:bCs/>
        </w:rPr>
        <w:t>房地产估价机构营业执照和备案证书（复印件）</w:t>
      </w:r>
    </w:p>
    <w:p>
      <w:pPr>
        <w:pStyle w:val="24"/>
        <w:spacing w:line="320" w:lineRule="exact"/>
        <w:ind w:firstLine="843"/>
        <w:rPr>
          <w:rFonts w:ascii="宋体" w:hAnsi="宋体"/>
          <w:b/>
          <w:bCs/>
        </w:rPr>
      </w:pPr>
      <w:r>
        <w:rPr>
          <w:rFonts w:hint="eastAsia" w:ascii="宋体" w:hAnsi="宋体"/>
          <w:b/>
          <w:bCs/>
          <w:lang w:eastAsia="zh-CN"/>
        </w:rPr>
        <w:t>八</w:t>
      </w:r>
      <w:r>
        <w:rPr>
          <w:rFonts w:hint="eastAsia" w:ascii="宋体" w:hAnsi="宋体"/>
          <w:b/>
          <w:bCs/>
        </w:rPr>
        <w:t>、房地产估价师注册证书（复印件）</w:t>
      </w:r>
    </w:p>
    <w:p>
      <w:pPr>
        <w:spacing w:line="320" w:lineRule="exact"/>
        <w:ind w:firstLine="840" w:firstLineChars="400"/>
        <w:rPr>
          <w:rFonts w:ascii="宋体" w:hAnsi="宋体"/>
          <w:sz w:val="21"/>
          <w:szCs w:val="21"/>
        </w:rPr>
        <w:sectPr>
          <w:headerReference r:id="rId6" w:type="default"/>
          <w:footerReference r:id="rId7" w:type="default"/>
          <w:pgSz w:w="11906" w:h="16838"/>
          <w:pgMar w:top="1418" w:right="1191" w:bottom="1134" w:left="1418" w:header="794" w:footer="680" w:gutter="0"/>
          <w:pgNumType w:start="1"/>
          <w:cols w:space="425" w:num="1"/>
          <w:docGrid w:type="lines" w:linePitch="312" w:charSpace="0"/>
        </w:sectPr>
      </w:pPr>
    </w:p>
    <w:p>
      <w:pPr>
        <w:pStyle w:val="2"/>
      </w:pPr>
      <w:bookmarkStart w:id="0" w:name="_Toc452718575"/>
      <w:r>
        <w:rPr>
          <w:rFonts w:hint="eastAsia"/>
        </w:rPr>
        <w:t>估价师声明</w:t>
      </w:r>
      <w:bookmarkEnd w:id="0"/>
    </w:p>
    <w:p>
      <w:pPr>
        <w:ind w:firstLine="360"/>
        <w:rPr>
          <w:rFonts w:ascii="宋体" w:hAnsi="宋体"/>
          <w:sz w:val="18"/>
        </w:rPr>
      </w:pPr>
    </w:p>
    <w:p>
      <w:pPr>
        <w:ind w:firstLine="480"/>
        <w:rPr>
          <w:rFonts w:ascii="宋体" w:hAnsi="宋体"/>
          <w:szCs w:val="24"/>
        </w:rPr>
      </w:pPr>
      <w:r>
        <w:rPr>
          <w:rFonts w:hint="eastAsia" w:ascii="宋体" w:hAnsi="宋体"/>
          <w:szCs w:val="24"/>
        </w:rPr>
        <w:t>我们郑重声明：</w:t>
      </w:r>
    </w:p>
    <w:p>
      <w:pPr>
        <w:spacing w:line="520" w:lineRule="exact"/>
        <w:ind w:firstLine="480"/>
        <w:rPr>
          <w:rFonts w:ascii="宋体" w:hAnsi="宋体"/>
          <w:szCs w:val="24"/>
        </w:rPr>
      </w:pPr>
      <w:r>
        <w:rPr>
          <w:rFonts w:hint="eastAsia" w:ascii="宋体" w:hAnsi="宋体"/>
          <w:szCs w:val="24"/>
        </w:rPr>
        <w:t>1．我们在本估价报告中陈述的事实是真实的、准确的，</w:t>
      </w:r>
      <w:r>
        <w:rPr>
          <w:rFonts w:ascii="宋体" w:hAnsi="宋体"/>
          <w:szCs w:val="24"/>
        </w:rPr>
        <w:t>没有虚假记载、误导性陈述和</w:t>
      </w:r>
      <w:r>
        <w:rPr>
          <w:rFonts w:hint="eastAsia" w:ascii="宋体" w:hAnsi="宋体"/>
          <w:szCs w:val="24"/>
        </w:rPr>
        <w:t>重</w:t>
      </w:r>
      <w:r>
        <w:rPr>
          <w:rFonts w:ascii="宋体" w:hAnsi="宋体"/>
          <w:szCs w:val="24"/>
        </w:rPr>
        <w:t>大遗漏</w:t>
      </w:r>
      <w:r>
        <w:rPr>
          <w:rFonts w:hint="eastAsia" w:ascii="宋体" w:hAnsi="宋体"/>
          <w:szCs w:val="24"/>
        </w:rPr>
        <w:t>。</w:t>
      </w:r>
    </w:p>
    <w:p>
      <w:pPr>
        <w:spacing w:line="520" w:lineRule="exact"/>
        <w:ind w:firstLine="480"/>
        <w:rPr>
          <w:rFonts w:ascii="宋体" w:hAnsi="宋体"/>
          <w:szCs w:val="24"/>
        </w:rPr>
      </w:pPr>
      <w:r>
        <w:rPr>
          <w:rFonts w:hint="eastAsia" w:ascii="宋体" w:hAnsi="宋体"/>
          <w:szCs w:val="24"/>
        </w:rPr>
        <w:t>2．本估价报告中的分析、意见和结论是我们独立</w:t>
      </w:r>
      <w:r>
        <w:rPr>
          <w:rFonts w:ascii="宋体" w:hAnsi="宋体"/>
          <w:szCs w:val="24"/>
        </w:rPr>
        <w:t>、客观、公正的</w:t>
      </w:r>
      <w:r>
        <w:rPr>
          <w:rFonts w:hint="eastAsia" w:ascii="宋体" w:hAnsi="宋体"/>
          <w:szCs w:val="24"/>
        </w:rPr>
        <w:t>专业分析、意见和结论，但受到本估价报告中已说明的估价假设和限制条件的限制。</w:t>
      </w:r>
    </w:p>
    <w:p>
      <w:pPr>
        <w:spacing w:line="520" w:lineRule="exact"/>
        <w:ind w:firstLine="480"/>
        <w:rPr>
          <w:rFonts w:ascii="宋体" w:hAnsi="宋体"/>
          <w:szCs w:val="24"/>
        </w:rPr>
      </w:pPr>
      <w:r>
        <w:rPr>
          <w:rFonts w:hint="eastAsia" w:ascii="宋体" w:hAnsi="宋体"/>
          <w:szCs w:val="24"/>
        </w:rPr>
        <w:t>3．我们与本估价报告中的估价对象没有现</w:t>
      </w:r>
      <w:r>
        <w:rPr>
          <w:rFonts w:ascii="宋体" w:hAnsi="宋体"/>
          <w:szCs w:val="24"/>
        </w:rPr>
        <w:t>实或潜在的</w:t>
      </w:r>
      <w:r>
        <w:rPr>
          <w:rFonts w:hint="eastAsia" w:ascii="宋体" w:hAnsi="宋体"/>
          <w:szCs w:val="24"/>
        </w:rPr>
        <w:t>利害关系，也与估价委托</w:t>
      </w:r>
      <w:r>
        <w:rPr>
          <w:rFonts w:ascii="宋体" w:hAnsi="宋体"/>
          <w:szCs w:val="24"/>
        </w:rPr>
        <w:t>人及估价利害关系人</w:t>
      </w:r>
      <w:r>
        <w:rPr>
          <w:rFonts w:hint="eastAsia" w:ascii="宋体" w:hAnsi="宋体"/>
          <w:szCs w:val="24"/>
        </w:rPr>
        <w:t>没有利害关系。</w:t>
      </w:r>
    </w:p>
    <w:p>
      <w:pPr>
        <w:spacing w:line="520" w:lineRule="exact"/>
        <w:ind w:firstLine="480"/>
        <w:rPr>
          <w:rFonts w:ascii="宋体" w:hAnsi="宋体"/>
          <w:szCs w:val="24"/>
        </w:rPr>
      </w:pPr>
      <w:r>
        <w:rPr>
          <w:rFonts w:ascii="宋体" w:hAnsi="宋体"/>
          <w:szCs w:val="24"/>
        </w:rPr>
        <w:t>4</w:t>
      </w:r>
      <w:r>
        <w:rPr>
          <w:rFonts w:hint="eastAsia" w:ascii="宋体" w:hAnsi="宋体"/>
          <w:szCs w:val="24"/>
        </w:rPr>
        <w:t>．我</w:t>
      </w:r>
      <w:r>
        <w:rPr>
          <w:rFonts w:ascii="宋体" w:hAnsi="宋体"/>
          <w:szCs w:val="24"/>
        </w:rPr>
        <w:t>们对</w:t>
      </w:r>
      <w:r>
        <w:rPr>
          <w:rFonts w:hint="eastAsia" w:ascii="宋体" w:hAnsi="宋体"/>
          <w:szCs w:val="24"/>
        </w:rPr>
        <w:t>本</w:t>
      </w:r>
      <w:r>
        <w:rPr>
          <w:rFonts w:ascii="宋体" w:hAnsi="宋体"/>
          <w:szCs w:val="24"/>
        </w:rPr>
        <w:t>估价</w:t>
      </w:r>
      <w:r>
        <w:rPr>
          <w:rFonts w:hint="eastAsia" w:ascii="宋体" w:hAnsi="宋体"/>
          <w:szCs w:val="24"/>
        </w:rPr>
        <w:t>报告</w:t>
      </w:r>
      <w:r>
        <w:rPr>
          <w:rFonts w:ascii="宋体" w:hAnsi="宋体"/>
          <w:szCs w:val="24"/>
        </w:rPr>
        <w:t>中的估价对象、估价委托人及估价</w:t>
      </w:r>
      <w:r>
        <w:rPr>
          <w:rFonts w:hint="eastAsia" w:ascii="宋体" w:hAnsi="宋体"/>
          <w:szCs w:val="24"/>
        </w:rPr>
        <w:t>利害</w:t>
      </w:r>
      <w:r>
        <w:rPr>
          <w:rFonts w:ascii="宋体" w:hAnsi="宋体"/>
          <w:szCs w:val="24"/>
        </w:rPr>
        <w:t>关系人没有偏见。</w:t>
      </w:r>
    </w:p>
    <w:p>
      <w:pPr>
        <w:spacing w:line="520" w:lineRule="exact"/>
        <w:ind w:firstLine="480"/>
        <w:rPr>
          <w:rFonts w:ascii="宋体" w:hAnsi="宋体"/>
          <w:szCs w:val="24"/>
        </w:rPr>
      </w:pPr>
      <w:r>
        <w:rPr>
          <w:rFonts w:ascii="宋体" w:hAnsi="宋体"/>
          <w:szCs w:val="24"/>
        </w:rPr>
        <w:t>5</w:t>
      </w:r>
      <w:r>
        <w:rPr>
          <w:rFonts w:hint="eastAsia" w:ascii="宋体" w:hAnsi="宋体"/>
          <w:szCs w:val="24"/>
        </w:rPr>
        <w:t>．我们依照中华人民共和国国家标准《房地产估价规范》（GB/T 50291-2015）、《房地产估价基本术语标准》（GB/T 50899-2013）等进行分析，形成意见和结论，撰写估价报告。</w:t>
      </w:r>
    </w:p>
    <w:p>
      <w:pPr>
        <w:spacing w:line="520" w:lineRule="exact"/>
        <w:ind w:left="0" w:leftChars="0" w:firstLine="480" w:firstLineChars="200"/>
        <w:rPr>
          <w:rFonts w:hint="default" w:ascii="宋体" w:hAnsi="宋体"/>
          <w:szCs w:val="24"/>
          <w:lang w:val="en-US" w:eastAsia="zh-CN"/>
        </w:rPr>
        <w:sectPr>
          <w:headerReference r:id="rId8" w:type="default"/>
          <w:footerReference r:id="rId9" w:type="default"/>
          <w:pgSz w:w="11906" w:h="16838"/>
          <w:pgMar w:top="1418" w:right="1191" w:bottom="1134" w:left="1418" w:header="794" w:footer="680" w:gutter="0"/>
          <w:pgNumType w:start="1"/>
          <w:cols w:space="425" w:num="1"/>
          <w:docGrid w:type="lines" w:linePitch="312" w:charSpace="0"/>
        </w:sectPr>
      </w:pPr>
      <w:r>
        <w:rPr>
          <w:rFonts w:hint="eastAsia" w:ascii="宋体" w:hAnsi="宋体"/>
          <w:szCs w:val="24"/>
          <w:lang w:val="en-US" w:eastAsia="zh-CN"/>
        </w:rPr>
        <w:t>6.</w:t>
      </w:r>
      <w:r>
        <w:rPr>
          <w:rFonts w:hint="eastAsia" w:ascii="宋体" w:hAnsi="宋体"/>
          <w:szCs w:val="24"/>
        </w:rPr>
        <w:t>注册房地产估价师</w:t>
      </w:r>
      <w:r>
        <w:rPr>
          <w:rFonts w:hint="eastAsia" w:ascii="宋体" w:hAnsi="宋体"/>
          <w:szCs w:val="24"/>
          <w:lang w:eastAsia="zh-CN"/>
        </w:rPr>
        <w:t>林月英</w:t>
      </w:r>
      <w:r>
        <w:rPr>
          <w:rFonts w:hint="eastAsia" w:ascii="宋体" w:hAnsi="宋体"/>
          <w:szCs w:val="24"/>
        </w:rPr>
        <w:t>（注册号35201800</w:t>
      </w:r>
      <w:r>
        <w:rPr>
          <w:rFonts w:hint="eastAsia" w:ascii="宋体" w:hAnsi="宋体"/>
          <w:szCs w:val="24"/>
          <w:lang w:val="en-US" w:eastAsia="zh-CN"/>
        </w:rPr>
        <w:t>68</w:t>
      </w:r>
      <w:r>
        <w:rPr>
          <w:rFonts w:hint="eastAsia" w:ascii="宋体" w:hAnsi="宋体"/>
          <w:szCs w:val="24"/>
        </w:rPr>
        <w:t>）已于202</w:t>
      </w:r>
      <w:r>
        <w:rPr>
          <w:rFonts w:hint="eastAsia" w:ascii="宋体" w:hAnsi="宋体"/>
          <w:szCs w:val="24"/>
          <w:lang w:eastAsia="zh-CN"/>
        </w:rPr>
        <w:t>2年6月6日</w:t>
      </w:r>
      <w:r>
        <w:rPr>
          <w:rFonts w:hint="eastAsia" w:ascii="宋体" w:hAnsi="宋体"/>
          <w:szCs w:val="24"/>
        </w:rPr>
        <w:t>对估价对象进行了实地查勘，但估价人员对估价对象的实地查勘，仅限于估价对象的外观和使用状况。估价人员未对被遮盖、未暴露及难于接触到的部分进行检测</w:t>
      </w:r>
    </w:p>
    <w:p>
      <w:pPr>
        <w:pStyle w:val="2"/>
        <w:spacing w:line="480" w:lineRule="exact"/>
      </w:pPr>
      <w:bookmarkStart w:id="1" w:name="_Toc452718576"/>
      <w:r>
        <w:rPr>
          <w:rFonts w:hint="eastAsia"/>
        </w:rPr>
        <w:t>估价假设和限制条件</w:t>
      </w:r>
      <w:bookmarkEnd w:id="1"/>
    </w:p>
    <w:p>
      <w:pPr>
        <w:spacing w:line="460" w:lineRule="exact"/>
        <w:ind w:firstLine="482"/>
        <w:rPr>
          <w:rFonts w:ascii="宋体" w:hAnsi="宋体"/>
          <w:b/>
          <w:szCs w:val="24"/>
        </w:rPr>
      </w:pPr>
      <w:r>
        <w:rPr>
          <w:rFonts w:hint="eastAsia" w:ascii="宋体" w:hAnsi="宋体"/>
          <w:b/>
          <w:szCs w:val="24"/>
        </w:rPr>
        <w:t>一、本次估价的各项假设</w:t>
      </w:r>
    </w:p>
    <w:p>
      <w:pPr>
        <w:spacing w:line="460" w:lineRule="exact"/>
        <w:ind w:firstLine="480"/>
        <w:rPr>
          <w:rFonts w:ascii="宋体" w:hAnsi="宋体"/>
          <w:szCs w:val="24"/>
        </w:rPr>
      </w:pPr>
      <w:r>
        <w:rPr>
          <w:rFonts w:hint="eastAsia" w:ascii="宋体" w:hAnsi="宋体"/>
          <w:szCs w:val="24"/>
        </w:rPr>
        <w:t>（一）一般假设</w:t>
      </w:r>
    </w:p>
    <w:p>
      <w:pPr>
        <w:spacing w:line="460" w:lineRule="exact"/>
        <w:ind w:firstLine="480"/>
        <w:rPr>
          <w:rFonts w:ascii="宋体" w:hAnsi="宋体"/>
          <w:bCs/>
        </w:rPr>
      </w:pPr>
      <w:r>
        <w:rPr>
          <w:rFonts w:hint="eastAsia" w:ascii="宋体" w:hAnsi="宋体"/>
        </w:rPr>
        <w:t>1．</w:t>
      </w:r>
      <w:r>
        <w:rPr>
          <w:rFonts w:ascii="宋体" w:hAnsi="宋体"/>
        </w:rPr>
        <w:t>估价委托人提供的全部资料</w:t>
      </w:r>
      <w:r>
        <w:rPr>
          <w:rFonts w:hint="eastAsia" w:ascii="宋体" w:hAnsi="宋体"/>
        </w:rPr>
        <w:t>和陈述的情况是</w:t>
      </w:r>
      <w:r>
        <w:rPr>
          <w:rFonts w:ascii="宋体" w:hAnsi="宋体"/>
        </w:rPr>
        <w:t>真实、合法、有效</w:t>
      </w:r>
      <w:r>
        <w:rPr>
          <w:rFonts w:hint="eastAsia" w:ascii="宋体" w:hAnsi="宋体"/>
        </w:rPr>
        <w:t>和完整的</w:t>
      </w:r>
      <w:r>
        <w:rPr>
          <w:rFonts w:ascii="宋体" w:hAnsi="宋体"/>
        </w:rPr>
        <w:t>，</w:t>
      </w:r>
      <w:r>
        <w:rPr>
          <w:rFonts w:hint="eastAsia" w:ascii="宋体" w:hAnsi="宋体"/>
        </w:rPr>
        <w:t>并且不存在任何法律上的争议或潜在争议。</w:t>
      </w:r>
      <w:r>
        <w:rPr>
          <w:rFonts w:hint="eastAsia" w:ascii="宋体" w:hAnsi="宋体"/>
          <w:bCs/>
        </w:rPr>
        <w:t xml:space="preserve"> </w:t>
      </w:r>
    </w:p>
    <w:p>
      <w:pPr>
        <w:spacing w:line="460" w:lineRule="exact"/>
        <w:ind w:firstLine="480"/>
        <w:rPr>
          <w:rFonts w:ascii="宋体" w:hAnsi="宋体"/>
          <w:szCs w:val="24"/>
        </w:rPr>
      </w:pPr>
      <w:r>
        <w:rPr>
          <w:rFonts w:hint="eastAsia" w:ascii="宋体" w:hAnsi="宋体"/>
          <w:szCs w:val="24"/>
        </w:rPr>
        <w:t>2．本次估价对房屋安全、环境污染等影响估价对象价值的重大因素给予了关注，但由于估价委托人及估价对象所有权人未委托相应专业机构对其进行鉴定、检测，估价人员无理由怀疑估价对象存在安全隐患，故本次估价设定房屋及居住是安全的，且在建筑物耐用年限或土地使用期限内能够正常使用。</w:t>
      </w:r>
    </w:p>
    <w:p>
      <w:pPr>
        <w:spacing w:line="460" w:lineRule="exact"/>
        <w:ind w:firstLine="436" w:firstLineChars="182"/>
        <w:rPr>
          <w:rFonts w:ascii="宋体" w:hAnsi="宋体"/>
          <w:szCs w:val="24"/>
        </w:rPr>
      </w:pPr>
      <w:r>
        <w:rPr>
          <w:rFonts w:hint="eastAsia" w:ascii="宋体" w:hAnsi="宋体"/>
          <w:szCs w:val="24"/>
        </w:rPr>
        <w:t>（二）未定事项假设</w:t>
      </w:r>
    </w:p>
    <w:p>
      <w:pPr>
        <w:spacing w:line="460" w:lineRule="exact"/>
        <w:ind w:firstLine="600" w:firstLineChars="250"/>
        <w:rPr>
          <w:rFonts w:ascii="宋体" w:hAnsi="宋体"/>
        </w:rPr>
      </w:pPr>
      <w:r>
        <w:rPr>
          <w:rFonts w:hint="eastAsia" w:ascii="宋体" w:hAnsi="宋体"/>
        </w:rPr>
        <w:t>无</w:t>
      </w:r>
      <w:r>
        <w:rPr>
          <w:rFonts w:hint="eastAsia" w:ascii="宋体" w:hAnsi="宋体"/>
          <w:bCs/>
        </w:rPr>
        <w:t>未定事项假设。</w:t>
      </w:r>
    </w:p>
    <w:p>
      <w:pPr>
        <w:spacing w:line="460" w:lineRule="exact"/>
        <w:ind w:firstLine="480"/>
        <w:rPr>
          <w:rFonts w:ascii="宋体" w:hAnsi="宋体"/>
        </w:rPr>
      </w:pPr>
      <w:r>
        <w:rPr>
          <w:rFonts w:hint="eastAsia" w:ascii="宋体" w:hAnsi="宋体"/>
        </w:rPr>
        <w:t>（三）背离事实假设</w:t>
      </w:r>
    </w:p>
    <w:p>
      <w:pPr>
        <w:spacing w:line="460" w:lineRule="exact"/>
        <w:ind w:firstLine="477" w:firstLineChars="199"/>
        <w:rPr>
          <w:rFonts w:ascii="宋体" w:hAnsi="宋体"/>
          <w:szCs w:val="24"/>
        </w:rPr>
      </w:pPr>
      <w:r>
        <w:rPr>
          <w:rFonts w:hint="eastAsia" w:ascii="宋体" w:hAnsi="宋体"/>
          <w:color w:val="000000"/>
          <w:szCs w:val="24"/>
        </w:rPr>
        <w:t>1.根据本次估价目的，本次估价不考虑估价对象原有的担保物权及其他权益</w:t>
      </w:r>
      <w:r>
        <w:rPr>
          <w:rFonts w:ascii="宋体" w:hAnsi="宋体"/>
        </w:rPr>
        <w:t>。</w:t>
      </w:r>
    </w:p>
    <w:p>
      <w:pPr>
        <w:spacing w:line="460" w:lineRule="exact"/>
        <w:ind w:firstLine="477" w:firstLineChars="199"/>
        <w:rPr>
          <w:rFonts w:ascii="宋体" w:hAnsi="宋体"/>
          <w:color w:val="000000"/>
          <w:szCs w:val="24"/>
        </w:rPr>
      </w:pPr>
      <w:r>
        <w:rPr>
          <w:rFonts w:hint="eastAsia" w:ascii="宋体" w:hAnsi="宋体"/>
          <w:color w:val="000000"/>
          <w:szCs w:val="24"/>
        </w:rPr>
        <w:t>2.</w:t>
      </w:r>
      <w:r>
        <w:rPr>
          <w:rFonts w:hint="eastAsia" w:ascii="宋体" w:hAnsi="宋体"/>
          <w:color w:val="000000"/>
          <w:sz w:val="24"/>
          <w:szCs w:val="24"/>
        </w:rPr>
        <w:t>根据</w:t>
      </w:r>
      <w:r>
        <w:rPr>
          <w:rFonts w:hint="eastAsia" w:ascii="宋体" w:hAnsi="宋体"/>
          <w:b w:val="0"/>
          <w:bCs/>
          <w:sz w:val="24"/>
          <w:szCs w:val="24"/>
          <w:lang w:val="en-US" w:eastAsia="zh-CN"/>
        </w:rPr>
        <w:t>《福建省安溪县人民法院价格评估委托书》[（2022）闽0524执272号]未约定评估价值时点，本次估价拟以现场实勘日2022年6月6日为价值时点。</w:t>
      </w:r>
    </w:p>
    <w:p>
      <w:pPr>
        <w:spacing w:line="460" w:lineRule="exact"/>
        <w:ind w:firstLine="316" w:firstLineChars="132"/>
        <w:rPr>
          <w:rFonts w:ascii="宋体" w:hAnsi="宋体"/>
          <w:szCs w:val="24"/>
        </w:rPr>
      </w:pPr>
      <w:r>
        <w:rPr>
          <w:rFonts w:hint="eastAsia" w:ascii="宋体" w:hAnsi="宋体"/>
          <w:szCs w:val="24"/>
        </w:rPr>
        <w:t>（四）不相一致假设</w:t>
      </w:r>
    </w:p>
    <w:p>
      <w:pPr>
        <w:spacing w:line="460" w:lineRule="exact"/>
        <w:ind w:firstLine="480"/>
        <w:rPr>
          <w:rFonts w:ascii="宋体" w:hAnsi="宋体"/>
        </w:rPr>
      </w:pPr>
      <w:r>
        <w:rPr>
          <w:rFonts w:hint="eastAsia" w:ascii="宋体" w:hAnsi="宋体"/>
          <w:szCs w:val="24"/>
        </w:rPr>
        <w:t>无不相一致假设</w:t>
      </w:r>
      <w:r>
        <w:rPr>
          <w:rFonts w:ascii="宋体" w:hAnsi="宋体"/>
        </w:rPr>
        <w:t>。</w:t>
      </w:r>
    </w:p>
    <w:p>
      <w:pPr>
        <w:spacing w:line="460" w:lineRule="exact"/>
        <w:ind w:firstLine="480"/>
        <w:rPr>
          <w:rFonts w:ascii="宋体" w:hAnsi="宋体"/>
          <w:szCs w:val="24"/>
        </w:rPr>
      </w:pPr>
      <w:r>
        <w:rPr>
          <w:rFonts w:hint="eastAsia" w:ascii="宋体" w:hAnsi="宋体"/>
          <w:szCs w:val="24"/>
        </w:rPr>
        <w:t>（五）依据不足假设</w:t>
      </w:r>
    </w:p>
    <w:p>
      <w:pPr>
        <w:spacing w:line="460" w:lineRule="exact"/>
        <w:ind w:firstLine="480"/>
        <w:rPr>
          <w:rFonts w:ascii="宋体" w:hAnsi="宋体"/>
          <w:szCs w:val="24"/>
        </w:rPr>
      </w:pPr>
      <w:r>
        <w:rPr>
          <w:rFonts w:hint="eastAsia" w:ascii="宋体" w:hAnsi="宋体"/>
          <w:szCs w:val="24"/>
        </w:rPr>
        <w:t>无依据不足假设。</w:t>
      </w:r>
    </w:p>
    <w:p>
      <w:pPr>
        <w:spacing w:line="460" w:lineRule="exact"/>
        <w:ind w:firstLine="482"/>
        <w:rPr>
          <w:rFonts w:ascii="宋体" w:hAnsi="宋体"/>
          <w:b/>
        </w:rPr>
      </w:pPr>
      <w:r>
        <w:rPr>
          <w:rFonts w:hint="eastAsia" w:ascii="宋体" w:hAnsi="宋体"/>
          <w:b/>
        </w:rPr>
        <w:t>二、估价报告使用限制</w:t>
      </w:r>
    </w:p>
    <w:p>
      <w:pPr>
        <w:spacing w:line="460" w:lineRule="exact"/>
        <w:ind w:firstLine="480"/>
        <w:rPr>
          <w:rFonts w:ascii="宋体" w:hAnsi="宋体"/>
        </w:rPr>
      </w:pPr>
      <w:r>
        <w:rPr>
          <w:rFonts w:hint="eastAsia" w:ascii="宋体" w:hAnsi="宋体"/>
        </w:rPr>
        <w:t>1．本估价报告仅作为本次估价目的之使用，不作其他任何用途使用。</w:t>
      </w:r>
    </w:p>
    <w:p>
      <w:pPr>
        <w:spacing w:line="460" w:lineRule="exact"/>
        <w:ind w:firstLine="480"/>
        <w:rPr>
          <w:rFonts w:ascii="宋体" w:hAnsi="宋体"/>
        </w:rPr>
      </w:pPr>
      <w:r>
        <w:rPr>
          <w:rFonts w:ascii="宋体" w:hAnsi="宋体"/>
        </w:rPr>
        <w:t>2</w:t>
      </w:r>
      <w:r>
        <w:rPr>
          <w:rFonts w:hint="eastAsia" w:ascii="宋体" w:hAnsi="宋体"/>
        </w:rPr>
        <w:t>．本估价报告的使用期限为一年，自本报告出具之日起计。</w:t>
      </w:r>
    </w:p>
    <w:p>
      <w:pPr>
        <w:spacing w:line="460" w:lineRule="exact"/>
        <w:ind w:firstLine="480"/>
        <w:rPr>
          <w:rFonts w:ascii="宋体" w:hAnsi="宋体"/>
        </w:rPr>
      </w:pPr>
      <w:r>
        <w:rPr>
          <w:rFonts w:hint="eastAsia" w:ascii="宋体" w:hAnsi="宋体"/>
        </w:rPr>
        <w:t>3．本</w:t>
      </w:r>
      <w:r>
        <w:rPr>
          <w:rFonts w:ascii="宋体" w:hAnsi="宋体"/>
        </w:rPr>
        <w:t>估价报告仅供</w:t>
      </w:r>
      <w:r>
        <w:rPr>
          <w:rFonts w:hint="eastAsia" w:ascii="宋体" w:hAnsi="宋体"/>
        </w:rPr>
        <w:t>估价</w:t>
      </w:r>
      <w:r>
        <w:rPr>
          <w:rFonts w:ascii="宋体" w:hAnsi="宋体"/>
        </w:rPr>
        <w:t>委托人使用</w:t>
      </w:r>
      <w:r>
        <w:rPr>
          <w:rFonts w:hint="eastAsia" w:ascii="宋体" w:hAnsi="宋体"/>
        </w:rPr>
        <w:t>，</w:t>
      </w:r>
      <w:r>
        <w:rPr>
          <w:rFonts w:ascii="宋体" w:hAnsi="宋体"/>
        </w:rPr>
        <w:t>本估价报告的全部或部分内容只能表述在与本次</w:t>
      </w:r>
      <w:r>
        <w:rPr>
          <w:rFonts w:hint="eastAsia" w:ascii="宋体" w:hAnsi="宋体"/>
        </w:rPr>
        <w:t>估价</w:t>
      </w:r>
      <w:r>
        <w:rPr>
          <w:rFonts w:ascii="宋体" w:hAnsi="宋体"/>
        </w:rPr>
        <w:t>目的有关的资料中，</w:t>
      </w:r>
      <w:r>
        <w:rPr>
          <w:rFonts w:hint="eastAsia" w:ascii="宋体" w:hAnsi="宋体"/>
        </w:rPr>
        <w:t>除</w:t>
      </w:r>
      <w:r>
        <w:rPr>
          <w:rFonts w:ascii="宋体" w:hAnsi="宋体"/>
        </w:rPr>
        <w:t>此</w:t>
      </w:r>
      <w:r>
        <w:rPr>
          <w:rFonts w:hint="eastAsia" w:ascii="宋体" w:hAnsi="宋体"/>
        </w:rPr>
        <w:t>之</w:t>
      </w:r>
      <w:r>
        <w:rPr>
          <w:rFonts w:ascii="宋体" w:hAnsi="宋体"/>
        </w:rPr>
        <w:t>外，未经本</w:t>
      </w:r>
      <w:r>
        <w:rPr>
          <w:rFonts w:hint="eastAsia" w:ascii="宋体" w:hAnsi="宋体"/>
        </w:rPr>
        <w:t>公司</w:t>
      </w:r>
      <w:r>
        <w:rPr>
          <w:rFonts w:ascii="宋体" w:hAnsi="宋体"/>
        </w:rPr>
        <w:t>书面许可，不得向</w:t>
      </w:r>
      <w:r>
        <w:rPr>
          <w:rFonts w:hint="eastAsia" w:ascii="宋体" w:hAnsi="宋体"/>
        </w:rPr>
        <w:t>其他</w:t>
      </w:r>
      <w:r>
        <w:rPr>
          <w:rFonts w:ascii="宋体" w:hAnsi="宋体"/>
        </w:rPr>
        <w:t>单位或个人提供</w:t>
      </w:r>
      <w:r>
        <w:rPr>
          <w:rFonts w:hint="eastAsia" w:ascii="宋体" w:hAnsi="宋体"/>
        </w:rPr>
        <w:t>。</w:t>
      </w:r>
    </w:p>
    <w:p>
      <w:pPr>
        <w:spacing w:line="460" w:lineRule="exact"/>
        <w:ind w:firstLine="480"/>
        <w:rPr>
          <w:rFonts w:ascii="宋体" w:hAnsi="宋体"/>
        </w:rPr>
      </w:pPr>
      <w:r>
        <w:rPr>
          <w:rFonts w:hint="eastAsia" w:ascii="宋体" w:hAnsi="宋体"/>
        </w:rPr>
        <w:t>4．</w:t>
      </w:r>
      <w:r>
        <w:rPr>
          <w:rFonts w:ascii="宋体" w:hAnsi="宋体"/>
        </w:rPr>
        <w:t>应用本估价报告时，估价报告使用人应明确本次</w:t>
      </w:r>
      <w:r>
        <w:rPr>
          <w:rFonts w:hint="eastAsia" w:ascii="宋体" w:hAnsi="宋体"/>
        </w:rPr>
        <w:t>估价</w:t>
      </w:r>
      <w:r>
        <w:rPr>
          <w:rFonts w:ascii="宋体" w:hAnsi="宋体"/>
        </w:rPr>
        <w:t>的</w:t>
      </w:r>
      <w:r>
        <w:rPr>
          <w:rFonts w:hint="eastAsia" w:ascii="宋体" w:hAnsi="宋体"/>
        </w:rPr>
        <w:t>“</w:t>
      </w:r>
      <w:r>
        <w:rPr>
          <w:rFonts w:ascii="宋体" w:hAnsi="宋体"/>
        </w:rPr>
        <w:t>价</w:t>
      </w:r>
      <w:r>
        <w:rPr>
          <w:rFonts w:hint="eastAsia" w:ascii="宋体" w:hAnsi="宋体"/>
        </w:rPr>
        <w:t>值类型”</w:t>
      </w:r>
      <w:r>
        <w:rPr>
          <w:rFonts w:ascii="宋体" w:hAnsi="宋体"/>
        </w:rPr>
        <w:t>和“估价假设和限制条件”部分所载明的内容，严格按照本估价报告全部完整地应用。</w:t>
      </w:r>
    </w:p>
    <w:p>
      <w:pPr>
        <w:spacing w:line="460" w:lineRule="exact"/>
        <w:ind w:firstLine="480"/>
        <w:rPr>
          <w:rFonts w:ascii="宋体" w:hAnsi="宋体"/>
          <w:szCs w:val="24"/>
        </w:rPr>
      </w:pPr>
      <w:r>
        <w:rPr>
          <w:rFonts w:hint="eastAsia" w:ascii="宋体" w:hAnsi="宋体"/>
        </w:rPr>
        <w:t>5．</w:t>
      </w:r>
      <w:r>
        <w:rPr>
          <w:rFonts w:ascii="宋体" w:hAnsi="宋体"/>
        </w:rPr>
        <w:t>本估价报告的估价结果，</w:t>
      </w:r>
      <w:r>
        <w:rPr>
          <w:rFonts w:hint="eastAsia" w:ascii="宋体" w:hAnsi="宋体"/>
        </w:rPr>
        <w:t>须</w:t>
      </w:r>
      <w:r>
        <w:rPr>
          <w:rFonts w:ascii="宋体" w:hAnsi="宋体"/>
        </w:rPr>
        <w:t>经</w:t>
      </w:r>
      <w:r>
        <w:rPr>
          <w:rFonts w:hint="eastAsia" w:ascii="宋体" w:hAnsi="宋体"/>
        </w:rPr>
        <w:t>福州建融房地产评估咨询有限公司</w:t>
      </w:r>
      <w:r>
        <w:rPr>
          <w:rFonts w:ascii="宋体" w:hAnsi="宋体"/>
        </w:rPr>
        <w:t>盖章及在该</w:t>
      </w:r>
      <w:r>
        <w:rPr>
          <w:rFonts w:hint="eastAsia" w:ascii="宋体" w:hAnsi="宋体"/>
        </w:rPr>
        <w:t>公司执业</w:t>
      </w:r>
      <w:r>
        <w:rPr>
          <w:rFonts w:ascii="宋体" w:hAnsi="宋体"/>
        </w:rPr>
        <w:t>的</w:t>
      </w:r>
      <w:r>
        <w:rPr>
          <w:rFonts w:hint="eastAsia" w:ascii="宋体" w:hAnsi="宋体"/>
        </w:rPr>
        <w:t>2</w:t>
      </w:r>
      <w:r>
        <w:rPr>
          <w:rFonts w:ascii="宋体" w:hAnsi="宋体"/>
        </w:rPr>
        <w:t>名注册房地产估价师签字，并作为一个整体完整使用时有效。</w:t>
      </w:r>
    </w:p>
    <w:p>
      <w:pPr>
        <w:widowControl/>
        <w:spacing w:line="560" w:lineRule="exact"/>
        <w:ind w:firstLine="480"/>
        <w:jc w:val="left"/>
        <w:rPr>
          <w:b/>
          <w:sz w:val="44"/>
        </w:rPr>
      </w:pPr>
      <w:r>
        <w:br w:type="page"/>
      </w:r>
      <w:r>
        <w:rPr>
          <w:rFonts w:hint="eastAsia"/>
        </w:rPr>
        <w:t xml:space="preserve">                           </w:t>
      </w:r>
      <w:bookmarkStart w:id="2" w:name="_Toc452718577"/>
      <w:r>
        <w:rPr>
          <w:rStyle w:val="45"/>
          <w:rFonts w:hint="eastAsia"/>
        </w:rPr>
        <w:t>估价结果报告</w:t>
      </w:r>
      <w:bookmarkEnd w:id="2"/>
      <w:bookmarkStart w:id="3" w:name="_Toc452718578"/>
    </w:p>
    <w:p>
      <w:pPr>
        <w:pStyle w:val="3"/>
        <w:keepLines w:val="0"/>
        <w:pageBreakBefore w:val="0"/>
        <w:widowControl w:val="0"/>
        <w:kinsoku/>
        <w:wordWrap/>
        <w:overflowPunct/>
        <w:topLinePunct w:val="0"/>
        <w:autoSpaceDE/>
        <w:autoSpaceDN/>
        <w:bidi w:val="0"/>
        <w:adjustRightInd/>
        <w:spacing w:line="560" w:lineRule="exact"/>
        <w:textAlignment w:val="auto"/>
        <w:rPr>
          <w:color w:val="auto"/>
        </w:rPr>
      </w:pPr>
      <w:r>
        <w:rPr>
          <w:rFonts w:hint="eastAsia"/>
          <w:color w:val="auto"/>
        </w:rPr>
        <w:t>一、估价委托人</w:t>
      </w:r>
      <w:bookmarkEnd w:id="3"/>
    </w:p>
    <w:p>
      <w:pPr>
        <w:keepLines w:val="0"/>
        <w:pageBreakBefore w:val="0"/>
        <w:widowControl w:val="0"/>
        <w:kinsoku/>
        <w:wordWrap/>
        <w:overflowPunct/>
        <w:topLinePunct w:val="0"/>
        <w:autoSpaceDE/>
        <w:autoSpaceDN/>
        <w:bidi w:val="0"/>
        <w:adjustRightInd/>
        <w:spacing w:line="560" w:lineRule="exact"/>
        <w:ind w:firstLine="480"/>
        <w:textAlignment w:val="auto"/>
        <w:rPr>
          <w:rFonts w:hint="eastAsia" w:ascii="宋体" w:hAnsi="宋体" w:eastAsia="宋体"/>
          <w:szCs w:val="24"/>
          <w:lang w:eastAsia="zh-CN"/>
        </w:rPr>
      </w:pPr>
      <w:bookmarkStart w:id="4" w:name="_Toc452718579"/>
      <w:r>
        <w:rPr>
          <w:rFonts w:hint="eastAsia" w:ascii="宋体" w:hAnsi="宋体"/>
          <w:szCs w:val="24"/>
        </w:rPr>
        <w:t>名称：</w:t>
      </w:r>
      <w:r>
        <w:rPr>
          <w:rFonts w:hint="eastAsia" w:ascii="宋体" w:hAnsi="宋体"/>
          <w:szCs w:val="24"/>
          <w:lang w:eastAsia="zh-CN"/>
        </w:rPr>
        <w:t>安溪县人民法院</w:t>
      </w:r>
    </w:p>
    <w:p>
      <w:pPr>
        <w:pStyle w:val="3"/>
        <w:keepLines w:val="0"/>
        <w:pageBreakBefore w:val="0"/>
        <w:widowControl w:val="0"/>
        <w:kinsoku/>
        <w:wordWrap/>
        <w:overflowPunct/>
        <w:topLinePunct w:val="0"/>
        <w:autoSpaceDE/>
        <w:autoSpaceDN/>
        <w:bidi w:val="0"/>
        <w:adjustRightInd/>
        <w:spacing w:line="560" w:lineRule="exact"/>
        <w:textAlignment w:val="auto"/>
        <w:rPr>
          <w:color w:val="auto"/>
        </w:rPr>
      </w:pPr>
      <w:r>
        <w:rPr>
          <w:rFonts w:hint="eastAsia"/>
          <w:color w:val="auto"/>
        </w:rPr>
        <w:t>二、房地产估价机构</w:t>
      </w:r>
      <w:bookmarkEnd w:id="4"/>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名称：福州建融房地产评估咨询有限公司</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法定代表人：张孔斌</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住所：福州市台江区白马中路15号山海花园1号楼六层01-06室</w:t>
      </w:r>
    </w:p>
    <w:p>
      <w:pPr>
        <w:keepLines w:val="0"/>
        <w:pageBreakBefore w:val="0"/>
        <w:widowControl w:val="0"/>
        <w:kinsoku/>
        <w:wordWrap/>
        <w:overflowPunct/>
        <w:topLinePunct w:val="0"/>
        <w:autoSpaceDE/>
        <w:autoSpaceDN/>
        <w:bidi w:val="0"/>
        <w:adjustRightInd/>
        <w:spacing w:line="560" w:lineRule="exact"/>
        <w:ind w:firstLine="480"/>
        <w:textAlignment w:val="auto"/>
        <w:rPr>
          <w:rFonts w:ascii="宋体" w:hAnsi="宋体"/>
          <w:szCs w:val="24"/>
        </w:rPr>
      </w:pPr>
      <w:r>
        <w:rPr>
          <w:rFonts w:hint="eastAsia" w:ascii="宋体" w:hAnsi="宋体"/>
          <w:snapToGrid w:val="0"/>
          <w:kern w:val="0"/>
          <w:szCs w:val="24"/>
        </w:rPr>
        <w:t>统一社会信用代码：913501037490596962</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hint="eastAsia" w:ascii="宋体" w:hAnsi="宋体" w:eastAsia="宋体"/>
          <w:snapToGrid w:val="0"/>
          <w:kern w:val="0"/>
          <w:szCs w:val="24"/>
          <w:lang w:eastAsia="zh-CN"/>
        </w:rPr>
      </w:pPr>
      <w:r>
        <w:rPr>
          <w:rFonts w:hint="eastAsia" w:ascii="宋体" w:hAnsi="宋体"/>
          <w:snapToGrid w:val="0"/>
          <w:kern w:val="0"/>
          <w:szCs w:val="24"/>
        </w:rPr>
        <w:t>房地产估价机构资质等级：</w:t>
      </w:r>
      <w:r>
        <w:rPr>
          <w:rFonts w:hint="eastAsia" w:ascii="宋体" w:hAnsi="宋体"/>
          <w:snapToGrid w:val="0"/>
          <w:kern w:val="0"/>
          <w:szCs w:val="24"/>
          <w:lang w:eastAsia="zh-CN"/>
        </w:rPr>
        <w:t>二级</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房地产估价机构备案证书编号：352018012</w:t>
      </w:r>
    </w:p>
    <w:p>
      <w:pPr>
        <w:pStyle w:val="3"/>
        <w:keepLines w:val="0"/>
        <w:pageBreakBefore w:val="0"/>
        <w:widowControl w:val="0"/>
        <w:kinsoku/>
        <w:wordWrap/>
        <w:overflowPunct/>
        <w:topLinePunct w:val="0"/>
        <w:autoSpaceDE/>
        <w:autoSpaceDN/>
        <w:bidi w:val="0"/>
        <w:adjustRightInd/>
        <w:spacing w:line="560" w:lineRule="exact"/>
        <w:textAlignment w:val="auto"/>
        <w:rPr>
          <w:color w:val="auto"/>
        </w:rPr>
      </w:pPr>
      <w:bookmarkStart w:id="5" w:name="_Toc452718580"/>
      <w:r>
        <w:rPr>
          <w:rFonts w:hint="eastAsia"/>
          <w:color w:val="auto"/>
        </w:rPr>
        <w:t>三、估价目的</w:t>
      </w:r>
      <w:bookmarkEnd w:id="5"/>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估价目的是“</w:t>
      </w:r>
      <w:r>
        <w:rPr>
          <w:rFonts w:hint="eastAsia" w:ascii="宋体" w:hAnsi="宋体"/>
          <w:snapToGrid w:val="0"/>
          <w:kern w:val="0"/>
          <w:szCs w:val="24"/>
          <w:lang w:eastAsia="zh-CN"/>
        </w:rPr>
        <w:t>为司法拍卖提供参考依据而评估房地产市场价值</w:t>
      </w:r>
      <w:r>
        <w:rPr>
          <w:rFonts w:hint="eastAsia" w:ascii="宋体" w:hAnsi="宋体"/>
          <w:snapToGrid w:val="0"/>
          <w:kern w:val="0"/>
          <w:szCs w:val="24"/>
        </w:rPr>
        <w:t>”。</w:t>
      </w:r>
    </w:p>
    <w:p>
      <w:pPr>
        <w:pStyle w:val="3"/>
        <w:keepLines w:val="0"/>
        <w:pageBreakBefore w:val="0"/>
        <w:widowControl w:val="0"/>
        <w:kinsoku/>
        <w:wordWrap/>
        <w:overflowPunct/>
        <w:topLinePunct w:val="0"/>
        <w:autoSpaceDE/>
        <w:autoSpaceDN/>
        <w:bidi w:val="0"/>
        <w:adjustRightInd/>
        <w:spacing w:line="560" w:lineRule="exact"/>
        <w:textAlignment w:val="auto"/>
        <w:rPr>
          <w:color w:val="auto"/>
        </w:rPr>
      </w:pPr>
      <w:bookmarkStart w:id="6" w:name="_Toc452718581"/>
      <w:r>
        <w:rPr>
          <w:rFonts w:hint="eastAsia"/>
          <w:color w:val="auto"/>
        </w:rPr>
        <w:t>四</w:t>
      </w:r>
      <w:r>
        <w:rPr>
          <w:color w:val="auto"/>
        </w:rPr>
        <w:t>、</w:t>
      </w:r>
      <w:r>
        <w:rPr>
          <w:rFonts w:hint="eastAsia"/>
          <w:color w:val="auto"/>
        </w:rPr>
        <w:t>估价对象</w:t>
      </w:r>
      <w:bookmarkEnd w:id="6"/>
    </w:p>
    <w:p>
      <w:pPr>
        <w:keepLines w:val="0"/>
        <w:pageBreakBefore w:val="0"/>
        <w:widowControl w:val="0"/>
        <w:kinsoku/>
        <w:wordWrap/>
        <w:overflowPunct/>
        <w:topLinePunct w:val="0"/>
        <w:autoSpaceDE/>
        <w:autoSpaceDN/>
        <w:bidi w:val="0"/>
        <w:adjustRightInd/>
        <w:snapToGrid w:val="0"/>
        <w:spacing w:line="560" w:lineRule="exact"/>
        <w:ind w:firstLine="482"/>
        <w:textAlignment w:val="auto"/>
        <w:rPr>
          <w:rFonts w:ascii="宋体" w:hAnsi="宋体"/>
          <w:b/>
          <w:snapToGrid w:val="0"/>
          <w:kern w:val="0"/>
          <w:szCs w:val="24"/>
        </w:rPr>
      </w:pPr>
      <w:r>
        <w:rPr>
          <w:rFonts w:hint="eastAsia" w:ascii="宋体" w:hAnsi="宋体"/>
          <w:b/>
          <w:snapToGrid w:val="0"/>
          <w:kern w:val="0"/>
          <w:szCs w:val="24"/>
        </w:rPr>
        <w:t>（一）估价对象财产范围</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b/>
          <w:snapToGrid w:val="0"/>
          <w:kern w:val="0"/>
          <w:szCs w:val="24"/>
        </w:rPr>
      </w:pPr>
      <w:r>
        <w:rPr>
          <w:rFonts w:hint="eastAsia" w:ascii="宋体" w:hAnsi="宋体"/>
          <w:szCs w:val="24"/>
        </w:rPr>
        <w:t>估价对象财产范围包括建筑物</w:t>
      </w:r>
      <w:r>
        <w:rPr>
          <w:rFonts w:hint="eastAsia" w:ascii="宋体" w:hAnsi="宋体"/>
          <w:szCs w:val="24"/>
          <w:lang w:eastAsia="zh-CN"/>
        </w:rPr>
        <w:t>（含二次装修）</w:t>
      </w:r>
      <w:r>
        <w:rPr>
          <w:rFonts w:hint="eastAsia" w:ascii="宋体" w:hAnsi="宋体"/>
          <w:szCs w:val="24"/>
        </w:rPr>
        <w:t>、相应分摊的国有土地使用权（含国有土地使用权出让金）及公共配套设施</w:t>
      </w:r>
      <w:r>
        <w:rPr>
          <w:rFonts w:ascii="宋体" w:hAnsi="宋体"/>
          <w:szCs w:val="24"/>
        </w:rPr>
        <w:t>，不包括</w:t>
      </w:r>
      <w:r>
        <w:rPr>
          <w:rFonts w:hint="eastAsia" w:ascii="宋体" w:hAnsi="宋体"/>
          <w:szCs w:val="21"/>
        </w:rPr>
        <w:t>室内</w:t>
      </w:r>
      <w:r>
        <w:rPr>
          <w:rFonts w:ascii="宋体" w:hAnsi="宋体"/>
          <w:szCs w:val="24"/>
        </w:rPr>
        <w:t>动产、债权债务</w:t>
      </w:r>
      <w:r>
        <w:rPr>
          <w:rFonts w:hint="eastAsia" w:ascii="宋体" w:hAnsi="宋体"/>
          <w:szCs w:val="24"/>
        </w:rPr>
        <w:t>等其他财产或权益。</w:t>
      </w:r>
    </w:p>
    <w:p>
      <w:pPr>
        <w:keepLines w:val="0"/>
        <w:pageBreakBefore w:val="0"/>
        <w:widowControl w:val="0"/>
        <w:kinsoku/>
        <w:wordWrap/>
        <w:overflowPunct/>
        <w:topLinePunct w:val="0"/>
        <w:autoSpaceDE/>
        <w:autoSpaceDN/>
        <w:bidi w:val="0"/>
        <w:adjustRightInd/>
        <w:spacing w:line="560" w:lineRule="exact"/>
        <w:ind w:firstLine="482"/>
        <w:textAlignment w:val="auto"/>
        <w:rPr>
          <w:rFonts w:ascii="宋体" w:hAnsi="宋体"/>
          <w:b/>
          <w:szCs w:val="24"/>
        </w:rPr>
      </w:pPr>
      <w:r>
        <w:rPr>
          <w:rFonts w:hint="eastAsia" w:ascii="宋体" w:hAnsi="宋体"/>
          <w:b/>
          <w:snapToGrid w:val="0"/>
          <w:kern w:val="0"/>
          <w:szCs w:val="24"/>
        </w:rPr>
        <w:t>（二）</w:t>
      </w:r>
      <w:r>
        <w:rPr>
          <w:rFonts w:hint="eastAsia" w:ascii="宋体" w:hAnsi="宋体"/>
          <w:b/>
          <w:szCs w:val="24"/>
        </w:rPr>
        <w:t>估价对象基本</w:t>
      </w:r>
      <w:r>
        <w:rPr>
          <w:rFonts w:ascii="宋体" w:hAnsi="宋体"/>
          <w:b/>
          <w:szCs w:val="24"/>
        </w:rPr>
        <w:t>状况</w:t>
      </w:r>
    </w:p>
    <w:p>
      <w:pPr>
        <w:keepLines w:val="0"/>
        <w:pageBreakBefore w:val="0"/>
        <w:widowControl w:val="0"/>
        <w:kinsoku/>
        <w:wordWrap/>
        <w:overflowPunct/>
        <w:topLinePunct w:val="0"/>
        <w:autoSpaceDE/>
        <w:autoSpaceDN/>
        <w:bidi w:val="0"/>
        <w:adjustRightInd/>
        <w:spacing w:line="560" w:lineRule="exact"/>
        <w:ind w:firstLine="480"/>
        <w:textAlignment w:val="auto"/>
        <w:rPr>
          <w:rFonts w:ascii="宋体" w:hAnsi="宋体"/>
          <w:szCs w:val="24"/>
        </w:rPr>
      </w:pPr>
      <w:r>
        <w:rPr>
          <w:rFonts w:hint="eastAsia" w:ascii="宋体" w:hAnsi="宋体"/>
          <w:szCs w:val="24"/>
        </w:rPr>
        <w:t>1</w:t>
      </w:r>
      <w:r>
        <w:rPr>
          <w:rFonts w:hint="eastAsia" w:ascii="宋体" w:hAnsi="宋体"/>
        </w:rPr>
        <w:t>．</w:t>
      </w:r>
      <w:r>
        <w:rPr>
          <w:rFonts w:hint="eastAsia" w:ascii="宋体" w:hAnsi="宋体"/>
          <w:szCs w:val="24"/>
        </w:rPr>
        <w:t>名称、坐落：</w:t>
      </w:r>
      <w:r>
        <w:rPr>
          <w:rFonts w:hint="eastAsia" w:ascii="宋体" w:hAnsi="宋体"/>
          <w:szCs w:val="24"/>
          <w:lang w:eastAsia="zh-CN"/>
        </w:rPr>
        <w:t>晋江市梅岭街道人工湖片区晋江世茂人工湖项目K5地块A1幢610室</w:t>
      </w:r>
      <w:r>
        <w:rPr>
          <w:rFonts w:hint="eastAsia" w:ascii="宋体" w:hAnsi="宋体"/>
          <w:szCs w:val="24"/>
        </w:rPr>
        <w:t>；</w:t>
      </w:r>
      <w:r>
        <w:rPr>
          <w:rFonts w:hint="eastAsia" w:ascii="宋体" w:hAnsi="宋体"/>
        </w:rPr>
        <w:t>位于</w:t>
      </w:r>
      <w:r>
        <w:rPr>
          <w:rFonts w:hint="eastAsia" w:ascii="宋体" w:hAnsi="宋体"/>
          <w:lang w:eastAsia="zh-CN"/>
        </w:rPr>
        <w:t>世纪大道以西、沈海高速以东</w:t>
      </w:r>
      <w:r>
        <w:rPr>
          <w:rFonts w:hint="eastAsia" w:ascii="宋体" w:hAnsi="宋体"/>
        </w:rPr>
        <w:t>。</w:t>
      </w:r>
    </w:p>
    <w:p>
      <w:pPr>
        <w:keepLines w:val="0"/>
        <w:pageBreakBefore w:val="0"/>
        <w:widowControl w:val="0"/>
        <w:kinsoku/>
        <w:wordWrap/>
        <w:overflowPunct/>
        <w:topLinePunct w:val="0"/>
        <w:autoSpaceDE/>
        <w:autoSpaceDN/>
        <w:bidi w:val="0"/>
        <w:adjustRightInd/>
        <w:spacing w:line="560" w:lineRule="exact"/>
        <w:ind w:firstLine="464"/>
        <w:textAlignment w:val="auto"/>
        <w:rPr>
          <w:rFonts w:ascii="宋体" w:hAnsi="宋体"/>
          <w:szCs w:val="24"/>
        </w:rPr>
      </w:pPr>
      <w:r>
        <w:rPr>
          <w:rFonts w:hint="eastAsia" w:ascii="宋体" w:hAnsi="宋体"/>
          <w:spacing w:val="-4"/>
          <w:szCs w:val="24"/>
        </w:rPr>
        <w:t>2．规模：</w:t>
      </w:r>
      <w:r>
        <w:rPr>
          <w:rFonts w:hint="eastAsia" w:ascii="宋体" w:hAnsi="宋体"/>
          <w:szCs w:val="24"/>
          <w:lang w:eastAsia="zh-CN"/>
        </w:rPr>
        <w:t>世茂御龙府</w:t>
      </w:r>
      <w:r>
        <w:rPr>
          <w:rFonts w:hint="eastAsia" w:ascii="宋体" w:hAnsi="宋体"/>
          <w:spacing w:val="-4"/>
          <w:szCs w:val="24"/>
          <w:lang w:eastAsia="zh-CN"/>
        </w:rPr>
        <w:t>由</w:t>
      </w:r>
      <w:r>
        <w:rPr>
          <w:rFonts w:hint="eastAsia" w:ascii="宋体" w:hAnsi="宋体"/>
          <w:spacing w:val="-4"/>
          <w:szCs w:val="24"/>
        </w:rPr>
        <w:t>多幢住宅楼</w:t>
      </w:r>
      <w:r>
        <w:rPr>
          <w:rFonts w:hint="eastAsia" w:ascii="宋体" w:hAnsi="宋体"/>
          <w:spacing w:val="-4"/>
          <w:szCs w:val="24"/>
          <w:lang w:eastAsia="zh-CN"/>
        </w:rPr>
        <w:t>组成</w:t>
      </w:r>
      <w:r>
        <w:rPr>
          <w:rFonts w:hint="eastAsia" w:ascii="宋体" w:hAnsi="宋体"/>
          <w:spacing w:val="-4"/>
          <w:szCs w:val="24"/>
        </w:rPr>
        <w:t>，</w:t>
      </w:r>
      <w:r>
        <w:rPr>
          <w:rFonts w:hint="eastAsia" w:ascii="宋体" w:hAnsi="宋体"/>
          <w:spacing w:val="-4"/>
          <w:szCs w:val="24"/>
          <w:lang w:eastAsia="zh-CN"/>
        </w:rPr>
        <w:t>规模较大，档次较高</w:t>
      </w:r>
      <w:r>
        <w:rPr>
          <w:rFonts w:hint="eastAsia" w:ascii="宋体" w:hAnsi="宋体"/>
          <w:spacing w:val="-4"/>
          <w:szCs w:val="24"/>
        </w:rPr>
        <w:t>，估价对象</w:t>
      </w:r>
      <w:r>
        <w:rPr>
          <w:rFonts w:hint="eastAsia" w:ascii="宋体" w:hAnsi="宋体"/>
          <w:szCs w:val="24"/>
        </w:rPr>
        <w:t>建筑面积为</w:t>
      </w:r>
      <w:r>
        <w:rPr>
          <w:rFonts w:hint="eastAsia" w:ascii="宋体" w:hAnsi="宋体"/>
          <w:szCs w:val="24"/>
          <w:lang w:eastAsia="zh-CN"/>
        </w:rPr>
        <w:t>87.38</w:t>
      </w:r>
      <w:r>
        <w:rPr>
          <w:rFonts w:hint="eastAsia" w:ascii="宋体" w:hAnsi="宋体"/>
          <w:szCs w:val="24"/>
        </w:rPr>
        <w:t>㎡。</w:t>
      </w:r>
    </w:p>
    <w:p>
      <w:pPr>
        <w:keepLines w:val="0"/>
        <w:pageBreakBefore w:val="0"/>
        <w:widowControl w:val="0"/>
        <w:kinsoku/>
        <w:wordWrap/>
        <w:overflowPunct/>
        <w:topLinePunct w:val="0"/>
        <w:autoSpaceDE/>
        <w:autoSpaceDN/>
        <w:bidi w:val="0"/>
        <w:adjustRightInd/>
        <w:spacing w:line="560" w:lineRule="exact"/>
        <w:ind w:firstLine="480"/>
        <w:textAlignment w:val="auto"/>
        <w:rPr>
          <w:rFonts w:ascii="宋体" w:hAnsi="宋体"/>
          <w:szCs w:val="24"/>
        </w:rPr>
      </w:pPr>
      <w:r>
        <w:rPr>
          <w:rFonts w:hint="eastAsia" w:ascii="宋体" w:hAnsi="宋体"/>
          <w:szCs w:val="24"/>
        </w:rPr>
        <w:t>3</w:t>
      </w:r>
      <w:r>
        <w:rPr>
          <w:rFonts w:hint="eastAsia" w:ascii="宋体" w:hAnsi="宋体"/>
        </w:rPr>
        <w:t>．</w:t>
      </w:r>
      <w:r>
        <w:rPr>
          <w:rFonts w:hint="eastAsia" w:ascii="宋体" w:hAnsi="宋体"/>
          <w:szCs w:val="24"/>
        </w:rPr>
        <w:t>用途：法定及实际用途均为住宅</w:t>
      </w:r>
      <w:r>
        <w:rPr>
          <w:rFonts w:ascii="宋体" w:hAnsi="宋体"/>
          <w:szCs w:val="24"/>
        </w:rPr>
        <w:t>。</w:t>
      </w:r>
    </w:p>
    <w:p>
      <w:pPr>
        <w:keepLines w:val="0"/>
        <w:pageBreakBefore w:val="0"/>
        <w:widowControl w:val="0"/>
        <w:kinsoku/>
        <w:wordWrap/>
        <w:overflowPunct/>
        <w:topLinePunct w:val="0"/>
        <w:autoSpaceDE/>
        <w:autoSpaceDN/>
        <w:bidi w:val="0"/>
        <w:adjustRightInd/>
        <w:spacing w:line="560" w:lineRule="exact"/>
        <w:ind w:firstLine="464"/>
        <w:textAlignment w:val="auto"/>
        <w:rPr>
          <w:rFonts w:hint="eastAsia" w:ascii="宋体" w:hAnsi="宋体"/>
          <w:spacing w:val="-4"/>
          <w:szCs w:val="24"/>
          <w:lang w:eastAsia="zh-CN"/>
        </w:rPr>
      </w:pPr>
      <w:r>
        <w:rPr>
          <w:rFonts w:hint="eastAsia" w:ascii="宋体" w:hAnsi="宋体"/>
          <w:spacing w:val="-4"/>
          <w:szCs w:val="24"/>
        </w:rPr>
        <w:t>4．权属：根据估价委托人提供的</w:t>
      </w:r>
      <w:r>
        <w:rPr>
          <w:rFonts w:hint="eastAsia" w:ascii="宋体" w:hAnsi="宋体"/>
          <w:spacing w:val="-4"/>
          <w:szCs w:val="24"/>
          <w:lang w:eastAsia="zh-CN"/>
        </w:rPr>
        <w:t>《不动产权证书》（证号：闽（2020）晋江市不动产权第0010889号）、福建省安溪县人民法院价格评估委托书[（2022）闽0524执272号]</w:t>
      </w:r>
      <w:r>
        <w:rPr>
          <w:rFonts w:hint="eastAsia" w:ascii="宋体" w:hAnsi="宋体"/>
          <w:spacing w:val="-4"/>
          <w:szCs w:val="24"/>
        </w:rPr>
        <w:t>记载，估价对象</w:t>
      </w:r>
      <w:r>
        <w:rPr>
          <w:rFonts w:hint="eastAsia" w:ascii="宋体" w:hAnsi="宋体"/>
          <w:spacing w:val="-4"/>
          <w:szCs w:val="24"/>
          <w:lang w:eastAsia="zh-CN"/>
        </w:rPr>
        <w:t>产权状态：查封；权利人：王文强，共有情况：单独所有；不动产单元号</w:t>
      </w:r>
      <w:r>
        <w:rPr>
          <w:rFonts w:hint="eastAsia" w:ascii="宋体" w:hAnsi="宋体"/>
          <w:spacing w:val="-4"/>
          <w:szCs w:val="24"/>
          <w:lang w:val="en-US" w:eastAsia="zh-CN"/>
        </w:rPr>
        <w:t>:350582 107102 GB10006 F00370059；权利类型</w:t>
      </w:r>
      <w:r>
        <w:rPr>
          <w:rFonts w:hint="eastAsia" w:ascii="宋体" w:hAnsi="宋体"/>
          <w:spacing w:val="-4"/>
          <w:szCs w:val="24"/>
          <w:lang w:eastAsia="zh-CN"/>
        </w:rPr>
        <w:t>：</w:t>
      </w:r>
      <w:r>
        <w:rPr>
          <w:rFonts w:hint="eastAsia" w:ascii="宋体" w:hAnsi="宋体"/>
          <w:spacing w:val="-4"/>
          <w:szCs w:val="24"/>
          <w:lang w:val="en-US" w:eastAsia="zh-CN"/>
        </w:rPr>
        <w:t>国有建设用地使用权/房屋所有权；权利性质：出让/市场化商品房；用途：城镇住宅用地/成套住宅；使用期限：2081年02月24日止。</w:t>
      </w:r>
      <w:r>
        <w:rPr>
          <w:rFonts w:hint="eastAsia" w:ascii="宋体" w:hAnsi="宋体"/>
          <w:spacing w:val="-4"/>
          <w:szCs w:val="24"/>
          <w:lang w:eastAsia="zh-CN"/>
        </w:rPr>
        <w:t xml:space="preserve"> </w:t>
      </w:r>
    </w:p>
    <w:p>
      <w:pPr>
        <w:keepLines w:val="0"/>
        <w:pageBreakBefore w:val="0"/>
        <w:widowControl w:val="0"/>
        <w:kinsoku/>
        <w:wordWrap/>
        <w:overflowPunct/>
        <w:topLinePunct w:val="0"/>
        <w:autoSpaceDE/>
        <w:autoSpaceDN/>
        <w:bidi w:val="0"/>
        <w:adjustRightInd/>
        <w:spacing w:line="560" w:lineRule="exact"/>
        <w:ind w:firstLine="464"/>
        <w:textAlignment w:val="auto"/>
        <w:rPr>
          <w:rFonts w:hint="eastAsia" w:ascii="宋体" w:hAnsi="宋体"/>
          <w:spacing w:val="-4"/>
          <w:szCs w:val="24"/>
          <w:lang w:eastAsia="zh-CN"/>
        </w:rPr>
      </w:pPr>
      <w:r>
        <w:rPr>
          <w:rFonts w:hint="eastAsia" w:ascii="宋体" w:hAnsi="宋体"/>
          <w:spacing w:val="-4"/>
          <w:szCs w:val="24"/>
          <w:lang w:eastAsia="zh-CN"/>
        </w:rPr>
        <w:t>（三）土地基本状况</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1</w:t>
      </w:r>
      <w:r>
        <w:rPr>
          <w:rFonts w:hint="eastAsia" w:ascii="宋体" w:hAnsi="宋体"/>
        </w:rPr>
        <w:t>．</w:t>
      </w:r>
      <w:r>
        <w:rPr>
          <w:rFonts w:hint="eastAsia" w:ascii="宋体" w:hAnsi="宋体"/>
          <w:snapToGrid w:val="0"/>
          <w:kern w:val="0"/>
          <w:szCs w:val="24"/>
        </w:rPr>
        <w:t>四至：</w:t>
      </w:r>
      <w:r>
        <w:rPr>
          <w:rFonts w:hint="eastAsia" w:ascii="宋体" w:hAnsi="宋体"/>
          <w:szCs w:val="24"/>
          <w:lang w:eastAsia="zh-CN"/>
        </w:rPr>
        <w:t>世茂御龙府东至世纪大道、南至百凤路、西至沈海高速、北至泉安北路辅路</w:t>
      </w:r>
      <w:r>
        <w:rPr>
          <w:rFonts w:hint="eastAsia" w:ascii="宋体" w:hAnsi="宋体"/>
          <w:snapToGrid w:val="0"/>
          <w:kern w:val="0"/>
          <w:szCs w:val="24"/>
        </w:rPr>
        <w:t>。根据</w:t>
      </w:r>
      <w:r>
        <w:rPr>
          <w:rFonts w:hint="eastAsia" w:ascii="宋体" w:hAnsi="宋体"/>
          <w:snapToGrid w:val="0"/>
          <w:kern w:val="0"/>
          <w:szCs w:val="24"/>
          <w:lang w:eastAsia="zh-CN"/>
        </w:rPr>
        <w:t>《晋江市人民政府关于发布晋江市2019年基准地价的通告》（晋政文〔2018〕1号）</w:t>
      </w:r>
      <w:r>
        <w:rPr>
          <w:rFonts w:hint="eastAsia" w:ascii="宋体" w:hAnsi="宋体"/>
          <w:snapToGrid w:val="0"/>
          <w:kern w:val="0"/>
          <w:szCs w:val="24"/>
        </w:rPr>
        <w:t>文件规定，土地等级属于</w:t>
      </w:r>
      <w:r>
        <w:rPr>
          <w:rFonts w:hint="eastAsia" w:ascii="宋体" w:hAnsi="宋体"/>
          <w:snapToGrid w:val="0"/>
          <w:kern w:val="0"/>
          <w:szCs w:val="24"/>
          <w:lang w:eastAsia="zh-CN"/>
        </w:rPr>
        <w:t>晋江市区一级住宅</w:t>
      </w:r>
      <w:r>
        <w:rPr>
          <w:rFonts w:hint="eastAsia" w:ascii="宋体" w:hAnsi="宋体"/>
          <w:snapToGrid w:val="0"/>
          <w:kern w:val="0"/>
          <w:szCs w:val="24"/>
        </w:rPr>
        <w:t>用地。</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snapToGrid w:val="0"/>
          <w:kern w:val="0"/>
          <w:szCs w:val="24"/>
        </w:rPr>
        <w:t>2</w:t>
      </w:r>
      <w:r>
        <w:rPr>
          <w:rFonts w:hint="eastAsia" w:ascii="宋体" w:hAnsi="宋体"/>
        </w:rPr>
        <w:t>．</w:t>
      </w:r>
      <w:r>
        <w:rPr>
          <w:rFonts w:hint="eastAsia" w:ascii="宋体" w:hAnsi="宋体"/>
          <w:snapToGrid w:val="0"/>
          <w:kern w:val="0"/>
          <w:szCs w:val="24"/>
        </w:rPr>
        <w:t>形状：</w:t>
      </w:r>
      <w:r>
        <w:rPr>
          <w:rFonts w:ascii="宋体" w:hAnsi="宋体"/>
          <w:snapToGrid w:val="0"/>
          <w:kern w:val="0"/>
          <w:szCs w:val="24"/>
        </w:rPr>
        <w:t>小区宗地形状较规则</w:t>
      </w:r>
      <w:r>
        <w:rPr>
          <w:rFonts w:hint="eastAsia" w:ascii="宋体" w:hAnsi="宋体"/>
          <w:snapToGrid w:val="0"/>
          <w:kern w:val="0"/>
          <w:szCs w:val="24"/>
        </w:rPr>
        <w:t>。</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3</w:t>
      </w:r>
      <w:r>
        <w:rPr>
          <w:rFonts w:hint="eastAsia" w:ascii="宋体" w:hAnsi="宋体"/>
        </w:rPr>
        <w:t>．</w:t>
      </w:r>
      <w:r>
        <w:rPr>
          <w:rFonts w:hint="eastAsia" w:ascii="宋体" w:hAnsi="宋体"/>
          <w:snapToGrid w:val="0"/>
          <w:kern w:val="0"/>
          <w:szCs w:val="24"/>
        </w:rPr>
        <w:t>开发程度：已达“五通”（即通上水、通下水、通路、通电、通讯），地</w:t>
      </w:r>
      <w:r>
        <w:rPr>
          <w:rFonts w:ascii="宋体" w:hAnsi="宋体"/>
          <w:snapToGrid w:val="0"/>
          <w:kern w:val="0"/>
          <w:szCs w:val="24"/>
        </w:rPr>
        <w:t>上已</w:t>
      </w:r>
      <w:r>
        <w:rPr>
          <w:rFonts w:hint="eastAsia" w:ascii="宋体" w:hAnsi="宋体"/>
          <w:snapToGrid w:val="0"/>
          <w:kern w:val="0"/>
          <w:szCs w:val="24"/>
        </w:rPr>
        <w:t>于</w:t>
      </w:r>
      <w:r>
        <w:rPr>
          <w:rFonts w:hint="eastAsia" w:ascii="宋体" w:hAnsi="宋体"/>
          <w:snapToGrid w:val="0"/>
          <w:kern w:val="0"/>
          <w:szCs w:val="24"/>
          <w:lang w:eastAsia="zh-CN"/>
        </w:rPr>
        <w:t>2019年</w:t>
      </w:r>
      <w:r>
        <w:rPr>
          <w:rFonts w:hint="eastAsia" w:ascii="宋体" w:hAnsi="宋体"/>
          <w:snapToGrid w:val="0"/>
          <w:kern w:val="0"/>
          <w:szCs w:val="24"/>
        </w:rPr>
        <w:t>开发建成住宅</w:t>
      </w:r>
      <w:r>
        <w:rPr>
          <w:rFonts w:ascii="宋体" w:hAnsi="宋体"/>
          <w:snapToGrid w:val="0"/>
          <w:kern w:val="0"/>
          <w:szCs w:val="24"/>
        </w:rPr>
        <w:t>小区</w:t>
      </w:r>
      <w:r>
        <w:rPr>
          <w:rFonts w:hint="eastAsia" w:ascii="宋体" w:hAnsi="宋体"/>
          <w:snapToGrid w:val="0"/>
          <w:kern w:val="0"/>
          <w:szCs w:val="24"/>
        </w:rPr>
        <w:t xml:space="preserve">。 </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4</w:t>
      </w:r>
      <w:r>
        <w:rPr>
          <w:rFonts w:hint="eastAsia" w:ascii="宋体" w:hAnsi="宋体"/>
        </w:rPr>
        <w:t>．</w:t>
      </w:r>
      <w:r>
        <w:rPr>
          <w:rFonts w:hint="eastAsia" w:ascii="宋体" w:hAnsi="宋体"/>
          <w:snapToGrid w:val="0"/>
          <w:kern w:val="0"/>
          <w:szCs w:val="24"/>
        </w:rPr>
        <w:t>土地使用权类型及使用期限：土地使用权类型为出让。</w:t>
      </w:r>
    </w:p>
    <w:p>
      <w:pPr>
        <w:spacing w:line="540" w:lineRule="exact"/>
        <w:ind w:firstLine="482"/>
        <w:rPr>
          <w:rFonts w:ascii="宋体" w:hAnsi="宋体"/>
          <w:b/>
          <w:szCs w:val="24"/>
        </w:rPr>
      </w:pPr>
      <w:r>
        <w:rPr>
          <w:rFonts w:hint="eastAsia" w:ascii="宋体" w:hAnsi="宋体"/>
          <w:b/>
          <w:szCs w:val="24"/>
        </w:rPr>
        <w:t>（</w:t>
      </w:r>
      <w:r>
        <w:rPr>
          <w:rFonts w:ascii="宋体" w:hAnsi="宋体"/>
          <w:b/>
          <w:szCs w:val="24"/>
        </w:rPr>
        <w:t>四）建筑物基本</w:t>
      </w:r>
      <w:r>
        <w:rPr>
          <w:rFonts w:hint="eastAsia" w:ascii="宋体" w:hAnsi="宋体"/>
          <w:b/>
          <w:szCs w:val="24"/>
        </w:rPr>
        <w:t>状况</w:t>
      </w:r>
    </w:p>
    <w:tbl>
      <w:tblPr>
        <w:tblStyle w:val="29"/>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885"/>
        <w:gridCol w:w="3550"/>
        <w:gridCol w:w="1174"/>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trPr>
        <w:tc>
          <w:tcPr>
            <w:tcW w:w="743" w:type="dxa"/>
            <w:tcBorders>
              <w:top w:val="nil"/>
              <w:left w:val="nil"/>
              <w:bottom w:val="single" w:color="auto" w:sz="12" w:space="0"/>
              <w:right w:val="nil"/>
            </w:tcBorders>
            <w:shd w:val="clear" w:color="auto" w:fill="auto"/>
            <w:vAlign w:val="center"/>
          </w:tcPr>
          <w:p>
            <w:pPr>
              <w:tabs>
                <w:tab w:val="left" w:pos="1185"/>
              </w:tabs>
              <w:spacing w:line="240" w:lineRule="auto"/>
              <w:ind w:firstLine="0" w:firstLineChars="0"/>
              <w:rPr>
                <w:rFonts w:ascii="宋体" w:hAnsi="宋体"/>
                <w:b/>
                <w:sz w:val="21"/>
                <w:szCs w:val="21"/>
              </w:rPr>
            </w:pPr>
            <w:bookmarkStart w:id="7" w:name="_Toc452718582"/>
            <w:r>
              <w:rPr>
                <w:rFonts w:hint="eastAsia" w:ascii="宋体" w:hAnsi="宋体"/>
                <w:b/>
                <w:sz w:val="21"/>
                <w:szCs w:val="21"/>
              </w:rPr>
              <w:t>表1</w:t>
            </w:r>
          </w:p>
        </w:tc>
        <w:tc>
          <w:tcPr>
            <w:tcW w:w="8977" w:type="dxa"/>
            <w:gridSpan w:val="4"/>
            <w:tcBorders>
              <w:top w:val="nil"/>
              <w:left w:val="nil"/>
              <w:bottom w:val="single" w:color="auto" w:sz="12" w:space="0"/>
              <w:right w:val="nil"/>
            </w:tcBorders>
            <w:shd w:val="clear" w:color="auto" w:fill="auto"/>
            <w:vAlign w:val="center"/>
          </w:tcPr>
          <w:p>
            <w:pPr>
              <w:tabs>
                <w:tab w:val="left" w:pos="1185"/>
              </w:tabs>
              <w:spacing w:line="240" w:lineRule="auto"/>
              <w:ind w:right="506" w:rightChars="211" w:firstLine="0" w:firstLineChars="0"/>
              <w:jc w:val="center"/>
              <w:rPr>
                <w:rFonts w:ascii="宋体" w:hAnsi="宋体"/>
                <w:b/>
                <w:sz w:val="21"/>
                <w:szCs w:val="21"/>
              </w:rPr>
            </w:pPr>
            <w:r>
              <w:rPr>
                <w:rFonts w:hint="eastAsia" w:ascii="宋体" w:hAnsi="宋体"/>
                <w:b/>
                <w:sz w:val="21"/>
                <w:szCs w:val="21"/>
              </w:rPr>
              <w:t>建筑</w:t>
            </w:r>
            <w:r>
              <w:rPr>
                <w:rFonts w:ascii="宋体" w:hAnsi="宋体"/>
                <w:b/>
                <w:sz w:val="21"/>
                <w:szCs w:val="21"/>
              </w:rPr>
              <w:t>物基本状况表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28" w:type="dxa"/>
            <w:gridSpan w:val="2"/>
            <w:tcBorders>
              <w:top w:val="single" w:color="auto" w:sz="12" w:space="0"/>
              <w:left w:val="single" w:color="auto" w:sz="12" w:space="0"/>
            </w:tcBorders>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建筑</w:t>
            </w:r>
            <w:r>
              <w:rPr>
                <w:rFonts w:ascii="宋体" w:hAnsi="宋体"/>
                <w:sz w:val="21"/>
                <w:szCs w:val="21"/>
              </w:rPr>
              <w:t>结构</w:t>
            </w:r>
          </w:p>
        </w:tc>
        <w:tc>
          <w:tcPr>
            <w:tcW w:w="8092" w:type="dxa"/>
            <w:gridSpan w:val="3"/>
            <w:tcBorders>
              <w:top w:val="single" w:color="auto" w:sz="12" w:space="0"/>
              <w:right w:val="single" w:color="auto" w:sz="12" w:space="0"/>
            </w:tcBorders>
            <w:shd w:val="clear" w:color="auto" w:fill="auto"/>
            <w:vAlign w:val="center"/>
          </w:tcPr>
          <w:p>
            <w:pPr>
              <w:snapToGrid w:val="0"/>
              <w:spacing w:line="240" w:lineRule="exact"/>
              <w:ind w:firstLine="0" w:firstLineChars="0"/>
              <w:rPr>
                <w:rFonts w:hint="eastAsia" w:ascii="宋体" w:hAnsi="宋体" w:eastAsia="宋体"/>
                <w:sz w:val="21"/>
                <w:szCs w:val="21"/>
                <w:lang w:eastAsia="zh-CN"/>
              </w:rPr>
            </w:pPr>
            <w:r>
              <w:rPr>
                <w:rFonts w:hint="eastAsia" w:ascii="宋体" w:hAnsi="宋体"/>
                <w:sz w:val="21"/>
                <w:szCs w:val="21"/>
                <w:lang w:eastAsia="zh-CN"/>
              </w:rPr>
              <w:t>钢筋砼</w:t>
            </w:r>
            <w:r>
              <w:rPr>
                <w:rFonts w:hint="eastAsia" w:ascii="宋体" w:hAnsi="宋体"/>
                <w:sz w:val="21"/>
                <w:szCs w:val="21"/>
              </w:rPr>
              <w:t>结构，</w:t>
            </w:r>
            <w:r>
              <w:rPr>
                <w:rFonts w:hint="eastAsia" w:ascii="宋体" w:hAnsi="宋体"/>
                <w:sz w:val="21"/>
                <w:szCs w:val="21"/>
                <w:lang w:val="en-US" w:eastAsia="zh-CN"/>
              </w:rPr>
              <w:t>43层</w:t>
            </w:r>
            <w:r>
              <w:rPr>
                <w:rFonts w:hint="eastAsia" w:ascii="宋体" w:hAnsi="宋体"/>
                <w:sz w:val="21"/>
                <w:szCs w:val="21"/>
                <w:lang w:eastAsia="zh-CN"/>
              </w:rPr>
              <w:t>电梯房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28" w:type="dxa"/>
            <w:gridSpan w:val="2"/>
            <w:tcBorders>
              <w:left w:val="single" w:color="auto" w:sz="12" w:space="0"/>
            </w:tcBorders>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设施</w:t>
            </w:r>
            <w:r>
              <w:rPr>
                <w:rFonts w:ascii="宋体" w:hAnsi="宋体"/>
                <w:sz w:val="21"/>
                <w:szCs w:val="21"/>
              </w:rPr>
              <w:t>设备</w:t>
            </w:r>
          </w:p>
        </w:tc>
        <w:tc>
          <w:tcPr>
            <w:tcW w:w="8092" w:type="dxa"/>
            <w:gridSpan w:val="3"/>
            <w:tcBorders>
              <w:right w:val="single" w:color="auto" w:sz="12" w:space="0"/>
            </w:tcBorders>
            <w:shd w:val="clear" w:color="auto" w:fill="auto"/>
            <w:vAlign w:val="center"/>
          </w:tcPr>
          <w:p>
            <w:pPr>
              <w:snapToGrid w:val="0"/>
              <w:spacing w:line="240" w:lineRule="exact"/>
              <w:ind w:firstLine="0" w:firstLineChars="0"/>
              <w:rPr>
                <w:rFonts w:ascii="宋体" w:hAnsi="宋体"/>
                <w:sz w:val="21"/>
                <w:szCs w:val="21"/>
              </w:rPr>
            </w:pPr>
            <w:bookmarkStart w:id="8" w:name="估价对象_设施设备"/>
            <w:r>
              <w:rPr>
                <w:rFonts w:hint="eastAsia" w:ascii="宋体" w:hAnsi="宋体"/>
                <w:sz w:val="21"/>
                <w:szCs w:val="21"/>
              </w:rPr>
              <w:t>带电梯，水、电、</w:t>
            </w:r>
            <w:r>
              <w:rPr>
                <w:rFonts w:ascii="宋体" w:hAnsi="宋体"/>
                <w:sz w:val="21"/>
                <w:szCs w:val="21"/>
              </w:rPr>
              <w:t>通讯、网络等</w:t>
            </w:r>
            <w:bookmarkEnd w:id="8"/>
            <w:r>
              <w:rPr>
                <w:rFonts w:hint="eastAsia" w:ascii="宋体" w:hAnsi="宋体"/>
                <w:sz w:val="21"/>
                <w:szCs w:val="21"/>
              </w:rPr>
              <w:t>配套设施齐全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28" w:type="dxa"/>
            <w:gridSpan w:val="2"/>
            <w:tcBorders>
              <w:left w:val="single" w:color="auto" w:sz="12" w:space="0"/>
            </w:tcBorders>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装饰</w:t>
            </w:r>
            <w:r>
              <w:rPr>
                <w:rFonts w:ascii="宋体" w:hAnsi="宋体"/>
                <w:sz w:val="21"/>
                <w:szCs w:val="21"/>
              </w:rPr>
              <w:t>装修</w:t>
            </w:r>
          </w:p>
        </w:tc>
        <w:tc>
          <w:tcPr>
            <w:tcW w:w="8092" w:type="dxa"/>
            <w:gridSpan w:val="3"/>
            <w:tcBorders>
              <w:right w:val="single" w:color="auto" w:sz="12" w:space="0"/>
            </w:tcBorders>
            <w:shd w:val="clear" w:color="auto" w:fill="auto"/>
            <w:vAlign w:val="center"/>
          </w:tcPr>
          <w:p>
            <w:pPr>
              <w:snapToGrid w:val="0"/>
              <w:spacing w:line="240" w:lineRule="exact"/>
              <w:ind w:firstLine="0" w:firstLineChars="0"/>
              <w:jc w:val="center"/>
              <w:rPr>
                <w:rFonts w:hint="eastAsia" w:ascii="宋体" w:hAnsi="宋体" w:eastAsia="宋体"/>
                <w:sz w:val="21"/>
                <w:szCs w:val="21"/>
                <w:lang w:eastAsia="zh-CN"/>
              </w:rPr>
            </w:pPr>
            <w:r>
              <w:rPr>
                <w:rFonts w:hint="eastAsia" w:ascii="宋体" w:hAnsi="宋体"/>
                <w:sz w:val="21"/>
                <w:szCs w:val="21"/>
              </w:rPr>
              <w:t>入户</w:t>
            </w:r>
            <w:r>
              <w:rPr>
                <w:rFonts w:hint="eastAsia" w:ascii="宋体" w:hAnsi="宋体"/>
                <w:sz w:val="21"/>
                <w:szCs w:val="21"/>
                <w:lang w:eastAsia="zh-CN"/>
              </w:rPr>
              <w:t>为</w:t>
            </w:r>
            <w:r>
              <w:rPr>
                <w:rFonts w:hint="eastAsia" w:ascii="宋体" w:hAnsi="宋体"/>
                <w:sz w:val="21"/>
                <w:szCs w:val="21"/>
              </w:rPr>
              <w:t>防盗门，</w:t>
            </w:r>
            <w:r>
              <w:rPr>
                <w:rFonts w:hint="eastAsia" w:ascii="宋体" w:hAnsi="宋体"/>
                <w:sz w:val="21"/>
                <w:szCs w:val="21"/>
                <w:lang w:eastAsia="zh-CN"/>
              </w:rPr>
              <w:t>室内尚未装修，属于毛坯房</w:t>
            </w:r>
            <w:r>
              <w:rPr>
                <w:rFonts w:hint="eastAsia" w:ascii="宋体" w:hAnsi="宋体"/>
                <w:sz w:val="21"/>
                <w:szCs w:val="21"/>
              </w:rPr>
              <w:t>；</w:t>
            </w:r>
            <w:r>
              <w:rPr>
                <w:rFonts w:hint="eastAsia" w:ascii="宋体" w:hAnsi="宋体"/>
                <w:sz w:val="21"/>
                <w:szCs w:val="21"/>
                <w:lang w:eastAsia="zh-CN"/>
              </w:rPr>
              <w:t>六梯十二户，</w:t>
            </w:r>
            <w:r>
              <w:rPr>
                <w:rFonts w:hint="eastAsia" w:ascii="宋体" w:hAnsi="宋体"/>
                <w:sz w:val="21"/>
                <w:szCs w:val="21"/>
              </w:rPr>
              <w:t>外墙面为</w:t>
            </w:r>
            <w:r>
              <w:rPr>
                <w:rFonts w:hint="eastAsia" w:ascii="宋体" w:hAnsi="宋体"/>
                <w:sz w:val="21"/>
                <w:szCs w:val="21"/>
                <w:lang w:eastAsia="zh-CN"/>
              </w:rPr>
              <w:t>瓷砖贴面</w:t>
            </w:r>
            <w:r>
              <w:rPr>
                <w:rFonts w:hint="eastAsia" w:ascii="宋体" w:hAnsi="宋体"/>
                <w:sz w:val="21"/>
                <w:szCs w:val="21"/>
              </w:rPr>
              <w:t>、铝合金窗，外观较好</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28" w:type="dxa"/>
            <w:gridSpan w:val="2"/>
            <w:tcBorders>
              <w:left w:val="single" w:color="auto" w:sz="12" w:space="0"/>
            </w:tcBorders>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新旧程度</w:t>
            </w:r>
          </w:p>
        </w:tc>
        <w:tc>
          <w:tcPr>
            <w:tcW w:w="8092" w:type="dxa"/>
            <w:gridSpan w:val="3"/>
            <w:tcBorders>
              <w:right w:val="single" w:color="auto" w:sz="12" w:space="0"/>
            </w:tcBorders>
            <w:shd w:val="clear" w:color="auto" w:fill="auto"/>
            <w:vAlign w:val="center"/>
          </w:tcPr>
          <w:p>
            <w:pPr>
              <w:snapToGrid w:val="0"/>
              <w:spacing w:line="240" w:lineRule="exact"/>
              <w:ind w:firstLine="0" w:firstLineChars="0"/>
              <w:rPr>
                <w:rFonts w:hint="eastAsia" w:ascii="宋体" w:hAnsi="宋体" w:eastAsia="宋体"/>
                <w:sz w:val="21"/>
                <w:szCs w:val="21"/>
                <w:lang w:eastAsia="zh-CN"/>
              </w:rPr>
            </w:pPr>
            <w:r>
              <w:rPr>
                <w:rFonts w:hint="eastAsia" w:ascii="宋体" w:hAnsi="宋体"/>
                <w:sz w:val="21"/>
                <w:szCs w:val="21"/>
              </w:rPr>
              <w:t>建成于</w:t>
            </w:r>
            <w:r>
              <w:rPr>
                <w:rFonts w:ascii="宋体" w:hAnsi="宋体"/>
                <w:sz w:val="21"/>
                <w:szCs w:val="21"/>
              </w:rPr>
              <w:fldChar w:fldCharType="begin" w:fldLock="1"/>
            </w:r>
            <w:r>
              <w:rPr>
                <w:rFonts w:ascii="宋体" w:hAnsi="宋体"/>
                <w:sz w:val="21"/>
                <w:szCs w:val="21"/>
              </w:rPr>
              <w:instrText xml:space="preserve"> </w:instrText>
            </w:r>
            <w:r>
              <w:rPr>
                <w:rFonts w:hint="eastAsia" w:ascii="宋体" w:hAnsi="宋体"/>
                <w:sz w:val="21"/>
                <w:szCs w:val="21"/>
              </w:rPr>
              <w:instrText xml:space="preserve">REF 建成年份 \h</w:instrText>
            </w:r>
            <w:r>
              <w:rPr>
                <w:rFonts w:ascii="宋体" w:hAnsi="宋体"/>
                <w:sz w:val="21"/>
                <w:szCs w:val="21"/>
              </w:rPr>
              <w:instrText xml:space="preserve">  \* MERGEFORMAT </w:instrText>
            </w:r>
            <w:r>
              <w:rPr>
                <w:rFonts w:ascii="宋体" w:hAnsi="宋体"/>
                <w:sz w:val="21"/>
                <w:szCs w:val="21"/>
              </w:rPr>
              <w:fldChar w:fldCharType="separate"/>
            </w:r>
            <w:r>
              <w:rPr>
                <w:rFonts w:hint="eastAsia" w:ascii="宋体" w:hAnsi="宋体"/>
                <w:sz w:val="21"/>
                <w:szCs w:val="21"/>
                <w:lang w:val="en-US" w:eastAsia="zh-CN"/>
              </w:rPr>
              <w:t>2019年</w:t>
            </w:r>
            <w:r>
              <w:rPr>
                <w:rFonts w:ascii="宋体" w:hAnsi="宋体"/>
                <w:sz w:val="21"/>
                <w:szCs w:val="21"/>
              </w:rPr>
              <w:fldChar w:fldCharType="end"/>
            </w:r>
            <w:r>
              <w:rPr>
                <w:rFonts w:hint="eastAsia" w:ascii="宋体" w:hAnsi="宋体"/>
                <w:sz w:val="21"/>
                <w:szCs w:val="21"/>
              </w:rPr>
              <w:t>，</w:t>
            </w:r>
            <w:r>
              <w:rPr>
                <w:rFonts w:hint="eastAsia" w:ascii="宋体" w:hAnsi="宋体"/>
                <w:sz w:val="21"/>
                <w:szCs w:val="21"/>
                <w:lang w:eastAsia="zh-CN"/>
              </w:rPr>
              <w:t>成新度较高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28" w:type="dxa"/>
            <w:gridSpan w:val="2"/>
            <w:tcBorders>
              <w:left w:val="single" w:color="auto" w:sz="12" w:space="0"/>
            </w:tcBorders>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维护状况</w:t>
            </w:r>
          </w:p>
        </w:tc>
        <w:tc>
          <w:tcPr>
            <w:tcW w:w="8092" w:type="dxa"/>
            <w:gridSpan w:val="3"/>
            <w:tcBorders>
              <w:right w:val="single" w:color="auto" w:sz="12" w:space="0"/>
            </w:tcBorders>
            <w:shd w:val="clear" w:color="auto" w:fill="auto"/>
            <w:vAlign w:val="center"/>
          </w:tcPr>
          <w:p>
            <w:pPr>
              <w:snapToGrid w:val="0"/>
              <w:spacing w:line="240" w:lineRule="exact"/>
              <w:ind w:firstLine="0" w:firstLineChars="0"/>
              <w:rPr>
                <w:rFonts w:ascii="宋体" w:hAnsi="宋体"/>
                <w:sz w:val="21"/>
                <w:szCs w:val="21"/>
              </w:rPr>
            </w:pPr>
            <w:r>
              <w:rPr>
                <w:rFonts w:hint="eastAsia" w:ascii="宋体" w:hAnsi="宋体"/>
                <w:sz w:val="21"/>
                <w:szCs w:val="21"/>
              </w:rPr>
              <w:t>目前</w:t>
            </w:r>
            <w:r>
              <w:rPr>
                <w:rFonts w:hint="eastAsia" w:ascii="宋体" w:hAnsi="宋体"/>
                <w:sz w:val="21"/>
                <w:szCs w:val="21"/>
                <w:lang w:eastAsia="zh-CN"/>
              </w:rPr>
              <w:t>空置</w:t>
            </w:r>
            <w:r>
              <w:rPr>
                <w:rFonts w:hint="eastAsia" w:ascii="宋体" w:hAnsi="宋体"/>
                <w:sz w:val="21"/>
                <w:szCs w:val="21"/>
              </w:rPr>
              <w:t>，</w:t>
            </w:r>
            <w:bookmarkStart w:id="9" w:name="估价对象_使用维护状况"/>
            <w:r>
              <w:rPr>
                <w:rFonts w:hint="eastAsia" w:ascii="宋体" w:hAnsi="宋体"/>
                <w:sz w:val="21"/>
                <w:szCs w:val="21"/>
              </w:rPr>
              <w:t>维护状况较好</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628" w:type="dxa"/>
            <w:gridSpan w:val="2"/>
            <w:tcBorders>
              <w:left w:val="single" w:color="auto" w:sz="12" w:space="0"/>
            </w:tcBorders>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层高</w:t>
            </w:r>
          </w:p>
        </w:tc>
        <w:tc>
          <w:tcPr>
            <w:tcW w:w="3550" w:type="dxa"/>
            <w:shd w:val="clear" w:color="auto" w:fill="auto"/>
            <w:vAlign w:val="center"/>
          </w:tcPr>
          <w:p>
            <w:pPr>
              <w:snapToGrid w:val="0"/>
              <w:spacing w:line="240" w:lineRule="exact"/>
              <w:ind w:firstLine="0" w:firstLineChars="0"/>
              <w:rPr>
                <w:rFonts w:ascii="宋体" w:hAnsi="宋体"/>
                <w:caps/>
                <w:sz w:val="21"/>
                <w:szCs w:val="21"/>
              </w:rPr>
            </w:pPr>
            <w:r>
              <w:rPr>
                <w:rFonts w:hint="eastAsia" w:ascii="宋体" w:hAnsi="宋体"/>
                <w:sz w:val="21"/>
                <w:szCs w:val="21"/>
              </w:rPr>
              <w:t>住宅</w:t>
            </w:r>
            <w:bookmarkStart w:id="10" w:name="估价对象_层高1"/>
            <w:r>
              <w:rPr>
                <w:rFonts w:hint="eastAsia" w:ascii="宋体" w:hAnsi="宋体"/>
                <w:sz w:val="21"/>
                <w:szCs w:val="21"/>
              </w:rPr>
              <w:t>2.8米</w:t>
            </w:r>
            <w:bookmarkEnd w:id="10"/>
          </w:p>
        </w:tc>
        <w:tc>
          <w:tcPr>
            <w:tcW w:w="1174" w:type="dxa"/>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户型</w:t>
            </w:r>
          </w:p>
        </w:tc>
        <w:tc>
          <w:tcPr>
            <w:tcW w:w="3368" w:type="dxa"/>
            <w:tcBorders>
              <w:right w:val="single" w:color="auto" w:sz="12" w:space="0"/>
            </w:tcBorders>
            <w:shd w:val="clear" w:color="auto" w:fill="auto"/>
            <w:vAlign w:val="center"/>
          </w:tcPr>
          <w:p>
            <w:pPr>
              <w:snapToGrid w:val="0"/>
              <w:spacing w:line="240" w:lineRule="exact"/>
              <w:ind w:firstLine="0" w:firstLineChars="0"/>
              <w:rPr>
                <w:rFonts w:hint="eastAsia" w:ascii="宋体" w:hAnsi="宋体" w:eastAsia="宋体"/>
                <w:sz w:val="21"/>
                <w:szCs w:val="21"/>
                <w:lang w:eastAsia="zh-CN"/>
              </w:rPr>
            </w:pPr>
            <w:r>
              <w:rPr>
                <w:rFonts w:hint="eastAsia" w:ascii="宋体" w:hAnsi="宋体"/>
                <w:sz w:val="21"/>
                <w:szCs w:val="21"/>
                <w:lang w:eastAsia="zh-CN"/>
              </w:rPr>
              <w:t>复式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628" w:type="dxa"/>
            <w:gridSpan w:val="2"/>
            <w:tcBorders>
              <w:left w:val="single" w:color="auto" w:sz="12" w:space="0"/>
            </w:tcBorders>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楼幢位置</w:t>
            </w:r>
          </w:p>
        </w:tc>
        <w:tc>
          <w:tcPr>
            <w:tcW w:w="8092" w:type="dxa"/>
            <w:gridSpan w:val="3"/>
            <w:tcBorders>
              <w:right w:val="single" w:color="auto" w:sz="12" w:space="0"/>
            </w:tcBorders>
            <w:shd w:val="clear" w:color="auto" w:fill="auto"/>
            <w:vAlign w:val="center"/>
          </w:tcPr>
          <w:p>
            <w:pPr>
              <w:snapToGrid w:val="0"/>
              <w:spacing w:line="240" w:lineRule="exact"/>
              <w:ind w:firstLine="0" w:firstLineChars="0"/>
              <w:rPr>
                <w:rFonts w:ascii="宋体" w:hAnsi="宋体"/>
                <w:sz w:val="21"/>
                <w:szCs w:val="21"/>
              </w:rPr>
            </w:pPr>
            <w:bookmarkStart w:id="11" w:name="估价对象_楼幢位置"/>
            <w:r>
              <w:rPr>
                <w:rFonts w:hint="eastAsia" w:ascii="宋体" w:hAnsi="宋体"/>
                <w:sz w:val="21"/>
                <w:szCs w:val="21"/>
              </w:rPr>
              <w:t>位于沿街位置</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28" w:type="dxa"/>
            <w:gridSpan w:val="2"/>
            <w:tcBorders>
              <w:left w:val="single" w:color="auto" w:sz="12" w:space="0"/>
            </w:tcBorders>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朝向及套位置</w:t>
            </w:r>
          </w:p>
        </w:tc>
        <w:tc>
          <w:tcPr>
            <w:tcW w:w="8092" w:type="dxa"/>
            <w:gridSpan w:val="3"/>
            <w:tcBorders>
              <w:right w:val="single" w:color="auto" w:sz="12" w:space="0"/>
            </w:tcBorders>
            <w:shd w:val="clear" w:color="auto" w:fill="auto"/>
            <w:vAlign w:val="center"/>
          </w:tcPr>
          <w:p>
            <w:pPr>
              <w:snapToGrid w:val="0"/>
              <w:spacing w:line="240" w:lineRule="exact"/>
              <w:ind w:firstLine="0" w:firstLineChars="0"/>
              <w:rPr>
                <w:rFonts w:hint="eastAsia" w:ascii="宋体" w:hAnsi="宋体" w:eastAsia="宋体"/>
                <w:sz w:val="21"/>
                <w:szCs w:val="21"/>
                <w:lang w:eastAsia="zh-CN"/>
              </w:rPr>
            </w:pPr>
            <w:r>
              <w:rPr>
                <w:rFonts w:hint="eastAsia" w:ascii="宋体" w:hAnsi="宋体"/>
                <w:sz w:val="21"/>
                <w:szCs w:val="21"/>
                <w:lang w:eastAsia="zh-CN"/>
              </w:rPr>
              <w:t>楼幢</w:t>
            </w:r>
            <w:r>
              <w:rPr>
                <w:rFonts w:hint="eastAsia" w:ascii="宋体" w:hAnsi="宋体"/>
                <w:sz w:val="21"/>
                <w:szCs w:val="21"/>
              </w:rPr>
              <w:t>南北朝向，住宅</w:t>
            </w:r>
            <w:r>
              <w:rPr>
                <w:rFonts w:ascii="宋体" w:hAnsi="宋体"/>
                <w:sz w:val="21"/>
                <w:szCs w:val="21"/>
              </w:rPr>
              <w:t>位于</w:t>
            </w:r>
            <w:bookmarkStart w:id="12" w:name="估价对象_朝向_套位置"/>
            <w:r>
              <w:rPr>
                <w:rFonts w:ascii="宋体" w:hAnsi="宋体"/>
                <w:sz w:val="21"/>
                <w:szCs w:val="21"/>
              </w:rPr>
              <w:t>所处</w:t>
            </w:r>
            <w:r>
              <w:rPr>
                <w:rFonts w:hint="eastAsia" w:ascii="宋体" w:hAnsi="宋体"/>
                <w:sz w:val="21"/>
                <w:szCs w:val="21"/>
              </w:rPr>
              <w:t>楼层的</w:t>
            </w:r>
            <w:bookmarkEnd w:id="12"/>
            <w:r>
              <w:rPr>
                <w:rFonts w:hint="eastAsia" w:ascii="宋体" w:hAnsi="宋体"/>
                <w:sz w:val="21"/>
                <w:szCs w:val="21"/>
                <w:lang w:eastAsia="zh-CN"/>
              </w:rPr>
              <w:t>中间位置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28" w:type="dxa"/>
            <w:gridSpan w:val="2"/>
            <w:tcBorders>
              <w:left w:val="single" w:color="auto" w:sz="12" w:space="0"/>
              <w:bottom w:val="single" w:color="auto" w:sz="12" w:space="0"/>
            </w:tcBorders>
            <w:shd w:val="clear" w:color="auto" w:fill="auto"/>
            <w:vAlign w:val="center"/>
          </w:tcPr>
          <w:p>
            <w:pPr>
              <w:snapToGrid w:val="0"/>
              <w:spacing w:line="240" w:lineRule="exact"/>
              <w:ind w:firstLine="0" w:firstLineChars="0"/>
              <w:jc w:val="center"/>
              <w:rPr>
                <w:rFonts w:ascii="宋体" w:hAnsi="宋体"/>
                <w:sz w:val="21"/>
                <w:szCs w:val="21"/>
              </w:rPr>
            </w:pPr>
            <w:r>
              <w:rPr>
                <w:rFonts w:hint="eastAsia" w:ascii="宋体" w:hAnsi="宋体"/>
                <w:sz w:val="21"/>
                <w:szCs w:val="21"/>
              </w:rPr>
              <w:t>楼层</w:t>
            </w:r>
          </w:p>
        </w:tc>
        <w:tc>
          <w:tcPr>
            <w:tcW w:w="8092" w:type="dxa"/>
            <w:gridSpan w:val="3"/>
            <w:tcBorders>
              <w:bottom w:val="single" w:color="auto" w:sz="12" w:space="0"/>
              <w:right w:val="single" w:color="auto" w:sz="12" w:space="0"/>
            </w:tcBorders>
            <w:shd w:val="clear" w:color="auto" w:fill="auto"/>
            <w:vAlign w:val="center"/>
          </w:tcPr>
          <w:p>
            <w:pPr>
              <w:snapToGrid w:val="0"/>
              <w:spacing w:line="240" w:lineRule="exact"/>
              <w:ind w:firstLine="0" w:firstLineChars="0"/>
              <w:rPr>
                <w:rFonts w:hint="eastAsia" w:ascii="宋体" w:hAnsi="宋体" w:eastAsia="宋体"/>
                <w:sz w:val="21"/>
                <w:szCs w:val="21"/>
                <w:lang w:eastAsia="zh-CN"/>
              </w:rPr>
            </w:pPr>
            <w:r>
              <w:rPr>
                <w:rFonts w:hint="eastAsia" w:ascii="宋体" w:hAnsi="宋体"/>
                <w:sz w:val="21"/>
                <w:szCs w:val="21"/>
              </w:rPr>
              <w:t>总层数为</w:t>
            </w:r>
            <w:r>
              <w:rPr>
                <w:rFonts w:hint="eastAsia" w:ascii="宋体" w:hAnsi="宋体"/>
                <w:sz w:val="21"/>
                <w:szCs w:val="21"/>
                <w:lang w:val="en-US" w:eastAsia="zh-CN"/>
              </w:rPr>
              <w:t>43层</w:t>
            </w:r>
            <w:r>
              <w:rPr>
                <w:rFonts w:hint="eastAsia" w:ascii="宋体" w:hAnsi="宋体"/>
                <w:sz w:val="21"/>
                <w:szCs w:val="21"/>
              </w:rPr>
              <w:t>，</w:t>
            </w:r>
            <w:r>
              <w:rPr>
                <w:rFonts w:hint="eastAsia" w:ascii="宋体" w:hAnsi="宋体"/>
                <w:sz w:val="21"/>
                <w:szCs w:val="21"/>
                <w:lang w:eastAsia="zh-CN"/>
              </w:rPr>
              <w:t>待估</w:t>
            </w:r>
            <w:r>
              <w:rPr>
                <w:rFonts w:hint="eastAsia" w:ascii="宋体" w:hAnsi="宋体"/>
                <w:sz w:val="21"/>
                <w:szCs w:val="21"/>
              </w:rPr>
              <w:t>住宅位于</w:t>
            </w:r>
            <w:r>
              <w:rPr>
                <w:rFonts w:hint="eastAsia" w:ascii="宋体" w:hAnsi="宋体"/>
                <w:sz w:val="21"/>
                <w:szCs w:val="21"/>
                <w:lang w:eastAsia="zh-CN"/>
              </w:rPr>
              <w:t>第6-7层</w:t>
            </w:r>
          </w:p>
        </w:tc>
      </w:tr>
    </w:tbl>
    <w:p>
      <w:pPr>
        <w:pStyle w:val="3"/>
        <w:keepLines w:val="0"/>
        <w:pageBreakBefore w:val="0"/>
        <w:widowControl w:val="0"/>
        <w:kinsoku/>
        <w:wordWrap/>
        <w:overflowPunct/>
        <w:topLinePunct w:val="0"/>
        <w:autoSpaceDE/>
        <w:autoSpaceDN/>
        <w:bidi w:val="0"/>
        <w:adjustRightInd/>
        <w:spacing w:line="560" w:lineRule="exact"/>
        <w:textAlignment w:val="auto"/>
        <w:rPr>
          <w:color w:val="auto"/>
        </w:rPr>
      </w:pPr>
      <w:r>
        <w:rPr>
          <w:rFonts w:hint="eastAsia"/>
          <w:color w:val="auto"/>
        </w:rPr>
        <w:t>五、价值时点</w:t>
      </w:r>
      <w:bookmarkEnd w:id="7"/>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价值时点为</w:t>
      </w:r>
      <w:r>
        <w:rPr>
          <w:rFonts w:hint="eastAsia" w:ascii="宋体" w:hAnsi="宋体"/>
          <w:snapToGrid w:val="0"/>
          <w:kern w:val="0"/>
          <w:szCs w:val="24"/>
          <w:lang w:eastAsia="zh-CN"/>
        </w:rPr>
        <w:t>2022年6月6日</w:t>
      </w:r>
      <w:r>
        <w:rPr>
          <w:rFonts w:hint="eastAsia" w:ascii="宋体" w:hAnsi="宋体"/>
          <w:snapToGrid w:val="0"/>
          <w:kern w:val="0"/>
          <w:szCs w:val="24"/>
        </w:rPr>
        <w:t>[</w:t>
      </w:r>
      <w:r>
        <w:rPr>
          <w:rFonts w:hint="eastAsia" w:ascii="宋体" w:hAnsi="宋体"/>
          <w:sz w:val="24"/>
          <w:szCs w:val="24"/>
        </w:rPr>
        <w:t>根据本次估价目的，确定为实地查勘之日</w:t>
      </w:r>
      <w:r>
        <w:rPr>
          <w:rFonts w:hint="eastAsia" w:ascii="宋体" w:hAnsi="宋体"/>
          <w:snapToGrid w:val="0"/>
          <w:kern w:val="0"/>
          <w:szCs w:val="24"/>
        </w:rPr>
        <w:t>]。</w:t>
      </w:r>
    </w:p>
    <w:p>
      <w:pPr>
        <w:pStyle w:val="3"/>
        <w:keepLines w:val="0"/>
        <w:pageBreakBefore w:val="0"/>
        <w:widowControl w:val="0"/>
        <w:kinsoku/>
        <w:wordWrap/>
        <w:overflowPunct/>
        <w:topLinePunct w:val="0"/>
        <w:autoSpaceDE/>
        <w:autoSpaceDN/>
        <w:bidi w:val="0"/>
        <w:adjustRightInd/>
        <w:spacing w:line="560" w:lineRule="exact"/>
        <w:textAlignment w:val="auto"/>
        <w:rPr>
          <w:color w:val="auto"/>
        </w:rPr>
      </w:pPr>
      <w:bookmarkStart w:id="13" w:name="_Toc452718583"/>
      <w:r>
        <w:rPr>
          <w:rFonts w:hint="eastAsia"/>
          <w:color w:val="auto"/>
        </w:rPr>
        <w:t>六、价值类型</w:t>
      </w:r>
      <w:bookmarkEnd w:id="13"/>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1</w:t>
      </w:r>
      <w:r>
        <w:rPr>
          <w:rFonts w:hint="eastAsia" w:ascii="宋体" w:hAnsi="宋体"/>
        </w:rPr>
        <w:t>．</w:t>
      </w:r>
      <w:r>
        <w:rPr>
          <w:rFonts w:hint="eastAsia" w:ascii="宋体" w:hAnsi="宋体"/>
          <w:snapToGrid w:val="0"/>
          <w:kern w:val="0"/>
          <w:szCs w:val="24"/>
        </w:rPr>
        <w:t>价值</w:t>
      </w:r>
      <w:r>
        <w:rPr>
          <w:rFonts w:ascii="宋体" w:hAnsi="宋体"/>
          <w:snapToGrid w:val="0"/>
          <w:kern w:val="0"/>
          <w:szCs w:val="24"/>
        </w:rPr>
        <w:t>类型</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本</w:t>
      </w:r>
      <w:r>
        <w:rPr>
          <w:rFonts w:ascii="宋体" w:hAnsi="宋体"/>
          <w:snapToGrid w:val="0"/>
          <w:kern w:val="0"/>
          <w:szCs w:val="24"/>
        </w:rPr>
        <w:t>次估价</w:t>
      </w:r>
      <w:r>
        <w:rPr>
          <w:rFonts w:hint="eastAsia" w:ascii="宋体" w:hAnsi="宋体"/>
          <w:snapToGrid w:val="0"/>
          <w:kern w:val="0"/>
          <w:szCs w:val="24"/>
        </w:rPr>
        <w:t>价值</w:t>
      </w:r>
      <w:r>
        <w:rPr>
          <w:rFonts w:ascii="宋体" w:hAnsi="宋体"/>
          <w:snapToGrid w:val="0"/>
          <w:kern w:val="0"/>
          <w:szCs w:val="24"/>
        </w:rPr>
        <w:t>类型为</w:t>
      </w:r>
      <w:r>
        <w:rPr>
          <w:rFonts w:hint="eastAsia" w:ascii="宋体" w:hAnsi="宋体"/>
          <w:snapToGrid w:val="0"/>
          <w:kern w:val="0"/>
          <w:szCs w:val="24"/>
        </w:rPr>
        <w:t>市场价值</w:t>
      </w:r>
      <w:r>
        <w:rPr>
          <w:rFonts w:ascii="宋体" w:hAnsi="宋体"/>
          <w:snapToGrid w:val="0"/>
          <w:kern w:val="0"/>
          <w:szCs w:val="24"/>
        </w:rPr>
        <w:t>。</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snapToGrid w:val="0"/>
          <w:kern w:val="0"/>
          <w:szCs w:val="24"/>
        </w:rPr>
        <w:t>2</w:t>
      </w:r>
      <w:r>
        <w:rPr>
          <w:rFonts w:hint="eastAsia" w:ascii="宋体" w:hAnsi="宋体"/>
        </w:rPr>
        <w:t>．价值</w:t>
      </w:r>
      <w:r>
        <w:rPr>
          <w:rFonts w:ascii="宋体" w:hAnsi="宋体"/>
        </w:rPr>
        <w:t>定义</w:t>
      </w:r>
    </w:p>
    <w:p>
      <w:pPr>
        <w:keepLines w:val="0"/>
        <w:pageBreakBefore w:val="0"/>
        <w:widowControl w:val="0"/>
        <w:tabs>
          <w:tab w:val="left" w:pos="720"/>
        </w:tabs>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市场价值，是估价对象经适当营销后，由熟悉情况、谨慎行事且不受强迫的交易双方，以公平交易方式在价值时点自愿进行交易的金额。</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ascii="宋体" w:hAnsi="宋体"/>
          <w:snapToGrid w:val="0"/>
          <w:kern w:val="0"/>
          <w:szCs w:val="24"/>
        </w:rPr>
        <w:t>3</w:t>
      </w:r>
      <w:r>
        <w:rPr>
          <w:rFonts w:hint="eastAsia" w:ascii="宋体" w:hAnsi="宋体"/>
        </w:rPr>
        <w:t>．价值内涵</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价值内涵是估价对象在价值时点满足本次估价假设和限制条件下包括建筑物、相应分摊的土地使用权的价值</w:t>
      </w:r>
      <w:r>
        <w:rPr>
          <w:rFonts w:ascii="宋体" w:hAnsi="宋体"/>
        </w:rPr>
        <w:t>及公共配套设施</w:t>
      </w:r>
      <w:r>
        <w:rPr>
          <w:rFonts w:hint="eastAsia" w:ascii="宋体" w:hAnsi="宋体"/>
        </w:rPr>
        <w:t>，不含</w:t>
      </w:r>
      <w:r>
        <w:rPr>
          <w:rFonts w:hint="eastAsia" w:ascii="宋体" w:hAnsi="宋体"/>
          <w:szCs w:val="21"/>
        </w:rPr>
        <w:t>室内动产</w:t>
      </w:r>
      <w:r>
        <w:rPr>
          <w:rFonts w:hint="eastAsia" w:ascii="宋体" w:hAnsi="宋体"/>
          <w:szCs w:val="24"/>
        </w:rPr>
        <w:t>、债权</w:t>
      </w:r>
      <w:r>
        <w:rPr>
          <w:rFonts w:ascii="宋体" w:hAnsi="宋体"/>
          <w:szCs w:val="24"/>
        </w:rPr>
        <w:t>债务</w:t>
      </w:r>
      <w:r>
        <w:rPr>
          <w:rFonts w:hint="eastAsia" w:ascii="宋体" w:hAnsi="宋体"/>
          <w:szCs w:val="24"/>
        </w:rPr>
        <w:t>等其他财产或权益</w:t>
      </w:r>
      <w:r>
        <w:rPr>
          <w:rFonts w:hint="eastAsia" w:ascii="宋体" w:hAnsi="宋体"/>
        </w:rPr>
        <w:t>等；付款方式是一次性付清房价款（包括首付款及按揭贷款）；房屋面积内涵是建筑面积；开发程度为现房，达到“五通”。</w:t>
      </w:r>
    </w:p>
    <w:p>
      <w:pPr>
        <w:pStyle w:val="3"/>
        <w:keepLines w:val="0"/>
        <w:pageBreakBefore w:val="0"/>
        <w:widowControl w:val="0"/>
        <w:kinsoku/>
        <w:wordWrap/>
        <w:overflowPunct/>
        <w:topLinePunct w:val="0"/>
        <w:autoSpaceDE/>
        <w:autoSpaceDN/>
        <w:bidi w:val="0"/>
        <w:adjustRightInd/>
        <w:spacing w:line="560" w:lineRule="exact"/>
        <w:textAlignment w:val="auto"/>
        <w:rPr>
          <w:color w:val="auto"/>
        </w:rPr>
      </w:pPr>
      <w:bookmarkStart w:id="14" w:name="_Toc452718584"/>
      <w:r>
        <w:rPr>
          <w:rFonts w:hint="eastAsia"/>
          <w:color w:val="auto"/>
        </w:rPr>
        <w:t>七、估价原则</w:t>
      </w:r>
      <w:bookmarkEnd w:id="14"/>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本次估价遵循以下原则: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1．独立、客观、公正原则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要求站在中立的立场上，实事求是、公平正直地评估出对各方估价利害关系人均是公平合理的价值或价格的原则。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2．合法原则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要求估价结果是在依法判定的估价对象状况下的价值或价格的原则。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3．价值时点原则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要求估价结果是在根据估价目的确定的某一特定时间的价值或价格的原则。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4．替代原则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要求估价结果与估价对象的类似房地产在同等条件下的价值或价格偏差在合理范围内的原则。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5．最高最佳利用原则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要求估价结果是在估价对象最高最佳利用（房地产在法律上允许、技术上可能、财务上可行并使价值最大的合理、可能的利用，包括最佳的用途、规模、档次等）状况下的价值或价格的原则。</w:t>
      </w:r>
    </w:p>
    <w:p>
      <w:pPr>
        <w:pStyle w:val="3"/>
        <w:keepLines w:val="0"/>
        <w:pageBreakBefore w:val="0"/>
        <w:widowControl w:val="0"/>
        <w:kinsoku/>
        <w:wordWrap/>
        <w:overflowPunct/>
        <w:topLinePunct w:val="0"/>
        <w:autoSpaceDE/>
        <w:autoSpaceDN/>
        <w:bidi w:val="0"/>
        <w:adjustRightInd/>
        <w:spacing w:line="560" w:lineRule="exact"/>
        <w:textAlignment w:val="auto"/>
        <w:rPr>
          <w:color w:val="auto"/>
        </w:rPr>
      </w:pPr>
      <w:bookmarkStart w:id="15" w:name="_Toc452718585"/>
      <w:r>
        <w:rPr>
          <w:rFonts w:hint="eastAsia"/>
          <w:color w:val="auto"/>
        </w:rPr>
        <w:t>八、估价依据</w:t>
      </w:r>
      <w:bookmarkEnd w:id="15"/>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w:t>
      </w:r>
      <w:r>
        <w:rPr>
          <w:rFonts w:ascii="宋体" w:hAnsi="宋体"/>
          <w:snapToGrid w:val="0"/>
          <w:kern w:val="0"/>
          <w:szCs w:val="24"/>
        </w:rPr>
        <w:t>一）</w:t>
      </w:r>
      <w:r>
        <w:rPr>
          <w:rFonts w:hint="eastAsia" w:ascii="宋体" w:hAnsi="宋体"/>
        </w:rPr>
        <w:t>国家、地方</w:t>
      </w:r>
      <w:r>
        <w:rPr>
          <w:rFonts w:hint="eastAsia" w:ascii="宋体" w:hAnsi="宋体"/>
          <w:snapToGrid w:val="0"/>
          <w:kern w:val="0"/>
          <w:szCs w:val="24"/>
        </w:rPr>
        <w:t>有关法律、法规和规定文件</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1．《中华人民共和国物权法》（</w:t>
      </w:r>
      <w:r>
        <w:rPr>
          <w:rFonts w:ascii="宋体" w:hAnsi="宋体"/>
          <w:snapToGrid w:val="0"/>
          <w:kern w:val="0"/>
          <w:szCs w:val="24"/>
        </w:rPr>
        <w:t>中华人民共和国</w:t>
      </w:r>
      <w:r>
        <w:rPr>
          <w:rFonts w:hint="eastAsia" w:ascii="宋体" w:hAnsi="宋体"/>
          <w:snapToGrid w:val="0"/>
          <w:kern w:val="0"/>
          <w:szCs w:val="24"/>
        </w:rPr>
        <w:t>主席令第六十二号，2007年10月1日起施行）；</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2．《中华人民共和国土地管理法》（</w:t>
      </w:r>
      <w:r>
        <w:rPr>
          <w:rFonts w:ascii="宋体" w:hAnsi="宋体"/>
          <w:snapToGrid w:val="0"/>
          <w:kern w:val="0"/>
          <w:szCs w:val="24"/>
        </w:rPr>
        <w:t>中华人民共和国</w:t>
      </w:r>
      <w:r>
        <w:rPr>
          <w:rFonts w:hint="eastAsia" w:ascii="宋体" w:hAnsi="宋体"/>
          <w:snapToGrid w:val="0"/>
          <w:kern w:val="0"/>
          <w:szCs w:val="24"/>
        </w:rPr>
        <w:t>主席令第二十八号，2004年8月28日修订施行）；</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3．《中华人民共和国城市房地产管理法》（中华人民共和国主席令第七十二号，2007年8月30日修订施行，</w:t>
      </w:r>
      <w:r>
        <w:rPr>
          <w:rFonts w:ascii="宋体" w:hAnsi="宋体"/>
          <w:snapToGrid w:val="0"/>
          <w:kern w:val="0"/>
          <w:szCs w:val="24"/>
        </w:rPr>
        <w:t>中华人民共和国主席令第</w:t>
      </w:r>
      <w:r>
        <w:rPr>
          <w:rFonts w:hint="eastAsia" w:ascii="宋体" w:hAnsi="宋体"/>
          <w:snapToGrid w:val="0"/>
          <w:kern w:val="0"/>
          <w:szCs w:val="24"/>
        </w:rPr>
        <w:t>十八</w:t>
      </w:r>
      <w:r>
        <w:rPr>
          <w:rFonts w:ascii="宋体" w:hAnsi="宋体"/>
          <w:snapToGrid w:val="0"/>
          <w:kern w:val="0"/>
          <w:szCs w:val="24"/>
        </w:rPr>
        <w:t>号</w:t>
      </w:r>
      <w:r>
        <w:rPr>
          <w:rFonts w:hint="eastAsia" w:ascii="宋体" w:hAnsi="宋体"/>
          <w:snapToGrid w:val="0"/>
          <w:kern w:val="0"/>
          <w:szCs w:val="24"/>
        </w:rPr>
        <w:t>，2009年8月27日第十一届全国人民代表大会常务委员会第十次会议《关于修改部分法律的决定》第二次修正）；</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4．《中华人民共和国城乡规划法》（</w:t>
      </w:r>
      <w:r>
        <w:rPr>
          <w:rFonts w:ascii="宋体" w:hAnsi="宋体"/>
          <w:snapToGrid w:val="0"/>
          <w:kern w:val="0"/>
          <w:szCs w:val="24"/>
        </w:rPr>
        <w:t>中华人民共和国</w:t>
      </w:r>
      <w:r>
        <w:rPr>
          <w:rFonts w:hint="eastAsia" w:ascii="宋体" w:hAnsi="宋体"/>
          <w:snapToGrid w:val="0"/>
          <w:kern w:val="0"/>
          <w:szCs w:val="24"/>
        </w:rPr>
        <w:t>主席令第七十四号，2008年1月1日修订施行,</w:t>
      </w:r>
      <w:r>
        <w:rPr>
          <w:rFonts w:ascii="宋体" w:hAnsi="宋体"/>
          <w:snapToGrid w:val="0"/>
          <w:kern w:val="0"/>
          <w:szCs w:val="24"/>
        </w:rPr>
        <w:t xml:space="preserve"> 2015年4月24日第十二届全国人民代表大会常务委员会第十四次会议《全国人民代表大会常务委员会关于修改&lt;中华人民共和国港口法&gt;等七部法律的决定》</w:t>
      </w:r>
      <w:r>
        <w:rPr>
          <w:rFonts w:hint="eastAsia" w:ascii="宋体" w:hAnsi="宋体"/>
          <w:snapToGrid w:val="0"/>
          <w:kern w:val="0"/>
          <w:szCs w:val="24"/>
        </w:rPr>
        <w:t>第二次修正）；</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5. 《中华人民共和国资产评估法》（中华人民共和国主席令第四十六号，2016年12月1日施行）；</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6．《</w:t>
      </w:r>
      <w:r>
        <w:rPr>
          <w:rFonts w:ascii="宋体" w:hAnsi="宋体"/>
          <w:snapToGrid w:val="0"/>
          <w:kern w:val="0"/>
          <w:szCs w:val="24"/>
        </w:rPr>
        <w:t>中华人民共和国土地管理法实施条例》</w:t>
      </w:r>
      <w:r>
        <w:rPr>
          <w:rFonts w:hint="eastAsia" w:ascii="宋体" w:hAnsi="宋体"/>
          <w:snapToGrid w:val="0"/>
          <w:kern w:val="0"/>
          <w:szCs w:val="24"/>
        </w:rPr>
        <w:t>（中华人民共和国国务院令第256号发布，根据2011年</w:t>
      </w:r>
      <w:r>
        <w:rPr>
          <w:rFonts w:hint="eastAsia" w:ascii="宋体" w:hAnsi="宋体"/>
          <w:snapToGrid w:val="0"/>
          <w:kern w:val="0"/>
          <w:szCs w:val="24"/>
          <w:lang w:eastAsia="zh-CN"/>
        </w:rPr>
        <w:t>6月12日</w:t>
      </w:r>
      <w:r>
        <w:rPr>
          <w:rFonts w:hint="eastAsia" w:ascii="宋体" w:hAnsi="宋体"/>
          <w:snapToGrid w:val="0"/>
          <w:kern w:val="0"/>
          <w:szCs w:val="24"/>
        </w:rPr>
        <w:t>《国务院关于废止和修改部分行政法规的决定》第一次修订，根据</w:t>
      </w:r>
      <w:r>
        <w:rPr>
          <w:rFonts w:hint="eastAsia" w:ascii="宋体" w:hAnsi="宋体"/>
          <w:snapToGrid w:val="0"/>
          <w:kern w:val="0"/>
          <w:szCs w:val="24"/>
          <w:lang w:eastAsia="zh-CN"/>
        </w:rPr>
        <w:t>2017年</w:t>
      </w:r>
      <w:r>
        <w:rPr>
          <w:rFonts w:hint="eastAsia" w:ascii="宋体" w:hAnsi="宋体"/>
          <w:snapToGrid w:val="0"/>
          <w:kern w:val="0"/>
          <w:szCs w:val="24"/>
        </w:rPr>
        <w:t>7月29日《国务院关于修改部分行政法规的决定》第二次修订；</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7．《中华人民共和国城镇国有土地使用权出让和转让暂行条例》（中华人民共和国国务院令第55号，1990年5月19日施行）；</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8．</w:t>
      </w:r>
      <w:r>
        <w:rPr>
          <w:rFonts w:hint="eastAsia" w:ascii="宋体" w:hAnsi="宋体"/>
          <w:snapToGrid w:val="0"/>
          <w:kern w:val="0"/>
          <w:szCs w:val="24"/>
          <w:lang w:eastAsia="zh-CN"/>
        </w:rPr>
        <w:t>《晋江市人民政府关于发布晋江市2019年基准地价的通告》（晋政文〔2018〕1号）</w:t>
      </w:r>
      <w:r>
        <w:rPr>
          <w:rFonts w:hint="eastAsia" w:ascii="宋体" w:hAnsi="宋体"/>
        </w:rPr>
        <w:t>。</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（二</w:t>
      </w:r>
      <w:r>
        <w:rPr>
          <w:rFonts w:ascii="宋体" w:hAnsi="宋体"/>
        </w:rPr>
        <w:t>）</w:t>
      </w:r>
      <w:r>
        <w:rPr>
          <w:rFonts w:hint="eastAsia" w:ascii="宋体" w:hAnsi="宋体"/>
        </w:rPr>
        <w:t>估价技术标准</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1．《中华人民共和国国家标准——房地产估价规范》（GB/T50291-2015）；</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ascii="宋体" w:hAnsi="宋体"/>
        </w:rPr>
        <w:t>2</w:t>
      </w:r>
      <w:r>
        <w:rPr>
          <w:rFonts w:hint="eastAsia" w:ascii="宋体" w:hAnsi="宋体"/>
        </w:rPr>
        <w:t>．《中华人民共和国国家标准——房地产估价基本术语标准》（GB/T50899-2013）。</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hint="eastAsia" w:ascii="宋体" w:hAnsi="宋体"/>
        </w:rPr>
      </w:pPr>
      <w:r>
        <w:rPr>
          <w:rFonts w:hint="eastAsia" w:ascii="宋体" w:hAnsi="宋体"/>
        </w:rPr>
        <w:t>（</w:t>
      </w:r>
      <w:r>
        <w:rPr>
          <w:rFonts w:ascii="宋体" w:hAnsi="宋体"/>
        </w:rPr>
        <w:t>三）</w:t>
      </w:r>
      <w:r>
        <w:rPr>
          <w:rFonts w:hint="eastAsia" w:ascii="宋体" w:hAnsi="宋体"/>
        </w:rPr>
        <w:t>估价委托人提供的资料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hint="eastAsia" w:ascii="宋体" w:hAnsi="宋体"/>
        </w:rPr>
      </w:pPr>
      <w:r>
        <w:rPr>
          <w:rFonts w:hint="eastAsia" w:ascii="宋体" w:hAnsi="宋体"/>
        </w:rPr>
        <w:t>1</w:t>
      </w:r>
      <w:r>
        <w:rPr>
          <w:rFonts w:hint="eastAsia" w:ascii="宋体" w:hAnsi="宋体"/>
          <w:lang w:eastAsia="zh-CN"/>
        </w:rPr>
        <w:t>.</w:t>
      </w:r>
      <w:r>
        <w:rPr>
          <w:rFonts w:hint="eastAsia" w:ascii="宋体" w:hAnsi="宋体"/>
        </w:rPr>
        <w:t>福建省</w:t>
      </w:r>
      <w:r>
        <w:rPr>
          <w:rFonts w:hint="eastAsia" w:ascii="宋体" w:hAnsi="宋体"/>
          <w:lang w:eastAsia="zh-CN"/>
        </w:rPr>
        <w:t>安溪县人民法院</w:t>
      </w:r>
      <w:r>
        <w:rPr>
          <w:rFonts w:hint="eastAsia" w:ascii="宋体" w:hAnsi="宋体"/>
        </w:rPr>
        <w:t>执行裁定书[</w:t>
      </w:r>
      <w:r>
        <w:rPr>
          <w:rFonts w:hint="eastAsia" w:ascii="宋体" w:hAnsi="宋体"/>
          <w:lang w:eastAsia="zh-CN"/>
        </w:rPr>
        <w:t>（2022）闽0524执272号</w:t>
      </w:r>
      <w:r>
        <w:rPr>
          <w:rFonts w:hint="eastAsia" w:ascii="宋体" w:hAnsi="宋体"/>
        </w:rPr>
        <w:t>]</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hint="eastAsia" w:ascii="宋体" w:hAnsi="宋体"/>
        </w:rPr>
      </w:pPr>
      <w:r>
        <w:rPr>
          <w:rFonts w:hint="eastAsia" w:ascii="宋体" w:hAnsi="宋体"/>
          <w:lang w:val="en-US" w:eastAsia="zh-CN"/>
        </w:rPr>
        <w:t>2</w:t>
      </w:r>
      <w:r>
        <w:rPr>
          <w:rFonts w:hint="eastAsia" w:ascii="宋体" w:hAnsi="宋体"/>
          <w:lang w:eastAsia="zh-CN"/>
        </w:rPr>
        <w:t>.福建省安溪县人民法院价格评估委托书[（2022）闽0524执272号]</w:t>
      </w:r>
      <w:r>
        <w:rPr>
          <w:rFonts w:hint="eastAsia" w:ascii="宋体" w:hAnsi="宋体"/>
        </w:rPr>
        <w:t>；</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lang w:val="en-US" w:eastAsia="zh-CN"/>
        </w:rPr>
        <w:t>3</w:t>
      </w:r>
      <w:r>
        <w:rPr>
          <w:rFonts w:hint="eastAsia" w:ascii="宋体" w:hAnsi="宋体"/>
        </w:rPr>
        <w:t>.</w:t>
      </w:r>
      <w:r>
        <w:rPr>
          <w:rFonts w:hint="eastAsia" w:ascii="宋体" w:hAnsi="宋体"/>
          <w:spacing w:val="-4"/>
          <w:szCs w:val="24"/>
          <w:lang w:eastAsia="zh-CN"/>
        </w:rPr>
        <w:t>《不动产权证书》（证号：闽（2020）晋江市不动产权第0010889号）、房产分户图</w:t>
      </w:r>
      <w:r>
        <w:rPr>
          <w:rFonts w:hint="eastAsia" w:ascii="宋体" w:hAnsi="宋体"/>
        </w:rPr>
        <w:t>（复印件）；</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w:t>
      </w:r>
      <w:r>
        <w:rPr>
          <w:rFonts w:ascii="宋体" w:hAnsi="宋体"/>
        </w:rPr>
        <w:t>四）</w:t>
      </w:r>
      <w:r>
        <w:rPr>
          <w:rFonts w:hint="eastAsia" w:ascii="宋体" w:hAnsi="宋体"/>
        </w:rPr>
        <w:t>估价机构调查搜集的资料</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1．估价</w:t>
      </w:r>
      <w:r>
        <w:rPr>
          <w:rFonts w:ascii="宋体" w:hAnsi="宋体"/>
        </w:rPr>
        <w:t xml:space="preserve">对象照片； </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rPr>
        <w:t>2．</w:t>
      </w:r>
      <w:r>
        <w:rPr>
          <w:rFonts w:ascii="宋体" w:hAnsi="宋体"/>
        </w:rPr>
        <w:t>实地查勘记录</w:t>
      </w:r>
      <w:r>
        <w:rPr>
          <w:rFonts w:hint="eastAsia" w:ascii="宋体" w:hAnsi="宋体"/>
        </w:rPr>
        <w:t>；</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rPr>
      </w:pPr>
      <w:r>
        <w:rPr>
          <w:rFonts w:hint="eastAsia" w:ascii="宋体" w:hAnsi="宋体"/>
          <w:lang w:val="zh-CN"/>
        </w:rPr>
        <w:t>3</w:t>
      </w:r>
      <w:r>
        <w:rPr>
          <w:rFonts w:hint="eastAsia" w:ascii="宋体" w:hAnsi="宋体"/>
        </w:rPr>
        <w:t>．</w:t>
      </w:r>
      <w:r>
        <w:rPr>
          <w:rFonts w:hint="eastAsia" w:ascii="宋体" w:hAnsi="宋体"/>
          <w:lang w:val="zh-CN"/>
        </w:rPr>
        <w:t>可比实例等相关资料</w:t>
      </w:r>
      <w:r>
        <w:rPr>
          <w:rFonts w:hint="eastAsia" w:ascii="宋体" w:hAnsi="宋体"/>
        </w:rPr>
        <w:t>。</w:t>
      </w:r>
    </w:p>
    <w:p>
      <w:pPr>
        <w:pStyle w:val="3"/>
        <w:keepLines w:val="0"/>
        <w:pageBreakBefore w:val="0"/>
        <w:widowControl w:val="0"/>
        <w:kinsoku/>
        <w:wordWrap/>
        <w:overflowPunct/>
        <w:topLinePunct w:val="0"/>
        <w:autoSpaceDE/>
        <w:autoSpaceDN/>
        <w:bidi w:val="0"/>
        <w:adjustRightInd/>
        <w:spacing w:line="560" w:lineRule="exact"/>
        <w:textAlignment w:val="auto"/>
        <w:rPr>
          <w:color w:val="auto"/>
        </w:rPr>
      </w:pPr>
      <w:bookmarkStart w:id="16" w:name="_Toc452718586"/>
      <w:r>
        <w:rPr>
          <w:rFonts w:hint="eastAsia"/>
          <w:color w:val="auto"/>
        </w:rPr>
        <w:t>九、估价方法</w:t>
      </w:r>
      <w:bookmarkEnd w:id="16"/>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snapToGrid w:val="0"/>
          <w:kern w:val="0"/>
          <w:szCs w:val="24"/>
        </w:rPr>
        <w:t>本次</w:t>
      </w:r>
      <w:r>
        <w:rPr>
          <w:rFonts w:ascii="宋体" w:hAnsi="宋体"/>
          <w:snapToGrid w:val="0"/>
          <w:kern w:val="0"/>
          <w:szCs w:val="24"/>
        </w:rPr>
        <w:t>估价</w:t>
      </w:r>
      <w:r>
        <w:rPr>
          <w:rFonts w:hint="eastAsia" w:ascii="宋体" w:hAnsi="宋体"/>
          <w:snapToGrid w:val="0"/>
          <w:kern w:val="0"/>
          <w:szCs w:val="24"/>
        </w:rPr>
        <w:t>选用比较法进行估价。</w:t>
      </w:r>
    </w:p>
    <w:p>
      <w:pPr>
        <w:keepLines w:val="0"/>
        <w:pageBreakBefore w:val="0"/>
        <w:widowControl w:val="0"/>
        <w:kinsoku/>
        <w:wordWrap/>
        <w:overflowPunct/>
        <w:topLinePunct w:val="0"/>
        <w:autoSpaceDE/>
        <w:autoSpaceDN/>
        <w:bidi w:val="0"/>
        <w:adjustRightInd/>
        <w:snapToGrid w:val="0"/>
        <w:spacing w:line="560" w:lineRule="exact"/>
        <w:ind w:firstLine="480"/>
        <w:textAlignment w:val="auto"/>
        <w:rPr>
          <w:rFonts w:ascii="宋体" w:hAnsi="宋体"/>
          <w:snapToGrid w:val="0"/>
          <w:kern w:val="0"/>
          <w:szCs w:val="24"/>
        </w:rPr>
      </w:pPr>
      <w:r>
        <w:rPr>
          <w:rFonts w:hint="eastAsia" w:ascii="宋体" w:hAnsi="宋体" w:cs="Wingdings"/>
          <w:snapToGrid w:val="0"/>
          <w:kern w:val="0"/>
          <w:szCs w:val="24"/>
        </w:rPr>
        <w:t>所谓比较法，也称市场比较法、市场法，是选取一定数量的可比实例，将它们与估价对象进行比较，根据其间的差异对可</w:t>
      </w:r>
      <w:r>
        <w:rPr>
          <w:rFonts w:hint="eastAsia" w:ascii="宋体" w:hAnsi="宋体"/>
          <w:snapToGrid w:val="0"/>
          <w:kern w:val="0"/>
          <w:szCs w:val="24"/>
        </w:rPr>
        <w:t>比实例成交价格进行处理后得到估价对象价值</w:t>
      </w:r>
      <w:r>
        <w:rPr>
          <w:rFonts w:hint="eastAsia" w:ascii="宋体" w:hAnsi="宋体" w:cs="Wingdings"/>
          <w:snapToGrid w:val="0"/>
          <w:kern w:val="0"/>
          <w:szCs w:val="24"/>
        </w:rPr>
        <w:t>或价格的方法</w:t>
      </w:r>
      <w:r>
        <w:rPr>
          <w:rFonts w:hint="eastAsia" w:ascii="宋体" w:hAnsi="宋体"/>
          <w:snapToGrid w:val="0"/>
          <w:kern w:val="0"/>
          <w:szCs w:val="24"/>
        </w:rPr>
        <w:t>，其计算公式为：</w:t>
      </w:r>
    </w:p>
    <w:p>
      <w:pPr>
        <w:keepLines w:val="0"/>
        <w:pageBreakBefore w:val="0"/>
        <w:widowControl w:val="0"/>
        <w:kinsoku/>
        <w:wordWrap/>
        <w:overflowPunct/>
        <w:topLinePunct w:val="0"/>
        <w:autoSpaceDE/>
        <w:autoSpaceDN/>
        <w:bidi w:val="0"/>
        <w:adjustRightInd/>
        <w:spacing w:line="560" w:lineRule="exact"/>
        <w:ind w:firstLine="480"/>
        <w:textAlignment w:val="auto"/>
        <w:rPr>
          <w:rFonts w:ascii="宋体" w:hAnsi="宋体"/>
          <w:snapToGrid w:val="0"/>
          <w:kern w:val="0"/>
          <w:szCs w:val="24"/>
        </w:rPr>
      </w:pPr>
      <w:r>
        <w:rPr>
          <w:rFonts w:hint="eastAsia" w:ascii="宋体" w:hAnsi="宋体"/>
          <w:snapToGrid w:val="0"/>
          <w:kern w:val="0"/>
          <w:szCs w:val="24"/>
        </w:rPr>
        <w:t>房地产比较单价=建立比较基础后可比实例成交单价×交易情况修正系数×市场状况调整系数×区位状况调整系数×实物状况调整系数×权益状况调整系数</w:t>
      </w:r>
    </w:p>
    <w:p>
      <w:pPr>
        <w:pStyle w:val="3"/>
        <w:keepNext/>
        <w:keepLines/>
        <w:pageBreakBefore/>
        <w:widowControl w:val="0"/>
        <w:kinsoku/>
        <w:wordWrap/>
        <w:overflowPunct/>
        <w:topLinePunct w:val="0"/>
        <w:autoSpaceDE/>
        <w:autoSpaceDN/>
        <w:bidi w:val="0"/>
        <w:adjustRightInd/>
        <w:snapToGrid/>
        <w:spacing w:line="560" w:lineRule="exact"/>
        <w:textAlignment w:val="auto"/>
        <w:rPr>
          <w:color w:val="auto"/>
        </w:rPr>
      </w:pPr>
      <w:bookmarkStart w:id="17" w:name="_Toc452718587"/>
      <w:r>
        <w:rPr>
          <w:rFonts w:hint="eastAsia"/>
          <w:color w:val="auto"/>
        </w:rPr>
        <w:t>十、估价结果</w:t>
      </w:r>
      <w:bookmarkEnd w:id="17"/>
    </w:p>
    <w:p>
      <w:pPr>
        <w:keepLines w:val="0"/>
        <w:pageBreakBefore w:val="0"/>
        <w:widowControl w:val="0"/>
        <w:kinsoku/>
        <w:wordWrap/>
        <w:overflowPunct/>
        <w:topLinePunct w:val="0"/>
        <w:autoSpaceDE/>
        <w:autoSpaceDN/>
        <w:bidi w:val="0"/>
        <w:adjustRightInd/>
        <w:snapToGrid/>
        <w:spacing w:line="560" w:lineRule="exact"/>
        <w:ind w:firstLine="480"/>
        <w:textAlignment w:val="auto"/>
        <w:rPr>
          <w:rFonts w:ascii="宋体" w:hAnsi="宋体"/>
          <w:b/>
          <w:bCs/>
          <w:szCs w:val="21"/>
        </w:rPr>
      </w:pPr>
      <w:r>
        <w:rPr>
          <w:rFonts w:hint="eastAsia" w:ascii="宋体" w:hAnsi="宋体"/>
          <w:szCs w:val="24"/>
        </w:rPr>
        <w:t>经</w:t>
      </w:r>
      <w:r>
        <w:rPr>
          <w:rFonts w:ascii="宋体" w:hAnsi="宋体"/>
          <w:szCs w:val="24"/>
        </w:rPr>
        <w:t>过实地查勘和市场调查，</w:t>
      </w:r>
      <w:r>
        <w:rPr>
          <w:rFonts w:hint="eastAsia" w:ascii="宋体" w:hAnsi="宋体"/>
          <w:szCs w:val="24"/>
        </w:rPr>
        <w:t>按照估价目的，遵循估价原则，选用比较法进行了分析、</w:t>
      </w:r>
      <w:r>
        <w:rPr>
          <w:rFonts w:ascii="宋体" w:hAnsi="宋体"/>
          <w:szCs w:val="24"/>
        </w:rPr>
        <w:t>测</w:t>
      </w:r>
      <w:r>
        <w:rPr>
          <w:rFonts w:hint="eastAsia" w:ascii="宋体" w:hAnsi="宋体"/>
          <w:szCs w:val="24"/>
        </w:rPr>
        <w:t>算，确定估价对象在价值时点且满足本次估价假设和限制条件下的估价结果为人民币</w:t>
      </w:r>
      <w:r>
        <w:rPr>
          <w:rFonts w:hint="eastAsia" w:ascii="宋体" w:hAnsi="宋体"/>
          <w:szCs w:val="24"/>
          <w:lang w:eastAsia="zh-CN"/>
        </w:rPr>
        <w:t>壹佰零柒万肆仟贰佰</w:t>
      </w:r>
      <w:r>
        <w:rPr>
          <w:rFonts w:hint="eastAsia" w:ascii="宋体" w:hAnsi="宋体"/>
          <w:szCs w:val="24"/>
        </w:rPr>
        <w:t>元整（小写：</w:t>
      </w:r>
      <w:r>
        <w:rPr>
          <w:rFonts w:hint="eastAsia" w:ascii="宋体" w:hAnsi="宋体"/>
          <w:szCs w:val="24"/>
          <w:lang w:eastAsia="zh-CN"/>
        </w:rPr>
        <w:t>1,074,200元</w:t>
      </w:r>
      <w:r>
        <w:rPr>
          <w:rFonts w:hint="eastAsia" w:ascii="宋体" w:hAnsi="宋体"/>
          <w:szCs w:val="24"/>
        </w:rPr>
        <w:t>）</w:t>
      </w:r>
      <w:r>
        <w:rPr>
          <w:rFonts w:hint="eastAsia" w:ascii="宋体" w:hAnsi="宋体"/>
          <w:szCs w:val="24"/>
          <w:lang w:eastAsia="zh-CN"/>
        </w:rPr>
        <w:t>，住宅单价</w:t>
      </w:r>
      <w:r>
        <w:rPr>
          <w:rFonts w:hint="eastAsia" w:ascii="宋体" w:hAnsi="宋体"/>
          <w:szCs w:val="24"/>
          <w:lang w:val="en-US" w:eastAsia="zh-CN"/>
        </w:rPr>
        <w:t>12294元/</w:t>
      </w:r>
      <w:r>
        <w:rPr>
          <w:rFonts w:hint="eastAsia" w:ascii="宋体" w:hAnsi="宋体"/>
          <w:szCs w:val="24"/>
        </w:rPr>
        <w:t>㎡估价结果内涵包括建筑物</w:t>
      </w:r>
      <w:r>
        <w:rPr>
          <w:rFonts w:hint="eastAsia" w:ascii="宋体" w:hAnsi="宋体"/>
          <w:szCs w:val="24"/>
          <w:lang w:eastAsia="zh-CN"/>
        </w:rPr>
        <w:t>（二次装修）</w:t>
      </w:r>
      <w:r>
        <w:rPr>
          <w:rFonts w:hint="eastAsia" w:ascii="宋体" w:hAnsi="宋体"/>
          <w:szCs w:val="24"/>
        </w:rPr>
        <w:t>、相应</w:t>
      </w:r>
      <w:r>
        <w:rPr>
          <w:rFonts w:ascii="宋体" w:hAnsi="宋体"/>
          <w:szCs w:val="24"/>
        </w:rPr>
        <w:t>的国有土地使用权</w:t>
      </w:r>
      <w:bookmarkStart w:id="22" w:name="_GoBack"/>
      <w:bookmarkEnd w:id="22"/>
      <w:r>
        <w:rPr>
          <w:rFonts w:hint="eastAsia" w:ascii="宋体" w:hAnsi="宋体"/>
          <w:szCs w:val="24"/>
        </w:rPr>
        <w:t>及公共配套设施</w:t>
      </w:r>
      <w:r>
        <w:rPr>
          <w:rFonts w:hint="eastAsia" w:ascii="宋体" w:hAnsi="宋体"/>
          <w:szCs w:val="21"/>
        </w:rPr>
        <w:t>，不包含室内动产及债权债务等其他财产或权益。</w:t>
      </w:r>
    </w:p>
    <w:p>
      <w:pPr>
        <w:pStyle w:val="3"/>
        <w:spacing w:line="520" w:lineRule="exact"/>
        <w:rPr>
          <w:rFonts w:ascii="宋体" w:hAnsi="宋体"/>
          <w:snapToGrid w:val="0"/>
          <w:color w:val="000000"/>
          <w:kern w:val="0"/>
          <w:szCs w:val="24"/>
        </w:rPr>
      </w:pPr>
      <w:bookmarkStart w:id="18" w:name="_Toc449640166"/>
      <w:bookmarkStart w:id="19" w:name="_Toc452718588"/>
      <w:r>
        <w:rPr>
          <w:rFonts w:hint="eastAsia" w:ascii="宋体" w:hAnsi="宋体"/>
        </w:rPr>
        <w:t>十</w:t>
      </w:r>
      <w:r>
        <w:rPr>
          <w:rFonts w:hint="eastAsia" w:ascii="宋体" w:hAnsi="宋体"/>
          <w:lang w:eastAsia="zh-CN"/>
        </w:rPr>
        <w:t>一</w:t>
      </w:r>
      <w:r>
        <w:rPr>
          <w:rFonts w:hint="eastAsia" w:ascii="宋体" w:hAnsi="宋体"/>
        </w:rPr>
        <w:t>、实地查勘期</w:t>
      </w:r>
      <w:bookmarkEnd w:id="18"/>
    </w:p>
    <w:p>
      <w:pPr>
        <w:spacing w:line="520" w:lineRule="exact"/>
        <w:ind w:firstLine="480"/>
        <w:rPr>
          <w:rFonts w:hint="eastAsia" w:ascii="宋体" w:hAnsi="宋体"/>
          <w:b/>
          <w:color w:val="000000"/>
          <w:szCs w:val="24"/>
        </w:rPr>
      </w:pPr>
      <w:r>
        <w:rPr>
          <w:rFonts w:hint="eastAsia" w:ascii="宋体" w:hAnsi="宋体"/>
          <w:snapToGrid w:val="0"/>
          <w:kern w:val="0"/>
          <w:szCs w:val="24"/>
        </w:rPr>
        <w:t>实地查勘日期为20</w:t>
      </w:r>
      <w:r>
        <w:rPr>
          <w:rFonts w:hint="eastAsia" w:ascii="宋体" w:hAnsi="宋体"/>
          <w:snapToGrid w:val="0"/>
          <w:kern w:val="0"/>
          <w:szCs w:val="24"/>
          <w:lang w:val="en-US" w:eastAsia="zh-CN"/>
        </w:rPr>
        <w:t>22年6月6日</w:t>
      </w:r>
      <w:r>
        <w:rPr>
          <w:rFonts w:hint="eastAsia" w:ascii="宋体" w:hAnsi="宋体"/>
          <w:snapToGrid w:val="0"/>
          <w:color w:val="000000"/>
          <w:kern w:val="0"/>
          <w:szCs w:val="24"/>
        </w:rPr>
        <w:t>。</w:t>
      </w:r>
    </w:p>
    <w:p>
      <w:pPr>
        <w:pStyle w:val="3"/>
        <w:spacing w:line="520" w:lineRule="exact"/>
        <w:rPr>
          <w:rFonts w:ascii="宋体" w:hAnsi="宋体"/>
        </w:rPr>
      </w:pPr>
      <w:bookmarkStart w:id="20" w:name="_Toc449640167"/>
      <w:r>
        <w:rPr>
          <w:rFonts w:hint="eastAsia" w:ascii="宋体" w:hAnsi="宋体"/>
        </w:rPr>
        <w:t>十</w:t>
      </w:r>
      <w:r>
        <w:rPr>
          <w:rFonts w:hint="eastAsia" w:ascii="宋体" w:hAnsi="宋体"/>
          <w:lang w:eastAsia="zh-CN"/>
        </w:rPr>
        <w:t>二</w:t>
      </w:r>
      <w:r>
        <w:rPr>
          <w:rFonts w:hint="eastAsia" w:ascii="宋体" w:hAnsi="宋体"/>
        </w:rPr>
        <w:t>、估价作业期</w:t>
      </w:r>
      <w:bookmarkEnd w:id="20"/>
    </w:p>
    <w:p>
      <w:pPr>
        <w:spacing w:line="520" w:lineRule="exact"/>
        <w:ind w:firstLine="480"/>
        <w:rPr>
          <w:rFonts w:ascii="宋体" w:hAnsi="宋体"/>
        </w:rPr>
      </w:pPr>
      <w:r>
        <w:rPr>
          <w:rFonts w:hint="eastAsia" w:ascii="宋体" w:hAnsi="宋体"/>
          <w:snapToGrid w:val="0"/>
          <w:kern w:val="0"/>
          <w:szCs w:val="24"/>
        </w:rPr>
        <w:t>20</w:t>
      </w:r>
      <w:r>
        <w:rPr>
          <w:rFonts w:hint="eastAsia" w:ascii="宋体" w:hAnsi="宋体"/>
          <w:snapToGrid w:val="0"/>
          <w:kern w:val="0"/>
          <w:szCs w:val="24"/>
          <w:lang w:val="en-US" w:eastAsia="zh-CN"/>
        </w:rPr>
        <w:t>22年6月6日</w:t>
      </w:r>
      <w:r>
        <w:rPr>
          <w:rFonts w:hint="eastAsia" w:ascii="宋体" w:hAnsi="宋体"/>
        </w:rPr>
        <w:t>至</w:t>
      </w:r>
      <w:r>
        <w:rPr>
          <w:rFonts w:ascii="宋体" w:hAnsi="宋体"/>
        </w:rPr>
        <w:fldChar w:fldCharType="begin" w:fldLock="1"/>
      </w:r>
      <w:r>
        <w:rPr>
          <w:rFonts w:ascii="宋体" w:hAnsi="宋体"/>
        </w:rPr>
        <w:instrText xml:space="preserve"> </w:instrText>
      </w:r>
      <w:r>
        <w:rPr>
          <w:rFonts w:hint="eastAsia" w:ascii="宋体" w:hAnsi="宋体"/>
        </w:rPr>
        <w:instrText xml:space="preserve">REF 报告出具日期 \h</w:instrText>
      </w:r>
      <w:r>
        <w:rPr>
          <w:rFonts w:ascii="宋体" w:hAnsi="宋体"/>
        </w:rPr>
        <w:instrText xml:space="preserve">  \* MERGEFORMAT </w:instrText>
      </w:r>
      <w:r>
        <w:rPr>
          <w:rFonts w:ascii="宋体" w:hAnsi="宋体"/>
        </w:rPr>
        <w:fldChar w:fldCharType="separate"/>
      </w:r>
      <w:r>
        <w:rPr>
          <w:rFonts w:hint="eastAsia" w:ascii="宋体" w:hAnsi="宋体"/>
          <w:lang w:eastAsia="zh-CN"/>
        </w:rPr>
        <w:t>2022年6月12日</w:t>
      </w:r>
      <w:r>
        <w:rPr>
          <w:rFonts w:ascii="宋体" w:hAnsi="宋体"/>
        </w:rPr>
        <w:fldChar w:fldCharType="end"/>
      </w:r>
      <w:r>
        <w:rPr>
          <w:rFonts w:hint="eastAsia" w:ascii="宋体" w:hAnsi="宋体"/>
        </w:rPr>
        <w:t>。</w:t>
      </w:r>
    </w:p>
    <w:p>
      <w:pPr>
        <w:pStyle w:val="3"/>
        <w:spacing w:line="520" w:lineRule="exact"/>
        <w:rPr>
          <w:rFonts w:hint="eastAsia" w:ascii="宋体" w:hAnsi="宋体"/>
          <w:lang w:eastAsia="zh-CN"/>
        </w:rPr>
      </w:pPr>
      <w:r>
        <w:rPr>
          <w:rFonts w:hint="eastAsia" w:ascii="宋体" w:hAnsi="宋体"/>
        </w:rPr>
        <w:t>十</w:t>
      </w:r>
      <w:r>
        <w:rPr>
          <w:rFonts w:hint="eastAsia" w:ascii="宋体" w:hAnsi="宋体"/>
          <w:lang w:eastAsia="zh-CN"/>
        </w:rPr>
        <w:t>三</w:t>
      </w:r>
      <w:r>
        <w:rPr>
          <w:rFonts w:hint="eastAsia" w:ascii="宋体" w:hAnsi="宋体"/>
        </w:rPr>
        <w:t>、注册房地产估价师</w:t>
      </w:r>
    </w:p>
    <w:p>
      <w:pPr>
        <w:pStyle w:val="3"/>
        <w:rPr>
          <w:rFonts w:hint="eastAsia"/>
          <w:color w:val="auto"/>
        </w:rPr>
      </w:pPr>
    </w:p>
    <w:bookmarkEnd w:id="19"/>
    <w:p>
      <w:pPr>
        <w:ind w:firstLine="480"/>
        <w:rPr>
          <w:rFonts w:ascii="宋体" w:hAnsi="宋体"/>
          <w:snapToGrid w:val="0"/>
          <w:kern w:val="0"/>
          <w:szCs w:val="24"/>
        </w:rPr>
      </w:pPr>
    </w:p>
    <w:p>
      <w:pPr>
        <w:ind w:firstLine="480"/>
        <w:rPr>
          <w:rFonts w:ascii="宋体" w:hAnsi="宋体"/>
          <w:snapToGrid w:val="0"/>
          <w:kern w:val="0"/>
          <w:szCs w:val="24"/>
        </w:rPr>
      </w:pPr>
    </w:p>
    <w:p>
      <w:pPr>
        <w:ind w:firstLine="480"/>
        <w:rPr>
          <w:rFonts w:ascii="宋体" w:hAnsi="宋体"/>
          <w:snapToGrid w:val="0"/>
          <w:kern w:val="0"/>
          <w:szCs w:val="24"/>
        </w:rPr>
      </w:pPr>
    </w:p>
    <w:p>
      <w:pPr>
        <w:ind w:firstLine="480"/>
        <w:rPr>
          <w:rFonts w:ascii="宋体" w:hAnsi="宋体"/>
          <w:snapToGrid w:val="0"/>
          <w:kern w:val="0"/>
          <w:szCs w:val="24"/>
        </w:rPr>
      </w:pPr>
    </w:p>
    <w:p>
      <w:pPr>
        <w:ind w:firstLine="480"/>
        <w:rPr>
          <w:rFonts w:ascii="宋体" w:hAnsi="宋体"/>
          <w:snapToGrid w:val="0"/>
          <w:kern w:val="0"/>
          <w:szCs w:val="24"/>
        </w:rPr>
      </w:pPr>
    </w:p>
    <w:p>
      <w:pPr>
        <w:ind w:firstLine="480"/>
        <w:rPr>
          <w:rFonts w:ascii="宋体" w:hAnsi="宋体"/>
          <w:snapToGrid w:val="0"/>
          <w:kern w:val="0"/>
          <w:szCs w:val="24"/>
        </w:rPr>
      </w:pPr>
    </w:p>
    <w:p>
      <w:pPr>
        <w:ind w:firstLine="480"/>
        <w:rPr>
          <w:rFonts w:ascii="宋体" w:hAnsi="宋体"/>
          <w:snapToGrid w:val="0"/>
          <w:kern w:val="0"/>
          <w:szCs w:val="24"/>
        </w:rPr>
      </w:pPr>
    </w:p>
    <w:p>
      <w:pPr>
        <w:ind w:firstLine="480"/>
        <w:rPr>
          <w:rFonts w:ascii="宋体" w:hAnsi="宋体"/>
          <w:snapToGrid w:val="0"/>
          <w:kern w:val="0"/>
          <w:szCs w:val="24"/>
        </w:rPr>
      </w:pPr>
    </w:p>
    <w:p>
      <w:pPr>
        <w:ind w:firstLine="480"/>
        <w:rPr>
          <w:rFonts w:ascii="宋体" w:hAnsi="宋体"/>
          <w:snapToGrid w:val="0"/>
          <w:kern w:val="0"/>
          <w:szCs w:val="24"/>
        </w:rPr>
      </w:pPr>
    </w:p>
    <w:p>
      <w:pPr>
        <w:ind w:firstLine="480"/>
        <w:rPr>
          <w:rFonts w:ascii="宋体" w:hAnsi="宋体"/>
          <w:snapToGrid w:val="0"/>
          <w:kern w:val="0"/>
          <w:szCs w:val="24"/>
        </w:rPr>
      </w:pPr>
    </w:p>
    <w:p>
      <w:pPr>
        <w:ind w:firstLine="480"/>
        <w:rPr>
          <w:rFonts w:ascii="宋体" w:hAnsi="宋体"/>
          <w:snapToGrid w:val="0"/>
          <w:kern w:val="0"/>
          <w:szCs w:val="24"/>
        </w:rPr>
      </w:pPr>
    </w:p>
    <w:p>
      <w:pPr>
        <w:ind w:right="560" w:firstLine="480"/>
        <w:jc w:val="right"/>
        <w:rPr>
          <w:rFonts w:ascii="宋体" w:hAnsi="宋体"/>
          <w:szCs w:val="24"/>
        </w:rPr>
      </w:pPr>
    </w:p>
    <w:tbl>
      <w:tblPr>
        <w:tblStyle w:val="29"/>
        <w:tblW w:w="9796" w:type="dxa"/>
        <w:tblInd w:w="0" w:type="dxa"/>
        <w:tblLayout w:type="autofit"/>
        <w:tblCellMar>
          <w:top w:w="0" w:type="dxa"/>
          <w:left w:w="108" w:type="dxa"/>
          <w:bottom w:w="0" w:type="dxa"/>
          <w:right w:w="108" w:type="dxa"/>
        </w:tblCellMar>
      </w:tblPr>
      <w:tblGrid>
        <w:gridCol w:w="5211"/>
        <w:gridCol w:w="4585"/>
      </w:tblGrid>
      <w:tr>
        <w:tblPrEx>
          <w:tblCellMar>
            <w:top w:w="0" w:type="dxa"/>
            <w:left w:w="108" w:type="dxa"/>
            <w:bottom w:w="0" w:type="dxa"/>
            <w:right w:w="108" w:type="dxa"/>
          </w:tblCellMar>
        </w:tblPrEx>
        <w:trPr>
          <w:trHeight w:val="618" w:hRule="atLeast"/>
        </w:trPr>
        <w:tc>
          <w:tcPr>
            <w:tcW w:w="5211" w:type="dxa"/>
            <w:shd w:val="clear" w:color="auto" w:fill="auto"/>
          </w:tcPr>
          <w:p>
            <w:pPr>
              <w:spacing w:line="400" w:lineRule="exact"/>
              <w:ind w:firstLine="480"/>
              <w:rPr>
                <w:rFonts w:ascii="宋体" w:hAnsi="宋体"/>
                <w:szCs w:val="24"/>
              </w:rPr>
            </w:pPr>
          </w:p>
        </w:tc>
        <w:tc>
          <w:tcPr>
            <w:tcW w:w="4585" w:type="dxa"/>
            <w:shd w:val="clear" w:color="auto" w:fill="auto"/>
            <w:vAlign w:val="center"/>
          </w:tcPr>
          <w:p>
            <w:pPr>
              <w:spacing w:line="400" w:lineRule="exact"/>
              <w:ind w:firstLine="0" w:firstLineChars="0"/>
              <w:rPr>
                <w:rFonts w:ascii="宋体" w:hAnsi="宋体"/>
                <w:szCs w:val="24"/>
              </w:rPr>
            </w:pPr>
            <w:r>
              <w:rPr>
                <w:rFonts w:hint="eastAsia" w:ascii="宋体" w:hAnsi="宋体"/>
                <w:szCs w:val="24"/>
              </w:rPr>
              <w:t>福州建融房地产评估咨询有限公司（</w:t>
            </w:r>
            <w:r>
              <w:rPr>
                <w:rFonts w:ascii="宋体" w:hAnsi="宋体"/>
                <w:szCs w:val="24"/>
              </w:rPr>
              <w:t>公章）</w:t>
            </w:r>
          </w:p>
        </w:tc>
      </w:tr>
      <w:tr>
        <w:tblPrEx>
          <w:tblCellMar>
            <w:top w:w="0" w:type="dxa"/>
            <w:left w:w="108" w:type="dxa"/>
            <w:bottom w:w="0" w:type="dxa"/>
            <w:right w:w="108" w:type="dxa"/>
          </w:tblCellMar>
        </w:tblPrEx>
        <w:tc>
          <w:tcPr>
            <w:tcW w:w="5211" w:type="dxa"/>
            <w:shd w:val="clear" w:color="auto" w:fill="auto"/>
          </w:tcPr>
          <w:p>
            <w:pPr>
              <w:spacing w:line="400" w:lineRule="exact"/>
              <w:ind w:firstLine="480"/>
              <w:rPr>
                <w:rFonts w:ascii="宋体" w:hAnsi="宋体"/>
                <w:szCs w:val="24"/>
              </w:rPr>
            </w:pPr>
          </w:p>
        </w:tc>
        <w:tc>
          <w:tcPr>
            <w:tcW w:w="4585" w:type="dxa"/>
            <w:shd w:val="clear" w:color="auto" w:fill="auto"/>
            <w:vAlign w:val="center"/>
          </w:tcPr>
          <w:p>
            <w:pPr>
              <w:spacing w:line="400" w:lineRule="exact"/>
              <w:ind w:firstLine="480"/>
              <w:jc w:val="center"/>
              <w:rPr>
                <w:rFonts w:hint="eastAsia" w:ascii="宋体" w:hAnsi="宋体" w:eastAsia="宋体"/>
                <w:szCs w:val="24"/>
                <w:lang w:eastAsia="zh-CN"/>
              </w:rPr>
            </w:pPr>
            <w:r>
              <w:rPr>
                <w:rFonts w:hint="eastAsia" w:ascii="宋体" w:hAnsi="宋体"/>
                <w:szCs w:val="24"/>
              </w:rPr>
              <w:t>20</w:t>
            </w:r>
            <w:r>
              <w:rPr>
                <w:rFonts w:hint="eastAsia" w:ascii="宋体" w:hAnsi="宋体"/>
                <w:szCs w:val="24"/>
                <w:lang w:eastAsia="zh-CN"/>
              </w:rPr>
              <w:t>22年6月12日</w:t>
            </w:r>
          </w:p>
        </w:tc>
      </w:tr>
    </w:tbl>
    <w:p>
      <w:pPr>
        <w:pStyle w:val="2"/>
        <w:sectPr>
          <w:headerReference r:id="rId10" w:type="default"/>
          <w:footerReference r:id="rId11" w:type="default"/>
          <w:pgSz w:w="11906" w:h="16838"/>
          <w:pgMar w:top="1418" w:right="1191" w:bottom="1134" w:left="1418" w:header="794" w:footer="680" w:gutter="0"/>
          <w:cols w:space="425" w:num="1"/>
          <w:docGrid w:type="lines" w:linePitch="312" w:charSpace="0"/>
        </w:sectPr>
      </w:pPr>
    </w:p>
    <w:p>
      <w:pPr>
        <w:pStyle w:val="2"/>
        <w:jc w:val="center"/>
      </w:pPr>
      <w:bookmarkStart w:id="21" w:name="_Toc452718600"/>
      <w:r>
        <w:rPr>
          <w:rFonts w:hint="eastAsia"/>
        </w:rPr>
        <w:t>附件</w:t>
      </w:r>
      <w:bookmarkEnd w:id="21"/>
    </w:p>
    <w:p>
      <w:pPr>
        <w:spacing w:line="620" w:lineRule="exact"/>
        <w:ind w:firstLine="723"/>
        <w:jc w:val="center"/>
        <w:outlineLvl w:val="0"/>
        <w:rPr>
          <w:rFonts w:ascii="宋体" w:hAnsi="宋体"/>
          <w:b/>
          <w:sz w:val="36"/>
          <w:szCs w:val="36"/>
        </w:rPr>
      </w:pPr>
    </w:p>
    <w:p>
      <w:pPr>
        <w:pStyle w:val="24"/>
        <w:keepNext w:val="0"/>
        <w:keepLines w:val="0"/>
        <w:pageBreakBefore w:val="0"/>
        <w:widowControl w:val="0"/>
        <w:kinsoku/>
        <w:wordWrap/>
        <w:overflowPunct/>
        <w:topLinePunct w:val="0"/>
        <w:autoSpaceDE/>
        <w:autoSpaceDN/>
        <w:bidi w:val="0"/>
        <w:adjustRightInd/>
        <w:snapToGrid/>
        <w:spacing w:line="560" w:lineRule="exact"/>
        <w:ind w:firstLine="843"/>
        <w:textAlignment w:val="auto"/>
        <w:rPr>
          <w:rFonts w:hint="eastAsia" w:ascii="宋体" w:hAnsi="宋体"/>
          <w:b/>
          <w:sz w:val="24"/>
          <w:szCs w:val="24"/>
        </w:rPr>
      </w:pPr>
      <w:r>
        <w:rPr>
          <w:rFonts w:hint="eastAsia" w:ascii="宋体" w:hAnsi="宋体"/>
          <w:b/>
          <w:sz w:val="24"/>
          <w:szCs w:val="24"/>
        </w:rPr>
        <w:t>一、</w:t>
      </w:r>
      <w:r>
        <w:rPr>
          <w:rFonts w:hint="eastAsia" w:ascii="宋体" w:hAnsi="宋体"/>
          <w:b/>
          <w:sz w:val="24"/>
          <w:szCs w:val="24"/>
          <w:lang w:eastAsia="zh-CN"/>
        </w:rPr>
        <w:t>福建省安溪县人民法院价格评估委托书[（2022）闽0524执272号]</w:t>
      </w:r>
      <w:r>
        <w:rPr>
          <w:rFonts w:hint="eastAsia" w:ascii="宋体" w:hAnsi="宋体"/>
          <w:b/>
          <w:sz w:val="24"/>
          <w:szCs w:val="24"/>
        </w:rPr>
        <w:t xml:space="preserve"> 复印件</w:t>
      </w:r>
    </w:p>
    <w:p>
      <w:pPr>
        <w:keepNext w:val="0"/>
        <w:keepLines w:val="0"/>
        <w:pageBreakBefore w:val="0"/>
        <w:widowControl w:val="0"/>
        <w:kinsoku/>
        <w:wordWrap/>
        <w:overflowPunct/>
        <w:topLinePunct w:val="0"/>
        <w:autoSpaceDE/>
        <w:autoSpaceDN/>
        <w:bidi w:val="0"/>
        <w:adjustRightInd/>
        <w:snapToGrid/>
        <w:spacing w:line="560" w:lineRule="exact"/>
        <w:ind w:firstLine="964" w:firstLineChars="400"/>
        <w:textAlignment w:val="auto"/>
        <w:rPr>
          <w:sz w:val="24"/>
          <w:szCs w:val="24"/>
        </w:rPr>
      </w:pPr>
      <w:r>
        <w:rPr>
          <w:rFonts w:hint="eastAsia" w:ascii="宋体" w:hAnsi="宋体" w:eastAsia="宋体" w:cs="Courier New"/>
          <w:b/>
          <w:smallCaps/>
          <w:kern w:val="2"/>
          <w:sz w:val="24"/>
          <w:szCs w:val="24"/>
          <w:lang w:val="en-US" w:eastAsia="zh-CN" w:bidi="ar-SA"/>
        </w:rPr>
        <w:t>二、福建省</w:t>
      </w:r>
      <w:r>
        <w:rPr>
          <w:rFonts w:hint="eastAsia" w:ascii="宋体" w:hAnsi="宋体" w:cs="Courier New"/>
          <w:b/>
          <w:smallCaps/>
          <w:kern w:val="2"/>
          <w:sz w:val="24"/>
          <w:szCs w:val="24"/>
          <w:lang w:val="en-US" w:eastAsia="zh-CN" w:bidi="ar-SA"/>
        </w:rPr>
        <w:t>安溪县人民法院</w:t>
      </w:r>
      <w:r>
        <w:rPr>
          <w:rFonts w:hint="eastAsia" w:ascii="宋体" w:hAnsi="宋体" w:eastAsia="宋体" w:cs="Courier New"/>
          <w:b/>
          <w:smallCaps/>
          <w:kern w:val="2"/>
          <w:sz w:val="24"/>
          <w:szCs w:val="24"/>
          <w:lang w:val="en-US" w:eastAsia="zh-CN" w:bidi="ar-SA"/>
        </w:rPr>
        <w:t>价格</w:t>
      </w:r>
      <w:r>
        <w:rPr>
          <w:rFonts w:hint="eastAsia" w:ascii="宋体" w:hAnsi="宋体" w:cs="Courier New"/>
          <w:b/>
          <w:smallCaps/>
          <w:kern w:val="2"/>
          <w:sz w:val="24"/>
          <w:szCs w:val="24"/>
          <w:lang w:val="en-US" w:eastAsia="zh-CN" w:bidi="ar-SA"/>
        </w:rPr>
        <w:t>执行裁定书</w:t>
      </w:r>
      <w:r>
        <w:rPr>
          <w:rFonts w:hint="eastAsia" w:ascii="宋体" w:hAnsi="宋体" w:eastAsia="宋体" w:cs="Courier New"/>
          <w:b/>
          <w:smallCaps/>
          <w:kern w:val="2"/>
          <w:sz w:val="24"/>
          <w:szCs w:val="24"/>
          <w:lang w:val="en-US" w:eastAsia="zh-CN" w:bidi="ar-SA"/>
        </w:rPr>
        <w:t>[</w:t>
      </w:r>
      <w:r>
        <w:rPr>
          <w:rFonts w:hint="eastAsia" w:ascii="宋体" w:hAnsi="宋体" w:cs="Courier New"/>
          <w:b/>
          <w:smallCaps/>
          <w:kern w:val="2"/>
          <w:sz w:val="24"/>
          <w:szCs w:val="24"/>
          <w:lang w:val="en-US" w:eastAsia="zh-CN" w:bidi="ar-SA"/>
        </w:rPr>
        <w:t>（2022）闽0524执272号</w:t>
      </w:r>
      <w:r>
        <w:rPr>
          <w:rFonts w:hint="eastAsia" w:ascii="宋体" w:hAnsi="宋体" w:eastAsia="宋体" w:cs="Courier New"/>
          <w:b/>
          <w:smallCaps/>
          <w:kern w:val="2"/>
          <w:sz w:val="24"/>
          <w:szCs w:val="24"/>
          <w:lang w:val="en-US" w:eastAsia="zh-CN" w:bidi="ar-SA"/>
        </w:rPr>
        <w:t>] 复印件</w:t>
      </w:r>
    </w:p>
    <w:p>
      <w:pPr>
        <w:pStyle w:val="24"/>
        <w:keepNext w:val="0"/>
        <w:keepLines w:val="0"/>
        <w:pageBreakBefore w:val="0"/>
        <w:widowControl w:val="0"/>
        <w:kinsoku/>
        <w:wordWrap/>
        <w:overflowPunct/>
        <w:topLinePunct w:val="0"/>
        <w:autoSpaceDE/>
        <w:autoSpaceDN/>
        <w:bidi w:val="0"/>
        <w:adjustRightInd/>
        <w:snapToGrid/>
        <w:spacing w:line="560" w:lineRule="exact"/>
        <w:ind w:firstLine="843"/>
        <w:textAlignment w:val="auto"/>
        <w:rPr>
          <w:rFonts w:ascii="宋体" w:hAnsi="宋体"/>
          <w:b/>
          <w:sz w:val="24"/>
          <w:szCs w:val="24"/>
        </w:rPr>
      </w:pPr>
      <w:r>
        <w:rPr>
          <w:rFonts w:hint="eastAsia" w:ascii="宋体" w:hAnsi="宋体"/>
          <w:b/>
          <w:sz w:val="24"/>
          <w:szCs w:val="24"/>
          <w:lang w:eastAsia="zh-CN"/>
        </w:rPr>
        <w:t>三</w:t>
      </w:r>
      <w:r>
        <w:rPr>
          <w:rFonts w:hint="eastAsia" w:ascii="宋体" w:hAnsi="宋体"/>
          <w:b/>
          <w:sz w:val="24"/>
          <w:szCs w:val="24"/>
        </w:rPr>
        <w:t>、估价对象位置图</w:t>
      </w:r>
    </w:p>
    <w:p>
      <w:pPr>
        <w:pStyle w:val="24"/>
        <w:keepNext w:val="0"/>
        <w:keepLines w:val="0"/>
        <w:pageBreakBefore w:val="0"/>
        <w:widowControl w:val="0"/>
        <w:kinsoku/>
        <w:wordWrap/>
        <w:overflowPunct/>
        <w:topLinePunct w:val="0"/>
        <w:autoSpaceDE/>
        <w:autoSpaceDN/>
        <w:bidi w:val="0"/>
        <w:adjustRightInd/>
        <w:snapToGrid/>
        <w:spacing w:line="560" w:lineRule="exact"/>
        <w:ind w:firstLine="843"/>
        <w:textAlignment w:val="auto"/>
        <w:rPr>
          <w:rFonts w:ascii="宋体" w:hAnsi="宋体"/>
          <w:b/>
          <w:sz w:val="24"/>
          <w:szCs w:val="24"/>
        </w:rPr>
      </w:pPr>
      <w:r>
        <w:rPr>
          <w:rFonts w:hint="eastAsia" w:ascii="宋体" w:hAnsi="宋体"/>
          <w:b/>
          <w:sz w:val="24"/>
          <w:szCs w:val="24"/>
          <w:lang w:eastAsia="zh-CN"/>
        </w:rPr>
        <w:t>四</w:t>
      </w:r>
      <w:r>
        <w:rPr>
          <w:rFonts w:hint="eastAsia" w:ascii="宋体" w:hAnsi="宋体"/>
          <w:b/>
          <w:sz w:val="24"/>
          <w:szCs w:val="24"/>
        </w:rPr>
        <w:t>、估价对象实地查勘情况和相关照片</w:t>
      </w:r>
    </w:p>
    <w:p>
      <w:pPr>
        <w:pStyle w:val="24"/>
        <w:keepNext w:val="0"/>
        <w:keepLines w:val="0"/>
        <w:pageBreakBefore w:val="0"/>
        <w:widowControl w:val="0"/>
        <w:kinsoku/>
        <w:wordWrap/>
        <w:overflowPunct/>
        <w:topLinePunct w:val="0"/>
        <w:autoSpaceDE/>
        <w:autoSpaceDN/>
        <w:bidi w:val="0"/>
        <w:adjustRightInd/>
        <w:snapToGrid/>
        <w:spacing w:line="560" w:lineRule="exact"/>
        <w:ind w:firstLine="843"/>
        <w:textAlignment w:val="auto"/>
        <w:rPr>
          <w:rFonts w:ascii="宋体" w:hAnsi="宋体"/>
          <w:b/>
          <w:sz w:val="24"/>
          <w:szCs w:val="24"/>
        </w:rPr>
      </w:pPr>
      <w:r>
        <w:rPr>
          <w:rFonts w:hint="eastAsia" w:ascii="宋体" w:hAnsi="宋体"/>
          <w:b/>
          <w:sz w:val="24"/>
          <w:szCs w:val="24"/>
          <w:lang w:eastAsia="zh-CN"/>
        </w:rPr>
        <w:t>五</w:t>
      </w:r>
      <w:r>
        <w:rPr>
          <w:rFonts w:hint="eastAsia" w:ascii="宋体" w:hAnsi="宋体"/>
          <w:b/>
          <w:sz w:val="24"/>
          <w:szCs w:val="24"/>
        </w:rPr>
        <w:t>、估价对象权属证明文件复印件</w:t>
      </w:r>
    </w:p>
    <w:p>
      <w:pPr>
        <w:pStyle w:val="24"/>
        <w:keepNext w:val="0"/>
        <w:keepLines w:val="0"/>
        <w:pageBreakBefore w:val="0"/>
        <w:widowControl w:val="0"/>
        <w:kinsoku/>
        <w:wordWrap/>
        <w:overflowPunct/>
        <w:topLinePunct w:val="0"/>
        <w:autoSpaceDE/>
        <w:autoSpaceDN/>
        <w:bidi w:val="0"/>
        <w:adjustRightInd/>
        <w:snapToGrid/>
        <w:spacing w:line="560" w:lineRule="exact"/>
        <w:ind w:firstLine="1440" w:firstLineChars="600"/>
        <w:textAlignment w:val="auto"/>
        <w:rPr>
          <w:rFonts w:hint="eastAsia" w:ascii="宋体" w:hAnsi="宋体"/>
          <w:sz w:val="24"/>
          <w:szCs w:val="24"/>
          <w:lang w:eastAsia="zh-CN"/>
        </w:rPr>
      </w:pPr>
      <w:r>
        <w:rPr>
          <w:rFonts w:hint="eastAsia" w:ascii="宋体" w:hAnsi="宋体"/>
          <w:sz w:val="24"/>
          <w:szCs w:val="24"/>
        </w:rPr>
        <w:t>1.</w:t>
      </w:r>
      <w:r>
        <w:rPr>
          <w:rFonts w:hint="eastAsia" w:ascii="宋体" w:hAnsi="宋体"/>
          <w:sz w:val="24"/>
          <w:szCs w:val="24"/>
          <w:lang w:eastAsia="zh-CN"/>
        </w:rPr>
        <w:t>《不动产权证书》（证号：闽（2020）晋江市不动产权第0010889号）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宋体" w:cs="Courier New"/>
          <w:smallCaps/>
          <w:kern w:val="2"/>
          <w:sz w:val="24"/>
          <w:szCs w:val="24"/>
          <w:lang w:val="en-US" w:eastAsia="zh-CN" w:bidi="ar-SA"/>
        </w:rPr>
      </w:pPr>
      <w:r>
        <w:rPr>
          <w:rFonts w:hint="eastAsia" w:ascii="宋体" w:hAnsi="宋体"/>
          <w:sz w:val="24"/>
          <w:szCs w:val="24"/>
          <w:lang w:val="en-US" w:eastAsia="zh-CN"/>
        </w:rPr>
        <w:t xml:space="preserve">       2</w:t>
      </w:r>
      <w:r>
        <w:rPr>
          <w:rFonts w:hint="eastAsia" w:ascii="宋体" w:hAnsi="宋体" w:eastAsia="宋体" w:cs="Courier New"/>
          <w:smallCaps/>
          <w:kern w:val="2"/>
          <w:sz w:val="24"/>
          <w:szCs w:val="24"/>
          <w:lang w:val="en-US" w:eastAsia="zh-CN" w:bidi="ar-SA"/>
        </w:rPr>
        <w:t>.房产分户图</w:t>
      </w:r>
    </w:p>
    <w:p>
      <w:pPr>
        <w:pStyle w:val="24"/>
        <w:keepNext w:val="0"/>
        <w:keepLines w:val="0"/>
        <w:pageBreakBefore w:val="0"/>
        <w:widowControl w:val="0"/>
        <w:kinsoku/>
        <w:wordWrap/>
        <w:overflowPunct/>
        <w:topLinePunct w:val="0"/>
        <w:autoSpaceDE/>
        <w:autoSpaceDN/>
        <w:bidi w:val="0"/>
        <w:adjustRightInd/>
        <w:snapToGrid/>
        <w:spacing w:line="560" w:lineRule="exact"/>
        <w:ind w:firstLine="843"/>
        <w:textAlignment w:val="auto"/>
        <w:rPr>
          <w:rFonts w:ascii="宋体" w:hAnsi="宋体"/>
          <w:b/>
          <w:sz w:val="24"/>
          <w:szCs w:val="24"/>
        </w:rPr>
      </w:pPr>
      <w:r>
        <w:rPr>
          <w:rFonts w:hint="eastAsia" w:ascii="宋体" w:hAnsi="宋体"/>
          <w:b/>
          <w:sz w:val="24"/>
          <w:szCs w:val="24"/>
          <w:lang w:eastAsia="zh-CN"/>
        </w:rPr>
        <w:t>六</w:t>
      </w:r>
      <w:r>
        <w:rPr>
          <w:rFonts w:ascii="宋体" w:hAnsi="宋体"/>
          <w:b/>
          <w:sz w:val="24"/>
          <w:szCs w:val="24"/>
        </w:rPr>
        <w:t>、</w:t>
      </w:r>
      <w:r>
        <w:rPr>
          <w:rFonts w:hint="eastAsia" w:ascii="宋体" w:hAnsi="宋体"/>
          <w:b/>
          <w:sz w:val="24"/>
          <w:szCs w:val="24"/>
        </w:rPr>
        <w:t>专业帮助情况和相关专业意见（没</w:t>
      </w:r>
      <w:r>
        <w:rPr>
          <w:rFonts w:ascii="宋体" w:hAnsi="宋体"/>
          <w:b/>
          <w:sz w:val="24"/>
          <w:szCs w:val="24"/>
        </w:rPr>
        <w:t>有人对本估价报告提供重要专业帮助</w:t>
      </w:r>
      <w:r>
        <w:rPr>
          <w:rFonts w:hint="eastAsia" w:ascii="宋体" w:hAnsi="宋体"/>
          <w:b/>
          <w:sz w:val="24"/>
          <w:szCs w:val="24"/>
        </w:rPr>
        <w:t>）</w:t>
      </w:r>
    </w:p>
    <w:p>
      <w:pPr>
        <w:pStyle w:val="24"/>
        <w:keepNext w:val="0"/>
        <w:keepLines w:val="0"/>
        <w:pageBreakBefore w:val="0"/>
        <w:widowControl w:val="0"/>
        <w:kinsoku/>
        <w:wordWrap/>
        <w:overflowPunct/>
        <w:topLinePunct w:val="0"/>
        <w:autoSpaceDE/>
        <w:autoSpaceDN/>
        <w:bidi w:val="0"/>
        <w:adjustRightInd/>
        <w:snapToGrid/>
        <w:spacing w:line="560" w:lineRule="exact"/>
        <w:ind w:firstLine="937" w:firstLineChars="389"/>
        <w:textAlignment w:val="auto"/>
        <w:rPr>
          <w:rFonts w:ascii="宋体" w:hAnsi="宋体"/>
          <w:b/>
          <w:bCs/>
          <w:sz w:val="24"/>
          <w:szCs w:val="24"/>
        </w:rPr>
      </w:pPr>
      <w:r>
        <w:rPr>
          <w:rFonts w:hint="eastAsia" w:ascii="宋体" w:hAnsi="宋体"/>
          <w:b/>
          <w:sz w:val="24"/>
          <w:szCs w:val="24"/>
          <w:lang w:eastAsia="zh-CN"/>
        </w:rPr>
        <w:t>七</w:t>
      </w:r>
      <w:r>
        <w:rPr>
          <w:rFonts w:ascii="宋体" w:hAnsi="宋体"/>
          <w:b/>
          <w:sz w:val="24"/>
          <w:szCs w:val="24"/>
        </w:rPr>
        <w:t>、</w:t>
      </w:r>
      <w:r>
        <w:rPr>
          <w:rFonts w:hint="eastAsia" w:ascii="宋体" w:hAnsi="宋体"/>
          <w:b/>
          <w:bCs/>
          <w:sz w:val="24"/>
          <w:szCs w:val="24"/>
        </w:rPr>
        <w:t>房地产估价机构营业执照和备案证书（复印件）</w:t>
      </w:r>
    </w:p>
    <w:p>
      <w:pPr>
        <w:pStyle w:val="24"/>
        <w:keepNext w:val="0"/>
        <w:keepLines w:val="0"/>
        <w:pageBreakBefore w:val="0"/>
        <w:widowControl w:val="0"/>
        <w:kinsoku/>
        <w:wordWrap/>
        <w:overflowPunct/>
        <w:topLinePunct w:val="0"/>
        <w:autoSpaceDE/>
        <w:autoSpaceDN/>
        <w:bidi w:val="0"/>
        <w:adjustRightInd/>
        <w:snapToGrid/>
        <w:spacing w:line="560" w:lineRule="exact"/>
        <w:ind w:firstLine="843"/>
        <w:textAlignment w:val="auto"/>
        <w:rPr>
          <w:rFonts w:ascii="宋体" w:hAnsi="宋体"/>
          <w:b/>
          <w:bCs/>
          <w:sz w:val="24"/>
          <w:szCs w:val="24"/>
        </w:rPr>
      </w:pPr>
      <w:r>
        <w:rPr>
          <w:rFonts w:hint="eastAsia" w:ascii="宋体" w:hAnsi="宋体"/>
          <w:b/>
          <w:bCs/>
          <w:sz w:val="24"/>
          <w:szCs w:val="24"/>
          <w:lang w:eastAsia="zh-CN"/>
        </w:rPr>
        <w:t>八</w:t>
      </w:r>
      <w:r>
        <w:rPr>
          <w:rFonts w:hint="eastAsia" w:ascii="宋体" w:hAnsi="宋体"/>
          <w:b/>
          <w:bCs/>
          <w:sz w:val="24"/>
          <w:szCs w:val="24"/>
        </w:rPr>
        <w:t>、房地产估价师注册证书（复印件）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textAlignment w:val="auto"/>
        <w:rPr>
          <w:rFonts w:ascii="宋体" w:hAnsi="宋体"/>
          <w:sz w:val="24"/>
          <w:szCs w:val="24"/>
        </w:rPr>
        <w:sectPr>
          <w:headerReference r:id="rId12" w:type="default"/>
          <w:footerReference r:id="rId13" w:type="default"/>
          <w:pgSz w:w="11906" w:h="16838"/>
          <w:pgMar w:top="1418" w:right="1191" w:bottom="1134" w:left="1418" w:header="794" w:footer="680" w:gutter="0"/>
          <w:pgNumType w:start="1"/>
          <w:cols w:space="425" w:num="1"/>
          <w:docGrid w:type="lines" w:linePitch="312" w:charSpace="0"/>
        </w:sectPr>
      </w:pPr>
    </w:p>
    <w:p>
      <w:pPr>
        <w:ind w:firstLine="0" w:firstLineChars="0"/>
        <w:jc w:val="center"/>
        <w:rPr>
          <w:rFonts w:ascii="宋体" w:hAnsi="宋体"/>
          <w:b/>
          <w:bCs/>
          <w:sz w:val="30"/>
          <w:szCs w:val="30"/>
        </w:rPr>
      </w:pPr>
      <w:r>
        <w:rPr>
          <w:rFonts w:hint="eastAsia" w:ascii="宋体" w:hAnsi="宋体"/>
          <w:b/>
          <w:bCs/>
          <w:sz w:val="30"/>
          <w:szCs w:val="30"/>
          <w:lang w:val="en-US" w:eastAsia="zh-CN"/>
        </w:rPr>
        <w:t>估价</w:t>
      </w:r>
      <w:r>
        <w:rPr>
          <w:rFonts w:hint="eastAsia" w:ascii="宋体" w:hAnsi="宋体"/>
          <w:b/>
          <w:bCs/>
          <w:sz w:val="30"/>
          <w:szCs w:val="30"/>
        </w:rPr>
        <w:t>对象位置图</w:t>
      </w:r>
    </w:p>
    <w:p>
      <w:pPr>
        <w:ind w:firstLine="482"/>
        <w:jc w:val="center"/>
        <w:rPr>
          <w:rFonts w:ascii="宋体" w:hAnsi="宋体"/>
          <w:b/>
          <w:szCs w:val="24"/>
        </w:rPr>
      </w:pPr>
    </w:p>
    <w:p>
      <w:pPr>
        <w:ind w:firstLine="482"/>
        <w:jc w:val="center"/>
        <w:rPr>
          <w:rFonts w:ascii="宋体" w:hAnsi="宋体"/>
          <w:b/>
          <w:szCs w:val="24"/>
        </w:rPr>
      </w:pPr>
    </w:p>
    <w:p>
      <w:pPr>
        <w:ind w:firstLine="482"/>
        <w:jc w:val="center"/>
        <w:rPr>
          <w:rFonts w:hint="eastAsia" w:ascii="宋体" w:hAnsi="宋体"/>
          <w:b/>
          <w:szCs w:val="24"/>
        </w:rPr>
      </w:pPr>
      <w:r>
        <w:rPr>
          <w:rFonts w:ascii="宋体" w:hAnsi="宋体"/>
          <w:b/>
          <w:szCs w:val="24"/>
        </w:rPr>
        <mc:AlternateContent>
          <mc:Choice Requires="wps">
            <w:drawing>
              <wp:anchor distT="0" distB="0" distL="114300" distR="114300" simplePos="0" relativeHeight="251659264" behindDoc="0" locked="0" layoutInCell="1" allowOverlap="1">
                <wp:simplePos x="0" y="0"/>
                <wp:positionH relativeFrom="column">
                  <wp:posOffset>2428240</wp:posOffset>
                </wp:positionH>
                <wp:positionV relativeFrom="paragraph">
                  <wp:posOffset>2418080</wp:posOffset>
                </wp:positionV>
                <wp:extent cx="356870" cy="356235"/>
                <wp:effectExtent l="42545" t="48260" r="57785" b="52705"/>
                <wp:wrapTopAndBottom/>
                <wp:docPr id="2" name="自选图形 541"/>
                <wp:cNvGraphicFramePr/>
                <a:graphic xmlns:a="http://schemas.openxmlformats.org/drawingml/2006/main">
                  <a:graphicData uri="http://schemas.microsoft.com/office/word/2010/wordprocessingShape">
                    <wps:wsp>
                      <wps:cNvSpPr/>
                      <wps:spPr>
                        <a:xfrm>
                          <a:off x="0" y="0"/>
                          <a:ext cx="356870" cy="356235"/>
                        </a:xfrm>
                        <a:prstGeom prst="star5">
                          <a:avLst/>
                        </a:prstGeom>
                        <a:solidFill>
                          <a:srgbClr val="FF0000"/>
                        </a:solidFill>
                        <a:ln w="28575"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541" o:spid="_x0000_s1026" style="position:absolute;left:0pt;margin-left:191.2pt;margin-top:190.4pt;height:28.05pt;width:28.1pt;mso-wrap-distance-bottom:0pt;mso-wrap-distance-top:0pt;z-index:251659264;mso-width-relative:page;mso-height-relative:page;" fillcolor="#FF0000" filled="t" stroked="t" coordsize="356870,356235" o:gfxdata="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pSE49oAAAALAQAADwAAAAAAAAABACAA&#10;AAAiAAAAZHJzL2Rvd25yZXYueG1sUEsBAhQAFAAAAAgAh07iQGBRbqcLAgAAMgQAAA4AAAAAAAAA&#10;AQAgAAAAKQEAAGRycy9lMm9Eb2MueG1sUEsFBgAAAAAGAAYAWQEAAKYFAAAAAA==&#10;" path="m0,136069l136312,136070,178435,0,220557,136070,356869,136069,246589,220164,288713,356234,178435,272137,68156,356234,110280,220164xe">
                <v:path textboxrect="0,0,356870,356235" o:connectlocs="178435,0;0,136069;68156,356234;288713,356234;356869,136069" o:connectangles="247,164,82,82,0"/>
                <v:fill on="t" focussize="0,0"/>
                <v:stroke weight="2.25pt" color="#FF0000" joinstyle="miter"/>
                <v:imagedata o:title=""/>
                <o:lock v:ext="edit" aspectratio="f"/>
                <v:textbox>
                  <w:txbxContent>
                    <w:p>
                      <w:pPr>
                        <w:jc w:val="center"/>
                      </w:pPr>
                    </w:p>
                  </w:txbxContent>
                </v:textbox>
                <w10:wrap type="topAndBottom"/>
              </v:shape>
            </w:pict>
          </mc:Fallback>
        </mc:AlternateContent>
      </w:r>
      <w:r>
        <w:rPr>
          <w:rFonts w:hint="default" w:ascii="宋体" w:hAnsi="宋体"/>
          <w:b/>
          <w:bCs/>
          <w:sz w:val="30"/>
          <w:szCs w:val="30"/>
          <w:lang w:val="en-US"/>
        </w:rPr>
        <w:drawing>
          <wp:anchor distT="0" distB="0" distL="114300" distR="114300" simplePos="0" relativeHeight="251661312" behindDoc="1" locked="0" layoutInCell="1" allowOverlap="1">
            <wp:simplePos x="0" y="0"/>
            <wp:positionH relativeFrom="column">
              <wp:posOffset>167640</wp:posOffset>
            </wp:positionH>
            <wp:positionV relativeFrom="paragraph">
              <wp:posOffset>69215</wp:posOffset>
            </wp:positionV>
            <wp:extent cx="5901055" cy="4914265"/>
            <wp:effectExtent l="0" t="0" r="4445" b="635"/>
            <wp:wrapThrough wrapText="bothSides">
              <wp:wrapPolygon>
                <wp:start x="0" y="0"/>
                <wp:lineTo x="0" y="21519"/>
                <wp:lineTo x="21547" y="21519"/>
                <wp:lineTo x="21547" y="0"/>
                <wp:lineTo x="0" y="0"/>
              </wp:wrapPolygon>
            </wp:wrapThrough>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8"/>
                    <a:stretch>
                      <a:fillRect/>
                    </a:stretch>
                  </pic:blipFill>
                  <pic:spPr>
                    <a:xfrm>
                      <a:off x="0" y="0"/>
                      <a:ext cx="5901055" cy="4914265"/>
                    </a:xfrm>
                    <a:prstGeom prst="rect">
                      <a:avLst/>
                    </a:prstGeom>
                    <a:noFill/>
                    <a:ln>
                      <a:noFill/>
                    </a:ln>
                  </pic:spPr>
                </pic:pic>
              </a:graphicData>
            </a:graphic>
          </wp:anchor>
        </w:drawing>
      </w:r>
    </w:p>
    <w:p>
      <w:pPr>
        <w:ind w:firstLine="482"/>
        <w:jc w:val="center"/>
        <w:rPr>
          <w:rFonts w:hint="eastAsia" w:ascii="宋体" w:hAnsi="宋体"/>
          <w:b/>
          <w:szCs w:val="24"/>
        </w:rPr>
      </w:pPr>
    </w:p>
    <w:p>
      <w:pPr>
        <w:ind w:firstLine="482"/>
        <w:jc w:val="center"/>
        <w:rPr>
          <w:rFonts w:hint="eastAsia" w:ascii="宋体" w:hAnsi="宋体"/>
          <w:b/>
          <w:szCs w:val="24"/>
        </w:rPr>
      </w:pPr>
    </w:p>
    <w:p>
      <w:pPr>
        <w:ind w:firstLine="482"/>
        <w:jc w:val="center"/>
        <w:rPr>
          <w:rFonts w:hint="eastAsia" w:ascii="宋体" w:hAnsi="宋体"/>
          <w:b/>
          <w:szCs w:val="24"/>
        </w:rPr>
      </w:pPr>
    </w:p>
    <w:p>
      <w:pPr>
        <w:ind w:firstLine="482"/>
        <w:jc w:val="center"/>
        <w:rPr>
          <w:rFonts w:ascii="宋体" w:hAnsi="宋体"/>
          <w:szCs w:val="24"/>
        </w:rPr>
      </w:pPr>
      <w:r>
        <w:rPr>
          <w:rFonts w:hint="eastAsia" w:ascii="宋体" w:hAnsi="宋体"/>
          <w:b/>
          <w:szCs w:val="24"/>
        </w:rPr>
        <w:t>注：标有“☆”处为估价对象所在的位置</w:t>
      </w:r>
    </w:p>
    <w:p>
      <w:pPr>
        <w:spacing w:line="560" w:lineRule="exact"/>
        <w:ind w:firstLine="482"/>
        <w:jc w:val="center"/>
        <w:rPr>
          <w:rFonts w:ascii="宋体" w:hAnsi="宋体"/>
          <w:b/>
          <w:szCs w:val="24"/>
        </w:rPr>
      </w:pPr>
    </w:p>
    <w:p>
      <w:pPr>
        <w:spacing w:line="560" w:lineRule="exact"/>
        <w:ind w:firstLine="482"/>
        <w:jc w:val="center"/>
        <w:rPr>
          <w:rFonts w:ascii="宋体" w:hAnsi="宋体"/>
          <w:b/>
          <w:szCs w:val="24"/>
        </w:rPr>
      </w:pPr>
    </w:p>
    <w:p>
      <w:pPr>
        <w:spacing w:line="560" w:lineRule="exact"/>
        <w:ind w:firstLine="482"/>
        <w:jc w:val="center"/>
        <w:rPr>
          <w:rFonts w:ascii="宋体" w:hAnsi="宋体"/>
          <w:b/>
          <w:szCs w:val="24"/>
        </w:rPr>
      </w:pPr>
    </w:p>
    <w:p>
      <w:pPr>
        <w:spacing w:line="560" w:lineRule="exact"/>
        <w:ind w:firstLine="482"/>
        <w:jc w:val="center"/>
        <w:rPr>
          <w:rFonts w:ascii="宋体" w:hAnsi="宋体"/>
          <w:b/>
          <w:szCs w:val="24"/>
        </w:rPr>
      </w:pPr>
    </w:p>
    <w:p>
      <w:pPr>
        <w:spacing w:line="560" w:lineRule="exact"/>
        <w:ind w:firstLine="480"/>
        <w:jc w:val="center"/>
        <w:rPr>
          <w:rFonts w:hint="eastAsia" w:ascii="宋体" w:hAnsi="宋体"/>
          <w:b/>
          <w:color w:val="000000"/>
          <w:sz w:val="28"/>
        </w:rPr>
      </w:pPr>
      <w:r>
        <w:rPr>
          <w:rFonts w:hint="eastAsia" w:ascii="宋体" w:hAnsi="宋体"/>
          <w:b/>
          <w:bCs/>
          <w:color w:val="000000"/>
          <w:sz w:val="28"/>
        </w:rPr>
        <w:t>估价对象实地查勘情况相关照片1</w:t>
      </w:r>
    </w:p>
    <w:tbl>
      <w:tblPr>
        <w:tblStyle w:val="29"/>
        <w:tblpPr w:leftFromText="180" w:rightFromText="180" w:vertAnchor="text" w:horzAnchor="margin" w:tblpXSpec="center" w:tblpY="158"/>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9"/>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exact"/>
        </w:trPr>
        <w:tc>
          <w:tcPr>
            <w:tcW w:w="4569" w:type="dxa"/>
            <w:noWrap w:val="0"/>
            <w:vAlign w:val="center"/>
          </w:tcPr>
          <w:p>
            <w:pPr>
              <w:spacing w:line="720" w:lineRule="auto"/>
              <w:ind w:right="82" w:rightChars="34" w:firstLine="0" w:firstLineChars="0"/>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1890395" cy="2520315"/>
                  <wp:effectExtent l="0" t="0" r="14605" b="13335"/>
                  <wp:docPr id="4" name="图片 4" descr="IMG_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9907"/>
                          <pic:cNvPicPr>
                            <a:picLocks noChangeAspect="1"/>
                          </pic:cNvPicPr>
                        </pic:nvPicPr>
                        <pic:blipFill>
                          <a:blip r:embed="rId19"/>
                          <a:stretch>
                            <a:fillRect/>
                          </a:stretch>
                        </pic:blipFill>
                        <pic:spPr>
                          <a:xfrm>
                            <a:off x="0" y="0"/>
                            <a:ext cx="1890395" cy="2520315"/>
                          </a:xfrm>
                          <a:prstGeom prst="rect">
                            <a:avLst/>
                          </a:prstGeom>
                        </pic:spPr>
                      </pic:pic>
                    </a:graphicData>
                  </a:graphic>
                </wp:inline>
              </w:drawing>
            </w:r>
          </w:p>
          <w:p>
            <w:pPr>
              <w:spacing w:line="240" w:lineRule="auto"/>
              <w:ind w:right="82" w:rightChars="34" w:firstLine="480"/>
              <w:jc w:val="center"/>
              <w:rPr>
                <w:rFonts w:hint="default" w:ascii="宋体" w:hAnsi="宋体" w:eastAsia="宋体"/>
                <w:szCs w:val="21"/>
                <w:lang w:val="en-US" w:eastAsia="zh-CN"/>
              </w:rPr>
            </w:pPr>
            <w:r>
              <w:rPr>
                <w:rFonts w:hint="eastAsia" w:ascii="宋体" w:hAnsi="宋体"/>
                <w:szCs w:val="21"/>
                <w:lang w:val="en-US" w:eastAsia="zh-CN"/>
              </w:rPr>
              <w:t>建筑外观</w:t>
            </w:r>
          </w:p>
        </w:tc>
        <w:tc>
          <w:tcPr>
            <w:tcW w:w="4604" w:type="dxa"/>
            <w:noWrap w:val="0"/>
            <w:vAlign w:val="center"/>
          </w:tcPr>
          <w:p>
            <w:pPr>
              <w:spacing w:line="720" w:lineRule="auto"/>
              <w:ind w:right="82" w:rightChars="34" w:firstLine="0" w:firstLineChars="0"/>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1890395" cy="2520315"/>
                  <wp:effectExtent l="0" t="0" r="14605" b="13335"/>
                  <wp:docPr id="6" name="图片 6" descr="IMG_9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9955"/>
                          <pic:cNvPicPr>
                            <a:picLocks noChangeAspect="1"/>
                          </pic:cNvPicPr>
                        </pic:nvPicPr>
                        <pic:blipFill>
                          <a:blip r:embed="rId20"/>
                          <a:stretch>
                            <a:fillRect/>
                          </a:stretch>
                        </pic:blipFill>
                        <pic:spPr>
                          <a:xfrm>
                            <a:off x="0" y="0"/>
                            <a:ext cx="1890395" cy="2520315"/>
                          </a:xfrm>
                          <a:prstGeom prst="rect">
                            <a:avLst/>
                          </a:prstGeom>
                        </pic:spPr>
                      </pic:pic>
                    </a:graphicData>
                  </a:graphic>
                </wp:inline>
              </w:drawing>
            </w:r>
          </w:p>
          <w:p>
            <w:pPr>
              <w:spacing w:line="240" w:lineRule="auto"/>
              <w:ind w:right="82" w:rightChars="34" w:firstLine="0" w:firstLineChars="0"/>
              <w:jc w:val="center"/>
              <w:rPr>
                <w:rFonts w:hint="default" w:ascii="宋体" w:hAnsi="宋体" w:eastAsia="宋体"/>
                <w:szCs w:val="21"/>
                <w:lang w:val="en-US" w:eastAsia="zh-CN"/>
              </w:rPr>
            </w:pPr>
            <w:r>
              <w:rPr>
                <w:rFonts w:hint="eastAsia" w:ascii="宋体" w:hAnsi="宋体"/>
                <w:szCs w:val="21"/>
                <w:lang w:val="en-US" w:eastAsia="zh-CN"/>
              </w:rPr>
              <w:t>入户门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9" w:hRule="exact"/>
        </w:trPr>
        <w:tc>
          <w:tcPr>
            <w:tcW w:w="4569" w:type="dxa"/>
            <w:noWrap w:val="0"/>
            <w:vAlign w:val="center"/>
          </w:tcPr>
          <w:p>
            <w:pPr>
              <w:spacing w:line="720" w:lineRule="auto"/>
              <w:ind w:right="82" w:rightChars="34" w:firstLine="0" w:firstLineChars="0"/>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1890395" cy="2520315"/>
                  <wp:effectExtent l="0" t="0" r="14605" b="13335"/>
                  <wp:docPr id="7" name="图片 7" descr="IMG_9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9956"/>
                          <pic:cNvPicPr>
                            <a:picLocks noChangeAspect="1"/>
                          </pic:cNvPicPr>
                        </pic:nvPicPr>
                        <pic:blipFill>
                          <a:blip r:embed="rId21"/>
                          <a:stretch>
                            <a:fillRect/>
                          </a:stretch>
                        </pic:blipFill>
                        <pic:spPr>
                          <a:xfrm>
                            <a:off x="0" y="0"/>
                            <a:ext cx="1890395" cy="2520315"/>
                          </a:xfrm>
                          <a:prstGeom prst="rect">
                            <a:avLst/>
                          </a:prstGeom>
                        </pic:spPr>
                      </pic:pic>
                    </a:graphicData>
                  </a:graphic>
                </wp:inline>
              </w:drawing>
            </w:r>
          </w:p>
          <w:p>
            <w:pPr>
              <w:spacing w:line="240" w:lineRule="auto"/>
              <w:ind w:right="82" w:rightChars="34" w:firstLine="480"/>
              <w:jc w:val="center"/>
              <w:rPr>
                <w:rFonts w:hint="eastAsia" w:ascii="宋体" w:hAnsi="宋体"/>
                <w:szCs w:val="21"/>
              </w:rPr>
            </w:pPr>
            <w:r>
              <w:rPr>
                <w:rFonts w:hint="eastAsia" w:ascii="宋体" w:hAnsi="宋体"/>
                <w:szCs w:val="21"/>
                <w:lang w:val="en-US" w:eastAsia="zh-CN"/>
              </w:rPr>
              <w:t>室内状况</w:t>
            </w:r>
          </w:p>
        </w:tc>
        <w:tc>
          <w:tcPr>
            <w:tcW w:w="4604" w:type="dxa"/>
            <w:noWrap w:val="0"/>
            <w:vAlign w:val="center"/>
          </w:tcPr>
          <w:p>
            <w:pPr>
              <w:spacing w:line="720" w:lineRule="auto"/>
              <w:ind w:right="82" w:rightChars="34" w:firstLine="0" w:firstLineChars="0"/>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1890395" cy="2520315"/>
                  <wp:effectExtent l="0" t="0" r="14605" b="13335"/>
                  <wp:docPr id="9" name="图片 9" descr="IMG_9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9960"/>
                          <pic:cNvPicPr>
                            <a:picLocks noChangeAspect="1"/>
                          </pic:cNvPicPr>
                        </pic:nvPicPr>
                        <pic:blipFill>
                          <a:blip r:embed="rId22"/>
                          <a:stretch>
                            <a:fillRect/>
                          </a:stretch>
                        </pic:blipFill>
                        <pic:spPr>
                          <a:xfrm>
                            <a:off x="0" y="0"/>
                            <a:ext cx="1890395" cy="2520315"/>
                          </a:xfrm>
                          <a:prstGeom prst="rect">
                            <a:avLst/>
                          </a:prstGeom>
                        </pic:spPr>
                      </pic:pic>
                    </a:graphicData>
                  </a:graphic>
                </wp:inline>
              </w:drawing>
            </w:r>
          </w:p>
          <w:p>
            <w:pPr>
              <w:spacing w:line="240" w:lineRule="auto"/>
              <w:ind w:right="82" w:rightChars="34" w:firstLine="480"/>
              <w:jc w:val="center"/>
              <w:rPr>
                <w:rFonts w:hint="eastAsia" w:ascii="宋体" w:hAnsi="宋体"/>
                <w:szCs w:val="21"/>
              </w:rPr>
            </w:pPr>
            <w:r>
              <w:rPr>
                <w:rFonts w:hint="eastAsia" w:ascii="宋体" w:hAnsi="宋体"/>
                <w:szCs w:val="21"/>
                <w:lang w:val="en-US" w:eastAsia="zh-CN"/>
              </w:rPr>
              <w:t>室内状况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3" w:hRule="exact"/>
        </w:trPr>
        <w:tc>
          <w:tcPr>
            <w:tcW w:w="4569" w:type="dxa"/>
            <w:noWrap w:val="0"/>
            <w:vAlign w:val="center"/>
          </w:tcPr>
          <w:p>
            <w:pPr>
              <w:spacing w:line="720" w:lineRule="auto"/>
              <w:ind w:right="82" w:rightChars="34" w:firstLine="199" w:firstLineChars="83"/>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1890395" cy="2520315"/>
                  <wp:effectExtent l="0" t="0" r="14605" b="13335"/>
                  <wp:docPr id="10" name="图片 10" descr="IMG_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9961"/>
                          <pic:cNvPicPr>
                            <a:picLocks noChangeAspect="1"/>
                          </pic:cNvPicPr>
                        </pic:nvPicPr>
                        <pic:blipFill>
                          <a:blip r:embed="rId23"/>
                          <a:stretch>
                            <a:fillRect/>
                          </a:stretch>
                        </pic:blipFill>
                        <pic:spPr>
                          <a:xfrm>
                            <a:off x="0" y="0"/>
                            <a:ext cx="1890395" cy="2520315"/>
                          </a:xfrm>
                          <a:prstGeom prst="rect">
                            <a:avLst/>
                          </a:prstGeom>
                        </pic:spPr>
                      </pic:pic>
                    </a:graphicData>
                  </a:graphic>
                </wp:inline>
              </w:drawing>
            </w:r>
          </w:p>
          <w:p>
            <w:pPr>
              <w:spacing w:line="240" w:lineRule="auto"/>
              <w:ind w:right="82" w:rightChars="34" w:firstLine="480"/>
              <w:jc w:val="center"/>
              <w:rPr>
                <w:rFonts w:hint="eastAsia" w:ascii="宋体" w:hAnsi="宋体"/>
                <w:szCs w:val="21"/>
              </w:rPr>
            </w:pPr>
            <w:r>
              <w:rPr>
                <w:rFonts w:hint="eastAsia" w:ascii="宋体" w:hAnsi="宋体"/>
                <w:szCs w:val="21"/>
                <w:lang w:val="en-US" w:eastAsia="zh-CN"/>
              </w:rPr>
              <w:t>室内状况</w:t>
            </w:r>
          </w:p>
        </w:tc>
        <w:tc>
          <w:tcPr>
            <w:tcW w:w="4604" w:type="dxa"/>
            <w:noWrap w:val="0"/>
            <w:vAlign w:val="center"/>
          </w:tcPr>
          <w:p>
            <w:pPr>
              <w:spacing w:line="720" w:lineRule="auto"/>
              <w:ind w:right="82" w:rightChars="34" w:firstLine="0" w:firstLineChars="0"/>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1890395" cy="2520315"/>
                  <wp:effectExtent l="0" t="0" r="14605" b="13335"/>
                  <wp:docPr id="11" name="图片 11" descr="IMG_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9957"/>
                          <pic:cNvPicPr>
                            <a:picLocks noChangeAspect="1"/>
                          </pic:cNvPicPr>
                        </pic:nvPicPr>
                        <pic:blipFill>
                          <a:blip r:embed="rId24"/>
                          <a:stretch>
                            <a:fillRect/>
                          </a:stretch>
                        </pic:blipFill>
                        <pic:spPr>
                          <a:xfrm>
                            <a:off x="0" y="0"/>
                            <a:ext cx="1890395" cy="2520315"/>
                          </a:xfrm>
                          <a:prstGeom prst="rect">
                            <a:avLst/>
                          </a:prstGeom>
                        </pic:spPr>
                      </pic:pic>
                    </a:graphicData>
                  </a:graphic>
                </wp:inline>
              </w:drawing>
            </w:r>
          </w:p>
          <w:p>
            <w:pPr>
              <w:spacing w:line="400" w:lineRule="exact"/>
              <w:ind w:right="82" w:rightChars="34" w:firstLine="480"/>
              <w:jc w:val="center"/>
              <w:rPr>
                <w:rFonts w:hint="eastAsia" w:ascii="宋体" w:hAnsi="宋体" w:eastAsia="宋体"/>
                <w:szCs w:val="21"/>
                <w:lang w:eastAsia="zh-CN"/>
              </w:rPr>
            </w:pPr>
            <w:r>
              <w:rPr>
                <w:rFonts w:hint="eastAsia" w:ascii="宋体" w:hAnsi="宋体"/>
                <w:szCs w:val="21"/>
                <w:lang w:val="en-US" w:eastAsia="zh-CN"/>
              </w:rPr>
              <w:t>室内状况</w:t>
            </w:r>
          </w:p>
        </w:tc>
      </w:tr>
    </w:tbl>
    <w:p>
      <w:pPr>
        <w:spacing w:line="560" w:lineRule="exact"/>
        <w:ind w:firstLine="480"/>
        <w:jc w:val="center"/>
        <w:rPr>
          <w:rFonts w:hint="eastAsia" w:ascii="宋体" w:hAnsi="宋体" w:eastAsia="宋体"/>
          <w:b/>
          <w:color w:val="000000"/>
          <w:sz w:val="28"/>
          <w:lang w:val="en-US" w:eastAsia="zh-CN"/>
        </w:rPr>
      </w:pPr>
      <w:r>
        <w:rPr>
          <w:rFonts w:hint="eastAsia" w:ascii="宋体" w:hAnsi="宋体"/>
          <w:b/>
          <w:bCs/>
          <w:color w:val="000000"/>
          <w:sz w:val="28"/>
        </w:rPr>
        <w:t>估价对象实地查勘情况相关照片</w:t>
      </w:r>
      <w:r>
        <w:rPr>
          <w:rFonts w:hint="eastAsia" w:ascii="宋体" w:hAnsi="宋体"/>
          <w:b/>
          <w:bCs/>
          <w:color w:val="000000"/>
          <w:sz w:val="28"/>
          <w:lang w:val="en-US" w:eastAsia="zh-CN"/>
        </w:rPr>
        <w:t>2</w:t>
      </w:r>
    </w:p>
    <w:tbl>
      <w:tblPr>
        <w:tblStyle w:val="29"/>
        <w:tblpPr w:leftFromText="180" w:rightFromText="180" w:vertAnchor="text" w:horzAnchor="margin" w:tblpXSpec="center" w:tblpY="158"/>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9"/>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exact"/>
        </w:trPr>
        <w:tc>
          <w:tcPr>
            <w:tcW w:w="4569" w:type="dxa"/>
            <w:noWrap w:val="0"/>
            <w:vAlign w:val="center"/>
          </w:tcPr>
          <w:p>
            <w:pPr>
              <w:spacing w:line="720" w:lineRule="auto"/>
              <w:ind w:right="82" w:rightChars="34" w:firstLine="0" w:firstLineChars="0"/>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2713990" cy="2035175"/>
                  <wp:effectExtent l="0" t="0" r="10160" b="3175"/>
                  <wp:docPr id="22" name="图片 22" descr="IMG_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9968"/>
                          <pic:cNvPicPr>
                            <a:picLocks noChangeAspect="1"/>
                          </pic:cNvPicPr>
                        </pic:nvPicPr>
                        <pic:blipFill>
                          <a:blip r:embed="rId25"/>
                          <a:stretch>
                            <a:fillRect/>
                          </a:stretch>
                        </pic:blipFill>
                        <pic:spPr>
                          <a:xfrm>
                            <a:off x="0" y="0"/>
                            <a:ext cx="2713990" cy="2035175"/>
                          </a:xfrm>
                          <a:prstGeom prst="rect">
                            <a:avLst/>
                          </a:prstGeom>
                        </pic:spPr>
                      </pic:pic>
                    </a:graphicData>
                  </a:graphic>
                </wp:inline>
              </w:drawing>
            </w:r>
          </w:p>
          <w:p>
            <w:pPr>
              <w:spacing w:line="240" w:lineRule="auto"/>
              <w:ind w:right="82" w:rightChars="34" w:firstLine="480"/>
              <w:jc w:val="center"/>
              <w:rPr>
                <w:rFonts w:hint="default" w:ascii="宋体" w:hAnsi="宋体" w:eastAsia="宋体"/>
                <w:szCs w:val="21"/>
                <w:lang w:val="en-US" w:eastAsia="zh-CN"/>
              </w:rPr>
            </w:pPr>
            <w:r>
              <w:rPr>
                <w:rFonts w:hint="eastAsia" w:ascii="宋体" w:hAnsi="宋体"/>
                <w:szCs w:val="21"/>
                <w:lang w:val="en-US" w:eastAsia="zh-CN"/>
              </w:rPr>
              <w:t>楼道走廊</w:t>
            </w:r>
          </w:p>
        </w:tc>
        <w:tc>
          <w:tcPr>
            <w:tcW w:w="4604" w:type="dxa"/>
            <w:noWrap w:val="0"/>
            <w:vAlign w:val="center"/>
          </w:tcPr>
          <w:p>
            <w:pPr>
              <w:spacing w:line="720" w:lineRule="auto"/>
              <w:ind w:right="82" w:rightChars="34" w:firstLine="0" w:firstLineChars="0"/>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2765425" cy="2073910"/>
                  <wp:effectExtent l="0" t="0" r="15875" b="2540"/>
                  <wp:docPr id="16" name="图片 16" descr="IMG_9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9969"/>
                          <pic:cNvPicPr>
                            <a:picLocks noChangeAspect="1"/>
                          </pic:cNvPicPr>
                        </pic:nvPicPr>
                        <pic:blipFill>
                          <a:blip r:embed="rId26"/>
                          <a:stretch>
                            <a:fillRect/>
                          </a:stretch>
                        </pic:blipFill>
                        <pic:spPr>
                          <a:xfrm>
                            <a:off x="0" y="0"/>
                            <a:ext cx="2765425" cy="2073910"/>
                          </a:xfrm>
                          <a:prstGeom prst="rect">
                            <a:avLst/>
                          </a:prstGeom>
                        </pic:spPr>
                      </pic:pic>
                    </a:graphicData>
                  </a:graphic>
                </wp:inline>
              </w:drawing>
            </w:r>
          </w:p>
          <w:p>
            <w:pPr>
              <w:spacing w:line="240" w:lineRule="auto"/>
              <w:ind w:right="82" w:rightChars="34" w:firstLine="0" w:firstLineChars="0"/>
              <w:jc w:val="center"/>
              <w:rPr>
                <w:rFonts w:hint="default" w:ascii="宋体" w:hAnsi="宋体" w:eastAsia="宋体"/>
                <w:szCs w:val="21"/>
                <w:lang w:val="en-US" w:eastAsia="zh-CN"/>
              </w:rPr>
            </w:pPr>
            <w:r>
              <w:rPr>
                <w:rFonts w:hint="eastAsia" w:ascii="宋体" w:hAnsi="宋体"/>
                <w:szCs w:val="21"/>
                <w:lang w:val="en-US" w:eastAsia="zh-CN"/>
              </w:rPr>
              <w:t>一层大堂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8" w:hRule="exact"/>
        </w:trPr>
        <w:tc>
          <w:tcPr>
            <w:tcW w:w="4569" w:type="dxa"/>
            <w:noWrap w:val="0"/>
            <w:vAlign w:val="center"/>
          </w:tcPr>
          <w:p>
            <w:pPr>
              <w:spacing w:line="720" w:lineRule="auto"/>
              <w:ind w:right="82" w:rightChars="34" w:firstLine="0" w:firstLineChars="0"/>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2713990" cy="2035175"/>
                  <wp:effectExtent l="0" t="0" r="10160" b="3175"/>
                  <wp:docPr id="17" name="图片 17" descr="IMG_9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9909"/>
                          <pic:cNvPicPr>
                            <a:picLocks noChangeAspect="1"/>
                          </pic:cNvPicPr>
                        </pic:nvPicPr>
                        <pic:blipFill>
                          <a:blip r:embed="rId27"/>
                          <a:stretch>
                            <a:fillRect/>
                          </a:stretch>
                        </pic:blipFill>
                        <pic:spPr>
                          <a:xfrm>
                            <a:off x="0" y="0"/>
                            <a:ext cx="2713990" cy="2035175"/>
                          </a:xfrm>
                          <a:prstGeom prst="rect">
                            <a:avLst/>
                          </a:prstGeom>
                        </pic:spPr>
                      </pic:pic>
                    </a:graphicData>
                  </a:graphic>
                </wp:inline>
              </w:drawing>
            </w:r>
          </w:p>
          <w:p>
            <w:pPr>
              <w:spacing w:line="240" w:lineRule="auto"/>
              <w:ind w:right="82" w:rightChars="34" w:firstLine="480"/>
              <w:jc w:val="center"/>
              <w:rPr>
                <w:rFonts w:hint="eastAsia" w:ascii="宋体" w:hAnsi="宋体"/>
                <w:szCs w:val="21"/>
              </w:rPr>
            </w:pPr>
            <w:r>
              <w:rPr>
                <w:rFonts w:hint="eastAsia" w:ascii="宋体" w:hAnsi="宋体"/>
                <w:szCs w:val="21"/>
                <w:lang w:val="en-US" w:eastAsia="zh-CN"/>
              </w:rPr>
              <w:t>小区大门</w:t>
            </w:r>
          </w:p>
        </w:tc>
        <w:tc>
          <w:tcPr>
            <w:tcW w:w="4604" w:type="dxa"/>
            <w:noWrap w:val="0"/>
            <w:vAlign w:val="center"/>
          </w:tcPr>
          <w:p>
            <w:pPr>
              <w:spacing w:line="720" w:lineRule="auto"/>
              <w:ind w:right="82" w:rightChars="34" w:firstLine="0" w:firstLineChars="0"/>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2765425" cy="2073910"/>
                  <wp:effectExtent l="0" t="0" r="15875" b="2540"/>
                  <wp:docPr id="18" name="图片 18" descr="IMG_9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9971"/>
                          <pic:cNvPicPr>
                            <a:picLocks noChangeAspect="1"/>
                          </pic:cNvPicPr>
                        </pic:nvPicPr>
                        <pic:blipFill>
                          <a:blip r:embed="rId28"/>
                          <a:stretch>
                            <a:fillRect/>
                          </a:stretch>
                        </pic:blipFill>
                        <pic:spPr>
                          <a:xfrm>
                            <a:off x="0" y="0"/>
                            <a:ext cx="2765425" cy="2073910"/>
                          </a:xfrm>
                          <a:prstGeom prst="rect">
                            <a:avLst/>
                          </a:prstGeom>
                        </pic:spPr>
                      </pic:pic>
                    </a:graphicData>
                  </a:graphic>
                </wp:inline>
              </w:drawing>
            </w:r>
          </w:p>
          <w:p>
            <w:pPr>
              <w:spacing w:line="240" w:lineRule="auto"/>
              <w:ind w:right="82" w:rightChars="34" w:firstLine="480"/>
              <w:jc w:val="center"/>
              <w:rPr>
                <w:rFonts w:hint="eastAsia" w:ascii="宋体" w:hAnsi="宋体"/>
                <w:szCs w:val="21"/>
              </w:rPr>
            </w:pPr>
            <w:r>
              <w:rPr>
                <w:rFonts w:hint="eastAsia" w:ascii="宋体" w:hAnsi="宋体"/>
                <w:szCs w:val="21"/>
                <w:lang w:val="en-US" w:eastAsia="zh-CN"/>
              </w:rPr>
              <w:t>小区环境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3" w:hRule="exact"/>
        </w:trPr>
        <w:tc>
          <w:tcPr>
            <w:tcW w:w="4569" w:type="dxa"/>
            <w:noWrap w:val="0"/>
            <w:vAlign w:val="center"/>
          </w:tcPr>
          <w:p>
            <w:pPr>
              <w:spacing w:line="240" w:lineRule="auto"/>
              <w:ind w:right="82" w:rightChars="34" w:firstLine="480"/>
              <w:jc w:val="center"/>
              <w:rPr>
                <w:rFonts w:hint="eastAsia" w:ascii="宋体" w:hAnsi="宋体" w:eastAsia="宋体"/>
                <w:szCs w:val="21"/>
                <w:lang w:eastAsia="zh-CN"/>
              </w:rPr>
            </w:pPr>
            <w:r>
              <w:rPr>
                <w:rFonts w:hint="eastAsia" w:ascii="宋体" w:hAnsi="宋体" w:eastAsia="宋体"/>
                <w:szCs w:val="21"/>
                <w:lang w:eastAsia="zh-CN"/>
              </w:rPr>
              <w:drawing>
                <wp:anchor distT="0" distB="0" distL="114300" distR="114300" simplePos="0" relativeHeight="251662336" behindDoc="1" locked="0" layoutInCell="1" allowOverlap="1">
                  <wp:simplePos x="0" y="0"/>
                  <wp:positionH relativeFrom="column">
                    <wp:posOffset>-13970</wp:posOffset>
                  </wp:positionH>
                  <wp:positionV relativeFrom="paragraph">
                    <wp:posOffset>194945</wp:posOffset>
                  </wp:positionV>
                  <wp:extent cx="2713990" cy="2035175"/>
                  <wp:effectExtent l="0" t="0" r="10160" b="3175"/>
                  <wp:wrapNone/>
                  <wp:docPr id="19" name="图片 19" descr="IMG_9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9974"/>
                          <pic:cNvPicPr>
                            <a:picLocks noChangeAspect="1"/>
                          </pic:cNvPicPr>
                        </pic:nvPicPr>
                        <pic:blipFill>
                          <a:blip r:embed="rId29"/>
                          <a:stretch>
                            <a:fillRect/>
                          </a:stretch>
                        </pic:blipFill>
                        <pic:spPr>
                          <a:xfrm>
                            <a:off x="0" y="0"/>
                            <a:ext cx="2713990" cy="2035175"/>
                          </a:xfrm>
                          <a:prstGeom prst="rect">
                            <a:avLst/>
                          </a:prstGeom>
                        </pic:spPr>
                      </pic:pic>
                    </a:graphicData>
                  </a:graphic>
                </wp:anchor>
              </w:drawing>
            </w:r>
          </w:p>
          <w:p>
            <w:pPr>
              <w:spacing w:line="240" w:lineRule="auto"/>
              <w:ind w:right="82" w:rightChars="34" w:firstLine="480"/>
              <w:jc w:val="center"/>
              <w:rPr>
                <w:rFonts w:hint="eastAsia" w:ascii="宋体" w:hAnsi="宋体" w:eastAsia="宋体"/>
                <w:szCs w:val="21"/>
                <w:lang w:eastAsia="zh-CN"/>
              </w:rPr>
            </w:pPr>
          </w:p>
          <w:p>
            <w:pPr>
              <w:spacing w:line="240" w:lineRule="auto"/>
              <w:ind w:right="82" w:rightChars="34" w:firstLine="480"/>
              <w:jc w:val="center"/>
              <w:rPr>
                <w:rFonts w:hint="eastAsia" w:ascii="宋体" w:hAnsi="宋体" w:eastAsia="宋体"/>
                <w:szCs w:val="21"/>
                <w:lang w:eastAsia="zh-CN"/>
              </w:rPr>
            </w:pPr>
          </w:p>
          <w:p>
            <w:pPr>
              <w:spacing w:line="240" w:lineRule="auto"/>
              <w:ind w:right="82" w:rightChars="34" w:firstLine="480"/>
              <w:jc w:val="center"/>
              <w:rPr>
                <w:rFonts w:hint="eastAsia" w:ascii="宋体" w:hAnsi="宋体" w:eastAsia="宋体"/>
                <w:szCs w:val="21"/>
                <w:lang w:eastAsia="zh-CN"/>
              </w:rPr>
            </w:pPr>
          </w:p>
          <w:p>
            <w:pPr>
              <w:spacing w:line="240" w:lineRule="auto"/>
              <w:ind w:right="82" w:rightChars="34" w:firstLine="480"/>
              <w:jc w:val="center"/>
              <w:rPr>
                <w:rFonts w:hint="eastAsia" w:ascii="宋体" w:hAnsi="宋体" w:eastAsia="宋体"/>
                <w:szCs w:val="21"/>
                <w:lang w:eastAsia="zh-CN"/>
              </w:rPr>
            </w:pPr>
          </w:p>
          <w:p>
            <w:pPr>
              <w:spacing w:line="240" w:lineRule="auto"/>
              <w:ind w:right="82" w:rightChars="34" w:firstLine="480"/>
              <w:jc w:val="center"/>
              <w:rPr>
                <w:rFonts w:hint="eastAsia" w:ascii="宋体" w:hAnsi="宋体" w:eastAsia="宋体"/>
                <w:szCs w:val="21"/>
                <w:lang w:eastAsia="zh-CN"/>
              </w:rPr>
            </w:pPr>
          </w:p>
          <w:p>
            <w:pPr>
              <w:spacing w:line="240" w:lineRule="auto"/>
              <w:ind w:right="82" w:rightChars="34" w:firstLine="480"/>
              <w:jc w:val="center"/>
              <w:rPr>
                <w:rFonts w:hint="eastAsia" w:ascii="宋体" w:hAnsi="宋体" w:eastAsia="宋体"/>
                <w:szCs w:val="21"/>
                <w:lang w:eastAsia="zh-CN"/>
              </w:rPr>
            </w:pPr>
          </w:p>
          <w:p>
            <w:pPr>
              <w:spacing w:line="240" w:lineRule="auto"/>
              <w:ind w:right="82" w:rightChars="34" w:firstLine="480"/>
              <w:jc w:val="center"/>
              <w:rPr>
                <w:rFonts w:hint="eastAsia" w:ascii="宋体" w:hAnsi="宋体" w:eastAsia="宋体"/>
                <w:szCs w:val="21"/>
                <w:lang w:eastAsia="zh-CN"/>
              </w:rPr>
            </w:pPr>
          </w:p>
          <w:p>
            <w:pPr>
              <w:spacing w:line="240" w:lineRule="auto"/>
              <w:ind w:right="82" w:rightChars="34" w:firstLine="480"/>
              <w:jc w:val="center"/>
              <w:rPr>
                <w:rFonts w:hint="eastAsia" w:ascii="宋体" w:hAnsi="宋体" w:eastAsia="宋体"/>
                <w:szCs w:val="21"/>
                <w:lang w:eastAsia="zh-CN"/>
              </w:rPr>
            </w:pPr>
          </w:p>
          <w:p>
            <w:pPr>
              <w:spacing w:line="240" w:lineRule="auto"/>
              <w:ind w:right="82" w:rightChars="34" w:firstLine="480"/>
              <w:jc w:val="center"/>
              <w:rPr>
                <w:rFonts w:hint="eastAsia" w:ascii="宋体" w:hAnsi="宋体" w:eastAsia="宋体"/>
                <w:szCs w:val="21"/>
                <w:lang w:eastAsia="zh-CN"/>
              </w:rPr>
            </w:pPr>
          </w:p>
          <w:p>
            <w:pPr>
              <w:spacing w:line="240" w:lineRule="auto"/>
              <w:ind w:right="82" w:rightChars="34" w:firstLine="480"/>
              <w:jc w:val="center"/>
              <w:rPr>
                <w:rFonts w:hint="eastAsia" w:ascii="宋体" w:hAnsi="宋体" w:eastAsia="宋体"/>
                <w:szCs w:val="21"/>
                <w:lang w:eastAsia="zh-CN"/>
              </w:rPr>
            </w:pPr>
          </w:p>
          <w:p>
            <w:pPr>
              <w:tabs>
                <w:tab w:val="left" w:pos="1686"/>
              </w:tabs>
              <w:bidi w:val="0"/>
              <w:jc w:val="left"/>
              <w:rPr>
                <w:rFonts w:hint="eastAsia" w:ascii="Courier New" w:hAnsi="Courier New" w:eastAsia="宋体" w:cs="Courier New"/>
                <w:kern w:val="2"/>
                <w:sz w:val="24"/>
                <w:lang w:val="en-US" w:eastAsia="zh-CN" w:bidi="ar-SA"/>
              </w:rPr>
            </w:pPr>
            <w:r>
              <w:rPr>
                <w:rFonts w:hint="eastAsia" w:cs="Courier New"/>
                <w:kern w:val="2"/>
                <w:sz w:val="24"/>
                <w:lang w:val="en-US" w:eastAsia="zh-CN" w:bidi="ar-SA"/>
              </w:rPr>
              <w:tab/>
            </w:r>
            <w:r>
              <w:rPr>
                <w:rFonts w:hint="eastAsia" w:ascii="宋体" w:hAnsi="宋体"/>
                <w:szCs w:val="21"/>
                <w:lang w:val="en-US" w:eastAsia="zh-CN"/>
              </w:rPr>
              <w:t>小区环境</w:t>
            </w:r>
          </w:p>
        </w:tc>
        <w:tc>
          <w:tcPr>
            <w:tcW w:w="4604" w:type="dxa"/>
            <w:noWrap w:val="0"/>
            <w:vAlign w:val="center"/>
          </w:tcPr>
          <w:p>
            <w:pPr>
              <w:spacing w:line="400" w:lineRule="exact"/>
              <w:ind w:right="82" w:rightChars="34" w:firstLine="480"/>
              <w:jc w:val="center"/>
              <w:rPr>
                <w:rFonts w:hint="eastAsia" w:ascii="宋体" w:hAnsi="宋体" w:eastAsia="宋体"/>
                <w:szCs w:val="21"/>
                <w:lang w:eastAsia="zh-CN"/>
              </w:rPr>
            </w:pPr>
            <w:r>
              <w:rPr>
                <w:rFonts w:hint="eastAsia" w:ascii="宋体" w:hAnsi="宋体" w:eastAsia="宋体"/>
                <w:szCs w:val="21"/>
                <w:lang w:eastAsia="zh-CN"/>
              </w:rPr>
              <w:drawing>
                <wp:anchor distT="0" distB="0" distL="114300" distR="114300" simplePos="0" relativeHeight="251662336" behindDoc="1" locked="0" layoutInCell="1" allowOverlap="1">
                  <wp:simplePos x="0" y="0"/>
                  <wp:positionH relativeFrom="column">
                    <wp:posOffset>26035</wp:posOffset>
                  </wp:positionH>
                  <wp:positionV relativeFrom="paragraph">
                    <wp:posOffset>218440</wp:posOffset>
                  </wp:positionV>
                  <wp:extent cx="2765425" cy="2073910"/>
                  <wp:effectExtent l="0" t="0" r="15875" b="2540"/>
                  <wp:wrapTight wrapText="bothSides">
                    <wp:wrapPolygon>
                      <wp:start x="0" y="0"/>
                      <wp:lineTo x="0" y="21428"/>
                      <wp:lineTo x="21426" y="21428"/>
                      <wp:lineTo x="21426" y="0"/>
                      <wp:lineTo x="0" y="0"/>
                    </wp:wrapPolygon>
                  </wp:wrapTight>
                  <wp:docPr id="21" name="图片 21" descr="IMG_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9951"/>
                          <pic:cNvPicPr>
                            <a:picLocks noChangeAspect="1"/>
                          </pic:cNvPicPr>
                        </pic:nvPicPr>
                        <pic:blipFill>
                          <a:blip r:embed="rId30"/>
                          <a:stretch>
                            <a:fillRect/>
                          </a:stretch>
                        </pic:blipFill>
                        <pic:spPr>
                          <a:xfrm>
                            <a:off x="0" y="0"/>
                            <a:ext cx="2765425" cy="2073910"/>
                          </a:xfrm>
                          <a:prstGeom prst="rect">
                            <a:avLst/>
                          </a:prstGeom>
                        </pic:spPr>
                      </pic:pic>
                    </a:graphicData>
                  </a:graphic>
                </wp:anchor>
              </w:drawing>
            </w:r>
            <w:r>
              <w:rPr>
                <w:rFonts w:hint="eastAsia" w:ascii="宋体" w:hAnsi="宋体"/>
                <w:szCs w:val="21"/>
                <w:lang w:eastAsia="zh-CN"/>
              </w:rPr>
              <w:t>楼宇入户</w:t>
            </w:r>
          </w:p>
        </w:tc>
      </w:tr>
    </w:tbl>
    <w:p>
      <w:pPr>
        <w:spacing w:line="400" w:lineRule="atLeast"/>
        <w:ind w:left="0" w:leftChars="0" w:firstLine="0" w:firstLineChars="0"/>
      </w:pPr>
    </w:p>
    <w:sectPr>
      <w:headerReference r:id="rId14" w:type="default"/>
      <w:footerReference r:id="rId15" w:type="default"/>
      <w:pgSz w:w="11906" w:h="16838"/>
      <w:pgMar w:top="1418" w:right="1191" w:bottom="1134" w:left="1418" w:header="794" w:footer="68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2"/>
      <w:jc w:val="right"/>
      <w:rPr>
        <w:rFonts w:ascii="宋体" w:hAnsi="宋体"/>
        <w:b/>
        <w:sz w:val="21"/>
        <w:szCs w:val="21"/>
      </w:rPr>
    </w:pPr>
    <w:r>
      <w:rPr>
        <w:rFonts w:hint="eastAsia" w:ascii="宋体" w:hAnsi="宋体"/>
        <w:b/>
        <w:sz w:val="21"/>
        <w:szCs w:val="21"/>
      </w:rPr>
      <w:t>监督</w:t>
    </w:r>
    <w:r>
      <w:rPr>
        <w:rFonts w:ascii="宋体" w:hAnsi="宋体"/>
        <w:b/>
        <w:sz w:val="21"/>
        <w:szCs w:val="21"/>
      </w:rPr>
      <w:t>电话：</w:t>
    </w:r>
    <w:r>
      <w:rPr>
        <w:rFonts w:hint="eastAsia" w:ascii="宋体" w:hAnsi="宋体"/>
        <w:b/>
        <w:sz w:val="21"/>
        <w:szCs w:val="21"/>
      </w:rPr>
      <w:t>0591-87673400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ind w:firstLine="422"/>
      <w:jc w:val="right"/>
      <w:rPr>
        <w:rFonts w:ascii="宋体" w:hAnsi="宋体"/>
        <w:b/>
        <w:sz w:val="21"/>
        <w:szCs w:val="21"/>
      </w:rPr>
    </w:pPr>
    <w:r>
      <w:rPr>
        <w:rFonts w:ascii="宋体" w:hAnsi="宋体"/>
        <w:b/>
        <w:sz w:val="21"/>
        <w:szCs w:val="21"/>
      </w:rPr>
      <w:t>第</w:t>
    </w:r>
    <w:r>
      <w:rPr>
        <w:rFonts w:ascii="宋体" w:hAnsi="宋体"/>
        <w:b/>
        <w:sz w:val="21"/>
        <w:szCs w:val="21"/>
      </w:rPr>
      <w:fldChar w:fldCharType="begin"/>
    </w:r>
    <w:r>
      <w:rPr>
        <w:rFonts w:ascii="宋体" w:hAnsi="宋体"/>
        <w:b/>
        <w:sz w:val="21"/>
        <w:szCs w:val="21"/>
      </w:rPr>
      <w:instrText xml:space="preserve">PAGE   \* MERGEFORMAT</w:instrText>
    </w:r>
    <w:r>
      <w:rPr>
        <w:rFonts w:ascii="宋体" w:hAnsi="宋体"/>
        <w:b/>
        <w:sz w:val="21"/>
        <w:szCs w:val="21"/>
      </w:rPr>
      <w:fldChar w:fldCharType="separate"/>
    </w:r>
    <w:r>
      <w:rPr>
        <w:rFonts w:ascii="宋体" w:hAnsi="宋体"/>
        <w:b/>
        <w:sz w:val="21"/>
        <w:szCs w:val="21"/>
        <w:lang w:val="zh-CN"/>
      </w:rPr>
      <w:t>1</w:t>
    </w:r>
    <w:r>
      <w:rPr>
        <w:rFonts w:ascii="宋体" w:hAnsi="宋体"/>
        <w:b/>
        <w:sz w:val="21"/>
        <w:szCs w:val="21"/>
      </w:rPr>
      <w:fldChar w:fldCharType="end"/>
    </w:r>
    <w:r>
      <w:rPr>
        <w:rFonts w:ascii="宋体" w:hAnsi="宋体"/>
        <w:b/>
        <w:sz w:val="21"/>
        <w:szCs w:val="21"/>
      </w:rPr>
      <w:t>页</w:t>
    </w:r>
    <w:r>
      <w:rPr>
        <w:rFonts w:hint="eastAsia" w:ascii="宋体" w:hAnsi="宋体"/>
        <w:b/>
        <w:sz w:val="21"/>
        <w:szCs w:val="21"/>
      </w:rPr>
      <w:t xml:space="preserve">                     监督</w:t>
    </w:r>
    <w:r>
      <w:rPr>
        <w:rFonts w:ascii="宋体" w:hAnsi="宋体"/>
        <w:b/>
        <w:sz w:val="21"/>
        <w:szCs w:val="21"/>
      </w:rPr>
      <w:t>电话：</w:t>
    </w:r>
    <w:r>
      <w:rPr>
        <w:rFonts w:hint="eastAsia" w:ascii="宋体" w:hAnsi="宋体"/>
        <w:b/>
        <w:sz w:val="21"/>
        <w:szCs w:val="21"/>
      </w:rPr>
      <w:t>0591-87673400</w:t>
    </w:r>
  </w:p>
  <w:p>
    <w:pPr>
      <w:pStyle w:val="18"/>
      <w:ind w:firstLine="422"/>
      <w:jc w:val="center"/>
      <w:rPr>
        <w:rFonts w:ascii="宋体" w:hAnsi="宋体"/>
        <w:b/>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420" w:rightChars="175" w:firstLine="422"/>
      <w:jc w:val="center"/>
      <w:rPr>
        <w:rFonts w:ascii="宋体" w:hAnsi="宋体" w:eastAsia="宋体"/>
        <w:b/>
        <w:sz w:val="21"/>
        <w:szCs w:val="21"/>
      </w:rPr>
    </w:pPr>
    <w:r>
      <w:rPr>
        <w:rFonts w:hint="eastAsia" w:ascii="宋体" w:hAnsi="宋体" w:eastAsia="宋体"/>
        <w:b/>
        <w:sz w:val="21"/>
        <w:szCs w:val="21"/>
      </w:rPr>
      <w:t xml:space="preserve">        </w:t>
    </w:r>
    <w:r>
      <w:rPr>
        <w:rFonts w:ascii="宋体" w:hAnsi="宋体"/>
        <w:b/>
        <w:sz w:val="21"/>
        <w:szCs w:val="21"/>
      </w:rPr>
      <w:t>第</w:t>
    </w:r>
    <w:r>
      <w:rPr>
        <w:rFonts w:ascii="宋体" w:hAnsi="宋体"/>
        <w:b/>
        <w:sz w:val="21"/>
        <w:szCs w:val="21"/>
      </w:rPr>
      <w:fldChar w:fldCharType="begin"/>
    </w:r>
    <w:r>
      <w:rPr>
        <w:rFonts w:ascii="宋体" w:hAnsi="宋体"/>
        <w:b/>
        <w:sz w:val="21"/>
        <w:szCs w:val="21"/>
      </w:rPr>
      <w:instrText xml:space="preserve">PAGE   \* MERGEFORMAT</w:instrText>
    </w:r>
    <w:r>
      <w:rPr>
        <w:rFonts w:ascii="宋体" w:hAnsi="宋体"/>
        <w:b/>
        <w:sz w:val="21"/>
        <w:szCs w:val="21"/>
      </w:rPr>
      <w:fldChar w:fldCharType="separate"/>
    </w:r>
    <w:r>
      <w:rPr>
        <w:rFonts w:ascii="宋体" w:hAnsi="宋体"/>
        <w:b/>
        <w:sz w:val="21"/>
        <w:szCs w:val="21"/>
        <w:lang w:val="zh-CN"/>
      </w:rPr>
      <w:t>8</w:t>
    </w:r>
    <w:r>
      <w:rPr>
        <w:rFonts w:ascii="宋体" w:hAnsi="宋体"/>
        <w:b/>
        <w:sz w:val="21"/>
        <w:szCs w:val="21"/>
      </w:rPr>
      <w:fldChar w:fldCharType="end"/>
    </w:r>
    <w:r>
      <w:rPr>
        <w:rFonts w:ascii="宋体" w:hAnsi="宋体"/>
        <w:b/>
        <w:sz w:val="21"/>
        <w:szCs w:val="21"/>
      </w:rPr>
      <w:t>页</w:t>
    </w:r>
    <w:r>
      <w:rPr>
        <w:rFonts w:hint="eastAsia" w:ascii="宋体" w:hAnsi="宋体"/>
        <w:b/>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2"/>
      <w:jc w:val="right"/>
      <w:rPr>
        <w:rFonts w:ascii="宋体" w:hAnsi="宋体"/>
        <w:b/>
        <w:sz w:val="21"/>
        <w:szCs w:val="21"/>
      </w:rPr>
    </w:pPr>
    <w:r>
      <w:rPr>
        <w:rFonts w:hint="eastAsia" w:ascii="宋体" w:hAnsi="宋体"/>
        <w:b/>
        <w:sz w:val="21"/>
        <w:szCs w:val="21"/>
      </w:rPr>
      <w:t>监督</w:t>
    </w:r>
    <w:r>
      <w:rPr>
        <w:rFonts w:ascii="宋体" w:hAnsi="宋体"/>
        <w:b/>
        <w:sz w:val="21"/>
        <w:szCs w:val="21"/>
      </w:rPr>
      <w:t>电话：</w:t>
    </w:r>
    <w:r>
      <w:rPr>
        <w:rFonts w:hint="eastAsia" w:ascii="宋体" w:hAnsi="宋体"/>
        <w:b/>
        <w:sz w:val="21"/>
        <w:szCs w:val="21"/>
      </w:rPr>
      <w:t>0591-87673400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420" w:rightChars="175" w:firstLine="422"/>
      <w:jc w:val="center"/>
      <w:rPr>
        <w:rFonts w:ascii="宋体" w:hAnsi="宋体" w:eastAsia="宋体"/>
        <w:b/>
        <w:sz w:val="21"/>
        <w:szCs w:val="21"/>
      </w:rPr>
    </w:pPr>
    <w:r>
      <w:rPr>
        <w:rFonts w:hint="eastAsia" w:ascii="宋体" w:hAnsi="宋体" w:eastAsia="宋体"/>
        <w:b/>
        <w:sz w:val="21"/>
        <w:szCs w:val="21"/>
      </w:rPr>
      <w:t xml:space="preserve">                                </w:t>
    </w:r>
    <w:r>
      <w:rPr>
        <w:rFonts w:ascii="宋体" w:hAnsi="宋体"/>
        <w:b/>
        <w:sz w:val="21"/>
        <w:szCs w:val="21"/>
      </w:rPr>
      <w:t></w:t>
    </w:r>
    <w:r>
      <w:rPr>
        <w:rFonts w:hint="eastAsia" w:ascii="宋体" w:hAnsi="宋体"/>
        <w:b/>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4"/>
      </w:pBdr>
      <w:ind w:firstLine="1093" w:firstLineChars="520"/>
      <w:jc w:val="both"/>
      <w:rPr>
        <w:rFonts w:ascii="宋体" w:hAnsi="宋体"/>
        <w:b/>
        <w:sz w:val="21"/>
        <w:szCs w:val="21"/>
      </w:rPr>
    </w:pPr>
    <w:r>
      <w:rPr>
        <w:rFonts w:hint="eastAsia" w:ascii="宋体" w:hAnsi="宋体"/>
        <w:b/>
        <w:sz w:val="21"/>
        <w:szCs w:val="21"/>
      </w:rPr>
      <w:t xml:space="preserve">房地产估价报告               </w:t>
    </w:r>
    <w:r>
      <w:rPr>
        <w:rFonts w:hint="eastAsia" w:ascii="宋体" w:hAnsi="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9"/>
      </w:pBdr>
      <w:ind w:firstLine="936" w:firstLineChars="520"/>
      <w:jc w:val="both"/>
      <w:rPr>
        <w:rFonts w:ascii="宋体" w:hAnsi="宋体"/>
        <w:b/>
        <w:sz w:val="21"/>
        <w:szCs w:val="21"/>
      </w:rPr>
    </w:pPr>
    <w:r>
      <w:rPr>
        <w:rFonts w:ascii="宋体" w:hAnsi="宋体"/>
      </w:rPr>
      <w:drawing>
        <wp:anchor distT="0" distB="0" distL="114300" distR="114300" simplePos="0" relativeHeight="251660288" behindDoc="0" locked="0" layoutInCell="1" allowOverlap="1">
          <wp:simplePos x="0" y="0"/>
          <wp:positionH relativeFrom="column">
            <wp:posOffset>-25400</wp:posOffset>
          </wp:positionH>
          <wp:positionV relativeFrom="paragraph">
            <wp:posOffset>-180340</wp:posOffset>
          </wp:positionV>
          <wp:extent cx="581025" cy="462915"/>
          <wp:effectExtent l="0" t="0" r="9525" b="13335"/>
          <wp:wrapNone/>
          <wp:docPr id="28" name="图片 9" descr="标志（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 descr="标志（小）"/>
                  <pic:cNvPicPr>
                    <a:picLocks noChangeAspect="1"/>
                  </pic:cNvPicPr>
                </pic:nvPicPr>
                <pic:blipFill>
                  <a:blip r:embed="rId1"/>
                  <a:stretch>
                    <a:fillRect/>
                  </a:stretch>
                </pic:blipFill>
                <pic:spPr>
                  <a:xfrm>
                    <a:off x="0" y="0"/>
                    <a:ext cx="581025" cy="462915"/>
                  </a:xfrm>
                  <a:prstGeom prst="rect">
                    <a:avLst/>
                  </a:prstGeom>
                  <a:noFill/>
                  <a:ln>
                    <a:noFill/>
                  </a:ln>
                </pic:spPr>
              </pic:pic>
            </a:graphicData>
          </a:graphic>
        </wp:anchor>
      </w:drawing>
    </w:r>
    <w:r>
      <w:rPr>
        <w:rFonts w:hint="eastAsia" w:ascii="宋体" w:hAnsi="宋体"/>
        <w:b/>
        <w:sz w:val="21"/>
        <w:szCs w:val="21"/>
      </w:rPr>
      <w:t>房地产估价报告                                  电话：0591-87603916、83710017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9"/>
      </w:pBdr>
      <w:ind w:firstLine="936" w:firstLineChars="520"/>
      <w:jc w:val="both"/>
      <w:rPr>
        <w:rFonts w:ascii="宋体" w:hAnsi="宋体"/>
        <w:b/>
        <w:sz w:val="21"/>
        <w:szCs w:val="21"/>
      </w:rPr>
    </w:pPr>
    <w:r>
      <w:rPr>
        <w:rFonts w:ascii="宋体" w:hAnsi="宋体"/>
      </w:rPr>
      <w:drawing>
        <wp:anchor distT="0" distB="0" distL="114300" distR="114300" simplePos="0" relativeHeight="251660288" behindDoc="0" locked="0" layoutInCell="1" allowOverlap="1">
          <wp:simplePos x="0" y="0"/>
          <wp:positionH relativeFrom="column">
            <wp:posOffset>-25400</wp:posOffset>
          </wp:positionH>
          <wp:positionV relativeFrom="paragraph">
            <wp:posOffset>-180340</wp:posOffset>
          </wp:positionV>
          <wp:extent cx="581025" cy="462915"/>
          <wp:effectExtent l="0" t="0" r="9525" b="13335"/>
          <wp:wrapNone/>
          <wp:docPr id="29" name="图片 11" descr="标志（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descr="标志（小）"/>
                  <pic:cNvPicPr>
                    <a:picLocks noChangeAspect="1"/>
                  </pic:cNvPicPr>
                </pic:nvPicPr>
                <pic:blipFill>
                  <a:blip r:embed="rId1"/>
                  <a:stretch>
                    <a:fillRect/>
                  </a:stretch>
                </pic:blipFill>
                <pic:spPr>
                  <a:xfrm>
                    <a:off x="0" y="0"/>
                    <a:ext cx="581025" cy="462915"/>
                  </a:xfrm>
                  <a:prstGeom prst="rect">
                    <a:avLst/>
                  </a:prstGeom>
                  <a:noFill/>
                  <a:ln>
                    <a:noFill/>
                  </a:ln>
                </pic:spPr>
              </pic:pic>
            </a:graphicData>
          </a:graphic>
        </wp:anchor>
      </w:drawing>
    </w:r>
    <w:r>
      <w:rPr>
        <w:rFonts w:ascii="宋体" w:hAnsi="宋体"/>
      </w:rPr>
      <w:drawing>
        <wp:anchor distT="0" distB="0" distL="114300" distR="114300" simplePos="0" relativeHeight="251660288" behindDoc="0" locked="0" layoutInCell="1" allowOverlap="1">
          <wp:simplePos x="0" y="0"/>
          <wp:positionH relativeFrom="column">
            <wp:posOffset>-25400</wp:posOffset>
          </wp:positionH>
          <wp:positionV relativeFrom="paragraph">
            <wp:posOffset>-180340</wp:posOffset>
          </wp:positionV>
          <wp:extent cx="581025" cy="462915"/>
          <wp:effectExtent l="0" t="0" r="9525" b="13335"/>
          <wp:wrapNone/>
          <wp:docPr id="30" name="图片 12" descr="标志（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标志（小）"/>
                  <pic:cNvPicPr>
                    <a:picLocks noChangeAspect="1"/>
                  </pic:cNvPicPr>
                </pic:nvPicPr>
                <pic:blipFill>
                  <a:blip r:embed="rId1"/>
                  <a:stretch>
                    <a:fillRect/>
                  </a:stretch>
                </pic:blipFill>
                <pic:spPr>
                  <a:xfrm>
                    <a:off x="0" y="0"/>
                    <a:ext cx="581025" cy="462915"/>
                  </a:xfrm>
                  <a:prstGeom prst="rect">
                    <a:avLst/>
                  </a:prstGeom>
                  <a:noFill/>
                  <a:ln>
                    <a:noFill/>
                  </a:ln>
                </pic:spPr>
              </pic:pic>
            </a:graphicData>
          </a:graphic>
        </wp:anchor>
      </w:drawing>
    </w:r>
    <w:r>
      <w:rPr>
        <w:rFonts w:ascii="宋体" w:hAnsi="宋体"/>
      </w:rPr>
      <w:drawing>
        <wp:anchor distT="0" distB="0" distL="114300" distR="114300" simplePos="0" relativeHeight="251660288" behindDoc="0" locked="0" layoutInCell="1" allowOverlap="1">
          <wp:simplePos x="0" y="0"/>
          <wp:positionH relativeFrom="column">
            <wp:posOffset>-25400</wp:posOffset>
          </wp:positionH>
          <wp:positionV relativeFrom="paragraph">
            <wp:posOffset>-180340</wp:posOffset>
          </wp:positionV>
          <wp:extent cx="581025" cy="462915"/>
          <wp:effectExtent l="0" t="0" r="9525" b="13335"/>
          <wp:wrapNone/>
          <wp:docPr id="31" name="图片 13" descr="标志（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descr="标志（小）"/>
                  <pic:cNvPicPr>
                    <a:picLocks noChangeAspect="1"/>
                  </pic:cNvPicPr>
                </pic:nvPicPr>
                <pic:blipFill>
                  <a:blip r:embed="rId1"/>
                  <a:stretch>
                    <a:fillRect/>
                  </a:stretch>
                </pic:blipFill>
                <pic:spPr>
                  <a:xfrm>
                    <a:off x="0" y="0"/>
                    <a:ext cx="581025" cy="462915"/>
                  </a:xfrm>
                  <a:prstGeom prst="rect">
                    <a:avLst/>
                  </a:prstGeom>
                  <a:noFill/>
                  <a:ln>
                    <a:noFill/>
                  </a:ln>
                </pic:spPr>
              </pic:pic>
            </a:graphicData>
          </a:graphic>
        </wp:anchor>
      </w:drawing>
    </w:r>
    <w:r>
      <w:rPr>
        <w:rFonts w:hint="eastAsia" w:ascii="宋体" w:hAnsi="宋体"/>
        <w:b/>
        <w:sz w:val="21"/>
        <w:szCs w:val="21"/>
      </w:rPr>
      <w:t>房地产估价报告                              电话：0591-87603916、83710017</w:t>
    </w:r>
    <w:r>
      <w:rPr>
        <w:rFonts w:ascii="宋体" w:hAnsi="宋体"/>
        <w:b/>
        <w:sz w:val="21"/>
        <w:szCs w:val="21"/>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ind w:firstLine="1093" w:firstLineChars="520"/>
      <w:jc w:val="both"/>
      <w:rPr>
        <w:rFonts w:ascii="宋体" w:hAnsi="宋体"/>
        <w:b/>
        <w:sz w:val="21"/>
        <w:szCs w:val="21"/>
      </w:rPr>
    </w:pPr>
    <w:r>
      <w:rPr>
        <w:rFonts w:hint="eastAsia" w:ascii="宋体" w:hAnsi="宋体"/>
        <w:b/>
        <w:sz w:val="21"/>
        <w:szCs w:val="21"/>
      </w:rPr>
      <w:t xml:space="preserve">房地产估价报告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9"/>
      </w:pBdr>
      <w:ind w:firstLine="936" w:firstLineChars="520"/>
      <w:jc w:val="both"/>
      <w:rPr>
        <w:rFonts w:ascii="宋体" w:hAnsi="宋体"/>
        <w:b/>
        <w:sz w:val="21"/>
        <w:szCs w:val="21"/>
      </w:rPr>
    </w:pPr>
    <w:r>
      <w:rPr>
        <w:rFonts w:ascii="宋体" w:hAnsi="宋体"/>
      </w:rPr>
      <w:drawing>
        <wp:anchor distT="0" distB="0" distL="114300" distR="114300" simplePos="0" relativeHeight="251662336" behindDoc="0" locked="0" layoutInCell="1" allowOverlap="1">
          <wp:simplePos x="0" y="0"/>
          <wp:positionH relativeFrom="column">
            <wp:posOffset>-25400</wp:posOffset>
          </wp:positionH>
          <wp:positionV relativeFrom="paragraph">
            <wp:posOffset>-180340</wp:posOffset>
          </wp:positionV>
          <wp:extent cx="581025" cy="462915"/>
          <wp:effectExtent l="0" t="0" r="9525" b="13335"/>
          <wp:wrapNone/>
          <wp:docPr id="5" name="图片 9" descr="标志（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标志（小）"/>
                  <pic:cNvPicPr>
                    <a:picLocks noChangeAspect="1"/>
                  </pic:cNvPicPr>
                </pic:nvPicPr>
                <pic:blipFill>
                  <a:blip r:embed="rId1"/>
                  <a:stretch>
                    <a:fillRect/>
                  </a:stretch>
                </pic:blipFill>
                <pic:spPr>
                  <a:xfrm>
                    <a:off x="0" y="0"/>
                    <a:ext cx="581025" cy="462915"/>
                  </a:xfrm>
                  <a:prstGeom prst="rect">
                    <a:avLst/>
                  </a:prstGeom>
                  <a:noFill/>
                  <a:ln>
                    <a:noFill/>
                  </a:ln>
                </pic:spPr>
              </pic:pic>
            </a:graphicData>
          </a:graphic>
        </wp:anchor>
      </w:drawing>
    </w:r>
    <w:r>
      <w:rPr>
        <w:rFonts w:hint="eastAsia" w:ascii="宋体" w:hAnsi="宋体"/>
        <w:b/>
        <w:sz w:val="21"/>
        <w:szCs w:val="21"/>
      </w:rPr>
      <w:t>房地产估价报告                                  电话：0591-87603916、83710017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left="0" w:leftChars="0" w:firstLine="0" w:firstLineChars="0"/>
      <w:jc w:val="both"/>
      <w:rPr>
        <w:shd w:val="pct10"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NjJmZWNhMDBlNjFkY2FhNzYwNTFjYjIyM2FiYjcifQ=="/>
  </w:docVars>
  <w:rsids>
    <w:rsidRoot w:val="00C02283"/>
    <w:rsid w:val="00000920"/>
    <w:rsid w:val="0000103D"/>
    <w:rsid w:val="000012D2"/>
    <w:rsid w:val="00001304"/>
    <w:rsid w:val="00001C73"/>
    <w:rsid w:val="00001F44"/>
    <w:rsid w:val="00002457"/>
    <w:rsid w:val="000026D6"/>
    <w:rsid w:val="0000273B"/>
    <w:rsid w:val="000029B8"/>
    <w:rsid w:val="000033C3"/>
    <w:rsid w:val="00003D46"/>
    <w:rsid w:val="00003F83"/>
    <w:rsid w:val="0000401B"/>
    <w:rsid w:val="000040DA"/>
    <w:rsid w:val="000045C8"/>
    <w:rsid w:val="00004E3E"/>
    <w:rsid w:val="000055E3"/>
    <w:rsid w:val="000061B6"/>
    <w:rsid w:val="000062AF"/>
    <w:rsid w:val="000062B8"/>
    <w:rsid w:val="000067EE"/>
    <w:rsid w:val="000070C6"/>
    <w:rsid w:val="00007874"/>
    <w:rsid w:val="00007EDE"/>
    <w:rsid w:val="00010425"/>
    <w:rsid w:val="0001049B"/>
    <w:rsid w:val="00010659"/>
    <w:rsid w:val="000109BE"/>
    <w:rsid w:val="00011472"/>
    <w:rsid w:val="00011621"/>
    <w:rsid w:val="00011C3A"/>
    <w:rsid w:val="00011FE0"/>
    <w:rsid w:val="0001215B"/>
    <w:rsid w:val="0001245F"/>
    <w:rsid w:val="00012CAB"/>
    <w:rsid w:val="00013C9F"/>
    <w:rsid w:val="00014132"/>
    <w:rsid w:val="000142DE"/>
    <w:rsid w:val="000146C9"/>
    <w:rsid w:val="000154F3"/>
    <w:rsid w:val="000157ED"/>
    <w:rsid w:val="00015FE0"/>
    <w:rsid w:val="00016006"/>
    <w:rsid w:val="000162A0"/>
    <w:rsid w:val="00016811"/>
    <w:rsid w:val="000168D5"/>
    <w:rsid w:val="00016DEE"/>
    <w:rsid w:val="0002013B"/>
    <w:rsid w:val="00020347"/>
    <w:rsid w:val="000203C6"/>
    <w:rsid w:val="000207DA"/>
    <w:rsid w:val="00020BA2"/>
    <w:rsid w:val="00020BDD"/>
    <w:rsid w:val="000210CB"/>
    <w:rsid w:val="00021721"/>
    <w:rsid w:val="00021A97"/>
    <w:rsid w:val="00021CE7"/>
    <w:rsid w:val="00021D87"/>
    <w:rsid w:val="00022079"/>
    <w:rsid w:val="00022157"/>
    <w:rsid w:val="00022181"/>
    <w:rsid w:val="0002276D"/>
    <w:rsid w:val="0002280F"/>
    <w:rsid w:val="00022857"/>
    <w:rsid w:val="000228A8"/>
    <w:rsid w:val="0002312B"/>
    <w:rsid w:val="00023A78"/>
    <w:rsid w:val="0002412E"/>
    <w:rsid w:val="000246AE"/>
    <w:rsid w:val="000249C9"/>
    <w:rsid w:val="00024BB2"/>
    <w:rsid w:val="00024D04"/>
    <w:rsid w:val="00025AE5"/>
    <w:rsid w:val="0002613A"/>
    <w:rsid w:val="0002615D"/>
    <w:rsid w:val="000264BE"/>
    <w:rsid w:val="00026AF4"/>
    <w:rsid w:val="000270DD"/>
    <w:rsid w:val="00027117"/>
    <w:rsid w:val="00027466"/>
    <w:rsid w:val="00027CCD"/>
    <w:rsid w:val="00027CE3"/>
    <w:rsid w:val="00027DB1"/>
    <w:rsid w:val="00030074"/>
    <w:rsid w:val="00030180"/>
    <w:rsid w:val="000307C0"/>
    <w:rsid w:val="0003097B"/>
    <w:rsid w:val="00030CCE"/>
    <w:rsid w:val="00030EDD"/>
    <w:rsid w:val="00030F02"/>
    <w:rsid w:val="0003114E"/>
    <w:rsid w:val="00031803"/>
    <w:rsid w:val="00031EF3"/>
    <w:rsid w:val="00032127"/>
    <w:rsid w:val="000322BA"/>
    <w:rsid w:val="00032599"/>
    <w:rsid w:val="00032619"/>
    <w:rsid w:val="000326AD"/>
    <w:rsid w:val="0003273A"/>
    <w:rsid w:val="00032E81"/>
    <w:rsid w:val="00032F9A"/>
    <w:rsid w:val="0003306F"/>
    <w:rsid w:val="00033292"/>
    <w:rsid w:val="000333AD"/>
    <w:rsid w:val="000338D4"/>
    <w:rsid w:val="00033EE2"/>
    <w:rsid w:val="00034D9A"/>
    <w:rsid w:val="00034DD1"/>
    <w:rsid w:val="000356BC"/>
    <w:rsid w:val="00035C79"/>
    <w:rsid w:val="00036638"/>
    <w:rsid w:val="00036B82"/>
    <w:rsid w:val="00036BDB"/>
    <w:rsid w:val="000373A1"/>
    <w:rsid w:val="00040732"/>
    <w:rsid w:val="000408C6"/>
    <w:rsid w:val="000408EA"/>
    <w:rsid w:val="00040950"/>
    <w:rsid w:val="00040D82"/>
    <w:rsid w:val="00040DB6"/>
    <w:rsid w:val="00041169"/>
    <w:rsid w:val="000411B2"/>
    <w:rsid w:val="00041768"/>
    <w:rsid w:val="000418CB"/>
    <w:rsid w:val="00042001"/>
    <w:rsid w:val="000424F7"/>
    <w:rsid w:val="00042FFC"/>
    <w:rsid w:val="0004305A"/>
    <w:rsid w:val="00043916"/>
    <w:rsid w:val="0004405B"/>
    <w:rsid w:val="000440B6"/>
    <w:rsid w:val="000447D4"/>
    <w:rsid w:val="00044817"/>
    <w:rsid w:val="00044B80"/>
    <w:rsid w:val="00044BDC"/>
    <w:rsid w:val="00045124"/>
    <w:rsid w:val="000452F8"/>
    <w:rsid w:val="00045753"/>
    <w:rsid w:val="00045BBD"/>
    <w:rsid w:val="00045E50"/>
    <w:rsid w:val="00046975"/>
    <w:rsid w:val="00046AD2"/>
    <w:rsid w:val="00047B5B"/>
    <w:rsid w:val="00047EC9"/>
    <w:rsid w:val="000504BA"/>
    <w:rsid w:val="000504D4"/>
    <w:rsid w:val="00050F41"/>
    <w:rsid w:val="000516EF"/>
    <w:rsid w:val="00051786"/>
    <w:rsid w:val="000519F6"/>
    <w:rsid w:val="00051A3C"/>
    <w:rsid w:val="00051E01"/>
    <w:rsid w:val="00052474"/>
    <w:rsid w:val="00053224"/>
    <w:rsid w:val="000533CD"/>
    <w:rsid w:val="0005361F"/>
    <w:rsid w:val="000536D7"/>
    <w:rsid w:val="0005378A"/>
    <w:rsid w:val="00053A0B"/>
    <w:rsid w:val="00053A9B"/>
    <w:rsid w:val="00053B52"/>
    <w:rsid w:val="00053F0C"/>
    <w:rsid w:val="00053F65"/>
    <w:rsid w:val="00054162"/>
    <w:rsid w:val="0005425E"/>
    <w:rsid w:val="00054A05"/>
    <w:rsid w:val="00054CE9"/>
    <w:rsid w:val="00055DCD"/>
    <w:rsid w:val="000563A9"/>
    <w:rsid w:val="00056C42"/>
    <w:rsid w:val="00056EC1"/>
    <w:rsid w:val="00056FD2"/>
    <w:rsid w:val="0005752D"/>
    <w:rsid w:val="0005763B"/>
    <w:rsid w:val="00057767"/>
    <w:rsid w:val="0005782B"/>
    <w:rsid w:val="00057B15"/>
    <w:rsid w:val="00060930"/>
    <w:rsid w:val="00060C1E"/>
    <w:rsid w:val="00061378"/>
    <w:rsid w:val="0006142E"/>
    <w:rsid w:val="00062266"/>
    <w:rsid w:val="00062489"/>
    <w:rsid w:val="000627C9"/>
    <w:rsid w:val="00062E90"/>
    <w:rsid w:val="00063558"/>
    <w:rsid w:val="00064444"/>
    <w:rsid w:val="00064C80"/>
    <w:rsid w:val="0006517E"/>
    <w:rsid w:val="000654F4"/>
    <w:rsid w:val="00065618"/>
    <w:rsid w:val="00065AC6"/>
    <w:rsid w:val="00065DCC"/>
    <w:rsid w:val="000665BF"/>
    <w:rsid w:val="000665C0"/>
    <w:rsid w:val="00066BC7"/>
    <w:rsid w:val="00067462"/>
    <w:rsid w:val="00067AFE"/>
    <w:rsid w:val="000707AA"/>
    <w:rsid w:val="00070882"/>
    <w:rsid w:val="00070AF9"/>
    <w:rsid w:val="00070B4C"/>
    <w:rsid w:val="00070CFD"/>
    <w:rsid w:val="00071135"/>
    <w:rsid w:val="00071446"/>
    <w:rsid w:val="00071734"/>
    <w:rsid w:val="0007192C"/>
    <w:rsid w:val="00071AA6"/>
    <w:rsid w:val="000722B8"/>
    <w:rsid w:val="0007262A"/>
    <w:rsid w:val="00072BFB"/>
    <w:rsid w:val="00072DC3"/>
    <w:rsid w:val="00073A31"/>
    <w:rsid w:val="00073B7C"/>
    <w:rsid w:val="00074419"/>
    <w:rsid w:val="00074F70"/>
    <w:rsid w:val="000754B2"/>
    <w:rsid w:val="000757C4"/>
    <w:rsid w:val="00076DC0"/>
    <w:rsid w:val="00077578"/>
    <w:rsid w:val="00077EEF"/>
    <w:rsid w:val="000804A7"/>
    <w:rsid w:val="000806AB"/>
    <w:rsid w:val="00080734"/>
    <w:rsid w:val="00080F15"/>
    <w:rsid w:val="0008120D"/>
    <w:rsid w:val="00081599"/>
    <w:rsid w:val="000816D3"/>
    <w:rsid w:val="00081838"/>
    <w:rsid w:val="00082297"/>
    <w:rsid w:val="000827B1"/>
    <w:rsid w:val="00082AB8"/>
    <w:rsid w:val="00082C6D"/>
    <w:rsid w:val="000837D1"/>
    <w:rsid w:val="000838FE"/>
    <w:rsid w:val="0008406D"/>
    <w:rsid w:val="0008420C"/>
    <w:rsid w:val="00084929"/>
    <w:rsid w:val="0008498C"/>
    <w:rsid w:val="00084BBF"/>
    <w:rsid w:val="000850DA"/>
    <w:rsid w:val="0008545D"/>
    <w:rsid w:val="00085597"/>
    <w:rsid w:val="00085916"/>
    <w:rsid w:val="00085961"/>
    <w:rsid w:val="00085A96"/>
    <w:rsid w:val="00085FDE"/>
    <w:rsid w:val="00086325"/>
    <w:rsid w:val="00086FCF"/>
    <w:rsid w:val="00087499"/>
    <w:rsid w:val="00087F09"/>
    <w:rsid w:val="00087F4B"/>
    <w:rsid w:val="00087FF7"/>
    <w:rsid w:val="0009003B"/>
    <w:rsid w:val="00090220"/>
    <w:rsid w:val="00090468"/>
    <w:rsid w:val="000906A2"/>
    <w:rsid w:val="000908F5"/>
    <w:rsid w:val="00090984"/>
    <w:rsid w:val="00091002"/>
    <w:rsid w:val="0009122C"/>
    <w:rsid w:val="000914F8"/>
    <w:rsid w:val="00091885"/>
    <w:rsid w:val="000919A5"/>
    <w:rsid w:val="000922F8"/>
    <w:rsid w:val="00092305"/>
    <w:rsid w:val="000923C4"/>
    <w:rsid w:val="0009259D"/>
    <w:rsid w:val="0009277D"/>
    <w:rsid w:val="0009348E"/>
    <w:rsid w:val="0009382C"/>
    <w:rsid w:val="00093E99"/>
    <w:rsid w:val="000944BA"/>
    <w:rsid w:val="00094677"/>
    <w:rsid w:val="00094E72"/>
    <w:rsid w:val="00095091"/>
    <w:rsid w:val="000951C6"/>
    <w:rsid w:val="000952BC"/>
    <w:rsid w:val="0009597C"/>
    <w:rsid w:val="00095F03"/>
    <w:rsid w:val="00096731"/>
    <w:rsid w:val="000967AD"/>
    <w:rsid w:val="000968C4"/>
    <w:rsid w:val="0009700C"/>
    <w:rsid w:val="000975D7"/>
    <w:rsid w:val="00097A1A"/>
    <w:rsid w:val="00097CE0"/>
    <w:rsid w:val="00097E35"/>
    <w:rsid w:val="00097F1F"/>
    <w:rsid w:val="00097FB0"/>
    <w:rsid w:val="000A01C9"/>
    <w:rsid w:val="000A0265"/>
    <w:rsid w:val="000A031F"/>
    <w:rsid w:val="000A0775"/>
    <w:rsid w:val="000A09AE"/>
    <w:rsid w:val="000A142E"/>
    <w:rsid w:val="000A1C87"/>
    <w:rsid w:val="000A2707"/>
    <w:rsid w:val="000A287F"/>
    <w:rsid w:val="000A2919"/>
    <w:rsid w:val="000A2B5C"/>
    <w:rsid w:val="000A2D8C"/>
    <w:rsid w:val="000A30D6"/>
    <w:rsid w:val="000A3712"/>
    <w:rsid w:val="000A3E40"/>
    <w:rsid w:val="000A403A"/>
    <w:rsid w:val="000A4215"/>
    <w:rsid w:val="000A43D9"/>
    <w:rsid w:val="000A4CB3"/>
    <w:rsid w:val="000A4FED"/>
    <w:rsid w:val="000A5C65"/>
    <w:rsid w:val="000A5E37"/>
    <w:rsid w:val="000A6142"/>
    <w:rsid w:val="000A6631"/>
    <w:rsid w:val="000A69EE"/>
    <w:rsid w:val="000A73FD"/>
    <w:rsid w:val="000A7584"/>
    <w:rsid w:val="000A75F8"/>
    <w:rsid w:val="000B0757"/>
    <w:rsid w:val="000B07E9"/>
    <w:rsid w:val="000B088F"/>
    <w:rsid w:val="000B0B76"/>
    <w:rsid w:val="000B0BD4"/>
    <w:rsid w:val="000B1013"/>
    <w:rsid w:val="000B16BD"/>
    <w:rsid w:val="000B17D2"/>
    <w:rsid w:val="000B1943"/>
    <w:rsid w:val="000B23AF"/>
    <w:rsid w:val="000B2634"/>
    <w:rsid w:val="000B3BD0"/>
    <w:rsid w:val="000B3DC0"/>
    <w:rsid w:val="000B4335"/>
    <w:rsid w:val="000B4711"/>
    <w:rsid w:val="000B49CE"/>
    <w:rsid w:val="000B522A"/>
    <w:rsid w:val="000B5654"/>
    <w:rsid w:val="000B578B"/>
    <w:rsid w:val="000B5AF4"/>
    <w:rsid w:val="000B5CFC"/>
    <w:rsid w:val="000B5FD3"/>
    <w:rsid w:val="000B69B2"/>
    <w:rsid w:val="000B6B50"/>
    <w:rsid w:val="000B6F17"/>
    <w:rsid w:val="000B708E"/>
    <w:rsid w:val="000B71AE"/>
    <w:rsid w:val="000B7A44"/>
    <w:rsid w:val="000B7C33"/>
    <w:rsid w:val="000B7D2B"/>
    <w:rsid w:val="000B7D9B"/>
    <w:rsid w:val="000B7FCB"/>
    <w:rsid w:val="000C03E0"/>
    <w:rsid w:val="000C0834"/>
    <w:rsid w:val="000C1479"/>
    <w:rsid w:val="000C1BDE"/>
    <w:rsid w:val="000C20F3"/>
    <w:rsid w:val="000C252A"/>
    <w:rsid w:val="000C26D2"/>
    <w:rsid w:val="000C36B9"/>
    <w:rsid w:val="000C3B9A"/>
    <w:rsid w:val="000C3FD2"/>
    <w:rsid w:val="000C402F"/>
    <w:rsid w:val="000C4179"/>
    <w:rsid w:val="000C43C3"/>
    <w:rsid w:val="000C43D5"/>
    <w:rsid w:val="000C44CD"/>
    <w:rsid w:val="000C5361"/>
    <w:rsid w:val="000C5E2B"/>
    <w:rsid w:val="000C60F7"/>
    <w:rsid w:val="000C672D"/>
    <w:rsid w:val="000C6A23"/>
    <w:rsid w:val="000C6A88"/>
    <w:rsid w:val="000C6CEC"/>
    <w:rsid w:val="000C6E13"/>
    <w:rsid w:val="000C708D"/>
    <w:rsid w:val="000C71C6"/>
    <w:rsid w:val="000C72F0"/>
    <w:rsid w:val="000C7913"/>
    <w:rsid w:val="000C7AB7"/>
    <w:rsid w:val="000C7EBD"/>
    <w:rsid w:val="000D02BD"/>
    <w:rsid w:val="000D0A8B"/>
    <w:rsid w:val="000D0E59"/>
    <w:rsid w:val="000D171F"/>
    <w:rsid w:val="000D19E6"/>
    <w:rsid w:val="000D211B"/>
    <w:rsid w:val="000D2924"/>
    <w:rsid w:val="000D3388"/>
    <w:rsid w:val="000D3405"/>
    <w:rsid w:val="000D3C78"/>
    <w:rsid w:val="000D41BD"/>
    <w:rsid w:val="000D479E"/>
    <w:rsid w:val="000D4F8B"/>
    <w:rsid w:val="000D5191"/>
    <w:rsid w:val="000D58E2"/>
    <w:rsid w:val="000D5D35"/>
    <w:rsid w:val="000D5EAC"/>
    <w:rsid w:val="000D6120"/>
    <w:rsid w:val="000D6291"/>
    <w:rsid w:val="000D65CE"/>
    <w:rsid w:val="000D65EE"/>
    <w:rsid w:val="000D6619"/>
    <w:rsid w:val="000D661C"/>
    <w:rsid w:val="000D66DF"/>
    <w:rsid w:val="000D6A36"/>
    <w:rsid w:val="000D6EA7"/>
    <w:rsid w:val="000D7022"/>
    <w:rsid w:val="000D731E"/>
    <w:rsid w:val="000D77E1"/>
    <w:rsid w:val="000D780B"/>
    <w:rsid w:val="000D79F3"/>
    <w:rsid w:val="000D7E84"/>
    <w:rsid w:val="000D7E88"/>
    <w:rsid w:val="000E00AA"/>
    <w:rsid w:val="000E034F"/>
    <w:rsid w:val="000E085A"/>
    <w:rsid w:val="000E0D23"/>
    <w:rsid w:val="000E0DCF"/>
    <w:rsid w:val="000E1A1A"/>
    <w:rsid w:val="000E1CE6"/>
    <w:rsid w:val="000E1EF8"/>
    <w:rsid w:val="000E22C5"/>
    <w:rsid w:val="000E29B9"/>
    <w:rsid w:val="000E3078"/>
    <w:rsid w:val="000E319B"/>
    <w:rsid w:val="000E3336"/>
    <w:rsid w:val="000E40F6"/>
    <w:rsid w:val="000E4263"/>
    <w:rsid w:val="000E444E"/>
    <w:rsid w:val="000E4651"/>
    <w:rsid w:val="000E4723"/>
    <w:rsid w:val="000E4D82"/>
    <w:rsid w:val="000E517A"/>
    <w:rsid w:val="000E5473"/>
    <w:rsid w:val="000E555B"/>
    <w:rsid w:val="000E5609"/>
    <w:rsid w:val="000E5D99"/>
    <w:rsid w:val="000E605D"/>
    <w:rsid w:val="000E63CC"/>
    <w:rsid w:val="000E6B99"/>
    <w:rsid w:val="000E6E7D"/>
    <w:rsid w:val="000E713C"/>
    <w:rsid w:val="000E7A9D"/>
    <w:rsid w:val="000E7AF3"/>
    <w:rsid w:val="000E7C6B"/>
    <w:rsid w:val="000F03FD"/>
    <w:rsid w:val="000F0E78"/>
    <w:rsid w:val="000F10F9"/>
    <w:rsid w:val="000F1347"/>
    <w:rsid w:val="000F182E"/>
    <w:rsid w:val="000F19B4"/>
    <w:rsid w:val="000F1F0F"/>
    <w:rsid w:val="000F2116"/>
    <w:rsid w:val="000F2325"/>
    <w:rsid w:val="000F26A9"/>
    <w:rsid w:val="000F36D0"/>
    <w:rsid w:val="000F3925"/>
    <w:rsid w:val="000F3A02"/>
    <w:rsid w:val="000F3F0A"/>
    <w:rsid w:val="000F3FC5"/>
    <w:rsid w:val="000F4843"/>
    <w:rsid w:val="000F4B11"/>
    <w:rsid w:val="000F4EED"/>
    <w:rsid w:val="000F51C0"/>
    <w:rsid w:val="000F542A"/>
    <w:rsid w:val="000F5531"/>
    <w:rsid w:val="000F55ED"/>
    <w:rsid w:val="000F5643"/>
    <w:rsid w:val="000F609E"/>
    <w:rsid w:val="000F6413"/>
    <w:rsid w:val="000F6A02"/>
    <w:rsid w:val="000F7624"/>
    <w:rsid w:val="00100875"/>
    <w:rsid w:val="00100CFE"/>
    <w:rsid w:val="00100F56"/>
    <w:rsid w:val="001014B2"/>
    <w:rsid w:val="00101B99"/>
    <w:rsid w:val="00101C0F"/>
    <w:rsid w:val="00101F39"/>
    <w:rsid w:val="00102078"/>
    <w:rsid w:val="00102948"/>
    <w:rsid w:val="001032AE"/>
    <w:rsid w:val="001035CD"/>
    <w:rsid w:val="00103828"/>
    <w:rsid w:val="00103B2C"/>
    <w:rsid w:val="00103C2C"/>
    <w:rsid w:val="001046F9"/>
    <w:rsid w:val="00104784"/>
    <w:rsid w:val="0010489D"/>
    <w:rsid w:val="00104A68"/>
    <w:rsid w:val="00104EB4"/>
    <w:rsid w:val="00105145"/>
    <w:rsid w:val="001051A0"/>
    <w:rsid w:val="0010599B"/>
    <w:rsid w:val="00105DBA"/>
    <w:rsid w:val="001067CB"/>
    <w:rsid w:val="00106C74"/>
    <w:rsid w:val="00106E4E"/>
    <w:rsid w:val="00107147"/>
    <w:rsid w:val="001077AD"/>
    <w:rsid w:val="00107D93"/>
    <w:rsid w:val="00110441"/>
    <w:rsid w:val="00110BD1"/>
    <w:rsid w:val="001111D0"/>
    <w:rsid w:val="001117FC"/>
    <w:rsid w:val="001118E7"/>
    <w:rsid w:val="001119D0"/>
    <w:rsid w:val="00111A10"/>
    <w:rsid w:val="00111B75"/>
    <w:rsid w:val="00111D69"/>
    <w:rsid w:val="001122B9"/>
    <w:rsid w:val="00112343"/>
    <w:rsid w:val="001123D5"/>
    <w:rsid w:val="0011291A"/>
    <w:rsid w:val="00112D34"/>
    <w:rsid w:val="00113537"/>
    <w:rsid w:val="0011369C"/>
    <w:rsid w:val="001138BC"/>
    <w:rsid w:val="00113BE6"/>
    <w:rsid w:val="00114160"/>
    <w:rsid w:val="001141F5"/>
    <w:rsid w:val="001144E0"/>
    <w:rsid w:val="001146E7"/>
    <w:rsid w:val="00114772"/>
    <w:rsid w:val="001148C4"/>
    <w:rsid w:val="00114E6B"/>
    <w:rsid w:val="00114E9F"/>
    <w:rsid w:val="001153C1"/>
    <w:rsid w:val="00116486"/>
    <w:rsid w:val="00116FFA"/>
    <w:rsid w:val="001172AF"/>
    <w:rsid w:val="00117531"/>
    <w:rsid w:val="00117BC2"/>
    <w:rsid w:val="00117D60"/>
    <w:rsid w:val="00117EA1"/>
    <w:rsid w:val="00117FEA"/>
    <w:rsid w:val="00120181"/>
    <w:rsid w:val="001207E3"/>
    <w:rsid w:val="00120965"/>
    <w:rsid w:val="00120DB1"/>
    <w:rsid w:val="001211A0"/>
    <w:rsid w:val="001215B7"/>
    <w:rsid w:val="00121A86"/>
    <w:rsid w:val="00121DFC"/>
    <w:rsid w:val="00121EF4"/>
    <w:rsid w:val="00122C0C"/>
    <w:rsid w:val="00122F2B"/>
    <w:rsid w:val="0012351D"/>
    <w:rsid w:val="00123552"/>
    <w:rsid w:val="0012366A"/>
    <w:rsid w:val="00123945"/>
    <w:rsid w:val="0012413D"/>
    <w:rsid w:val="001244A8"/>
    <w:rsid w:val="0012498D"/>
    <w:rsid w:val="00124C92"/>
    <w:rsid w:val="00124D4C"/>
    <w:rsid w:val="00124F29"/>
    <w:rsid w:val="001250B4"/>
    <w:rsid w:val="0012553B"/>
    <w:rsid w:val="00125D34"/>
    <w:rsid w:val="0012629F"/>
    <w:rsid w:val="00126984"/>
    <w:rsid w:val="00126C9A"/>
    <w:rsid w:val="00126F88"/>
    <w:rsid w:val="0012701F"/>
    <w:rsid w:val="00127657"/>
    <w:rsid w:val="00127AAA"/>
    <w:rsid w:val="00127BB5"/>
    <w:rsid w:val="00127C29"/>
    <w:rsid w:val="0013009F"/>
    <w:rsid w:val="0013024E"/>
    <w:rsid w:val="00130287"/>
    <w:rsid w:val="001305D2"/>
    <w:rsid w:val="00130CBC"/>
    <w:rsid w:val="00131381"/>
    <w:rsid w:val="0013138F"/>
    <w:rsid w:val="00132DFD"/>
    <w:rsid w:val="001334F3"/>
    <w:rsid w:val="0013389D"/>
    <w:rsid w:val="0013404D"/>
    <w:rsid w:val="0013414A"/>
    <w:rsid w:val="001342B6"/>
    <w:rsid w:val="0013435E"/>
    <w:rsid w:val="00134775"/>
    <w:rsid w:val="001349FB"/>
    <w:rsid w:val="0013555C"/>
    <w:rsid w:val="00135560"/>
    <w:rsid w:val="0013571C"/>
    <w:rsid w:val="001357F1"/>
    <w:rsid w:val="001358B6"/>
    <w:rsid w:val="00135ED8"/>
    <w:rsid w:val="001360D5"/>
    <w:rsid w:val="0013640D"/>
    <w:rsid w:val="00136ABA"/>
    <w:rsid w:val="00136DC0"/>
    <w:rsid w:val="00136EB1"/>
    <w:rsid w:val="00137358"/>
    <w:rsid w:val="0013746D"/>
    <w:rsid w:val="00137728"/>
    <w:rsid w:val="001377A9"/>
    <w:rsid w:val="00137F29"/>
    <w:rsid w:val="0014001E"/>
    <w:rsid w:val="001403CD"/>
    <w:rsid w:val="0014065D"/>
    <w:rsid w:val="00140B4F"/>
    <w:rsid w:val="00140F3D"/>
    <w:rsid w:val="00141031"/>
    <w:rsid w:val="00141172"/>
    <w:rsid w:val="00141701"/>
    <w:rsid w:val="00141B32"/>
    <w:rsid w:val="00141F5C"/>
    <w:rsid w:val="00141FFF"/>
    <w:rsid w:val="0014203A"/>
    <w:rsid w:val="00142404"/>
    <w:rsid w:val="0014354B"/>
    <w:rsid w:val="0014369A"/>
    <w:rsid w:val="00143751"/>
    <w:rsid w:val="00143A4E"/>
    <w:rsid w:val="0014405B"/>
    <w:rsid w:val="00144072"/>
    <w:rsid w:val="00144315"/>
    <w:rsid w:val="0014437E"/>
    <w:rsid w:val="00145313"/>
    <w:rsid w:val="0014565D"/>
    <w:rsid w:val="00145DD7"/>
    <w:rsid w:val="00145F4B"/>
    <w:rsid w:val="0014626E"/>
    <w:rsid w:val="00146789"/>
    <w:rsid w:val="00146AAA"/>
    <w:rsid w:val="00146D19"/>
    <w:rsid w:val="001472AF"/>
    <w:rsid w:val="00147678"/>
    <w:rsid w:val="00147799"/>
    <w:rsid w:val="001477D3"/>
    <w:rsid w:val="0014786F"/>
    <w:rsid w:val="001502FC"/>
    <w:rsid w:val="00150460"/>
    <w:rsid w:val="001507C0"/>
    <w:rsid w:val="00150A58"/>
    <w:rsid w:val="0015116E"/>
    <w:rsid w:val="00151436"/>
    <w:rsid w:val="001516E5"/>
    <w:rsid w:val="0015200A"/>
    <w:rsid w:val="00152464"/>
    <w:rsid w:val="001526E4"/>
    <w:rsid w:val="00152F51"/>
    <w:rsid w:val="0015302D"/>
    <w:rsid w:val="001533A4"/>
    <w:rsid w:val="001549C2"/>
    <w:rsid w:val="00154C29"/>
    <w:rsid w:val="0015531A"/>
    <w:rsid w:val="0015567C"/>
    <w:rsid w:val="00155792"/>
    <w:rsid w:val="001558E0"/>
    <w:rsid w:val="00156BA2"/>
    <w:rsid w:val="00156C73"/>
    <w:rsid w:val="00156CB6"/>
    <w:rsid w:val="0015797C"/>
    <w:rsid w:val="00160161"/>
    <w:rsid w:val="001607ED"/>
    <w:rsid w:val="001613C7"/>
    <w:rsid w:val="001615A9"/>
    <w:rsid w:val="001616F1"/>
    <w:rsid w:val="00161A40"/>
    <w:rsid w:val="00161BDD"/>
    <w:rsid w:val="00163152"/>
    <w:rsid w:val="00163E29"/>
    <w:rsid w:val="00163EDF"/>
    <w:rsid w:val="00164700"/>
    <w:rsid w:val="00164D3E"/>
    <w:rsid w:val="00165688"/>
    <w:rsid w:val="0016580A"/>
    <w:rsid w:val="00166277"/>
    <w:rsid w:val="001668B0"/>
    <w:rsid w:val="001671A6"/>
    <w:rsid w:val="0016751F"/>
    <w:rsid w:val="00170139"/>
    <w:rsid w:val="001709A6"/>
    <w:rsid w:val="00170BE2"/>
    <w:rsid w:val="00170E3A"/>
    <w:rsid w:val="00170F02"/>
    <w:rsid w:val="00170F4A"/>
    <w:rsid w:val="0017158D"/>
    <w:rsid w:val="00171DC3"/>
    <w:rsid w:val="00172543"/>
    <w:rsid w:val="00172B63"/>
    <w:rsid w:val="0017339D"/>
    <w:rsid w:val="00173AF8"/>
    <w:rsid w:val="00173EAB"/>
    <w:rsid w:val="0017409F"/>
    <w:rsid w:val="00174638"/>
    <w:rsid w:val="00174CB9"/>
    <w:rsid w:val="00174F2F"/>
    <w:rsid w:val="00175688"/>
    <w:rsid w:val="001757C4"/>
    <w:rsid w:val="00175875"/>
    <w:rsid w:val="00175917"/>
    <w:rsid w:val="00175A26"/>
    <w:rsid w:val="0017640D"/>
    <w:rsid w:val="001768CD"/>
    <w:rsid w:val="00176A4D"/>
    <w:rsid w:val="00176B06"/>
    <w:rsid w:val="0017723F"/>
    <w:rsid w:val="001776EF"/>
    <w:rsid w:val="00180E10"/>
    <w:rsid w:val="0018103B"/>
    <w:rsid w:val="0018106A"/>
    <w:rsid w:val="0018115B"/>
    <w:rsid w:val="0018158C"/>
    <w:rsid w:val="00181681"/>
    <w:rsid w:val="00181BF8"/>
    <w:rsid w:val="001821FD"/>
    <w:rsid w:val="001823D5"/>
    <w:rsid w:val="00182AF8"/>
    <w:rsid w:val="00182B46"/>
    <w:rsid w:val="0018359E"/>
    <w:rsid w:val="001836BA"/>
    <w:rsid w:val="001836DD"/>
    <w:rsid w:val="00183DC8"/>
    <w:rsid w:val="00183EE5"/>
    <w:rsid w:val="001846F9"/>
    <w:rsid w:val="00184B13"/>
    <w:rsid w:val="001857F9"/>
    <w:rsid w:val="00185A5F"/>
    <w:rsid w:val="00185FA0"/>
    <w:rsid w:val="00186709"/>
    <w:rsid w:val="0018680D"/>
    <w:rsid w:val="00186AC3"/>
    <w:rsid w:val="00186FD9"/>
    <w:rsid w:val="00187037"/>
    <w:rsid w:val="00187131"/>
    <w:rsid w:val="0018741F"/>
    <w:rsid w:val="001875E3"/>
    <w:rsid w:val="00187764"/>
    <w:rsid w:val="001908DB"/>
    <w:rsid w:val="001918B1"/>
    <w:rsid w:val="00191948"/>
    <w:rsid w:val="0019215E"/>
    <w:rsid w:val="0019246E"/>
    <w:rsid w:val="00192509"/>
    <w:rsid w:val="001926A8"/>
    <w:rsid w:val="0019278F"/>
    <w:rsid w:val="00192A84"/>
    <w:rsid w:val="00192B2F"/>
    <w:rsid w:val="00192C87"/>
    <w:rsid w:val="00192F3D"/>
    <w:rsid w:val="00193738"/>
    <w:rsid w:val="0019396C"/>
    <w:rsid w:val="00193C4A"/>
    <w:rsid w:val="00193D1E"/>
    <w:rsid w:val="00194015"/>
    <w:rsid w:val="001943FB"/>
    <w:rsid w:val="00194A6B"/>
    <w:rsid w:val="00194B0B"/>
    <w:rsid w:val="00194B71"/>
    <w:rsid w:val="00194FA3"/>
    <w:rsid w:val="001951EF"/>
    <w:rsid w:val="001953D0"/>
    <w:rsid w:val="0019555A"/>
    <w:rsid w:val="001958FE"/>
    <w:rsid w:val="00195F68"/>
    <w:rsid w:val="001961D7"/>
    <w:rsid w:val="00196562"/>
    <w:rsid w:val="001967A5"/>
    <w:rsid w:val="0019690C"/>
    <w:rsid w:val="00196DD3"/>
    <w:rsid w:val="00196F7D"/>
    <w:rsid w:val="001970E9"/>
    <w:rsid w:val="00197189"/>
    <w:rsid w:val="00197219"/>
    <w:rsid w:val="00197672"/>
    <w:rsid w:val="00197778"/>
    <w:rsid w:val="00197BBE"/>
    <w:rsid w:val="001A0244"/>
    <w:rsid w:val="001A02A0"/>
    <w:rsid w:val="001A0A85"/>
    <w:rsid w:val="001A18EF"/>
    <w:rsid w:val="001A1C13"/>
    <w:rsid w:val="001A22D2"/>
    <w:rsid w:val="001A255A"/>
    <w:rsid w:val="001A2574"/>
    <w:rsid w:val="001A2A78"/>
    <w:rsid w:val="001A382A"/>
    <w:rsid w:val="001A3BF3"/>
    <w:rsid w:val="001A3E07"/>
    <w:rsid w:val="001A45E8"/>
    <w:rsid w:val="001A479B"/>
    <w:rsid w:val="001A4AA5"/>
    <w:rsid w:val="001A4AAA"/>
    <w:rsid w:val="001A4AC8"/>
    <w:rsid w:val="001A4AEF"/>
    <w:rsid w:val="001A5553"/>
    <w:rsid w:val="001A58FD"/>
    <w:rsid w:val="001A5DCF"/>
    <w:rsid w:val="001A6319"/>
    <w:rsid w:val="001A6CFF"/>
    <w:rsid w:val="001A6D86"/>
    <w:rsid w:val="001A6DA0"/>
    <w:rsid w:val="001A705A"/>
    <w:rsid w:val="001A780C"/>
    <w:rsid w:val="001A7977"/>
    <w:rsid w:val="001A7C8D"/>
    <w:rsid w:val="001B0044"/>
    <w:rsid w:val="001B0308"/>
    <w:rsid w:val="001B0335"/>
    <w:rsid w:val="001B0CB6"/>
    <w:rsid w:val="001B0EDF"/>
    <w:rsid w:val="001B0F75"/>
    <w:rsid w:val="001B109C"/>
    <w:rsid w:val="001B18F5"/>
    <w:rsid w:val="001B191C"/>
    <w:rsid w:val="001B1AD2"/>
    <w:rsid w:val="001B1FD1"/>
    <w:rsid w:val="001B206F"/>
    <w:rsid w:val="001B2316"/>
    <w:rsid w:val="001B2488"/>
    <w:rsid w:val="001B284F"/>
    <w:rsid w:val="001B28EF"/>
    <w:rsid w:val="001B32D5"/>
    <w:rsid w:val="001B3448"/>
    <w:rsid w:val="001B34DD"/>
    <w:rsid w:val="001B3A50"/>
    <w:rsid w:val="001B3A69"/>
    <w:rsid w:val="001B3CB2"/>
    <w:rsid w:val="001B4438"/>
    <w:rsid w:val="001B46B1"/>
    <w:rsid w:val="001B49DF"/>
    <w:rsid w:val="001B5EF3"/>
    <w:rsid w:val="001B7596"/>
    <w:rsid w:val="001C0178"/>
    <w:rsid w:val="001C0511"/>
    <w:rsid w:val="001C05B2"/>
    <w:rsid w:val="001C0751"/>
    <w:rsid w:val="001C0807"/>
    <w:rsid w:val="001C1171"/>
    <w:rsid w:val="001C1625"/>
    <w:rsid w:val="001C19AE"/>
    <w:rsid w:val="001C2014"/>
    <w:rsid w:val="001C207C"/>
    <w:rsid w:val="001C28CE"/>
    <w:rsid w:val="001C2DC4"/>
    <w:rsid w:val="001C30A6"/>
    <w:rsid w:val="001C325C"/>
    <w:rsid w:val="001C381D"/>
    <w:rsid w:val="001C3CA1"/>
    <w:rsid w:val="001C4567"/>
    <w:rsid w:val="001C5694"/>
    <w:rsid w:val="001C56D5"/>
    <w:rsid w:val="001C5998"/>
    <w:rsid w:val="001C5C0B"/>
    <w:rsid w:val="001C5F2B"/>
    <w:rsid w:val="001C657C"/>
    <w:rsid w:val="001C6AE8"/>
    <w:rsid w:val="001C6B20"/>
    <w:rsid w:val="001C711D"/>
    <w:rsid w:val="001C7CA6"/>
    <w:rsid w:val="001C7CE7"/>
    <w:rsid w:val="001C7EAC"/>
    <w:rsid w:val="001D04A7"/>
    <w:rsid w:val="001D0610"/>
    <w:rsid w:val="001D0B51"/>
    <w:rsid w:val="001D1A1E"/>
    <w:rsid w:val="001D1D5D"/>
    <w:rsid w:val="001D1DC9"/>
    <w:rsid w:val="001D1ED4"/>
    <w:rsid w:val="001D287A"/>
    <w:rsid w:val="001D2AA0"/>
    <w:rsid w:val="001D2EE0"/>
    <w:rsid w:val="001D31E5"/>
    <w:rsid w:val="001D38E2"/>
    <w:rsid w:val="001D46D8"/>
    <w:rsid w:val="001D49F0"/>
    <w:rsid w:val="001D565A"/>
    <w:rsid w:val="001D5918"/>
    <w:rsid w:val="001D5A7D"/>
    <w:rsid w:val="001D5B0A"/>
    <w:rsid w:val="001D5D69"/>
    <w:rsid w:val="001D5DDE"/>
    <w:rsid w:val="001D5FC1"/>
    <w:rsid w:val="001D6039"/>
    <w:rsid w:val="001D7306"/>
    <w:rsid w:val="001D7A4D"/>
    <w:rsid w:val="001E03A4"/>
    <w:rsid w:val="001E05D3"/>
    <w:rsid w:val="001E0919"/>
    <w:rsid w:val="001E09ED"/>
    <w:rsid w:val="001E0A26"/>
    <w:rsid w:val="001E1027"/>
    <w:rsid w:val="001E1080"/>
    <w:rsid w:val="001E1345"/>
    <w:rsid w:val="001E1432"/>
    <w:rsid w:val="001E203C"/>
    <w:rsid w:val="001E2499"/>
    <w:rsid w:val="001E2BE7"/>
    <w:rsid w:val="001E2D59"/>
    <w:rsid w:val="001E2F4D"/>
    <w:rsid w:val="001E309D"/>
    <w:rsid w:val="001E30B0"/>
    <w:rsid w:val="001E3624"/>
    <w:rsid w:val="001E3883"/>
    <w:rsid w:val="001E3916"/>
    <w:rsid w:val="001E3BFF"/>
    <w:rsid w:val="001E3CB3"/>
    <w:rsid w:val="001E4565"/>
    <w:rsid w:val="001E4598"/>
    <w:rsid w:val="001E4D67"/>
    <w:rsid w:val="001E4DC4"/>
    <w:rsid w:val="001E69EB"/>
    <w:rsid w:val="001E6DE1"/>
    <w:rsid w:val="001E713E"/>
    <w:rsid w:val="001E7B03"/>
    <w:rsid w:val="001E7B08"/>
    <w:rsid w:val="001E7D81"/>
    <w:rsid w:val="001F0011"/>
    <w:rsid w:val="001F0616"/>
    <w:rsid w:val="001F0673"/>
    <w:rsid w:val="001F0866"/>
    <w:rsid w:val="001F0E6A"/>
    <w:rsid w:val="001F136D"/>
    <w:rsid w:val="001F144C"/>
    <w:rsid w:val="001F18A7"/>
    <w:rsid w:val="001F1A96"/>
    <w:rsid w:val="001F1E54"/>
    <w:rsid w:val="001F1F27"/>
    <w:rsid w:val="001F1F3D"/>
    <w:rsid w:val="001F2098"/>
    <w:rsid w:val="001F24E6"/>
    <w:rsid w:val="001F2531"/>
    <w:rsid w:val="001F28F9"/>
    <w:rsid w:val="001F29E8"/>
    <w:rsid w:val="001F2C00"/>
    <w:rsid w:val="001F2F84"/>
    <w:rsid w:val="001F385B"/>
    <w:rsid w:val="001F3C22"/>
    <w:rsid w:val="001F3CA3"/>
    <w:rsid w:val="001F44BA"/>
    <w:rsid w:val="001F4956"/>
    <w:rsid w:val="001F4BCE"/>
    <w:rsid w:val="001F4C73"/>
    <w:rsid w:val="001F4F9F"/>
    <w:rsid w:val="001F597B"/>
    <w:rsid w:val="001F5C45"/>
    <w:rsid w:val="001F5CD5"/>
    <w:rsid w:val="001F5DBF"/>
    <w:rsid w:val="001F60ED"/>
    <w:rsid w:val="001F6DA6"/>
    <w:rsid w:val="001F6F4A"/>
    <w:rsid w:val="001F7320"/>
    <w:rsid w:val="001F7922"/>
    <w:rsid w:val="001F7C67"/>
    <w:rsid w:val="00200B1C"/>
    <w:rsid w:val="0020123F"/>
    <w:rsid w:val="002012A8"/>
    <w:rsid w:val="002014DA"/>
    <w:rsid w:val="0020185D"/>
    <w:rsid w:val="00202017"/>
    <w:rsid w:val="002022FB"/>
    <w:rsid w:val="00202416"/>
    <w:rsid w:val="00202ACE"/>
    <w:rsid w:val="00202E5B"/>
    <w:rsid w:val="0020379A"/>
    <w:rsid w:val="002039A0"/>
    <w:rsid w:val="00203E5F"/>
    <w:rsid w:val="00204118"/>
    <w:rsid w:val="0020450A"/>
    <w:rsid w:val="00204E07"/>
    <w:rsid w:val="0020589F"/>
    <w:rsid w:val="00205A4D"/>
    <w:rsid w:val="00205C12"/>
    <w:rsid w:val="00206304"/>
    <w:rsid w:val="00206579"/>
    <w:rsid w:val="00206E60"/>
    <w:rsid w:val="00206EAA"/>
    <w:rsid w:val="00206F5F"/>
    <w:rsid w:val="00207937"/>
    <w:rsid w:val="00207F35"/>
    <w:rsid w:val="00207F64"/>
    <w:rsid w:val="002100E4"/>
    <w:rsid w:val="002101DA"/>
    <w:rsid w:val="00210A76"/>
    <w:rsid w:val="00210FC3"/>
    <w:rsid w:val="002117EF"/>
    <w:rsid w:val="0021192D"/>
    <w:rsid w:val="002119F1"/>
    <w:rsid w:val="00211DE8"/>
    <w:rsid w:val="00213AE0"/>
    <w:rsid w:val="00213C3D"/>
    <w:rsid w:val="00214397"/>
    <w:rsid w:val="00214494"/>
    <w:rsid w:val="00214545"/>
    <w:rsid w:val="00214EEC"/>
    <w:rsid w:val="002150C8"/>
    <w:rsid w:val="0021514B"/>
    <w:rsid w:val="00215AB0"/>
    <w:rsid w:val="00215BAF"/>
    <w:rsid w:val="00215CF1"/>
    <w:rsid w:val="00216207"/>
    <w:rsid w:val="002168D4"/>
    <w:rsid w:val="00216B29"/>
    <w:rsid w:val="00217C71"/>
    <w:rsid w:val="00217EB3"/>
    <w:rsid w:val="00220354"/>
    <w:rsid w:val="0022147F"/>
    <w:rsid w:val="0022200E"/>
    <w:rsid w:val="002226F0"/>
    <w:rsid w:val="00222DF3"/>
    <w:rsid w:val="002232B8"/>
    <w:rsid w:val="0022337C"/>
    <w:rsid w:val="00223D92"/>
    <w:rsid w:val="00224293"/>
    <w:rsid w:val="00224535"/>
    <w:rsid w:val="00224B25"/>
    <w:rsid w:val="00224B81"/>
    <w:rsid w:val="0022519B"/>
    <w:rsid w:val="00225222"/>
    <w:rsid w:val="002256B2"/>
    <w:rsid w:val="002257A2"/>
    <w:rsid w:val="002257E9"/>
    <w:rsid w:val="00225989"/>
    <w:rsid w:val="00225D14"/>
    <w:rsid w:val="00225EFF"/>
    <w:rsid w:val="0022613C"/>
    <w:rsid w:val="002264FA"/>
    <w:rsid w:val="00226583"/>
    <w:rsid w:val="002267BF"/>
    <w:rsid w:val="00227053"/>
    <w:rsid w:val="002274C0"/>
    <w:rsid w:val="00227601"/>
    <w:rsid w:val="00227B9F"/>
    <w:rsid w:val="00227EE6"/>
    <w:rsid w:val="00230052"/>
    <w:rsid w:val="0023048F"/>
    <w:rsid w:val="00230C47"/>
    <w:rsid w:val="0023111A"/>
    <w:rsid w:val="002312C2"/>
    <w:rsid w:val="002313ED"/>
    <w:rsid w:val="002318FC"/>
    <w:rsid w:val="00231A40"/>
    <w:rsid w:val="00231BDC"/>
    <w:rsid w:val="002326EF"/>
    <w:rsid w:val="002335C5"/>
    <w:rsid w:val="00233A93"/>
    <w:rsid w:val="00233B4C"/>
    <w:rsid w:val="00233FE8"/>
    <w:rsid w:val="0023433F"/>
    <w:rsid w:val="00234B74"/>
    <w:rsid w:val="00234C76"/>
    <w:rsid w:val="00234CDE"/>
    <w:rsid w:val="00234D2F"/>
    <w:rsid w:val="00234DA2"/>
    <w:rsid w:val="0023534C"/>
    <w:rsid w:val="00235C54"/>
    <w:rsid w:val="00236A89"/>
    <w:rsid w:val="00236D05"/>
    <w:rsid w:val="00236D33"/>
    <w:rsid w:val="0023744F"/>
    <w:rsid w:val="00237974"/>
    <w:rsid w:val="00240703"/>
    <w:rsid w:val="00240881"/>
    <w:rsid w:val="00240919"/>
    <w:rsid w:val="00240AB8"/>
    <w:rsid w:val="00240EDD"/>
    <w:rsid w:val="0024131D"/>
    <w:rsid w:val="00241620"/>
    <w:rsid w:val="00241E0E"/>
    <w:rsid w:val="0024224A"/>
    <w:rsid w:val="00242A64"/>
    <w:rsid w:val="00242AE9"/>
    <w:rsid w:val="00243515"/>
    <w:rsid w:val="00243D53"/>
    <w:rsid w:val="0024402E"/>
    <w:rsid w:val="002449C3"/>
    <w:rsid w:val="002456E2"/>
    <w:rsid w:val="0024617A"/>
    <w:rsid w:val="002461C1"/>
    <w:rsid w:val="002462AD"/>
    <w:rsid w:val="002462D4"/>
    <w:rsid w:val="00246330"/>
    <w:rsid w:val="0024684C"/>
    <w:rsid w:val="00246AC2"/>
    <w:rsid w:val="00246E9B"/>
    <w:rsid w:val="00247375"/>
    <w:rsid w:val="002473AF"/>
    <w:rsid w:val="0024785B"/>
    <w:rsid w:val="00247D3F"/>
    <w:rsid w:val="00247D9A"/>
    <w:rsid w:val="002501EA"/>
    <w:rsid w:val="002505B4"/>
    <w:rsid w:val="00250659"/>
    <w:rsid w:val="00250A6E"/>
    <w:rsid w:val="0025170F"/>
    <w:rsid w:val="00251E64"/>
    <w:rsid w:val="00252703"/>
    <w:rsid w:val="002527EA"/>
    <w:rsid w:val="00252C11"/>
    <w:rsid w:val="00252E37"/>
    <w:rsid w:val="00253033"/>
    <w:rsid w:val="00253CB2"/>
    <w:rsid w:val="00253E43"/>
    <w:rsid w:val="002540E2"/>
    <w:rsid w:val="00254822"/>
    <w:rsid w:val="00254C01"/>
    <w:rsid w:val="00255100"/>
    <w:rsid w:val="0025516F"/>
    <w:rsid w:val="002556F4"/>
    <w:rsid w:val="00255748"/>
    <w:rsid w:val="0025591C"/>
    <w:rsid w:val="00255A6A"/>
    <w:rsid w:val="00255BD5"/>
    <w:rsid w:val="0025645E"/>
    <w:rsid w:val="00256693"/>
    <w:rsid w:val="00257089"/>
    <w:rsid w:val="00257367"/>
    <w:rsid w:val="002575ED"/>
    <w:rsid w:val="0025773E"/>
    <w:rsid w:val="00257BEF"/>
    <w:rsid w:val="00257FAE"/>
    <w:rsid w:val="002601BC"/>
    <w:rsid w:val="00261455"/>
    <w:rsid w:val="00261A85"/>
    <w:rsid w:val="00262126"/>
    <w:rsid w:val="0026246F"/>
    <w:rsid w:val="002626E9"/>
    <w:rsid w:val="00262BB8"/>
    <w:rsid w:val="00263BE9"/>
    <w:rsid w:val="002645F3"/>
    <w:rsid w:val="00264B33"/>
    <w:rsid w:val="00264DB8"/>
    <w:rsid w:val="00265110"/>
    <w:rsid w:val="00265F1A"/>
    <w:rsid w:val="00266228"/>
    <w:rsid w:val="002662D1"/>
    <w:rsid w:val="002662DD"/>
    <w:rsid w:val="002668A3"/>
    <w:rsid w:val="00266972"/>
    <w:rsid w:val="00266AF4"/>
    <w:rsid w:val="00266C50"/>
    <w:rsid w:val="0026752D"/>
    <w:rsid w:val="00267651"/>
    <w:rsid w:val="00267DA5"/>
    <w:rsid w:val="00270A6D"/>
    <w:rsid w:val="00270D85"/>
    <w:rsid w:val="002716CD"/>
    <w:rsid w:val="002723DC"/>
    <w:rsid w:val="0027253D"/>
    <w:rsid w:val="002725D2"/>
    <w:rsid w:val="00272B78"/>
    <w:rsid w:val="00272ECF"/>
    <w:rsid w:val="002730CF"/>
    <w:rsid w:val="0027354B"/>
    <w:rsid w:val="0027398A"/>
    <w:rsid w:val="00274076"/>
    <w:rsid w:val="002744D6"/>
    <w:rsid w:val="00274561"/>
    <w:rsid w:val="00274743"/>
    <w:rsid w:val="00274D75"/>
    <w:rsid w:val="002755CE"/>
    <w:rsid w:val="00275C6A"/>
    <w:rsid w:val="00276049"/>
    <w:rsid w:val="00276294"/>
    <w:rsid w:val="002765D7"/>
    <w:rsid w:val="00276E58"/>
    <w:rsid w:val="00277253"/>
    <w:rsid w:val="00277F99"/>
    <w:rsid w:val="002806A0"/>
    <w:rsid w:val="0028085A"/>
    <w:rsid w:val="00280EA9"/>
    <w:rsid w:val="00280F61"/>
    <w:rsid w:val="00281415"/>
    <w:rsid w:val="00281470"/>
    <w:rsid w:val="0028170C"/>
    <w:rsid w:val="002821D6"/>
    <w:rsid w:val="00282610"/>
    <w:rsid w:val="00282A34"/>
    <w:rsid w:val="00282AC7"/>
    <w:rsid w:val="00282CBE"/>
    <w:rsid w:val="0028349D"/>
    <w:rsid w:val="00284208"/>
    <w:rsid w:val="0028430F"/>
    <w:rsid w:val="002843C5"/>
    <w:rsid w:val="00284A4D"/>
    <w:rsid w:val="00284DF4"/>
    <w:rsid w:val="00284F06"/>
    <w:rsid w:val="002853E7"/>
    <w:rsid w:val="00285E1A"/>
    <w:rsid w:val="002861D6"/>
    <w:rsid w:val="002864A6"/>
    <w:rsid w:val="00286D3A"/>
    <w:rsid w:val="00287A4B"/>
    <w:rsid w:val="0029077C"/>
    <w:rsid w:val="00290907"/>
    <w:rsid w:val="0029094B"/>
    <w:rsid w:val="002909DD"/>
    <w:rsid w:val="0029100C"/>
    <w:rsid w:val="00291526"/>
    <w:rsid w:val="0029166B"/>
    <w:rsid w:val="00291961"/>
    <w:rsid w:val="00291964"/>
    <w:rsid w:val="002919D2"/>
    <w:rsid w:val="00291AC5"/>
    <w:rsid w:val="00292402"/>
    <w:rsid w:val="00292718"/>
    <w:rsid w:val="00292F20"/>
    <w:rsid w:val="00293224"/>
    <w:rsid w:val="002935B7"/>
    <w:rsid w:val="0029365C"/>
    <w:rsid w:val="00293699"/>
    <w:rsid w:val="002937AB"/>
    <w:rsid w:val="00293E6F"/>
    <w:rsid w:val="00293F30"/>
    <w:rsid w:val="00294747"/>
    <w:rsid w:val="0029476D"/>
    <w:rsid w:val="00294AEF"/>
    <w:rsid w:val="00294DD3"/>
    <w:rsid w:val="002958A0"/>
    <w:rsid w:val="00295B2D"/>
    <w:rsid w:val="00295B3E"/>
    <w:rsid w:val="00295D5A"/>
    <w:rsid w:val="00296587"/>
    <w:rsid w:val="002967F0"/>
    <w:rsid w:val="00297C38"/>
    <w:rsid w:val="00297C39"/>
    <w:rsid w:val="00297E36"/>
    <w:rsid w:val="00297F03"/>
    <w:rsid w:val="00297FA5"/>
    <w:rsid w:val="002A0169"/>
    <w:rsid w:val="002A0508"/>
    <w:rsid w:val="002A07DF"/>
    <w:rsid w:val="002A0D12"/>
    <w:rsid w:val="002A0D3B"/>
    <w:rsid w:val="002A0D82"/>
    <w:rsid w:val="002A19A3"/>
    <w:rsid w:val="002A1EC3"/>
    <w:rsid w:val="002A2579"/>
    <w:rsid w:val="002A265F"/>
    <w:rsid w:val="002A289C"/>
    <w:rsid w:val="002A2CEA"/>
    <w:rsid w:val="002A2E0E"/>
    <w:rsid w:val="002A3A39"/>
    <w:rsid w:val="002A3C3F"/>
    <w:rsid w:val="002A3E9E"/>
    <w:rsid w:val="002A45F7"/>
    <w:rsid w:val="002A4D1E"/>
    <w:rsid w:val="002A5161"/>
    <w:rsid w:val="002A51BA"/>
    <w:rsid w:val="002A537F"/>
    <w:rsid w:val="002A5440"/>
    <w:rsid w:val="002A5DB6"/>
    <w:rsid w:val="002A6338"/>
    <w:rsid w:val="002A63D2"/>
    <w:rsid w:val="002A6809"/>
    <w:rsid w:val="002A6BDC"/>
    <w:rsid w:val="002A6D93"/>
    <w:rsid w:val="002A705D"/>
    <w:rsid w:val="002A7A59"/>
    <w:rsid w:val="002A7D5A"/>
    <w:rsid w:val="002A7D94"/>
    <w:rsid w:val="002A7DA7"/>
    <w:rsid w:val="002A7E4F"/>
    <w:rsid w:val="002B01C8"/>
    <w:rsid w:val="002B0404"/>
    <w:rsid w:val="002B0980"/>
    <w:rsid w:val="002B0C9E"/>
    <w:rsid w:val="002B0ED0"/>
    <w:rsid w:val="002B12E3"/>
    <w:rsid w:val="002B145A"/>
    <w:rsid w:val="002B1D0B"/>
    <w:rsid w:val="002B2197"/>
    <w:rsid w:val="002B264F"/>
    <w:rsid w:val="002B2FAD"/>
    <w:rsid w:val="002B2FBF"/>
    <w:rsid w:val="002B32A8"/>
    <w:rsid w:val="002B388B"/>
    <w:rsid w:val="002B3CF3"/>
    <w:rsid w:val="002B3D68"/>
    <w:rsid w:val="002B4000"/>
    <w:rsid w:val="002B4278"/>
    <w:rsid w:val="002B433A"/>
    <w:rsid w:val="002B474E"/>
    <w:rsid w:val="002B48DA"/>
    <w:rsid w:val="002B5E82"/>
    <w:rsid w:val="002B636B"/>
    <w:rsid w:val="002B67A6"/>
    <w:rsid w:val="002B67A8"/>
    <w:rsid w:val="002B6BD9"/>
    <w:rsid w:val="002B750B"/>
    <w:rsid w:val="002B75AE"/>
    <w:rsid w:val="002B7630"/>
    <w:rsid w:val="002B76C2"/>
    <w:rsid w:val="002B78FB"/>
    <w:rsid w:val="002B7D75"/>
    <w:rsid w:val="002C01AB"/>
    <w:rsid w:val="002C072E"/>
    <w:rsid w:val="002C09D5"/>
    <w:rsid w:val="002C0E23"/>
    <w:rsid w:val="002C0F8D"/>
    <w:rsid w:val="002C19B6"/>
    <w:rsid w:val="002C19EA"/>
    <w:rsid w:val="002C2003"/>
    <w:rsid w:val="002C23C4"/>
    <w:rsid w:val="002C289E"/>
    <w:rsid w:val="002C28B6"/>
    <w:rsid w:val="002C2C2C"/>
    <w:rsid w:val="002C2D60"/>
    <w:rsid w:val="002C34CD"/>
    <w:rsid w:val="002C397E"/>
    <w:rsid w:val="002C4047"/>
    <w:rsid w:val="002C44E1"/>
    <w:rsid w:val="002C453B"/>
    <w:rsid w:val="002C45DF"/>
    <w:rsid w:val="002C4609"/>
    <w:rsid w:val="002C483C"/>
    <w:rsid w:val="002C4AB1"/>
    <w:rsid w:val="002C5441"/>
    <w:rsid w:val="002C54DF"/>
    <w:rsid w:val="002C57DC"/>
    <w:rsid w:val="002C588A"/>
    <w:rsid w:val="002C5F98"/>
    <w:rsid w:val="002C646E"/>
    <w:rsid w:val="002C6CF5"/>
    <w:rsid w:val="002C6F07"/>
    <w:rsid w:val="002C7316"/>
    <w:rsid w:val="002C7482"/>
    <w:rsid w:val="002C74F8"/>
    <w:rsid w:val="002C779C"/>
    <w:rsid w:val="002C7A57"/>
    <w:rsid w:val="002C7C7A"/>
    <w:rsid w:val="002D09EB"/>
    <w:rsid w:val="002D0B05"/>
    <w:rsid w:val="002D23E5"/>
    <w:rsid w:val="002D245A"/>
    <w:rsid w:val="002D2A9F"/>
    <w:rsid w:val="002D2B5D"/>
    <w:rsid w:val="002D37E4"/>
    <w:rsid w:val="002D39E0"/>
    <w:rsid w:val="002D3B95"/>
    <w:rsid w:val="002D4891"/>
    <w:rsid w:val="002D48DD"/>
    <w:rsid w:val="002D499A"/>
    <w:rsid w:val="002D4E8A"/>
    <w:rsid w:val="002D536C"/>
    <w:rsid w:val="002D54E5"/>
    <w:rsid w:val="002D55A8"/>
    <w:rsid w:val="002D5D6E"/>
    <w:rsid w:val="002D5EB5"/>
    <w:rsid w:val="002D5FF5"/>
    <w:rsid w:val="002D620F"/>
    <w:rsid w:val="002D63EC"/>
    <w:rsid w:val="002D6602"/>
    <w:rsid w:val="002D6628"/>
    <w:rsid w:val="002D73E6"/>
    <w:rsid w:val="002D7643"/>
    <w:rsid w:val="002D7BCC"/>
    <w:rsid w:val="002D7C0E"/>
    <w:rsid w:val="002D7DEE"/>
    <w:rsid w:val="002E00AB"/>
    <w:rsid w:val="002E018D"/>
    <w:rsid w:val="002E0B2C"/>
    <w:rsid w:val="002E0BDD"/>
    <w:rsid w:val="002E0F82"/>
    <w:rsid w:val="002E1194"/>
    <w:rsid w:val="002E1519"/>
    <w:rsid w:val="002E1638"/>
    <w:rsid w:val="002E17C9"/>
    <w:rsid w:val="002E18AA"/>
    <w:rsid w:val="002E2771"/>
    <w:rsid w:val="002E2944"/>
    <w:rsid w:val="002E299F"/>
    <w:rsid w:val="002E3046"/>
    <w:rsid w:val="002E30B8"/>
    <w:rsid w:val="002E3714"/>
    <w:rsid w:val="002E3B9B"/>
    <w:rsid w:val="002E3CF1"/>
    <w:rsid w:val="002E4590"/>
    <w:rsid w:val="002E52B0"/>
    <w:rsid w:val="002E55B4"/>
    <w:rsid w:val="002E570A"/>
    <w:rsid w:val="002E5D7A"/>
    <w:rsid w:val="002E61A8"/>
    <w:rsid w:val="002E6A1D"/>
    <w:rsid w:val="002E77B9"/>
    <w:rsid w:val="002F0261"/>
    <w:rsid w:val="002F0333"/>
    <w:rsid w:val="002F0B01"/>
    <w:rsid w:val="002F1111"/>
    <w:rsid w:val="002F131E"/>
    <w:rsid w:val="002F1453"/>
    <w:rsid w:val="002F17BA"/>
    <w:rsid w:val="002F1B73"/>
    <w:rsid w:val="002F1D0A"/>
    <w:rsid w:val="002F1E77"/>
    <w:rsid w:val="002F248B"/>
    <w:rsid w:val="002F2505"/>
    <w:rsid w:val="002F259E"/>
    <w:rsid w:val="002F2897"/>
    <w:rsid w:val="002F2F92"/>
    <w:rsid w:val="002F3360"/>
    <w:rsid w:val="002F3573"/>
    <w:rsid w:val="002F39A5"/>
    <w:rsid w:val="002F3E43"/>
    <w:rsid w:val="002F448D"/>
    <w:rsid w:val="002F4554"/>
    <w:rsid w:val="002F5C24"/>
    <w:rsid w:val="002F5DA7"/>
    <w:rsid w:val="002F5E45"/>
    <w:rsid w:val="002F5E90"/>
    <w:rsid w:val="002F602A"/>
    <w:rsid w:val="002F64B5"/>
    <w:rsid w:val="002F690C"/>
    <w:rsid w:val="002F6A44"/>
    <w:rsid w:val="002F6FCC"/>
    <w:rsid w:val="002F705C"/>
    <w:rsid w:val="002F707D"/>
    <w:rsid w:val="002F72BD"/>
    <w:rsid w:val="002F7630"/>
    <w:rsid w:val="002F77C7"/>
    <w:rsid w:val="002F77D9"/>
    <w:rsid w:val="002F785F"/>
    <w:rsid w:val="002F7A0E"/>
    <w:rsid w:val="002F7DC3"/>
    <w:rsid w:val="002F7FF1"/>
    <w:rsid w:val="002F7FF6"/>
    <w:rsid w:val="003001DD"/>
    <w:rsid w:val="0030022A"/>
    <w:rsid w:val="0030059C"/>
    <w:rsid w:val="003006E2"/>
    <w:rsid w:val="00300DD5"/>
    <w:rsid w:val="00300E15"/>
    <w:rsid w:val="003013B3"/>
    <w:rsid w:val="0030174F"/>
    <w:rsid w:val="003018A1"/>
    <w:rsid w:val="003019E7"/>
    <w:rsid w:val="00301E24"/>
    <w:rsid w:val="00301F9A"/>
    <w:rsid w:val="00302585"/>
    <w:rsid w:val="0030288C"/>
    <w:rsid w:val="003028BE"/>
    <w:rsid w:val="00302BC2"/>
    <w:rsid w:val="00302EC0"/>
    <w:rsid w:val="00302F2C"/>
    <w:rsid w:val="0030308C"/>
    <w:rsid w:val="003031AA"/>
    <w:rsid w:val="0030365A"/>
    <w:rsid w:val="00304378"/>
    <w:rsid w:val="00304389"/>
    <w:rsid w:val="003046E1"/>
    <w:rsid w:val="00304815"/>
    <w:rsid w:val="0030540B"/>
    <w:rsid w:val="00305909"/>
    <w:rsid w:val="00305DB9"/>
    <w:rsid w:val="00306850"/>
    <w:rsid w:val="00307517"/>
    <w:rsid w:val="00307750"/>
    <w:rsid w:val="003078C2"/>
    <w:rsid w:val="00307BA8"/>
    <w:rsid w:val="00307CE8"/>
    <w:rsid w:val="0031024D"/>
    <w:rsid w:val="00310322"/>
    <w:rsid w:val="00310E93"/>
    <w:rsid w:val="00311598"/>
    <w:rsid w:val="00311693"/>
    <w:rsid w:val="00311D05"/>
    <w:rsid w:val="0031206B"/>
    <w:rsid w:val="003122ED"/>
    <w:rsid w:val="00312533"/>
    <w:rsid w:val="0031272D"/>
    <w:rsid w:val="0031276F"/>
    <w:rsid w:val="00312923"/>
    <w:rsid w:val="00312D39"/>
    <w:rsid w:val="00313432"/>
    <w:rsid w:val="003145D9"/>
    <w:rsid w:val="0031476F"/>
    <w:rsid w:val="0031499C"/>
    <w:rsid w:val="00314D93"/>
    <w:rsid w:val="0031567E"/>
    <w:rsid w:val="00315EE4"/>
    <w:rsid w:val="00315F86"/>
    <w:rsid w:val="003160DA"/>
    <w:rsid w:val="00316135"/>
    <w:rsid w:val="003166CF"/>
    <w:rsid w:val="00316744"/>
    <w:rsid w:val="003169CA"/>
    <w:rsid w:val="00316D14"/>
    <w:rsid w:val="00317031"/>
    <w:rsid w:val="00317048"/>
    <w:rsid w:val="003174E4"/>
    <w:rsid w:val="0031756F"/>
    <w:rsid w:val="00317815"/>
    <w:rsid w:val="0032020B"/>
    <w:rsid w:val="0032038A"/>
    <w:rsid w:val="0032051E"/>
    <w:rsid w:val="00320830"/>
    <w:rsid w:val="00320B20"/>
    <w:rsid w:val="00320FBC"/>
    <w:rsid w:val="00321213"/>
    <w:rsid w:val="00321A7F"/>
    <w:rsid w:val="00321D63"/>
    <w:rsid w:val="00321FC8"/>
    <w:rsid w:val="0032213D"/>
    <w:rsid w:val="003223BA"/>
    <w:rsid w:val="00322505"/>
    <w:rsid w:val="003228CF"/>
    <w:rsid w:val="00322960"/>
    <w:rsid w:val="00322F39"/>
    <w:rsid w:val="00322FC4"/>
    <w:rsid w:val="00323328"/>
    <w:rsid w:val="00323633"/>
    <w:rsid w:val="003237AA"/>
    <w:rsid w:val="003241C8"/>
    <w:rsid w:val="0032447D"/>
    <w:rsid w:val="00324A7D"/>
    <w:rsid w:val="00324FBB"/>
    <w:rsid w:val="00325763"/>
    <w:rsid w:val="003257F9"/>
    <w:rsid w:val="00325A55"/>
    <w:rsid w:val="00326031"/>
    <w:rsid w:val="003261CF"/>
    <w:rsid w:val="0032674F"/>
    <w:rsid w:val="003274C9"/>
    <w:rsid w:val="003275B8"/>
    <w:rsid w:val="003278FB"/>
    <w:rsid w:val="00327ACE"/>
    <w:rsid w:val="00327CD2"/>
    <w:rsid w:val="00330603"/>
    <w:rsid w:val="0033091E"/>
    <w:rsid w:val="00330CBC"/>
    <w:rsid w:val="00330D2E"/>
    <w:rsid w:val="003313F7"/>
    <w:rsid w:val="00331D8B"/>
    <w:rsid w:val="00331E00"/>
    <w:rsid w:val="00331F53"/>
    <w:rsid w:val="00332BB3"/>
    <w:rsid w:val="003331E1"/>
    <w:rsid w:val="00333813"/>
    <w:rsid w:val="003338DC"/>
    <w:rsid w:val="00334367"/>
    <w:rsid w:val="0033486D"/>
    <w:rsid w:val="00335319"/>
    <w:rsid w:val="0033567F"/>
    <w:rsid w:val="00335823"/>
    <w:rsid w:val="00335A1C"/>
    <w:rsid w:val="00335A6F"/>
    <w:rsid w:val="00335AA2"/>
    <w:rsid w:val="00335FBC"/>
    <w:rsid w:val="0033615A"/>
    <w:rsid w:val="003364B0"/>
    <w:rsid w:val="003367AE"/>
    <w:rsid w:val="00336C37"/>
    <w:rsid w:val="00337141"/>
    <w:rsid w:val="00337905"/>
    <w:rsid w:val="00337A34"/>
    <w:rsid w:val="0034003A"/>
    <w:rsid w:val="003403E0"/>
    <w:rsid w:val="00340F96"/>
    <w:rsid w:val="00341134"/>
    <w:rsid w:val="003412A5"/>
    <w:rsid w:val="00341730"/>
    <w:rsid w:val="00341C16"/>
    <w:rsid w:val="00341D9A"/>
    <w:rsid w:val="00341DE5"/>
    <w:rsid w:val="00341E6D"/>
    <w:rsid w:val="003424A9"/>
    <w:rsid w:val="00342A14"/>
    <w:rsid w:val="00342C51"/>
    <w:rsid w:val="00342E4D"/>
    <w:rsid w:val="00342E7D"/>
    <w:rsid w:val="00343057"/>
    <w:rsid w:val="003431E0"/>
    <w:rsid w:val="0034332E"/>
    <w:rsid w:val="00343923"/>
    <w:rsid w:val="00343D54"/>
    <w:rsid w:val="00343E12"/>
    <w:rsid w:val="00344253"/>
    <w:rsid w:val="003442B5"/>
    <w:rsid w:val="003445ED"/>
    <w:rsid w:val="00344A94"/>
    <w:rsid w:val="00344AA5"/>
    <w:rsid w:val="00344CF1"/>
    <w:rsid w:val="003458A4"/>
    <w:rsid w:val="00345DBF"/>
    <w:rsid w:val="00346849"/>
    <w:rsid w:val="00346EEA"/>
    <w:rsid w:val="00347BDD"/>
    <w:rsid w:val="00347E18"/>
    <w:rsid w:val="00347F63"/>
    <w:rsid w:val="003501C3"/>
    <w:rsid w:val="00350934"/>
    <w:rsid w:val="00351113"/>
    <w:rsid w:val="0035121F"/>
    <w:rsid w:val="00351BC9"/>
    <w:rsid w:val="00351F02"/>
    <w:rsid w:val="003526E5"/>
    <w:rsid w:val="00353119"/>
    <w:rsid w:val="003532DF"/>
    <w:rsid w:val="003534AE"/>
    <w:rsid w:val="00353A3D"/>
    <w:rsid w:val="00353BAC"/>
    <w:rsid w:val="00353CC6"/>
    <w:rsid w:val="00353D40"/>
    <w:rsid w:val="003540F7"/>
    <w:rsid w:val="003546C8"/>
    <w:rsid w:val="0035490A"/>
    <w:rsid w:val="00355155"/>
    <w:rsid w:val="00355385"/>
    <w:rsid w:val="00355482"/>
    <w:rsid w:val="003555AC"/>
    <w:rsid w:val="00355884"/>
    <w:rsid w:val="0035614C"/>
    <w:rsid w:val="0035719A"/>
    <w:rsid w:val="00357254"/>
    <w:rsid w:val="00357386"/>
    <w:rsid w:val="003573E5"/>
    <w:rsid w:val="0035783C"/>
    <w:rsid w:val="00357E6A"/>
    <w:rsid w:val="00357F3B"/>
    <w:rsid w:val="003602B8"/>
    <w:rsid w:val="00360E2E"/>
    <w:rsid w:val="003611B7"/>
    <w:rsid w:val="003616A7"/>
    <w:rsid w:val="003619DF"/>
    <w:rsid w:val="00361DBB"/>
    <w:rsid w:val="00361ED6"/>
    <w:rsid w:val="0036278D"/>
    <w:rsid w:val="00362C1F"/>
    <w:rsid w:val="00362C86"/>
    <w:rsid w:val="00362E97"/>
    <w:rsid w:val="00362EA5"/>
    <w:rsid w:val="003634B9"/>
    <w:rsid w:val="0036366E"/>
    <w:rsid w:val="0036434D"/>
    <w:rsid w:val="0036455E"/>
    <w:rsid w:val="00364C0A"/>
    <w:rsid w:val="00364CDD"/>
    <w:rsid w:val="00364F9C"/>
    <w:rsid w:val="003655CB"/>
    <w:rsid w:val="003656C3"/>
    <w:rsid w:val="00365F33"/>
    <w:rsid w:val="00365FDA"/>
    <w:rsid w:val="0036688F"/>
    <w:rsid w:val="003668E3"/>
    <w:rsid w:val="00366FA9"/>
    <w:rsid w:val="00367277"/>
    <w:rsid w:val="003701AA"/>
    <w:rsid w:val="00370662"/>
    <w:rsid w:val="003708DE"/>
    <w:rsid w:val="003709B7"/>
    <w:rsid w:val="00370AD9"/>
    <w:rsid w:val="00371999"/>
    <w:rsid w:val="00371CFD"/>
    <w:rsid w:val="00371EA7"/>
    <w:rsid w:val="00372430"/>
    <w:rsid w:val="003726AB"/>
    <w:rsid w:val="003727D9"/>
    <w:rsid w:val="00372DE6"/>
    <w:rsid w:val="00373738"/>
    <w:rsid w:val="00373881"/>
    <w:rsid w:val="00373907"/>
    <w:rsid w:val="00373C7C"/>
    <w:rsid w:val="00373EAD"/>
    <w:rsid w:val="00374B92"/>
    <w:rsid w:val="00374BB8"/>
    <w:rsid w:val="00374DC4"/>
    <w:rsid w:val="00374F8E"/>
    <w:rsid w:val="003755FC"/>
    <w:rsid w:val="00375DE1"/>
    <w:rsid w:val="003768E5"/>
    <w:rsid w:val="0037750B"/>
    <w:rsid w:val="003775BA"/>
    <w:rsid w:val="00377718"/>
    <w:rsid w:val="00377CAE"/>
    <w:rsid w:val="00380103"/>
    <w:rsid w:val="00380129"/>
    <w:rsid w:val="003803BC"/>
    <w:rsid w:val="003808DD"/>
    <w:rsid w:val="00380901"/>
    <w:rsid w:val="003809A7"/>
    <w:rsid w:val="00380BFB"/>
    <w:rsid w:val="00380C2D"/>
    <w:rsid w:val="00380CC5"/>
    <w:rsid w:val="00380F9A"/>
    <w:rsid w:val="00381535"/>
    <w:rsid w:val="00381B5D"/>
    <w:rsid w:val="00382088"/>
    <w:rsid w:val="003827B8"/>
    <w:rsid w:val="003828F8"/>
    <w:rsid w:val="00383161"/>
    <w:rsid w:val="0038318E"/>
    <w:rsid w:val="003831CF"/>
    <w:rsid w:val="00383340"/>
    <w:rsid w:val="00383DEF"/>
    <w:rsid w:val="00383F46"/>
    <w:rsid w:val="003840A8"/>
    <w:rsid w:val="00384304"/>
    <w:rsid w:val="00384780"/>
    <w:rsid w:val="00385339"/>
    <w:rsid w:val="003853ED"/>
    <w:rsid w:val="0038591E"/>
    <w:rsid w:val="0038599A"/>
    <w:rsid w:val="00385C25"/>
    <w:rsid w:val="00385FFB"/>
    <w:rsid w:val="00386061"/>
    <w:rsid w:val="0038619B"/>
    <w:rsid w:val="0038775D"/>
    <w:rsid w:val="003877B7"/>
    <w:rsid w:val="00387806"/>
    <w:rsid w:val="00390940"/>
    <w:rsid w:val="00390B7C"/>
    <w:rsid w:val="00390BA9"/>
    <w:rsid w:val="00390D18"/>
    <w:rsid w:val="0039110A"/>
    <w:rsid w:val="00391DA7"/>
    <w:rsid w:val="003923B5"/>
    <w:rsid w:val="00392AD7"/>
    <w:rsid w:val="00393387"/>
    <w:rsid w:val="0039355E"/>
    <w:rsid w:val="00393CDD"/>
    <w:rsid w:val="00394CE4"/>
    <w:rsid w:val="00394DFC"/>
    <w:rsid w:val="00394E2A"/>
    <w:rsid w:val="00394E2E"/>
    <w:rsid w:val="00394EFA"/>
    <w:rsid w:val="00394FE8"/>
    <w:rsid w:val="003955DF"/>
    <w:rsid w:val="0039562A"/>
    <w:rsid w:val="003961ED"/>
    <w:rsid w:val="003963D9"/>
    <w:rsid w:val="00396633"/>
    <w:rsid w:val="00396FD4"/>
    <w:rsid w:val="003973B2"/>
    <w:rsid w:val="003976C4"/>
    <w:rsid w:val="00397C58"/>
    <w:rsid w:val="00397D75"/>
    <w:rsid w:val="003A0274"/>
    <w:rsid w:val="003A08A0"/>
    <w:rsid w:val="003A1047"/>
    <w:rsid w:val="003A16D1"/>
    <w:rsid w:val="003A1A59"/>
    <w:rsid w:val="003A1CD0"/>
    <w:rsid w:val="003A1EA1"/>
    <w:rsid w:val="003A1EF6"/>
    <w:rsid w:val="003A2036"/>
    <w:rsid w:val="003A2963"/>
    <w:rsid w:val="003A2A47"/>
    <w:rsid w:val="003A32BD"/>
    <w:rsid w:val="003A330E"/>
    <w:rsid w:val="003A343A"/>
    <w:rsid w:val="003A41DB"/>
    <w:rsid w:val="003A4405"/>
    <w:rsid w:val="003A441B"/>
    <w:rsid w:val="003A4AFA"/>
    <w:rsid w:val="003A4F82"/>
    <w:rsid w:val="003A55F3"/>
    <w:rsid w:val="003A56D1"/>
    <w:rsid w:val="003A5724"/>
    <w:rsid w:val="003A6428"/>
    <w:rsid w:val="003A648D"/>
    <w:rsid w:val="003A64B8"/>
    <w:rsid w:val="003A6573"/>
    <w:rsid w:val="003A6745"/>
    <w:rsid w:val="003A6C47"/>
    <w:rsid w:val="003A7072"/>
    <w:rsid w:val="003A76C5"/>
    <w:rsid w:val="003A798C"/>
    <w:rsid w:val="003A79C1"/>
    <w:rsid w:val="003A7CC7"/>
    <w:rsid w:val="003B01AF"/>
    <w:rsid w:val="003B01D6"/>
    <w:rsid w:val="003B045C"/>
    <w:rsid w:val="003B0A81"/>
    <w:rsid w:val="003B13F4"/>
    <w:rsid w:val="003B1502"/>
    <w:rsid w:val="003B1A92"/>
    <w:rsid w:val="003B2491"/>
    <w:rsid w:val="003B3604"/>
    <w:rsid w:val="003B3BB6"/>
    <w:rsid w:val="003B3C24"/>
    <w:rsid w:val="003B3EEE"/>
    <w:rsid w:val="003B41F3"/>
    <w:rsid w:val="003B433F"/>
    <w:rsid w:val="003B4A9A"/>
    <w:rsid w:val="003B4CEB"/>
    <w:rsid w:val="003B5216"/>
    <w:rsid w:val="003B5315"/>
    <w:rsid w:val="003B5364"/>
    <w:rsid w:val="003B59DB"/>
    <w:rsid w:val="003B5DAC"/>
    <w:rsid w:val="003B5E86"/>
    <w:rsid w:val="003B5EA4"/>
    <w:rsid w:val="003B611B"/>
    <w:rsid w:val="003B6468"/>
    <w:rsid w:val="003B7322"/>
    <w:rsid w:val="003B78D9"/>
    <w:rsid w:val="003B7B2C"/>
    <w:rsid w:val="003B7C8E"/>
    <w:rsid w:val="003B7FA1"/>
    <w:rsid w:val="003B7FF5"/>
    <w:rsid w:val="003C0041"/>
    <w:rsid w:val="003C0643"/>
    <w:rsid w:val="003C0B70"/>
    <w:rsid w:val="003C0C65"/>
    <w:rsid w:val="003C0CC0"/>
    <w:rsid w:val="003C1767"/>
    <w:rsid w:val="003C2873"/>
    <w:rsid w:val="003C2E65"/>
    <w:rsid w:val="003C353C"/>
    <w:rsid w:val="003C390C"/>
    <w:rsid w:val="003C3971"/>
    <w:rsid w:val="003C3A98"/>
    <w:rsid w:val="003C3B88"/>
    <w:rsid w:val="003C3EF9"/>
    <w:rsid w:val="003C49DB"/>
    <w:rsid w:val="003C4ED4"/>
    <w:rsid w:val="003C51C5"/>
    <w:rsid w:val="003C551C"/>
    <w:rsid w:val="003C5727"/>
    <w:rsid w:val="003C575E"/>
    <w:rsid w:val="003C5813"/>
    <w:rsid w:val="003C5EFD"/>
    <w:rsid w:val="003C629D"/>
    <w:rsid w:val="003C69D0"/>
    <w:rsid w:val="003C6F57"/>
    <w:rsid w:val="003C706C"/>
    <w:rsid w:val="003C76F9"/>
    <w:rsid w:val="003C79FB"/>
    <w:rsid w:val="003C7D5D"/>
    <w:rsid w:val="003D0349"/>
    <w:rsid w:val="003D046C"/>
    <w:rsid w:val="003D0698"/>
    <w:rsid w:val="003D0CCD"/>
    <w:rsid w:val="003D1570"/>
    <w:rsid w:val="003D1CE0"/>
    <w:rsid w:val="003D2B6F"/>
    <w:rsid w:val="003D2DE5"/>
    <w:rsid w:val="003D2FFE"/>
    <w:rsid w:val="003D3583"/>
    <w:rsid w:val="003D3E1C"/>
    <w:rsid w:val="003D3F6C"/>
    <w:rsid w:val="003D40DF"/>
    <w:rsid w:val="003D41C4"/>
    <w:rsid w:val="003D45D5"/>
    <w:rsid w:val="003D494A"/>
    <w:rsid w:val="003D583F"/>
    <w:rsid w:val="003D6871"/>
    <w:rsid w:val="003D68EF"/>
    <w:rsid w:val="003D69CE"/>
    <w:rsid w:val="003D6A72"/>
    <w:rsid w:val="003D6FE5"/>
    <w:rsid w:val="003D7236"/>
    <w:rsid w:val="003D7387"/>
    <w:rsid w:val="003D7681"/>
    <w:rsid w:val="003D7F5D"/>
    <w:rsid w:val="003E01C4"/>
    <w:rsid w:val="003E0406"/>
    <w:rsid w:val="003E0D19"/>
    <w:rsid w:val="003E0F8B"/>
    <w:rsid w:val="003E1FF8"/>
    <w:rsid w:val="003E2077"/>
    <w:rsid w:val="003E2186"/>
    <w:rsid w:val="003E21D1"/>
    <w:rsid w:val="003E2475"/>
    <w:rsid w:val="003E24A4"/>
    <w:rsid w:val="003E24D1"/>
    <w:rsid w:val="003E2C82"/>
    <w:rsid w:val="003E2E8D"/>
    <w:rsid w:val="003E2F6F"/>
    <w:rsid w:val="003E2FEB"/>
    <w:rsid w:val="003E318F"/>
    <w:rsid w:val="003E44E4"/>
    <w:rsid w:val="003E46B8"/>
    <w:rsid w:val="003E47BE"/>
    <w:rsid w:val="003E48D2"/>
    <w:rsid w:val="003E4D1F"/>
    <w:rsid w:val="003E4D85"/>
    <w:rsid w:val="003E4DB9"/>
    <w:rsid w:val="003E5A93"/>
    <w:rsid w:val="003E6B8D"/>
    <w:rsid w:val="003E6BEF"/>
    <w:rsid w:val="003E6CFE"/>
    <w:rsid w:val="003E6E92"/>
    <w:rsid w:val="003E795A"/>
    <w:rsid w:val="003E7A2D"/>
    <w:rsid w:val="003E7CE2"/>
    <w:rsid w:val="003F0329"/>
    <w:rsid w:val="003F086E"/>
    <w:rsid w:val="003F0F1F"/>
    <w:rsid w:val="003F113D"/>
    <w:rsid w:val="003F12E3"/>
    <w:rsid w:val="003F13E2"/>
    <w:rsid w:val="003F1898"/>
    <w:rsid w:val="003F1C7D"/>
    <w:rsid w:val="003F1DF8"/>
    <w:rsid w:val="003F1FF5"/>
    <w:rsid w:val="003F241D"/>
    <w:rsid w:val="003F2436"/>
    <w:rsid w:val="003F27E3"/>
    <w:rsid w:val="003F281F"/>
    <w:rsid w:val="003F2FDB"/>
    <w:rsid w:val="003F32D9"/>
    <w:rsid w:val="003F32EC"/>
    <w:rsid w:val="003F33D9"/>
    <w:rsid w:val="003F4341"/>
    <w:rsid w:val="003F4372"/>
    <w:rsid w:val="003F5477"/>
    <w:rsid w:val="003F5B00"/>
    <w:rsid w:val="003F63DC"/>
    <w:rsid w:val="003F6B23"/>
    <w:rsid w:val="003F6E0B"/>
    <w:rsid w:val="003F7FC5"/>
    <w:rsid w:val="00400439"/>
    <w:rsid w:val="0040049E"/>
    <w:rsid w:val="00400797"/>
    <w:rsid w:val="00400855"/>
    <w:rsid w:val="0040128D"/>
    <w:rsid w:val="0040156F"/>
    <w:rsid w:val="004016C2"/>
    <w:rsid w:val="004018B7"/>
    <w:rsid w:val="00402A89"/>
    <w:rsid w:val="00402DAF"/>
    <w:rsid w:val="00403B06"/>
    <w:rsid w:val="00403C22"/>
    <w:rsid w:val="00403DF1"/>
    <w:rsid w:val="004040E3"/>
    <w:rsid w:val="0040452E"/>
    <w:rsid w:val="00404A01"/>
    <w:rsid w:val="00404F78"/>
    <w:rsid w:val="00405640"/>
    <w:rsid w:val="00405A6E"/>
    <w:rsid w:val="00405F0F"/>
    <w:rsid w:val="004060B3"/>
    <w:rsid w:val="00406290"/>
    <w:rsid w:val="00406D30"/>
    <w:rsid w:val="00406D97"/>
    <w:rsid w:val="00406F7B"/>
    <w:rsid w:val="00407A8E"/>
    <w:rsid w:val="00407AC4"/>
    <w:rsid w:val="0041050E"/>
    <w:rsid w:val="004107FB"/>
    <w:rsid w:val="0041084C"/>
    <w:rsid w:val="00410C8E"/>
    <w:rsid w:val="00410D3E"/>
    <w:rsid w:val="004110BB"/>
    <w:rsid w:val="0041174F"/>
    <w:rsid w:val="00412AA0"/>
    <w:rsid w:val="004131A1"/>
    <w:rsid w:val="0041321F"/>
    <w:rsid w:val="00413763"/>
    <w:rsid w:val="004145B2"/>
    <w:rsid w:val="0041511C"/>
    <w:rsid w:val="0041561C"/>
    <w:rsid w:val="00415949"/>
    <w:rsid w:val="00415B89"/>
    <w:rsid w:val="00415BCD"/>
    <w:rsid w:val="004161B4"/>
    <w:rsid w:val="00417282"/>
    <w:rsid w:val="004179E4"/>
    <w:rsid w:val="00417D31"/>
    <w:rsid w:val="00417D6E"/>
    <w:rsid w:val="00420029"/>
    <w:rsid w:val="004200A5"/>
    <w:rsid w:val="00420559"/>
    <w:rsid w:val="00420646"/>
    <w:rsid w:val="00420B14"/>
    <w:rsid w:val="00420D8B"/>
    <w:rsid w:val="00420E0C"/>
    <w:rsid w:val="004215D6"/>
    <w:rsid w:val="00421D59"/>
    <w:rsid w:val="00421D89"/>
    <w:rsid w:val="00422241"/>
    <w:rsid w:val="004223FD"/>
    <w:rsid w:val="0042279B"/>
    <w:rsid w:val="004227BC"/>
    <w:rsid w:val="004228C4"/>
    <w:rsid w:val="00422B83"/>
    <w:rsid w:val="00423132"/>
    <w:rsid w:val="00423136"/>
    <w:rsid w:val="004236A5"/>
    <w:rsid w:val="0042383E"/>
    <w:rsid w:val="004240B5"/>
    <w:rsid w:val="00424213"/>
    <w:rsid w:val="004244AB"/>
    <w:rsid w:val="0042450D"/>
    <w:rsid w:val="004255D9"/>
    <w:rsid w:val="0042599D"/>
    <w:rsid w:val="00425CB2"/>
    <w:rsid w:val="004262BE"/>
    <w:rsid w:val="0042649E"/>
    <w:rsid w:val="004266FA"/>
    <w:rsid w:val="00426C01"/>
    <w:rsid w:val="00427B55"/>
    <w:rsid w:val="00427C44"/>
    <w:rsid w:val="00427F44"/>
    <w:rsid w:val="0043077F"/>
    <w:rsid w:val="00430EF2"/>
    <w:rsid w:val="004312C4"/>
    <w:rsid w:val="00431E0F"/>
    <w:rsid w:val="00431E8C"/>
    <w:rsid w:val="0043218E"/>
    <w:rsid w:val="0043222E"/>
    <w:rsid w:val="004322E2"/>
    <w:rsid w:val="0043264C"/>
    <w:rsid w:val="00432785"/>
    <w:rsid w:val="00432A3B"/>
    <w:rsid w:val="00433978"/>
    <w:rsid w:val="00433E5E"/>
    <w:rsid w:val="004341AA"/>
    <w:rsid w:val="00434201"/>
    <w:rsid w:val="00434753"/>
    <w:rsid w:val="00436492"/>
    <w:rsid w:val="00436B49"/>
    <w:rsid w:val="00437316"/>
    <w:rsid w:val="00437855"/>
    <w:rsid w:val="00440735"/>
    <w:rsid w:val="00440BC0"/>
    <w:rsid w:val="00441B54"/>
    <w:rsid w:val="00441BF4"/>
    <w:rsid w:val="00442004"/>
    <w:rsid w:val="00442A70"/>
    <w:rsid w:val="00442AD7"/>
    <w:rsid w:val="00442E84"/>
    <w:rsid w:val="004430C1"/>
    <w:rsid w:val="004431FD"/>
    <w:rsid w:val="00443378"/>
    <w:rsid w:val="0044354F"/>
    <w:rsid w:val="00443630"/>
    <w:rsid w:val="004438D3"/>
    <w:rsid w:val="0044392A"/>
    <w:rsid w:val="00443BA0"/>
    <w:rsid w:val="0044412A"/>
    <w:rsid w:val="00444864"/>
    <w:rsid w:val="00444865"/>
    <w:rsid w:val="00445185"/>
    <w:rsid w:val="00445264"/>
    <w:rsid w:val="00445306"/>
    <w:rsid w:val="00445338"/>
    <w:rsid w:val="00445BC1"/>
    <w:rsid w:val="00445E6F"/>
    <w:rsid w:val="00445F78"/>
    <w:rsid w:val="00446108"/>
    <w:rsid w:val="0044619D"/>
    <w:rsid w:val="00446241"/>
    <w:rsid w:val="00446304"/>
    <w:rsid w:val="0044653B"/>
    <w:rsid w:val="00446BCC"/>
    <w:rsid w:val="0044734E"/>
    <w:rsid w:val="004476D6"/>
    <w:rsid w:val="00447F5B"/>
    <w:rsid w:val="0045012D"/>
    <w:rsid w:val="004503E4"/>
    <w:rsid w:val="00450423"/>
    <w:rsid w:val="00450548"/>
    <w:rsid w:val="004509C3"/>
    <w:rsid w:val="00450AD5"/>
    <w:rsid w:val="00450F59"/>
    <w:rsid w:val="004510A8"/>
    <w:rsid w:val="00451B63"/>
    <w:rsid w:val="00451D2F"/>
    <w:rsid w:val="00452551"/>
    <w:rsid w:val="00452810"/>
    <w:rsid w:val="00452D92"/>
    <w:rsid w:val="0045374E"/>
    <w:rsid w:val="00453E64"/>
    <w:rsid w:val="0045406F"/>
    <w:rsid w:val="0045455C"/>
    <w:rsid w:val="00454B07"/>
    <w:rsid w:val="00454E08"/>
    <w:rsid w:val="00455022"/>
    <w:rsid w:val="00455102"/>
    <w:rsid w:val="004555E8"/>
    <w:rsid w:val="0045570B"/>
    <w:rsid w:val="00456260"/>
    <w:rsid w:val="004570F0"/>
    <w:rsid w:val="004571B2"/>
    <w:rsid w:val="004578C8"/>
    <w:rsid w:val="00460002"/>
    <w:rsid w:val="004606B3"/>
    <w:rsid w:val="004611FF"/>
    <w:rsid w:val="0046134D"/>
    <w:rsid w:val="00461541"/>
    <w:rsid w:val="004615C1"/>
    <w:rsid w:val="004615D8"/>
    <w:rsid w:val="00462343"/>
    <w:rsid w:val="004625BA"/>
    <w:rsid w:val="004627A4"/>
    <w:rsid w:val="00462A38"/>
    <w:rsid w:val="00462A58"/>
    <w:rsid w:val="00463B55"/>
    <w:rsid w:val="00463E03"/>
    <w:rsid w:val="00463E62"/>
    <w:rsid w:val="00464AF2"/>
    <w:rsid w:val="00464CC8"/>
    <w:rsid w:val="00464F37"/>
    <w:rsid w:val="0046501E"/>
    <w:rsid w:val="00465272"/>
    <w:rsid w:val="0046527C"/>
    <w:rsid w:val="004656D2"/>
    <w:rsid w:val="004659DE"/>
    <w:rsid w:val="00465B6A"/>
    <w:rsid w:val="00465C5D"/>
    <w:rsid w:val="00465EF3"/>
    <w:rsid w:val="00466379"/>
    <w:rsid w:val="00466A20"/>
    <w:rsid w:val="00466BB3"/>
    <w:rsid w:val="00466F2B"/>
    <w:rsid w:val="004674F7"/>
    <w:rsid w:val="00467626"/>
    <w:rsid w:val="00467B59"/>
    <w:rsid w:val="00467EF5"/>
    <w:rsid w:val="00470580"/>
    <w:rsid w:val="0047058F"/>
    <w:rsid w:val="0047099A"/>
    <w:rsid w:val="004709FE"/>
    <w:rsid w:val="00470D47"/>
    <w:rsid w:val="00471098"/>
    <w:rsid w:val="00471F5B"/>
    <w:rsid w:val="004722A8"/>
    <w:rsid w:val="004725FA"/>
    <w:rsid w:val="00472741"/>
    <w:rsid w:val="00472C40"/>
    <w:rsid w:val="0047304F"/>
    <w:rsid w:val="004739A5"/>
    <w:rsid w:val="00473B94"/>
    <w:rsid w:val="00473DDF"/>
    <w:rsid w:val="0047426B"/>
    <w:rsid w:val="0047472E"/>
    <w:rsid w:val="004747A7"/>
    <w:rsid w:val="004750DC"/>
    <w:rsid w:val="0047539B"/>
    <w:rsid w:val="00475BED"/>
    <w:rsid w:val="0047609E"/>
    <w:rsid w:val="004762F8"/>
    <w:rsid w:val="004767D1"/>
    <w:rsid w:val="004768F9"/>
    <w:rsid w:val="004769F2"/>
    <w:rsid w:val="00476A6B"/>
    <w:rsid w:val="00476EC0"/>
    <w:rsid w:val="004773A1"/>
    <w:rsid w:val="00477544"/>
    <w:rsid w:val="00477685"/>
    <w:rsid w:val="00477ABD"/>
    <w:rsid w:val="004800F1"/>
    <w:rsid w:val="004804FB"/>
    <w:rsid w:val="004809B3"/>
    <w:rsid w:val="00480D61"/>
    <w:rsid w:val="00481231"/>
    <w:rsid w:val="004815B4"/>
    <w:rsid w:val="00481653"/>
    <w:rsid w:val="00481661"/>
    <w:rsid w:val="00481714"/>
    <w:rsid w:val="00482115"/>
    <w:rsid w:val="00482299"/>
    <w:rsid w:val="004824AA"/>
    <w:rsid w:val="00482566"/>
    <w:rsid w:val="00482BAC"/>
    <w:rsid w:val="00482F99"/>
    <w:rsid w:val="00483866"/>
    <w:rsid w:val="00483C51"/>
    <w:rsid w:val="00483E9D"/>
    <w:rsid w:val="00484044"/>
    <w:rsid w:val="00484A99"/>
    <w:rsid w:val="00485165"/>
    <w:rsid w:val="0048516E"/>
    <w:rsid w:val="00485892"/>
    <w:rsid w:val="0048595D"/>
    <w:rsid w:val="004859E2"/>
    <w:rsid w:val="00485ADF"/>
    <w:rsid w:val="00485C95"/>
    <w:rsid w:val="00485E1D"/>
    <w:rsid w:val="00485FAD"/>
    <w:rsid w:val="00486B9E"/>
    <w:rsid w:val="00486CF7"/>
    <w:rsid w:val="004870CB"/>
    <w:rsid w:val="00487161"/>
    <w:rsid w:val="004871A9"/>
    <w:rsid w:val="004905D2"/>
    <w:rsid w:val="00490787"/>
    <w:rsid w:val="00491313"/>
    <w:rsid w:val="004921BC"/>
    <w:rsid w:val="004924B4"/>
    <w:rsid w:val="00492B41"/>
    <w:rsid w:val="004938E1"/>
    <w:rsid w:val="00493D44"/>
    <w:rsid w:val="00493DC2"/>
    <w:rsid w:val="004943EE"/>
    <w:rsid w:val="00494594"/>
    <w:rsid w:val="00496471"/>
    <w:rsid w:val="004969FD"/>
    <w:rsid w:val="00496FE1"/>
    <w:rsid w:val="004972D2"/>
    <w:rsid w:val="00497764"/>
    <w:rsid w:val="00497C06"/>
    <w:rsid w:val="004A0224"/>
    <w:rsid w:val="004A0820"/>
    <w:rsid w:val="004A0CAD"/>
    <w:rsid w:val="004A0F55"/>
    <w:rsid w:val="004A1610"/>
    <w:rsid w:val="004A21E7"/>
    <w:rsid w:val="004A2BBF"/>
    <w:rsid w:val="004A2F06"/>
    <w:rsid w:val="004A2FBF"/>
    <w:rsid w:val="004A34A1"/>
    <w:rsid w:val="004A431B"/>
    <w:rsid w:val="004A49AE"/>
    <w:rsid w:val="004A514E"/>
    <w:rsid w:val="004A596E"/>
    <w:rsid w:val="004A601F"/>
    <w:rsid w:val="004A63E6"/>
    <w:rsid w:val="004A6769"/>
    <w:rsid w:val="004A718F"/>
    <w:rsid w:val="004A7540"/>
    <w:rsid w:val="004A7630"/>
    <w:rsid w:val="004A76D2"/>
    <w:rsid w:val="004A7F1C"/>
    <w:rsid w:val="004B01CA"/>
    <w:rsid w:val="004B0BC0"/>
    <w:rsid w:val="004B0C5A"/>
    <w:rsid w:val="004B121B"/>
    <w:rsid w:val="004B12C2"/>
    <w:rsid w:val="004B1852"/>
    <w:rsid w:val="004B1C2F"/>
    <w:rsid w:val="004B2027"/>
    <w:rsid w:val="004B2CEB"/>
    <w:rsid w:val="004B31FF"/>
    <w:rsid w:val="004B32CD"/>
    <w:rsid w:val="004B3454"/>
    <w:rsid w:val="004B3665"/>
    <w:rsid w:val="004B38D5"/>
    <w:rsid w:val="004B4384"/>
    <w:rsid w:val="004B4653"/>
    <w:rsid w:val="004B4A30"/>
    <w:rsid w:val="004B4B11"/>
    <w:rsid w:val="004B5104"/>
    <w:rsid w:val="004B57EB"/>
    <w:rsid w:val="004B66AD"/>
    <w:rsid w:val="004B7078"/>
    <w:rsid w:val="004B76A3"/>
    <w:rsid w:val="004B7A5B"/>
    <w:rsid w:val="004C00DC"/>
    <w:rsid w:val="004C02D3"/>
    <w:rsid w:val="004C02DD"/>
    <w:rsid w:val="004C06D2"/>
    <w:rsid w:val="004C0788"/>
    <w:rsid w:val="004C08F5"/>
    <w:rsid w:val="004C0B08"/>
    <w:rsid w:val="004C0FF6"/>
    <w:rsid w:val="004C1165"/>
    <w:rsid w:val="004C11B3"/>
    <w:rsid w:val="004C12C2"/>
    <w:rsid w:val="004C15A3"/>
    <w:rsid w:val="004C1CE4"/>
    <w:rsid w:val="004C251A"/>
    <w:rsid w:val="004C2A09"/>
    <w:rsid w:val="004C2C6F"/>
    <w:rsid w:val="004C2F83"/>
    <w:rsid w:val="004C3051"/>
    <w:rsid w:val="004C3292"/>
    <w:rsid w:val="004C333B"/>
    <w:rsid w:val="004C3410"/>
    <w:rsid w:val="004C344F"/>
    <w:rsid w:val="004C3E11"/>
    <w:rsid w:val="004C45D5"/>
    <w:rsid w:val="004C4696"/>
    <w:rsid w:val="004C5029"/>
    <w:rsid w:val="004C5E63"/>
    <w:rsid w:val="004C6268"/>
    <w:rsid w:val="004C6324"/>
    <w:rsid w:val="004C64F5"/>
    <w:rsid w:val="004C6698"/>
    <w:rsid w:val="004C6DFC"/>
    <w:rsid w:val="004C75AB"/>
    <w:rsid w:val="004C767A"/>
    <w:rsid w:val="004C787D"/>
    <w:rsid w:val="004D05C3"/>
    <w:rsid w:val="004D08CC"/>
    <w:rsid w:val="004D0A96"/>
    <w:rsid w:val="004D0B0B"/>
    <w:rsid w:val="004D0B91"/>
    <w:rsid w:val="004D0BFC"/>
    <w:rsid w:val="004D1362"/>
    <w:rsid w:val="004D1AF0"/>
    <w:rsid w:val="004D2BAD"/>
    <w:rsid w:val="004D3077"/>
    <w:rsid w:val="004D31AA"/>
    <w:rsid w:val="004D3505"/>
    <w:rsid w:val="004D3508"/>
    <w:rsid w:val="004D3A37"/>
    <w:rsid w:val="004D3E7E"/>
    <w:rsid w:val="004D438B"/>
    <w:rsid w:val="004D4D67"/>
    <w:rsid w:val="004D4E85"/>
    <w:rsid w:val="004D5C6A"/>
    <w:rsid w:val="004D5D0F"/>
    <w:rsid w:val="004D6317"/>
    <w:rsid w:val="004D6B4A"/>
    <w:rsid w:val="004D6FA8"/>
    <w:rsid w:val="004D7BDB"/>
    <w:rsid w:val="004D7D07"/>
    <w:rsid w:val="004D7F93"/>
    <w:rsid w:val="004D7FEF"/>
    <w:rsid w:val="004E0283"/>
    <w:rsid w:val="004E0394"/>
    <w:rsid w:val="004E0D28"/>
    <w:rsid w:val="004E0D2B"/>
    <w:rsid w:val="004E0FC1"/>
    <w:rsid w:val="004E1316"/>
    <w:rsid w:val="004E14F8"/>
    <w:rsid w:val="004E1B0F"/>
    <w:rsid w:val="004E1F82"/>
    <w:rsid w:val="004E2617"/>
    <w:rsid w:val="004E26B7"/>
    <w:rsid w:val="004E2A77"/>
    <w:rsid w:val="004E2D45"/>
    <w:rsid w:val="004E3591"/>
    <w:rsid w:val="004E3797"/>
    <w:rsid w:val="004E38A2"/>
    <w:rsid w:val="004E3A3C"/>
    <w:rsid w:val="004E3A9C"/>
    <w:rsid w:val="004E4A8D"/>
    <w:rsid w:val="004E4D70"/>
    <w:rsid w:val="004E533B"/>
    <w:rsid w:val="004E5450"/>
    <w:rsid w:val="004E69D4"/>
    <w:rsid w:val="004E6C0B"/>
    <w:rsid w:val="004E6F4F"/>
    <w:rsid w:val="004E7136"/>
    <w:rsid w:val="004E71F0"/>
    <w:rsid w:val="004E72CE"/>
    <w:rsid w:val="004E7776"/>
    <w:rsid w:val="004F013E"/>
    <w:rsid w:val="004F062F"/>
    <w:rsid w:val="004F085B"/>
    <w:rsid w:val="004F12DD"/>
    <w:rsid w:val="004F1C18"/>
    <w:rsid w:val="004F1D54"/>
    <w:rsid w:val="004F2518"/>
    <w:rsid w:val="004F266B"/>
    <w:rsid w:val="004F285D"/>
    <w:rsid w:val="004F2A9E"/>
    <w:rsid w:val="004F2F16"/>
    <w:rsid w:val="004F3006"/>
    <w:rsid w:val="004F304B"/>
    <w:rsid w:val="004F399A"/>
    <w:rsid w:val="004F3FD9"/>
    <w:rsid w:val="004F4478"/>
    <w:rsid w:val="004F47AD"/>
    <w:rsid w:val="004F48B7"/>
    <w:rsid w:val="004F4BB7"/>
    <w:rsid w:val="004F4BFA"/>
    <w:rsid w:val="004F560D"/>
    <w:rsid w:val="004F578A"/>
    <w:rsid w:val="004F57AC"/>
    <w:rsid w:val="004F5A0B"/>
    <w:rsid w:val="004F5A50"/>
    <w:rsid w:val="004F630A"/>
    <w:rsid w:val="004F6E5F"/>
    <w:rsid w:val="004F6F63"/>
    <w:rsid w:val="004F6F9A"/>
    <w:rsid w:val="004F6FB9"/>
    <w:rsid w:val="004F716D"/>
    <w:rsid w:val="004F7BCB"/>
    <w:rsid w:val="004F7E1C"/>
    <w:rsid w:val="004F7E5D"/>
    <w:rsid w:val="005002DC"/>
    <w:rsid w:val="00500566"/>
    <w:rsid w:val="005007C3"/>
    <w:rsid w:val="00500863"/>
    <w:rsid w:val="00500923"/>
    <w:rsid w:val="00500A7C"/>
    <w:rsid w:val="00500D08"/>
    <w:rsid w:val="00500F72"/>
    <w:rsid w:val="00501448"/>
    <w:rsid w:val="00501D9A"/>
    <w:rsid w:val="0050203C"/>
    <w:rsid w:val="005022E3"/>
    <w:rsid w:val="005025D8"/>
    <w:rsid w:val="00502ED2"/>
    <w:rsid w:val="00503379"/>
    <w:rsid w:val="00503518"/>
    <w:rsid w:val="0050357B"/>
    <w:rsid w:val="005035FB"/>
    <w:rsid w:val="00503A9A"/>
    <w:rsid w:val="00503BC6"/>
    <w:rsid w:val="00503E56"/>
    <w:rsid w:val="00503ECE"/>
    <w:rsid w:val="005045F6"/>
    <w:rsid w:val="00504BFF"/>
    <w:rsid w:val="00504FA1"/>
    <w:rsid w:val="00505075"/>
    <w:rsid w:val="005051C6"/>
    <w:rsid w:val="0050528E"/>
    <w:rsid w:val="0050582E"/>
    <w:rsid w:val="00505ED6"/>
    <w:rsid w:val="005069F4"/>
    <w:rsid w:val="00506B49"/>
    <w:rsid w:val="00506F39"/>
    <w:rsid w:val="00510077"/>
    <w:rsid w:val="0051040B"/>
    <w:rsid w:val="0051170D"/>
    <w:rsid w:val="00511F98"/>
    <w:rsid w:val="005125AE"/>
    <w:rsid w:val="005127AD"/>
    <w:rsid w:val="00512DEA"/>
    <w:rsid w:val="00512E22"/>
    <w:rsid w:val="005137A3"/>
    <w:rsid w:val="00513990"/>
    <w:rsid w:val="005139EE"/>
    <w:rsid w:val="00513DAA"/>
    <w:rsid w:val="00513F2A"/>
    <w:rsid w:val="0051408A"/>
    <w:rsid w:val="00514ADA"/>
    <w:rsid w:val="00514B97"/>
    <w:rsid w:val="00515267"/>
    <w:rsid w:val="005157C5"/>
    <w:rsid w:val="00515885"/>
    <w:rsid w:val="005159F7"/>
    <w:rsid w:val="00516213"/>
    <w:rsid w:val="00516224"/>
    <w:rsid w:val="005165DF"/>
    <w:rsid w:val="00516895"/>
    <w:rsid w:val="00516D54"/>
    <w:rsid w:val="00517152"/>
    <w:rsid w:val="00517227"/>
    <w:rsid w:val="0051784F"/>
    <w:rsid w:val="00517A54"/>
    <w:rsid w:val="005205C0"/>
    <w:rsid w:val="00520DCF"/>
    <w:rsid w:val="005219B2"/>
    <w:rsid w:val="00521A11"/>
    <w:rsid w:val="00521AF7"/>
    <w:rsid w:val="00521B29"/>
    <w:rsid w:val="005225D8"/>
    <w:rsid w:val="00522903"/>
    <w:rsid w:val="00522C2D"/>
    <w:rsid w:val="00522CE6"/>
    <w:rsid w:val="005230C0"/>
    <w:rsid w:val="00524560"/>
    <w:rsid w:val="005247A5"/>
    <w:rsid w:val="00525258"/>
    <w:rsid w:val="00525954"/>
    <w:rsid w:val="00525B35"/>
    <w:rsid w:val="00526626"/>
    <w:rsid w:val="005272D1"/>
    <w:rsid w:val="00527649"/>
    <w:rsid w:val="00527678"/>
    <w:rsid w:val="0053057D"/>
    <w:rsid w:val="00530F38"/>
    <w:rsid w:val="0053129B"/>
    <w:rsid w:val="00531708"/>
    <w:rsid w:val="0053170E"/>
    <w:rsid w:val="00531902"/>
    <w:rsid w:val="00531903"/>
    <w:rsid w:val="005322EC"/>
    <w:rsid w:val="005329ED"/>
    <w:rsid w:val="00532D96"/>
    <w:rsid w:val="00533569"/>
    <w:rsid w:val="0053375B"/>
    <w:rsid w:val="00533D0F"/>
    <w:rsid w:val="00533F50"/>
    <w:rsid w:val="00534259"/>
    <w:rsid w:val="00534340"/>
    <w:rsid w:val="00534660"/>
    <w:rsid w:val="005348BF"/>
    <w:rsid w:val="00534B80"/>
    <w:rsid w:val="00534BC8"/>
    <w:rsid w:val="00534E37"/>
    <w:rsid w:val="00535073"/>
    <w:rsid w:val="005351FB"/>
    <w:rsid w:val="00535502"/>
    <w:rsid w:val="005355A2"/>
    <w:rsid w:val="00535D52"/>
    <w:rsid w:val="0053673A"/>
    <w:rsid w:val="005369B7"/>
    <w:rsid w:val="00536E4D"/>
    <w:rsid w:val="0053731C"/>
    <w:rsid w:val="005379D0"/>
    <w:rsid w:val="00537A1A"/>
    <w:rsid w:val="00537B6C"/>
    <w:rsid w:val="00537E3D"/>
    <w:rsid w:val="00537E45"/>
    <w:rsid w:val="00540562"/>
    <w:rsid w:val="00540885"/>
    <w:rsid w:val="0054090B"/>
    <w:rsid w:val="0054098A"/>
    <w:rsid w:val="00541025"/>
    <w:rsid w:val="005410B6"/>
    <w:rsid w:val="005414AA"/>
    <w:rsid w:val="0054244C"/>
    <w:rsid w:val="005426A0"/>
    <w:rsid w:val="00542E14"/>
    <w:rsid w:val="00543C28"/>
    <w:rsid w:val="00543CD3"/>
    <w:rsid w:val="00543E08"/>
    <w:rsid w:val="00544171"/>
    <w:rsid w:val="00544625"/>
    <w:rsid w:val="005459E5"/>
    <w:rsid w:val="00546356"/>
    <w:rsid w:val="00546507"/>
    <w:rsid w:val="0054653D"/>
    <w:rsid w:val="005469DE"/>
    <w:rsid w:val="00547079"/>
    <w:rsid w:val="00547092"/>
    <w:rsid w:val="005470E1"/>
    <w:rsid w:val="005475AD"/>
    <w:rsid w:val="00547E30"/>
    <w:rsid w:val="00550269"/>
    <w:rsid w:val="005502E9"/>
    <w:rsid w:val="00550A8D"/>
    <w:rsid w:val="005513E0"/>
    <w:rsid w:val="005519EE"/>
    <w:rsid w:val="00552042"/>
    <w:rsid w:val="00552636"/>
    <w:rsid w:val="00552A73"/>
    <w:rsid w:val="00552A8F"/>
    <w:rsid w:val="00552AD5"/>
    <w:rsid w:val="00552D36"/>
    <w:rsid w:val="00552EF9"/>
    <w:rsid w:val="00553A3A"/>
    <w:rsid w:val="00553EC0"/>
    <w:rsid w:val="00553FC2"/>
    <w:rsid w:val="0055488E"/>
    <w:rsid w:val="005550D6"/>
    <w:rsid w:val="005556AC"/>
    <w:rsid w:val="005558ED"/>
    <w:rsid w:val="00555B10"/>
    <w:rsid w:val="00555CE2"/>
    <w:rsid w:val="00556254"/>
    <w:rsid w:val="00556685"/>
    <w:rsid w:val="00556A39"/>
    <w:rsid w:val="00557CF0"/>
    <w:rsid w:val="005606AB"/>
    <w:rsid w:val="005607B1"/>
    <w:rsid w:val="005607C3"/>
    <w:rsid w:val="00560AC0"/>
    <w:rsid w:val="00560DF3"/>
    <w:rsid w:val="005612FE"/>
    <w:rsid w:val="005614CF"/>
    <w:rsid w:val="00561E28"/>
    <w:rsid w:val="00561F82"/>
    <w:rsid w:val="0056213E"/>
    <w:rsid w:val="005621C8"/>
    <w:rsid w:val="00562339"/>
    <w:rsid w:val="00562486"/>
    <w:rsid w:val="00562511"/>
    <w:rsid w:val="005627F8"/>
    <w:rsid w:val="0056298E"/>
    <w:rsid w:val="00562C33"/>
    <w:rsid w:val="005633E0"/>
    <w:rsid w:val="00563AF9"/>
    <w:rsid w:val="00563B1D"/>
    <w:rsid w:val="0056403E"/>
    <w:rsid w:val="00564349"/>
    <w:rsid w:val="0056439D"/>
    <w:rsid w:val="00564474"/>
    <w:rsid w:val="00564707"/>
    <w:rsid w:val="00564BEF"/>
    <w:rsid w:val="00564D73"/>
    <w:rsid w:val="00564F6A"/>
    <w:rsid w:val="005655CC"/>
    <w:rsid w:val="00565A96"/>
    <w:rsid w:val="005662C0"/>
    <w:rsid w:val="00566363"/>
    <w:rsid w:val="005669E6"/>
    <w:rsid w:val="00566B2C"/>
    <w:rsid w:val="00566D6D"/>
    <w:rsid w:val="005672BD"/>
    <w:rsid w:val="005672D7"/>
    <w:rsid w:val="005673EC"/>
    <w:rsid w:val="005673F4"/>
    <w:rsid w:val="00567B14"/>
    <w:rsid w:val="00570798"/>
    <w:rsid w:val="00570945"/>
    <w:rsid w:val="00570D40"/>
    <w:rsid w:val="00571091"/>
    <w:rsid w:val="0057127B"/>
    <w:rsid w:val="00571A38"/>
    <w:rsid w:val="00573C07"/>
    <w:rsid w:val="00574389"/>
    <w:rsid w:val="005745C3"/>
    <w:rsid w:val="005745D4"/>
    <w:rsid w:val="00574CD9"/>
    <w:rsid w:val="0057532D"/>
    <w:rsid w:val="00575432"/>
    <w:rsid w:val="00575645"/>
    <w:rsid w:val="005759CF"/>
    <w:rsid w:val="00575E4A"/>
    <w:rsid w:val="005762D3"/>
    <w:rsid w:val="0057718E"/>
    <w:rsid w:val="00577419"/>
    <w:rsid w:val="005777C5"/>
    <w:rsid w:val="00581BAD"/>
    <w:rsid w:val="005821CD"/>
    <w:rsid w:val="0058291F"/>
    <w:rsid w:val="00582E27"/>
    <w:rsid w:val="005833EE"/>
    <w:rsid w:val="0058346E"/>
    <w:rsid w:val="00583669"/>
    <w:rsid w:val="00583C84"/>
    <w:rsid w:val="00583ED3"/>
    <w:rsid w:val="005843DC"/>
    <w:rsid w:val="00584A85"/>
    <w:rsid w:val="00584E2C"/>
    <w:rsid w:val="00585197"/>
    <w:rsid w:val="005852C5"/>
    <w:rsid w:val="0058541C"/>
    <w:rsid w:val="00585EE5"/>
    <w:rsid w:val="00586AB0"/>
    <w:rsid w:val="00586AFB"/>
    <w:rsid w:val="00587199"/>
    <w:rsid w:val="0058752A"/>
    <w:rsid w:val="005875DC"/>
    <w:rsid w:val="00587766"/>
    <w:rsid w:val="00587B77"/>
    <w:rsid w:val="005904BE"/>
    <w:rsid w:val="0059052D"/>
    <w:rsid w:val="00590558"/>
    <w:rsid w:val="00590937"/>
    <w:rsid w:val="00590AB8"/>
    <w:rsid w:val="00591472"/>
    <w:rsid w:val="00591A43"/>
    <w:rsid w:val="00591AE7"/>
    <w:rsid w:val="005927B2"/>
    <w:rsid w:val="00592A89"/>
    <w:rsid w:val="00593168"/>
    <w:rsid w:val="00593247"/>
    <w:rsid w:val="00593A0C"/>
    <w:rsid w:val="00593EE9"/>
    <w:rsid w:val="005941ED"/>
    <w:rsid w:val="005945D7"/>
    <w:rsid w:val="005947F3"/>
    <w:rsid w:val="005949CC"/>
    <w:rsid w:val="00594A5C"/>
    <w:rsid w:val="005950D5"/>
    <w:rsid w:val="00595512"/>
    <w:rsid w:val="00595E82"/>
    <w:rsid w:val="00596163"/>
    <w:rsid w:val="005961DA"/>
    <w:rsid w:val="00596825"/>
    <w:rsid w:val="00596E3D"/>
    <w:rsid w:val="00597302"/>
    <w:rsid w:val="00597420"/>
    <w:rsid w:val="00597C27"/>
    <w:rsid w:val="00597D08"/>
    <w:rsid w:val="00597FE1"/>
    <w:rsid w:val="005A013F"/>
    <w:rsid w:val="005A01CF"/>
    <w:rsid w:val="005A0D1C"/>
    <w:rsid w:val="005A11B4"/>
    <w:rsid w:val="005A13E5"/>
    <w:rsid w:val="005A198D"/>
    <w:rsid w:val="005A20CE"/>
    <w:rsid w:val="005A2249"/>
    <w:rsid w:val="005A2C7B"/>
    <w:rsid w:val="005A2ED6"/>
    <w:rsid w:val="005A2F4C"/>
    <w:rsid w:val="005A310A"/>
    <w:rsid w:val="005A3629"/>
    <w:rsid w:val="005A3792"/>
    <w:rsid w:val="005A4BFA"/>
    <w:rsid w:val="005A4FA8"/>
    <w:rsid w:val="005A580C"/>
    <w:rsid w:val="005A60C7"/>
    <w:rsid w:val="005A71B1"/>
    <w:rsid w:val="005A7286"/>
    <w:rsid w:val="005A7317"/>
    <w:rsid w:val="005A7695"/>
    <w:rsid w:val="005A7A6D"/>
    <w:rsid w:val="005A7B98"/>
    <w:rsid w:val="005A7E96"/>
    <w:rsid w:val="005A7ECC"/>
    <w:rsid w:val="005A7F3D"/>
    <w:rsid w:val="005B0136"/>
    <w:rsid w:val="005B1291"/>
    <w:rsid w:val="005B1AD1"/>
    <w:rsid w:val="005B1D3B"/>
    <w:rsid w:val="005B213D"/>
    <w:rsid w:val="005B2768"/>
    <w:rsid w:val="005B27DC"/>
    <w:rsid w:val="005B288B"/>
    <w:rsid w:val="005B2F71"/>
    <w:rsid w:val="005B3159"/>
    <w:rsid w:val="005B3CF1"/>
    <w:rsid w:val="005B3DD0"/>
    <w:rsid w:val="005B40DB"/>
    <w:rsid w:val="005B4438"/>
    <w:rsid w:val="005B44D4"/>
    <w:rsid w:val="005B498A"/>
    <w:rsid w:val="005B4B84"/>
    <w:rsid w:val="005B5272"/>
    <w:rsid w:val="005B55EA"/>
    <w:rsid w:val="005B5795"/>
    <w:rsid w:val="005B57E0"/>
    <w:rsid w:val="005B5AC3"/>
    <w:rsid w:val="005B5B43"/>
    <w:rsid w:val="005B6418"/>
    <w:rsid w:val="005B67BC"/>
    <w:rsid w:val="005B6885"/>
    <w:rsid w:val="005B6C15"/>
    <w:rsid w:val="005B6FEB"/>
    <w:rsid w:val="005B7D9C"/>
    <w:rsid w:val="005C0457"/>
    <w:rsid w:val="005C0654"/>
    <w:rsid w:val="005C077F"/>
    <w:rsid w:val="005C08D3"/>
    <w:rsid w:val="005C14AB"/>
    <w:rsid w:val="005C1737"/>
    <w:rsid w:val="005C17D2"/>
    <w:rsid w:val="005C191B"/>
    <w:rsid w:val="005C1BBC"/>
    <w:rsid w:val="005C1E73"/>
    <w:rsid w:val="005C1E88"/>
    <w:rsid w:val="005C206A"/>
    <w:rsid w:val="005C2D26"/>
    <w:rsid w:val="005C2E47"/>
    <w:rsid w:val="005C43CF"/>
    <w:rsid w:val="005C5723"/>
    <w:rsid w:val="005C5B84"/>
    <w:rsid w:val="005C5C0F"/>
    <w:rsid w:val="005C6048"/>
    <w:rsid w:val="005C65E2"/>
    <w:rsid w:val="005C662D"/>
    <w:rsid w:val="005C67BF"/>
    <w:rsid w:val="005C6912"/>
    <w:rsid w:val="005D0754"/>
    <w:rsid w:val="005D09E2"/>
    <w:rsid w:val="005D0D73"/>
    <w:rsid w:val="005D0EBD"/>
    <w:rsid w:val="005D1007"/>
    <w:rsid w:val="005D161C"/>
    <w:rsid w:val="005D1BC3"/>
    <w:rsid w:val="005D20A4"/>
    <w:rsid w:val="005D2992"/>
    <w:rsid w:val="005D3188"/>
    <w:rsid w:val="005D40A4"/>
    <w:rsid w:val="005D48FB"/>
    <w:rsid w:val="005D4AB9"/>
    <w:rsid w:val="005D5238"/>
    <w:rsid w:val="005D5306"/>
    <w:rsid w:val="005D5992"/>
    <w:rsid w:val="005D5FB9"/>
    <w:rsid w:val="005D618B"/>
    <w:rsid w:val="005D64C2"/>
    <w:rsid w:val="005D6ABF"/>
    <w:rsid w:val="005D6CDF"/>
    <w:rsid w:val="005D6F57"/>
    <w:rsid w:val="005D7120"/>
    <w:rsid w:val="005E01C8"/>
    <w:rsid w:val="005E023F"/>
    <w:rsid w:val="005E0846"/>
    <w:rsid w:val="005E0B8E"/>
    <w:rsid w:val="005E0D5A"/>
    <w:rsid w:val="005E0DBE"/>
    <w:rsid w:val="005E157E"/>
    <w:rsid w:val="005E1612"/>
    <w:rsid w:val="005E1687"/>
    <w:rsid w:val="005E190B"/>
    <w:rsid w:val="005E1E65"/>
    <w:rsid w:val="005E1F4E"/>
    <w:rsid w:val="005E2185"/>
    <w:rsid w:val="005E238D"/>
    <w:rsid w:val="005E255C"/>
    <w:rsid w:val="005E31E5"/>
    <w:rsid w:val="005E32C5"/>
    <w:rsid w:val="005E33A7"/>
    <w:rsid w:val="005E3E89"/>
    <w:rsid w:val="005E4AB0"/>
    <w:rsid w:val="005E57FC"/>
    <w:rsid w:val="005E59F9"/>
    <w:rsid w:val="005E5A63"/>
    <w:rsid w:val="005E5BDC"/>
    <w:rsid w:val="005E5DC6"/>
    <w:rsid w:val="005E609A"/>
    <w:rsid w:val="005E68BD"/>
    <w:rsid w:val="005E6D51"/>
    <w:rsid w:val="005E7323"/>
    <w:rsid w:val="005E77C1"/>
    <w:rsid w:val="005F01D9"/>
    <w:rsid w:val="005F0D22"/>
    <w:rsid w:val="005F1AA2"/>
    <w:rsid w:val="005F249C"/>
    <w:rsid w:val="005F24EE"/>
    <w:rsid w:val="005F2AB4"/>
    <w:rsid w:val="005F2F39"/>
    <w:rsid w:val="005F3072"/>
    <w:rsid w:val="005F32F0"/>
    <w:rsid w:val="005F3324"/>
    <w:rsid w:val="005F39F9"/>
    <w:rsid w:val="005F3AD5"/>
    <w:rsid w:val="005F3C0D"/>
    <w:rsid w:val="005F3F94"/>
    <w:rsid w:val="005F436F"/>
    <w:rsid w:val="005F43F1"/>
    <w:rsid w:val="005F4D5D"/>
    <w:rsid w:val="005F5E65"/>
    <w:rsid w:val="005F6078"/>
    <w:rsid w:val="005F6E3B"/>
    <w:rsid w:val="005F6F7A"/>
    <w:rsid w:val="005F7631"/>
    <w:rsid w:val="005F7676"/>
    <w:rsid w:val="005F7682"/>
    <w:rsid w:val="005F7D67"/>
    <w:rsid w:val="00601193"/>
    <w:rsid w:val="0060223F"/>
    <w:rsid w:val="00602631"/>
    <w:rsid w:val="0060280A"/>
    <w:rsid w:val="006029B3"/>
    <w:rsid w:val="006029F3"/>
    <w:rsid w:val="00602C90"/>
    <w:rsid w:val="006033B0"/>
    <w:rsid w:val="0060360C"/>
    <w:rsid w:val="006042AF"/>
    <w:rsid w:val="0060430B"/>
    <w:rsid w:val="006043E9"/>
    <w:rsid w:val="00604B88"/>
    <w:rsid w:val="00604C8D"/>
    <w:rsid w:val="006050DC"/>
    <w:rsid w:val="006051B0"/>
    <w:rsid w:val="006053B1"/>
    <w:rsid w:val="006057E3"/>
    <w:rsid w:val="0060583E"/>
    <w:rsid w:val="0060587F"/>
    <w:rsid w:val="00605D03"/>
    <w:rsid w:val="0060609A"/>
    <w:rsid w:val="00606151"/>
    <w:rsid w:val="006062FB"/>
    <w:rsid w:val="0060695E"/>
    <w:rsid w:val="00606AC4"/>
    <w:rsid w:val="00606F05"/>
    <w:rsid w:val="00607081"/>
    <w:rsid w:val="00607378"/>
    <w:rsid w:val="00607587"/>
    <w:rsid w:val="006075B9"/>
    <w:rsid w:val="00607CD6"/>
    <w:rsid w:val="00607DDE"/>
    <w:rsid w:val="00607E91"/>
    <w:rsid w:val="0061070D"/>
    <w:rsid w:val="00610C31"/>
    <w:rsid w:val="00611287"/>
    <w:rsid w:val="00611412"/>
    <w:rsid w:val="00611840"/>
    <w:rsid w:val="00611A14"/>
    <w:rsid w:val="00611B61"/>
    <w:rsid w:val="00611E7D"/>
    <w:rsid w:val="006123B6"/>
    <w:rsid w:val="00612F12"/>
    <w:rsid w:val="006133A8"/>
    <w:rsid w:val="0061355E"/>
    <w:rsid w:val="0061368C"/>
    <w:rsid w:val="0061393D"/>
    <w:rsid w:val="00613E96"/>
    <w:rsid w:val="006143F5"/>
    <w:rsid w:val="00614503"/>
    <w:rsid w:val="00614A28"/>
    <w:rsid w:val="00614AC1"/>
    <w:rsid w:val="0061518D"/>
    <w:rsid w:val="006152C0"/>
    <w:rsid w:val="00615364"/>
    <w:rsid w:val="006156E6"/>
    <w:rsid w:val="0061595C"/>
    <w:rsid w:val="00615B34"/>
    <w:rsid w:val="00615DE2"/>
    <w:rsid w:val="0061620D"/>
    <w:rsid w:val="00616522"/>
    <w:rsid w:val="00616C5D"/>
    <w:rsid w:val="00616CD3"/>
    <w:rsid w:val="00616D8E"/>
    <w:rsid w:val="00617400"/>
    <w:rsid w:val="006175CC"/>
    <w:rsid w:val="00617E03"/>
    <w:rsid w:val="00617E98"/>
    <w:rsid w:val="0062044B"/>
    <w:rsid w:val="006206BD"/>
    <w:rsid w:val="006206CD"/>
    <w:rsid w:val="0062079B"/>
    <w:rsid w:val="006211DD"/>
    <w:rsid w:val="00621712"/>
    <w:rsid w:val="0062278B"/>
    <w:rsid w:val="006227AE"/>
    <w:rsid w:val="006227D1"/>
    <w:rsid w:val="0062298D"/>
    <w:rsid w:val="0062333F"/>
    <w:rsid w:val="00623531"/>
    <w:rsid w:val="00623B8A"/>
    <w:rsid w:val="006245C2"/>
    <w:rsid w:val="00624E4F"/>
    <w:rsid w:val="00624F6D"/>
    <w:rsid w:val="00624F90"/>
    <w:rsid w:val="00624FBA"/>
    <w:rsid w:val="00625190"/>
    <w:rsid w:val="006265DF"/>
    <w:rsid w:val="00626ABD"/>
    <w:rsid w:val="00626D61"/>
    <w:rsid w:val="00626F43"/>
    <w:rsid w:val="00627256"/>
    <w:rsid w:val="006274C5"/>
    <w:rsid w:val="006302B8"/>
    <w:rsid w:val="0063055D"/>
    <w:rsid w:val="006305E4"/>
    <w:rsid w:val="006308C5"/>
    <w:rsid w:val="0063093A"/>
    <w:rsid w:val="00630D0E"/>
    <w:rsid w:val="0063139C"/>
    <w:rsid w:val="00631BC2"/>
    <w:rsid w:val="00631C60"/>
    <w:rsid w:val="006320EB"/>
    <w:rsid w:val="00632104"/>
    <w:rsid w:val="00632164"/>
    <w:rsid w:val="0063236A"/>
    <w:rsid w:val="00632768"/>
    <w:rsid w:val="00633005"/>
    <w:rsid w:val="0063325B"/>
    <w:rsid w:val="0063346A"/>
    <w:rsid w:val="006335B1"/>
    <w:rsid w:val="00633604"/>
    <w:rsid w:val="0063364C"/>
    <w:rsid w:val="006339BC"/>
    <w:rsid w:val="006346B5"/>
    <w:rsid w:val="00634D77"/>
    <w:rsid w:val="0063518F"/>
    <w:rsid w:val="00635FC8"/>
    <w:rsid w:val="00636348"/>
    <w:rsid w:val="006368B1"/>
    <w:rsid w:val="00637695"/>
    <w:rsid w:val="006377A3"/>
    <w:rsid w:val="006377B1"/>
    <w:rsid w:val="00637B3C"/>
    <w:rsid w:val="0064045B"/>
    <w:rsid w:val="0064051D"/>
    <w:rsid w:val="00640B7D"/>
    <w:rsid w:val="00641406"/>
    <w:rsid w:val="006416D7"/>
    <w:rsid w:val="00641787"/>
    <w:rsid w:val="0064201E"/>
    <w:rsid w:val="0064258B"/>
    <w:rsid w:val="00642834"/>
    <w:rsid w:val="00642AC6"/>
    <w:rsid w:val="00642B38"/>
    <w:rsid w:val="00642F12"/>
    <w:rsid w:val="0064318E"/>
    <w:rsid w:val="006439BF"/>
    <w:rsid w:val="00643F28"/>
    <w:rsid w:val="00644743"/>
    <w:rsid w:val="006448C7"/>
    <w:rsid w:val="00644F74"/>
    <w:rsid w:val="0064537A"/>
    <w:rsid w:val="00645839"/>
    <w:rsid w:val="00645E7B"/>
    <w:rsid w:val="00645F32"/>
    <w:rsid w:val="0064641C"/>
    <w:rsid w:val="006465D6"/>
    <w:rsid w:val="00646688"/>
    <w:rsid w:val="006466DF"/>
    <w:rsid w:val="00646D3A"/>
    <w:rsid w:val="00646DB1"/>
    <w:rsid w:val="00646FDD"/>
    <w:rsid w:val="0064706B"/>
    <w:rsid w:val="00647672"/>
    <w:rsid w:val="00647D0E"/>
    <w:rsid w:val="00647FBA"/>
    <w:rsid w:val="00650CEC"/>
    <w:rsid w:val="00650EAA"/>
    <w:rsid w:val="0065100A"/>
    <w:rsid w:val="0065114F"/>
    <w:rsid w:val="006521B8"/>
    <w:rsid w:val="00652A31"/>
    <w:rsid w:val="00652AE2"/>
    <w:rsid w:val="00652D2F"/>
    <w:rsid w:val="00653015"/>
    <w:rsid w:val="00653757"/>
    <w:rsid w:val="006537C0"/>
    <w:rsid w:val="006537CD"/>
    <w:rsid w:val="0065446E"/>
    <w:rsid w:val="00654780"/>
    <w:rsid w:val="00654857"/>
    <w:rsid w:val="00654D59"/>
    <w:rsid w:val="00654DB8"/>
    <w:rsid w:val="00657880"/>
    <w:rsid w:val="00657DF0"/>
    <w:rsid w:val="0066010D"/>
    <w:rsid w:val="006602BF"/>
    <w:rsid w:val="00660832"/>
    <w:rsid w:val="00661070"/>
    <w:rsid w:val="006610AB"/>
    <w:rsid w:val="00661519"/>
    <w:rsid w:val="006616D7"/>
    <w:rsid w:val="0066193F"/>
    <w:rsid w:val="00661956"/>
    <w:rsid w:val="00661A81"/>
    <w:rsid w:val="006620B2"/>
    <w:rsid w:val="00662BE1"/>
    <w:rsid w:val="00663ADE"/>
    <w:rsid w:val="00663B13"/>
    <w:rsid w:val="00663BA3"/>
    <w:rsid w:val="00663D08"/>
    <w:rsid w:val="00663D62"/>
    <w:rsid w:val="00663F86"/>
    <w:rsid w:val="006646CA"/>
    <w:rsid w:val="00664773"/>
    <w:rsid w:val="00664B5C"/>
    <w:rsid w:val="00664C6E"/>
    <w:rsid w:val="00664DF5"/>
    <w:rsid w:val="0066538A"/>
    <w:rsid w:val="006653A0"/>
    <w:rsid w:val="00665A3F"/>
    <w:rsid w:val="00665A9A"/>
    <w:rsid w:val="00665D92"/>
    <w:rsid w:val="00665E4F"/>
    <w:rsid w:val="00665E7F"/>
    <w:rsid w:val="00666105"/>
    <w:rsid w:val="0066623A"/>
    <w:rsid w:val="006663D9"/>
    <w:rsid w:val="00666524"/>
    <w:rsid w:val="0066690C"/>
    <w:rsid w:val="006669BA"/>
    <w:rsid w:val="00666C2C"/>
    <w:rsid w:val="00666E09"/>
    <w:rsid w:val="006675FF"/>
    <w:rsid w:val="00667A89"/>
    <w:rsid w:val="00667B63"/>
    <w:rsid w:val="00667B7C"/>
    <w:rsid w:val="00667F07"/>
    <w:rsid w:val="00667F72"/>
    <w:rsid w:val="00667F8C"/>
    <w:rsid w:val="00670449"/>
    <w:rsid w:val="00671043"/>
    <w:rsid w:val="0067196F"/>
    <w:rsid w:val="00671BF4"/>
    <w:rsid w:val="00671D1B"/>
    <w:rsid w:val="0067325C"/>
    <w:rsid w:val="0067421E"/>
    <w:rsid w:val="00674B9E"/>
    <w:rsid w:val="00674DE3"/>
    <w:rsid w:val="00674F40"/>
    <w:rsid w:val="006751B8"/>
    <w:rsid w:val="00675255"/>
    <w:rsid w:val="00675268"/>
    <w:rsid w:val="00675282"/>
    <w:rsid w:val="00675581"/>
    <w:rsid w:val="006758DE"/>
    <w:rsid w:val="00675976"/>
    <w:rsid w:val="006762EF"/>
    <w:rsid w:val="006764E2"/>
    <w:rsid w:val="00676521"/>
    <w:rsid w:val="00676721"/>
    <w:rsid w:val="0067716A"/>
    <w:rsid w:val="006779F3"/>
    <w:rsid w:val="00677A6E"/>
    <w:rsid w:val="00677D33"/>
    <w:rsid w:val="0068006C"/>
    <w:rsid w:val="00680125"/>
    <w:rsid w:val="006803C8"/>
    <w:rsid w:val="006804E2"/>
    <w:rsid w:val="00680879"/>
    <w:rsid w:val="0068108C"/>
    <w:rsid w:val="0068121C"/>
    <w:rsid w:val="00681300"/>
    <w:rsid w:val="006818A6"/>
    <w:rsid w:val="0068194A"/>
    <w:rsid w:val="00681D14"/>
    <w:rsid w:val="00682030"/>
    <w:rsid w:val="006826AB"/>
    <w:rsid w:val="006832E5"/>
    <w:rsid w:val="00683340"/>
    <w:rsid w:val="0068374F"/>
    <w:rsid w:val="006842F0"/>
    <w:rsid w:val="006847EE"/>
    <w:rsid w:val="00684801"/>
    <w:rsid w:val="00684A12"/>
    <w:rsid w:val="00684B60"/>
    <w:rsid w:val="006850BF"/>
    <w:rsid w:val="006858CD"/>
    <w:rsid w:val="006859F7"/>
    <w:rsid w:val="00685CB1"/>
    <w:rsid w:val="00685DE2"/>
    <w:rsid w:val="00685F7C"/>
    <w:rsid w:val="00686B3F"/>
    <w:rsid w:val="00686C3A"/>
    <w:rsid w:val="00686E5D"/>
    <w:rsid w:val="00687214"/>
    <w:rsid w:val="00687330"/>
    <w:rsid w:val="00687AD2"/>
    <w:rsid w:val="00687DB2"/>
    <w:rsid w:val="0069024B"/>
    <w:rsid w:val="00690358"/>
    <w:rsid w:val="0069059C"/>
    <w:rsid w:val="006905FB"/>
    <w:rsid w:val="00691129"/>
    <w:rsid w:val="00691418"/>
    <w:rsid w:val="006915BE"/>
    <w:rsid w:val="0069190A"/>
    <w:rsid w:val="00691AFF"/>
    <w:rsid w:val="0069205F"/>
    <w:rsid w:val="006922E0"/>
    <w:rsid w:val="006928A1"/>
    <w:rsid w:val="006935DE"/>
    <w:rsid w:val="00693870"/>
    <w:rsid w:val="00693AC6"/>
    <w:rsid w:val="006949A4"/>
    <w:rsid w:val="00694A31"/>
    <w:rsid w:val="00694E0E"/>
    <w:rsid w:val="00694E8A"/>
    <w:rsid w:val="00695718"/>
    <w:rsid w:val="00695787"/>
    <w:rsid w:val="00695AE8"/>
    <w:rsid w:val="00696A29"/>
    <w:rsid w:val="00696F57"/>
    <w:rsid w:val="00697026"/>
    <w:rsid w:val="006972F9"/>
    <w:rsid w:val="0069759E"/>
    <w:rsid w:val="006975BC"/>
    <w:rsid w:val="006977A2"/>
    <w:rsid w:val="00697D92"/>
    <w:rsid w:val="006A0414"/>
    <w:rsid w:val="006A045B"/>
    <w:rsid w:val="006A09F4"/>
    <w:rsid w:val="006A0A7F"/>
    <w:rsid w:val="006A0FF3"/>
    <w:rsid w:val="006A19C3"/>
    <w:rsid w:val="006A25A4"/>
    <w:rsid w:val="006A2841"/>
    <w:rsid w:val="006A2CD4"/>
    <w:rsid w:val="006A31B5"/>
    <w:rsid w:val="006A40F8"/>
    <w:rsid w:val="006A4463"/>
    <w:rsid w:val="006A467E"/>
    <w:rsid w:val="006A4693"/>
    <w:rsid w:val="006A46FA"/>
    <w:rsid w:val="006A4908"/>
    <w:rsid w:val="006A496C"/>
    <w:rsid w:val="006A4CC5"/>
    <w:rsid w:val="006A4E0F"/>
    <w:rsid w:val="006A522E"/>
    <w:rsid w:val="006A58C5"/>
    <w:rsid w:val="006A5B8A"/>
    <w:rsid w:val="006A5D33"/>
    <w:rsid w:val="006A5E55"/>
    <w:rsid w:val="006A6164"/>
    <w:rsid w:val="006A6895"/>
    <w:rsid w:val="006A69EF"/>
    <w:rsid w:val="006A6BBB"/>
    <w:rsid w:val="006A7287"/>
    <w:rsid w:val="006A7354"/>
    <w:rsid w:val="006A7602"/>
    <w:rsid w:val="006A7B51"/>
    <w:rsid w:val="006B0E62"/>
    <w:rsid w:val="006B0FA8"/>
    <w:rsid w:val="006B10F7"/>
    <w:rsid w:val="006B169D"/>
    <w:rsid w:val="006B1946"/>
    <w:rsid w:val="006B2268"/>
    <w:rsid w:val="006B2330"/>
    <w:rsid w:val="006B2DE8"/>
    <w:rsid w:val="006B4088"/>
    <w:rsid w:val="006B44F5"/>
    <w:rsid w:val="006B488A"/>
    <w:rsid w:val="006B4B33"/>
    <w:rsid w:val="006B4C88"/>
    <w:rsid w:val="006B50DD"/>
    <w:rsid w:val="006B55BF"/>
    <w:rsid w:val="006B5687"/>
    <w:rsid w:val="006B6CB5"/>
    <w:rsid w:val="006B73C0"/>
    <w:rsid w:val="006B77E2"/>
    <w:rsid w:val="006C0145"/>
    <w:rsid w:val="006C03BA"/>
    <w:rsid w:val="006C0B04"/>
    <w:rsid w:val="006C0B7C"/>
    <w:rsid w:val="006C12B8"/>
    <w:rsid w:val="006C13D1"/>
    <w:rsid w:val="006C1505"/>
    <w:rsid w:val="006C1697"/>
    <w:rsid w:val="006C1730"/>
    <w:rsid w:val="006C1CA4"/>
    <w:rsid w:val="006C1E1E"/>
    <w:rsid w:val="006C1FA6"/>
    <w:rsid w:val="006C2048"/>
    <w:rsid w:val="006C2579"/>
    <w:rsid w:val="006C27D6"/>
    <w:rsid w:val="006C299E"/>
    <w:rsid w:val="006C3762"/>
    <w:rsid w:val="006C3878"/>
    <w:rsid w:val="006C456F"/>
    <w:rsid w:val="006C4788"/>
    <w:rsid w:val="006C4EE6"/>
    <w:rsid w:val="006C5411"/>
    <w:rsid w:val="006C5975"/>
    <w:rsid w:val="006C5D1B"/>
    <w:rsid w:val="006C5DE7"/>
    <w:rsid w:val="006C5ED5"/>
    <w:rsid w:val="006C6149"/>
    <w:rsid w:val="006C6B21"/>
    <w:rsid w:val="006C6F3C"/>
    <w:rsid w:val="006C6F70"/>
    <w:rsid w:val="006C78AC"/>
    <w:rsid w:val="006C7969"/>
    <w:rsid w:val="006C7B9D"/>
    <w:rsid w:val="006D0150"/>
    <w:rsid w:val="006D03CF"/>
    <w:rsid w:val="006D1300"/>
    <w:rsid w:val="006D1687"/>
    <w:rsid w:val="006D16E1"/>
    <w:rsid w:val="006D183E"/>
    <w:rsid w:val="006D1F43"/>
    <w:rsid w:val="006D214B"/>
    <w:rsid w:val="006D265A"/>
    <w:rsid w:val="006D338A"/>
    <w:rsid w:val="006D37FE"/>
    <w:rsid w:val="006D3C1F"/>
    <w:rsid w:val="006D5102"/>
    <w:rsid w:val="006D5593"/>
    <w:rsid w:val="006D56B1"/>
    <w:rsid w:val="006D56C4"/>
    <w:rsid w:val="006D6689"/>
    <w:rsid w:val="006D6896"/>
    <w:rsid w:val="006D6B09"/>
    <w:rsid w:val="006D6CC4"/>
    <w:rsid w:val="006D719E"/>
    <w:rsid w:val="006D7DD9"/>
    <w:rsid w:val="006D7F65"/>
    <w:rsid w:val="006D7F83"/>
    <w:rsid w:val="006E0206"/>
    <w:rsid w:val="006E027B"/>
    <w:rsid w:val="006E06F2"/>
    <w:rsid w:val="006E0969"/>
    <w:rsid w:val="006E0C15"/>
    <w:rsid w:val="006E2518"/>
    <w:rsid w:val="006E286F"/>
    <w:rsid w:val="006E2E03"/>
    <w:rsid w:val="006E334B"/>
    <w:rsid w:val="006E3E66"/>
    <w:rsid w:val="006E3F63"/>
    <w:rsid w:val="006E3F7C"/>
    <w:rsid w:val="006E5767"/>
    <w:rsid w:val="006E5872"/>
    <w:rsid w:val="006E596F"/>
    <w:rsid w:val="006E597E"/>
    <w:rsid w:val="006E5BBC"/>
    <w:rsid w:val="006E5E49"/>
    <w:rsid w:val="006E5F6B"/>
    <w:rsid w:val="006E61E7"/>
    <w:rsid w:val="006E6439"/>
    <w:rsid w:val="006E65F1"/>
    <w:rsid w:val="006E7080"/>
    <w:rsid w:val="006E75C6"/>
    <w:rsid w:val="006E7E35"/>
    <w:rsid w:val="006F016C"/>
    <w:rsid w:val="006F0230"/>
    <w:rsid w:val="006F0406"/>
    <w:rsid w:val="006F0458"/>
    <w:rsid w:val="006F07FA"/>
    <w:rsid w:val="006F095A"/>
    <w:rsid w:val="006F09BF"/>
    <w:rsid w:val="006F0A74"/>
    <w:rsid w:val="006F0B83"/>
    <w:rsid w:val="006F148D"/>
    <w:rsid w:val="006F1690"/>
    <w:rsid w:val="006F1C38"/>
    <w:rsid w:val="006F1DB6"/>
    <w:rsid w:val="006F23AE"/>
    <w:rsid w:val="006F2AF4"/>
    <w:rsid w:val="006F2E48"/>
    <w:rsid w:val="006F3169"/>
    <w:rsid w:val="006F3269"/>
    <w:rsid w:val="006F3658"/>
    <w:rsid w:val="006F3835"/>
    <w:rsid w:val="006F3869"/>
    <w:rsid w:val="006F3BE4"/>
    <w:rsid w:val="006F3C45"/>
    <w:rsid w:val="006F4B92"/>
    <w:rsid w:val="006F4F50"/>
    <w:rsid w:val="006F4FAF"/>
    <w:rsid w:val="006F5039"/>
    <w:rsid w:val="006F66A3"/>
    <w:rsid w:val="006F66BB"/>
    <w:rsid w:val="006F6810"/>
    <w:rsid w:val="006F6A69"/>
    <w:rsid w:val="006F6AB5"/>
    <w:rsid w:val="006F6D47"/>
    <w:rsid w:val="006F6F97"/>
    <w:rsid w:val="006F7024"/>
    <w:rsid w:val="006F7211"/>
    <w:rsid w:val="006F743E"/>
    <w:rsid w:val="006F7593"/>
    <w:rsid w:val="006F78E7"/>
    <w:rsid w:val="006F799C"/>
    <w:rsid w:val="006F7DB3"/>
    <w:rsid w:val="006F7E3A"/>
    <w:rsid w:val="007004C3"/>
    <w:rsid w:val="0070058C"/>
    <w:rsid w:val="00700608"/>
    <w:rsid w:val="00700827"/>
    <w:rsid w:val="00700A09"/>
    <w:rsid w:val="00700AFF"/>
    <w:rsid w:val="00700C1C"/>
    <w:rsid w:val="007013DC"/>
    <w:rsid w:val="0070181E"/>
    <w:rsid w:val="00701B3C"/>
    <w:rsid w:val="00701F68"/>
    <w:rsid w:val="007020F8"/>
    <w:rsid w:val="00702422"/>
    <w:rsid w:val="00702D55"/>
    <w:rsid w:val="00702FFD"/>
    <w:rsid w:val="00703184"/>
    <w:rsid w:val="00703E5A"/>
    <w:rsid w:val="00703F4F"/>
    <w:rsid w:val="00703F60"/>
    <w:rsid w:val="0070470B"/>
    <w:rsid w:val="00704750"/>
    <w:rsid w:val="007047A3"/>
    <w:rsid w:val="00704F8C"/>
    <w:rsid w:val="007058C9"/>
    <w:rsid w:val="00705A45"/>
    <w:rsid w:val="00705AB8"/>
    <w:rsid w:val="0070617F"/>
    <w:rsid w:val="0070624A"/>
    <w:rsid w:val="0070685A"/>
    <w:rsid w:val="00706BC8"/>
    <w:rsid w:val="007073C1"/>
    <w:rsid w:val="007078F1"/>
    <w:rsid w:val="00707B96"/>
    <w:rsid w:val="00707F06"/>
    <w:rsid w:val="00710395"/>
    <w:rsid w:val="00710A26"/>
    <w:rsid w:val="00710A57"/>
    <w:rsid w:val="00710F17"/>
    <w:rsid w:val="0071220C"/>
    <w:rsid w:val="00712BF1"/>
    <w:rsid w:val="00712C12"/>
    <w:rsid w:val="00712DF4"/>
    <w:rsid w:val="007132FF"/>
    <w:rsid w:val="007136DC"/>
    <w:rsid w:val="00714008"/>
    <w:rsid w:val="00714124"/>
    <w:rsid w:val="007141F5"/>
    <w:rsid w:val="00714567"/>
    <w:rsid w:val="0071471F"/>
    <w:rsid w:val="00714900"/>
    <w:rsid w:val="00714E14"/>
    <w:rsid w:val="007154A9"/>
    <w:rsid w:val="00715C73"/>
    <w:rsid w:val="00715D28"/>
    <w:rsid w:val="00716014"/>
    <w:rsid w:val="00716A02"/>
    <w:rsid w:val="007171D0"/>
    <w:rsid w:val="007174D5"/>
    <w:rsid w:val="007174DB"/>
    <w:rsid w:val="00720023"/>
    <w:rsid w:val="007200A9"/>
    <w:rsid w:val="00720AAA"/>
    <w:rsid w:val="00720D34"/>
    <w:rsid w:val="00721472"/>
    <w:rsid w:val="00722287"/>
    <w:rsid w:val="00722C31"/>
    <w:rsid w:val="00722CA2"/>
    <w:rsid w:val="00722EC8"/>
    <w:rsid w:val="00723575"/>
    <w:rsid w:val="0072401C"/>
    <w:rsid w:val="00724B6C"/>
    <w:rsid w:val="00724C2C"/>
    <w:rsid w:val="00724EBC"/>
    <w:rsid w:val="007250E2"/>
    <w:rsid w:val="0072521F"/>
    <w:rsid w:val="00725388"/>
    <w:rsid w:val="007253D9"/>
    <w:rsid w:val="00725608"/>
    <w:rsid w:val="00725BE2"/>
    <w:rsid w:val="00725BEA"/>
    <w:rsid w:val="00726589"/>
    <w:rsid w:val="00726705"/>
    <w:rsid w:val="00726B64"/>
    <w:rsid w:val="00726CFD"/>
    <w:rsid w:val="00727507"/>
    <w:rsid w:val="00727591"/>
    <w:rsid w:val="00727C7F"/>
    <w:rsid w:val="00727F9D"/>
    <w:rsid w:val="00730329"/>
    <w:rsid w:val="007303E8"/>
    <w:rsid w:val="00730907"/>
    <w:rsid w:val="00730A0C"/>
    <w:rsid w:val="00730C85"/>
    <w:rsid w:val="00730E1B"/>
    <w:rsid w:val="007310BD"/>
    <w:rsid w:val="007317CF"/>
    <w:rsid w:val="007319A3"/>
    <w:rsid w:val="00731AC4"/>
    <w:rsid w:val="00732903"/>
    <w:rsid w:val="00732E19"/>
    <w:rsid w:val="007334DB"/>
    <w:rsid w:val="007335C5"/>
    <w:rsid w:val="007344B4"/>
    <w:rsid w:val="00734629"/>
    <w:rsid w:val="007348B1"/>
    <w:rsid w:val="00734AE6"/>
    <w:rsid w:val="00734D46"/>
    <w:rsid w:val="00735528"/>
    <w:rsid w:val="00735BAE"/>
    <w:rsid w:val="00736004"/>
    <w:rsid w:val="00736506"/>
    <w:rsid w:val="00736D3A"/>
    <w:rsid w:val="00737416"/>
    <w:rsid w:val="00740001"/>
    <w:rsid w:val="0074026E"/>
    <w:rsid w:val="00740355"/>
    <w:rsid w:val="0074098F"/>
    <w:rsid w:val="00740AFF"/>
    <w:rsid w:val="00740C34"/>
    <w:rsid w:val="00741076"/>
    <w:rsid w:val="00741489"/>
    <w:rsid w:val="00741BC7"/>
    <w:rsid w:val="00741D86"/>
    <w:rsid w:val="00741F32"/>
    <w:rsid w:val="0074242B"/>
    <w:rsid w:val="0074255C"/>
    <w:rsid w:val="007428F8"/>
    <w:rsid w:val="00742A13"/>
    <w:rsid w:val="00742D86"/>
    <w:rsid w:val="0074305A"/>
    <w:rsid w:val="00743099"/>
    <w:rsid w:val="007435F1"/>
    <w:rsid w:val="00743A16"/>
    <w:rsid w:val="00743A86"/>
    <w:rsid w:val="00743C64"/>
    <w:rsid w:val="00743C8A"/>
    <w:rsid w:val="00743CA6"/>
    <w:rsid w:val="00743CC5"/>
    <w:rsid w:val="00743E6E"/>
    <w:rsid w:val="00743F71"/>
    <w:rsid w:val="0074446A"/>
    <w:rsid w:val="00744BEB"/>
    <w:rsid w:val="00745045"/>
    <w:rsid w:val="007450E6"/>
    <w:rsid w:val="0074510C"/>
    <w:rsid w:val="0074521B"/>
    <w:rsid w:val="00745940"/>
    <w:rsid w:val="00745A51"/>
    <w:rsid w:val="00745C97"/>
    <w:rsid w:val="00745D9C"/>
    <w:rsid w:val="00747373"/>
    <w:rsid w:val="0074746F"/>
    <w:rsid w:val="007479EB"/>
    <w:rsid w:val="0075006B"/>
    <w:rsid w:val="0075011D"/>
    <w:rsid w:val="00750807"/>
    <w:rsid w:val="007509EB"/>
    <w:rsid w:val="007512B4"/>
    <w:rsid w:val="00751322"/>
    <w:rsid w:val="007515F3"/>
    <w:rsid w:val="00751886"/>
    <w:rsid w:val="00751B4C"/>
    <w:rsid w:val="00751E54"/>
    <w:rsid w:val="0075241D"/>
    <w:rsid w:val="0075245D"/>
    <w:rsid w:val="007524BE"/>
    <w:rsid w:val="0075271E"/>
    <w:rsid w:val="00752B9A"/>
    <w:rsid w:val="00752BA7"/>
    <w:rsid w:val="00752D64"/>
    <w:rsid w:val="007531FF"/>
    <w:rsid w:val="007532AA"/>
    <w:rsid w:val="007532E6"/>
    <w:rsid w:val="0075389B"/>
    <w:rsid w:val="00753C83"/>
    <w:rsid w:val="00753D7E"/>
    <w:rsid w:val="00753DE8"/>
    <w:rsid w:val="00753EC1"/>
    <w:rsid w:val="00754667"/>
    <w:rsid w:val="00754D02"/>
    <w:rsid w:val="00754EE4"/>
    <w:rsid w:val="00755D5B"/>
    <w:rsid w:val="00755DD7"/>
    <w:rsid w:val="00756110"/>
    <w:rsid w:val="00756452"/>
    <w:rsid w:val="00756709"/>
    <w:rsid w:val="0075698F"/>
    <w:rsid w:val="00756C21"/>
    <w:rsid w:val="007570C7"/>
    <w:rsid w:val="00757AA1"/>
    <w:rsid w:val="00760094"/>
    <w:rsid w:val="00760142"/>
    <w:rsid w:val="00760BE3"/>
    <w:rsid w:val="00760C30"/>
    <w:rsid w:val="00760C8C"/>
    <w:rsid w:val="00760F3B"/>
    <w:rsid w:val="007610C5"/>
    <w:rsid w:val="00761204"/>
    <w:rsid w:val="0076122D"/>
    <w:rsid w:val="007614A4"/>
    <w:rsid w:val="007615CA"/>
    <w:rsid w:val="00762165"/>
    <w:rsid w:val="00762178"/>
    <w:rsid w:val="0076223A"/>
    <w:rsid w:val="00762A72"/>
    <w:rsid w:val="00762D75"/>
    <w:rsid w:val="00762E2F"/>
    <w:rsid w:val="0076302B"/>
    <w:rsid w:val="00764169"/>
    <w:rsid w:val="007644E4"/>
    <w:rsid w:val="007646B9"/>
    <w:rsid w:val="00764879"/>
    <w:rsid w:val="0076500E"/>
    <w:rsid w:val="00765089"/>
    <w:rsid w:val="0076526B"/>
    <w:rsid w:val="00765838"/>
    <w:rsid w:val="007658A1"/>
    <w:rsid w:val="00765D40"/>
    <w:rsid w:val="00765D9D"/>
    <w:rsid w:val="00765F1E"/>
    <w:rsid w:val="0076631B"/>
    <w:rsid w:val="007663AF"/>
    <w:rsid w:val="007666BF"/>
    <w:rsid w:val="00766F4D"/>
    <w:rsid w:val="007677DE"/>
    <w:rsid w:val="0076799A"/>
    <w:rsid w:val="00767B21"/>
    <w:rsid w:val="00767DD6"/>
    <w:rsid w:val="00767F8E"/>
    <w:rsid w:val="00767FB7"/>
    <w:rsid w:val="0077063F"/>
    <w:rsid w:val="0077065D"/>
    <w:rsid w:val="00771239"/>
    <w:rsid w:val="00771383"/>
    <w:rsid w:val="00771474"/>
    <w:rsid w:val="007715D5"/>
    <w:rsid w:val="00771788"/>
    <w:rsid w:val="00771892"/>
    <w:rsid w:val="007718CC"/>
    <w:rsid w:val="00771E86"/>
    <w:rsid w:val="00772426"/>
    <w:rsid w:val="007725E7"/>
    <w:rsid w:val="0077318C"/>
    <w:rsid w:val="00773305"/>
    <w:rsid w:val="00773704"/>
    <w:rsid w:val="0077388C"/>
    <w:rsid w:val="00774753"/>
    <w:rsid w:val="00774939"/>
    <w:rsid w:val="00774A09"/>
    <w:rsid w:val="00774A87"/>
    <w:rsid w:val="00774C8A"/>
    <w:rsid w:val="00775203"/>
    <w:rsid w:val="00775491"/>
    <w:rsid w:val="00775D3A"/>
    <w:rsid w:val="00775D52"/>
    <w:rsid w:val="00776708"/>
    <w:rsid w:val="00776777"/>
    <w:rsid w:val="007769B8"/>
    <w:rsid w:val="00777264"/>
    <w:rsid w:val="00777631"/>
    <w:rsid w:val="007778F7"/>
    <w:rsid w:val="00777B41"/>
    <w:rsid w:val="007801BA"/>
    <w:rsid w:val="007801EF"/>
    <w:rsid w:val="007804AB"/>
    <w:rsid w:val="0078066C"/>
    <w:rsid w:val="00780B9D"/>
    <w:rsid w:val="00781459"/>
    <w:rsid w:val="0078166C"/>
    <w:rsid w:val="00783247"/>
    <w:rsid w:val="00783713"/>
    <w:rsid w:val="00784585"/>
    <w:rsid w:val="00785378"/>
    <w:rsid w:val="007853CD"/>
    <w:rsid w:val="00785681"/>
    <w:rsid w:val="007857A0"/>
    <w:rsid w:val="00785D31"/>
    <w:rsid w:val="00785DE9"/>
    <w:rsid w:val="00787776"/>
    <w:rsid w:val="0078798C"/>
    <w:rsid w:val="00790182"/>
    <w:rsid w:val="00790982"/>
    <w:rsid w:val="00790AFB"/>
    <w:rsid w:val="00790E7B"/>
    <w:rsid w:val="0079104B"/>
    <w:rsid w:val="007919F3"/>
    <w:rsid w:val="00792660"/>
    <w:rsid w:val="00792B90"/>
    <w:rsid w:val="00792C0C"/>
    <w:rsid w:val="00793227"/>
    <w:rsid w:val="00793BA1"/>
    <w:rsid w:val="00794041"/>
    <w:rsid w:val="007942FC"/>
    <w:rsid w:val="007944FA"/>
    <w:rsid w:val="00794767"/>
    <w:rsid w:val="0079490E"/>
    <w:rsid w:val="00794B5F"/>
    <w:rsid w:val="00795160"/>
    <w:rsid w:val="00795181"/>
    <w:rsid w:val="00795475"/>
    <w:rsid w:val="007955AC"/>
    <w:rsid w:val="00795DF1"/>
    <w:rsid w:val="00795F42"/>
    <w:rsid w:val="007966F7"/>
    <w:rsid w:val="00796744"/>
    <w:rsid w:val="007967A7"/>
    <w:rsid w:val="00796A40"/>
    <w:rsid w:val="00796ACA"/>
    <w:rsid w:val="007970E4"/>
    <w:rsid w:val="007A041F"/>
    <w:rsid w:val="007A088F"/>
    <w:rsid w:val="007A09F9"/>
    <w:rsid w:val="007A0ADB"/>
    <w:rsid w:val="007A13DD"/>
    <w:rsid w:val="007A1ADD"/>
    <w:rsid w:val="007A22E6"/>
    <w:rsid w:val="007A22EF"/>
    <w:rsid w:val="007A2783"/>
    <w:rsid w:val="007A2ABD"/>
    <w:rsid w:val="007A3A7E"/>
    <w:rsid w:val="007A3AD9"/>
    <w:rsid w:val="007A4498"/>
    <w:rsid w:val="007A4C0D"/>
    <w:rsid w:val="007A4E9A"/>
    <w:rsid w:val="007A57F2"/>
    <w:rsid w:val="007A5A01"/>
    <w:rsid w:val="007A5A18"/>
    <w:rsid w:val="007A5A38"/>
    <w:rsid w:val="007A6014"/>
    <w:rsid w:val="007A62E4"/>
    <w:rsid w:val="007A6835"/>
    <w:rsid w:val="007A6AAF"/>
    <w:rsid w:val="007A6BD6"/>
    <w:rsid w:val="007A7233"/>
    <w:rsid w:val="007A7480"/>
    <w:rsid w:val="007A7E7C"/>
    <w:rsid w:val="007B07A1"/>
    <w:rsid w:val="007B07F4"/>
    <w:rsid w:val="007B0928"/>
    <w:rsid w:val="007B0C0B"/>
    <w:rsid w:val="007B0D4D"/>
    <w:rsid w:val="007B0FFA"/>
    <w:rsid w:val="007B12BB"/>
    <w:rsid w:val="007B1564"/>
    <w:rsid w:val="007B18D6"/>
    <w:rsid w:val="007B1AAA"/>
    <w:rsid w:val="007B20B5"/>
    <w:rsid w:val="007B23AF"/>
    <w:rsid w:val="007B29D7"/>
    <w:rsid w:val="007B2A45"/>
    <w:rsid w:val="007B2B0A"/>
    <w:rsid w:val="007B2C89"/>
    <w:rsid w:val="007B3340"/>
    <w:rsid w:val="007B349A"/>
    <w:rsid w:val="007B387B"/>
    <w:rsid w:val="007B3A5C"/>
    <w:rsid w:val="007B3A7F"/>
    <w:rsid w:val="007B46FE"/>
    <w:rsid w:val="007B4788"/>
    <w:rsid w:val="007B4DAC"/>
    <w:rsid w:val="007B5066"/>
    <w:rsid w:val="007B53D3"/>
    <w:rsid w:val="007B551F"/>
    <w:rsid w:val="007B5913"/>
    <w:rsid w:val="007B5936"/>
    <w:rsid w:val="007B6277"/>
    <w:rsid w:val="007B63FA"/>
    <w:rsid w:val="007B6451"/>
    <w:rsid w:val="007B6919"/>
    <w:rsid w:val="007B7873"/>
    <w:rsid w:val="007B7A19"/>
    <w:rsid w:val="007B7C0A"/>
    <w:rsid w:val="007C01C5"/>
    <w:rsid w:val="007C03FB"/>
    <w:rsid w:val="007C0720"/>
    <w:rsid w:val="007C0831"/>
    <w:rsid w:val="007C086E"/>
    <w:rsid w:val="007C1324"/>
    <w:rsid w:val="007C13A0"/>
    <w:rsid w:val="007C1684"/>
    <w:rsid w:val="007C1887"/>
    <w:rsid w:val="007C1C3D"/>
    <w:rsid w:val="007C1F45"/>
    <w:rsid w:val="007C2236"/>
    <w:rsid w:val="007C25C0"/>
    <w:rsid w:val="007C26B4"/>
    <w:rsid w:val="007C2FA6"/>
    <w:rsid w:val="007C381E"/>
    <w:rsid w:val="007C3D3C"/>
    <w:rsid w:val="007C442E"/>
    <w:rsid w:val="007C499F"/>
    <w:rsid w:val="007C4BBE"/>
    <w:rsid w:val="007C4BF5"/>
    <w:rsid w:val="007C52DB"/>
    <w:rsid w:val="007C54D6"/>
    <w:rsid w:val="007C6502"/>
    <w:rsid w:val="007C72E3"/>
    <w:rsid w:val="007C738D"/>
    <w:rsid w:val="007C7427"/>
    <w:rsid w:val="007C7961"/>
    <w:rsid w:val="007C7B1C"/>
    <w:rsid w:val="007C7D10"/>
    <w:rsid w:val="007D0543"/>
    <w:rsid w:val="007D07F6"/>
    <w:rsid w:val="007D0944"/>
    <w:rsid w:val="007D13B0"/>
    <w:rsid w:val="007D17D5"/>
    <w:rsid w:val="007D2141"/>
    <w:rsid w:val="007D27E8"/>
    <w:rsid w:val="007D29AC"/>
    <w:rsid w:val="007D2AC8"/>
    <w:rsid w:val="007D305B"/>
    <w:rsid w:val="007D357D"/>
    <w:rsid w:val="007D4026"/>
    <w:rsid w:val="007D44F9"/>
    <w:rsid w:val="007D465A"/>
    <w:rsid w:val="007D4AFA"/>
    <w:rsid w:val="007D5238"/>
    <w:rsid w:val="007D554E"/>
    <w:rsid w:val="007D5E61"/>
    <w:rsid w:val="007D645D"/>
    <w:rsid w:val="007D6600"/>
    <w:rsid w:val="007D660E"/>
    <w:rsid w:val="007D6AFD"/>
    <w:rsid w:val="007D6DFE"/>
    <w:rsid w:val="007D713D"/>
    <w:rsid w:val="007D7307"/>
    <w:rsid w:val="007D74C3"/>
    <w:rsid w:val="007D7B0C"/>
    <w:rsid w:val="007E0030"/>
    <w:rsid w:val="007E012E"/>
    <w:rsid w:val="007E0327"/>
    <w:rsid w:val="007E038A"/>
    <w:rsid w:val="007E04D9"/>
    <w:rsid w:val="007E0C53"/>
    <w:rsid w:val="007E0C73"/>
    <w:rsid w:val="007E1193"/>
    <w:rsid w:val="007E160D"/>
    <w:rsid w:val="007E178B"/>
    <w:rsid w:val="007E1B14"/>
    <w:rsid w:val="007E1C3C"/>
    <w:rsid w:val="007E1C7F"/>
    <w:rsid w:val="007E1DBF"/>
    <w:rsid w:val="007E2CBB"/>
    <w:rsid w:val="007E3081"/>
    <w:rsid w:val="007E372F"/>
    <w:rsid w:val="007E38DC"/>
    <w:rsid w:val="007E392C"/>
    <w:rsid w:val="007E3A07"/>
    <w:rsid w:val="007E3B54"/>
    <w:rsid w:val="007E3B74"/>
    <w:rsid w:val="007E47A0"/>
    <w:rsid w:val="007E47F2"/>
    <w:rsid w:val="007E4CF3"/>
    <w:rsid w:val="007E5200"/>
    <w:rsid w:val="007E537F"/>
    <w:rsid w:val="007E5706"/>
    <w:rsid w:val="007E58CF"/>
    <w:rsid w:val="007E63C8"/>
    <w:rsid w:val="007E67E6"/>
    <w:rsid w:val="007E68CB"/>
    <w:rsid w:val="007E6A6A"/>
    <w:rsid w:val="007E6F42"/>
    <w:rsid w:val="007E7075"/>
    <w:rsid w:val="007E7100"/>
    <w:rsid w:val="007E7596"/>
    <w:rsid w:val="007E75C4"/>
    <w:rsid w:val="007E76EF"/>
    <w:rsid w:val="007E7811"/>
    <w:rsid w:val="007E7A4F"/>
    <w:rsid w:val="007E7E15"/>
    <w:rsid w:val="007F0275"/>
    <w:rsid w:val="007F030F"/>
    <w:rsid w:val="007F06B0"/>
    <w:rsid w:val="007F0CBD"/>
    <w:rsid w:val="007F0EC7"/>
    <w:rsid w:val="007F1532"/>
    <w:rsid w:val="007F176D"/>
    <w:rsid w:val="007F17C9"/>
    <w:rsid w:val="007F1F17"/>
    <w:rsid w:val="007F241E"/>
    <w:rsid w:val="007F267D"/>
    <w:rsid w:val="007F2937"/>
    <w:rsid w:val="007F2A5E"/>
    <w:rsid w:val="007F2E23"/>
    <w:rsid w:val="007F329D"/>
    <w:rsid w:val="007F344A"/>
    <w:rsid w:val="007F3C28"/>
    <w:rsid w:val="007F54CD"/>
    <w:rsid w:val="007F5991"/>
    <w:rsid w:val="007F5D0E"/>
    <w:rsid w:val="007F5E60"/>
    <w:rsid w:val="007F5F17"/>
    <w:rsid w:val="007F67CA"/>
    <w:rsid w:val="007F75F0"/>
    <w:rsid w:val="007F79A1"/>
    <w:rsid w:val="007F7A5B"/>
    <w:rsid w:val="007F7B96"/>
    <w:rsid w:val="007F7CE1"/>
    <w:rsid w:val="00800AE7"/>
    <w:rsid w:val="00800B9E"/>
    <w:rsid w:val="00801262"/>
    <w:rsid w:val="008012C5"/>
    <w:rsid w:val="008017A4"/>
    <w:rsid w:val="00801868"/>
    <w:rsid w:val="00801BF9"/>
    <w:rsid w:val="00802015"/>
    <w:rsid w:val="0080218A"/>
    <w:rsid w:val="0080225A"/>
    <w:rsid w:val="00802866"/>
    <w:rsid w:val="00802C4B"/>
    <w:rsid w:val="00802F92"/>
    <w:rsid w:val="0080300D"/>
    <w:rsid w:val="0080360E"/>
    <w:rsid w:val="00803634"/>
    <w:rsid w:val="00803985"/>
    <w:rsid w:val="00803C84"/>
    <w:rsid w:val="00803D6C"/>
    <w:rsid w:val="008042FB"/>
    <w:rsid w:val="0080438E"/>
    <w:rsid w:val="008048C5"/>
    <w:rsid w:val="00804930"/>
    <w:rsid w:val="00804B8D"/>
    <w:rsid w:val="00804BDF"/>
    <w:rsid w:val="00805357"/>
    <w:rsid w:val="0080568C"/>
    <w:rsid w:val="00805907"/>
    <w:rsid w:val="0080593B"/>
    <w:rsid w:val="00805EA6"/>
    <w:rsid w:val="00806159"/>
    <w:rsid w:val="008065A4"/>
    <w:rsid w:val="008069A2"/>
    <w:rsid w:val="00806E37"/>
    <w:rsid w:val="00807150"/>
    <w:rsid w:val="008071CA"/>
    <w:rsid w:val="00807552"/>
    <w:rsid w:val="0080761C"/>
    <w:rsid w:val="00807626"/>
    <w:rsid w:val="00807728"/>
    <w:rsid w:val="0081001F"/>
    <w:rsid w:val="0081036F"/>
    <w:rsid w:val="008104F1"/>
    <w:rsid w:val="00810AB2"/>
    <w:rsid w:val="008117D6"/>
    <w:rsid w:val="00811C21"/>
    <w:rsid w:val="00811E12"/>
    <w:rsid w:val="00812470"/>
    <w:rsid w:val="0081259F"/>
    <w:rsid w:val="00812945"/>
    <w:rsid w:val="00812C84"/>
    <w:rsid w:val="00812FD5"/>
    <w:rsid w:val="00813449"/>
    <w:rsid w:val="00813619"/>
    <w:rsid w:val="008137AB"/>
    <w:rsid w:val="0081398B"/>
    <w:rsid w:val="00814321"/>
    <w:rsid w:val="00814C92"/>
    <w:rsid w:val="0081509B"/>
    <w:rsid w:val="008157B8"/>
    <w:rsid w:val="00815CC8"/>
    <w:rsid w:val="00816421"/>
    <w:rsid w:val="00816964"/>
    <w:rsid w:val="00816A85"/>
    <w:rsid w:val="00816B38"/>
    <w:rsid w:val="00817956"/>
    <w:rsid w:val="008179A3"/>
    <w:rsid w:val="00817A37"/>
    <w:rsid w:val="00817DD4"/>
    <w:rsid w:val="00817DEE"/>
    <w:rsid w:val="00817FFB"/>
    <w:rsid w:val="00820170"/>
    <w:rsid w:val="008206FF"/>
    <w:rsid w:val="00820A72"/>
    <w:rsid w:val="00820D51"/>
    <w:rsid w:val="00821032"/>
    <w:rsid w:val="008215BA"/>
    <w:rsid w:val="008217A2"/>
    <w:rsid w:val="008220CE"/>
    <w:rsid w:val="008221A0"/>
    <w:rsid w:val="00822A0C"/>
    <w:rsid w:val="00822A33"/>
    <w:rsid w:val="0082318E"/>
    <w:rsid w:val="00823D43"/>
    <w:rsid w:val="00823EFD"/>
    <w:rsid w:val="0082422C"/>
    <w:rsid w:val="0082446F"/>
    <w:rsid w:val="00824597"/>
    <w:rsid w:val="00824A37"/>
    <w:rsid w:val="00825485"/>
    <w:rsid w:val="00825C73"/>
    <w:rsid w:val="00825F57"/>
    <w:rsid w:val="0082614B"/>
    <w:rsid w:val="00826790"/>
    <w:rsid w:val="00826C67"/>
    <w:rsid w:val="008271F2"/>
    <w:rsid w:val="00827C39"/>
    <w:rsid w:val="00827FE9"/>
    <w:rsid w:val="0083035C"/>
    <w:rsid w:val="008305F3"/>
    <w:rsid w:val="0083091D"/>
    <w:rsid w:val="00830A87"/>
    <w:rsid w:val="00830ADC"/>
    <w:rsid w:val="00830DA1"/>
    <w:rsid w:val="00830E68"/>
    <w:rsid w:val="00831157"/>
    <w:rsid w:val="00831266"/>
    <w:rsid w:val="0083194B"/>
    <w:rsid w:val="00831F66"/>
    <w:rsid w:val="008325FD"/>
    <w:rsid w:val="00832AEB"/>
    <w:rsid w:val="00832EBE"/>
    <w:rsid w:val="00833655"/>
    <w:rsid w:val="00833813"/>
    <w:rsid w:val="00833937"/>
    <w:rsid w:val="00833CFC"/>
    <w:rsid w:val="00834317"/>
    <w:rsid w:val="0083496F"/>
    <w:rsid w:val="0083501D"/>
    <w:rsid w:val="0083524C"/>
    <w:rsid w:val="00835DE3"/>
    <w:rsid w:val="00836495"/>
    <w:rsid w:val="00836DAC"/>
    <w:rsid w:val="00836E72"/>
    <w:rsid w:val="00837CAE"/>
    <w:rsid w:val="00837DA0"/>
    <w:rsid w:val="00837DE8"/>
    <w:rsid w:val="008412AF"/>
    <w:rsid w:val="008423AB"/>
    <w:rsid w:val="00842723"/>
    <w:rsid w:val="00842B12"/>
    <w:rsid w:val="00842E91"/>
    <w:rsid w:val="00843377"/>
    <w:rsid w:val="00843873"/>
    <w:rsid w:val="00843FE0"/>
    <w:rsid w:val="008440C7"/>
    <w:rsid w:val="0084421F"/>
    <w:rsid w:val="00844411"/>
    <w:rsid w:val="00844C1E"/>
    <w:rsid w:val="008452DD"/>
    <w:rsid w:val="008453C4"/>
    <w:rsid w:val="00845505"/>
    <w:rsid w:val="0084591D"/>
    <w:rsid w:val="00845B05"/>
    <w:rsid w:val="00845DF0"/>
    <w:rsid w:val="00845E0F"/>
    <w:rsid w:val="00846736"/>
    <w:rsid w:val="008473B3"/>
    <w:rsid w:val="00847B37"/>
    <w:rsid w:val="00847C31"/>
    <w:rsid w:val="00847FB4"/>
    <w:rsid w:val="008504A8"/>
    <w:rsid w:val="008504D4"/>
    <w:rsid w:val="00850506"/>
    <w:rsid w:val="0085065E"/>
    <w:rsid w:val="008509F6"/>
    <w:rsid w:val="00850AE2"/>
    <w:rsid w:val="008516A5"/>
    <w:rsid w:val="00851E9D"/>
    <w:rsid w:val="008522CB"/>
    <w:rsid w:val="00852329"/>
    <w:rsid w:val="0085240D"/>
    <w:rsid w:val="008524C3"/>
    <w:rsid w:val="0085273D"/>
    <w:rsid w:val="00852C24"/>
    <w:rsid w:val="00852E6A"/>
    <w:rsid w:val="008533D0"/>
    <w:rsid w:val="00853489"/>
    <w:rsid w:val="008536C9"/>
    <w:rsid w:val="0085391D"/>
    <w:rsid w:val="00853A2C"/>
    <w:rsid w:val="00853AEC"/>
    <w:rsid w:val="00854285"/>
    <w:rsid w:val="00854532"/>
    <w:rsid w:val="00854AF1"/>
    <w:rsid w:val="00854DD1"/>
    <w:rsid w:val="00854FF2"/>
    <w:rsid w:val="00855D94"/>
    <w:rsid w:val="0085636E"/>
    <w:rsid w:val="0085657E"/>
    <w:rsid w:val="00857084"/>
    <w:rsid w:val="00857519"/>
    <w:rsid w:val="00857B28"/>
    <w:rsid w:val="00860392"/>
    <w:rsid w:val="0086050D"/>
    <w:rsid w:val="008616F2"/>
    <w:rsid w:val="00861970"/>
    <w:rsid w:val="00861CE2"/>
    <w:rsid w:val="00861D80"/>
    <w:rsid w:val="008620B8"/>
    <w:rsid w:val="00862252"/>
    <w:rsid w:val="008625B5"/>
    <w:rsid w:val="00862F0B"/>
    <w:rsid w:val="008630E3"/>
    <w:rsid w:val="00863193"/>
    <w:rsid w:val="008636EC"/>
    <w:rsid w:val="00863D6B"/>
    <w:rsid w:val="00863D8E"/>
    <w:rsid w:val="0086406B"/>
    <w:rsid w:val="00864B4B"/>
    <w:rsid w:val="00865077"/>
    <w:rsid w:val="008651DC"/>
    <w:rsid w:val="0086529E"/>
    <w:rsid w:val="0086549D"/>
    <w:rsid w:val="00865610"/>
    <w:rsid w:val="00865B56"/>
    <w:rsid w:val="00865CFD"/>
    <w:rsid w:val="008661A0"/>
    <w:rsid w:val="008669DD"/>
    <w:rsid w:val="00867492"/>
    <w:rsid w:val="008679E0"/>
    <w:rsid w:val="00867F37"/>
    <w:rsid w:val="00870066"/>
    <w:rsid w:val="008701C7"/>
    <w:rsid w:val="00870E83"/>
    <w:rsid w:val="00871068"/>
    <w:rsid w:val="0087128C"/>
    <w:rsid w:val="008717B9"/>
    <w:rsid w:val="00871A0B"/>
    <w:rsid w:val="00871A6B"/>
    <w:rsid w:val="00871B6C"/>
    <w:rsid w:val="0087204C"/>
    <w:rsid w:val="008724A6"/>
    <w:rsid w:val="00872773"/>
    <w:rsid w:val="008735D2"/>
    <w:rsid w:val="0087393D"/>
    <w:rsid w:val="008740FF"/>
    <w:rsid w:val="00874472"/>
    <w:rsid w:val="0087463F"/>
    <w:rsid w:val="0087481B"/>
    <w:rsid w:val="00874AE3"/>
    <w:rsid w:val="00874F9B"/>
    <w:rsid w:val="008751C5"/>
    <w:rsid w:val="0087549F"/>
    <w:rsid w:val="00875549"/>
    <w:rsid w:val="00875B32"/>
    <w:rsid w:val="00875DE1"/>
    <w:rsid w:val="00876005"/>
    <w:rsid w:val="0087646B"/>
    <w:rsid w:val="00876A21"/>
    <w:rsid w:val="00876EB6"/>
    <w:rsid w:val="00877088"/>
    <w:rsid w:val="008771B0"/>
    <w:rsid w:val="008775A1"/>
    <w:rsid w:val="0087789A"/>
    <w:rsid w:val="00880475"/>
    <w:rsid w:val="0088068E"/>
    <w:rsid w:val="00880832"/>
    <w:rsid w:val="00880ABF"/>
    <w:rsid w:val="00880CCB"/>
    <w:rsid w:val="00880D15"/>
    <w:rsid w:val="00880DA8"/>
    <w:rsid w:val="00880F98"/>
    <w:rsid w:val="0088100C"/>
    <w:rsid w:val="008816C5"/>
    <w:rsid w:val="008817D7"/>
    <w:rsid w:val="00881866"/>
    <w:rsid w:val="008826CA"/>
    <w:rsid w:val="00883A3D"/>
    <w:rsid w:val="00883A5D"/>
    <w:rsid w:val="00883D20"/>
    <w:rsid w:val="00884422"/>
    <w:rsid w:val="00884806"/>
    <w:rsid w:val="0088508F"/>
    <w:rsid w:val="008856DC"/>
    <w:rsid w:val="00885A71"/>
    <w:rsid w:val="00885F82"/>
    <w:rsid w:val="0088625D"/>
    <w:rsid w:val="0088653E"/>
    <w:rsid w:val="008868A5"/>
    <w:rsid w:val="00886D78"/>
    <w:rsid w:val="00886FC1"/>
    <w:rsid w:val="008871A0"/>
    <w:rsid w:val="0088727E"/>
    <w:rsid w:val="00887596"/>
    <w:rsid w:val="0088774F"/>
    <w:rsid w:val="0088780D"/>
    <w:rsid w:val="00887B46"/>
    <w:rsid w:val="00887B87"/>
    <w:rsid w:val="008905BA"/>
    <w:rsid w:val="008906D3"/>
    <w:rsid w:val="008906E2"/>
    <w:rsid w:val="008908BC"/>
    <w:rsid w:val="00890D0E"/>
    <w:rsid w:val="00890F05"/>
    <w:rsid w:val="008914E5"/>
    <w:rsid w:val="008921BE"/>
    <w:rsid w:val="008923E9"/>
    <w:rsid w:val="00892455"/>
    <w:rsid w:val="008924AC"/>
    <w:rsid w:val="008924C8"/>
    <w:rsid w:val="008926C9"/>
    <w:rsid w:val="00892837"/>
    <w:rsid w:val="008928B2"/>
    <w:rsid w:val="00892DBF"/>
    <w:rsid w:val="008934F0"/>
    <w:rsid w:val="008936B4"/>
    <w:rsid w:val="00893C9B"/>
    <w:rsid w:val="008941CA"/>
    <w:rsid w:val="008942AC"/>
    <w:rsid w:val="00895481"/>
    <w:rsid w:val="008956E3"/>
    <w:rsid w:val="00895863"/>
    <w:rsid w:val="008958F8"/>
    <w:rsid w:val="008959F1"/>
    <w:rsid w:val="00895A94"/>
    <w:rsid w:val="00895AD1"/>
    <w:rsid w:val="00895C76"/>
    <w:rsid w:val="00895D05"/>
    <w:rsid w:val="00895DCD"/>
    <w:rsid w:val="00896595"/>
    <w:rsid w:val="008965DF"/>
    <w:rsid w:val="00896883"/>
    <w:rsid w:val="00896DED"/>
    <w:rsid w:val="008976A1"/>
    <w:rsid w:val="008978D7"/>
    <w:rsid w:val="00897A98"/>
    <w:rsid w:val="00897C45"/>
    <w:rsid w:val="008A0293"/>
    <w:rsid w:val="008A0344"/>
    <w:rsid w:val="008A0522"/>
    <w:rsid w:val="008A0846"/>
    <w:rsid w:val="008A0888"/>
    <w:rsid w:val="008A0E9F"/>
    <w:rsid w:val="008A1957"/>
    <w:rsid w:val="008A1C96"/>
    <w:rsid w:val="008A2194"/>
    <w:rsid w:val="008A2598"/>
    <w:rsid w:val="008A276C"/>
    <w:rsid w:val="008A28F8"/>
    <w:rsid w:val="008A2CE5"/>
    <w:rsid w:val="008A2FC3"/>
    <w:rsid w:val="008A35A2"/>
    <w:rsid w:val="008A388F"/>
    <w:rsid w:val="008A3A52"/>
    <w:rsid w:val="008A3DB1"/>
    <w:rsid w:val="008A4262"/>
    <w:rsid w:val="008A4315"/>
    <w:rsid w:val="008A4522"/>
    <w:rsid w:val="008A45E5"/>
    <w:rsid w:val="008A4CAA"/>
    <w:rsid w:val="008A5250"/>
    <w:rsid w:val="008A53BB"/>
    <w:rsid w:val="008A5820"/>
    <w:rsid w:val="008A587F"/>
    <w:rsid w:val="008A616B"/>
    <w:rsid w:val="008A6A65"/>
    <w:rsid w:val="008A6CAB"/>
    <w:rsid w:val="008A6D20"/>
    <w:rsid w:val="008A7062"/>
    <w:rsid w:val="008A72BD"/>
    <w:rsid w:val="008A730A"/>
    <w:rsid w:val="008A7562"/>
    <w:rsid w:val="008B0BE1"/>
    <w:rsid w:val="008B1522"/>
    <w:rsid w:val="008B15AB"/>
    <w:rsid w:val="008B17CA"/>
    <w:rsid w:val="008B1DA4"/>
    <w:rsid w:val="008B1E9A"/>
    <w:rsid w:val="008B2088"/>
    <w:rsid w:val="008B2994"/>
    <w:rsid w:val="008B3481"/>
    <w:rsid w:val="008B3603"/>
    <w:rsid w:val="008B3752"/>
    <w:rsid w:val="008B381F"/>
    <w:rsid w:val="008B3A77"/>
    <w:rsid w:val="008B3B7C"/>
    <w:rsid w:val="008B412A"/>
    <w:rsid w:val="008B42CF"/>
    <w:rsid w:val="008B4320"/>
    <w:rsid w:val="008B4585"/>
    <w:rsid w:val="008B4D75"/>
    <w:rsid w:val="008B4E02"/>
    <w:rsid w:val="008B4F3D"/>
    <w:rsid w:val="008B50D1"/>
    <w:rsid w:val="008B5547"/>
    <w:rsid w:val="008B59C3"/>
    <w:rsid w:val="008B5A93"/>
    <w:rsid w:val="008B5AF2"/>
    <w:rsid w:val="008B647D"/>
    <w:rsid w:val="008B648D"/>
    <w:rsid w:val="008B6B86"/>
    <w:rsid w:val="008B6F4D"/>
    <w:rsid w:val="008B7F7F"/>
    <w:rsid w:val="008C040B"/>
    <w:rsid w:val="008C0429"/>
    <w:rsid w:val="008C0A0D"/>
    <w:rsid w:val="008C0A2E"/>
    <w:rsid w:val="008C0C29"/>
    <w:rsid w:val="008C1CB1"/>
    <w:rsid w:val="008C2634"/>
    <w:rsid w:val="008C2889"/>
    <w:rsid w:val="008C28CC"/>
    <w:rsid w:val="008C28D2"/>
    <w:rsid w:val="008C2BFB"/>
    <w:rsid w:val="008C2F17"/>
    <w:rsid w:val="008C2F84"/>
    <w:rsid w:val="008C38F0"/>
    <w:rsid w:val="008C3F85"/>
    <w:rsid w:val="008C497F"/>
    <w:rsid w:val="008C5295"/>
    <w:rsid w:val="008C53BE"/>
    <w:rsid w:val="008C585B"/>
    <w:rsid w:val="008C6880"/>
    <w:rsid w:val="008C694C"/>
    <w:rsid w:val="008C6B5F"/>
    <w:rsid w:val="008C6B74"/>
    <w:rsid w:val="008C6CC7"/>
    <w:rsid w:val="008C7D88"/>
    <w:rsid w:val="008D03F7"/>
    <w:rsid w:val="008D062A"/>
    <w:rsid w:val="008D0ED5"/>
    <w:rsid w:val="008D1F1F"/>
    <w:rsid w:val="008D1F96"/>
    <w:rsid w:val="008D2013"/>
    <w:rsid w:val="008D2181"/>
    <w:rsid w:val="008D22D9"/>
    <w:rsid w:val="008D2AEC"/>
    <w:rsid w:val="008D313B"/>
    <w:rsid w:val="008D3631"/>
    <w:rsid w:val="008D3703"/>
    <w:rsid w:val="008D3D82"/>
    <w:rsid w:val="008D4940"/>
    <w:rsid w:val="008D4B7D"/>
    <w:rsid w:val="008D4D87"/>
    <w:rsid w:val="008D4F2D"/>
    <w:rsid w:val="008D548A"/>
    <w:rsid w:val="008D551E"/>
    <w:rsid w:val="008D5565"/>
    <w:rsid w:val="008D58D9"/>
    <w:rsid w:val="008D594F"/>
    <w:rsid w:val="008D5EE2"/>
    <w:rsid w:val="008D668B"/>
    <w:rsid w:val="008D6D31"/>
    <w:rsid w:val="008D7061"/>
    <w:rsid w:val="008D7218"/>
    <w:rsid w:val="008D7353"/>
    <w:rsid w:val="008D7579"/>
    <w:rsid w:val="008E0918"/>
    <w:rsid w:val="008E0977"/>
    <w:rsid w:val="008E0C09"/>
    <w:rsid w:val="008E1160"/>
    <w:rsid w:val="008E11BD"/>
    <w:rsid w:val="008E1F3D"/>
    <w:rsid w:val="008E2871"/>
    <w:rsid w:val="008E2D43"/>
    <w:rsid w:val="008E2D63"/>
    <w:rsid w:val="008E3B10"/>
    <w:rsid w:val="008E3C30"/>
    <w:rsid w:val="008E44D0"/>
    <w:rsid w:val="008E4611"/>
    <w:rsid w:val="008E49A7"/>
    <w:rsid w:val="008E4A3C"/>
    <w:rsid w:val="008E4E68"/>
    <w:rsid w:val="008E50F0"/>
    <w:rsid w:val="008E549A"/>
    <w:rsid w:val="008E689C"/>
    <w:rsid w:val="008E70AB"/>
    <w:rsid w:val="008E7126"/>
    <w:rsid w:val="008E73BE"/>
    <w:rsid w:val="008E740A"/>
    <w:rsid w:val="008E750A"/>
    <w:rsid w:val="008F0128"/>
    <w:rsid w:val="008F0169"/>
    <w:rsid w:val="008F02A3"/>
    <w:rsid w:val="008F045E"/>
    <w:rsid w:val="008F0543"/>
    <w:rsid w:val="008F06E1"/>
    <w:rsid w:val="008F0B7D"/>
    <w:rsid w:val="008F0D49"/>
    <w:rsid w:val="008F0D61"/>
    <w:rsid w:val="008F0E75"/>
    <w:rsid w:val="008F1B3E"/>
    <w:rsid w:val="008F1B96"/>
    <w:rsid w:val="008F2572"/>
    <w:rsid w:val="008F2D09"/>
    <w:rsid w:val="008F2FE0"/>
    <w:rsid w:val="008F336B"/>
    <w:rsid w:val="008F39D9"/>
    <w:rsid w:val="008F3FC8"/>
    <w:rsid w:val="008F4160"/>
    <w:rsid w:val="008F43C9"/>
    <w:rsid w:val="008F464F"/>
    <w:rsid w:val="008F4C09"/>
    <w:rsid w:val="008F522B"/>
    <w:rsid w:val="008F5BEE"/>
    <w:rsid w:val="008F5C9A"/>
    <w:rsid w:val="008F5F97"/>
    <w:rsid w:val="008F6CAD"/>
    <w:rsid w:val="008F6D34"/>
    <w:rsid w:val="008F723E"/>
    <w:rsid w:val="008F7CA0"/>
    <w:rsid w:val="0090020E"/>
    <w:rsid w:val="0090036A"/>
    <w:rsid w:val="0090059D"/>
    <w:rsid w:val="00900669"/>
    <w:rsid w:val="00900AD1"/>
    <w:rsid w:val="00900D89"/>
    <w:rsid w:val="009011D8"/>
    <w:rsid w:val="00901AFB"/>
    <w:rsid w:val="00901E09"/>
    <w:rsid w:val="00902367"/>
    <w:rsid w:val="00902672"/>
    <w:rsid w:val="00902FEF"/>
    <w:rsid w:val="009033C4"/>
    <w:rsid w:val="00903501"/>
    <w:rsid w:val="00903834"/>
    <w:rsid w:val="00903AFD"/>
    <w:rsid w:val="00903EAA"/>
    <w:rsid w:val="00903EF5"/>
    <w:rsid w:val="0090407F"/>
    <w:rsid w:val="00904793"/>
    <w:rsid w:val="00904834"/>
    <w:rsid w:val="0090495D"/>
    <w:rsid w:val="009049DE"/>
    <w:rsid w:val="00904D67"/>
    <w:rsid w:val="00905245"/>
    <w:rsid w:val="009055FC"/>
    <w:rsid w:val="00905633"/>
    <w:rsid w:val="00905889"/>
    <w:rsid w:val="00905A4B"/>
    <w:rsid w:val="00905C9D"/>
    <w:rsid w:val="00905D15"/>
    <w:rsid w:val="00905D66"/>
    <w:rsid w:val="0090699C"/>
    <w:rsid w:val="00906F5A"/>
    <w:rsid w:val="0090767D"/>
    <w:rsid w:val="0090775D"/>
    <w:rsid w:val="00907791"/>
    <w:rsid w:val="009078CE"/>
    <w:rsid w:val="00910D05"/>
    <w:rsid w:val="0091103B"/>
    <w:rsid w:val="009114C9"/>
    <w:rsid w:val="00911565"/>
    <w:rsid w:val="00911610"/>
    <w:rsid w:val="00911F62"/>
    <w:rsid w:val="00911FE1"/>
    <w:rsid w:val="0091229B"/>
    <w:rsid w:val="009124E9"/>
    <w:rsid w:val="00912768"/>
    <w:rsid w:val="00912A03"/>
    <w:rsid w:val="00913434"/>
    <w:rsid w:val="009137C2"/>
    <w:rsid w:val="00913B16"/>
    <w:rsid w:val="00913CEE"/>
    <w:rsid w:val="00913CFC"/>
    <w:rsid w:val="00913DD0"/>
    <w:rsid w:val="00915275"/>
    <w:rsid w:val="009153FF"/>
    <w:rsid w:val="009157BA"/>
    <w:rsid w:val="00915BF8"/>
    <w:rsid w:val="00915E1F"/>
    <w:rsid w:val="00916534"/>
    <w:rsid w:val="009169C7"/>
    <w:rsid w:val="009169CD"/>
    <w:rsid w:val="00916B9F"/>
    <w:rsid w:val="009179C8"/>
    <w:rsid w:val="009179FD"/>
    <w:rsid w:val="00920723"/>
    <w:rsid w:val="00920C62"/>
    <w:rsid w:val="009211EA"/>
    <w:rsid w:val="009215A2"/>
    <w:rsid w:val="00921A06"/>
    <w:rsid w:val="00921B93"/>
    <w:rsid w:val="00921BA1"/>
    <w:rsid w:val="00921EC3"/>
    <w:rsid w:val="009225A1"/>
    <w:rsid w:val="00922A42"/>
    <w:rsid w:val="00922B89"/>
    <w:rsid w:val="00922CBD"/>
    <w:rsid w:val="00922EBC"/>
    <w:rsid w:val="00923069"/>
    <w:rsid w:val="009230E3"/>
    <w:rsid w:val="009234F3"/>
    <w:rsid w:val="00923739"/>
    <w:rsid w:val="00924065"/>
    <w:rsid w:val="009241EC"/>
    <w:rsid w:val="00924F01"/>
    <w:rsid w:val="009251B8"/>
    <w:rsid w:val="00925455"/>
    <w:rsid w:val="00925731"/>
    <w:rsid w:val="00925D77"/>
    <w:rsid w:val="00925DB8"/>
    <w:rsid w:val="009260B5"/>
    <w:rsid w:val="00926682"/>
    <w:rsid w:val="00926862"/>
    <w:rsid w:val="00926984"/>
    <w:rsid w:val="009302A5"/>
    <w:rsid w:val="00930A94"/>
    <w:rsid w:val="00930D6B"/>
    <w:rsid w:val="00931502"/>
    <w:rsid w:val="0093201A"/>
    <w:rsid w:val="00932341"/>
    <w:rsid w:val="00932568"/>
    <w:rsid w:val="0093283D"/>
    <w:rsid w:val="00933199"/>
    <w:rsid w:val="00933386"/>
    <w:rsid w:val="00933B0A"/>
    <w:rsid w:val="00933B44"/>
    <w:rsid w:val="00933CA0"/>
    <w:rsid w:val="0093445C"/>
    <w:rsid w:val="00935198"/>
    <w:rsid w:val="009357EC"/>
    <w:rsid w:val="009359EB"/>
    <w:rsid w:val="00935B5D"/>
    <w:rsid w:val="00936671"/>
    <w:rsid w:val="00936C5F"/>
    <w:rsid w:val="00936D1B"/>
    <w:rsid w:val="00936D73"/>
    <w:rsid w:val="00937532"/>
    <w:rsid w:val="0093794F"/>
    <w:rsid w:val="00937A6F"/>
    <w:rsid w:val="00937C0C"/>
    <w:rsid w:val="009407AE"/>
    <w:rsid w:val="00940A79"/>
    <w:rsid w:val="00940F9B"/>
    <w:rsid w:val="0094117D"/>
    <w:rsid w:val="0094179A"/>
    <w:rsid w:val="00941CED"/>
    <w:rsid w:val="009422FD"/>
    <w:rsid w:val="009424F2"/>
    <w:rsid w:val="009428D5"/>
    <w:rsid w:val="00942A19"/>
    <w:rsid w:val="00942A26"/>
    <w:rsid w:val="00942C3F"/>
    <w:rsid w:val="00942D28"/>
    <w:rsid w:val="009431D2"/>
    <w:rsid w:val="0094395A"/>
    <w:rsid w:val="00943A1E"/>
    <w:rsid w:val="00943E17"/>
    <w:rsid w:val="00943E4C"/>
    <w:rsid w:val="00944388"/>
    <w:rsid w:val="009450EB"/>
    <w:rsid w:val="009451F1"/>
    <w:rsid w:val="0094528D"/>
    <w:rsid w:val="009455F1"/>
    <w:rsid w:val="00945687"/>
    <w:rsid w:val="009456DE"/>
    <w:rsid w:val="00945CC5"/>
    <w:rsid w:val="00945D59"/>
    <w:rsid w:val="00946389"/>
    <w:rsid w:val="00946431"/>
    <w:rsid w:val="00946C85"/>
    <w:rsid w:val="00946D3B"/>
    <w:rsid w:val="00946F95"/>
    <w:rsid w:val="00947664"/>
    <w:rsid w:val="00947E75"/>
    <w:rsid w:val="00947F37"/>
    <w:rsid w:val="0095014A"/>
    <w:rsid w:val="009508DA"/>
    <w:rsid w:val="00950DDB"/>
    <w:rsid w:val="00951215"/>
    <w:rsid w:val="00951402"/>
    <w:rsid w:val="009516EA"/>
    <w:rsid w:val="00951A2E"/>
    <w:rsid w:val="00951CD6"/>
    <w:rsid w:val="00951DA0"/>
    <w:rsid w:val="009527CF"/>
    <w:rsid w:val="0095282E"/>
    <w:rsid w:val="00952DAC"/>
    <w:rsid w:val="0095360F"/>
    <w:rsid w:val="0095427E"/>
    <w:rsid w:val="009543C1"/>
    <w:rsid w:val="00954488"/>
    <w:rsid w:val="009544D0"/>
    <w:rsid w:val="0095470B"/>
    <w:rsid w:val="009553BC"/>
    <w:rsid w:val="0095595B"/>
    <w:rsid w:val="00955E95"/>
    <w:rsid w:val="0095616E"/>
    <w:rsid w:val="00956278"/>
    <w:rsid w:val="00956489"/>
    <w:rsid w:val="00956C8A"/>
    <w:rsid w:val="00956D86"/>
    <w:rsid w:val="009576E8"/>
    <w:rsid w:val="00957A54"/>
    <w:rsid w:val="0096055C"/>
    <w:rsid w:val="00960BC6"/>
    <w:rsid w:val="00961383"/>
    <w:rsid w:val="00963286"/>
    <w:rsid w:val="00963450"/>
    <w:rsid w:val="00963DB2"/>
    <w:rsid w:val="00964016"/>
    <w:rsid w:val="009642EF"/>
    <w:rsid w:val="009644C2"/>
    <w:rsid w:val="009645B6"/>
    <w:rsid w:val="00964EE9"/>
    <w:rsid w:val="009651AF"/>
    <w:rsid w:val="009651E3"/>
    <w:rsid w:val="00965276"/>
    <w:rsid w:val="009653BB"/>
    <w:rsid w:val="0096552D"/>
    <w:rsid w:val="00966066"/>
    <w:rsid w:val="00966613"/>
    <w:rsid w:val="00967B88"/>
    <w:rsid w:val="00970046"/>
    <w:rsid w:val="0097134C"/>
    <w:rsid w:val="00971B79"/>
    <w:rsid w:val="00971B92"/>
    <w:rsid w:val="00971E6A"/>
    <w:rsid w:val="00972075"/>
    <w:rsid w:val="0097234C"/>
    <w:rsid w:val="00972581"/>
    <w:rsid w:val="00972EA7"/>
    <w:rsid w:val="00972F53"/>
    <w:rsid w:val="00973013"/>
    <w:rsid w:val="00974024"/>
    <w:rsid w:val="009740A3"/>
    <w:rsid w:val="00974FC4"/>
    <w:rsid w:val="00975465"/>
    <w:rsid w:val="00975775"/>
    <w:rsid w:val="00975B3C"/>
    <w:rsid w:val="00975C83"/>
    <w:rsid w:val="00975FC5"/>
    <w:rsid w:val="0097636C"/>
    <w:rsid w:val="00976817"/>
    <w:rsid w:val="0097693E"/>
    <w:rsid w:val="00976DC0"/>
    <w:rsid w:val="0097762F"/>
    <w:rsid w:val="0097777E"/>
    <w:rsid w:val="00977B9C"/>
    <w:rsid w:val="00977D7A"/>
    <w:rsid w:val="00977E7E"/>
    <w:rsid w:val="00980225"/>
    <w:rsid w:val="00980271"/>
    <w:rsid w:val="0098027F"/>
    <w:rsid w:val="00980616"/>
    <w:rsid w:val="00980855"/>
    <w:rsid w:val="00980CCF"/>
    <w:rsid w:val="00980E6E"/>
    <w:rsid w:val="0098130D"/>
    <w:rsid w:val="009813F7"/>
    <w:rsid w:val="00981741"/>
    <w:rsid w:val="00981856"/>
    <w:rsid w:val="00981A9E"/>
    <w:rsid w:val="00981C99"/>
    <w:rsid w:val="00981F8D"/>
    <w:rsid w:val="00982E6B"/>
    <w:rsid w:val="00982E72"/>
    <w:rsid w:val="009830D9"/>
    <w:rsid w:val="009836D4"/>
    <w:rsid w:val="009838CE"/>
    <w:rsid w:val="00983AFB"/>
    <w:rsid w:val="00983C2D"/>
    <w:rsid w:val="00983EF5"/>
    <w:rsid w:val="00983F9B"/>
    <w:rsid w:val="0098469F"/>
    <w:rsid w:val="00984854"/>
    <w:rsid w:val="009848D6"/>
    <w:rsid w:val="009849D3"/>
    <w:rsid w:val="009849F5"/>
    <w:rsid w:val="009853BF"/>
    <w:rsid w:val="00986D9D"/>
    <w:rsid w:val="00987438"/>
    <w:rsid w:val="00987FD9"/>
    <w:rsid w:val="0099037B"/>
    <w:rsid w:val="0099080E"/>
    <w:rsid w:val="0099091D"/>
    <w:rsid w:val="00990E81"/>
    <w:rsid w:val="009911EF"/>
    <w:rsid w:val="0099184B"/>
    <w:rsid w:val="00991C97"/>
    <w:rsid w:val="00991CED"/>
    <w:rsid w:val="00991FF8"/>
    <w:rsid w:val="009921A4"/>
    <w:rsid w:val="009925E0"/>
    <w:rsid w:val="00992CE2"/>
    <w:rsid w:val="0099317D"/>
    <w:rsid w:val="009933B8"/>
    <w:rsid w:val="00993404"/>
    <w:rsid w:val="0099390F"/>
    <w:rsid w:val="00993B7D"/>
    <w:rsid w:val="00993EAC"/>
    <w:rsid w:val="0099445F"/>
    <w:rsid w:val="0099471F"/>
    <w:rsid w:val="00994D5A"/>
    <w:rsid w:val="00994E18"/>
    <w:rsid w:val="00995647"/>
    <w:rsid w:val="0099599F"/>
    <w:rsid w:val="00995BFA"/>
    <w:rsid w:val="00995C3C"/>
    <w:rsid w:val="0099683F"/>
    <w:rsid w:val="009975D2"/>
    <w:rsid w:val="0099760C"/>
    <w:rsid w:val="009A034A"/>
    <w:rsid w:val="009A056D"/>
    <w:rsid w:val="009A05F6"/>
    <w:rsid w:val="009A09D9"/>
    <w:rsid w:val="009A0FE9"/>
    <w:rsid w:val="009A11FC"/>
    <w:rsid w:val="009A1754"/>
    <w:rsid w:val="009A1869"/>
    <w:rsid w:val="009A1B9A"/>
    <w:rsid w:val="009A2327"/>
    <w:rsid w:val="009A258E"/>
    <w:rsid w:val="009A3700"/>
    <w:rsid w:val="009A43E2"/>
    <w:rsid w:val="009A4408"/>
    <w:rsid w:val="009A493E"/>
    <w:rsid w:val="009A4AA1"/>
    <w:rsid w:val="009A5182"/>
    <w:rsid w:val="009A5543"/>
    <w:rsid w:val="009A5A3B"/>
    <w:rsid w:val="009A5B80"/>
    <w:rsid w:val="009A6068"/>
    <w:rsid w:val="009A66B3"/>
    <w:rsid w:val="009A6E4D"/>
    <w:rsid w:val="009A6F3F"/>
    <w:rsid w:val="009A7738"/>
    <w:rsid w:val="009A77E6"/>
    <w:rsid w:val="009B04BA"/>
    <w:rsid w:val="009B07DA"/>
    <w:rsid w:val="009B0CA5"/>
    <w:rsid w:val="009B16D2"/>
    <w:rsid w:val="009B1823"/>
    <w:rsid w:val="009B1CD8"/>
    <w:rsid w:val="009B1FBB"/>
    <w:rsid w:val="009B2037"/>
    <w:rsid w:val="009B25E9"/>
    <w:rsid w:val="009B2D05"/>
    <w:rsid w:val="009B2E08"/>
    <w:rsid w:val="009B3504"/>
    <w:rsid w:val="009B37D9"/>
    <w:rsid w:val="009B3D4A"/>
    <w:rsid w:val="009B3FF7"/>
    <w:rsid w:val="009B4952"/>
    <w:rsid w:val="009B558A"/>
    <w:rsid w:val="009B5A24"/>
    <w:rsid w:val="009B5DEB"/>
    <w:rsid w:val="009B6A76"/>
    <w:rsid w:val="009B6B3A"/>
    <w:rsid w:val="009B725C"/>
    <w:rsid w:val="009B72C0"/>
    <w:rsid w:val="009B766D"/>
    <w:rsid w:val="009C0B1F"/>
    <w:rsid w:val="009C0D1B"/>
    <w:rsid w:val="009C0F9C"/>
    <w:rsid w:val="009C108D"/>
    <w:rsid w:val="009C1466"/>
    <w:rsid w:val="009C1FE8"/>
    <w:rsid w:val="009C210D"/>
    <w:rsid w:val="009C28F7"/>
    <w:rsid w:val="009C2DCA"/>
    <w:rsid w:val="009C3049"/>
    <w:rsid w:val="009C3A2D"/>
    <w:rsid w:val="009C3FBA"/>
    <w:rsid w:val="009C484B"/>
    <w:rsid w:val="009C511C"/>
    <w:rsid w:val="009C5443"/>
    <w:rsid w:val="009C58DE"/>
    <w:rsid w:val="009C59CF"/>
    <w:rsid w:val="009C5BBA"/>
    <w:rsid w:val="009C6743"/>
    <w:rsid w:val="009C6836"/>
    <w:rsid w:val="009C68D8"/>
    <w:rsid w:val="009C6BF6"/>
    <w:rsid w:val="009C7771"/>
    <w:rsid w:val="009C7F6B"/>
    <w:rsid w:val="009D0107"/>
    <w:rsid w:val="009D0CD5"/>
    <w:rsid w:val="009D0E09"/>
    <w:rsid w:val="009D11DB"/>
    <w:rsid w:val="009D14BF"/>
    <w:rsid w:val="009D1780"/>
    <w:rsid w:val="009D18C4"/>
    <w:rsid w:val="009D1E2C"/>
    <w:rsid w:val="009D1E30"/>
    <w:rsid w:val="009D1FF1"/>
    <w:rsid w:val="009D204C"/>
    <w:rsid w:val="009D2423"/>
    <w:rsid w:val="009D2791"/>
    <w:rsid w:val="009D2C53"/>
    <w:rsid w:val="009D2FBC"/>
    <w:rsid w:val="009D3148"/>
    <w:rsid w:val="009D32D5"/>
    <w:rsid w:val="009D37C0"/>
    <w:rsid w:val="009D3897"/>
    <w:rsid w:val="009D394A"/>
    <w:rsid w:val="009D3AF6"/>
    <w:rsid w:val="009D3B2A"/>
    <w:rsid w:val="009D3D40"/>
    <w:rsid w:val="009D3E83"/>
    <w:rsid w:val="009D430E"/>
    <w:rsid w:val="009D47A4"/>
    <w:rsid w:val="009D5835"/>
    <w:rsid w:val="009D63E2"/>
    <w:rsid w:val="009D64E4"/>
    <w:rsid w:val="009D6E04"/>
    <w:rsid w:val="009D7013"/>
    <w:rsid w:val="009D728F"/>
    <w:rsid w:val="009D7464"/>
    <w:rsid w:val="009D74AB"/>
    <w:rsid w:val="009D75EE"/>
    <w:rsid w:val="009D7745"/>
    <w:rsid w:val="009D7921"/>
    <w:rsid w:val="009D797E"/>
    <w:rsid w:val="009D7BDA"/>
    <w:rsid w:val="009E016B"/>
    <w:rsid w:val="009E01B4"/>
    <w:rsid w:val="009E0330"/>
    <w:rsid w:val="009E0CC5"/>
    <w:rsid w:val="009E11CC"/>
    <w:rsid w:val="009E1861"/>
    <w:rsid w:val="009E18A4"/>
    <w:rsid w:val="009E1918"/>
    <w:rsid w:val="009E1ABD"/>
    <w:rsid w:val="009E1C6B"/>
    <w:rsid w:val="009E21E2"/>
    <w:rsid w:val="009E28B4"/>
    <w:rsid w:val="009E2ED9"/>
    <w:rsid w:val="009E300D"/>
    <w:rsid w:val="009E3362"/>
    <w:rsid w:val="009E347F"/>
    <w:rsid w:val="009E3BF7"/>
    <w:rsid w:val="009E3DC0"/>
    <w:rsid w:val="009E3E30"/>
    <w:rsid w:val="009E4034"/>
    <w:rsid w:val="009E44ED"/>
    <w:rsid w:val="009E487C"/>
    <w:rsid w:val="009E4B15"/>
    <w:rsid w:val="009E4E0B"/>
    <w:rsid w:val="009E50A9"/>
    <w:rsid w:val="009E50E2"/>
    <w:rsid w:val="009E516A"/>
    <w:rsid w:val="009E51EB"/>
    <w:rsid w:val="009E52A8"/>
    <w:rsid w:val="009E55BF"/>
    <w:rsid w:val="009E56D8"/>
    <w:rsid w:val="009E59F3"/>
    <w:rsid w:val="009E60E8"/>
    <w:rsid w:val="009E6642"/>
    <w:rsid w:val="009E6CC2"/>
    <w:rsid w:val="009E6FE6"/>
    <w:rsid w:val="009E7638"/>
    <w:rsid w:val="009E7813"/>
    <w:rsid w:val="009E7A80"/>
    <w:rsid w:val="009F0C5E"/>
    <w:rsid w:val="009F0E9C"/>
    <w:rsid w:val="009F1D61"/>
    <w:rsid w:val="009F2407"/>
    <w:rsid w:val="009F266C"/>
    <w:rsid w:val="009F3510"/>
    <w:rsid w:val="009F38CB"/>
    <w:rsid w:val="009F3B3F"/>
    <w:rsid w:val="009F3B82"/>
    <w:rsid w:val="009F3C87"/>
    <w:rsid w:val="009F3D31"/>
    <w:rsid w:val="009F4813"/>
    <w:rsid w:val="009F4A4A"/>
    <w:rsid w:val="009F4A8C"/>
    <w:rsid w:val="009F4EE5"/>
    <w:rsid w:val="009F510D"/>
    <w:rsid w:val="009F5AA9"/>
    <w:rsid w:val="009F5F6A"/>
    <w:rsid w:val="009F61FF"/>
    <w:rsid w:val="009F6211"/>
    <w:rsid w:val="009F6A78"/>
    <w:rsid w:val="009F6E98"/>
    <w:rsid w:val="009F6FA5"/>
    <w:rsid w:val="009F7198"/>
    <w:rsid w:val="009F7226"/>
    <w:rsid w:val="009F7661"/>
    <w:rsid w:val="009F79C4"/>
    <w:rsid w:val="009F7C46"/>
    <w:rsid w:val="009F7D52"/>
    <w:rsid w:val="00A006B2"/>
    <w:rsid w:val="00A0099F"/>
    <w:rsid w:val="00A00C66"/>
    <w:rsid w:val="00A01521"/>
    <w:rsid w:val="00A021CD"/>
    <w:rsid w:val="00A027B5"/>
    <w:rsid w:val="00A02DE2"/>
    <w:rsid w:val="00A02E54"/>
    <w:rsid w:val="00A03019"/>
    <w:rsid w:val="00A0316E"/>
    <w:rsid w:val="00A034B4"/>
    <w:rsid w:val="00A0358C"/>
    <w:rsid w:val="00A03A41"/>
    <w:rsid w:val="00A03C84"/>
    <w:rsid w:val="00A03D51"/>
    <w:rsid w:val="00A03FA1"/>
    <w:rsid w:val="00A04133"/>
    <w:rsid w:val="00A044D3"/>
    <w:rsid w:val="00A0463C"/>
    <w:rsid w:val="00A048DF"/>
    <w:rsid w:val="00A04A3F"/>
    <w:rsid w:val="00A050B4"/>
    <w:rsid w:val="00A052AC"/>
    <w:rsid w:val="00A0569F"/>
    <w:rsid w:val="00A057EE"/>
    <w:rsid w:val="00A058A8"/>
    <w:rsid w:val="00A05927"/>
    <w:rsid w:val="00A0597B"/>
    <w:rsid w:val="00A059D7"/>
    <w:rsid w:val="00A05E38"/>
    <w:rsid w:val="00A05F6A"/>
    <w:rsid w:val="00A06C9E"/>
    <w:rsid w:val="00A06EEB"/>
    <w:rsid w:val="00A07C3B"/>
    <w:rsid w:val="00A07DAB"/>
    <w:rsid w:val="00A1086F"/>
    <w:rsid w:val="00A109A0"/>
    <w:rsid w:val="00A10F23"/>
    <w:rsid w:val="00A114C6"/>
    <w:rsid w:val="00A116BF"/>
    <w:rsid w:val="00A11EA2"/>
    <w:rsid w:val="00A11F24"/>
    <w:rsid w:val="00A122D0"/>
    <w:rsid w:val="00A125BA"/>
    <w:rsid w:val="00A12CD2"/>
    <w:rsid w:val="00A13406"/>
    <w:rsid w:val="00A134E6"/>
    <w:rsid w:val="00A13FA0"/>
    <w:rsid w:val="00A141DD"/>
    <w:rsid w:val="00A1498C"/>
    <w:rsid w:val="00A15413"/>
    <w:rsid w:val="00A154C8"/>
    <w:rsid w:val="00A15722"/>
    <w:rsid w:val="00A1578B"/>
    <w:rsid w:val="00A15839"/>
    <w:rsid w:val="00A15880"/>
    <w:rsid w:val="00A15A94"/>
    <w:rsid w:val="00A16141"/>
    <w:rsid w:val="00A16793"/>
    <w:rsid w:val="00A16D9F"/>
    <w:rsid w:val="00A16DB6"/>
    <w:rsid w:val="00A171A9"/>
    <w:rsid w:val="00A174E2"/>
    <w:rsid w:val="00A17898"/>
    <w:rsid w:val="00A20233"/>
    <w:rsid w:val="00A2028C"/>
    <w:rsid w:val="00A20656"/>
    <w:rsid w:val="00A20AB7"/>
    <w:rsid w:val="00A2104B"/>
    <w:rsid w:val="00A21E06"/>
    <w:rsid w:val="00A21FCA"/>
    <w:rsid w:val="00A22250"/>
    <w:rsid w:val="00A222A5"/>
    <w:rsid w:val="00A22612"/>
    <w:rsid w:val="00A226F4"/>
    <w:rsid w:val="00A22735"/>
    <w:rsid w:val="00A2284A"/>
    <w:rsid w:val="00A22A8F"/>
    <w:rsid w:val="00A22C1D"/>
    <w:rsid w:val="00A22D7E"/>
    <w:rsid w:val="00A235DA"/>
    <w:rsid w:val="00A23943"/>
    <w:rsid w:val="00A23980"/>
    <w:rsid w:val="00A23B25"/>
    <w:rsid w:val="00A25098"/>
    <w:rsid w:val="00A25646"/>
    <w:rsid w:val="00A25B35"/>
    <w:rsid w:val="00A25C21"/>
    <w:rsid w:val="00A25F55"/>
    <w:rsid w:val="00A26097"/>
    <w:rsid w:val="00A2629D"/>
    <w:rsid w:val="00A26740"/>
    <w:rsid w:val="00A26F9B"/>
    <w:rsid w:val="00A27684"/>
    <w:rsid w:val="00A27791"/>
    <w:rsid w:val="00A278B2"/>
    <w:rsid w:val="00A3043C"/>
    <w:rsid w:val="00A30578"/>
    <w:rsid w:val="00A309AA"/>
    <w:rsid w:val="00A30D48"/>
    <w:rsid w:val="00A31B40"/>
    <w:rsid w:val="00A31DCF"/>
    <w:rsid w:val="00A31FB6"/>
    <w:rsid w:val="00A32410"/>
    <w:rsid w:val="00A3275D"/>
    <w:rsid w:val="00A32C13"/>
    <w:rsid w:val="00A32CFA"/>
    <w:rsid w:val="00A32FEF"/>
    <w:rsid w:val="00A331B7"/>
    <w:rsid w:val="00A343C6"/>
    <w:rsid w:val="00A347B1"/>
    <w:rsid w:val="00A356F0"/>
    <w:rsid w:val="00A35C1C"/>
    <w:rsid w:val="00A3620B"/>
    <w:rsid w:val="00A362D8"/>
    <w:rsid w:val="00A3637A"/>
    <w:rsid w:val="00A363C2"/>
    <w:rsid w:val="00A36AC3"/>
    <w:rsid w:val="00A36C53"/>
    <w:rsid w:val="00A3748F"/>
    <w:rsid w:val="00A37982"/>
    <w:rsid w:val="00A37D7F"/>
    <w:rsid w:val="00A40337"/>
    <w:rsid w:val="00A409F2"/>
    <w:rsid w:val="00A41270"/>
    <w:rsid w:val="00A415B9"/>
    <w:rsid w:val="00A416FA"/>
    <w:rsid w:val="00A417F3"/>
    <w:rsid w:val="00A41B6F"/>
    <w:rsid w:val="00A42AB7"/>
    <w:rsid w:val="00A42FE3"/>
    <w:rsid w:val="00A43754"/>
    <w:rsid w:val="00A43A2B"/>
    <w:rsid w:val="00A43E97"/>
    <w:rsid w:val="00A44263"/>
    <w:rsid w:val="00A446F0"/>
    <w:rsid w:val="00A44B53"/>
    <w:rsid w:val="00A44DC6"/>
    <w:rsid w:val="00A44E69"/>
    <w:rsid w:val="00A450D1"/>
    <w:rsid w:val="00A451DA"/>
    <w:rsid w:val="00A4556C"/>
    <w:rsid w:val="00A455EC"/>
    <w:rsid w:val="00A45C01"/>
    <w:rsid w:val="00A460EB"/>
    <w:rsid w:val="00A462D6"/>
    <w:rsid w:val="00A463D6"/>
    <w:rsid w:val="00A465ED"/>
    <w:rsid w:val="00A46912"/>
    <w:rsid w:val="00A4788A"/>
    <w:rsid w:val="00A47D00"/>
    <w:rsid w:val="00A50664"/>
    <w:rsid w:val="00A50869"/>
    <w:rsid w:val="00A50A04"/>
    <w:rsid w:val="00A50EBE"/>
    <w:rsid w:val="00A510CE"/>
    <w:rsid w:val="00A51A6D"/>
    <w:rsid w:val="00A51B8D"/>
    <w:rsid w:val="00A5241F"/>
    <w:rsid w:val="00A52494"/>
    <w:rsid w:val="00A53CAD"/>
    <w:rsid w:val="00A53D62"/>
    <w:rsid w:val="00A53E9C"/>
    <w:rsid w:val="00A542A7"/>
    <w:rsid w:val="00A54FE1"/>
    <w:rsid w:val="00A557A4"/>
    <w:rsid w:val="00A55F67"/>
    <w:rsid w:val="00A560F4"/>
    <w:rsid w:val="00A569CF"/>
    <w:rsid w:val="00A56CE8"/>
    <w:rsid w:val="00A56DE3"/>
    <w:rsid w:val="00A56E84"/>
    <w:rsid w:val="00A5748A"/>
    <w:rsid w:val="00A575D7"/>
    <w:rsid w:val="00A57B46"/>
    <w:rsid w:val="00A60774"/>
    <w:rsid w:val="00A608AF"/>
    <w:rsid w:val="00A60E46"/>
    <w:rsid w:val="00A6115C"/>
    <w:rsid w:val="00A627E2"/>
    <w:rsid w:val="00A63221"/>
    <w:rsid w:val="00A63361"/>
    <w:rsid w:val="00A6336A"/>
    <w:rsid w:val="00A633B0"/>
    <w:rsid w:val="00A63638"/>
    <w:rsid w:val="00A6382F"/>
    <w:rsid w:val="00A645DD"/>
    <w:rsid w:val="00A6465A"/>
    <w:rsid w:val="00A649F0"/>
    <w:rsid w:val="00A652CF"/>
    <w:rsid w:val="00A65517"/>
    <w:rsid w:val="00A65552"/>
    <w:rsid w:val="00A65614"/>
    <w:rsid w:val="00A65EC0"/>
    <w:rsid w:val="00A66131"/>
    <w:rsid w:val="00A66527"/>
    <w:rsid w:val="00A669C0"/>
    <w:rsid w:val="00A66FDF"/>
    <w:rsid w:val="00A672D6"/>
    <w:rsid w:val="00A6750E"/>
    <w:rsid w:val="00A7044F"/>
    <w:rsid w:val="00A7062A"/>
    <w:rsid w:val="00A70878"/>
    <w:rsid w:val="00A7087A"/>
    <w:rsid w:val="00A70AE6"/>
    <w:rsid w:val="00A70C1E"/>
    <w:rsid w:val="00A70FE4"/>
    <w:rsid w:val="00A711DB"/>
    <w:rsid w:val="00A71492"/>
    <w:rsid w:val="00A717B3"/>
    <w:rsid w:val="00A7180E"/>
    <w:rsid w:val="00A71DE7"/>
    <w:rsid w:val="00A722A6"/>
    <w:rsid w:val="00A732AB"/>
    <w:rsid w:val="00A73881"/>
    <w:rsid w:val="00A73C57"/>
    <w:rsid w:val="00A74ED7"/>
    <w:rsid w:val="00A750CC"/>
    <w:rsid w:val="00A75267"/>
    <w:rsid w:val="00A75562"/>
    <w:rsid w:val="00A75D32"/>
    <w:rsid w:val="00A75F4A"/>
    <w:rsid w:val="00A76257"/>
    <w:rsid w:val="00A763B1"/>
    <w:rsid w:val="00A76B3C"/>
    <w:rsid w:val="00A76F97"/>
    <w:rsid w:val="00A772AF"/>
    <w:rsid w:val="00A77509"/>
    <w:rsid w:val="00A776FF"/>
    <w:rsid w:val="00A77E9A"/>
    <w:rsid w:val="00A77EEF"/>
    <w:rsid w:val="00A80050"/>
    <w:rsid w:val="00A80093"/>
    <w:rsid w:val="00A80B26"/>
    <w:rsid w:val="00A80C80"/>
    <w:rsid w:val="00A80FAB"/>
    <w:rsid w:val="00A81316"/>
    <w:rsid w:val="00A814A3"/>
    <w:rsid w:val="00A814C4"/>
    <w:rsid w:val="00A815F1"/>
    <w:rsid w:val="00A816CB"/>
    <w:rsid w:val="00A82066"/>
    <w:rsid w:val="00A82313"/>
    <w:rsid w:val="00A827CF"/>
    <w:rsid w:val="00A82C94"/>
    <w:rsid w:val="00A83202"/>
    <w:rsid w:val="00A83214"/>
    <w:rsid w:val="00A83BE0"/>
    <w:rsid w:val="00A83BED"/>
    <w:rsid w:val="00A84342"/>
    <w:rsid w:val="00A8451E"/>
    <w:rsid w:val="00A849E9"/>
    <w:rsid w:val="00A85444"/>
    <w:rsid w:val="00A85858"/>
    <w:rsid w:val="00A85E1C"/>
    <w:rsid w:val="00A86131"/>
    <w:rsid w:val="00A86267"/>
    <w:rsid w:val="00A86310"/>
    <w:rsid w:val="00A865AC"/>
    <w:rsid w:val="00A8709C"/>
    <w:rsid w:val="00A871E0"/>
    <w:rsid w:val="00A8787F"/>
    <w:rsid w:val="00A9057D"/>
    <w:rsid w:val="00A908C2"/>
    <w:rsid w:val="00A90A5D"/>
    <w:rsid w:val="00A90E97"/>
    <w:rsid w:val="00A90FF3"/>
    <w:rsid w:val="00A91869"/>
    <w:rsid w:val="00A91C43"/>
    <w:rsid w:val="00A92682"/>
    <w:rsid w:val="00A9273C"/>
    <w:rsid w:val="00A93077"/>
    <w:rsid w:val="00A93118"/>
    <w:rsid w:val="00A933EF"/>
    <w:rsid w:val="00A9353B"/>
    <w:rsid w:val="00A937D7"/>
    <w:rsid w:val="00A93FFD"/>
    <w:rsid w:val="00A94378"/>
    <w:rsid w:val="00A94380"/>
    <w:rsid w:val="00A943D2"/>
    <w:rsid w:val="00A95890"/>
    <w:rsid w:val="00A958E5"/>
    <w:rsid w:val="00A95B82"/>
    <w:rsid w:val="00A95FB3"/>
    <w:rsid w:val="00A960F2"/>
    <w:rsid w:val="00A9615F"/>
    <w:rsid w:val="00A9639F"/>
    <w:rsid w:val="00A9641C"/>
    <w:rsid w:val="00A96C3A"/>
    <w:rsid w:val="00A96F94"/>
    <w:rsid w:val="00A97860"/>
    <w:rsid w:val="00A97FDB"/>
    <w:rsid w:val="00AA0D30"/>
    <w:rsid w:val="00AA0E65"/>
    <w:rsid w:val="00AA1EA2"/>
    <w:rsid w:val="00AA224E"/>
    <w:rsid w:val="00AA2934"/>
    <w:rsid w:val="00AA2AC9"/>
    <w:rsid w:val="00AA2F57"/>
    <w:rsid w:val="00AA30F9"/>
    <w:rsid w:val="00AA3470"/>
    <w:rsid w:val="00AA36C7"/>
    <w:rsid w:val="00AA375F"/>
    <w:rsid w:val="00AA3DB2"/>
    <w:rsid w:val="00AA4594"/>
    <w:rsid w:val="00AA45D1"/>
    <w:rsid w:val="00AA478F"/>
    <w:rsid w:val="00AA47BB"/>
    <w:rsid w:val="00AA4E4D"/>
    <w:rsid w:val="00AA5383"/>
    <w:rsid w:val="00AA539A"/>
    <w:rsid w:val="00AA622D"/>
    <w:rsid w:val="00AA62E2"/>
    <w:rsid w:val="00AA6402"/>
    <w:rsid w:val="00AA669D"/>
    <w:rsid w:val="00AA6CC5"/>
    <w:rsid w:val="00AA70EB"/>
    <w:rsid w:val="00AA7134"/>
    <w:rsid w:val="00AA7800"/>
    <w:rsid w:val="00AA7ABA"/>
    <w:rsid w:val="00AA7C4E"/>
    <w:rsid w:val="00AB01FE"/>
    <w:rsid w:val="00AB085A"/>
    <w:rsid w:val="00AB1448"/>
    <w:rsid w:val="00AB1985"/>
    <w:rsid w:val="00AB19F5"/>
    <w:rsid w:val="00AB1A42"/>
    <w:rsid w:val="00AB1A94"/>
    <w:rsid w:val="00AB1EEE"/>
    <w:rsid w:val="00AB208A"/>
    <w:rsid w:val="00AB220D"/>
    <w:rsid w:val="00AB2558"/>
    <w:rsid w:val="00AB291D"/>
    <w:rsid w:val="00AB2A3D"/>
    <w:rsid w:val="00AB2CF6"/>
    <w:rsid w:val="00AB2EB7"/>
    <w:rsid w:val="00AB32A0"/>
    <w:rsid w:val="00AB37FC"/>
    <w:rsid w:val="00AB3C99"/>
    <w:rsid w:val="00AB489F"/>
    <w:rsid w:val="00AB4D5B"/>
    <w:rsid w:val="00AB4F83"/>
    <w:rsid w:val="00AB52FC"/>
    <w:rsid w:val="00AB54D1"/>
    <w:rsid w:val="00AB64E7"/>
    <w:rsid w:val="00AB6689"/>
    <w:rsid w:val="00AB6C80"/>
    <w:rsid w:val="00AB6DA8"/>
    <w:rsid w:val="00AB720B"/>
    <w:rsid w:val="00AB74C3"/>
    <w:rsid w:val="00AB755A"/>
    <w:rsid w:val="00AB7A8E"/>
    <w:rsid w:val="00AC02E6"/>
    <w:rsid w:val="00AC02FD"/>
    <w:rsid w:val="00AC041E"/>
    <w:rsid w:val="00AC0FF2"/>
    <w:rsid w:val="00AC100A"/>
    <w:rsid w:val="00AC10A6"/>
    <w:rsid w:val="00AC1297"/>
    <w:rsid w:val="00AC1358"/>
    <w:rsid w:val="00AC18B0"/>
    <w:rsid w:val="00AC26B8"/>
    <w:rsid w:val="00AC2D8F"/>
    <w:rsid w:val="00AC2EA4"/>
    <w:rsid w:val="00AC2ECB"/>
    <w:rsid w:val="00AC3559"/>
    <w:rsid w:val="00AC36E3"/>
    <w:rsid w:val="00AC37F1"/>
    <w:rsid w:val="00AC3DA1"/>
    <w:rsid w:val="00AC3F19"/>
    <w:rsid w:val="00AC41CB"/>
    <w:rsid w:val="00AC41F2"/>
    <w:rsid w:val="00AC5163"/>
    <w:rsid w:val="00AC588B"/>
    <w:rsid w:val="00AC59A8"/>
    <w:rsid w:val="00AC6046"/>
    <w:rsid w:val="00AC620F"/>
    <w:rsid w:val="00AC633E"/>
    <w:rsid w:val="00AC66AE"/>
    <w:rsid w:val="00AC6C97"/>
    <w:rsid w:val="00AC6EB2"/>
    <w:rsid w:val="00AC6F68"/>
    <w:rsid w:val="00AC7DDB"/>
    <w:rsid w:val="00AC7E5C"/>
    <w:rsid w:val="00AD033F"/>
    <w:rsid w:val="00AD0651"/>
    <w:rsid w:val="00AD12B6"/>
    <w:rsid w:val="00AD1687"/>
    <w:rsid w:val="00AD19E8"/>
    <w:rsid w:val="00AD1D1C"/>
    <w:rsid w:val="00AD22C8"/>
    <w:rsid w:val="00AD25F8"/>
    <w:rsid w:val="00AD2611"/>
    <w:rsid w:val="00AD314C"/>
    <w:rsid w:val="00AD381A"/>
    <w:rsid w:val="00AD3B17"/>
    <w:rsid w:val="00AD3CA1"/>
    <w:rsid w:val="00AD3E2B"/>
    <w:rsid w:val="00AD4342"/>
    <w:rsid w:val="00AD44A0"/>
    <w:rsid w:val="00AD4A24"/>
    <w:rsid w:val="00AD5019"/>
    <w:rsid w:val="00AD50C8"/>
    <w:rsid w:val="00AD590C"/>
    <w:rsid w:val="00AD5FDE"/>
    <w:rsid w:val="00AD61B7"/>
    <w:rsid w:val="00AD677A"/>
    <w:rsid w:val="00AD6883"/>
    <w:rsid w:val="00AD6A80"/>
    <w:rsid w:val="00AD73FC"/>
    <w:rsid w:val="00AD761D"/>
    <w:rsid w:val="00AD7827"/>
    <w:rsid w:val="00AD7925"/>
    <w:rsid w:val="00AD7B6D"/>
    <w:rsid w:val="00AD7CA7"/>
    <w:rsid w:val="00AE0CD6"/>
    <w:rsid w:val="00AE1174"/>
    <w:rsid w:val="00AE1409"/>
    <w:rsid w:val="00AE14BB"/>
    <w:rsid w:val="00AE1627"/>
    <w:rsid w:val="00AE177F"/>
    <w:rsid w:val="00AE2E0A"/>
    <w:rsid w:val="00AE30E6"/>
    <w:rsid w:val="00AE33D9"/>
    <w:rsid w:val="00AE3579"/>
    <w:rsid w:val="00AE3E1E"/>
    <w:rsid w:val="00AE3F85"/>
    <w:rsid w:val="00AE4D59"/>
    <w:rsid w:val="00AE549F"/>
    <w:rsid w:val="00AE5775"/>
    <w:rsid w:val="00AE5D4E"/>
    <w:rsid w:val="00AE7545"/>
    <w:rsid w:val="00AE7A6F"/>
    <w:rsid w:val="00AE7F9A"/>
    <w:rsid w:val="00AF003A"/>
    <w:rsid w:val="00AF0173"/>
    <w:rsid w:val="00AF0468"/>
    <w:rsid w:val="00AF05B2"/>
    <w:rsid w:val="00AF0709"/>
    <w:rsid w:val="00AF0A92"/>
    <w:rsid w:val="00AF0E2B"/>
    <w:rsid w:val="00AF165F"/>
    <w:rsid w:val="00AF189E"/>
    <w:rsid w:val="00AF1D9E"/>
    <w:rsid w:val="00AF2351"/>
    <w:rsid w:val="00AF259F"/>
    <w:rsid w:val="00AF26D1"/>
    <w:rsid w:val="00AF32FF"/>
    <w:rsid w:val="00AF3B61"/>
    <w:rsid w:val="00AF3FEC"/>
    <w:rsid w:val="00AF4CCD"/>
    <w:rsid w:val="00AF4E64"/>
    <w:rsid w:val="00AF516C"/>
    <w:rsid w:val="00AF5700"/>
    <w:rsid w:val="00AF5967"/>
    <w:rsid w:val="00AF5A33"/>
    <w:rsid w:val="00AF6326"/>
    <w:rsid w:val="00AF6B89"/>
    <w:rsid w:val="00AF7B12"/>
    <w:rsid w:val="00AF7B58"/>
    <w:rsid w:val="00AF7D42"/>
    <w:rsid w:val="00B0034A"/>
    <w:rsid w:val="00B006A9"/>
    <w:rsid w:val="00B00A22"/>
    <w:rsid w:val="00B00C7C"/>
    <w:rsid w:val="00B01100"/>
    <w:rsid w:val="00B0187D"/>
    <w:rsid w:val="00B01A40"/>
    <w:rsid w:val="00B01B38"/>
    <w:rsid w:val="00B01F38"/>
    <w:rsid w:val="00B02EA4"/>
    <w:rsid w:val="00B03BE0"/>
    <w:rsid w:val="00B03E78"/>
    <w:rsid w:val="00B04094"/>
    <w:rsid w:val="00B058DC"/>
    <w:rsid w:val="00B05A2D"/>
    <w:rsid w:val="00B05A8D"/>
    <w:rsid w:val="00B05E13"/>
    <w:rsid w:val="00B06026"/>
    <w:rsid w:val="00B061CD"/>
    <w:rsid w:val="00B06642"/>
    <w:rsid w:val="00B0680E"/>
    <w:rsid w:val="00B06A1A"/>
    <w:rsid w:val="00B070BE"/>
    <w:rsid w:val="00B07167"/>
    <w:rsid w:val="00B072D0"/>
    <w:rsid w:val="00B07487"/>
    <w:rsid w:val="00B076A5"/>
    <w:rsid w:val="00B07827"/>
    <w:rsid w:val="00B07A6A"/>
    <w:rsid w:val="00B10BF1"/>
    <w:rsid w:val="00B11244"/>
    <w:rsid w:val="00B1182E"/>
    <w:rsid w:val="00B11C31"/>
    <w:rsid w:val="00B11CC4"/>
    <w:rsid w:val="00B11F5E"/>
    <w:rsid w:val="00B12D95"/>
    <w:rsid w:val="00B1352D"/>
    <w:rsid w:val="00B13746"/>
    <w:rsid w:val="00B13929"/>
    <w:rsid w:val="00B13E10"/>
    <w:rsid w:val="00B13F15"/>
    <w:rsid w:val="00B13F63"/>
    <w:rsid w:val="00B14D63"/>
    <w:rsid w:val="00B15101"/>
    <w:rsid w:val="00B15140"/>
    <w:rsid w:val="00B1554E"/>
    <w:rsid w:val="00B15D93"/>
    <w:rsid w:val="00B15E42"/>
    <w:rsid w:val="00B162CE"/>
    <w:rsid w:val="00B16A10"/>
    <w:rsid w:val="00B16E10"/>
    <w:rsid w:val="00B17881"/>
    <w:rsid w:val="00B17A9A"/>
    <w:rsid w:val="00B20177"/>
    <w:rsid w:val="00B208E3"/>
    <w:rsid w:val="00B20B98"/>
    <w:rsid w:val="00B20C0B"/>
    <w:rsid w:val="00B20E27"/>
    <w:rsid w:val="00B213B0"/>
    <w:rsid w:val="00B21468"/>
    <w:rsid w:val="00B218EF"/>
    <w:rsid w:val="00B21F1D"/>
    <w:rsid w:val="00B2260D"/>
    <w:rsid w:val="00B22835"/>
    <w:rsid w:val="00B23315"/>
    <w:rsid w:val="00B2348D"/>
    <w:rsid w:val="00B234E0"/>
    <w:rsid w:val="00B23A3B"/>
    <w:rsid w:val="00B23FFB"/>
    <w:rsid w:val="00B241A6"/>
    <w:rsid w:val="00B2459E"/>
    <w:rsid w:val="00B24C9D"/>
    <w:rsid w:val="00B24EA7"/>
    <w:rsid w:val="00B25739"/>
    <w:rsid w:val="00B25A04"/>
    <w:rsid w:val="00B260F9"/>
    <w:rsid w:val="00B260FF"/>
    <w:rsid w:val="00B26739"/>
    <w:rsid w:val="00B26C05"/>
    <w:rsid w:val="00B26C71"/>
    <w:rsid w:val="00B26CD5"/>
    <w:rsid w:val="00B2732C"/>
    <w:rsid w:val="00B304E9"/>
    <w:rsid w:val="00B30847"/>
    <w:rsid w:val="00B30A55"/>
    <w:rsid w:val="00B30B77"/>
    <w:rsid w:val="00B30EEF"/>
    <w:rsid w:val="00B31996"/>
    <w:rsid w:val="00B31D87"/>
    <w:rsid w:val="00B32064"/>
    <w:rsid w:val="00B321C2"/>
    <w:rsid w:val="00B3235C"/>
    <w:rsid w:val="00B323B8"/>
    <w:rsid w:val="00B3287C"/>
    <w:rsid w:val="00B32F9A"/>
    <w:rsid w:val="00B337D8"/>
    <w:rsid w:val="00B33A50"/>
    <w:rsid w:val="00B33BEF"/>
    <w:rsid w:val="00B33FFD"/>
    <w:rsid w:val="00B34004"/>
    <w:rsid w:val="00B3442B"/>
    <w:rsid w:val="00B34B2C"/>
    <w:rsid w:val="00B34B8B"/>
    <w:rsid w:val="00B34C9E"/>
    <w:rsid w:val="00B34FB4"/>
    <w:rsid w:val="00B3505D"/>
    <w:rsid w:val="00B350A6"/>
    <w:rsid w:val="00B353A5"/>
    <w:rsid w:val="00B35473"/>
    <w:rsid w:val="00B35AE8"/>
    <w:rsid w:val="00B369FA"/>
    <w:rsid w:val="00B36B93"/>
    <w:rsid w:val="00B371A0"/>
    <w:rsid w:val="00B378A6"/>
    <w:rsid w:val="00B37A5E"/>
    <w:rsid w:val="00B4043F"/>
    <w:rsid w:val="00B404AB"/>
    <w:rsid w:val="00B40B1E"/>
    <w:rsid w:val="00B41952"/>
    <w:rsid w:val="00B41B16"/>
    <w:rsid w:val="00B41B22"/>
    <w:rsid w:val="00B41B5E"/>
    <w:rsid w:val="00B41CE3"/>
    <w:rsid w:val="00B41E6D"/>
    <w:rsid w:val="00B42387"/>
    <w:rsid w:val="00B428B9"/>
    <w:rsid w:val="00B42A0B"/>
    <w:rsid w:val="00B42F6B"/>
    <w:rsid w:val="00B442CB"/>
    <w:rsid w:val="00B447F5"/>
    <w:rsid w:val="00B449EA"/>
    <w:rsid w:val="00B44E91"/>
    <w:rsid w:val="00B44F46"/>
    <w:rsid w:val="00B44F4C"/>
    <w:rsid w:val="00B45015"/>
    <w:rsid w:val="00B450A4"/>
    <w:rsid w:val="00B4593E"/>
    <w:rsid w:val="00B45EE4"/>
    <w:rsid w:val="00B4607B"/>
    <w:rsid w:val="00B4623E"/>
    <w:rsid w:val="00B47199"/>
    <w:rsid w:val="00B47A07"/>
    <w:rsid w:val="00B50D1D"/>
    <w:rsid w:val="00B50FBC"/>
    <w:rsid w:val="00B51175"/>
    <w:rsid w:val="00B51210"/>
    <w:rsid w:val="00B512EF"/>
    <w:rsid w:val="00B51603"/>
    <w:rsid w:val="00B5166D"/>
    <w:rsid w:val="00B51761"/>
    <w:rsid w:val="00B51C94"/>
    <w:rsid w:val="00B52232"/>
    <w:rsid w:val="00B5224B"/>
    <w:rsid w:val="00B52973"/>
    <w:rsid w:val="00B52D83"/>
    <w:rsid w:val="00B53328"/>
    <w:rsid w:val="00B533CB"/>
    <w:rsid w:val="00B53634"/>
    <w:rsid w:val="00B53E2F"/>
    <w:rsid w:val="00B5417D"/>
    <w:rsid w:val="00B541E6"/>
    <w:rsid w:val="00B5445C"/>
    <w:rsid w:val="00B545FE"/>
    <w:rsid w:val="00B547AB"/>
    <w:rsid w:val="00B54862"/>
    <w:rsid w:val="00B54946"/>
    <w:rsid w:val="00B54BC0"/>
    <w:rsid w:val="00B55367"/>
    <w:rsid w:val="00B559B0"/>
    <w:rsid w:val="00B563CA"/>
    <w:rsid w:val="00B56510"/>
    <w:rsid w:val="00B56BCB"/>
    <w:rsid w:val="00B57650"/>
    <w:rsid w:val="00B576E4"/>
    <w:rsid w:val="00B6006F"/>
    <w:rsid w:val="00B602C9"/>
    <w:rsid w:val="00B60579"/>
    <w:rsid w:val="00B6087E"/>
    <w:rsid w:val="00B6093B"/>
    <w:rsid w:val="00B60E58"/>
    <w:rsid w:val="00B6126B"/>
    <w:rsid w:val="00B616B8"/>
    <w:rsid w:val="00B61C20"/>
    <w:rsid w:val="00B61C74"/>
    <w:rsid w:val="00B622A0"/>
    <w:rsid w:val="00B62313"/>
    <w:rsid w:val="00B62560"/>
    <w:rsid w:val="00B62B44"/>
    <w:rsid w:val="00B634E1"/>
    <w:rsid w:val="00B637A1"/>
    <w:rsid w:val="00B63892"/>
    <w:rsid w:val="00B641CA"/>
    <w:rsid w:val="00B644C7"/>
    <w:rsid w:val="00B644D0"/>
    <w:rsid w:val="00B64958"/>
    <w:rsid w:val="00B64A33"/>
    <w:rsid w:val="00B65414"/>
    <w:rsid w:val="00B65513"/>
    <w:rsid w:val="00B656EE"/>
    <w:rsid w:val="00B65B02"/>
    <w:rsid w:val="00B65B25"/>
    <w:rsid w:val="00B65D39"/>
    <w:rsid w:val="00B662A3"/>
    <w:rsid w:val="00B663A7"/>
    <w:rsid w:val="00B66660"/>
    <w:rsid w:val="00B66AB4"/>
    <w:rsid w:val="00B6756B"/>
    <w:rsid w:val="00B677D8"/>
    <w:rsid w:val="00B67EFA"/>
    <w:rsid w:val="00B702A5"/>
    <w:rsid w:val="00B7060C"/>
    <w:rsid w:val="00B70CDE"/>
    <w:rsid w:val="00B715D5"/>
    <w:rsid w:val="00B72AD8"/>
    <w:rsid w:val="00B72B80"/>
    <w:rsid w:val="00B73884"/>
    <w:rsid w:val="00B743EF"/>
    <w:rsid w:val="00B7496C"/>
    <w:rsid w:val="00B75044"/>
    <w:rsid w:val="00B7590F"/>
    <w:rsid w:val="00B75DF1"/>
    <w:rsid w:val="00B767CA"/>
    <w:rsid w:val="00B76C02"/>
    <w:rsid w:val="00B76CC6"/>
    <w:rsid w:val="00B76CD5"/>
    <w:rsid w:val="00B76D00"/>
    <w:rsid w:val="00B77661"/>
    <w:rsid w:val="00B77862"/>
    <w:rsid w:val="00B77985"/>
    <w:rsid w:val="00B80B4D"/>
    <w:rsid w:val="00B80E15"/>
    <w:rsid w:val="00B81065"/>
    <w:rsid w:val="00B81CCC"/>
    <w:rsid w:val="00B81EE5"/>
    <w:rsid w:val="00B82463"/>
    <w:rsid w:val="00B82650"/>
    <w:rsid w:val="00B82725"/>
    <w:rsid w:val="00B829E8"/>
    <w:rsid w:val="00B82A68"/>
    <w:rsid w:val="00B8305B"/>
    <w:rsid w:val="00B83459"/>
    <w:rsid w:val="00B8442E"/>
    <w:rsid w:val="00B8457E"/>
    <w:rsid w:val="00B846A4"/>
    <w:rsid w:val="00B8543A"/>
    <w:rsid w:val="00B85892"/>
    <w:rsid w:val="00B85D57"/>
    <w:rsid w:val="00B8602E"/>
    <w:rsid w:val="00B86137"/>
    <w:rsid w:val="00B86635"/>
    <w:rsid w:val="00B86FBD"/>
    <w:rsid w:val="00B8775C"/>
    <w:rsid w:val="00B877F5"/>
    <w:rsid w:val="00B8789E"/>
    <w:rsid w:val="00B904FC"/>
    <w:rsid w:val="00B90E6E"/>
    <w:rsid w:val="00B91554"/>
    <w:rsid w:val="00B9166E"/>
    <w:rsid w:val="00B91777"/>
    <w:rsid w:val="00B9212B"/>
    <w:rsid w:val="00B922C3"/>
    <w:rsid w:val="00B9238C"/>
    <w:rsid w:val="00B92392"/>
    <w:rsid w:val="00B92AFD"/>
    <w:rsid w:val="00B92D1A"/>
    <w:rsid w:val="00B92EF1"/>
    <w:rsid w:val="00B93BAB"/>
    <w:rsid w:val="00B93F34"/>
    <w:rsid w:val="00B94015"/>
    <w:rsid w:val="00B9407E"/>
    <w:rsid w:val="00B941F3"/>
    <w:rsid w:val="00B9446B"/>
    <w:rsid w:val="00B9475F"/>
    <w:rsid w:val="00B949F4"/>
    <w:rsid w:val="00B952F7"/>
    <w:rsid w:val="00B95371"/>
    <w:rsid w:val="00B953A5"/>
    <w:rsid w:val="00B95630"/>
    <w:rsid w:val="00B95784"/>
    <w:rsid w:val="00B95971"/>
    <w:rsid w:val="00B95F12"/>
    <w:rsid w:val="00B96108"/>
    <w:rsid w:val="00B9626F"/>
    <w:rsid w:val="00B9669D"/>
    <w:rsid w:val="00B967DC"/>
    <w:rsid w:val="00B96865"/>
    <w:rsid w:val="00B97362"/>
    <w:rsid w:val="00B9754A"/>
    <w:rsid w:val="00B9777D"/>
    <w:rsid w:val="00B97885"/>
    <w:rsid w:val="00B97EC8"/>
    <w:rsid w:val="00BA001E"/>
    <w:rsid w:val="00BA034A"/>
    <w:rsid w:val="00BA0925"/>
    <w:rsid w:val="00BA0CF3"/>
    <w:rsid w:val="00BA127B"/>
    <w:rsid w:val="00BA181C"/>
    <w:rsid w:val="00BA19FF"/>
    <w:rsid w:val="00BA1E1E"/>
    <w:rsid w:val="00BA1F45"/>
    <w:rsid w:val="00BA2563"/>
    <w:rsid w:val="00BA273F"/>
    <w:rsid w:val="00BA37C9"/>
    <w:rsid w:val="00BA37DF"/>
    <w:rsid w:val="00BA3AC0"/>
    <w:rsid w:val="00BA3D17"/>
    <w:rsid w:val="00BA3D48"/>
    <w:rsid w:val="00BA44A1"/>
    <w:rsid w:val="00BA5004"/>
    <w:rsid w:val="00BA52A3"/>
    <w:rsid w:val="00BA583E"/>
    <w:rsid w:val="00BA5F16"/>
    <w:rsid w:val="00BA6CC8"/>
    <w:rsid w:val="00BA7059"/>
    <w:rsid w:val="00BA7312"/>
    <w:rsid w:val="00BA7E96"/>
    <w:rsid w:val="00BA7F74"/>
    <w:rsid w:val="00BB0E47"/>
    <w:rsid w:val="00BB10DC"/>
    <w:rsid w:val="00BB14D6"/>
    <w:rsid w:val="00BB19EF"/>
    <w:rsid w:val="00BB1ACC"/>
    <w:rsid w:val="00BB2441"/>
    <w:rsid w:val="00BB30E7"/>
    <w:rsid w:val="00BB3CC6"/>
    <w:rsid w:val="00BB42B0"/>
    <w:rsid w:val="00BB435E"/>
    <w:rsid w:val="00BB46CA"/>
    <w:rsid w:val="00BB477E"/>
    <w:rsid w:val="00BB4972"/>
    <w:rsid w:val="00BB542C"/>
    <w:rsid w:val="00BB5518"/>
    <w:rsid w:val="00BB569D"/>
    <w:rsid w:val="00BB5AD0"/>
    <w:rsid w:val="00BB6156"/>
    <w:rsid w:val="00BB63D8"/>
    <w:rsid w:val="00BB68DC"/>
    <w:rsid w:val="00BB782C"/>
    <w:rsid w:val="00BB78E0"/>
    <w:rsid w:val="00BC0152"/>
    <w:rsid w:val="00BC08C2"/>
    <w:rsid w:val="00BC09FD"/>
    <w:rsid w:val="00BC0DF3"/>
    <w:rsid w:val="00BC0F2F"/>
    <w:rsid w:val="00BC15D3"/>
    <w:rsid w:val="00BC1671"/>
    <w:rsid w:val="00BC16EA"/>
    <w:rsid w:val="00BC1951"/>
    <w:rsid w:val="00BC19BF"/>
    <w:rsid w:val="00BC1DD3"/>
    <w:rsid w:val="00BC21ED"/>
    <w:rsid w:val="00BC2881"/>
    <w:rsid w:val="00BC288D"/>
    <w:rsid w:val="00BC28E6"/>
    <w:rsid w:val="00BC2C9E"/>
    <w:rsid w:val="00BC30B6"/>
    <w:rsid w:val="00BC33A6"/>
    <w:rsid w:val="00BC38EE"/>
    <w:rsid w:val="00BC415E"/>
    <w:rsid w:val="00BC46A8"/>
    <w:rsid w:val="00BC4B32"/>
    <w:rsid w:val="00BC51D7"/>
    <w:rsid w:val="00BC576E"/>
    <w:rsid w:val="00BC5A5B"/>
    <w:rsid w:val="00BC5FD2"/>
    <w:rsid w:val="00BC6006"/>
    <w:rsid w:val="00BC648A"/>
    <w:rsid w:val="00BC6905"/>
    <w:rsid w:val="00BC6ADB"/>
    <w:rsid w:val="00BC6D4D"/>
    <w:rsid w:val="00BC762F"/>
    <w:rsid w:val="00BC787D"/>
    <w:rsid w:val="00BC7E9C"/>
    <w:rsid w:val="00BC7F7E"/>
    <w:rsid w:val="00BD001F"/>
    <w:rsid w:val="00BD05AD"/>
    <w:rsid w:val="00BD07C7"/>
    <w:rsid w:val="00BD0A7F"/>
    <w:rsid w:val="00BD1009"/>
    <w:rsid w:val="00BD1138"/>
    <w:rsid w:val="00BD13CA"/>
    <w:rsid w:val="00BD13D6"/>
    <w:rsid w:val="00BD1440"/>
    <w:rsid w:val="00BD16DC"/>
    <w:rsid w:val="00BD18C4"/>
    <w:rsid w:val="00BD1E94"/>
    <w:rsid w:val="00BD2346"/>
    <w:rsid w:val="00BD26E7"/>
    <w:rsid w:val="00BD37E4"/>
    <w:rsid w:val="00BD4661"/>
    <w:rsid w:val="00BD4BDB"/>
    <w:rsid w:val="00BD4F91"/>
    <w:rsid w:val="00BD5565"/>
    <w:rsid w:val="00BD6482"/>
    <w:rsid w:val="00BD6877"/>
    <w:rsid w:val="00BD68C1"/>
    <w:rsid w:val="00BD7015"/>
    <w:rsid w:val="00BD78EC"/>
    <w:rsid w:val="00BE042E"/>
    <w:rsid w:val="00BE050E"/>
    <w:rsid w:val="00BE08C4"/>
    <w:rsid w:val="00BE2173"/>
    <w:rsid w:val="00BE2FDA"/>
    <w:rsid w:val="00BE308F"/>
    <w:rsid w:val="00BE343B"/>
    <w:rsid w:val="00BE3543"/>
    <w:rsid w:val="00BE36F3"/>
    <w:rsid w:val="00BE42B5"/>
    <w:rsid w:val="00BE44AB"/>
    <w:rsid w:val="00BE5016"/>
    <w:rsid w:val="00BE59EC"/>
    <w:rsid w:val="00BE5B29"/>
    <w:rsid w:val="00BE5EF3"/>
    <w:rsid w:val="00BE5F54"/>
    <w:rsid w:val="00BE62D6"/>
    <w:rsid w:val="00BE666B"/>
    <w:rsid w:val="00BE7527"/>
    <w:rsid w:val="00BE7696"/>
    <w:rsid w:val="00BF0229"/>
    <w:rsid w:val="00BF042C"/>
    <w:rsid w:val="00BF0611"/>
    <w:rsid w:val="00BF0738"/>
    <w:rsid w:val="00BF0833"/>
    <w:rsid w:val="00BF09F8"/>
    <w:rsid w:val="00BF1601"/>
    <w:rsid w:val="00BF1879"/>
    <w:rsid w:val="00BF2269"/>
    <w:rsid w:val="00BF247C"/>
    <w:rsid w:val="00BF2D30"/>
    <w:rsid w:val="00BF34C4"/>
    <w:rsid w:val="00BF3A65"/>
    <w:rsid w:val="00BF3E87"/>
    <w:rsid w:val="00BF3F23"/>
    <w:rsid w:val="00BF4603"/>
    <w:rsid w:val="00BF46F6"/>
    <w:rsid w:val="00BF47BE"/>
    <w:rsid w:val="00BF4A58"/>
    <w:rsid w:val="00BF5442"/>
    <w:rsid w:val="00BF63B5"/>
    <w:rsid w:val="00BF677C"/>
    <w:rsid w:val="00BF6A2A"/>
    <w:rsid w:val="00BF6CDF"/>
    <w:rsid w:val="00BF6DCD"/>
    <w:rsid w:val="00BF7069"/>
    <w:rsid w:val="00BF740C"/>
    <w:rsid w:val="00BF79D4"/>
    <w:rsid w:val="00BF7B6C"/>
    <w:rsid w:val="00C000B3"/>
    <w:rsid w:val="00C00136"/>
    <w:rsid w:val="00C006FA"/>
    <w:rsid w:val="00C00F37"/>
    <w:rsid w:val="00C00FCB"/>
    <w:rsid w:val="00C01007"/>
    <w:rsid w:val="00C018FB"/>
    <w:rsid w:val="00C01E8C"/>
    <w:rsid w:val="00C01EF9"/>
    <w:rsid w:val="00C01F1A"/>
    <w:rsid w:val="00C0216A"/>
    <w:rsid w:val="00C02283"/>
    <w:rsid w:val="00C023B5"/>
    <w:rsid w:val="00C02506"/>
    <w:rsid w:val="00C028A4"/>
    <w:rsid w:val="00C028D7"/>
    <w:rsid w:val="00C0292B"/>
    <w:rsid w:val="00C02A77"/>
    <w:rsid w:val="00C02CD9"/>
    <w:rsid w:val="00C0317D"/>
    <w:rsid w:val="00C03CDC"/>
    <w:rsid w:val="00C03E93"/>
    <w:rsid w:val="00C047F8"/>
    <w:rsid w:val="00C04B2A"/>
    <w:rsid w:val="00C04BFF"/>
    <w:rsid w:val="00C0521A"/>
    <w:rsid w:val="00C0533D"/>
    <w:rsid w:val="00C05A17"/>
    <w:rsid w:val="00C064C3"/>
    <w:rsid w:val="00C066DC"/>
    <w:rsid w:val="00C071D8"/>
    <w:rsid w:val="00C075DA"/>
    <w:rsid w:val="00C07991"/>
    <w:rsid w:val="00C07AC5"/>
    <w:rsid w:val="00C07B9B"/>
    <w:rsid w:val="00C07F56"/>
    <w:rsid w:val="00C1041D"/>
    <w:rsid w:val="00C1065B"/>
    <w:rsid w:val="00C106C4"/>
    <w:rsid w:val="00C108AF"/>
    <w:rsid w:val="00C10E23"/>
    <w:rsid w:val="00C10F23"/>
    <w:rsid w:val="00C112C6"/>
    <w:rsid w:val="00C1185F"/>
    <w:rsid w:val="00C118DD"/>
    <w:rsid w:val="00C11C2B"/>
    <w:rsid w:val="00C11CAA"/>
    <w:rsid w:val="00C11E20"/>
    <w:rsid w:val="00C12435"/>
    <w:rsid w:val="00C1247E"/>
    <w:rsid w:val="00C129F5"/>
    <w:rsid w:val="00C12CCA"/>
    <w:rsid w:val="00C1364A"/>
    <w:rsid w:val="00C13710"/>
    <w:rsid w:val="00C13805"/>
    <w:rsid w:val="00C13CA6"/>
    <w:rsid w:val="00C1450A"/>
    <w:rsid w:val="00C14836"/>
    <w:rsid w:val="00C151B3"/>
    <w:rsid w:val="00C15388"/>
    <w:rsid w:val="00C15C63"/>
    <w:rsid w:val="00C16023"/>
    <w:rsid w:val="00C16126"/>
    <w:rsid w:val="00C161E7"/>
    <w:rsid w:val="00C162AC"/>
    <w:rsid w:val="00C16361"/>
    <w:rsid w:val="00C164C5"/>
    <w:rsid w:val="00C16B86"/>
    <w:rsid w:val="00C1714C"/>
    <w:rsid w:val="00C17615"/>
    <w:rsid w:val="00C177F6"/>
    <w:rsid w:val="00C202D5"/>
    <w:rsid w:val="00C20AC3"/>
    <w:rsid w:val="00C20DFA"/>
    <w:rsid w:val="00C2132E"/>
    <w:rsid w:val="00C21409"/>
    <w:rsid w:val="00C2166D"/>
    <w:rsid w:val="00C21B62"/>
    <w:rsid w:val="00C21E36"/>
    <w:rsid w:val="00C22694"/>
    <w:rsid w:val="00C22B18"/>
    <w:rsid w:val="00C23182"/>
    <w:rsid w:val="00C23653"/>
    <w:rsid w:val="00C237B0"/>
    <w:rsid w:val="00C2388C"/>
    <w:rsid w:val="00C24ABF"/>
    <w:rsid w:val="00C24B25"/>
    <w:rsid w:val="00C2523C"/>
    <w:rsid w:val="00C25454"/>
    <w:rsid w:val="00C25EF8"/>
    <w:rsid w:val="00C25F9A"/>
    <w:rsid w:val="00C26255"/>
    <w:rsid w:val="00C2657C"/>
    <w:rsid w:val="00C2660C"/>
    <w:rsid w:val="00C26B55"/>
    <w:rsid w:val="00C276AD"/>
    <w:rsid w:val="00C27BA9"/>
    <w:rsid w:val="00C27D69"/>
    <w:rsid w:val="00C308B1"/>
    <w:rsid w:val="00C30D3E"/>
    <w:rsid w:val="00C30F4E"/>
    <w:rsid w:val="00C314B1"/>
    <w:rsid w:val="00C3170F"/>
    <w:rsid w:val="00C31870"/>
    <w:rsid w:val="00C31B48"/>
    <w:rsid w:val="00C32101"/>
    <w:rsid w:val="00C32201"/>
    <w:rsid w:val="00C32428"/>
    <w:rsid w:val="00C32468"/>
    <w:rsid w:val="00C328D7"/>
    <w:rsid w:val="00C32EDA"/>
    <w:rsid w:val="00C32F37"/>
    <w:rsid w:val="00C33087"/>
    <w:rsid w:val="00C33726"/>
    <w:rsid w:val="00C342D1"/>
    <w:rsid w:val="00C34A1F"/>
    <w:rsid w:val="00C34D46"/>
    <w:rsid w:val="00C35018"/>
    <w:rsid w:val="00C35331"/>
    <w:rsid w:val="00C35356"/>
    <w:rsid w:val="00C35D13"/>
    <w:rsid w:val="00C35ED4"/>
    <w:rsid w:val="00C3641B"/>
    <w:rsid w:val="00C3644C"/>
    <w:rsid w:val="00C3655A"/>
    <w:rsid w:val="00C366CF"/>
    <w:rsid w:val="00C36DA3"/>
    <w:rsid w:val="00C37268"/>
    <w:rsid w:val="00C3735B"/>
    <w:rsid w:val="00C37B56"/>
    <w:rsid w:val="00C37DF3"/>
    <w:rsid w:val="00C40353"/>
    <w:rsid w:val="00C40599"/>
    <w:rsid w:val="00C4073F"/>
    <w:rsid w:val="00C40969"/>
    <w:rsid w:val="00C40B8C"/>
    <w:rsid w:val="00C41C13"/>
    <w:rsid w:val="00C41FFA"/>
    <w:rsid w:val="00C42336"/>
    <w:rsid w:val="00C425F0"/>
    <w:rsid w:val="00C42FBC"/>
    <w:rsid w:val="00C432FF"/>
    <w:rsid w:val="00C436FB"/>
    <w:rsid w:val="00C43D22"/>
    <w:rsid w:val="00C440DA"/>
    <w:rsid w:val="00C440EF"/>
    <w:rsid w:val="00C44530"/>
    <w:rsid w:val="00C452D7"/>
    <w:rsid w:val="00C4614B"/>
    <w:rsid w:val="00C46B15"/>
    <w:rsid w:val="00C46CBA"/>
    <w:rsid w:val="00C46CFD"/>
    <w:rsid w:val="00C46EB0"/>
    <w:rsid w:val="00C476D8"/>
    <w:rsid w:val="00C47B7A"/>
    <w:rsid w:val="00C50AC8"/>
    <w:rsid w:val="00C50C37"/>
    <w:rsid w:val="00C51045"/>
    <w:rsid w:val="00C5124B"/>
    <w:rsid w:val="00C51275"/>
    <w:rsid w:val="00C51B4C"/>
    <w:rsid w:val="00C51DBE"/>
    <w:rsid w:val="00C51F85"/>
    <w:rsid w:val="00C521B0"/>
    <w:rsid w:val="00C5229B"/>
    <w:rsid w:val="00C529C2"/>
    <w:rsid w:val="00C52D8D"/>
    <w:rsid w:val="00C52EE0"/>
    <w:rsid w:val="00C53610"/>
    <w:rsid w:val="00C5365A"/>
    <w:rsid w:val="00C5385B"/>
    <w:rsid w:val="00C53E29"/>
    <w:rsid w:val="00C53F82"/>
    <w:rsid w:val="00C544FC"/>
    <w:rsid w:val="00C54641"/>
    <w:rsid w:val="00C54FCE"/>
    <w:rsid w:val="00C55635"/>
    <w:rsid w:val="00C55E6A"/>
    <w:rsid w:val="00C55EA7"/>
    <w:rsid w:val="00C569AC"/>
    <w:rsid w:val="00C56DC9"/>
    <w:rsid w:val="00C56F46"/>
    <w:rsid w:val="00C60A88"/>
    <w:rsid w:val="00C60B07"/>
    <w:rsid w:val="00C617B8"/>
    <w:rsid w:val="00C61810"/>
    <w:rsid w:val="00C61D3E"/>
    <w:rsid w:val="00C61F2F"/>
    <w:rsid w:val="00C6231B"/>
    <w:rsid w:val="00C62428"/>
    <w:rsid w:val="00C636B3"/>
    <w:rsid w:val="00C63A2B"/>
    <w:rsid w:val="00C63AA4"/>
    <w:rsid w:val="00C63BF1"/>
    <w:rsid w:val="00C63BFE"/>
    <w:rsid w:val="00C63F44"/>
    <w:rsid w:val="00C64034"/>
    <w:rsid w:val="00C64063"/>
    <w:rsid w:val="00C6461E"/>
    <w:rsid w:val="00C64805"/>
    <w:rsid w:val="00C648C2"/>
    <w:rsid w:val="00C64C19"/>
    <w:rsid w:val="00C64EA4"/>
    <w:rsid w:val="00C651BB"/>
    <w:rsid w:val="00C65398"/>
    <w:rsid w:val="00C65823"/>
    <w:rsid w:val="00C65D82"/>
    <w:rsid w:val="00C66CE8"/>
    <w:rsid w:val="00C66DD6"/>
    <w:rsid w:val="00C66F6E"/>
    <w:rsid w:val="00C66FA2"/>
    <w:rsid w:val="00C6721D"/>
    <w:rsid w:val="00C67419"/>
    <w:rsid w:val="00C67480"/>
    <w:rsid w:val="00C67D97"/>
    <w:rsid w:val="00C709AC"/>
    <w:rsid w:val="00C7106E"/>
    <w:rsid w:val="00C71481"/>
    <w:rsid w:val="00C718E7"/>
    <w:rsid w:val="00C719F7"/>
    <w:rsid w:val="00C71C25"/>
    <w:rsid w:val="00C71C62"/>
    <w:rsid w:val="00C71D53"/>
    <w:rsid w:val="00C72AB0"/>
    <w:rsid w:val="00C72C07"/>
    <w:rsid w:val="00C73457"/>
    <w:rsid w:val="00C735F2"/>
    <w:rsid w:val="00C738B4"/>
    <w:rsid w:val="00C742B7"/>
    <w:rsid w:val="00C7434C"/>
    <w:rsid w:val="00C7482B"/>
    <w:rsid w:val="00C74AB8"/>
    <w:rsid w:val="00C7517A"/>
    <w:rsid w:val="00C754A6"/>
    <w:rsid w:val="00C756E0"/>
    <w:rsid w:val="00C758A7"/>
    <w:rsid w:val="00C75EAF"/>
    <w:rsid w:val="00C76401"/>
    <w:rsid w:val="00C76454"/>
    <w:rsid w:val="00C767A6"/>
    <w:rsid w:val="00C767E3"/>
    <w:rsid w:val="00C76E7D"/>
    <w:rsid w:val="00C77053"/>
    <w:rsid w:val="00C77245"/>
    <w:rsid w:val="00C772FD"/>
    <w:rsid w:val="00C7761B"/>
    <w:rsid w:val="00C77C83"/>
    <w:rsid w:val="00C77D30"/>
    <w:rsid w:val="00C804C6"/>
    <w:rsid w:val="00C80C6D"/>
    <w:rsid w:val="00C80E2B"/>
    <w:rsid w:val="00C810E4"/>
    <w:rsid w:val="00C81230"/>
    <w:rsid w:val="00C812D8"/>
    <w:rsid w:val="00C8131D"/>
    <w:rsid w:val="00C814E2"/>
    <w:rsid w:val="00C81889"/>
    <w:rsid w:val="00C81D58"/>
    <w:rsid w:val="00C82479"/>
    <w:rsid w:val="00C82695"/>
    <w:rsid w:val="00C82872"/>
    <w:rsid w:val="00C82E93"/>
    <w:rsid w:val="00C8371B"/>
    <w:rsid w:val="00C839F3"/>
    <w:rsid w:val="00C83ED2"/>
    <w:rsid w:val="00C84206"/>
    <w:rsid w:val="00C8464B"/>
    <w:rsid w:val="00C84678"/>
    <w:rsid w:val="00C84797"/>
    <w:rsid w:val="00C84A5A"/>
    <w:rsid w:val="00C84D63"/>
    <w:rsid w:val="00C85071"/>
    <w:rsid w:val="00C85152"/>
    <w:rsid w:val="00C85D67"/>
    <w:rsid w:val="00C85F37"/>
    <w:rsid w:val="00C86864"/>
    <w:rsid w:val="00C86BA2"/>
    <w:rsid w:val="00C87063"/>
    <w:rsid w:val="00C87256"/>
    <w:rsid w:val="00C873A9"/>
    <w:rsid w:val="00C87618"/>
    <w:rsid w:val="00C87773"/>
    <w:rsid w:val="00C87D87"/>
    <w:rsid w:val="00C903D8"/>
    <w:rsid w:val="00C90A65"/>
    <w:rsid w:val="00C90F90"/>
    <w:rsid w:val="00C91098"/>
    <w:rsid w:val="00C91FD3"/>
    <w:rsid w:val="00C92028"/>
    <w:rsid w:val="00C9212F"/>
    <w:rsid w:val="00C92807"/>
    <w:rsid w:val="00C928E7"/>
    <w:rsid w:val="00C92D4D"/>
    <w:rsid w:val="00C92F72"/>
    <w:rsid w:val="00C92FC2"/>
    <w:rsid w:val="00C93576"/>
    <w:rsid w:val="00C93BA2"/>
    <w:rsid w:val="00C93C44"/>
    <w:rsid w:val="00C941E5"/>
    <w:rsid w:val="00C944BF"/>
    <w:rsid w:val="00C94559"/>
    <w:rsid w:val="00C94619"/>
    <w:rsid w:val="00C9482E"/>
    <w:rsid w:val="00C95477"/>
    <w:rsid w:val="00C95563"/>
    <w:rsid w:val="00C95CFA"/>
    <w:rsid w:val="00C95F7C"/>
    <w:rsid w:val="00C9613C"/>
    <w:rsid w:val="00C9638C"/>
    <w:rsid w:val="00C9640F"/>
    <w:rsid w:val="00C96905"/>
    <w:rsid w:val="00C96CC7"/>
    <w:rsid w:val="00C96E30"/>
    <w:rsid w:val="00C96FE1"/>
    <w:rsid w:val="00C97414"/>
    <w:rsid w:val="00CA0142"/>
    <w:rsid w:val="00CA0C13"/>
    <w:rsid w:val="00CA0D5E"/>
    <w:rsid w:val="00CA0DF0"/>
    <w:rsid w:val="00CA0FD6"/>
    <w:rsid w:val="00CA146E"/>
    <w:rsid w:val="00CA181D"/>
    <w:rsid w:val="00CA1C4B"/>
    <w:rsid w:val="00CA208C"/>
    <w:rsid w:val="00CA2896"/>
    <w:rsid w:val="00CA3EE7"/>
    <w:rsid w:val="00CA3F0D"/>
    <w:rsid w:val="00CA45CC"/>
    <w:rsid w:val="00CA492D"/>
    <w:rsid w:val="00CA4989"/>
    <w:rsid w:val="00CA4D5E"/>
    <w:rsid w:val="00CA5F24"/>
    <w:rsid w:val="00CA6795"/>
    <w:rsid w:val="00CA6D5E"/>
    <w:rsid w:val="00CA6FDC"/>
    <w:rsid w:val="00CA7123"/>
    <w:rsid w:val="00CA716D"/>
    <w:rsid w:val="00CA7D50"/>
    <w:rsid w:val="00CB0511"/>
    <w:rsid w:val="00CB05EC"/>
    <w:rsid w:val="00CB0A39"/>
    <w:rsid w:val="00CB0E51"/>
    <w:rsid w:val="00CB1213"/>
    <w:rsid w:val="00CB1525"/>
    <w:rsid w:val="00CB259B"/>
    <w:rsid w:val="00CB261B"/>
    <w:rsid w:val="00CB2925"/>
    <w:rsid w:val="00CB2B81"/>
    <w:rsid w:val="00CB3516"/>
    <w:rsid w:val="00CB3563"/>
    <w:rsid w:val="00CB3D43"/>
    <w:rsid w:val="00CB3F83"/>
    <w:rsid w:val="00CB3FD2"/>
    <w:rsid w:val="00CB408E"/>
    <w:rsid w:val="00CB4A04"/>
    <w:rsid w:val="00CB504D"/>
    <w:rsid w:val="00CB5C8E"/>
    <w:rsid w:val="00CB5F4A"/>
    <w:rsid w:val="00CB6290"/>
    <w:rsid w:val="00CB6422"/>
    <w:rsid w:val="00CB6451"/>
    <w:rsid w:val="00CB6523"/>
    <w:rsid w:val="00CB66F8"/>
    <w:rsid w:val="00CB6F72"/>
    <w:rsid w:val="00CB718E"/>
    <w:rsid w:val="00CB7196"/>
    <w:rsid w:val="00CB7359"/>
    <w:rsid w:val="00CB7692"/>
    <w:rsid w:val="00CB7C57"/>
    <w:rsid w:val="00CB7CC5"/>
    <w:rsid w:val="00CB7D19"/>
    <w:rsid w:val="00CC00FA"/>
    <w:rsid w:val="00CC03F4"/>
    <w:rsid w:val="00CC0B99"/>
    <w:rsid w:val="00CC0BCA"/>
    <w:rsid w:val="00CC0D75"/>
    <w:rsid w:val="00CC12CC"/>
    <w:rsid w:val="00CC1614"/>
    <w:rsid w:val="00CC18A4"/>
    <w:rsid w:val="00CC2C0C"/>
    <w:rsid w:val="00CC3395"/>
    <w:rsid w:val="00CC3A92"/>
    <w:rsid w:val="00CC3F14"/>
    <w:rsid w:val="00CC42A5"/>
    <w:rsid w:val="00CC45F5"/>
    <w:rsid w:val="00CC4973"/>
    <w:rsid w:val="00CC4FB4"/>
    <w:rsid w:val="00CC5AEF"/>
    <w:rsid w:val="00CC5EAE"/>
    <w:rsid w:val="00CC5EED"/>
    <w:rsid w:val="00CC5FE1"/>
    <w:rsid w:val="00CC6F40"/>
    <w:rsid w:val="00CC75DF"/>
    <w:rsid w:val="00CD0394"/>
    <w:rsid w:val="00CD05B9"/>
    <w:rsid w:val="00CD0E92"/>
    <w:rsid w:val="00CD0F2F"/>
    <w:rsid w:val="00CD10FD"/>
    <w:rsid w:val="00CD11FD"/>
    <w:rsid w:val="00CD2826"/>
    <w:rsid w:val="00CD355D"/>
    <w:rsid w:val="00CD389F"/>
    <w:rsid w:val="00CD399E"/>
    <w:rsid w:val="00CD3A20"/>
    <w:rsid w:val="00CD3A79"/>
    <w:rsid w:val="00CD44A2"/>
    <w:rsid w:val="00CD4593"/>
    <w:rsid w:val="00CD45F9"/>
    <w:rsid w:val="00CD4727"/>
    <w:rsid w:val="00CD48DF"/>
    <w:rsid w:val="00CD55A6"/>
    <w:rsid w:val="00CD55AC"/>
    <w:rsid w:val="00CD5AEB"/>
    <w:rsid w:val="00CD5B23"/>
    <w:rsid w:val="00CD6B35"/>
    <w:rsid w:val="00CD6B98"/>
    <w:rsid w:val="00CD7785"/>
    <w:rsid w:val="00CD78B3"/>
    <w:rsid w:val="00CD7C61"/>
    <w:rsid w:val="00CE011F"/>
    <w:rsid w:val="00CE0252"/>
    <w:rsid w:val="00CE08CC"/>
    <w:rsid w:val="00CE0B4A"/>
    <w:rsid w:val="00CE0F08"/>
    <w:rsid w:val="00CE0FD9"/>
    <w:rsid w:val="00CE2557"/>
    <w:rsid w:val="00CE2774"/>
    <w:rsid w:val="00CE3BEC"/>
    <w:rsid w:val="00CE3EFA"/>
    <w:rsid w:val="00CE3F98"/>
    <w:rsid w:val="00CE40B3"/>
    <w:rsid w:val="00CE43B2"/>
    <w:rsid w:val="00CE4E3E"/>
    <w:rsid w:val="00CE50B0"/>
    <w:rsid w:val="00CE5573"/>
    <w:rsid w:val="00CE6189"/>
    <w:rsid w:val="00CE630C"/>
    <w:rsid w:val="00CE63DB"/>
    <w:rsid w:val="00CE67A9"/>
    <w:rsid w:val="00CE7292"/>
    <w:rsid w:val="00CE7616"/>
    <w:rsid w:val="00CE785C"/>
    <w:rsid w:val="00CE7BB7"/>
    <w:rsid w:val="00CF02E5"/>
    <w:rsid w:val="00CF03D5"/>
    <w:rsid w:val="00CF0468"/>
    <w:rsid w:val="00CF0559"/>
    <w:rsid w:val="00CF0788"/>
    <w:rsid w:val="00CF0F65"/>
    <w:rsid w:val="00CF21DB"/>
    <w:rsid w:val="00CF28A5"/>
    <w:rsid w:val="00CF3202"/>
    <w:rsid w:val="00CF3637"/>
    <w:rsid w:val="00CF38A1"/>
    <w:rsid w:val="00CF467B"/>
    <w:rsid w:val="00CF47FA"/>
    <w:rsid w:val="00CF4B35"/>
    <w:rsid w:val="00CF59D9"/>
    <w:rsid w:val="00CF63C4"/>
    <w:rsid w:val="00CF6607"/>
    <w:rsid w:val="00CF680F"/>
    <w:rsid w:val="00CF683E"/>
    <w:rsid w:val="00CF6AB8"/>
    <w:rsid w:val="00CF6B7B"/>
    <w:rsid w:val="00CF6CD0"/>
    <w:rsid w:val="00CF6E17"/>
    <w:rsid w:val="00CF6EF3"/>
    <w:rsid w:val="00CF6F9C"/>
    <w:rsid w:val="00CF7138"/>
    <w:rsid w:val="00CF75AA"/>
    <w:rsid w:val="00CF7B37"/>
    <w:rsid w:val="00CF7D67"/>
    <w:rsid w:val="00CF7DFB"/>
    <w:rsid w:val="00D001D4"/>
    <w:rsid w:val="00D00365"/>
    <w:rsid w:val="00D003BA"/>
    <w:rsid w:val="00D006CC"/>
    <w:rsid w:val="00D00B03"/>
    <w:rsid w:val="00D01945"/>
    <w:rsid w:val="00D019CC"/>
    <w:rsid w:val="00D01CFA"/>
    <w:rsid w:val="00D01EC8"/>
    <w:rsid w:val="00D01ED2"/>
    <w:rsid w:val="00D0224F"/>
    <w:rsid w:val="00D02257"/>
    <w:rsid w:val="00D0225D"/>
    <w:rsid w:val="00D02A7E"/>
    <w:rsid w:val="00D02BF4"/>
    <w:rsid w:val="00D02C47"/>
    <w:rsid w:val="00D02C79"/>
    <w:rsid w:val="00D02D52"/>
    <w:rsid w:val="00D0318F"/>
    <w:rsid w:val="00D039DC"/>
    <w:rsid w:val="00D0536E"/>
    <w:rsid w:val="00D05602"/>
    <w:rsid w:val="00D056FB"/>
    <w:rsid w:val="00D05BB6"/>
    <w:rsid w:val="00D07773"/>
    <w:rsid w:val="00D077B0"/>
    <w:rsid w:val="00D077DC"/>
    <w:rsid w:val="00D07FDD"/>
    <w:rsid w:val="00D1026C"/>
    <w:rsid w:val="00D10602"/>
    <w:rsid w:val="00D10948"/>
    <w:rsid w:val="00D10A93"/>
    <w:rsid w:val="00D10E72"/>
    <w:rsid w:val="00D10F4C"/>
    <w:rsid w:val="00D1120F"/>
    <w:rsid w:val="00D1149B"/>
    <w:rsid w:val="00D11B35"/>
    <w:rsid w:val="00D12144"/>
    <w:rsid w:val="00D12927"/>
    <w:rsid w:val="00D129E8"/>
    <w:rsid w:val="00D13109"/>
    <w:rsid w:val="00D13B52"/>
    <w:rsid w:val="00D13C3B"/>
    <w:rsid w:val="00D13D81"/>
    <w:rsid w:val="00D13E82"/>
    <w:rsid w:val="00D13EA6"/>
    <w:rsid w:val="00D14115"/>
    <w:rsid w:val="00D14879"/>
    <w:rsid w:val="00D14C49"/>
    <w:rsid w:val="00D14CAE"/>
    <w:rsid w:val="00D14F7D"/>
    <w:rsid w:val="00D15006"/>
    <w:rsid w:val="00D15351"/>
    <w:rsid w:val="00D15406"/>
    <w:rsid w:val="00D15FCB"/>
    <w:rsid w:val="00D160A5"/>
    <w:rsid w:val="00D1634A"/>
    <w:rsid w:val="00D16F9F"/>
    <w:rsid w:val="00D177EC"/>
    <w:rsid w:val="00D17E15"/>
    <w:rsid w:val="00D20851"/>
    <w:rsid w:val="00D209A6"/>
    <w:rsid w:val="00D20E53"/>
    <w:rsid w:val="00D211CF"/>
    <w:rsid w:val="00D21227"/>
    <w:rsid w:val="00D21699"/>
    <w:rsid w:val="00D21A8A"/>
    <w:rsid w:val="00D21BBA"/>
    <w:rsid w:val="00D21F82"/>
    <w:rsid w:val="00D2233F"/>
    <w:rsid w:val="00D22413"/>
    <w:rsid w:val="00D22DE2"/>
    <w:rsid w:val="00D22E57"/>
    <w:rsid w:val="00D230AD"/>
    <w:rsid w:val="00D234F1"/>
    <w:rsid w:val="00D23829"/>
    <w:rsid w:val="00D24069"/>
    <w:rsid w:val="00D24585"/>
    <w:rsid w:val="00D24826"/>
    <w:rsid w:val="00D248D7"/>
    <w:rsid w:val="00D24B42"/>
    <w:rsid w:val="00D24D8A"/>
    <w:rsid w:val="00D2522C"/>
    <w:rsid w:val="00D25FAF"/>
    <w:rsid w:val="00D261ED"/>
    <w:rsid w:val="00D26592"/>
    <w:rsid w:val="00D2679D"/>
    <w:rsid w:val="00D26AA6"/>
    <w:rsid w:val="00D26B0C"/>
    <w:rsid w:val="00D26B28"/>
    <w:rsid w:val="00D26E84"/>
    <w:rsid w:val="00D27F4A"/>
    <w:rsid w:val="00D3052A"/>
    <w:rsid w:val="00D30A26"/>
    <w:rsid w:val="00D30D96"/>
    <w:rsid w:val="00D30ED9"/>
    <w:rsid w:val="00D3100C"/>
    <w:rsid w:val="00D31152"/>
    <w:rsid w:val="00D31A82"/>
    <w:rsid w:val="00D32304"/>
    <w:rsid w:val="00D327D7"/>
    <w:rsid w:val="00D32B83"/>
    <w:rsid w:val="00D332A5"/>
    <w:rsid w:val="00D33461"/>
    <w:rsid w:val="00D33AC8"/>
    <w:rsid w:val="00D33B61"/>
    <w:rsid w:val="00D33BB5"/>
    <w:rsid w:val="00D33F8C"/>
    <w:rsid w:val="00D34414"/>
    <w:rsid w:val="00D347C0"/>
    <w:rsid w:val="00D34D5F"/>
    <w:rsid w:val="00D350FB"/>
    <w:rsid w:val="00D35138"/>
    <w:rsid w:val="00D356B2"/>
    <w:rsid w:val="00D3612B"/>
    <w:rsid w:val="00D36177"/>
    <w:rsid w:val="00D36318"/>
    <w:rsid w:val="00D36708"/>
    <w:rsid w:val="00D36BC8"/>
    <w:rsid w:val="00D36DCB"/>
    <w:rsid w:val="00D3716B"/>
    <w:rsid w:val="00D37191"/>
    <w:rsid w:val="00D407AE"/>
    <w:rsid w:val="00D407B5"/>
    <w:rsid w:val="00D4127E"/>
    <w:rsid w:val="00D4196C"/>
    <w:rsid w:val="00D42226"/>
    <w:rsid w:val="00D42BA4"/>
    <w:rsid w:val="00D42D26"/>
    <w:rsid w:val="00D43637"/>
    <w:rsid w:val="00D4516F"/>
    <w:rsid w:val="00D452B6"/>
    <w:rsid w:val="00D45368"/>
    <w:rsid w:val="00D455B2"/>
    <w:rsid w:val="00D4572A"/>
    <w:rsid w:val="00D46862"/>
    <w:rsid w:val="00D46A2F"/>
    <w:rsid w:val="00D46B3C"/>
    <w:rsid w:val="00D46D5D"/>
    <w:rsid w:val="00D46FA8"/>
    <w:rsid w:val="00D4741C"/>
    <w:rsid w:val="00D474CE"/>
    <w:rsid w:val="00D47A1F"/>
    <w:rsid w:val="00D47ADF"/>
    <w:rsid w:val="00D47F36"/>
    <w:rsid w:val="00D50130"/>
    <w:rsid w:val="00D50141"/>
    <w:rsid w:val="00D50746"/>
    <w:rsid w:val="00D50841"/>
    <w:rsid w:val="00D508DD"/>
    <w:rsid w:val="00D508E4"/>
    <w:rsid w:val="00D509BC"/>
    <w:rsid w:val="00D50A2A"/>
    <w:rsid w:val="00D50A6B"/>
    <w:rsid w:val="00D51343"/>
    <w:rsid w:val="00D51E5E"/>
    <w:rsid w:val="00D52345"/>
    <w:rsid w:val="00D53E75"/>
    <w:rsid w:val="00D53FD6"/>
    <w:rsid w:val="00D5414B"/>
    <w:rsid w:val="00D54165"/>
    <w:rsid w:val="00D5429B"/>
    <w:rsid w:val="00D546D0"/>
    <w:rsid w:val="00D549B1"/>
    <w:rsid w:val="00D54F36"/>
    <w:rsid w:val="00D54F53"/>
    <w:rsid w:val="00D54FD0"/>
    <w:rsid w:val="00D5518A"/>
    <w:rsid w:val="00D552F6"/>
    <w:rsid w:val="00D55761"/>
    <w:rsid w:val="00D558A6"/>
    <w:rsid w:val="00D55F3C"/>
    <w:rsid w:val="00D56A31"/>
    <w:rsid w:val="00D56BEA"/>
    <w:rsid w:val="00D56C60"/>
    <w:rsid w:val="00D56D21"/>
    <w:rsid w:val="00D56FCD"/>
    <w:rsid w:val="00D5721B"/>
    <w:rsid w:val="00D57F24"/>
    <w:rsid w:val="00D6045D"/>
    <w:rsid w:val="00D60891"/>
    <w:rsid w:val="00D60E99"/>
    <w:rsid w:val="00D6182F"/>
    <w:rsid w:val="00D62404"/>
    <w:rsid w:val="00D62AF5"/>
    <w:rsid w:val="00D62DD5"/>
    <w:rsid w:val="00D63191"/>
    <w:rsid w:val="00D6372D"/>
    <w:rsid w:val="00D63BC4"/>
    <w:rsid w:val="00D63BD9"/>
    <w:rsid w:val="00D6414F"/>
    <w:rsid w:val="00D64220"/>
    <w:rsid w:val="00D64867"/>
    <w:rsid w:val="00D64BBC"/>
    <w:rsid w:val="00D655ED"/>
    <w:rsid w:val="00D66123"/>
    <w:rsid w:val="00D664E3"/>
    <w:rsid w:val="00D67B7D"/>
    <w:rsid w:val="00D67DC4"/>
    <w:rsid w:val="00D703CF"/>
    <w:rsid w:val="00D705E9"/>
    <w:rsid w:val="00D706AE"/>
    <w:rsid w:val="00D70812"/>
    <w:rsid w:val="00D7082C"/>
    <w:rsid w:val="00D70B63"/>
    <w:rsid w:val="00D70E08"/>
    <w:rsid w:val="00D7115E"/>
    <w:rsid w:val="00D7130E"/>
    <w:rsid w:val="00D714E0"/>
    <w:rsid w:val="00D71DC2"/>
    <w:rsid w:val="00D720C9"/>
    <w:rsid w:val="00D725D5"/>
    <w:rsid w:val="00D726CA"/>
    <w:rsid w:val="00D72BDA"/>
    <w:rsid w:val="00D72BDC"/>
    <w:rsid w:val="00D72E53"/>
    <w:rsid w:val="00D72F2E"/>
    <w:rsid w:val="00D7301C"/>
    <w:rsid w:val="00D7319A"/>
    <w:rsid w:val="00D73419"/>
    <w:rsid w:val="00D73450"/>
    <w:rsid w:val="00D7359C"/>
    <w:rsid w:val="00D739FB"/>
    <w:rsid w:val="00D73C9C"/>
    <w:rsid w:val="00D744B6"/>
    <w:rsid w:val="00D74935"/>
    <w:rsid w:val="00D74ED0"/>
    <w:rsid w:val="00D7507F"/>
    <w:rsid w:val="00D75638"/>
    <w:rsid w:val="00D756B2"/>
    <w:rsid w:val="00D75830"/>
    <w:rsid w:val="00D75BDB"/>
    <w:rsid w:val="00D76445"/>
    <w:rsid w:val="00D76B45"/>
    <w:rsid w:val="00D76E33"/>
    <w:rsid w:val="00D77177"/>
    <w:rsid w:val="00D7735B"/>
    <w:rsid w:val="00D775E8"/>
    <w:rsid w:val="00D779F4"/>
    <w:rsid w:val="00D77AC6"/>
    <w:rsid w:val="00D77B7E"/>
    <w:rsid w:val="00D802F8"/>
    <w:rsid w:val="00D8046E"/>
    <w:rsid w:val="00D80679"/>
    <w:rsid w:val="00D80BB1"/>
    <w:rsid w:val="00D80DBC"/>
    <w:rsid w:val="00D8137E"/>
    <w:rsid w:val="00D814A9"/>
    <w:rsid w:val="00D8157B"/>
    <w:rsid w:val="00D824D8"/>
    <w:rsid w:val="00D824EA"/>
    <w:rsid w:val="00D829D7"/>
    <w:rsid w:val="00D82C18"/>
    <w:rsid w:val="00D8354F"/>
    <w:rsid w:val="00D839CE"/>
    <w:rsid w:val="00D83C07"/>
    <w:rsid w:val="00D83C48"/>
    <w:rsid w:val="00D83F84"/>
    <w:rsid w:val="00D8471E"/>
    <w:rsid w:val="00D84962"/>
    <w:rsid w:val="00D84BC4"/>
    <w:rsid w:val="00D84E5B"/>
    <w:rsid w:val="00D84E68"/>
    <w:rsid w:val="00D84F21"/>
    <w:rsid w:val="00D8524B"/>
    <w:rsid w:val="00D853A9"/>
    <w:rsid w:val="00D85DFD"/>
    <w:rsid w:val="00D8629D"/>
    <w:rsid w:val="00D862CF"/>
    <w:rsid w:val="00D864A0"/>
    <w:rsid w:val="00D864B4"/>
    <w:rsid w:val="00D865C8"/>
    <w:rsid w:val="00D8682E"/>
    <w:rsid w:val="00D86A63"/>
    <w:rsid w:val="00D87340"/>
    <w:rsid w:val="00D874DD"/>
    <w:rsid w:val="00D87EFC"/>
    <w:rsid w:val="00D903EF"/>
    <w:rsid w:val="00D905B0"/>
    <w:rsid w:val="00D90CC7"/>
    <w:rsid w:val="00D9266C"/>
    <w:rsid w:val="00D9286C"/>
    <w:rsid w:val="00D92C66"/>
    <w:rsid w:val="00D92CE0"/>
    <w:rsid w:val="00D93205"/>
    <w:rsid w:val="00D93561"/>
    <w:rsid w:val="00D93654"/>
    <w:rsid w:val="00D937E9"/>
    <w:rsid w:val="00D93DCD"/>
    <w:rsid w:val="00D9423D"/>
    <w:rsid w:val="00D9546B"/>
    <w:rsid w:val="00D95909"/>
    <w:rsid w:val="00D95BAC"/>
    <w:rsid w:val="00D96072"/>
    <w:rsid w:val="00D96152"/>
    <w:rsid w:val="00D96201"/>
    <w:rsid w:val="00D96705"/>
    <w:rsid w:val="00D97050"/>
    <w:rsid w:val="00D970EE"/>
    <w:rsid w:val="00D971BE"/>
    <w:rsid w:val="00DA05C3"/>
    <w:rsid w:val="00DA0D66"/>
    <w:rsid w:val="00DA12FF"/>
    <w:rsid w:val="00DA16A6"/>
    <w:rsid w:val="00DA181A"/>
    <w:rsid w:val="00DA1ADD"/>
    <w:rsid w:val="00DA1B08"/>
    <w:rsid w:val="00DA21FF"/>
    <w:rsid w:val="00DA2910"/>
    <w:rsid w:val="00DA2C2F"/>
    <w:rsid w:val="00DA30CB"/>
    <w:rsid w:val="00DA3F43"/>
    <w:rsid w:val="00DA4141"/>
    <w:rsid w:val="00DA4196"/>
    <w:rsid w:val="00DA4698"/>
    <w:rsid w:val="00DA46F3"/>
    <w:rsid w:val="00DA4C07"/>
    <w:rsid w:val="00DA5352"/>
    <w:rsid w:val="00DA597F"/>
    <w:rsid w:val="00DA5BF4"/>
    <w:rsid w:val="00DA5BF6"/>
    <w:rsid w:val="00DA6A08"/>
    <w:rsid w:val="00DA70B3"/>
    <w:rsid w:val="00DA70FC"/>
    <w:rsid w:val="00DA7115"/>
    <w:rsid w:val="00DA77EB"/>
    <w:rsid w:val="00DA786F"/>
    <w:rsid w:val="00DA7AD1"/>
    <w:rsid w:val="00DB078A"/>
    <w:rsid w:val="00DB08D5"/>
    <w:rsid w:val="00DB210A"/>
    <w:rsid w:val="00DB2175"/>
    <w:rsid w:val="00DB28BC"/>
    <w:rsid w:val="00DB2FD3"/>
    <w:rsid w:val="00DB3244"/>
    <w:rsid w:val="00DB345C"/>
    <w:rsid w:val="00DB39FA"/>
    <w:rsid w:val="00DB4013"/>
    <w:rsid w:val="00DB424F"/>
    <w:rsid w:val="00DB42AC"/>
    <w:rsid w:val="00DB438D"/>
    <w:rsid w:val="00DB49C5"/>
    <w:rsid w:val="00DB4AE6"/>
    <w:rsid w:val="00DB4ECC"/>
    <w:rsid w:val="00DB4FAB"/>
    <w:rsid w:val="00DB51D9"/>
    <w:rsid w:val="00DB634F"/>
    <w:rsid w:val="00DB6A1C"/>
    <w:rsid w:val="00DB6B53"/>
    <w:rsid w:val="00DB71D9"/>
    <w:rsid w:val="00DB7484"/>
    <w:rsid w:val="00DB758B"/>
    <w:rsid w:val="00DB7A04"/>
    <w:rsid w:val="00DC0797"/>
    <w:rsid w:val="00DC0E23"/>
    <w:rsid w:val="00DC0EF0"/>
    <w:rsid w:val="00DC14A0"/>
    <w:rsid w:val="00DC1820"/>
    <w:rsid w:val="00DC1DF2"/>
    <w:rsid w:val="00DC241E"/>
    <w:rsid w:val="00DC2772"/>
    <w:rsid w:val="00DC3024"/>
    <w:rsid w:val="00DC36E8"/>
    <w:rsid w:val="00DC37F8"/>
    <w:rsid w:val="00DC3957"/>
    <w:rsid w:val="00DC3B47"/>
    <w:rsid w:val="00DC47A2"/>
    <w:rsid w:val="00DC49FC"/>
    <w:rsid w:val="00DC4DCC"/>
    <w:rsid w:val="00DC4DF0"/>
    <w:rsid w:val="00DC51BF"/>
    <w:rsid w:val="00DC51C4"/>
    <w:rsid w:val="00DC5517"/>
    <w:rsid w:val="00DC586B"/>
    <w:rsid w:val="00DC6062"/>
    <w:rsid w:val="00DC70B2"/>
    <w:rsid w:val="00DC7495"/>
    <w:rsid w:val="00DC74E8"/>
    <w:rsid w:val="00DC79C2"/>
    <w:rsid w:val="00DD01E1"/>
    <w:rsid w:val="00DD0818"/>
    <w:rsid w:val="00DD0DB4"/>
    <w:rsid w:val="00DD126A"/>
    <w:rsid w:val="00DD12CE"/>
    <w:rsid w:val="00DD1422"/>
    <w:rsid w:val="00DD1CE1"/>
    <w:rsid w:val="00DD1EBA"/>
    <w:rsid w:val="00DD2192"/>
    <w:rsid w:val="00DD2233"/>
    <w:rsid w:val="00DD22E8"/>
    <w:rsid w:val="00DD23BF"/>
    <w:rsid w:val="00DD27BD"/>
    <w:rsid w:val="00DD2891"/>
    <w:rsid w:val="00DD2A2B"/>
    <w:rsid w:val="00DD2B60"/>
    <w:rsid w:val="00DD32A6"/>
    <w:rsid w:val="00DD3593"/>
    <w:rsid w:val="00DD359F"/>
    <w:rsid w:val="00DD46DF"/>
    <w:rsid w:val="00DD4749"/>
    <w:rsid w:val="00DD474B"/>
    <w:rsid w:val="00DD51B8"/>
    <w:rsid w:val="00DD594C"/>
    <w:rsid w:val="00DD59E9"/>
    <w:rsid w:val="00DD5EA1"/>
    <w:rsid w:val="00DD5EFC"/>
    <w:rsid w:val="00DD5F94"/>
    <w:rsid w:val="00DD60E2"/>
    <w:rsid w:val="00DD61F0"/>
    <w:rsid w:val="00DD6455"/>
    <w:rsid w:val="00DD6927"/>
    <w:rsid w:val="00DD70FA"/>
    <w:rsid w:val="00DD7218"/>
    <w:rsid w:val="00DD766F"/>
    <w:rsid w:val="00DD7968"/>
    <w:rsid w:val="00DD79F2"/>
    <w:rsid w:val="00DD7ED3"/>
    <w:rsid w:val="00DE0F25"/>
    <w:rsid w:val="00DE1491"/>
    <w:rsid w:val="00DE151D"/>
    <w:rsid w:val="00DE1793"/>
    <w:rsid w:val="00DE1848"/>
    <w:rsid w:val="00DE1968"/>
    <w:rsid w:val="00DE19BC"/>
    <w:rsid w:val="00DE1A52"/>
    <w:rsid w:val="00DE2709"/>
    <w:rsid w:val="00DE28F7"/>
    <w:rsid w:val="00DE2D95"/>
    <w:rsid w:val="00DE314A"/>
    <w:rsid w:val="00DE32A9"/>
    <w:rsid w:val="00DE33DA"/>
    <w:rsid w:val="00DE3D5C"/>
    <w:rsid w:val="00DE4208"/>
    <w:rsid w:val="00DE4332"/>
    <w:rsid w:val="00DE43A6"/>
    <w:rsid w:val="00DE4B2A"/>
    <w:rsid w:val="00DE535C"/>
    <w:rsid w:val="00DE58B1"/>
    <w:rsid w:val="00DE60EE"/>
    <w:rsid w:val="00DE65B5"/>
    <w:rsid w:val="00DE75F0"/>
    <w:rsid w:val="00DE76B3"/>
    <w:rsid w:val="00DE7A98"/>
    <w:rsid w:val="00DF049F"/>
    <w:rsid w:val="00DF05DC"/>
    <w:rsid w:val="00DF0B89"/>
    <w:rsid w:val="00DF0C84"/>
    <w:rsid w:val="00DF0EDB"/>
    <w:rsid w:val="00DF0FE4"/>
    <w:rsid w:val="00DF1101"/>
    <w:rsid w:val="00DF128C"/>
    <w:rsid w:val="00DF12A9"/>
    <w:rsid w:val="00DF142E"/>
    <w:rsid w:val="00DF1914"/>
    <w:rsid w:val="00DF19FE"/>
    <w:rsid w:val="00DF1FC5"/>
    <w:rsid w:val="00DF1FC8"/>
    <w:rsid w:val="00DF2041"/>
    <w:rsid w:val="00DF216A"/>
    <w:rsid w:val="00DF3728"/>
    <w:rsid w:val="00DF37B7"/>
    <w:rsid w:val="00DF3F28"/>
    <w:rsid w:val="00DF3FFB"/>
    <w:rsid w:val="00DF4215"/>
    <w:rsid w:val="00DF42CB"/>
    <w:rsid w:val="00DF42D5"/>
    <w:rsid w:val="00DF434E"/>
    <w:rsid w:val="00DF49E5"/>
    <w:rsid w:val="00DF4A30"/>
    <w:rsid w:val="00DF4C41"/>
    <w:rsid w:val="00DF4DFE"/>
    <w:rsid w:val="00DF5166"/>
    <w:rsid w:val="00DF544A"/>
    <w:rsid w:val="00DF5B74"/>
    <w:rsid w:val="00DF5F36"/>
    <w:rsid w:val="00DF6BD8"/>
    <w:rsid w:val="00DF716C"/>
    <w:rsid w:val="00DF7409"/>
    <w:rsid w:val="00E0066A"/>
    <w:rsid w:val="00E00A01"/>
    <w:rsid w:val="00E00AF7"/>
    <w:rsid w:val="00E00D77"/>
    <w:rsid w:val="00E01501"/>
    <w:rsid w:val="00E01C5F"/>
    <w:rsid w:val="00E026B6"/>
    <w:rsid w:val="00E02824"/>
    <w:rsid w:val="00E0284E"/>
    <w:rsid w:val="00E02AF9"/>
    <w:rsid w:val="00E02E3F"/>
    <w:rsid w:val="00E02E99"/>
    <w:rsid w:val="00E02EEE"/>
    <w:rsid w:val="00E02EF6"/>
    <w:rsid w:val="00E02F1E"/>
    <w:rsid w:val="00E034F1"/>
    <w:rsid w:val="00E03686"/>
    <w:rsid w:val="00E036A1"/>
    <w:rsid w:val="00E03B4D"/>
    <w:rsid w:val="00E04676"/>
    <w:rsid w:val="00E05268"/>
    <w:rsid w:val="00E053EC"/>
    <w:rsid w:val="00E05943"/>
    <w:rsid w:val="00E05EA5"/>
    <w:rsid w:val="00E06BF2"/>
    <w:rsid w:val="00E06D13"/>
    <w:rsid w:val="00E0753B"/>
    <w:rsid w:val="00E07A9D"/>
    <w:rsid w:val="00E1010F"/>
    <w:rsid w:val="00E10384"/>
    <w:rsid w:val="00E10841"/>
    <w:rsid w:val="00E10988"/>
    <w:rsid w:val="00E10AC9"/>
    <w:rsid w:val="00E10F67"/>
    <w:rsid w:val="00E110FA"/>
    <w:rsid w:val="00E11298"/>
    <w:rsid w:val="00E113A0"/>
    <w:rsid w:val="00E11A51"/>
    <w:rsid w:val="00E131A8"/>
    <w:rsid w:val="00E133FA"/>
    <w:rsid w:val="00E138C3"/>
    <w:rsid w:val="00E13C0A"/>
    <w:rsid w:val="00E13C46"/>
    <w:rsid w:val="00E143ED"/>
    <w:rsid w:val="00E14ADB"/>
    <w:rsid w:val="00E14F61"/>
    <w:rsid w:val="00E15ADF"/>
    <w:rsid w:val="00E15AEF"/>
    <w:rsid w:val="00E15F56"/>
    <w:rsid w:val="00E15FAD"/>
    <w:rsid w:val="00E16226"/>
    <w:rsid w:val="00E16D36"/>
    <w:rsid w:val="00E16DD3"/>
    <w:rsid w:val="00E1715B"/>
    <w:rsid w:val="00E17CE8"/>
    <w:rsid w:val="00E17FD9"/>
    <w:rsid w:val="00E205CC"/>
    <w:rsid w:val="00E206CB"/>
    <w:rsid w:val="00E2093E"/>
    <w:rsid w:val="00E20AAB"/>
    <w:rsid w:val="00E212E1"/>
    <w:rsid w:val="00E2160E"/>
    <w:rsid w:val="00E217D9"/>
    <w:rsid w:val="00E2274E"/>
    <w:rsid w:val="00E22C24"/>
    <w:rsid w:val="00E22EAD"/>
    <w:rsid w:val="00E24A1C"/>
    <w:rsid w:val="00E24A6C"/>
    <w:rsid w:val="00E254AB"/>
    <w:rsid w:val="00E25938"/>
    <w:rsid w:val="00E25945"/>
    <w:rsid w:val="00E25A32"/>
    <w:rsid w:val="00E262C6"/>
    <w:rsid w:val="00E26B88"/>
    <w:rsid w:val="00E272B6"/>
    <w:rsid w:val="00E27515"/>
    <w:rsid w:val="00E27801"/>
    <w:rsid w:val="00E300AA"/>
    <w:rsid w:val="00E3121A"/>
    <w:rsid w:val="00E31398"/>
    <w:rsid w:val="00E31A32"/>
    <w:rsid w:val="00E31C49"/>
    <w:rsid w:val="00E31F46"/>
    <w:rsid w:val="00E324A6"/>
    <w:rsid w:val="00E33708"/>
    <w:rsid w:val="00E33E35"/>
    <w:rsid w:val="00E34159"/>
    <w:rsid w:val="00E3423D"/>
    <w:rsid w:val="00E3444B"/>
    <w:rsid w:val="00E3444D"/>
    <w:rsid w:val="00E3444E"/>
    <w:rsid w:val="00E345E0"/>
    <w:rsid w:val="00E3482F"/>
    <w:rsid w:val="00E3483D"/>
    <w:rsid w:val="00E34A80"/>
    <w:rsid w:val="00E34ADD"/>
    <w:rsid w:val="00E34D71"/>
    <w:rsid w:val="00E354B8"/>
    <w:rsid w:val="00E355F6"/>
    <w:rsid w:val="00E3581A"/>
    <w:rsid w:val="00E35999"/>
    <w:rsid w:val="00E35B37"/>
    <w:rsid w:val="00E35B84"/>
    <w:rsid w:val="00E35C6A"/>
    <w:rsid w:val="00E35DC0"/>
    <w:rsid w:val="00E3601D"/>
    <w:rsid w:val="00E37A83"/>
    <w:rsid w:val="00E37B6A"/>
    <w:rsid w:val="00E37BFE"/>
    <w:rsid w:val="00E40AF4"/>
    <w:rsid w:val="00E40C51"/>
    <w:rsid w:val="00E40E43"/>
    <w:rsid w:val="00E4102C"/>
    <w:rsid w:val="00E4150F"/>
    <w:rsid w:val="00E41580"/>
    <w:rsid w:val="00E4197C"/>
    <w:rsid w:val="00E423A4"/>
    <w:rsid w:val="00E4240C"/>
    <w:rsid w:val="00E42676"/>
    <w:rsid w:val="00E42BEF"/>
    <w:rsid w:val="00E432E5"/>
    <w:rsid w:val="00E433BE"/>
    <w:rsid w:val="00E43C4F"/>
    <w:rsid w:val="00E43F16"/>
    <w:rsid w:val="00E441DA"/>
    <w:rsid w:val="00E442EF"/>
    <w:rsid w:val="00E44493"/>
    <w:rsid w:val="00E44594"/>
    <w:rsid w:val="00E445DC"/>
    <w:rsid w:val="00E44690"/>
    <w:rsid w:val="00E446EF"/>
    <w:rsid w:val="00E449E6"/>
    <w:rsid w:val="00E44C79"/>
    <w:rsid w:val="00E44CD0"/>
    <w:rsid w:val="00E4505A"/>
    <w:rsid w:val="00E45D43"/>
    <w:rsid w:val="00E45DD8"/>
    <w:rsid w:val="00E4608B"/>
    <w:rsid w:val="00E467AA"/>
    <w:rsid w:val="00E4702C"/>
    <w:rsid w:val="00E471EF"/>
    <w:rsid w:val="00E4747F"/>
    <w:rsid w:val="00E47580"/>
    <w:rsid w:val="00E477EC"/>
    <w:rsid w:val="00E478CC"/>
    <w:rsid w:val="00E47A7C"/>
    <w:rsid w:val="00E47BE2"/>
    <w:rsid w:val="00E50922"/>
    <w:rsid w:val="00E50C2F"/>
    <w:rsid w:val="00E5159F"/>
    <w:rsid w:val="00E515F9"/>
    <w:rsid w:val="00E518F9"/>
    <w:rsid w:val="00E52419"/>
    <w:rsid w:val="00E53402"/>
    <w:rsid w:val="00E542BC"/>
    <w:rsid w:val="00E5433D"/>
    <w:rsid w:val="00E5468F"/>
    <w:rsid w:val="00E547C6"/>
    <w:rsid w:val="00E54EA2"/>
    <w:rsid w:val="00E552D9"/>
    <w:rsid w:val="00E561DA"/>
    <w:rsid w:val="00E562F8"/>
    <w:rsid w:val="00E565EB"/>
    <w:rsid w:val="00E566E1"/>
    <w:rsid w:val="00E56E48"/>
    <w:rsid w:val="00E57743"/>
    <w:rsid w:val="00E578EE"/>
    <w:rsid w:val="00E57C63"/>
    <w:rsid w:val="00E57FAE"/>
    <w:rsid w:val="00E60CA6"/>
    <w:rsid w:val="00E61113"/>
    <w:rsid w:val="00E618BE"/>
    <w:rsid w:val="00E61B55"/>
    <w:rsid w:val="00E61D27"/>
    <w:rsid w:val="00E61ECC"/>
    <w:rsid w:val="00E625F7"/>
    <w:rsid w:val="00E62E70"/>
    <w:rsid w:val="00E62F5D"/>
    <w:rsid w:val="00E6345D"/>
    <w:rsid w:val="00E634E4"/>
    <w:rsid w:val="00E637A7"/>
    <w:rsid w:val="00E6381F"/>
    <w:rsid w:val="00E63EF8"/>
    <w:rsid w:val="00E641A8"/>
    <w:rsid w:val="00E642BD"/>
    <w:rsid w:val="00E64562"/>
    <w:rsid w:val="00E64940"/>
    <w:rsid w:val="00E64C06"/>
    <w:rsid w:val="00E65687"/>
    <w:rsid w:val="00E66A83"/>
    <w:rsid w:val="00E66A85"/>
    <w:rsid w:val="00E66AA9"/>
    <w:rsid w:val="00E66C9E"/>
    <w:rsid w:val="00E66D4C"/>
    <w:rsid w:val="00E673E6"/>
    <w:rsid w:val="00E67B0C"/>
    <w:rsid w:val="00E67FD6"/>
    <w:rsid w:val="00E70F97"/>
    <w:rsid w:val="00E71767"/>
    <w:rsid w:val="00E7197C"/>
    <w:rsid w:val="00E71C14"/>
    <w:rsid w:val="00E71C62"/>
    <w:rsid w:val="00E71DB0"/>
    <w:rsid w:val="00E721F5"/>
    <w:rsid w:val="00E722F3"/>
    <w:rsid w:val="00E729C8"/>
    <w:rsid w:val="00E72EEE"/>
    <w:rsid w:val="00E73045"/>
    <w:rsid w:val="00E7305D"/>
    <w:rsid w:val="00E73128"/>
    <w:rsid w:val="00E73173"/>
    <w:rsid w:val="00E73225"/>
    <w:rsid w:val="00E73B3B"/>
    <w:rsid w:val="00E747F3"/>
    <w:rsid w:val="00E74C5A"/>
    <w:rsid w:val="00E75069"/>
    <w:rsid w:val="00E7568B"/>
    <w:rsid w:val="00E75B34"/>
    <w:rsid w:val="00E761CD"/>
    <w:rsid w:val="00E7628D"/>
    <w:rsid w:val="00E76384"/>
    <w:rsid w:val="00E76577"/>
    <w:rsid w:val="00E766F3"/>
    <w:rsid w:val="00E76919"/>
    <w:rsid w:val="00E76F14"/>
    <w:rsid w:val="00E775FB"/>
    <w:rsid w:val="00E77EBB"/>
    <w:rsid w:val="00E80615"/>
    <w:rsid w:val="00E806E1"/>
    <w:rsid w:val="00E81051"/>
    <w:rsid w:val="00E8132D"/>
    <w:rsid w:val="00E81491"/>
    <w:rsid w:val="00E81BA5"/>
    <w:rsid w:val="00E81CCC"/>
    <w:rsid w:val="00E81DF7"/>
    <w:rsid w:val="00E82160"/>
    <w:rsid w:val="00E8282E"/>
    <w:rsid w:val="00E828BC"/>
    <w:rsid w:val="00E82EA8"/>
    <w:rsid w:val="00E83E41"/>
    <w:rsid w:val="00E83F72"/>
    <w:rsid w:val="00E8428F"/>
    <w:rsid w:val="00E84A74"/>
    <w:rsid w:val="00E84E02"/>
    <w:rsid w:val="00E85237"/>
    <w:rsid w:val="00E85C78"/>
    <w:rsid w:val="00E86350"/>
    <w:rsid w:val="00E8636F"/>
    <w:rsid w:val="00E86A70"/>
    <w:rsid w:val="00E86D94"/>
    <w:rsid w:val="00E86E3A"/>
    <w:rsid w:val="00E86EBC"/>
    <w:rsid w:val="00E877A4"/>
    <w:rsid w:val="00E877ED"/>
    <w:rsid w:val="00E90712"/>
    <w:rsid w:val="00E90AF4"/>
    <w:rsid w:val="00E917EB"/>
    <w:rsid w:val="00E919B4"/>
    <w:rsid w:val="00E91C81"/>
    <w:rsid w:val="00E9203C"/>
    <w:rsid w:val="00E920A3"/>
    <w:rsid w:val="00E924BE"/>
    <w:rsid w:val="00E92640"/>
    <w:rsid w:val="00E9293D"/>
    <w:rsid w:val="00E9305F"/>
    <w:rsid w:val="00E9319E"/>
    <w:rsid w:val="00E9324E"/>
    <w:rsid w:val="00E9346C"/>
    <w:rsid w:val="00E93642"/>
    <w:rsid w:val="00E93A12"/>
    <w:rsid w:val="00E93D3A"/>
    <w:rsid w:val="00E946BF"/>
    <w:rsid w:val="00E94DDD"/>
    <w:rsid w:val="00E94F0F"/>
    <w:rsid w:val="00E94F82"/>
    <w:rsid w:val="00E952AF"/>
    <w:rsid w:val="00E9549C"/>
    <w:rsid w:val="00E96036"/>
    <w:rsid w:val="00E966C4"/>
    <w:rsid w:val="00E96709"/>
    <w:rsid w:val="00E968FB"/>
    <w:rsid w:val="00E96D6C"/>
    <w:rsid w:val="00E9743F"/>
    <w:rsid w:val="00E9784F"/>
    <w:rsid w:val="00E979C3"/>
    <w:rsid w:val="00E97E4C"/>
    <w:rsid w:val="00EA0A72"/>
    <w:rsid w:val="00EA0FC9"/>
    <w:rsid w:val="00EA1231"/>
    <w:rsid w:val="00EA1B68"/>
    <w:rsid w:val="00EA25BB"/>
    <w:rsid w:val="00EA263E"/>
    <w:rsid w:val="00EA2688"/>
    <w:rsid w:val="00EA2C29"/>
    <w:rsid w:val="00EA2C56"/>
    <w:rsid w:val="00EA304A"/>
    <w:rsid w:val="00EA3062"/>
    <w:rsid w:val="00EA37B2"/>
    <w:rsid w:val="00EA37F5"/>
    <w:rsid w:val="00EA3EEF"/>
    <w:rsid w:val="00EA4778"/>
    <w:rsid w:val="00EA4F73"/>
    <w:rsid w:val="00EA51C6"/>
    <w:rsid w:val="00EA51E9"/>
    <w:rsid w:val="00EA53B8"/>
    <w:rsid w:val="00EA57CF"/>
    <w:rsid w:val="00EA62CE"/>
    <w:rsid w:val="00EA663E"/>
    <w:rsid w:val="00EA6F08"/>
    <w:rsid w:val="00EB0127"/>
    <w:rsid w:val="00EB04EB"/>
    <w:rsid w:val="00EB05EC"/>
    <w:rsid w:val="00EB0A89"/>
    <w:rsid w:val="00EB0AFE"/>
    <w:rsid w:val="00EB15B5"/>
    <w:rsid w:val="00EB1A4C"/>
    <w:rsid w:val="00EB2533"/>
    <w:rsid w:val="00EB264F"/>
    <w:rsid w:val="00EB3245"/>
    <w:rsid w:val="00EB34D2"/>
    <w:rsid w:val="00EB3779"/>
    <w:rsid w:val="00EB4057"/>
    <w:rsid w:val="00EB41A5"/>
    <w:rsid w:val="00EB4217"/>
    <w:rsid w:val="00EB4240"/>
    <w:rsid w:val="00EB4C2A"/>
    <w:rsid w:val="00EB5103"/>
    <w:rsid w:val="00EB51AE"/>
    <w:rsid w:val="00EB56B9"/>
    <w:rsid w:val="00EB59EA"/>
    <w:rsid w:val="00EB602E"/>
    <w:rsid w:val="00EB66D1"/>
    <w:rsid w:val="00EB6A47"/>
    <w:rsid w:val="00EB6D3E"/>
    <w:rsid w:val="00EB6D93"/>
    <w:rsid w:val="00EB7132"/>
    <w:rsid w:val="00EB731F"/>
    <w:rsid w:val="00EB739B"/>
    <w:rsid w:val="00EB764F"/>
    <w:rsid w:val="00EB789E"/>
    <w:rsid w:val="00EB799D"/>
    <w:rsid w:val="00EB7E74"/>
    <w:rsid w:val="00EC0E55"/>
    <w:rsid w:val="00EC0F66"/>
    <w:rsid w:val="00EC15B7"/>
    <w:rsid w:val="00EC1795"/>
    <w:rsid w:val="00EC1C3A"/>
    <w:rsid w:val="00EC20A1"/>
    <w:rsid w:val="00EC221F"/>
    <w:rsid w:val="00EC2B5D"/>
    <w:rsid w:val="00EC2C4A"/>
    <w:rsid w:val="00EC3CED"/>
    <w:rsid w:val="00EC3DAF"/>
    <w:rsid w:val="00EC4056"/>
    <w:rsid w:val="00EC4071"/>
    <w:rsid w:val="00EC5247"/>
    <w:rsid w:val="00EC5569"/>
    <w:rsid w:val="00EC580A"/>
    <w:rsid w:val="00EC5AA6"/>
    <w:rsid w:val="00EC604E"/>
    <w:rsid w:val="00EC6202"/>
    <w:rsid w:val="00EC62A9"/>
    <w:rsid w:val="00EC6479"/>
    <w:rsid w:val="00EC666F"/>
    <w:rsid w:val="00EC6A48"/>
    <w:rsid w:val="00EC7172"/>
    <w:rsid w:val="00EC75D0"/>
    <w:rsid w:val="00EC7B2B"/>
    <w:rsid w:val="00EC7EA6"/>
    <w:rsid w:val="00ED0F0B"/>
    <w:rsid w:val="00ED0F42"/>
    <w:rsid w:val="00ED1254"/>
    <w:rsid w:val="00ED1259"/>
    <w:rsid w:val="00ED14B9"/>
    <w:rsid w:val="00ED150A"/>
    <w:rsid w:val="00ED1D2C"/>
    <w:rsid w:val="00ED281C"/>
    <w:rsid w:val="00ED34C9"/>
    <w:rsid w:val="00ED34D7"/>
    <w:rsid w:val="00ED35EF"/>
    <w:rsid w:val="00ED3D7B"/>
    <w:rsid w:val="00ED4420"/>
    <w:rsid w:val="00ED462E"/>
    <w:rsid w:val="00ED4696"/>
    <w:rsid w:val="00ED4717"/>
    <w:rsid w:val="00ED4FB0"/>
    <w:rsid w:val="00ED51AE"/>
    <w:rsid w:val="00ED5253"/>
    <w:rsid w:val="00ED55BB"/>
    <w:rsid w:val="00ED5F05"/>
    <w:rsid w:val="00ED68E8"/>
    <w:rsid w:val="00ED6E39"/>
    <w:rsid w:val="00ED6F6F"/>
    <w:rsid w:val="00ED7AB6"/>
    <w:rsid w:val="00ED7B04"/>
    <w:rsid w:val="00ED7BD3"/>
    <w:rsid w:val="00ED7FE2"/>
    <w:rsid w:val="00EE0269"/>
    <w:rsid w:val="00EE0925"/>
    <w:rsid w:val="00EE0BFF"/>
    <w:rsid w:val="00EE10FC"/>
    <w:rsid w:val="00EE1331"/>
    <w:rsid w:val="00EE1B03"/>
    <w:rsid w:val="00EE1BFF"/>
    <w:rsid w:val="00EE1D0E"/>
    <w:rsid w:val="00EE25D9"/>
    <w:rsid w:val="00EE2726"/>
    <w:rsid w:val="00EE28DC"/>
    <w:rsid w:val="00EE291B"/>
    <w:rsid w:val="00EE2A68"/>
    <w:rsid w:val="00EE2EDF"/>
    <w:rsid w:val="00EE3092"/>
    <w:rsid w:val="00EE3F15"/>
    <w:rsid w:val="00EE3FE2"/>
    <w:rsid w:val="00EE43A5"/>
    <w:rsid w:val="00EE4450"/>
    <w:rsid w:val="00EE4D1A"/>
    <w:rsid w:val="00EE4EC8"/>
    <w:rsid w:val="00EE4FC5"/>
    <w:rsid w:val="00EE5380"/>
    <w:rsid w:val="00EE5457"/>
    <w:rsid w:val="00EE6673"/>
    <w:rsid w:val="00EE6B47"/>
    <w:rsid w:val="00EE70C5"/>
    <w:rsid w:val="00EE7154"/>
    <w:rsid w:val="00EE7325"/>
    <w:rsid w:val="00EE7350"/>
    <w:rsid w:val="00EE78FD"/>
    <w:rsid w:val="00EE79FE"/>
    <w:rsid w:val="00EE7C66"/>
    <w:rsid w:val="00EE7C92"/>
    <w:rsid w:val="00EE7D40"/>
    <w:rsid w:val="00EE7F2F"/>
    <w:rsid w:val="00EF00E8"/>
    <w:rsid w:val="00EF01A0"/>
    <w:rsid w:val="00EF0594"/>
    <w:rsid w:val="00EF0A2E"/>
    <w:rsid w:val="00EF0F61"/>
    <w:rsid w:val="00EF1C1E"/>
    <w:rsid w:val="00EF1D77"/>
    <w:rsid w:val="00EF1ECF"/>
    <w:rsid w:val="00EF1F61"/>
    <w:rsid w:val="00EF28B8"/>
    <w:rsid w:val="00EF2B81"/>
    <w:rsid w:val="00EF2D2A"/>
    <w:rsid w:val="00EF313E"/>
    <w:rsid w:val="00EF38EE"/>
    <w:rsid w:val="00EF4496"/>
    <w:rsid w:val="00EF48AC"/>
    <w:rsid w:val="00EF4CB7"/>
    <w:rsid w:val="00EF5054"/>
    <w:rsid w:val="00EF59B4"/>
    <w:rsid w:val="00EF5DBB"/>
    <w:rsid w:val="00EF5E8C"/>
    <w:rsid w:val="00EF5F3E"/>
    <w:rsid w:val="00EF69F9"/>
    <w:rsid w:val="00EF6DC8"/>
    <w:rsid w:val="00EF6F0F"/>
    <w:rsid w:val="00EF716E"/>
    <w:rsid w:val="00EF71F7"/>
    <w:rsid w:val="00EF7876"/>
    <w:rsid w:val="00EF7A9D"/>
    <w:rsid w:val="00EF7F9D"/>
    <w:rsid w:val="00F002A9"/>
    <w:rsid w:val="00F0072A"/>
    <w:rsid w:val="00F01410"/>
    <w:rsid w:val="00F017DF"/>
    <w:rsid w:val="00F01DCD"/>
    <w:rsid w:val="00F02299"/>
    <w:rsid w:val="00F0244A"/>
    <w:rsid w:val="00F0287D"/>
    <w:rsid w:val="00F0291C"/>
    <w:rsid w:val="00F03280"/>
    <w:rsid w:val="00F03A26"/>
    <w:rsid w:val="00F0474C"/>
    <w:rsid w:val="00F04D27"/>
    <w:rsid w:val="00F05C0B"/>
    <w:rsid w:val="00F06D60"/>
    <w:rsid w:val="00F0718E"/>
    <w:rsid w:val="00F07BE8"/>
    <w:rsid w:val="00F1082C"/>
    <w:rsid w:val="00F10D40"/>
    <w:rsid w:val="00F113E8"/>
    <w:rsid w:val="00F1157B"/>
    <w:rsid w:val="00F11B3F"/>
    <w:rsid w:val="00F11BC3"/>
    <w:rsid w:val="00F11C1E"/>
    <w:rsid w:val="00F124B5"/>
    <w:rsid w:val="00F12DC2"/>
    <w:rsid w:val="00F13162"/>
    <w:rsid w:val="00F135BE"/>
    <w:rsid w:val="00F139B9"/>
    <w:rsid w:val="00F139C1"/>
    <w:rsid w:val="00F13D44"/>
    <w:rsid w:val="00F13FA3"/>
    <w:rsid w:val="00F146B1"/>
    <w:rsid w:val="00F157F7"/>
    <w:rsid w:val="00F15D8B"/>
    <w:rsid w:val="00F16167"/>
    <w:rsid w:val="00F1632A"/>
    <w:rsid w:val="00F1688A"/>
    <w:rsid w:val="00F17490"/>
    <w:rsid w:val="00F178B9"/>
    <w:rsid w:val="00F1794F"/>
    <w:rsid w:val="00F1795D"/>
    <w:rsid w:val="00F17A5C"/>
    <w:rsid w:val="00F20349"/>
    <w:rsid w:val="00F2066C"/>
    <w:rsid w:val="00F20A5B"/>
    <w:rsid w:val="00F21495"/>
    <w:rsid w:val="00F2170E"/>
    <w:rsid w:val="00F21A29"/>
    <w:rsid w:val="00F21CD9"/>
    <w:rsid w:val="00F2209E"/>
    <w:rsid w:val="00F220D2"/>
    <w:rsid w:val="00F222AA"/>
    <w:rsid w:val="00F2238A"/>
    <w:rsid w:val="00F231BE"/>
    <w:rsid w:val="00F23718"/>
    <w:rsid w:val="00F239F8"/>
    <w:rsid w:val="00F24299"/>
    <w:rsid w:val="00F24714"/>
    <w:rsid w:val="00F247CB"/>
    <w:rsid w:val="00F24B28"/>
    <w:rsid w:val="00F25670"/>
    <w:rsid w:val="00F27564"/>
    <w:rsid w:val="00F276CE"/>
    <w:rsid w:val="00F306E7"/>
    <w:rsid w:val="00F30FCB"/>
    <w:rsid w:val="00F31237"/>
    <w:rsid w:val="00F31359"/>
    <w:rsid w:val="00F31C3B"/>
    <w:rsid w:val="00F31FE1"/>
    <w:rsid w:val="00F32910"/>
    <w:rsid w:val="00F32BDA"/>
    <w:rsid w:val="00F32CD9"/>
    <w:rsid w:val="00F3336E"/>
    <w:rsid w:val="00F33B16"/>
    <w:rsid w:val="00F33CFA"/>
    <w:rsid w:val="00F33E1D"/>
    <w:rsid w:val="00F33EF9"/>
    <w:rsid w:val="00F33F1B"/>
    <w:rsid w:val="00F3400F"/>
    <w:rsid w:val="00F3464D"/>
    <w:rsid w:val="00F34EF6"/>
    <w:rsid w:val="00F355DB"/>
    <w:rsid w:val="00F35711"/>
    <w:rsid w:val="00F357EC"/>
    <w:rsid w:val="00F35FAF"/>
    <w:rsid w:val="00F36584"/>
    <w:rsid w:val="00F3677D"/>
    <w:rsid w:val="00F36E69"/>
    <w:rsid w:val="00F371B3"/>
    <w:rsid w:val="00F374C4"/>
    <w:rsid w:val="00F37738"/>
    <w:rsid w:val="00F4031D"/>
    <w:rsid w:val="00F40502"/>
    <w:rsid w:val="00F40E17"/>
    <w:rsid w:val="00F41090"/>
    <w:rsid w:val="00F41271"/>
    <w:rsid w:val="00F41A01"/>
    <w:rsid w:val="00F4241F"/>
    <w:rsid w:val="00F42825"/>
    <w:rsid w:val="00F4295C"/>
    <w:rsid w:val="00F42B7B"/>
    <w:rsid w:val="00F4309A"/>
    <w:rsid w:val="00F433C7"/>
    <w:rsid w:val="00F440C0"/>
    <w:rsid w:val="00F440F6"/>
    <w:rsid w:val="00F44921"/>
    <w:rsid w:val="00F44BC6"/>
    <w:rsid w:val="00F44C69"/>
    <w:rsid w:val="00F457E9"/>
    <w:rsid w:val="00F45858"/>
    <w:rsid w:val="00F458CB"/>
    <w:rsid w:val="00F45C95"/>
    <w:rsid w:val="00F46EDE"/>
    <w:rsid w:val="00F47EFB"/>
    <w:rsid w:val="00F502DC"/>
    <w:rsid w:val="00F5095F"/>
    <w:rsid w:val="00F50A88"/>
    <w:rsid w:val="00F50C77"/>
    <w:rsid w:val="00F50F28"/>
    <w:rsid w:val="00F51DF2"/>
    <w:rsid w:val="00F521BD"/>
    <w:rsid w:val="00F52C6E"/>
    <w:rsid w:val="00F53824"/>
    <w:rsid w:val="00F5393B"/>
    <w:rsid w:val="00F5396A"/>
    <w:rsid w:val="00F5463C"/>
    <w:rsid w:val="00F54938"/>
    <w:rsid w:val="00F54AE0"/>
    <w:rsid w:val="00F54C06"/>
    <w:rsid w:val="00F54CC8"/>
    <w:rsid w:val="00F551D4"/>
    <w:rsid w:val="00F55764"/>
    <w:rsid w:val="00F557D7"/>
    <w:rsid w:val="00F55BAB"/>
    <w:rsid w:val="00F55E5F"/>
    <w:rsid w:val="00F560A5"/>
    <w:rsid w:val="00F56735"/>
    <w:rsid w:val="00F568A9"/>
    <w:rsid w:val="00F56C24"/>
    <w:rsid w:val="00F571FA"/>
    <w:rsid w:val="00F57227"/>
    <w:rsid w:val="00F5762D"/>
    <w:rsid w:val="00F600B0"/>
    <w:rsid w:val="00F60EBB"/>
    <w:rsid w:val="00F61853"/>
    <w:rsid w:val="00F61A31"/>
    <w:rsid w:val="00F61C89"/>
    <w:rsid w:val="00F6266B"/>
    <w:rsid w:val="00F6299E"/>
    <w:rsid w:val="00F638B8"/>
    <w:rsid w:val="00F638FC"/>
    <w:rsid w:val="00F63956"/>
    <w:rsid w:val="00F640F9"/>
    <w:rsid w:val="00F647BA"/>
    <w:rsid w:val="00F64FE4"/>
    <w:rsid w:val="00F650CE"/>
    <w:rsid w:val="00F653E4"/>
    <w:rsid w:val="00F6556F"/>
    <w:rsid w:val="00F661A0"/>
    <w:rsid w:val="00F661E0"/>
    <w:rsid w:val="00F665A6"/>
    <w:rsid w:val="00F667F3"/>
    <w:rsid w:val="00F66955"/>
    <w:rsid w:val="00F66E29"/>
    <w:rsid w:val="00F66F41"/>
    <w:rsid w:val="00F674BF"/>
    <w:rsid w:val="00F6757A"/>
    <w:rsid w:val="00F67927"/>
    <w:rsid w:val="00F679C3"/>
    <w:rsid w:val="00F67AD6"/>
    <w:rsid w:val="00F703A1"/>
    <w:rsid w:val="00F70882"/>
    <w:rsid w:val="00F70899"/>
    <w:rsid w:val="00F71274"/>
    <w:rsid w:val="00F712E4"/>
    <w:rsid w:val="00F713DE"/>
    <w:rsid w:val="00F7199E"/>
    <w:rsid w:val="00F71BC2"/>
    <w:rsid w:val="00F71BCD"/>
    <w:rsid w:val="00F71EC6"/>
    <w:rsid w:val="00F7228B"/>
    <w:rsid w:val="00F72AE5"/>
    <w:rsid w:val="00F72B16"/>
    <w:rsid w:val="00F72F2A"/>
    <w:rsid w:val="00F72FB3"/>
    <w:rsid w:val="00F73012"/>
    <w:rsid w:val="00F7401F"/>
    <w:rsid w:val="00F741D5"/>
    <w:rsid w:val="00F741E5"/>
    <w:rsid w:val="00F7491B"/>
    <w:rsid w:val="00F74D47"/>
    <w:rsid w:val="00F74F68"/>
    <w:rsid w:val="00F75139"/>
    <w:rsid w:val="00F7558E"/>
    <w:rsid w:val="00F758A5"/>
    <w:rsid w:val="00F75A53"/>
    <w:rsid w:val="00F75D2C"/>
    <w:rsid w:val="00F76235"/>
    <w:rsid w:val="00F76325"/>
    <w:rsid w:val="00F76AB4"/>
    <w:rsid w:val="00F771C9"/>
    <w:rsid w:val="00F776B4"/>
    <w:rsid w:val="00F77740"/>
    <w:rsid w:val="00F77F15"/>
    <w:rsid w:val="00F80F4A"/>
    <w:rsid w:val="00F81120"/>
    <w:rsid w:val="00F81377"/>
    <w:rsid w:val="00F8187A"/>
    <w:rsid w:val="00F81DE9"/>
    <w:rsid w:val="00F81EB9"/>
    <w:rsid w:val="00F822F1"/>
    <w:rsid w:val="00F823D1"/>
    <w:rsid w:val="00F826F6"/>
    <w:rsid w:val="00F82920"/>
    <w:rsid w:val="00F83252"/>
    <w:rsid w:val="00F83A8C"/>
    <w:rsid w:val="00F83C4A"/>
    <w:rsid w:val="00F84343"/>
    <w:rsid w:val="00F84D5F"/>
    <w:rsid w:val="00F85DF8"/>
    <w:rsid w:val="00F87089"/>
    <w:rsid w:val="00F87426"/>
    <w:rsid w:val="00F874BA"/>
    <w:rsid w:val="00F87EC6"/>
    <w:rsid w:val="00F9050C"/>
    <w:rsid w:val="00F912BA"/>
    <w:rsid w:val="00F918BD"/>
    <w:rsid w:val="00F91A7E"/>
    <w:rsid w:val="00F9204F"/>
    <w:rsid w:val="00F9224F"/>
    <w:rsid w:val="00F92457"/>
    <w:rsid w:val="00F93993"/>
    <w:rsid w:val="00F942C5"/>
    <w:rsid w:val="00F94482"/>
    <w:rsid w:val="00F944FE"/>
    <w:rsid w:val="00F9480C"/>
    <w:rsid w:val="00F9496C"/>
    <w:rsid w:val="00F9523F"/>
    <w:rsid w:val="00F955F9"/>
    <w:rsid w:val="00F96277"/>
    <w:rsid w:val="00F963FB"/>
    <w:rsid w:val="00F964B6"/>
    <w:rsid w:val="00F969FA"/>
    <w:rsid w:val="00F96CEC"/>
    <w:rsid w:val="00F9751B"/>
    <w:rsid w:val="00F97749"/>
    <w:rsid w:val="00F97BBC"/>
    <w:rsid w:val="00F97C12"/>
    <w:rsid w:val="00FA0352"/>
    <w:rsid w:val="00FA03AF"/>
    <w:rsid w:val="00FA0503"/>
    <w:rsid w:val="00FA09B7"/>
    <w:rsid w:val="00FA109B"/>
    <w:rsid w:val="00FA152B"/>
    <w:rsid w:val="00FA1678"/>
    <w:rsid w:val="00FA18B2"/>
    <w:rsid w:val="00FA19C4"/>
    <w:rsid w:val="00FA2136"/>
    <w:rsid w:val="00FA250C"/>
    <w:rsid w:val="00FA2742"/>
    <w:rsid w:val="00FA33B0"/>
    <w:rsid w:val="00FA3EC2"/>
    <w:rsid w:val="00FA4595"/>
    <w:rsid w:val="00FA47B4"/>
    <w:rsid w:val="00FA4AF8"/>
    <w:rsid w:val="00FA4BF0"/>
    <w:rsid w:val="00FA4E90"/>
    <w:rsid w:val="00FA5345"/>
    <w:rsid w:val="00FA563E"/>
    <w:rsid w:val="00FA59E8"/>
    <w:rsid w:val="00FA5BF7"/>
    <w:rsid w:val="00FA5CA3"/>
    <w:rsid w:val="00FA6E5D"/>
    <w:rsid w:val="00FA70DE"/>
    <w:rsid w:val="00FA74DD"/>
    <w:rsid w:val="00FA766E"/>
    <w:rsid w:val="00FA76DB"/>
    <w:rsid w:val="00FA7BBA"/>
    <w:rsid w:val="00FB0016"/>
    <w:rsid w:val="00FB0423"/>
    <w:rsid w:val="00FB042A"/>
    <w:rsid w:val="00FB053B"/>
    <w:rsid w:val="00FB0586"/>
    <w:rsid w:val="00FB060B"/>
    <w:rsid w:val="00FB0E21"/>
    <w:rsid w:val="00FB104D"/>
    <w:rsid w:val="00FB11A1"/>
    <w:rsid w:val="00FB129F"/>
    <w:rsid w:val="00FB199B"/>
    <w:rsid w:val="00FB1ADC"/>
    <w:rsid w:val="00FB1F19"/>
    <w:rsid w:val="00FB1F89"/>
    <w:rsid w:val="00FB28B0"/>
    <w:rsid w:val="00FB2FFF"/>
    <w:rsid w:val="00FB31CF"/>
    <w:rsid w:val="00FB3424"/>
    <w:rsid w:val="00FB3541"/>
    <w:rsid w:val="00FB42D2"/>
    <w:rsid w:val="00FB4EBF"/>
    <w:rsid w:val="00FB5B86"/>
    <w:rsid w:val="00FB5D47"/>
    <w:rsid w:val="00FB6A10"/>
    <w:rsid w:val="00FB6EE6"/>
    <w:rsid w:val="00FB70F0"/>
    <w:rsid w:val="00FB7B0E"/>
    <w:rsid w:val="00FB7DA7"/>
    <w:rsid w:val="00FB7F30"/>
    <w:rsid w:val="00FC051E"/>
    <w:rsid w:val="00FC0E3A"/>
    <w:rsid w:val="00FC0EBD"/>
    <w:rsid w:val="00FC1553"/>
    <w:rsid w:val="00FC15C0"/>
    <w:rsid w:val="00FC1687"/>
    <w:rsid w:val="00FC170E"/>
    <w:rsid w:val="00FC2020"/>
    <w:rsid w:val="00FC2C28"/>
    <w:rsid w:val="00FC35AA"/>
    <w:rsid w:val="00FC38FA"/>
    <w:rsid w:val="00FC3DC5"/>
    <w:rsid w:val="00FC3E99"/>
    <w:rsid w:val="00FC4043"/>
    <w:rsid w:val="00FC408A"/>
    <w:rsid w:val="00FC49E0"/>
    <w:rsid w:val="00FC4D64"/>
    <w:rsid w:val="00FC549C"/>
    <w:rsid w:val="00FC580C"/>
    <w:rsid w:val="00FC59E0"/>
    <w:rsid w:val="00FC5F7B"/>
    <w:rsid w:val="00FC628E"/>
    <w:rsid w:val="00FC6B31"/>
    <w:rsid w:val="00FC717F"/>
    <w:rsid w:val="00FC7CEC"/>
    <w:rsid w:val="00FD01AC"/>
    <w:rsid w:val="00FD088D"/>
    <w:rsid w:val="00FD0C21"/>
    <w:rsid w:val="00FD1204"/>
    <w:rsid w:val="00FD166F"/>
    <w:rsid w:val="00FD1CD4"/>
    <w:rsid w:val="00FD270E"/>
    <w:rsid w:val="00FD349A"/>
    <w:rsid w:val="00FD36EB"/>
    <w:rsid w:val="00FD3DB3"/>
    <w:rsid w:val="00FD43ED"/>
    <w:rsid w:val="00FD464F"/>
    <w:rsid w:val="00FD4C47"/>
    <w:rsid w:val="00FD5149"/>
    <w:rsid w:val="00FD52E8"/>
    <w:rsid w:val="00FD55DA"/>
    <w:rsid w:val="00FD71A7"/>
    <w:rsid w:val="00FD73AA"/>
    <w:rsid w:val="00FD7481"/>
    <w:rsid w:val="00FD7BDC"/>
    <w:rsid w:val="00FD7F17"/>
    <w:rsid w:val="00FE00BF"/>
    <w:rsid w:val="00FE03C5"/>
    <w:rsid w:val="00FE0E24"/>
    <w:rsid w:val="00FE0F06"/>
    <w:rsid w:val="00FE0F21"/>
    <w:rsid w:val="00FE0F2B"/>
    <w:rsid w:val="00FE1159"/>
    <w:rsid w:val="00FE14D3"/>
    <w:rsid w:val="00FE1800"/>
    <w:rsid w:val="00FE1850"/>
    <w:rsid w:val="00FE19AA"/>
    <w:rsid w:val="00FE1CB1"/>
    <w:rsid w:val="00FE221B"/>
    <w:rsid w:val="00FE284C"/>
    <w:rsid w:val="00FE2936"/>
    <w:rsid w:val="00FE2B4B"/>
    <w:rsid w:val="00FE364B"/>
    <w:rsid w:val="00FE3E0C"/>
    <w:rsid w:val="00FE4126"/>
    <w:rsid w:val="00FE47B6"/>
    <w:rsid w:val="00FE51FE"/>
    <w:rsid w:val="00FE53A2"/>
    <w:rsid w:val="00FE594A"/>
    <w:rsid w:val="00FE609C"/>
    <w:rsid w:val="00FE60AB"/>
    <w:rsid w:val="00FE66DB"/>
    <w:rsid w:val="00FE6ABB"/>
    <w:rsid w:val="00FE6B99"/>
    <w:rsid w:val="00FE7175"/>
    <w:rsid w:val="00FE7221"/>
    <w:rsid w:val="00FE7CB1"/>
    <w:rsid w:val="00FF1234"/>
    <w:rsid w:val="00FF2020"/>
    <w:rsid w:val="00FF317F"/>
    <w:rsid w:val="00FF36CF"/>
    <w:rsid w:val="00FF3891"/>
    <w:rsid w:val="00FF38EC"/>
    <w:rsid w:val="00FF38F2"/>
    <w:rsid w:val="00FF396F"/>
    <w:rsid w:val="00FF3C61"/>
    <w:rsid w:val="00FF3C66"/>
    <w:rsid w:val="00FF3D30"/>
    <w:rsid w:val="00FF3FD5"/>
    <w:rsid w:val="00FF4121"/>
    <w:rsid w:val="00FF43FE"/>
    <w:rsid w:val="00FF4639"/>
    <w:rsid w:val="00FF47F4"/>
    <w:rsid w:val="00FF4842"/>
    <w:rsid w:val="00FF61DB"/>
    <w:rsid w:val="00FF6476"/>
    <w:rsid w:val="00FF737F"/>
    <w:rsid w:val="00FF7546"/>
    <w:rsid w:val="00FF795C"/>
    <w:rsid w:val="00FF7E2B"/>
    <w:rsid w:val="02590923"/>
    <w:rsid w:val="03306FF2"/>
    <w:rsid w:val="03A564E3"/>
    <w:rsid w:val="03E5016C"/>
    <w:rsid w:val="04114181"/>
    <w:rsid w:val="052632EA"/>
    <w:rsid w:val="05952E30"/>
    <w:rsid w:val="06C20A14"/>
    <w:rsid w:val="07B10543"/>
    <w:rsid w:val="080D018E"/>
    <w:rsid w:val="087D6DBD"/>
    <w:rsid w:val="087E7819"/>
    <w:rsid w:val="08A24D83"/>
    <w:rsid w:val="090F52FB"/>
    <w:rsid w:val="0A7C7682"/>
    <w:rsid w:val="0AE32348"/>
    <w:rsid w:val="0BDA3258"/>
    <w:rsid w:val="0C860B72"/>
    <w:rsid w:val="0CC54073"/>
    <w:rsid w:val="0CF653E6"/>
    <w:rsid w:val="0DBA7718"/>
    <w:rsid w:val="0DC1407D"/>
    <w:rsid w:val="0F7D31A8"/>
    <w:rsid w:val="0FB444A3"/>
    <w:rsid w:val="109E22EB"/>
    <w:rsid w:val="11617280"/>
    <w:rsid w:val="11A4132B"/>
    <w:rsid w:val="11DA44D9"/>
    <w:rsid w:val="12440BE2"/>
    <w:rsid w:val="12743D6E"/>
    <w:rsid w:val="13FC47BC"/>
    <w:rsid w:val="1644736D"/>
    <w:rsid w:val="164E10DD"/>
    <w:rsid w:val="16B909F8"/>
    <w:rsid w:val="16B9681E"/>
    <w:rsid w:val="16F35B5E"/>
    <w:rsid w:val="177824B3"/>
    <w:rsid w:val="17EB3A73"/>
    <w:rsid w:val="180E7EE5"/>
    <w:rsid w:val="197E7478"/>
    <w:rsid w:val="19C555EB"/>
    <w:rsid w:val="19C636EC"/>
    <w:rsid w:val="19C651BE"/>
    <w:rsid w:val="19D8303F"/>
    <w:rsid w:val="1AC63284"/>
    <w:rsid w:val="1BB9488E"/>
    <w:rsid w:val="1CC23E49"/>
    <w:rsid w:val="1CDA7A73"/>
    <w:rsid w:val="1D0C50A7"/>
    <w:rsid w:val="1D1B5A6C"/>
    <w:rsid w:val="1E643330"/>
    <w:rsid w:val="1ECD5896"/>
    <w:rsid w:val="1F1A0F19"/>
    <w:rsid w:val="1F2B7A3E"/>
    <w:rsid w:val="1F714D10"/>
    <w:rsid w:val="1FA97357"/>
    <w:rsid w:val="206447A0"/>
    <w:rsid w:val="224A2C20"/>
    <w:rsid w:val="22806203"/>
    <w:rsid w:val="23BE58A3"/>
    <w:rsid w:val="2449211A"/>
    <w:rsid w:val="24A76103"/>
    <w:rsid w:val="24E87EAF"/>
    <w:rsid w:val="25311ED8"/>
    <w:rsid w:val="25416371"/>
    <w:rsid w:val="25656DCF"/>
    <w:rsid w:val="25996C18"/>
    <w:rsid w:val="26196FBE"/>
    <w:rsid w:val="26C524E1"/>
    <w:rsid w:val="27AC524C"/>
    <w:rsid w:val="27DF5779"/>
    <w:rsid w:val="27E007E0"/>
    <w:rsid w:val="292824CB"/>
    <w:rsid w:val="2B3B43F0"/>
    <w:rsid w:val="2C1879A1"/>
    <w:rsid w:val="2C936F4D"/>
    <w:rsid w:val="2CF64F20"/>
    <w:rsid w:val="2D741E0A"/>
    <w:rsid w:val="2D773FF4"/>
    <w:rsid w:val="2E337497"/>
    <w:rsid w:val="2E6F498C"/>
    <w:rsid w:val="2EE429B5"/>
    <w:rsid w:val="2EF25C04"/>
    <w:rsid w:val="2F1A7C9F"/>
    <w:rsid w:val="2F66675C"/>
    <w:rsid w:val="2F886128"/>
    <w:rsid w:val="2FD40779"/>
    <w:rsid w:val="30B46E59"/>
    <w:rsid w:val="30BB67E1"/>
    <w:rsid w:val="310428C0"/>
    <w:rsid w:val="327B6EF5"/>
    <w:rsid w:val="32B05ACE"/>
    <w:rsid w:val="33047073"/>
    <w:rsid w:val="331C44D9"/>
    <w:rsid w:val="35D70990"/>
    <w:rsid w:val="36CB4105"/>
    <w:rsid w:val="37113F9E"/>
    <w:rsid w:val="374B3CCE"/>
    <w:rsid w:val="37772DCD"/>
    <w:rsid w:val="37D1322B"/>
    <w:rsid w:val="37F86E83"/>
    <w:rsid w:val="381B35C8"/>
    <w:rsid w:val="387F529B"/>
    <w:rsid w:val="38C13487"/>
    <w:rsid w:val="39575344"/>
    <w:rsid w:val="39AA099D"/>
    <w:rsid w:val="39C301AA"/>
    <w:rsid w:val="39FF5A7B"/>
    <w:rsid w:val="3A8B6E63"/>
    <w:rsid w:val="3BA40D5C"/>
    <w:rsid w:val="3BAD15C2"/>
    <w:rsid w:val="3BE26024"/>
    <w:rsid w:val="3D9C176F"/>
    <w:rsid w:val="3DFA614B"/>
    <w:rsid w:val="3E9E6792"/>
    <w:rsid w:val="3EB14B03"/>
    <w:rsid w:val="40A009AB"/>
    <w:rsid w:val="41036F69"/>
    <w:rsid w:val="41F7161D"/>
    <w:rsid w:val="41FF39EB"/>
    <w:rsid w:val="42FC5BA8"/>
    <w:rsid w:val="43120CA1"/>
    <w:rsid w:val="431815F5"/>
    <w:rsid w:val="435D5191"/>
    <w:rsid w:val="44291621"/>
    <w:rsid w:val="447A7BF3"/>
    <w:rsid w:val="44EF2A9D"/>
    <w:rsid w:val="466510E8"/>
    <w:rsid w:val="46FB2B43"/>
    <w:rsid w:val="48431186"/>
    <w:rsid w:val="49514F04"/>
    <w:rsid w:val="49725FF6"/>
    <w:rsid w:val="4A01209C"/>
    <w:rsid w:val="4ABA40F8"/>
    <w:rsid w:val="4B573D83"/>
    <w:rsid w:val="4D596358"/>
    <w:rsid w:val="4E275E24"/>
    <w:rsid w:val="4E6971E3"/>
    <w:rsid w:val="4E9F13E2"/>
    <w:rsid w:val="4EC20874"/>
    <w:rsid w:val="4F0454AF"/>
    <w:rsid w:val="4F211A9E"/>
    <w:rsid w:val="50DC5101"/>
    <w:rsid w:val="5103089B"/>
    <w:rsid w:val="51063FCF"/>
    <w:rsid w:val="51BD03D9"/>
    <w:rsid w:val="51CD21E0"/>
    <w:rsid w:val="51EF2C7C"/>
    <w:rsid w:val="52400D41"/>
    <w:rsid w:val="53411E8B"/>
    <w:rsid w:val="53B426A4"/>
    <w:rsid w:val="53D775B0"/>
    <w:rsid w:val="540436E4"/>
    <w:rsid w:val="54837309"/>
    <w:rsid w:val="55DF518A"/>
    <w:rsid w:val="55E4091C"/>
    <w:rsid w:val="560D4752"/>
    <w:rsid w:val="566118CC"/>
    <w:rsid w:val="572033D3"/>
    <w:rsid w:val="579126B3"/>
    <w:rsid w:val="58216A58"/>
    <w:rsid w:val="582C7EC8"/>
    <w:rsid w:val="5832212A"/>
    <w:rsid w:val="587D2786"/>
    <w:rsid w:val="58C73F98"/>
    <w:rsid w:val="592F5521"/>
    <w:rsid w:val="59AA360C"/>
    <w:rsid w:val="5A2D79FC"/>
    <w:rsid w:val="5A3E5F2B"/>
    <w:rsid w:val="5A686872"/>
    <w:rsid w:val="5B4C77C8"/>
    <w:rsid w:val="5B595D8E"/>
    <w:rsid w:val="5B5A776E"/>
    <w:rsid w:val="5B8F3E2D"/>
    <w:rsid w:val="5CA55E1F"/>
    <w:rsid w:val="5CC44D77"/>
    <w:rsid w:val="5D302934"/>
    <w:rsid w:val="5E6C5970"/>
    <w:rsid w:val="5EAC2A76"/>
    <w:rsid w:val="5F2450D7"/>
    <w:rsid w:val="5F4B788C"/>
    <w:rsid w:val="5FA16684"/>
    <w:rsid w:val="604B4ECD"/>
    <w:rsid w:val="60C7339E"/>
    <w:rsid w:val="60DA0C72"/>
    <w:rsid w:val="611A7D5B"/>
    <w:rsid w:val="61992CB6"/>
    <w:rsid w:val="62680ABD"/>
    <w:rsid w:val="63F20658"/>
    <w:rsid w:val="640426D2"/>
    <w:rsid w:val="64221057"/>
    <w:rsid w:val="64703DC2"/>
    <w:rsid w:val="654C6F1F"/>
    <w:rsid w:val="66AB12DB"/>
    <w:rsid w:val="67145DB8"/>
    <w:rsid w:val="67576F9E"/>
    <w:rsid w:val="67890B06"/>
    <w:rsid w:val="67C7452F"/>
    <w:rsid w:val="68335516"/>
    <w:rsid w:val="694148E6"/>
    <w:rsid w:val="69603C65"/>
    <w:rsid w:val="69A242FE"/>
    <w:rsid w:val="6A06413A"/>
    <w:rsid w:val="6A7877F3"/>
    <w:rsid w:val="6AAA1034"/>
    <w:rsid w:val="6AC72E0C"/>
    <w:rsid w:val="6C8A317F"/>
    <w:rsid w:val="6CEE2F87"/>
    <w:rsid w:val="6E0C333E"/>
    <w:rsid w:val="6E602917"/>
    <w:rsid w:val="6E7D5A8A"/>
    <w:rsid w:val="6E933056"/>
    <w:rsid w:val="6ED874B7"/>
    <w:rsid w:val="6F5A793D"/>
    <w:rsid w:val="6FD1784B"/>
    <w:rsid w:val="6FF21792"/>
    <w:rsid w:val="7089187E"/>
    <w:rsid w:val="70EE128F"/>
    <w:rsid w:val="722423AF"/>
    <w:rsid w:val="72301F9C"/>
    <w:rsid w:val="726E6CB4"/>
    <w:rsid w:val="737309DE"/>
    <w:rsid w:val="73B16290"/>
    <w:rsid w:val="73E455FF"/>
    <w:rsid w:val="744D1550"/>
    <w:rsid w:val="74702F5B"/>
    <w:rsid w:val="747A7389"/>
    <w:rsid w:val="74F651C1"/>
    <w:rsid w:val="76133785"/>
    <w:rsid w:val="764C43F3"/>
    <w:rsid w:val="76684FD8"/>
    <w:rsid w:val="79481B6E"/>
    <w:rsid w:val="79634C17"/>
    <w:rsid w:val="79A14A90"/>
    <w:rsid w:val="79CB0C87"/>
    <w:rsid w:val="7A754718"/>
    <w:rsid w:val="7B4B3FDE"/>
    <w:rsid w:val="7BE80682"/>
    <w:rsid w:val="7D051178"/>
    <w:rsid w:val="7E066334"/>
    <w:rsid w:val="7E7A3363"/>
    <w:rsid w:val="7E7F2FB6"/>
    <w:rsid w:val="7FB859B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77"/>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200" w:firstLineChars="200"/>
      <w:jc w:val="both"/>
    </w:pPr>
    <w:rPr>
      <w:rFonts w:ascii="Courier New" w:hAnsi="Courier New" w:eastAsia="宋体" w:cs="Courier New"/>
      <w:kern w:val="2"/>
      <w:sz w:val="24"/>
      <w:lang w:val="en-US" w:eastAsia="zh-CN" w:bidi="ar-SA"/>
    </w:rPr>
  </w:style>
  <w:style w:type="paragraph" w:styleId="2">
    <w:name w:val="heading 1"/>
    <w:basedOn w:val="1"/>
    <w:next w:val="1"/>
    <w:link w:val="45"/>
    <w:qFormat/>
    <w:uiPriority w:val="0"/>
    <w:pPr>
      <w:keepNext/>
      <w:spacing w:line="700" w:lineRule="exact"/>
      <w:ind w:firstLine="0" w:firstLineChars="0"/>
      <w:jc w:val="center"/>
      <w:outlineLvl w:val="0"/>
    </w:pPr>
    <w:rPr>
      <w:b/>
      <w:sz w:val="44"/>
    </w:rPr>
  </w:style>
  <w:style w:type="paragraph" w:styleId="3">
    <w:name w:val="heading 2"/>
    <w:basedOn w:val="1"/>
    <w:next w:val="4"/>
    <w:link w:val="46"/>
    <w:qFormat/>
    <w:uiPriority w:val="0"/>
    <w:pPr>
      <w:keepNext/>
      <w:spacing w:line="440" w:lineRule="exact"/>
      <w:ind w:firstLine="482"/>
      <w:outlineLvl w:val="1"/>
    </w:pPr>
    <w:rPr>
      <w:rFonts w:ascii="宋体" w:hAnsi="宋体" w:cs="Times New Roman"/>
      <w:b/>
      <w:color w:val="000000"/>
    </w:rPr>
  </w:style>
  <w:style w:type="paragraph" w:styleId="5">
    <w:name w:val="heading 3"/>
    <w:basedOn w:val="1"/>
    <w:next w:val="1"/>
    <w:link w:val="66"/>
    <w:qFormat/>
    <w:uiPriority w:val="9"/>
    <w:pPr>
      <w:keepNext/>
      <w:keepLines/>
      <w:outlineLvl w:val="2"/>
    </w:pPr>
    <w:rPr>
      <w:rFonts w:cs="Times New Roman"/>
      <w:b/>
      <w:bCs/>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6">
    <w:name w:val="toc 7"/>
    <w:basedOn w:val="1"/>
    <w:next w:val="1"/>
    <w:unhideWhenUsed/>
    <w:qFormat/>
    <w:uiPriority w:val="39"/>
    <w:pPr>
      <w:ind w:left="1260"/>
      <w:jc w:val="left"/>
    </w:pPr>
    <w:rPr>
      <w:rFonts w:ascii="@宋体" w:hAnsi="@宋体"/>
      <w:sz w:val="18"/>
      <w:szCs w:val="18"/>
    </w:rPr>
  </w:style>
  <w:style w:type="paragraph" w:styleId="7">
    <w:name w:val="Document Map"/>
    <w:basedOn w:val="1"/>
    <w:link w:val="52"/>
    <w:semiHidden/>
    <w:qFormat/>
    <w:uiPriority w:val="0"/>
    <w:pPr>
      <w:shd w:val="clear" w:color="auto" w:fill="000080"/>
    </w:pPr>
    <w:rPr>
      <w:rFonts w:cs="Times New Roman"/>
      <w:sz w:val="21"/>
    </w:rPr>
  </w:style>
  <w:style w:type="paragraph" w:styleId="8">
    <w:name w:val="annotation text"/>
    <w:basedOn w:val="1"/>
    <w:link w:val="38"/>
    <w:semiHidden/>
    <w:qFormat/>
    <w:uiPriority w:val="0"/>
    <w:pPr>
      <w:jc w:val="left"/>
    </w:pPr>
    <w:rPr>
      <w:rFonts w:eastAsia="Wingdings" w:cs="Times New Roman"/>
      <w:kern w:val="0"/>
      <w:sz w:val="20"/>
    </w:rPr>
  </w:style>
  <w:style w:type="paragraph" w:styleId="9">
    <w:name w:val="Body Text"/>
    <w:basedOn w:val="1"/>
    <w:link w:val="50"/>
    <w:qFormat/>
    <w:uiPriority w:val="0"/>
    <w:rPr>
      <w:rFonts w:cs="Times New Roman"/>
      <w:sz w:val="44"/>
    </w:rPr>
  </w:style>
  <w:style w:type="paragraph" w:styleId="10">
    <w:name w:val="Body Text Indent"/>
    <w:basedOn w:val="1"/>
    <w:link w:val="54"/>
    <w:qFormat/>
    <w:uiPriority w:val="0"/>
    <w:pPr>
      <w:ind w:firstLine="720"/>
    </w:pPr>
    <w:rPr>
      <w:rFonts w:ascii="Wingdings" w:cs="Times New Roman"/>
      <w:sz w:val="28"/>
    </w:rPr>
  </w:style>
  <w:style w:type="paragraph" w:styleId="11">
    <w:name w:val="toc 5"/>
    <w:basedOn w:val="1"/>
    <w:next w:val="1"/>
    <w:unhideWhenUsed/>
    <w:qFormat/>
    <w:uiPriority w:val="39"/>
    <w:pPr>
      <w:ind w:left="840"/>
      <w:jc w:val="left"/>
    </w:pPr>
    <w:rPr>
      <w:rFonts w:ascii="@宋体" w:hAnsi="@宋体"/>
      <w:sz w:val="18"/>
      <w:szCs w:val="18"/>
    </w:rPr>
  </w:style>
  <w:style w:type="paragraph" w:styleId="12">
    <w:name w:val="toc 3"/>
    <w:basedOn w:val="1"/>
    <w:next w:val="1"/>
    <w:unhideWhenUsed/>
    <w:qFormat/>
    <w:uiPriority w:val="39"/>
    <w:pPr>
      <w:ind w:left="420"/>
      <w:jc w:val="left"/>
    </w:pPr>
    <w:rPr>
      <w:rFonts w:ascii="@宋体" w:hAnsi="@宋体"/>
      <w:iCs/>
    </w:rPr>
  </w:style>
  <w:style w:type="paragraph" w:styleId="13">
    <w:name w:val="Plain Text"/>
    <w:basedOn w:val="1"/>
    <w:link w:val="44"/>
    <w:qFormat/>
    <w:uiPriority w:val="0"/>
    <w:rPr>
      <w:rFonts w:ascii="Wingdings" w:hAnsi="Tahoma" w:cs="Times New Roman"/>
      <w:sz w:val="21"/>
    </w:rPr>
  </w:style>
  <w:style w:type="paragraph" w:styleId="14">
    <w:name w:val="toc 8"/>
    <w:basedOn w:val="1"/>
    <w:next w:val="1"/>
    <w:unhideWhenUsed/>
    <w:qFormat/>
    <w:uiPriority w:val="39"/>
    <w:pPr>
      <w:ind w:left="1470"/>
      <w:jc w:val="left"/>
    </w:pPr>
    <w:rPr>
      <w:rFonts w:ascii="@宋体" w:hAnsi="@宋体"/>
      <w:sz w:val="18"/>
      <w:szCs w:val="18"/>
    </w:rPr>
  </w:style>
  <w:style w:type="paragraph" w:styleId="15">
    <w:name w:val="Date"/>
    <w:basedOn w:val="1"/>
    <w:next w:val="1"/>
    <w:link w:val="42"/>
    <w:unhideWhenUsed/>
    <w:qFormat/>
    <w:uiPriority w:val="99"/>
    <w:pPr>
      <w:ind w:left="100" w:leftChars="2500"/>
    </w:pPr>
    <w:rPr>
      <w:rFonts w:cs="Times New Roman"/>
      <w:sz w:val="21"/>
    </w:rPr>
  </w:style>
  <w:style w:type="paragraph" w:styleId="16">
    <w:name w:val="Body Text Indent 2"/>
    <w:basedOn w:val="1"/>
    <w:link w:val="49"/>
    <w:qFormat/>
    <w:uiPriority w:val="0"/>
    <w:pPr>
      <w:ind w:firstLine="560"/>
    </w:pPr>
    <w:rPr>
      <w:rFonts w:ascii="Wingdings" w:hAnsi="Wingdings" w:cs="Times New Roman"/>
      <w:sz w:val="28"/>
    </w:rPr>
  </w:style>
  <w:style w:type="paragraph" w:styleId="17">
    <w:name w:val="Balloon Text"/>
    <w:basedOn w:val="1"/>
    <w:link w:val="39"/>
    <w:unhideWhenUsed/>
    <w:qFormat/>
    <w:uiPriority w:val="99"/>
    <w:rPr>
      <w:rFonts w:eastAsia="Wingdings" w:cs="Times New Roman"/>
      <w:kern w:val="0"/>
      <w:sz w:val="18"/>
      <w:szCs w:val="18"/>
    </w:rPr>
  </w:style>
  <w:style w:type="paragraph" w:styleId="18">
    <w:name w:val="footer"/>
    <w:basedOn w:val="1"/>
    <w:link w:val="41"/>
    <w:unhideWhenUsed/>
    <w:qFormat/>
    <w:uiPriority w:val="99"/>
    <w:pPr>
      <w:tabs>
        <w:tab w:val="center" w:pos="4153"/>
        <w:tab w:val="right" w:pos="8306"/>
      </w:tabs>
      <w:snapToGrid w:val="0"/>
      <w:jc w:val="left"/>
    </w:pPr>
    <w:rPr>
      <w:rFonts w:eastAsia="Wingdings" w:cs="Times New Roman"/>
      <w:kern w:val="0"/>
      <w:sz w:val="18"/>
      <w:szCs w:val="18"/>
    </w:rPr>
  </w:style>
  <w:style w:type="paragraph" w:styleId="19">
    <w:name w:val="header"/>
    <w:basedOn w:val="1"/>
    <w:link w:val="40"/>
    <w:unhideWhenUsed/>
    <w:qFormat/>
    <w:uiPriority w:val="99"/>
    <w:pPr>
      <w:pBdr>
        <w:bottom w:val="single" w:color="auto" w:sz="6" w:space="1"/>
      </w:pBdr>
      <w:tabs>
        <w:tab w:val="center" w:pos="4153"/>
        <w:tab w:val="right" w:pos="8306"/>
      </w:tabs>
      <w:snapToGrid w:val="0"/>
      <w:jc w:val="center"/>
    </w:pPr>
    <w:rPr>
      <w:rFonts w:eastAsia="Wingdings" w:cs="Times New Roman"/>
      <w:kern w:val="0"/>
      <w:sz w:val="18"/>
      <w:szCs w:val="18"/>
    </w:rPr>
  </w:style>
  <w:style w:type="paragraph" w:styleId="20">
    <w:name w:val="toc 1"/>
    <w:basedOn w:val="1"/>
    <w:next w:val="1"/>
    <w:unhideWhenUsed/>
    <w:qFormat/>
    <w:uiPriority w:val="39"/>
    <w:pPr>
      <w:spacing w:before="20" w:after="20" w:line="340" w:lineRule="exact"/>
    </w:pPr>
    <w:rPr>
      <w:rFonts w:ascii="@宋体" w:hAnsi="@宋体"/>
      <w:b/>
      <w:bCs/>
      <w:caps/>
      <w:sz w:val="21"/>
    </w:rPr>
  </w:style>
  <w:style w:type="paragraph" w:styleId="21">
    <w:name w:val="toc 4"/>
    <w:basedOn w:val="1"/>
    <w:next w:val="1"/>
    <w:unhideWhenUsed/>
    <w:qFormat/>
    <w:uiPriority w:val="39"/>
    <w:pPr>
      <w:ind w:left="630"/>
      <w:jc w:val="left"/>
    </w:pPr>
    <w:rPr>
      <w:rFonts w:ascii="@宋体" w:hAnsi="@宋体"/>
      <w:sz w:val="18"/>
      <w:szCs w:val="18"/>
    </w:rPr>
  </w:style>
  <w:style w:type="paragraph" w:styleId="22">
    <w:name w:val="toc 6"/>
    <w:basedOn w:val="1"/>
    <w:next w:val="1"/>
    <w:unhideWhenUsed/>
    <w:qFormat/>
    <w:uiPriority w:val="39"/>
    <w:pPr>
      <w:ind w:left="1050"/>
      <w:jc w:val="left"/>
    </w:pPr>
    <w:rPr>
      <w:rFonts w:ascii="@宋体" w:hAnsi="@宋体"/>
      <w:sz w:val="18"/>
      <w:szCs w:val="18"/>
    </w:rPr>
  </w:style>
  <w:style w:type="paragraph" w:styleId="23">
    <w:name w:val="Body Text Indent 3"/>
    <w:basedOn w:val="1"/>
    <w:link w:val="51"/>
    <w:qFormat/>
    <w:uiPriority w:val="0"/>
    <w:pPr>
      <w:spacing w:after="120"/>
      <w:ind w:left="420" w:leftChars="200"/>
    </w:pPr>
    <w:rPr>
      <w:rFonts w:cs="Times New Roman"/>
      <w:sz w:val="16"/>
    </w:rPr>
  </w:style>
  <w:style w:type="paragraph" w:styleId="24">
    <w:name w:val="toc 2"/>
    <w:basedOn w:val="1"/>
    <w:next w:val="1"/>
    <w:unhideWhenUsed/>
    <w:qFormat/>
    <w:uiPriority w:val="39"/>
    <w:pPr>
      <w:tabs>
        <w:tab w:val="right" w:leader="dot" w:pos="9287"/>
      </w:tabs>
      <w:spacing w:line="340" w:lineRule="exact"/>
      <w:ind w:firstLine="400" w:firstLineChars="400"/>
    </w:pPr>
    <w:rPr>
      <w:rFonts w:ascii="@宋体" w:hAnsi="@宋体"/>
      <w:smallCaps/>
      <w:sz w:val="21"/>
    </w:rPr>
  </w:style>
  <w:style w:type="paragraph" w:styleId="25">
    <w:name w:val="toc 9"/>
    <w:basedOn w:val="1"/>
    <w:next w:val="1"/>
    <w:unhideWhenUsed/>
    <w:qFormat/>
    <w:uiPriority w:val="39"/>
    <w:pPr>
      <w:ind w:left="1680"/>
      <w:jc w:val="left"/>
    </w:pPr>
    <w:rPr>
      <w:rFonts w:ascii="@宋体" w:hAnsi="@宋体"/>
      <w:sz w:val="18"/>
      <w:szCs w:val="18"/>
    </w:rPr>
  </w:style>
  <w:style w:type="paragraph" w:styleId="26">
    <w:name w:val="Body Text 2"/>
    <w:basedOn w:val="1"/>
    <w:link w:val="53"/>
    <w:qFormat/>
    <w:uiPriority w:val="0"/>
    <w:rPr>
      <w:rFonts w:cs="Times New Roman"/>
      <w:sz w:val="28"/>
    </w:rPr>
  </w:style>
  <w:style w:type="paragraph" w:styleId="27">
    <w:name w:val="Normal (Web)"/>
    <w:basedOn w:val="1"/>
    <w:qFormat/>
    <w:uiPriority w:val="0"/>
    <w:pPr>
      <w:widowControl/>
      <w:spacing w:before="100" w:beforeAutospacing="1" w:after="100" w:afterAutospacing="1"/>
      <w:jc w:val="left"/>
    </w:pPr>
    <w:rPr>
      <w:rFonts w:ascii="Wingdings" w:hAnsi="Wingdings" w:cs="Wingdings"/>
      <w:kern w:val="0"/>
      <w:szCs w:val="24"/>
    </w:rPr>
  </w:style>
  <w:style w:type="paragraph" w:styleId="28">
    <w:name w:val="annotation subject"/>
    <w:basedOn w:val="8"/>
    <w:next w:val="8"/>
    <w:link w:val="61"/>
    <w:semiHidden/>
    <w:qFormat/>
    <w:uiPriority w:val="0"/>
    <w:rPr>
      <w:b/>
      <w:bCs/>
      <w:kern w:val="2"/>
      <w:sz w:val="21"/>
    </w:rPr>
  </w:style>
  <w:style w:type="table" w:styleId="30">
    <w:name w:val="Table Grid"/>
    <w:basedOn w:val="29"/>
    <w:qFormat/>
    <w:uiPriority w:val="39"/>
    <w:pPr>
      <w:widowControl w:val="0"/>
      <w:jc w:val="both"/>
    </w:pPr>
    <w:rPr>
      <w:rFonts w:ascii="Courier New" w:hAnsi="Courier Ne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qFormat/>
    <w:uiPriority w:val="0"/>
    <w:rPr>
      <w:color w:val="800080"/>
      <w:u w:val="single"/>
    </w:rPr>
  </w:style>
  <w:style w:type="character" w:styleId="35">
    <w:name w:val="Emphasis"/>
    <w:basedOn w:val="31"/>
    <w:qFormat/>
    <w:uiPriority w:val="20"/>
    <w:rPr>
      <w:i/>
      <w:iCs/>
    </w:rPr>
  </w:style>
  <w:style w:type="character" w:styleId="36">
    <w:name w:val="Hyperlink"/>
    <w:qFormat/>
    <w:uiPriority w:val="0"/>
    <w:rPr>
      <w:dstrike/>
      <w:color w:val="000000"/>
      <w:u w:val="none"/>
    </w:rPr>
  </w:style>
  <w:style w:type="character" w:styleId="37">
    <w:name w:val="annotation reference"/>
    <w:semiHidden/>
    <w:qFormat/>
    <w:uiPriority w:val="0"/>
    <w:rPr>
      <w:sz w:val="21"/>
      <w:szCs w:val="21"/>
    </w:rPr>
  </w:style>
  <w:style w:type="character" w:customStyle="1" w:styleId="38">
    <w:name w:val="批注文字 Char"/>
    <w:link w:val="8"/>
    <w:semiHidden/>
    <w:qFormat/>
    <w:uiPriority w:val="0"/>
    <w:rPr>
      <w:rFonts w:ascii="Courier New" w:hAnsi="Courier New" w:eastAsia="Wingdings" w:cs="Courier New"/>
      <w:szCs w:val="20"/>
    </w:rPr>
  </w:style>
  <w:style w:type="character" w:customStyle="1" w:styleId="39">
    <w:name w:val="批注框文本 Char"/>
    <w:link w:val="17"/>
    <w:semiHidden/>
    <w:qFormat/>
    <w:uiPriority w:val="99"/>
    <w:rPr>
      <w:rFonts w:ascii="Courier New" w:hAnsi="Courier New" w:eastAsia="Wingdings" w:cs="Courier New"/>
      <w:sz w:val="18"/>
      <w:szCs w:val="18"/>
    </w:rPr>
  </w:style>
  <w:style w:type="character" w:customStyle="1" w:styleId="40">
    <w:name w:val="页眉 Char"/>
    <w:link w:val="19"/>
    <w:qFormat/>
    <w:uiPriority w:val="99"/>
    <w:rPr>
      <w:rFonts w:ascii="Courier New" w:hAnsi="Courier New" w:eastAsia="Wingdings" w:cs="Courier New"/>
      <w:sz w:val="18"/>
      <w:szCs w:val="18"/>
    </w:rPr>
  </w:style>
  <w:style w:type="character" w:customStyle="1" w:styleId="41">
    <w:name w:val="页脚 Char"/>
    <w:link w:val="18"/>
    <w:qFormat/>
    <w:uiPriority w:val="99"/>
    <w:rPr>
      <w:rFonts w:ascii="Courier New" w:hAnsi="Courier New" w:eastAsia="Wingdings" w:cs="Courier New"/>
      <w:sz w:val="18"/>
      <w:szCs w:val="18"/>
    </w:rPr>
  </w:style>
  <w:style w:type="character" w:customStyle="1" w:styleId="42">
    <w:name w:val="日期 Char"/>
    <w:link w:val="15"/>
    <w:semiHidden/>
    <w:qFormat/>
    <w:uiPriority w:val="99"/>
    <w:rPr>
      <w:rFonts w:ascii="Courier New" w:hAnsi="Courier New"/>
      <w:kern w:val="2"/>
      <w:sz w:val="21"/>
    </w:rPr>
  </w:style>
  <w:style w:type="character" w:customStyle="1" w:styleId="43">
    <w:name w:val="纯文本 Char"/>
    <w:qFormat/>
    <w:uiPriority w:val="0"/>
    <w:rPr>
      <w:rFonts w:ascii="Wingdings" w:hAnsi="Tahoma" w:cs="Tahoma"/>
      <w:kern w:val="2"/>
      <w:sz w:val="21"/>
      <w:szCs w:val="21"/>
    </w:rPr>
  </w:style>
  <w:style w:type="character" w:customStyle="1" w:styleId="44">
    <w:name w:val="纯文本 Char1"/>
    <w:link w:val="13"/>
    <w:qFormat/>
    <w:uiPriority w:val="0"/>
    <w:rPr>
      <w:rFonts w:ascii="Wingdings" w:hAnsi="Tahoma"/>
      <w:kern w:val="2"/>
      <w:sz w:val="21"/>
    </w:rPr>
  </w:style>
  <w:style w:type="character" w:customStyle="1" w:styleId="45">
    <w:name w:val="标题 1 Char"/>
    <w:link w:val="2"/>
    <w:qFormat/>
    <w:uiPriority w:val="0"/>
    <w:rPr>
      <w:rFonts w:ascii="Courier New" w:hAnsi="Courier New" w:eastAsia="宋体" w:cs="Courier New"/>
      <w:b/>
      <w:kern w:val="2"/>
      <w:sz w:val="44"/>
      <w:lang w:bidi="ar-SA"/>
    </w:rPr>
  </w:style>
  <w:style w:type="character" w:customStyle="1" w:styleId="46">
    <w:name w:val="标题 2 Char"/>
    <w:link w:val="3"/>
    <w:qFormat/>
    <w:uiPriority w:val="0"/>
    <w:rPr>
      <w:rFonts w:ascii="宋体" w:hAnsi="宋体" w:cs="Times New Roman"/>
      <w:b/>
      <w:color w:val="000000"/>
      <w:kern w:val="2"/>
      <w:sz w:val="24"/>
    </w:rPr>
  </w:style>
  <w:style w:type="paragraph" w:customStyle="1" w:styleId="47">
    <w:name w:val="_Style 16"/>
    <w:basedOn w:val="1"/>
    <w:next w:val="16"/>
    <w:qFormat/>
    <w:uiPriority w:val="0"/>
    <w:pPr>
      <w:ind w:firstLine="560"/>
    </w:pPr>
    <w:rPr>
      <w:rFonts w:ascii="Wingdings" w:hAnsi="Wingdings"/>
      <w:sz w:val="28"/>
    </w:rPr>
  </w:style>
  <w:style w:type="paragraph" w:customStyle="1" w:styleId="48">
    <w:name w:val="_Style 14"/>
    <w:basedOn w:val="1"/>
    <w:next w:val="16"/>
    <w:qFormat/>
    <w:uiPriority w:val="0"/>
    <w:pPr>
      <w:ind w:firstLine="560"/>
    </w:pPr>
    <w:rPr>
      <w:rFonts w:ascii="Wingdings" w:hAnsi="Wingdings"/>
      <w:sz w:val="28"/>
    </w:rPr>
  </w:style>
  <w:style w:type="character" w:customStyle="1" w:styleId="49">
    <w:name w:val="正文文本缩进 2 Char"/>
    <w:link w:val="16"/>
    <w:qFormat/>
    <w:uiPriority w:val="0"/>
    <w:rPr>
      <w:rFonts w:ascii="Wingdings" w:hAnsi="Wingdings"/>
      <w:kern w:val="2"/>
      <w:sz w:val="28"/>
    </w:rPr>
  </w:style>
  <w:style w:type="character" w:customStyle="1" w:styleId="50">
    <w:name w:val="正文文本 Char"/>
    <w:link w:val="9"/>
    <w:qFormat/>
    <w:uiPriority w:val="0"/>
    <w:rPr>
      <w:rFonts w:ascii="Courier New" w:hAnsi="Courier New"/>
      <w:kern w:val="2"/>
      <w:sz w:val="44"/>
    </w:rPr>
  </w:style>
  <w:style w:type="character" w:customStyle="1" w:styleId="51">
    <w:name w:val="正文文本缩进 3 Char"/>
    <w:link w:val="23"/>
    <w:qFormat/>
    <w:uiPriority w:val="0"/>
    <w:rPr>
      <w:rFonts w:ascii="Courier New" w:hAnsi="Courier New"/>
      <w:kern w:val="2"/>
      <w:sz w:val="16"/>
    </w:rPr>
  </w:style>
  <w:style w:type="character" w:customStyle="1" w:styleId="52">
    <w:name w:val="文档结构图 Char"/>
    <w:link w:val="7"/>
    <w:semiHidden/>
    <w:qFormat/>
    <w:uiPriority w:val="0"/>
    <w:rPr>
      <w:rFonts w:ascii="Courier New" w:hAnsi="Courier New"/>
      <w:kern w:val="2"/>
      <w:sz w:val="21"/>
      <w:shd w:val="clear" w:color="auto" w:fill="000080"/>
    </w:rPr>
  </w:style>
  <w:style w:type="character" w:customStyle="1" w:styleId="53">
    <w:name w:val="正文文本 2 Char"/>
    <w:link w:val="26"/>
    <w:qFormat/>
    <w:uiPriority w:val="0"/>
    <w:rPr>
      <w:rFonts w:ascii="Courier New" w:hAnsi="Courier New"/>
      <w:kern w:val="2"/>
      <w:sz w:val="28"/>
    </w:rPr>
  </w:style>
  <w:style w:type="character" w:customStyle="1" w:styleId="54">
    <w:name w:val="正文文本缩进 Char"/>
    <w:link w:val="10"/>
    <w:qFormat/>
    <w:uiPriority w:val="0"/>
    <w:rPr>
      <w:rFonts w:ascii="Wingdings" w:hAnsi="Courier New"/>
      <w:kern w:val="2"/>
      <w:sz w:val="28"/>
    </w:rPr>
  </w:style>
  <w:style w:type="paragraph" w:customStyle="1" w:styleId="55">
    <w:name w:val="_Style 15"/>
    <w:basedOn w:val="1"/>
    <w:next w:val="13"/>
    <w:qFormat/>
    <w:uiPriority w:val="0"/>
    <w:rPr>
      <w:rFonts w:ascii="Wingdings" w:hAnsi="Tahoma"/>
    </w:rPr>
  </w:style>
  <w:style w:type="paragraph" w:customStyle="1" w:styleId="56">
    <w:name w:val="Char"/>
    <w:basedOn w:val="1"/>
    <w:qFormat/>
    <w:uiPriority w:val="0"/>
    <w:rPr>
      <w:rFonts w:ascii="Arial Unicode MS" w:hAnsi="Arial Unicode MS"/>
    </w:rPr>
  </w:style>
  <w:style w:type="paragraph" w:customStyle="1" w:styleId="57">
    <w:name w:val="Char Char Char Char"/>
    <w:basedOn w:val="1"/>
    <w:qFormat/>
    <w:uiPriority w:val="0"/>
    <w:rPr>
      <w:rFonts w:ascii="Arial Unicode MS" w:hAnsi="Arial Unicode MS"/>
    </w:rPr>
  </w:style>
  <w:style w:type="paragraph" w:customStyle="1" w:styleId="58">
    <w:name w:val="Char Char Char Char1"/>
    <w:basedOn w:val="1"/>
    <w:qFormat/>
    <w:uiPriority w:val="0"/>
    <w:rPr>
      <w:rFonts w:ascii="Arial Unicode MS" w:hAnsi="Arial Unicode MS"/>
    </w:rPr>
  </w:style>
  <w:style w:type="character" w:customStyle="1" w:styleId="59">
    <w:name w:val="apple-style-span"/>
    <w:basedOn w:val="31"/>
    <w:qFormat/>
    <w:uiPriority w:val="0"/>
  </w:style>
  <w:style w:type="paragraph" w:customStyle="1" w:styleId="60">
    <w:name w:val="xl40"/>
    <w:basedOn w:val="1"/>
    <w:qFormat/>
    <w:uiPriority w:val="0"/>
    <w:pPr>
      <w:widowControl/>
      <w:pBdr>
        <w:left w:val="single" w:color="auto" w:sz="12" w:space="0"/>
        <w:bottom w:val="single" w:color="auto" w:sz="4" w:space="0"/>
        <w:right w:val="single" w:color="auto" w:sz="4" w:space="0"/>
      </w:pBdr>
      <w:spacing w:before="100" w:beforeAutospacing="1" w:after="100" w:afterAutospacing="1"/>
      <w:jc w:val="center"/>
    </w:pPr>
    <w:rPr>
      <w:rFonts w:eastAsia="Wingdings"/>
      <w:kern w:val="0"/>
      <w:szCs w:val="21"/>
    </w:rPr>
  </w:style>
  <w:style w:type="character" w:customStyle="1" w:styleId="61">
    <w:name w:val="批注主题 Char"/>
    <w:link w:val="28"/>
    <w:semiHidden/>
    <w:qFormat/>
    <w:uiPriority w:val="0"/>
    <w:rPr>
      <w:rFonts w:ascii="Courier New" w:hAnsi="Courier New" w:eastAsia="Wingdings" w:cs="Courier New"/>
      <w:b/>
      <w:bCs/>
      <w:kern w:val="2"/>
      <w:sz w:val="21"/>
      <w:szCs w:val="20"/>
    </w:rPr>
  </w:style>
  <w:style w:type="character" w:customStyle="1" w:styleId="62">
    <w:name w:val="Char Char1"/>
    <w:qFormat/>
    <w:locked/>
    <w:uiPriority w:val="0"/>
    <w:rPr>
      <w:rFonts w:ascii="Wingdings" w:hAnsi="Tahoma" w:eastAsia="Wingdings"/>
      <w:kern w:val="2"/>
      <w:sz w:val="21"/>
      <w:lang w:val="en-US" w:eastAsia="zh-CN" w:bidi="ar-SA"/>
    </w:rPr>
  </w:style>
  <w:style w:type="character" w:customStyle="1" w:styleId="63">
    <w:name w:val="Char Char"/>
    <w:qFormat/>
    <w:locked/>
    <w:uiPriority w:val="0"/>
    <w:rPr>
      <w:rFonts w:ascii="Wingdings" w:hAnsi="Wingdings" w:eastAsia="Wingdings"/>
      <w:kern w:val="2"/>
      <w:sz w:val="28"/>
      <w:lang w:val="en-US" w:eastAsia="zh-CN" w:bidi="ar-SA"/>
    </w:rPr>
  </w:style>
  <w:style w:type="paragraph" w:customStyle="1" w:styleId="64">
    <w:name w:val="Char Char2 Char"/>
    <w:basedOn w:val="1"/>
    <w:qFormat/>
    <w:uiPriority w:val="0"/>
    <w:rPr>
      <w:rFonts w:ascii="Arial Unicode MS" w:hAnsi="Arial Unicode MS"/>
    </w:rPr>
  </w:style>
  <w:style w:type="character" w:customStyle="1" w:styleId="65">
    <w:name w:val="Char Char4"/>
    <w:qFormat/>
    <w:uiPriority w:val="0"/>
    <w:rPr>
      <w:rFonts w:ascii="Wingdings" w:hAnsi="Tahoma" w:eastAsia="Wingdings"/>
      <w:kern w:val="2"/>
      <w:sz w:val="21"/>
      <w:lang w:val="en-US" w:eastAsia="zh-CN" w:bidi="ar-SA"/>
    </w:rPr>
  </w:style>
  <w:style w:type="character" w:customStyle="1" w:styleId="66">
    <w:name w:val="标题 3 Char"/>
    <w:link w:val="5"/>
    <w:qFormat/>
    <w:uiPriority w:val="9"/>
    <w:rPr>
      <w:rFonts w:ascii="Courier New" w:hAnsi="Courier New"/>
      <w:b/>
      <w:bCs/>
      <w:kern w:val="2"/>
      <w:sz w:val="24"/>
      <w:szCs w:val="32"/>
    </w:rPr>
  </w:style>
  <w:style w:type="paragraph" w:customStyle="1" w:styleId="67">
    <w:name w:val="表格样式1"/>
    <w:basedOn w:val="1"/>
    <w:link w:val="69"/>
    <w:qFormat/>
    <w:uiPriority w:val="0"/>
    <w:pPr>
      <w:spacing w:line="240" w:lineRule="auto"/>
      <w:ind w:firstLine="0" w:firstLineChars="0"/>
      <w:jc w:val="center"/>
    </w:pPr>
    <w:rPr>
      <w:rFonts w:cs="Times New Roman"/>
      <w:sz w:val="21"/>
    </w:rPr>
  </w:style>
  <w:style w:type="paragraph" w:customStyle="1" w:styleId="68">
    <w:name w:val="表格样式2"/>
    <w:basedOn w:val="67"/>
    <w:link w:val="71"/>
    <w:qFormat/>
    <w:uiPriority w:val="0"/>
    <w:pPr>
      <w:spacing w:line="320" w:lineRule="exact"/>
      <w:jc w:val="both"/>
    </w:pPr>
  </w:style>
  <w:style w:type="character" w:customStyle="1" w:styleId="69">
    <w:name w:val="表格样式1 Char"/>
    <w:link w:val="67"/>
    <w:qFormat/>
    <w:uiPriority w:val="0"/>
    <w:rPr>
      <w:rFonts w:ascii="Courier New" w:hAnsi="Courier New"/>
      <w:kern w:val="2"/>
      <w:sz w:val="21"/>
    </w:rPr>
  </w:style>
  <w:style w:type="paragraph" w:customStyle="1" w:styleId="70">
    <w:name w:val="reader-word-layer"/>
    <w:basedOn w:val="1"/>
    <w:qFormat/>
    <w:uiPriority w:val="0"/>
    <w:pPr>
      <w:widowControl/>
      <w:spacing w:before="100" w:beforeAutospacing="1" w:after="100" w:afterAutospacing="1" w:line="240" w:lineRule="auto"/>
      <w:ind w:firstLine="0" w:firstLineChars="0"/>
      <w:jc w:val="left"/>
    </w:pPr>
    <w:rPr>
      <w:rFonts w:ascii="Wingdings" w:hAnsi="Wingdings" w:cs="Wingdings"/>
      <w:kern w:val="0"/>
      <w:szCs w:val="24"/>
    </w:rPr>
  </w:style>
  <w:style w:type="character" w:customStyle="1" w:styleId="71">
    <w:name w:val="表格样式2 Char"/>
    <w:basedOn w:val="69"/>
    <w:link w:val="68"/>
    <w:qFormat/>
    <w:uiPriority w:val="0"/>
  </w:style>
  <w:style w:type="paragraph" w:customStyle="1" w:styleId="72">
    <w:name w:val="Char Char Char1 Char Char Char Char"/>
    <w:basedOn w:val="1"/>
    <w:qFormat/>
    <w:uiPriority w:val="0"/>
    <w:pPr>
      <w:spacing w:line="240" w:lineRule="auto"/>
      <w:ind w:firstLine="0" w:firstLineChars="0"/>
    </w:pPr>
    <w:rPr>
      <w:rFonts w:ascii="Wingdings" w:hAnsi="Wingdings" w:cs="Tahoma"/>
      <w:sz w:val="32"/>
      <w:szCs w:val="32"/>
    </w:rPr>
  </w:style>
  <w:style w:type="paragraph" w:styleId="7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74">
    <w:name w:val="dy"/>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character" w:customStyle="1" w:styleId="75">
    <w:name w:val="批注文字 字符"/>
    <w:semiHidden/>
    <w:qFormat/>
    <w:uiPriority w:val="99"/>
    <w:rPr>
      <w:rFonts w:ascii="Courier New" w:hAnsi="Courier New" w:eastAsia="宋体" w:cs="Courier New"/>
      <w:sz w:val="24"/>
      <w:szCs w:val="20"/>
    </w:rPr>
  </w:style>
  <w:style w:type="character" w:customStyle="1" w:styleId="76">
    <w:name w:val="n-grey"/>
    <w:basedOn w:val="31"/>
    <w:qFormat/>
    <w:uiPriority w:val="0"/>
  </w:style>
  <w:style w:type="character" w:customStyle="1" w:styleId="77">
    <w:name w:val="mh-map_new-info"/>
    <w:basedOn w:val="31"/>
    <w:qFormat/>
    <w:uiPriority w:val="0"/>
  </w:style>
  <w:style w:type="paragraph" w:styleId="78">
    <w:name w:val="List Paragraph"/>
    <w:basedOn w:val="1"/>
    <w:qFormat/>
    <w:uiPriority w:val="34"/>
    <w:pPr>
      <w:ind w:left="720"/>
      <w:contextualSpacing/>
    </w:pPr>
  </w:style>
  <w:style w:type="paragraph" w:customStyle="1" w:styleId="79">
    <w:name w:val="Char Char Char Char2"/>
    <w:basedOn w:val="1"/>
    <w:qFormat/>
    <w:uiPriority w:val="0"/>
    <w:rPr>
      <w:rFonts w:ascii="Arial Unicode MS" w:hAnsi="Arial Unicode MS"/>
    </w:rPr>
  </w:style>
  <w:style w:type="paragraph" w:customStyle="1" w:styleId="80">
    <w:name w:val="Char Char2 Char1"/>
    <w:basedOn w:val="1"/>
    <w:qFormat/>
    <w:uiPriority w:val="0"/>
    <w:rPr>
      <w:rFonts w:ascii="Arial Unicode MS" w:hAnsi="Arial Unicode MS"/>
    </w:rPr>
  </w:style>
  <w:style w:type="character" w:customStyle="1" w:styleId="81">
    <w:name w:val="Char Char41"/>
    <w:qFormat/>
    <w:uiPriority w:val="0"/>
    <w:rPr>
      <w:rFonts w:ascii="Wingdings" w:hAnsi="Tahoma" w:eastAsia="Wingdings"/>
      <w:kern w:val="2"/>
      <w:sz w:val="21"/>
      <w:lang w:val="en-US" w:eastAsia="zh-CN" w:bidi="ar-SA"/>
    </w:rPr>
  </w:style>
  <w:style w:type="paragraph" w:customStyle="1" w:styleId="82">
    <w:name w:val="Char Char Char1 Char Char Char Char1"/>
    <w:basedOn w:val="1"/>
    <w:qFormat/>
    <w:uiPriority w:val="0"/>
    <w:pPr>
      <w:spacing w:line="240" w:lineRule="auto"/>
      <w:ind w:firstLine="0" w:firstLineChars="0"/>
    </w:pPr>
    <w:rPr>
      <w:rFonts w:ascii="Wingdings" w:hAnsi="Wingdings" w:cs="Tahoma"/>
      <w:sz w:val="32"/>
      <w:szCs w:val="32"/>
    </w:rPr>
  </w:style>
  <w:style w:type="paragraph" w:customStyle="1" w:styleId="83">
    <w:name w:val="Char Char Char Char3"/>
    <w:basedOn w:val="1"/>
    <w:qFormat/>
    <w:uiPriority w:val="0"/>
    <w:rPr>
      <w:rFonts w:ascii="Arial Unicode MS" w:hAnsi="Arial Unicode MS"/>
    </w:rPr>
  </w:style>
  <w:style w:type="paragraph" w:customStyle="1" w:styleId="84">
    <w:name w:val="Char Char2 Char2"/>
    <w:basedOn w:val="1"/>
    <w:qFormat/>
    <w:uiPriority w:val="0"/>
    <w:rPr>
      <w:rFonts w:ascii="Arial Unicode MS" w:hAnsi="Arial Unicode MS"/>
    </w:rPr>
  </w:style>
  <w:style w:type="character" w:customStyle="1" w:styleId="85">
    <w:name w:val="Char Char42"/>
    <w:qFormat/>
    <w:uiPriority w:val="0"/>
    <w:rPr>
      <w:rFonts w:ascii="Wingdings" w:hAnsi="Tahoma" w:eastAsia="Wingdings"/>
      <w:kern w:val="2"/>
      <w:sz w:val="21"/>
      <w:lang w:val="en-US" w:eastAsia="zh-CN" w:bidi="ar-SA"/>
    </w:rPr>
  </w:style>
  <w:style w:type="paragraph" w:customStyle="1" w:styleId="86">
    <w:name w:val="Char Char Char1 Char Char Char Char2"/>
    <w:basedOn w:val="1"/>
    <w:qFormat/>
    <w:uiPriority w:val="0"/>
    <w:pPr>
      <w:spacing w:line="240" w:lineRule="auto"/>
      <w:ind w:firstLine="0" w:firstLineChars="0"/>
    </w:pPr>
    <w:rPr>
      <w:rFonts w:ascii="Wingdings" w:hAnsi="Wingdings" w:cs="Tahoma"/>
      <w:sz w:val="32"/>
      <w:szCs w:val="32"/>
    </w:rPr>
  </w:style>
  <w:style w:type="character" w:customStyle="1" w:styleId="87">
    <w:name w:val="first-child"/>
    <w:basedOn w:val="31"/>
    <w:qFormat/>
    <w:uiPriority w:val="0"/>
  </w:style>
  <w:style w:type="character" w:customStyle="1" w:styleId="88">
    <w:name w:val="hover16"/>
    <w:basedOn w:val="31"/>
    <w:qFormat/>
    <w:uiPriority w:val="0"/>
    <w:rPr>
      <w:color w:val="5194E3"/>
      <w:u w:val="single"/>
    </w:rPr>
  </w:style>
  <w:style w:type="character" w:customStyle="1" w:styleId="89">
    <w:name w:val="hover"/>
    <w:basedOn w:val="31"/>
    <w:qFormat/>
    <w:uiPriority w:val="0"/>
    <w:rPr>
      <w:color w:val="5194E3"/>
      <w:u w:val="single"/>
    </w:rPr>
  </w:style>
  <w:style w:type="character" w:customStyle="1" w:styleId="90">
    <w:name w:val="on"/>
    <w:basedOn w:val="31"/>
    <w:qFormat/>
    <w:uiPriority w:val="0"/>
    <w:rPr>
      <w:color w:val="076FF4"/>
      <w:bdr w:val="single" w:color="076FF4" w:sz="6" w:space="0"/>
    </w:rPr>
  </w:style>
  <w:style w:type="character" w:customStyle="1" w:styleId="91">
    <w:name w:val="icon2"/>
    <w:basedOn w:val="31"/>
    <w:qFormat/>
    <w:uiPriority w:val="0"/>
  </w:style>
  <w:style w:type="character" w:customStyle="1" w:styleId="92">
    <w:name w:val="hover12"/>
    <w:basedOn w:val="31"/>
    <w:qFormat/>
    <w:uiPriority w:val="0"/>
    <w:rPr>
      <w:color w:val="076FF4"/>
      <w:bdr w:val="single" w:color="076FF4" w:sz="6" w:space="0"/>
    </w:rPr>
  </w:style>
  <w:style w:type="character" w:customStyle="1" w:styleId="93">
    <w:name w:val="prevstop1"/>
    <w:basedOn w:val="31"/>
    <w:qFormat/>
    <w:uiPriority w:val="0"/>
    <w:rPr>
      <w:color w:val="ACACAC"/>
      <w:shd w:val="clear" w:fill="F2F2F2"/>
    </w:rPr>
  </w:style>
  <w:style w:type="character" w:customStyle="1" w:styleId="94">
    <w:name w:val="nextstop1"/>
    <w:basedOn w:val="31"/>
    <w:qFormat/>
    <w:uiPriority w:val="0"/>
    <w:rPr>
      <w:color w:val="ACACAC"/>
      <w:shd w:val="clear" w:fill="F2F2F2"/>
    </w:rPr>
  </w:style>
  <w:style w:type="character" w:customStyle="1" w:styleId="95">
    <w:name w:val="icon1"/>
    <w:basedOn w:val="31"/>
    <w:qFormat/>
    <w:uiPriority w:val="0"/>
  </w:style>
  <w:style w:type="character" w:customStyle="1" w:styleId="96">
    <w:name w:val="icon3"/>
    <w:basedOn w:val="31"/>
    <w:qFormat/>
    <w:uiPriority w:val="0"/>
  </w:style>
  <w:style w:type="character" w:customStyle="1" w:styleId="97">
    <w:name w:val="icon7"/>
    <w:basedOn w:val="31"/>
    <w:qFormat/>
    <w:uiPriority w:val="0"/>
  </w:style>
  <w:style w:type="character" w:customStyle="1" w:styleId="98">
    <w:name w:val="icon4"/>
    <w:basedOn w:val="31"/>
    <w:qFormat/>
    <w:uiPriority w:val="0"/>
  </w:style>
  <w:style w:type="character" w:customStyle="1" w:styleId="99">
    <w:name w:val="icon5"/>
    <w:basedOn w:val="31"/>
    <w:qFormat/>
    <w:uiPriority w:val="0"/>
  </w:style>
  <w:style w:type="character" w:customStyle="1" w:styleId="100">
    <w:name w:val="icon6"/>
    <w:basedOn w:val="31"/>
    <w:qFormat/>
    <w:uiPriority w:val="0"/>
  </w:style>
  <w:style w:type="character" w:customStyle="1" w:styleId="101">
    <w:name w:val="icon8"/>
    <w:basedOn w:val="31"/>
    <w:qFormat/>
    <w:uiPriority w:val="0"/>
  </w:style>
  <w:style w:type="character" w:customStyle="1" w:styleId="102">
    <w:name w:val="share"/>
    <w:basedOn w:val="31"/>
    <w:qFormat/>
    <w:uiPriority w:val="0"/>
  </w:style>
  <w:style w:type="character" w:customStyle="1" w:styleId="103">
    <w:name w:val="on2"/>
    <w:basedOn w:val="31"/>
    <w:qFormat/>
    <w:uiPriority w:val="0"/>
    <w:rPr>
      <w:color w:val="076FF4"/>
      <w:bdr w:val="single" w:color="076FF4" w:sz="6" w:space="0"/>
    </w:rPr>
  </w:style>
  <w:style w:type="character" w:customStyle="1" w:styleId="104">
    <w:name w:val="hover13"/>
    <w:basedOn w:val="31"/>
    <w:qFormat/>
    <w:uiPriority w:val="0"/>
    <w:rPr>
      <w:color w:val="076FF4"/>
      <w:bdr w:val="single" w:color="076FF4" w:sz="6" w:space="0"/>
    </w:rPr>
  </w:style>
  <w:style w:type="character" w:customStyle="1" w:styleId="105">
    <w:name w:val="prevstop"/>
    <w:basedOn w:val="31"/>
    <w:qFormat/>
    <w:uiPriority w:val="0"/>
    <w:rPr>
      <w:color w:val="ACACAC"/>
      <w:shd w:val="clear" w:fill="F2F2F2"/>
    </w:rPr>
  </w:style>
  <w:style w:type="character" w:customStyle="1" w:styleId="106">
    <w:name w:val="nextstop"/>
    <w:basedOn w:val="31"/>
    <w:qFormat/>
    <w:uiPriority w:val="0"/>
    <w:rPr>
      <w:color w:val="ACACAC"/>
      <w:shd w:val="clear" w:fill="F2F2F2"/>
    </w:rPr>
  </w:style>
  <w:style w:type="character" w:customStyle="1" w:styleId="107">
    <w:name w:val="on1"/>
    <w:basedOn w:val="31"/>
    <w:qFormat/>
    <w:uiPriority w:val="0"/>
    <w:rPr>
      <w:color w:val="076FF4"/>
      <w:bdr w:val="single" w:color="076FF4" w:sz="6" w:space="0"/>
    </w:rPr>
  </w:style>
  <w:style w:type="character" w:customStyle="1" w:styleId="108">
    <w:name w:val="next"/>
    <w:basedOn w:val="31"/>
    <w:qFormat/>
    <w:uiPriority w:val="0"/>
    <w:rPr>
      <w:color w:val="FFFFFF"/>
      <w:shd w:val="clear" w:fill="FF0000"/>
    </w:rPr>
  </w:style>
  <w:style w:type="character" w:customStyle="1" w:styleId="109">
    <w:name w:val="zt"/>
    <w:basedOn w:val="31"/>
    <w:qFormat/>
    <w:uiPriority w:val="0"/>
  </w:style>
  <w:style w:type="character" w:customStyle="1" w:styleId="110">
    <w:name w:val="zt1"/>
    <w:basedOn w:val="31"/>
    <w:qFormat/>
    <w:uiPriority w:val="0"/>
  </w:style>
  <w:style w:type="character" w:customStyle="1" w:styleId="111">
    <w:name w:val="span_notice"/>
    <w:basedOn w:val="31"/>
    <w:qFormat/>
    <w:uiPriority w:val="0"/>
  </w:style>
  <w:style w:type="character" w:customStyle="1" w:styleId="112">
    <w:name w:val="li1"/>
    <w:basedOn w:val="31"/>
    <w:qFormat/>
    <w:uiPriority w:val="0"/>
  </w:style>
  <w:style w:type="character" w:customStyle="1" w:styleId="113">
    <w:name w:val="li2"/>
    <w:basedOn w:val="31"/>
    <w:qFormat/>
    <w:uiPriority w:val="0"/>
  </w:style>
  <w:style w:type="character" w:customStyle="1" w:styleId="114">
    <w:name w:val="status"/>
    <w:basedOn w:val="31"/>
    <w:qFormat/>
    <w:uiPriority w:val="0"/>
  </w:style>
  <w:style w:type="character" w:customStyle="1" w:styleId="115">
    <w:name w:val="current"/>
    <w:basedOn w:val="31"/>
    <w:qFormat/>
    <w:uiPriority w:val="0"/>
    <w:rPr>
      <w:color w:val="FFFFFF"/>
      <w:u w:val="none"/>
      <w:bdr w:val="single" w:color="69B1E1" w:sz="6" w:space="0"/>
      <w:shd w:val="clear" w:fill="69B1E1"/>
    </w:rPr>
  </w:style>
  <w:style w:type="character" w:customStyle="1" w:styleId="116">
    <w:name w:val="disab"/>
    <w:basedOn w:val="31"/>
    <w:qFormat/>
    <w:uiPriority w:val="0"/>
    <w:rPr>
      <w:bdr w:val="single" w:color="E4E4E4" w:sz="6" w:space="0"/>
      <w:shd w:val="clear" w:fill="CCCCCC"/>
    </w:rPr>
  </w:style>
  <w:style w:type="character" w:customStyle="1" w:styleId="117">
    <w:name w:val="disabled"/>
    <w:basedOn w:val="31"/>
    <w:qFormat/>
    <w:uiPriority w:val="0"/>
    <w:rPr>
      <w:bdr w:val="single" w:color="E4E4E4" w:sz="6" w:space="0"/>
      <w:shd w:val="clear" w:fill="CCCCCC"/>
    </w:rPr>
  </w:style>
  <w:style w:type="character" w:customStyle="1" w:styleId="118">
    <w:name w:val="go"/>
    <w:basedOn w:val="31"/>
    <w:qFormat/>
    <w:uiPriority w:val="0"/>
    <w:rPr>
      <w:shd w:val="clear" w:fill="E2E2E2"/>
    </w:rPr>
  </w:style>
  <w:style w:type="character" w:customStyle="1" w:styleId="119">
    <w:name w:val="icon11"/>
    <w:basedOn w:val="31"/>
    <w:qFormat/>
    <w:uiPriority w:val="0"/>
  </w:style>
  <w:style w:type="character" w:customStyle="1" w:styleId="120">
    <w:name w:val="icon12"/>
    <w:basedOn w:val="31"/>
    <w:qFormat/>
    <w:uiPriority w:val="0"/>
  </w:style>
  <w:style w:type="character" w:customStyle="1" w:styleId="121">
    <w:name w:val="icon21"/>
    <w:basedOn w:val="31"/>
    <w:qFormat/>
    <w:uiPriority w:val="0"/>
  </w:style>
  <w:style w:type="character" w:customStyle="1" w:styleId="122">
    <w:name w:val="icon22"/>
    <w:basedOn w:val="31"/>
    <w:qFormat/>
    <w:uiPriority w:val="0"/>
  </w:style>
  <w:style w:type="character" w:customStyle="1" w:styleId="123">
    <w:name w:val="icon31"/>
    <w:basedOn w:val="31"/>
    <w:qFormat/>
    <w:uiPriority w:val="0"/>
  </w:style>
  <w:style w:type="character" w:customStyle="1" w:styleId="124">
    <w:name w:val="icon32"/>
    <w:basedOn w:val="31"/>
    <w:qFormat/>
    <w:uiPriority w:val="0"/>
  </w:style>
  <w:style w:type="character" w:customStyle="1" w:styleId="125">
    <w:name w:val="icon41"/>
    <w:basedOn w:val="31"/>
    <w:qFormat/>
    <w:uiPriority w:val="0"/>
  </w:style>
  <w:style w:type="character" w:customStyle="1" w:styleId="126">
    <w:name w:val="icon42"/>
    <w:basedOn w:val="31"/>
    <w:qFormat/>
    <w:uiPriority w:val="0"/>
  </w:style>
  <w:style w:type="character" w:customStyle="1" w:styleId="127">
    <w:name w:val="jxz"/>
    <w:basedOn w:val="31"/>
    <w:qFormat/>
    <w:uiPriority w:val="0"/>
    <w:rPr>
      <w:shd w:val="clear" w:fill="2FBDBD"/>
    </w:rPr>
  </w:style>
  <w:style w:type="character" w:customStyle="1" w:styleId="128">
    <w:name w:val="xl_icon2"/>
    <w:basedOn w:val="31"/>
    <w:qFormat/>
    <w:uiPriority w:val="0"/>
  </w:style>
  <w:style w:type="character" w:customStyle="1" w:styleId="129">
    <w:name w:val="xl_icon1"/>
    <w:basedOn w:val="31"/>
    <w:qFormat/>
    <w:uiPriority w:val="0"/>
  </w:style>
  <w:style w:type="character" w:customStyle="1" w:styleId="130">
    <w:name w:val="xl_icon3"/>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customXml" Target="../customXml/item1.xml"/><Relationship Id="rId30" Type="http://schemas.openxmlformats.org/officeDocument/2006/relationships/image" Target="media/image15.jpeg"/><Relationship Id="rId3" Type="http://schemas.openxmlformats.org/officeDocument/2006/relationships/footnotes" Target="footnotes.xml"/><Relationship Id="rId29" Type="http://schemas.openxmlformats.org/officeDocument/2006/relationships/image" Target="media/image14.jpeg"/><Relationship Id="rId28" Type="http://schemas.openxmlformats.org/officeDocument/2006/relationships/image" Target="media/image13.jpeg"/><Relationship Id="rId27" Type="http://schemas.openxmlformats.org/officeDocument/2006/relationships/image" Target="media/image12.jpeg"/><Relationship Id="rId26" Type="http://schemas.openxmlformats.org/officeDocument/2006/relationships/image" Target="media/image11.jpeg"/><Relationship Id="rId25" Type="http://schemas.openxmlformats.org/officeDocument/2006/relationships/image" Target="media/image10.jpeg"/><Relationship Id="rId24" Type="http://schemas.openxmlformats.org/officeDocument/2006/relationships/image" Target="media/image9.jpe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png"/><Relationship Id="rId17" Type="http://schemas.openxmlformats.org/officeDocument/2006/relationships/image" Target="media/image2.jpe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AC571-99E5-42B6-91A3-21602F03EE58}">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5066</Words>
  <Characters>5495</Characters>
  <Lines>150</Lines>
  <Paragraphs>42</Paragraphs>
  <TotalTime>44</TotalTime>
  <ScaleCrop>false</ScaleCrop>
  <LinksUpToDate>false</LinksUpToDate>
  <CharactersWithSpaces>6491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2018-06-25T03:33:00Z</dcterms:created>
  <dc:creator>蔡祖清</dc:creator>
  <cp:lastModifiedBy>Administrator</cp:lastModifiedBy>
  <cp:lastPrinted>2022-06-16T01:17:03Z</cp:lastPrinted>
  <dcterms:modified xsi:type="dcterms:W3CDTF">2022-06-16T01:25:15Z</dcterms:modified>
  <cp:revision>2243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4B1E8BBD03864630ACA93E59CEADE589</vt:lpwstr>
  </property>
</Properties>
</file>