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pacing w:val="56"/>
          <w:sz w:val="72"/>
          <w:szCs w:val="72"/>
        </w:rPr>
      </w:pPr>
      <w:r>
        <w:rPr>
          <w:rFonts w:ascii="宋体"/>
          <w:spacing w:val="56"/>
          <w:sz w:val="72"/>
          <w:szCs w:val="72"/>
        </w:rPr>
        <w:drawing>
          <wp:anchor distT="0" distB="0" distL="114300" distR="114300" simplePos="0" relativeHeight="251676672" behindDoc="1" locked="0" layoutInCell="1" allowOverlap="1">
            <wp:simplePos x="0" y="0"/>
            <wp:positionH relativeFrom="column">
              <wp:posOffset>1500505</wp:posOffset>
            </wp:positionH>
            <wp:positionV relativeFrom="paragraph">
              <wp:posOffset>306705</wp:posOffset>
            </wp:positionV>
            <wp:extent cx="1490345" cy="335915"/>
            <wp:effectExtent l="19050" t="0" r="0" b="0"/>
            <wp:wrapTight wrapText="bothSides">
              <wp:wrapPolygon>
                <wp:start x="828" y="0"/>
                <wp:lineTo x="-276" y="7350"/>
                <wp:lineTo x="-276" y="19599"/>
                <wp:lineTo x="276" y="20824"/>
                <wp:lineTo x="21536" y="20824"/>
                <wp:lineTo x="21536" y="15924"/>
                <wp:lineTo x="20983" y="0"/>
                <wp:lineTo x="828" y="0"/>
              </wp:wrapPolygon>
            </wp:wrapTight>
            <wp:docPr id="1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0345" cy="335915"/>
                    </a:xfrm>
                    <a:prstGeom prst="rect">
                      <a:avLst/>
                    </a:prstGeom>
                    <a:noFill/>
                    <a:ln w="9525">
                      <a:noFill/>
                      <a:miter lim="800000"/>
                      <a:headEnd/>
                      <a:tailEnd/>
                    </a:ln>
                  </pic:spPr>
                </pic:pic>
              </a:graphicData>
            </a:graphic>
          </wp:anchor>
        </w:drawing>
      </w:r>
    </w:p>
    <w:p>
      <w:pPr>
        <w:rPr>
          <w:rFonts w:ascii="黑体" w:hAnsi="黑体" w:eastAsia="黑体"/>
          <w:b/>
          <w:sz w:val="24"/>
        </w:rPr>
      </w:pPr>
      <w:bookmarkStart w:id="0" w:name="_Toc155258951"/>
      <w:r>
        <w:rPr>
          <w:rFonts w:ascii="黑体" w:hAnsi="黑体" w:eastAsia="黑体"/>
          <w:b/>
          <w:sz w:val="24"/>
        </w:rPr>
        <w:drawing>
          <wp:anchor distT="0" distB="0" distL="114300" distR="114300" simplePos="0" relativeHeight="251677696" behindDoc="1" locked="0" layoutInCell="1" allowOverlap="1">
            <wp:simplePos x="0" y="0"/>
            <wp:positionH relativeFrom="column">
              <wp:posOffset>4803775</wp:posOffset>
            </wp:positionH>
            <wp:positionV relativeFrom="paragraph">
              <wp:posOffset>-288925</wp:posOffset>
            </wp:positionV>
            <wp:extent cx="721360" cy="709930"/>
            <wp:effectExtent l="0" t="0" r="0" b="0"/>
            <wp:wrapTight wrapText="bothSides">
              <wp:wrapPolygon>
                <wp:start x="0" y="0"/>
                <wp:lineTo x="0" y="20866"/>
                <wp:lineTo x="21106" y="20866"/>
                <wp:lineTo x="21106"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1360" cy="709930"/>
                    </a:xfrm>
                    <a:prstGeom prst="rect">
                      <a:avLst/>
                    </a:prstGeom>
                    <a:noFill/>
                    <a:ln>
                      <a:noFill/>
                    </a:ln>
                  </pic:spPr>
                </pic:pic>
              </a:graphicData>
            </a:graphic>
          </wp:anchor>
        </w:drawing>
      </w:r>
      <w:r>
        <w:rPr>
          <w:rFonts w:ascii="黑体" w:hAnsi="黑体" w:eastAsia="黑体"/>
          <w:b/>
          <w:sz w:val="24"/>
        </w:rPr>
        <w:drawing>
          <wp:anchor distT="0" distB="0" distL="114300" distR="114300" simplePos="0" relativeHeight="251675648" behindDoc="1" locked="0" layoutInCell="1" allowOverlap="1">
            <wp:simplePos x="0" y="0"/>
            <wp:positionH relativeFrom="column">
              <wp:posOffset>40640</wp:posOffset>
            </wp:positionH>
            <wp:positionV relativeFrom="paragraph">
              <wp:posOffset>-293370</wp:posOffset>
            </wp:positionV>
            <wp:extent cx="1391285" cy="443865"/>
            <wp:effectExtent l="0" t="0" r="0" b="0"/>
            <wp:wrapTight wrapText="bothSides">
              <wp:wrapPolygon>
                <wp:start x="1183" y="0"/>
                <wp:lineTo x="0" y="3708"/>
                <wp:lineTo x="0" y="18541"/>
                <wp:lineTo x="1183" y="20395"/>
                <wp:lineTo x="4436" y="20395"/>
                <wp:lineTo x="21294" y="20395"/>
                <wp:lineTo x="21294" y="1854"/>
                <wp:lineTo x="4436" y="0"/>
                <wp:lineTo x="1183" y="0"/>
              </wp:wrapPolygon>
            </wp:wrapTight>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1285" cy="443865"/>
                    </a:xfrm>
                    <a:prstGeom prst="rect">
                      <a:avLst/>
                    </a:prstGeom>
                    <a:noFill/>
                    <a:ln w="9525">
                      <a:noFill/>
                      <a:miter lim="800000"/>
                      <a:headEnd/>
                      <a:tailEnd/>
                    </a:ln>
                  </pic:spPr>
                </pic:pic>
              </a:graphicData>
            </a:graphic>
          </wp:anchor>
        </w:drawing>
      </w: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bookmarkEnd w:id="0"/>
    <w:p>
      <w:pPr>
        <w:pBdr>
          <w:bottom w:val="thinThickSmallGap" w:color="auto" w:sz="24" w:space="1"/>
        </w:pBdr>
        <w:adjustRightInd w:val="0"/>
        <w:snapToGrid w:val="0"/>
        <w:spacing w:line="360" w:lineRule="auto"/>
        <w:jc w:val="center"/>
        <w:rPr>
          <w:rFonts w:ascii="黑体" w:hAnsi="黑体" w:eastAsia="黑体"/>
          <w:b/>
          <w:sz w:val="52"/>
          <w:szCs w:val="52"/>
        </w:rPr>
      </w:pPr>
      <w:r>
        <w:rPr>
          <w:rFonts w:hint="eastAsia" w:ascii="黑体" w:hAnsi="黑体" w:eastAsia="黑体"/>
          <w:b/>
          <w:spacing w:val="20"/>
          <w:sz w:val="52"/>
          <w:szCs w:val="52"/>
        </w:rPr>
        <w:t>涉执房地产处置司法评估报告</w:t>
      </w:r>
    </w:p>
    <w:p>
      <w:pPr>
        <w:tabs>
          <w:tab w:val="left" w:pos="709"/>
        </w:tabs>
        <w:adjustRightInd w:val="0"/>
        <w:snapToGrid w:val="0"/>
        <w:spacing w:line="480" w:lineRule="auto"/>
        <w:jc w:val="center"/>
        <w:rPr>
          <w:rFonts w:ascii="黑体" w:hAnsi="黑体" w:eastAsia="黑体"/>
          <w:b/>
          <w:sz w:val="24"/>
        </w:rPr>
      </w:pPr>
    </w:p>
    <w:p>
      <w:pPr>
        <w:tabs>
          <w:tab w:val="left" w:pos="709"/>
        </w:tabs>
        <w:adjustRightInd w:val="0"/>
        <w:snapToGrid w:val="0"/>
        <w:spacing w:line="480" w:lineRule="auto"/>
        <w:jc w:val="center"/>
        <w:rPr>
          <w:rFonts w:ascii="黑体" w:hAnsi="黑体" w:eastAsia="黑体"/>
          <w:b/>
          <w:sz w:val="24"/>
        </w:rPr>
      </w:pPr>
    </w:p>
    <w:p>
      <w:pPr>
        <w:tabs>
          <w:tab w:val="left" w:pos="709"/>
        </w:tabs>
        <w:adjustRightInd w:val="0"/>
        <w:snapToGrid w:val="0"/>
        <w:spacing w:line="480" w:lineRule="auto"/>
        <w:jc w:val="center"/>
        <w:rPr>
          <w:rFonts w:ascii="黑体" w:hAnsi="黑体" w:eastAsia="黑体"/>
          <w:b/>
          <w:sz w:val="24"/>
        </w:rPr>
      </w:pPr>
    </w:p>
    <w:p>
      <w:pPr>
        <w:tabs>
          <w:tab w:val="left" w:pos="709"/>
        </w:tabs>
        <w:adjustRightInd w:val="0"/>
        <w:snapToGrid w:val="0"/>
        <w:spacing w:line="480" w:lineRule="auto"/>
        <w:jc w:val="center"/>
        <w:rPr>
          <w:rFonts w:ascii="黑体" w:hAnsi="黑体" w:eastAsia="黑体"/>
          <w:b/>
          <w:sz w:val="24"/>
        </w:rPr>
      </w:pPr>
    </w:p>
    <w:p>
      <w:pPr>
        <w:spacing w:line="700" w:lineRule="exact"/>
        <w:ind w:firstLine="1405" w:firstLineChars="500"/>
        <w:rPr>
          <w:rFonts w:ascii="黑体" w:hAnsi="黑体" w:eastAsia="黑体"/>
          <w:sz w:val="28"/>
          <w:szCs w:val="28"/>
        </w:rPr>
      </w:pPr>
      <w:r>
        <w:rPr>
          <w:rFonts w:hint="eastAsia" w:ascii="黑体" w:hAnsi="黑体" w:eastAsia="黑体"/>
          <w:b/>
          <w:sz w:val="28"/>
          <w:szCs w:val="28"/>
        </w:rPr>
        <w:t>估价报告编号</w:t>
      </w:r>
      <w:r>
        <w:rPr>
          <w:rFonts w:hint="eastAsia" w:ascii="黑体" w:hAnsi="黑体" w:eastAsia="黑体"/>
          <w:sz w:val="28"/>
          <w:szCs w:val="28"/>
        </w:rPr>
        <w:t>：云鼎司法评字2</w:t>
      </w:r>
      <w:r>
        <w:rPr>
          <w:rFonts w:ascii="黑体" w:hAnsi="黑体" w:eastAsia="黑体"/>
          <w:sz w:val="28"/>
          <w:szCs w:val="28"/>
        </w:rPr>
        <w:t>022</w:t>
      </w:r>
      <w:r>
        <w:rPr>
          <w:rFonts w:hint="eastAsia" w:ascii="黑体" w:hAnsi="黑体" w:eastAsia="黑体"/>
          <w:sz w:val="28"/>
          <w:szCs w:val="28"/>
        </w:rPr>
        <w:t>（0</w:t>
      </w:r>
      <w:r>
        <w:rPr>
          <w:rFonts w:ascii="黑体" w:hAnsi="黑体" w:eastAsia="黑体"/>
          <w:sz w:val="28"/>
          <w:szCs w:val="28"/>
        </w:rPr>
        <w:t>3</w:t>
      </w:r>
      <w:r>
        <w:rPr>
          <w:rFonts w:hint="eastAsia" w:ascii="黑体" w:hAnsi="黑体" w:eastAsia="黑体"/>
          <w:sz w:val="28"/>
          <w:szCs w:val="28"/>
        </w:rPr>
        <w:t>）0007号</w:t>
      </w:r>
    </w:p>
    <w:p>
      <w:pPr>
        <w:spacing w:line="700" w:lineRule="exact"/>
        <w:ind w:left="3406" w:leftChars="709" w:hanging="1917" w:hangingChars="682"/>
        <w:rPr>
          <w:rFonts w:ascii="黑体" w:hAnsi="黑体" w:eastAsia="黑体"/>
          <w:sz w:val="28"/>
          <w:szCs w:val="28"/>
        </w:rPr>
      </w:pPr>
      <w:r>
        <w:rPr>
          <w:rFonts w:hint="eastAsia" w:ascii="黑体" w:hAnsi="黑体" w:eastAsia="黑体"/>
          <w:b/>
          <w:sz w:val="28"/>
          <w:szCs w:val="28"/>
        </w:rPr>
        <w:t>估价项目名称</w:t>
      </w:r>
      <w:r>
        <w:rPr>
          <w:rFonts w:hint="eastAsia" w:ascii="黑体" w:hAnsi="黑体" w:eastAsia="黑体"/>
          <w:sz w:val="28"/>
          <w:szCs w:val="28"/>
        </w:rPr>
        <w:t>：禄劝县城五星路25号五交化1幢1-402号房地产</w:t>
      </w:r>
      <w:r>
        <w:rPr>
          <w:rFonts w:hint="eastAsia" w:ascii="黑体" w:hAnsi="黑体" w:eastAsia="黑体"/>
          <w:color w:val="FF0000"/>
          <w:sz w:val="28"/>
          <w:szCs w:val="28"/>
        </w:rPr>
        <w:t>市场价格</w:t>
      </w:r>
      <w:r>
        <w:rPr>
          <w:rFonts w:hint="eastAsia" w:ascii="黑体" w:hAnsi="黑体" w:eastAsia="黑体"/>
          <w:sz w:val="28"/>
          <w:szCs w:val="28"/>
        </w:rPr>
        <w:t>评估</w:t>
      </w:r>
    </w:p>
    <w:p>
      <w:pPr>
        <w:spacing w:line="700" w:lineRule="exact"/>
        <w:ind w:left="3406" w:leftChars="709" w:hanging="1917" w:hangingChars="682"/>
        <w:rPr>
          <w:rFonts w:ascii="黑体" w:hAnsi="黑体" w:eastAsia="黑体"/>
          <w:b/>
          <w:sz w:val="28"/>
          <w:szCs w:val="28"/>
        </w:rPr>
      </w:pPr>
      <w:r>
        <w:rPr>
          <w:rFonts w:hint="eastAsia" w:ascii="黑体" w:hAnsi="黑体" w:eastAsia="黑体"/>
          <w:b/>
          <w:sz w:val="28"/>
          <w:szCs w:val="28"/>
        </w:rPr>
        <w:t>估价委托人：</w:t>
      </w:r>
      <w:r>
        <w:rPr>
          <w:rFonts w:hint="eastAsia" w:ascii="黑体" w:hAnsi="黑体" w:eastAsia="黑体"/>
          <w:sz w:val="28"/>
          <w:szCs w:val="28"/>
        </w:rPr>
        <w:t>寻甸回族彝族自治县人民法院</w:t>
      </w:r>
    </w:p>
    <w:p>
      <w:pPr>
        <w:spacing w:line="700" w:lineRule="exact"/>
        <w:ind w:firstLine="1405" w:firstLineChars="500"/>
        <w:rPr>
          <w:rFonts w:ascii="黑体" w:hAnsi="黑体" w:eastAsia="黑体"/>
          <w:sz w:val="28"/>
          <w:szCs w:val="28"/>
        </w:rPr>
      </w:pPr>
      <w:r>
        <w:rPr>
          <w:rFonts w:hint="eastAsia" w:ascii="黑体" w:hAnsi="黑体" w:eastAsia="黑体"/>
          <w:b/>
          <w:sz w:val="28"/>
          <w:szCs w:val="28"/>
        </w:rPr>
        <w:t>房地产估价机构</w:t>
      </w:r>
      <w:r>
        <w:rPr>
          <w:rFonts w:hint="eastAsia" w:ascii="黑体" w:hAnsi="黑体" w:eastAsia="黑体"/>
          <w:sz w:val="28"/>
          <w:szCs w:val="28"/>
        </w:rPr>
        <w:t>：云南鼎立房地产土地资产评估有限责任公司</w:t>
      </w:r>
    </w:p>
    <w:p>
      <w:pPr>
        <w:spacing w:line="700" w:lineRule="exact"/>
        <w:ind w:firstLine="1405" w:firstLineChars="500"/>
        <w:rPr>
          <w:rFonts w:ascii="黑体" w:hAnsi="黑体" w:eastAsia="黑体"/>
          <w:sz w:val="28"/>
          <w:szCs w:val="28"/>
        </w:rPr>
      </w:pPr>
      <w:r>
        <w:rPr>
          <w:rFonts w:hint="eastAsia" w:ascii="黑体" w:hAnsi="黑体" w:eastAsia="黑体"/>
          <w:b/>
          <w:sz w:val="28"/>
          <w:szCs w:val="28"/>
        </w:rPr>
        <w:t>资格等级：</w:t>
      </w:r>
      <w:r>
        <w:rPr>
          <w:rFonts w:hint="eastAsia" w:ascii="黑体" w:hAnsi="黑体" w:eastAsia="黑体"/>
          <w:sz w:val="28"/>
          <w:szCs w:val="28"/>
        </w:rPr>
        <w:t>壹级（云建房证估字第</w:t>
      </w:r>
      <w:r>
        <w:rPr>
          <w:rFonts w:ascii="黑体" w:hAnsi="黑体" w:eastAsia="黑体"/>
          <w:sz w:val="28"/>
          <w:szCs w:val="28"/>
        </w:rPr>
        <w:t>50</w:t>
      </w:r>
      <w:r>
        <w:rPr>
          <w:rFonts w:hint="eastAsia" w:ascii="黑体" w:hAnsi="黑体" w:eastAsia="黑体"/>
          <w:sz w:val="28"/>
          <w:szCs w:val="28"/>
        </w:rPr>
        <w:t>号）</w:t>
      </w:r>
    </w:p>
    <w:p>
      <w:pPr>
        <w:spacing w:line="700" w:lineRule="exact"/>
        <w:ind w:firstLine="1405" w:firstLineChars="500"/>
        <w:rPr>
          <w:rFonts w:ascii="黑体" w:hAnsi="黑体" w:eastAsia="黑体"/>
          <w:sz w:val="28"/>
          <w:szCs w:val="28"/>
        </w:rPr>
      </w:pPr>
      <w:r>
        <w:rPr>
          <w:rFonts w:hint="eastAsia" w:ascii="黑体" w:hAnsi="黑体" w:eastAsia="黑体"/>
          <w:b/>
          <w:sz w:val="28"/>
          <w:szCs w:val="28"/>
        </w:rPr>
        <w:t>注册房地产估价师</w:t>
      </w:r>
      <w:r>
        <w:rPr>
          <w:rFonts w:hint="eastAsia" w:ascii="黑体" w:hAnsi="黑体" w:eastAsia="黑体"/>
          <w:sz w:val="28"/>
          <w:szCs w:val="28"/>
        </w:rPr>
        <w:t>： 杨廷绕（注册号：</w:t>
      </w:r>
      <w:r>
        <w:rPr>
          <w:rFonts w:ascii="黑体" w:hAnsi="黑体" w:eastAsia="黑体"/>
          <w:sz w:val="28"/>
          <w:szCs w:val="28"/>
        </w:rPr>
        <w:t>5320190071</w:t>
      </w:r>
      <w:r>
        <w:rPr>
          <w:rFonts w:hint="eastAsia" w:ascii="黑体" w:hAnsi="黑体" w:eastAsia="黑体"/>
          <w:sz w:val="28"/>
          <w:szCs w:val="28"/>
        </w:rPr>
        <w:t>）</w:t>
      </w:r>
    </w:p>
    <w:p>
      <w:pPr>
        <w:spacing w:line="700" w:lineRule="exact"/>
        <w:ind w:firstLine="4060" w:firstLineChars="1450"/>
        <w:rPr>
          <w:rFonts w:ascii="黑体" w:hAnsi="黑体" w:eastAsia="黑体"/>
          <w:sz w:val="28"/>
          <w:szCs w:val="28"/>
        </w:rPr>
      </w:pPr>
      <w:r>
        <w:rPr>
          <w:rFonts w:hint="eastAsia" w:ascii="黑体" w:hAnsi="黑体" w:eastAsia="黑体"/>
          <w:sz w:val="28"/>
          <w:szCs w:val="28"/>
        </w:rPr>
        <w:t xml:space="preserve">宗 </w:t>
      </w:r>
      <w:r>
        <w:rPr>
          <w:rFonts w:ascii="黑体" w:hAnsi="黑体" w:eastAsia="黑体"/>
          <w:sz w:val="28"/>
          <w:szCs w:val="28"/>
        </w:rPr>
        <w:t xml:space="preserve"> </w:t>
      </w:r>
      <w:r>
        <w:rPr>
          <w:rFonts w:hint="eastAsia" w:ascii="黑体" w:hAnsi="黑体" w:eastAsia="黑体"/>
          <w:sz w:val="28"/>
          <w:szCs w:val="28"/>
        </w:rPr>
        <w:t>云（注册号：5320100032）</w:t>
      </w:r>
    </w:p>
    <w:p>
      <w:pPr>
        <w:spacing w:line="700" w:lineRule="exact"/>
        <w:ind w:firstLine="1405" w:firstLineChars="500"/>
        <w:rPr>
          <w:rFonts w:ascii="黑体" w:hAnsi="黑体" w:eastAsia="黑体"/>
          <w:b/>
          <w:sz w:val="28"/>
          <w:szCs w:val="28"/>
        </w:rPr>
        <w:sectPr>
          <w:headerReference r:id="rId3" w:type="default"/>
          <w:footerReference r:id="rId5" w:type="default"/>
          <w:headerReference r:id="rId4" w:type="even"/>
          <w:pgSz w:w="11906" w:h="16838"/>
          <w:pgMar w:top="1814" w:right="1276" w:bottom="1418" w:left="1701" w:header="1417" w:footer="737" w:gutter="0"/>
          <w:pgNumType w:start="0"/>
          <w:cols w:space="425" w:num="1"/>
          <w:titlePg/>
          <w:docGrid w:linePitch="312" w:charSpace="0"/>
        </w:sectPr>
      </w:pPr>
      <w:r>
        <w:rPr>
          <w:rFonts w:hint="eastAsia" w:ascii="黑体" w:hAnsi="黑体" w:eastAsia="黑体"/>
          <w:b/>
          <w:sz w:val="28"/>
          <w:szCs w:val="28"/>
        </w:rPr>
        <w:t>估价报告出具日期：</w:t>
      </w:r>
      <w:r>
        <w:rPr>
          <w:rFonts w:hint="eastAsia" w:ascii="黑体" w:hAnsi="黑体" w:eastAsia="黑体"/>
          <w:sz w:val="28"/>
          <w:szCs w:val="28"/>
        </w:rPr>
        <w:t xml:space="preserve">二〇二二年三月十七日 </w:t>
      </w:r>
      <w:bookmarkStart w:id="1" w:name="_Toc383068116"/>
      <w:bookmarkEnd w:id="1"/>
      <w:bookmarkStart w:id="2" w:name="_Toc387827677"/>
      <w:bookmarkEnd w:id="2"/>
      <w:bookmarkStart w:id="3" w:name="_Toc382493597"/>
      <w:bookmarkEnd w:id="3"/>
      <w:bookmarkStart w:id="4" w:name="_Toc384813566"/>
      <w:bookmarkEnd w:id="4"/>
    </w:p>
    <w:p>
      <w:pPr>
        <w:spacing w:before="240" w:after="240" w:line="360" w:lineRule="auto"/>
        <w:jc w:val="center"/>
        <w:rPr>
          <w:rFonts w:ascii="黑体" w:hAnsi="黑体" w:eastAsia="黑体"/>
          <w:snapToGrid w:val="0"/>
          <w:kern w:val="0"/>
          <w:sz w:val="36"/>
        </w:rPr>
      </w:pPr>
      <w:r>
        <w:rPr>
          <w:rFonts w:hint="eastAsia" w:ascii="黑体" w:hAnsi="黑体" w:eastAsia="黑体"/>
          <w:snapToGrid w:val="0"/>
          <w:kern w:val="0"/>
          <w:sz w:val="36"/>
        </w:rPr>
        <w:t>致估价委托人函</w:t>
      </w:r>
    </w:p>
    <w:p>
      <w:pPr>
        <w:spacing w:line="360" w:lineRule="auto"/>
        <w:rPr>
          <w:rFonts w:ascii="宋体" w:hAnsi="宋体"/>
          <w:b/>
          <w:snapToGrid w:val="0"/>
          <w:kern w:val="0"/>
          <w:sz w:val="24"/>
        </w:rPr>
      </w:pPr>
      <w:r>
        <w:rPr>
          <w:rFonts w:hint="eastAsia" w:ascii="黑体" w:hAnsi="黑体" w:eastAsia="黑体"/>
          <w:sz w:val="28"/>
          <w:szCs w:val="28"/>
        </w:rPr>
        <w:t>寻甸回族彝族自治县人民法院</w:t>
      </w:r>
      <w:r>
        <w:rPr>
          <w:rFonts w:hint="eastAsia" w:ascii="宋体" w:hAnsi="宋体"/>
          <w:b/>
          <w:snapToGrid w:val="0"/>
          <w:kern w:val="0"/>
          <w:sz w:val="24"/>
        </w:rPr>
        <w:t>：</w:t>
      </w:r>
    </w:p>
    <w:p>
      <w:pPr>
        <w:spacing w:line="360" w:lineRule="auto"/>
        <w:ind w:firstLine="480" w:firstLineChars="200"/>
        <w:rPr>
          <w:rFonts w:ascii="宋体" w:hAnsi="宋体"/>
          <w:snapToGrid w:val="0"/>
          <w:kern w:val="0"/>
          <w:sz w:val="24"/>
        </w:rPr>
      </w:pPr>
      <w:r>
        <w:rPr>
          <w:rFonts w:hint="eastAsia" w:ascii="宋体" w:hAnsi="宋体"/>
          <w:snapToGrid w:val="0"/>
          <w:kern w:val="0"/>
          <w:sz w:val="24"/>
        </w:rPr>
        <w:t>承蒙贵方委托，我公司对位于禄劝县城五星路25号五交化1幢1-402号房地产</w:t>
      </w:r>
      <w:r>
        <w:rPr>
          <w:rFonts w:hint="eastAsia" w:ascii="宋体" w:hAnsi="宋体"/>
          <w:snapToGrid w:val="0"/>
          <w:color w:val="FF0000"/>
          <w:kern w:val="0"/>
          <w:sz w:val="24"/>
        </w:rPr>
        <w:t>市场价格</w:t>
      </w:r>
      <w:r>
        <w:rPr>
          <w:rFonts w:hint="eastAsia" w:ascii="宋体" w:hAnsi="宋体"/>
          <w:snapToGrid w:val="0"/>
          <w:kern w:val="0"/>
          <w:sz w:val="24"/>
        </w:rPr>
        <w:t>进行评估，估价对象基本信息如下：</w:t>
      </w:r>
    </w:p>
    <w:p>
      <w:pPr>
        <w:spacing w:line="360" w:lineRule="auto"/>
        <w:ind w:firstLine="480" w:firstLineChars="200"/>
        <w:rPr>
          <w:rFonts w:hint="eastAsia" w:ascii="宋体" w:hAnsi="宋体"/>
          <w:snapToGrid w:val="0"/>
          <w:kern w:val="0"/>
          <w:sz w:val="24"/>
        </w:rPr>
      </w:pPr>
      <w:r>
        <w:rPr>
          <w:rFonts w:hint="eastAsia" w:ascii="宋体" w:hAnsi="宋体"/>
          <w:snapToGrid w:val="0"/>
          <w:kern w:val="0"/>
          <w:sz w:val="24"/>
        </w:rPr>
        <w:t>估价对象为禄劝县城五星路25号五交化1幢1-402号，权利证书号为禄劝字第20110738号，权利人为王顺芬，共有情况为单独所有，建筑面积为</w:t>
      </w:r>
      <w:r>
        <w:rPr>
          <w:rFonts w:ascii="宋体" w:hAnsi="宋体"/>
          <w:snapToGrid w:val="0"/>
          <w:kern w:val="0"/>
          <w:sz w:val="24"/>
        </w:rPr>
        <w:t>74.55</w:t>
      </w:r>
      <w:r>
        <w:rPr>
          <w:rFonts w:hint="eastAsia" w:ascii="宋体" w:hAnsi="宋体"/>
          <w:snapToGrid w:val="0"/>
          <w:kern w:val="0"/>
          <w:sz w:val="24"/>
        </w:rPr>
        <w:t>㎡，房屋登记用途为住宅，实际用途为住宅，楼宇总层数</w:t>
      </w:r>
      <w:r>
        <w:rPr>
          <w:rFonts w:ascii="宋体" w:hAnsi="宋体"/>
          <w:snapToGrid w:val="0"/>
          <w:kern w:val="0"/>
          <w:sz w:val="24"/>
        </w:rPr>
        <w:t>6</w:t>
      </w:r>
      <w:r>
        <w:rPr>
          <w:rFonts w:hint="eastAsia" w:ascii="宋体" w:hAnsi="宋体"/>
          <w:snapToGrid w:val="0"/>
          <w:kern w:val="0"/>
          <w:sz w:val="24"/>
        </w:rPr>
        <w:t>层，估价对象位于</w:t>
      </w:r>
      <w:r>
        <w:rPr>
          <w:rFonts w:ascii="宋体" w:hAnsi="宋体"/>
          <w:snapToGrid w:val="0"/>
          <w:kern w:val="0"/>
          <w:sz w:val="24"/>
        </w:rPr>
        <w:t>4</w:t>
      </w:r>
      <w:r>
        <w:rPr>
          <w:rFonts w:hint="eastAsia" w:ascii="宋体" w:hAnsi="宋体"/>
          <w:snapToGrid w:val="0"/>
          <w:kern w:val="0"/>
          <w:sz w:val="24"/>
        </w:rPr>
        <w:t>层；分摊</w:t>
      </w:r>
      <w:r>
        <w:rPr>
          <w:rFonts w:ascii="宋体" w:hAnsi="宋体"/>
          <w:snapToGrid w:val="0"/>
          <w:kern w:val="0"/>
          <w:sz w:val="24"/>
        </w:rPr>
        <w:t>土地使用权面积为</w:t>
      </w:r>
      <w:r>
        <w:rPr>
          <w:rFonts w:hint="eastAsia" w:ascii="宋体" w:hAnsi="宋体"/>
          <w:snapToGrid w:val="0"/>
          <w:kern w:val="0"/>
          <w:sz w:val="24"/>
        </w:rPr>
        <w:t>13.39平方米</w:t>
      </w:r>
      <w:r>
        <w:rPr>
          <w:rFonts w:ascii="宋体" w:hAnsi="宋体"/>
          <w:snapToGrid w:val="0"/>
          <w:kern w:val="0"/>
          <w:sz w:val="24"/>
        </w:rPr>
        <w:t>，使用权类型为国有出让</w:t>
      </w:r>
      <w:r>
        <w:rPr>
          <w:rFonts w:hint="eastAsia" w:ascii="宋体" w:hAnsi="宋体"/>
          <w:snapToGrid w:val="0"/>
          <w:kern w:val="0"/>
          <w:sz w:val="24"/>
        </w:rPr>
        <w:t>，</w:t>
      </w:r>
      <w:r>
        <w:rPr>
          <w:rFonts w:ascii="宋体" w:hAnsi="宋体"/>
          <w:snapToGrid w:val="0"/>
          <w:kern w:val="0"/>
          <w:sz w:val="24"/>
        </w:rPr>
        <w:t>用途为城镇住宅用地</w:t>
      </w:r>
      <w:r>
        <w:rPr>
          <w:rFonts w:hint="eastAsia" w:ascii="宋体" w:hAnsi="宋体"/>
          <w:snapToGrid w:val="0"/>
          <w:kern w:val="0"/>
          <w:sz w:val="24"/>
        </w:rPr>
        <w:t>，</w:t>
      </w:r>
      <w:r>
        <w:rPr>
          <w:rFonts w:ascii="宋体" w:hAnsi="宋体"/>
          <w:snapToGrid w:val="0"/>
          <w:kern w:val="0"/>
          <w:sz w:val="24"/>
        </w:rPr>
        <w:t>使用权终止日期为</w:t>
      </w:r>
      <w:r>
        <w:rPr>
          <w:rFonts w:hint="eastAsia" w:ascii="宋体" w:hAnsi="宋体"/>
          <w:snapToGrid w:val="0"/>
          <w:kern w:val="0"/>
          <w:sz w:val="24"/>
        </w:rPr>
        <w:t>2076年12月18日</w:t>
      </w:r>
      <w:r>
        <w:rPr>
          <w:rFonts w:ascii="宋体" w:hAnsi="宋体"/>
          <w:snapToGrid w:val="0"/>
          <w:kern w:val="0"/>
          <w:sz w:val="24"/>
        </w:rPr>
        <w:t>。</w:t>
      </w:r>
    </w:p>
    <w:p>
      <w:pPr>
        <w:pStyle w:val="15"/>
        <w:adjustRightInd w:val="0"/>
        <w:snapToGrid w:val="0"/>
        <w:spacing w:before="62" w:beforeLines="20" w:line="360" w:lineRule="auto"/>
        <w:ind w:firstLine="472" w:firstLineChars="196"/>
        <w:rPr>
          <w:rFonts w:hAnsi="宋体"/>
          <w:snapToGrid w:val="0"/>
          <w:sz w:val="24"/>
          <w:szCs w:val="24"/>
        </w:rPr>
      </w:pPr>
      <w:r>
        <w:rPr>
          <w:rFonts w:hint="eastAsia" w:hAnsi="宋体"/>
          <w:b/>
          <w:snapToGrid w:val="0"/>
          <w:sz w:val="24"/>
          <w:szCs w:val="24"/>
        </w:rPr>
        <w:t>估价目的：</w:t>
      </w:r>
      <w:r>
        <w:rPr>
          <w:rFonts w:hint="eastAsia" w:hAnsi="宋体"/>
          <w:snapToGrid w:val="0"/>
          <w:sz w:val="24"/>
          <w:szCs w:val="24"/>
        </w:rPr>
        <w:t>为人民法院确定财产处置参考价提供参考依据。</w:t>
      </w:r>
    </w:p>
    <w:p>
      <w:pPr>
        <w:pStyle w:val="15"/>
        <w:adjustRightInd w:val="0"/>
        <w:snapToGrid w:val="0"/>
        <w:spacing w:before="62" w:beforeLines="20" w:line="360" w:lineRule="auto"/>
        <w:ind w:firstLine="472" w:firstLineChars="196"/>
        <w:rPr>
          <w:rFonts w:hAnsi="宋体"/>
          <w:snapToGrid w:val="0"/>
          <w:sz w:val="24"/>
          <w:szCs w:val="24"/>
        </w:rPr>
      </w:pPr>
      <w:r>
        <w:rPr>
          <w:rFonts w:hint="eastAsia" w:hAnsi="宋体"/>
          <w:b/>
          <w:snapToGrid w:val="0"/>
          <w:sz w:val="24"/>
          <w:szCs w:val="24"/>
        </w:rPr>
        <w:t>价值时点</w:t>
      </w:r>
      <w:r>
        <w:rPr>
          <w:rFonts w:hint="eastAsia" w:hAnsi="宋体"/>
          <w:snapToGrid w:val="0"/>
          <w:sz w:val="24"/>
          <w:szCs w:val="24"/>
        </w:rPr>
        <w:t>：为估价人员完成实地查勘之日，即二〇二二年三月十日。</w:t>
      </w:r>
    </w:p>
    <w:p>
      <w:pPr>
        <w:adjustRightInd w:val="0"/>
        <w:snapToGrid w:val="0"/>
        <w:spacing w:line="360" w:lineRule="auto"/>
        <w:ind w:firstLine="482" w:firstLineChars="200"/>
        <w:rPr>
          <w:sz w:val="24"/>
          <w:szCs w:val="18"/>
        </w:rPr>
      </w:pPr>
      <w:r>
        <w:rPr>
          <w:rFonts w:hint="eastAsia" w:hAnsi="宋体"/>
          <w:b/>
          <w:snapToGrid w:val="0"/>
          <w:kern w:val="0"/>
          <w:sz w:val="24"/>
        </w:rPr>
        <w:t>价值类型：</w:t>
      </w:r>
      <w:r>
        <w:rPr>
          <w:rFonts w:hint="eastAsia" w:ascii="宋体" w:hAnsi="宋体"/>
          <w:snapToGrid w:val="0"/>
          <w:color w:val="FF0000"/>
          <w:kern w:val="0"/>
          <w:sz w:val="24"/>
        </w:rPr>
        <w:t>市场价格，是指估价对象房地产在</w:t>
      </w:r>
      <w:r>
        <w:rPr>
          <w:rFonts w:ascii="宋体" w:hAnsi="宋体"/>
          <w:snapToGrid w:val="0"/>
          <w:color w:val="FF0000"/>
          <w:kern w:val="0"/>
          <w:sz w:val="24"/>
        </w:rPr>
        <w:t>市场上的平均交易价格</w:t>
      </w:r>
      <w:r>
        <w:rPr>
          <w:rFonts w:hint="eastAsia" w:ascii="宋体" w:hAnsi="宋体"/>
          <w:snapToGrid w:val="0"/>
          <w:kern w:val="0"/>
          <w:sz w:val="24"/>
        </w:rPr>
        <w:t>。</w:t>
      </w:r>
    </w:p>
    <w:p>
      <w:pPr>
        <w:adjustRightInd w:val="0"/>
        <w:snapToGrid w:val="0"/>
        <w:spacing w:line="360" w:lineRule="auto"/>
        <w:ind w:firstLine="482" w:firstLineChars="200"/>
        <w:rPr>
          <w:rFonts w:ascii="宋体"/>
          <w:snapToGrid w:val="0"/>
          <w:kern w:val="0"/>
          <w:sz w:val="24"/>
        </w:rPr>
      </w:pPr>
      <w:r>
        <w:rPr>
          <w:rFonts w:hint="eastAsia" w:hAnsi="宋体"/>
          <w:b/>
          <w:snapToGrid w:val="0"/>
          <w:kern w:val="0"/>
          <w:sz w:val="24"/>
        </w:rPr>
        <w:t>估价方法：</w:t>
      </w:r>
      <w:r>
        <w:rPr>
          <w:rFonts w:hint="eastAsia" w:ascii="宋体" w:hAnsi="宋体"/>
          <w:snapToGrid w:val="0"/>
          <w:kern w:val="0"/>
          <w:sz w:val="24"/>
        </w:rPr>
        <w:t>采用比较法</w:t>
      </w:r>
    </w:p>
    <w:p>
      <w:pPr>
        <w:pStyle w:val="15"/>
        <w:adjustRightInd w:val="0"/>
        <w:snapToGrid w:val="0"/>
        <w:spacing w:before="62" w:beforeLines="20" w:line="360" w:lineRule="auto"/>
        <w:ind w:firstLine="472" w:firstLineChars="196"/>
        <w:rPr>
          <w:rFonts w:hAnsi="宋体"/>
          <w:snapToGrid w:val="0"/>
          <w:sz w:val="24"/>
        </w:rPr>
      </w:pPr>
      <w:r>
        <w:rPr>
          <w:rFonts w:hint="eastAsia" w:ascii="Times New Roman" w:hAnsi="宋体"/>
          <w:b/>
          <w:snapToGrid w:val="0"/>
          <w:sz w:val="24"/>
          <w:szCs w:val="24"/>
        </w:rPr>
        <w:t>估价结果：</w:t>
      </w:r>
      <w:r>
        <w:rPr>
          <w:rFonts w:hint="eastAsia" w:hAnsi="宋体"/>
          <w:snapToGrid w:val="0"/>
          <w:sz w:val="24"/>
        </w:rPr>
        <w:t>本估价机构本着独立、客观、公正的原则，根据估价目的，遵循估价原则，按照规范的估价程序，依据中华人民共和国有关法律、法规以及《房地产估价规范》（</w:t>
      </w:r>
      <w:r>
        <w:rPr>
          <w:rFonts w:hAnsi="宋体"/>
          <w:snapToGrid w:val="0"/>
          <w:sz w:val="24"/>
        </w:rPr>
        <w:t>GB/T50291-2015</w:t>
      </w:r>
      <w:r>
        <w:rPr>
          <w:rFonts w:hint="eastAsia" w:hAnsi="宋体"/>
          <w:snapToGrid w:val="0"/>
          <w:sz w:val="24"/>
        </w:rPr>
        <w:t>），对估价对象进行了实地查看、广泛收集估价对象相关资料及有关市场资料，全面分析影响房地产市场价格因素，以及与市场价格有关的各项有利和不利因素，在满足估价的全部假设使用限制条件及有关说明下，确定估价对象于价值时点的估价结果为：</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币种</w:t>
      </w:r>
      <w:r>
        <w:rPr>
          <w:rFonts w:ascii="宋体" w:hAnsi="宋体"/>
          <w:b/>
          <w:snapToGrid w:val="0"/>
          <w:kern w:val="0"/>
          <w:sz w:val="24"/>
          <w:szCs w:val="20"/>
        </w:rPr>
        <w:t>：人民币</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单价：4758元/平方米</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总价：</w:t>
      </w:r>
      <w:r>
        <w:rPr>
          <w:rFonts w:ascii="宋体" w:hAnsi="宋体"/>
          <w:b/>
          <w:snapToGrid w:val="0"/>
          <w:kern w:val="0"/>
          <w:sz w:val="24"/>
          <w:szCs w:val="20"/>
        </w:rPr>
        <w:t>35.4709</w:t>
      </w:r>
      <w:r>
        <w:rPr>
          <w:rFonts w:hint="eastAsia" w:ascii="宋体" w:hAnsi="宋体"/>
          <w:b/>
          <w:snapToGrid w:val="0"/>
          <w:kern w:val="0"/>
          <w:sz w:val="24"/>
          <w:szCs w:val="20"/>
        </w:rPr>
        <w:t>万元</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大写</w:t>
      </w:r>
      <w:r>
        <w:rPr>
          <w:rFonts w:ascii="宋体" w:hAnsi="宋体"/>
          <w:b/>
          <w:snapToGrid w:val="0"/>
          <w:kern w:val="0"/>
          <w:sz w:val="24"/>
          <w:szCs w:val="20"/>
        </w:rPr>
        <w:t>:叁拾伍万肆仟柒佰零玖</w:t>
      </w:r>
      <w:r>
        <w:rPr>
          <w:rFonts w:hint="eastAsia" w:ascii="宋体" w:hAnsi="宋体"/>
          <w:b/>
          <w:snapToGrid w:val="0"/>
          <w:kern w:val="0"/>
          <w:sz w:val="24"/>
          <w:szCs w:val="20"/>
        </w:rPr>
        <w:t>元整</w:t>
      </w:r>
    </w:p>
    <w:p>
      <w:pPr>
        <w:spacing w:line="360" w:lineRule="auto"/>
        <w:ind w:firstLine="482" w:firstLineChars="200"/>
        <w:rPr>
          <w:rFonts w:ascii="宋体" w:hAnsi="宋体"/>
          <w:b/>
          <w:sz w:val="24"/>
        </w:rPr>
      </w:pPr>
      <w:r>
        <w:rPr>
          <w:rFonts w:hint="eastAsia" w:ascii="宋体" w:hAnsi="宋体"/>
          <w:b/>
          <w:snapToGrid w:val="0"/>
          <w:kern w:val="0"/>
          <w:sz w:val="24"/>
          <w:szCs w:val="20"/>
        </w:rPr>
        <w:t>（详见评估结果明细表）</w:t>
      </w:r>
    </w:p>
    <w:p>
      <w:pPr>
        <w:tabs>
          <w:tab w:val="left" w:pos="2880"/>
        </w:tabs>
        <w:spacing w:line="360" w:lineRule="auto"/>
        <w:jc w:val="center"/>
        <w:rPr>
          <w:rFonts w:ascii="宋体" w:hAnsi="宋体"/>
          <w:b/>
          <w:sz w:val="24"/>
        </w:rPr>
      </w:pPr>
    </w:p>
    <w:p>
      <w:pPr>
        <w:tabs>
          <w:tab w:val="left" w:pos="2880"/>
        </w:tabs>
        <w:spacing w:line="360" w:lineRule="auto"/>
        <w:jc w:val="center"/>
        <w:rPr>
          <w:rFonts w:ascii="宋体" w:hAnsi="宋体"/>
          <w:b/>
          <w:sz w:val="24"/>
        </w:rPr>
      </w:pPr>
    </w:p>
    <w:p>
      <w:pPr>
        <w:tabs>
          <w:tab w:val="left" w:pos="2880"/>
        </w:tabs>
        <w:spacing w:line="360" w:lineRule="auto"/>
        <w:jc w:val="center"/>
        <w:rPr>
          <w:rFonts w:ascii="宋体" w:hAnsi="宋体"/>
          <w:b/>
          <w:sz w:val="24"/>
        </w:rPr>
      </w:pPr>
    </w:p>
    <w:p>
      <w:pPr>
        <w:tabs>
          <w:tab w:val="left" w:pos="2880"/>
        </w:tabs>
        <w:spacing w:line="360" w:lineRule="auto"/>
        <w:jc w:val="center"/>
        <w:rPr>
          <w:rFonts w:ascii="宋体"/>
          <w:b/>
          <w:sz w:val="24"/>
        </w:rPr>
      </w:pPr>
      <w:r>
        <w:rPr>
          <w:rFonts w:hint="eastAsia" w:ascii="宋体" w:hAnsi="宋体"/>
          <w:b/>
          <w:sz w:val="24"/>
        </w:rPr>
        <w:t>评估结果明细表</w:t>
      </w:r>
    </w:p>
    <w:tbl>
      <w:tblPr>
        <w:tblStyle w:val="31"/>
        <w:tblW w:w="507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32"/>
        <w:gridCol w:w="1574"/>
        <w:gridCol w:w="1068"/>
        <w:gridCol w:w="975"/>
        <w:gridCol w:w="714"/>
        <w:gridCol w:w="816"/>
        <w:gridCol w:w="979"/>
        <w:gridCol w:w="1075"/>
        <w:gridCol w:w="11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247"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899"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估价对象</w:t>
            </w:r>
          </w:p>
        </w:tc>
        <w:tc>
          <w:tcPr>
            <w:tcW w:w="610"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权利证书号</w:t>
            </w:r>
          </w:p>
        </w:tc>
        <w:tc>
          <w:tcPr>
            <w:tcW w:w="557"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产权人</w:t>
            </w:r>
          </w:p>
        </w:tc>
        <w:tc>
          <w:tcPr>
            <w:tcW w:w="408" w:type="pct"/>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用途</w:t>
            </w:r>
          </w:p>
        </w:tc>
        <w:tc>
          <w:tcPr>
            <w:tcW w:w="466"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所在层数</w:t>
            </w:r>
          </w:p>
        </w:tc>
        <w:tc>
          <w:tcPr>
            <w:tcW w:w="559"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建筑面积（㎡）</w:t>
            </w:r>
          </w:p>
        </w:tc>
        <w:tc>
          <w:tcPr>
            <w:tcW w:w="614"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评估单价（元/㎡）</w:t>
            </w:r>
          </w:p>
        </w:tc>
        <w:tc>
          <w:tcPr>
            <w:tcW w:w="640"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评估总价（万元）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247" w:type="pct"/>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899"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禄劝县城五星路25号五交化1幢1-402号</w:t>
            </w:r>
          </w:p>
        </w:tc>
        <w:tc>
          <w:tcPr>
            <w:tcW w:w="610"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禄劝字第20110738号</w:t>
            </w:r>
          </w:p>
        </w:tc>
        <w:tc>
          <w:tcPr>
            <w:tcW w:w="557"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王顺芬</w:t>
            </w:r>
          </w:p>
        </w:tc>
        <w:tc>
          <w:tcPr>
            <w:tcW w:w="408" w:type="pct"/>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住宅</w:t>
            </w:r>
          </w:p>
        </w:tc>
        <w:tc>
          <w:tcPr>
            <w:tcW w:w="466" w:type="pct"/>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color w:val="000000"/>
                <w:szCs w:val="21"/>
              </w:rPr>
              <w:t>4</w:t>
            </w:r>
          </w:p>
        </w:tc>
        <w:tc>
          <w:tcPr>
            <w:tcW w:w="559"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74.55</w:t>
            </w:r>
          </w:p>
        </w:tc>
        <w:tc>
          <w:tcPr>
            <w:tcW w:w="614" w:type="pct"/>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color w:val="000000"/>
                <w:szCs w:val="21"/>
              </w:rPr>
              <w:t>4758</w:t>
            </w:r>
          </w:p>
        </w:tc>
        <w:tc>
          <w:tcPr>
            <w:tcW w:w="640" w:type="pct"/>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color w:val="000000"/>
                <w:szCs w:val="21"/>
              </w:rPr>
              <w:t>35.4709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187" w:type="pct"/>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559" w:type="pct"/>
            <w:shd w:val="clear" w:color="auto" w:fill="auto"/>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color w:val="000000"/>
                <w:szCs w:val="21"/>
              </w:rPr>
              <w:t>74.55</w:t>
            </w:r>
          </w:p>
        </w:tc>
        <w:tc>
          <w:tcPr>
            <w:tcW w:w="61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w:t>
            </w:r>
          </w:p>
        </w:tc>
        <w:tc>
          <w:tcPr>
            <w:tcW w:w="640"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35.4709</w:t>
            </w:r>
          </w:p>
        </w:tc>
      </w:tr>
    </w:tbl>
    <w:p>
      <w:pPr>
        <w:spacing w:line="360" w:lineRule="auto"/>
        <w:ind w:firstLine="482" w:firstLineChars="200"/>
        <w:rPr>
          <w:rFonts w:ascii="宋体" w:hAnsi="宋体"/>
          <w:b/>
          <w:sz w:val="24"/>
        </w:rPr>
      </w:pPr>
      <w:r>
        <w:rPr>
          <w:rFonts w:hint="eastAsia" w:ascii="宋体" w:hAnsi="宋体"/>
          <w:b/>
          <w:sz w:val="24"/>
        </w:rPr>
        <w:t>特别提示：</w:t>
      </w:r>
    </w:p>
    <w:p>
      <w:pPr>
        <w:spacing w:line="360" w:lineRule="auto"/>
        <w:ind w:firstLine="480" w:firstLineChars="200"/>
        <w:rPr>
          <w:rFonts w:ascii="宋体" w:hAnsi="宋体"/>
          <w:kern w:val="0"/>
          <w:sz w:val="24"/>
        </w:rPr>
      </w:pPr>
      <w:r>
        <w:rPr>
          <w:rFonts w:hint="eastAsia" w:ascii="宋体" w:hAnsi="宋体"/>
          <w:kern w:val="0"/>
          <w:sz w:val="24"/>
        </w:rPr>
        <w:t>1、应当按照</w:t>
      </w:r>
      <w:r>
        <w:rPr>
          <w:rFonts w:ascii="宋体" w:hAnsi="宋体"/>
          <w:kern w:val="0"/>
          <w:sz w:val="24"/>
        </w:rPr>
        <w:t>法律</w:t>
      </w:r>
      <w:r>
        <w:rPr>
          <w:rFonts w:hint="eastAsia" w:ascii="宋体" w:hAnsi="宋体"/>
          <w:kern w:val="0"/>
          <w:sz w:val="24"/>
        </w:rPr>
        <w:t>规定</w:t>
      </w:r>
      <w:r>
        <w:rPr>
          <w:rFonts w:ascii="宋体" w:hAnsi="宋体"/>
          <w:kern w:val="0"/>
          <w:sz w:val="24"/>
        </w:rPr>
        <w:t>和评估</w:t>
      </w:r>
      <w:r>
        <w:rPr>
          <w:rFonts w:hint="eastAsia" w:ascii="宋体" w:hAnsi="宋体"/>
          <w:kern w:val="0"/>
          <w:sz w:val="24"/>
        </w:rPr>
        <w:t>报告</w:t>
      </w:r>
      <w:r>
        <w:rPr>
          <w:rFonts w:ascii="宋体" w:hAnsi="宋体"/>
          <w:kern w:val="0"/>
          <w:sz w:val="24"/>
        </w:rPr>
        <w:t>载明的用途、使用人、使用期限等使用范围使用评估报告。否则</w:t>
      </w:r>
      <w:r>
        <w:rPr>
          <w:rFonts w:hint="eastAsia" w:ascii="宋体" w:hAnsi="宋体"/>
          <w:kern w:val="0"/>
          <w:sz w:val="24"/>
        </w:rPr>
        <w:t>，本</w:t>
      </w:r>
      <w:r>
        <w:rPr>
          <w:rFonts w:ascii="宋体" w:hAnsi="宋体"/>
          <w:kern w:val="0"/>
          <w:sz w:val="24"/>
        </w:rPr>
        <w:t>房地产估价机构和</w:t>
      </w:r>
      <w:r>
        <w:rPr>
          <w:rFonts w:hint="eastAsia" w:ascii="宋体" w:hAnsi="宋体"/>
          <w:kern w:val="0"/>
          <w:sz w:val="24"/>
        </w:rPr>
        <w:t>注册</w:t>
      </w:r>
      <w:r>
        <w:rPr>
          <w:rFonts w:ascii="宋体" w:hAnsi="宋体"/>
          <w:kern w:val="0"/>
          <w:sz w:val="24"/>
        </w:rPr>
        <w:t>房地产估价师</w:t>
      </w:r>
      <w:r>
        <w:rPr>
          <w:rFonts w:hint="eastAsia" w:ascii="宋体" w:hAnsi="宋体"/>
          <w:kern w:val="0"/>
          <w:sz w:val="24"/>
        </w:rPr>
        <w:t>依法</w:t>
      </w:r>
      <w:r>
        <w:rPr>
          <w:rFonts w:ascii="宋体" w:hAnsi="宋体"/>
          <w:kern w:val="0"/>
          <w:sz w:val="24"/>
        </w:rPr>
        <w:t>不承担责任</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2、评估</w:t>
      </w:r>
      <w:r>
        <w:rPr>
          <w:rFonts w:ascii="宋体" w:hAnsi="宋体"/>
          <w:kern w:val="0"/>
          <w:sz w:val="24"/>
        </w:rPr>
        <w:t>结果仅为人民法院确定财产处置参考价服务，不是评估对象处置可实现的成交价格，也不应当被视为对评估对象处置成交价格的</w:t>
      </w:r>
      <w:r>
        <w:rPr>
          <w:rFonts w:hint="eastAsia" w:ascii="宋体" w:hAnsi="宋体"/>
          <w:kern w:val="0"/>
          <w:sz w:val="24"/>
        </w:rPr>
        <w:t>保证。</w:t>
      </w:r>
    </w:p>
    <w:p>
      <w:pPr>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财产拍卖或者变卖之日</w:t>
      </w:r>
      <w:r>
        <w:rPr>
          <w:rFonts w:hint="eastAsia" w:ascii="宋体" w:hAnsi="宋体"/>
          <w:kern w:val="0"/>
          <w:sz w:val="24"/>
        </w:rPr>
        <w:t>与价值时点</w:t>
      </w:r>
      <w:r>
        <w:rPr>
          <w:rFonts w:ascii="宋体" w:hAnsi="宋体"/>
          <w:kern w:val="0"/>
          <w:sz w:val="24"/>
        </w:rPr>
        <w:t>不一致，可能导致评估结果对应的估价对象状况、房地产市场状况、欠缴税费状况等</w:t>
      </w:r>
      <w:r>
        <w:rPr>
          <w:rFonts w:hint="eastAsia" w:ascii="宋体" w:hAnsi="宋体"/>
          <w:kern w:val="0"/>
          <w:sz w:val="24"/>
        </w:rPr>
        <w:t>与</w:t>
      </w:r>
      <w:r>
        <w:rPr>
          <w:rFonts w:ascii="宋体" w:hAnsi="宋体"/>
          <w:kern w:val="0"/>
          <w:sz w:val="24"/>
        </w:rPr>
        <w:t>财产拍卖或者变卖</w:t>
      </w:r>
      <w:r>
        <w:rPr>
          <w:rFonts w:hint="eastAsia" w:ascii="宋体" w:hAnsi="宋体"/>
          <w:kern w:val="0"/>
          <w:sz w:val="24"/>
        </w:rPr>
        <w:t>时的</w:t>
      </w:r>
      <w:r>
        <w:rPr>
          <w:rFonts w:ascii="宋体" w:hAnsi="宋体"/>
          <w:kern w:val="0"/>
          <w:sz w:val="24"/>
        </w:rPr>
        <w:t>相应状况不一致，发生明显变化的，评估结果应当进行相应调整后才可使用</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4、在评估报告使用期限或者评估结果有效期内,评估报告或者评估结果未使用之前,如果评估对象状况或者房地产市场状况发生明显</w:t>
      </w:r>
      <w:r>
        <w:rPr>
          <w:rFonts w:ascii="宋体" w:hAnsi="宋体"/>
          <w:kern w:val="0"/>
          <w:sz w:val="24"/>
        </w:rPr>
        <w:t>变化的，评估结果应当进行相应调整后才可使用</w:t>
      </w:r>
      <w:r>
        <w:rPr>
          <w:rFonts w:hint="eastAsia" w:ascii="宋体" w:hAnsi="宋体"/>
          <w:kern w:val="0"/>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rPr>
        <w:t>5</w:t>
      </w:r>
      <w:r>
        <w:rPr>
          <w:rFonts w:hint="eastAsia" w:asciiTheme="minorEastAsia" w:hAnsiTheme="minorEastAsia" w:eastAsiaTheme="minorEastAsia"/>
          <w:kern w:val="0"/>
          <w:sz w:val="24"/>
        </w:rPr>
        <w:t>、</w:t>
      </w:r>
      <w:r>
        <w:rPr>
          <w:rFonts w:asciiTheme="minorEastAsia" w:hAnsiTheme="minorEastAsia" w:eastAsiaTheme="minorEastAsia"/>
          <w:kern w:val="0"/>
          <w:sz w:val="24"/>
        </w:rPr>
        <w:t>估价对象财产范</w:t>
      </w:r>
      <w:r>
        <w:rPr>
          <w:rFonts w:asciiTheme="minorEastAsia" w:hAnsiTheme="minorEastAsia" w:eastAsiaTheme="minorEastAsia"/>
          <w:sz w:val="24"/>
        </w:rPr>
        <w:t>围包括建筑物（含室内二次装修）、所分摊的土地在剩余使用年期的使用权，不包括动产、债权债务、特许经营权等其他财产或权益</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6</w:t>
      </w:r>
      <w:r>
        <w:rPr>
          <w:rFonts w:hint="eastAsia" w:asciiTheme="minorEastAsia" w:hAnsiTheme="minorEastAsia" w:eastAsiaTheme="minorEastAsia"/>
          <w:kern w:val="0"/>
          <w:sz w:val="24"/>
        </w:rPr>
        <w:t>、至价值时点</w:t>
      </w:r>
      <w:r>
        <w:rPr>
          <w:rFonts w:asciiTheme="minorEastAsia" w:hAnsiTheme="minorEastAsia" w:eastAsiaTheme="minorEastAsia"/>
          <w:kern w:val="0"/>
          <w:sz w:val="24"/>
        </w:rPr>
        <w:t>，</w:t>
      </w:r>
      <w:r>
        <w:rPr>
          <w:rFonts w:hint="eastAsia" w:asciiTheme="minorEastAsia" w:hAnsiTheme="minorEastAsia" w:eastAsiaTheme="minorEastAsia"/>
          <w:kern w:val="0"/>
          <w:sz w:val="24"/>
        </w:rPr>
        <w:t>估价对象存在依法查封等权利限制情况，但本次估价目的是为人民法院确定财产处置参考价提供参考依据，因此不考虑抵押、查封等情况对估价对象房地产市场价格的影响。</w:t>
      </w: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法定代表人：</w:t>
      </w:r>
    </w:p>
    <w:p>
      <w:pPr>
        <w:spacing w:line="360" w:lineRule="auto"/>
        <w:jc w:val="right"/>
        <w:rPr>
          <w:rFonts w:ascii="宋体" w:hAnsi="宋体"/>
          <w:b/>
          <w:sz w:val="28"/>
          <w:szCs w:val="28"/>
        </w:rPr>
      </w:pPr>
      <w:r>
        <w:rPr>
          <w:rFonts w:hint="eastAsia" w:ascii="宋体" w:hAnsi="宋体"/>
          <w:b/>
          <w:sz w:val="28"/>
          <w:szCs w:val="28"/>
        </w:rPr>
        <w:t>云南鼎立房地产土地资产评估有限责任公司</w:t>
      </w:r>
    </w:p>
    <w:p>
      <w:pPr>
        <w:ind w:firstLine="4469" w:firstLineChars="1590"/>
        <w:rPr>
          <w:rFonts w:ascii="宋体"/>
          <w:b/>
          <w:sz w:val="28"/>
          <w:szCs w:val="28"/>
        </w:rPr>
      </w:pPr>
      <w:r>
        <w:rPr>
          <w:rFonts w:hint="eastAsia" w:ascii="宋体" w:hAnsi="宋体"/>
          <w:b/>
          <w:sz w:val="28"/>
          <w:szCs w:val="28"/>
        </w:rPr>
        <w:t xml:space="preserve">二〇二二年三月十七日 </w:t>
      </w:r>
    </w:p>
    <w:p>
      <w:pPr>
        <w:widowControl/>
        <w:jc w:val="left"/>
        <w:rPr>
          <w:sz w:val="18"/>
          <w:szCs w:val="18"/>
        </w:rPr>
        <w:sectPr>
          <w:headerReference r:id="rId8" w:type="first"/>
          <w:headerReference r:id="rId6" w:type="default"/>
          <w:footerReference r:id="rId9" w:type="default"/>
          <w:headerReference r:id="rId7" w:type="even"/>
          <w:pgSz w:w="11906" w:h="16838"/>
          <w:pgMar w:top="1440" w:right="1797" w:bottom="1440" w:left="1701" w:header="851" w:footer="992" w:gutter="0"/>
          <w:pgNumType w:fmt="numberInDash" w:start="1"/>
          <w:cols w:space="425" w:num="1"/>
          <w:docGrid w:type="lines" w:linePitch="312" w:charSpace="0"/>
        </w:sectPr>
      </w:pPr>
    </w:p>
    <w:p>
      <w:pPr>
        <w:widowControl/>
        <w:jc w:val="center"/>
        <w:rPr>
          <w:sz w:val="36"/>
          <w:szCs w:val="36"/>
        </w:rPr>
      </w:pPr>
      <w:bookmarkStart w:id="69" w:name="_GoBack"/>
      <w:bookmarkEnd w:id="69"/>
      <w:r>
        <w:rPr>
          <w:rFonts w:hint="eastAsia"/>
          <w:sz w:val="36"/>
          <w:szCs w:val="36"/>
        </w:rPr>
        <w:t>目录</w:t>
      </w:r>
    </w:p>
    <w:p>
      <w:pPr>
        <w:pStyle w:val="22"/>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 w:val="18"/>
          <w:szCs w:val="18"/>
        </w:rPr>
        <w:fldChar w:fldCharType="begin"/>
      </w:r>
      <w:r>
        <w:rPr>
          <w:sz w:val="18"/>
          <w:szCs w:val="18"/>
        </w:rPr>
        <w:instrText xml:space="preserve"> TOC \o "1-3" \h \z \u </w:instrText>
      </w:r>
      <w:r>
        <w:rPr>
          <w:sz w:val="18"/>
          <w:szCs w:val="18"/>
        </w:rPr>
        <w:fldChar w:fldCharType="separate"/>
      </w:r>
      <w:r>
        <w:rPr>
          <w:szCs w:val="18"/>
        </w:rPr>
        <w:fldChar w:fldCharType="begin"/>
      </w:r>
      <w:r>
        <w:rPr>
          <w:szCs w:val="18"/>
        </w:rPr>
        <w:instrText xml:space="preserve"> HYPERLINK \l _Toc30954 </w:instrText>
      </w:r>
      <w:r>
        <w:rPr>
          <w:szCs w:val="18"/>
        </w:rPr>
        <w:fldChar w:fldCharType="separate"/>
      </w:r>
      <w:r>
        <w:rPr>
          <w:rFonts w:hint="eastAsia" w:ascii="黑体" w:hAnsi="黑体" w:eastAsia="黑体"/>
          <w:snapToGrid w:val="0"/>
        </w:rPr>
        <w:t>估价师声明</w:t>
      </w:r>
      <w:r>
        <w:tab/>
      </w:r>
      <w:r>
        <w:fldChar w:fldCharType="begin"/>
      </w:r>
      <w:r>
        <w:instrText xml:space="preserve"> PAGEREF _Toc30954 \h </w:instrText>
      </w:r>
      <w:r>
        <w:fldChar w:fldCharType="separate"/>
      </w:r>
      <w:r>
        <w:t>- 4 -</w:t>
      </w:r>
      <w:r>
        <w:fldChar w:fldCharType="end"/>
      </w:r>
      <w:r>
        <w:rPr>
          <w:szCs w:val="18"/>
        </w:rPr>
        <w:fldChar w:fldCharType="end"/>
      </w:r>
    </w:p>
    <w:p>
      <w:pPr>
        <w:pStyle w:val="22"/>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_Toc16248 </w:instrText>
      </w:r>
      <w:r>
        <w:rPr>
          <w:szCs w:val="18"/>
        </w:rPr>
        <w:fldChar w:fldCharType="separate"/>
      </w:r>
      <w:r>
        <w:rPr>
          <w:rFonts w:hint="eastAsia" w:ascii="黑体" w:hAnsi="黑体" w:eastAsia="黑体"/>
          <w:snapToGrid w:val="0"/>
        </w:rPr>
        <w:t>估价假设和限制条件</w:t>
      </w:r>
      <w:r>
        <w:tab/>
      </w:r>
      <w:r>
        <w:fldChar w:fldCharType="begin"/>
      </w:r>
      <w:r>
        <w:instrText xml:space="preserve"> PAGEREF _Toc16248 \h </w:instrText>
      </w:r>
      <w:r>
        <w:fldChar w:fldCharType="separate"/>
      </w:r>
      <w:r>
        <w:t>- 5 -</w:t>
      </w:r>
      <w:r>
        <w:fldChar w:fldCharType="end"/>
      </w:r>
      <w:r>
        <w:rPr>
          <w:szCs w:val="18"/>
        </w:rPr>
        <w:fldChar w:fldCharType="end"/>
      </w:r>
    </w:p>
    <w:p>
      <w:pPr>
        <w:pStyle w:val="22"/>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_Toc18094 </w:instrText>
      </w:r>
      <w:r>
        <w:rPr>
          <w:szCs w:val="18"/>
        </w:rPr>
        <w:fldChar w:fldCharType="separate"/>
      </w:r>
      <w:r>
        <w:rPr>
          <w:rFonts w:hint="eastAsia" w:ascii="黑体" w:hAnsi="黑体" w:eastAsia="黑体"/>
          <w:snapToGrid w:val="0"/>
        </w:rPr>
        <w:t>估价结果报告</w:t>
      </w:r>
      <w:r>
        <w:tab/>
      </w:r>
      <w:r>
        <w:fldChar w:fldCharType="begin"/>
      </w:r>
      <w:r>
        <w:instrText xml:space="preserve"> PAGEREF _Toc18094 \h </w:instrText>
      </w:r>
      <w:r>
        <w:fldChar w:fldCharType="separate"/>
      </w:r>
      <w:r>
        <w:t>- 8 -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_Toc14302 </w:instrText>
      </w:r>
      <w:r>
        <w:rPr>
          <w:szCs w:val="18"/>
        </w:rPr>
        <w:fldChar w:fldCharType="separate"/>
      </w:r>
      <w:r>
        <w:rPr>
          <w:rFonts w:hint="eastAsia" w:ascii="宋体" w:hAnsi="宋体"/>
          <w:bCs/>
          <w:szCs w:val="28"/>
        </w:rPr>
        <w:t>一、估价委托人</w:t>
      </w:r>
      <w:r>
        <w:tab/>
      </w:r>
      <w:r>
        <w:fldChar w:fldCharType="begin"/>
      </w:r>
      <w:r>
        <w:instrText xml:space="preserve"> PAGEREF _Toc14302 \h </w:instrText>
      </w:r>
      <w:r>
        <w:fldChar w:fldCharType="separate"/>
      </w:r>
      <w:r>
        <w:t>- 8 -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_Toc18823 </w:instrText>
      </w:r>
      <w:r>
        <w:rPr>
          <w:szCs w:val="18"/>
        </w:rPr>
        <w:fldChar w:fldCharType="separate"/>
      </w:r>
      <w:r>
        <w:rPr>
          <w:rFonts w:hint="eastAsia" w:ascii="宋体" w:hAnsi="宋体"/>
          <w:szCs w:val="28"/>
        </w:rPr>
        <w:t>二、房地产估价机构</w:t>
      </w:r>
      <w:r>
        <w:tab/>
      </w:r>
      <w:r>
        <w:fldChar w:fldCharType="begin"/>
      </w:r>
      <w:r>
        <w:instrText xml:space="preserve"> PAGEREF _Toc18823 \h </w:instrText>
      </w:r>
      <w:r>
        <w:fldChar w:fldCharType="separate"/>
      </w:r>
      <w:r>
        <w:t>- 8 -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_Toc14291 </w:instrText>
      </w:r>
      <w:r>
        <w:rPr>
          <w:szCs w:val="18"/>
        </w:rPr>
        <w:fldChar w:fldCharType="separate"/>
      </w:r>
      <w:r>
        <w:rPr>
          <w:rFonts w:hint="eastAsia" w:ascii="宋体" w:hAnsi="宋体"/>
          <w:szCs w:val="28"/>
        </w:rPr>
        <w:t>三、估价目的</w:t>
      </w:r>
      <w:r>
        <w:tab/>
      </w:r>
      <w:r>
        <w:fldChar w:fldCharType="begin"/>
      </w:r>
      <w:r>
        <w:instrText xml:space="preserve"> PAGEREF _Toc14291 \h </w:instrText>
      </w:r>
      <w:r>
        <w:fldChar w:fldCharType="separate"/>
      </w:r>
      <w:r>
        <w:t>- 8 -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_Toc19014 </w:instrText>
      </w:r>
      <w:r>
        <w:rPr>
          <w:szCs w:val="18"/>
        </w:rPr>
        <w:fldChar w:fldCharType="separate"/>
      </w:r>
      <w:r>
        <w:rPr>
          <w:rFonts w:hint="eastAsia" w:ascii="宋体" w:hAnsi="宋体"/>
          <w:szCs w:val="28"/>
        </w:rPr>
        <w:t>四、估价对象</w:t>
      </w:r>
      <w:r>
        <w:tab/>
      </w:r>
      <w:r>
        <w:fldChar w:fldCharType="begin"/>
      </w:r>
      <w:r>
        <w:instrText xml:space="preserve"> PAGEREF _Toc19014 \h </w:instrText>
      </w:r>
      <w:r>
        <w:fldChar w:fldCharType="separate"/>
      </w:r>
      <w:r>
        <w:t>- 8 -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_Toc25942 </w:instrText>
      </w:r>
      <w:r>
        <w:rPr>
          <w:szCs w:val="18"/>
        </w:rPr>
        <w:fldChar w:fldCharType="separate"/>
      </w:r>
      <w:r>
        <w:rPr>
          <w:rFonts w:hint="eastAsia" w:ascii="宋体" w:hAnsi="宋体"/>
          <w:bCs/>
          <w:szCs w:val="28"/>
        </w:rPr>
        <w:t>五、价值时点</w:t>
      </w:r>
      <w:r>
        <w:tab/>
      </w:r>
      <w:r>
        <w:fldChar w:fldCharType="begin"/>
      </w:r>
      <w:r>
        <w:instrText xml:space="preserve"> PAGEREF _Toc25942 \h </w:instrText>
      </w:r>
      <w:r>
        <w:fldChar w:fldCharType="separate"/>
      </w:r>
      <w:r>
        <w:t>- 10 -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_Toc7581 </w:instrText>
      </w:r>
      <w:r>
        <w:rPr>
          <w:szCs w:val="18"/>
        </w:rPr>
        <w:fldChar w:fldCharType="separate"/>
      </w:r>
      <w:r>
        <w:rPr>
          <w:rFonts w:hint="eastAsia" w:ascii="宋体" w:hAnsi="宋体"/>
          <w:bCs/>
          <w:szCs w:val="28"/>
        </w:rPr>
        <w:t>六、价值类型</w:t>
      </w:r>
      <w:r>
        <w:tab/>
      </w:r>
      <w:r>
        <w:fldChar w:fldCharType="begin"/>
      </w:r>
      <w:r>
        <w:instrText xml:space="preserve"> PAGEREF _Toc7581 \h </w:instrText>
      </w:r>
      <w:r>
        <w:fldChar w:fldCharType="separate"/>
      </w:r>
      <w:r>
        <w:t>- 10 -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_Toc5717 </w:instrText>
      </w:r>
      <w:r>
        <w:rPr>
          <w:szCs w:val="18"/>
        </w:rPr>
        <w:fldChar w:fldCharType="separate"/>
      </w:r>
      <w:r>
        <w:rPr>
          <w:rFonts w:hint="eastAsia" w:ascii="宋体" w:hAnsi="宋体"/>
          <w:szCs w:val="28"/>
        </w:rPr>
        <w:t>七、估价原则</w:t>
      </w:r>
      <w:r>
        <w:tab/>
      </w:r>
      <w:r>
        <w:fldChar w:fldCharType="begin"/>
      </w:r>
      <w:r>
        <w:instrText xml:space="preserve"> PAGEREF _Toc5717 \h </w:instrText>
      </w:r>
      <w:r>
        <w:fldChar w:fldCharType="separate"/>
      </w:r>
      <w:r>
        <w:t>- 10 -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_Toc19896 </w:instrText>
      </w:r>
      <w:r>
        <w:rPr>
          <w:szCs w:val="18"/>
        </w:rPr>
        <w:fldChar w:fldCharType="separate"/>
      </w:r>
      <w:r>
        <w:rPr>
          <w:rFonts w:hint="eastAsia" w:ascii="宋体" w:hAnsi="宋体"/>
          <w:szCs w:val="28"/>
        </w:rPr>
        <w:t>八、估价依据</w:t>
      </w:r>
      <w:r>
        <w:tab/>
      </w:r>
      <w:r>
        <w:fldChar w:fldCharType="begin"/>
      </w:r>
      <w:r>
        <w:instrText xml:space="preserve"> PAGEREF _Toc19896 \h </w:instrText>
      </w:r>
      <w:r>
        <w:fldChar w:fldCharType="separate"/>
      </w:r>
      <w:r>
        <w:t>- 11 -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_Toc28760 </w:instrText>
      </w:r>
      <w:r>
        <w:rPr>
          <w:szCs w:val="18"/>
        </w:rPr>
        <w:fldChar w:fldCharType="separate"/>
      </w:r>
      <w:r>
        <w:rPr>
          <w:rFonts w:hint="eastAsia" w:ascii="宋体" w:hAnsi="宋体"/>
          <w:szCs w:val="28"/>
        </w:rPr>
        <w:t>九、估价方法</w:t>
      </w:r>
      <w:r>
        <w:tab/>
      </w:r>
      <w:r>
        <w:fldChar w:fldCharType="begin"/>
      </w:r>
      <w:r>
        <w:instrText xml:space="preserve"> PAGEREF _Toc28760 \h </w:instrText>
      </w:r>
      <w:r>
        <w:fldChar w:fldCharType="separate"/>
      </w:r>
      <w:r>
        <w:t>- 13 -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_Toc26058 </w:instrText>
      </w:r>
      <w:r>
        <w:rPr>
          <w:szCs w:val="18"/>
        </w:rPr>
        <w:fldChar w:fldCharType="separate"/>
      </w:r>
      <w:r>
        <w:rPr>
          <w:rFonts w:hint="eastAsia" w:ascii="宋体" w:hAnsi="宋体"/>
          <w:szCs w:val="28"/>
        </w:rPr>
        <w:t>十、估价结果</w:t>
      </w:r>
      <w:r>
        <w:tab/>
      </w:r>
      <w:r>
        <w:fldChar w:fldCharType="begin"/>
      </w:r>
      <w:r>
        <w:instrText xml:space="preserve"> PAGEREF _Toc26058 \h </w:instrText>
      </w:r>
      <w:r>
        <w:fldChar w:fldCharType="separate"/>
      </w:r>
      <w:r>
        <w:t>- 14 -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_Toc1648 </w:instrText>
      </w:r>
      <w:r>
        <w:rPr>
          <w:szCs w:val="18"/>
        </w:rPr>
        <w:fldChar w:fldCharType="separate"/>
      </w:r>
      <w:r>
        <w:rPr>
          <w:rFonts w:hint="eastAsia"/>
          <w:szCs w:val="28"/>
        </w:rPr>
        <w:t>十二、实地查勘期</w:t>
      </w:r>
      <w:r>
        <w:tab/>
      </w:r>
      <w:r>
        <w:fldChar w:fldCharType="begin"/>
      </w:r>
      <w:r>
        <w:instrText xml:space="preserve"> PAGEREF _Toc1648 \h </w:instrText>
      </w:r>
      <w:r>
        <w:fldChar w:fldCharType="separate"/>
      </w:r>
      <w:r>
        <w:t>- 16 -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_Toc5821 </w:instrText>
      </w:r>
      <w:r>
        <w:rPr>
          <w:szCs w:val="18"/>
        </w:rPr>
        <w:fldChar w:fldCharType="separate"/>
      </w:r>
      <w:r>
        <w:rPr>
          <w:rFonts w:hint="eastAsia"/>
          <w:szCs w:val="28"/>
        </w:rPr>
        <w:t>十三、估价作业期</w:t>
      </w:r>
      <w:r>
        <w:tab/>
      </w:r>
      <w:r>
        <w:fldChar w:fldCharType="begin"/>
      </w:r>
      <w:r>
        <w:instrText xml:space="preserve"> PAGEREF _Toc5821 \h </w:instrText>
      </w:r>
      <w:r>
        <w:fldChar w:fldCharType="separate"/>
      </w:r>
      <w:r>
        <w:t>- 16 -</w:t>
      </w:r>
      <w:r>
        <w:fldChar w:fldCharType="end"/>
      </w:r>
      <w:r>
        <w:rPr>
          <w:szCs w:val="18"/>
        </w:rPr>
        <w:fldChar w:fldCharType="end"/>
      </w:r>
    </w:p>
    <w:p>
      <w:pPr>
        <w:pStyle w:val="22"/>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_Toc28557 </w:instrText>
      </w:r>
      <w:r>
        <w:rPr>
          <w:szCs w:val="18"/>
        </w:rPr>
        <w:fldChar w:fldCharType="separate"/>
      </w:r>
      <w:r>
        <w:rPr>
          <w:rFonts w:hint="eastAsia" w:ascii="黑体" w:hAnsi="黑体" w:eastAsia="黑体"/>
          <w:snapToGrid w:val="0"/>
        </w:rPr>
        <w:t>附件</w:t>
      </w:r>
      <w:r>
        <w:tab/>
      </w:r>
      <w:r>
        <w:fldChar w:fldCharType="begin"/>
      </w:r>
      <w:r>
        <w:instrText xml:space="preserve"> PAGEREF _Toc28557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_Toc26277 </w:instrText>
      </w:r>
      <w:r>
        <w:rPr>
          <w:szCs w:val="18"/>
        </w:rPr>
        <w:fldChar w:fldCharType="separate"/>
      </w:r>
      <w:r>
        <w:rPr>
          <w:rFonts w:hint="eastAsia" w:asciiTheme="minorEastAsia" w:hAnsiTheme="minorEastAsia" w:eastAsiaTheme="minorEastAsia"/>
        </w:rPr>
        <w:t>一</w:t>
      </w:r>
      <w:r>
        <w:rPr>
          <w:rFonts w:asciiTheme="minorEastAsia" w:hAnsiTheme="minorEastAsia" w:eastAsiaTheme="minorEastAsia"/>
        </w:rPr>
        <w:t>、</w:t>
      </w:r>
      <w:r>
        <w:rPr>
          <w:rFonts w:hint="eastAsia" w:asciiTheme="minorEastAsia" w:hAnsiTheme="minorEastAsia" w:eastAsiaTheme="minorEastAsia"/>
        </w:rPr>
        <w:t>估价</w:t>
      </w:r>
      <w:r>
        <w:rPr>
          <w:rFonts w:asciiTheme="minorEastAsia" w:hAnsiTheme="minorEastAsia" w:eastAsiaTheme="minorEastAsia"/>
        </w:rPr>
        <w:t>委托书</w:t>
      </w:r>
      <w:r>
        <w:rPr>
          <w:rFonts w:hint="eastAsia" w:asciiTheme="minorEastAsia" w:hAnsiTheme="minorEastAsia" w:eastAsiaTheme="minorEastAsia"/>
        </w:rPr>
        <w:t>复印件；</w:t>
      </w:r>
      <w:r>
        <w:tab/>
      </w:r>
      <w:r>
        <w:fldChar w:fldCharType="begin"/>
      </w:r>
      <w:r>
        <w:instrText xml:space="preserve"> PAGEREF _Toc26277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_Toc24755 </w:instrText>
      </w:r>
      <w:r>
        <w:rPr>
          <w:szCs w:val="18"/>
        </w:rPr>
        <w:fldChar w:fldCharType="separate"/>
      </w:r>
      <w:r>
        <w:rPr>
          <w:rFonts w:hint="eastAsia" w:asciiTheme="minorEastAsia" w:hAnsiTheme="minorEastAsia" w:eastAsiaTheme="minorEastAsia"/>
        </w:rPr>
        <w:t>二、估价对象位置图；</w:t>
      </w:r>
      <w:r>
        <w:tab/>
      </w:r>
      <w:r>
        <w:fldChar w:fldCharType="begin"/>
      </w:r>
      <w:r>
        <w:instrText xml:space="preserve"> PAGEREF _Toc24755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_Toc26804 </w:instrText>
      </w:r>
      <w:r>
        <w:rPr>
          <w:szCs w:val="18"/>
        </w:rPr>
        <w:fldChar w:fldCharType="separate"/>
      </w:r>
      <w:r>
        <w:rPr>
          <w:rFonts w:hint="eastAsia" w:asciiTheme="minorEastAsia" w:hAnsiTheme="minorEastAsia" w:eastAsiaTheme="minorEastAsia"/>
        </w:rPr>
        <w:t>三</w:t>
      </w:r>
      <w:r>
        <w:rPr>
          <w:rFonts w:asciiTheme="minorEastAsia" w:hAnsiTheme="minorEastAsia" w:eastAsiaTheme="minorEastAsia"/>
        </w:rPr>
        <w:t>、</w:t>
      </w:r>
      <w:r>
        <w:rPr>
          <w:rFonts w:hint="eastAsia" w:asciiTheme="minorEastAsia" w:hAnsiTheme="minorEastAsia" w:eastAsiaTheme="minorEastAsia"/>
        </w:rPr>
        <w:t>估价对象实地查勘情况和现状照片；</w:t>
      </w:r>
      <w:r>
        <w:tab/>
      </w:r>
      <w:r>
        <w:fldChar w:fldCharType="begin"/>
      </w:r>
      <w:r>
        <w:instrText xml:space="preserve"> PAGEREF _Toc26804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_Toc29092 </w:instrText>
      </w:r>
      <w:r>
        <w:rPr>
          <w:szCs w:val="18"/>
        </w:rPr>
        <w:fldChar w:fldCharType="separate"/>
      </w:r>
      <w:r>
        <w:rPr>
          <w:rFonts w:hint="eastAsia" w:asciiTheme="minorEastAsia" w:hAnsiTheme="minorEastAsia" w:eastAsiaTheme="minorEastAsia"/>
        </w:rPr>
        <w:t>四、估价</w:t>
      </w:r>
      <w:r>
        <w:rPr>
          <w:rFonts w:asciiTheme="minorEastAsia" w:hAnsiTheme="minorEastAsia" w:eastAsiaTheme="minorEastAsia"/>
        </w:rPr>
        <w:t>对象权属证明复印件</w:t>
      </w:r>
      <w:r>
        <w:rPr>
          <w:rFonts w:hint="eastAsia" w:asciiTheme="minorEastAsia" w:hAnsiTheme="minorEastAsia" w:eastAsiaTheme="minorEastAsia"/>
        </w:rPr>
        <w:t>；</w:t>
      </w:r>
      <w:r>
        <w:tab/>
      </w:r>
      <w:r>
        <w:fldChar w:fldCharType="begin"/>
      </w:r>
      <w:r>
        <w:instrText xml:space="preserve"> PAGEREF _Toc29092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_Toc10669 </w:instrText>
      </w:r>
      <w:r>
        <w:rPr>
          <w:szCs w:val="18"/>
        </w:rPr>
        <w:fldChar w:fldCharType="separate"/>
      </w:r>
      <w:r>
        <w:rPr>
          <w:rFonts w:hint="eastAsia" w:asciiTheme="minorEastAsia" w:hAnsiTheme="minorEastAsia" w:eastAsiaTheme="minorEastAsia"/>
        </w:rPr>
        <w:t>五</w:t>
      </w:r>
      <w:r>
        <w:rPr>
          <w:rFonts w:asciiTheme="minorEastAsia" w:hAnsiTheme="minorEastAsia" w:eastAsiaTheme="minorEastAsia"/>
        </w:rPr>
        <w:t>、</w:t>
      </w:r>
      <w:r>
        <w:rPr>
          <w:rFonts w:hint="eastAsia" w:asciiTheme="minorEastAsia" w:hAnsiTheme="minorEastAsia" w:eastAsiaTheme="minorEastAsia"/>
        </w:rPr>
        <w:t>委托方提供的相关资料复印件；</w:t>
      </w:r>
      <w:r>
        <w:tab/>
      </w:r>
      <w:r>
        <w:fldChar w:fldCharType="begin"/>
      </w:r>
      <w:r>
        <w:instrText xml:space="preserve"> PAGEREF _Toc10669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_Toc10225 </w:instrText>
      </w:r>
      <w:r>
        <w:rPr>
          <w:szCs w:val="18"/>
        </w:rPr>
        <w:fldChar w:fldCharType="separate"/>
      </w:r>
      <w:r>
        <w:rPr>
          <w:rFonts w:hint="eastAsia" w:asciiTheme="minorEastAsia" w:hAnsiTheme="minorEastAsia" w:eastAsiaTheme="minorEastAsia"/>
          <w:lang w:eastAsia="zh-CN"/>
        </w:rPr>
        <w:t>六</w:t>
      </w:r>
      <w:r>
        <w:rPr>
          <w:rFonts w:asciiTheme="minorEastAsia" w:hAnsiTheme="minorEastAsia" w:eastAsiaTheme="minorEastAsia"/>
        </w:rPr>
        <w:t>、</w:t>
      </w:r>
      <w:r>
        <w:rPr>
          <w:rFonts w:hint="eastAsia" w:asciiTheme="minorEastAsia" w:hAnsiTheme="minorEastAsia" w:eastAsiaTheme="minorEastAsia"/>
        </w:rPr>
        <w:t>估价机构《企业法人营业执照》复印件；</w:t>
      </w:r>
      <w:r>
        <w:tab/>
      </w:r>
      <w:r>
        <w:fldChar w:fldCharType="begin"/>
      </w:r>
      <w:r>
        <w:instrText xml:space="preserve"> PAGEREF _Toc10225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_Toc7481 </w:instrText>
      </w:r>
      <w:r>
        <w:rPr>
          <w:szCs w:val="18"/>
        </w:rPr>
        <w:fldChar w:fldCharType="separate"/>
      </w:r>
      <w:r>
        <w:rPr>
          <w:rFonts w:hint="eastAsia" w:asciiTheme="minorEastAsia" w:hAnsiTheme="minorEastAsia" w:eastAsiaTheme="minorEastAsia"/>
          <w:lang w:eastAsia="zh-CN"/>
        </w:rPr>
        <w:t>七</w:t>
      </w:r>
      <w:r>
        <w:rPr>
          <w:rFonts w:asciiTheme="minorEastAsia" w:hAnsiTheme="minorEastAsia" w:eastAsiaTheme="minorEastAsia"/>
        </w:rPr>
        <w:t>、</w:t>
      </w:r>
      <w:r>
        <w:rPr>
          <w:rFonts w:hint="eastAsia" w:asciiTheme="minorEastAsia" w:hAnsiTheme="minorEastAsia" w:eastAsiaTheme="minorEastAsia"/>
        </w:rPr>
        <w:t>估价机构《房地产价格评估机构备案证书》复印件；</w:t>
      </w:r>
      <w:r>
        <w:tab/>
      </w:r>
      <w:r>
        <w:fldChar w:fldCharType="begin"/>
      </w:r>
      <w:r>
        <w:instrText xml:space="preserve"> PAGEREF _Toc7481 \h </w:instrText>
      </w:r>
      <w:r>
        <w:fldChar w:fldCharType="separate"/>
      </w:r>
      <w:r>
        <w:t>- 17 -</w:t>
      </w:r>
      <w:r>
        <w:fldChar w:fldCharType="end"/>
      </w:r>
      <w:r>
        <w:rPr>
          <w:szCs w:val="18"/>
        </w:rPr>
        <w:fldChar w:fldCharType="end"/>
      </w:r>
    </w:p>
    <w:p>
      <w:pPr>
        <w:pStyle w:val="26"/>
        <w:keepNext w:val="0"/>
        <w:keepLines w:val="0"/>
        <w:pageBreakBefore w:val="0"/>
        <w:tabs>
          <w:tab w:val="right" w:leader="dot" w:pos="8408"/>
          <w:tab w:val="clear" w:pos="8296"/>
        </w:tabs>
        <w:kinsoku/>
        <w:wordWrap/>
        <w:overflowPunct/>
        <w:topLinePunct w:val="0"/>
        <w:autoSpaceDE/>
        <w:autoSpaceDN/>
        <w:bidi w:val="0"/>
        <w:adjustRightInd/>
        <w:snapToGrid/>
        <w:spacing w:line="510" w:lineRule="exact"/>
        <w:textAlignment w:val="auto"/>
      </w:pPr>
      <w:r>
        <w:rPr>
          <w:szCs w:val="18"/>
        </w:rPr>
        <w:fldChar w:fldCharType="begin"/>
      </w:r>
      <w:r>
        <w:rPr>
          <w:szCs w:val="18"/>
        </w:rPr>
        <w:instrText xml:space="preserve"> HYPERLINK \l _Toc922 </w:instrText>
      </w:r>
      <w:r>
        <w:rPr>
          <w:szCs w:val="18"/>
        </w:rPr>
        <w:fldChar w:fldCharType="separate"/>
      </w:r>
      <w:r>
        <w:rPr>
          <w:rFonts w:hint="eastAsia" w:asciiTheme="minorEastAsia" w:hAnsiTheme="minorEastAsia" w:eastAsiaTheme="minorEastAsia"/>
          <w:lang w:eastAsia="zh-CN"/>
        </w:rPr>
        <w:t>八</w:t>
      </w:r>
      <w:r>
        <w:rPr>
          <w:rFonts w:asciiTheme="minorEastAsia" w:hAnsiTheme="minorEastAsia" w:eastAsiaTheme="minorEastAsia"/>
        </w:rPr>
        <w:t>、</w:t>
      </w:r>
      <w:r>
        <w:rPr>
          <w:rFonts w:hint="eastAsia" w:asciiTheme="minorEastAsia" w:hAnsiTheme="minorEastAsia" w:eastAsiaTheme="minorEastAsia"/>
        </w:rPr>
        <w:t>《注册房地产估价师注册证书》复印件。</w:t>
      </w:r>
      <w:r>
        <w:tab/>
      </w:r>
      <w:r>
        <w:fldChar w:fldCharType="begin"/>
      </w:r>
      <w:r>
        <w:instrText xml:space="preserve"> PAGEREF _Toc922 \h </w:instrText>
      </w:r>
      <w:r>
        <w:fldChar w:fldCharType="separate"/>
      </w:r>
      <w:r>
        <w:t>- 17 -</w:t>
      </w:r>
      <w:r>
        <w:fldChar w:fldCharType="end"/>
      </w:r>
      <w:r>
        <w:rPr>
          <w:szCs w:val="18"/>
        </w:rPr>
        <w:fldChar w:fldCharType="end"/>
      </w:r>
    </w:p>
    <w:p>
      <w:pPr>
        <w:keepNext w:val="0"/>
        <w:keepLines w:val="0"/>
        <w:pageBreakBefore w:val="0"/>
        <w:widowControl/>
        <w:kinsoku/>
        <w:wordWrap/>
        <w:overflowPunct/>
        <w:topLinePunct w:val="0"/>
        <w:autoSpaceDE/>
        <w:autoSpaceDN/>
        <w:bidi w:val="0"/>
        <w:adjustRightInd/>
        <w:snapToGrid/>
        <w:spacing w:line="510" w:lineRule="exact"/>
        <w:jc w:val="left"/>
        <w:textAlignment w:val="auto"/>
        <w:rPr>
          <w:sz w:val="18"/>
          <w:szCs w:val="18"/>
        </w:rPr>
        <w:sectPr>
          <w:headerReference r:id="rId12" w:type="first"/>
          <w:headerReference r:id="rId10" w:type="default"/>
          <w:footerReference r:id="rId13" w:type="default"/>
          <w:headerReference r:id="rId11" w:type="even"/>
          <w:pgSz w:w="11906" w:h="16838"/>
          <w:pgMar w:top="1440" w:right="1797" w:bottom="1440" w:left="1701" w:header="851" w:footer="992" w:gutter="0"/>
          <w:pgNumType w:fmt="numberInDash"/>
          <w:cols w:space="425" w:num="1"/>
          <w:docGrid w:type="lines" w:linePitch="312" w:charSpace="0"/>
        </w:sectPr>
      </w:pPr>
      <w:r>
        <w:rPr>
          <w:szCs w:val="18"/>
        </w:rPr>
        <w:fldChar w:fldCharType="end"/>
      </w:r>
    </w:p>
    <w:p>
      <w:pPr>
        <w:pStyle w:val="2"/>
        <w:numPr>
          <w:ilvl w:val="0"/>
          <w:numId w:val="0"/>
        </w:numPr>
        <w:rPr>
          <w:rFonts w:ascii="黑体" w:hAnsi="黑体" w:eastAsia="黑体"/>
          <w:snapToGrid w:val="0"/>
        </w:rPr>
      </w:pPr>
      <w:bookmarkStart w:id="5" w:name="_Toc30954"/>
      <w:r>
        <w:rPr>
          <w:rFonts w:hint="eastAsia" w:ascii="黑体" w:hAnsi="黑体" w:eastAsia="黑体"/>
          <w:snapToGrid w:val="0"/>
        </w:rPr>
        <w:t>估价师声明</w:t>
      </w:r>
      <w:bookmarkEnd w:id="5"/>
    </w:p>
    <w:p>
      <w:pPr>
        <w:spacing w:line="500" w:lineRule="exact"/>
        <w:rPr>
          <w:rFonts w:ascii="宋体" w:hAnsi="宋体"/>
          <w:b/>
          <w:sz w:val="28"/>
          <w:szCs w:val="28"/>
        </w:rPr>
      </w:pPr>
      <w:r>
        <w:rPr>
          <w:rFonts w:hint="eastAsia" w:ascii="宋体" w:hAnsi="宋体"/>
          <w:b/>
          <w:sz w:val="28"/>
          <w:szCs w:val="28"/>
        </w:rPr>
        <w:t>我们郑重声明：</w:t>
      </w:r>
    </w:p>
    <w:p>
      <w:pPr>
        <w:pStyle w:val="60"/>
        <w:numPr>
          <w:ilvl w:val="0"/>
          <w:numId w:val="2"/>
        </w:numPr>
        <w:adjustRightInd w:val="0"/>
        <w:snapToGrid w:val="0"/>
        <w:spacing w:line="360" w:lineRule="auto"/>
        <w:ind w:left="420" w:hanging="420" w:firstLineChars="0"/>
        <w:rPr>
          <w:rFonts w:ascii="宋体" w:hAnsi="宋体" w:cs="Times New Roman"/>
          <w:bCs/>
          <w:color w:val="000000"/>
          <w:sz w:val="24"/>
          <w:szCs w:val="24"/>
        </w:rPr>
      </w:pPr>
      <w:r>
        <w:rPr>
          <w:rFonts w:hint="eastAsia" w:ascii="宋体" w:hAnsi="宋体" w:cs="Times New Roman"/>
          <w:bCs/>
          <w:color w:val="000000"/>
          <w:sz w:val="24"/>
          <w:szCs w:val="24"/>
        </w:rPr>
        <w:t xml:space="preserve">注册房地产估价师在本估价报告中对事实的说明是真实和准确的，没有虚假记载、误导性陈述和重大遗漏。 </w:t>
      </w:r>
    </w:p>
    <w:p>
      <w:pPr>
        <w:pStyle w:val="60"/>
        <w:numPr>
          <w:ilvl w:val="0"/>
          <w:numId w:val="2"/>
        </w:numPr>
        <w:adjustRightInd w:val="0"/>
        <w:snapToGrid w:val="0"/>
        <w:spacing w:line="360" w:lineRule="auto"/>
        <w:ind w:left="420" w:hanging="420" w:firstLineChars="0"/>
        <w:rPr>
          <w:rFonts w:ascii="宋体" w:hAnsi="宋体" w:cs="Times New Roman"/>
          <w:bCs/>
          <w:color w:val="000000"/>
          <w:sz w:val="24"/>
          <w:szCs w:val="24"/>
        </w:rPr>
      </w:pPr>
      <w:r>
        <w:rPr>
          <w:rFonts w:hint="eastAsia" w:ascii="宋体" w:hAnsi="宋体" w:cs="Times New Roman"/>
          <w:bCs/>
          <w:color w:val="000000"/>
          <w:sz w:val="24"/>
          <w:szCs w:val="24"/>
        </w:rPr>
        <w:t>本估价报告中的分析、意见和结论是注册房地产估价师独立、客观、公正的专业分析、意见和结论，但受到本估价报告中已说明的估价假设和限制条件的限制。</w:t>
      </w:r>
    </w:p>
    <w:p>
      <w:pPr>
        <w:pStyle w:val="60"/>
        <w:numPr>
          <w:ilvl w:val="0"/>
          <w:numId w:val="2"/>
        </w:numPr>
        <w:adjustRightInd w:val="0"/>
        <w:snapToGrid w:val="0"/>
        <w:spacing w:line="360" w:lineRule="auto"/>
        <w:ind w:left="420" w:hanging="420" w:firstLineChars="0"/>
        <w:rPr>
          <w:rFonts w:ascii="宋体" w:hAnsi="宋体" w:cs="Times New Roman"/>
          <w:bCs/>
          <w:color w:val="000000"/>
          <w:sz w:val="24"/>
          <w:szCs w:val="24"/>
        </w:rPr>
      </w:pPr>
      <w:r>
        <w:rPr>
          <w:rFonts w:hint="eastAsia" w:ascii="宋体" w:hAnsi="宋体" w:cs="Times New Roman"/>
          <w:bCs/>
          <w:color w:val="000000"/>
          <w:sz w:val="24"/>
          <w:szCs w:val="24"/>
        </w:rPr>
        <w:t>注册房地产估价师与本估价报告中的估价对象没有现实或潜在的利益，与估价委托人及估价利害关系人没有利害关系，也对估价对象、估价委托人及估价利害关系人没有偏见。</w:t>
      </w:r>
    </w:p>
    <w:p>
      <w:pPr>
        <w:pStyle w:val="60"/>
        <w:numPr>
          <w:ilvl w:val="0"/>
          <w:numId w:val="2"/>
        </w:numPr>
        <w:adjustRightInd w:val="0"/>
        <w:snapToGrid w:val="0"/>
        <w:spacing w:line="360" w:lineRule="auto"/>
        <w:ind w:left="420" w:hanging="420" w:firstLineChars="0"/>
        <w:rPr>
          <w:rFonts w:ascii="宋体" w:hAnsi="宋体" w:cs="Times New Roman"/>
          <w:bCs/>
          <w:color w:val="000000"/>
          <w:sz w:val="24"/>
          <w:szCs w:val="24"/>
        </w:rPr>
      </w:pPr>
      <w:r>
        <w:rPr>
          <w:rFonts w:hint="eastAsia" w:ascii="宋体" w:hAnsi="宋体" w:cs="Times New Roman"/>
          <w:bCs/>
          <w:color w:val="000000"/>
          <w:sz w:val="24"/>
          <w:szCs w:val="24"/>
        </w:rPr>
        <w:t>注册房地产估价师是按照中华人民共和国国家标准《房地产估价规范》【GB/T 50291-2015】、《房地产估价基本术语标准》【GB/T 50899-2013】、</w:t>
      </w:r>
      <w:r>
        <w:rPr>
          <w:rFonts w:ascii="宋体" w:hAnsi="宋体" w:cs="Times New Roman"/>
          <w:bCs/>
          <w:color w:val="000000"/>
          <w:sz w:val="24"/>
          <w:szCs w:val="24"/>
        </w:rPr>
        <w:t>《</w:t>
      </w:r>
      <w:r>
        <w:rPr>
          <w:rFonts w:hint="eastAsia" w:ascii="宋体" w:hAnsi="宋体" w:cs="Times New Roman"/>
          <w:bCs/>
          <w:color w:val="000000"/>
          <w:sz w:val="24"/>
          <w:szCs w:val="24"/>
        </w:rPr>
        <w:t>人民法院</w:t>
      </w:r>
      <w:r>
        <w:rPr>
          <w:rFonts w:ascii="宋体" w:hAnsi="宋体" w:cs="Times New Roman"/>
          <w:bCs/>
          <w:color w:val="000000"/>
          <w:sz w:val="24"/>
          <w:szCs w:val="24"/>
        </w:rPr>
        <w:t>委托评估工作规范》</w:t>
      </w:r>
      <w:r>
        <w:rPr>
          <w:rFonts w:hint="eastAsia" w:ascii="宋体" w:hAnsi="宋体" w:cs="Times New Roman"/>
          <w:bCs/>
          <w:color w:val="000000"/>
          <w:sz w:val="24"/>
          <w:szCs w:val="24"/>
        </w:rPr>
        <w:t>的</w:t>
      </w:r>
      <w:r>
        <w:rPr>
          <w:rFonts w:ascii="宋体" w:hAnsi="宋体" w:cs="Times New Roman"/>
          <w:bCs/>
          <w:color w:val="000000"/>
          <w:sz w:val="24"/>
          <w:szCs w:val="24"/>
        </w:rPr>
        <w:t>通知</w:t>
      </w:r>
      <w:r>
        <w:rPr>
          <w:rFonts w:hint="eastAsia" w:ascii="宋体" w:hAnsi="宋体" w:cs="Times New Roman"/>
          <w:bCs/>
          <w:color w:val="000000"/>
          <w:sz w:val="24"/>
          <w:szCs w:val="24"/>
        </w:rPr>
        <w:t>》（法</w:t>
      </w:r>
      <w:r>
        <w:rPr>
          <w:rFonts w:ascii="宋体" w:hAnsi="宋体" w:cs="Times New Roman"/>
          <w:bCs/>
          <w:color w:val="000000"/>
          <w:sz w:val="24"/>
          <w:szCs w:val="24"/>
        </w:rPr>
        <w:t>办【</w:t>
      </w:r>
      <w:r>
        <w:rPr>
          <w:rFonts w:hint="eastAsia" w:ascii="宋体" w:hAnsi="宋体" w:cs="Times New Roman"/>
          <w:bCs/>
          <w:color w:val="000000"/>
          <w:sz w:val="24"/>
          <w:szCs w:val="24"/>
        </w:rPr>
        <w:t>2018</w:t>
      </w:r>
      <w:r>
        <w:rPr>
          <w:rFonts w:ascii="宋体" w:hAnsi="宋体" w:cs="Times New Roman"/>
          <w:bCs/>
          <w:color w:val="000000"/>
          <w:sz w:val="24"/>
          <w:szCs w:val="24"/>
        </w:rPr>
        <w:t>】</w:t>
      </w:r>
      <w:r>
        <w:rPr>
          <w:rFonts w:hint="eastAsia" w:ascii="宋体" w:hAnsi="宋体" w:cs="Times New Roman"/>
          <w:bCs/>
          <w:color w:val="000000"/>
          <w:sz w:val="24"/>
          <w:szCs w:val="24"/>
        </w:rPr>
        <w:t>273号）的规定进行估价工作，撰写本估价报告。</w:t>
      </w:r>
    </w:p>
    <w:p>
      <w:pPr>
        <w:tabs>
          <w:tab w:val="center" w:pos="4624"/>
        </w:tabs>
        <w:spacing w:line="360" w:lineRule="auto"/>
        <w:ind w:firstLine="840" w:firstLineChars="350"/>
        <w:rPr>
          <w:rFonts w:ascii="宋体"/>
          <w:bCs/>
          <w:sz w:val="24"/>
        </w:rPr>
      </w:pPr>
    </w:p>
    <w:p>
      <w:pPr>
        <w:tabs>
          <w:tab w:val="center" w:pos="4624"/>
        </w:tabs>
        <w:spacing w:line="360" w:lineRule="auto"/>
        <w:ind w:firstLine="840" w:firstLineChars="350"/>
        <w:rPr>
          <w:rFonts w:ascii="宋体"/>
          <w:bCs/>
          <w:sz w:val="24"/>
        </w:rPr>
      </w:pPr>
      <w:bookmarkStart w:id="6" w:name="_Toc432601090"/>
      <w:bookmarkStart w:id="7" w:name="_Toc331167851"/>
      <w:bookmarkStart w:id="8" w:name="_Toc420398876"/>
      <w:bookmarkStart w:id="9" w:name="_Toc252464000"/>
      <w:bookmarkStart w:id="10" w:name="_Toc252523782"/>
      <w:bookmarkStart w:id="11" w:name="_Toc252523998"/>
      <w:bookmarkStart w:id="12" w:name="_Toc252524387"/>
    </w:p>
    <w:p/>
    <w:p/>
    <w:p/>
    <w:p/>
    <w:p/>
    <w:p/>
    <w:p/>
    <w:p/>
    <w:p/>
    <w:p/>
    <w:p/>
    <w:p/>
    <w:p/>
    <w:p/>
    <w:p/>
    <w:p/>
    <w:p/>
    <w:p>
      <w:pPr>
        <w:pStyle w:val="2"/>
        <w:numPr>
          <w:ilvl w:val="0"/>
          <w:numId w:val="0"/>
        </w:numPr>
        <w:rPr>
          <w:rFonts w:ascii="黑体" w:hAnsi="黑体" w:eastAsia="黑体"/>
          <w:snapToGrid w:val="0"/>
        </w:rPr>
      </w:pPr>
      <w:bookmarkStart w:id="13" w:name="_Toc16248"/>
      <w:r>
        <w:rPr>
          <w:rFonts w:hint="eastAsia" w:ascii="黑体" w:hAnsi="黑体" w:eastAsia="黑体"/>
          <w:snapToGrid w:val="0"/>
        </w:rPr>
        <w:t>估价假设和限制条件</w:t>
      </w:r>
      <w:bookmarkEnd w:id="6"/>
      <w:bookmarkEnd w:id="7"/>
      <w:bookmarkEnd w:id="8"/>
      <w:bookmarkEnd w:id="9"/>
      <w:bookmarkEnd w:id="10"/>
      <w:bookmarkEnd w:id="11"/>
      <w:bookmarkEnd w:id="12"/>
      <w:bookmarkEnd w:id="13"/>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一、一般假设</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1.在价值时点的房地产市场为公开、平等、自愿的交易市场。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2.估价对象产权明晰，手续齐全，可在公开市场上自由转让。</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3.任何有关估价对象的运作方式、程序均符合国家、地方的有关法律、法规。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4.本次估价结果未考虑国家宏观经济政策发生重大变化以及遇有自然力和其他不可抗力对估价结论的影响。</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5.本报告以估价对象在价值时点时的状况为依据进行的，且以该状况在估价报告使用期限内无重大变化为前提。</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6.本次估价未考虑除已披露事项外可能与估价对象产权人有关的债权及债务情况对估价结果的影响。</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7.本报告估价结果没有考虑快速变现、税费转嫁等特殊的交易方式，以及权利转移相关费用对估价对象房地产价值的影响，如上述条件发生变化，估价结果需做相应调整。</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.报告以估价委托人领勘准确性为估价前提，</w:t>
      </w:r>
      <w:r>
        <w:rPr>
          <w:rFonts w:asciiTheme="minorEastAsia" w:hAnsiTheme="minorEastAsia" w:eastAsiaTheme="minorEastAsia"/>
          <w:sz w:val="24"/>
        </w:rPr>
        <w:t>且价值时点和实地</w:t>
      </w:r>
      <w:r>
        <w:rPr>
          <w:rFonts w:hint="eastAsia" w:asciiTheme="minorEastAsia" w:hAnsiTheme="minorEastAsia" w:eastAsiaTheme="minorEastAsia"/>
          <w:sz w:val="24"/>
        </w:rPr>
        <w:t>查勘</w:t>
      </w:r>
      <w:r>
        <w:rPr>
          <w:rFonts w:asciiTheme="minorEastAsia" w:hAnsiTheme="minorEastAsia" w:eastAsiaTheme="minorEastAsia"/>
          <w:sz w:val="24"/>
        </w:rPr>
        <w:t>日估价对象的物理、权利状况保持一致</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我们假设在估价对象在法定使用年期内，该物业所有权人对该物业享有自由及不受干预的使用、转让、收益、处分等合法权益。</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.估价人员于202</w:t>
      </w:r>
      <w:r>
        <w:rPr>
          <w:rFonts w:asciiTheme="minorEastAsia" w:hAnsiTheme="minorEastAsia" w:eastAsiaTheme="minorEastAsia"/>
          <w:sz w:val="24"/>
        </w:rPr>
        <w:t>2</w:t>
      </w:r>
      <w:r>
        <w:rPr>
          <w:rFonts w:hint="eastAsia" w:asciiTheme="minorEastAsia" w:hAnsiTheme="minorEastAsia" w:eastAsiaTheme="minorEastAsia"/>
          <w:sz w:val="24"/>
        </w:rPr>
        <w:t>年</w:t>
      </w:r>
      <w:r>
        <w:rPr>
          <w:rFonts w:asciiTheme="minorEastAsia" w:hAnsiTheme="minorEastAsia" w:eastAsiaTheme="minorEastAsia"/>
          <w:sz w:val="24"/>
        </w:rPr>
        <w:t>3</w:t>
      </w:r>
      <w:r>
        <w:rPr>
          <w:rFonts w:hint="eastAsia" w:asciiTheme="minorEastAsia" w:hAnsiTheme="minorEastAsia" w:eastAsiaTheme="minorEastAsia"/>
          <w:sz w:val="24"/>
        </w:rPr>
        <w:t>月</w:t>
      </w:r>
      <w:r>
        <w:rPr>
          <w:rFonts w:asciiTheme="minorEastAsia" w:hAnsiTheme="minorEastAsia" w:eastAsiaTheme="minorEastAsia"/>
          <w:sz w:val="24"/>
        </w:rPr>
        <w:t>10</w:t>
      </w:r>
      <w:r>
        <w:rPr>
          <w:rFonts w:hint="eastAsia" w:asciiTheme="minorEastAsia" w:hAnsiTheme="minorEastAsia" w:eastAsiaTheme="minorEastAsia"/>
          <w:sz w:val="24"/>
        </w:rPr>
        <w:t>日对估价对象进行了实地查勘，但估价人员对估价对象的实地查勘仅限于估价对象的外观和使用状况、内部布局、装修及设备情况，并未对估价对象做建筑物基础、房屋结构上的测量和实验，对被遮盖、未暴露及难以接触到的房屋结构部分及其内部设施、设备、</w:t>
      </w:r>
      <w:r>
        <w:rPr>
          <w:rFonts w:asciiTheme="minorEastAsia" w:hAnsiTheme="minorEastAsia" w:eastAsiaTheme="minorEastAsia"/>
          <w:sz w:val="24"/>
        </w:rPr>
        <w:t>管道沟槽等也未进行检验</w:t>
      </w:r>
      <w:r>
        <w:rPr>
          <w:rFonts w:hint="eastAsia" w:asciiTheme="minorEastAsia" w:hAnsiTheme="minorEastAsia" w:eastAsiaTheme="minorEastAsia"/>
          <w:sz w:val="24"/>
        </w:rPr>
        <w:t>，因此无法确认其内部有无缺损、是否存在结构性损坏。本报告假设其无建筑物基础、房屋结构等方面的重大质量问题，符合国家有关技术、质量、验收规范，且符合国家有关安全使用标准。</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11</w:t>
      </w:r>
      <w:r>
        <w:rPr>
          <w:rFonts w:hint="eastAsia" w:asciiTheme="minorEastAsia" w:hAnsiTheme="minorEastAsia" w:eastAsiaTheme="minorEastAsia"/>
          <w:sz w:val="24"/>
        </w:rPr>
        <w:t>. 至</w:t>
      </w:r>
      <w:r>
        <w:rPr>
          <w:rFonts w:asciiTheme="minorEastAsia" w:hAnsiTheme="minorEastAsia" w:eastAsiaTheme="minorEastAsia"/>
          <w:sz w:val="24"/>
        </w:rPr>
        <w:t>价值时点，寻甸回族彝族自治县人民法院</w:t>
      </w:r>
      <w:r>
        <w:rPr>
          <w:rFonts w:hint="eastAsia" w:asciiTheme="minorEastAsia" w:hAnsiTheme="minorEastAsia" w:eastAsiaTheme="minorEastAsia"/>
          <w:sz w:val="24"/>
        </w:rPr>
        <w:t>未明确估价对象存在租赁权、用益物权及占有使用情况,我司经过尽职调查后也未发现、掌握相关情况，本次评估假设估价对象不存在租赁权、用益物权及占有使用等情况。</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kern w:val="0"/>
          <w:sz w:val="24"/>
        </w:rPr>
        <w:t>12.至价值时点</w:t>
      </w:r>
      <w:r>
        <w:rPr>
          <w:rFonts w:asciiTheme="minorEastAsia" w:hAnsiTheme="minorEastAsia" w:eastAsiaTheme="minorEastAsia"/>
          <w:kern w:val="0"/>
          <w:sz w:val="24"/>
        </w:rPr>
        <w:t>，估价对象</w:t>
      </w:r>
      <w:r>
        <w:rPr>
          <w:rFonts w:hint="eastAsia" w:asciiTheme="minorEastAsia" w:hAnsiTheme="minorEastAsia" w:eastAsiaTheme="minorEastAsia"/>
          <w:kern w:val="0"/>
          <w:sz w:val="24"/>
        </w:rPr>
        <w:t>为产权人</w:t>
      </w:r>
      <w:r>
        <w:rPr>
          <w:rFonts w:asciiTheme="minorEastAsia" w:hAnsiTheme="minorEastAsia" w:eastAsiaTheme="minorEastAsia"/>
          <w:kern w:val="0"/>
          <w:sz w:val="24"/>
        </w:rPr>
        <w:t>自用</w:t>
      </w:r>
      <w:r>
        <w:rPr>
          <w:rFonts w:hint="eastAsia" w:asciiTheme="minorEastAsia" w:hAnsiTheme="minorEastAsia" w:eastAsiaTheme="minorEastAsia"/>
          <w:kern w:val="0"/>
          <w:sz w:val="24"/>
        </w:rPr>
        <w:t>状态。暂未</w:t>
      </w:r>
      <w:r>
        <w:rPr>
          <w:rFonts w:asciiTheme="minorEastAsia" w:hAnsiTheme="minorEastAsia" w:eastAsiaTheme="minorEastAsia"/>
          <w:kern w:val="0"/>
          <w:sz w:val="24"/>
        </w:rPr>
        <w:t>发现</w:t>
      </w:r>
      <w:r>
        <w:rPr>
          <w:rFonts w:hint="eastAsia" w:asciiTheme="minorEastAsia" w:hAnsiTheme="minorEastAsia" w:eastAsiaTheme="minorEastAsia"/>
          <w:kern w:val="0"/>
          <w:sz w:val="24"/>
        </w:rPr>
        <w:t>被执行人</w:t>
      </w:r>
      <w:r>
        <w:rPr>
          <w:rFonts w:asciiTheme="minorEastAsia" w:hAnsiTheme="minorEastAsia" w:eastAsiaTheme="minorEastAsia"/>
          <w:kern w:val="0"/>
          <w:sz w:val="24"/>
        </w:rPr>
        <w:t>不愿配合交付</w:t>
      </w:r>
      <w:r>
        <w:rPr>
          <w:rFonts w:hint="eastAsia" w:asciiTheme="minorEastAsia" w:hAnsiTheme="minorEastAsia" w:eastAsiaTheme="minorEastAsia"/>
          <w:kern w:val="0"/>
          <w:sz w:val="24"/>
        </w:rPr>
        <w:t>的</w:t>
      </w:r>
      <w:r>
        <w:rPr>
          <w:rFonts w:asciiTheme="minorEastAsia" w:hAnsiTheme="minorEastAsia" w:eastAsiaTheme="minorEastAsia"/>
          <w:kern w:val="0"/>
          <w:sz w:val="24"/>
        </w:rPr>
        <w:t>因素，</w:t>
      </w:r>
      <w:r>
        <w:rPr>
          <w:rFonts w:hint="eastAsia" w:asciiTheme="minorEastAsia" w:hAnsiTheme="minorEastAsia" w:eastAsiaTheme="minorEastAsia"/>
          <w:kern w:val="0"/>
          <w:sz w:val="24"/>
        </w:rPr>
        <w:t>因此</w:t>
      </w:r>
      <w:r>
        <w:rPr>
          <w:rFonts w:asciiTheme="minorEastAsia" w:hAnsiTheme="minorEastAsia" w:eastAsiaTheme="minorEastAsia"/>
          <w:kern w:val="0"/>
          <w:sz w:val="24"/>
        </w:rPr>
        <w:t>本次评估未考虑估价对象被迫转让及处置后</w:t>
      </w:r>
      <w:r>
        <w:rPr>
          <w:rFonts w:hint="eastAsia" w:asciiTheme="minorEastAsia" w:hAnsiTheme="minorEastAsia" w:eastAsiaTheme="minorEastAsia"/>
          <w:kern w:val="0"/>
          <w:sz w:val="24"/>
        </w:rPr>
        <w:t>被执行人</w:t>
      </w:r>
      <w:r>
        <w:rPr>
          <w:rFonts w:asciiTheme="minorEastAsia" w:hAnsiTheme="minorEastAsia" w:eastAsiaTheme="minorEastAsia"/>
          <w:kern w:val="0"/>
          <w:sz w:val="24"/>
        </w:rPr>
        <w:t>不愿配合交付</w:t>
      </w:r>
      <w:r>
        <w:rPr>
          <w:rFonts w:hint="eastAsia" w:asciiTheme="minorEastAsia" w:hAnsiTheme="minorEastAsia" w:eastAsiaTheme="minorEastAsia"/>
          <w:kern w:val="0"/>
          <w:sz w:val="24"/>
        </w:rPr>
        <w:t>等</w:t>
      </w:r>
      <w:r>
        <w:rPr>
          <w:rFonts w:asciiTheme="minorEastAsia" w:hAnsiTheme="minorEastAsia" w:eastAsiaTheme="minorEastAsia"/>
          <w:kern w:val="0"/>
          <w:sz w:val="24"/>
        </w:rPr>
        <w:t>因素</w:t>
      </w:r>
      <w:r>
        <w:rPr>
          <w:rFonts w:hint="eastAsia" w:asciiTheme="minorEastAsia" w:hAnsiTheme="minorEastAsia" w:eastAsiaTheme="minorEastAsia"/>
          <w:kern w:val="0"/>
          <w:sz w:val="24"/>
        </w:rPr>
        <w:t>对</w:t>
      </w:r>
      <w:r>
        <w:rPr>
          <w:rFonts w:asciiTheme="minorEastAsia" w:hAnsiTheme="minorEastAsia" w:eastAsiaTheme="minorEastAsia"/>
          <w:kern w:val="0"/>
          <w:sz w:val="24"/>
        </w:rPr>
        <w:t>评估结果的影响。</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二、未定事项假设</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无未定</w:t>
      </w:r>
      <w:r>
        <w:rPr>
          <w:rFonts w:asciiTheme="minorEastAsia" w:hAnsiTheme="minorEastAsia" w:eastAsiaTheme="minorEastAsia"/>
          <w:kern w:val="0"/>
          <w:sz w:val="24"/>
        </w:rPr>
        <w:t>事项假设</w:t>
      </w:r>
      <w:r>
        <w:rPr>
          <w:rFonts w:hint="eastAsia" w:asciiTheme="minorEastAsia" w:hAnsiTheme="minorEastAsia" w:eastAsiaTheme="minorEastAsia"/>
          <w:kern w:val="0"/>
          <w:sz w:val="24"/>
        </w:rPr>
        <w:t>。</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三、背离事实假设</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至估价时点</w:t>
      </w:r>
      <w:r>
        <w:rPr>
          <w:rFonts w:asciiTheme="minorEastAsia" w:hAnsiTheme="minorEastAsia" w:eastAsiaTheme="minorEastAsia"/>
          <w:kern w:val="0"/>
          <w:sz w:val="24"/>
        </w:rPr>
        <w:t>，</w:t>
      </w:r>
      <w:r>
        <w:rPr>
          <w:rFonts w:hint="eastAsia" w:asciiTheme="minorEastAsia" w:hAnsiTheme="minorEastAsia" w:eastAsiaTheme="minorEastAsia"/>
          <w:kern w:val="0"/>
          <w:sz w:val="24"/>
        </w:rPr>
        <w:t>估价</w:t>
      </w:r>
      <w:r>
        <w:rPr>
          <w:rFonts w:asciiTheme="minorEastAsia" w:hAnsiTheme="minorEastAsia" w:eastAsiaTheme="minorEastAsia"/>
          <w:kern w:val="0"/>
          <w:sz w:val="24"/>
        </w:rPr>
        <w:t>对象存在</w:t>
      </w:r>
      <w:r>
        <w:rPr>
          <w:rFonts w:hint="eastAsia" w:asciiTheme="minorEastAsia" w:hAnsiTheme="minorEastAsia" w:eastAsiaTheme="minorEastAsia"/>
          <w:kern w:val="0"/>
          <w:sz w:val="24"/>
        </w:rPr>
        <w:t>被</w:t>
      </w:r>
      <w:r>
        <w:rPr>
          <w:rFonts w:asciiTheme="minorEastAsia" w:hAnsiTheme="minorEastAsia" w:eastAsiaTheme="minorEastAsia"/>
          <w:kern w:val="0"/>
          <w:sz w:val="24"/>
        </w:rPr>
        <w:t>查封</w:t>
      </w:r>
      <w:r>
        <w:rPr>
          <w:rFonts w:hint="eastAsia" w:asciiTheme="minorEastAsia" w:hAnsiTheme="minorEastAsia" w:eastAsiaTheme="minorEastAsia"/>
          <w:kern w:val="0"/>
          <w:sz w:val="24"/>
        </w:rPr>
        <w:t>的</w:t>
      </w:r>
      <w:r>
        <w:rPr>
          <w:rFonts w:asciiTheme="minorEastAsia" w:hAnsiTheme="minorEastAsia" w:eastAsiaTheme="minorEastAsia"/>
          <w:kern w:val="0"/>
          <w:sz w:val="24"/>
        </w:rPr>
        <w:t>情况</w:t>
      </w:r>
      <w:r>
        <w:rPr>
          <w:rFonts w:hint="eastAsia" w:asciiTheme="minorEastAsia" w:hAnsiTheme="minorEastAsia" w:eastAsiaTheme="minorEastAsia"/>
          <w:kern w:val="0"/>
          <w:sz w:val="24"/>
        </w:rPr>
        <w:t>，但由于本次估价</w:t>
      </w:r>
      <w:r>
        <w:rPr>
          <w:rFonts w:asciiTheme="minorEastAsia" w:hAnsiTheme="minorEastAsia" w:eastAsiaTheme="minorEastAsia"/>
          <w:kern w:val="0"/>
          <w:sz w:val="24"/>
        </w:rPr>
        <w:t>目的</w:t>
      </w:r>
      <w:r>
        <w:rPr>
          <w:rFonts w:hint="eastAsia" w:asciiTheme="minorEastAsia" w:hAnsiTheme="minorEastAsia" w:eastAsiaTheme="minorEastAsia"/>
          <w:kern w:val="0"/>
          <w:sz w:val="24"/>
        </w:rPr>
        <w:t>是</w:t>
      </w:r>
      <w:r>
        <w:rPr>
          <w:rFonts w:hint="eastAsia" w:hAnsi="宋体"/>
          <w:snapToGrid w:val="0"/>
          <w:sz w:val="24"/>
        </w:rPr>
        <w:t>为人民法院确定财产处置参考价提供参考依据</w:t>
      </w:r>
      <w:r>
        <w:rPr>
          <w:rFonts w:hint="eastAsia" w:asciiTheme="minorEastAsia" w:hAnsiTheme="minorEastAsia" w:eastAsiaTheme="minorEastAsia"/>
          <w:kern w:val="0"/>
          <w:sz w:val="24"/>
        </w:rPr>
        <w:t>，</w:t>
      </w:r>
      <w:r>
        <w:rPr>
          <w:rFonts w:asciiTheme="minorEastAsia" w:hAnsiTheme="minorEastAsia" w:eastAsiaTheme="minorEastAsia"/>
          <w:kern w:val="0"/>
          <w:sz w:val="24"/>
        </w:rPr>
        <w:t>因</w:t>
      </w:r>
      <w:r>
        <w:rPr>
          <w:rFonts w:hint="eastAsia" w:asciiTheme="minorEastAsia" w:hAnsiTheme="minorEastAsia" w:eastAsiaTheme="minorEastAsia"/>
          <w:kern w:val="0"/>
          <w:sz w:val="24"/>
        </w:rPr>
        <w:t>此不考虑估价对象</w:t>
      </w:r>
      <w:r>
        <w:rPr>
          <w:rFonts w:asciiTheme="minorEastAsia" w:hAnsiTheme="minorEastAsia" w:eastAsiaTheme="minorEastAsia"/>
          <w:kern w:val="0"/>
          <w:sz w:val="24"/>
        </w:rPr>
        <w:t>被查封</w:t>
      </w:r>
      <w:r>
        <w:rPr>
          <w:rFonts w:hint="eastAsia" w:asciiTheme="minorEastAsia" w:hAnsiTheme="minorEastAsia" w:eastAsiaTheme="minorEastAsia"/>
          <w:kern w:val="0"/>
          <w:sz w:val="24"/>
        </w:rPr>
        <w:t>对</w:t>
      </w:r>
      <w:r>
        <w:rPr>
          <w:rFonts w:asciiTheme="minorEastAsia" w:hAnsiTheme="minorEastAsia" w:eastAsiaTheme="minorEastAsia"/>
          <w:kern w:val="0"/>
          <w:sz w:val="24"/>
        </w:rPr>
        <w:t>房地产市场</w:t>
      </w:r>
      <w:r>
        <w:rPr>
          <w:rFonts w:hint="eastAsia" w:asciiTheme="minorEastAsia" w:hAnsiTheme="minorEastAsia" w:eastAsiaTheme="minorEastAsia"/>
          <w:kern w:val="0"/>
          <w:sz w:val="24"/>
        </w:rPr>
        <w:t>价格</w:t>
      </w:r>
      <w:r>
        <w:rPr>
          <w:rFonts w:asciiTheme="minorEastAsia" w:hAnsiTheme="minorEastAsia" w:eastAsiaTheme="minorEastAsia"/>
          <w:kern w:val="0"/>
          <w:sz w:val="24"/>
        </w:rPr>
        <w:t>的影响。</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四、不相一致假设</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《不动产登记</w:t>
      </w:r>
      <w:r>
        <w:rPr>
          <w:rFonts w:asciiTheme="minorEastAsia" w:hAnsiTheme="minorEastAsia" w:eastAsiaTheme="minorEastAsia"/>
          <w:kern w:val="0"/>
          <w:sz w:val="24"/>
        </w:rPr>
        <w:t>信息查询结果证明</w:t>
      </w:r>
      <w:r>
        <w:rPr>
          <w:rFonts w:hint="eastAsia" w:asciiTheme="minorEastAsia" w:hAnsiTheme="minorEastAsia" w:eastAsiaTheme="minorEastAsia"/>
          <w:kern w:val="0"/>
          <w:sz w:val="24"/>
        </w:rPr>
        <w:t>》中估价对象坐落为禄劝县城五星路25号五交化1幢1-402号</w:t>
      </w:r>
      <w:r>
        <w:rPr>
          <w:rFonts w:asciiTheme="minorEastAsia" w:hAnsiTheme="minorEastAsia" w:eastAsiaTheme="minorEastAsia"/>
          <w:kern w:val="0"/>
          <w:sz w:val="24"/>
        </w:rPr>
        <w:t>，</w:t>
      </w:r>
      <w:r>
        <w:rPr>
          <w:rFonts w:hint="eastAsia" w:asciiTheme="minorEastAsia" w:hAnsiTheme="minorEastAsia" w:eastAsiaTheme="minorEastAsia"/>
          <w:kern w:val="0"/>
          <w:sz w:val="24"/>
        </w:rPr>
        <w:t>实际门牌号</w:t>
      </w:r>
      <w:r>
        <w:rPr>
          <w:rFonts w:asciiTheme="minorEastAsia" w:hAnsiTheme="minorEastAsia" w:eastAsiaTheme="minorEastAsia"/>
          <w:kern w:val="0"/>
          <w:sz w:val="24"/>
        </w:rPr>
        <w:t>为</w:t>
      </w:r>
      <w:r>
        <w:rPr>
          <w:rFonts w:hint="eastAsia" w:asciiTheme="minorEastAsia" w:hAnsiTheme="minorEastAsia" w:eastAsiaTheme="minorEastAsia"/>
          <w:kern w:val="0"/>
          <w:sz w:val="24"/>
        </w:rPr>
        <w:t>禄劝县城五星路</w:t>
      </w:r>
      <w:r>
        <w:rPr>
          <w:rFonts w:asciiTheme="minorEastAsia" w:hAnsiTheme="minorEastAsia" w:eastAsiaTheme="minorEastAsia"/>
          <w:kern w:val="0"/>
          <w:sz w:val="24"/>
        </w:rPr>
        <w:t>100</w:t>
      </w:r>
      <w:r>
        <w:rPr>
          <w:rFonts w:hint="eastAsia" w:asciiTheme="minorEastAsia" w:hAnsiTheme="minorEastAsia" w:eastAsiaTheme="minorEastAsia"/>
          <w:kern w:val="0"/>
          <w:sz w:val="24"/>
        </w:rPr>
        <w:t>号五交化1幢1-402号，登记坐</w:t>
      </w:r>
      <w:r>
        <w:rPr>
          <w:rFonts w:asciiTheme="minorEastAsia" w:hAnsiTheme="minorEastAsia" w:eastAsiaTheme="minorEastAsia"/>
          <w:kern w:val="0"/>
          <w:sz w:val="24"/>
        </w:rPr>
        <w:t>落与实际</w:t>
      </w:r>
      <w:r>
        <w:rPr>
          <w:rFonts w:hint="eastAsia" w:asciiTheme="minorEastAsia" w:hAnsiTheme="minorEastAsia" w:eastAsiaTheme="minorEastAsia"/>
          <w:kern w:val="0"/>
          <w:sz w:val="24"/>
        </w:rPr>
        <w:t>位置</w:t>
      </w:r>
      <w:r>
        <w:rPr>
          <w:rFonts w:asciiTheme="minorEastAsia" w:hAnsiTheme="minorEastAsia" w:eastAsiaTheme="minorEastAsia"/>
          <w:kern w:val="0"/>
          <w:sz w:val="24"/>
        </w:rPr>
        <w:t>不相一致</w:t>
      </w:r>
      <w:r>
        <w:rPr>
          <w:rFonts w:hint="eastAsia" w:asciiTheme="minorEastAsia" w:hAnsiTheme="minorEastAsia" w:eastAsiaTheme="minorEastAsia"/>
          <w:kern w:val="0"/>
          <w:sz w:val="24"/>
        </w:rPr>
        <w:t>，</w:t>
      </w:r>
      <w:r>
        <w:rPr>
          <w:rFonts w:asciiTheme="minorEastAsia" w:hAnsiTheme="minorEastAsia" w:eastAsiaTheme="minorEastAsia"/>
          <w:kern w:val="0"/>
          <w:sz w:val="24"/>
        </w:rPr>
        <w:t>本次</w:t>
      </w:r>
      <w:r>
        <w:rPr>
          <w:rFonts w:hint="eastAsia" w:asciiTheme="minorEastAsia" w:hAnsiTheme="minorEastAsia" w:eastAsiaTheme="minorEastAsia"/>
          <w:kern w:val="0"/>
          <w:sz w:val="24"/>
        </w:rPr>
        <w:t>估价对象坐落以</w:t>
      </w:r>
      <w:r>
        <w:rPr>
          <w:rFonts w:asciiTheme="minorEastAsia" w:hAnsiTheme="minorEastAsia" w:eastAsiaTheme="minorEastAsia"/>
          <w:kern w:val="0"/>
          <w:sz w:val="24"/>
        </w:rPr>
        <w:t>实际位置</w:t>
      </w:r>
      <w:r>
        <w:rPr>
          <w:rFonts w:hint="eastAsia" w:asciiTheme="minorEastAsia" w:hAnsiTheme="minorEastAsia" w:eastAsiaTheme="minorEastAsia"/>
          <w:kern w:val="0"/>
          <w:sz w:val="24"/>
        </w:rPr>
        <w:t>为准。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五、依据不足假设</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kern w:val="0"/>
          <w:sz w:val="24"/>
        </w:rPr>
        <w:t>无依据不足假设</w:t>
      </w:r>
      <w:r>
        <w:rPr>
          <w:rFonts w:asciiTheme="minorEastAsia" w:hAnsiTheme="minorEastAsia" w:eastAsiaTheme="minorEastAsia"/>
          <w:sz w:val="24"/>
        </w:rPr>
        <w:t>。</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六、估价报告使用限制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bCs/>
          <w:sz w:val="24"/>
        </w:rPr>
        <w:t>本估价报告书仅为</w:t>
      </w:r>
      <w:r>
        <w:rPr>
          <w:rFonts w:hint="eastAsia" w:asciiTheme="minorEastAsia" w:hAnsiTheme="minorEastAsia" w:eastAsiaTheme="minorEastAsia"/>
          <w:sz w:val="24"/>
        </w:rPr>
        <w:t>委托方基于本次</w:t>
      </w:r>
      <w:r>
        <w:rPr>
          <w:rFonts w:asciiTheme="minorEastAsia" w:hAnsiTheme="minorEastAsia" w:eastAsiaTheme="minorEastAsia"/>
          <w:sz w:val="24"/>
        </w:rPr>
        <w:t>估价目的</w:t>
      </w:r>
      <w:r>
        <w:rPr>
          <w:rFonts w:hint="eastAsia" w:asciiTheme="minorEastAsia" w:hAnsiTheme="minorEastAsia" w:eastAsiaTheme="minorEastAsia"/>
          <w:bCs/>
          <w:sz w:val="24"/>
        </w:rPr>
        <w:t>提供参考依据，</w:t>
      </w:r>
      <w:r>
        <w:rPr>
          <w:rFonts w:hint="eastAsia" w:asciiTheme="minorEastAsia" w:hAnsiTheme="minorEastAsia" w:eastAsiaTheme="minorEastAsia"/>
          <w:sz w:val="24"/>
        </w:rPr>
        <w:t>不作其他估价目的之用。如果估价条件或目的发生变化，估价报告需做相应调整。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2.未经本估价机构书面同意，本报告的全部或任何一部分均不得向估价委托人、报告使用者、报告审查部门之外的单位和个人提供，也不得以任何形式公开发表。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3.本报告必须完整使用方为有效，对仅使用本报告中部分内容而导致可能的损失，本估价机构不承担责任。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4.本次估价结果受价值时点的限制，且本估价报告使用期限自估价报告出具之日起壹年，即20</w:t>
      </w:r>
      <w:r>
        <w:rPr>
          <w:rFonts w:asciiTheme="minorEastAsia" w:hAnsiTheme="minorEastAsia" w:eastAsiaTheme="minorEastAsia"/>
          <w:sz w:val="24"/>
        </w:rPr>
        <w:t>2</w:t>
      </w:r>
      <w:r>
        <w:rPr>
          <w:rFonts w:hint="eastAsia" w:asciiTheme="minorEastAsia" w:hAnsiTheme="minorEastAsia" w:eastAsiaTheme="minorEastAsia"/>
          <w:sz w:val="24"/>
        </w:rPr>
        <w:t>2年</w:t>
      </w:r>
      <w:r>
        <w:rPr>
          <w:rFonts w:asciiTheme="minorEastAsia" w:hAnsiTheme="minorEastAsia" w:eastAsiaTheme="minorEastAsia"/>
          <w:sz w:val="24"/>
        </w:rPr>
        <w:t>3</w:t>
      </w:r>
      <w:r>
        <w:rPr>
          <w:rFonts w:hint="eastAsia" w:asciiTheme="minorEastAsia" w:hAnsiTheme="minorEastAsia" w:eastAsiaTheme="minorEastAsia"/>
          <w:sz w:val="24"/>
        </w:rPr>
        <w:t>月</w:t>
      </w:r>
      <w:r>
        <w:rPr>
          <w:rFonts w:asciiTheme="minorEastAsia" w:hAnsiTheme="minorEastAsia" w:eastAsiaTheme="minorEastAsia"/>
          <w:sz w:val="24"/>
        </w:rPr>
        <w:t>17</w:t>
      </w:r>
      <w:r>
        <w:rPr>
          <w:rFonts w:hint="eastAsia" w:asciiTheme="minorEastAsia" w:hAnsiTheme="minorEastAsia" w:eastAsiaTheme="minorEastAsia"/>
          <w:sz w:val="24"/>
        </w:rPr>
        <w:t>日至2023年</w:t>
      </w:r>
      <w:r>
        <w:rPr>
          <w:rFonts w:asciiTheme="minorEastAsia" w:hAnsiTheme="minorEastAsia" w:eastAsiaTheme="minorEastAsia"/>
          <w:sz w:val="24"/>
        </w:rPr>
        <w:t>3</w:t>
      </w:r>
      <w:r>
        <w:rPr>
          <w:rFonts w:hint="eastAsia" w:asciiTheme="minorEastAsia" w:hAnsiTheme="minorEastAsia" w:eastAsiaTheme="minorEastAsia"/>
          <w:sz w:val="24"/>
        </w:rPr>
        <w:t>月</w:t>
      </w:r>
      <w:r>
        <w:rPr>
          <w:rFonts w:asciiTheme="minorEastAsia" w:hAnsiTheme="minorEastAsia" w:eastAsiaTheme="minorEastAsia"/>
          <w:sz w:val="24"/>
        </w:rPr>
        <w:t>16</w:t>
      </w:r>
      <w:r>
        <w:rPr>
          <w:rFonts w:hint="eastAsia" w:asciiTheme="minorEastAsia" w:hAnsiTheme="minorEastAsia" w:eastAsiaTheme="minorEastAsia"/>
          <w:sz w:val="24"/>
        </w:rPr>
        <w:t>日。若报告使用期限内，房地产市场、建筑市场或估价对象自身状况发生重大变化，估价结果也需做相应调整或委托估价机构重新估价。</w:t>
      </w:r>
    </w:p>
    <w:p>
      <w:pPr>
        <w:spacing w:line="360" w:lineRule="auto"/>
        <w:ind w:firstLine="480" w:firstLineChars="200"/>
        <w:rPr>
          <w:rFonts w:asciiTheme="minorEastAsia" w:hAnsiTheme="minorEastAsia" w:eastAsiaTheme="minorEastAsia"/>
          <w:caps/>
          <w:sz w:val="24"/>
        </w:rPr>
      </w:pPr>
      <w:r>
        <w:rPr>
          <w:rFonts w:hint="eastAsia" w:asciiTheme="minorEastAsia" w:hAnsiTheme="minorEastAsia" w:eastAsiaTheme="minorEastAsia"/>
          <w:caps/>
          <w:sz w:val="24"/>
        </w:rPr>
        <w:t>5. 在本项目测算过程中，考虑到实际可操作性，依据《财政部国家税务总局关于全面推开营业税改征增值税试点的通知》（财税〔</w:t>
      </w:r>
      <w:r>
        <w:rPr>
          <w:rFonts w:asciiTheme="minorEastAsia" w:hAnsiTheme="minorEastAsia" w:eastAsiaTheme="minorEastAsia"/>
          <w:caps/>
          <w:sz w:val="24"/>
        </w:rPr>
        <w:t>2016</w:t>
      </w:r>
      <w:r>
        <w:rPr>
          <w:rFonts w:hint="eastAsia" w:asciiTheme="minorEastAsia" w:hAnsiTheme="minorEastAsia" w:eastAsiaTheme="minorEastAsia"/>
          <w:caps/>
          <w:sz w:val="24"/>
        </w:rPr>
        <w:t>〕</w:t>
      </w:r>
      <w:r>
        <w:rPr>
          <w:rFonts w:asciiTheme="minorEastAsia" w:hAnsiTheme="minorEastAsia" w:eastAsiaTheme="minorEastAsia"/>
          <w:caps/>
          <w:sz w:val="24"/>
        </w:rPr>
        <w:t>36</w:t>
      </w:r>
      <w:r>
        <w:rPr>
          <w:rFonts w:hint="eastAsia" w:asciiTheme="minorEastAsia" w:hAnsiTheme="minorEastAsia" w:eastAsiaTheme="minorEastAsia"/>
          <w:caps/>
          <w:sz w:val="24"/>
        </w:rPr>
        <w:t>号），本次评估增值税按简易方式处理，若有具体的增值税进项抵扣税额，则该税项应作相应调整，估价结果也应相应调整。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caps/>
          <w:sz w:val="24"/>
        </w:rPr>
        <w:t>本次估价结果是指在目前房地产市场状况下、估价对象在规划利用条件下的房地产价值，包括国有</w:t>
      </w:r>
      <w:r>
        <w:rPr>
          <w:rFonts w:hint="eastAsia" w:asciiTheme="minorEastAsia" w:hAnsiTheme="minorEastAsia" w:eastAsiaTheme="minorEastAsia"/>
          <w:sz w:val="24"/>
        </w:rPr>
        <w:t>出让</w:t>
      </w:r>
      <w:r>
        <w:rPr>
          <w:rFonts w:hint="eastAsia" w:asciiTheme="minorEastAsia" w:hAnsiTheme="minorEastAsia" w:eastAsiaTheme="minorEastAsia"/>
          <w:caps/>
          <w:sz w:val="24"/>
        </w:rPr>
        <w:t>土地使用权价值和与房屋有关的土建、安装及室外附属工程价值，不包括可移动的家具、电器等物品价值</w:t>
      </w:r>
      <w:r>
        <w:rPr>
          <w:rFonts w:hint="eastAsia" w:asciiTheme="minorEastAsia" w:hAnsiTheme="minorEastAsia" w:eastAsiaTheme="minorEastAsia"/>
          <w:sz w:val="24"/>
        </w:rPr>
        <w:t>。</w:t>
      </w:r>
    </w:p>
    <w:p>
      <w:pPr>
        <w:pStyle w:val="15"/>
        <w:adjustRightInd w:val="0"/>
        <w:snapToGrid w:val="0"/>
        <w:spacing w:before="62" w:beforeLines="20" w:line="360" w:lineRule="auto"/>
        <w:ind w:firstLine="480" w:firstLineChars="200"/>
        <w:rPr>
          <w:rFonts w:hAnsi="宋体"/>
          <w:snapToGrid w:val="0"/>
          <w:sz w:val="24"/>
          <w:szCs w:val="24"/>
        </w:rPr>
      </w:pPr>
      <w:r>
        <w:rPr>
          <w:rFonts w:hint="eastAsia" w:hAnsi="宋体"/>
          <w:snapToGrid w:val="0"/>
          <w:sz w:val="24"/>
          <w:szCs w:val="24"/>
        </w:rPr>
        <w:t>7、本报告书由正文和附件两部分共同组成，不得随意分割使用。且本报告书应与估价对象的合法产权证明一并使用、经注册房地产估价师签字、估价机构盖章并作为一个整体时有效。对仅使用本报告中部分内容而导致可能的损失，本估价机构不承担责任。</w:t>
      </w:r>
    </w:p>
    <w:p>
      <w:pPr>
        <w:pStyle w:val="15"/>
        <w:adjustRightInd w:val="0"/>
        <w:snapToGrid w:val="0"/>
        <w:spacing w:before="62" w:beforeLines="20" w:line="360" w:lineRule="auto"/>
        <w:ind w:left="284" w:firstLine="240" w:firstLineChars="100"/>
        <w:rPr>
          <w:rFonts w:hAnsi="宋体"/>
          <w:snapToGrid w:val="0"/>
          <w:sz w:val="24"/>
          <w:szCs w:val="24"/>
        </w:rPr>
      </w:pPr>
      <w:r>
        <w:rPr>
          <w:rFonts w:hint="eastAsia" w:hAnsi="宋体"/>
          <w:snapToGrid w:val="0"/>
          <w:sz w:val="24"/>
          <w:szCs w:val="24"/>
        </w:rPr>
        <w:t>8、本报告的最终解释权由本估价机构所有。</w:t>
      </w:r>
    </w:p>
    <w:p>
      <w:pPr>
        <w:pStyle w:val="15"/>
        <w:adjustRightInd w:val="0"/>
        <w:snapToGrid w:val="0"/>
        <w:spacing w:before="62" w:beforeLines="20" w:line="360" w:lineRule="auto"/>
        <w:ind w:left="284"/>
        <w:rPr>
          <w:rFonts w:hAnsi="宋体"/>
          <w:snapToGrid w:val="0"/>
          <w:sz w:val="24"/>
          <w:szCs w:val="24"/>
        </w:rPr>
      </w:pPr>
    </w:p>
    <w:p>
      <w:pPr>
        <w:pStyle w:val="15"/>
        <w:adjustRightInd w:val="0"/>
        <w:snapToGrid w:val="0"/>
        <w:spacing w:before="62" w:beforeLines="20" w:line="360" w:lineRule="auto"/>
        <w:ind w:left="284"/>
        <w:rPr>
          <w:rFonts w:hAnsi="宋体"/>
          <w:snapToGrid w:val="0"/>
          <w:sz w:val="24"/>
          <w:szCs w:val="24"/>
        </w:rPr>
      </w:pPr>
    </w:p>
    <w:p>
      <w:pPr>
        <w:pStyle w:val="15"/>
        <w:adjustRightInd w:val="0"/>
        <w:snapToGrid w:val="0"/>
        <w:spacing w:before="62" w:beforeLines="20" w:line="360" w:lineRule="auto"/>
        <w:ind w:left="284"/>
        <w:rPr>
          <w:rFonts w:hAnsi="宋体"/>
          <w:snapToGrid w:val="0"/>
          <w:sz w:val="24"/>
          <w:szCs w:val="24"/>
        </w:rPr>
      </w:pPr>
    </w:p>
    <w:p>
      <w:pPr>
        <w:pStyle w:val="15"/>
        <w:adjustRightInd w:val="0"/>
        <w:snapToGrid w:val="0"/>
        <w:spacing w:before="62" w:beforeLines="20" w:line="360" w:lineRule="auto"/>
        <w:ind w:left="284"/>
        <w:rPr>
          <w:rFonts w:hAnsi="宋体"/>
          <w:snapToGrid w:val="0"/>
          <w:sz w:val="24"/>
          <w:szCs w:val="24"/>
        </w:rPr>
      </w:pPr>
    </w:p>
    <w:p>
      <w:pPr>
        <w:pStyle w:val="15"/>
        <w:adjustRightInd w:val="0"/>
        <w:snapToGrid w:val="0"/>
        <w:spacing w:before="62" w:beforeLines="20" w:line="360" w:lineRule="auto"/>
        <w:ind w:left="284"/>
        <w:rPr>
          <w:rFonts w:hAnsi="宋体"/>
          <w:snapToGrid w:val="0"/>
          <w:sz w:val="24"/>
          <w:szCs w:val="24"/>
        </w:rPr>
      </w:pPr>
    </w:p>
    <w:p>
      <w:pPr>
        <w:pStyle w:val="15"/>
        <w:adjustRightInd w:val="0"/>
        <w:snapToGrid w:val="0"/>
        <w:spacing w:before="62" w:beforeLines="20" w:line="360" w:lineRule="auto"/>
        <w:ind w:left="284"/>
        <w:rPr>
          <w:rFonts w:hAnsi="宋体"/>
          <w:snapToGrid w:val="0"/>
          <w:sz w:val="24"/>
          <w:szCs w:val="24"/>
        </w:rPr>
      </w:pPr>
    </w:p>
    <w:p>
      <w:pPr>
        <w:pStyle w:val="15"/>
        <w:adjustRightInd w:val="0"/>
        <w:snapToGrid w:val="0"/>
        <w:spacing w:before="62" w:beforeLines="20" w:line="360" w:lineRule="auto"/>
        <w:ind w:left="284"/>
        <w:rPr>
          <w:rFonts w:hAnsi="宋体"/>
          <w:snapToGrid w:val="0"/>
          <w:sz w:val="24"/>
          <w:szCs w:val="24"/>
        </w:rPr>
        <w:sectPr>
          <w:headerReference r:id="rId16" w:type="first"/>
          <w:headerReference r:id="rId14" w:type="default"/>
          <w:footerReference r:id="rId17" w:type="default"/>
          <w:headerReference r:id="rId15" w:type="even"/>
          <w:pgSz w:w="11906" w:h="16838"/>
          <w:pgMar w:top="1440" w:right="1800" w:bottom="1440" w:left="1800" w:header="851" w:footer="992" w:gutter="0"/>
          <w:pgNumType w:fmt="numberInDash"/>
          <w:cols w:space="425" w:num="1"/>
          <w:docGrid w:type="lines" w:linePitch="312" w:charSpace="0"/>
        </w:sectPr>
      </w:pPr>
    </w:p>
    <w:p>
      <w:pPr>
        <w:pStyle w:val="2"/>
        <w:numPr>
          <w:ilvl w:val="0"/>
          <w:numId w:val="0"/>
        </w:numPr>
        <w:rPr>
          <w:rFonts w:ascii="黑体" w:hAnsi="黑体" w:eastAsia="黑体"/>
          <w:snapToGrid w:val="0"/>
        </w:rPr>
      </w:pPr>
      <w:bookmarkStart w:id="14" w:name="_Toc252523783"/>
      <w:bookmarkStart w:id="15" w:name="_Toc252523999"/>
      <w:bookmarkStart w:id="16" w:name="_Toc252524388"/>
      <w:bookmarkStart w:id="17" w:name="_Toc420398877"/>
      <w:bookmarkStart w:id="18" w:name="_Toc252464001"/>
      <w:bookmarkStart w:id="19" w:name="_Toc331167852"/>
      <w:bookmarkStart w:id="20" w:name="_Toc514380978"/>
      <w:bookmarkStart w:id="21" w:name="_Toc432601091"/>
      <w:bookmarkStart w:id="22" w:name="_Toc18094"/>
      <w:r>
        <w:rPr>
          <w:rFonts w:hint="eastAsia" w:ascii="黑体" w:hAnsi="黑体" w:eastAsia="黑体"/>
          <w:snapToGrid w:val="0"/>
        </w:rPr>
        <w:t>估价结果报告</w:t>
      </w:r>
      <w:bookmarkEnd w:id="14"/>
      <w:bookmarkEnd w:id="15"/>
      <w:bookmarkEnd w:id="16"/>
      <w:bookmarkEnd w:id="17"/>
      <w:bookmarkEnd w:id="18"/>
      <w:bookmarkEnd w:id="19"/>
      <w:bookmarkEnd w:id="20"/>
      <w:bookmarkEnd w:id="21"/>
      <w:bookmarkEnd w:id="22"/>
    </w:p>
    <w:p>
      <w:pPr>
        <w:outlineLvl w:val="1"/>
        <w:rPr>
          <w:rFonts w:ascii="宋体"/>
          <w:b/>
          <w:bCs/>
          <w:sz w:val="28"/>
          <w:szCs w:val="28"/>
        </w:rPr>
      </w:pPr>
      <w:bookmarkStart w:id="23" w:name="_Toc432601092"/>
      <w:bookmarkStart w:id="24" w:name="_Toc14302"/>
      <w:r>
        <w:rPr>
          <w:rFonts w:hint="eastAsia" w:ascii="宋体" w:hAnsi="宋体"/>
          <w:b/>
          <w:bCs/>
          <w:sz w:val="28"/>
          <w:szCs w:val="28"/>
        </w:rPr>
        <w:t>一、估价委托人</w:t>
      </w:r>
      <w:bookmarkEnd w:id="23"/>
      <w:bookmarkEnd w:id="24"/>
    </w:p>
    <w:p>
      <w:pPr>
        <w:spacing w:line="520" w:lineRule="exact"/>
        <w:ind w:firstLine="600" w:firstLineChars="250"/>
        <w:rPr>
          <w:rFonts w:ascii="宋体" w:hAnsi="宋体"/>
          <w:sz w:val="24"/>
        </w:rPr>
      </w:pPr>
      <w:bookmarkStart w:id="25" w:name="_Toc432601093"/>
      <w:r>
        <w:rPr>
          <w:rFonts w:hint="eastAsia" w:ascii="宋体" w:hAnsi="宋体"/>
          <w:sz w:val="24"/>
        </w:rPr>
        <w:t>名称：寻甸回族彝族自治县人民法院</w:t>
      </w:r>
    </w:p>
    <w:p>
      <w:pPr>
        <w:spacing w:line="520" w:lineRule="exact"/>
        <w:ind w:firstLine="600" w:firstLineChars="250"/>
        <w:rPr>
          <w:rFonts w:hint="eastAsia" w:ascii="宋体" w:hAnsi="宋体"/>
          <w:sz w:val="24"/>
        </w:rPr>
      </w:pPr>
      <w:r>
        <w:rPr>
          <w:rFonts w:hint="eastAsia" w:ascii="宋体" w:hAnsi="宋体"/>
          <w:sz w:val="24"/>
        </w:rPr>
        <w:t>地址：寻甸县凤梧路86号</w:t>
      </w:r>
    </w:p>
    <w:p>
      <w:pPr>
        <w:spacing w:line="520" w:lineRule="exact"/>
        <w:ind w:firstLine="600" w:firstLineChars="250"/>
        <w:rPr>
          <w:rFonts w:hint="eastAsia" w:ascii="宋体" w:hAnsi="宋体"/>
          <w:sz w:val="24"/>
        </w:rPr>
      </w:pPr>
      <w:r>
        <w:rPr>
          <w:rFonts w:hint="eastAsia" w:ascii="宋体" w:hAnsi="宋体"/>
          <w:sz w:val="24"/>
        </w:rPr>
        <w:t>承办人</w:t>
      </w:r>
      <w:r>
        <w:rPr>
          <w:rFonts w:ascii="宋体" w:hAnsi="宋体"/>
          <w:sz w:val="24"/>
        </w:rPr>
        <w:t>：</w:t>
      </w:r>
      <w:r>
        <w:rPr>
          <w:rFonts w:hint="eastAsia" w:ascii="宋体" w:hAnsi="宋体"/>
          <w:sz w:val="24"/>
        </w:rPr>
        <w:t>郭昌永</w:t>
      </w:r>
    </w:p>
    <w:p>
      <w:pPr>
        <w:spacing w:line="520" w:lineRule="exact"/>
        <w:ind w:firstLine="600" w:firstLineChars="250"/>
        <w:rPr>
          <w:rFonts w:ascii="宋体" w:hAnsi="宋体"/>
          <w:sz w:val="24"/>
        </w:rPr>
      </w:pPr>
      <w:r>
        <w:rPr>
          <w:rFonts w:hint="eastAsia" w:ascii="宋体" w:hAnsi="宋体"/>
          <w:sz w:val="24"/>
        </w:rPr>
        <w:t>联系电话：</w:t>
      </w:r>
      <w:r>
        <w:rPr>
          <w:rFonts w:ascii="宋体" w:hAnsi="宋体"/>
          <w:sz w:val="24"/>
        </w:rPr>
        <w:t>0871</w:t>
      </w:r>
      <w:r>
        <w:rPr>
          <w:rFonts w:hint="eastAsia" w:ascii="宋体" w:hAnsi="宋体"/>
          <w:sz w:val="24"/>
        </w:rPr>
        <w:t>-</w:t>
      </w:r>
      <w:r>
        <w:rPr>
          <w:rFonts w:ascii="宋体" w:hAnsi="宋体"/>
          <w:sz w:val="24"/>
        </w:rPr>
        <w:t>62669967</w:t>
      </w:r>
    </w:p>
    <w:p>
      <w:pPr>
        <w:spacing w:line="520" w:lineRule="exact"/>
        <w:outlineLvl w:val="1"/>
        <w:rPr>
          <w:rFonts w:ascii="宋体"/>
          <w:b/>
          <w:sz w:val="28"/>
          <w:szCs w:val="28"/>
        </w:rPr>
      </w:pPr>
      <w:bookmarkStart w:id="26" w:name="_Toc18823"/>
      <w:r>
        <w:rPr>
          <w:rFonts w:hint="eastAsia" w:ascii="宋体" w:hAnsi="宋体"/>
          <w:b/>
          <w:sz w:val="28"/>
          <w:szCs w:val="28"/>
        </w:rPr>
        <w:t>二、房地产估价机构</w:t>
      </w:r>
      <w:bookmarkEnd w:id="25"/>
      <w:bookmarkEnd w:id="26"/>
    </w:p>
    <w:p>
      <w:pPr>
        <w:spacing w:line="520" w:lineRule="exact"/>
        <w:ind w:firstLine="600" w:firstLineChars="250"/>
        <w:rPr>
          <w:rFonts w:ascii="宋体"/>
          <w:sz w:val="24"/>
        </w:rPr>
      </w:pPr>
      <w:r>
        <w:rPr>
          <w:rFonts w:hint="eastAsia" w:ascii="宋体" w:hAnsi="宋体"/>
          <w:sz w:val="24"/>
        </w:rPr>
        <w:t>名称：云南鼎立房地产土地资产评估有限责任公司</w:t>
      </w:r>
    </w:p>
    <w:p>
      <w:pPr>
        <w:spacing w:line="520" w:lineRule="exact"/>
        <w:ind w:firstLine="600" w:firstLineChars="250"/>
        <w:rPr>
          <w:rFonts w:ascii="宋体" w:hAnsi="宋体"/>
          <w:sz w:val="24"/>
        </w:rPr>
      </w:pPr>
      <w:r>
        <w:rPr>
          <w:rFonts w:hint="eastAsia" w:ascii="宋体" w:hAnsi="宋体"/>
          <w:sz w:val="24"/>
        </w:rPr>
        <w:t>住所：云南省昆明市盘龙区青云街道办事处世博生态城低碳中心ⅢB栋10层1001号</w:t>
      </w:r>
    </w:p>
    <w:p>
      <w:pPr>
        <w:spacing w:line="520" w:lineRule="exact"/>
        <w:ind w:firstLine="600" w:firstLineChars="250"/>
        <w:rPr>
          <w:rFonts w:ascii="宋体" w:hAnsi="宋体"/>
          <w:sz w:val="24"/>
        </w:rPr>
      </w:pPr>
      <w:r>
        <w:rPr>
          <w:rFonts w:hint="eastAsia" w:ascii="宋体" w:hAnsi="宋体"/>
          <w:sz w:val="24"/>
        </w:rPr>
        <w:t>法定代表人：赵俊飞</w:t>
      </w:r>
    </w:p>
    <w:p>
      <w:pPr>
        <w:spacing w:line="520" w:lineRule="exact"/>
        <w:ind w:firstLine="600" w:firstLineChars="250"/>
        <w:rPr>
          <w:rFonts w:ascii="宋体" w:hAnsi="宋体"/>
          <w:sz w:val="24"/>
        </w:rPr>
      </w:pPr>
      <w:r>
        <w:rPr>
          <w:rFonts w:hint="eastAsia" w:ascii="宋体" w:hAnsi="宋体"/>
          <w:sz w:val="24"/>
        </w:rPr>
        <w:t>资格等级：壹级</w:t>
      </w:r>
    </w:p>
    <w:p>
      <w:pPr>
        <w:spacing w:line="520" w:lineRule="exact"/>
        <w:ind w:firstLine="600" w:firstLineChars="250"/>
        <w:rPr>
          <w:rFonts w:ascii="宋体" w:hAnsi="宋体"/>
          <w:sz w:val="24"/>
        </w:rPr>
      </w:pPr>
      <w:r>
        <w:rPr>
          <w:rFonts w:hint="eastAsia" w:ascii="宋体" w:hAnsi="宋体"/>
          <w:sz w:val="24"/>
        </w:rPr>
        <w:t>备案证书</w:t>
      </w:r>
      <w:r>
        <w:rPr>
          <w:rFonts w:ascii="宋体" w:hAnsi="宋体"/>
          <w:sz w:val="24"/>
        </w:rPr>
        <w:t>编号</w:t>
      </w:r>
      <w:r>
        <w:rPr>
          <w:rFonts w:hint="eastAsia" w:ascii="宋体" w:hAnsi="宋体"/>
          <w:sz w:val="24"/>
        </w:rPr>
        <w:t>：云建房证估字第</w:t>
      </w:r>
      <w:r>
        <w:rPr>
          <w:rFonts w:ascii="宋体" w:hAnsi="宋体"/>
          <w:sz w:val="24"/>
        </w:rPr>
        <w:t>50</w:t>
      </w:r>
      <w:r>
        <w:rPr>
          <w:rFonts w:hint="eastAsia" w:ascii="宋体" w:hAnsi="宋体"/>
          <w:sz w:val="24"/>
        </w:rPr>
        <w:t>号</w:t>
      </w:r>
    </w:p>
    <w:p>
      <w:pPr>
        <w:spacing w:line="520" w:lineRule="exact"/>
        <w:ind w:firstLine="600" w:firstLineChars="250"/>
        <w:rPr>
          <w:rFonts w:ascii="宋体" w:hAnsi="宋体"/>
          <w:sz w:val="24"/>
        </w:rPr>
      </w:pPr>
      <w:r>
        <w:rPr>
          <w:rFonts w:hint="eastAsia" w:ascii="宋体" w:hAnsi="宋体"/>
          <w:sz w:val="24"/>
        </w:rPr>
        <w:t>有效期限：自2021年3月19日至2024年3月19日</w:t>
      </w:r>
    </w:p>
    <w:p>
      <w:pPr>
        <w:spacing w:line="520" w:lineRule="exact"/>
        <w:ind w:firstLine="600" w:firstLineChars="250"/>
        <w:rPr>
          <w:rFonts w:ascii="宋体" w:hAnsi="宋体"/>
          <w:sz w:val="24"/>
        </w:rPr>
      </w:pPr>
      <w:r>
        <w:rPr>
          <w:rFonts w:hint="eastAsia" w:ascii="宋体" w:hAnsi="宋体"/>
          <w:sz w:val="24"/>
        </w:rPr>
        <w:t>统一社会信用代码：91530103738098067L</w:t>
      </w:r>
    </w:p>
    <w:p>
      <w:pPr>
        <w:spacing w:line="520" w:lineRule="exact"/>
        <w:ind w:firstLine="600" w:firstLineChars="250"/>
        <w:rPr>
          <w:rFonts w:ascii="宋体" w:hAnsi="宋体"/>
          <w:sz w:val="24"/>
        </w:rPr>
      </w:pPr>
      <w:r>
        <w:rPr>
          <w:rFonts w:hint="eastAsia" w:ascii="宋体" w:hAnsi="宋体"/>
          <w:sz w:val="24"/>
        </w:rPr>
        <w:t>电话：（</w:t>
      </w:r>
      <w:r>
        <w:rPr>
          <w:rFonts w:ascii="宋体" w:hAnsi="宋体"/>
          <w:sz w:val="24"/>
        </w:rPr>
        <w:t>0871</w:t>
      </w:r>
      <w:r>
        <w:rPr>
          <w:rFonts w:hint="eastAsia" w:ascii="宋体" w:hAnsi="宋体"/>
          <w:sz w:val="24"/>
        </w:rPr>
        <w:t>）</w:t>
      </w:r>
      <w:r>
        <w:rPr>
          <w:rFonts w:ascii="宋体" w:hAnsi="宋体"/>
          <w:sz w:val="24"/>
        </w:rPr>
        <w:t xml:space="preserve">63160601 </w:t>
      </w:r>
      <w:bookmarkStart w:id="27" w:name="_Toc420398880"/>
    </w:p>
    <w:p>
      <w:pPr>
        <w:spacing w:line="520" w:lineRule="exact"/>
        <w:outlineLvl w:val="1"/>
        <w:rPr>
          <w:rFonts w:ascii="宋体"/>
          <w:b/>
          <w:sz w:val="28"/>
          <w:szCs w:val="28"/>
        </w:rPr>
      </w:pPr>
      <w:bookmarkStart w:id="28" w:name="_Toc432601094"/>
      <w:bookmarkStart w:id="29" w:name="_Toc14291"/>
      <w:r>
        <w:rPr>
          <w:rFonts w:hint="eastAsia" w:ascii="宋体" w:hAnsi="宋体"/>
          <w:b/>
          <w:sz w:val="28"/>
          <w:szCs w:val="28"/>
        </w:rPr>
        <w:t>三、估价目的</w:t>
      </w:r>
      <w:bookmarkEnd w:id="28"/>
      <w:bookmarkEnd w:id="29"/>
    </w:p>
    <w:p>
      <w:pPr>
        <w:spacing w:line="520" w:lineRule="exact"/>
        <w:ind w:firstLine="600" w:firstLineChars="250"/>
        <w:rPr>
          <w:rFonts w:ascii="宋体"/>
          <w:sz w:val="24"/>
        </w:rPr>
      </w:pPr>
      <w:r>
        <w:rPr>
          <w:rFonts w:hint="eastAsia" w:ascii="宋体" w:hAnsi="宋体"/>
          <w:sz w:val="24"/>
        </w:rPr>
        <w:t>为人民法院确定财产处置参考价提供参考依据。</w:t>
      </w:r>
    </w:p>
    <w:p>
      <w:pPr>
        <w:spacing w:line="520" w:lineRule="exact"/>
        <w:outlineLvl w:val="1"/>
        <w:rPr>
          <w:rFonts w:ascii="宋体"/>
          <w:b/>
          <w:sz w:val="28"/>
          <w:szCs w:val="28"/>
        </w:rPr>
      </w:pPr>
      <w:bookmarkStart w:id="30" w:name="_Toc432601095"/>
      <w:bookmarkStart w:id="31" w:name="_Toc19014"/>
      <w:r>
        <w:rPr>
          <w:rFonts w:hint="eastAsia" w:ascii="宋体" w:hAnsi="宋体"/>
          <w:b/>
          <w:sz w:val="28"/>
          <w:szCs w:val="28"/>
        </w:rPr>
        <w:t>四、估价对象</w:t>
      </w:r>
      <w:bookmarkEnd w:id="30"/>
      <w:bookmarkEnd w:id="31"/>
    </w:p>
    <w:bookmarkEnd w:id="27"/>
    <w:p>
      <w:pPr>
        <w:spacing w:line="360" w:lineRule="auto"/>
        <w:ind w:firstLine="360" w:firstLineChars="150"/>
        <w:rPr>
          <w:sz w:val="24"/>
        </w:rPr>
      </w:pPr>
      <w:r>
        <w:rPr>
          <w:sz w:val="24"/>
        </w:rPr>
        <w:t>（一）估价对象财产范围</w:t>
      </w:r>
    </w:p>
    <w:p>
      <w:pPr>
        <w:spacing w:line="360" w:lineRule="auto"/>
        <w:ind w:firstLine="555"/>
        <w:rPr>
          <w:sz w:val="24"/>
        </w:rPr>
      </w:pPr>
      <w:r>
        <w:rPr>
          <w:sz w:val="24"/>
        </w:rPr>
        <w:t>估价对象财产范围包括建筑物（含室内二次装修）、所分摊的土地在剩余使用年期的使用权，不包括动产、债权债务、特许经营权等其他财产或权益。</w:t>
      </w:r>
    </w:p>
    <w:p>
      <w:pPr>
        <w:spacing w:line="360" w:lineRule="auto"/>
        <w:ind w:firstLine="360" w:firstLineChars="150"/>
        <w:rPr>
          <w:sz w:val="24"/>
        </w:rPr>
      </w:pPr>
      <w:r>
        <w:rPr>
          <w:sz w:val="24"/>
        </w:rPr>
        <w:t>（二）估价对象基本状况</w:t>
      </w:r>
    </w:p>
    <w:p>
      <w:pPr>
        <w:spacing w:line="360" w:lineRule="auto"/>
        <w:ind w:firstLine="555"/>
        <w:rPr>
          <w:rFonts w:ascii="宋体" w:hAnsi="宋体"/>
          <w:sz w:val="24"/>
        </w:rPr>
      </w:pPr>
      <w:r>
        <w:rPr>
          <w:rFonts w:hint="eastAsia" w:ascii="宋体" w:hAnsi="宋体"/>
          <w:sz w:val="24"/>
        </w:rPr>
        <w:t>根据委托方提供的产权资料，本次估价对象为</w:t>
      </w:r>
      <w:r>
        <w:rPr>
          <w:rFonts w:hint="eastAsia" w:ascii="宋体" w:hAnsi="宋体"/>
          <w:snapToGrid w:val="0"/>
          <w:kern w:val="0"/>
          <w:sz w:val="24"/>
        </w:rPr>
        <w:t>禄劝县城五星路25号五交化1幢1-402号房地产</w:t>
      </w:r>
      <w:r>
        <w:rPr>
          <w:rFonts w:hint="eastAsia" w:ascii="宋体" w:hAnsi="宋体"/>
          <w:sz w:val="24"/>
        </w:rPr>
        <w:t>，包括房屋的所有权和所分摊的土地在剩余使用年期的使用权，以及房屋内部装修。具体</w:t>
      </w:r>
      <w:r>
        <w:rPr>
          <w:rFonts w:ascii="宋体" w:hAnsi="宋体"/>
          <w:sz w:val="24"/>
        </w:rPr>
        <w:t>如下：</w:t>
      </w:r>
    </w:p>
    <w:p>
      <w:pPr>
        <w:spacing w:line="360" w:lineRule="auto"/>
        <w:ind w:firstLine="555"/>
        <w:rPr>
          <w:rFonts w:ascii="宋体" w:hAnsi="宋体"/>
          <w:sz w:val="24"/>
        </w:rPr>
      </w:pPr>
      <w:bookmarkStart w:id="32" w:name="_Toc432601096"/>
      <w:r>
        <w:rPr>
          <w:rFonts w:hint="eastAsia" w:ascii="宋体" w:hAnsi="宋体"/>
          <w:sz w:val="24"/>
        </w:rPr>
        <w:t>（1）估价对象区位状况</w:t>
      </w:r>
    </w:p>
    <w:tbl>
      <w:tblPr>
        <w:tblStyle w:val="31"/>
        <w:tblW w:w="851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0"/>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00" w:type="dxa"/>
            <w:noWrap/>
            <w:vAlign w:val="center"/>
          </w:tcPr>
          <w:p>
            <w:pPr>
              <w:widowControl/>
              <w:jc w:val="left"/>
              <w:rPr>
                <w:rFonts w:ascii="宋体"/>
                <w:kern w:val="0"/>
                <w:sz w:val="18"/>
                <w:szCs w:val="18"/>
              </w:rPr>
            </w:pPr>
            <w:r>
              <w:rPr>
                <w:rFonts w:hint="eastAsia" w:ascii="宋体" w:hAnsi="宋体"/>
                <w:kern w:val="0"/>
                <w:sz w:val="18"/>
                <w:szCs w:val="18"/>
              </w:rPr>
              <w:t>地理位置</w:t>
            </w:r>
          </w:p>
        </w:tc>
        <w:tc>
          <w:tcPr>
            <w:tcW w:w="6910" w:type="dxa"/>
            <w:vAlign w:val="center"/>
          </w:tcPr>
          <w:p>
            <w:pPr>
              <w:widowControl/>
              <w:jc w:val="center"/>
              <w:rPr>
                <w:rFonts w:ascii="宋体" w:hAnsi="宋体"/>
                <w:kern w:val="0"/>
                <w:sz w:val="18"/>
                <w:szCs w:val="18"/>
              </w:rPr>
            </w:pPr>
            <w:r>
              <w:rPr>
                <w:rFonts w:hint="eastAsia" w:ascii="宋体" w:hAnsi="宋体"/>
                <w:kern w:val="0"/>
                <w:sz w:val="18"/>
                <w:szCs w:val="18"/>
              </w:rPr>
              <w:t>估价对象位于永平路与</w:t>
            </w:r>
            <w:r>
              <w:rPr>
                <w:rFonts w:ascii="宋体" w:hAnsi="宋体"/>
                <w:kern w:val="0"/>
                <w:sz w:val="18"/>
                <w:szCs w:val="18"/>
              </w:rPr>
              <w:t>五星路</w:t>
            </w:r>
            <w:r>
              <w:rPr>
                <w:rFonts w:hint="eastAsia" w:ascii="宋体" w:hAnsi="宋体"/>
                <w:kern w:val="0"/>
                <w:sz w:val="18"/>
                <w:szCs w:val="18"/>
              </w:rPr>
              <w:t>交叉口</w:t>
            </w:r>
            <w:r>
              <w:rPr>
                <w:rFonts w:ascii="宋体" w:hAnsi="宋体"/>
                <w:kern w:val="0"/>
                <w:sz w:val="18"/>
                <w:szCs w:val="18"/>
              </w:rPr>
              <w:t>东南侧</w:t>
            </w:r>
            <w:r>
              <w:rPr>
                <w:rFonts w:hint="eastAsia" w:ascii="宋体" w:hAnsi="宋体"/>
                <w:kern w:val="0"/>
                <w:sz w:val="18"/>
                <w:szCs w:val="18"/>
              </w:rPr>
              <w:t>，其所在小区四至为：东至甫风</w:t>
            </w:r>
            <w:r>
              <w:rPr>
                <w:rFonts w:ascii="宋体" w:hAnsi="宋体"/>
                <w:kern w:val="0"/>
                <w:sz w:val="18"/>
                <w:szCs w:val="18"/>
              </w:rPr>
              <w:t>幼儿园</w:t>
            </w:r>
            <w:r>
              <w:rPr>
                <w:rFonts w:hint="eastAsia" w:ascii="宋体" w:hAnsi="宋体"/>
                <w:kern w:val="0"/>
                <w:sz w:val="18"/>
                <w:szCs w:val="18"/>
              </w:rPr>
              <w:t>，南至金华</w:t>
            </w:r>
            <w:r>
              <w:rPr>
                <w:rFonts w:ascii="宋体" w:hAnsi="宋体"/>
                <w:kern w:val="0"/>
                <w:sz w:val="18"/>
                <w:szCs w:val="18"/>
              </w:rPr>
              <w:t>宾馆</w:t>
            </w:r>
            <w:r>
              <w:rPr>
                <w:rFonts w:hint="eastAsia" w:ascii="宋体" w:hAnsi="宋体"/>
                <w:kern w:val="0"/>
                <w:sz w:val="18"/>
                <w:szCs w:val="18"/>
              </w:rPr>
              <w:t>，西至永平路，北至五星路，地理位置较好。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noWrap/>
            <w:vAlign w:val="center"/>
          </w:tcPr>
          <w:p>
            <w:pPr>
              <w:widowControl/>
              <w:jc w:val="left"/>
              <w:rPr>
                <w:rFonts w:ascii="宋体"/>
                <w:kern w:val="0"/>
                <w:sz w:val="18"/>
                <w:szCs w:val="18"/>
              </w:rPr>
            </w:pPr>
            <w:r>
              <w:rPr>
                <w:rFonts w:hint="eastAsia" w:ascii="宋体" w:hAnsi="宋体"/>
                <w:kern w:val="0"/>
                <w:sz w:val="18"/>
                <w:szCs w:val="18"/>
              </w:rPr>
              <w:t>道路通达度</w:t>
            </w:r>
          </w:p>
        </w:tc>
        <w:tc>
          <w:tcPr>
            <w:tcW w:w="6910" w:type="dxa"/>
            <w:noWrap/>
            <w:vAlign w:val="center"/>
          </w:tcPr>
          <w:p>
            <w:pPr>
              <w:widowControl/>
              <w:jc w:val="center"/>
              <w:rPr>
                <w:rFonts w:ascii="宋体" w:hAnsi="宋体"/>
                <w:kern w:val="0"/>
                <w:sz w:val="18"/>
                <w:szCs w:val="18"/>
              </w:rPr>
            </w:pPr>
            <w:r>
              <w:rPr>
                <w:rFonts w:hint="eastAsia" w:ascii="宋体" w:hAnsi="宋体"/>
                <w:kern w:val="0"/>
                <w:sz w:val="18"/>
                <w:szCs w:val="18"/>
              </w:rPr>
              <w:t>估价对象周边有秀屏路、五星路等主要出行道路，无交通管制，道路通达度较好。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noWrap/>
            <w:vAlign w:val="center"/>
          </w:tcPr>
          <w:p>
            <w:pPr>
              <w:widowControl/>
              <w:jc w:val="left"/>
              <w:rPr>
                <w:rFonts w:ascii="宋体"/>
                <w:kern w:val="0"/>
                <w:sz w:val="18"/>
                <w:szCs w:val="18"/>
              </w:rPr>
            </w:pPr>
            <w:r>
              <w:rPr>
                <w:rFonts w:hint="eastAsia" w:ascii="宋体" w:hAnsi="宋体"/>
                <w:kern w:val="0"/>
                <w:sz w:val="18"/>
                <w:szCs w:val="18"/>
              </w:rPr>
              <w:t>交通便捷度</w:t>
            </w:r>
          </w:p>
        </w:tc>
        <w:tc>
          <w:tcPr>
            <w:tcW w:w="6910" w:type="dxa"/>
            <w:noWrap/>
            <w:vAlign w:val="center"/>
          </w:tcPr>
          <w:p>
            <w:pPr>
              <w:widowControl/>
              <w:jc w:val="center"/>
              <w:rPr>
                <w:rFonts w:ascii="宋体" w:hAnsi="宋体"/>
                <w:kern w:val="0"/>
                <w:sz w:val="18"/>
                <w:szCs w:val="18"/>
              </w:rPr>
            </w:pPr>
            <w:r>
              <w:rPr>
                <w:rFonts w:hint="eastAsia" w:ascii="宋体" w:hAnsi="宋体"/>
                <w:kern w:val="0"/>
                <w:sz w:val="18"/>
                <w:szCs w:val="18"/>
              </w:rPr>
              <w:t>估价对象所在区域</w:t>
            </w:r>
            <w:r>
              <w:rPr>
                <w:rFonts w:ascii="宋体" w:hAnsi="宋体"/>
                <w:kern w:val="0"/>
                <w:sz w:val="18"/>
                <w:szCs w:val="18"/>
              </w:rPr>
              <w:t>暂</w:t>
            </w:r>
            <w:r>
              <w:rPr>
                <w:rFonts w:hint="eastAsia" w:ascii="宋体" w:hAnsi="宋体"/>
                <w:kern w:val="0"/>
                <w:sz w:val="18"/>
                <w:szCs w:val="18"/>
              </w:rPr>
              <w:t>无</w:t>
            </w:r>
            <w:r>
              <w:rPr>
                <w:rFonts w:ascii="宋体" w:hAnsi="宋体"/>
                <w:kern w:val="0"/>
                <w:sz w:val="18"/>
                <w:szCs w:val="18"/>
              </w:rPr>
              <w:t>公交</w:t>
            </w:r>
            <w:r>
              <w:rPr>
                <w:rFonts w:hint="eastAsia" w:ascii="宋体" w:hAnsi="宋体"/>
                <w:kern w:val="0"/>
                <w:sz w:val="18"/>
                <w:szCs w:val="18"/>
              </w:rPr>
              <w:t>路线开通，但</w:t>
            </w:r>
            <w:r>
              <w:rPr>
                <w:rFonts w:ascii="宋体" w:hAnsi="宋体"/>
                <w:kern w:val="0"/>
                <w:sz w:val="18"/>
                <w:szCs w:val="18"/>
              </w:rPr>
              <w:t>距离禄劝县</w:t>
            </w:r>
            <w:r>
              <w:rPr>
                <w:rFonts w:hint="eastAsia" w:ascii="宋体" w:hAnsi="宋体"/>
                <w:kern w:val="0"/>
                <w:sz w:val="18"/>
                <w:szCs w:val="18"/>
              </w:rPr>
              <w:t>公共</w:t>
            </w:r>
            <w:r>
              <w:rPr>
                <w:rFonts w:ascii="宋体" w:hAnsi="宋体"/>
                <w:kern w:val="0"/>
                <w:sz w:val="18"/>
                <w:szCs w:val="18"/>
              </w:rPr>
              <w:t>汽车客运站较近</w:t>
            </w:r>
            <w:r>
              <w:rPr>
                <w:rFonts w:hint="eastAsia" w:ascii="宋体" w:hAnsi="宋体"/>
                <w:kern w:val="0"/>
                <w:sz w:val="18"/>
                <w:szCs w:val="18"/>
              </w:rPr>
              <w:t>，公共交通便捷度一般。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00" w:type="dxa"/>
            <w:noWrap/>
            <w:vAlign w:val="center"/>
          </w:tcPr>
          <w:p>
            <w:pPr>
              <w:widowControl/>
              <w:jc w:val="left"/>
              <w:rPr>
                <w:rFonts w:ascii="宋体" w:hAnsi="宋体"/>
                <w:kern w:val="0"/>
                <w:sz w:val="18"/>
                <w:szCs w:val="18"/>
              </w:rPr>
            </w:pPr>
            <w:r>
              <w:rPr>
                <w:rFonts w:hint="eastAsia" w:ascii="宋体" w:hAnsi="宋体"/>
                <w:kern w:val="0"/>
                <w:sz w:val="18"/>
                <w:szCs w:val="18"/>
              </w:rPr>
              <w:t>公共配套情况</w:t>
            </w:r>
          </w:p>
        </w:tc>
        <w:tc>
          <w:tcPr>
            <w:tcW w:w="6910" w:type="dxa"/>
            <w:vAlign w:val="center"/>
          </w:tcPr>
          <w:p>
            <w:pPr>
              <w:widowControl/>
              <w:jc w:val="center"/>
              <w:rPr>
                <w:rFonts w:ascii="宋体" w:hAnsi="宋体"/>
                <w:kern w:val="0"/>
                <w:sz w:val="18"/>
                <w:szCs w:val="18"/>
              </w:rPr>
            </w:pPr>
            <w:r>
              <w:rPr>
                <w:rFonts w:hint="eastAsia" w:ascii="宋体" w:hAnsi="宋体"/>
                <w:kern w:val="0"/>
                <w:sz w:val="18"/>
                <w:szCs w:val="18"/>
              </w:rPr>
              <w:t>估价对象周边有甫风</w:t>
            </w:r>
            <w:r>
              <w:rPr>
                <w:rFonts w:ascii="宋体" w:hAnsi="宋体"/>
                <w:kern w:val="0"/>
                <w:sz w:val="18"/>
                <w:szCs w:val="18"/>
              </w:rPr>
              <w:t>幼儿园、禄劝县幼儿园、</w:t>
            </w:r>
            <w:r>
              <w:rPr>
                <w:rFonts w:hint="eastAsia" w:ascii="宋体" w:hAnsi="宋体"/>
                <w:kern w:val="0"/>
                <w:sz w:val="18"/>
                <w:szCs w:val="18"/>
              </w:rPr>
              <w:t>禄劝县</w:t>
            </w:r>
            <w:r>
              <w:rPr>
                <w:rFonts w:ascii="宋体" w:hAnsi="宋体"/>
                <w:kern w:val="0"/>
                <w:sz w:val="18"/>
                <w:szCs w:val="18"/>
              </w:rPr>
              <w:t>屏山第一幼儿园</w:t>
            </w:r>
            <w:r>
              <w:rPr>
                <w:rFonts w:hint="eastAsia" w:ascii="宋体" w:hAnsi="宋体"/>
                <w:kern w:val="0"/>
                <w:sz w:val="18"/>
                <w:szCs w:val="18"/>
              </w:rPr>
              <w:t>、屏山小学、禄劝民族</w:t>
            </w:r>
            <w:r>
              <w:rPr>
                <w:rFonts w:ascii="宋体" w:hAnsi="宋体"/>
                <w:kern w:val="0"/>
                <w:sz w:val="18"/>
                <w:szCs w:val="18"/>
              </w:rPr>
              <w:t>小学、禄劝秀</w:t>
            </w:r>
            <w:r>
              <w:rPr>
                <w:rFonts w:hint="eastAsia" w:ascii="宋体" w:hAnsi="宋体"/>
                <w:kern w:val="0"/>
                <w:sz w:val="18"/>
                <w:szCs w:val="18"/>
              </w:rPr>
              <w:t>屏小学、禄劝屏山中学</w:t>
            </w:r>
            <w:r>
              <w:rPr>
                <w:rFonts w:ascii="宋体" w:hAnsi="宋体"/>
                <w:kern w:val="0"/>
                <w:sz w:val="18"/>
                <w:szCs w:val="18"/>
              </w:rPr>
              <w:t>、禄劝民族中学、禄劝第一中学</w:t>
            </w:r>
            <w:r>
              <w:rPr>
                <w:rFonts w:hint="eastAsia" w:ascii="宋体" w:hAnsi="宋体"/>
                <w:kern w:val="0"/>
                <w:sz w:val="18"/>
                <w:szCs w:val="18"/>
              </w:rPr>
              <w:t>，滨河商业中心、华联超市、掌鸠河世纪中心、禄劝兴南综合农贸市场、禄劝星富农贸市场，禄劝彝族苗族自治县第一人民医院、禄劝彝族苗族自治县中医院，禄劝县农村信用社、中国邮政储蓄银行（屏山镇支行）、昆明禄劝中成村镇银行、中国农业银行（禄劝广场分理处），中国邮政（崇德邮政所）、做弩歌广场、绿化公园广场等配套设施，生活配套服务设施完善，社区成熟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00" w:type="dxa"/>
            <w:noWrap/>
            <w:vAlign w:val="center"/>
          </w:tcPr>
          <w:p>
            <w:pPr>
              <w:widowControl/>
              <w:jc w:val="left"/>
              <w:rPr>
                <w:rFonts w:ascii="宋体" w:hAnsi="宋体"/>
                <w:kern w:val="0"/>
                <w:sz w:val="18"/>
                <w:szCs w:val="18"/>
              </w:rPr>
            </w:pPr>
            <w:r>
              <w:rPr>
                <w:rFonts w:hint="eastAsia" w:ascii="宋体" w:hAnsi="宋体"/>
                <w:kern w:val="0"/>
                <w:sz w:val="18"/>
                <w:szCs w:val="18"/>
              </w:rPr>
              <w:t>周围环境状况</w:t>
            </w:r>
          </w:p>
        </w:tc>
        <w:tc>
          <w:tcPr>
            <w:tcW w:w="6910" w:type="dxa"/>
            <w:vAlign w:val="center"/>
          </w:tcPr>
          <w:p>
            <w:pPr>
              <w:widowControl/>
              <w:jc w:val="center"/>
              <w:rPr>
                <w:rFonts w:ascii="宋体" w:hAnsi="宋体"/>
                <w:kern w:val="0"/>
                <w:sz w:val="18"/>
                <w:szCs w:val="18"/>
              </w:rPr>
            </w:pPr>
            <w:r>
              <w:rPr>
                <w:rFonts w:hint="eastAsia" w:ascii="宋体" w:hAnsi="宋体"/>
                <w:kern w:val="0"/>
                <w:sz w:val="18"/>
                <w:szCs w:val="18"/>
              </w:rPr>
              <w:t>估价对象周边有迦南苑、</w:t>
            </w:r>
            <w:r>
              <w:rPr>
                <w:rFonts w:ascii="宋体" w:hAnsi="宋体"/>
                <w:kern w:val="0"/>
                <w:sz w:val="18"/>
                <w:szCs w:val="18"/>
              </w:rPr>
              <w:t>南一新村、龙溪苑、彝城新都、</w:t>
            </w:r>
            <w:r>
              <w:rPr>
                <w:rFonts w:hint="eastAsia" w:ascii="宋体" w:hAnsi="宋体"/>
                <w:kern w:val="0"/>
                <w:sz w:val="18"/>
                <w:szCs w:val="18"/>
              </w:rPr>
              <w:t>南城</w:t>
            </w:r>
            <w:r>
              <w:rPr>
                <w:rFonts w:ascii="宋体" w:hAnsi="宋体"/>
                <w:kern w:val="0"/>
                <w:sz w:val="18"/>
                <w:szCs w:val="18"/>
              </w:rPr>
              <w:t>景秀小区、阳光家园、嘉苑花园、</w:t>
            </w:r>
            <w:r>
              <w:rPr>
                <w:rFonts w:hint="eastAsia" w:ascii="宋体" w:hAnsi="宋体"/>
                <w:kern w:val="0"/>
                <w:sz w:val="18"/>
                <w:szCs w:val="18"/>
              </w:rPr>
              <w:t>湖畔人家</w:t>
            </w:r>
            <w:r>
              <w:rPr>
                <w:rFonts w:ascii="宋体" w:hAnsi="宋体"/>
                <w:kern w:val="0"/>
                <w:sz w:val="18"/>
                <w:szCs w:val="18"/>
              </w:rPr>
              <w:t>、聚龙湾花园</w:t>
            </w:r>
            <w:r>
              <w:rPr>
                <w:rFonts w:hint="eastAsia" w:ascii="宋体" w:hAnsi="宋体"/>
                <w:kern w:val="0"/>
                <w:sz w:val="18"/>
                <w:szCs w:val="18"/>
              </w:rPr>
              <w:t>等住宅小区，人口密度较大，治安状况良好，自然环境一般，人文环境较好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600" w:type="dxa"/>
            <w:noWrap/>
            <w:vAlign w:val="center"/>
          </w:tcPr>
          <w:p>
            <w:pPr>
              <w:widowControl/>
              <w:jc w:val="left"/>
              <w:rPr>
                <w:rFonts w:ascii="宋体"/>
                <w:kern w:val="0"/>
                <w:sz w:val="18"/>
                <w:szCs w:val="18"/>
              </w:rPr>
            </w:pPr>
            <w:r>
              <w:rPr>
                <w:rFonts w:hint="eastAsia" w:ascii="宋体" w:hAnsi="宋体"/>
                <w:kern w:val="0"/>
                <w:sz w:val="18"/>
                <w:szCs w:val="18"/>
              </w:rPr>
              <w:t>所处楼幢</w:t>
            </w:r>
          </w:p>
        </w:tc>
        <w:tc>
          <w:tcPr>
            <w:tcW w:w="6910" w:type="dxa"/>
            <w:noWrap/>
            <w:vAlign w:val="bottom"/>
          </w:tcPr>
          <w:p>
            <w:pPr>
              <w:widowControl/>
              <w:jc w:val="center"/>
              <w:rPr>
                <w:rFonts w:ascii="宋体" w:hAnsi="宋体"/>
                <w:kern w:val="0"/>
                <w:sz w:val="18"/>
                <w:szCs w:val="18"/>
              </w:rPr>
            </w:pPr>
            <w:r>
              <w:rPr>
                <w:rFonts w:hint="eastAsia" w:ascii="宋体" w:hAnsi="宋体"/>
                <w:kern w:val="0"/>
                <w:sz w:val="18"/>
                <w:szCs w:val="18"/>
              </w:rPr>
              <w:t>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noWrap/>
            <w:vAlign w:val="center"/>
          </w:tcPr>
          <w:p>
            <w:pPr>
              <w:widowControl/>
              <w:jc w:val="left"/>
              <w:rPr>
                <w:rFonts w:ascii="宋体"/>
                <w:kern w:val="0"/>
                <w:sz w:val="18"/>
                <w:szCs w:val="18"/>
              </w:rPr>
            </w:pPr>
            <w:r>
              <w:rPr>
                <w:rFonts w:hint="eastAsia" w:ascii="宋体" w:hAnsi="宋体"/>
                <w:kern w:val="0"/>
                <w:sz w:val="18"/>
                <w:szCs w:val="18"/>
              </w:rPr>
              <w:t>楼层</w:t>
            </w:r>
          </w:p>
        </w:tc>
        <w:tc>
          <w:tcPr>
            <w:tcW w:w="6910" w:type="dxa"/>
            <w:noWrap/>
            <w:vAlign w:val="bottom"/>
          </w:tcPr>
          <w:p>
            <w:pPr>
              <w:widowControl/>
              <w:jc w:val="center"/>
              <w:rPr>
                <w:rFonts w:ascii="宋体" w:hAnsi="宋体"/>
                <w:kern w:val="0"/>
                <w:sz w:val="18"/>
                <w:szCs w:val="18"/>
              </w:rPr>
            </w:pPr>
            <w:r>
              <w:rPr>
                <w:rFonts w:ascii="宋体" w:hAnsi="宋体"/>
                <w:kern w:val="0"/>
                <w:sz w:val="18"/>
                <w:szCs w:val="18"/>
              </w:rPr>
              <w:t>4</w:t>
            </w:r>
            <w:r>
              <w:rPr>
                <w:rFonts w:hint="eastAsia" w:ascii="宋体" w:hAnsi="宋体"/>
                <w:kern w:val="0"/>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noWrap/>
            <w:vAlign w:val="center"/>
          </w:tcPr>
          <w:p>
            <w:pPr>
              <w:widowControl/>
              <w:jc w:val="left"/>
              <w:rPr>
                <w:rFonts w:ascii="宋体" w:hAnsi="宋体"/>
                <w:kern w:val="0"/>
                <w:sz w:val="18"/>
                <w:szCs w:val="18"/>
              </w:rPr>
            </w:pPr>
            <w:r>
              <w:rPr>
                <w:rFonts w:hint="eastAsia" w:ascii="宋体" w:hAnsi="宋体"/>
                <w:kern w:val="0"/>
                <w:sz w:val="18"/>
                <w:szCs w:val="18"/>
              </w:rPr>
              <w:t>朝向</w:t>
            </w:r>
          </w:p>
        </w:tc>
        <w:tc>
          <w:tcPr>
            <w:tcW w:w="6910" w:type="dxa"/>
            <w:noWrap/>
            <w:vAlign w:val="bottom"/>
          </w:tcPr>
          <w:p>
            <w:pPr>
              <w:widowControl/>
              <w:jc w:val="center"/>
              <w:rPr>
                <w:rFonts w:hint="eastAsia" w:ascii="宋体" w:hAnsi="宋体"/>
                <w:kern w:val="0"/>
                <w:sz w:val="18"/>
                <w:szCs w:val="18"/>
              </w:rPr>
            </w:pPr>
            <w:r>
              <w:rPr>
                <w:rFonts w:hint="eastAsia" w:ascii="宋体" w:hAnsi="宋体"/>
                <w:kern w:val="0"/>
                <w:sz w:val="18"/>
                <w:szCs w:val="18"/>
              </w:rPr>
              <w:t>南北向</w:t>
            </w:r>
          </w:p>
        </w:tc>
      </w:tr>
    </w:tbl>
    <w:p>
      <w:pPr>
        <w:spacing w:line="360" w:lineRule="auto"/>
        <w:ind w:firstLine="555"/>
        <w:rPr>
          <w:rFonts w:ascii="宋体" w:hAnsi="宋体"/>
          <w:sz w:val="24"/>
        </w:rPr>
      </w:pPr>
      <w:r>
        <w:rPr>
          <w:rFonts w:hint="eastAsia" w:ascii="宋体" w:hAnsi="宋体"/>
          <w:sz w:val="24"/>
        </w:rPr>
        <w:t>（2）估价对象实物状况</w:t>
      </w:r>
    </w:p>
    <w:tbl>
      <w:tblPr>
        <w:tblStyle w:val="31"/>
        <w:tblW w:w="498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558"/>
        <w:gridCol w:w="141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8"/>
                <w:szCs w:val="18"/>
              </w:rPr>
            </w:pPr>
            <w:r>
              <w:rPr>
                <w:rFonts w:hint="eastAsia" w:ascii="宋体" w:hAnsi="宋体"/>
                <w:kern w:val="0"/>
                <w:sz w:val="18"/>
                <w:szCs w:val="18"/>
              </w:rPr>
              <w:t>估价对象名称</w:t>
            </w:r>
          </w:p>
        </w:tc>
        <w:tc>
          <w:tcPr>
            <w:tcW w:w="69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禄劝县城五星路25号五交化1幢1-402号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建筑面积㎡</w:t>
            </w:r>
          </w:p>
        </w:tc>
        <w:tc>
          <w:tcPr>
            <w:tcW w:w="29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74.55</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建筑结构</w:t>
            </w:r>
          </w:p>
        </w:tc>
        <w:tc>
          <w:tcPr>
            <w:tcW w:w="25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kern w:val="0"/>
                <w:sz w:val="18"/>
                <w:szCs w:val="18"/>
              </w:rPr>
            </w:pPr>
            <w:r>
              <w:rPr>
                <w:rFonts w:hint="eastAsia" w:ascii="宋体" w:hAnsi="宋体"/>
                <w:kern w:val="0"/>
                <w:sz w:val="18"/>
                <w:szCs w:val="18"/>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楼宇总层数</w:t>
            </w:r>
          </w:p>
        </w:tc>
        <w:tc>
          <w:tcPr>
            <w:tcW w:w="297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kern w:val="0"/>
                <w:sz w:val="18"/>
                <w:szCs w:val="18"/>
              </w:rPr>
            </w:pPr>
            <w:r>
              <w:rPr>
                <w:rFonts w:ascii="宋体" w:hAnsi="宋体"/>
                <w:kern w:val="0"/>
                <w:sz w:val="18"/>
                <w:szCs w:val="18"/>
              </w:rPr>
              <w:t>6</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所在层数</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ascii="宋体" w:hAns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朝向</w:t>
            </w:r>
          </w:p>
        </w:tc>
        <w:tc>
          <w:tcPr>
            <w:tcW w:w="29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南北向</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景观</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可俯瞰小区景观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实际用途</w:t>
            </w:r>
          </w:p>
        </w:tc>
        <w:tc>
          <w:tcPr>
            <w:tcW w:w="29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住宅</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空间布局/户型</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三室两厅一厨一卫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装修情况</w:t>
            </w:r>
          </w:p>
        </w:tc>
        <w:tc>
          <w:tcPr>
            <w:tcW w:w="69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b/>
                <w:kern w:val="0"/>
                <w:sz w:val="18"/>
                <w:szCs w:val="18"/>
              </w:rPr>
            </w:pPr>
            <w:r>
              <w:rPr>
                <w:rFonts w:hint="eastAsia" w:ascii="宋体" w:hAnsi="宋体"/>
                <w:b/>
                <w:kern w:val="0"/>
                <w:sz w:val="18"/>
                <w:szCs w:val="18"/>
              </w:rPr>
              <w:t>公共部分装修情况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外墙</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水刷石</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内墙</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双飞粉刷白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单元门</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无</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窗</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69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b/>
                <w:kern w:val="0"/>
                <w:sz w:val="18"/>
                <w:szCs w:val="18"/>
              </w:rPr>
            </w:pPr>
            <w:r>
              <w:rPr>
                <w:rFonts w:hint="eastAsia" w:ascii="宋体" w:hAnsi="宋体"/>
                <w:b/>
                <w:kern w:val="0"/>
                <w:sz w:val="18"/>
                <w:szCs w:val="18"/>
              </w:rPr>
              <w:t>估价对象自身装修状况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门</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普通防盗门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客厅</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地面铺</w:t>
            </w:r>
            <w:r>
              <w:rPr>
                <w:rFonts w:ascii="宋体" w:hAnsi="宋体"/>
                <w:kern w:val="0"/>
                <w:sz w:val="18"/>
                <w:szCs w:val="18"/>
              </w:rPr>
              <w:t>复合木地板</w:t>
            </w:r>
            <w:r>
              <w:rPr>
                <w:rFonts w:hint="eastAsia" w:ascii="宋体" w:hAnsi="宋体"/>
                <w:kern w:val="0"/>
                <w:sz w:val="18"/>
                <w:szCs w:val="18"/>
              </w:rPr>
              <w:t>，墙面为乳胶漆刷白，顶面为乳胶漆刷白、水晶吊灯、</w:t>
            </w:r>
            <w:r>
              <w:rPr>
                <w:rFonts w:ascii="宋体" w:hAnsi="宋体"/>
                <w:kern w:val="0"/>
                <w:sz w:val="18"/>
                <w:szCs w:val="18"/>
              </w:rPr>
              <w:t>塑钢窗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卧室</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地面铺</w:t>
            </w:r>
            <w:r>
              <w:rPr>
                <w:rFonts w:ascii="宋体" w:hAnsi="宋体"/>
                <w:kern w:val="0"/>
                <w:sz w:val="18"/>
                <w:szCs w:val="18"/>
              </w:rPr>
              <w:t>复合木地板</w:t>
            </w:r>
            <w:r>
              <w:rPr>
                <w:rFonts w:hint="eastAsia" w:ascii="宋体" w:hAnsi="宋体"/>
                <w:kern w:val="0"/>
                <w:sz w:val="18"/>
                <w:szCs w:val="18"/>
              </w:rPr>
              <w:t>，墙面为乳胶漆刷白，顶面为乳胶漆刷白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厨房</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地面为防滑地砖，墙面为1</w:t>
            </w:r>
            <w:r>
              <w:rPr>
                <w:rFonts w:ascii="宋体" w:hAnsi="宋体"/>
                <w:kern w:val="0"/>
                <w:sz w:val="18"/>
                <w:szCs w:val="18"/>
              </w:rPr>
              <w:t>.5</w:t>
            </w:r>
            <w:r>
              <w:rPr>
                <w:rFonts w:hint="eastAsia" w:ascii="宋体" w:hAnsi="宋体"/>
                <w:kern w:val="0"/>
                <w:sz w:val="18"/>
                <w:szCs w:val="18"/>
              </w:rPr>
              <w:t>米</w:t>
            </w:r>
            <w:r>
              <w:rPr>
                <w:rFonts w:ascii="宋体" w:hAnsi="宋体"/>
                <w:kern w:val="0"/>
                <w:sz w:val="18"/>
                <w:szCs w:val="18"/>
              </w:rPr>
              <w:t>瓷</w:t>
            </w:r>
            <w:r>
              <w:rPr>
                <w:rFonts w:hint="eastAsia" w:ascii="宋体" w:hAnsi="宋体"/>
                <w:kern w:val="0"/>
                <w:sz w:val="18"/>
                <w:szCs w:val="18"/>
              </w:rPr>
              <w:t>片</w:t>
            </w:r>
            <w:r>
              <w:rPr>
                <w:rFonts w:ascii="宋体" w:hAnsi="宋体"/>
                <w:kern w:val="0"/>
                <w:sz w:val="18"/>
                <w:szCs w:val="18"/>
              </w:rPr>
              <w:t>墙裙、双飞粉刷白</w:t>
            </w:r>
            <w:r>
              <w:rPr>
                <w:rFonts w:hint="eastAsia" w:ascii="宋体" w:hAnsi="宋体"/>
                <w:kern w:val="0"/>
                <w:sz w:val="18"/>
                <w:szCs w:val="18"/>
              </w:rPr>
              <w:t>，顶面为双飞粉刷白，安装有</w:t>
            </w:r>
            <w:r>
              <w:rPr>
                <w:rFonts w:ascii="宋体" w:hAnsi="宋体"/>
                <w:kern w:val="0"/>
                <w:sz w:val="18"/>
                <w:szCs w:val="18"/>
              </w:rPr>
              <w:t>橱柜</w:t>
            </w:r>
            <w:r>
              <w:rPr>
                <w:rFonts w:hint="eastAsia" w:ascii="宋体" w:hAnsi="宋体"/>
                <w:kern w:val="0"/>
                <w:sz w:val="18"/>
                <w:szCs w:val="18"/>
              </w:rPr>
              <w:t>、</w:t>
            </w:r>
            <w:r>
              <w:rPr>
                <w:rFonts w:ascii="宋体" w:hAnsi="宋体"/>
                <w:kern w:val="0"/>
                <w:sz w:val="18"/>
                <w:szCs w:val="18"/>
              </w:rPr>
              <w:t>操作台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卫生间</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地面为防滑地砖，墙面为1</w:t>
            </w:r>
            <w:r>
              <w:rPr>
                <w:rFonts w:ascii="宋体" w:hAnsi="宋体"/>
                <w:kern w:val="0"/>
                <w:sz w:val="18"/>
                <w:szCs w:val="18"/>
              </w:rPr>
              <w:t>.8</w:t>
            </w:r>
            <w:r>
              <w:rPr>
                <w:rFonts w:hint="eastAsia" w:ascii="宋体" w:hAnsi="宋体"/>
                <w:kern w:val="0"/>
                <w:sz w:val="18"/>
                <w:szCs w:val="18"/>
              </w:rPr>
              <w:t>米</w:t>
            </w:r>
            <w:r>
              <w:rPr>
                <w:rFonts w:ascii="宋体" w:hAnsi="宋体"/>
                <w:kern w:val="0"/>
                <w:sz w:val="18"/>
                <w:szCs w:val="18"/>
              </w:rPr>
              <w:t>瓷片墙裙</w:t>
            </w:r>
            <w:r>
              <w:rPr>
                <w:rFonts w:hint="eastAsia" w:ascii="宋体" w:hAnsi="宋体"/>
                <w:kern w:val="0"/>
                <w:sz w:val="18"/>
                <w:szCs w:val="18"/>
              </w:rPr>
              <w:t>，顶面为双飞粉</w:t>
            </w:r>
            <w:r>
              <w:rPr>
                <w:rFonts w:ascii="宋体" w:hAnsi="宋体"/>
                <w:kern w:val="0"/>
                <w:sz w:val="18"/>
                <w:szCs w:val="18"/>
              </w:rPr>
              <w:t>刷白</w:t>
            </w:r>
            <w:r>
              <w:rPr>
                <w:rFonts w:hint="eastAsia" w:ascii="宋体" w:hAnsi="宋体"/>
                <w:kern w:val="0"/>
                <w:sz w:val="18"/>
                <w:szCs w:val="18"/>
              </w:rPr>
              <w:t>，安装有蹲坑、</w:t>
            </w:r>
            <w:r>
              <w:rPr>
                <w:rFonts w:ascii="宋体" w:hAnsi="宋体"/>
                <w:kern w:val="0"/>
                <w:sz w:val="18"/>
                <w:szCs w:val="18"/>
              </w:rPr>
              <w:t>洗漱柜等卫生洁具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设备设施</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水电</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暗设</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电梯</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管道煤气</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消防</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有线电视</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昆广网络</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宽带</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电信、移动、联通端口到户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restart"/>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使用与维护</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竣工年代</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约建成于</w:t>
            </w:r>
            <w:r>
              <w:rPr>
                <w:rFonts w:ascii="宋体" w:hAnsi="宋体"/>
                <w:kern w:val="0"/>
                <w:sz w:val="18"/>
                <w:szCs w:val="18"/>
              </w:rPr>
              <w:t>1998</w:t>
            </w:r>
            <w:r>
              <w:rPr>
                <w:rFonts w:hint="eastAsia" w:ascii="宋体" w:hAnsi="宋体"/>
                <w:kern w:val="0"/>
                <w:sz w:val="18"/>
                <w:szCs w:val="18"/>
              </w:rPr>
              <w:t>年</w:t>
            </w:r>
          </w:p>
        </w:tc>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成新度</w:t>
            </w:r>
          </w:p>
        </w:tc>
        <w:tc>
          <w:tcPr>
            <w:tcW w:w="25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约</w:t>
            </w:r>
            <w:r>
              <w:rPr>
                <w:rFonts w:ascii="宋体" w:hAnsi="宋体"/>
                <w:kern w:val="0"/>
                <w:sz w:val="18"/>
                <w:szCs w:val="18"/>
              </w:rPr>
              <w:t>6.5</w:t>
            </w:r>
            <w:r>
              <w:rPr>
                <w:rFonts w:hint="eastAsia" w:ascii="宋体" w:hAnsi="宋体"/>
                <w:kern w:val="0"/>
                <w:sz w:val="18"/>
                <w:szCs w:val="18"/>
              </w:rPr>
              <w:t>成新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使用状况</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产权人自用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维护与保养</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维护与保养状况较好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物业管理</w:t>
            </w:r>
          </w:p>
        </w:tc>
        <w:tc>
          <w:tcPr>
            <w:tcW w:w="552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有物管，管理水平较好</w:t>
            </w:r>
          </w:p>
        </w:tc>
      </w:tr>
    </w:tbl>
    <w:p>
      <w:pPr>
        <w:spacing w:line="360" w:lineRule="auto"/>
        <w:ind w:firstLine="555"/>
        <w:rPr>
          <w:rFonts w:ascii="宋体" w:hAnsi="宋体"/>
          <w:sz w:val="24"/>
        </w:rPr>
      </w:pPr>
      <w:r>
        <w:rPr>
          <w:rFonts w:hint="eastAsia" w:ascii="宋体" w:hAnsi="宋体"/>
          <w:sz w:val="24"/>
        </w:rPr>
        <w:t>（3）估价对象权益状况</w:t>
      </w:r>
    </w:p>
    <w:tbl>
      <w:tblPr>
        <w:tblStyle w:val="31"/>
        <w:tblW w:w="8520"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08"/>
        <w:gridCol w:w="575"/>
        <w:gridCol w:w="1719"/>
        <w:gridCol w:w="266"/>
        <w:gridCol w:w="1170"/>
        <w:gridCol w:w="247"/>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8"/>
                <w:szCs w:val="18"/>
              </w:rPr>
            </w:pPr>
            <w:r>
              <w:rPr>
                <w:rFonts w:hint="eastAsia" w:ascii="宋体" w:hAnsi="宋体"/>
                <w:kern w:val="0"/>
                <w:sz w:val="18"/>
                <w:szCs w:val="18"/>
              </w:rPr>
              <w:t>估价对象名称</w:t>
            </w:r>
          </w:p>
        </w:tc>
        <w:tc>
          <w:tcPr>
            <w:tcW w:w="6237"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kern w:val="0"/>
                <w:sz w:val="18"/>
                <w:szCs w:val="18"/>
              </w:rPr>
            </w:pPr>
            <w:r>
              <w:rPr>
                <w:rFonts w:hint="eastAsia" w:ascii="宋体" w:hAnsi="宋体"/>
                <w:kern w:val="0"/>
                <w:sz w:val="18"/>
                <w:szCs w:val="18"/>
              </w:rPr>
              <w:t>禄劝县城五星路25号五交化1幢1-402号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520"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b/>
                <w:bCs/>
                <w:sz w:val="18"/>
                <w:szCs w:val="18"/>
              </w:rPr>
              <w:t>房产权益状况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权利证书号</w:t>
            </w:r>
          </w:p>
        </w:tc>
        <w:tc>
          <w:tcPr>
            <w:tcW w:w="6237"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禄劝字第20110738号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所有权人</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王顺芬</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共有情况</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sz w:val="18"/>
                <w:szCs w:val="18"/>
              </w:rPr>
              <w:t>未登记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用途</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住宅用房</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实际房屋用途</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住宅用房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用益物权情况</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未登记</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担保物权情况</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无担保</w:t>
            </w:r>
            <w:r>
              <w:rPr>
                <w:rFonts w:ascii="宋体" w:hAnsi="宋体"/>
                <w:kern w:val="0"/>
                <w:sz w:val="18"/>
                <w:szCs w:val="18"/>
              </w:rPr>
              <w:t>物权登记情况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租赁或占用情况</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拖欠税费情况</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查封等情况</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已查封</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权属清晰情况</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28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城市规划限制</w:t>
            </w:r>
          </w:p>
        </w:tc>
        <w:tc>
          <w:tcPr>
            <w:tcW w:w="19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无</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物业服务水平</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8"/>
                <w:szCs w:val="18"/>
              </w:rPr>
            </w:pPr>
            <w:r>
              <w:rPr>
                <w:rFonts w:hint="eastAsia" w:ascii="宋体" w:hAnsi="宋体"/>
                <w:kern w:val="0"/>
                <w:sz w:val="18"/>
                <w:szCs w:val="18"/>
              </w:rPr>
              <w:t>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8520"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b/>
                <w:bCs/>
                <w:kern w:val="0"/>
                <w:sz w:val="18"/>
                <w:szCs w:val="18"/>
              </w:rPr>
            </w:pPr>
            <w:r>
              <w:rPr>
                <w:rFonts w:hint="eastAsia" w:ascii="宋体" w:hAnsi="宋体"/>
                <w:b/>
                <w:bCs/>
                <w:kern w:val="0"/>
                <w:sz w:val="18"/>
                <w:szCs w:val="18"/>
              </w:rPr>
              <w:t>分摊土地权益状况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产权证号</w:t>
            </w:r>
          </w:p>
        </w:tc>
        <w:tc>
          <w:tcPr>
            <w:tcW w:w="6812" w:type="dxa"/>
            <w:gridSpan w:val="6"/>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kern w:val="0"/>
                <w:sz w:val="18"/>
                <w:szCs w:val="18"/>
              </w:rPr>
            </w:pPr>
            <w:r>
              <w:rPr>
                <w:rFonts w:hint="eastAsia" w:ascii="宋体" w:hAnsi="宋体"/>
                <w:kern w:val="0"/>
                <w:sz w:val="18"/>
                <w:szCs w:val="18"/>
              </w:rPr>
              <w:t>禄劝字第20110738号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使用权人</w:t>
            </w:r>
          </w:p>
        </w:tc>
        <w:tc>
          <w:tcPr>
            <w:tcW w:w="2294"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kern w:val="0"/>
                <w:sz w:val="18"/>
                <w:szCs w:val="18"/>
              </w:rPr>
            </w:pPr>
            <w:r>
              <w:rPr>
                <w:rFonts w:hint="eastAsia" w:ascii="宋体" w:hAnsi="宋体"/>
                <w:kern w:val="0"/>
                <w:sz w:val="18"/>
                <w:szCs w:val="18"/>
              </w:rPr>
              <w:t>王顺芬</w:t>
            </w:r>
          </w:p>
        </w:tc>
        <w:tc>
          <w:tcPr>
            <w:tcW w:w="143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kern w:val="0"/>
                <w:sz w:val="18"/>
                <w:szCs w:val="18"/>
              </w:rPr>
            </w:pPr>
            <w:r>
              <w:rPr>
                <w:rFonts w:hint="eastAsia" w:ascii="宋体" w:hAnsi="宋体"/>
                <w:kern w:val="0"/>
                <w:sz w:val="18"/>
                <w:szCs w:val="18"/>
              </w:rPr>
              <w:t>共有人</w:t>
            </w:r>
          </w:p>
        </w:tc>
        <w:tc>
          <w:tcPr>
            <w:tcW w:w="3082"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kern w:val="0"/>
                <w:sz w:val="18"/>
                <w:szCs w:val="18"/>
              </w:rPr>
            </w:pPr>
            <w:r>
              <w:rPr>
                <w:rFonts w:hint="eastAsia" w:ascii="宋体" w:hAnsi="宋体"/>
                <w:kern w:val="0"/>
                <w:sz w:val="18"/>
                <w:szCs w:val="18"/>
              </w:rPr>
              <w:t>未登记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使用权类型</w:t>
            </w:r>
          </w:p>
        </w:tc>
        <w:tc>
          <w:tcPr>
            <w:tcW w:w="2294"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kern w:val="0"/>
                <w:sz w:val="18"/>
                <w:szCs w:val="18"/>
              </w:rPr>
            </w:pPr>
            <w:r>
              <w:rPr>
                <w:rFonts w:hint="eastAsia" w:ascii="宋体" w:hAnsi="宋体"/>
                <w:kern w:val="0"/>
                <w:sz w:val="18"/>
                <w:szCs w:val="18"/>
              </w:rPr>
              <w:t>出让</w:t>
            </w:r>
          </w:p>
        </w:tc>
        <w:tc>
          <w:tcPr>
            <w:tcW w:w="143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kern w:val="0"/>
                <w:sz w:val="18"/>
                <w:szCs w:val="18"/>
              </w:rPr>
            </w:pPr>
            <w:r>
              <w:rPr>
                <w:rFonts w:hint="eastAsia" w:ascii="宋体" w:hAnsi="宋体"/>
                <w:kern w:val="0"/>
                <w:sz w:val="18"/>
                <w:szCs w:val="18"/>
              </w:rPr>
              <w:t>规划用途</w:t>
            </w:r>
          </w:p>
        </w:tc>
        <w:tc>
          <w:tcPr>
            <w:tcW w:w="3082"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kern w:val="0"/>
                <w:sz w:val="18"/>
                <w:szCs w:val="18"/>
              </w:rPr>
            </w:pPr>
            <w:r>
              <w:rPr>
                <w:rFonts w:hint="eastAsia" w:ascii="宋体" w:hAnsi="宋体"/>
                <w:kern w:val="0"/>
                <w:sz w:val="18"/>
                <w:szCs w:val="18"/>
              </w:rPr>
              <w:t>城镇住宅用地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18"/>
                <w:szCs w:val="18"/>
              </w:rPr>
            </w:pPr>
            <w:r>
              <w:rPr>
                <w:rFonts w:hint="eastAsia" w:ascii="宋体" w:hAnsi="宋体"/>
                <w:kern w:val="0"/>
                <w:sz w:val="18"/>
                <w:szCs w:val="18"/>
              </w:rPr>
              <w:t>使用权终止日期</w:t>
            </w:r>
          </w:p>
        </w:tc>
        <w:tc>
          <w:tcPr>
            <w:tcW w:w="6812" w:type="dxa"/>
            <w:gridSpan w:val="6"/>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kern w:val="0"/>
                <w:sz w:val="18"/>
                <w:szCs w:val="18"/>
              </w:rPr>
            </w:pPr>
            <w:r>
              <w:rPr>
                <w:rFonts w:hint="eastAsia" w:ascii="宋体" w:hAnsi="宋体"/>
                <w:kern w:val="0"/>
                <w:sz w:val="18"/>
                <w:szCs w:val="18"/>
              </w:rPr>
              <w:t>20</w:t>
            </w:r>
            <w:r>
              <w:rPr>
                <w:rFonts w:ascii="宋体" w:hAnsi="宋体"/>
                <w:kern w:val="0"/>
                <w:sz w:val="18"/>
                <w:szCs w:val="18"/>
              </w:rPr>
              <w:t>76</w:t>
            </w:r>
            <w:r>
              <w:rPr>
                <w:rFonts w:hint="eastAsia" w:ascii="宋体" w:hAnsi="宋体"/>
                <w:kern w:val="0"/>
                <w:sz w:val="18"/>
                <w:szCs w:val="18"/>
              </w:rPr>
              <w:t>年12月18日</w:t>
            </w:r>
          </w:p>
        </w:tc>
      </w:tr>
    </w:tbl>
    <w:p>
      <w:pPr>
        <w:spacing w:line="360" w:lineRule="auto"/>
        <w:outlineLvl w:val="1"/>
        <w:rPr>
          <w:rFonts w:ascii="宋体"/>
          <w:b/>
          <w:bCs/>
          <w:sz w:val="28"/>
          <w:szCs w:val="28"/>
        </w:rPr>
      </w:pPr>
      <w:bookmarkStart w:id="33" w:name="_Toc25942"/>
      <w:r>
        <w:rPr>
          <w:rFonts w:hint="eastAsia" w:ascii="宋体" w:hAnsi="宋体"/>
          <w:b/>
          <w:bCs/>
          <w:sz w:val="28"/>
          <w:szCs w:val="28"/>
        </w:rPr>
        <w:t>五、价值时点</w:t>
      </w:r>
      <w:bookmarkEnd w:id="32"/>
      <w:bookmarkEnd w:id="33"/>
    </w:p>
    <w:p>
      <w:pPr>
        <w:spacing w:line="360" w:lineRule="auto"/>
        <w:ind w:firstLine="556"/>
        <w:rPr>
          <w:rFonts w:ascii="宋体"/>
          <w:sz w:val="24"/>
        </w:rPr>
      </w:pPr>
      <w:r>
        <w:rPr>
          <w:rFonts w:hint="eastAsia" w:ascii="宋体" w:hAnsi="宋体"/>
          <w:sz w:val="24"/>
        </w:rPr>
        <w:t>经与委托方协商确定，本次价值时点选择为现场勘查日期，既</w:t>
      </w:r>
      <w:r>
        <w:rPr>
          <w:rFonts w:ascii="宋体" w:hAnsi="宋体"/>
          <w:sz w:val="24"/>
        </w:rPr>
        <w:t>为</w:t>
      </w:r>
      <w:r>
        <w:rPr>
          <w:rFonts w:hint="eastAsia" w:ascii="宋体" w:hAnsi="宋体"/>
          <w:sz w:val="24"/>
        </w:rPr>
        <w:t>二〇二二年三月十日。</w:t>
      </w:r>
    </w:p>
    <w:p>
      <w:pPr>
        <w:spacing w:line="360" w:lineRule="auto"/>
        <w:outlineLvl w:val="1"/>
        <w:rPr>
          <w:rFonts w:ascii="宋体"/>
          <w:b/>
          <w:bCs/>
          <w:sz w:val="28"/>
          <w:szCs w:val="28"/>
        </w:rPr>
      </w:pPr>
      <w:bookmarkStart w:id="34" w:name="_Toc432601097"/>
      <w:bookmarkStart w:id="35" w:name="_Toc7581"/>
      <w:r>
        <w:rPr>
          <w:rFonts w:hint="eastAsia" w:ascii="宋体" w:hAnsi="宋体"/>
          <w:b/>
          <w:bCs/>
          <w:sz w:val="28"/>
          <w:szCs w:val="28"/>
        </w:rPr>
        <w:t>六、价值类型</w:t>
      </w:r>
      <w:bookmarkEnd w:id="34"/>
      <w:bookmarkEnd w:id="35"/>
    </w:p>
    <w:p>
      <w:pPr>
        <w:spacing w:line="360" w:lineRule="auto"/>
        <w:ind w:firstLine="556"/>
        <w:rPr>
          <w:rFonts w:hAnsi="宋体"/>
          <w:snapToGrid w:val="0"/>
          <w:kern w:val="0"/>
          <w:sz w:val="24"/>
        </w:rPr>
      </w:pPr>
      <w:r>
        <w:rPr>
          <w:rFonts w:hAnsi="宋体"/>
          <w:snapToGrid w:val="0"/>
          <w:kern w:val="0"/>
          <w:sz w:val="24"/>
        </w:rPr>
        <w:t>1.价值类型名称</w:t>
      </w:r>
    </w:p>
    <w:p>
      <w:pPr>
        <w:spacing w:line="360" w:lineRule="auto"/>
        <w:ind w:firstLine="556"/>
        <w:rPr>
          <w:rFonts w:hAnsi="宋体"/>
          <w:snapToGrid w:val="0"/>
          <w:kern w:val="0"/>
          <w:sz w:val="24"/>
        </w:rPr>
      </w:pPr>
      <w:r>
        <w:rPr>
          <w:rFonts w:hAnsi="宋体"/>
          <w:snapToGrid w:val="0"/>
          <w:kern w:val="0"/>
          <w:sz w:val="24"/>
        </w:rPr>
        <w:t>本次估价的价值类型为市场价格。</w:t>
      </w:r>
    </w:p>
    <w:p>
      <w:pPr>
        <w:spacing w:line="360" w:lineRule="auto"/>
        <w:ind w:firstLine="556"/>
        <w:rPr>
          <w:rFonts w:hAnsi="宋体"/>
          <w:snapToGrid w:val="0"/>
          <w:kern w:val="0"/>
          <w:sz w:val="24"/>
        </w:rPr>
      </w:pPr>
      <w:r>
        <w:rPr>
          <w:rFonts w:hAnsi="宋体"/>
          <w:snapToGrid w:val="0"/>
          <w:kern w:val="0"/>
          <w:sz w:val="24"/>
        </w:rPr>
        <w:t>2.价值定义</w:t>
      </w:r>
    </w:p>
    <w:p>
      <w:pPr>
        <w:spacing w:line="360" w:lineRule="auto"/>
        <w:ind w:firstLine="556"/>
        <w:rPr>
          <w:rFonts w:hAnsi="宋体"/>
          <w:snapToGrid w:val="0"/>
          <w:kern w:val="0"/>
          <w:sz w:val="24"/>
        </w:rPr>
      </w:pPr>
      <w:r>
        <w:rPr>
          <w:rFonts w:hAnsi="宋体"/>
          <w:snapToGrid w:val="0"/>
          <w:color w:val="FF0000"/>
          <w:kern w:val="0"/>
          <w:sz w:val="24"/>
        </w:rPr>
        <w:t>市场价格是</w:t>
      </w:r>
      <w:r>
        <w:rPr>
          <w:rFonts w:hint="eastAsia" w:ascii="宋体" w:hAnsi="宋体"/>
          <w:snapToGrid w:val="0"/>
          <w:color w:val="FF0000"/>
          <w:kern w:val="0"/>
          <w:sz w:val="24"/>
        </w:rPr>
        <w:t>指估价对象房地产在</w:t>
      </w:r>
      <w:r>
        <w:rPr>
          <w:rFonts w:ascii="宋体" w:hAnsi="宋体"/>
          <w:snapToGrid w:val="0"/>
          <w:color w:val="FF0000"/>
          <w:kern w:val="0"/>
          <w:sz w:val="24"/>
        </w:rPr>
        <w:t>市场上的平均交易价格</w:t>
      </w:r>
      <w:r>
        <w:rPr>
          <w:rFonts w:hAnsi="宋体"/>
          <w:snapToGrid w:val="0"/>
          <w:kern w:val="0"/>
          <w:sz w:val="24"/>
        </w:rPr>
        <w:t>。</w:t>
      </w:r>
    </w:p>
    <w:p>
      <w:pPr>
        <w:spacing w:line="360" w:lineRule="auto"/>
        <w:ind w:firstLine="556"/>
        <w:rPr>
          <w:rFonts w:hAnsi="宋体"/>
          <w:snapToGrid w:val="0"/>
          <w:kern w:val="0"/>
          <w:sz w:val="24"/>
        </w:rPr>
      </w:pPr>
      <w:r>
        <w:rPr>
          <w:rFonts w:hAnsi="宋体"/>
          <w:snapToGrid w:val="0"/>
          <w:kern w:val="0"/>
          <w:sz w:val="24"/>
        </w:rPr>
        <w:t>3.价值内涵</w:t>
      </w:r>
    </w:p>
    <w:p>
      <w:pPr>
        <w:spacing w:line="360" w:lineRule="auto"/>
        <w:ind w:firstLine="556"/>
        <w:rPr>
          <w:rFonts w:hAnsi="宋体"/>
          <w:snapToGrid w:val="0"/>
          <w:kern w:val="0"/>
          <w:sz w:val="24"/>
        </w:rPr>
      </w:pPr>
      <w:r>
        <w:rPr>
          <w:rFonts w:hAnsi="宋体"/>
          <w:snapToGrid w:val="0"/>
          <w:kern w:val="0"/>
          <w:sz w:val="24"/>
        </w:rPr>
        <w:t>价值内涵是估价对象在价值时点，满足估价假设和限制条件下包括建筑物、所分摊的土地在剩余使用年期的使用权，不包括动产、债权债务、特许经营权等其他财产或权益；付款方式是一次性付清房价款；房屋面积内涵是建筑面积；开发程度为现房</w:t>
      </w:r>
      <w:r>
        <w:rPr>
          <w:rFonts w:hint="eastAsia" w:hAnsi="宋体"/>
          <w:snapToGrid w:val="0"/>
          <w:kern w:val="0"/>
          <w:sz w:val="24"/>
        </w:rPr>
        <w:t>。</w:t>
      </w:r>
    </w:p>
    <w:p>
      <w:pPr>
        <w:spacing w:line="360" w:lineRule="auto"/>
        <w:outlineLvl w:val="1"/>
        <w:rPr>
          <w:rFonts w:ascii="宋体"/>
          <w:b/>
          <w:sz w:val="28"/>
          <w:szCs w:val="28"/>
        </w:rPr>
      </w:pPr>
      <w:bookmarkStart w:id="36" w:name="_Toc432601098"/>
      <w:bookmarkStart w:id="37" w:name="_Toc5717"/>
      <w:r>
        <w:rPr>
          <w:rFonts w:hint="eastAsia" w:ascii="宋体" w:hAnsi="宋体"/>
          <w:b/>
          <w:sz w:val="28"/>
          <w:szCs w:val="28"/>
        </w:rPr>
        <w:t>七、估价原则</w:t>
      </w:r>
      <w:bookmarkEnd w:id="36"/>
      <w:bookmarkEnd w:id="37"/>
    </w:p>
    <w:p>
      <w:pPr>
        <w:spacing w:line="360" w:lineRule="auto"/>
        <w:ind w:firstLine="556"/>
        <w:rPr>
          <w:rFonts w:ascii="宋体"/>
          <w:sz w:val="24"/>
        </w:rPr>
      </w:pPr>
      <w:r>
        <w:rPr>
          <w:rFonts w:hint="eastAsia" w:ascii="宋体" w:hAnsi="宋体"/>
          <w:sz w:val="24"/>
        </w:rPr>
        <w:t>报告遵循独立、客观、公正原则、合法原则、价值时点原则、替代原则、最高最佳使用原则。</w:t>
      </w:r>
    </w:p>
    <w:p>
      <w:pPr>
        <w:spacing w:line="360" w:lineRule="auto"/>
        <w:ind w:firstLine="556"/>
        <w:rPr>
          <w:rFonts w:ascii="宋体"/>
          <w:sz w:val="24"/>
        </w:rPr>
      </w:pPr>
      <w:r>
        <w:rPr>
          <w:rFonts w:hint="eastAsia" w:ascii="宋体" w:hAnsi="宋体"/>
          <w:sz w:val="24"/>
        </w:rPr>
        <w:t>独立、客观、公正原则：要求估价机构和估价人员具有完全独立性，从客观实际出发，公平正直的进行估价；</w:t>
      </w:r>
    </w:p>
    <w:p>
      <w:pPr>
        <w:spacing w:line="360" w:lineRule="auto"/>
        <w:ind w:firstLine="556"/>
        <w:rPr>
          <w:rFonts w:ascii="宋体" w:hAnsi="宋体"/>
          <w:sz w:val="24"/>
        </w:rPr>
      </w:pPr>
      <w:r>
        <w:rPr>
          <w:rFonts w:hint="eastAsia" w:ascii="宋体" w:hAnsi="宋体"/>
          <w:sz w:val="24"/>
        </w:rPr>
        <w:t>合法原则：估价对象房地产符合城市规划对土地用途、容积率、覆盖率、建筑规格的要求，即应以估价对象合法使用、合法处分为前提进行估价；</w:t>
      </w:r>
    </w:p>
    <w:p>
      <w:pPr>
        <w:spacing w:line="360" w:lineRule="auto"/>
        <w:ind w:firstLine="556"/>
        <w:rPr>
          <w:rFonts w:ascii="宋体"/>
          <w:sz w:val="24"/>
        </w:rPr>
      </w:pPr>
      <w:r>
        <w:rPr>
          <w:rFonts w:hint="eastAsia" w:ascii="宋体" w:hAnsi="宋体"/>
          <w:sz w:val="24"/>
        </w:rPr>
        <w:t>价值时点原则：房地产市场是不断变化的，同一宗房地产在不同时间往往会有不同的价格，价值与时间密不可分，估价通常是求取估价对象在某一特定时间的价值；</w:t>
      </w:r>
    </w:p>
    <w:p>
      <w:pPr>
        <w:spacing w:line="360" w:lineRule="auto"/>
        <w:ind w:firstLine="556"/>
        <w:rPr>
          <w:rFonts w:ascii="宋体"/>
          <w:sz w:val="24"/>
        </w:rPr>
      </w:pPr>
      <w:r>
        <w:rPr>
          <w:rFonts w:hint="eastAsia" w:ascii="宋体" w:hAnsi="宋体"/>
          <w:sz w:val="24"/>
        </w:rPr>
        <w:t>替代原则：根据经济学原理，同一市场上效用相同的商品价格趋于一致，这一原理同样适用于房地产市场。在评估房地产价格时，可以运用效用相近且已知价格的房地产，与待估房地产进行比较，对其差别加以适当的修正，从而确定待估房地产的价值；</w:t>
      </w:r>
    </w:p>
    <w:p>
      <w:pPr>
        <w:spacing w:line="360" w:lineRule="auto"/>
        <w:ind w:firstLine="556"/>
        <w:rPr>
          <w:rFonts w:ascii="宋体"/>
          <w:sz w:val="24"/>
        </w:rPr>
      </w:pPr>
      <w:r>
        <w:rPr>
          <w:rFonts w:hint="eastAsia" w:ascii="宋体" w:hAnsi="宋体"/>
          <w:sz w:val="24"/>
        </w:rPr>
        <w:t>最高最佳使用原则：估价结果应是在估价对象最高最佳使用下的价值，最高最佳使用是指在法律上许可、技术上可能、经济上可行，能使估价对象发挥最高价值的利用状态。</w:t>
      </w:r>
    </w:p>
    <w:p>
      <w:pPr>
        <w:spacing w:line="360" w:lineRule="auto"/>
        <w:outlineLvl w:val="1"/>
        <w:rPr>
          <w:rFonts w:ascii="宋体"/>
          <w:b/>
          <w:sz w:val="28"/>
          <w:szCs w:val="28"/>
        </w:rPr>
      </w:pPr>
      <w:bookmarkStart w:id="38" w:name="_Toc432601099"/>
      <w:bookmarkStart w:id="39" w:name="_Toc19896"/>
      <w:r>
        <w:rPr>
          <w:rFonts w:hint="eastAsia" w:ascii="宋体" w:hAnsi="宋体"/>
          <w:b/>
          <w:sz w:val="28"/>
          <w:szCs w:val="28"/>
        </w:rPr>
        <w:t>八、估价依据</w:t>
      </w:r>
      <w:bookmarkEnd w:id="38"/>
      <w:bookmarkEnd w:id="39"/>
    </w:p>
    <w:p>
      <w:pPr>
        <w:pStyle w:val="15"/>
        <w:numPr>
          <w:ilvl w:val="0"/>
          <w:numId w:val="3"/>
        </w:numPr>
        <w:adjustRightInd w:val="0"/>
        <w:snapToGrid w:val="0"/>
        <w:spacing w:before="62" w:beforeLines="20" w:line="360" w:lineRule="auto"/>
        <w:rPr>
          <w:rFonts w:hAnsi="宋体"/>
          <w:b/>
          <w:snapToGrid w:val="0"/>
          <w:sz w:val="24"/>
          <w:szCs w:val="24"/>
        </w:rPr>
      </w:pPr>
      <w:r>
        <w:rPr>
          <w:rFonts w:hint="eastAsia" w:hAnsi="宋体"/>
          <w:b/>
          <w:snapToGrid w:val="0"/>
          <w:sz w:val="24"/>
          <w:szCs w:val="24"/>
        </w:rPr>
        <w:t>本次评估所依据的有关法律、法规和部门规章</w:t>
      </w:r>
    </w:p>
    <w:p>
      <w:pPr>
        <w:numPr>
          <w:ilvl w:val="0"/>
          <w:numId w:val="4"/>
        </w:numPr>
        <w:spacing w:line="360" w:lineRule="auto"/>
        <w:rPr>
          <w:rFonts w:ascii="宋体" w:hAnsi="宋体"/>
          <w:sz w:val="24"/>
        </w:rPr>
      </w:pPr>
      <w:r>
        <w:rPr>
          <w:rFonts w:hint="eastAsia" w:ascii="宋体" w:hAnsi="宋体"/>
          <w:sz w:val="24"/>
        </w:rPr>
        <w:t>《中华人民共和国城市房地产管理法》（2019年8月26日第十三届全国人民代表大会常务委员会第十二次会议《关于修改〈中华人民共和国城市房地产管理法〉的决定》第三次修正）；</w:t>
      </w:r>
    </w:p>
    <w:p>
      <w:pPr>
        <w:numPr>
          <w:ilvl w:val="0"/>
          <w:numId w:val="4"/>
        </w:numPr>
        <w:spacing w:line="360" w:lineRule="auto"/>
        <w:rPr>
          <w:rFonts w:ascii="宋体" w:hAnsi="宋体"/>
          <w:sz w:val="24"/>
        </w:rPr>
      </w:pPr>
      <w:r>
        <w:rPr>
          <w:rFonts w:hint="eastAsia" w:ascii="宋体" w:hAnsi="宋体"/>
          <w:sz w:val="24"/>
        </w:rPr>
        <w:t>《中华人民共和国土地管理法》（中华人民共和国主席令第28号，2019年8月26日第十三届全国人民代表大会常务委员会第十二次会议《关于修改〈中华人民共和国土地管理法〉的决定》第三次修正）；</w:t>
      </w:r>
    </w:p>
    <w:p>
      <w:pPr>
        <w:numPr>
          <w:ilvl w:val="0"/>
          <w:numId w:val="4"/>
        </w:numPr>
        <w:spacing w:line="360" w:lineRule="auto"/>
        <w:rPr>
          <w:rFonts w:ascii="宋体" w:hAnsi="宋体"/>
          <w:sz w:val="24"/>
        </w:rPr>
      </w:pPr>
      <w:r>
        <w:rPr>
          <w:rFonts w:hint="eastAsia" w:ascii="宋体" w:hAnsi="宋体"/>
          <w:sz w:val="24"/>
        </w:rPr>
        <w:t>《中华人民共和国资产评估法》（2016年7月2日第十二届全国人民代表大会常务委员会第二十一次会议通过, 自2016年12月1日起施行）；</w:t>
      </w:r>
    </w:p>
    <w:p>
      <w:pPr>
        <w:numPr>
          <w:ilvl w:val="0"/>
          <w:numId w:val="4"/>
        </w:numPr>
        <w:spacing w:line="360" w:lineRule="auto"/>
        <w:rPr>
          <w:rFonts w:ascii="宋体" w:hAnsi="宋体"/>
          <w:sz w:val="24"/>
        </w:rPr>
      </w:pPr>
      <w:r>
        <w:rPr>
          <w:rFonts w:hint="eastAsia" w:ascii="宋体" w:hAnsi="宋体"/>
          <w:sz w:val="24"/>
        </w:rPr>
        <w:t>《中华人民共和国民法典》（中华人民共和国主席令第45号，中华人民共和国第十三届全国人民代表大会第三次会议于2020年5月28日通过，自2021年1月1日起施行）；</w:t>
      </w:r>
    </w:p>
    <w:p>
      <w:pPr>
        <w:numPr>
          <w:ilvl w:val="0"/>
          <w:numId w:val="4"/>
        </w:numPr>
        <w:spacing w:line="360" w:lineRule="auto"/>
        <w:rPr>
          <w:rFonts w:ascii="宋体" w:hAnsi="宋体"/>
          <w:sz w:val="24"/>
        </w:rPr>
      </w:pPr>
      <w:r>
        <w:rPr>
          <w:rFonts w:ascii="宋体" w:hAnsi="宋体"/>
          <w:sz w:val="24"/>
        </w:rPr>
        <w:t>《中华人民共和国城</w:t>
      </w:r>
      <w:r>
        <w:rPr>
          <w:rFonts w:hint="eastAsia" w:ascii="宋体" w:hAnsi="宋体"/>
          <w:sz w:val="24"/>
        </w:rPr>
        <w:t>乡</w:t>
      </w:r>
      <w:r>
        <w:rPr>
          <w:rFonts w:ascii="宋体" w:hAnsi="宋体"/>
          <w:sz w:val="24"/>
        </w:rPr>
        <w:t>规划法》</w:t>
      </w:r>
      <w:r>
        <w:rPr>
          <w:rFonts w:hint="eastAsia" w:ascii="宋体" w:hAnsi="宋体"/>
          <w:sz w:val="24"/>
        </w:rPr>
        <w:t>（</w:t>
      </w:r>
      <w:r>
        <w:rPr>
          <w:rFonts w:ascii="宋体" w:hAnsi="宋体"/>
          <w:sz w:val="24"/>
        </w:rPr>
        <w:t>中华人民共和国第十届全国人民代表大会常务委员会第三十次会议于2007年10月28日通过，现予公布，自2008年1月1日起施行</w:t>
      </w:r>
      <w:r>
        <w:rPr>
          <w:rFonts w:hint="eastAsia" w:ascii="宋体" w:hAnsi="宋体"/>
          <w:sz w:val="24"/>
        </w:rPr>
        <w:t>，2019年4月23日第十三届全国人民代表大会常务委员会第十次会议第二次修正）；</w:t>
      </w:r>
    </w:p>
    <w:p>
      <w:pPr>
        <w:numPr>
          <w:ilvl w:val="0"/>
          <w:numId w:val="4"/>
        </w:numPr>
        <w:spacing w:line="360" w:lineRule="auto"/>
        <w:rPr>
          <w:rFonts w:ascii="宋体" w:hAnsi="宋体"/>
          <w:sz w:val="24"/>
        </w:rPr>
      </w:pPr>
      <w:r>
        <w:rPr>
          <w:rFonts w:hint="eastAsia" w:ascii="宋体" w:hAnsi="宋体"/>
          <w:sz w:val="24"/>
        </w:rPr>
        <w:t>《国家税务总局关于营改增后土地增值税若干征管规定的公告》（国家税务总局公告2016年第70号，自2016年11月10日实施）；</w:t>
      </w:r>
    </w:p>
    <w:p>
      <w:pPr>
        <w:numPr>
          <w:ilvl w:val="0"/>
          <w:numId w:val="4"/>
        </w:numPr>
        <w:spacing w:line="360" w:lineRule="auto"/>
        <w:rPr>
          <w:rFonts w:ascii="宋体" w:hAnsi="宋体"/>
          <w:sz w:val="24"/>
        </w:rPr>
      </w:pPr>
      <w:r>
        <w:rPr>
          <w:rFonts w:hint="eastAsia" w:ascii="宋体" w:hAnsi="宋体"/>
          <w:sz w:val="24"/>
        </w:rPr>
        <w:t>《财政部 国家税务总局关于全面推开营业税改征增值税试点的通知》（财税〔2016〕36号）；</w:t>
      </w:r>
    </w:p>
    <w:p>
      <w:pPr>
        <w:numPr>
          <w:ilvl w:val="0"/>
          <w:numId w:val="4"/>
        </w:numPr>
        <w:spacing w:line="360" w:lineRule="auto"/>
        <w:rPr>
          <w:rFonts w:ascii="宋体" w:hAnsi="宋体"/>
          <w:sz w:val="24"/>
        </w:rPr>
      </w:pPr>
      <w:r>
        <w:rPr>
          <w:rFonts w:hint="eastAsia" w:ascii="宋体" w:hAnsi="宋体"/>
          <w:sz w:val="24"/>
        </w:rPr>
        <w:t>《财政部 国家税务总局 关于扩大有关政府性基金免征范围的通知》（财税〔2016〕12号）；</w:t>
      </w:r>
    </w:p>
    <w:p>
      <w:pPr>
        <w:numPr>
          <w:ilvl w:val="0"/>
          <w:numId w:val="4"/>
        </w:numPr>
        <w:spacing w:line="360" w:lineRule="auto"/>
        <w:rPr>
          <w:rFonts w:ascii="宋体" w:hAnsi="宋体"/>
          <w:sz w:val="24"/>
        </w:rPr>
      </w:pPr>
      <w:r>
        <w:rPr>
          <w:rFonts w:hint="eastAsia" w:ascii="宋体" w:hAnsi="宋体"/>
          <w:sz w:val="24"/>
        </w:rPr>
        <w:t>《国家税务总局关于小规模纳税人免征增值税政策有关征管问题的公告》（国家税务总局公告2019年第4号）；</w:t>
      </w:r>
    </w:p>
    <w:p>
      <w:pPr>
        <w:numPr>
          <w:ilvl w:val="0"/>
          <w:numId w:val="4"/>
        </w:numPr>
        <w:spacing w:line="360" w:lineRule="auto"/>
        <w:rPr>
          <w:rFonts w:ascii="宋体" w:hAnsi="宋体"/>
          <w:sz w:val="24"/>
        </w:rPr>
      </w:pPr>
      <w:r>
        <w:rPr>
          <w:rFonts w:hint="eastAsia" w:ascii="宋体" w:hAnsi="宋体"/>
          <w:sz w:val="24"/>
        </w:rPr>
        <w:t>《最高人民法院关于人民法院民事执行中拍卖、变卖财产的规定》（法释〔2004〕16号）；</w:t>
      </w:r>
    </w:p>
    <w:p>
      <w:pPr>
        <w:numPr>
          <w:ilvl w:val="0"/>
          <w:numId w:val="4"/>
        </w:numPr>
        <w:spacing w:line="360" w:lineRule="auto"/>
        <w:rPr>
          <w:rFonts w:ascii="宋体" w:hAnsi="宋体"/>
          <w:sz w:val="24"/>
        </w:rPr>
      </w:pPr>
      <w:r>
        <w:rPr>
          <w:rFonts w:hint="eastAsia" w:ascii="宋体" w:hAnsi="宋体"/>
          <w:sz w:val="24"/>
        </w:rPr>
        <w:t>《最高人民法院关于人民法院确定财产处置参考价若干问题的规定》（法释〔2018〕15号，自2018年9月1日起施行）；</w:t>
      </w:r>
    </w:p>
    <w:p>
      <w:pPr>
        <w:numPr>
          <w:ilvl w:val="0"/>
          <w:numId w:val="4"/>
        </w:numPr>
        <w:spacing w:line="360" w:lineRule="auto"/>
        <w:rPr>
          <w:rFonts w:ascii="宋体" w:hAnsi="宋体"/>
          <w:sz w:val="24"/>
        </w:rPr>
      </w:pPr>
      <w:r>
        <w:rPr>
          <w:rFonts w:hint="eastAsia" w:ascii="宋体" w:hAnsi="宋体"/>
          <w:sz w:val="24"/>
        </w:rPr>
        <w:t>《最高人民法院办公厅、中国资产评估协会、中国土地估价师与土地登记代理人协会、中国房地产估价师与房地产经纪人学会、中国矿业权评估协会、中国珠宝玉石首饰行业协会、关于印发《人民法院委托评估工作规范》的通知》（法办【2018】273号）；</w:t>
      </w:r>
    </w:p>
    <w:p>
      <w:pPr>
        <w:numPr>
          <w:ilvl w:val="0"/>
          <w:numId w:val="4"/>
        </w:numPr>
        <w:spacing w:line="360" w:lineRule="auto"/>
        <w:rPr>
          <w:rFonts w:ascii="宋体" w:hAnsi="宋体"/>
          <w:sz w:val="24"/>
        </w:rPr>
      </w:pPr>
      <w:r>
        <w:rPr>
          <w:rFonts w:hint="eastAsia" w:ascii="宋体" w:hAnsi="宋体"/>
          <w:sz w:val="24"/>
        </w:rPr>
        <w:t>《最高人民法院办公厅、中国资产评估协会、中国土地估价师与土地登记代理人协会、中国房地产估价师与房地产经纪人学会、中国矿业权评估协会、中国珠宝玉石首饰行业协会、关于印发《人民法院委托评估专业技术评审 工作规范》的通知》（法办〔2019〕364号）；</w:t>
      </w:r>
    </w:p>
    <w:p>
      <w:pPr>
        <w:numPr>
          <w:ilvl w:val="0"/>
          <w:numId w:val="4"/>
        </w:numPr>
        <w:spacing w:line="360" w:lineRule="auto"/>
        <w:rPr>
          <w:rFonts w:ascii="宋体" w:hAnsi="宋体"/>
          <w:sz w:val="24"/>
        </w:rPr>
      </w:pPr>
      <w:r>
        <w:rPr>
          <w:rFonts w:hint="eastAsia" w:ascii="宋体" w:hAnsi="宋体"/>
          <w:sz w:val="24"/>
        </w:rPr>
        <w:t>其他相关配套法规。</w:t>
      </w:r>
    </w:p>
    <w:p>
      <w:pPr>
        <w:pStyle w:val="15"/>
        <w:numPr>
          <w:ilvl w:val="0"/>
          <w:numId w:val="3"/>
        </w:numPr>
        <w:adjustRightInd w:val="0"/>
        <w:snapToGrid w:val="0"/>
        <w:spacing w:before="62" w:beforeLines="20" w:line="360" w:lineRule="auto"/>
        <w:rPr>
          <w:rFonts w:hAnsi="宋体"/>
          <w:b/>
          <w:snapToGrid w:val="0"/>
          <w:sz w:val="24"/>
          <w:szCs w:val="24"/>
        </w:rPr>
      </w:pPr>
      <w:bookmarkStart w:id="40" w:name="_Toc514380986"/>
      <w:r>
        <w:rPr>
          <w:rFonts w:hint="eastAsia" w:hAnsi="宋体"/>
          <w:b/>
          <w:snapToGrid w:val="0"/>
          <w:sz w:val="24"/>
          <w:szCs w:val="24"/>
        </w:rPr>
        <w:t>本次估价采用的</w:t>
      </w:r>
      <w:bookmarkEnd w:id="40"/>
      <w:r>
        <w:rPr>
          <w:rFonts w:hAnsi="宋体"/>
          <w:b/>
          <w:snapToGrid w:val="0"/>
          <w:sz w:val="24"/>
          <w:szCs w:val="24"/>
        </w:rPr>
        <w:t>估价标准</w:t>
      </w:r>
    </w:p>
    <w:p>
      <w:pPr>
        <w:numPr>
          <w:ilvl w:val="0"/>
          <w:numId w:val="5"/>
        </w:numPr>
        <w:spacing w:line="360" w:lineRule="auto"/>
        <w:rPr>
          <w:rFonts w:ascii="宋体" w:hAnsi="宋体"/>
          <w:sz w:val="24"/>
        </w:rPr>
      </w:pPr>
      <w:r>
        <w:rPr>
          <w:rFonts w:hint="eastAsia" w:ascii="宋体" w:hAnsi="宋体"/>
          <w:sz w:val="24"/>
        </w:rPr>
        <w:t>《房地产估价规范》（GB</w:t>
      </w:r>
      <w:r>
        <w:rPr>
          <w:rFonts w:ascii="宋体" w:hAnsi="宋体"/>
          <w:sz w:val="24"/>
        </w:rPr>
        <w:t>/T50291-2015</w:t>
      </w:r>
      <w:r>
        <w:rPr>
          <w:rFonts w:hint="eastAsia" w:ascii="宋体" w:hAnsi="宋体"/>
          <w:sz w:val="24"/>
        </w:rPr>
        <w:t>），</w:t>
      </w:r>
      <w:r>
        <w:fldChar w:fldCharType="begin"/>
      </w:r>
      <w:r>
        <w:instrText xml:space="preserve"> HYPERLINK "http://www.so.com/link?m=aVmt2Fms8LMC1YzqZOlCsZn52GTL2%2BcrUkExW3XVBxwuMpyszOXi6LS3rVxam17RGlq1SpbymdAH4doymtJsPeGdGxFZ7xhVkv5gaK2CFQTK9op%2Fm5SN414qBha%2FQ2wfCuJSVpo1rQdygkE%2FH9ZxMNlD9A7wj5N2lVHe3NO9cKA%2FXlztp4cHYpQ%3D%3D" \t "_blank" </w:instrText>
      </w:r>
      <w:r>
        <w:fldChar w:fldCharType="separate"/>
      </w:r>
      <w:r>
        <w:rPr>
          <w:rFonts w:ascii="宋体" w:hAnsi="宋体"/>
          <w:sz w:val="24"/>
        </w:rPr>
        <w:t>2015年12月1日起实施</w:t>
      </w:r>
      <w:r>
        <w:rPr>
          <w:rFonts w:ascii="宋体" w:hAnsi="宋体"/>
          <w:sz w:val="24"/>
        </w:rPr>
        <w:fldChar w:fldCharType="end"/>
      </w:r>
      <w:r>
        <w:rPr>
          <w:rFonts w:hint="eastAsia" w:ascii="宋体" w:hAnsi="宋体"/>
          <w:sz w:val="24"/>
        </w:rPr>
        <w:t>；</w:t>
      </w:r>
    </w:p>
    <w:p>
      <w:pPr>
        <w:numPr>
          <w:ilvl w:val="0"/>
          <w:numId w:val="5"/>
        </w:numPr>
        <w:spacing w:line="360" w:lineRule="auto"/>
        <w:rPr>
          <w:rFonts w:ascii="宋体" w:hAnsi="宋体"/>
          <w:sz w:val="24"/>
        </w:rPr>
      </w:pPr>
      <w:r>
        <w:rPr>
          <w:rFonts w:hint="eastAsia" w:ascii="宋体" w:hAnsi="宋体"/>
          <w:bCs/>
          <w:color w:val="000000"/>
          <w:sz w:val="24"/>
        </w:rPr>
        <w:t>《房地产估价基本术语标准》【GB/T 50899-2013】</w:t>
      </w:r>
      <w:r>
        <w:rPr>
          <w:rFonts w:hint="eastAsia" w:ascii="宋体" w:hAnsi="宋体"/>
          <w:sz w:val="24"/>
        </w:rPr>
        <w:t>；</w:t>
      </w:r>
    </w:p>
    <w:p>
      <w:pPr>
        <w:numPr>
          <w:ilvl w:val="0"/>
          <w:numId w:val="5"/>
        </w:numPr>
        <w:spacing w:line="360" w:lineRule="auto"/>
        <w:rPr>
          <w:rFonts w:ascii="宋体" w:hAnsi="宋体"/>
          <w:color w:val="FF0000"/>
          <w:sz w:val="24"/>
        </w:rPr>
      </w:pPr>
      <w:r>
        <w:rPr>
          <w:rFonts w:hint="eastAsia" w:ascii="宋体" w:hAnsi="宋体"/>
          <w:color w:val="FF0000"/>
          <w:sz w:val="24"/>
        </w:rPr>
        <w:t>《涉执房地产处置司法评估指导意见（试行）》，2021年9月1日</w:t>
      </w:r>
      <w:r>
        <w:rPr>
          <w:rFonts w:ascii="宋体" w:hAnsi="宋体"/>
          <w:color w:val="FF0000"/>
          <w:sz w:val="24"/>
        </w:rPr>
        <w:t>起施行。</w:t>
      </w:r>
    </w:p>
    <w:p>
      <w:pPr>
        <w:pStyle w:val="15"/>
        <w:numPr>
          <w:ilvl w:val="0"/>
          <w:numId w:val="3"/>
        </w:numPr>
        <w:adjustRightInd w:val="0"/>
        <w:snapToGrid w:val="0"/>
        <w:spacing w:before="62" w:beforeLines="20" w:line="360" w:lineRule="auto"/>
        <w:rPr>
          <w:rFonts w:hAnsi="宋体"/>
          <w:b/>
          <w:snapToGrid w:val="0"/>
          <w:sz w:val="24"/>
          <w:szCs w:val="24"/>
        </w:rPr>
      </w:pPr>
      <w:r>
        <w:rPr>
          <w:rFonts w:hint="eastAsia" w:hAnsi="宋体"/>
          <w:b/>
          <w:snapToGrid w:val="0"/>
          <w:sz w:val="24"/>
          <w:szCs w:val="24"/>
        </w:rPr>
        <w:t>委托方提供的有关资料</w:t>
      </w:r>
    </w:p>
    <w:p>
      <w:pPr>
        <w:numPr>
          <w:ilvl w:val="0"/>
          <w:numId w:val="6"/>
        </w:numPr>
        <w:spacing w:line="360" w:lineRule="auto"/>
        <w:rPr>
          <w:rFonts w:ascii="宋体"/>
          <w:sz w:val="24"/>
        </w:rPr>
      </w:pPr>
      <w:r>
        <w:rPr>
          <w:rFonts w:hint="eastAsia" w:ascii="宋体"/>
          <w:sz w:val="24"/>
        </w:rPr>
        <w:t>寻甸回族彝族自治县人民法院</w:t>
      </w:r>
      <w:r>
        <w:rPr>
          <w:rFonts w:ascii="宋体"/>
          <w:sz w:val="24"/>
        </w:rPr>
        <w:t>出具的</w:t>
      </w:r>
      <w:r>
        <w:rPr>
          <w:rFonts w:hint="eastAsia" w:ascii="宋体"/>
          <w:sz w:val="24"/>
        </w:rPr>
        <w:t>评估</w:t>
      </w:r>
      <w:r>
        <w:rPr>
          <w:rFonts w:ascii="宋体"/>
          <w:sz w:val="24"/>
        </w:rPr>
        <w:t>委托书</w:t>
      </w:r>
      <w:r>
        <w:rPr>
          <w:rFonts w:hint="eastAsia" w:ascii="宋体"/>
          <w:sz w:val="24"/>
        </w:rPr>
        <w:t>；</w:t>
      </w:r>
    </w:p>
    <w:p>
      <w:pPr>
        <w:numPr>
          <w:ilvl w:val="0"/>
          <w:numId w:val="6"/>
        </w:numPr>
        <w:spacing w:line="360" w:lineRule="auto"/>
        <w:rPr>
          <w:rFonts w:ascii="宋体"/>
          <w:sz w:val="24"/>
        </w:rPr>
      </w:pPr>
      <w:r>
        <w:rPr>
          <w:rFonts w:hint="eastAsia" w:ascii="宋体" w:hAnsi="宋体"/>
          <w:sz w:val="24"/>
        </w:rPr>
        <w:t>估价对象产权</w:t>
      </w:r>
      <w:r>
        <w:rPr>
          <w:rFonts w:ascii="宋体" w:hAnsi="宋体"/>
          <w:sz w:val="24"/>
        </w:rPr>
        <w:t>证书</w:t>
      </w:r>
      <w:r>
        <w:rPr>
          <w:rFonts w:hint="eastAsia" w:ascii="宋体" w:hAnsi="宋体"/>
          <w:sz w:val="24"/>
        </w:rPr>
        <w:t>；</w:t>
      </w:r>
    </w:p>
    <w:p>
      <w:pPr>
        <w:numPr>
          <w:ilvl w:val="0"/>
          <w:numId w:val="6"/>
        </w:numPr>
        <w:spacing w:line="360" w:lineRule="auto"/>
        <w:rPr>
          <w:rFonts w:ascii="宋体"/>
          <w:sz w:val="24"/>
        </w:rPr>
      </w:pPr>
      <w:r>
        <w:rPr>
          <w:rFonts w:hint="eastAsia" w:ascii="宋体" w:hAnsi="宋体"/>
          <w:sz w:val="24"/>
        </w:rPr>
        <w:t>其他相关资料。</w:t>
      </w:r>
    </w:p>
    <w:p>
      <w:pPr>
        <w:pStyle w:val="15"/>
        <w:numPr>
          <w:ilvl w:val="0"/>
          <w:numId w:val="3"/>
        </w:numPr>
        <w:adjustRightInd w:val="0"/>
        <w:snapToGrid w:val="0"/>
        <w:spacing w:before="62" w:beforeLines="20" w:line="360" w:lineRule="auto"/>
        <w:rPr>
          <w:rFonts w:hAnsi="宋体"/>
          <w:b/>
          <w:snapToGrid w:val="0"/>
          <w:sz w:val="24"/>
          <w:szCs w:val="24"/>
        </w:rPr>
      </w:pPr>
      <w:r>
        <w:rPr>
          <w:rFonts w:hint="eastAsia" w:hAnsi="宋体"/>
          <w:b/>
          <w:snapToGrid w:val="0"/>
          <w:sz w:val="24"/>
          <w:szCs w:val="24"/>
        </w:rPr>
        <w:t>估价机构和估价人员现场勘查及调查了解所掌获的有关资料</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估价</w:t>
      </w:r>
      <w:r>
        <w:rPr>
          <w:rFonts w:hAnsi="宋体"/>
          <w:snapToGrid w:val="0"/>
          <w:sz w:val="24"/>
          <w:szCs w:val="24"/>
        </w:rPr>
        <w:t>人员到当地</w:t>
      </w:r>
      <w:r>
        <w:rPr>
          <w:rFonts w:hint="eastAsia" w:hAnsi="宋体"/>
          <w:snapToGrid w:val="0"/>
          <w:sz w:val="24"/>
          <w:szCs w:val="24"/>
        </w:rPr>
        <w:t>产权</w:t>
      </w:r>
      <w:r>
        <w:rPr>
          <w:rFonts w:hAnsi="宋体"/>
          <w:snapToGrid w:val="0"/>
          <w:sz w:val="24"/>
          <w:szCs w:val="24"/>
        </w:rPr>
        <w:t>管理部门获取的</w:t>
      </w:r>
      <w:r>
        <w:rPr>
          <w:rFonts w:hint="eastAsia" w:hAnsi="宋体"/>
          <w:bCs/>
          <w:snapToGrid w:val="0"/>
          <w:sz w:val="24"/>
          <w:szCs w:val="24"/>
        </w:rPr>
        <w:t>查档资料；</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估价人员现场查勘、拍照和记录；</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估价机构掌握的房地产市场交易信息；</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区域内的建筑工程造价信息；</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估价对象周围房地产投资回报情况；</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人民银行公布的资金存、贷款利率；</w:t>
      </w:r>
    </w:p>
    <w:p>
      <w:pPr>
        <w:pStyle w:val="15"/>
        <w:numPr>
          <w:ilvl w:val="0"/>
          <w:numId w:val="7"/>
        </w:numPr>
        <w:adjustRightInd w:val="0"/>
        <w:snapToGrid w:val="0"/>
        <w:spacing w:before="62" w:beforeLines="20" w:line="360" w:lineRule="auto"/>
        <w:rPr>
          <w:rFonts w:hAnsi="宋体"/>
          <w:snapToGrid w:val="0"/>
          <w:sz w:val="24"/>
          <w:szCs w:val="24"/>
        </w:rPr>
      </w:pPr>
      <w:r>
        <w:rPr>
          <w:rFonts w:hint="eastAsia" w:hAnsi="宋体"/>
          <w:snapToGrid w:val="0"/>
          <w:sz w:val="24"/>
          <w:szCs w:val="24"/>
        </w:rPr>
        <w:t>估价机构及估价人员掌握的其他相关信息资料。</w:t>
      </w:r>
    </w:p>
    <w:p>
      <w:pPr>
        <w:spacing w:line="500" w:lineRule="exact"/>
        <w:outlineLvl w:val="1"/>
        <w:rPr>
          <w:rFonts w:ascii="宋体"/>
          <w:b/>
          <w:sz w:val="28"/>
          <w:szCs w:val="28"/>
        </w:rPr>
      </w:pPr>
      <w:bookmarkStart w:id="41" w:name="_Toc432601100"/>
      <w:bookmarkStart w:id="42" w:name="_Toc28760"/>
      <w:r>
        <w:rPr>
          <w:rFonts w:hint="eastAsia" w:ascii="宋体" w:hAnsi="宋体"/>
          <w:b/>
          <w:sz w:val="28"/>
          <w:szCs w:val="28"/>
        </w:rPr>
        <w:t>九、估价方法</w:t>
      </w:r>
      <w:bookmarkEnd w:id="41"/>
      <w:bookmarkEnd w:id="42"/>
    </w:p>
    <w:p>
      <w:pPr>
        <w:pStyle w:val="15"/>
        <w:numPr>
          <w:ilvl w:val="0"/>
          <w:numId w:val="8"/>
        </w:numPr>
        <w:adjustRightInd w:val="0"/>
        <w:snapToGrid w:val="0"/>
        <w:spacing w:before="62" w:beforeLines="20" w:line="360" w:lineRule="auto"/>
        <w:rPr>
          <w:rFonts w:hAnsi="宋体"/>
          <w:snapToGrid w:val="0"/>
          <w:sz w:val="24"/>
          <w:szCs w:val="24"/>
        </w:rPr>
      </w:pPr>
      <w:r>
        <w:rPr>
          <w:rFonts w:hint="eastAsia" w:hAnsi="宋体"/>
          <w:snapToGrid w:val="0"/>
          <w:sz w:val="24"/>
          <w:szCs w:val="24"/>
        </w:rPr>
        <w:t>评估方法的选用</w:t>
      </w:r>
    </w:p>
    <w:p>
      <w:pPr>
        <w:spacing w:line="360" w:lineRule="auto"/>
        <w:ind w:firstLine="555"/>
        <w:rPr>
          <w:rFonts w:ascii="宋体"/>
          <w:sz w:val="24"/>
        </w:rPr>
      </w:pPr>
      <w:r>
        <w:rPr>
          <w:rFonts w:hint="eastAsia" w:ascii="宋体" w:hAnsi="宋体"/>
          <w:sz w:val="24"/>
        </w:rPr>
        <w:t>常见的房地产估价方法有比较法、收益法、成本法、假设开发法四种方法。</w:t>
      </w:r>
    </w:p>
    <w:p>
      <w:pPr>
        <w:spacing w:line="360" w:lineRule="auto"/>
        <w:ind w:firstLine="555"/>
        <w:rPr>
          <w:rFonts w:ascii="宋体"/>
          <w:sz w:val="24"/>
        </w:rPr>
      </w:pPr>
      <w:r>
        <w:rPr>
          <w:rFonts w:hint="eastAsia" w:ascii="宋体" w:hAnsi="宋体"/>
          <w:sz w:val="24"/>
        </w:rPr>
        <w:t>根据《房地产估价规范》，有条件选用比较法进行估价的，应以比较法为主要的估价方法。收益性房地产的估价，应选用收益法作为其中的一种估价方法。具有投资开发或再开发潜力的房地产的估价，应选用假设开发法作为其中的一种估价方法。在无市场依据或市场依据不充分而不宜采用比较法、收益法、假设开发法进行估价的情况下，可采用成本法作为主要的估价方法。</w:t>
      </w:r>
    </w:p>
    <w:p>
      <w:pPr>
        <w:spacing w:line="360" w:lineRule="auto"/>
        <w:ind w:firstLine="555"/>
        <w:rPr>
          <w:rFonts w:ascii="宋体"/>
          <w:sz w:val="24"/>
        </w:rPr>
      </w:pPr>
      <w:r>
        <w:rPr>
          <w:rFonts w:hint="eastAsia" w:ascii="宋体" w:hAnsi="宋体"/>
          <w:sz w:val="24"/>
        </w:rPr>
        <w:t>在确定估价方法时，我们基于以下考虑：</w:t>
      </w:r>
    </w:p>
    <w:p>
      <w:pPr>
        <w:numPr>
          <w:ilvl w:val="0"/>
          <w:numId w:val="9"/>
        </w:numPr>
        <w:spacing w:line="360" w:lineRule="auto"/>
        <w:rPr>
          <w:rFonts w:ascii="宋体"/>
          <w:sz w:val="24"/>
        </w:rPr>
      </w:pPr>
      <w:r>
        <w:rPr>
          <w:rFonts w:hint="eastAsia" w:ascii="宋体" w:hAnsi="宋体"/>
          <w:sz w:val="24"/>
        </w:rPr>
        <w:t>本次估价对象法定用途为住宅，现实用途为住宅，周边类似房地产市场交易活跃，交易案例丰富，适宜采用比较法；</w:t>
      </w:r>
    </w:p>
    <w:p>
      <w:pPr>
        <w:numPr>
          <w:ilvl w:val="0"/>
          <w:numId w:val="9"/>
        </w:numPr>
        <w:spacing w:line="360" w:lineRule="auto"/>
        <w:rPr>
          <w:rFonts w:ascii="宋体" w:hAnsi="宋体"/>
          <w:sz w:val="24"/>
        </w:rPr>
      </w:pPr>
      <w:r>
        <w:rPr>
          <w:rFonts w:hint="eastAsia" w:ascii="宋体" w:hAnsi="宋体"/>
          <w:sz w:val="24"/>
        </w:rPr>
        <w:t>估价对象为具有收益或潜在收益的物业，租赁价格易于取得，相关的经营成本及税费也易于确定，但由于近年来禄劝县住宅类房地产成交价格持续上扬，租赁价格变化不大，造成房地产租售比严重偏离，不宜选用收益法；</w:t>
      </w:r>
    </w:p>
    <w:p>
      <w:pPr>
        <w:numPr>
          <w:ilvl w:val="0"/>
          <w:numId w:val="9"/>
        </w:numPr>
        <w:spacing w:line="360" w:lineRule="auto"/>
        <w:rPr>
          <w:rFonts w:ascii="宋体"/>
          <w:sz w:val="24"/>
        </w:rPr>
      </w:pPr>
      <w:r>
        <w:rPr>
          <w:rFonts w:hint="eastAsia" w:ascii="宋体" w:hAnsi="宋体"/>
          <w:sz w:val="24"/>
        </w:rPr>
        <w:t>近几年，禄劝县房地产市场的快速发展，房地产市场超额垄断利润的存在使得价格水平已经远远偏离了成本，且</w:t>
      </w:r>
      <w:r>
        <w:rPr>
          <w:rFonts w:ascii="宋体" w:hAnsi="宋体"/>
          <w:sz w:val="24"/>
        </w:rPr>
        <w:t>估价对象为经营性物业，有活跃的交易市场及现实和潜在的客观收益，</w:t>
      </w:r>
      <w:r>
        <w:rPr>
          <w:rFonts w:hint="eastAsia" w:ascii="宋体" w:hAnsi="宋体"/>
          <w:sz w:val="24"/>
        </w:rPr>
        <w:t>采用成本法难以反映目前正常的价格水平；</w:t>
      </w:r>
    </w:p>
    <w:p>
      <w:pPr>
        <w:numPr>
          <w:ilvl w:val="0"/>
          <w:numId w:val="9"/>
        </w:numPr>
        <w:spacing w:line="520" w:lineRule="exact"/>
        <w:rPr>
          <w:rFonts w:ascii="宋体"/>
          <w:sz w:val="24"/>
        </w:rPr>
      </w:pPr>
      <w:r>
        <w:rPr>
          <w:rFonts w:hint="eastAsia" w:ascii="宋体" w:hAnsi="宋体"/>
          <w:sz w:val="24"/>
        </w:rPr>
        <w:t>估价对象为为已建成使用物业，且符合最高最佳使用，不具备假设开发法进行估价的</w:t>
      </w:r>
      <w:r>
        <w:rPr>
          <w:rFonts w:ascii="宋体" w:hAnsi="宋体"/>
          <w:sz w:val="24"/>
        </w:rPr>
        <w:t>条件</w:t>
      </w:r>
      <w:r>
        <w:rPr>
          <w:rFonts w:hint="eastAsia" w:ascii="宋体" w:hAnsi="宋体"/>
          <w:sz w:val="24"/>
        </w:rPr>
        <w:t>。</w:t>
      </w:r>
    </w:p>
    <w:p>
      <w:pPr>
        <w:pStyle w:val="15"/>
        <w:numPr>
          <w:ilvl w:val="0"/>
          <w:numId w:val="8"/>
        </w:numPr>
        <w:adjustRightInd w:val="0"/>
        <w:snapToGrid w:val="0"/>
        <w:spacing w:before="62" w:beforeLines="20" w:line="360" w:lineRule="auto"/>
        <w:rPr>
          <w:rFonts w:hAnsi="宋体"/>
          <w:snapToGrid w:val="0"/>
          <w:sz w:val="24"/>
          <w:szCs w:val="24"/>
        </w:rPr>
      </w:pPr>
      <w:r>
        <w:rPr>
          <w:rFonts w:hint="eastAsia" w:hAnsi="宋体"/>
          <w:snapToGrid w:val="0"/>
          <w:sz w:val="24"/>
          <w:szCs w:val="24"/>
        </w:rPr>
        <w:t>评估方法说明</w:t>
      </w:r>
    </w:p>
    <w:p>
      <w:pPr>
        <w:spacing w:line="360" w:lineRule="auto"/>
        <w:ind w:firstLine="555"/>
        <w:rPr>
          <w:rFonts w:ascii="宋体"/>
          <w:sz w:val="24"/>
        </w:rPr>
      </w:pPr>
      <w:r>
        <w:rPr>
          <w:rFonts w:hint="eastAsia" w:ascii="宋体" w:hAnsi="宋体"/>
          <w:sz w:val="24"/>
        </w:rPr>
        <w:t>本次采用比较法进行评估。</w:t>
      </w:r>
    </w:p>
    <w:p>
      <w:pPr>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比较法技术路线：通过估价对象与在价值时点近期有过交易的类似房地产进行比较，选取可比实例，建立价格可比基础，并对这些可比实例的已知价格分别进行交易情况修正、交易日期修正、区位状况修正、实物状况修正、权益状况修正，以估算估价对象的客观合理价格。</w:t>
      </w:r>
    </w:p>
    <w:p>
      <w:pPr>
        <w:spacing w:line="360" w:lineRule="auto"/>
        <w:ind w:firstLine="555"/>
        <w:rPr>
          <w:rFonts w:ascii="宋体"/>
          <w:sz w:val="24"/>
        </w:rPr>
      </w:pPr>
      <w:r>
        <w:rPr>
          <w:rFonts w:hint="eastAsia" w:ascii="宋体" w:hAnsi="宋体"/>
          <w:sz w:val="24"/>
        </w:rPr>
        <w:t>其修正公式为：</w:t>
      </w:r>
    </w:p>
    <w:p>
      <w:pPr>
        <w:spacing w:line="360" w:lineRule="auto"/>
        <w:ind w:firstLine="555"/>
        <w:rPr>
          <w:rFonts w:ascii="宋体"/>
          <w:sz w:val="24"/>
        </w:rPr>
      </w:pPr>
      <w:r>
        <w:rPr>
          <w:rFonts w:hint="eastAsia" w:ascii="宋体" w:hAnsi="宋体"/>
          <w:sz w:val="24"/>
        </w:rPr>
        <w:t>估价对象价格</w:t>
      </w:r>
      <w:r>
        <w:rPr>
          <w:rFonts w:ascii="宋体" w:hAnsi="宋体"/>
          <w:sz w:val="24"/>
        </w:rPr>
        <w:t>=</w:t>
      </w:r>
      <w:r>
        <w:rPr>
          <w:rFonts w:hint="eastAsia" w:ascii="宋体" w:hAnsi="宋体"/>
          <w:sz w:val="24"/>
        </w:rPr>
        <w:t>可比实例价格×交易情况修正系数×交易日期修正系数×区位状况修正系数×实物状况修正系数×权益状况修正系数</w:t>
      </w:r>
    </w:p>
    <w:p>
      <w:pPr>
        <w:spacing w:line="360" w:lineRule="auto"/>
        <w:outlineLvl w:val="1"/>
        <w:rPr>
          <w:rFonts w:ascii="宋体"/>
          <w:b/>
          <w:sz w:val="28"/>
          <w:szCs w:val="28"/>
        </w:rPr>
      </w:pPr>
      <w:bookmarkStart w:id="43" w:name="_Toc432601101"/>
      <w:bookmarkStart w:id="44" w:name="_Toc26058"/>
      <w:r>
        <w:rPr>
          <w:rFonts w:hint="eastAsia" w:ascii="宋体" w:hAnsi="宋体"/>
          <w:b/>
          <w:sz w:val="28"/>
          <w:szCs w:val="28"/>
        </w:rPr>
        <w:t>十、估价结果</w:t>
      </w:r>
      <w:bookmarkEnd w:id="43"/>
      <w:bookmarkEnd w:id="44"/>
    </w:p>
    <w:p>
      <w:pPr>
        <w:pStyle w:val="15"/>
        <w:adjustRightInd w:val="0"/>
        <w:snapToGrid w:val="0"/>
        <w:spacing w:before="62" w:beforeLines="20" w:line="360" w:lineRule="auto"/>
        <w:ind w:firstLine="470" w:firstLineChars="196"/>
        <w:rPr>
          <w:rFonts w:hAnsi="宋体"/>
          <w:snapToGrid w:val="0"/>
          <w:sz w:val="24"/>
        </w:rPr>
      </w:pPr>
      <w:r>
        <w:rPr>
          <w:rFonts w:hint="eastAsia" w:hAnsi="宋体"/>
          <w:sz w:val="24"/>
        </w:rPr>
        <w:t>估价人员根据估价目的，遵循估价原则，根据市场调查，在认真分析所掌握资料与影响估价对象价值诸因素的基础上，结合估价对象的个别因素和使用现状，采用科学的估价方法进行分析、测算和判断，最终确定估价对象在价值时点的</w:t>
      </w:r>
      <w:bookmarkStart w:id="45" w:name="_Toc331167863"/>
      <w:r>
        <w:rPr>
          <w:rFonts w:hint="eastAsia" w:hAnsi="宋体"/>
          <w:snapToGrid w:val="0"/>
          <w:sz w:val="24"/>
        </w:rPr>
        <w:t>估价结果为人民币：</w:t>
      </w:r>
    </w:p>
    <w:p>
      <w:pPr>
        <w:spacing w:line="360" w:lineRule="auto"/>
        <w:ind w:firstLine="482" w:firstLineChars="200"/>
        <w:rPr>
          <w:rFonts w:ascii="宋体" w:hAnsi="宋体"/>
          <w:b/>
          <w:snapToGrid w:val="0"/>
          <w:kern w:val="0"/>
          <w:sz w:val="24"/>
          <w:szCs w:val="20"/>
        </w:rPr>
      </w:pPr>
      <w:bookmarkStart w:id="46" w:name="_Toc432601102"/>
      <w:r>
        <w:rPr>
          <w:rFonts w:hint="eastAsia" w:ascii="宋体" w:hAnsi="宋体"/>
          <w:b/>
          <w:snapToGrid w:val="0"/>
          <w:kern w:val="0"/>
          <w:sz w:val="24"/>
          <w:szCs w:val="20"/>
        </w:rPr>
        <w:t>币种</w:t>
      </w:r>
      <w:r>
        <w:rPr>
          <w:rFonts w:ascii="宋体" w:hAnsi="宋体"/>
          <w:b/>
          <w:snapToGrid w:val="0"/>
          <w:kern w:val="0"/>
          <w:sz w:val="24"/>
          <w:szCs w:val="20"/>
        </w:rPr>
        <w:t>：人民币</w:t>
      </w:r>
    </w:p>
    <w:bookmarkEnd w:id="46"/>
    <w:p>
      <w:pPr>
        <w:spacing w:line="360" w:lineRule="auto"/>
        <w:ind w:firstLine="482" w:firstLineChars="200"/>
        <w:rPr>
          <w:rFonts w:ascii="宋体" w:hAnsi="宋体"/>
          <w:b/>
          <w:snapToGrid w:val="0"/>
          <w:kern w:val="0"/>
          <w:sz w:val="24"/>
          <w:szCs w:val="20"/>
        </w:rPr>
      </w:pPr>
      <w:bookmarkStart w:id="47" w:name="_Toc420398889"/>
      <w:r>
        <w:rPr>
          <w:rFonts w:hint="eastAsia" w:ascii="宋体" w:hAnsi="宋体"/>
          <w:b/>
          <w:snapToGrid w:val="0"/>
          <w:kern w:val="0"/>
          <w:sz w:val="24"/>
          <w:szCs w:val="20"/>
        </w:rPr>
        <w:t>单价：4758元/平方米</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总价：</w:t>
      </w:r>
      <w:r>
        <w:rPr>
          <w:rFonts w:ascii="宋体" w:hAnsi="宋体"/>
          <w:b/>
          <w:snapToGrid w:val="0"/>
          <w:kern w:val="0"/>
          <w:sz w:val="24"/>
          <w:szCs w:val="20"/>
        </w:rPr>
        <w:t>35.4709</w:t>
      </w:r>
      <w:r>
        <w:rPr>
          <w:rFonts w:hint="eastAsia" w:ascii="宋体" w:hAnsi="宋体"/>
          <w:b/>
          <w:snapToGrid w:val="0"/>
          <w:kern w:val="0"/>
          <w:sz w:val="24"/>
          <w:szCs w:val="20"/>
        </w:rPr>
        <w:t>万元</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大写</w:t>
      </w:r>
      <w:r>
        <w:rPr>
          <w:rFonts w:ascii="宋体" w:hAnsi="宋体"/>
          <w:b/>
          <w:snapToGrid w:val="0"/>
          <w:kern w:val="0"/>
          <w:sz w:val="24"/>
          <w:szCs w:val="20"/>
        </w:rPr>
        <w:t>:叁拾伍万肆仟柒佰零玖</w:t>
      </w:r>
      <w:r>
        <w:rPr>
          <w:rFonts w:hint="eastAsia" w:ascii="宋体" w:hAnsi="宋体"/>
          <w:b/>
          <w:snapToGrid w:val="0"/>
          <w:kern w:val="0"/>
          <w:sz w:val="24"/>
          <w:szCs w:val="20"/>
        </w:rPr>
        <w:t>元整</w:t>
      </w:r>
    </w:p>
    <w:p>
      <w:pPr>
        <w:spacing w:line="360" w:lineRule="auto"/>
        <w:ind w:firstLine="482" w:firstLineChars="200"/>
        <w:rPr>
          <w:rFonts w:ascii="宋体" w:hAnsi="宋体"/>
          <w:b/>
          <w:snapToGrid w:val="0"/>
          <w:kern w:val="0"/>
          <w:sz w:val="24"/>
          <w:szCs w:val="20"/>
        </w:rPr>
      </w:pPr>
      <w:r>
        <w:rPr>
          <w:rFonts w:hint="eastAsia" w:ascii="宋体" w:hAnsi="宋体"/>
          <w:b/>
          <w:snapToGrid w:val="0"/>
          <w:kern w:val="0"/>
          <w:sz w:val="24"/>
          <w:szCs w:val="20"/>
        </w:rPr>
        <w:t>（详见评估结果明细表）</w:t>
      </w:r>
    </w:p>
    <w:p>
      <w:pPr>
        <w:tabs>
          <w:tab w:val="left" w:pos="2880"/>
        </w:tabs>
        <w:spacing w:line="360" w:lineRule="auto"/>
        <w:jc w:val="center"/>
        <w:rPr>
          <w:rFonts w:ascii="宋体" w:hAnsi="宋体"/>
          <w:b/>
          <w:sz w:val="24"/>
        </w:rPr>
      </w:pPr>
    </w:p>
    <w:p>
      <w:pPr>
        <w:tabs>
          <w:tab w:val="left" w:pos="2880"/>
        </w:tabs>
        <w:spacing w:line="360" w:lineRule="auto"/>
        <w:jc w:val="center"/>
        <w:rPr>
          <w:rFonts w:ascii="宋体" w:hAnsi="宋体"/>
          <w:b/>
          <w:sz w:val="24"/>
        </w:rPr>
      </w:pPr>
    </w:p>
    <w:p>
      <w:pPr>
        <w:tabs>
          <w:tab w:val="left" w:pos="2880"/>
        </w:tabs>
        <w:spacing w:line="360" w:lineRule="auto"/>
        <w:jc w:val="center"/>
        <w:rPr>
          <w:rFonts w:ascii="宋体"/>
          <w:b/>
          <w:sz w:val="24"/>
        </w:rPr>
      </w:pPr>
      <w:r>
        <w:rPr>
          <w:rFonts w:hint="eastAsia" w:ascii="宋体" w:hAnsi="宋体"/>
          <w:b/>
          <w:sz w:val="24"/>
        </w:rPr>
        <w:t>评估结果明细表</w:t>
      </w:r>
    </w:p>
    <w:tbl>
      <w:tblPr>
        <w:tblStyle w:val="31"/>
        <w:tblW w:w="507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7"/>
        <w:gridCol w:w="1556"/>
        <w:gridCol w:w="1056"/>
        <w:gridCol w:w="964"/>
        <w:gridCol w:w="706"/>
        <w:gridCol w:w="806"/>
        <w:gridCol w:w="967"/>
        <w:gridCol w:w="1062"/>
        <w:gridCol w:w="1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247"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899"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估价对象</w:t>
            </w:r>
          </w:p>
        </w:tc>
        <w:tc>
          <w:tcPr>
            <w:tcW w:w="610"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权利证书号</w:t>
            </w:r>
          </w:p>
        </w:tc>
        <w:tc>
          <w:tcPr>
            <w:tcW w:w="557"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产权人</w:t>
            </w:r>
          </w:p>
        </w:tc>
        <w:tc>
          <w:tcPr>
            <w:tcW w:w="408" w:type="pct"/>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用途</w:t>
            </w:r>
          </w:p>
        </w:tc>
        <w:tc>
          <w:tcPr>
            <w:tcW w:w="466"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所在层数</w:t>
            </w:r>
          </w:p>
        </w:tc>
        <w:tc>
          <w:tcPr>
            <w:tcW w:w="559"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建筑面积（㎡）</w:t>
            </w:r>
          </w:p>
        </w:tc>
        <w:tc>
          <w:tcPr>
            <w:tcW w:w="614"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评估单价（元/㎡）</w:t>
            </w:r>
          </w:p>
        </w:tc>
        <w:tc>
          <w:tcPr>
            <w:tcW w:w="640" w:type="pct"/>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评估总价（万元）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247" w:type="pct"/>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899"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禄劝县城五星路25号五交化1幢1-402号</w:t>
            </w:r>
          </w:p>
        </w:tc>
        <w:tc>
          <w:tcPr>
            <w:tcW w:w="610"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禄劝字第20110738号</w:t>
            </w:r>
          </w:p>
        </w:tc>
        <w:tc>
          <w:tcPr>
            <w:tcW w:w="557"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王顺芬</w:t>
            </w:r>
          </w:p>
        </w:tc>
        <w:tc>
          <w:tcPr>
            <w:tcW w:w="408" w:type="pct"/>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住宅</w:t>
            </w:r>
          </w:p>
        </w:tc>
        <w:tc>
          <w:tcPr>
            <w:tcW w:w="466" w:type="pct"/>
            <w:shd w:val="clear" w:color="auto" w:fill="auto"/>
            <w:vAlign w:val="center"/>
          </w:tcPr>
          <w:p>
            <w:pPr>
              <w:jc w:val="center"/>
              <w:rPr>
                <w:rFonts w:asciiTheme="minorEastAsia" w:hAnsiTheme="minorEastAsia" w:eastAsiaTheme="minorEastAsia"/>
                <w:szCs w:val="21"/>
              </w:rPr>
            </w:pPr>
            <w:r>
              <w:rPr>
                <w:rFonts w:asciiTheme="minorEastAsia" w:hAnsiTheme="minorEastAsia" w:eastAsiaTheme="minorEastAsia"/>
                <w:color w:val="000000"/>
                <w:szCs w:val="21"/>
              </w:rPr>
              <w:t>4</w:t>
            </w:r>
          </w:p>
        </w:tc>
        <w:tc>
          <w:tcPr>
            <w:tcW w:w="559"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74.55</w:t>
            </w:r>
          </w:p>
        </w:tc>
        <w:tc>
          <w:tcPr>
            <w:tcW w:w="614" w:type="pct"/>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color w:val="000000"/>
                <w:szCs w:val="21"/>
              </w:rPr>
              <w:t>4758</w:t>
            </w:r>
          </w:p>
        </w:tc>
        <w:tc>
          <w:tcPr>
            <w:tcW w:w="640" w:type="pct"/>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color w:val="000000"/>
                <w:szCs w:val="21"/>
              </w:rPr>
              <w:t>35.4709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187" w:type="pct"/>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559" w:type="pct"/>
            <w:shd w:val="clear" w:color="auto" w:fill="auto"/>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color w:val="000000"/>
                <w:szCs w:val="21"/>
              </w:rPr>
              <w:t>74.55</w:t>
            </w:r>
          </w:p>
        </w:tc>
        <w:tc>
          <w:tcPr>
            <w:tcW w:w="61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w:t>
            </w:r>
          </w:p>
        </w:tc>
        <w:tc>
          <w:tcPr>
            <w:tcW w:w="640"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35.4709</w:t>
            </w:r>
          </w:p>
        </w:tc>
      </w:tr>
    </w:tbl>
    <w:p>
      <w:pPr>
        <w:spacing w:line="360" w:lineRule="auto"/>
        <w:ind w:firstLine="482" w:firstLineChars="200"/>
        <w:rPr>
          <w:rFonts w:ascii="宋体" w:hAnsi="宋体"/>
          <w:b/>
          <w:sz w:val="24"/>
        </w:rPr>
      </w:pPr>
      <w:r>
        <w:rPr>
          <w:rFonts w:hint="eastAsia" w:ascii="宋体" w:hAnsi="宋体"/>
          <w:b/>
          <w:sz w:val="24"/>
        </w:rPr>
        <w:t>特别提示：</w:t>
      </w:r>
    </w:p>
    <w:p>
      <w:pPr>
        <w:spacing w:line="360" w:lineRule="auto"/>
        <w:ind w:firstLine="480" w:firstLineChars="200"/>
        <w:rPr>
          <w:rFonts w:ascii="宋体" w:hAnsi="宋体"/>
          <w:kern w:val="0"/>
          <w:sz w:val="24"/>
        </w:rPr>
      </w:pPr>
      <w:r>
        <w:rPr>
          <w:rFonts w:hint="eastAsia" w:ascii="宋体" w:hAnsi="宋体"/>
          <w:kern w:val="0"/>
          <w:sz w:val="24"/>
        </w:rPr>
        <w:t>1、应当按照</w:t>
      </w:r>
      <w:r>
        <w:rPr>
          <w:rFonts w:ascii="宋体" w:hAnsi="宋体"/>
          <w:kern w:val="0"/>
          <w:sz w:val="24"/>
        </w:rPr>
        <w:t>法律</w:t>
      </w:r>
      <w:r>
        <w:rPr>
          <w:rFonts w:hint="eastAsia" w:ascii="宋体" w:hAnsi="宋体"/>
          <w:kern w:val="0"/>
          <w:sz w:val="24"/>
        </w:rPr>
        <w:t>规定</w:t>
      </w:r>
      <w:r>
        <w:rPr>
          <w:rFonts w:ascii="宋体" w:hAnsi="宋体"/>
          <w:kern w:val="0"/>
          <w:sz w:val="24"/>
        </w:rPr>
        <w:t>和评估</w:t>
      </w:r>
      <w:r>
        <w:rPr>
          <w:rFonts w:hint="eastAsia" w:ascii="宋体" w:hAnsi="宋体"/>
          <w:kern w:val="0"/>
          <w:sz w:val="24"/>
        </w:rPr>
        <w:t>报告</w:t>
      </w:r>
      <w:r>
        <w:rPr>
          <w:rFonts w:ascii="宋体" w:hAnsi="宋体"/>
          <w:kern w:val="0"/>
          <w:sz w:val="24"/>
        </w:rPr>
        <w:t>载明的用途、使用人、使用期限等使用范围使用评估报告。否则</w:t>
      </w:r>
      <w:r>
        <w:rPr>
          <w:rFonts w:hint="eastAsia" w:ascii="宋体" w:hAnsi="宋体"/>
          <w:kern w:val="0"/>
          <w:sz w:val="24"/>
        </w:rPr>
        <w:t>，本</w:t>
      </w:r>
      <w:r>
        <w:rPr>
          <w:rFonts w:ascii="宋体" w:hAnsi="宋体"/>
          <w:kern w:val="0"/>
          <w:sz w:val="24"/>
        </w:rPr>
        <w:t>房地产估价机构和</w:t>
      </w:r>
      <w:r>
        <w:rPr>
          <w:rFonts w:hint="eastAsia" w:ascii="宋体" w:hAnsi="宋体"/>
          <w:kern w:val="0"/>
          <w:sz w:val="24"/>
        </w:rPr>
        <w:t>注册</w:t>
      </w:r>
      <w:r>
        <w:rPr>
          <w:rFonts w:ascii="宋体" w:hAnsi="宋体"/>
          <w:kern w:val="0"/>
          <w:sz w:val="24"/>
        </w:rPr>
        <w:t>房地产估价师</w:t>
      </w:r>
      <w:r>
        <w:rPr>
          <w:rFonts w:hint="eastAsia" w:ascii="宋体" w:hAnsi="宋体"/>
          <w:kern w:val="0"/>
          <w:sz w:val="24"/>
        </w:rPr>
        <w:t>依法</w:t>
      </w:r>
      <w:r>
        <w:rPr>
          <w:rFonts w:ascii="宋体" w:hAnsi="宋体"/>
          <w:kern w:val="0"/>
          <w:sz w:val="24"/>
        </w:rPr>
        <w:t>不承担责任</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2、评估</w:t>
      </w:r>
      <w:r>
        <w:rPr>
          <w:rFonts w:ascii="宋体" w:hAnsi="宋体"/>
          <w:kern w:val="0"/>
          <w:sz w:val="24"/>
        </w:rPr>
        <w:t>结果仅为人民法院确定财产处置参考价服务，不是评估对象处置可实现的成交价格，也不应当被视为对评估对象处置成交价格的</w:t>
      </w:r>
      <w:r>
        <w:rPr>
          <w:rFonts w:hint="eastAsia" w:ascii="宋体" w:hAnsi="宋体"/>
          <w:kern w:val="0"/>
          <w:sz w:val="24"/>
        </w:rPr>
        <w:t>保证。</w:t>
      </w:r>
    </w:p>
    <w:p>
      <w:pPr>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财产拍卖或者变卖之日</w:t>
      </w:r>
      <w:r>
        <w:rPr>
          <w:rFonts w:hint="eastAsia" w:ascii="宋体" w:hAnsi="宋体"/>
          <w:kern w:val="0"/>
          <w:sz w:val="24"/>
        </w:rPr>
        <w:t>与价值时点</w:t>
      </w:r>
      <w:r>
        <w:rPr>
          <w:rFonts w:ascii="宋体" w:hAnsi="宋体"/>
          <w:kern w:val="0"/>
          <w:sz w:val="24"/>
        </w:rPr>
        <w:t>不一致，可能导致评估结果对应的估价对象状况、房地产市场状况、欠缴税费状况等</w:t>
      </w:r>
      <w:r>
        <w:rPr>
          <w:rFonts w:hint="eastAsia" w:ascii="宋体" w:hAnsi="宋体"/>
          <w:kern w:val="0"/>
          <w:sz w:val="24"/>
        </w:rPr>
        <w:t>与</w:t>
      </w:r>
      <w:r>
        <w:rPr>
          <w:rFonts w:ascii="宋体" w:hAnsi="宋体"/>
          <w:kern w:val="0"/>
          <w:sz w:val="24"/>
        </w:rPr>
        <w:t>财产拍卖或者变卖</w:t>
      </w:r>
      <w:r>
        <w:rPr>
          <w:rFonts w:hint="eastAsia" w:ascii="宋体" w:hAnsi="宋体"/>
          <w:kern w:val="0"/>
          <w:sz w:val="24"/>
        </w:rPr>
        <w:t>时的</w:t>
      </w:r>
      <w:r>
        <w:rPr>
          <w:rFonts w:ascii="宋体" w:hAnsi="宋体"/>
          <w:kern w:val="0"/>
          <w:sz w:val="24"/>
        </w:rPr>
        <w:t>相应状况不一致，发生明显变化的，评估结果应当进行相应调整后才可使用</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4、在评估报告使用期限或者评估结果有效期内,评估报告或者评估结果未使用之前,如果评估对象状况或者房地产市场状况发生明显</w:t>
      </w:r>
      <w:r>
        <w:rPr>
          <w:rFonts w:ascii="宋体" w:hAnsi="宋体"/>
          <w:kern w:val="0"/>
          <w:sz w:val="24"/>
        </w:rPr>
        <w:t>变化的，评估结果应当进行相应调整后才可使用</w:t>
      </w:r>
      <w:r>
        <w:rPr>
          <w:rFonts w:hint="eastAsia" w:ascii="宋体" w:hAnsi="宋体"/>
          <w:kern w:val="0"/>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kern w:val="0"/>
          <w:sz w:val="24"/>
        </w:rPr>
        <w:t>5</w:t>
      </w:r>
      <w:r>
        <w:rPr>
          <w:rFonts w:hint="eastAsia" w:asciiTheme="minorEastAsia" w:hAnsiTheme="minorEastAsia" w:eastAsiaTheme="minorEastAsia"/>
          <w:kern w:val="0"/>
          <w:sz w:val="24"/>
        </w:rPr>
        <w:t>、</w:t>
      </w:r>
      <w:r>
        <w:rPr>
          <w:rFonts w:asciiTheme="minorEastAsia" w:hAnsiTheme="minorEastAsia" w:eastAsiaTheme="minorEastAsia"/>
          <w:kern w:val="0"/>
          <w:sz w:val="24"/>
        </w:rPr>
        <w:t>估价对象财产范</w:t>
      </w:r>
      <w:r>
        <w:rPr>
          <w:rFonts w:asciiTheme="minorEastAsia" w:hAnsiTheme="minorEastAsia" w:eastAsiaTheme="minorEastAsia"/>
          <w:sz w:val="24"/>
        </w:rPr>
        <w:t>围包括建筑物（含室内二次装修）、所分摊的土地在剩余使用年期的使用权，不包括动产、债权债务、特许经营权等其他财产或权益</w:t>
      </w:r>
      <w:r>
        <w:rPr>
          <w:rFonts w:hint="eastAsia" w:asciiTheme="minorEastAsia" w:hAnsiTheme="minorEastAsia" w:eastAsiaTheme="minorEastAsia"/>
          <w:sz w:val="24"/>
        </w:rPr>
        <w:t>。</w:t>
      </w:r>
    </w:p>
    <w:p>
      <w:pPr>
        <w:pStyle w:val="15"/>
        <w:adjustRightInd w:val="0"/>
        <w:snapToGrid w:val="0"/>
        <w:spacing w:before="62" w:beforeLines="20" w:line="360" w:lineRule="auto"/>
        <w:ind w:firstLine="470" w:firstLineChars="196"/>
        <w:rPr>
          <w:rFonts w:hAnsi="宋体"/>
          <w:sz w:val="24"/>
        </w:rPr>
      </w:pPr>
      <w:r>
        <w:rPr>
          <w:rFonts w:asciiTheme="minorEastAsia" w:hAnsiTheme="minorEastAsia" w:eastAsiaTheme="minorEastAsia"/>
          <w:sz w:val="24"/>
        </w:rPr>
        <w:t>6</w:t>
      </w:r>
      <w:r>
        <w:rPr>
          <w:rFonts w:hint="eastAsia" w:asciiTheme="minorEastAsia" w:hAnsiTheme="minorEastAsia" w:eastAsiaTheme="minorEastAsia"/>
          <w:sz w:val="24"/>
        </w:rPr>
        <w:t>、至价值时点</w:t>
      </w:r>
      <w:r>
        <w:rPr>
          <w:rFonts w:asciiTheme="minorEastAsia" w:hAnsiTheme="minorEastAsia" w:eastAsiaTheme="minorEastAsia"/>
          <w:sz w:val="24"/>
        </w:rPr>
        <w:t>，</w:t>
      </w:r>
      <w:r>
        <w:rPr>
          <w:rFonts w:hint="eastAsia" w:asciiTheme="minorEastAsia" w:hAnsiTheme="minorEastAsia" w:eastAsiaTheme="minorEastAsia"/>
          <w:sz w:val="24"/>
        </w:rPr>
        <w:t>估价对象存在依法查封等权利限制情况，但本次估价目的是为人民法院确定财产处置参考价提供参考依据，因此不考虑抵押、查封等情况对估价对象房地产市场价格的影响。</w:t>
      </w:r>
    </w:p>
    <w:p>
      <w:pPr>
        <w:spacing w:line="360" w:lineRule="auto"/>
        <w:rPr>
          <w:b/>
          <w:sz w:val="28"/>
          <w:szCs w:val="28"/>
        </w:rPr>
        <w:sectPr>
          <w:pgSz w:w="11906" w:h="16838"/>
          <w:pgMar w:top="1440" w:right="1800" w:bottom="1440" w:left="1800" w:header="851" w:footer="992" w:gutter="0"/>
          <w:pgNumType w:fmt="numberInDash"/>
          <w:cols w:space="425" w:num="1"/>
          <w:docGrid w:type="lines" w:linePitch="312" w:charSpace="0"/>
        </w:sectPr>
      </w:pPr>
    </w:p>
    <w:p>
      <w:pPr>
        <w:spacing w:line="360" w:lineRule="auto"/>
        <w:rPr>
          <w:b/>
          <w:sz w:val="28"/>
          <w:szCs w:val="28"/>
        </w:rPr>
      </w:pPr>
      <w:r>
        <w:rPr>
          <w:rFonts w:hint="eastAsia"/>
          <w:b/>
          <w:sz w:val="28"/>
          <w:szCs w:val="28"/>
        </w:rPr>
        <w:t>十一、注册房地产估价师</w:t>
      </w:r>
      <w:bookmarkEnd w:id="45"/>
      <w:bookmarkEnd w:id="47"/>
    </w:p>
    <w:tbl>
      <w:tblPr>
        <w:tblStyle w:val="31"/>
        <w:tblW w:w="9038" w:type="dxa"/>
        <w:jc w:val="center"/>
        <w:tblLayout w:type="autofit"/>
        <w:tblCellMar>
          <w:top w:w="0" w:type="dxa"/>
          <w:left w:w="108" w:type="dxa"/>
          <w:bottom w:w="0" w:type="dxa"/>
          <w:right w:w="108" w:type="dxa"/>
        </w:tblCellMar>
      </w:tblPr>
      <w:tblGrid>
        <w:gridCol w:w="1860"/>
        <w:gridCol w:w="1835"/>
        <w:gridCol w:w="2340"/>
        <w:gridCol w:w="3003"/>
      </w:tblGrid>
      <w:tr>
        <w:tblPrEx>
          <w:tblCellMar>
            <w:top w:w="0" w:type="dxa"/>
            <w:left w:w="108" w:type="dxa"/>
            <w:bottom w:w="0" w:type="dxa"/>
            <w:right w:w="108" w:type="dxa"/>
          </w:tblCellMar>
        </w:tblPrEx>
        <w:trPr>
          <w:trHeight w:val="551" w:hRule="atLeast"/>
          <w:jc w:val="center"/>
        </w:trPr>
        <w:tc>
          <w:tcPr>
            <w:tcW w:w="18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姓名</w:t>
            </w:r>
          </w:p>
        </w:tc>
        <w:tc>
          <w:tcPr>
            <w:tcW w:w="1835" w:type="dxa"/>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注册号</w:t>
            </w:r>
          </w:p>
        </w:tc>
        <w:tc>
          <w:tcPr>
            <w:tcW w:w="2340" w:type="dxa"/>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签名</w:t>
            </w:r>
          </w:p>
        </w:tc>
        <w:tc>
          <w:tcPr>
            <w:tcW w:w="3003" w:type="dxa"/>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签名日期</w:t>
            </w:r>
          </w:p>
        </w:tc>
      </w:tr>
      <w:tr>
        <w:tblPrEx>
          <w:tblCellMar>
            <w:top w:w="0" w:type="dxa"/>
            <w:left w:w="108" w:type="dxa"/>
            <w:bottom w:w="0" w:type="dxa"/>
            <w:right w:w="108" w:type="dxa"/>
          </w:tblCellMar>
        </w:tblPrEx>
        <w:trPr>
          <w:trHeight w:val="2169" w:hRule="atLeast"/>
          <w:jc w:val="center"/>
        </w:trPr>
        <w:tc>
          <w:tcPr>
            <w:tcW w:w="1860"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杨廷绕</w:t>
            </w:r>
          </w:p>
        </w:tc>
        <w:tc>
          <w:tcPr>
            <w:tcW w:w="183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5320190071</w:t>
            </w:r>
          </w:p>
        </w:tc>
        <w:tc>
          <w:tcPr>
            <w:tcW w:w="234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rPr>
            </w:pPr>
          </w:p>
        </w:tc>
        <w:tc>
          <w:tcPr>
            <w:tcW w:w="300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 xml:space="preserve">    年    月    日</w:t>
            </w:r>
          </w:p>
        </w:tc>
      </w:tr>
      <w:tr>
        <w:tblPrEx>
          <w:tblCellMar>
            <w:top w:w="0" w:type="dxa"/>
            <w:left w:w="108" w:type="dxa"/>
            <w:bottom w:w="0" w:type="dxa"/>
            <w:right w:w="108" w:type="dxa"/>
          </w:tblCellMar>
        </w:tblPrEx>
        <w:trPr>
          <w:trHeight w:val="2271" w:hRule="atLeast"/>
          <w:jc w:val="center"/>
        </w:trPr>
        <w:tc>
          <w:tcPr>
            <w:tcW w:w="1860" w:type="dxa"/>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宗 云</w:t>
            </w:r>
          </w:p>
        </w:tc>
        <w:tc>
          <w:tcPr>
            <w:tcW w:w="1835"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5320100032</w:t>
            </w:r>
          </w:p>
        </w:tc>
        <w:tc>
          <w:tcPr>
            <w:tcW w:w="2340"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rPr>
            </w:pPr>
          </w:p>
        </w:tc>
        <w:tc>
          <w:tcPr>
            <w:tcW w:w="300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rPr>
            </w:pPr>
            <w:r>
              <w:rPr>
                <w:rFonts w:hint="eastAsia" w:ascii="宋体" w:hAnsi="宋体"/>
                <w:color w:val="000000"/>
                <w:kern w:val="0"/>
                <w:sz w:val="24"/>
              </w:rPr>
              <w:t xml:space="preserve">    年    月    日</w:t>
            </w:r>
          </w:p>
        </w:tc>
      </w:tr>
    </w:tbl>
    <w:p>
      <w:pPr>
        <w:outlineLvl w:val="1"/>
        <w:rPr>
          <w:b/>
          <w:sz w:val="28"/>
          <w:szCs w:val="28"/>
        </w:rPr>
      </w:pPr>
      <w:bookmarkStart w:id="48" w:name="_Toc432601103"/>
      <w:bookmarkStart w:id="49" w:name="_Toc1648"/>
      <w:r>
        <w:rPr>
          <w:rFonts w:hint="eastAsia"/>
          <w:b/>
          <w:sz w:val="28"/>
          <w:szCs w:val="28"/>
        </w:rPr>
        <w:t>十二、实地查勘期</w:t>
      </w:r>
      <w:bookmarkEnd w:id="48"/>
      <w:bookmarkEnd w:id="49"/>
    </w:p>
    <w:p>
      <w:pPr>
        <w:spacing w:line="520" w:lineRule="exact"/>
        <w:ind w:firstLine="555"/>
        <w:rPr>
          <w:rFonts w:ascii="宋体" w:hAnsi="宋体"/>
          <w:sz w:val="24"/>
        </w:rPr>
      </w:pPr>
      <w:bookmarkStart w:id="50" w:name="_Toc514380991"/>
      <w:r>
        <w:rPr>
          <w:rFonts w:ascii="宋体" w:hAnsi="宋体"/>
          <w:sz w:val="24"/>
        </w:rPr>
        <w:t>开始于</w:t>
      </w:r>
      <w:r>
        <w:rPr>
          <w:rFonts w:hint="eastAsia" w:ascii="宋体" w:hAnsi="宋体"/>
          <w:sz w:val="24"/>
        </w:rPr>
        <w:t>二〇二二年三月十日，完成于二〇二二年三月十日</w:t>
      </w:r>
    </w:p>
    <w:p>
      <w:pPr>
        <w:outlineLvl w:val="1"/>
        <w:rPr>
          <w:b/>
          <w:sz w:val="28"/>
          <w:szCs w:val="28"/>
        </w:rPr>
      </w:pPr>
      <w:bookmarkStart w:id="51" w:name="_Toc432601104"/>
      <w:bookmarkStart w:id="52" w:name="_Toc5821"/>
      <w:r>
        <w:rPr>
          <w:rFonts w:hint="eastAsia"/>
          <w:b/>
          <w:sz w:val="28"/>
          <w:szCs w:val="28"/>
        </w:rPr>
        <w:t>十三、估价作业期</w:t>
      </w:r>
      <w:bookmarkEnd w:id="51"/>
      <w:bookmarkEnd w:id="52"/>
    </w:p>
    <w:p>
      <w:pPr>
        <w:spacing w:line="520" w:lineRule="exact"/>
        <w:ind w:firstLine="555"/>
        <w:rPr>
          <w:rFonts w:ascii="宋体" w:hAnsi="宋体"/>
          <w:sz w:val="24"/>
        </w:rPr>
      </w:pPr>
      <w:r>
        <w:rPr>
          <w:rFonts w:ascii="宋体" w:hAnsi="宋体"/>
          <w:sz w:val="24"/>
        </w:rPr>
        <w:t>开始于</w:t>
      </w:r>
      <w:r>
        <w:rPr>
          <w:rFonts w:hint="eastAsia" w:ascii="宋体" w:hAnsi="宋体"/>
          <w:sz w:val="24"/>
        </w:rPr>
        <w:t>二〇二二年三月十日，完成于</w:t>
      </w:r>
      <w:bookmarkStart w:id="53" w:name="_Toc432601105"/>
      <w:r>
        <w:rPr>
          <w:rFonts w:hint="eastAsia" w:ascii="宋体" w:hAnsi="宋体"/>
          <w:sz w:val="24"/>
        </w:rPr>
        <w:t xml:space="preserve">二〇二二年三月十七日 </w:t>
      </w:r>
    </w:p>
    <w:p>
      <w:pPr>
        <w:spacing w:line="520" w:lineRule="exact"/>
        <w:ind w:firstLine="555"/>
        <w:rPr>
          <w:rFonts w:ascii="黑体" w:hAnsi="黑体" w:eastAsia="黑体"/>
          <w:snapToGrid w:val="0"/>
        </w:rPr>
        <w:sectPr>
          <w:pgSz w:w="11906" w:h="16838"/>
          <w:pgMar w:top="1440" w:right="1800" w:bottom="1440" w:left="1800" w:header="851" w:footer="992" w:gutter="0"/>
          <w:pgNumType w:fmt="numberInDash"/>
          <w:cols w:space="425" w:num="1"/>
          <w:docGrid w:type="lines" w:linePitch="312" w:charSpace="0"/>
        </w:sectPr>
      </w:pPr>
      <w:r>
        <w:rPr>
          <w:rFonts w:ascii="宋体" w:hAnsi="宋体"/>
          <w:b/>
          <w:sz w:val="36"/>
          <w:szCs w:val="36"/>
        </w:rPr>
        <w:br w:type="page"/>
      </w:r>
      <w:bookmarkEnd w:id="50"/>
      <w:bookmarkEnd w:id="53"/>
      <w:bookmarkStart w:id="54" w:name="_Toc252464019"/>
      <w:bookmarkStart w:id="55" w:name="_Toc252523808"/>
      <w:bookmarkStart w:id="56" w:name="_Toc252524024"/>
      <w:bookmarkStart w:id="57" w:name="_Toc252524413"/>
      <w:bookmarkStart w:id="58" w:name="_Toc420398893"/>
      <w:bookmarkStart w:id="59" w:name="_Toc432601107"/>
    </w:p>
    <w:p>
      <w:pPr>
        <w:pStyle w:val="2"/>
        <w:numPr>
          <w:ilvl w:val="0"/>
          <w:numId w:val="0"/>
        </w:numPr>
        <w:rPr>
          <w:rFonts w:ascii="黑体" w:hAnsi="黑体" w:eastAsia="黑体"/>
          <w:snapToGrid w:val="0"/>
        </w:rPr>
      </w:pPr>
      <w:bookmarkStart w:id="60" w:name="_Toc28557"/>
      <w:r>
        <w:rPr>
          <w:rFonts w:hint="eastAsia" w:ascii="黑体" w:hAnsi="黑体" w:eastAsia="黑体"/>
          <w:snapToGrid w:val="0"/>
        </w:rPr>
        <w:t>附件</w:t>
      </w:r>
      <w:bookmarkEnd w:id="54"/>
      <w:bookmarkEnd w:id="55"/>
      <w:bookmarkEnd w:id="56"/>
      <w:bookmarkEnd w:id="57"/>
      <w:bookmarkEnd w:id="58"/>
      <w:bookmarkEnd w:id="59"/>
      <w:bookmarkEnd w:id="60"/>
    </w:p>
    <w:p>
      <w:pPr>
        <w:outlineLvl w:val="1"/>
        <w:rPr>
          <w:rFonts w:asciiTheme="minorEastAsia" w:hAnsiTheme="minorEastAsia" w:eastAsiaTheme="minorEastAsia"/>
          <w:sz w:val="28"/>
        </w:rPr>
      </w:pPr>
      <w:bookmarkStart w:id="61" w:name="_Toc26277"/>
      <w:r>
        <w:rPr>
          <w:rFonts w:hint="eastAsia" w:asciiTheme="minorEastAsia" w:hAnsiTheme="minorEastAsia" w:eastAsiaTheme="minorEastAsia"/>
          <w:sz w:val="28"/>
        </w:rPr>
        <w:t>一</w:t>
      </w:r>
      <w:r>
        <w:rPr>
          <w:rFonts w:asciiTheme="minorEastAsia" w:hAnsiTheme="minorEastAsia" w:eastAsiaTheme="minorEastAsia"/>
          <w:sz w:val="28"/>
        </w:rPr>
        <w:t>、</w:t>
      </w:r>
      <w:r>
        <w:rPr>
          <w:rFonts w:hint="eastAsia" w:asciiTheme="minorEastAsia" w:hAnsiTheme="minorEastAsia" w:eastAsiaTheme="minorEastAsia"/>
          <w:sz w:val="28"/>
        </w:rPr>
        <w:t>估价</w:t>
      </w:r>
      <w:r>
        <w:rPr>
          <w:rFonts w:asciiTheme="minorEastAsia" w:hAnsiTheme="minorEastAsia" w:eastAsiaTheme="minorEastAsia"/>
          <w:sz w:val="28"/>
        </w:rPr>
        <w:t>委托书</w:t>
      </w:r>
      <w:r>
        <w:rPr>
          <w:rFonts w:hint="eastAsia" w:asciiTheme="minorEastAsia" w:hAnsiTheme="minorEastAsia" w:eastAsiaTheme="minorEastAsia"/>
          <w:sz w:val="28"/>
        </w:rPr>
        <w:t>复印件；</w:t>
      </w:r>
      <w:bookmarkEnd w:id="61"/>
    </w:p>
    <w:p>
      <w:pPr>
        <w:outlineLvl w:val="1"/>
        <w:rPr>
          <w:rFonts w:asciiTheme="minorEastAsia" w:hAnsiTheme="minorEastAsia" w:eastAsiaTheme="minorEastAsia"/>
          <w:sz w:val="28"/>
        </w:rPr>
      </w:pPr>
      <w:bookmarkStart w:id="62" w:name="_Toc24755"/>
      <w:r>
        <w:rPr>
          <w:rFonts w:hint="eastAsia" w:asciiTheme="minorEastAsia" w:hAnsiTheme="minorEastAsia" w:eastAsiaTheme="minorEastAsia"/>
          <w:sz w:val="28"/>
        </w:rPr>
        <w:t>二、估价对象位置图；</w:t>
      </w:r>
      <w:bookmarkEnd w:id="62"/>
    </w:p>
    <w:p>
      <w:pPr>
        <w:outlineLvl w:val="1"/>
        <w:rPr>
          <w:rFonts w:asciiTheme="minorEastAsia" w:hAnsiTheme="minorEastAsia" w:eastAsiaTheme="minorEastAsia"/>
          <w:sz w:val="28"/>
        </w:rPr>
      </w:pPr>
      <w:bookmarkStart w:id="63" w:name="_Toc26804"/>
      <w:r>
        <w:rPr>
          <w:rFonts w:hint="eastAsia" w:asciiTheme="minorEastAsia" w:hAnsiTheme="minorEastAsia" w:eastAsiaTheme="minorEastAsia"/>
          <w:sz w:val="28"/>
        </w:rPr>
        <w:t>三</w:t>
      </w:r>
      <w:r>
        <w:rPr>
          <w:rFonts w:asciiTheme="minorEastAsia" w:hAnsiTheme="minorEastAsia" w:eastAsiaTheme="minorEastAsia"/>
          <w:sz w:val="28"/>
        </w:rPr>
        <w:t>、</w:t>
      </w:r>
      <w:r>
        <w:rPr>
          <w:rFonts w:hint="eastAsia" w:asciiTheme="minorEastAsia" w:hAnsiTheme="minorEastAsia" w:eastAsiaTheme="minorEastAsia"/>
          <w:sz w:val="28"/>
        </w:rPr>
        <w:t>估价对象实地查勘情况和现状照片；</w:t>
      </w:r>
      <w:bookmarkEnd w:id="63"/>
    </w:p>
    <w:p>
      <w:pPr>
        <w:outlineLvl w:val="1"/>
        <w:rPr>
          <w:rFonts w:asciiTheme="minorEastAsia" w:hAnsiTheme="minorEastAsia" w:eastAsiaTheme="minorEastAsia"/>
          <w:sz w:val="28"/>
        </w:rPr>
      </w:pPr>
      <w:bookmarkStart w:id="64" w:name="_Toc29092"/>
      <w:r>
        <w:rPr>
          <w:rFonts w:hint="eastAsia" w:asciiTheme="minorEastAsia" w:hAnsiTheme="minorEastAsia" w:eastAsiaTheme="minorEastAsia"/>
          <w:sz w:val="28"/>
        </w:rPr>
        <w:t>四、估价</w:t>
      </w:r>
      <w:r>
        <w:rPr>
          <w:rFonts w:asciiTheme="minorEastAsia" w:hAnsiTheme="minorEastAsia" w:eastAsiaTheme="minorEastAsia"/>
          <w:sz w:val="28"/>
        </w:rPr>
        <w:t>对象权属证明复印件</w:t>
      </w:r>
      <w:r>
        <w:rPr>
          <w:rFonts w:hint="eastAsia" w:asciiTheme="minorEastAsia" w:hAnsiTheme="minorEastAsia" w:eastAsiaTheme="minorEastAsia"/>
          <w:sz w:val="28"/>
        </w:rPr>
        <w:t>；</w:t>
      </w:r>
      <w:bookmarkEnd w:id="64"/>
    </w:p>
    <w:p>
      <w:pPr>
        <w:outlineLvl w:val="1"/>
        <w:rPr>
          <w:rFonts w:asciiTheme="minorEastAsia" w:hAnsiTheme="minorEastAsia" w:eastAsiaTheme="minorEastAsia"/>
          <w:sz w:val="28"/>
        </w:rPr>
      </w:pPr>
      <w:bookmarkStart w:id="65" w:name="_Toc10669"/>
      <w:r>
        <w:rPr>
          <w:rFonts w:hint="eastAsia" w:asciiTheme="minorEastAsia" w:hAnsiTheme="minorEastAsia" w:eastAsiaTheme="minorEastAsia"/>
          <w:sz w:val="28"/>
        </w:rPr>
        <w:t>五</w:t>
      </w:r>
      <w:r>
        <w:rPr>
          <w:rFonts w:asciiTheme="minorEastAsia" w:hAnsiTheme="minorEastAsia" w:eastAsiaTheme="minorEastAsia"/>
          <w:sz w:val="28"/>
        </w:rPr>
        <w:t>、</w:t>
      </w:r>
      <w:r>
        <w:rPr>
          <w:rFonts w:hint="eastAsia" w:asciiTheme="minorEastAsia" w:hAnsiTheme="minorEastAsia" w:eastAsiaTheme="minorEastAsia"/>
          <w:sz w:val="28"/>
        </w:rPr>
        <w:t>委托方提供的相关资料复印件；</w:t>
      </w:r>
      <w:bookmarkEnd w:id="65"/>
    </w:p>
    <w:p>
      <w:pPr>
        <w:outlineLvl w:val="1"/>
        <w:rPr>
          <w:rFonts w:asciiTheme="minorEastAsia" w:hAnsiTheme="minorEastAsia" w:eastAsiaTheme="minorEastAsia"/>
          <w:sz w:val="28"/>
        </w:rPr>
      </w:pPr>
      <w:bookmarkStart w:id="66" w:name="_Toc10225"/>
      <w:r>
        <w:rPr>
          <w:rFonts w:hint="eastAsia" w:asciiTheme="minorEastAsia" w:hAnsiTheme="minorEastAsia" w:eastAsiaTheme="minorEastAsia"/>
          <w:sz w:val="28"/>
          <w:lang w:eastAsia="zh-CN"/>
        </w:rPr>
        <w:t>六</w:t>
      </w:r>
      <w:r>
        <w:rPr>
          <w:rFonts w:asciiTheme="minorEastAsia" w:hAnsiTheme="minorEastAsia" w:eastAsiaTheme="minorEastAsia"/>
          <w:sz w:val="28"/>
        </w:rPr>
        <w:t>、</w:t>
      </w:r>
      <w:r>
        <w:rPr>
          <w:rFonts w:hint="eastAsia" w:asciiTheme="minorEastAsia" w:hAnsiTheme="minorEastAsia" w:eastAsiaTheme="minorEastAsia"/>
          <w:sz w:val="28"/>
        </w:rPr>
        <w:t>估价机构《企业法人营业执照》复印件；</w:t>
      </w:r>
      <w:bookmarkEnd w:id="66"/>
    </w:p>
    <w:p>
      <w:pPr>
        <w:outlineLvl w:val="1"/>
        <w:rPr>
          <w:rFonts w:asciiTheme="minorEastAsia" w:hAnsiTheme="minorEastAsia" w:eastAsiaTheme="minorEastAsia"/>
          <w:sz w:val="28"/>
        </w:rPr>
      </w:pPr>
      <w:bookmarkStart w:id="67" w:name="_Toc7481"/>
      <w:r>
        <w:rPr>
          <w:rFonts w:hint="eastAsia" w:asciiTheme="minorEastAsia" w:hAnsiTheme="minorEastAsia" w:eastAsiaTheme="minorEastAsia"/>
          <w:sz w:val="28"/>
          <w:lang w:eastAsia="zh-CN"/>
        </w:rPr>
        <w:t>七</w:t>
      </w:r>
      <w:r>
        <w:rPr>
          <w:rFonts w:asciiTheme="minorEastAsia" w:hAnsiTheme="minorEastAsia" w:eastAsiaTheme="minorEastAsia"/>
          <w:sz w:val="28"/>
        </w:rPr>
        <w:t>、</w:t>
      </w:r>
      <w:r>
        <w:rPr>
          <w:rFonts w:hint="eastAsia" w:asciiTheme="minorEastAsia" w:hAnsiTheme="minorEastAsia" w:eastAsiaTheme="minorEastAsia"/>
          <w:sz w:val="28"/>
        </w:rPr>
        <w:t>估价机构《房地产价格评估机构备案证书》复印件；</w:t>
      </w:r>
      <w:bookmarkEnd w:id="67"/>
    </w:p>
    <w:p>
      <w:pPr>
        <w:outlineLvl w:val="1"/>
        <w:rPr>
          <w:rFonts w:asciiTheme="minorEastAsia" w:hAnsiTheme="minorEastAsia" w:eastAsiaTheme="minorEastAsia"/>
          <w:sz w:val="28"/>
        </w:rPr>
      </w:pPr>
      <w:bookmarkStart w:id="68" w:name="_Toc922"/>
      <w:r>
        <w:rPr>
          <w:rFonts w:hint="eastAsia" w:asciiTheme="minorEastAsia" w:hAnsiTheme="minorEastAsia" w:eastAsiaTheme="minorEastAsia"/>
          <w:sz w:val="28"/>
          <w:lang w:eastAsia="zh-CN"/>
        </w:rPr>
        <w:t>八</w:t>
      </w:r>
      <w:r>
        <w:rPr>
          <w:rFonts w:asciiTheme="minorEastAsia" w:hAnsiTheme="minorEastAsia" w:eastAsiaTheme="minorEastAsia"/>
          <w:sz w:val="28"/>
        </w:rPr>
        <w:t>、</w:t>
      </w:r>
      <w:r>
        <w:rPr>
          <w:rFonts w:hint="eastAsia" w:asciiTheme="minorEastAsia" w:hAnsiTheme="minorEastAsia" w:eastAsiaTheme="minorEastAsia"/>
          <w:sz w:val="28"/>
        </w:rPr>
        <w:t>《注册房地产估价师注册证书》复印件。</w:t>
      </w:r>
      <w:bookmarkEnd w:id="68"/>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细黑">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姚体">
    <w:altName w:val="Microsoft YaHei UI"/>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beforeLines="50"/>
      <w:rPr>
        <w:rStyle w:val="35"/>
      </w:rPr>
    </w:pPr>
    <w:r>
      <w:pict>
        <v:shape id="AutoShape 11" o:spid="_x0000_s2062" o:spt="32" type="#_x0000_t32" style="position:absolute;left:0pt;margin-left:-0.4pt;margin-top:4.5pt;height:0pt;width:456.35pt;z-index:2516684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yh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pw+L6Syf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">
          <v:path arrowok="t"/>
          <v:fill on="f" focussize="0,0"/>
          <v:stroke/>
          <v:imagedata o:title=""/>
          <o:lock v:ext="edit"/>
        </v:shape>
      </w:pict>
    </w:r>
    <w:r>
      <w:rPr>
        <w:rFonts w:hint="eastAsia" w:ascii="方正姚体" w:eastAsia="方正姚体"/>
      </w:rPr>
      <w:t xml:space="preserve">地址：云南省昆明市盘龙区世博路14号低碳中心B座10楼   联系电话：0871-63160601                第 </w:t>
    </w:r>
    <w:r>
      <w:rPr>
        <w:rFonts w:hint="eastAsia" w:ascii="方正姚体" w:eastAsia="方正姚体"/>
      </w:rPr>
      <w:fldChar w:fldCharType="begin"/>
    </w:r>
    <w:r>
      <w:rPr>
        <w:rFonts w:hint="eastAsia" w:ascii="方正姚体" w:eastAsia="方正姚体"/>
      </w:rPr>
      <w:instrText xml:space="preserve"> PAGE   \* MERGEFORMAT </w:instrText>
    </w:r>
    <w:r>
      <w:rPr>
        <w:rFonts w:hint="eastAsia" w:ascii="方正姚体" w:eastAsia="方正姚体"/>
      </w:rPr>
      <w:fldChar w:fldCharType="separate"/>
    </w:r>
    <w:r>
      <w:rPr>
        <w:rFonts w:ascii="方正姚体" w:eastAsia="方正姚体"/>
        <w:lang w:val="zh-CN"/>
      </w:rPr>
      <w:t>1</w:t>
    </w:r>
    <w:r>
      <w:rPr>
        <w:rFonts w:hint="eastAsia" w:ascii="方正姚体" w:eastAsia="方正姚体"/>
      </w:rPr>
      <w:fldChar w:fldCharType="end"/>
    </w:r>
    <w:r>
      <w:rPr>
        <w:rFonts w:hint="eastAsia" w:ascii="方正姚体" w:eastAsia="方正姚体"/>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 xml:space="preserve">_______________________________________________________________________________________    </w:t>
    </w:r>
  </w:p>
  <w:p>
    <w:pPr>
      <w:pStyle w:val="20"/>
      <w:rPr>
        <w:i/>
        <w:color w:val="000000"/>
        <w:sz w:val="15"/>
        <w:szCs w:val="15"/>
      </w:rPr>
    </w:pPr>
    <w:r>
      <w:rPr>
        <w:i/>
        <w:color w:val="000000"/>
        <w:sz w:val="15"/>
        <w:szCs w:val="15"/>
      </w:rPr>
      <w:t>[</w:t>
    </w:r>
    <w:r>
      <w:rPr>
        <w:rFonts w:hint="eastAsia"/>
        <w:i/>
        <w:color w:val="000000"/>
        <w:sz w:val="15"/>
        <w:szCs w:val="15"/>
      </w:rPr>
      <w:t>地址</w:t>
    </w:r>
    <w:r>
      <w:rPr>
        <w:i/>
        <w:color w:val="000000"/>
        <w:sz w:val="15"/>
        <w:szCs w:val="15"/>
      </w:rPr>
      <w:t>]</w:t>
    </w:r>
    <w:r>
      <w:rPr>
        <w:rFonts w:hint="eastAsia"/>
        <w:i/>
        <w:color w:val="000000"/>
        <w:sz w:val="15"/>
        <w:szCs w:val="15"/>
      </w:rPr>
      <w:t xml:space="preserve">：云南省昆明市盘龙区青云街道办事处世博生态城低碳中心ⅢB栋10层1001号 </w:t>
    </w:r>
    <w:r>
      <w:rPr>
        <w:i/>
        <w:color w:val="000000"/>
        <w:sz w:val="15"/>
        <w:szCs w:val="15"/>
      </w:rPr>
      <w:t xml:space="preserve">                          </w:t>
    </w:r>
    <w:r>
      <w:rPr>
        <w:color w:val="000000"/>
      </w:rPr>
      <w:fldChar w:fldCharType="begin"/>
    </w:r>
    <w:r>
      <w:rPr>
        <w:color w:val="000000"/>
      </w:rPr>
      <w:instrText xml:space="preserve">PAGE   \* MERGEFORMAT</w:instrText>
    </w:r>
    <w:r>
      <w:rPr>
        <w:color w:val="000000"/>
      </w:rPr>
      <w:fldChar w:fldCharType="separate"/>
    </w:r>
    <w:r>
      <w:rPr>
        <w:color w:val="000000"/>
      </w:rPr>
      <w:t>- 2 -</w:t>
    </w:r>
    <w:r>
      <w:rPr>
        <w:color w:val="000000"/>
      </w:rPr>
      <w:fldChar w:fldCharType="end"/>
    </w:r>
  </w:p>
  <w:p>
    <w:pPr>
      <w:pStyle w:val="20"/>
      <w:rPr>
        <w:color w:val="000000"/>
      </w:rPr>
    </w:pPr>
    <w:r>
      <w:rPr>
        <w:i/>
        <w:color w:val="000000"/>
        <w:sz w:val="15"/>
        <w:szCs w:val="15"/>
      </w:rPr>
      <w:t>[</w:t>
    </w:r>
    <w:r>
      <w:rPr>
        <w:rFonts w:hint="eastAsia"/>
        <w:i/>
        <w:color w:val="000000"/>
        <w:sz w:val="15"/>
        <w:szCs w:val="15"/>
      </w:rPr>
      <w:t>电话</w:t>
    </w:r>
    <w:r>
      <w:rPr>
        <w:i/>
        <w:color w:val="000000"/>
        <w:sz w:val="15"/>
        <w:szCs w:val="15"/>
      </w:rPr>
      <w:t>]</w:t>
    </w:r>
    <w:r>
      <w:rPr>
        <w:rFonts w:hint="eastAsia"/>
        <w:i/>
        <w:color w:val="000000"/>
        <w:sz w:val="15"/>
        <w:szCs w:val="15"/>
      </w:rPr>
      <w:t>：</w:t>
    </w:r>
    <w:r>
      <w:rPr>
        <w:i/>
        <w:color w:val="000000"/>
        <w:sz w:val="15"/>
        <w:szCs w:val="15"/>
      </w:rPr>
      <w:t>0871-63160601</w:t>
    </w:r>
    <w:r>
      <w:rPr>
        <w:rFonts w:hint="eastAsia"/>
        <w:i/>
        <w:color w:val="000000"/>
        <w:sz w:val="15"/>
        <w:szCs w:val="15"/>
      </w:rPr>
      <w:t>、</w:t>
    </w:r>
    <w:r>
      <w:rPr>
        <w:i/>
        <w:color w:val="000000"/>
        <w:sz w:val="15"/>
        <w:szCs w:val="15"/>
      </w:rPr>
      <w:t xml:space="preserve">63135581 </w:t>
    </w:r>
  </w:p>
  <w:p>
    <w:pP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 xml:space="preserve">_______________________________________________________________________________________    </w:t>
    </w:r>
  </w:p>
  <w:p>
    <w:pPr>
      <w:pStyle w:val="20"/>
      <w:rPr>
        <w:i/>
        <w:color w:val="000000"/>
        <w:sz w:val="15"/>
        <w:szCs w:val="15"/>
      </w:rPr>
    </w:pPr>
    <w:r>
      <w:rPr>
        <w:i/>
        <w:color w:val="000000"/>
        <w:sz w:val="15"/>
        <w:szCs w:val="15"/>
      </w:rPr>
      <w:t>[</w:t>
    </w:r>
    <w:r>
      <w:rPr>
        <w:rFonts w:hint="eastAsia"/>
        <w:i/>
        <w:color w:val="000000"/>
        <w:sz w:val="15"/>
        <w:szCs w:val="15"/>
      </w:rPr>
      <w:t>地址</w:t>
    </w:r>
    <w:r>
      <w:rPr>
        <w:i/>
        <w:color w:val="000000"/>
        <w:sz w:val="15"/>
        <w:szCs w:val="15"/>
      </w:rPr>
      <w:t>]</w:t>
    </w:r>
    <w:r>
      <w:rPr>
        <w:rFonts w:hint="eastAsia"/>
        <w:i/>
        <w:color w:val="000000"/>
        <w:sz w:val="15"/>
        <w:szCs w:val="15"/>
      </w:rPr>
      <w:t xml:space="preserve">：云南省昆明市盘龙区青云街道办事处世博生态城低碳中心ⅢB栋10层1001号 </w:t>
    </w:r>
    <w:r>
      <w:rPr>
        <w:i/>
        <w:color w:val="000000"/>
        <w:sz w:val="15"/>
        <w:szCs w:val="15"/>
      </w:rPr>
      <w:t xml:space="preserve">                          </w:t>
    </w:r>
    <w:r>
      <w:rPr>
        <w:color w:val="000000"/>
      </w:rPr>
      <w:fldChar w:fldCharType="begin"/>
    </w:r>
    <w:r>
      <w:rPr>
        <w:color w:val="000000"/>
      </w:rPr>
      <w:instrText xml:space="preserve">PAGE   \* MERGEFORMAT</w:instrText>
    </w:r>
    <w:r>
      <w:rPr>
        <w:color w:val="000000"/>
      </w:rPr>
      <w:fldChar w:fldCharType="separate"/>
    </w:r>
    <w:r>
      <w:rPr>
        <w:color w:val="000000"/>
      </w:rPr>
      <w:t>- 9 -</w:t>
    </w:r>
    <w:r>
      <w:rPr>
        <w:color w:val="000000"/>
      </w:rPr>
      <w:fldChar w:fldCharType="end"/>
    </w:r>
  </w:p>
  <w:p>
    <w:pPr>
      <w:pStyle w:val="20"/>
      <w:rPr>
        <w:color w:val="000000"/>
      </w:rPr>
    </w:pPr>
    <w:r>
      <w:rPr>
        <w:i/>
        <w:color w:val="000000"/>
        <w:sz w:val="15"/>
        <w:szCs w:val="15"/>
      </w:rPr>
      <w:t>[</w:t>
    </w:r>
    <w:r>
      <w:rPr>
        <w:rFonts w:hint="eastAsia"/>
        <w:i/>
        <w:color w:val="000000"/>
        <w:sz w:val="15"/>
        <w:szCs w:val="15"/>
      </w:rPr>
      <w:t>电话</w:t>
    </w:r>
    <w:r>
      <w:rPr>
        <w:i/>
        <w:color w:val="000000"/>
        <w:sz w:val="15"/>
        <w:szCs w:val="15"/>
      </w:rPr>
      <w:t>]</w:t>
    </w:r>
    <w:r>
      <w:rPr>
        <w:rFonts w:hint="eastAsia"/>
        <w:i/>
        <w:color w:val="000000"/>
        <w:sz w:val="15"/>
        <w:szCs w:val="15"/>
      </w:rPr>
      <w:t>：</w:t>
    </w:r>
    <w:r>
      <w:rPr>
        <w:i/>
        <w:color w:val="000000"/>
        <w:sz w:val="15"/>
        <w:szCs w:val="15"/>
      </w:rPr>
      <w:t>0871-63160601</w:t>
    </w:r>
    <w:r>
      <w:rPr>
        <w:rFonts w:hint="eastAsia"/>
        <w:i/>
        <w:color w:val="000000"/>
        <w:sz w:val="15"/>
        <w:szCs w:val="15"/>
      </w:rPr>
      <w:t>、</w:t>
    </w:r>
    <w:r>
      <w:rPr>
        <w:i/>
        <w:color w:val="000000"/>
        <w:sz w:val="15"/>
        <w:szCs w:val="15"/>
      </w:rPr>
      <w:t xml:space="preserve">63135581 </w:t>
    </w:r>
  </w:p>
  <w:p>
    <w:pPr>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26152976" o:spid="_x0000_s2061" o:spt="75" type="#_x0000_t75" style="position:absolute;left:0pt;height:511.2pt;width:399.6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o:title="30%"/>
          <o:lock v:ext="edit" aspectratio="t"/>
        </v:shape>
      </w:pict>
    </w:r>
    <w:r>
      <w:pict>
        <v:shape id="Text Box 10" o:spid="_x0000_s2063" o:spt="202" type="#_x0000_t202" style="position:absolute;left:0pt;margin-left:353pt;margin-top:-17.8pt;height:29.25pt;width:97.95pt;z-index:251667456;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DtggIAABE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">
          <v:path/>
          <v:fill focussize="0,0"/>
          <v:stroke on="f" joinstyle="miter"/>
          <v:imagedata o:title=""/>
          <o:lock v:ext="edit"/>
          <v:textbox>
            <w:txbxContent>
              <w:p>
                <w:pPr>
                  <w:rPr>
                    <w:rFonts w:ascii="楷体" w:hAnsi="楷体" w:eastAsia="楷体"/>
                    <w:b/>
                    <w:color w:val="948A54"/>
                    <w:sz w:val="32"/>
                    <w:szCs w:val="32"/>
                  </w:rPr>
                </w:pPr>
                <w:r>
                  <w:rPr>
                    <w:rFonts w:hint="eastAsia" w:ascii="楷体" w:hAnsi="楷体" w:eastAsia="楷体"/>
                    <w:b/>
                    <w:color w:val="948A54"/>
                    <w:sz w:val="32"/>
                    <w:szCs w:val="32"/>
                  </w:rPr>
                  <w:t>各公司LOGO</w:t>
                </w:r>
              </w:p>
            </w:txbxContent>
          </v:textbox>
        </v:shape>
      </w:pict>
    </w:r>
    <w:r>
      <w:drawing>
        <wp:anchor distT="0" distB="0" distL="114300" distR="114300" simplePos="0" relativeHeight="251659264" behindDoc="1" locked="0" layoutInCell="1" allowOverlap="1">
          <wp:simplePos x="0" y="0"/>
          <wp:positionH relativeFrom="column">
            <wp:posOffset>-76835</wp:posOffset>
          </wp:positionH>
          <wp:positionV relativeFrom="paragraph">
            <wp:posOffset>-292735</wp:posOffset>
          </wp:positionV>
          <wp:extent cx="1325245" cy="400050"/>
          <wp:effectExtent l="19050" t="0" r="8255" b="0"/>
          <wp:wrapTight wrapText="bothSides">
            <wp:wrapPolygon>
              <wp:start x="-310" y="0"/>
              <wp:lineTo x="-310" y="20571"/>
              <wp:lineTo x="21735" y="20571"/>
              <wp:lineTo x="21735" y="0"/>
              <wp:lineTo x="-310"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2"/>
                  <a:srcRect/>
                  <a:stretch>
                    <a:fillRect/>
                  </a:stretch>
                </pic:blipFill>
                <pic:spPr>
                  <a:xfrm>
                    <a:off x="0" y="0"/>
                    <a:ext cx="1325245" cy="400050"/>
                  </a:xfrm>
                  <a:prstGeom prst="rect">
                    <a:avLst/>
                  </a:prstGeom>
                  <a:noFill/>
                  <a:ln w="9525">
                    <a:noFill/>
                    <a:miter lim="800000"/>
                    <a:headEnd/>
                    <a:tailEnd/>
                  </a:ln>
                </pic:spPr>
              </pic:pic>
            </a:graphicData>
          </a:graphic>
        </wp:anchor>
      </w:drawing>
    </w: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69" o:spid="_x0000_s2069" o:spt="75" type="#_x0000_t75" style="position:absolute;left:0pt;height:537.6pt;width:420.2pt;mso-position-horizontal:center;mso-position-horizontal-relative:margin;mso-position-vertical:center;mso-position-vertical-relative:margin;z-index:-251643904;mso-width-relative:page;mso-height-relative:page;" filled="f" o:preferrelative="t" stroked="f" coordsize="21600,21600" o:allowincell="f">
          <v:path/>
          <v:fill on="f" focussize="0,0"/>
          <v:stroke on="f" joinstyle="miter"/>
          <v:imagedata r:id="rId1" o:title=""/>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68" o:spid="_x0000_s2068" o:spt="75" type="#_x0000_t75" style="position:absolute;left:0pt;height:537.6pt;width:420.2pt;mso-position-horizontal:center;mso-position-horizontal-relative:margin;mso-position-vertical:center;mso-position-vertical-relative:margin;z-index:-251644928;mso-width-relative:page;mso-height-relative:page;" filled="f" o:preferrelative="t" stroked="f" coordsize="21600,21600" o:allowincell="f">
          <v:path/>
          <v:fill on="f" focussize="0,0"/>
          <v:stroke on="f"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26152975" o:spid="_x0000_s2060" o:spt="75" type="#_x0000_t75" style="position:absolute;left:0pt;height:511.2pt;width:399.6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o:title="30%"/>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108"/>
      </w:tabs>
      <w:ind w:right="300"/>
      <w:jc w:val="both"/>
    </w:pPr>
    <w:r>
      <w:drawing>
        <wp:anchor distT="0" distB="0" distL="114300" distR="114300" simplePos="0" relativeHeight="251665408" behindDoc="1" locked="0" layoutInCell="1" allowOverlap="1">
          <wp:simplePos x="0" y="0"/>
          <wp:positionH relativeFrom="column">
            <wp:posOffset>982980</wp:posOffset>
          </wp:positionH>
          <wp:positionV relativeFrom="paragraph">
            <wp:posOffset>-85725</wp:posOffset>
          </wp:positionV>
          <wp:extent cx="1119505" cy="251460"/>
          <wp:effectExtent l="19050" t="0" r="4445" b="0"/>
          <wp:wrapTight wrapText="bothSides">
            <wp:wrapPolygon>
              <wp:start x="735" y="0"/>
              <wp:lineTo x="-368" y="4909"/>
              <wp:lineTo x="-368" y="19636"/>
              <wp:lineTo x="21686" y="19636"/>
              <wp:lineTo x="21318" y="1636"/>
              <wp:lineTo x="21318" y="0"/>
              <wp:lineTo x="735"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505" cy="251460"/>
                  </a:xfrm>
                  <a:prstGeom prst="rect">
                    <a:avLst/>
                  </a:prstGeom>
                  <a:noFill/>
                  <a:ln w="9525">
                    <a:noFill/>
                    <a:miter lim="800000"/>
                    <a:headEnd/>
                    <a:tailEnd/>
                  </a:ln>
                </pic:spPr>
              </pic:pic>
            </a:graphicData>
          </a:graphic>
        </wp:anchor>
      </w:drawing>
    </w:r>
    <w:r>
      <w:drawing>
        <wp:anchor distT="0" distB="0" distL="114300" distR="114300" simplePos="0" relativeHeight="251660288" behindDoc="1" locked="0" layoutInCell="1" allowOverlap="1">
          <wp:simplePos x="0" y="0"/>
          <wp:positionH relativeFrom="column">
            <wp:posOffset>-86360</wp:posOffset>
          </wp:positionH>
          <wp:positionV relativeFrom="paragraph">
            <wp:posOffset>-152400</wp:posOffset>
          </wp:positionV>
          <wp:extent cx="1016000" cy="318770"/>
          <wp:effectExtent l="19050" t="0" r="0" b="0"/>
          <wp:wrapTight wrapText="bothSides">
            <wp:wrapPolygon>
              <wp:start x="810" y="0"/>
              <wp:lineTo x="-405" y="3873"/>
              <wp:lineTo x="-405" y="18072"/>
              <wp:lineTo x="810" y="20653"/>
              <wp:lineTo x="810" y="20653"/>
              <wp:lineTo x="21465" y="20653"/>
              <wp:lineTo x="21465" y="2582"/>
              <wp:lineTo x="4860" y="0"/>
              <wp:lineTo x="810" y="0"/>
            </wp:wrapPolygon>
          </wp:wrapTight>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000" cy="318770"/>
                  </a:xfrm>
                  <a:prstGeom prst="rect">
                    <a:avLst/>
                  </a:prstGeom>
                  <a:noFill/>
                  <a:ln w="9525">
                    <a:noFill/>
                    <a:miter lim="800000"/>
                    <a:headEnd/>
                    <a:tailEnd/>
                  </a:ln>
                </pic:spPr>
              </pic:pic>
            </a:graphicData>
          </a:graphic>
        </wp:anchor>
      </w:drawing>
    </w:r>
    <w:r>
      <w:pict>
        <v:shape id="WordPictureWatermark38625275" o:spid="_x0000_s2050" o:spt="75" type="#_x0000_t75" style="position:absolute;left:0pt;height:537.6pt;width:420.2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3" o:title=""/>
          <o:lock v:ext="edit" aspectratio="t"/>
        </v:shape>
      </w:pict>
    </w:r>
    <w:r>
      <w:rPr>
        <w:rFonts w:ascii="仿宋" w:hAnsi="仿宋" w:eastAsia="仿宋"/>
        <w:i/>
        <w:sz w:val="15"/>
        <w:szCs w:val="15"/>
      </w:rPr>
      <w:tab/>
    </w:r>
    <w:r>
      <w:rPr>
        <w:rFonts w:ascii="仿宋" w:hAnsi="仿宋" w:eastAsia="仿宋"/>
        <w:i/>
        <w:sz w:val="15"/>
        <w:szCs w:val="15"/>
      </w:rPr>
      <w:t xml:space="preserve">                                                                       </w:t>
    </w:r>
    <w:r>
      <w:rPr>
        <w:rFonts w:hint="eastAsia" w:ascii="黑体" w:hAnsi="黑体" w:eastAsia="黑体"/>
      </w:rPr>
      <w:t>云鼎司法评字20</w:t>
    </w:r>
    <w:r>
      <w:rPr>
        <w:rFonts w:ascii="黑体" w:hAnsi="黑体" w:eastAsia="黑体"/>
      </w:rPr>
      <w:t>2</w:t>
    </w:r>
    <w:r>
      <w:rPr>
        <w:rFonts w:hint="eastAsia" w:ascii="黑体" w:hAnsi="黑体" w:eastAsia="黑体"/>
      </w:rPr>
      <w:t>2（</w:t>
    </w:r>
    <w:r>
      <w:rPr>
        <w:rFonts w:ascii="黑体" w:hAnsi="黑体" w:eastAsia="黑体"/>
      </w:rPr>
      <w:t>03</w:t>
    </w:r>
    <w:r>
      <w:rPr>
        <w:rFonts w:hint="eastAsia" w:ascii="黑体" w:hAnsi="黑体" w:eastAsia="黑体"/>
      </w:rPr>
      <w:t>）</w:t>
    </w:r>
    <w:r>
      <w:rPr>
        <w:rFonts w:ascii="黑体" w:hAnsi="黑体" w:eastAsia="黑体"/>
      </w:rPr>
      <w:t>00</w:t>
    </w:r>
    <w:r>
      <w:rPr>
        <w:rFonts w:hint="eastAsia" w:ascii="黑体" w:hAnsi="黑体" w:eastAsia="黑体"/>
      </w:rPr>
      <w:t>07号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38625274" o:spid="_x0000_s2049" o:spt="75" type="#_x0000_t75" style="position:absolute;left:0pt;height:537.6pt;width:420.2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38625273" o:spid="_x0000_s2051" o:spt="75" type="#_x0000_t75" style="position:absolute;left:0pt;height:537.6pt;width:420.2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inset" w:color="FFFFFF" w:sz="6" w:space="1"/>
        <w:left w:val="inset" w:color="FFFFFF" w:sz="6" w:space="4"/>
        <w:bottom w:val="outset" w:color="FFFFFF" w:sz="6" w:space="0"/>
        <w:right w:val="outset" w:color="FFFFFF" w:sz="6" w:space="4"/>
      </w:pBdr>
      <w:jc w:val="both"/>
    </w:pPr>
    <w:r>
      <w:pict>
        <v:shape id="WordPictureWatermark38625278" o:spid="_x0000_s2053" o:spt="75" type="#_x0000_t75" style="position:absolute;left:0pt;height:537.6pt;width:420.2pt;mso-position-horizontal:center;mso-position-horizontal-relative:margin;mso-position-vertical:center;mso-position-vertical-relative:margin;z-index:-251645952;mso-width-relative:page;mso-height-relative:page;" filled="f" o:preferrelative="t" stroked="f" coordsize="21600,21600" o:allowincell="f">
          <v:path/>
          <v:fill on="f" focussize="0,0"/>
          <v:stroke on="f" joinstyle="miter"/>
          <v:imagedata r:id="rId1" o:title=""/>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38625277" o:spid="_x0000_s2052" o:spt="75" type="#_x0000_t75" style="position:absolute;left:0pt;height:537.6pt;width:420.2pt;mso-position-horizontal:center;mso-position-horizontal-relative:margin;mso-position-vertical:center;mso-position-vertical-relative:margin;z-index:-251646976;mso-width-relative:page;mso-height-relative:page;" filled="f" o:preferrelative="t" stroked="f" coordsize="21600,21600" o:allowincell="f">
          <v:path/>
          <v:fill on="f" focussize="0,0"/>
          <v:stroke on="f" joinstyle="miter"/>
          <v:imagedata r:id="rId1" o:title=""/>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WordPictureWatermark38625276" o:spid="_x0000_s2054" o:spt="75" type="#_x0000_t75" style="position:absolute;left:0pt;height:537.6pt;width:420.2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108"/>
      </w:tabs>
      <w:ind w:right="300"/>
      <w:jc w:val="both"/>
    </w:pPr>
    <w:r>
      <w:drawing>
        <wp:anchor distT="0" distB="0" distL="114300" distR="114300" simplePos="0" relativeHeight="251678720" behindDoc="1" locked="0" layoutInCell="1" allowOverlap="1">
          <wp:simplePos x="0" y="0"/>
          <wp:positionH relativeFrom="column">
            <wp:posOffset>982980</wp:posOffset>
          </wp:positionH>
          <wp:positionV relativeFrom="paragraph">
            <wp:posOffset>-85725</wp:posOffset>
          </wp:positionV>
          <wp:extent cx="1119505" cy="251460"/>
          <wp:effectExtent l="19050" t="0" r="4445" b="0"/>
          <wp:wrapTight wrapText="bothSides">
            <wp:wrapPolygon>
              <wp:start x="735" y="0"/>
              <wp:lineTo x="-368" y="4909"/>
              <wp:lineTo x="-368" y="19636"/>
              <wp:lineTo x="21686" y="19636"/>
              <wp:lineTo x="21318" y="1636"/>
              <wp:lineTo x="21318" y="0"/>
              <wp:lineTo x="735"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505" cy="251460"/>
                  </a:xfrm>
                  <a:prstGeom prst="rect">
                    <a:avLst/>
                  </a:prstGeom>
                  <a:noFill/>
                  <a:ln w="9525">
                    <a:noFill/>
                    <a:miter lim="800000"/>
                    <a:headEnd/>
                    <a:tailEnd/>
                  </a:ln>
                </pic:spPr>
              </pic:pic>
            </a:graphicData>
          </a:graphic>
        </wp:anchor>
      </w:drawing>
    </w:r>
    <w:r>
      <w:drawing>
        <wp:anchor distT="0" distB="0" distL="114300" distR="114300" simplePos="0" relativeHeight="251674624" behindDoc="1" locked="0" layoutInCell="1" allowOverlap="1">
          <wp:simplePos x="0" y="0"/>
          <wp:positionH relativeFrom="column">
            <wp:posOffset>-86360</wp:posOffset>
          </wp:positionH>
          <wp:positionV relativeFrom="paragraph">
            <wp:posOffset>-152400</wp:posOffset>
          </wp:positionV>
          <wp:extent cx="1016000" cy="318770"/>
          <wp:effectExtent l="19050" t="0" r="0" b="0"/>
          <wp:wrapTight wrapText="bothSides">
            <wp:wrapPolygon>
              <wp:start x="810" y="0"/>
              <wp:lineTo x="-405" y="3873"/>
              <wp:lineTo x="-405" y="18072"/>
              <wp:lineTo x="810" y="20653"/>
              <wp:lineTo x="810" y="20653"/>
              <wp:lineTo x="21465" y="20653"/>
              <wp:lineTo x="21465" y="2582"/>
              <wp:lineTo x="4860" y="0"/>
              <wp:lineTo x="810" y="0"/>
            </wp:wrapPolygon>
          </wp:wrapTight>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000" cy="318770"/>
                  </a:xfrm>
                  <a:prstGeom prst="rect">
                    <a:avLst/>
                  </a:prstGeom>
                  <a:noFill/>
                  <a:ln w="9525">
                    <a:noFill/>
                    <a:miter lim="800000"/>
                    <a:headEnd/>
                    <a:tailEnd/>
                  </a:ln>
                </pic:spPr>
              </pic:pic>
            </a:graphicData>
          </a:graphic>
        </wp:anchor>
      </w:drawing>
    </w:r>
    <w:r>
      <w:pict>
        <v:shape id="_x0000_s2070" o:spid="_x0000_s2070" o:spt="75" type="#_x0000_t75" style="position:absolute;left:0pt;height:537.6pt;width:420.2pt;mso-position-horizontal:center;mso-position-horizontal-relative:margin;mso-position-vertical:center;mso-position-vertical-relative:margin;z-index:-251642880;mso-width-relative:page;mso-height-relative:page;" filled="f" o:preferrelative="t" stroked="f" coordsize="21600,21600" o:allowincell="f">
          <v:path/>
          <v:fill on="f" focussize="0,0"/>
          <v:stroke on="f" joinstyle="miter"/>
          <v:imagedata r:id="rId3" o:title=""/>
          <o:lock v:ext="edit" aspectratio="t"/>
        </v:shape>
      </w:pict>
    </w:r>
    <w:r>
      <w:rPr>
        <w:rFonts w:ascii="仿宋" w:hAnsi="仿宋" w:eastAsia="仿宋"/>
        <w:i/>
        <w:sz w:val="15"/>
        <w:szCs w:val="15"/>
      </w:rPr>
      <w:tab/>
    </w:r>
    <w:r>
      <w:rPr>
        <w:rFonts w:ascii="仿宋" w:hAnsi="仿宋" w:eastAsia="仿宋"/>
        <w:i/>
        <w:sz w:val="15"/>
        <w:szCs w:val="15"/>
      </w:rPr>
      <w:t xml:space="preserve">                                                                       </w:t>
    </w:r>
    <w:r>
      <w:rPr>
        <w:rFonts w:hint="eastAsia" w:ascii="黑体" w:hAnsi="黑体" w:eastAsia="黑体"/>
      </w:rPr>
      <w:t>云鼎司法评字20</w:t>
    </w:r>
    <w:r>
      <w:rPr>
        <w:rFonts w:ascii="黑体" w:hAnsi="黑体" w:eastAsia="黑体"/>
      </w:rPr>
      <w:t>2</w:t>
    </w:r>
    <w:r>
      <w:rPr>
        <w:rFonts w:hint="eastAsia" w:ascii="黑体" w:hAnsi="黑体" w:eastAsia="黑体"/>
      </w:rPr>
      <w:t>2（</w:t>
    </w:r>
    <w:r>
      <w:rPr>
        <w:rFonts w:ascii="黑体" w:hAnsi="黑体" w:eastAsia="黑体"/>
      </w:rPr>
      <w:t>03</w:t>
    </w:r>
    <w:r>
      <w:rPr>
        <w:rFonts w:hint="eastAsia" w:ascii="黑体" w:hAnsi="黑体" w:eastAsia="黑体"/>
      </w:rPr>
      <w:t>）</w:t>
    </w:r>
    <w:r>
      <w:rPr>
        <w:rFonts w:ascii="黑体" w:hAnsi="黑体" w:eastAsia="黑体"/>
      </w:rPr>
      <w:t>00</w:t>
    </w:r>
    <w:r>
      <w:rPr>
        <w:rFonts w:hint="eastAsia" w:ascii="黑体" w:hAnsi="黑体" w:eastAsia="黑体"/>
      </w:rPr>
      <w:t>07号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E25F9"/>
    <w:multiLevelType w:val="multilevel"/>
    <w:tmpl w:val="197E25F9"/>
    <w:lvl w:ilvl="0" w:tentative="0">
      <w:start w:val="1"/>
      <w:numFmt w:val="decimal"/>
      <w:lvlText w:val="（%1）"/>
      <w:lvlJc w:val="left"/>
      <w:pPr>
        <w:tabs>
          <w:tab w:val="left" w:pos="0"/>
        </w:tabs>
        <w:ind w:firstLine="113"/>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E251694"/>
    <w:multiLevelType w:val="multilevel"/>
    <w:tmpl w:val="1E251694"/>
    <w:lvl w:ilvl="0" w:tentative="0">
      <w:start w:val="1"/>
      <w:numFmt w:val="decimal"/>
      <w:lvlText w:val="%1、"/>
      <w:lvlJc w:val="left"/>
      <w:pPr>
        <w:tabs>
          <w:tab w:val="left" w:pos="0"/>
        </w:tabs>
        <w:ind w:firstLine="284"/>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1F91199"/>
    <w:multiLevelType w:val="multilevel"/>
    <w:tmpl w:val="21F91199"/>
    <w:lvl w:ilvl="0" w:tentative="0">
      <w:start w:val="1"/>
      <w:numFmt w:val="decimal"/>
      <w:lvlText w:val="（%1）"/>
      <w:lvlJc w:val="left"/>
      <w:pPr>
        <w:ind w:left="840" w:hanging="720"/>
      </w:pPr>
      <w:rPr>
        <w:rFonts w:hint="default"/>
        <w:lang w:val="en-US"/>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3">
    <w:nsid w:val="25C072A4"/>
    <w:multiLevelType w:val="multilevel"/>
    <w:tmpl w:val="25C072A4"/>
    <w:lvl w:ilvl="0" w:tentative="0">
      <w:start w:val="1"/>
      <w:numFmt w:val="decimal"/>
      <w:lvlText w:val="（%1）"/>
      <w:lvlJc w:val="left"/>
      <w:pPr>
        <w:tabs>
          <w:tab w:val="left" w:pos="483"/>
        </w:tabs>
        <w:ind w:firstLine="113"/>
      </w:pPr>
      <w:rPr>
        <w:rFonts w:hint="eastAsia" w:cs="Times New Roman"/>
        <w:lang w:val="en-US"/>
      </w:rPr>
    </w:lvl>
    <w:lvl w:ilvl="1" w:tentative="0">
      <w:start w:val="1"/>
      <w:numFmt w:val="decimalEnclosedCircle"/>
      <w:lvlText w:val="%2"/>
      <w:lvlJc w:val="left"/>
      <w:pPr>
        <w:tabs>
          <w:tab w:val="left" w:pos="1093"/>
        </w:tabs>
        <w:ind w:left="1093" w:hanging="360"/>
      </w:pPr>
      <w:rPr>
        <w:rFonts w:hint="default" w:cs="Times New Roman"/>
      </w:rPr>
    </w:lvl>
    <w:lvl w:ilvl="2" w:tentative="0">
      <w:start w:val="1"/>
      <w:numFmt w:val="lowerRoman"/>
      <w:lvlText w:val="%3."/>
      <w:lvlJc w:val="right"/>
      <w:pPr>
        <w:tabs>
          <w:tab w:val="left" w:pos="1573"/>
        </w:tabs>
        <w:ind w:left="1573" w:hanging="420"/>
      </w:pPr>
      <w:rPr>
        <w:rFonts w:cs="Times New Roman"/>
      </w:rPr>
    </w:lvl>
    <w:lvl w:ilvl="3" w:tentative="0">
      <w:start w:val="1"/>
      <w:numFmt w:val="decimal"/>
      <w:lvlText w:val="%4."/>
      <w:lvlJc w:val="left"/>
      <w:pPr>
        <w:tabs>
          <w:tab w:val="left" w:pos="1993"/>
        </w:tabs>
        <w:ind w:left="1993" w:hanging="420"/>
      </w:pPr>
      <w:rPr>
        <w:rFonts w:cs="Times New Roman"/>
      </w:rPr>
    </w:lvl>
    <w:lvl w:ilvl="4" w:tentative="0">
      <w:start w:val="1"/>
      <w:numFmt w:val="lowerLetter"/>
      <w:lvlText w:val="%5)"/>
      <w:lvlJc w:val="left"/>
      <w:pPr>
        <w:tabs>
          <w:tab w:val="left" w:pos="2413"/>
        </w:tabs>
        <w:ind w:left="2413" w:hanging="420"/>
      </w:pPr>
      <w:rPr>
        <w:rFonts w:cs="Times New Roman"/>
      </w:rPr>
    </w:lvl>
    <w:lvl w:ilvl="5" w:tentative="0">
      <w:start w:val="1"/>
      <w:numFmt w:val="lowerRoman"/>
      <w:lvlText w:val="%6."/>
      <w:lvlJc w:val="right"/>
      <w:pPr>
        <w:tabs>
          <w:tab w:val="left" w:pos="2833"/>
        </w:tabs>
        <w:ind w:left="2833" w:hanging="420"/>
      </w:pPr>
      <w:rPr>
        <w:rFonts w:cs="Times New Roman"/>
      </w:rPr>
    </w:lvl>
    <w:lvl w:ilvl="6" w:tentative="0">
      <w:start w:val="1"/>
      <w:numFmt w:val="decimal"/>
      <w:lvlText w:val="%7."/>
      <w:lvlJc w:val="left"/>
      <w:pPr>
        <w:tabs>
          <w:tab w:val="left" w:pos="3253"/>
        </w:tabs>
        <w:ind w:left="3253" w:hanging="420"/>
      </w:pPr>
      <w:rPr>
        <w:rFonts w:cs="Times New Roman"/>
      </w:rPr>
    </w:lvl>
    <w:lvl w:ilvl="7" w:tentative="0">
      <w:start w:val="1"/>
      <w:numFmt w:val="lowerLetter"/>
      <w:lvlText w:val="%8)"/>
      <w:lvlJc w:val="left"/>
      <w:pPr>
        <w:tabs>
          <w:tab w:val="left" w:pos="3673"/>
        </w:tabs>
        <w:ind w:left="3673" w:hanging="420"/>
      </w:pPr>
      <w:rPr>
        <w:rFonts w:cs="Times New Roman"/>
      </w:rPr>
    </w:lvl>
    <w:lvl w:ilvl="8" w:tentative="0">
      <w:start w:val="1"/>
      <w:numFmt w:val="lowerRoman"/>
      <w:lvlText w:val="%9."/>
      <w:lvlJc w:val="right"/>
      <w:pPr>
        <w:tabs>
          <w:tab w:val="left" w:pos="4093"/>
        </w:tabs>
        <w:ind w:left="4093" w:hanging="420"/>
      </w:pPr>
      <w:rPr>
        <w:rFonts w:cs="Times New Roman"/>
      </w:rPr>
    </w:lvl>
  </w:abstractNum>
  <w:abstractNum w:abstractNumId="4">
    <w:nsid w:val="2E8C64AC"/>
    <w:multiLevelType w:val="singleLevel"/>
    <w:tmpl w:val="2E8C64AC"/>
    <w:lvl w:ilvl="0" w:tentative="0">
      <w:start w:val="6"/>
      <w:numFmt w:val="upperLetter"/>
      <w:pStyle w:val="2"/>
      <w:lvlText w:val="%1、 "/>
      <w:legacy w:legacy="1" w:legacySpace="0" w:legacyIndent="552"/>
      <w:lvlJc w:val="left"/>
      <w:pPr>
        <w:ind w:left="3104" w:hanging="552"/>
      </w:pPr>
      <w:rPr>
        <w:rFonts w:hint="eastAsia" w:ascii="仿宋_GB2312" w:eastAsia="仿宋_GB2312" w:cs="Times New Roman"/>
        <w:b w:val="0"/>
        <w:i w:val="0"/>
        <w:sz w:val="28"/>
        <w:u w:val="none"/>
      </w:rPr>
    </w:lvl>
  </w:abstractNum>
  <w:abstractNum w:abstractNumId="5">
    <w:nsid w:val="3C804DFE"/>
    <w:multiLevelType w:val="multilevel"/>
    <w:tmpl w:val="3C804DFE"/>
    <w:lvl w:ilvl="0" w:tentative="0">
      <w:start w:val="1"/>
      <w:numFmt w:val="decimal"/>
      <w:lvlText w:val="%1、"/>
      <w:lvlJc w:val="left"/>
      <w:pPr>
        <w:tabs>
          <w:tab w:val="left" w:pos="-1"/>
        </w:tabs>
        <w:ind w:firstLine="284"/>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EDD36DC"/>
    <w:multiLevelType w:val="multilevel"/>
    <w:tmpl w:val="4EDD36DC"/>
    <w:lvl w:ilvl="0" w:tentative="0">
      <w:start w:val="1"/>
      <w:numFmt w:val="decimal"/>
      <w:lvlText w:val="%1."/>
      <w:lvlJc w:val="left"/>
      <w:pPr>
        <w:ind w:left="1048" w:hanging="480"/>
      </w:pPr>
      <w:rPr>
        <w:rFonts w:hint="eastAsia" w:cs="Times New Roman"/>
      </w:rPr>
    </w:lvl>
    <w:lvl w:ilvl="1" w:tentative="0">
      <w:start w:val="1"/>
      <w:numFmt w:val="lowerLetter"/>
      <w:lvlText w:val="%2)"/>
      <w:lvlJc w:val="left"/>
      <w:pPr>
        <w:ind w:left="1528" w:hanging="480"/>
      </w:pPr>
      <w:rPr>
        <w:rFonts w:cs="Times New Roman"/>
      </w:rPr>
    </w:lvl>
    <w:lvl w:ilvl="2" w:tentative="0">
      <w:start w:val="1"/>
      <w:numFmt w:val="lowerRoman"/>
      <w:lvlText w:val="%3."/>
      <w:lvlJc w:val="right"/>
      <w:pPr>
        <w:ind w:left="2008" w:hanging="480"/>
      </w:pPr>
      <w:rPr>
        <w:rFonts w:cs="Times New Roman"/>
      </w:rPr>
    </w:lvl>
    <w:lvl w:ilvl="3" w:tentative="0">
      <w:start w:val="1"/>
      <w:numFmt w:val="decimal"/>
      <w:lvlText w:val="%4."/>
      <w:lvlJc w:val="left"/>
      <w:pPr>
        <w:ind w:left="2488" w:hanging="480"/>
      </w:pPr>
      <w:rPr>
        <w:rFonts w:cs="Times New Roman"/>
      </w:rPr>
    </w:lvl>
    <w:lvl w:ilvl="4" w:tentative="0">
      <w:start w:val="1"/>
      <w:numFmt w:val="lowerLetter"/>
      <w:lvlText w:val="%5)"/>
      <w:lvlJc w:val="left"/>
      <w:pPr>
        <w:ind w:left="2968" w:hanging="480"/>
      </w:pPr>
      <w:rPr>
        <w:rFonts w:cs="Times New Roman"/>
      </w:rPr>
    </w:lvl>
    <w:lvl w:ilvl="5" w:tentative="0">
      <w:start w:val="1"/>
      <w:numFmt w:val="lowerRoman"/>
      <w:lvlText w:val="%6."/>
      <w:lvlJc w:val="right"/>
      <w:pPr>
        <w:ind w:left="3448" w:hanging="480"/>
      </w:pPr>
      <w:rPr>
        <w:rFonts w:cs="Times New Roman"/>
      </w:rPr>
    </w:lvl>
    <w:lvl w:ilvl="6" w:tentative="0">
      <w:start w:val="1"/>
      <w:numFmt w:val="decimal"/>
      <w:lvlText w:val="%7."/>
      <w:lvlJc w:val="left"/>
      <w:pPr>
        <w:ind w:left="3928" w:hanging="480"/>
      </w:pPr>
      <w:rPr>
        <w:rFonts w:cs="Times New Roman"/>
      </w:rPr>
    </w:lvl>
    <w:lvl w:ilvl="7" w:tentative="0">
      <w:start w:val="1"/>
      <w:numFmt w:val="lowerLetter"/>
      <w:lvlText w:val="%8)"/>
      <w:lvlJc w:val="left"/>
      <w:pPr>
        <w:ind w:left="4408" w:hanging="480"/>
      </w:pPr>
      <w:rPr>
        <w:rFonts w:cs="Times New Roman"/>
      </w:rPr>
    </w:lvl>
    <w:lvl w:ilvl="8" w:tentative="0">
      <w:start w:val="1"/>
      <w:numFmt w:val="lowerRoman"/>
      <w:lvlText w:val="%9."/>
      <w:lvlJc w:val="right"/>
      <w:pPr>
        <w:ind w:left="4888" w:hanging="480"/>
      </w:pPr>
      <w:rPr>
        <w:rFonts w:cs="Times New Roman"/>
      </w:rPr>
    </w:lvl>
  </w:abstractNum>
  <w:abstractNum w:abstractNumId="7">
    <w:nsid w:val="6056075F"/>
    <w:multiLevelType w:val="multilevel"/>
    <w:tmpl w:val="6056075F"/>
    <w:lvl w:ilvl="0" w:tentative="0">
      <w:start w:val="1"/>
      <w:numFmt w:val="decimal"/>
      <w:lvlText w:val="（%1）"/>
      <w:lvlJc w:val="left"/>
      <w:pPr>
        <w:tabs>
          <w:tab w:val="left" w:pos="0"/>
        </w:tabs>
        <w:ind w:firstLine="113"/>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7F720842"/>
    <w:multiLevelType w:val="multilevel"/>
    <w:tmpl w:val="7F720842"/>
    <w:lvl w:ilvl="0" w:tentative="0">
      <w:start w:val="1"/>
      <w:numFmt w:val="decimal"/>
      <w:lvlText w:val="（%1）"/>
      <w:lvlJc w:val="left"/>
      <w:pPr>
        <w:tabs>
          <w:tab w:val="left" w:pos="0"/>
        </w:tabs>
        <w:ind w:firstLine="113"/>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6"/>
  </w:num>
  <w:num w:numId="3">
    <w:abstractNumId w:val="1"/>
  </w:num>
  <w:num w:numId="4">
    <w:abstractNumId w:val="3"/>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rules v:ext="edit">
        <o:r id="V:Rule1" type="connector" idref="#AutoShape 11"/>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00867"/>
    <w:rsid w:val="00000649"/>
    <w:rsid w:val="0000072D"/>
    <w:rsid w:val="00000FAB"/>
    <w:rsid w:val="0000140A"/>
    <w:rsid w:val="000019AD"/>
    <w:rsid w:val="00001C7A"/>
    <w:rsid w:val="0000457D"/>
    <w:rsid w:val="00004A2A"/>
    <w:rsid w:val="00004D59"/>
    <w:rsid w:val="00005225"/>
    <w:rsid w:val="00005DF2"/>
    <w:rsid w:val="00005F5F"/>
    <w:rsid w:val="0000607A"/>
    <w:rsid w:val="00006495"/>
    <w:rsid w:val="00007728"/>
    <w:rsid w:val="000122A3"/>
    <w:rsid w:val="00014B10"/>
    <w:rsid w:val="00015292"/>
    <w:rsid w:val="0002013D"/>
    <w:rsid w:val="00020D89"/>
    <w:rsid w:val="00021742"/>
    <w:rsid w:val="00024657"/>
    <w:rsid w:val="0002485E"/>
    <w:rsid w:val="00024CB2"/>
    <w:rsid w:val="0002502C"/>
    <w:rsid w:val="00030079"/>
    <w:rsid w:val="000307B9"/>
    <w:rsid w:val="00030846"/>
    <w:rsid w:val="0003200C"/>
    <w:rsid w:val="00033D86"/>
    <w:rsid w:val="00037CFF"/>
    <w:rsid w:val="0004049C"/>
    <w:rsid w:val="00040EFA"/>
    <w:rsid w:val="0004104F"/>
    <w:rsid w:val="0004183C"/>
    <w:rsid w:val="00042B70"/>
    <w:rsid w:val="00042CB6"/>
    <w:rsid w:val="00043906"/>
    <w:rsid w:val="000446E7"/>
    <w:rsid w:val="00044FE8"/>
    <w:rsid w:val="0004506B"/>
    <w:rsid w:val="0004508D"/>
    <w:rsid w:val="00045542"/>
    <w:rsid w:val="000467D2"/>
    <w:rsid w:val="00046FF2"/>
    <w:rsid w:val="00047405"/>
    <w:rsid w:val="00051BE9"/>
    <w:rsid w:val="000552C8"/>
    <w:rsid w:val="0005548B"/>
    <w:rsid w:val="000561C9"/>
    <w:rsid w:val="000565B3"/>
    <w:rsid w:val="00056DDD"/>
    <w:rsid w:val="00056E1E"/>
    <w:rsid w:val="00057E23"/>
    <w:rsid w:val="00061212"/>
    <w:rsid w:val="00062866"/>
    <w:rsid w:val="00063728"/>
    <w:rsid w:val="00063998"/>
    <w:rsid w:val="000662A1"/>
    <w:rsid w:val="00066963"/>
    <w:rsid w:val="00066C44"/>
    <w:rsid w:val="000725DE"/>
    <w:rsid w:val="00073013"/>
    <w:rsid w:val="00073081"/>
    <w:rsid w:val="000737E1"/>
    <w:rsid w:val="00075E74"/>
    <w:rsid w:val="00076049"/>
    <w:rsid w:val="00076CE0"/>
    <w:rsid w:val="0007736B"/>
    <w:rsid w:val="000779DB"/>
    <w:rsid w:val="000816C6"/>
    <w:rsid w:val="0008178B"/>
    <w:rsid w:val="0008218D"/>
    <w:rsid w:val="000827A2"/>
    <w:rsid w:val="00082C1B"/>
    <w:rsid w:val="000831EC"/>
    <w:rsid w:val="00083826"/>
    <w:rsid w:val="000839CB"/>
    <w:rsid w:val="000841F1"/>
    <w:rsid w:val="00084571"/>
    <w:rsid w:val="00085867"/>
    <w:rsid w:val="0008694C"/>
    <w:rsid w:val="00091B97"/>
    <w:rsid w:val="000926A9"/>
    <w:rsid w:val="00092740"/>
    <w:rsid w:val="00092EF2"/>
    <w:rsid w:val="0009618A"/>
    <w:rsid w:val="000A0ECF"/>
    <w:rsid w:val="000A2E6D"/>
    <w:rsid w:val="000A3345"/>
    <w:rsid w:val="000A3C01"/>
    <w:rsid w:val="000A4157"/>
    <w:rsid w:val="000A57DB"/>
    <w:rsid w:val="000A6830"/>
    <w:rsid w:val="000B10F8"/>
    <w:rsid w:val="000B1D9F"/>
    <w:rsid w:val="000B2953"/>
    <w:rsid w:val="000B2A6D"/>
    <w:rsid w:val="000B2C2C"/>
    <w:rsid w:val="000B3F9F"/>
    <w:rsid w:val="000B47A0"/>
    <w:rsid w:val="000B4E45"/>
    <w:rsid w:val="000B548B"/>
    <w:rsid w:val="000B58D8"/>
    <w:rsid w:val="000B5CF9"/>
    <w:rsid w:val="000B6295"/>
    <w:rsid w:val="000B7F94"/>
    <w:rsid w:val="000C1423"/>
    <w:rsid w:val="000C237E"/>
    <w:rsid w:val="000C2880"/>
    <w:rsid w:val="000C2E18"/>
    <w:rsid w:val="000C3E6D"/>
    <w:rsid w:val="000C3EB4"/>
    <w:rsid w:val="000C452D"/>
    <w:rsid w:val="000C60AA"/>
    <w:rsid w:val="000C633C"/>
    <w:rsid w:val="000D1342"/>
    <w:rsid w:val="000D1884"/>
    <w:rsid w:val="000D33CC"/>
    <w:rsid w:val="000D3FEA"/>
    <w:rsid w:val="000D7DEA"/>
    <w:rsid w:val="000E0B21"/>
    <w:rsid w:val="000E0C01"/>
    <w:rsid w:val="000E0D04"/>
    <w:rsid w:val="000E12B3"/>
    <w:rsid w:val="000E29D3"/>
    <w:rsid w:val="000E345B"/>
    <w:rsid w:val="000E4723"/>
    <w:rsid w:val="000E4758"/>
    <w:rsid w:val="000E6AE8"/>
    <w:rsid w:val="000F267D"/>
    <w:rsid w:val="000F27FC"/>
    <w:rsid w:val="000F2C3B"/>
    <w:rsid w:val="000F37CD"/>
    <w:rsid w:val="000F40F2"/>
    <w:rsid w:val="000F5018"/>
    <w:rsid w:val="000F5FF1"/>
    <w:rsid w:val="000F645A"/>
    <w:rsid w:val="000F6E16"/>
    <w:rsid w:val="000F72CF"/>
    <w:rsid w:val="000F766F"/>
    <w:rsid w:val="000F7A69"/>
    <w:rsid w:val="00102C43"/>
    <w:rsid w:val="001031CB"/>
    <w:rsid w:val="00103BA6"/>
    <w:rsid w:val="0010531C"/>
    <w:rsid w:val="00106CA8"/>
    <w:rsid w:val="001071DA"/>
    <w:rsid w:val="00107C7F"/>
    <w:rsid w:val="00111333"/>
    <w:rsid w:val="0011163B"/>
    <w:rsid w:val="00111CF3"/>
    <w:rsid w:val="00112862"/>
    <w:rsid w:val="00113FF2"/>
    <w:rsid w:val="0011686E"/>
    <w:rsid w:val="001179EE"/>
    <w:rsid w:val="001200E6"/>
    <w:rsid w:val="001200F5"/>
    <w:rsid w:val="0012264C"/>
    <w:rsid w:val="00122B27"/>
    <w:rsid w:val="001240C7"/>
    <w:rsid w:val="00124E23"/>
    <w:rsid w:val="00124F3A"/>
    <w:rsid w:val="001255D2"/>
    <w:rsid w:val="0012647F"/>
    <w:rsid w:val="00127459"/>
    <w:rsid w:val="00127EBA"/>
    <w:rsid w:val="00131081"/>
    <w:rsid w:val="00132029"/>
    <w:rsid w:val="00132DAC"/>
    <w:rsid w:val="00133159"/>
    <w:rsid w:val="0013332E"/>
    <w:rsid w:val="00133AD9"/>
    <w:rsid w:val="001369D1"/>
    <w:rsid w:val="00136AB0"/>
    <w:rsid w:val="001406DA"/>
    <w:rsid w:val="00142461"/>
    <w:rsid w:val="001428E5"/>
    <w:rsid w:val="0014365F"/>
    <w:rsid w:val="00145360"/>
    <w:rsid w:val="0014749D"/>
    <w:rsid w:val="00152376"/>
    <w:rsid w:val="0015397E"/>
    <w:rsid w:val="001539B7"/>
    <w:rsid w:val="00154E8F"/>
    <w:rsid w:val="00155AC4"/>
    <w:rsid w:val="00155C14"/>
    <w:rsid w:val="0015617E"/>
    <w:rsid w:val="00161480"/>
    <w:rsid w:val="00161904"/>
    <w:rsid w:val="00162AC1"/>
    <w:rsid w:val="0016511A"/>
    <w:rsid w:val="001663C2"/>
    <w:rsid w:val="00166AE9"/>
    <w:rsid w:val="00166EB0"/>
    <w:rsid w:val="00167386"/>
    <w:rsid w:val="00171AE5"/>
    <w:rsid w:val="001735D8"/>
    <w:rsid w:val="00175ADD"/>
    <w:rsid w:val="001765E1"/>
    <w:rsid w:val="00176E96"/>
    <w:rsid w:val="00177F2D"/>
    <w:rsid w:val="00180A43"/>
    <w:rsid w:val="0018150D"/>
    <w:rsid w:val="00182471"/>
    <w:rsid w:val="00185807"/>
    <w:rsid w:val="001868C1"/>
    <w:rsid w:val="0019000D"/>
    <w:rsid w:val="00190156"/>
    <w:rsid w:val="00190F50"/>
    <w:rsid w:val="001928FD"/>
    <w:rsid w:val="00193922"/>
    <w:rsid w:val="001955AB"/>
    <w:rsid w:val="00196475"/>
    <w:rsid w:val="0019687E"/>
    <w:rsid w:val="00196CC2"/>
    <w:rsid w:val="00197781"/>
    <w:rsid w:val="001A048B"/>
    <w:rsid w:val="001A1365"/>
    <w:rsid w:val="001A184C"/>
    <w:rsid w:val="001A206C"/>
    <w:rsid w:val="001A349A"/>
    <w:rsid w:val="001A3661"/>
    <w:rsid w:val="001A6D3E"/>
    <w:rsid w:val="001A7CF6"/>
    <w:rsid w:val="001B1486"/>
    <w:rsid w:val="001B1948"/>
    <w:rsid w:val="001B268D"/>
    <w:rsid w:val="001B2851"/>
    <w:rsid w:val="001B2C6D"/>
    <w:rsid w:val="001B32FE"/>
    <w:rsid w:val="001B4084"/>
    <w:rsid w:val="001B447C"/>
    <w:rsid w:val="001B75FA"/>
    <w:rsid w:val="001C01D8"/>
    <w:rsid w:val="001C0868"/>
    <w:rsid w:val="001C1766"/>
    <w:rsid w:val="001C1A19"/>
    <w:rsid w:val="001C29A9"/>
    <w:rsid w:val="001C33C7"/>
    <w:rsid w:val="001C3E35"/>
    <w:rsid w:val="001C5E5C"/>
    <w:rsid w:val="001C673F"/>
    <w:rsid w:val="001C700D"/>
    <w:rsid w:val="001D02B3"/>
    <w:rsid w:val="001D0BBD"/>
    <w:rsid w:val="001D25D0"/>
    <w:rsid w:val="001D35EB"/>
    <w:rsid w:val="001D36E2"/>
    <w:rsid w:val="001D54A0"/>
    <w:rsid w:val="001D6FB2"/>
    <w:rsid w:val="001D7389"/>
    <w:rsid w:val="001E0585"/>
    <w:rsid w:val="001E383E"/>
    <w:rsid w:val="001E3F56"/>
    <w:rsid w:val="001E412C"/>
    <w:rsid w:val="001E413D"/>
    <w:rsid w:val="001E44A6"/>
    <w:rsid w:val="001E6FA8"/>
    <w:rsid w:val="001F08C1"/>
    <w:rsid w:val="001F0C8C"/>
    <w:rsid w:val="001F0EAC"/>
    <w:rsid w:val="001F103C"/>
    <w:rsid w:val="001F11EB"/>
    <w:rsid w:val="001F3575"/>
    <w:rsid w:val="001F41B0"/>
    <w:rsid w:val="001F518D"/>
    <w:rsid w:val="001F562E"/>
    <w:rsid w:val="001F6613"/>
    <w:rsid w:val="001F6DAD"/>
    <w:rsid w:val="001F7127"/>
    <w:rsid w:val="002008BF"/>
    <w:rsid w:val="00202E4C"/>
    <w:rsid w:val="00203542"/>
    <w:rsid w:val="002058FD"/>
    <w:rsid w:val="00205A45"/>
    <w:rsid w:val="00206656"/>
    <w:rsid w:val="00206AA0"/>
    <w:rsid w:val="00207F92"/>
    <w:rsid w:val="00211D80"/>
    <w:rsid w:val="00211DC6"/>
    <w:rsid w:val="00213C4E"/>
    <w:rsid w:val="00214A5B"/>
    <w:rsid w:val="0021514F"/>
    <w:rsid w:val="00215380"/>
    <w:rsid w:val="0021672E"/>
    <w:rsid w:val="00216B69"/>
    <w:rsid w:val="0022047A"/>
    <w:rsid w:val="00220B96"/>
    <w:rsid w:val="00221169"/>
    <w:rsid w:val="00221447"/>
    <w:rsid w:val="0022175E"/>
    <w:rsid w:val="00221891"/>
    <w:rsid w:val="00222C37"/>
    <w:rsid w:val="00223C15"/>
    <w:rsid w:val="00224384"/>
    <w:rsid w:val="00225B86"/>
    <w:rsid w:val="002262DB"/>
    <w:rsid w:val="00227473"/>
    <w:rsid w:val="0023011D"/>
    <w:rsid w:val="00230286"/>
    <w:rsid w:val="00230DD4"/>
    <w:rsid w:val="00233AD8"/>
    <w:rsid w:val="00233B4D"/>
    <w:rsid w:val="002347A8"/>
    <w:rsid w:val="00234AE6"/>
    <w:rsid w:val="00237971"/>
    <w:rsid w:val="00237BD9"/>
    <w:rsid w:val="00240111"/>
    <w:rsid w:val="002411BF"/>
    <w:rsid w:val="00241C9F"/>
    <w:rsid w:val="00241CA5"/>
    <w:rsid w:val="00242C27"/>
    <w:rsid w:val="0024620A"/>
    <w:rsid w:val="00246F1F"/>
    <w:rsid w:val="002507D1"/>
    <w:rsid w:val="002508ED"/>
    <w:rsid w:val="00250921"/>
    <w:rsid w:val="00250C0D"/>
    <w:rsid w:val="00251C6B"/>
    <w:rsid w:val="00254508"/>
    <w:rsid w:val="0025492F"/>
    <w:rsid w:val="002552C4"/>
    <w:rsid w:val="00260ABB"/>
    <w:rsid w:val="00260B2E"/>
    <w:rsid w:val="00261CC4"/>
    <w:rsid w:val="00262D5A"/>
    <w:rsid w:val="0026308B"/>
    <w:rsid w:val="002640B1"/>
    <w:rsid w:val="00264550"/>
    <w:rsid w:val="0026537D"/>
    <w:rsid w:val="00265437"/>
    <w:rsid w:val="00265F1C"/>
    <w:rsid w:val="00266817"/>
    <w:rsid w:val="002679FB"/>
    <w:rsid w:val="00267D9A"/>
    <w:rsid w:val="00270259"/>
    <w:rsid w:val="00270D0B"/>
    <w:rsid w:val="002726B8"/>
    <w:rsid w:val="0027349C"/>
    <w:rsid w:val="002740A8"/>
    <w:rsid w:val="00276E8C"/>
    <w:rsid w:val="00276F2B"/>
    <w:rsid w:val="00280499"/>
    <w:rsid w:val="00284364"/>
    <w:rsid w:val="0028481F"/>
    <w:rsid w:val="00284839"/>
    <w:rsid w:val="00287456"/>
    <w:rsid w:val="00287F55"/>
    <w:rsid w:val="00290CA9"/>
    <w:rsid w:val="00294679"/>
    <w:rsid w:val="002947DE"/>
    <w:rsid w:val="0029505C"/>
    <w:rsid w:val="00295EA8"/>
    <w:rsid w:val="002962A9"/>
    <w:rsid w:val="00296DDC"/>
    <w:rsid w:val="002974B6"/>
    <w:rsid w:val="002A0034"/>
    <w:rsid w:val="002A21D1"/>
    <w:rsid w:val="002A2EE8"/>
    <w:rsid w:val="002A490B"/>
    <w:rsid w:val="002A4AB7"/>
    <w:rsid w:val="002A4B50"/>
    <w:rsid w:val="002A4E88"/>
    <w:rsid w:val="002A5CA3"/>
    <w:rsid w:val="002A6128"/>
    <w:rsid w:val="002A7D0F"/>
    <w:rsid w:val="002B03CB"/>
    <w:rsid w:val="002B205A"/>
    <w:rsid w:val="002B35D1"/>
    <w:rsid w:val="002B4B4A"/>
    <w:rsid w:val="002B5016"/>
    <w:rsid w:val="002B6D6E"/>
    <w:rsid w:val="002B71E2"/>
    <w:rsid w:val="002C1D0E"/>
    <w:rsid w:val="002C30AA"/>
    <w:rsid w:val="002C473A"/>
    <w:rsid w:val="002C4E27"/>
    <w:rsid w:val="002C5ABA"/>
    <w:rsid w:val="002C7CDB"/>
    <w:rsid w:val="002D0556"/>
    <w:rsid w:val="002D128B"/>
    <w:rsid w:val="002D1E29"/>
    <w:rsid w:val="002D222C"/>
    <w:rsid w:val="002D2A1A"/>
    <w:rsid w:val="002D2F55"/>
    <w:rsid w:val="002D44B8"/>
    <w:rsid w:val="002D4647"/>
    <w:rsid w:val="002D58BE"/>
    <w:rsid w:val="002D7526"/>
    <w:rsid w:val="002E0720"/>
    <w:rsid w:val="002E3189"/>
    <w:rsid w:val="002E3800"/>
    <w:rsid w:val="002E3BD1"/>
    <w:rsid w:val="002E5115"/>
    <w:rsid w:val="002E56EB"/>
    <w:rsid w:val="002E5C64"/>
    <w:rsid w:val="002E70EE"/>
    <w:rsid w:val="002E7BB0"/>
    <w:rsid w:val="002E7F8D"/>
    <w:rsid w:val="002F090F"/>
    <w:rsid w:val="002F1D2D"/>
    <w:rsid w:val="002F29C8"/>
    <w:rsid w:val="002F3215"/>
    <w:rsid w:val="002F3EDE"/>
    <w:rsid w:val="002F41C4"/>
    <w:rsid w:val="002F575A"/>
    <w:rsid w:val="002F5BC0"/>
    <w:rsid w:val="002F6FFC"/>
    <w:rsid w:val="003001F5"/>
    <w:rsid w:val="003004F7"/>
    <w:rsid w:val="00300AFA"/>
    <w:rsid w:val="003011A7"/>
    <w:rsid w:val="00301B84"/>
    <w:rsid w:val="00304322"/>
    <w:rsid w:val="00306934"/>
    <w:rsid w:val="00314AD9"/>
    <w:rsid w:val="003154B6"/>
    <w:rsid w:val="0031680C"/>
    <w:rsid w:val="003169FF"/>
    <w:rsid w:val="00317904"/>
    <w:rsid w:val="00317F3C"/>
    <w:rsid w:val="003211D5"/>
    <w:rsid w:val="003279D7"/>
    <w:rsid w:val="00327BF4"/>
    <w:rsid w:val="00330819"/>
    <w:rsid w:val="00331CA4"/>
    <w:rsid w:val="00331ED1"/>
    <w:rsid w:val="0033289F"/>
    <w:rsid w:val="003328E3"/>
    <w:rsid w:val="00333624"/>
    <w:rsid w:val="0033364C"/>
    <w:rsid w:val="0033547D"/>
    <w:rsid w:val="00336E82"/>
    <w:rsid w:val="00337E74"/>
    <w:rsid w:val="00340A99"/>
    <w:rsid w:val="0034128D"/>
    <w:rsid w:val="00343DC3"/>
    <w:rsid w:val="003442E7"/>
    <w:rsid w:val="003452AD"/>
    <w:rsid w:val="003465D6"/>
    <w:rsid w:val="003501A0"/>
    <w:rsid w:val="00350D62"/>
    <w:rsid w:val="003523FF"/>
    <w:rsid w:val="0035471D"/>
    <w:rsid w:val="0035549F"/>
    <w:rsid w:val="0035667E"/>
    <w:rsid w:val="00357FF3"/>
    <w:rsid w:val="00360369"/>
    <w:rsid w:val="0036085B"/>
    <w:rsid w:val="00361021"/>
    <w:rsid w:val="003611CC"/>
    <w:rsid w:val="003614A2"/>
    <w:rsid w:val="00361BB5"/>
    <w:rsid w:val="0036224D"/>
    <w:rsid w:val="00362C15"/>
    <w:rsid w:val="0036351B"/>
    <w:rsid w:val="003669F3"/>
    <w:rsid w:val="00367574"/>
    <w:rsid w:val="003701B0"/>
    <w:rsid w:val="0037193D"/>
    <w:rsid w:val="003727F7"/>
    <w:rsid w:val="00372A88"/>
    <w:rsid w:val="00372C7C"/>
    <w:rsid w:val="00373080"/>
    <w:rsid w:val="00374EEF"/>
    <w:rsid w:val="00374F2C"/>
    <w:rsid w:val="00376CF9"/>
    <w:rsid w:val="003847B8"/>
    <w:rsid w:val="00385A41"/>
    <w:rsid w:val="0038672B"/>
    <w:rsid w:val="00390030"/>
    <w:rsid w:val="003906E9"/>
    <w:rsid w:val="00392EC9"/>
    <w:rsid w:val="003935D2"/>
    <w:rsid w:val="003940E5"/>
    <w:rsid w:val="003944FD"/>
    <w:rsid w:val="003945D8"/>
    <w:rsid w:val="003951B0"/>
    <w:rsid w:val="00395379"/>
    <w:rsid w:val="0039657F"/>
    <w:rsid w:val="0039679E"/>
    <w:rsid w:val="0039680D"/>
    <w:rsid w:val="00396E11"/>
    <w:rsid w:val="0039784C"/>
    <w:rsid w:val="003A0610"/>
    <w:rsid w:val="003A0706"/>
    <w:rsid w:val="003A10AD"/>
    <w:rsid w:val="003A39A2"/>
    <w:rsid w:val="003A4102"/>
    <w:rsid w:val="003A4B03"/>
    <w:rsid w:val="003A5D55"/>
    <w:rsid w:val="003A6153"/>
    <w:rsid w:val="003A64B6"/>
    <w:rsid w:val="003A7E49"/>
    <w:rsid w:val="003B0627"/>
    <w:rsid w:val="003B0672"/>
    <w:rsid w:val="003B2598"/>
    <w:rsid w:val="003B3239"/>
    <w:rsid w:val="003B46D1"/>
    <w:rsid w:val="003B4E8F"/>
    <w:rsid w:val="003B61A8"/>
    <w:rsid w:val="003B6346"/>
    <w:rsid w:val="003C00C3"/>
    <w:rsid w:val="003C2529"/>
    <w:rsid w:val="003C29D6"/>
    <w:rsid w:val="003C3875"/>
    <w:rsid w:val="003C3929"/>
    <w:rsid w:val="003C3E4B"/>
    <w:rsid w:val="003C4744"/>
    <w:rsid w:val="003C558C"/>
    <w:rsid w:val="003C55F3"/>
    <w:rsid w:val="003C656E"/>
    <w:rsid w:val="003C6B3C"/>
    <w:rsid w:val="003C7983"/>
    <w:rsid w:val="003C7A32"/>
    <w:rsid w:val="003D2927"/>
    <w:rsid w:val="003D37B2"/>
    <w:rsid w:val="003D3F2D"/>
    <w:rsid w:val="003D417B"/>
    <w:rsid w:val="003D43F5"/>
    <w:rsid w:val="003D48ED"/>
    <w:rsid w:val="003D4FA1"/>
    <w:rsid w:val="003D5312"/>
    <w:rsid w:val="003D6C32"/>
    <w:rsid w:val="003D7B3F"/>
    <w:rsid w:val="003E048F"/>
    <w:rsid w:val="003E17D4"/>
    <w:rsid w:val="003E3D24"/>
    <w:rsid w:val="003F17A3"/>
    <w:rsid w:val="003F5BBA"/>
    <w:rsid w:val="003F72F0"/>
    <w:rsid w:val="004000D0"/>
    <w:rsid w:val="00400601"/>
    <w:rsid w:val="004007D6"/>
    <w:rsid w:val="00401BF6"/>
    <w:rsid w:val="00402933"/>
    <w:rsid w:val="00402C32"/>
    <w:rsid w:val="004035B5"/>
    <w:rsid w:val="00403EB5"/>
    <w:rsid w:val="00407021"/>
    <w:rsid w:val="00415F7A"/>
    <w:rsid w:val="004206B4"/>
    <w:rsid w:val="0042156D"/>
    <w:rsid w:val="00422845"/>
    <w:rsid w:val="00422AFB"/>
    <w:rsid w:val="004234B1"/>
    <w:rsid w:val="00426027"/>
    <w:rsid w:val="0042606A"/>
    <w:rsid w:val="004269EC"/>
    <w:rsid w:val="004278B2"/>
    <w:rsid w:val="00430673"/>
    <w:rsid w:val="004307AE"/>
    <w:rsid w:val="00431283"/>
    <w:rsid w:val="004319E1"/>
    <w:rsid w:val="004331A6"/>
    <w:rsid w:val="004332E8"/>
    <w:rsid w:val="004334BB"/>
    <w:rsid w:val="00433CCF"/>
    <w:rsid w:val="00435FC8"/>
    <w:rsid w:val="00436133"/>
    <w:rsid w:val="004368E3"/>
    <w:rsid w:val="004411DB"/>
    <w:rsid w:val="00444086"/>
    <w:rsid w:val="004453AE"/>
    <w:rsid w:val="00446D1E"/>
    <w:rsid w:val="00446E93"/>
    <w:rsid w:val="0044719A"/>
    <w:rsid w:val="00447D85"/>
    <w:rsid w:val="0045046A"/>
    <w:rsid w:val="00450499"/>
    <w:rsid w:val="00452B1E"/>
    <w:rsid w:val="00453C17"/>
    <w:rsid w:val="0045433F"/>
    <w:rsid w:val="00454FA9"/>
    <w:rsid w:val="00455498"/>
    <w:rsid w:val="00455E63"/>
    <w:rsid w:val="004575A4"/>
    <w:rsid w:val="0046003F"/>
    <w:rsid w:val="00460EF2"/>
    <w:rsid w:val="0046333B"/>
    <w:rsid w:val="00463758"/>
    <w:rsid w:val="00464E08"/>
    <w:rsid w:val="00465E56"/>
    <w:rsid w:val="004675A2"/>
    <w:rsid w:val="004719A9"/>
    <w:rsid w:val="00471A3F"/>
    <w:rsid w:val="00472701"/>
    <w:rsid w:val="004826D8"/>
    <w:rsid w:val="0048280E"/>
    <w:rsid w:val="0048624B"/>
    <w:rsid w:val="0048649C"/>
    <w:rsid w:val="004873D7"/>
    <w:rsid w:val="00494088"/>
    <w:rsid w:val="00495F3D"/>
    <w:rsid w:val="004963AD"/>
    <w:rsid w:val="004A0A4E"/>
    <w:rsid w:val="004A2CBF"/>
    <w:rsid w:val="004A340E"/>
    <w:rsid w:val="004A3FEA"/>
    <w:rsid w:val="004A49D3"/>
    <w:rsid w:val="004A4DE8"/>
    <w:rsid w:val="004A58EE"/>
    <w:rsid w:val="004B0836"/>
    <w:rsid w:val="004B0899"/>
    <w:rsid w:val="004B1328"/>
    <w:rsid w:val="004B3A6D"/>
    <w:rsid w:val="004B4597"/>
    <w:rsid w:val="004B5989"/>
    <w:rsid w:val="004B6AC3"/>
    <w:rsid w:val="004B7A2A"/>
    <w:rsid w:val="004C06C4"/>
    <w:rsid w:val="004C178A"/>
    <w:rsid w:val="004D0DBE"/>
    <w:rsid w:val="004D74FE"/>
    <w:rsid w:val="004D7530"/>
    <w:rsid w:val="004E2E1D"/>
    <w:rsid w:val="004E3255"/>
    <w:rsid w:val="004E53EE"/>
    <w:rsid w:val="004E6881"/>
    <w:rsid w:val="004E7384"/>
    <w:rsid w:val="004E78F8"/>
    <w:rsid w:val="004E7BAA"/>
    <w:rsid w:val="004F06B5"/>
    <w:rsid w:val="004F073D"/>
    <w:rsid w:val="004F22BA"/>
    <w:rsid w:val="004F3A9A"/>
    <w:rsid w:val="004F3C86"/>
    <w:rsid w:val="004F46BB"/>
    <w:rsid w:val="004F4C8F"/>
    <w:rsid w:val="004F613B"/>
    <w:rsid w:val="004F61C9"/>
    <w:rsid w:val="004F73EB"/>
    <w:rsid w:val="004F76F3"/>
    <w:rsid w:val="00500C83"/>
    <w:rsid w:val="00500C9C"/>
    <w:rsid w:val="005040E3"/>
    <w:rsid w:val="00504883"/>
    <w:rsid w:val="005057D4"/>
    <w:rsid w:val="0050634E"/>
    <w:rsid w:val="00510E24"/>
    <w:rsid w:val="00510FE7"/>
    <w:rsid w:val="005129D1"/>
    <w:rsid w:val="00513110"/>
    <w:rsid w:val="00515418"/>
    <w:rsid w:val="00515E99"/>
    <w:rsid w:val="00517968"/>
    <w:rsid w:val="00520A7F"/>
    <w:rsid w:val="00521408"/>
    <w:rsid w:val="00522915"/>
    <w:rsid w:val="00522D80"/>
    <w:rsid w:val="0052316D"/>
    <w:rsid w:val="00524968"/>
    <w:rsid w:val="00524D78"/>
    <w:rsid w:val="00526DEB"/>
    <w:rsid w:val="00527D02"/>
    <w:rsid w:val="005316D9"/>
    <w:rsid w:val="00532663"/>
    <w:rsid w:val="00532A84"/>
    <w:rsid w:val="00532DAC"/>
    <w:rsid w:val="00533335"/>
    <w:rsid w:val="005333CB"/>
    <w:rsid w:val="00534FE0"/>
    <w:rsid w:val="0053689A"/>
    <w:rsid w:val="00537657"/>
    <w:rsid w:val="00537745"/>
    <w:rsid w:val="00537CB8"/>
    <w:rsid w:val="00542170"/>
    <w:rsid w:val="00544D86"/>
    <w:rsid w:val="00547946"/>
    <w:rsid w:val="00550E8F"/>
    <w:rsid w:val="00552902"/>
    <w:rsid w:val="00552D69"/>
    <w:rsid w:val="0055307A"/>
    <w:rsid w:val="00553235"/>
    <w:rsid w:val="0055364F"/>
    <w:rsid w:val="005544C6"/>
    <w:rsid w:val="00554DC7"/>
    <w:rsid w:val="00555095"/>
    <w:rsid w:val="00556268"/>
    <w:rsid w:val="00561E16"/>
    <w:rsid w:val="005629BB"/>
    <w:rsid w:val="00564094"/>
    <w:rsid w:val="005649B0"/>
    <w:rsid w:val="00566173"/>
    <w:rsid w:val="0056649A"/>
    <w:rsid w:val="00566EBC"/>
    <w:rsid w:val="00571AFD"/>
    <w:rsid w:val="0057344C"/>
    <w:rsid w:val="00573EDD"/>
    <w:rsid w:val="005743E2"/>
    <w:rsid w:val="00574458"/>
    <w:rsid w:val="005763BA"/>
    <w:rsid w:val="00582A27"/>
    <w:rsid w:val="005845E8"/>
    <w:rsid w:val="005853C3"/>
    <w:rsid w:val="00585488"/>
    <w:rsid w:val="005865A9"/>
    <w:rsid w:val="005869D4"/>
    <w:rsid w:val="0059187C"/>
    <w:rsid w:val="00594208"/>
    <w:rsid w:val="0059531D"/>
    <w:rsid w:val="00597C10"/>
    <w:rsid w:val="00597ED4"/>
    <w:rsid w:val="005A1E06"/>
    <w:rsid w:val="005A1F5C"/>
    <w:rsid w:val="005A2CD0"/>
    <w:rsid w:val="005A35AE"/>
    <w:rsid w:val="005A3748"/>
    <w:rsid w:val="005A3F65"/>
    <w:rsid w:val="005A44B1"/>
    <w:rsid w:val="005A48AD"/>
    <w:rsid w:val="005A6BAA"/>
    <w:rsid w:val="005A704C"/>
    <w:rsid w:val="005A7283"/>
    <w:rsid w:val="005A7821"/>
    <w:rsid w:val="005B019D"/>
    <w:rsid w:val="005B16A3"/>
    <w:rsid w:val="005B1CC2"/>
    <w:rsid w:val="005B29E1"/>
    <w:rsid w:val="005B3A6D"/>
    <w:rsid w:val="005B5E06"/>
    <w:rsid w:val="005C1AEA"/>
    <w:rsid w:val="005C31BF"/>
    <w:rsid w:val="005C5E2A"/>
    <w:rsid w:val="005D079F"/>
    <w:rsid w:val="005D1708"/>
    <w:rsid w:val="005D1FA0"/>
    <w:rsid w:val="005D2AAF"/>
    <w:rsid w:val="005D4CB4"/>
    <w:rsid w:val="005D59B5"/>
    <w:rsid w:val="005D5E97"/>
    <w:rsid w:val="005D615C"/>
    <w:rsid w:val="005D7FD0"/>
    <w:rsid w:val="005E13C1"/>
    <w:rsid w:val="005E414F"/>
    <w:rsid w:val="005E462B"/>
    <w:rsid w:val="005E4E06"/>
    <w:rsid w:val="005E5227"/>
    <w:rsid w:val="005E59E3"/>
    <w:rsid w:val="005E5B5B"/>
    <w:rsid w:val="005E5C33"/>
    <w:rsid w:val="005E5FF9"/>
    <w:rsid w:val="005F034B"/>
    <w:rsid w:val="005F0D9B"/>
    <w:rsid w:val="005F10CF"/>
    <w:rsid w:val="005F1201"/>
    <w:rsid w:val="005F329B"/>
    <w:rsid w:val="005F3A4F"/>
    <w:rsid w:val="005F43D6"/>
    <w:rsid w:val="005F4FDF"/>
    <w:rsid w:val="0060093E"/>
    <w:rsid w:val="0060169C"/>
    <w:rsid w:val="0060238E"/>
    <w:rsid w:val="0060255A"/>
    <w:rsid w:val="006034BD"/>
    <w:rsid w:val="006037CD"/>
    <w:rsid w:val="006055A6"/>
    <w:rsid w:val="00607775"/>
    <w:rsid w:val="00610033"/>
    <w:rsid w:val="00611130"/>
    <w:rsid w:val="00612ED1"/>
    <w:rsid w:val="006136D0"/>
    <w:rsid w:val="006145EC"/>
    <w:rsid w:val="00614648"/>
    <w:rsid w:val="006173C5"/>
    <w:rsid w:val="006201C1"/>
    <w:rsid w:val="00620BD7"/>
    <w:rsid w:val="00621501"/>
    <w:rsid w:val="006222B8"/>
    <w:rsid w:val="00622A36"/>
    <w:rsid w:val="0062499E"/>
    <w:rsid w:val="00624CB1"/>
    <w:rsid w:val="006251FF"/>
    <w:rsid w:val="00625787"/>
    <w:rsid w:val="00625B6F"/>
    <w:rsid w:val="00626763"/>
    <w:rsid w:val="00626849"/>
    <w:rsid w:val="00627488"/>
    <w:rsid w:val="006276D5"/>
    <w:rsid w:val="006325DD"/>
    <w:rsid w:val="006333C2"/>
    <w:rsid w:val="00634EF7"/>
    <w:rsid w:val="00634F37"/>
    <w:rsid w:val="00635548"/>
    <w:rsid w:val="00635965"/>
    <w:rsid w:val="00637645"/>
    <w:rsid w:val="00637682"/>
    <w:rsid w:val="00637712"/>
    <w:rsid w:val="00637C63"/>
    <w:rsid w:val="00643FCD"/>
    <w:rsid w:val="006500A1"/>
    <w:rsid w:val="00651054"/>
    <w:rsid w:val="00652E06"/>
    <w:rsid w:val="006537BF"/>
    <w:rsid w:val="00653F43"/>
    <w:rsid w:val="00653FD5"/>
    <w:rsid w:val="00654616"/>
    <w:rsid w:val="00655A0B"/>
    <w:rsid w:val="00660EB4"/>
    <w:rsid w:val="006611D2"/>
    <w:rsid w:val="006617B6"/>
    <w:rsid w:val="00662E7F"/>
    <w:rsid w:val="0066612B"/>
    <w:rsid w:val="00666951"/>
    <w:rsid w:val="00666C7D"/>
    <w:rsid w:val="00667019"/>
    <w:rsid w:val="00667150"/>
    <w:rsid w:val="006673FF"/>
    <w:rsid w:val="006674BC"/>
    <w:rsid w:val="00671E92"/>
    <w:rsid w:val="0067232F"/>
    <w:rsid w:val="0067336E"/>
    <w:rsid w:val="0067376C"/>
    <w:rsid w:val="00674176"/>
    <w:rsid w:val="0067482B"/>
    <w:rsid w:val="006760BE"/>
    <w:rsid w:val="0067664E"/>
    <w:rsid w:val="00676B89"/>
    <w:rsid w:val="00677D48"/>
    <w:rsid w:val="0068071F"/>
    <w:rsid w:val="00680B1E"/>
    <w:rsid w:val="00683748"/>
    <w:rsid w:val="00683A1B"/>
    <w:rsid w:val="00684D58"/>
    <w:rsid w:val="006855C1"/>
    <w:rsid w:val="00687353"/>
    <w:rsid w:val="00687D84"/>
    <w:rsid w:val="00690079"/>
    <w:rsid w:val="00690C06"/>
    <w:rsid w:val="006913EB"/>
    <w:rsid w:val="006916C6"/>
    <w:rsid w:val="00692BCD"/>
    <w:rsid w:val="00695684"/>
    <w:rsid w:val="00697295"/>
    <w:rsid w:val="00697EF1"/>
    <w:rsid w:val="006A0196"/>
    <w:rsid w:val="006A09D3"/>
    <w:rsid w:val="006A1AB3"/>
    <w:rsid w:val="006A3309"/>
    <w:rsid w:val="006A6C50"/>
    <w:rsid w:val="006A7669"/>
    <w:rsid w:val="006B17D6"/>
    <w:rsid w:val="006B3189"/>
    <w:rsid w:val="006B3BDF"/>
    <w:rsid w:val="006B5E9D"/>
    <w:rsid w:val="006B66AF"/>
    <w:rsid w:val="006B785D"/>
    <w:rsid w:val="006C026F"/>
    <w:rsid w:val="006C11AC"/>
    <w:rsid w:val="006C13AE"/>
    <w:rsid w:val="006C3B88"/>
    <w:rsid w:val="006C3F75"/>
    <w:rsid w:val="006C40CC"/>
    <w:rsid w:val="006C494F"/>
    <w:rsid w:val="006C5471"/>
    <w:rsid w:val="006C5B54"/>
    <w:rsid w:val="006D27AB"/>
    <w:rsid w:val="006D3B28"/>
    <w:rsid w:val="006D4022"/>
    <w:rsid w:val="006D4811"/>
    <w:rsid w:val="006D48CC"/>
    <w:rsid w:val="006D59BE"/>
    <w:rsid w:val="006D7330"/>
    <w:rsid w:val="006D76E9"/>
    <w:rsid w:val="006E04EE"/>
    <w:rsid w:val="006E37E0"/>
    <w:rsid w:val="006E3E40"/>
    <w:rsid w:val="006E5BB9"/>
    <w:rsid w:val="006E618C"/>
    <w:rsid w:val="006E69F6"/>
    <w:rsid w:val="006F1D56"/>
    <w:rsid w:val="006F22D9"/>
    <w:rsid w:val="006F38A9"/>
    <w:rsid w:val="006F398D"/>
    <w:rsid w:val="006F4762"/>
    <w:rsid w:val="006F52EE"/>
    <w:rsid w:val="006F5EE0"/>
    <w:rsid w:val="006F6C9C"/>
    <w:rsid w:val="006F7799"/>
    <w:rsid w:val="007002F8"/>
    <w:rsid w:val="00700B0C"/>
    <w:rsid w:val="00700DB2"/>
    <w:rsid w:val="00703D59"/>
    <w:rsid w:val="00703DDF"/>
    <w:rsid w:val="00704321"/>
    <w:rsid w:val="007063B9"/>
    <w:rsid w:val="00707219"/>
    <w:rsid w:val="00707A10"/>
    <w:rsid w:val="00707D42"/>
    <w:rsid w:val="00713D0A"/>
    <w:rsid w:val="0071432E"/>
    <w:rsid w:val="007144A4"/>
    <w:rsid w:val="00714D26"/>
    <w:rsid w:val="007165E7"/>
    <w:rsid w:val="00716BCA"/>
    <w:rsid w:val="007171D5"/>
    <w:rsid w:val="0071746C"/>
    <w:rsid w:val="00717948"/>
    <w:rsid w:val="00720C19"/>
    <w:rsid w:val="0072209C"/>
    <w:rsid w:val="00723181"/>
    <w:rsid w:val="0072332D"/>
    <w:rsid w:val="00724755"/>
    <w:rsid w:val="007253D6"/>
    <w:rsid w:val="0072547E"/>
    <w:rsid w:val="00725CE5"/>
    <w:rsid w:val="00726619"/>
    <w:rsid w:val="0072797D"/>
    <w:rsid w:val="007303CD"/>
    <w:rsid w:val="00730528"/>
    <w:rsid w:val="00730E94"/>
    <w:rsid w:val="0073125E"/>
    <w:rsid w:val="00731D2D"/>
    <w:rsid w:val="00733697"/>
    <w:rsid w:val="00733A8D"/>
    <w:rsid w:val="007340D2"/>
    <w:rsid w:val="00734736"/>
    <w:rsid w:val="0073761A"/>
    <w:rsid w:val="007402A0"/>
    <w:rsid w:val="00740B51"/>
    <w:rsid w:val="00741405"/>
    <w:rsid w:val="0074179D"/>
    <w:rsid w:val="00744B48"/>
    <w:rsid w:val="007452A1"/>
    <w:rsid w:val="0074642D"/>
    <w:rsid w:val="00747CEF"/>
    <w:rsid w:val="00750FB0"/>
    <w:rsid w:val="00752613"/>
    <w:rsid w:val="00753694"/>
    <w:rsid w:val="007542C3"/>
    <w:rsid w:val="00754602"/>
    <w:rsid w:val="00756649"/>
    <w:rsid w:val="0075686E"/>
    <w:rsid w:val="00757172"/>
    <w:rsid w:val="00760F9A"/>
    <w:rsid w:val="007613C9"/>
    <w:rsid w:val="00761667"/>
    <w:rsid w:val="00761D21"/>
    <w:rsid w:val="007626A3"/>
    <w:rsid w:val="00763F71"/>
    <w:rsid w:val="00764196"/>
    <w:rsid w:val="007646F7"/>
    <w:rsid w:val="0076569C"/>
    <w:rsid w:val="007706E2"/>
    <w:rsid w:val="0077080D"/>
    <w:rsid w:val="00771F6E"/>
    <w:rsid w:val="0077229F"/>
    <w:rsid w:val="00772DDA"/>
    <w:rsid w:val="00772EE5"/>
    <w:rsid w:val="00773E53"/>
    <w:rsid w:val="007760B8"/>
    <w:rsid w:val="00776859"/>
    <w:rsid w:val="0077724A"/>
    <w:rsid w:val="007773F2"/>
    <w:rsid w:val="00780DE6"/>
    <w:rsid w:val="0078160F"/>
    <w:rsid w:val="007825C5"/>
    <w:rsid w:val="00783077"/>
    <w:rsid w:val="007843BF"/>
    <w:rsid w:val="00785289"/>
    <w:rsid w:val="007860A0"/>
    <w:rsid w:val="007904DA"/>
    <w:rsid w:val="00790F52"/>
    <w:rsid w:val="00791E85"/>
    <w:rsid w:val="00793597"/>
    <w:rsid w:val="00796FD4"/>
    <w:rsid w:val="007A0ECF"/>
    <w:rsid w:val="007A1AB3"/>
    <w:rsid w:val="007A2783"/>
    <w:rsid w:val="007A2904"/>
    <w:rsid w:val="007A3E7C"/>
    <w:rsid w:val="007A448F"/>
    <w:rsid w:val="007A53C2"/>
    <w:rsid w:val="007A596C"/>
    <w:rsid w:val="007A6A10"/>
    <w:rsid w:val="007A6AAC"/>
    <w:rsid w:val="007B001D"/>
    <w:rsid w:val="007B00EC"/>
    <w:rsid w:val="007B08F4"/>
    <w:rsid w:val="007B0CA5"/>
    <w:rsid w:val="007B12A6"/>
    <w:rsid w:val="007B206D"/>
    <w:rsid w:val="007B2468"/>
    <w:rsid w:val="007B333E"/>
    <w:rsid w:val="007B3BB3"/>
    <w:rsid w:val="007B482D"/>
    <w:rsid w:val="007B5398"/>
    <w:rsid w:val="007B56BC"/>
    <w:rsid w:val="007B56F1"/>
    <w:rsid w:val="007B5862"/>
    <w:rsid w:val="007B5F5D"/>
    <w:rsid w:val="007C18B2"/>
    <w:rsid w:val="007C327A"/>
    <w:rsid w:val="007C3517"/>
    <w:rsid w:val="007C4301"/>
    <w:rsid w:val="007C468E"/>
    <w:rsid w:val="007C4EE5"/>
    <w:rsid w:val="007C7827"/>
    <w:rsid w:val="007D0AD1"/>
    <w:rsid w:val="007D179A"/>
    <w:rsid w:val="007D1C93"/>
    <w:rsid w:val="007D29E7"/>
    <w:rsid w:val="007D3782"/>
    <w:rsid w:val="007D4F50"/>
    <w:rsid w:val="007D723A"/>
    <w:rsid w:val="007D7CDC"/>
    <w:rsid w:val="007E038F"/>
    <w:rsid w:val="007E09B1"/>
    <w:rsid w:val="007E4AF3"/>
    <w:rsid w:val="007F00CC"/>
    <w:rsid w:val="007F217A"/>
    <w:rsid w:val="007F28CE"/>
    <w:rsid w:val="007F2E35"/>
    <w:rsid w:val="007F44A2"/>
    <w:rsid w:val="007F4A4D"/>
    <w:rsid w:val="007F5454"/>
    <w:rsid w:val="007F5AA8"/>
    <w:rsid w:val="007F67B5"/>
    <w:rsid w:val="007F7192"/>
    <w:rsid w:val="00801685"/>
    <w:rsid w:val="00801BE7"/>
    <w:rsid w:val="00802FE3"/>
    <w:rsid w:val="008036C5"/>
    <w:rsid w:val="008043A3"/>
    <w:rsid w:val="00806A5F"/>
    <w:rsid w:val="0080712A"/>
    <w:rsid w:val="00810577"/>
    <w:rsid w:val="00810A38"/>
    <w:rsid w:val="00811707"/>
    <w:rsid w:val="00812577"/>
    <w:rsid w:val="008129FF"/>
    <w:rsid w:val="00812AA9"/>
    <w:rsid w:val="0081431F"/>
    <w:rsid w:val="00817B60"/>
    <w:rsid w:val="00821B36"/>
    <w:rsid w:val="00821F0E"/>
    <w:rsid w:val="0082375F"/>
    <w:rsid w:val="0082468D"/>
    <w:rsid w:val="00824769"/>
    <w:rsid w:val="00825509"/>
    <w:rsid w:val="00826B25"/>
    <w:rsid w:val="00826C0F"/>
    <w:rsid w:val="008275EE"/>
    <w:rsid w:val="00831A60"/>
    <w:rsid w:val="008322E2"/>
    <w:rsid w:val="00833B0C"/>
    <w:rsid w:val="00834AC4"/>
    <w:rsid w:val="00834AE5"/>
    <w:rsid w:val="008351E1"/>
    <w:rsid w:val="00835DD9"/>
    <w:rsid w:val="008369D2"/>
    <w:rsid w:val="008416D1"/>
    <w:rsid w:val="00841D57"/>
    <w:rsid w:val="00842498"/>
    <w:rsid w:val="008428C6"/>
    <w:rsid w:val="00844779"/>
    <w:rsid w:val="00844AB9"/>
    <w:rsid w:val="00844DDA"/>
    <w:rsid w:val="00845A9A"/>
    <w:rsid w:val="00846E4E"/>
    <w:rsid w:val="008473CF"/>
    <w:rsid w:val="00847D94"/>
    <w:rsid w:val="00850237"/>
    <w:rsid w:val="00852F9C"/>
    <w:rsid w:val="00853915"/>
    <w:rsid w:val="00854226"/>
    <w:rsid w:val="00855D47"/>
    <w:rsid w:val="00856ED9"/>
    <w:rsid w:val="00860165"/>
    <w:rsid w:val="008610E3"/>
    <w:rsid w:val="008619CE"/>
    <w:rsid w:val="008626BC"/>
    <w:rsid w:val="00862EDB"/>
    <w:rsid w:val="00863305"/>
    <w:rsid w:val="0086493E"/>
    <w:rsid w:val="00866D50"/>
    <w:rsid w:val="00866EF0"/>
    <w:rsid w:val="00867BAE"/>
    <w:rsid w:val="00871253"/>
    <w:rsid w:val="00871AA3"/>
    <w:rsid w:val="00871FFC"/>
    <w:rsid w:val="00872F1D"/>
    <w:rsid w:val="00875C12"/>
    <w:rsid w:val="0087604A"/>
    <w:rsid w:val="00880261"/>
    <w:rsid w:val="008818F2"/>
    <w:rsid w:val="00881A19"/>
    <w:rsid w:val="00884266"/>
    <w:rsid w:val="00884B6D"/>
    <w:rsid w:val="00886024"/>
    <w:rsid w:val="00890781"/>
    <w:rsid w:val="00891136"/>
    <w:rsid w:val="00894324"/>
    <w:rsid w:val="008946E9"/>
    <w:rsid w:val="0089497D"/>
    <w:rsid w:val="00895D37"/>
    <w:rsid w:val="008A0781"/>
    <w:rsid w:val="008A084C"/>
    <w:rsid w:val="008A11C2"/>
    <w:rsid w:val="008A6488"/>
    <w:rsid w:val="008A66F9"/>
    <w:rsid w:val="008B1ADF"/>
    <w:rsid w:val="008B23DC"/>
    <w:rsid w:val="008B264F"/>
    <w:rsid w:val="008B2AD3"/>
    <w:rsid w:val="008B4EB2"/>
    <w:rsid w:val="008B69D3"/>
    <w:rsid w:val="008C06EB"/>
    <w:rsid w:val="008C16D8"/>
    <w:rsid w:val="008C1EAA"/>
    <w:rsid w:val="008C2E64"/>
    <w:rsid w:val="008C3512"/>
    <w:rsid w:val="008C36A4"/>
    <w:rsid w:val="008C5E67"/>
    <w:rsid w:val="008C68B9"/>
    <w:rsid w:val="008D1746"/>
    <w:rsid w:val="008D1ED4"/>
    <w:rsid w:val="008D243C"/>
    <w:rsid w:val="008D34AC"/>
    <w:rsid w:val="008D3AA8"/>
    <w:rsid w:val="008D608E"/>
    <w:rsid w:val="008E05A5"/>
    <w:rsid w:val="008E47BE"/>
    <w:rsid w:val="008E4B04"/>
    <w:rsid w:val="008E56E4"/>
    <w:rsid w:val="008E694F"/>
    <w:rsid w:val="008E6D74"/>
    <w:rsid w:val="008E6E91"/>
    <w:rsid w:val="008F06E4"/>
    <w:rsid w:val="008F1291"/>
    <w:rsid w:val="008F147B"/>
    <w:rsid w:val="008F1DAB"/>
    <w:rsid w:val="008F242B"/>
    <w:rsid w:val="008F3540"/>
    <w:rsid w:val="008F3D59"/>
    <w:rsid w:val="008F44B5"/>
    <w:rsid w:val="008F48BB"/>
    <w:rsid w:val="008F5F60"/>
    <w:rsid w:val="008F6D7A"/>
    <w:rsid w:val="009002E9"/>
    <w:rsid w:val="009007DF"/>
    <w:rsid w:val="009012F1"/>
    <w:rsid w:val="0090159D"/>
    <w:rsid w:val="0090255F"/>
    <w:rsid w:val="009028B4"/>
    <w:rsid w:val="0090304B"/>
    <w:rsid w:val="0090465A"/>
    <w:rsid w:val="009054D6"/>
    <w:rsid w:val="00906C60"/>
    <w:rsid w:val="009073CB"/>
    <w:rsid w:val="00907B21"/>
    <w:rsid w:val="00907D0F"/>
    <w:rsid w:val="00907D5E"/>
    <w:rsid w:val="00910105"/>
    <w:rsid w:val="00912248"/>
    <w:rsid w:val="00912946"/>
    <w:rsid w:val="00915323"/>
    <w:rsid w:val="0091617B"/>
    <w:rsid w:val="00917516"/>
    <w:rsid w:val="00917D6E"/>
    <w:rsid w:val="00921757"/>
    <w:rsid w:val="00923A92"/>
    <w:rsid w:val="00927FC7"/>
    <w:rsid w:val="00931B32"/>
    <w:rsid w:val="00932FEA"/>
    <w:rsid w:val="00933B79"/>
    <w:rsid w:val="00933EDF"/>
    <w:rsid w:val="009340F9"/>
    <w:rsid w:val="00936A5A"/>
    <w:rsid w:val="009411BC"/>
    <w:rsid w:val="00941A77"/>
    <w:rsid w:val="00942559"/>
    <w:rsid w:val="009427C5"/>
    <w:rsid w:val="00942B11"/>
    <w:rsid w:val="00943896"/>
    <w:rsid w:val="0094406D"/>
    <w:rsid w:val="00944199"/>
    <w:rsid w:val="00945588"/>
    <w:rsid w:val="00945A52"/>
    <w:rsid w:val="0094638D"/>
    <w:rsid w:val="009506DB"/>
    <w:rsid w:val="00950950"/>
    <w:rsid w:val="00953023"/>
    <w:rsid w:val="0095449D"/>
    <w:rsid w:val="00954FED"/>
    <w:rsid w:val="00961246"/>
    <w:rsid w:val="00961DC3"/>
    <w:rsid w:val="00962C9C"/>
    <w:rsid w:val="0096449F"/>
    <w:rsid w:val="0096610C"/>
    <w:rsid w:val="00966F86"/>
    <w:rsid w:val="0096771D"/>
    <w:rsid w:val="0096778C"/>
    <w:rsid w:val="00967C8E"/>
    <w:rsid w:val="00970AFF"/>
    <w:rsid w:val="009712F8"/>
    <w:rsid w:val="00972635"/>
    <w:rsid w:val="00973C9D"/>
    <w:rsid w:val="00973F63"/>
    <w:rsid w:val="0097443D"/>
    <w:rsid w:val="00974C37"/>
    <w:rsid w:val="00976686"/>
    <w:rsid w:val="00976CCC"/>
    <w:rsid w:val="00980FD4"/>
    <w:rsid w:val="00982A92"/>
    <w:rsid w:val="00984535"/>
    <w:rsid w:val="009853EF"/>
    <w:rsid w:val="00986B22"/>
    <w:rsid w:val="0099100C"/>
    <w:rsid w:val="0099201F"/>
    <w:rsid w:val="0099298A"/>
    <w:rsid w:val="00993059"/>
    <w:rsid w:val="0099414D"/>
    <w:rsid w:val="009949D8"/>
    <w:rsid w:val="009977DD"/>
    <w:rsid w:val="009A24AE"/>
    <w:rsid w:val="009A2ADD"/>
    <w:rsid w:val="009A3124"/>
    <w:rsid w:val="009A4A54"/>
    <w:rsid w:val="009A4B51"/>
    <w:rsid w:val="009A65AB"/>
    <w:rsid w:val="009A7F7E"/>
    <w:rsid w:val="009B0053"/>
    <w:rsid w:val="009B4ACC"/>
    <w:rsid w:val="009B69C1"/>
    <w:rsid w:val="009B7FC3"/>
    <w:rsid w:val="009C1AD4"/>
    <w:rsid w:val="009C228D"/>
    <w:rsid w:val="009C2384"/>
    <w:rsid w:val="009C32F4"/>
    <w:rsid w:val="009C3621"/>
    <w:rsid w:val="009C6434"/>
    <w:rsid w:val="009D0DCB"/>
    <w:rsid w:val="009D11A4"/>
    <w:rsid w:val="009D1B7E"/>
    <w:rsid w:val="009D23B1"/>
    <w:rsid w:val="009D2752"/>
    <w:rsid w:val="009D3412"/>
    <w:rsid w:val="009D60DD"/>
    <w:rsid w:val="009D6BAF"/>
    <w:rsid w:val="009D787C"/>
    <w:rsid w:val="009E00B9"/>
    <w:rsid w:val="009E068E"/>
    <w:rsid w:val="009E1C55"/>
    <w:rsid w:val="009E2CAB"/>
    <w:rsid w:val="009E4364"/>
    <w:rsid w:val="009E5A3F"/>
    <w:rsid w:val="009E5E57"/>
    <w:rsid w:val="009E5F4B"/>
    <w:rsid w:val="009E7778"/>
    <w:rsid w:val="009F00DB"/>
    <w:rsid w:val="009F12B4"/>
    <w:rsid w:val="009F1742"/>
    <w:rsid w:val="009F287C"/>
    <w:rsid w:val="009F7842"/>
    <w:rsid w:val="009F78F9"/>
    <w:rsid w:val="00A001AD"/>
    <w:rsid w:val="00A020D8"/>
    <w:rsid w:val="00A0262E"/>
    <w:rsid w:val="00A02A41"/>
    <w:rsid w:val="00A03096"/>
    <w:rsid w:val="00A04936"/>
    <w:rsid w:val="00A05690"/>
    <w:rsid w:val="00A05B70"/>
    <w:rsid w:val="00A05FE6"/>
    <w:rsid w:val="00A060A2"/>
    <w:rsid w:val="00A0655C"/>
    <w:rsid w:val="00A07862"/>
    <w:rsid w:val="00A07BAC"/>
    <w:rsid w:val="00A07BDB"/>
    <w:rsid w:val="00A12DE2"/>
    <w:rsid w:val="00A130AE"/>
    <w:rsid w:val="00A1405F"/>
    <w:rsid w:val="00A16A7A"/>
    <w:rsid w:val="00A16D87"/>
    <w:rsid w:val="00A16DC8"/>
    <w:rsid w:val="00A20186"/>
    <w:rsid w:val="00A2244D"/>
    <w:rsid w:val="00A240F0"/>
    <w:rsid w:val="00A244E0"/>
    <w:rsid w:val="00A249DA"/>
    <w:rsid w:val="00A257C0"/>
    <w:rsid w:val="00A315CF"/>
    <w:rsid w:val="00A3190C"/>
    <w:rsid w:val="00A31ED5"/>
    <w:rsid w:val="00A32371"/>
    <w:rsid w:val="00A34AE5"/>
    <w:rsid w:val="00A34E7A"/>
    <w:rsid w:val="00A355E1"/>
    <w:rsid w:val="00A4112C"/>
    <w:rsid w:val="00A43A52"/>
    <w:rsid w:val="00A43F8E"/>
    <w:rsid w:val="00A44170"/>
    <w:rsid w:val="00A44904"/>
    <w:rsid w:val="00A4493D"/>
    <w:rsid w:val="00A44BD9"/>
    <w:rsid w:val="00A45AA3"/>
    <w:rsid w:val="00A472F1"/>
    <w:rsid w:val="00A47525"/>
    <w:rsid w:val="00A50BEE"/>
    <w:rsid w:val="00A511C5"/>
    <w:rsid w:val="00A51D33"/>
    <w:rsid w:val="00A521AF"/>
    <w:rsid w:val="00A52BE2"/>
    <w:rsid w:val="00A52E0F"/>
    <w:rsid w:val="00A5397C"/>
    <w:rsid w:val="00A54C62"/>
    <w:rsid w:val="00A563AF"/>
    <w:rsid w:val="00A565A7"/>
    <w:rsid w:val="00A56A0B"/>
    <w:rsid w:val="00A56AEC"/>
    <w:rsid w:val="00A57075"/>
    <w:rsid w:val="00A57110"/>
    <w:rsid w:val="00A57417"/>
    <w:rsid w:val="00A620E8"/>
    <w:rsid w:val="00A62AC9"/>
    <w:rsid w:val="00A64E01"/>
    <w:rsid w:val="00A65351"/>
    <w:rsid w:val="00A65BB5"/>
    <w:rsid w:val="00A71A97"/>
    <w:rsid w:val="00A72BE1"/>
    <w:rsid w:val="00A751A8"/>
    <w:rsid w:val="00A775B1"/>
    <w:rsid w:val="00A82838"/>
    <w:rsid w:val="00A832DA"/>
    <w:rsid w:val="00A833F6"/>
    <w:rsid w:val="00A83AAB"/>
    <w:rsid w:val="00A8448E"/>
    <w:rsid w:val="00A84D95"/>
    <w:rsid w:val="00A85115"/>
    <w:rsid w:val="00A87A42"/>
    <w:rsid w:val="00A92FA0"/>
    <w:rsid w:val="00A947AE"/>
    <w:rsid w:val="00A94B60"/>
    <w:rsid w:val="00A971D1"/>
    <w:rsid w:val="00A9756F"/>
    <w:rsid w:val="00AA1292"/>
    <w:rsid w:val="00AA3EB0"/>
    <w:rsid w:val="00AA40AC"/>
    <w:rsid w:val="00AA7DCC"/>
    <w:rsid w:val="00AB2DC0"/>
    <w:rsid w:val="00AB2EA5"/>
    <w:rsid w:val="00AB38C0"/>
    <w:rsid w:val="00AB77D7"/>
    <w:rsid w:val="00AC05C2"/>
    <w:rsid w:val="00AC1990"/>
    <w:rsid w:val="00AC2637"/>
    <w:rsid w:val="00AC33BC"/>
    <w:rsid w:val="00AC6985"/>
    <w:rsid w:val="00AD0C3C"/>
    <w:rsid w:val="00AD24CB"/>
    <w:rsid w:val="00AD38D3"/>
    <w:rsid w:val="00AD56E6"/>
    <w:rsid w:val="00AD6747"/>
    <w:rsid w:val="00AE0312"/>
    <w:rsid w:val="00AE04F9"/>
    <w:rsid w:val="00AE1188"/>
    <w:rsid w:val="00AE4330"/>
    <w:rsid w:val="00AE4BE9"/>
    <w:rsid w:val="00AE4FA8"/>
    <w:rsid w:val="00AE5BFA"/>
    <w:rsid w:val="00AE70A4"/>
    <w:rsid w:val="00AE765D"/>
    <w:rsid w:val="00AF0D49"/>
    <w:rsid w:val="00AF10C2"/>
    <w:rsid w:val="00AF1A7F"/>
    <w:rsid w:val="00AF1D78"/>
    <w:rsid w:val="00AF1D93"/>
    <w:rsid w:val="00AF2021"/>
    <w:rsid w:val="00AF6797"/>
    <w:rsid w:val="00B00621"/>
    <w:rsid w:val="00B014E6"/>
    <w:rsid w:val="00B02165"/>
    <w:rsid w:val="00B029F2"/>
    <w:rsid w:val="00B02D6A"/>
    <w:rsid w:val="00B036C9"/>
    <w:rsid w:val="00B042B6"/>
    <w:rsid w:val="00B06FE0"/>
    <w:rsid w:val="00B07828"/>
    <w:rsid w:val="00B100E7"/>
    <w:rsid w:val="00B1215F"/>
    <w:rsid w:val="00B128B8"/>
    <w:rsid w:val="00B12AEB"/>
    <w:rsid w:val="00B139BE"/>
    <w:rsid w:val="00B13D89"/>
    <w:rsid w:val="00B1440D"/>
    <w:rsid w:val="00B160B1"/>
    <w:rsid w:val="00B16CD6"/>
    <w:rsid w:val="00B20926"/>
    <w:rsid w:val="00B216D6"/>
    <w:rsid w:val="00B22227"/>
    <w:rsid w:val="00B252AF"/>
    <w:rsid w:val="00B2557E"/>
    <w:rsid w:val="00B259EB"/>
    <w:rsid w:val="00B31A42"/>
    <w:rsid w:val="00B31E6C"/>
    <w:rsid w:val="00B33ED4"/>
    <w:rsid w:val="00B340BE"/>
    <w:rsid w:val="00B34C20"/>
    <w:rsid w:val="00B35D59"/>
    <w:rsid w:val="00B35D8C"/>
    <w:rsid w:val="00B36571"/>
    <w:rsid w:val="00B4106C"/>
    <w:rsid w:val="00B41A3D"/>
    <w:rsid w:val="00B41F7A"/>
    <w:rsid w:val="00B42641"/>
    <w:rsid w:val="00B429C3"/>
    <w:rsid w:val="00B43544"/>
    <w:rsid w:val="00B44CCD"/>
    <w:rsid w:val="00B4540A"/>
    <w:rsid w:val="00B45BB9"/>
    <w:rsid w:val="00B466E9"/>
    <w:rsid w:val="00B47C16"/>
    <w:rsid w:val="00B504A8"/>
    <w:rsid w:val="00B50A68"/>
    <w:rsid w:val="00B54727"/>
    <w:rsid w:val="00B550E7"/>
    <w:rsid w:val="00B55EBA"/>
    <w:rsid w:val="00B55F28"/>
    <w:rsid w:val="00B56B9B"/>
    <w:rsid w:val="00B607CF"/>
    <w:rsid w:val="00B62CB0"/>
    <w:rsid w:val="00B657DD"/>
    <w:rsid w:val="00B6781F"/>
    <w:rsid w:val="00B67B50"/>
    <w:rsid w:val="00B70613"/>
    <w:rsid w:val="00B7106E"/>
    <w:rsid w:val="00B7183A"/>
    <w:rsid w:val="00B71F40"/>
    <w:rsid w:val="00B726FF"/>
    <w:rsid w:val="00B75696"/>
    <w:rsid w:val="00B769A9"/>
    <w:rsid w:val="00B810D7"/>
    <w:rsid w:val="00B83290"/>
    <w:rsid w:val="00B8417B"/>
    <w:rsid w:val="00B8608A"/>
    <w:rsid w:val="00B860E1"/>
    <w:rsid w:val="00B86333"/>
    <w:rsid w:val="00B86F70"/>
    <w:rsid w:val="00B9009F"/>
    <w:rsid w:val="00B90B3D"/>
    <w:rsid w:val="00B9131C"/>
    <w:rsid w:val="00B92508"/>
    <w:rsid w:val="00B92FBD"/>
    <w:rsid w:val="00B93B5C"/>
    <w:rsid w:val="00B943A6"/>
    <w:rsid w:val="00B94401"/>
    <w:rsid w:val="00B95801"/>
    <w:rsid w:val="00B962DE"/>
    <w:rsid w:val="00B97FB4"/>
    <w:rsid w:val="00BA0552"/>
    <w:rsid w:val="00BA3961"/>
    <w:rsid w:val="00BA3E83"/>
    <w:rsid w:val="00BA6AD3"/>
    <w:rsid w:val="00BA6B1F"/>
    <w:rsid w:val="00BA720D"/>
    <w:rsid w:val="00BB159D"/>
    <w:rsid w:val="00BB183A"/>
    <w:rsid w:val="00BB2690"/>
    <w:rsid w:val="00BB3348"/>
    <w:rsid w:val="00BB3674"/>
    <w:rsid w:val="00BB540A"/>
    <w:rsid w:val="00BB5CA4"/>
    <w:rsid w:val="00BB64AC"/>
    <w:rsid w:val="00BB6537"/>
    <w:rsid w:val="00BB762A"/>
    <w:rsid w:val="00BC2A39"/>
    <w:rsid w:val="00BC3F9E"/>
    <w:rsid w:val="00BC6287"/>
    <w:rsid w:val="00BC792B"/>
    <w:rsid w:val="00BD000C"/>
    <w:rsid w:val="00BD1E61"/>
    <w:rsid w:val="00BD216D"/>
    <w:rsid w:val="00BD2EBB"/>
    <w:rsid w:val="00BD362F"/>
    <w:rsid w:val="00BD363C"/>
    <w:rsid w:val="00BD3C18"/>
    <w:rsid w:val="00BD54D2"/>
    <w:rsid w:val="00BD6231"/>
    <w:rsid w:val="00BD6A19"/>
    <w:rsid w:val="00BD6BBF"/>
    <w:rsid w:val="00BE1098"/>
    <w:rsid w:val="00BE1536"/>
    <w:rsid w:val="00BE2EB2"/>
    <w:rsid w:val="00BE34DB"/>
    <w:rsid w:val="00BE3924"/>
    <w:rsid w:val="00BE3F5D"/>
    <w:rsid w:val="00BE4AA4"/>
    <w:rsid w:val="00BE542A"/>
    <w:rsid w:val="00BE6D6A"/>
    <w:rsid w:val="00BE738D"/>
    <w:rsid w:val="00BE74A8"/>
    <w:rsid w:val="00BE7945"/>
    <w:rsid w:val="00BF01D7"/>
    <w:rsid w:val="00BF07AD"/>
    <w:rsid w:val="00BF0B3C"/>
    <w:rsid w:val="00BF2727"/>
    <w:rsid w:val="00BF45F2"/>
    <w:rsid w:val="00BF6E51"/>
    <w:rsid w:val="00C0070A"/>
    <w:rsid w:val="00C01F14"/>
    <w:rsid w:val="00C02F89"/>
    <w:rsid w:val="00C03896"/>
    <w:rsid w:val="00C0425C"/>
    <w:rsid w:val="00C101C3"/>
    <w:rsid w:val="00C113C1"/>
    <w:rsid w:val="00C122FC"/>
    <w:rsid w:val="00C124FD"/>
    <w:rsid w:val="00C12579"/>
    <w:rsid w:val="00C13F1D"/>
    <w:rsid w:val="00C14385"/>
    <w:rsid w:val="00C156FB"/>
    <w:rsid w:val="00C16058"/>
    <w:rsid w:val="00C17C7D"/>
    <w:rsid w:val="00C208B7"/>
    <w:rsid w:val="00C21224"/>
    <w:rsid w:val="00C26913"/>
    <w:rsid w:val="00C270CC"/>
    <w:rsid w:val="00C27B3E"/>
    <w:rsid w:val="00C30525"/>
    <w:rsid w:val="00C314AC"/>
    <w:rsid w:val="00C31FF7"/>
    <w:rsid w:val="00C33144"/>
    <w:rsid w:val="00C3346C"/>
    <w:rsid w:val="00C3541C"/>
    <w:rsid w:val="00C4349C"/>
    <w:rsid w:val="00C43811"/>
    <w:rsid w:val="00C4395D"/>
    <w:rsid w:val="00C43FF8"/>
    <w:rsid w:val="00C4565E"/>
    <w:rsid w:val="00C466AF"/>
    <w:rsid w:val="00C46D17"/>
    <w:rsid w:val="00C46EA1"/>
    <w:rsid w:val="00C53748"/>
    <w:rsid w:val="00C53D5A"/>
    <w:rsid w:val="00C5454F"/>
    <w:rsid w:val="00C56984"/>
    <w:rsid w:val="00C61808"/>
    <w:rsid w:val="00C61908"/>
    <w:rsid w:val="00C626D6"/>
    <w:rsid w:val="00C63848"/>
    <w:rsid w:val="00C646B4"/>
    <w:rsid w:val="00C64C10"/>
    <w:rsid w:val="00C6557F"/>
    <w:rsid w:val="00C670FE"/>
    <w:rsid w:val="00C708A4"/>
    <w:rsid w:val="00C709F8"/>
    <w:rsid w:val="00C70C56"/>
    <w:rsid w:val="00C71575"/>
    <w:rsid w:val="00C71712"/>
    <w:rsid w:val="00C71A4E"/>
    <w:rsid w:val="00C73ACF"/>
    <w:rsid w:val="00C80BD4"/>
    <w:rsid w:val="00C81784"/>
    <w:rsid w:val="00C825DB"/>
    <w:rsid w:val="00C8605E"/>
    <w:rsid w:val="00C86CFE"/>
    <w:rsid w:val="00C86EBE"/>
    <w:rsid w:val="00C91BF5"/>
    <w:rsid w:val="00C9367D"/>
    <w:rsid w:val="00C93878"/>
    <w:rsid w:val="00C959B9"/>
    <w:rsid w:val="00C95DE0"/>
    <w:rsid w:val="00C96620"/>
    <w:rsid w:val="00C9735D"/>
    <w:rsid w:val="00CA1C26"/>
    <w:rsid w:val="00CA1CD8"/>
    <w:rsid w:val="00CA2066"/>
    <w:rsid w:val="00CA2693"/>
    <w:rsid w:val="00CA307B"/>
    <w:rsid w:val="00CA3571"/>
    <w:rsid w:val="00CA3F28"/>
    <w:rsid w:val="00CA3F54"/>
    <w:rsid w:val="00CA4575"/>
    <w:rsid w:val="00CA6BB8"/>
    <w:rsid w:val="00CB0625"/>
    <w:rsid w:val="00CB0B5D"/>
    <w:rsid w:val="00CB2CAA"/>
    <w:rsid w:val="00CB42FE"/>
    <w:rsid w:val="00CB75A0"/>
    <w:rsid w:val="00CC1F92"/>
    <w:rsid w:val="00CC2967"/>
    <w:rsid w:val="00CC4398"/>
    <w:rsid w:val="00CC4788"/>
    <w:rsid w:val="00CC56BE"/>
    <w:rsid w:val="00CC56C7"/>
    <w:rsid w:val="00CC5BEE"/>
    <w:rsid w:val="00CC7049"/>
    <w:rsid w:val="00CC7337"/>
    <w:rsid w:val="00CC7AB2"/>
    <w:rsid w:val="00CD02B1"/>
    <w:rsid w:val="00CD1A86"/>
    <w:rsid w:val="00CD24CD"/>
    <w:rsid w:val="00CD5A39"/>
    <w:rsid w:val="00CD5FAD"/>
    <w:rsid w:val="00CD7121"/>
    <w:rsid w:val="00CE0B6E"/>
    <w:rsid w:val="00CE0C54"/>
    <w:rsid w:val="00CE2E20"/>
    <w:rsid w:val="00CE3517"/>
    <w:rsid w:val="00CE3EFC"/>
    <w:rsid w:val="00CE41C0"/>
    <w:rsid w:val="00CE440F"/>
    <w:rsid w:val="00CF0274"/>
    <w:rsid w:val="00CF1E28"/>
    <w:rsid w:val="00CF2C4E"/>
    <w:rsid w:val="00D0076E"/>
    <w:rsid w:val="00D01437"/>
    <w:rsid w:val="00D0154A"/>
    <w:rsid w:val="00D01730"/>
    <w:rsid w:val="00D04304"/>
    <w:rsid w:val="00D0753E"/>
    <w:rsid w:val="00D07A2A"/>
    <w:rsid w:val="00D07BC8"/>
    <w:rsid w:val="00D14D3C"/>
    <w:rsid w:val="00D15127"/>
    <w:rsid w:val="00D15E76"/>
    <w:rsid w:val="00D1625A"/>
    <w:rsid w:val="00D22750"/>
    <w:rsid w:val="00D23F84"/>
    <w:rsid w:val="00D24DC4"/>
    <w:rsid w:val="00D2560F"/>
    <w:rsid w:val="00D25A8E"/>
    <w:rsid w:val="00D273A2"/>
    <w:rsid w:val="00D27BB7"/>
    <w:rsid w:val="00D314FC"/>
    <w:rsid w:val="00D33ECC"/>
    <w:rsid w:val="00D3573B"/>
    <w:rsid w:val="00D3574B"/>
    <w:rsid w:val="00D36E0D"/>
    <w:rsid w:val="00D40C0A"/>
    <w:rsid w:val="00D40EA9"/>
    <w:rsid w:val="00D436CF"/>
    <w:rsid w:val="00D4437D"/>
    <w:rsid w:val="00D45BB0"/>
    <w:rsid w:val="00D45F34"/>
    <w:rsid w:val="00D50724"/>
    <w:rsid w:val="00D51C07"/>
    <w:rsid w:val="00D5258C"/>
    <w:rsid w:val="00D57330"/>
    <w:rsid w:val="00D60CA8"/>
    <w:rsid w:val="00D61BD5"/>
    <w:rsid w:val="00D626DB"/>
    <w:rsid w:val="00D62984"/>
    <w:rsid w:val="00D63FEF"/>
    <w:rsid w:val="00D646A9"/>
    <w:rsid w:val="00D64C3A"/>
    <w:rsid w:val="00D65D43"/>
    <w:rsid w:val="00D65FD7"/>
    <w:rsid w:val="00D66434"/>
    <w:rsid w:val="00D66693"/>
    <w:rsid w:val="00D71635"/>
    <w:rsid w:val="00D728C9"/>
    <w:rsid w:val="00D73FB5"/>
    <w:rsid w:val="00D75490"/>
    <w:rsid w:val="00D754AD"/>
    <w:rsid w:val="00D75E55"/>
    <w:rsid w:val="00D75EA2"/>
    <w:rsid w:val="00D76629"/>
    <w:rsid w:val="00D7796E"/>
    <w:rsid w:val="00D8191D"/>
    <w:rsid w:val="00D821B5"/>
    <w:rsid w:val="00D82591"/>
    <w:rsid w:val="00D82A0E"/>
    <w:rsid w:val="00D82C2E"/>
    <w:rsid w:val="00D83F07"/>
    <w:rsid w:val="00D86D66"/>
    <w:rsid w:val="00D875C5"/>
    <w:rsid w:val="00D90A3D"/>
    <w:rsid w:val="00D90A91"/>
    <w:rsid w:val="00D92195"/>
    <w:rsid w:val="00D92214"/>
    <w:rsid w:val="00D9238C"/>
    <w:rsid w:val="00D939A3"/>
    <w:rsid w:val="00D93DC6"/>
    <w:rsid w:val="00D94815"/>
    <w:rsid w:val="00D949DE"/>
    <w:rsid w:val="00D961F6"/>
    <w:rsid w:val="00DA030C"/>
    <w:rsid w:val="00DA0B5B"/>
    <w:rsid w:val="00DA279D"/>
    <w:rsid w:val="00DA2E78"/>
    <w:rsid w:val="00DA4D1A"/>
    <w:rsid w:val="00DA51C3"/>
    <w:rsid w:val="00DA5BAC"/>
    <w:rsid w:val="00DA601B"/>
    <w:rsid w:val="00DA716B"/>
    <w:rsid w:val="00DA7A53"/>
    <w:rsid w:val="00DB082B"/>
    <w:rsid w:val="00DB2761"/>
    <w:rsid w:val="00DB2DE7"/>
    <w:rsid w:val="00DB2FBF"/>
    <w:rsid w:val="00DB4AB0"/>
    <w:rsid w:val="00DB577D"/>
    <w:rsid w:val="00DB5E04"/>
    <w:rsid w:val="00DB6BA8"/>
    <w:rsid w:val="00DB7258"/>
    <w:rsid w:val="00DB7DF4"/>
    <w:rsid w:val="00DC0209"/>
    <w:rsid w:val="00DC08D2"/>
    <w:rsid w:val="00DC7D22"/>
    <w:rsid w:val="00DD3143"/>
    <w:rsid w:val="00DD5E8D"/>
    <w:rsid w:val="00DD65B7"/>
    <w:rsid w:val="00DD6C07"/>
    <w:rsid w:val="00DE0575"/>
    <w:rsid w:val="00DE2CE3"/>
    <w:rsid w:val="00DF0434"/>
    <w:rsid w:val="00DF1438"/>
    <w:rsid w:val="00DF3B6F"/>
    <w:rsid w:val="00DF6615"/>
    <w:rsid w:val="00DF7DF0"/>
    <w:rsid w:val="00E00938"/>
    <w:rsid w:val="00E00E30"/>
    <w:rsid w:val="00E02836"/>
    <w:rsid w:val="00E02ADE"/>
    <w:rsid w:val="00E03531"/>
    <w:rsid w:val="00E038AB"/>
    <w:rsid w:val="00E0485D"/>
    <w:rsid w:val="00E050F8"/>
    <w:rsid w:val="00E05FA1"/>
    <w:rsid w:val="00E11C07"/>
    <w:rsid w:val="00E1255D"/>
    <w:rsid w:val="00E12966"/>
    <w:rsid w:val="00E1299C"/>
    <w:rsid w:val="00E13456"/>
    <w:rsid w:val="00E16690"/>
    <w:rsid w:val="00E16ADB"/>
    <w:rsid w:val="00E174BC"/>
    <w:rsid w:val="00E20BE5"/>
    <w:rsid w:val="00E20DA3"/>
    <w:rsid w:val="00E20E57"/>
    <w:rsid w:val="00E2113C"/>
    <w:rsid w:val="00E223B6"/>
    <w:rsid w:val="00E22A01"/>
    <w:rsid w:val="00E24792"/>
    <w:rsid w:val="00E248A8"/>
    <w:rsid w:val="00E24DD9"/>
    <w:rsid w:val="00E265C5"/>
    <w:rsid w:val="00E27864"/>
    <w:rsid w:val="00E30338"/>
    <w:rsid w:val="00E30431"/>
    <w:rsid w:val="00E32235"/>
    <w:rsid w:val="00E32EFC"/>
    <w:rsid w:val="00E34076"/>
    <w:rsid w:val="00E3588B"/>
    <w:rsid w:val="00E4106A"/>
    <w:rsid w:val="00E4113B"/>
    <w:rsid w:val="00E42AF7"/>
    <w:rsid w:val="00E451A0"/>
    <w:rsid w:val="00E47E6D"/>
    <w:rsid w:val="00E50B0D"/>
    <w:rsid w:val="00E52977"/>
    <w:rsid w:val="00E53D03"/>
    <w:rsid w:val="00E544E0"/>
    <w:rsid w:val="00E54A28"/>
    <w:rsid w:val="00E5608C"/>
    <w:rsid w:val="00E562E4"/>
    <w:rsid w:val="00E617CC"/>
    <w:rsid w:val="00E62F13"/>
    <w:rsid w:val="00E63F76"/>
    <w:rsid w:val="00E645E0"/>
    <w:rsid w:val="00E6489B"/>
    <w:rsid w:val="00E70D2C"/>
    <w:rsid w:val="00E70E2A"/>
    <w:rsid w:val="00E70F37"/>
    <w:rsid w:val="00E7392E"/>
    <w:rsid w:val="00E74CE4"/>
    <w:rsid w:val="00E75D77"/>
    <w:rsid w:val="00E7684F"/>
    <w:rsid w:val="00E76E5C"/>
    <w:rsid w:val="00E776EA"/>
    <w:rsid w:val="00E77E1D"/>
    <w:rsid w:val="00E80221"/>
    <w:rsid w:val="00E82026"/>
    <w:rsid w:val="00E828A9"/>
    <w:rsid w:val="00E83071"/>
    <w:rsid w:val="00E8387E"/>
    <w:rsid w:val="00E842D6"/>
    <w:rsid w:val="00E843B3"/>
    <w:rsid w:val="00E86645"/>
    <w:rsid w:val="00E86F62"/>
    <w:rsid w:val="00E86FA5"/>
    <w:rsid w:val="00E87246"/>
    <w:rsid w:val="00E8751A"/>
    <w:rsid w:val="00E87663"/>
    <w:rsid w:val="00E87969"/>
    <w:rsid w:val="00E95F85"/>
    <w:rsid w:val="00EA0D52"/>
    <w:rsid w:val="00EA0F60"/>
    <w:rsid w:val="00EA2D15"/>
    <w:rsid w:val="00EA3C46"/>
    <w:rsid w:val="00EA42FF"/>
    <w:rsid w:val="00EA5914"/>
    <w:rsid w:val="00EA689A"/>
    <w:rsid w:val="00EA691F"/>
    <w:rsid w:val="00EA6ED7"/>
    <w:rsid w:val="00EA7263"/>
    <w:rsid w:val="00EB04B8"/>
    <w:rsid w:val="00EB0A49"/>
    <w:rsid w:val="00EB0E3A"/>
    <w:rsid w:val="00EB11B5"/>
    <w:rsid w:val="00EB1468"/>
    <w:rsid w:val="00EB1D63"/>
    <w:rsid w:val="00EB2635"/>
    <w:rsid w:val="00EB29AD"/>
    <w:rsid w:val="00EB2E59"/>
    <w:rsid w:val="00EB32C1"/>
    <w:rsid w:val="00EB367B"/>
    <w:rsid w:val="00EB42F7"/>
    <w:rsid w:val="00EB4D16"/>
    <w:rsid w:val="00EB5425"/>
    <w:rsid w:val="00EB682F"/>
    <w:rsid w:val="00EB7CE4"/>
    <w:rsid w:val="00EC1FEE"/>
    <w:rsid w:val="00EC239D"/>
    <w:rsid w:val="00EC2462"/>
    <w:rsid w:val="00EC2D1D"/>
    <w:rsid w:val="00EC352D"/>
    <w:rsid w:val="00EC452D"/>
    <w:rsid w:val="00EC68EA"/>
    <w:rsid w:val="00EC718F"/>
    <w:rsid w:val="00EC7280"/>
    <w:rsid w:val="00EC7FAB"/>
    <w:rsid w:val="00ED0141"/>
    <w:rsid w:val="00ED01C5"/>
    <w:rsid w:val="00ED0319"/>
    <w:rsid w:val="00ED2061"/>
    <w:rsid w:val="00ED2327"/>
    <w:rsid w:val="00ED3D44"/>
    <w:rsid w:val="00ED49A4"/>
    <w:rsid w:val="00ED5298"/>
    <w:rsid w:val="00ED5465"/>
    <w:rsid w:val="00ED573E"/>
    <w:rsid w:val="00ED5B60"/>
    <w:rsid w:val="00ED60BF"/>
    <w:rsid w:val="00ED61FC"/>
    <w:rsid w:val="00ED7B84"/>
    <w:rsid w:val="00EE22C4"/>
    <w:rsid w:val="00EE2ADE"/>
    <w:rsid w:val="00EE2C4F"/>
    <w:rsid w:val="00EE45A6"/>
    <w:rsid w:val="00EE4837"/>
    <w:rsid w:val="00EE49AC"/>
    <w:rsid w:val="00EE4FE3"/>
    <w:rsid w:val="00EE5D4E"/>
    <w:rsid w:val="00EE5DD2"/>
    <w:rsid w:val="00EE5E92"/>
    <w:rsid w:val="00EE7467"/>
    <w:rsid w:val="00EE74E1"/>
    <w:rsid w:val="00EE7AA0"/>
    <w:rsid w:val="00EF3DEC"/>
    <w:rsid w:val="00EF4432"/>
    <w:rsid w:val="00EF46B9"/>
    <w:rsid w:val="00EF4D2C"/>
    <w:rsid w:val="00EF565A"/>
    <w:rsid w:val="00EF5886"/>
    <w:rsid w:val="00EF5D57"/>
    <w:rsid w:val="00EF6028"/>
    <w:rsid w:val="00EF7507"/>
    <w:rsid w:val="00F000D1"/>
    <w:rsid w:val="00F00157"/>
    <w:rsid w:val="00F00867"/>
    <w:rsid w:val="00F01879"/>
    <w:rsid w:val="00F117D7"/>
    <w:rsid w:val="00F125D5"/>
    <w:rsid w:val="00F1280D"/>
    <w:rsid w:val="00F13649"/>
    <w:rsid w:val="00F16560"/>
    <w:rsid w:val="00F17FC2"/>
    <w:rsid w:val="00F2164E"/>
    <w:rsid w:val="00F22E89"/>
    <w:rsid w:val="00F23096"/>
    <w:rsid w:val="00F2549A"/>
    <w:rsid w:val="00F31EE7"/>
    <w:rsid w:val="00F329C4"/>
    <w:rsid w:val="00F330D0"/>
    <w:rsid w:val="00F335EF"/>
    <w:rsid w:val="00F3387C"/>
    <w:rsid w:val="00F33988"/>
    <w:rsid w:val="00F406F1"/>
    <w:rsid w:val="00F407E0"/>
    <w:rsid w:val="00F419F4"/>
    <w:rsid w:val="00F449B2"/>
    <w:rsid w:val="00F455B9"/>
    <w:rsid w:val="00F456BE"/>
    <w:rsid w:val="00F46FD7"/>
    <w:rsid w:val="00F47208"/>
    <w:rsid w:val="00F51775"/>
    <w:rsid w:val="00F51C47"/>
    <w:rsid w:val="00F53A27"/>
    <w:rsid w:val="00F546DD"/>
    <w:rsid w:val="00F55904"/>
    <w:rsid w:val="00F55CF3"/>
    <w:rsid w:val="00F57444"/>
    <w:rsid w:val="00F5765F"/>
    <w:rsid w:val="00F61754"/>
    <w:rsid w:val="00F617D9"/>
    <w:rsid w:val="00F61D4E"/>
    <w:rsid w:val="00F61D75"/>
    <w:rsid w:val="00F65267"/>
    <w:rsid w:val="00F67D09"/>
    <w:rsid w:val="00F7228A"/>
    <w:rsid w:val="00F7584D"/>
    <w:rsid w:val="00F7653A"/>
    <w:rsid w:val="00F7715E"/>
    <w:rsid w:val="00F81093"/>
    <w:rsid w:val="00F83A2F"/>
    <w:rsid w:val="00F8513E"/>
    <w:rsid w:val="00F85268"/>
    <w:rsid w:val="00F856C3"/>
    <w:rsid w:val="00F862A4"/>
    <w:rsid w:val="00F9055F"/>
    <w:rsid w:val="00F90EEF"/>
    <w:rsid w:val="00F91A09"/>
    <w:rsid w:val="00F91D05"/>
    <w:rsid w:val="00F91F55"/>
    <w:rsid w:val="00F91FDC"/>
    <w:rsid w:val="00F93230"/>
    <w:rsid w:val="00F95326"/>
    <w:rsid w:val="00F97889"/>
    <w:rsid w:val="00FA01F9"/>
    <w:rsid w:val="00FA1576"/>
    <w:rsid w:val="00FA1727"/>
    <w:rsid w:val="00FA18EF"/>
    <w:rsid w:val="00FA1D00"/>
    <w:rsid w:val="00FA259B"/>
    <w:rsid w:val="00FA3F05"/>
    <w:rsid w:val="00FA4076"/>
    <w:rsid w:val="00FA5B1C"/>
    <w:rsid w:val="00FA621A"/>
    <w:rsid w:val="00FA7EE9"/>
    <w:rsid w:val="00FB17D4"/>
    <w:rsid w:val="00FB6131"/>
    <w:rsid w:val="00FB6132"/>
    <w:rsid w:val="00FB66F9"/>
    <w:rsid w:val="00FB67A5"/>
    <w:rsid w:val="00FB6975"/>
    <w:rsid w:val="00FB6CD9"/>
    <w:rsid w:val="00FB747D"/>
    <w:rsid w:val="00FB7C5E"/>
    <w:rsid w:val="00FC0AAE"/>
    <w:rsid w:val="00FC0EEE"/>
    <w:rsid w:val="00FC2774"/>
    <w:rsid w:val="00FC333B"/>
    <w:rsid w:val="00FC5C13"/>
    <w:rsid w:val="00FD01FA"/>
    <w:rsid w:val="00FD0596"/>
    <w:rsid w:val="00FD1A68"/>
    <w:rsid w:val="00FD1B1E"/>
    <w:rsid w:val="00FD3648"/>
    <w:rsid w:val="00FD36BB"/>
    <w:rsid w:val="00FD5ED6"/>
    <w:rsid w:val="00FD5F0D"/>
    <w:rsid w:val="00FD741D"/>
    <w:rsid w:val="00FD7AEB"/>
    <w:rsid w:val="00FE0010"/>
    <w:rsid w:val="00FE0E26"/>
    <w:rsid w:val="00FE30D5"/>
    <w:rsid w:val="00FE3A49"/>
    <w:rsid w:val="00FE49BB"/>
    <w:rsid w:val="00FE5AFD"/>
    <w:rsid w:val="00FE5B1C"/>
    <w:rsid w:val="00FE60F9"/>
    <w:rsid w:val="00FE733A"/>
    <w:rsid w:val="00FF02A8"/>
    <w:rsid w:val="00FF2119"/>
    <w:rsid w:val="00FF2D81"/>
    <w:rsid w:val="00FF324E"/>
    <w:rsid w:val="00FF38F5"/>
    <w:rsid w:val="00FF3F23"/>
    <w:rsid w:val="00FF4978"/>
    <w:rsid w:val="00FF533C"/>
    <w:rsid w:val="00FF5C9B"/>
    <w:rsid w:val="01511276"/>
    <w:rsid w:val="0C013C0C"/>
    <w:rsid w:val="18605186"/>
    <w:rsid w:val="1BEF7596"/>
    <w:rsid w:val="2AB47391"/>
    <w:rsid w:val="2C0E40DE"/>
    <w:rsid w:val="2EDC3DE4"/>
    <w:rsid w:val="373D5A8E"/>
    <w:rsid w:val="41377F7D"/>
    <w:rsid w:val="4EB30008"/>
    <w:rsid w:val="53107DCB"/>
    <w:rsid w:val="6D667A77"/>
    <w:rsid w:val="6DAB5AB3"/>
    <w:rsid w:val="76345505"/>
    <w:rsid w:val="76537B9A"/>
    <w:rsid w:val="7E1370A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qFormat="1" w:unhideWhenUsed="0" w:uiPriority="99"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9"/>
    <w:pPr>
      <w:keepNext/>
      <w:numPr>
        <w:ilvl w:val="0"/>
        <w:numId w:val="1"/>
      </w:numPr>
      <w:autoSpaceDE w:val="0"/>
      <w:autoSpaceDN w:val="0"/>
      <w:adjustRightInd w:val="0"/>
      <w:spacing w:before="240" w:after="240" w:line="360" w:lineRule="auto"/>
      <w:jc w:val="center"/>
      <w:textAlignment w:val="bottom"/>
      <w:outlineLvl w:val="0"/>
    </w:pPr>
    <w:rPr>
      <w:rFonts w:ascii="宋体" w:hAnsi="宋体" w:eastAsia="仿宋体"/>
      <w:b/>
      <w:kern w:val="0"/>
      <w:sz w:val="36"/>
      <w:szCs w:val="20"/>
    </w:rPr>
  </w:style>
  <w:style w:type="paragraph" w:styleId="3">
    <w:name w:val="heading 2"/>
    <w:basedOn w:val="1"/>
    <w:next w:val="1"/>
    <w:link w:val="39"/>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40"/>
    <w:qFormat/>
    <w:uiPriority w:val="99"/>
    <w:pPr>
      <w:keepNext/>
      <w:keepLines/>
      <w:spacing w:before="260" w:after="260" w:line="416" w:lineRule="auto"/>
      <w:outlineLvl w:val="2"/>
    </w:pPr>
    <w:rPr>
      <w:b/>
      <w:bCs/>
      <w:kern w:val="0"/>
      <w:sz w:val="32"/>
      <w:szCs w:val="32"/>
    </w:rPr>
  </w:style>
  <w:style w:type="character" w:default="1" w:styleId="33">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Normal Indent"/>
    <w:basedOn w:val="1"/>
    <w:qFormat/>
    <w:uiPriority w:val="99"/>
    <w:pPr>
      <w:ind w:firstLine="420" w:firstLineChars="200"/>
    </w:pPr>
    <w:rPr>
      <w:rFonts w:eastAsia="仿宋_GB2312"/>
      <w:sz w:val="24"/>
    </w:rPr>
  </w:style>
  <w:style w:type="paragraph" w:styleId="7">
    <w:name w:val="Document Map"/>
    <w:basedOn w:val="1"/>
    <w:link w:val="41"/>
    <w:semiHidden/>
    <w:qFormat/>
    <w:uiPriority w:val="99"/>
    <w:pPr>
      <w:shd w:val="clear" w:color="auto" w:fill="000080"/>
    </w:pPr>
    <w:rPr>
      <w:kern w:val="0"/>
      <w:sz w:val="24"/>
    </w:rPr>
  </w:style>
  <w:style w:type="paragraph" w:styleId="8">
    <w:name w:val="annotation text"/>
    <w:basedOn w:val="1"/>
    <w:link w:val="42"/>
    <w:qFormat/>
    <w:uiPriority w:val="99"/>
    <w:pPr>
      <w:jc w:val="left"/>
    </w:pPr>
    <w:rPr>
      <w:kern w:val="0"/>
      <w:sz w:val="20"/>
      <w:szCs w:val="20"/>
    </w:rPr>
  </w:style>
  <w:style w:type="paragraph" w:styleId="9">
    <w:name w:val="Salutation"/>
    <w:basedOn w:val="1"/>
    <w:next w:val="1"/>
    <w:link w:val="43"/>
    <w:qFormat/>
    <w:uiPriority w:val="99"/>
    <w:rPr>
      <w:kern w:val="0"/>
      <w:sz w:val="20"/>
      <w:szCs w:val="20"/>
    </w:rPr>
  </w:style>
  <w:style w:type="paragraph" w:styleId="10">
    <w:name w:val="Closing"/>
    <w:basedOn w:val="1"/>
    <w:next w:val="1"/>
    <w:link w:val="44"/>
    <w:qFormat/>
    <w:uiPriority w:val="99"/>
    <w:pPr>
      <w:ind w:left="4320"/>
    </w:pPr>
    <w:rPr>
      <w:kern w:val="0"/>
      <w:sz w:val="20"/>
      <w:szCs w:val="20"/>
    </w:rPr>
  </w:style>
  <w:style w:type="paragraph" w:styleId="11">
    <w:name w:val="Body Text"/>
    <w:basedOn w:val="1"/>
    <w:link w:val="45"/>
    <w:qFormat/>
    <w:uiPriority w:val="99"/>
    <w:pPr>
      <w:spacing w:after="120"/>
    </w:pPr>
    <w:rPr>
      <w:kern w:val="0"/>
      <w:sz w:val="24"/>
    </w:rPr>
  </w:style>
  <w:style w:type="paragraph" w:styleId="12">
    <w:name w:val="Body Text Indent"/>
    <w:basedOn w:val="1"/>
    <w:link w:val="46"/>
    <w:qFormat/>
    <w:uiPriority w:val="99"/>
    <w:pPr>
      <w:spacing w:line="460" w:lineRule="exact"/>
      <w:ind w:firstLine="560"/>
    </w:pPr>
    <w:rPr>
      <w:rFonts w:ascii="宋体" w:hAnsi="宋体"/>
      <w:color w:val="FF0000"/>
      <w:spacing w:val="24"/>
      <w:kern w:val="0"/>
      <w:sz w:val="24"/>
    </w:rPr>
  </w:style>
  <w:style w:type="paragraph" w:styleId="13">
    <w:name w:val="toc 5"/>
    <w:basedOn w:val="1"/>
    <w:next w:val="1"/>
    <w:qFormat/>
    <w:uiPriority w:val="99"/>
    <w:pPr>
      <w:ind w:left="1680" w:leftChars="800"/>
    </w:pPr>
    <w:rPr>
      <w:rFonts w:ascii="Calibri" w:hAnsi="Calibri"/>
      <w:szCs w:val="22"/>
    </w:rPr>
  </w:style>
  <w:style w:type="paragraph" w:styleId="14">
    <w:name w:val="toc 3"/>
    <w:basedOn w:val="1"/>
    <w:next w:val="1"/>
    <w:qFormat/>
    <w:uiPriority w:val="39"/>
    <w:pPr>
      <w:ind w:left="840" w:leftChars="400"/>
    </w:pPr>
    <w:rPr>
      <w:szCs w:val="20"/>
    </w:rPr>
  </w:style>
  <w:style w:type="paragraph" w:styleId="15">
    <w:name w:val="Plain Text"/>
    <w:basedOn w:val="1"/>
    <w:link w:val="47"/>
    <w:qFormat/>
    <w:uiPriority w:val="99"/>
    <w:rPr>
      <w:rFonts w:ascii="宋体" w:hAnsi="Courier New"/>
      <w:kern w:val="0"/>
      <w:sz w:val="20"/>
      <w:szCs w:val="20"/>
    </w:rPr>
  </w:style>
  <w:style w:type="paragraph" w:styleId="16">
    <w:name w:val="toc 8"/>
    <w:basedOn w:val="1"/>
    <w:next w:val="1"/>
    <w:qFormat/>
    <w:uiPriority w:val="99"/>
    <w:pPr>
      <w:ind w:left="2940" w:leftChars="1400"/>
    </w:pPr>
    <w:rPr>
      <w:rFonts w:ascii="Calibri" w:hAnsi="Calibri"/>
      <w:szCs w:val="22"/>
    </w:rPr>
  </w:style>
  <w:style w:type="paragraph" w:styleId="17">
    <w:name w:val="Date"/>
    <w:basedOn w:val="1"/>
    <w:next w:val="1"/>
    <w:link w:val="48"/>
    <w:qFormat/>
    <w:uiPriority w:val="99"/>
    <w:pPr>
      <w:ind w:left="2500" w:leftChars="2500"/>
    </w:pPr>
    <w:rPr>
      <w:rFonts w:ascii="仿宋_GB2312" w:eastAsia="仿宋_GB2312"/>
      <w:color w:val="000000"/>
      <w:spacing w:val="10"/>
      <w:kern w:val="0"/>
      <w:sz w:val="20"/>
      <w:szCs w:val="20"/>
    </w:rPr>
  </w:style>
  <w:style w:type="paragraph" w:styleId="18">
    <w:name w:val="Body Text Indent 2"/>
    <w:basedOn w:val="1"/>
    <w:link w:val="49"/>
    <w:qFormat/>
    <w:uiPriority w:val="99"/>
    <w:pPr>
      <w:adjustRightInd w:val="0"/>
      <w:snapToGrid w:val="0"/>
      <w:spacing w:line="360" w:lineRule="auto"/>
      <w:ind w:firstLine="1134"/>
    </w:pPr>
    <w:rPr>
      <w:rFonts w:ascii="宋体" w:hAnsi="宋体"/>
      <w:kern w:val="0"/>
      <w:sz w:val="24"/>
    </w:rPr>
  </w:style>
  <w:style w:type="paragraph" w:styleId="19">
    <w:name w:val="Balloon Text"/>
    <w:basedOn w:val="1"/>
    <w:link w:val="50"/>
    <w:qFormat/>
    <w:uiPriority w:val="99"/>
    <w:rPr>
      <w:kern w:val="0"/>
      <w:sz w:val="18"/>
      <w:szCs w:val="18"/>
    </w:rPr>
  </w:style>
  <w:style w:type="paragraph" w:styleId="20">
    <w:name w:val="footer"/>
    <w:basedOn w:val="1"/>
    <w:link w:val="51"/>
    <w:qFormat/>
    <w:uiPriority w:val="99"/>
    <w:pPr>
      <w:tabs>
        <w:tab w:val="center" w:pos="4153"/>
        <w:tab w:val="right" w:pos="8306"/>
      </w:tabs>
      <w:snapToGrid w:val="0"/>
      <w:jc w:val="left"/>
    </w:pPr>
    <w:rPr>
      <w:sz w:val="18"/>
      <w:szCs w:val="18"/>
    </w:rPr>
  </w:style>
  <w:style w:type="paragraph" w:styleId="21">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line="390" w:lineRule="exact"/>
    </w:pPr>
    <w:rPr>
      <w:rFonts w:ascii="黑体" w:hAnsi="黑体" w:eastAsia="黑体"/>
      <w:snapToGrid w:val="0"/>
      <w:szCs w:val="20"/>
    </w:rPr>
  </w:style>
  <w:style w:type="paragraph" w:styleId="23">
    <w:name w:val="toc 4"/>
    <w:basedOn w:val="1"/>
    <w:next w:val="1"/>
    <w:qFormat/>
    <w:uiPriority w:val="99"/>
    <w:pPr>
      <w:ind w:left="1260" w:leftChars="600"/>
    </w:pPr>
    <w:rPr>
      <w:rFonts w:ascii="Calibri" w:hAnsi="Calibri"/>
      <w:szCs w:val="22"/>
    </w:rPr>
  </w:style>
  <w:style w:type="paragraph" w:styleId="24">
    <w:name w:val="toc 6"/>
    <w:basedOn w:val="1"/>
    <w:next w:val="1"/>
    <w:qFormat/>
    <w:uiPriority w:val="99"/>
    <w:pPr>
      <w:ind w:left="2100" w:leftChars="1000"/>
    </w:pPr>
    <w:rPr>
      <w:rFonts w:ascii="Calibri" w:hAnsi="Calibri"/>
      <w:szCs w:val="22"/>
    </w:rPr>
  </w:style>
  <w:style w:type="paragraph" w:styleId="25">
    <w:name w:val="Body Text Indent 3"/>
    <w:basedOn w:val="1"/>
    <w:link w:val="53"/>
    <w:qFormat/>
    <w:uiPriority w:val="99"/>
    <w:pPr>
      <w:spacing w:line="460" w:lineRule="exact"/>
      <w:ind w:firstLine="560"/>
    </w:pPr>
    <w:rPr>
      <w:rFonts w:ascii="仿宋_GB2312"/>
      <w:spacing w:val="10"/>
      <w:kern w:val="0"/>
      <w:sz w:val="30"/>
      <w:szCs w:val="30"/>
    </w:rPr>
  </w:style>
  <w:style w:type="paragraph" w:styleId="26">
    <w:name w:val="toc 2"/>
    <w:basedOn w:val="1"/>
    <w:next w:val="1"/>
    <w:qFormat/>
    <w:uiPriority w:val="39"/>
    <w:pPr>
      <w:tabs>
        <w:tab w:val="right" w:leader="dot" w:pos="8296"/>
      </w:tabs>
      <w:spacing w:line="390" w:lineRule="exact"/>
      <w:ind w:left="420" w:leftChars="200"/>
    </w:pPr>
    <w:rPr>
      <w:szCs w:val="20"/>
    </w:rPr>
  </w:style>
  <w:style w:type="paragraph" w:styleId="27">
    <w:name w:val="toc 9"/>
    <w:basedOn w:val="1"/>
    <w:next w:val="1"/>
    <w:qFormat/>
    <w:uiPriority w:val="99"/>
    <w:pPr>
      <w:ind w:left="3360" w:leftChars="1600"/>
    </w:pPr>
    <w:rPr>
      <w:rFonts w:ascii="Calibri" w:hAnsi="Calibri"/>
      <w:szCs w:val="22"/>
    </w:rPr>
  </w:style>
  <w:style w:type="paragraph" w:styleId="28">
    <w:name w:val="Body Text 2"/>
    <w:basedOn w:val="1"/>
    <w:link w:val="54"/>
    <w:qFormat/>
    <w:uiPriority w:val="99"/>
    <w:pPr>
      <w:spacing w:line="360" w:lineRule="auto"/>
    </w:pPr>
    <w:rPr>
      <w:rFonts w:ascii="宋体" w:hAnsi="宋体"/>
      <w:spacing w:val="24"/>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0">
    <w:name w:val="annotation subject"/>
    <w:basedOn w:val="8"/>
    <w:next w:val="8"/>
    <w:link w:val="55"/>
    <w:qFormat/>
    <w:uiPriority w:val="99"/>
    <w:rPr>
      <w:b/>
      <w:bCs/>
    </w:rPr>
  </w:style>
  <w:style w:type="table" w:styleId="32">
    <w:name w:val="Table Classic 1"/>
    <w:basedOn w:val="31"/>
    <w:qFormat/>
    <w:uiPriority w:val="99"/>
    <w:pPr>
      <w:widowControl w:val="0"/>
      <w:adjustRightInd w:val="0"/>
      <w:snapToGrid w:val="0"/>
      <w:ind w:left="1400" w:leftChars="1400"/>
      <w:jc w:val="both"/>
    </w:pPr>
    <w:tblPr>
      <w:tblBorders>
        <w:top w:val="single" w:color="auto" w:sz="2" w:space="0"/>
        <w:bottom w:val="single" w:color="auto" w:sz="2" w:space="0"/>
        <w:insideH w:val="single" w:color="auto" w:sz="2" w:space="0"/>
      </w:tblBorders>
      <w:tblCellMar>
        <w:top w:w="0" w:type="dxa"/>
        <w:left w:w="0" w:type="dxa"/>
        <w:bottom w:w="0" w:type="dxa"/>
        <w:right w:w="0" w:type="dxa"/>
      </w:tblCellMar>
    </w:tblPr>
    <w:tblStylePr w:type="firstRow">
      <w:rPr>
        <w:rFonts w:cs="Times New Roman"/>
        <w:b/>
        <w:i w:val="0"/>
        <w:iCs/>
      </w:rPr>
      <w:tblPr/>
      <w:tcPr>
        <w:tcBorders>
          <w:bottom w:val="single" w:color="000000" w:sz="12" w:space="0"/>
        </w:tcBorders>
        <w:shd w:val="clear" w:color="auto" w:fill="auto"/>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nil"/>
        </w:tcBorders>
        <w:shd w:val="clear" w:color="auto" w:fill="auto"/>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character" w:styleId="34">
    <w:name w:val="Strong"/>
    <w:basedOn w:val="33"/>
    <w:qFormat/>
    <w:uiPriority w:val="22"/>
    <w:rPr>
      <w:rFonts w:cs="Times New Roman"/>
      <w:b/>
    </w:rPr>
  </w:style>
  <w:style w:type="character" w:styleId="35">
    <w:name w:val="page number"/>
    <w:basedOn w:val="33"/>
    <w:qFormat/>
    <w:uiPriority w:val="99"/>
    <w:rPr>
      <w:rFonts w:cs="Times New Roman"/>
    </w:rPr>
  </w:style>
  <w:style w:type="character" w:styleId="36">
    <w:name w:val="Hyperlink"/>
    <w:basedOn w:val="33"/>
    <w:qFormat/>
    <w:uiPriority w:val="99"/>
    <w:rPr>
      <w:rFonts w:cs="Times New Roman"/>
      <w:color w:val="0000FF"/>
      <w:u w:val="single"/>
    </w:rPr>
  </w:style>
  <w:style w:type="character" w:styleId="37">
    <w:name w:val="annotation reference"/>
    <w:basedOn w:val="33"/>
    <w:qFormat/>
    <w:uiPriority w:val="99"/>
    <w:rPr>
      <w:rFonts w:cs="Times New Roman"/>
      <w:sz w:val="21"/>
    </w:rPr>
  </w:style>
  <w:style w:type="character" w:customStyle="1" w:styleId="38">
    <w:name w:val="标题 1 Char"/>
    <w:basedOn w:val="33"/>
    <w:link w:val="2"/>
    <w:qFormat/>
    <w:locked/>
    <w:uiPriority w:val="99"/>
    <w:rPr>
      <w:rFonts w:ascii="宋体" w:hAnsi="宋体" w:eastAsia="仿宋体"/>
      <w:b/>
      <w:kern w:val="0"/>
      <w:sz w:val="36"/>
      <w:szCs w:val="20"/>
    </w:rPr>
  </w:style>
  <w:style w:type="character" w:customStyle="1" w:styleId="39">
    <w:name w:val="标题 2 Char"/>
    <w:basedOn w:val="33"/>
    <w:link w:val="3"/>
    <w:qFormat/>
    <w:locked/>
    <w:uiPriority w:val="99"/>
    <w:rPr>
      <w:rFonts w:ascii="Arial" w:hAnsi="Arial" w:eastAsia="黑体" w:cs="Times New Roman"/>
      <w:b/>
      <w:bCs/>
      <w:kern w:val="0"/>
      <w:sz w:val="32"/>
      <w:szCs w:val="32"/>
    </w:rPr>
  </w:style>
  <w:style w:type="character" w:customStyle="1" w:styleId="40">
    <w:name w:val="标题 3 Char"/>
    <w:basedOn w:val="33"/>
    <w:link w:val="4"/>
    <w:qFormat/>
    <w:locked/>
    <w:uiPriority w:val="0"/>
    <w:rPr>
      <w:rFonts w:ascii="Times New Roman" w:hAnsi="Times New Roman" w:eastAsia="宋体" w:cs="Times New Roman"/>
      <w:b/>
      <w:bCs/>
      <w:kern w:val="0"/>
      <w:sz w:val="32"/>
      <w:szCs w:val="32"/>
    </w:rPr>
  </w:style>
  <w:style w:type="character" w:customStyle="1" w:styleId="41">
    <w:name w:val="文档结构图 Char"/>
    <w:basedOn w:val="33"/>
    <w:link w:val="7"/>
    <w:semiHidden/>
    <w:qFormat/>
    <w:locked/>
    <w:uiPriority w:val="99"/>
    <w:rPr>
      <w:rFonts w:ascii="Times New Roman" w:hAnsi="Times New Roman" w:eastAsia="宋体" w:cs="Times New Roman"/>
      <w:kern w:val="0"/>
      <w:sz w:val="24"/>
      <w:szCs w:val="24"/>
      <w:shd w:val="clear" w:color="auto" w:fill="000080"/>
    </w:rPr>
  </w:style>
  <w:style w:type="character" w:customStyle="1" w:styleId="42">
    <w:name w:val="批注文字 Char"/>
    <w:basedOn w:val="33"/>
    <w:link w:val="8"/>
    <w:qFormat/>
    <w:locked/>
    <w:uiPriority w:val="99"/>
    <w:rPr>
      <w:rFonts w:ascii="Times New Roman" w:hAnsi="Times New Roman" w:eastAsia="宋体" w:cs="Times New Roman"/>
      <w:kern w:val="0"/>
      <w:sz w:val="20"/>
      <w:szCs w:val="20"/>
    </w:rPr>
  </w:style>
  <w:style w:type="character" w:customStyle="1" w:styleId="43">
    <w:name w:val="称呼 Char"/>
    <w:basedOn w:val="33"/>
    <w:link w:val="9"/>
    <w:qFormat/>
    <w:locked/>
    <w:uiPriority w:val="99"/>
    <w:rPr>
      <w:rFonts w:ascii="Times New Roman" w:hAnsi="Times New Roman" w:eastAsia="宋体" w:cs="Times New Roman"/>
      <w:kern w:val="0"/>
      <w:sz w:val="20"/>
      <w:szCs w:val="20"/>
    </w:rPr>
  </w:style>
  <w:style w:type="character" w:customStyle="1" w:styleId="44">
    <w:name w:val="结束语 Char"/>
    <w:basedOn w:val="33"/>
    <w:link w:val="10"/>
    <w:qFormat/>
    <w:locked/>
    <w:uiPriority w:val="99"/>
    <w:rPr>
      <w:rFonts w:ascii="Times New Roman" w:hAnsi="Times New Roman" w:eastAsia="宋体" w:cs="Times New Roman"/>
      <w:kern w:val="0"/>
      <w:sz w:val="20"/>
      <w:szCs w:val="20"/>
    </w:rPr>
  </w:style>
  <w:style w:type="character" w:customStyle="1" w:styleId="45">
    <w:name w:val="正文文本 Char"/>
    <w:basedOn w:val="33"/>
    <w:link w:val="11"/>
    <w:qFormat/>
    <w:locked/>
    <w:uiPriority w:val="99"/>
    <w:rPr>
      <w:rFonts w:ascii="Times New Roman" w:hAnsi="Times New Roman" w:eastAsia="宋体" w:cs="Times New Roman"/>
      <w:kern w:val="0"/>
      <w:sz w:val="24"/>
      <w:szCs w:val="24"/>
    </w:rPr>
  </w:style>
  <w:style w:type="character" w:customStyle="1" w:styleId="46">
    <w:name w:val="正文文本缩进 Char"/>
    <w:basedOn w:val="33"/>
    <w:link w:val="12"/>
    <w:qFormat/>
    <w:locked/>
    <w:uiPriority w:val="99"/>
    <w:rPr>
      <w:rFonts w:ascii="宋体" w:hAnsi="宋体" w:eastAsia="宋体" w:cs="Times New Roman"/>
      <w:color w:val="FF0000"/>
      <w:spacing w:val="24"/>
      <w:kern w:val="0"/>
      <w:sz w:val="24"/>
      <w:szCs w:val="24"/>
    </w:rPr>
  </w:style>
  <w:style w:type="character" w:customStyle="1" w:styleId="47">
    <w:name w:val="纯文本 Char"/>
    <w:basedOn w:val="33"/>
    <w:link w:val="15"/>
    <w:qFormat/>
    <w:locked/>
    <w:uiPriority w:val="99"/>
    <w:rPr>
      <w:rFonts w:ascii="宋体" w:hAnsi="Courier New" w:eastAsia="宋体" w:cs="Times New Roman"/>
      <w:kern w:val="0"/>
      <w:sz w:val="20"/>
      <w:szCs w:val="20"/>
    </w:rPr>
  </w:style>
  <w:style w:type="character" w:customStyle="1" w:styleId="48">
    <w:name w:val="日期 Char"/>
    <w:basedOn w:val="33"/>
    <w:link w:val="17"/>
    <w:qFormat/>
    <w:locked/>
    <w:uiPriority w:val="99"/>
    <w:rPr>
      <w:rFonts w:ascii="仿宋_GB2312" w:hAnsi="Times New Roman" w:eastAsia="仿宋_GB2312" w:cs="Times New Roman"/>
      <w:color w:val="000000"/>
      <w:spacing w:val="10"/>
      <w:kern w:val="0"/>
      <w:sz w:val="20"/>
      <w:szCs w:val="20"/>
    </w:rPr>
  </w:style>
  <w:style w:type="character" w:customStyle="1" w:styleId="49">
    <w:name w:val="正文文本缩进 2 Char"/>
    <w:basedOn w:val="33"/>
    <w:link w:val="18"/>
    <w:qFormat/>
    <w:locked/>
    <w:uiPriority w:val="99"/>
    <w:rPr>
      <w:rFonts w:ascii="宋体" w:hAnsi="宋体" w:eastAsia="宋体" w:cs="Times New Roman"/>
      <w:kern w:val="0"/>
      <w:sz w:val="24"/>
      <w:szCs w:val="24"/>
    </w:rPr>
  </w:style>
  <w:style w:type="character" w:customStyle="1" w:styleId="50">
    <w:name w:val="批注框文本 Char"/>
    <w:basedOn w:val="33"/>
    <w:link w:val="19"/>
    <w:qFormat/>
    <w:locked/>
    <w:uiPriority w:val="99"/>
    <w:rPr>
      <w:rFonts w:ascii="Times New Roman" w:hAnsi="Times New Roman" w:eastAsia="宋体" w:cs="Times New Roman"/>
      <w:kern w:val="0"/>
      <w:sz w:val="18"/>
      <w:szCs w:val="18"/>
    </w:rPr>
  </w:style>
  <w:style w:type="character" w:customStyle="1" w:styleId="51">
    <w:name w:val="页脚 Char"/>
    <w:basedOn w:val="33"/>
    <w:link w:val="20"/>
    <w:qFormat/>
    <w:locked/>
    <w:uiPriority w:val="99"/>
    <w:rPr>
      <w:rFonts w:cs="Times New Roman"/>
      <w:sz w:val="18"/>
      <w:szCs w:val="18"/>
    </w:rPr>
  </w:style>
  <w:style w:type="character" w:customStyle="1" w:styleId="52">
    <w:name w:val="页眉 Char"/>
    <w:basedOn w:val="33"/>
    <w:link w:val="21"/>
    <w:qFormat/>
    <w:locked/>
    <w:uiPriority w:val="99"/>
    <w:rPr>
      <w:rFonts w:cs="Times New Roman"/>
      <w:sz w:val="18"/>
      <w:szCs w:val="18"/>
    </w:rPr>
  </w:style>
  <w:style w:type="character" w:customStyle="1" w:styleId="53">
    <w:name w:val="正文文本缩进 3 Char"/>
    <w:basedOn w:val="33"/>
    <w:link w:val="25"/>
    <w:qFormat/>
    <w:locked/>
    <w:uiPriority w:val="99"/>
    <w:rPr>
      <w:rFonts w:ascii="仿宋_GB2312" w:hAnsi="Times New Roman" w:eastAsia="宋体" w:cs="Times New Roman"/>
      <w:spacing w:val="10"/>
      <w:kern w:val="0"/>
      <w:sz w:val="30"/>
      <w:szCs w:val="30"/>
    </w:rPr>
  </w:style>
  <w:style w:type="character" w:customStyle="1" w:styleId="54">
    <w:name w:val="正文文本 2 Char"/>
    <w:basedOn w:val="33"/>
    <w:link w:val="28"/>
    <w:qFormat/>
    <w:locked/>
    <w:uiPriority w:val="99"/>
    <w:rPr>
      <w:rFonts w:ascii="宋体" w:hAnsi="宋体" w:eastAsia="宋体" w:cs="Times New Roman"/>
      <w:spacing w:val="24"/>
      <w:kern w:val="0"/>
      <w:sz w:val="24"/>
      <w:szCs w:val="24"/>
    </w:rPr>
  </w:style>
  <w:style w:type="character" w:customStyle="1" w:styleId="55">
    <w:name w:val="批注主题 Char"/>
    <w:basedOn w:val="42"/>
    <w:link w:val="30"/>
    <w:qFormat/>
    <w:locked/>
    <w:uiPriority w:val="99"/>
    <w:rPr>
      <w:rFonts w:ascii="Times New Roman" w:hAnsi="Times New Roman" w:eastAsia="宋体" w:cs="Times New Roman"/>
      <w:b/>
      <w:bCs/>
      <w:kern w:val="0"/>
      <w:sz w:val="20"/>
      <w:szCs w:val="20"/>
    </w:rPr>
  </w:style>
  <w:style w:type="paragraph" w:customStyle="1" w:styleId="56">
    <w:name w:val="样式3"/>
    <w:basedOn w:val="1"/>
    <w:qFormat/>
    <w:uiPriority w:val="99"/>
    <w:pPr>
      <w:spacing w:line="360" w:lineRule="auto"/>
      <w:jc w:val="center"/>
    </w:pPr>
    <w:rPr>
      <w:rFonts w:ascii="宋体"/>
      <w:spacing w:val="6"/>
      <w:szCs w:val="20"/>
    </w:rPr>
  </w:style>
  <w:style w:type="paragraph" w:customStyle="1" w:styleId="57">
    <w:name w:val="纯文本1"/>
    <w:basedOn w:val="1"/>
    <w:qFormat/>
    <w:uiPriority w:val="99"/>
    <w:pPr>
      <w:adjustRightInd w:val="0"/>
    </w:pPr>
    <w:rPr>
      <w:rFonts w:ascii="宋体" w:hAnsi="Courier New" w:eastAsia="仿宋_GB2312"/>
      <w:sz w:val="28"/>
      <w:szCs w:val="20"/>
    </w:rPr>
  </w:style>
  <w:style w:type="paragraph" w:customStyle="1" w:styleId="58">
    <w:name w:val="样式7"/>
    <w:basedOn w:val="1"/>
    <w:qFormat/>
    <w:uiPriority w:val="99"/>
    <w:pPr>
      <w:spacing w:line="360" w:lineRule="auto"/>
      <w:ind w:firstLine="567"/>
    </w:pPr>
    <w:rPr>
      <w:rFonts w:ascii="仿宋_GB2312" w:eastAsia="仿宋_GB2312"/>
      <w:sz w:val="28"/>
      <w:szCs w:val="20"/>
    </w:rPr>
  </w:style>
  <w:style w:type="paragraph" w:customStyle="1" w:styleId="59">
    <w:name w:val="正文文本 21"/>
    <w:basedOn w:val="1"/>
    <w:qFormat/>
    <w:uiPriority w:val="99"/>
    <w:pPr>
      <w:adjustRightInd w:val="0"/>
      <w:ind w:firstLine="585"/>
      <w:jc w:val="left"/>
      <w:textAlignment w:val="baseline"/>
    </w:pPr>
    <w:rPr>
      <w:rFonts w:ascii="仿宋_GB2312" w:eastAsia="仿宋_GB2312"/>
      <w:spacing w:val="10"/>
      <w:sz w:val="28"/>
      <w:szCs w:val="20"/>
    </w:rPr>
  </w:style>
  <w:style w:type="paragraph" w:styleId="60">
    <w:name w:val="List Paragraph"/>
    <w:basedOn w:val="1"/>
    <w:qFormat/>
    <w:uiPriority w:val="34"/>
    <w:pPr>
      <w:ind w:firstLine="420" w:firstLineChars="200"/>
    </w:pPr>
    <w:rPr>
      <w:rFonts w:ascii="Calibri" w:hAnsi="Calibri" w:cs="Calibri"/>
      <w:szCs w:val="21"/>
    </w:rPr>
  </w:style>
  <w:style w:type="character" w:customStyle="1" w:styleId="61">
    <w:name w:val="headline-content4"/>
    <w:qFormat/>
    <w:uiPriority w:val="99"/>
  </w:style>
  <w:style w:type="paragraph" w:customStyle="1" w:styleId="62">
    <w:name w:val="TOC 标题1"/>
    <w:basedOn w:val="2"/>
    <w:next w:val="1"/>
    <w:qFormat/>
    <w:uiPriority w:val="99"/>
    <w:pPr>
      <w:keepLines/>
      <w:widowControl/>
      <w:numPr>
        <w:numId w:val="0"/>
      </w:numPr>
      <w:autoSpaceDE/>
      <w:autoSpaceDN/>
      <w:adjustRightInd/>
      <w:spacing w:before="480" w:line="276" w:lineRule="auto"/>
      <w:textAlignment w:val="auto"/>
      <w:outlineLvl w:val="9"/>
    </w:pPr>
    <w:rPr>
      <w:rFonts w:ascii="Cambria" w:hAnsi="Cambria" w:eastAsia="宋体"/>
      <w:b w:val="0"/>
      <w:bCs/>
      <w:color w:val="365F91"/>
      <w:szCs w:val="28"/>
    </w:rPr>
  </w:style>
  <w:style w:type="paragraph" w:customStyle="1" w:styleId="63">
    <w:name w:val="样式2"/>
    <w:basedOn w:val="1"/>
    <w:qFormat/>
    <w:uiPriority w:val="99"/>
    <w:pPr>
      <w:spacing w:line="360" w:lineRule="auto"/>
      <w:jc w:val="center"/>
    </w:pPr>
    <w:rPr>
      <w:rFonts w:ascii="宋体" w:hAnsi="Arial"/>
      <w:sz w:val="24"/>
      <w:szCs w:val="20"/>
    </w:rPr>
  </w:style>
  <w:style w:type="paragraph" w:customStyle="1" w:styleId="64">
    <w:name w:val="Char Char Char"/>
    <w:basedOn w:val="1"/>
    <w:qFormat/>
    <w:uiPriority w:val="99"/>
    <w:rPr>
      <w:rFonts w:ascii="Tahoma" w:hAnsi="Tahoma"/>
      <w:sz w:val="24"/>
      <w:szCs w:val="20"/>
    </w:rPr>
  </w:style>
  <w:style w:type="paragraph" w:customStyle="1" w:styleId="65">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66">
    <w:name w:val="报告正文"/>
    <w:basedOn w:val="1"/>
    <w:link w:val="67"/>
    <w:qFormat/>
    <w:uiPriority w:val="99"/>
    <w:pPr>
      <w:adjustRightInd w:val="0"/>
      <w:snapToGrid w:val="0"/>
      <w:spacing w:line="336" w:lineRule="auto"/>
      <w:ind w:left="2603"/>
    </w:pPr>
    <w:rPr>
      <w:rFonts w:ascii="华文细黑" w:eastAsia="华文细黑"/>
      <w:kern w:val="0"/>
      <w:sz w:val="20"/>
      <w:szCs w:val="20"/>
    </w:rPr>
  </w:style>
  <w:style w:type="character" w:customStyle="1" w:styleId="67">
    <w:name w:val="报告正文 Char1"/>
    <w:link w:val="66"/>
    <w:qFormat/>
    <w:locked/>
    <w:uiPriority w:val="99"/>
    <w:rPr>
      <w:rFonts w:ascii="华文细黑" w:hAnsi="Times New Roman" w:eastAsia="华文细黑"/>
      <w:kern w:val="0"/>
      <w:sz w:val="20"/>
    </w:rPr>
  </w:style>
  <w:style w:type="paragraph" w:customStyle="1" w:styleId="68">
    <w:name w:val="报告正文 Char Char Char"/>
    <w:basedOn w:val="1"/>
    <w:link w:val="69"/>
    <w:qFormat/>
    <w:uiPriority w:val="99"/>
    <w:pPr>
      <w:adjustRightInd w:val="0"/>
      <w:snapToGrid w:val="0"/>
      <w:spacing w:line="336" w:lineRule="auto"/>
      <w:ind w:left="2603"/>
    </w:pPr>
    <w:rPr>
      <w:rFonts w:ascii="华文细黑" w:eastAsia="华文细黑"/>
      <w:kern w:val="0"/>
      <w:sz w:val="20"/>
      <w:szCs w:val="20"/>
    </w:rPr>
  </w:style>
  <w:style w:type="character" w:customStyle="1" w:styleId="69">
    <w:name w:val="报告正文 Char Char Char Char"/>
    <w:link w:val="68"/>
    <w:qFormat/>
    <w:locked/>
    <w:uiPriority w:val="99"/>
    <w:rPr>
      <w:rFonts w:ascii="华文细黑" w:hAnsi="Times New Roman" w:eastAsia="华文细黑"/>
      <w:kern w:val="0"/>
      <w:sz w:val="20"/>
    </w:rPr>
  </w:style>
  <w:style w:type="character" w:customStyle="1" w:styleId="70">
    <w:name w:val="style2"/>
    <w:qFormat/>
    <w:uiPriority w:val="99"/>
  </w:style>
  <w:style w:type="character" w:customStyle="1" w:styleId="71">
    <w:name w:val="突出大号文字"/>
    <w:qFormat/>
    <w:uiPriority w:val="99"/>
    <w:rPr>
      <w:rFonts w:ascii="华文中宋" w:hAnsi="华文中宋" w:eastAsia="华文中宋"/>
      <w:b/>
      <w:color w:val="993366"/>
      <w:sz w:val="32"/>
    </w:rPr>
  </w:style>
  <w:style w:type="paragraph" w:customStyle="1" w:styleId="72">
    <w:name w:val="Char Char Char1"/>
    <w:basedOn w:val="1"/>
    <w:qFormat/>
    <w:uiPriority w:val="99"/>
    <w:rPr>
      <w:rFonts w:ascii="Tahoma" w:hAnsi="Tahoma"/>
      <w:sz w:val="24"/>
      <w:szCs w:val="20"/>
    </w:rPr>
  </w:style>
  <w:style w:type="paragraph" w:customStyle="1" w:styleId="73">
    <w:name w:val="文本档内容"/>
    <w:next w:val="1"/>
    <w:qFormat/>
    <w:uiPriority w:val="99"/>
    <w:pPr>
      <w:jc w:val="both"/>
    </w:pPr>
    <w:rPr>
      <w:rFonts w:ascii="Times New Roman" w:hAnsi="Times New Roman" w:eastAsia="宋体" w:cs="Times New Roman"/>
      <w:sz w:val="21"/>
      <w:szCs w:val="24"/>
      <w:lang w:val="en-US" w:eastAsia="zh-CN" w:bidi="ar-SA"/>
    </w:rPr>
  </w:style>
  <w:style w:type="paragraph" w:customStyle="1" w:styleId="74">
    <w:name w:val="出书表格"/>
    <w:next w:val="1"/>
    <w:qFormat/>
    <w:uiPriority w:val="99"/>
    <w:pPr>
      <w:keepLines/>
      <w:widowControl w:val="0"/>
      <w:textAlignment w:val="center"/>
    </w:pPr>
    <w:rPr>
      <w:rFonts w:ascii="宋体" w:hAnsi="宋体" w:eastAsia="宋体" w:cs="Times New Roman"/>
      <w:kern w:val="2"/>
      <w:sz w:val="24"/>
      <w:szCs w:val="24"/>
      <w:lang w:val="en-US" w:eastAsia="zh-CN" w:bidi="ar-SA"/>
    </w:rPr>
  </w:style>
  <w:style w:type="paragraph" w:customStyle="1" w:styleId="75">
    <w:name w:val="表格"/>
    <w:basedOn w:val="1"/>
    <w:link w:val="76"/>
    <w:qFormat/>
    <w:uiPriority w:val="0"/>
    <w:pPr>
      <w:adjustRightInd w:val="0"/>
      <w:snapToGrid w:val="0"/>
      <w:spacing w:beforeLines="50" w:line="360" w:lineRule="auto"/>
      <w:ind w:left="-850" w:right="-901" w:rightChars="-429" w:firstLine="422"/>
      <w:jc w:val="center"/>
    </w:pPr>
    <w:rPr>
      <w:rFonts w:ascii="宋体" w:hAnsi="宋体"/>
      <w:b/>
      <w:kern w:val="0"/>
      <w:sz w:val="20"/>
      <w:szCs w:val="21"/>
    </w:rPr>
  </w:style>
  <w:style w:type="character" w:customStyle="1" w:styleId="76">
    <w:name w:val="表格 Char"/>
    <w:link w:val="75"/>
    <w:qFormat/>
    <w:locked/>
    <w:uiPriority w:val="0"/>
    <w:rPr>
      <w:rFonts w:ascii="宋体" w:hAnsi="宋体" w:eastAsia="宋体"/>
      <w:b/>
      <w:sz w:val="21"/>
    </w:rPr>
  </w:style>
  <w:style w:type="paragraph" w:customStyle="1" w:styleId="77">
    <w:name w:val="图注"/>
    <w:basedOn w:val="1"/>
    <w:link w:val="78"/>
    <w:qFormat/>
    <w:uiPriority w:val="0"/>
    <w:pPr>
      <w:adjustRightInd w:val="0"/>
      <w:snapToGrid w:val="0"/>
      <w:spacing w:line="360" w:lineRule="auto"/>
      <w:ind w:left="-850" w:leftChars="-405" w:right="-850" w:rightChars="-405"/>
      <w:jc w:val="center"/>
    </w:pPr>
    <w:rPr>
      <w:rFonts w:ascii="宋体" w:hAnsi="宋体"/>
      <w:b/>
      <w:kern w:val="0"/>
      <w:sz w:val="20"/>
      <w:szCs w:val="21"/>
    </w:rPr>
  </w:style>
  <w:style w:type="character" w:customStyle="1" w:styleId="78">
    <w:name w:val="图注 Char"/>
    <w:link w:val="77"/>
    <w:qFormat/>
    <w:locked/>
    <w:uiPriority w:val="0"/>
    <w:rPr>
      <w:rFonts w:ascii="宋体" w:hAnsi="宋体" w:eastAsia="宋体"/>
      <w:b/>
      <w:sz w:val="21"/>
    </w:rPr>
  </w:style>
  <w:style w:type="paragraph" w:customStyle="1" w:styleId="79">
    <w:name w:val="列出段落1"/>
    <w:basedOn w:val="1"/>
    <w:qFormat/>
    <w:uiPriority w:val="99"/>
    <w:pPr>
      <w:ind w:firstLine="420" w:firstLineChars="200"/>
    </w:pPr>
    <w:rPr>
      <w:rFonts w:ascii="Calibri" w:hAnsi="Calibri" w:cs="Calibri"/>
      <w:szCs w:val="21"/>
    </w:rPr>
  </w:style>
  <w:style w:type="paragraph" w:customStyle="1" w:styleId="80">
    <w:name w:val="Normal_435f7e24-3a6e-487d-915a-936fb4e1e847"/>
    <w:next w:val="1"/>
    <w:qFormat/>
    <w:uiPriority w:val="0"/>
    <w:pPr>
      <w:widowControl w:val="0"/>
      <w:jc w:val="both"/>
    </w:pPr>
    <w:rPr>
      <w:rFonts w:ascii="Calibri" w:hAnsi="Calibri" w:eastAsia="宋体" w:cs="Times New Roman"/>
      <w:lang w:val="en-US" w:eastAsia="zh-CN" w:bidi="ar-SA"/>
    </w:rPr>
  </w:style>
  <w:style w:type="character" w:customStyle="1" w:styleId="81">
    <w:name w:val="标题 3 Char_f9564110-0fc0-4259-9b9e-5b97394fe335"/>
    <w:qFormat/>
    <w:uiPriority w:val="0"/>
    <w:rPr>
      <w:rFonts w:ascii="Calibri" w:hAnsi="Calibri" w:eastAsia="黑体" w:cs="Times New Roman"/>
      <w:b/>
      <w:bCs/>
      <w:color w:val="000000"/>
      <w:sz w:val="28"/>
      <w:szCs w:val="32"/>
    </w:rPr>
  </w:style>
  <w:style w:type="paragraph" w:customStyle="1" w:styleId="82">
    <w:name w:val="图注_3f3d160f-d873-4bf9-ae25-e08747e63ab4"/>
    <w:basedOn w:val="80"/>
    <w:next w:val="1"/>
    <w:qFormat/>
    <w:uiPriority w:val="0"/>
    <w:pPr>
      <w:adjustRightInd w:val="0"/>
      <w:spacing w:line="360" w:lineRule="auto"/>
      <w:ind w:left="-850" w:leftChars="-405" w:right="-850" w:rightChars="-405"/>
      <w:jc w:val="center"/>
    </w:pPr>
    <w:rPr>
      <w:rFonts w:ascii="宋体" w:hAnsi="宋体" w:cs="宋体"/>
      <w:b/>
    </w:rPr>
  </w:style>
  <w:style w:type="character" w:customStyle="1" w:styleId="83">
    <w:name w:val="图注 Char_fe46312f-1a5a-4e81-b42a-88d48df2818f"/>
    <w:qFormat/>
    <w:uiPriority w:val="0"/>
    <w:rPr>
      <w:rFonts w:ascii="宋体" w:hAnsi="宋体" w:eastAsia="宋体" w:cs="Times New Roman"/>
      <w:b/>
      <w:szCs w:val="20"/>
    </w:rPr>
  </w:style>
  <w:style w:type="paragraph" w:customStyle="1" w:styleId="84">
    <w:name w:val="表格_1c107b76-31e1-44fb-a13d-2a6e3188aa76"/>
    <w:basedOn w:val="80"/>
    <w:next w:val="1"/>
    <w:qFormat/>
    <w:uiPriority w:val="0"/>
    <w:pPr>
      <w:adjustRightInd w:val="0"/>
      <w:spacing w:beforeLines="50" w:line="360" w:lineRule="auto"/>
      <w:ind w:left="-850" w:right="-901" w:rightChars="-429" w:firstLine="422"/>
      <w:jc w:val="center"/>
    </w:pPr>
    <w:rPr>
      <w:rFonts w:ascii="宋体" w:hAnsi="宋体" w:cs="宋体"/>
      <w:b/>
    </w:rPr>
  </w:style>
  <w:style w:type="paragraph" w:customStyle="1" w:styleId="85">
    <w:name w:val="Normal (Web)_582a8d66-1887-46bf-a192-eca6a5c60ce7"/>
    <w:basedOn w:val="80"/>
    <w:next w:val="1"/>
    <w:unhideWhenUsed/>
    <w:qFormat/>
    <w:uiPriority w:val="0"/>
    <w:pPr>
      <w:widowControl/>
      <w:spacing w:before="100" w:beforeAutospacing="1" w:after="100" w:afterAutospacing="1"/>
      <w:jc w:val="left"/>
    </w:pPr>
    <w:rPr>
      <w:rFonts w:ascii="宋体" w:hAnsi="宋体" w:cs="宋体"/>
      <w:sz w:val="24"/>
      <w:szCs w:val="24"/>
    </w:rPr>
  </w:style>
  <w:style w:type="paragraph" w:customStyle="1" w:styleId="86">
    <w:name w:val="Normal_5c155db5-d412-4c37-951a-e60f85252b6f"/>
    <w:next w:val="1"/>
    <w:qFormat/>
    <w:uiPriority w:val="0"/>
    <w:rPr>
      <w:rFonts w:ascii="Times New Roman" w:hAnsi="Times New Roman" w:eastAsia="Times New Roman" w:cs="Calibri"/>
      <w:sz w:val="24"/>
      <w:szCs w:val="24"/>
      <w:lang w:val="en-US" w:eastAsia="uk-UA" w:bidi="ar-SA"/>
    </w:rPr>
  </w:style>
  <w:style w:type="paragraph" w:customStyle="1" w:styleId="87">
    <w:name w:val="Normal (Web)_dc275ccb-c516-4082-99d0-1f8f1f0f6a17"/>
    <w:basedOn w:val="86"/>
    <w:next w:val="29"/>
    <w:qFormat/>
    <w:uiPriority w:val="0"/>
  </w:style>
  <w:style w:type="paragraph" w:customStyle="1" w:styleId="88">
    <w:name w:val="Normal (Web)_5e12acad-e401-4280-b878-e0aaf35ac3d3"/>
    <w:basedOn w:val="1"/>
    <w:next w:val="29"/>
    <w:qFormat/>
    <w:uiPriority w:val="0"/>
    <w:pPr>
      <w:widowControl/>
      <w:jc w:val="left"/>
    </w:pPr>
    <w:rPr>
      <w:rFonts w:eastAsia="Times New Roman" w:cs="Calibri"/>
      <w:kern w:val="0"/>
      <w:sz w:val="24"/>
      <w:lang w:eastAsia="uk-UA"/>
    </w:rPr>
  </w:style>
  <w:style w:type="paragraph" w:customStyle="1" w:styleId="89">
    <w:name w:val="Normal_ee69b9c9-d744-46f8-a513-351423be7bd3"/>
    <w:basedOn w:val="1"/>
    <w:next w:val="1"/>
    <w:qFormat/>
    <w:uiPriority w:val="0"/>
    <w:pPr>
      <w:widowControl/>
      <w:jc w:val="left"/>
    </w:pPr>
    <w:rPr>
      <w:kern w:val="0"/>
      <w:sz w:val="24"/>
    </w:rPr>
  </w:style>
  <w:style w:type="paragraph" w:customStyle="1" w:styleId="90">
    <w:name w:val="正文1"/>
    <w:qFormat/>
    <w:uiPriority w:val="0"/>
    <w:pPr>
      <w:jc w:val="both"/>
    </w:pPr>
    <w:rPr>
      <w:rFonts w:ascii="Calibri" w:hAnsi="Calibri" w:eastAsia="宋体" w:cs="宋体"/>
      <w:kern w:val="2"/>
      <w:sz w:val="21"/>
      <w:szCs w:val="21"/>
      <w:lang w:val="en-US" w:eastAsia="zh-CN" w:bidi="ar-SA"/>
    </w:rPr>
  </w:style>
  <w:style w:type="character" w:customStyle="1" w:styleId="91">
    <w:name w:val="font21"/>
    <w:basedOn w:val="33"/>
    <w:qFormat/>
    <w:uiPriority w:val="0"/>
    <w:rPr>
      <w:rFonts w:hint="eastAsia" w:ascii="宋体" w:hAnsi="宋体" w:eastAsia="宋体"/>
      <w:color w:val="000000"/>
      <w:sz w:val="21"/>
      <w:szCs w:val="21"/>
      <w:u w:val="none"/>
    </w:rPr>
  </w:style>
  <w:style w:type="character" w:customStyle="1" w:styleId="92">
    <w:name w:val="font01"/>
    <w:basedOn w:val="33"/>
    <w:qFormat/>
    <w:uiPriority w:val="0"/>
    <w:rPr>
      <w:rFonts w:hint="eastAsia" w:ascii="宋体" w:hAnsi="宋体" w:eastAsia="宋体"/>
      <w:color w:val="000000"/>
      <w:sz w:val="24"/>
      <w:szCs w:val="24"/>
      <w:u w:val="none"/>
    </w:rPr>
  </w:style>
  <w:style w:type="paragraph" w:customStyle="1" w:styleId="93">
    <w:name w:val="正文2"/>
    <w:qFormat/>
    <w:uiPriority w:val="0"/>
    <w:pPr>
      <w:jc w:val="both"/>
    </w:pPr>
    <w:rPr>
      <w:rFonts w:ascii="Courier New" w:hAnsi="Courier New" w:eastAsia="宋体" w:cs="Courier New"/>
      <w:kern w:val="2"/>
      <w:sz w:val="21"/>
      <w:szCs w:val="21"/>
      <w:lang w:val="en-US" w:eastAsia="zh-CN" w:bidi="ar-SA"/>
    </w:rPr>
  </w:style>
  <w:style w:type="paragraph" w:customStyle="1" w:styleId="94">
    <w:name w:val="列出段落2"/>
    <w:basedOn w:val="1"/>
    <w:qFormat/>
    <w:uiPriority w:val="0"/>
    <w:pPr>
      <w:ind w:firstLine="420" w:firstLineChars="200"/>
    </w:pPr>
    <w:rPr>
      <w:rFonts w:ascii="Calibri" w:hAnsi="Calibri" w:cs="宋体"/>
      <w:szCs w:val="21"/>
    </w:rPr>
  </w:style>
  <w:style w:type="paragraph" w:customStyle="1" w:styleId="95">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96">
    <w:name w:val="font11"/>
    <w:basedOn w:val="33"/>
    <w:qFormat/>
    <w:uiPriority w:val="0"/>
    <w:rPr>
      <w:rFonts w:hint="eastAsia" w:ascii="宋体" w:hAnsi="宋体" w:eastAsia="宋体"/>
      <w:color w:val="000000"/>
      <w:sz w:val="18"/>
      <w:szCs w:val="18"/>
      <w:u w:val="none"/>
    </w:rPr>
  </w:style>
  <w:style w:type="paragraph" w:customStyle="1" w:styleId="97">
    <w:name w:val="列出段落3"/>
    <w:basedOn w:val="1"/>
    <w:qFormat/>
    <w:uiPriority w:val="0"/>
    <w:pPr>
      <w:ind w:firstLine="420" w:firstLineChars="200"/>
    </w:pPr>
    <w:rPr>
      <w:rFonts w:ascii="Calibri" w:hAnsi="Calibri" w:cs="宋体"/>
      <w:szCs w:val="21"/>
    </w:rPr>
  </w:style>
  <w:style w:type="paragraph" w:customStyle="1" w:styleId="98">
    <w:name w:val="List Paragraph1"/>
    <w:basedOn w:val="1"/>
    <w:uiPriority w:val="0"/>
    <w:pPr>
      <w:ind w:firstLine="420" w:firstLineChars="200"/>
    </w:pPr>
    <w:rPr>
      <w:rFonts w:ascii="Calibri" w:hAnsi="Calibri" w:cs="宋体"/>
      <w:szCs w:val="21"/>
    </w:rPr>
  </w:style>
  <w:style w:type="character" w:customStyle="1" w:styleId="99">
    <w:name w:val="15"/>
    <w:basedOn w:val="33"/>
    <w:uiPriority w:val="0"/>
    <w:rPr>
      <w:rFonts w:hint="eastAsia" w:ascii="宋体" w:hAnsi="宋体" w:eastAsia="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theme" Target="theme/theme1.xml"/><Relationship Id="rId17" Type="http://schemas.openxmlformats.org/officeDocument/2006/relationships/footer" Target="footer4.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61"/>
    <customShpInfo spid="_x0000_s2063"/>
    <customShpInfo spid="_x0000_s2060"/>
    <customShpInfo spid="_x0000_s2062"/>
    <customShpInfo spid="_x0000_s2050"/>
    <customShpInfo spid="_x0000_s2049"/>
    <customShpInfo spid="_x0000_s2051"/>
    <customShpInfo spid="_x0000_s2053"/>
    <customShpInfo spid="_x0000_s2052"/>
    <customShpInfo spid="_x0000_s2054"/>
    <customShpInfo spid="_x0000_s2070"/>
    <customShpInfo spid="_x0000_s2069"/>
    <customShpInfo spid="_x0000_s20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0900B-BA06-496C-BE72-FF28D2658A9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39</Pages>
  <Words>22433</Words>
  <Characters>25482</Characters>
  <Lines>230</Lines>
  <Paragraphs>64</Paragraphs>
  <TotalTime>0</TotalTime>
  <ScaleCrop>false</ScaleCrop>
  <LinksUpToDate>false</LinksUpToDate>
  <CharactersWithSpaces>25709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2019-08-20T07:02:00Z</dcterms:created>
  <dc:creator>Sky123.Org</dc:creator>
  <cp:lastModifiedBy>黑胖奥巴牛</cp:lastModifiedBy>
  <cp:lastPrinted>2017-03-16T06:36:00Z</cp:lastPrinted>
  <dcterms:modified xsi:type="dcterms:W3CDTF">2022-03-17T07:48:48Z</dcterms:modified>
  <cp:revision>1174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E600B5B69B3D4D84B51BAC68BD8F1C88</vt:lpwstr>
  </property>
</Properties>
</file>