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1" w:firstLineChars="100"/>
        <w:jc w:val="left"/>
        <w:textAlignment w:val="auto"/>
        <w:rPr>
          <w:rFonts w:hint="eastAsia" w:ascii="仿宋" w:hAnsi="仿宋" w:eastAsia="仿宋" w:cs="仿宋"/>
          <w:sz w:val="32"/>
          <w:szCs w:val="32"/>
        </w:rPr>
      </w:pPr>
      <w:bookmarkStart w:id="0" w:name="_GoBack"/>
      <w:bookmarkEnd w:id="0"/>
      <w:r>
        <w:rPr>
          <w:rFonts w:hint="eastAsia" w:ascii="仿宋" w:hAnsi="仿宋" w:eastAsia="仿宋" w:cs="仿宋"/>
          <w:b/>
          <w:color w:val="000000"/>
          <w:kern w:val="0"/>
          <w:sz w:val="32"/>
          <w:szCs w:val="32"/>
          <w:lang w:val="en-US" w:eastAsia="zh-CN" w:bidi="ar"/>
        </w:rPr>
        <w:t xml:space="preserve">                        声      明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一、本价格评估报告依据中国价格协会发布的价格鉴证评估执业规范和职业道德准则编制。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委托人或者其他价格评估报告使用人应当按照法律、行政法规规定及本价格评估报告载明的使用范围使用价格评估报告，委托人或者其他价格评估报告使用人违反前述规定使用价格评估报告的，本价格鉴证评估机构及价格鉴证师不承担责任。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本价格鉴证评估机构及价格鉴证师提示价格评估报告使用人应当正确理解评估结论，评估结论不等同于评估对象可实现价格，评估结论不应当被认为是对评估对象可实现价格的保证。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三、委托人和其他相关当事人依法对其提供资料的真实性、完整性、合法性负责。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四、本价格鉴证评估机构及价格鉴证师遵守法律、行政法规和价格鉴证评估执业规范，坚持独立、客观和公正的原则，并对所出具的价格评估报告依法承担责任。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五、本价格鉴证评估机构及价格鉴证师与价格评估报告中的评估对象没有现存或者预期的利益关系；与相关当事人没有现存或者预期的利益关系，对相关当事人不存在偏见。</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2249" w:firstLineChars="700"/>
        <w:jc w:val="left"/>
        <w:textAlignment w:val="auto"/>
        <w:rPr>
          <w:rFonts w:hint="eastAsia" w:ascii="仿宋" w:hAnsi="仿宋" w:eastAsia="仿宋" w:cs="仿宋"/>
          <w:b/>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2249" w:firstLineChars="700"/>
        <w:jc w:val="left"/>
        <w:textAlignment w:val="auto"/>
        <w:rPr>
          <w:rFonts w:hint="eastAsia" w:ascii="仿宋" w:hAnsi="仿宋" w:eastAsia="仿宋" w:cs="仿宋"/>
          <w:b/>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2249" w:firstLineChars="700"/>
        <w:jc w:val="left"/>
        <w:textAlignment w:val="auto"/>
        <w:rPr>
          <w:rFonts w:hint="eastAsia" w:ascii="仿宋" w:hAnsi="仿宋" w:eastAsia="仿宋" w:cs="仿宋"/>
          <w:b/>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534" w:firstLineChars="1100"/>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价格评估报告摘要</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贵州世强价格评估有限公司（以下简称：本公司）接受贵州省黔西市人民法院的委托，对张楠名下位于贵州省黔西市黔金路30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 xml:space="preserve">房屋市场价格完成了必要的评估程序，按价格鉴证评估委托合同的约定，出具价格评估报告。现将价格评估情况及评估结果报告摘要如下：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一、委托人和其他评估报告使用人：委托人为贵州省黔西市人民法院。价格鉴证评估委托合同约定的其他评估报告使用人为除委托人外的国家法律、法规规定为实现本次评估目的相关经济行为而需要使用本报告的其他评估报告使用人。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二、被评估单位：张楠名下位于贵州省黔西市黔金路30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房屋一套</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建筑面积659.91</w:t>
      </w:r>
      <w:r>
        <w:rPr>
          <w:rFonts w:hint="eastAsia" w:ascii="宋体" w:hAnsi="宋体" w:eastAsia="宋体" w:cs="宋体"/>
          <w:kern w:val="2"/>
          <w:sz w:val="32"/>
          <w:szCs w:val="32"/>
          <w:lang w:val="en-US" w:eastAsia="zh-CN"/>
        </w:rPr>
        <w:t>㎡（</w:t>
      </w:r>
      <w:r>
        <w:rPr>
          <w:rFonts w:hint="eastAsia" w:ascii="仿宋" w:hAnsi="仿宋" w:eastAsia="仿宋" w:cs="仿宋"/>
          <w:kern w:val="2"/>
          <w:sz w:val="32"/>
          <w:szCs w:val="32"/>
          <w:lang w:val="en-US" w:eastAsia="zh-CN"/>
        </w:rPr>
        <w:t>其中1层为商业用房建筑面积82.76㎡，2—5层及后院小楼住房建筑面积共577.15㎡</w:t>
      </w:r>
      <w:r>
        <w:rPr>
          <w:rFonts w:hint="eastAsia" w:ascii="宋体" w:hAnsi="宋体" w:eastAsia="宋体" w:cs="宋体"/>
          <w:kern w:val="2"/>
          <w:sz w:val="32"/>
          <w:szCs w:val="32"/>
          <w:lang w:val="en-US" w:eastAsia="zh-CN"/>
        </w:rPr>
        <w:t>）</w:t>
      </w:r>
      <w:r>
        <w:rPr>
          <w:rFonts w:hint="eastAsia" w:ascii="仿宋" w:hAnsi="仿宋" w:eastAsia="仿宋" w:cs="仿宋"/>
          <w:kern w:val="2"/>
          <w:sz w:val="32"/>
          <w:szCs w:val="32"/>
          <w:lang w:eastAsia="zh-CN"/>
        </w:rPr>
        <w:t>。</w:t>
      </w:r>
      <w:r>
        <w:rPr>
          <w:rFonts w:hint="eastAsia" w:ascii="仿宋" w:hAnsi="仿宋" w:eastAsia="仿宋" w:cs="仿宋"/>
          <w:color w:val="000000"/>
          <w:kern w:val="0"/>
          <w:sz w:val="32"/>
          <w:szCs w:val="32"/>
          <w:lang w:val="en-US" w:eastAsia="zh-CN" w:bidi="ar"/>
        </w:rPr>
        <w:t xml:space="preserve">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三、价格评估目的：为委托方审理案件提供价格参考依据。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四、价格评估对象和范围：张楠名下位于贵州省黔西市黔金路30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r>
        <w:rPr>
          <w:rFonts w:hint="eastAsia" w:ascii="仿宋" w:hAnsi="仿宋" w:eastAsia="仿宋" w:cs="仿宋"/>
          <w:kern w:val="2"/>
          <w:sz w:val="32"/>
          <w:szCs w:val="32"/>
        </w:rPr>
        <w:t>一套的</w:t>
      </w:r>
      <w:r>
        <w:rPr>
          <w:rFonts w:hint="eastAsia" w:ascii="仿宋" w:hAnsi="仿宋" w:eastAsia="仿宋" w:cs="仿宋"/>
          <w:kern w:val="2"/>
          <w:sz w:val="32"/>
          <w:szCs w:val="32"/>
          <w:lang w:eastAsia="zh-CN"/>
        </w:rPr>
        <w:t>市场</w:t>
      </w:r>
      <w:r>
        <w:rPr>
          <w:rFonts w:hint="eastAsia" w:ascii="仿宋" w:hAnsi="仿宋" w:eastAsia="仿宋" w:cs="仿宋"/>
          <w:kern w:val="2"/>
          <w:sz w:val="32"/>
          <w:szCs w:val="32"/>
        </w:rPr>
        <w:t>价值</w:t>
      </w:r>
      <w:r>
        <w:rPr>
          <w:rFonts w:hint="eastAsia" w:ascii="仿宋" w:hAnsi="仿宋" w:eastAsia="仿宋" w:cs="仿宋"/>
          <w:color w:val="000000"/>
          <w:kern w:val="0"/>
          <w:sz w:val="32"/>
          <w:szCs w:val="32"/>
          <w:lang w:val="en-US" w:eastAsia="zh-CN" w:bidi="ar"/>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五、价格类型：市场价格。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六、价格评估基准日及评估结论使用有效期：评估基准日为2022年4月21日的市场价格，评估结论的有效使用期为一年，即自2022年4月21日至2023年4月20日。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七、价格评估方法：收益法、市场法。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八、价格评估结论:委估对象张楠名下位于贵州省黔西市黔金路30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r>
        <w:rPr>
          <w:rFonts w:hint="eastAsia" w:ascii="仿宋" w:hAnsi="仿宋" w:eastAsia="仿宋" w:cs="仿宋"/>
          <w:kern w:val="2"/>
          <w:sz w:val="32"/>
          <w:szCs w:val="32"/>
        </w:rPr>
        <w:t>一套的</w:t>
      </w:r>
      <w:r>
        <w:rPr>
          <w:rFonts w:hint="eastAsia" w:ascii="仿宋" w:hAnsi="仿宋" w:eastAsia="仿宋" w:cs="仿宋"/>
          <w:kern w:val="2"/>
          <w:sz w:val="32"/>
          <w:szCs w:val="32"/>
          <w:lang w:eastAsia="zh-CN"/>
        </w:rPr>
        <w:t>市场</w:t>
      </w:r>
      <w:r>
        <w:rPr>
          <w:rFonts w:hint="eastAsia" w:ascii="仿宋" w:hAnsi="仿宋" w:eastAsia="仿宋" w:cs="仿宋"/>
          <w:kern w:val="2"/>
          <w:sz w:val="32"/>
          <w:szCs w:val="32"/>
        </w:rPr>
        <w:t>价值</w:t>
      </w:r>
      <w:r>
        <w:rPr>
          <w:rFonts w:hint="eastAsia" w:ascii="仿宋" w:hAnsi="仿宋" w:eastAsia="仿宋" w:cs="仿宋"/>
          <w:color w:val="000000"/>
          <w:kern w:val="0"/>
          <w:sz w:val="32"/>
          <w:szCs w:val="32"/>
          <w:lang w:val="en-US" w:eastAsia="zh-CN" w:bidi="ar"/>
        </w:rPr>
        <w:t>在评估基准日的市场价格为人民币大写</w:t>
      </w:r>
      <w:r>
        <w:rPr>
          <w:rFonts w:hint="eastAsia" w:ascii="仿宋" w:hAnsi="仿宋" w:eastAsia="仿宋" w:cs="仿宋"/>
          <w:b/>
          <w:bCs/>
          <w:color w:val="000000"/>
          <w:kern w:val="0"/>
          <w:sz w:val="32"/>
          <w:szCs w:val="32"/>
          <w:lang w:val="en-US" w:eastAsia="zh-CN" w:bidi="ar"/>
        </w:rPr>
        <w:t>贰佰陆拾壹万壹仟零捌拾壹元整（小写：¥2,611,081</w:t>
      </w:r>
      <w:r>
        <w:rPr>
          <w:rFonts w:hint="eastAsia" w:ascii="仿宋" w:hAnsi="仿宋" w:eastAsia="仿宋" w:cs="仿宋"/>
          <w:b/>
          <w:bCs w:val="0"/>
          <w:i w:val="0"/>
          <w:caps w:val="0"/>
          <w:color w:val="262626" w:themeColor="text1" w:themeTint="D9"/>
          <w:spacing w:val="0"/>
          <w:kern w:val="0"/>
          <w:sz w:val="32"/>
          <w:szCs w:val="32"/>
          <w:shd w:val="clear" w:color="auto" w:fill="FFFFFF"/>
          <w:lang w:val="en-US" w:eastAsia="zh-CN" w:bidi="ar"/>
          <w14:textFill>
            <w14:solidFill>
              <w14:schemeClr w14:val="tx1">
                <w14:lumMod w14:val="85000"/>
                <w14:lumOff w14:val="15000"/>
              </w14:schemeClr>
            </w14:solidFill>
          </w14:textFill>
        </w:rPr>
        <w:t>元</w:t>
      </w:r>
      <w:r>
        <w:rPr>
          <w:rFonts w:hint="eastAsia" w:ascii="仿宋" w:hAnsi="仿宋" w:eastAsia="仿宋" w:cs="仿宋"/>
          <w:b/>
          <w:bCs/>
          <w:color w:val="333333"/>
          <w:kern w:val="0"/>
          <w:sz w:val="32"/>
          <w:szCs w:val="32"/>
          <w:shd w:val="clear" w:color="auto" w:fill="FFFFFF"/>
          <w:lang w:val="en-US" w:eastAsia="zh-CN" w:bidi="ar"/>
        </w:rPr>
        <w:t>），</w:t>
      </w:r>
      <w:r>
        <w:rPr>
          <w:rFonts w:hint="eastAsia" w:ascii="仿宋" w:hAnsi="仿宋" w:eastAsia="仿宋" w:cs="仿宋"/>
          <w:b w:val="0"/>
          <w:bCs w:val="0"/>
          <w:color w:val="333333"/>
          <w:kern w:val="0"/>
          <w:sz w:val="32"/>
          <w:szCs w:val="32"/>
          <w:shd w:val="clear" w:color="auto" w:fill="FFFFFF"/>
          <w:lang w:val="en-US" w:eastAsia="zh-CN" w:bidi="ar"/>
        </w:rPr>
        <w:t>其中：</w:t>
      </w:r>
    </w:p>
    <w:tbl>
      <w:tblPr>
        <w:tblStyle w:val="5"/>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523"/>
        <w:gridCol w:w="958"/>
        <w:gridCol w:w="862"/>
        <w:gridCol w:w="1425"/>
        <w:gridCol w:w="1763"/>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191" w:type="dxa"/>
            <w:noWrap w:val="0"/>
            <w:vAlign w:val="center"/>
          </w:tcPr>
          <w:p>
            <w:pPr>
              <w:widowControl/>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t>估价</w:t>
            </w:r>
          </w:p>
          <w:p>
            <w:pPr>
              <w:widowControl/>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t>对象</w:t>
            </w:r>
          </w:p>
        </w:tc>
        <w:tc>
          <w:tcPr>
            <w:tcW w:w="1523" w:type="dxa"/>
            <w:noWrap w:val="0"/>
            <w:vAlign w:val="center"/>
          </w:tcPr>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坐落</w:t>
            </w:r>
          </w:p>
        </w:tc>
        <w:tc>
          <w:tcPr>
            <w:tcW w:w="958" w:type="dxa"/>
            <w:noWrap w:val="0"/>
            <w:vAlign w:val="center"/>
          </w:tcPr>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产权人</w:t>
            </w:r>
          </w:p>
        </w:tc>
        <w:tc>
          <w:tcPr>
            <w:tcW w:w="862" w:type="dxa"/>
            <w:noWrap w:val="0"/>
            <w:vAlign w:val="center"/>
          </w:tcPr>
          <w:p>
            <w:pPr>
              <w:widowControl/>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t>实际</w:t>
            </w:r>
          </w:p>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用途</w:t>
            </w:r>
          </w:p>
        </w:tc>
        <w:tc>
          <w:tcPr>
            <w:tcW w:w="1425" w:type="dxa"/>
            <w:noWrap w:val="0"/>
            <w:vAlign w:val="center"/>
          </w:tcPr>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建筑面积</w:t>
            </w:r>
          </w:p>
          <w:p>
            <w:pPr>
              <w:widowControl/>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t>（㎡）</w:t>
            </w:r>
          </w:p>
        </w:tc>
        <w:tc>
          <w:tcPr>
            <w:tcW w:w="1763" w:type="dxa"/>
            <w:noWrap w:val="0"/>
            <w:vAlign w:val="center"/>
          </w:tcPr>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评估单价</w:t>
            </w:r>
          </w:p>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(元/</w:t>
            </w:r>
            <w:r>
              <w:rPr>
                <w:rFonts w:hint="eastAsia" w:ascii="仿宋" w:hAnsi="仿宋" w:eastAsia="仿宋" w:cs="仿宋"/>
                <w:b w:val="0"/>
                <w:bCs w:val="0"/>
                <w:color w:val="000000" w:themeColor="text1"/>
                <w:kern w:val="0"/>
                <w:sz w:val="28"/>
                <w:szCs w:val="28"/>
                <w:lang w:eastAsia="zh-CN"/>
                <w14:textFill>
                  <w14:solidFill>
                    <w14:schemeClr w14:val="tx1"/>
                  </w14:solidFill>
                </w14:textFill>
              </w:rPr>
              <w:t>㎡</w:t>
            </w:r>
            <w:r>
              <w:rPr>
                <w:rFonts w:hint="eastAsia" w:ascii="仿宋" w:hAnsi="仿宋" w:eastAsia="仿宋" w:cs="仿宋"/>
                <w:b w:val="0"/>
                <w:bCs w:val="0"/>
                <w:color w:val="000000" w:themeColor="text1"/>
                <w:kern w:val="0"/>
                <w:sz w:val="28"/>
                <w:szCs w:val="28"/>
                <w14:textFill>
                  <w14:solidFill>
                    <w14:schemeClr w14:val="tx1"/>
                  </w14:solidFill>
                </w14:textFill>
              </w:rPr>
              <w:t>)</w:t>
            </w:r>
          </w:p>
        </w:tc>
        <w:tc>
          <w:tcPr>
            <w:tcW w:w="1763" w:type="dxa"/>
            <w:noWrap w:val="0"/>
            <w:vAlign w:val="center"/>
          </w:tcPr>
          <w:p>
            <w:pPr>
              <w:widowControl/>
              <w:ind w:left="0" w:leftChars="0" w:right="0" w:rightChars="0" w:firstLine="0" w:firstLineChars="0"/>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评估值(元)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191" w:type="dxa"/>
            <w:noWrap w:val="0"/>
            <w:vAlign w:val="center"/>
          </w:tcPr>
          <w:p>
            <w:pPr>
              <w:widowControl/>
              <w:spacing w:line="240" w:lineRule="auto"/>
              <w:jc w:val="cente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1层</w:t>
            </w:r>
          </w:p>
        </w:tc>
        <w:tc>
          <w:tcPr>
            <w:tcW w:w="1523" w:type="dxa"/>
            <w:noWrap w:val="0"/>
            <w:vAlign w:val="center"/>
          </w:tcPr>
          <w:p>
            <w:pPr>
              <w:widowControl/>
              <w:spacing w:line="240" w:lineRule="auto"/>
              <w:jc w:val="center"/>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黔西市黔金路30</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号</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房屋</w:t>
            </w:r>
          </w:p>
        </w:tc>
        <w:tc>
          <w:tcPr>
            <w:tcW w:w="958" w:type="dxa"/>
            <w:noWrap w:val="0"/>
            <w:vAlign w:val="center"/>
          </w:tcPr>
          <w:p>
            <w:pPr>
              <w:widowControl/>
              <w:spacing w:line="240" w:lineRule="auto"/>
              <w:jc w:val="cente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张</w:t>
            </w:r>
          </w:p>
          <w:p>
            <w:pPr>
              <w:widowControl/>
              <w:spacing w:line="240" w:lineRule="auto"/>
              <w:jc w:val="center"/>
              <w:rPr>
                <w:rFonts w:hint="eastAsia" w:ascii="仿宋" w:hAnsi="仿宋" w:eastAsia="仿宋" w:cs="仿宋"/>
                <w:b w:val="0"/>
                <w:bCs w:val="0"/>
                <w:color w:val="000000" w:themeColor="text1"/>
                <w:kern w:val="0"/>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楠</w:t>
            </w:r>
          </w:p>
        </w:tc>
        <w:tc>
          <w:tcPr>
            <w:tcW w:w="862" w:type="dxa"/>
            <w:noWrap w:val="0"/>
            <w:vAlign w:val="center"/>
          </w:tcPr>
          <w:p>
            <w:pPr>
              <w:widowControl/>
              <w:spacing w:line="240" w:lineRule="auto"/>
              <w:jc w:val="center"/>
              <w:rPr>
                <w:rFonts w:hint="eastAsia" w:ascii="仿宋" w:hAnsi="仿宋" w:eastAsia="仿宋" w:cs="仿宋"/>
                <w:b w:val="0"/>
                <w:bCs w:val="0"/>
                <w:color w:val="000000" w:themeColor="text1"/>
                <w:kern w:val="0"/>
                <w:sz w:val="32"/>
                <w:szCs w:val="32"/>
                <w:lang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商业</w:t>
            </w:r>
          </w:p>
        </w:tc>
        <w:tc>
          <w:tcPr>
            <w:tcW w:w="1425" w:type="dxa"/>
            <w:noWrap w:val="0"/>
            <w:vAlign w:val="center"/>
          </w:tcPr>
          <w:p>
            <w:pPr>
              <w:widowControl/>
              <w:spacing w:line="240" w:lineRule="auto"/>
              <w:jc w:val="cente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82.76</w:t>
            </w:r>
          </w:p>
        </w:tc>
        <w:tc>
          <w:tcPr>
            <w:tcW w:w="1763" w:type="dxa"/>
            <w:noWrap w:val="0"/>
            <w:vAlign w:val="center"/>
          </w:tcPr>
          <w:p>
            <w:pPr>
              <w:widowControl/>
              <w:spacing w:line="240" w:lineRule="auto"/>
              <w:jc w:val="cente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6,563</w:t>
            </w:r>
          </w:p>
        </w:tc>
        <w:tc>
          <w:tcPr>
            <w:tcW w:w="1763" w:type="dxa"/>
            <w:noWrap w:val="0"/>
            <w:vAlign w:val="center"/>
          </w:tcPr>
          <w:p>
            <w:pPr>
              <w:widowControl/>
              <w:spacing w:line="240" w:lineRule="auto"/>
              <w:ind w:left="0" w:leftChars="0" w:right="0" w:rightChars="0" w:firstLine="0" w:firstLineChars="0"/>
              <w:jc w:val="cente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543,153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91" w:type="dxa"/>
            <w:noWrap w:val="0"/>
            <w:vAlign w:val="center"/>
          </w:tcPr>
          <w:p>
            <w:pPr>
              <w:widowControl/>
              <w:spacing w:line="240" w:lineRule="auto"/>
              <w:jc w:val="cente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2—5</w:t>
            </w:r>
            <w:r>
              <w:rPr>
                <w:rFonts w:hint="eastAsia" w:ascii="仿宋" w:hAnsi="仿宋" w:eastAsia="仿宋" w:cs="仿宋"/>
                <w:b w:val="0"/>
                <w:bCs w:val="0"/>
                <w:color w:val="000000" w:themeColor="text1"/>
                <w:kern w:val="0"/>
                <w:sz w:val="30"/>
                <w:szCs w:val="30"/>
                <w:lang w:val="en-US" w:eastAsia="zh-CN"/>
                <w14:textFill>
                  <w14:solidFill>
                    <w14:schemeClr w14:val="tx1"/>
                  </w14:solidFill>
                </w14:textFill>
              </w:rPr>
              <w:t>层及后院小楼</w:t>
            </w:r>
          </w:p>
        </w:tc>
        <w:tc>
          <w:tcPr>
            <w:tcW w:w="1523" w:type="dxa"/>
            <w:noWrap w:val="0"/>
            <w:vAlign w:val="center"/>
          </w:tcPr>
          <w:p>
            <w:pPr>
              <w:widowControl/>
              <w:spacing w:line="240" w:lineRule="auto"/>
              <w:jc w:val="center"/>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黔西市黔金路30</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号</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房屋</w:t>
            </w:r>
          </w:p>
        </w:tc>
        <w:tc>
          <w:tcPr>
            <w:tcW w:w="958" w:type="dxa"/>
            <w:noWrap w:val="0"/>
            <w:vAlign w:val="center"/>
          </w:tcPr>
          <w:p>
            <w:pPr>
              <w:widowControl/>
              <w:spacing w:line="240" w:lineRule="auto"/>
              <w:jc w:val="cente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张</w:t>
            </w:r>
          </w:p>
          <w:p>
            <w:pPr>
              <w:widowControl/>
              <w:spacing w:line="240" w:lineRule="auto"/>
              <w:jc w:val="center"/>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楠</w:t>
            </w:r>
          </w:p>
        </w:tc>
        <w:tc>
          <w:tcPr>
            <w:tcW w:w="862" w:type="dxa"/>
            <w:noWrap w:val="0"/>
            <w:vAlign w:val="center"/>
          </w:tcPr>
          <w:p>
            <w:pPr>
              <w:widowControl/>
              <w:spacing w:line="240" w:lineRule="auto"/>
              <w:jc w:val="center"/>
              <w:rPr>
                <w:rFonts w:hint="eastAsia" w:ascii="仿宋" w:hAnsi="仿宋" w:eastAsia="仿宋" w:cs="仿宋"/>
                <w:b w:val="0"/>
                <w:bCs w:val="0"/>
                <w:color w:val="000000" w:themeColor="text1"/>
                <w:kern w:val="0"/>
                <w:sz w:val="32"/>
                <w:szCs w:val="32"/>
                <w:lang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住宅</w:t>
            </w:r>
          </w:p>
        </w:tc>
        <w:tc>
          <w:tcPr>
            <w:tcW w:w="1425" w:type="dxa"/>
            <w:noWrap w:val="0"/>
            <w:vAlign w:val="center"/>
          </w:tcPr>
          <w:p>
            <w:pPr>
              <w:widowControl/>
              <w:spacing w:line="240" w:lineRule="auto"/>
              <w:jc w:val="cente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577.15</w:t>
            </w:r>
          </w:p>
        </w:tc>
        <w:tc>
          <w:tcPr>
            <w:tcW w:w="1763" w:type="dxa"/>
            <w:noWrap w:val="0"/>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b w:val="0"/>
                <w:bCs w:val="0"/>
                <w:i w:val="0"/>
                <w:color w:val="000000" w:themeColor="text1"/>
                <w:kern w:val="0"/>
                <w:sz w:val="32"/>
                <w:szCs w:val="32"/>
                <w:u w:val="none"/>
                <w:lang w:val="en-US" w:eastAsia="zh-CN" w:bidi="ar-SA"/>
                <w14:textFill>
                  <w14:solidFill>
                    <w14:schemeClr w14:val="tx1"/>
                  </w14:solidFill>
                </w14:textFill>
              </w:rPr>
              <w:t>3,583</w:t>
            </w:r>
          </w:p>
        </w:tc>
        <w:tc>
          <w:tcPr>
            <w:tcW w:w="1763" w:type="dxa"/>
            <w:noWrap w:val="0"/>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仿宋" w:hAnsi="仿宋" w:eastAsia="仿宋" w:cs="仿宋"/>
                <w:b w:val="0"/>
                <w:bCs w:val="0"/>
                <w:i w:val="0"/>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b w:val="0"/>
                <w:bCs w:val="0"/>
                <w:i w:val="0"/>
                <w:color w:val="000000" w:themeColor="text1"/>
                <w:kern w:val="0"/>
                <w:sz w:val="32"/>
                <w:szCs w:val="32"/>
                <w:u w:val="none"/>
                <w:lang w:val="en-US" w:eastAsia="zh-CN" w:bidi="ar-SA"/>
                <w14:textFill>
                  <w14:solidFill>
                    <w14:schemeClr w14:val="tx1"/>
                  </w14:solidFill>
                </w14:textFill>
              </w:rPr>
              <w:t>2,067,928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34" w:type="dxa"/>
            <w:gridSpan w:val="4"/>
            <w:noWrap w:val="0"/>
            <w:vAlign w:val="center"/>
          </w:tcPr>
          <w:p>
            <w:pPr>
              <w:widowControl/>
              <w:jc w:val="center"/>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合   计</w:t>
            </w:r>
          </w:p>
        </w:tc>
        <w:tc>
          <w:tcPr>
            <w:tcW w:w="1425" w:type="dxa"/>
            <w:noWrap w:val="0"/>
            <w:vAlign w:val="center"/>
          </w:tcPr>
          <w:p>
            <w:pPr>
              <w:widowControl/>
              <w:jc w:val="center"/>
              <w:rPr>
                <w:rFonts w:hint="eastAsia" w:ascii="仿宋" w:hAnsi="仿宋" w:eastAsia="仿宋" w:cs="仿宋"/>
                <w:b w:val="0"/>
                <w:bCs w:val="0"/>
                <w:i w:val="0"/>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659.91</w:t>
            </w:r>
          </w:p>
        </w:tc>
        <w:tc>
          <w:tcPr>
            <w:tcW w:w="1763" w:type="dxa"/>
            <w:noWrap w:val="0"/>
            <w:vAlign w:val="top"/>
          </w:tcPr>
          <w:p>
            <w:pPr>
              <w:keepNext w:val="0"/>
              <w:keepLines w:val="0"/>
              <w:widowControl/>
              <w:suppressLineNumbers w:val="0"/>
              <w:jc w:val="center"/>
              <w:textAlignment w:val="center"/>
              <w:rPr>
                <w:rFonts w:hint="eastAsia" w:ascii="仿宋" w:hAnsi="仿宋" w:eastAsia="仿宋" w:cs="仿宋"/>
                <w:b w:val="0"/>
                <w:bCs w:val="0"/>
                <w:i w:val="0"/>
                <w:color w:val="000000" w:themeColor="text1"/>
                <w:kern w:val="0"/>
                <w:sz w:val="32"/>
                <w:szCs w:val="32"/>
                <w:u w:val="none"/>
                <w:lang w:val="en-US" w:eastAsia="zh-CN" w:bidi="ar-SA"/>
                <w14:textFill>
                  <w14:solidFill>
                    <w14:schemeClr w14:val="tx1"/>
                  </w14:solidFill>
                </w14:textFill>
              </w:rPr>
            </w:pPr>
          </w:p>
        </w:tc>
        <w:tc>
          <w:tcPr>
            <w:tcW w:w="1763" w:type="dxa"/>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val="0"/>
                <w:bCs w:val="0"/>
                <w:i w:val="0"/>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b w:val="0"/>
                <w:bCs w:val="0"/>
                <w:i w:val="0"/>
                <w:color w:val="000000" w:themeColor="text1"/>
                <w:kern w:val="0"/>
                <w:sz w:val="32"/>
                <w:szCs w:val="32"/>
                <w:u w:val="none"/>
                <w:lang w:val="en-US" w:eastAsia="zh-CN" w:bidi="ar-SA"/>
                <w14:textFill>
                  <w14:solidFill>
                    <w14:schemeClr w14:val="tx1"/>
                  </w14:solidFill>
                </w14:textFill>
              </w:rPr>
              <w:t>2,611,081</w:t>
            </w:r>
          </w:p>
        </w:tc>
      </w:tr>
    </w:tbl>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FF0000"/>
          <w:sz w:val="32"/>
          <w:szCs w:val="32"/>
          <w:lang w:eastAsia="zh-CN"/>
        </w:rPr>
      </w:pPr>
      <w:r>
        <w:rPr>
          <w:rFonts w:hint="eastAsia" w:ascii="仿宋" w:hAnsi="仿宋" w:eastAsia="仿宋" w:cs="仿宋"/>
          <w:b w:val="0"/>
          <w:bCs/>
          <w:color w:val="000000"/>
          <w:kern w:val="0"/>
          <w:sz w:val="32"/>
          <w:szCs w:val="32"/>
          <w:lang w:val="en-US" w:eastAsia="zh-CN" w:bidi="ar"/>
        </w:rPr>
        <w:t>以上内容摘自评估报告正文，欲了解本评估项目的详细情况、合理理解评估结论，应当阅读评估报告正文</w:t>
      </w:r>
      <w:r>
        <w:rPr>
          <w:rFonts w:hint="eastAsia" w:ascii="仿宋" w:hAnsi="仿宋" w:eastAsia="仿宋" w:cs="仿宋"/>
          <w:b/>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 xml:space="preserve">  </w:t>
      </w: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r>
        <w:rPr>
          <w:rFonts w:hint="eastAsia" w:ascii="宋体" w:hAnsi="宋体" w:eastAsia="宋体" w:cs="宋体"/>
          <w:b/>
          <w:bCs/>
          <w:color w:val="FF2600"/>
          <w:sz w:val="52"/>
          <w:szCs w:val="52"/>
          <w:u w:color="FF2600"/>
          <w:rtl w:val="0"/>
          <w:lang w:val="en-US" w:eastAsia="zh-CN"/>
        </w:rPr>
        <w:t xml:space="preserve">      </w:t>
      </w: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zh-TW" w:eastAsia="zh-CN"/>
        </w:rPr>
      </w:pPr>
    </w:p>
    <w:p>
      <w:pPr>
        <w:pStyle w:val="12"/>
        <w:framePr w:wrap="auto" w:vAnchor="margin" w:hAnchor="text" w:yAlign="inline"/>
        <w:spacing w:line="288" w:lineRule="auto"/>
        <w:jc w:val="center"/>
        <w:rPr>
          <w:rFonts w:hint="eastAsia" w:ascii="宋体" w:hAnsi="宋体" w:eastAsia="宋体" w:cs="宋体"/>
          <w:b/>
          <w:bCs/>
          <w:color w:val="FF2600"/>
          <w:sz w:val="52"/>
          <w:szCs w:val="52"/>
          <w:u w:color="FF2600"/>
          <w:rtl w:val="0"/>
          <w:lang w:val="zh-TW" w:eastAsia="zh-CN"/>
        </w:rPr>
      </w:pPr>
      <w:r>
        <w:rPr>
          <w:rFonts w:hint="eastAsia" w:ascii="宋体" w:hAnsi="宋体" w:eastAsia="宋体" w:cs="宋体"/>
          <w:b/>
          <w:bCs/>
          <w:color w:val="FF2600"/>
          <w:sz w:val="52"/>
          <w:szCs w:val="52"/>
          <w:u w:color="FF2600"/>
          <w:rtl w:val="0"/>
          <w:lang w:val="zh-TW" w:eastAsia="zh-CN"/>
        </w:rPr>
        <w:t>贵州世强</w:t>
      </w:r>
      <w:r>
        <w:rPr>
          <w:rFonts w:ascii="宋体" w:hAnsi="宋体" w:eastAsia="宋体" w:cs="宋体"/>
          <w:b/>
          <w:bCs/>
          <w:color w:val="FF2600"/>
          <w:sz w:val="52"/>
          <w:szCs w:val="52"/>
          <w:u w:color="FF2600"/>
          <w:rtl w:val="0"/>
          <w:lang w:val="zh-TW" w:eastAsia="zh-TW"/>
        </w:rPr>
        <w:t>价格评估</w:t>
      </w:r>
      <w:r>
        <w:rPr>
          <w:rFonts w:hint="eastAsia" w:ascii="宋体" w:hAnsi="宋体" w:eastAsia="宋体" w:cs="宋体"/>
          <w:b/>
          <w:bCs/>
          <w:color w:val="FF2600"/>
          <w:sz w:val="52"/>
          <w:szCs w:val="52"/>
          <w:u w:color="FF2600"/>
          <w:rtl w:val="0"/>
          <w:lang w:val="zh-TW" w:eastAsia="zh-CN"/>
        </w:rPr>
        <w:t>有限公司</w:t>
      </w:r>
    </w:p>
    <w:p>
      <w:pPr>
        <w:pStyle w:val="12"/>
        <w:framePr w:wrap="auto" w:vAnchor="margin" w:hAnchor="text" w:yAlign="inline"/>
        <w:spacing w:line="288" w:lineRule="auto"/>
        <w:jc w:val="center"/>
        <w:rPr>
          <w:rFonts w:hint="default" w:ascii="宋体" w:hAnsi="宋体" w:eastAsia="宋体" w:cs="宋体"/>
          <w:sz w:val="32"/>
          <w:szCs w:val="32"/>
          <w:u w:val="none" w:color="auto"/>
          <w:lang w:val="en-US" w:eastAsia="zh-CN"/>
        </w:rPr>
      </w:pPr>
      <w:r>
        <w:rPr>
          <w:rFonts w:ascii="宋体" w:hAnsi="宋体" w:eastAsia="宋体" w:cs="宋体"/>
          <w:sz w:val="32"/>
          <w:szCs w:val="32"/>
          <w:u w:val="single" w:color="auto"/>
          <w:rtl w:val="0"/>
          <w:lang w:val="zh-TW" w:eastAsia="zh-TW"/>
        </w:rPr>
        <w:t>贵世价评字（20</w:t>
      </w:r>
      <w:r>
        <w:rPr>
          <w:rFonts w:hint="eastAsia" w:ascii="宋体" w:hAnsi="宋体" w:eastAsia="宋体" w:cs="宋体"/>
          <w:sz w:val="32"/>
          <w:szCs w:val="32"/>
          <w:u w:val="single" w:color="auto"/>
          <w:rtl w:val="0"/>
          <w:lang w:val="en-US" w:eastAsia="zh-CN"/>
        </w:rPr>
        <w:t>22</w:t>
      </w:r>
      <w:r>
        <w:rPr>
          <w:rFonts w:ascii="宋体" w:hAnsi="宋体" w:eastAsia="宋体" w:cs="宋体"/>
          <w:sz w:val="32"/>
          <w:szCs w:val="32"/>
          <w:u w:val="single" w:color="auto"/>
          <w:rtl w:val="0"/>
          <w:lang w:val="zh-TW" w:eastAsia="zh-TW"/>
        </w:rPr>
        <w:t>）第</w:t>
      </w:r>
      <w:r>
        <w:rPr>
          <w:rFonts w:ascii="宋体" w:hAnsi="宋体" w:eastAsia="宋体" w:cs="宋体"/>
          <w:sz w:val="32"/>
          <w:szCs w:val="32"/>
          <w:u w:val="single" w:color="auto"/>
          <w:rtl w:val="0"/>
          <w:lang w:val="en-US"/>
        </w:rPr>
        <w:t xml:space="preserve"> </w:t>
      </w:r>
      <w:r>
        <w:rPr>
          <w:rFonts w:hint="eastAsia" w:ascii="宋体" w:hAnsi="宋体" w:eastAsia="宋体" w:cs="宋体"/>
          <w:sz w:val="32"/>
          <w:szCs w:val="32"/>
          <w:u w:val="single" w:color="auto"/>
          <w:rtl w:val="0"/>
          <w:lang w:val="en-US" w:eastAsia="zh-CN"/>
        </w:rPr>
        <w:t>0</w:t>
      </w:r>
      <w:r>
        <w:rPr>
          <w:rFonts w:hint="eastAsia" w:ascii="宋体" w:hAnsi="宋体" w:eastAsia="宋体" w:cs="宋体"/>
          <w:sz w:val="32"/>
          <w:szCs w:val="32"/>
          <w:highlight w:val="none"/>
          <w:u w:val="single" w:color="auto"/>
          <w:rtl w:val="0"/>
          <w:lang w:val="en-US" w:eastAsia="zh-CN"/>
        </w:rPr>
        <w:t>28</w:t>
      </w:r>
      <w:r>
        <w:rPr>
          <w:rFonts w:ascii="宋体" w:hAnsi="宋体" w:eastAsia="宋体" w:cs="宋体"/>
          <w:sz w:val="32"/>
          <w:szCs w:val="32"/>
          <w:u w:val="single" w:color="auto"/>
          <w:rtl w:val="0"/>
          <w:lang w:val="zh-TW" w:eastAsia="zh-TW"/>
        </w:rPr>
        <w:t>号</w:t>
      </w:r>
    </w:p>
    <w:p>
      <w:pPr>
        <w:pStyle w:val="2"/>
        <w:spacing w:before="200" w:after="200" w:line="288" w:lineRule="auto"/>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rPr>
        <w:t>对</w:t>
      </w:r>
      <w:r>
        <w:rPr>
          <w:rFonts w:hint="eastAsia" w:ascii="宋体" w:hAnsi="宋体" w:eastAsia="宋体" w:cs="宋体"/>
          <w:b/>
          <w:bCs/>
          <w:color w:val="000000"/>
          <w:kern w:val="0"/>
          <w:sz w:val="36"/>
          <w:szCs w:val="36"/>
          <w:lang w:val="en-US" w:eastAsia="zh-CN" w:bidi="ar"/>
        </w:rPr>
        <w:t>张楠名下位于贵州省黔西市黔金路30</w:t>
      </w:r>
      <w:r>
        <w:rPr>
          <w:rFonts w:hint="eastAsia" w:ascii="宋体" w:hAnsi="宋体" w:eastAsia="宋体" w:cs="宋体"/>
          <w:b/>
          <w:bCs/>
          <w:color w:val="000000"/>
          <w:kern w:val="0"/>
          <w:sz w:val="36"/>
          <w:szCs w:val="36"/>
          <w:u w:val="none"/>
          <w:lang w:val="en-US" w:eastAsia="zh-CN" w:bidi="ar"/>
        </w:rPr>
        <w:t>号</w:t>
      </w:r>
      <w:r>
        <w:rPr>
          <w:rFonts w:hint="eastAsia" w:ascii="宋体" w:hAnsi="宋体" w:eastAsia="宋体" w:cs="宋体"/>
          <w:b/>
          <w:bCs/>
          <w:color w:val="000000"/>
          <w:kern w:val="0"/>
          <w:sz w:val="36"/>
          <w:szCs w:val="36"/>
          <w:lang w:val="en-US" w:eastAsia="zh-CN" w:bidi="ar"/>
        </w:rPr>
        <w:t>房屋</w:t>
      </w:r>
      <w:r>
        <w:rPr>
          <w:rFonts w:hint="eastAsia" w:ascii="宋体" w:hAnsi="宋体" w:eastAsia="宋体" w:cs="宋体"/>
          <w:b/>
          <w:bCs/>
          <w:kern w:val="2"/>
          <w:sz w:val="36"/>
          <w:szCs w:val="36"/>
        </w:rPr>
        <w:t>一套</w:t>
      </w:r>
      <w:r>
        <w:rPr>
          <w:rFonts w:hint="eastAsia" w:ascii="宋体" w:hAnsi="宋体" w:eastAsia="宋体" w:cs="宋体"/>
          <w:b/>
          <w:bCs/>
          <w:kern w:val="2"/>
          <w:sz w:val="36"/>
          <w:szCs w:val="36"/>
          <w:lang w:eastAsia="zh-CN"/>
        </w:rPr>
        <w:t>的</w:t>
      </w:r>
      <w:r>
        <w:rPr>
          <w:rFonts w:hint="eastAsia" w:ascii="宋体" w:hAnsi="宋体" w:eastAsia="宋体" w:cs="宋体"/>
          <w:b/>
          <w:bCs/>
          <w:kern w:val="2"/>
          <w:sz w:val="36"/>
          <w:szCs w:val="36"/>
          <w:lang w:val="en-US" w:eastAsia="zh-CN"/>
        </w:rPr>
        <w:t xml:space="preserve"> </w:t>
      </w:r>
    </w:p>
    <w:p>
      <w:pPr>
        <w:pStyle w:val="2"/>
        <w:spacing w:before="200" w:after="200" w:line="288" w:lineRule="auto"/>
        <w:jc w:val="center"/>
        <w:rPr>
          <w:rFonts w:hint="eastAsia" w:ascii="宋体" w:hAnsi="宋体" w:eastAsia="宋体" w:cs="宋体"/>
          <w:b/>
          <w:bCs/>
          <w:sz w:val="44"/>
          <w:szCs w:val="44"/>
        </w:rPr>
      </w:pPr>
      <w:r>
        <w:rPr>
          <w:rFonts w:hint="eastAsia" w:ascii="宋体" w:hAnsi="宋体" w:eastAsia="宋体" w:cs="宋体"/>
          <w:b/>
          <w:bCs/>
          <w:sz w:val="44"/>
          <w:szCs w:val="44"/>
        </w:rPr>
        <w:t>价格评估报告</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贵州省黔西市</w:t>
      </w:r>
      <w:r>
        <w:rPr>
          <w:rFonts w:hint="eastAsia" w:ascii="仿宋" w:hAnsi="仿宋" w:eastAsia="仿宋" w:cs="仿宋"/>
          <w:sz w:val="32"/>
          <w:szCs w:val="32"/>
          <w:lang w:eastAsia="zh-CN"/>
        </w:rPr>
        <w:t>人民法院</w:t>
      </w:r>
      <w:r>
        <w:rPr>
          <w:rFonts w:hint="eastAsia" w:ascii="仿宋" w:hAnsi="仿宋" w:eastAsia="仿宋" w:cs="仿宋"/>
          <w:sz w:val="32"/>
          <w:szCs w:val="32"/>
          <w:lang w:val="en-US" w:eastAsia="zh-CN"/>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贵州世强价格评估有限公司（以下简称“本公司”）接受贵院(2022)黔法委字72号《委托评估书》的委托，按照法律、行政法规和价格鉴证评估准则的规定，坚持独立、客观和公正的原则，按照必要的评估程序，</w:t>
      </w:r>
      <w:r>
        <w:rPr>
          <w:rFonts w:hint="eastAsia" w:ascii="仿宋" w:hAnsi="仿宋" w:eastAsia="仿宋" w:cs="仿宋"/>
          <w:kern w:val="2"/>
          <w:sz w:val="32"/>
          <w:szCs w:val="32"/>
        </w:rPr>
        <w:t>对被执行人</w:t>
      </w:r>
      <w:r>
        <w:rPr>
          <w:rFonts w:hint="eastAsia" w:ascii="仿宋" w:hAnsi="仿宋" w:eastAsia="仿宋" w:cs="仿宋"/>
          <w:color w:val="000000"/>
          <w:kern w:val="0"/>
          <w:sz w:val="32"/>
          <w:szCs w:val="32"/>
          <w:lang w:val="en-US" w:eastAsia="zh-CN" w:bidi="ar"/>
        </w:rPr>
        <w:t>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r>
        <w:rPr>
          <w:rFonts w:hint="eastAsia" w:ascii="仿宋" w:hAnsi="仿宋" w:eastAsia="仿宋" w:cs="仿宋"/>
          <w:kern w:val="2"/>
          <w:sz w:val="32"/>
          <w:szCs w:val="32"/>
        </w:rPr>
        <w:t>一套</w:t>
      </w:r>
      <w:r>
        <w:rPr>
          <w:rFonts w:hint="eastAsia" w:ascii="仿宋" w:hAnsi="仿宋" w:eastAsia="仿宋" w:cs="仿宋"/>
          <w:kern w:val="2"/>
          <w:sz w:val="32"/>
          <w:szCs w:val="32"/>
          <w:lang w:val="en-US" w:eastAsia="zh-CN"/>
        </w:rPr>
        <w:t>[不动产权证号：黔（2018）黔西县不动产权第0004420号，建筑面积659.91</w:t>
      </w:r>
      <w:r>
        <w:rPr>
          <w:rFonts w:hint="eastAsia" w:ascii="宋体" w:hAnsi="宋体" w:eastAsia="宋体" w:cs="宋体"/>
          <w:kern w:val="2"/>
          <w:sz w:val="32"/>
          <w:szCs w:val="32"/>
          <w:lang w:val="en-US" w:eastAsia="zh-CN"/>
        </w:rPr>
        <w:t>㎡</w:t>
      </w:r>
      <w:r>
        <w:rPr>
          <w:rFonts w:hint="eastAsia" w:ascii="仿宋" w:hAnsi="仿宋" w:eastAsia="仿宋" w:cs="仿宋"/>
          <w:kern w:val="2"/>
          <w:sz w:val="32"/>
          <w:szCs w:val="32"/>
          <w:lang w:val="en-US" w:eastAsia="zh-CN"/>
        </w:rPr>
        <w:t>]</w:t>
      </w:r>
      <w:r>
        <w:rPr>
          <w:rFonts w:hint="eastAsia" w:ascii="仿宋" w:hAnsi="仿宋" w:eastAsia="仿宋" w:cs="仿宋"/>
          <w:kern w:val="2"/>
          <w:sz w:val="32"/>
          <w:szCs w:val="32"/>
        </w:rPr>
        <w:t>的价值进行</w:t>
      </w:r>
      <w:r>
        <w:rPr>
          <w:rFonts w:hint="eastAsia" w:ascii="仿宋" w:hAnsi="仿宋" w:eastAsia="仿宋" w:cs="仿宋"/>
          <w:kern w:val="2"/>
          <w:sz w:val="32"/>
          <w:szCs w:val="32"/>
          <w:lang w:eastAsia="zh-CN"/>
        </w:rPr>
        <w:t>了</w:t>
      </w:r>
      <w:r>
        <w:rPr>
          <w:rFonts w:hint="eastAsia" w:ascii="仿宋" w:hAnsi="仿宋" w:eastAsia="仿宋" w:cs="仿宋"/>
          <w:color w:val="000000"/>
          <w:kern w:val="0"/>
          <w:sz w:val="32"/>
          <w:szCs w:val="32"/>
          <w:lang w:val="en-US" w:eastAsia="zh-CN" w:bidi="ar"/>
        </w:rPr>
        <w:t xml:space="preserve">评估，现将价格评估情况报告如下：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一、委托人、被评估单位和价格鉴证评估委托合同约定的其他评估报告使用人的概况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（一）委托人:</w:t>
      </w:r>
      <w:r>
        <w:rPr>
          <w:rFonts w:hint="eastAsia" w:ascii="仿宋" w:hAnsi="仿宋" w:eastAsia="仿宋" w:cs="仿宋"/>
          <w:sz w:val="32"/>
          <w:szCs w:val="32"/>
          <w:lang w:val="en-US" w:eastAsia="zh-CN"/>
        </w:rPr>
        <w:t>贵州省黔西市</w:t>
      </w:r>
      <w:r>
        <w:rPr>
          <w:rFonts w:hint="eastAsia" w:ascii="仿宋" w:hAnsi="仿宋" w:eastAsia="仿宋" w:cs="仿宋"/>
          <w:sz w:val="32"/>
          <w:szCs w:val="32"/>
          <w:lang w:eastAsia="zh-CN"/>
        </w:rPr>
        <w:t>人民法院</w:t>
      </w:r>
      <w:r>
        <w:rPr>
          <w:rFonts w:hint="eastAsia" w:ascii="仿宋" w:hAnsi="仿宋" w:eastAsia="仿宋" w:cs="仿宋"/>
          <w:color w:val="000000"/>
          <w:kern w:val="0"/>
          <w:sz w:val="32"/>
          <w:szCs w:val="32"/>
          <w:lang w:val="en-US" w:eastAsia="zh-CN" w:bidi="ar"/>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（二）被评估单位:张楠名下位于贵州省黔西市黔金路30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r>
        <w:rPr>
          <w:rFonts w:hint="eastAsia" w:ascii="仿宋" w:hAnsi="仿宋" w:eastAsia="仿宋" w:cs="仿宋"/>
          <w:kern w:val="2"/>
          <w:sz w:val="32"/>
          <w:szCs w:val="32"/>
        </w:rPr>
        <w:t>一套</w:t>
      </w:r>
      <w:r>
        <w:rPr>
          <w:rFonts w:hint="eastAsia" w:ascii="仿宋" w:hAnsi="仿宋" w:eastAsia="仿宋" w:cs="仿宋"/>
          <w:kern w:val="2"/>
          <w:sz w:val="32"/>
          <w:szCs w:val="32"/>
          <w:lang w:val="en-US" w:eastAsia="zh-CN"/>
        </w:rPr>
        <w:t>,建筑面积659.91</w:t>
      </w:r>
      <w:r>
        <w:rPr>
          <w:rFonts w:hint="eastAsia" w:ascii="宋体" w:hAnsi="宋体" w:eastAsia="宋体" w:cs="宋体"/>
          <w:kern w:val="2"/>
          <w:sz w:val="32"/>
          <w:szCs w:val="32"/>
          <w:lang w:val="en-US" w:eastAsia="zh-CN"/>
        </w:rPr>
        <w:t>㎡</w:t>
      </w:r>
      <w:r>
        <w:rPr>
          <w:rFonts w:hint="eastAsia" w:ascii="仿宋" w:hAnsi="仿宋" w:eastAsia="仿宋" w:cs="仿宋"/>
          <w:color w:val="000000"/>
          <w:kern w:val="0"/>
          <w:sz w:val="32"/>
          <w:szCs w:val="32"/>
          <w:lang w:val="en-US" w:eastAsia="zh-CN" w:bidi="ar"/>
        </w:rPr>
        <w:t xml:space="preserve">；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（三）价格鉴证评估委托合同约定的其他评估报告使用人:除委托人外的国家法律、法规规定为实现本次评估目的相关经济行为而需要使用本报告的其他评估报告使用人。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二、价格评估目的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为委托方审理案件提供价格参考依据。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left="-120" w:leftChars="-50" w:firstLine="643" w:firstLineChars="200"/>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三、价格评估对象和评估范围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 xml:space="preserve"> （一）评估对象:张楠名下位于贵州省黔西市黔金路30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r>
        <w:rPr>
          <w:rFonts w:hint="eastAsia" w:ascii="仿宋" w:hAnsi="仿宋" w:eastAsia="仿宋" w:cs="仿宋"/>
          <w:kern w:val="2"/>
          <w:sz w:val="32"/>
          <w:szCs w:val="32"/>
        </w:rPr>
        <w:t>一套</w:t>
      </w:r>
      <w:r>
        <w:rPr>
          <w:rFonts w:hint="eastAsia" w:ascii="仿宋" w:hAnsi="仿宋" w:eastAsia="仿宋" w:cs="仿宋"/>
          <w:kern w:val="2"/>
          <w:sz w:val="32"/>
          <w:szCs w:val="32"/>
          <w:lang w:val="en-US" w:eastAsia="zh-CN"/>
        </w:rPr>
        <w:t>,建筑面积659.91</w:t>
      </w:r>
      <w:r>
        <w:rPr>
          <w:rFonts w:hint="eastAsia" w:ascii="宋体" w:hAnsi="宋体" w:eastAsia="宋体" w:cs="宋体"/>
          <w:kern w:val="2"/>
          <w:sz w:val="32"/>
          <w:szCs w:val="32"/>
          <w:lang w:val="en-US" w:eastAsia="zh-CN"/>
        </w:rPr>
        <w:t>㎡</w:t>
      </w:r>
      <w:r>
        <w:rPr>
          <w:rFonts w:hint="eastAsia" w:ascii="仿宋" w:hAnsi="仿宋" w:eastAsia="仿宋" w:cs="仿宋"/>
          <w:i w:val="0"/>
          <w:caps w:val="0"/>
          <w:color w:val="000000"/>
          <w:spacing w:val="0"/>
          <w:kern w:val="0"/>
          <w:sz w:val="32"/>
          <w:szCs w:val="32"/>
          <w:lang w:val="en-US" w:eastAsia="zh-CN" w:bidi="ar"/>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kern w:val="2"/>
          <w:sz w:val="32"/>
          <w:szCs w:val="32"/>
          <w:lang w:val="en-US" w:eastAsia="zh-CN"/>
        </w:rPr>
      </w:pPr>
      <w:r>
        <w:rPr>
          <w:rFonts w:hint="eastAsia" w:ascii="仿宋" w:hAnsi="仿宋" w:eastAsia="仿宋" w:cs="仿宋"/>
          <w:color w:val="000000"/>
          <w:kern w:val="0"/>
          <w:sz w:val="32"/>
          <w:szCs w:val="32"/>
          <w:lang w:val="en-US" w:eastAsia="zh-CN" w:bidi="ar"/>
        </w:rPr>
        <w:t xml:space="preserve">   （二）评估范围:张楠名下位于贵州省黔西市黔金路30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r>
        <w:rPr>
          <w:rFonts w:hint="eastAsia" w:ascii="仿宋" w:hAnsi="仿宋" w:eastAsia="仿宋" w:cs="仿宋"/>
          <w:kern w:val="2"/>
          <w:sz w:val="32"/>
          <w:szCs w:val="32"/>
        </w:rPr>
        <w:t>的</w:t>
      </w:r>
      <w:r>
        <w:rPr>
          <w:rFonts w:hint="eastAsia" w:ascii="仿宋" w:hAnsi="仿宋" w:eastAsia="仿宋" w:cs="仿宋"/>
          <w:kern w:val="2"/>
          <w:sz w:val="32"/>
          <w:szCs w:val="32"/>
          <w:lang w:eastAsia="zh-CN"/>
        </w:rPr>
        <w:t>市场</w:t>
      </w:r>
      <w:r>
        <w:rPr>
          <w:rFonts w:hint="eastAsia" w:ascii="仿宋" w:hAnsi="仿宋" w:eastAsia="仿宋" w:cs="仿宋"/>
          <w:kern w:val="2"/>
          <w:sz w:val="32"/>
          <w:szCs w:val="32"/>
        </w:rPr>
        <w:t>价值</w:t>
      </w:r>
      <w:r>
        <w:rPr>
          <w:rFonts w:hint="eastAsia" w:ascii="仿宋" w:hAnsi="仿宋" w:eastAsia="仿宋" w:cs="仿宋"/>
          <w:kern w:val="2"/>
          <w:sz w:val="32"/>
          <w:szCs w:val="32"/>
          <w:lang w:eastAsia="zh-CN"/>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color w:val="000000"/>
          <w:kern w:val="0"/>
          <w:sz w:val="32"/>
          <w:szCs w:val="32"/>
          <w:lang w:val="en-US" w:eastAsia="zh-CN" w:bidi="ar"/>
        </w:rPr>
      </w:pPr>
      <w:r>
        <w:rPr>
          <w:rFonts w:hint="eastAsia" w:ascii="仿宋" w:hAnsi="仿宋" w:eastAsia="仿宋" w:cs="仿宋"/>
          <w:b/>
          <w:color w:val="000000"/>
          <w:kern w:val="0"/>
          <w:sz w:val="32"/>
          <w:szCs w:val="32"/>
          <w:lang w:val="en-US" w:eastAsia="zh-CN" w:bidi="ar"/>
        </w:rPr>
        <w:t xml:space="preserve">    四、价格类型及定义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（一）价格评估所选取的价格类型为：市场价格。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（二）价格类型定义：市场价格是指自愿买方和自愿卖方在各自理性行事且未受任何强迫的情况下，评估对象在评估基准日进行正常公平交易的价格估计数额。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b/>
          <w:color w:val="000000"/>
          <w:kern w:val="0"/>
          <w:sz w:val="32"/>
          <w:szCs w:val="32"/>
          <w:lang w:val="en-US" w:eastAsia="zh-CN" w:bidi="ar"/>
        </w:rPr>
        <w:t xml:space="preserve">五、价格评估基准日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本项目价格评估基准日为2022年4月21日,该基准日为现场勘查日。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六、价格评估依据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（一）(2022)黔法委字72号《委托评估书》。</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（二）法律依据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1、《中华人民共和国价格法》；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2、《中华人民共和国资产评估法》； </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lang w:val="zh-TW" w:eastAsia="zh-TW"/>
        </w:rPr>
        <w:t>《</w:t>
      </w:r>
      <w:r>
        <w:rPr>
          <w:rFonts w:hint="eastAsia" w:ascii="仿宋" w:hAnsi="仿宋" w:eastAsia="仿宋" w:cs="仿宋"/>
          <w:sz w:val="32"/>
          <w:szCs w:val="32"/>
        </w:rPr>
        <w:t>价格</w:t>
      </w:r>
      <w:r>
        <w:rPr>
          <w:rFonts w:hint="eastAsia" w:ascii="仿宋" w:hAnsi="仿宋" w:eastAsia="仿宋" w:cs="仿宋"/>
          <w:sz w:val="32"/>
          <w:szCs w:val="32"/>
          <w:lang w:eastAsia="zh-CN"/>
        </w:rPr>
        <w:t>鉴证</w:t>
      </w:r>
      <w:r>
        <w:rPr>
          <w:rFonts w:hint="eastAsia" w:ascii="仿宋" w:hAnsi="仿宋" w:eastAsia="仿宋" w:cs="仿宋"/>
          <w:sz w:val="32"/>
          <w:szCs w:val="32"/>
        </w:rPr>
        <w:t>评估执业规范</w:t>
      </w:r>
      <w:r>
        <w:rPr>
          <w:rFonts w:hint="eastAsia" w:ascii="仿宋" w:hAnsi="仿宋" w:eastAsia="仿宋" w:cs="仿宋"/>
          <w:sz w:val="32"/>
          <w:szCs w:val="32"/>
          <w:lang w:val="zh-TW" w:eastAsia="zh-TW"/>
        </w:rPr>
        <w:t>》</w:t>
      </w:r>
      <w:r>
        <w:rPr>
          <w:rFonts w:hint="eastAsia" w:ascii="仿宋" w:hAnsi="仿宋" w:eastAsia="仿宋" w:cs="仿宋"/>
          <w:sz w:val="32"/>
          <w:szCs w:val="32"/>
          <w:lang w:val="zh-TW"/>
        </w:rPr>
        <w:t>中价协</w:t>
      </w:r>
      <w:r>
        <w:rPr>
          <w:rFonts w:hint="eastAsia" w:ascii="仿宋" w:hAnsi="仿宋" w:eastAsia="仿宋" w:cs="仿宋"/>
          <w:sz w:val="32"/>
          <w:szCs w:val="32"/>
          <w:lang w:val="en-US" w:eastAsia="zh-CN"/>
        </w:rPr>
        <w:t>[2020]31号</w:t>
      </w:r>
      <w:r>
        <w:rPr>
          <w:rFonts w:hint="eastAsia" w:ascii="仿宋" w:hAnsi="仿宋" w:eastAsia="仿宋" w:cs="仿宋"/>
          <w:sz w:val="32"/>
          <w:szCs w:val="32"/>
          <w:lang w:eastAsia="zh-CN"/>
        </w:rPr>
        <w:t>；</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 4、</w:t>
      </w:r>
      <w:r>
        <w:rPr>
          <w:rFonts w:hint="eastAsia" w:ascii="仿宋" w:hAnsi="仿宋" w:eastAsia="仿宋" w:cs="仿宋"/>
          <w:sz w:val="32"/>
          <w:szCs w:val="32"/>
          <w:lang w:val="zh-TW" w:eastAsia="zh-TW"/>
        </w:rPr>
        <w:t>《</w:t>
      </w:r>
      <w:r>
        <w:rPr>
          <w:rFonts w:hint="eastAsia" w:ascii="仿宋" w:hAnsi="仿宋" w:eastAsia="仿宋" w:cs="仿宋"/>
          <w:sz w:val="32"/>
          <w:szCs w:val="32"/>
          <w:lang w:val="zh-TW"/>
        </w:rPr>
        <w:t>价格认定依据规则</w:t>
      </w:r>
      <w:r>
        <w:rPr>
          <w:rFonts w:hint="eastAsia" w:ascii="仿宋" w:hAnsi="仿宋" w:eastAsia="仿宋" w:cs="仿宋"/>
          <w:sz w:val="32"/>
          <w:szCs w:val="32"/>
          <w:lang w:val="zh-TW" w:eastAsia="zh-TW"/>
        </w:rPr>
        <w:t>》</w:t>
      </w:r>
      <w:r>
        <w:rPr>
          <w:rFonts w:hint="eastAsia" w:ascii="仿宋" w:hAnsi="仿宋" w:eastAsia="仿宋" w:cs="仿宋"/>
          <w:sz w:val="32"/>
          <w:szCs w:val="32"/>
          <w:lang w:val="zh-TW"/>
        </w:rPr>
        <w:t>国家发展改革委价格认证中心</w:t>
      </w:r>
      <w:r>
        <w:rPr>
          <w:rFonts w:hint="eastAsia" w:ascii="仿宋" w:hAnsi="仿宋" w:eastAsia="仿宋" w:cs="仿宋"/>
          <w:sz w:val="32"/>
          <w:szCs w:val="32"/>
          <w:lang w:val="en-US" w:eastAsia="zh-CN"/>
        </w:rPr>
        <w:t>;</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360" w:lineRule="auto"/>
        <w:ind w:right="0" w:rightChars="0" w:firstLine="320" w:firstLineChars="100"/>
        <w:textAlignment w:val="auto"/>
        <w:rPr>
          <w:rFonts w:hint="eastAsia" w:ascii="宋体" w:hAnsi="宋体" w:eastAsia="宋体" w:cs="宋体"/>
          <w:sz w:val="32"/>
          <w:szCs w:val="32"/>
          <w:lang w:val="en-US" w:eastAsia="zh-CN"/>
        </w:rPr>
      </w:pPr>
      <w:r>
        <w:rPr>
          <w:rFonts w:hint="eastAsia" w:ascii="仿宋" w:hAnsi="仿宋" w:eastAsia="仿宋" w:cs="仿宋"/>
          <w:sz w:val="32"/>
          <w:szCs w:val="32"/>
          <w:lang w:val="en-US" w:eastAsia="zh-CN"/>
        </w:rPr>
        <w:t xml:space="preserve"> 5、 </w:t>
      </w:r>
      <w:r>
        <w:rPr>
          <w:rFonts w:hint="eastAsia" w:ascii="仿宋" w:hAnsi="仿宋" w:eastAsia="仿宋" w:cs="仿宋"/>
          <w:sz w:val="32"/>
          <w:szCs w:val="32"/>
        </w:rPr>
        <w:t>国家有关房地产评估的法律、法规和政策</w:t>
      </w:r>
      <w:r>
        <w:rPr>
          <w:rFonts w:hint="eastAsia" w:ascii="宋体" w:hAnsi="宋体" w:eastAsia="宋体" w:cs="宋体"/>
          <w:sz w:val="32"/>
          <w:szCs w:val="32"/>
          <w:lang w:eastAsia="zh-CN"/>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rtl w:val="0"/>
          <w:lang w:val="en-US" w:eastAsia="zh-CN"/>
        </w:rPr>
        <w:t xml:space="preserve"> （三）</w:t>
      </w:r>
      <w:r>
        <w:rPr>
          <w:rFonts w:hint="eastAsia" w:ascii="仿宋" w:hAnsi="仿宋" w:eastAsia="仿宋" w:cs="仿宋"/>
          <w:color w:val="000000"/>
          <w:kern w:val="0"/>
          <w:sz w:val="32"/>
          <w:szCs w:val="32"/>
          <w:lang w:val="en-US" w:eastAsia="zh-CN" w:bidi="ar"/>
        </w:rPr>
        <w:t>委托方提供的其他资料</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1、贵州省不动产登记查询结果复印件，张楠身份证复印件；</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2、民事判决书、张楠房产证复印件。</w:t>
      </w:r>
    </w:p>
    <w:p>
      <w:pPr>
        <w:keepNext w:val="0"/>
        <w:keepLines w:val="0"/>
        <w:pageBreakBefore w:val="0"/>
        <w:framePr w:wrap="auto" w:vAnchor="margin" w:hAnchor="text" w:yAlign="inline"/>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120" w:leftChars="5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（四）取价依据</w:t>
      </w:r>
    </w:p>
    <w:p>
      <w:pPr>
        <w:keepNext w:val="0"/>
        <w:keepLines w:val="0"/>
        <w:pageBreakBefore w:val="0"/>
        <w:framePr w:wrap="auto" w:vAnchor="margin" w:hAnchor="text" w:yAlign="inline"/>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120" w:leftChars="-5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1、评估人员实地查看或咨询所获得的价格资料；</w:t>
      </w:r>
    </w:p>
    <w:p>
      <w:pPr>
        <w:keepNext w:val="0"/>
        <w:keepLines w:val="0"/>
        <w:pageBreakBefore w:val="0"/>
        <w:framePr w:wrap="auto" w:vAnchor="margin" w:hAnchor="text" w:yAlign="inline"/>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120" w:leftChars="-50"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rPr>
        <w:t>2、评估机构及评估人员掌握的其他相关信息资料。</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b/>
          <w:color w:val="000000"/>
          <w:kern w:val="0"/>
          <w:sz w:val="32"/>
          <w:szCs w:val="32"/>
          <w:lang w:val="en-US" w:eastAsia="zh-CN" w:bidi="ar"/>
        </w:rPr>
        <w:t>七、价格评估方法</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价格鉴证评估基本方法包括市场法、成本法和收益法。进行价格评估时，要根据评估对象、价格类型、资料收集情况等相关条件，分析三种价格鉴证评估基本方法的适用性。</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560"/>
        <w:jc w:val="both"/>
        <w:textAlignment w:val="auto"/>
        <w:rPr>
          <w:rFonts w:hint="eastAsia" w:ascii="仿宋" w:hAnsi="仿宋" w:eastAsia="仿宋" w:cs="仿宋"/>
          <w:sz w:val="32"/>
          <w:szCs w:val="32"/>
        </w:rPr>
      </w:pPr>
      <w:r>
        <w:rPr>
          <w:rFonts w:hint="eastAsia" w:ascii="仿宋" w:hAnsi="仿宋" w:eastAsia="仿宋" w:cs="仿宋"/>
          <w:sz w:val="32"/>
          <w:szCs w:val="32"/>
        </w:rPr>
        <w:t>市场法:是指通过市场调查,选择三个或者三个以</w:t>
      </w:r>
      <w:r>
        <w:rPr>
          <w:rFonts w:hint="eastAsia" w:ascii="仿宋" w:hAnsi="仿宋" w:eastAsia="仿宋" w:cs="仿宋"/>
          <w:sz w:val="32"/>
          <w:szCs w:val="32"/>
          <w:lang w:eastAsia="zh-CN"/>
        </w:rPr>
        <w:t>上</w:t>
      </w:r>
      <w:r>
        <w:rPr>
          <w:rFonts w:hint="eastAsia" w:ascii="仿宋" w:hAnsi="仿宋" w:eastAsia="仿宋" w:cs="仿宋"/>
          <w:sz w:val="32"/>
          <w:szCs w:val="32"/>
        </w:rPr>
        <w:t>与价格鉴证评估事项相同或者类似的可比实例或者参照物,分析比较价格鉴证评估事项与参照物之间的差异并进行调整,从而确定价格鉴证评估事项市场价格的方法。市场法的适用条件:</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交易市场发育充分;</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参照物及其与价格鉴证评估事项可比较的指标、技术参数等资料可以收集到。</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成本法:是指在办理价格鉴证评估事项时，按照价格鉴证评估事项在基准日的重置成本扣减各种损耗来确定价格鉴证评估事项价格的方法。成本法的适用条件:</w:t>
      </w:r>
    </w:p>
    <w:p>
      <w:pPr>
        <w:keepNext w:val="0"/>
        <w:keepLines w:val="0"/>
        <w:pageBreakBefore w:val="0"/>
        <w:framePr w:wrap="auto" w:vAnchor="margin" w:hAnchor="text" w:yAlign="inline"/>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具备可以采用的成本资料</w:t>
      </w:r>
      <w:r>
        <w:rPr>
          <w:rFonts w:hint="eastAsia" w:ascii="仿宋" w:hAnsi="仿宋" w:eastAsia="仿宋" w:cs="仿宋"/>
          <w:sz w:val="32"/>
          <w:szCs w:val="32"/>
          <w:lang w:val="en-US" w:eastAsia="zh-CN"/>
        </w:rPr>
        <w:t>；</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right="0" w:right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（二）</w:t>
      </w:r>
      <w:r>
        <w:rPr>
          <w:rFonts w:hint="eastAsia" w:ascii="仿宋" w:hAnsi="仿宋" w:eastAsia="仿宋" w:cs="仿宋"/>
          <w:sz w:val="32"/>
          <w:szCs w:val="32"/>
        </w:rPr>
        <w:t>各种损耗可以量化。</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收益法:是指将价格鉴证评估事项的预期收益,按一定的折现率折算成现值，从而确定价格鉴证评估事项价格的方法。收益法的适用条件:</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（一）</w:t>
      </w:r>
      <w:r>
        <w:rPr>
          <w:rFonts w:hint="eastAsia" w:ascii="仿宋" w:hAnsi="仿宋" w:eastAsia="仿宋" w:cs="仿宋"/>
          <w:sz w:val="32"/>
          <w:szCs w:val="32"/>
        </w:rPr>
        <w:t>价格鉴证评估事项的预期收益可以预测并能用货币衡量</w:t>
      </w:r>
      <w:r>
        <w:rPr>
          <w:rFonts w:hint="eastAsia" w:ascii="仿宋" w:hAnsi="仿宋" w:eastAsia="仿宋" w:cs="仿宋"/>
          <w:sz w:val="32"/>
          <w:szCs w:val="32"/>
          <w:lang w:eastAsia="zh-CN"/>
        </w:rPr>
        <w:t>；</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（二）</w:t>
      </w:r>
      <w:r>
        <w:rPr>
          <w:rFonts w:hint="eastAsia" w:ascii="仿宋" w:hAnsi="仿宋" w:eastAsia="仿宋" w:cs="仿宋"/>
          <w:sz w:val="32"/>
          <w:szCs w:val="32"/>
        </w:rPr>
        <w:t>获得预期收益所承担的风险可以预测并能用货币衡量</w:t>
      </w:r>
      <w:r>
        <w:rPr>
          <w:rFonts w:hint="eastAsia" w:ascii="仿宋" w:hAnsi="仿宋" w:eastAsia="仿宋" w:cs="仿宋"/>
          <w:sz w:val="32"/>
          <w:szCs w:val="32"/>
          <w:lang w:eastAsia="zh-CN"/>
        </w:rPr>
        <w:t>；</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（三）</w:t>
      </w:r>
      <w:r>
        <w:rPr>
          <w:rFonts w:hint="eastAsia" w:ascii="仿宋" w:hAnsi="仿宋" w:eastAsia="仿宋" w:cs="仿宋"/>
          <w:sz w:val="32"/>
          <w:szCs w:val="32"/>
        </w:rPr>
        <w:t>预期获利年限可以预测。</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color w:val="000000"/>
          <w:kern w:val="0"/>
          <w:sz w:val="32"/>
          <w:szCs w:val="32"/>
          <w:lang w:val="en-US" w:eastAsia="zh-CN"/>
        </w:rPr>
        <w:t>对于本次价格评估，因</w:t>
      </w:r>
      <w:r>
        <w:rPr>
          <w:rFonts w:hint="eastAsia" w:ascii="仿宋" w:hAnsi="仿宋" w:eastAsia="仿宋" w:cs="仿宋"/>
          <w:b w:val="0"/>
          <w:bCs w:val="0"/>
          <w:i w:val="0"/>
          <w:caps w:val="0"/>
          <w:color w:val="000000"/>
          <w:spacing w:val="0"/>
          <w:sz w:val="32"/>
          <w:szCs w:val="32"/>
          <w:shd w:val="clear" w:color="auto" w:fill="FFFFFF"/>
          <w:lang w:eastAsia="zh-CN"/>
        </w:rPr>
        <w:t>不</w:t>
      </w:r>
      <w:r>
        <w:rPr>
          <w:rFonts w:hint="eastAsia" w:ascii="仿宋" w:hAnsi="仿宋" w:eastAsia="仿宋" w:cs="仿宋"/>
          <w:sz w:val="32"/>
          <w:szCs w:val="32"/>
        </w:rPr>
        <w:t>具备可以采用的成本资料</w:t>
      </w:r>
      <w:r>
        <w:rPr>
          <w:rFonts w:hint="eastAsia" w:ascii="仿宋" w:hAnsi="仿宋" w:eastAsia="仿宋" w:cs="仿宋"/>
          <w:sz w:val="32"/>
          <w:szCs w:val="32"/>
          <w:lang w:eastAsia="zh-CN"/>
        </w:rPr>
        <w:t>，</w:t>
      </w:r>
      <w:r>
        <w:rPr>
          <w:rFonts w:hint="eastAsia" w:ascii="仿宋" w:hAnsi="仿宋" w:eastAsia="仿宋" w:cs="仿宋"/>
          <w:sz w:val="32"/>
          <w:szCs w:val="32"/>
        </w:rPr>
        <w:t>各种损耗</w:t>
      </w:r>
      <w:r>
        <w:rPr>
          <w:rFonts w:hint="eastAsia" w:ascii="仿宋" w:hAnsi="仿宋" w:eastAsia="仿宋" w:cs="仿宋"/>
          <w:sz w:val="32"/>
          <w:szCs w:val="32"/>
          <w:lang w:eastAsia="zh-CN"/>
        </w:rPr>
        <w:t>也难</w:t>
      </w:r>
      <w:r>
        <w:rPr>
          <w:rFonts w:hint="eastAsia" w:ascii="仿宋" w:hAnsi="仿宋" w:eastAsia="仿宋" w:cs="仿宋"/>
          <w:sz w:val="32"/>
          <w:szCs w:val="32"/>
        </w:rPr>
        <w:t>以量化</w:t>
      </w:r>
      <w:r>
        <w:rPr>
          <w:rFonts w:hint="eastAsia" w:ascii="仿宋" w:hAnsi="仿宋" w:eastAsia="仿宋" w:cs="仿宋"/>
          <w:sz w:val="32"/>
          <w:szCs w:val="32"/>
          <w:lang w:eastAsia="zh-CN"/>
        </w:rPr>
        <w:t>，因此不宜采用成本法进行评估</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而对于一层门面</w:t>
      </w:r>
      <w:r>
        <w:rPr>
          <w:rFonts w:hint="eastAsia" w:ascii="仿宋" w:hAnsi="仿宋" w:eastAsia="仿宋" w:cs="仿宋"/>
          <w:sz w:val="32"/>
          <w:szCs w:val="32"/>
          <w:lang w:val="en-US" w:eastAsia="zh-CN"/>
        </w:rPr>
        <w:t>,因</w:t>
      </w:r>
      <w:r>
        <w:rPr>
          <w:rFonts w:hint="eastAsia" w:ascii="仿宋" w:hAnsi="仿宋" w:eastAsia="仿宋" w:cs="仿宋"/>
          <w:sz w:val="32"/>
          <w:szCs w:val="32"/>
        </w:rPr>
        <w:t>价格鉴证评估事项的预期收益</w:t>
      </w:r>
      <w:r>
        <w:rPr>
          <w:rFonts w:hint="eastAsia" w:ascii="仿宋" w:hAnsi="仿宋" w:eastAsia="仿宋" w:cs="仿宋"/>
          <w:sz w:val="32"/>
          <w:szCs w:val="32"/>
          <w:lang w:eastAsia="zh-CN"/>
        </w:rPr>
        <w:t>可</w:t>
      </w:r>
      <w:r>
        <w:rPr>
          <w:rFonts w:hint="eastAsia" w:ascii="仿宋" w:hAnsi="仿宋" w:eastAsia="仿宋" w:cs="仿宋"/>
          <w:sz w:val="32"/>
          <w:szCs w:val="32"/>
        </w:rPr>
        <w:t>以预测并</w:t>
      </w:r>
      <w:r>
        <w:rPr>
          <w:rFonts w:hint="eastAsia" w:ascii="仿宋" w:hAnsi="仿宋" w:eastAsia="仿宋" w:cs="仿宋"/>
          <w:sz w:val="32"/>
          <w:szCs w:val="32"/>
          <w:lang w:eastAsia="zh-CN"/>
        </w:rPr>
        <w:t>能</w:t>
      </w:r>
      <w:r>
        <w:rPr>
          <w:rFonts w:hint="eastAsia" w:ascii="仿宋" w:hAnsi="仿宋" w:eastAsia="仿宋" w:cs="仿宋"/>
          <w:sz w:val="32"/>
          <w:szCs w:val="32"/>
        </w:rPr>
        <w:t>用货币衡量</w:t>
      </w:r>
      <w:r>
        <w:rPr>
          <w:rFonts w:hint="eastAsia" w:ascii="仿宋" w:hAnsi="仿宋" w:eastAsia="仿宋" w:cs="仿宋"/>
          <w:sz w:val="32"/>
          <w:szCs w:val="32"/>
          <w:lang w:eastAsia="zh-CN"/>
        </w:rPr>
        <w:t>、</w:t>
      </w:r>
      <w:r>
        <w:rPr>
          <w:rFonts w:hint="eastAsia" w:ascii="仿宋" w:hAnsi="仿宋" w:eastAsia="仿宋" w:cs="仿宋"/>
          <w:sz w:val="32"/>
          <w:szCs w:val="32"/>
        </w:rPr>
        <w:t>获得预期收益所承担的风险</w:t>
      </w:r>
      <w:r>
        <w:rPr>
          <w:rFonts w:hint="eastAsia" w:ascii="仿宋" w:hAnsi="仿宋" w:eastAsia="仿宋" w:cs="仿宋"/>
          <w:sz w:val="32"/>
          <w:szCs w:val="32"/>
          <w:lang w:eastAsia="zh-CN"/>
        </w:rPr>
        <w:t>也可</w:t>
      </w:r>
      <w:r>
        <w:rPr>
          <w:rFonts w:hint="eastAsia" w:ascii="仿宋" w:hAnsi="仿宋" w:eastAsia="仿宋" w:cs="仿宋"/>
          <w:sz w:val="32"/>
          <w:szCs w:val="32"/>
        </w:rPr>
        <w:t>以预测并</w:t>
      </w:r>
      <w:r>
        <w:rPr>
          <w:rFonts w:hint="eastAsia" w:ascii="仿宋" w:hAnsi="仿宋" w:eastAsia="仿宋" w:cs="仿宋"/>
          <w:sz w:val="32"/>
          <w:szCs w:val="32"/>
          <w:lang w:eastAsia="zh-CN"/>
        </w:rPr>
        <w:t>能</w:t>
      </w:r>
      <w:r>
        <w:rPr>
          <w:rFonts w:hint="eastAsia" w:ascii="仿宋" w:hAnsi="仿宋" w:eastAsia="仿宋" w:cs="仿宋"/>
          <w:sz w:val="32"/>
          <w:szCs w:val="32"/>
        </w:rPr>
        <w:t>用货币衡量</w:t>
      </w:r>
      <w:r>
        <w:rPr>
          <w:rFonts w:hint="eastAsia" w:ascii="仿宋" w:hAnsi="仿宋" w:eastAsia="仿宋" w:cs="仿宋"/>
          <w:sz w:val="32"/>
          <w:szCs w:val="32"/>
          <w:lang w:eastAsia="zh-CN"/>
        </w:rPr>
        <w:t>、</w:t>
      </w:r>
      <w:r>
        <w:rPr>
          <w:rFonts w:hint="eastAsia" w:ascii="仿宋" w:hAnsi="仿宋" w:eastAsia="仿宋" w:cs="仿宋"/>
          <w:sz w:val="32"/>
          <w:szCs w:val="32"/>
        </w:rPr>
        <w:t>预期获利年限</w:t>
      </w:r>
      <w:r>
        <w:rPr>
          <w:rFonts w:hint="eastAsia" w:ascii="仿宋" w:hAnsi="仿宋" w:eastAsia="仿宋" w:cs="仿宋"/>
          <w:sz w:val="32"/>
          <w:szCs w:val="32"/>
          <w:lang w:eastAsia="zh-CN"/>
        </w:rPr>
        <w:t>也可</w:t>
      </w:r>
      <w:r>
        <w:rPr>
          <w:rFonts w:hint="eastAsia" w:ascii="仿宋" w:hAnsi="仿宋" w:eastAsia="仿宋" w:cs="仿宋"/>
          <w:sz w:val="32"/>
          <w:szCs w:val="32"/>
        </w:rPr>
        <w:t>预测</w:t>
      </w:r>
      <w:r>
        <w:rPr>
          <w:rFonts w:hint="eastAsia" w:ascii="仿宋" w:hAnsi="仿宋" w:eastAsia="仿宋" w:cs="仿宋"/>
          <w:sz w:val="32"/>
          <w:szCs w:val="32"/>
          <w:lang w:eastAsia="zh-CN"/>
        </w:rPr>
        <w:t>，因此选用收益法进行评估</w:t>
      </w:r>
      <w:r>
        <w:rPr>
          <w:rFonts w:hint="eastAsia" w:ascii="仿宋" w:hAnsi="仿宋" w:eastAsia="仿宋" w:cs="仿宋"/>
          <w:sz w:val="32"/>
          <w:szCs w:val="32"/>
          <w:lang w:val="en-US" w:eastAsia="zh-CN"/>
        </w:rPr>
        <w:t>;对于</w:t>
      </w:r>
      <w:r>
        <w:rPr>
          <w:rFonts w:hint="eastAsia" w:ascii="宋体" w:hAnsi="宋体" w:eastAsia="宋体" w:cs="宋体"/>
          <w:kern w:val="2"/>
          <w:sz w:val="32"/>
          <w:szCs w:val="32"/>
          <w:lang w:val="en-US" w:eastAsia="zh-CN"/>
        </w:rPr>
        <w:t>2—5</w:t>
      </w:r>
      <w:r>
        <w:rPr>
          <w:rFonts w:hint="eastAsia" w:ascii="仿宋" w:hAnsi="仿宋" w:eastAsia="仿宋" w:cs="仿宋"/>
          <w:kern w:val="2"/>
          <w:sz w:val="32"/>
          <w:szCs w:val="32"/>
          <w:lang w:val="en-US" w:eastAsia="zh-CN"/>
        </w:rPr>
        <w:t>层及后院小楼住房因</w:t>
      </w:r>
      <w:r>
        <w:rPr>
          <w:rFonts w:hint="eastAsia" w:ascii="仿宋" w:hAnsi="仿宋" w:eastAsia="仿宋" w:cs="仿宋"/>
          <w:sz w:val="32"/>
          <w:szCs w:val="32"/>
        </w:rPr>
        <w:t>交易市场发育充分</w:t>
      </w:r>
      <w:r>
        <w:rPr>
          <w:rFonts w:hint="eastAsia" w:ascii="仿宋" w:hAnsi="仿宋" w:eastAsia="仿宋" w:cs="仿宋"/>
          <w:sz w:val="32"/>
          <w:szCs w:val="32"/>
          <w:lang w:val="en-US" w:eastAsia="zh-CN"/>
        </w:rPr>
        <w:t>,</w:t>
      </w:r>
      <w:r>
        <w:rPr>
          <w:rFonts w:hint="eastAsia" w:ascii="仿宋" w:hAnsi="仿宋" w:eastAsia="仿宋" w:cs="仿宋"/>
          <w:sz w:val="32"/>
          <w:szCs w:val="32"/>
        </w:rPr>
        <w:t>参照物及其与价格鉴证评估事项可比较的指标、技术参数等资料可以收集到</w:t>
      </w:r>
      <w:r>
        <w:rPr>
          <w:rFonts w:hint="eastAsia" w:ascii="仿宋" w:hAnsi="仿宋" w:eastAsia="仿宋" w:cs="仿宋"/>
          <w:sz w:val="32"/>
          <w:szCs w:val="32"/>
          <w:lang w:val="en-US" w:eastAsia="zh-CN"/>
        </w:rPr>
        <w:t>,故</w:t>
      </w:r>
      <w:r>
        <w:rPr>
          <w:rFonts w:hint="eastAsia" w:ascii="仿宋" w:hAnsi="仿宋" w:eastAsia="仿宋" w:cs="仿宋"/>
          <w:color w:val="000000"/>
          <w:kern w:val="0"/>
          <w:sz w:val="32"/>
          <w:szCs w:val="32"/>
          <w:lang w:val="en-US" w:eastAsia="zh-CN"/>
        </w:rPr>
        <w:t>采用市场比较法进行评估。</w:t>
      </w:r>
    </w:p>
    <w:p>
      <w:pPr>
        <w:keepNext w:val="0"/>
        <w:keepLines w:val="0"/>
        <w:pageBreakBefore w:val="0"/>
        <w:framePr w:wrap="auto" w:vAnchor="margin" w:hAnchor="text" w:yAlign="inline"/>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八、评估过程和情况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00"/>
        <w:jc w:val="both"/>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b w:val="0"/>
          <w:bCs/>
          <w:i w:val="0"/>
          <w:caps w:val="0"/>
          <w:color w:val="auto"/>
          <w:spacing w:val="0"/>
          <w:sz w:val="32"/>
          <w:szCs w:val="32"/>
          <w:u w:val="none"/>
          <w:shd w:val="clear" w:color="auto" w:fill="FFFFFF"/>
          <w:lang w:val="en-US" w:eastAsia="zh-CN"/>
        </w:rPr>
        <w:t>本公司在接受委托后，</w:t>
      </w:r>
      <w:r>
        <w:rPr>
          <w:rFonts w:hint="eastAsia" w:ascii="仿宋" w:hAnsi="仿宋" w:eastAsia="仿宋" w:cs="仿宋"/>
          <w:color w:val="000000"/>
          <w:kern w:val="0"/>
          <w:sz w:val="32"/>
          <w:szCs w:val="32"/>
          <w:lang w:val="en-US" w:eastAsia="zh-CN"/>
        </w:rPr>
        <w:t>经过现场勘查、评定估算、价值审定、提交报告等过程，</w:t>
      </w:r>
      <w:r>
        <w:rPr>
          <w:rFonts w:hint="eastAsia" w:ascii="仿宋" w:hAnsi="仿宋" w:eastAsia="仿宋" w:cs="仿宋"/>
          <w:b w:val="0"/>
          <w:bCs/>
          <w:i w:val="0"/>
          <w:caps w:val="0"/>
          <w:color w:val="auto"/>
          <w:spacing w:val="0"/>
          <w:sz w:val="32"/>
          <w:szCs w:val="32"/>
          <w:u w:val="none"/>
          <w:shd w:val="clear" w:color="auto" w:fill="FFFFFF"/>
          <w:lang w:val="en-US" w:eastAsia="zh-CN"/>
        </w:rPr>
        <w:t>于2022年4月21日在委托方的带领下赴</w:t>
      </w:r>
      <w:r>
        <w:rPr>
          <w:rFonts w:hint="eastAsia" w:ascii="仿宋" w:hAnsi="仿宋" w:eastAsia="仿宋" w:cs="仿宋"/>
          <w:color w:val="000000"/>
          <w:kern w:val="0"/>
          <w:sz w:val="32"/>
          <w:szCs w:val="32"/>
          <w:lang w:val="en-US" w:eastAsia="zh-CN" w:bidi="ar"/>
        </w:rPr>
        <w:t>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r>
        <w:rPr>
          <w:rFonts w:hint="eastAsia" w:ascii="仿宋" w:hAnsi="仿宋" w:eastAsia="仿宋" w:cs="仿宋"/>
          <w:i w:val="0"/>
          <w:caps w:val="0"/>
          <w:color w:val="000000"/>
          <w:spacing w:val="0"/>
          <w:kern w:val="0"/>
          <w:sz w:val="32"/>
          <w:szCs w:val="32"/>
          <w:shd w:val="clear" w:color="auto" w:fill="FFFFFF"/>
          <w:lang w:val="en-US" w:eastAsia="zh-CN" w:bidi="ar"/>
        </w:rPr>
        <w:t>进行了现场勘查,并由委托人在现场查勘笔录上签字确认(申请人与被申请人未到场)。</w:t>
      </w:r>
    </w:p>
    <w:p>
      <w:pPr>
        <w:keepNext w:val="0"/>
        <w:keepLines w:val="0"/>
        <w:pageBreakBefore w:val="0"/>
        <w:framePr w:wrap="auto" w:vAnchor="margin" w:hAnchor="text" w:yAlign="inline"/>
        <w:numPr>
          <w:ilvl w:val="0"/>
          <w:numId w:val="0"/>
        </w:numPr>
        <w:kinsoku/>
        <w:wordWrap/>
        <w:overflowPunct/>
        <w:topLinePunct w:val="0"/>
        <w:autoSpaceDE/>
        <w:autoSpaceDN/>
        <w:bidi w:val="0"/>
        <w:spacing w:before="0" w:line="360" w:lineRule="auto"/>
        <w:ind w:firstLine="640"/>
        <w:jc w:val="both"/>
        <w:textAlignment w:val="auto"/>
        <w:rPr>
          <w:rFonts w:hint="default"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color w:val="000000"/>
          <w:kern w:val="0"/>
          <w:sz w:val="32"/>
          <w:szCs w:val="32"/>
          <w:lang w:val="en-US" w:eastAsia="zh-CN" w:bidi="ar"/>
        </w:rPr>
        <w:t>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r>
        <w:rPr>
          <w:rFonts w:hint="eastAsia" w:ascii="仿宋" w:hAnsi="仿宋" w:eastAsia="仿宋" w:cs="仿宋"/>
          <w:kern w:val="2"/>
          <w:sz w:val="32"/>
          <w:szCs w:val="32"/>
        </w:rPr>
        <w:t>一套</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不动产权证号：黔（2018）黔西县不动产权第0004420号，建筑面积659.91</w:t>
      </w:r>
      <w:r>
        <w:rPr>
          <w:rFonts w:hint="eastAsia" w:ascii="宋体" w:hAnsi="宋体" w:eastAsia="宋体" w:cs="宋体"/>
          <w:kern w:val="2"/>
          <w:sz w:val="32"/>
          <w:szCs w:val="32"/>
          <w:lang w:val="en-US" w:eastAsia="zh-CN"/>
        </w:rPr>
        <w:t>㎡</w:t>
      </w:r>
      <w:r>
        <w:rPr>
          <w:rFonts w:hint="eastAsia" w:ascii="仿宋" w:hAnsi="仿宋" w:eastAsia="仿宋" w:cs="仿宋"/>
          <w:i w:val="0"/>
          <w:caps w:val="0"/>
          <w:color w:val="000000"/>
          <w:spacing w:val="0"/>
          <w:sz w:val="32"/>
          <w:szCs w:val="32"/>
          <w:shd w:val="clear" w:color="auto" w:fill="FFFFFF"/>
          <w:lang w:eastAsia="zh-CN"/>
        </w:rPr>
        <w:t>房屋用途：</w:t>
      </w:r>
      <w:r>
        <w:rPr>
          <w:rFonts w:hint="eastAsia" w:ascii="仿宋" w:hAnsi="仿宋" w:eastAsia="仿宋" w:cs="仿宋"/>
          <w:i w:val="0"/>
          <w:caps w:val="0"/>
          <w:color w:val="000000"/>
          <w:spacing w:val="0"/>
          <w:sz w:val="32"/>
          <w:szCs w:val="32"/>
          <w:shd w:val="clear" w:color="auto" w:fill="FFFFFF"/>
          <w:lang w:val="en-US" w:eastAsia="zh-CN"/>
        </w:rPr>
        <w:t>1层为商业用房，出租用于餐饮服务，2—5层为</w:t>
      </w:r>
      <w:r>
        <w:rPr>
          <w:rFonts w:hint="eastAsia" w:ascii="仿宋" w:hAnsi="仿宋" w:eastAsia="仿宋" w:cs="仿宋"/>
          <w:i w:val="0"/>
          <w:caps w:val="0"/>
          <w:color w:val="000000"/>
          <w:spacing w:val="0"/>
          <w:sz w:val="32"/>
          <w:szCs w:val="32"/>
          <w:shd w:val="clear" w:color="auto" w:fill="FFFFFF"/>
          <w:lang w:eastAsia="zh-CN"/>
        </w:rPr>
        <w:t>住宅</w:t>
      </w:r>
      <w:r>
        <w:rPr>
          <w:rFonts w:hint="eastAsia" w:ascii="仿宋" w:hAnsi="仿宋" w:eastAsia="仿宋" w:cs="仿宋"/>
          <w:i w:val="0"/>
          <w:caps w:val="0"/>
          <w:color w:val="000000"/>
          <w:spacing w:val="0"/>
          <w:sz w:val="32"/>
          <w:szCs w:val="32"/>
          <w:shd w:val="clear" w:color="auto" w:fill="FFFFFF"/>
          <w:lang w:val="en-US" w:eastAsia="zh-CN"/>
        </w:rPr>
        <w:t>用于出租</w:t>
      </w:r>
      <w:r>
        <w:rPr>
          <w:rFonts w:hint="eastAsia" w:ascii="仿宋" w:hAnsi="仿宋" w:eastAsia="仿宋" w:cs="仿宋"/>
          <w:i w:val="0"/>
          <w:caps w:val="0"/>
          <w:color w:val="000000"/>
          <w:spacing w:val="0"/>
          <w:sz w:val="32"/>
          <w:szCs w:val="32"/>
          <w:shd w:val="clear" w:color="auto" w:fill="FFFFFF"/>
          <w:lang w:eastAsia="zh-CN"/>
        </w:rPr>
        <w:t>，房屋</w:t>
      </w:r>
      <w:r>
        <w:rPr>
          <w:rFonts w:hint="eastAsia" w:ascii="仿宋" w:hAnsi="仿宋" w:eastAsia="仿宋" w:cs="仿宋"/>
          <w:i w:val="0"/>
          <w:caps w:val="0"/>
          <w:color w:val="000000"/>
          <w:spacing w:val="0"/>
          <w:sz w:val="32"/>
          <w:szCs w:val="32"/>
          <w:shd w:val="clear" w:color="auto" w:fill="FFFFFF"/>
          <w:lang w:val="en-US" w:eastAsia="zh-CN"/>
        </w:rPr>
        <w:t>四楼一底，过道普通刮瓷，地面贴普通地砖，简单装修。每层楼三室一厅一卫一厨和一个阳台，房屋后侧为一复式楼房，墙壁刮瓷，一层贴地砖，二层木地板，楼梯间为地砖，三楼顶有两间房屋用作库房堆放杂物和一个露天阳台。</w:t>
      </w:r>
    </w:p>
    <w:p>
      <w:pPr>
        <w:keepNext w:val="0"/>
        <w:keepLines w:val="0"/>
        <w:pageBreakBefore w:val="0"/>
        <w:framePr w:wrap="auto" w:vAnchor="margin" w:hAnchor="text" w:yAlign="inline"/>
        <w:numPr>
          <w:ilvl w:val="0"/>
          <w:numId w:val="0"/>
        </w:numPr>
        <w:kinsoku/>
        <w:wordWrap/>
        <w:overflowPunct/>
        <w:topLinePunct w:val="0"/>
        <w:autoSpaceDE/>
        <w:autoSpaceDN/>
        <w:bidi w:val="0"/>
        <w:spacing w:before="0" w:line="360" w:lineRule="auto"/>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附近有黔西中等职业学校、毕节市第二实验高中、黔西四中、云志中学等教育机构，还有黔西万丰国际商贸城、富万家购物广场，欧世华联超市、老成都自助火锅等餐饮及购物市场，交通便利，附近还有黔西市妇幼保健院、黔西市疾控预防中心预防接种门诊等医疗机构。周边有水西公园、黔西市东门游乐场等休闲游玩场地，该房屋坐落周边，交通方便，宜居、宜商、宜学，是黔西市较好的居家环境，根据估价对象的情况,对房屋一层采用收益法, </w:t>
      </w:r>
      <w:r>
        <w:rPr>
          <w:rFonts w:hint="eastAsia" w:ascii="宋体" w:hAnsi="宋体" w:eastAsia="宋体" w:cs="宋体"/>
          <w:kern w:val="2"/>
          <w:sz w:val="32"/>
          <w:szCs w:val="32"/>
          <w:lang w:val="en-US" w:eastAsia="zh-CN"/>
        </w:rPr>
        <w:t>2—5</w:t>
      </w:r>
      <w:r>
        <w:rPr>
          <w:rFonts w:hint="eastAsia" w:ascii="仿宋" w:hAnsi="仿宋" w:eastAsia="仿宋" w:cs="仿宋"/>
          <w:kern w:val="2"/>
          <w:sz w:val="32"/>
          <w:szCs w:val="32"/>
          <w:lang w:val="en-US" w:eastAsia="zh-CN"/>
        </w:rPr>
        <w:t>层及后院小楼住房</w:t>
      </w:r>
      <w:r>
        <w:rPr>
          <w:rFonts w:hint="eastAsia" w:ascii="仿宋" w:hAnsi="仿宋" w:eastAsia="仿宋" w:cs="仿宋"/>
          <w:b w:val="0"/>
          <w:bCs w:val="0"/>
          <w:sz w:val="32"/>
          <w:szCs w:val="32"/>
          <w:lang w:val="en-US" w:eastAsia="zh-CN"/>
        </w:rPr>
        <w:t>拟采用市场比较法进行评估。</w:t>
      </w:r>
    </w:p>
    <w:p>
      <w:pPr>
        <w:keepNext w:val="0"/>
        <w:keepLines w:val="0"/>
        <w:pageBreakBefore w:val="0"/>
        <w:framePr w:wrap="auto" w:vAnchor="margin" w:hAnchor="text" w:yAlign="inline"/>
        <w:numPr>
          <w:ilvl w:val="0"/>
          <w:numId w:val="0"/>
        </w:numPr>
        <w:kinsoku/>
        <w:wordWrap/>
        <w:overflowPunct/>
        <w:topLinePunct w:val="0"/>
        <w:autoSpaceDE/>
        <w:autoSpaceDN/>
        <w:bidi w:val="0"/>
        <w:spacing w:before="0" w:line="360" w:lineRule="auto"/>
        <w:ind w:firstLine="640"/>
        <w:jc w:val="both"/>
        <w:textAlignment w:val="auto"/>
        <w:rPr>
          <w:rFonts w:hint="eastAsia" w:ascii="仿宋" w:hAnsi="仿宋" w:eastAsia="仿宋" w:cs="仿宋"/>
          <w:b w:val="0"/>
          <w:bCs w:val="0"/>
          <w:sz w:val="32"/>
          <w:szCs w:val="32"/>
          <w:lang w:val="en-US" w:eastAsia="zh-CN"/>
        </w:rPr>
      </w:pPr>
    </w:p>
    <w:p>
      <w:pPr>
        <w:keepNext w:val="0"/>
        <w:keepLines w:val="0"/>
        <w:pageBreakBefore w:val="0"/>
        <w:framePr w:wrap="auto" w:vAnchor="margin" w:hAnchor="text" w:yAlign="inline"/>
        <w:numPr>
          <w:ilvl w:val="0"/>
          <w:numId w:val="0"/>
        </w:numPr>
        <w:kinsoku/>
        <w:wordWrap/>
        <w:overflowPunct/>
        <w:topLinePunct w:val="0"/>
        <w:autoSpaceDE/>
        <w:autoSpaceDN/>
        <w:bidi w:val="0"/>
        <w:spacing w:before="0" w:line="360" w:lineRule="auto"/>
        <w:ind w:firstLine="640"/>
        <w:jc w:val="both"/>
        <w:textAlignment w:val="auto"/>
        <w:rPr>
          <w:rFonts w:hint="eastAsia" w:ascii="仿宋" w:hAnsi="仿宋" w:eastAsia="仿宋" w:cs="仿宋"/>
          <w:b w:val="0"/>
          <w:bCs w:val="0"/>
          <w:sz w:val="32"/>
          <w:szCs w:val="32"/>
          <w:lang w:val="en-US" w:eastAsia="zh-CN"/>
        </w:rPr>
      </w:pPr>
    </w:p>
    <w:p>
      <w:pPr>
        <w:keepNext w:val="0"/>
        <w:keepLines w:val="0"/>
        <w:pageBreakBefore w:val="0"/>
        <w:framePr w:wrap="auto" w:vAnchor="margin" w:hAnchor="text" w:yAlign="inline"/>
        <w:numPr>
          <w:ilvl w:val="0"/>
          <w:numId w:val="0"/>
        </w:numPr>
        <w:kinsoku/>
        <w:wordWrap/>
        <w:overflowPunct/>
        <w:topLinePunct w:val="0"/>
        <w:autoSpaceDE/>
        <w:autoSpaceDN/>
        <w:bidi w:val="0"/>
        <w:spacing w:before="0" w:line="240" w:lineRule="auto"/>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房 屋 基 本 情 况 表</w:t>
      </w:r>
    </w:p>
    <w:tbl>
      <w:tblPr>
        <w:tblStyle w:val="5"/>
        <w:tblpPr w:leftFromText="180" w:rightFromText="180" w:vertAnchor="text" w:horzAnchor="page" w:tblpX="1267" w:tblpY="615"/>
        <w:tblOverlap w:val="never"/>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gridCol w:w="1170"/>
        <w:gridCol w:w="855"/>
        <w:gridCol w:w="168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38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位</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lang w:eastAsia="zh-CN"/>
              </w:rPr>
              <w:t>置</w:t>
            </w:r>
          </w:p>
        </w:tc>
        <w:tc>
          <w:tcPr>
            <w:tcW w:w="117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所有人</w:t>
            </w:r>
          </w:p>
        </w:tc>
        <w:tc>
          <w:tcPr>
            <w:tcW w:w="855"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both"/>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用途</w:t>
            </w:r>
          </w:p>
        </w:tc>
        <w:tc>
          <w:tcPr>
            <w:tcW w:w="168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面积（㎡</w:t>
            </w:r>
            <w:r>
              <w:rPr>
                <w:rFonts w:hint="eastAsia" w:ascii="仿宋" w:hAnsi="仿宋" w:eastAsia="仿宋" w:cs="仿宋"/>
                <w:b w:val="0"/>
                <w:bCs w:val="0"/>
                <w:sz w:val="28"/>
                <w:szCs w:val="28"/>
                <w:lang w:eastAsia="zh-CN"/>
              </w:rPr>
              <w:t>）</w:t>
            </w:r>
          </w:p>
        </w:tc>
        <w:tc>
          <w:tcPr>
            <w:tcW w:w="137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所在楼层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38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贵州省黔西市黔金路</w:t>
            </w:r>
          </w:p>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color w:val="000000"/>
                <w:kern w:val="0"/>
                <w:sz w:val="32"/>
                <w:szCs w:val="32"/>
                <w:lang w:val="en-US" w:eastAsia="zh-CN" w:bidi="ar"/>
              </w:rPr>
              <w:t>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p>
        </w:tc>
        <w:tc>
          <w:tcPr>
            <w:tcW w:w="117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lang w:val="en-US" w:eastAsia="zh-CN" w:bidi="ar"/>
              </w:rPr>
              <w:t>张楠</w:t>
            </w:r>
          </w:p>
        </w:tc>
        <w:tc>
          <w:tcPr>
            <w:tcW w:w="855"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商业</w:t>
            </w:r>
          </w:p>
        </w:tc>
        <w:tc>
          <w:tcPr>
            <w:tcW w:w="168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default" w:ascii="仿宋" w:hAnsi="仿宋" w:eastAsia="仿宋" w:cs="仿宋"/>
                <w:b w:val="0"/>
                <w:bCs w:val="0"/>
                <w:color w:val="0C0C0C"/>
                <w:sz w:val="28"/>
                <w:szCs w:val="28"/>
                <w:lang w:val="en-US" w:eastAsia="zh-CN"/>
              </w:rPr>
            </w:pPr>
            <w:r>
              <w:rPr>
                <w:rFonts w:hint="eastAsia" w:ascii="仿宋" w:hAnsi="仿宋" w:eastAsia="仿宋" w:cs="仿宋"/>
                <w:b w:val="0"/>
                <w:bCs w:val="0"/>
                <w:color w:val="0C0C0C"/>
                <w:sz w:val="28"/>
                <w:szCs w:val="28"/>
                <w:lang w:val="en-US" w:eastAsia="zh-CN"/>
              </w:rPr>
              <w:t>82.76</w:t>
            </w:r>
          </w:p>
        </w:tc>
        <w:tc>
          <w:tcPr>
            <w:tcW w:w="137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default" w:ascii="仿宋" w:hAnsi="仿宋" w:eastAsia="仿宋" w:cs="仿宋"/>
                <w:b w:val="0"/>
                <w:bCs w:val="0"/>
                <w:color w:val="0C0C0C"/>
                <w:sz w:val="28"/>
                <w:szCs w:val="28"/>
                <w:lang w:val="en-US" w:eastAsia="zh-CN"/>
              </w:rPr>
            </w:pPr>
            <w:r>
              <w:rPr>
                <w:rFonts w:hint="eastAsia" w:ascii="仿宋" w:hAnsi="仿宋" w:eastAsia="仿宋" w:cs="仿宋"/>
                <w:b w:val="0"/>
                <w:bCs w:val="0"/>
                <w:color w:val="0C0C0C"/>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38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贵州省黔西市黔金路</w:t>
            </w:r>
          </w:p>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p>
        </w:tc>
        <w:tc>
          <w:tcPr>
            <w:tcW w:w="117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张楠</w:t>
            </w:r>
          </w:p>
        </w:tc>
        <w:tc>
          <w:tcPr>
            <w:tcW w:w="855"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住宅</w:t>
            </w:r>
          </w:p>
        </w:tc>
        <w:tc>
          <w:tcPr>
            <w:tcW w:w="168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default" w:ascii="仿宋" w:hAnsi="仿宋" w:eastAsia="仿宋" w:cs="仿宋"/>
                <w:b w:val="0"/>
                <w:bCs w:val="0"/>
                <w:color w:val="0C0C0C"/>
                <w:sz w:val="28"/>
                <w:szCs w:val="28"/>
                <w:lang w:val="en-US" w:eastAsia="zh-CN"/>
              </w:rPr>
            </w:pPr>
            <w:r>
              <w:rPr>
                <w:rFonts w:hint="eastAsia" w:ascii="仿宋" w:hAnsi="仿宋" w:eastAsia="仿宋" w:cs="仿宋"/>
                <w:b w:val="0"/>
                <w:bCs w:val="0"/>
                <w:color w:val="0C0C0C"/>
                <w:sz w:val="28"/>
                <w:szCs w:val="28"/>
                <w:lang w:val="en-US" w:eastAsia="zh-CN"/>
              </w:rPr>
              <w:t>577.15</w:t>
            </w:r>
          </w:p>
        </w:tc>
        <w:tc>
          <w:tcPr>
            <w:tcW w:w="137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default" w:ascii="仿宋" w:hAnsi="仿宋" w:eastAsia="仿宋" w:cs="仿宋"/>
                <w:b w:val="0"/>
                <w:bCs w:val="0"/>
                <w:color w:val="0C0C0C"/>
                <w:sz w:val="28"/>
                <w:szCs w:val="28"/>
                <w:lang w:val="en-US" w:eastAsia="zh-CN"/>
              </w:rPr>
            </w:pPr>
            <w:r>
              <w:rPr>
                <w:rFonts w:hint="eastAsia" w:ascii="宋体" w:hAnsi="宋体" w:eastAsia="宋体" w:cs="宋体"/>
                <w:kern w:val="2"/>
                <w:sz w:val="32"/>
                <w:szCs w:val="32"/>
                <w:lang w:val="en-US" w:eastAsia="zh-CN"/>
              </w:rPr>
              <w:t>2—5</w:t>
            </w:r>
            <w:r>
              <w:rPr>
                <w:rFonts w:hint="eastAsia" w:ascii="仿宋" w:hAnsi="仿宋" w:eastAsia="仿宋" w:cs="仿宋"/>
                <w:kern w:val="2"/>
                <w:sz w:val="28"/>
                <w:szCs w:val="28"/>
                <w:lang w:val="en-US" w:eastAsia="zh-CN"/>
              </w:rPr>
              <w:t>层及后院小楼住房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405" w:type="dxa"/>
            <w:gridSpan w:val="3"/>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32"/>
                <w:szCs w:val="32"/>
                <w:lang w:val="en-US" w:eastAsia="zh-CN"/>
              </w:rPr>
              <w:t>合计</w:t>
            </w:r>
          </w:p>
        </w:tc>
        <w:tc>
          <w:tcPr>
            <w:tcW w:w="168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default" w:ascii="仿宋" w:hAnsi="仿宋" w:eastAsia="仿宋" w:cs="仿宋"/>
                <w:b w:val="0"/>
                <w:bCs w:val="0"/>
                <w:color w:val="0C0C0C"/>
                <w:sz w:val="28"/>
                <w:szCs w:val="28"/>
                <w:lang w:val="en-US" w:eastAsia="zh-CN"/>
              </w:rPr>
            </w:pPr>
            <w:r>
              <w:rPr>
                <w:rFonts w:hint="eastAsia" w:ascii="仿宋" w:hAnsi="仿宋" w:eastAsia="仿宋" w:cs="仿宋"/>
                <w:b w:val="0"/>
                <w:bCs w:val="0"/>
                <w:color w:val="0C0C0C"/>
                <w:sz w:val="28"/>
                <w:szCs w:val="28"/>
                <w:lang w:val="en-US" w:eastAsia="zh-CN"/>
              </w:rPr>
              <w:t>659.91</w:t>
            </w:r>
          </w:p>
        </w:tc>
        <w:tc>
          <w:tcPr>
            <w:tcW w:w="137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center"/>
              <w:textAlignment w:val="auto"/>
              <w:rPr>
                <w:rFonts w:hint="eastAsia" w:ascii="仿宋" w:hAnsi="仿宋" w:eastAsia="仿宋" w:cs="仿宋"/>
                <w:b w:val="0"/>
                <w:bCs w:val="0"/>
                <w:color w:val="0C0C0C"/>
                <w:sz w:val="28"/>
                <w:szCs w:val="28"/>
                <w:lang w:val="en-US" w:eastAsia="zh-CN"/>
              </w:rPr>
            </w:pPr>
          </w:p>
        </w:tc>
      </w:tr>
    </w:tbl>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before="0" w:line="360" w:lineRule="auto"/>
        <w:jc w:val="center"/>
        <w:textAlignment w:val="auto"/>
        <w:rPr>
          <w:rFonts w:hint="eastAsia" w:ascii="仿宋" w:hAnsi="仿宋" w:eastAsia="仿宋" w:cs="仿宋"/>
          <w:b w:val="0"/>
          <w:bCs w:val="0"/>
          <w:sz w:val="32"/>
          <w:szCs w:val="32"/>
          <w:lang w:val="en-US" w:eastAsia="zh-CN"/>
        </w:rPr>
      </w:pPr>
    </w:p>
    <w:p>
      <w:pPr>
        <w:keepNext w:val="0"/>
        <w:keepLines w:val="0"/>
        <w:pageBreakBefore w:val="0"/>
        <w:framePr w:wrap="auto" w:vAnchor="margin" w:hAnchor="text" w:yAlign="inline"/>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0" w:line="360" w:lineRule="auto"/>
        <w:jc w:val="both"/>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本</w:t>
      </w:r>
      <w:r>
        <w:rPr>
          <w:rFonts w:hint="eastAsia" w:ascii="仿宋" w:hAnsi="仿宋" w:eastAsia="仿宋" w:cs="仿宋"/>
          <w:color w:val="000000"/>
          <w:kern w:val="0"/>
          <w:sz w:val="32"/>
          <w:szCs w:val="32"/>
          <w:lang w:eastAsia="zh-CN"/>
        </w:rPr>
        <w:t>公司</w:t>
      </w:r>
      <w:r>
        <w:rPr>
          <w:rFonts w:hint="eastAsia" w:ascii="仿宋" w:hAnsi="仿宋" w:eastAsia="仿宋" w:cs="仿宋"/>
          <w:color w:val="000000"/>
          <w:kern w:val="0"/>
          <w:sz w:val="32"/>
          <w:szCs w:val="32"/>
          <w:lang w:val="en-US" w:eastAsia="zh-CN"/>
        </w:rPr>
        <w:t>对该房屋1层采用收益法对2—5层房屋</w:t>
      </w:r>
      <w:r>
        <w:rPr>
          <w:rFonts w:hint="eastAsia" w:ascii="仿宋" w:hAnsi="仿宋" w:eastAsia="仿宋" w:cs="仿宋"/>
          <w:kern w:val="2"/>
          <w:sz w:val="32"/>
          <w:szCs w:val="32"/>
          <w:lang w:val="en-US" w:eastAsia="zh-CN"/>
        </w:rPr>
        <w:t>及后院小楼住房</w:t>
      </w:r>
      <w:r>
        <w:rPr>
          <w:rFonts w:hint="eastAsia" w:ascii="仿宋" w:hAnsi="仿宋" w:eastAsia="仿宋" w:cs="仿宋"/>
          <w:color w:val="000000"/>
          <w:kern w:val="0"/>
          <w:sz w:val="32"/>
          <w:szCs w:val="32"/>
          <w:lang w:eastAsia="zh-CN"/>
        </w:rPr>
        <w:t>选择了近期交易成功且具有同类交易性质的</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里沙大道财富广场</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里沙大道瑞丰铭苑</w:t>
      </w:r>
      <w:r>
        <w:rPr>
          <w:rFonts w:hint="eastAsia" w:ascii="仿宋" w:hAnsi="仿宋" w:eastAsia="仿宋" w:cs="仿宋"/>
          <w:color w:val="000000" w:themeColor="text1"/>
          <w:kern w:val="0"/>
          <w:sz w:val="32"/>
          <w:szCs w:val="32"/>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莲城大道黔城丽景</w:t>
      </w:r>
      <w:r>
        <w:rPr>
          <w:rFonts w:hint="eastAsia" w:ascii="仿宋" w:hAnsi="仿宋" w:eastAsia="仿宋" w:cs="仿宋"/>
          <w:color w:val="000000"/>
          <w:kern w:val="0"/>
          <w:sz w:val="32"/>
          <w:szCs w:val="32"/>
          <w:lang w:val="en-US" w:eastAsia="zh-CN"/>
        </w:rPr>
        <w:t>三套住宅房案例进行了比较，并参照标的物进行交易情况修正、交易时间修正、区域因素修正和个别因素修正后，进行认真分析、研究，认为计算结果符合标的物的实际情况。最后进行价格评估结果分析,撰写评估报告,内部复核定稿。</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1" w:firstLineChars="100"/>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九、价格评估假设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（一）评估前提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本次评估是以评估对象在公开市场上进行交易、正处于使用状态且将继续使用下去为评估假释前提。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（二）基本假设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1、以委托人与被评估单位提供的全部文件材料真实、有效、准确为条件。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2、以国家宏观经济政策和所在地区社会经济环境没有发生重大变化为条件。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3、以经营业务及评估所依据的税收政策、信贷利率、汇率等没有发生足以影响评估结论的重大变化为条件。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（三）具体假设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1、评估结论是以委托方列入评估范围的贵州省黔西市黔金路30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r>
        <w:rPr>
          <w:rFonts w:hint="eastAsia" w:ascii="仿宋" w:hAnsi="仿宋" w:eastAsia="仿宋" w:cs="仿宋"/>
          <w:kern w:val="2"/>
          <w:sz w:val="32"/>
          <w:szCs w:val="32"/>
        </w:rPr>
        <w:t>一套的价值</w:t>
      </w:r>
      <w:r>
        <w:rPr>
          <w:rFonts w:hint="eastAsia" w:ascii="仿宋" w:hAnsi="仿宋" w:eastAsia="仿宋" w:cs="仿宋"/>
          <w:color w:val="auto"/>
          <w:sz w:val="32"/>
          <w:szCs w:val="32"/>
          <w:u w:val="none"/>
          <w:lang w:eastAsia="zh-CN"/>
        </w:rPr>
        <w:t>在</w:t>
      </w:r>
      <w:r>
        <w:rPr>
          <w:rFonts w:hint="eastAsia" w:ascii="仿宋" w:hAnsi="仿宋" w:eastAsia="仿宋" w:cs="仿宋"/>
          <w:color w:val="000000"/>
          <w:kern w:val="0"/>
          <w:sz w:val="32"/>
          <w:szCs w:val="32"/>
          <w:lang w:val="en-US" w:eastAsia="zh-CN" w:bidi="ar"/>
        </w:rPr>
        <w:t xml:space="preserve">现有情况、现行用途不变的条件下，在评估基准日 2022年4月21日的市场价格的反映为具体条件,没有对其他财产进行评估;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2、本评估报告及评估结论是依据上述评估前提、基本假设和具体条件，以及本评估报告中确定的原则、依据、条件、方法和程序得出的结果，若上述前提和假设条件发生变化时，本评估报告及评估结论自行失效。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十、价格评估结论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333333"/>
          <w:kern w:val="0"/>
          <w:sz w:val="32"/>
          <w:szCs w:val="32"/>
          <w:shd w:val="clear" w:color="auto" w:fill="FFFFFF"/>
          <w:lang w:val="en-US" w:eastAsia="zh-CN" w:bidi="ar"/>
        </w:rPr>
      </w:pPr>
      <w:r>
        <w:rPr>
          <w:rFonts w:hint="eastAsia" w:ascii="仿宋" w:hAnsi="仿宋" w:eastAsia="仿宋" w:cs="仿宋"/>
          <w:color w:val="000000"/>
          <w:kern w:val="0"/>
          <w:sz w:val="32"/>
          <w:szCs w:val="32"/>
          <w:lang w:val="en-US" w:eastAsia="zh-CN" w:bidi="ar"/>
        </w:rPr>
        <w:t>委估对象张楠名下位于贵州省黔西市黔金路30</w:t>
      </w:r>
      <w:r>
        <w:rPr>
          <w:rFonts w:hint="eastAsia" w:ascii="仿宋" w:hAnsi="仿宋" w:eastAsia="仿宋" w:cs="仿宋"/>
          <w:b w:val="0"/>
          <w:bCs w:val="0"/>
          <w:color w:val="000000"/>
          <w:kern w:val="0"/>
          <w:sz w:val="32"/>
          <w:szCs w:val="32"/>
          <w:u w:val="none"/>
          <w:lang w:val="en-US" w:eastAsia="zh-CN" w:bidi="ar"/>
        </w:rPr>
        <w:t>号</w:t>
      </w:r>
      <w:r>
        <w:rPr>
          <w:rFonts w:hint="eastAsia" w:ascii="仿宋" w:hAnsi="仿宋" w:eastAsia="仿宋" w:cs="仿宋"/>
          <w:color w:val="000000"/>
          <w:kern w:val="0"/>
          <w:sz w:val="32"/>
          <w:szCs w:val="32"/>
          <w:lang w:val="en-US" w:eastAsia="zh-CN" w:bidi="ar"/>
        </w:rPr>
        <w:t>房屋</w:t>
      </w:r>
      <w:r>
        <w:rPr>
          <w:rFonts w:hint="eastAsia" w:ascii="仿宋" w:hAnsi="仿宋" w:eastAsia="仿宋" w:cs="仿宋"/>
          <w:kern w:val="2"/>
          <w:sz w:val="32"/>
          <w:szCs w:val="32"/>
        </w:rPr>
        <w:t>一套的</w:t>
      </w:r>
      <w:r>
        <w:rPr>
          <w:rFonts w:hint="eastAsia" w:ascii="仿宋" w:hAnsi="仿宋" w:eastAsia="仿宋" w:cs="仿宋"/>
          <w:kern w:val="2"/>
          <w:sz w:val="32"/>
          <w:szCs w:val="32"/>
          <w:lang w:eastAsia="zh-CN"/>
        </w:rPr>
        <w:t>市场</w:t>
      </w:r>
      <w:r>
        <w:rPr>
          <w:rFonts w:hint="eastAsia" w:ascii="仿宋" w:hAnsi="仿宋" w:eastAsia="仿宋" w:cs="仿宋"/>
          <w:kern w:val="2"/>
          <w:sz w:val="32"/>
          <w:szCs w:val="32"/>
        </w:rPr>
        <w:t>价值</w:t>
      </w:r>
      <w:r>
        <w:rPr>
          <w:rFonts w:hint="eastAsia" w:ascii="仿宋" w:hAnsi="仿宋" w:eastAsia="仿宋" w:cs="仿宋"/>
          <w:color w:val="000000"/>
          <w:kern w:val="0"/>
          <w:sz w:val="32"/>
          <w:szCs w:val="32"/>
          <w:lang w:val="en-US" w:eastAsia="zh-CN" w:bidi="ar"/>
        </w:rPr>
        <w:t>在评估基准日的市场价格为人民币大写</w:t>
      </w:r>
      <w:r>
        <w:rPr>
          <w:rFonts w:hint="eastAsia" w:ascii="仿宋" w:hAnsi="仿宋" w:eastAsia="仿宋" w:cs="仿宋"/>
          <w:b/>
          <w:bCs/>
          <w:color w:val="000000"/>
          <w:kern w:val="0"/>
          <w:sz w:val="32"/>
          <w:szCs w:val="32"/>
          <w:lang w:val="en-US" w:eastAsia="zh-CN" w:bidi="ar"/>
        </w:rPr>
        <w:t>贰佰陆拾壹万壹仟零捌拾壹元整（小写：¥2,611,081</w:t>
      </w:r>
      <w:r>
        <w:rPr>
          <w:rFonts w:hint="eastAsia" w:ascii="仿宋" w:hAnsi="仿宋" w:eastAsia="仿宋" w:cs="仿宋"/>
          <w:b/>
          <w:bCs w:val="0"/>
          <w:i w:val="0"/>
          <w:caps w:val="0"/>
          <w:color w:val="262626" w:themeColor="text1" w:themeTint="D9"/>
          <w:spacing w:val="0"/>
          <w:kern w:val="0"/>
          <w:sz w:val="32"/>
          <w:szCs w:val="32"/>
          <w:shd w:val="clear" w:color="auto" w:fill="FFFFFF"/>
          <w:lang w:val="en-US" w:eastAsia="zh-CN" w:bidi="ar"/>
          <w14:textFill>
            <w14:solidFill>
              <w14:schemeClr w14:val="tx1">
                <w14:lumMod w14:val="85000"/>
                <w14:lumOff w14:val="15000"/>
              </w14:schemeClr>
            </w14:solidFill>
          </w14:textFill>
        </w:rPr>
        <w:t>元</w:t>
      </w:r>
      <w:r>
        <w:rPr>
          <w:rFonts w:hint="eastAsia" w:ascii="仿宋" w:hAnsi="仿宋" w:eastAsia="仿宋" w:cs="仿宋"/>
          <w:b/>
          <w:bCs/>
          <w:color w:val="333333"/>
          <w:kern w:val="0"/>
          <w:sz w:val="32"/>
          <w:szCs w:val="32"/>
          <w:shd w:val="clear" w:color="auto" w:fill="FFFFFF"/>
          <w:lang w:val="en-US" w:eastAsia="zh-CN" w:bidi="ar"/>
        </w:rPr>
        <w:t>），</w:t>
      </w:r>
      <w:r>
        <w:rPr>
          <w:rFonts w:hint="eastAsia" w:ascii="仿宋" w:hAnsi="仿宋" w:eastAsia="仿宋" w:cs="仿宋"/>
          <w:b w:val="0"/>
          <w:bCs w:val="0"/>
          <w:color w:val="333333"/>
          <w:kern w:val="0"/>
          <w:sz w:val="32"/>
          <w:szCs w:val="32"/>
          <w:shd w:val="clear" w:color="auto" w:fill="FFFFFF"/>
          <w:lang w:val="en-US" w:eastAsia="zh-CN" w:bidi="ar"/>
        </w:rPr>
        <w:t>见下表：</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333333"/>
          <w:kern w:val="0"/>
          <w:sz w:val="32"/>
          <w:szCs w:val="32"/>
          <w:u w:val="single"/>
          <w:shd w:val="clear" w:color="auto" w:fill="FFFFFF"/>
          <w:lang w:val="en-US" w:eastAsia="zh-CN" w:bidi="ar"/>
        </w:rPr>
      </w:pPr>
      <w:r>
        <w:rPr>
          <w:rFonts w:hint="eastAsia" w:ascii="仿宋" w:hAnsi="仿宋" w:eastAsia="仿宋" w:cs="仿宋"/>
          <w:b w:val="0"/>
          <w:bCs w:val="0"/>
          <w:color w:val="000000"/>
          <w:kern w:val="0"/>
          <w:sz w:val="32"/>
          <w:szCs w:val="32"/>
          <w:u w:val="single"/>
          <w:lang w:val="en-US" w:eastAsia="zh-CN" w:bidi="ar"/>
        </w:rPr>
        <w:t>张楠名下位于贵州省黔西市黔金路30号房屋评估明细表</w:t>
      </w:r>
    </w:p>
    <w:tbl>
      <w:tblPr>
        <w:tblStyle w:val="5"/>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523"/>
        <w:gridCol w:w="958"/>
        <w:gridCol w:w="862"/>
        <w:gridCol w:w="1425"/>
        <w:gridCol w:w="1344"/>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191" w:type="dxa"/>
            <w:noWrap w:val="0"/>
            <w:vAlign w:val="center"/>
          </w:tcPr>
          <w:p>
            <w:pPr>
              <w:widowControl/>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t>估价</w:t>
            </w:r>
          </w:p>
          <w:p>
            <w:pPr>
              <w:widowControl/>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t>对象</w:t>
            </w:r>
          </w:p>
        </w:tc>
        <w:tc>
          <w:tcPr>
            <w:tcW w:w="1523" w:type="dxa"/>
            <w:noWrap w:val="0"/>
            <w:vAlign w:val="center"/>
          </w:tcPr>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坐落</w:t>
            </w:r>
          </w:p>
        </w:tc>
        <w:tc>
          <w:tcPr>
            <w:tcW w:w="958" w:type="dxa"/>
            <w:noWrap w:val="0"/>
            <w:vAlign w:val="center"/>
          </w:tcPr>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产权人</w:t>
            </w:r>
          </w:p>
        </w:tc>
        <w:tc>
          <w:tcPr>
            <w:tcW w:w="862" w:type="dxa"/>
            <w:noWrap w:val="0"/>
            <w:vAlign w:val="center"/>
          </w:tcPr>
          <w:p>
            <w:pPr>
              <w:widowControl/>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t>实际</w:t>
            </w:r>
          </w:p>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用途</w:t>
            </w:r>
          </w:p>
        </w:tc>
        <w:tc>
          <w:tcPr>
            <w:tcW w:w="1425" w:type="dxa"/>
            <w:noWrap w:val="0"/>
            <w:vAlign w:val="center"/>
          </w:tcPr>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建筑面积</w:t>
            </w:r>
          </w:p>
          <w:p>
            <w:pPr>
              <w:widowControl/>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t>（㎡）</w:t>
            </w:r>
          </w:p>
        </w:tc>
        <w:tc>
          <w:tcPr>
            <w:tcW w:w="1344" w:type="dxa"/>
            <w:noWrap w:val="0"/>
            <w:vAlign w:val="center"/>
          </w:tcPr>
          <w:p>
            <w:pPr>
              <w:widowControl/>
              <w:jc w:val="center"/>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评估单价</w:t>
            </w:r>
          </w:p>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(元/</w:t>
            </w:r>
            <w:r>
              <w:rPr>
                <w:rFonts w:hint="eastAsia" w:ascii="仿宋" w:hAnsi="仿宋" w:eastAsia="仿宋" w:cs="仿宋"/>
                <w:b w:val="0"/>
                <w:bCs w:val="0"/>
                <w:color w:val="000000" w:themeColor="text1"/>
                <w:kern w:val="0"/>
                <w:sz w:val="28"/>
                <w:szCs w:val="28"/>
                <w:lang w:eastAsia="zh-CN"/>
                <w14:textFill>
                  <w14:solidFill>
                    <w14:schemeClr w14:val="tx1"/>
                  </w14:solidFill>
                </w14:textFill>
              </w:rPr>
              <w:t>㎡</w:t>
            </w:r>
            <w:r>
              <w:rPr>
                <w:rFonts w:hint="eastAsia" w:ascii="仿宋" w:hAnsi="仿宋" w:eastAsia="仿宋" w:cs="仿宋"/>
                <w:b w:val="0"/>
                <w:bCs w:val="0"/>
                <w:color w:val="000000" w:themeColor="text1"/>
                <w:kern w:val="0"/>
                <w:sz w:val="28"/>
                <w:szCs w:val="28"/>
                <w14:textFill>
                  <w14:solidFill>
                    <w14:schemeClr w14:val="tx1"/>
                  </w14:solidFill>
                </w14:textFill>
              </w:rPr>
              <w:t>)</w:t>
            </w:r>
          </w:p>
        </w:tc>
        <w:tc>
          <w:tcPr>
            <w:tcW w:w="1830" w:type="dxa"/>
            <w:noWrap w:val="0"/>
            <w:vAlign w:val="center"/>
          </w:tcPr>
          <w:p>
            <w:pPr>
              <w:widowControl/>
              <w:jc w:val="center"/>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评估值(元)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91" w:type="dxa"/>
            <w:noWrap w:val="0"/>
            <w:vAlign w:val="center"/>
          </w:tcPr>
          <w:p>
            <w:pPr>
              <w:widowControl/>
              <w:spacing w:line="240" w:lineRule="auto"/>
              <w:jc w:val="cente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1层</w:t>
            </w:r>
          </w:p>
        </w:tc>
        <w:tc>
          <w:tcPr>
            <w:tcW w:w="1523" w:type="dxa"/>
            <w:noWrap w:val="0"/>
            <w:vAlign w:val="center"/>
          </w:tcPr>
          <w:p>
            <w:pPr>
              <w:widowControl/>
              <w:spacing w:line="240" w:lineRule="auto"/>
              <w:jc w:val="center"/>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黔西市黔金路30</w:t>
            </w:r>
            <w:r>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t>号</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房屋</w:t>
            </w:r>
          </w:p>
        </w:tc>
        <w:tc>
          <w:tcPr>
            <w:tcW w:w="958" w:type="dxa"/>
            <w:noWrap w:val="0"/>
            <w:vAlign w:val="center"/>
          </w:tcPr>
          <w:p>
            <w:pPr>
              <w:widowControl/>
              <w:spacing w:line="240" w:lineRule="auto"/>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张</w:t>
            </w:r>
          </w:p>
          <w:p>
            <w:pPr>
              <w:widowControl/>
              <w:spacing w:line="240" w:lineRule="auto"/>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楠</w:t>
            </w:r>
          </w:p>
        </w:tc>
        <w:tc>
          <w:tcPr>
            <w:tcW w:w="862" w:type="dxa"/>
            <w:noWrap w:val="0"/>
            <w:vAlign w:val="center"/>
          </w:tcPr>
          <w:p>
            <w:pPr>
              <w:widowControl/>
              <w:spacing w:line="240" w:lineRule="auto"/>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商业</w:t>
            </w:r>
          </w:p>
        </w:tc>
        <w:tc>
          <w:tcPr>
            <w:tcW w:w="1425" w:type="dxa"/>
            <w:noWrap w:val="0"/>
            <w:vAlign w:val="center"/>
          </w:tcPr>
          <w:p>
            <w:pPr>
              <w:widowControl/>
              <w:spacing w:line="240" w:lineRule="auto"/>
              <w:jc w:val="cente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82.76</w:t>
            </w:r>
          </w:p>
        </w:tc>
        <w:tc>
          <w:tcPr>
            <w:tcW w:w="1344" w:type="dxa"/>
            <w:noWrap w:val="0"/>
            <w:vAlign w:val="center"/>
          </w:tcPr>
          <w:p>
            <w:pPr>
              <w:widowControl/>
              <w:spacing w:line="240" w:lineRule="auto"/>
              <w:jc w:val="cente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6,563</w:t>
            </w:r>
          </w:p>
        </w:tc>
        <w:tc>
          <w:tcPr>
            <w:tcW w:w="1830" w:type="dxa"/>
            <w:noWrap w:val="0"/>
            <w:vAlign w:val="center"/>
          </w:tcPr>
          <w:p>
            <w:pPr>
              <w:widowControl/>
              <w:spacing w:line="240" w:lineRule="auto"/>
              <w:ind w:left="0" w:leftChars="0" w:right="0" w:rightChars="0" w:firstLine="0" w:firstLineChars="0"/>
              <w:jc w:val="cente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543,153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91" w:type="dxa"/>
            <w:noWrap w:val="0"/>
            <w:vAlign w:val="center"/>
          </w:tcPr>
          <w:p>
            <w:pPr>
              <w:widowControl/>
              <w:spacing w:line="240" w:lineRule="auto"/>
              <w:jc w:val="cente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2—5层及后院小楼住房</w:t>
            </w:r>
          </w:p>
        </w:tc>
        <w:tc>
          <w:tcPr>
            <w:tcW w:w="1523" w:type="dxa"/>
            <w:noWrap w:val="0"/>
            <w:vAlign w:val="center"/>
          </w:tcPr>
          <w:p>
            <w:pPr>
              <w:widowControl/>
              <w:spacing w:line="240" w:lineRule="auto"/>
              <w:jc w:val="center"/>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黔西市黔金路30</w:t>
            </w:r>
            <w:r>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t>号</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房屋</w:t>
            </w:r>
          </w:p>
        </w:tc>
        <w:tc>
          <w:tcPr>
            <w:tcW w:w="958" w:type="dxa"/>
            <w:noWrap w:val="0"/>
            <w:vAlign w:val="center"/>
          </w:tcPr>
          <w:p>
            <w:pPr>
              <w:widowControl/>
              <w:spacing w:line="240" w:lineRule="auto"/>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张</w:t>
            </w:r>
          </w:p>
          <w:p>
            <w:pPr>
              <w:widowControl/>
              <w:spacing w:line="240" w:lineRule="auto"/>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楠</w:t>
            </w:r>
          </w:p>
        </w:tc>
        <w:tc>
          <w:tcPr>
            <w:tcW w:w="862" w:type="dxa"/>
            <w:noWrap w:val="0"/>
            <w:vAlign w:val="center"/>
          </w:tcPr>
          <w:p>
            <w:pPr>
              <w:widowControl/>
              <w:spacing w:line="240" w:lineRule="auto"/>
              <w:jc w:val="center"/>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住宅</w:t>
            </w:r>
          </w:p>
        </w:tc>
        <w:tc>
          <w:tcPr>
            <w:tcW w:w="1425" w:type="dxa"/>
            <w:noWrap w:val="0"/>
            <w:vAlign w:val="center"/>
          </w:tcPr>
          <w:p>
            <w:pPr>
              <w:widowControl/>
              <w:spacing w:line="240" w:lineRule="auto"/>
              <w:jc w:val="cente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577.15</w:t>
            </w:r>
          </w:p>
        </w:tc>
        <w:tc>
          <w:tcPr>
            <w:tcW w:w="1344" w:type="dxa"/>
            <w:noWrap w:val="0"/>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themeColor="text1"/>
                <w:kern w:val="0"/>
                <w:sz w:val="28"/>
                <w:szCs w:val="28"/>
                <w:u w:val="none"/>
                <w:lang w:val="en-US" w:eastAsia="zh-CN" w:bidi="ar-SA"/>
                <w14:textFill>
                  <w14:solidFill>
                    <w14:schemeClr w14:val="tx1"/>
                  </w14:solidFill>
                </w14:textFill>
              </w:rPr>
            </w:pPr>
            <w:r>
              <w:rPr>
                <w:rFonts w:hint="eastAsia" w:ascii="仿宋" w:hAnsi="仿宋" w:eastAsia="仿宋" w:cs="仿宋"/>
                <w:b w:val="0"/>
                <w:bCs w:val="0"/>
                <w:i w:val="0"/>
                <w:color w:val="000000" w:themeColor="text1"/>
                <w:kern w:val="0"/>
                <w:sz w:val="28"/>
                <w:szCs w:val="28"/>
                <w:u w:val="none"/>
                <w:lang w:val="en-US" w:eastAsia="zh-CN" w:bidi="ar-SA"/>
                <w14:textFill>
                  <w14:solidFill>
                    <w14:schemeClr w14:val="tx1"/>
                  </w14:solidFill>
                </w14:textFill>
              </w:rPr>
              <w:t>3,583</w:t>
            </w:r>
          </w:p>
        </w:tc>
        <w:tc>
          <w:tcPr>
            <w:tcW w:w="1830" w:type="dxa"/>
            <w:noWrap w:val="0"/>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仿宋" w:hAnsi="仿宋" w:eastAsia="仿宋" w:cs="仿宋"/>
                <w:b w:val="0"/>
                <w:bCs w:val="0"/>
                <w:i w:val="0"/>
                <w:color w:val="000000" w:themeColor="text1"/>
                <w:kern w:val="0"/>
                <w:sz w:val="28"/>
                <w:szCs w:val="28"/>
                <w:u w:val="none"/>
                <w:lang w:val="en-US" w:eastAsia="zh-CN" w:bidi="ar-SA"/>
                <w14:textFill>
                  <w14:solidFill>
                    <w14:schemeClr w14:val="tx1"/>
                  </w14:solidFill>
                </w14:textFill>
              </w:rPr>
            </w:pPr>
            <w:r>
              <w:rPr>
                <w:rFonts w:hint="eastAsia" w:ascii="仿宋" w:hAnsi="仿宋" w:eastAsia="仿宋" w:cs="仿宋"/>
                <w:b w:val="0"/>
                <w:bCs w:val="0"/>
                <w:i w:val="0"/>
                <w:color w:val="000000" w:themeColor="text1"/>
                <w:kern w:val="0"/>
                <w:sz w:val="28"/>
                <w:szCs w:val="28"/>
                <w:u w:val="none"/>
                <w:lang w:val="en-US" w:eastAsia="zh-CN" w:bidi="ar-SA"/>
                <w14:textFill>
                  <w14:solidFill>
                    <w14:schemeClr w14:val="tx1"/>
                  </w14:solidFill>
                </w14:textFill>
              </w:rPr>
              <w:t>2,067,928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34" w:type="dxa"/>
            <w:gridSpan w:val="4"/>
            <w:noWrap w:val="0"/>
            <w:vAlign w:val="center"/>
          </w:tcPr>
          <w:p>
            <w:pPr>
              <w:widowControl/>
              <w:jc w:val="center"/>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14:textFill>
                  <w14:solidFill>
                    <w14:schemeClr w14:val="tx1"/>
                  </w14:solidFill>
                </w14:textFill>
              </w:rPr>
              <w:t>合   计</w:t>
            </w:r>
          </w:p>
        </w:tc>
        <w:tc>
          <w:tcPr>
            <w:tcW w:w="1425" w:type="dxa"/>
            <w:noWrap w:val="0"/>
            <w:vAlign w:val="center"/>
          </w:tcPr>
          <w:p>
            <w:pPr>
              <w:widowControl/>
              <w:jc w:val="center"/>
              <w:rPr>
                <w:rFonts w:hint="eastAsia" w:ascii="仿宋" w:hAnsi="仿宋" w:eastAsia="仿宋" w:cs="仿宋"/>
                <w:b w:val="0"/>
                <w:bCs w:val="0"/>
                <w:i w:val="0"/>
                <w:color w:val="000000" w:themeColor="text1"/>
                <w:kern w:val="0"/>
                <w:sz w:val="28"/>
                <w:szCs w:val="28"/>
                <w:u w:val="none"/>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659.91</w:t>
            </w:r>
          </w:p>
        </w:tc>
        <w:tc>
          <w:tcPr>
            <w:tcW w:w="1344" w:type="dxa"/>
            <w:noWrap w:val="0"/>
            <w:vAlign w:val="top"/>
          </w:tcPr>
          <w:p>
            <w:pPr>
              <w:keepNext w:val="0"/>
              <w:keepLines w:val="0"/>
              <w:widowControl/>
              <w:suppressLineNumbers w:val="0"/>
              <w:jc w:val="center"/>
              <w:textAlignment w:val="center"/>
              <w:rPr>
                <w:rFonts w:hint="eastAsia" w:ascii="仿宋" w:hAnsi="仿宋" w:eastAsia="仿宋" w:cs="仿宋"/>
                <w:b w:val="0"/>
                <w:bCs w:val="0"/>
                <w:i w:val="0"/>
                <w:color w:val="000000" w:themeColor="text1"/>
                <w:kern w:val="0"/>
                <w:sz w:val="28"/>
                <w:szCs w:val="28"/>
                <w:u w:val="none"/>
                <w:lang w:val="en-US" w:eastAsia="zh-CN" w:bidi="ar-SA"/>
                <w14:textFill>
                  <w14:solidFill>
                    <w14:schemeClr w14:val="tx1"/>
                  </w14:solidFill>
                </w14:textFill>
              </w:rPr>
            </w:pPr>
          </w:p>
        </w:tc>
        <w:tc>
          <w:tcPr>
            <w:tcW w:w="1830" w:type="dxa"/>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val="0"/>
                <w:bCs w:val="0"/>
                <w:i w:val="0"/>
                <w:color w:val="000000" w:themeColor="text1"/>
                <w:kern w:val="0"/>
                <w:sz w:val="28"/>
                <w:szCs w:val="28"/>
                <w:u w:val="none"/>
                <w:lang w:val="en-US" w:eastAsia="zh-CN" w:bidi="ar-SA"/>
                <w14:textFill>
                  <w14:solidFill>
                    <w14:schemeClr w14:val="tx1"/>
                  </w14:solidFill>
                </w14:textFill>
              </w:rPr>
            </w:pPr>
            <w:r>
              <w:rPr>
                <w:rFonts w:hint="eastAsia" w:ascii="仿宋" w:hAnsi="仿宋" w:eastAsia="仿宋" w:cs="仿宋"/>
                <w:b w:val="0"/>
                <w:bCs w:val="0"/>
                <w:i w:val="0"/>
                <w:color w:val="000000" w:themeColor="text1"/>
                <w:kern w:val="0"/>
                <w:sz w:val="28"/>
                <w:szCs w:val="28"/>
                <w:u w:val="none"/>
                <w:lang w:val="en-US" w:eastAsia="zh-CN" w:bidi="ar-SA"/>
                <w14:textFill>
                  <w14:solidFill>
                    <w14:schemeClr w14:val="tx1"/>
                  </w14:solidFill>
                </w14:textFill>
              </w:rPr>
              <w:t>2,611,081</w:t>
            </w:r>
          </w:p>
        </w:tc>
      </w:tr>
    </w:tbl>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333333"/>
          <w:kern w:val="0"/>
          <w:sz w:val="32"/>
          <w:szCs w:val="32"/>
          <w:shd w:val="clear" w:color="auto" w:fill="FFFFFF"/>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十一、特别事项说明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在评估过程中，委托人和相关当事人提供的与评估相关的所有资料是编制本报告的基础，委托人和相关当事人对其所提供资料的可靠性、真实性、准确性、完整性负责；价格鉴证师的责任是对评估对象在评估基准日特定目的下的价格进行分析、估算并发表专业意见。若委托人和被评估单位有意隐匿或提供虚假的资料以使评估人员在委估资产产权调查和评定估算中产生误导，委托人与相关当事人应承担由此而产生的一切法律后果。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b/>
          <w:color w:val="000000"/>
          <w:kern w:val="0"/>
          <w:sz w:val="32"/>
          <w:szCs w:val="32"/>
          <w:lang w:val="en-US" w:eastAsia="zh-CN" w:bidi="ar"/>
        </w:rPr>
        <w:t xml:space="preserve">十二、价格评估报告使用限制说明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一）本评估报告仅供委托人及价格鉴证评估委托书中载明的其他报告使用人为本次评估目的使用和送交相关主管机关审查使用。未征得出具评估报告的评估机构同意，评估报告的内容不得被摘抄、引用或披露于公开媒体，法律、法规规定以及相关当事人另有约定的除外。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（二）本评估报告的评估结论有效使用期为一年，即自 2022年4月21日至 2023年4月20日。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十三、评估报告日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本评估报告日为 2022年5月6日。 </w:t>
      </w:r>
    </w:p>
    <w:p>
      <w:pPr>
        <w:framePr w:wrap="auto" w:vAnchor="margin" w:hAnchor="text" w:yAlign="inline"/>
        <w:numPr>
          <w:ilvl w:val="0"/>
          <w:numId w:val="0"/>
        </w:numPr>
        <w:spacing w:line="360" w:lineRule="auto"/>
        <w:ind w:left="480" w:leftChars="0"/>
        <w:rPr>
          <w:rFonts w:hint="eastAsia" w:ascii="仿宋" w:hAnsi="仿宋" w:eastAsia="仿宋" w:cs="仿宋"/>
          <w:sz w:val="32"/>
          <w:szCs w:val="32"/>
          <w:lang w:val="en-US" w:eastAsia="zh-CN"/>
        </w:rPr>
      </w:pPr>
      <w:r>
        <w:rPr>
          <w:rFonts w:hint="eastAsia" w:ascii="仿宋" w:hAnsi="仿宋" w:eastAsia="仿宋" w:cs="仿宋"/>
          <w:b/>
          <w:color w:val="000000"/>
          <w:kern w:val="0"/>
          <w:sz w:val="32"/>
          <w:szCs w:val="32"/>
          <w:lang w:val="en-US" w:eastAsia="zh-CN" w:bidi="ar"/>
        </w:rPr>
        <w:t>十四、</w:t>
      </w:r>
      <w:r>
        <w:rPr>
          <w:rFonts w:hint="eastAsia" w:ascii="仿宋" w:hAnsi="仿宋" w:eastAsia="仿宋" w:cs="仿宋"/>
          <w:b/>
          <w:bCs/>
          <w:sz w:val="32"/>
          <w:szCs w:val="32"/>
          <w:lang w:eastAsia="zh-CN"/>
        </w:rPr>
        <w:t>评估</w:t>
      </w:r>
      <w:r>
        <w:rPr>
          <w:rFonts w:hint="eastAsia" w:ascii="仿宋" w:hAnsi="仿宋" w:eastAsia="仿宋" w:cs="仿宋"/>
          <w:b/>
          <w:bCs/>
          <w:sz w:val="32"/>
          <w:szCs w:val="32"/>
        </w:rPr>
        <w:t>机构名称：</w:t>
      </w:r>
      <w:r>
        <w:rPr>
          <w:rFonts w:hint="eastAsia" w:ascii="仿宋" w:hAnsi="仿宋" w:eastAsia="仿宋" w:cs="仿宋"/>
          <w:sz w:val="32"/>
          <w:szCs w:val="32"/>
          <w:lang w:eastAsia="zh-CN"/>
        </w:rPr>
        <w:t>贵州世强价格评估有限公司</w:t>
      </w:r>
      <w:r>
        <w:rPr>
          <w:rFonts w:hint="eastAsia" w:ascii="仿宋" w:hAnsi="仿宋" w:eastAsia="仿宋" w:cs="仿宋"/>
          <w:sz w:val="32"/>
          <w:szCs w:val="32"/>
          <w:lang w:val="en-US" w:eastAsia="zh-CN"/>
        </w:rPr>
        <w:t xml:space="preserve">  </w:t>
      </w:r>
    </w:p>
    <w:p>
      <w:pPr>
        <w:framePr w:wrap="auto" w:vAnchor="margin" w:hAnchor="text" w:yAlign="inline"/>
        <w:spacing w:line="360" w:lineRule="auto"/>
        <w:ind w:firstLine="640" w:firstLineChars="200"/>
        <w:rPr>
          <w:rFonts w:hint="eastAsia" w:ascii="仿宋" w:hAnsi="仿宋" w:eastAsia="仿宋" w:cs="仿宋"/>
          <w:kern w:val="1"/>
          <w:sz w:val="32"/>
          <w:szCs w:val="32"/>
          <w:lang w:val="en-US" w:eastAsia="zh-CN"/>
        </w:rPr>
      </w:pPr>
      <w:r>
        <w:rPr>
          <w:rFonts w:hint="eastAsia" w:ascii="仿宋" w:hAnsi="仿宋" w:eastAsia="仿宋" w:cs="仿宋"/>
          <w:sz w:val="32"/>
          <w:szCs w:val="32"/>
        </w:rPr>
        <w:t>机构资质证书证号：</w:t>
      </w:r>
      <w:r>
        <w:rPr>
          <w:rFonts w:hint="eastAsia" w:ascii="仿宋" w:hAnsi="仿宋" w:eastAsia="仿宋" w:cs="仿宋"/>
          <w:kern w:val="1"/>
          <w:sz w:val="32"/>
          <w:szCs w:val="32"/>
          <w:lang w:val="en-US" w:eastAsia="zh-CN"/>
        </w:rPr>
        <w:t>中J240017</w:t>
      </w:r>
    </w:p>
    <w:p>
      <w:pPr>
        <w:framePr w:wrap="auto" w:vAnchor="margin" w:hAnchor="text" w:yAlign="inline"/>
        <w:spacing w:line="360" w:lineRule="auto"/>
        <w:ind w:firstLine="640" w:firstLineChars="200"/>
        <w:rPr>
          <w:rFonts w:hint="eastAsia" w:ascii="仿宋" w:hAnsi="仿宋" w:eastAsia="仿宋" w:cs="仿宋"/>
          <w:kern w:val="1"/>
          <w:sz w:val="32"/>
          <w:szCs w:val="32"/>
          <w:lang w:val="en-US" w:eastAsia="zh-CN"/>
        </w:rPr>
      </w:pPr>
    </w:p>
    <w:p>
      <w:pPr>
        <w:framePr w:wrap="auto" w:vAnchor="margin" w:hAnchor="text" w:yAlign="inline"/>
        <w:spacing w:line="360" w:lineRule="auto"/>
        <w:ind w:firstLine="640" w:firstLineChars="200"/>
        <w:rPr>
          <w:rFonts w:hint="eastAsia" w:ascii="仿宋" w:hAnsi="仿宋" w:eastAsia="仿宋" w:cs="仿宋"/>
          <w:b/>
          <w:bCs/>
          <w:color w:val="000000"/>
          <w:kern w:val="0"/>
          <w:sz w:val="32"/>
          <w:szCs w:val="32"/>
          <w:lang w:val="en-US" w:eastAsia="zh-CN" w:bidi="ar"/>
        </w:rPr>
      </w:pPr>
      <w:r>
        <w:rPr>
          <w:rFonts w:hint="eastAsia" w:ascii="仿宋" w:hAnsi="仿宋" w:eastAsia="仿宋" w:cs="仿宋"/>
          <w:kern w:val="1"/>
          <w:sz w:val="32"/>
          <w:szCs w:val="32"/>
          <w:lang w:val="en-US" w:eastAsia="zh-CN"/>
        </w:rPr>
        <w:t>法定代表人（盖章）：</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1" w:firstLineChars="1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color w:val="000000"/>
          <w:kern w:val="0"/>
          <w:sz w:val="32"/>
          <w:szCs w:val="32"/>
          <w:lang w:val="en-US" w:eastAsia="zh-CN" w:bidi="ar"/>
        </w:rPr>
        <w:t xml:space="preserve"> 十五、价格鉴证师签字、评估机构签章。 </w:t>
      </w:r>
      <w:r>
        <w:rPr>
          <w:rFonts w:hint="eastAsia" w:ascii="仿宋" w:hAnsi="仿宋" w:eastAsia="仿宋" w:cs="仿宋"/>
          <w:b w:val="0"/>
          <w:bCs w:val="0"/>
          <w:sz w:val="32"/>
          <w:szCs w:val="32"/>
          <w:lang w:val="en-US" w:eastAsia="zh-CN"/>
        </w:rPr>
        <w:t xml:space="preserve"> </w:t>
      </w:r>
    </w:p>
    <w:p>
      <w:pPr>
        <w:framePr w:wrap="auto" w:vAnchor="margin" w:hAnchor="text" w:yAlign="inline"/>
        <w:numPr>
          <w:ilvl w:val="0"/>
          <w:numId w:val="0"/>
        </w:numPr>
        <w:ind w:firstLine="320" w:firstLineChars="100"/>
        <w:rPr>
          <w:rFonts w:hint="eastAsia" w:ascii="仿宋" w:hAnsi="仿宋" w:eastAsia="仿宋" w:cs="仿宋"/>
          <w:color w:val="000000"/>
          <w:kern w:val="0"/>
          <w:sz w:val="32"/>
          <w:szCs w:val="32"/>
          <w:lang w:val="en-US" w:eastAsia="zh-CN"/>
        </w:rPr>
      </w:pPr>
      <w:r>
        <w:rPr>
          <w:rFonts w:hint="eastAsia" w:ascii="仿宋" w:hAnsi="仿宋" w:eastAsia="仿宋" w:cs="仿宋"/>
          <w:b w:val="0"/>
          <w:bCs w:val="0"/>
          <w:sz w:val="32"/>
          <w:szCs w:val="32"/>
          <w:lang w:val="en-US" w:eastAsia="zh-CN"/>
        </w:rPr>
        <w:t xml:space="preserve"> 姓  名  执业资格名称   执业证号         签字（盖章）</w:t>
      </w:r>
      <w:r>
        <w:rPr>
          <w:rFonts w:hint="eastAsia" w:ascii="仿宋" w:hAnsi="仿宋" w:eastAsia="仿宋" w:cs="仿宋"/>
          <w:color w:val="000000"/>
          <w:kern w:val="0"/>
          <w:sz w:val="32"/>
          <w:szCs w:val="32"/>
          <w:lang w:val="en-US" w:eastAsia="zh-CN"/>
        </w:rPr>
        <w:t xml:space="preserve"> </w:t>
      </w:r>
    </w:p>
    <w:p>
      <w:pPr>
        <w:framePr w:wrap="auto" w:vAnchor="margin" w:hAnchor="text" w:yAlign="inline"/>
        <w:tabs>
          <w:tab w:val="left" w:pos="916"/>
          <w:tab w:val="left" w:pos="1832"/>
          <w:tab w:val="left" w:pos="2748"/>
          <w:tab w:val="left" w:pos="3664"/>
          <w:tab w:val="left" w:pos="4580"/>
          <w:tab w:val="center" w:pos="4830"/>
          <w:tab w:val="left" w:pos="6412"/>
          <w:tab w:val="left" w:pos="8244"/>
          <w:tab w:val="left" w:pos="10076"/>
          <w:tab w:val="left" w:pos="11908"/>
          <w:tab w:val="left" w:pos="13740"/>
        </w:tabs>
        <w:spacing w:line="300" w:lineRule="atLeast"/>
        <w:rPr>
          <w:rFonts w:hint="eastAsia" w:ascii="仿宋" w:hAnsi="仿宋" w:eastAsia="仿宋" w:cs="仿宋"/>
          <w:color w:val="000000"/>
          <w:kern w:val="0"/>
          <w:sz w:val="32"/>
          <w:szCs w:val="32"/>
          <w:lang w:val="en-US" w:eastAsia="zh-CN"/>
        </w:rPr>
      </w:pPr>
    </w:p>
    <w:p>
      <w:pPr>
        <w:framePr w:wrap="auto" w:vAnchor="margin" w:hAnchor="text" w:yAlign="inline"/>
        <w:tabs>
          <w:tab w:val="left" w:pos="916"/>
          <w:tab w:val="left" w:pos="1832"/>
          <w:tab w:val="left" w:pos="2748"/>
          <w:tab w:val="left" w:pos="3664"/>
          <w:tab w:val="left" w:pos="4580"/>
          <w:tab w:val="center" w:pos="4830"/>
          <w:tab w:val="left" w:pos="6412"/>
          <w:tab w:val="left" w:pos="8244"/>
          <w:tab w:val="left" w:pos="10076"/>
          <w:tab w:val="left" w:pos="11908"/>
          <w:tab w:val="left" w:pos="13740"/>
        </w:tabs>
        <w:spacing w:line="300" w:lineRule="atLeas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鞠治平  价格鉴证师    0008498</w:t>
      </w:r>
      <w:r>
        <w:rPr>
          <w:rFonts w:hint="eastAsia" w:ascii="仿宋" w:hAnsi="仿宋" w:eastAsia="仿宋" w:cs="仿宋"/>
          <w:color w:val="000000"/>
          <w:kern w:val="0"/>
          <w:sz w:val="32"/>
          <w:szCs w:val="32"/>
        </w:rPr>
        <w:t xml:space="preserve"> </w:t>
      </w:r>
    </w:p>
    <w:p>
      <w:pPr>
        <w:framePr w:wrap="auto" w:vAnchor="margin" w:hAnchor="text" w:yAlign="inline"/>
        <w:tabs>
          <w:tab w:val="left" w:pos="916"/>
          <w:tab w:val="left" w:pos="1832"/>
          <w:tab w:val="left" w:pos="2748"/>
          <w:tab w:val="left" w:pos="3664"/>
          <w:tab w:val="left" w:pos="4580"/>
          <w:tab w:val="center" w:pos="4830"/>
          <w:tab w:val="left" w:pos="6412"/>
          <w:tab w:val="left" w:pos="8244"/>
          <w:tab w:val="left" w:pos="10076"/>
          <w:tab w:val="left" w:pos="11908"/>
          <w:tab w:val="left" w:pos="13740"/>
        </w:tabs>
        <w:spacing w:line="300" w:lineRule="atLeast"/>
        <w:ind w:firstLine="320" w:firstLineChars="1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ab/>
      </w:r>
      <w:r>
        <w:rPr>
          <w:rFonts w:hint="eastAsia" w:ascii="仿宋" w:hAnsi="仿宋" w:eastAsia="仿宋" w:cs="仿宋"/>
          <w:color w:val="000000"/>
          <w:kern w:val="0"/>
          <w:sz w:val="32"/>
          <w:szCs w:val="32"/>
          <w:lang w:val="en-US" w:eastAsia="zh-CN"/>
        </w:rPr>
        <w:t xml:space="preserve"> </w:t>
      </w:r>
    </w:p>
    <w:p>
      <w:pPr>
        <w:keepNext w:val="0"/>
        <w:keepLines w:val="0"/>
        <w:framePr w:wrap="auto" w:vAnchor="margin" w:hAnchor="text" w:yAlign="inline"/>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p>
    <w:p>
      <w:pPr>
        <w:keepNext w:val="0"/>
        <w:keepLines w:val="0"/>
        <w:framePr w:wrap="auto" w:vAnchor="margin" w:hAnchor="text" w:yAlign="inline"/>
        <w:widowControl/>
        <w:suppressLineNumbers w:val="0"/>
        <w:ind w:firstLine="640" w:firstLineChars="200"/>
        <w:jc w:val="left"/>
        <w:rPr>
          <w:rFonts w:hint="eastAsia" w:ascii="仿宋" w:hAnsi="仿宋" w:eastAsia="仿宋" w:cs="仿宋"/>
          <w:b/>
          <w:bCs/>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徐世强  </w:t>
      </w:r>
      <w:r>
        <w:rPr>
          <w:rFonts w:hint="eastAsia" w:ascii="仿宋" w:hAnsi="仿宋" w:eastAsia="仿宋" w:cs="仿宋"/>
          <w:color w:val="000000"/>
          <w:kern w:val="0"/>
          <w:sz w:val="32"/>
          <w:szCs w:val="32"/>
          <w:lang w:val="en-US" w:eastAsia="zh-CN"/>
        </w:rPr>
        <w:t>价格鉴证师    0019030</w:t>
      </w:r>
      <w:r>
        <w:rPr>
          <w:rFonts w:hint="eastAsia" w:ascii="仿宋" w:hAnsi="仿宋" w:eastAsia="仿宋" w:cs="仿宋"/>
          <w:color w:val="000000"/>
          <w:kern w:val="0"/>
          <w:sz w:val="32"/>
          <w:szCs w:val="32"/>
          <w:lang w:val="en-US" w:eastAsia="zh-CN" w:bidi="ar"/>
        </w:rPr>
        <w:t xml:space="preserve">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十六、 价格评估报告附件</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(一)</w:t>
      </w:r>
      <w:r>
        <w:rPr>
          <w:rFonts w:hint="eastAsia" w:ascii="仿宋" w:hAnsi="仿宋" w:eastAsia="仿宋" w:cs="仿宋"/>
          <w:color w:val="000000"/>
          <w:kern w:val="0"/>
          <w:sz w:val="32"/>
          <w:szCs w:val="32"/>
          <w:lang w:val="en-US" w:eastAsia="zh-CN" w:bidi="ar"/>
        </w:rPr>
        <w:t>(2022)黔法委字72号《委托评估书》；</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 xml:space="preserve">    (二)</w:t>
      </w:r>
      <w:r>
        <w:rPr>
          <w:rFonts w:hint="eastAsia" w:ascii="仿宋" w:hAnsi="仿宋" w:eastAsia="仿宋" w:cs="仿宋"/>
          <w:b w:val="0"/>
          <w:bCs w:val="0"/>
          <w:sz w:val="32"/>
          <w:szCs w:val="32"/>
        </w:rPr>
        <w:t>承诺书</w:t>
      </w:r>
      <w:r>
        <w:rPr>
          <w:rFonts w:hint="eastAsia" w:ascii="仿宋" w:hAnsi="仿宋" w:eastAsia="仿宋" w:cs="仿宋"/>
          <w:b w:val="0"/>
          <w:bCs w:val="0"/>
          <w:sz w:val="32"/>
          <w:szCs w:val="32"/>
          <w:lang w:eastAsia="zh-CN"/>
        </w:rPr>
        <w:t>、工作计划</w:t>
      </w:r>
      <w:r>
        <w:rPr>
          <w:rFonts w:hint="eastAsia" w:ascii="仿宋" w:hAnsi="仿宋" w:eastAsia="仿宋" w:cs="仿宋"/>
          <w:color w:val="000000"/>
          <w:kern w:val="0"/>
          <w:sz w:val="32"/>
          <w:szCs w:val="32"/>
          <w:lang w:val="en-US" w:eastAsia="zh-CN" w:bidi="ar"/>
        </w:rPr>
        <w:t>；</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(三)贵州省不动产登记查询结果；</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(四)民事判决书、张楠房产证复印件；</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(五)现场照片；</w:t>
      </w:r>
    </w:p>
    <w:p>
      <w:pPr>
        <w:keepNext w:val="0"/>
        <w:keepLines w:val="0"/>
        <w:pageBreakBefore w:val="0"/>
        <w:framePr w:wrap="auto" w:vAnchor="margin" w:hAnchor="text" w:yAlign="inline"/>
        <w:widowControl/>
        <w:numPr>
          <w:ilvl w:val="0"/>
          <w:numId w:val="0"/>
        </w:numPr>
        <w:tabs>
          <w:tab w:val="left" w:pos="851"/>
          <w:tab w:val="left" w:pos="993"/>
          <w:tab w:val="left" w:pos="1134"/>
        </w:tabs>
        <w:kinsoku/>
        <w:wordWrap/>
        <w:overflowPunct/>
        <w:topLinePunct w:val="0"/>
        <w:autoSpaceDE/>
        <w:autoSpaceDN/>
        <w:bidi w:val="0"/>
        <w:adjustRightInd/>
        <w:snapToGrid/>
        <w:spacing w:line="360" w:lineRule="auto"/>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 xml:space="preserve">    (六)评估公司营业执照、资质证书及评估人员证书复印件。</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4480" w:firstLineChars="1400"/>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4480" w:firstLineChars="14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贵州世强价格评估有限公司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 xml:space="preserve">                    二○二二年五月六日 </w:t>
      </w:r>
      <w:r>
        <w:rPr>
          <w:rFonts w:hint="eastAsia" w:ascii="仿宋" w:hAnsi="仿宋" w:eastAsia="仿宋" w:cs="仿宋"/>
          <w:sz w:val="32"/>
          <w:szCs w:val="32"/>
          <w:lang w:val="en-US" w:eastAsia="zh-CN"/>
        </w:rPr>
        <w:t xml:space="preserve">  </w:t>
      </w:r>
    </w:p>
    <w:p>
      <w:pPr>
        <w:pStyle w:val="12"/>
        <w:keepNext w:val="0"/>
        <w:keepLines w:val="0"/>
        <w:pageBreakBefore w:val="0"/>
        <w:framePr w:wrap="auto" w:vAnchor="margin" w:hAnchor="text" w:yAlign="inline"/>
        <w:widowControl w:val="0"/>
        <w:kinsoku/>
        <w:wordWrap/>
        <w:overflowPunct/>
        <w:topLinePunct w:val="0"/>
        <w:autoSpaceDE/>
        <w:autoSpaceDN/>
        <w:bidi w:val="0"/>
        <w:adjustRightInd/>
        <w:snapToGrid/>
        <w:spacing w:line="20" w:lineRule="exact"/>
        <w:jc w:val="both"/>
        <w:textAlignment w:val="auto"/>
        <w:rPr>
          <w:rFonts w:hint="eastAsia" w:ascii="仿宋" w:hAnsi="仿宋" w:eastAsia="仿宋" w:cs="仿宋"/>
          <w:sz w:val="32"/>
          <w:szCs w:val="32"/>
          <w:rtl w:val="0"/>
          <w:lang w:val="en-US" w:eastAsia="zh-CN"/>
        </w:rPr>
      </w:pPr>
    </w:p>
    <w:sectPr>
      <w:headerReference r:id="rId5" w:type="default"/>
      <w:footerReference r:id="rId6" w:type="default"/>
      <w:pgSz w:w="11900" w:h="16840"/>
      <w:pgMar w:top="1134" w:right="1134" w:bottom="1134" w:left="1304" w:header="851" w:footer="1157"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framePr w:wrap="auto" w:vAnchor="margin" w:hAnchor="text" w:yAlign="inline"/>
      <w:widowControl w:val="0"/>
      <w:numPr>
        <w:ilvl w:val="0"/>
        <w:numId w:val="0"/>
      </w:numPr>
      <w:suppressLineNumbers w:val="0"/>
      <w:pBdr>
        <w:top w:val="none" w:color="000000" w:sz="0" w:space="1"/>
        <w:left w:val="none" w:color="auto" w:sz="0" w:space="4"/>
        <w:bottom w:val="none" w:color="000000" w:sz="0" w:space="1"/>
        <w:right w:val="none" w:color="auto" w:sz="0" w:space="4"/>
        <w:between w:val="none" w:color="auto" w:sz="0" w:space="0"/>
      </w:pBdr>
      <w:shd w:val="clear" w:color="auto" w:fill="auto"/>
      <w:suppressAutoHyphens w:val="0"/>
      <w:bidi w:val="0"/>
      <w:spacing w:before="0" w:beforeAutospacing="0" w:after="0" w:afterAutospacing="0" w:line="240" w:lineRule="auto"/>
      <w:ind w:left="0" w:leftChars="0" w:right="0" w:rightChars="0" w:firstLine="0" w:firstLineChars="0"/>
      <w:jc w:val="center"/>
      <w:outlineLvl w:val="9"/>
      <w:rPr>
        <w:rFonts w:hint="eastAsia" w:ascii="仿宋" w:hAnsi="仿宋" w:eastAsia="仿宋" w:cs="仿宋"/>
        <w:b/>
        <w:bCs/>
        <w:color w:val="A6A6A6" w:themeColor="background1" w:themeShade="A6"/>
        <w:sz w:val="28"/>
        <w:szCs w:val="28"/>
        <w:u w:val="single" w:color="auto"/>
        <w:lang w:val="en-US"/>
      </w:rPr>
    </w:pPr>
    <w:r>
      <w:rPr>
        <w:rFonts w:hint="eastAsia" w:ascii="仿宋" w:hAnsi="仿宋" w:eastAsia="仿宋" w:cs="仿宋"/>
        <w:b/>
        <w:bCs/>
        <w:color w:val="A6A6A6" w:themeColor="background1" w:themeShade="A6"/>
        <w:sz w:val="28"/>
        <w:szCs w:val="28"/>
        <w:u w:val="single" w:color="auto"/>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3"/>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&#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horRs0cCAACI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3"/>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仿宋" w:hAnsi="仿宋" w:eastAsia="仿宋" w:cs="仿宋"/>
        <w:b/>
        <w:bCs/>
        <w:color w:val="A6A6A6" w:themeColor="background1" w:themeShade="A6"/>
        <w:sz w:val="28"/>
        <w:szCs w:val="28"/>
        <w:u w:val="single" w:color="auto"/>
        <w:lang w:eastAsia="zh-CN"/>
      </w:rPr>
      <w:t>贵州世强价格评估有限公司</w:t>
    </w:r>
    <w:r>
      <w:rPr>
        <w:rFonts w:hint="eastAsia" w:ascii="仿宋" w:hAnsi="仿宋" w:eastAsia="仿宋" w:cs="仿宋"/>
        <w:b/>
        <w:bCs/>
        <w:color w:val="A6A6A6" w:themeColor="background1" w:themeShade="A6"/>
        <w:sz w:val="28"/>
        <w:szCs w:val="28"/>
        <w:u w:val="single" w:color="auto"/>
        <w:lang w:val="en-US" w:eastAsia="zh-CN"/>
      </w:rPr>
      <w:t xml:space="preserve">                   TEL； 0851-22277765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00" w:after="200" w:line="288" w:lineRule="auto"/>
      <w:jc w:val="both"/>
      <w:rPr>
        <w:rFonts w:hint="default" w:ascii="宋体" w:hAnsi="宋体" w:eastAsia="Arial Unicode MS"/>
        <w:sz w:val="30"/>
        <w:szCs w:val="30"/>
        <w:lang w:val="en-US" w:eastAsia="zh-CN"/>
      </w:rPr>
    </w:pPr>
    <w:r>
      <w:rPr>
        <w:rFonts w:hint="eastAsia" w:ascii="仿宋" w:hAnsi="仿宋" w:eastAsia="仿宋" w:cs="仿宋"/>
        <w:b/>
        <w:bCs/>
        <w:i w:val="0"/>
        <w:caps w:val="0"/>
        <w:color w:val="BFBFBF" w:themeColor="background1" w:themeShade="BF"/>
        <w:spacing w:val="0"/>
        <w:kern w:val="0"/>
        <w:sz w:val="30"/>
        <w:szCs w:val="30"/>
        <w:u w:val="single" w:color="auto"/>
        <w:lang w:val="en-US" w:eastAsia="zh-CN" w:bidi="ar"/>
      </w:rPr>
      <w:t xml:space="preserve"> </w:t>
    </w:r>
    <w:r>
      <w:rPr>
        <w:rFonts w:hint="eastAsia" w:ascii="仿宋" w:hAnsi="仿宋" w:eastAsia="仿宋" w:cs="仿宋"/>
        <w:b/>
        <w:bCs/>
        <w:i w:val="0"/>
        <w:caps w:val="0"/>
        <w:color w:val="BFBFBF" w:themeColor="background1" w:themeShade="BF"/>
        <w:spacing w:val="0"/>
        <w:kern w:val="0"/>
        <w:sz w:val="30"/>
        <w:szCs w:val="30"/>
        <w:u w:val="single" w:color="auto"/>
        <w:lang w:val="en-US" w:eastAsia="zh-CN" w:bidi="ar"/>
      </w:rPr>
      <w:drawing>
        <wp:inline distT="0" distB="0" distL="114300" distR="114300">
          <wp:extent cx="321310" cy="325755"/>
          <wp:effectExtent l="0" t="0" r="2540" b="17145"/>
          <wp:docPr id="2" name="图片 2" descr="e453e48e8498f094a32493bb29ac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453e48e8498f094a32493bb29ac8b0"/>
                  <pic:cNvPicPr>
                    <a:picLocks noChangeAspect="1"/>
                  </pic:cNvPicPr>
                </pic:nvPicPr>
                <pic:blipFill>
                  <a:blip r:embed="rId1"/>
                  <a:stretch>
                    <a:fillRect/>
                  </a:stretch>
                </pic:blipFill>
                <pic:spPr>
                  <a:xfrm>
                    <a:off x="0" y="0"/>
                    <a:ext cx="321310" cy="325755"/>
                  </a:xfrm>
                  <a:prstGeom prst="rect">
                    <a:avLst/>
                  </a:prstGeom>
                </pic:spPr>
              </pic:pic>
            </a:graphicData>
          </a:graphic>
        </wp:inline>
      </w:drawing>
    </w:r>
    <w:r>
      <w:rPr>
        <w:rFonts w:hint="eastAsia" w:ascii="仿宋" w:hAnsi="仿宋" w:eastAsia="仿宋" w:cs="仿宋"/>
        <w:b/>
        <w:bCs/>
        <w:i w:val="0"/>
        <w:caps w:val="0"/>
        <w:color w:val="BFBFBF" w:themeColor="background1" w:themeShade="BF"/>
        <w:spacing w:val="0"/>
        <w:kern w:val="0"/>
        <w:sz w:val="32"/>
        <w:szCs w:val="32"/>
        <w:u w:val="single" w:color="auto"/>
        <w:lang w:val="en-US" w:eastAsia="zh-CN" w:bidi="ar"/>
      </w:rPr>
      <w:t>对</w:t>
    </w:r>
    <w:r>
      <w:rPr>
        <w:rFonts w:hint="eastAsia" w:ascii="仿宋" w:hAnsi="仿宋" w:eastAsia="仿宋" w:cs="仿宋"/>
        <w:b/>
        <w:bCs/>
        <w:color w:val="BFBFBF" w:themeColor="background1" w:themeShade="BF"/>
        <w:kern w:val="0"/>
        <w:sz w:val="32"/>
        <w:szCs w:val="32"/>
        <w:u w:val="single"/>
        <w:lang w:val="en-US" w:eastAsia="zh-CN" w:bidi="ar"/>
      </w:rPr>
      <w:t>张楠名下位于贵州省黔西市黔金路30号</w:t>
    </w:r>
    <w:r>
      <w:rPr>
        <w:rFonts w:hint="eastAsia" w:ascii="仿宋" w:hAnsi="仿宋" w:eastAsia="仿宋" w:cs="仿宋"/>
        <w:b/>
        <w:bCs/>
        <w:color w:val="BFBFBF" w:themeColor="background1" w:themeShade="BF"/>
        <w:kern w:val="2"/>
        <w:sz w:val="32"/>
        <w:szCs w:val="32"/>
        <w:u w:val="single"/>
      </w:rPr>
      <w:t>房屋的</w:t>
    </w:r>
    <w:r>
      <w:rPr>
        <w:rFonts w:hint="eastAsia" w:ascii="仿宋" w:hAnsi="仿宋" w:eastAsia="仿宋" w:cs="仿宋"/>
        <w:b/>
        <w:bCs/>
        <w:color w:val="BFBFBF" w:themeColor="background1" w:themeShade="BF"/>
        <w:sz w:val="32"/>
        <w:szCs w:val="32"/>
        <w:u w:val="single" w:color="auto"/>
      </w:rPr>
      <w:t>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14821E"/>
    <w:multiLevelType w:val="singleLevel"/>
    <w:tmpl w:val="A11482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autoHyphenation/>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MWViNjgyNzBlMjQ3MDkxZGY4YmUxNTY1MDQwZGZlYTMifQ=="/>
  </w:docVars>
  <w:rsids>
    <w:rsidRoot w:val="00000000"/>
    <w:rsid w:val="00346D0F"/>
    <w:rsid w:val="008A38B6"/>
    <w:rsid w:val="00AB2A40"/>
    <w:rsid w:val="00BF52BD"/>
    <w:rsid w:val="011A7964"/>
    <w:rsid w:val="01AF5332"/>
    <w:rsid w:val="01D458D3"/>
    <w:rsid w:val="028663F2"/>
    <w:rsid w:val="029812FA"/>
    <w:rsid w:val="02F45041"/>
    <w:rsid w:val="03136D40"/>
    <w:rsid w:val="035462C3"/>
    <w:rsid w:val="03AA0D7A"/>
    <w:rsid w:val="03E91628"/>
    <w:rsid w:val="04340EDA"/>
    <w:rsid w:val="045E407E"/>
    <w:rsid w:val="04786841"/>
    <w:rsid w:val="04B85B9E"/>
    <w:rsid w:val="04D72EA4"/>
    <w:rsid w:val="04DB6ABE"/>
    <w:rsid w:val="04F419D9"/>
    <w:rsid w:val="051A51B8"/>
    <w:rsid w:val="054D31A7"/>
    <w:rsid w:val="05595CE0"/>
    <w:rsid w:val="05DA3710"/>
    <w:rsid w:val="06030D3E"/>
    <w:rsid w:val="06783F44"/>
    <w:rsid w:val="06887D50"/>
    <w:rsid w:val="071F721E"/>
    <w:rsid w:val="074F6172"/>
    <w:rsid w:val="076A5614"/>
    <w:rsid w:val="07A347FF"/>
    <w:rsid w:val="092650FE"/>
    <w:rsid w:val="0935611C"/>
    <w:rsid w:val="097A79AF"/>
    <w:rsid w:val="09F45FD8"/>
    <w:rsid w:val="0A252635"/>
    <w:rsid w:val="0A30071E"/>
    <w:rsid w:val="0A9A7999"/>
    <w:rsid w:val="0B6D0FA4"/>
    <w:rsid w:val="0BB41AAC"/>
    <w:rsid w:val="0BEE6542"/>
    <w:rsid w:val="0C0C2A7D"/>
    <w:rsid w:val="0C1F5A7C"/>
    <w:rsid w:val="0CBD32EB"/>
    <w:rsid w:val="0CD95203"/>
    <w:rsid w:val="0D27781F"/>
    <w:rsid w:val="0D464D9C"/>
    <w:rsid w:val="0D554E2C"/>
    <w:rsid w:val="0DD650F1"/>
    <w:rsid w:val="0E5C05EF"/>
    <w:rsid w:val="0E6244F0"/>
    <w:rsid w:val="0EFA4090"/>
    <w:rsid w:val="0F6C21E1"/>
    <w:rsid w:val="0FF528C7"/>
    <w:rsid w:val="10665D6D"/>
    <w:rsid w:val="126C0F20"/>
    <w:rsid w:val="127759F8"/>
    <w:rsid w:val="128B3251"/>
    <w:rsid w:val="12D20BB5"/>
    <w:rsid w:val="12DB7694"/>
    <w:rsid w:val="13787AF2"/>
    <w:rsid w:val="138C0541"/>
    <w:rsid w:val="13BE7BF1"/>
    <w:rsid w:val="140C3806"/>
    <w:rsid w:val="141071D5"/>
    <w:rsid w:val="14184C95"/>
    <w:rsid w:val="14894833"/>
    <w:rsid w:val="14A3591A"/>
    <w:rsid w:val="14C173FE"/>
    <w:rsid w:val="15484CC5"/>
    <w:rsid w:val="15FB7FEF"/>
    <w:rsid w:val="161F1F43"/>
    <w:rsid w:val="162C167F"/>
    <w:rsid w:val="162C297A"/>
    <w:rsid w:val="16A91EF8"/>
    <w:rsid w:val="16E30D6F"/>
    <w:rsid w:val="16F14E5C"/>
    <w:rsid w:val="17031B96"/>
    <w:rsid w:val="17064187"/>
    <w:rsid w:val="17491195"/>
    <w:rsid w:val="174E17CE"/>
    <w:rsid w:val="174F79B8"/>
    <w:rsid w:val="176F6DB2"/>
    <w:rsid w:val="18707171"/>
    <w:rsid w:val="188921E7"/>
    <w:rsid w:val="18A14E7C"/>
    <w:rsid w:val="19121350"/>
    <w:rsid w:val="19190A53"/>
    <w:rsid w:val="195425EF"/>
    <w:rsid w:val="198A538A"/>
    <w:rsid w:val="19F7609E"/>
    <w:rsid w:val="1A094591"/>
    <w:rsid w:val="1A4A0CD4"/>
    <w:rsid w:val="1AB75FF9"/>
    <w:rsid w:val="1AE300CE"/>
    <w:rsid w:val="1B0D24CA"/>
    <w:rsid w:val="1B5A4977"/>
    <w:rsid w:val="1B5C39DD"/>
    <w:rsid w:val="1BA3785E"/>
    <w:rsid w:val="1C057BD0"/>
    <w:rsid w:val="1C766A1D"/>
    <w:rsid w:val="1C8D4595"/>
    <w:rsid w:val="1CDB6D62"/>
    <w:rsid w:val="1CF378EB"/>
    <w:rsid w:val="1D1C3735"/>
    <w:rsid w:val="1D714BE7"/>
    <w:rsid w:val="1E5E6E25"/>
    <w:rsid w:val="1E894AE9"/>
    <w:rsid w:val="1EA10582"/>
    <w:rsid w:val="1F6F39EA"/>
    <w:rsid w:val="1F8F4BD1"/>
    <w:rsid w:val="1FAC5CF8"/>
    <w:rsid w:val="1FE57237"/>
    <w:rsid w:val="21FA5CFD"/>
    <w:rsid w:val="225B5A3E"/>
    <w:rsid w:val="229D6FE5"/>
    <w:rsid w:val="22F95A29"/>
    <w:rsid w:val="23091E7F"/>
    <w:rsid w:val="233E450B"/>
    <w:rsid w:val="233E735A"/>
    <w:rsid w:val="2388719D"/>
    <w:rsid w:val="242B6E8C"/>
    <w:rsid w:val="245221AD"/>
    <w:rsid w:val="24845C7C"/>
    <w:rsid w:val="24B624F4"/>
    <w:rsid w:val="24E10F66"/>
    <w:rsid w:val="25AC730F"/>
    <w:rsid w:val="25C56547"/>
    <w:rsid w:val="25DB5412"/>
    <w:rsid w:val="26152A05"/>
    <w:rsid w:val="266A68EE"/>
    <w:rsid w:val="268B2FAE"/>
    <w:rsid w:val="28732F81"/>
    <w:rsid w:val="292C3F57"/>
    <w:rsid w:val="29A87E7A"/>
    <w:rsid w:val="2A472EDC"/>
    <w:rsid w:val="2B195446"/>
    <w:rsid w:val="2BB3215E"/>
    <w:rsid w:val="2BF4383E"/>
    <w:rsid w:val="2C7A2E0D"/>
    <w:rsid w:val="2CCD3458"/>
    <w:rsid w:val="2CEF6ABB"/>
    <w:rsid w:val="2D0F6240"/>
    <w:rsid w:val="2D1977F7"/>
    <w:rsid w:val="2D2B139E"/>
    <w:rsid w:val="2D40315E"/>
    <w:rsid w:val="2D545B75"/>
    <w:rsid w:val="2D797846"/>
    <w:rsid w:val="2ED2428A"/>
    <w:rsid w:val="2EE91D82"/>
    <w:rsid w:val="2F4C04C2"/>
    <w:rsid w:val="2FFE3E4D"/>
    <w:rsid w:val="301A18E2"/>
    <w:rsid w:val="301D1535"/>
    <w:rsid w:val="301F572C"/>
    <w:rsid w:val="30567D30"/>
    <w:rsid w:val="31F12AD8"/>
    <w:rsid w:val="330F0406"/>
    <w:rsid w:val="33374656"/>
    <w:rsid w:val="33590326"/>
    <w:rsid w:val="33721B98"/>
    <w:rsid w:val="33815E3E"/>
    <w:rsid w:val="33C06DA7"/>
    <w:rsid w:val="342C2E2A"/>
    <w:rsid w:val="342D7DC2"/>
    <w:rsid w:val="34305D33"/>
    <w:rsid w:val="34463E98"/>
    <w:rsid w:val="34742FED"/>
    <w:rsid w:val="34B14B25"/>
    <w:rsid w:val="34BA3111"/>
    <w:rsid w:val="34C34ACC"/>
    <w:rsid w:val="34FF003B"/>
    <w:rsid w:val="3542347D"/>
    <w:rsid w:val="356D6ABA"/>
    <w:rsid w:val="35957BEB"/>
    <w:rsid w:val="35CB714C"/>
    <w:rsid w:val="35E13E47"/>
    <w:rsid w:val="35F027C0"/>
    <w:rsid w:val="365777B7"/>
    <w:rsid w:val="36600AC4"/>
    <w:rsid w:val="36B349A1"/>
    <w:rsid w:val="37D44BCF"/>
    <w:rsid w:val="389867B1"/>
    <w:rsid w:val="38FC4583"/>
    <w:rsid w:val="39172255"/>
    <w:rsid w:val="393B143A"/>
    <w:rsid w:val="39715AE0"/>
    <w:rsid w:val="39721DB9"/>
    <w:rsid w:val="39812B34"/>
    <w:rsid w:val="39FB57F2"/>
    <w:rsid w:val="3AA5577E"/>
    <w:rsid w:val="3AB65F53"/>
    <w:rsid w:val="3ABF7BA7"/>
    <w:rsid w:val="3B080C60"/>
    <w:rsid w:val="3B31096A"/>
    <w:rsid w:val="3BF80352"/>
    <w:rsid w:val="3C095063"/>
    <w:rsid w:val="3CD8309F"/>
    <w:rsid w:val="3CDC2F10"/>
    <w:rsid w:val="3D3D3216"/>
    <w:rsid w:val="3DA94DD2"/>
    <w:rsid w:val="3DEC0A27"/>
    <w:rsid w:val="3F06531E"/>
    <w:rsid w:val="3FA97F57"/>
    <w:rsid w:val="40172CCD"/>
    <w:rsid w:val="404F68C9"/>
    <w:rsid w:val="40D043A1"/>
    <w:rsid w:val="415B6DBE"/>
    <w:rsid w:val="41846F57"/>
    <w:rsid w:val="41BF1B05"/>
    <w:rsid w:val="41E42747"/>
    <w:rsid w:val="425C47DF"/>
    <w:rsid w:val="42615C1A"/>
    <w:rsid w:val="42BC016E"/>
    <w:rsid w:val="42D3059B"/>
    <w:rsid w:val="42D57B04"/>
    <w:rsid w:val="42E737E9"/>
    <w:rsid w:val="431B4871"/>
    <w:rsid w:val="434C3EA4"/>
    <w:rsid w:val="4359067E"/>
    <w:rsid w:val="43695CA5"/>
    <w:rsid w:val="43697670"/>
    <w:rsid w:val="43875283"/>
    <w:rsid w:val="43F402AE"/>
    <w:rsid w:val="43FF11DD"/>
    <w:rsid w:val="441A12F6"/>
    <w:rsid w:val="441D5440"/>
    <w:rsid w:val="447E5187"/>
    <w:rsid w:val="44C93F30"/>
    <w:rsid w:val="44D20BF3"/>
    <w:rsid w:val="453E2ABC"/>
    <w:rsid w:val="455B1C89"/>
    <w:rsid w:val="45657951"/>
    <w:rsid w:val="4579615F"/>
    <w:rsid w:val="468106FD"/>
    <w:rsid w:val="468D1294"/>
    <w:rsid w:val="472637A7"/>
    <w:rsid w:val="47F840F6"/>
    <w:rsid w:val="481B3335"/>
    <w:rsid w:val="483B364D"/>
    <w:rsid w:val="486212BF"/>
    <w:rsid w:val="48882927"/>
    <w:rsid w:val="48E1714C"/>
    <w:rsid w:val="49467D28"/>
    <w:rsid w:val="498D31A1"/>
    <w:rsid w:val="49CF3448"/>
    <w:rsid w:val="49E14F29"/>
    <w:rsid w:val="4A5C2250"/>
    <w:rsid w:val="4A77763C"/>
    <w:rsid w:val="4AE72313"/>
    <w:rsid w:val="4B152340"/>
    <w:rsid w:val="4B1D5586"/>
    <w:rsid w:val="4B41433D"/>
    <w:rsid w:val="4B7C597F"/>
    <w:rsid w:val="4B7C7600"/>
    <w:rsid w:val="4C6B6101"/>
    <w:rsid w:val="4C912EAC"/>
    <w:rsid w:val="4C98482B"/>
    <w:rsid w:val="4CAE37E9"/>
    <w:rsid w:val="4CE94847"/>
    <w:rsid w:val="4CE95399"/>
    <w:rsid w:val="4CF73148"/>
    <w:rsid w:val="4DAD7EAE"/>
    <w:rsid w:val="4E02483A"/>
    <w:rsid w:val="4E8F764A"/>
    <w:rsid w:val="4EE74D90"/>
    <w:rsid w:val="4EF317B7"/>
    <w:rsid w:val="4F253C43"/>
    <w:rsid w:val="4F6A3541"/>
    <w:rsid w:val="4F740C99"/>
    <w:rsid w:val="4F877394"/>
    <w:rsid w:val="4FF80A20"/>
    <w:rsid w:val="500C6561"/>
    <w:rsid w:val="50CA6717"/>
    <w:rsid w:val="50D35CCA"/>
    <w:rsid w:val="512A18AC"/>
    <w:rsid w:val="513F782A"/>
    <w:rsid w:val="51893328"/>
    <w:rsid w:val="51D6252C"/>
    <w:rsid w:val="521A1002"/>
    <w:rsid w:val="526660C4"/>
    <w:rsid w:val="52D23671"/>
    <w:rsid w:val="53A44293"/>
    <w:rsid w:val="53F77254"/>
    <w:rsid w:val="53FF31DB"/>
    <w:rsid w:val="54374D91"/>
    <w:rsid w:val="555D42DE"/>
    <w:rsid w:val="556265AB"/>
    <w:rsid w:val="556A27EC"/>
    <w:rsid w:val="55B83C46"/>
    <w:rsid w:val="55CA71B9"/>
    <w:rsid w:val="56134DB5"/>
    <w:rsid w:val="56530F5D"/>
    <w:rsid w:val="56F117DD"/>
    <w:rsid w:val="56FE0799"/>
    <w:rsid w:val="5756498D"/>
    <w:rsid w:val="575E0476"/>
    <w:rsid w:val="5796699A"/>
    <w:rsid w:val="57FA6B52"/>
    <w:rsid w:val="589B78DE"/>
    <w:rsid w:val="590A624B"/>
    <w:rsid w:val="59354509"/>
    <w:rsid w:val="59B63CEB"/>
    <w:rsid w:val="59DB39C3"/>
    <w:rsid w:val="5A2C21F1"/>
    <w:rsid w:val="5A941948"/>
    <w:rsid w:val="5AD67A3D"/>
    <w:rsid w:val="5AE16BDE"/>
    <w:rsid w:val="5B3A6C1A"/>
    <w:rsid w:val="5B401D9C"/>
    <w:rsid w:val="5C6C0FCA"/>
    <w:rsid w:val="5CB2553C"/>
    <w:rsid w:val="5CD81AAA"/>
    <w:rsid w:val="5CDC5D20"/>
    <w:rsid w:val="5CF9633C"/>
    <w:rsid w:val="5D916BCF"/>
    <w:rsid w:val="5E1448AA"/>
    <w:rsid w:val="5E1941EC"/>
    <w:rsid w:val="5E856373"/>
    <w:rsid w:val="5F144DB9"/>
    <w:rsid w:val="5F1E5196"/>
    <w:rsid w:val="5F4B0B7B"/>
    <w:rsid w:val="5FE74FD8"/>
    <w:rsid w:val="602630E7"/>
    <w:rsid w:val="602E089D"/>
    <w:rsid w:val="608461E2"/>
    <w:rsid w:val="60861408"/>
    <w:rsid w:val="60EA6962"/>
    <w:rsid w:val="624D4B1A"/>
    <w:rsid w:val="62965B0B"/>
    <w:rsid w:val="630B2EF2"/>
    <w:rsid w:val="633178FD"/>
    <w:rsid w:val="63387E58"/>
    <w:rsid w:val="635D0647"/>
    <w:rsid w:val="63F610DE"/>
    <w:rsid w:val="63F66498"/>
    <w:rsid w:val="646E241E"/>
    <w:rsid w:val="653F1A9B"/>
    <w:rsid w:val="656B02DE"/>
    <w:rsid w:val="65997A0C"/>
    <w:rsid w:val="65B01F28"/>
    <w:rsid w:val="65C47080"/>
    <w:rsid w:val="65F600EB"/>
    <w:rsid w:val="66086FDD"/>
    <w:rsid w:val="66124991"/>
    <w:rsid w:val="6629319F"/>
    <w:rsid w:val="665026E5"/>
    <w:rsid w:val="669F5B98"/>
    <w:rsid w:val="66BD40F7"/>
    <w:rsid w:val="671649F6"/>
    <w:rsid w:val="67BF0A8E"/>
    <w:rsid w:val="67CB6900"/>
    <w:rsid w:val="67CE65D2"/>
    <w:rsid w:val="67F76F87"/>
    <w:rsid w:val="68281CC2"/>
    <w:rsid w:val="68F44A9B"/>
    <w:rsid w:val="692E4D84"/>
    <w:rsid w:val="6A106E86"/>
    <w:rsid w:val="6A1231B1"/>
    <w:rsid w:val="6A1C5DDE"/>
    <w:rsid w:val="6A3819A2"/>
    <w:rsid w:val="6AEB1A20"/>
    <w:rsid w:val="6B266C60"/>
    <w:rsid w:val="6B2A06EC"/>
    <w:rsid w:val="6BF74AFC"/>
    <w:rsid w:val="6C061729"/>
    <w:rsid w:val="6C7F4402"/>
    <w:rsid w:val="6C9C1458"/>
    <w:rsid w:val="6CA4030D"/>
    <w:rsid w:val="6CF67716"/>
    <w:rsid w:val="6DAE1443"/>
    <w:rsid w:val="6DE73EC5"/>
    <w:rsid w:val="6E0B0643"/>
    <w:rsid w:val="6E246697"/>
    <w:rsid w:val="6E317BB3"/>
    <w:rsid w:val="6E9F0C4B"/>
    <w:rsid w:val="6EC325CB"/>
    <w:rsid w:val="6F586689"/>
    <w:rsid w:val="70221C74"/>
    <w:rsid w:val="704B2308"/>
    <w:rsid w:val="70916BEF"/>
    <w:rsid w:val="70A10E72"/>
    <w:rsid w:val="70AB47EA"/>
    <w:rsid w:val="70D00D03"/>
    <w:rsid w:val="70D5214D"/>
    <w:rsid w:val="70E17BCD"/>
    <w:rsid w:val="717A0F1E"/>
    <w:rsid w:val="72570559"/>
    <w:rsid w:val="72631963"/>
    <w:rsid w:val="729A02E0"/>
    <w:rsid w:val="72E53B1E"/>
    <w:rsid w:val="72F7030F"/>
    <w:rsid w:val="740438C9"/>
    <w:rsid w:val="74870DF9"/>
    <w:rsid w:val="74931DDC"/>
    <w:rsid w:val="74982603"/>
    <w:rsid w:val="74A02152"/>
    <w:rsid w:val="74C77E84"/>
    <w:rsid w:val="74D51996"/>
    <w:rsid w:val="74D67325"/>
    <w:rsid w:val="74DC4AE7"/>
    <w:rsid w:val="754825C1"/>
    <w:rsid w:val="754B0650"/>
    <w:rsid w:val="7578547E"/>
    <w:rsid w:val="759A6784"/>
    <w:rsid w:val="75F75951"/>
    <w:rsid w:val="760A052C"/>
    <w:rsid w:val="765830D9"/>
    <w:rsid w:val="765C76F6"/>
    <w:rsid w:val="766F423E"/>
    <w:rsid w:val="76DB0DCF"/>
    <w:rsid w:val="770A1766"/>
    <w:rsid w:val="771147F0"/>
    <w:rsid w:val="77524C1D"/>
    <w:rsid w:val="77981BB1"/>
    <w:rsid w:val="788C48F1"/>
    <w:rsid w:val="79164340"/>
    <w:rsid w:val="79713CAA"/>
    <w:rsid w:val="7A6201EE"/>
    <w:rsid w:val="7AB87334"/>
    <w:rsid w:val="7B6E6D19"/>
    <w:rsid w:val="7BC91AB3"/>
    <w:rsid w:val="7C1A5EF5"/>
    <w:rsid w:val="7C5F6639"/>
    <w:rsid w:val="7C7B6162"/>
    <w:rsid w:val="7D2D31B2"/>
    <w:rsid w:val="7D4B5F5F"/>
    <w:rsid w:val="7D9E3EAA"/>
    <w:rsid w:val="7DA63EEC"/>
    <w:rsid w:val="7E147100"/>
    <w:rsid w:val="7E68119A"/>
    <w:rsid w:val="7F1F522F"/>
    <w:rsid w:val="7F4729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7">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spacing w:before="100" w:beforeAutospacing="1" w:after="100" w:afterAutospacing="1"/>
      <w:jc w:val="left"/>
    </w:pPr>
    <w:rPr>
      <w:rFonts w:hint="default"/>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none"/>
    </w:rPr>
  </w:style>
  <w:style w:type="character" w:styleId="9">
    <w:name w:val="Hyperlink"/>
    <w:basedOn w:val="7"/>
    <w:qFormat/>
    <w:uiPriority w:val="0"/>
    <w:rPr>
      <w:u w:val="single"/>
    </w:rPr>
  </w:style>
  <w:style w:type="table" w:customStyle="1" w:styleId="10">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11">
    <w:name w:val="标题 11"/>
    <w:next w:val="12"/>
    <w:qFormat/>
    <w:uiPriority w:val="0"/>
    <w:pPr>
      <w:keepNext/>
      <w:keepLines/>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40" w:beforeAutospacing="0" w:after="330" w:afterAutospacing="0" w:line="578" w:lineRule="auto"/>
      <w:ind w:left="0" w:right="0" w:firstLine="0"/>
      <w:jc w:val="both"/>
      <w:outlineLvl w:val="0"/>
    </w:pPr>
    <w:rPr>
      <w:rFonts w:hint="default" w:ascii="Times New Roman" w:hAnsi="Times New Roman" w:eastAsia="Arial Unicode MS" w:cs="Arial Unicode MS"/>
      <w:b/>
      <w:bCs/>
      <w:color w:val="000000"/>
      <w:spacing w:val="0"/>
      <w:w w:val="100"/>
      <w:kern w:val="44"/>
      <w:position w:val="0"/>
      <w:sz w:val="44"/>
      <w:szCs w:val="44"/>
      <w:u w:val="none" w:color="000000"/>
      <w:vertAlign w:val="baseline"/>
      <w:lang w:val="en-US"/>
    </w:rPr>
  </w:style>
  <w:style w:type="paragraph" w:customStyle="1" w:styleId="12">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default" w:ascii="Times New Roman" w:hAnsi="Times New Roman" w:eastAsia="Arial Unicode MS" w:cs="Arial Unicode MS"/>
      <w:color w:val="000000"/>
      <w:spacing w:val="0"/>
      <w:w w:val="100"/>
      <w:kern w:val="2"/>
      <w:position w:val="0"/>
      <w:sz w:val="21"/>
      <w:szCs w:val="21"/>
      <w:u w:val="none" w:color="000000"/>
      <w:vertAlign w:val="baseline"/>
      <w:lang w:val="en-US"/>
    </w:rPr>
  </w:style>
  <w:style w:type="paragraph" w:customStyle="1" w:styleId="13">
    <w:name w:val="页脚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2"/>
      <w:position w:val="0"/>
      <w:sz w:val="18"/>
      <w:szCs w:val="18"/>
      <w:u w:val="none" w:color="000000"/>
      <w:vertAlign w:val="baseline"/>
      <w:lang w:val="en-US"/>
    </w:rPr>
  </w:style>
  <w:style w:type="paragraph" w:customStyle="1" w:styleId="14">
    <w:name w:val="正文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24"/>
      <w:szCs w:val="24"/>
      <w:u w:val="none" w:color="000000"/>
      <w:vertAlign w:val="baseline"/>
      <w:lang w:val="en-US"/>
    </w:rPr>
  </w:style>
  <w:style w:type="paragraph" w:customStyle="1" w:styleId="15">
    <w:name w:val="小标题（红色）"/>
    <w:qFormat/>
    <w:uiPriority w:val="0"/>
    <w:pPr>
      <w:keepNext/>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1"/>
    </w:pPr>
    <w:rPr>
      <w:rFonts w:ascii="Helvetica Neue" w:hAnsi="Helvetica Neue" w:eastAsia="Arial Unicode MS" w:cs="Arial Unicode MS"/>
      <w:b/>
      <w:bCs/>
      <w:color w:val="ED220B"/>
      <w:spacing w:val="0"/>
      <w:w w:val="100"/>
      <w:kern w:val="0"/>
      <w:position w:val="0"/>
      <w:sz w:val="32"/>
      <w:szCs w:val="32"/>
      <w:u w:val="none" w:color="ED220B"/>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4600</Words>
  <Characters>4876</Characters>
  <TotalTime>36</TotalTime>
  <ScaleCrop>false</ScaleCrop>
  <LinksUpToDate>false</LinksUpToDate>
  <CharactersWithSpaces>5257</CharactersWithSpaces>
  <Application>WPS Office_11.1.0.11691_F1E327BC-269C-435d-A152-05C5408002CA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2019-02-11T14:02:00Z</dcterms:created>
  <dc:creator>Administrator</dc:creator>
  <cp:lastModifiedBy>16685017888</cp:lastModifiedBy>
  <cp:lastPrinted>2022-05-06T09:45:58Z</cp:lastPrinted>
  <dcterms:modified xsi:type="dcterms:W3CDTF">2022-05-06T10:05:11Z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7B48A228F8374B12BF031F0A052790CE</vt:lpwstr>
  </property>
</Properties>
</file>