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声      明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一、本价格评估报告依据中国价格协会发布的价格鉴证评估执业规范和职业道德准则编制。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委托人或者其他价格评估报告使用人应当按照法律、行政法规规定及本价格评估报告载明的使用范围使用价格评估报告，委托人或者其他价格评估报告使用人违反前述规定使用价格评估报告的，本价格鉴证评估机构及价格鉴证师不承担责任。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本价格鉴证评估机构及价格鉴证师提示价格评估报告使用人应当正确理解评估结论，评估结论不等同于评估对象可实现价格，评估结论不应当被认为是对评估对象可实现价格的保证。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三、委托人和其他相关当事人依法对其提供资料的真实性、完整性、合法性负责。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四、本价格鉴证评估机构及价格鉴证师遵守法律、行政法规和价格鉴证评估执业规范，坚持独立、客观和公正的原则，并对所出具的价格评估报告依法承担责任。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b/>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五、本价格鉴证评估机构及价格鉴证师与价格评估报告中的评估对象没有现存或者预期的利益关系；与相关当事人没有现存或者预期的利益关系，对相关当事人不存在偏见。</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2249" w:firstLineChars="700"/>
        <w:jc w:val="left"/>
        <w:textAlignment w:val="auto"/>
        <w:rPr>
          <w:rFonts w:hint="eastAsia" w:ascii="仿宋" w:hAnsi="仿宋" w:eastAsia="仿宋" w:cs="仿宋"/>
          <w:b/>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2249" w:firstLineChars="700"/>
        <w:jc w:val="left"/>
        <w:textAlignment w:val="auto"/>
        <w:rPr>
          <w:rFonts w:hint="eastAsia" w:ascii="仿宋" w:hAnsi="仿宋" w:eastAsia="仿宋" w:cs="仿宋"/>
          <w:b/>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2249" w:firstLineChars="700"/>
        <w:jc w:val="left"/>
        <w:textAlignment w:val="auto"/>
        <w:rPr>
          <w:rFonts w:hint="eastAsia" w:ascii="仿宋" w:hAnsi="仿宋" w:eastAsia="仿宋" w:cs="仿宋"/>
          <w:b/>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534" w:firstLineChars="11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价格评估报告摘要</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贵州世强价格评估有限公司（以下简称：本公司）接受贵州省黔西市人民法院的委托，对彭中群名下位于贵州省黔西市里沙大道里沙综合农贸超市1幢1单元13层7号房屋市场价格完成了必要的评估程序，按价格鉴证评估委托合同的约定，出具价格评估报告。现将价格评估情况及评估结果报告摘要如下：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一、委托人和其他评估报告使用人：委托人为贵州省黔西市人民法院。价格鉴证评估委托合同约定的其他评估报告使用人为除委托人外的国家法律、法规规定为实现本次评估目的相关经济行为而需要使用本报告的其他评估报告使用人。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二、被评估单位：彭中群名下位于贵州省黔西市里沙大道里沙综合农贸超市1幢1单元13层7号房屋</w:t>
      </w:r>
      <w:r>
        <w:rPr>
          <w:rFonts w:hint="eastAsia" w:ascii="仿宋" w:hAnsi="仿宋" w:eastAsia="仿宋" w:cs="仿宋"/>
          <w:kern w:val="2"/>
          <w:sz w:val="32"/>
          <w:szCs w:val="32"/>
          <w:lang w:eastAsia="zh-CN"/>
        </w:rPr>
        <w:t>，</w:t>
      </w:r>
      <w:r>
        <w:rPr>
          <w:rFonts w:hint="eastAsia" w:ascii="仿宋" w:hAnsi="仿宋" w:eastAsia="仿宋" w:cs="仿宋"/>
          <w:kern w:val="2"/>
          <w:sz w:val="32"/>
          <w:szCs w:val="32"/>
          <w:lang w:val="en-US" w:eastAsia="zh-CN"/>
        </w:rPr>
        <w:t>建筑面积128.92</w:t>
      </w:r>
      <w:r>
        <w:rPr>
          <w:rFonts w:hint="eastAsia" w:ascii="宋体" w:hAnsi="宋体" w:eastAsia="宋体" w:cs="宋体"/>
          <w:kern w:val="2"/>
          <w:sz w:val="32"/>
          <w:szCs w:val="32"/>
          <w:lang w:val="en-US" w:eastAsia="zh-CN"/>
        </w:rPr>
        <w:t>㎡</w:t>
      </w:r>
      <w:r>
        <w:rPr>
          <w:rFonts w:hint="eastAsia" w:ascii="仿宋" w:hAnsi="仿宋" w:eastAsia="仿宋" w:cs="仿宋"/>
          <w:kern w:val="2"/>
          <w:sz w:val="32"/>
          <w:szCs w:val="32"/>
          <w:lang w:eastAsia="zh-CN"/>
        </w:rPr>
        <w:t>。</w:t>
      </w:r>
      <w:r>
        <w:rPr>
          <w:rFonts w:hint="eastAsia" w:ascii="仿宋" w:hAnsi="仿宋" w:eastAsia="仿宋" w:cs="仿宋"/>
          <w:color w:val="000000"/>
          <w:kern w:val="0"/>
          <w:sz w:val="32"/>
          <w:szCs w:val="32"/>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三、价格评估目的：为委托方审理案件提供价格参考依据。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四、价格评估对象和范围：彭中群名下位于贵州省黔西市里沙大道里沙综合农贸超市1幢1单元13层7号房屋</w:t>
      </w:r>
      <w:r>
        <w:rPr>
          <w:rFonts w:hint="eastAsia" w:ascii="仿宋" w:hAnsi="仿宋" w:eastAsia="仿宋" w:cs="仿宋"/>
          <w:kern w:val="2"/>
          <w:sz w:val="32"/>
          <w:szCs w:val="32"/>
        </w:rPr>
        <w:t>一套的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color w:val="000000"/>
          <w:kern w:val="0"/>
          <w:sz w:val="32"/>
          <w:szCs w:val="32"/>
          <w:lang w:val="en-US" w:eastAsia="zh-CN" w:bidi="ar"/>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五、价格类型：市场价格。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六、价格评估基准日及评估结论使用有效期：评估基准日为2022年4月21日的市场价格，评估结论的有效使用期为一年，即自2022年4月21日至2023年4月20日。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七、价格评估方法：市场法。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000000"/>
          <w:kern w:val="0"/>
          <w:sz w:val="32"/>
          <w:szCs w:val="32"/>
          <w:lang w:val="en-US" w:eastAsia="zh-CN" w:bidi="ar"/>
        </w:rPr>
        <w:t>八、价格评估结论:委估对象彭中群名下位于贵州省黔西市里沙大道里沙综合农贸超市1幢1单元13层7号房屋</w:t>
      </w:r>
      <w:r>
        <w:rPr>
          <w:rFonts w:hint="eastAsia" w:ascii="仿宋" w:hAnsi="仿宋" w:eastAsia="仿宋" w:cs="仿宋"/>
          <w:kern w:val="2"/>
          <w:sz w:val="32"/>
          <w:szCs w:val="32"/>
        </w:rPr>
        <w:t>一套的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color w:val="000000"/>
          <w:kern w:val="0"/>
          <w:sz w:val="32"/>
          <w:szCs w:val="32"/>
          <w:lang w:val="en-US" w:eastAsia="zh-CN" w:bidi="ar"/>
        </w:rPr>
        <w:t>在评估基准日的市场价格为人民币大写</w:t>
      </w:r>
      <w:r>
        <w:rPr>
          <w:rFonts w:hint="eastAsia" w:ascii="仿宋" w:hAnsi="仿宋" w:eastAsia="仿宋" w:cs="仿宋"/>
          <w:b/>
          <w:bCs/>
          <w:color w:val="000000"/>
          <w:kern w:val="0"/>
          <w:sz w:val="32"/>
          <w:szCs w:val="32"/>
          <w:lang w:val="en-US" w:eastAsia="zh-CN" w:bidi="ar"/>
        </w:rPr>
        <w:t>肆拾叁万肆仟贰佰元整（小写：¥434,200</w:t>
      </w:r>
      <w:r>
        <w:rPr>
          <w:rFonts w:hint="eastAsia" w:ascii="仿宋" w:hAnsi="仿宋" w:eastAsia="仿宋" w:cs="仿宋"/>
          <w:b/>
          <w:bCs w:val="0"/>
          <w:i w:val="0"/>
          <w:caps w:val="0"/>
          <w:color w:val="262626" w:themeColor="text1" w:themeTint="D9"/>
          <w:spacing w:val="0"/>
          <w:kern w:val="0"/>
          <w:sz w:val="32"/>
          <w:szCs w:val="32"/>
          <w:shd w:val="clear" w:color="auto" w:fill="FFFFFF"/>
          <w:lang w:val="en-US" w:eastAsia="zh-CN" w:bidi="ar"/>
          <w14:textFill>
            <w14:solidFill>
              <w14:schemeClr w14:val="tx1">
                <w14:lumMod w14:val="85000"/>
                <w14:lumOff w14:val="15000"/>
              </w14:schemeClr>
            </w14:solidFill>
          </w14:textFill>
        </w:rPr>
        <w:t>元</w:t>
      </w:r>
      <w:r>
        <w:rPr>
          <w:rFonts w:hint="eastAsia" w:ascii="仿宋" w:hAnsi="仿宋" w:eastAsia="仿宋" w:cs="仿宋"/>
          <w:b/>
          <w:bCs/>
          <w:color w:val="333333"/>
          <w:kern w:val="0"/>
          <w:sz w:val="32"/>
          <w:szCs w:val="32"/>
          <w:shd w:val="clear" w:color="auto" w:fill="FFFFFF"/>
          <w:lang w:val="en-US" w:eastAsia="zh-CN" w:bidi="ar"/>
        </w:rPr>
        <w:t>），评估单价3,368.00元/㎡。</w:t>
      </w:r>
      <w:r>
        <w:rPr>
          <w:rFonts w:hint="eastAsia" w:ascii="仿宋" w:hAnsi="仿宋" w:eastAsia="仿宋" w:cs="仿宋"/>
          <w:color w:val="333333"/>
          <w:kern w:val="0"/>
          <w:sz w:val="32"/>
          <w:szCs w:val="32"/>
          <w:shd w:val="clear" w:color="auto" w:fill="FFFFFF"/>
          <w:lang w:val="en-US" w:eastAsia="zh-CN" w:bidi="ar"/>
        </w:rPr>
        <w:t xml:space="preserve">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FF0000"/>
          <w:sz w:val="32"/>
          <w:szCs w:val="32"/>
          <w:lang w:eastAsia="zh-CN"/>
        </w:rPr>
      </w:pPr>
      <w:r>
        <w:rPr>
          <w:rFonts w:hint="eastAsia" w:ascii="仿宋" w:hAnsi="仿宋" w:eastAsia="仿宋" w:cs="仿宋"/>
          <w:b w:val="0"/>
          <w:bCs/>
          <w:color w:val="000000"/>
          <w:kern w:val="0"/>
          <w:sz w:val="32"/>
          <w:szCs w:val="32"/>
          <w:lang w:val="en-US" w:eastAsia="zh-CN" w:bidi="ar"/>
        </w:rPr>
        <w:t>以上内容摘自评估报告正文，欲了解本评估项目的详细情况、合理理解评估结论，应当阅读评估报告正文</w:t>
      </w:r>
      <w:r>
        <w:rPr>
          <w:rFonts w:hint="eastAsia" w:ascii="仿宋" w:hAnsi="仿宋" w:eastAsia="仿宋" w:cs="仿宋"/>
          <w:b/>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 xml:space="preserve">  </w:t>
      </w: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r>
        <w:rPr>
          <w:rFonts w:hint="eastAsia" w:ascii="宋体" w:hAnsi="宋体" w:eastAsia="宋体" w:cs="宋体"/>
          <w:b/>
          <w:bCs/>
          <w:color w:val="FF2600"/>
          <w:sz w:val="52"/>
          <w:szCs w:val="52"/>
          <w:u w:color="FF2600"/>
          <w:rtl w:val="0"/>
          <w:lang w:val="en-US" w:eastAsia="zh-CN"/>
        </w:rPr>
        <w:t xml:space="preserve">      </w:t>
      </w: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both"/>
        <w:rPr>
          <w:rFonts w:hint="eastAsia" w:ascii="宋体" w:hAnsi="宋体" w:eastAsia="宋体" w:cs="宋体"/>
          <w:b/>
          <w:bCs/>
          <w:color w:val="FF2600"/>
          <w:sz w:val="52"/>
          <w:szCs w:val="52"/>
          <w:u w:color="FF2600"/>
          <w:rtl w:val="0"/>
          <w:lang w:val="en-US" w:eastAsia="zh-CN"/>
        </w:rPr>
      </w:pPr>
    </w:p>
    <w:p>
      <w:pPr>
        <w:pStyle w:val="12"/>
        <w:framePr w:wrap="auto" w:vAnchor="margin" w:hAnchor="text" w:yAlign="inline"/>
        <w:spacing w:line="288" w:lineRule="auto"/>
        <w:jc w:val="center"/>
        <w:rPr>
          <w:rFonts w:hint="eastAsia" w:ascii="宋体" w:hAnsi="宋体" w:eastAsia="宋体" w:cs="宋体"/>
          <w:b/>
          <w:bCs/>
          <w:color w:val="FF2600"/>
          <w:sz w:val="52"/>
          <w:szCs w:val="52"/>
          <w:u w:color="FF2600"/>
          <w:rtl w:val="0"/>
          <w:lang w:val="zh-TW" w:eastAsia="zh-CN"/>
        </w:rPr>
      </w:pPr>
    </w:p>
    <w:p>
      <w:pPr>
        <w:pStyle w:val="12"/>
        <w:framePr w:wrap="auto" w:vAnchor="margin" w:hAnchor="text" w:yAlign="inline"/>
        <w:spacing w:line="288" w:lineRule="auto"/>
        <w:jc w:val="center"/>
        <w:rPr>
          <w:rFonts w:hint="eastAsia" w:ascii="宋体" w:hAnsi="宋体" w:eastAsia="宋体" w:cs="宋体"/>
          <w:b/>
          <w:bCs/>
          <w:color w:val="FF2600"/>
          <w:sz w:val="52"/>
          <w:szCs w:val="52"/>
          <w:u w:color="FF2600"/>
          <w:rtl w:val="0"/>
          <w:lang w:val="zh-TW" w:eastAsia="zh-CN"/>
        </w:rPr>
      </w:pPr>
      <w:r>
        <w:rPr>
          <w:rFonts w:hint="eastAsia" w:ascii="宋体" w:hAnsi="宋体" w:eastAsia="宋体" w:cs="宋体"/>
          <w:b/>
          <w:bCs/>
          <w:color w:val="FF2600"/>
          <w:sz w:val="52"/>
          <w:szCs w:val="52"/>
          <w:u w:color="FF2600"/>
          <w:rtl w:val="0"/>
          <w:lang w:val="zh-TW" w:eastAsia="zh-CN"/>
        </w:rPr>
        <w:t>贵州世强</w:t>
      </w:r>
      <w:r>
        <w:rPr>
          <w:rFonts w:ascii="宋体" w:hAnsi="宋体" w:eastAsia="宋体" w:cs="宋体"/>
          <w:b/>
          <w:bCs/>
          <w:color w:val="FF2600"/>
          <w:sz w:val="52"/>
          <w:szCs w:val="52"/>
          <w:u w:color="FF2600"/>
          <w:rtl w:val="0"/>
          <w:lang w:val="zh-TW" w:eastAsia="zh-TW"/>
        </w:rPr>
        <w:t>价格评估</w:t>
      </w:r>
      <w:r>
        <w:rPr>
          <w:rFonts w:hint="eastAsia" w:ascii="宋体" w:hAnsi="宋体" w:eastAsia="宋体" w:cs="宋体"/>
          <w:b/>
          <w:bCs/>
          <w:color w:val="FF2600"/>
          <w:sz w:val="52"/>
          <w:szCs w:val="52"/>
          <w:u w:color="FF2600"/>
          <w:rtl w:val="0"/>
          <w:lang w:val="zh-TW" w:eastAsia="zh-CN"/>
        </w:rPr>
        <w:t>有限公司</w:t>
      </w:r>
    </w:p>
    <w:p>
      <w:pPr>
        <w:pStyle w:val="12"/>
        <w:framePr w:wrap="auto" w:vAnchor="margin" w:hAnchor="text" w:yAlign="inline"/>
        <w:spacing w:line="288" w:lineRule="auto"/>
        <w:jc w:val="center"/>
        <w:rPr>
          <w:rFonts w:hint="default" w:ascii="宋体" w:hAnsi="宋体" w:eastAsia="宋体" w:cs="宋体"/>
          <w:sz w:val="32"/>
          <w:szCs w:val="32"/>
          <w:u w:val="none" w:color="auto"/>
          <w:lang w:val="en-US" w:eastAsia="zh-CN"/>
        </w:rPr>
      </w:pPr>
      <w:r>
        <w:rPr>
          <w:rFonts w:ascii="宋体" w:hAnsi="宋体" w:eastAsia="宋体" w:cs="宋体"/>
          <w:sz w:val="32"/>
          <w:szCs w:val="32"/>
          <w:u w:val="single" w:color="auto"/>
          <w:rtl w:val="0"/>
          <w:lang w:val="zh-TW" w:eastAsia="zh-TW"/>
        </w:rPr>
        <w:t>贵世价评字（20</w:t>
      </w:r>
      <w:r>
        <w:rPr>
          <w:rFonts w:hint="eastAsia" w:ascii="宋体" w:hAnsi="宋体" w:eastAsia="宋体" w:cs="宋体"/>
          <w:sz w:val="32"/>
          <w:szCs w:val="32"/>
          <w:u w:val="single" w:color="auto"/>
          <w:rtl w:val="0"/>
          <w:lang w:val="en-US" w:eastAsia="zh-CN"/>
        </w:rPr>
        <w:t>22</w:t>
      </w:r>
      <w:r>
        <w:rPr>
          <w:rFonts w:ascii="宋体" w:hAnsi="宋体" w:eastAsia="宋体" w:cs="宋体"/>
          <w:sz w:val="32"/>
          <w:szCs w:val="32"/>
          <w:u w:val="single" w:color="auto"/>
          <w:rtl w:val="0"/>
          <w:lang w:val="zh-TW" w:eastAsia="zh-TW"/>
        </w:rPr>
        <w:t>）第</w:t>
      </w:r>
      <w:r>
        <w:rPr>
          <w:rFonts w:ascii="宋体" w:hAnsi="宋体" w:eastAsia="宋体" w:cs="宋体"/>
          <w:sz w:val="32"/>
          <w:szCs w:val="32"/>
          <w:u w:val="single" w:color="auto"/>
          <w:rtl w:val="0"/>
          <w:lang w:val="en-US"/>
        </w:rPr>
        <w:t xml:space="preserve"> </w:t>
      </w:r>
      <w:r>
        <w:rPr>
          <w:rFonts w:hint="eastAsia" w:ascii="宋体" w:hAnsi="宋体" w:eastAsia="宋体" w:cs="宋体"/>
          <w:sz w:val="32"/>
          <w:szCs w:val="32"/>
          <w:u w:val="single" w:color="auto"/>
          <w:rtl w:val="0"/>
          <w:lang w:val="en-US" w:eastAsia="zh-CN"/>
        </w:rPr>
        <w:t>0</w:t>
      </w:r>
      <w:r>
        <w:rPr>
          <w:rFonts w:hint="eastAsia" w:ascii="宋体" w:hAnsi="宋体" w:eastAsia="宋体" w:cs="宋体"/>
          <w:sz w:val="32"/>
          <w:szCs w:val="32"/>
          <w:highlight w:val="none"/>
          <w:u w:val="single" w:color="auto"/>
          <w:rtl w:val="0"/>
          <w:lang w:val="en-US" w:eastAsia="zh-CN"/>
        </w:rPr>
        <w:t>27</w:t>
      </w:r>
      <w:r>
        <w:rPr>
          <w:rFonts w:ascii="宋体" w:hAnsi="宋体" w:eastAsia="宋体" w:cs="宋体"/>
          <w:sz w:val="32"/>
          <w:szCs w:val="32"/>
          <w:u w:val="single" w:color="auto"/>
          <w:rtl w:val="0"/>
          <w:lang w:val="zh-TW" w:eastAsia="zh-TW"/>
        </w:rPr>
        <w:t>号</w:t>
      </w:r>
    </w:p>
    <w:p>
      <w:pPr>
        <w:pStyle w:val="2"/>
        <w:spacing w:before="200" w:after="200" w:line="288" w:lineRule="auto"/>
        <w:jc w:val="center"/>
        <w:rPr>
          <w:rFonts w:hint="eastAsia" w:ascii="宋体" w:hAnsi="宋体" w:eastAsia="宋体" w:cs="宋体"/>
          <w:sz w:val="36"/>
          <w:szCs w:val="36"/>
          <w:lang w:val="en-US" w:eastAsia="zh-CN"/>
        </w:rPr>
      </w:pPr>
      <w:r>
        <w:rPr>
          <w:rFonts w:hint="eastAsia" w:ascii="宋体" w:hAnsi="宋体" w:eastAsia="宋体" w:cs="宋体"/>
          <w:sz w:val="32"/>
          <w:szCs w:val="32"/>
        </w:rPr>
        <w:t>对</w:t>
      </w:r>
      <w:r>
        <w:rPr>
          <w:rFonts w:hint="eastAsia" w:ascii="宋体" w:hAnsi="宋体" w:eastAsia="宋体" w:cs="宋体"/>
          <w:color w:val="000000"/>
          <w:kern w:val="0"/>
          <w:sz w:val="32"/>
          <w:szCs w:val="32"/>
          <w:lang w:val="en-US" w:eastAsia="zh-CN" w:bidi="ar"/>
        </w:rPr>
        <w:t>彭中群名下位于黔西市里沙大道里沙综合农贸超市房屋</w:t>
      </w:r>
      <w:r>
        <w:rPr>
          <w:rFonts w:hint="eastAsia" w:ascii="宋体" w:hAnsi="宋体" w:eastAsia="宋体" w:cs="宋体"/>
          <w:kern w:val="2"/>
          <w:sz w:val="32"/>
          <w:szCs w:val="32"/>
        </w:rPr>
        <w:t>一套</w:t>
      </w:r>
      <w:r>
        <w:rPr>
          <w:rFonts w:hint="eastAsia" w:ascii="宋体" w:hAnsi="宋体" w:eastAsia="宋体" w:cs="宋体"/>
          <w:kern w:val="2"/>
          <w:sz w:val="32"/>
          <w:szCs w:val="32"/>
          <w:lang w:eastAsia="zh-CN"/>
        </w:rPr>
        <w:t>的</w:t>
      </w:r>
      <w:r>
        <w:rPr>
          <w:rFonts w:hint="eastAsia" w:ascii="宋体" w:hAnsi="宋体" w:eastAsia="宋体" w:cs="宋体"/>
          <w:kern w:val="2"/>
          <w:sz w:val="36"/>
          <w:szCs w:val="36"/>
          <w:lang w:val="en-US" w:eastAsia="zh-CN"/>
        </w:rPr>
        <w:t xml:space="preserve"> </w:t>
      </w:r>
    </w:p>
    <w:p>
      <w:pPr>
        <w:pStyle w:val="2"/>
        <w:spacing w:before="200" w:after="200" w:line="288" w:lineRule="auto"/>
        <w:jc w:val="center"/>
        <w:rPr>
          <w:rFonts w:hint="eastAsia" w:ascii="宋体" w:hAnsi="宋体" w:eastAsia="宋体" w:cs="宋体"/>
          <w:sz w:val="44"/>
          <w:szCs w:val="44"/>
        </w:rPr>
      </w:pPr>
      <w:r>
        <w:rPr>
          <w:rFonts w:hint="eastAsia" w:ascii="宋体" w:hAnsi="宋体" w:eastAsia="宋体" w:cs="宋体"/>
          <w:sz w:val="44"/>
          <w:szCs w:val="44"/>
        </w:rPr>
        <w:t>价格评估报告</w:t>
      </w:r>
    </w:p>
    <w:p>
      <w:pPr>
        <w:keepNext w:val="0"/>
        <w:keepLines w:val="0"/>
        <w:pageBreakBefore w:val="0"/>
        <w:framePr w:wrap="auto" w:vAnchor="margin" w:hAnchor="text" w:yAlign="inline"/>
        <w:widowControl w:val="0"/>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贵州省黔西市</w:t>
      </w:r>
      <w:r>
        <w:rPr>
          <w:rFonts w:hint="eastAsia" w:ascii="仿宋" w:hAnsi="仿宋" w:eastAsia="仿宋" w:cs="仿宋"/>
          <w:sz w:val="32"/>
          <w:szCs w:val="32"/>
          <w:lang w:eastAsia="zh-CN"/>
        </w:rPr>
        <w:t>人民法院</w:t>
      </w:r>
      <w:r>
        <w:rPr>
          <w:rFonts w:hint="eastAsia" w:ascii="仿宋" w:hAnsi="仿宋" w:eastAsia="仿宋" w:cs="仿宋"/>
          <w:sz w:val="32"/>
          <w:szCs w:val="32"/>
          <w:lang w:val="en-US" w:eastAsia="zh-CN"/>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贵州世强价格评估有限公司（以下简称“本公司”）接受贵院(2022)黔法委字73号《委托评估书》的委托，按照法律、行政法规和价格鉴证评估准则的规定，坚持独立、客观和公正的原则，按照必要的评估程序，</w:t>
      </w:r>
      <w:r>
        <w:rPr>
          <w:rFonts w:hint="eastAsia" w:ascii="仿宋" w:hAnsi="仿宋" w:eastAsia="仿宋" w:cs="仿宋"/>
          <w:kern w:val="2"/>
          <w:sz w:val="32"/>
          <w:szCs w:val="32"/>
        </w:rPr>
        <w:t>对被执行人</w:t>
      </w:r>
      <w:r>
        <w:rPr>
          <w:rFonts w:hint="eastAsia" w:ascii="仿宋" w:hAnsi="仿宋" w:eastAsia="仿宋" w:cs="仿宋"/>
          <w:color w:val="000000"/>
          <w:kern w:val="0"/>
          <w:sz w:val="32"/>
          <w:szCs w:val="32"/>
          <w:lang w:val="en-US" w:eastAsia="zh-CN" w:bidi="ar"/>
        </w:rPr>
        <w:t>彭中群名下位于贵州省黔西市里沙大道里沙综合农贸超市1幢1单元13层7号房屋</w:t>
      </w:r>
      <w:r>
        <w:rPr>
          <w:rFonts w:hint="eastAsia" w:ascii="仿宋" w:hAnsi="仿宋" w:eastAsia="仿宋" w:cs="仿宋"/>
          <w:kern w:val="2"/>
          <w:sz w:val="32"/>
          <w:szCs w:val="32"/>
          <w:lang w:val="en-US" w:eastAsia="zh-CN"/>
        </w:rPr>
        <w:t>[不动产单元号：522423002056GB00381F00010608，建筑面积128.92</w:t>
      </w:r>
      <w:r>
        <w:rPr>
          <w:rFonts w:hint="eastAsia" w:ascii="宋体" w:hAnsi="宋体" w:eastAsia="宋体" w:cs="宋体"/>
          <w:kern w:val="2"/>
          <w:sz w:val="32"/>
          <w:szCs w:val="32"/>
          <w:lang w:val="en-US" w:eastAsia="zh-CN"/>
        </w:rPr>
        <w:t>㎡</w:t>
      </w:r>
      <w:r>
        <w:rPr>
          <w:rFonts w:hint="eastAsia" w:ascii="仿宋" w:hAnsi="仿宋" w:eastAsia="仿宋" w:cs="仿宋"/>
          <w:kern w:val="2"/>
          <w:sz w:val="32"/>
          <w:szCs w:val="32"/>
          <w:lang w:val="en-US" w:eastAsia="zh-CN"/>
        </w:rPr>
        <w:t>]</w:t>
      </w:r>
      <w:r>
        <w:rPr>
          <w:rFonts w:hint="eastAsia" w:ascii="仿宋" w:hAnsi="仿宋" w:eastAsia="仿宋" w:cs="仿宋"/>
          <w:kern w:val="2"/>
          <w:sz w:val="32"/>
          <w:szCs w:val="32"/>
        </w:rPr>
        <w:t>房屋一套的价值进行</w:t>
      </w:r>
      <w:r>
        <w:rPr>
          <w:rFonts w:hint="eastAsia" w:ascii="仿宋" w:hAnsi="仿宋" w:eastAsia="仿宋" w:cs="仿宋"/>
          <w:kern w:val="2"/>
          <w:sz w:val="32"/>
          <w:szCs w:val="32"/>
          <w:lang w:eastAsia="zh-CN"/>
        </w:rPr>
        <w:t>了</w:t>
      </w:r>
      <w:r>
        <w:rPr>
          <w:rFonts w:hint="eastAsia" w:ascii="仿宋" w:hAnsi="仿宋" w:eastAsia="仿宋" w:cs="仿宋"/>
          <w:color w:val="000000"/>
          <w:kern w:val="0"/>
          <w:sz w:val="32"/>
          <w:szCs w:val="32"/>
          <w:lang w:val="en-US" w:eastAsia="zh-CN" w:bidi="ar"/>
        </w:rPr>
        <w:t xml:space="preserve">评估，现将价格评估情况报告如下：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一、委托人、被评估单位和价格鉴证评估委托合同约定的其他评估报告使用人的概况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（一）委托人:</w:t>
      </w:r>
      <w:r>
        <w:rPr>
          <w:rFonts w:hint="eastAsia" w:ascii="仿宋" w:hAnsi="仿宋" w:eastAsia="仿宋" w:cs="仿宋"/>
          <w:sz w:val="32"/>
          <w:szCs w:val="32"/>
          <w:lang w:val="en-US" w:eastAsia="zh-CN"/>
        </w:rPr>
        <w:t>贵州省黔西市</w:t>
      </w:r>
      <w:r>
        <w:rPr>
          <w:rFonts w:hint="eastAsia" w:ascii="仿宋" w:hAnsi="仿宋" w:eastAsia="仿宋" w:cs="仿宋"/>
          <w:sz w:val="32"/>
          <w:szCs w:val="32"/>
          <w:lang w:eastAsia="zh-CN"/>
        </w:rPr>
        <w:t>人民法院</w:t>
      </w:r>
      <w:r>
        <w:rPr>
          <w:rFonts w:hint="eastAsia" w:ascii="仿宋" w:hAnsi="仿宋" w:eastAsia="仿宋" w:cs="仿宋"/>
          <w:color w:val="000000"/>
          <w:kern w:val="0"/>
          <w:sz w:val="32"/>
          <w:szCs w:val="32"/>
          <w:lang w:val="en-US" w:eastAsia="zh-CN" w:bidi="ar"/>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（二）被评估单位:彭中群名下位于贵州省黔西市里沙大道里沙综合农贸超市1幢1单元13层7号房屋</w:t>
      </w:r>
      <w:r>
        <w:rPr>
          <w:rFonts w:hint="eastAsia" w:ascii="仿宋" w:hAnsi="仿宋" w:eastAsia="仿宋" w:cs="仿宋"/>
          <w:kern w:val="2"/>
          <w:sz w:val="32"/>
          <w:szCs w:val="32"/>
        </w:rPr>
        <w:t>一套</w:t>
      </w:r>
      <w:r>
        <w:rPr>
          <w:rFonts w:hint="eastAsia" w:ascii="仿宋" w:hAnsi="仿宋" w:eastAsia="仿宋" w:cs="仿宋"/>
          <w:kern w:val="2"/>
          <w:sz w:val="32"/>
          <w:szCs w:val="32"/>
          <w:lang w:val="en-US" w:eastAsia="zh-CN"/>
        </w:rPr>
        <w:t>,建筑面积128.92</w:t>
      </w:r>
      <w:r>
        <w:rPr>
          <w:rFonts w:hint="eastAsia" w:ascii="宋体" w:hAnsi="宋体" w:eastAsia="宋体" w:cs="宋体"/>
          <w:kern w:val="2"/>
          <w:sz w:val="32"/>
          <w:szCs w:val="32"/>
          <w:lang w:val="en-US" w:eastAsia="zh-CN"/>
        </w:rPr>
        <w:t>㎡</w:t>
      </w:r>
      <w:r>
        <w:rPr>
          <w:rFonts w:hint="eastAsia" w:ascii="仿宋" w:hAnsi="仿宋" w:eastAsia="仿宋" w:cs="仿宋"/>
          <w:color w:val="000000"/>
          <w:kern w:val="0"/>
          <w:sz w:val="32"/>
          <w:szCs w:val="32"/>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（三）价格鉴证评估委托合同约定的其他评估报告使用人:除委托人外的国家法律、法规规定为实现本次评估目的相关经济行为而需要使用本报告的其他评估报告使用人。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二、价格评估目的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为委托方审理案件提供价格参考依据。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left="-120" w:leftChars="-50" w:firstLine="643" w:firstLineChars="2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三、价格评估对象和评估范围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（一）评估对象:彭中群名下位于贵州省黔西市里沙大道里沙综合农贸超市1幢1单元13层7号房屋</w:t>
      </w:r>
      <w:r>
        <w:rPr>
          <w:rFonts w:hint="eastAsia" w:ascii="仿宋" w:hAnsi="仿宋" w:eastAsia="仿宋" w:cs="仿宋"/>
          <w:kern w:val="2"/>
          <w:sz w:val="32"/>
          <w:szCs w:val="32"/>
        </w:rPr>
        <w:t>一套</w:t>
      </w:r>
      <w:r>
        <w:rPr>
          <w:rFonts w:hint="eastAsia" w:ascii="仿宋" w:hAnsi="仿宋" w:eastAsia="仿宋" w:cs="仿宋"/>
          <w:kern w:val="2"/>
          <w:sz w:val="32"/>
          <w:szCs w:val="32"/>
          <w:lang w:val="en-US" w:eastAsia="zh-CN"/>
        </w:rPr>
        <w:t>,建筑面积128.92</w:t>
      </w:r>
      <w:r>
        <w:rPr>
          <w:rFonts w:hint="eastAsia" w:ascii="宋体" w:hAnsi="宋体" w:eastAsia="宋体" w:cs="宋体"/>
          <w:kern w:val="2"/>
          <w:sz w:val="32"/>
          <w:szCs w:val="32"/>
          <w:lang w:val="en-US" w:eastAsia="zh-CN"/>
        </w:rPr>
        <w:t>㎡</w:t>
      </w:r>
      <w:r>
        <w:rPr>
          <w:rFonts w:hint="eastAsia" w:ascii="仿宋" w:hAnsi="仿宋" w:eastAsia="仿宋" w:cs="仿宋"/>
          <w:i w:val="0"/>
          <w:caps w:val="0"/>
          <w:color w:val="000000"/>
          <w:spacing w:val="0"/>
          <w:kern w:val="0"/>
          <w:sz w:val="32"/>
          <w:szCs w:val="32"/>
          <w:lang w:val="en-US" w:eastAsia="zh-CN" w:bidi="ar"/>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kern w:val="2"/>
          <w:sz w:val="32"/>
          <w:szCs w:val="32"/>
          <w:lang w:val="en-US" w:eastAsia="zh-CN"/>
        </w:rPr>
      </w:pPr>
      <w:r>
        <w:rPr>
          <w:rFonts w:hint="eastAsia" w:ascii="仿宋" w:hAnsi="仿宋" w:eastAsia="仿宋" w:cs="仿宋"/>
          <w:color w:val="000000"/>
          <w:kern w:val="0"/>
          <w:sz w:val="32"/>
          <w:szCs w:val="32"/>
          <w:lang w:val="en-US" w:eastAsia="zh-CN" w:bidi="ar"/>
        </w:rPr>
        <w:t xml:space="preserve">   （二）评估范围:彭中群名下位于贵州省黔西市里沙大道里沙综合农贸超市1幢1单元13层7号房屋</w:t>
      </w:r>
      <w:r>
        <w:rPr>
          <w:rFonts w:hint="eastAsia" w:ascii="仿宋" w:hAnsi="仿宋" w:eastAsia="仿宋" w:cs="仿宋"/>
          <w:kern w:val="2"/>
          <w:sz w:val="32"/>
          <w:szCs w:val="32"/>
        </w:rPr>
        <w:t>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kern w:val="2"/>
          <w:sz w:val="32"/>
          <w:szCs w:val="32"/>
          <w:lang w:eastAsia="zh-CN"/>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b/>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 xml:space="preserve">    四、价格类型及定义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t xml:space="preserve">（一）价格评估所选取的价格类型为：市场价格。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（二）价格类型定义：市场价格是指自愿买方和自愿卖方在各自理性行事且未受任何强迫的情况下，评估对象在评估基准日进行正常公平交易的价格估计数额。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color w:val="000000"/>
          <w:kern w:val="0"/>
          <w:sz w:val="32"/>
          <w:szCs w:val="32"/>
          <w:lang w:val="en-US" w:eastAsia="zh-CN" w:bidi="ar"/>
        </w:rPr>
        <w:t xml:space="preserve">五、价格评估基准日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本项目价格评估基准日为2022年4月21日,该基准日为现场勘查日。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六、价格评估依据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（一）(2022)黔法委字73号《委托评估书》。</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（二）法律依据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1、《中华人民共和国价格法》；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2、《中华人民共和国资产评估法》； </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3、</w:t>
      </w:r>
      <w:r>
        <w:rPr>
          <w:rFonts w:hint="eastAsia" w:ascii="仿宋" w:hAnsi="仿宋" w:eastAsia="仿宋" w:cs="仿宋"/>
          <w:sz w:val="32"/>
          <w:szCs w:val="32"/>
          <w:lang w:val="zh-TW" w:eastAsia="zh-TW"/>
        </w:rPr>
        <w:t>《</w:t>
      </w:r>
      <w:r>
        <w:rPr>
          <w:rFonts w:hint="eastAsia" w:ascii="仿宋" w:hAnsi="仿宋" w:eastAsia="仿宋" w:cs="仿宋"/>
          <w:sz w:val="32"/>
          <w:szCs w:val="32"/>
        </w:rPr>
        <w:t>价格</w:t>
      </w:r>
      <w:r>
        <w:rPr>
          <w:rFonts w:hint="eastAsia" w:ascii="仿宋" w:hAnsi="仿宋" w:eastAsia="仿宋" w:cs="仿宋"/>
          <w:sz w:val="32"/>
          <w:szCs w:val="32"/>
          <w:lang w:eastAsia="zh-CN"/>
        </w:rPr>
        <w:t>鉴证</w:t>
      </w:r>
      <w:r>
        <w:rPr>
          <w:rFonts w:hint="eastAsia" w:ascii="仿宋" w:hAnsi="仿宋" w:eastAsia="仿宋" w:cs="仿宋"/>
          <w:sz w:val="32"/>
          <w:szCs w:val="32"/>
        </w:rPr>
        <w:t>评估执业规范</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中价协</w:t>
      </w:r>
      <w:r>
        <w:rPr>
          <w:rFonts w:hint="eastAsia" w:ascii="仿宋" w:hAnsi="仿宋" w:eastAsia="仿宋" w:cs="仿宋"/>
          <w:sz w:val="32"/>
          <w:szCs w:val="32"/>
          <w:lang w:val="en-US" w:eastAsia="zh-CN"/>
        </w:rPr>
        <w:t>[2020]31号</w:t>
      </w:r>
      <w:r>
        <w:rPr>
          <w:rFonts w:hint="eastAsia" w:ascii="仿宋" w:hAnsi="仿宋" w:eastAsia="仿宋" w:cs="仿宋"/>
          <w:sz w:val="32"/>
          <w:szCs w:val="32"/>
          <w:lang w:eastAsia="zh-CN"/>
        </w:rPr>
        <w:t>；</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360" w:lineRule="auto"/>
        <w:ind w:firstLine="320" w:firstLineChars="100"/>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 xml:space="preserve"> 4、</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价格认定依据规则</w:t>
      </w:r>
      <w:r>
        <w:rPr>
          <w:rFonts w:hint="eastAsia" w:ascii="仿宋" w:hAnsi="仿宋" w:eastAsia="仿宋" w:cs="仿宋"/>
          <w:sz w:val="32"/>
          <w:szCs w:val="32"/>
          <w:lang w:val="zh-TW" w:eastAsia="zh-TW"/>
        </w:rPr>
        <w:t>》</w:t>
      </w:r>
      <w:r>
        <w:rPr>
          <w:rFonts w:hint="eastAsia" w:ascii="仿宋" w:hAnsi="仿宋" w:eastAsia="仿宋" w:cs="仿宋"/>
          <w:sz w:val="32"/>
          <w:szCs w:val="32"/>
          <w:lang w:val="zh-TW"/>
        </w:rPr>
        <w:t>国家发展改革委价格认证中心</w:t>
      </w:r>
      <w:r>
        <w:rPr>
          <w:rFonts w:hint="eastAsia" w:ascii="仿宋" w:hAnsi="仿宋" w:eastAsia="仿宋" w:cs="仿宋"/>
          <w:sz w:val="32"/>
          <w:szCs w:val="32"/>
          <w:lang w:val="en-US" w:eastAsia="zh-CN"/>
        </w:rPr>
        <w:t>;</w:t>
      </w:r>
    </w:p>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line="360" w:lineRule="auto"/>
        <w:ind w:right="0" w:rightChars="0" w:firstLine="320" w:firstLineChars="100"/>
        <w:textAlignment w:val="auto"/>
        <w:rPr>
          <w:rFonts w:hint="eastAsia" w:ascii="宋体" w:hAnsi="宋体" w:eastAsia="宋体" w:cs="宋体"/>
          <w:sz w:val="32"/>
          <w:szCs w:val="32"/>
          <w:lang w:val="en-US" w:eastAsia="zh-CN"/>
        </w:rPr>
      </w:pPr>
      <w:r>
        <w:rPr>
          <w:rFonts w:hint="eastAsia" w:ascii="仿宋" w:hAnsi="仿宋" w:eastAsia="仿宋" w:cs="仿宋"/>
          <w:sz w:val="32"/>
          <w:szCs w:val="32"/>
          <w:lang w:val="en-US" w:eastAsia="zh-CN"/>
        </w:rPr>
        <w:t xml:space="preserve"> 5、 </w:t>
      </w:r>
      <w:r>
        <w:rPr>
          <w:rFonts w:hint="eastAsia" w:ascii="仿宋" w:hAnsi="仿宋" w:eastAsia="仿宋" w:cs="仿宋"/>
          <w:sz w:val="32"/>
          <w:szCs w:val="32"/>
        </w:rPr>
        <w:t>国家有关房地产评估的法律、法规和政策</w:t>
      </w:r>
      <w:r>
        <w:rPr>
          <w:rFonts w:hint="eastAsia" w:ascii="宋体" w:hAnsi="宋体" w:eastAsia="宋体" w:cs="宋体"/>
          <w:sz w:val="32"/>
          <w:szCs w:val="32"/>
          <w:lang w:eastAsia="zh-CN"/>
        </w:rPr>
        <w:t>。</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tl w:val="0"/>
          <w:lang w:val="en-US" w:eastAsia="zh-CN"/>
        </w:rPr>
        <w:t xml:space="preserve"> （三）</w:t>
      </w:r>
      <w:r>
        <w:rPr>
          <w:rFonts w:hint="eastAsia" w:ascii="仿宋" w:hAnsi="仿宋" w:eastAsia="仿宋" w:cs="仿宋"/>
          <w:color w:val="000000"/>
          <w:kern w:val="0"/>
          <w:sz w:val="32"/>
          <w:szCs w:val="32"/>
          <w:lang w:val="en-US" w:eastAsia="zh-CN" w:bidi="ar"/>
        </w:rPr>
        <w:t>委托方提供的其他资料</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1、贵州省不动产登记查询结果复印件，刘佳、彭中群身份证复印件；</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2、民事调解书、执行裁定书。</w:t>
      </w:r>
    </w:p>
    <w:p>
      <w:pPr>
        <w:keepNext w:val="0"/>
        <w:keepLines w:val="0"/>
        <w:pageBreakBefore w:val="0"/>
        <w:framePr w:wrap="auto" w:vAnchor="margin" w:hAnchor="text" w:yAlign="inline"/>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120" w:leftChars="5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（四）取价依据</w:t>
      </w:r>
    </w:p>
    <w:p>
      <w:pPr>
        <w:keepNext w:val="0"/>
        <w:keepLines w:val="0"/>
        <w:pageBreakBefore w:val="0"/>
        <w:framePr w:wrap="auto" w:vAnchor="margin" w:hAnchor="text" w:yAlign="inline"/>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240" w:leftChars="100" w:firstLine="561"/>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1、评估人员实地查看或咨询所获得的价格资料；</w:t>
      </w:r>
    </w:p>
    <w:p>
      <w:pPr>
        <w:keepNext w:val="0"/>
        <w:keepLines w:val="0"/>
        <w:pageBreakBefore w:val="0"/>
        <w:framePr w:wrap="auto" w:vAnchor="margin" w:hAnchor="text" w:yAlign="inline"/>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240" w:leftChars="100" w:firstLine="561"/>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rPr>
        <w:t>2、评估机构及评估人员掌握的其他相关信息资料。</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color w:val="000000"/>
          <w:kern w:val="0"/>
          <w:sz w:val="32"/>
          <w:szCs w:val="32"/>
          <w:lang w:val="en-US" w:eastAsia="zh-CN" w:bidi="ar"/>
        </w:rPr>
        <w:t>七、价格评估方法</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价格鉴证评估基本方法包括市场法、成本法和收益法。进行价格评估时，要根据评估对象、价格类型、资料收集情况等相关条件，分析三种价格鉴证评估基本方法的适用性。</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560"/>
        <w:jc w:val="both"/>
        <w:textAlignment w:val="auto"/>
        <w:rPr>
          <w:rFonts w:hint="eastAsia" w:ascii="仿宋" w:hAnsi="仿宋" w:eastAsia="仿宋" w:cs="仿宋"/>
          <w:sz w:val="32"/>
          <w:szCs w:val="32"/>
        </w:rPr>
      </w:pPr>
      <w:r>
        <w:rPr>
          <w:rFonts w:hint="eastAsia" w:ascii="仿宋" w:hAnsi="仿宋" w:eastAsia="仿宋" w:cs="仿宋"/>
          <w:sz w:val="32"/>
          <w:szCs w:val="32"/>
        </w:rPr>
        <w:t>市场法:是指通过市场调查,选择三个或者三个以</w:t>
      </w:r>
      <w:r>
        <w:rPr>
          <w:rFonts w:hint="eastAsia" w:ascii="仿宋" w:hAnsi="仿宋" w:eastAsia="仿宋" w:cs="仿宋"/>
          <w:sz w:val="32"/>
          <w:szCs w:val="32"/>
          <w:lang w:eastAsia="zh-CN"/>
        </w:rPr>
        <w:t>上</w:t>
      </w:r>
      <w:r>
        <w:rPr>
          <w:rFonts w:hint="eastAsia" w:ascii="仿宋" w:hAnsi="仿宋" w:eastAsia="仿宋" w:cs="仿宋"/>
          <w:sz w:val="32"/>
          <w:szCs w:val="32"/>
        </w:rPr>
        <w:t>与价格鉴证评估事项相同或者类似的可比实例或者参照物,分析比较价格鉴证评估事项与参照物之间的差异并进行调整,从而确定价格鉴证评估事项市场价格的方法。市场法的适用条件:</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交易市场发育充分;</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参照物及其与价格鉴证评估事项可比较的指标、技术参数等资料可以收集到。</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成本法:是指在办理价格鉴证评估事项时，按照价格鉴证评估事项在基准日的重置成本扣减各种损耗来确定价格鉴证评估事项价格的方法。成本法的适用条件:</w:t>
      </w:r>
    </w:p>
    <w:p>
      <w:pPr>
        <w:keepNext w:val="0"/>
        <w:keepLines w:val="0"/>
        <w:pageBreakBefore w:val="0"/>
        <w:framePr w:wrap="auto" w:vAnchor="margin" w:hAnchor="text" w:yAlign="inline"/>
        <w:widowControl/>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具备可以采用的成本资料</w:t>
      </w:r>
      <w:r>
        <w:rPr>
          <w:rFonts w:hint="eastAsia" w:ascii="仿宋" w:hAnsi="仿宋" w:eastAsia="仿宋" w:cs="仿宋"/>
          <w:sz w:val="32"/>
          <w:szCs w:val="32"/>
          <w:lang w:val="en-US" w:eastAsia="zh-CN"/>
        </w:rPr>
        <w:t>；</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right="0" w:rightChars="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rPr>
        <w:t>各种损耗可以量化。</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收益法:是指将价格鉴证评估事项的预期收益,按一定的折现率折算成现值，从而确定价格鉴证评估事项价格的方法。收益法的适用条件:</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（一）</w:t>
      </w:r>
      <w:r>
        <w:rPr>
          <w:rFonts w:hint="eastAsia" w:ascii="仿宋" w:hAnsi="仿宋" w:eastAsia="仿宋" w:cs="仿宋"/>
          <w:sz w:val="32"/>
          <w:szCs w:val="32"/>
        </w:rPr>
        <w:t>价格鉴证评估事项的预期收益可以预测并能用货币衡量</w:t>
      </w:r>
      <w:r>
        <w:rPr>
          <w:rFonts w:hint="eastAsia" w:ascii="仿宋" w:hAnsi="仿宋" w:eastAsia="仿宋" w:cs="仿宋"/>
          <w:sz w:val="32"/>
          <w:szCs w:val="32"/>
          <w:lang w:eastAsia="zh-CN"/>
        </w:rPr>
        <w:t>；</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（二）</w:t>
      </w:r>
      <w:r>
        <w:rPr>
          <w:rFonts w:hint="eastAsia" w:ascii="仿宋" w:hAnsi="仿宋" w:eastAsia="仿宋" w:cs="仿宋"/>
          <w:sz w:val="32"/>
          <w:szCs w:val="32"/>
        </w:rPr>
        <w:t>获得预期收益所承担的风险可以预测并能用货币衡量</w:t>
      </w:r>
      <w:r>
        <w:rPr>
          <w:rFonts w:hint="eastAsia" w:ascii="仿宋" w:hAnsi="仿宋" w:eastAsia="仿宋" w:cs="仿宋"/>
          <w:sz w:val="32"/>
          <w:szCs w:val="32"/>
          <w:lang w:eastAsia="zh-CN"/>
        </w:rPr>
        <w:t>；</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（三）</w:t>
      </w:r>
      <w:r>
        <w:rPr>
          <w:rFonts w:hint="eastAsia" w:ascii="仿宋" w:hAnsi="仿宋" w:eastAsia="仿宋" w:cs="仿宋"/>
          <w:sz w:val="32"/>
          <w:szCs w:val="32"/>
        </w:rPr>
        <w:t>预期获利年限可以预测。</w:t>
      </w:r>
    </w:p>
    <w:p>
      <w:pPr>
        <w:keepNext w:val="0"/>
        <w:keepLines w:val="0"/>
        <w:pageBreakBefore w:val="0"/>
        <w:framePr w:wrap="auto" w:vAnchor="margin" w:hAnchor="text" w:yAlign="inline"/>
        <w:widowControl/>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color w:val="000000"/>
          <w:kern w:val="0"/>
          <w:sz w:val="32"/>
          <w:szCs w:val="32"/>
          <w:lang w:val="en-US" w:eastAsia="zh-CN"/>
        </w:rPr>
        <w:t>对于本次价格评估，</w:t>
      </w:r>
      <w:r>
        <w:rPr>
          <w:rFonts w:hint="eastAsia" w:ascii="仿宋" w:hAnsi="仿宋" w:eastAsia="仿宋" w:cs="仿宋"/>
          <w:b w:val="0"/>
          <w:bCs w:val="0"/>
          <w:i w:val="0"/>
          <w:caps w:val="0"/>
          <w:color w:val="000000"/>
          <w:spacing w:val="0"/>
          <w:sz w:val="32"/>
          <w:szCs w:val="32"/>
          <w:shd w:val="clear" w:color="auto" w:fill="FFFFFF"/>
          <w:lang w:eastAsia="zh-CN"/>
        </w:rPr>
        <w:t>不</w:t>
      </w:r>
      <w:r>
        <w:rPr>
          <w:rFonts w:hint="eastAsia" w:ascii="仿宋" w:hAnsi="仿宋" w:eastAsia="仿宋" w:cs="仿宋"/>
          <w:sz w:val="32"/>
          <w:szCs w:val="32"/>
        </w:rPr>
        <w:t>具备可以采用的成本资料</w:t>
      </w:r>
      <w:r>
        <w:rPr>
          <w:rFonts w:hint="eastAsia" w:ascii="仿宋" w:hAnsi="仿宋" w:eastAsia="仿宋" w:cs="仿宋"/>
          <w:sz w:val="32"/>
          <w:szCs w:val="32"/>
          <w:lang w:eastAsia="zh-CN"/>
        </w:rPr>
        <w:t>，</w:t>
      </w:r>
      <w:r>
        <w:rPr>
          <w:rFonts w:hint="eastAsia" w:ascii="仿宋" w:hAnsi="仿宋" w:eastAsia="仿宋" w:cs="仿宋"/>
          <w:sz w:val="32"/>
          <w:szCs w:val="32"/>
        </w:rPr>
        <w:t>各种损耗</w:t>
      </w:r>
      <w:r>
        <w:rPr>
          <w:rFonts w:hint="eastAsia" w:ascii="仿宋" w:hAnsi="仿宋" w:eastAsia="仿宋" w:cs="仿宋"/>
          <w:sz w:val="32"/>
          <w:szCs w:val="32"/>
          <w:lang w:eastAsia="zh-CN"/>
        </w:rPr>
        <w:t>也难</w:t>
      </w:r>
      <w:r>
        <w:rPr>
          <w:rFonts w:hint="eastAsia" w:ascii="仿宋" w:hAnsi="仿宋" w:eastAsia="仿宋" w:cs="仿宋"/>
          <w:sz w:val="32"/>
          <w:szCs w:val="32"/>
        </w:rPr>
        <w:t>以量化</w:t>
      </w:r>
      <w:r>
        <w:rPr>
          <w:rFonts w:hint="eastAsia" w:ascii="仿宋" w:hAnsi="仿宋" w:eastAsia="仿宋" w:cs="仿宋"/>
          <w:sz w:val="32"/>
          <w:szCs w:val="32"/>
          <w:lang w:eastAsia="zh-CN"/>
        </w:rPr>
        <w:t>，因此不宜采用成本法进行评估</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而</w:t>
      </w:r>
      <w:r>
        <w:rPr>
          <w:rFonts w:hint="eastAsia" w:ascii="仿宋" w:hAnsi="仿宋" w:eastAsia="仿宋" w:cs="仿宋"/>
          <w:sz w:val="32"/>
          <w:szCs w:val="32"/>
        </w:rPr>
        <w:t>价格鉴证评估事项的预期收益</w:t>
      </w:r>
      <w:r>
        <w:rPr>
          <w:rFonts w:hint="eastAsia" w:ascii="仿宋" w:hAnsi="仿宋" w:eastAsia="仿宋" w:cs="仿宋"/>
          <w:sz w:val="32"/>
          <w:szCs w:val="32"/>
          <w:lang w:eastAsia="zh-CN"/>
        </w:rPr>
        <w:t>难</w:t>
      </w:r>
      <w:r>
        <w:rPr>
          <w:rFonts w:hint="eastAsia" w:ascii="仿宋" w:hAnsi="仿宋" w:eastAsia="仿宋" w:cs="仿宋"/>
          <w:sz w:val="32"/>
          <w:szCs w:val="32"/>
        </w:rPr>
        <w:t>以预测并</w:t>
      </w:r>
      <w:r>
        <w:rPr>
          <w:rFonts w:hint="eastAsia" w:ascii="仿宋" w:hAnsi="仿宋" w:eastAsia="仿宋" w:cs="仿宋"/>
          <w:sz w:val="32"/>
          <w:szCs w:val="32"/>
          <w:lang w:eastAsia="zh-CN"/>
        </w:rPr>
        <w:t>难以</w:t>
      </w:r>
      <w:r>
        <w:rPr>
          <w:rFonts w:hint="eastAsia" w:ascii="仿宋" w:hAnsi="仿宋" w:eastAsia="仿宋" w:cs="仿宋"/>
          <w:sz w:val="32"/>
          <w:szCs w:val="32"/>
        </w:rPr>
        <w:t>用货币衡量</w:t>
      </w:r>
      <w:r>
        <w:rPr>
          <w:rFonts w:hint="eastAsia" w:ascii="仿宋" w:hAnsi="仿宋" w:eastAsia="仿宋" w:cs="仿宋"/>
          <w:sz w:val="32"/>
          <w:szCs w:val="32"/>
          <w:lang w:eastAsia="zh-CN"/>
        </w:rPr>
        <w:t>、</w:t>
      </w:r>
      <w:r>
        <w:rPr>
          <w:rFonts w:hint="eastAsia" w:ascii="仿宋" w:hAnsi="仿宋" w:eastAsia="仿宋" w:cs="仿宋"/>
          <w:sz w:val="32"/>
          <w:szCs w:val="32"/>
        </w:rPr>
        <w:t>获得预期收益所承担的风险</w:t>
      </w:r>
      <w:r>
        <w:rPr>
          <w:rFonts w:hint="eastAsia" w:ascii="仿宋" w:hAnsi="仿宋" w:eastAsia="仿宋" w:cs="仿宋"/>
          <w:sz w:val="32"/>
          <w:szCs w:val="32"/>
          <w:lang w:eastAsia="zh-CN"/>
        </w:rPr>
        <w:t>也难</w:t>
      </w:r>
      <w:r>
        <w:rPr>
          <w:rFonts w:hint="eastAsia" w:ascii="仿宋" w:hAnsi="仿宋" w:eastAsia="仿宋" w:cs="仿宋"/>
          <w:sz w:val="32"/>
          <w:szCs w:val="32"/>
        </w:rPr>
        <w:t>以预测并</w:t>
      </w:r>
      <w:r>
        <w:rPr>
          <w:rFonts w:hint="eastAsia" w:ascii="仿宋" w:hAnsi="仿宋" w:eastAsia="仿宋" w:cs="仿宋"/>
          <w:sz w:val="32"/>
          <w:szCs w:val="32"/>
          <w:lang w:eastAsia="zh-CN"/>
        </w:rPr>
        <w:t>难以</w:t>
      </w:r>
      <w:r>
        <w:rPr>
          <w:rFonts w:hint="eastAsia" w:ascii="仿宋" w:hAnsi="仿宋" w:eastAsia="仿宋" w:cs="仿宋"/>
          <w:sz w:val="32"/>
          <w:szCs w:val="32"/>
        </w:rPr>
        <w:t>用货币衡量</w:t>
      </w:r>
      <w:r>
        <w:rPr>
          <w:rFonts w:hint="eastAsia" w:ascii="仿宋" w:hAnsi="仿宋" w:eastAsia="仿宋" w:cs="仿宋"/>
          <w:sz w:val="32"/>
          <w:szCs w:val="32"/>
          <w:lang w:eastAsia="zh-CN"/>
        </w:rPr>
        <w:t>、</w:t>
      </w:r>
      <w:r>
        <w:rPr>
          <w:rFonts w:hint="eastAsia" w:ascii="仿宋" w:hAnsi="仿宋" w:eastAsia="仿宋" w:cs="仿宋"/>
          <w:sz w:val="32"/>
          <w:szCs w:val="32"/>
        </w:rPr>
        <w:t>预期获利年限</w:t>
      </w:r>
      <w:r>
        <w:rPr>
          <w:rFonts w:hint="eastAsia" w:ascii="仿宋" w:hAnsi="仿宋" w:eastAsia="仿宋" w:cs="仿宋"/>
          <w:sz w:val="32"/>
          <w:szCs w:val="32"/>
          <w:lang w:eastAsia="zh-CN"/>
        </w:rPr>
        <w:t>也难</w:t>
      </w:r>
      <w:r>
        <w:rPr>
          <w:rFonts w:hint="eastAsia" w:ascii="仿宋" w:hAnsi="仿宋" w:eastAsia="仿宋" w:cs="仿宋"/>
          <w:sz w:val="32"/>
          <w:szCs w:val="32"/>
        </w:rPr>
        <w:t>预测</w:t>
      </w:r>
      <w:r>
        <w:rPr>
          <w:rFonts w:hint="eastAsia" w:ascii="仿宋" w:hAnsi="仿宋" w:eastAsia="仿宋" w:cs="仿宋"/>
          <w:sz w:val="32"/>
          <w:szCs w:val="32"/>
          <w:lang w:eastAsia="zh-CN"/>
        </w:rPr>
        <w:t>，因此也不能选用收益法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本次</w:t>
      </w:r>
      <w:r>
        <w:rPr>
          <w:rFonts w:hint="eastAsia" w:ascii="仿宋" w:hAnsi="仿宋" w:eastAsia="仿宋" w:cs="仿宋"/>
          <w:color w:val="000000"/>
          <w:kern w:val="0"/>
          <w:sz w:val="32"/>
          <w:szCs w:val="32"/>
          <w:lang w:val="en-US" w:eastAsia="zh-CN"/>
        </w:rPr>
        <w:t>价值评估</w:t>
      </w:r>
      <w:r>
        <w:rPr>
          <w:rFonts w:hint="eastAsia" w:ascii="仿宋" w:hAnsi="仿宋" w:eastAsia="仿宋" w:cs="仿宋"/>
          <w:sz w:val="32"/>
          <w:szCs w:val="32"/>
        </w:rPr>
        <w:t>交易市场发育充分</w:t>
      </w:r>
      <w:r>
        <w:rPr>
          <w:rFonts w:hint="eastAsia" w:ascii="仿宋" w:hAnsi="仿宋" w:eastAsia="仿宋" w:cs="仿宋"/>
          <w:sz w:val="32"/>
          <w:szCs w:val="32"/>
          <w:lang w:val="en-US" w:eastAsia="zh-CN"/>
        </w:rPr>
        <w:t>,</w:t>
      </w:r>
      <w:r>
        <w:rPr>
          <w:rFonts w:hint="eastAsia" w:ascii="仿宋" w:hAnsi="仿宋" w:eastAsia="仿宋" w:cs="仿宋"/>
          <w:sz w:val="32"/>
          <w:szCs w:val="32"/>
        </w:rPr>
        <w:t>参照物及其与价格鉴证评估事项可比较的指标、技术参数等资料可以收集到</w:t>
      </w:r>
      <w:r>
        <w:rPr>
          <w:rFonts w:hint="eastAsia" w:ascii="仿宋" w:hAnsi="仿宋" w:eastAsia="仿宋" w:cs="仿宋"/>
          <w:sz w:val="32"/>
          <w:szCs w:val="32"/>
          <w:lang w:val="en-US" w:eastAsia="zh-CN"/>
        </w:rPr>
        <w:t>,故宜</w:t>
      </w:r>
      <w:r>
        <w:rPr>
          <w:rFonts w:hint="eastAsia" w:ascii="仿宋" w:hAnsi="仿宋" w:eastAsia="仿宋" w:cs="仿宋"/>
          <w:color w:val="000000"/>
          <w:kern w:val="0"/>
          <w:sz w:val="32"/>
          <w:szCs w:val="32"/>
          <w:lang w:val="en-US" w:eastAsia="zh-CN"/>
        </w:rPr>
        <w:t>采用市场比较法进行评估。</w:t>
      </w:r>
    </w:p>
    <w:p>
      <w:pPr>
        <w:keepNext w:val="0"/>
        <w:keepLines w:val="0"/>
        <w:pageBreakBefore w:val="0"/>
        <w:framePr w:wrap="auto" w:vAnchor="margin" w:hAnchor="text" w:yAlign="inline"/>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line="360" w:lineRule="auto"/>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八、评估过程和情况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600"/>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b w:val="0"/>
          <w:bCs/>
          <w:i w:val="0"/>
          <w:caps w:val="0"/>
          <w:color w:val="auto"/>
          <w:spacing w:val="0"/>
          <w:sz w:val="32"/>
          <w:szCs w:val="32"/>
          <w:u w:val="none"/>
          <w:shd w:val="clear" w:color="auto" w:fill="FFFFFF"/>
          <w:lang w:val="en-US" w:eastAsia="zh-CN"/>
        </w:rPr>
        <w:t>本公司在接受委托后，</w:t>
      </w:r>
      <w:r>
        <w:rPr>
          <w:rFonts w:hint="eastAsia" w:ascii="仿宋" w:hAnsi="仿宋" w:eastAsia="仿宋" w:cs="仿宋"/>
          <w:color w:val="000000"/>
          <w:kern w:val="0"/>
          <w:sz w:val="32"/>
          <w:szCs w:val="32"/>
          <w:lang w:val="en-US" w:eastAsia="zh-CN"/>
        </w:rPr>
        <w:t>经过现场勘查、评定估算、价值审定、提交报告等过程，</w:t>
      </w:r>
      <w:r>
        <w:rPr>
          <w:rFonts w:hint="eastAsia" w:ascii="仿宋" w:hAnsi="仿宋" w:eastAsia="仿宋" w:cs="仿宋"/>
          <w:b w:val="0"/>
          <w:bCs/>
          <w:i w:val="0"/>
          <w:caps w:val="0"/>
          <w:color w:val="auto"/>
          <w:spacing w:val="0"/>
          <w:sz w:val="32"/>
          <w:szCs w:val="32"/>
          <w:u w:val="none"/>
          <w:shd w:val="clear" w:color="auto" w:fill="FFFFFF"/>
          <w:lang w:val="en-US" w:eastAsia="zh-CN"/>
        </w:rPr>
        <w:t>于2022年4月21日在委托方的带领下赴</w:t>
      </w:r>
      <w:r>
        <w:rPr>
          <w:rFonts w:hint="eastAsia" w:ascii="仿宋" w:hAnsi="仿宋" w:eastAsia="仿宋" w:cs="仿宋"/>
          <w:color w:val="000000"/>
          <w:kern w:val="0"/>
          <w:sz w:val="32"/>
          <w:szCs w:val="32"/>
          <w:lang w:val="en-US" w:eastAsia="zh-CN" w:bidi="ar"/>
        </w:rPr>
        <w:t>彭中群名下位于贵州省黔西市里沙大道里沙综合农贸超市1幢1单元13层7号房屋</w:t>
      </w:r>
      <w:r>
        <w:rPr>
          <w:rFonts w:hint="eastAsia" w:ascii="仿宋" w:hAnsi="仿宋" w:eastAsia="仿宋" w:cs="仿宋"/>
          <w:i w:val="0"/>
          <w:caps w:val="0"/>
          <w:color w:val="000000"/>
          <w:spacing w:val="0"/>
          <w:kern w:val="0"/>
          <w:sz w:val="32"/>
          <w:szCs w:val="32"/>
          <w:shd w:val="clear" w:color="auto" w:fill="FFFFFF"/>
          <w:lang w:val="en-US" w:eastAsia="zh-CN" w:bidi="ar"/>
        </w:rPr>
        <w:t>进行了现场勘查,并由委托人在现场查勘笔录上签字确认(申请人与被申请人未到场)。</w:t>
      </w: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360" w:lineRule="auto"/>
        <w:ind w:firstLine="640"/>
        <w:jc w:val="both"/>
        <w:textAlignment w:val="auto"/>
        <w:rPr>
          <w:rFonts w:hint="default" w:ascii="仿宋" w:hAnsi="仿宋" w:eastAsia="仿宋" w:cs="仿宋"/>
          <w:i w:val="0"/>
          <w:caps w:val="0"/>
          <w:color w:val="000000"/>
          <w:spacing w:val="0"/>
          <w:sz w:val="32"/>
          <w:szCs w:val="32"/>
          <w:shd w:val="clear" w:color="auto" w:fill="FFFFFF"/>
          <w:lang w:val="en-US" w:eastAsia="zh-CN"/>
        </w:rPr>
      </w:pPr>
      <w:r>
        <w:rPr>
          <w:rFonts w:hint="eastAsia" w:ascii="仿宋" w:hAnsi="仿宋" w:eastAsia="仿宋" w:cs="仿宋"/>
          <w:color w:val="000000"/>
          <w:kern w:val="0"/>
          <w:sz w:val="32"/>
          <w:szCs w:val="32"/>
          <w:lang w:val="en-US" w:eastAsia="zh-CN" w:bidi="ar"/>
        </w:rPr>
        <w:t>彭中群名下位于贵州省黔西市里沙大道里沙综合农贸超市1幢1单元13层7号房屋</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kern w:val="2"/>
          <w:sz w:val="32"/>
          <w:szCs w:val="32"/>
          <w:lang w:val="en-US" w:eastAsia="zh-CN"/>
        </w:rPr>
        <w:t>不动产单元号：522423002056GB00381F00010608，建筑面积128.92</w:t>
      </w:r>
      <w:r>
        <w:rPr>
          <w:rFonts w:hint="eastAsia" w:ascii="宋体" w:hAnsi="宋体" w:eastAsia="宋体" w:cs="宋体"/>
          <w:kern w:val="2"/>
          <w:sz w:val="32"/>
          <w:szCs w:val="32"/>
          <w:lang w:val="en-US" w:eastAsia="zh-CN"/>
        </w:rPr>
        <w:t>㎡</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lang w:val="en-US" w:eastAsia="zh-CN"/>
        </w:rPr>
        <w:t>；</w:t>
      </w:r>
      <w:r>
        <w:rPr>
          <w:rFonts w:hint="eastAsia" w:ascii="仿宋" w:hAnsi="仿宋" w:eastAsia="仿宋" w:cs="仿宋"/>
          <w:i w:val="0"/>
          <w:caps w:val="0"/>
          <w:color w:val="000000"/>
          <w:spacing w:val="0"/>
          <w:sz w:val="32"/>
          <w:szCs w:val="32"/>
          <w:shd w:val="clear" w:color="auto" w:fill="FFFFFF"/>
          <w:lang w:eastAsia="zh-CN"/>
        </w:rPr>
        <w:t>房屋用途：住宅</w:t>
      </w:r>
      <w:r>
        <w:rPr>
          <w:rFonts w:hint="eastAsia" w:ascii="仿宋" w:hAnsi="仿宋" w:eastAsia="仿宋" w:cs="仿宋"/>
          <w:b w:val="0"/>
          <w:bCs w:val="0"/>
          <w:sz w:val="32"/>
          <w:szCs w:val="32"/>
          <w:lang w:val="en-US" w:eastAsia="zh-CN"/>
        </w:rPr>
        <w:t>；朝向：东偏南169°,</w:t>
      </w:r>
      <w:r>
        <w:rPr>
          <w:rFonts w:hint="eastAsia" w:ascii="仿宋" w:hAnsi="仿宋" w:eastAsia="仿宋" w:cs="仿宋"/>
          <w:i w:val="0"/>
          <w:caps w:val="0"/>
          <w:color w:val="000000"/>
          <w:spacing w:val="0"/>
          <w:sz w:val="32"/>
          <w:szCs w:val="32"/>
          <w:shd w:val="clear" w:color="auto" w:fill="FFFFFF"/>
          <w:lang w:eastAsia="zh-CN"/>
        </w:rPr>
        <w:t>房屋为</w:t>
      </w:r>
      <w:r>
        <w:rPr>
          <w:rFonts w:hint="eastAsia" w:ascii="仿宋" w:hAnsi="仿宋" w:eastAsia="仿宋" w:cs="仿宋"/>
          <w:i w:val="0"/>
          <w:caps w:val="0"/>
          <w:color w:val="000000"/>
          <w:spacing w:val="0"/>
          <w:sz w:val="32"/>
          <w:szCs w:val="32"/>
          <w:shd w:val="clear" w:color="auto" w:fill="FFFFFF"/>
          <w:lang w:val="en-US" w:eastAsia="zh-CN"/>
        </w:rPr>
        <w:t>三</w:t>
      </w:r>
      <w:r>
        <w:rPr>
          <w:rFonts w:hint="eastAsia" w:ascii="仿宋" w:hAnsi="仿宋" w:eastAsia="仿宋" w:cs="仿宋"/>
          <w:i w:val="0"/>
          <w:caps w:val="0"/>
          <w:color w:val="000000"/>
          <w:spacing w:val="0"/>
          <w:sz w:val="32"/>
          <w:szCs w:val="32"/>
          <w:shd w:val="clear" w:color="auto" w:fill="FFFFFF"/>
          <w:lang w:eastAsia="zh-CN"/>
        </w:rPr>
        <w:t>室</w:t>
      </w:r>
      <w:r>
        <w:rPr>
          <w:rFonts w:hint="eastAsia" w:ascii="仿宋" w:hAnsi="仿宋" w:eastAsia="仿宋" w:cs="仿宋"/>
          <w:i w:val="0"/>
          <w:caps w:val="0"/>
          <w:color w:val="000000"/>
          <w:spacing w:val="0"/>
          <w:sz w:val="32"/>
          <w:szCs w:val="32"/>
          <w:shd w:val="clear" w:color="auto" w:fill="FFFFFF"/>
          <w:lang w:val="en-US" w:eastAsia="zh-CN"/>
        </w:rPr>
        <w:t>一</w:t>
      </w:r>
      <w:r>
        <w:rPr>
          <w:rFonts w:hint="eastAsia" w:ascii="仿宋" w:hAnsi="仿宋" w:eastAsia="仿宋" w:cs="仿宋"/>
          <w:i w:val="0"/>
          <w:caps w:val="0"/>
          <w:color w:val="000000"/>
          <w:spacing w:val="0"/>
          <w:sz w:val="32"/>
          <w:szCs w:val="32"/>
          <w:shd w:val="clear" w:color="auto" w:fill="FFFFFF"/>
          <w:lang w:eastAsia="zh-CN"/>
        </w:rPr>
        <w:t>厅两卫一</w:t>
      </w:r>
      <w:r>
        <w:rPr>
          <w:rFonts w:hint="eastAsia" w:ascii="仿宋" w:hAnsi="仿宋" w:eastAsia="仿宋" w:cs="仿宋"/>
          <w:i w:val="0"/>
          <w:caps w:val="0"/>
          <w:color w:val="000000"/>
          <w:spacing w:val="0"/>
          <w:sz w:val="32"/>
          <w:szCs w:val="32"/>
          <w:shd w:val="clear" w:color="auto" w:fill="FFFFFF"/>
          <w:lang w:val="en-US" w:eastAsia="zh-CN"/>
        </w:rPr>
        <w:t>厨和一个阳台，毛坯房，厨房后面有一个小阳台，厨房采光较差，其余房间采光较好，附近均为居民住宅。</w:t>
      </w: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360" w:lineRule="auto"/>
        <w:ind w:firstLine="64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近有贵州省黔西市水西中学、黔西一中等学校教育机构，还有杜鹃花大酒店、九天商务酒店、东方假日酒店等高档酒店，附近有合力超市、余庆剔骨鸭等餐饮及购物市场，中心城区交通便利，附近还有黔西市人民医院、黔西新城医院、林东医院、华美医疗美容等医疗机构。周边有中国工商银行、贵州农信黔西农商银行等金融机构，小区绿化环境良好，交通方便，环境优雅，宜居、宜商、宜学，是黔西市较好的居家环境，根据估价对象的情况,拟采用市场比较法进行评估。</w:t>
      </w:r>
    </w:p>
    <w:p>
      <w:pPr>
        <w:keepNext w:val="0"/>
        <w:keepLines w:val="0"/>
        <w:pageBreakBefore w:val="0"/>
        <w:framePr w:wrap="auto" w:vAnchor="margin" w:hAnchor="text" w:yAlign="inline"/>
        <w:numPr>
          <w:ilvl w:val="0"/>
          <w:numId w:val="0"/>
        </w:numPr>
        <w:kinsoku/>
        <w:wordWrap/>
        <w:overflowPunct/>
        <w:topLinePunct w:val="0"/>
        <w:autoSpaceDE/>
        <w:autoSpaceDN/>
        <w:bidi w:val="0"/>
        <w:spacing w:before="0" w:line="360" w:lineRule="auto"/>
        <w:ind w:firstLine="64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房 屋 基 本 情 况 表</w:t>
      </w:r>
    </w:p>
    <w:tbl>
      <w:tblPr>
        <w:tblStyle w:val="5"/>
        <w:tblpPr w:leftFromText="180" w:rightFromText="180" w:vertAnchor="text" w:horzAnchor="page" w:tblpX="1302" w:tblpY="615"/>
        <w:tblOverlap w:val="never"/>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5"/>
        <w:gridCol w:w="1110"/>
        <w:gridCol w:w="900"/>
        <w:gridCol w:w="1685"/>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4225"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center"/>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位</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lang w:eastAsia="zh-CN"/>
              </w:rPr>
              <w:t>置</w:t>
            </w:r>
          </w:p>
        </w:tc>
        <w:tc>
          <w:tcPr>
            <w:tcW w:w="111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center"/>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所有人</w:t>
            </w:r>
          </w:p>
        </w:tc>
        <w:tc>
          <w:tcPr>
            <w:tcW w:w="90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both"/>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用途</w:t>
            </w:r>
          </w:p>
        </w:tc>
        <w:tc>
          <w:tcPr>
            <w:tcW w:w="1685"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center"/>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rPr>
              <w:t>面积（㎡</w:t>
            </w:r>
            <w:r>
              <w:rPr>
                <w:rFonts w:hint="eastAsia" w:ascii="仿宋" w:hAnsi="仿宋" w:eastAsia="仿宋" w:cs="仿宋"/>
                <w:b w:val="0"/>
                <w:bCs w:val="0"/>
                <w:sz w:val="28"/>
                <w:szCs w:val="28"/>
                <w:lang w:eastAsia="zh-CN"/>
              </w:rPr>
              <w:t>）</w:t>
            </w:r>
          </w:p>
        </w:tc>
        <w:tc>
          <w:tcPr>
            <w:tcW w:w="150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center"/>
              <w:textAlignment w:val="auto"/>
              <w:rPr>
                <w:rFonts w:hint="eastAsia" w:ascii="仿宋" w:hAnsi="仿宋" w:eastAsia="仿宋" w:cs="仿宋"/>
                <w:b w:val="0"/>
                <w:bCs w:val="0"/>
                <w:sz w:val="28"/>
                <w:szCs w:val="28"/>
              </w:rPr>
            </w:pPr>
            <w:r>
              <w:rPr>
                <w:rFonts w:hint="eastAsia" w:ascii="仿宋" w:hAnsi="仿宋" w:eastAsia="仿宋" w:cs="仿宋"/>
                <w:b w:val="0"/>
                <w:bCs w:val="0"/>
                <w:sz w:val="28"/>
                <w:szCs w:val="28"/>
              </w:rPr>
              <w:t>所在楼层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225"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240" w:lineRule="auto"/>
              <w:jc w:val="both"/>
              <w:textAlignment w:val="auto"/>
              <w:rPr>
                <w:rFonts w:hint="eastAsia" w:ascii="仿宋" w:hAnsi="仿宋" w:eastAsia="仿宋" w:cs="仿宋"/>
                <w:sz w:val="28"/>
                <w:szCs w:val="28"/>
                <w:lang w:val="en-US" w:eastAsia="zh-CN"/>
              </w:rPr>
            </w:pPr>
            <w:r>
              <w:rPr>
                <w:rFonts w:hint="eastAsia" w:ascii="仿宋" w:hAnsi="仿宋" w:eastAsia="仿宋" w:cs="仿宋"/>
                <w:color w:val="000000"/>
                <w:kern w:val="0"/>
                <w:sz w:val="32"/>
                <w:szCs w:val="32"/>
                <w:lang w:val="en-US" w:eastAsia="zh-CN" w:bidi="ar"/>
              </w:rPr>
              <w:t>贵州省黔西市里沙大道里沙综合农贸超市1幢1单元13层7号房屋</w:t>
            </w:r>
          </w:p>
        </w:tc>
        <w:tc>
          <w:tcPr>
            <w:tcW w:w="111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center"/>
              <w:textAlignment w:val="auto"/>
              <w:rPr>
                <w:rFonts w:hint="eastAsia" w:ascii="仿宋" w:hAnsi="仿宋" w:eastAsia="仿宋" w:cs="仿宋"/>
                <w:sz w:val="28"/>
                <w:szCs w:val="28"/>
                <w:lang w:val="en-US" w:eastAsia="zh-CN"/>
              </w:rPr>
            </w:pPr>
            <w:r>
              <w:rPr>
                <w:rFonts w:hint="eastAsia" w:ascii="仿宋" w:hAnsi="仿宋" w:eastAsia="仿宋" w:cs="仿宋"/>
                <w:color w:val="000000"/>
                <w:kern w:val="0"/>
                <w:sz w:val="28"/>
                <w:szCs w:val="28"/>
                <w:lang w:val="en-US" w:eastAsia="zh-CN" w:bidi="ar"/>
              </w:rPr>
              <w:t>彭中群</w:t>
            </w:r>
          </w:p>
        </w:tc>
        <w:tc>
          <w:tcPr>
            <w:tcW w:w="90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住宅</w:t>
            </w:r>
          </w:p>
        </w:tc>
        <w:tc>
          <w:tcPr>
            <w:tcW w:w="1685"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center"/>
              <w:textAlignment w:val="auto"/>
              <w:rPr>
                <w:rFonts w:hint="default" w:ascii="仿宋" w:hAnsi="仿宋" w:eastAsia="仿宋" w:cs="仿宋"/>
                <w:b w:val="0"/>
                <w:bCs w:val="0"/>
                <w:color w:val="0C0C0C"/>
                <w:sz w:val="28"/>
                <w:szCs w:val="28"/>
                <w:lang w:val="en-US" w:eastAsia="zh-CN"/>
              </w:rPr>
            </w:pPr>
            <w:r>
              <w:rPr>
                <w:rFonts w:hint="eastAsia" w:ascii="仿宋" w:hAnsi="仿宋" w:eastAsia="仿宋" w:cs="仿宋"/>
                <w:b w:val="0"/>
                <w:bCs w:val="0"/>
                <w:color w:val="0C0C0C"/>
                <w:sz w:val="28"/>
                <w:szCs w:val="28"/>
                <w:lang w:val="en-US" w:eastAsia="zh-CN"/>
              </w:rPr>
              <w:t>128.92</w:t>
            </w:r>
          </w:p>
        </w:tc>
        <w:tc>
          <w:tcPr>
            <w:tcW w:w="1500" w:type="dxa"/>
            <w:noWrap w:val="0"/>
            <w:vAlign w:val="center"/>
          </w:tcPr>
          <w:p>
            <w:pPr>
              <w:keepNext w:val="0"/>
              <w:keepLines w:val="0"/>
              <w:pageBreakBefore w:val="0"/>
              <w:framePr w:wrap="auto" w:vAnchor="margin" w:hAnchor="text" w:yAlign="inline"/>
              <w:widowControl w:val="0"/>
              <w:kinsoku/>
              <w:wordWrap/>
              <w:overflowPunct/>
              <w:topLinePunct w:val="0"/>
              <w:autoSpaceDE/>
              <w:autoSpaceDN/>
              <w:bidi w:val="0"/>
              <w:adjustRightInd w:val="0"/>
              <w:snapToGrid w:val="0"/>
              <w:spacing w:before="0" w:line="360" w:lineRule="auto"/>
              <w:jc w:val="center"/>
              <w:textAlignment w:val="auto"/>
              <w:rPr>
                <w:rFonts w:hint="default" w:ascii="仿宋" w:hAnsi="仿宋" w:eastAsia="仿宋" w:cs="仿宋"/>
                <w:b w:val="0"/>
                <w:bCs w:val="0"/>
                <w:color w:val="0C0C0C"/>
                <w:sz w:val="28"/>
                <w:szCs w:val="28"/>
                <w:lang w:val="en-US" w:eastAsia="zh-CN"/>
              </w:rPr>
            </w:pPr>
            <w:r>
              <w:rPr>
                <w:rFonts w:hint="eastAsia" w:ascii="仿宋" w:hAnsi="仿宋" w:eastAsia="仿宋" w:cs="仿宋"/>
                <w:b w:val="0"/>
                <w:bCs w:val="0"/>
                <w:color w:val="0C0C0C"/>
                <w:sz w:val="28"/>
                <w:szCs w:val="28"/>
                <w:lang w:val="en-US" w:eastAsia="zh-CN"/>
              </w:rPr>
              <w:t>13</w:t>
            </w:r>
          </w:p>
        </w:tc>
      </w:tr>
    </w:tbl>
    <w:p>
      <w:pPr>
        <w:keepNext w:val="0"/>
        <w:keepLines w:val="0"/>
        <w:pageBreakBefore w:val="0"/>
        <w:framePr w:wrap="auto" w:vAnchor="margin" w:hAnchor="text" w:yAlign="inline"/>
        <w:widowControl w:val="0"/>
        <w:numPr>
          <w:ilvl w:val="0"/>
          <w:numId w:val="0"/>
        </w:numPr>
        <w:kinsoku/>
        <w:wordWrap/>
        <w:overflowPunct/>
        <w:topLinePunct w:val="0"/>
        <w:autoSpaceDE/>
        <w:autoSpaceDN/>
        <w:bidi w:val="0"/>
        <w:adjustRightInd/>
        <w:snapToGrid/>
        <w:spacing w:before="0" w:line="360" w:lineRule="auto"/>
        <w:jc w:val="center"/>
        <w:textAlignment w:val="auto"/>
        <w:rPr>
          <w:rFonts w:hint="eastAsia" w:ascii="仿宋" w:hAnsi="仿宋" w:eastAsia="仿宋" w:cs="仿宋"/>
          <w:b w:val="0"/>
          <w:bCs w:val="0"/>
          <w:sz w:val="32"/>
          <w:szCs w:val="32"/>
          <w:lang w:val="en-US" w:eastAsia="zh-CN"/>
        </w:rPr>
      </w:pPr>
    </w:p>
    <w:p>
      <w:pPr>
        <w:keepNext w:val="0"/>
        <w:keepLines w:val="0"/>
        <w:pageBreakBefore w:val="0"/>
        <w:framePr w:wrap="auto" w:vAnchor="margin" w:hAnchor="text" w:yAlign="inline"/>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spacing w:before="0" w:line="360" w:lineRule="auto"/>
        <w:jc w:val="both"/>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    本</w:t>
      </w:r>
      <w:r>
        <w:rPr>
          <w:rFonts w:hint="eastAsia" w:ascii="仿宋" w:hAnsi="仿宋" w:eastAsia="仿宋" w:cs="仿宋"/>
          <w:color w:val="000000"/>
          <w:kern w:val="0"/>
          <w:sz w:val="32"/>
          <w:szCs w:val="32"/>
          <w:lang w:eastAsia="zh-CN"/>
        </w:rPr>
        <w:t>公司选择了近期交易成功且具有同类交易性质的</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里沙大道财富广场</w:t>
      </w:r>
      <w:r>
        <w:rPr>
          <w:rFonts w:hint="eastAsia" w:ascii="仿宋" w:hAnsi="仿宋" w:eastAsia="仿宋" w:cs="仿宋"/>
          <w:color w:val="000000" w:themeColor="text1"/>
          <w:kern w:val="0"/>
          <w:sz w:val="32"/>
          <w:szCs w:val="32"/>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里沙大道瑞丰铭苑</w:t>
      </w:r>
      <w:r>
        <w:rPr>
          <w:rFonts w:hint="eastAsia" w:ascii="仿宋" w:hAnsi="仿宋" w:eastAsia="仿宋" w:cs="仿宋"/>
          <w:color w:val="000000" w:themeColor="text1"/>
          <w:kern w:val="0"/>
          <w:sz w:val="32"/>
          <w:szCs w:val="32"/>
          <w:lang w:val="en-US" w:eastAsia="zh-CN"/>
          <w14:textFill>
            <w14:solidFill>
              <w14:schemeClr w14:val="tx1"/>
            </w14:solidFill>
          </w14:textFill>
        </w:rPr>
        <w:t>和</w:t>
      </w:r>
      <w:r>
        <w:rPr>
          <w:rFonts w:hint="eastAsia" w:ascii="仿宋" w:hAnsi="仿宋" w:eastAsia="仿宋" w:cs="仿宋"/>
          <w:i w:val="0"/>
          <w:caps w:val="0"/>
          <w:color w:val="000000" w:themeColor="text1"/>
          <w:spacing w:val="0"/>
          <w:sz w:val="32"/>
          <w:szCs w:val="32"/>
          <w:lang w:val="en-US" w:eastAsia="zh-CN"/>
          <w14:textFill>
            <w14:solidFill>
              <w14:schemeClr w14:val="tx1"/>
            </w14:solidFill>
          </w14:textFill>
        </w:rPr>
        <w:t>莲城大道黔城丽景</w:t>
      </w:r>
      <w:r>
        <w:rPr>
          <w:rFonts w:hint="eastAsia" w:ascii="仿宋" w:hAnsi="仿宋" w:eastAsia="仿宋" w:cs="仿宋"/>
          <w:color w:val="000000"/>
          <w:kern w:val="0"/>
          <w:sz w:val="32"/>
          <w:szCs w:val="32"/>
          <w:lang w:val="en-US" w:eastAsia="zh-CN"/>
        </w:rPr>
        <w:t>三套住宅房案例进行了比较，并参照标的物进行交易情况修正、交易时间修正、区域因素修正和个别因素修正后，进行认真分析、研究，认为计算结果符合标的物的实际情况。最后进行价格评估结果分析,撰写评估报告,内部复核定稿。</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1" w:firstLineChars="100"/>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九、价格评估假设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（一）评估前提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本次评估是以评估对象在公开市场上进行交易、正处于使用状态且将继续使用下去为评估假释前提。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（二）基本假设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1、以委托人与被评估单位提供的全部文件材料真实、有效、准确为条件。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2、以国家宏观经济政策和所在地区社会经济环境没有发生重大变化为条件。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3、以经营业务及评估所依据的税收政策、信贷利率、汇率等没有发生足以影响评估结论的重大变化为条件。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（三）具体假设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1、评估结论是以委托方列入评估范围的彭中群名下位于贵州省黔西市里沙大道里沙综合农贸超市1幢1单元13层7号房屋</w:t>
      </w:r>
      <w:r>
        <w:rPr>
          <w:rFonts w:hint="eastAsia" w:ascii="仿宋" w:hAnsi="仿宋" w:eastAsia="仿宋" w:cs="仿宋"/>
          <w:kern w:val="2"/>
          <w:sz w:val="32"/>
          <w:szCs w:val="32"/>
        </w:rPr>
        <w:t>一套的价值</w:t>
      </w:r>
      <w:r>
        <w:rPr>
          <w:rFonts w:hint="eastAsia" w:ascii="仿宋" w:hAnsi="仿宋" w:eastAsia="仿宋" w:cs="仿宋"/>
          <w:color w:val="auto"/>
          <w:sz w:val="32"/>
          <w:szCs w:val="32"/>
          <w:u w:val="none"/>
          <w:lang w:eastAsia="zh-CN"/>
        </w:rPr>
        <w:t>在</w:t>
      </w:r>
      <w:r>
        <w:rPr>
          <w:rFonts w:hint="eastAsia" w:ascii="仿宋" w:hAnsi="仿宋" w:eastAsia="仿宋" w:cs="仿宋"/>
          <w:color w:val="000000"/>
          <w:kern w:val="0"/>
          <w:sz w:val="32"/>
          <w:szCs w:val="32"/>
          <w:lang w:val="en-US" w:eastAsia="zh-CN" w:bidi="ar"/>
        </w:rPr>
        <w:t xml:space="preserve">现有情况、现行用途不变的条件下，在评估基准日 2022年4月21日的市场价格的反映为具体条件,没有对其他财产进行评估;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2、本评估报告及评估结论是依据上述评估前提、基本假设和具体条件，以及本评估报告中确定的原则、依据、条件、方法和程序得出的结果，若上述前提和假设条件发生变化时，本评估报告及评估结论自行失效。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十、价格评估结论 </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333333"/>
          <w:kern w:val="0"/>
          <w:sz w:val="32"/>
          <w:szCs w:val="32"/>
          <w:shd w:val="clear" w:color="auto" w:fill="FFFFFF"/>
          <w:lang w:val="en-US" w:eastAsia="zh-CN" w:bidi="ar"/>
        </w:rPr>
      </w:pPr>
      <w:r>
        <w:rPr>
          <w:rFonts w:hint="eastAsia" w:ascii="仿宋" w:hAnsi="仿宋" w:eastAsia="仿宋" w:cs="仿宋"/>
          <w:color w:val="000000"/>
          <w:kern w:val="0"/>
          <w:sz w:val="32"/>
          <w:szCs w:val="32"/>
          <w:lang w:val="en-US" w:eastAsia="zh-CN" w:bidi="ar"/>
        </w:rPr>
        <w:t xml:space="preserve">   委估对象彭中群名下位于贵州省黔西市里沙大道里沙综合农贸超市1幢1单元13层7号房屋</w:t>
      </w:r>
      <w:r>
        <w:rPr>
          <w:rFonts w:hint="eastAsia" w:ascii="仿宋" w:hAnsi="仿宋" w:eastAsia="仿宋" w:cs="仿宋"/>
          <w:kern w:val="2"/>
          <w:sz w:val="32"/>
          <w:szCs w:val="32"/>
        </w:rPr>
        <w:t>一套的</w:t>
      </w:r>
      <w:r>
        <w:rPr>
          <w:rFonts w:hint="eastAsia" w:ascii="仿宋" w:hAnsi="仿宋" w:eastAsia="仿宋" w:cs="仿宋"/>
          <w:kern w:val="2"/>
          <w:sz w:val="32"/>
          <w:szCs w:val="32"/>
          <w:lang w:eastAsia="zh-CN"/>
        </w:rPr>
        <w:t>市场</w:t>
      </w:r>
      <w:r>
        <w:rPr>
          <w:rFonts w:hint="eastAsia" w:ascii="仿宋" w:hAnsi="仿宋" w:eastAsia="仿宋" w:cs="仿宋"/>
          <w:kern w:val="2"/>
          <w:sz w:val="32"/>
          <w:szCs w:val="32"/>
        </w:rPr>
        <w:t>价值</w:t>
      </w:r>
      <w:r>
        <w:rPr>
          <w:rFonts w:hint="eastAsia" w:ascii="仿宋" w:hAnsi="仿宋" w:eastAsia="仿宋" w:cs="仿宋"/>
          <w:color w:val="000000"/>
          <w:kern w:val="0"/>
          <w:sz w:val="32"/>
          <w:szCs w:val="32"/>
          <w:lang w:val="en-US" w:eastAsia="zh-CN" w:bidi="ar"/>
        </w:rPr>
        <w:t>在评估基准日的市场价格为人民币大写</w:t>
      </w:r>
      <w:r>
        <w:rPr>
          <w:rFonts w:hint="eastAsia" w:ascii="仿宋" w:hAnsi="仿宋" w:eastAsia="仿宋" w:cs="仿宋"/>
          <w:b/>
          <w:bCs/>
          <w:color w:val="000000"/>
          <w:kern w:val="0"/>
          <w:sz w:val="32"/>
          <w:szCs w:val="32"/>
          <w:lang w:val="en-US" w:eastAsia="zh-CN" w:bidi="ar"/>
        </w:rPr>
        <w:t>肆拾叁万肆仟贰佰元整（小写：¥434,200</w:t>
      </w:r>
      <w:r>
        <w:rPr>
          <w:rFonts w:hint="eastAsia" w:ascii="仿宋" w:hAnsi="仿宋" w:eastAsia="仿宋" w:cs="仿宋"/>
          <w:b/>
          <w:bCs w:val="0"/>
          <w:i w:val="0"/>
          <w:caps w:val="0"/>
          <w:color w:val="262626" w:themeColor="text1" w:themeTint="D9"/>
          <w:spacing w:val="0"/>
          <w:kern w:val="0"/>
          <w:sz w:val="32"/>
          <w:szCs w:val="32"/>
          <w:shd w:val="clear" w:color="auto" w:fill="FFFFFF"/>
          <w:lang w:val="en-US" w:eastAsia="zh-CN" w:bidi="ar"/>
          <w14:textFill>
            <w14:solidFill>
              <w14:schemeClr w14:val="tx1">
                <w14:lumMod w14:val="85000"/>
                <w14:lumOff w14:val="15000"/>
              </w14:schemeClr>
            </w14:solidFill>
          </w14:textFill>
        </w:rPr>
        <w:t>元</w:t>
      </w:r>
      <w:r>
        <w:rPr>
          <w:rFonts w:hint="eastAsia" w:ascii="仿宋" w:hAnsi="仿宋" w:eastAsia="仿宋" w:cs="仿宋"/>
          <w:b/>
          <w:bCs/>
          <w:color w:val="333333"/>
          <w:kern w:val="0"/>
          <w:sz w:val="32"/>
          <w:szCs w:val="32"/>
          <w:shd w:val="clear" w:color="auto" w:fill="FFFFFF"/>
          <w:lang w:val="en-US" w:eastAsia="zh-CN" w:bidi="ar"/>
        </w:rPr>
        <w:t>），评估单价3,368.00元/㎡。</w:t>
      </w:r>
      <w:r>
        <w:rPr>
          <w:rFonts w:hint="eastAsia" w:ascii="仿宋" w:hAnsi="仿宋" w:eastAsia="仿宋" w:cs="仿宋"/>
          <w:color w:val="333333"/>
          <w:kern w:val="0"/>
          <w:sz w:val="32"/>
          <w:szCs w:val="32"/>
          <w:shd w:val="clear" w:color="auto" w:fill="FFFFFF"/>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十一、特别事项说明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在评估过程中，委托人和相关当事人提供的与评估相关的所有资料是编制本报告的基础，委托人和相关当事人对其所提供资料的可靠性、真实性、准确性、完整性负责；价格鉴证师的责任是对评估对象在评估基准日特定目的下的价格进行分析、估算并发表专业意见。若委托人和被评估单位有意隐匿或提供虚假的资料以使评估人员在委估资产产权调查和评定估算中产生误导，委托人与相关当事人应承担由此而产生的一切法律后果。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b/>
          <w:color w:val="000000"/>
          <w:kern w:val="0"/>
          <w:sz w:val="32"/>
          <w:szCs w:val="32"/>
          <w:lang w:val="en-US" w:eastAsia="zh-CN" w:bidi="ar"/>
        </w:rPr>
        <w:t xml:space="preserve">十二、价格评估报告使用限制说明 </w:t>
      </w:r>
      <w:bookmarkStart w:id="0" w:name="_GoBack"/>
      <w:bookmarkEnd w:id="0"/>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一）本评估报告仅供委托人及价格鉴证评估委托书中载明的其他报告使用人为本次评估目的使用和送交相关主管机关审查使用。未征得出具评估报告的评估机构同意，评估报告的内容不得被摘抄、引用或披露于公开媒体，法律、法规规定以及相关当事人另有约定的除外。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（二）本评估报告的评估结论有效使用期为一年，即自 2022年4月21日至 2023年4月20日。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b/>
          <w:color w:val="000000"/>
          <w:kern w:val="0"/>
          <w:sz w:val="32"/>
          <w:szCs w:val="32"/>
          <w:lang w:val="en-US" w:eastAsia="zh-CN" w:bidi="ar"/>
        </w:rPr>
        <w:t xml:space="preserve">   十三、评估报告日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   本评估报告日为 2022年4月29日。 </w:t>
      </w:r>
    </w:p>
    <w:p>
      <w:pPr>
        <w:framePr w:wrap="auto" w:vAnchor="margin" w:hAnchor="text" w:yAlign="inline"/>
        <w:numPr>
          <w:ilvl w:val="0"/>
          <w:numId w:val="0"/>
        </w:numPr>
        <w:spacing w:line="360" w:lineRule="auto"/>
        <w:ind w:left="480" w:leftChars="0"/>
        <w:rPr>
          <w:rFonts w:hint="eastAsia" w:ascii="仿宋" w:hAnsi="仿宋" w:eastAsia="仿宋" w:cs="仿宋"/>
          <w:sz w:val="32"/>
          <w:szCs w:val="32"/>
          <w:lang w:val="en-US" w:eastAsia="zh-CN"/>
        </w:rPr>
      </w:pPr>
      <w:r>
        <w:rPr>
          <w:rFonts w:hint="eastAsia" w:ascii="仿宋" w:hAnsi="仿宋" w:eastAsia="仿宋" w:cs="仿宋"/>
          <w:b/>
          <w:color w:val="000000"/>
          <w:kern w:val="0"/>
          <w:sz w:val="32"/>
          <w:szCs w:val="32"/>
          <w:lang w:val="en-US" w:eastAsia="zh-CN" w:bidi="ar"/>
        </w:rPr>
        <w:t>十四、</w:t>
      </w:r>
      <w:r>
        <w:rPr>
          <w:rFonts w:hint="eastAsia" w:ascii="仿宋" w:hAnsi="仿宋" w:eastAsia="仿宋" w:cs="仿宋"/>
          <w:b/>
          <w:bCs/>
          <w:sz w:val="32"/>
          <w:szCs w:val="32"/>
          <w:lang w:eastAsia="zh-CN"/>
        </w:rPr>
        <w:t>评估</w:t>
      </w:r>
      <w:r>
        <w:rPr>
          <w:rFonts w:hint="eastAsia" w:ascii="仿宋" w:hAnsi="仿宋" w:eastAsia="仿宋" w:cs="仿宋"/>
          <w:b/>
          <w:bCs/>
          <w:sz w:val="32"/>
          <w:szCs w:val="32"/>
        </w:rPr>
        <w:t>机构名称：</w:t>
      </w:r>
      <w:r>
        <w:rPr>
          <w:rFonts w:hint="eastAsia" w:ascii="仿宋" w:hAnsi="仿宋" w:eastAsia="仿宋" w:cs="仿宋"/>
          <w:sz w:val="32"/>
          <w:szCs w:val="32"/>
          <w:lang w:eastAsia="zh-CN"/>
        </w:rPr>
        <w:t>贵州世强价格评估有限公司</w:t>
      </w:r>
      <w:r>
        <w:rPr>
          <w:rFonts w:hint="eastAsia" w:ascii="仿宋" w:hAnsi="仿宋" w:eastAsia="仿宋" w:cs="仿宋"/>
          <w:sz w:val="32"/>
          <w:szCs w:val="32"/>
          <w:lang w:val="en-US" w:eastAsia="zh-CN"/>
        </w:rPr>
        <w:t xml:space="preserve">  </w:t>
      </w:r>
    </w:p>
    <w:p>
      <w:pPr>
        <w:framePr w:wrap="auto" w:vAnchor="margin" w:hAnchor="text" w:yAlign="inline"/>
        <w:spacing w:line="360" w:lineRule="auto"/>
        <w:ind w:firstLine="640" w:firstLineChars="200"/>
        <w:rPr>
          <w:rFonts w:hint="eastAsia" w:ascii="仿宋" w:hAnsi="仿宋" w:eastAsia="仿宋" w:cs="仿宋"/>
          <w:kern w:val="1"/>
          <w:sz w:val="32"/>
          <w:szCs w:val="32"/>
          <w:lang w:val="en-US" w:eastAsia="zh-CN"/>
        </w:rPr>
      </w:pPr>
      <w:r>
        <w:rPr>
          <w:rFonts w:hint="eastAsia" w:ascii="仿宋" w:hAnsi="仿宋" w:eastAsia="仿宋" w:cs="仿宋"/>
          <w:sz w:val="32"/>
          <w:szCs w:val="32"/>
        </w:rPr>
        <w:t>机构资质证书证号：</w:t>
      </w:r>
      <w:r>
        <w:rPr>
          <w:rFonts w:hint="eastAsia" w:ascii="仿宋" w:hAnsi="仿宋" w:eastAsia="仿宋" w:cs="仿宋"/>
          <w:kern w:val="1"/>
          <w:sz w:val="32"/>
          <w:szCs w:val="32"/>
          <w:lang w:val="en-US" w:eastAsia="zh-CN"/>
        </w:rPr>
        <w:t>中J240017</w:t>
      </w:r>
    </w:p>
    <w:p>
      <w:pPr>
        <w:framePr w:wrap="auto" w:vAnchor="margin" w:hAnchor="text" w:yAlign="inline"/>
        <w:spacing w:line="360" w:lineRule="auto"/>
        <w:ind w:firstLine="640" w:firstLineChars="200"/>
        <w:rPr>
          <w:rFonts w:hint="eastAsia" w:ascii="仿宋" w:hAnsi="仿宋" w:eastAsia="仿宋" w:cs="仿宋"/>
          <w:kern w:val="1"/>
          <w:sz w:val="32"/>
          <w:szCs w:val="32"/>
          <w:lang w:val="en-US" w:eastAsia="zh-CN"/>
        </w:rPr>
      </w:pPr>
    </w:p>
    <w:p>
      <w:pPr>
        <w:framePr w:wrap="auto" w:vAnchor="margin" w:hAnchor="text" w:yAlign="inline"/>
        <w:spacing w:line="360" w:lineRule="auto"/>
        <w:ind w:firstLine="640" w:firstLineChars="200"/>
        <w:rPr>
          <w:rFonts w:hint="eastAsia" w:ascii="仿宋" w:hAnsi="仿宋" w:eastAsia="仿宋" w:cs="仿宋"/>
          <w:b/>
          <w:bCs/>
          <w:color w:val="000000"/>
          <w:kern w:val="0"/>
          <w:sz w:val="32"/>
          <w:szCs w:val="32"/>
          <w:lang w:val="en-US" w:eastAsia="zh-CN" w:bidi="ar"/>
        </w:rPr>
      </w:pPr>
      <w:r>
        <w:rPr>
          <w:rFonts w:hint="eastAsia" w:ascii="仿宋" w:hAnsi="仿宋" w:eastAsia="仿宋" w:cs="仿宋"/>
          <w:kern w:val="1"/>
          <w:sz w:val="32"/>
          <w:szCs w:val="32"/>
          <w:lang w:val="en-US" w:eastAsia="zh-CN"/>
        </w:rPr>
        <w:t>法定代表人（盖章）：</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321" w:firstLineChars="1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bCs/>
          <w:color w:val="000000"/>
          <w:kern w:val="0"/>
          <w:sz w:val="32"/>
          <w:szCs w:val="32"/>
          <w:lang w:val="en-US" w:eastAsia="zh-CN" w:bidi="ar"/>
        </w:rPr>
        <w:t xml:space="preserve"> 十五、价格鉴证师签字、评估机构签章。 </w:t>
      </w:r>
      <w:r>
        <w:rPr>
          <w:rFonts w:hint="eastAsia" w:ascii="仿宋" w:hAnsi="仿宋" w:eastAsia="仿宋" w:cs="仿宋"/>
          <w:b w:val="0"/>
          <w:bCs w:val="0"/>
          <w:sz w:val="32"/>
          <w:szCs w:val="32"/>
          <w:lang w:val="en-US" w:eastAsia="zh-CN"/>
        </w:rPr>
        <w:t xml:space="preserve"> </w:t>
      </w:r>
    </w:p>
    <w:p>
      <w:pPr>
        <w:framePr w:wrap="auto" w:vAnchor="margin" w:hAnchor="text" w:yAlign="inline"/>
        <w:numPr>
          <w:ilvl w:val="0"/>
          <w:numId w:val="0"/>
        </w:numPr>
        <w:ind w:firstLine="320" w:firstLineChars="100"/>
        <w:rPr>
          <w:rFonts w:hint="eastAsia" w:ascii="仿宋" w:hAnsi="仿宋" w:eastAsia="仿宋" w:cs="仿宋"/>
          <w:color w:val="000000"/>
          <w:kern w:val="0"/>
          <w:sz w:val="32"/>
          <w:szCs w:val="32"/>
          <w:lang w:val="en-US" w:eastAsia="zh-CN"/>
        </w:rPr>
      </w:pPr>
      <w:r>
        <w:rPr>
          <w:rFonts w:hint="eastAsia" w:ascii="仿宋" w:hAnsi="仿宋" w:eastAsia="仿宋" w:cs="仿宋"/>
          <w:b w:val="0"/>
          <w:bCs w:val="0"/>
          <w:sz w:val="32"/>
          <w:szCs w:val="32"/>
          <w:lang w:val="en-US" w:eastAsia="zh-CN"/>
        </w:rPr>
        <w:t xml:space="preserve"> 姓  名  执业资格名称   执业证号         签字（盖章）</w:t>
      </w:r>
      <w:r>
        <w:rPr>
          <w:rFonts w:hint="eastAsia" w:ascii="仿宋" w:hAnsi="仿宋" w:eastAsia="仿宋" w:cs="仿宋"/>
          <w:color w:val="000000"/>
          <w:kern w:val="0"/>
          <w:sz w:val="32"/>
          <w:szCs w:val="32"/>
          <w:lang w:val="en-US" w:eastAsia="zh-CN"/>
        </w:rPr>
        <w:t xml:space="preserve"> </w:t>
      </w:r>
    </w:p>
    <w:p>
      <w:pPr>
        <w:framePr w:wrap="auto" w:vAnchor="margin" w:hAnchor="text" w:yAlign="inline"/>
        <w:tabs>
          <w:tab w:val="left" w:pos="916"/>
          <w:tab w:val="left" w:pos="1832"/>
          <w:tab w:val="left" w:pos="2748"/>
          <w:tab w:val="left" w:pos="3664"/>
          <w:tab w:val="left" w:pos="4580"/>
          <w:tab w:val="center" w:pos="4830"/>
          <w:tab w:val="left" w:pos="6412"/>
          <w:tab w:val="left" w:pos="8244"/>
          <w:tab w:val="left" w:pos="10076"/>
          <w:tab w:val="left" w:pos="11908"/>
          <w:tab w:val="left" w:pos="13740"/>
        </w:tabs>
        <w:spacing w:line="300" w:lineRule="atLeast"/>
        <w:rPr>
          <w:rFonts w:hint="eastAsia" w:ascii="仿宋" w:hAnsi="仿宋" w:eastAsia="仿宋" w:cs="仿宋"/>
          <w:color w:val="000000"/>
          <w:kern w:val="0"/>
          <w:sz w:val="32"/>
          <w:szCs w:val="32"/>
          <w:lang w:val="en-US" w:eastAsia="zh-CN"/>
        </w:rPr>
      </w:pPr>
    </w:p>
    <w:p>
      <w:pPr>
        <w:framePr w:wrap="auto" w:vAnchor="margin" w:hAnchor="text" w:yAlign="inline"/>
        <w:tabs>
          <w:tab w:val="left" w:pos="916"/>
          <w:tab w:val="left" w:pos="1832"/>
          <w:tab w:val="left" w:pos="2748"/>
          <w:tab w:val="left" w:pos="3664"/>
          <w:tab w:val="left" w:pos="4580"/>
          <w:tab w:val="center" w:pos="4830"/>
          <w:tab w:val="left" w:pos="6412"/>
          <w:tab w:val="left" w:pos="8244"/>
          <w:tab w:val="left" w:pos="10076"/>
          <w:tab w:val="left" w:pos="11908"/>
          <w:tab w:val="left" w:pos="13740"/>
        </w:tabs>
        <w:spacing w:line="300" w:lineRule="atLeas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鞠治平  价格鉴证师    0008498</w:t>
      </w:r>
      <w:r>
        <w:rPr>
          <w:rFonts w:hint="eastAsia" w:ascii="仿宋" w:hAnsi="仿宋" w:eastAsia="仿宋" w:cs="仿宋"/>
          <w:color w:val="000000"/>
          <w:kern w:val="0"/>
          <w:sz w:val="32"/>
          <w:szCs w:val="32"/>
        </w:rPr>
        <w:t xml:space="preserve"> </w:t>
      </w:r>
    </w:p>
    <w:p>
      <w:pPr>
        <w:framePr w:wrap="auto" w:vAnchor="margin" w:hAnchor="text" w:yAlign="inline"/>
        <w:tabs>
          <w:tab w:val="left" w:pos="916"/>
          <w:tab w:val="left" w:pos="1832"/>
          <w:tab w:val="left" w:pos="2748"/>
          <w:tab w:val="left" w:pos="3664"/>
          <w:tab w:val="left" w:pos="4580"/>
          <w:tab w:val="center" w:pos="4830"/>
          <w:tab w:val="left" w:pos="6412"/>
          <w:tab w:val="left" w:pos="8244"/>
          <w:tab w:val="left" w:pos="10076"/>
          <w:tab w:val="left" w:pos="11908"/>
          <w:tab w:val="left" w:pos="13740"/>
        </w:tabs>
        <w:spacing w:line="300" w:lineRule="atLeast"/>
        <w:ind w:firstLine="320" w:firstLineChars="1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ab/>
      </w:r>
      <w:r>
        <w:rPr>
          <w:rFonts w:hint="eastAsia" w:ascii="仿宋" w:hAnsi="仿宋" w:eastAsia="仿宋" w:cs="仿宋"/>
          <w:color w:val="000000"/>
          <w:kern w:val="0"/>
          <w:sz w:val="32"/>
          <w:szCs w:val="32"/>
          <w:lang w:val="en-US" w:eastAsia="zh-CN"/>
        </w:rPr>
        <w:t xml:space="preserve"> </w:t>
      </w:r>
    </w:p>
    <w:p>
      <w:pPr>
        <w:keepNext w:val="0"/>
        <w:keepLines w:val="0"/>
        <w:framePr w:wrap="auto" w:vAnchor="margin" w:hAnchor="text" w:yAlign="inline"/>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framePr w:wrap="auto" w:vAnchor="margin" w:hAnchor="text" w:yAlign="inline"/>
        <w:widowControl/>
        <w:suppressLineNumbers w:val="0"/>
        <w:ind w:firstLine="640" w:firstLineChars="20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徐世强  </w:t>
      </w:r>
      <w:r>
        <w:rPr>
          <w:rFonts w:hint="eastAsia" w:ascii="仿宋" w:hAnsi="仿宋" w:eastAsia="仿宋" w:cs="仿宋"/>
          <w:color w:val="000000"/>
          <w:kern w:val="0"/>
          <w:sz w:val="32"/>
          <w:szCs w:val="32"/>
          <w:lang w:val="en-US" w:eastAsia="zh-CN"/>
        </w:rPr>
        <w:t>价格鉴证师    0019030</w:t>
      </w:r>
      <w:r>
        <w:rPr>
          <w:rFonts w:hint="eastAsia" w:ascii="仿宋" w:hAnsi="仿宋" w:eastAsia="仿宋" w:cs="仿宋"/>
          <w:color w:val="000000"/>
          <w:kern w:val="0"/>
          <w:sz w:val="32"/>
          <w:szCs w:val="32"/>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643"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十六、 价格评估报告附件</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(一)</w:t>
      </w:r>
      <w:r>
        <w:rPr>
          <w:rFonts w:hint="eastAsia" w:ascii="仿宋" w:hAnsi="仿宋" w:eastAsia="仿宋" w:cs="仿宋"/>
          <w:color w:val="000000"/>
          <w:kern w:val="0"/>
          <w:sz w:val="32"/>
          <w:szCs w:val="32"/>
          <w:lang w:val="en-US" w:eastAsia="zh-CN" w:bidi="ar"/>
        </w:rPr>
        <w:t>(2022)黔法委字73号 《委托评估书》；</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 xml:space="preserve">    (二)</w:t>
      </w:r>
      <w:r>
        <w:rPr>
          <w:rFonts w:hint="eastAsia" w:ascii="仿宋" w:hAnsi="仿宋" w:eastAsia="仿宋" w:cs="仿宋"/>
          <w:b w:val="0"/>
          <w:bCs w:val="0"/>
          <w:sz w:val="32"/>
          <w:szCs w:val="32"/>
        </w:rPr>
        <w:t>承诺书</w:t>
      </w:r>
      <w:r>
        <w:rPr>
          <w:rFonts w:hint="eastAsia" w:ascii="仿宋" w:hAnsi="仿宋" w:eastAsia="仿宋" w:cs="仿宋"/>
          <w:b w:val="0"/>
          <w:bCs w:val="0"/>
          <w:sz w:val="32"/>
          <w:szCs w:val="32"/>
          <w:lang w:eastAsia="zh-CN"/>
        </w:rPr>
        <w:t>、工作计划</w:t>
      </w:r>
      <w:r>
        <w:rPr>
          <w:rFonts w:hint="eastAsia" w:ascii="仿宋" w:hAnsi="仿宋" w:eastAsia="仿宋" w:cs="仿宋"/>
          <w:color w:val="000000"/>
          <w:kern w:val="0"/>
          <w:sz w:val="32"/>
          <w:szCs w:val="32"/>
          <w:lang w:val="en-US" w:eastAsia="zh-CN" w:bidi="ar"/>
        </w:rPr>
        <w:t>；</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320" w:firstLineChars="1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(三)贵州省不动产登记查询结果；</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(四)民事调解书、执行裁定书；</w:t>
      </w:r>
    </w:p>
    <w:p>
      <w:pPr>
        <w:keepNext w:val="0"/>
        <w:keepLines w:val="0"/>
        <w:pageBreakBefore w:val="0"/>
        <w:framePr w:wrap="auto" w:vAnchor="margin" w:hAnchor="text" w:yAlign="inline"/>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firstLine="640" w:firstLineChars="200"/>
        <w:jc w:val="left"/>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(五)现场照片；</w:t>
      </w:r>
    </w:p>
    <w:p>
      <w:pPr>
        <w:keepNext w:val="0"/>
        <w:keepLines w:val="0"/>
        <w:pageBreakBefore w:val="0"/>
        <w:framePr w:wrap="auto" w:vAnchor="margin" w:hAnchor="text" w:yAlign="inline"/>
        <w:widowControl/>
        <w:numPr>
          <w:ilvl w:val="0"/>
          <w:numId w:val="0"/>
        </w:numPr>
        <w:tabs>
          <w:tab w:val="left" w:pos="851"/>
          <w:tab w:val="left" w:pos="993"/>
          <w:tab w:val="left" w:pos="1134"/>
        </w:tabs>
        <w:kinsoku/>
        <w:wordWrap/>
        <w:overflowPunct/>
        <w:topLinePunct w:val="0"/>
        <w:autoSpaceDE/>
        <w:autoSpaceDN/>
        <w:bidi w:val="0"/>
        <w:adjustRightInd/>
        <w:snapToGrid/>
        <w:spacing w:line="360" w:lineRule="auto"/>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(六)评估公司营业执照、资质证书及评估人员证书复印件。</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lang w:val="en-US" w:eastAsia="zh-CN"/>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32"/>
          <w:szCs w:val="32"/>
          <w:lang w:val="en-US" w:eastAsia="zh-CN"/>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ind w:firstLine="4480" w:firstLineChars="14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贵州世强价格评估有限公司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p>
    <w:p>
      <w:pPr>
        <w:keepNext w:val="0"/>
        <w:keepLines w:val="0"/>
        <w:pageBreakBefore w:val="0"/>
        <w:framePr w:wrap="auto" w:vAnchor="margin" w:hAnchor="text" w:yAlign="inline"/>
        <w:widowControl/>
        <w:suppressLineNumbers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32"/>
          <w:szCs w:val="32"/>
          <w:lang w:val="en-US" w:eastAsia="zh-CN"/>
        </w:rPr>
      </w:pPr>
      <w:r>
        <w:rPr>
          <w:rFonts w:hint="eastAsia" w:ascii="仿宋" w:hAnsi="仿宋" w:eastAsia="仿宋" w:cs="仿宋"/>
          <w:color w:val="000000"/>
          <w:kern w:val="0"/>
          <w:sz w:val="32"/>
          <w:szCs w:val="32"/>
          <w:lang w:val="en-US" w:eastAsia="zh-CN" w:bidi="ar"/>
        </w:rPr>
        <w:t xml:space="preserve">                    二○二二年四月二十九日 </w:t>
      </w:r>
      <w:r>
        <w:rPr>
          <w:rFonts w:hint="eastAsia" w:ascii="仿宋" w:hAnsi="仿宋" w:eastAsia="仿宋" w:cs="仿宋"/>
          <w:sz w:val="32"/>
          <w:szCs w:val="32"/>
          <w:lang w:val="en-US" w:eastAsia="zh-CN"/>
        </w:rPr>
        <w:t xml:space="preserve">  </w:t>
      </w:r>
    </w:p>
    <w:p>
      <w:pPr>
        <w:pStyle w:val="12"/>
        <w:keepNext w:val="0"/>
        <w:keepLines w:val="0"/>
        <w:pageBreakBefore w:val="0"/>
        <w:framePr w:wrap="auto" w:vAnchor="margin" w:hAnchor="text" w:yAlign="inline"/>
        <w:widowControl w:val="0"/>
        <w:kinsoku/>
        <w:wordWrap/>
        <w:overflowPunct/>
        <w:topLinePunct w:val="0"/>
        <w:autoSpaceDE/>
        <w:autoSpaceDN/>
        <w:bidi w:val="0"/>
        <w:adjustRightInd/>
        <w:snapToGrid/>
        <w:spacing w:line="20" w:lineRule="exact"/>
        <w:jc w:val="both"/>
        <w:textAlignment w:val="auto"/>
        <w:rPr>
          <w:rFonts w:hint="eastAsia" w:ascii="仿宋" w:hAnsi="仿宋" w:eastAsia="仿宋" w:cs="仿宋"/>
          <w:sz w:val="32"/>
          <w:szCs w:val="32"/>
          <w:rtl w:val="0"/>
          <w:lang w:val="en-US" w:eastAsia="zh-CN"/>
        </w:rPr>
      </w:pPr>
    </w:p>
    <w:sectPr>
      <w:headerReference r:id="rId5" w:type="default"/>
      <w:footerReference r:id="rId6" w:type="default"/>
      <w:pgSz w:w="11900" w:h="16840"/>
      <w:pgMar w:top="1134" w:right="1134" w:bottom="1134" w:left="1304" w:header="851" w:footer="1157"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keepNext w:val="0"/>
      <w:keepLines w:val="0"/>
      <w:pageBreakBefore w:val="0"/>
      <w:framePr w:wrap="auto" w:vAnchor="margin" w:hAnchor="text" w:yAlign="inline"/>
      <w:widowControl w:val="0"/>
      <w:numPr>
        <w:ilvl w:val="0"/>
        <w:numId w:val="0"/>
      </w:numPr>
      <w:suppressLineNumbers w:val="0"/>
      <w:pBdr>
        <w:top w:val="none" w:color="000000" w:sz="0" w:space="1"/>
        <w:left w:val="none" w:color="auto" w:sz="0" w:space="4"/>
        <w:bottom w:val="none" w:color="000000" w:sz="0" w:space="1"/>
        <w:right w:val="none" w:color="auto" w:sz="0" w:space="4"/>
        <w:between w:val="none" w:color="auto" w:sz="0" w:space="0"/>
      </w:pBdr>
      <w:shd w:val="clear" w:color="auto" w:fill="auto"/>
      <w:suppressAutoHyphens w:val="0"/>
      <w:bidi w:val="0"/>
      <w:spacing w:before="0" w:beforeAutospacing="0" w:after="0" w:afterAutospacing="0" w:line="240" w:lineRule="auto"/>
      <w:ind w:left="0" w:leftChars="0" w:right="0" w:rightChars="0" w:firstLine="0" w:firstLineChars="0"/>
      <w:jc w:val="center"/>
      <w:outlineLvl w:val="9"/>
      <w:rPr>
        <w:rFonts w:hint="eastAsia" w:ascii="仿宋" w:hAnsi="仿宋" w:eastAsia="仿宋" w:cs="仿宋"/>
        <w:b/>
        <w:bCs/>
        <w:color w:val="A6A6A6" w:themeColor="background1" w:themeShade="A6"/>
        <w:sz w:val="28"/>
        <w:szCs w:val="28"/>
        <w:u w:val="single" w:color="auto"/>
        <w:lang w:val="en-US"/>
      </w:rPr>
    </w:pPr>
    <w:r>
      <w:rPr>
        <w:rFonts w:hint="eastAsia" w:ascii="仿宋" w:hAnsi="仿宋" w:eastAsia="仿宋" w:cs="仿宋"/>
        <w:b/>
        <w:bCs/>
        <w:color w:val="A6A6A6" w:themeColor="background1" w:themeShade="A6"/>
        <w:sz w:val="28"/>
        <w:szCs w:val="28"/>
        <w:u w:val="single" w:color="auto"/>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wps:spPr>
                    <wps:style>
                      <a:lnRef idx="0">
                        <a:srgbClr val="FFFFFF"/>
                      </a:lnRef>
                      <a:fillRef idx="0">
                        <a:srgbClr val="FFFFFF"/>
                      </a:fillRef>
                      <a:effectRef idx="0">
                        <a:srgbClr val="FFFFFF"/>
                      </a:effectRef>
                      <a:fontRef idx="none"/>
                    </wps:style>
                    <wps:txbx>
                      <w:txbxContent>
                        <w:p>
                          <w:pPr>
                            <w:pStyle w:val="3"/>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bjXUj0AAAAAUBAAAPAAAAAAAAAAEAIAAAACIAAABk&#10;cnMvZG93bnJldi54bWxQSwECFAAUAAAACACHTuJAhorRs0cCAACIBAAADgAAAAAAAAABACAAAAAf&#10;AQAAZHJzL2Uyb0RvYy54bWxQSwUGAAAAAAYABgBZAQAA2AUAAAAA&#10;">
              <v:fill on="f" focussize="0,0"/>
              <v:stroke on="f" weight="1pt" miterlimit="4" joinstyle="miter"/>
              <v:imagedata o:title=""/>
              <o:lock v:ext="edit" aspectratio="f"/>
              <v:textbox inset="0mm,0mm,0mm,0mm" style="mso-fit-shape-to-text:t;">
                <w:txbxContent>
                  <w:p>
                    <w:pPr>
                      <w:pStyle w:val="3"/>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仿宋" w:hAnsi="仿宋" w:eastAsia="仿宋" w:cs="仿宋"/>
        <w:b/>
        <w:bCs/>
        <w:color w:val="A6A6A6" w:themeColor="background1" w:themeShade="A6"/>
        <w:sz w:val="28"/>
        <w:szCs w:val="28"/>
        <w:u w:val="single" w:color="auto"/>
        <w:lang w:eastAsia="zh-CN"/>
      </w:rPr>
      <w:t>贵州世强价格评估有限公司</w:t>
    </w:r>
    <w:r>
      <w:rPr>
        <w:rFonts w:hint="eastAsia" w:ascii="仿宋" w:hAnsi="仿宋" w:eastAsia="仿宋" w:cs="仿宋"/>
        <w:b/>
        <w:bCs/>
        <w:color w:val="A6A6A6" w:themeColor="background1" w:themeShade="A6"/>
        <w:sz w:val="28"/>
        <w:szCs w:val="28"/>
        <w:u w:val="single" w:color="auto"/>
        <w:lang w:val="en-US" w:eastAsia="zh-CN"/>
      </w:rPr>
      <w:t xml:space="preserve">                   TEL； 0851-22277765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200" w:after="200" w:line="288" w:lineRule="auto"/>
      <w:jc w:val="both"/>
      <w:rPr>
        <w:rFonts w:hint="default" w:ascii="宋体" w:hAnsi="宋体" w:eastAsia="Arial Unicode MS"/>
        <w:sz w:val="30"/>
        <w:szCs w:val="30"/>
        <w:lang w:val="en-US" w:eastAsia="zh-CN"/>
      </w:rPr>
    </w:pPr>
    <w:r>
      <w:rPr>
        <w:rFonts w:hint="eastAsia" w:ascii="仿宋" w:hAnsi="仿宋" w:eastAsia="仿宋" w:cs="仿宋"/>
        <w:b/>
        <w:bCs/>
        <w:i w:val="0"/>
        <w:caps w:val="0"/>
        <w:color w:val="BFBFBF" w:themeColor="background1" w:themeShade="BF"/>
        <w:spacing w:val="0"/>
        <w:kern w:val="0"/>
        <w:sz w:val="30"/>
        <w:szCs w:val="30"/>
        <w:u w:val="single" w:color="auto"/>
        <w:lang w:val="en-US" w:eastAsia="zh-CN" w:bidi="ar"/>
      </w:rPr>
      <w:t xml:space="preserve"> </w:t>
    </w:r>
    <w:r>
      <w:rPr>
        <w:rFonts w:hint="eastAsia" w:ascii="仿宋" w:hAnsi="仿宋" w:eastAsia="仿宋" w:cs="仿宋"/>
        <w:b/>
        <w:bCs/>
        <w:i w:val="0"/>
        <w:caps w:val="0"/>
        <w:color w:val="BFBFBF" w:themeColor="background1" w:themeShade="BF"/>
        <w:spacing w:val="0"/>
        <w:kern w:val="0"/>
        <w:sz w:val="30"/>
        <w:szCs w:val="30"/>
        <w:u w:val="single" w:color="auto"/>
        <w:lang w:val="en-US" w:eastAsia="zh-CN" w:bidi="ar"/>
      </w:rPr>
      <w:drawing>
        <wp:inline distT="0" distB="0" distL="114300" distR="114300">
          <wp:extent cx="321310" cy="325755"/>
          <wp:effectExtent l="0" t="0" r="2540" b="17145"/>
          <wp:docPr id="2" name="图片 2" descr="e453e48e8498f094a32493bb29ac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e453e48e8498f094a32493bb29ac8b0"/>
                  <pic:cNvPicPr>
                    <a:picLocks noChangeAspect="1"/>
                  </pic:cNvPicPr>
                </pic:nvPicPr>
                <pic:blipFill>
                  <a:blip r:embed="rId1"/>
                  <a:stretch>
                    <a:fillRect/>
                  </a:stretch>
                </pic:blipFill>
                <pic:spPr>
                  <a:xfrm>
                    <a:off x="0" y="0"/>
                    <a:ext cx="321310" cy="325755"/>
                  </a:xfrm>
                  <a:prstGeom prst="rect">
                    <a:avLst/>
                  </a:prstGeom>
                </pic:spPr>
              </pic:pic>
            </a:graphicData>
          </a:graphic>
        </wp:inline>
      </w:drawing>
    </w:r>
    <w:r>
      <w:rPr>
        <w:rFonts w:hint="eastAsia" w:ascii="仿宋" w:hAnsi="仿宋" w:eastAsia="仿宋" w:cs="仿宋"/>
        <w:b/>
        <w:bCs/>
        <w:i w:val="0"/>
        <w:caps w:val="0"/>
        <w:color w:val="BFBFBF" w:themeColor="background1" w:themeShade="BF"/>
        <w:spacing w:val="0"/>
        <w:kern w:val="0"/>
        <w:sz w:val="30"/>
        <w:szCs w:val="30"/>
        <w:u w:val="single" w:color="auto"/>
        <w:lang w:val="en-US" w:eastAsia="zh-CN" w:bidi="ar"/>
      </w:rPr>
      <w:t>对</w:t>
    </w:r>
    <w:r>
      <w:rPr>
        <w:rFonts w:hint="eastAsia" w:ascii="仿宋" w:hAnsi="仿宋" w:eastAsia="仿宋" w:cs="仿宋"/>
        <w:color w:val="BFBFBF" w:themeColor="background1" w:themeShade="BF"/>
        <w:sz w:val="32"/>
        <w:szCs w:val="32"/>
        <w:u w:val="single"/>
        <w:lang w:val="en-US" w:eastAsia="zh-CN"/>
      </w:rPr>
      <w:t>彭中群名下</w:t>
    </w:r>
    <w:r>
      <w:rPr>
        <w:rFonts w:hint="eastAsia" w:ascii="仿宋" w:hAnsi="仿宋" w:eastAsia="仿宋" w:cs="仿宋"/>
        <w:color w:val="BFBFBF" w:themeColor="background1" w:themeShade="BF"/>
        <w:sz w:val="32"/>
        <w:szCs w:val="32"/>
        <w:u w:val="single"/>
        <w:lang w:eastAsia="zh-CN"/>
      </w:rPr>
      <w:t>的位于贵州省</w:t>
    </w:r>
    <w:r>
      <w:rPr>
        <w:rFonts w:hint="eastAsia" w:ascii="仿宋" w:hAnsi="仿宋" w:eastAsia="仿宋" w:cs="仿宋"/>
        <w:color w:val="BFBFBF" w:themeColor="background1" w:themeShade="BF"/>
        <w:sz w:val="32"/>
        <w:szCs w:val="32"/>
        <w:u w:val="single"/>
        <w:lang w:val="en-US" w:eastAsia="zh-CN"/>
      </w:rPr>
      <w:t>黔西市里沙大道</w:t>
    </w:r>
    <w:r>
      <w:rPr>
        <w:rFonts w:hint="eastAsia" w:ascii="仿宋" w:hAnsi="仿宋" w:eastAsia="仿宋" w:cs="仿宋"/>
        <w:color w:val="BFBFBF" w:themeColor="background1" w:themeShade="BF"/>
        <w:kern w:val="2"/>
        <w:sz w:val="32"/>
        <w:szCs w:val="32"/>
        <w:u w:val="single"/>
      </w:rPr>
      <w:t>房屋的</w:t>
    </w:r>
    <w:r>
      <w:rPr>
        <w:rFonts w:hint="eastAsia" w:ascii="仿宋" w:hAnsi="仿宋" w:eastAsia="仿宋" w:cs="仿宋"/>
        <w:b/>
        <w:bCs/>
        <w:color w:val="BFBFBF" w:themeColor="background1" w:themeShade="BF"/>
        <w:sz w:val="30"/>
        <w:szCs w:val="30"/>
        <w:u w:val="single" w:color="auto"/>
      </w:rPr>
      <w:t>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14821E"/>
    <w:multiLevelType w:val="singleLevel"/>
    <w:tmpl w:val="A114821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autoHyphenation/>
  <w:displayHorizontalDrawingGridEvery w:val="1"/>
  <w:displayVerticalDrawingGridEvery w:val="1"/>
  <w:noPunctuationKerning w:val="1"/>
  <w:noLineBreaksAfter w:lang="zh-CN" w:val="‘“(〔[{〈《「『【⦅〘〖«〝︵︷︹︻︽︿﹁﹃﹇﹙﹛﹝｢"/>
  <w:noLineBreaksBefore w:lang="zh-CN" w:val="’”)〕]}〉"/>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000000"/>
    <w:rsid w:val="00346D0F"/>
    <w:rsid w:val="008A38B6"/>
    <w:rsid w:val="00AB2A40"/>
    <w:rsid w:val="01D458D3"/>
    <w:rsid w:val="028663F2"/>
    <w:rsid w:val="029812FA"/>
    <w:rsid w:val="03136D40"/>
    <w:rsid w:val="035462C3"/>
    <w:rsid w:val="03AA0D7A"/>
    <w:rsid w:val="03E91628"/>
    <w:rsid w:val="04340EDA"/>
    <w:rsid w:val="045E407E"/>
    <w:rsid w:val="04786841"/>
    <w:rsid w:val="04B85B9E"/>
    <w:rsid w:val="04D72EA4"/>
    <w:rsid w:val="04DB6ABE"/>
    <w:rsid w:val="04F419D9"/>
    <w:rsid w:val="051A51B8"/>
    <w:rsid w:val="054D31A7"/>
    <w:rsid w:val="05595CE0"/>
    <w:rsid w:val="05DA3710"/>
    <w:rsid w:val="06030D3E"/>
    <w:rsid w:val="06783F44"/>
    <w:rsid w:val="071F721E"/>
    <w:rsid w:val="074F6172"/>
    <w:rsid w:val="076A5614"/>
    <w:rsid w:val="07A347FF"/>
    <w:rsid w:val="092650FE"/>
    <w:rsid w:val="0935611C"/>
    <w:rsid w:val="097A79AF"/>
    <w:rsid w:val="0A252635"/>
    <w:rsid w:val="0A30071E"/>
    <w:rsid w:val="0A9A7999"/>
    <w:rsid w:val="0B6D0FA4"/>
    <w:rsid w:val="0BEE6542"/>
    <w:rsid w:val="0C0C2A7D"/>
    <w:rsid w:val="0C1F5A7C"/>
    <w:rsid w:val="0CBD32EB"/>
    <w:rsid w:val="0CD95203"/>
    <w:rsid w:val="0D27781F"/>
    <w:rsid w:val="0D554E2C"/>
    <w:rsid w:val="0DD650F1"/>
    <w:rsid w:val="0E6244F0"/>
    <w:rsid w:val="0EFA4090"/>
    <w:rsid w:val="0F6C21E1"/>
    <w:rsid w:val="0FF528C7"/>
    <w:rsid w:val="10665D6D"/>
    <w:rsid w:val="126C0F20"/>
    <w:rsid w:val="128B3251"/>
    <w:rsid w:val="12D20BB5"/>
    <w:rsid w:val="12DB7694"/>
    <w:rsid w:val="13787AF2"/>
    <w:rsid w:val="138C0541"/>
    <w:rsid w:val="13BE7BF1"/>
    <w:rsid w:val="140C3806"/>
    <w:rsid w:val="141071D5"/>
    <w:rsid w:val="14184C95"/>
    <w:rsid w:val="14894833"/>
    <w:rsid w:val="14A3591A"/>
    <w:rsid w:val="15484CC5"/>
    <w:rsid w:val="15FB7FEF"/>
    <w:rsid w:val="161F1F43"/>
    <w:rsid w:val="162C167F"/>
    <w:rsid w:val="162C297A"/>
    <w:rsid w:val="16A91EF8"/>
    <w:rsid w:val="16E30D6F"/>
    <w:rsid w:val="16F14E5C"/>
    <w:rsid w:val="17031B96"/>
    <w:rsid w:val="17064187"/>
    <w:rsid w:val="17491195"/>
    <w:rsid w:val="174E17CE"/>
    <w:rsid w:val="174F79B8"/>
    <w:rsid w:val="176F6DB2"/>
    <w:rsid w:val="188921E7"/>
    <w:rsid w:val="18A14E7C"/>
    <w:rsid w:val="19121350"/>
    <w:rsid w:val="19190A53"/>
    <w:rsid w:val="195425EF"/>
    <w:rsid w:val="198A538A"/>
    <w:rsid w:val="19F7609E"/>
    <w:rsid w:val="1A094591"/>
    <w:rsid w:val="1A4A0CD4"/>
    <w:rsid w:val="1AB75FF9"/>
    <w:rsid w:val="1B0D24CA"/>
    <w:rsid w:val="1B5A4977"/>
    <w:rsid w:val="1B5C39DD"/>
    <w:rsid w:val="1BA3785E"/>
    <w:rsid w:val="1C057BD0"/>
    <w:rsid w:val="1C766A1D"/>
    <w:rsid w:val="1C8D4595"/>
    <w:rsid w:val="1CF378EB"/>
    <w:rsid w:val="1D1C3735"/>
    <w:rsid w:val="1D714BE7"/>
    <w:rsid w:val="1E5E6E25"/>
    <w:rsid w:val="1EA10582"/>
    <w:rsid w:val="1F6F39EA"/>
    <w:rsid w:val="1F8F4BD1"/>
    <w:rsid w:val="1FAC5CF8"/>
    <w:rsid w:val="1FE57237"/>
    <w:rsid w:val="225B5A3E"/>
    <w:rsid w:val="229D6FE5"/>
    <w:rsid w:val="22F95A29"/>
    <w:rsid w:val="23091E7F"/>
    <w:rsid w:val="233E450B"/>
    <w:rsid w:val="233E735A"/>
    <w:rsid w:val="2388719D"/>
    <w:rsid w:val="242B6E8C"/>
    <w:rsid w:val="245221AD"/>
    <w:rsid w:val="24845C7C"/>
    <w:rsid w:val="24B624F4"/>
    <w:rsid w:val="24E10F66"/>
    <w:rsid w:val="25AC730F"/>
    <w:rsid w:val="25C56547"/>
    <w:rsid w:val="25DB5412"/>
    <w:rsid w:val="26152A05"/>
    <w:rsid w:val="266A68EE"/>
    <w:rsid w:val="268B2FAE"/>
    <w:rsid w:val="28732F81"/>
    <w:rsid w:val="292C3F57"/>
    <w:rsid w:val="29A87E7A"/>
    <w:rsid w:val="2A472EDC"/>
    <w:rsid w:val="2B195446"/>
    <w:rsid w:val="2BB3215E"/>
    <w:rsid w:val="2BF4383E"/>
    <w:rsid w:val="2CCD3458"/>
    <w:rsid w:val="2CEF6ABB"/>
    <w:rsid w:val="2D0F6240"/>
    <w:rsid w:val="2D1977F7"/>
    <w:rsid w:val="2D2B139E"/>
    <w:rsid w:val="2D40315E"/>
    <w:rsid w:val="2D545B75"/>
    <w:rsid w:val="2D797846"/>
    <w:rsid w:val="2ED2428A"/>
    <w:rsid w:val="2EE91D82"/>
    <w:rsid w:val="2F4C04C2"/>
    <w:rsid w:val="2FFE3E4D"/>
    <w:rsid w:val="301A18E2"/>
    <w:rsid w:val="301D1535"/>
    <w:rsid w:val="301F572C"/>
    <w:rsid w:val="30567D30"/>
    <w:rsid w:val="31F12AD8"/>
    <w:rsid w:val="330F0406"/>
    <w:rsid w:val="33374656"/>
    <w:rsid w:val="33590326"/>
    <w:rsid w:val="33721B98"/>
    <w:rsid w:val="33815E3E"/>
    <w:rsid w:val="33C06DA7"/>
    <w:rsid w:val="342C2E2A"/>
    <w:rsid w:val="342D7DC2"/>
    <w:rsid w:val="34463E98"/>
    <w:rsid w:val="34742FED"/>
    <w:rsid w:val="34BA3111"/>
    <w:rsid w:val="34C34ACC"/>
    <w:rsid w:val="34FF003B"/>
    <w:rsid w:val="3542347D"/>
    <w:rsid w:val="35957BEB"/>
    <w:rsid w:val="35CB714C"/>
    <w:rsid w:val="35F027C0"/>
    <w:rsid w:val="365777B7"/>
    <w:rsid w:val="36600AC4"/>
    <w:rsid w:val="36B349A1"/>
    <w:rsid w:val="37D44BCF"/>
    <w:rsid w:val="389867B1"/>
    <w:rsid w:val="38FC4583"/>
    <w:rsid w:val="39172255"/>
    <w:rsid w:val="393B143A"/>
    <w:rsid w:val="39715AE0"/>
    <w:rsid w:val="39721DB9"/>
    <w:rsid w:val="39812B34"/>
    <w:rsid w:val="39FB57F2"/>
    <w:rsid w:val="3AA5577E"/>
    <w:rsid w:val="3AB65F53"/>
    <w:rsid w:val="3ABF7BA7"/>
    <w:rsid w:val="3B080C60"/>
    <w:rsid w:val="3B31096A"/>
    <w:rsid w:val="3BF80352"/>
    <w:rsid w:val="3CD8309F"/>
    <w:rsid w:val="3CDC2F10"/>
    <w:rsid w:val="3DA94DD2"/>
    <w:rsid w:val="3DEC0A27"/>
    <w:rsid w:val="3F06531E"/>
    <w:rsid w:val="3FA97F57"/>
    <w:rsid w:val="40172CCD"/>
    <w:rsid w:val="404F68C9"/>
    <w:rsid w:val="415B6DBE"/>
    <w:rsid w:val="41846F57"/>
    <w:rsid w:val="41BF1B05"/>
    <w:rsid w:val="425C47DF"/>
    <w:rsid w:val="42615C1A"/>
    <w:rsid w:val="42BC016E"/>
    <w:rsid w:val="42D3059B"/>
    <w:rsid w:val="42D57B04"/>
    <w:rsid w:val="431B4871"/>
    <w:rsid w:val="434C3EA4"/>
    <w:rsid w:val="4359067E"/>
    <w:rsid w:val="43695CA5"/>
    <w:rsid w:val="43697670"/>
    <w:rsid w:val="43875283"/>
    <w:rsid w:val="43F402AE"/>
    <w:rsid w:val="43FF11DD"/>
    <w:rsid w:val="441A12F6"/>
    <w:rsid w:val="441D5440"/>
    <w:rsid w:val="447E5187"/>
    <w:rsid w:val="44C93F30"/>
    <w:rsid w:val="44D20BF3"/>
    <w:rsid w:val="453E2ABC"/>
    <w:rsid w:val="455B1C89"/>
    <w:rsid w:val="45657951"/>
    <w:rsid w:val="4579615F"/>
    <w:rsid w:val="468106FD"/>
    <w:rsid w:val="468D1294"/>
    <w:rsid w:val="472637A7"/>
    <w:rsid w:val="47F840F6"/>
    <w:rsid w:val="481B3335"/>
    <w:rsid w:val="483B364D"/>
    <w:rsid w:val="486212BF"/>
    <w:rsid w:val="48882927"/>
    <w:rsid w:val="48E1714C"/>
    <w:rsid w:val="49467D28"/>
    <w:rsid w:val="498D31A1"/>
    <w:rsid w:val="49E14F29"/>
    <w:rsid w:val="4A5C2250"/>
    <w:rsid w:val="4A77763C"/>
    <w:rsid w:val="4AE72313"/>
    <w:rsid w:val="4B152340"/>
    <w:rsid w:val="4B1D5586"/>
    <w:rsid w:val="4B41433D"/>
    <w:rsid w:val="4B7C597F"/>
    <w:rsid w:val="4B7C7600"/>
    <w:rsid w:val="4C6B6101"/>
    <w:rsid w:val="4C912EAC"/>
    <w:rsid w:val="4C98482B"/>
    <w:rsid w:val="4CE94847"/>
    <w:rsid w:val="4CE95399"/>
    <w:rsid w:val="4CF73148"/>
    <w:rsid w:val="4DAD7EAE"/>
    <w:rsid w:val="4E02483A"/>
    <w:rsid w:val="4E8F764A"/>
    <w:rsid w:val="4EE74D90"/>
    <w:rsid w:val="4EF317B7"/>
    <w:rsid w:val="4F253C43"/>
    <w:rsid w:val="4F6A3541"/>
    <w:rsid w:val="4F877394"/>
    <w:rsid w:val="4FF80A20"/>
    <w:rsid w:val="500C6561"/>
    <w:rsid w:val="50CA6717"/>
    <w:rsid w:val="50D35CCA"/>
    <w:rsid w:val="513F782A"/>
    <w:rsid w:val="51893328"/>
    <w:rsid w:val="51D6252C"/>
    <w:rsid w:val="521A1002"/>
    <w:rsid w:val="526660C4"/>
    <w:rsid w:val="52D23671"/>
    <w:rsid w:val="53A44293"/>
    <w:rsid w:val="53F77254"/>
    <w:rsid w:val="53FF31DB"/>
    <w:rsid w:val="555D42DE"/>
    <w:rsid w:val="556265AB"/>
    <w:rsid w:val="556A27EC"/>
    <w:rsid w:val="55B83C46"/>
    <w:rsid w:val="56134DB5"/>
    <w:rsid w:val="56530F5D"/>
    <w:rsid w:val="56F117DD"/>
    <w:rsid w:val="56FE0799"/>
    <w:rsid w:val="5756498D"/>
    <w:rsid w:val="575E0476"/>
    <w:rsid w:val="5796699A"/>
    <w:rsid w:val="57FA6B52"/>
    <w:rsid w:val="589B78DE"/>
    <w:rsid w:val="59354509"/>
    <w:rsid w:val="59B63CEB"/>
    <w:rsid w:val="59DB39C3"/>
    <w:rsid w:val="5AD67A3D"/>
    <w:rsid w:val="5AE16BDE"/>
    <w:rsid w:val="5B3A6C1A"/>
    <w:rsid w:val="5B401D9C"/>
    <w:rsid w:val="5CB2553C"/>
    <w:rsid w:val="5CD81AAA"/>
    <w:rsid w:val="5CDC5D20"/>
    <w:rsid w:val="5CF9633C"/>
    <w:rsid w:val="5D916BCF"/>
    <w:rsid w:val="5E1941EC"/>
    <w:rsid w:val="5E856373"/>
    <w:rsid w:val="5F144DB9"/>
    <w:rsid w:val="5F1E5196"/>
    <w:rsid w:val="5F4B0B7B"/>
    <w:rsid w:val="5FE74FD8"/>
    <w:rsid w:val="602630E7"/>
    <w:rsid w:val="602E089D"/>
    <w:rsid w:val="608461E2"/>
    <w:rsid w:val="60861408"/>
    <w:rsid w:val="60EA6962"/>
    <w:rsid w:val="624D4B1A"/>
    <w:rsid w:val="62965B0B"/>
    <w:rsid w:val="630B2EF2"/>
    <w:rsid w:val="633178FD"/>
    <w:rsid w:val="63387E58"/>
    <w:rsid w:val="635D0647"/>
    <w:rsid w:val="63F66498"/>
    <w:rsid w:val="646E241E"/>
    <w:rsid w:val="653F1A9B"/>
    <w:rsid w:val="656B02DE"/>
    <w:rsid w:val="65997A0C"/>
    <w:rsid w:val="65B01F28"/>
    <w:rsid w:val="65C47080"/>
    <w:rsid w:val="65F600EB"/>
    <w:rsid w:val="66086FDD"/>
    <w:rsid w:val="6629319F"/>
    <w:rsid w:val="665026E5"/>
    <w:rsid w:val="669F5B98"/>
    <w:rsid w:val="66BD40F7"/>
    <w:rsid w:val="671649F6"/>
    <w:rsid w:val="67BF0A8E"/>
    <w:rsid w:val="67CB6900"/>
    <w:rsid w:val="67CE65D2"/>
    <w:rsid w:val="67F76F87"/>
    <w:rsid w:val="68281CC2"/>
    <w:rsid w:val="68F44A9B"/>
    <w:rsid w:val="692E4D84"/>
    <w:rsid w:val="6A106E86"/>
    <w:rsid w:val="6A1C5DDE"/>
    <w:rsid w:val="6A3819A2"/>
    <w:rsid w:val="6AEB1A20"/>
    <w:rsid w:val="6B266C60"/>
    <w:rsid w:val="6B2A06EC"/>
    <w:rsid w:val="6BF74AFC"/>
    <w:rsid w:val="6C061729"/>
    <w:rsid w:val="6C7F4402"/>
    <w:rsid w:val="6CF67716"/>
    <w:rsid w:val="6DAE1443"/>
    <w:rsid w:val="6E0B0643"/>
    <w:rsid w:val="6E246697"/>
    <w:rsid w:val="6E317BB3"/>
    <w:rsid w:val="6E9F0C4B"/>
    <w:rsid w:val="6EC325CB"/>
    <w:rsid w:val="70221C74"/>
    <w:rsid w:val="704B2308"/>
    <w:rsid w:val="70916BEF"/>
    <w:rsid w:val="70A10E72"/>
    <w:rsid w:val="70AB47EA"/>
    <w:rsid w:val="70D00D03"/>
    <w:rsid w:val="70D5214D"/>
    <w:rsid w:val="70E17BCD"/>
    <w:rsid w:val="717A0F1E"/>
    <w:rsid w:val="72570559"/>
    <w:rsid w:val="72631963"/>
    <w:rsid w:val="729A02E0"/>
    <w:rsid w:val="72E53B1E"/>
    <w:rsid w:val="740438C9"/>
    <w:rsid w:val="74931DDC"/>
    <w:rsid w:val="74A02152"/>
    <w:rsid w:val="74C77E84"/>
    <w:rsid w:val="74D51996"/>
    <w:rsid w:val="74D67325"/>
    <w:rsid w:val="74DC4AE7"/>
    <w:rsid w:val="754825C1"/>
    <w:rsid w:val="754B0650"/>
    <w:rsid w:val="7578547E"/>
    <w:rsid w:val="759A6784"/>
    <w:rsid w:val="75F75951"/>
    <w:rsid w:val="760A052C"/>
    <w:rsid w:val="765830D9"/>
    <w:rsid w:val="765C76F6"/>
    <w:rsid w:val="766F423E"/>
    <w:rsid w:val="770A1766"/>
    <w:rsid w:val="771147F0"/>
    <w:rsid w:val="77524C1D"/>
    <w:rsid w:val="77981BB1"/>
    <w:rsid w:val="788C48F1"/>
    <w:rsid w:val="79713CAA"/>
    <w:rsid w:val="7AB87334"/>
    <w:rsid w:val="7B6E6D19"/>
    <w:rsid w:val="7BC91AB3"/>
    <w:rsid w:val="7C1A5EF5"/>
    <w:rsid w:val="7C5F6639"/>
    <w:rsid w:val="7C7B6162"/>
    <w:rsid w:val="7D2D31B2"/>
    <w:rsid w:val="7D4B5F5F"/>
    <w:rsid w:val="7D9E3EAA"/>
    <w:rsid w:val="7DA63EEC"/>
    <w:rsid w:val="7E147100"/>
    <w:rsid w:val="7E68119A"/>
    <w:rsid w:val="7F1F522F"/>
    <w:rsid w:val="7F4729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7">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spacing w:before="100" w:beforeAutospacing="1" w:after="100" w:afterAutospacing="1"/>
      <w:jc w:val="left"/>
    </w:pPr>
    <w:rPr>
      <w:rFonts w:hint="default"/>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llowedHyperlink"/>
    <w:basedOn w:val="7"/>
    <w:qFormat/>
    <w:uiPriority w:val="0"/>
    <w:rPr>
      <w:color w:val="800080"/>
      <w:u w:val="none"/>
    </w:rPr>
  </w:style>
  <w:style w:type="character" w:styleId="9">
    <w:name w:val="Hyperlink"/>
    <w:basedOn w:val="7"/>
    <w:qFormat/>
    <w:uiPriority w:val="0"/>
    <w:rPr>
      <w:u w:val="single"/>
    </w:rPr>
  </w:style>
  <w:style w:type="table" w:customStyle="1" w:styleId="10">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11">
    <w:name w:val="标题 11"/>
    <w:next w:val="12"/>
    <w:qFormat/>
    <w:uiPriority w:val="0"/>
    <w:pPr>
      <w:keepNext/>
      <w:keepLines/>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340" w:beforeAutospacing="0" w:after="330" w:afterAutospacing="0" w:line="578" w:lineRule="auto"/>
      <w:ind w:left="0" w:right="0" w:firstLine="0"/>
      <w:jc w:val="both"/>
      <w:outlineLvl w:val="0"/>
    </w:pPr>
    <w:rPr>
      <w:rFonts w:hint="default" w:ascii="Times New Roman" w:hAnsi="Times New Roman" w:eastAsia="Arial Unicode MS" w:cs="Arial Unicode MS"/>
      <w:b/>
      <w:bCs/>
      <w:color w:val="000000"/>
      <w:spacing w:val="0"/>
      <w:w w:val="100"/>
      <w:kern w:val="44"/>
      <w:position w:val="0"/>
      <w:sz w:val="44"/>
      <w:szCs w:val="44"/>
      <w:u w:val="none" w:color="000000"/>
      <w:vertAlign w:val="baseline"/>
      <w:lang w:val="en-US"/>
    </w:rPr>
  </w:style>
  <w:style w:type="paragraph" w:customStyle="1" w:styleId="12">
    <w:name w:val="正文 A"/>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default" w:ascii="Times New Roman" w:hAnsi="Times New Roman" w:eastAsia="Arial Unicode MS" w:cs="Arial Unicode MS"/>
      <w:color w:val="000000"/>
      <w:spacing w:val="0"/>
      <w:w w:val="100"/>
      <w:kern w:val="2"/>
      <w:position w:val="0"/>
      <w:sz w:val="21"/>
      <w:szCs w:val="21"/>
      <w:u w:val="none" w:color="000000"/>
      <w:vertAlign w:val="baseline"/>
      <w:lang w:val="en-US"/>
    </w:rPr>
  </w:style>
  <w:style w:type="paragraph" w:customStyle="1" w:styleId="13">
    <w:name w:val="页脚1"/>
    <w:qFormat/>
    <w:uiPriority w:val="0"/>
    <w:pPr>
      <w:keepNext w:val="0"/>
      <w:keepLines w:val="0"/>
      <w:pageBreakBefore w:val="0"/>
      <w:framePr w:wrap="around"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hint="eastAsia" w:ascii="Arial Unicode MS" w:hAnsi="Arial Unicode MS" w:eastAsia="Arial Unicode MS" w:cs="Arial Unicode MS"/>
      <w:color w:val="000000"/>
      <w:spacing w:val="0"/>
      <w:w w:val="100"/>
      <w:kern w:val="2"/>
      <w:position w:val="0"/>
      <w:sz w:val="18"/>
      <w:szCs w:val="18"/>
      <w:u w:val="none" w:color="000000"/>
      <w:vertAlign w:val="baseline"/>
      <w:lang w:val="en-US"/>
    </w:rPr>
  </w:style>
  <w:style w:type="paragraph" w:customStyle="1" w:styleId="14">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4"/>
      <w:szCs w:val="24"/>
      <w:u w:val="none" w:color="000000"/>
      <w:vertAlign w:val="baseline"/>
      <w:lang w:val="en-US"/>
    </w:rPr>
  </w:style>
  <w:style w:type="paragraph" w:customStyle="1" w:styleId="15">
    <w:name w:val="小标题（红色）"/>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1"/>
    </w:pPr>
    <w:rPr>
      <w:rFonts w:ascii="Helvetica Neue" w:hAnsi="Helvetica Neue" w:eastAsia="Arial Unicode MS" w:cs="Arial Unicode MS"/>
      <w:b/>
      <w:bCs/>
      <w:color w:val="ED220B"/>
      <w:spacing w:val="0"/>
      <w:w w:val="100"/>
      <w:kern w:val="0"/>
      <w:position w:val="0"/>
      <w:sz w:val="32"/>
      <w:szCs w:val="32"/>
      <w:u w:val="none" w:color="ED220B"/>
      <w:vertAlign w:val="baseline"/>
      <w:lang w:val="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0" tIns="0" rIns="0" bIns="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4427</Words>
  <Characters>4640</Characters>
  <TotalTime>2</TotalTime>
  <ScaleCrop>false</ScaleCrop>
  <LinksUpToDate>false</LinksUpToDate>
  <CharactersWithSpaces>5049</CharactersWithSpaces>
  <Application>WPS Office_11.1.0.11691_F1E327BC-269C-435d-A152-05C5408002CA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2019-02-11T14:02:00Z</dcterms:created>
  <dc:creator>Administrator</dc:creator>
  <cp:lastModifiedBy>16685017888</cp:lastModifiedBy>
  <cp:lastPrinted>2020-07-16T14:04:00Z</cp:lastPrinted>
  <dcterms:modified xsi:type="dcterms:W3CDTF">2022-04-29T03:35:40Z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7B48A228F8374B12BF031F0A052790CE</vt:lpwstr>
  </property>
</Properties>
</file>