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Fonts w:hAnsi="宋体"/>
          <w:b/>
          <w:color w:val="auto"/>
          <w:spacing w:val="66"/>
          <w:sz w:val="44"/>
        </w:rPr>
      </w:pPr>
    </w:p>
    <w:p>
      <w:pPr>
        <w:pStyle w:val="24"/>
        <w:jc w:val="center"/>
        <w:rPr>
          <w:rFonts w:hAnsi="宋体"/>
          <w:b/>
          <w:color w:val="auto"/>
          <w:spacing w:val="66"/>
          <w:sz w:val="44"/>
        </w:rPr>
      </w:pPr>
    </w:p>
    <w:p>
      <w:pPr>
        <w:pStyle w:val="24"/>
        <w:jc w:val="center"/>
        <w:rPr>
          <w:rFonts w:hAnsi="宋体"/>
          <w:b/>
          <w:color w:val="auto"/>
          <w:spacing w:val="66"/>
          <w:sz w:val="44"/>
        </w:rPr>
      </w:pPr>
      <w:r>
        <w:rPr>
          <w:rFonts w:hAnsi="宋体"/>
          <w:b/>
          <w:color w:val="auto"/>
          <w:spacing w:val="66"/>
          <w:sz w:val="44"/>
        </w:rPr>
        <w:t>房地产估价报告</w:t>
      </w:r>
    </w:p>
    <w:p>
      <w:pPr>
        <w:pStyle w:val="24"/>
        <w:spacing w:line="480" w:lineRule="auto"/>
        <w:jc w:val="center"/>
        <w:rPr>
          <w:rFonts w:hAnsi="宋体"/>
          <w:color w:val="auto"/>
          <w:sz w:val="24"/>
          <w:szCs w:val="24"/>
        </w:rPr>
      </w:pPr>
    </w:p>
    <w:p>
      <w:pPr>
        <w:pStyle w:val="24"/>
        <w:spacing w:line="480" w:lineRule="auto"/>
        <w:jc w:val="center"/>
        <w:rPr>
          <w:rFonts w:hAnsi="宋体"/>
          <w:color w:val="auto"/>
          <w:sz w:val="24"/>
          <w:szCs w:val="24"/>
        </w:rPr>
      </w:pPr>
    </w:p>
    <w:p>
      <w:pPr>
        <w:spacing w:line="360" w:lineRule="auto"/>
        <w:ind w:left="2233" w:hanging="2233" w:hangingChars="695"/>
        <w:rPr>
          <w:rFonts w:ascii="宋体" w:hAnsi="宋体"/>
          <w:b/>
          <w:color w:val="auto"/>
          <w:sz w:val="32"/>
          <w:szCs w:val="32"/>
        </w:rPr>
      </w:pPr>
      <w:r>
        <w:rPr>
          <w:rFonts w:hint="eastAsia" w:ascii="宋体" w:hAnsi="宋体"/>
          <w:b/>
          <w:color w:val="auto"/>
          <w:sz w:val="32"/>
          <w:szCs w:val="32"/>
        </w:rPr>
        <w:t>估价项目名称：</w:t>
      </w:r>
      <w:r>
        <w:rPr>
          <w:rFonts w:hint="eastAsia" w:ascii="宋体" w:hAnsi="宋体"/>
          <w:color w:val="auto"/>
          <w:spacing w:val="-6"/>
          <w:sz w:val="32"/>
          <w:szCs w:val="32"/>
          <w:lang w:eastAsia="zh-CN"/>
        </w:rPr>
        <w:t>咸安区东门村五组2幢1-5层号</w:t>
      </w:r>
      <w:r>
        <w:rPr>
          <w:rFonts w:hint="eastAsia" w:ascii="宋体" w:hAnsi="宋体"/>
          <w:color w:val="auto"/>
          <w:spacing w:val="-6"/>
          <w:sz w:val="32"/>
          <w:szCs w:val="32"/>
        </w:rPr>
        <w:t>住宅房地产司法鉴定评估</w:t>
      </w:r>
    </w:p>
    <w:p>
      <w:pPr>
        <w:spacing w:line="480" w:lineRule="auto"/>
        <w:rPr>
          <w:rFonts w:ascii="宋体" w:hAnsi="宋体"/>
          <w:b/>
          <w:color w:val="auto"/>
          <w:spacing w:val="-6"/>
          <w:sz w:val="32"/>
          <w:szCs w:val="32"/>
        </w:rPr>
      </w:pPr>
    </w:p>
    <w:p>
      <w:pPr>
        <w:spacing w:line="480" w:lineRule="auto"/>
        <w:rPr>
          <w:rFonts w:hint="eastAsia" w:ascii="宋体" w:hAnsi="宋体" w:eastAsia="宋体"/>
          <w:b/>
          <w:color w:val="auto"/>
          <w:spacing w:val="-6"/>
          <w:sz w:val="32"/>
          <w:szCs w:val="32"/>
          <w:lang w:eastAsia="zh-CN"/>
        </w:rPr>
      </w:pPr>
      <w:r>
        <w:rPr>
          <w:rFonts w:hint="eastAsia" w:ascii="宋体" w:hAnsi="宋体"/>
          <w:b/>
          <w:color w:val="auto"/>
          <w:spacing w:val="-6"/>
          <w:sz w:val="32"/>
          <w:szCs w:val="32"/>
        </w:rPr>
        <w:t>估价委托人：</w:t>
      </w:r>
      <w:r>
        <w:rPr>
          <w:rFonts w:hint="eastAsia" w:ascii="宋体" w:hAnsi="宋体"/>
          <w:color w:val="auto"/>
          <w:sz w:val="32"/>
          <w:szCs w:val="32"/>
          <w:lang w:eastAsia="zh-CN"/>
        </w:rPr>
        <w:t>咸宁市咸安区人民法院</w:t>
      </w:r>
    </w:p>
    <w:p>
      <w:pPr>
        <w:spacing w:line="480" w:lineRule="auto"/>
        <w:rPr>
          <w:rFonts w:ascii="宋体" w:hAnsi="宋体"/>
          <w:b/>
          <w:color w:val="auto"/>
          <w:spacing w:val="-6"/>
          <w:sz w:val="32"/>
          <w:szCs w:val="32"/>
        </w:rPr>
      </w:pPr>
    </w:p>
    <w:p>
      <w:pPr>
        <w:spacing w:line="480" w:lineRule="auto"/>
        <w:rPr>
          <w:rFonts w:ascii="宋体" w:hAnsi="宋体"/>
          <w:color w:val="auto"/>
          <w:spacing w:val="-6"/>
          <w:sz w:val="32"/>
          <w:szCs w:val="32"/>
        </w:rPr>
      </w:pPr>
      <w:r>
        <w:rPr>
          <w:rFonts w:hint="eastAsia" w:ascii="宋体" w:hAnsi="宋体"/>
          <w:b/>
          <w:color w:val="auto"/>
          <w:spacing w:val="-6"/>
          <w:sz w:val="32"/>
          <w:szCs w:val="32"/>
        </w:rPr>
        <w:t>房地产</w:t>
      </w:r>
      <w:r>
        <w:rPr>
          <w:rFonts w:ascii="宋体" w:hAnsi="宋体"/>
          <w:b/>
          <w:color w:val="auto"/>
          <w:spacing w:val="-6"/>
          <w:sz w:val="32"/>
          <w:szCs w:val="32"/>
        </w:rPr>
        <w:t>估价</w:t>
      </w:r>
      <w:r>
        <w:rPr>
          <w:rFonts w:hint="eastAsia" w:ascii="宋体" w:hAnsi="宋体"/>
          <w:b/>
          <w:color w:val="auto"/>
          <w:spacing w:val="-6"/>
          <w:sz w:val="32"/>
          <w:szCs w:val="32"/>
        </w:rPr>
        <w:t>机构</w:t>
      </w:r>
      <w:r>
        <w:rPr>
          <w:rFonts w:ascii="宋体" w:hAnsi="宋体"/>
          <w:color w:val="auto"/>
          <w:spacing w:val="-6"/>
          <w:sz w:val="32"/>
          <w:szCs w:val="32"/>
        </w:rPr>
        <w:t>：</w:t>
      </w:r>
      <w:r>
        <w:rPr>
          <w:rFonts w:hint="eastAsia" w:ascii="宋体" w:hAnsi="宋体"/>
          <w:color w:val="auto"/>
          <w:spacing w:val="-6"/>
          <w:sz w:val="32"/>
          <w:szCs w:val="32"/>
        </w:rPr>
        <w:t>江苏天圣房地产土地资产评估测绘有限公司</w:t>
      </w:r>
    </w:p>
    <w:p>
      <w:pPr>
        <w:spacing w:line="480" w:lineRule="auto"/>
        <w:rPr>
          <w:rFonts w:ascii="宋体" w:hAnsi="宋体"/>
          <w:b/>
          <w:color w:val="auto"/>
          <w:spacing w:val="-6"/>
          <w:sz w:val="32"/>
          <w:szCs w:val="32"/>
        </w:rPr>
      </w:pPr>
    </w:p>
    <w:p>
      <w:pPr>
        <w:spacing w:line="480" w:lineRule="auto"/>
        <w:rPr>
          <w:rFonts w:hint="eastAsia" w:ascii="宋体" w:hAnsi="宋体" w:eastAsia="宋体"/>
          <w:color w:val="auto"/>
          <w:sz w:val="32"/>
          <w:szCs w:val="32"/>
          <w:lang w:eastAsia="zh-CN"/>
        </w:rPr>
      </w:pPr>
      <w:r>
        <w:rPr>
          <w:rFonts w:hint="eastAsia" w:ascii="宋体" w:hAnsi="宋体"/>
          <w:b/>
          <w:color w:val="auto"/>
          <w:sz w:val="32"/>
          <w:szCs w:val="32"/>
        </w:rPr>
        <w:t>注册房地产估价师</w:t>
      </w:r>
      <w:r>
        <w:rPr>
          <w:rFonts w:ascii="宋体" w:hAnsi="宋体"/>
          <w:color w:val="auto"/>
          <w:sz w:val="32"/>
          <w:szCs w:val="32"/>
        </w:rPr>
        <w:t>：</w:t>
      </w:r>
      <w:r>
        <w:rPr>
          <w:rFonts w:hint="eastAsia" w:ascii="宋体" w:hAnsi="宋体"/>
          <w:color w:val="auto"/>
          <w:sz w:val="32"/>
          <w:szCs w:val="32"/>
          <w:lang w:eastAsia="zh-CN"/>
        </w:rPr>
        <w:t>成汝龙</w:t>
      </w:r>
      <w:r>
        <w:rPr>
          <w:rFonts w:hint="eastAsia" w:ascii="宋体" w:hAnsi="宋体"/>
          <w:color w:val="auto"/>
          <w:sz w:val="32"/>
          <w:szCs w:val="32"/>
        </w:rPr>
        <w:t xml:space="preserve">   注册号   </w:t>
      </w:r>
      <w:r>
        <w:rPr>
          <w:rFonts w:hint="eastAsia" w:ascii="宋体" w:hAnsi="宋体"/>
          <w:color w:val="auto"/>
          <w:sz w:val="32"/>
          <w:szCs w:val="32"/>
          <w:lang w:eastAsia="zh-CN"/>
        </w:rPr>
        <w:t>4220110009</w:t>
      </w:r>
    </w:p>
    <w:p>
      <w:pPr>
        <w:ind w:left="2516" w:leftChars="1015" w:hanging="80" w:hangingChars="25"/>
        <w:rPr>
          <w:rFonts w:ascii="宋体" w:hAnsi="宋体"/>
          <w:color w:val="auto"/>
          <w:sz w:val="32"/>
          <w:szCs w:val="32"/>
        </w:rPr>
      </w:pPr>
    </w:p>
    <w:p>
      <w:pPr>
        <w:ind w:left="2515" w:leftChars="1048" w:firstLine="352" w:firstLineChars="110"/>
        <w:rPr>
          <w:rFonts w:hint="eastAsia" w:ascii="宋体" w:hAnsi="宋体" w:eastAsia="宋体"/>
          <w:color w:val="auto"/>
          <w:spacing w:val="5"/>
          <w:kern w:val="0"/>
          <w:sz w:val="30"/>
          <w:lang w:eastAsia="zh-CN"/>
        </w:rPr>
      </w:pPr>
      <w:r>
        <w:rPr>
          <w:rFonts w:hint="eastAsia" w:ascii="宋体" w:hAnsi="宋体"/>
          <w:color w:val="auto"/>
          <w:sz w:val="32"/>
          <w:szCs w:val="32"/>
          <w:lang w:eastAsia="zh-CN"/>
        </w:rPr>
        <w:t>程  卫</w:t>
      </w:r>
      <w:r>
        <w:rPr>
          <w:rFonts w:hint="eastAsia" w:ascii="宋体" w:hAnsi="宋体"/>
          <w:color w:val="auto"/>
          <w:sz w:val="32"/>
          <w:szCs w:val="32"/>
        </w:rPr>
        <w:t xml:space="preserve">   注册号   </w:t>
      </w:r>
      <w:r>
        <w:rPr>
          <w:rFonts w:hint="eastAsia" w:ascii="宋体" w:hAnsi="宋体"/>
          <w:color w:val="auto"/>
          <w:sz w:val="32"/>
          <w:szCs w:val="32"/>
          <w:lang w:eastAsia="zh-CN"/>
        </w:rPr>
        <w:t>4220200037</w:t>
      </w:r>
    </w:p>
    <w:p>
      <w:pPr>
        <w:spacing w:line="480" w:lineRule="auto"/>
        <w:rPr>
          <w:rFonts w:ascii="宋体" w:hAnsi="宋体"/>
          <w:b/>
          <w:color w:val="auto"/>
          <w:spacing w:val="-6"/>
          <w:sz w:val="32"/>
          <w:szCs w:val="32"/>
        </w:rPr>
      </w:pPr>
    </w:p>
    <w:p>
      <w:pPr>
        <w:spacing w:line="480" w:lineRule="auto"/>
        <w:rPr>
          <w:rFonts w:hint="default" w:ascii="宋体" w:hAnsi="宋体" w:eastAsia="宋体"/>
          <w:color w:val="auto"/>
          <w:sz w:val="32"/>
          <w:szCs w:val="32"/>
          <w:lang w:eastAsia="zh-CN"/>
        </w:rPr>
      </w:pPr>
      <w:r>
        <w:rPr>
          <w:rFonts w:hint="eastAsia" w:ascii="宋体" w:hAnsi="宋体"/>
          <w:b/>
          <w:color w:val="auto"/>
          <w:sz w:val="32"/>
          <w:szCs w:val="32"/>
        </w:rPr>
        <w:t>估价报告出具日期</w:t>
      </w:r>
      <w:r>
        <w:rPr>
          <w:rFonts w:ascii="宋体" w:hAnsi="宋体"/>
          <w:color w:val="auto"/>
          <w:sz w:val="32"/>
          <w:szCs w:val="32"/>
        </w:rPr>
        <w:t>：</w:t>
      </w:r>
      <w:r>
        <w:rPr>
          <w:rFonts w:hint="eastAsia" w:ascii="宋体" w:hAnsi="宋体"/>
          <w:color w:val="auto"/>
          <w:sz w:val="32"/>
          <w:szCs w:val="32"/>
          <w:lang w:eastAsia="zh-CN"/>
        </w:rPr>
        <w:t>2022年3月21日</w:t>
      </w:r>
    </w:p>
    <w:p>
      <w:pPr>
        <w:spacing w:line="480" w:lineRule="auto"/>
        <w:rPr>
          <w:rFonts w:ascii="宋体" w:hAnsi="宋体"/>
          <w:b/>
          <w:color w:val="auto"/>
          <w:spacing w:val="-6"/>
          <w:sz w:val="32"/>
          <w:szCs w:val="32"/>
        </w:rPr>
      </w:pPr>
    </w:p>
    <w:p>
      <w:pPr>
        <w:spacing w:line="480" w:lineRule="auto"/>
        <w:rPr>
          <w:rFonts w:ascii="宋体" w:hAnsi="宋体"/>
          <w:color w:val="auto"/>
          <w:sz w:val="32"/>
          <w:szCs w:val="32"/>
        </w:rPr>
      </w:pPr>
      <w:r>
        <w:rPr>
          <w:rFonts w:hint="eastAsia" w:ascii="宋体" w:hAnsi="宋体"/>
          <w:b/>
          <w:color w:val="auto"/>
          <w:sz w:val="32"/>
          <w:szCs w:val="32"/>
        </w:rPr>
        <w:t>估价报告编号：</w:t>
      </w:r>
      <w:r>
        <w:rPr>
          <w:rFonts w:hint="eastAsia" w:ascii="宋体" w:hAnsi="宋体"/>
          <w:color w:val="auto"/>
          <w:sz w:val="32"/>
          <w:szCs w:val="32"/>
        </w:rPr>
        <w:t>苏天房估咸字（</w:t>
      </w:r>
      <w:r>
        <w:rPr>
          <w:rFonts w:hint="eastAsia" w:ascii="宋体" w:hAnsi="宋体"/>
          <w:color w:val="auto"/>
          <w:sz w:val="32"/>
          <w:szCs w:val="32"/>
          <w:lang w:val="en-US" w:eastAsia="zh-CN"/>
        </w:rPr>
        <w:t>2022</w:t>
      </w:r>
      <w:r>
        <w:rPr>
          <w:rFonts w:hint="eastAsia" w:ascii="宋体" w:hAnsi="宋体"/>
          <w:color w:val="auto"/>
          <w:sz w:val="32"/>
          <w:szCs w:val="32"/>
        </w:rPr>
        <w:t>）第</w:t>
      </w:r>
      <w:r>
        <w:rPr>
          <w:rFonts w:hint="eastAsia" w:ascii="宋体" w:hAnsi="宋体"/>
          <w:color w:val="auto"/>
          <w:sz w:val="32"/>
          <w:szCs w:val="32"/>
          <w:lang w:val="en-US" w:eastAsia="zh-CN"/>
        </w:rPr>
        <w:t>024</w:t>
      </w:r>
      <w:r>
        <w:rPr>
          <w:rFonts w:hint="eastAsia" w:ascii="宋体" w:hAnsi="宋体"/>
          <w:color w:val="auto"/>
          <w:sz w:val="32"/>
          <w:szCs w:val="32"/>
        </w:rPr>
        <w:t>号</w:t>
      </w:r>
    </w:p>
    <w:p>
      <w:pPr>
        <w:pStyle w:val="24"/>
        <w:keepNext w:val="0"/>
        <w:keepLines w:val="0"/>
        <w:pageBreakBefore w:val="0"/>
        <w:widowControl w:val="0"/>
        <w:kinsoku/>
        <w:wordWrap/>
        <w:overflowPunct/>
        <w:topLinePunct w:val="0"/>
        <w:autoSpaceDE/>
        <w:autoSpaceDN/>
        <w:bidi w:val="0"/>
        <w:adjustRightInd/>
        <w:snapToGrid/>
        <w:spacing w:beforeLines="50" w:afterLines="50" w:line="480" w:lineRule="exact"/>
        <w:jc w:val="center"/>
        <w:textAlignment w:val="auto"/>
        <w:rPr>
          <w:rFonts w:hAnsi="宋体"/>
          <w:b/>
          <w:color w:val="auto"/>
          <w:sz w:val="36"/>
          <w:szCs w:val="36"/>
        </w:rPr>
      </w:pPr>
      <w:bookmarkStart w:id="0" w:name="_Toc58569338"/>
      <w:bookmarkStart w:id="1" w:name="_Toc58569322"/>
      <w:bookmarkStart w:id="2" w:name="_Toc58568632"/>
      <w:bookmarkStart w:id="3" w:name="_Toc156031630"/>
      <w:r>
        <w:rPr>
          <w:rFonts w:hAnsi="宋体"/>
          <w:color w:val="auto"/>
          <w:sz w:val="32"/>
          <w:szCs w:val="32"/>
        </w:rPr>
        <w:br w:type="page"/>
      </w:r>
      <w:r>
        <w:rPr>
          <w:rFonts w:hint="eastAsia" w:hAnsi="宋体"/>
          <w:b/>
          <w:color w:val="auto"/>
          <w:sz w:val="36"/>
          <w:szCs w:val="36"/>
        </w:rPr>
        <w:t>致估价委托人函</w:t>
      </w:r>
    </w:p>
    <w:p>
      <w:pPr>
        <w:pStyle w:val="24"/>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b/>
          <w:color w:val="auto"/>
          <w:sz w:val="28"/>
          <w:szCs w:val="28"/>
        </w:rPr>
      </w:pPr>
      <w:r>
        <w:rPr>
          <w:rFonts w:hint="eastAsia" w:hAnsi="宋体"/>
          <w:b/>
          <w:color w:val="auto"/>
          <w:sz w:val="28"/>
          <w:szCs w:val="28"/>
          <w:lang w:eastAsia="zh-CN"/>
        </w:rPr>
        <w:t>咸宁市咸安区人民法院</w:t>
      </w:r>
      <w:r>
        <w:rPr>
          <w:rFonts w:hint="eastAsia" w:hAnsi="宋体"/>
          <w:b/>
          <w:color w:val="auto"/>
          <w:sz w:val="28"/>
          <w:szCs w:val="28"/>
        </w:rPr>
        <w:t>：</w:t>
      </w:r>
    </w:p>
    <w:p>
      <w:pPr>
        <w:pStyle w:val="2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olor w:val="auto"/>
          <w:sz w:val="28"/>
          <w:szCs w:val="28"/>
        </w:rPr>
      </w:pPr>
      <w:r>
        <w:rPr>
          <w:rFonts w:hint="eastAsia" w:hAnsi="宋体"/>
          <w:color w:val="auto"/>
          <w:sz w:val="28"/>
          <w:szCs w:val="28"/>
        </w:rPr>
        <w:t>我公司于</w:t>
      </w:r>
      <w:r>
        <w:rPr>
          <w:rFonts w:hint="eastAsia" w:hAnsi="宋体"/>
          <w:color w:val="auto"/>
          <w:sz w:val="28"/>
          <w:szCs w:val="28"/>
          <w:lang w:eastAsia="zh-CN"/>
        </w:rPr>
        <w:t>2022年2月21日</w:t>
      </w:r>
      <w:r>
        <w:rPr>
          <w:rFonts w:hint="eastAsia" w:hAnsi="宋体"/>
          <w:color w:val="auto"/>
          <w:sz w:val="28"/>
          <w:szCs w:val="28"/>
        </w:rPr>
        <w:t>接受贵院的委托，根据《中华人民共和国资产评估法》（20</w:t>
      </w:r>
      <w:r>
        <w:rPr>
          <w:rFonts w:hint="eastAsia" w:hAnsi="宋体"/>
          <w:color w:val="auto"/>
          <w:sz w:val="28"/>
          <w:szCs w:val="28"/>
          <w:lang w:val="en-US" w:eastAsia="zh-CN"/>
        </w:rPr>
        <w:t>16</w:t>
      </w:r>
      <w:r>
        <w:rPr>
          <w:rFonts w:hint="eastAsia" w:hAnsi="宋体"/>
          <w:color w:val="auto"/>
          <w:sz w:val="28"/>
          <w:szCs w:val="28"/>
        </w:rPr>
        <w:t>年7月2日）、</w:t>
      </w:r>
      <w:r>
        <w:rPr>
          <w:rFonts w:hint="eastAsia" w:hAnsi="宋体"/>
          <w:sz w:val="28"/>
          <w:szCs w:val="28"/>
        </w:rPr>
        <w:t>《最高人民法院关于人民法院确定财产处置参考价若干问题的规定》（法释[2018]15号）、《关于印发&lt;人民法院委托评估工作规范&gt;的通知》（法办[2018]273号）、《最高人民法院关于修改关于民事诉讼证据的若干规定的决定》（法释[2019]19号）</w:t>
      </w:r>
      <w:r>
        <w:rPr>
          <w:rFonts w:hint="eastAsia" w:hAnsi="宋体"/>
          <w:sz w:val="28"/>
          <w:szCs w:val="28"/>
          <w:lang w:eastAsia="zh-CN"/>
        </w:rPr>
        <w:t>、</w:t>
      </w:r>
      <w:r>
        <w:rPr>
          <w:rFonts w:hint="eastAsia" w:hAnsi="宋体"/>
          <w:color w:val="auto"/>
          <w:sz w:val="28"/>
          <w:szCs w:val="28"/>
        </w:rPr>
        <w:t>《房地产估价规范》(GB/T</w:t>
      </w:r>
      <w:r>
        <w:rPr>
          <w:rFonts w:hint="eastAsia" w:hAnsi="宋体"/>
          <w:color w:val="auto"/>
          <w:sz w:val="28"/>
          <w:szCs w:val="28"/>
          <w:lang w:val="en-US" w:eastAsia="zh-CN"/>
        </w:rPr>
        <w:t xml:space="preserve"> </w:t>
      </w:r>
      <w:r>
        <w:rPr>
          <w:rFonts w:hint="eastAsia" w:hAnsi="宋体"/>
          <w:color w:val="auto"/>
          <w:sz w:val="28"/>
          <w:szCs w:val="28"/>
        </w:rPr>
        <w:t>50291-2015)、《房地产估价基本术语标准》（GB/T</w:t>
      </w:r>
      <w:r>
        <w:rPr>
          <w:rFonts w:hint="eastAsia" w:hAnsi="宋体"/>
          <w:color w:val="auto"/>
          <w:sz w:val="28"/>
          <w:szCs w:val="28"/>
          <w:lang w:val="en-US" w:eastAsia="zh-CN"/>
        </w:rPr>
        <w:t xml:space="preserve"> </w:t>
      </w:r>
      <w:r>
        <w:rPr>
          <w:rFonts w:hint="eastAsia" w:hAnsi="宋体"/>
          <w:color w:val="auto"/>
          <w:sz w:val="28"/>
          <w:szCs w:val="28"/>
        </w:rPr>
        <w:t>50899-2013）等法律法规和技术标准，以及贵院提供的相关资料，遵循估价原则，按照估价程序，完成了本次评估。</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Ansi="宋体"/>
          <w:color w:val="auto"/>
          <w:sz w:val="28"/>
          <w:szCs w:val="28"/>
        </w:rPr>
      </w:pPr>
      <w:r>
        <w:rPr>
          <w:rFonts w:hint="eastAsia" w:hAnsi="宋体"/>
          <w:b/>
          <w:color w:val="auto"/>
          <w:sz w:val="28"/>
          <w:szCs w:val="28"/>
        </w:rPr>
        <w:t>估价目的</w:t>
      </w:r>
      <w:r>
        <w:rPr>
          <w:rFonts w:hint="eastAsia" w:hAnsi="宋体"/>
          <w:color w:val="auto"/>
          <w:sz w:val="28"/>
          <w:szCs w:val="28"/>
        </w:rPr>
        <w:t>：因司法鉴定需要，为估价委托人确定财产处置参考价提供参考依据而评估房地产市场价值。</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Ansi="宋体"/>
          <w:color w:val="auto"/>
          <w:sz w:val="28"/>
          <w:szCs w:val="28"/>
        </w:rPr>
      </w:pPr>
      <w:r>
        <w:rPr>
          <w:rFonts w:hint="eastAsia" w:hAnsi="宋体"/>
          <w:b/>
          <w:color w:val="auto"/>
          <w:sz w:val="28"/>
          <w:szCs w:val="28"/>
        </w:rPr>
        <w:t>估价对象</w:t>
      </w:r>
      <w:r>
        <w:rPr>
          <w:rFonts w:hint="eastAsia" w:hAnsi="宋体"/>
          <w:color w:val="auto"/>
          <w:sz w:val="28"/>
          <w:szCs w:val="28"/>
        </w:rPr>
        <w:t>：本次评估估价对象为</w:t>
      </w:r>
      <w:r>
        <w:rPr>
          <w:rFonts w:hint="eastAsia" w:hAnsi="宋体"/>
          <w:color w:val="auto"/>
          <w:sz w:val="28"/>
          <w:szCs w:val="28"/>
          <w:lang w:eastAsia="zh-CN"/>
        </w:rPr>
        <w:t>范春姣所有</w:t>
      </w:r>
      <w:r>
        <w:rPr>
          <w:rFonts w:hint="eastAsia" w:hAnsi="宋体"/>
          <w:color w:val="auto"/>
          <w:sz w:val="28"/>
          <w:szCs w:val="28"/>
        </w:rPr>
        <w:t>的位于</w:t>
      </w:r>
      <w:r>
        <w:rPr>
          <w:rFonts w:hint="eastAsia" w:hAnsi="宋体"/>
          <w:color w:val="auto"/>
          <w:sz w:val="28"/>
          <w:szCs w:val="28"/>
          <w:lang w:eastAsia="zh-CN"/>
        </w:rPr>
        <w:t>咸安区东门村五组2幢1-5层号</w:t>
      </w:r>
      <w:r>
        <w:rPr>
          <w:rFonts w:hint="eastAsia" w:hAnsi="宋体"/>
          <w:color w:val="auto"/>
          <w:sz w:val="28"/>
          <w:szCs w:val="28"/>
        </w:rPr>
        <w:t>住宅房地产，包括房屋及其</w:t>
      </w:r>
      <w:r>
        <w:rPr>
          <w:rFonts w:hint="eastAsia" w:hAnsi="宋体"/>
          <w:color w:val="auto"/>
          <w:sz w:val="28"/>
          <w:szCs w:val="28"/>
          <w:lang w:eastAsia="zh-CN"/>
        </w:rPr>
        <w:t>独用</w:t>
      </w:r>
      <w:r>
        <w:rPr>
          <w:rFonts w:hint="eastAsia" w:hAnsi="宋体"/>
          <w:color w:val="auto"/>
          <w:sz w:val="28"/>
          <w:szCs w:val="28"/>
        </w:rPr>
        <w:t>的土地使用权以及与房地产不可分割的满足其使用功能的水、电、气等配套</w:t>
      </w:r>
      <w:r>
        <w:rPr>
          <w:rFonts w:hint="eastAsia" w:hAnsi="宋体"/>
          <w:color w:val="auto"/>
          <w:sz w:val="28"/>
          <w:szCs w:val="28"/>
          <w:lang w:eastAsia="zh-CN"/>
        </w:rPr>
        <w:t>及</w:t>
      </w:r>
      <w:r>
        <w:rPr>
          <w:rFonts w:hint="eastAsia" w:hAnsi="宋体"/>
          <w:color w:val="auto"/>
          <w:sz w:val="28"/>
          <w:szCs w:val="28"/>
        </w:rPr>
        <w:t>不可移动的装修装饰</w:t>
      </w:r>
      <w:r>
        <w:rPr>
          <w:rFonts w:hint="eastAsia" w:hAnsi="宋体"/>
          <w:color w:val="auto"/>
          <w:sz w:val="28"/>
          <w:szCs w:val="28"/>
          <w:lang w:eastAsia="zh-CN"/>
        </w:rPr>
        <w:t>，但不含室内家具、电器及其他动产。</w:t>
      </w:r>
      <w:r>
        <w:rPr>
          <w:rFonts w:hint="eastAsia" w:hAnsi="宋体"/>
          <w:color w:val="auto"/>
          <w:sz w:val="28"/>
          <w:szCs w:val="28"/>
        </w:rPr>
        <w:t>房屋建筑面积：</w:t>
      </w:r>
      <w:r>
        <w:rPr>
          <w:rFonts w:hint="eastAsia" w:hAnsi="宋体"/>
          <w:color w:val="auto"/>
          <w:sz w:val="28"/>
          <w:szCs w:val="28"/>
          <w:lang w:eastAsia="zh-CN"/>
        </w:rPr>
        <w:t>1601.98</w:t>
      </w:r>
      <w:r>
        <w:rPr>
          <w:rFonts w:hint="eastAsia" w:hAnsi="宋体"/>
          <w:color w:val="auto"/>
          <w:sz w:val="28"/>
          <w:szCs w:val="28"/>
        </w:rPr>
        <w:t>㎡，土地</w:t>
      </w:r>
      <w:r>
        <w:rPr>
          <w:rFonts w:hAnsi="宋体"/>
          <w:color w:val="auto"/>
          <w:sz w:val="28"/>
          <w:szCs w:val="28"/>
        </w:rPr>
        <w:t>使用</w:t>
      </w:r>
      <w:r>
        <w:rPr>
          <w:rFonts w:hint="eastAsia" w:hAnsi="宋体"/>
          <w:color w:val="auto"/>
          <w:sz w:val="28"/>
          <w:szCs w:val="28"/>
        </w:rPr>
        <w:t>权</w:t>
      </w:r>
      <w:r>
        <w:rPr>
          <w:rFonts w:hAnsi="宋体"/>
          <w:color w:val="auto"/>
          <w:sz w:val="28"/>
          <w:szCs w:val="28"/>
        </w:rPr>
        <w:t>面积：</w:t>
      </w:r>
      <w:r>
        <w:rPr>
          <w:rFonts w:hint="eastAsia" w:hAnsi="宋体"/>
          <w:color w:val="auto"/>
          <w:sz w:val="28"/>
          <w:szCs w:val="28"/>
          <w:lang w:eastAsia="zh-CN"/>
        </w:rPr>
        <w:t>456.52</w:t>
      </w:r>
      <w:r>
        <w:rPr>
          <w:rFonts w:hint="eastAsia" w:hAnsi="宋体"/>
          <w:color w:val="auto"/>
          <w:sz w:val="28"/>
          <w:szCs w:val="28"/>
        </w:rPr>
        <w:t>㎡</w:t>
      </w:r>
      <w:r>
        <w:rPr>
          <w:rFonts w:hAnsi="宋体"/>
          <w:color w:val="auto"/>
          <w:sz w:val="28"/>
          <w:szCs w:val="28"/>
        </w:rPr>
        <w:t>。</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hAnsi="宋体" w:eastAsia="宋体"/>
          <w:color w:val="auto"/>
          <w:sz w:val="28"/>
          <w:szCs w:val="28"/>
          <w:lang w:eastAsia="zh-CN"/>
        </w:rPr>
      </w:pPr>
      <w:r>
        <w:rPr>
          <w:rFonts w:hint="eastAsia" w:hAnsi="宋体"/>
          <w:b/>
          <w:color w:val="auto"/>
          <w:sz w:val="28"/>
          <w:szCs w:val="28"/>
        </w:rPr>
        <w:t>价值时点</w:t>
      </w:r>
      <w:r>
        <w:rPr>
          <w:rFonts w:hint="eastAsia" w:hAnsi="宋体"/>
          <w:color w:val="auto"/>
          <w:sz w:val="28"/>
          <w:szCs w:val="28"/>
        </w:rPr>
        <w:t>：</w:t>
      </w:r>
      <w:r>
        <w:rPr>
          <w:rFonts w:hint="eastAsia" w:hAnsi="宋体"/>
          <w:color w:val="auto"/>
          <w:sz w:val="28"/>
          <w:szCs w:val="28"/>
          <w:lang w:eastAsia="zh-CN"/>
        </w:rPr>
        <w:t>2022年2月21日</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Ansi="宋体"/>
          <w:color w:val="auto"/>
          <w:sz w:val="28"/>
          <w:szCs w:val="28"/>
        </w:rPr>
      </w:pPr>
      <w:r>
        <w:rPr>
          <w:rFonts w:hint="eastAsia" w:hAnsi="宋体"/>
          <w:b/>
          <w:color w:val="auto"/>
          <w:sz w:val="28"/>
          <w:szCs w:val="28"/>
        </w:rPr>
        <w:t>价值类型</w:t>
      </w:r>
      <w:r>
        <w:rPr>
          <w:rFonts w:hint="eastAsia" w:hAnsi="宋体"/>
          <w:color w:val="auto"/>
          <w:sz w:val="28"/>
          <w:szCs w:val="28"/>
        </w:rPr>
        <w:t>：市场价值</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hAnsi="宋体"/>
          <w:color w:val="auto"/>
          <w:sz w:val="28"/>
          <w:szCs w:val="28"/>
        </w:rPr>
      </w:pPr>
      <w:r>
        <w:rPr>
          <w:rFonts w:hint="eastAsia" w:hAnsi="宋体"/>
          <w:b/>
          <w:color w:val="auto"/>
          <w:sz w:val="28"/>
          <w:szCs w:val="28"/>
        </w:rPr>
        <w:t>估价方法</w:t>
      </w:r>
      <w:r>
        <w:rPr>
          <w:rFonts w:hint="eastAsia" w:hAnsi="宋体"/>
          <w:color w:val="auto"/>
          <w:sz w:val="28"/>
          <w:szCs w:val="28"/>
        </w:rPr>
        <w:t>：比较法</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hAnsi="宋体"/>
          <w:color w:val="auto"/>
          <w:sz w:val="28"/>
          <w:szCs w:val="28"/>
        </w:rPr>
      </w:pPr>
      <w:r>
        <w:rPr>
          <w:rFonts w:hint="eastAsia" w:hAnsi="宋体"/>
          <w:b/>
          <w:color w:val="auto"/>
          <w:sz w:val="28"/>
          <w:szCs w:val="28"/>
        </w:rPr>
        <w:t>估价结果</w:t>
      </w:r>
      <w:r>
        <w:rPr>
          <w:rFonts w:hint="eastAsia" w:hAnsi="宋体"/>
          <w:color w:val="auto"/>
          <w:sz w:val="28"/>
          <w:szCs w:val="28"/>
        </w:rPr>
        <w:t>：经过实地查勘和市场调查，遵照</w:t>
      </w:r>
      <w:r>
        <w:rPr>
          <w:rFonts w:hAnsi="宋体"/>
          <w:color w:val="auto"/>
          <w:sz w:val="28"/>
          <w:szCs w:val="28"/>
        </w:rPr>
        <w:t>《中华人民共和国城市房地产管理法》</w:t>
      </w:r>
      <w:r>
        <w:rPr>
          <w:rFonts w:hint="eastAsia" w:hAnsi="宋体"/>
          <w:color w:val="auto"/>
          <w:sz w:val="28"/>
          <w:szCs w:val="28"/>
        </w:rPr>
        <w:t>、</w:t>
      </w:r>
      <w:r>
        <w:rPr>
          <w:rFonts w:hAnsi="宋体"/>
          <w:color w:val="auto"/>
          <w:sz w:val="28"/>
          <w:szCs w:val="28"/>
        </w:rPr>
        <w:t>《房地产估价规范》</w:t>
      </w:r>
      <w:r>
        <w:rPr>
          <w:rFonts w:hint="eastAsia" w:hAnsi="宋体"/>
          <w:color w:val="auto"/>
          <w:sz w:val="28"/>
          <w:szCs w:val="28"/>
        </w:rPr>
        <w:t>（</w:t>
      </w:r>
      <w:r>
        <w:rPr>
          <w:rFonts w:hAnsi="宋体"/>
          <w:color w:val="auto"/>
          <w:sz w:val="28"/>
          <w:szCs w:val="28"/>
        </w:rPr>
        <w:t>GB/T</w:t>
      </w:r>
      <w:r>
        <w:rPr>
          <w:rFonts w:hint="eastAsia" w:hAnsi="宋体"/>
          <w:color w:val="auto"/>
          <w:sz w:val="28"/>
          <w:szCs w:val="28"/>
          <w:lang w:val="en-US" w:eastAsia="zh-CN"/>
        </w:rPr>
        <w:t xml:space="preserve"> </w:t>
      </w:r>
      <w:r>
        <w:rPr>
          <w:rFonts w:hAnsi="宋体"/>
          <w:color w:val="auto"/>
          <w:sz w:val="28"/>
          <w:szCs w:val="28"/>
        </w:rPr>
        <w:t>50291</w:t>
      </w:r>
      <w:r>
        <w:rPr>
          <w:rFonts w:hint="eastAsia" w:hAnsi="宋体"/>
          <w:color w:val="auto"/>
          <w:sz w:val="28"/>
          <w:szCs w:val="28"/>
          <w:lang w:val="en-US" w:eastAsia="zh-CN"/>
        </w:rPr>
        <w:t>-</w:t>
      </w:r>
      <w:r>
        <w:rPr>
          <w:rFonts w:hAnsi="宋体"/>
          <w:color w:val="auto"/>
          <w:sz w:val="28"/>
          <w:szCs w:val="28"/>
        </w:rPr>
        <w:t>2015</w:t>
      </w:r>
      <w:r>
        <w:rPr>
          <w:rFonts w:hint="eastAsia" w:hAnsi="宋体"/>
          <w:color w:val="auto"/>
          <w:sz w:val="28"/>
          <w:szCs w:val="28"/>
        </w:rPr>
        <w:t>）等法律法规和技术标准，遵循独立、客观、公正、合法的原则，通过分析、测算和判断，</w:t>
      </w:r>
      <w:r>
        <w:rPr>
          <w:rFonts w:hAnsi="宋体"/>
          <w:color w:val="auto"/>
          <w:sz w:val="28"/>
          <w:szCs w:val="28"/>
        </w:rPr>
        <w:t>确定估价对象</w:t>
      </w:r>
      <w:r>
        <w:rPr>
          <w:rFonts w:hint="eastAsia" w:hAnsi="宋体"/>
          <w:color w:val="auto"/>
          <w:sz w:val="28"/>
          <w:szCs w:val="28"/>
        </w:rPr>
        <w:t>于</w:t>
      </w:r>
      <w:r>
        <w:rPr>
          <w:rFonts w:hAnsi="宋体"/>
          <w:color w:val="auto"/>
          <w:sz w:val="28"/>
          <w:szCs w:val="28"/>
        </w:rPr>
        <w:t>价值时点</w:t>
      </w:r>
      <w:r>
        <w:rPr>
          <w:rFonts w:hint="eastAsia" w:hAnsi="宋体"/>
          <w:color w:val="auto"/>
          <w:sz w:val="28"/>
          <w:szCs w:val="28"/>
        </w:rPr>
        <w:t>在</w:t>
      </w:r>
      <w:r>
        <w:rPr>
          <w:rFonts w:hAnsi="宋体"/>
          <w:color w:val="auto"/>
          <w:sz w:val="28"/>
          <w:szCs w:val="28"/>
        </w:rPr>
        <w:t>满足本次估价假</w:t>
      </w:r>
      <w:r>
        <w:rPr>
          <w:color w:val="auto"/>
          <w:sz w:val="28"/>
        </w:rPr>
        <mc:AlternateContent>
          <mc:Choice Requires="wps">
            <w:drawing>
              <wp:anchor distT="0" distB="0" distL="114300" distR="114300" simplePos="0" relativeHeight="251659264" behindDoc="0" locked="0" layoutInCell="1" hidden="1" allowOverlap="1">
                <wp:simplePos x="0" y="0"/>
                <wp:positionH relativeFrom="column">
                  <wp:posOffset>-1315720</wp:posOffset>
                </wp:positionH>
                <wp:positionV relativeFrom="paragraph">
                  <wp:posOffset>-773430</wp:posOffset>
                </wp:positionV>
                <wp:extent cx="63500" cy="63500"/>
                <wp:effectExtent l="0" t="0" r="0" b="0"/>
                <wp:wrapNone/>
                <wp:docPr id="2" name="KGD_Gobal1" descr="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KGD_Gobal1" o:spid="_x0000_s1026" o:spt="1" alt="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" style="position:absolute;left:0pt;margin-left:-103.6pt;margin-top:-60.9pt;height:5pt;width:5pt;visibility:hidden;z-index:251659264;mso-width-relative:page;mso-height-relative:page;" fillcolor="#FFFFFF" filled="t" stroked="t" coordsize="21600,21600" o:gfxdata="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">
                <v:fill on="t" focussize="0,0"/>
                <v:stroke color="#000000" joinstyle="miter"/>
                <v:imagedata o:title=""/>
                <o:lock v:ext="edit" aspectratio="f"/>
                <v:textbox>
                  <w:txbxContent>
                    <w:p>
                      <w:pPr>
                        <w:jc w:val="center"/>
                      </w:pPr>
                    </w:p>
                  </w:txbxContent>
                </v:textbox>
              </v:rect>
            </w:pict>
          </mc:Fallback>
        </mc:AlternateContent>
      </w:r>
      <w:r>
        <w:rPr>
          <w:rFonts w:hAnsi="宋体"/>
          <w:color w:val="auto"/>
          <w:sz w:val="28"/>
          <w:szCs w:val="28"/>
        </w:rPr>
        <w:t>设和限制条件前提下的</w:t>
      </w:r>
      <w:r>
        <w:rPr>
          <w:rFonts w:hint="eastAsia" w:hAnsi="宋体"/>
          <w:color w:val="auto"/>
          <w:sz w:val="28"/>
          <w:szCs w:val="28"/>
          <w:lang w:eastAsia="zh-CN"/>
        </w:rPr>
        <w:t>房地产</w:t>
      </w:r>
      <w:r>
        <w:rPr>
          <w:rFonts w:hint="eastAsia" w:hAnsi="宋体"/>
          <w:color w:val="auto"/>
          <w:sz w:val="28"/>
          <w:szCs w:val="28"/>
        </w:rPr>
        <w:t>市场总</w:t>
      </w:r>
      <w:r>
        <w:rPr>
          <w:rFonts w:hAnsi="宋体"/>
          <w:color w:val="auto"/>
          <w:sz w:val="28"/>
          <w:szCs w:val="28"/>
        </w:rPr>
        <w:t>价值</w:t>
      </w:r>
      <w:r>
        <w:rPr>
          <w:rFonts w:hint="eastAsia" w:hAnsi="宋体"/>
          <w:color w:val="auto"/>
          <w:sz w:val="28"/>
          <w:szCs w:val="28"/>
        </w:rPr>
        <w:t>约</w:t>
      </w:r>
      <w:r>
        <w:rPr>
          <w:rFonts w:hAnsi="宋体"/>
          <w:color w:val="auto"/>
          <w:sz w:val="28"/>
          <w:szCs w:val="28"/>
        </w:rPr>
        <w:t>为RMB</w:t>
      </w:r>
      <w:r>
        <w:rPr>
          <w:rFonts w:hint="eastAsia" w:hAnsi="宋体"/>
          <w:b/>
          <w:color w:val="auto"/>
          <w:sz w:val="28"/>
          <w:szCs w:val="28"/>
          <w:lang w:eastAsia="zh-CN"/>
        </w:rPr>
        <w:t>280.35</w:t>
      </w:r>
      <w:r>
        <w:rPr>
          <w:rFonts w:hint="eastAsia" w:hAnsi="宋体"/>
          <w:color w:val="auto"/>
          <w:sz w:val="28"/>
          <w:szCs w:val="28"/>
        </w:rPr>
        <w:t>万元</w:t>
      </w:r>
      <w:r>
        <w:rPr>
          <w:rFonts w:hAnsi="宋体"/>
          <w:color w:val="auto"/>
          <w:sz w:val="28"/>
          <w:szCs w:val="28"/>
        </w:rPr>
        <w:t>，大写</w:t>
      </w:r>
      <w:r>
        <w:rPr>
          <w:rFonts w:hint="eastAsia" w:hAnsi="宋体"/>
          <w:color w:val="auto"/>
          <w:sz w:val="28"/>
          <w:szCs w:val="28"/>
        </w:rPr>
        <w:t>：</w:t>
      </w:r>
      <w:r>
        <w:rPr>
          <w:rFonts w:hAnsi="宋体"/>
          <w:color w:val="auto"/>
          <w:sz w:val="28"/>
          <w:szCs w:val="28"/>
        </w:rPr>
        <w:t>人民币</w:t>
      </w:r>
      <w:r>
        <w:rPr>
          <w:rFonts w:hint="eastAsia" w:hAnsi="宋体"/>
          <w:b/>
          <w:color w:val="auto"/>
          <w:sz w:val="28"/>
          <w:szCs w:val="28"/>
          <w:lang w:eastAsia="zh-CN"/>
        </w:rPr>
        <w:t>贰佰捌拾万叁仟伍佰</w:t>
      </w:r>
      <w:r>
        <w:rPr>
          <w:rFonts w:hint="eastAsia" w:hAnsi="宋体"/>
          <w:color w:val="auto"/>
          <w:sz w:val="28"/>
          <w:szCs w:val="28"/>
        </w:rPr>
        <w:t>元整，</w:t>
      </w:r>
      <w:r>
        <w:rPr>
          <w:rFonts w:hAnsi="宋体"/>
          <w:color w:val="auto"/>
          <w:sz w:val="28"/>
          <w:szCs w:val="28"/>
        </w:rPr>
        <w:t>单价为</w:t>
      </w:r>
      <w:r>
        <w:rPr>
          <w:rFonts w:hint="eastAsia" w:hAnsi="宋体"/>
          <w:color w:val="auto"/>
          <w:sz w:val="28"/>
          <w:szCs w:val="28"/>
        </w:rPr>
        <w:t>RMB</w:t>
      </w:r>
      <w:r>
        <w:rPr>
          <w:rFonts w:hint="eastAsia" w:hAnsi="宋体"/>
          <w:b/>
          <w:color w:val="auto"/>
          <w:sz w:val="28"/>
          <w:szCs w:val="28"/>
          <w:lang w:val="en-US" w:eastAsia="zh-CN"/>
        </w:rPr>
        <w:t>1750</w:t>
      </w:r>
      <w:r>
        <w:rPr>
          <w:rFonts w:hint="eastAsia" w:hAnsi="宋体"/>
          <w:color w:val="auto"/>
          <w:sz w:val="28"/>
          <w:szCs w:val="28"/>
        </w:rPr>
        <w:t>元/平方</w:t>
      </w:r>
      <w:r>
        <w:rPr>
          <w:rFonts w:hAnsi="宋体"/>
          <w:color w:val="auto"/>
          <w:sz w:val="28"/>
          <w:szCs w:val="28"/>
        </w:rPr>
        <w:t>米</w:t>
      </w:r>
      <w:r>
        <w:rPr>
          <w:rFonts w:hint="eastAsia" w:hAnsi="宋体"/>
          <w:color w:val="auto"/>
          <w:sz w:val="28"/>
          <w:szCs w:val="28"/>
        </w:rPr>
        <w:t>。</w:t>
      </w:r>
    </w:p>
    <w:p>
      <w:pPr>
        <w:pStyle w:val="24"/>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Ansi="宋体"/>
          <w:color w:val="auto"/>
          <w:sz w:val="28"/>
          <w:szCs w:val="28"/>
        </w:rPr>
      </w:pPr>
      <w:r>
        <w:rPr>
          <w:rFonts w:hint="eastAsia" w:hAnsi="宋体"/>
          <w:b/>
          <w:color w:val="auto"/>
          <w:sz w:val="28"/>
          <w:szCs w:val="28"/>
        </w:rPr>
        <w:t>特别提示：</w:t>
      </w:r>
      <w:r>
        <w:rPr>
          <w:rFonts w:hint="eastAsia" w:hAnsi="宋体"/>
          <w:color w:val="auto"/>
          <w:sz w:val="28"/>
          <w:szCs w:val="28"/>
        </w:rPr>
        <w:t>报告使用人在使用本报告之前须对报告全文，特别是“估价假设和限制条件”认真阅读，以免使用不当，造成损失！估价的详细结果、过程及有关说明，请见附后的</w:t>
      </w:r>
      <w:r>
        <w:rPr>
          <w:rFonts w:hAnsi="宋体"/>
          <w:color w:val="auto"/>
          <w:sz w:val="28"/>
          <w:szCs w:val="28"/>
        </w:rPr>
        <w:t>《</w:t>
      </w:r>
      <w:r>
        <w:rPr>
          <w:rFonts w:hint="eastAsia" w:hAnsi="宋体"/>
          <w:color w:val="auto"/>
          <w:sz w:val="28"/>
          <w:szCs w:val="28"/>
        </w:rPr>
        <w:t>估价结果报告</w:t>
      </w:r>
      <w:r>
        <w:rPr>
          <w:rFonts w:hAnsi="宋体"/>
          <w:color w:val="auto"/>
          <w:sz w:val="28"/>
          <w:szCs w:val="28"/>
        </w:rPr>
        <w:t>》</w:t>
      </w:r>
      <w:r>
        <w:rPr>
          <w:rFonts w:hint="eastAsia" w:hAnsi="宋体"/>
          <w:color w:val="auto"/>
          <w:sz w:val="28"/>
          <w:szCs w:val="28"/>
        </w:rPr>
        <w:t>。</w:t>
      </w:r>
    </w:p>
    <w:p>
      <w:pPr>
        <w:pStyle w:val="24"/>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Ansi="宋体"/>
          <w:b/>
          <w:bCs/>
          <w:color w:val="auto"/>
          <w:sz w:val="28"/>
          <w:szCs w:val="28"/>
        </w:rPr>
      </w:pPr>
      <w:r>
        <w:rPr>
          <w:rFonts w:hint="eastAsia" w:hAnsi="宋体"/>
          <w:b/>
          <w:bCs/>
          <w:color w:val="auto"/>
          <w:sz w:val="28"/>
          <w:szCs w:val="28"/>
          <w:lang w:eastAsia="zh-CN"/>
        </w:rPr>
        <w:t>表</w:t>
      </w:r>
      <w:r>
        <w:rPr>
          <w:rFonts w:hint="eastAsia" w:hAnsi="宋体"/>
          <w:b/>
          <w:bCs/>
          <w:color w:val="auto"/>
          <w:sz w:val="28"/>
          <w:szCs w:val="28"/>
          <w:lang w:val="en-US" w:eastAsia="zh-CN"/>
        </w:rPr>
        <w:t xml:space="preserve">1  </w:t>
      </w:r>
      <w:r>
        <w:rPr>
          <w:rFonts w:hint="eastAsia" w:hAnsi="宋体"/>
          <w:b/>
          <w:bCs/>
          <w:color w:val="auto"/>
          <w:sz w:val="28"/>
          <w:szCs w:val="28"/>
        </w:rPr>
        <w:t>估价结果一览表</w:t>
      </w:r>
    </w:p>
    <w:tbl>
      <w:tblPr>
        <w:tblStyle w:val="45"/>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394"/>
        <w:gridCol w:w="734"/>
        <w:gridCol w:w="825"/>
        <w:gridCol w:w="1103"/>
        <w:gridCol w:w="993"/>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70" w:type="dxa"/>
            <w:vAlign w:val="center"/>
          </w:tcPr>
          <w:p>
            <w:pPr>
              <w:jc w:val="center"/>
              <w:rPr>
                <w:rFonts w:ascii="宋体" w:hAnsi="宋体" w:cs="宋体"/>
                <w:color w:val="auto"/>
                <w:sz w:val="24"/>
                <w:szCs w:val="24"/>
              </w:rPr>
            </w:pPr>
            <w:r>
              <w:rPr>
                <w:rFonts w:hint="eastAsia" w:ascii="宋体" w:hAnsi="宋体" w:cs="宋体"/>
                <w:color w:val="auto"/>
                <w:sz w:val="24"/>
                <w:szCs w:val="24"/>
              </w:rPr>
              <w:t>产权人</w:t>
            </w:r>
          </w:p>
        </w:tc>
        <w:tc>
          <w:tcPr>
            <w:tcW w:w="239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不动产权证书</w:t>
            </w:r>
            <w:r>
              <w:rPr>
                <w:rFonts w:hint="eastAsia" w:ascii="宋体" w:hAnsi="宋体" w:eastAsia="宋体" w:cs="宋体"/>
                <w:i w:val="0"/>
                <w:color w:val="auto"/>
                <w:kern w:val="0"/>
                <w:sz w:val="24"/>
                <w:szCs w:val="24"/>
                <w:u w:val="none"/>
                <w:lang w:val="en-US" w:eastAsia="zh-CN" w:bidi="ar"/>
              </w:rPr>
              <w:t>》</w:t>
            </w:r>
          </w:p>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color w:val="auto"/>
                <w:kern w:val="0"/>
                <w:sz w:val="24"/>
                <w:szCs w:val="24"/>
                <w:u w:val="none"/>
                <w:lang w:val="en-US" w:eastAsia="zh-CN" w:bidi="ar"/>
              </w:rPr>
              <w:t>证号</w:t>
            </w:r>
          </w:p>
        </w:tc>
        <w:tc>
          <w:tcPr>
            <w:tcW w:w="734"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房屋</w:t>
            </w:r>
          </w:p>
          <w:p>
            <w:pPr>
              <w:jc w:val="center"/>
              <w:rPr>
                <w:rFonts w:ascii="宋体" w:hAnsi="宋体" w:cs="宋体"/>
                <w:color w:val="auto"/>
                <w:sz w:val="24"/>
                <w:szCs w:val="24"/>
              </w:rPr>
            </w:pPr>
            <w:r>
              <w:rPr>
                <w:rFonts w:hint="eastAsia" w:ascii="宋体" w:hAnsi="宋体" w:cs="宋体"/>
                <w:color w:val="auto"/>
                <w:sz w:val="24"/>
                <w:szCs w:val="24"/>
              </w:rPr>
              <w:t>用途</w:t>
            </w:r>
          </w:p>
        </w:tc>
        <w:tc>
          <w:tcPr>
            <w:tcW w:w="825" w:type="dxa"/>
            <w:vAlign w:val="center"/>
          </w:tcPr>
          <w:p>
            <w:pPr>
              <w:jc w:val="center"/>
              <w:rPr>
                <w:rFonts w:ascii="宋体" w:hAnsi="宋体" w:cs="宋体"/>
                <w:color w:val="auto"/>
                <w:sz w:val="24"/>
                <w:szCs w:val="24"/>
              </w:rPr>
            </w:pPr>
            <w:r>
              <w:rPr>
                <w:rFonts w:hint="eastAsia" w:ascii="宋体" w:hAnsi="宋体" w:cs="宋体"/>
                <w:color w:val="auto"/>
                <w:sz w:val="24"/>
                <w:szCs w:val="24"/>
              </w:rPr>
              <w:t>所在</w:t>
            </w:r>
          </w:p>
          <w:p>
            <w:pPr>
              <w:jc w:val="center"/>
              <w:rPr>
                <w:rFonts w:ascii="宋体" w:hAnsi="宋体" w:cs="宋体"/>
                <w:color w:val="auto"/>
                <w:sz w:val="24"/>
                <w:szCs w:val="24"/>
              </w:rPr>
            </w:pPr>
            <w:r>
              <w:rPr>
                <w:rFonts w:hint="eastAsia" w:ascii="宋体" w:hAnsi="宋体" w:cs="宋体"/>
                <w:color w:val="auto"/>
                <w:sz w:val="24"/>
                <w:szCs w:val="24"/>
              </w:rPr>
              <w:t>楼层</w:t>
            </w:r>
          </w:p>
        </w:tc>
        <w:tc>
          <w:tcPr>
            <w:tcW w:w="1103" w:type="dxa"/>
            <w:vAlign w:val="center"/>
          </w:tcPr>
          <w:p>
            <w:pPr>
              <w:jc w:val="center"/>
              <w:rPr>
                <w:rFonts w:ascii="宋体" w:hAnsi="宋体" w:cs="宋体"/>
                <w:color w:val="auto"/>
                <w:sz w:val="24"/>
                <w:szCs w:val="24"/>
              </w:rPr>
            </w:pPr>
            <w:r>
              <w:rPr>
                <w:rFonts w:hint="eastAsia" w:ascii="宋体" w:hAnsi="宋体" w:cs="宋体"/>
                <w:color w:val="auto"/>
                <w:sz w:val="24"/>
                <w:szCs w:val="24"/>
              </w:rPr>
              <w:t>建筑面积（㎡）</w:t>
            </w:r>
          </w:p>
        </w:tc>
        <w:tc>
          <w:tcPr>
            <w:tcW w:w="993" w:type="dxa"/>
            <w:vAlign w:val="center"/>
          </w:tcPr>
          <w:p>
            <w:pPr>
              <w:jc w:val="center"/>
              <w:rPr>
                <w:rFonts w:ascii="宋体" w:hAnsi="宋体" w:cs="宋体"/>
                <w:color w:val="auto"/>
                <w:sz w:val="24"/>
                <w:szCs w:val="24"/>
              </w:rPr>
            </w:pPr>
            <w:r>
              <w:rPr>
                <w:rFonts w:hint="eastAsia" w:ascii="宋体" w:hAnsi="宋体" w:cs="宋体"/>
                <w:color w:val="auto"/>
                <w:sz w:val="24"/>
                <w:szCs w:val="24"/>
              </w:rPr>
              <w:t>土地面积（㎡）</w:t>
            </w:r>
          </w:p>
        </w:tc>
        <w:tc>
          <w:tcPr>
            <w:tcW w:w="1260" w:type="dxa"/>
            <w:vAlign w:val="center"/>
          </w:tcPr>
          <w:p>
            <w:pPr>
              <w:jc w:val="center"/>
              <w:rPr>
                <w:rFonts w:ascii="宋体" w:hAnsi="宋体" w:cs="宋体"/>
                <w:color w:val="auto"/>
                <w:sz w:val="24"/>
                <w:szCs w:val="24"/>
              </w:rPr>
            </w:pPr>
            <w:r>
              <w:rPr>
                <w:rFonts w:hint="eastAsia" w:ascii="宋体" w:hAnsi="宋体" w:cs="宋体"/>
                <w:color w:val="auto"/>
                <w:sz w:val="24"/>
                <w:szCs w:val="24"/>
              </w:rPr>
              <w:t>评估单价</w:t>
            </w:r>
          </w:p>
          <w:p>
            <w:pPr>
              <w:jc w:val="center"/>
              <w:rPr>
                <w:rFonts w:ascii="宋体" w:hAnsi="宋体" w:cs="宋体"/>
                <w:color w:val="auto"/>
                <w:sz w:val="24"/>
                <w:szCs w:val="24"/>
              </w:rPr>
            </w:pPr>
            <w:r>
              <w:rPr>
                <w:rFonts w:hint="eastAsia" w:ascii="宋体" w:hAnsi="宋体" w:cs="宋体"/>
                <w:color w:val="auto"/>
                <w:sz w:val="24"/>
                <w:szCs w:val="24"/>
              </w:rPr>
              <w:t>（元/㎡）</w:t>
            </w:r>
          </w:p>
        </w:tc>
        <w:tc>
          <w:tcPr>
            <w:tcW w:w="1215" w:type="dxa"/>
            <w:vAlign w:val="center"/>
          </w:tcPr>
          <w:p>
            <w:pPr>
              <w:jc w:val="center"/>
              <w:rPr>
                <w:rFonts w:ascii="宋体" w:hAnsi="宋体" w:cs="宋体"/>
                <w:color w:val="auto"/>
                <w:sz w:val="24"/>
                <w:szCs w:val="24"/>
              </w:rPr>
            </w:pPr>
            <w:r>
              <w:rPr>
                <w:rFonts w:hint="eastAsia" w:ascii="宋体" w:hAnsi="宋体" w:cs="宋体"/>
                <w:color w:val="auto"/>
                <w:sz w:val="24"/>
                <w:szCs w:val="24"/>
              </w:rPr>
              <w:t>评估总价</w:t>
            </w:r>
          </w:p>
          <w:p>
            <w:pPr>
              <w:jc w:val="center"/>
              <w:rPr>
                <w:rFonts w:ascii="宋体" w:hAnsi="宋体" w:cs="宋体"/>
                <w:color w:val="auto"/>
                <w:sz w:val="24"/>
                <w:szCs w:val="24"/>
              </w:rPr>
            </w:pPr>
            <w:r>
              <w:rPr>
                <w:rFonts w:hint="eastAsia" w:ascii="宋体" w:hAnsi="宋体" w:cs="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70" w:type="dxa"/>
            <w:vAlign w:val="center"/>
          </w:tcPr>
          <w:p>
            <w:pPr>
              <w:jc w:val="center"/>
              <w:rPr>
                <w:rFonts w:hint="default" w:ascii="宋体" w:hAnsi="宋体" w:eastAsia="宋体" w:cs="宋体"/>
                <w:color w:val="auto"/>
                <w:sz w:val="24"/>
                <w:szCs w:val="24"/>
                <w:lang w:eastAsia="zh-CN"/>
              </w:rPr>
            </w:pPr>
            <w:r>
              <w:rPr>
                <w:rFonts w:hint="eastAsia" w:ascii="宋体" w:hAnsi="宋体" w:cs="宋体"/>
                <w:color w:val="auto"/>
                <w:sz w:val="24"/>
                <w:szCs w:val="24"/>
                <w:lang w:eastAsia="zh-CN"/>
              </w:rPr>
              <w:t>范春姣</w:t>
            </w:r>
          </w:p>
        </w:tc>
        <w:tc>
          <w:tcPr>
            <w:tcW w:w="2394"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eastAsia="zh-CN"/>
              </w:rPr>
              <w:t>鄂（2019）咸安区不动产权第0016109号</w:t>
            </w:r>
          </w:p>
        </w:tc>
        <w:tc>
          <w:tcPr>
            <w:tcW w:w="734" w:type="dxa"/>
            <w:vAlign w:val="center"/>
          </w:tcPr>
          <w:p>
            <w:pPr>
              <w:jc w:val="center"/>
              <w:rPr>
                <w:rFonts w:ascii="宋体" w:hAnsi="宋体" w:cs="宋体"/>
                <w:color w:val="auto"/>
                <w:sz w:val="24"/>
                <w:szCs w:val="24"/>
              </w:rPr>
            </w:pPr>
            <w:r>
              <w:rPr>
                <w:rFonts w:hint="eastAsia" w:ascii="宋体" w:hAnsi="宋体" w:cs="宋体"/>
                <w:color w:val="auto"/>
                <w:sz w:val="24"/>
                <w:szCs w:val="24"/>
              </w:rPr>
              <w:t>住宅</w:t>
            </w:r>
          </w:p>
        </w:tc>
        <w:tc>
          <w:tcPr>
            <w:tcW w:w="825" w:type="dxa"/>
            <w:vAlign w:val="center"/>
          </w:tcPr>
          <w:p>
            <w:pPr>
              <w:jc w:val="center"/>
              <w:rPr>
                <w:rFonts w:hint="default" w:ascii="宋体" w:hAnsi="宋体" w:cs="宋体"/>
                <w:color w:val="auto"/>
                <w:sz w:val="24"/>
                <w:szCs w:val="24"/>
                <w:lang w:val="en-US"/>
              </w:rPr>
            </w:pPr>
            <w:r>
              <w:rPr>
                <w:rFonts w:hint="eastAsia" w:ascii="宋体" w:hAnsi="宋体" w:cs="宋体"/>
                <w:color w:val="auto"/>
                <w:sz w:val="24"/>
                <w:szCs w:val="24"/>
                <w:lang w:val="en-US" w:eastAsia="zh-CN"/>
              </w:rPr>
              <w:t>1-5/5</w:t>
            </w:r>
          </w:p>
        </w:tc>
        <w:tc>
          <w:tcPr>
            <w:tcW w:w="1103" w:type="dxa"/>
            <w:vAlign w:val="center"/>
          </w:tcPr>
          <w:p>
            <w:pPr>
              <w:keepNext w:val="0"/>
              <w:keepLines w:val="0"/>
              <w:widowControl/>
              <w:suppressLineNumbers w:val="0"/>
              <w:jc w:val="center"/>
              <w:textAlignment w:val="center"/>
              <w:rPr>
                <w:rFonts w:hint="eastAsia" w:ascii="宋体" w:hAnsi="宋体" w:cs="宋体"/>
                <w:color w:val="auto"/>
                <w:sz w:val="24"/>
                <w:szCs w:val="24"/>
                <w:lang w:val="en-US" w:eastAsia="zh-CN"/>
              </w:rPr>
            </w:pPr>
            <w:r>
              <w:rPr>
                <w:rFonts w:hint="eastAsia" w:ascii="宋体" w:hAnsi="宋体" w:cs="宋体"/>
                <w:i w:val="0"/>
                <w:iCs w:val="0"/>
                <w:color w:val="000000"/>
                <w:kern w:val="0"/>
                <w:sz w:val="24"/>
                <w:szCs w:val="24"/>
                <w:u w:val="none"/>
                <w:lang w:val="en-US" w:eastAsia="zh-CN" w:bidi="ar"/>
              </w:rPr>
              <w:t>1601.98</w:t>
            </w:r>
            <w:r>
              <w:rPr>
                <w:rFonts w:hint="eastAsia" w:ascii="宋体" w:hAnsi="宋体" w:eastAsia="宋体" w:cs="宋体"/>
                <w:i w:val="0"/>
                <w:iCs w:val="0"/>
                <w:color w:val="000000"/>
                <w:kern w:val="0"/>
                <w:sz w:val="24"/>
                <w:szCs w:val="24"/>
                <w:u w:val="none"/>
                <w:lang w:val="en-US" w:eastAsia="zh-CN" w:bidi="ar"/>
              </w:rPr>
              <w:t xml:space="preserve"> </w:t>
            </w:r>
          </w:p>
        </w:tc>
        <w:tc>
          <w:tcPr>
            <w:tcW w:w="993"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456.52</w:t>
            </w:r>
          </w:p>
        </w:tc>
        <w:tc>
          <w:tcPr>
            <w:tcW w:w="1260" w:type="dxa"/>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cs="宋体"/>
                <w:i w:val="0"/>
                <w:iCs w:val="0"/>
                <w:color w:val="000000"/>
                <w:kern w:val="0"/>
                <w:sz w:val="24"/>
                <w:szCs w:val="24"/>
                <w:u w:val="none"/>
                <w:lang w:val="en-US" w:eastAsia="zh-CN" w:bidi="ar"/>
              </w:rPr>
              <w:t>1750</w:t>
            </w:r>
          </w:p>
        </w:tc>
        <w:tc>
          <w:tcPr>
            <w:tcW w:w="1215" w:type="dxa"/>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cs="宋体"/>
                <w:i w:val="0"/>
                <w:iCs w:val="0"/>
                <w:color w:val="000000"/>
                <w:kern w:val="0"/>
                <w:sz w:val="24"/>
                <w:szCs w:val="24"/>
                <w:u w:val="none"/>
                <w:lang w:val="en-US" w:eastAsia="zh-CN" w:bidi="ar"/>
              </w:rPr>
              <w:t>280.35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464" w:type="dxa"/>
            <w:gridSpan w:val="2"/>
            <w:vAlign w:val="center"/>
          </w:tcPr>
          <w:p>
            <w:pPr>
              <w:jc w:val="center"/>
              <w:rPr>
                <w:rFonts w:ascii="宋体" w:hAnsi="宋体" w:cs="宋体"/>
                <w:color w:val="auto"/>
                <w:sz w:val="24"/>
                <w:szCs w:val="24"/>
              </w:rPr>
            </w:pPr>
            <w:r>
              <w:rPr>
                <w:rFonts w:hint="eastAsia" w:ascii="宋体" w:hAnsi="宋体" w:cs="宋体"/>
                <w:color w:val="auto"/>
                <w:sz w:val="24"/>
                <w:szCs w:val="24"/>
              </w:rPr>
              <w:t>房地产市场</w:t>
            </w:r>
            <w:r>
              <w:rPr>
                <w:rFonts w:hint="eastAsia" w:ascii="宋体" w:hAnsi="宋体" w:cs="宋体"/>
                <w:color w:val="auto"/>
                <w:sz w:val="24"/>
                <w:szCs w:val="24"/>
                <w:lang w:eastAsia="zh-CN"/>
              </w:rPr>
              <w:t>总</w:t>
            </w:r>
            <w:r>
              <w:rPr>
                <w:rFonts w:hint="eastAsia" w:ascii="宋体" w:hAnsi="宋体" w:cs="宋体"/>
                <w:color w:val="auto"/>
                <w:sz w:val="24"/>
                <w:szCs w:val="24"/>
              </w:rPr>
              <w:t>价值</w:t>
            </w:r>
          </w:p>
        </w:tc>
        <w:tc>
          <w:tcPr>
            <w:tcW w:w="6130" w:type="dxa"/>
            <w:gridSpan w:val="6"/>
            <w:vAlign w:val="center"/>
          </w:tcPr>
          <w:p>
            <w:pPr>
              <w:rPr>
                <w:rFonts w:ascii="宋体" w:hAnsi="宋体" w:cs="宋体"/>
                <w:color w:val="auto"/>
                <w:sz w:val="24"/>
                <w:szCs w:val="24"/>
              </w:rPr>
            </w:pPr>
            <w:r>
              <w:rPr>
                <w:rFonts w:hint="eastAsia" w:ascii="宋体" w:hAnsi="宋体" w:cs="宋体"/>
                <w:color w:val="auto"/>
                <w:sz w:val="24"/>
                <w:szCs w:val="24"/>
              </w:rPr>
              <w:t>RMB</w:t>
            </w:r>
            <w:r>
              <w:rPr>
                <w:rFonts w:hint="eastAsia" w:ascii="宋体" w:hAnsi="宋体" w:cs="宋体"/>
                <w:b/>
                <w:bCs/>
                <w:color w:val="auto"/>
                <w:sz w:val="24"/>
                <w:szCs w:val="24"/>
                <w:lang w:val="en-US" w:eastAsia="zh-CN"/>
              </w:rPr>
              <w:t>280.35</w:t>
            </w:r>
            <w:r>
              <w:rPr>
                <w:rFonts w:hint="eastAsia" w:ascii="宋体" w:hAnsi="宋体" w:cs="宋体"/>
                <w:color w:val="auto"/>
                <w:sz w:val="24"/>
                <w:szCs w:val="24"/>
              </w:rPr>
              <w:t>万元，大写：人民币</w:t>
            </w:r>
            <w:r>
              <w:rPr>
                <w:rFonts w:hint="eastAsia" w:ascii="宋体" w:hAnsi="宋体" w:cs="宋体"/>
                <w:b/>
                <w:bCs/>
                <w:color w:val="auto"/>
                <w:sz w:val="24"/>
                <w:szCs w:val="24"/>
                <w:lang w:eastAsia="zh-CN"/>
              </w:rPr>
              <w:t>贰佰捌拾万叁仟伍佰</w:t>
            </w:r>
            <w:r>
              <w:rPr>
                <w:rFonts w:hint="eastAsia" w:ascii="宋体" w:hAnsi="宋体" w:cs="宋体"/>
                <w:color w:val="auto"/>
                <w:sz w:val="24"/>
                <w:szCs w:val="24"/>
              </w:rPr>
              <w:t>元整</w:t>
            </w:r>
          </w:p>
        </w:tc>
      </w:tr>
    </w:tbl>
    <w:p>
      <w:pPr>
        <w:pStyle w:val="24"/>
        <w:keepNext w:val="0"/>
        <w:keepLines w:val="0"/>
        <w:pageBreakBefore w:val="0"/>
        <w:widowControl w:val="0"/>
        <w:kinsoku/>
        <w:wordWrap/>
        <w:overflowPunct/>
        <w:topLinePunct w:val="0"/>
        <w:autoSpaceDE/>
        <w:autoSpaceDN/>
        <w:bidi w:val="0"/>
        <w:adjustRightInd/>
        <w:snapToGrid/>
        <w:spacing w:line="500" w:lineRule="exact"/>
        <w:ind w:right="561" w:firstLine="562" w:firstLineChars="200"/>
        <w:textAlignment w:val="auto"/>
        <w:rPr>
          <w:rFonts w:hAnsi="宋体"/>
          <w:b/>
          <w:color w:val="auto"/>
          <w:sz w:val="28"/>
          <w:szCs w:val="28"/>
        </w:rPr>
      </w:pPr>
    </w:p>
    <w:p>
      <w:pPr>
        <w:pStyle w:val="24"/>
        <w:keepNext w:val="0"/>
        <w:keepLines w:val="0"/>
        <w:pageBreakBefore w:val="0"/>
        <w:widowControl w:val="0"/>
        <w:kinsoku/>
        <w:wordWrap/>
        <w:overflowPunct/>
        <w:topLinePunct w:val="0"/>
        <w:autoSpaceDE/>
        <w:autoSpaceDN/>
        <w:bidi w:val="0"/>
        <w:adjustRightInd/>
        <w:snapToGrid/>
        <w:spacing w:line="500" w:lineRule="exact"/>
        <w:ind w:right="561" w:firstLine="562" w:firstLineChars="200"/>
        <w:textAlignment w:val="auto"/>
        <w:rPr>
          <w:rFonts w:hAnsi="宋体"/>
          <w:b/>
          <w:color w:val="auto"/>
          <w:sz w:val="28"/>
          <w:szCs w:val="28"/>
        </w:rPr>
      </w:pPr>
    </w:p>
    <w:p>
      <w:pPr>
        <w:pStyle w:val="24"/>
        <w:keepNext w:val="0"/>
        <w:keepLines w:val="0"/>
        <w:pageBreakBefore w:val="0"/>
        <w:widowControl w:val="0"/>
        <w:kinsoku/>
        <w:wordWrap/>
        <w:overflowPunct/>
        <w:topLinePunct w:val="0"/>
        <w:autoSpaceDE/>
        <w:autoSpaceDN/>
        <w:bidi w:val="0"/>
        <w:adjustRightInd/>
        <w:snapToGrid/>
        <w:spacing w:line="500" w:lineRule="exact"/>
        <w:ind w:right="561"/>
        <w:jc w:val="right"/>
        <w:textAlignment w:val="auto"/>
        <w:rPr>
          <w:rFonts w:hAnsi="宋体"/>
          <w:b/>
          <w:color w:val="auto"/>
          <w:sz w:val="28"/>
          <w:szCs w:val="28"/>
        </w:rPr>
      </w:pPr>
      <w:r>
        <w:rPr>
          <w:rFonts w:hint="eastAsia" w:hAnsi="宋体"/>
          <w:b/>
          <w:color w:val="auto"/>
          <w:sz w:val="28"/>
          <w:szCs w:val="28"/>
        </w:rPr>
        <w:t>江苏天圣房地产土地资产评估测绘有限公司</w:t>
      </w:r>
    </w:p>
    <w:p>
      <w:pPr>
        <w:pStyle w:val="24"/>
        <w:keepNext w:val="0"/>
        <w:keepLines w:val="0"/>
        <w:pageBreakBefore w:val="0"/>
        <w:widowControl w:val="0"/>
        <w:kinsoku/>
        <w:wordWrap/>
        <w:overflowPunct/>
        <w:topLinePunct w:val="0"/>
        <w:autoSpaceDE/>
        <w:autoSpaceDN/>
        <w:bidi w:val="0"/>
        <w:adjustRightInd/>
        <w:snapToGrid/>
        <w:spacing w:line="500" w:lineRule="exact"/>
        <w:ind w:right="561" w:firstLine="3767" w:firstLineChars="1340"/>
        <w:textAlignment w:val="auto"/>
        <w:rPr>
          <w:rFonts w:hAnsi="宋体"/>
          <w:b/>
          <w:color w:val="auto"/>
          <w:sz w:val="28"/>
          <w:szCs w:val="28"/>
        </w:rPr>
      </w:pPr>
      <w:r>
        <w:rPr>
          <w:rFonts w:hint="eastAsia" w:hAnsi="宋体"/>
          <w:b/>
          <w:color w:val="auto"/>
          <w:sz w:val="28"/>
          <w:szCs w:val="28"/>
        </w:rPr>
        <w:t>法定代表人：</w:t>
      </w:r>
    </w:p>
    <w:p>
      <w:pPr>
        <w:pStyle w:val="24"/>
        <w:keepNext w:val="0"/>
        <w:keepLines w:val="0"/>
        <w:pageBreakBefore w:val="0"/>
        <w:widowControl w:val="0"/>
        <w:kinsoku/>
        <w:wordWrap/>
        <w:overflowPunct/>
        <w:topLinePunct w:val="0"/>
        <w:autoSpaceDE/>
        <w:autoSpaceDN/>
        <w:bidi w:val="0"/>
        <w:adjustRightInd/>
        <w:snapToGrid/>
        <w:spacing w:line="500" w:lineRule="exact"/>
        <w:ind w:right="561" w:firstLine="3767" w:firstLineChars="1340"/>
        <w:textAlignment w:val="auto"/>
        <w:rPr>
          <w:rFonts w:hint="eastAsia" w:hAnsi="宋体" w:eastAsia="宋体"/>
          <w:b/>
          <w:color w:val="auto"/>
          <w:sz w:val="28"/>
          <w:szCs w:val="28"/>
          <w:lang w:eastAsia="zh-CN"/>
        </w:rPr>
      </w:pPr>
      <w:r>
        <w:rPr>
          <w:rFonts w:hint="eastAsia" w:hAnsi="宋体"/>
          <w:b/>
          <w:color w:val="auto"/>
          <w:sz w:val="28"/>
          <w:szCs w:val="28"/>
          <w:lang w:eastAsia="zh-CN"/>
        </w:rPr>
        <w:t>二〇二二年三月二十一日</w:t>
      </w:r>
    </w:p>
    <w:p>
      <w:pPr>
        <w:pStyle w:val="24"/>
        <w:spacing w:beforeLines="50" w:afterLines="50" w:line="500" w:lineRule="exact"/>
        <w:ind w:firstLine="3677" w:firstLineChars="1308"/>
        <w:rPr>
          <w:rFonts w:hAnsi="宋体"/>
          <w:b/>
          <w:color w:val="auto"/>
          <w:sz w:val="28"/>
          <w:szCs w:val="28"/>
        </w:rPr>
      </w:pPr>
    </w:p>
    <w:p>
      <w:pPr>
        <w:pStyle w:val="24"/>
        <w:spacing w:beforeLines="50" w:afterLines="50" w:line="500" w:lineRule="exact"/>
        <w:ind w:firstLine="3677" w:firstLineChars="1308"/>
        <w:rPr>
          <w:rFonts w:hAnsi="宋体"/>
          <w:b/>
          <w:color w:val="auto"/>
          <w:sz w:val="28"/>
          <w:szCs w:val="28"/>
        </w:rPr>
      </w:pPr>
    </w:p>
    <w:p>
      <w:pPr>
        <w:pStyle w:val="24"/>
        <w:spacing w:beforeLines="50" w:afterLines="50" w:line="500" w:lineRule="exact"/>
        <w:ind w:firstLine="3677" w:firstLineChars="1308"/>
        <w:rPr>
          <w:rFonts w:hAnsi="宋体"/>
          <w:b/>
          <w:color w:val="auto"/>
          <w:sz w:val="28"/>
          <w:szCs w:val="28"/>
        </w:rPr>
      </w:pPr>
    </w:p>
    <w:p>
      <w:pPr>
        <w:pStyle w:val="24"/>
        <w:spacing w:beforeLines="50" w:afterLines="50" w:line="500" w:lineRule="exact"/>
        <w:ind w:firstLine="3677" w:firstLineChars="1308"/>
        <w:rPr>
          <w:rFonts w:hAnsi="宋体"/>
          <w:b/>
          <w:color w:val="auto"/>
          <w:sz w:val="28"/>
          <w:szCs w:val="28"/>
        </w:rPr>
      </w:pPr>
    </w:p>
    <w:p>
      <w:pPr>
        <w:pStyle w:val="24"/>
        <w:spacing w:beforeLines="50" w:afterLines="50" w:line="500" w:lineRule="exact"/>
        <w:ind w:firstLine="3677" w:firstLineChars="1308"/>
        <w:rPr>
          <w:rFonts w:hAnsi="宋体"/>
          <w:b/>
          <w:color w:val="auto"/>
          <w:sz w:val="28"/>
          <w:szCs w:val="28"/>
        </w:rPr>
      </w:pPr>
    </w:p>
    <w:p>
      <w:pPr>
        <w:pStyle w:val="24"/>
        <w:spacing w:beforeLines="50" w:afterLines="50" w:line="500" w:lineRule="exact"/>
        <w:ind w:firstLine="3677" w:firstLineChars="1308"/>
        <w:rPr>
          <w:rFonts w:hAnsi="宋体"/>
          <w:b/>
          <w:color w:val="auto"/>
          <w:sz w:val="28"/>
          <w:szCs w:val="28"/>
        </w:rPr>
      </w:pPr>
    </w:p>
    <w:p>
      <w:pPr>
        <w:pStyle w:val="24"/>
        <w:spacing w:beforeLines="50" w:afterLines="50" w:line="560" w:lineRule="exact"/>
        <w:jc w:val="both"/>
        <w:rPr>
          <w:rFonts w:hint="eastAsia" w:hAnsi="宋体"/>
          <w:b/>
          <w:color w:val="auto"/>
          <w:sz w:val="36"/>
          <w:szCs w:val="36"/>
        </w:rPr>
      </w:pPr>
    </w:p>
    <w:p>
      <w:pPr>
        <w:rPr>
          <w:rFonts w:hint="eastAsia" w:hAnsi="宋体"/>
          <w:b/>
          <w:color w:val="auto"/>
          <w:sz w:val="36"/>
          <w:szCs w:val="36"/>
        </w:rPr>
      </w:pPr>
      <w:r>
        <w:rPr>
          <w:rFonts w:hint="eastAsia" w:hAnsi="宋体"/>
          <w:b/>
          <w:color w:val="auto"/>
          <w:sz w:val="36"/>
          <w:szCs w:val="36"/>
        </w:rPr>
        <w:br w:type="page"/>
      </w:r>
    </w:p>
    <w:p>
      <w:pPr>
        <w:pStyle w:val="24"/>
        <w:spacing w:beforeLines="50" w:afterLines="50" w:line="560" w:lineRule="exact"/>
        <w:jc w:val="center"/>
        <w:rPr>
          <w:rFonts w:hAnsi="宋体"/>
          <w:b/>
          <w:color w:val="auto"/>
          <w:sz w:val="36"/>
          <w:szCs w:val="36"/>
        </w:rPr>
      </w:pPr>
      <w:r>
        <w:rPr>
          <w:rFonts w:hint="eastAsia" w:hAnsi="宋体"/>
          <w:b/>
          <w:color w:val="auto"/>
          <w:sz w:val="36"/>
          <w:szCs w:val="36"/>
        </w:rPr>
        <w:t>目</w:t>
      </w:r>
      <w:r>
        <w:rPr>
          <w:rFonts w:hint="eastAsia" w:hAnsi="宋体"/>
          <w:b/>
          <w:color w:val="auto"/>
          <w:sz w:val="36"/>
          <w:szCs w:val="36"/>
          <w:lang w:val="en-US" w:eastAsia="zh-CN"/>
        </w:rPr>
        <w:t xml:space="preserve">  </w:t>
      </w:r>
      <w:r>
        <w:rPr>
          <w:rFonts w:hint="eastAsia" w:hAnsi="宋体"/>
          <w:b/>
          <w:color w:val="auto"/>
          <w:sz w:val="36"/>
          <w:szCs w:val="36"/>
        </w:rPr>
        <w:t>录</w:t>
      </w:r>
    </w:p>
    <w:p>
      <w:pPr>
        <w:pStyle w:val="38"/>
        <w:tabs>
          <w:tab w:val="right" w:leader="dot" w:pos="8447"/>
          <w:tab w:val="clear" w:pos="8494"/>
        </w:tabs>
        <w:ind w:left="0" w:leftChars="0" w:firstLine="0" w:firstLineChars="0"/>
        <w:rPr>
          <w:rFonts w:hint="eastAsia" w:ascii="宋体" w:hAnsi="宋体" w:eastAsia="宋体" w:cs="宋体"/>
          <w:b/>
          <w:bCs/>
        </w:rPr>
      </w:pPr>
      <w:r>
        <w:rPr>
          <w:rFonts w:hint="eastAsia" w:ascii="宋体" w:hAnsi="宋体" w:eastAsia="宋体" w:cs="宋体"/>
          <w:b w:val="0"/>
          <w:bCs w:val="0"/>
          <w:color w:val="auto"/>
          <w:sz w:val="28"/>
          <w:szCs w:val="28"/>
        </w:rPr>
        <w:fldChar w:fldCharType="begin"/>
      </w:r>
      <w:r>
        <w:rPr>
          <w:rStyle w:val="54"/>
          <w:rFonts w:hint="eastAsia" w:ascii="宋体" w:hAnsi="宋体" w:eastAsia="宋体" w:cs="宋体"/>
          <w:b w:val="0"/>
          <w:bCs w:val="0"/>
          <w:color w:val="auto"/>
          <w:sz w:val="28"/>
          <w:szCs w:val="28"/>
        </w:rPr>
        <w:instrText xml:space="preserve"> TOC \o \h \z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bCs/>
          <w:color w:val="auto"/>
          <w:szCs w:val="28"/>
        </w:rPr>
        <w:fldChar w:fldCharType="begin"/>
      </w:r>
      <w:r>
        <w:rPr>
          <w:rFonts w:hint="eastAsia" w:ascii="宋体" w:hAnsi="宋体" w:eastAsia="宋体" w:cs="宋体"/>
          <w:b/>
          <w:bCs/>
          <w:szCs w:val="28"/>
        </w:rPr>
        <w:instrText xml:space="preserve"> HYPERLINK \l _Toc30032 </w:instrText>
      </w:r>
      <w:r>
        <w:rPr>
          <w:rFonts w:hint="eastAsia" w:ascii="宋体" w:hAnsi="宋体" w:eastAsia="宋体" w:cs="宋体"/>
          <w:b/>
          <w:bCs/>
          <w:szCs w:val="28"/>
        </w:rPr>
        <w:fldChar w:fldCharType="separate"/>
      </w:r>
      <w:r>
        <w:rPr>
          <w:rFonts w:hint="eastAsia" w:ascii="宋体" w:hAnsi="宋体" w:eastAsia="宋体" w:cs="宋体"/>
          <w:b/>
          <w:bCs/>
          <w:i w:val="0"/>
          <w:szCs w:val="36"/>
        </w:rPr>
        <w:t>估价师声明</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_Toc30032 \h </w:instrText>
      </w:r>
      <w:r>
        <w:rPr>
          <w:rFonts w:hint="eastAsia" w:ascii="宋体" w:hAnsi="宋体" w:eastAsia="宋体" w:cs="宋体"/>
          <w:b/>
          <w:bCs/>
        </w:rPr>
        <w:fldChar w:fldCharType="separate"/>
      </w:r>
      <w:r>
        <w:rPr>
          <w:rFonts w:hint="eastAsia" w:ascii="宋体" w:hAnsi="宋体" w:eastAsia="宋体" w:cs="宋体"/>
          <w:b/>
          <w:bCs/>
        </w:rPr>
        <w:t>4</w:t>
      </w:r>
      <w:r>
        <w:rPr>
          <w:rFonts w:hint="eastAsia" w:ascii="宋体" w:hAnsi="宋体" w:eastAsia="宋体" w:cs="宋体"/>
          <w:b/>
          <w:bCs/>
        </w:rPr>
        <w:fldChar w:fldCharType="end"/>
      </w:r>
      <w:r>
        <w:rPr>
          <w:rFonts w:hint="eastAsia" w:ascii="宋体" w:hAnsi="宋体" w:eastAsia="宋体" w:cs="宋体"/>
          <w:b/>
          <w:bCs/>
          <w:color w:val="auto"/>
          <w:szCs w:val="28"/>
        </w:rPr>
        <w:fldChar w:fldCharType="end"/>
      </w:r>
    </w:p>
    <w:p>
      <w:pPr>
        <w:pStyle w:val="38"/>
        <w:tabs>
          <w:tab w:val="right" w:leader="dot" w:pos="8447"/>
          <w:tab w:val="clear" w:pos="8494"/>
        </w:tabs>
        <w:ind w:left="0" w:leftChars="0" w:firstLine="0" w:firstLineChars="0"/>
        <w:rPr>
          <w:rFonts w:hint="eastAsia" w:ascii="宋体" w:hAnsi="宋体" w:eastAsia="宋体" w:cs="宋体"/>
          <w:b/>
          <w:bCs/>
        </w:rPr>
      </w:pPr>
      <w:r>
        <w:rPr>
          <w:rFonts w:hint="eastAsia" w:ascii="宋体" w:hAnsi="宋体" w:eastAsia="宋体" w:cs="宋体"/>
          <w:b/>
          <w:bCs/>
          <w:color w:val="auto"/>
          <w:szCs w:val="28"/>
        </w:rPr>
        <w:fldChar w:fldCharType="begin"/>
      </w:r>
      <w:r>
        <w:rPr>
          <w:rFonts w:hint="eastAsia" w:ascii="宋体" w:hAnsi="宋体" w:eastAsia="宋体" w:cs="宋体"/>
          <w:b/>
          <w:bCs/>
          <w:szCs w:val="28"/>
        </w:rPr>
        <w:instrText xml:space="preserve"> HYPERLINK \l _Toc31612 </w:instrText>
      </w:r>
      <w:r>
        <w:rPr>
          <w:rFonts w:hint="eastAsia" w:ascii="宋体" w:hAnsi="宋体" w:eastAsia="宋体" w:cs="宋体"/>
          <w:b/>
          <w:bCs/>
          <w:szCs w:val="28"/>
        </w:rPr>
        <w:fldChar w:fldCharType="separate"/>
      </w:r>
      <w:r>
        <w:rPr>
          <w:rFonts w:hint="eastAsia" w:ascii="宋体" w:hAnsi="宋体" w:eastAsia="宋体" w:cs="宋体"/>
          <w:b/>
          <w:bCs/>
          <w:i w:val="0"/>
          <w:szCs w:val="36"/>
        </w:rPr>
        <w:t>估价假设和限制条件</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_Toc31612 \h </w:instrText>
      </w:r>
      <w:r>
        <w:rPr>
          <w:rFonts w:hint="eastAsia" w:ascii="宋体" w:hAnsi="宋体" w:eastAsia="宋体" w:cs="宋体"/>
          <w:b/>
          <w:bCs/>
        </w:rPr>
        <w:fldChar w:fldCharType="separate"/>
      </w:r>
      <w:r>
        <w:rPr>
          <w:rFonts w:hint="eastAsia" w:ascii="宋体" w:hAnsi="宋体" w:eastAsia="宋体" w:cs="宋体"/>
          <w:b/>
          <w:bCs/>
        </w:rPr>
        <w:t>5</w:t>
      </w:r>
      <w:r>
        <w:rPr>
          <w:rFonts w:hint="eastAsia" w:ascii="宋体" w:hAnsi="宋体" w:eastAsia="宋体" w:cs="宋体"/>
          <w:b/>
          <w:bCs/>
        </w:rPr>
        <w:fldChar w:fldCharType="end"/>
      </w:r>
      <w:r>
        <w:rPr>
          <w:rFonts w:hint="eastAsia" w:ascii="宋体" w:hAnsi="宋体" w:eastAsia="宋体" w:cs="宋体"/>
          <w:b/>
          <w:bCs/>
          <w:color w:val="auto"/>
          <w:szCs w:val="28"/>
        </w:rPr>
        <w:fldChar w:fldCharType="end"/>
      </w:r>
    </w:p>
    <w:p>
      <w:pPr>
        <w:pStyle w:val="38"/>
        <w:tabs>
          <w:tab w:val="right" w:leader="dot" w:pos="8447"/>
          <w:tab w:val="clear" w:pos="8494"/>
        </w:tabs>
        <w:ind w:left="0" w:leftChars="0" w:firstLine="0" w:firstLineChars="0"/>
        <w:rPr>
          <w:rFonts w:hint="eastAsia" w:ascii="宋体" w:hAnsi="宋体" w:eastAsia="宋体" w:cs="宋体"/>
          <w:b/>
          <w:bCs/>
        </w:rPr>
      </w:pPr>
      <w:r>
        <w:rPr>
          <w:rFonts w:hint="eastAsia" w:ascii="宋体" w:hAnsi="宋体" w:eastAsia="宋体" w:cs="宋体"/>
          <w:b/>
          <w:bCs/>
          <w:color w:val="auto"/>
          <w:szCs w:val="28"/>
        </w:rPr>
        <w:fldChar w:fldCharType="begin"/>
      </w:r>
      <w:r>
        <w:rPr>
          <w:rFonts w:hint="eastAsia" w:ascii="宋体" w:hAnsi="宋体" w:eastAsia="宋体" w:cs="宋体"/>
          <w:b/>
          <w:bCs/>
          <w:szCs w:val="28"/>
        </w:rPr>
        <w:instrText xml:space="preserve"> HYPERLINK \l _Toc25588 </w:instrText>
      </w:r>
      <w:r>
        <w:rPr>
          <w:rFonts w:hint="eastAsia" w:ascii="宋体" w:hAnsi="宋体" w:eastAsia="宋体" w:cs="宋体"/>
          <w:b/>
          <w:bCs/>
          <w:szCs w:val="28"/>
        </w:rPr>
        <w:fldChar w:fldCharType="separate"/>
      </w:r>
      <w:r>
        <w:rPr>
          <w:rFonts w:hint="eastAsia" w:ascii="宋体" w:hAnsi="宋体" w:eastAsia="宋体" w:cs="宋体"/>
          <w:b/>
          <w:bCs/>
          <w:i w:val="0"/>
          <w:szCs w:val="36"/>
        </w:rPr>
        <w:t>估价结果报告</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_Toc25588 \h </w:instrText>
      </w:r>
      <w:r>
        <w:rPr>
          <w:rFonts w:hint="eastAsia" w:ascii="宋体" w:hAnsi="宋体" w:eastAsia="宋体" w:cs="宋体"/>
          <w:b/>
          <w:bCs/>
        </w:rPr>
        <w:fldChar w:fldCharType="separate"/>
      </w:r>
      <w:r>
        <w:rPr>
          <w:rFonts w:hint="eastAsia" w:ascii="宋体" w:hAnsi="宋体" w:eastAsia="宋体" w:cs="宋体"/>
          <w:b/>
          <w:bCs/>
        </w:rPr>
        <w:t>9</w:t>
      </w:r>
      <w:r>
        <w:rPr>
          <w:rFonts w:hint="eastAsia" w:ascii="宋体" w:hAnsi="宋体" w:eastAsia="宋体" w:cs="宋体"/>
          <w:b/>
          <w:bCs/>
        </w:rPr>
        <w:fldChar w:fldCharType="end"/>
      </w:r>
      <w:r>
        <w:rPr>
          <w:rFonts w:hint="eastAsia" w:ascii="宋体" w:hAnsi="宋体" w:eastAsia="宋体" w:cs="宋体"/>
          <w:b/>
          <w:bCs/>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szCs w:val="28"/>
        </w:rPr>
        <w:instrText xml:space="preserve"> HYPERLINK \l _Toc32068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30"/>
        </w:rPr>
        <w:t>一、估价委托人</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_Toc32068 \h </w:instrText>
      </w:r>
      <w:r>
        <w:rPr>
          <w:rFonts w:hint="eastAsia" w:ascii="宋体" w:hAnsi="宋体" w:eastAsia="宋体" w:cs="宋体"/>
          <w:b w:val="0"/>
          <w:bCs w:val="0"/>
        </w:rPr>
        <w:fldChar w:fldCharType="separate"/>
      </w:r>
      <w:r>
        <w:rPr>
          <w:rFonts w:hint="eastAsia" w:ascii="宋体" w:hAnsi="宋体" w:eastAsia="宋体" w:cs="宋体"/>
          <w:b w:val="0"/>
          <w:bCs w:val="0"/>
        </w:rPr>
        <w:t>9</w:t>
      </w:r>
      <w:r>
        <w:rPr>
          <w:rFonts w:hint="eastAsia" w:ascii="宋体" w:hAnsi="宋体" w:eastAsia="宋体" w:cs="宋体"/>
          <w:b w:val="0"/>
          <w:bCs w:val="0"/>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_Toc11801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二、房地产估价机构</w:t>
      </w:r>
      <w:r>
        <w:rPr>
          <w:rFonts w:hint="eastAsia" w:ascii="宋体" w:hAnsi="宋体" w:eastAsia="宋体" w:cs="宋体"/>
          <w:b w:val="0"/>
          <w:bCs w:val="0"/>
          <w:color w:val="auto"/>
          <w:szCs w:val="28"/>
        </w:rPr>
        <w:tab/>
      </w:r>
      <w:bookmarkStart w:id="98" w:name="_GoBack"/>
      <w:bookmarkEnd w:id="98"/>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_Toc11801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9</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_Toc1655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三、估价目的</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_Toc1655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9</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_Toc22841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四、估价对象</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_Toc22841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9</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_Toc14353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五、价值时点</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_Toc14353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14</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_Toc5660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六、价值类型</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_Toc5660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14</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_Toc19574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七、估价原则</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_Toc19574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14</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_Toc14187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八、估价依据</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_Toc14187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14</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_Toc3630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九、估价方法</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_Toc3630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16</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_Toc15856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十、估价结果</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_Toc15856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16</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_Toc25019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十一、注册房地产估价师</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_Toc25019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17</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_Toc12182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十二、实地查勘期</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_Toc12182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17</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_Toc25348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十三、估价作业期</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_Toc25348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17</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38"/>
        <w:tabs>
          <w:tab w:val="right" w:leader="dot" w:pos="8447"/>
          <w:tab w:val="clear" w:pos="8494"/>
        </w:tabs>
        <w:ind w:left="0" w:leftChars="0" w:firstLine="0" w:firstLineChars="0"/>
        <w:rPr>
          <w:rFonts w:hint="eastAsia" w:ascii="宋体" w:hAnsi="宋体" w:eastAsia="宋体" w:cs="宋体"/>
          <w:b/>
          <w:bCs/>
        </w:rPr>
      </w:pPr>
      <w:r>
        <w:rPr>
          <w:rFonts w:hint="eastAsia" w:ascii="宋体" w:hAnsi="宋体" w:eastAsia="宋体" w:cs="宋体"/>
          <w:b/>
          <w:bCs/>
          <w:color w:val="auto"/>
          <w:szCs w:val="28"/>
        </w:rPr>
        <w:fldChar w:fldCharType="begin"/>
      </w:r>
      <w:r>
        <w:rPr>
          <w:rFonts w:hint="eastAsia" w:ascii="宋体" w:hAnsi="宋体" w:eastAsia="宋体" w:cs="宋体"/>
          <w:b/>
          <w:bCs/>
          <w:szCs w:val="28"/>
        </w:rPr>
        <w:instrText xml:space="preserve"> HYPERLINK \l _Toc2923 </w:instrText>
      </w:r>
      <w:r>
        <w:rPr>
          <w:rFonts w:hint="eastAsia" w:ascii="宋体" w:hAnsi="宋体" w:eastAsia="宋体" w:cs="宋体"/>
          <w:b/>
          <w:bCs/>
          <w:szCs w:val="28"/>
        </w:rPr>
        <w:fldChar w:fldCharType="separate"/>
      </w:r>
      <w:r>
        <w:rPr>
          <w:rFonts w:hint="eastAsia" w:ascii="宋体" w:hAnsi="宋体" w:eastAsia="宋体" w:cs="宋体"/>
          <w:b/>
          <w:bCs/>
          <w:i w:val="0"/>
          <w:szCs w:val="36"/>
        </w:rPr>
        <w:t>附</w:t>
      </w:r>
      <w:r>
        <w:rPr>
          <w:rFonts w:hint="eastAsia" w:ascii="宋体" w:hAnsi="宋体" w:eastAsia="宋体" w:cs="宋体"/>
          <w:b/>
          <w:bCs/>
          <w:i w:val="0"/>
          <w:szCs w:val="36"/>
          <w:lang w:val="en-US" w:eastAsia="zh-CN"/>
        </w:rPr>
        <w:t xml:space="preserve">  </w:t>
      </w:r>
      <w:r>
        <w:rPr>
          <w:rFonts w:hint="eastAsia" w:ascii="宋体" w:hAnsi="宋体" w:eastAsia="宋体" w:cs="宋体"/>
          <w:b/>
          <w:bCs/>
          <w:i w:val="0"/>
          <w:szCs w:val="36"/>
        </w:rPr>
        <w:t>件</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_Toc2923 \h </w:instrText>
      </w:r>
      <w:r>
        <w:rPr>
          <w:rFonts w:hint="eastAsia" w:ascii="宋体" w:hAnsi="宋体" w:eastAsia="宋体" w:cs="宋体"/>
          <w:b/>
          <w:bCs/>
        </w:rPr>
        <w:fldChar w:fldCharType="separate"/>
      </w:r>
      <w:r>
        <w:rPr>
          <w:rFonts w:hint="eastAsia" w:ascii="宋体" w:hAnsi="宋体" w:eastAsia="宋体" w:cs="宋体"/>
          <w:b/>
          <w:bCs/>
        </w:rPr>
        <w:t>18</w:t>
      </w:r>
      <w:r>
        <w:rPr>
          <w:rFonts w:hint="eastAsia" w:ascii="宋体" w:hAnsi="宋体" w:eastAsia="宋体" w:cs="宋体"/>
          <w:b/>
          <w:bCs/>
        </w:rPr>
        <w:fldChar w:fldCharType="end"/>
      </w:r>
      <w:r>
        <w:rPr>
          <w:rFonts w:hint="eastAsia" w:ascii="宋体" w:hAnsi="宋体" w:eastAsia="宋体" w:cs="宋体"/>
          <w:b/>
          <w:bCs/>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_Toc22363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w:t>
      </w:r>
      <w:r>
        <w:rPr>
          <w:rFonts w:hint="eastAsia" w:ascii="宋体" w:hAnsi="宋体" w:eastAsia="宋体" w:cs="宋体"/>
          <w:b w:val="0"/>
          <w:bCs w:val="0"/>
          <w:color w:val="auto"/>
          <w:szCs w:val="28"/>
          <w:lang w:eastAsia="zh-CN"/>
        </w:rPr>
        <w:t>《湖北省咸宁市咸安区人民法院司法评估委托书》[（2022）鄂1202司评（执）10号]</w:t>
      </w:r>
      <w:r>
        <w:rPr>
          <w:rFonts w:hint="eastAsia" w:ascii="宋体" w:hAnsi="宋体" w:eastAsia="宋体" w:cs="宋体"/>
          <w:b w:val="0"/>
          <w:bCs w:val="0"/>
          <w:color w:val="auto"/>
          <w:szCs w:val="28"/>
        </w:rPr>
        <w:t>复印件</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_Toc22363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_Toc7120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2、估价对象位置图</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_Toc7120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_Toc16660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3、估价对象内、外部状况与周围环境和景观照片</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_Toc16660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_Toc30476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4、《不动产权证书》[证号：鄂（2019）咸安区不动产权第0016109号]复印件</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_Toc30476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_Toc10949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5、《不动产登记信息》复印件</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_Toc10949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_Toc31207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6、房地产估价机构营业执照复印件</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_Toc31207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_Toc19468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7、分支机构告知性登记的公示复印件</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_Toc19468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23"/>
        <w:tabs>
          <w:tab w:val="right" w:leader="dot" w:pos="8447"/>
          <w:tab w:val="clear" w:pos="8494"/>
        </w:tabs>
        <w:ind w:left="0" w:leftChars="0" w:firstLine="560" w:firstLineChars="200"/>
        <w:rPr>
          <w:rFonts w:hint="eastAsia" w:ascii="宋体" w:hAnsi="宋体" w:eastAsia="宋体" w:cs="宋体"/>
          <w:b w:val="0"/>
          <w:bCs w:val="0"/>
          <w:color w:val="auto"/>
          <w:szCs w:val="28"/>
        </w:rPr>
      </w:pP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HYPERLINK \l _Toc23474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lang w:eastAsia="zh-CN"/>
        </w:rPr>
        <w:t>8、注册房地产估价师注册证书复印件</w:t>
      </w:r>
      <w:r>
        <w:rPr>
          <w:rFonts w:hint="eastAsia" w:ascii="宋体" w:hAnsi="宋体" w:eastAsia="宋体" w:cs="宋体"/>
          <w:b w:val="0"/>
          <w:bCs w:val="0"/>
          <w:color w:val="auto"/>
          <w:szCs w:val="28"/>
        </w:rPr>
        <w:tab/>
      </w:r>
      <w:r>
        <w:rPr>
          <w:rFonts w:hint="eastAsia" w:ascii="宋体" w:hAnsi="宋体" w:eastAsia="宋体" w:cs="宋体"/>
          <w:b w:val="0"/>
          <w:bCs w:val="0"/>
          <w:color w:val="auto"/>
          <w:szCs w:val="28"/>
        </w:rPr>
        <w:fldChar w:fldCharType="begin"/>
      </w:r>
      <w:r>
        <w:rPr>
          <w:rFonts w:hint="eastAsia" w:ascii="宋体" w:hAnsi="宋体" w:eastAsia="宋体" w:cs="宋体"/>
          <w:b w:val="0"/>
          <w:bCs w:val="0"/>
          <w:color w:val="auto"/>
          <w:szCs w:val="28"/>
        </w:rPr>
        <w:instrText xml:space="preserve"> PAGEREF _Toc23474 \h </w:instrText>
      </w:r>
      <w:r>
        <w:rPr>
          <w:rFonts w:hint="eastAsia" w:ascii="宋体" w:hAnsi="宋体" w:eastAsia="宋体" w:cs="宋体"/>
          <w:b w:val="0"/>
          <w:bCs w:val="0"/>
          <w:color w:val="auto"/>
          <w:szCs w:val="28"/>
        </w:rPr>
        <w:fldChar w:fldCharType="separate"/>
      </w:r>
      <w:r>
        <w:rPr>
          <w:rFonts w:hint="eastAsia" w:ascii="宋体" w:hAnsi="宋体" w:eastAsia="宋体" w:cs="宋体"/>
          <w:b w:val="0"/>
          <w:bCs w:val="0"/>
          <w:color w:val="auto"/>
          <w:szCs w:val="28"/>
        </w:rPr>
        <w:t>18</w:t>
      </w:r>
      <w:r>
        <w:rPr>
          <w:rFonts w:hint="eastAsia" w:ascii="宋体" w:hAnsi="宋体" w:eastAsia="宋体" w:cs="宋体"/>
          <w:b w:val="0"/>
          <w:bCs w:val="0"/>
          <w:color w:val="auto"/>
          <w:szCs w:val="28"/>
        </w:rPr>
        <w:fldChar w:fldCharType="end"/>
      </w:r>
      <w:r>
        <w:rPr>
          <w:rFonts w:hint="eastAsia" w:ascii="宋体" w:hAnsi="宋体" w:eastAsia="宋体" w:cs="宋体"/>
          <w:b w:val="0"/>
          <w:bCs w:val="0"/>
          <w:color w:val="auto"/>
          <w:szCs w:val="28"/>
        </w:rPr>
        <w:fldChar w:fldCharType="end"/>
      </w:r>
    </w:p>
    <w:p>
      <w:pPr>
        <w:pStyle w:val="4"/>
        <w:keepNext/>
        <w:keepLines w:val="0"/>
        <w:pageBreakBefore w:val="0"/>
        <w:widowControl w:val="0"/>
        <w:numPr>
          <w:ilvl w:val="0"/>
          <w:numId w:val="0"/>
        </w:numPr>
        <w:kinsoku/>
        <w:wordWrap/>
        <w:overflowPunct/>
        <w:topLinePunct w:val="0"/>
        <w:autoSpaceDE w:val="0"/>
        <w:autoSpaceDN w:val="0"/>
        <w:bidi w:val="0"/>
        <w:adjustRightInd w:val="0"/>
        <w:snapToGrid/>
        <w:spacing w:beforeLines="50" w:afterLines="50" w:line="320" w:lineRule="exact"/>
        <w:jc w:val="center"/>
        <w:textAlignment w:val="baseline"/>
        <w:rPr>
          <w:rFonts w:hint="eastAsia" w:ascii="宋体" w:hAnsi="宋体" w:eastAsia="宋体" w:cs="宋体"/>
          <w:color w:val="auto"/>
        </w:rPr>
      </w:pPr>
      <w:r>
        <w:rPr>
          <w:rFonts w:hint="eastAsia" w:ascii="宋体" w:hAnsi="宋体" w:eastAsia="宋体" w:cs="宋体"/>
          <w:b w:val="0"/>
          <w:bCs w:val="0"/>
          <w:color w:val="auto"/>
          <w:szCs w:val="28"/>
        </w:rPr>
        <w:fldChar w:fldCharType="end"/>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olor w:val="auto"/>
        </w:rPr>
      </w:pPr>
      <w:r>
        <w:rPr>
          <w:rFonts w:asciiTheme="minorEastAsia" w:hAnsiTheme="minorEastAsia" w:eastAsiaTheme="minorEastAsia"/>
          <w:color w:val="auto"/>
        </w:rPr>
        <w:br w:type="page"/>
      </w:r>
    </w:p>
    <w:p>
      <w:pPr>
        <w:pStyle w:val="4"/>
        <w:keepLines w:val="0"/>
        <w:pageBreakBefore w:val="0"/>
        <w:widowControl w:val="0"/>
        <w:numPr>
          <w:ilvl w:val="0"/>
          <w:numId w:val="0"/>
        </w:numPr>
        <w:kinsoku/>
        <w:wordWrap/>
        <w:overflowPunct/>
        <w:topLinePunct w:val="0"/>
        <w:bidi w:val="0"/>
        <w:snapToGrid/>
        <w:spacing w:beforeLines="50" w:afterLines="50" w:line="480" w:lineRule="exact"/>
        <w:jc w:val="center"/>
        <w:rPr>
          <w:rFonts w:ascii="宋体" w:hAnsi="宋体" w:eastAsia="宋体"/>
          <w:b/>
          <w:i w:val="0"/>
          <w:color w:val="auto"/>
          <w:sz w:val="36"/>
          <w:szCs w:val="36"/>
        </w:rPr>
      </w:pPr>
      <w:bookmarkStart w:id="4" w:name="_Toc30032"/>
      <w:r>
        <w:rPr>
          <w:rFonts w:hint="eastAsia" w:ascii="宋体" w:hAnsi="宋体" w:eastAsia="宋体"/>
          <w:b/>
          <w:i w:val="0"/>
          <w:color w:val="auto"/>
          <w:sz w:val="36"/>
          <w:szCs w:val="36"/>
        </w:rPr>
        <w:t>估价师声明</w:t>
      </w:r>
      <w:bookmarkEnd w:id="4"/>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我们根据自己的专业知识和职业道德，在此郑重声明：</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1、我们在本估价报告中对事实的说明是真实和准确的，没有虚假记载、误导性陈述和重大遗漏。</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2、本估价报告中的分析、意见和结论是我们独立、客观、公正的专业分析、意见和结论，但受本估价报告中已说明的估价假设和限制条件的限制。</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3、我们与本估价报告中的估价对象没有现实或潜在的利益，与估价委托人及估价利害关系人没有利害关系。我们对本估价报告中的估价对象、估价委托人及估价利害关系人没有偏见。</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4、我们是按照国家标准《房地产估价规范》（GB/T</w:t>
      </w:r>
      <w:r>
        <w:rPr>
          <w:rFonts w:hint="eastAsia" w:hAnsi="宋体"/>
          <w:color w:val="auto"/>
          <w:sz w:val="28"/>
          <w:szCs w:val="28"/>
          <w:lang w:val="en-US" w:eastAsia="zh-CN"/>
        </w:rPr>
        <w:t xml:space="preserve"> </w:t>
      </w:r>
      <w:r>
        <w:rPr>
          <w:rFonts w:hint="eastAsia" w:hAnsi="宋体"/>
          <w:color w:val="auto"/>
          <w:sz w:val="28"/>
          <w:szCs w:val="28"/>
        </w:rPr>
        <w:t>50291-2015）、</w:t>
      </w:r>
      <w:r>
        <w:rPr>
          <w:rFonts w:hAnsi="宋体"/>
          <w:color w:val="auto"/>
          <w:sz w:val="28"/>
          <w:szCs w:val="28"/>
        </w:rPr>
        <w:t>《房地产估价</w:t>
      </w:r>
      <w:r>
        <w:rPr>
          <w:rFonts w:hint="eastAsia" w:hAnsi="宋体"/>
          <w:color w:val="auto"/>
          <w:sz w:val="28"/>
          <w:szCs w:val="28"/>
        </w:rPr>
        <w:t>基本术语标准</w:t>
      </w:r>
      <w:r>
        <w:rPr>
          <w:rFonts w:hAnsi="宋体"/>
          <w:color w:val="auto"/>
          <w:sz w:val="28"/>
          <w:szCs w:val="28"/>
        </w:rPr>
        <w:t>》（GB/T</w:t>
      </w:r>
      <w:r>
        <w:rPr>
          <w:rFonts w:hint="eastAsia" w:hAnsi="宋体"/>
          <w:color w:val="auto"/>
          <w:sz w:val="28"/>
          <w:szCs w:val="28"/>
          <w:lang w:val="en-US" w:eastAsia="zh-CN"/>
        </w:rPr>
        <w:t xml:space="preserve"> </w:t>
      </w:r>
      <w:r>
        <w:rPr>
          <w:rFonts w:hAnsi="宋体"/>
          <w:color w:val="auto"/>
          <w:sz w:val="28"/>
          <w:szCs w:val="28"/>
        </w:rPr>
        <w:t>50</w:t>
      </w:r>
      <w:r>
        <w:rPr>
          <w:rFonts w:hint="eastAsia" w:hAnsi="宋体"/>
          <w:color w:val="auto"/>
          <w:sz w:val="28"/>
          <w:szCs w:val="28"/>
        </w:rPr>
        <w:t>899</w:t>
      </w:r>
      <w:r>
        <w:rPr>
          <w:rFonts w:hint="eastAsia" w:hAnsi="宋体"/>
          <w:color w:val="auto"/>
          <w:sz w:val="28"/>
          <w:szCs w:val="28"/>
          <w:lang w:val="en-US" w:eastAsia="zh-CN"/>
        </w:rPr>
        <w:t>-</w:t>
      </w:r>
      <w:r>
        <w:rPr>
          <w:rFonts w:hint="eastAsia" w:hAnsi="宋体"/>
          <w:color w:val="auto"/>
          <w:sz w:val="28"/>
          <w:szCs w:val="28"/>
        </w:rPr>
        <w:t>2013</w:t>
      </w:r>
      <w:r>
        <w:rPr>
          <w:rFonts w:hAnsi="宋体"/>
          <w:color w:val="auto"/>
          <w:sz w:val="28"/>
          <w:szCs w:val="28"/>
        </w:rPr>
        <w:t>）</w:t>
      </w:r>
      <w:r>
        <w:rPr>
          <w:rFonts w:hint="eastAsia" w:hAnsi="宋体"/>
          <w:color w:val="auto"/>
          <w:sz w:val="28"/>
          <w:szCs w:val="28"/>
        </w:rPr>
        <w:t>进行分析，形成意见和结论，撰写本估价报告。</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5、注册房地产估价师已对本估价报告中的估价对象建筑结构、室内外状况进行了实地查勘并进行记录。</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6、没有人对本估价报告提供重要专业帮助。</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p>
    <w:p>
      <w:pPr>
        <w:pStyle w:val="24"/>
        <w:keepLines w:val="0"/>
        <w:pageBreakBefore w:val="0"/>
        <w:widowControl w:val="0"/>
        <w:kinsoku/>
        <w:wordWrap/>
        <w:overflowPunct/>
        <w:topLinePunct w:val="0"/>
        <w:bidi w:val="0"/>
        <w:snapToGrid/>
        <w:spacing w:line="480" w:lineRule="exact"/>
        <w:jc w:val="center"/>
        <w:rPr>
          <w:rFonts w:hAnsi="宋体"/>
          <w:b/>
          <w:color w:val="auto"/>
          <w:sz w:val="28"/>
          <w:szCs w:val="28"/>
        </w:rPr>
      </w:pPr>
      <w:r>
        <w:rPr>
          <w:rFonts w:hint="eastAsia" w:hAnsi="宋体"/>
          <w:b/>
          <w:color w:val="auto"/>
          <w:sz w:val="28"/>
          <w:szCs w:val="28"/>
        </w:rPr>
        <w:t>表</w:t>
      </w:r>
      <w:r>
        <w:rPr>
          <w:rFonts w:hint="eastAsia" w:hAnsi="宋体"/>
          <w:b/>
          <w:color w:val="auto"/>
          <w:sz w:val="28"/>
          <w:szCs w:val="28"/>
          <w:lang w:val="en-US" w:eastAsia="zh-CN"/>
        </w:rPr>
        <w:t>2</w:t>
      </w:r>
      <w:r>
        <w:rPr>
          <w:rFonts w:hint="eastAsia" w:hAnsi="宋体"/>
          <w:b/>
          <w:color w:val="auto"/>
          <w:sz w:val="28"/>
          <w:szCs w:val="28"/>
        </w:rPr>
        <w:t xml:space="preserve">  注册房地产估价师一览表</w:t>
      </w:r>
    </w:p>
    <w:tbl>
      <w:tblPr>
        <w:tblStyle w:val="45"/>
        <w:tblW w:w="86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23"/>
        <w:gridCol w:w="3203"/>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2823" w:type="dxa"/>
            <w:vAlign w:val="center"/>
          </w:tcPr>
          <w:p>
            <w:pPr>
              <w:jc w:val="center"/>
              <w:rPr>
                <w:color w:val="auto"/>
                <w:spacing w:val="10"/>
              </w:rPr>
            </w:pPr>
            <w:r>
              <w:rPr>
                <w:rFonts w:hint="eastAsia"/>
                <w:color w:val="auto"/>
              </w:rPr>
              <w:t>姓名</w:t>
            </w:r>
          </w:p>
        </w:tc>
        <w:tc>
          <w:tcPr>
            <w:tcW w:w="3203" w:type="dxa"/>
            <w:vAlign w:val="center"/>
          </w:tcPr>
          <w:p>
            <w:pPr>
              <w:jc w:val="center"/>
              <w:rPr>
                <w:color w:val="auto"/>
                <w:spacing w:val="10"/>
              </w:rPr>
            </w:pPr>
            <w:r>
              <w:rPr>
                <w:rFonts w:hint="eastAsia"/>
                <w:color w:val="auto"/>
              </w:rPr>
              <w:t>注册号</w:t>
            </w:r>
          </w:p>
        </w:tc>
        <w:tc>
          <w:tcPr>
            <w:tcW w:w="2637" w:type="dxa"/>
            <w:vAlign w:val="center"/>
          </w:tcPr>
          <w:p>
            <w:pPr>
              <w:jc w:val="center"/>
              <w:rPr>
                <w:color w:val="auto"/>
              </w:rPr>
            </w:pPr>
            <w:r>
              <w:rPr>
                <w:rFonts w:hint="eastAsia"/>
                <w:color w:val="auto"/>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7" w:hRule="exact"/>
          <w:jc w:val="center"/>
        </w:trPr>
        <w:tc>
          <w:tcPr>
            <w:tcW w:w="2823" w:type="dxa"/>
            <w:vAlign w:val="center"/>
          </w:tcPr>
          <w:p>
            <w:pPr>
              <w:jc w:val="center"/>
              <w:rPr>
                <w:rFonts w:hint="eastAsia" w:eastAsia="宋体"/>
                <w:color w:val="auto"/>
                <w:lang w:eastAsia="zh-CN"/>
              </w:rPr>
            </w:pPr>
            <w:r>
              <w:rPr>
                <w:rFonts w:hint="eastAsia"/>
                <w:color w:val="auto"/>
                <w:lang w:eastAsia="zh-CN"/>
              </w:rPr>
              <w:t>成汝龙</w:t>
            </w:r>
          </w:p>
        </w:tc>
        <w:tc>
          <w:tcPr>
            <w:tcW w:w="3203" w:type="dxa"/>
            <w:vAlign w:val="center"/>
          </w:tcPr>
          <w:p>
            <w:pPr>
              <w:jc w:val="center"/>
              <w:rPr>
                <w:rFonts w:hint="eastAsia" w:ascii="宋体" w:hAnsi="宋体" w:eastAsia="宋体"/>
                <w:color w:val="auto"/>
                <w:lang w:eastAsia="zh-CN"/>
              </w:rPr>
            </w:pPr>
            <w:r>
              <w:rPr>
                <w:rFonts w:hint="eastAsia" w:ascii="宋体" w:hAnsi="宋体"/>
                <w:color w:val="auto"/>
                <w:lang w:eastAsia="zh-CN"/>
              </w:rPr>
              <w:t>4220110009</w:t>
            </w:r>
          </w:p>
        </w:tc>
        <w:tc>
          <w:tcPr>
            <w:tcW w:w="2637" w:type="dxa"/>
            <w:vAlign w:val="center"/>
          </w:tcPr>
          <w:p>
            <w:pPr>
              <w:jc w:val="center"/>
              <w:rPr>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7" w:hRule="exact"/>
          <w:jc w:val="center"/>
        </w:trPr>
        <w:tc>
          <w:tcPr>
            <w:tcW w:w="2823" w:type="dxa"/>
            <w:vAlign w:val="center"/>
          </w:tcPr>
          <w:p>
            <w:pPr>
              <w:jc w:val="center"/>
              <w:rPr>
                <w:rFonts w:hint="eastAsia" w:eastAsia="宋体"/>
                <w:color w:val="auto"/>
                <w:lang w:eastAsia="zh-CN"/>
              </w:rPr>
            </w:pPr>
            <w:r>
              <w:rPr>
                <w:rFonts w:hint="eastAsia"/>
                <w:color w:val="auto"/>
                <w:lang w:eastAsia="zh-CN"/>
              </w:rPr>
              <w:t>程  卫</w:t>
            </w:r>
          </w:p>
        </w:tc>
        <w:tc>
          <w:tcPr>
            <w:tcW w:w="3203" w:type="dxa"/>
            <w:vAlign w:val="center"/>
          </w:tcPr>
          <w:p>
            <w:pPr>
              <w:jc w:val="center"/>
              <w:rPr>
                <w:rFonts w:hint="eastAsia" w:ascii="宋体" w:hAnsi="宋体" w:eastAsia="宋体"/>
                <w:color w:val="auto"/>
                <w:lang w:eastAsia="zh-CN"/>
              </w:rPr>
            </w:pPr>
            <w:r>
              <w:rPr>
                <w:rFonts w:hint="eastAsia" w:ascii="宋体" w:hAnsi="宋体"/>
                <w:color w:val="auto"/>
                <w:lang w:eastAsia="zh-CN"/>
              </w:rPr>
              <w:t>4220200037</w:t>
            </w:r>
          </w:p>
        </w:tc>
        <w:tc>
          <w:tcPr>
            <w:tcW w:w="2637" w:type="dxa"/>
            <w:vAlign w:val="center"/>
          </w:tcPr>
          <w:p>
            <w:pPr>
              <w:jc w:val="center"/>
              <w:rPr>
                <w:color w:val="auto"/>
              </w:rPr>
            </w:pPr>
          </w:p>
        </w:tc>
      </w:tr>
    </w:tbl>
    <w:p>
      <w:pPr>
        <w:pStyle w:val="5"/>
        <w:spacing w:line="480" w:lineRule="exact"/>
        <w:ind w:firstLine="0" w:firstLineChars="0"/>
        <w:rPr>
          <w:rFonts w:ascii="宋体" w:hAnsi="宋体"/>
          <w:color w:val="auto"/>
          <w:sz w:val="28"/>
          <w:szCs w:val="28"/>
        </w:rPr>
      </w:pPr>
    </w:p>
    <w:p>
      <w:pPr>
        <w:pStyle w:val="4"/>
        <w:keepLines w:val="0"/>
        <w:pageBreakBefore w:val="0"/>
        <w:widowControl w:val="0"/>
        <w:numPr>
          <w:ilvl w:val="0"/>
          <w:numId w:val="0"/>
        </w:numPr>
        <w:kinsoku/>
        <w:wordWrap/>
        <w:overflowPunct/>
        <w:topLinePunct w:val="0"/>
        <w:bidi w:val="0"/>
        <w:snapToGrid/>
        <w:spacing w:beforeLines="50" w:afterLines="50" w:line="480" w:lineRule="exact"/>
        <w:jc w:val="center"/>
        <w:rPr>
          <w:rFonts w:ascii="宋体" w:hAnsi="宋体" w:eastAsia="宋体"/>
          <w:b/>
          <w:i w:val="0"/>
          <w:color w:val="auto"/>
          <w:sz w:val="36"/>
          <w:szCs w:val="36"/>
        </w:rPr>
      </w:pPr>
      <w:bookmarkStart w:id="5" w:name="_Toc58569323"/>
      <w:bookmarkStart w:id="6" w:name="_Toc252826625"/>
      <w:bookmarkStart w:id="7" w:name="_Toc58569339"/>
      <w:bookmarkStart w:id="8" w:name="_Toc156031631"/>
      <w:bookmarkStart w:id="9" w:name="_Toc58568633"/>
      <w:r>
        <w:rPr>
          <w:rFonts w:ascii="宋体" w:hAnsi="宋体" w:eastAsia="宋体"/>
          <w:b/>
          <w:i w:val="0"/>
          <w:color w:val="auto"/>
          <w:sz w:val="36"/>
          <w:szCs w:val="36"/>
        </w:rPr>
        <w:br w:type="page"/>
      </w:r>
      <w:bookmarkStart w:id="10" w:name="_Toc31612"/>
      <w:r>
        <w:rPr>
          <w:rFonts w:hint="eastAsia" w:ascii="宋体" w:hAnsi="宋体" w:eastAsia="宋体"/>
          <w:b/>
          <w:i w:val="0"/>
          <w:color w:val="auto"/>
          <w:sz w:val="36"/>
          <w:szCs w:val="36"/>
        </w:rPr>
        <w:t>估价假设和限制条件</w:t>
      </w:r>
      <w:bookmarkEnd w:id="5"/>
      <w:bookmarkEnd w:id="6"/>
      <w:bookmarkEnd w:id="7"/>
      <w:bookmarkEnd w:id="8"/>
      <w:bookmarkEnd w:id="9"/>
      <w:bookmarkEnd w:id="10"/>
    </w:p>
    <w:p>
      <w:pPr>
        <w:pStyle w:val="151"/>
        <w:keepLines w:val="0"/>
        <w:pageBreakBefore w:val="0"/>
        <w:widowControl w:val="0"/>
        <w:kinsoku/>
        <w:wordWrap/>
        <w:overflowPunct/>
        <w:topLinePunct w:val="0"/>
        <w:bidi w:val="0"/>
        <w:snapToGrid/>
        <w:spacing w:line="480" w:lineRule="exact"/>
        <w:rPr>
          <w:color w:val="auto"/>
          <w:sz w:val="28"/>
          <w:szCs w:val="28"/>
        </w:rPr>
      </w:pPr>
      <w:bookmarkStart w:id="11" w:name="_Toc156031632"/>
      <w:bookmarkStart w:id="12" w:name="_Toc271006021"/>
      <w:bookmarkStart w:id="13" w:name="_Toc58569340"/>
      <w:bookmarkStart w:id="14" w:name="_Toc58568634"/>
      <w:bookmarkStart w:id="15" w:name="_Toc274917911"/>
      <w:bookmarkStart w:id="16" w:name="_Toc156031635"/>
      <w:bookmarkStart w:id="17" w:name="_Toc58569324"/>
      <w:bookmarkStart w:id="18" w:name="_Toc156031644"/>
      <w:r>
        <w:rPr>
          <w:rFonts w:hint="eastAsia"/>
          <w:color w:val="auto"/>
          <w:sz w:val="28"/>
          <w:szCs w:val="28"/>
        </w:rPr>
        <w:t>一、</w:t>
      </w:r>
      <w:bookmarkEnd w:id="11"/>
      <w:bookmarkEnd w:id="12"/>
      <w:r>
        <w:rPr>
          <w:rFonts w:hint="eastAsia"/>
          <w:color w:val="auto"/>
          <w:sz w:val="28"/>
          <w:szCs w:val="28"/>
        </w:rPr>
        <w:t>一般假设</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bookmarkStart w:id="19" w:name="_Toc271006023"/>
      <w:r>
        <w:rPr>
          <w:rFonts w:hint="eastAsia" w:hAnsi="宋体"/>
          <w:color w:val="auto"/>
          <w:sz w:val="28"/>
        </w:rPr>
        <w:t>1、估价对象产权明晰，手续齐全，可在公开市场上自由转让。</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lang w:val="en-US" w:eastAsia="zh-CN"/>
        </w:rPr>
        <w:t>2</w:t>
      </w:r>
      <w:r>
        <w:rPr>
          <w:rFonts w:hint="eastAsia" w:hAnsi="宋体"/>
          <w:color w:val="auto"/>
          <w:sz w:val="28"/>
        </w:rPr>
        <w:t>、市场供应关系、市场结构保持稳定，未发生重大变化或实质性改变。</w:t>
      </w:r>
    </w:p>
    <w:p>
      <w:pPr>
        <w:pStyle w:val="24"/>
        <w:keepLines w:val="0"/>
        <w:pageBreakBefore w:val="0"/>
        <w:widowControl w:val="0"/>
        <w:kinsoku/>
        <w:wordWrap/>
        <w:overflowPunct/>
        <w:topLinePunct w:val="0"/>
        <w:bidi w:val="0"/>
        <w:snapToGrid/>
        <w:spacing w:line="480" w:lineRule="exact"/>
        <w:ind w:firstLine="560" w:firstLineChars="200"/>
        <w:rPr>
          <w:rFonts w:hint="eastAsia" w:hAnsi="宋体"/>
          <w:color w:val="auto"/>
          <w:spacing w:val="0"/>
          <w:sz w:val="28"/>
          <w:szCs w:val="22"/>
          <w:highlight w:val="none"/>
          <w:lang w:val="en-US" w:eastAsia="zh-CN"/>
        </w:rPr>
      </w:pPr>
      <w:r>
        <w:rPr>
          <w:rFonts w:hint="eastAsia" w:hAnsi="宋体"/>
          <w:color w:val="auto"/>
          <w:sz w:val="28"/>
          <w:highlight w:val="none"/>
          <w:lang w:val="en-US" w:eastAsia="zh-CN"/>
        </w:rPr>
        <w:t>3</w:t>
      </w:r>
      <w:r>
        <w:rPr>
          <w:rFonts w:hint="eastAsia" w:hAnsi="宋体"/>
          <w:color w:val="auto"/>
          <w:sz w:val="28"/>
          <w:highlight w:val="none"/>
        </w:rPr>
        <w:t>、</w:t>
      </w:r>
      <w:r>
        <w:rPr>
          <w:rFonts w:hAnsi="宋体"/>
          <w:color w:val="auto"/>
          <w:sz w:val="28"/>
          <w:highlight w:val="none"/>
        </w:rPr>
        <w:t>估价委托人</w:t>
      </w:r>
      <w:r>
        <w:rPr>
          <w:rFonts w:hint="eastAsia" w:hAnsi="宋体"/>
          <w:color w:val="auto"/>
          <w:sz w:val="28"/>
          <w:highlight w:val="none"/>
          <w:lang w:eastAsia="zh-CN"/>
        </w:rPr>
        <w:t>提供了</w:t>
      </w:r>
      <w:r>
        <w:rPr>
          <w:rFonts w:hAnsi="宋体"/>
          <w:color w:val="auto"/>
          <w:sz w:val="28"/>
          <w:highlight w:val="none"/>
        </w:rPr>
        <w:t>估价对象的</w:t>
      </w:r>
      <w:r>
        <w:rPr>
          <w:rFonts w:hint="eastAsia" w:hAnsi="宋体"/>
          <w:color w:val="auto"/>
          <w:sz w:val="28"/>
          <w:highlight w:val="none"/>
          <w:lang w:eastAsia="zh-CN"/>
        </w:rPr>
        <w:t>《不动产权证书》[证号：鄂（2019）咸安区不动产权第0016109号]</w:t>
      </w:r>
      <w:r>
        <w:rPr>
          <w:rFonts w:hAnsi="宋体"/>
          <w:color w:val="auto"/>
          <w:spacing w:val="0"/>
          <w:sz w:val="28"/>
        </w:rPr>
        <w:t>复印</w:t>
      </w:r>
      <w:r>
        <w:rPr>
          <w:rFonts w:hint="eastAsia" w:hAnsi="宋体"/>
          <w:color w:val="auto"/>
          <w:spacing w:val="0"/>
          <w:sz w:val="28"/>
          <w:szCs w:val="22"/>
          <w:highlight w:val="none"/>
          <w:lang w:val="en-US" w:eastAsia="zh-CN"/>
        </w:rPr>
        <w:t>件</w:t>
      </w:r>
      <w:r>
        <w:rPr>
          <w:rFonts w:hint="eastAsia" w:hAnsi="宋体"/>
          <w:color w:val="auto"/>
          <w:sz w:val="28"/>
          <w:highlight w:val="none"/>
          <w:lang w:eastAsia="zh-CN"/>
        </w:rPr>
        <w:t>，我</w:t>
      </w:r>
      <w:r>
        <w:rPr>
          <w:rFonts w:hint="eastAsia" w:hAnsi="宋体"/>
          <w:color w:val="auto"/>
          <w:spacing w:val="0"/>
          <w:sz w:val="28"/>
          <w:highlight w:val="none"/>
        </w:rPr>
        <w:t>们对权属证书上记载的权属、面积、</w:t>
      </w:r>
      <w:r>
        <w:rPr>
          <w:rFonts w:hint="eastAsia" w:hAnsi="宋体"/>
          <w:color w:val="auto"/>
          <w:spacing w:val="0"/>
          <w:sz w:val="28"/>
          <w:highlight w:val="none"/>
          <w:lang w:eastAsia="zh-CN"/>
        </w:rPr>
        <w:t>坐落、</w:t>
      </w:r>
      <w:r>
        <w:rPr>
          <w:rFonts w:hint="eastAsia" w:hAnsi="宋体"/>
          <w:color w:val="auto"/>
          <w:spacing w:val="0"/>
          <w:sz w:val="28"/>
          <w:highlight w:val="none"/>
        </w:rPr>
        <w:t>用途</w:t>
      </w:r>
      <w:r>
        <w:rPr>
          <w:rFonts w:hint="eastAsia" w:hAnsi="宋体"/>
          <w:color w:val="auto"/>
          <w:spacing w:val="0"/>
          <w:sz w:val="28"/>
          <w:highlight w:val="none"/>
          <w:lang w:eastAsia="zh-CN"/>
        </w:rPr>
        <w:t>、</w:t>
      </w:r>
      <w:r>
        <w:rPr>
          <w:rFonts w:hint="eastAsia" w:hAnsi="宋体"/>
          <w:color w:val="auto"/>
          <w:spacing w:val="0"/>
          <w:sz w:val="28"/>
          <w:lang w:eastAsia="zh-CN"/>
        </w:rPr>
        <w:t>终止日期</w:t>
      </w:r>
      <w:r>
        <w:rPr>
          <w:rFonts w:hint="eastAsia" w:hAnsi="宋体"/>
          <w:color w:val="auto"/>
          <w:spacing w:val="0"/>
          <w:sz w:val="28"/>
          <w:highlight w:val="none"/>
        </w:rPr>
        <w:t>等资料进行了审慎检查，</w:t>
      </w:r>
      <w:r>
        <w:rPr>
          <w:rFonts w:hAnsi="宋体"/>
          <w:color w:val="auto"/>
          <w:spacing w:val="0"/>
          <w:sz w:val="28"/>
          <w:highlight w:val="none"/>
        </w:rPr>
        <w:t>在无理由怀疑其合法性、真实性、准确性和完整性的情况下，假定估价委托人提供的资料合法、真实、准确、完整。</w:t>
      </w:r>
      <w:r>
        <w:rPr>
          <w:rFonts w:hint="eastAsia" w:hAnsi="宋体"/>
          <w:color w:val="auto"/>
          <w:spacing w:val="0"/>
          <w:sz w:val="28"/>
        </w:rPr>
        <w:t>本次评估所依据的</w:t>
      </w:r>
      <w:r>
        <w:rPr>
          <w:rFonts w:hint="eastAsia" w:hAnsi="宋体"/>
          <w:color w:val="auto"/>
          <w:spacing w:val="0"/>
          <w:sz w:val="28"/>
          <w:lang w:eastAsia="zh-CN"/>
        </w:rPr>
        <w:t>权属、面积、</w:t>
      </w:r>
      <w:r>
        <w:rPr>
          <w:rFonts w:hint="eastAsia" w:hAnsi="宋体"/>
          <w:color w:val="auto"/>
          <w:spacing w:val="0"/>
          <w:sz w:val="28"/>
          <w:highlight w:val="none"/>
          <w:lang w:eastAsia="zh-CN"/>
        </w:rPr>
        <w:t>坐落、</w:t>
      </w:r>
      <w:r>
        <w:rPr>
          <w:rFonts w:hint="eastAsia" w:hAnsi="宋体"/>
          <w:color w:val="auto"/>
          <w:spacing w:val="0"/>
          <w:sz w:val="28"/>
          <w:lang w:eastAsia="zh-CN"/>
        </w:rPr>
        <w:t>用途等以</w:t>
      </w:r>
      <w:r>
        <w:rPr>
          <w:rFonts w:hint="eastAsia" w:hAnsi="宋体"/>
          <w:color w:val="auto"/>
          <w:sz w:val="28"/>
          <w:highlight w:val="none"/>
          <w:lang w:eastAsia="zh-CN"/>
        </w:rPr>
        <w:t>《不动产权证书》[证号：鄂（2019）咸安区不动产权第0016109号]</w:t>
      </w:r>
      <w:r>
        <w:rPr>
          <w:rFonts w:hAnsi="宋体"/>
          <w:color w:val="auto"/>
          <w:spacing w:val="0"/>
          <w:sz w:val="28"/>
        </w:rPr>
        <w:t>复印</w:t>
      </w:r>
      <w:r>
        <w:rPr>
          <w:rFonts w:hint="eastAsia" w:hAnsi="宋体"/>
          <w:color w:val="auto"/>
          <w:spacing w:val="0"/>
          <w:sz w:val="28"/>
          <w:szCs w:val="22"/>
          <w:highlight w:val="none"/>
          <w:lang w:val="en-US" w:eastAsia="zh-CN"/>
        </w:rPr>
        <w:t>件记载为准。</w:t>
      </w:r>
    </w:p>
    <w:p>
      <w:pPr>
        <w:pStyle w:val="24"/>
        <w:keepLines w:val="0"/>
        <w:pageBreakBefore w:val="0"/>
        <w:widowControl w:val="0"/>
        <w:kinsoku/>
        <w:wordWrap/>
        <w:overflowPunct/>
        <w:topLinePunct w:val="0"/>
        <w:bidi w:val="0"/>
        <w:snapToGrid/>
        <w:spacing w:line="480" w:lineRule="exact"/>
        <w:ind w:firstLine="560" w:firstLineChars="200"/>
        <w:rPr>
          <w:rFonts w:hint="eastAsia" w:hAnsi="宋体"/>
          <w:color w:val="auto"/>
          <w:sz w:val="28"/>
          <w:szCs w:val="22"/>
          <w:lang w:val="en-US" w:eastAsia="zh-CN"/>
        </w:rPr>
      </w:pPr>
      <w:r>
        <w:rPr>
          <w:rFonts w:hint="eastAsia" w:hAnsi="宋体"/>
          <w:color w:val="auto"/>
          <w:sz w:val="28"/>
          <w:lang w:val="en-US" w:eastAsia="zh-CN"/>
        </w:rPr>
        <w:t>4</w:t>
      </w:r>
      <w:r>
        <w:rPr>
          <w:rFonts w:hint="eastAsia" w:hAnsi="宋体"/>
          <w:color w:val="auto"/>
          <w:sz w:val="28"/>
        </w:rPr>
        <w:t>、</w:t>
      </w:r>
      <w:r>
        <w:rPr>
          <w:rFonts w:hint="eastAsia" w:hAnsi="宋体"/>
          <w:color w:val="auto"/>
          <w:sz w:val="28"/>
          <w:szCs w:val="22"/>
          <w:lang w:val="en-US" w:eastAsia="zh-CN"/>
        </w:rPr>
        <w:t>根据《湖北省咸宁市咸安区人民法院司法评估委托书》[（2022）鄂1202司评（执）10号]委托日期为2022年2月21日，实地查勘期为2022年2月22日，本次估价，价值时点设定为委托日期2022年2月21日，并假设估价对象实地查勘期与价值时点的物理状况、公共设施、基础设施、周边环境一致，并以此为估价假设前提条件完成本次评估。</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lang w:val="en-US" w:eastAsia="zh-CN"/>
        </w:rPr>
        <w:t>5、</w:t>
      </w:r>
      <w:r>
        <w:rPr>
          <w:rFonts w:hAnsi="宋体"/>
          <w:color w:val="auto"/>
          <w:sz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lang w:val="en-US" w:eastAsia="zh-CN"/>
        </w:rPr>
        <w:t>6</w:t>
      </w:r>
      <w:r>
        <w:rPr>
          <w:rFonts w:hint="eastAsia" w:hAnsi="宋体"/>
          <w:color w:val="auto"/>
          <w:sz w:val="28"/>
        </w:rPr>
        <w:t>、注册房地产估价师未对房屋建筑面积进行专业测量，经现场查勘观察，估价对象建筑面积与</w:t>
      </w:r>
      <w:r>
        <w:rPr>
          <w:rFonts w:hint="eastAsia" w:hAnsi="宋体"/>
          <w:color w:val="auto"/>
          <w:sz w:val="28"/>
          <w:highlight w:val="none"/>
          <w:lang w:eastAsia="zh-CN"/>
        </w:rPr>
        <w:t>《不动产权证书》</w:t>
      </w:r>
      <w:r>
        <w:rPr>
          <w:rFonts w:hAnsi="宋体"/>
          <w:color w:val="auto"/>
          <w:spacing w:val="0"/>
          <w:sz w:val="28"/>
        </w:rPr>
        <w:t>复印</w:t>
      </w:r>
      <w:r>
        <w:rPr>
          <w:rFonts w:hint="eastAsia" w:hAnsi="宋体"/>
          <w:color w:val="auto"/>
          <w:spacing w:val="0"/>
          <w:sz w:val="28"/>
          <w:szCs w:val="22"/>
          <w:highlight w:val="none"/>
          <w:lang w:val="en-US" w:eastAsia="zh-CN"/>
        </w:rPr>
        <w:t>件</w:t>
      </w:r>
      <w:r>
        <w:rPr>
          <w:rFonts w:hint="eastAsia" w:hAnsi="宋体"/>
          <w:color w:val="auto"/>
          <w:sz w:val="28"/>
        </w:rPr>
        <w:t>记载</w:t>
      </w:r>
      <w:r>
        <w:rPr>
          <w:rFonts w:hint="eastAsia" w:hAnsi="宋体"/>
          <w:color w:val="auto"/>
          <w:sz w:val="28"/>
          <w:lang w:eastAsia="zh-CN"/>
        </w:rPr>
        <w:t>的</w:t>
      </w:r>
      <w:r>
        <w:rPr>
          <w:rFonts w:hint="eastAsia" w:hAnsi="宋体"/>
          <w:color w:val="auto"/>
          <w:sz w:val="28"/>
        </w:rPr>
        <w:t>建筑面积大致相当。</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lang w:val="en-US" w:eastAsia="zh-CN"/>
        </w:rPr>
        <w:t>7</w:t>
      </w:r>
      <w:r>
        <w:rPr>
          <w:rFonts w:hint="eastAsia" w:hAnsi="宋体"/>
          <w:color w:val="auto"/>
          <w:sz w:val="28"/>
        </w:rPr>
        <w:t>、</w:t>
      </w:r>
      <w:r>
        <w:rPr>
          <w:rFonts w:hAnsi="宋体"/>
          <w:color w:val="auto"/>
          <w:sz w:val="28"/>
        </w:rPr>
        <w:t>估价对象在价值时点的房地产市场为公开、平等、自愿的交易市场，即能满足以下条件：</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（1）交易双方自愿地进行交易；</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（2）交易双方处于利己动机进行交易；</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（3）交易双方精明、谨慎行事，并了解交易对象、知晓市场行情；</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（4）交易双方有较充裕的时间进行交易；</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（5）不存在买者因特殊兴趣而给予附加出价。</w:t>
      </w:r>
    </w:p>
    <w:p>
      <w:pPr>
        <w:pStyle w:val="151"/>
        <w:keepLines w:val="0"/>
        <w:pageBreakBefore w:val="0"/>
        <w:widowControl w:val="0"/>
        <w:kinsoku/>
        <w:wordWrap/>
        <w:overflowPunct/>
        <w:topLinePunct w:val="0"/>
        <w:bidi w:val="0"/>
        <w:snapToGrid/>
        <w:spacing w:line="480" w:lineRule="exact"/>
        <w:rPr>
          <w:color w:val="auto"/>
          <w:sz w:val="28"/>
          <w:szCs w:val="28"/>
        </w:rPr>
      </w:pPr>
      <w:r>
        <w:rPr>
          <w:rFonts w:hint="eastAsia"/>
          <w:color w:val="auto"/>
          <w:sz w:val="28"/>
          <w:szCs w:val="28"/>
        </w:rPr>
        <w:t>二、未定事项假设</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szCs w:val="28"/>
        </w:rPr>
        <w:t>本次评估无未定事项假设。</w:t>
      </w:r>
    </w:p>
    <w:bookmarkEnd w:id="19"/>
    <w:p>
      <w:pPr>
        <w:pStyle w:val="151"/>
        <w:keepLines w:val="0"/>
        <w:pageBreakBefore w:val="0"/>
        <w:widowControl w:val="0"/>
        <w:kinsoku/>
        <w:wordWrap/>
        <w:overflowPunct/>
        <w:topLinePunct w:val="0"/>
        <w:bidi w:val="0"/>
        <w:snapToGrid/>
        <w:spacing w:line="480" w:lineRule="exact"/>
        <w:rPr>
          <w:color w:val="auto"/>
          <w:sz w:val="28"/>
          <w:szCs w:val="28"/>
        </w:rPr>
      </w:pPr>
      <w:bookmarkStart w:id="20" w:name="_Toc271006024"/>
      <w:r>
        <w:rPr>
          <w:rFonts w:hint="eastAsia"/>
          <w:color w:val="auto"/>
          <w:sz w:val="28"/>
          <w:szCs w:val="28"/>
        </w:rPr>
        <w:t>三、背离实际情况假设</w:t>
      </w:r>
    </w:p>
    <w:bookmarkEnd w:id="20"/>
    <w:p>
      <w:pPr>
        <w:pStyle w:val="2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hAnsi="宋体"/>
          <w:color w:val="auto"/>
          <w:sz w:val="28"/>
          <w:szCs w:val="28"/>
          <w:highlight w:val="none"/>
        </w:rPr>
      </w:pPr>
      <w:r>
        <w:rPr>
          <w:rFonts w:hint="eastAsia" w:hAnsi="宋体"/>
          <w:color w:val="auto"/>
          <w:sz w:val="28"/>
          <w:szCs w:val="28"/>
          <w:lang w:val="en-US" w:eastAsia="zh-CN"/>
        </w:rPr>
        <w:t>1、根据估价委托人提供的</w:t>
      </w:r>
      <w:r>
        <w:rPr>
          <w:rFonts w:hint="eastAsia" w:ascii="宋体" w:hAnsi="宋体" w:eastAsia="宋体" w:cs="宋体"/>
          <w:b w:val="0"/>
          <w:bCs w:val="0"/>
          <w:color w:val="auto"/>
          <w:sz w:val="28"/>
          <w:szCs w:val="28"/>
          <w:lang w:eastAsia="zh-CN"/>
        </w:rPr>
        <w:t>《</w:t>
      </w:r>
      <w:r>
        <w:rPr>
          <w:rFonts w:hint="eastAsia" w:hAnsi="宋体"/>
          <w:color w:val="auto"/>
          <w:sz w:val="28"/>
          <w:szCs w:val="22"/>
          <w:lang w:eastAsia="zh-CN"/>
        </w:rPr>
        <w:t>不动产登记信息</w:t>
      </w:r>
      <w:r>
        <w:rPr>
          <w:rFonts w:hint="eastAsia" w:ascii="宋体" w:hAnsi="宋体" w:eastAsia="宋体" w:cs="宋体"/>
          <w:b w:val="0"/>
          <w:bCs w:val="0"/>
          <w:color w:val="auto"/>
          <w:sz w:val="28"/>
          <w:szCs w:val="28"/>
          <w:lang w:eastAsia="zh-CN"/>
        </w:rPr>
        <w:t>》</w:t>
      </w:r>
      <w:r>
        <w:rPr>
          <w:rFonts w:hint="eastAsia" w:hAnsi="宋体"/>
          <w:color w:val="auto"/>
          <w:sz w:val="28"/>
          <w:szCs w:val="22"/>
          <w:lang w:eastAsia="zh-CN"/>
        </w:rPr>
        <w:t>复印件记载：</w:t>
      </w:r>
      <w:r>
        <w:rPr>
          <w:rFonts w:hint="eastAsia" w:hAnsi="宋体"/>
          <w:color w:val="auto"/>
          <w:sz w:val="28"/>
          <w:szCs w:val="28"/>
          <w:lang w:eastAsia="zh-CN"/>
        </w:rPr>
        <w:t>“是否抵押：已抵押；土地是否抵押：土地已抵押；抵押机构：汪洋；抵押方式：一般抵押。”</w:t>
      </w:r>
      <w:r>
        <w:rPr>
          <w:rFonts w:hint="eastAsia" w:hAnsi="宋体"/>
          <w:color w:val="auto"/>
          <w:spacing w:val="0"/>
          <w:sz w:val="28"/>
          <w:szCs w:val="28"/>
          <w:highlight w:val="none"/>
        </w:rPr>
        <w:t>据估价委托人介绍，至价值时点，该抵押权尚未注销。</w:t>
      </w:r>
      <w:r>
        <w:rPr>
          <w:rFonts w:hint="eastAsia" w:hAnsi="宋体"/>
          <w:color w:val="auto"/>
          <w:sz w:val="28"/>
          <w:szCs w:val="28"/>
          <w:highlight w:val="none"/>
        </w:rPr>
        <w:t>根据有关规定，担保物权有效期内处置房地产时，抵押权人有法定优先受偿权。考虑到本次评估因司法鉴定需要，为估价委托人确定财产处置参考价提供参考依据而评估房地产市场价值，未考虑估价对象抵押权对房地产价值的影响。提请相关报告使用人对抵押权引起特别关注。</w:t>
      </w:r>
    </w:p>
    <w:p>
      <w:pPr>
        <w:pStyle w:val="24"/>
        <w:keepLines w:val="0"/>
        <w:pageBreakBefore w:val="0"/>
        <w:widowControl w:val="0"/>
        <w:kinsoku/>
        <w:wordWrap/>
        <w:overflowPunct/>
        <w:topLinePunct w:val="0"/>
        <w:bidi w:val="0"/>
        <w:snapToGrid/>
        <w:spacing w:line="480" w:lineRule="exact"/>
        <w:ind w:firstLine="560" w:firstLineChars="200"/>
        <w:rPr>
          <w:rFonts w:hint="eastAsia" w:hAnsi="宋体"/>
          <w:color w:val="auto"/>
          <w:sz w:val="28"/>
          <w:lang w:eastAsia="zh-CN"/>
        </w:rPr>
      </w:pPr>
      <w:r>
        <w:rPr>
          <w:rFonts w:hint="eastAsia" w:hAnsi="宋体"/>
          <w:color w:val="auto"/>
          <w:sz w:val="28"/>
          <w:lang w:val="en-US" w:eastAsia="zh-CN"/>
        </w:rPr>
        <w:t>2</w:t>
      </w:r>
      <w:r>
        <w:rPr>
          <w:rFonts w:hint="eastAsia" w:hAnsi="宋体"/>
          <w:color w:val="auto"/>
          <w:sz w:val="28"/>
        </w:rPr>
        <w:t>、根据估价人员实地查勘</w:t>
      </w:r>
      <w:r>
        <w:rPr>
          <w:rFonts w:hint="eastAsia" w:hAnsi="宋体"/>
          <w:color w:val="auto"/>
          <w:sz w:val="28"/>
          <w:lang w:eastAsia="zh-CN"/>
        </w:rPr>
        <w:t>及估价委托人告知</w:t>
      </w:r>
      <w:r>
        <w:rPr>
          <w:rFonts w:hint="eastAsia" w:hAnsi="宋体"/>
          <w:color w:val="auto"/>
          <w:sz w:val="28"/>
        </w:rPr>
        <w:t>，</w:t>
      </w:r>
      <w:r>
        <w:rPr>
          <w:rFonts w:hint="eastAsia" w:hAnsi="宋体"/>
          <w:color w:val="auto"/>
          <w:sz w:val="28"/>
          <w:lang w:eastAsia="zh-CN"/>
        </w:rPr>
        <w:t>估价对象所在宗地无单独出入口，需从相邻宗地通行进出，存在相邻通行权限制。根据</w:t>
      </w:r>
      <w:r>
        <w:rPr>
          <w:rFonts w:hint="eastAsia" w:hAnsi="宋体"/>
          <w:color w:val="auto"/>
          <w:sz w:val="28"/>
        </w:rPr>
        <w:t>《中华人民共和国民法典》第二百九十一条</w:t>
      </w:r>
      <w:r>
        <w:rPr>
          <w:rFonts w:hint="eastAsia" w:hAnsi="宋体"/>
          <w:color w:val="auto"/>
          <w:sz w:val="28"/>
          <w:lang w:eastAsia="zh-CN"/>
        </w:rPr>
        <w:t>规定：“</w:t>
      </w:r>
      <w:r>
        <w:rPr>
          <w:rFonts w:hint="eastAsia" w:hAnsi="宋体"/>
          <w:color w:val="auto"/>
          <w:sz w:val="28"/>
        </w:rPr>
        <w:t>不动产权利人对相邻权利人因通行等必须利用其土地的，应当提供必要的便利。</w:t>
      </w:r>
      <w:r>
        <w:rPr>
          <w:rFonts w:hint="eastAsia" w:hAnsi="宋体"/>
          <w:color w:val="auto"/>
          <w:sz w:val="28"/>
          <w:lang w:eastAsia="zh-CN"/>
        </w:rPr>
        <w:t>”</w:t>
      </w:r>
      <w:r>
        <w:rPr>
          <w:rFonts w:hint="eastAsia" w:hAnsi="宋体"/>
          <w:color w:val="auto"/>
          <w:sz w:val="28"/>
          <w:szCs w:val="28"/>
          <w:highlight w:val="none"/>
        </w:rPr>
        <w:t>本次评估因司法鉴定需要，为估价委托人确定财产处置参考价提供参考依据而评估房地产市场价值，未考虑估价对象</w:t>
      </w:r>
      <w:r>
        <w:rPr>
          <w:rFonts w:hint="eastAsia" w:hAnsi="宋体"/>
          <w:color w:val="auto"/>
          <w:sz w:val="28"/>
          <w:szCs w:val="28"/>
          <w:highlight w:val="none"/>
          <w:lang w:eastAsia="zh-CN"/>
        </w:rPr>
        <w:t>通行</w:t>
      </w:r>
      <w:r>
        <w:rPr>
          <w:rFonts w:hint="eastAsia" w:hAnsi="宋体"/>
          <w:color w:val="auto"/>
          <w:sz w:val="28"/>
          <w:szCs w:val="28"/>
          <w:highlight w:val="none"/>
        </w:rPr>
        <w:t>权对房地产价值的影响。提请相关报告使用人对</w:t>
      </w:r>
      <w:r>
        <w:rPr>
          <w:rFonts w:hint="eastAsia" w:hAnsi="宋体"/>
          <w:color w:val="auto"/>
          <w:sz w:val="28"/>
          <w:szCs w:val="28"/>
          <w:highlight w:val="none"/>
          <w:lang w:eastAsia="zh-CN"/>
        </w:rPr>
        <w:t>通行</w:t>
      </w:r>
      <w:r>
        <w:rPr>
          <w:rFonts w:hint="eastAsia" w:hAnsi="宋体"/>
          <w:color w:val="auto"/>
          <w:sz w:val="28"/>
          <w:szCs w:val="28"/>
          <w:highlight w:val="none"/>
        </w:rPr>
        <w:t>权引起特别关注。</w:t>
      </w:r>
    </w:p>
    <w:p>
      <w:pPr>
        <w:pStyle w:val="2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hAnsi="宋体"/>
          <w:color w:val="auto"/>
          <w:sz w:val="28"/>
          <w:szCs w:val="28"/>
          <w:highlight w:val="none"/>
        </w:rPr>
      </w:pPr>
      <w:r>
        <w:rPr>
          <w:rFonts w:hint="eastAsia" w:hAnsi="宋体"/>
          <w:color w:val="auto"/>
          <w:sz w:val="28"/>
          <w:lang w:val="en-US" w:eastAsia="zh-CN"/>
        </w:rPr>
        <w:t>3</w:t>
      </w:r>
      <w:r>
        <w:rPr>
          <w:rFonts w:hint="eastAsia" w:hAnsi="宋体"/>
          <w:color w:val="auto"/>
          <w:sz w:val="28"/>
        </w:rPr>
        <w:t>、根据估价人员实地查勘</w:t>
      </w:r>
      <w:r>
        <w:rPr>
          <w:rFonts w:hint="eastAsia" w:hAnsi="宋体"/>
          <w:color w:val="auto"/>
          <w:sz w:val="28"/>
          <w:lang w:eastAsia="zh-CN"/>
        </w:rPr>
        <w:t>及估价委托人告知</w:t>
      </w:r>
      <w:r>
        <w:rPr>
          <w:rFonts w:hint="eastAsia" w:hAnsi="宋体"/>
          <w:color w:val="auto"/>
          <w:sz w:val="28"/>
        </w:rPr>
        <w:t>，</w:t>
      </w:r>
      <w:r>
        <w:rPr>
          <w:rFonts w:hint="eastAsia" w:hAnsi="宋体"/>
          <w:color w:val="auto"/>
          <w:sz w:val="28"/>
          <w:lang w:eastAsia="zh-CN"/>
        </w:rPr>
        <w:t>至价值时点，</w:t>
      </w:r>
      <w:r>
        <w:rPr>
          <w:rFonts w:hint="eastAsia" w:hAnsi="宋体"/>
          <w:color w:val="auto"/>
          <w:sz w:val="28"/>
        </w:rPr>
        <w:t>估价对象</w:t>
      </w:r>
      <w:r>
        <w:rPr>
          <w:rFonts w:hint="eastAsia" w:hAnsi="宋体"/>
          <w:color w:val="auto"/>
          <w:sz w:val="28"/>
          <w:lang w:eastAsia="zh-CN"/>
        </w:rPr>
        <w:t>第二层</w:t>
      </w:r>
      <w:r>
        <w:rPr>
          <w:rFonts w:hint="eastAsia" w:hAnsi="宋体"/>
          <w:color w:val="auto"/>
          <w:sz w:val="28"/>
        </w:rPr>
        <w:t>已对外出租，但由于估价委托人未提供《房屋租赁合同》，其租赁期限、租金等不详。</w:t>
      </w:r>
      <w:r>
        <w:rPr>
          <w:rFonts w:hint="eastAsia" w:ascii="宋体" w:hAnsi="宋体" w:eastAsia="宋体" w:cs="宋体"/>
          <w:color w:val="auto"/>
          <w:spacing w:val="0"/>
          <w:sz w:val="28"/>
          <w:szCs w:val="28"/>
        </w:rPr>
        <w:t>考虑到本次评估因司法鉴定需要，为</w:t>
      </w:r>
      <w:r>
        <w:rPr>
          <w:rFonts w:hint="eastAsia" w:hAnsi="宋体" w:cs="宋体"/>
          <w:color w:val="auto"/>
          <w:spacing w:val="0"/>
          <w:sz w:val="28"/>
          <w:szCs w:val="28"/>
          <w:lang w:eastAsia="zh-CN"/>
        </w:rPr>
        <w:t>估价委托人确定财产处置参考价提供参考依据而评估房地产市场价值</w:t>
      </w:r>
      <w:r>
        <w:rPr>
          <w:rFonts w:hint="eastAsia" w:ascii="宋体" w:hAnsi="宋体" w:eastAsia="宋体" w:cs="宋体"/>
          <w:color w:val="auto"/>
          <w:spacing w:val="0"/>
          <w:sz w:val="28"/>
          <w:szCs w:val="28"/>
        </w:rPr>
        <w:t>，</w:t>
      </w:r>
      <w:r>
        <w:rPr>
          <w:rFonts w:hint="eastAsia" w:hAnsi="宋体" w:cs="宋体"/>
          <w:color w:val="auto"/>
          <w:spacing w:val="0"/>
          <w:sz w:val="28"/>
          <w:szCs w:val="28"/>
          <w:lang w:eastAsia="zh-CN"/>
        </w:rPr>
        <w:t>应估价委托人要求，</w:t>
      </w:r>
      <w:r>
        <w:rPr>
          <w:rFonts w:hint="eastAsia" w:ascii="宋体" w:hAnsi="宋体" w:eastAsia="宋体" w:cs="宋体"/>
          <w:color w:val="auto"/>
          <w:spacing w:val="0"/>
          <w:sz w:val="28"/>
          <w:szCs w:val="28"/>
        </w:rPr>
        <w:t>未考虑</w:t>
      </w:r>
      <w:r>
        <w:rPr>
          <w:rFonts w:hint="eastAsia" w:hAnsi="宋体"/>
          <w:color w:val="auto"/>
          <w:sz w:val="28"/>
        </w:rPr>
        <w:t>租赁权对其房地产价值的影响</w:t>
      </w:r>
      <w:r>
        <w:rPr>
          <w:rFonts w:hint="eastAsia" w:hAnsi="宋体"/>
          <w:color w:val="auto"/>
          <w:sz w:val="28"/>
          <w:lang w:eastAsia="zh-CN"/>
        </w:rPr>
        <w:t>。</w:t>
      </w:r>
      <w:r>
        <w:rPr>
          <w:rFonts w:hint="eastAsia" w:hAnsi="宋体"/>
          <w:color w:val="auto"/>
          <w:sz w:val="28"/>
        </w:rPr>
        <w:t>提请相关报告使用人对租赁权引起特别关注。</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lang w:val="en-US" w:eastAsia="zh-CN"/>
        </w:rPr>
        <w:t>4、根据估价委托人提供的</w:t>
      </w:r>
      <w:r>
        <w:rPr>
          <w:rFonts w:hint="eastAsia" w:hAnsi="宋体"/>
          <w:color w:val="auto"/>
          <w:sz w:val="28"/>
          <w:szCs w:val="22"/>
          <w:lang w:eastAsia="zh-CN"/>
        </w:rPr>
        <w:t>《不动产登记信息》复印件记载：</w:t>
      </w:r>
      <w:r>
        <w:rPr>
          <w:rFonts w:hint="eastAsia" w:hAnsi="宋体"/>
          <w:color w:val="auto"/>
          <w:sz w:val="28"/>
          <w:szCs w:val="28"/>
          <w:lang w:val="en-US" w:eastAsia="zh-CN"/>
        </w:rPr>
        <w:t>“是否查封：已查封；查封文号：（2021）鄂1202执保276号；查封期限：2021年08月23日-2024年08月22日；查封登记时间：2021年08月23日17:33:07；查封机关：咸安区人民法院。”根据</w:t>
      </w:r>
      <w:r>
        <w:rPr>
          <w:rFonts w:hint="eastAsia" w:hAnsi="宋体"/>
          <w:color w:val="auto"/>
          <w:sz w:val="28"/>
          <w:szCs w:val="22"/>
          <w:lang w:eastAsia="zh-CN"/>
        </w:rPr>
        <w:t>估价委托人</w:t>
      </w:r>
      <w:r>
        <w:rPr>
          <w:rFonts w:hint="eastAsia" w:hAnsi="宋体"/>
          <w:color w:val="auto"/>
          <w:sz w:val="28"/>
          <w:szCs w:val="28"/>
          <w:lang w:val="en-US" w:eastAsia="zh-CN"/>
        </w:rPr>
        <w:t>告知，至价值时点，估价对象已被查封，但估价委托人未提供估价对象具体的查封资料，</w:t>
      </w:r>
      <w:r>
        <w:rPr>
          <w:rFonts w:hint="eastAsia" w:hAnsi="宋体"/>
          <w:color w:val="auto"/>
          <w:spacing w:val="0"/>
          <w:sz w:val="28"/>
          <w:szCs w:val="28"/>
        </w:rPr>
        <w:t>与查封相关的财产内容等不详。考虑到本次评估因司法鉴定需要，为估价委托人确定财产处置参考价提供参考依据而评估房地产市场价值，未考虑估价对象查封情况对房地产价值的影响。提请相关报告使用人对查封情况引起特别关注。</w:t>
      </w:r>
    </w:p>
    <w:p>
      <w:pPr>
        <w:pStyle w:val="151"/>
        <w:keepLines w:val="0"/>
        <w:pageBreakBefore w:val="0"/>
        <w:widowControl w:val="0"/>
        <w:kinsoku/>
        <w:wordWrap/>
        <w:overflowPunct/>
        <w:topLinePunct w:val="0"/>
        <w:bidi w:val="0"/>
        <w:snapToGrid/>
        <w:spacing w:line="480" w:lineRule="exact"/>
        <w:rPr>
          <w:rFonts w:hint="eastAsia"/>
          <w:color w:val="auto"/>
          <w:sz w:val="28"/>
          <w:szCs w:val="28"/>
        </w:rPr>
      </w:pPr>
      <w:r>
        <w:rPr>
          <w:rFonts w:hint="eastAsia"/>
          <w:color w:val="auto"/>
          <w:sz w:val="28"/>
          <w:szCs w:val="28"/>
        </w:rPr>
        <w:t>四、不相一致假设</w:t>
      </w:r>
    </w:p>
    <w:p>
      <w:pPr>
        <w:pStyle w:val="151"/>
        <w:keepLines w:val="0"/>
        <w:pageBreakBefore w:val="0"/>
        <w:widowControl w:val="0"/>
        <w:kinsoku/>
        <w:wordWrap/>
        <w:overflowPunct/>
        <w:topLinePunct w:val="0"/>
        <w:bidi w:val="0"/>
        <w:snapToGrid/>
        <w:spacing w:line="480" w:lineRule="exact"/>
        <w:ind w:firstLine="560" w:firstLineChars="200"/>
        <w:rPr>
          <w:rFonts w:hint="eastAsia" w:hAnsi="宋体"/>
          <w:b w:val="0"/>
          <w:bCs/>
          <w:color w:val="auto"/>
          <w:sz w:val="28"/>
          <w:szCs w:val="28"/>
        </w:rPr>
      </w:pPr>
      <w:r>
        <w:rPr>
          <w:rFonts w:hint="eastAsia" w:hAnsi="宋体"/>
          <w:b w:val="0"/>
          <w:bCs/>
          <w:color w:val="auto"/>
          <w:sz w:val="28"/>
          <w:szCs w:val="28"/>
          <w:lang w:val="en-US" w:eastAsia="zh-CN"/>
        </w:rPr>
        <w:t>本次评估无不相一致假设。</w:t>
      </w:r>
    </w:p>
    <w:p>
      <w:pPr>
        <w:pStyle w:val="151"/>
        <w:keepLines w:val="0"/>
        <w:pageBreakBefore w:val="0"/>
        <w:widowControl w:val="0"/>
        <w:kinsoku/>
        <w:wordWrap/>
        <w:overflowPunct/>
        <w:topLinePunct w:val="0"/>
        <w:bidi w:val="0"/>
        <w:snapToGrid/>
        <w:spacing w:line="480" w:lineRule="exact"/>
        <w:rPr>
          <w:color w:val="auto"/>
          <w:sz w:val="28"/>
          <w:szCs w:val="28"/>
        </w:rPr>
      </w:pPr>
      <w:r>
        <w:rPr>
          <w:rFonts w:hint="eastAsia"/>
          <w:color w:val="auto"/>
          <w:sz w:val="28"/>
          <w:szCs w:val="28"/>
        </w:rPr>
        <w:t>五、依据不足假设</w:t>
      </w:r>
    </w:p>
    <w:p>
      <w:pPr>
        <w:pStyle w:val="24"/>
        <w:keepLines w:val="0"/>
        <w:pageBreakBefore w:val="0"/>
        <w:widowControl w:val="0"/>
        <w:kinsoku/>
        <w:wordWrap/>
        <w:overflowPunct/>
        <w:topLinePunct w:val="0"/>
        <w:bidi w:val="0"/>
        <w:snapToGrid/>
        <w:spacing w:line="480" w:lineRule="exact"/>
        <w:ind w:firstLine="560" w:firstLineChars="200"/>
        <w:rPr>
          <w:rFonts w:hint="eastAsia" w:hAnsi="宋体"/>
          <w:color w:val="auto"/>
          <w:sz w:val="28"/>
          <w:szCs w:val="28"/>
        </w:rPr>
      </w:pPr>
      <w:r>
        <w:rPr>
          <w:rFonts w:hint="eastAsia" w:hAnsi="宋体"/>
          <w:color w:val="auto"/>
          <w:sz w:val="28"/>
          <w:szCs w:val="28"/>
        </w:rPr>
        <w:t>1、估价对象</w:t>
      </w:r>
      <w:r>
        <w:rPr>
          <w:rFonts w:hint="eastAsia" w:hAnsi="宋体"/>
          <w:color w:val="auto"/>
          <w:sz w:val="28"/>
          <w:szCs w:val="28"/>
          <w:lang w:eastAsia="zh-CN"/>
        </w:rPr>
        <w:t>《不动产权证书》</w:t>
      </w:r>
      <w:r>
        <w:rPr>
          <w:rFonts w:hint="eastAsia" w:hAnsi="宋体"/>
          <w:color w:val="auto"/>
          <w:sz w:val="28"/>
          <w:szCs w:val="28"/>
        </w:rPr>
        <w:t>未记载估价对象房屋的建成年份，经注册房地产估价师实地调查及</w:t>
      </w:r>
      <w:r>
        <w:rPr>
          <w:rFonts w:hAnsi="宋体"/>
          <w:color w:val="auto"/>
          <w:sz w:val="28"/>
          <w:szCs w:val="28"/>
        </w:rPr>
        <w:t>估价委托人相关人员介绍</w:t>
      </w:r>
      <w:r>
        <w:rPr>
          <w:rFonts w:hint="eastAsia" w:hAnsi="宋体"/>
          <w:color w:val="auto"/>
          <w:sz w:val="28"/>
          <w:szCs w:val="28"/>
        </w:rPr>
        <w:t>，房屋建</w:t>
      </w:r>
      <w:r>
        <w:rPr>
          <w:rFonts w:hint="eastAsia" w:hAnsi="宋体"/>
          <w:color w:val="auto"/>
          <w:sz w:val="28"/>
          <w:szCs w:val="28"/>
          <w:highlight w:val="none"/>
        </w:rPr>
        <w:t>成</w:t>
      </w:r>
      <w:r>
        <w:rPr>
          <w:rFonts w:hint="eastAsia" w:hAnsi="宋体"/>
          <w:color w:val="auto"/>
          <w:sz w:val="28"/>
          <w:szCs w:val="28"/>
          <w:highlight w:val="none"/>
          <w:lang w:eastAsia="zh-CN"/>
        </w:rPr>
        <w:t>约</w:t>
      </w:r>
      <w:r>
        <w:rPr>
          <w:rFonts w:hint="eastAsia" w:hAnsi="宋体"/>
          <w:color w:val="auto"/>
          <w:sz w:val="28"/>
          <w:szCs w:val="28"/>
          <w:highlight w:val="none"/>
          <w:lang w:val="en-US" w:eastAsia="zh-CN"/>
        </w:rPr>
        <w:t>2010年</w:t>
      </w:r>
      <w:r>
        <w:rPr>
          <w:rFonts w:hint="eastAsia" w:hAnsi="宋体"/>
          <w:color w:val="auto"/>
          <w:sz w:val="28"/>
          <w:szCs w:val="28"/>
          <w:highlight w:val="none"/>
        </w:rPr>
        <w:t>，</w:t>
      </w:r>
      <w:r>
        <w:rPr>
          <w:rFonts w:hint="eastAsia" w:hAnsi="宋体"/>
          <w:color w:val="auto"/>
          <w:sz w:val="28"/>
          <w:szCs w:val="28"/>
        </w:rPr>
        <w:t>本次估价房屋建成年份以实际调查为准。</w:t>
      </w:r>
    </w:p>
    <w:p>
      <w:pPr>
        <w:pStyle w:val="151"/>
        <w:keepLines w:val="0"/>
        <w:pageBreakBefore w:val="0"/>
        <w:widowControl w:val="0"/>
        <w:kinsoku/>
        <w:wordWrap/>
        <w:overflowPunct/>
        <w:topLinePunct w:val="0"/>
        <w:bidi w:val="0"/>
        <w:snapToGrid/>
        <w:spacing w:line="480" w:lineRule="exact"/>
        <w:rPr>
          <w:color w:val="auto"/>
          <w:sz w:val="28"/>
          <w:szCs w:val="28"/>
        </w:rPr>
      </w:pPr>
      <w:r>
        <w:rPr>
          <w:rFonts w:hint="eastAsia"/>
          <w:color w:val="auto"/>
          <w:sz w:val="28"/>
          <w:szCs w:val="28"/>
        </w:rPr>
        <w:t>六、估价报告使用限制</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1、本次评估</w:t>
      </w:r>
      <w:r>
        <w:rPr>
          <w:rFonts w:hint="eastAsia" w:hAnsi="宋体"/>
          <w:color w:val="auto"/>
          <w:sz w:val="28"/>
          <w:szCs w:val="28"/>
        </w:rPr>
        <w:t>因司法鉴定需要，为估价委托人确定财产处置参考价提供参考依据而评估房地产市场价值</w:t>
      </w:r>
      <w:r>
        <w:rPr>
          <w:rFonts w:hint="eastAsia" w:hAnsi="宋体"/>
          <w:color w:val="auto"/>
          <w:sz w:val="28"/>
        </w:rPr>
        <w:t>，本估价报告他用无效。</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rPr>
      </w:pPr>
      <w:r>
        <w:rPr>
          <w:rFonts w:hint="eastAsia" w:hAnsi="宋体"/>
          <w:color w:val="auto"/>
          <w:sz w:val="28"/>
        </w:rPr>
        <w:t>2、本估价报告自出具之日起使用期限为一年（自</w:t>
      </w:r>
      <w:r>
        <w:rPr>
          <w:rFonts w:hint="eastAsia" w:hAnsi="宋体"/>
          <w:color w:val="auto"/>
          <w:sz w:val="28"/>
          <w:lang w:eastAsia="zh-CN"/>
        </w:rPr>
        <w:t>2022年3月21日</w:t>
      </w:r>
      <w:r>
        <w:rPr>
          <w:rFonts w:hint="eastAsia" w:hAnsi="宋体"/>
          <w:color w:val="auto"/>
          <w:sz w:val="28"/>
        </w:rPr>
        <w:t>起至202</w:t>
      </w:r>
      <w:r>
        <w:rPr>
          <w:rFonts w:hint="eastAsia" w:hAnsi="宋体"/>
          <w:color w:val="auto"/>
          <w:sz w:val="28"/>
          <w:lang w:val="en-US" w:eastAsia="zh-CN"/>
        </w:rPr>
        <w:t>3</w:t>
      </w:r>
      <w:r>
        <w:rPr>
          <w:rFonts w:hint="eastAsia" w:hAnsi="宋体"/>
          <w:color w:val="auto"/>
          <w:sz w:val="28"/>
        </w:rPr>
        <w:t>年</w:t>
      </w:r>
      <w:r>
        <w:rPr>
          <w:rFonts w:hint="eastAsia" w:hAnsi="宋体"/>
          <w:color w:val="auto"/>
          <w:sz w:val="28"/>
          <w:lang w:val="en-US" w:eastAsia="zh-CN"/>
        </w:rPr>
        <w:t>3</w:t>
      </w:r>
      <w:r>
        <w:rPr>
          <w:rFonts w:hint="eastAsia" w:hAnsi="宋体"/>
          <w:color w:val="auto"/>
          <w:sz w:val="28"/>
        </w:rPr>
        <w:t>月</w:t>
      </w:r>
      <w:r>
        <w:rPr>
          <w:rFonts w:hint="eastAsia" w:hAnsi="宋体"/>
          <w:color w:val="auto"/>
          <w:sz w:val="28"/>
          <w:lang w:val="en-US" w:eastAsia="zh-CN"/>
        </w:rPr>
        <w:t>20</w:t>
      </w:r>
      <w:r>
        <w:rPr>
          <w:rFonts w:hint="eastAsia" w:hAnsi="宋体"/>
          <w:color w:val="auto"/>
          <w:sz w:val="28"/>
        </w:rPr>
        <w:t>日止）。若报告使用期限内，房地产市场或估价对象状况发生重大变化，估价结果需作相应调整或委托估价机构重新评估。</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3、本估价报告专为估价委托人所使用，未经本估价机构书面同意，不得向估价委托人和估价报告审查部门之外的单位和个人提供。本报告的全部或部分及任何参考资料均不允许在任何公开发表的文件、通告或声明中引用，亦不得以其他任何方式公开发表。</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4、本报告由江苏天圣房地产土地资产评估测绘有限公司负责解释。</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5、本报告必须经估价机构加盖公章、注册房地产估价师签字后方可使用，估价机构仅对本报告的原件承担责任，对任何形式的复印件概不认可且不承担责任。</w:t>
      </w:r>
    </w:p>
    <w:p>
      <w:pPr>
        <w:pStyle w:val="24"/>
        <w:keepLines w:val="0"/>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6、本估价报告包括致估价委托人函、估价师声明、估价假设和限制条件、估价结果报告、附件</w:t>
      </w:r>
      <w:r>
        <w:rPr>
          <w:rFonts w:hint="eastAsia" w:hAnsi="宋体"/>
          <w:color w:val="auto"/>
          <w:sz w:val="28"/>
          <w:szCs w:val="28"/>
          <w:lang w:eastAsia="zh-CN"/>
        </w:rPr>
        <w:t>五</w:t>
      </w:r>
      <w:r>
        <w:rPr>
          <w:rFonts w:hint="eastAsia" w:hAnsi="宋体"/>
          <w:color w:val="auto"/>
          <w:sz w:val="28"/>
          <w:szCs w:val="28"/>
        </w:rPr>
        <w:t>部分，必须完整使用方为有效。</w:t>
      </w:r>
    </w:p>
    <w:p>
      <w:pPr>
        <w:pStyle w:val="4"/>
        <w:keepNext/>
        <w:keepLines w:val="0"/>
        <w:pageBreakBefore w:val="0"/>
        <w:widowControl w:val="0"/>
        <w:numPr>
          <w:ilvl w:val="0"/>
          <w:numId w:val="0"/>
        </w:numPr>
        <w:kinsoku/>
        <w:wordWrap/>
        <w:overflowPunct/>
        <w:topLinePunct w:val="0"/>
        <w:autoSpaceDE w:val="0"/>
        <w:autoSpaceDN w:val="0"/>
        <w:bidi w:val="0"/>
        <w:adjustRightInd w:val="0"/>
        <w:snapToGrid/>
        <w:spacing w:beforeLines="50" w:afterLines="50" w:line="480" w:lineRule="exact"/>
        <w:jc w:val="center"/>
        <w:textAlignment w:val="baseline"/>
        <w:rPr>
          <w:rFonts w:ascii="宋体" w:hAnsi="宋体" w:eastAsia="宋体"/>
          <w:b/>
          <w:i w:val="0"/>
          <w:color w:val="auto"/>
          <w:sz w:val="36"/>
          <w:szCs w:val="36"/>
        </w:rPr>
      </w:pPr>
      <w:r>
        <w:rPr>
          <w:rFonts w:ascii="宋体" w:hAnsi="宋体" w:eastAsia="宋体"/>
          <w:b/>
          <w:i w:val="0"/>
          <w:color w:val="auto"/>
          <w:sz w:val="36"/>
          <w:szCs w:val="36"/>
        </w:rPr>
        <w:br w:type="page"/>
      </w:r>
      <w:bookmarkStart w:id="21" w:name="_Toc25588"/>
      <w:r>
        <w:rPr>
          <w:rFonts w:hint="eastAsia" w:ascii="宋体" w:hAnsi="宋体" w:eastAsia="宋体"/>
          <w:b/>
          <w:i w:val="0"/>
          <w:color w:val="auto"/>
          <w:sz w:val="36"/>
          <w:szCs w:val="36"/>
        </w:rPr>
        <w:t>估价结果报告</w:t>
      </w:r>
      <w:bookmarkEnd w:id="13"/>
      <w:bookmarkEnd w:id="14"/>
      <w:bookmarkEnd w:id="15"/>
      <w:bookmarkEnd w:id="16"/>
      <w:bookmarkEnd w:id="17"/>
      <w:bookmarkEnd w:id="21"/>
    </w:p>
    <w:p>
      <w:pPr>
        <w:pStyle w:val="6"/>
        <w:pageBreakBefore w:val="0"/>
        <w:widowControl w:val="0"/>
        <w:kinsoku/>
        <w:wordWrap/>
        <w:overflowPunct/>
        <w:topLinePunct w:val="0"/>
        <w:bidi w:val="0"/>
        <w:snapToGrid/>
        <w:spacing w:before="240" w:after="240" w:line="480" w:lineRule="exact"/>
        <w:rPr>
          <w:rFonts w:ascii="宋体" w:hAnsi="宋体"/>
          <w:color w:val="auto"/>
          <w:sz w:val="30"/>
          <w:szCs w:val="30"/>
        </w:rPr>
      </w:pPr>
      <w:bookmarkStart w:id="22" w:name="_Toc502648992"/>
      <w:bookmarkStart w:id="23" w:name="_Toc274917912"/>
      <w:bookmarkStart w:id="24" w:name="_Toc156031636"/>
      <w:bookmarkStart w:id="25" w:name="_Toc32068"/>
      <w:r>
        <w:rPr>
          <w:rFonts w:hint="eastAsia" w:ascii="宋体" w:hAnsi="宋体"/>
          <w:color w:val="auto"/>
          <w:sz w:val="30"/>
          <w:szCs w:val="30"/>
        </w:rPr>
        <w:t>一、估价委托人</w:t>
      </w:r>
      <w:bookmarkEnd w:id="22"/>
      <w:bookmarkEnd w:id="23"/>
      <w:bookmarkEnd w:id="24"/>
      <w:bookmarkEnd w:id="25"/>
    </w:p>
    <w:p>
      <w:pPr>
        <w:pStyle w:val="24"/>
        <w:pageBreakBefore w:val="0"/>
        <w:widowControl w:val="0"/>
        <w:kinsoku/>
        <w:wordWrap/>
        <w:overflowPunct/>
        <w:topLinePunct w:val="0"/>
        <w:bidi w:val="0"/>
        <w:snapToGrid/>
        <w:spacing w:line="480" w:lineRule="exact"/>
        <w:ind w:firstLine="560"/>
        <w:rPr>
          <w:rFonts w:hAnsi="宋体"/>
          <w:color w:val="auto"/>
          <w:sz w:val="28"/>
        </w:rPr>
      </w:pPr>
      <w:bookmarkStart w:id="26" w:name="_Toc156031637"/>
      <w:bookmarkStart w:id="27" w:name="_Toc274917913"/>
      <w:bookmarkStart w:id="28" w:name="_Toc502648993"/>
      <w:r>
        <w:rPr>
          <w:rFonts w:hint="eastAsia" w:hAnsi="宋体"/>
          <w:color w:val="auto"/>
          <w:sz w:val="28"/>
        </w:rPr>
        <w:t>名    称：咸宁市咸安区人民法院</w:t>
      </w:r>
    </w:p>
    <w:p>
      <w:pPr>
        <w:pStyle w:val="24"/>
        <w:pageBreakBefore w:val="0"/>
        <w:widowControl w:val="0"/>
        <w:kinsoku/>
        <w:wordWrap/>
        <w:overflowPunct/>
        <w:topLinePunct w:val="0"/>
        <w:bidi w:val="0"/>
        <w:snapToGrid/>
        <w:spacing w:line="480" w:lineRule="exact"/>
        <w:ind w:firstLine="560"/>
        <w:rPr>
          <w:rFonts w:hAnsi="宋体"/>
          <w:color w:val="auto"/>
          <w:sz w:val="28"/>
        </w:rPr>
      </w:pPr>
      <w:r>
        <w:rPr>
          <w:rFonts w:hint="eastAsia" w:hAnsi="宋体"/>
          <w:color w:val="auto"/>
          <w:sz w:val="28"/>
        </w:rPr>
        <w:t>住    所：咸宁市咸安区文笔路109号</w:t>
      </w:r>
    </w:p>
    <w:p>
      <w:pPr>
        <w:pStyle w:val="24"/>
        <w:pageBreakBefore w:val="0"/>
        <w:widowControl w:val="0"/>
        <w:kinsoku/>
        <w:wordWrap/>
        <w:overflowPunct/>
        <w:topLinePunct w:val="0"/>
        <w:bidi w:val="0"/>
        <w:snapToGrid/>
        <w:spacing w:line="480" w:lineRule="exact"/>
        <w:ind w:firstLine="560"/>
        <w:rPr>
          <w:rFonts w:hint="eastAsia" w:hAnsi="宋体" w:eastAsia="宋体"/>
          <w:color w:val="auto"/>
          <w:sz w:val="28"/>
          <w:lang w:eastAsia="zh-CN"/>
        </w:rPr>
      </w:pPr>
      <w:r>
        <w:rPr>
          <w:rFonts w:hint="eastAsia" w:hAnsi="宋体"/>
          <w:color w:val="auto"/>
          <w:sz w:val="28"/>
        </w:rPr>
        <w:t>联 系 人：</w:t>
      </w:r>
      <w:r>
        <w:rPr>
          <w:rFonts w:hint="eastAsia" w:hAnsi="宋体"/>
          <w:color w:val="auto"/>
          <w:sz w:val="28"/>
          <w:lang w:eastAsia="zh-CN"/>
        </w:rPr>
        <w:t>顾斌</w:t>
      </w:r>
    </w:p>
    <w:p>
      <w:pPr>
        <w:pStyle w:val="24"/>
        <w:pageBreakBefore w:val="0"/>
        <w:widowControl w:val="0"/>
        <w:kinsoku/>
        <w:wordWrap/>
        <w:overflowPunct/>
        <w:topLinePunct w:val="0"/>
        <w:bidi w:val="0"/>
        <w:snapToGrid/>
        <w:spacing w:line="480" w:lineRule="exact"/>
        <w:ind w:firstLine="560"/>
        <w:rPr>
          <w:rFonts w:hint="default" w:hAnsi="宋体" w:eastAsia="宋体"/>
          <w:color w:val="auto"/>
          <w:sz w:val="28"/>
          <w:lang w:val="en-US" w:eastAsia="zh-CN"/>
        </w:rPr>
      </w:pPr>
      <w:r>
        <w:rPr>
          <w:rFonts w:hint="eastAsia" w:hAnsi="宋体"/>
          <w:color w:val="auto"/>
          <w:sz w:val="28"/>
        </w:rPr>
        <w:t>联系电话：18007241</w:t>
      </w:r>
      <w:r>
        <w:rPr>
          <w:rFonts w:hint="eastAsia" w:hAnsi="宋体"/>
          <w:color w:val="auto"/>
          <w:sz w:val="28"/>
          <w:lang w:val="en-US" w:eastAsia="zh-CN"/>
        </w:rPr>
        <w:t>553</w:t>
      </w:r>
    </w:p>
    <w:p>
      <w:pPr>
        <w:pStyle w:val="6"/>
        <w:pageBreakBefore w:val="0"/>
        <w:widowControl w:val="0"/>
        <w:kinsoku/>
        <w:wordWrap/>
        <w:overflowPunct/>
        <w:topLinePunct w:val="0"/>
        <w:bidi w:val="0"/>
        <w:snapToGrid/>
        <w:spacing w:before="240" w:after="240" w:line="480" w:lineRule="exact"/>
        <w:rPr>
          <w:rFonts w:ascii="宋体" w:hAnsi="宋体"/>
          <w:color w:val="auto"/>
          <w:sz w:val="30"/>
          <w:szCs w:val="30"/>
        </w:rPr>
      </w:pPr>
      <w:bookmarkStart w:id="29" w:name="_Toc11801"/>
      <w:r>
        <w:rPr>
          <w:rFonts w:hint="eastAsia" w:ascii="宋体" w:hAnsi="宋体"/>
          <w:color w:val="auto"/>
          <w:sz w:val="30"/>
          <w:szCs w:val="30"/>
        </w:rPr>
        <w:t>二、房地产估价机构</w:t>
      </w:r>
      <w:bookmarkEnd w:id="26"/>
      <w:bookmarkEnd w:id="27"/>
      <w:bookmarkEnd w:id="28"/>
      <w:bookmarkEnd w:id="29"/>
    </w:p>
    <w:p>
      <w:pPr>
        <w:pStyle w:val="24"/>
        <w:pageBreakBefore w:val="0"/>
        <w:widowControl w:val="0"/>
        <w:kinsoku/>
        <w:wordWrap/>
        <w:overflowPunct/>
        <w:topLinePunct w:val="0"/>
        <w:autoSpaceDE/>
        <w:autoSpaceDN/>
        <w:bidi w:val="0"/>
        <w:adjustRightInd/>
        <w:snapToGrid/>
        <w:spacing w:line="480" w:lineRule="exact"/>
        <w:ind w:firstLine="560"/>
        <w:textAlignment w:val="auto"/>
        <w:rPr>
          <w:rFonts w:hAnsi="宋体"/>
          <w:color w:val="auto"/>
          <w:sz w:val="28"/>
        </w:rPr>
      </w:pPr>
      <w:bookmarkStart w:id="30" w:name="_Hlt60141085"/>
      <w:bookmarkEnd w:id="30"/>
      <w:bookmarkStart w:id="31" w:name="_Toc286928474"/>
      <w:bookmarkStart w:id="32" w:name="_Toc156031638"/>
      <w:bookmarkStart w:id="33" w:name="_Toc274917914"/>
      <w:bookmarkStart w:id="34" w:name="_Toc156031642"/>
      <w:bookmarkStart w:id="35" w:name="_Toc274917918"/>
      <w:r>
        <w:rPr>
          <w:rFonts w:hint="eastAsia" w:hAnsi="宋体"/>
          <w:color w:val="auto"/>
          <w:sz w:val="28"/>
        </w:rPr>
        <w:t>估价机构名称：江苏天圣房地产土地资产评估测绘有限公司</w:t>
      </w:r>
    </w:p>
    <w:p>
      <w:pPr>
        <w:pStyle w:val="24"/>
        <w:pageBreakBefore w:val="0"/>
        <w:widowControl w:val="0"/>
        <w:kinsoku/>
        <w:wordWrap/>
        <w:overflowPunct/>
        <w:topLinePunct w:val="0"/>
        <w:autoSpaceDE/>
        <w:autoSpaceDN/>
        <w:bidi w:val="0"/>
        <w:adjustRightInd/>
        <w:snapToGrid/>
        <w:spacing w:line="480" w:lineRule="exact"/>
        <w:ind w:left="1960" w:hanging="1960" w:hangingChars="700"/>
        <w:textAlignment w:val="auto"/>
        <w:rPr>
          <w:rFonts w:hAnsi="宋体"/>
          <w:color w:val="auto"/>
          <w:sz w:val="28"/>
        </w:rPr>
      </w:pPr>
      <w:r>
        <w:rPr>
          <w:rFonts w:hint="eastAsia" w:hAnsi="宋体"/>
          <w:color w:val="auto"/>
          <w:sz w:val="28"/>
        </w:rPr>
        <w:t xml:space="preserve">    机构地址：南京市秦</w:t>
      </w:r>
      <w:r>
        <w:rPr>
          <w:rFonts w:hAnsi="宋体"/>
          <w:color w:val="auto"/>
          <w:sz w:val="28"/>
        </w:rPr>
        <w:t>淮区</w:t>
      </w:r>
      <w:r>
        <w:rPr>
          <w:rFonts w:hint="eastAsia" w:hAnsi="宋体"/>
          <w:color w:val="auto"/>
          <w:sz w:val="28"/>
        </w:rPr>
        <w:t>洪武路359号409、410室</w:t>
      </w:r>
    </w:p>
    <w:p>
      <w:pPr>
        <w:pStyle w:val="24"/>
        <w:pageBreakBefore w:val="0"/>
        <w:widowControl w:val="0"/>
        <w:kinsoku/>
        <w:wordWrap/>
        <w:overflowPunct/>
        <w:topLinePunct w:val="0"/>
        <w:autoSpaceDE/>
        <w:autoSpaceDN/>
        <w:bidi w:val="0"/>
        <w:adjustRightInd/>
        <w:snapToGrid/>
        <w:spacing w:line="480" w:lineRule="exact"/>
        <w:ind w:firstLine="555"/>
        <w:textAlignment w:val="auto"/>
        <w:rPr>
          <w:rFonts w:hint="eastAsia" w:hAnsi="宋体"/>
          <w:color w:val="auto"/>
          <w:sz w:val="28"/>
        </w:rPr>
      </w:pPr>
      <w:r>
        <w:rPr>
          <w:rFonts w:hint="eastAsia" w:hAnsi="宋体"/>
          <w:color w:val="auto"/>
          <w:sz w:val="28"/>
        </w:rPr>
        <w:t>法定代表人：张琪</w:t>
      </w:r>
    </w:p>
    <w:p>
      <w:pPr>
        <w:pStyle w:val="24"/>
        <w:pageBreakBefore w:val="0"/>
        <w:widowControl w:val="0"/>
        <w:kinsoku/>
        <w:wordWrap/>
        <w:overflowPunct/>
        <w:topLinePunct w:val="0"/>
        <w:autoSpaceDE/>
        <w:autoSpaceDN/>
        <w:bidi w:val="0"/>
        <w:adjustRightInd/>
        <w:snapToGrid/>
        <w:spacing w:line="480" w:lineRule="exact"/>
        <w:ind w:firstLine="555"/>
        <w:textAlignment w:val="auto"/>
        <w:rPr>
          <w:rFonts w:hint="eastAsia" w:hAnsi="宋体"/>
          <w:color w:val="auto"/>
          <w:sz w:val="28"/>
        </w:rPr>
      </w:pPr>
      <w:r>
        <w:rPr>
          <w:rFonts w:hint="eastAsia" w:hAnsi="宋体"/>
          <w:color w:val="auto"/>
          <w:sz w:val="28"/>
        </w:rPr>
        <w:t>备案等级：壹级</w:t>
      </w:r>
    </w:p>
    <w:p>
      <w:pPr>
        <w:pStyle w:val="24"/>
        <w:pageBreakBefore w:val="0"/>
        <w:widowControl w:val="0"/>
        <w:kinsoku/>
        <w:wordWrap/>
        <w:overflowPunct/>
        <w:topLinePunct w:val="0"/>
        <w:autoSpaceDE/>
        <w:autoSpaceDN/>
        <w:bidi w:val="0"/>
        <w:adjustRightInd/>
        <w:snapToGrid/>
        <w:spacing w:line="480" w:lineRule="exact"/>
        <w:ind w:firstLine="555"/>
        <w:textAlignment w:val="auto"/>
        <w:rPr>
          <w:rFonts w:hAnsi="宋体"/>
          <w:color w:val="auto"/>
          <w:sz w:val="28"/>
        </w:rPr>
      </w:pPr>
      <w:r>
        <w:rPr>
          <w:rFonts w:hint="eastAsia" w:hAnsi="宋体"/>
          <w:color w:val="auto"/>
          <w:sz w:val="28"/>
        </w:rPr>
        <w:t>联系地址：湖北省咸宁市银泉大道5</w:t>
      </w:r>
      <w:r>
        <w:rPr>
          <w:rFonts w:hAnsi="宋体"/>
          <w:color w:val="auto"/>
          <w:sz w:val="28"/>
        </w:rPr>
        <w:t>06</w:t>
      </w:r>
      <w:r>
        <w:rPr>
          <w:rFonts w:hint="eastAsia" w:hAnsi="宋体"/>
          <w:color w:val="auto"/>
          <w:sz w:val="28"/>
        </w:rPr>
        <w:t>号1</w:t>
      </w:r>
      <w:r>
        <w:rPr>
          <w:rFonts w:hAnsi="宋体"/>
          <w:color w:val="auto"/>
          <w:sz w:val="28"/>
        </w:rPr>
        <w:t>+8</w:t>
      </w:r>
      <w:r>
        <w:rPr>
          <w:rFonts w:hint="eastAsia" w:hAnsi="宋体"/>
          <w:color w:val="auto"/>
          <w:sz w:val="28"/>
        </w:rPr>
        <w:t>时代广场3号楼2单元2</w:t>
      </w:r>
      <w:r>
        <w:rPr>
          <w:rFonts w:hAnsi="宋体"/>
          <w:color w:val="auto"/>
          <w:sz w:val="28"/>
        </w:rPr>
        <w:t>202</w:t>
      </w:r>
      <w:r>
        <w:rPr>
          <w:rFonts w:hint="eastAsia" w:hAnsi="宋体"/>
          <w:color w:val="auto"/>
          <w:sz w:val="28"/>
        </w:rPr>
        <w:t>室</w:t>
      </w:r>
    </w:p>
    <w:p>
      <w:pPr>
        <w:pStyle w:val="24"/>
        <w:pageBreakBefore w:val="0"/>
        <w:widowControl w:val="0"/>
        <w:kinsoku/>
        <w:wordWrap/>
        <w:overflowPunct/>
        <w:topLinePunct w:val="0"/>
        <w:autoSpaceDE/>
        <w:autoSpaceDN/>
        <w:bidi w:val="0"/>
        <w:adjustRightInd/>
        <w:snapToGrid/>
        <w:spacing w:line="480" w:lineRule="exact"/>
        <w:ind w:firstLine="564"/>
        <w:textAlignment w:val="auto"/>
        <w:rPr>
          <w:rFonts w:hAnsi="宋体"/>
          <w:color w:val="auto"/>
          <w:sz w:val="28"/>
        </w:rPr>
      </w:pPr>
      <w:r>
        <w:rPr>
          <w:rFonts w:hint="eastAsia" w:hAnsi="宋体"/>
          <w:color w:val="auto"/>
          <w:sz w:val="28"/>
        </w:rPr>
        <w:t>联系电话：19972919618</w:t>
      </w:r>
    </w:p>
    <w:p>
      <w:pPr>
        <w:pStyle w:val="6"/>
        <w:pageBreakBefore w:val="0"/>
        <w:widowControl w:val="0"/>
        <w:tabs>
          <w:tab w:val="left" w:pos="3105"/>
        </w:tabs>
        <w:kinsoku/>
        <w:wordWrap/>
        <w:overflowPunct/>
        <w:topLinePunct w:val="0"/>
        <w:bidi w:val="0"/>
        <w:snapToGrid/>
        <w:spacing w:before="240" w:after="240" w:line="480" w:lineRule="exact"/>
        <w:rPr>
          <w:rFonts w:ascii="宋体" w:hAnsi="宋体"/>
          <w:color w:val="auto"/>
          <w:sz w:val="28"/>
          <w:szCs w:val="28"/>
        </w:rPr>
      </w:pPr>
      <w:bookmarkStart w:id="36" w:name="_Toc502648994"/>
      <w:bookmarkStart w:id="37" w:name="_Toc156031639"/>
      <w:bookmarkStart w:id="38" w:name="_Toc274917915"/>
      <w:bookmarkStart w:id="39" w:name="_Toc286928475"/>
      <w:bookmarkStart w:id="40" w:name="_Toc1655"/>
      <w:r>
        <w:rPr>
          <w:rFonts w:hint="eastAsia" w:ascii="宋体" w:hAnsi="宋体"/>
          <w:color w:val="auto"/>
          <w:sz w:val="28"/>
          <w:szCs w:val="28"/>
        </w:rPr>
        <w:t>三、估价目的</w:t>
      </w:r>
      <w:bookmarkEnd w:id="36"/>
      <w:bookmarkEnd w:id="37"/>
      <w:bookmarkEnd w:id="38"/>
      <w:bookmarkEnd w:id="39"/>
      <w:bookmarkEnd w:id="40"/>
    </w:p>
    <w:p>
      <w:pPr>
        <w:pStyle w:val="24"/>
        <w:pageBreakBefore w:val="0"/>
        <w:widowControl w:val="0"/>
        <w:kinsoku/>
        <w:wordWrap/>
        <w:overflowPunct/>
        <w:topLinePunct w:val="0"/>
        <w:bidi w:val="0"/>
        <w:snapToGrid/>
        <w:spacing w:line="480" w:lineRule="exact"/>
        <w:ind w:firstLine="567"/>
        <w:rPr>
          <w:rFonts w:hAnsi="宋体"/>
          <w:color w:val="auto"/>
          <w:sz w:val="28"/>
          <w:szCs w:val="28"/>
        </w:rPr>
      </w:pPr>
      <w:r>
        <w:rPr>
          <w:rFonts w:hint="eastAsia" w:hAnsi="宋体"/>
          <w:color w:val="auto"/>
          <w:sz w:val="28"/>
          <w:szCs w:val="28"/>
        </w:rPr>
        <w:t>因司法鉴定需要，为估价委托人确定财产处置参考价提供参考依据而评估房地产市场价值。</w:t>
      </w:r>
    </w:p>
    <w:p>
      <w:pPr>
        <w:pStyle w:val="6"/>
        <w:pageBreakBefore w:val="0"/>
        <w:widowControl w:val="0"/>
        <w:kinsoku/>
        <w:wordWrap/>
        <w:overflowPunct/>
        <w:topLinePunct w:val="0"/>
        <w:bidi w:val="0"/>
        <w:snapToGrid/>
        <w:spacing w:before="240" w:after="240" w:line="480" w:lineRule="exact"/>
        <w:rPr>
          <w:rFonts w:ascii="宋体" w:hAnsi="宋体"/>
          <w:color w:val="auto"/>
          <w:sz w:val="30"/>
          <w:szCs w:val="30"/>
        </w:rPr>
      </w:pPr>
      <w:bookmarkStart w:id="41" w:name="_Toc502648995"/>
      <w:bookmarkStart w:id="42" w:name="_Toc22841"/>
      <w:r>
        <w:rPr>
          <w:rFonts w:hint="eastAsia" w:ascii="宋体" w:hAnsi="宋体"/>
          <w:color w:val="auto"/>
          <w:sz w:val="30"/>
          <w:szCs w:val="30"/>
        </w:rPr>
        <w:t>四、估价对象</w:t>
      </w:r>
      <w:bookmarkEnd w:id="31"/>
      <w:bookmarkEnd w:id="32"/>
      <w:bookmarkEnd w:id="33"/>
      <w:bookmarkEnd w:id="41"/>
      <w:bookmarkEnd w:id="42"/>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bookmarkStart w:id="43" w:name="_Toc156031640"/>
      <w:bookmarkStart w:id="44" w:name="_Toc286928476"/>
      <w:bookmarkStart w:id="45" w:name="_Toc274917916"/>
      <w:r>
        <w:rPr>
          <w:rFonts w:hint="eastAsia" w:hAnsi="宋体"/>
          <w:color w:val="auto"/>
          <w:sz w:val="28"/>
          <w:szCs w:val="28"/>
        </w:rPr>
        <w:t>1、估价对象范围</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本次评估估价对象为</w:t>
      </w:r>
      <w:r>
        <w:rPr>
          <w:rFonts w:hint="eastAsia" w:hAnsi="宋体"/>
          <w:color w:val="auto"/>
          <w:sz w:val="28"/>
          <w:szCs w:val="28"/>
          <w:lang w:eastAsia="zh-CN"/>
        </w:rPr>
        <w:t>范春姣所有</w:t>
      </w:r>
      <w:r>
        <w:rPr>
          <w:rFonts w:hint="eastAsia" w:hAnsi="宋体"/>
          <w:color w:val="auto"/>
          <w:sz w:val="28"/>
          <w:szCs w:val="28"/>
        </w:rPr>
        <w:t>的位于</w:t>
      </w:r>
      <w:r>
        <w:rPr>
          <w:rFonts w:hint="eastAsia" w:hAnsi="宋体"/>
          <w:color w:val="auto"/>
          <w:sz w:val="28"/>
          <w:szCs w:val="28"/>
          <w:lang w:eastAsia="zh-CN"/>
        </w:rPr>
        <w:t>咸安区东门村五组2幢1-5层号</w:t>
      </w:r>
      <w:r>
        <w:rPr>
          <w:rFonts w:hint="eastAsia" w:hAnsi="宋体"/>
          <w:color w:val="auto"/>
          <w:sz w:val="28"/>
          <w:szCs w:val="28"/>
        </w:rPr>
        <w:t>住宅房地产，包括房屋及其</w:t>
      </w:r>
      <w:r>
        <w:rPr>
          <w:rFonts w:hint="eastAsia" w:hAnsi="宋体"/>
          <w:color w:val="auto"/>
          <w:sz w:val="28"/>
          <w:szCs w:val="28"/>
          <w:lang w:eastAsia="zh-CN"/>
        </w:rPr>
        <w:t>独用</w:t>
      </w:r>
      <w:r>
        <w:rPr>
          <w:rFonts w:hint="eastAsia" w:hAnsi="宋体"/>
          <w:color w:val="auto"/>
          <w:sz w:val="28"/>
          <w:szCs w:val="28"/>
        </w:rPr>
        <w:t>的土地使用权以及与房地产不可分割的满足其使用功能的水、电、气等配套的辅助设施</w:t>
      </w:r>
      <w:r>
        <w:rPr>
          <w:rFonts w:hint="eastAsia" w:hAnsi="宋体"/>
          <w:color w:val="auto"/>
          <w:sz w:val="28"/>
          <w:szCs w:val="28"/>
          <w:lang w:eastAsia="zh-CN"/>
        </w:rPr>
        <w:t>及</w:t>
      </w:r>
      <w:r>
        <w:rPr>
          <w:rFonts w:hint="eastAsia" w:hAnsi="宋体"/>
          <w:color w:val="auto"/>
          <w:sz w:val="28"/>
          <w:szCs w:val="28"/>
        </w:rPr>
        <w:t>不可移动的装修装饰</w:t>
      </w:r>
      <w:r>
        <w:rPr>
          <w:rFonts w:hint="eastAsia" w:hAnsi="宋体"/>
          <w:color w:val="auto"/>
          <w:sz w:val="28"/>
          <w:szCs w:val="28"/>
          <w:lang w:eastAsia="zh-CN"/>
        </w:rPr>
        <w:t>，但不含室内家具、电器及其他动产</w:t>
      </w:r>
      <w:r>
        <w:rPr>
          <w:rFonts w:hint="eastAsia" w:hAnsi="宋体"/>
          <w:color w:val="auto"/>
          <w:sz w:val="28"/>
          <w:szCs w:val="28"/>
        </w:rPr>
        <w:t>。房屋建筑面积：</w:t>
      </w:r>
      <w:r>
        <w:rPr>
          <w:rFonts w:hint="eastAsia" w:hAnsi="宋体"/>
          <w:color w:val="auto"/>
          <w:sz w:val="28"/>
          <w:szCs w:val="28"/>
          <w:lang w:eastAsia="zh-CN"/>
        </w:rPr>
        <w:t>1601.98</w:t>
      </w:r>
      <w:r>
        <w:rPr>
          <w:rFonts w:hint="eastAsia" w:hAnsi="宋体"/>
          <w:color w:val="auto"/>
          <w:sz w:val="28"/>
          <w:szCs w:val="28"/>
        </w:rPr>
        <w:t>㎡，土地</w:t>
      </w:r>
      <w:r>
        <w:rPr>
          <w:rFonts w:hAnsi="宋体"/>
          <w:color w:val="auto"/>
          <w:sz w:val="28"/>
          <w:szCs w:val="28"/>
        </w:rPr>
        <w:t>使用</w:t>
      </w:r>
      <w:r>
        <w:rPr>
          <w:rFonts w:hint="eastAsia" w:hAnsi="宋体"/>
          <w:color w:val="auto"/>
          <w:sz w:val="28"/>
          <w:szCs w:val="28"/>
        </w:rPr>
        <w:t>权</w:t>
      </w:r>
      <w:r>
        <w:rPr>
          <w:rFonts w:hAnsi="宋体"/>
          <w:color w:val="auto"/>
          <w:sz w:val="28"/>
          <w:szCs w:val="28"/>
        </w:rPr>
        <w:t>面积：</w:t>
      </w:r>
      <w:r>
        <w:rPr>
          <w:rFonts w:hint="eastAsia" w:hAnsi="宋体"/>
          <w:color w:val="auto"/>
          <w:sz w:val="28"/>
          <w:szCs w:val="28"/>
          <w:lang w:eastAsia="zh-CN"/>
        </w:rPr>
        <w:t>456.52</w:t>
      </w:r>
      <w:r>
        <w:rPr>
          <w:rFonts w:hint="eastAsia" w:hAnsi="宋体"/>
          <w:color w:val="auto"/>
          <w:sz w:val="28"/>
          <w:szCs w:val="28"/>
        </w:rPr>
        <w:t>㎡</w:t>
      </w:r>
      <w:r>
        <w:rPr>
          <w:rFonts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2、估价对象区位状况</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（1）位置</w:t>
      </w:r>
    </w:p>
    <w:p>
      <w:pPr>
        <w:pStyle w:val="24"/>
        <w:pageBreakBefore w:val="0"/>
        <w:widowControl w:val="0"/>
        <w:tabs>
          <w:tab w:val="center" w:pos="4223"/>
        </w:tabs>
        <w:kinsoku/>
        <w:wordWrap/>
        <w:overflowPunct/>
        <w:topLinePunct w:val="0"/>
        <w:bidi w:val="0"/>
        <w:snapToGrid/>
        <w:spacing w:line="480" w:lineRule="exact"/>
        <w:ind w:firstLine="560" w:firstLineChars="200"/>
        <w:rPr>
          <w:rFonts w:hint="default" w:hAnsi="宋体" w:eastAsia="宋体"/>
          <w:color w:val="auto"/>
          <w:sz w:val="28"/>
          <w:szCs w:val="28"/>
          <w:lang w:eastAsia="zh-CN"/>
        </w:rPr>
      </w:pPr>
      <w:r>
        <w:rPr>
          <w:rFonts w:hint="eastAsia" w:hAnsi="宋体"/>
          <w:color w:val="auto"/>
          <w:sz w:val="28"/>
          <w:szCs w:val="28"/>
        </w:rPr>
        <w:t>坐落：</w:t>
      </w:r>
      <w:r>
        <w:rPr>
          <w:rFonts w:hint="eastAsia" w:hAnsi="宋体"/>
          <w:color w:val="auto"/>
          <w:sz w:val="28"/>
          <w:szCs w:val="28"/>
          <w:lang w:eastAsia="zh-CN"/>
        </w:rPr>
        <w:t>咸安区东门村五组2幢1-5层号</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val="en-US" w:eastAsia="zh-CN"/>
        </w:rPr>
      </w:pPr>
      <w:r>
        <w:rPr>
          <w:rFonts w:hint="eastAsia" w:hAnsi="宋体"/>
          <w:color w:val="auto"/>
          <w:sz w:val="28"/>
          <w:szCs w:val="28"/>
        </w:rPr>
        <w:t>方位：</w:t>
      </w:r>
      <w:r>
        <w:rPr>
          <w:rFonts w:hint="eastAsia" w:hAnsi="宋体"/>
          <w:sz w:val="28"/>
          <w:szCs w:val="28"/>
          <w:lang w:eastAsia="zh-CN"/>
        </w:rPr>
        <w:t>乐贝多幼儿园以东、双峰路以西</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val="en-US" w:eastAsia="zh-CN"/>
        </w:rPr>
      </w:pPr>
      <w:r>
        <w:rPr>
          <w:rFonts w:hint="eastAsia" w:hAnsi="宋体"/>
          <w:color w:val="auto"/>
          <w:sz w:val="28"/>
          <w:szCs w:val="28"/>
        </w:rPr>
        <w:t>与重要场所（设施）的距离：</w:t>
      </w:r>
      <w:r>
        <w:rPr>
          <w:rFonts w:hint="eastAsia" w:hAnsi="宋体"/>
          <w:sz w:val="28"/>
          <w:szCs w:val="28"/>
          <w:lang w:eastAsia="zh-CN"/>
        </w:rPr>
        <w:t>紧邻乐贝多幼儿园</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eastAsia="zh-CN"/>
        </w:rPr>
      </w:pPr>
      <w:r>
        <w:rPr>
          <w:rFonts w:hint="eastAsia" w:hAnsi="宋体"/>
          <w:color w:val="auto"/>
          <w:sz w:val="28"/>
          <w:szCs w:val="28"/>
        </w:rPr>
        <w:t>临街（路）状况：</w:t>
      </w:r>
      <w:r>
        <w:rPr>
          <w:rFonts w:hint="eastAsia" w:hAnsi="宋体"/>
          <w:sz w:val="28"/>
          <w:szCs w:val="28"/>
          <w:lang w:eastAsia="zh-CN"/>
        </w:rPr>
        <w:t>东临双峰路</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所在楼层/房屋总层数：</w:t>
      </w:r>
      <w:r>
        <w:rPr>
          <w:rFonts w:hint="eastAsia" w:hAnsi="宋体"/>
          <w:color w:val="auto"/>
          <w:sz w:val="28"/>
          <w:szCs w:val="28"/>
          <w:lang w:val="en-US" w:eastAsia="zh-CN"/>
        </w:rPr>
        <w:t>1-5F</w:t>
      </w:r>
      <w:r>
        <w:rPr>
          <w:rFonts w:hint="eastAsia" w:hAnsi="宋体"/>
          <w:color w:val="auto"/>
          <w:sz w:val="28"/>
          <w:szCs w:val="28"/>
        </w:rPr>
        <w:t>/</w:t>
      </w:r>
      <w:r>
        <w:rPr>
          <w:rFonts w:hint="eastAsia" w:hAnsi="宋体"/>
          <w:color w:val="auto"/>
          <w:sz w:val="28"/>
          <w:szCs w:val="28"/>
          <w:lang w:val="en-US" w:eastAsia="zh-CN"/>
        </w:rPr>
        <w:t>5</w:t>
      </w:r>
      <w:r>
        <w:rPr>
          <w:rFonts w:hint="eastAsia" w:hAnsi="宋体"/>
          <w:color w:val="auto"/>
          <w:sz w:val="28"/>
          <w:szCs w:val="28"/>
        </w:rPr>
        <w:t>F</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（2）交通状况</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道路状况：</w:t>
      </w:r>
      <w:r>
        <w:rPr>
          <w:rFonts w:hint="eastAsia" w:hAnsi="宋体"/>
          <w:sz w:val="28"/>
          <w:szCs w:val="28"/>
        </w:rPr>
        <w:t>估价对象所在位置</w:t>
      </w:r>
      <w:r>
        <w:rPr>
          <w:rFonts w:hint="eastAsia" w:hAnsi="宋体"/>
          <w:sz w:val="28"/>
          <w:szCs w:val="28"/>
          <w:lang w:eastAsia="zh-CN"/>
        </w:rPr>
        <w:t>东临双峰路</w:t>
      </w:r>
      <w:r>
        <w:rPr>
          <w:rFonts w:hint="eastAsia" w:hAnsi="宋体"/>
          <w:sz w:val="28"/>
          <w:szCs w:val="28"/>
        </w:rPr>
        <w:t>。主要由</w:t>
      </w:r>
      <w:r>
        <w:rPr>
          <w:rFonts w:hint="eastAsia" w:hAnsi="宋体"/>
          <w:sz w:val="28"/>
          <w:szCs w:val="28"/>
          <w:lang w:eastAsia="zh-CN"/>
        </w:rPr>
        <w:t>永安大道</w:t>
      </w:r>
      <w:r>
        <w:rPr>
          <w:rFonts w:hint="eastAsia" w:hAnsi="宋体"/>
          <w:sz w:val="28"/>
          <w:szCs w:val="28"/>
        </w:rPr>
        <w:t>、</w:t>
      </w:r>
      <w:r>
        <w:rPr>
          <w:rFonts w:hint="eastAsia" w:hAnsi="宋体"/>
          <w:sz w:val="28"/>
          <w:szCs w:val="28"/>
          <w:lang w:eastAsia="zh-CN"/>
        </w:rPr>
        <w:t>车站路</w:t>
      </w:r>
      <w:r>
        <w:rPr>
          <w:rFonts w:hint="eastAsia" w:hAnsi="宋体"/>
          <w:sz w:val="28"/>
          <w:szCs w:val="28"/>
        </w:rPr>
        <w:t>等构成其对外交通路网。</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出入可利用交通工具：</w:t>
      </w:r>
      <w:r>
        <w:rPr>
          <w:rFonts w:hint="eastAsia" w:hAnsi="宋体"/>
          <w:sz w:val="28"/>
          <w:szCs w:val="28"/>
        </w:rPr>
        <w:t>附近有</w:t>
      </w:r>
      <w:r>
        <w:rPr>
          <w:rFonts w:hint="eastAsia" w:hAnsi="宋体"/>
          <w:sz w:val="28"/>
          <w:szCs w:val="28"/>
          <w:lang w:val="en-US" w:eastAsia="zh-CN"/>
        </w:rPr>
        <w:t>8</w:t>
      </w:r>
      <w:r>
        <w:rPr>
          <w:rFonts w:hint="eastAsia" w:hAnsi="宋体"/>
          <w:sz w:val="28"/>
          <w:szCs w:val="28"/>
        </w:rPr>
        <w:t>路</w:t>
      </w:r>
      <w:r>
        <w:rPr>
          <w:rFonts w:hAnsi="宋体"/>
          <w:sz w:val="28"/>
          <w:szCs w:val="28"/>
        </w:rPr>
        <w:t>公交</w:t>
      </w:r>
      <w:r>
        <w:rPr>
          <w:rFonts w:hint="eastAsia" w:hAnsi="宋体"/>
          <w:sz w:val="28"/>
          <w:szCs w:val="28"/>
        </w:rPr>
        <w:t>车及出租车经过</w:t>
      </w:r>
      <w:r>
        <w:rPr>
          <w:rFonts w:hAnsi="宋体"/>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交通管制情况：</w:t>
      </w:r>
      <w:r>
        <w:rPr>
          <w:rFonts w:hint="eastAsia" w:hAnsi="宋体"/>
          <w:color w:val="auto"/>
          <w:sz w:val="28"/>
          <w:szCs w:val="28"/>
          <w:lang w:eastAsia="zh-CN"/>
        </w:rPr>
        <w:t>白天</w:t>
      </w:r>
      <w:r>
        <w:rPr>
          <w:rFonts w:hint="eastAsia" w:hAnsi="宋体"/>
          <w:color w:val="auto"/>
          <w:sz w:val="28"/>
          <w:szCs w:val="28"/>
        </w:rPr>
        <w:t>货车禁行，无其他交通管制。</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停车方便程度：周边物业以住宅小区为主，</w:t>
      </w:r>
      <w:r>
        <w:rPr>
          <w:rFonts w:hAnsi="宋体"/>
          <w:color w:val="auto"/>
          <w:sz w:val="28"/>
          <w:szCs w:val="28"/>
        </w:rPr>
        <w:t>所在区域</w:t>
      </w:r>
      <w:r>
        <w:rPr>
          <w:rFonts w:hint="eastAsia" w:hAnsi="宋体"/>
          <w:color w:val="auto"/>
          <w:sz w:val="28"/>
          <w:szCs w:val="28"/>
        </w:rPr>
        <w:t>街道停车位</w:t>
      </w:r>
      <w:r>
        <w:rPr>
          <w:rFonts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（3）周围环境</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自然环境：</w:t>
      </w:r>
      <w:r>
        <w:rPr>
          <w:rFonts w:hAnsi="宋体"/>
          <w:sz w:val="28"/>
          <w:szCs w:val="28"/>
        </w:rPr>
        <w:t>周边环境</w:t>
      </w:r>
      <w:r>
        <w:rPr>
          <w:rFonts w:hint="eastAsia" w:hAnsi="宋体"/>
          <w:sz w:val="28"/>
          <w:szCs w:val="28"/>
        </w:rPr>
        <w:t>状况</w:t>
      </w:r>
      <w:r>
        <w:rPr>
          <w:rFonts w:hint="eastAsia" w:hAnsi="宋体"/>
          <w:sz w:val="28"/>
          <w:szCs w:val="28"/>
          <w:lang w:eastAsia="zh-CN"/>
        </w:rPr>
        <w:t>一般</w:t>
      </w:r>
      <w:r>
        <w:rPr>
          <w:rFonts w:hAnsi="宋体"/>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人文环境：</w:t>
      </w:r>
      <w:r>
        <w:rPr>
          <w:rFonts w:hAnsi="宋体"/>
          <w:color w:val="auto"/>
          <w:sz w:val="28"/>
          <w:szCs w:val="28"/>
        </w:rPr>
        <w:t>估价对象所在区域内一般为常住人口，居民受教育程度较</w:t>
      </w:r>
      <w:r>
        <w:rPr>
          <w:rFonts w:hint="eastAsia" w:hAnsi="宋体"/>
          <w:color w:val="auto"/>
          <w:sz w:val="28"/>
          <w:szCs w:val="28"/>
        </w:rPr>
        <w:t>高</w:t>
      </w:r>
      <w:r>
        <w:rPr>
          <w:rFonts w:hAnsi="宋体"/>
          <w:color w:val="auto"/>
          <w:sz w:val="28"/>
          <w:szCs w:val="28"/>
        </w:rPr>
        <w:t>，居民收入水平较高，治安状况良好。</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景观环境：</w:t>
      </w:r>
      <w:r>
        <w:rPr>
          <w:rFonts w:hint="eastAsia" w:hAnsi="宋体"/>
          <w:sz w:val="28"/>
          <w:szCs w:val="28"/>
        </w:rPr>
        <w:t>估价对象周边</w:t>
      </w:r>
      <w:r>
        <w:rPr>
          <w:rFonts w:hAnsi="宋体"/>
          <w:sz w:val="28"/>
          <w:szCs w:val="28"/>
        </w:rPr>
        <w:t>房屋成新度</w:t>
      </w:r>
      <w:r>
        <w:rPr>
          <w:rFonts w:hint="eastAsia" w:hAnsi="宋体"/>
          <w:sz w:val="28"/>
          <w:szCs w:val="28"/>
        </w:rPr>
        <w:t>较新</w:t>
      </w:r>
      <w:r>
        <w:rPr>
          <w:rFonts w:hAnsi="宋体"/>
          <w:sz w:val="28"/>
          <w:szCs w:val="28"/>
        </w:rPr>
        <w:t>，道路两侧</w:t>
      </w:r>
      <w:r>
        <w:rPr>
          <w:rFonts w:hint="eastAsia" w:hAnsi="宋体"/>
          <w:sz w:val="28"/>
          <w:szCs w:val="28"/>
        </w:rPr>
        <w:t>有</w:t>
      </w:r>
      <w:r>
        <w:rPr>
          <w:rFonts w:hAnsi="宋体"/>
          <w:sz w:val="28"/>
          <w:szCs w:val="28"/>
        </w:rPr>
        <w:t>树木绿化。</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（4）外部配套设施</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基础设施：估价对象</w:t>
      </w:r>
      <w:r>
        <w:rPr>
          <w:rFonts w:hint="eastAsia" w:hAnsi="宋体"/>
          <w:color w:val="auto"/>
          <w:sz w:val="28"/>
          <w:szCs w:val="28"/>
          <w:lang w:eastAsia="zh-CN"/>
        </w:rPr>
        <w:t>所在地块</w:t>
      </w:r>
      <w:r>
        <w:rPr>
          <w:rFonts w:hint="eastAsia" w:hAnsi="宋体"/>
          <w:color w:val="auto"/>
          <w:sz w:val="28"/>
          <w:szCs w:val="28"/>
        </w:rPr>
        <w:t>开发程度达到宗地红线外通路、通电、通上水、通下水、通讯“</w:t>
      </w:r>
      <w:r>
        <w:rPr>
          <w:rFonts w:hint="eastAsia" w:hAnsi="宋体"/>
          <w:color w:val="auto"/>
          <w:sz w:val="28"/>
          <w:szCs w:val="28"/>
          <w:lang w:eastAsia="zh-CN"/>
        </w:rPr>
        <w:t>五</w:t>
      </w:r>
      <w:r>
        <w:rPr>
          <w:rFonts w:hint="eastAsia" w:hAnsi="宋体"/>
          <w:color w:val="auto"/>
          <w:sz w:val="28"/>
          <w:szCs w:val="28"/>
        </w:rPr>
        <w:t>通”及宗地红线内通路、通电、通上水、通下水、通讯“</w:t>
      </w:r>
      <w:r>
        <w:rPr>
          <w:rFonts w:hint="eastAsia" w:hAnsi="宋体"/>
          <w:color w:val="auto"/>
          <w:sz w:val="28"/>
          <w:szCs w:val="28"/>
          <w:lang w:eastAsia="zh-CN"/>
        </w:rPr>
        <w:t>五</w:t>
      </w:r>
      <w:r>
        <w:rPr>
          <w:rFonts w:hint="eastAsia" w:hAnsi="宋体"/>
          <w:color w:val="auto"/>
          <w:sz w:val="28"/>
          <w:szCs w:val="28"/>
        </w:rPr>
        <w:t>通”及场地平整“一平”。</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eastAsia="zh-CN"/>
        </w:rPr>
      </w:pPr>
      <w:r>
        <w:rPr>
          <w:rFonts w:hint="eastAsia" w:hAnsi="宋体"/>
          <w:color w:val="auto"/>
          <w:sz w:val="28"/>
          <w:szCs w:val="28"/>
        </w:rPr>
        <w:t>公共服务设施：</w:t>
      </w:r>
      <w:r>
        <w:rPr>
          <w:rFonts w:hint="eastAsia" w:hAnsi="宋体"/>
          <w:sz w:val="28"/>
          <w:szCs w:val="28"/>
        </w:rPr>
        <w:t>估价对象附近有</w:t>
      </w:r>
      <w:r>
        <w:rPr>
          <w:rFonts w:hint="eastAsia" w:hAnsi="宋体"/>
          <w:sz w:val="28"/>
          <w:szCs w:val="28"/>
          <w:lang w:eastAsia="zh-CN"/>
        </w:rPr>
        <w:t>苗苗幼儿园</w:t>
      </w:r>
      <w:r>
        <w:rPr>
          <w:rFonts w:hint="eastAsia" w:hAnsi="宋体"/>
          <w:sz w:val="28"/>
          <w:szCs w:val="28"/>
        </w:rPr>
        <w:t>、</w:t>
      </w:r>
      <w:r>
        <w:rPr>
          <w:rFonts w:hint="eastAsia" w:hAnsi="宋体"/>
          <w:sz w:val="28"/>
          <w:szCs w:val="28"/>
          <w:lang w:eastAsia="zh-CN"/>
        </w:rPr>
        <w:t>咸安客运中心、中国石油</w:t>
      </w:r>
      <w:r>
        <w:rPr>
          <w:rFonts w:hint="eastAsia" w:hAnsi="宋体"/>
          <w:sz w:val="28"/>
          <w:szCs w:val="28"/>
        </w:rPr>
        <w:t>等生活配套设施和公共配套设施。</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3、估价对象实物状况</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（1）建筑物</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名称：</w:t>
      </w:r>
      <w:r>
        <w:rPr>
          <w:rFonts w:hint="eastAsia" w:hAnsi="宋体"/>
          <w:color w:val="auto"/>
          <w:sz w:val="28"/>
          <w:szCs w:val="28"/>
          <w:lang w:eastAsia="zh-CN"/>
        </w:rPr>
        <w:t>咸安区东门村五组2幢1-5层号</w:t>
      </w:r>
      <w:r>
        <w:rPr>
          <w:rFonts w:hint="eastAsia" w:hAnsi="宋体"/>
          <w:color w:val="auto"/>
          <w:sz w:val="28"/>
          <w:szCs w:val="28"/>
        </w:rPr>
        <w:t>住宅用房</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建筑规模：建筑面积</w:t>
      </w:r>
      <w:r>
        <w:rPr>
          <w:rFonts w:hint="eastAsia" w:hAnsi="宋体"/>
          <w:color w:val="auto"/>
          <w:sz w:val="28"/>
          <w:szCs w:val="28"/>
          <w:lang w:eastAsia="zh-CN"/>
        </w:rPr>
        <w:t>1601.98</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用途:住宅</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总层数</w:t>
      </w:r>
      <w:r>
        <w:rPr>
          <w:rFonts w:hint="eastAsia" w:hAnsi="宋体"/>
          <w:color w:val="auto"/>
          <w:sz w:val="28"/>
          <w:szCs w:val="28"/>
          <w:lang w:eastAsia="zh-CN"/>
        </w:rPr>
        <w:t>：</w:t>
      </w:r>
      <w:r>
        <w:rPr>
          <w:rFonts w:hint="eastAsia" w:hAnsi="宋体"/>
          <w:color w:val="auto"/>
          <w:sz w:val="28"/>
          <w:szCs w:val="28"/>
          <w:lang w:val="en-US" w:eastAsia="zh-CN"/>
        </w:rPr>
        <w:t>5</w:t>
      </w:r>
      <w:r>
        <w:rPr>
          <w:rFonts w:hint="eastAsia" w:hAnsi="宋体"/>
          <w:color w:val="auto"/>
          <w:sz w:val="28"/>
          <w:szCs w:val="28"/>
        </w:rPr>
        <w:t>层</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建筑结构：</w:t>
      </w:r>
      <w:r>
        <w:rPr>
          <w:rFonts w:hint="eastAsia" w:hAnsi="宋体"/>
          <w:color w:val="auto"/>
          <w:sz w:val="28"/>
          <w:szCs w:val="28"/>
          <w:lang w:eastAsia="zh-CN"/>
        </w:rPr>
        <w:t>钢筋混凝土</w:t>
      </w:r>
      <w:r>
        <w:rPr>
          <w:rFonts w:hint="eastAsia" w:hAnsi="宋体"/>
          <w:color w:val="auto"/>
          <w:sz w:val="28"/>
          <w:szCs w:val="28"/>
        </w:rPr>
        <w:t>结构</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val="en-US" w:eastAsia="zh-CN"/>
        </w:rPr>
      </w:pPr>
      <w:r>
        <w:rPr>
          <w:rFonts w:hint="eastAsia" w:hAnsi="宋体"/>
          <w:color w:val="auto"/>
          <w:sz w:val="28"/>
          <w:szCs w:val="28"/>
        </w:rPr>
        <w:t>设施设备：</w:t>
      </w:r>
      <w:r>
        <w:rPr>
          <w:rFonts w:hint="eastAsia" w:hAnsi="宋体"/>
          <w:sz w:val="28"/>
          <w:szCs w:val="28"/>
        </w:rPr>
        <w:t>通水电等</w:t>
      </w:r>
      <w:r>
        <w:rPr>
          <w:rFonts w:hint="eastAsia" w:hAnsi="宋体"/>
          <w:sz w:val="28"/>
          <w:szCs w:val="28"/>
          <w:lang w:eastAsia="zh-CN"/>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装饰装修：</w:t>
      </w:r>
      <w:r>
        <w:rPr>
          <w:rFonts w:hint="eastAsia" w:hAnsi="宋体"/>
          <w:sz w:val="28"/>
          <w:szCs w:val="28"/>
        </w:rPr>
        <w:t>估价对象房屋外墙</w:t>
      </w:r>
      <w:r>
        <w:rPr>
          <w:rFonts w:hint="eastAsia" w:hAnsi="宋体"/>
          <w:sz w:val="28"/>
          <w:szCs w:val="28"/>
          <w:lang w:eastAsia="zh-CN"/>
        </w:rPr>
        <w:t>刷</w:t>
      </w:r>
      <w:r>
        <w:rPr>
          <w:rFonts w:hint="eastAsia" w:hAnsi="宋体"/>
          <w:sz w:val="28"/>
          <w:szCs w:val="28"/>
        </w:rPr>
        <w:t>涂料</w:t>
      </w:r>
      <w:r>
        <w:rPr>
          <w:rFonts w:hint="eastAsia" w:hAnsi="宋体"/>
          <w:sz w:val="28"/>
          <w:szCs w:val="28"/>
          <w:lang w:eastAsia="zh-CN"/>
        </w:rPr>
        <w:t>，入户</w:t>
      </w:r>
      <w:r>
        <w:rPr>
          <w:rFonts w:hint="eastAsia" w:hAnsi="宋体"/>
          <w:color w:val="auto"/>
          <w:sz w:val="28"/>
          <w:szCs w:val="28"/>
          <w:lang w:eastAsia="zh-CN"/>
        </w:rPr>
        <w:t>防盗门，</w:t>
      </w:r>
      <w:r>
        <w:rPr>
          <w:rFonts w:hint="eastAsia" w:hAnsi="宋体"/>
          <w:sz w:val="28"/>
          <w:szCs w:val="28"/>
          <w:lang w:eastAsia="zh-CN"/>
        </w:rPr>
        <w:t>室内</w:t>
      </w:r>
      <w:r>
        <w:rPr>
          <w:rFonts w:hint="eastAsia" w:hAnsi="宋体"/>
          <w:color w:val="auto"/>
          <w:sz w:val="28"/>
          <w:szCs w:val="28"/>
          <w:lang w:eastAsia="zh-CN"/>
        </w:rPr>
        <w:t>毛坯，</w:t>
      </w:r>
      <w:r>
        <w:rPr>
          <w:rFonts w:hint="eastAsia" w:hAnsi="宋体"/>
          <w:color w:val="auto"/>
          <w:sz w:val="28"/>
          <w:szCs w:val="28"/>
        </w:rPr>
        <w:t>室内</w:t>
      </w:r>
      <w:r>
        <w:rPr>
          <w:rFonts w:hint="eastAsia" w:hAnsi="宋体"/>
          <w:color w:val="auto"/>
          <w:sz w:val="28"/>
          <w:szCs w:val="28"/>
          <w:lang w:eastAsia="zh-CN"/>
        </w:rPr>
        <w:t>铝合金</w:t>
      </w:r>
      <w:r>
        <w:rPr>
          <w:rFonts w:hint="eastAsia" w:hAnsi="宋体"/>
          <w:color w:val="auto"/>
          <w:sz w:val="28"/>
          <w:szCs w:val="28"/>
        </w:rPr>
        <w:t>等。</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eastAsia="zh-CN"/>
        </w:rPr>
      </w:pPr>
      <w:r>
        <w:rPr>
          <w:rFonts w:hint="eastAsia" w:hAnsi="宋体"/>
          <w:color w:val="auto"/>
          <w:sz w:val="28"/>
          <w:szCs w:val="28"/>
        </w:rPr>
        <w:t>室内</w:t>
      </w:r>
      <w:r>
        <w:rPr>
          <w:rFonts w:hint="eastAsia" w:hAnsi="宋体"/>
          <w:color w:val="auto"/>
          <w:sz w:val="28"/>
          <w:szCs w:val="28"/>
          <w:lang w:eastAsia="zh-CN"/>
        </w:rPr>
        <w:t>层</w:t>
      </w:r>
      <w:r>
        <w:rPr>
          <w:rFonts w:hint="eastAsia" w:hAnsi="宋体"/>
          <w:color w:val="auto"/>
          <w:sz w:val="28"/>
          <w:szCs w:val="28"/>
        </w:rPr>
        <w:t>高：</w:t>
      </w:r>
      <w:r>
        <w:rPr>
          <w:rFonts w:hint="eastAsia" w:hAnsi="宋体"/>
          <w:color w:val="auto"/>
          <w:sz w:val="28"/>
          <w:szCs w:val="28"/>
          <w:lang w:eastAsia="zh-CN"/>
        </w:rPr>
        <w:t>一层约</w:t>
      </w:r>
      <w:r>
        <w:rPr>
          <w:rFonts w:hint="eastAsia" w:hAnsi="宋体"/>
          <w:color w:val="auto"/>
          <w:sz w:val="28"/>
          <w:szCs w:val="28"/>
          <w:lang w:val="en-US" w:eastAsia="zh-CN"/>
        </w:rPr>
        <w:t>4.0米，二层</w:t>
      </w:r>
      <w:r>
        <w:rPr>
          <w:rFonts w:hint="eastAsia" w:hAnsi="宋体"/>
          <w:color w:val="auto"/>
          <w:sz w:val="28"/>
          <w:szCs w:val="28"/>
          <w:lang w:eastAsia="zh-CN"/>
        </w:rPr>
        <w:t>约</w:t>
      </w:r>
      <w:r>
        <w:rPr>
          <w:rFonts w:hint="eastAsia" w:hAnsi="宋体"/>
          <w:color w:val="auto"/>
          <w:sz w:val="28"/>
          <w:szCs w:val="28"/>
          <w:lang w:val="en-US" w:eastAsia="zh-CN"/>
        </w:rPr>
        <w:t>3.6米，三至五层均</w:t>
      </w:r>
      <w:r>
        <w:rPr>
          <w:rFonts w:hint="eastAsia" w:hAnsi="宋体"/>
          <w:color w:val="auto"/>
          <w:sz w:val="28"/>
          <w:szCs w:val="28"/>
          <w:lang w:eastAsia="zh-CN"/>
        </w:rPr>
        <w:t>约3</w:t>
      </w:r>
      <w:r>
        <w:rPr>
          <w:rFonts w:hint="eastAsia" w:hAnsi="宋体"/>
          <w:color w:val="auto"/>
          <w:sz w:val="28"/>
          <w:szCs w:val="28"/>
          <w:lang w:val="en-US" w:eastAsia="zh-CN"/>
        </w:rPr>
        <w:t>.0</w:t>
      </w:r>
      <w:r>
        <w:rPr>
          <w:rFonts w:hint="eastAsia" w:hAnsi="宋体"/>
          <w:color w:val="auto"/>
          <w:sz w:val="28"/>
          <w:szCs w:val="28"/>
          <w:lang w:eastAsia="zh-CN"/>
        </w:rPr>
        <w:t>米。</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平面布置：</w:t>
      </w:r>
      <w:r>
        <w:rPr>
          <w:rFonts w:hint="eastAsia" w:hAnsi="宋体"/>
          <w:color w:val="auto"/>
          <w:sz w:val="28"/>
          <w:szCs w:val="28"/>
          <w:lang w:eastAsia="zh-CN"/>
        </w:rPr>
        <w:t>空置</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建筑功能：通风、采光、保温、隔热、防渗漏效果</w:t>
      </w:r>
      <w:r>
        <w:rPr>
          <w:rFonts w:hint="eastAsia" w:hAnsi="宋体"/>
          <w:color w:val="auto"/>
          <w:sz w:val="28"/>
          <w:szCs w:val="28"/>
          <w:lang w:eastAsia="zh-CN"/>
        </w:rPr>
        <w:t>一般</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建筑年代：</w:t>
      </w:r>
      <w:r>
        <w:rPr>
          <w:rFonts w:hint="eastAsia" w:hAnsi="宋体"/>
          <w:color w:val="auto"/>
          <w:sz w:val="28"/>
          <w:szCs w:val="28"/>
          <w:lang w:val="en-US" w:eastAsia="zh-CN"/>
        </w:rPr>
        <w:t>2010年</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外观：估价对象房屋外墙</w:t>
      </w:r>
      <w:r>
        <w:rPr>
          <w:rFonts w:hint="eastAsia" w:hAnsi="宋体"/>
          <w:sz w:val="28"/>
          <w:szCs w:val="28"/>
        </w:rPr>
        <w:t>为</w:t>
      </w:r>
      <w:r>
        <w:rPr>
          <w:rFonts w:hint="eastAsia" w:hAnsi="宋体"/>
          <w:sz w:val="28"/>
          <w:szCs w:val="28"/>
          <w:lang w:eastAsia="zh-CN"/>
        </w:rPr>
        <w:t>刷</w:t>
      </w:r>
      <w:r>
        <w:rPr>
          <w:rFonts w:hint="eastAsia" w:hAnsi="宋体"/>
          <w:sz w:val="28"/>
          <w:szCs w:val="28"/>
        </w:rPr>
        <w:t>涂料</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完损程度：完好房</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 xml:space="preserve"> (2)土地</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名称：</w:t>
      </w:r>
      <w:r>
        <w:rPr>
          <w:rFonts w:hint="eastAsia" w:hAnsi="宋体"/>
          <w:color w:val="auto"/>
          <w:sz w:val="28"/>
          <w:szCs w:val="28"/>
          <w:lang w:eastAsia="zh-CN"/>
        </w:rPr>
        <w:t>咸安区东门村五组2幢1-5层号独用</w:t>
      </w:r>
      <w:r>
        <w:rPr>
          <w:rFonts w:hint="eastAsia" w:hAnsi="宋体"/>
          <w:color w:val="auto"/>
          <w:sz w:val="28"/>
          <w:szCs w:val="28"/>
        </w:rPr>
        <w:t>土地</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四至：东</w:t>
      </w:r>
      <w:r>
        <w:rPr>
          <w:rFonts w:hint="eastAsia" w:hAnsi="宋体"/>
          <w:color w:val="auto"/>
          <w:sz w:val="28"/>
          <w:szCs w:val="28"/>
          <w:lang w:eastAsia="zh-CN"/>
        </w:rPr>
        <w:t>双峰路，西、南、北均邻其他国有建设用地</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lang w:eastAsia="zh-CN"/>
        </w:rPr>
        <w:t>面积：</w:t>
      </w:r>
      <w:r>
        <w:rPr>
          <w:rFonts w:hint="eastAsia" w:hAnsi="宋体"/>
          <w:color w:val="auto"/>
          <w:sz w:val="28"/>
          <w:szCs w:val="28"/>
        </w:rPr>
        <w:t>土地</w:t>
      </w:r>
      <w:r>
        <w:rPr>
          <w:rFonts w:hint="eastAsia" w:hAnsi="宋体"/>
          <w:color w:val="auto"/>
          <w:sz w:val="28"/>
          <w:szCs w:val="28"/>
          <w:lang w:eastAsia="zh-CN"/>
        </w:rPr>
        <w:t>使用权</w:t>
      </w:r>
      <w:r>
        <w:rPr>
          <w:rFonts w:hint="eastAsia" w:hAnsi="宋体"/>
          <w:color w:val="auto"/>
          <w:sz w:val="28"/>
          <w:szCs w:val="28"/>
        </w:rPr>
        <w:t>面积</w:t>
      </w:r>
      <w:r>
        <w:rPr>
          <w:rFonts w:hint="eastAsia" w:hAnsi="宋体"/>
          <w:color w:val="auto"/>
          <w:sz w:val="28"/>
          <w:szCs w:val="28"/>
          <w:lang w:eastAsia="zh-CN"/>
        </w:rPr>
        <w:t>456.52</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eastAsia="zh-CN"/>
        </w:rPr>
      </w:pPr>
      <w:r>
        <w:rPr>
          <w:rFonts w:hint="eastAsia" w:hAnsi="宋体"/>
          <w:color w:val="auto"/>
          <w:sz w:val="28"/>
          <w:szCs w:val="28"/>
        </w:rPr>
        <w:t>用途：</w:t>
      </w:r>
      <w:r>
        <w:rPr>
          <w:rFonts w:hint="eastAsia" w:hAnsi="宋体"/>
          <w:color w:val="auto"/>
          <w:sz w:val="28"/>
          <w:szCs w:val="28"/>
          <w:lang w:eastAsia="zh-CN"/>
        </w:rPr>
        <w:t>城镇住宅用地</w:t>
      </w:r>
    </w:p>
    <w:p>
      <w:pPr>
        <w:pStyle w:val="24"/>
        <w:pageBreakBefore w:val="0"/>
        <w:widowControl w:val="0"/>
        <w:kinsoku/>
        <w:wordWrap/>
        <w:overflowPunct/>
        <w:topLinePunct w:val="0"/>
        <w:bidi w:val="0"/>
        <w:snapToGrid/>
        <w:spacing w:line="480" w:lineRule="exact"/>
        <w:ind w:firstLine="560" w:firstLineChars="200"/>
        <w:rPr>
          <w:rFonts w:hint="default" w:hAnsi="宋体" w:eastAsia="宋体"/>
          <w:color w:val="auto"/>
          <w:sz w:val="28"/>
          <w:szCs w:val="28"/>
          <w:lang w:val="en-US" w:eastAsia="zh-CN"/>
        </w:rPr>
      </w:pPr>
      <w:r>
        <w:rPr>
          <w:rFonts w:hint="eastAsia" w:hAnsi="宋体"/>
          <w:color w:val="auto"/>
          <w:sz w:val="28"/>
          <w:szCs w:val="28"/>
        </w:rPr>
        <w:t>形状：</w:t>
      </w:r>
      <w:r>
        <w:rPr>
          <w:rFonts w:hint="eastAsia" w:hAnsi="宋体"/>
          <w:color w:val="auto"/>
          <w:sz w:val="28"/>
          <w:szCs w:val="28"/>
          <w:lang w:val="en-US" w:eastAsia="zh-CN"/>
        </w:rPr>
        <w:t>L形</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地形：平原</w:t>
      </w:r>
    </w:p>
    <w:p>
      <w:pPr>
        <w:pStyle w:val="24"/>
        <w:pageBreakBefore w:val="0"/>
        <w:widowControl w:val="0"/>
        <w:kinsoku/>
        <w:wordWrap/>
        <w:overflowPunct/>
        <w:topLinePunct w:val="0"/>
        <w:bidi w:val="0"/>
        <w:snapToGrid/>
        <w:spacing w:line="480" w:lineRule="exact"/>
        <w:ind w:firstLine="560" w:firstLineChars="200"/>
        <w:rPr>
          <w:rFonts w:hint="eastAsia" w:hAnsi="宋体" w:eastAsia="宋体"/>
          <w:color w:val="auto"/>
          <w:sz w:val="28"/>
          <w:szCs w:val="28"/>
          <w:lang w:val="en-US" w:eastAsia="zh-CN"/>
        </w:rPr>
      </w:pPr>
      <w:r>
        <w:rPr>
          <w:rFonts w:hint="eastAsia" w:hAnsi="宋体"/>
          <w:color w:val="auto"/>
          <w:sz w:val="28"/>
          <w:szCs w:val="28"/>
        </w:rPr>
        <w:t>地势：平缓</w:t>
      </w:r>
      <w:r>
        <w:rPr>
          <w:rFonts w:hint="eastAsia" w:hAnsi="宋体"/>
          <w:color w:val="auto"/>
          <w:sz w:val="28"/>
          <w:szCs w:val="28"/>
          <w:lang w:val="en-US" w:eastAsia="zh-CN"/>
        </w:rPr>
        <w:tab/>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地质：估价对象宗地</w:t>
      </w:r>
      <w:r>
        <w:rPr>
          <w:rFonts w:hAnsi="宋体"/>
          <w:color w:val="auto"/>
          <w:sz w:val="28"/>
          <w:szCs w:val="28"/>
        </w:rPr>
        <w:t>地面</w:t>
      </w:r>
      <w:r>
        <w:rPr>
          <w:rFonts w:hint="eastAsia" w:hAnsi="宋体"/>
          <w:color w:val="auto"/>
          <w:sz w:val="28"/>
          <w:szCs w:val="28"/>
        </w:rPr>
        <w:t>地基较好，承载力较大，进行建设时只需作简单的基础处理；</w:t>
      </w:r>
      <w:r>
        <w:rPr>
          <w:rFonts w:hAnsi="宋体"/>
          <w:color w:val="auto"/>
          <w:sz w:val="28"/>
          <w:szCs w:val="28"/>
        </w:rPr>
        <w:t>基本不受洪涝、地质等自然灾害影响，连续大雨后基本无淹水现象</w:t>
      </w:r>
      <w:r>
        <w:rPr>
          <w:rFonts w:hint="eastAsia" w:hAnsi="宋体"/>
          <w:color w:val="auto"/>
          <w:sz w:val="28"/>
          <w:szCs w:val="28"/>
        </w:rPr>
        <w:t>。</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土壤：未发现土壤被地上污染物、金属物质、地下水污染情况。</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rPr>
        <w:t>开发程度：宗地红线外通路、通电、通上水、通下水、通讯 “</w:t>
      </w:r>
      <w:r>
        <w:rPr>
          <w:rFonts w:hint="eastAsia" w:hAnsi="宋体"/>
          <w:color w:val="auto"/>
          <w:sz w:val="28"/>
          <w:szCs w:val="28"/>
          <w:lang w:eastAsia="zh-CN"/>
        </w:rPr>
        <w:t>五</w:t>
      </w:r>
      <w:r>
        <w:rPr>
          <w:rFonts w:hint="eastAsia" w:hAnsi="宋体"/>
          <w:color w:val="auto"/>
          <w:sz w:val="28"/>
          <w:szCs w:val="28"/>
        </w:rPr>
        <w:t>通”和宗地红线内通路、通电、通上水、通下水</w:t>
      </w:r>
      <w:r>
        <w:rPr>
          <w:rFonts w:hint="eastAsia" w:hAnsi="宋体"/>
          <w:color w:val="auto"/>
          <w:sz w:val="28"/>
          <w:szCs w:val="28"/>
          <w:lang w:eastAsia="zh-CN"/>
        </w:rPr>
        <w:t>、</w:t>
      </w:r>
      <w:r>
        <w:rPr>
          <w:rFonts w:hint="eastAsia" w:hAnsi="宋体"/>
          <w:color w:val="auto"/>
          <w:sz w:val="28"/>
          <w:szCs w:val="28"/>
        </w:rPr>
        <w:t>通讯“</w:t>
      </w:r>
      <w:r>
        <w:rPr>
          <w:rFonts w:hint="eastAsia" w:hAnsi="宋体"/>
          <w:color w:val="auto"/>
          <w:sz w:val="28"/>
          <w:szCs w:val="28"/>
          <w:lang w:eastAsia="zh-CN"/>
        </w:rPr>
        <w:t>五</w:t>
      </w:r>
      <w:r>
        <w:rPr>
          <w:rFonts w:hint="eastAsia" w:hAnsi="宋体"/>
          <w:color w:val="auto"/>
          <w:sz w:val="28"/>
          <w:szCs w:val="28"/>
        </w:rPr>
        <w:t>通”及场地平整“一平”，地</w:t>
      </w:r>
      <w:r>
        <w:rPr>
          <w:rFonts w:hAnsi="宋体"/>
          <w:color w:val="auto"/>
          <w:sz w:val="28"/>
          <w:szCs w:val="28"/>
        </w:rPr>
        <w:t>上</w:t>
      </w:r>
      <w:r>
        <w:rPr>
          <w:rFonts w:hint="eastAsia" w:hAnsi="宋体"/>
          <w:color w:val="auto"/>
          <w:sz w:val="28"/>
          <w:szCs w:val="28"/>
        </w:rPr>
        <w:t>住宅</w:t>
      </w:r>
      <w:r>
        <w:rPr>
          <w:rFonts w:hAnsi="宋体"/>
          <w:color w:val="auto"/>
          <w:sz w:val="28"/>
          <w:szCs w:val="28"/>
        </w:rPr>
        <w:t>楼</w:t>
      </w:r>
      <w:r>
        <w:rPr>
          <w:rFonts w:hint="eastAsia" w:hAnsi="宋体"/>
          <w:color w:val="auto"/>
          <w:sz w:val="28"/>
          <w:szCs w:val="28"/>
        </w:rPr>
        <w:t>已建成</w:t>
      </w:r>
      <w:r>
        <w:rPr>
          <w:rFonts w:hint="eastAsia" w:hAnsi="宋体"/>
          <w:color w:val="auto"/>
          <w:sz w:val="28"/>
          <w:szCs w:val="28"/>
          <w:lang w:eastAsia="zh-CN"/>
        </w:rPr>
        <w:t>，部分已</w:t>
      </w:r>
      <w:r>
        <w:rPr>
          <w:rFonts w:hint="eastAsia" w:hAnsi="宋体"/>
          <w:color w:val="auto"/>
          <w:sz w:val="28"/>
          <w:szCs w:val="28"/>
        </w:rPr>
        <w:t>投入使用。</w:t>
      </w:r>
    </w:p>
    <w:p>
      <w:pPr>
        <w:pStyle w:val="24"/>
        <w:pageBreakBefore w:val="0"/>
        <w:widowControl w:val="0"/>
        <w:kinsoku/>
        <w:wordWrap/>
        <w:overflowPunct/>
        <w:topLinePunct w:val="0"/>
        <w:bidi w:val="0"/>
        <w:snapToGrid/>
        <w:spacing w:line="480" w:lineRule="exact"/>
        <w:ind w:firstLine="560" w:firstLineChars="200"/>
        <w:rPr>
          <w:rFonts w:hAnsi="宋体"/>
          <w:color w:val="auto"/>
          <w:sz w:val="28"/>
          <w:szCs w:val="28"/>
        </w:rPr>
      </w:pPr>
      <w:r>
        <w:rPr>
          <w:rFonts w:hint="eastAsia" w:hAnsi="宋体"/>
          <w:color w:val="auto"/>
          <w:sz w:val="28"/>
          <w:szCs w:val="28"/>
          <w:lang w:val="en-US" w:eastAsia="zh-CN"/>
        </w:rPr>
        <w:t>4</w:t>
      </w:r>
      <w:r>
        <w:rPr>
          <w:rFonts w:hint="eastAsia" w:hAnsi="宋体"/>
          <w:color w:val="auto"/>
          <w:sz w:val="28"/>
          <w:szCs w:val="28"/>
        </w:rPr>
        <w:t>、估价对象权益状况</w:t>
      </w:r>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olor w:val="auto"/>
          <w:sz w:val="28"/>
          <w:szCs w:val="28"/>
        </w:rPr>
      </w:pPr>
      <w:r>
        <w:rPr>
          <w:rFonts w:hint="eastAsia" w:hAnsi="宋体"/>
          <w:color w:val="auto"/>
          <w:sz w:val="28"/>
          <w:szCs w:val="28"/>
        </w:rPr>
        <w:t>（1）权属登记</w:t>
      </w:r>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hAnsi="宋体"/>
          <w:color w:val="auto"/>
          <w:sz w:val="28"/>
          <w:szCs w:val="28"/>
        </w:rPr>
      </w:pPr>
      <w:r>
        <w:rPr>
          <w:rFonts w:hint="eastAsia" w:hAnsi="宋体"/>
          <w:color w:val="auto"/>
          <w:sz w:val="28"/>
          <w:szCs w:val="28"/>
        </w:rPr>
        <w:t>根据估价委托人提供的《</w:t>
      </w:r>
      <w:r>
        <w:rPr>
          <w:rFonts w:hint="eastAsia" w:hAnsi="宋体"/>
          <w:color w:val="auto"/>
          <w:sz w:val="28"/>
          <w:szCs w:val="28"/>
          <w:lang w:eastAsia="zh-CN"/>
        </w:rPr>
        <w:t>不动产权证书》及《不动产登记信息》，内</w:t>
      </w:r>
      <w:r>
        <w:rPr>
          <w:rFonts w:hint="eastAsia" w:hAnsi="宋体"/>
          <w:color w:val="auto"/>
          <w:sz w:val="28"/>
          <w:szCs w:val="28"/>
        </w:rPr>
        <w:t>容摘录见表</w:t>
      </w:r>
      <w:r>
        <w:rPr>
          <w:rFonts w:hint="eastAsia" w:hAnsi="宋体"/>
          <w:color w:val="auto"/>
          <w:sz w:val="28"/>
          <w:szCs w:val="28"/>
          <w:lang w:val="en-US" w:eastAsia="zh-CN"/>
        </w:rPr>
        <w:t>3、表4</w:t>
      </w:r>
      <w:r>
        <w:rPr>
          <w:rFonts w:hint="eastAsia" w:hAnsi="宋体"/>
          <w:color w:val="auto"/>
          <w:sz w:val="28"/>
          <w:szCs w:val="28"/>
        </w:rPr>
        <w:t>。</w:t>
      </w:r>
    </w:p>
    <w:p>
      <w:pPr>
        <w:pStyle w:val="24"/>
        <w:pageBreakBefore w:val="0"/>
        <w:widowControl w:val="0"/>
        <w:kinsoku/>
        <w:wordWrap/>
        <w:overflowPunct/>
        <w:topLinePunct w:val="0"/>
        <w:autoSpaceDE/>
        <w:autoSpaceDN/>
        <w:bidi w:val="0"/>
        <w:adjustRightInd/>
        <w:snapToGrid/>
        <w:spacing w:line="480" w:lineRule="exact"/>
        <w:jc w:val="center"/>
        <w:textAlignment w:val="auto"/>
        <w:rPr>
          <w:rFonts w:hint="eastAsia" w:hAnsi="宋体"/>
          <w:color w:val="auto"/>
          <w:sz w:val="28"/>
          <w:szCs w:val="28"/>
        </w:rPr>
      </w:pPr>
      <w:r>
        <w:rPr>
          <w:rFonts w:hint="eastAsia" w:hAnsi="宋体"/>
          <w:b/>
          <w:color w:val="auto"/>
          <w:sz w:val="28"/>
        </w:rPr>
        <w:t>表</w:t>
      </w:r>
      <w:r>
        <w:rPr>
          <w:rFonts w:hint="eastAsia" w:hAnsi="宋体"/>
          <w:b/>
          <w:color w:val="auto"/>
          <w:sz w:val="28"/>
          <w:lang w:val="en-US" w:eastAsia="zh-CN"/>
        </w:rPr>
        <w:t>3</w:t>
      </w:r>
      <w:r>
        <w:rPr>
          <w:rFonts w:hint="eastAsia" w:hAnsi="宋体"/>
          <w:b/>
          <w:color w:val="auto"/>
          <w:sz w:val="28"/>
        </w:rPr>
        <w:t xml:space="preserve">  《</w:t>
      </w:r>
      <w:r>
        <w:rPr>
          <w:rFonts w:hint="eastAsia" w:hAnsi="宋体"/>
          <w:b/>
          <w:color w:val="auto"/>
          <w:sz w:val="28"/>
          <w:szCs w:val="28"/>
          <w:lang w:eastAsia="zh-CN"/>
        </w:rPr>
        <w:t>不动产权证书</w:t>
      </w:r>
      <w:r>
        <w:rPr>
          <w:rFonts w:hint="eastAsia" w:hAnsi="宋体"/>
          <w:b/>
          <w:color w:val="auto"/>
          <w:sz w:val="28"/>
        </w:rPr>
        <w:t>》内容一览表</w:t>
      </w:r>
    </w:p>
    <w:tbl>
      <w:tblPr>
        <w:tblStyle w:val="4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6"/>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《不动产权证书》证号</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鄂（2019）咸安区不动产权第0016109号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权利人</w:t>
            </w:r>
          </w:p>
        </w:tc>
        <w:tc>
          <w:tcPr>
            <w:tcW w:w="7114"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范春姣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共有情况</w:t>
            </w:r>
          </w:p>
        </w:tc>
        <w:tc>
          <w:tcPr>
            <w:tcW w:w="7114" w:type="dxa"/>
            <w:vAlign w:val="center"/>
          </w:tcPr>
          <w:p>
            <w:pPr>
              <w:widowControl/>
              <w:spacing w:line="280" w:lineRule="exact"/>
              <w:rPr>
                <w:rFonts w:hint="default"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坐落</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咸安区东门村五组2幢1-5层号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不动产单元号</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421202003029GB01055F00010001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权利类型</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国有建设用地使用权/房屋（构筑物）所有权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权利性质</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出让/存量房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用途</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城镇住宅用地/住宅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面积</w:t>
            </w:r>
          </w:p>
        </w:tc>
        <w:tc>
          <w:tcPr>
            <w:tcW w:w="7114"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土地使用权面积：456.52</w:t>
            </w:r>
            <w:r>
              <w:rPr>
                <w:rFonts w:hint="eastAsia" w:ascii="宋体" w:hAnsi="宋体" w:cs="宋体"/>
                <w:bCs/>
                <w:color w:val="auto"/>
                <w:kern w:val="0"/>
                <w:sz w:val="21"/>
                <w:szCs w:val="21"/>
              </w:rPr>
              <w:t>㎡</w:t>
            </w:r>
            <w:r>
              <w:rPr>
                <w:rFonts w:hint="eastAsia" w:ascii="宋体" w:hAnsi="宋体" w:cs="宋体"/>
                <w:bCs/>
                <w:color w:val="auto"/>
                <w:kern w:val="0"/>
                <w:sz w:val="21"/>
                <w:szCs w:val="21"/>
                <w:lang w:val="en-US" w:eastAsia="zh-CN"/>
              </w:rPr>
              <w:t>/房屋建筑面积：1601.98</w:t>
            </w:r>
            <w:r>
              <w:rPr>
                <w:rFonts w:hint="eastAsia" w:ascii="宋体" w:hAnsi="宋体" w:cs="宋体"/>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使用期限</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国有建设用地使用权至2078年08月22日止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权利其他状况</w:t>
            </w:r>
          </w:p>
        </w:tc>
        <w:tc>
          <w:tcPr>
            <w:tcW w:w="7114"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土地使用权面积：456.52㎡</w:t>
            </w:r>
          </w:p>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房屋结构：钢筋混凝土结构</w:t>
            </w:r>
          </w:p>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房屋总层数：5，所在层数：1-5层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06" w:type="dxa"/>
            <w:vAlign w:val="center"/>
          </w:tcPr>
          <w:p>
            <w:pPr>
              <w:widowControl/>
              <w:spacing w:line="280" w:lineRule="exact"/>
              <w:jc w:val="center"/>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附记</w:t>
            </w:r>
          </w:p>
        </w:tc>
        <w:tc>
          <w:tcPr>
            <w:tcW w:w="7114"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2019年6月6日该不动产办理抵押登记</w:t>
            </w:r>
          </w:p>
        </w:tc>
      </w:tr>
    </w:tbl>
    <w:p>
      <w:pPr>
        <w:pStyle w:val="24"/>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hAnsi="宋体"/>
          <w:b/>
          <w:color w:val="auto"/>
          <w:sz w:val="28"/>
        </w:rPr>
      </w:pPr>
      <w:r>
        <w:rPr>
          <w:rFonts w:hint="eastAsia" w:hAnsi="宋体"/>
          <w:b/>
          <w:color w:val="auto"/>
          <w:sz w:val="28"/>
          <w:szCs w:val="28"/>
        </w:rPr>
        <w:t>表</w:t>
      </w:r>
      <w:r>
        <w:rPr>
          <w:rFonts w:hint="eastAsia" w:hAnsi="宋体"/>
          <w:b/>
          <w:color w:val="auto"/>
          <w:sz w:val="28"/>
          <w:szCs w:val="28"/>
          <w:lang w:val="en-US" w:eastAsia="zh-CN"/>
        </w:rPr>
        <w:t>4</w:t>
      </w:r>
      <w:r>
        <w:rPr>
          <w:rFonts w:hint="eastAsia" w:hAnsi="宋体"/>
          <w:color w:val="auto"/>
          <w:sz w:val="28"/>
          <w:szCs w:val="28"/>
        </w:rPr>
        <w:t xml:space="preserve">  </w:t>
      </w:r>
      <w:r>
        <w:rPr>
          <w:rFonts w:hint="eastAsia" w:hAnsi="宋体"/>
          <w:b/>
          <w:color w:val="auto"/>
          <w:sz w:val="28"/>
          <w:szCs w:val="28"/>
          <w:lang w:val="en-US" w:eastAsia="zh-CN"/>
        </w:rPr>
        <w:t xml:space="preserve">  </w:t>
      </w:r>
      <w:r>
        <w:rPr>
          <w:rFonts w:hint="eastAsia" w:hAnsi="宋体"/>
          <w:b/>
          <w:color w:val="auto"/>
          <w:sz w:val="28"/>
          <w:szCs w:val="28"/>
          <w:lang w:eastAsia="zh-CN"/>
        </w:rPr>
        <w:t>《不动产登记信息》</w:t>
      </w:r>
      <w:r>
        <w:rPr>
          <w:rFonts w:hint="eastAsia" w:hAnsi="宋体"/>
          <w:b/>
          <w:color w:val="auto"/>
          <w:sz w:val="28"/>
        </w:rPr>
        <w:t>内容一览表</w:t>
      </w:r>
    </w:p>
    <w:tbl>
      <w:tblPr>
        <w:tblStyle w:val="45"/>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835"/>
        <w:gridCol w:w="2025"/>
        <w:gridCol w:w="3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权利人</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范春姣</w:t>
            </w:r>
          </w:p>
        </w:tc>
        <w:tc>
          <w:tcPr>
            <w:tcW w:w="202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权利人证件号码</w:t>
            </w:r>
          </w:p>
        </w:tc>
        <w:tc>
          <w:tcPr>
            <w:tcW w:w="3796"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420203197603312928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义务人</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杨帆</w:t>
            </w:r>
          </w:p>
        </w:tc>
        <w:tc>
          <w:tcPr>
            <w:tcW w:w="2025"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义务人证件号码</w:t>
            </w:r>
          </w:p>
        </w:tc>
        <w:tc>
          <w:tcPr>
            <w:tcW w:w="3796"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422301197811048513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不动产权证号（证明）</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鄂（2019）咸安区不动产权第0016109号</w:t>
            </w:r>
          </w:p>
        </w:tc>
        <w:tc>
          <w:tcPr>
            <w:tcW w:w="202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不动产单元号</w:t>
            </w:r>
          </w:p>
        </w:tc>
        <w:tc>
          <w:tcPr>
            <w:tcW w:w="3796" w:type="dxa"/>
            <w:vAlign w:val="center"/>
          </w:tcPr>
          <w:p>
            <w:pPr>
              <w:pStyle w:val="26"/>
              <w:spacing w:line="280" w:lineRule="exact"/>
              <w:jc w:val="left"/>
              <w:rPr>
                <w:rFonts w:hint="default" w:ascii="宋体" w:hAnsi="宋体" w:cs="宋体"/>
                <w:bCs/>
                <w:color w:val="auto"/>
                <w:spacing w:val="0"/>
                <w:kern w:val="0"/>
                <w:sz w:val="21"/>
                <w:szCs w:val="21"/>
                <w:lang w:val="en-US" w:eastAsia="zh-CN"/>
              </w:rPr>
            </w:pPr>
            <w:r>
              <w:rPr>
                <w:rFonts w:hint="eastAsia" w:ascii="宋体" w:hAnsi="宋体"/>
                <w:color w:val="auto"/>
                <w:sz w:val="21"/>
                <w:szCs w:val="21"/>
                <w:lang w:val="en-US" w:eastAsia="zh-CN"/>
              </w:rPr>
              <w:t>421202003029GB01055F00010001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权属来源</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存量房买卖</w:t>
            </w:r>
          </w:p>
        </w:tc>
        <w:tc>
          <w:tcPr>
            <w:tcW w:w="202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坐落</w:t>
            </w:r>
          </w:p>
        </w:tc>
        <w:tc>
          <w:tcPr>
            <w:tcW w:w="3796" w:type="dxa"/>
            <w:vAlign w:val="center"/>
          </w:tcPr>
          <w:p>
            <w:pPr>
              <w:widowControl/>
              <w:spacing w:line="280" w:lineRule="exact"/>
              <w:jc w:val="left"/>
              <w:rPr>
                <w:rFonts w:hint="default" w:ascii="宋体" w:hAnsi="宋体" w:cs="宋体"/>
                <w:bCs/>
                <w:color w:val="auto"/>
                <w:spacing w:val="0"/>
                <w:kern w:val="0"/>
                <w:sz w:val="21"/>
                <w:szCs w:val="21"/>
                <w:lang w:val="en-US" w:eastAsia="zh-CN"/>
              </w:rPr>
            </w:pPr>
            <w:r>
              <w:rPr>
                <w:rFonts w:hint="eastAsia" w:ascii="宋体" w:hAnsi="宋体"/>
                <w:color w:val="auto"/>
                <w:sz w:val="21"/>
                <w:szCs w:val="21"/>
                <w:lang w:val="en-US" w:eastAsia="zh-CN"/>
              </w:rPr>
              <w:t>咸安区东门村五组2幢1-5层号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用途</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住宅</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面积</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1601.98平方米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房屋结构</w:t>
            </w:r>
          </w:p>
        </w:tc>
        <w:tc>
          <w:tcPr>
            <w:tcW w:w="2835"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钢筋混凝土结构</w:t>
            </w:r>
          </w:p>
        </w:tc>
        <w:tc>
          <w:tcPr>
            <w:tcW w:w="202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不动产价格/被担保债权数额（万元）</w:t>
            </w:r>
          </w:p>
        </w:tc>
        <w:tc>
          <w:tcPr>
            <w:tcW w:w="3796"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eastAsia="zh-CN"/>
              </w:rPr>
            </w:pPr>
            <w:r>
              <w:rPr>
                <w:rFonts w:hint="eastAsia" w:ascii="宋体" w:hAnsi="宋体" w:cs="宋体"/>
                <w:bCs/>
                <w:color w:val="auto"/>
                <w:spacing w:val="0"/>
                <w:kern w:val="0"/>
                <w:sz w:val="21"/>
                <w:szCs w:val="21"/>
                <w:lang w:eastAsia="zh-CN"/>
              </w:rPr>
              <w:t>是否抵押</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已抵押</w:t>
            </w:r>
          </w:p>
        </w:tc>
        <w:tc>
          <w:tcPr>
            <w:tcW w:w="202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是否查封</w:t>
            </w:r>
          </w:p>
        </w:tc>
        <w:tc>
          <w:tcPr>
            <w:tcW w:w="3796"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是否预告</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无预告</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是否异议</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是否预抵</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未预抵</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办理状态</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登记类型</w:t>
            </w:r>
          </w:p>
        </w:tc>
        <w:tc>
          <w:tcPr>
            <w:tcW w:w="2835"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国有建设用地使用权及房屋所有权转移登记</w:t>
            </w:r>
          </w:p>
        </w:tc>
        <w:tc>
          <w:tcPr>
            <w:tcW w:w="2025"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总层数</w:t>
            </w:r>
          </w:p>
        </w:tc>
        <w:tc>
          <w:tcPr>
            <w:tcW w:w="3796"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所在层数</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1-5</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竣工时间</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2016-06-17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附记</w:t>
            </w:r>
          </w:p>
        </w:tc>
        <w:tc>
          <w:tcPr>
            <w:tcW w:w="2835" w:type="dxa"/>
            <w:vAlign w:val="center"/>
          </w:tcPr>
          <w:p>
            <w:pPr>
              <w:widowControl/>
              <w:spacing w:line="280" w:lineRule="exact"/>
              <w:rPr>
                <w:rFonts w:hint="eastAsia" w:ascii="宋体" w:hAnsi="宋体" w:cs="宋体"/>
                <w:bCs/>
                <w:color w:val="auto"/>
                <w:spacing w:val="0"/>
                <w:kern w:val="0"/>
                <w:sz w:val="21"/>
                <w:szCs w:val="21"/>
                <w:lang w:val="en-US" w:eastAsia="zh-CN"/>
              </w:rPr>
            </w:pPr>
          </w:p>
        </w:tc>
        <w:tc>
          <w:tcPr>
            <w:tcW w:w="2025"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权利性质</w:t>
            </w:r>
          </w:p>
        </w:tc>
        <w:tc>
          <w:tcPr>
            <w:tcW w:w="3796"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登记时间</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2019-06-05 17:22:30</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房屋性质</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存量房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查封文号</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（2021）鄂1202执保276号</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查封期限</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2021年08月23日-2024年08月22日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查封登记时间</w:t>
            </w:r>
          </w:p>
        </w:tc>
        <w:tc>
          <w:tcPr>
            <w:tcW w:w="2835"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2021年08月23日17:33:07</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土地是否查封</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土地无查封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土地是否抵押</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土地已抵押</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抵押机构</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汪洋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default"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查封机关</w:t>
            </w:r>
          </w:p>
        </w:tc>
        <w:tc>
          <w:tcPr>
            <w:tcW w:w="283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咸安区人民法院</w:t>
            </w:r>
          </w:p>
        </w:tc>
        <w:tc>
          <w:tcPr>
            <w:tcW w:w="2025"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抵押方式</w:t>
            </w:r>
          </w:p>
        </w:tc>
        <w:tc>
          <w:tcPr>
            <w:tcW w:w="3796" w:type="dxa"/>
            <w:vAlign w:val="center"/>
          </w:tcPr>
          <w:p>
            <w:pPr>
              <w:widowControl/>
              <w:spacing w:line="280" w:lineRule="exact"/>
              <w:rPr>
                <w:rFonts w:hint="default" w:ascii="宋体" w:hAnsi="宋体" w:eastAsia="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一般抵押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8"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是否备案</w:t>
            </w:r>
          </w:p>
        </w:tc>
        <w:tc>
          <w:tcPr>
            <w:tcW w:w="2835" w:type="dxa"/>
            <w:vAlign w:val="center"/>
          </w:tcPr>
          <w:p>
            <w:pPr>
              <w:widowControl/>
              <w:spacing w:line="280" w:lineRule="exact"/>
              <w:rPr>
                <w:rFonts w:hint="eastAsia" w:ascii="宋体" w:hAnsi="宋体" w:cs="宋体"/>
                <w:bCs/>
                <w:color w:val="auto"/>
                <w:spacing w:val="0"/>
                <w:kern w:val="0"/>
                <w:sz w:val="21"/>
                <w:szCs w:val="21"/>
                <w:lang w:val="en-US" w:eastAsia="zh-CN"/>
              </w:rPr>
            </w:pPr>
            <w:r>
              <w:rPr>
                <w:rFonts w:hint="eastAsia" w:ascii="宋体" w:hAnsi="宋体" w:cs="宋体"/>
                <w:bCs/>
                <w:color w:val="auto"/>
                <w:spacing w:val="0"/>
                <w:kern w:val="0"/>
                <w:sz w:val="21"/>
                <w:szCs w:val="21"/>
                <w:lang w:val="en-US" w:eastAsia="zh-CN"/>
              </w:rPr>
              <w:t>未备案</w:t>
            </w:r>
          </w:p>
        </w:tc>
        <w:tc>
          <w:tcPr>
            <w:tcW w:w="5821" w:type="dxa"/>
            <w:gridSpan w:val="2"/>
            <w:vAlign w:val="center"/>
          </w:tcPr>
          <w:p>
            <w:pPr>
              <w:widowControl/>
              <w:spacing w:line="280" w:lineRule="exact"/>
              <w:rPr>
                <w:rFonts w:hint="eastAsia" w:ascii="宋体" w:hAnsi="宋体" w:cs="宋体"/>
                <w:bCs/>
                <w:color w:val="auto"/>
                <w:spacing w:val="0"/>
                <w:kern w:val="0"/>
                <w:sz w:val="21"/>
                <w:szCs w:val="21"/>
                <w:lang w:val="en-US" w:eastAsia="zh-CN"/>
              </w:rPr>
            </w:pPr>
          </w:p>
        </w:tc>
      </w:tr>
    </w:tbl>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hAnsi="宋体"/>
          <w:color w:val="auto"/>
          <w:sz w:val="28"/>
          <w:szCs w:val="28"/>
        </w:rPr>
      </w:pPr>
      <w:r>
        <w:rPr>
          <w:rFonts w:hint="eastAsia" w:hAnsi="宋体"/>
          <w:color w:val="auto"/>
          <w:sz w:val="28"/>
          <w:szCs w:val="28"/>
          <w:lang w:eastAsia="zh-CN"/>
        </w:rPr>
        <w:t>（</w:t>
      </w:r>
      <w:r>
        <w:rPr>
          <w:rFonts w:hint="eastAsia" w:hAnsi="宋体"/>
          <w:color w:val="auto"/>
          <w:sz w:val="28"/>
          <w:szCs w:val="28"/>
          <w:lang w:val="en-US" w:eastAsia="zh-CN"/>
        </w:rPr>
        <w:t>2</w:t>
      </w:r>
      <w:r>
        <w:rPr>
          <w:rFonts w:hint="eastAsia" w:hAnsi="宋体"/>
          <w:color w:val="auto"/>
          <w:sz w:val="28"/>
          <w:szCs w:val="28"/>
          <w:lang w:eastAsia="zh-CN"/>
        </w:rPr>
        <w:t>）</w:t>
      </w:r>
      <w:r>
        <w:rPr>
          <w:rFonts w:hint="eastAsia" w:hAnsi="宋体"/>
          <w:color w:val="auto"/>
          <w:sz w:val="28"/>
          <w:szCs w:val="28"/>
        </w:rPr>
        <w:t>土地</w:t>
      </w:r>
      <w:r>
        <w:rPr>
          <w:rFonts w:hint="eastAsia" w:hAnsi="宋体"/>
          <w:color w:val="auto"/>
          <w:sz w:val="28"/>
          <w:szCs w:val="28"/>
          <w:lang w:eastAsia="zh-CN"/>
        </w:rPr>
        <w:t>所有</w:t>
      </w:r>
      <w:r>
        <w:rPr>
          <w:rFonts w:hint="eastAsia" w:hAnsi="宋体"/>
          <w:color w:val="auto"/>
          <w:sz w:val="28"/>
          <w:szCs w:val="28"/>
        </w:rPr>
        <w:t>权状况：未记载，根据《中华人民共和国土地管理法》、《中华人民共和国城市房地产管理法》等相关法律法规，确定为国家</w:t>
      </w:r>
      <w:r>
        <w:rPr>
          <w:rFonts w:hint="eastAsia" w:hAnsi="宋体"/>
          <w:color w:val="auto"/>
          <w:sz w:val="28"/>
          <w:szCs w:val="28"/>
          <w:lang w:eastAsia="zh-CN"/>
        </w:rPr>
        <w:t>所有</w:t>
      </w:r>
      <w:r>
        <w:rPr>
          <w:rFonts w:hint="eastAsia" w:hAnsi="宋体"/>
          <w:color w:val="auto"/>
          <w:sz w:val="28"/>
          <w:szCs w:val="28"/>
        </w:rPr>
        <w:t>。</w:t>
      </w:r>
    </w:p>
    <w:p>
      <w:pPr>
        <w:pStyle w:val="2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hAnsi="宋体"/>
          <w:color w:val="auto"/>
          <w:sz w:val="28"/>
          <w:szCs w:val="28"/>
        </w:rPr>
      </w:pPr>
      <w:r>
        <w:rPr>
          <w:rFonts w:hint="eastAsia" w:hAnsi="宋体"/>
          <w:color w:val="auto"/>
          <w:sz w:val="28"/>
          <w:szCs w:val="28"/>
        </w:rPr>
        <w:t>（</w:t>
      </w:r>
      <w:r>
        <w:rPr>
          <w:rFonts w:hint="eastAsia" w:hAnsi="宋体"/>
          <w:color w:val="auto"/>
          <w:sz w:val="28"/>
          <w:szCs w:val="28"/>
          <w:lang w:val="en-US" w:eastAsia="zh-CN"/>
        </w:rPr>
        <w:t>3</w:t>
      </w:r>
      <w:r>
        <w:rPr>
          <w:rFonts w:hint="eastAsia" w:hAnsi="宋体"/>
          <w:color w:val="auto"/>
          <w:sz w:val="28"/>
          <w:szCs w:val="28"/>
        </w:rPr>
        <w:t>）他项权利设立情况：</w:t>
      </w:r>
      <w:r>
        <w:rPr>
          <w:rFonts w:hint="eastAsia" w:hAnsi="宋体"/>
          <w:color w:val="auto"/>
          <w:sz w:val="28"/>
          <w:szCs w:val="28"/>
          <w:lang w:val="en-US" w:eastAsia="zh-CN"/>
        </w:rPr>
        <w:t>根据估价委托人提供的</w:t>
      </w:r>
      <w:r>
        <w:rPr>
          <w:rFonts w:hint="eastAsia" w:ascii="宋体" w:hAnsi="宋体" w:eastAsia="宋体" w:cs="宋体"/>
          <w:b w:val="0"/>
          <w:bCs w:val="0"/>
          <w:color w:val="auto"/>
          <w:sz w:val="28"/>
          <w:szCs w:val="28"/>
          <w:lang w:eastAsia="zh-CN"/>
        </w:rPr>
        <w:t>《</w:t>
      </w:r>
      <w:r>
        <w:rPr>
          <w:rFonts w:hint="eastAsia" w:hAnsi="宋体"/>
          <w:color w:val="auto"/>
          <w:sz w:val="28"/>
          <w:szCs w:val="22"/>
          <w:lang w:eastAsia="zh-CN"/>
        </w:rPr>
        <w:t>不动产登记信息</w:t>
      </w:r>
      <w:r>
        <w:rPr>
          <w:rFonts w:hint="eastAsia" w:ascii="宋体" w:hAnsi="宋体" w:eastAsia="宋体" w:cs="宋体"/>
          <w:b w:val="0"/>
          <w:bCs w:val="0"/>
          <w:color w:val="auto"/>
          <w:sz w:val="28"/>
          <w:szCs w:val="28"/>
          <w:lang w:eastAsia="zh-CN"/>
        </w:rPr>
        <w:t>》</w:t>
      </w:r>
      <w:r>
        <w:rPr>
          <w:rFonts w:hint="eastAsia" w:hAnsi="宋体"/>
          <w:color w:val="auto"/>
          <w:sz w:val="28"/>
          <w:szCs w:val="22"/>
          <w:lang w:eastAsia="zh-CN"/>
        </w:rPr>
        <w:t>复印件记载：</w:t>
      </w:r>
      <w:r>
        <w:rPr>
          <w:rFonts w:hint="eastAsia" w:hAnsi="宋体"/>
          <w:color w:val="auto"/>
          <w:sz w:val="28"/>
          <w:szCs w:val="28"/>
          <w:lang w:eastAsia="zh-CN"/>
        </w:rPr>
        <w:t>“是否抵押：已抵押；土地是否抵押：土地已抵押；抵押机构：汪洋；抵押方式：一般抵押。”</w:t>
      </w:r>
      <w:r>
        <w:rPr>
          <w:rFonts w:hint="eastAsia" w:hAnsi="宋体"/>
          <w:color w:val="auto"/>
          <w:spacing w:val="0"/>
          <w:sz w:val="28"/>
          <w:szCs w:val="28"/>
          <w:highlight w:val="none"/>
        </w:rPr>
        <w:t>据估价委托人介绍，至价值时点，该抵押权尚未注销。</w:t>
      </w:r>
      <w:r>
        <w:rPr>
          <w:rFonts w:hint="eastAsia" w:hAnsi="宋体"/>
          <w:color w:val="auto"/>
          <w:sz w:val="28"/>
          <w:szCs w:val="28"/>
          <w:highlight w:val="none"/>
        </w:rPr>
        <w:t>根据有关规定，担保物权有效期内处置房地产时，抵押权人有法定优先受偿权。</w:t>
      </w:r>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4</w:t>
      </w:r>
      <w:r>
        <w:rPr>
          <w:rFonts w:hint="eastAsia" w:hAnsi="宋体"/>
          <w:color w:val="auto"/>
          <w:sz w:val="28"/>
          <w:szCs w:val="28"/>
        </w:rPr>
        <w:t>）用益物权设立情况：</w:t>
      </w:r>
      <w:r>
        <w:rPr>
          <w:rFonts w:hint="eastAsia" w:hAnsi="宋体"/>
          <w:color w:val="auto"/>
          <w:sz w:val="28"/>
        </w:rPr>
        <w:t>根据估价人员实地查勘</w:t>
      </w:r>
      <w:r>
        <w:rPr>
          <w:rFonts w:hint="eastAsia" w:hAnsi="宋体"/>
          <w:color w:val="auto"/>
          <w:sz w:val="28"/>
          <w:lang w:eastAsia="zh-CN"/>
        </w:rPr>
        <w:t>及估价委托人告知</w:t>
      </w:r>
      <w:r>
        <w:rPr>
          <w:rFonts w:hint="eastAsia" w:hAnsi="宋体"/>
          <w:color w:val="auto"/>
          <w:sz w:val="28"/>
        </w:rPr>
        <w:t>，</w:t>
      </w:r>
      <w:r>
        <w:rPr>
          <w:rFonts w:hint="eastAsia" w:hAnsi="宋体"/>
          <w:color w:val="auto"/>
          <w:sz w:val="28"/>
          <w:lang w:eastAsia="zh-CN"/>
        </w:rPr>
        <w:t>估价对象所在宗地无单独出入口，需从相邻宗地通行进出，存在相邻通行权限制。根据</w:t>
      </w:r>
      <w:r>
        <w:rPr>
          <w:rFonts w:hint="eastAsia" w:hAnsi="宋体"/>
          <w:color w:val="auto"/>
          <w:sz w:val="28"/>
        </w:rPr>
        <w:t>《中华人民共和国民法典》第二百九十一条</w:t>
      </w:r>
      <w:r>
        <w:rPr>
          <w:rFonts w:hint="eastAsia" w:hAnsi="宋体"/>
          <w:color w:val="auto"/>
          <w:sz w:val="28"/>
          <w:lang w:eastAsia="zh-CN"/>
        </w:rPr>
        <w:t>规定：“</w:t>
      </w:r>
      <w:r>
        <w:rPr>
          <w:rFonts w:hint="eastAsia" w:hAnsi="宋体"/>
          <w:color w:val="auto"/>
          <w:sz w:val="28"/>
        </w:rPr>
        <w:t>不动产权利人对相邻权利人因通行等必须利用其土地的，应当提供必要的便利。</w:t>
      </w:r>
      <w:r>
        <w:rPr>
          <w:rFonts w:hint="eastAsia" w:hAnsi="宋体"/>
          <w:color w:val="auto"/>
          <w:sz w:val="28"/>
          <w:lang w:eastAsia="zh-CN"/>
        </w:rPr>
        <w:t>”</w:t>
      </w:r>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5</w:t>
      </w:r>
      <w:r>
        <w:rPr>
          <w:rFonts w:hint="eastAsia" w:hAnsi="宋体"/>
          <w:color w:val="auto"/>
          <w:sz w:val="28"/>
          <w:szCs w:val="28"/>
        </w:rPr>
        <w:t>）租赁或占用情况：</w:t>
      </w:r>
      <w:r>
        <w:rPr>
          <w:rFonts w:hint="eastAsia" w:hAnsi="宋体"/>
          <w:color w:val="auto"/>
          <w:sz w:val="28"/>
        </w:rPr>
        <w:t>根据估价人员实地查勘</w:t>
      </w:r>
      <w:r>
        <w:rPr>
          <w:rFonts w:hint="eastAsia" w:hAnsi="宋体"/>
          <w:color w:val="auto"/>
          <w:sz w:val="28"/>
          <w:lang w:eastAsia="zh-CN"/>
        </w:rPr>
        <w:t>及估价委托人告知</w:t>
      </w:r>
      <w:r>
        <w:rPr>
          <w:rFonts w:hint="eastAsia" w:hAnsi="宋体"/>
          <w:color w:val="auto"/>
          <w:sz w:val="28"/>
        </w:rPr>
        <w:t>，</w:t>
      </w:r>
      <w:r>
        <w:rPr>
          <w:rFonts w:hint="eastAsia" w:hAnsi="宋体"/>
          <w:color w:val="auto"/>
          <w:sz w:val="28"/>
          <w:lang w:eastAsia="zh-CN"/>
        </w:rPr>
        <w:t>至价值时点，</w:t>
      </w:r>
      <w:r>
        <w:rPr>
          <w:rFonts w:hint="eastAsia" w:hAnsi="宋体"/>
          <w:color w:val="auto"/>
          <w:sz w:val="28"/>
        </w:rPr>
        <w:t>估价对象</w:t>
      </w:r>
      <w:r>
        <w:rPr>
          <w:rFonts w:hint="eastAsia" w:hAnsi="宋体"/>
          <w:color w:val="auto"/>
          <w:sz w:val="28"/>
          <w:lang w:eastAsia="zh-CN"/>
        </w:rPr>
        <w:t>第二层</w:t>
      </w:r>
      <w:r>
        <w:rPr>
          <w:rFonts w:hint="eastAsia" w:hAnsi="宋体"/>
          <w:color w:val="auto"/>
          <w:sz w:val="28"/>
        </w:rPr>
        <w:t>已对外出租，但由于估价委托人未提供《房屋租赁合同》，其租赁期限、租金等不详。</w:t>
      </w:r>
    </w:p>
    <w:p>
      <w:pPr>
        <w:pStyle w:val="24"/>
        <w:pageBreakBefore w:val="0"/>
        <w:widowControl w:val="0"/>
        <w:kinsoku/>
        <w:wordWrap/>
        <w:overflowPunct/>
        <w:topLinePunct w:val="0"/>
        <w:autoSpaceDE/>
        <w:autoSpaceDN/>
        <w:bidi w:val="0"/>
        <w:adjustRightInd/>
        <w:snapToGrid/>
        <w:spacing w:line="480" w:lineRule="exact"/>
        <w:ind w:firstLine="536" w:firstLineChars="200"/>
        <w:textAlignment w:val="auto"/>
        <w:rPr>
          <w:rFonts w:hAnsi="宋体"/>
          <w:color w:val="auto"/>
          <w:spacing w:val="-6"/>
          <w:sz w:val="28"/>
          <w:szCs w:val="28"/>
        </w:rPr>
      </w:pPr>
      <w:r>
        <w:rPr>
          <w:rFonts w:hint="eastAsia" w:hAnsi="宋体"/>
          <w:color w:val="auto"/>
          <w:spacing w:val="-6"/>
          <w:sz w:val="28"/>
          <w:szCs w:val="28"/>
        </w:rPr>
        <w:t>（</w:t>
      </w:r>
      <w:r>
        <w:rPr>
          <w:rFonts w:hint="eastAsia" w:hAnsi="宋体"/>
          <w:color w:val="auto"/>
          <w:spacing w:val="-6"/>
          <w:sz w:val="28"/>
          <w:szCs w:val="28"/>
          <w:lang w:val="en-US" w:eastAsia="zh-CN"/>
        </w:rPr>
        <w:t>6</w:t>
      </w:r>
      <w:r>
        <w:rPr>
          <w:rFonts w:hint="eastAsia" w:hAnsi="宋体"/>
          <w:color w:val="auto"/>
          <w:spacing w:val="-6"/>
          <w:sz w:val="28"/>
          <w:szCs w:val="28"/>
        </w:rPr>
        <w:t>）拖欠税费情况：</w:t>
      </w:r>
      <w:r>
        <w:rPr>
          <w:rFonts w:hint="eastAsia" w:hAnsi="宋体"/>
          <w:color w:val="auto"/>
          <w:spacing w:val="-6"/>
          <w:sz w:val="28"/>
          <w:szCs w:val="28"/>
          <w:lang w:eastAsia="zh-CN"/>
        </w:rPr>
        <w:t>至价值时点，</w:t>
      </w:r>
      <w:r>
        <w:rPr>
          <w:rFonts w:hint="eastAsia" w:asciiTheme="minorEastAsia" w:hAnsiTheme="minorEastAsia" w:cstheme="minorEastAsia"/>
          <w:color w:val="auto"/>
          <w:spacing w:val="-6"/>
          <w:sz w:val="28"/>
          <w:szCs w:val="28"/>
          <w:lang w:val="en-US" w:eastAsia="zh-CN"/>
        </w:rPr>
        <w:t>估价委托人提供了估价对象的《不动产权证书》，但未提供估价对象房地产应缴纳的相应税费票据，估价人员无法核实其是否拖欠相应税费</w:t>
      </w:r>
      <w:r>
        <w:rPr>
          <w:rFonts w:hint="eastAsia" w:hAnsi="宋体"/>
          <w:color w:val="auto"/>
          <w:spacing w:val="-6"/>
          <w:sz w:val="28"/>
          <w:szCs w:val="28"/>
        </w:rPr>
        <w:t>。</w:t>
      </w:r>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7</w:t>
      </w:r>
      <w:r>
        <w:rPr>
          <w:rFonts w:hint="eastAsia" w:hAnsi="宋体"/>
          <w:color w:val="auto"/>
          <w:sz w:val="28"/>
          <w:szCs w:val="28"/>
        </w:rPr>
        <w:t>）查封等形式限制情况：</w:t>
      </w:r>
      <w:r>
        <w:rPr>
          <w:rFonts w:hint="eastAsia" w:hAnsi="宋体"/>
          <w:color w:val="auto"/>
          <w:sz w:val="28"/>
          <w:szCs w:val="28"/>
          <w:lang w:val="en-US" w:eastAsia="zh-CN"/>
        </w:rPr>
        <w:t>根据估价委托人提供的</w:t>
      </w:r>
      <w:r>
        <w:rPr>
          <w:rFonts w:hint="eastAsia" w:hAnsi="宋体"/>
          <w:color w:val="auto"/>
          <w:sz w:val="28"/>
          <w:szCs w:val="22"/>
          <w:lang w:eastAsia="zh-CN"/>
        </w:rPr>
        <w:t>《不动产登记信息》复印件记载：</w:t>
      </w:r>
      <w:r>
        <w:rPr>
          <w:rFonts w:hint="eastAsia" w:hAnsi="宋体"/>
          <w:color w:val="auto"/>
          <w:sz w:val="28"/>
          <w:szCs w:val="28"/>
          <w:lang w:val="en-US" w:eastAsia="zh-CN"/>
        </w:rPr>
        <w:t>“是否查封：已查封；查封文号：（2021）鄂1202执保276号；查封期限：2021年08月23日-2024年08月22日；查封登记时间：2021年08月23日17:33:07；查封机关：咸安区人民法院。”根据</w:t>
      </w:r>
      <w:r>
        <w:rPr>
          <w:rFonts w:hint="eastAsia" w:hAnsi="宋体"/>
          <w:color w:val="auto"/>
          <w:sz w:val="28"/>
          <w:szCs w:val="22"/>
          <w:lang w:eastAsia="zh-CN"/>
        </w:rPr>
        <w:t>估价委托人</w:t>
      </w:r>
      <w:r>
        <w:rPr>
          <w:rFonts w:hint="eastAsia" w:hAnsi="宋体"/>
          <w:color w:val="auto"/>
          <w:sz w:val="28"/>
          <w:szCs w:val="28"/>
          <w:lang w:val="en-US" w:eastAsia="zh-CN"/>
        </w:rPr>
        <w:t>告知，至价值时点，估价对象已被查封，但估价委托人未提供估价对象具体的查封资料，</w:t>
      </w:r>
      <w:r>
        <w:rPr>
          <w:rFonts w:hint="eastAsia" w:hAnsi="宋体"/>
          <w:color w:val="auto"/>
          <w:spacing w:val="0"/>
          <w:sz w:val="28"/>
          <w:szCs w:val="28"/>
        </w:rPr>
        <w:t>与查封相关的财产内容等不详。</w:t>
      </w:r>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8</w:t>
      </w:r>
      <w:r>
        <w:rPr>
          <w:rFonts w:hint="eastAsia" w:hAnsi="宋体"/>
          <w:color w:val="auto"/>
          <w:sz w:val="28"/>
          <w:szCs w:val="28"/>
        </w:rPr>
        <w:t>）权属清晰情况：</w:t>
      </w:r>
      <w:r>
        <w:rPr>
          <w:rFonts w:hint="eastAsia" w:hAnsi="宋体"/>
          <w:color w:val="auto"/>
          <w:sz w:val="28"/>
          <w:szCs w:val="28"/>
          <w:lang w:eastAsia="zh-CN"/>
        </w:rPr>
        <w:t>估价对象已办理</w:t>
      </w:r>
      <w:r>
        <w:rPr>
          <w:rFonts w:hint="eastAsia" w:asciiTheme="minorEastAsia" w:hAnsiTheme="minorEastAsia" w:cstheme="minorEastAsia"/>
          <w:color w:val="auto"/>
          <w:spacing w:val="-6"/>
          <w:sz w:val="28"/>
          <w:szCs w:val="28"/>
          <w:lang w:val="en-US" w:eastAsia="zh-CN"/>
        </w:rPr>
        <w:t>《不动产权证书》，证件齐全，</w:t>
      </w:r>
      <w:r>
        <w:rPr>
          <w:rFonts w:hint="eastAsia" w:hAnsi="宋体"/>
          <w:color w:val="auto"/>
          <w:sz w:val="28"/>
          <w:szCs w:val="28"/>
        </w:rPr>
        <w:t>权属清晰。</w:t>
      </w:r>
    </w:p>
    <w:bookmarkEnd w:id="34"/>
    <w:bookmarkEnd w:id="35"/>
    <w:bookmarkEnd w:id="43"/>
    <w:bookmarkEnd w:id="44"/>
    <w:bookmarkEnd w:id="45"/>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46" w:name="_Toc502648996"/>
      <w:bookmarkStart w:id="47" w:name="_Toc501988811"/>
      <w:bookmarkStart w:id="48" w:name="_Toc14353"/>
      <w:bookmarkStart w:id="49" w:name="_Toc286928480"/>
      <w:bookmarkStart w:id="50" w:name="_Toc415840304"/>
      <w:bookmarkStart w:id="51" w:name="_Toc156031645"/>
      <w:bookmarkStart w:id="52" w:name="_Toc286928481"/>
      <w:r>
        <w:rPr>
          <w:rFonts w:hint="eastAsia" w:ascii="宋体" w:hAnsi="宋体"/>
          <w:color w:val="auto"/>
          <w:sz w:val="28"/>
          <w:szCs w:val="28"/>
        </w:rPr>
        <w:t>五、价值时点</w:t>
      </w:r>
      <w:bookmarkEnd w:id="46"/>
      <w:bookmarkEnd w:id="47"/>
      <w:bookmarkEnd w:id="48"/>
    </w:p>
    <w:p>
      <w:pPr>
        <w:pStyle w:val="24"/>
        <w:pageBreakBefore w:val="0"/>
        <w:widowControl w:val="0"/>
        <w:kinsoku/>
        <w:wordWrap/>
        <w:overflowPunct/>
        <w:topLinePunct w:val="0"/>
        <w:autoSpaceDE/>
        <w:autoSpaceDN/>
        <w:bidi w:val="0"/>
        <w:adjustRightInd/>
        <w:snapToGrid/>
        <w:spacing w:line="480" w:lineRule="exact"/>
        <w:ind w:left="-2" w:leftChars="-1" w:firstLine="467" w:firstLineChars="167"/>
        <w:textAlignment w:val="auto"/>
        <w:rPr>
          <w:rFonts w:hAnsi="宋体"/>
          <w:color w:val="auto"/>
          <w:sz w:val="28"/>
          <w:szCs w:val="28"/>
        </w:rPr>
      </w:pPr>
      <w:r>
        <w:rPr>
          <w:rFonts w:hint="eastAsia" w:hAnsi="宋体"/>
          <w:color w:val="auto"/>
          <w:sz w:val="28"/>
          <w:szCs w:val="28"/>
        </w:rPr>
        <w:t>根据估价委托人提供的</w:t>
      </w:r>
      <w:r>
        <w:rPr>
          <w:rFonts w:hint="eastAsia" w:hAnsi="宋体"/>
          <w:color w:val="auto"/>
          <w:sz w:val="28"/>
          <w:lang w:eastAsia="zh-CN"/>
        </w:rPr>
        <w:t>《湖北省咸宁市咸安区人民法院司法评估委托书》[（2022）鄂1202司评（执）10号]</w:t>
      </w:r>
      <w:r>
        <w:rPr>
          <w:rFonts w:hint="eastAsia" w:hAnsi="宋体"/>
          <w:color w:val="auto"/>
          <w:sz w:val="28"/>
          <w:szCs w:val="28"/>
        </w:rPr>
        <w:t>委托日期为</w:t>
      </w:r>
      <w:r>
        <w:rPr>
          <w:rFonts w:hint="eastAsia" w:hAnsi="宋体"/>
          <w:color w:val="auto"/>
          <w:sz w:val="28"/>
          <w:szCs w:val="28"/>
          <w:lang w:eastAsia="zh-CN"/>
        </w:rPr>
        <w:t>2022年2月21日</w:t>
      </w:r>
      <w:r>
        <w:rPr>
          <w:rFonts w:hint="eastAsia" w:hAnsi="宋体"/>
          <w:color w:val="auto"/>
          <w:sz w:val="28"/>
          <w:szCs w:val="28"/>
        </w:rPr>
        <w:t>，本次评估，价值时点设定为委托日期</w:t>
      </w:r>
      <w:r>
        <w:rPr>
          <w:rFonts w:hint="eastAsia" w:hAnsi="宋体"/>
          <w:color w:val="auto"/>
          <w:sz w:val="28"/>
          <w:szCs w:val="28"/>
          <w:lang w:eastAsia="zh-CN"/>
        </w:rPr>
        <w:t>2022年2月21日</w:t>
      </w:r>
      <w:r>
        <w:rPr>
          <w:rFonts w:hint="eastAsia" w:hAnsi="宋体"/>
          <w:color w:val="auto"/>
          <w:sz w:val="28"/>
          <w:szCs w:val="28"/>
        </w:rPr>
        <w:t>。</w:t>
      </w:r>
    </w:p>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53" w:name="_Toc286928477"/>
      <w:bookmarkStart w:id="54" w:name="_Toc156031641"/>
      <w:bookmarkStart w:id="55" w:name="_Toc274917917"/>
      <w:bookmarkStart w:id="56" w:name="_Toc415840301"/>
      <w:bookmarkStart w:id="57" w:name="_Toc502648997"/>
      <w:bookmarkStart w:id="58" w:name="_Toc501988812"/>
      <w:bookmarkStart w:id="59" w:name="_Toc5660"/>
      <w:r>
        <w:rPr>
          <w:rFonts w:hint="eastAsia" w:ascii="宋体" w:hAnsi="宋体"/>
          <w:color w:val="auto"/>
          <w:sz w:val="28"/>
          <w:szCs w:val="28"/>
        </w:rPr>
        <w:t>六、价值</w:t>
      </w:r>
      <w:bookmarkEnd w:id="53"/>
      <w:bookmarkEnd w:id="54"/>
      <w:bookmarkEnd w:id="55"/>
      <w:r>
        <w:rPr>
          <w:rFonts w:hint="eastAsia" w:ascii="宋体" w:hAnsi="宋体"/>
          <w:color w:val="auto"/>
          <w:sz w:val="28"/>
          <w:szCs w:val="28"/>
        </w:rPr>
        <w:t>类型</w:t>
      </w:r>
      <w:bookmarkEnd w:id="56"/>
      <w:bookmarkEnd w:id="57"/>
      <w:bookmarkEnd w:id="58"/>
      <w:bookmarkEnd w:id="59"/>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bookmarkStart w:id="60" w:name="_Toc415840303"/>
      <w:r>
        <w:rPr>
          <w:rFonts w:hint="eastAsia" w:hAnsi="宋体"/>
          <w:color w:val="auto"/>
          <w:sz w:val="28"/>
          <w:szCs w:val="28"/>
        </w:rPr>
        <w:t>估价对象房地产的市场价值。</w:t>
      </w:r>
    </w:p>
    <w:p>
      <w:pPr>
        <w:pStyle w:val="24"/>
        <w:pageBreakBefore w:val="0"/>
        <w:widowControl w:val="0"/>
        <w:kinsoku/>
        <w:wordWrap/>
        <w:overflowPunct/>
        <w:topLinePunct w:val="0"/>
        <w:autoSpaceDE/>
        <w:autoSpaceDN/>
        <w:bidi w:val="0"/>
        <w:adjustRightInd/>
        <w:snapToGrid/>
        <w:spacing w:line="480" w:lineRule="exact"/>
        <w:ind w:firstLine="560"/>
        <w:textAlignment w:val="auto"/>
        <w:rPr>
          <w:rFonts w:hAnsi="宋体"/>
          <w:color w:val="auto"/>
          <w:sz w:val="28"/>
          <w:szCs w:val="28"/>
        </w:rPr>
      </w:pPr>
      <w:r>
        <w:rPr>
          <w:rFonts w:hint="eastAsia" w:hAnsi="宋体"/>
          <w:color w:val="auto"/>
          <w:spacing w:val="-6"/>
          <w:sz w:val="28"/>
          <w:szCs w:val="28"/>
        </w:rPr>
        <w:t>市场价值是指估价对象经适当营销后，由熟悉情况、谨慎行事且不受强迫的交易双方，以公平交易方式在价值时点自愿进行交易的金额</w:t>
      </w:r>
      <w:r>
        <w:rPr>
          <w:rFonts w:hAnsi="宋体"/>
          <w:color w:val="auto"/>
          <w:spacing w:val="-6"/>
          <w:sz w:val="28"/>
          <w:szCs w:val="28"/>
        </w:rPr>
        <w:t>。</w:t>
      </w:r>
    </w:p>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61" w:name="_Toc502648998"/>
      <w:bookmarkStart w:id="62" w:name="_Toc501988813"/>
      <w:bookmarkStart w:id="63" w:name="_Toc19574"/>
      <w:r>
        <w:rPr>
          <w:rFonts w:hint="eastAsia" w:ascii="宋体" w:hAnsi="宋体"/>
          <w:color w:val="auto"/>
          <w:sz w:val="28"/>
          <w:szCs w:val="28"/>
        </w:rPr>
        <w:t>七、估价原则</w:t>
      </w:r>
      <w:bookmarkEnd w:id="60"/>
      <w:bookmarkEnd w:id="61"/>
      <w:bookmarkEnd w:id="62"/>
      <w:bookmarkEnd w:id="63"/>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Ansi="宋体"/>
          <w:color w:val="auto"/>
          <w:sz w:val="28"/>
          <w:szCs w:val="28"/>
        </w:rPr>
        <w:t>1、独立、客观、公正原则。要求站在中立的立场上，</w:t>
      </w:r>
      <w:r>
        <w:rPr>
          <w:rFonts w:hint="eastAsia" w:hAnsi="宋体"/>
          <w:color w:val="auto"/>
          <w:sz w:val="28"/>
          <w:szCs w:val="28"/>
        </w:rPr>
        <w:t>实事求是、公平正直地</w:t>
      </w:r>
      <w:r>
        <w:rPr>
          <w:rFonts w:hAnsi="宋体"/>
          <w:color w:val="auto"/>
          <w:sz w:val="28"/>
          <w:szCs w:val="28"/>
        </w:rPr>
        <w:t>评估出对各方</w:t>
      </w:r>
      <w:r>
        <w:rPr>
          <w:rFonts w:hint="eastAsia" w:hAnsi="宋体"/>
          <w:color w:val="auto"/>
          <w:sz w:val="28"/>
          <w:szCs w:val="28"/>
        </w:rPr>
        <w:t>估价利害关系人均</w:t>
      </w:r>
      <w:r>
        <w:rPr>
          <w:rFonts w:hAnsi="宋体"/>
          <w:color w:val="auto"/>
          <w:sz w:val="28"/>
          <w:szCs w:val="28"/>
        </w:rPr>
        <w:t>是公平合理的价值</w:t>
      </w:r>
      <w:r>
        <w:rPr>
          <w:rFonts w:hint="eastAsia" w:hAnsi="宋体"/>
          <w:color w:val="auto"/>
          <w:sz w:val="28"/>
          <w:szCs w:val="28"/>
        </w:rPr>
        <w:t>或价格的原则</w:t>
      </w:r>
      <w:r>
        <w:rPr>
          <w:rFonts w:hAnsi="宋体"/>
          <w:color w:val="auto"/>
          <w:sz w:val="28"/>
          <w:szCs w:val="28"/>
        </w:rPr>
        <w:t>。</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Ansi="宋体"/>
          <w:color w:val="auto"/>
          <w:sz w:val="28"/>
          <w:szCs w:val="28"/>
        </w:rPr>
        <w:t>2、合法原则。</w:t>
      </w:r>
      <w:r>
        <w:rPr>
          <w:rFonts w:hint="eastAsia" w:hAnsi="宋体"/>
          <w:color w:val="auto"/>
          <w:sz w:val="28"/>
          <w:szCs w:val="28"/>
        </w:rPr>
        <w:t>要求估价结果是在依法判定的估价对象状况下的价值或价格的原则。</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int="eastAsia" w:hAnsi="宋体"/>
          <w:color w:val="auto"/>
          <w:sz w:val="28"/>
          <w:szCs w:val="28"/>
        </w:rPr>
        <w:t>3、价值时点原则：要求估价结果是在根据估价目的确定的某一特定时间的价值或价格的原则。</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int="eastAsia" w:hAnsi="宋体"/>
          <w:color w:val="auto"/>
          <w:sz w:val="28"/>
          <w:szCs w:val="28"/>
        </w:rPr>
        <w:t>4、替代原则：要求估价结果与估价对象的类似房地产在同等条件下的价值或价格偏差在合理范围内的原则。</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int="eastAsia" w:hAnsi="宋体"/>
          <w:color w:val="auto"/>
          <w:sz w:val="28"/>
          <w:szCs w:val="28"/>
        </w:rPr>
        <w:t>5、最高最佳利用原则：要求估价结果是在估价对象最高最佳利用状况下的价值或价格的原则。所谓“最高最佳利用”，是指法律上允许、技术上可能、财务上可行并使价值最大的合理、可能的利用，包括最佳的用途、规模、档次等。</w:t>
      </w:r>
    </w:p>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64" w:name="_Toc286928478"/>
      <w:bookmarkStart w:id="65" w:name="_Toc502648999"/>
      <w:bookmarkStart w:id="66" w:name="_Toc415840302"/>
      <w:bookmarkStart w:id="67" w:name="_Toc501988814"/>
      <w:bookmarkStart w:id="68" w:name="_Toc14187"/>
      <w:r>
        <w:rPr>
          <w:rFonts w:hint="eastAsia" w:ascii="宋体" w:hAnsi="宋体"/>
          <w:color w:val="auto"/>
          <w:sz w:val="28"/>
          <w:szCs w:val="28"/>
        </w:rPr>
        <w:t>八、估价依据</w:t>
      </w:r>
      <w:bookmarkEnd w:id="64"/>
      <w:bookmarkEnd w:id="65"/>
      <w:bookmarkEnd w:id="66"/>
      <w:bookmarkEnd w:id="67"/>
      <w:bookmarkEnd w:id="68"/>
      <w:r>
        <w:rPr>
          <w:rFonts w:hint="eastAsia" w:ascii="宋体" w:hAnsi="宋体"/>
          <w:color w:val="auto"/>
          <w:sz w:val="28"/>
          <w:szCs w:val="28"/>
        </w:rPr>
        <w:t xml:space="preserve"> </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b/>
          <w:color w:val="auto"/>
          <w:sz w:val="28"/>
          <w:szCs w:val="28"/>
        </w:rPr>
      </w:pPr>
      <w:bookmarkStart w:id="69" w:name="_Toc156031643"/>
      <w:bookmarkStart w:id="70" w:name="_Toc286928479"/>
      <w:bookmarkStart w:id="71" w:name="_Toc274917919"/>
      <w:r>
        <w:rPr>
          <w:rFonts w:hAnsi="宋体"/>
          <w:b/>
          <w:color w:val="auto"/>
          <w:sz w:val="28"/>
          <w:szCs w:val="28"/>
        </w:rPr>
        <w:t>(一) 国家有关部门颁布的法律法规及相关文件</w:t>
      </w:r>
    </w:p>
    <w:bookmarkEnd w:id="69"/>
    <w:bookmarkEnd w:id="70"/>
    <w:bookmarkEnd w:id="71"/>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default" w:hAnsi="宋体"/>
          <w:color w:val="auto"/>
          <w:spacing w:val="0"/>
          <w:sz w:val="28"/>
          <w:szCs w:val="28"/>
          <w:lang w:val="en-US" w:eastAsia="zh-CN"/>
        </w:rPr>
        <w:t>《中华人民共和国民法典》（中华人民共和国主席令第四十五号，2020年5月28日第十三届全国人民代表大会第三次会议通过，自2021年1月1日起施行）</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Ansi="宋体"/>
          <w:color w:val="auto"/>
          <w:spacing w:val="0"/>
          <w:sz w:val="28"/>
          <w:szCs w:val="28"/>
        </w:rPr>
        <w:t>《中华人民共和国城市房地产管理法》（</w:t>
      </w:r>
      <w:r>
        <w:rPr>
          <w:rFonts w:hint="eastAsia" w:hAnsi="宋体"/>
          <w:color w:val="auto"/>
          <w:spacing w:val="0"/>
          <w:sz w:val="28"/>
          <w:szCs w:val="28"/>
          <w:lang w:val="en-US" w:eastAsia="zh-CN"/>
        </w:rPr>
        <w:t>2019 年 8 月 26 日第十三届全国人民代表大会常务委员会第十二次会议修订通过，2020 年 1 月 1 日起施行</w:t>
      </w:r>
      <w:r>
        <w:rPr>
          <w:rFonts w:hAnsi="宋体"/>
          <w:color w:val="auto"/>
          <w:spacing w:val="0"/>
          <w:sz w:val="28"/>
          <w:szCs w:val="28"/>
        </w:rPr>
        <w:t>）</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Ansi="宋体"/>
          <w:color w:val="auto"/>
          <w:spacing w:val="0"/>
          <w:sz w:val="28"/>
          <w:szCs w:val="28"/>
        </w:rPr>
        <w:t>《中华人民共和国土地管理法》（</w:t>
      </w:r>
      <w:r>
        <w:rPr>
          <w:rFonts w:hint="eastAsia" w:hAnsi="宋体"/>
          <w:color w:val="auto"/>
          <w:spacing w:val="0"/>
          <w:sz w:val="28"/>
          <w:szCs w:val="28"/>
          <w:lang w:val="en-US" w:eastAsia="zh-CN"/>
        </w:rPr>
        <w:t>2019 年 8 月 26 日第十三届全国人民代表大会常务委员会第十二次会议修订通过，2020 年 1 月 1 日起施行</w:t>
      </w:r>
      <w:r>
        <w:rPr>
          <w:rFonts w:hAnsi="宋体"/>
          <w:color w:val="auto"/>
          <w:spacing w:val="0"/>
          <w:sz w:val="28"/>
          <w:szCs w:val="28"/>
        </w:rPr>
        <w:t>）</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Ansi="宋体"/>
          <w:color w:val="auto"/>
          <w:spacing w:val="0"/>
          <w:sz w:val="28"/>
          <w:szCs w:val="28"/>
        </w:rPr>
        <w:t>《中华人民共和国土地管理法实施条例》</w:t>
      </w:r>
      <w:r>
        <w:rPr>
          <w:rFonts w:hint="eastAsia" w:hAnsi="宋体"/>
          <w:color w:val="auto"/>
          <w:spacing w:val="0"/>
          <w:sz w:val="28"/>
          <w:szCs w:val="28"/>
          <w:lang w:eastAsia="zh-CN"/>
        </w:rPr>
        <w:t>（</w:t>
      </w:r>
      <w:r>
        <w:rPr>
          <w:rFonts w:hAnsi="宋体"/>
          <w:color w:val="auto"/>
          <w:spacing w:val="0"/>
          <w:sz w:val="28"/>
          <w:szCs w:val="28"/>
        </w:rPr>
        <w:t>2021年7月2日中华人民共和国国务院令第743号第三次修订</w:t>
      </w:r>
      <w:r>
        <w:rPr>
          <w:rFonts w:hint="eastAsia" w:hAnsi="宋体"/>
          <w:color w:val="auto"/>
          <w:spacing w:val="0"/>
          <w:sz w:val="28"/>
          <w:szCs w:val="28"/>
          <w:lang w:eastAsia="zh-CN"/>
        </w:rPr>
        <w:t>通过，</w:t>
      </w:r>
      <w:r>
        <w:rPr>
          <w:rFonts w:hAnsi="宋体"/>
          <w:color w:val="auto"/>
          <w:spacing w:val="0"/>
          <w:sz w:val="28"/>
          <w:szCs w:val="28"/>
        </w:rPr>
        <w:t>自2021年9月1日起施行</w:t>
      </w:r>
      <w:r>
        <w:rPr>
          <w:rFonts w:hint="eastAsia" w:hAnsi="宋体"/>
          <w:color w:val="auto"/>
          <w:spacing w:val="0"/>
          <w:sz w:val="28"/>
          <w:szCs w:val="28"/>
          <w:lang w:eastAsia="zh-CN"/>
        </w:rPr>
        <w:t>）</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《中华人民共和国资产评估法》（2016年7月2日第十二届全国人民代表大会常务委员会第二十一次会议通过，自2016年12月1日起施行）</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《最高人民法院关于修改关于民事诉讼证据的若干规定的决定》（法释[2019]19号）（自2020年5月1日起施）</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《最高人民法院关于人民法院确定财产处置参考价若干问题的规定》（法释[2018]15号）</w:t>
      </w:r>
    </w:p>
    <w:p>
      <w:pPr>
        <w:pStyle w:val="24"/>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《关于印发〈人民法院委托评估工作规范〉的通知》（法办[2018]273号）</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int="eastAsia" w:hAnsi="宋体"/>
          <w:b/>
          <w:color w:val="auto"/>
          <w:spacing w:val="0"/>
          <w:sz w:val="28"/>
          <w:szCs w:val="28"/>
        </w:rPr>
      </w:pPr>
      <w:r>
        <w:rPr>
          <w:rFonts w:hAnsi="宋体"/>
          <w:b/>
          <w:color w:val="auto"/>
          <w:spacing w:val="0"/>
          <w:sz w:val="28"/>
          <w:szCs w:val="28"/>
        </w:rPr>
        <w:t>（</w:t>
      </w:r>
      <w:r>
        <w:rPr>
          <w:rFonts w:hint="eastAsia" w:hAnsi="宋体"/>
          <w:b/>
          <w:color w:val="auto"/>
          <w:spacing w:val="0"/>
          <w:sz w:val="28"/>
          <w:szCs w:val="28"/>
        </w:rPr>
        <w:t>二</w:t>
      </w:r>
      <w:r>
        <w:rPr>
          <w:rFonts w:hAnsi="宋体"/>
          <w:b/>
          <w:color w:val="auto"/>
          <w:spacing w:val="0"/>
          <w:sz w:val="28"/>
          <w:szCs w:val="28"/>
        </w:rPr>
        <w:t>）估价技术</w:t>
      </w:r>
      <w:r>
        <w:rPr>
          <w:rFonts w:hint="eastAsia" w:hAnsi="宋体"/>
          <w:b/>
          <w:color w:val="auto"/>
          <w:spacing w:val="0"/>
          <w:sz w:val="28"/>
          <w:szCs w:val="28"/>
        </w:rPr>
        <w:t>依据</w:t>
      </w:r>
    </w:p>
    <w:p>
      <w:pPr>
        <w:pStyle w:val="24"/>
        <w:pageBreakBefore w:val="0"/>
        <w:widowControl w:val="0"/>
        <w:numPr>
          <w:ilvl w:val="0"/>
          <w:numId w:val="3"/>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中华人民共和国国家标准《房地产估价规范》（GB/T 50291-2015，自2015年12月1日起实施）</w:t>
      </w:r>
    </w:p>
    <w:p>
      <w:pPr>
        <w:pStyle w:val="24"/>
        <w:pageBreakBefore w:val="0"/>
        <w:widowControl w:val="0"/>
        <w:numPr>
          <w:ilvl w:val="0"/>
          <w:numId w:val="3"/>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中华人民共和国国家标准《房地产估价基本术语标准》（GB/T 50899-2013，自2014年2月1日起实施）</w:t>
      </w:r>
    </w:p>
    <w:p>
      <w:pPr>
        <w:pStyle w:val="24"/>
        <w:pageBreakBefore w:val="0"/>
        <w:widowControl w:val="0"/>
        <w:numPr>
          <w:ilvl w:val="0"/>
          <w:numId w:val="3"/>
        </w:numPr>
        <w:kinsoku/>
        <w:wordWrap/>
        <w:overflowPunct/>
        <w:topLinePunct w:val="0"/>
        <w:autoSpaceDE/>
        <w:autoSpaceDN/>
        <w:bidi w:val="0"/>
        <w:adjustRightInd/>
        <w:snapToGrid/>
        <w:spacing w:line="480" w:lineRule="exact"/>
        <w:textAlignment w:val="auto"/>
        <w:rPr>
          <w:rFonts w:hint="eastAsia" w:hAnsi="宋体"/>
          <w:color w:val="auto"/>
          <w:spacing w:val="0"/>
          <w:sz w:val="28"/>
          <w:szCs w:val="28"/>
          <w:lang w:val="en-US" w:eastAsia="zh-CN"/>
        </w:rPr>
      </w:pPr>
      <w:r>
        <w:rPr>
          <w:rFonts w:hint="eastAsia" w:hAnsi="宋体"/>
          <w:color w:val="auto"/>
          <w:spacing w:val="0"/>
          <w:sz w:val="28"/>
          <w:szCs w:val="28"/>
          <w:lang w:val="en-US" w:eastAsia="zh-CN"/>
        </w:rPr>
        <w:t>《房屋完损等级评定标准》（城住字（1984）第678号）</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b/>
          <w:color w:val="auto"/>
          <w:sz w:val="28"/>
          <w:szCs w:val="28"/>
        </w:rPr>
      </w:pPr>
      <w:r>
        <w:rPr>
          <w:rFonts w:hint="eastAsia" w:hAnsi="宋体"/>
          <w:b/>
          <w:color w:val="auto"/>
          <w:sz w:val="28"/>
          <w:szCs w:val="28"/>
        </w:rPr>
        <w:t>（三）估价委托人提供的有关资料</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int="eastAsia" w:hAnsi="宋体" w:eastAsia="宋体"/>
          <w:color w:val="auto"/>
          <w:sz w:val="28"/>
          <w:lang w:eastAsia="zh-CN"/>
        </w:rPr>
      </w:pPr>
      <w:r>
        <w:rPr>
          <w:rFonts w:hint="eastAsia" w:hAnsi="宋体"/>
          <w:color w:val="auto"/>
          <w:sz w:val="28"/>
        </w:rPr>
        <w:t>1、</w:t>
      </w:r>
      <w:r>
        <w:rPr>
          <w:rFonts w:hint="eastAsia" w:hAnsi="宋体"/>
          <w:color w:val="auto"/>
          <w:sz w:val="28"/>
          <w:lang w:eastAsia="zh-CN"/>
        </w:rPr>
        <w:t>《湖北省咸宁市咸安区人民法院司法评估委托书》[（2022）鄂1202司评（执）10号]</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int="eastAsia" w:hAnsi="宋体"/>
          <w:color w:val="auto"/>
          <w:sz w:val="28"/>
        </w:rPr>
      </w:pPr>
      <w:r>
        <w:rPr>
          <w:rFonts w:hint="eastAsia" w:hAnsi="宋体"/>
          <w:color w:val="auto"/>
          <w:sz w:val="28"/>
        </w:rPr>
        <w:t>2、</w:t>
      </w:r>
      <w:r>
        <w:rPr>
          <w:rFonts w:hint="eastAsia" w:hAnsi="宋体"/>
          <w:color w:val="auto"/>
          <w:sz w:val="28"/>
          <w:lang w:eastAsia="zh-CN"/>
        </w:rPr>
        <w:t>《不动产权证书》[证号：鄂（2019）咸安区不动产权第0016109号]</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int="eastAsia" w:hAnsi="宋体"/>
          <w:color w:val="auto"/>
          <w:sz w:val="28"/>
        </w:rPr>
      </w:pPr>
      <w:r>
        <w:rPr>
          <w:rFonts w:hint="eastAsia" w:hAnsi="宋体"/>
          <w:color w:val="auto"/>
          <w:sz w:val="28"/>
          <w:lang w:val="en-US" w:eastAsia="zh-CN"/>
        </w:rPr>
        <w:t>3</w:t>
      </w:r>
      <w:r>
        <w:rPr>
          <w:rFonts w:hint="eastAsia" w:hAnsi="宋体"/>
          <w:color w:val="auto"/>
          <w:sz w:val="28"/>
        </w:rPr>
        <w:t>、</w:t>
      </w:r>
      <w:r>
        <w:rPr>
          <w:rFonts w:hint="eastAsia" w:hAnsi="宋体"/>
          <w:color w:val="auto"/>
          <w:sz w:val="28"/>
          <w:lang w:eastAsia="zh-CN"/>
        </w:rPr>
        <w:t>《不动产登记信息》</w:t>
      </w:r>
      <w:r>
        <w:rPr>
          <w:rFonts w:hint="eastAsia" w:hAnsi="宋体"/>
          <w:color w:val="auto"/>
          <w:sz w:val="28"/>
        </w:rPr>
        <w:t>复印件</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int="eastAsia" w:hAnsi="宋体"/>
          <w:color w:val="auto"/>
          <w:sz w:val="28"/>
          <w:lang w:val="en-US" w:eastAsia="zh-CN"/>
        </w:rPr>
        <w:t>4、</w:t>
      </w:r>
      <w:r>
        <w:rPr>
          <w:rFonts w:hAnsi="宋体"/>
          <w:color w:val="auto"/>
          <w:sz w:val="28"/>
          <w:szCs w:val="28"/>
        </w:rPr>
        <w:t>估价委托人提供的与本次估价相关</w:t>
      </w:r>
      <w:r>
        <w:rPr>
          <w:rFonts w:hint="eastAsia" w:hAnsi="宋体"/>
          <w:color w:val="auto"/>
          <w:sz w:val="28"/>
          <w:szCs w:val="28"/>
        </w:rPr>
        <w:t>的其他</w:t>
      </w:r>
      <w:r>
        <w:rPr>
          <w:rFonts w:hAnsi="宋体"/>
          <w:color w:val="auto"/>
          <w:sz w:val="28"/>
          <w:szCs w:val="28"/>
        </w:rPr>
        <w:t>资料</w:t>
      </w:r>
    </w:p>
    <w:p>
      <w:pPr>
        <w:pageBreakBefore w:val="0"/>
        <w:widowControl w:val="0"/>
        <w:kinsoku/>
        <w:wordWrap/>
        <w:overflowPunct/>
        <w:topLinePunct w:val="0"/>
        <w:autoSpaceDE/>
        <w:autoSpaceDN/>
        <w:bidi w:val="0"/>
        <w:adjustRightInd/>
        <w:snapToGrid/>
        <w:spacing w:line="480" w:lineRule="exact"/>
        <w:ind w:firstLine="567"/>
        <w:textAlignment w:val="auto"/>
        <w:rPr>
          <w:rFonts w:ascii="宋体" w:hAnsi="宋体"/>
          <w:b/>
          <w:color w:val="auto"/>
          <w:sz w:val="28"/>
          <w:szCs w:val="28"/>
        </w:rPr>
      </w:pPr>
      <w:r>
        <w:rPr>
          <w:rFonts w:ascii="宋体" w:hAnsi="宋体"/>
          <w:b/>
          <w:color w:val="auto"/>
          <w:sz w:val="28"/>
          <w:szCs w:val="28"/>
        </w:rPr>
        <w:t>（</w:t>
      </w:r>
      <w:r>
        <w:rPr>
          <w:rFonts w:hint="eastAsia" w:ascii="宋体" w:hAnsi="宋体"/>
          <w:b/>
          <w:color w:val="auto"/>
          <w:sz w:val="28"/>
          <w:szCs w:val="28"/>
        </w:rPr>
        <w:t>四</w:t>
      </w:r>
      <w:r>
        <w:rPr>
          <w:rFonts w:ascii="宋体" w:hAnsi="宋体"/>
          <w:b/>
          <w:color w:val="auto"/>
          <w:sz w:val="28"/>
          <w:szCs w:val="28"/>
        </w:rPr>
        <w:t>）</w:t>
      </w:r>
      <w:r>
        <w:rPr>
          <w:rFonts w:hint="eastAsia" w:ascii="宋体" w:hAnsi="宋体"/>
          <w:b/>
          <w:color w:val="auto"/>
          <w:sz w:val="28"/>
          <w:szCs w:val="28"/>
        </w:rPr>
        <w:t>房地产估价机构、注册房地产估价师掌握和搜集的估价所需资料</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Ansi="宋体"/>
          <w:color w:val="auto"/>
          <w:sz w:val="28"/>
          <w:szCs w:val="28"/>
        </w:rPr>
        <w:t>1、估价人员实地踏勘和调查收集的有关估价对象基础设施、建筑物状况、宗地条件等方面的资料</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Ansi="宋体"/>
          <w:color w:val="auto"/>
          <w:sz w:val="28"/>
          <w:szCs w:val="28"/>
        </w:rPr>
        <w:t>2、估价人员实地拍摄的估价对象现状照片</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Ansi="宋体"/>
          <w:color w:val="auto"/>
          <w:sz w:val="28"/>
          <w:szCs w:val="28"/>
        </w:rPr>
        <w:t>3、估价对象</w:t>
      </w:r>
      <w:r>
        <w:rPr>
          <w:rFonts w:hint="eastAsia" w:hAnsi="宋体"/>
          <w:color w:val="auto"/>
          <w:sz w:val="28"/>
          <w:szCs w:val="28"/>
        </w:rPr>
        <w:t>实地查勘</w:t>
      </w:r>
      <w:r>
        <w:rPr>
          <w:rFonts w:hAnsi="宋体"/>
          <w:color w:val="auto"/>
          <w:sz w:val="28"/>
          <w:szCs w:val="28"/>
        </w:rPr>
        <w:t>记录</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Ansi="宋体"/>
          <w:color w:val="auto"/>
          <w:sz w:val="28"/>
          <w:szCs w:val="28"/>
        </w:rPr>
        <w:t>4、本公司掌握的房地产市场信息和交易行情</w:t>
      </w:r>
    </w:p>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72" w:name="_Toc502649000"/>
      <w:bookmarkStart w:id="73" w:name="_Toc3630"/>
      <w:r>
        <w:rPr>
          <w:rFonts w:hint="eastAsia" w:ascii="宋体" w:hAnsi="宋体"/>
          <w:color w:val="auto"/>
          <w:sz w:val="28"/>
          <w:szCs w:val="28"/>
        </w:rPr>
        <w:t>九、估价方法</w:t>
      </w:r>
      <w:bookmarkEnd w:id="49"/>
      <w:bookmarkEnd w:id="50"/>
      <w:bookmarkEnd w:id="72"/>
      <w:bookmarkEnd w:id="73"/>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int="eastAsia" w:hAnsi="宋体"/>
          <w:color w:val="auto"/>
          <w:sz w:val="28"/>
          <w:szCs w:val="28"/>
        </w:rPr>
        <w:t>估价人员在认真分析所掌握的资料并对估价对象类似房地产进行实地查勘、调查后，根据估价对象的特点，遵照《房地产估价规范》（GB/T</w:t>
      </w:r>
      <w:r>
        <w:rPr>
          <w:rFonts w:hint="eastAsia" w:hAnsi="宋体"/>
          <w:color w:val="auto"/>
          <w:sz w:val="28"/>
          <w:szCs w:val="28"/>
          <w:lang w:val="en-US" w:eastAsia="zh-CN"/>
        </w:rPr>
        <w:t xml:space="preserve"> </w:t>
      </w:r>
      <w:r>
        <w:rPr>
          <w:rFonts w:hint="eastAsia" w:hAnsi="宋体"/>
          <w:color w:val="auto"/>
          <w:sz w:val="28"/>
          <w:szCs w:val="28"/>
        </w:rPr>
        <w:t>50291-2015）、《房地产估价基本术语标准》（GB/T</w:t>
      </w:r>
      <w:r>
        <w:rPr>
          <w:rFonts w:hint="eastAsia" w:hAnsi="宋体"/>
          <w:color w:val="auto"/>
          <w:sz w:val="28"/>
          <w:szCs w:val="28"/>
          <w:lang w:val="en-US" w:eastAsia="zh-CN"/>
        </w:rPr>
        <w:t xml:space="preserve"> </w:t>
      </w:r>
      <w:r>
        <w:rPr>
          <w:rFonts w:hint="eastAsia" w:hAnsi="宋体"/>
          <w:color w:val="auto"/>
          <w:sz w:val="28"/>
          <w:szCs w:val="28"/>
        </w:rPr>
        <w:t>50899-2013），经过反复研究，结合估价对象本身的特性，进行综合分析，决定对估价对象采用比较法进行评估。</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hAnsi="宋体"/>
          <w:color w:val="auto"/>
          <w:sz w:val="28"/>
          <w:szCs w:val="28"/>
        </w:rPr>
      </w:pPr>
      <w:r>
        <w:rPr>
          <w:rFonts w:hint="eastAsia" w:hAnsi="宋体"/>
          <w:color w:val="auto"/>
          <w:sz w:val="28"/>
          <w:szCs w:val="28"/>
        </w:rPr>
        <w:t xml:space="preserve">比较法,是通过市场调查，以在价值时点近期有过交易的类似房地产价格为参照，并对估价对象客观因素加以考虑，对参照价格进行修正，以此估算估价对象的客观合理价格或价值的方法。其公式为： </w:t>
      </w:r>
    </w:p>
    <w:p>
      <w:pPr>
        <w:pStyle w:val="24"/>
        <w:pageBreakBefore w:val="0"/>
        <w:widowControl w:val="0"/>
        <w:kinsoku/>
        <w:wordWrap/>
        <w:overflowPunct/>
        <w:topLinePunct w:val="0"/>
        <w:autoSpaceDE/>
        <w:autoSpaceDN/>
        <w:bidi w:val="0"/>
        <w:adjustRightInd/>
        <w:snapToGrid/>
        <w:spacing w:line="480" w:lineRule="exact"/>
        <w:ind w:firstLine="567"/>
        <w:textAlignment w:val="auto"/>
        <w:rPr>
          <w:rFonts w:ascii="宋体" w:hAnsi="宋体" w:eastAsia="宋体"/>
          <w:color w:val="auto"/>
        </w:rPr>
      </w:pPr>
      <w:r>
        <w:rPr>
          <w:rFonts w:hint="eastAsia" w:hAnsi="宋体"/>
          <w:color w:val="auto"/>
          <w:sz w:val="28"/>
          <w:szCs w:val="28"/>
        </w:rPr>
        <w:t>估价对象房地产价格＝可比实例价格×（估价对象交易情况指数/可比实例交易情况指数）×（估价对象估价期日房地产价格指数/可比实例估价期日房地产价格指数）×（估价对象区域因素条件指数/可比实例区域因素条件指数）×（估价对象个别因素条件指数/可比实例个别因素条件指数）</w:t>
      </w:r>
    </w:p>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74" w:name="_Toc502649001"/>
      <w:bookmarkStart w:id="75" w:name="_Toc15856"/>
      <w:r>
        <w:rPr>
          <w:rFonts w:hint="eastAsia" w:ascii="宋体" w:hAnsi="宋体"/>
          <w:color w:val="auto"/>
          <w:sz w:val="28"/>
          <w:szCs w:val="28"/>
        </w:rPr>
        <w:t>十、估价结果</w:t>
      </w:r>
      <w:bookmarkEnd w:id="51"/>
      <w:bookmarkEnd w:id="52"/>
      <w:bookmarkEnd w:id="74"/>
      <w:bookmarkEnd w:id="75"/>
    </w:p>
    <w:p>
      <w:pPr>
        <w:pStyle w:val="24"/>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hAnsi="宋体"/>
          <w:color w:val="auto"/>
          <w:spacing w:val="0"/>
          <w:sz w:val="28"/>
          <w:szCs w:val="28"/>
          <w:lang w:val="en-US" w:eastAsia="zh-CN"/>
        </w:rPr>
      </w:pPr>
      <w:r>
        <w:rPr>
          <w:rFonts w:hint="eastAsia" w:hAnsi="宋体"/>
          <w:color w:val="auto"/>
          <w:spacing w:val="0"/>
          <w:sz w:val="28"/>
          <w:szCs w:val="28"/>
        </w:rPr>
        <w:t>本公司根据估价目的，遵循估价原则，在详实研究现有资料和仔细分析影响估价对象价值的相关市场因素的基础上，选用比较</w:t>
      </w:r>
      <w:r>
        <w:rPr>
          <w:rFonts w:hAnsi="宋体"/>
          <w:color w:val="auto"/>
          <w:spacing w:val="0"/>
          <w:sz w:val="28"/>
          <w:szCs w:val="28"/>
        </w:rPr>
        <w:t>法</w:t>
      </w:r>
      <w:r>
        <w:rPr>
          <w:rFonts w:hint="eastAsia" w:hAnsi="宋体"/>
          <w:color w:val="auto"/>
          <w:spacing w:val="0"/>
          <w:sz w:val="28"/>
          <w:szCs w:val="28"/>
        </w:rPr>
        <w:t>进行了分析、测算和判断，并结合长期的估价实践经验，</w:t>
      </w:r>
      <w:r>
        <w:rPr>
          <w:rFonts w:hAnsi="宋体"/>
          <w:color w:val="auto"/>
          <w:spacing w:val="0"/>
          <w:sz w:val="28"/>
          <w:szCs w:val="28"/>
        </w:rPr>
        <w:t>确定</w:t>
      </w:r>
      <w:r>
        <w:rPr>
          <w:rFonts w:hint="eastAsia" w:hAnsi="宋体"/>
          <w:color w:val="auto"/>
          <w:spacing w:val="0"/>
          <w:sz w:val="28"/>
          <w:szCs w:val="28"/>
        </w:rPr>
        <w:t>估价</w:t>
      </w:r>
      <w:r>
        <w:rPr>
          <w:rFonts w:hAnsi="宋体"/>
          <w:color w:val="auto"/>
          <w:spacing w:val="0"/>
          <w:sz w:val="28"/>
          <w:szCs w:val="28"/>
        </w:rPr>
        <w:t>对象</w:t>
      </w:r>
      <w:r>
        <w:rPr>
          <w:rFonts w:hint="eastAsia" w:hAnsi="宋体"/>
          <w:color w:val="auto"/>
          <w:spacing w:val="0"/>
          <w:sz w:val="28"/>
          <w:szCs w:val="28"/>
        </w:rPr>
        <w:t>于</w:t>
      </w:r>
      <w:r>
        <w:rPr>
          <w:rFonts w:hAnsi="宋体"/>
          <w:color w:val="auto"/>
          <w:spacing w:val="0"/>
          <w:sz w:val="28"/>
          <w:szCs w:val="28"/>
        </w:rPr>
        <w:t>价值时点</w:t>
      </w:r>
      <w:r>
        <w:rPr>
          <w:rFonts w:hint="eastAsia" w:hAnsi="宋体"/>
          <w:color w:val="auto"/>
          <w:spacing w:val="0"/>
          <w:sz w:val="28"/>
          <w:szCs w:val="28"/>
        </w:rPr>
        <w:t>在</w:t>
      </w:r>
      <w:r>
        <w:rPr>
          <w:rFonts w:hAnsi="宋体"/>
          <w:color w:val="auto"/>
          <w:spacing w:val="0"/>
          <w:sz w:val="28"/>
          <w:szCs w:val="28"/>
        </w:rPr>
        <w:t>满足本次估价假设和限制条件前提下的</w:t>
      </w:r>
      <w:r>
        <w:rPr>
          <w:rFonts w:hint="eastAsia" w:hAnsi="宋体"/>
          <w:color w:val="auto"/>
          <w:spacing w:val="0"/>
          <w:sz w:val="28"/>
          <w:szCs w:val="28"/>
        </w:rPr>
        <w:t>市场</w:t>
      </w:r>
      <w:r>
        <w:rPr>
          <w:rFonts w:hAnsi="宋体"/>
          <w:color w:val="auto"/>
          <w:spacing w:val="0"/>
          <w:sz w:val="28"/>
          <w:szCs w:val="28"/>
        </w:rPr>
        <w:t>价值</w:t>
      </w:r>
      <w:r>
        <w:rPr>
          <w:rFonts w:hint="eastAsia" w:hAnsi="宋体"/>
          <w:color w:val="auto"/>
          <w:spacing w:val="0"/>
          <w:sz w:val="28"/>
          <w:szCs w:val="28"/>
          <w:lang w:eastAsia="zh-CN"/>
        </w:rPr>
        <w:t>详见表</w:t>
      </w:r>
      <w:r>
        <w:rPr>
          <w:rFonts w:hint="eastAsia" w:hAnsi="宋体"/>
          <w:color w:val="auto"/>
          <w:spacing w:val="0"/>
          <w:sz w:val="28"/>
          <w:szCs w:val="28"/>
          <w:lang w:val="en-US" w:eastAsia="zh-CN"/>
        </w:rPr>
        <w:t>5。</w:t>
      </w:r>
    </w:p>
    <w:p>
      <w:pPr>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color w:val="auto"/>
          <w:sz w:val="28"/>
          <w:szCs w:val="28"/>
        </w:rPr>
      </w:pPr>
      <w:r>
        <w:rPr>
          <w:rFonts w:hint="eastAsia" w:ascii="宋体" w:hAnsi="宋体"/>
          <w:b/>
          <w:color w:val="auto"/>
          <w:sz w:val="28"/>
          <w:szCs w:val="28"/>
        </w:rPr>
        <w:t>表</w:t>
      </w:r>
      <w:r>
        <w:rPr>
          <w:rFonts w:hint="eastAsia" w:ascii="宋体" w:hAnsi="宋体"/>
          <w:b/>
          <w:color w:val="auto"/>
          <w:sz w:val="28"/>
          <w:szCs w:val="28"/>
          <w:lang w:val="en-US" w:eastAsia="zh-CN"/>
        </w:rPr>
        <w:t>5</w:t>
      </w:r>
      <w:r>
        <w:rPr>
          <w:rFonts w:hint="eastAsia" w:ascii="宋体" w:hAnsi="宋体"/>
          <w:b/>
          <w:color w:val="auto"/>
          <w:sz w:val="28"/>
          <w:szCs w:val="28"/>
        </w:rPr>
        <w:t xml:space="preserve">  估价结果汇总表</w:t>
      </w:r>
    </w:p>
    <w:p>
      <w:pPr>
        <w:pageBreakBefore w:val="0"/>
        <w:widowControl w:val="0"/>
        <w:kinsoku/>
        <w:wordWrap/>
        <w:overflowPunct/>
        <w:topLinePunct w:val="0"/>
        <w:autoSpaceDE/>
        <w:autoSpaceDN/>
        <w:bidi w:val="0"/>
        <w:adjustRightInd/>
        <w:snapToGrid w:val="0"/>
        <w:spacing w:line="480" w:lineRule="exact"/>
        <w:ind w:right="315" w:firstLine="562" w:firstLineChars="200"/>
        <w:jc w:val="center"/>
        <w:textAlignment w:val="auto"/>
        <w:rPr>
          <w:rFonts w:hint="eastAsia" w:ascii="宋体" w:hAnsi="宋体" w:eastAsia="宋体" w:cs="宋体"/>
          <w:color w:val="auto"/>
          <w:szCs w:val="21"/>
        </w:rPr>
      </w:pPr>
      <w:r>
        <w:rPr>
          <w:rFonts w:hint="eastAsia" w:ascii="仿宋_GB2312" w:eastAsia="仿宋_GB2312"/>
          <w:b/>
          <w:color w:val="auto"/>
          <w:sz w:val="28"/>
        </w:rPr>
        <w:t xml:space="preserve">                                            </w:t>
      </w:r>
      <w:r>
        <w:rPr>
          <w:rFonts w:hint="eastAsia" w:ascii="宋体" w:hAnsi="宋体" w:eastAsia="宋体" w:cs="宋体"/>
          <w:color w:val="auto"/>
          <w:szCs w:val="21"/>
        </w:rPr>
        <w:t>币种：人民币</w:t>
      </w:r>
    </w:p>
    <w:tbl>
      <w:tblPr>
        <w:tblStyle w:val="45"/>
        <w:tblW w:w="8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7"/>
        <w:gridCol w:w="2347"/>
        <w:gridCol w:w="5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3614" w:type="dxa"/>
            <w:gridSpan w:val="2"/>
            <w:noWrap w:val="0"/>
            <w:tcMar>
              <w:top w:w="15" w:type="dxa"/>
              <w:left w:w="15" w:type="dxa"/>
              <w:right w:w="15" w:type="dxa"/>
            </w:tcMar>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widowControl/>
              <w:suppressLineNumbers w:val="0"/>
              <w:snapToGrid w:val="0"/>
              <w:spacing w:line="240" w:lineRule="auto"/>
              <w:jc w:val="center"/>
              <w:textAlignment w:val="bottom"/>
              <w:rPr>
                <w:rFonts w:hint="eastAsia" w:ascii="宋体" w:hAnsi="宋体" w:eastAsia="宋体" w:cs="宋体"/>
                <w:i w:val="0"/>
                <w:color w:val="auto"/>
                <w:kern w:val="0"/>
                <w:sz w:val="24"/>
                <w:szCs w:val="24"/>
                <w:u w:val="none"/>
                <w:lang w:val="en-US" w:eastAsia="zh-CN" w:bidi="ar"/>
              </w:rPr>
            </w:pPr>
            <w:bookmarkStart w:id="76" w:name="_Toc286928482"/>
            <w:bookmarkStart w:id="77" w:name="_Toc156031646"/>
            <w:bookmarkStart w:id="78" w:name="_Toc502649002"/>
          </w:p>
          <w:p>
            <w:pPr>
              <w:keepNext w:val="0"/>
              <w:keepLines w:val="0"/>
              <w:widowControl/>
              <w:suppressLineNumbers w:val="0"/>
              <w:snapToGrid w:val="0"/>
              <w:spacing w:line="240" w:lineRule="auto"/>
              <w:jc w:val="both"/>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相关结果</w:t>
            </w:r>
          </w:p>
          <w:p>
            <w:pPr>
              <w:keepNext w:val="0"/>
              <w:keepLines w:val="0"/>
              <w:widowControl/>
              <w:suppressLineNumbers w:val="0"/>
              <w:snapToGrid w:val="0"/>
              <w:spacing w:line="240" w:lineRule="auto"/>
              <w:jc w:val="center"/>
              <w:textAlignment w:val="bottom"/>
              <mc:AlternateContent>
                <mc:Choice Requires="wpsCustomData">
                  <wpsCustomData:diagonalParaType/>
                </mc:Choice>
              </mc:AlternateContent>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估价方法</w:t>
            </w:r>
          </w:p>
        </w:tc>
        <w:tc>
          <w:tcPr>
            <w:tcW w:w="5067" w:type="dxa"/>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比较</w:t>
            </w:r>
            <w:r>
              <w:rPr>
                <w:rFonts w:hint="eastAsia" w:ascii="宋体" w:hAnsi="宋体" w:eastAsia="宋体" w:cs="宋体"/>
                <w:i w:val="0"/>
                <w:color w:val="auto"/>
                <w:kern w:val="0"/>
                <w:sz w:val="24"/>
                <w:szCs w:val="24"/>
                <w:u w:val="none"/>
                <w:lang w:val="en-US" w:eastAsia="zh-CN" w:bidi="ar"/>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267" w:type="dxa"/>
            <w:vMerge w:val="restart"/>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测算结果</w:t>
            </w:r>
          </w:p>
        </w:tc>
        <w:tc>
          <w:tcPr>
            <w:tcW w:w="2347" w:type="dxa"/>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单价（元/㎡）</w:t>
            </w:r>
          </w:p>
        </w:tc>
        <w:tc>
          <w:tcPr>
            <w:tcW w:w="5067" w:type="dxa"/>
            <w:noWrap w:val="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267" w:type="dxa"/>
            <w:vMerge w:val="continue"/>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2347" w:type="dxa"/>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总价（万元）</w:t>
            </w:r>
          </w:p>
        </w:tc>
        <w:tc>
          <w:tcPr>
            <w:tcW w:w="5067" w:type="dxa"/>
            <w:noWrap w:val="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280.35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267" w:type="dxa"/>
            <w:vMerge w:val="restart"/>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评估价值</w:t>
            </w:r>
          </w:p>
        </w:tc>
        <w:tc>
          <w:tcPr>
            <w:tcW w:w="2347" w:type="dxa"/>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单价（元/㎡）</w:t>
            </w:r>
          </w:p>
        </w:tc>
        <w:tc>
          <w:tcPr>
            <w:tcW w:w="5067" w:type="dxa"/>
            <w:noWrap w:val="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b/>
                <w:i w:val="0"/>
                <w:color w:val="auto"/>
                <w:sz w:val="24"/>
                <w:szCs w:val="24"/>
                <w:u w:val="none"/>
                <w:lang w:val="en-US"/>
              </w:rPr>
            </w:pPr>
            <w:r>
              <w:rPr>
                <w:rFonts w:hint="eastAsia" w:ascii="宋体" w:hAnsi="宋体" w:cs="宋体"/>
                <w:i w:val="0"/>
                <w:color w:val="auto"/>
                <w:kern w:val="0"/>
                <w:sz w:val="24"/>
                <w:szCs w:val="24"/>
                <w:u w:val="none"/>
                <w:lang w:val="en-US" w:eastAsia="zh-CN" w:bidi="ar"/>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exact"/>
          <w:jc w:val="center"/>
        </w:trPr>
        <w:tc>
          <w:tcPr>
            <w:tcW w:w="1267" w:type="dxa"/>
            <w:vMerge w:val="continue"/>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2347" w:type="dxa"/>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总价（万元）</w:t>
            </w:r>
          </w:p>
        </w:tc>
        <w:tc>
          <w:tcPr>
            <w:tcW w:w="5067" w:type="dxa"/>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280.35</w:t>
            </w:r>
            <w:r>
              <w:rPr>
                <w:rFonts w:hint="eastAsia" w:ascii="宋体" w:hAnsi="宋体" w:eastAsia="宋体" w:cs="宋体"/>
                <w:i w:val="0"/>
                <w:color w:val="auto"/>
                <w:kern w:val="0"/>
                <w:sz w:val="24"/>
                <w:szCs w:val="24"/>
                <w:u w:val="none"/>
                <w:lang w:val="en-US" w:eastAsia="zh-CN" w:bidi="ar"/>
              </w:rPr>
              <w:t>万元</w:t>
            </w:r>
          </w:p>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大写：人民币</w:t>
            </w:r>
            <w:r>
              <w:rPr>
                <w:rFonts w:hint="eastAsia" w:hAnsi="宋体"/>
                <w:b/>
                <w:spacing w:val="0"/>
                <w:sz w:val="24"/>
                <w:szCs w:val="24"/>
                <w:lang w:eastAsia="zh-CN"/>
              </w:rPr>
              <w:t>贰佰捌拾万叁仟伍佰</w:t>
            </w:r>
            <w:r>
              <w:rPr>
                <w:rFonts w:hint="eastAsia" w:ascii="宋体" w:hAnsi="宋体" w:eastAsia="宋体" w:cs="宋体"/>
                <w:i w:val="0"/>
                <w:color w:val="auto"/>
                <w:kern w:val="0"/>
                <w:sz w:val="24"/>
                <w:szCs w:val="24"/>
                <w:u w:val="none"/>
                <w:lang w:val="en-US" w:eastAsia="zh-CN" w:bidi="ar"/>
              </w:rPr>
              <w:t>元整</w:t>
            </w:r>
          </w:p>
        </w:tc>
      </w:tr>
    </w:tbl>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79" w:name="_Toc25019"/>
      <w:r>
        <w:rPr>
          <w:rFonts w:hint="eastAsia" w:ascii="宋体" w:hAnsi="宋体"/>
          <w:color w:val="auto"/>
          <w:sz w:val="28"/>
          <w:szCs w:val="28"/>
        </w:rPr>
        <w:t>十一、</w:t>
      </w:r>
      <w:bookmarkEnd w:id="76"/>
      <w:bookmarkEnd w:id="77"/>
      <w:r>
        <w:rPr>
          <w:rFonts w:hint="eastAsia" w:ascii="宋体" w:hAnsi="宋体"/>
          <w:color w:val="auto"/>
          <w:sz w:val="28"/>
          <w:szCs w:val="28"/>
        </w:rPr>
        <w:t>注册房地产估价师</w:t>
      </w:r>
      <w:bookmarkEnd w:id="78"/>
      <w:bookmarkEnd w:id="79"/>
    </w:p>
    <w:p>
      <w:pPr>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auto"/>
        </w:rPr>
      </w:pPr>
      <w:r>
        <w:rPr>
          <w:rFonts w:hint="eastAsia" w:ascii="宋体" w:hAnsi="宋体"/>
          <w:b/>
          <w:color w:val="auto"/>
          <w:sz w:val="28"/>
          <w:szCs w:val="28"/>
        </w:rPr>
        <w:t>表</w:t>
      </w:r>
      <w:r>
        <w:rPr>
          <w:rFonts w:hint="eastAsia" w:ascii="宋体" w:hAnsi="宋体"/>
          <w:b/>
          <w:color w:val="auto"/>
          <w:sz w:val="28"/>
          <w:szCs w:val="28"/>
          <w:lang w:val="en-US" w:eastAsia="zh-CN"/>
        </w:rPr>
        <w:t>6</w:t>
      </w:r>
      <w:r>
        <w:rPr>
          <w:rFonts w:hint="eastAsia" w:ascii="宋体" w:hAnsi="宋体"/>
          <w:b/>
          <w:color w:val="auto"/>
          <w:sz w:val="28"/>
          <w:szCs w:val="28"/>
        </w:rPr>
        <w:t xml:space="preserve">  注册房地产估价师一览表</w:t>
      </w:r>
    </w:p>
    <w:tbl>
      <w:tblPr>
        <w:tblStyle w:val="45"/>
        <w:tblW w:w="86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24"/>
        <w:gridCol w:w="3016"/>
        <w:gridCol w:w="2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824" w:type="dxa"/>
            <w:vAlign w:val="center"/>
          </w:tcPr>
          <w:p>
            <w:pPr>
              <w:pStyle w:val="26"/>
              <w:spacing w:line="280" w:lineRule="exact"/>
              <w:jc w:val="center"/>
              <w:rPr>
                <w:rFonts w:ascii="宋体" w:hAnsi="宋体"/>
                <w:bCs/>
                <w:color w:val="auto"/>
              </w:rPr>
            </w:pPr>
            <w:bookmarkStart w:id="80" w:name="_Toc286928483"/>
            <w:bookmarkStart w:id="81" w:name="_Toc156031647"/>
            <w:r>
              <w:rPr>
                <w:rFonts w:hint="eastAsia" w:ascii="宋体" w:hAnsi="宋体"/>
                <w:bCs/>
                <w:color w:val="auto"/>
              </w:rPr>
              <w:t>姓名</w:t>
            </w:r>
          </w:p>
        </w:tc>
        <w:tc>
          <w:tcPr>
            <w:tcW w:w="3016" w:type="dxa"/>
            <w:vAlign w:val="center"/>
          </w:tcPr>
          <w:p>
            <w:pPr>
              <w:pStyle w:val="26"/>
              <w:spacing w:line="280" w:lineRule="exact"/>
              <w:jc w:val="center"/>
              <w:rPr>
                <w:rFonts w:ascii="宋体" w:hAnsi="宋体"/>
                <w:bCs/>
                <w:color w:val="auto"/>
              </w:rPr>
            </w:pPr>
            <w:r>
              <w:rPr>
                <w:rFonts w:hint="eastAsia" w:ascii="宋体" w:hAnsi="宋体"/>
                <w:bCs/>
                <w:color w:val="auto"/>
              </w:rPr>
              <w:t>注册号</w:t>
            </w:r>
          </w:p>
        </w:tc>
        <w:tc>
          <w:tcPr>
            <w:tcW w:w="2823" w:type="dxa"/>
            <w:vAlign w:val="center"/>
          </w:tcPr>
          <w:p>
            <w:pPr>
              <w:pStyle w:val="26"/>
              <w:spacing w:line="280" w:lineRule="exact"/>
              <w:jc w:val="center"/>
              <w:rPr>
                <w:rFonts w:ascii="宋体" w:hAnsi="宋体"/>
                <w:bCs/>
                <w:color w:val="auto"/>
              </w:rPr>
            </w:pPr>
            <w:r>
              <w:rPr>
                <w:rFonts w:hint="eastAsia" w:ascii="宋体" w:hAnsi="宋体"/>
                <w:bCs/>
                <w:color w:val="auto"/>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7" w:hRule="exact"/>
          <w:jc w:val="center"/>
        </w:trPr>
        <w:tc>
          <w:tcPr>
            <w:tcW w:w="2824" w:type="dxa"/>
            <w:vAlign w:val="center"/>
          </w:tcPr>
          <w:p>
            <w:pPr>
              <w:widowControl/>
              <w:spacing w:line="300" w:lineRule="exact"/>
              <w:jc w:val="center"/>
              <w:rPr>
                <w:rFonts w:hint="eastAsia" w:ascii="宋体" w:hAnsi="宋体" w:eastAsia="宋体"/>
                <w:color w:val="auto"/>
                <w:lang w:eastAsia="zh-CN"/>
              </w:rPr>
            </w:pPr>
            <w:r>
              <w:rPr>
                <w:rFonts w:hint="eastAsia" w:ascii="宋体" w:hAnsi="宋体"/>
                <w:color w:val="auto"/>
                <w:lang w:eastAsia="zh-CN"/>
              </w:rPr>
              <w:t>成汝龙</w:t>
            </w:r>
          </w:p>
        </w:tc>
        <w:tc>
          <w:tcPr>
            <w:tcW w:w="3016" w:type="dxa"/>
            <w:vAlign w:val="center"/>
          </w:tcPr>
          <w:p>
            <w:pPr>
              <w:jc w:val="center"/>
              <w:rPr>
                <w:rFonts w:hint="eastAsia" w:ascii="宋体" w:hAnsi="宋体" w:eastAsia="宋体"/>
                <w:color w:val="auto"/>
                <w:lang w:eastAsia="zh-CN"/>
              </w:rPr>
            </w:pPr>
            <w:r>
              <w:rPr>
                <w:rFonts w:hint="eastAsia" w:ascii="宋体" w:hAnsi="宋体"/>
                <w:color w:val="auto"/>
                <w:lang w:eastAsia="zh-CN"/>
              </w:rPr>
              <w:t>4220110009</w:t>
            </w:r>
          </w:p>
        </w:tc>
        <w:tc>
          <w:tcPr>
            <w:tcW w:w="2823" w:type="dxa"/>
            <w:vAlign w:val="center"/>
          </w:tcPr>
          <w:p>
            <w:pPr>
              <w:jc w:val="center"/>
              <w:rPr>
                <w:rFonts w:ascii="宋体" w:hAnsi="宋体"/>
                <w:bCs/>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7" w:hRule="exact"/>
          <w:jc w:val="center"/>
        </w:trPr>
        <w:tc>
          <w:tcPr>
            <w:tcW w:w="2824" w:type="dxa"/>
            <w:vAlign w:val="center"/>
          </w:tcPr>
          <w:p>
            <w:pPr>
              <w:widowControl/>
              <w:spacing w:line="300" w:lineRule="exact"/>
              <w:jc w:val="center"/>
              <w:rPr>
                <w:rFonts w:hint="eastAsia" w:ascii="宋体" w:hAnsi="宋体" w:eastAsia="宋体"/>
                <w:color w:val="auto"/>
                <w:lang w:eastAsia="zh-CN"/>
              </w:rPr>
            </w:pPr>
            <w:r>
              <w:rPr>
                <w:rFonts w:hint="eastAsia" w:ascii="宋体" w:hAnsi="宋体"/>
                <w:color w:val="auto"/>
                <w:lang w:eastAsia="zh-CN"/>
              </w:rPr>
              <w:t>程  卫</w:t>
            </w:r>
          </w:p>
        </w:tc>
        <w:tc>
          <w:tcPr>
            <w:tcW w:w="3016" w:type="dxa"/>
            <w:vAlign w:val="center"/>
          </w:tcPr>
          <w:p>
            <w:pPr>
              <w:jc w:val="center"/>
              <w:rPr>
                <w:rFonts w:hint="eastAsia" w:ascii="宋体" w:hAnsi="宋体" w:eastAsia="宋体"/>
                <w:color w:val="auto"/>
                <w:lang w:eastAsia="zh-CN"/>
              </w:rPr>
            </w:pPr>
            <w:r>
              <w:rPr>
                <w:rFonts w:hint="eastAsia" w:ascii="宋体" w:hAnsi="宋体"/>
                <w:color w:val="auto"/>
                <w:lang w:eastAsia="zh-CN"/>
              </w:rPr>
              <w:t>4220200037</w:t>
            </w:r>
          </w:p>
        </w:tc>
        <w:tc>
          <w:tcPr>
            <w:tcW w:w="2823" w:type="dxa"/>
            <w:vAlign w:val="center"/>
          </w:tcPr>
          <w:p>
            <w:pPr>
              <w:jc w:val="center"/>
              <w:rPr>
                <w:color w:val="auto"/>
              </w:rPr>
            </w:pPr>
          </w:p>
        </w:tc>
      </w:tr>
      <w:bookmarkEnd w:id="80"/>
      <w:bookmarkEnd w:id="81"/>
    </w:tbl>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82" w:name="_Toc502649003"/>
      <w:bookmarkStart w:id="83" w:name="_Toc501988818"/>
      <w:bookmarkStart w:id="84" w:name="_Toc12182"/>
      <w:r>
        <w:rPr>
          <w:rFonts w:hint="eastAsia" w:ascii="宋体" w:hAnsi="宋体"/>
          <w:color w:val="auto"/>
          <w:sz w:val="28"/>
          <w:szCs w:val="28"/>
        </w:rPr>
        <w:t>十二、实地查勘期</w:t>
      </w:r>
      <w:bookmarkEnd w:id="82"/>
      <w:bookmarkEnd w:id="83"/>
      <w:bookmarkEnd w:id="84"/>
    </w:p>
    <w:p>
      <w:pPr>
        <w:pStyle w:val="5"/>
        <w:pageBreakBefore w:val="0"/>
        <w:widowControl w:val="0"/>
        <w:kinsoku/>
        <w:wordWrap/>
        <w:overflowPunct/>
        <w:topLinePunct w:val="0"/>
        <w:autoSpaceDE/>
        <w:autoSpaceDN/>
        <w:bidi w:val="0"/>
        <w:adjustRightInd/>
        <w:snapToGrid/>
        <w:spacing w:line="480" w:lineRule="exact"/>
        <w:ind w:firstLine="565" w:firstLineChars="202"/>
        <w:textAlignment w:val="auto"/>
        <w:rPr>
          <w:rFonts w:hint="default" w:ascii="宋体" w:hAnsi="宋体" w:eastAsia="宋体"/>
          <w:color w:val="auto"/>
          <w:sz w:val="28"/>
          <w:szCs w:val="28"/>
          <w:lang w:eastAsia="zh-CN"/>
        </w:rPr>
      </w:pPr>
      <w:r>
        <w:rPr>
          <w:rFonts w:hint="eastAsia" w:ascii="宋体" w:hAnsi="宋体"/>
          <w:color w:val="auto"/>
          <w:sz w:val="28"/>
          <w:szCs w:val="28"/>
          <w:lang w:eastAsia="zh-CN"/>
        </w:rPr>
        <w:t>202</w:t>
      </w:r>
      <w:r>
        <w:rPr>
          <w:rFonts w:hint="eastAsia" w:ascii="宋体" w:hAnsi="宋体"/>
          <w:color w:val="auto"/>
          <w:sz w:val="28"/>
          <w:szCs w:val="28"/>
          <w:lang w:val="en-US" w:eastAsia="zh-CN"/>
        </w:rPr>
        <w:t>2</w:t>
      </w:r>
      <w:r>
        <w:rPr>
          <w:rFonts w:hint="eastAsia" w:ascii="宋体" w:hAnsi="宋体"/>
          <w:color w:val="auto"/>
          <w:sz w:val="28"/>
          <w:szCs w:val="28"/>
          <w:lang w:eastAsia="zh-CN"/>
        </w:rPr>
        <w:t>年</w:t>
      </w:r>
      <w:r>
        <w:rPr>
          <w:rFonts w:hint="eastAsia" w:ascii="宋体" w:hAnsi="宋体"/>
          <w:color w:val="auto"/>
          <w:sz w:val="28"/>
          <w:szCs w:val="28"/>
          <w:lang w:val="en-US" w:eastAsia="zh-CN"/>
        </w:rPr>
        <w:t>2</w:t>
      </w:r>
      <w:r>
        <w:rPr>
          <w:rFonts w:hint="eastAsia" w:ascii="宋体" w:hAnsi="宋体"/>
          <w:color w:val="auto"/>
          <w:sz w:val="28"/>
          <w:szCs w:val="28"/>
          <w:lang w:eastAsia="zh-CN"/>
        </w:rPr>
        <w:t>月</w:t>
      </w:r>
      <w:r>
        <w:rPr>
          <w:rFonts w:hint="eastAsia" w:ascii="宋体" w:hAnsi="宋体"/>
          <w:color w:val="auto"/>
          <w:sz w:val="28"/>
          <w:szCs w:val="28"/>
          <w:lang w:val="en-US" w:eastAsia="zh-CN"/>
        </w:rPr>
        <w:t>22</w:t>
      </w:r>
      <w:r>
        <w:rPr>
          <w:rFonts w:hint="eastAsia" w:ascii="宋体" w:hAnsi="宋体"/>
          <w:color w:val="auto"/>
          <w:sz w:val="28"/>
          <w:szCs w:val="28"/>
          <w:lang w:eastAsia="zh-CN"/>
        </w:rPr>
        <w:t>日</w:t>
      </w:r>
    </w:p>
    <w:p>
      <w:pPr>
        <w:pStyle w:val="6"/>
        <w:pageBreakBefore w:val="0"/>
        <w:widowControl w:val="0"/>
        <w:kinsoku/>
        <w:wordWrap/>
        <w:overflowPunct/>
        <w:topLinePunct w:val="0"/>
        <w:autoSpaceDE/>
        <w:autoSpaceDN/>
        <w:bidi w:val="0"/>
        <w:adjustRightInd/>
        <w:snapToGrid/>
        <w:spacing w:before="240" w:after="240" w:line="480" w:lineRule="exact"/>
        <w:textAlignment w:val="auto"/>
        <w:rPr>
          <w:rFonts w:ascii="宋体" w:hAnsi="宋体"/>
          <w:color w:val="auto"/>
          <w:sz w:val="28"/>
          <w:szCs w:val="28"/>
        </w:rPr>
      </w:pPr>
      <w:bookmarkStart w:id="85" w:name="_Toc502649004"/>
      <w:bookmarkStart w:id="86" w:name="_Toc501988819"/>
      <w:bookmarkStart w:id="87" w:name="_Toc25348"/>
      <w:r>
        <w:rPr>
          <w:rFonts w:hint="eastAsia" w:ascii="宋体" w:hAnsi="宋体"/>
          <w:color w:val="auto"/>
          <w:sz w:val="28"/>
          <w:szCs w:val="28"/>
        </w:rPr>
        <w:t>十三、估价作业期</w:t>
      </w:r>
      <w:bookmarkEnd w:id="85"/>
      <w:bookmarkEnd w:id="86"/>
      <w:bookmarkEnd w:id="87"/>
    </w:p>
    <w:p>
      <w:pPr>
        <w:pStyle w:val="5"/>
        <w:pageBreakBefore w:val="0"/>
        <w:widowControl w:val="0"/>
        <w:kinsoku/>
        <w:wordWrap/>
        <w:overflowPunct/>
        <w:topLinePunct w:val="0"/>
        <w:autoSpaceDE/>
        <w:autoSpaceDN/>
        <w:bidi w:val="0"/>
        <w:adjustRightInd/>
        <w:snapToGrid/>
        <w:spacing w:line="480" w:lineRule="exact"/>
        <w:ind w:firstLine="565" w:firstLineChars="202"/>
        <w:textAlignment w:val="auto"/>
        <w:rPr>
          <w:rFonts w:hint="default" w:ascii="宋体" w:hAnsi="宋体" w:eastAsia="宋体"/>
          <w:color w:val="auto"/>
          <w:sz w:val="28"/>
          <w:szCs w:val="28"/>
          <w:lang w:eastAsia="zh-CN"/>
        </w:rPr>
      </w:pPr>
      <w:r>
        <w:rPr>
          <w:rFonts w:hint="eastAsia" w:ascii="宋体" w:hAnsi="宋体"/>
          <w:color w:val="auto"/>
          <w:sz w:val="28"/>
          <w:szCs w:val="28"/>
          <w:lang w:eastAsia="zh-CN"/>
        </w:rPr>
        <w:t>2022年2月21日</w:t>
      </w:r>
      <w:r>
        <w:rPr>
          <w:rFonts w:hint="eastAsia" w:ascii="宋体" w:hAnsi="宋体"/>
          <w:color w:val="auto"/>
          <w:sz w:val="28"/>
          <w:szCs w:val="28"/>
        </w:rPr>
        <w:t>至</w:t>
      </w:r>
      <w:bookmarkEnd w:id="18"/>
      <w:r>
        <w:rPr>
          <w:rFonts w:hint="eastAsia" w:ascii="宋体" w:hAnsi="宋体"/>
          <w:color w:val="auto"/>
          <w:sz w:val="28"/>
          <w:szCs w:val="28"/>
          <w:lang w:eastAsia="zh-CN"/>
        </w:rPr>
        <w:t>2022年3月21日</w:t>
      </w:r>
    </w:p>
    <w:p>
      <w:pPr>
        <w:pStyle w:val="24"/>
        <w:pageBreakBefore w:val="0"/>
        <w:kinsoku/>
        <w:wordWrap/>
        <w:overflowPunct/>
        <w:topLinePunct w:val="0"/>
        <w:autoSpaceDE/>
        <w:autoSpaceDN/>
        <w:bidi w:val="0"/>
        <w:adjustRightInd/>
        <w:snapToGrid/>
        <w:spacing w:line="480" w:lineRule="exact"/>
        <w:ind w:firstLine="420" w:firstLineChars="200"/>
        <w:textAlignment w:val="auto"/>
        <w:rPr>
          <w:rFonts w:hAnsi="宋体"/>
          <w:color w:val="auto"/>
          <w:sz w:val="28"/>
          <w:szCs w:val="28"/>
        </w:rPr>
      </w:pPr>
      <w:r>
        <w:rPr>
          <w:i w:val="0"/>
          <w:color w:val="auto"/>
        </w:rPr>
        <w:br w:type="page"/>
      </w:r>
    </w:p>
    <w:p>
      <w:pPr>
        <w:pStyle w:val="4"/>
        <w:keepNext w:val="0"/>
        <w:keepLines w:val="0"/>
        <w:pageBreakBefore w:val="0"/>
        <w:widowControl w:val="0"/>
        <w:numPr>
          <w:ilvl w:val="0"/>
          <w:numId w:val="0"/>
        </w:numPr>
        <w:kinsoku/>
        <w:wordWrap/>
        <w:overflowPunct/>
        <w:topLinePunct w:val="0"/>
        <w:bidi w:val="0"/>
        <w:snapToGrid/>
        <w:spacing w:beforeLines="50" w:afterLines="50" w:line="480" w:lineRule="exact"/>
        <w:jc w:val="center"/>
        <w:rPr>
          <w:i w:val="0"/>
          <w:color w:val="auto"/>
        </w:rPr>
      </w:pPr>
      <w:bookmarkStart w:id="88" w:name="_Toc2923"/>
      <w:r>
        <w:rPr>
          <w:rFonts w:hint="eastAsia" w:ascii="宋体" w:hAnsi="宋体" w:eastAsia="宋体"/>
          <w:b/>
          <w:i w:val="0"/>
          <w:color w:val="auto"/>
          <w:sz w:val="36"/>
          <w:szCs w:val="36"/>
        </w:rPr>
        <w:t>附</w:t>
      </w:r>
      <w:r>
        <w:rPr>
          <w:rFonts w:hint="eastAsia" w:ascii="宋体" w:hAnsi="宋体" w:eastAsia="宋体"/>
          <w:b/>
          <w:i w:val="0"/>
          <w:color w:val="auto"/>
          <w:sz w:val="36"/>
          <w:szCs w:val="36"/>
          <w:lang w:val="en-US" w:eastAsia="zh-CN"/>
        </w:rPr>
        <w:t xml:space="preserve">  </w:t>
      </w:r>
      <w:r>
        <w:rPr>
          <w:rFonts w:hint="eastAsia" w:ascii="宋体" w:hAnsi="宋体" w:eastAsia="宋体"/>
          <w:b/>
          <w:i w:val="0"/>
          <w:color w:val="auto"/>
          <w:sz w:val="36"/>
          <w:szCs w:val="36"/>
        </w:rPr>
        <w:t>件</w:t>
      </w:r>
      <w:bookmarkEnd w:id="88"/>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ascii="宋体" w:hAnsi="宋体"/>
          <w:b w:val="0"/>
          <w:color w:val="auto"/>
          <w:sz w:val="28"/>
          <w:szCs w:val="28"/>
        </w:rPr>
      </w:pPr>
      <w:bookmarkStart w:id="89" w:name="_Toc22363"/>
      <w:r>
        <w:rPr>
          <w:rFonts w:hint="eastAsia" w:ascii="宋体" w:hAnsi="宋体"/>
          <w:b w:val="0"/>
          <w:color w:val="auto"/>
          <w:sz w:val="28"/>
          <w:szCs w:val="28"/>
          <w:lang w:eastAsia="zh-CN"/>
        </w:rPr>
        <w:t>《湖北省咸宁市咸安区人民法院司法评估委托书》[（2022）鄂1202司评（执）10号]</w:t>
      </w:r>
      <w:r>
        <w:rPr>
          <w:rFonts w:hint="eastAsia" w:ascii="宋体" w:hAnsi="宋体"/>
          <w:b w:val="0"/>
          <w:color w:val="auto"/>
          <w:sz w:val="28"/>
          <w:szCs w:val="28"/>
        </w:rPr>
        <w:t>复印件</w:t>
      </w:r>
      <w:bookmarkEnd w:id="89"/>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0" w:name="_Toc7120"/>
      <w:r>
        <w:rPr>
          <w:rFonts w:hint="eastAsia" w:ascii="宋体" w:hAnsi="宋体"/>
          <w:b w:val="0"/>
          <w:color w:val="auto"/>
          <w:sz w:val="28"/>
          <w:szCs w:val="28"/>
          <w:lang w:eastAsia="zh-CN"/>
        </w:rPr>
        <w:t>估价对象位置图</w:t>
      </w:r>
      <w:bookmarkEnd w:id="90"/>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1" w:name="_Toc16660"/>
      <w:r>
        <w:rPr>
          <w:rFonts w:hint="eastAsia" w:ascii="宋体" w:hAnsi="宋体"/>
          <w:b w:val="0"/>
          <w:color w:val="auto"/>
          <w:sz w:val="28"/>
          <w:szCs w:val="28"/>
          <w:lang w:eastAsia="zh-CN"/>
        </w:rPr>
        <w:t>估价对象内、外部状况与周围环境和景观照片</w:t>
      </w:r>
      <w:bookmarkEnd w:id="91"/>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2" w:name="_Toc30476"/>
      <w:r>
        <w:rPr>
          <w:rFonts w:hint="eastAsia" w:ascii="宋体" w:hAnsi="宋体"/>
          <w:b w:val="0"/>
          <w:color w:val="auto"/>
          <w:sz w:val="28"/>
          <w:szCs w:val="28"/>
          <w:lang w:eastAsia="zh-CN"/>
        </w:rPr>
        <w:t>《不动产权证书》[证号：鄂（2019）咸安区不动产权第0016109号]复印件</w:t>
      </w:r>
      <w:bookmarkEnd w:id="92"/>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3" w:name="_Toc10949"/>
      <w:r>
        <w:rPr>
          <w:rFonts w:hint="eastAsia" w:ascii="宋体" w:hAnsi="宋体"/>
          <w:b w:val="0"/>
          <w:color w:val="auto"/>
          <w:sz w:val="28"/>
          <w:szCs w:val="28"/>
          <w:lang w:eastAsia="zh-CN"/>
        </w:rPr>
        <w:t>《不动产登记信息》复印件</w:t>
      </w:r>
      <w:bookmarkEnd w:id="93"/>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4" w:name="_Toc31207"/>
      <w:r>
        <w:rPr>
          <w:rFonts w:hint="eastAsia" w:ascii="宋体" w:hAnsi="宋体"/>
          <w:b w:val="0"/>
          <w:color w:val="auto"/>
          <w:sz w:val="28"/>
          <w:szCs w:val="28"/>
          <w:lang w:eastAsia="zh-CN"/>
        </w:rPr>
        <w:t>房地产估价机构营业执照复印件</w:t>
      </w:r>
      <w:bookmarkEnd w:id="94"/>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5" w:name="_Toc23417"/>
      <w:bookmarkStart w:id="96" w:name="_Toc19468"/>
      <w:r>
        <w:rPr>
          <w:rFonts w:hint="eastAsia" w:ascii="宋体" w:hAnsi="宋体"/>
          <w:b w:val="0"/>
          <w:color w:val="auto"/>
          <w:sz w:val="28"/>
          <w:szCs w:val="28"/>
          <w:lang w:eastAsia="zh-CN"/>
        </w:rPr>
        <w:t>分支机构告知性登记的公示复印</w:t>
      </w:r>
      <w:r>
        <w:rPr>
          <w:rFonts w:hint="eastAsia" w:ascii="宋体" w:hAnsi="宋体"/>
          <w:b w:val="0"/>
          <w:sz w:val="28"/>
          <w:szCs w:val="28"/>
          <w:lang w:eastAsia="zh-CN"/>
        </w:rPr>
        <w:t>件</w:t>
      </w:r>
      <w:bookmarkEnd w:id="95"/>
      <w:bookmarkEnd w:id="96"/>
    </w:p>
    <w:p>
      <w:pPr>
        <w:pStyle w:val="6"/>
        <w:keepNext w:val="0"/>
        <w:keepLines w:val="0"/>
        <w:pageBreakBefore w:val="0"/>
        <w:widowControl w:val="0"/>
        <w:numPr>
          <w:ilvl w:val="0"/>
          <w:numId w:val="4"/>
        </w:numPr>
        <w:kinsoku/>
        <w:wordWrap/>
        <w:overflowPunct/>
        <w:topLinePunct w:val="0"/>
        <w:bidi w:val="0"/>
        <w:snapToGrid/>
        <w:spacing w:before="0" w:after="0" w:line="480" w:lineRule="exact"/>
        <w:ind w:firstLine="560" w:firstLineChars="200"/>
        <w:rPr>
          <w:rFonts w:hint="eastAsia" w:ascii="宋体" w:hAnsi="宋体"/>
          <w:b w:val="0"/>
          <w:color w:val="auto"/>
          <w:sz w:val="28"/>
          <w:szCs w:val="28"/>
          <w:lang w:eastAsia="zh-CN"/>
        </w:rPr>
      </w:pPr>
      <w:bookmarkStart w:id="97" w:name="_Toc23474"/>
      <w:r>
        <w:rPr>
          <w:rFonts w:hint="eastAsia" w:ascii="宋体" w:hAnsi="宋体"/>
          <w:b w:val="0"/>
          <w:color w:val="auto"/>
          <w:sz w:val="28"/>
          <w:szCs w:val="28"/>
          <w:lang w:eastAsia="zh-CN"/>
        </w:rPr>
        <w:t>注册房地产估价师注册证书复印件</w:t>
      </w:r>
      <w:bookmarkEnd w:id="97"/>
    </w:p>
    <w:sectPr>
      <w:headerReference r:id="rId3" w:type="default"/>
      <w:footerReference r:id="rId5" w:type="default"/>
      <w:headerReference r:id="rId4" w:type="even"/>
      <w:pgSz w:w="11907" w:h="16839"/>
      <w:pgMar w:top="1418" w:right="1588" w:bottom="1418" w:left="1588" w:header="964" w:footer="510" w:gutter="284"/>
      <w:pgNumType w:start="0"/>
      <w:cols w:space="720" w:num="1"/>
      <w:titlePg/>
      <w:docGrid w:linePitch="47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Garamond">
    <w:panose1 w:val="02020404030301010803"/>
    <w:charset w:val="00"/>
    <w:family w:val="roman"/>
    <w:pitch w:val="default"/>
    <w:sig w:usb0="00000287" w:usb1="00000000" w:usb2="00000000" w:usb3="00000000" w:csb0="0000009F" w:csb1="DFD7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5"/>
      <w:tblW w:w="8468"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8468" w:type="dxa"/>
        </w:tcPr>
        <w:p>
          <w:pPr>
            <w:pStyle w:val="30"/>
            <w:jc w:val="both"/>
            <w:rPr>
              <w:rFonts w:ascii="宋体" w:hAnsi="宋体"/>
              <w:kern w:val="0"/>
              <w:szCs w:val="21"/>
            </w:rPr>
          </w:pPr>
          <w:r>
            <w:rPr>
              <w:rFonts w:hint="eastAsia" w:ascii="宋体" w:hAnsi="宋体"/>
              <w:kern w:val="0"/>
              <w:szCs w:val="21"/>
            </w:rPr>
            <w:t>地址：湖北省咸宁市银泉大道5</w:t>
          </w:r>
          <w:r>
            <w:rPr>
              <w:rFonts w:ascii="宋体" w:hAnsi="宋体"/>
              <w:kern w:val="0"/>
              <w:szCs w:val="21"/>
            </w:rPr>
            <w:t>06</w:t>
          </w:r>
          <w:r>
            <w:rPr>
              <w:rFonts w:hint="eastAsia" w:ascii="宋体" w:hAnsi="宋体"/>
              <w:kern w:val="0"/>
              <w:szCs w:val="21"/>
            </w:rPr>
            <w:t>号1</w:t>
          </w:r>
          <w:r>
            <w:rPr>
              <w:rFonts w:ascii="宋体" w:hAnsi="宋体"/>
              <w:kern w:val="0"/>
              <w:szCs w:val="21"/>
            </w:rPr>
            <w:t>+8</w:t>
          </w:r>
          <w:r>
            <w:rPr>
              <w:rFonts w:hint="eastAsia" w:ascii="宋体" w:hAnsi="宋体"/>
              <w:kern w:val="0"/>
              <w:szCs w:val="21"/>
            </w:rPr>
            <w:t>时代广场3号楼2单元2</w:t>
          </w:r>
          <w:r>
            <w:rPr>
              <w:rFonts w:ascii="宋体" w:hAnsi="宋体"/>
              <w:kern w:val="0"/>
              <w:szCs w:val="21"/>
            </w:rPr>
            <w:t>202</w:t>
          </w:r>
          <w:r>
            <w:rPr>
              <w:rFonts w:hint="eastAsia" w:ascii="宋体" w:hAnsi="宋体"/>
              <w:kern w:val="0"/>
              <w:szCs w:val="21"/>
            </w:rPr>
            <w:t xml:space="preserve">室      </w:t>
          </w:r>
          <w:r>
            <w:rPr>
              <w:rFonts w:ascii="宋体" w:hAnsi="宋体"/>
              <w:kern w:val="0"/>
              <w:szCs w:val="21"/>
            </w:rPr>
            <w:t xml:space="preserve"> </w:t>
          </w:r>
          <w:r>
            <w:rPr>
              <w:rFonts w:hint="eastAsia" w:ascii="宋体" w:hAnsi="宋体"/>
              <w:kern w:val="0"/>
              <w:szCs w:val="21"/>
            </w:rPr>
            <w:t xml:space="preserve"> 联系电话：19972919618</w:t>
          </w:r>
          <w:r>
            <w:rPr>
              <w:rFonts w:hint="eastAsia" w:ascii="楷体_GB2312" w:hAnsi="宋体" w:eastAsia="楷体_GB2312"/>
              <w:kern w:val="0"/>
              <w:szCs w:val="21"/>
            </w:rPr>
            <w:t xml:space="preserve"> </w:t>
          </w:r>
          <w:r>
            <w:rPr>
              <w:rFonts w:hint="eastAsia" w:ascii="楷体_GB2312" w:hAnsi="宋体" w:eastAsia="楷体_GB2312"/>
              <w:b/>
              <w:bCs/>
              <w:kern w:val="0"/>
              <w:szCs w:val="21"/>
            </w:rPr>
            <w:t xml:space="preserve">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exact"/>
      </w:trPr>
      <w:tc>
        <w:tcPr>
          <w:tcW w:w="8468" w:type="dxa"/>
        </w:tcPr>
        <w:p>
          <w:pPr>
            <w:pStyle w:val="30"/>
            <w:jc w:val="both"/>
            <w:rPr>
              <w:rFonts w:ascii="宋体" w:hAnsi="宋体"/>
              <w:kern w:val="0"/>
              <w:szCs w:val="21"/>
            </w:rPr>
          </w:pPr>
        </w:p>
      </w:tc>
    </w:tr>
  </w:tbl>
  <w:p>
    <w:pPr>
      <w:pStyle w:val="30"/>
      <w:jc w:val="center"/>
    </w:pPr>
    <w:r>
      <w:rPr>
        <w:rFonts w:hint="eastAsia" w:ascii="宋体" w:hAnsi="宋体" w:cs="宋体"/>
        <w:kern w:val="0"/>
        <w:szCs w:val="21"/>
      </w:rPr>
      <w:t>第</w:t>
    </w:r>
    <w:r>
      <w:rPr>
        <w:rFonts w:hint="eastAsia" w:ascii="宋体" w:hAnsi="宋体" w:cs="宋体"/>
        <w:kern w:val="0"/>
        <w:szCs w:val="21"/>
      </w:rPr>
      <w:fldChar w:fldCharType="begin"/>
    </w:r>
    <w:r>
      <w:rPr>
        <w:rFonts w:hint="eastAsia" w:ascii="宋体" w:hAnsi="宋体" w:cs="宋体"/>
        <w:kern w:val="0"/>
        <w:szCs w:val="21"/>
      </w:rPr>
      <w:instrText xml:space="preserve"> PAGE   \* MERGEFORMAT </w:instrText>
    </w:r>
    <w:r>
      <w:rPr>
        <w:rFonts w:hint="eastAsia" w:ascii="宋体" w:hAnsi="宋体" w:cs="宋体"/>
        <w:kern w:val="0"/>
        <w:szCs w:val="21"/>
      </w:rPr>
      <w:fldChar w:fldCharType="separate"/>
    </w:r>
    <w:r>
      <w:rPr>
        <w:rFonts w:ascii="宋体" w:hAnsi="宋体" w:cs="宋体"/>
        <w:kern w:val="0"/>
        <w:szCs w:val="21"/>
      </w:rPr>
      <w:t>39</w:t>
    </w:r>
    <w:r>
      <w:rPr>
        <w:rFonts w:hint="eastAsia" w:ascii="宋体" w:hAnsi="宋体" w:cs="宋体"/>
        <w:kern w:val="0"/>
        <w:szCs w:val="21"/>
      </w:rPr>
      <w:fldChar w:fldCharType="end"/>
    </w:r>
    <w:r>
      <w:rPr>
        <w:rFonts w:hint="eastAsia" w:ascii="宋体" w:hAnsi="宋体" w:cs="宋体"/>
        <w:kern w:val="0"/>
        <w:szCs w:val="21"/>
      </w:rPr>
      <w:t>页</w:t>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ind w:right="-1"/>
      <w:jc w:val="both"/>
      <w:rPr>
        <w:rFonts w:eastAsia="楷体_GB2312"/>
      </w:rPr>
    </w:pPr>
    <w:r>
      <w:rPr>
        <w:rFonts w:hint="eastAsia" w:ascii="宋体" w:hAnsi="宋体" w:cs="宋体"/>
      </w:rPr>
      <w:t>江苏天圣房地产土地资产评估测绘有限公司                             苏天房估咸字(20</w:t>
    </w:r>
    <w:r>
      <w:rPr>
        <w:rFonts w:hint="eastAsia" w:ascii="宋体" w:hAnsi="宋体" w:cs="宋体"/>
        <w:lang w:val="en-US" w:eastAsia="zh-CN"/>
      </w:rPr>
      <w:t>22</w:t>
    </w:r>
    <w:r>
      <w:rPr>
        <w:rFonts w:hint="eastAsia" w:ascii="宋体" w:hAnsi="宋体" w:cs="宋体"/>
      </w:rPr>
      <w:t>)第</w:t>
    </w:r>
    <w:r>
      <w:rPr>
        <w:rFonts w:hint="eastAsia" w:ascii="宋体" w:hAnsi="宋体" w:cs="宋体"/>
        <w:lang w:val="en-US" w:eastAsia="zh-CN"/>
      </w:rPr>
      <w:t>024</w:t>
    </w:r>
    <w:r>
      <w:rPr>
        <w:rFonts w:hint="eastAsia" w:ascii="宋体" w:hAnsi="宋体" w:cs="宋体"/>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0"/>
      </w:rPr>
    </w:pPr>
    <w:r>
      <w:fldChar w:fldCharType="begin"/>
    </w:r>
    <w:r>
      <w:rPr>
        <w:rStyle w:val="50"/>
      </w:rPr>
      <w:instrText xml:space="preserve">PAGE  </w:instrText>
    </w:r>
    <w:r>
      <w:fldChar w:fldCharType="separate"/>
    </w:r>
    <w:r>
      <w:rPr>
        <w:rStyle w:val="50"/>
      </w:rPr>
      <w:t>1</w:t>
    </w:r>
    <w:r>
      <w:fldChar w:fldCharType="end"/>
    </w:r>
  </w:p>
  <w:p>
    <w:pPr>
      <w:pStyle w:val="3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A0139"/>
    <w:multiLevelType w:val="multilevel"/>
    <w:tmpl w:val="BC3A0139"/>
    <w:lvl w:ilvl="0" w:tentative="0">
      <w:start w:val="1"/>
      <w:numFmt w:val="decimal"/>
      <w:suff w:val="nothing"/>
      <w:lvlText w:val="%1、"/>
      <w:lvlJc w:val="left"/>
      <w:pPr>
        <w:ind w:left="0" w:firstLine="567"/>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16B3143A"/>
    <w:multiLevelType w:val="multilevel"/>
    <w:tmpl w:val="16B3143A"/>
    <w:lvl w:ilvl="0" w:tentative="0">
      <w:start w:val="1"/>
      <w:numFmt w:val="decimal"/>
      <w:suff w:val="nothing"/>
      <w:lvlText w:val="%1、"/>
      <w:lvlJc w:val="left"/>
      <w:pPr>
        <w:ind w:left="0" w:firstLine="567"/>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3E87112D"/>
    <w:multiLevelType w:val="singleLevel"/>
    <w:tmpl w:val="3E87112D"/>
    <w:lvl w:ilvl="0" w:tentative="0">
      <w:start w:val="1"/>
      <w:numFmt w:val="none"/>
      <w:pStyle w:val="4"/>
      <w:lvlText w:val=""/>
      <w:lvlJc w:val="left"/>
      <w:pPr>
        <w:tabs>
          <w:tab w:val="left" w:pos="1080"/>
        </w:tabs>
        <w:ind w:left="1080" w:hanging="405"/>
      </w:pPr>
      <w:rPr>
        <w:rFonts w:hint="eastAsia"/>
      </w:rPr>
    </w:lvl>
  </w:abstractNum>
  <w:abstractNum w:abstractNumId="3">
    <w:nsid w:val="78B450F4"/>
    <w:multiLevelType w:val="multilevel"/>
    <w:tmpl w:val="78B450F4"/>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readOnly" w:enforcement="0"/>
  <w:defaultTabStop w:val="425"/>
  <w:drawingGridHorizontalSpacing w:val="120"/>
  <w:drawingGridVerticalSpacing w:val="23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65F59E67-6B13-4312-B543-BC06F34C1DE8}"/>
    <w:docVar w:name="DocumentName" w:val="1-估价报告-商业司法-（结果+技术）"/>
  </w:docVars>
  <w:rsids>
    <w:rsidRoot w:val="05945A19"/>
    <w:rsid w:val="00000207"/>
    <w:rsid w:val="00000498"/>
    <w:rsid w:val="0000078F"/>
    <w:rsid w:val="00000D70"/>
    <w:rsid w:val="00000DE4"/>
    <w:rsid w:val="00001B29"/>
    <w:rsid w:val="00001D18"/>
    <w:rsid w:val="00002158"/>
    <w:rsid w:val="00002B90"/>
    <w:rsid w:val="00003196"/>
    <w:rsid w:val="00003665"/>
    <w:rsid w:val="0000390A"/>
    <w:rsid w:val="00004A74"/>
    <w:rsid w:val="000053A4"/>
    <w:rsid w:val="0000571A"/>
    <w:rsid w:val="00005A3A"/>
    <w:rsid w:val="00005C9E"/>
    <w:rsid w:val="00007957"/>
    <w:rsid w:val="000102E2"/>
    <w:rsid w:val="00010FDE"/>
    <w:rsid w:val="00011A18"/>
    <w:rsid w:val="00011E27"/>
    <w:rsid w:val="000121A2"/>
    <w:rsid w:val="00012E1E"/>
    <w:rsid w:val="00012E94"/>
    <w:rsid w:val="00013BC2"/>
    <w:rsid w:val="00013F2E"/>
    <w:rsid w:val="000140EA"/>
    <w:rsid w:val="00014355"/>
    <w:rsid w:val="00014806"/>
    <w:rsid w:val="000168DC"/>
    <w:rsid w:val="00016CA6"/>
    <w:rsid w:val="00017326"/>
    <w:rsid w:val="0001780D"/>
    <w:rsid w:val="00017816"/>
    <w:rsid w:val="00020981"/>
    <w:rsid w:val="00020CC0"/>
    <w:rsid w:val="00021053"/>
    <w:rsid w:val="0002105E"/>
    <w:rsid w:val="0002110C"/>
    <w:rsid w:val="000213F9"/>
    <w:rsid w:val="00021C52"/>
    <w:rsid w:val="00022298"/>
    <w:rsid w:val="0002701E"/>
    <w:rsid w:val="00027C83"/>
    <w:rsid w:val="000302C9"/>
    <w:rsid w:val="00030B69"/>
    <w:rsid w:val="00030CF2"/>
    <w:rsid w:val="000319EA"/>
    <w:rsid w:val="00032A70"/>
    <w:rsid w:val="0003336A"/>
    <w:rsid w:val="00036E07"/>
    <w:rsid w:val="000370FC"/>
    <w:rsid w:val="00037D0E"/>
    <w:rsid w:val="000405CF"/>
    <w:rsid w:val="00040A39"/>
    <w:rsid w:val="00040EB7"/>
    <w:rsid w:val="00041342"/>
    <w:rsid w:val="00041466"/>
    <w:rsid w:val="000415D7"/>
    <w:rsid w:val="00041E46"/>
    <w:rsid w:val="00042B5D"/>
    <w:rsid w:val="0004434A"/>
    <w:rsid w:val="00044E4E"/>
    <w:rsid w:val="0004587D"/>
    <w:rsid w:val="0004615B"/>
    <w:rsid w:val="00046A0B"/>
    <w:rsid w:val="000472C2"/>
    <w:rsid w:val="00051173"/>
    <w:rsid w:val="0005210E"/>
    <w:rsid w:val="000523DB"/>
    <w:rsid w:val="0005265C"/>
    <w:rsid w:val="00053102"/>
    <w:rsid w:val="00053661"/>
    <w:rsid w:val="0005447D"/>
    <w:rsid w:val="00054529"/>
    <w:rsid w:val="000547D1"/>
    <w:rsid w:val="00054E72"/>
    <w:rsid w:val="0005676D"/>
    <w:rsid w:val="00056B86"/>
    <w:rsid w:val="00057109"/>
    <w:rsid w:val="0005714C"/>
    <w:rsid w:val="0006115D"/>
    <w:rsid w:val="0006208B"/>
    <w:rsid w:val="00062A42"/>
    <w:rsid w:val="0006433F"/>
    <w:rsid w:val="00064B6D"/>
    <w:rsid w:val="00064B72"/>
    <w:rsid w:val="00065510"/>
    <w:rsid w:val="00065A95"/>
    <w:rsid w:val="0006681D"/>
    <w:rsid w:val="00067A32"/>
    <w:rsid w:val="00067EC1"/>
    <w:rsid w:val="00070981"/>
    <w:rsid w:val="00071B8C"/>
    <w:rsid w:val="00071D6A"/>
    <w:rsid w:val="00072028"/>
    <w:rsid w:val="00072FEC"/>
    <w:rsid w:val="000743A6"/>
    <w:rsid w:val="00074C3B"/>
    <w:rsid w:val="000750B3"/>
    <w:rsid w:val="0007564F"/>
    <w:rsid w:val="00077AC3"/>
    <w:rsid w:val="0008332F"/>
    <w:rsid w:val="00083E1A"/>
    <w:rsid w:val="00086023"/>
    <w:rsid w:val="000860C9"/>
    <w:rsid w:val="00086433"/>
    <w:rsid w:val="000867B5"/>
    <w:rsid w:val="000873DF"/>
    <w:rsid w:val="000874E2"/>
    <w:rsid w:val="00090DDC"/>
    <w:rsid w:val="00090E63"/>
    <w:rsid w:val="00091380"/>
    <w:rsid w:val="000914CB"/>
    <w:rsid w:val="0009165C"/>
    <w:rsid w:val="00091BB2"/>
    <w:rsid w:val="000945FF"/>
    <w:rsid w:val="00095652"/>
    <w:rsid w:val="00097410"/>
    <w:rsid w:val="000A0A46"/>
    <w:rsid w:val="000A1167"/>
    <w:rsid w:val="000A12C2"/>
    <w:rsid w:val="000A3727"/>
    <w:rsid w:val="000A38CD"/>
    <w:rsid w:val="000A746C"/>
    <w:rsid w:val="000B12AF"/>
    <w:rsid w:val="000B21CA"/>
    <w:rsid w:val="000B22AB"/>
    <w:rsid w:val="000B298E"/>
    <w:rsid w:val="000B304A"/>
    <w:rsid w:val="000B3E96"/>
    <w:rsid w:val="000B4051"/>
    <w:rsid w:val="000B4FC6"/>
    <w:rsid w:val="000B66FE"/>
    <w:rsid w:val="000B6707"/>
    <w:rsid w:val="000B72BD"/>
    <w:rsid w:val="000B737F"/>
    <w:rsid w:val="000C0272"/>
    <w:rsid w:val="000C0B01"/>
    <w:rsid w:val="000C1534"/>
    <w:rsid w:val="000C213F"/>
    <w:rsid w:val="000C295B"/>
    <w:rsid w:val="000C2E91"/>
    <w:rsid w:val="000C2EE2"/>
    <w:rsid w:val="000C31D5"/>
    <w:rsid w:val="000C3370"/>
    <w:rsid w:val="000C36FF"/>
    <w:rsid w:val="000C6B05"/>
    <w:rsid w:val="000D046B"/>
    <w:rsid w:val="000D0B46"/>
    <w:rsid w:val="000D1BD1"/>
    <w:rsid w:val="000D2D56"/>
    <w:rsid w:val="000D2E59"/>
    <w:rsid w:val="000D3229"/>
    <w:rsid w:val="000D51EA"/>
    <w:rsid w:val="000D52ED"/>
    <w:rsid w:val="000D582D"/>
    <w:rsid w:val="000D5AD8"/>
    <w:rsid w:val="000D5BB5"/>
    <w:rsid w:val="000D6519"/>
    <w:rsid w:val="000D6DA4"/>
    <w:rsid w:val="000D763F"/>
    <w:rsid w:val="000D7FD8"/>
    <w:rsid w:val="000E000F"/>
    <w:rsid w:val="000E01EC"/>
    <w:rsid w:val="000E0D3F"/>
    <w:rsid w:val="000E101E"/>
    <w:rsid w:val="000E114A"/>
    <w:rsid w:val="000E1E76"/>
    <w:rsid w:val="000E200E"/>
    <w:rsid w:val="000E30BA"/>
    <w:rsid w:val="000E3422"/>
    <w:rsid w:val="000E3BB3"/>
    <w:rsid w:val="000E3EBB"/>
    <w:rsid w:val="000E45C0"/>
    <w:rsid w:val="000E53B0"/>
    <w:rsid w:val="000E6D78"/>
    <w:rsid w:val="000F0A35"/>
    <w:rsid w:val="000F20C3"/>
    <w:rsid w:val="000F2536"/>
    <w:rsid w:val="000F2747"/>
    <w:rsid w:val="000F2925"/>
    <w:rsid w:val="000F2A0D"/>
    <w:rsid w:val="000F3639"/>
    <w:rsid w:val="000F3CFB"/>
    <w:rsid w:val="000F4374"/>
    <w:rsid w:val="000F53EA"/>
    <w:rsid w:val="000F549B"/>
    <w:rsid w:val="000F5AF2"/>
    <w:rsid w:val="000F5AF3"/>
    <w:rsid w:val="000F6731"/>
    <w:rsid w:val="000F769C"/>
    <w:rsid w:val="000F77CD"/>
    <w:rsid w:val="000F7D06"/>
    <w:rsid w:val="0010026A"/>
    <w:rsid w:val="001003AA"/>
    <w:rsid w:val="001005A5"/>
    <w:rsid w:val="00100CAF"/>
    <w:rsid w:val="00101909"/>
    <w:rsid w:val="001023C9"/>
    <w:rsid w:val="001030FC"/>
    <w:rsid w:val="00104883"/>
    <w:rsid w:val="001057FF"/>
    <w:rsid w:val="0010602A"/>
    <w:rsid w:val="00107030"/>
    <w:rsid w:val="00111DE8"/>
    <w:rsid w:val="00111E64"/>
    <w:rsid w:val="0011382D"/>
    <w:rsid w:val="001140A7"/>
    <w:rsid w:val="001156A5"/>
    <w:rsid w:val="0011585D"/>
    <w:rsid w:val="00116044"/>
    <w:rsid w:val="00116786"/>
    <w:rsid w:val="001170A5"/>
    <w:rsid w:val="00117410"/>
    <w:rsid w:val="00120E27"/>
    <w:rsid w:val="00122209"/>
    <w:rsid w:val="0012251B"/>
    <w:rsid w:val="00124756"/>
    <w:rsid w:val="001247E7"/>
    <w:rsid w:val="001256A4"/>
    <w:rsid w:val="001263DD"/>
    <w:rsid w:val="001269E7"/>
    <w:rsid w:val="0012723B"/>
    <w:rsid w:val="00127C7C"/>
    <w:rsid w:val="001302D2"/>
    <w:rsid w:val="00130D12"/>
    <w:rsid w:val="001320FA"/>
    <w:rsid w:val="0013311C"/>
    <w:rsid w:val="00134F6F"/>
    <w:rsid w:val="00135D4C"/>
    <w:rsid w:val="001377A0"/>
    <w:rsid w:val="00137A0F"/>
    <w:rsid w:val="00137E01"/>
    <w:rsid w:val="00142BAF"/>
    <w:rsid w:val="00142E6B"/>
    <w:rsid w:val="001435C2"/>
    <w:rsid w:val="001451FE"/>
    <w:rsid w:val="00145377"/>
    <w:rsid w:val="00145D9F"/>
    <w:rsid w:val="00145F97"/>
    <w:rsid w:val="00146A00"/>
    <w:rsid w:val="00146B90"/>
    <w:rsid w:val="00146D15"/>
    <w:rsid w:val="00146FDD"/>
    <w:rsid w:val="0014753F"/>
    <w:rsid w:val="0014787B"/>
    <w:rsid w:val="00147B43"/>
    <w:rsid w:val="00150A1D"/>
    <w:rsid w:val="00150AB6"/>
    <w:rsid w:val="001517B3"/>
    <w:rsid w:val="00151E83"/>
    <w:rsid w:val="00151FDB"/>
    <w:rsid w:val="0015209E"/>
    <w:rsid w:val="0015316B"/>
    <w:rsid w:val="00153521"/>
    <w:rsid w:val="0015415D"/>
    <w:rsid w:val="00154192"/>
    <w:rsid w:val="0015610B"/>
    <w:rsid w:val="00156D8B"/>
    <w:rsid w:val="00157038"/>
    <w:rsid w:val="0015795C"/>
    <w:rsid w:val="001605C4"/>
    <w:rsid w:val="0016077C"/>
    <w:rsid w:val="001629D7"/>
    <w:rsid w:val="00163A1D"/>
    <w:rsid w:val="00164146"/>
    <w:rsid w:val="001647D3"/>
    <w:rsid w:val="00164C26"/>
    <w:rsid w:val="00166456"/>
    <w:rsid w:val="00166666"/>
    <w:rsid w:val="001674E0"/>
    <w:rsid w:val="00167936"/>
    <w:rsid w:val="00167A0A"/>
    <w:rsid w:val="00167AE0"/>
    <w:rsid w:val="00170435"/>
    <w:rsid w:val="001715D0"/>
    <w:rsid w:val="001722BE"/>
    <w:rsid w:val="001729E0"/>
    <w:rsid w:val="00172A27"/>
    <w:rsid w:val="00172B1D"/>
    <w:rsid w:val="00172B1E"/>
    <w:rsid w:val="00172F99"/>
    <w:rsid w:val="001730CF"/>
    <w:rsid w:val="00173335"/>
    <w:rsid w:val="00173427"/>
    <w:rsid w:val="001737E7"/>
    <w:rsid w:val="00174129"/>
    <w:rsid w:val="00174C5E"/>
    <w:rsid w:val="00175121"/>
    <w:rsid w:val="00175258"/>
    <w:rsid w:val="00175D3D"/>
    <w:rsid w:val="001761A7"/>
    <w:rsid w:val="001764DC"/>
    <w:rsid w:val="0017651A"/>
    <w:rsid w:val="00177F07"/>
    <w:rsid w:val="001801A7"/>
    <w:rsid w:val="00180565"/>
    <w:rsid w:val="00181CFE"/>
    <w:rsid w:val="00181DB8"/>
    <w:rsid w:val="001845D2"/>
    <w:rsid w:val="001851E0"/>
    <w:rsid w:val="00185243"/>
    <w:rsid w:val="00185588"/>
    <w:rsid w:val="00185747"/>
    <w:rsid w:val="00185BC1"/>
    <w:rsid w:val="0018609B"/>
    <w:rsid w:val="0018723C"/>
    <w:rsid w:val="001874F4"/>
    <w:rsid w:val="0018781C"/>
    <w:rsid w:val="00187A3D"/>
    <w:rsid w:val="00187FF8"/>
    <w:rsid w:val="001900E3"/>
    <w:rsid w:val="001915B6"/>
    <w:rsid w:val="0019164D"/>
    <w:rsid w:val="0019191E"/>
    <w:rsid w:val="00191BDE"/>
    <w:rsid w:val="00191C2B"/>
    <w:rsid w:val="00192B35"/>
    <w:rsid w:val="00192EF1"/>
    <w:rsid w:val="0019460D"/>
    <w:rsid w:val="00194876"/>
    <w:rsid w:val="00197671"/>
    <w:rsid w:val="001A010B"/>
    <w:rsid w:val="001A046F"/>
    <w:rsid w:val="001A0751"/>
    <w:rsid w:val="001A2162"/>
    <w:rsid w:val="001A303B"/>
    <w:rsid w:val="001A31B6"/>
    <w:rsid w:val="001A3381"/>
    <w:rsid w:val="001A370A"/>
    <w:rsid w:val="001A3E9C"/>
    <w:rsid w:val="001A55E7"/>
    <w:rsid w:val="001B0799"/>
    <w:rsid w:val="001B0917"/>
    <w:rsid w:val="001B1171"/>
    <w:rsid w:val="001B120A"/>
    <w:rsid w:val="001B2153"/>
    <w:rsid w:val="001B2F04"/>
    <w:rsid w:val="001B32BE"/>
    <w:rsid w:val="001B341E"/>
    <w:rsid w:val="001B3745"/>
    <w:rsid w:val="001B3E7E"/>
    <w:rsid w:val="001B4FBC"/>
    <w:rsid w:val="001B70E7"/>
    <w:rsid w:val="001C0C9C"/>
    <w:rsid w:val="001C257F"/>
    <w:rsid w:val="001C2AD2"/>
    <w:rsid w:val="001C3329"/>
    <w:rsid w:val="001C47D5"/>
    <w:rsid w:val="001C4B65"/>
    <w:rsid w:val="001C4F88"/>
    <w:rsid w:val="001C547B"/>
    <w:rsid w:val="001C550F"/>
    <w:rsid w:val="001C5A81"/>
    <w:rsid w:val="001C5C2A"/>
    <w:rsid w:val="001C6596"/>
    <w:rsid w:val="001C667B"/>
    <w:rsid w:val="001C67A1"/>
    <w:rsid w:val="001D0BE3"/>
    <w:rsid w:val="001D0F99"/>
    <w:rsid w:val="001D19A4"/>
    <w:rsid w:val="001D2175"/>
    <w:rsid w:val="001D2F3F"/>
    <w:rsid w:val="001D3054"/>
    <w:rsid w:val="001D344D"/>
    <w:rsid w:val="001D4056"/>
    <w:rsid w:val="001D4F05"/>
    <w:rsid w:val="001D526C"/>
    <w:rsid w:val="001D59FE"/>
    <w:rsid w:val="001D5F32"/>
    <w:rsid w:val="001D69F2"/>
    <w:rsid w:val="001D7BA6"/>
    <w:rsid w:val="001E040A"/>
    <w:rsid w:val="001E0BD7"/>
    <w:rsid w:val="001E12D8"/>
    <w:rsid w:val="001E254F"/>
    <w:rsid w:val="001E392A"/>
    <w:rsid w:val="001E3B5E"/>
    <w:rsid w:val="001E4A87"/>
    <w:rsid w:val="001E56C1"/>
    <w:rsid w:val="001E5C0B"/>
    <w:rsid w:val="001E6A79"/>
    <w:rsid w:val="001E7026"/>
    <w:rsid w:val="001E7087"/>
    <w:rsid w:val="001E7B1E"/>
    <w:rsid w:val="001F003D"/>
    <w:rsid w:val="001F02EA"/>
    <w:rsid w:val="001F048E"/>
    <w:rsid w:val="001F14E8"/>
    <w:rsid w:val="001F1C50"/>
    <w:rsid w:val="001F2C70"/>
    <w:rsid w:val="001F40C8"/>
    <w:rsid w:val="001F516C"/>
    <w:rsid w:val="001F52FD"/>
    <w:rsid w:val="001F57B6"/>
    <w:rsid w:val="001F6586"/>
    <w:rsid w:val="001F70C1"/>
    <w:rsid w:val="00200E12"/>
    <w:rsid w:val="002019D0"/>
    <w:rsid w:val="0020207F"/>
    <w:rsid w:val="002031AD"/>
    <w:rsid w:val="00203574"/>
    <w:rsid w:val="00204113"/>
    <w:rsid w:val="002043C1"/>
    <w:rsid w:val="002054BE"/>
    <w:rsid w:val="0020559D"/>
    <w:rsid w:val="00205802"/>
    <w:rsid w:val="00205922"/>
    <w:rsid w:val="00205A46"/>
    <w:rsid w:val="00205E32"/>
    <w:rsid w:val="00206773"/>
    <w:rsid w:val="00206789"/>
    <w:rsid w:val="0020684D"/>
    <w:rsid w:val="0021042A"/>
    <w:rsid w:val="002106B6"/>
    <w:rsid w:val="002107C8"/>
    <w:rsid w:val="00210EEB"/>
    <w:rsid w:val="00211440"/>
    <w:rsid w:val="002118C9"/>
    <w:rsid w:val="00211BDC"/>
    <w:rsid w:val="00211F64"/>
    <w:rsid w:val="00213557"/>
    <w:rsid w:val="00214D4B"/>
    <w:rsid w:val="00214D95"/>
    <w:rsid w:val="00215DE6"/>
    <w:rsid w:val="002160E1"/>
    <w:rsid w:val="0021690F"/>
    <w:rsid w:val="00216C0D"/>
    <w:rsid w:val="00216C8C"/>
    <w:rsid w:val="00216D45"/>
    <w:rsid w:val="00217291"/>
    <w:rsid w:val="002173F5"/>
    <w:rsid w:val="00217D20"/>
    <w:rsid w:val="002207FA"/>
    <w:rsid w:val="002209F6"/>
    <w:rsid w:val="00220F1E"/>
    <w:rsid w:val="002224CD"/>
    <w:rsid w:val="002227F1"/>
    <w:rsid w:val="00222A8B"/>
    <w:rsid w:val="00223345"/>
    <w:rsid w:val="0022543E"/>
    <w:rsid w:val="00225B44"/>
    <w:rsid w:val="00225C97"/>
    <w:rsid w:val="00225CC8"/>
    <w:rsid w:val="002267E1"/>
    <w:rsid w:val="00226E3A"/>
    <w:rsid w:val="00227443"/>
    <w:rsid w:val="0023004E"/>
    <w:rsid w:val="002310E9"/>
    <w:rsid w:val="00231640"/>
    <w:rsid w:val="002317CB"/>
    <w:rsid w:val="00232460"/>
    <w:rsid w:val="00232B39"/>
    <w:rsid w:val="00232D2E"/>
    <w:rsid w:val="00233AF3"/>
    <w:rsid w:val="00233EE8"/>
    <w:rsid w:val="0023405E"/>
    <w:rsid w:val="00234DF2"/>
    <w:rsid w:val="0023523C"/>
    <w:rsid w:val="002356B3"/>
    <w:rsid w:val="00236AE6"/>
    <w:rsid w:val="0023771A"/>
    <w:rsid w:val="0024020E"/>
    <w:rsid w:val="00241B43"/>
    <w:rsid w:val="00242CBE"/>
    <w:rsid w:val="002457BC"/>
    <w:rsid w:val="002458DA"/>
    <w:rsid w:val="002465CF"/>
    <w:rsid w:val="00246B1E"/>
    <w:rsid w:val="00247977"/>
    <w:rsid w:val="00247E88"/>
    <w:rsid w:val="002504E3"/>
    <w:rsid w:val="00250FAE"/>
    <w:rsid w:val="002513E5"/>
    <w:rsid w:val="00251E54"/>
    <w:rsid w:val="002551F9"/>
    <w:rsid w:val="00255C8C"/>
    <w:rsid w:val="00256874"/>
    <w:rsid w:val="00256E66"/>
    <w:rsid w:val="002578A9"/>
    <w:rsid w:val="00260464"/>
    <w:rsid w:val="00261E56"/>
    <w:rsid w:val="00261EB8"/>
    <w:rsid w:val="0026225A"/>
    <w:rsid w:val="00262266"/>
    <w:rsid w:val="002625AF"/>
    <w:rsid w:val="00262EB7"/>
    <w:rsid w:val="00263248"/>
    <w:rsid w:val="00263BA9"/>
    <w:rsid w:val="002653FE"/>
    <w:rsid w:val="00265938"/>
    <w:rsid w:val="00265D62"/>
    <w:rsid w:val="00266F08"/>
    <w:rsid w:val="00267E53"/>
    <w:rsid w:val="002709C5"/>
    <w:rsid w:val="0027121D"/>
    <w:rsid w:val="00271EE5"/>
    <w:rsid w:val="00273C39"/>
    <w:rsid w:val="00273C8D"/>
    <w:rsid w:val="00274206"/>
    <w:rsid w:val="0027484E"/>
    <w:rsid w:val="00274DC7"/>
    <w:rsid w:val="0027615B"/>
    <w:rsid w:val="00276E06"/>
    <w:rsid w:val="0027742E"/>
    <w:rsid w:val="00280246"/>
    <w:rsid w:val="002816C7"/>
    <w:rsid w:val="002818F4"/>
    <w:rsid w:val="00282950"/>
    <w:rsid w:val="00282A2E"/>
    <w:rsid w:val="002849D1"/>
    <w:rsid w:val="00284BAD"/>
    <w:rsid w:val="002852B8"/>
    <w:rsid w:val="00286B88"/>
    <w:rsid w:val="0029079C"/>
    <w:rsid w:val="00290CBC"/>
    <w:rsid w:val="00291E86"/>
    <w:rsid w:val="00292659"/>
    <w:rsid w:val="00293966"/>
    <w:rsid w:val="00293D01"/>
    <w:rsid w:val="002949D7"/>
    <w:rsid w:val="00295A44"/>
    <w:rsid w:val="00295C89"/>
    <w:rsid w:val="0029630A"/>
    <w:rsid w:val="00296ECB"/>
    <w:rsid w:val="00297505"/>
    <w:rsid w:val="00297867"/>
    <w:rsid w:val="00297884"/>
    <w:rsid w:val="00297C70"/>
    <w:rsid w:val="00297F9F"/>
    <w:rsid w:val="002A192A"/>
    <w:rsid w:val="002A232E"/>
    <w:rsid w:val="002A3624"/>
    <w:rsid w:val="002A381C"/>
    <w:rsid w:val="002A3D29"/>
    <w:rsid w:val="002A4105"/>
    <w:rsid w:val="002A468E"/>
    <w:rsid w:val="002A4B11"/>
    <w:rsid w:val="002A6F88"/>
    <w:rsid w:val="002A7F44"/>
    <w:rsid w:val="002B16AD"/>
    <w:rsid w:val="002B179C"/>
    <w:rsid w:val="002B1EF9"/>
    <w:rsid w:val="002B22F1"/>
    <w:rsid w:val="002B3B8C"/>
    <w:rsid w:val="002B4019"/>
    <w:rsid w:val="002B4AAF"/>
    <w:rsid w:val="002B5736"/>
    <w:rsid w:val="002B597F"/>
    <w:rsid w:val="002B6EC2"/>
    <w:rsid w:val="002B6FCF"/>
    <w:rsid w:val="002B7053"/>
    <w:rsid w:val="002B778D"/>
    <w:rsid w:val="002B7CF8"/>
    <w:rsid w:val="002C1296"/>
    <w:rsid w:val="002C1367"/>
    <w:rsid w:val="002C1525"/>
    <w:rsid w:val="002C21B4"/>
    <w:rsid w:val="002C2708"/>
    <w:rsid w:val="002C2D60"/>
    <w:rsid w:val="002C32B5"/>
    <w:rsid w:val="002C33A5"/>
    <w:rsid w:val="002C3579"/>
    <w:rsid w:val="002C4202"/>
    <w:rsid w:val="002C42E9"/>
    <w:rsid w:val="002C5936"/>
    <w:rsid w:val="002C5955"/>
    <w:rsid w:val="002C5E05"/>
    <w:rsid w:val="002C66A8"/>
    <w:rsid w:val="002C7DB3"/>
    <w:rsid w:val="002C7F30"/>
    <w:rsid w:val="002D1B56"/>
    <w:rsid w:val="002D3189"/>
    <w:rsid w:val="002D3233"/>
    <w:rsid w:val="002D415F"/>
    <w:rsid w:val="002D4D3A"/>
    <w:rsid w:val="002D7887"/>
    <w:rsid w:val="002D78E2"/>
    <w:rsid w:val="002E01C1"/>
    <w:rsid w:val="002E04AA"/>
    <w:rsid w:val="002E07F5"/>
    <w:rsid w:val="002E0AEE"/>
    <w:rsid w:val="002E161C"/>
    <w:rsid w:val="002E2D91"/>
    <w:rsid w:val="002E34AD"/>
    <w:rsid w:val="002E6355"/>
    <w:rsid w:val="002E656A"/>
    <w:rsid w:val="002E6A1E"/>
    <w:rsid w:val="002E7397"/>
    <w:rsid w:val="002E7644"/>
    <w:rsid w:val="002F2450"/>
    <w:rsid w:val="002F3320"/>
    <w:rsid w:val="002F3B37"/>
    <w:rsid w:val="002F3C12"/>
    <w:rsid w:val="002F43FC"/>
    <w:rsid w:val="002F442B"/>
    <w:rsid w:val="002F5418"/>
    <w:rsid w:val="002F5959"/>
    <w:rsid w:val="002F5CE0"/>
    <w:rsid w:val="002F6CA1"/>
    <w:rsid w:val="00300176"/>
    <w:rsid w:val="003016FF"/>
    <w:rsid w:val="003017E5"/>
    <w:rsid w:val="00302552"/>
    <w:rsid w:val="00302AD4"/>
    <w:rsid w:val="00302B1E"/>
    <w:rsid w:val="003038D1"/>
    <w:rsid w:val="00303948"/>
    <w:rsid w:val="003049B9"/>
    <w:rsid w:val="00305DCE"/>
    <w:rsid w:val="00305F64"/>
    <w:rsid w:val="00306691"/>
    <w:rsid w:val="00307522"/>
    <w:rsid w:val="003103DE"/>
    <w:rsid w:val="003107A5"/>
    <w:rsid w:val="00311A9B"/>
    <w:rsid w:val="003121C9"/>
    <w:rsid w:val="0031278F"/>
    <w:rsid w:val="0031294D"/>
    <w:rsid w:val="00312DF8"/>
    <w:rsid w:val="0031304B"/>
    <w:rsid w:val="003131E5"/>
    <w:rsid w:val="00315C4B"/>
    <w:rsid w:val="00315E5D"/>
    <w:rsid w:val="00317ADD"/>
    <w:rsid w:val="00320327"/>
    <w:rsid w:val="003204C7"/>
    <w:rsid w:val="00320B94"/>
    <w:rsid w:val="003228AE"/>
    <w:rsid w:val="00322E8A"/>
    <w:rsid w:val="0032301B"/>
    <w:rsid w:val="003238EE"/>
    <w:rsid w:val="00323EB1"/>
    <w:rsid w:val="003253E6"/>
    <w:rsid w:val="00325970"/>
    <w:rsid w:val="00325AF9"/>
    <w:rsid w:val="00326234"/>
    <w:rsid w:val="00330DE8"/>
    <w:rsid w:val="003314D9"/>
    <w:rsid w:val="00331600"/>
    <w:rsid w:val="00331C2B"/>
    <w:rsid w:val="003323C2"/>
    <w:rsid w:val="003323C8"/>
    <w:rsid w:val="00332EDA"/>
    <w:rsid w:val="00332F6A"/>
    <w:rsid w:val="00333564"/>
    <w:rsid w:val="00333A3E"/>
    <w:rsid w:val="00334950"/>
    <w:rsid w:val="00334F60"/>
    <w:rsid w:val="00335216"/>
    <w:rsid w:val="0033533B"/>
    <w:rsid w:val="00336171"/>
    <w:rsid w:val="003362C7"/>
    <w:rsid w:val="00336AD5"/>
    <w:rsid w:val="00336C42"/>
    <w:rsid w:val="00337817"/>
    <w:rsid w:val="00341058"/>
    <w:rsid w:val="00341441"/>
    <w:rsid w:val="00341803"/>
    <w:rsid w:val="0034404C"/>
    <w:rsid w:val="00344342"/>
    <w:rsid w:val="0034434C"/>
    <w:rsid w:val="003450E6"/>
    <w:rsid w:val="003458DA"/>
    <w:rsid w:val="00345E59"/>
    <w:rsid w:val="00345E6E"/>
    <w:rsid w:val="00345F82"/>
    <w:rsid w:val="003468D5"/>
    <w:rsid w:val="0034736F"/>
    <w:rsid w:val="00352540"/>
    <w:rsid w:val="00352757"/>
    <w:rsid w:val="00353E2A"/>
    <w:rsid w:val="00354046"/>
    <w:rsid w:val="00354193"/>
    <w:rsid w:val="00354338"/>
    <w:rsid w:val="0035433C"/>
    <w:rsid w:val="003555F1"/>
    <w:rsid w:val="00356F19"/>
    <w:rsid w:val="00357066"/>
    <w:rsid w:val="0036110D"/>
    <w:rsid w:val="00361DE8"/>
    <w:rsid w:val="00362548"/>
    <w:rsid w:val="00364C2A"/>
    <w:rsid w:val="00366398"/>
    <w:rsid w:val="00366782"/>
    <w:rsid w:val="00366B57"/>
    <w:rsid w:val="003702CC"/>
    <w:rsid w:val="003704BA"/>
    <w:rsid w:val="00373214"/>
    <w:rsid w:val="00373C6C"/>
    <w:rsid w:val="00375927"/>
    <w:rsid w:val="00375B63"/>
    <w:rsid w:val="00375CA0"/>
    <w:rsid w:val="0037606A"/>
    <w:rsid w:val="00376E66"/>
    <w:rsid w:val="003802AA"/>
    <w:rsid w:val="00380312"/>
    <w:rsid w:val="00380915"/>
    <w:rsid w:val="00380AD9"/>
    <w:rsid w:val="0038144F"/>
    <w:rsid w:val="00381629"/>
    <w:rsid w:val="00381B07"/>
    <w:rsid w:val="00381BA7"/>
    <w:rsid w:val="00382D3E"/>
    <w:rsid w:val="003837CB"/>
    <w:rsid w:val="0038465E"/>
    <w:rsid w:val="00384DFA"/>
    <w:rsid w:val="00387B53"/>
    <w:rsid w:val="00390117"/>
    <w:rsid w:val="00390388"/>
    <w:rsid w:val="003906AD"/>
    <w:rsid w:val="00390D03"/>
    <w:rsid w:val="00391F09"/>
    <w:rsid w:val="00393A86"/>
    <w:rsid w:val="00394027"/>
    <w:rsid w:val="00394A5D"/>
    <w:rsid w:val="00394CEA"/>
    <w:rsid w:val="0039592D"/>
    <w:rsid w:val="00396355"/>
    <w:rsid w:val="00397973"/>
    <w:rsid w:val="003A0CB0"/>
    <w:rsid w:val="003A0F3F"/>
    <w:rsid w:val="003A161A"/>
    <w:rsid w:val="003A2C5D"/>
    <w:rsid w:val="003A4415"/>
    <w:rsid w:val="003A444C"/>
    <w:rsid w:val="003A4460"/>
    <w:rsid w:val="003A6032"/>
    <w:rsid w:val="003A6D89"/>
    <w:rsid w:val="003A70CF"/>
    <w:rsid w:val="003A780F"/>
    <w:rsid w:val="003B0020"/>
    <w:rsid w:val="003B008A"/>
    <w:rsid w:val="003B06BB"/>
    <w:rsid w:val="003B185B"/>
    <w:rsid w:val="003B1A7E"/>
    <w:rsid w:val="003B1D70"/>
    <w:rsid w:val="003B1DA4"/>
    <w:rsid w:val="003B293C"/>
    <w:rsid w:val="003B331F"/>
    <w:rsid w:val="003B430A"/>
    <w:rsid w:val="003B6231"/>
    <w:rsid w:val="003B7C83"/>
    <w:rsid w:val="003C0420"/>
    <w:rsid w:val="003C0567"/>
    <w:rsid w:val="003C088C"/>
    <w:rsid w:val="003C141A"/>
    <w:rsid w:val="003C1FD9"/>
    <w:rsid w:val="003C2216"/>
    <w:rsid w:val="003C285A"/>
    <w:rsid w:val="003C2DAB"/>
    <w:rsid w:val="003C359B"/>
    <w:rsid w:val="003C3D30"/>
    <w:rsid w:val="003C3ECE"/>
    <w:rsid w:val="003C44CC"/>
    <w:rsid w:val="003C5469"/>
    <w:rsid w:val="003C6B8B"/>
    <w:rsid w:val="003C6FCD"/>
    <w:rsid w:val="003D01BC"/>
    <w:rsid w:val="003D067D"/>
    <w:rsid w:val="003D0D1B"/>
    <w:rsid w:val="003D1124"/>
    <w:rsid w:val="003D1E24"/>
    <w:rsid w:val="003D220B"/>
    <w:rsid w:val="003D312E"/>
    <w:rsid w:val="003D365F"/>
    <w:rsid w:val="003D41F1"/>
    <w:rsid w:val="003D47D1"/>
    <w:rsid w:val="003D4A61"/>
    <w:rsid w:val="003D4AA1"/>
    <w:rsid w:val="003D504F"/>
    <w:rsid w:val="003D51D1"/>
    <w:rsid w:val="003D6966"/>
    <w:rsid w:val="003D6BC3"/>
    <w:rsid w:val="003D6FC5"/>
    <w:rsid w:val="003D7D49"/>
    <w:rsid w:val="003D7F4A"/>
    <w:rsid w:val="003E08A4"/>
    <w:rsid w:val="003E19E0"/>
    <w:rsid w:val="003E1E70"/>
    <w:rsid w:val="003E36DB"/>
    <w:rsid w:val="003E374F"/>
    <w:rsid w:val="003E3CEB"/>
    <w:rsid w:val="003E3DE1"/>
    <w:rsid w:val="003E4028"/>
    <w:rsid w:val="003E46AC"/>
    <w:rsid w:val="003E4D3C"/>
    <w:rsid w:val="003E5EF9"/>
    <w:rsid w:val="003E6877"/>
    <w:rsid w:val="003E69AB"/>
    <w:rsid w:val="003E6CDF"/>
    <w:rsid w:val="003E7383"/>
    <w:rsid w:val="003F028E"/>
    <w:rsid w:val="003F04D4"/>
    <w:rsid w:val="003F077E"/>
    <w:rsid w:val="003F1D19"/>
    <w:rsid w:val="003F2578"/>
    <w:rsid w:val="003F3580"/>
    <w:rsid w:val="003F5F10"/>
    <w:rsid w:val="003F6615"/>
    <w:rsid w:val="003F67DC"/>
    <w:rsid w:val="003F7536"/>
    <w:rsid w:val="003F75F5"/>
    <w:rsid w:val="00400CBE"/>
    <w:rsid w:val="00403A35"/>
    <w:rsid w:val="00403D08"/>
    <w:rsid w:val="00404099"/>
    <w:rsid w:val="004041E9"/>
    <w:rsid w:val="00404F38"/>
    <w:rsid w:val="004051F7"/>
    <w:rsid w:val="00405F65"/>
    <w:rsid w:val="00407388"/>
    <w:rsid w:val="004077AF"/>
    <w:rsid w:val="00410108"/>
    <w:rsid w:val="00411A8D"/>
    <w:rsid w:val="00411C3F"/>
    <w:rsid w:val="004127DA"/>
    <w:rsid w:val="00413319"/>
    <w:rsid w:val="004140D3"/>
    <w:rsid w:val="0041451A"/>
    <w:rsid w:val="00415869"/>
    <w:rsid w:val="00416378"/>
    <w:rsid w:val="00416959"/>
    <w:rsid w:val="00417648"/>
    <w:rsid w:val="00417663"/>
    <w:rsid w:val="00420530"/>
    <w:rsid w:val="00420FD0"/>
    <w:rsid w:val="00421A63"/>
    <w:rsid w:val="00422291"/>
    <w:rsid w:val="0042392A"/>
    <w:rsid w:val="00423F75"/>
    <w:rsid w:val="00425744"/>
    <w:rsid w:val="004264CE"/>
    <w:rsid w:val="00426CD4"/>
    <w:rsid w:val="00427140"/>
    <w:rsid w:val="0042734B"/>
    <w:rsid w:val="00427A59"/>
    <w:rsid w:val="00427C46"/>
    <w:rsid w:val="00432852"/>
    <w:rsid w:val="00432A37"/>
    <w:rsid w:val="00432AE9"/>
    <w:rsid w:val="00433A31"/>
    <w:rsid w:val="00434920"/>
    <w:rsid w:val="0043543F"/>
    <w:rsid w:val="00435792"/>
    <w:rsid w:val="00436278"/>
    <w:rsid w:val="0043690C"/>
    <w:rsid w:val="00436AAA"/>
    <w:rsid w:val="004373CE"/>
    <w:rsid w:val="00437BE0"/>
    <w:rsid w:val="00437C28"/>
    <w:rsid w:val="004402FA"/>
    <w:rsid w:val="00441B23"/>
    <w:rsid w:val="00444EA3"/>
    <w:rsid w:val="00445350"/>
    <w:rsid w:val="00445C71"/>
    <w:rsid w:val="00446A40"/>
    <w:rsid w:val="004472AB"/>
    <w:rsid w:val="00450440"/>
    <w:rsid w:val="0045089B"/>
    <w:rsid w:val="0045218A"/>
    <w:rsid w:val="004524A1"/>
    <w:rsid w:val="00453B17"/>
    <w:rsid w:val="00453B49"/>
    <w:rsid w:val="00453C42"/>
    <w:rsid w:val="004547C7"/>
    <w:rsid w:val="00455255"/>
    <w:rsid w:val="00455619"/>
    <w:rsid w:val="00456622"/>
    <w:rsid w:val="004569B3"/>
    <w:rsid w:val="00456C0D"/>
    <w:rsid w:val="00456CEF"/>
    <w:rsid w:val="00457286"/>
    <w:rsid w:val="004607CF"/>
    <w:rsid w:val="00460CF6"/>
    <w:rsid w:val="00461A4C"/>
    <w:rsid w:val="00461E1F"/>
    <w:rsid w:val="00462097"/>
    <w:rsid w:val="00462E40"/>
    <w:rsid w:val="004633EF"/>
    <w:rsid w:val="004663AD"/>
    <w:rsid w:val="0046692B"/>
    <w:rsid w:val="00470506"/>
    <w:rsid w:val="004706AA"/>
    <w:rsid w:val="0047074D"/>
    <w:rsid w:val="00470BB7"/>
    <w:rsid w:val="00470D4B"/>
    <w:rsid w:val="00470ED8"/>
    <w:rsid w:val="00471243"/>
    <w:rsid w:val="00471250"/>
    <w:rsid w:val="00473708"/>
    <w:rsid w:val="00474550"/>
    <w:rsid w:val="00474A89"/>
    <w:rsid w:val="00475C35"/>
    <w:rsid w:val="00476075"/>
    <w:rsid w:val="004802D6"/>
    <w:rsid w:val="00483645"/>
    <w:rsid w:val="0048385A"/>
    <w:rsid w:val="00483923"/>
    <w:rsid w:val="00484320"/>
    <w:rsid w:val="004846F6"/>
    <w:rsid w:val="00485D05"/>
    <w:rsid w:val="00485F59"/>
    <w:rsid w:val="004862D7"/>
    <w:rsid w:val="00486329"/>
    <w:rsid w:val="004868D2"/>
    <w:rsid w:val="00486FD6"/>
    <w:rsid w:val="00487010"/>
    <w:rsid w:val="00487DFC"/>
    <w:rsid w:val="00487F6C"/>
    <w:rsid w:val="00492D35"/>
    <w:rsid w:val="00492F1A"/>
    <w:rsid w:val="0049323C"/>
    <w:rsid w:val="004939E9"/>
    <w:rsid w:val="00493F75"/>
    <w:rsid w:val="00494BC3"/>
    <w:rsid w:val="0049739F"/>
    <w:rsid w:val="00497458"/>
    <w:rsid w:val="004A06BC"/>
    <w:rsid w:val="004A0C73"/>
    <w:rsid w:val="004A1264"/>
    <w:rsid w:val="004A247C"/>
    <w:rsid w:val="004A3104"/>
    <w:rsid w:val="004A314C"/>
    <w:rsid w:val="004A405B"/>
    <w:rsid w:val="004A45A8"/>
    <w:rsid w:val="004A4FF9"/>
    <w:rsid w:val="004A58F3"/>
    <w:rsid w:val="004A5E90"/>
    <w:rsid w:val="004A6287"/>
    <w:rsid w:val="004A6C3B"/>
    <w:rsid w:val="004A6E47"/>
    <w:rsid w:val="004A703C"/>
    <w:rsid w:val="004A7A91"/>
    <w:rsid w:val="004B0067"/>
    <w:rsid w:val="004B11DE"/>
    <w:rsid w:val="004B227E"/>
    <w:rsid w:val="004B4E3C"/>
    <w:rsid w:val="004B523C"/>
    <w:rsid w:val="004B586F"/>
    <w:rsid w:val="004B58F1"/>
    <w:rsid w:val="004B7313"/>
    <w:rsid w:val="004B7C8E"/>
    <w:rsid w:val="004C023F"/>
    <w:rsid w:val="004C08B7"/>
    <w:rsid w:val="004C14AF"/>
    <w:rsid w:val="004C1C4D"/>
    <w:rsid w:val="004C1DDC"/>
    <w:rsid w:val="004C2886"/>
    <w:rsid w:val="004C3334"/>
    <w:rsid w:val="004C34EE"/>
    <w:rsid w:val="004C3AB8"/>
    <w:rsid w:val="004C3CF0"/>
    <w:rsid w:val="004C3EF9"/>
    <w:rsid w:val="004C4221"/>
    <w:rsid w:val="004C7B53"/>
    <w:rsid w:val="004D0D66"/>
    <w:rsid w:val="004D15C0"/>
    <w:rsid w:val="004D261A"/>
    <w:rsid w:val="004D308F"/>
    <w:rsid w:val="004D3227"/>
    <w:rsid w:val="004D4F8F"/>
    <w:rsid w:val="004D776C"/>
    <w:rsid w:val="004E00ED"/>
    <w:rsid w:val="004E0E21"/>
    <w:rsid w:val="004E3B72"/>
    <w:rsid w:val="004E4C1F"/>
    <w:rsid w:val="004E505C"/>
    <w:rsid w:val="004E5AB8"/>
    <w:rsid w:val="004E61F6"/>
    <w:rsid w:val="004E7087"/>
    <w:rsid w:val="004E7376"/>
    <w:rsid w:val="004E7D8F"/>
    <w:rsid w:val="004F0BE2"/>
    <w:rsid w:val="004F1A0C"/>
    <w:rsid w:val="004F1DB2"/>
    <w:rsid w:val="004F1F8F"/>
    <w:rsid w:val="004F1F91"/>
    <w:rsid w:val="004F2435"/>
    <w:rsid w:val="004F2439"/>
    <w:rsid w:val="004F2DAA"/>
    <w:rsid w:val="004F30A1"/>
    <w:rsid w:val="004F3704"/>
    <w:rsid w:val="004F3F2D"/>
    <w:rsid w:val="004F4527"/>
    <w:rsid w:val="004F4FE3"/>
    <w:rsid w:val="004F52CB"/>
    <w:rsid w:val="004F5D7C"/>
    <w:rsid w:val="004F6D85"/>
    <w:rsid w:val="004F794E"/>
    <w:rsid w:val="005002E0"/>
    <w:rsid w:val="00502350"/>
    <w:rsid w:val="0050256E"/>
    <w:rsid w:val="0050407A"/>
    <w:rsid w:val="005042C4"/>
    <w:rsid w:val="00504583"/>
    <w:rsid w:val="00504D49"/>
    <w:rsid w:val="00505368"/>
    <w:rsid w:val="00507425"/>
    <w:rsid w:val="00507427"/>
    <w:rsid w:val="0051052F"/>
    <w:rsid w:val="005123D8"/>
    <w:rsid w:val="0051273C"/>
    <w:rsid w:val="00512AAF"/>
    <w:rsid w:val="005147FD"/>
    <w:rsid w:val="00514ACE"/>
    <w:rsid w:val="00514DC3"/>
    <w:rsid w:val="00515146"/>
    <w:rsid w:val="0051566E"/>
    <w:rsid w:val="00515AFD"/>
    <w:rsid w:val="00515F52"/>
    <w:rsid w:val="00516A7F"/>
    <w:rsid w:val="00516C16"/>
    <w:rsid w:val="00516C74"/>
    <w:rsid w:val="00517496"/>
    <w:rsid w:val="0052022E"/>
    <w:rsid w:val="00520382"/>
    <w:rsid w:val="005211CC"/>
    <w:rsid w:val="005219A3"/>
    <w:rsid w:val="00523CB8"/>
    <w:rsid w:val="005241AD"/>
    <w:rsid w:val="0052483D"/>
    <w:rsid w:val="00524DDA"/>
    <w:rsid w:val="005254D9"/>
    <w:rsid w:val="005264A2"/>
    <w:rsid w:val="00526640"/>
    <w:rsid w:val="00526C76"/>
    <w:rsid w:val="00527D22"/>
    <w:rsid w:val="00527ED6"/>
    <w:rsid w:val="00527EFF"/>
    <w:rsid w:val="00530245"/>
    <w:rsid w:val="005315A0"/>
    <w:rsid w:val="005323E6"/>
    <w:rsid w:val="005331ED"/>
    <w:rsid w:val="00533520"/>
    <w:rsid w:val="00533F5D"/>
    <w:rsid w:val="00534B7B"/>
    <w:rsid w:val="00535489"/>
    <w:rsid w:val="005365AF"/>
    <w:rsid w:val="005371A9"/>
    <w:rsid w:val="0054019E"/>
    <w:rsid w:val="0054133D"/>
    <w:rsid w:val="0054186B"/>
    <w:rsid w:val="00541B4C"/>
    <w:rsid w:val="0054204E"/>
    <w:rsid w:val="00542758"/>
    <w:rsid w:val="00543F09"/>
    <w:rsid w:val="00544EBB"/>
    <w:rsid w:val="00545323"/>
    <w:rsid w:val="00545AA1"/>
    <w:rsid w:val="00545FB5"/>
    <w:rsid w:val="005472FB"/>
    <w:rsid w:val="00547A33"/>
    <w:rsid w:val="00550D4B"/>
    <w:rsid w:val="00551013"/>
    <w:rsid w:val="00551037"/>
    <w:rsid w:val="00552DA6"/>
    <w:rsid w:val="00553A26"/>
    <w:rsid w:val="00553B47"/>
    <w:rsid w:val="00553E33"/>
    <w:rsid w:val="00554ED5"/>
    <w:rsid w:val="0055506C"/>
    <w:rsid w:val="00555FDE"/>
    <w:rsid w:val="00556347"/>
    <w:rsid w:val="00561524"/>
    <w:rsid w:val="00561E8C"/>
    <w:rsid w:val="00561F53"/>
    <w:rsid w:val="00562D4C"/>
    <w:rsid w:val="00562E2A"/>
    <w:rsid w:val="005634D4"/>
    <w:rsid w:val="00563836"/>
    <w:rsid w:val="00565701"/>
    <w:rsid w:val="00565A0A"/>
    <w:rsid w:val="00565C17"/>
    <w:rsid w:val="00565CF9"/>
    <w:rsid w:val="00566873"/>
    <w:rsid w:val="0056703C"/>
    <w:rsid w:val="005676C0"/>
    <w:rsid w:val="005678CB"/>
    <w:rsid w:val="005679AE"/>
    <w:rsid w:val="00571E47"/>
    <w:rsid w:val="00572A1F"/>
    <w:rsid w:val="00573513"/>
    <w:rsid w:val="0057378B"/>
    <w:rsid w:val="00574000"/>
    <w:rsid w:val="00574ECF"/>
    <w:rsid w:val="00575969"/>
    <w:rsid w:val="0057627F"/>
    <w:rsid w:val="005769AA"/>
    <w:rsid w:val="0058032E"/>
    <w:rsid w:val="0058039A"/>
    <w:rsid w:val="0058136D"/>
    <w:rsid w:val="005820AA"/>
    <w:rsid w:val="00583FC7"/>
    <w:rsid w:val="00584AF4"/>
    <w:rsid w:val="00585341"/>
    <w:rsid w:val="00586353"/>
    <w:rsid w:val="0058641E"/>
    <w:rsid w:val="005864AB"/>
    <w:rsid w:val="00587334"/>
    <w:rsid w:val="00587622"/>
    <w:rsid w:val="00590266"/>
    <w:rsid w:val="005905F1"/>
    <w:rsid w:val="00591136"/>
    <w:rsid w:val="00591881"/>
    <w:rsid w:val="00592202"/>
    <w:rsid w:val="005923DF"/>
    <w:rsid w:val="0059274A"/>
    <w:rsid w:val="00592C65"/>
    <w:rsid w:val="00593417"/>
    <w:rsid w:val="005941B0"/>
    <w:rsid w:val="005950E6"/>
    <w:rsid w:val="005951EF"/>
    <w:rsid w:val="00595DB5"/>
    <w:rsid w:val="00595E03"/>
    <w:rsid w:val="0059670E"/>
    <w:rsid w:val="00596C39"/>
    <w:rsid w:val="00597056"/>
    <w:rsid w:val="005A00DB"/>
    <w:rsid w:val="005A0DF9"/>
    <w:rsid w:val="005A109E"/>
    <w:rsid w:val="005A1944"/>
    <w:rsid w:val="005A1DF5"/>
    <w:rsid w:val="005A242E"/>
    <w:rsid w:val="005A28B2"/>
    <w:rsid w:val="005A32A2"/>
    <w:rsid w:val="005A55DE"/>
    <w:rsid w:val="005A575B"/>
    <w:rsid w:val="005A6187"/>
    <w:rsid w:val="005A6476"/>
    <w:rsid w:val="005A71FE"/>
    <w:rsid w:val="005A77C3"/>
    <w:rsid w:val="005B0037"/>
    <w:rsid w:val="005B07EA"/>
    <w:rsid w:val="005B12E1"/>
    <w:rsid w:val="005B29B8"/>
    <w:rsid w:val="005B29C4"/>
    <w:rsid w:val="005B3C27"/>
    <w:rsid w:val="005B45DC"/>
    <w:rsid w:val="005B54E5"/>
    <w:rsid w:val="005B5CEC"/>
    <w:rsid w:val="005B7286"/>
    <w:rsid w:val="005C00BD"/>
    <w:rsid w:val="005C08B2"/>
    <w:rsid w:val="005C159C"/>
    <w:rsid w:val="005C212D"/>
    <w:rsid w:val="005C219F"/>
    <w:rsid w:val="005C24EE"/>
    <w:rsid w:val="005C253A"/>
    <w:rsid w:val="005C3328"/>
    <w:rsid w:val="005C4734"/>
    <w:rsid w:val="005C51DB"/>
    <w:rsid w:val="005C531A"/>
    <w:rsid w:val="005C568F"/>
    <w:rsid w:val="005C56EA"/>
    <w:rsid w:val="005C6ADC"/>
    <w:rsid w:val="005C6E39"/>
    <w:rsid w:val="005C7867"/>
    <w:rsid w:val="005D00D3"/>
    <w:rsid w:val="005D0F95"/>
    <w:rsid w:val="005D1183"/>
    <w:rsid w:val="005D1467"/>
    <w:rsid w:val="005D2EE6"/>
    <w:rsid w:val="005D336A"/>
    <w:rsid w:val="005D4F4A"/>
    <w:rsid w:val="005D59F1"/>
    <w:rsid w:val="005D5ECE"/>
    <w:rsid w:val="005D67A4"/>
    <w:rsid w:val="005D7CEB"/>
    <w:rsid w:val="005E0AFF"/>
    <w:rsid w:val="005E2102"/>
    <w:rsid w:val="005E2441"/>
    <w:rsid w:val="005E31BA"/>
    <w:rsid w:val="005E3E98"/>
    <w:rsid w:val="005E478E"/>
    <w:rsid w:val="005E5196"/>
    <w:rsid w:val="005E77F0"/>
    <w:rsid w:val="005E7AEA"/>
    <w:rsid w:val="005E7F1C"/>
    <w:rsid w:val="005F08EE"/>
    <w:rsid w:val="005F0E11"/>
    <w:rsid w:val="005F17FB"/>
    <w:rsid w:val="005F2406"/>
    <w:rsid w:val="005F2B68"/>
    <w:rsid w:val="005F2CC5"/>
    <w:rsid w:val="005F3AE3"/>
    <w:rsid w:val="005F42C0"/>
    <w:rsid w:val="005F4399"/>
    <w:rsid w:val="005F43C9"/>
    <w:rsid w:val="005F52BC"/>
    <w:rsid w:val="005F63CB"/>
    <w:rsid w:val="005F6919"/>
    <w:rsid w:val="005F69E4"/>
    <w:rsid w:val="005F71CA"/>
    <w:rsid w:val="006010A5"/>
    <w:rsid w:val="00601927"/>
    <w:rsid w:val="00602449"/>
    <w:rsid w:val="00602B94"/>
    <w:rsid w:val="006035DA"/>
    <w:rsid w:val="006040D4"/>
    <w:rsid w:val="0060478C"/>
    <w:rsid w:val="006059C9"/>
    <w:rsid w:val="00607248"/>
    <w:rsid w:val="006076BB"/>
    <w:rsid w:val="006079A1"/>
    <w:rsid w:val="00610046"/>
    <w:rsid w:val="00610BBA"/>
    <w:rsid w:val="00611377"/>
    <w:rsid w:val="00611474"/>
    <w:rsid w:val="00612D85"/>
    <w:rsid w:val="00613BE1"/>
    <w:rsid w:val="006147FB"/>
    <w:rsid w:val="0061491C"/>
    <w:rsid w:val="006155F7"/>
    <w:rsid w:val="00616840"/>
    <w:rsid w:val="00617883"/>
    <w:rsid w:val="00620FCC"/>
    <w:rsid w:val="00621752"/>
    <w:rsid w:val="0062372B"/>
    <w:rsid w:val="00624031"/>
    <w:rsid w:val="0062510F"/>
    <w:rsid w:val="006260F4"/>
    <w:rsid w:val="00626736"/>
    <w:rsid w:val="00627284"/>
    <w:rsid w:val="00627409"/>
    <w:rsid w:val="0063125F"/>
    <w:rsid w:val="006315D8"/>
    <w:rsid w:val="00631CF2"/>
    <w:rsid w:val="0063227F"/>
    <w:rsid w:val="006337AA"/>
    <w:rsid w:val="00633DCE"/>
    <w:rsid w:val="0063417C"/>
    <w:rsid w:val="00634722"/>
    <w:rsid w:val="00634E2D"/>
    <w:rsid w:val="00635227"/>
    <w:rsid w:val="00635C38"/>
    <w:rsid w:val="00635EDB"/>
    <w:rsid w:val="00635F4E"/>
    <w:rsid w:val="0063637E"/>
    <w:rsid w:val="00636699"/>
    <w:rsid w:val="00636CA7"/>
    <w:rsid w:val="00637611"/>
    <w:rsid w:val="00637C56"/>
    <w:rsid w:val="00640138"/>
    <w:rsid w:val="00640C72"/>
    <w:rsid w:val="00640D9F"/>
    <w:rsid w:val="0064110C"/>
    <w:rsid w:val="0064160E"/>
    <w:rsid w:val="0064217F"/>
    <w:rsid w:val="006422D4"/>
    <w:rsid w:val="006428B0"/>
    <w:rsid w:val="00643E92"/>
    <w:rsid w:val="00644937"/>
    <w:rsid w:val="00644B00"/>
    <w:rsid w:val="00645DD3"/>
    <w:rsid w:val="00646A97"/>
    <w:rsid w:val="00647A38"/>
    <w:rsid w:val="00647EED"/>
    <w:rsid w:val="006505B8"/>
    <w:rsid w:val="00650E9F"/>
    <w:rsid w:val="006523F0"/>
    <w:rsid w:val="0065273E"/>
    <w:rsid w:val="0065297F"/>
    <w:rsid w:val="006547E5"/>
    <w:rsid w:val="00654E6E"/>
    <w:rsid w:val="00654F1C"/>
    <w:rsid w:val="00655247"/>
    <w:rsid w:val="006552AF"/>
    <w:rsid w:val="00655580"/>
    <w:rsid w:val="00655CA4"/>
    <w:rsid w:val="00657587"/>
    <w:rsid w:val="00657CB6"/>
    <w:rsid w:val="00661C56"/>
    <w:rsid w:val="006621E1"/>
    <w:rsid w:val="00662CAB"/>
    <w:rsid w:val="006631B7"/>
    <w:rsid w:val="00664459"/>
    <w:rsid w:val="00664DE2"/>
    <w:rsid w:val="00665307"/>
    <w:rsid w:val="006658F3"/>
    <w:rsid w:val="00665D8E"/>
    <w:rsid w:val="006671CA"/>
    <w:rsid w:val="006701D5"/>
    <w:rsid w:val="006708E8"/>
    <w:rsid w:val="00670BAC"/>
    <w:rsid w:val="00670C17"/>
    <w:rsid w:val="00671B23"/>
    <w:rsid w:val="006725BC"/>
    <w:rsid w:val="00673489"/>
    <w:rsid w:val="0067390A"/>
    <w:rsid w:val="00674739"/>
    <w:rsid w:val="006759AE"/>
    <w:rsid w:val="00676180"/>
    <w:rsid w:val="00676841"/>
    <w:rsid w:val="00676B51"/>
    <w:rsid w:val="00680CB6"/>
    <w:rsid w:val="00680DD6"/>
    <w:rsid w:val="00680ED9"/>
    <w:rsid w:val="006811E4"/>
    <w:rsid w:val="00682AB2"/>
    <w:rsid w:val="00682C8A"/>
    <w:rsid w:val="00682CE8"/>
    <w:rsid w:val="0068321E"/>
    <w:rsid w:val="00683802"/>
    <w:rsid w:val="00684597"/>
    <w:rsid w:val="006847C8"/>
    <w:rsid w:val="00684B56"/>
    <w:rsid w:val="00684B57"/>
    <w:rsid w:val="00685037"/>
    <w:rsid w:val="006852D2"/>
    <w:rsid w:val="00686C57"/>
    <w:rsid w:val="00686CE1"/>
    <w:rsid w:val="0068790B"/>
    <w:rsid w:val="00687958"/>
    <w:rsid w:val="00687FC1"/>
    <w:rsid w:val="006902BB"/>
    <w:rsid w:val="00690D48"/>
    <w:rsid w:val="00690EEE"/>
    <w:rsid w:val="00691C0B"/>
    <w:rsid w:val="00691CD4"/>
    <w:rsid w:val="006927AB"/>
    <w:rsid w:val="00693D7F"/>
    <w:rsid w:val="00695CD1"/>
    <w:rsid w:val="00697801"/>
    <w:rsid w:val="00697FA7"/>
    <w:rsid w:val="006A0DC8"/>
    <w:rsid w:val="006A1722"/>
    <w:rsid w:val="006A18E7"/>
    <w:rsid w:val="006A46A1"/>
    <w:rsid w:val="006A4E97"/>
    <w:rsid w:val="006A5709"/>
    <w:rsid w:val="006A6545"/>
    <w:rsid w:val="006A6B45"/>
    <w:rsid w:val="006A6ED2"/>
    <w:rsid w:val="006A75E6"/>
    <w:rsid w:val="006A772C"/>
    <w:rsid w:val="006B0C38"/>
    <w:rsid w:val="006B144B"/>
    <w:rsid w:val="006B1A39"/>
    <w:rsid w:val="006B1CBB"/>
    <w:rsid w:val="006B3A33"/>
    <w:rsid w:val="006B3DF5"/>
    <w:rsid w:val="006B41A5"/>
    <w:rsid w:val="006B43E3"/>
    <w:rsid w:val="006B4810"/>
    <w:rsid w:val="006B5016"/>
    <w:rsid w:val="006B5995"/>
    <w:rsid w:val="006B67E2"/>
    <w:rsid w:val="006B6AD7"/>
    <w:rsid w:val="006B7DE8"/>
    <w:rsid w:val="006C00BF"/>
    <w:rsid w:val="006C063C"/>
    <w:rsid w:val="006C1EDE"/>
    <w:rsid w:val="006C291D"/>
    <w:rsid w:val="006C2B97"/>
    <w:rsid w:val="006C3018"/>
    <w:rsid w:val="006C34C9"/>
    <w:rsid w:val="006C35C1"/>
    <w:rsid w:val="006C3AC0"/>
    <w:rsid w:val="006C3BD8"/>
    <w:rsid w:val="006C4E6A"/>
    <w:rsid w:val="006C50A2"/>
    <w:rsid w:val="006C50B3"/>
    <w:rsid w:val="006C62C7"/>
    <w:rsid w:val="006C62F7"/>
    <w:rsid w:val="006C6CB1"/>
    <w:rsid w:val="006D0005"/>
    <w:rsid w:val="006D0D1B"/>
    <w:rsid w:val="006D0E82"/>
    <w:rsid w:val="006D0FB8"/>
    <w:rsid w:val="006D15C3"/>
    <w:rsid w:val="006D1A28"/>
    <w:rsid w:val="006D1DF9"/>
    <w:rsid w:val="006D22A5"/>
    <w:rsid w:val="006D26AC"/>
    <w:rsid w:val="006D4339"/>
    <w:rsid w:val="006D44CF"/>
    <w:rsid w:val="006D46B5"/>
    <w:rsid w:val="006D508E"/>
    <w:rsid w:val="006D682D"/>
    <w:rsid w:val="006E105C"/>
    <w:rsid w:val="006E20BC"/>
    <w:rsid w:val="006E35A6"/>
    <w:rsid w:val="006E3EE6"/>
    <w:rsid w:val="006E6056"/>
    <w:rsid w:val="006E6322"/>
    <w:rsid w:val="006E63A2"/>
    <w:rsid w:val="006E648A"/>
    <w:rsid w:val="006E6AA4"/>
    <w:rsid w:val="006E73B3"/>
    <w:rsid w:val="006E7603"/>
    <w:rsid w:val="006E7C82"/>
    <w:rsid w:val="006E7CC3"/>
    <w:rsid w:val="006E7D85"/>
    <w:rsid w:val="006E7E85"/>
    <w:rsid w:val="006F0020"/>
    <w:rsid w:val="006F1F40"/>
    <w:rsid w:val="006F3366"/>
    <w:rsid w:val="006F47B4"/>
    <w:rsid w:val="006F4FB0"/>
    <w:rsid w:val="006F569C"/>
    <w:rsid w:val="006F6F45"/>
    <w:rsid w:val="006F6FFD"/>
    <w:rsid w:val="006F72B7"/>
    <w:rsid w:val="00701233"/>
    <w:rsid w:val="00701393"/>
    <w:rsid w:val="007019FA"/>
    <w:rsid w:val="00702B8B"/>
    <w:rsid w:val="00702CD9"/>
    <w:rsid w:val="00703704"/>
    <w:rsid w:val="00703A6D"/>
    <w:rsid w:val="00705428"/>
    <w:rsid w:val="00705CEE"/>
    <w:rsid w:val="007065B5"/>
    <w:rsid w:val="00706AAA"/>
    <w:rsid w:val="007070F0"/>
    <w:rsid w:val="007102E3"/>
    <w:rsid w:val="007111BC"/>
    <w:rsid w:val="00712854"/>
    <w:rsid w:val="0071584C"/>
    <w:rsid w:val="00715CC9"/>
    <w:rsid w:val="0071667C"/>
    <w:rsid w:val="007168AC"/>
    <w:rsid w:val="0071760C"/>
    <w:rsid w:val="00717D29"/>
    <w:rsid w:val="00720C25"/>
    <w:rsid w:val="00720CC9"/>
    <w:rsid w:val="0072109F"/>
    <w:rsid w:val="0072164C"/>
    <w:rsid w:val="00722A74"/>
    <w:rsid w:val="00722F8A"/>
    <w:rsid w:val="00723C4C"/>
    <w:rsid w:val="00723F8F"/>
    <w:rsid w:val="0072417E"/>
    <w:rsid w:val="0072495E"/>
    <w:rsid w:val="00726857"/>
    <w:rsid w:val="00726E6F"/>
    <w:rsid w:val="00727347"/>
    <w:rsid w:val="00733699"/>
    <w:rsid w:val="00735449"/>
    <w:rsid w:val="00735CD4"/>
    <w:rsid w:val="0073636B"/>
    <w:rsid w:val="00737552"/>
    <w:rsid w:val="007402C7"/>
    <w:rsid w:val="0074090B"/>
    <w:rsid w:val="00740F3F"/>
    <w:rsid w:val="00741656"/>
    <w:rsid w:val="00741A7E"/>
    <w:rsid w:val="00741B3F"/>
    <w:rsid w:val="00744509"/>
    <w:rsid w:val="0074478A"/>
    <w:rsid w:val="00744CA0"/>
    <w:rsid w:val="0074545B"/>
    <w:rsid w:val="007457D6"/>
    <w:rsid w:val="00745D5D"/>
    <w:rsid w:val="0075011D"/>
    <w:rsid w:val="0075043E"/>
    <w:rsid w:val="00751165"/>
    <w:rsid w:val="00751904"/>
    <w:rsid w:val="00751F5D"/>
    <w:rsid w:val="0075228E"/>
    <w:rsid w:val="0075476A"/>
    <w:rsid w:val="00755847"/>
    <w:rsid w:val="00755A1E"/>
    <w:rsid w:val="00755FC2"/>
    <w:rsid w:val="00756067"/>
    <w:rsid w:val="0075789C"/>
    <w:rsid w:val="0075796A"/>
    <w:rsid w:val="00760FAC"/>
    <w:rsid w:val="007611BA"/>
    <w:rsid w:val="00761801"/>
    <w:rsid w:val="00762C88"/>
    <w:rsid w:val="007630B4"/>
    <w:rsid w:val="007639D9"/>
    <w:rsid w:val="00764264"/>
    <w:rsid w:val="007656EF"/>
    <w:rsid w:val="00765EC9"/>
    <w:rsid w:val="007663D1"/>
    <w:rsid w:val="007669FB"/>
    <w:rsid w:val="00767258"/>
    <w:rsid w:val="007674FB"/>
    <w:rsid w:val="00770182"/>
    <w:rsid w:val="007709C8"/>
    <w:rsid w:val="0077129C"/>
    <w:rsid w:val="007716CF"/>
    <w:rsid w:val="007719C4"/>
    <w:rsid w:val="007720F6"/>
    <w:rsid w:val="00772419"/>
    <w:rsid w:val="00772DD1"/>
    <w:rsid w:val="00772E67"/>
    <w:rsid w:val="007741BA"/>
    <w:rsid w:val="007747EE"/>
    <w:rsid w:val="00774870"/>
    <w:rsid w:val="00774A20"/>
    <w:rsid w:val="007750C3"/>
    <w:rsid w:val="00775861"/>
    <w:rsid w:val="00775A4F"/>
    <w:rsid w:val="007763C7"/>
    <w:rsid w:val="00777858"/>
    <w:rsid w:val="007801D0"/>
    <w:rsid w:val="007808E0"/>
    <w:rsid w:val="00782138"/>
    <w:rsid w:val="00783837"/>
    <w:rsid w:val="007868DD"/>
    <w:rsid w:val="0078792D"/>
    <w:rsid w:val="0079120A"/>
    <w:rsid w:val="0079345E"/>
    <w:rsid w:val="00793A80"/>
    <w:rsid w:val="007941FD"/>
    <w:rsid w:val="007948EF"/>
    <w:rsid w:val="0079541D"/>
    <w:rsid w:val="00795444"/>
    <w:rsid w:val="00796345"/>
    <w:rsid w:val="007968AF"/>
    <w:rsid w:val="007975B2"/>
    <w:rsid w:val="007A072A"/>
    <w:rsid w:val="007A074C"/>
    <w:rsid w:val="007A098B"/>
    <w:rsid w:val="007A0CDD"/>
    <w:rsid w:val="007A0E49"/>
    <w:rsid w:val="007A147A"/>
    <w:rsid w:val="007A333A"/>
    <w:rsid w:val="007A47DE"/>
    <w:rsid w:val="007A4CA3"/>
    <w:rsid w:val="007A5BBE"/>
    <w:rsid w:val="007A63D5"/>
    <w:rsid w:val="007A77DD"/>
    <w:rsid w:val="007A7837"/>
    <w:rsid w:val="007A7AE0"/>
    <w:rsid w:val="007B0643"/>
    <w:rsid w:val="007B0843"/>
    <w:rsid w:val="007B0869"/>
    <w:rsid w:val="007B09D7"/>
    <w:rsid w:val="007B09E1"/>
    <w:rsid w:val="007B0A94"/>
    <w:rsid w:val="007B0D7A"/>
    <w:rsid w:val="007B1623"/>
    <w:rsid w:val="007B1BEE"/>
    <w:rsid w:val="007B1C1D"/>
    <w:rsid w:val="007B460C"/>
    <w:rsid w:val="007B52D1"/>
    <w:rsid w:val="007B5F00"/>
    <w:rsid w:val="007B6139"/>
    <w:rsid w:val="007B6402"/>
    <w:rsid w:val="007B70E7"/>
    <w:rsid w:val="007B7898"/>
    <w:rsid w:val="007B7B7C"/>
    <w:rsid w:val="007C059E"/>
    <w:rsid w:val="007C0C7B"/>
    <w:rsid w:val="007C10E7"/>
    <w:rsid w:val="007C12FE"/>
    <w:rsid w:val="007C13C1"/>
    <w:rsid w:val="007C2374"/>
    <w:rsid w:val="007C3084"/>
    <w:rsid w:val="007C4793"/>
    <w:rsid w:val="007C499A"/>
    <w:rsid w:val="007C5F3E"/>
    <w:rsid w:val="007C6E58"/>
    <w:rsid w:val="007C70A7"/>
    <w:rsid w:val="007C7569"/>
    <w:rsid w:val="007C7921"/>
    <w:rsid w:val="007C7C85"/>
    <w:rsid w:val="007C7E64"/>
    <w:rsid w:val="007D0111"/>
    <w:rsid w:val="007D048D"/>
    <w:rsid w:val="007D0B8F"/>
    <w:rsid w:val="007D2655"/>
    <w:rsid w:val="007D3164"/>
    <w:rsid w:val="007D31D0"/>
    <w:rsid w:val="007D358C"/>
    <w:rsid w:val="007D53C2"/>
    <w:rsid w:val="007D67B5"/>
    <w:rsid w:val="007E10AD"/>
    <w:rsid w:val="007E116A"/>
    <w:rsid w:val="007E1C17"/>
    <w:rsid w:val="007E220E"/>
    <w:rsid w:val="007E2916"/>
    <w:rsid w:val="007E2F48"/>
    <w:rsid w:val="007E3AD3"/>
    <w:rsid w:val="007E3CD5"/>
    <w:rsid w:val="007E42BF"/>
    <w:rsid w:val="007E4B04"/>
    <w:rsid w:val="007E4ED7"/>
    <w:rsid w:val="007E50AA"/>
    <w:rsid w:val="007E5AE4"/>
    <w:rsid w:val="007E64E0"/>
    <w:rsid w:val="007F0F94"/>
    <w:rsid w:val="007F1921"/>
    <w:rsid w:val="007F2AC4"/>
    <w:rsid w:val="007F3202"/>
    <w:rsid w:val="007F37C2"/>
    <w:rsid w:val="007F38EB"/>
    <w:rsid w:val="007F4A4C"/>
    <w:rsid w:val="007F51D7"/>
    <w:rsid w:val="007F57AC"/>
    <w:rsid w:val="007F71EE"/>
    <w:rsid w:val="00800A19"/>
    <w:rsid w:val="0080101B"/>
    <w:rsid w:val="00801594"/>
    <w:rsid w:val="00802458"/>
    <w:rsid w:val="0080329C"/>
    <w:rsid w:val="00803661"/>
    <w:rsid w:val="00804063"/>
    <w:rsid w:val="00807A51"/>
    <w:rsid w:val="008116BA"/>
    <w:rsid w:val="008127AC"/>
    <w:rsid w:val="00812B5D"/>
    <w:rsid w:val="00812E5E"/>
    <w:rsid w:val="008136DB"/>
    <w:rsid w:val="008138C6"/>
    <w:rsid w:val="00813B61"/>
    <w:rsid w:val="00813EEF"/>
    <w:rsid w:val="008140AF"/>
    <w:rsid w:val="008148D3"/>
    <w:rsid w:val="00814AA6"/>
    <w:rsid w:val="00816E40"/>
    <w:rsid w:val="00817653"/>
    <w:rsid w:val="00817B46"/>
    <w:rsid w:val="008203F0"/>
    <w:rsid w:val="00820903"/>
    <w:rsid w:val="00820EA1"/>
    <w:rsid w:val="008218BA"/>
    <w:rsid w:val="00821FDD"/>
    <w:rsid w:val="00822655"/>
    <w:rsid w:val="0082333B"/>
    <w:rsid w:val="008233A7"/>
    <w:rsid w:val="00824D66"/>
    <w:rsid w:val="00824FCE"/>
    <w:rsid w:val="0082506B"/>
    <w:rsid w:val="00825B59"/>
    <w:rsid w:val="00825D1F"/>
    <w:rsid w:val="00826139"/>
    <w:rsid w:val="00826417"/>
    <w:rsid w:val="00826C75"/>
    <w:rsid w:val="00826C8A"/>
    <w:rsid w:val="0082714B"/>
    <w:rsid w:val="008306D8"/>
    <w:rsid w:val="0083142E"/>
    <w:rsid w:val="00831991"/>
    <w:rsid w:val="00831C42"/>
    <w:rsid w:val="0083217F"/>
    <w:rsid w:val="008323C5"/>
    <w:rsid w:val="008324AC"/>
    <w:rsid w:val="008325A3"/>
    <w:rsid w:val="00832DEA"/>
    <w:rsid w:val="008332F5"/>
    <w:rsid w:val="0083344B"/>
    <w:rsid w:val="00833BA7"/>
    <w:rsid w:val="0083504E"/>
    <w:rsid w:val="008354C2"/>
    <w:rsid w:val="008361C8"/>
    <w:rsid w:val="00836327"/>
    <w:rsid w:val="00836531"/>
    <w:rsid w:val="00836C57"/>
    <w:rsid w:val="00837030"/>
    <w:rsid w:val="008378BC"/>
    <w:rsid w:val="0084054E"/>
    <w:rsid w:val="008413F0"/>
    <w:rsid w:val="00841DF0"/>
    <w:rsid w:val="00842405"/>
    <w:rsid w:val="008431E8"/>
    <w:rsid w:val="00843566"/>
    <w:rsid w:val="00843E1A"/>
    <w:rsid w:val="00845051"/>
    <w:rsid w:val="00845797"/>
    <w:rsid w:val="008468E6"/>
    <w:rsid w:val="00850722"/>
    <w:rsid w:val="008507DA"/>
    <w:rsid w:val="00852839"/>
    <w:rsid w:val="0085298E"/>
    <w:rsid w:val="00852BBC"/>
    <w:rsid w:val="0085301F"/>
    <w:rsid w:val="00853C92"/>
    <w:rsid w:val="00854027"/>
    <w:rsid w:val="0085437B"/>
    <w:rsid w:val="00854968"/>
    <w:rsid w:val="00854D7C"/>
    <w:rsid w:val="0085551C"/>
    <w:rsid w:val="008560BA"/>
    <w:rsid w:val="00857128"/>
    <w:rsid w:val="008575BE"/>
    <w:rsid w:val="008610EB"/>
    <w:rsid w:val="00861399"/>
    <w:rsid w:val="00861D88"/>
    <w:rsid w:val="008642F2"/>
    <w:rsid w:val="00864C87"/>
    <w:rsid w:val="00864E1D"/>
    <w:rsid w:val="008650CA"/>
    <w:rsid w:val="00865CE7"/>
    <w:rsid w:val="00866170"/>
    <w:rsid w:val="00866274"/>
    <w:rsid w:val="00867ED0"/>
    <w:rsid w:val="00870370"/>
    <w:rsid w:val="0087177D"/>
    <w:rsid w:val="008726EE"/>
    <w:rsid w:val="00872AF3"/>
    <w:rsid w:val="00874EA4"/>
    <w:rsid w:val="00875FDB"/>
    <w:rsid w:val="0087754B"/>
    <w:rsid w:val="00877FA1"/>
    <w:rsid w:val="00880910"/>
    <w:rsid w:val="00880A37"/>
    <w:rsid w:val="0088180E"/>
    <w:rsid w:val="0088189F"/>
    <w:rsid w:val="008825AD"/>
    <w:rsid w:val="00882CF8"/>
    <w:rsid w:val="00883156"/>
    <w:rsid w:val="00884176"/>
    <w:rsid w:val="00885140"/>
    <w:rsid w:val="00886754"/>
    <w:rsid w:val="00886B61"/>
    <w:rsid w:val="0088757B"/>
    <w:rsid w:val="00887750"/>
    <w:rsid w:val="00890369"/>
    <w:rsid w:val="0089038B"/>
    <w:rsid w:val="00890872"/>
    <w:rsid w:val="008919CB"/>
    <w:rsid w:val="00892B24"/>
    <w:rsid w:val="00893457"/>
    <w:rsid w:val="00895189"/>
    <w:rsid w:val="00895EE1"/>
    <w:rsid w:val="00896322"/>
    <w:rsid w:val="00896968"/>
    <w:rsid w:val="00896BD0"/>
    <w:rsid w:val="00897684"/>
    <w:rsid w:val="008977D2"/>
    <w:rsid w:val="008977E6"/>
    <w:rsid w:val="008A014D"/>
    <w:rsid w:val="008A05CA"/>
    <w:rsid w:val="008A273D"/>
    <w:rsid w:val="008A2ABB"/>
    <w:rsid w:val="008A362C"/>
    <w:rsid w:val="008A5587"/>
    <w:rsid w:val="008A75C9"/>
    <w:rsid w:val="008A7D9B"/>
    <w:rsid w:val="008B0B62"/>
    <w:rsid w:val="008B0F70"/>
    <w:rsid w:val="008B15C4"/>
    <w:rsid w:val="008B1C79"/>
    <w:rsid w:val="008B1EFB"/>
    <w:rsid w:val="008B2F52"/>
    <w:rsid w:val="008B33E8"/>
    <w:rsid w:val="008B3752"/>
    <w:rsid w:val="008B51C5"/>
    <w:rsid w:val="008B6467"/>
    <w:rsid w:val="008B69CD"/>
    <w:rsid w:val="008B6E01"/>
    <w:rsid w:val="008C2035"/>
    <w:rsid w:val="008C483D"/>
    <w:rsid w:val="008C4EF3"/>
    <w:rsid w:val="008C4F05"/>
    <w:rsid w:val="008C51CC"/>
    <w:rsid w:val="008C5CE4"/>
    <w:rsid w:val="008C69CF"/>
    <w:rsid w:val="008D0185"/>
    <w:rsid w:val="008D0546"/>
    <w:rsid w:val="008D1894"/>
    <w:rsid w:val="008D21F0"/>
    <w:rsid w:val="008D296D"/>
    <w:rsid w:val="008D3D02"/>
    <w:rsid w:val="008D56F6"/>
    <w:rsid w:val="008E0B75"/>
    <w:rsid w:val="008E2796"/>
    <w:rsid w:val="008E2A0B"/>
    <w:rsid w:val="008E3454"/>
    <w:rsid w:val="008E3E6C"/>
    <w:rsid w:val="008E4479"/>
    <w:rsid w:val="008E52DB"/>
    <w:rsid w:val="008E65DC"/>
    <w:rsid w:val="008E7E52"/>
    <w:rsid w:val="008F0CC8"/>
    <w:rsid w:val="008F10D8"/>
    <w:rsid w:val="008F164E"/>
    <w:rsid w:val="008F212B"/>
    <w:rsid w:val="008F2568"/>
    <w:rsid w:val="008F3CFB"/>
    <w:rsid w:val="008F3DB2"/>
    <w:rsid w:val="008F4172"/>
    <w:rsid w:val="008F4362"/>
    <w:rsid w:val="008F493F"/>
    <w:rsid w:val="008F5210"/>
    <w:rsid w:val="008F55B6"/>
    <w:rsid w:val="008F5CEF"/>
    <w:rsid w:val="008F6729"/>
    <w:rsid w:val="008F6A44"/>
    <w:rsid w:val="008F7496"/>
    <w:rsid w:val="009002B7"/>
    <w:rsid w:val="00901C7F"/>
    <w:rsid w:val="00902143"/>
    <w:rsid w:val="009028E8"/>
    <w:rsid w:val="00902F8B"/>
    <w:rsid w:val="009036EB"/>
    <w:rsid w:val="009037AF"/>
    <w:rsid w:val="0090431F"/>
    <w:rsid w:val="009046A0"/>
    <w:rsid w:val="0090486E"/>
    <w:rsid w:val="00904B3C"/>
    <w:rsid w:val="00904FE9"/>
    <w:rsid w:val="00905962"/>
    <w:rsid w:val="0091001B"/>
    <w:rsid w:val="009102D5"/>
    <w:rsid w:val="0091086D"/>
    <w:rsid w:val="00911DA2"/>
    <w:rsid w:val="00911F1C"/>
    <w:rsid w:val="0091241E"/>
    <w:rsid w:val="00913E55"/>
    <w:rsid w:val="009157ED"/>
    <w:rsid w:val="009163DA"/>
    <w:rsid w:val="00917A18"/>
    <w:rsid w:val="009205F9"/>
    <w:rsid w:val="009212DF"/>
    <w:rsid w:val="0092172F"/>
    <w:rsid w:val="00921A2B"/>
    <w:rsid w:val="00921E98"/>
    <w:rsid w:val="009223D3"/>
    <w:rsid w:val="00922480"/>
    <w:rsid w:val="00923EA4"/>
    <w:rsid w:val="0092414F"/>
    <w:rsid w:val="00924BC4"/>
    <w:rsid w:val="00924E01"/>
    <w:rsid w:val="0092566A"/>
    <w:rsid w:val="009258BC"/>
    <w:rsid w:val="00926243"/>
    <w:rsid w:val="00926A43"/>
    <w:rsid w:val="00927CA3"/>
    <w:rsid w:val="00930A91"/>
    <w:rsid w:val="00931A83"/>
    <w:rsid w:val="009350FD"/>
    <w:rsid w:val="009355A7"/>
    <w:rsid w:val="009373BC"/>
    <w:rsid w:val="0093745B"/>
    <w:rsid w:val="00937AE8"/>
    <w:rsid w:val="00940E6D"/>
    <w:rsid w:val="00941269"/>
    <w:rsid w:val="00942DA3"/>
    <w:rsid w:val="009437BD"/>
    <w:rsid w:val="00944227"/>
    <w:rsid w:val="00944A2D"/>
    <w:rsid w:val="00944ED5"/>
    <w:rsid w:val="00946C59"/>
    <w:rsid w:val="00947306"/>
    <w:rsid w:val="00947FEF"/>
    <w:rsid w:val="00950092"/>
    <w:rsid w:val="00950236"/>
    <w:rsid w:val="009509E0"/>
    <w:rsid w:val="00951C23"/>
    <w:rsid w:val="00953480"/>
    <w:rsid w:val="00953896"/>
    <w:rsid w:val="00954B8E"/>
    <w:rsid w:val="00955666"/>
    <w:rsid w:val="00955759"/>
    <w:rsid w:val="00956A34"/>
    <w:rsid w:val="00957562"/>
    <w:rsid w:val="009577F7"/>
    <w:rsid w:val="009615BE"/>
    <w:rsid w:val="009621B6"/>
    <w:rsid w:val="009622A0"/>
    <w:rsid w:val="00963E47"/>
    <w:rsid w:val="00965269"/>
    <w:rsid w:val="00965FE1"/>
    <w:rsid w:val="0096609C"/>
    <w:rsid w:val="00966B60"/>
    <w:rsid w:val="0096714C"/>
    <w:rsid w:val="009672AC"/>
    <w:rsid w:val="00970251"/>
    <w:rsid w:val="00970425"/>
    <w:rsid w:val="0097077B"/>
    <w:rsid w:val="00970D49"/>
    <w:rsid w:val="00973E11"/>
    <w:rsid w:val="00974AC7"/>
    <w:rsid w:val="00976A27"/>
    <w:rsid w:val="0097770E"/>
    <w:rsid w:val="00977F6B"/>
    <w:rsid w:val="00980FBF"/>
    <w:rsid w:val="00981187"/>
    <w:rsid w:val="009812F7"/>
    <w:rsid w:val="00981836"/>
    <w:rsid w:val="009837D0"/>
    <w:rsid w:val="00985D0A"/>
    <w:rsid w:val="009863E0"/>
    <w:rsid w:val="00987806"/>
    <w:rsid w:val="00990566"/>
    <w:rsid w:val="009908DA"/>
    <w:rsid w:val="0099509E"/>
    <w:rsid w:val="00995FEF"/>
    <w:rsid w:val="00997794"/>
    <w:rsid w:val="00997D62"/>
    <w:rsid w:val="00997D7C"/>
    <w:rsid w:val="009A14C4"/>
    <w:rsid w:val="009A2566"/>
    <w:rsid w:val="009A2664"/>
    <w:rsid w:val="009A2A1D"/>
    <w:rsid w:val="009A345E"/>
    <w:rsid w:val="009A410C"/>
    <w:rsid w:val="009A55A0"/>
    <w:rsid w:val="009A568E"/>
    <w:rsid w:val="009A5B0F"/>
    <w:rsid w:val="009A7A40"/>
    <w:rsid w:val="009B1B4D"/>
    <w:rsid w:val="009B1ECA"/>
    <w:rsid w:val="009B2030"/>
    <w:rsid w:val="009B2868"/>
    <w:rsid w:val="009B2DD0"/>
    <w:rsid w:val="009B33AF"/>
    <w:rsid w:val="009B3A39"/>
    <w:rsid w:val="009B3AED"/>
    <w:rsid w:val="009B3F39"/>
    <w:rsid w:val="009B4513"/>
    <w:rsid w:val="009B467B"/>
    <w:rsid w:val="009B46F3"/>
    <w:rsid w:val="009B4784"/>
    <w:rsid w:val="009B52CC"/>
    <w:rsid w:val="009B54C3"/>
    <w:rsid w:val="009B57B8"/>
    <w:rsid w:val="009B6987"/>
    <w:rsid w:val="009B69A9"/>
    <w:rsid w:val="009B6DB7"/>
    <w:rsid w:val="009B7EA3"/>
    <w:rsid w:val="009B7FC5"/>
    <w:rsid w:val="009C0F21"/>
    <w:rsid w:val="009C1748"/>
    <w:rsid w:val="009C1C62"/>
    <w:rsid w:val="009C38FB"/>
    <w:rsid w:val="009C48BC"/>
    <w:rsid w:val="009C525C"/>
    <w:rsid w:val="009D14F4"/>
    <w:rsid w:val="009D1961"/>
    <w:rsid w:val="009D2E76"/>
    <w:rsid w:val="009D4591"/>
    <w:rsid w:val="009D490C"/>
    <w:rsid w:val="009D4AF0"/>
    <w:rsid w:val="009D4CE7"/>
    <w:rsid w:val="009D52CD"/>
    <w:rsid w:val="009D6C44"/>
    <w:rsid w:val="009D7792"/>
    <w:rsid w:val="009D7B18"/>
    <w:rsid w:val="009E0D8C"/>
    <w:rsid w:val="009E1DD0"/>
    <w:rsid w:val="009E1F12"/>
    <w:rsid w:val="009E2490"/>
    <w:rsid w:val="009E2DD4"/>
    <w:rsid w:val="009E3138"/>
    <w:rsid w:val="009E3599"/>
    <w:rsid w:val="009E457A"/>
    <w:rsid w:val="009E5301"/>
    <w:rsid w:val="009E58FE"/>
    <w:rsid w:val="009E709A"/>
    <w:rsid w:val="009E7693"/>
    <w:rsid w:val="009E7A6E"/>
    <w:rsid w:val="009F0403"/>
    <w:rsid w:val="009F1E46"/>
    <w:rsid w:val="009F2423"/>
    <w:rsid w:val="009F2700"/>
    <w:rsid w:val="009F28A9"/>
    <w:rsid w:val="009F2C46"/>
    <w:rsid w:val="009F2F9C"/>
    <w:rsid w:val="009F3AB7"/>
    <w:rsid w:val="009F3D57"/>
    <w:rsid w:val="009F4966"/>
    <w:rsid w:val="009F4B2E"/>
    <w:rsid w:val="009F5989"/>
    <w:rsid w:val="009F5A69"/>
    <w:rsid w:val="009F5D27"/>
    <w:rsid w:val="009F649A"/>
    <w:rsid w:val="009F650D"/>
    <w:rsid w:val="009F6B00"/>
    <w:rsid w:val="009F6B5B"/>
    <w:rsid w:val="009F7260"/>
    <w:rsid w:val="009F7E4F"/>
    <w:rsid w:val="00A01239"/>
    <w:rsid w:val="00A01CB8"/>
    <w:rsid w:val="00A044D3"/>
    <w:rsid w:val="00A04FFA"/>
    <w:rsid w:val="00A0505D"/>
    <w:rsid w:val="00A05424"/>
    <w:rsid w:val="00A0604E"/>
    <w:rsid w:val="00A060BA"/>
    <w:rsid w:val="00A067E4"/>
    <w:rsid w:val="00A0703C"/>
    <w:rsid w:val="00A070EA"/>
    <w:rsid w:val="00A11A24"/>
    <w:rsid w:val="00A11E83"/>
    <w:rsid w:val="00A12626"/>
    <w:rsid w:val="00A13EDC"/>
    <w:rsid w:val="00A14241"/>
    <w:rsid w:val="00A143B8"/>
    <w:rsid w:val="00A146F3"/>
    <w:rsid w:val="00A15FC3"/>
    <w:rsid w:val="00A16063"/>
    <w:rsid w:val="00A171B3"/>
    <w:rsid w:val="00A1758D"/>
    <w:rsid w:val="00A17B78"/>
    <w:rsid w:val="00A17BC2"/>
    <w:rsid w:val="00A17C3B"/>
    <w:rsid w:val="00A201FA"/>
    <w:rsid w:val="00A21B21"/>
    <w:rsid w:val="00A2313D"/>
    <w:rsid w:val="00A24213"/>
    <w:rsid w:val="00A24B3F"/>
    <w:rsid w:val="00A24BAD"/>
    <w:rsid w:val="00A24FEF"/>
    <w:rsid w:val="00A25E9B"/>
    <w:rsid w:val="00A25FD1"/>
    <w:rsid w:val="00A2631D"/>
    <w:rsid w:val="00A2673E"/>
    <w:rsid w:val="00A27FB0"/>
    <w:rsid w:val="00A30CB4"/>
    <w:rsid w:val="00A314BD"/>
    <w:rsid w:val="00A318DC"/>
    <w:rsid w:val="00A32206"/>
    <w:rsid w:val="00A3416E"/>
    <w:rsid w:val="00A348CE"/>
    <w:rsid w:val="00A401C3"/>
    <w:rsid w:val="00A406F2"/>
    <w:rsid w:val="00A40D6F"/>
    <w:rsid w:val="00A41BEB"/>
    <w:rsid w:val="00A41E23"/>
    <w:rsid w:val="00A4220D"/>
    <w:rsid w:val="00A432AA"/>
    <w:rsid w:val="00A4356D"/>
    <w:rsid w:val="00A43CEA"/>
    <w:rsid w:val="00A44DA5"/>
    <w:rsid w:val="00A45284"/>
    <w:rsid w:val="00A45D01"/>
    <w:rsid w:val="00A462A7"/>
    <w:rsid w:val="00A47137"/>
    <w:rsid w:val="00A53127"/>
    <w:rsid w:val="00A546A1"/>
    <w:rsid w:val="00A550BA"/>
    <w:rsid w:val="00A565AB"/>
    <w:rsid w:val="00A56FBD"/>
    <w:rsid w:val="00A57196"/>
    <w:rsid w:val="00A571EE"/>
    <w:rsid w:val="00A57751"/>
    <w:rsid w:val="00A57797"/>
    <w:rsid w:val="00A577C2"/>
    <w:rsid w:val="00A6285E"/>
    <w:rsid w:val="00A63567"/>
    <w:rsid w:val="00A644A6"/>
    <w:rsid w:val="00A64772"/>
    <w:rsid w:val="00A648F8"/>
    <w:rsid w:val="00A66472"/>
    <w:rsid w:val="00A665E7"/>
    <w:rsid w:val="00A666DF"/>
    <w:rsid w:val="00A669DF"/>
    <w:rsid w:val="00A677E8"/>
    <w:rsid w:val="00A70C1A"/>
    <w:rsid w:val="00A71299"/>
    <w:rsid w:val="00A7386C"/>
    <w:rsid w:val="00A741F7"/>
    <w:rsid w:val="00A742EE"/>
    <w:rsid w:val="00A7670B"/>
    <w:rsid w:val="00A769C9"/>
    <w:rsid w:val="00A805B0"/>
    <w:rsid w:val="00A829CF"/>
    <w:rsid w:val="00A82BB9"/>
    <w:rsid w:val="00A82DD5"/>
    <w:rsid w:val="00A8307D"/>
    <w:rsid w:val="00A84388"/>
    <w:rsid w:val="00A846E9"/>
    <w:rsid w:val="00A84BBA"/>
    <w:rsid w:val="00A85251"/>
    <w:rsid w:val="00A85535"/>
    <w:rsid w:val="00A85D97"/>
    <w:rsid w:val="00A85E9F"/>
    <w:rsid w:val="00A86260"/>
    <w:rsid w:val="00A862D8"/>
    <w:rsid w:val="00A869B6"/>
    <w:rsid w:val="00A86AFA"/>
    <w:rsid w:val="00A87AC0"/>
    <w:rsid w:val="00A91186"/>
    <w:rsid w:val="00A91B1B"/>
    <w:rsid w:val="00A937D1"/>
    <w:rsid w:val="00A94419"/>
    <w:rsid w:val="00A94C05"/>
    <w:rsid w:val="00A94DFA"/>
    <w:rsid w:val="00A96737"/>
    <w:rsid w:val="00A96F21"/>
    <w:rsid w:val="00A973AD"/>
    <w:rsid w:val="00A978A0"/>
    <w:rsid w:val="00A97F9D"/>
    <w:rsid w:val="00AA01CA"/>
    <w:rsid w:val="00AA0520"/>
    <w:rsid w:val="00AA08DA"/>
    <w:rsid w:val="00AA0DAE"/>
    <w:rsid w:val="00AA2420"/>
    <w:rsid w:val="00AA3E10"/>
    <w:rsid w:val="00AA3E25"/>
    <w:rsid w:val="00AA41F0"/>
    <w:rsid w:val="00AA497B"/>
    <w:rsid w:val="00AA4E79"/>
    <w:rsid w:val="00AA7851"/>
    <w:rsid w:val="00AA7AF4"/>
    <w:rsid w:val="00AA7C27"/>
    <w:rsid w:val="00AB1D29"/>
    <w:rsid w:val="00AB2B13"/>
    <w:rsid w:val="00AB2B24"/>
    <w:rsid w:val="00AB3284"/>
    <w:rsid w:val="00AB434D"/>
    <w:rsid w:val="00AB5CD1"/>
    <w:rsid w:val="00AB7094"/>
    <w:rsid w:val="00AB70E6"/>
    <w:rsid w:val="00AB7C56"/>
    <w:rsid w:val="00AC0D07"/>
    <w:rsid w:val="00AC14A6"/>
    <w:rsid w:val="00AC4E2E"/>
    <w:rsid w:val="00AC51B8"/>
    <w:rsid w:val="00AC7A54"/>
    <w:rsid w:val="00AD05CE"/>
    <w:rsid w:val="00AD074C"/>
    <w:rsid w:val="00AD0812"/>
    <w:rsid w:val="00AD1188"/>
    <w:rsid w:val="00AD1C32"/>
    <w:rsid w:val="00AD2018"/>
    <w:rsid w:val="00AD2305"/>
    <w:rsid w:val="00AD23CE"/>
    <w:rsid w:val="00AD2937"/>
    <w:rsid w:val="00AD3AE4"/>
    <w:rsid w:val="00AD3B89"/>
    <w:rsid w:val="00AD3BAD"/>
    <w:rsid w:val="00AD4599"/>
    <w:rsid w:val="00AD53F6"/>
    <w:rsid w:val="00AD5564"/>
    <w:rsid w:val="00AD5803"/>
    <w:rsid w:val="00AD5B89"/>
    <w:rsid w:val="00AD63FB"/>
    <w:rsid w:val="00AD6508"/>
    <w:rsid w:val="00AD7867"/>
    <w:rsid w:val="00AE05B1"/>
    <w:rsid w:val="00AE2500"/>
    <w:rsid w:val="00AE25A4"/>
    <w:rsid w:val="00AE29E3"/>
    <w:rsid w:val="00AE29FA"/>
    <w:rsid w:val="00AE3622"/>
    <w:rsid w:val="00AE3A65"/>
    <w:rsid w:val="00AE4274"/>
    <w:rsid w:val="00AE479C"/>
    <w:rsid w:val="00AE498A"/>
    <w:rsid w:val="00AE4F62"/>
    <w:rsid w:val="00AE545B"/>
    <w:rsid w:val="00AE5850"/>
    <w:rsid w:val="00AE6351"/>
    <w:rsid w:val="00AE6FB0"/>
    <w:rsid w:val="00AF0DB3"/>
    <w:rsid w:val="00AF204D"/>
    <w:rsid w:val="00AF308C"/>
    <w:rsid w:val="00AF3297"/>
    <w:rsid w:val="00AF33F4"/>
    <w:rsid w:val="00AF34E1"/>
    <w:rsid w:val="00AF3BC3"/>
    <w:rsid w:val="00AF51B1"/>
    <w:rsid w:val="00AF593B"/>
    <w:rsid w:val="00AF5ECC"/>
    <w:rsid w:val="00AF649D"/>
    <w:rsid w:val="00AF6DA8"/>
    <w:rsid w:val="00B0040E"/>
    <w:rsid w:val="00B01809"/>
    <w:rsid w:val="00B01DF3"/>
    <w:rsid w:val="00B056B0"/>
    <w:rsid w:val="00B05B95"/>
    <w:rsid w:val="00B063A7"/>
    <w:rsid w:val="00B06847"/>
    <w:rsid w:val="00B07286"/>
    <w:rsid w:val="00B07AE9"/>
    <w:rsid w:val="00B10907"/>
    <w:rsid w:val="00B11952"/>
    <w:rsid w:val="00B1201F"/>
    <w:rsid w:val="00B128BC"/>
    <w:rsid w:val="00B13363"/>
    <w:rsid w:val="00B16DA3"/>
    <w:rsid w:val="00B17125"/>
    <w:rsid w:val="00B20022"/>
    <w:rsid w:val="00B20285"/>
    <w:rsid w:val="00B202C5"/>
    <w:rsid w:val="00B20890"/>
    <w:rsid w:val="00B20F09"/>
    <w:rsid w:val="00B2150D"/>
    <w:rsid w:val="00B21A3B"/>
    <w:rsid w:val="00B227B7"/>
    <w:rsid w:val="00B23D26"/>
    <w:rsid w:val="00B2411B"/>
    <w:rsid w:val="00B24C5F"/>
    <w:rsid w:val="00B255ED"/>
    <w:rsid w:val="00B26419"/>
    <w:rsid w:val="00B276D4"/>
    <w:rsid w:val="00B2799B"/>
    <w:rsid w:val="00B27B3F"/>
    <w:rsid w:val="00B3000F"/>
    <w:rsid w:val="00B3101E"/>
    <w:rsid w:val="00B312D0"/>
    <w:rsid w:val="00B31F65"/>
    <w:rsid w:val="00B330DD"/>
    <w:rsid w:val="00B33312"/>
    <w:rsid w:val="00B34438"/>
    <w:rsid w:val="00B34BFF"/>
    <w:rsid w:val="00B356F4"/>
    <w:rsid w:val="00B35940"/>
    <w:rsid w:val="00B35DEA"/>
    <w:rsid w:val="00B36DC2"/>
    <w:rsid w:val="00B36EB7"/>
    <w:rsid w:val="00B3748E"/>
    <w:rsid w:val="00B40EF9"/>
    <w:rsid w:val="00B40F12"/>
    <w:rsid w:val="00B41381"/>
    <w:rsid w:val="00B4150E"/>
    <w:rsid w:val="00B41552"/>
    <w:rsid w:val="00B4266D"/>
    <w:rsid w:val="00B4348D"/>
    <w:rsid w:val="00B43983"/>
    <w:rsid w:val="00B44315"/>
    <w:rsid w:val="00B44495"/>
    <w:rsid w:val="00B45428"/>
    <w:rsid w:val="00B467DD"/>
    <w:rsid w:val="00B47070"/>
    <w:rsid w:val="00B47781"/>
    <w:rsid w:val="00B50293"/>
    <w:rsid w:val="00B509AB"/>
    <w:rsid w:val="00B52261"/>
    <w:rsid w:val="00B52ACC"/>
    <w:rsid w:val="00B52AD9"/>
    <w:rsid w:val="00B52E1E"/>
    <w:rsid w:val="00B53135"/>
    <w:rsid w:val="00B53C4A"/>
    <w:rsid w:val="00B53D42"/>
    <w:rsid w:val="00B54005"/>
    <w:rsid w:val="00B5587E"/>
    <w:rsid w:val="00B55DF3"/>
    <w:rsid w:val="00B55FAA"/>
    <w:rsid w:val="00B562DD"/>
    <w:rsid w:val="00B57B1E"/>
    <w:rsid w:val="00B6018A"/>
    <w:rsid w:val="00B61252"/>
    <w:rsid w:val="00B61B90"/>
    <w:rsid w:val="00B625EF"/>
    <w:rsid w:val="00B62A92"/>
    <w:rsid w:val="00B62B51"/>
    <w:rsid w:val="00B62DBE"/>
    <w:rsid w:val="00B6304D"/>
    <w:rsid w:val="00B63F68"/>
    <w:rsid w:val="00B642C4"/>
    <w:rsid w:val="00B642DA"/>
    <w:rsid w:val="00B6511F"/>
    <w:rsid w:val="00B65EE9"/>
    <w:rsid w:val="00B70A55"/>
    <w:rsid w:val="00B712BA"/>
    <w:rsid w:val="00B7146D"/>
    <w:rsid w:val="00B720B8"/>
    <w:rsid w:val="00B720D5"/>
    <w:rsid w:val="00B72983"/>
    <w:rsid w:val="00B73301"/>
    <w:rsid w:val="00B737FA"/>
    <w:rsid w:val="00B748A5"/>
    <w:rsid w:val="00B74EB9"/>
    <w:rsid w:val="00B769AE"/>
    <w:rsid w:val="00B76C38"/>
    <w:rsid w:val="00B77BCA"/>
    <w:rsid w:val="00B80472"/>
    <w:rsid w:val="00B80C4C"/>
    <w:rsid w:val="00B81AA3"/>
    <w:rsid w:val="00B82042"/>
    <w:rsid w:val="00B83B2B"/>
    <w:rsid w:val="00B8419B"/>
    <w:rsid w:val="00B847B9"/>
    <w:rsid w:val="00B8662D"/>
    <w:rsid w:val="00B87F6F"/>
    <w:rsid w:val="00B90A9E"/>
    <w:rsid w:val="00B90B48"/>
    <w:rsid w:val="00B91212"/>
    <w:rsid w:val="00B917D5"/>
    <w:rsid w:val="00B91DBC"/>
    <w:rsid w:val="00B93B23"/>
    <w:rsid w:val="00B93B4D"/>
    <w:rsid w:val="00B945E9"/>
    <w:rsid w:val="00B95637"/>
    <w:rsid w:val="00B9575A"/>
    <w:rsid w:val="00B95941"/>
    <w:rsid w:val="00B95E6E"/>
    <w:rsid w:val="00B969AF"/>
    <w:rsid w:val="00B9718D"/>
    <w:rsid w:val="00B971E1"/>
    <w:rsid w:val="00BA0941"/>
    <w:rsid w:val="00BA1AA7"/>
    <w:rsid w:val="00BA1ADF"/>
    <w:rsid w:val="00BA26D2"/>
    <w:rsid w:val="00BA26D3"/>
    <w:rsid w:val="00BA2F86"/>
    <w:rsid w:val="00BA4D97"/>
    <w:rsid w:val="00BA54A5"/>
    <w:rsid w:val="00BA5D45"/>
    <w:rsid w:val="00BA5EAA"/>
    <w:rsid w:val="00BA6EDE"/>
    <w:rsid w:val="00BB03FF"/>
    <w:rsid w:val="00BB0783"/>
    <w:rsid w:val="00BB0A40"/>
    <w:rsid w:val="00BB1069"/>
    <w:rsid w:val="00BB1116"/>
    <w:rsid w:val="00BB2E29"/>
    <w:rsid w:val="00BB351F"/>
    <w:rsid w:val="00BB3781"/>
    <w:rsid w:val="00BB37BF"/>
    <w:rsid w:val="00BB37C4"/>
    <w:rsid w:val="00BB3F4E"/>
    <w:rsid w:val="00BB428E"/>
    <w:rsid w:val="00BB51EE"/>
    <w:rsid w:val="00BB56C5"/>
    <w:rsid w:val="00BB5CE5"/>
    <w:rsid w:val="00BB625A"/>
    <w:rsid w:val="00BB7396"/>
    <w:rsid w:val="00BB7D6D"/>
    <w:rsid w:val="00BC0642"/>
    <w:rsid w:val="00BC12DC"/>
    <w:rsid w:val="00BC164A"/>
    <w:rsid w:val="00BC18AC"/>
    <w:rsid w:val="00BC1F6D"/>
    <w:rsid w:val="00BC2600"/>
    <w:rsid w:val="00BC3B24"/>
    <w:rsid w:val="00BC3C37"/>
    <w:rsid w:val="00BC3D27"/>
    <w:rsid w:val="00BC742F"/>
    <w:rsid w:val="00BC7B06"/>
    <w:rsid w:val="00BD0552"/>
    <w:rsid w:val="00BD0D8A"/>
    <w:rsid w:val="00BD0FB7"/>
    <w:rsid w:val="00BD1F5E"/>
    <w:rsid w:val="00BD28F0"/>
    <w:rsid w:val="00BD2F2E"/>
    <w:rsid w:val="00BD2FA7"/>
    <w:rsid w:val="00BD33E7"/>
    <w:rsid w:val="00BD37E3"/>
    <w:rsid w:val="00BD42F7"/>
    <w:rsid w:val="00BD45F1"/>
    <w:rsid w:val="00BD4771"/>
    <w:rsid w:val="00BD6524"/>
    <w:rsid w:val="00BD67B5"/>
    <w:rsid w:val="00BD6AE1"/>
    <w:rsid w:val="00BD7549"/>
    <w:rsid w:val="00BD79C0"/>
    <w:rsid w:val="00BD7BF9"/>
    <w:rsid w:val="00BE0538"/>
    <w:rsid w:val="00BE080C"/>
    <w:rsid w:val="00BE1437"/>
    <w:rsid w:val="00BE1659"/>
    <w:rsid w:val="00BE176B"/>
    <w:rsid w:val="00BE1F32"/>
    <w:rsid w:val="00BE20C8"/>
    <w:rsid w:val="00BE41E6"/>
    <w:rsid w:val="00BE46D1"/>
    <w:rsid w:val="00BE5688"/>
    <w:rsid w:val="00BE5A1D"/>
    <w:rsid w:val="00BE5D70"/>
    <w:rsid w:val="00BE5DDE"/>
    <w:rsid w:val="00BE6381"/>
    <w:rsid w:val="00BE6A47"/>
    <w:rsid w:val="00BE7490"/>
    <w:rsid w:val="00BF0B68"/>
    <w:rsid w:val="00BF24BE"/>
    <w:rsid w:val="00BF251C"/>
    <w:rsid w:val="00BF25C6"/>
    <w:rsid w:val="00BF4605"/>
    <w:rsid w:val="00BF4C5C"/>
    <w:rsid w:val="00BF62E4"/>
    <w:rsid w:val="00BF7137"/>
    <w:rsid w:val="00BF7242"/>
    <w:rsid w:val="00C00914"/>
    <w:rsid w:val="00C00FDC"/>
    <w:rsid w:val="00C017C1"/>
    <w:rsid w:val="00C02626"/>
    <w:rsid w:val="00C02820"/>
    <w:rsid w:val="00C069E2"/>
    <w:rsid w:val="00C100D1"/>
    <w:rsid w:val="00C10656"/>
    <w:rsid w:val="00C11787"/>
    <w:rsid w:val="00C12733"/>
    <w:rsid w:val="00C141F1"/>
    <w:rsid w:val="00C14D12"/>
    <w:rsid w:val="00C14DF8"/>
    <w:rsid w:val="00C15016"/>
    <w:rsid w:val="00C15CAD"/>
    <w:rsid w:val="00C170DA"/>
    <w:rsid w:val="00C17424"/>
    <w:rsid w:val="00C17604"/>
    <w:rsid w:val="00C179BB"/>
    <w:rsid w:val="00C201EF"/>
    <w:rsid w:val="00C21E3C"/>
    <w:rsid w:val="00C21E6F"/>
    <w:rsid w:val="00C22398"/>
    <w:rsid w:val="00C2282A"/>
    <w:rsid w:val="00C2292F"/>
    <w:rsid w:val="00C229B8"/>
    <w:rsid w:val="00C2317C"/>
    <w:rsid w:val="00C232D7"/>
    <w:rsid w:val="00C23FAD"/>
    <w:rsid w:val="00C24226"/>
    <w:rsid w:val="00C24C3F"/>
    <w:rsid w:val="00C24CBC"/>
    <w:rsid w:val="00C26BCB"/>
    <w:rsid w:val="00C2732D"/>
    <w:rsid w:val="00C3168B"/>
    <w:rsid w:val="00C320EF"/>
    <w:rsid w:val="00C32B65"/>
    <w:rsid w:val="00C33A33"/>
    <w:rsid w:val="00C3487B"/>
    <w:rsid w:val="00C34A18"/>
    <w:rsid w:val="00C34AF4"/>
    <w:rsid w:val="00C40250"/>
    <w:rsid w:val="00C40485"/>
    <w:rsid w:val="00C40958"/>
    <w:rsid w:val="00C418D9"/>
    <w:rsid w:val="00C43D7E"/>
    <w:rsid w:val="00C43F07"/>
    <w:rsid w:val="00C44B4C"/>
    <w:rsid w:val="00C45ACD"/>
    <w:rsid w:val="00C45C81"/>
    <w:rsid w:val="00C45F72"/>
    <w:rsid w:val="00C471C0"/>
    <w:rsid w:val="00C47727"/>
    <w:rsid w:val="00C51682"/>
    <w:rsid w:val="00C51946"/>
    <w:rsid w:val="00C54BFA"/>
    <w:rsid w:val="00C54C97"/>
    <w:rsid w:val="00C55039"/>
    <w:rsid w:val="00C550CD"/>
    <w:rsid w:val="00C55EF5"/>
    <w:rsid w:val="00C60172"/>
    <w:rsid w:val="00C60A32"/>
    <w:rsid w:val="00C618AE"/>
    <w:rsid w:val="00C61EBA"/>
    <w:rsid w:val="00C62C6B"/>
    <w:rsid w:val="00C650F9"/>
    <w:rsid w:val="00C65458"/>
    <w:rsid w:val="00C6629F"/>
    <w:rsid w:val="00C6744D"/>
    <w:rsid w:val="00C709CF"/>
    <w:rsid w:val="00C70A29"/>
    <w:rsid w:val="00C70D56"/>
    <w:rsid w:val="00C73DAF"/>
    <w:rsid w:val="00C73F33"/>
    <w:rsid w:val="00C75034"/>
    <w:rsid w:val="00C7579F"/>
    <w:rsid w:val="00C75999"/>
    <w:rsid w:val="00C75E9A"/>
    <w:rsid w:val="00C75F7E"/>
    <w:rsid w:val="00C768FF"/>
    <w:rsid w:val="00C77258"/>
    <w:rsid w:val="00C77349"/>
    <w:rsid w:val="00C80307"/>
    <w:rsid w:val="00C8234B"/>
    <w:rsid w:val="00C827CB"/>
    <w:rsid w:val="00C82870"/>
    <w:rsid w:val="00C862B6"/>
    <w:rsid w:val="00C862FB"/>
    <w:rsid w:val="00C86D10"/>
    <w:rsid w:val="00C87313"/>
    <w:rsid w:val="00C8786C"/>
    <w:rsid w:val="00C90CA3"/>
    <w:rsid w:val="00C90E60"/>
    <w:rsid w:val="00C91063"/>
    <w:rsid w:val="00C92D63"/>
    <w:rsid w:val="00C937AC"/>
    <w:rsid w:val="00C93ABE"/>
    <w:rsid w:val="00C93C1A"/>
    <w:rsid w:val="00C93C81"/>
    <w:rsid w:val="00C9497F"/>
    <w:rsid w:val="00C95470"/>
    <w:rsid w:val="00C96EE5"/>
    <w:rsid w:val="00C97366"/>
    <w:rsid w:val="00C97460"/>
    <w:rsid w:val="00C975C7"/>
    <w:rsid w:val="00C9793F"/>
    <w:rsid w:val="00CA31D7"/>
    <w:rsid w:val="00CA4D49"/>
    <w:rsid w:val="00CA5078"/>
    <w:rsid w:val="00CA5664"/>
    <w:rsid w:val="00CA658A"/>
    <w:rsid w:val="00CA69F8"/>
    <w:rsid w:val="00CA7772"/>
    <w:rsid w:val="00CA7FD1"/>
    <w:rsid w:val="00CB0AF6"/>
    <w:rsid w:val="00CB0D56"/>
    <w:rsid w:val="00CB1195"/>
    <w:rsid w:val="00CB11E8"/>
    <w:rsid w:val="00CB1977"/>
    <w:rsid w:val="00CB201B"/>
    <w:rsid w:val="00CB24D2"/>
    <w:rsid w:val="00CB2670"/>
    <w:rsid w:val="00CB3010"/>
    <w:rsid w:val="00CB30E8"/>
    <w:rsid w:val="00CB4286"/>
    <w:rsid w:val="00CB42FD"/>
    <w:rsid w:val="00CB4481"/>
    <w:rsid w:val="00CB48C3"/>
    <w:rsid w:val="00CB620E"/>
    <w:rsid w:val="00CB73C7"/>
    <w:rsid w:val="00CB7A5F"/>
    <w:rsid w:val="00CC029A"/>
    <w:rsid w:val="00CC063A"/>
    <w:rsid w:val="00CC0A6B"/>
    <w:rsid w:val="00CC0C0F"/>
    <w:rsid w:val="00CC18E2"/>
    <w:rsid w:val="00CC2085"/>
    <w:rsid w:val="00CC21EF"/>
    <w:rsid w:val="00CC4A6C"/>
    <w:rsid w:val="00CC561E"/>
    <w:rsid w:val="00CC568B"/>
    <w:rsid w:val="00CC58A6"/>
    <w:rsid w:val="00CC58E0"/>
    <w:rsid w:val="00CC5BAD"/>
    <w:rsid w:val="00CD051A"/>
    <w:rsid w:val="00CD17CA"/>
    <w:rsid w:val="00CD1E89"/>
    <w:rsid w:val="00CD2099"/>
    <w:rsid w:val="00CD254B"/>
    <w:rsid w:val="00CD2A8F"/>
    <w:rsid w:val="00CD38E2"/>
    <w:rsid w:val="00CD3D6A"/>
    <w:rsid w:val="00CD40E5"/>
    <w:rsid w:val="00CD45A2"/>
    <w:rsid w:val="00CD5EBB"/>
    <w:rsid w:val="00CD678A"/>
    <w:rsid w:val="00CD6BE8"/>
    <w:rsid w:val="00CD6C28"/>
    <w:rsid w:val="00CD6D66"/>
    <w:rsid w:val="00CD7C80"/>
    <w:rsid w:val="00CE016C"/>
    <w:rsid w:val="00CE0D80"/>
    <w:rsid w:val="00CE0E33"/>
    <w:rsid w:val="00CE1402"/>
    <w:rsid w:val="00CE1743"/>
    <w:rsid w:val="00CE1D91"/>
    <w:rsid w:val="00CE375B"/>
    <w:rsid w:val="00CE4303"/>
    <w:rsid w:val="00CE4643"/>
    <w:rsid w:val="00CE4BC5"/>
    <w:rsid w:val="00CE4DBE"/>
    <w:rsid w:val="00CE5441"/>
    <w:rsid w:val="00CE5A3B"/>
    <w:rsid w:val="00CE5CFD"/>
    <w:rsid w:val="00CE5FC9"/>
    <w:rsid w:val="00CE6069"/>
    <w:rsid w:val="00CE6728"/>
    <w:rsid w:val="00CE688C"/>
    <w:rsid w:val="00CE6975"/>
    <w:rsid w:val="00CE7FCB"/>
    <w:rsid w:val="00CF03E4"/>
    <w:rsid w:val="00CF0627"/>
    <w:rsid w:val="00CF07A4"/>
    <w:rsid w:val="00CF263E"/>
    <w:rsid w:val="00CF26EF"/>
    <w:rsid w:val="00CF2F4A"/>
    <w:rsid w:val="00CF38C0"/>
    <w:rsid w:val="00CF392C"/>
    <w:rsid w:val="00CF3EA0"/>
    <w:rsid w:val="00CF4976"/>
    <w:rsid w:val="00CF4DFE"/>
    <w:rsid w:val="00CF547A"/>
    <w:rsid w:val="00CF552C"/>
    <w:rsid w:val="00CF71FE"/>
    <w:rsid w:val="00CF73A2"/>
    <w:rsid w:val="00CF773F"/>
    <w:rsid w:val="00D001A4"/>
    <w:rsid w:val="00D00843"/>
    <w:rsid w:val="00D01D86"/>
    <w:rsid w:val="00D02CED"/>
    <w:rsid w:val="00D035C2"/>
    <w:rsid w:val="00D04019"/>
    <w:rsid w:val="00D04446"/>
    <w:rsid w:val="00D04568"/>
    <w:rsid w:val="00D04E42"/>
    <w:rsid w:val="00D05469"/>
    <w:rsid w:val="00D06654"/>
    <w:rsid w:val="00D0733A"/>
    <w:rsid w:val="00D07343"/>
    <w:rsid w:val="00D07416"/>
    <w:rsid w:val="00D1064B"/>
    <w:rsid w:val="00D11D30"/>
    <w:rsid w:val="00D1383C"/>
    <w:rsid w:val="00D13AF1"/>
    <w:rsid w:val="00D14E8D"/>
    <w:rsid w:val="00D152BE"/>
    <w:rsid w:val="00D16B96"/>
    <w:rsid w:val="00D17901"/>
    <w:rsid w:val="00D20376"/>
    <w:rsid w:val="00D22F78"/>
    <w:rsid w:val="00D23877"/>
    <w:rsid w:val="00D24145"/>
    <w:rsid w:val="00D241B7"/>
    <w:rsid w:val="00D25A31"/>
    <w:rsid w:val="00D25A7C"/>
    <w:rsid w:val="00D25D37"/>
    <w:rsid w:val="00D26621"/>
    <w:rsid w:val="00D269D2"/>
    <w:rsid w:val="00D27312"/>
    <w:rsid w:val="00D30731"/>
    <w:rsid w:val="00D3130F"/>
    <w:rsid w:val="00D3160D"/>
    <w:rsid w:val="00D31763"/>
    <w:rsid w:val="00D3187E"/>
    <w:rsid w:val="00D32972"/>
    <w:rsid w:val="00D331CB"/>
    <w:rsid w:val="00D33221"/>
    <w:rsid w:val="00D33435"/>
    <w:rsid w:val="00D335FE"/>
    <w:rsid w:val="00D33668"/>
    <w:rsid w:val="00D33B74"/>
    <w:rsid w:val="00D34AAC"/>
    <w:rsid w:val="00D351F1"/>
    <w:rsid w:val="00D35484"/>
    <w:rsid w:val="00D354FE"/>
    <w:rsid w:val="00D36130"/>
    <w:rsid w:val="00D37342"/>
    <w:rsid w:val="00D407D8"/>
    <w:rsid w:val="00D40AE5"/>
    <w:rsid w:val="00D40C58"/>
    <w:rsid w:val="00D416D9"/>
    <w:rsid w:val="00D418AA"/>
    <w:rsid w:val="00D41D11"/>
    <w:rsid w:val="00D42026"/>
    <w:rsid w:val="00D423CF"/>
    <w:rsid w:val="00D438EF"/>
    <w:rsid w:val="00D43EF9"/>
    <w:rsid w:val="00D44270"/>
    <w:rsid w:val="00D442C9"/>
    <w:rsid w:val="00D44AC0"/>
    <w:rsid w:val="00D44DD1"/>
    <w:rsid w:val="00D451C7"/>
    <w:rsid w:val="00D45B14"/>
    <w:rsid w:val="00D462BF"/>
    <w:rsid w:val="00D464C3"/>
    <w:rsid w:val="00D4720E"/>
    <w:rsid w:val="00D478B6"/>
    <w:rsid w:val="00D5078A"/>
    <w:rsid w:val="00D50C41"/>
    <w:rsid w:val="00D5208E"/>
    <w:rsid w:val="00D52932"/>
    <w:rsid w:val="00D5334E"/>
    <w:rsid w:val="00D533FC"/>
    <w:rsid w:val="00D54A17"/>
    <w:rsid w:val="00D55D85"/>
    <w:rsid w:val="00D55EF4"/>
    <w:rsid w:val="00D5622E"/>
    <w:rsid w:val="00D56475"/>
    <w:rsid w:val="00D56D70"/>
    <w:rsid w:val="00D6211E"/>
    <w:rsid w:val="00D62419"/>
    <w:rsid w:val="00D635CC"/>
    <w:rsid w:val="00D637A5"/>
    <w:rsid w:val="00D63ACB"/>
    <w:rsid w:val="00D647DB"/>
    <w:rsid w:val="00D652B8"/>
    <w:rsid w:val="00D656C9"/>
    <w:rsid w:val="00D6586A"/>
    <w:rsid w:val="00D66EF5"/>
    <w:rsid w:val="00D673E2"/>
    <w:rsid w:val="00D67DD9"/>
    <w:rsid w:val="00D71487"/>
    <w:rsid w:val="00D74894"/>
    <w:rsid w:val="00D756BC"/>
    <w:rsid w:val="00D7775B"/>
    <w:rsid w:val="00D77AB7"/>
    <w:rsid w:val="00D80C57"/>
    <w:rsid w:val="00D81A50"/>
    <w:rsid w:val="00D8339D"/>
    <w:rsid w:val="00D83772"/>
    <w:rsid w:val="00D83DF5"/>
    <w:rsid w:val="00D85303"/>
    <w:rsid w:val="00D85EA1"/>
    <w:rsid w:val="00D85EFB"/>
    <w:rsid w:val="00D863BE"/>
    <w:rsid w:val="00D865E8"/>
    <w:rsid w:val="00D870B4"/>
    <w:rsid w:val="00D87AA8"/>
    <w:rsid w:val="00D90286"/>
    <w:rsid w:val="00D913C1"/>
    <w:rsid w:val="00D914FF"/>
    <w:rsid w:val="00D91B71"/>
    <w:rsid w:val="00D92180"/>
    <w:rsid w:val="00D9238C"/>
    <w:rsid w:val="00D924FC"/>
    <w:rsid w:val="00D92B55"/>
    <w:rsid w:val="00D92BD6"/>
    <w:rsid w:val="00D93BEA"/>
    <w:rsid w:val="00D948E8"/>
    <w:rsid w:val="00D95749"/>
    <w:rsid w:val="00D95920"/>
    <w:rsid w:val="00D9619E"/>
    <w:rsid w:val="00D97DCD"/>
    <w:rsid w:val="00DA09F0"/>
    <w:rsid w:val="00DA0B05"/>
    <w:rsid w:val="00DA109D"/>
    <w:rsid w:val="00DA2B3A"/>
    <w:rsid w:val="00DA3227"/>
    <w:rsid w:val="00DA3344"/>
    <w:rsid w:val="00DA492E"/>
    <w:rsid w:val="00DA5FC1"/>
    <w:rsid w:val="00DB1374"/>
    <w:rsid w:val="00DB196F"/>
    <w:rsid w:val="00DB24A6"/>
    <w:rsid w:val="00DB3294"/>
    <w:rsid w:val="00DB3846"/>
    <w:rsid w:val="00DB3FF0"/>
    <w:rsid w:val="00DB4035"/>
    <w:rsid w:val="00DB4112"/>
    <w:rsid w:val="00DB56AB"/>
    <w:rsid w:val="00DB5871"/>
    <w:rsid w:val="00DB6500"/>
    <w:rsid w:val="00DB6EBA"/>
    <w:rsid w:val="00DC32DD"/>
    <w:rsid w:val="00DC3E32"/>
    <w:rsid w:val="00DC4092"/>
    <w:rsid w:val="00DC46B1"/>
    <w:rsid w:val="00DC4F9F"/>
    <w:rsid w:val="00DC537C"/>
    <w:rsid w:val="00DC5902"/>
    <w:rsid w:val="00DC5DF8"/>
    <w:rsid w:val="00DC7464"/>
    <w:rsid w:val="00DC7A79"/>
    <w:rsid w:val="00DD0386"/>
    <w:rsid w:val="00DD07ED"/>
    <w:rsid w:val="00DD2605"/>
    <w:rsid w:val="00DD2F77"/>
    <w:rsid w:val="00DD356A"/>
    <w:rsid w:val="00DD3679"/>
    <w:rsid w:val="00DD3FA7"/>
    <w:rsid w:val="00DD4718"/>
    <w:rsid w:val="00DD481E"/>
    <w:rsid w:val="00DD7082"/>
    <w:rsid w:val="00DD74BC"/>
    <w:rsid w:val="00DD7D3E"/>
    <w:rsid w:val="00DD7D6D"/>
    <w:rsid w:val="00DD7D7C"/>
    <w:rsid w:val="00DE00B5"/>
    <w:rsid w:val="00DE0230"/>
    <w:rsid w:val="00DE0616"/>
    <w:rsid w:val="00DE0877"/>
    <w:rsid w:val="00DE0C18"/>
    <w:rsid w:val="00DE1AE2"/>
    <w:rsid w:val="00DE2013"/>
    <w:rsid w:val="00DE2302"/>
    <w:rsid w:val="00DE2A76"/>
    <w:rsid w:val="00DE34BC"/>
    <w:rsid w:val="00DE370F"/>
    <w:rsid w:val="00DE4403"/>
    <w:rsid w:val="00DE58AB"/>
    <w:rsid w:val="00DE5B5D"/>
    <w:rsid w:val="00DE6124"/>
    <w:rsid w:val="00DE6A64"/>
    <w:rsid w:val="00DE6B83"/>
    <w:rsid w:val="00DE6E8A"/>
    <w:rsid w:val="00DF1AD1"/>
    <w:rsid w:val="00DF20DC"/>
    <w:rsid w:val="00DF291E"/>
    <w:rsid w:val="00DF333C"/>
    <w:rsid w:val="00DF3DD3"/>
    <w:rsid w:val="00DF5164"/>
    <w:rsid w:val="00DF5791"/>
    <w:rsid w:val="00DF6634"/>
    <w:rsid w:val="00DF6A83"/>
    <w:rsid w:val="00DF6C69"/>
    <w:rsid w:val="00E00559"/>
    <w:rsid w:val="00E02146"/>
    <w:rsid w:val="00E03749"/>
    <w:rsid w:val="00E045BC"/>
    <w:rsid w:val="00E04DB6"/>
    <w:rsid w:val="00E0503F"/>
    <w:rsid w:val="00E06265"/>
    <w:rsid w:val="00E07073"/>
    <w:rsid w:val="00E11957"/>
    <w:rsid w:val="00E14226"/>
    <w:rsid w:val="00E1511E"/>
    <w:rsid w:val="00E159BB"/>
    <w:rsid w:val="00E15AF8"/>
    <w:rsid w:val="00E15C6D"/>
    <w:rsid w:val="00E16413"/>
    <w:rsid w:val="00E16998"/>
    <w:rsid w:val="00E20960"/>
    <w:rsid w:val="00E21CEA"/>
    <w:rsid w:val="00E22D89"/>
    <w:rsid w:val="00E23185"/>
    <w:rsid w:val="00E2452C"/>
    <w:rsid w:val="00E257C0"/>
    <w:rsid w:val="00E25C67"/>
    <w:rsid w:val="00E2774A"/>
    <w:rsid w:val="00E27820"/>
    <w:rsid w:val="00E27B22"/>
    <w:rsid w:val="00E30CBA"/>
    <w:rsid w:val="00E3167C"/>
    <w:rsid w:val="00E31906"/>
    <w:rsid w:val="00E31D25"/>
    <w:rsid w:val="00E31DD8"/>
    <w:rsid w:val="00E32264"/>
    <w:rsid w:val="00E322F8"/>
    <w:rsid w:val="00E330CB"/>
    <w:rsid w:val="00E33864"/>
    <w:rsid w:val="00E33E07"/>
    <w:rsid w:val="00E34342"/>
    <w:rsid w:val="00E34E3E"/>
    <w:rsid w:val="00E35696"/>
    <w:rsid w:val="00E37965"/>
    <w:rsid w:val="00E41B47"/>
    <w:rsid w:val="00E42B9F"/>
    <w:rsid w:val="00E42F04"/>
    <w:rsid w:val="00E442CE"/>
    <w:rsid w:val="00E4493B"/>
    <w:rsid w:val="00E44DFA"/>
    <w:rsid w:val="00E452BD"/>
    <w:rsid w:val="00E459B7"/>
    <w:rsid w:val="00E45A3F"/>
    <w:rsid w:val="00E45B6D"/>
    <w:rsid w:val="00E46D1D"/>
    <w:rsid w:val="00E4727B"/>
    <w:rsid w:val="00E5065F"/>
    <w:rsid w:val="00E51C09"/>
    <w:rsid w:val="00E53154"/>
    <w:rsid w:val="00E531A5"/>
    <w:rsid w:val="00E535C5"/>
    <w:rsid w:val="00E53FA0"/>
    <w:rsid w:val="00E55349"/>
    <w:rsid w:val="00E564BF"/>
    <w:rsid w:val="00E56CF5"/>
    <w:rsid w:val="00E60669"/>
    <w:rsid w:val="00E609A3"/>
    <w:rsid w:val="00E60A49"/>
    <w:rsid w:val="00E630FC"/>
    <w:rsid w:val="00E646F5"/>
    <w:rsid w:val="00E659B6"/>
    <w:rsid w:val="00E6681A"/>
    <w:rsid w:val="00E67007"/>
    <w:rsid w:val="00E670E1"/>
    <w:rsid w:val="00E675D9"/>
    <w:rsid w:val="00E67EE8"/>
    <w:rsid w:val="00E70727"/>
    <w:rsid w:val="00E71A37"/>
    <w:rsid w:val="00E71B99"/>
    <w:rsid w:val="00E72182"/>
    <w:rsid w:val="00E72C4C"/>
    <w:rsid w:val="00E73AAC"/>
    <w:rsid w:val="00E7466E"/>
    <w:rsid w:val="00E74C63"/>
    <w:rsid w:val="00E75E4F"/>
    <w:rsid w:val="00E7680E"/>
    <w:rsid w:val="00E775A6"/>
    <w:rsid w:val="00E779C1"/>
    <w:rsid w:val="00E8000F"/>
    <w:rsid w:val="00E8114D"/>
    <w:rsid w:val="00E8129F"/>
    <w:rsid w:val="00E82076"/>
    <w:rsid w:val="00E82184"/>
    <w:rsid w:val="00E84D3C"/>
    <w:rsid w:val="00E84FBA"/>
    <w:rsid w:val="00E85F99"/>
    <w:rsid w:val="00E86411"/>
    <w:rsid w:val="00E905B2"/>
    <w:rsid w:val="00E90688"/>
    <w:rsid w:val="00E906AB"/>
    <w:rsid w:val="00E90923"/>
    <w:rsid w:val="00E909B5"/>
    <w:rsid w:val="00E90F39"/>
    <w:rsid w:val="00E9180D"/>
    <w:rsid w:val="00E919AA"/>
    <w:rsid w:val="00E9249C"/>
    <w:rsid w:val="00E9284A"/>
    <w:rsid w:val="00E9328B"/>
    <w:rsid w:val="00E9404A"/>
    <w:rsid w:val="00E94E8F"/>
    <w:rsid w:val="00E95617"/>
    <w:rsid w:val="00E95695"/>
    <w:rsid w:val="00E95CA9"/>
    <w:rsid w:val="00E96673"/>
    <w:rsid w:val="00E96752"/>
    <w:rsid w:val="00E969C7"/>
    <w:rsid w:val="00EA1A44"/>
    <w:rsid w:val="00EA39A0"/>
    <w:rsid w:val="00EA3F92"/>
    <w:rsid w:val="00EA4699"/>
    <w:rsid w:val="00EA47BF"/>
    <w:rsid w:val="00EA4C92"/>
    <w:rsid w:val="00EA4DFE"/>
    <w:rsid w:val="00EA4E1B"/>
    <w:rsid w:val="00EA505A"/>
    <w:rsid w:val="00EA5F24"/>
    <w:rsid w:val="00EA60AB"/>
    <w:rsid w:val="00EA659C"/>
    <w:rsid w:val="00EA6A79"/>
    <w:rsid w:val="00EA6EE8"/>
    <w:rsid w:val="00EA6F46"/>
    <w:rsid w:val="00EB01BC"/>
    <w:rsid w:val="00EB0398"/>
    <w:rsid w:val="00EB0AD0"/>
    <w:rsid w:val="00EB0ECC"/>
    <w:rsid w:val="00EB15ED"/>
    <w:rsid w:val="00EB1B3C"/>
    <w:rsid w:val="00EB2E0D"/>
    <w:rsid w:val="00EB320A"/>
    <w:rsid w:val="00EB66F4"/>
    <w:rsid w:val="00EB6BC1"/>
    <w:rsid w:val="00EB6E1F"/>
    <w:rsid w:val="00EC0C41"/>
    <w:rsid w:val="00EC0E52"/>
    <w:rsid w:val="00EC112B"/>
    <w:rsid w:val="00EC218F"/>
    <w:rsid w:val="00EC26A4"/>
    <w:rsid w:val="00EC28FD"/>
    <w:rsid w:val="00EC2D72"/>
    <w:rsid w:val="00EC2F5D"/>
    <w:rsid w:val="00EC46C5"/>
    <w:rsid w:val="00EC4E21"/>
    <w:rsid w:val="00EC532D"/>
    <w:rsid w:val="00EC5C3D"/>
    <w:rsid w:val="00EC68F4"/>
    <w:rsid w:val="00EC6B21"/>
    <w:rsid w:val="00EC6B62"/>
    <w:rsid w:val="00EC70F9"/>
    <w:rsid w:val="00EC7262"/>
    <w:rsid w:val="00EC7869"/>
    <w:rsid w:val="00ED1E68"/>
    <w:rsid w:val="00ED22A9"/>
    <w:rsid w:val="00ED29E5"/>
    <w:rsid w:val="00ED3D20"/>
    <w:rsid w:val="00ED401D"/>
    <w:rsid w:val="00ED500C"/>
    <w:rsid w:val="00ED5D51"/>
    <w:rsid w:val="00ED5FD1"/>
    <w:rsid w:val="00ED6940"/>
    <w:rsid w:val="00EE0A9F"/>
    <w:rsid w:val="00EE0FD3"/>
    <w:rsid w:val="00EE16C8"/>
    <w:rsid w:val="00EE173D"/>
    <w:rsid w:val="00EE18A0"/>
    <w:rsid w:val="00EE1ABA"/>
    <w:rsid w:val="00EE2426"/>
    <w:rsid w:val="00EE29EE"/>
    <w:rsid w:val="00EE4230"/>
    <w:rsid w:val="00EE5BC8"/>
    <w:rsid w:val="00EE627A"/>
    <w:rsid w:val="00EE6E91"/>
    <w:rsid w:val="00EF10A7"/>
    <w:rsid w:val="00EF2623"/>
    <w:rsid w:val="00EF3272"/>
    <w:rsid w:val="00EF3DDB"/>
    <w:rsid w:val="00EF5023"/>
    <w:rsid w:val="00EF5FC4"/>
    <w:rsid w:val="00EF6E64"/>
    <w:rsid w:val="00EF7D44"/>
    <w:rsid w:val="00EF7E19"/>
    <w:rsid w:val="00F00307"/>
    <w:rsid w:val="00F035A1"/>
    <w:rsid w:val="00F048B5"/>
    <w:rsid w:val="00F0494C"/>
    <w:rsid w:val="00F05B57"/>
    <w:rsid w:val="00F05F92"/>
    <w:rsid w:val="00F06131"/>
    <w:rsid w:val="00F06371"/>
    <w:rsid w:val="00F06A92"/>
    <w:rsid w:val="00F104BC"/>
    <w:rsid w:val="00F108EE"/>
    <w:rsid w:val="00F12AFB"/>
    <w:rsid w:val="00F13481"/>
    <w:rsid w:val="00F144CC"/>
    <w:rsid w:val="00F153FB"/>
    <w:rsid w:val="00F160E9"/>
    <w:rsid w:val="00F161C5"/>
    <w:rsid w:val="00F16458"/>
    <w:rsid w:val="00F1653C"/>
    <w:rsid w:val="00F16683"/>
    <w:rsid w:val="00F174D8"/>
    <w:rsid w:val="00F17B17"/>
    <w:rsid w:val="00F20488"/>
    <w:rsid w:val="00F20A69"/>
    <w:rsid w:val="00F20EC7"/>
    <w:rsid w:val="00F21F04"/>
    <w:rsid w:val="00F2229F"/>
    <w:rsid w:val="00F23B6C"/>
    <w:rsid w:val="00F23CFB"/>
    <w:rsid w:val="00F248D6"/>
    <w:rsid w:val="00F250DF"/>
    <w:rsid w:val="00F25B06"/>
    <w:rsid w:val="00F30840"/>
    <w:rsid w:val="00F30A4E"/>
    <w:rsid w:val="00F30C0F"/>
    <w:rsid w:val="00F30CDE"/>
    <w:rsid w:val="00F30CEB"/>
    <w:rsid w:val="00F31A99"/>
    <w:rsid w:val="00F32CBC"/>
    <w:rsid w:val="00F338B8"/>
    <w:rsid w:val="00F34512"/>
    <w:rsid w:val="00F351CD"/>
    <w:rsid w:val="00F35F1A"/>
    <w:rsid w:val="00F360CA"/>
    <w:rsid w:val="00F36184"/>
    <w:rsid w:val="00F36625"/>
    <w:rsid w:val="00F36935"/>
    <w:rsid w:val="00F36AC4"/>
    <w:rsid w:val="00F377DD"/>
    <w:rsid w:val="00F40804"/>
    <w:rsid w:val="00F4128F"/>
    <w:rsid w:val="00F41B47"/>
    <w:rsid w:val="00F41F1C"/>
    <w:rsid w:val="00F41F78"/>
    <w:rsid w:val="00F4241E"/>
    <w:rsid w:val="00F4278C"/>
    <w:rsid w:val="00F42851"/>
    <w:rsid w:val="00F44DCB"/>
    <w:rsid w:val="00F46048"/>
    <w:rsid w:val="00F46FAC"/>
    <w:rsid w:val="00F471A8"/>
    <w:rsid w:val="00F472E2"/>
    <w:rsid w:val="00F47851"/>
    <w:rsid w:val="00F50FE1"/>
    <w:rsid w:val="00F51DAB"/>
    <w:rsid w:val="00F52018"/>
    <w:rsid w:val="00F52E03"/>
    <w:rsid w:val="00F53451"/>
    <w:rsid w:val="00F537C4"/>
    <w:rsid w:val="00F54ADD"/>
    <w:rsid w:val="00F559D9"/>
    <w:rsid w:val="00F5761E"/>
    <w:rsid w:val="00F57BC7"/>
    <w:rsid w:val="00F57BE1"/>
    <w:rsid w:val="00F57FC2"/>
    <w:rsid w:val="00F60822"/>
    <w:rsid w:val="00F60D48"/>
    <w:rsid w:val="00F60F73"/>
    <w:rsid w:val="00F62070"/>
    <w:rsid w:val="00F62C2E"/>
    <w:rsid w:val="00F64EEE"/>
    <w:rsid w:val="00F65794"/>
    <w:rsid w:val="00F66AF4"/>
    <w:rsid w:val="00F67B62"/>
    <w:rsid w:val="00F70CE8"/>
    <w:rsid w:val="00F7114F"/>
    <w:rsid w:val="00F71441"/>
    <w:rsid w:val="00F7151F"/>
    <w:rsid w:val="00F71FB6"/>
    <w:rsid w:val="00F723E5"/>
    <w:rsid w:val="00F725A2"/>
    <w:rsid w:val="00F736B8"/>
    <w:rsid w:val="00F75349"/>
    <w:rsid w:val="00F75BF1"/>
    <w:rsid w:val="00F75C80"/>
    <w:rsid w:val="00F76215"/>
    <w:rsid w:val="00F76657"/>
    <w:rsid w:val="00F76A32"/>
    <w:rsid w:val="00F774E2"/>
    <w:rsid w:val="00F77A75"/>
    <w:rsid w:val="00F81B02"/>
    <w:rsid w:val="00F81D4E"/>
    <w:rsid w:val="00F84297"/>
    <w:rsid w:val="00F857DD"/>
    <w:rsid w:val="00F862DB"/>
    <w:rsid w:val="00F869B6"/>
    <w:rsid w:val="00F904FF"/>
    <w:rsid w:val="00F90A42"/>
    <w:rsid w:val="00F913AE"/>
    <w:rsid w:val="00F9177B"/>
    <w:rsid w:val="00F925D0"/>
    <w:rsid w:val="00F92D7B"/>
    <w:rsid w:val="00F945AD"/>
    <w:rsid w:val="00F9473B"/>
    <w:rsid w:val="00F960A2"/>
    <w:rsid w:val="00F96857"/>
    <w:rsid w:val="00F96E05"/>
    <w:rsid w:val="00F96EFC"/>
    <w:rsid w:val="00F974BC"/>
    <w:rsid w:val="00FA05D7"/>
    <w:rsid w:val="00FA0E2E"/>
    <w:rsid w:val="00FA1703"/>
    <w:rsid w:val="00FA31A3"/>
    <w:rsid w:val="00FA77FB"/>
    <w:rsid w:val="00FB081A"/>
    <w:rsid w:val="00FB1047"/>
    <w:rsid w:val="00FB10BD"/>
    <w:rsid w:val="00FB1E21"/>
    <w:rsid w:val="00FB224B"/>
    <w:rsid w:val="00FB4026"/>
    <w:rsid w:val="00FB4907"/>
    <w:rsid w:val="00FB49EC"/>
    <w:rsid w:val="00FB5112"/>
    <w:rsid w:val="00FB5CEB"/>
    <w:rsid w:val="00FB7BA8"/>
    <w:rsid w:val="00FC0465"/>
    <w:rsid w:val="00FC0544"/>
    <w:rsid w:val="00FC089C"/>
    <w:rsid w:val="00FC1B6C"/>
    <w:rsid w:val="00FC3345"/>
    <w:rsid w:val="00FC335F"/>
    <w:rsid w:val="00FC34AE"/>
    <w:rsid w:val="00FC3DA8"/>
    <w:rsid w:val="00FC4995"/>
    <w:rsid w:val="00FC6038"/>
    <w:rsid w:val="00FC67B4"/>
    <w:rsid w:val="00FC6973"/>
    <w:rsid w:val="00FC6C9B"/>
    <w:rsid w:val="00FC770A"/>
    <w:rsid w:val="00FC776A"/>
    <w:rsid w:val="00FC77AE"/>
    <w:rsid w:val="00FC7963"/>
    <w:rsid w:val="00FC79AF"/>
    <w:rsid w:val="00FC7B69"/>
    <w:rsid w:val="00FD04FC"/>
    <w:rsid w:val="00FD0F36"/>
    <w:rsid w:val="00FD2000"/>
    <w:rsid w:val="00FD21FF"/>
    <w:rsid w:val="00FD24AA"/>
    <w:rsid w:val="00FD2C11"/>
    <w:rsid w:val="00FD31D9"/>
    <w:rsid w:val="00FD40F1"/>
    <w:rsid w:val="00FD6D70"/>
    <w:rsid w:val="00FD7CC1"/>
    <w:rsid w:val="00FE27D5"/>
    <w:rsid w:val="00FE2CA5"/>
    <w:rsid w:val="00FE2E24"/>
    <w:rsid w:val="00FE3309"/>
    <w:rsid w:val="00FE3697"/>
    <w:rsid w:val="00FE3CB9"/>
    <w:rsid w:val="00FE4CEE"/>
    <w:rsid w:val="00FE5D50"/>
    <w:rsid w:val="00FE6B66"/>
    <w:rsid w:val="00FE73DF"/>
    <w:rsid w:val="00FF0442"/>
    <w:rsid w:val="00FF0675"/>
    <w:rsid w:val="00FF10DE"/>
    <w:rsid w:val="00FF1385"/>
    <w:rsid w:val="00FF16B3"/>
    <w:rsid w:val="00FF1A5B"/>
    <w:rsid w:val="00FF267F"/>
    <w:rsid w:val="00FF280F"/>
    <w:rsid w:val="00FF4897"/>
    <w:rsid w:val="00FF51F2"/>
    <w:rsid w:val="00FF5763"/>
    <w:rsid w:val="00FF6AA6"/>
    <w:rsid w:val="00FF6CA7"/>
    <w:rsid w:val="00FF7560"/>
    <w:rsid w:val="01014C32"/>
    <w:rsid w:val="01501ECA"/>
    <w:rsid w:val="01A135A9"/>
    <w:rsid w:val="01E05490"/>
    <w:rsid w:val="01E5505A"/>
    <w:rsid w:val="01FD1DDD"/>
    <w:rsid w:val="0213141D"/>
    <w:rsid w:val="022B7669"/>
    <w:rsid w:val="023857F6"/>
    <w:rsid w:val="023A7D86"/>
    <w:rsid w:val="026C515C"/>
    <w:rsid w:val="02701473"/>
    <w:rsid w:val="02786A80"/>
    <w:rsid w:val="029C0799"/>
    <w:rsid w:val="02DC3FF8"/>
    <w:rsid w:val="02E80554"/>
    <w:rsid w:val="030748BB"/>
    <w:rsid w:val="03174C49"/>
    <w:rsid w:val="03634626"/>
    <w:rsid w:val="038366BE"/>
    <w:rsid w:val="03923E16"/>
    <w:rsid w:val="03DE592C"/>
    <w:rsid w:val="03E25AFD"/>
    <w:rsid w:val="03E26565"/>
    <w:rsid w:val="03F109EC"/>
    <w:rsid w:val="04043713"/>
    <w:rsid w:val="04223E4C"/>
    <w:rsid w:val="042A4A48"/>
    <w:rsid w:val="043354E6"/>
    <w:rsid w:val="044344E1"/>
    <w:rsid w:val="04515893"/>
    <w:rsid w:val="0460539A"/>
    <w:rsid w:val="047343F5"/>
    <w:rsid w:val="0475369F"/>
    <w:rsid w:val="0486237A"/>
    <w:rsid w:val="04975E97"/>
    <w:rsid w:val="04B03ACD"/>
    <w:rsid w:val="04B8274F"/>
    <w:rsid w:val="04E95F72"/>
    <w:rsid w:val="04F65A02"/>
    <w:rsid w:val="0539433D"/>
    <w:rsid w:val="05485881"/>
    <w:rsid w:val="05580368"/>
    <w:rsid w:val="05854556"/>
    <w:rsid w:val="058F1340"/>
    <w:rsid w:val="05945A19"/>
    <w:rsid w:val="059D432A"/>
    <w:rsid w:val="05A01EFF"/>
    <w:rsid w:val="05AF3B52"/>
    <w:rsid w:val="05CD36E9"/>
    <w:rsid w:val="06312FE9"/>
    <w:rsid w:val="063B23BA"/>
    <w:rsid w:val="064C314F"/>
    <w:rsid w:val="06BC05C5"/>
    <w:rsid w:val="06C710DC"/>
    <w:rsid w:val="06C95A97"/>
    <w:rsid w:val="06D62C03"/>
    <w:rsid w:val="06F96B63"/>
    <w:rsid w:val="07011775"/>
    <w:rsid w:val="07034156"/>
    <w:rsid w:val="07327F3A"/>
    <w:rsid w:val="076A70D6"/>
    <w:rsid w:val="078F48CC"/>
    <w:rsid w:val="07935DE5"/>
    <w:rsid w:val="0799653F"/>
    <w:rsid w:val="07A6639A"/>
    <w:rsid w:val="07D17DB0"/>
    <w:rsid w:val="07E55609"/>
    <w:rsid w:val="07EA580A"/>
    <w:rsid w:val="0850534E"/>
    <w:rsid w:val="08736678"/>
    <w:rsid w:val="08B26591"/>
    <w:rsid w:val="08B350BC"/>
    <w:rsid w:val="08C967FD"/>
    <w:rsid w:val="08D1066C"/>
    <w:rsid w:val="08E25FED"/>
    <w:rsid w:val="092108C3"/>
    <w:rsid w:val="092F7C4D"/>
    <w:rsid w:val="098844A3"/>
    <w:rsid w:val="09954E0D"/>
    <w:rsid w:val="09A33A3E"/>
    <w:rsid w:val="09A8264E"/>
    <w:rsid w:val="09B53D60"/>
    <w:rsid w:val="09CA5D1A"/>
    <w:rsid w:val="09CD488F"/>
    <w:rsid w:val="09E55D95"/>
    <w:rsid w:val="09EE5490"/>
    <w:rsid w:val="0A0E3CCE"/>
    <w:rsid w:val="0A45072C"/>
    <w:rsid w:val="0AA53910"/>
    <w:rsid w:val="0AF821D6"/>
    <w:rsid w:val="0B163D2C"/>
    <w:rsid w:val="0B2B27B7"/>
    <w:rsid w:val="0B2D68DF"/>
    <w:rsid w:val="0B381EF4"/>
    <w:rsid w:val="0B3C7694"/>
    <w:rsid w:val="0B7225FD"/>
    <w:rsid w:val="0B8444C2"/>
    <w:rsid w:val="0B9F171B"/>
    <w:rsid w:val="0BBD7591"/>
    <w:rsid w:val="0BC36B3D"/>
    <w:rsid w:val="0C05468B"/>
    <w:rsid w:val="0C316A23"/>
    <w:rsid w:val="0C5A4171"/>
    <w:rsid w:val="0C6233AF"/>
    <w:rsid w:val="0C646FFE"/>
    <w:rsid w:val="0C6B56EB"/>
    <w:rsid w:val="0C9C1760"/>
    <w:rsid w:val="0CDF7426"/>
    <w:rsid w:val="0CE02843"/>
    <w:rsid w:val="0CE54DEC"/>
    <w:rsid w:val="0D0845D6"/>
    <w:rsid w:val="0D255EE9"/>
    <w:rsid w:val="0D75536F"/>
    <w:rsid w:val="0DB964B4"/>
    <w:rsid w:val="0DBC3986"/>
    <w:rsid w:val="0E2742AB"/>
    <w:rsid w:val="0E583369"/>
    <w:rsid w:val="0E666FB3"/>
    <w:rsid w:val="0ED268DA"/>
    <w:rsid w:val="0F134951"/>
    <w:rsid w:val="0F39568F"/>
    <w:rsid w:val="0F5A5EB0"/>
    <w:rsid w:val="0F5E111F"/>
    <w:rsid w:val="0F780CA7"/>
    <w:rsid w:val="0FB05BFA"/>
    <w:rsid w:val="0FC0245B"/>
    <w:rsid w:val="0FE12AEE"/>
    <w:rsid w:val="0FF77250"/>
    <w:rsid w:val="10136A7C"/>
    <w:rsid w:val="101C0036"/>
    <w:rsid w:val="10224A07"/>
    <w:rsid w:val="10270E48"/>
    <w:rsid w:val="104132A8"/>
    <w:rsid w:val="10667503"/>
    <w:rsid w:val="10731E18"/>
    <w:rsid w:val="10785049"/>
    <w:rsid w:val="109D23E3"/>
    <w:rsid w:val="10A06571"/>
    <w:rsid w:val="10C04E65"/>
    <w:rsid w:val="10C7567B"/>
    <w:rsid w:val="11122513"/>
    <w:rsid w:val="11361054"/>
    <w:rsid w:val="11465305"/>
    <w:rsid w:val="11622003"/>
    <w:rsid w:val="1178129C"/>
    <w:rsid w:val="117D0D33"/>
    <w:rsid w:val="11850FF5"/>
    <w:rsid w:val="118E6D12"/>
    <w:rsid w:val="11A93B4C"/>
    <w:rsid w:val="11D30BC8"/>
    <w:rsid w:val="11D861DF"/>
    <w:rsid w:val="11F056E5"/>
    <w:rsid w:val="12057F8D"/>
    <w:rsid w:val="121B38C4"/>
    <w:rsid w:val="122907E8"/>
    <w:rsid w:val="12541372"/>
    <w:rsid w:val="128B564F"/>
    <w:rsid w:val="12934540"/>
    <w:rsid w:val="12955E7E"/>
    <w:rsid w:val="12E45C4F"/>
    <w:rsid w:val="130D010A"/>
    <w:rsid w:val="130E2754"/>
    <w:rsid w:val="1322157C"/>
    <w:rsid w:val="132C6AE1"/>
    <w:rsid w:val="134E0B08"/>
    <w:rsid w:val="138403CC"/>
    <w:rsid w:val="13AB2A6B"/>
    <w:rsid w:val="13CE7899"/>
    <w:rsid w:val="143F0797"/>
    <w:rsid w:val="14703F22"/>
    <w:rsid w:val="148279A7"/>
    <w:rsid w:val="149215F9"/>
    <w:rsid w:val="14D902A4"/>
    <w:rsid w:val="14D96F3A"/>
    <w:rsid w:val="14E53FB8"/>
    <w:rsid w:val="14E56540"/>
    <w:rsid w:val="14EC447B"/>
    <w:rsid w:val="14F76304"/>
    <w:rsid w:val="150139EF"/>
    <w:rsid w:val="15167536"/>
    <w:rsid w:val="15354E67"/>
    <w:rsid w:val="154B7070"/>
    <w:rsid w:val="156009C5"/>
    <w:rsid w:val="157800C2"/>
    <w:rsid w:val="157B135B"/>
    <w:rsid w:val="158451FB"/>
    <w:rsid w:val="15D155EE"/>
    <w:rsid w:val="15E433A4"/>
    <w:rsid w:val="161D2412"/>
    <w:rsid w:val="16270155"/>
    <w:rsid w:val="16654104"/>
    <w:rsid w:val="166A46D4"/>
    <w:rsid w:val="1676575E"/>
    <w:rsid w:val="16A162A5"/>
    <w:rsid w:val="16BB4D7D"/>
    <w:rsid w:val="16C83C79"/>
    <w:rsid w:val="16D55671"/>
    <w:rsid w:val="1704250B"/>
    <w:rsid w:val="172C4F6F"/>
    <w:rsid w:val="175304D2"/>
    <w:rsid w:val="176478AF"/>
    <w:rsid w:val="1766678A"/>
    <w:rsid w:val="177F15D2"/>
    <w:rsid w:val="178D61FB"/>
    <w:rsid w:val="17A032FB"/>
    <w:rsid w:val="17BA45C9"/>
    <w:rsid w:val="17C45385"/>
    <w:rsid w:val="17E94CA2"/>
    <w:rsid w:val="17F75C53"/>
    <w:rsid w:val="1836725B"/>
    <w:rsid w:val="18603A31"/>
    <w:rsid w:val="18706EB3"/>
    <w:rsid w:val="18C66A99"/>
    <w:rsid w:val="18CD0950"/>
    <w:rsid w:val="18D76848"/>
    <w:rsid w:val="18F7605D"/>
    <w:rsid w:val="1931426E"/>
    <w:rsid w:val="19873AEA"/>
    <w:rsid w:val="19A812FA"/>
    <w:rsid w:val="19C3033C"/>
    <w:rsid w:val="1A14249D"/>
    <w:rsid w:val="1A1B2543"/>
    <w:rsid w:val="1A1E594A"/>
    <w:rsid w:val="1A3F7112"/>
    <w:rsid w:val="1A4437EF"/>
    <w:rsid w:val="1A78230D"/>
    <w:rsid w:val="1AB71A72"/>
    <w:rsid w:val="1AD02149"/>
    <w:rsid w:val="1ADD4DEA"/>
    <w:rsid w:val="1AEE15BE"/>
    <w:rsid w:val="1B1E2EB4"/>
    <w:rsid w:val="1B2463A7"/>
    <w:rsid w:val="1B3B7E05"/>
    <w:rsid w:val="1B421E01"/>
    <w:rsid w:val="1B6A3530"/>
    <w:rsid w:val="1B842559"/>
    <w:rsid w:val="1BA35094"/>
    <w:rsid w:val="1BE83094"/>
    <w:rsid w:val="1BED7967"/>
    <w:rsid w:val="1C154FCD"/>
    <w:rsid w:val="1C6B2029"/>
    <w:rsid w:val="1C991608"/>
    <w:rsid w:val="1CD221A8"/>
    <w:rsid w:val="1CEE4EA7"/>
    <w:rsid w:val="1D100323"/>
    <w:rsid w:val="1D4E12E6"/>
    <w:rsid w:val="1D7B2606"/>
    <w:rsid w:val="1D7F7C2D"/>
    <w:rsid w:val="1DE1641B"/>
    <w:rsid w:val="1DEC4F9D"/>
    <w:rsid w:val="1DF4475A"/>
    <w:rsid w:val="1DF47EFC"/>
    <w:rsid w:val="1DF91A4A"/>
    <w:rsid w:val="1E145B18"/>
    <w:rsid w:val="1E1E6151"/>
    <w:rsid w:val="1E342272"/>
    <w:rsid w:val="1E68452C"/>
    <w:rsid w:val="1E82375A"/>
    <w:rsid w:val="1EB260F2"/>
    <w:rsid w:val="1EB43849"/>
    <w:rsid w:val="1EBE1A8E"/>
    <w:rsid w:val="1ECB1FDF"/>
    <w:rsid w:val="1F0E3240"/>
    <w:rsid w:val="1F2D62EF"/>
    <w:rsid w:val="1F4C3A67"/>
    <w:rsid w:val="1F692E9B"/>
    <w:rsid w:val="1F703606"/>
    <w:rsid w:val="1FC568A9"/>
    <w:rsid w:val="1FDC204C"/>
    <w:rsid w:val="1FDF3796"/>
    <w:rsid w:val="201B4EAC"/>
    <w:rsid w:val="20447449"/>
    <w:rsid w:val="204B5508"/>
    <w:rsid w:val="20641B21"/>
    <w:rsid w:val="206A5E4C"/>
    <w:rsid w:val="20756148"/>
    <w:rsid w:val="208274C3"/>
    <w:rsid w:val="20AD705F"/>
    <w:rsid w:val="20B95882"/>
    <w:rsid w:val="20B96E32"/>
    <w:rsid w:val="20C55B80"/>
    <w:rsid w:val="211E3EF1"/>
    <w:rsid w:val="2164622F"/>
    <w:rsid w:val="216A02DD"/>
    <w:rsid w:val="21AC1ECF"/>
    <w:rsid w:val="21BF7B30"/>
    <w:rsid w:val="21F4733C"/>
    <w:rsid w:val="224D02C6"/>
    <w:rsid w:val="2252030F"/>
    <w:rsid w:val="229E62D7"/>
    <w:rsid w:val="22A230F4"/>
    <w:rsid w:val="22A96D66"/>
    <w:rsid w:val="22CF1420"/>
    <w:rsid w:val="22D95913"/>
    <w:rsid w:val="22FE09AB"/>
    <w:rsid w:val="23042B95"/>
    <w:rsid w:val="231B110C"/>
    <w:rsid w:val="235E06C4"/>
    <w:rsid w:val="236F0FEC"/>
    <w:rsid w:val="23790EEE"/>
    <w:rsid w:val="23CC2C00"/>
    <w:rsid w:val="23D8604A"/>
    <w:rsid w:val="23F61C8F"/>
    <w:rsid w:val="24403B42"/>
    <w:rsid w:val="24594F5D"/>
    <w:rsid w:val="2476246B"/>
    <w:rsid w:val="24961C97"/>
    <w:rsid w:val="249953D9"/>
    <w:rsid w:val="24C3194F"/>
    <w:rsid w:val="24E617EA"/>
    <w:rsid w:val="24E75BF7"/>
    <w:rsid w:val="25001EB6"/>
    <w:rsid w:val="251A5664"/>
    <w:rsid w:val="252A663F"/>
    <w:rsid w:val="253D1BF8"/>
    <w:rsid w:val="2574603B"/>
    <w:rsid w:val="25841F9C"/>
    <w:rsid w:val="25910692"/>
    <w:rsid w:val="25C50790"/>
    <w:rsid w:val="25DD2487"/>
    <w:rsid w:val="25DF1492"/>
    <w:rsid w:val="25FA2746"/>
    <w:rsid w:val="26074A42"/>
    <w:rsid w:val="261229CC"/>
    <w:rsid w:val="268F6C6C"/>
    <w:rsid w:val="26B83B0F"/>
    <w:rsid w:val="26DA55E8"/>
    <w:rsid w:val="26F223D6"/>
    <w:rsid w:val="26F467DB"/>
    <w:rsid w:val="26F9681E"/>
    <w:rsid w:val="26FC7CAC"/>
    <w:rsid w:val="270D6BA8"/>
    <w:rsid w:val="271E248E"/>
    <w:rsid w:val="27381498"/>
    <w:rsid w:val="27AA7797"/>
    <w:rsid w:val="27AB2CF5"/>
    <w:rsid w:val="27B26BCC"/>
    <w:rsid w:val="27C35AD4"/>
    <w:rsid w:val="27CB14D9"/>
    <w:rsid w:val="27D504F9"/>
    <w:rsid w:val="27FF7B0C"/>
    <w:rsid w:val="281A45E4"/>
    <w:rsid w:val="287B2485"/>
    <w:rsid w:val="28A864B3"/>
    <w:rsid w:val="28E3194B"/>
    <w:rsid w:val="28EB2E0E"/>
    <w:rsid w:val="29333271"/>
    <w:rsid w:val="29510C21"/>
    <w:rsid w:val="29514D04"/>
    <w:rsid w:val="295732F0"/>
    <w:rsid w:val="297F293A"/>
    <w:rsid w:val="298471E8"/>
    <w:rsid w:val="29891346"/>
    <w:rsid w:val="2994110A"/>
    <w:rsid w:val="29B45034"/>
    <w:rsid w:val="29D7368D"/>
    <w:rsid w:val="2A045042"/>
    <w:rsid w:val="2A1D143D"/>
    <w:rsid w:val="2A262F37"/>
    <w:rsid w:val="2A3434AF"/>
    <w:rsid w:val="2A415FAF"/>
    <w:rsid w:val="2A7267ED"/>
    <w:rsid w:val="2A8D1722"/>
    <w:rsid w:val="2A8F3B31"/>
    <w:rsid w:val="2AB30881"/>
    <w:rsid w:val="2ABA1126"/>
    <w:rsid w:val="2AC63CBE"/>
    <w:rsid w:val="2AD51B91"/>
    <w:rsid w:val="2AEB52D3"/>
    <w:rsid w:val="2B045B2F"/>
    <w:rsid w:val="2B0E1439"/>
    <w:rsid w:val="2B487ADA"/>
    <w:rsid w:val="2B591CE7"/>
    <w:rsid w:val="2B6019B6"/>
    <w:rsid w:val="2B7D59D5"/>
    <w:rsid w:val="2B854487"/>
    <w:rsid w:val="2B8A2561"/>
    <w:rsid w:val="2B970CE9"/>
    <w:rsid w:val="2BFC582E"/>
    <w:rsid w:val="2BFF0A18"/>
    <w:rsid w:val="2C0B45C7"/>
    <w:rsid w:val="2C2008FE"/>
    <w:rsid w:val="2C2463D3"/>
    <w:rsid w:val="2C26606D"/>
    <w:rsid w:val="2C5816DE"/>
    <w:rsid w:val="2CE91423"/>
    <w:rsid w:val="2D296913"/>
    <w:rsid w:val="2D2D01FA"/>
    <w:rsid w:val="2D430559"/>
    <w:rsid w:val="2D43590A"/>
    <w:rsid w:val="2D8D1B07"/>
    <w:rsid w:val="2DB63420"/>
    <w:rsid w:val="2DC36515"/>
    <w:rsid w:val="2DD56E7E"/>
    <w:rsid w:val="2DE61DE6"/>
    <w:rsid w:val="2DEC147E"/>
    <w:rsid w:val="2DF82D03"/>
    <w:rsid w:val="2E0F1E71"/>
    <w:rsid w:val="2E2E2FB7"/>
    <w:rsid w:val="2E2F4E21"/>
    <w:rsid w:val="2E6764C9"/>
    <w:rsid w:val="2EFA08CF"/>
    <w:rsid w:val="2F0471CB"/>
    <w:rsid w:val="2F307E56"/>
    <w:rsid w:val="2F32384E"/>
    <w:rsid w:val="2F735CB0"/>
    <w:rsid w:val="2F74693A"/>
    <w:rsid w:val="2F8C6407"/>
    <w:rsid w:val="2FC72C78"/>
    <w:rsid w:val="2FD15BD3"/>
    <w:rsid w:val="2FE34275"/>
    <w:rsid w:val="2FF35BB8"/>
    <w:rsid w:val="300C3477"/>
    <w:rsid w:val="303B7C0D"/>
    <w:rsid w:val="307D1FD3"/>
    <w:rsid w:val="307D4F35"/>
    <w:rsid w:val="309312BF"/>
    <w:rsid w:val="30C41D7E"/>
    <w:rsid w:val="30DF267E"/>
    <w:rsid w:val="31111EC5"/>
    <w:rsid w:val="313927F4"/>
    <w:rsid w:val="313970C2"/>
    <w:rsid w:val="3141221C"/>
    <w:rsid w:val="314F7AE7"/>
    <w:rsid w:val="3156741A"/>
    <w:rsid w:val="317834CA"/>
    <w:rsid w:val="31A0241D"/>
    <w:rsid w:val="31B813C0"/>
    <w:rsid w:val="320B5283"/>
    <w:rsid w:val="32556476"/>
    <w:rsid w:val="32643C7E"/>
    <w:rsid w:val="326D3EF4"/>
    <w:rsid w:val="32877139"/>
    <w:rsid w:val="32981347"/>
    <w:rsid w:val="32AD0AB2"/>
    <w:rsid w:val="32C73309"/>
    <w:rsid w:val="32E0684A"/>
    <w:rsid w:val="32FD22E1"/>
    <w:rsid w:val="331F7C15"/>
    <w:rsid w:val="334B6B72"/>
    <w:rsid w:val="33605D91"/>
    <w:rsid w:val="336316D4"/>
    <w:rsid w:val="338055C0"/>
    <w:rsid w:val="33BF3C0A"/>
    <w:rsid w:val="34164B4B"/>
    <w:rsid w:val="343A1A3F"/>
    <w:rsid w:val="346A0AC1"/>
    <w:rsid w:val="347154AA"/>
    <w:rsid w:val="347A02FB"/>
    <w:rsid w:val="348320CD"/>
    <w:rsid w:val="34930017"/>
    <w:rsid w:val="349C6057"/>
    <w:rsid w:val="34FD6860"/>
    <w:rsid w:val="351F18AB"/>
    <w:rsid w:val="3533281F"/>
    <w:rsid w:val="3560263E"/>
    <w:rsid w:val="358B6F41"/>
    <w:rsid w:val="358C5C27"/>
    <w:rsid w:val="35AB1391"/>
    <w:rsid w:val="35B86F88"/>
    <w:rsid w:val="35CF3C64"/>
    <w:rsid w:val="3647366C"/>
    <w:rsid w:val="3649385B"/>
    <w:rsid w:val="36762047"/>
    <w:rsid w:val="36762EB4"/>
    <w:rsid w:val="367B5207"/>
    <w:rsid w:val="368402FB"/>
    <w:rsid w:val="3693634F"/>
    <w:rsid w:val="36983D2C"/>
    <w:rsid w:val="369E3049"/>
    <w:rsid w:val="36D641EB"/>
    <w:rsid w:val="36F90A9A"/>
    <w:rsid w:val="370233C6"/>
    <w:rsid w:val="37096150"/>
    <w:rsid w:val="37203CDD"/>
    <w:rsid w:val="37292A4A"/>
    <w:rsid w:val="378348B9"/>
    <w:rsid w:val="37A12A4B"/>
    <w:rsid w:val="37D602CD"/>
    <w:rsid w:val="385B0CFE"/>
    <w:rsid w:val="38735034"/>
    <w:rsid w:val="38911157"/>
    <w:rsid w:val="38F50586"/>
    <w:rsid w:val="39017F50"/>
    <w:rsid w:val="39092913"/>
    <w:rsid w:val="397439A0"/>
    <w:rsid w:val="397E50E9"/>
    <w:rsid w:val="39BB74FF"/>
    <w:rsid w:val="39BE3E7D"/>
    <w:rsid w:val="39D569DC"/>
    <w:rsid w:val="39F31D93"/>
    <w:rsid w:val="3A071E92"/>
    <w:rsid w:val="3A077F84"/>
    <w:rsid w:val="3A083C60"/>
    <w:rsid w:val="3A63223A"/>
    <w:rsid w:val="3A6D5BFE"/>
    <w:rsid w:val="3A7F24CB"/>
    <w:rsid w:val="3A902F1D"/>
    <w:rsid w:val="3ACA0592"/>
    <w:rsid w:val="3AD4655B"/>
    <w:rsid w:val="3AD76186"/>
    <w:rsid w:val="3AD87D85"/>
    <w:rsid w:val="3AF779E7"/>
    <w:rsid w:val="3B1D19B8"/>
    <w:rsid w:val="3B443B4A"/>
    <w:rsid w:val="3B533F17"/>
    <w:rsid w:val="3B86730E"/>
    <w:rsid w:val="3B8A78A7"/>
    <w:rsid w:val="3BC87270"/>
    <w:rsid w:val="3BDC22A4"/>
    <w:rsid w:val="3C3A521C"/>
    <w:rsid w:val="3C3A5B35"/>
    <w:rsid w:val="3CAB553F"/>
    <w:rsid w:val="3CDE204C"/>
    <w:rsid w:val="3CEE34E0"/>
    <w:rsid w:val="3CF2452C"/>
    <w:rsid w:val="3D010606"/>
    <w:rsid w:val="3D4B2926"/>
    <w:rsid w:val="3D59014C"/>
    <w:rsid w:val="3D767CF3"/>
    <w:rsid w:val="3DB159B2"/>
    <w:rsid w:val="3DCB0822"/>
    <w:rsid w:val="3DDB1371"/>
    <w:rsid w:val="3DEB792C"/>
    <w:rsid w:val="3DF90D87"/>
    <w:rsid w:val="3E1420AF"/>
    <w:rsid w:val="3E171210"/>
    <w:rsid w:val="3E3F13DB"/>
    <w:rsid w:val="3E5325C6"/>
    <w:rsid w:val="3E59359A"/>
    <w:rsid w:val="3E794229"/>
    <w:rsid w:val="3E9E1A93"/>
    <w:rsid w:val="3EB73D29"/>
    <w:rsid w:val="3EBD13E9"/>
    <w:rsid w:val="3EC6332B"/>
    <w:rsid w:val="3ED74FA5"/>
    <w:rsid w:val="3EF56977"/>
    <w:rsid w:val="3F274A5B"/>
    <w:rsid w:val="3F2D72BA"/>
    <w:rsid w:val="3F312F19"/>
    <w:rsid w:val="3F475FFF"/>
    <w:rsid w:val="3F542A99"/>
    <w:rsid w:val="3F7208E5"/>
    <w:rsid w:val="3F8B72AD"/>
    <w:rsid w:val="3F9E2EAF"/>
    <w:rsid w:val="3FD272C3"/>
    <w:rsid w:val="3FE86AB0"/>
    <w:rsid w:val="3FFC1746"/>
    <w:rsid w:val="404423D4"/>
    <w:rsid w:val="40565E96"/>
    <w:rsid w:val="4057077E"/>
    <w:rsid w:val="406C72EC"/>
    <w:rsid w:val="406D73B9"/>
    <w:rsid w:val="40793BA8"/>
    <w:rsid w:val="4079602E"/>
    <w:rsid w:val="407F76A2"/>
    <w:rsid w:val="409653F5"/>
    <w:rsid w:val="40AF4D2D"/>
    <w:rsid w:val="40F629A0"/>
    <w:rsid w:val="414C346B"/>
    <w:rsid w:val="4153683D"/>
    <w:rsid w:val="416F2514"/>
    <w:rsid w:val="417E29DA"/>
    <w:rsid w:val="418872B2"/>
    <w:rsid w:val="419C37AF"/>
    <w:rsid w:val="41D23605"/>
    <w:rsid w:val="41D63C39"/>
    <w:rsid w:val="41E22924"/>
    <w:rsid w:val="41F21855"/>
    <w:rsid w:val="41FF7640"/>
    <w:rsid w:val="420A5691"/>
    <w:rsid w:val="42175BD0"/>
    <w:rsid w:val="422B082A"/>
    <w:rsid w:val="425A0CFD"/>
    <w:rsid w:val="42641ACD"/>
    <w:rsid w:val="42CB2272"/>
    <w:rsid w:val="42DF267A"/>
    <w:rsid w:val="42FE492E"/>
    <w:rsid w:val="434A6C9B"/>
    <w:rsid w:val="436C03B1"/>
    <w:rsid w:val="437D26DD"/>
    <w:rsid w:val="437F4523"/>
    <w:rsid w:val="438F22F2"/>
    <w:rsid w:val="4398447D"/>
    <w:rsid w:val="43D252A6"/>
    <w:rsid w:val="43F411C1"/>
    <w:rsid w:val="44581DE0"/>
    <w:rsid w:val="44983D5E"/>
    <w:rsid w:val="449A0F4E"/>
    <w:rsid w:val="44E164E1"/>
    <w:rsid w:val="44FE57A6"/>
    <w:rsid w:val="45122A9D"/>
    <w:rsid w:val="4559569B"/>
    <w:rsid w:val="456E35A3"/>
    <w:rsid w:val="4574179F"/>
    <w:rsid w:val="46011685"/>
    <w:rsid w:val="46142829"/>
    <w:rsid w:val="461C7122"/>
    <w:rsid w:val="465730A1"/>
    <w:rsid w:val="46932DDD"/>
    <w:rsid w:val="46D87B0C"/>
    <w:rsid w:val="46F13EBC"/>
    <w:rsid w:val="471B3DA5"/>
    <w:rsid w:val="474D674C"/>
    <w:rsid w:val="47503E29"/>
    <w:rsid w:val="47574ED5"/>
    <w:rsid w:val="477B5067"/>
    <w:rsid w:val="479A2FEC"/>
    <w:rsid w:val="47AE5ACA"/>
    <w:rsid w:val="47CB1158"/>
    <w:rsid w:val="47F34625"/>
    <w:rsid w:val="48155FD3"/>
    <w:rsid w:val="4831454F"/>
    <w:rsid w:val="48323CC1"/>
    <w:rsid w:val="486265B8"/>
    <w:rsid w:val="488B5E1F"/>
    <w:rsid w:val="48A25636"/>
    <w:rsid w:val="48B730F9"/>
    <w:rsid w:val="48DA531F"/>
    <w:rsid w:val="48EF2F09"/>
    <w:rsid w:val="4920648D"/>
    <w:rsid w:val="4935484E"/>
    <w:rsid w:val="49543DC1"/>
    <w:rsid w:val="4965510A"/>
    <w:rsid w:val="49662755"/>
    <w:rsid w:val="4969658D"/>
    <w:rsid w:val="498449E8"/>
    <w:rsid w:val="49BA5325"/>
    <w:rsid w:val="49C16F7D"/>
    <w:rsid w:val="49C74C00"/>
    <w:rsid w:val="49D071C0"/>
    <w:rsid w:val="49D55308"/>
    <w:rsid w:val="49E9158B"/>
    <w:rsid w:val="4A034EE4"/>
    <w:rsid w:val="4A3E05CE"/>
    <w:rsid w:val="4A7A3DBF"/>
    <w:rsid w:val="4AAB3BDD"/>
    <w:rsid w:val="4AC91133"/>
    <w:rsid w:val="4AE747C1"/>
    <w:rsid w:val="4AFC5142"/>
    <w:rsid w:val="4B16637A"/>
    <w:rsid w:val="4B2E18A2"/>
    <w:rsid w:val="4B390F62"/>
    <w:rsid w:val="4B683D08"/>
    <w:rsid w:val="4B8F1462"/>
    <w:rsid w:val="4B9E2B97"/>
    <w:rsid w:val="4BCC60B1"/>
    <w:rsid w:val="4BD730A7"/>
    <w:rsid w:val="4BDE4165"/>
    <w:rsid w:val="4BE13DD2"/>
    <w:rsid w:val="4BE66C01"/>
    <w:rsid w:val="4BF45C27"/>
    <w:rsid w:val="4C3F5084"/>
    <w:rsid w:val="4C5A42AF"/>
    <w:rsid w:val="4C6525F4"/>
    <w:rsid w:val="4C714259"/>
    <w:rsid w:val="4C996CD1"/>
    <w:rsid w:val="4C9A48BB"/>
    <w:rsid w:val="4CD43484"/>
    <w:rsid w:val="4CDD22FF"/>
    <w:rsid w:val="4D097F69"/>
    <w:rsid w:val="4D0A4797"/>
    <w:rsid w:val="4D226961"/>
    <w:rsid w:val="4D4E47E2"/>
    <w:rsid w:val="4D5B1F15"/>
    <w:rsid w:val="4D7C4375"/>
    <w:rsid w:val="4D920DE8"/>
    <w:rsid w:val="4DC84458"/>
    <w:rsid w:val="4DEF1229"/>
    <w:rsid w:val="4E0F1662"/>
    <w:rsid w:val="4E8B547B"/>
    <w:rsid w:val="4EC76DE4"/>
    <w:rsid w:val="4ED105C9"/>
    <w:rsid w:val="4F066BCB"/>
    <w:rsid w:val="4F593D2A"/>
    <w:rsid w:val="4F774A53"/>
    <w:rsid w:val="4F9C2EDC"/>
    <w:rsid w:val="4FD7619C"/>
    <w:rsid w:val="4FEF00DB"/>
    <w:rsid w:val="508A1E77"/>
    <w:rsid w:val="50C55AEC"/>
    <w:rsid w:val="50E353BC"/>
    <w:rsid w:val="50EA4036"/>
    <w:rsid w:val="50EE5EB3"/>
    <w:rsid w:val="510E7BD3"/>
    <w:rsid w:val="51480EBC"/>
    <w:rsid w:val="514A26C0"/>
    <w:rsid w:val="5156538D"/>
    <w:rsid w:val="515F77FA"/>
    <w:rsid w:val="516D44C2"/>
    <w:rsid w:val="51875BB4"/>
    <w:rsid w:val="51913701"/>
    <w:rsid w:val="51C90253"/>
    <w:rsid w:val="51C91AAA"/>
    <w:rsid w:val="51C96906"/>
    <w:rsid w:val="51FD4720"/>
    <w:rsid w:val="52122995"/>
    <w:rsid w:val="5223395A"/>
    <w:rsid w:val="52550DC1"/>
    <w:rsid w:val="526516E5"/>
    <w:rsid w:val="52694111"/>
    <w:rsid w:val="526E7C01"/>
    <w:rsid w:val="527209CB"/>
    <w:rsid w:val="528E5BE8"/>
    <w:rsid w:val="52903801"/>
    <w:rsid w:val="52A31519"/>
    <w:rsid w:val="52AD6D52"/>
    <w:rsid w:val="52E83554"/>
    <w:rsid w:val="53234805"/>
    <w:rsid w:val="532F1AE4"/>
    <w:rsid w:val="53322E15"/>
    <w:rsid w:val="53401C49"/>
    <w:rsid w:val="53536F44"/>
    <w:rsid w:val="535670DF"/>
    <w:rsid w:val="535F2C68"/>
    <w:rsid w:val="535F76A2"/>
    <w:rsid w:val="53817A6A"/>
    <w:rsid w:val="539B328A"/>
    <w:rsid w:val="53C907BD"/>
    <w:rsid w:val="53D61877"/>
    <w:rsid w:val="53FD3D07"/>
    <w:rsid w:val="543F229D"/>
    <w:rsid w:val="5484215B"/>
    <w:rsid w:val="54901FF2"/>
    <w:rsid w:val="549F05FD"/>
    <w:rsid w:val="54E57FC4"/>
    <w:rsid w:val="54F05B6E"/>
    <w:rsid w:val="55236345"/>
    <w:rsid w:val="55271F81"/>
    <w:rsid w:val="554C7F05"/>
    <w:rsid w:val="5556100B"/>
    <w:rsid w:val="555E38D2"/>
    <w:rsid w:val="556D0549"/>
    <w:rsid w:val="558B1D59"/>
    <w:rsid w:val="55A25EB5"/>
    <w:rsid w:val="55C74EB4"/>
    <w:rsid w:val="55C90089"/>
    <w:rsid w:val="55D06937"/>
    <w:rsid w:val="55E83BC2"/>
    <w:rsid w:val="5613474F"/>
    <w:rsid w:val="563D3D9A"/>
    <w:rsid w:val="566E053D"/>
    <w:rsid w:val="566F75A8"/>
    <w:rsid w:val="56A812A9"/>
    <w:rsid w:val="56F12DBD"/>
    <w:rsid w:val="56FD1EF4"/>
    <w:rsid w:val="571C57F3"/>
    <w:rsid w:val="57405985"/>
    <w:rsid w:val="57581269"/>
    <w:rsid w:val="577109C8"/>
    <w:rsid w:val="578B7756"/>
    <w:rsid w:val="579371B6"/>
    <w:rsid w:val="57B60475"/>
    <w:rsid w:val="57CD0B0B"/>
    <w:rsid w:val="58006F38"/>
    <w:rsid w:val="58036B5D"/>
    <w:rsid w:val="580E6AF7"/>
    <w:rsid w:val="581A6DFE"/>
    <w:rsid w:val="582C5B67"/>
    <w:rsid w:val="58372281"/>
    <w:rsid w:val="586237F3"/>
    <w:rsid w:val="586A3C4D"/>
    <w:rsid w:val="58B25451"/>
    <w:rsid w:val="59061377"/>
    <w:rsid w:val="592341A9"/>
    <w:rsid w:val="598D47EB"/>
    <w:rsid w:val="59964DF8"/>
    <w:rsid w:val="59A00A09"/>
    <w:rsid w:val="59A57EDF"/>
    <w:rsid w:val="59DB307E"/>
    <w:rsid w:val="5A0C491B"/>
    <w:rsid w:val="5A156629"/>
    <w:rsid w:val="5A274BDA"/>
    <w:rsid w:val="5A603D26"/>
    <w:rsid w:val="5A663955"/>
    <w:rsid w:val="5A7578FA"/>
    <w:rsid w:val="5A844894"/>
    <w:rsid w:val="5AA92F01"/>
    <w:rsid w:val="5AB224C9"/>
    <w:rsid w:val="5ABC7EEE"/>
    <w:rsid w:val="5AC11BB2"/>
    <w:rsid w:val="5ACB1A0A"/>
    <w:rsid w:val="5AD77E4E"/>
    <w:rsid w:val="5AE0744F"/>
    <w:rsid w:val="5B1738C8"/>
    <w:rsid w:val="5B241330"/>
    <w:rsid w:val="5B3C6463"/>
    <w:rsid w:val="5B57504B"/>
    <w:rsid w:val="5B6D486F"/>
    <w:rsid w:val="5B707015"/>
    <w:rsid w:val="5B861E67"/>
    <w:rsid w:val="5BA35C22"/>
    <w:rsid w:val="5BC50A5C"/>
    <w:rsid w:val="5BE04C19"/>
    <w:rsid w:val="5BFC0E7F"/>
    <w:rsid w:val="5C2E174A"/>
    <w:rsid w:val="5C364413"/>
    <w:rsid w:val="5C4504DC"/>
    <w:rsid w:val="5C8D6F11"/>
    <w:rsid w:val="5C9921B3"/>
    <w:rsid w:val="5CB053DC"/>
    <w:rsid w:val="5CB5074C"/>
    <w:rsid w:val="5CC139C7"/>
    <w:rsid w:val="5CC47498"/>
    <w:rsid w:val="5CC56F82"/>
    <w:rsid w:val="5CD557E1"/>
    <w:rsid w:val="5CF3689E"/>
    <w:rsid w:val="5D0A7DC1"/>
    <w:rsid w:val="5D2D08EC"/>
    <w:rsid w:val="5D455170"/>
    <w:rsid w:val="5D6A4F3A"/>
    <w:rsid w:val="5DB7172D"/>
    <w:rsid w:val="5DDA3A8B"/>
    <w:rsid w:val="5E0B0D8F"/>
    <w:rsid w:val="5E5835B4"/>
    <w:rsid w:val="5E757649"/>
    <w:rsid w:val="5E90532A"/>
    <w:rsid w:val="5EBB7A8D"/>
    <w:rsid w:val="5F0B1E79"/>
    <w:rsid w:val="5F1871E8"/>
    <w:rsid w:val="5F200B73"/>
    <w:rsid w:val="5F385194"/>
    <w:rsid w:val="5F407BD9"/>
    <w:rsid w:val="5F4D32C7"/>
    <w:rsid w:val="5F512EF9"/>
    <w:rsid w:val="5F681F1D"/>
    <w:rsid w:val="5F710167"/>
    <w:rsid w:val="5FB5087D"/>
    <w:rsid w:val="5FC133F0"/>
    <w:rsid w:val="5FDC1FC3"/>
    <w:rsid w:val="60177AD7"/>
    <w:rsid w:val="60515FC8"/>
    <w:rsid w:val="60795A64"/>
    <w:rsid w:val="61300BAE"/>
    <w:rsid w:val="61415772"/>
    <w:rsid w:val="619B6ECB"/>
    <w:rsid w:val="61D46ABE"/>
    <w:rsid w:val="61E909C4"/>
    <w:rsid w:val="61F12CA0"/>
    <w:rsid w:val="61FD6333"/>
    <w:rsid w:val="62014F12"/>
    <w:rsid w:val="62146F60"/>
    <w:rsid w:val="623C7A59"/>
    <w:rsid w:val="62661BEA"/>
    <w:rsid w:val="627E16D9"/>
    <w:rsid w:val="627E1D65"/>
    <w:rsid w:val="6297712F"/>
    <w:rsid w:val="629E55C5"/>
    <w:rsid w:val="62D058DC"/>
    <w:rsid w:val="62E53068"/>
    <w:rsid w:val="62EC076F"/>
    <w:rsid w:val="62EC66B4"/>
    <w:rsid w:val="630C60DE"/>
    <w:rsid w:val="631470DD"/>
    <w:rsid w:val="637A3FCD"/>
    <w:rsid w:val="6384309D"/>
    <w:rsid w:val="639E5F70"/>
    <w:rsid w:val="63C60BFD"/>
    <w:rsid w:val="63D6274C"/>
    <w:rsid w:val="63EB1277"/>
    <w:rsid w:val="64343C94"/>
    <w:rsid w:val="64533861"/>
    <w:rsid w:val="6460698A"/>
    <w:rsid w:val="64670D75"/>
    <w:rsid w:val="64DE56ED"/>
    <w:rsid w:val="64FB6DF8"/>
    <w:rsid w:val="65041398"/>
    <w:rsid w:val="65377A5A"/>
    <w:rsid w:val="653D1C53"/>
    <w:rsid w:val="65607499"/>
    <w:rsid w:val="65735C61"/>
    <w:rsid w:val="65A55CCA"/>
    <w:rsid w:val="65B77DB9"/>
    <w:rsid w:val="65DB1B07"/>
    <w:rsid w:val="65E322FD"/>
    <w:rsid w:val="66274D5C"/>
    <w:rsid w:val="663B0BCA"/>
    <w:rsid w:val="6647219C"/>
    <w:rsid w:val="664B1CA8"/>
    <w:rsid w:val="6665569A"/>
    <w:rsid w:val="66746CCE"/>
    <w:rsid w:val="66790FD6"/>
    <w:rsid w:val="66831C7B"/>
    <w:rsid w:val="669F6715"/>
    <w:rsid w:val="66E5038C"/>
    <w:rsid w:val="66E61C7D"/>
    <w:rsid w:val="66E80B4F"/>
    <w:rsid w:val="66E827F9"/>
    <w:rsid w:val="66F07FAF"/>
    <w:rsid w:val="6710567A"/>
    <w:rsid w:val="67182782"/>
    <w:rsid w:val="675A4D63"/>
    <w:rsid w:val="67764F2F"/>
    <w:rsid w:val="679F6FB3"/>
    <w:rsid w:val="67B57B8C"/>
    <w:rsid w:val="67C93B74"/>
    <w:rsid w:val="67D619EE"/>
    <w:rsid w:val="67FA2F6B"/>
    <w:rsid w:val="6804685E"/>
    <w:rsid w:val="681A61A6"/>
    <w:rsid w:val="688A0E8F"/>
    <w:rsid w:val="68907B50"/>
    <w:rsid w:val="68B50C7C"/>
    <w:rsid w:val="68C63810"/>
    <w:rsid w:val="68D57841"/>
    <w:rsid w:val="68E70731"/>
    <w:rsid w:val="68EA6734"/>
    <w:rsid w:val="68FB03B5"/>
    <w:rsid w:val="690D0CB1"/>
    <w:rsid w:val="690D4D60"/>
    <w:rsid w:val="69196036"/>
    <w:rsid w:val="69202E2A"/>
    <w:rsid w:val="693579E3"/>
    <w:rsid w:val="694844CC"/>
    <w:rsid w:val="69807E63"/>
    <w:rsid w:val="69876B11"/>
    <w:rsid w:val="69991EEA"/>
    <w:rsid w:val="69D04590"/>
    <w:rsid w:val="69DE5E11"/>
    <w:rsid w:val="6A1A4C72"/>
    <w:rsid w:val="6A3529C9"/>
    <w:rsid w:val="6A356EA0"/>
    <w:rsid w:val="6A4A61B9"/>
    <w:rsid w:val="6A5A7828"/>
    <w:rsid w:val="6A99224D"/>
    <w:rsid w:val="6AA536DE"/>
    <w:rsid w:val="6AAE27AE"/>
    <w:rsid w:val="6AC60FAD"/>
    <w:rsid w:val="6ACC4E60"/>
    <w:rsid w:val="6AD278A5"/>
    <w:rsid w:val="6AF1470D"/>
    <w:rsid w:val="6B650AAF"/>
    <w:rsid w:val="6B713F07"/>
    <w:rsid w:val="6B9809FC"/>
    <w:rsid w:val="6BBA3B00"/>
    <w:rsid w:val="6BC126E3"/>
    <w:rsid w:val="6BD15E60"/>
    <w:rsid w:val="6BF07522"/>
    <w:rsid w:val="6BF45614"/>
    <w:rsid w:val="6C260C47"/>
    <w:rsid w:val="6C263845"/>
    <w:rsid w:val="6C266357"/>
    <w:rsid w:val="6C846A7B"/>
    <w:rsid w:val="6CC64614"/>
    <w:rsid w:val="6CEE2BF2"/>
    <w:rsid w:val="6D186B34"/>
    <w:rsid w:val="6D285A5B"/>
    <w:rsid w:val="6D801F28"/>
    <w:rsid w:val="6D996CCA"/>
    <w:rsid w:val="6DC1076D"/>
    <w:rsid w:val="6DC32096"/>
    <w:rsid w:val="6E1D2B7B"/>
    <w:rsid w:val="6E2361DC"/>
    <w:rsid w:val="6E29734A"/>
    <w:rsid w:val="6E5F398F"/>
    <w:rsid w:val="6E7340D7"/>
    <w:rsid w:val="6E9410EE"/>
    <w:rsid w:val="6E9935CF"/>
    <w:rsid w:val="6EA72B1C"/>
    <w:rsid w:val="6ED82867"/>
    <w:rsid w:val="6EE13308"/>
    <w:rsid w:val="6EF973CF"/>
    <w:rsid w:val="6F03756C"/>
    <w:rsid w:val="6F1724F7"/>
    <w:rsid w:val="6F3B5C96"/>
    <w:rsid w:val="6F445609"/>
    <w:rsid w:val="6F474B15"/>
    <w:rsid w:val="6F4B639B"/>
    <w:rsid w:val="6F632B12"/>
    <w:rsid w:val="6FA60582"/>
    <w:rsid w:val="6FDD1113"/>
    <w:rsid w:val="6FFB46E7"/>
    <w:rsid w:val="6FFE5F86"/>
    <w:rsid w:val="70147340"/>
    <w:rsid w:val="70230948"/>
    <w:rsid w:val="70324BC0"/>
    <w:rsid w:val="703F1E98"/>
    <w:rsid w:val="708B5A6B"/>
    <w:rsid w:val="70A71C52"/>
    <w:rsid w:val="70DB33AC"/>
    <w:rsid w:val="70E277AC"/>
    <w:rsid w:val="70E60BA5"/>
    <w:rsid w:val="70F33611"/>
    <w:rsid w:val="70FC16F7"/>
    <w:rsid w:val="71070B18"/>
    <w:rsid w:val="711C5CEC"/>
    <w:rsid w:val="711F05C3"/>
    <w:rsid w:val="71327C95"/>
    <w:rsid w:val="714E7080"/>
    <w:rsid w:val="71791D68"/>
    <w:rsid w:val="7181296A"/>
    <w:rsid w:val="71A0392B"/>
    <w:rsid w:val="71A643E1"/>
    <w:rsid w:val="71A95EF5"/>
    <w:rsid w:val="71FE04BF"/>
    <w:rsid w:val="720762A0"/>
    <w:rsid w:val="721D6A90"/>
    <w:rsid w:val="721E4CA2"/>
    <w:rsid w:val="72200244"/>
    <w:rsid w:val="722F1BF8"/>
    <w:rsid w:val="72412761"/>
    <w:rsid w:val="724C51C6"/>
    <w:rsid w:val="72523FE7"/>
    <w:rsid w:val="726A3C0E"/>
    <w:rsid w:val="72820F39"/>
    <w:rsid w:val="729644B6"/>
    <w:rsid w:val="72B96B68"/>
    <w:rsid w:val="72C311F6"/>
    <w:rsid w:val="72D0461F"/>
    <w:rsid w:val="72E01978"/>
    <w:rsid w:val="72E06FDF"/>
    <w:rsid w:val="72EB459F"/>
    <w:rsid w:val="730C78F7"/>
    <w:rsid w:val="730E7DFE"/>
    <w:rsid w:val="73173F0A"/>
    <w:rsid w:val="734C63A4"/>
    <w:rsid w:val="73755674"/>
    <w:rsid w:val="7378660B"/>
    <w:rsid w:val="73B436A1"/>
    <w:rsid w:val="73BA12AE"/>
    <w:rsid w:val="73C04389"/>
    <w:rsid w:val="73CF2D2C"/>
    <w:rsid w:val="73FA5550"/>
    <w:rsid w:val="7400051E"/>
    <w:rsid w:val="74031887"/>
    <w:rsid w:val="74146622"/>
    <w:rsid w:val="742A75DA"/>
    <w:rsid w:val="74390F67"/>
    <w:rsid w:val="74446197"/>
    <w:rsid w:val="74575C64"/>
    <w:rsid w:val="745C3A30"/>
    <w:rsid w:val="74BE4F66"/>
    <w:rsid w:val="752F2498"/>
    <w:rsid w:val="75496BD9"/>
    <w:rsid w:val="756D7FEB"/>
    <w:rsid w:val="75787915"/>
    <w:rsid w:val="757D28DE"/>
    <w:rsid w:val="759E422C"/>
    <w:rsid w:val="75A36654"/>
    <w:rsid w:val="75A474B6"/>
    <w:rsid w:val="75F96FD3"/>
    <w:rsid w:val="760B0498"/>
    <w:rsid w:val="760E6067"/>
    <w:rsid w:val="762B1157"/>
    <w:rsid w:val="765158A5"/>
    <w:rsid w:val="76744F3E"/>
    <w:rsid w:val="76973051"/>
    <w:rsid w:val="76A76B87"/>
    <w:rsid w:val="76A833E5"/>
    <w:rsid w:val="76AF2E83"/>
    <w:rsid w:val="76C8488F"/>
    <w:rsid w:val="76DD06A3"/>
    <w:rsid w:val="77005040"/>
    <w:rsid w:val="77270110"/>
    <w:rsid w:val="77500583"/>
    <w:rsid w:val="777206C7"/>
    <w:rsid w:val="779A6570"/>
    <w:rsid w:val="77A14E7F"/>
    <w:rsid w:val="77F663DA"/>
    <w:rsid w:val="78070ABF"/>
    <w:rsid w:val="78502411"/>
    <w:rsid w:val="7860158C"/>
    <w:rsid w:val="787738C9"/>
    <w:rsid w:val="789F3FFD"/>
    <w:rsid w:val="78A200E0"/>
    <w:rsid w:val="78E2468F"/>
    <w:rsid w:val="78EC68B9"/>
    <w:rsid w:val="78F57CD9"/>
    <w:rsid w:val="79621199"/>
    <w:rsid w:val="796F74CC"/>
    <w:rsid w:val="79981F50"/>
    <w:rsid w:val="79A109BC"/>
    <w:rsid w:val="79BB295F"/>
    <w:rsid w:val="79C87722"/>
    <w:rsid w:val="79D57857"/>
    <w:rsid w:val="79E104AA"/>
    <w:rsid w:val="7A80268B"/>
    <w:rsid w:val="7AA40D2B"/>
    <w:rsid w:val="7AEB6BC8"/>
    <w:rsid w:val="7AEF309B"/>
    <w:rsid w:val="7AF90C73"/>
    <w:rsid w:val="7B06545A"/>
    <w:rsid w:val="7B2D2DAE"/>
    <w:rsid w:val="7B345156"/>
    <w:rsid w:val="7B3C09E2"/>
    <w:rsid w:val="7B6D3778"/>
    <w:rsid w:val="7B714C95"/>
    <w:rsid w:val="7B802F3F"/>
    <w:rsid w:val="7BB10161"/>
    <w:rsid w:val="7BF070CA"/>
    <w:rsid w:val="7BFB7588"/>
    <w:rsid w:val="7C1227F0"/>
    <w:rsid w:val="7C1C7932"/>
    <w:rsid w:val="7C656153"/>
    <w:rsid w:val="7CAD2396"/>
    <w:rsid w:val="7CD42548"/>
    <w:rsid w:val="7CD86F64"/>
    <w:rsid w:val="7CDF5916"/>
    <w:rsid w:val="7D25398E"/>
    <w:rsid w:val="7D380D29"/>
    <w:rsid w:val="7D494516"/>
    <w:rsid w:val="7D6F40C1"/>
    <w:rsid w:val="7D8439B2"/>
    <w:rsid w:val="7D876955"/>
    <w:rsid w:val="7D8B3E65"/>
    <w:rsid w:val="7D8F2C18"/>
    <w:rsid w:val="7DA243F4"/>
    <w:rsid w:val="7DCB56F9"/>
    <w:rsid w:val="7DFB39E0"/>
    <w:rsid w:val="7E260B81"/>
    <w:rsid w:val="7E642693"/>
    <w:rsid w:val="7E6712E4"/>
    <w:rsid w:val="7E7374D9"/>
    <w:rsid w:val="7E826266"/>
    <w:rsid w:val="7EA5605F"/>
    <w:rsid w:val="7EB001A4"/>
    <w:rsid w:val="7EB1132F"/>
    <w:rsid w:val="7EC93A23"/>
    <w:rsid w:val="7EE15A4B"/>
    <w:rsid w:val="7EEA04B7"/>
    <w:rsid w:val="7EF3656B"/>
    <w:rsid w:val="7F231565"/>
    <w:rsid w:val="7F30749C"/>
    <w:rsid w:val="7F546C5B"/>
    <w:rsid w:val="7F7A402E"/>
    <w:rsid w:val="7F997A34"/>
    <w:rsid w:val="7F9B34AA"/>
    <w:rsid w:val="7FA12BA0"/>
    <w:rsid w:val="7FB01096"/>
    <w:rsid w:val="7FCF6FF7"/>
    <w:rsid w:val="7FD45E3F"/>
    <w:rsid w:val="7FD47B62"/>
    <w:rsid w:val="7FE4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0f" focussize="0,0"/>
      <v:stroke color="#FFFFFF" opacity="0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autoSpaceDE w:val="0"/>
      <w:autoSpaceDN w:val="0"/>
      <w:adjustRightInd w:val="0"/>
      <w:spacing w:line="312" w:lineRule="atLeast"/>
      <w:ind w:right="-113" w:firstLine="525"/>
      <w:jc w:val="left"/>
      <w:textAlignment w:val="bottom"/>
      <w:outlineLvl w:val="0"/>
    </w:pPr>
    <w:rPr>
      <w:rFonts w:ascii="仿宋体" w:eastAsia="仿宋体"/>
      <w:kern w:val="0"/>
      <w:sz w:val="28"/>
    </w:rPr>
  </w:style>
  <w:style w:type="paragraph" w:styleId="4">
    <w:name w:val="heading 2"/>
    <w:basedOn w:val="1"/>
    <w:next w:val="5"/>
    <w:qFormat/>
    <w:uiPriority w:val="0"/>
    <w:pPr>
      <w:keepNext/>
      <w:numPr>
        <w:ilvl w:val="0"/>
        <w:numId w:val="1"/>
      </w:numPr>
      <w:autoSpaceDE w:val="0"/>
      <w:autoSpaceDN w:val="0"/>
      <w:adjustRightInd w:val="0"/>
      <w:textAlignment w:val="baseline"/>
      <w:outlineLvl w:val="1"/>
    </w:pPr>
    <w:rPr>
      <w:rFonts w:ascii="楷体_GB2312" w:eastAsia="楷体_GB2312"/>
      <w:i/>
      <w:kern w:val="0"/>
      <w:sz w:val="28"/>
    </w:rPr>
  </w:style>
  <w:style w:type="paragraph" w:styleId="6">
    <w:name w:val="heading 3"/>
    <w:basedOn w:val="1"/>
    <w:next w:val="1"/>
    <w:link w:val="84"/>
    <w:qFormat/>
    <w:uiPriority w:val="0"/>
    <w:pPr>
      <w:keepNext/>
      <w:keepLines/>
      <w:spacing w:before="260" w:after="260" w:line="416" w:lineRule="auto"/>
      <w:outlineLvl w:val="2"/>
    </w:pPr>
    <w:rPr>
      <w:b/>
      <w:bCs/>
      <w:sz w:val="32"/>
      <w:szCs w:val="32"/>
    </w:rPr>
  </w:style>
  <w:style w:type="paragraph" w:styleId="7">
    <w:name w:val="heading 4"/>
    <w:basedOn w:val="1"/>
    <w:next w:val="1"/>
    <w:link w:val="100"/>
    <w:qFormat/>
    <w:uiPriority w:val="0"/>
    <w:pPr>
      <w:keepNext/>
      <w:tabs>
        <w:tab w:val="left" w:pos="570"/>
      </w:tabs>
      <w:spacing w:line="480" w:lineRule="exact"/>
      <w:ind w:left="1280" w:right="-227" w:hanging="1280"/>
      <w:outlineLvl w:val="3"/>
    </w:pPr>
    <w:rPr>
      <w:rFonts w:ascii="仿宋_GB2312" w:eastAsia="仿宋_GB2312"/>
      <w:sz w:val="28"/>
    </w:rPr>
  </w:style>
  <w:style w:type="paragraph" w:styleId="8">
    <w:name w:val="heading 5"/>
    <w:basedOn w:val="1"/>
    <w:next w:val="5"/>
    <w:link w:val="97"/>
    <w:qFormat/>
    <w:uiPriority w:val="0"/>
    <w:pPr>
      <w:tabs>
        <w:tab w:val="left" w:pos="425"/>
        <w:tab w:val="left" w:pos="7781"/>
      </w:tabs>
      <w:autoSpaceDE w:val="0"/>
      <w:autoSpaceDN w:val="0"/>
      <w:adjustRightInd w:val="0"/>
      <w:spacing w:line="300" w:lineRule="auto"/>
      <w:ind w:right="6"/>
      <w:textAlignment w:val="baseline"/>
      <w:outlineLvl w:val="4"/>
    </w:pPr>
    <w:rPr>
      <w:kern w:val="0"/>
      <w:sz w:val="28"/>
    </w:rPr>
  </w:style>
  <w:style w:type="paragraph" w:styleId="9">
    <w:name w:val="heading 6"/>
    <w:basedOn w:val="1"/>
    <w:next w:val="5"/>
    <w:link w:val="102"/>
    <w:qFormat/>
    <w:uiPriority w:val="0"/>
    <w:pPr>
      <w:tabs>
        <w:tab w:val="left" w:pos="425"/>
        <w:tab w:val="left" w:pos="7781"/>
      </w:tabs>
      <w:autoSpaceDE w:val="0"/>
      <w:autoSpaceDN w:val="0"/>
      <w:adjustRightInd w:val="0"/>
      <w:spacing w:line="300" w:lineRule="auto"/>
      <w:ind w:left="1272" w:hanging="552"/>
      <w:textAlignment w:val="baseline"/>
      <w:outlineLvl w:val="5"/>
    </w:pPr>
    <w:rPr>
      <w:rFonts w:ascii="Arial" w:hAnsi="Arial"/>
      <w:kern w:val="0"/>
      <w:sz w:val="28"/>
    </w:rPr>
  </w:style>
  <w:style w:type="paragraph" w:styleId="10">
    <w:name w:val="heading 7"/>
    <w:basedOn w:val="1"/>
    <w:next w:val="1"/>
    <w:link w:val="111"/>
    <w:qFormat/>
    <w:uiPriority w:val="0"/>
    <w:pPr>
      <w:keepNext/>
      <w:tabs>
        <w:tab w:val="left" w:pos="570"/>
        <w:tab w:val="left" w:pos="1080"/>
        <w:tab w:val="left" w:pos="2340"/>
        <w:tab w:val="left" w:pos="2520"/>
        <w:tab w:val="left" w:pos="2700"/>
      </w:tabs>
      <w:ind w:left="570" w:hanging="475"/>
      <w:outlineLvl w:val="6"/>
    </w:pPr>
    <w:rPr>
      <w:rFonts w:ascii="仿宋_GB2312" w:eastAsia="仿宋_GB2312"/>
      <w:spacing w:val="-12"/>
      <w:sz w:val="28"/>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2">
    <w:name w:val="正文new"/>
    <w:basedOn w:val="1"/>
    <w:qFormat/>
    <w:uiPriority w:val="0"/>
    <w:pPr>
      <w:adjustRightInd w:val="0"/>
      <w:snapToGrid w:val="0"/>
      <w:spacing w:line="500" w:lineRule="exact"/>
      <w:ind w:firstLine="480" w:firstLineChars="200"/>
    </w:pPr>
    <w:rPr>
      <w:rFonts w:ascii="宋体" w:hAnsi="宋体" w:cs="宋体"/>
      <w:sz w:val="24"/>
      <w:szCs w:val="24"/>
    </w:rPr>
  </w:style>
  <w:style w:type="paragraph" w:styleId="5">
    <w:name w:val="Normal Indent"/>
    <w:basedOn w:val="1"/>
    <w:qFormat/>
    <w:uiPriority w:val="0"/>
    <w:pPr>
      <w:ind w:firstLine="420" w:firstLineChars="200"/>
    </w:pPr>
  </w:style>
  <w:style w:type="paragraph" w:styleId="11">
    <w:name w:val="toc 7"/>
    <w:basedOn w:val="1"/>
    <w:next w:val="1"/>
    <w:semiHidden/>
    <w:qFormat/>
    <w:uiPriority w:val="0"/>
    <w:pPr>
      <w:ind w:left="2520" w:leftChars="1200"/>
    </w:pPr>
  </w:style>
  <w:style w:type="paragraph" w:styleId="12">
    <w:name w:val="caption"/>
    <w:basedOn w:val="1"/>
    <w:next w:val="1"/>
    <w:qFormat/>
    <w:uiPriority w:val="0"/>
    <w:rPr>
      <w:rFonts w:ascii="Arial" w:hAnsi="Arial" w:eastAsia="黑体" w:cs="Arial"/>
      <w:sz w:val="20"/>
    </w:rPr>
  </w:style>
  <w:style w:type="paragraph" w:styleId="13">
    <w:name w:val="Document Map"/>
    <w:basedOn w:val="1"/>
    <w:semiHidden/>
    <w:qFormat/>
    <w:uiPriority w:val="0"/>
    <w:pPr>
      <w:shd w:val="clear" w:color="auto" w:fill="000080"/>
    </w:pPr>
  </w:style>
  <w:style w:type="paragraph" w:styleId="14">
    <w:name w:val="annotation text"/>
    <w:basedOn w:val="1"/>
    <w:qFormat/>
    <w:uiPriority w:val="0"/>
    <w:pPr>
      <w:jc w:val="left"/>
    </w:pPr>
  </w:style>
  <w:style w:type="paragraph" w:styleId="15">
    <w:name w:val="Salutation"/>
    <w:basedOn w:val="1"/>
    <w:next w:val="1"/>
    <w:qFormat/>
    <w:uiPriority w:val="0"/>
    <w:rPr>
      <w:rFonts w:ascii="黑体" w:eastAsia="黑体"/>
      <w:sz w:val="28"/>
      <w:szCs w:val="28"/>
    </w:rPr>
  </w:style>
  <w:style w:type="paragraph" w:styleId="16">
    <w:name w:val="Body Text 3"/>
    <w:basedOn w:val="1"/>
    <w:link w:val="70"/>
    <w:qFormat/>
    <w:uiPriority w:val="0"/>
    <w:pPr>
      <w:spacing w:after="120"/>
    </w:pPr>
    <w:rPr>
      <w:sz w:val="16"/>
      <w:szCs w:val="16"/>
    </w:rPr>
  </w:style>
  <w:style w:type="paragraph" w:styleId="17">
    <w:name w:val="Closing"/>
    <w:basedOn w:val="1"/>
    <w:qFormat/>
    <w:uiPriority w:val="0"/>
    <w:pPr>
      <w:ind w:left="100" w:leftChars="2100"/>
    </w:pPr>
    <w:rPr>
      <w:rFonts w:ascii="仿宋_GB2312" w:eastAsia="仿宋_GB2312"/>
      <w:spacing w:val="6"/>
      <w:sz w:val="30"/>
      <w:szCs w:val="30"/>
    </w:rPr>
  </w:style>
  <w:style w:type="paragraph" w:styleId="18">
    <w:name w:val="Body Text"/>
    <w:basedOn w:val="1"/>
    <w:link w:val="119"/>
    <w:qFormat/>
    <w:uiPriority w:val="0"/>
    <w:rPr>
      <w:rFonts w:eastAsia="仿宋_GB2312"/>
      <w:sz w:val="28"/>
    </w:rPr>
  </w:style>
  <w:style w:type="paragraph" w:styleId="19">
    <w:name w:val="Body Text Indent"/>
    <w:basedOn w:val="1"/>
    <w:link w:val="74"/>
    <w:qFormat/>
    <w:uiPriority w:val="0"/>
    <w:pPr>
      <w:spacing w:line="480" w:lineRule="exact"/>
      <w:ind w:firstLine="600"/>
    </w:pPr>
  </w:style>
  <w:style w:type="paragraph" w:styleId="20">
    <w:name w:val="List 2"/>
    <w:basedOn w:val="1"/>
    <w:qFormat/>
    <w:uiPriority w:val="0"/>
    <w:pPr>
      <w:ind w:left="100" w:leftChars="200" w:hanging="200" w:hangingChars="200"/>
    </w:pPr>
    <w:rPr>
      <w:sz w:val="21"/>
      <w:szCs w:val="24"/>
    </w:rPr>
  </w:style>
  <w:style w:type="paragraph" w:styleId="21">
    <w:name w:val="Block Text"/>
    <w:basedOn w:val="1"/>
    <w:qFormat/>
    <w:uiPriority w:val="0"/>
    <w:pPr>
      <w:tabs>
        <w:tab w:val="left" w:pos="420"/>
        <w:tab w:val="left" w:pos="560"/>
      </w:tabs>
      <w:spacing w:line="480" w:lineRule="exact"/>
      <w:ind w:left="560" w:right="-233" w:firstLine="610"/>
    </w:pPr>
    <w:rPr>
      <w:rFonts w:ascii="宋体"/>
    </w:rPr>
  </w:style>
  <w:style w:type="paragraph" w:styleId="22">
    <w:name w:val="toc 5"/>
    <w:basedOn w:val="1"/>
    <w:next w:val="1"/>
    <w:semiHidden/>
    <w:qFormat/>
    <w:uiPriority w:val="0"/>
    <w:pPr>
      <w:ind w:left="1680" w:leftChars="800"/>
    </w:pPr>
  </w:style>
  <w:style w:type="paragraph" w:styleId="23">
    <w:name w:val="toc 3"/>
    <w:basedOn w:val="1"/>
    <w:next w:val="1"/>
    <w:qFormat/>
    <w:uiPriority w:val="39"/>
    <w:pPr>
      <w:tabs>
        <w:tab w:val="right" w:leader="dot" w:pos="8494"/>
      </w:tabs>
      <w:ind w:left="960" w:leftChars="400"/>
    </w:pPr>
    <w:rPr>
      <w:b/>
      <w:bCs/>
      <w:sz w:val="28"/>
    </w:rPr>
  </w:style>
  <w:style w:type="paragraph" w:styleId="24">
    <w:name w:val="Plain Text"/>
    <w:basedOn w:val="1"/>
    <w:link w:val="95"/>
    <w:qFormat/>
    <w:uiPriority w:val="0"/>
    <w:rPr>
      <w:rFonts w:ascii="宋体" w:hAnsi="Courier New"/>
      <w:sz w:val="21"/>
    </w:rPr>
  </w:style>
  <w:style w:type="paragraph" w:styleId="25">
    <w:name w:val="toc 8"/>
    <w:basedOn w:val="1"/>
    <w:next w:val="1"/>
    <w:semiHidden/>
    <w:qFormat/>
    <w:uiPriority w:val="0"/>
    <w:pPr>
      <w:ind w:left="2940" w:leftChars="1400"/>
    </w:pPr>
  </w:style>
  <w:style w:type="paragraph" w:styleId="26">
    <w:name w:val="Date"/>
    <w:basedOn w:val="1"/>
    <w:next w:val="1"/>
    <w:qFormat/>
    <w:uiPriority w:val="0"/>
  </w:style>
  <w:style w:type="paragraph" w:styleId="27">
    <w:name w:val="Body Text Indent 2"/>
    <w:basedOn w:val="1"/>
    <w:qFormat/>
    <w:uiPriority w:val="0"/>
    <w:pPr>
      <w:tabs>
        <w:tab w:val="left" w:pos="540"/>
      </w:tabs>
      <w:spacing w:line="480" w:lineRule="exact"/>
      <w:ind w:right="-233" w:firstLine="540"/>
    </w:pPr>
    <w:rPr>
      <w:rFonts w:ascii="宋体"/>
    </w:rPr>
  </w:style>
  <w:style w:type="paragraph" w:styleId="28">
    <w:name w:val="endnote text"/>
    <w:basedOn w:val="1"/>
    <w:link w:val="62"/>
    <w:qFormat/>
    <w:uiPriority w:val="0"/>
    <w:pPr>
      <w:snapToGrid w:val="0"/>
      <w:jc w:val="left"/>
    </w:pPr>
    <w:rPr>
      <w:sz w:val="21"/>
      <w:szCs w:val="24"/>
    </w:r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rPr>
  </w:style>
  <w:style w:type="paragraph" w:styleId="31">
    <w:name w:val="header"/>
    <w:basedOn w:val="1"/>
    <w:qFormat/>
    <w:uiPriority w:val="0"/>
    <w:pPr>
      <w:pBdr>
        <w:bottom w:val="single" w:color="auto" w:sz="6" w:space="1"/>
      </w:pBdr>
      <w:tabs>
        <w:tab w:val="center" w:pos="4153"/>
        <w:tab w:val="right" w:pos="8306"/>
      </w:tabs>
      <w:snapToGrid w:val="0"/>
      <w:jc w:val="center"/>
    </w:pPr>
    <w:rPr>
      <w:sz w:val="18"/>
    </w:rPr>
  </w:style>
  <w:style w:type="paragraph" w:styleId="32">
    <w:name w:val="Signature"/>
    <w:basedOn w:val="1"/>
    <w:next w:val="1"/>
    <w:qFormat/>
    <w:uiPriority w:val="0"/>
    <w:pPr>
      <w:autoSpaceDE w:val="0"/>
      <w:autoSpaceDN w:val="0"/>
      <w:adjustRightInd w:val="0"/>
      <w:spacing w:after="120" w:line="312" w:lineRule="atLeast"/>
      <w:jc w:val="center"/>
      <w:textAlignment w:val="baseline"/>
    </w:pPr>
    <w:rPr>
      <w:rFonts w:ascii="楷体" w:hAnsi="Tms Rmn" w:eastAsia="楷体"/>
      <w:kern w:val="0"/>
      <w:sz w:val="21"/>
    </w:rPr>
  </w:style>
  <w:style w:type="paragraph" w:styleId="33">
    <w:name w:val="toc 1"/>
    <w:basedOn w:val="1"/>
    <w:next w:val="1"/>
    <w:qFormat/>
    <w:uiPriority w:val="0"/>
    <w:pPr>
      <w:tabs>
        <w:tab w:val="right" w:leader="dot" w:pos="8494"/>
      </w:tabs>
      <w:ind w:firstLine="479" w:firstLineChars="171"/>
    </w:pPr>
  </w:style>
  <w:style w:type="paragraph" w:styleId="34">
    <w:name w:val="toc 4"/>
    <w:basedOn w:val="1"/>
    <w:next w:val="1"/>
    <w:semiHidden/>
    <w:qFormat/>
    <w:uiPriority w:val="0"/>
    <w:pPr>
      <w:spacing w:beforeLines="50" w:afterLines="50" w:line="480" w:lineRule="exact"/>
      <w:ind w:left="1441" w:hanging="1441" w:hangingChars="450"/>
    </w:pPr>
    <w:rPr>
      <w:b/>
      <w:bCs/>
      <w:sz w:val="32"/>
    </w:rPr>
  </w:style>
  <w:style w:type="paragraph" w:styleId="35">
    <w:name w:val="List"/>
    <w:basedOn w:val="1"/>
    <w:qFormat/>
    <w:uiPriority w:val="0"/>
    <w:pPr>
      <w:jc w:val="left"/>
    </w:pPr>
    <w:rPr>
      <w:sz w:val="18"/>
    </w:rPr>
  </w:style>
  <w:style w:type="paragraph" w:styleId="36">
    <w:name w:val="toc 6"/>
    <w:basedOn w:val="1"/>
    <w:next w:val="1"/>
    <w:semiHidden/>
    <w:qFormat/>
    <w:uiPriority w:val="0"/>
    <w:pPr>
      <w:ind w:left="2100" w:leftChars="1000"/>
    </w:pPr>
  </w:style>
  <w:style w:type="paragraph" w:styleId="37">
    <w:name w:val="Body Text Indent 3"/>
    <w:basedOn w:val="1"/>
    <w:qFormat/>
    <w:uiPriority w:val="0"/>
    <w:pPr>
      <w:spacing w:line="600" w:lineRule="exact"/>
      <w:ind w:firstLine="600"/>
    </w:pPr>
    <w:rPr>
      <w:rFonts w:ascii="宋体"/>
      <w:sz w:val="28"/>
    </w:rPr>
  </w:style>
  <w:style w:type="paragraph" w:styleId="38">
    <w:name w:val="toc 2"/>
    <w:basedOn w:val="1"/>
    <w:next w:val="1"/>
    <w:qFormat/>
    <w:uiPriority w:val="39"/>
    <w:pPr>
      <w:tabs>
        <w:tab w:val="right" w:leader="dot" w:pos="8494"/>
      </w:tabs>
      <w:ind w:left="480" w:leftChars="200"/>
    </w:pPr>
    <w:rPr>
      <w:rFonts w:ascii="仿宋_GB2312" w:eastAsia="仿宋_GB2312"/>
      <w:iCs/>
      <w:sz w:val="28"/>
      <w:szCs w:val="28"/>
    </w:rPr>
  </w:style>
  <w:style w:type="paragraph" w:styleId="39">
    <w:name w:val="toc 9"/>
    <w:basedOn w:val="1"/>
    <w:next w:val="1"/>
    <w:semiHidden/>
    <w:qFormat/>
    <w:uiPriority w:val="0"/>
    <w:pPr>
      <w:ind w:left="3360" w:leftChars="1600"/>
    </w:pPr>
  </w:style>
  <w:style w:type="paragraph" w:styleId="40">
    <w:name w:val="HTML Preformatted"/>
    <w:basedOn w:val="1"/>
    <w:link w:val="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41">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333333"/>
      <w:kern w:val="0"/>
      <w:szCs w:val="24"/>
    </w:rPr>
  </w:style>
  <w:style w:type="paragraph" w:styleId="42">
    <w:name w:val="index 1"/>
    <w:basedOn w:val="1"/>
    <w:next w:val="1"/>
    <w:semiHidden/>
    <w:qFormat/>
    <w:uiPriority w:val="0"/>
    <w:pPr>
      <w:shd w:val="clear" w:color="auto" w:fill="FFFFFF"/>
      <w:spacing w:line="480" w:lineRule="exact"/>
    </w:pPr>
    <w:rPr>
      <w:rFonts w:ascii="Courier New" w:hAnsi="Courier New" w:eastAsia="仿宋_GB2312"/>
      <w:b/>
      <w:kern w:val="0"/>
      <w:sz w:val="28"/>
      <w:szCs w:val="28"/>
    </w:rPr>
  </w:style>
  <w:style w:type="paragraph" w:styleId="43">
    <w:name w:val="annotation subject"/>
    <w:basedOn w:val="14"/>
    <w:next w:val="14"/>
    <w:qFormat/>
    <w:uiPriority w:val="0"/>
    <w:rPr>
      <w:b/>
      <w:bCs/>
    </w:rPr>
  </w:style>
  <w:style w:type="paragraph" w:styleId="44">
    <w:name w:val="Body Text First Indent"/>
    <w:basedOn w:val="18"/>
    <w:link w:val="120"/>
    <w:qFormat/>
    <w:uiPriority w:val="0"/>
    <w:pPr>
      <w:spacing w:after="120"/>
      <w:ind w:firstLine="420" w:firstLineChars="100"/>
    </w:pPr>
    <w:rPr>
      <w:rFonts w:ascii="楷体_GB2312" w:eastAsia="宋体"/>
      <w:bCs/>
      <w:sz w:val="21"/>
      <w:szCs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color w:val="CC0000"/>
    </w:rPr>
  </w:style>
  <w:style w:type="character" w:styleId="53">
    <w:name w:val="HTML Typewriter"/>
    <w:qFormat/>
    <w:uiPriority w:val="0"/>
    <w:rPr>
      <w:rFonts w:ascii="黑体" w:hAnsi="Courier New" w:eastAsia="黑体" w:cs="Courier New"/>
      <w:sz w:val="24"/>
      <w:szCs w:val="24"/>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customStyle="1" w:styleId="56">
    <w:name w:val="纯文本 Char2"/>
    <w:qFormat/>
    <w:uiPriority w:val="0"/>
    <w:rPr>
      <w:rFonts w:ascii="宋体" w:hAnsi="Courier New" w:eastAsia="宋体"/>
      <w:kern w:val="2"/>
      <w:sz w:val="28"/>
      <w:lang w:val="en-US" w:eastAsia="zh-CN" w:bidi="ar-SA"/>
    </w:rPr>
  </w:style>
  <w:style w:type="character" w:customStyle="1" w:styleId="57">
    <w:name w:val="正文文本缩进 Char"/>
    <w:qFormat/>
    <w:uiPriority w:val="0"/>
    <w:rPr>
      <w:rFonts w:ascii="仿宋_GB2312" w:eastAsia="仿宋_GB2312"/>
      <w:sz w:val="28"/>
      <w:lang w:val="en-US" w:eastAsia="zh-CN"/>
    </w:rPr>
  </w:style>
  <w:style w:type="character" w:customStyle="1" w:styleId="58">
    <w:name w:val="页眉 Char"/>
    <w:qFormat/>
    <w:uiPriority w:val="0"/>
    <w:rPr>
      <w:sz w:val="18"/>
    </w:rPr>
  </w:style>
  <w:style w:type="character" w:customStyle="1" w:styleId="59">
    <w:name w:val="Char Char4"/>
    <w:qFormat/>
    <w:uiPriority w:val="0"/>
    <w:rPr>
      <w:rFonts w:ascii="宋体" w:hAnsi="Courier New"/>
      <w:kern w:val="2"/>
      <w:sz w:val="21"/>
    </w:rPr>
  </w:style>
  <w:style w:type="character" w:customStyle="1" w:styleId="60">
    <w:name w:val="title3"/>
    <w:basedOn w:val="47"/>
    <w:qFormat/>
    <w:uiPriority w:val="0"/>
  </w:style>
  <w:style w:type="character" w:customStyle="1" w:styleId="61">
    <w:name w:val="redbig1"/>
    <w:qFormat/>
    <w:uiPriority w:val="0"/>
    <w:rPr>
      <w:b/>
      <w:bCs/>
      <w:color w:val="D00018"/>
      <w:sz w:val="34"/>
      <w:szCs w:val="34"/>
    </w:rPr>
  </w:style>
  <w:style w:type="character" w:customStyle="1" w:styleId="62">
    <w:name w:val="尾注文本 Char"/>
    <w:link w:val="28"/>
    <w:qFormat/>
    <w:uiPriority w:val="0"/>
    <w:rPr>
      <w:kern w:val="2"/>
      <w:sz w:val="21"/>
      <w:szCs w:val="24"/>
    </w:rPr>
  </w:style>
  <w:style w:type="character" w:customStyle="1" w:styleId="63">
    <w:name w:val="样式1 Char"/>
    <w:link w:val="64"/>
    <w:qFormat/>
    <w:uiPriority w:val="0"/>
    <w:rPr>
      <w:rFonts w:ascii="Arial" w:hAnsi="Arial" w:eastAsia="仿宋_GB2312"/>
      <w:b/>
      <w:bCs/>
      <w:kern w:val="2"/>
      <w:sz w:val="24"/>
      <w:szCs w:val="32"/>
    </w:rPr>
  </w:style>
  <w:style w:type="paragraph" w:customStyle="1" w:styleId="64">
    <w:name w:val="样式1"/>
    <w:basedOn w:val="4"/>
    <w:link w:val="63"/>
    <w:qFormat/>
    <w:uiPriority w:val="0"/>
    <w:pPr>
      <w:keepLines/>
      <w:numPr>
        <w:ilvl w:val="0"/>
        <w:numId w:val="0"/>
      </w:numPr>
      <w:autoSpaceDE/>
      <w:autoSpaceDN/>
      <w:adjustRightInd/>
      <w:spacing w:line="280" w:lineRule="exact"/>
      <w:textAlignment w:val="auto"/>
    </w:pPr>
    <w:rPr>
      <w:rFonts w:ascii="Arial" w:hAnsi="Arial" w:eastAsia="仿宋_GB2312"/>
      <w:b/>
      <w:bCs/>
      <w:i w:val="0"/>
      <w:kern w:val="2"/>
      <w:sz w:val="24"/>
      <w:szCs w:val="32"/>
    </w:rPr>
  </w:style>
  <w:style w:type="character" w:customStyle="1" w:styleId="65">
    <w:name w:val="Char Char Char Char2"/>
    <w:qFormat/>
    <w:uiPriority w:val="0"/>
    <w:rPr>
      <w:rFonts w:ascii="宋体" w:hAnsi="Courier New" w:eastAsia="宋体"/>
      <w:kern w:val="2"/>
      <w:sz w:val="28"/>
      <w:lang w:val="en-US" w:eastAsia="zh-CN" w:bidi="ar-SA"/>
    </w:rPr>
  </w:style>
  <w:style w:type="character" w:customStyle="1" w:styleId="66">
    <w:name w:val="Char Char Char Char3"/>
    <w:qFormat/>
    <w:uiPriority w:val="0"/>
    <w:rPr>
      <w:rFonts w:ascii="宋体" w:hAnsi="Courier New" w:eastAsia="宋体"/>
      <w:kern w:val="2"/>
      <w:sz w:val="21"/>
      <w:lang w:val="en-US" w:eastAsia="zh-CN" w:bidi="ar-SA"/>
    </w:rPr>
  </w:style>
  <w:style w:type="character" w:customStyle="1" w:styleId="67">
    <w:name w:val="unnamed21"/>
    <w:qFormat/>
    <w:uiPriority w:val="0"/>
    <w:rPr>
      <w:color w:val="000000"/>
      <w:sz w:val="24"/>
      <w:szCs w:val="24"/>
      <w:u w:val="none"/>
    </w:rPr>
  </w:style>
  <w:style w:type="character" w:customStyle="1" w:styleId="68">
    <w:name w:val="Char Char41"/>
    <w:qFormat/>
    <w:locked/>
    <w:uiPriority w:val="0"/>
    <w:rPr>
      <w:rFonts w:ascii="宋体" w:hAnsi="Courier New" w:eastAsia="宋体"/>
      <w:kern w:val="2"/>
      <w:sz w:val="21"/>
      <w:lang w:val="en-US" w:eastAsia="zh-CN" w:bidi="ar-SA"/>
    </w:rPr>
  </w:style>
  <w:style w:type="character" w:customStyle="1" w:styleId="69">
    <w:name w:val="Char Char2"/>
    <w:qFormat/>
    <w:uiPriority w:val="0"/>
    <w:rPr>
      <w:rFonts w:ascii="楷体_GB2312" w:eastAsia="楷体_GB2312"/>
      <w:bCs/>
      <w:kern w:val="2"/>
      <w:sz w:val="28"/>
      <w:szCs w:val="24"/>
      <w:lang w:val="en-US" w:eastAsia="zh-CN" w:bidi="ar-SA"/>
    </w:rPr>
  </w:style>
  <w:style w:type="character" w:customStyle="1" w:styleId="70">
    <w:name w:val="正文文本 3 Char"/>
    <w:link w:val="16"/>
    <w:qFormat/>
    <w:uiPriority w:val="0"/>
    <w:rPr>
      <w:kern w:val="2"/>
      <w:sz w:val="16"/>
      <w:szCs w:val="16"/>
    </w:rPr>
  </w:style>
  <w:style w:type="character" w:customStyle="1" w:styleId="71">
    <w:name w:val="Char Char7"/>
    <w:qFormat/>
    <w:uiPriority w:val="0"/>
    <w:rPr>
      <w:rFonts w:ascii="宋体" w:hAnsi="Courier New" w:eastAsia="宋体"/>
      <w:kern w:val="2"/>
      <w:sz w:val="21"/>
      <w:lang w:val="en-US" w:eastAsia="zh-CN" w:bidi="ar-SA"/>
    </w:rPr>
  </w:style>
  <w:style w:type="character" w:customStyle="1" w:styleId="72">
    <w:name w:val="so-ask-best"/>
    <w:basedOn w:val="47"/>
    <w:qFormat/>
    <w:uiPriority w:val="0"/>
  </w:style>
  <w:style w:type="character" w:customStyle="1" w:styleId="73">
    <w:name w:val="font11"/>
    <w:qFormat/>
    <w:uiPriority w:val="0"/>
    <w:rPr>
      <w:rFonts w:hint="default" w:ascii="Times New Roman" w:hAnsi="Times New Roman" w:cs="Times New Roman"/>
      <w:color w:val="000000"/>
      <w:sz w:val="22"/>
      <w:szCs w:val="22"/>
    </w:rPr>
  </w:style>
  <w:style w:type="character" w:customStyle="1" w:styleId="74">
    <w:name w:val="正文文本缩进 Char1"/>
    <w:link w:val="19"/>
    <w:qFormat/>
    <w:uiPriority w:val="0"/>
    <w:rPr>
      <w:kern w:val="2"/>
      <w:sz w:val="24"/>
    </w:rPr>
  </w:style>
  <w:style w:type="character" w:customStyle="1" w:styleId="75">
    <w:name w:val="Char Char Char Char"/>
    <w:qFormat/>
    <w:uiPriority w:val="0"/>
    <w:rPr>
      <w:rFonts w:ascii="宋体" w:hAnsi="Courier New" w:eastAsia="宋体"/>
      <w:kern w:val="2"/>
      <w:sz w:val="21"/>
      <w:lang w:val="en-US" w:eastAsia="zh-CN" w:bidi="ar-SA"/>
    </w:rPr>
  </w:style>
  <w:style w:type="character" w:customStyle="1" w:styleId="76">
    <w:name w:val="tpc_content1"/>
    <w:qFormat/>
    <w:uiPriority w:val="0"/>
    <w:rPr>
      <w:sz w:val="20"/>
      <w:szCs w:val="20"/>
    </w:rPr>
  </w:style>
  <w:style w:type="character" w:customStyle="1" w:styleId="77">
    <w:name w:val="普通文字 Char1"/>
    <w:qFormat/>
    <w:uiPriority w:val="0"/>
    <w:rPr>
      <w:rFonts w:ascii="宋体" w:hAnsi="Courier New" w:eastAsia="宋体"/>
      <w:kern w:val="2"/>
      <w:sz w:val="21"/>
      <w:lang w:val="en-US" w:eastAsia="zh-CN" w:bidi="ar-SA"/>
    </w:rPr>
  </w:style>
  <w:style w:type="character" w:customStyle="1" w:styleId="78">
    <w:name w:val="页脚 Char"/>
    <w:qFormat/>
    <w:uiPriority w:val="0"/>
    <w:rPr>
      <w:sz w:val="18"/>
    </w:rPr>
  </w:style>
  <w:style w:type="character" w:customStyle="1" w:styleId="79">
    <w:name w:val="Char Char9"/>
    <w:link w:val="80"/>
    <w:qFormat/>
    <w:uiPriority w:val="0"/>
    <w:rPr>
      <w:rFonts w:ascii="宋体" w:hAnsi="Courier New"/>
      <w:kern w:val="2"/>
      <w:sz w:val="21"/>
    </w:rPr>
  </w:style>
  <w:style w:type="paragraph" w:customStyle="1" w:styleId="80">
    <w:name w:val="Char2"/>
    <w:basedOn w:val="1"/>
    <w:link w:val="79"/>
    <w:qFormat/>
    <w:uiPriority w:val="0"/>
    <w:rPr>
      <w:rFonts w:ascii="宋体" w:hAnsi="Courier New"/>
      <w:sz w:val="21"/>
    </w:rPr>
  </w:style>
  <w:style w:type="character" w:customStyle="1" w:styleId="81">
    <w:name w:val="标题 2 Char"/>
    <w:qFormat/>
    <w:uiPriority w:val="0"/>
    <w:rPr>
      <w:rFonts w:ascii="Arial" w:hAnsi="Arial" w:eastAsia="宋体"/>
      <w:sz w:val="32"/>
      <w:lang w:val="en-US" w:eastAsia="zh-CN" w:bidi="ar-SA"/>
    </w:rPr>
  </w:style>
  <w:style w:type="character" w:customStyle="1" w:styleId="82">
    <w:name w:val="img_descr2"/>
    <w:basedOn w:val="47"/>
    <w:qFormat/>
    <w:uiPriority w:val="0"/>
  </w:style>
  <w:style w:type="character" w:customStyle="1" w:styleId="83">
    <w:name w:val="apple-style-span"/>
    <w:basedOn w:val="47"/>
    <w:qFormat/>
    <w:uiPriority w:val="0"/>
  </w:style>
  <w:style w:type="character" w:customStyle="1" w:styleId="84">
    <w:name w:val="标题 3 Char"/>
    <w:link w:val="6"/>
    <w:qFormat/>
    <w:uiPriority w:val="0"/>
    <w:rPr>
      <w:rFonts w:eastAsia="宋体"/>
      <w:b/>
      <w:bCs/>
      <w:kern w:val="2"/>
      <w:sz w:val="32"/>
      <w:szCs w:val="32"/>
      <w:lang w:val="en-US" w:eastAsia="zh-CN" w:bidi="ar-SA"/>
    </w:rPr>
  </w:style>
  <w:style w:type="character" w:customStyle="1" w:styleId="85">
    <w:name w:val="Char Char Char Char1"/>
    <w:qFormat/>
    <w:uiPriority w:val="0"/>
    <w:rPr>
      <w:rFonts w:ascii="宋体" w:hAnsi="Courier New" w:eastAsia="宋体"/>
      <w:kern w:val="2"/>
      <w:sz w:val="28"/>
      <w:lang w:val="en-US" w:eastAsia="zh-CN" w:bidi="ar-SA"/>
    </w:rPr>
  </w:style>
  <w:style w:type="character" w:customStyle="1" w:styleId="86">
    <w:name w:val="正文1"/>
    <w:qFormat/>
    <w:uiPriority w:val="0"/>
    <w:rPr>
      <w:rFonts w:hint="eastAsia" w:ascii="宋体" w:hAnsi="宋体" w:eastAsia="宋体"/>
      <w:b/>
      <w:bCs/>
      <w:color w:val="000000"/>
      <w:sz w:val="24"/>
      <w:szCs w:val="24"/>
    </w:rPr>
  </w:style>
  <w:style w:type="character" w:customStyle="1" w:styleId="87">
    <w:name w:val="title4"/>
    <w:basedOn w:val="47"/>
    <w:qFormat/>
    <w:uiPriority w:val="0"/>
  </w:style>
  <w:style w:type="character" w:customStyle="1" w:styleId="88">
    <w:name w:val="style51"/>
    <w:qFormat/>
    <w:uiPriority w:val="0"/>
    <w:rPr>
      <w:b/>
      <w:bCs/>
      <w:color w:val="000000"/>
      <w:sz w:val="23"/>
      <w:szCs w:val="23"/>
    </w:rPr>
  </w:style>
  <w:style w:type="character" w:customStyle="1" w:styleId="89">
    <w:name w:val="正文首行缩进 Char1"/>
    <w:qFormat/>
    <w:uiPriority w:val="0"/>
    <w:rPr>
      <w:rFonts w:eastAsia="仿宋_GB2312"/>
      <w:kern w:val="2"/>
      <w:sz w:val="24"/>
    </w:rPr>
  </w:style>
  <w:style w:type="character" w:customStyle="1" w:styleId="90">
    <w:name w:val="answer-expand-content"/>
    <w:basedOn w:val="47"/>
    <w:qFormat/>
    <w:uiPriority w:val="0"/>
  </w:style>
  <w:style w:type="character" w:customStyle="1" w:styleId="91">
    <w:name w:val="font41"/>
    <w:qFormat/>
    <w:uiPriority w:val="0"/>
    <w:rPr>
      <w:rFonts w:hint="eastAsia" w:ascii="仿宋_GB2312" w:eastAsia="仿宋_GB2312" w:cs="仿宋_GB2312"/>
      <w:color w:val="000000"/>
      <w:sz w:val="22"/>
      <w:szCs w:val="22"/>
    </w:rPr>
  </w:style>
  <w:style w:type="character" w:customStyle="1" w:styleId="92">
    <w:name w:val="正文文本1"/>
    <w:qFormat/>
    <w:uiPriority w:val="0"/>
    <w:rPr>
      <w:rFonts w:ascii="MingLiU" w:hAnsi="MingLiU" w:eastAsia="MingLiU" w:cs="MingLiU"/>
      <w:color w:val="000000"/>
      <w:spacing w:val="0"/>
      <w:w w:val="100"/>
      <w:position w:val="0"/>
      <w:sz w:val="19"/>
      <w:szCs w:val="19"/>
      <w:u w:val="none"/>
      <w:lang w:val="zh-CN" w:eastAsia="zh-CN" w:bidi="zh-CN"/>
    </w:rPr>
  </w:style>
  <w:style w:type="character" w:customStyle="1" w:styleId="93">
    <w:name w:val="表名 Char"/>
    <w:link w:val="94"/>
    <w:qFormat/>
    <w:uiPriority w:val="0"/>
    <w:rPr>
      <w:rFonts w:ascii="宋体" w:hAnsi="宋体" w:cs="宋体"/>
      <w:b/>
      <w:sz w:val="18"/>
      <w:szCs w:val="18"/>
    </w:rPr>
  </w:style>
  <w:style w:type="paragraph" w:customStyle="1" w:styleId="94">
    <w:name w:val="表名"/>
    <w:basedOn w:val="1"/>
    <w:link w:val="93"/>
    <w:qFormat/>
    <w:uiPriority w:val="0"/>
    <w:pPr>
      <w:spacing w:line="240" w:lineRule="atLeast"/>
      <w:jc w:val="center"/>
    </w:pPr>
    <w:rPr>
      <w:rFonts w:ascii="宋体" w:hAnsi="宋体"/>
      <w:b/>
      <w:kern w:val="0"/>
      <w:sz w:val="18"/>
      <w:szCs w:val="18"/>
    </w:rPr>
  </w:style>
  <w:style w:type="character" w:customStyle="1" w:styleId="95">
    <w:name w:val="纯文本 Char"/>
    <w:link w:val="24"/>
    <w:qFormat/>
    <w:uiPriority w:val="0"/>
    <w:rPr>
      <w:rFonts w:ascii="宋体" w:hAnsi="Courier New" w:eastAsia="宋体"/>
      <w:kern w:val="2"/>
      <w:sz w:val="21"/>
      <w:lang w:val="en-US" w:eastAsia="zh-CN" w:bidi="ar-SA"/>
    </w:rPr>
  </w:style>
  <w:style w:type="character" w:customStyle="1" w:styleId="96">
    <w:name w:val="页眉或页脚 + Garamond"/>
    <w:qFormat/>
    <w:uiPriority w:val="0"/>
    <w:rPr>
      <w:rFonts w:ascii="Garamond" w:hAnsi="Garamond" w:eastAsia="Garamond" w:cs="Garamond"/>
      <w:b/>
      <w:bCs/>
      <w:color w:val="000000"/>
      <w:spacing w:val="0"/>
      <w:w w:val="100"/>
      <w:position w:val="0"/>
      <w:sz w:val="20"/>
      <w:szCs w:val="20"/>
      <w:u w:val="none"/>
      <w:lang w:val="en-US" w:eastAsia="en-US" w:bidi="en-US"/>
    </w:rPr>
  </w:style>
  <w:style w:type="character" w:customStyle="1" w:styleId="97">
    <w:name w:val="标题 5 Char"/>
    <w:link w:val="8"/>
    <w:qFormat/>
    <w:uiPriority w:val="0"/>
    <w:rPr>
      <w:sz w:val="28"/>
    </w:rPr>
  </w:style>
  <w:style w:type="character" w:customStyle="1" w:styleId="98">
    <w:name w:val="HTML 预设格式 Char"/>
    <w:link w:val="40"/>
    <w:qFormat/>
    <w:uiPriority w:val="0"/>
    <w:rPr>
      <w:rFonts w:ascii="黑体" w:hAnsi="Courier New" w:eastAsia="黑体" w:cs="Courier New"/>
    </w:rPr>
  </w:style>
  <w:style w:type="character" w:customStyle="1" w:styleId="99">
    <w:name w:val="Char Char3"/>
    <w:qFormat/>
    <w:uiPriority w:val="0"/>
    <w:rPr>
      <w:rFonts w:ascii="宋体" w:hAnsi="Courier New" w:eastAsia="宋体"/>
      <w:kern w:val="2"/>
      <w:sz w:val="28"/>
      <w:lang w:val="en-US" w:eastAsia="zh-CN" w:bidi="ar-SA"/>
    </w:rPr>
  </w:style>
  <w:style w:type="character" w:customStyle="1" w:styleId="100">
    <w:name w:val="标题 4 Char"/>
    <w:link w:val="7"/>
    <w:qFormat/>
    <w:uiPriority w:val="0"/>
    <w:rPr>
      <w:rFonts w:ascii="仿宋_GB2312" w:eastAsia="仿宋_GB2312"/>
      <w:kern w:val="2"/>
      <w:sz w:val="28"/>
    </w:rPr>
  </w:style>
  <w:style w:type="character" w:customStyle="1" w:styleId="101">
    <w:name w:val="Char Char10"/>
    <w:qFormat/>
    <w:uiPriority w:val="0"/>
    <w:rPr>
      <w:rFonts w:ascii="楷体_GB2312" w:eastAsia="楷体_GB2312"/>
      <w:bCs/>
      <w:kern w:val="2"/>
      <w:sz w:val="28"/>
      <w:szCs w:val="24"/>
      <w:lang w:val="en-US" w:eastAsia="zh-CN" w:bidi="ar-SA"/>
    </w:rPr>
  </w:style>
  <w:style w:type="character" w:customStyle="1" w:styleId="102">
    <w:name w:val="标题 6 Char"/>
    <w:link w:val="9"/>
    <w:qFormat/>
    <w:uiPriority w:val="0"/>
    <w:rPr>
      <w:rFonts w:ascii="Arial" w:hAnsi="Arial"/>
      <w:sz w:val="28"/>
    </w:rPr>
  </w:style>
  <w:style w:type="character" w:customStyle="1" w:styleId="103">
    <w:name w:val="xxxxxx1"/>
    <w:qFormat/>
    <w:uiPriority w:val="0"/>
    <w:rPr>
      <w:rFonts w:hint="default"/>
      <w:sz w:val="18"/>
      <w:szCs w:val="18"/>
    </w:rPr>
  </w:style>
  <w:style w:type="character" w:customStyle="1" w:styleId="104">
    <w:name w:val="Char Char8"/>
    <w:qFormat/>
    <w:uiPriority w:val="0"/>
    <w:rPr>
      <w:rFonts w:ascii="宋体" w:hAnsi="Courier New" w:eastAsia="宋体"/>
      <w:kern w:val="2"/>
      <w:sz w:val="21"/>
      <w:lang w:val="en-US" w:eastAsia="zh-CN" w:bidi="ar-SA"/>
    </w:rPr>
  </w:style>
  <w:style w:type="character" w:customStyle="1" w:styleId="105">
    <w:name w:val="pagetitle1"/>
    <w:qFormat/>
    <w:uiPriority w:val="0"/>
    <w:rPr>
      <w:rFonts w:hint="default" w:ascii="ˎ̥" w:hAnsi="ˎ̥"/>
      <w:b/>
      <w:bCs/>
      <w:color w:val="FF5500"/>
      <w:sz w:val="24"/>
      <w:szCs w:val="24"/>
    </w:rPr>
  </w:style>
  <w:style w:type="character" w:customStyle="1" w:styleId="106">
    <w:name w:val="Char Char6"/>
    <w:qFormat/>
    <w:uiPriority w:val="0"/>
    <w:rPr>
      <w:rFonts w:eastAsia="宋体"/>
      <w:kern w:val="2"/>
      <w:sz w:val="21"/>
      <w:szCs w:val="24"/>
      <w:lang w:val="en-US" w:eastAsia="zh-CN" w:bidi="ar-SA"/>
    </w:rPr>
  </w:style>
  <w:style w:type="character" w:customStyle="1" w:styleId="107">
    <w:name w:val="批注框文本 Char"/>
    <w:qFormat/>
    <w:uiPriority w:val="0"/>
    <w:rPr>
      <w:kern w:val="2"/>
      <w:sz w:val="18"/>
      <w:szCs w:val="18"/>
    </w:rPr>
  </w:style>
  <w:style w:type="character" w:customStyle="1" w:styleId="108">
    <w:name w:val="style10"/>
    <w:basedOn w:val="47"/>
    <w:qFormat/>
    <w:uiPriority w:val="0"/>
  </w:style>
  <w:style w:type="character" w:customStyle="1" w:styleId="109">
    <w:name w:val="批注主题 Char"/>
    <w:qFormat/>
    <w:uiPriority w:val="0"/>
    <w:rPr>
      <w:b/>
      <w:bCs/>
      <w:kern w:val="2"/>
      <w:sz w:val="21"/>
      <w:szCs w:val="24"/>
    </w:rPr>
  </w:style>
  <w:style w:type="character" w:customStyle="1" w:styleId="110">
    <w:name w:val="报告正文 Char Char"/>
    <w:qFormat/>
    <w:uiPriority w:val="0"/>
    <w:rPr>
      <w:rFonts w:ascii="仿宋_GB2312" w:hAnsi="Courier New" w:eastAsia="仿宋_GB2312"/>
      <w:kern w:val="2"/>
      <w:sz w:val="28"/>
      <w:lang w:val="en-US" w:eastAsia="zh-CN" w:bidi="ar-SA"/>
    </w:rPr>
  </w:style>
  <w:style w:type="character" w:customStyle="1" w:styleId="111">
    <w:name w:val="标题 7 Char"/>
    <w:link w:val="10"/>
    <w:qFormat/>
    <w:uiPriority w:val="0"/>
    <w:rPr>
      <w:rFonts w:ascii="仿宋_GB2312" w:eastAsia="仿宋_GB2312"/>
      <w:spacing w:val="-12"/>
      <w:kern w:val="2"/>
      <w:sz w:val="28"/>
    </w:rPr>
  </w:style>
  <w:style w:type="character" w:customStyle="1" w:styleId="112">
    <w:name w:val="hangju"/>
    <w:basedOn w:val="47"/>
    <w:qFormat/>
    <w:uiPriority w:val="0"/>
  </w:style>
  <w:style w:type="character" w:customStyle="1" w:styleId="113">
    <w:name w:val="font31"/>
    <w:qFormat/>
    <w:uiPriority w:val="0"/>
    <w:rPr>
      <w:rFonts w:hint="eastAsia" w:ascii="宋体" w:hAnsi="宋体" w:eastAsia="宋体" w:cs="宋体"/>
      <w:color w:val="000000"/>
      <w:sz w:val="22"/>
      <w:szCs w:val="22"/>
    </w:rPr>
  </w:style>
  <w:style w:type="character" w:customStyle="1" w:styleId="114">
    <w:name w:val="报告正文 Char"/>
    <w:link w:val="115"/>
    <w:qFormat/>
    <w:uiPriority w:val="0"/>
    <w:rPr>
      <w:rFonts w:ascii="仿宋_GB2312" w:hAnsi="Courier New" w:eastAsia="仿宋_GB2312"/>
      <w:kern w:val="2"/>
      <w:sz w:val="28"/>
    </w:rPr>
  </w:style>
  <w:style w:type="paragraph" w:customStyle="1" w:styleId="115">
    <w:name w:val="报告正文"/>
    <w:basedOn w:val="1"/>
    <w:link w:val="114"/>
    <w:qFormat/>
    <w:uiPriority w:val="0"/>
    <w:pPr>
      <w:spacing w:line="500" w:lineRule="exact"/>
      <w:ind w:firstLine="567"/>
    </w:pPr>
    <w:rPr>
      <w:rFonts w:ascii="仿宋_GB2312" w:hAnsi="Courier New" w:eastAsia="仿宋_GB2312"/>
      <w:sz w:val="28"/>
    </w:rPr>
  </w:style>
  <w:style w:type="character" w:customStyle="1" w:styleId="116">
    <w:name w:val="Char Char Char1"/>
    <w:qFormat/>
    <w:uiPriority w:val="0"/>
    <w:rPr>
      <w:rFonts w:ascii="宋体" w:hAnsi="Courier New" w:eastAsia="宋体"/>
      <w:kern w:val="2"/>
      <w:sz w:val="28"/>
      <w:lang w:val="en-US" w:eastAsia="zh-CN" w:bidi="ar-SA"/>
    </w:rPr>
  </w:style>
  <w:style w:type="character" w:customStyle="1" w:styleId="117">
    <w:name w:val="apple-converted-space"/>
    <w:basedOn w:val="47"/>
    <w:qFormat/>
    <w:uiPriority w:val="0"/>
  </w:style>
  <w:style w:type="character" w:customStyle="1" w:styleId="118">
    <w:name w:val="Char Char5"/>
    <w:qFormat/>
    <w:uiPriority w:val="0"/>
    <w:rPr>
      <w:rFonts w:ascii="楷体_GB2312" w:eastAsia="楷体_GB2312"/>
      <w:bCs/>
      <w:kern w:val="2"/>
      <w:sz w:val="28"/>
      <w:szCs w:val="24"/>
      <w:lang w:val="en-US" w:eastAsia="zh-CN" w:bidi="ar-SA"/>
    </w:rPr>
  </w:style>
  <w:style w:type="character" w:customStyle="1" w:styleId="119">
    <w:name w:val="正文文本 Char"/>
    <w:link w:val="18"/>
    <w:qFormat/>
    <w:uiPriority w:val="0"/>
    <w:rPr>
      <w:rFonts w:eastAsia="仿宋_GB2312"/>
      <w:kern w:val="2"/>
      <w:sz w:val="28"/>
    </w:rPr>
  </w:style>
  <w:style w:type="character" w:customStyle="1" w:styleId="120">
    <w:name w:val="正文首行缩进 Char"/>
    <w:link w:val="44"/>
    <w:qFormat/>
    <w:uiPriority w:val="0"/>
    <w:rPr>
      <w:rFonts w:ascii="楷体_GB2312"/>
      <w:bCs/>
      <w:kern w:val="2"/>
      <w:sz w:val="21"/>
      <w:szCs w:val="24"/>
    </w:rPr>
  </w:style>
  <w:style w:type="character" w:customStyle="1" w:styleId="121">
    <w:name w:val="tcnt2"/>
    <w:basedOn w:val="47"/>
    <w:qFormat/>
    <w:uiPriority w:val="0"/>
  </w:style>
  <w:style w:type="character" w:customStyle="1" w:styleId="122">
    <w:name w:val="description4"/>
    <w:basedOn w:val="47"/>
    <w:qFormat/>
    <w:uiPriority w:val="0"/>
  </w:style>
  <w:style w:type="character" w:customStyle="1" w:styleId="123">
    <w:name w:val="font01"/>
    <w:qFormat/>
    <w:uiPriority w:val="0"/>
    <w:rPr>
      <w:rFonts w:hint="default" w:ascii="Times New Roman" w:hAnsi="Times New Roman" w:cs="Times New Roman"/>
      <w:color w:val="000000"/>
      <w:sz w:val="22"/>
      <w:szCs w:val="22"/>
      <w:vertAlign w:val="superscript"/>
    </w:rPr>
  </w:style>
  <w:style w:type="character" w:customStyle="1" w:styleId="124">
    <w:name w:val="Char Char31"/>
    <w:qFormat/>
    <w:locked/>
    <w:uiPriority w:val="0"/>
    <w:rPr>
      <w:rFonts w:ascii="仿宋_GB2312" w:eastAsia="仿宋_GB2312"/>
      <w:sz w:val="28"/>
      <w:lang w:val="en-US" w:eastAsia="zh-CN" w:bidi="ar-SA"/>
    </w:rPr>
  </w:style>
  <w:style w:type="character" w:customStyle="1" w:styleId="125">
    <w:name w:val="font21"/>
    <w:qFormat/>
    <w:uiPriority w:val="0"/>
    <w:rPr>
      <w:rFonts w:hint="eastAsia" w:ascii="宋体" w:hAnsi="宋体" w:eastAsia="宋体" w:cs="宋体"/>
      <w:color w:val="000000"/>
      <w:sz w:val="22"/>
      <w:szCs w:val="22"/>
    </w:rPr>
  </w:style>
  <w:style w:type="character" w:customStyle="1" w:styleId="126">
    <w:name w:val="t_tag"/>
    <w:basedOn w:val="47"/>
    <w:qFormat/>
    <w:uiPriority w:val="0"/>
  </w:style>
  <w:style w:type="character" w:customStyle="1" w:styleId="127">
    <w:name w:val="批注文字 Char"/>
    <w:qFormat/>
    <w:uiPriority w:val="0"/>
    <w:rPr>
      <w:kern w:val="2"/>
      <w:sz w:val="21"/>
      <w:szCs w:val="24"/>
    </w:rPr>
  </w:style>
  <w:style w:type="paragraph" w:customStyle="1" w:styleId="128">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29">
    <w:name w:val="p0"/>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30">
    <w:name w:val="2封面文字"/>
    <w:basedOn w:val="1"/>
    <w:qFormat/>
    <w:uiPriority w:val="0"/>
    <w:pPr>
      <w:spacing w:line="500" w:lineRule="exact"/>
      <w:ind w:left="641"/>
    </w:pPr>
    <w:rPr>
      <w:rFonts w:ascii="楷体_GB2312" w:hAnsi="Courier New" w:eastAsia="楷体_GB2312"/>
      <w:sz w:val="32"/>
    </w:rPr>
  </w:style>
  <w:style w:type="paragraph" w:customStyle="1" w:styleId="1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32">
    <w:name w:val="题注图注"/>
    <w:basedOn w:val="1"/>
    <w:qFormat/>
    <w:uiPriority w:val="0"/>
    <w:pPr>
      <w:wordWrap w:val="0"/>
      <w:adjustRightInd w:val="0"/>
      <w:snapToGrid w:val="0"/>
      <w:spacing w:beforeLines="50" w:afterLines="30" w:line="640" w:lineRule="exact"/>
      <w:jc w:val="center"/>
    </w:pPr>
    <w:rPr>
      <w:rFonts w:ascii="黑体" w:hAnsi="黑体" w:eastAsia="黑体"/>
      <w:kern w:val="0"/>
      <w:sz w:val="21"/>
      <w:szCs w:val="22"/>
    </w:rPr>
  </w:style>
  <w:style w:type="paragraph" w:customStyle="1" w:styleId="133">
    <w:name w:val="1"/>
    <w:basedOn w:val="1"/>
    <w:next w:val="21"/>
    <w:qFormat/>
    <w:uiPriority w:val="0"/>
    <w:pPr>
      <w:adjustRightInd w:val="0"/>
      <w:snapToGrid w:val="0"/>
      <w:spacing w:line="480" w:lineRule="exact"/>
      <w:ind w:left="315" w:right="18" w:hanging="315"/>
    </w:pPr>
    <w:rPr>
      <w:rFonts w:eastAsia="仿宋_GB2312"/>
      <w:sz w:val="28"/>
      <w:szCs w:val="24"/>
    </w:rPr>
  </w:style>
  <w:style w:type="paragraph" w:customStyle="1" w:styleId="13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bCs/>
      <w:color w:val="000000"/>
      <w:kern w:val="0"/>
      <w:szCs w:val="24"/>
    </w:rPr>
  </w:style>
  <w:style w:type="paragraph" w:customStyle="1" w:styleId="135">
    <w:name w:val="xl47"/>
    <w:basedOn w:val="1"/>
    <w:qFormat/>
    <w:uiPriority w:val="0"/>
    <w:pPr>
      <w:widowControl/>
      <w:pBdr>
        <w:left w:val="single" w:color="auto" w:sz="4" w:space="0"/>
      </w:pBdr>
      <w:spacing w:before="100" w:beforeAutospacing="1" w:after="100" w:afterAutospacing="1"/>
      <w:jc w:val="center"/>
      <w:textAlignment w:val="center"/>
    </w:pPr>
    <w:rPr>
      <w:color w:val="FF0000"/>
      <w:kern w:val="0"/>
      <w:sz w:val="21"/>
      <w:szCs w:val="21"/>
      <w:u w:val="single"/>
    </w:rPr>
  </w:style>
  <w:style w:type="paragraph" w:customStyle="1" w:styleId="136">
    <w:name w:val="5节"/>
    <w:basedOn w:val="115"/>
    <w:qFormat/>
    <w:uiPriority w:val="0"/>
    <w:pPr>
      <w:spacing w:line="500" w:lineRule="atLeast"/>
      <w:outlineLvl w:val="2"/>
    </w:pPr>
    <w:rPr>
      <w:rFonts w:hint="eastAsia"/>
    </w:rPr>
  </w:style>
  <w:style w:type="paragraph" w:customStyle="1" w:styleId="137">
    <w:name w:val="xl56"/>
    <w:basedOn w:val="1"/>
    <w:qFormat/>
    <w:uiPriority w:val="0"/>
    <w:pPr>
      <w:widowControl/>
      <w:pBdr>
        <w:top w:val="single" w:color="000000" w:sz="4" w:space="0"/>
        <w:left w:val="single" w:color="auto" w:sz="4" w:space="0"/>
        <w:bottom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38">
    <w:name w:val="房地产价值评估_正文"/>
    <w:basedOn w:val="1"/>
    <w:qFormat/>
    <w:uiPriority w:val="0"/>
    <w:pPr>
      <w:ind w:firstLine="560" w:firstLineChars="200"/>
    </w:pPr>
    <w:rPr>
      <w:rFonts w:ascii="仿宋_GB2312" w:hAnsi="宋体" w:eastAsia="仿宋_GB2312" w:cs="Courier New"/>
      <w:sz w:val="28"/>
      <w:szCs w:val="28"/>
    </w:rPr>
  </w:style>
  <w:style w:type="paragraph" w:customStyle="1" w:styleId="13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FF0000"/>
      <w:kern w:val="0"/>
      <w:sz w:val="21"/>
      <w:szCs w:val="21"/>
    </w:rPr>
  </w:style>
  <w:style w:type="paragraph" w:customStyle="1" w:styleId="140">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41">
    <w:name w:val="mt15"/>
    <w:basedOn w:val="1"/>
    <w:qFormat/>
    <w:uiPriority w:val="0"/>
    <w:pPr>
      <w:widowControl/>
      <w:spacing w:before="225" w:after="100" w:afterAutospacing="1"/>
      <w:jc w:val="left"/>
    </w:pPr>
    <w:rPr>
      <w:rFonts w:ascii="宋体" w:hAnsi="宋体" w:cs="宋体"/>
      <w:kern w:val="0"/>
      <w:szCs w:val="24"/>
    </w:rPr>
  </w:style>
  <w:style w:type="paragraph" w:customStyle="1" w:styleId="142">
    <w:name w:val="正文缩进(小四)"/>
    <w:basedOn w:val="1"/>
    <w:qFormat/>
    <w:uiPriority w:val="0"/>
    <w:pPr>
      <w:widowControl/>
      <w:spacing w:line="360" w:lineRule="auto"/>
      <w:ind w:firstLine="510"/>
    </w:pPr>
    <w:rPr>
      <w:spacing w:val="20"/>
      <w:kern w:val="0"/>
    </w:rPr>
  </w:style>
  <w:style w:type="paragraph" w:customStyle="1" w:styleId="143">
    <w:name w:val="xl40"/>
    <w:basedOn w:val="1"/>
    <w:qFormat/>
    <w:uiPriority w:val="0"/>
    <w:pPr>
      <w:widowControl/>
      <w:pBdr>
        <w:bottom w:val="single" w:color="000000" w:sz="4" w:space="0"/>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44">
    <w:name w:val="xl2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45">
    <w:name w:val="reader-word-layer reader-word-s2-4"/>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46">
    <w:name w:val="Char Char1"/>
    <w:basedOn w:val="1"/>
    <w:qFormat/>
    <w:uiPriority w:val="0"/>
    <w:rPr>
      <w:color w:val="000000"/>
      <w:kern w:val="1"/>
      <w:sz w:val="21"/>
      <w:szCs w:val="24"/>
    </w:rPr>
  </w:style>
  <w:style w:type="paragraph" w:customStyle="1" w:styleId="147">
    <w:name w:val="type shou"/>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48">
    <w:name w:val="xl48"/>
    <w:basedOn w:val="1"/>
    <w:qFormat/>
    <w:uiPriority w:val="0"/>
    <w:pPr>
      <w:widowControl/>
      <w:pBdr>
        <w:right w:val="single" w:color="auto" w:sz="4" w:space="0"/>
      </w:pBdr>
      <w:spacing w:before="100" w:beforeAutospacing="1" w:after="100" w:afterAutospacing="1"/>
      <w:jc w:val="center"/>
      <w:textAlignment w:val="center"/>
    </w:pPr>
    <w:rPr>
      <w:color w:val="FF0000"/>
      <w:kern w:val="0"/>
      <w:sz w:val="21"/>
      <w:szCs w:val="21"/>
      <w:u w:val="single"/>
    </w:rPr>
  </w:style>
  <w:style w:type="paragraph" w:customStyle="1" w:styleId="149">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color w:val="FF0000"/>
      <w:kern w:val="0"/>
      <w:sz w:val="21"/>
      <w:szCs w:val="21"/>
      <w:u w:val="single"/>
    </w:rPr>
  </w:style>
  <w:style w:type="paragraph" w:customStyle="1" w:styleId="150">
    <w:name w:val="xl53"/>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u w:val="single"/>
    </w:rPr>
  </w:style>
  <w:style w:type="paragraph" w:customStyle="1" w:styleId="151">
    <w:name w:val="二级标题"/>
    <w:basedOn w:val="24"/>
    <w:qFormat/>
    <w:uiPriority w:val="0"/>
    <w:pPr>
      <w:spacing w:line="600" w:lineRule="exact"/>
    </w:pPr>
    <w:rPr>
      <w:rFonts w:hAnsi="宋体"/>
      <w:b/>
      <w:sz w:val="30"/>
    </w:rPr>
  </w:style>
  <w:style w:type="paragraph" w:customStyle="1" w:styleId="152">
    <w:name w:val="一级标题"/>
    <w:basedOn w:val="24"/>
    <w:qFormat/>
    <w:uiPriority w:val="0"/>
    <w:pPr>
      <w:jc w:val="center"/>
    </w:pPr>
    <w:rPr>
      <w:rFonts w:hAnsi="宋体"/>
      <w:b/>
      <w:sz w:val="36"/>
    </w:rPr>
  </w:style>
  <w:style w:type="paragraph" w:customStyle="1" w:styleId="153">
    <w:name w:val="编号—列表"/>
    <w:basedOn w:val="1"/>
    <w:next w:val="1"/>
    <w:qFormat/>
    <w:uiPriority w:val="0"/>
    <w:pPr>
      <w:spacing w:line="500" w:lineRule="exact"/>
      <w:jc w:val="center"/>
    </w:pPr>
    <w:rPr>
      <w:sz w:val="18"/>
      <w:szCs w:val="24"/>
    </w:rPr>
  </w:style>
  <w:style w:type="paragraph" w:customStyle="1" w:styleId="154">
    <w:name w:val="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155">
    <w:name w:val="1封面报告名称"/>
    <w:basedOn w:val="1"/>
    <w:qFormat/>
    <w:uiPriority w:val="0"/>
    <w:pPr>
      <w:spacing w:before="360" w:after="240" w:line="240" w:lineRule="atLeast"/>
      <w:jc w:val="center"/>
    </w:pPr>
    <w:rPr>
      <w:rFonts w:ascii="宋体" w:hAnsi="Courier New"/>
      <w:b/>
      <w:color w:val="FF0000"/>
      <w:sz w:val="44"/>
    </w:rPr>
  </w:style>
  <w:style w:type="paragraph" w:customStyle="1" w:styleId="156">
    <w:name w:val="xl39"/>
    <w:basedOn w:val="1"/>
    <w:qFormat/>
    <w:uiPriority w:val="0"/>
    <w:pPr>
      <w:widowControl/>
      <w:pBdr>
        <w:left w:val="single" w:color="auto" w:sz="4" w:space="0"/>
        <w:bottom w:val="single" w:color="000000"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57">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58">
    <w:name w:val="默认段落字体 Para Char Char Char Char Char Char Char"/>
    <w:basedOn w:val="1"/>
    <w:qFormat/>
    <w:uiPriority w:val="0"/>
    <w:rPr>
      <w:rFonts w:ascii="Tahoma" w:hAnsi="Tahoma"/>
    </w:rPr>
  </w:style>
  <w:style w:type="paragraph" w:customStyle="1" w:styleId="159">
    <w:name w:val="_Style 9"/>
    <w:basedOn w:val="1"/>
    <w:qFormat/>
    <w:uiPriority w:val="0"/>
    <w:rPr>
      <w:sz w:val="21"/>
      <w:szCs w:val="24"/>
    </w:rPr>
  </w:style>
  <w:style w:type="paragraph" w:customStyle="1" w:styleId="16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1"/>
      <w:szCs w:val="21"/>
    </w:rPr>
  </w:style>
  <w:style w:type="paragraph" w:customStyle="1" w:styleId="161">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62">
    <w:name w:val="xl4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color w:val="FF0000"/>
      <w:kern w:val="0"/>
      <w:sz w:val="21"/>
      <w:szCs w:val="21"/>
    </w:rPr>
  </w:style>
  <w:style w:type="paragraph" w:customStyle="1" w:styleId="163">
    <w:name w:val="Char"/>
    <w:basedOn w:val="1"/>
    <w:qFormat/>
    <w:uiPriority w:val="0"/>
    <w:rPr>
      <w:rFonts w:ascii="Tahoma" w:hAnsi="Tahoma"/>
    </w:rPr>
  </w:style>
  <w:style w:type="paragraph" w:customStyle="1" w:styleId="164">
    <w:name w:val="font6"/>
    <w:basedOn w:val="1"/>
    <w:qFormat/>
    <w:uiPriority w:val="0"/>
    <w:pPr>
      <w:widowControl/>
      <w:spacing w:before="100" w:beforeAutospacing="1" w:after="100" w:afterAutospacing="1"/>
      <w:jc w:val="left"/>
    </w:pPr>
    <w:rPr>
      <w:kern w:val="0"/>
      <w:szCs w:val="24"/>
    </w:rPr>
  </w:style>
  <w:style w:type="paragraph" w:customStyle="1" w:styleId="165">
    <w:name w:val="xl3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66">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1"/>
      <w:szCs w:val="21"/>
    </w:rPr>
  </w:style>
  <w:style w:type="paragraph" w:customStyle="1" w:styleId="167">
    <w:name w:val="3正文报告名称"/>
    <w:basedOn w:val="155"/>
    <w:qFormat/>
    <w:uiPriority w:val="0"/>
    <w:pPr>
      <w:outlineLvl w:val="0"/>
    </w:pPr>
    <w:rPr>
      <w:kern w:val="0"/>
      <w:sz w:val="32"/>
    </w:rPr>
  </w:style>
  <w:style w:type="paragraph" w:customStyle="1" w:styleId="168">
    <w:name w:val="xl50"/>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69">
    <w:name w:val="xl44"/>
    <w:basedOn w:val="1"/>
    <w:qFormat/>
    <w:uiPriority w:val="0"/>
    <w:pPr>
      <w:widowControl/>
      <w:pBdr>
        <w:top w:val="single" w:color="000000" w:sz="4" w:space="0"/>
        <w:lef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70">
    <w:name w:val="xl4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color w:val="FF0000"/>
      <w:kern w:val="0"/>
      <w:sz w:val="21"/>
      <w:szCs w:val="21"/>
    </w:rPr>
  </w:style>
  <w:style w:type="paragraph" w:customStyle="1" w:styleId="171">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u w:val="single"/>
    </w:rPr>
  </w:style>
  <w:style w:type="paragraph" w:customStyle="1" w:styleId="172">
    <w:name w:val="4部分标题"/>
    <w:basedOn w:val="1"/>
    <w:qFormat/>
    <w:uiPriority w:val="0"/>
    <w:pPr>
      <w:spacing w:before="240" w:after="240" w:line="240" w:lineRule="atLeast"/>
      <w:jc w:val="center"/>
      <w:outlineLvl w:val="1"/>
    </w:pPr>
    <w:rPr>
      <w:rFonts w:ascii="宋体" w:hAnsi="Courier New"/>
      <w:b/>
      <w:color w:val="0000FF"/>
      <w:sz w:val="32"/>
    </w:rPr>
  </w:style>
  <w:style w:type="paragraph" w:customStyle="1" w:styleId="173">
    <w:name w:val="Char1"/>
    <w:basedOn w:val="1"/>
    <w:qFormat/>
    <w:uiPriority w:val="0"/>
    <w:pPr>
      <w:widowControl/>
      <w:spacing w:after="160" w:line="240" w:lineRule="exact"/>
      <w:jc w:val="left"/>
    </w:pPr>
    <w:rPr>
      <w:rFonts w:ascii="Verdana" w:hAnsi="Verdana"/>
      <w:kern w:val="0"/>
      <w:sz w:val="20"/>
      <w:lang w:eastAsia="en-US"/>
    </w:rPr>
  </w:style>
  <w:style w:type="paragraph" w:customStyle="1" w:styleId="174">
    <w:name w:val="xl51"/>
    <w:basedOn w:val="1"/>
    <w:qFormat/>
    <w:uiPriority w:val="0"/>
    <w:pPr>
      <w:widowControl/>
      <w:pBdr>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u w:val="single"/>
    </w:rPr>
  </w:style>
  <w:style w:type="paragraph" w:customStyle="1" w:styleId="175">
    <w:name w:val="Char1 Char Char Char Char Char Char"/>
    <w:basedOn w:val="1"/>
    <w:qFormat/>
    <w:uiPriority w:val="0"/>
    <w:pPr>
      <w:spacing w:line="360" w:lineRule="auto"/>
      <w:ind w:firstLine="200" w:firstLineChars="200"/>
    </w:pPr>
    <w:rPr>
      <w:rFonts w:ascii="宋体" w:hAnsi="宋体" w:cs="宋体"/>
      <w:szCs w:val="24"/>
    </w:rPr>
  </w:style>
  <w:style w:type="paragraph" w:customStyle="1" w:styleId="176">
    <w:name w:val="表格文字"/>
    <w:basedOn w:val="1"/>
    <w:qFormat/>
    <w:uiPriority w:val="0"/>
    <w:pPr>
      <w:jc w:val="center"/>
    </w:pPr>
    <w:rPr>
      <w:sz w:val="18"/>
      <w:szCs w:val="24"/>
    </w:rPr>
  </w:style>
  <w:style w:type="paragraph" w:customStyle="1" w:styleId="177">
    <w:name w:val="Char Char6 Char Char Char Char"/>
    <w:basedOn w:val="1"/>
    <w:qFormat/>
    <w:uiPriority w:val="0"/>
    <w:rPr>
      <w:sz w:val="21"/>
      <w:szCs w:val="24"/>
    </w:rPr>
  </w:style>
  <w:style w:type="paragraph" w:customStyle="1" w:styleId="178">
    <w:name w:val="xl5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u w:val="single"/>
    </w:rPr>
  </w:style>
  <w:style w:type="paragraph" w:customStyle="1" w:styleId="179">
    <w:name w:val="xl37"/>
    <w:basedOn w:val="1"/>
    <w:qFormat/>
    <w:uiPriority w:val="0"/>
    <w:pPr>
      <w:widowControl/>
      <w:pBdr>
        <w:top w:val="single" w:color="auto" w:sz="4" w:space="0"/>
        <w:right w:val="single" w:color="auto" w:sz="4" w:space="0"/>
      </w:pBdr>
      <w:spacing w:before="100" w:beforeAutospacing="1" w:after="100" w:afterAutospacing="1"/>
      <w:jc w:val="center"/>
      <w:textAlignment w:val="center"/>
    </w:pPr>
    <w:rPr>
      <w:color w:val="FF0000"/>
      <w:kern w:val="0"/>
      <w:sz w:val="21"/>
      <w:szCs w:val="21"/>
      <w:u w:val="single"/>
    </w:rPr>
  </w:style>
  <w:style w:type="paragraph" w:customStyle="1" w:styleId="180">
    <w:name w:val="reader-word-layer reader-word-s1-16"/>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81">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182">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83">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8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 w:type="paragraph" w:customStyle="1" w:styleId="185">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olor w:val="000000"/>
      <w:kern w:val="0"/>
      <w:sz w:val="21"/>
      <w:szCs w:val="21"/>
    </w:rPr>
  </w:style>
  <w:style w:type="paragraph" w:customStyle="1" w:styleId="186">
    <w:name w:val="Char3"/>
    <w:basedOn w:val="1"/>
    <w:qFormat/>
    <w:uiPriority w:val="0"/>
    <w:rPr>
      <w:rFonts w:ascii="Tahoma" w:hAnsi="Tahoma"/>
    </w:rPr>
  </w:style>
  <w:style w:type="paragraph" w:customStyle="1" w:styleId="18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8">
    <w:name w:val="xl52"/>
    <w:basedOn w:val="1"/>
    <w:qFormat/>
    <w:uiPriority w:val="0"/>
    <w:pPr>
      <w:widowControl/>
      <w:pBdr>
        <w:lef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u w:val="single"/>
    </w:rPr>
  </w:style>
  <w:style w:type="paragraph" w:customStyle="1" w:styleId="189">
    <w:name w:val="章"/>
    <w:basedOn w:val="1"/>
    <w:next w:val="1"/>
    <w:qFormat/>
    <w:uiPriority w:val="0"/>
    <w:pPr>
      <w:spacing w:beforeLines="100"/>
      <w:jc w:val="center"/>
    </w:pPr>
    <w:rPr>
      <w:rFonts w:ascii="Arial" w:hAnsi="Arial" w:cs="Arial"/>
      <w:b/>
      <w:bCs/>
      <w:sz w:val="32"/>
      <w:szCs w:val="32"/>
    </w:rPr>
  </w:style>
  <w:style w:type="paragraph" w:customStyle="1" w:styleId="190">
    <w:name w:val="xl45"/>
    <w:basedOn w:val="1"/>
    <w:qFormat/>
    <w:uiPriority w:val="0"/>
    <w:pPr>
      <w:widowControl/>
      <w:pBdr>
        <w:top w:val="single" w:color="000000" w:sz="4" w:space="0"/>
        <w:right w:val="single" w:color="auto" w:sz="4" w:space="0"/>
      </w:pBdr>
      <w:spacing w:before="100" w:beforeAutospacing="1" w:after="100" w:afterAutospacing="1"/>
      <w:jc w:val="center"/>
      <w:textAlignment w:val="center"/>
    </w:pPr>
    <w:rPr>
      <w:rFonts w:hint="eastAsia" w:ascii="楷体_GB2312" w:hAnsi="宋体" w:eastAsia="楷体_GB2312"/>
      <w:color w:val="FF0000"/>
      <w:kern w:val="0"/>
      <w:sz w:val="21"/>
      <w:szCs w:val="21"/>
    </w:rPr>
  </w:style>
  <w:style w:type="paragraph" w:customStyle="1" w:styleId="19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2825;&#22307;\&#12304;2022&#12305;\&#12304;&#25151;&#65288;2022&#65289;&#31532;007&#21495;&#12305;2022.1.17--&#21688;&#23433;&#21306;&#20154;&#27665;&#27861;&#38498;--&#21016;&#31179;&#33714;&#12289;&#26446;&#27704;&#32418;-&#38182;&#26216;&#33457;&#22253;\007&#21495;-&#21016;&#31179;&#36830;&#12289;&#26446;&#27704;&#32418;&#65288;&#38182;&#26216;&#33457;&#22253;&#65289;-&#20303;&#23429;&#21496;&#27861;&#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007号-刘秋连、李永红（锦晨花园）-住宅司法报告.docx</Template>
  <Pages>48</Pages>
  <Words>27033</Words>
  <Characters>30183</Characters>
  <Lines>255</Lines>
  <Paragraphs>71</Paragraphs>
  <TotalTime>1</TotalTime>
  <ScaleCrop>false</ScaleCrop>
  <LinksUpToDate>false</LinksUpToDate>
  <CharactersWithSpaces>30377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2022-03-15T08:19:00Z</dcterms:created>
  <dc:creator>Administrator</dc:creator>
  <cp:lastModifiedBy>Administrator</cp:lastModifiedBy>
  <dcterms:modified xsi:type="dcterms:W3CDTF">2022-04-13T07:34:31Z</dcterms:modified>
  <dc:title>房地产估价报告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5251A6979C444C6EA3CA7883EB0C5F0F</vt:lpwstr>
  </property>
</Properties>
</file>