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auto"/>
          <w:sz w:val="84"/>
          <w:szCs w:val="84"/>
          <w:highlight w:val="none"/>
        </w:rPr>
      </w:pPr>
      <w:bookmarkStart w:id="44" w:name="_GoBack"/>
      <w:bookmarkStart w:id="0" w:name="_Toc14766"/>
    </w:p>
    <w:p>
      <w:pPr>
        <w:jc w:val="center"/>
        <w:rPr>
          <w:rFonts w:hint="eastAsia" w:ascii="宋体" w:hAnsi="宋体"/>
          <w:color w:val="auto"/>
          <w:sz w:val="52"/>
          <w:szCs w:val="52"/>
          <w:highlight w:val="none"/>
        </w:rPr>
      </w:pPr>
      <w:r>
        <w:rPr>
          <w:rFonts w:hint="eastAsia" w:ascii="宋体" w:hAnsi="宋体"/>
          <w:color w:val="auto"/>
          <w:sz w:val="52"/>
          <w:szCs w:val="52"/>
          <w:highlight w:val="none"/>
          <w:lang w:eastAsia="zh-CN"/>
        </w:rPr>
        <w:t>涉执</w:t>
      </w:r>
      <w:r>
        <w:rPr>
          <w:rFonts w:hint="eastAsia" w:ascii="宋体" w:hAnsi="宋体"/>
          <w:color w:val="auto"/>
          <w:sz w:val="52"/>
          <w:szCs w:val="52"/>
          <w:highlight w:val="none"/>
        </w:rPr>
        <w:t>房地产</w:t>
      </w:r>
      <w:r>
        <w:rPr>
          <w:rFonts w:hint="eastAsia" w:ascii="宋体" w:hAnsi="宋体"/>
          <w:color w:val="auto"/>
          <w:sz w:val="52"/>
          <w:szCs w:val="52"/>
          <w:highlight w:val="none"/>
          <w:lang w:eastAsia="zh-CN"/>
        </w:rPr>
        <w:t>处置司法</w:t>
      </w:r>
      <w:r>
        <w:rPr>
          <w:rFonts w:hint="eastAsia" w:ascii="宋体" w:hAnsi="宋体"/>
          <w:color w:val="auto"/>
          <w:sz w:val="52"/>
          <w:szCs w:val="52"/>
          <w:highlight w:val="none"/>
        </w:rPr>
        <w:t>估价报告</w:t>
      </w:r>
    </w:p>
    <w:p>
      <w:pPr>
        <w:spacing w:line="2" w:lineRule="atLeast"/>
        <w:ind w:left="1000" w:leftChars="476" w:firstLine="640" w:firstLineChars="200"/>
        <w:rPr>
          <w:rFonts w:hint="eastAsia" w:ascii="宋体" w:hAnsi="宋体"/>
          <w:color w:val="auto"/>
          <w:sz w:val="32"/>
          <w:szCs w:val="32"/>
          <w:highlight w:val="none"/>
        </w:rPr>
      </w:pPr>
    </w:p>
    <w:p>
      <w:pPr>
        <w:spacing w:line="2" w:lineRule="atLeast"/>
        <w:ind w:left="1000" w:leftChars="476" w:firstLine="416" w:firstLineChars="130"/>
        <w:rPr>
          <w:rFonts w:hint="eastAsia" w:ascii="宋体" w:hAnsi="宋体"/>
          <w:color w:val="auto"/>
          <w:sz w:val="32"/>
          <w:szCs w:val="32"/>
          <w:highlight w:val="none"/>
          <w:lang w:val="en-US" w:eastAsia="zh-CN"/>
        </w:rPr>
      </w:pPr>
      <w:r>
        <w:rPr>
          <w:rFonts w:hint="eastAsia" w:ascii="宋体" w:hAnsi="宋体"/>
          <w:color w:val="auto"/>
          <w:sz w:val="32"/>
          <w:szCs w:val="32"/>
          <w:highlight w:val="none"/>
        </w:rPr>
        <w:t>内中博房地估字〔20</w:t>
      </w:r>
      <w:r>
        <w:rPr>
          <w:rFonts w:hint="eastAsia" w:ascii="宋体" w:hAnsi="宋体"/>
          <w:color w:val="auto"/>
          <w:sz w:val="32"/>
          <w:szCs w:val="32"/>
          <w:highlight w:val="none"/>
          <w:lang w:val="en-US" w:eastAsia="zh-CN"/>
        </w:rPr>
        <w:t>22</w:t>
      </w:r>
      <w:r>
        <w:rPr>
          <w:rFonts w:hint="eastAsia" w:ascii="宋体" w:hAnsi="宋体"/>
          <w:color w:val="auto"/>
          <w:sz w:val="32"/>
          <w:szCs w:val="32"/>
          <w:highlight w:val="none"/>
        </w:rPr>
        <w:t>〕第</w:t>
      </w:r>
      <w:r>
        <w:rPr>
          <w:rFonts w:hint="eastAsia" w:ascii="宋体" w:hAnsi="宋体"/>
          <w:color w:val="auto"/>
          <w:sz w:val="32"/>
          <w:szCs w:val="32"/>
          <w:highlight w:val="none"/>
          <w:lang w:val="en-US" w:eastAsia="zh-CN"/>
        </w:rPr>
        <w:t>0062号</w:t>
      </w:r>
    </w:p>
    <w:p>
      <w:pPr>
        <w:spacing w:line="2" w:lineRule="atLeast"/>
        <w:ind w:left="2880" w:hanging="2880" w:hangingChars="900"/>
        <w:rPr>
          <w:rFonts w:hint="eastAsia" w:ascii="宋体" w:hAnsi="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 w:lineRule="atLeast"/>
        <w:ind w:left="2688" w:hanging="2688" w:hangingChars="715"/>
        <w:textAlignment w:val="auto"/>
        <w:rPr>
          <w:rFonts w:hint="eastAsia" w:ascii="宋体" w:hAnsi="宋体" w:eastAsia="宋体" w:cs="宋体"/>
          <w:color w:val="auto"/>
          <w:sz w:val="32"/>
          <w:szCs w:val="32"/>
          <w:highlight w:val="none"/>
        </w:rPr>
      </w:pPr>
      <w:r>
        <w:rPr>
          <w:rFonts w:hint="eastAsia" w:ascii="宋体" w:hAnsi="宋体" w:eastAsia="宋体" w:cs="宋体"/>
          <w:color w:val="auto"/>
          <w:spacing w:val="28"/>
          <w:sz w:val="32"/>
          <w:szCs w:val="32"/>
          <w:highlight w:val="none"/>
        </w:rPr>
        <w:t>估价项目名称</w:t>
      </w:r>
      <w:r>
        <w:rPr>
          <w:rFonts w:hint="eastAsia" w:ascii="宋体" w:hAnsi="宋体" w:eastAsia="宋体" w:cs="宋体"/>
          <w:color w:val="auto"/>
          <w:spacing w:val="62"/>
          <w:sz w:val="32"/>
          <w:szCs w:val="32"/>
          <w:highlight w:val="none"/>
        </w:rPr>
        <w:t>：</w:t>
      </w:r>
      <w:r>
        <w:rPr>
          <w:rFonts w:hint="eastAsia" w:ascii="宋体" w:hAnsi="宋体" w:eastAsia="宋体" w:cs="宋体"/>
          <w:color w:val="auto"/>
          <w:sz w:val="32"/>
          <w:szCs w:val="32"/>
          <w:highlight w:val="none"/>
          <w:lang w:eastAsia="zh-CN"/>
        </w:rPr>
        <w:t>鄂尔多斯市乌审旗嘎鲁图镇六区鸿沁街南、青达路西汇丰家园</w:t>
      </w:r>
      <w:r>
        <w:rPr>
          <w:rFonts w:hint="eastAsia" w:ascii="宋体" w:hAnsi="宋体" w:eastAsia="宋体" w:cs="宋体"/>
          <w:color w:val="auto"/>
          <w:sz w:val="32"/>
          <w:szCs w:val="32"/>
          <w:highlight w:val="none"/>
          <w:lang w:val="en-US" w:eastAsia="zh-CN"/>
        </w:rPr>
        <w:t>8#住宅楼-1-301室</w:t>
      </w:r>
      <w:r>
        <w:rPr>
          <w:rFonts w:hint="eastAsia" w:ascii="宋体" w:hAnsi="宋体" w:eastAsia="宋体" w:cs="宋体"/>
          <w:color w:val="auto"/>
          <w:sz w:val="32"/>
          <w:szCs w:val="32"/>
          <w:highlight w:val="none"/>
        </w:rPr>
        <w:t>住宅房地产市场价值评估</w:t>
      </w:r>
    </w:p>
    <w:p>
      <w:pPr>
        <w:spacing w:line="2" w:lineRule="atLeast"/>
        <w:ind w:left="2675" w:hanging="2675" w:hangingChars="836"/>
        <w:rPr>
          <w:rFonts w:hint="eastAsia" w:ascii="宋体" w:hAnsi="宋体" w:eastAsia="宋体" w:cs="宋体"/>
          <w:color w:val="auto"/>
          <w:sz w:val="32"/>
          <w:szCs w:val="32"/>
          <w:highlight w:val="none"/>
        </w:rPr>
      </w:pPr>
    </w:p>
    <w:p>
      <w:pPr>
        <w:spacing w:line="2" w:lineRule="atLeast"/>
        <w:ind w:left="2675" w:hanging="3711" w:hangingChars="836"/>
        <w:rPr>
          <w:rFonts w:hint="eastAsia" w:ascii="宋体" w:hAnsi="宋体" w:eastAsia="宋体" w:cs="宋体"/>
          <w:color w:val="auto"/>
          <w:sz w:val="32"/>
          <w:szCs w:val="32"/>
          <w:highlight w:val="none"/>
        </w:rPr>
      </w:pPr>
      <w:r>
        <w:rPr>
          <w:rFonts w:hint="eastAsia" w:ascii="宋体" w:hAnsi="宋体" w:eastAsia="宋体" w:cs="宋体"/>
          <w:color w:val="auto"/>
          <w:spacing w:val="62"/>
          <w:sz w:val="32"/>
          <w:szCs w:val="32"/>
          <w:highlight w:val="none"/>
        </w:rPr>
        <w:t>估价委托人：</w:t>
      </w:r>
      <w:r>
        <w:rPr>
          <w:rFonts w:hint="eastAsia" w:ascii="宋体" w:hAnsi="宋体" w:eastAsia="宋体" w:cs="宋体"/>
          <w:color w:val="auto"/>
          <w:sz w:val="32"/>
          <w:szCs w:val="32"/>
          <w:highlight w:val="none"/>
          <w:lang w:eastAsia="zh-CN"/>
        </w:rPr>
        <w:t>巴彦淖尔市临河区人民法院</w:t>
      </w:r>
    </w:p>
    <w:p>
      <w:pPr>
        <w:spacing w:line="600" w:lineRule="exact"/>
        <w:rPr>
          <w:rFonts w:hint="eastAsia" w:ascii="宋体" w:hAnsi="宋体" w:eastAsia="宋体" w:cs="宋体"/>
          <w:color w:val="auto"/>
          <w:sz w:val="32"/>
          <w:szCs w:val="32"/>
          <w:highlight w:val="none"/>
        </w:rPr>
      </w:pPr>
    </w:p>
    <w:p>
      <w:pPr>
        <w:spacing w:line="2" w:lineRule="atLeas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房地产估价机构</w:t>
      </w:r>
      <w:r>
        <w:rPr>
          <w:rFonts w:hint="eastAsia" w:ascii="宋体" w:hAnsi="宋体" w:eastAsia="宋体" w:cs="宋体"/>
          <w:color w:val="auto"/>
          <w:spacing w:val="62"/>
          <w:sz w:val="32"/>
          <w:szCs w:val="32"/>
          <w:highlight w:val="none"/>
        </w:rPr>
        <w:t>：</w:t>
      </w:r>
      <w:r>
        <w:rPr>
          <w:rFonts w:hint="eastAsia" w:ascii="宋体" w:hAnsi="宋体" w:eastAsia="宋体" w:cs="宋体"/>
          <w:color w:val="auto"/>
          <w:sz w:val="32"/>
          <w:szCs w:val="32"/>
          <w:highlight w:val="none"/>
        </w:rPr>
        <w:t>内蒙古中博房地产价格评估有限责任公司</w:t>
      </w:r>
    </w:p>
    <w:p>
      <w:pPr>
        <w:spacing w:line="2" w:lineRule="atLeast"/>
        <w:rPr>
          <w:rFonts w:hint="eastAsia" w:ascii="宋体" w:hAnsi="宋体" w:eastAsia="宋体" w:cs="宋体"/>
          <w:color w:val="auto"/>
          <w:sz w:val="32"/>
          <w:szCs w:val="32"/>
          <w:highlight w:val="none"/>
        </w:rPr>
      </w:pPr>
    </w:p>
    <w:p>
      <w:pPr>
        <w:spacing w:line="2" w:lineRule="atLeas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注册房地产估价师：</w:t>
      </w:r>
      <w:r>
        <w:rPr>
          <w:rFonts w:hint="eastAsia" w:ascii="宋体" w:hAnsi="宋体" w:eastAsia="宋体" w:cs="宋体"/>
          <w:color w:val="auto"/>
          <w:sz w:val="32"/>
          <w:szCs w:val="32"/>
          <w:highlight w:val="none"/>
          <w:lang w:eastAsia="zh-CN"/>
        </w:rPr>
        <w:t>刘晓娜</w:t>
      </w:r>
      <w:r>
        <w:rPr>
          <w:rFonts w:hint="eastAsia" w:ascii="宋体" w:hAnsi="宋体" w:eastAsia="宋体" w:cs="宋体"/>
          <w:color w:val="auto"/>
          <w:sz w:val="32"/>
          <w:szCs w:val="32"/>
          <w:highlight w:val="none"/>
        </w:rPr>
        <w:t xml:space="preserve">  注册号：</w:t>
      </w:r>
      <w:r>
        <w:rPr>
          <w:rFonts w:hint="eastAsia" w:ascii="宋体" w:hAnsi="宋体" w:eastAsia="宋体" w:cs="宋体"/>
          <w:color w:val="auto"/>
          <w:sz w:val="32"/>
          <w:szCs w:val="32"/>
          <w:highlight w:val="none"/>
          <w:lang w:eastAsia="zh-CN"/>
        </w:rPr>
        <w:t>1520190066</w:t>
      </w:r>
    </w:p>
    <w:p>
      <w:pPr>
        <w:spacing w:line="2" w:lineRule="atLeast"/>
        <w:ind w:firstLine="2720" w:firstLineChars="85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李永秀  注册号：1520060018</w:t>
      </w:r>
    </w:p>
    <w:p>
      <w:pPr>
        <w:spacing w:line="2" w:lineRule="atLeast"/>
        <w:rPr>
          <w:rFonts w:hint="eastAsia" w:ascii="宋体" w:hAnsi="宋体"/>
          <w:color w:val="auto"/>
          <w:sz w:val="32"/>
          <w:szCs w:val="32"/>
          <w:highlight w:val="none"/>
        </w:rPr>
      </w:pPr>
    </w:p>
    <w:p>
      <w:pPr>
        <w:spacing w:line="2" w:lineRule="atLeast"/>
        <w:rPr>
          <w:rFonts w:hint="eastAsia" w:ascii="宋体" w:hAnsi="宋体"/>
          <w:color w:val="auto"/>
          <w:sz w:val="32"/>
          <w:szCs w:val="32"/>
          <w:highlight w:val="none"/>
        </w:rPr>
      </w:pPr>
      <w:r>
        <w:rPr>
          <w:rFonts w:hint="eastAsia" w:ascii="宋体" w:hAnsi="宋体"/>
          <w:color w:val="auto"/>
          <w:sz w:val="32"/>
          <w:szCs w:val="32"/>
          <w:highlight w:val="none"/>
        </w:rPr>
        <w:t>估价报告出具日期：</w:t>
      </w:r>
      <w:r>
        <w:rPr>
          <w:rFonts w:hint="eastAsia" w:ascii="宋体" w:hAnsi="宋体"/>
          <w:color w:val="auto"/>
          <w:sz w:val="32"/>
          <w:szCs w:val="32"/>
          <w:highlight w:val="none"/>
          <w:lang w:eastAsia="zh-CN"/>
        </w:rPr>
        <w:t>2022年1月26日</w:t>
      </w:r>
    </w:p>
    <w:p>
      <w:pPr>
        <w:spacing w:line="580" w:lineRule="exact"/>
        <w:jc w:val="center"/>
        <w:rPr>
          <w:rFonts w:hint="eastAsia" w:ascii="宋体" w:hAnsi="宋体" w:cs="宋体" w:eastAsiaTheme="minorEastAsia"/>
          <w:color w:val="auto"/>
          <w:spacing w:val="113"/>
          <w:sz w:val="44"/>
          <w:szCs w:val="44"/>
          <w:highlight w:val="none"/>
        </w:rPr>
      </w:pPr>
      <w:r>
        <w:rPr>
          <w:rFonts w:hint="eastAsia" w:ascii="宋体" w:hAnsi="宋体" w:cs="宋体"/>
          <w:color w:val="auto"/>
          <w:sz w:val="44"/>
          <w:szCs w:val="44"/>
          <w:highlight w:val="none"/>
        </w:rPr>
        <w:br w:type="page"/>
      </w:r>
      <w:r>
        <w:rPr>
          <w:rFonts w:hint="eastAsia" w:ascii="宋体" w:hAnsi="宋体" w:cs="宋体" w:eastAsiaTheme="minorEastAsia"/>
          <w:color w:val="auto"/>
          <w:spacing w:val="113"/>
          <w:sz w:val="44"/>
          <w:szCs w:val="44"/>
          <w:highlight w:val="none"/>
        </w:rPr>
        <w:t>致估价委托人函</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巴彦淖尔市临河区人民法院：</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贵院移送的[（2021）内0802执恢1149号]评估委托案件，</w:t>
      </w:r>
      <w:r>
        <w:rPr>
          <w:rFonts w:hint="eastAsia" w:ascii="宋体" w:hAnsi="宋体" w:eastAsia="宋体" w:cs="宋体"/>
          <w:color w:val="auto"/>
          <w:sz w:val="28"/>
          <w:szCs w:val="28"/>
          <w:highlight w:val="none"/>
          <w:lang w:eastAsia="zh-CN"/>
        </w:rPr>
        <w:t>委托</w:t>
      </w:r>
      <w:r>
        <w:rPr>
          <w:rFonts w:hint="eastAsia" w:ascii="宋体" w:hAnsi="宋体" w:eastAsia="宋体" w:cs="宋体"/>
          <w:color w:val="auto"/>
          <w:sz w:val="28"/>
          <w:szCs w:val="28"/>
          <w:highlight w:val="none"/>
        </w:rPr>
        <w:t>我公司对该案件中</w:t>
      </w:r>
      <w:r>
        <w:rPr>
          <w:rFonts w:hint="eastAsia" w:ascii="宋体" w:hAnsi="宋体" w:cs="宋体"/>
          <w:color w:val="auto"/>
          <w:sz w:val="28"/>
          <w:szCs w:val="28"/>
          <w:highlight w:val="none"/>
          <w:lang w:eastAsia="zh-CN"/>
        </w:rPr>
        <w:t>蔺风梅所有</w:t>
      </w:r>
      <w:r>
        <w:rPr>
          <w:rFonts w:hint="eastAsia" w:ascii="宋体" w:hAnsi="宋体" w:eastAsia="宋体" w:cs="宋体"/>
          <w:color w:val="auto"/>
          <w:sz w:val="28"/>
          <w:szCs w:val="28"/>
          <w:highlight w:val="none"/>
        </w:rPr>
        <w:t>的位于</w:t>
      </w:r>
      <w:r>
        <w:rPr>
          <w:rFonts w:hint="eastAsia" w:ascii="宋体" w:hAnsi="宋体" w:eastAsia="宋体" w:cs="宋体"/>
          <w:color w:val="auto"/>
          <w:sz w:val="28"/>
          <w:szCs w:val="28"/>
          <w:highlight w:val="none"/>
          <w:lang w:eastAsia="zh-CN"/>
        </w:rPr>
        <w:t>鄂尔多斯市</w:t>
      </w:r>
      <w:r>
        <w:rPr>
          <w:rFonts w:hint="eastAsia" w:ascii="宋体" w:hAnsi="宋体" w:eastAsia="宋体" w:cs="宋体"/>
          <w:color w:val="auto"/>
          <w:sz w:val="28"/>
          <w:szCs w:val="28"/>
          <w:highlight w:val="none"/>
          <w:lang w:eastAsia="zh-CN"/>
        </w:rPr>
        <w:t>乌审旗嘎鲁图镇</w:t>
      </w:r>
      <w:r>
        <w:rPr>
          <w:rFonts w:hint="eastAsia" w:ascii="宋体" w:hAnsi="宋体" w:cs="宋体"/>
          <w:color w:val="auto"/>
          <w:sz w:val="28"/>
          <w:szCs w:val="28"/>
          <w:highlight w:val="none"/>
          <w:lang w:eastAsia="zh-CN"/>
        </w:rPr>
        <w:t>六区鸿沁街南、青达路西汇丰家园</w:t>
      </w:r>
      <w:r>
        <w:rPr>
          <w:rFonts w:hint="eastAsia" w:ascii="宋体" w:hAnsi="宋体" w:cs="宋体"/>
          <w:color w:val="auto"/>
          <w:sz w:val="28"/>
          <w:szCs w:val="28"/>
          <w:highlight w:val="none"/>
          <w:lang w:val="en-US" w:eastAsia="zh-CN"/>
        </w:rPr>
        <w:t>8#住宅楼-1-301室</w:t>
      </w:r>
      <w:r>
        <w:rPr>
          <w:rFonts w:hint="eastAsia" w:ascii="宋体" w:hAnsi="宋体" w:eastAsia="宋体" w:cs="宋体"/>
          <w:color w:val="auto"/>
          <w:sz w:val="28"/>
          <w:szCs w:val="28"/>
          <w:highlight w:val="none"/>
          <w:lang w:eastAsia="zh-CN"/>
        </w:rPr>
        <w:t>住宅</w:t>
      </w:r>
      <w:r>
        <w:rPr>
          <w:rFonts w:hint="eastAsia" w:ascii="宋体" w:hAnsi="宋体" w:eastAsia="宋体" w:cs="宋体"/>
          <w:color w:val="auto"/>
          <w:sz w:val="28"/>
          <w:szCs w:val="28"/>
          <w:highlight w:val="none"/>
        </w:rPr>
        <w:t>房地产市场价值进行评估。</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估价目的就巴彦淖尔市临河区人民法院</w:t>
      </w:r>
      <w:r>
        <w:rPr>
          <w:rFonts w:hint="eastAsia" w:ascii="宋体" w:hAnsi="宋体" w:eastAsia="宋体" w:cs="宋体"/>
          <w:color w:val="auto"/>
          <w:sz w:val="28"/>
          <w:szCs w:val="28"/>
          <w:highlight w:val="none"/>
        </w:rPr>
        <w:t>移送的</w:t>
      </w:r>
      <w:r>
        <w:rPr>
          <w:rFonts w:hint="eastAsia" w:ascii="宋体" w:hAnsi="宋体" w:cs="宋体"/>
          <w:color w:val="auto"/>
          <w:sz w:val="28"/>
          <w:szCs w:val="28"/>
          <w:highlight w:val="none"/>
          <w:lang w:eastAsia="zh-CN"/>
        </w:rPr>
        <w:t>刘月明与蔺风梅、杨子成其他案由一案，对案件</w:t>
      </w:r>
      <w:r>
        <w:rPr>
          <w:rFonts w:hint="eastAsia" w:ascii="宋体" w:hAnsi="宋体" w:eastAsia="宋体" w:cs="宋体"/>
          <w:color w:val="auto"/>
          <w:sz w:val="28"/>
          <w:szCs w:val="28"/>
          <w:highlight w:val="none"/>
        </w:rPr>
        <w:t>中涉及的</w:t>
      </w:r>
      <w:r>
        <w:rPr>
          <w:rFonts w:hint="eastAsia" w:ascii="宋体" w:hAnsi="宋体" w:cs="宋体"/>
          <w:color w:val="auto"/>
          <w:sz w:val="28"/>
          <w:szCs w:val="28"/>
          <w:highlight w:val="none"/>
          <w:lang w:eastAsia="zh-CN"/>
        </w:rPr>
        <w:t>蔺风梅所有</w:t>
      </w:r>
      <w:r>
        <w:rPr>
          <w:rFonts w:hint="eastAsia" w:ascii="宋体" w:hAnsi="宋体" w:eastAsia="宋体" w:cs="宋体"/>
          <w:color w:val="auto"/>
          <w:sz w:val="28"/>
          <w:szCs w:val="28"/>
          <w:highlight w:val="none"/>
        </w:rPr>
        <w:t>的位于</w:t>
      </w:r>
      <w:r>
        <w:rPr>
          <w:rFonts w:hint="eastAsia" w:ascii="宋体" w:hAnsi="宋体" w:eastAsia="宋体" w:cs="宋体"/>
          <w:color w:val="auto"/>
          <w:sz w:val="28"/>
          <w:szCs w:val="28"/>
          <w:highlight w:val="none"/>
          <w:lang w:eastAsia="zh-CN"/>
        </w:rPr>
        <w:t>鄂尔多斯市</w:t>
      </w:r>
      <w:r>
        <w:rPr>
          <w:rFonts w:hint="eastAsia" w:ascii="宋体" w:hAnsi="宋体" w:eastAsia="宋体" w:cs="宋体"/>
          <w:color w:val="auto"/>
          <w:sz w:val="28"/>
          <w:szCs w:val="28"/>
          <w:highlight w:val="none"/>
          <w:lang w:eastAsia="zh-CN"/>
        </w:rPr>
        <w:t>乌审旗嘎鲁图镇</w:t>
      </w:r>
      <w:r>
        <w:rPr>
          <w:rFonts w:hint="eastAsia" w:ascii="宋体" w:hAnsi="宋体" w:cs="宋体"/>
          <w:color w:val="auto"/>
          <w:sz w:val="28"/>
          <w:szCs w:val="28"/>
          <w:highlight w:val="none"/>
          <w:lang w:eastAsia="zh-CN"/>
        </w:rPr>
        <w:t>六区鸿沁街南、青达路西汇丰家园</w:t>
      </w:r>
      <w:r>
        <w:rPr>
          <w:rFonts w:hint="eastAsia" w:ascii="宋体" w:hAnsi="宋体" w:cs="宋体"/>
          <w:color w:val="auto"/>
          <w:sz w:val="28"/>
          <w:szCs w:val="28"/>
          <w:highlight w:val="none"/>
          <w:lang w:val="en-US" w:eastAsia="zh-CN"/>
        </w:rPr>
        <w:t>8#住宅楼-1-301室</w:t>
      </w:r>
      <w:r>
        <w:rPr>
          <w:rFonts w:hint="eastAsia" w:ascii="宋体" w:hAnsi="宋体" w:eastAsia="宋体" w:cs="宋体"/>
          <w:color w:val="auto"/>
          <w:sz w:val="28"/>
          <w:szCs w:val="28"/>
          <w:highlight w:val="none"/>
          <w:lang w:eastAsia="zh-CN"/>
        </w:rPr>
        <w:t>住宅</w:t>
      </w:r>
      <w:r>
        <w:rPr>
          <w:rFonts w:hint="eastAsia" w:ascii="宋体" w:hAnsi="宋体" w:eastAsia="宋体" w:cs="宋体"/>
          <w:color w:val="auto"/>
          <w:sz w:val="28"/>
          <w:szCs w:val="28"/>
          <w:highlight w:val="none"/>
        </w:rPr>
        <w:t>房地产进行市场价值评估</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为人民法院确定财产处置</w:t>
      </w:r>
      <w:r>
        <w:rPr>
          <w:rFonts w:hint="eastAsia" w:ascii="宋体" w:hAnsi="宋体" w:eastAsia="宋体" w:cs="宋体"/>
          <w:color w:val="auto"/>
          <w:sz w:val="28"/>
          <w:szCs w:val="28"/>
          <w:highlight w:val="none"/>
          <w:lang w:eastAsia="zh-CN"/>
        </w:rPr>
        <w:t>参考价提供</w:t>
      </w:r>
      <w:r>
        <w:rPr>
          <w:rFonts w:hint="eastAsia" w:ascii="宋体" w:hAnsi="宋体" w:eastAsia="宋体" w:cs="宋体"/>
          <w:color w:val="auto"/>
          <w:sz w:val="28"/>
          <w:szCs w:val="28"/>
          <w:highlight w:val="none"/>
        </w:rPr>
        <w:t>参考依据。</w:t>
      </w:r>
      <w:r>
        <w:rPr>
          <w:rFonts w:hint="eastAsia" w:ascii="宋体" w:hAnsi="宋体" w:eastAsia="宋体" w:cs="宋体"/>
          <w:color w:val="auto"/>
          <w:sz w:val="28"/>
          <w:szCs w:val="28"/>
          <w:highlight w:val="none"/>
        </w:rPr>
        <w:t>价值时点为</w:t>
      </w:r>
      <w:r>
        <w:rPr>
          <w:rFonts w:hint="eastAsia" w:ascii="宋体" w:hAnsi="宋体" w:eastAsia="宋体" w:cs="宋体"/>
          <w:color w:val="auto"/>
          <w:sz w:val="28"/>
          <w:szCs w:val="28"/>
          <w:highlight w:val="none"/>
          <w:lang w:eastAsia="zh-CN"/>
        </w:rPr>
        <w:t>2021年12月21日</w:t>
      </w:r>
      <w:r>
        <w:rPr>
          <w:rFonts w:hint="eastAsia" w:ascii="宋体" w:hAnsi="宋体" w:eastAsia="宋体" w:cs="宋体"/>
          <w:color w:val="auto"/>
          <w:sz w:val="28"/>
          <w:szCs w:val="28"/>
          <w:highlight w:val="none"/>
        </w:rPr>
        <w:t>（以现场查勘之日作为本次估价对象的价值时点）。价值类型为市场价值。</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估价范围仅为房屋及内部装修，不包括房屋内部可移动的物品，如家具、家电等，房屋价值中包含</w:t>
      </w:r>
      <w:r>
        <w:rPr>
          <w:rFonts w:hint="eastAsia" w:ascii="宋体" w:hAnsi="宋体" w:eastAsia="宋体" w:cs="宋体"/>
          <w:color w:val="auto"/>
          <w:sz w:val="28"/>
          <w:szCs w:val="28"/>
          <w:highlight w:val="none"/>
          <w:lang w:eastAsia="zh-CN"/>
        </w:rPr>
        <w:t>分摊共用的土地使用权</w:t>
      </w:r>
      <w:r>
        <w:rPr>
          <w:rFonts w:hint="eastAsia" w:ascii="宋体" w:hAnsi="宋体" w:eastAsia="宋体" w:cs="宋体"/>
          <w:color w:val="auto"/>
          <w:sz w:val="28"/>
          <w:szCs w:val="28"/>
          <w:highlight w:val="none"/>
        </w:rPr>
        <w:t>价值。</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估价对象坐落于</w:t>
      </w:r>
      <w:r>
        <w:rPr>
          <w:rFonts w:hint="eastAsia" w:ascii="宋体" w:hAnsi="宋体" w:eastAsia="宋体" w:cs="宋体"/>
          <w:color w:val="auto"/>
          <w:sz w:val="28"/>
          <w:szCs w:val="28"/>
          <w:highlight w:val="none"/>
          <w:lang w:eastAsia="zh-CN"/>
        </w:rPr>
        <w:t>乌审旗嘎鲁图镇</w:t>
      </w:r>
      <w:r>
        <w:rPr>
          <w:rFonts w:hint="eastAsia" w:ascii="宋体" w:hAnsi="宋体" w:cs="宋体"/>
          <w:color w:val="auto"/>
          <w:sz w:val="28"/>
          <w:szCs w:val="28"/>
          <w:highlight w:val="none"/>
          <w:lang w:eastAsia="zh-CN"/>
        </w:rPr>
        <w:t>六区鸿沁街南、青达路西</w:t>
      </w:r>
      <w:r>
        <w:rPr>
          <w:rFonts w:hint="eastAsia" w:ascii="宋体" w:hAnsi="宋体" w:cs="宋体"/>
          <w:color w:val="auto"/>
          <w:sz w:val="28"/>
          <w:szCs w:val="28"/>
          <w:highlight w:val="none"/>
          <w:lang w:val="en-US" w:eastAsia="zh-CN"/>
        </w:rPr>
        <w:t>汇丰家园</w:t>
      </w:r>
      <w:r>
        <w:rPr>
          <w:rFonts w:hint="eastAsia" w:ascii="宋体" w:hAnsi="宋体" w:eastAsia="宋体" w:cs="宋体"/>
          <w:color w:val="auto"/>
          <w:sz w:val="28"/>
          <w:szCs w:val="28"/>
          <w:highlight w:val="none"/>
        </w:rPr>
        <w:t>，估价对象为该小区</w:t>
      </w:r>
      <w:r>
        <w:rPr>
          <w:rFonts w:hint="eastAsia" w:ascii="宋体" w:hAnsi="宋体" w:cs="宋体"/>
          <w:color w:val="auto"/>
          <w:sz w:val="28"/>
          <w:szCs w:val="28"/>
          <w:highlight w:val="none"/>
          <w:lang w:val="en-US" w:eastAsia="zh-CN"/>
        </w:rPr>
        <w:t>8#住宅楼-1-301室</w:t>
      </w:r>
      <w:r>
        <w:rPr>
          <w:rFonts w:hint="eastAsia" w:ascii="宋体" w:hAnsi="宋体" w:eastAsia="宋体" w:cs="宋体"/>
          <w:color w:val="auto"/>
          <w:sz w:val="28"/>
          <w:szCs w:val="28"/>
          <w:highlight w:val="none"/>
        </w:rPr>
        <w:t>。房屋总层数为</w:t>
      </w:r>
      <w:r>
        <w:rPr>
          <w:rFonts w:hint="eastAsia" w:ascii="宋体" w:hAnsi="宋体" w:cs="宋体"/>
          <w:color w:val="auto"/>
          <w:sz w:val="28"/>
          <w:szCs w:val="28"/>
          <w:highlight w:val="none"/>
          <w:lang w:val="en-US" w:eastAsia="zh-CN"/>
        </w:rPr>
        <w:t>6层</w:t>
      </w:r>
      <w:r>
        <w:rPr>
          <w:rFonts w:hint="eastAsia" w:ascii="宋体" w:hAnsi="宋体" w:eastAsia="宋体" w:cs="宋体"/>
          <w:color w:val="auto"/>
          <w:sz w:val="28"/>
          <w:szCs w:val="28"/>
          <w:highlight w:val="none"/>
        </w:rPr>
        <w:t>，估价对象所在</w:t>
      </w:r>
      <w:r>
        <w:rPr>
          <w:rFonts w:hint="eastAsia" w:ascii="宋体" w:hAnsi="宋体" w:cs="宋体"/>
          <w:color w:val="auto"/>
          <w:sz w:val="28"/>
          <w:szCs w:val="28"/>
          <w:highlight w:val="none"/>
          <w:lang w:val="en-US" w:eastAsia="zh-CN"/>
        </w:rPr>
        <w:t>3层</w:t>
      </w:r>
      <w:r>
        <w:rPr>
          <w:rFonts w:hint="eastAsia" w:ascii="宋体" w:hAnsi="宋体" w:eastAsia="宋体" w:cs="宋体"/>
          <w:color w:val="auto"/>
          <w:sz w:val="28"/>
          <w:szCs w:val="28"/>
          <w:highlight w:val="none"/>
        </w:rPr>
        <w:t>，建筑面积为</w:t>
      </w:r>
      <w:r>
        <w:rPr>
          <w:rFonts w:hint="eastAsia" w:ascii="宋体" w:hAnsi="宋体" w:cs="宋体"/>
          <w:color w:val="auto"/>
          <w:sz w:val="28"/>
          <w:szCs w:val="28"/>
          <w:highlight w:val="none"/>
          <w:lang w:val="en-US" w:eastAsia="zh-CN"/>
        </w:rPr>
        <w:t>131.05</w:t>
      </w:r>
      <w:r>
        <w:rPr>
          <w:rFonts w:hint="eastAsia" w:ascii="宋体" w:hAnsi="宋体" w:eastAsia="宋体" w:cs="宋体"/>
          <w:color w:val="auto"/>
          <w:sz w:val="28"/>
          <w:szCs w:val="28"/>
          <w:highlight w:val="none"/>
        </w:rPr>
        <w:t>平方米，房屋结构为</w:t>
      </w:r>
      <w:r>
        <w:rPr>
          <w:rFonts w:hint="eastAsia" w:ascii="宋体" w:hAnsi="宋体" w:cs="宋体"/>
          <w:color w:val="auto"/>
          <w:sz w:val="28"/>
          <w:szCs w:val="28"/>
          <w:highlight w:val="none"/>
          <w:lang w:eastAsia="zh-CN"/>
        </w:rPr>
        <w:t>混合结构</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房屋</w:t>
      </w:r>
      <w:r>
        <w:rPr>
          <w:rFonts w:hint="eastAsia" w:ascii="宋体" w:hAnsi="宋体" w:eastAsia="宋体" w:cs="宋体"/>
          <w:color w:val="auto"/>
          <w:sz w:val="28"/>
          <w:szCs w:val="28"/>
          <w:highlight w:val="none"/>
        </w:rPr>
        <w:t>用途住宅，</w:t>
      </w:r>
      <w:r>
        <w:rPr>
          <w:rFonts w:hint="eastAsia" w:ascii="宋体" w:hAnsi="宋体" w:eastAsia="宋体" w:cs="宋体"/>
          <w:color w:val="auto"/>
          <w:sz w:val="28"/>
          <w:szCs w:val="28"/>
          <w:highlight w:val="none"/>
          <w:lang w:eastAsia="zh-CN"/>
        </w:rPr>
        <w:t>不动产权证号：130021100914号</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房屋</w:t>
      </w:r>
      <w:r>
        <w:rPr>
          <w:rFonts w:hint="eastAsia" w:ascii="宋体" w:hAnsi="宋体" w:eastAsia="宋体" w:cs="宋体"/>
          <w:color w:val="auto"/>
          <w:sz w:val="28"/>
          <w:szCs w:val="28"/>
          <w:highlight w:val="none"/>
          <w:lang w:eastAsia="zh-CN"/>
        </w:rPr>
        <w:t>所有权人</w:t>
      </w:r>
      <w:r>
        <w:rPr>
          <w:rFonts w:hint="eastAsia" w:ascii="宋体" w:hAnsi="宋体" w:eastAsia="宋体" w:cs="宋体"/>
          <w:color w:val="auto"/>
          <w:sz w:val="28"/>
          <w:szCs w:val="28"/>
          <w:highlight w:val="none"/>
        </w:rPr>
        <w:t>为</w:t>
      </w:r>
      <w:r>
        <w:rPr>
          <w:rFonts w:hint="eastAsia" w:ascii="宋体" w:hAnsi="宋体" w:cs="宋体"/>
          <w:color w:val="auto"/>
          <w:sz w:val="28"/>
          <w:szCs w:val="28"/>
          <w:highlight w:val="none"/>
          <w:lang w:eastAsia="zh-CN"/>
        </w:rPr>
        <w:t>蔺风梅</w:t>
      </w:r>
      <w:r>
        <w:rPr>
          <w:rFonts w:hint="eastAsia" w:ascii="宋体" w:hAnsi="宋体" w:eastAsia="宋体" w:cs="宋体"/>
          <w:color w:val="auto"/>
          <w:sz w:val="28"/>
          <w:szCs w:val="28"/>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cs="宋体"/>
          <w:color w:val="auto"/>
          <w:sz w:val="28"/>
          <w:szCs w:val="28"/>
          <w:highlight w:val="none"/>
          <w:lang w:eastAsia="zh-CN"/>
        </w:rPr>
      </w:pPr>
      <w:r>
        <w:rPr>
          <w:rFonts w:hint="eastAsia" w:ascii="宋体" w:hAnsi="宋体" w:eastAsia="宋体" w:cs="宋体"/>
          <w:color w:val="auto"/>
          <w:sz w:val="28"/>
          <w:szCs w:val="28"/>
          <w:highlight w:val="none"/>
        </w:rPr>
        <w:t>在整个评估工作中，我公司估价人员根据估价目的，遵循估价原则，按照估价程序，对现场进行实地查勘、广泛收集有关市场信息和估价对象信息的基础上，运用科学的估价方法即比较法和收益法对估价对象的房地产市场价格进行了分析、测算和判断，</w:t>
      </w:r>
      <w:r>
        <w:rPr>
          <w:rFonts w:hint="eastAsia" w:ascii="宋体" w:hAnsi="宋体" w:cs="宋体"/>
          <w:color w:val="auto"/>
          <w:sz w:val="28"/>
          <w:szCs w:val="28"/>
          <w:highlight w:val="none"/>
        </w:rPr>
        <w:t>最终确定估价对象</w:t>
      </w:r>
      <w:r>
        <w:rPr>
          <w:rFonts w:hint="eastAsia" w:ascii="宋体" w:hAnsi="宋体" w:cs="宋体"/>
          <w:color w:val="auto"/>
          <w:sz w:val="28"/>
          <w:szCs w:val="28"/>
          <w:highlight w:val="none"/>
          <w:lang w:eastAsia="zh-CN"/>
        </w:rPr>
        <w:t>在满足估价假设和限制条件下</w:t>
      </w:r>
      <w:r>
        <w:rPr>
          <w:rFonts w:hint="eastAsia" w:ascii="宋体" w:hAnsi="宋体" w:cs="宋体"/>
          <w:color w:val="auto"/>
          <w:sz w:val="28"/>
          <w:szCs w:val="28"/>
          <w:highlight w:val="none"/>
        </w:rPr>
        <w:t>于价值时点的市场总价</w:t>
      </w:r>
      <w:r>
        <w:rPr>
          <w:rFonts w:hint="eastAsia" w:ascii="宋体" w:hAnsi="宋体" w:eastAsia="宋体" w:cs="宋体"/>
          <w:color w:val="auto"/>
          <w:sz w:val="28"/>
          <w:szCs w:val="28"/>
          <w:highlight w:val="none"/>
          <w:lang w:val="en-US" w:eastAsia="zh-CN"/>
        </w:rPr>
        <w:t>420802</w:t>
      </w:r>
      <w:r>
        <w:rPr>
          <w:rFonts w:hint="eastAsia" w:ascii="宋体" w:hAnsi="宋体"/>
          <w:color w:val="auto"/>
          <w:sz w:val="28"/>
          <w:szCs w:val="28"/>
          <w:highlight w:val="none"/>
          <w:lang w:val="en-US" w:eastAsia="zh-CN"/>
        </w:rPr>
        <w:t>元</w:t>
      </w:r>
      <w:r>
        <w:rPr>
          <w:rFonts w:hint="eastAsia" w:ascii="宋体" w:hAnsi="宋体"/>
          <w:color w:val="auto"/>
          <w:sz w:val="28"/>
          <w:szCs w:val="28"/>
          <w:highlight w:val="none"/>
        </w:rPr>
        <w:t>（人民币大写</w:t>
      </w:r>
      <w:r>
        <w:rPr>
          <w:rFonts w:hint="eastAsia" w:ascii="宋体" w:hAnsi="宋体"/>
          <w:color w:val="auto"/>
          <w:sz w:val="28"/>
          <w:szCs w:val="28"/>
          <w:highlight w:val="none"/>
          <w:lang w:eastAsia="zh-CN"/>
        </w:rPr>
        <w:t>肆拾贰万零捌佰零贰元整</w:t>
      </w:r>
      <w:r>
        <w:rPr>
          <w:rFonts w:hint="eastAsia" w:ascii="宋体" w:hAnsi="宋体"/>
          <w:color w:val="auto"/>
          <w:sz w:val="28"/>
          <w:szCs w:val="28"/>
          <w:highlight w:val="none"/>
        </w:rPr>
        <w:t>）</w:t>
      </w:r>
      <w:r>
        <w:rPr>
          <w:rFonts w:hint="eastAsia" w:ascii="宋体" w:hAnsi="宋体"/>
          <w:color w:val="auto"/>
          <w:sz w:val="28"/>
          <w:szCs w:val="28"/>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特别提示：请估价报告使用人仔细阅读评估报告，特别注意本评估报告中的估价假设和限制条件，若估价对象发生变化与估价假设和限制条件设定的不一致，本估价报告应做相应调整或重新进行估价。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估价结果汇总表</w:t>
      </w:r>
    </w:p>
    <w:p>
      <w:pPr>
        <w:keepNext w:val="0"/>
        <w:keepLines w:val="0"/>
        <w:pageBreakBefore w:val="0"/>
        <w:widowControl w:val="0"/>
        <w:kinsoku/>
        <w:wordWrap/>
        <w:overflowPunct/>
        <w:topLinePunct w:val="0"/>
        <w:autoSpaceDE/>
        <w:autoSpaceDN/>
        <w:bidi w:val="0"/>
        <w:adjustRightInd/>
        <w:snapToGrid/>
        <w:spacing w:line="580" w:lineRule="exact"/>
        <w:ind w:firstLine="635" w:firstLineChars="227"/>
        <w:jc w:val="right"/>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币种：人民币</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189"/>
        <w:gridCol w:w="187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2925" w:type="pct"/>
            <w:gridSpan w:val="2"/>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jc w:val="center"/>
              <w:outlineLvl w:val="9"/>
              <w:rPr>
                <w:rFonts w:hint="eastAsia" w:ascii="宋体" w:hAnsi="宋体" w:eastAsia="宋体" w:cs="宋体"/>
                <w:color w:val="auto"/>
                <w:sz w:val="28"/>
                <w:szCs w:val="28"/>
                <w:highlight w:val="none"/>
                <w:vertAlign w:val="baseline"/>
                <w:lang w:eastAsia="zh-CN"/>
              </w:rPr>
            </w:pPr>
          </w:p>
          <w:p>
            <w:pPr>
              <w:snapToGrid w:val="0"/>
              <w:spacing w:line="240" w:lineRule="auto"/>
              <w:jc w:val="center"/>
              <w:outlineLvl w:val="9"/>
              <mc:AlternateContent>
                <mc:Choice Requires="wpsCustomData">
                  <wpsCustomData:diagonalParaType/>
                </mc:Choice>
              </mc:AlternateContent>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相关结果</w:t>
            </w:r>
          </w:p>
          <w:p>
            <w:pPr>
              <w:spacing w:line="240" w:lineRule="auto"/>
              <w:jc w:val="center"/>
              <w:outlineLvl w:val="9"/>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估价方法</w:t>
            </w:r>
          </w:p>
        </w:tc>
        <w:tc>
          <w:tcPr>
            <w:tcW w:w="1037" w:type="pct"/>
            <w:noWrap w:val="0"/>
            <w:vAlign w:val="center"/>
          </w:tcPr>
          <w:p>
            <w:pPr>
              <w:spacing w:line="240" w:lineRule="auto"/>
              <w:jc w:val="center"/>
              <w:outlineLvl w:val="9"/>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比较法</w:t>
            </w:r>
          </w:p>
        </w:tc>
        <w:tc>
          <w:tcPr>
            <w:tcW w:w="1037" w:type="pct"/>
            <w:noWrap w:val="0"/>
            <w:vAlign w:val="center"/>
          </w:tcPr>
          <w:p>
            <w:pPr>
              <w:spacing w:line="240" w:lineRule="auto"/>
              <w:jc w:val="center"/>
              <w:outlineLvl w:val="9"/>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测算结果</w:t>
            </w:r>
          </w:p>
        </w:tc>
        <w:tc>
          <w:tcPr>
            <w:tcW w:w="1765" w:type="pc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建筑面积（㎡）</w:t>
            </w:r>
          </w:p>
        </w:tc>
        <w:tc>
          <w:tcPr>
            <w:tcW w:w="207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2"/>
                <w:sz w:val="28"/>
                <w:szCs w:val="28"/>
                <w:highlight w:val="none"/>
                <w:lang w:val="en-US" w:eastAsia="zh-CN" w:bidi="ar-SA"/>
              </w:rPr>
            </w:pPr>
            <w:r>
              <w:rPr>
                <w:rFonts w:hint="eastAsia" w:ascii="宋体" w:hAnsi="宋体" w:cs="宋体"/>
                <w:color w:val="auto"/>
                <w:sz w:val="28"/>
                <w:szCs w:val="28"/>
                <w:highlight w:val="none"/>
                <w:lang w:val="en-US" w:eastAsia="zh-CN"/>
              </w:rPr>
              <w:t>131.05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highlight w:val="none"/>
                <w:lang w:val="en-US" w:eastAsia="zh-CN" w:bidi="ar-SA"/>
              </w:rPr>
            </w:pPr>
          </w:p>
        </w:tc>
        <w:tc>
          <w:tcPr>
            <w:tcW w:w="1765" w:type="pc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单价（元/㎡）</w:t>
            </w:r>
          </w:p>
        </w:tc>
        <w:tc>
          <w:tcPr>
            <w:tcW w:w="10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3757</w:t>
            </w:r>
          </w:p>
        </w:tc>
        <w:tc>
          <w:tcPr>
            <w:tcW w:w="10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评估价值</w:t>
            </w:r>
          </w:p>
        </w:tc>
        <w:tc>
          <w:tcPr>
            <w:tcW w:w="17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color w:val="auto"/>
                <w:sz w:val="28"/>
                <w:szCs w:val="28"/>
                <w:highlight w:val="none"/>
                <w:vertAlign w:val="baseline"/>
                <w:lang w:eastAsia="zh-CN"/>
              </w:rPr>
              <w:t>权重</w:t>
            </w:r>
          </w:p>
        </w:tc>
        <w:tc>
          <w:tcPr>
            <w:tcW w:w="10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70%</w:t>
            </w:r>
          </w:p>
        </w:tc>
        <w:tc>
          <w:tcPr>
            <w:tcW w:w="10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p>
        </w:tc>
        <w:tc>
          <w:tcPr>
            <w:tcW w:w="17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单价（元</w:t>
            </w:r>
            <w:r>
              <w:rPr>
                <w:rFonts w:hint="eastAsia" w:ascii="宋体" w:hAnsi="宋体" w:eastAsia="宋体" w:cs="宋体"/>
                <w:color w:val="auto"/>
                <w:sz w:val="28"/>
                <w:szCs w:val="28"/>
                <w:highlight w:val="none"/>
                <w:vertAlign w:val="baseline"/>
                <w:lang w:val="en-US" w:eastAsia="zh-CN"/>
              </w:rPr>
              <w:t>/㎡</w:t>
            </w:r>
            <w:r>
              <w:rPr>
                <w:rFonts w:hint="eastAsia" w:ascii="宋体" w:hAnsi="宋体" w:eastAsia="宋体" w:cs="宋体"/>
                <w:color w:val="auto"/>
                <w:sz w:val="28"/>
                <w:szCs w:val="28"/>
                <w:highlight w:val="none"/>
                <w:vertAlign w:val="baseline"/>
                <w:lang w:eastAsia="zh-CN"/>
              </w:rPr>
              <w:t>）</w:t>
            </w:r>
          </w:p>
        </w:tc>
        <w:tc>
          <w:tcPr>
            <w:tcW w:w="207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p>
        </w:tc>
        <w:tc>
          <w:tcPr>
            <w:tcW w:w="17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总价（元）</w:t>
            </w:r>
          </w:p>
        </w:tc>
        <w:tc>
          <w:tcPr>
            <w:tcW w:w="207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420802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大写</w:t>
            </w:r>
          </w:p>
        </w:tc>
        <w:tc>
          <w:tcPr>
            <w:tcW w:w="384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val="en-US" w:eastAsia="zh-CN"/>
              </w:rPr>
              <w:t>人民币肆拾贰万零捌佰零贰元整</w:t>
            </w:r>
          </w:p>
        </w:tc>
      </w:tr>
    </w:tbl>
    <w:p>
      <w:pPr>
        <w:spacing w:line="580" w:lineRule="exact"/>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估价结果使用提示：</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（一）报告使用人应当按照法律规定和评估报告载明的用途、使用人、使用期限、使用范围等使用评估报告。否则，房地产估价机构和注册房地产估价师依法不承担责任；</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（二）评估结果仅为人民法院确定财产处置参考价服务，不是评估对象处置可实现的成交价格，也不应当被视为对评估对象处置成交价格的保证；</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三）财产拍卖或者变卖之日与价值时点不一致，可能导致评估结果对应的评估对象状况、房地产市场状况、欠缴税费状况等与财产拍卖或者变卖时的相应状况不一致，发生明显变化的，评估结果应当进行相应调整；</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（四）在评估报告使用期限或者评估结果有效期内，评估报告或者评估结果未使用之前，如果评估对象状况或者房地产市场状况发生明显变化的，评估结果应当进行相应调整后才可使用；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五）本报告估价结果的评估计算是以估价对象在价值时点时的房地产状况以及对估价对象的假设和限制条件为前提进行估价，如估价对象房地产状况或估价对象对应的假设和限制条件发生变化，估价结果应做相应调整；</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六）估价对象的水、电、暖费用、物业管理费及与估价对象相关的其他费用缴纳情况，估价人员尽职调查后，未能获取相关信息，缴纳情况不详，如有拖欠，本次估价结果未对上述拖欠费用进行扣除，对此，特提请报告使用人注意。</w:t>
      </w:r>
    </w:p>
    <w:p>
      <w:pPr>
        <w:spacing w:line="580" w:lineRule="exact"/>
        <w:rPr>
          <w:rFonts w:hint="eastAsia" w:ascii="宋体" w:hAnsi="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2800" w:firstLineChars="1000"/>
        <w:textAlignment w:val="auto"/>
        <w:rPr>
          <w:rFonts w:hint="eastAsia" w:ascii="宋体" w:hAnsi="宋体" w:cs="宋体"/>
          <w:color w:val="auto"/>
          <w:sz w:val="28"/>
          <w:szCs w:val="28"/>
          <w:highlight w:val="none"/>
          <w:vertAlign w:val="superscript"/>
        </w:rPr>
      </w:pPr>
      <w:r>
        <w:rPr>
          <w:rFonts w:hint="eastAsia" w:ascii="宋体" w:hAnsi="宋体" w:cs="宋体"/>
          <w:color w:val="auto"/>
          <w:sz w:val="28"/>
          <w:szCs w:val="28"/>
          <w:highlight w:val="none"/>
        </w:rPr>
        <w:t xml:space="preserve">    内蒙古中博房地产价格评估有限责任公司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rPr>
        <w:t>法定代表人：伊江旭</w:t>
      </w:r>
      <w:r>
        <w:rPr>
          <w:rFonts w:hint="eastAsia" w:ascii="宋体" w:hAnsi="宋体" w:cs="宋体"/>
          <w:color w:val="auto"/>
          <w:sz w:val="28"/>
          <w:szCs w:val="28"/>
          <w:highlight w:val="none"/>
          <w:lang w:eastAsia="zh-CN"/>
        </w:rPr>
        <w:t>（盖法人章）</w:t>
      </w:r>
    </w:p>
    <w:p>
      <w:pPr>
        <w:keepNext w:val="0"/>
        <w:keepLines w:val="0"/>
        <w:pageBreakBefore w:val="0"/>
        <w:widowControl w:val="0"/>
        <w:kinsoku/>
        <w:wordWrap/>
        <w:overflowPunct/>
        <w:topLinePunct w:val="0"/>
        <w:autoSpaceDE/>
        <w:autoSpaceDN/>
        <w:bidi w:val="0"/>
        <w:adjustRightInd/>
        <w:snapToGrid/>
        <w:spacing w:line="580" w:lineRule="exact"/>
        <w:ind w:firstLine="4900" w:firstLineChars="1750"/>
        <w:textAlignment w:val="auto"/>
        <w:rPr>
          <w:rFonts w:hint="eastAsia" w:ascii="宋体" w:hAnsi="宋体" w:cs="宋体"/>
          <w:color w:val="auto"/>
          <w:sz w:val="44"/>
          <w:szCs w:val="44"/>
          <w:highlight w:val="none"/>
        </w:rPr>
      </w:pPr>
      <w:r>
        <w:rPr>
          <w:rFonts w:hint="eastAsia" w:ascii="宋体" w:hAnsi="宋体" w:cs="宋体"/>
          <w:color w:val="auto"/>
          <w:sz w:val="28"/>
          <w:szCs w:val="28"/>
          <w:highlight w:val="none"/>
          <w:lang w:eastAsia="zh-CN"/>
        </w:rPr>
        <w:t>2022年1月26日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color w:val="auto"/>
          <w:sz w:val="44"/>
          <w:szCs w:val="44"/>
          <w:highlight w:val="none"/>
        </w:rPr>
        <w:sectPr>
          <w:headerReference r:id="rId3" w:type="default"/>
          <w:footerReference r:id="rId4" w:type="default"/>
          <w:footerReference r:id="rId5" w:type="even"/>
          <w:pgSz w:w="11906" w:h="16838"/>
          <w:pgMar w:top="1440" w:right="1468" w:bottom="1088" w:left="1621" w:header="851" w:footer="992" w:gutter="0"/>
          <w:pgNumType w:start="0"/>
          <w:cols w:space="0" w:num="1"/>
          <w:rtlGutter w:val="0"/>
          <w:docGrid w:type="lines" w:linePitch="312" w:charSpace="0"/>
        </w:sectPr>
      </w:pPr>
    </w:p>
    <w:p>
      <w:pPr>
        <w:jc w:val="center"/>
        <w:rPr>
          <w:rFonts w:hint="eastAsia" w:ascii="宋体" w:hAnsi="宋体" w:cs="宋体" w:eastAsiaTheme="minorEastAsia"/>
          <w:b/>
          <w:bCs/>
          <w:color w:val="auto"/>
          <w:spacing w:val="113"/>
          <w:sz w:val="28"/>
          <w:szCs w:val="28"/>
          <w:highlight w:val="none"/>
        </w:rPr>
      </w:pPr>
      <w:r>
        <w:rPr>
          <w:rFonts w:hint="eastAsia" w:ascii="宋体" w:hAnsi="宋体" w:cs="宋体" w:eastAsiaTheme="minorEastAsia"/>
          <w:b/>
          <w:bCs/>
          <w:color w:val="auto"/>
          <w:spacing w:val="113"/>
          <w:sz w:val="28"/>
          <w:szCs w:val="28"/>
          <w:highlight w:val="none"/>
        </w:rPr>
        <w:t>目录</w:t>
      </w:r>
    </w:p>
    <w:p>
      <w:pPr>
        <w:pStyle w:val="5"/>
        <w:tabs>
          <w:tab w:val="right" w:leader="dot" w:pos="8817"/>
        </w:tabs>
        <w:rPr>
          <w:color w:val="auto"/>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TOC \o "1-2" \h \u </w:instrText>
      </w:r>
      <w:r>
        <w:rPr>
          <w:rFonts w:hint="eastAsia" w:ascii="宋体" w:hAnsi="宋体" w:cs="宋体"/>
          <w:color w:val="auto"/>
          <w:sz w:val="24"/>
          <w:highlight w:val="none"/>
        </w:rPr>
        <w:fldChar w:fldCharType="separate"/>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_Toc20789 </w:instrText>
      </w:r>
      <w:r>
        <w:rPr>
          <w:rFonts w:hint="eastAsia" w:ascii="宋体" w:hAnsi="宋体" w:cs="宋体"/>
          <w:color w:val="auto"/>
          <w:highlight w:val="none"/>
        </w:rPr>
        <w:fldChar w:fldCharType="separate"/>
      </w:r>
      <w:r>
        <w:rPr>
          <w:rFonts w:hint="eastAsia" w:ascii="宋体" w:hAnsi="宋体" w:cs="宋体" w:eastAsiaTheme="minorEastAsia"/>
          <w:color w:val="auto"/>
          <w:spacing w:val="113"/>
          <w:szCs w:val="44"/>
          <w:highlight w:val="none"/>
        </w:rPr>
        <w:t>估价师声明</w:t>
      </w:r>
      <w:r>
        <w:rPr>
          <w:color w:val="auto"/>
          <w:highlight w:val="none"/>
        </w:rPr>
        <w:tab/>
      </w:r>
      <w:r>
        <w:rPr>
          <w:color w:val="auto"/>
          <w:highlight w:val="none"/>
        </w:rPr>
        <w:fldChar w:fldCharType="begin"/>
      </w:r>
      <w:r>
        <w:rPr>
          <w:color w:val="auto"/>
          <w:highlight w:val="none"/>
        </w:rPr>
        <w:instrText xml:space="preserve"> PAGEREF _Toc20789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color w:val="auto"/>
          <w:highlight w:val="none"/>
        </w:rPr>
        <w:fldChar w:fldCharType="end"/>
      </w:r>
    </w:p>
    <w:p>
      <w:pPr>
        <w:pStyle w:val="5"/>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_Toc31234 </w:instrText>
      </w:r>
      <w:r>
        <w:rPr>
          <w:rFonts w:hint="eastAsia" w:ascii="宋体" w:hAnsi="宋体" w:cs="宋体"/>
          <w:color w:val="auto"/>
          <w:highlight w:val="none"/>
        </w:rPr>
        <w:fldChar w:fldCharType="separate"/>
      </w:r>
      <w:r>
        <w:rPr>
          <w:rFonts w:hint="eastAsia" w:ascii="宋体" w:hAnsi="宋体" w:eastAsia="宋体" w:cs="宋体"/>
          <w:color w:val="auto"/>
          <w:szCs w:val="36"/>
          <w:highlight w:val="none"/>
        </w:rPr>
        <w:t>估价假设和限制条件</w:t>
      </w:r>
      <w:r>
        <w:rPr>
          <w:color w:val="auto"/>
          <w:highlight w:val="none"/>
        </w:rPr>
        <w:tab/>
      </w:r>
      <w:r>
        <w:rPr>
          <w:color w:val="auto"/>
          <w:highlight w:val="none"/>
        </w:rPr>
        <w:fldChar w:fldCharType="begin"/>
      </w:r>
      <w:r>
        <w:rPr>
          <w:color w:val="auto"/>
          <w:highlight w:val="none"/>
        </w:rPr>
        <w:instrText xml:space="preserve"> PAGEREF _Toc31234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_Toc11185 </w:instrText>
      </w:r>
      <w:r>
        <w:rPr>
          <w:rFonts w:hint="eastAsia" w:ascii="宋体" w:hAnsi="宋体" w:cs="宋体"/>
          <w:color w:val="auto"/>
          <w:highlight w:val="none"/>
        </w:rPr>
        <w:fldChar w:fldCharType="separate"/>
      </w:r>
      <w:r>
        <w:rPr>
          <w:rFonts w:hint="eastAsia" w:ascii="宋体" w:hAnsi="宋体" w:eastAsia="宋体" w:cs="宋体"/>
          <w:color w:val="auto"/>
          <w:szCs w:val="28"/>
          <w:highlight w:val="none"/>
        </w:rPr>
        <w:t>一</w:t>
      </w:r>
      <w:r>
        <w:rPr>
          <w:rFonts w:hint="eastAsia" w:ascii="宋体" w:hAnsi="宋体" w:eastAsia="宋体" w:cs="宋体"/>
          <w:color w:val="auto"/>
          <w:szCs w:val="28"/>
          <w:highlight w:val="none"/>
          <w:lang w:eastAsia="zh-CN"/>
        </w:rPr>
        <w:t>、</w:t>
      </w:r>
      <w:r>
        <w:rPr>
          <w:rFonts w:hint="eastAsia" w:ascii="宋体" w:hAnsi="宋体" w:eastAsia="宋体" w:cs="宋体"/>
          <w:color w:val="auto"/>
          <w:szCs w:val="28"/>
          <w:highlight w:val="none"/>
        </w:rPr>
        <w:t>一般假设</w:t>
      </w:r>
      <w:r>
        <w:rPr>
          <w:color w:val="auto"/>
          <w:highlight w:val="none"/>
        </w:rPr>
        <w:tab/>
      </w:r>
      <w:r>
        <w:rPr>
          <w:color w:val="auto"/>
          <w:highlight w:val="none"/>
        </w:rPr>
        <w:fldChar w:fldCharType="begin"/>
      </w:r>
      <w:r>
        <w:rPr>
          <w:color w:val="auto"/>
          <w:highlight w:val="none"/>
        </w:rPr>
        <w:instrText xml:space="preserve"> PAGEREF _Toc11185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_Toc11858 </w:instrText>
      </w:r>
      <w:r>
        <w:rPr>
          <w:rFonts w:hint="eastAsia" w:ascii="宋体" w:hAnsi="宋体" w:cs="宋体"/>
          <w:color w:val="auto"/>
          <w:highlight w:val="none"/>
        </w:rPr>
        <w:fldChar w:fldCharType="separate"/>
      </w:r>
      <w:r>
        <w:rPr>
          <w:rFonts w:hint="eastAsia" w:ascii="宋体" w:hAnsi="宋体" w:eastAsia="宋体" w:cs="宋体"/>
          <w:color w:val="auto"/>
          <w:szCs w:val="28"/>
          <w:highlight w:val="none"/>
        </w:rPr>
        <w:t>二、未定事项假设</w:t>
      </w:r>
      <w:r>
        <w:rPr>
          <w:color w:val="auto"/>
          <w:highlight w:val="none"/>
        </w:rPr>
        <w:tab/>
      </w:r>
      <w:r>
        <w:rPr>
          <w:color w:val="auto"/>
          <w:highlight w:val="none"/>
        </w:rPr>
        <w:fldChar w:fldCharType="begin"/>
      </w:r>
      <w:r>
        <w:rPr>
          <w:color w:val="auto"/>
          <w:highlight w:val="none"/>
        </w:rPr>
        <w:instrText xml:space="preserve"> PAGEREF _Toc11858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_Toc19350 </w:instrText>
      </w:r>
      <w:r>
        <w:rPr>
          <w:rFonts w:hint="eastAsia" w:ascii="宋体" w:hAnsi="宋体" w:cs="宋体"/>
          <w:color w:val="auto"/>
          <w:highlight w:val="none"/>
        </w:rPr>
        <w:fldChar w:fldCharType="separate"/>
      </w:r>
      <w:r>
        <w:rPr>
          <w:rFonts w:hint="eastAsia" w:ascii="宋体" w:hAnsi="宋体" w:eastAsia="宋体" w:cs="宋体"/>
          <w:color w:val="auto"/>
          <w:szCs w:val="28"/>
          <w:highlight w:val="none"/>
        </w:rPr>
        <w:t>三、背离事实假设</w:t>
      </w:r>
      <w:r>
        <w:rPr>
          <w:color w:val="auto"/>
          <w:highlight w:val="none"/>
        </w:rPr>
        <w:tab/>
      </w:r>
      <w:r>
        <w:rPr>
          <w:color w:val="auto"/>
          <w:highlight w:val="none"/>
        </w:rPr>
        <w:fldChar w:fldCharType="begin"/>
      </w:r>
      <w:r>
        <w:rPr>
          <w:color w:val="auto"/>
          <w:highlight w:val="none"/>
        </w:rPr>
        <w:instrText xml:space="preserve"> PAGEREF _Toc19350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_Toc32707 </w:instrText>
      </w:r>
      <w:r>
        <w:rPr>
          <w:rFonts w:hint="eastAsia" w:ascii="宋体" w:hAnsi="宋体" w:cs="宋体"/>
          <w:color w:val="auto"/>
          <w:highlight w:val="none"/>
        </w:rPr>
        <w:fldChar w:fldCharType="separate"/>
      </w:r>
      <w:r>
        <w:rPr>
          <w:rFonts w:hint="eastAsia" w:ascii="宋体" w:hAnsi="宋体" w:eastAsia="宋体" w:cs="宋体"/>
          <w:color w:val="auto"/>
          <w:szCs w:val="28"/>
          <w:highlight w:val="none"/>
        </w:rPr>
        <w:t>四、依据不足假设</w:t>
      </w:r>
      <w:r>
        <w:rPr>
          <w:color w:val="auto"/>
          <w:highlight w:val="none"/>
        </w:rPr>
        <w:tab/>
      </w:r>
      <w:r>
        <w:rPr>
          <w:color w:val="auto"/>
          <w:highlight w:val="none"/>
        </w:rPr>
        <w:fldChar w:fldCharType="begin"/>
      </w:r>
      <w:r>
        <w:rPr>
          <w:color w:val="auto"/>
          <w:highlight w:val="none"/>
        </w:rPr>
        <w:instrText xml:space="preserve"> PAGEREF _Toc32707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_Toc3331 </w:instrText>
      </w:r>
      <w:r>
        <w:rPr>
          <w:rFonts w:hint="eastAsia" w:ascii="宋体" w:hAnsi="宋体" w:cs="宋体"/>
          <w:color w:val="auto"/>
          <w:highlight w:val="none"/>
        </w:rPr>
        <w:fldChar w:fldCharType="separate"/>
      </w:r>
      <w:r>
        <w:rPr>
          <w:rFonts w:hint="eastAsia" w:ascii="宋体" w:hAnsi="宋体" w:eastAsia="宋体" w:cs="宋体"/>
          <w:color w:val="auto"/>
          <w:szCs w:val="28"/>
          <w:highlight w:val="none"/>
        </w:rPr>
        <w:t>五、不相一致性假设</w:t>
      </w:r>
      <w:r>
        <w:rPr>
          <w:color w:val="auto"/>
          <w:highlight w:val="none"/>
        </w:rPr>
        <w:tab/>
      </w:r>
      <w:r>
        <w:rPr>
          <w:color w:val="auto"/>
          <w:highlight w:val="none"/>
        </w:rPr>
        <w:fldChar w:fldCharType="begin"/>
      </w:r>
      <w:r>
        <w:rPr>
          <w:color w:val="auto"/>
          <w:highlight w:val="none"/>
        </w:rPr>
        <w:instrText xml:space="preserve"> PAGEREF _Toc3331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_Toc16087 </w:instrText>
      </w:r>
      <w:r>
        <w:rPr>
          <w:rFonts w:hint="eastAsia" w:ascii="宋体" w:hAnsi="宋体" w:cs="宋体"/>
          <w:color w:val="auto"/>
          <w:highlight w:val="none"/>
        </w:rPr>
        <w:fldChar w:fldCharType="separate"/>
      </w:r>
      <w:r>
        <w:rPr>
          <w:rFonts w:hint="eastAsia" w:ascii="宋体" w:hAnsi="宋体" w:eastAsia="宋体" w:cs="宋体"/>
          <w:color w:val="auto"/>
          <w:szCs w:val="28"/>
          <w:highlight w:val="none"/>
        </w:rPr>
        <w:t>六、本估价报告使用限制</w:t>
      </w:r>
      <w:r>
        <w:rPr>
          <w:rFonts w:hint="eastAsia" w:ascii="宋体" w:hAnsi="宋体" w:eastAsia="宋体" w:cs="宋体"/>
          <w:color w:val="auto"/>
          <w:szCs w:val="28"/>
          <w:highlight w:val="none"/>
          <w:lang w:eastAsia="zh-CN"/>
        </w:rPr>
        <w:t>和使用说明</w:t>
      </w:r>
      <w:r>
        <w:rPr>
          <w:color w:val="auto"/>
          <w:highlight w:val="none"/>
        </w:rPr>
        <w:tab/>
      </w:r>
      <w:r>
        <w:rPr>
          <w:color w:val="auto"/>
          <w:highlight w:val="none"/>
        </w:rPr>
        <w:fldChar w:fldCharType="begin"/>
      </w:r>
      <w:r>
        <w:rPr>
          <w:color w:val="auto"/>
          <w:highlight w:val="none"/>
        </w:rPr>
        <w:instrText xml:space="preserve"> PAGEREF _Toc16087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cs="宋体"/>
          <w:color w:val="auto"/>
          <w:highlight w:val="none"/>
        </w:rPr>
        <w:fldChar w:fldCharType="end"/>
      </w:r>
    </w:p>
    <w:p>
      <w:pPr>
        <w:pStyle w:val="5"/>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_Toc22477 </w:instrText>
      </w:r>
      <w:r>
        <w:rPr>
          <w:rFonts w:hint="eastAsia" w:ascii="宋体" w:hAnsi="宋体" w:cs="宋体"/>
          <w:color w:val="auto"/>
          <w:highlight w:val="none"/>
        </w:rPr>
        <w:fldChar w:fldCharType="separate"/>
      </w:r>
      <w:r>
        <w:rPr>
          <w:rFonts w:hint="eastAsia" w:ascii="宋体" w:hAnsi="宋体" w:cs="宋体"/>
          <w:color w:val="auto"/>
          <w:szCs w:val="44"/>
          <w:highlight w:val="none"/>
        </w:rPr>
        <w:t>房地产估价结果报告</w:t>
      </w:r>
      <w:r>
        <w:rPr>
          <w:color w:val="auto"/>
          <w:highlight w:val="none"/>
        </w:rPr>
        <w:tab/>
      </w:r>
      <w:r>
        <w:rPr>
          <w:color w:val="auto"/>
          <w:highlight w:val="none"/>
        </w:rPr>
        <w:fldChar w:fldCharType="begin"/>
      </w:r>
      <w:r>
        <w:rPr>
          <w:color w:val="auto"/>
          <w:highlight w:val="none"/>
        </w:rPr>
        <w:instrText xml:space="preserve"> PAGEREF _Toc22477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_Toc4106 </w:instrText>
      </w:r>
      <w:r>
        <w:rPr>
          <w:rFonts w:hint="eastAsia" w:ascii="宋体" w:hAnsi="宋体" w:cs="宋体"/>
          <w:color w:val="auto"/>
          <w:highlight w:val="none"/>
        </w:rPr>
        <w:fldChar w:fldCharType="separate"/>
      </w:r>
      <w:r>
        <w:rPr>
          <w:rFonts w:hint="eastAsia" w:ascii="宋体" w:hAnsi="宋体" w:cs="宋体"/>
          <w:color w:val="auto"/>
          <w:szCs w:val="28"/>
          <w:highlight w:val="none"/>
          <w:lang w:eastAsia="zh-CN"/>
        </w:rPr>
        <w:t>一</w:t>
      </w:r>
      <w:r>
        <w:rPr>
          <w:rFonts w:hint="eastAsia" w:ascii="宋体" w:hAnsi="宋体" w:cs="宋体"/>
          <w:color w:val="auto"/>
          <w:szCs w:val="28"/>
          <w:highlight w:val="none"/>
          <w:lang w:val="en-US" w:eastAsia="zh-CN"/>
        </w:rPr>
        <w:t>、</w:t>
      </w:r>
      <w:r>
        <w:rPr>
          <w:rFonts w:hint="eastAsia" w:ascii="宋体" w:hAnsi="宋体" w:cs="宋体"/>
          <w:color w:val="auto"/>
          <w:szCs w:val="28"/>
          <w:highlight w:val="none"/>
        </w:rPr>
        <w:t>估价委托人</w:t>
      </w:r>
      <w:r>
        <w:rPr>
          <w:color w:val="auto"/>
          <w:highlight w:val="none"/>
        </w:rPr>
        <w:tab/>
      </w:r>
      <w:r>
        <w:rPr>
          <w:color w:val="auto"/>
          <w:highlight w:val="none"/>
        </w:rPr>
        <w:fldChar w:fldCharType="begin"/>
      </w:r>
      <w:r>
        <w:rPr>
          <w:color w:val="auto"/>
          <w:highlight w:val="none"/>
        </w:rPr>
        <w:instrText xml:space="preserve"> PAGEREF _Toc4106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_Toc29354 </w:instrText>
      </w:r>
      <w:r>
        <w:rPr>
          <w:rFonts w:hint="eastAsia" w:ascii="宋体" w:hAnsi="宋体" w:cs="宋体"/>
          <w:color w:val="auto"/>
          <w:highlight w:val="none"/>
        </w:rPr>
        <w:fldChar w:fldCharType="separate"/>
      </w:r>
      <w:r>
        <w:rPr>
          <w:rFonts w:hint="eastAsia" w:ascii="宋体" w:hAnsi="宋体" w:cs="宋体"/>
          <w:color w:val="auto"/>
          <w:szCs w:val="28"/>
          <w:highlight w:val="none"/>
          <w:lang w:eastAsia="zh-CN"/>
        </w:rPr>
        <w:t>二</w:t>
      </w:r>
      <w:r>
        <w:rPr>
          <w:rFonts w:hint="eastAsia" w:ascii="宋体" w:hAnsi="宋体" w:cs="宋体"/>
          <w:color w:val="auto"/>
          <w:szCs w:val="28"/>
          <w:highlight w:val="none"/>
          <w:lang w:val="en-US" w:eastAsia="zh-CN"/>
        </w:rPr>
        <w:t>、</w:t>
      </w:r>
      <w:r>
        <w:rPr>
          <w:rFonts w:hint="eastAsia" w:ascii="宋体" w:hAnsi="宋体" w:cs="宋体"/>
          <w:color w:val="auto"/>
          <w:szCs w:val="28"/>
          <w:highlight w:val="none"/>
        </w:rPr>
        <w:t>房地产估价机构</w:t>
      </w:r>
      <w:r>
        <w:rPr>
          <w:color w:val="auto"/>
          <w:highlight w:val="none"/>
        </w:rPr>
        <w:tab/>
      </w:r>
      <w:r>
        <w:rPr>
          <w:color w:val="auto"/>
          <w:highlight w:val="none"/>
        </w:rPr>
        <w:fldChar w:fldCharType="begin"/>
      </w:r>
      <w:r>
        <w:rPr>
          <w:color w:val="auto"/>
          <w:highlight w:val="none"/>
        </w:rPr>
        <w:instrText xml:space="preserve"> PAGEREF _Toc29354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_Toc10930 </w:instrText>
      </w:r>
      <w:r>
        <w:rPr>
          <w:rFonts w:hint="eastAsia" w:ascii="宋体" w:hAnsi="宋体" w:cs="宋体"/>
          <w:color w:val="auto"/>
          <w:highlight w:val="none"/>
        </w:rPr>
        <w:fldChar w:fldCharType="separate"/>
      </w:r>
      <w:r>
        <w:rPr>
          <w:rFonts w:hint="eastAsia" w:ascii="宋体" w:hAnsi="宋体" w:cs="宋体"/>
          <w:color w:val="auto"/>
          <w:szCs w:val="28"/>
          <w:highlight w:val="none"/>
          <w:lang w:eastAsia="zh-CN"/>
        </w:rPr>
        <w:t>三</w:t>
      </w:r>
      <w:r>
        <w:rPr>
          <w:rFonts w:hint="eastAsia" w:ascii="宋体" w:hAnsi="宋体" w:cs="宋体"/>
          <w:color w:val="auto"/>
          <w:szCs w:val="28"/>
          <w:highlight w:val="none"/>
          <w:lang w:val="en-US" w:eastAsia="zh-CN"/>
        </w:rPr>
        <w:t>、</w:t>
      </w:r>
      <w:r>
        <w:rPr>
          <w:rFonts w:hint="eastAsia" w:ascii="宋体" w:hAnsi="宋体" w:cs="宋体"/>
          <w:color w:val="auto"/>
          <w:szCs w:val="28"/>
          <w:highlight w:val="none"/>
        </w:rPr>
        <w:t>估价目的</w:t>
      </w:r>
      <w:r>
        <w:rPr>
          <w:color w:val="auto"/>
          <w:highlight w:val="none"/>
        </w:rPr>
        <w:tab/>
      </w:r>
      <w:r>
        <w:rPr>
          <w:color w:val="auto"/>
          <w:highlight w:val="none"/>
        </w:rPr>
        <w:fldChar w:fldCharType="begin"/>
      </w:r>
      <w:r>
        <w:rPr>
          <w:color w:val="auto"/>
          <w:highlight w:val="none"/>
        </w:rPr>
        <w:instrText xml:space="preserve"> PAGEREF _Toc10930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_Toc7441 </w:instrText>
      </w:r>
      <w:r>
        <w:rPr>
          <w:rFonts w:hint="eastAsia" w:ascii="宋体" w:hAnsi="宋体" w:cs="宋体"/>
          <w:color w:val="auto"/>
          <w:highlight w:val="none"/>
        </w:rPr>
        <w:fldChar w:fldCharType="separate"/>
      </w:r>
      <w:r>
        <w:rPr>
          <w:rFonts w:hint="eastAsia" w:ascii="宋体" w:hAnsi="宋体" w:cs="宋体"/>
          <w:color w:val="auto"/>
          <w:szCs w:val="28"/>
          <w:highlight w:val="none"/>
          <w:lang w:eastAsia="zh-CN"/>
        </w:rPr>
        <w:t>四</w:t>
      </w:r>
      <w:r>
        <w:rPr>
          <w:rFonts w:hint="eastAsia" w:ascii="宋体" w:hAnsi="宋体" w:cs="宋体"/>
          <w:color w:val="auto"/>
          <w:szCs w:val="28"/>
          <w:highlight w:val="none"/>
          <w:lang w:val="en-US" w:eastAsia="zh-CN"/>
        </w:rPr>
        <w:t>、</w:t>
      </w:r>
      <w:r>
        <w:rPr>
          <w:rFonts w:hint="eastAsia" w:ascii="宋体" w:hAnsi="宋体" w:cs="宋体"/>
          <w:color w:val="auto"/>
          <w:szCs w:val="28"/>
          <w:highlight w:val="none"/>
        </w:rPr>
        <w:t>估价对象</w:t>
      </w:r>
      <w:r>
        <w:rPr>
          <w:color w:val="auto"/>
          <w:highlight w:val="none"/>
        </w:rPr>
        <w:tab/>
      </w:r>
      <w:r>
        <w:rPr>
          <w:color w:val="auto"/>
          <w:highlight w:val="none"/>
        </w:rPr>
        <w:fldChar w:fldCharType="begin"/>
      </w:r>
      <w:r>
        <w:rPr>
          <w:color w:val="auto"/>
          <w:highlight w:val="none"/>
        </w:rPr>
        <w:instrText xml:space="preserve"> PAGEREF _Toc7441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_Toc2051 </w:instrText>
      </w:r>
      <w:r>
        <w:rPr>
          <w:rFonts w:hint="eastAsia" w:ascii="宋体" w:hAnsi="宋体" w:cs="宋体"/>
          <w:color w:val="auto"/>
          <w:highlight w:val="none"/>
        </w:rPr>
        <w:fldChar w:fldCharType="separate"/>
      </w:r>
      <w:r>
        <w:rPr>
          <w:rFonts w:hint="eastAsia" w:ascii="宋体" w:hAnsi="宋体" w:cs="宋体"/>
          <w:color w:val="auto"/>
          <w:szCs w:val="28"/>
          <w:highlight w:val="none"/>
        </w:rPr>
        <w:t>五、价值时点</w:t>
      </w:r>
      <w:r>
        <w:rPr>
          <w:color w:val="auto"/>
          <w:highlight w:val="none"/>
        </w:rPr>
        <w:tab/>
      </w:r>
      <w:r>
        <w:rPr>
          <w:color w:val="auto"/>
          <w:highlight w:val="none"/>
        </w:rPr>
        <w:fldChar w:fldCharType="begin"/>
      </w:r>
      <w:r>
        <w:rPr>
          <w:color w:val="auto"/>
          <w:highlight w:val="none"/>
        </w:rPr>
        <w:instrText xml:space="preserve"> PAGEREF _Toc2051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_Toc3247 </w:instrText>
      </w:r>
      <w:r>
        <w:rPr>
          <w:rFonts w:hint="eastAsia" w:ascii="宋体" w:hAnsi="宋体" w:cs="宋体"/>
          <w:color w:val="auto"/>
          <w:highlight w:val="none"/>
        </w:rPr>
        <w:fldChar w:fldCharType="separate"/>
      </w:r>
      <w:r>
        <w:rPr>
          <w:rFonts w:hint="eastAsia" w:ascii="宋体" w:hAnsi="宋体" w:cs="宋体"/>
          <w:color w:val="auto"/>
          <w:szCs w:val="28"/>
          <w:highlight w:val="none"/>
          <w:lang w:eastAsia="zh-CN"/>
        </w:rPr>
        <w:t>六、</w:t>
      </w:r>
      <w:r>
        <w:rPr>
          <w:rFonts w:hint="eastAsia" w:ascii="宋体" w:hAnsi="宋体" w:cs="宋体"/>
          <w:color w:val="auto"/>
          <w:szCs w:val="28"/>
          <w:highlight w:val="none"/>
        </w:rPr>
        <w:t>价值类型</w:t>
      </w:r>
      <w:r>
        <w:rPr>
          <w:color w:val="auto"/>
          <w:highlight w:val="none"/>
        </w:rPr>
        <w:tab/>
      </w:r>
      <w:r>
        <w:rPr>
          <w:color w:val="auto"/>
          <w:highlight w:val="none"/>
        </w:rPr>
        <w:fldChar w:fldCharType="begin"/>
      </w:r>
      <w:r>
        <w:rPr>
          <w:color w:val="auto"/>
          <w:highlight w:val="none"/>
        </w:rPr>
        <w:instrText xml:space="preserve"> PAGEREF _Toc3247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_Toc19219 </w:instrText>
      </w:r>
      <w:r>
        <w:rPr>
          <w:rFonts w:hint="eastAsia" w:ascii="宋体" w:hAnsi="宋体" w:cs="宋体"/>
          <w:color w:val="auto"/>
          <w:highlight w:val="none"/>
        </w:rPr>
        <w:fldChar w:fldCharType="separate"/>
      </w:r>
      <w:r>
        <w:rPr>
          <w:rFonts w:hint="eastAsia" w:ascii="宋体" w:hAnsi="宋体" w:cs="宋体"/>
          <w:color w:val="auto"/>
          <w:szCs w:val="28"/>
          <w:highlight w:val="none"/>
        </w:rPr>
        <w:t>七、估价原则</w:t>
      </w:r>
      <w:r>
        <w:rPr>
          <w:color w:val="auto"/>
          <w:highlight w:val="none"/>
        </w:rPr>
        <w:tab/>
      </w:r>
      <w:r>
        <w:rPr>
          <w:color w:val="auto"/>
          <w:highlight w:val="none"/>
        </w:rPr>
        <w:fldChar w:fldCharType="begin"/>
      </w:r>
      <w:r>
        <w:rPr>
          <w:color w:val="auto"/>
          <w:highlight w:val="none"/>
        </w:rPr>
        <w:instrText xml:space="preserve"> PAGEREF _Toc19219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_Toc5084 </w:instrText>
      </w:r>
      <w:r>
        <w:rPr>
          <w:rFonts w:hint="eastAsia" w:ascii="宋体" w:hAnsi="宋体" w:cs="宋体"/>
          <w:color w:val="auto"/>
          <w:highlight w:val="none"/>
        </w:rPr>
        <w:fldChar w:fldCharType="separate"/>
      </w:r>
      <w:r>
        <w:rPr>
          <w:rFonts w:hint="eastAsia" w:ascii="宋体" w:hAnsi="宋体" w:cs="宋体"/>
          <w:color w:val="auto"/>
          <w:szCs w:val="28"/>
          <w:highlight w:val="none"/>
        </w:rPr>
        <w:t>八、估价依据</w:t>
      </w:r>
      <w:r>
        <w:rPr>
          <w:color w:val="auto"/>
          <w:highlight w:val="none"/>
        </w:rPr>
        <w:tab/>
      </w:r>
      <w:r>
        <w:rPr>
          <w:color w:val="auto"/>
          <w:highlight w:val="none"/>
        </w:rPr>
        <w:fldChar w:fldCharType="begin"/>
      </w:r>
      <w:r>
        <w:rPr>
          <w:color w:val="auto"/>
          <w:highlight w:val="none"/>
        </w:rPr>
        <w:instrText xml:space="preserve"> PAGEREF _Toc5084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_Toc12814 </w:instrText>
      </w:r>
      <w:r>
        <w:rPr>
          <w:rFonts w:hint="eastAsia" w:ascii="宋体" w:hAnsi="宋体" w:cs="宋体"/>
          <w:color w:val="auto"/>
          <w:highlight w:val="none"/>
        </w:rPr>
        <w:fldChar w:fldCharType="separate"/>
      </w:r>
      <w:r>
        <w:rPr>
          <w:rFonts w:hint="eastAsia" w:ascii="宋体" w:hAnsi="宋体" w:cs="宋体"/>
          <w:color w:val="auto"/>
          <w:szCs w:val="28"/>
          <w:highlight w:val="none"/>
        </w:rPr>
        <w:t>九、估价方法</w:t>
      </w:r>
      <w:r>
        <w:rPr>
          <w:color w:val="auto"/>
          <w:highlight w:val="none"/>
        </w:rPr>
        <w:tab/>
      </w:r>
      <w:r>
        <w:rPr>
          <w:color w:val="auto"/>
          <w:highlight w:val="none"/>
        </w:rPr>
        <w:fldChar w:fldCharType="begin"/>
      </w:r>
      <w:r>
        <w:rPr>
          <w:color w:val="auto"/>
          <w:highlight w:val="none"/>
        </w:rPr>
        <w:instrText xml:space="preserve"> PAGEREF _Toc12814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_Toc8322 </w:instrText>
      </w:r>
      <w:r>
        <w:rPr>
          <w:rFonts w:hint="eastAsia" w:ascii="宋体" w:hAnsi="宋体" w:cs="宋体"/>
          <w:color w:val="auto"/>
          <w:highlight w:val="none"/>
        </w:rPr>
        <w:fldChar w:fldCharType="separate"/>
      </w:r>
      <w:r>
        <w:rPr>
          <w:rFonts w:hint="eastAsia" w:ascii="宋体" w:hAnsi="宋体" w:cs="宋体"/>
          <w:color w:val="auto"/>
          <w:szCs w:val="28"/>
          <w:highlight w:val="none"/>
        </w:rPr>
        <w:t>十、估价结果</w:t>
      </w:r>
      <w:r>
        <w:rPr>
          <w:color w:val="auto"/>
          <w:highlight w:val="none"/>
        </w:rPr>
        <w:tab/>
      </w:r>
      <w:r>
        <w:rPr>
          <w:color w:val="auto"/>
          <w:highlight w:val="none"/>
        </w:rPr>
        <w:fldChar w:fldCharType="begin"/>
      </w:r>
      <w:r>
        <w:rPr>
          <w:color w:val="auto"/>
          <w:highlight w:val="none"/>
        </w:rPr>
        <w:instrText xml:space="preserve"> PAGEREF _Toc8322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_Toc8699 </w:instrText>
      </w:r>
      <w:r>
        <w:rPr>
          <w:rFonts w:hint="eastAsia" w:ascii="宋体" w:hAnsi="宋体" w:cs="宋体"/>
          <w:color w:val="auto"/>
          <w:highlight w:val="none"/>
        </w:rPr>
        <w:fldChar w:fldCharType="separate"/>
      </w:r>
      <w:r>
        <w:rPr>
          <w:rFonts w:hint="eastAsia" w:ascii="宋体" w:hAnsi="宋体" w:eastAsia="宋体"/>
          <w:color w:val="auto"/>
          <w:w w:val="100"/>
          <w:highlight w:val="none"/>
          <w:lang w:eastAsia="zh-CN"/>
        </w:rPr>
        <w:t>十一、注册房地产估价师</w:t>
      </w:r>
      <w:r>
        <w:rPr>
          <w:color w:val="auto"/>
          <w:highlight w:val="none"/>
        </w:rPr>
        <w:tab/>
      </w:r>
      <w:r>
        <w:rPr>
          <w:color w:val="auto"/>
          <w:highlight w:val="none"/>
        </w:rPr>
        <w:fldChar w:fldCharType="begin"/>
      </w:r>
      <w:r>
        <w:rPr>
          <w:color w:val="auto"/>
          <w:highlight w:val="none"/>
        </w:rPr>
        <w:instrText xml:space="preserve"> PAGEREF _Toc8699 \h </w:instrText>
      </w:r>
      <w:r>
        <w:rPr>
          <w:color w:val="auto"/>
          <w:highlight w:val="none"/>
        </w:rPr>
        <w:fldChar w:fldCharType="separate"/>
      </w:r>
      <w:r>
        <w:rPr>
          <w:color w:val="auto"/>
          <w:highlight w:val="none"/>
        </w:rPr>
        <w:t>12</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_Toc32579 </w:instrText>
      </w:r>
      <w:r>
        <w:rPr>
          <w:rFonts w:hint="eastAsia" w:ascii="宋体" w:hAnsi="宋体" w:cs="宋体"/>
          <w:color w:val="auto"/>
          <w:highlight w:val="none"/>
        </w:rPr>
        <w:fldChar w:fldCharType="separate"/>
      </w:r>
      <w:r>
        <w:rPr>
          <w:rFonts w:hint="eastAsia" w:ascii="宋体" w:hAnsi="宋体" w:cs="宋体"/>
          <w:color w:val="auto"/>
          <w:szCs w:val="28"/>
          <w:highlight w:val="none"/>
          <w:lang w:eastAsia="zh-CN"/>
        </w:rPr>
        <w:t>十二、</w:t>
      </w:r>
      <w:r>
        <w:rPr>
          <w:rFonts w:hint="eastAsia" w:ascii="宋体" w:hAnsi="宋体" w:cs="宋体"/>
          <w:color w:val="auto"/>
          <w:szCs w:val="28"/>
          <w:highlight w:val="none"/>
        </w:rPr>
        <w:t>实地勘查期</w:t>
      </w:r>
      <w:r>
        <w:rPr>
          <w:color w:val="auto"/>
          <w:highlight w:val="none"/>
        </w:rPr>
        <w:tab/>
      </w:r>
      <w:r>
        <w:rPr>
          <w:color w:val="auto"/>
          <w:highlight w:val="none"/>
        </w:rPr>
        <w:fldChar w:fldCharType="begin"/>
      </w:r>
      <w:r>
        <w:rPr>
          <w:color w:val="auto"/>
          <w:highlight w:val="none"/>
        </w:rPr>
        <w:instrText xml:space="preserve"> PAGEREF _Toc32579 \h </w:instrText>
      </w:r>
      <w:r>
        <w:rPr>
          <w:color w:val="auto"/>
          <w:highlight w:val="none"/>
        </w:rPr>
        <w:fldChar w:fldCharType="separate"/>
      </w:r>
      <w:r>
        <w:rPr>
          <w:color w:val="auto"/>
          <w:highlight w:val="none"/>
        </w:rPr>
        <w:t>12</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_Toc10691 </w:instrText>
      </w:r>
      <w:r>
        <w:rPr>
          <w:rFonts w:hint="eastAsia" w:ascii="宋体" w:hAnsi="宋体" w:cs="宋体"/>
          <w:color w:val="auto"/>
          <w:highlight w:val="none"/>
        </w:rPr>
        <w:fldChar w:fldCharType="separate"/>
      </w:r>
      <w:r>
        <w:rPr>
          <w:rFonts w:hint="eastAsia" w:ascii="宋体" w:hAnsi="宋体" w:cs="宋体"/>
          <w:color w:val="auto"/>
          <w:szCs w:val="28"/>
          <w:highlight w:val="none"/>
          <w:lang w:eastAsia="zh-CN"/>
        </w:rPr>
        <w:t>十三、</w:t>
      </w:r>
      <w:r>
        <w:rPr>
          <w:rFonts w:hint="eastAsia" w:ascii="宋体" w:hAnsi="宋体" w:cs="宋体"/>
          <w:color w:val="auto"/>
          <w:szCs w:val="28"/>
          <w:highlight w:val="none"/>
        </w:rPr>
        <w:t>估价作业期</w:t>
      </w:r>
      <w:r>
        <w:rPr>
          <w:color w:val="auto"/>
          <w:highlight w:val="none"/>
        </w:rPr>
        <w:tab/>
      </w:r>
      <w:r>
        <w:rPr>
          <w:color w:val="auto"/>
          <w:highlight w:val="none"/>
        </w:rPr>
        <w:fldChar w:fldCharType="begin"/>
      </w:r>
      <w:r>
        <w:rPr>
          <w:color w:val="auto"/>
          <w:highlight w:val="none"/>
        </w:rPr>
        <w:instrText xml:space="preserve"> PAGEREF _Toc10691 \h </w:instrText>
      </w:r>
      <w:r>
        <w:rPr>
          <w:color w:val="auto"/>
          <w:highlight w:val="none"/>
        </w:rPr>
        <w:fldChar w:fldCharType="separate"/>
      </w:r>
      <w:r>
        <w:rPr>
          <w:color w:val="auto"/>
          <w:highlight w:val="none"/>
        </w:rPr>
        <w:t>12</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_Toc27886 </w:instrText>
      </w:r>
      <w:r>
        <w:rPr>
          <w:rFonts w:hint="eastAsia" w:ascii="宋体" w:hAnsi="宋体" w:cs="宋体"/>
          <w:color w:val="auto"/>
          <w:highlight w:val="none"/>
        </w:rPr>
        <w:fldChar w:fldCharType="separate"/>
      </w:r>
      <w:r>
        <w:rPr>
          <w:rFonts w:hint="eastAsia" w:ascii="宋体" w:hAnsi="宋体" w:cs="宋体"/>
          <w:color w:val="auto"/>
          <w:szCs w:val="28"/>
          <w:highlight w:val="none"/>
        </w:rPr>
        <w:t>十四、评估报告</w:t>
      </w:r>
      <w:r>
        <w:rPr>
          <w:rFonts w:hint="eastAsia" w:ascii="宋体" w:hAnsi="宋体" w:cs="宋体"/>
          <w:color w:val="auto"/>
          <w:szCs w:val="28"/>
          <w:highlight w:val="none"/>
          <w:lang w:eastAsia="zh-CN"/>
        </w:rPr>
        <w:t>使用</w:t>
      </w:r>
      <w:r>
        <w:rPr>
          <w:rFonts w:hint="eastAsia" w:ascii="宋体" w:hAnsi="宋体" w:cs="宋体"/>
          <w:color w:val="auto"/>
          <w:szCs w:val="28"/>
          <w:highlight w:val="none"/>
        </w:rPr>
        <w:t>的有效期限</w:t>
      </w:r>
      <w:r>
        <w:rPr>
          <w:color w:val="auto"/>
          <w:highlight w:val="none"/>
        </w:rPr>
        <w:tab/>
      </w:r>
      <w:r>
        <w:rPr>
          <w:color w:val="auto"/>
          <w:highlight w:val="none"/>
        </w:rPr>
        <w:fldChar w:fldCharType="begin"/>
      </w:r>
      <w:r>
        <w:rPr>
          <w:color w:val="auto"/>
          <w:highlight w:val="none"/>
        </w:rPr>
        <w:instrText xml:space="preserve"> PAGEREF _Toc27886 \h </w:instrText>
      </w:r>
      <w:r>
        <w:rPr>
          <w:color w:val="auto"/>
          <w:highlight w:val="none"/>
        </w:rPr>
        <w:fldChar w:fldCharType="separate"/>
      </w:r>
      <w:r>
        <w:rPr>
          <w:color w:val="auto"/>
          <w:highlight w:val="none"/>
        </w:rPr>
        <w:t>12</w:t>
      </w:r>
      <w:r>
        <w:rPr>
          <w:color w:val="auto"/>
          <w:highlight w:val="none"/>
        </w:rPr>
        <w:fldChar w:fldCharType="end"/>
      </w:r>
      <w:r>
        <w:rPr>
          <w:rFonts w:hint="eastAsia" w:ascii="宋体" w:hAnsi="宋体" w:cs="宋体"/>
          <w:color w:val="auto"/>
          <w:highlight w:val="none"/>
        </w:rPr>
        <w:fldChar w:fldCharType="end"/>
      </w:r>
    </w:p>
    <w:p>
      <w:pPr>
        <w:pStyle w:val="5"/>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_Toc6902 </w:instrText>
      </w:r>
      <w:r>
        <w:rPr>
          <w:rFonts w:hint="eastAsia" w:ascii="宋体" w:hAnsi="宋体" w:cs="宋体"/>
          <w:color w:val="auto"/>
          <w:highlight w:val="none"/>
        </w:rPr>
        <w:fldChar w:fldCharType="separate"/>
      </w:r>
      <w:r>
        <w:rPr>
          <w:rFonts w:hint="eastAsia" w:ascii="宋体" w:hAnsi="宋体" w:eastAsia="宋体" w:cs="宋体"/>
          <w:color w:val="auto"/>
          <w:spacing w:val="113"/>
          <w:szCs w:val="44"/>
          <w:highlight w:val="none"/>
        </w:rPr>
        <w:t>附件</w:t>
      </w:r>
      <w:r>
        <w:rPr>
          <w:color w:val="auto"/>
          <w:highlight w:val="none"/>
        </w:rPr>
        <w:tab/>
      </w:r>
      <w:r>
        <w:rPr>
          <w:color w:val="auto"/>
          <w:highlight w:val="none"/>
        </w:rPr>
        <w:fldChar w:fldCharType="begin"/>
      </w:r>
      <w:r>
        <w:rPr>
          <w:color w:val="auto"/>
          <w:highlight w:val="none"/>
        </w:rPr>
        <w:instrText xml:space="preserve"> PAGEREF _Toc6902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_Toc12168 </w:instrText>
      </w:r>
      <w:r>
        <w:rPr>
          <w:rFonts w:hint="eastAsia" w:ascii="宋体" w:hAnsi="宋体" w:cs="宋体"/>
          <w:color w:val="auto"/>
          <w:highlight w:val="none"/>
        </w:rPr>
        <w:fldChar w:fldCharType="separate"/>
      </w:r>
      <w:r>
        <w:rPr>
          <w:rFonts w:hint="eastAsia"/>
          <w:color w:val="auto"/>
          <w:szCs w:val="28"/>
          <w:highlight w:val="none"/>
          <w:lang w:val="en-US" w:eastAsia="zh-CN"/>
        </w:rPr>
        <w:t>一</w:t>
      </w:r>
      <w:r>
        <w:rPr>
          <w:rFonts w:hint="eastAsia"/>
          <w:color w:val="auto"/>
          <w:szCs w:val="28"/>
          <w:highlight w:val="none"/>
          <w:lang w:eastAsia="zh-CN"/>
        </w:rPr>
        <w:t>、法院评估委托书</w:t>
      </w:r>
      <w:r>
        <w:rPr>
          <w:color w:val="auto"/>
          <w:highlight w:val="none"/>
        </w:rPr>
        <w:tab/>
      </w:r>
      <w:r>
        <w:rPr>
          <w:color w:val="auto"/>
          <w:highlight w:val="none"/>
        </w:rPr>
        <w:fldChar w:fldCharType="begin"/>
      </w:r>
      <w:r>
        <w:rPr>
          <w:color w:val="auto"/>
          <w:highlight w:val="none"/>
        </w:rPr>
        <w:instrText xml:space="preserve"> PAGEREF _Toc12168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rFonts w:hint="eastAsia" w:ascii="宋体" w:hAnsi="宋体" w:cs="宋体"/>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_Toc28066 </w:instrText>
      </w:r>
      <w:r>
        <w:rPr>
          <w:rFonts w:hint="eastAsia" w:ascii="宋体" w:hAnsi="宋体" w:cs="宋体"/>
          <w:color w:val="auto"/>
          <w:highlight w:val="none"/>
        </w:rPr>
        <w:fldChar w:fldCharType="separate"/>
      </w:r>
      <w:r>
        <w:rPr>
          <w:rFonts w:hint="eastAsia"/>
          <w:color w:val="auto"/>
          <w:szCs w:val="28"/>
          <w:highlight w:val="none"/>
          <w:lang w:eastAsia="zh-CN"/>
        </w:rPr>
        <w:t>二、估价对象位置示意图</w:t>
      </w:r>
      <w:r>
        <w:rPr>
          <w:color w:val="auto"/>
          <w:highlight w:val="none"/>
        </w:rPr>
        <w:tab/>
      </w:r>
      <w:r>
        <w:rPr>
          <w:color w:val="auto"/>
          <w:highlight w:val="none"/>
        </w:rPr>
        <w:fldChar w:fldCharType="begin"/>
      </w:r>
      <w:r>
        <w:rPr>
          <w:color w:val="auto"/>
          <w:highlight w:val="none"/>
        </w:rPr>
        <w:instrText xml:space="preserve"> PAGEREF _Toc28066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_Toc28066 </w:instrText>
      </w:r>
      <w:r>
        <w:rPr>
          <w:rFonts w:hint="eastAsia" w:ascii="宋体" w:hAnsi="宋体" w:cs="宋体"/>
          <w:color w:val="auto"/>
          <w:highlight w:val="none"/>
        </w:rPr>
        <w:fldChar w:fldCharType="separate"/>
      </w:r>
      <w:r>
        <w:rPr>
          <w:rFonts w:hint="eastAsia"/>
          <w:color w:val="auto"/>
          <w:szCs w:val="28"/>
          <w:highlight w:val="none"/>
          <w:lang w:eastAsia="zh-CN"/>
        </w:rPr>
        <w:t>三、产权信息复印件</w:t>
      </w:r>
      <w:r>
        <w:rPr>
          <w:color w:val="auto"/>
          <w:highlight w:val="none"/>
        </w:rPr>
        <w:tab/>
      </w:r>
      <w:r>
        <w:rPr>
          <w:color w:val="auto"/>
          <w:highlight w:val="none"/>
        </w:rPr>
        <w:fldChar w:fldCharType="begin"/>
      </w:r>
      <w:r>
        <w:rPr>
          <w:color w:val="auto"/>
          <w:highlight w:val="none"/>
        </w:rPr>
        <w:instrText xml:space="preserve"> PAGEREF _Toc28066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_Toc28754 </w:instrText>
      </w:r>
      <w:r>
        <w:rPr>
          <w:rFonts w:hint="eastAsia" w:ascii="宋体" w:hAnsi="宋体" w:cs="宋体"/>
          <w:color w:val="auto"/>
          <w:highlight w:val="none"/>
        </w:rPr>
        <w:fldChar w:fldCharType="separate"/>
      </w:r>
      <w:r>
        <w:rPr>
          <w:rFonts w:hint="eastAsia"/>
          <w:color w:val="auto"/>
          <w:szCs w:val="28"/>
          <w:highlight w:val="none"/>
          <w:lang w:val="en-US" w:eastAsia="zh-CN"/>
        </w:rPr>
        <w:t>四</w:t>
      </w:r>
      <w:r>
        <w:rPr>
          <w:rFonts w:hint="eastAsia"/>
          <w:color w:val="auto"/>
          <w:szCs w:val="28"/>
          <w:highlight w:val="none"/>
          <w:lang w:eastAsia="zh-CN"/>
        </w:rPr>
        <w:t>、现场勘查拍照片打印件</w:t>
      </w:r>
      <w:r>
        <w:rPr>
          <w:color w:val="auto"/>
          <w:highlight w:val="none"/>
        </w:rPr>
        <w:tab/>
      </w:r>
      <w:r>
        <w:rPr>
          <w:color w:val="auto"/>
          <w:highlight w:val="none"/>
        </w:rPr>
        <w:fldChar w:fldCharType="begin"/>
      </w:r>
      <w:r>
        <w:rPr>
          <w:color w:val="auto"/>
          <w:highlight w:val="none"/>
        </w:rPr>
        <w:instrText xml:space="preserve"> PAGEREF _Toc28754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_Toc24574 </w:instrText>
      </w:r>
      <w:r>
        <w:rPr>
          <w:rFonts w:hint="eastAsia" w:ascii="宋体" w:hAnsi="宋体" w:cs="宋体"/>
          <w:color w:val="auto"/>
          <w:highlight w:val="none"/>
        </w:rPr>
        <w:fldChar w:fldCharType="separate"/>
      </w:r>
      <w:r>
        <w:rPr>
          <w:rFonts w:hint="eastAsia"/>
          <w:color w:val="auto"/>
          <w:szCs w:val="28"/>
          <w:highlight w:val="none"/>
          <w:lang w:val="en-US" w:eastAsia="zh-CN"/>
        </w:rPr>
        <w:t>五</w:t>
      </w:r>
      <w:r>
        <w:rPr>
          <w:rFonts w:hint="eastAsia"/>
          <w:color w:val="auto"/>
          <w:szCs w:val="28"/>
          <w:highlight w:val="none"/>
          <w:lang w:eastAsia="zh-CN"/>
        </w:rPr>
        <w:t>、收费情况</w:t>
      </w:r>
      <w:r>
        <w:rPr>
          <w:color w:val="auto"/>
          <w:highlight w:val="none"/>
        </w:rPr>
        <w:tab/>
      </w:r>
      <w:r>
        <w:rPr>
          <w:color w:val="auto"/>
          <w:highlight w:val="none"/>
        </w:rPr>
        <w:fldChar w:fldCharType="begin"/>
      </w:r>
      <w:r>
        <w:rPr>
          <w:color w:val="auto"/>
          <w:highlight w:val="none"/>
        </w:rPr>
        <w:instrText xml:space="preserve"> PAGEREF _Toc24574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_Toc23988 </w:instrText>
      </w:r>
      <w:r>
        <w:rPr>
          <w:rFonts w:hint="eastAsia" w:ascii="宋体" w:hAnsi="宋体" w:cs="宋体"/>
          <w:color w:val="auto"/>
          <w:highlight w:val="none"/>
        </w:rPr>
        <w:fldChar w:fldCharType="separate"/>
      </w:r>
      <w:r>
        <w:rPr>
          <w:rFonts w:hint="eastAsia"/>
          <w:color w:val="auto"/>
          <w:szCs w:val="28"/>
          <w:highlight w:val="none"/>
          <w:lang w:val="en-US" w:eastAsia="zh-CN"/>
        </w:rPr>
        <w:t>六</w:t>
      </w:r>
      <w:r>
        <w:rPr>
          <w:rFonts w:hint="eastAsia"/>
          <w:color w:val="auto"/>
          <w:szCs w:val="28"/>
          <w:highlight w:val="none"/>
          <w:lang w:eastAsia="zh-CN"/>
        </w:rPr>
        <w:t>、房地产估价机构资质证书复印件</w:t>
      </w:r>
      <w:r>
        <w:rPr>
          <w:color w:val="auto"/>
          <w:highlight w:val="none"/>
        </w:rPr>
        <w:tab/>
      </w:r>
      <w:r>
        <w:rPr>
          <w:color w:val="auto"/>
          <w:highlight w:val="none"/>
        </w:rPr>
        <w:fldChar w:fldCharType="begin"/>
      </w:r>
      <w:r>
        <w:rPr>
          <w:color w:val="auto"/>
          <w:highlight w:val="none"/>
        </w:rPr>
        <w:instrText xml:space="preserve"> PAGEREF _Toc23988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_Toc8849 </w:instrText>
      </w:r>
      <w:r>
        <w:rPr>
          <w:rFonts w:hint="eastAsia" w:ascii="宋体" w:hAnsi="宋体" w:cs="宋体"/>
          <w:color w:val="auto"/>
          <w:highlight w:val="none"/>
        </w:rPr>
        <w:fldChar w:fldCharType="separate"/>
      </w:r>
      <w:r>
        <w:rPr>
          <w:rFonts w:hint="eastAsia"/>
          <w:color w:val="auto"/>
          <w:szCs w:val="28"/>
          <w:highlight w:val="none"/>
          <w:lang w:val="en-US" w:eastAsia="zh-CN"/>
        </w:rPr>
        <w:t>七</w:t>
      </w:r>
      <w:r>
        <w:rPr>
          <w:rFonts w:hint="eastAsia"/>
          <w:color w:val="auto"/>
          <w:szCs w:val="28"/>
          <w:highlight w:val="none"/>
          <w:lang w:eastAsia="zh-CN"/>
        </w:rPr>
        <w:t>、企业法人营业执照复印件</w:t>
      </w:r>
      <w:r>
        <w:rPr>
          <w:color w:val="auto"/>
          <w:highlight w:val="none"/>
        </w:rPr>
        <w:tab/>
      </w:r>
      <w:r>
        <w:rPr>
          <w:color w:val="auto"/>
          <w:highlight w:val="none"/>
        </w:rPr>
        <w:fldChar w:fldCharType="begin"/>
      </w:r>
      <w:r>
        <w:rPr>
          <w:color w:val="auto"/>
          <w:highlight w:val="none"/>
        </w:rPr>
        <w:instrText xml:space="preserve"> PAGEREF _Toc8849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color w:val="auto"/>
          <w:highlight w:val="none"/>
        </w:rPr>
        <w:fldChar w:fldCharType="end"/>
      </w:r>
    </w:p>
    <w:p>
      <w:pPr>
        <w:pStyle w:val="6"/>
        <w:tabs>
          <w:tab w:val="right" w:leader="dot" w:pos="8817"/>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_Toc28016 </w:instrText>
      </w:r>
      <w:r>
        <w:rPr>
          <w:rFonts w:hint="eastAsia" w:ascii="宋体" w:hAnsi="宋体" w:cs="宋体"/>
          <w:color w:val="auto"/>
          <w:highlight w:val="none"/>
        </w:rPr>
        <w:fldChar w:fldCharType="separate"/>
      </w:r>
      <w:r>
        <w:rPr>
          <w:rFonts w:hint="eastAsia"/>
          <w:color w:val="auto"/>
          <w:szCs w:val="28"/>
          <w:highlight w:val="none"/>
          <w:lang w:val="en-US" w:eastAsia="zh-CN"/>
        </w:rPr>
        <w:t>八</w:t>
      </w:r>
      <w:r>
        <w:rPr>
          <w:rFonts w:hint="eastAsia"/>
          <w:color w:val="auto"/>
          <w:szCs w:val="28"/>
          <w:highlight w:val="none"/>
          <w:lang w:eastAsia="zh-CN"/>
        </w:rPr>
        <w:t>、估价师资格证书复印件</w:t>
      </w:r>
      <w:r>
        <w:rPr>
          <w:color w:val="auto"/>
          <w:highlight w:val="none"/>
        </w:rPr>
        <w:tab/>
      </w:r>
      <w:r>
        <w:rPr>
          <w:color w:val="auto"/>
          <w:highlight w:val="none"/>
        </w:rPr>
        <w:fldChar w:fldCharType="begin"/>
      </w:r>
      <w:r>
        <w:rPr>
          <w:color w:val="auto"/>
          <w:highlight w:val="none"/>
        </w:rPr>
        <w:instrText xml:space="preserve"> PAGEREF _Toc28016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color w:val="auto"/>
          <w:highlight w:val="none"/>
        </w:rPr>
        <w:fldChar w:fldCharType="end"/>
      </w:r>
    </w:p>
    <w:p>
      <w:pPr>
        <w:spacing w:line="360" w:lineRule="exact"/>
        <w:jc w:val="center"/>
        <w:rPr>
          <w:rFonts w:hint="eastAsia" w:ascii="宋体" w:hAnsi="宋体" w:cs="宋体"/>
          <w:color w:val="auto"/>
          <w:sz w:val="24"/>
          <w:highlight w:val="none"/>
        </w:rPr>
      </w:pPr>
      <w:r>
        <w:rPr>
          <w:rFonts w:hint="eastAsia" w:ascii="宋体" w:hAnsi="宋体" w:cs="宋体"/>
          <w:color w:val="auto"/>
          <w:highlight w:val="none"/>
        </w:rPr>
        <w:fldChar w:fldCharType="end"/>
      </w:r>
    </w:p>
    <w:p>
      <w:pPr>
        <w:spacing w:line="360" w:lineRule="exact"/>
        <w:jc w:val="center"/>
        <w:rPr>
          <w:rFonts w:hint="eastAsia" w:ascii="宋体" w:hAnsi="宋体" w:cs="宋体"/>
          <w:color w:val="auto"/>
          <w:sz w:val="24"/>
          <w:highlight w:val="none"/>
        </w:rPr>
        <w:sectPr>
          <w:pgSz w:w="11906" w:h="16838"/>
          <w:pgMar w:top="1440" w:right="1468" w:bottom="1088" w:left="1621" w:header="851" w:footer="992" w:gutter="0"/>
          <w:pgNumType w:start="0"/>
          <w:cols w:space="0" w:num="1"/>
          <w:rtlGutter w:val="0"/>
          <w:docGrid w:type="lines" w:linePitch="312" w:charSpace="0"/>
        </w:sectPr>
      </w:pPr>
    </w:p>
    <w:p>
      <w:pPr>
        <w:spacing w:line="600" w:lineRule="exact"/>
        <w:jc w:val="center"/>
        <w:outlineLvl w:val="0"/>
        <w:rPr>
          <w:rFonts w:hint="eastAsia" w:ascii="宋体" w:hAnsi="宋体" w:cs="宋体" w:eastAsiaTheme="minorEastAsia"/>
          <w:color w:val="auto"/>
          <w:spacing w:val="113"/>
          <w:sz w:val="44"/>
          <w:szCs w:val="44"/>
          <w:highlight w:val="none"/>
        </w:rPr>
      </w:pPr>
      <w:bookmarkStart w:id="1" w:name="_Toc20789"/>
      <w:bookmarkStart w:id="2" w:name="_Toc24744"/>
    </w:p>
    <w:p>
      <w:pPr>
        <w:spacing w:line="600" w:lineRule="exact"/>
        <w:jc w:val="center"/>
        <w:outlineLvl w:val="0"/>
        <w:rPr>
          <w:rFonts w:hint="eastAsia" w:ascii="宋体" w:hAnsi="宋体" w:cs="宋体" w:eastAsiaTheme="minorEastAsia"/>
          <w:color w:val="auto"/>
          <w:spacing w:val="113"/>
          <w:sz w:val="44"/>
          <w:szCs w:val="44"/>
          <w:highlight w:val="none"/>
        </w:rPr>
      </w:pPr>
    </w:p>
    <w:p>
      <w:pPr>
        <w:spacing w:line="600" w:lineRule="exact"/>
        <w:jc w:val="center"/>
        <w:outlineLvl w:val="0"/>
        <w:rPr>
          <w:rFonts w:hint="eastAsia" w:ascii="宋体" w:hAnsi="宋体" w:cs="宋体" w:eastAsiaTheme="minorEastAsia"/>
          <w:color w:val="auto"/>
          <w:spacing w:val="113"/>
          <w:sz w:val="44"/>
          <w:szCs w:val="44"/>
          <w:highlight w:val="none"/>
        </w:rPr>
      </w:pPr>
    </w:p>
    <w:p>
      <w:pPr>
        <w:spacing w:line="600" w:lineRule="exact"/>
        <w:jc w:val="center"/>
        <w:outlineLvl w:val="0"/>
        <w:rPr>
          <w:rFonts w:hint="eastAsia" w:ascii="宋体" w:hAnsi="宋体" w:cs="宋体" w:eastAsiaTheme="minorEastAsia"/>
          <w:color w:val="auto"/>
          <w:spacing w:val="113"/>
          <w:sz w:val="44"/>
          <w:szCs w:val="44"/>
          <w:highlight w:val="none"/>
        </w:rPr>
      </w:pPr>
    </w:p>
    <w:p>
      <w:pPr>
        <w:spacing w:line="600" w:lineRule="exact"/>
        <w:jc w:val="center"/>
        <w:outlineLvl w:val="0"/>
        <w:rPr>
          <w:rFonts w:hint="eastAsia" w:ascii="宋体" w:hAnsi="宋体" w:cs="宋体" w:eastAsiaTheme="minorEastAsia"/>
          <w:color w:val="auto"/>
          <w:spacing w:val="113"/>
          <w:sz w:val="44"/>
          <w:szCs w:val="44"/>
          <w:highlight w:val="none"/>
        </w:rPr>
      </w:pPr>
    </w:p>
    <w:p>
      <w:pPr>
        <w:spacing w:line="600" w:lineRule="exact"/>
        <w:jc w:val="center"/>
        <w:outlineLvl w:val="0"/>
        <w:rPr>
          <w:rFonts w:hint="eastAsia" w:ascii="宋体" w:hAnsi="宋体" w:cs="宋体" w:eastAsiaTheme="minorEastAsia"/>
          <w:color w:val="auto"/>
          <w:spacing w:val="113"/>
          <w:sz w:val="44"/>
          <w:szCs w:val="44"/>
          <w:highlight w:val="none"/>
        </w:rPr>
      </w:pPr>
      <w:r>
        <w:rPr>
          <w:rFonts w:hint="eastAsia" w:ascii="宋体" w:hAnsi="宋体" w:cs="宋体" w:eastAsiaTheme="minorEastAsia"/>
          <w:color w:val="auto"/>
          <w:spacing w:val="113"/>
          <w:sz w:val="44"/>
          <w:szCs w:val="44"/>
          <w:highlight w:val="none"/>
        </w:rPr>
        <w:t>估价师声明</w:t>
      </w:r>
      <w:bookmarkEnd w:id="1"/>
      <w:bookmarkEnd w:id="2"/>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我们郑重声明：</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1.我们在本估价报告中陈述的事实是真实的和准确的，没有虚假记载、误导性陈述和重大遗漏；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2.估价报告中的分析、意见和结论是注册房地产估价师独立、客观、公正的专业分析、意见和结论，但受到估价报告中已说明的估价假设和限制条件的限制；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3.注册房地产估价师与估价报告中的估价对象没有现实或潜在的利益，与估价委托人及估价利害关系人没有利害关系，也对估价对象、估价委托人及估价利害关系人没有偏见；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rPr>
        <w:t>4.注册房地产估价师</w:t>
      </w:r>
      <w:r>
        <w:rPr>
          <w:rFonts w:hint="eastAsia" w:ascii="宋体" w:hAnsi="宋体" w:cs="宋体"/>
          <w:color w:val="auto"/>
          <w:sz w:val="28"/>
          <w:szCs w:val="28"/>
          <w:highlight w:val="none"/>
          <w:lang w:eastAsia="zh-CN"/>
        </w:rPr>
        <w:t>是按</w:t>
      </w:r>
      <w:r>
        <w:rPr>
          <w:rFonts w:hint="eastAsia" w:ascii="宋体" w:hAnsi="宋体" w:cs="宋体"/>
          <w:color w:val="auto"/>
          <w:sz w:val="28"/>
          <w:szCs w:val="28"/>
          <w:highlight w:val="none"/>
        </w:rPr>
        <w:t>照中华人民共和国国家标准《房地产估价规范》（GB/T50291-2015）</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《房地产估价基本术语标准》（GB/T50899-2013）进行</w:t>
      </w:r>
      <w:r>
        <w:rPr>
          <w:rFonts w:hint="eastAsia" w:ascii="宋体" w:hAnsi="宋体" w:cs="宋体"/>
          <w:color w:val="auto"/>
          <w:sz w:val="28"/>
          <w:szCs w:val="28"/>
          <w:highlight w:val="none"/>
          <w:lang w:eastAsia="zh-CN"/>
        </w:rPr>
        <w:t>估价工作</w:t>
      </w:r>
      <w:r>
        <w:rPr>
          <w:rFonts w:hint="eastAsia" w:ascii="宋体" w:hAnsi="宋体" w:cs="宋体"/>
          <w:color w:val="auto"/>
          <w:sz w:val="28"/>
          <w:szCs w:val="28"/>
          <w:highlight w:val="none"/>
        </w:rPr>
        <w:t>，形成意见和结论，撰写本估价报告</w:t>
      </w:r>
      <w:r>
        <w:rPr>
          <w:rFonts w:hint="eastAsia" w:ascii="宋体" w:hAnsi="宋体" w:cs="宋体"/>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5.我们的注册</w:t>
      </w:r>
      <w:r>
        <w:rPr>
          <w:rFonts w:hint="eastAsia" w:ascii="宋体" w:hAnsi="宋体" w:cs="宋体"/>
          <w:color w:val="auto"/>
          <w:sz w:val="28"/>
          <w:szCs w:val="28"/>
          <w:highlight w:val="none"/>
          <w:lang w:val="en-US" w:eastAsia="zh-CN"/>
        </w:rPr>
        <w:t>房地产估价师、估价人员</w:t>
      </w:r>
      <w:r>
        <w:rPr>
          <w:rFonts w:hint="eastAsia" w:ascii="宋体" w:hAnsi="宋体" w:cs="宋体"/>
          <w:color w:val="auto"/>
          <w:sz w:val="28"/>
          <w:szCs w:val="28"/>
          <w:highlight w:val="none"/>
          <w:lang w:val="en-US" w:eastAsia="zh-CN"/>
        </w:rPr>
        <w:t>已于</w:t>
      </w:r>
      <w:r>
        <w:rPr>
          <w:rFonts w:hint="eastAsia" w:ascii="宋体" w:hAnsi="宋体" w:cs="宋体"/>
          <w:color w:val="auto"/>
          <w:sz w:val="28"/>
          <w:szCs w:val="28"/>
          <w:highlight w:val="none"/>
          <w:lang w:val="en-US" w:eastAsia="zh-CN"/>
        </w:rPr>
        <w:t>2021年12月21日</w:t>
      </w:r>
      <w:r>
        <w:rPr>
          <w:rFonts w:hint="eastAsia" w:ascii="宋体" w:hAnsi="宋体" w:cs="宋体"/>
          <w:color w:val="auto"/>
          <w:sz w:val="28"/>
          <w:szCs w:val="28"/>
          <w:highlight w:val="none"/>
          <w:lang w:val="en-US" w:eastAsia="zh-CN"/>
        </w:rPr>
        <w:t>对本估价报告中的估价对象建筑结构、室内外装修、配套设施设备等状况进行了实地勘察并进行记录；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6.没有人对本估价报告提供重要专业帮助。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参加本次估价的注册房地产估价师签名或盖章：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2259"/>
        <w:gridCol w:w="1529"/>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center"/>
          </w:tcPr>
          <w:p>
            <w:pPr>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姓名</w:t>
            </w:r>
          </w:p>
        </w:tc>
        <w:tc>
          <w:tcPr>
            <w:tcW w:w="2259" w:type="dxa"/>
            <w:noWrap w:val="0"/>
            <w:vAlign w:val="center"/>
          </w:tcPr>
          <w:p>
            <w:pPr>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注册号</w:t>
            </w:r>
          </w:p>
        </w:tc>
        <w:tc>
          <w:tcPr>
            <w:tcW w:w="1530" w:type="dxa"/>
            <w:noWrap w:val="0"/>
            <w:vAlign w:val="center"/>
          </w:tcPr>
          <w:p>
            <w:pPr>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签章</w:t>
            </w:r>
          </w:p>
        </w:tc>
        <w:tc>
          <w:tcPr>
            <w:tcW w:w="2988" w:type="dxa"/>
            <w:noWrap w:val="0"/>
            <w:vAlign w:val="center"/>
          </w:tcPr>
          <w:p>
            <w:pPr>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签章日期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center"/>
          </w:tcPr>
          <w:p>
            <w:pPr>
              <w:jc w:val="center"/>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eastAsia="zh-CN"/>
              </w:rPr>
              <w:t>刘晓娜</w:t>
            </w:r>
          </w:p>
        </w:tc>
        <w:tc>
          <w:tcPr>
            <w:tcW w:w="2259" w:type="dxa"/>
            <w:noWrap w:val="0"/>
            <w:vAlign w:val="center"/>
          </w:tcPr>
          <w:p>
            <w:pPr>
              <w:jc w:val="center"/>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eastAsia="zh-CN"/>
              </w:rPr>
              <w:t>1520190066</w:t>
            </w:r>
          </w:p>
        </w:tc>
        <w:tc>
          <w:tcPr>
            <w:tcW w:w="1530" w:type="dxa"/>
            <w:noWrap w:val="0"/>
            <w:vAlign w:val="center"/>
          </w:tcPr>
          <w:p>
            <w:pPr>
              <w:jc w:val="center"/>
              <w:rPr>
                <w:rFonts w:hint="eastAsia" w:ascii="宋体" w:hAnsi="宋体" w:cs="宋体"/>
                <w:color w:val="auto"/>
                <w:sz w:val="28"/>
                <w:szCs w:val="28"/>
                <w:highlight w:val="none"/>
              </w:rPr>
            </w:pPr>
          </w:p>
        </w:tc>
        <w:tc>
          <w:tcPr>
            <w:tcW w:w="2988" w:type="dxa"/>
            <w:noWrap w:val="0"/>
            <w:vAlign w:val="center"/>
          </w:tcPr>
          <w:p>
            <w:pPr>
              <w:jc w:val="center"/>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eastAsia="zh-CN"/>
              </w:rPr>
              <w:t>2022年1月26日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center"/>
          </w:tcPr>
          <w:p>
            <w:pPr>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李永秀</w:t>
            </w:r>
          </w:p>
        </w:tc>
        <w:tc>
          <w:tcPr>
            <w:tcW w:w="2259" w:type="dxa"/>
            <w:noWrap w:val="0"/>
            <w:vAlign w:val="center"/>
          </w:tcPr>
          <w:p>
            <w:pPr>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1520060018</w:t>
            </w:r>
          </w:p>
        </w:tc>
        <w:tc>
          <w:tcPr>
            <w:tcW w:w="1530" w:type="dxa"/>
            <w:noWrap w:val="0"/>
            <w:vAlign w:val="center"/>
          </w:tcPr>
          <w:p>
            <w:pPr>
              <w:jc w:val="center"/>
              <w:rPr>
                <w:rFonts w:hint="eastAsia" w:ascii="宋体" w:hAnsi="宋体" w:cs="宋体"/>
                <w:color w:val="auto"/>
                <w:sz w:val="28"/>
                <w:szCs w:val="28"/>
                <w:highlight w:val="none"/>
              </w:rPr>
            </w:pPr>
          </w:p>
        </w:tc>
        <w:tc>
          <w:tcPr>
            <w:tcW w:w="2988" w:type="dxa"/>
            <w:noWrap w:val="0"/>
            <w:vAlign w:val="center"/>
          </w:tcPr>
          <w:p>
            <w:pPr>
              <w:jc w:val="center"/>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eastAsia="zh-CN"/>
              </w:rPr>
              <w:t>2022年1月26日</w:t>
            </w:r>
          </w:p>
        </w:tc>
      </w:tr>
    </w:tbl>
    <w:p>
      <w:pPr>
        <w:rPr>
          <w:rFonts w:hint="eastAsia" w:ascii="宋体" w:hAnsi="宋体" w:cs="宋体"/>
          <w:color w:val="auto"/>
          <w:highlight w:val="none"/>
        </w:rPr>
      </w:pPr>
    </w:p>
    <w:p>
      <w:pPr>
        <w:jc w:val="center"/>
        <w:outlineLvl w:val="0"/>
        <w:rPr>
          <w:rFonts w:hint="eastAsia" w:ascii="宋体" w:hAnsi="宋体" w:eastAsia="宋体" w:cs="宋体"/>
          <w:color w:val="auto"/>
          <w:sz w:val="36"/>
          <w:szCs w:val="36"/>
          <w:highlight w:val="none"/>
        </w:rPr>
      </w:pPr>
      <w:r>
        <w:rPr>
          <w:rFonts w:hint="eastAsia" w:ascii="宋体" w:hAnsi="宋体" w:cs="宋体"/>
          <w:color w:val="auto"/>
          <w:sz w:val="36"/>
          <w:szCs w:val="36"/>
          <w:highlight w:val="none"/>
        </w:rPr>
        <w:br w:type="page"/>
      </w:r>
      <w:bookmarkStart w:id="3" w:name="_Toc16540"/>
      <w:bookmarkStart w:id="4" w:name="_Toc31234"/>
      <w:r>
        <w:rPr>
          <w:rFonts w:hint="eastAsia" w:ascii="宋体" w:hAnsi="宋体" w:eastAsia="宋体" w:cs="宋体"/>
          <w:color w:val="auto"/>
          <w:sz w:val="36"/>
          <w:szCs w:val="36"/>
          <w:highlight w:val="none"/>
        </w:rPr>
        <w:t>估价假设和限制条件</w:t>
      </w:r>
      <w:bookmarkEnd w:id="3"/>
      <w:bookmarkEnd w:id="4"/>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本估价报告中的分析，意见和结论是我们自己公正的专业分析、意见和结论，但受以下及本估价报告中已说明的假设和限制条件的限制：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ascii="宋体" w:hAnsi="宋体" w:eastAsia="宋体" w:cs="宋体"/>
          <w:color w:val="auto"/>
          <w:sz w:val="28"/>
          <w:szCs w:val="28"/>
          <w:highlight w:val="none"/>
        </w:rPr>
      </w:pPr>
      <w:bookmarkStart w:id="5" w:name="_Toc11185"/>
      <w:bookmarkStart w:id="6" w:name="_Toc19361"/>
      <w:r>
        <w:rPr>
          <w:rFonts w:hint="eastAsia" w:ascii="宋体" w:hAnsi="宋体" w:eastAsia="宋体" w:cs="宋体"/>
          <w:color w:val="auto"/>
          <w:sz w:val="28"/>
          <w:szCs w:val="28"/>
          <w:highlight w:val="none"/>
        </w:rPr>
        <w:t>一</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一般假设</w:t>
      </w:r>
      <w:bookmarkEnd w:id="5"/>
      <w:bookmarkEnd w:id="6"/>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（一）</w:t>
      </w:r>
      <w:r>
        <w:rPr>
          <w:rFonts w:hint="eastAsia" w:ascii="宋体" w:hAnsi="宋体" w:eastAsia="宋体" w:cs="宋体"/>
          <w:color w:val="auto"/>
          <w:sz w:val="28"/>
          <w:szCs w:val="28"/>
          <w:highlight w:val="none"/>
        </w:rPr>
        <w:t>本次估价所依据的估价对象的权属、面积、用途等资料全部由委托方提供，</w:t>
      </w:r>
      <w:r>
        <w:rPr>
          <w:rFonts w:hint="eastAsia" w:ascii="宋体" w:hAnsi="宋体" w:eastAsia="宋体" w:cs="宋体"/>
          <w:color w:val="auto"/>
          <w:sz w:val="28"/>
          <w:szCs w:val="28"/>
          <w:highlight w:val="none"/>
          <w:lang w:eastAsia="zh-CN"/>
        </w:rPr>
        <w:t>我们</w:t>
      </w:r>
      <w:r>
        <w:rPr>
          <w:rFonts w:hint="eastAsia" w:ascii="宋体" w:hAnsi="宋体" w:cs="宋体"/>
          <w:color w:val="auto"/>
          <w:sz w:val="28"/>
          <w:szCs w:val="28"/>
          <w:highlight w:val="none"/>
          <w:lang w:eastAsia="zh-CN"/>
        </w:rPr>
        <w:t>对</w:t>
      </w:r>
      <w:r>
        <w:rPr>
          <w:rFonts w:hint="eastAsia" w:ascii="宋体" w:hAnsi="宋体" w:eastAsia="宋体" w:cs="宋体"/>
          <w:color w:val="auto"/>
          <w:sz w:val="28"/>
          <w:szCs w:val="28"/>
          <w:highlight w:val="none"/>
          <w:lang w:eastAsia="zh-CN"/>
        </w:rPr>
        <w:t>估价委托人提供</w:t>
      </w:r>
      <w:r>
        <w:rPr>
          <w:rFonts w:hint="eastAsia" w:ascii="宋体" w:hAnsi="宋体" w:cs="宋体"/>
          <w:color w:val="auto"/>
          <w:sz w:val="28"/>
          <w:szCs w:val="28"/>
          <w:highlight w:val="none"/>
          <w:lang w:eastAsia="zh-CN"/>
        </w:rPr>
        <w:t>的</w:t>
      </w:r>
      <w:r>
        <w:rPr>
          <w:rFonts w:hint="eastAsia" w:ascii="宋体" w:hAnsi="宋体" w:eastAsia="宋体" w:cs="宋体"/>
          <w:color w:val="auto"/>
          <w:sz w:val="28"/>
          <w:szCs w:val="28"/>
          <w:highlight w:val="none"/>
          <w:lang w:eastAsia="zh-CN"/>
        </w:rPr>
        <w:t>估价对象《</w:t>
      </w:r>
      <w:r>
        <w:rPr>
          <w:rFonts w:hint="eastAsia" w:ascii="宋体" w:hAnsi="宋体" w:cs="宋体"/>
          <w:color w:val="auto"/>
          <w:sz w:val="28"/>
          <w:szCs w:val="28"/>
          <w:highlight w:val="none"/>
          <w:lang w:eastAsia="zh-CN"/>
        </w:rPr>
        <w:t>乌审旗不动产登记局查询表</w:t>
      </w:r>
      <w:r>
        <w:rPr>
          <w:rFonts w:hint="eastAsia" w:ascii="宋体" w:hAnsi="宋体" w:eastAsia="宋体" w:cs="宋体"/>
          <w:color w:val="auto"/>
          <w:sz w:val="28"/>
          <w:szCs w:val="28"/>
          <w:highlight w:val="none"/>
          <w:lang w:eastAsia="zh-CN"/>
        </w:rPr>
        <w:t>》</w:t>
      </w:r>
      <w:r>
        <w:rPr>
          <w:rFonts w:hint="eastAsia" w:ascii="宋体" w:hAnsi="宋体" w:cs="宋体"/>
          <w:color w:val="auto"/>
          <w:sz w:val="28"/>
          <w:szCs w:val="28"/>
          <w:highlight w:val="none"/>
          <w:lang w:eastAsia="zh-CN"/>
        </w:rPr>
        <w:t>复印件进行了核对检查</w:t>
      </w:r>
      <w:r>
        <w:rPr>
          <w:rFonts w:hint="eastAsia" w:ascii="宋体" w:hAnsi="宋体" w:eastAsia="宋体" w:cs="宋体"/>
          <w:color w:val="auto"/>
          <w:sz w:val="28"/>
          <w:szCs w:val="28"/>
          <w:highlight w:val="none"/>
          <w:lang w:eastAsia="zh-CN"/>
        </w:rPr>
        <w:t>，在无理由怀疑其合法性、真实性、准确性和完整性的情况下，假定估价委托人提供的资料合法、真实、准确、完整，</w:t>
      </w:r>
      <w:r>
        <w:rPr>
          <w:rFonts w:hint="eastAsia" w:ascii="宋体" w:hAnsi="宋体" w:eastAsia="宋体" w:cs="宋体"/>
          <w:color w:val="auto"/>
          <w:sz w:val="28"/>
          <w:szCs w:val="28"/>
          <w:highlight w:val="none"/>
        </w:rPr>
        <w:t>若因委托方提供的资料有误而引起的责任，我公司不予以承担。</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lang w:eastAsia="zh-CN"/>
        </w:rPr>
        <w:t>注册房地产估价师</w:t>
      </w:r>
      <w:r>
        <w:rPr>
          <w:rFonts w:hint="eastAsia" w:ascii="宋体" w:hAnsi="宋体" w:eastAsia="宋体" w:cs="宋体"/>
          <w:color w:val="auto"/>
          <w:sz w:val="28"/>
          <w:szCs w:val="28"/>
          <w:highlight w:val="none"/>
        </w:rPr>
        <w:t>对估价对象进行了现场勘查，现场勘查只对估价对象的外部情况及内部装修作一般性的查看，</w:t>
      </w:r>
      <w:r>
        <w:rPr>
          <w:rFonts w:hint="eastAsia" w:ascii="宋体" w:hAnsi="宋体" w:eastAsia="宋体" w:cs="宋体"/>
          <w:color w:val="auto"/>
          <w:sz w:val="28"/>
          <w:szCs w:val="28"/>
          <w:highlight w:val="none"/>
          <w:lang w:val="en-US" w:eastAsia="zh-CN"/>
        </w:rPr>
        <w:t>对房屋安全、环境污染等影响估价对象价值的重大因素给予了关注，在无理由怀疑估价对象存在安全隐患无相应的专业机构进行鉴定、检测的情况下，假定估价对象能正常安全使用。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lang w:eastAsia="zh-CN"/>
        </w:rPr>
        <w:t>注册房地产估价师未对房屋建筑面积进行专业测量，经现场查勘观察，估价对象房屋建筑面积与《</w:t>
      </w:r>
      <w:r>
        <w:rPr>
          <w:rFonts w:hint="eastAsia" w:ascii="宋体" w:hAnsi="宋体" w:cs="宋体"/>
          <w:color w:val="auto"/>
          <w:sz w:val="28"/>
          <w:szCs w:val="28"/>
          <w:highlight w:val="none"/>
          <w:lang w:eastAsia="zh-CN"/>
        </w:rPr>
        <w:t>乌审旗不动产登记局查询表</w:t>
      </w:r>
      <w:r>
        <w:rPr>
          <w:rFonts w:hint="eastAsia" w:ascii="宋体" w:hAnsi="宋体" w:eastAsia="宋体" w:cs="宋体"/>
          <w:color w:val="auto"/>
          <w:sz w:val="28"/>
          <w:szCs w:val="28"/>
          <w:highlight w:val="none"/>
          <w:lang w:eastAsia="zh-CN"/>
        </w:rPr>
        <w:t>》</w:t>
      </w:r>
      <w:r>
        <w:rPr>
          <w:rFonts w:hint="eastAsia" w:ascii="宋体" w:hAnsi="宋体" w:cs="宋体"/>
          <w:color w:val="auto"/>
          <w:sz w:val="28"/>
          <w:szCs w:val="28"/>
          <w:highlight w:val="none"/>
          <w:lang w:eastAsia="zh-CN"/>
        </w:rPr>
        <w:t>复印件</w:t>
      </w:r>
      <w:r>
        <w:rPr>
          <w:rFonts w:hint="eastAsia" w:ascii="宋体" w:hAnsi="宋体" w:eastAsia="宋体" w:cs="宋体"/>
          <w:color w:val="auto"/>
          <w:sz w:val="28"/>
          <w:szCs w:val="28"/>
          <w:highlight w:val="none"/>
          <w:lang w:eastAsia="zh-CN"/>
        </w:rPr>
        <w:t>记载建筑面积大体相当，本次估价设定估价对象的实际建筑面积与《</w:t>
      </w:r>
      <w:r>
        <w:rPr>
          <w:rFonts w:hint="eastAsia" w:ascii="宋体" w:hAnsi="宋体" w:cs="宋体"/>
          <w:color w:val="auto"/>
          <w:sz w:val="28"/>
          <w:szCs w:val="28"/>
          <w:highlight w:val="none"/>
          <w:lang w:eastAsia="zh-CN"/>
        </w:rPr>
        <w:t>乌审旗不动产登记局查询表</w:t>
      </w:r>
      <w:r>
        <w:rPr>
          <w:rFonts w:hint="eastAsia" w:ascii="宋体" w:hAnsi="宋体" w:eastAsia="宋体" w:cs="宋体"/>
          <w:color w:val="auto"/>
          <w:sz w:val="28"/>
          <w:szCs w:val="28"/>
          <w:highlight w:val="none"/>
          <w:lang w:eastAsia="zh-CN"/>
        </w:rPr>
        <w:t>》记载建筑面积相同情况的市场价值。</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rPr>
        <w:t>估价对象是在估价委托人指定及提供有关情况和资料的基础上，界定财产范围和空间范围，无遗漏和虚构。</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估价对象应享有公共部位的通行权及水</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电</w:t>
      </w:r>
      <w:r>
        <w:rPr>
          <w:rFonts w:hint="eastAsia" w:ascii="宋体" w:hAnsi="宋体" w:eastAsia="宋体" w:cs="宋体"/>
          <w:color w:val="auto"/>
          <w:sz w:val="28"/>
          <w:szCs w:val="28"/>
          <w:highlight w:val="none"/>
          <w:lang w:eastAsia="zh-CN"/>
        </w:rPr>
        <w:t>、暖</w:t>
      </w:r>
      <w:r>
        <w:rPr>
          <w:rFonts w:hint="eastAsia" w:ascii="宋体" w:hAnsi="宋体" w:eastAsia="宋体" w:cs="宋体"/>
          <w:color w:val="auto"/>
          <w:sz w:val="28"/>
          <w:szCs w:val="28"/>
          <w:highlight w:val="none"/>
        </w:rPr>
        <w:t>等共用设施的使用权。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（六）</w:t>
      </w:r>
      <w:r>
        <w:rPr>
          <w:rFonts w:hint="eastAsia" w:ascii="宋体" w:hAnsi="宋体" w:eastAsia="宋体" w:cs="宋体"/>
          <w:color w:val="auto"/>
          <w:sz w:val="28"/>
          <w:szCs w:val="28"/>
          <w:highlight w:val="none"/>
        </w:rPr>
        <w:t>经委托方及当事人确认，本次估价对象范围包括：房屋和室内外装修以及房屋相应</w:t>
      </w:r>
      <w:r>
        <w:rPr>
          <w:rFonts w:hint="eastAsia" w:ascii="宋体" w:hAnsi="宋体" w:eastAsia="宋体" w:cs="宋体"/>
          <w:color w:val="auto"/>
          <w:sz w:val="28"/>
          <w:szCs w:val="28"/>
          <w:highlight w:val="none"/>
          <w:lang w:eastAsia="zh-CN"/>
        </w:rPr>
        <w:t>分摊共用的土地使用权</w:t>
      </w:r>
      <w:r>
        <w:rPr>
          <w:rFonts w:hint="eastAsia" w:ascii="宋体" w:hAnsi="宋体" w:eastAsia="宋体" w:cs="宋体"/>
          <w:color w:val="auto"/>
          <w:sz w:val="28"/>
          <w:szCs w:val="28"/>
          <w:highlight w:val="none"/>
        </w:rPr>
        <w:t>价值；与房地产不可分割的满足其使用功能的水、电</w:t>
      </w:r>
      <w:r>
        <w:rPr>
          <w:rFonts w:hint="eastAsia" w:ascii="宋体" w:hAnsi="宋体" w:eastAsia="宋体" w:cs="宋体"/>
          <w:color w:val="auto"/>
          <w:sz w:val="28"/>
          <w:szCs w:val="28"/>
          <w:highlight w:val="none"/>
          <w:lang w:eastAsia="zh-CN"/>
        </w:rPr>
        <w:t>、暖等</w:t>
      </w:r>
      <w:r>
        <w:rPr>
          <w:rFonts w:hint="eastAsia" w:ascii="宋体" w:hAnsi="宋体" w:eastAsia="宋体" w:cs="宋体"/>
          <w:color w:val="auto"/>
          <w:sz w:val="28"/>
          <w:szCs w:val="28"/>
          <w:highlight w:val="none"/>
        </w:rPr>
        <w:t>配套</w:t>
      </w:r>
      <w:r>
        <w:rPr>
          <w:rFonts w:hint="eastAsia" w:ascii="宋体" w:hAnsi="宋体" w:eastAsia="宋体" w:cs="宋体"/>
          <w:color w:val="auto"/>
          <w:sz w:val="28"/>
          <w:szCs w:val="28"/>
          <w:highlight w:val="none"/>
          <w:lang w:eastAsia="zh-CN"/>
        </w:rPr>
        <w:t>设施及</w:t>
      </w:r>
      <w:r>
        <w:rPr>
          <w:rFonts w:hint="eastAsia" w:ascii="宋体" w:hAnsi="宋体" w:eastAsia="宋体" w:cs="宋体"/>
          <w:color w:val="auto"/>
          <w:sz w:val="28"/>
          <w:szCs w:val="28"/>
          <w:highlight w:val="none"/>
        </w:rPr>
        <w:t>相关辅助设施的价值。不包括该宗房地产的债权债务等其他财产或权益。估价对象范围若有变化，估价结果相应调整。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（七）本次估价是以估价对象在其有效使用年限内维持整体持续使用为假设前提的于价值时点的市场价值。</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（八）本报告的估价结果是正常市场状况下形成的，未考虑快速变现，税费转嫁等特殊交易方式对房地产价格可能产生的影响。</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val="en-US" w:eastAsia="zh-CN"/>
        </w:rPr>
        <w:t>（九）估价对象的水、电、暖费用、物业管理费及与估价对象相关的其他费用缴纳情况，估价人员尽职调查后，未能获取相关信息，缴纳情况不详，本次估价假设估价对象不拖欠任何与估价对象有关的房地产税费为前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ascii="宋体" w:hAnsi="宋体" w:eastAsia="宋体" w:cs="宋体"/>
          <w:color w:val="auto"/>
          <w:sz w:val="28"/>
          <w:szCs w:val="28"/>
          <w:highlight w:val="none"/>
        </w:rPr>
      </w:pPr>
      <w:bookmarkStart w:id="7" w:name="_Toc11858"/>
      <w:bookmarkStart w:id="8" w:name="_Toc28148"/>
      <w:r>
        <w:rPr>
          <w:rFonts w:hint="eastAsia" w:ascii="宋体" w:hAnsi="宋体" w:eastAsia="宋体" w:cs="宋体"/>
          <w:color w:val="auto"/>
          <w:sz w:val="28"/>
          <w:szCs w:val="28"/>
          <w:highlight w:val="none"/>
        </w:rPr>
        <w:t>二、未定事项假设</w:t>
      </w:r>
      <w:bookmarkEnd w:id="7"/>
      <w:bookmarkEnd w:id="8"/>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（一）</w:t>
      </w:r>
      <w:r>
        <w:rPr>
          <w:rFonts w:hint="eastAsia" w:ascii="宋体" w:hAnsi="宋体" w:eastAsia="宋体" w:cs="宋体"/>
          <w:color w:val="auto"/>
          <w:sz w:val="28"/>
          <w:szCs w:val="28"/>
          <w:highlight w:val="none"/>
        </w:rPr>
        <w:t>本次估价未考虑国家宏观经济政策发生变化、遇有自然力和其他不可抗力等因素对房地产价值的影响，以及特殊交易方式下的特殊交易价格等对评估价值的影响。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（二）</w:t>
      </w:r>
      <w:r>
        <w:rPr>
          <w:rFonts w:hint="eastAsia" w:ascii="宋体" w:hAnsi="宋体" w:eastAsia="宋体" w:cs="宋体"/>
          <w:color w:val="auto"/>
          <w:sz w:val="28"/>
          <w:szCs w:val="28"/>
          <w:highlight w:val="none"/>
        </w:rPr>
        <w:t>估价结果未考虑估价对象及所有权人已承担的债务、或有债务及经营决策或市场运作失当对其价值的影响。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ascii="宋体" w:hAnsi="宋体" w:eastAsia="宋体" w:cs="宋体"/>
          <w:color w:val="auto"/>
          <w:sz w:val="28"/>
          <w:szCs w:val="28"/>
          <w:highlight w:val="none"/>
        </w:rPr>
      </w:pPr>
      <w:bookmarkStart w:id="9" w:name="_Toc19350"/>
      <w:bookmarkStart w:id="10" w:name="_Toc32326"/>
      <w:r>
        <w:rPr>
          <w:rFonts w:hint="eastAsia" w:ascii="宋体" w:hAnsi="宋体" w:eastAsia="宋体" w:cs="宋体"/>
          <w:color w:val="auto"/>
          <w:sz w:val="28"/>
          <w:szCs w:val="28"/>
          <w:highlight w:val="none"/>
        </w:rPr>
        <w:t>三、背离事实假设</w:t>
      </w:r>
      <w:bookmarkEnd w:id="9"/>
      <w:bookmarkEnd w:id="10"/>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一）根据委托方提供的估价对象房地产权属资料及《人民法院执行裁定书》等资料显示，估价对象于价值时点存在抵押权及被查封情况，鉴于本次估价目的为人民法院确定财产处置参考价而评估房地产市场价值，因此本报告以设定估价对象不存在任何他项权利状况及查封情况为前提，即假设其为完整权利状态下的房地产价值。</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bookmarkStart w:id="11" w:name="_Toc25375"/>
      <w:bookmarkStart w:id="12" w:name="_Toc391042770"/>
      <w:bookmarkStart w:id="13" w:name="_Toc391043079"/>
      <w:r>
        <w:rPr>
          <w:rFonts w:hint="eastAsia" w:ascii="宋体" w:hAnsi="宋体" w:eastAsia="宋体" w:cs="宋体"/>
          <w:color w:val="auto"/>
          <w:sz w:val="28"/>
          <w:szCs w:val="28"/>
          <w:highlight w:val="none"/>
          <w:lang w:val="en-US" w:eastAsia="zh-CN"/>
        </w:rPr>
        <w:t>（二）经估价人员调查了解，估价对象存在租赁情况，但关于估价对象的租赁合同未能获取，经调查询问</w:t>
      </w:r>
      <w:r>
        <w:rPr>
          <w:rFonts w:hint="eastAsia" w:ascii="宋体" w:hAnsi="宋体" w:eastAsia="宋体" w:cs="宋体"/>
          <w:color w:val="auto"/>
          <w:sz w:val="28"/>
          <w:szCs w:val="28"/>
          <w:highlight w:val="none"/>
          <w:lang w:eastAsia="zh-CN"/>
        </w:rPr>
        <w:t>估价对象房屋的租赁期限较短，租期一般为一年一签，合同约定租金与市场租金水平较为接近，租约限制性影响小，甚至无影响，本次估价以其拥有完整合法产权为假设前提，未考虑该租赁权对估价对象房地产价值的影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ascii="宋体" w:hAnsi="宋体" w:eastAsia="宋体" w:cs="宋体"/>
          <w:color w:val="auto"/>
          <w:sz w:val="28"/>
          <w:szCs w:val="28"/>
          <w:highlight w:val="none"/>
        </w:rPr>
      </w:pPr>
      <w:bookmarkStart w:id="14" w:name="_Toc32707"/>
      <w:r>
        <w:rPr>
          <w:rFonts w:hint="eastAsia" w:ascii="宋体" w:hAnsi="宋体" w:eastAsia="宋体" w:cs="宋体"/>
          <w:color w:val="auto"/>
          <w:sz w:val="28"/>
          <w:szCs w:val="28"/>
          <w:highlight w:val="none"/>
        </w:rPr>
        <w:t>四、依据不足假设</w:t>
      </w:r>
      <w:bookmarkEnd w:id="11"/>
      <w:bookmarkEnd w:id="14"/>
    </w:p>
    <w:bookmarkEnd w:id="12"/>
    <w:bookmarkEnd w:id="13"/>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lang w:eastAsia="zh-CN"/>
        </w:rPr>
      </w:pPr>
      <w:bookmarkStart w:id="15" w:name="_Toc16408"/>
      <w:r>
        <w:rPr>
          <w:rFonts w:hint="eastAsia" w:ascii="宋体" w:hAnsi="宋体" w:eastAsia="宋体" w:cs="宋体"/>
          <w:color w:val="auto"/>
          <w:sz w:val="28"/>
          <w:szCs w:val="28"/>
          <w:highlight w:val="none"/>
        </w:rPr>
        <w:t>委托方提供的资料中，提供了房产信息</w:t>
      </w:r>
      <w:r>
        <w:rPr>
          <w:rFonts w:hint="eastAsia" w:ascii="宋体" w:hAnsi="宋体" w:eastAsia="宋体" w:cs="宋体"/>
          <w:color w:val="auto"/>
          <w:sz w:val="28"/>
          <w:szCs w:val="28"/>
          <w:highlight w:val="none"/>
          <w:lang w:eastAsia="zh-CN"/>
        </w:rPr>
        <w:t>，未提供</w:t>
      </w:r>
      <w:r>
        <w:rPr>
          <w:rFonts w:hint="eastAsia" w:ascii="宋体" w:hAnsi="宋体" w:eastAsia="宋体" w:cs="宋体"/>
          <w:color w:val="auto"/>
          <w:sz w:val="28"/>
          <w:szCs w:val="28"/>
          <w:highlight w:val="none"/>
          <w:lang w:eastAsia="zh-CN"/>
        </w:rPr>
        <w:t>土地信息</w:t>
      </w:r>
      <w:r>
        <w:rPr>
          <w:rFonts w:hint="eastAsia" w:ascii="宋体" w:hAnsi="宋体" w:eastAsia="宋体" w:cs="宋体"/>
          <w:color w:val="auto"/>
          <w:sz w:val="28"/>
          <w:szCs w:val="28"/>
          <w:highlight w:val="none"/>
        </w:rPr>
        <w:t>，我们对估价对象土地资料进行了调查了解，但相应的规划资料未能获取，如土地</w:t>
      </w:r>
      <w:r>
        <w:rPr>
          <w:rFonts w:hint="eastAsia" w:ascii="宋体" w:hAnsi="宋体" w:eastAsia="宋体" w:cs="宋体"/>
          <w:color w:val="auto"/>
          <w:sz w:val="28"/>
          <w:szCs w:val="28"/>
          <w:highlight w:val="none"/>
          <w:lang w:eastAsia="zh-CN"/>
        </w:rPr>
        <w:t>用途、土地使用期限、土地</w:t>
      </w:r>
      <w:r>
        <w:rPr>
          <w:rFonts w:hint="eastAsia" w:ascii="宋体" w:hAnsi="宋体" w:eastAsia="宋体" w:cs="宋体"/>
          <w:color w:val="auto"/>
          <w:sz w:val="28"/>
          <w:szCs w:val="28"/>
          <w:highlight w:val="none"/>
        </w:rPr>
        <w:t>容积率等，假设其用途、容积率等各项指标均符合相应地段的政府总体规划要求。本报告的估价结果未考虑与规划要求不一致存在对房地产评估价值的影响</w:t>
      </w:r>
      <w:r>
        <w:rPr>
          <w:rFonts w:hint="eastAsia" w:ascii="宋体" w:hAnsi="宋体" w:eastAsia="宋体" w:cs="宋体"/>
          <w:color w:val="auto"/>
          <w:sz w:val="28"/>
          <w:szCs w:val="28"/>
          <w:highlight w:val="none"/>
          <w:lang w:eastAsia="zh-CN"/>
        </w:rPr>
        <w:t>，如果不一致估价结果应做相应调整。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ascii="宋体" w:hAnsi="宋体" w:eastAsia="宋体" w:cs="宋体"/>
          <w:color w:val="auto"/>
          <w:sz w:val="28"/>
          <w:szCs w:val="28"/>
          <w:highlight w:val="none"/>
        </w:rPr>
      </w:pPr>
      <w:bookmarkStart w:id="16" w:name="_Toc3331"/>
      <w:r>
        <w:rPr>
          <w:rFonts w:hint="eastAsia" w:ascii="宋体" w:hAnsi="宋体" w:eastAsia="宋体" w:cs="宋体"/>
          <w:color w:val="auto"/>
          <w:sz w:val="28"/>
          <w:szCs w:val="28"/>
          <w:highlight w:val="none"/>
        </w:rPr>
        <w:t>五、不相一致性假设</w:t>
      </w:r>
      <w:bookmarkEnd w:id="15"/>
      <w:bookmarkEnd w:id="16"/>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无</w:t>
      </w:r>
      <w:r>
        <w:rPr>
          <w:rFonts w:hint="eastAsia" w:ascii="宋体" w:hAnsi="宋体" w:eastAsia="宋体" w:cs="宋体"/>
          <w:color w:val="auto"/>
          <w:sz w:val="28"/>
          <w:szCs w:val="28"/>
          <w:highlight w:val="none"/>
        </w:rPr>
        <w:t>不相一致性假设。</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ascii="宋体" w:hAnsi="宋体" w:eastAsia="宋体" w:cs="宋体"/>
          <w:color w:val="auto"/>
          <w:sz w:val="28"/>
          <w:szCs w:val="28"/>
          <w:highlight w:val="none"/>
          <w:lang w:eastAsia="zh-CN"/>
        </w:rPr>
      </w:pPr>
      <w:bookmarkStart w:id="17" w:name="_Toc24527"/>
      <w:bookmarkStart w:id="18" w:name="_Toc16087"/>
      <w:r>
        <w:rPr>
          <w:rFonts w:hint="eastAsia" w:ascii="宋体" w:hAnsi="宋体" w:eastAsia="宋体" w:cs="宋体"/>
          <w:color w:val="auto"/>
          <w:sz w:val="28"/>
          <w:szCs w:val="28"/>
          <w:highlight w:val="none"/>
        </w:rPr>
        <w:t>六、本估价报告使用限制</w:t>
      </w:r>
      <w:bookmarkEnd w:id="17"/>
      <w:r>
        <w:rPr>
          <w:rFonts w:hint="eastAsia" w:ascii="宋体" w:hAnsi="宋体" w:eastAsia="宋体" w:cs="宋体"/>
          <w:color w:val="auto"/>
          <w:sz w:val="28"/>
          <w:szCs w:val="28"/>
          <w:highlight w:val="none"/>
          <w:lang w:eastAsia="zh-CN"/>
        </w:rPr>
        <w:t>和使用说明</w:t>
      </w:r>
      <w:bookmarkEnd w:id="18"/>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（一）</w:t>
      </w:r>
      <w:r>
        <w:rPr>
          <w:rFonts w:hint="eastAsia" w:ascii="宋体" w:hAnsi="宋体" w:eastAsia="宋体" w:cs="宋体"/>
          <w:color w:val="auto"/>
          <w:sz w:val="28"/>
          <w:szCs w:val="28"/>
          <w:highlight w:val="none"/>
        </w:rPr>
        <w:t>本估价报告</w:t>
      </w:r>
      <w:r>
        <w:rPr>
          <w:rFonts w:hint="eastAsia" w:ascii="宋体" w:hAnsi="宋体" w:eastAsia="宋体" w:cs="宋体"/>
          <w:color w:val="auto"/>
          <w:sz w:val="28"/>
          <w:szCs w:val="28"/>
          <w:highlight w:val="none"/>
          <w:lang w:eastAsia="zh-CN"/>
        </w:rPr>
        <w:t>按照</w:t>
      </w:r>
      <w:r>
        <w:rPr>
          <w:rFonts w:hint="eastAsia" w:ascii="宋体" w:hAnsi="宋体" w:eastAsia="宋体" w:cs="宋体"/>
          <w:color w:val="auto"/>
          <w:sz w:val="28"/>
          <w:szCs w:val="28"/>
          <w:highlight w:val="none"/>
        </w:rPr>
        <w:t>估价目的</w:t>
      </w:r>
      <w:r>
        <w:rPr>
          <w:rFonts w:hint="eastAsia" w:ascii="宋体" w:hAnsi="宋体" w:eastAsia="宋体" w:cs="宋体"/>
          <w:color w:val="auto"/>
          <w:sz w:val="28"/>
          <w:szCs w:val="28"/>
          <w:highlight w:val="none"/>
          <w:lang w:eastAsia="zh-CN"/>
        </w:rPr>
        <w:t>只</w:t>
      </w:r>
      <w:r>
        <w:rPr>
          <w:rFonts w:hint="eastAsia" w:ascii="宋体" w:hAnsi="宋体" w:eastAsia="宋体" w:cs="宋体"/>
          <w:color w:val="auto"/>
          <w:sz w:val="28"/>
          <w:szCs w:val="28"/>
          <w:highlight w:val="none"/>
        </w:rPr>
        <w:t>提供给估价委托</w:t>
      </w:r>
      <w:r>
        <w:rPr>
          <w:rFonts w:hint="eastAsia" w:ascii="宋体" w:hAnsi="宋体" w:eastAsia="宋体" w:cs="宋体"/>
          <w:color w:val="auto"/>
          <w:sz w:val="28"/>
          <w:szCs w:val="28"/>
          <w:highlight w:val="none"/>
          <w:lang w:eastAsia="zh-CN"/>
        </w:rPr>
        <w:t>方人民法院</w:t>
      </w:r>
      <w:r>
        <w:rPr>
          <w:rFonts w:hint="eastAsia" w:ascii="宋体" w:hAnsi="宋体" w:eastAsia="宋体" w:cs="宋体"/>
          <w:color w:val="auto"/>
          <w:sz w:val="28"/>
          <w:szCs w:val="28"/>
          <w:highlight w:val="none"/>
        </w:rPr>
        <w:t>确定财产处置提供价格参考</w:t>
      </w:r>
      <w:r>
        <w:rPr>
          <w:rFonts w:hint="eastAsia" w:ascii="宋体" w:hAnsi="宋体" w:eastAsia="宋体" w:cs="宋体"/>
          <w:color w:val="auto"/>
          <w:sz w:val="28"/>
          <w:szCs w:val="28"/>
          <w:highlight w:val="none"/>
        </w:rPr>
        <w:t>使用，不作他用，若改变估价目的及使用条件，需向本公司咨询后作必要调整甚至重新估价。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本次估价报告仅供委托方按约定的估价目的及行业协会、行业管理部门审查使用，未经估价机构书面同意，本估价报告的全部或部分及任何参考资料均不允许在任何公开发表的文件、通告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本</w:t>
      </w:r>
      <w:r>
        <w:rPr>
          <w:rFonts w:hint="eastAsia" w:ascii="宋体" w:hAnsi="宋体" w:eastAsia="宋体" w:cs="宋体"/>
          <w:color w:val="auto"/>
          <w:sz w:val="28"/>
          <w:szCs w:val="28"/>
          <w:highlight w:val="none"/>
          <w:lang w:eastAsia="zh-CN"/>
        </w:rPr>
        <w:t>估价</w:t>
      </w:r>
      <w:r>
        <w:rPr>
          <w:rFonts w:hint="eastAsia" w:ascii="宋体" w:hAnsi="宋体" w:eastAsia="宋体" w:cs="宋体"/>
          <w:color w:val="auto"/>
          <w:sz w:val="28"/>
          <w:szCs w:val="28"/>
          <w:highlight w:val="none"/>
        </w:rPr>
        <w:t>报告</w:t>
      </w:r>
      <w:r>
        <w:rPr>
          <w:rFonts w:hint="eastAsia" w:ascii="宋体" w:hAnsi="宋体" w:eastAsia="宋体" w:cs="宋体"/>
          <w:color w:val="auto"/>
          <w:sz w:val="28"/>
          <w:szCs w:val="28"/>
          <w:highlight w:val="none"/>
          <w:lang w:eastAsia="zh-CN"/>
        </w:rPr>
        <w:t>使用期限自估价报告出具之日起为壹年。若报告使用期限内，房地产市场或估价对象发生重大变化，估价结果需做相应调整或委托估价机构重新估价。</w:t>
      </w:r>
      <w:r>
        <w:rPr>
          <w:rFonts w:hint="eastAsia" w:ascii="宋体" w:hAnsi="宋体" w:eastAsia="宋体" w:cs="宋体"/>
          <w:color w:val="auto"/>
          <w:sz w:val="28"/>
          <w:szCs w:val="28"/>
          <w:highlight w:val="none"/>
        </w:rPr>
        <w:t>若过期使用，必须进行期日修正或重新评估，超过估价报告应用有限期使用估价报告的，相关责任由使用者承担。</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lang w:eastAsia="zh-CN"/>
        </w:rPr>
        <w:t>估价结果为房地产市场价值，未考虑快速变现等处分方式带来的影响。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本估价报告需经注册房地产估价师签名</w:t>
      </w:r>
      <w:r>
        <w:rPr>
          <w:rFonts w:hint="eastAsia" w:ascii="宋体" w:hAnsi="宋体" w:eastAsia="宋体" w:cs="宋体"/>
          <w:color w:val="auto"/>
          <w:sz w:val="28"/>
          <w:szCs w:val="28"/>
          <w:highlight w:val="none"/>
          <w:lang w:eastAsia="zh-CN"/>
        </w:rPr>
        <w:t>和</w:t>
      </w:r>
      <w:r>
        <w:rPr>
          <w:rFonts w:hint="eastAsia" w:ascii="宋体" w:hAnsi="宋体" w:eastAsia="宋体" w:cs="宋体"/>
          <w:color w:val="auto"/>
          <w:sz w:val="28"/>
          <w:szCs w:val="28"/>
          <w:highlight w:val="none"/>
        </w:rPr>
        <w:t>盖章并加盖估价机构公章，作为一个整体时有效，复印件无效。</w:t>
      </w:r>
    </w:p>
    <w:p>
      <w:pPr>
        <w:spacing w:line="600" w:lineRule="exact"/>
        <w:jc w:val="center"/>
        <w:outlineLvl w:val="0"/>
        <w:rPr>
          <w:rFonts w:hint="eastAsia" w:ascii="宋体" w:hAnsi="宋体" w:cs="宋体"/>
          <w:color w:val="auto"/>
          <w:sz w:val="44"/>
          <w:szCs w:val="44"/>
          <w:highlight w:val="none"/>
        </w:rPr>
      </w:pPr>
      <w:r>
        <w:rPr>
          <w:rFonts w:hint="eastAsia" w:ascii="宋体" w:hAnsi="宋体" w:cs="宋体"/>
          <w:color w:val="auto"/>
          <w:sz w:val="44"/>
          <w:szCs w:val="44"/>
          <w:highlight w:val="none"/>
        </w:rPr>
        <w:br w:type="page"/>
      </w:r>
      <w:bookmarkStart w:id="19" w:name="_Toc22477"/>
      <w:r>
        <w:rPr>
          <w:rFonts w:hint="eastAsia" w:ascii="宋体" w:hAnsi="宋体" w:cs="宋体"/>
          <w:color w:val="auto"/>
          <w:sz w:val="44"/>
          <w:szCs w:val="44"/>
          <w:highlight w:val="none"/>
        </w:rPr>
        <w:t>房地产估价结果报告</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color w:val="auto"/>
          <w:sz w:val="28"/>
          <w:szCs w:val="28"/>
          <w:highlight w:val="none"/>
        </w:rPr>
      </w:pPr>
      <w:bookmarkStart w:id="20" w:name="_Toc4106"/>
      <w:r>
        <w:rPr>
          <w:rFonts w:hint="eastAsia" w:ascii="宋体" w:hAnsi="宋体" w:cs="宋体"/>
          <w:color w:val="auto"/>
          <w:sz w:val="28"/>
          <w:szCs w:val="28"/>
          <w:highlight w:val="none"/>
          <w:lang w:eastAsia="zh-CN"/>
        </w:rPr>
        <w:t>一</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rPr>
        <w:t>估价委托人</w:t>
      </w:r>
      <w:bookmarkEnd w:id="20"/>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巴彦淖尔市临河区人民法院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color w:val="auto"/>
          <w:sz w:val="28"/>
          <w:szCs w:val="28"/>
          <w:highlight w:val="none"/>
        </w:rPr>
      </w:pPr>
      <w:bookmarkStart w:id="21" w:name="_Toc29354"/>
      <w:r>
        <w:rPr>
          <w:rFonts w:hint="eastAsia" w:ascii="宋体" w:hAnsi="宋体" w:cs="宋体"/>
          <w:color w:val="auto"/>
          <w:sz w:val="28"/>
          <w:szCs w:val="28"/>
          <w:highlight w:val="none"/>
          <w:lang w:eastAsia="zh-CN"/>
        </w:rPr>
        <w:t>二</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rPr>
        <w:t>房地产估价机构</w:t>
      </w:r>
      <w:bookmarkEnd w:id="21"/>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单位名称：</w:t>
      </w:r>
      <w:r>
        <w:rPr>
          <w:rFonts w:hint="eastAsia" w:ascii="宋体" w:hAnsi="宋体" w:cs="宋体"/>
          <w:color w:val="auto"/>
          <w:sz w:val="28"/>
          <w:szCs w:val="28"/>
          <w:highlight w:val="none"/>
        </w:rPr>
        <w:t>内蒙古中博房地产价格评估有限责任公司</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资质等级：贰级</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证书编号：内建房估备字[2020]0026号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法定代表人：伊江旭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rPr>
        <w:t>单位地址：</w:t>
      </w:r>
      <w:r>
        <w:rPr>
          <w:rFonts w:hint="eastAsia" w:ascii="宋体" w:hAnsi="宋体" w:cs="宋体"/>
          <w:color w:val="auto"/>
          <w:sz w:val="28"/>
          <w:szCs w:val="28"/>
          <w:highlight w:val="none"/>
          <w:lang w:val="en-US" w:eastAsia="zh-CN"/>
        </w:rPr>
        <w:t>东胜 区</w:t>
      </w:r>
      <w:r>
        <w:rPr>
          <w:rFonts w:hint="eastAsia" w:ascii="宋体" w:hAnsi="宋体" w:cs="宋体"/>
          <w:color w:val="auto"/>
          <w:sz w:val="28"/>
          <w:szCs w:val="28"/>
          <w:highlight w:val="none"/>
        </w:rPr>
        <w:t>天骄路金辉大厦A座4楼</w:t>
      </w:r>
      <w:r>
        <w:rPr>
          <w:rFonts w:hint="eastAsia" w:ascii="宋体" w:hAnsi="宋体" w:cs="宋体"/>
          <w:color w:val="auto"/>
          <w:sz w:val="28"/>
          <w:szCs w:val="28"/>
          <w:highlight w:val="none"/>
          <w:lang w:val="en-US" w:eastAsia="zh-CN"/>
        </w:rPr>
        <w:t>(东胜 区</w:t>
      </w:r>
      <w:r>
        <w:rPr>
          <w:rFonts w:hint="eastAsia" w:ascii="宋体" w:hAnsi="宋体" w:cs="宋体"/>
          <w:color w:val="auto"/>
          <w:sz w:val="28"/>
          <w:szCs w:val="28"/>
          <w:highlight w:val="none"/>
        </w:rPr>
        <w:t>火车站北路东</w:t>
      </w:r>
      <w:r>
        <w:rPr>
          <w:rFonts w:hint="eastAsia" w:ascii="宋体" w:hAnsi="宋体" w:cs="宋体"/>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办公室电话：0477—8319611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color w:val="auto"/>
          <w:sz w:val="28"/>
          <w:szCs w:val="28"/>
          <w:highlight w:val="none"/>
        </w:rPr>
      </w:pPr>
      <w:bookmarkStart w:id="22" w:name="_Toc10930"/>
      <w:r>
        <w:rPr>
          <w:rFonts w:hint="eastAsia" w:ascii="宋体" w:hAnsi="宋体" w:cs="宋体"/>
          <w:color w:val="auto"/>
          <w:sz w:val="28"/>
          <w:szCs w:val="28"/>
          <w:highlight w:val="none"/>
          <w:lang w:eastAsia="zh-CN"/>
        </w:rPr>
        <w:t>三</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rPr>
        <w:t>估价目的</w:t>
      </w:r>
      <w:bookmarkEnd w:id="22"/>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cs="宋体"/>
          <w:color w:val="auto"/>
          <w:sz w:val="28"/>
          <w:szCs w:val="28"/>
          <w:highlight w:val="none"/>
        </w:rPr>
      </w:pPr>
      <w:r>
        <w:rPr>
          <w:rFonts w:hint="eastAsia" w:ascii="宋体" w:hAnsi="宋体" w:cs="宋体"/>
          <w:color w:val="auto"/>
          <w:sz w:val="28"/>
          <w:szCs w:val="28"/>
          <w:highlight w:val="none"/>
        </w:rPr>
        <w:t>估价目的就</w:t>
      </w:r>
      <w:r>
        <w:rPr>
          <w:rFonts w:hint="eastAsia" w:ascii="宋体" w:hAnsi="宋体" w:cs="宋体"/>
          <w:color w:val="auto"/>
          <w:sz w:val="28"/>
          <w:szCs w:val="28"/>
          <w:highlight w:val="none"/>
          <w:lang w:val="en-US" w:eastAsia="zh-CN"/>
        </w:rPr>
        <w:t>巴彦淖尔市临河区人民法院</w:t>
      </w:r>
      <w:r>
        <w:rPr>
          <w:rFonts w:hint="eastAsia" w:ascii="宋体" w:hAnsi="宋体" w:cs="宋体"/>
          <w:color w:val="auto"/>
          <w:sz w:val="28"/>
          <w:szCs w:val="28"/>
          <w:highlight w:val="none"/>
        </w:rPr>
        <w:t>移送的</w:t>
      </w:r>
      <w:r>
        <w:rPr>
          <w:rFonts w:hint="eastAsia" w:ascii="宋体" w:hAnsi="宋体" w:cs="宋体"/>
          <w:color w:val="auto"/>
          <w:sz w:val="28"/>
          <w:szCs w:val="28"/>
          <w:highlight w:val="none"/>
          <w:lang w:val="en-US" w:eastAsia="zh-CN"/>
        </w:rPr>
        <w:t>刘月明与蔺风梅、杨子成其他案由一案</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委托我公司对蔺风梅名下的位于鄂尔多斯市</w:t>
      </w:r>
      <w:r>
        <w:rPr>
          <w:rFonts w:hint="eastAsia" w:ascii="宋体" w:hAnsi="宋体" w:eastAsia="宋体" w:cs="宋体"/>
          <w:color w:val="auto"/>
          <w:sz w:val="28"/>
          <w:szCs w:val="28"/>
          <w:highlight w:val="none"/>
          <w:lang w:eastAsia="zh-CN"/>
        </w:rPr>
        <w:t>乌审旗嘎鲁图镇</w:t>
      </w:r>
      <w:r>
        <w:rPr>
          <w:rFonts w:hint="eastAsia" w:ascii="宋体" w:hAnsi="宋体" w:cs="宋体"/>
          <w:color w:val="auto"/>
          <w:sz w:val="28"/>
          <w:szCs w:val="28"/>
          <w:highlight w:val="none"/>
          <w:lang w:eastAsia="zh-CN"/>
        </w:rPr>
        <w:t>六区鸿沁街南、青达路西</w:t>
      </w:r>
      <w:r>
        <w:rPr>
          <w:rFonts w:hint="eastAsia" w:ascii="宋体" w:hAnsi="宋体" w:cs="宋体"/>
          <w:color w:val="auto"/>
          <w:sz w:val="28"/>
          <w:szCs w:val="28"/>
          <w:highlight w:val="none"/>
          <w:lang w:val="en-US" w:eastAsia="zh-CN"/>
        </w:rPr>
        <w:t>汇丰家园8#住宅楼-1-301室</w:t>
      </w:r>
      <w:r>
        <w:rPr>
          <w:rFonts w:hint="eastAsia" w:ascii="宋体" w:hAnsi="宋体" w:eastAsia="宋体" w:cs="宋体"/>
          <w:color w:val="auto"/>
          <w:sz w:val="28"/>
          <w:szCs w:val="28"/>
          <w:highlight w:val="none"/>
          <w:lang w:eastAsia="zh-CN"/>
        </w:rPr>
        <w:t>住宅</w:t>
      </w:r>
      <w:r>
        <w:rPr>
          <w:rFonts w:hint="eastAsia" w:ascii="宋体" w:hAnsi="宋体" w:cs="宋体"/>
          <w:color w:val="auto"/>
          <w:sz w:val="28"/>
          <w:szCs w:val="28"/>
          <w:highlight w:val="none"/>
        </w:rPr>
        <w:t>进行市场价值评估</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color w:val="auto"/>
          <w:sz w:val="28"/>
          <w:szCs w:val="28"/>
          <w:highlight w:val="none"/>
        </w:rPr>
      </w:pPr>
      <w:bookmarkStart w:id="23" w:name="_Toc7441"/>
      <w:r>
        <w:rPr>
          <w:rFonts w:hint="eastAsia" w:ascii="宋体" w:hAnsi="宋体" w:cs="宋体"/>
          <w:color w:val="auto"/>
          <w:sz w:val="28"/>
          <w:szCs w:val="28"/>
          <w:highlight w:val="none"/>
          <w:lang w:eastAsia="zh-CN"/>
        </w:rPr>
        <w:t>四</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rPr>
        <w:t>估价对象</w:t>
      </w:r>
      <w:bookmarkEnd w:id="23"/>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（一）估价对象范围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outlineLvl w:val="9"/>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根据委托方的委托，本次评估的估价对象范围为汇丰家园8#住宅楼-1-301室</w:t>
      </w:r>
      <w:r>
        <w:rPr>
          <w:rFonts w:hint="eastAsia" w:ascii="宋体" w:hAnsi="宋体" w:eastAsia="宋体" w:cs="宋体"/>
          <w:color w:val="auto"/>
          <w:sz w:val="28"/>
          <w:szCs w:val="28"/>
          <w:highlight w:val="none"/>
          <w:lang w:eastAsia="zh-CN"/>
        </w:rPr>
        <w:t>住宅</w:t>
      </w:r>
      <w:r>
        <w:rPr>
          <w:rFonts w:hint="eastAsia" w:ascii="宋体" w:hAnsi="宋体" w:cs="宋体"/>
          <w:color w:val="auto"/>
          <w:sz w:val="28"/>
          <w:szCs w:val="28"/>
          <w:highlight w:val="none"/>
          <w:lang w:val="en-US" w:eastAsia="zh-CN"/>
        </w:rPr>
        <w:t>房屋及室内外装修，</w:t>
      </w:r>
      <w:r>
        <w:rPr>
          <w:rFonts w:hint="eastAsia" w:ascii="宋体" w:hAnsi="宋体" w:eastAsia="宋体" w:cs="宋体"/>
          <w:color w:val="auto"/>
          <w:sz w:val="28"/>
          <w:szCs w:val="28"/>
          <w:highlight w:val="none"/>
        </w:rPr>
        <w:t>不包括房屋内部可移动的物品，如家具、家电等，</w:t>
      </w:r>
      <w:r>
        <w:rPr>
          <w:rFonts w:hint="eastAsia" w:ascii="宋体" w:hAnsi="宋体" w:cs="宋体"/>
          <w:color w:val="auto"/>
          <w:sz w:val="28"/>
          <w:szCs w:val="28"/>
          <w:highlight w:val="none"/>
          <w:lang w:val="en-US" w:eastAsia="zh-CN"/>
        </w:rPr>
        <w:t>房屋价值中包含分摊共用的土地使用权价值</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val="en-US" w:eastAsia="zh-CN"/>
        </w:rPr>
        <w:t>（二）</w:t>
      </w:r>
      <w:r>
        <w:rPr>
          <w:rFonts w:hint="eastAsia" w:ascii="宋体" w:hAnsi="宋体" w:cs="宋体"/>
          <w:color w:val="auto"/>
          <w:sz w:val="28"/>
          <w:szCs w:val="28"/>
          <w:highlight w:val="none"/>
          <w:lang w:eastAsia="zh-CN"/>
        </w:rPr>
        <w:t>估价对象基本状况</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outlineLvl w:val="9"/>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估价对象为</w:t>
      </w:r>
      <w:r>
        <w:rPr>
          <w:rFonts w:hint="eastAsia" w:ascii="宋体" w:hAnsi="宋体" w:cs="宋体"/>
          <w:color w:val="auto"/>
          <w:sz w:val="28"/>
          <w:szCs w:val="28"/>
          <w:highlight w:val="none"/>
          <w:lang w:eastAsia="zh-CN"/>
        </w:rPr>
        <w:t>汇丰家园</w:t>
      </w:r>
      <w:r>
        <w:rPr>
          <w:rFonts w:hint="eastAsia" w:ascii="宋体" w:hAnsi="宋体" w:cs="宋体"/>
          <w:color w:val="auto"/>
          <w:sz w:val="28"/>
          <w:szCs w:val="28"/>
          <w:highlight w:val="none"/>
          <w:lang w:val="en-US" w:eastAsia="zh-CN"/>
        </w:rPr>
        <w:t>8#住宅楼-1-301室</w:t>
      </w:r>
      <w:r>
        <w:rPr>
          <w:rFonts w:hint="eastAsia" w:ascii="宋体" w:hAnsi="宋体" w:eastAsia="宋体" w:cs="宋体"/>
          <w:color w:val="auto"/>
          <w:sz w:val="28"/>
          <w:szCs w:val="28"/>
          <w:highlight w:val="none"/>
        </w:rPr>
        <w:t>，坐落于</w:t>
      </w:r>
      <w:r>
        <w:rPr>
          <w:rFonts w:hint="eastAsia" w:ascii="宋体" w:hAnsi="宋体" w:eastAsia="宋体" w:cs="宋体"/>
          <w:color w:val="auto"/>
          <w:sz w:val="28"/>
          <w:szCs w:val="28"/>
          <w:highlight w:val="none"/>
          <w:lang w:eastAsia="zh-CN"/>
        </w:rPr>
        <w:t>乌审旗嘎鲁图镇</w:t>
      </w:r>
      <w:r>
        <w:rPr>
          <w:rFonts w:hint="eastAsia" w:ascii="宋体" w:hAnsi="宋体" w:cs="宋体"/>
          <w:color w:val="auto"/>
          <w:sz w:val="28"/>
          <w:szCs w:val="28"/>
          <w:highlight w:val="none"/>
          <w:lang w:eastAsia="zh-CN"/>
        </w:rPr>
        <w:t>六区鸿沁街南、青达路西</w:t>
      </w:r>
      <w:r>
        <w:rPr>
          <w:rFonts w:hint="eastAsia" w:ascii="宋体" w:hAnsi="宋体" w:eastAsia="宋体" w:cs="宋体"/>
          <w:color w:val="auto"/>
          <w:sz w:val="28"/>
          <w:szCs w:val="28"/>
          <w:highlight w:val="none"/>
        </w:rPr>
        <w:t>。建筑面积</w:t>
      </w:r>
      <w:r>
        <w:rPr>
          <w:rFonts w:hint="eastAsia" w:ascii="宋体" w:hAnsi="宋体" w:cs="宋体"/>
          <w:color w:val="auto"/>
          <w:sz w:val="28"/>
          <w:szCs w:val="28"/>
          <w:highlight w:val="none"/>
          <w:lang w:val="en-US" w:eastAsia="zh-CN"/>
        </w:rPr>
        <w:t>131.05</w:t>
      </w:r>
      <w:r>
        <w:rPr>
          <w:rFonts w:hint="eastAsia" w:ascii="宋体" w:hAnsi="宋体" w:eastAsia="宋体" w:cs="宋体"/>
          <w:color w:val="auto"/>
          <w:sz w:val="28"/>
          <w:szCs w:val="28"/>
          <w:highlight w:val="none"/>
        </w:rPr>
        <w:t>平方米，</w:t>
      </w:r>
      <w:r>
        <w:rPr>
          <w:rFonts w:hint="eastAsia" w:ascii="宋体" w:hAnsi="宋体" w:eastAsia="宋体" w:cs="宋体"/>
          <w:color w:val="auto"/>
          <w:sz w:val="28"/>
          <w:szCs w:val="28"/>
          <w:highlight w:val="none"/>
          <w:lang w:eastAsia="zh-CN"/>
        </w:rPr>
        <w:t>规划用途为</w:t>
      </w:r>
      <w:r>
        <w:rPr>
          <w:rFonts w:hint="eastAsia" w:ascii="宋体" w:hAnsi="宋体" w:cs="宋体"/>
          <w:color w:val="auto"/>
          <w:sz w:val="28"/>
          <w:szCs w:val="28"/>
          <w:highlight w:val="none"/>
          <w:lang w:val="en-US" w:eastAsia="zh-CN"/>
        </w:rPr>
        <w:t>住宅</w:t>
      </w:r>
      <w:r>
        <w:rPr>
          <w:rFonts w:hint="eastAsia" w:ascii="宋体" w:hAnsi="宋体" w:eastAsia="宋体" w:cs="宋体"/>
          <w:color w:val="auto"/>
          <w:sz w:val="28"/>
          <w:szCs w:val="28"/>
          <w:highlight w:val="none"/>
          <w:lang w:eastAsia="zh-CN"/>
        </w:rPr>
        <w:t>，不动产权证号：130021100914号</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房屋所有权人为蔺风梅</w:t>
      </w:r>
      <w:r>
        <w:rPr>
          <w:rFonts w:hint="eastAsia" w:ascii="宋体" w:hAnsi="宋体" w:eastAsia="宋体" w:cs="宋体"/>
          <w:color w:val="auto"/>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（三）</w:t>
      </w:r>
      <w:r>
        <w:rPr>
          <w:rFonts w:hint="eastAsia" w:ascii="宋体" w:hAnsi="宋体" w:cs="宋体"/>
          <w:color w:val="auto"/>
          <w:sz w:val="28"/>
          <w:szCs w:val="28"/>
          <w:highlight w:val="none"/>
        </w:rPr>
        <w:t>土地</w:t>
      </w:r>
      <w:r>
        <w:rPr>
          <w:rFonts w:hint="eastAsia" w:ascii="宋体" w:hAnsi="宋体" w:cs="宋体"/>
          <w:color w:val="auto"/>
          <w:sz w:val="28"/>
          <w:szCs w:val="28"/>
          <w:highlight w:val="none"/>
          <w:lang w:eastAsia="zh-CN"/>
        </w:rPr>
        <w:t>基本状况</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cs="宋体"/>
          <w:color w:val="auto"/>
          <w:sz w:val="28"/>
          <w:szCs w:val="28"/>
          <w:highlight w:val="none"/>
        </w:rPr>
      </w:pPr>
      <w:r>
        <w:rPr>
          <w:rFonts w:hint="eastAsia" w:ascii="宋体" w:hAnsi="宋体" w:eastAsia="宋体" w:cs="宋体"/>
          <w:color w:val="auto"/>
          <w:sz w:val="28"/>
          <w:szCs w:val="28"/>
          <w:highlight w:val="none"/>
        </w:rPr>
        <w:t>估价对象</w:t>
      </w:r>
      <w:r>
        <w:rPr>
          <w:rFonts w:hint="eastAsia" w:ascii="宋体" w:hAnsi="宋体" w:eastAsia="宋体" w:cs="宋体"/>
          <w:color w:val="auto"/>
          <w:sz w:val="28"/>
          <w:szCs w:val="28"/>
          <w:highlight w:val="none"/>
          <w:lang w:eastAsia="zh-CN"/>
        </w:rPr>
        <w:t>位</w:t>
      </w:r>
      <w:r>
        <w:rPr>
          <w:rFonts w:hint="eastAsia" w:ascii="宋体" w:hAnsi="宋体" w:eastAsia="宋体" w:cs="宋体"/>
          <w:color w:val="auto"/>
          <w:sz w:val="28"/>
          <w:szCs w:val="28"/>
          <w:highlight w:val="none"/>
        </w:rPr>
        <w:t>于</w:t>
      </w:r>
      <w:r>
        <w:rPr>
          <w:rFonts w:hint="eastAsia" w:ascii="宋体" w:hAnsi="宋体" w:eastAsia="宋体" w:cs="宋体"/>
          <w:color w:val="auto"/>
          <w:sz w:val="28"/>
          <w:szCs w:val="28"/>
          <w:highlight w:val="none"/>
          <w:lang w:eastAsia="zh-CN"/>
        </w:rPr>
        <w:t>乌审旗嘎鲁图镇</w:t>
      </w:r>
      <w:r>
        <w:rPr>
          <w:rFonts w:hint="eastAsia" w:ascii="宋体" w:hAnsi="宋体" w:cs="宋体"/>
          <w:color w:val="auto"/>
          <w:sz w:val="28"/>
          <w:szCs w:val="28"/>
          <w:highlight w:val="none"/>
          <w:lang w:eastAsia="zh-CN"/>
        </w:rPr>
        <w:t>六区鸿沁街南、青达路西</w:t>
      </w:r>
      <w:r>
        <w:rPr>
          <w:rFonts w:hint="eastAsia" w:ascii="宋体" w:hAnsi="宋体" w:eastAsia="宋体" w:cs="宋体"/>
          <w:color w:val="auto"/>
          <w:sz w:val="28"/>
          <w:szCs w:val="28"/>
          <w:highlight w:val="none"/>
          <w:lang w:eastAsia="zh-CN"/>
        </w:rPr>
        <w:t>汇丰家园地块内，</w:t>
      </w:r>
      <w:r>
        <w:rPr>
          <w:rFonts w:hint="eastAsia" w:ascii="宋体" w:hAnsi="宋体" w:cs="宋体"/>
          <w:color w:val="auto"/>
          <w:sz w:val="28"/>
          <w:szCs w:val="28"/>
          <w:highlight w:val="none"/>
          <w:lang w:val="en-US" w:eastAsia="zh-CN"/>
        </w:rPr>
        <w:t>东临嘎鲁图街、南临陶日木街二胡同、西临人民街一巷、北临鸿沁街</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土地</w:t>
      </w:r>
      <w:r>
        <w:rPr>
          <w:rFonts w:hint="eastAsia" w:ascii="宋体" w:hAnsi="宋体" w:eastAsia="宋体" w:cs="宋体"/>
          <w:color w:val="auto"/>
          <w:sz w:val="28"/>
          <w:szCs w:val="28"/>
          <w:highlight w:val="none"/>
        </w:rPr>
        <w:t>开发程度已达到“</w:t>
      </w:r>
      <w:r>
        <w:rPr>
          <w:rFonts w:hint="eastAsia" w:ascii="宋体" w:hAnsi="宋体" w:cs="宋体"/>
          <w:color w:val="auto"/>
          <w:sz w:val="28"/>
          <w:szCs w:val="28"/>
          <w:highlight w:val="none"/>
          <w:lang w:val="en-US" w:eastAsia="zh-CN"/>
        </w:rPr>
        <w:t>七通一平</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地上建有</w:t>
      </w:r>
      <w:r>
        <w:rPr>
          <w:rFonts w:hint="eastAsia" w:ascii="宋体" w:hAnsi="宋体" w:cs="宋体"/>
          <w:color w:val="auto"/>
          <w:sz w:val="28"/>
          <w:szCs w:val="28"/>
          <w:highlight w:val="none"/>
          <w:lang w:val="en-US" w:eastAsia="zh-CN"/>
        </w:rPr>
        <w:t>多栋楼房</w:t>
      </w:r>
      <w:r>
        <w:rPr>
          <w:rFonts w:hint="eastAsia" w:ascii="宋体" w:hAnsi="宋体" w:eastAsia="宋体" w:cs="宋体"/>
          <w:color w:val="auto"/>
          <w:sz w:val="28"/>
          <w:szCs w:val="28"/>
          <w:highlight w:val="none"/>
        </w:rPr>
        <w:t>。</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（四）</w:t>
      </w:r>
      <w:r>
        <w:rPr>
          <w:rFonts w:hint="eastAsia" w:ascii="宋体" w:hAnsi="宋体" w:cs="宋体"/>
          <w:color w:val="auto"/>
          <w:sz w:val="28"/>
          <w:szCs w:val="28"/>
          <w:highlight w:val="none"/>
        </w:rPr>
        <w:t>建筑物</w:t>
      </w:r>
      <w:r>
        <w:rPr>
          <w:rFonts w:hint="eastAsia" w:ascii="宋体" w:hAnsi="宋体" w:cs="宋体"/>
          <w:color w:val="auto"/>
          <w:sz w:val="28"/>
          <w:szCs w:val="28"/>
          <w:highlight w:val="none"/>
          <w:lang w:eastAsia="zh-CN"/>
        </w:rPr>
        <w:t>基本</w:t>
      </w:r>
      <w:r>
        <w:rPr>
          <w:rFonts w:hint="eastAsia" w:ascii="宋体" w:hAnsi="宋体" w:cs="宋体"/>
          <w:color w:val="auto"/>
          <w:sz w:val="28"/>
          <w:szCs w:val="28"/>
          <w:highlight w:val="none"/>
        </w:rPr>
        <w:t>状况</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cs="宋体"/>
          <w:color w:val="auto"/>
          <w:sz w:val="28"/>
          <w:szCs w:val="28"/>
          <w:highlight w:val="none"/>
        </w:rPr>
      </w:pPr>
      <w:r>
        <w:rPr>
          <w:rFonts w:hint="eastAsia" w:ascii="宋体" w:hAnsi="宋体" w:eastAsia="宋体" w:cs="宋体"/>
          <w:color w:val="auto"/>
          <w:sz w:val="28"/>
          <w:szCs w:val="28"/>
          <w:highlight w:val="none"/>
          <w:lang w:eastAsia="zh-CN"/>
        </w:rPr>
        <w:t>估价对象建筑</w:t>
      </w:r>
      <w:r>
        <w:rPr>
          <w:rFonts w:hint="eastAsia" w:ascii="宋体" w:hAnsi="宋体" w:eastAsia="宋体" w:cs="宋体"/>
          <w:color w:val="auto"/>
          <w:sz w:val="28"/>
          <w:szCs w:val="28"/>
          <w:highlight w:val="none"/>
        </w:rPr>
        <w:t>结构</w:t>
      </w:r>
      <w:r>
        <w:rPr>
          <w:rFonts w:hint="eastAsia" w:ascii="宋体" w:hAnsi="宋体" w:eastAsia="宋体" w:cs="宋体"/>
          <w:color w:val="auto"/>
          <w:sz w:val="28"/>
          <w:szCs w:val="28"/>
          <w:highlight w:val="none"/>
          <w:lang w:eastAsia="zh-CN"/>
        </w:rPr>
        <w:t>为</w:t>
      </w:r>
      <w:r>
        <w:rPr>
          <w:rFonts w:hint="eastAsia" w:ascii="宋体" w:hAnsi="宋体" w:cs="宋体"/>
          <w:color w:val="auto"/>
          <w:sz w:val="28"/>
          <w:szCs w:val="28"/>
          <w:highlight w:val="none"/>
          <w:lang w:val="en-US" w:eastAsia="zh-CN"/>
        </w:rPr>
        <w:t>混合结构</w:t>
      </w:r>
      <w:r>
        <w:rPr>
          <w:rFonts w:hint="eastAsia" w:ascii="宋体" w:hAnsi="宋体" w:eastAsia="宋体" w:cs="宋体"/>
          <w:color w:val="auto"/>
          <w:sz w:val="28"/>
          <w:szCs w:val="28"/>
          <w:highlight w:val="none"/>
        </w:rPr>
        <w:t>，建筑高度</w:t>
      </w:r>
      <w:r>
        <w:rPr>
          <w:rFonts w:hint="eastAsia" w:ascii="宋体" w:hAnsi="宋体" w:cs="宋体"/>
          <w:color w:val="auto"/>
          <w:sz w:val="28"/>
          <w:szCs w:val="28"/>
          <w:highlight w:val="none"/>
          <w:lang w:val="en-US" w:eastAsia="zh-CN"/>
        </w:rPr>
        <w:t>约18米</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总层数</w:t>
      </w:r>
      <w:r>
        <w:rPr>
          <w:rFonts w:hint="eastAsia" w:ascii="宋体" w:hAnsi="宋体" w:cs="宋体"/>
          <w:color w:val="auto"/>
          <w:sz w:val="28"/>
          <w:szCs w:val="28"/>
          <w:highlight w:val="none"/>
          <w:lang w:val="en-US" w:eastAsia="zh-CN"/>
        </w:rPr>
        <w:t>6层</w:t>
      </w:r>
      <w:r>
        <w:rPr>
          <w:rFonts w:hint="eastAsia" w:ascii="宋体" w:hAnsi="宋体" w:eastAsia="宋体" w:cs="宋体"/>
          <w:color w:val="auto"/>
          <w:sz w:val="28"/>
          <w:szCs w:val="28"/>
          <w:highlight w:val="none"/>
        </w:rPr>
        <w:t>，估价对象所在</w:t>
      </w:r>
      <w:r>
        <w:rPr>
          <w:rFonts w:hint="eastAsia" w:ascii="宋体" w:hAnsi="宋体" w:cs="宋体"/>
          <w:color w:val="auto"/>
          <w:sz w:val="28"/>
          <w:szCs w:val="28"/>
          <w:highlight w:val="none"/>
          <w:lang w:val="en-US" w:eastAsia="zh-CN"/>
        </w:rPr>
        <w:t>3层</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层高</w:t>
      </w:r>
      <w:r>
        <w:rPr>
          <w:rFonts w:hint="eastAsia" w:ascii="宋体" w:hAnsi="宋体" w:cs="宋体"/>
          <w:color w:val="auto"/>
          <w:sz w:val="28"/>
          <w:szCs w:val="28"/>
          <w:highlight w:val="none"/>
          <w:lang w:val="en-US" w:eastAsia="zh-CN"/>
        </w:rPr>
        <w:t>3米</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建筑面积</w:t>
      </w:r>
      <w:r>
        <w:rPr>
          <w:rFonts w:hint="eastAsia" w:ascii="宋体" w:hAnsi="宋体" w:cs="宋体"/>
          <w:color w:val="auto"/>
          <w:sz w:val="28"/>
          <w:szCs w:val="28"/>
          <w:highlight w:val="none"/>
          <w:lang w:val="en-US" w:eastAsia="zh-CN"/>
        </w:rPr>
        <w:t>131.05</w:t>
      </w:r>
      <w:r>
        <w:rPr>
          <w:rFonts w:hint="eastAsia" w:ascii="宋体" w:hAnsi="宋体" w:eastAsia="宋体" w:cs="宋体"/>
          <w:color w:val="auto"/>
          <w:sz w:val="28"/>
          <w:szCs w:val="28"/>
          <w:highlight w:val="none"/>
        </w:rPr>
        <w:t>平方米</w:t>
      </w:r>
      <w:r>
        <w:rPr>
          <w:rFonts w:hint="eastAsia" w:ascii="宋体" w:hAnsi="宋体" w:eastAsia="宋体" w:cs="宋体"/>
          <w:color w:val="auto"/>
          <w:sz w:val="28"/>
          <w:szCs w:val="28"/>
          <w:highlight w:val="none"/>
          <w:lang w:eastAsia="zh-CN"/>
        </w:rPr>
        <w:t>，</w:t>
      </w:r>
      <w:r>
        <w:rPr>
          <w:rFonts w:hint="eastAsia" w:ascii="宋体" w:hAnsi="宋体" w:cs="宋体"/>
          <w:color w:val="auto"/>
          <w:sz w:val="28"/>
          <w:szCs w:val="28"/>
          <w:highlight w:val="none"/>
          <w:lang w:val="en-US" w:eastAsia="zh-CN"/>
        </w:rPr>
        <w:t>三室两厅一卫</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经现场勘查，估价对象</w:t>
      </w:r>
      <w:r>
        <w:rPr>
          <w:rFonts w:hint="eastAsia" w:ascii="宋体" w:hAnsi="宋体" w:eastAsia="宋体" w:cs="宋体"/>
          <w:color w:val="auto"/>
          <w:sz w:val="28"/>
          <w:szCs w:val="28"/>
          <w:highlight w:val="none"/>
          <w:lang w:eastAsia="zh-CN"/>
        </w:rPr>
        <w:t>的装修状况为：</w:t>
      </w:r>
      <w:r>
        <w:rPr>
          <w:rFonts w:hint="eastAsia" w:ascii="宋体" w:hAnsi="宋体" w:cs="宋体"/>
          <w:color w:val="auto"/>
          <w:sz w:val="28"/>
          <w:szCs w:val="28"/>
          <w:highlight w:val="none"/>
          <w:lang w:val="en-US" w:eastAsia="zh-CN"/>
        </w:rPr>
        <w:t>外墙涂料，塑钢窗，防盗门入户，室内普通装修，玻化砖地面，内墙刮白，吊顶、吊灯，套装门，有电视背景墙面等，卧室有吸顶灯、部分墙面贴壁纸、垭口、阳台壁柜、PVC吊顶等，厨房、卫生间墙面贴瓷砖，PVC吊顶，推拉门隔断，整体橱柜，推拉门，厨具、燃气热水器、面盆、坐便、浴房、浴霸等卫生洁具齐全</w:t>
      </w:r>
      <w:r>
        <w:rPr>
          <w:rFonts w:hint="eastAsia" w:ascii="宋体" w:hAnsi="宋体" w:eastAsia="宋体" w:cs="宋体"/>
          <w:color w:val="auto"/>
          <w:sz w:val="28"/>
          <w:szCs w:val="28"/>
          <w:highlight w:val="none"/>
        </w:rPr>
        <w:t>。房屋维护保养状况</w:t>
      </w:r>
      <w:r>
        <w:rPr>
          <w:rFonts w:hint="eastAsia" w:ascii="宋体" w:hAnsi="宋体" w:cs="宋体"/>
          <w:color w:val="auto"/>
          <w:sz w:val="28"/>
          <w:szCs w:val="28"/>
          <w:highlight w:val="none"/>
          <w:lang w:val="en-US" w:eastAsia="zh-CN"/>
        </w:rPr>
        <w:t>较好</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水、电、暖、讯、天然气</w:t>
      </w:r>
      <w:r>
        <w:rPr>
          <w:rFonts w:hint="eastAsia" w:ascii="宋体" w:hAnsi="宋体" w:eastAsia="宋体" w:cs="宋体"/>
          <w:color w:val="auto"/>
          <w:sz w:val="28"/>
          <w:szCs w:val="28"/>
          <w:highlight w:val="none"/>
        </w:rPr>
        <w:t>等设施、设备齐全完好。</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color w:val="auto"/>
          <w:sz w:val="28"/>
          <w:szCs w:val="28"/>
          <w:highlight w:val="none"/>
        </w:rPr>
      </w:pPr>
      <w:bookmarkStart w:id="24" w:name="_Toc2051"/>
      <w:r>
        <w:rPr>
          <w:rFonts w:hint="eastAsia" w:ascii="宋体" w:hAnsi="宋体" w:cs="宋体"/>
          <w:color w:val="auto"/>
          <w:sz w:val="28"/>
          <w:szCs w:val="28"/>
          <w:highlight w:val="none"/>
        </w:rPr>
        <w:t>五、价值时点</w:t>
      </w:r>
      <w:bookmarkEnd w:id="24"/>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2021年12月21日（以现场查勘之日作为本次估价对象的价值时点）</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color w:val="auto"/>
          <w:sz w:val="28"/>
          <w:szCs w:val="28"/>
          <w:highlight w:val="none"/>
        </w:rPr>
      </w:pPr>
      <w:bookmarkStart w:id="25" w:name="_Toc3247"/>
      <w:r>
        <w:rPr>
          <w:rFonts w:hint="eastAsia" w:ascii="宋体" w:hAnsi="宋体" w:cs="宋体"/>
          <w:color w:val="auto"/>
          <w:sz w:val="28"/>
          <w:szCs w:val="28"/>
          <w:highlight w:val="none"/>
          <w:lang w:eastAsia="zh-CN"/>
        </w:rPr>
        <w:t>六、</w:t>
      </w:r>
      <w:r>
        <w:rPr>
          <w:rFonts w:hint="eastAsia" w:ascii="宋体" w:hAnsi="宋体" w:cs="宋体"/>
          <w:color w:val="auto"/>
          <w:sz w:val="28"/>
          <w:szCs w:val="28"/>
          <w:highlight w:val="none"/>
        </w:rPr>
        <w:t>价值类型</w:t>
      </w:r>
      <w:bookmarkEnd w:id="25"/>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根据估价目的，本次评估估价对象于价值时点的市场价值。</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市场价值即估价对象经适当营销后，由熟悉情况、谨慎行事且不受强迫的交易双方，以公平交易方式在价值时点自愿进行交易的金额。</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color w:val="auto"/>
          <w:sz w:val="28"/>
          <w:szCs w:val="28"/>
          <w:highlight w:val="none"/>
        </w:rPr>
      </w:pPr>
      <w:bookmarkStart w:id="26" w:name="_Toc19219"/>
      <w:r>
        <w:rPr>
          <w:rFonts w:hint="eastAsia" w:ascii="宋体" w:hAnsi="宋体" w:cs="宋体"/>
          <w:color w:val="auto"/>
          <w:sz w:val="28"/>
          <w:szCs w:val="28"/>
          <w:highlight w:val="none"/>
        </w:rPr>
        <w:t>七、估价原则</w:t>
      </w:r>
      <w:bookmarkEnd w:id="26"/>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我们在本次估价时遵循以下原则：</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（一）</w:t>
      </w:r>
      <w:r>
        <w:rPr>
          <w:rFonts w:hint="eastAsia" w:ascii="宋体" w:hAnsi="宋体" w:cs="宋体"/>
          <w:color w:val="auto"/>
          <w:sz w:val="28"/>
          <w:szCs w:val="28"/>
          <w:highlight w:val="none"/>
        </w:rPr>
        <w:t>遵循独立、客观、公正原则，评估价值应为对各方估价利害关系人均是公平合理的价值或价格；</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（二）遵</w:t>
      </w:r>
      <w:r>
        <w:rPr>
          <w:rFonts w:hint="eastAsia" w:ascii="宋体" w:hAnsi="宋体" w:cs="宋体"/>
          <w:color w:val="auto"/>
          <w:sz w:val="28"/>
          <w:szCs w:val="28"/>
          <w:highlight w:val="none"/>
        </w:rPr>
        <w:t>循合法原则，评估价值应为在依法判定的估价对象状况下的价值或价格；</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（三）</w:t>
      </w:r>
      <w:r>
        <w:rPr>
          <w:rFonts w:hint="eastAsia" w:ascii="宋体" w:hAnsi="宋体" w:cs="宋体"/>
          <w:color w:val="auto"/>
          <w:sz w:val="28"/>
          <w:szCs w:val="28"/>
          <w:highlight w:val="none"/>
        </w:rPr>
        <w:t>遵循价值时点原则，评估价值应为在根据估价目的确定的某一特定时间的价值或价格；</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（四）</w:t>
      </w:r>
      <w:r>
        <w:rPr>
          <w:rFonts w:hint="eastAsia" w:ascii="宋体" w:hAnsi="宋体" w:cs="宋体"/>
          <w:color w:val="auto"/>
          <w:sz w:val="28"/>
          <w:szCs w:val="28"/>
          <w:highlight w:val="none"/>
        </w:rPr>
        <w:t>遵循替代原则，评估价值与估价对象的类似房地产在同等条件下的价值或价格偏差应在合理范围内；</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eastAsia="zh-CN"/>
        </w:rPr>
        <w:t>（五）</w:t>
      </w:r>
      <w:r>
        <w:rPr>
          <w:rFonts w:hint="eastAsia" w:ascii="宋体" w:hAnsi="宋体" w:cs="宋体"/>
          <w:color w:val="auto"/>
          <w:sz w:val="28"/>
          <w:szCs w:val="28"/>
          <w:highlight w:val="none"/>
        </w:rPr>
        <w:t>遵循最高最佳利用原则，评估价值应为在估价对象最高最佳利用状况下的价值或价格</w:t>
      </w:r>
      <w:r>
        <w:rPr>
          <w:rFonts w:hint="eastAsia" w:ascii="宋体" w:hAnsi="宋体" w:cs="宋体"/>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color w:val="auto"/>
          <w:sz w:val="28"/>
          <w:szCs w:val="28"/>
          <w:highlight w:val="none"/>
        </w:rPr>
      </w:pPr>
      <w:bookmarkStart w:id="27" w:name="_Toc5084"/>
      <w:r>
        <w:rPr>
          <w:rFonts w:hint="eastAsia" w:ascii="宋体" w:hAnsi="宋体" w:cs="宋体"/>
          <w:color w:val="auto"/>
          <w:sz w:val="28"/>
          <w:szCs w:val="28"/>
          <w:highlight w:val="none"/>
        </w:rPr>
        <w:t>八、估价依据</w:t>
      </w:r>
      <w:bookmarkEnd w:id="27"/>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（一）法律法规</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1.《中华人民共和国民法典》（2020年5月28日，十三届全国人大三次会议表决通过，自2021年1月1日起施行）</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2.《中华人民共和国土地管理法》（第十三届全国人民代表大会常务委员会第十二次会议第三次修正，2020年1月1日起实施）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3.《中华人民共和国城市房地产管理法》（第十三届全国人民代表大会常务委员会第十二次会议第三次修正，2020年1月1日起实施）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.《中华人民共和国资产评估法》(2016年中华人民共和国主席令第</w:t>
      </w:r>
      <w:r>
        <w:rPr>
          <w:rFonts w:hint="eastAsia" w:ascii="宋体" w:hAnsi="宋体" w:cs="宋体"/>
          <w:color w:val="auto"/>
          <w:sz w:val="28"/>
          <w:szCs w:val="28"/>
          <w:highlight w:val="none"/>
          <w:lang w:val="en-US" w:eastAsia="zh-CN"/>
        </w:rPr>
        <w:t>46</w:t>
      </w:r>
      <w:r>
        <w:rPr>
          <w:rFonts w:hint="eastAsia" w:ascii="宋体" w:hAnsi="宋体" w:cs="宋体"/>
          <w:color w:val="auto"/>
          <w:sz w:val="28"/>
          <w:szCs w:val="28"/>
          <w:highlight w:val="none"/>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.《最高人民法院关于人民法院委托评估、拍卖和变卖工作的若干规定》</w:t>
      </w:r>
      <w:r>
        <w:rPr>
          <w:rFonts w:hint="eastAsia" w:ascii="宋体" w:hAnsi="宋体" w:cs="宋体"/>
          <w:color w:val="auto"/>
          <w:sz w:val="28"/>
          <w:szCs w:val="28"/>
          <w:highlight w:val="none"/>
        </w:rPr>
        <w:t>（法释[20</w:t>
      </w:r>
      <w:r>
        <w:rPr>
          <w:rFonts w:hint="eastAsia" w:ascii="宋体" w:hAnsi="宋体" w:cs="宋体"/>
          <w:color w:val="auto"/>
          <w:sz w:val="28"/>
          <w:szCs w:val="28"/>
          <w:highlight w:val="none"/>
          <w:lang w:val="en-US" w:eastAsia="zh-CN"/>
        </w:rPr>
        <w:t>11</w:t>
      </w:r>
      <w:r>
        <w:rPr>
          <w:rFonts w:hint="eastAsia" w:ascii="宋体" w:hAnsi="宋体" w:cs="宋体"/>
          <w:color w:val="auto"/>
          <w:sz w:val="28"/>
          <w:szCs w:val="28"/>
          <w:highlight w:val="none"/>
        </w:rPr>
        <w:t>]</w:t>
      </w:r>
      <w:r>
        <w:rPr>
          <w:rFonts w:hint="eastAsia" w:ascii="宋体" w:hAnsi="宋体" w:cs="宋体"/>
          <w:color w:val="auto"/>
          <w:sz w:val="28"/>
          <w:szCs w:val="28"/>
          <w:highlight w:val="none"/>
          <w:lang w:val="en-US" w:eastAsia="zh-CN"/>
        </w:rPr>
        <w:t>21</w:t>
      </w:r>
      <w:r>
        <w:rPr>
          <w:rFonts w:hint="eastAsia" w:ascii="宋体" w:hAnsi="宋体" w:cs="宋体"/>
          <w:color w:val="auto"/>
          <w:sz w:val="28"/>
          <w:szCs w:val="28"/>
          <w:highlight w:val="none"/>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6</w:t>
      </w:r>
      <w:r>
        <w:rPr>
          <w:rFonts w:hint="eastAsia" w:ascii="宋体" w:hAnsi="宋体" w:cs="宋体"/>
          <w:color w:val="auto"/>
          <w:sz w:val="28"/>
          <w:szCs w:val="28"/>
          <w:highlight w:val="none"/>
        </w:rPr>
        <w:t>.《关于印发〈人民法院委托评估工作规范〉的通知》（2018年12月10日，法办[2018]273号）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7.</w:t>
      </w:r>
      <w:r>
        <w:rPr>
          <w:rFonts w:hint="eastAsia" w:ascii="宋体" w:hAnsi="宋体" w:cs="宋体"/>
          <w:color w:val="auto"/>
          <w:sz w:val="28"/>
          <w:szCs w:val="28"/>
          <w:highlight w:val="none"/>
        </w:rPr>
        <w:t>《最高人民法院关于</w:t>
      </w:r>
      <w:r>
        <w:rPr>
          <w:rFonts w:hint="eastAsia" w:ascii="宋体" w:hAnsi="宋体" w:cs="宋体"/>
          <w:color w:val="auto"/>
          <w:sz w:val="28"/>
          <w:szCs w:val="28"/>
          <w:highlight w:val="none"/>
          <w:lang w:eastAsia="zh-CN"/>
        </w:rPr>
        <w:t>实施《最高</w:t>
      </w:r>
      <w:r>
        <w:rPr>
          <w:rFonts w:hint="eastAsia" w:ascii="宋体" w:hAnsi="宋体" w:cs="宋体"/>
          <w:color w:val="auto"/>
          <w:sz w:val="28"/>
          <w:szCs w:val="28"/>
          <w:highlight w:val="none"/>
        </w:rPr>
        <w:t>人民法院</w:t>
      </w:r>
      <w:r>
        <w:rPr>
          <w:rFonts w:hint="eastAsia" w:ascii="宋体" w:hAnsi="宋体" w:cs="宋体"/>
          <w:color w:val="auto"/>
          <w:sz w:val="28"/>
          <w:szCs w:val="28"/>
          <w:highlight w:val="none"/>
          <w:lang w:eastAsia="zh-CN"/>
        </w:rPr>
        <w:t>关于人民法院委托评估、拍卖工作的若</w:t>
      </w:r>
      <w:r>
        <w:rPr>
          <w:rFonts w:hint="eastAsia" w:ascii="宋体" w:hAnsi="宋体" w:cs="宋体"/>
          <w:color w:val="auto"/>
          <w:sz w:val="28"/>
          <w:szCs w:val="28"/>
          <w:highlight w:val="none"/>
        </w:rPr>
        <w:t>干规定》</w:t>
      </w:r>
      <w:r>
        <w:rPr>
          <w:rFonts w:hint="eastAsia" w:ascii="宋体" w:hAnsi="宋体" w:cs="宋体"/>
          <w:color w:val="auto"/>
          <w:sz w:val="28"/>
          <w:szCs w:val="28"/>
          <w:highlight w:val="none"/>
          <w:lang w:eastAsia="zh-CN"/>
        </w:rPr>
        <w:t>的有关问题的通知》</w:t>
      </w:r>
      <w:r>
        <w:rPr>
          <w:rFonts w:hint="eastAsia" w:ascii="宋体" w:hAnsi="宋体" w:cs="宋体"/>
          <w:color w:val="auto"/>
          <w:sz w:val="28"/>
          <w:szCs w:val="28"/>
          <w:highlight w:val="none"/>
        </w:rPr>
        <w:t>（法[201</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w:t>
      </w:r>
      <w:r>
        <w:rPr>
          <w:rFonts w:hint="eastAsia" w:ascii="宋体" w:hAnsi="宋体" w:cs="宋体"/>
          <w:color w:val="auto"/>
          <w:sz w:val="28"/>
          <w:szCs w:val="28"/>
          <w:highlight w:val="none"/>
          <w:lang w:val="en-US" w:eastAsia="zh-CN"/>
        </w:rPr>
        <w:t>30</w:t>
      </w:r>
      <w:r>
        <w:rPr>
          <w:rFonts w:hint="eastAsia" w:ascii="宋体" w:hAnsi="宋体" w:cs="宋体"/>
          <w:color w:val="auto"/>
          <w:sz w:val="28"/>
          <w:szCs w:val="28"/>
          <w:highlight w:val="none"/>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8</w:t>
      </w:r>
      <w:r>
        <w:rPr>
          <w:rFonts w:hint="eastAsia" w:ascii="宋体" w:hAnsi="宋体" w:cs="宋体"/>
          <w:color w:val="auto"/>
          <w:sz w:val="28"/>
          <w:szCs w:val="28"/>
          <w:highlight w:val="none"/>
        </w:rPr>
        <w:t>.《房地产估价师注册管理办法》（2006年中华人民共和国建设部令第151号）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9</w:t>
      </w:r>
      <w:r>
        <w:rPr>
          <w:rFonts w:hint="eastAsia" w:ascii="宋体" w:hAnsi="宋体" w:cs="宋体"/>
          <w:color w:val="auto"/>
          <w:sz w:val="28"/>
          <w:szCs w:val="28"/>
          <w:highlight w:val="none"/>
        </w:rPr>
        <w:t>.《最高人民法院对外委托鉴定、评估、拍卖等工作管理规定》（2007年8月23日，法办发[2007]5号）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10</w:t>
      </w:r>
      <w:r>
        <w:rPr>
          <w:rFonts w:hint="eastAsia" w:ascii="宋体" w:hAnsi="宋体" w:cs="宋体"/>
          <w:color w:val="auto"/>
          <w:sz w:val="28"/>
          <w:szCs w:val="28"/>
          <w:highlight w:val="none"/>
        </w:rPr>
        <w:t>.《最高人民法院关于人民法院确定财产处置参考价若干问题的规定》（法释[2018]15号，2018年6月4日最高人民法院审判委员会第1741次会议通过，自2018年9月1日起施行）</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11</w:t>
      </w:r>
      <w:r>
        <w:rPr>
          <w:rFonts w:hint="eastAsia" w:ascii="宋体" w:hAnsi="宋体" w:cs="宋体"/>
          <w:color w:val="auto"/>
          <w:sz w:val="28"/>
          <w:szCs w:val="28"/>
          <w:highlight w:val="none"/>
        </w:rPr>
        <w:t>.《全国人民代表大会常务委员会关于司法鉴定管理问题的决定》（20</w:t>
      </w:r>
      <w:r>
        <w:rPr>
          <w:rFonts w:hint="eastAsia" w:ascii="宋体" w:hAnsi="宋体" w:cs="宋体"/>
          <w:color w:val="auto"/>
          <w:sz w:val="28"/>
          <w:szCs w:val="28"/>
          <w:highlight w:val="none"/>
          <w:lang w:val="en-US" w:eastAsia="zh-CN"/>
        </w:rPr>
        <w:t>15</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月2</w:t>
      </w: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.《最高人民法院关于人民法院民事执行中拍卖、变卖财产的规定》（2004年10月26日，法释[2004]16号）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default" w:ascii="宋体" w:hAnsi="宋体" w:cs="宋体" w:eastAsiaTheme="minorEastAsia"/>
          <w:color w:val="auto"/>
          <w:sz w:val="28"/>
          <w:szCs w:val="28"/>
          <w:highlight w:val="none"/>
          <w:lang w:val="en-US" w:eastAsia="zh-CN"/>
        </w:rPr>
      </w:pPr>
      <w:r>
        <w:rPr>
          <w:rFonts w:hint="eastAsia" w:ascii="宋体" w:hAnsi="宋体" w:cs="宋体"/>
          <w:color w:val="auto"/>
          <w:sz w:val="28"/>
          <w:szCs w:val="28"/>
          <w:highlight w:val="none"/>
          <w:lang w:val="en-US" w:eastAsia="zh-CN"/>
        </w:rPr>
        <w:t>13.《关于印发《涉执房地产处置司法评估指导意见（试行）》的通知》（中房学[2021]37号）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（二）估价标准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1.《房地产估价规范》（GB/T50291-2015）</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2.《房地产估价基本术语标准》（GB/T50899-2013）</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3.《房地产估价报告评审标准》（试行）</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.《司法鉴定程序通则》（司法部令第132号）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（三）</w:t>
      </w:r>
      <w:r>
        <w:rPr>
          <w:rFonts w:hint="eastAsia" w:ascii="宋体" w:hAnsi="宋体" w:cs="宋体"/>
          <w:color w:val="auto"/>
          <w:sz w:val="28"/>
          <w:szCs w:val="28"/>
          <w:highlight w:val="none"/>
          <w:lang w:eastAsia="zh-CN"/>
        </w:rPr>
        <w:t>其他</w:t>
      </w:r>
      <w:r>
        <w:rPr>
          <w:rFonts w:hint="eastAsia" w:ascii="宋体" w:hAnsi="宋体" w:cs="宋体"/>
          <w:color w:val="auto"/>
          <w:sz w:val="28"/>
          <w:szCs w:val="28"/>
          <w:highlight w:val="none"/>
        </w:rPr>
        <w:t>书面材料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rPr>
        <w:t>1.委托方提供的估价委托书、涉及估价对象的有关法律文件、图表和资料</w:t>
      </w:r>
      <w:r>
        <w:rPr>
          <w:rFonts w:hint="eastAsia" w:ascii="宋体" w:hAnsi="宋体" w:cs="宋体"/>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rPr>
        <w:t>2.我公司掌握的有关市场资料及估价人员实地勘察所获取的材料</w:t>
      </w:r>
      <w:r>
        <w:rPr>
          <w:rFonts w:hint="eastAsia" w:ascii="宋体" w:hAnsi="宋体" w:cs="宋体"/>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color w:val="auto"/>
          <w:sz w:val="28"/>
          <w:szCs w:val="28"/>
          <w:highlight w:val="none"/>
        </w:rPr>
      </w:pPr>
      <w:bookmarkStart w:id="28" w:name="_Toc12814"/>
      <w:r>
        <w:rPr>
          <w:rFonts w:hint="eastAsia" w:ascii="宋体" w:hAnsi="宋体" w:cs="宋体"/>
          <w:color w:val="auto"/>
          <w:sz w:val="28"/>
          <w:szCs w:val="28"/>
          <w:highlight w:val="none"/>
        </w:rPr>
        <w:t>九、估价方法</w:t>
      </w:r>
      <w:bookmarkEnd w:id="28"/>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eastAsia="zh-CN"/>
        </w:rPr>
        <w:t>（一）估价方法的选用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w:t>
      </w:r>
      <w:r>
        <w:rPr>
          <w:rFonts w:hint="eastAsia" w:ascii="宋体" w:hAnsi="宋体" w:eastAsia="宋体" w:cs="宋体"/>
          <w:color w:val="auto"/>
          <w:sz w:val="28"/>
          <w:szCs w:val="28"/>
          <w:highlight w:val="none"/>
          <w:lang w:eastAsia="zh-CN"/>
        </w:rPr>
        <w:t>房地产估价规范</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常用</w:t>
      </w:r>
      <w:r>
        <w:rPr>
          <w:rFonts w:hint="eastAsia" w:ascii="宋体" w:hAnsi="宋体" w:eastAsia="宋体" w:cs="宋体"/>
          <w:color w:val="auto"/>
          <w:sz w:val="28"/>
          <w:szCs w:val="28"/>
          <w:highlight w:val="none"/>
        </w:rPr>
        <w:t>的估价方法有比较法、收益法、假设开发法、成本法等。估价方法的选择应根据当地</w:t>
      </w:r>
      <w:r>
        <w:rPr>
          <w:rFonts w:hint="eastAsia" w:ascii="宋体" w:hAnsi="宋体" w:eastAsia="宋体" w:cs="宋体"/>
          <w:color w:val="auto"/>
          <w:sz w:val="28"/>
          <w:szCs w:val="28"/>
          <w:highlight w:val="none"/>
          <w:lang w:eastAsia="zh-CN"/>
        </w:rPr>
        <w:t>房</w:t>
      </w:r>
      <w:r>
        <w:rPr>
          <w:rFonts w:hint="eastAsia" w:ascii="宋体" w:hAnsi="宋体" w:eastAsia="宋体" w:cs="宋体"/>
          <w:color w:val="auto"/>
          <w:sz w:val="28"/>
          <w:szCs w:val="28"/>
          <w:highlight w:val="none"/>
        </w:rPr>
        <w:t>地产市场发育情况并结合估价</w:t>
      </w:r>
      <w:r>
        <w:rPr>
          <w:rFonts w:hint="eastAsia" w:ascii="宋体" w:hAnsi="宋体" w:eastAsia="宋体" w:cs="宋体"/>
          <w:color w:val="auto"/>
          <w:sz w:val="28"/>
          <w:szCs w:val="28"/>
          <w:highlight w:val="none"/>
          <w:lang w:eastAsia="zh-CN"/>
        </w:rPr>
        <w:t>对象</w:t>
      </w:r>
      <w:r>
        <w:rPr>
          <w:rFonts w:hint="eastAsia" w:ascii="宋体" w:hAnsi="宋体" w:eastAsia="宋体" w:cs="宋体"/>
          <w:color w:val="auto"/>
          <w:sz w:val="28"/>
          <w:szCs w:val="28"/>
          <w:highlight w:val="none"/>
        </w:rPr>
        <w:t>的具体特点及估价目的等</w:t>
      </w:r>
      <w:r>
        <w:rPr>
          <w:rFonts w:hint="eastAsia" w:ascii="宋体" w:hAnsi="宋体" w:eastAsia="宋体" w:cs="宋体"/>
          <w:color w:val="auto"/>
          <w:sz w:val="28"/>
          <w:szCs w:val="28"/>
          <w:highlight w:val="none"/>
          <w:lang w:eastAsia="zh-CN"/>
        </w:rPr>
        <w:t>来</w:t>
      </w:r>
      <w:r>
        <w:rPr>
          <w:rFonts w:hint="eastAsia" w:ascii="宋体" w:hAnsi="宋体" w:eastAsia="宋体" w:cs="宋体"/>
          <w:color w:val="auto"/>
          <w:sz w:val="28"/>
          <w:szCs w:val="28"/>
          <w:highlight w:val="none"/>
        </w:rPr>
        <w:t>选择适当的估价方法。</w:t>
      </w:r>
      <w:r>
        <w:rPr>
          <w:rFonts w:hint="eastAsia" w:ascii="宋体" w:hAnsi="宋体" w:eastAsia="宋体" w:cs="宋体"/>
          <w:color w:val="auto"/>
          <w:sz w:val="28"/>
          <w:szCs w:val="28"/>
          <w:highlight w:val="none"/>
          <w:lang w:eastAsia="zh-CN"/>
        </w:rPr>
        <w:t>本次</w:t>
      </w:r>
      <w:r>
        <w:rPr>
          <w:rFonts w:hint="eastAsia" w:ascii="宋体" w:hAnsi="宋体" w:eastAsia="宋体" w:cs="宋体"/>
          <w:color w:val="auto"/>
          <w:sz w:val="28"/>
          <w:szCs w:val="28"/>
          <w:highlight w:val="none"/>
        </w:rPr>
        <w:t>估价对象的</w:t>
      </w:r>
      <w:r>
        <w:rPr>
          <w:rFonts w:hint="eastAsia" w:ascii="宋体" w:hAnsi="宋体" w:eastAsia="宋体" w:cs="宋体"/>
          <w:color w:val="auto"/>
          <w:sz w:val="28"/>
          <w:szCs w:val="28"/>
          <w:highlight w:val="none"/>
        </w:rPr>
        <w:t>实际及评估设定用途为</w:t>
      </w:r>
      <w:r>
        <w:rPr>
          <w:rFonts w:hint="eastAsia" w:ascii="宋体" w:hAnsi="宋体" w:cs="宋体"/>
          <w:color w:val="auto"/>
          <w:sz w:val="28"/>
          <w:szCs w:val="28"/>
          <w:highlight w:val="none"/>
          <w:lang w:val="en-US" w:eastAsia="zh-CN"/>
        </w:rPr>
        <w:t>住宅</w:t>
      </w:r>
      <w:r>
        <w:rPr>
          <w:rFonts w:hint="eastAsia" w:ascii="宋体" w:hAnsi="宋体" w:eastAsia="宋体" w:cs="宋体"/>
          <w:color w:val="auto"/>
          <w:sz w:val="28"/>
          <w:szCs w:val="28"/>
          <w:highlight w:val="none"/>
        </w:rPr>
        <w:t>，鉴于估价对象所在地区房地产市场发育充分，</w:t>
      </w:r>
      <w:r>
        <w:rPr>
          <w:rFonts w:hint="eastAsia" w:ascii="宋体" w:hAnsi="宋体" w:eastAsia="宋体" w:cs="宋体"/>
          <w:color w:val="auto"/>
          <w:sz w:val="28"/>
          <w:szCs w:val="28"/>
          <w:highlight w:val="none"/>
        </w:rPr>
        <w:t>区域内类似物业的市场交易案例及市场租赁案例较多，宜采用</w:t>
      </w:r>
      <w:r>
        <w:rPr>
          <w:rFonts w:hint="eastAsia" w:ascii="宋体" w:hAnsi="宋体" w:cs="宋体"/>
          <w:color w:val="auto"/>
          <w:sz w:val="28"/>
          <w:szCs w:val="28"/>
          <w:highlight w:val="none"/>
          <w:lang w:val="en-US" w:eastAsia="zh-CN"/>
        </w:rPr>
        <w:t>比较法和收益法</w:t>
      </w:r>
      <w:r>
        <w:rPr>
          <w:rFonts w:hint="eastAsia" w:ascii="宋体" w:hAnsi="宋体" w:eastAsia="宋体" w:cs="宋体"/>
          <w:color w:val="auto"/>
          <w:sz w:val="28"/>
          <w:szCs w:val="28"/>
          <w:highlight w:val="none"/>
        </w:rPr>
        <w:t>进行评估。估价人员对两种方法测算的结果综合分析后，</w:t>
      </w:r>
      <w:r>
        <w:rPr>
          <w:rFonts w:hint="eastAsia" w:ascii="宋体" w:hAnsi="宋体" w:eastAsia="宋体" w:cs="宋体"/>
          <w:color w:val="auto"/>
          <w:sz w:val="28"/>
          <w:szCs w:val="28"/>
          <w:highlight w:val="none"/>
          <w:lang w:eastAsia="zh-CN"/>
        </w:rPr>
        <w:t>得出</w:t>
      </w:r>
      <w:r>
        <w:rPr>
          <w:rFonts w:hint="eastAsia" w:ascii="宋体" w:hAnsi="宋体" w:eastAsia="宋体" w:cs="宋体"/>
          <w:color w:val="auto"/>
          <w:sz w:val="28"/>
          <w:szCs w:val="28"/>
          <w:highlight w:val="none"/>
        </w:rPr>
        <w:t>估价对象</w:t>
      </w:r>
      <w:r>
        <w:rPr>
          <w:rFonts w:hint="eastAsia" w:ascii="宋体" w:hAnsi="宋体" w:eastAsia="宋体" w:cs="宋体"/>
          <w:color w:val="auto"/>
          <w:sz w:val="28"/>
          <w:szCs w:val="28"/>
          <w:highlight w:val="none"/>
          <w:lang w:eastAsia="zh-CN"/>
        </w:rPr>
        <w:t>价值</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（二）估价方法的定义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比较法</w:t>
      </w:r>
      <w:r>
        <w:rPr>
          <w:rFonts w:hint="eastAsia" w:ascii="宋体" w:hAnsi="宋体" w:cs="宋体"/>
          <w:color w:val="auto"/>
          <w:sz w:val="28"/>
          <w:szCs w:val="28"/>
          <w:highlight w:val="none"/>
          <w:lang w:eastAsia="zh-CN"/>
        </w:rPr>
        <w:t>是选取一定数量的可比实例，将他们与估价对象进行比较，根据其间的差异对可比实例成交价格进行处理后得到估价对象价值或价格的方法。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收益法</w:t>
      </w:r>
      <w:r>
        <w:rPr>
          <w:rFonts w:hint="eastAsia" w:ascii="宋体" w:hAnsi="宋体" w:cs="宋体"/>
          <w:color w:val="auto"/>
          <w:sz w:val="28"/>
          <w:szCs w:val="28"/>
          <w:highlight w:val="none"/>
          <w:lang w:eastAsia="zh-CN"/>
        </w:rPr>
        <w:t>是预测估价对象未来收益，利用报酬率或资本化率、收益乘数将外来收益转换为价值得到估价对象价值或价格的方法。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bookmarkStart w:id="29" w:name="_Toc8322"/>
      <w:r>
        <w:rPr>
          <w:rFonts w:hint="eastAsia" w:asciiTheme="minorEastAsia" w:hAnsiTheme="minorEastAsia" w:eastAsiaTheme="minorEastAsia" w:cstheme="minorEastAsia"/>
          <w:color w:val="auto"/>
          <w:sz w:val="28"/>
          <w:szCs w:val="28"/>
          <w:highlight w:val="none"/>
        </w:rPr>
        <w:t>估价技术路线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1.比较法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运用比较法进行测算的基本公式为：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案例修正后单价=可比案例成交单价×交易情况修正×市场状况调整×区位状况调整×实物状况调整×权益状况调整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估价对象评估单价=(案例1修正后单价十案例2修正后单价十案例3修正后单价)÷3</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2.</w:t>
      </w:r>
      <w:r>
        <w:rPr>
          <w:rFonts w:hint="eastAsia" w:asciiTheme="minorEastAsia" w:hAnsiTheme="minorEastAsia" w:eastAsiaTheme="minorEastAsia" w:cstheme="minorEastAsia"/>
          <w:color w:val="auto"/>
          <w:sz w:val="28"/>
          <w:szCs w:val="28"/>
          <w:highlight w:val="none"/>
        </w:rPr>
        <w:t>收益法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运用收益法进行测算的基本公式为：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收益法计算公式：V＝A/(Y-g)×</w:t>
      </w:r>
      <w:r>
        <w:rPr>
          <w:rFonts w:hint="eastAsia" w:asciiTheme="minorEastAsia" w:hAnsiTheme="minorEastAsia" w:eastAsiaTheme="minorEastAsia" w:cstheme="minorEastAsia"/>
          <w:color w:val="auto"/>
          <w:sz w:val="28"/>
          <w:szCs w:val="28"/>
          <w:highlight w:val="none"/>
          <w:lang w:val="en-US" w:eastAsia="zh-CN"/>
        </w:rPr>
        <w:t>{</w:t>
      </w:r>
      <w:r>
        <w:rPr>
          <w:rFonts w:hint="eastAsia" w:asciiTheme="minorEastAsia" w:hAnsiTheme="minorEastAsia" w:eastAsiaTheme="minorEastAsia" w:cstheme="minorEastAsia"/>
          <w:color w:val="auto"/>
          <w:sz w:val="28"/>
          <w:szCs w:val="28"/>
          <w:highlight w:val="none"/>
        </w:rPr>
        <w:t>1-</w:t>
      </w:r>
      <w:r>
        <w:rPr>
          <w:rFonts w:hint="eastAsia" w:asciiTheme="minorEastAsia" w:hAnsiTheme="minorEastAsia" w:eastAsiaTheme="minorEastAsia" w:cstheme="minorEastAsia"/>
          <w:color w:val="auto"/>
          <w:sz w:val="28"/>
          <w:szCs w:val="28"/>
          <w:highlight w:val="none"/>
          <w:lang w:val="en-US" w:eastAsia="zh-CN"/>
        </w:rPr>
        <w:t>[</w:t>
      </w:r>
      <w:r>
        <w:rPr>
          <w:rFonts w:hint="eastAsia" w:asciiTheme="minorEastAsia" w:hAnsiTheme="minorEastAsia" w:eastAsiaTheme="minorEastAsia" w:cstheme="minorEastAsia"/>
          <w:color w:val="auto"/>
          <w:sz w:val="28"/>
          <w:szCs w:val="28"/>
          <w:highlight w:val="none"/>
        </w:rPr>
        <w:t>(1+g)/(1+Y)]</w:t>
      </w:r>
      <w:r>
        <w:rPr>
          <w:rFonts w:hint="eastAsia" w:asciiTheme="minorEastAsia" w:hAnsiTheme="minorEastAsia" w:eastAsiaTheme="minorEastAsia" w:cstheme="minorEastAsia"/>
          <w:color w:val="auto"/>
          <w:sz w:val="28"/>
          <w:szCs w:val="28"/>
          <w:highlight w:val="none"/>
          <w:vertAlign w:val="superscript"/>
        </w:rPr>
        <w:t>n</w:t>
      </w:r>
      <w:r>
        <w:rPr>
          <w:rFonts w:hint="eastAsia" w:asciiTheme="minorEastAsia" w:hAnsiTheme="minorEastAsia" w:eastAsiaTheme="minorEastAsia" w:cstheme="minorEastAsia"/>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其中：V</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市场价值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cstheme="minorEastAsia"/>
          <w:color w:val="auto"/>
          <w:sz w:val="28"/>
          <w:szCs w:val="28"/>
          <w:highlight w:val="none"/>
          <w:lang w:val="en-US" w:eastAsia="zh-CN"/>
        </w:rPr>
        <w:t>　　　</w:t>
      </w:r>
      <w:r>
        <w:rPr>
          <w:rFonts w:hint="eastAsia" w:asciiTheme="minorEastAsia" w:hAnsiTheme="minorEastAsia" w:eastAsiaTheme="minorEastAsia" w:cstheme="minorEastAsia"/>
          <w:color w:val="auto"/>
          <w:sz w:val="28"/>
          <w:szCs w:val="28"/>
          <w:highlight w:val="none"/>
          <w:lang w:val="en-US" w:eastAsia="zh-CN"/>
        </w:rPr>
        <w:t>A</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年纯收益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cstheme="minorEastAsia"/>
          <w:color w:val="auto"/>
          <w:sz w:val="28"/>
          <w:szCs w:val="28"/>
          <w:highlight w:val="none"/>
          <w:lang w:val="en-US" w:eastAsia="zh-CN"/>
        </w:rPr>
        <w:t>　　　</w:t>
      </w:r>
      <w:r>
        <w:rPr>
          <w:rFonts w:hint="eastAsia" w:asciiTheme="minorEastAsia" w:hAnsiTheme="minorEastAsia" w:eastAsiaTheme="minorEastAsia" w:cstheme="minorEastAsia"/>
          <w:color w:val="auto"/>
          <w:sz w:val="28"/>
          <w:szCs w:val="28"/>
          <w:highlight w:val="none"/>
          <w:lang w:val="en-US" w:eastAsia="zh-CN"/>
        </w:rPr>
        <w:t>Y</w:t>
      </w:r>
      <w:r>
        <w:rPr>
          <w:rFonts w:hint="eastAsia" w:asciiTheme="minorEastAsia" w:hAnsiTheme="minorEastAsia" w:cstheme="minorEastAsia"/>
          <w:color w:val="auto"/>
          <w:sz w:val="28"/>
          <w:szCs w:val="28"/>
          <w:highlight w:val="none"/>
          <w:lang w:eastAsia="zh-CN"/>
        </w:rPr>
        <w:t>——报酬</w:t>
      </w:r>
      <w:r>
        <w:rPr>
          <w:rFonts w:hint="eastAsia" w:asciiTheme="minorEastAsia" w:hAnsiTheme="minorEastAsia" w:eastAsiaTheme="minorEastAsia" w:cstheme="minorEastAsia"/>
          <w:color w:val="auto"/>
          <w:sz w:val="28"/>
          <w:szCs w:val="28"/>
          <w:highlight w:val="none"/>
        </w:rPr>
        <w:t>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cstheme="minorEastAsia"/>
          <w:color w:val="auto"/>
          <w:sz w:val="28"/>
          <w:szCs w:val="28"/>
          <w:highlight w:val="none"/>
          <w:lang w:val="en-US" w:eastAsia="zh-CN"/>
        </w:rPr>
        <w:t>　　　</w:t>
      </w:r>
      <w:r>
        <w:rPr>
          <w:rFonts w:hint="eastAsia" w:asciiTheme="minorEastAsia" w:hAnsiTheme="minorEastAsia" w:eastAsiaTheme="minorEastAsia" w:cstheme="minorEastAsia"/>
          <w:color w:val="auto"/>
          <w:sz w:val="28"/>
          <w:szCs w:val="28"/>
          <w:highlight w:val="none"/>
        </w:rPr>
        <w:t>g</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纯收益每年递增比率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cstheme="minorEastAsia"/>
          <w:color w:val="auto"/>
          <w:sz w:val="28"/>
          <w:szCs w:val="28"/>
          <w:highlight w:val="none"/>
          <w:lang w:val="en-US" w:eastAsia="zh-CN"/>
        </w:rPr>
        <w:t>　　　</w:t>
      </w:r>
      <w:r>
        <w:rPr>
          <w:rFonts w:hint="eastAsia" w:asciiTheme="minorEastAsia" w:hAnsiTheme="minorEastAsia" w:eastAsiaTheme="minorEastAsia" w:cstheme="minorEastAsia"/>
          <w:color w:val="auto"/>
          <w:sz w:val="28"/>
          <w:szCs w:val="28"/>
          <w:highlight w:val="none"/>
        </w:rPr>
        <w:t>n</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获取纯收益的持续年限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t>综合分析确定市场价值最终估价结果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通过两种不同的</w:t>
      </w:r>
      <w:r>
        <w:rPr>
          <w:rFonts w:hint="eastAsia" w:asciiTheme="minorEastAsia" w:hAnsiTheme="minorEastAsia" w:eastAsiaTheme="minorEastAsia" w:cstheme="minorEastAsia"/>
          <w:color w:val="auto"/>
          <w:sz w:val="28"/>
          <w:szCs w:val="28"/>
          <w:highlight w:val="none"/>
          <w:lang w:eastAsia="zh-CN"/>
        </w:rPr>
        <w:t>估价</w:t>
      </w:r>
      <w:r>
        <w:rPr>
          <w:rFonts w:hint="eastAsia" w:asciiTheme="minorEastAsia" w:hAnsiTheme="minorEastAsia" w:eastAsiaTheme="minorEastAsia" w:cstheme="minorEastAsia"/>
          <w:color w:val="auto"/>
          <w:sz w:val="28"/>
          <w:szCs w:val="28"/>
          <w:highlight w:val="none"/>
        </w:rPr>
        <w:t>技术路径，分别得到估价对象的评估单价，经分析两种方法结果的差异及导致差异的原因后，结合当前同类市场实际和估价师经验，分别确定两种方法结果的影响权重，最后确定估价对象的市场价值单价和总价。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估价对象评估单价=比较法评估单价×影响权重1+收益法评估单价×影响权重2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影响权重1十影响权重2=100%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宋体" w:hAnsi="宋体" w:cs="宋体"/>
          <w:color w:val="auto"/>
          <w:sz w:val="28"/>
          <w:szCs w:val="28"/>
          <w:highlight w:val="none"/>
        </w:rPr>
      </w:pPr>
      <w:r>
        <w:rPr>
          <w:rFonts w:hint="eastAsia" w:asciiTheme="minorEastAsia" w:hAnsiTheme="minorEastAsia" w:eastAsiaTheme="minorEastAsia" w:cstheme="minorEastAsia"/>
          <w:color w:val="auto"/>
          <w:sz w:val="28"/>
          <w:szCs w:val="28"/>
          <w:highlight w:val="none"/>
        </w:rPr>
        <w:t>估价对象评估总价=估价对象评估单价×</w:t>
      </w:r>
      <w:r>
        <w:rPr>
          <w:rFonts w:hint="eastAsia" w:asciiTheme="minorEastAsia" w:hAnsiTheme="minorEastAsia" w:eastAsiaTheme="minorEastAsia" w:cstheme="minorEastAsia"/>
          <w:color w:val="auto"/>
          <w:sz w:val="28"/>
          <w:szCs w:val="28"/>
          <w:highlight w:val="none"/>
          <w:lang w:eastAsia="zh-CN"/>
        </w:rPr>
        <w:t>估价对象</w:t>
      </w:r>
      <w:r>
        <w:rPr>
          <w:rFonts w:hint="eastAsia" w:asciiTheme="minorEastAsia" w:hAnsiTheme="minorEastAsia" w:eastAsiaTheme="minorEastAsia" w:cstheme="minorEastAsia"/>
          <w:color w:val="auto"/>
          <w:sz w:val="28"/>
          <w:szCs w:val="28"/>
          <w:highlight w:val="none"/>
        </w:rPr>
        <w:t>建筑面积</w:t>
      </w:r>
    </w:p>
    <w:p>
      <w:pPr>
        <w:keepNext w:val="0"/>
        <w:keepLines w:val="0"/>
        <w:pageBreakBefore w:val="0"/>
        <w:kinsoku/>
        <w:wordWrap/>
        <w:overflowPunct/>
        <w:topLinePunct w:val="0"/>
        <w:autoSpaceDE/>
        <w:autoSpaceDN/>
        <w:bidi w:val="0"/>
        <w:adjustRightInd/>
        <w:snapToGrid/>
        <w:spacing w:line="580" w:lineRule="exact"/>
        <w:ind w:left="0" w:leftChars="0" w:firstLine="560" w:firstLineChars="200"/>
        <w:textAlignment w:val="auto"/>
        <w:outlineLvl w:val="1"/>
        <w:rPr>
          <w:rFonts w:hint="eastAsia" w:ascii="宋体" w:hAnsi="宋体" w:cs="宋体"/>
          <w:color w:val="auto"/>
          <w:sz w:val="28"/>
          <w:szCs w:val="28"/>
          <w:highlight w:val="none"/>
        </w:rPr>
      </w:pPr>
      <w:r>
        <w:rPr>
          <w:rFonts w:hint="eastAsia" w:ascii="宋体" w:hAnsi="宋体" w:cs="宋体"/>
          <w:color w:val="auto"/>
          <w:sz w:val="28"/>
          <w:szCs w:val="28"/>
          <w:highlight w:val="none"/>
        </w:rPr>
        <w:t>十、估价结果</w:t>
      </w:r>
      <w:bookmarkEnd w:id="29"/>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560" w:firstLineChars="200"/>
        <w:jc w:val="left"/>
        <w:textAlignment w:val="auto"/>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rPr>
        <w:t>本估价机构根据估价目的,遵循估价原则，按照估价程序，对现场进行实地查勘、广泛收集有关市场信息和估价对象信息的基础上，运用科学的估价方法即</w:t>
      </w:r>
      <w:r>
        <w:rPr>
          <w:rFonts w:hint="eastAsia" w:ascii="宋体" w:hAnsi="宋体" w:cs="宋体"/>
          <w:color w:val="auto"/>
          <w:sz w:val="28"/>
          <w:szCs w:val="28"/>
          <w:highlight w:val="none"/>
          <w:lang w:val="en-US" w:eastAsia="zh-CN"/>
        </w:rPr>
        <w:t>比较法和收益法</w:t>
      </w:r>
      <w:r>
        <w:rPr>
          <w:rFonts w:hint="eastAsia" w:ascii="宋体" w:hAnsi="宋体" w:cs="宋体"/>
          <w:color w:val="auto"/>
          <w:sz w:val="28"/>
          <w:szCs w:val="28"/>
          <w:highlight w:val="none"/>
        </w:rPr>
        <w:t>对估价对象的房地产市场</w:t>
      </w:r>
      <w:r>
        <w:rPr>
          <w:rFonts w:hint="eastAsia" w:ascii="宋体" w:hAnsi="宋体" w:cs="宋体"/>
          <w:color w:val="auto"/>
          <w:sz w:val="28"/>
          <w:szCs w:val="28"/>
          <w:highlight w:val="none"/>
          <w:lang w:eastAsia="zh-CN"/>
        </w:rPr>
        <w:t>价值</w:t>
      </w:r>
      <w:r>
        <w:rPr>
          <w:rFonts w:hint="eastAsia" w:ascii="宋体" w:hAnsi="宋体" w:cs="宋体"/>
          <w:color w:val="auto"/>
          <w:sz w:val="28"/>
          <w:szCs w:val="28"/>
          <w:highlight w:val="none"/>
        </w:rPr>
        <w:t>进行了测算、分析和判断，最终确定估价对象</w:t>
      </w:r>
      <w:r>
        <w:rPr>
          <w:rFonts w:hint="eastAsia" w:ascii="宋体" w:hAnsi="宋体" w:cs="宋体"/>
          <w:color w:val="auto"/>
          <w:sz w:val="28"/>
          <w:szCs w:val="28"/>
          <w:highlight w:val="none"/>
          <w:lang w:eastAsia="zh-CN"/>
        </w:rPr>
        <w:t>在满足估价假设和限制条件下</w:t>
      </w:r>
      <w:r>
        <w:rPr>
          <w:rFonts w:hint="eastAsia" w:ascii="宋体" w:hAnsi="宋体" w:cs="宋体"/>
          <w:color w:val="auto"/>
          <w:sz w:val="28"/>
          <w:szCs w:val="28"/>
          <w:highlight w:val="none"/>
        </w:rPr>
        <w:t>于价值时点的市场总价</w:t>
      </w:r>
      <w:r>
        <w:rPr>
          <w:rFonts w:hint="eastAsia" w:ascii="宋体" w:hAnsi="宋体" w:cs="宋体"/>
          <w:color w:val="auto"/>
          <w:sz w:val="28"/>
          <w:szCs w:val="28"/>
          <w:highlight w:val="none"/>
          <w:lang w:val="en-US" w:eastAsia="zh-CN"/>
        </w:rPr>
        <w:t>420802</w:t>
      </w:r>
      <w:r>
        <w:rPr>
          <w:rFonts w:hint="eastAsia"/>
          <w:color w:val="auto"/>
          <w:sz w:val="28"/>
          <w:szCs w:val="28"/>
          <w:highlight w:val="none"/>
          <w:lang w:val="en-US" w:eastAsia="zh-CN"/>
        </w:rPr>
        <w:t>元</w:t>
      </w:r>
      <w:r>
        <w:rPr>
          <w:rFonts w:hint="eastAsia" w:ascii="宋体" w:hAnsi="宋体"/>
          <w:color w:val="auto"/>
          <w:sz w:val="28"/>
          <w:szCs w:val="28"/>
          <w:highlight w:val="none"/>
        </w:rPr>
        <w:t>（人民币大写</w:t>
      </w:r>
      <w:r>
        <w:rPr>
          <w:rFonts w:hint="eastAsia" w:ascii="宋体" w:hAnsi="宋体" w:cs="宋体"/>
          <w:color w:val="auto"/>
          <w:sz w:val="28"/>
          <w:szCs w:val="28"/>
          <w:highlight w:val="none"/>
          <w:lang w:val="en-US" w:eastAsia="zh-CN"/>
        </w:rPr>
        <w:t>肆拾贰万零捌佰零贰元整</w:t>
      </w:r>
      <w:r>
        <w:rPr>
          <w:rFonts w:hint="eastAsia" w:ascii="宋体" w:hAnsi="宋体"/>
          <w:color w:val="auto"/>
          <w:sz w:val="28"/>
          <w:szCs w:val="28"/>
          <w:highlight w:val="none"/>
        </w:rPr>
        <w:t>）</w:t>
      </w:r>
      <w:r>
        <w:rPr>
          <w:rFonts w:hint="eastAsia" w:ascii="宋体" w:hAnsi="宋体"/>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cs="宋体"/>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cs="宋体"/>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cs="宋体"/>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cs="宋体"/>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cs="宋体"/>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cs="宋体"/>
          <w:b/>
          <w:bCs/>
          <w:color w:val="auto"/>
          <w:sz w:val="28"/>
          <w:szCs w:val="28"/>
          <w:highlight w:val="none"/>
          <w:lang w:eastAsia="zh-CN"/>
        </w:rPr>
      </w:pPr>
      <w:r>
        <w:rPr>
          <w:rFonts w:hint="eastAsia" w:ascii="宋体" w:hAnsi="宋体" w:cs="宋体"/>
          <w:b/>
          <w:bCs/>
          <w:color w:val="auto"/>
          <w:sz w:val="28"/>
          <w:szCs w:val="28"/>
          <w:highlight w:val="none"/>
          <w:lang w:eastAsia="zh-CN"/>
        </w:rPr>
        <w:t>估价结果汇总表</w:t>
      </w:r>
    </w:p>
    <w:p>
      <w:pPr>
        <w:keepNext w:val="0"/>
        <w:keepLines w:val="0"/>
        <w:pageBreakBefore w:val="0"/>
        <w:widowControl w:val="0"/>
        <w:kinsoku/>
        <w:wordWrap/>
        <w:overflowPunct/>
        <w:topLinePunct w:val="0"/>
        <w:autoSpaceDE/>
        <w:autoSpaceDN/>
        <w:bidi w:val="0"/>
        <w:adjustRightInd/>
        <w:snapToGrid/>
        <w:spacing w:line="580" w:lineRule="exact"/>
        <w:ind w:firstLine="635" w:firstLineChars="227"/>
        <w:jc w:val="right"/>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币种：人民币</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189"/>
        <w:gridCol w:w="187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2925" w:type="pct"/>
            <w:gridSpan w:val="2"/>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jc w:val="center"/>
              <w:outlineLvl w:val="9"/>
              <w:rPr>
                <w:rFonts w:hint="eastAsia" w:ascii="宋体" w:hAnsi="宋体" w:eastAsia="宋体" w:cs="宋体"/>
                <w:color w:val="auto"/>
                <w:sz w:val="28"/>
                <w:szCs w:val="28"/>
                <w:highlight w:val="none"/>
                <w:vertAlign w:val="baseline"/>
                <w:lang w:eastAsia="zh-CN"/>
              </w:rPr>
            </w:pPr>
          </w:p>
          <w:p>
            <w:pPr>
              <w:snapToGrid w:val="0"/>
              <w:spacing w:line="240" w:lineRule="auto"/>
              <w:jc w:val="center"/>
              <w:outlineLvl w:val="9"/>
              <mc:AlternateContent>
                <mc:Choice Requires="wpsCustomData">
                  <wpsCustomData:diagonalParaType/>
                </mc:Choice>
              </mc:AlternateContent>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相关结果</w:t>
            </w:r>
          </w:p>
          <w:p>
            <w:pPr>
              <w:spacing w:line="240" w:lineRule="auto"/>
              <w:jc w:val="center"/>
              <w:outlineLvl w:val="9"/>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估价方法</w:t>
            </w:r>
          </w:p>
        </w:tc>
        <w:tc>
          <w:tcPr>
            <w:tcW w:w="1037" w:type="pct"/>
            <w:noWrap w:val="0"/>
            <w:vAlign w:val="center"/>
          </w:tcPr>
          <w:p>
            <w:pPr>
              <w:spacing w:line="240" w:lineRule="auto"/>
              <w:jc w:val="center"/>
              <w:outlineLvl w:val="9"/>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比较法</w:t>
            </w:r>
          </w:p>
        </w:tc>
        <w:tc>
          <w:tcPr>
            <w:tcW w:w="1037" w:type="pct"/>
            <w:noWrap w:val="0"/>
            <w:vAlign w:val="center"/>
          </w:tcPr>
          <w:p>
            <w:pPr>
              <w:spacing w:line="240" w:lineRule="auto"/>
              <w:jc w:val="center"/>
              <w:outlineLvl w:val="9"/>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vMerge w:val="restar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测算结果</w:t>
            </w:r>
          </w:p>
        </w:tc>
        <w:tc>
          <w:tcPr>
            <w:tcW w:w="1765"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建筑面积（㎡）</w:t>
            </w:r>
          </w:p>
        </w:tc>
        <w:tc>
          <w:tcPr>
            <w:tcW w:w="207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2"/>
                <w:sz w:val="28"/>
                <w:szCs w:val="28"/>
                <w:highlight w:val="none"/>
                <w:lang w:val="en-US" w:eastAsia="zh-CN" w:bidi="ar-SA"/>
              </w:rPr>
            </w:pPr>
            <w:r>
              <w:rPr>
                <w:rFonts w:hint="eastAsia" w:ascii="宋体" w:hAnsi="宋体" w:cs="宋体"/>
                <w:color w:val="auto"/>
                <w:sz w:val="28"/>
                <w:szCs w:val="28"/>
                <w:highlight w:val="none"/>
                <w:lang w:val="en-US" w:eastAsia="zh-CN"/>
              </w:rPr>
              <w:t>131.05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highlight w:val="none"/>
                <w:lang w:val="en-US" w:eastAsia="zh-CN" w:bidi="ar-SA"/>
              </w:rPr>
            </w:pPr>
          </w:p>
        </w:tc>
        <w:tc>
          <w:tcPr>
            <w:tcW w:w="1765"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单价（元/㎡）</w:t>
            </w:r>
          </w:p>
        </w:tc>
        <w:tc>
          <w:tcPr>
            <w:tcW w:w="10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3757</w:t>
            </w:r>
          </w:p>
        </w:tc>
        <w:tc>
          <w:tcPr>
            <w:tcW w:w="10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评估价值</w:t>
            </w:r>
          </w:p>
        </w:tc>
        <w:tc>
          <w:tcPr>
            <w:tcW w:w="1765"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color w:val="auto"/>
                <w:sz w:val="28"/>
                <w:szCs w:val="28"/>
                <w:highlight w:val="none"/>
                <w:vertAlign w:val="baseline"/>
                <w:lang w:eastAsia="zh-CN"/>
              </w:rPr>
              <w:t>权重</w:t>
            </w:r>
          </w:p>
        </w:tc>
        <w:tc>
          <w:tcPr>
            <w:tcW w:w="10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70%</w:t>
            </w:r>
          </w:p>
        </w:tc>
        <w:tc>
          <w:tcPr>
            <w:tcW w:w="10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p>
        </w:tc>
        <w:tc>
          <w:tcPr>
            <w:tcW w:w="17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单价（元</w:t>
            </w:r>
            <w:r>
              <w:rPr>
                <w:rFonts w:hint="eastAsia" w:ascii="宋体" w:hAnsi="宋体" w:eastAsia="宋体" w:cs="宋体"/>
                <w:color w:val="auto"/>
                <w:sz w:val="28"/>
                <w:szCs w:val="28"/>
                <w:highlight w:val="none"/>
                <w:vertAlign w:val="baseline"/>
                <w:lang w:val="en-US" w:eastAsia="zh-CN"/>
              </w:rPr>
              <w:t>/㎡</w:t>
            </w:r>
            <w:r>
              <w:rPr>
                <w:rFonts w:hint="eastAsia" w:ascii="宋体" w:hAnsi="宋体" w:eastAsia="宋体" w:cs="宋体"/>
                <w:color w:val="auto"/>
                <w:sz w:val="28"/>
                <w:szCs w:val="28"/>
                <w:highlight w:val="none"/>
                <w:vertAlign w:val="baseline"/>
                <w:lang w:eastAsia="zh-CN"/>
              </w:rPr>
              <w:t>）</w:t>
            </w:r>
          </w:p>
        </w:tc>
        <w:tc>
          <w:tcPr>
            <w:tcW w:w="207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p>
        </w:tc>
        <w:tc>
          <w:tcPr>
            <w:tcW w:w="17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总价（元）</w:t>
            </w:r>
          </w:p>
        </w:tc>
        <w:tc>
          <w:tcPr>
            <w:tcW w:w="207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420802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vertAlign w:val="baseline"/>
                <w:lang w:eastAsia="zh-CN"/>
              </w:rPr>
            </w:pPr>
            <w:r>
              <w:rPr>
                <w:rFonts w:hint="eastAsia" w:ascii="宋体" w:hAnsi="宋体" w:eastAsia="宋体" w:cs="宋体"/>
                <w:color w:val="auto"/>
                <w:sz w:val="28"/>
                <w:szCs w:val="28"/>
                <w:highlight w:val="none"/>
                <w:vertAlign w:val="baseline"/>
                <w:lang w:eastAsia="zh-CN"/>
              </w:rPr>
              <w:t>大写</w:t>
            </w:r>
          </w:p>
        </w:tc>
        <w:tc>
          <w:tcPr>
            <w:tcW w:w="384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val="en-US" w:eastAsia="zh-CN"/>
              </w:rPr>
              <w:t>人民币肆拾贰万零捌佰零贰元整</w:t>
            </w:r>
          </w:p>
        </w:tc>
      </w:tr>
    </w:tbl>
    <w:p>
      <w:pPr>
        <w:numPr>
          <w:ilvl w:val="0"/>
          <w:numId w:val="0"/>
        </w:numPr>
        <w:spacing w:line="600" w:lineRule="exact"/>
        <w:outlineLvl w:val="9"/>
        <w:rPr>
          <w:rFonts w:hint="eastAsia" w:ascii="宋体" w:hAnsi="宋体" w:eastAsia="宋体"/>
          <w:color w:val="auto"/>
          <w:w w:val="100"/>
          <w:sz w:val="28"/>
          <w:highlight w:val="none"/>
          <w:lang w:eastAsia="zh-CN"/>
        </w:rPr>
      </w:pPr>
    </w:p>
    <w:p>
      <w:pPr>
        <w:numPr>
          <w:ilvl w:val="0"/>
          <w:numId w:val="0"/>
        </w:numPr>
        <w:spacing w:line="600" w:lineRule="exact"/>
        <w:outlineLvl w:val="1"/>
        <w:rPr>
          <w:rFonts w:hint="eastAsia" w:ascii="宋体" w:hAnsi="宋体" w:eastAsia="宋体" w:cs="宋体"/>
          <w:color w:val="auto"/>
          <w:sz w:val="28"/>
          <w:szCs w:val="28"/>
          <w:highlight w:val="none"/>
          <w:lang w:eastAsia="zh-CN"/>
        </w:rPr>
      </w:pPr>
      <w:bookmarkStart w:id="30" w:name="_Toc8699"/>
      <w:r>
        <w:rPr>
          <w:rFonts w:hint="eastAsia" w:ascii="宋体" w:hAnsi="宋体" w:eastAsia="宋体"/>
          <w:color w:val="auto"/>
          <w:w w:val="100"/>
          <w:sz w:val="28"/>
          <w:highlight w:val="none"/>
          <w:lang w:eastAsia="zh-CN"/>
        </w:rPr>
        <w:t>十一、注册房地产估价师</w:t>
      </w:r>
      <w:bookmarkEnd w:id="3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2259"/>
        <w:gridCol w:w="1529"/>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姓名</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注册号</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签章</w:t>
            </w:r>
          </w:p>
        </w:tc>
        <w:tc>
          <w:tcPr>
            <w:tcW w:w="298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签章日期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eastAsia="zh-CN"/>
              </w:rPr>
              <w:t>刘晓娜</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eastAsia="zh-CN"/>
              </w:rPr>
              <w:t>1520190066</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z w:val="28"/>
                <w:szCs w:val="28"/>
                <w:highlight w:val="none"/>
              </w:rPr>
            </w:pPr>
          </w:p>
        </w:tc>
        <w:tc>
          <w:tcPr>
            <w:tcW w:w="298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eastAsia="zh-CN"/>
              </w:rPr>
              <w:t>2022年1月26日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李永秀</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1520060018</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z w:val="28"/>
                <w:szCs w:val="28"/>
                <w:highlight w:val="none"/>
              </w:rPr>
            </w:pPr>
          </w:p>
        </w:tc>
        <w:tc>
          <w:tcPr>
            <w:tcW w:w="298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eastAsia="zh-CN"/>
              </w:rPr>
              <w:t>2022年1月26日</w:t>
            </w:r>
          </w:p>
        </w:tc>
      </w:tr>
    </w:tbl>
    <w:p>
      <w:pPr>
        <w:numPr>
          <w:ilvl w:val="0"/>
          <w:numId w:val="0"/>
        </w:numPr>
        <w:spacing w:line="600" w:lineRule="exact"/>
        <w:outlineLvl w:val="1"/>
        <w:rPr>
          <w:rFonts w:hint="eastAsia" w:ascii="宋体" w:hAnsi="宋体" w:cs="宋体"/>
          <w:color w:val="auto"/>
          <w:sz w:val="28"/>
          <w:szCs w:val="28"/>
          <w:highlight w:val="none"/>
        </w:rPr>
      </w:pPr>
      <w:bookmarkStart w:id="31" w:name="_Toc32579"/>
      <w:r>
        <w:rPr>
          <w:rFonts w:hint="eastAsia" w:ascii="宋体" w:hAnsi="宋体" w:cs="宋体"/>
          <w:color w:val="auto"/>
          <w:sz w:val="28"/>
          <w:szCs w:val="28"/>
          <w:highlight w:val="none"/>
          <w:lang w:eastAsia="zh-CN"/>
        </w:rPr>
        <w:t>十二、</w:t>
      </w:r>
      <w:r>
        <w:rPr>
          <w:rFonts w:hint="eastAsia" w:ascii="宋体" w:hAnsi="宋体" w:cs="宋体"/>
          <w:color w:val="auto"/>
          <w:sz w:val="28"/>
          <w:szCs w:val="28"/>
          <w:highlight w:val="none"/>
        </w:rPr>
        <w:t>实地勘查期</w:t>
      </w:r>
      <w:bookmarkEnd w:id="31"/>
    </w:p>
    <w:p>
      <w:pPr>
        <w:spacing w:line="6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2021年12月21日</w:t>
      </w:r>
      <w:r>
        <w:rPr>
          <w:rFonts w:hint="eastAsia" w:ascii="宋体" w:hAnsi="宋体" w:cs="宋体"/>
          <w:color w:val="auto"/>
          <w:sz w:val="28"/>
          <w:szCs w:val="28"/>
          <w:highlight w:val="none"/>
        </w:rPr>
        <w:t>。</w:t>
      </w:r>
    </w:p>
    <w:p>
      <w:pPr>
        <w:numPr>
          <w:ilvl w:val="0"/>
          <w:numId w:val="0"/>
        </w:numPr>
        <w:spacing w:line="600" w:lineRule="exact"/>
        <w:outlineLvl w:val="1"/>
        <w:rPr>
          <w:rFonts w:hint="eastAsia" w:ascii="宋体" w:hAnsi="宋体" w:cs="宋体"/>
          <w:color w:val="auto"/>
          <w:sz w:val="28"/>
          <w:szCs w:val="28"/>
          <w:highlight w:val="none"/>
        </w:rPr>
      </w:pPr>
      <w:bookmarkStart w:id="32" w:name="_Toc10691"/>
      <w:r>
        <w:rPr>
          <w:rFonts w:hint="eastAsia" w:ascii="宋体" w:hAnsi="宋体" w:cs="宋体"/>
          <w:color w:val="auto"/>
          <w:sz w:val="28"/>
          <w:szCs w:val="28"/>
          <w:highlight w:val="none"/>
          <w:lang w:eastAsia="zh-CN"/>
        </w:rPr>
        <w:t>十三、</w:t>
      </w:r>
      <w:r>
        <w:rPr>
          <w:rFonts w:hint="eastAsia" w:ascii="宋体" w:hAnsi="宋体" w:cs="宋体"/>
          <w:color w:val="auto"/>
          <w:sz w:val="28"/>
          <w:szCs w:val="28"/>
          <w:highlight w:val="none"/>
        </w:rPr>
        <w:t>估价作业期</w:t>
      </w:r>
      <w:bookmarkEnd w:id="32"/>
    </w:p>
    <w:p>
      <w:pPr>
        <w:spacing w:line="6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2021年12月21日至2022年1月26日</w:t>
      </w:r>
    </w:p>
    <w:p>
      <w:pPr>
        <w:spacing w:line="600" w:lineRule="exact"/>
        <w:outlineLvl w:val="1"/>
        <w:rPr>
          <w:rFonts w:hint="eastAsia" w:ascii="宋体" w:hAnsi="宋体" w:cs="宋体"/>
          <w:color w:val="auto"/>
          <w:sz w:val="28"/>
          <w:szCs w:val="28"/>
          <w:highlight w:val="none"/>
        </w:rPr>
      </w:pPr>
      <w:bookmarkStart w:id="33" w:name="_Toc459301544"/>
      <w:bookmarkStart w:id="34" w:name="_Toc27886"/>
      <w:r>
        <w:rPr>
          <w:rFonts w:hint="eastAsia" w:ascii="宋体" w:hAnsi="宋体" w:cs="宋体"/>
          <w:color w:val="auto"/>
          <w:sz w:val="28"/>
          <w:szCs w:val="28"/>
          <w:highlight w:val="none"/>
        </w:rPr>
        <w:t>十四、评估报告</w:t>
      </w:r>
      <w:r>
        <w:rPr>
          <w:rFonts w:hint="eastAsia" w:ascii="宋体" w:hAnsi="宋体" w:cs="宋体"/>
          <w:color w:val="auto"/>
          <w:sz w:val="28"/>
          <w:szCs w:val="28"/>
          <w:highlight w:val="none"/>
          <w:lang w:eastAsia="zh-CN"/>
        </w:rPr>
        <w:t>使用</w:t>
      </w:r>
      <w:r>
        <w:rPr>
          <w:rFonts w:hint="eastAsia" w:ascii="宋体" w:hAnsi="宋体" w:cs="宋体"/>
          <w:color w:val="auto"/>
          <w:sz w:val="28"/>
          <w:szCs w:val="28"/>
          <w:highlight w:val="none"/>
        </w:rPr>
        <w:t>的有效期限</w:t>
      </w:r>
      <w:bookmarkEnd w:id="33"/>
      <w:bookmarkEnd w:id="34"/>
    </w:p>
    <w:p>
      <w:pPr>
        <w:spacing w:line="6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本评估报告的有效期限</w:t>
      </w:r>
      <w:r>
        <w:rPr>
          <w:rFonts w:hint="eastAsia" w:ascii="宋体" w:hAnsi="宋体" w:cs="宋体"/>
          <w:color w:val="auto"/>
          <w:sz w:val="28"/>
          <w:szCs w:val="28"/>
          <w:highlight w:val="none"/>
          <w:lang w:eastAsia="zh-CN"/>
        </w:rPr>
        <w:t>为壹</w:t>
      </w:r>
      <w:r>
        <w:rPr>
          <w:rFonts w:hint="eastAsia" w:ascii="宋体" w:hAnsi="宋体" w:cs="宋体"/>
          <w:color w:val="auto"/>
          <w:sz w:val="28"/>
          <w:szCs w:val="28"/>
          <w:highlight w:val="none"/>
        </w:rPr>
        <w:t>年（从</w:t>
      </w:r>
      <w:r>
        <w:rPr>
          <w:rFonts w:hint="eastAsia" w:ascii="宋体" w:hAnsi="宋体" w:cs="宋体"/>
          <w:color w:val="auto"/>
          <w:sz w:val="28"/>
          <w:szCs w:val="28"/>
          <w:highlight w:val="none"/>
          <w:lang w:val="en-US" w:eastAsia="zh-CN"/>
        </w:rPr>
        <w:t>2022年1月26日</w:t>
      </w:r>
      <w:r>
        <w:rPr>
          <w:rFonts w:hint="eastAsia" w:ascii="宋体" w:hAnsi="宋体" w:cs="宋体"/>
          <w:color w:val="auto"/>
          <w:sz w:val="28"/>
          <w:szCs w:val="28"/>
          <w:highlight w:val="none"/>
        </w:rPr>
        <w:t>起至</w:t>
      </w:r>
      <w:r>
        <w:rPr>
          <w:rFonts w:hint="eastAsia" w:ascii="宋体" w:hAnsi="宋体" w:cs="宋体"/>
          <w:color w:val="auto"/>
          <w:sz w:val="28"/>
          <w:szCs w:val="28"/>
          <w:highlight w:val="none"/>
          <w:lang w:val="en-US" w:eastAsia="zh-CN"/>
        </w:rPr>
        <w:t>2023</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25</w:t>
      </w:r>
      <w:r>
        <w:rPr>
          <w:rFonts w:hint="eastAsia" w:ascii="宋体" w:hAnsi="宋体" w:cs="宋体"/>
          <w:color w:val="auto"/>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580" w:lineRule="exact"/>
        <w:ind w:firstLine="7260" w:firstLineChars="1650"/>
        <w:textAlignment w:val="auto"/>
        <w:rPr>
          <w:rFonts w:hint="eastAsia" w:ascii="宋体" w:hAnsi="宋体" w:eastAsia="宋体" w:cs="宋体"/>
          <w:color w:val="auto"/>
          <w:spacing w:val="113"/>
          <w:sz w:val="44"/>
          <w:szCs w:val="44"/>
          <w:highlight w:val="none"/>
        </w:rPr>
      </w:pPr>
      <w:r>
        <w:rPr>
          <w:rFonts w:hint="eastAsia" w:ascii="宋体" w:hAnsi="宋体" w:cs="宋体"/>
          <w:color w:val="auto"/>
          <w:sz w:val="44"/>
          <w:szCs w:val="44"/>
          <w:highlight w:val="none"/>
        </w:rPr>
        <w:br w:type="page"/>
      </w:r>
      <w:bookmarkEnd w:id="0"/>
      <w:bookmarkStart w:id="35" w:name="_Toc10333"/>
    </w:p>
    <w:p>
      <w:pPr>
        <w:jc w:val="center"/>
        <w:outlineLvl w:val="0"/>
        <w:rPr>
          <w:rFonts w:hint="eastAsia" w:ascii="宋体" w:hAnsi="宋体" w:eastAsia="宋体" w:cs="宋体"/>
          <w:color w:val="auto"/>
          <w:spacing w:val="113"/>
          <w:sz w:val="44"/>
          <w:szCs w:val="44"/>
          <w:highlight w:val="none"/>
        </w:rPr>
      </w:pPr>
      <w:bookmarkStart w:id="36" w:name="_Toc6902"/>
      <w:r>
        <w:rPr>
          <w:rFonts w:hint="eastAsia" w:ascii="宋体" w:hAnsi="宋体" w:eastAsia="宋体" w:cs="宋体"/>
          <w:color w:val="auto"/>
          <w:spacing w:val="113"/>
          <w:sz w:val="44"/>
          <w:szCs w:val="44"/>
          <w:highlight w:val="none"/>
        </w:rPr>
        <w:t>附件</w:t>
      </w:r>
      <w:bookmarkEnd w:id="35"/>
      <w:bookmarkEnd w:id="36"/>
    </w:p>
    <w:p>
      <w:pPr>
        <w:ind w:firstLine="3300" w:firstLineChars="750"/>
        <w:rPr>
          <w:rFonts w:hint="eastAsia" w:ascii="宋体" w:hAnsi="宋体" w:eastAsia="宋体" w:cs="宋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color w:val="auto"/>
          <w:sz w:val="28"/>
          <w:szCs w:val="28"/>
          <w:highlight w:val="none"/>
          <w:lang w:eastAsia="zh-CN"/>
        </w:rPr>
      </w:pPr>
      <w:bookmarkStart w:id="37" w:name="_Toc12168"/>
      <w:r>
        <w:rPr>
          <w:rFonts w:hint="eastAsia"/>
          <w:color w:val="auto"/>
          <w:sz w:val="28"/>
          <w:szCs w:val="28"/>
          <w:highlight w:val="none"/>
          <w:lang w:val="en-US" w:eastAsia="zh-CN"/>
        </w:rPr>
        <w:t>一</w:t>
      </w:r>
      <w:r>
        <w:rPr>
          <w:rFonts w:hint="eastAsia"/>
          <w:color w:val="auto"/>
          <w:sz w:val="28"/>
          <w:szCs w:val="28"/>
          <w:highlight w:val="none"/>
          <w:lang w:eastAsia="zh-CN"/>
        </w:rPr>
        <w:t>、法院评估委托书</w:t>
      </w:r>
      <w:bookmarkEnd w:id="37"/>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color w:val="auto"/>
          <w:sz w:val="28"/>
          <w:szCs w:val="28"/>
          <w:highlight w:val="none"/>
          <w:lang w:eastAsia="zh-CN"/>
        </w:rPr>
      </w:pPr>
      <w:bookmarkStart w:id="38" w:name="_Toc28066"/>
      <w:r>
        <w:rPr>
          <w:rFonts w:hint="eastAsia"/>
          <w:color w:val="auto"/>
          <w:sz w:val="28"/>
          <w:szCs w:val="28"/>
          <w:highlight w:val="none"/>
          <w:lang w:eastAsia="zh-CN"/>
        </w:rPr>
        <w:t>二、位置示意图</w:t>
      </w:r>
    </w:p>
    <w:bookmarkEnd w:id="38"/>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color w:val="auto"/>
          <w:sz w:val="28"/>
          <w:szCs w:val="28"/>
          <w:highlight w:val="none"/>
          <w:lang w:eastAsia="zh-CN"/>
        </w:rPr>
      </w:pPr>
      <w:bookmarkStart w:id="39" w:name="_Toc28754"/>
      <w:r>
        <w:rPr>
          <w:rFonts w:hint="eastAsia"/>
          <w:color w:val="auto"/>
          <w:sz w:val="28"/>
          <w:szCs w:val="28"/>
          <w:highlight w:val="none"/>
          <w:lang w:val="en-US" w:eastAsia="zh-CN"/>
        </w:rPr>
        <w:t>三</w:t>
      </w:r>
      <w:r>
        <w:rPr>
          <w:rFonts w:hint="eastAsia"/>
          <w:color w:val="auto"/>
          <w:sz w:val="28"/>
          <w:szCs w:val="28"/>
          <w:highlight w:val="none"/>
          <w:lang w:eastAsia="zh-CN"/>
        </w:rPr>
        <w:t>、现场勘查拍照片打印件</w:t>
      </w:r>
      <w:bookmarkEnd w:id="39"/>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color w:val="auto"/>
          <w:sz w:val="28"/>
          <w:szCs w:val="28"/>
          <w:highlight w:val="none"/>
          <w:lang w:eastAsia="zh-CN"/>
        </w:rPr>
      </w:pPr>
      <w:r>
        <w:rPr>
          <w:rFonts w:hint="eastAsia"/>
          <w:color w:val="auto"/>
          <w:sz w:val="28"/>
          <w:szCs w:val="28"/>
          <w:highlight w:val="none"/>
          <w:lang w:eastAsia="zh-CN"/>
        </w:rPr>
        <w:t>四、</w:t>
      </w:r>
      <w:bookmarkStart w:id="40" w:name="_Toc24574"/>
      <w:r>
        <w:rPr>
          <w:rFonts w:hint="eastAsia"/>
          <w:color w:val="auto"/>
          <w:sz w:val="28"/>
          <w:szCs w:val="28"/>
          <w:highlight w:val="none"/>
          <w:lang w:eastAsia="zh-CN"/>
        </w:rPr>
        <w:t>产权信息复印件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color w:val="auto"/>
          <w:sz w:val="28"/>
          <w:szCs w:val="28"/>
          <w:highlight w:val="none"/>
          <w:lang w:eastAsia="zh-CN"/>
        </w:rPr>
      </w:pPr>
      <w:r>
        <w:rPr>
          <w:rFonts w:hint="eastAsia"/>
          <w:color w:val="auto"/>
          <w:sz w:val="28"/>
          <w:szCs w:val="28"/>
          <w:highlight w:val="none"/>
          <w:lang w:val="en-US" w:eastAsia="zh-CN"/>
        </w:rPr>
        <w:t>五</w:t>
      </w:r>
      <w:r>
        <w:rPr>
          <w:rFonts w:hint="eastAsia"/>
          <w:color w:val="auto"/>
          <w:sz w:val="28"/>
          <w:szCs w:val="28"/>
          <w:highlight w:val="none"/>
          <w:lang w:eastAsia="zh-CN"/>
        </w:rPr>
        <w:t>、收费情况</w:t>
      </w:r>
      <w:bookmarkEnd w:id="40"/>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color w:val="auto"/>
          <w:sz w:val="28"/>
          <w:szCs w:val="28"/>
          <w:highlight w:val="none"/>
          <w:lang w:eastAsia="zh-CN"/>
        </w:rPr>
      </w:pPr>
      <w:bookmarkStart w:id="41" w:name="_Toc23988"/>
      <w:r>
        <w:rPr>
          <w:rFonts w:hint="eastAsia"/>
          <w:color w:val="auto"/>
          <w:sz w:val="28"/>
          <w:szCs w:val="28"/>
          <w:highlight w:val="none"/>
          <w:lang w:val="en-US" w:eastAsia="zh-CN"/>
        </w:rPr>
        <w:t>六</w:t>
      </w:r>
      <w:r>
        <w:rPr>
          <w:rFonts w:hint="eastAsia"/>
          <w:color w:val="auto"/>
          <w:sz w:val="28"/>
          <w:szCs w:val="28"/>
          <w:highlight w:val="none"/>
          <w:lang w:eastAsia="zh-CN"/>
        </w:rPr>
        <w:t>、房地产估价机构资质证书复印件</w:t>
      </w:r>
      <w:bookmarkEnd w:id="41"/>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color w:val="auto"/>
          <w:sz w:val="28"/>
          <w:szCs w:val="28"/>
          <w:highlight w:val="none"/>
          <w:lang w:eastAsia="zh-CN"/>
        </w:rPr>
      </w:pPr>
      <w:bookmarkStart w:id="42" w:name="_Toc8849"/>
      <w:r>
        <w:rPr>
          <w:rFonts w:hint="eastAsia"/>
          <w:color w:val="auto"/>
          <w:sz w:val="28"/>
          <w:szCs w:val="28"/>
          <w:highlight w:val="none"/>
          <w:lang w:val="en-US" w:eastAsia="zh-CN"/>
        </w:rPr>
        <w:t>七</w:t>
      </w:r>
      <w:r>
        <w:rPr>
          <w:rFonts w:hint="eastAsia"/>
          <w:color w:val="auto"/>
          <w:sz w:val="28"/>
          <w:szCs w:val="28"/>
          <w:highlight w:val="none"/>
          <w:lang w:eastAsia="zh-CN"/>
        </w:rPr>
        <w:t>、企业法人营业执照复印件</w:t>
      </w:r>
      <w:bookmarkEnd w:id="42"/>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1"/>
        <w:rPr>
          <w:rFonts w:hint="eastAsia"/>
          <w:color w:val="auto"/>
          <w:sz w:val="28"/>
          <w:szCs w:val="28"/>
          <w:highlight w:val="none"/>
          <w:lang w:eastAsia="zh-CN"/>
        </w:rPr>
      </w:pPr>
      <w:bookmarkStart w:id="43" w:name="_Toc28016"/>
      <w:r>
        <w:rPr>
          <w:rFonts w:hint="eastAsia"/>
          <w:color w:val="auto"/>
          <w:sz w:val="28"/>
          <w:szCs w:val="28"/>
          <w:highlight w:val="none"/>
          <w:lang w:val="en-US" w:eastAsia="zh-CN"/>
        </w:rPr>
        <w:t>八</w:t>
      </w:r>
      <w:r>
        <w:rPr>
          <w:rFonts w:hint="eastAsia"/>
          <w:color w:val="auto"/>
          <w:sz w:val="28"/>
          <w:szCs w:val="28"/>
          <w:highlight w:val="none"/>
          <w:lang w:eastAsia="zh-CN"/>
        </w:rPr>
        <w:t>、估价师资格证书复印件</w:t>
      </w:r>
      <w:bookmarkEnd w:id="43"/>
    </w:p>
    <w:p>
      <w:pPr>
        <w:spacing w:line="580" w:lineRule="exact"/>
        <w:ind w:firstLine="635" w:firstLineChars="227"/>
        <w:rPr>
          <w:rFonts w:hint="eastAsia" w:ascii="宋体" w:hAnsi="宋体" w:cs="宋体"/>
          <w:color w:val="auto"/>
          <w:sz w:val="28"/>
          <w:szCs w:val="28"/>
          <w:highlight w:val="none"/>
        </w:rPr>
      </w:pPr>
    </w:p>
    <w:p>
      <w:pPr>
        <w:spacing w:line="580" w:lineRule="exact"/>
        <w:ind w:firstLine="635" w:firstLineChars="227"/>
        <w:rPr>
          <w:rFonts w:hint="eastAsia" w:ascii="宋体" w:hAnsi="宋体" w:cs="宋体"/>
          <w:color w:val="auto"/>
          <w:sz w:val="28"/>
          <w:szCs w:val="28"/>
          <w:highlight w:val="none"/>
        </w:rPr>
      </w:pPr>
    </w:p>
    <w:bookmarkEnd w:id="44"/>
    <w:sectPr>
      <w:footerReference r:id="rId6" w:type="default"/>
      <w:type w:val="continuous"/>
      <w:pgSz w:w="11906" w:h="16838"/>
      <w:pgMar w:top="1440" w:right="1468" w:bottom="1088" w:left="162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0"/>
      </w:rPr>
    </w:pPr>
    <w:r>
      <w:fldChar w:fldCharType="begin"/>
    </w:r>
    <w:r>
      <w:rPr>
        <w:rStyle w:val="10"/>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49B705"/>
    <w:multiLevelType w:val="singleLevel"/>
    <w:tmpl w:val="C449B70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E32BA"/>
    <w:rsid w:val="003C630C"/>
    <w:rsid w:val="004634EF"/>
    <w:rsid w:val="00681B33"/>
    <w:rsid w:val="006F6475"/>
    <w:rsid w:val="00851807"/>
    <w:rsid w:val="00C44568"/>
    <w:rsid w:val="011406FD"/>
    <w:rsid w:val="01301266"/>
    <w:rsid w:val="016C1BF1"/>
    <w:rsid w:val="01CA4053"/>
    <w:rsid w:val="029562E1"/>
    <w:rsid w:val="02EA0DBB"/>
    <w:rsid w:val="037B34B2"/>
    <w:rsid w:val="03B56A72"/>
    <w:rsid w:val="03CF5530"/>
    <w:rsid w:val="03F34FDE"/>
    <w:rsid w:val="04111E29"/>
    <w:rsid w:val="043A0E29"/>
    <w:rsid w:val="044E4A09"/>
    <w:rsid w:val="04804D3A"/>
    <w:rsid w:val="04D7068F"/>
    <w:rsid w:val="05777F14"/>
    <w:rsid w:val="059B333A"/>
    <w:rsid w:val="05BE0B50"/>
    <w:rsid w:val="06B53758"/>
    <w:rsid w:val="06BC05C2"/>
    <w:rsid w:val="07304382"/>
    <w:rsid w:val="07603804"/>
    <w:rsid w:val="079D4D93"/>
    <w:rsid w:val="07A437A9"/>
    <w:rsid w:val="07BE029C"/>
    <w:rsid w:val="0821734A"/>
    <w:rsid w:val="082C3C35"/>
    <w:rsid w:val="086B0B9D"/>
    <w:rsid w:val="08873C95"/>
    <w:rsid w:val="0889438C"/>
    <w:rsid w:val="08CB6A41"/>
    <w:rsid w:val="08FC0B5E"/>
    <w:rsid w:val="09843426"/>
    <w:rsid w:val="0A44729A"/>
    <w:rsid w:val="0A965976"/>
    <w:rsid w:val="0B50389C"/>
    <w:rsid w:val="0B586F84"/>
    <w:rsid w:val="0B7B1196"/>
    <w:rsid w:val="0C8D4DE6"/>
    <w:rsid w:val="0CA01F6D"/>
    <w:rsid w:val="0CCC31C4"/>
    <w:rsid w:val="0D4E2B4C"/>
    <w:rsid w:val="0D5E6551"/>
    <w:rsid w:val="0D5F4685"/>
    <w:rsid w:val="0D6C526A"/>
    <w:rsid w:val="0D7B68F6"/>
    <w:rsid w:val="0D896DDE"/>
    <w:rsid w:val="0E012EA7"/>
    <w:rsid w:val="0E02118E"/>
    <w:rsid w:val="0E7C2103"/>
    <w:rsid w:val="0EFB14F6"/>
    <w:rsid w:val="0F6D006C"/>
    <w:rsid w:val="0F6F3C91"/>
    <w:rsid w:val="10067FD7"/>
    <w:rsid w:val="101C1EEF"/>
    <w:rsid w:val="109E382C"/>
    <w:rsid w:val="10E74AB9"/>
    <w:rsid w:val="10EF7172"/>
    <w:rsid w:val="10F42072"/>
    <w:rsid w:val="114C6290"/>
    <w:rsid w:val="1192719E"/>
    <w:rsid w:val="11C45076"/>
    <w:rsid w:val="11DC7C85"/>
    <w:rsid w:val="12143B94"/>
    <w:rsid w:val="123A7020"/>
    <w:rsid w:val="13890BE6"/>
    <w:rsid w:val="13991679"/>
    <w:rsid w:val="13B66F69"/>
    <w:rsid w:val="13C342C5"/>
    <w:rsid w:val="13CF2E99"/>
    <w:rsid w:val="13E10A7D"/>
    <w:rsid w:val="13FA72DF"/>
    <w:rsid w:val="14A02C75"/>
    <w:rsid w:val="14A0306F"/>
    <w:rsid w:val="14AA2940"/>
    <w:rsid w:val="1546634E"/>
    <w:rsid w:val="1568688D"/>
    <w:rsid w:val="159D6B14"/>
    <w:rsid w:val="15FD348D"/>
    <w:rsid w:val="16222AE7"/>
    <w:rsid w:val="16591D5E"/>
    <w:rsid w:val="16D80993"/>
    <w:rsid w:val="170C5C60"/>
    <w:rsid w:val="175212E4"/>
    <w:rsid w:val="17FB0C0E"/>
    <w:rsid w:val="182F3F1B"/>
    <w:rsid w:val="1856422D"/>
    <w:rsid w:val="18571923"/>
    <w:rsid w:val="194D01A0"/>
    <w:rsid w:val="199160AF"/>
    <w:rsid w:val="19981761"/>
    <w:rsid w:val="19C5139C"/>
    <w:rsid w:val="1A280A37"/>
    <w:rsid w:val="1A314E2E"/>
    <w:rsid w:val="1B3A4719"/>
    <w:rsid w:val="1B4D75A6"/>
    <w:rsid w:val="1B645F75"/>
    <w:rsid w:val="1BA60714"/>
    <w:rsid w:val="1BA63AF8"/>
    <w:rsid w:val="1BFE300E"/>
    <w:rsid w:val="1C0132D8"/>
    <w:rsid w:val="1C161B1E"/>
    <w:rsid w:val="1C37377E"/>
    <w:rsid w:val="1C3E6242"/>
    <w:rsid w:val="1CD04709"/>
    <w:rsid w:val="1CDB2C84"/>
    <w:rsid w:val="1D144E4F"/>
    <w:rsid w:val="1D153A02"/>
    <w:rsid w:val="1D757E35"/>
    <w:rsid w:val="1D9F535C"/>
    <w:rsid w:val="1DBB2346"/>
    <w:rsid w:val="1DC95DC5"/>
    <w:rsid w:val="1E581D03"/>
    <w:rsid w:val="1F031851"/>
    <w:rsid w:val="1F067298"/>
    <w:rsid w:val="1F146552"/>
    <w:rsid w:val="1F1B39BC"/>
    <w:rsid w:val="1F5B7401"/>
    <w:rsid w:val="1F6A6F03"/>
    <w:rsid w:val="1FBC1676"/>
    <w:rsid w:val="203923DE"/>
    <w:rsid w:val="20C33585"/>
    <w:rsid w:val="20E91746"/>
    <w:rsid w:val="213320B2"/>
    <w:rsid w:val="217A12E7"/>
    <w:rsid w:val="21833CA6"/>
    <w:rsid w:val="219C0FD7"/>
    <w:rsid w:val="21EA5486"/>
    <w:rsid w:val="22053FB3"/>
    <w:rsid w:val="220F1BE5"/>
    <w:rsid w:val="224A3D2D"/>
    <w:rsid w:val="22A20075"/>
    <w:rsid w:val="22AA137A"/>
    <w:rsid w:val="22AC3702"/>
    <w:rsid w:val="22C620F9"/>
    <w:rsid w:val="230F6460"/>
    <w:rsid w:val="23DB6645"/>
    <w:rsid w:val="242375E7"/>
    <w:rsid w:val="249E3632"/>
    <w:rsid w:val="24A60695"/>
    <w:rsid w:val="24E26E78"/>
    <w:rsid w:val="24FF3387"/>
    <w:rsid w:val="252C73F6"/>
    <w:rsid w:val="255D3D84"/>
    <w:rsid w:val="259C5215"/>
    <w:rsid w:val="26015534"/>
    <w:rsid w:val="26355015"/>
    <w:rsid w:val="264B2863"/>
    <w:rsid w:val="26D437A6"/>
    <w:rsid w:val="2710694A"/>
    <w:rsid w:val="27DC0739"/>
    <w:rsid w:val="28171113"/>
    <w:rsid w:val="285E13B4"/>
    <w:rsid w:val="28941CE2"/>
    <w:rsid w:val="28952A0D"/>
    <w:rsid w:val="28FB03A0"/>
    <w:rsid w:val="292E473C"/>
    <w:rsid w:val="294C699B"/>
    <w:rsid w:val="29B47B9A"/>
    <w:rsid w:val="29BD29C4"/>
    <w:rsid w:val="29EE74BC"/>
    <w:rsid w:val="2A442993"/>
    <w:rsid w:val="2A7D3A50"/>
    <w:rsid w:val="2B002B49"/>
    <w:rsid w:val="2B016B98"/>
    <w:rsid w:val="2B1B314C"/>
    <w:rsid w:val="2B3F0FA4"/>
    <w:rsid w:val="2B694C37"/>
    <w:rsid w:val="2B7746E6"/>
    <w:rsid w:val="2BBE76F3"/>
    <w:rsid w:val="2BE70B11"/>
    <w:rsid w:val="2BF953C8"/>
    <w:rsid w:val="2D687E2C"/>
    <w:rsid w:val="2E0A0AFE"/>
    <w:rsid w:val="2E1412A9"/>
    <w:rsid w:val="2E206C26"/>
    <w:rsid w:val="2E6E38C9"/>
    <w:rsid w:val="2E9A6A81"/>
    <w:rsid w:val="2E9E7EDE"/>
    <w:rsid w:val="2F0E7067"/>
    <w:rsid w:val="2F2467E5"/>
    <w:rsid w:val="2F296F17"/>
    <w:rsid w:val="2F4F6A3A"/>
    <w:rsid w:val="2F6452C2"/>
    <w:rsid w:val="302F2A7F"/>
    <w:rsid w:val="30D000A9"/>
    <w:rsid w:val="30EC696D"/>
    <w:rsid w:val="31282075"/>
    <w:rsid w:val="317B7AC9"/>
    <w:rsid w:val="31A00851"/>
    <w:rsid w:val="31B80FCD"/>
    <w:rsid w:val="31D32665"/>
    <w:rsid w:val="31D341BB"/>
    <w:rsid w:val="31DD58D2"/>
    <w:rsid w:val="31E36C70"/>
    <w:rsid w:val="31EF42D6"/>
    <w:rsid w:val="321A5D08"/>
    <w:rsid w:val="3232071C"/>
    <w:rsid w:val="33024328"/>
    <w:rsid w:val="333F3939"/>
    <w:rsid w:val="335E1FC0"/>
    <w:rsid w:val="33A72AE1"/>
    <w:rsid w:val="3403371E"/>
    <w:rsid w:val="34D074A9"/>
    <w:rsid w:val="351D6A5F"/>
    <w:rsid w:val="35CC7A85"/>
    <w:rsid w:val="36084B7D"/>
    <w:rsid w:val="36222712"/>
    <w:rsid w:val="36244A3C"/>
    <w:rsid w:val="36516569"/>
    <w:rsid w:val="36891D9F"/>
    <w:rsid w:val="36B033B6"/>
    <w:rsid w:val="36B111C6"/>
    <w:rsid w:val="377358AB"/>
    <w:rsid w:val="37787E27"/>
    <w:rsid w:val="37805013"/>
    <w:rsid w:val="37AC5614"/>
    <w:rsid w:val="37B06D94"/>
    <w:rsid w:val="37E46E0A"/>
    <w:rsid w:val="37FB5AED"/>
    <w:rsid w:val="38156B80"/>
    <w:rsid w:val="3841336A"/>
    <w:rsid w:val="385043DE"/>
    <w:rsid w:val="38EF1677"/>
    <w:rsid w:val="38FE38F3"/>
    <w:rsid w:val="39BC1B5C"/>
    <w:rsid w:val="39BD1AA3"/>
    <w:rsid w:val="3A7C2F7E"/>
    <w:rsid w:val="3A7F5273"/>
    <w:rsid w:val="3AAB4D04"/>
    <w:rsid w:val="3AC47E32"/>
    <w:rsid w:val="3B5B4D84"/>
    <w:rsid w:val="3BB85CDB"/>
    <w:rsid w:val="3BF408A6"/>
    <w:rsid w:val="3C105A99"/>
    <w:rsid w:val="3C157839"/>
    <w:rsid w:val="3C1E0B0E"/>
    <w:rsid w:val="3C2A4864"/>
    <w:rsid w:val="3CA516EB"/>
    <w:rsid w:val="3CA650EE"/>
    <w:rsid w:val="3CB33F9F"/>
    <w:rsid w:val="3CE770AC"/>
    <w:rsid w:val="3CEC52D1"/>
    <w:rsid w:val="3DB07489"/>
    <w:rsid w:val="3DB32A13"/>
    <w:rsid w:val="3DDC0406"/>
    <w:rsid w:val="3E7D7189"/>
    <w:rsid w:val="3EF27A0D"/>
    <w:rsid w:val="3F5A0DE7"/>
    <w:rsid w:val="3F5A17AD"/>
    <w:rsid w:val="3F817D87"/>
    <w:rsid w:val="3F923884"/>
    <w:rsid w:val="3F9F6D3C"/>
    <w:rsid w:val="3FCA51DD"/>
    <w:rsid w:val="3FDD2A8F"/>
    <w:rsid w:val="3FE17600"/>
    <w:rsid w:val="404C239D"/>
    <w:rsid w:val="40615A45"/>
    <w:rsid w:val="40997F2C"/>
    <w:rsid w:val="40A84F31"/>
    <w:rsid w:val="40C02CA5"/>
    <w:rsid w:val="40FF2402"/>
    <w:rsid w:val="411F286A"/>
    <w:rsid w:val="41223949"/>
    <w:rsid w:val="41B01D93"/>
    <w:rsid w:val="41B65FFA"/>
    <w:rsid w:val="41B741A3"/>
    <w:rsid w:val="41BC1F82"/>
    <w:rsid w:val="41E04D16"/>
    <w:rsid w:val="420E7C05"/>
    <w:rsid w:val="432C58BD"/>
    <w:rsid w:val="43487045"/>
    <w:rsid w:val="436A6B23"/>
    <w:rsid w:val="43EB2F93"/>
    <w:rsid w:val="4406294E"/>
    <w:rsid w:val="44E130B5"/>
    <w:rsid w:val="452A7233"/>
    <w:rsid w:val="453D369D"/>
    <w:rsid w:val="459403D6"/>
    <w:rsid w:val="45AC502D"/>
    <w:rsid w:val="45E11933"/>
    <w:rsid w:val="46271B8E"/>
    <w:rsid w:val="465A4C60"/>
    <w:rsid w:val="46991E2D"/>
    <w:rsid w:val="46E6047B"/>
    <w:rsid w:val="46E83E69"/>
    <w:rsid w:val="4725163C"/>
    <w:rsid w:val="475A4D4A"/>
    <w:rsid w:val="477414A2"/>
    <w:rsid w:val="47CC39A1"/>
    <w:rsid w:val="47CC664E"/>
    <w:rsid w:val="486C2113"/>
    <w:rsid w:val="48EA42B6"/>
    <w:rsid w:val="490F31AE"/>
    <w:rsid w:val="4947548A"/>
    <w:rsid w:val="49523DE6"/>
    <w:rsid w:val="49BF6A55"/>
    <w:rsid w:val="49C048BF"/>
    <w:rsid w:val="49F16E1D"/>
    <w:rsid w:val="4A1508D0"/>
    <w:rsid w:val="4A5F60A0"/>
    <w:rsid w:val="4AAF1F7A"/>
    <w:rsid w:val="4AE36BF1"/>
    <w:rsid w:val="4AE85E03"/>
    <w:rsid w:val="4AF7354E"/>
    <w:rsid w:val="4AFA7AEA"/>
    <w:rsid w:val="4B272F39"/>
    <w:rsid w:val="4B4366B1"/>
    <w:rsid w:val="4B544311"/>
    <w:rsid w:val="4BE579BF"/>
    <w:rsid w:val="4C480A72"/>
    <w:rsid w:val="4C693E5E"/>
    <w:rsid w:val="4C7D2AD3"/>
    <w:rsid w:val="4CAD45B2"/>
    <w:rsid w:val="4CB826EF"/>
    <w:rsid w:val="4CCB61E3"/>
    <w:rsid w:val="4CDA09AF"/>
    <w:rsid w:val="4D18014F"/>
    <w:rsid w:val="4D277574"/>
    <w:rsid w:val="4D313D3F"/>
    <w:rsid w:val="4D547109"/>
    <w:rsid w:val="4D7362F7"/>
    <w:rsid w:val="4DAA297D"/>
    <w:rsid w:val="4DC424EA"/>
    <w:rsid w:val="4E215F9D"/>
    <w:rsid w:val="4EF12BF4"/>
    <w:rsid w:val="4EF46ECB"/>
    <w:rsid w:val="4F3505B7"/>
    <w:rsid w:val="4F8E615D"/>
    <w:rsid w:val="4FB84BAF"/>
    <w:rsid w:val="50393950"/>
    <w:rsid w:val="5064735A"/>
    <w:rsid w:val="507F5781"/>
    <w:rsid w:val="50AA284C"/>
    <w:rsid w:val="50C513B4"/>
    <w:rsid w:val="517F4995"/>
    <w:rsid w:val="519F275C"/>
    <w:rsid w:val="51C82F74"/>
    <w:rsid w:val="520B3E55"/>
    <w:rsid w:val="52390003"/>
    <w:rsid w:val="52454564"/>
    <w:rsid w:val="52580BEF"/>
    <w:rsid w:val="52836503"/>
    <w:rsid w:val="52975B07"/>
    <w:rsid w:val="52B122D3"/>
    <w:rsid w:val="52D51AAE"/>
    <w:rsid w:val="530D06C2"/>
    <w:rsid w:val="53240D43"/>
    <w:rsid w:val="53581579"/>
    <w:rsid w:val="537C5D8B"/>
    <w:rsid w:val="539172BD"/>
    <w:rsid w:val="54314DC7"/>
    <w:rsid w:val="543F632B"/>
    <w:rsid w:val="5473542F"/>
    <w:rsid w:val="54B51478"/>
    <w:rsid w:val="54BF360D"/>
    <w:rsid w:val="54EB3739"/>
    <w:rsid w:val="55446943"/>
    <w:rsid w:val="55C329B8"/>
    <w:rsid w:val="55D3323E"/>
    <w:rsid w:val="55FA7D8E"/>
    <w:rsid w:val="561E3277"/>
    <w:rsid w:val="56842573"/>
    <w:rsid w:val="56AC5EA7"/>
    <w:rsid w:val="56BC18FE"/>
    <w:rsid w:val="56C02201"/>
    <w:rsid w:val="56CF40E0"/>
    <w:rsid w:val="56E83AD2"/>
    <w:rsid w:val="56EC4C96"/>
    <w:rsid w:val="57064E44"/>
    <w:rsid w:val="57613B1C"/>
    <w:rsid w:val="578E2AE2"/>
    <w:rsid w:val="57B6522B"/>
    <w:rsid w:val="57B97A74"/>
    <w:rsid w:val="57CF6003"/>
    <w:rsid w:val="582209E0"/>
    <w:rsid w:val="58391AA1"/>
    <w:rsid w:val="5859037C"/>
    <w:rsid w:val="587A42B9"/>
    <w:rsid w:val="587E1A8C"/>
    <w:rsid w:val="58D77C23"/>
    <w:rsid w:val="591F5CAA"/>
    <w:rsid w:val="59237801"/>
    <w:rsid w:val="596C5471"/>
    <w:rsid w:val="59A65ACB"/>
    <w:rsid w:val="59ED2F16"/>
    <w:rsid w:val="59F57FEC"/>
    <w:rsid w:val="5A0C2F53"/>
    <w:rsid w:val="5B62487D"/>
    <w:rsid w:val="5B9E25EB"/>
    <w:rsid w:val="5BA3117C"/>
    <w:rsid w:val="5BC264B2"/>
    <w:rsid w:val="5C8A7253"/>
    <w:rsid w:val="5CC91B47"/>
    <w:rsid w:val="5CD27151"/>
    <w:rsid w:val="5D002570"/>
    <w:rsid w:val="5D1339D7"/>
    <w:rsid w:val="5E1535E7"/>
    <w:rsid w:val="5E5267B8"/>
    <w:rsid w:val="5E5A1860"/>
    <w:rsid w:val="5E896F32"/>
    <w:rsid w:val="5EDB59A1"/>
    <w:rsid w:val="5EF358CE"/>
    <w:rsid w:val="5F360577"/>
    <w:rsid w:val="601726D0"/>
    <w:rsid w:val="60432669"/>
    <w:rsid w:val="60A3754C"/>
    <w:rsid w:val="60B76720"/>
    <w:rsid w:val="60D45FD3"/>
    <w:rsid w:val="610D3EF7"/>
    <w:rsid w:val="611F0972"/>
    <w:rsid w:val="61395429"/>
    <w:rsid w:val="61911CF1"/>
    <w:rsid w:val="61B9119B"/>
    <w:rsid w:val="61DB7257"/>
    <w:rsid w:val="62315311"/>
    <w:rsid w:val="624C3154"/>
    <w:rsid w:val="625362D8"/>
    <w:rsid w:val="62591D44"/>
    <w:rsid w:val="644B0C0C"/>
    <w:rsid w:val="64C705F8"/>
    <w:rsid w:val="64D45F66"/>
    <w:rsid w:val="64DB61D7"/>
    <w:rsid w:val="651D204D"/>
    <w:rsid w:val="65437CE1"/>
    <w:rsid w:val="655E32BA"/>
    <w:rsid w:val="65644EB9"/>
    <w:rsid w:val="657161DA"/>
    <w:rsid w:val="65750166"/>
    <w:rsid w:val="660B5B0B"/>
    <w:rsid w:val="662A7C16"/>
    <w:rsid w:val="670826CE"/>
    <w:rsid w:val="67140F8B"/>
    <w:rsid w:val="67B30DBF"/>
    <w:rsid w:val="67F65CCB"/>
    <w:rsid w:val="67F73DAE"/>
    <w:rsid w:val="685D5667"/>
    <w:rsid w:val="686533DA"/>
    <w:rsid w:val="688014DE"/>
    <w:rsid w:val="688449F7"/>
    <w:rsid w:val="689273CC"/>
    <w:rsid w:val="690C4DC4"/>
    <w:rsid w:val="69280541"/>
    <w:rsid w:val="695968E7"/>
    <w:rsid w:val="6A3253DB"/>
    <w:rsid w:val="6A81202C"/>
    <w:rsid w:val="6AC848AA"/>
    <w:rsid w:val="6AC9428A"/>
    <w:rsid w:val="6AD9459D"/>
    <w:rsid w:val="6AFC116D"/>
    <w:rsid w:val="6AFC25B4"/>
    <w:rsid w:val="6B7922F8"/>
    <w:rsid w:val="6BB52F82"/>
    <w:rsid w:val="6BB754F7"/>
    <w:rsid w:val="6BDA4E19"/>
    <w:rsid w:val="6C473A59"/>
    <w:rsid w:val="6C7D6575"/>
    <w:rsid w:val="6DB62CF3"/>
    <w:rsid w:val="6E5569F7"/>
    <w:rsid w:val="6F5F0064"/>
    <w:rsid w:val="6F7E2C5F"/>
    <w:rsid w:val="6F925F92"/>
    <w:rsid w:val="70511B52"/>
    <w:rsid w:val="7072379A"/>
    <w:rsid w:val="708D40D3"/>
    <w:rsid w:val="708F1140"/>
    <w:rsid w:val="70DE772D"/>
    <w:rsid w:val="71486974"/>
    <w:rsid w:val="715D662B"/>
    <w:rsid w:val="71E735D9"/>
    <w:rsid w:val="720B3851"/>
    <w:rsid w:val="72463C60"/>
    <w:rsid w:val="72CE2F32"/>
    <w:rsid w:val="72E20337"/>
    <w:rsid w:val="72F44F12"/>
    <w:rsid w:val="73076A4C"/>
    <w:rsid w:val="7313494A"/>
    <w:rsid w:val="732949FD"/>
    <w:rsid w:val="733C71DD"/>
    <w:rsid w:val="73497B53"/>
    <w:rsid w:val="73FC3017"/>
    <w:rsid w:val="74301E8D"/>
    <w:rsid w:val="74D01208"/>
    <w:rsid w:val="74DE67E9"/>
    <w:rsid w:val="74E71704"/>
    <w:rsid w:val="74FB1390"/>
    <w:rsid w:val="75114D21"/>
    <w:rsid w:val="752B7547"/>
    <w:rsid w:val="7583334E"/>
    <w:rsid w:val="758C0D04"/>
    <w:rsid w:val="761F3B1E"/>
    <w:rsid w:val="764650A3"/>
    <w:rsid w:val="76503E78"/>
    <w:rsid w:val="765D7D5B"/>
    <w:rsid w:val="76665257"/>
    <w:rsid w:val="76B3182C"/>
    <w:rsid w:val="76B85969"/>
    <w:rsid w:val="77156417"/>
    <w:rsid w:val="773A36F2"/>
    <w:rsid w:val="77515C53"/>
    <w:rsid w:val="77535A21"/>
    <w:rsid w:val="77706F88"/>
    <w:rsid w:val="77783675"/>
    <w:rsid w:val="7802746B"/>
    <w:rsid w:val="78036BE7"/>
    <w:rsid w:val="78504A36"/>
    <w:rsid w:val="78692386"/>
    <w:rsid w:val="78FF73DA"/>
    <w:rsid w:val="79072398"/>
    <w:rsid w:val="7920299B"/>
    <w:rsid w:val="792E17E6"/>
    <w:rsid w:val="79935788"/>
    <w:rsid w:val="799948E9"/>
    <w:rsid w:val="79F96BFF"/>
    <w:rsid w:val="7B592C12"/>
    <w:rsid w:val="7B604E12"/>
    <w:rsid w:val="7B806C5F"/>
    <w:rsid w:val="7B9D397C"/>
    <w:rsid w:val="7BBB32BA"/>
    <w:rsid w:val="7BD46AAB"/>
    <w:rsid w:val="7C395CF5"/>
    <w:rsid w:val="7C5C2F46"/>
    <w:rsid w:val="7D0963F1"/>
    <w:rsid w:val="7D3A2C5B"/>
    <w:rsid w:val="7D534DCD"/>
    <w:rsid w:val="7D541004"/>
    <w:rsid w:val="7D621938"/>
    <w:rsid w:val="7D8F6301"/>
    <w:rsid w:val="7DBD44E8"/>
    <w:rsid w:val="7DFF10EE"/>
    <w:rsid w:val="7E4471F3"/>
    <w:rsid w:val="7E4B49E6"/>
    <w:rsid w:val="7E5B7B93"/>
    <w:rsid w:val="7E857DDF"/>
    <w:rsid w:val="7F406DDC"/>
    <w:rsid w:val="7F645D9F"/>
    <w:rsid w:val="7FDD1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bCs/>
      <w:kern w:val="2"/>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7222</Words>
  <Characters>7739</Characters>
  <Lines>0</Lines>
  <Paragraphs>0</Paragraphs>
  <TotalTime>3</TotalTime>
  <ScaleCrop>false</ScaleCrop>
  <LinksUpToDate>false</LinksUpToDate>
  <CharactersWithSpaces>8094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2021-02-19T08:45:00Z</dcterms:created>
  <dc:creator>Administrator</dc:creator>
  <cp:lastModifiedBy>Administrator</cp:lastModifiedBy>
  <cp:lastPrinted>2022-01-28T00:21:00Z</cp:lastPrinted>
  <dcterms:modified xsi:type="dcterms:W3CDTF">2022-03-31T01:21:04Z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9B607E0EC0804048A9A630E26E8AF36E</vt:lpwstr>
  </property>
</Properties>
</file>