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jc w:val="center"/>
        <w:rPr>
          <w:rFonts w:eastAsia="仿宋_GB2312"/>
          <w:b/>
          <w:spacing w:val="20"/>
          <w:sz w:val="52"/>
          <w:szCs w:val="52"/>
        </w:rPr>
      </w:pPr>
      <w:bookmarkStart w:id="0" w:name="_Hlt91515658"/>
      <w:bookmarkEnd w:id="0"/>
    </w:p>
    <w:p>
      <w:pPr>
        <w:jc w:val="center"/>
        <w:rPr>
          <w:rFonts w:eastAsia="仿宋_GB2312"/>
          <w:b/>
          <w:spacing w:val="20"/>
          <w:sz w:val="52"/>
          <w:szCs w:val="52"/>
        </w:rPr>
      </w:pPr>
      <w:r>
        <w:rPr>
          <w:rFonts w:hint="eastAsia" w:eastAsia="仿宋_GB2312"/>
          <w:b/>
          <w:spacing w:val="20"/>
          <w:sz w:val="52"/>
          <w:szCs w:val="52"/>
        </w:rPr>
        <w:t>涉执房地产处置司法评估报告</w:t>
      </w:r>
    </w:p>
    <w:p>
      <w:pPr>
        <w:spacing w:after="936" w:afterLines="300"/>
        <w:rPr>
          <w:rFonts w:eastAsia="仿宋_GB2312"/>
          <w:b/>
          <w:spacing w:val="20"/>
          <w:sz w:val="52"/>
          <w:szCs w:val="52"/>
        </w:rPr>
      </w:pPr>
      <w:r>
        <w:rPr>
          <w:sz w:val="52"/>
        </w:rPr>
        <mc:AlternateContent>
          <mc:Choice Requires="wps">
            <w:drawing>
              <wp:anchor distT="0" distB="0" distL="114300" distR="114300" simplePos="0" relativeHeight="251661312" behindDoc="0" locked="0" layoutInCell="1" allowOverlap="1">
                <wp:simplePos x="0" y="0"/>
                <wp:positionH relativeFrom="column">
                  <wp:posOffset>504190</wp:posOffset>
                </wp:positionH>
                <wp:positionV relativeFrom="paragraph">
                  <wp:posOffset>113665</wp:posOffset>
                </wp:positionV>
                <wp:extent cx="4800600" cy="0"/>
                <wp:effectExtent l="0" t="28575" r="0" b="32385"/>
                <wp:wrapNone/>
                <wp:docPr id="1" name="直接连接符 1"/>
                <wp:cNvGraphicFramePr/>
                <a:graphic xmlns:a="http://schemas.openxmlformats.org/drawingml/2006/main">
                  <a:graphicData uri="http://schemas.microsoft.com/office/word/2010/wordprocessingShape">
                    <wps:wsp>
                      <wps:cNvCnPr/>
                      <wps:spPr>
                        <a:xfrm>
                          <a:off x="0" y="0"/>
                          <a:ext cx="4800600" cy="0"/>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9.7pt;margin-top:8.95pt;height:0pt;width:378pt;z-index:251661312;mso-width-relative:page;mso-height-relative:page;" filled="f" stroked="t" coordsize="21600,21600" o:gfxdata="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W&#10;VX3L0wAAAAgBAAAPAAAAAAAAAAEAIAAAACIAAABkcnMvZG93bnJldi54bWxQSwECFAAUAAAACACH&#10;TuJAkC+Mz/ABAADfAwAADgAAAAAAAAABACAAAAAiAQAAZHJzL2Uyb0RvYy54bWxQSwUGAAAAAAYA&#10;BgBZAQAAhAUAAAAA&#10;">
                <v:fill on="f" focussize="0,0"/>
                <v:stroke weight="4.5pt" color="#000000" linestyle="thickThin" joinstyle="round"/>
                <v:imagedata o:title=""/>
                <o:lock v:ext="edit" aspectratio="f"/>
              </v:line>
            </w:pict>
          </mc:Fallback>
        </mc:AlternateContent>
      </w:r>
    </w:p>
    <w:p>
      <w:pPr>
        <w:spacing w:line="760" w:lineRule="exact"/>
        <w:ind w:left="2718" w:right="533" w:rightChars="254" w:hanging="2718" w:hangingChars="967"/>
        <w:jc w:val="left"/>
        <w:rPr>
          <w:rFonts w:eastAsia="仿宋_GB2312"/>
          <w:b/>
          <w:sz w:val="32"/>
          <w:szCs w:val="32"/>
        </w:rPr>
      </w:pPr>
      <w:r>
        <w:rPr>
          <w:rFonts w:hint="eastAsia" w:eastAsia="黑体"/>
          <w:b/>
          <w:sz w:val="28"/>
          <w:szCs w:val="28"/>
        </w:rPr>
        <w:t xml:space="preserve">    </w:t>
      </w:r>
      <w:r>
        <w:rPr>
          <w:rFonts w:hint="eastAsia" w:eastAsia="黑体"/>
          <w:b/>
          <w:sz w:val="32"/>
          <w:szCs w:val="32"/>
        </w:rPr>
        <w:t xml:space="preserve"> </w:t>
      </w:r>
      <w:r>
        <w:rPr>
          <w:rFonts w:hint="eastAsia" w:ascii="宋体" w:hAnsi="宋体" w:cs="宋体"/>
          <w:b/>
          <w:sz w:val="32"/>
          <w:szCs w:val="32"/>
        </w:rPr>
        <w:t xml:space="preserve">  </w:t>
      </w:r>
      <w:r>
        <w:rPr>
          <w:rFonts w:hint="eastAsia" w:eastAsia="仿宋_GB2312"/>
          <w:b/>
          <w:sz w:val="32"/>
          <w:szCs w:val="32"/>
        </w:rPr>
        <w:t>项目名称：(2021)粤0608执4056号吴勇浪名下位于佛山市高明区荷城街道中山路218号二期地下车库57号小汽车位房地产市场价值评估</w:t>
      </w:r>
    </w:p>
    <w:p>
      <w:pPr>
        <w:spacing w:line="800" w:lineRule="exact"/>
        <w:ind w:left="2535" w:hanging="2535" w:hangingChars="789"/>
        <w:jc w:val="left"/>
        <w:rPr>
          <w:rFonts w:ascii="华文楷体" w:hAnsi="华文楷体" w:eastAsia="华文楷体" w:cs="华文楷体"/>
          <w:bCs/>
          <w:kern w:val="0"/>
          <w:sz w:val="32"/>
          <w:szCs w:val="22"/>
        </w:rPr>
      </w:pPr>
      <w:r>
        <w:rPr>
          <w:rFonts w:hint="eastAsia" w:eastAsia="黑体"/>
          <w:b/>
          <w:sz w:val="32"/>
          <w:szCs w:val="32"/>
        </w:rPr>
        <w:t xml:space="preserve">     </w:t>
      </w:r>
      <w:r>
        <w:rPr>
          <w:rFonts w:hint="eastAsia" w:ascii="楷体_GB2312" w:eastAsia="楷体_GB2312"/>
          <w:kern w:val="0"/>
          <w:sz w:val="32"/>
          <w:szCs w:val="22"/>
        </w:rPr>
        <w:t xml:space="preserve"> </w:t>
      </w:r>
      <w:r>
        <w:rPr>
          <w:rFonts w:hint="eastAsia" w:eastAsia="仿宋_GB2312"/>
          <w:b/>
          <w:sz w:val="32"/>
          <w:szCs w:val="32"/>
        </w:rPr>
        <w:t>委  托 人：佛山市高明区人民法院</w:t>
      </w:r>
    </w:p>
    <w:p>
      <w:pPr>
        <w:spacing w:line="800" w:lineRule="exact"/>
        <w:ind w:left="2535" w:hanging="2535" w:hangingChars="789"/>
        <w:jc w:val="left"/>
        <w:rPr>
          <w:rFonts w:eastAsia="仿宋_GB2312"/>
          <w:b/>
          <w:sz w:val="32"/>
          <w:szCs w:val="32"/>
        </w:rPr>
      </w:pPr>
      <w:r>
        <w:rPr>
          <w:rFonts w:hint="eastAsia" w:eastAsia="黑体"/>
          <w:b/>
          <w:sz w:val="32"/>
          <w:szCs w:val="32"/>
        </w:rPr>
        <w:t xml:space="preserve">    </w:t>
      </w:r>
      <w:r>
        <w:rPr>
          <w:rFonts w:hint="eastAsia" w:ascii="楷体_GB2312" w:eastAsia="楷体_GB2312"/>
          <w:kern w:val="0"/>
          <w:sz w:val="32"/>
          <w:szCs w:val="22"/>
        </w:rPr>
        <w:t xml:space="preserve"> </w:t>
      </w:r>
      <w:r>
        <w:rPr>
          <w:rFonts w:hint="eastAsia" w:ascii="楷体_GB2312" w:eastAsia="楷体_GB2312"/>
          <w:b/>
          <w:bCs/>
          <w:kern w:val="0"/>
          <w:sz w:val="32"/>
          <w:szCs w:val="22"/>
        </w:rPr>
        <w:t xml:space="preserve"> </w:t>
      </w:r>
      <w:r>
        <w:rPr>
          <w:rFonts w:hint="eastAsia" w:eastAsia="仿宋_GB2312"/>
          <w:b/>
          <w:sz w:val="32"/>
          <w:szCs w:val="32"/>
        </w:rPr>
        <w:t>估价机构 ：广东浩宇房地产土地资产评估有限公司</w:t>
      </w:r>
    </w:p>
    <w:p>
      <w:pPr>
        <w:spacing w:before="150" w:after="30" w:line="520" w:lineRule="exact"/>
        <w:ind w:right="28" w:firstLine="964" w:firstLineChars="300"/>
        <w:rPr>
          <w:rFonts w:eastAsia="黑体"/>
          <w:b/>
          <w:sz w:val="32"/>
          <w:szCs w:val="32"/>
        </w:rPr>
      </w:pPr>
      <w:r>
        <w:rPr>
          <w:rFonts w:hint="eastAsia" w:eastAsia="仿宋_GB2312"/>
          <w:b/>
          <w:sz w:val="32"/>
          <w:szCs w:val="32"/>
        </w:rPr>
        <w:t>注册房地产估价师 ：郑  敏（注册号：4420000164 ）</w:t>
      </w:r>
      <w:r>
        <w:rPr>
          <w:rFonts w:hint="eastAsia" w:ascii="楷体_GB2312" w:eastAsia="楷体_GB2312"/>
          <w:kern w:val="0"/>
          <w:sz w:val="32"/>
          <w:szCs w:val="22"/>
        </w:rPr>
        <w:t xml:space="preserve">   </w:t>
      </w:r>
      <w:r>
        <w:rPr>
          <w:rFonts w:hint="eastAsia" w:eastAsia="黑体"/>
          <w:bCs/>
          <w:sz w:val="28"/>
          <w:szCs w:val="28"/>
        </w:rPr>
        <w:t xml:space="preserve">                  </w:t>
      </w:r>
    </w:p>
    <w:p>
      <w:pPr>
        <w:spacing w:line="800" w:lineRule="exact"/>
        <w:jc w:val="left"/>
        <w:rPr>
          <w:rFonts w:ascii="华文楷体" w:hAnsi="华文楷体" w:eastAsia="华文楷体" w:cs="华文楷体"/>
          <w:kern w:val="0"/>
          <w:sz w:val="32"/>
          <w:szCs w:val="22"/>
        </w:rPr>
      </w:pPr>
      <w:r>
        <w:rPr>
          <w:rFonts w:hint="eastAsia" w:eastAsia="黑体"/>
          <w:b/>
          <w:sz w:val="32"/>
          <w:szCs w:val="32"/>
        </w:rPr>
        <w:t xml:space="preserve">                         </w:t>
      </w:r>
      <w:r>
        <w:rPr>
          <w:rFonts w:hint="eastAsia" w:eastAsia="仿宋_GB2312"/>
          <w:b/>
          <w:sz w:val="32"/>
          <w:szCs w:val="32"/>
        </w:rPr>
        <w:t>武守君（注册号：2319970029）</w:t>
      </w:r>
    </w:p>
    <w:p>
      <w:pPr>
        <w:spacing w:after="156" w:afterLines="50" w:line="800" w:lineRule="exact"/>
        <w:ind w:left="981" w:leftChars="467"/>
        <w:jc w:val="left"/>
        <w:rPr>
          <w:rFonts w:ascii="华文楷体" w:hAnsi="华文楷体" w:eastAsia="华文楷体" w:cs="华文楷体"/>
          <w:kern w:val="0"/>
          <w:sz w:val="32"/>
          <w:szCs w:val="22"/>
        </w:rPr>
      </w:pPr>
      <w:bookmarkStart w:id="1" w:name="_Toc101857731"/>
      <w:bookmarkStart w:id="2" w:name="_Toc101930829"/>
      <w:bookmarkStart w:id="3" w:name="_Toc102185267"/>
      <w:bookmarkStart w:id="4" w:name="_Toc101858824"/>
      <w:bookmarkStart w:id="5" w:name="_Toc101858091"/>
      <w:bookmarkStart w:id="6" w:name="_Toc101858323"/>
      <w:bookmarkStart w:id="7" w:name="_Toc91515629"/>
      <w:bookmarkStart w:id="8" w:name="_Toc102019537"/>
      <w:bookmarkStart w:id="9" w:name="_Toc101858169"/>
      <w:bookmarkStart w:id="10" w:name="_Toc101930704"/>
      <w:bookmarkStart w:id="11" w:name="_Toc101858865"/>
      <w:bookmarkStart w:id="12" w:name="_Toc101858768"/>
      <w:r>
        <w:rPr>
          <w:rFonts w:hint="eastAsia" w:eastAsia="仿宋_GB2312"/>
          <w:b/>
          <w:sz w:val="32"/>
          <w:szCs w:val="32"/>
        </w:rPr>
        <w:t>估价报告出具日期：</w:t>
      </w:r>
      <w:bookmarkStart w:id="13" w:name="OLE_LINK1"/>
      <w:r>
        <w:rPr>
          <w:rFonts w:hint="eastAsia" w:eastAsia="仿宋_GB2312"/>
          <w:b/>
          <w:sz w:val="32"/>
          <w:szCs w:val="32"/>
        </w:rPr>
        <w:t>2022年3月12日</w:t>
      </w:r>
    </w:p>
    <w:bookmarkEnd w:id="13"/>
    <w:p>
      <w:pPr>
        <w:spacing w:line="800" w:lineRule="exact"/>
        <w:ind w:left="2532" w:leftChars="459" w:hanging="1568" w:hangingChars="488"/>
        <w:jc w:val="left"/>
        <w:rPr>
          <w:rFonts w:eastAsia="仿宋_GB2312"/>
          <w:b/>
          <w:sz w:val="32"/>
          <w:szCs w:val="32"/>
        </w:rPr>
      </w:pPr>
      <w:r>
        <w:rPr>
          <w:rFonts w:hint="eastAsia" w:eastAsia="仿宋_GB2312"/>
          <w:b/>
          <w:sz w:val="32"/>
          <w:szCs w:val="32"/>
        </w:rPr>
        <w:t>估价报告编号：</w:t>
      </w:r>
      <w:bookmarkEnd w:id="1"/>
      <w:bookmarkEnd w:id="2"/>
      <w:bookmarkEnd w:id="3"/>
      <w:bookmarkEnd w:id="4"/>
      <w:bookmarkEnd w:id="5"/>
      <w:bookmarkEnd w:id="6"/>
      <w:bookmarkEnd w:id="7"/>
      <w:bookmarkEnd w:id="8"/>
      <w:bookmarkEnd w:id="9"/>
      <w:bookmarkEnd w:id="10"/>
      <w:bookmarkEnd w:id="11"/>
      <w:bookmarkEnd w:id="12"/>
      <w:bookmarkStart w:id="81" w:name="_GoBack"/>
      <w:r>
        <w:rPr>
          <w:rFonts w:hint="eastAsia" w:eastAsia="仿宋_GB2312"/>
          <w:b/>
          <w:sz w:val="32"/>
          <w:szCs w:val="32"/>
        </w:rPr>
        <w:t>粤浩房复估字[2021]第S11-0015-1号</w:t>
      </w:r>
    </w:p>
    <w:p>
      <w:pPr>
        <w:spacing w:line="800" w:lineRule="exact"/>
        <w:ind w:left="2525" w:hanging="2524" w:hangingChars="789"/>
        <w:jc w:val="left"/>
        <w:rPr>
          <w:rFonts w:ascii="华文楷体" w:hAnsi="华文楷体" w:eastAsia="华文楷体" w:cs="华文楷体"/>
          <w:kern w:val="0"/>
          <w:sz w:val="32"/>
          <w:szCs w:val="22"/>
        </w:rPr>
        <w:sectPr>
          <w:headerReference r:id="rId4" w:type="first"/>
          <w:footerReference r:id="rId6" w:type="first"/>
          <w:headerReference r:id="rId3" w:type="default"/>
          <w:footerReference r:id="rId5" w:type="default"/>
          <w:pgSz w:w="11906" w:h="16838"/>
          <w:pgMar w:top="1565" w:right="1134" w:bottom="1469" w:left="1418" w:header="851" w:footer="499" w:gutter="0"/>
          <w:pgNumType w:start="1"/>
          <w:cols w:space="720" w:num="1"/>
          <w:titlePg/>
          <w:docGrid w:type="lines" w:linePitch="312" w:charSpace="0"/>
        </w:sectPr>
      </w:pPr>
      <w:bookmarkStart w:id="14" w:name="_Toc19972"/>
      <w:bookmarkStart w:id="15" w:name="_Toc165264275"/>
    </w:p>
    <w:bookmarkEnd w:id="81"/>
    <w:p>
      <w:pPr>
        <w:pStyle w:val="2"/>
        <w:rPr>
          <w:rFonts w:eastAsia="仿宋_GB2312"/>
          <w:sz w:val="36"/>
          <w:szCs w:val="36"/>
        </w:rPr>
      </w:pPr>
    </w:p>
    <w:p/>
    <w:p>
      <w:pPr>
        <w:pStyle w:val="2"/>
        <w:jc w:val="center"/>
        <w:rPr>
          <w:rFonts w:eastAsia="仿宋_GB2312"/>
          <w:sz w:val="36"/>
          <w:szCs w:val="36"/>
        </w:rPr>
      </w:pPr>
      <w:r>
        <w:rPr>
          <w:rFonts w:hint="eastAsia" w:eastAsia="仿宋_GB2312"/>
          <w:sz w:val="36"/>
          <w:szCs w:val="36"/>
        </w:rPr>
        <w:t>一、致委托方函</w:t>
      </w:r>
    </w:p>
    <w:p>
      <w:pPr>
        <w:pStyle w:val="13"/>
        <w:spacing w:line="500" w:lineRule="exact"/>
        <w:rPr>
          <w:rFonts w:eastAsia="仿宋_GB2312"/>
          <w:bCs/>
          <w:sz w:val="30"/>
          <w:szCs w:val="30"/>
        </w:rPr>
      </w:pPr>
      <w:r>
        <w:rPr>
          <w:rFonts w:hint="eastAsia" w:eastAsia="仿宋_GB2312"/>
          <w:bCs/>
          <w:sz w:val="30"/>
          <w:szCs w:val="30"/>
        </w:rPr>
        <w:t>佛山市高明区人民法院：</w:t>
      </w:r>
    </w:p>
    <w:p>
      <w:pPr>
        <w:spacing w:line="520" w:lineRule="exact"/>
        <w:ind w:firstLine="560" w:firstLineChars="200"/>
        <w:rPr>
          <w:rFonts w:eastAsia="仿宋_GB2312"/>
          <w:sz w:val="28"/>
          <w:szCs w:val="28"/>
        </w:rPr>
      </w:pPr>
      <w:r>
        <w:rPr>
          <w:rFonts w:hint="eastAsia" w:eastAsia="仿宋_GB2312"/>
          <w:sz w:val="28"/>
          <w:szCs w:val="28"/>
        </w:rPr>
        <w:t>根据(2021)粤0608执4056号《广东省佛山市高明区人民法院评估、核价委托合同书》的委托事项，本公司对贵院涉执房地产处置于价值时点的市场价值进行了评估。</w:t>
      </w:r>
    </w:p>
    <w:p>
      <w:pPr>
        <w:spacing w:line="520" w:lineRule="exact"/>
        <w:ind w:firstLine="562" w:firstLineChars="200"/>
        <w:rPr>
          <w:rFonts w:eastAsia="仿宋_GB2312"/>
          <w:sz w:val="28"/>
          <w:szCs w:val="28"/>
        </w:rPr>
      </w:pPr>
      <w:r>
        <w:rPr>
          <w:rFonts w:hint="eastAsia" w:eastAsia="仿宋_GB2312"/>
          <w:b/>
          <w:bCs/>
          <w:sz w:val="28"/>
          <w:szCs w:val="28"/>
        </w:rPr>
        <w:t>估价目的：</w:t>
      </w:r>
      <w:r>
        <w:rPr>
          <w:rFonts w:hint="eastAsia" w:eastAsia="仿宋_GB2312"/>
          <w:sz w:val="28"/>
          <w:szCs w:val="28"/>
        </w:rPr>
        <w:t>为人民法院确定财产处置价提供参考依据。</w:t>
      </w:r>
    </w:p>
    <w:p>
      <w:pPr>
        <w:spacing w:line="520" w:lineRule="exact"/>
        <w:ind w:firstLine="560" w:firstLineChars="200"/>
        <w:rPr>
          <w:rFonts w:eastAsia="仿宋_GB2312"/>
          <w:sz w:val="28"/>
          <w:szCs w:val="28"/>
        </w:rPr>
      </w:pPr>
      <w:r>
        <w:rPr>
          <w:rFonts w:hint="eastAsia" w:eastAsia="仿宋_GB2312"/>
          <w:sz w:val="28"/>
          <w:szCs w:val="28"/>
        </w:rPr>
        <w:t>二、估价对象：佛山市高明区荷城街道中山路218号二期地下车库57号小汽车位，建筑面积27.31㎡，专有建筑面积：13.49㎡，用途：国有土地使用权/非住宅，权利性质：出让/市场化商品房，权利类型：国有建设用地使用权/房屋（构筑物）所有权</w:t>
      </w:r>
    </w:p>
    <w:p>
      <w:pPr>
        <w:spacing w:line="520" w:lineRule="exact"/>
        <w:ind w:firstLine="562" w:firstLineChars="200"/>
        <w:rPr>
          <w:rFonts w:eastAsia="仿宋_GB2312"/>
          <w:sz w:val="28"/>
          <w:szCs w:val="28"/>
        </w:rPr>
      </w:pPr>
      <w:r>
        <w:rPr>
          <w:rFonts w:hint="eastAsia" w:eastAsia="仿宋_GB2312"/>
          <w:b/>
          <w:bCs/>
          <w:sz w:val="28"/>
          <w:szCs w:val="28"/>
        </w:rPr>
        <w:t>三、价值时点：</w:t>
      </w:r>
      <w:bookmarkStart w:id="16" w:name="OLE_LINK3"/>
      <w:r>
        <w:rPr>
          <w:rFonts w:hint="eastAsia" w:eastAsia="仿宋_GB2312"/>
          <w:sz w:val="28"/>
          <w:szCs w:val="28"/>
        </w:rPr>
        <w:t>2022年3月11日（现场勘查时间）</w:t>
      </w:r>
    </w:p>
    <w:bookmarkEnd w:id="16"/>
    <w:p>
      <w:pPr>
        <w:spacing w:line="520" w:lineRule="exact"/>
        <w:ind w:firstLine="562" w:firstLineChars="200"/>
        <w:rPr>
          <w:rFonts w:eastAsia="仿宋_GB2312"/>
          <w:sz w:val="28"/>
          <w:szCs w:val="28"/>
        </w:rPr>
      </w:pPr>
      <w:r>
        <w:rPr>
          <w:rFonts w:hint="eastAsia" w:eastAsia="仿宋_GB2312"/>
          <w:b/>
          <w:bCs/>
          <w:sz w:val="28"/>
          <w:szCs w:val="28"/>
        </w:rPr>
        <w:t>四、价值类型：</w:t>
      </w:r>
      <w:r>
        <w:rPr>
          <w:rFonts w:hint="eastAsia" w:eastAsia="仿宋_GB2312"/>
          <w:sz w:val="28"/>
          <w:szCs w:val="28"/>
        </w:rPr>
        <w:t>市场价值</w:t>
      </w:r>
    </w:p>
    <w:p>
      <w:pPr>
        <w:spacing w:line="520" w:lineRule="exact"/>
        <w:ind w:firstLine="562" w:firstLineChars="200"/>
        <w:rPr>
          <w:rFonts w:eastAsia="仿宋_GB2312"/>
          <w:sz w:val="28"/>
          <w:szCs w:val="28"/>
        </w:rPr>
      </w:pPr>
      <w:r>
        <w:rPr>
          <w:rFonts w:hint="eastAsia" w:eastAsia="仿宋_GB2312"/>
          <w:b/>
          <w:bCs/>
          <w:sz w:val="28"/>
          <w:szCs w:val="28"/>
        </w:rPr>
        <w:t>五、估价方法：</w:t>
      </w:r>
      <w:r>
        <w:rPr>
          <w:rFonts w:hint="eastAsia" w:eastAsia="仿宋_GB2312"/>
          <w:sz w:val="28"/>
          <w:szCs w:val="28"/>
        </w:rPr>
        <w:t>比较法</w:t>
      </w:r>
    </w:p>
    <w:p>
      <w:pPr>
        <w:spacing w:line="520" w:lineRule="exact"/>
        <w:ind w:firstLine="562" w:firstLineChars="200"/>
        <w:rPr>
          <w:rFonts w:eastAsia="仿宋_GB2312"/>
          <w:sz w:val="28"/>
          <w:szCs w:val="28"/>
        </w:rPr>
      </w:pPr>
      <w:r>
        <w:rPr>
          <w:rFonts w:hint="eastAsia" w:eastAsia="仿宋_GB2312"/>
          <w:b/>
          <w:bCs/>
          <w:sz w:val="28"/>
          <w:szCs w:val="28"/>
        </w:rPr>
        <w:t>六、估价结果：</w:t>
      </w:r>
      <w:r>
        <w:rPr>
          <w:rFonts w:hint="eastAsia" w:eastAsia="仿宋_GB2312"/>
          <w:sz w:val="28"/>
          <w:szCs w:val="28"/>
        </w:rPr>
        <w:t>注册房地产估价师根据估价目的，遵循估价原则，按照估价工作程序，利用科学的估价方法，在认真分析现有资料的基础上，经过周密的计算，并结合估价经验和对影响房地产价格因素的分析、判断，在估价的假设和限制条件下，确定估价对象于价值时点的市场价值：</w:t>
      </w:r>
    </w:p>
    <w:p>
      <w:pPr>
        <w:spacing w:line="520" w:lineRule="exact"/>
        <w:ind w:firstLine="562" w:firstLineChars="200"/>
        <w:rPr>
          <w:rFonts w:eastAsia="仿宋_GB2312"/>
          <w:b/>
          <w:bCs/>
          <w:sz w:val="28"/>
          <w:szCs w:val="28"/>
        </w:rPr>
      </w:pPr>
      <w:bookmarkStart w:id="17" w:name="OLE_LINK9"/>
      <w:r>
        <w:rPr>
          <w:rFonts w:hint="eastAsia" w:eastAsia="仿宋_GB2312"/>
          <w:b/>
          <w:bCs/>
          <w:sz w:val="28"/>
          <w:szCs w:val="28"/>
        </w:rPr>
        <w:t>总价:人民币壹拾伍万元整（</w:t>
      </w:r>
      <w:r>
        <w:rPr>
          <w:rFonts w:hint="eastAsia" w:eastAsia="仿宋_GB2312"/>
          <w:b/>
          <w:bCs/>
          <w:sz w:val="28"/>
          <w:szCs w:val="28"/>
        </w:rPr>
        <w:sym w:font="等线 Light" w:char="00A5"/>
      </w:r>
      <w:r>
        <w:rPr>
          <w:rFonts w:hint="eastAsia" w:eastAsia="仿宋_GB2312"/>
          <w:b/>
          <w:bCs/>
          <w:sz w:val="28"/>
          <w:szCs w:val="28"/>
        </w:rPr>
        <w:t>150,000.00元）</w:t>
      </w:r>
      <w:bookmarkEnd w:id="17"/>
    </w:p>
    <w:p>
      <w:pPr>
        <w:spacing w:line="520" w:lineRule="exact"/>
        <w:ind w:firstLine="560" w:firstLineChars="200"/>
        <w:rPr>
          <w:rFonts w:eastAsia="仿宋_GB2312"/>
          <w:sz w:val="28"/>
          <w:szCs w:val="28"/>
        </w:rPr>
      </w:pPr>
      <w:r>
        <w:rPr>
          <w:rFonts w:hint="eastAsia" w:eastAsia="仿宋_GB2312"/>
          <w:sz w:val="28"/>
          <w:szCs w:val="28"/>
        </w:rPr>
        <w:t>以上内容是估价机构和注册房地产估价师向估价委托人所做的关于估价情况和结果的正式陈述，要了解本估价项目的全面情况，必须认真阅读房地产估价报告全文。</w:t>
      </w:r>
    </w:p>
    <w:p>
      <w:pPr>
        <w:spacing w:line="520" w:lineRule="exact"/>
        <w:ind w:firstLine="560" w:firstLineChars="200"/>
        <w:rPr>
          <w:rFonts w:eastAsia="仿宋_GB2312"/>
          <w:sz w:val="28"/>
          <w:szCs w:val="28"/>
        </w:rPr>
      </w:pPr>
    </w:p>
    <w:p>
      <w:pPr>
        <w:spacing w:line="520" w:lineRule="exact"/>
        <w:ind w:firstLine="560" w:firstLineChars="200"/>
        <w:jc w:val="right"/>
        <w:rPr>
          <w:rFonts w:eastAsia="仿宋_GB2312"/>
          <w:b/>
          <w:bCs/>
          <w:sz w:val="28"/>
          <w:szCs w:val="28"/>
        </w:rPr>
      </w:pPr>
      <w:r>
        <w:rPr>
          <w:rFonts w:hint="eastAsia" w:eastAsia="仿宋_GB2312"/>
          <w:sz w:val="28"/>
          <w:szCs w:val="28"/>
        </w:rPr>
        <w:t xml:space="preserve"> </w:t>
      </w:r>
      <w:r>
        <w:rPr>
          <w:rFonts w:hint="eastAsia" w:eastAsia="仿宋_GB2312"/>
          <w:b/>
          <w:bCs/>
          <w:sz w:val="28"/>
          <w:szCs w:val="28"/>
        </w:rPr>
        <w:t>广东浩宇房地产土地资产评估有限公司</w:t>
      </w:r>
    </w:p>
    <w:p>
      <w:pPr>
        <w:spacing w:line="520" w:lineRule="exact"/>
        <w:ind w:firstLine="562" w:firstLineChars="200"/>
        <w:jc w:val="right"/>
        <w:rPr>
          <w:rFonts w:eastAsia="仿宋_GB2312"/>
          <w:b/>
          <w:bCs/>
          <w:sz w:val="28"/>
          <w:szCs w:val="28"/>
        </w:rPr>
      </w:pPr>
      <w:r>
        <w:rPr>
          <w:rFonts w:hint="eastAsia" w:eastAsia="仿宋_GB2312"/>
          <w:b/>
          <w:bCs/>
          <w:sz w:val="28"/>
          <w:szCs w:val="28"/>
        </w:rPr>
        <w:t>法定代表人：郑敏</w:t>
      </w:r>
      <w:bookmarkStart w:id="18" w:name="OLE_LINK5"/>
    </w:p>
    <w:bookmarkEnd w:id="18"/>
    <w:p>
      <w:pPr>
        <w:spacing w:line="520" w:lineRule="exact"/>
        <w:ind w:firstLine="562" w:firstLineChars="200"/>
        <w:jc w:val="right"/>
        <w:rPr>
          <w:rFonts w:ascii="楷体_GB2312" w:eastAsia="楷体_GB2312"/>
          <w:b/>
          <w:bCs/>
          <w:kern w:val="0"/>
          <w:sz w:val="24"/>
          <w:szCs w:val="24"/>
        </w:rPr>
      </w:pPr>
      <w:r>
        <w:rPr>
          <w:rFonts w:hint="eastAsia" w:eastAsia="仿宋_GB2312"/>
          <w:b/>
          <w:bCs/>
          <w:sz w:val="28"/>
          <w:szCs w:val="28"/>
        </w:rPr>
        <w:t>二〇二二年三月十二日</w:t>
      </w:r>
    </w:p>
    <w:p>
      <w:pPr>
        <w:rPr>
          <w:rFonts w:ascii="方正大标宋简体" w:hAnsi="宋体" w:eastAsia="方正大标宋简体"/>
          <w:b/>
          <w:spacing w:val="40"/>
          <w:sz w:val="32"/>
          <w:szCs w:val="30"/>
        </w:rPr>
        <w:sectPr>
          <w:footerReference r:id="rId8" w:type="first"/>
          <w:footerReference r:id="rId7" w:type="default"/>
          <w:type w:val="continuous"/>
          <w:pgSz w:w="11906" w:h="16838"/>
          <w:pgMar w:top="1565" w:right="1304" w:bottom="1468" w:left="1304" w:header="851" w:footer="499" w:gutter="0"/>
          <w:cols w:space="720" w:num="1"/>
          <w:titlePg/>
          <w:docGrid w:type="lines" w:linePitch="312" w:charSpace="0"/>
        </w:sectPr>
      </w:pPr>
      <w:r>
        <w:rPr>
          <w:rFonts w:hint="eastAsia" w:ascii="方正大标宋简体" w:hAnsi="宋体" w:eastAsia="方正大标宋简体"/>
          <w:b/>
          <w:spacing w:val="40"/>
          <w:sz w:val="32"/>
          <w:szCs w:val="30"/>
        </w:rPr>
        <w:br w:type="page"/>
      </w:r>
    </w:p>
    <w:p>
      <w:pPr>
        <w:rPr>
          <w:rFonts w:ascii="方正大标宋简体" w:hAnsi="宋体" w:eastAsia="方正大标宋简体"/>
          <w:b/>
          <w:spacing w:val="40"/>
          <w:sz w:val="32"/>
          <w:szCs w:val="30"/>
        </w:rPr>
      </w:pPr>
    </w:p>
    <w:p>
      <w:pPr>
        <w:jc w:val="center"/>
        <w:rPr>
          <w:rFonts w:ascii="方正大标宋简体" w:hAnsi="宋体" w:eastAsia="方正大标宋简体"/>
          <w:b/>
          <w:spacing w:val="40"/>
          <w:sz w:val="32"/>
          <w:szCs w:val="30"/>
        </w:rPr>
      </w:pPr>
      <w:r>
        <w:rPr>
          <w:rFonts w:hint="eastAsia" w:ascii="方正大标宋简体" w:hAnsi="宋体" w:eastAsia="方正大标宋简体"/>
          <w:b/>
          <w:spacing w:val="40"/>
          <w:sz w:val="32"/>
          <w:szCs w:val="30"/>
        </w:rPr>
        <w:t>涉执房地产处置司法评估结果一览表</w:t>
      </w:r>
    </w:p>
    <w:p>
      <w:pPr>
        <w:spacing w:line="800" w:lineRule="exact"/>
        <w:ind w:left="1909" w:leftChars="467" w:hanging="928" w:hangingChars="440"/>
        <w:jc w:val="center"/>
        <w:rPr>
          <w:rFonts w:ascii="仿宋_GB2312" w:hAnsi="宋体" w:eastAsia="仿宋_GB2312"/>
          <w:b/>
          <w:bCs/>
          <w:szCs w:val="21"/>
        </w:rPr>
      </w:pPr>
      <w:r>
        <w:rPr>
          <w:rFonts w:hint="eastAsia" w:ascii="仿宋_GB2312" w:hAnsi="宋体" w:eastAsia="仿宋_GB2312"/>
          <w:b/>
          <w:bCs/>
          <w:szCs w:val="21"/>
        </w:rPr>
        <w:t>估价报告编号：粤浩房复估字[2021]第S11-0015-1号</w:t>
      </w:r>
    </w:p>
    <w:tbl>
      <w:tblPr>
        <w:tblStyle w:val="7"/>
        <w:tblpPr w:leftFromText="180" w:rightFromText="180" w:vertAnchor="text" w:horzAnchor="page" w:tblpX="2206" w:tblpY="502"/>
        <w:tblOverlap w:val="never"/>
        <w:tblW w:w="12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2007"/>
        <w:gridCol w:w="1764"/>
        <w:gridCol w:w="1598"/>
        <w:gridCol w:w="1454"/>
        <w:gridCol w:w="1445"/>
        <w:gridCol w:w="9"/>
        <w:gridCol w:w="1657"/>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52" w:hRule="atLeast"/>
        </w:trPr>
        <w:tc>
          <w:tcPr>
            <w:tcW w:w="2007" w:type="dxa"/>
            <w:tcBorders>
              <w:left w:val="single" w:color="auto" w:sz="4" w:space="0"/>
            </w:tcBorders>
            <w:vAlign w:val="center"/>
          </w:tcPr>
          <w:p>
            <w:pPr>
              <w:autoSpaceDN w:val="0"/>
              <w:jc w:val="center"/>
              <w:textAlignment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权利人</w:t>
            </w:r>
          </w:p>
        </w:tc>
        <w:tc>
          <w:tcPr>
            <w:tcW w:w="1764" w:type="dxa"/>
            <w:vAlign w:val="center"/>
          </w:tcPr>
          <w:p>
            <w:pPr>
              <w:autoSpaceDN w:val="0"/>
              <w:jc w:val="center"/>
              <w:textAlignment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不动产权证号</w:t>
            </w:r>
          </w:p>
        </w:tc>
        <w:tc>
          <w:tcPr>
            <w:tcW w:w="1598" w:type="dxa"/>
            <w:vAlign w:val="center"/>
          </w:tcPr>
          <w:p>
            <w:pPr>
              <w:autoSpaceDN w:val="0"/>
              <w:jc w:val="center"/>
              <w:textAlignment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坐落</w:t>
            </w:r>
          </w:p>
        </w:tc>
        <w:tc>
          <w:tcPr>
            <w:tcW w:w="1454" w:type="dxa"/>
            <w:vAlign w:val="center"/>
          </w:tcPr>
          <w:p>
            <w:pPr>
              <w:autoSpaceDN w:val="0"/>
              <w:jc w:val="center"/>
              <w:textAlignment w:val="center"/>
              <w:rPr>
                <w:rFonts w:ascii="仿宋_GB2312" w:hAnsi="仿宋_GB2312" w:eastAsia="仿宋_GB2312"/>
                <w:b/>
                <w:bCs/>
                <w:sz w:val="24"/>
                <w:szCs w:val="24"/>
              </w:rPr>
            </w:pPr>
            <w:r>
              <w:rPr>
                <w:rFonts w:hint="eastAsia" w:ascii="仿宋_GB2312" w:hAnsi="仿宋_GB2312" w:eastAsia="仿宋_GB2312"/>
                <w:b/>
                <w:bCs/>
                <w:sz w:val="24"/>
                <w:szCs w:val="24"/>
              </w:rPr>
              <w:t>用途</w:t>
            </w:r>
          </w:p>
        </w:tc>
        <w:tc>
          <w:tcPr>
            <w:tcW w:w="1454" w:type="dxa"/>
            <w:gridSpan w:val="2"/>
            <w:vAlign w:val="center"/>
          </w:tcPr>
          <w:p>
            <w:pPr>
              <w:autoSpaceDN w:val="0"/>
              <w:jc w:val="center"/>
              <w:textAlignment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权利性质</w:t>
            </w:r>
          </w:p>
        </w:tc>
        <w:tc>
          <w:tcPr>
            <w:tcW w:w="1657" w:type="dxa"/>
            <w:vAlign w:val="center"/>
          </w:tcPr>
          <w:p>
            <w:pPr>
              <w:autoSpaceDN w:val="0"/>
              <w:jc w:val="center"/>
              <w:textAlignment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权利类型</w:t>
            </w:r>
          </w:p>
        </w:tc>
        <w:tc>
          <w:tcPr>
            <w:tcW w:w="2621" w:type="dxa"/>
            <w:vAlign w:val="center"/>
          </w:tcPr>
          <w:p>
            <w:pPr>
              <w:autoSpaceDN w:val="0"/>
              <w:jc w:val="center"/>
              <w:textAlignment w:val="center"/>
              <w:rPr>
                <w:rFonts w:ascii="仿宋_GB2312" w:hAnsi="仿宋_GB2312" w:eastAsia="仿宋_GB2312"/>
                <w:b/>
                <w:bCs/>
                <w:color w:val="000000"/>
                <w:sz w:val="24"/>
                <w:szCs w:val="24"/>
              </w:rPr>
            </w:pPr>
            <w:r>
              <w:rPr>
                <w:rFonts w:hint="eastAsia" w:ascii="仿宋_GB2312" w:hAnsi="仿宋_GB2312" w:eastAsia="仿宋_GB2312"/>
                <w:b/>
                <w:bCs/>
                <w:color w:val="000000"/>
                <w:sz w:val="24"/>
                <w:szCs w:val="24"/>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436" w:hRule="atLeast"/>
        </w:trPr>
        <w:tc>
          <w:tcPr>
            <w:tcW w:w="2007" w:type="dxa"/>
            <w:tcBorders>
              <w:left w:val="single" w:color="auto" w:sz="4" w:space="0"/>
            </w:tcBorders>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吴勇浪</w:t>
            </w:r>
          </w:p>
        </w:tc>
        <w:tc>
          <w:tcPr>
            <w:tcW w:w="1764" w:type="dxa"/>
            <w:vAlign w:val="center"/>
          </w:tcPr>
          <w:p>
            <w:pPr>
              <w:widowControl/>
              <w:spacing w:line="240" w:lineRule="exact"/>
              <w:jc w:val="center"/>
              <w:rPr>
                <w:rFonts w:ascii="仿宋_GB2312" w:hAnsi="仿宋_GB2312" w:eastAsia="仿宋_GB2312"/>
                <w:color w:val="000000"/>
                <w:sz w:val="24"/>
                <w:szCs w:val="24"/>
              </w:rPr>
            </w:pPr>
          </w:p>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10501077254</w:t>
            </w:r>
          </w:p>
          <w:p>
            <w:pPr>
              <w:widowControl/>
              <w:spacing w:line="240" w:lineRule="exact"/>
              <w:jc w:val="center"/>
              <w:rPr>
                <w:rFonts w:ascii="仿宋_GB2312" w:hAnsi="仿宋_GB2312" w:eastAsia="仿宋_GB2312"/>
                <w:color w:val="000000"/>
                <w:sz w:val="24"/>
                <w:szCs w:val="24"/>
              </w:rPr>
            </w:pPr>
          </w:p>
        </w:tc>
        <w:tc>
          <w:tcPr>
            <w:tcW w:w="1598" w:type="dxa"/>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Cs w:val="21"/>
              </w:rPr>
              <w:t>佛山市高明区荷城街道中山路218号二期地下车库57号小汽车位</w:t>
            </w:r>
          </w:p>
        </w:tc>
        <w:tc>
          <w:tcPr>
            <w:tcW w:w="1454" w:type="dxa"/>
            <w:vAlign w:val="center"/>
          </w:tcPr>
          <w:p>
            <w:pPr>
              <w:widowControl/>
              <w:spacing w:line="240" w:lineRule="exact"/>
              <w:jc w:val="center"/>
              <w:rPr>
                <w:rFonts w:ascii="仿宋_GB2312" w:hAnsi="仿宋_GB2312" w:eastAsia="仿宋_GB2312"/>
                <w:szCs w:val="21"/>
              </w:rPr>
            </w:pPr>
            <w:r>
              <w:rPr>
                <w:rFonts w:hint="eastAsia" w:ascii="仿宋_GB2312" w:hAnsi="仿宋_GB2312" w:eastAsia="仿宋_GB2312"/>
                <w:szCs w:val="21"/>
              </w:rPr>
              <w:t>城镇住宅用地/非住宅</w:t>
            </w:r>
          </w:p>
        </w:tc>
        <w:tc>
          <w:tcPr>
            <w:tcW w:w="1454" w:type="dxa"/>
            <w:gridSpan w:val="2"/>
            <w:vAlign w:val="center"/>
          </w:tcPr>
          <w:p>
            <w:pPr>
              <w:widowControl/>
              <w:spacing w:line="240" w:lineRule="exact"/>
              <w:jc w:val="center"/>
              <w:rPr>
                <w:rFonts w:ascii="仿宋_GB2312" w:hAnsi="仿宋_GB2312" w:eastAsia="仿宋_GB2312"/>
                <w:color w:val="000000"/>
                <w:szCs w:val="21"/>
              </w:rPr>
            </w:pPr>
            <w:r>
              <w:rPr>
                <w:rFonts w:hint="eastAsia" w:ascii="仿宋_GB2312" w:hAnsi="仿宋_GB2312" w:eastAsia="仿宋_GB2312"/>
                <w:color w:val="000000"/>
                <w:szCs w:val="21"/>
              </w:rPr>
              <w:t>出让/市场化商品房</w:t>
            </w:r>
          </w:p>
        </w:tc>
        <w:tc>
          <w:tcPr>
            <w:tcW w:w="1657" w:type="dxa"/>
            <w:vAlign w:val="center"/>
          </w:tcPr>
          <w:p>
            <w:pPr>
              <w:widowControl/>
              <w:spacing w:line="240" w:lineRule="exact"/>
              <w:jc w:val="center"/>
              <w:rPr>
                <w:rFonts w:ascii="仿宋_GB2312" w:hAnsi="仿宋_GB2312" w:eastAsia="仿宋_GB2312"/>
                <w:color w:val="000000"/>
                <w:szCs w:val="21"/>
              </w:rPr>
            </w:pPr>
            <w:r>
              <w:rPr>
                <w:rFonts w:hint="eastAsia" w:ascii="仿宋_GB2312" w:hAnsi="仿宋_GB2312" w:eastAsia="仿宋_GB2312"/>
                <w:color w:val="000000"/>
                <w:szCs w:val="21"/>
              </w:rPr>
              <w:t>国有建设用地使用权/房屋（构筑物）所有权</w:t>
            </w:r>
          </w:p>
        </w:tc>
        <w:tc>
          <w:tcPr>
            <w:tcW w:w="2621" w:type="dxa"/>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72" w:hRule="atLeast"/>
        </w:trPr>
        <w:tc>
          <w:tcPr>
            <w:tcW w:w="5369" w:type="dxa"/>
            <w:gridSpan w:val="3"/>
            <w:vMerge w:val="restart"/>
            <w:tcBorders>
              <w:left w:val="single" w:color="auto" w:sz="4" w:space="0"/>
            </w:tcBorders>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市场价值</w:t>
            </w:r>
          </w:p>
        </w:tc>
        <w:tc>
          <w:tcPr>
            <w:tcW w:w="2899" w:type="dxa"/>
            <w:gridSpan w:val="2"/>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单价(元/㎡)</w:t>
            </w:r>
          </w:p>
        </w:tc>
        <w:tc>
          <w:tcPr>
            <w:tcW w:w="4287" w:type="dxa"/>
            <w:gridSpan w:val="3"/>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4" w:hRule="atLeast"/>
        </w:trPr>
        <w:tc>
          <w:tcPr>
            <w:tcW w:w="5369" w:type="dxa"/>
            <w:gridSpan w:val="3"/>
            <w:vMerge w:val="continue"/>
            <w:tcBorders>
              <w:left w:val="single" w:color="auto" w:sz="4" w:space="0"/>
            </w:tcBorders>
            <w:vAlign w:val="center"/>
          </w:tcPr>
          <w:p>
            <w:pPr>
              <w:widowControl/>
              <w:spacing w:line="240" w:lineRule="exact"/>
              <w:jc w:val="center"/>
              <w:rPr>
                <w:rFonts w:ascii="仿宋_GB2312" w:hAnsi="仿宋_GB2312" w:eastAsia="仿宋_GB2312"/>
                <w:color w:val="000000"/>
                <w:sz w:val="24"/>
                <w:szCs w:val="24"/>
              </w:rPr>
            </w:pPr>
          </w:p>
        </w:tc>
        <w:tc>
          <w:tcPr>
            <w:tcW w:w="2908" w:type="dxa"/>
            <w:gridSpan w:val="3"/>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w:t>
            </w:r>
          </w:p>
        </w:tc>
        <w:tc>
          <w:tcPr>
            <w:tcW w:w="4278" w:type="dxa"/>
            <w:gridSpan w:val="2"/>
            <w:vAlign w:val="center"/>
          </w:tcPr>
          <w:p>
            <w:pPr>
              <w:widowControl/>
              <w:spacing w:line="240" w:lineRule="exact"/>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150,000.00</w:t>
            </w:r>
          </w:p>
        </w:tc>
      </w:tr>
    </w:tbl>
    <w:p>
      <w:pPr>
        <w:tabs>
          <w:tab w:val="left" w:pos="753"/>
        </w:tabs>
        <w:spacing w:line="520" w:lineRule="exact"/>
        <w:ind w:right="-40" w:rightChars="-19"/>
        <w:rPr>
          <w:rFonts w:ascii="黑体" w:hAnsi="创艺简仿宋" w:eastAsia="黑体"/>
          <w:b/>
          <w:bCs/>
          <w:sz w:val="28"/>
          <w:szCs w:val="28"/>
        </w:rPr>
      </w:pPr>
    </w:p>
    <w:p>
      <w:pPr>
        <w:rPr>
          <w:rFonts w:ascii="黑体" w:hAnsi="黑体" w:eastAsia="黑体" w:cs="黑体"/>
          <w:szCs w:val="21"/>
        </w:rPr>
      </w:pPr>
      <w:r>
        <w:tab/>
      </w:r>
      <w:r>
        <w:rPr/>
        <w:br w:type="textWrapping" w:clear="all"/>
      </w:r>
    </w:p>
    <w:p>
      <w:pPr>
        <w:tabs>
          <w:tab w:val="left" w:pos="753"/>
        </w:tabs>
        <w:spacing w:line="280" w:lineRule="exact"/>
        <w:ind w:left="-187" w:leftChars="-89" w:right="147" w:rightChars="70"/>
        <w:jc w:val="right"/>
        <w:rPr>
          <w:rFonts w:ascii="黑体" w:hAnsi="黑体" w:eastAsia="黑体" w:cs="黑体"/>
          <w:szCs w:val="21"/>
        </w:rPr>
      </w:pPr>
    </w:p>
    <w:p>
      <w:pPr>
        <w:tabs>
          <w:tab w:val="left" w:pos="753"/>
        </w:tabs>
        <w:spacing w:line="280" w:lineRule="exact"/>
        <w:ind w:left="-187" w:leftChars="-89" w:right="363" w:rightChars="173"/>
        <w:jc w:val="right"/>
        <w:rPr>
          <w:rFonts w:ascii="黑体" w:hAnsi="黑体" w:eastAsia="黑体" w:cs="黑体"/>
          <w:szCs w:val="21"/>
        </w:rPr>
      </w:pPr>
    </w:p>
    <w:p>
      <w:pPr>
        <w:spacing w:line="800" w:lineRule="exact"/>
        <w:ind w:left="2041" w:leftChars="467" w:right="363" w:rightChars="173" w:hanging="1060" w:hangingChars="440"/>
        <w:jc w:val="right"/>
        <w:rPr>
          <w:rFonts w:ascii="仿宋_GB2312" w:hAnsi="宋体" w:eastAsia="仿宋_GB2312"/>
          <w:b/>
          <w:bCs/>
          <w:sz w:val="24"/>
          <w:szCs w:val="24"/>
        </w:rPr>
      </w:pPr>
      <w:r>
        <w:rPr>
          <w:rFonts w:hint="eastAsia" w:ascii="仿宋_GB2312" w:hAnsi="宋体" w:eastAsia="仿宋_GB2312"/>
          <w:b/>
          <w:bCs/>
          <w:sz w:val="24"/>
          <w:szCs w:val="24"/>
        </w:rPr>
        <w:t>估价机构：广东浩宇房地产土地资产评估有限公司</w:t>
      </w:r>
    </w:p>
    <w:p>
      <w:pPr>
        <w:spacing w:line="800" w:lineRule="exact"/>
        <w:ind w:left="2041" w:leftChars="467" w:right="363" w:rightChars="173" w:hanging="1060" w:hangingChars="440"/>
        <w:jc w:val="right"/>
        <w:rPr>
          <w:rFonts w:ascii="仿宋_GB2312" w:hAnsi="宋体" w:eastAsia="仿宋_GB2312"/>
          <w:b/>
          <w:bCs/>
          <w:sz w:val="24"/>
          <w:szCs w:val="24"/>
        </w:rPr>
        <w:sectPr>
          <w:pgSz w:w="16838" w:h="11906" w:orient="landscape"/>
          <w:pgMar w:top="1304" w:right="1565" w:bottom="1304" w:left="1468" w:header="851" w:footer="499" w:gutter="0"/>
          <w:cols w:space="720" w:num="1"/>
          <w:titlePg/>
          <w:docGrid w:type="lines" w:linePitch="312" w:charSpace="0"/>
        </w:sectPr>
      </w:pPr>
      <w:r>
        <w:rPr>
          <w:rFonts w:hint="eastAsia" w:ascii="仿宋_GB2312" w:hAnsi="宋体" w:eastAsia="仿宋_GB2312"/>
          <w:b/>
          <w:bCs/>
          <w:sz w:val="24"/>
          <w:szCs w:val="24"/>
        </w:rPr>
        <w:t xml:space="preserve">                                二〇二二年三月十二日</w:t>
      </w:r>
    </w:p>
    <w:p>
      <w:pPr>
        <w:jc w:val="center"/>
        <w:rPr>
          <w:rFonts w:eastAsia="黑体"/>
          <w:b/>
          <w:sz w:val="36"/>
          <w:szCs w:val="36"/>
        </w:rPr>
      </w:pPr>
    </w:p>
    <w:bookmarkEnd w:id="14"/>
    <w:bookmarkEnd w:id="15"/>
    <w:p>
      <w:pPr>
        <w:jc w:val="center"/>
        <w:rPr>
          <w:rFonts w:eastAsia="黑体"/>
          <w:b/>
          <w:sz w:val="36"/>
          <w:szCs w:val="36"/>
        </w:rPr>
      </w:pPr>
      <w:bookmarkStart w:id="19" w:name="_Toc12994"/>
      <w:bookmarkStart w:id="20" w:name="_Toc165264277"/>
      <w:bookmarkStart w:id="21" w:name="_Toc40186487"/>
      <w:r>
        <w:rPr>
          <w:rFonts w:hint="eastAsia" w:eastAsia="黑体"/>
          <w:b/>
          <w:sz w:val="36"/>
          <w:szCs w:val="36"/>
        </w:rPr>
        <w:t>目    录</w:t>
      </w:r>
    </w:p>
    <w:p>
      <w:pPr>
        <w:pStyle w:val="5"/>
        <w:rPr>
          <w:rFonts w:ascii="华文楷体" w:hAnsi="华文楷体" w:eastAsia="华文楷体" w:cs="华文楷体"/>
          <w:sz w:val="28"/>
          <w:szCs w:val="28"/>
          <w:lang w:val="zh-CN"/>
        </w:rPr>
      </w:pPr>
      <w:r>
        <w:rPr>
          <w:rFonts w:hint="eastAsia" w:ascii="华文楷体" w:hAnsi="华文楷体" w:eastAsia="华文楷体" w:cs="华文楷体"/>
          <w:spacing w:val="-20"/>
          <w:sz w:val="28"/>
          <w:szCs w:val="28"/>
        </w:rPr>
        <w:fldChar w:fldCharType="begin"/>
      </w:r>
      <w:r>
        <w:rPr>
          <w:rFonts w:hint="eastAsia" w:ascii="华文楷体" w:hAnsi="华文楷体" w:eastAsia="华文楷体" w:cs="华文楷体"/>
          <w:spacing w:val="-20"/>
          <w:sz w:val="28"/>
          <w:szCs w:val="28"/>
        </w:rPr>
        <w:instrText xml:space="preserve"> TOC \o "1-2" \h \z \u </w:instrText>
      </w:r>
      <w:r>
        <w:rPr>
          <w:rFonts w:hint="eastAsia" w:ascii="华文楷体" w:hAnsi="华文楷体" w:eastAsia="华文楷体" w:cs="华文楷体"/>
          <w:spacing w:val="-20"/>
          <w:sz w:val="28"/>
          <w:szCs w:val="28"/>
        </w:rPr>
        <w:fldChar w:fldCharType="separate"/>
      </w:r>
    </w:p>
    <w:p>
      <w:pPr>
        <w:pStyle w:val="5"/>
        <w:rPr>
          <w:rFonts w:ascii="华文楷体" w:hAnsi="华文楷体" w:eastAsia="华文楷体" w:cs="华文楷体"/>
          <w:sz w:val="28"/>
          <w:szCs w:val="28"/>
        </w:rPr>
      </w:pPr>
      <w:r>
        <w:fldChar w:fldCharType="begin"/>
      </w:r>
      <w:r>
        <w:instrText xml:space="preserve"> HYPERLINK \l "_Toc397352838" </w:instrText>
      </w:r>
      <w:r>
        <w:fldChar w:fldCharType="separate"/>
      </w:r>
      <w:r>
        <w:rPr>
          <w:rStyle w:val="9"/>
          <w:rFonts w:hint="eastAsia" w:ascii="华文楷体" w:hAnsi="华文楷体" w:eastAsia="华文楷体" w:cs="华文楷体"/>
          <w:color w:val="auto"/>
          <w:sz w:val="28"/>
          <w:szCs w:val="28"/>
          <w:lang w:val="zh-CN"/>
        </w:rPr>
        <w:t>一、估价师声明</w:t>
      </w:r>
      <w:r>
        <w:rPr>
          <w:rFonts w:hint="eastAsia" w:ascii="华文楷体" w:hAnsi="华文楷体" w:eastAsia="华文楷体" w:cs="华文楷体"/>
          <w:sz w:val="28"/>
          <w:szCs w:val="28"/>
          <w:lang w:val="zh-CN"/>
        </w:rPr>
        <w:tab/>
      </w:r>
      <w:r>
        <w:rPr>
          <w:rFonts w:hint="eastAsia" w:ascii="华文楷体" w:hAnsi="华文楷体" w:eastAsia="华文楷体" w:cs="华文楷体"/>
          <w:sz w:val="28"/>
          <w:szCs w:val="28"/>
          <w:lang w:val="zh-CN"/>
        </w:rPr>
        <w:fldChar w:fldCharType="end"/>
      </w:r>
      <w:r>
        <w:rPr>
          <w:rFonts w:hint="eastAsia" w:ascii="华文楷体" w:hAnsi="华文楷体" w:eastAsia="华文楷体" w:cs="华文楷体"/>
          <w:sz w:val="28"/>
          <w:szCs w:val="28"/>
        </w:rPr>
        <w:t>5</w:t>
      </w:r>
    </w:p>
    <w:p>
      <w:pPr>
        <w:pStyle w:val="5"/>
        <w:rPr>
          <w:rFonts w:ascii="华文楷体" w:hAnsi="华文楷体" w:eastAsia="华文楷体" w:cs="华文楷体"/>
          <w:sz w:val="28"/>
          <w:szCs w:val="28"/>
        </w:rPr>
      </w:pPr>
      <w:r>
        <w:rPr>
          <w:rStyle w:val="9"/>
          <w:rFonts w:hint="eastAsia" w:ascii="华文楷体" w:hAnsi="华文楷体" w:eastAsia="华文楷体" w:cs="华文楷体"/>
          <w:color w:val="auto"/>
          <w:sz w:val="28"/>
          <w:szCs w:val="28"/>
          <w:lang w:val="zh-CN"/>
        </w:rPr>
        <w:t>二、</w:t>
      </w:r>
      <w:r>
        <w:fldChar w:fldCharType="begin"/>
      </w:r>
      <w:r>
        <w:instrText xml:space="preserve"> HYPERLINK \l "_Toc397352839" </w:instrText>
      </w:r>
      <w:r>
        <w:fldChar w:fldCharType="separate"/>
      </w:r>
      <w:r>
        <w:rPr>
          <w:rStyle w:val="9"/>
          <w:rFonts w:hint="eastAsia" w:ascii="华文楷体" w:hAnsi="华文楷体" w:eastAsia="华文楷体" w:cs="华文楷体"/>
          <w:color w:val="auto"/>
          <w:sz w:val="28"/>
          <w:szCs w:val="28"/>
          <w:lang w:val="zh-CN"/>
        </w:rPr>
        <w:t>估价的假设和限制条件</w:t>
      </w:r>
      <w:r>
        <w:rPr>
          <w:rFonts w:hint="eastAsia" w:ascii="华文楷体" w:hAnsi="华文楷体" w:eastAsia="华文楷体" w:cs="华文楷体"/>
          <w:sz w:val="28"/>
          <w:szCs w:val="28"/>
          <w:lang w:val="zh-CN"/>
        </w:rPr>
        <w:tab/>
      </w:r>
      <w:r>
        <w:rPr>
          <w:rFonts w:hint="eastAsia" w:ascii="华文楷体" w:hAnsi="华文楷体" w:eastAsia="华文楷体" w:cs="华文楷体"/>
          <w:sz w:val="28"/>
          <w:szCs w:val="28"/>
          <w:lang w:val="zh-CN"/>
        </w:rPr>
        <w:fldChar w:fldCharType="end"/>
      </w:r>
      <w:r>
        <w:rPr>
          <w:rFonts w:hint="eastAsia" w:ascii="华文楷体" w:hAnsi="华文楷体" w:eastAsia="华文楷体" w:cs="华文楷体"/>
          <w:sz w:val="28"/>
          <w:szCs w:val="28"/>
        </w:rPr>
        <w:t>6</w:t>
      </w:r>
    </w:p>
    <w:p>
      <w:pPr>
        <w:pStyle w:val="5"/>
        <w:rPr>
          <w:rFonts w:ascii="华文楷体" w:hAnsi="华文楷体" w:eastAsia="华文楷体" w:cs="华文楷体"/>
          <w:sz w:val="28"/>
          <w:szCs w:val="28"/>
          <w:lang w:val="zh-CN"/>
        </w:rPr>
      </w:pPr>
      <w:r>
        <w:fldChar w:fldCharType="begin"/>
      </w:r>
      <w:r>
        <w:instrText xml:space="preserve"> HYPERLINK \l "_Toc397352840" </w:instrText>
      </w:r>
      <w:r>
        <w:fldChar w:fldCharType="separate"/>
      </w:r>
      <w:r>
        <w:rPr>
          <w:rStyle w:val="9"/>
          <w:rFonts w:hint="eastAsia" w:ascii="华文楷体" w:hAnsi="华文楷体" w:eastAsia="华文楷体" w:cs="华文楷体"/>
          <w:color w:val="auto"/>
          <w:sz w:val="28"/>
          <w:szCs w:val="28"/>
          <w:lang w:val="zh-CN"/>
        </w:rPr>
        <w:t>三、房地产估价结果报告</w:t>
      </w:r>
      <w:r>
        <w:rPr>
          <w:rFonts w:hint="eastAsia" w:ascii="华文楷体" w:hAnsi="华文楷体" w:eastAsia="华文楷体" w:cs="华文楷体"/>
          <w:sz w:val="28"/>
          <w:szCs w:val="28"/>
          <w:lang w:val="zh-CN"/>
        </w:rPr>
        <w:tab/>
      </w:r>
      <w:r>
        <w:rPr>
          <w:rFonts w:hint="eastAsia" w:ascii="华文楷体" w:hAnsi="华文楷体" w:eastAsia="华文楷体" w:cs="华文楷体"/>
          <w:sz w:val="28"/>
          <w:szCs w:val="28"/>
        </w:rPr>
        <w:t>6</w:t>
      </w:r>
      <w:r>
        <w:rPr>
          <w:rFonts w:hint="eastAsia" w:ascii="华文楷体" w:hAnsi="华文楷体" w:eastAsia="华文楷体" w:cs="华文楷体"/>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"_Toc397352841" </w:instrText>
      </w:r>
      <w:r>
        <w:fldChar w:fldCharType="separate"/>
      </w:r>
      <w:r>
        <w:rPr>
          <w:rStyle w:val="9"/>
          <w:rFonts w:hint="eastAsia" w:ascii="华文楷体" w:hAnsi="华文楷体" w:eastAsia="华文楷体" w:cs="华文楷体"/>
          <w:b w:val="0"/>
          <w:color w:val="auto"/>
          <w:sz w:val="28"/>
          <w:szCs w:val="28"/>
          <w:lang w:val="zh-CN"/>
        </w:rPr>
        <w:t>（一）估价委托人</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6</w:t>
      </w:r>
      <w:r>
        <w:rPr>
          <w:rFonts w:hint="eastAsia" w:ascii="华文楷体" w:hAnsi="华文楷体" w:eastAsia="华文楷体" w:cs="华文楷体"/>
          <w:b w:val="0"/>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"_Toc397352842" </w:instrText>
      </w:r>
      <w:r>
        <w:fldChar w:fldCharType="separate"/>
      </w:r>
      <w:r>
        <w:rPr>
          <w:rStyle w:val="9"/>
          <w:rFonts w:hint="eastAsia" w:ascii="华文楷体" w:hAnsi="华文楷体" w:eastAsia="华文楷体" w:cs="华文楷体"/>
          <w:b w:val="0"/>
          <w:color w:val="auto"/>
          <w:sz w:val="28"/>
          <w:szCs w:val="28"/>
          <w:lang w:val="zh-CN"/>
        </w:rPr>
        <w:t>（二）估价机构</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6</w:t>
      </w:r>
      <w:r>
        <w:rPr>
          <w:rFonts w:hint="eastAsia" w:ascii="华文楷体" w:hAnsi="华文楷体" w:eastAsia="华文楷体" w:cs="华文楷体"/>
          <w:b w:val="0"/>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"_Toc397352843" </w:instrText>
      </w:r>
      <w:r>
        <w:fldChar w:fldCharType="separate"/>
      </w:r>
      <w:r>
        <w:rPr>
          <w:rStyle w:val="9"/>
          <w:rFonts w:hint="eastAsia" w:ascii="华文楷体" w:hAnsi="华文楷体" w:eastAsia="华文楷体" w:cs="华文楷体"/>
          <w:b w:val="0"/>
          <w:color w:val="auto"/>
          <w:sz w:val="28"/>
          <w:szCs w:val="28"/>
          <w:lang w:val="zh-CN"/>
        </w:rPr>
        <w:t>（三）估价目的</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6</w:t>
      </w:r>
      <w:r>
        <w:rPr>
          <w:rFonts w:hint="eastAsia" w:ascii="华文楷体" w:hAnsi="华文楷体" w:eastAsia="华文楷体" w:cs="华文楷体"/>
          <w:b w:val="0"/>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"_Toc397352844" </w:instrText>
      </w:r>
      <w:r>
        <w:fldChar w:fldCharType="separate"/>
      </w:r>
      <w:r>
        <w:rPr>
          <w:rStyle w:val="9"/>
          <w:rFonts w:hint="eastAsia" w:ascii="华文楷体" w:hAnsi="华文楷体" w:eastAsia="华文楷体" w:cs="华文楷体"/>
          <w:b w:val="0"/>
          <w:color w:val="auto"/>
          <w:sz w:val="28"/>
          <w:szCs w:val="28"/>
          <w:lang w:val="zh-CN"/>
        </w:rPr>
        <w:t>（四）价值时点</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6</w:t>
      </w:r>
      <w:r>
        <w:rPr>
          <w:rFonts w:hint="eastAsia" w:ascii="华文楷体" w:hAnsi="华文楷体" w:eastAsia="华文楷体" w:cs="华文楷体"/>
          <w:b w:val="0"/>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"_Toc397352845" </w:instrText>
      </w:r>
      <w:r>
        <w:fldChar w:fldCharType="separate"/>
      </w:r>
      <w:r>
        <w:rPr>
          <w:rStyle w:val="9"/>
          <w:rFonts w:hint="eastAsia" w:ascii="华文楷体" w:hAnsi="华文楷体" w:eastAsia="华文楷体" w:cs="华文楷体"/>
          <w:b w:val="0"/>
          <w:color w:val="auto"/>
          <w:sz w:val="28"/>
          <w:szCs w:val="28"/>
          <w:lang w:val="zh-CN"/>
        </w:rPr>
        <w:t>（五）价值类型</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6</w:t>
      </w:r>
      <w:r>
        <w:rPr>
          <w:rFonts w:hint="eastAsia" w:ascii="华文楷体" w:hAnsi="华文楷体" w:eastAsia="华文楷体" w:cs="华文楷体"/>
          <w:b w:val="0"/>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"_Toc397352846" </w:instrText>
      </w:r>
      <w:r>
        <w:fldChar w:fldCharType="separate"/>
      </w:r>
      <w:r>
        <w:rPr>
          <w:rStyle w:val="9"/>
          <w:rFonts w:hint="eastAsia" w:ascii="华文楷体" w:hAnsi="华文楷体" w:eastAsia="华文楷体" w:cs="华文楷体"/>
          <w:b w:val="0"/>
          <w:color w:val="auto"/>
          <w:sz w:val="28"/>
          <w:szCs w:val="28"/>
          <w:lang w:val="zh-CN"/>
        </w:rPr>
        <w:t>（六）估价对象</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6</w:t>
      </w:r>
      <w:r>
        <w:rPr>
          <w:rFonts w:hint="eastAsia" w:ascii="华文楷体" w:hAnsi="华文楷体" w:eastAsia="华文楷体" w:cs="华文楷体"/>
          <w:b w:val="0"/>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"_Toc397352853" </w:instrText>
      </w:r>
      <w:r>
        <w:fldChar w:fldCharType="separate"/>
      </w:r>
      <w:r>
        <w:rPr>
          <w:rStyle w:val="9"/>
          <w:rFonts w:hint="eastAsia" w:ascii="华文楷体" w:hAnsi="华文楷体" w:eastAsia="华文楷体" w:cs="华文楷体"/>
          <w:b w:val="0"/>
          <w:color w:val="auto"/>
          <w:sz w:val="28"/>
          <w:szCs w:val="28"/>
          <w:lang w:val="zh-CN"/>
        </w:rPr>
        <w:t>（七）估价依据</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8</w:t>
      </w:r>
      <w:r>
        <w:rPr>
          <w:rFonts w:hint="eastAsia" w:ascii="华文楷体" w:hAnsi="华文楷体" w:eastAsia="华文楷体" w:cs="华文楷体"/>
          <w:b w:val="0"/>
          <w:sz w:val="28"/>
          <w:szCs w:val="28"/>
        </w:rPr>
        <w:fldChar w:fldCharType="end"/>
      </w:r>
    </w:p>
    <w:p>
      <w:pPr>
        <w:pStyle w:val="6"/>
        <w:rPr>
          <w:rStyle w:val="9"/>
          <w:rFonts w:ascii="华文楷体" w:hAnsi="华文楷体" w:eastAsia="华文楷体" w:cs="华文楷体"/>
          <w:b w:val="0"/>
          <w:color w:val="auto"/>
          <w:sz w:val="28"/>
          <w:szCs w:val="28"/>
          <w:lang w:val="zh-CN"/>
        </w:rPr>
      </w:pPr>
      <w:r>
        <w:fldChar w:fldCharType="begin"/>
      </w:r>
      <w:r>
        <w:instrText xml:space="preserve"> HYPERLINK \l "_Toc397352854" </w:instrText>
      </w:r>
      <w:r>
        <w:fldChar w:fldCharType="separate"/>
      </w:r>
      <w:r>
        <w:rPr>
          <w:rStyle w:val="9"/>
          <w:rFonts w:hint="eastAsia" w:ascii="华文楷体" w:hAnsi="华文楷体" w:eastAsia="华文楷体" w:cs="华文楷体"/>
          <w:b w:val="0"/>
          <w:color w:val="auto"/>
          <w:sz w:val="28"/>
          <w:szCs w:val="28"/>
          <w:lang w:val="zh-CN"/>
        </w:rPr>
        <w:t>（八）估价原则</w:t>
      </w:r>
      <w:r>
        <w:rPr>
          <w:rStyle w:val="9"/>
          <w:rFonts w:hint="eastAsia" w:ascii="华文楷体" w:hAnsi="华文楷体" w:eastAsia="华文楷体" w:cs="华文楷体"/>
          <w:b w:val="0"/>
          <w:color w:val="auto"/>
          <w:sz w:val="28"/>
          <w:szCs w:val="28"/>
          <w:lang w:val="zh-CN"/>
        </w:rPr>
        <w:tab/>
      </w:r>
      <w:r>
        <w:rPr>
          <w:rStyle w:val="9"/>
          <w:rFonts w:hint="eastAsia" w:ascii="华文楷体" w:hAnsi="华文楷体" w:eastAsia="华文楷体" w:cs="华文楷体"/>
          <w:b w:val="0"/>
          <w:color w:val="auto"/>
          <w:sz w:val="28"/>
          <w:szCs w:val="28"/>
        </w:rPr>
        <w:t>9</w:t>
      </w:r>
      <w:r>
        <w:rPr>
          <w:rStyle w:val="9"/>
          <w:rFonts w:hint="eastAsia" w:ascii="华文楷体" w:hAnsi="华文楷体" w:eastAsia="华文楷体" w:cs="华文楷体"/>
          <w:b w:val="0"/>
          <w:color w:val="auto"/>
          <w:sz w:val="28"/>
          <w:szCs w:val="28"/>
        </w:rPr>
        <w:fldChar w:fldCharType="end"/>
      </w:r>
    </w:p>
    <w:p>
      <w:pPr>
        <w:pStyle w:val="6"/>
        <w:rPr>
          <w:rStyle w:val="9"/>
          <w:rFonts w:ascii="华文楷体" w:hAnsi="华文楷体" w:eastAsia="华文楷体" w:cs="华文楷体"/>
          <w:b w:val="0"/>
          <w:color w:val="auto"/>
          <w:sz w:val="28"/>
          <w:szCs w:val="28"/>
          <w:lang w:val="zh-CN"/>
        </w:rPr>
      </w:pPr>
      <w:r>
        <w:fldChar w:fldCharType="begin"/>
      </w:r>
      <w:r>
        <w:instrText xml:space="preserve"> HYPERLINK \l "_Toc397352855" </w:instrText>
      </w:r>
      <w:r>
        <w:fldChar w:fldCharType="separate"/>
      </w:r>
      <w:r>
        <w:rPr>
          <w:rStyle w:val="9"/>
          <w:rFonts w:hint="eastAsia" w:ascii="华文楷体" w:hAnsi="华文楷体" w:eastAsia="华文楷体" w:cs="华文楷体"/>
          <w:b w:val="0"/>
          <w:color w:val="auto"/>
          <w:sz w:val="28"/>
          <w:szCs w:val="28"/>
          <w:lang w:val="zh-CN"/>
        </w:rPr>
        <w:t>（九）估价方法</w:t>
      </w:r>
      <w:r>
        <w:rPr>
          <w:rStyle w:val="9"/>
          <w:rFonts w:hint="eastAsia" w:ascii="华文楷体" w:hAnsi="华文楷体" w:eastAsia="华文楷体" w:cs="华文楷体"/>
          <w:b w:val="0"/>
          <w:color w:val="auto"/>
          <w:sz w:val="28"/>
          <w:szCs w:val="28"/>
          <w:lang w:val="zh-CN"/>
        </w:rPr>
        <w:tab/>
      </w:r>
      <w:r>
        <w:rPr>
          <w:rStyle w:val="9"/>
          <w:rFonts w:hint="eastAsia" w:ascii="华文楷体" w:hAnsi="华文楷体" w:eastAsia="华文楷体" w:cs="华文楷体"/>
          <w:b w:val="0"/>
          <w:color w:val="auto"/>
          <w:sz w:val="28"/>
          <w:szCs w:val="28"/>
        </w:rPr>
        <w:t>9</w:t>
      </w:r>
      <w:r>
        <w:rPr>
          <w:rStyle w:val="9"/>
          <w:rFonts w:hint="eastAsia" w:ascii="华文楷体" w:hAnsi="华文楷体" w:eastAsia="华文楷体" w:cs="华文楷体"/>
          <w:b w:val="0"/>
          <w:color w:val="auto"/>
          <w:sz w:val="28"/>
          <w:szCs w:val="28"/>
        </w:rPr>
        <w:fldChar w:fldCharType="end"/>
      </w:r>
    </w:p>
    <w:p>
      <w:pPr>
        <w:pStyle w:val="6"/>
        <w:rPr>
          <w:rFonts w:ascii="华文楷体" w:hAnsi="华文楷体" w:eastAsia="华文楷体" w:cs="华文楷体"/>
          <w:b w:val="0"/>
          <w:sz w:val="28"/>
          <w:szCs w:val="28"/>
          <w:lang w:val="zh-CN"/>
        </w:rPr>
      </w:pPr>
      <w:r>
        <w:fldChar w:fldCharType="begin"/>
      </w:r>
      <w:r>
        <w:instrText xml:space="preserve"> HYPERLINK \l "_Toc397352858" </w:instrText>
      </w:r>
      <w:r>
        <w:fldChar w:fldCharType="separate"/>
      </w:r>
      <w:r>
        <w:rPr>
          <w:rStyle w:val="9"/>
          <w:rFonts w:hint="eastAsia" w:ascii="华文楷体" w:hAnsi="华文楷体" w:eastAsia="华文楷体" w:cs="华文楷体"/>
          <w:b w:val="0"/>
          <w:color w:val="auto"/>
          <w:sz w:val="28"/>
          <w:szCs w:val="28"/>
          <w:lang w:val="zh-CN"/>
        </w:rPr>
        <w:t>（十）估价结果</w:t>
      </w:r>
      <w:r>
        <w:rPr>
          <w:rStyle w:val="9"/>
          <w:rFonts w:hint="eastAsia" w:ascii="华文楷体" w:hAnsi="华文楷体" w:eastAsia="华文楷体" w:cs="华文楷体"/>
          <w:b w:val="0"/>
          <w:color w:val="auto"/>
          <w:sz w:val="28"/>
          <w:szCs w:val="28"/>
          <w:lang w:val="zh-CN"/>
        </w:rPr>
        <w:tab/>
      </w:r>
      <w:r>
        <w:rPr>
          <w:rStyle w:val="9"/>
          <w:rFonts w:hint="eastAsia" w:ascii="华文楷体" w:hAnsi="华文楷体" w:eastAsia="华文楷体" w:cs="华文楷体"/>
          <w:b w:val="0"/>
          <w:color w:val="auto"/>
          <w:sz w:val="28"/>
          <w:szCs w:val="28"/>
        </w:rPr>
        <w:t>1</w:t>
      </w:r>
      <w:r>
        <w:rPr>
          <w:rStyle w:val="9"/>
          <w:rFonts w:hint="eastAsia" w:ascii="华文楷体" w:hAnsi="华文楷体" w:eastAsia="华文楷体" w:cs="华文楷体"/>
          <w:b w:val="0"/>
          <w:color w:val="auto"/>
          <w:sz w:val="28"/>
          <w:szCs w:val="28"/>
        </w:rPr>
        <w:fldChar w:fldCharType="end"/>
      </w:r>
      <w:r>
        <w:rPr>
          <w:rFonts w:hint="eastAsia" w:ascii="华文楷体" w:hAnsi="华文楷体" w:eastAsia="华文楷体" w:cs="华文楷体"/>
          <w:b w:val="0"/>
          <w:sz w:val="28"/>
          <w:szCs w:val="28"/>
        </w:rPr>
        <w:t>0</w:t>
      </w:r>
    </w:p>
    <w:p>
      <w:pPr>
        <w:pStyle w:val="6"/>
        <w:rPr>
          <w:rFonts w:ascii="华文楷体" w:hAnsi="华文楷体" w:eastAsia="华文楷体" w:cs="华文楷体"/>
          <w:b w:val="0"/>
          <w:sz w:val="28"/>
          <w:szCs w:val="28"/>
          <w:lang w:val="zh-CN"/>
        </w:rPr>
      </w:pPr>
      <w:r>
        <w:fldChar w:fldCharType="begin"/>
      </w:r>
      <w:r>
        <w:instrText xml:space="preserve"> HYPERLINK \l "_Toc397352859" </w:instrText>
      </w:r>
      <w:r>
        <w:fldChar w:fldCharType="separate"/>
      </w:r>
      <w:r>
        <w:rPr>
          <w:rStyle w:val="9"/>
          <w:rFonts w:hint="eastAsia" w:ascii="华文楷体" w:hAnsi="华文楷体" w:eastAsia="华文楷体" w:cs="华文楷体"/>
          <w:b w:val="0"/>
          <w:color w:val="auto"/>
          <w:sz w:val="28"/>
          <w:szCs w:val="28"/>
          <w:lang w:val="zh-CN"/>
        </w:rPr>
        <w:t>（十一）估价人员</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1</w:t>
      </w:r>
      <w:r>
        <w:rPr>
          <w:rFonts w:hint="eastAsia" w:ascii="华文楷体" w:hAnsi="华文楷体" w:eastAsia="华文楷体" w:cs="华文楷体"/>
          <w:b w:val="0"/>
          <w:sz w:val="28"/>
          <w:szCs w:val="28"/>
        </w:rPr>
        <w:fldChar w:fldCharType="end"/>
      </w:r>
      <w:r>
        <w:rPr>
          <w:rFonts w:hint="eastAsia" w:ascii="华文楷体" w:hAnsi="华文楷体" w:eastAsia="华文楷体" w:cs="华文楷体"/>
          <w:b w:val="0"/>
          <w:sz w:val="28"/>
          <w:szCs w:val="28"/>
        </w:rPr>
        <w:t>0</w:t>
      </w:r>
    </w:p>
    <w:p>
      <w:pPr>
        <w:pStyle w:val="6"/>
        <w:rPr>
          <w:rFonts w:ascii="华文楷体" w:hAnsi="华文楷体" w:eastAsia="华文楷体" w:cs="华文楷体"/>
          <w:b w:val="0"/>
          <w:sz w:val="28"/>
          <w:szCs w:val="28"/>
          <w:lang w:val="zh-CN"/>
        </w:rPr>
      </w:pPr>
      <w:r>
        <w:fldChar w:fldCharType="begin"/>
      </w:r>
      <w:r>
        <w:instrText xml:space="preserve"> HYPERLINK \l "_Toc397352860" </w:instrText>
      </w:r>
      <w:r>
        <w:fldChar w:fldCharType="separate"/>
      </w:r>
      <w:r>
        <w:rPr>
          <w:rStyle w:val="9"/>
          <w:rFonts w:hint="eastAsia" w:ascii="华文楷体" w:hAnsi="华文楷体" w:eastAsia="华文楷体" w:cs="华文楷体"/>
          <w:b w:val="0"/>
          <w:color w:val="auto"/>
          <w:kern w:val="0"/>
          <w:sz w:val="28"/>
          <w:szCs w:val="28"/>
          <w:lang w:val="zh-CN"/>
        </w:rPr>
        <w:t>（十二）估价作业日期</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1</w:t>
      </w:r>
      <w:r>
        <w:rPr>
          <w:rFonts w:hint="eastAsia" w:ascii="华文楷体" w:hAnsi="华文楷体" w:eastAsia="华文楷体" w:cs="华文楷体"/>
          <w:b w:val="0"/>
          <w:sz w:val="28"/>
          <w:szCs w:val="28"/>
        </w:rPr>
        <w:fldChar w:fldCharType="end"/>
      </w:r>
      <w:r>
        <w:rPr>
          <w:rFonts w:hint="eastAsia" w:ascii="华文楷体" w:hAnsi="华文楷体" w:eastAsia="华文楷体" w:cs="华文楷体"/>
          <w:b w:val="0"/>
          <w:sz w:val="28"/>
          <w:szCs w:val="28"/>
        </w:rPr>
        <w:t>0</w:t>
      </w:r>
    </w:p>
    <w:p>
      <w:pPr>
        <w:pStyle w:val="6"/>
        <w:rPr>
          <w:rStyle w:val="9"/>
          <w:rFonts w:ascii="华文楷体" w:hAnsi="华文楷体" w:eastAsia="华文楷体" w:cs="华文楷体"/>
          <w:b w:val="0"/>
          <w:color w:val="auto"/>
          <w:kern w:val="0"/>
          <w:sz w:val="28"/>
          <w:szCs w:val="28"/>
          <w:lang w:val="zh-CN"/>
        </w:rPr>
      </w:pPr>
      <w:r>
        <w:rPr>
          <w:rStyle w:val="9"/>
          <w:rFonts w:hint="eastAsia" w:ascii="华文楷体" w:hAnsi="华文楷体" w:eastAsia="华文楷体" w:cs="华文楷体"/>
          <w:b w:val="0"/>
          <w:color w:val="auto"/>
          <w:kern w:val="0"/>
          <w:sz w:val="28"/>
          <w:szCs w:val="28"/>
          <w:lang w:val="zh-CN"/>
        </w:rPr>
        <w:t>（十三）估价现场勘查期</w:t>
      </w:r>
      <w:r>
        <w:rPr>
          <w:rStyle w:val="9"/>
          <w:rFonts w:hint="eastAsia" w:ascii="华文楷体" w:hAnsi="华文楷体" w:eastAsia="华文楷体" w:cs="华文楷体"/>
          <w:b w:val="0"/>
          <w:color w:val="auto"/>
          <w:kern w:val="0"/>
          <w:sz w:val="28"/>
          <w:szCs w:val="28"/>
          <w:lang w:val="zh-CN"/>
        </w:rPr>
        <w:tab/>
      </w:r>
      <w:r>
        <w:rPr>
          <w:rStyle w:val="9"/>
          <w:rFonts w:hint="eastAsia" w:ascii="华文楷体" w:hAnsi="华文楷体" w:eastAsia="华文楷体" w:cs="华文楷体"/>
          <w:b w:val="0"/>
          <w:color w:val="auto"/>
          <w:kern w:val="0"/>
          <w:sz w:val="28"/>
          <w:szCs w:val="28"/>
        </w:rPr>
        <w:t>10</w:t>
      </w:r>
    </w:p>
    <w:p>
      <w:pPr>
        <w:spacing w:line="500" w:lineRule="exact"/>
        <w:ind w:left="225" w:leftChars="107" w:right="-819" w:rightChars="-390" w:firstLine="140" w:firstLineChars="50"/>
        <w:rPr>
          <w:rFonts w:ascii="华文楷体" w:hAnsi="华文楷体" w:eastAsia="华文楷体" w:cs="华文楷体"/>
          <w:sz w:val="28"/>
          <w:szCs w:val="28"/>
        </w:rPr>
      </w:pPr>
      <w:r>
        <w:rPr>
          <w:rFonts w:hint="eastAsia" w:ascii="华文楷体" w:hAnsi="华文楷体" w:eastAsia="华文楷体" w:cs="华文楷体"/>
          <w:sz w:val="28"/>
          <w:szCs w:val="28"/>
        </w:rPr>
        <w:fldChar w:fldCharType="end"/>
      </w:r>
      <w:r>
        <w:rPr>
          <w:rFonts w:hint="eastAsia" w:ascii="华文楷体" w:hAnsi="华文楷体" w:eastAsia="华文楷体" w:cs="华文楷体"/>
          <w:sz w:val="28"/>
          <w:szCs w:val="28"/>
        </w:rPr>
        <w:t>四、关于评估报告使用的特别提示…………………………………………</w:t>
      </w:r>
      <w:r>
        <w:rPr>
          <w:rFonts w:hint="eastAsia" w:ascii="华文楷体" w:hAnsi="华文楷体" w:eastAsia="华文楷体" w:cs="华文楷体"/>
          <w:bCs/>
          <w:sz w:val="28"/>
          <w:szCs w:val="28"/>
        </w:rPr>
        <w:t>12</w:t>
      </w:r>
    </w:p>
    <w:p>
      <w:pPr>
        <w:spacing w:line="500" w:lineRule="exact"/>
        <w:ind w:left="225" w:leftChars="107" w:firstLine="140" w:firstLineChars="50"/>
        <w:rPr>
          <w:rFonts w:ascii="华文楷体" w:hAnsi="华文楷体" w:eastAsia="华文楷体" w:cs="华文楷体"/>
          <w:sz w:val="28"/>
          <w:szCs w:val="28"/>
        </w:rPr>
      </w:pPr>
      <w:r>
        <w:rPr>
          <w:rFonts w:hint="eastAsia" w:ascii="华文楷体" w:hAnsi="华文楷体" w:eastAsia="华文楷体" w:cs="华文楷体"/>
          <w:sz w:val="28"/>
          <w:szCs w:val="28"/>
        </w:rPr>
        <w:t>五、附件</w:t>
      </w:r>
    </w:p>
    <w:p>
      <w:pPr>
        <w:pStyle w:val="6"/>
        <w:spacing w:line="400" w:lineRule="exact"/>
        <w:ind w:firstLine="140" w:firstLineChars="50"/>
        <w:rPr>
          <w:rFonts w:ascii="华文楷体" w:hAnsi="华文楷体" w:eastAsia="华文楷体" w:cs="华文楷体"/>
          <w:b w:val="0"/>
          <w:sz w:val="28"/>
          <w:szCs w:val="28"/>
        </w:rPr>
      </w:pPr>
      <w:r>
        <w:rPr>
          <w:rFonts w:hint="eastAsia" w:ascii="华文楷体" w:hAnsi="华文楷体" w:eastAsia="华文楷体" w:cs="华文楷体"/>
          <w:b w:val="0"/>
          <w:sz w:val="28"/>
          <w:szCs w:val="28"/>
        </w:rPr>
        <w:t>（一）、估价对象实际查勘情况和相关照片</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13</w:t>
      </w:r>
    </w:p>
    <w:p>
      <w:pPr>
        <w:pStyle w:val="6"/>
        <w:spacing w:line="400" w:lineRule="exact"/>
        <w:ind w:firstLine="140" w:firstLineChars="50"/>
        <w:rPr>
          <w:rFonts w:ascii="华文楷体" w:hAnsi="华文楷体" w:eastAsia="华文楷体" w:cs="华文楷体"/>
          <w:b w:val="0"/>
          <w:sz w:val="28"/>
          <w:szCs w:val="28"/>
        </w:rPr>
      </w:pPr>
      <w:r>
        <w:rPr>
          <w:rFonts w:hint="eastAsia" w:ascii="华文楷体" w:hAnsi="华文楷体" w:eastAsia="华文楷体" w:cs="华文楷体"/>
          <w:b w:val="0"/>
          <w:sz w:val="28"/>
          <w:szCs w:val="28"/>
        </w:rPr>
        <w:t>（二）、估价对象位置示意图（截图）</w:t>
      </w:r>
      <w:r>
        <w:rPr>
          <w:rFonts w:hint="eastAsia" w:ascii="华文楷体" w:hAnsi="华文楷体" w:eastAsia="华文楷体" w:cs="华文楷体"/>
          <w:b w:val="0"/>
          <w:sz w:val="28"/>
          <w:szCs w:val="28"/>
          <w:lang w:val="zh-CN"/>
        </w:rPr>
        <w:tab/>
      </w:r>
      <w:r>
        <w:rPr>
          <w:rFonts w:hint="eastAsia" w:ascii="华文楷体" w:hAnsi="华文楷体" w:eastAsia="华文楷体" w:cs="华文楷体"/>
          <w:b w:val="0"/>
          <w:sz w:val="28"/>
          <w:szCs w:val="28"/>
        </w:rPr>
        <w:t>14</w:t>
      </w:r>
    </w:p>
    <w:p>
      <w:pPr>
        <w:pStyle w:val="6"/>
        <w:spacing w:line="400" w:lineRule="exact"/>
        <w:ind w:firstLine="140" w:firstLineChars="50"/>
        <w:rPr>
          <w:rFonts w:ascii="华文楷体" w:hAnsi="华文楷体" w:eastAsia="华文楷体" w:cs="华文楷体"/>
          <w:b w:val="0"/>
          <w:sz w:val="28"/>
          <w:szCs w:val="28"/>
        </w:rPr>
      </w:pPr>
      <w:r>
        <w:rPr>
          <w:rFonts w:hint="eastAsia" w:ascii="华文楷体" w:hAnsi="华文楷体" w:eastAsia="华文楷体" w:cs="华文楷体"/>
          <w:b w:val="0"/>
          <w:sz w:val="28"/>
          <w:szCs w:val="28"/>
        </w:rPr>
        <w:t xml:space="preserve">（三）、佛山市高明区人民法院司法委托评估委托书 </w:t>
      </w:r>
    </w:p>
    <w:p>
      <w:pPr>
        <w:pStyle w:val="6"/>
        <w:spacing w:line="400" w:lineRule="exact"/>
        <w:ind w:firstLine="140" w:firstLineChars="50"/>
        <w:rPr>
          <w:rFonts w:ascii="华文楷体" w:hAnsi="华文楷体" w:eastAsia="华文楷体" w:cs="华文楷体"/>
          <w:b w:val="0"/>
          <w:sz w:val="28"/>
          <w:szCs w:val="28"/>
        </w:rPr>
      </w:pPr>
      <w:r>
        <w:rPr>
          <w:rFonts w:hint="eastAsia" w:ascii="华文楷体" w:hAnsi="华文楷体" w:eastAsia="华文楷体" w:cs="华文楷体"/>
          <w:b w:val="0"/>
          <w:sz w:val="28"/>
          <w:szCs w:val="28"/>
        </w:rPr>
        <w:t>（四）、《不动产权利登记信息》复印件 （1套）</w:t>
      </w:r>
    </w:p>
    <w:p>
      <w:pPr>
        <w:pStyle w:val="6"/>
        <w:spacing w:line="400" w:lineRule="exact"/>
        <w:ind w:firstLine="140" w:firstLineChars="50"/>
        <w:rPr>
          <w:rFonts w:ascii="华文楷体" w:hAnsi="华文楷体" w:eastAsia="华文楷体" w:cs="华文楷体"/>
          <w:b w:val="0"/>
          <w:sz w:val="28"/>
          <w:szCs w:val="28"/>
        </w:rPr>
      </w:pPr>
      <w:r>
        <w:rPr>
          <w:rFonts w:hint="eastAsia" w:ascii="华文楷体" w:hAnsi="华文楷体" w:eastAsia="华文楷体" w:cs="华文楷体"/>
          <w:b w:val="0"/>
          <w:sz w:val="28"/>
          <w:szCs w:val="28"/>
        </w:rPr>
        <w:t>（五）、可比实例位置图和外观照片（略）</w:t>
      </w:r>
    </w:p>
    <w:p>
      <w:pPr>
        <w:spacing w:line="400" w:lineRule="exact"/>
        <w:ind w:left="840" w:leftChars="400" w:firstLine="140" w:firstLineChars="50"/>
        <w:rPr>
          <w:rFonts w:ascii="华文楷体" w:hAnsi="华文楷体" w:eastAsia="华文楷体" w:cs="华文楷体"/>
          <w:sz w:val="28"/>
          <w:szCs w:val="28"/>
        </w:rPr>
      </w:pPr>
      <w:r>
        <w:rPr>
          <w:rFonts w:hint="eastAsia" w:ascii="华文楷体" w:hAnsi="华文楷体" w:eastAsia="华文楷体" w:cs="华文楷体"/>
          <w:sz w:val="28"/>
          <w:szCs w:val="28"/>
        </w:rPr>
        <w:t>（六）、专业帮助情况和相关专业意见（没有专业帮助）</w:t>
      </w:r>
    </w:p>
    <w:p>
      <w:pPr>
        <w:spacing w:line="400" w:lineRule="exact"/>
        <w:ind w:left="840" w:leftChars="400" w:firstLine="140" w:firstLineChars="50"/>
        <w:rPr>
          <w:rFonts w:ascii="华文楷体" w:hAnsi="华文楷体" w:eastAsia="华文楷体" w:cs="华文楷体"/>
          <w:sz w:val="28"/>
          <w:szCs w:val="28"/>
        </w:rPr>
      </w:pPr>
      <w:r>
        <w:rPr>
          <w:rFonts w:hint="eastAsia" w:ascii="华文楷体" w:hAnsi="华文楷体" w:eastAsia="华文楷体" w:cs="华文楷体"/>
          <w:sz w:val="28"/>
          <w:szCs w:val="28"/>
        </w:rPr>
        <w:t>（七）、估价机构营业执照复印件</w:t>
      </w:r>
    </w:p>
    <w:p>
      <w:pPr>
        <w:spacing w:line="400" w:lineRule="exact"/>
        <w:ind w:left="840" w:leftChars="400" w:firstLine="140" w:firstLineChars="50"/>
        <w:rPr>
          <w:rFonts w:ascii="华文楷体" w:hAnsi="华文楷体" w:eastAsia="华文楷体" w:cs="华文楷体"/>
          <w:sz w:val="28"/>
          <w:szCs w:val="28"/>
        </w:rPr>
      </w:pPr>
      <w:r>
        <w:rPr>
          <w:rFonts w:hint="eastAsia" w:ascii="华文楷体" w:hAnsi="华文楷体" w:eastAsia="华文楷体" w:cs="华文楷体"/>
          <w:sz w:val="28"/>
          <w:szCs w:val="28"/>
        </w:rPr>
        <w:t>（八）、估价资格证书复印件</w:t>
      </w:r>
    </w:p>
    <w:p>
      <w:pPr>
        <w:spacing w:line="400" w:lineRule="exact"/>
        <w:ind w:left="840" w:leftChars="400" w:firstLine="140" w:firstLineChars="50"/>
        <w:rPr>
          <w:rFonts w:ascii="华文楷体" w:hAnsi="华文楷体" w:eastAsia="华文楷体" w:cs="华文楷体"/>
          <w:sz w:val="28"/>
          <w:szCs w:val="28"/>
        </w:rPr>
      </w:pPr>
      <w:r>
        <w:rPr>
          <w:rFonts w:hint="eastAsia" w:ascii="华文楷体" w:hAnsi="华文楷体" w:eastAsia="华文楷体" w:cs="华文楷体"/>
          <w:sz w:val="28"/>
          <w:szCs w:val="28"/>
        </w:rPr>
        <w:t>（九）、注册房地产估价师估价资格证书复印件</w:t>
      </w:r>
    </w:p>
    <w:p>
      <w:pPr>
        <w:rPr>
          <w:rFonts w:ascii="华文楷体" w:hAnsi="华文楷体" w:eastAsia="华文楷体" w:cs="华文楷体"/>
          <w:sz w:val="28"/>
          <w:szCs w:val="28"/>
        </w:rPr>
      </w:pPr>
    </w:p>
    <w:p>
      <w:pPr>
        <w:spacing w:line="360" w:lineRule="auto"/>
        <w:outlineLvl w:val="0"/>
        <w:rPr>
          <w:rFonts w:eastAsia="黑体"/>
          <w:b/>
          <w:bCs/>
          <w:sz w:val="36"/>
          <w:szCs w:val="36"/>
        </w:rPr>
      </w:pPr>
    </w:p>
    <w:p>
      <w:pPr>
        <w:spacing w:line="360" w:lineRule="auto"/>
        <w:outlineLvl w:val="0"/>
        <w:rPr>
          <w:rFonts w:eastAsia="黑体"/>
          <w:b/>
          <w:bCs/>
          <w:sz w:val="36"/>
          <w:szCs w:val="36"/>
        </w:rPr>
      </w:pPr>
    </w:p>
    <w:p>
      <w:pPr>
        <w:spacing w:line="360" w:lineRule="auto"/>
        <w:outlineLvl w:val="0"/>
        <w:rPr>
          <w:rFonts w:eastAsia="黑体"/>
          <w:b/>
          <w:bCs/>
          <w:sz w:val="36"/>
          <w:szCs w:val="36"/>
        </w:rPr>
      </w:pPr>
    </w:p>
    <w:p>
      <w:pPr>
        <w:spacing w:line="360" w:lineRule="auto"/>
        <w:jc w:val="center"/>
        <w:outlineLvl w:val="0"/>
        <w:rPr>
          <w:rFonts w:eastAsia="仿宋_GB2312"/>
          <w:b/>
          <w:bCs/>
          <w:sz w:val="36"/>
          <w:szCs w:val="36"/>
        </w:rPr>
      </w:pPr>
      <w:r>
        <w:rPr>
          <w:rFonts w:hint="eastAsia" w:eastAsia="仿宋_GB2312"/>
          <w:b/>
          <w:bCs/>
          <w:sz w:val="36"/>
          <w:szCs w:val="36"/>
        </w:rPr>
        <w:t>二、估价师声</w:t>
      </w:r>
      <w:bookmarkEnd w:id="19"/>
      <w:r>
        <w:rPr>
          <w:rFonts w:hint="eastAsia" w:eastAsia="仿宋_GB2312"/>
          <w:b/>
          <w:bCs/>
          <w:sz w:val="36"/>
          <w:szCs w:val="36"/>
        </w:rPr>
        <w:t>明</w:t>
      </w:r>
    </w:p>
    <w:p>
      <w:pPr>
        <w:spacing w:line="360" w:lineRule="auto"/>
        <w:outlineLvl w:val="0"/>
        <w:rPr>
          <w:rFonts w:eastAsia="黑体"/>
          <w:b/>
          <w:sz w:val="28"/>
          <w:szCs w:val="28"/>
        </w:rPr>
      </w:pPr>
    </w:p>
    <w:p>
      <w:pPr>
        <w:spacing w:line="360" w:lineRule="auto"/>
        <w:outlineLvl w:val="0"/>
        <w:rPr>
          <w:rFonts w:eastAsia="仿宋_GB2312"/>
          <w:b/>
          <w:sz w:val="28"/>
          <w:szCs w:val="28"/>
        </w:rPr>
      </w:pPr>
      <w:r>
        <w:rPr>
          <w:rFonts w:hint="eastAsia" w:eastAsia="仿宋_GB2312"/>
          <w:b/>
          <w:sz w:val="28"/>
          <w:szCs w:val="28"/>
        </w:rPr>
        <w:t>对本报告我们特作如下郑重声明：</w:t>
      </w:r>
    </w:p>
    <w:p>
      <w:pPr>
        <w:spacing w:before="156" w:beforeLines="50" w:line="520" w:lineRule="exact"/>
        <w:ind w:firstLine="560" w:firstLineChars="200"/>
        <w:rPr>
          <w:rFonts w:eastAsia="仿宋_GB2312"/>
          <w:sz w:val="28"/>
          <w:szCs w:val="28"/>
        </w:rPr>
      </w:pPr>
      <w:r>
        <w:rPr>
          <w:rFonts w:hint="eastAsia" w:eastAsia="仿宋_GB2312"/>
          <w:sz w:val="28"/>
          <w:szCs w:val="28"/>
        </w:rPr>
        <w:t>1.注册房地产估价师在估价报告中对事实的说明是真实和准确的，没有虚假记载、误导性陈述和重大遗漏；</w:t>
      </w:r>
    </w:p>
    <w:p>
      <w:pPr>
        <w:spacing w:before="156" w:beforeLines="50" w:line="520" w:lineRule="exact"/>
        <w:ind w:firstLine="560" w:firstLineChars="200"/>
        <w:rPr>
          <w:rFonts w:eastAsia="仿宋_GB2312"/>
          <w:sz w:val="28"/>
          <w:szCs w:val="28"/>
        </w:rPr>
      </w:pPr>
      <w:r>
        <w:rPr>
          <w:rFonts w:hint="eastAsia" w:eastAsia="仿宋_GB2312"/>
          <w:sz w:val="28"/>
          <w:szCs w:val="28"/>
        </w:rPr>
        <w:t>2.本估价报告中的分析、意见和结论，是注册房地产估价师独立、客观、公正的专业分析、意见和结论，但受到估价报告中已说明的假设和限制条件的限制；</w:t>
      </w:r>
    </w:p>
    <w:p>
      <w:pPr>
        <w:spacing w:before="156" w:beforeLines="50" w:line="520" w:lineRule="exact"/>
        <w:ind w:firstLine="560" w:firstLineChars="200"/>
        <w:rPr>
          <w:rFonts w:eastAsia="仿宋_GB2312"/>
          <w:sz w:val="28"/>
          <w:szCs w:val="28"/>
        </w:rPr>
      </w:pPr>
      <w:r>
        <w:rPr>
          <w:rFonts w:hint="eastAsia" w:eastAsia="仿宋_GB2312"/>
          <w:sz w:val="28"/>
          <w:szCs w:val="28"/>
        </w:rPr>
        <w:t>3.注册房地产估价师与本估价报告中的估价对象没有现实或潜在的利益，与估价委托人及估价利害关系人没有利害关系，也对估价对象、估价委托人及估价利害关系人没有偏见；</w:t>
      </w:r>
    </w:p>
    <w:p>
      <w:pPr>
        <w:spacing w:before="156" w:beforeLines="50" w:line="520" w:lineRule="exact"/>
        <w:ind w:firstLine="560" w:firstLineChars="200"/>
        <w:rPr>
          <w:rFonts w:eastAsia="仿宋_GB2312"/>
          <w:sz w:val="28"/>
          <w:szCs w:val="28"/>
        </w:rPr>
      </w:pPr>
      <w:r>
        <w:rPr>
          <w:rFonts w:hint="eastAsia" w:eastAsia="仿宋_GB2312"/>
          <w:sz w:val="28"/>
          <w:szCs w:val="28"/>
        </w:rPr>
        <w:t>4.注册房地产估价师是按照有关房地产估价标准的规定进行估价工作，撰写估价报告。</w:t>
      </w:r>
    </w:p>
    <w:bookmarkEnd w:id="20"/>
    <w:bookmarkEnd w:id="21"/>
    <w:p>
      <w:pPr>
        <w:spacing w:line="360" w:lineRule="auto"/>
        <w:outlineLvl w:val="0"/>
        <w:rPr>
          <w:rFonts w:eastAsia="仿宋_GB2312"/>
          <w:b/>
          <w:sz w:val="28"/>
          <w:szCs w:val="28"/>
        </w:rPr>
      </w:pPr>
      <w:bookmarkStart w:id="22" w:name="_Toc11870"/>
      <w:bookmarkStart w:id="23" w:name="_Toc165264278"/>
      <w:bookmarkStart w:id="24" w:name="_Toc40186488"/>
      <w:bookmarkStart w:id="25" w:name="_Toc466876823"/>
      <w:bookmarkStart w:id="26" w:name="_Toc455994950"/>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both"/>
        <w:rPr>
          <w:rFonts w:eastAsia="仿宋_GB2312"/>
          <w:bCs/>
          <w:sz w:val="36"/>
          <w:szCs w:val="22"/>
        </w:rPr>
      </w:pPr>
    </w:p>
    <w:p/>
    <w:p>
      <w:pPr>
        <w:pStyle w:val="2"/>
        <w:spacing w:before="0" w:after="0" w:line="400" w:lineRule="exact"/>
        <w:jc w:val="center"/>
        <w:rPr>
          <w:rFonts w:eastAsia="仿宋_GB2312"/>
          <w:bCs/>
          <w:sz w:val="36"/>
          <w:szCs w:val="22"/>
        </w:rPr>
      </w:pPr>
      <w:r>
        <w:rPr>
          <w:rFonts w:hint="eastAsia" w:eastAsia="仿宋_GB2312"/>
          <w:bCs/>
          <w:sz w:val="36"/>
          <w:szCs w:val="22"/>
        </w:rPr>
        <w:t>三、估价的假设和限制条件</w:t>
      </w:r>
      <w:bookmarkEnd w:id="22"/>
    </w:p>
    <w:p>
      <w:pPr>
        <w:rPr>
          <w:rFonts w:ascii="华文楷体" w:hAnsi="华文楷体" w:eastAsia="华文楷体" w:cs="华文楷体"/>
        </w:rPr>
      </w:pPr>
    </w:p>
    <w:p>
      <w:pPr>
        <w:pStyle w:val="13"/>
        <w:spacing w:before="0" w:beforeLines="0" w:line="480" w:lineRule="exact"/>
        <w:ind w:firstLine="551" w:firstLineChars="196"/>
        <w:rPr>
          <w:rFonts w:eastAsia="仿宋_GB2312"/>
        </w:rPr>
      </w:pPr>
      <w:r>
        <w:rPr>
          <w:rFonts w:hint="eastAsia" w:eastAsia="仿宋_GB2312"/>
        </w:rPr>
        <w:t>（一）一般假设</w:t>
      </w:r>
    </w:p>
    <w:p>
      <w:pPr>
        <w:spacing w:line="480" w:lineRule="exact"/>
        <w:ind w:firstLine="560" w:firstLineChars="200"/>
        <w:rPr>
          <w:rFonts w:eastAsia="仿宋_GB2312"/>
          <w:sz w:val="28"/>
          <w:szCs w:val="28"/>
        </w:rPr>
      </w:pPr>
      <w:r>
        <w:rPr>
          <w:rFonts w:hint="eastAsia" w:eastAsia="仿宋_GB2312"/>
          <w:sz w:val="28"/>
          <w:szCs w:val="28"/>
        </w:rPr>
        <w:t>1.本报告所依据的估价对象的权属、面积、用途等资料进行了检查，在无理由怀疑其合法性、真实性、准确性和完整性，对其合法、真实、准确的合理假定；</w:t>
      </w:r>
    </w:p>
    <w:p>
      <w:pPr>
        <w:spacing w:line="480" w:lineRule="exact"/>
        <w:ind w:firstLine="560" w:firstLineChars="200"/>
        <w:rPr>
          <w:rFonts w:eastAsia="仿宋_GB2312"/>
          <w:sz w:val="28"/>
          <w:szCs w:val="28"/>
        </w:rPr>
      </w:pPr>
      <w:r>
        <w:rPr>
          <w:rFonts w:hint="eastAsia" w:eastAsia="仿宋_GB2312"/>
          <w:sz w:val="28"/>
          <w:szCs w:val="28"/>
        </w:rPr>
        <w:t>2.本报告对房屋安全、环境污染等影响估价对象价值或价格的重大因素给予了关注，再无理由怀疑估价对象存在安全隐患且无相应专业机构鉴定、检查的情况下，对其安全的合理假定；</w:t>
      </w:r>
    </w:p>
    <w:p>
      <w:pPr>
        <w:spacing w:line="480" w:lineRule="exact"/>
        <w:ind w:firstLine="562" w:firstLineChars="200"/>
        <w:rPr>
          <w:rFonts w:eastAsia="仿宋_GB2312"/>
          <w:b/>
          <w:bCs/>
          <w:sz w:val="28"/>
          <w:szCs w:val="28"/>
        </w:rPr>
      </w:pPr>
      <w:r>
        <w:rPr>
          <w:rFonts w:hint="eastAsia" w:eastAsia="仿宋_GB2312"/>
          <w:b/>
          <w:bCs/>
          <w:sz w:val="28"/>
          <w:szCs w:val="28"/>
        </w:rPr>
        <w:t>（二）未定事项假设（无）</w:t>
      </w:r>
    </w:p>
    <w:p>
      <w:pPr>
        <w:spacing w:line="480" w:lineRule="exact"/>
        <w:ind w:firstLine="562" w:firstLineChars="200"/>
        <w:rPr>
          <w:rFonts w:eastAsia="仿宋_GB2312"/>
          <w:b/>
          <w:bCs/>
          <w:sz w:val="28"/>
          <w:szCs w:val="28"/>
        </w:rPr>
      </w:pPr>
      <w:r>
        <w:rPr>
          <w:rFonts w:hint="eastAsia" w:eastAsia="仿宋_GB2312"/>
          <w:b/>
          <w:bCs/>
          <w:sz w:val="28"/>
          <w:szCs w:val="28"/>
        </w:rPr>
        <w:t>（三）背离事实假设（无）</w:t>
      </w:r>
    </w:p>
    <w:p>
      <w:pPr>
        <w:spacing w:line="480" w:lineRule="exact"/>
        <w:ind w:firstLine="562" w:firstLineChars="200"/>
        <w:rPr>
          <w:rFonts w:eastAsia="仿宋_GB2312"/>
          <w:b/>
          <w:bCs/>
          <w:sz w:val="28"/>
          <w:szCs w:val="28"/>
        </w:rPr>
      </w:pPr>
      <w:r>
        <w:rPr>
          <w:rFonts w:hint="eastAsia" w:eastAsia="仿宋_GB2312"/>
          <w:b/>
          <w:bCs/>
          <w:sz w:val="28"/>
          <w:szCs w:val="28"/>
        </w:rPr>
        <w:t xml:space="preserve">（四）不相一致假设（无） </w:t>
      </w:r>
    </w:p>
    <w:p>
      <w:pPr>
        <w:spacing w:line="480" w:lineRule="exact"/>
        <w:ind w:firstLine="562" w:firstLineChars="200"/>
        <w:rPr>
          <w:rFonts w:eastAsia="仿宋_GB2312"/>
          <w:b/>
          <w:bCs/>
          <w:sz w:val="28"/>
          <w:szCs w:val="28"/>
        </w:rPr>
      </w:pPr>
      <w:r>
        <w:rPr>
          <w:rFonts w:hint="eastAsia" w:eastAsia="仿宋_GB2312"/>
          <w:b/>
          <w:bCs/>
          <w:sz w:val="28"/>
          <w:szCs w:val="28"/>
        </w:rPr>
        <w:t>（五）依据不足假设（无）</w:t>
      </w:r>
    </w:p>
    <w:p>
      <w:pPr>
        <w:spacing w:line="480" w:lineRule="exact"/>
        <w:ind w:firstLine="562" w:firstLineChars="200"/>
        <w:rPr>
          <w:rFonts w:eastAsia="仿宋_GB2312"/>
          <w:b/>
          <w:bCs/>
          <w:sz w:val="28"/>
          <w:szCs w:val="28"/>
        </w:rPr>
      </w:pPr>
      <w:r>
        <w:rPr>
          <w:rFonts w:hint="eastAsia" w:eastAsia="仿宋_GB2312"/>
          <w:b/>
          <w:bCs/>
          <w:sz w:val="28"/>
          <w:szCs w:val="28"/>
        </w:rPr>
        <w:t>（六）估价报告使用限制</w:t>
      </w:r>
    </w:p>
    <w:p>
      <w:pPr>
        <w:spacing w:line="480" w:lineRule="exact"/>
        <w:ind w:firstLine="560" w:firstLineChars="200"/>
        <w:rPr>
          <w:rFonts w:eastAsia="仿宋_GB2312"/>
          <w:sz w:val="28"/>
          <w:szCs w:val="28"/>
        </w:rPr>
      </w:pPr>
      <w:r>
        <w:rPr>
          <w:rFonts w:hint="eastAsia" w:eastAsia="仿宋_GB2312"/>
          <w:sz w:val="28"/>
          <w:szCs w:val="28"/>
        </w:rPr>
        <w:t>1.本报告的估价结果是估价对象在报告所列明之价值时点的价值，不能作为在其他时点的价值；</w:t>
      </w:r>
    </w:p>
    <w:p>
      <w:pPr>
        <w:spacing w:line="480" w:lineRule="exact"/>
        <w:ind w:firstLine="560" w:firstLineChars="200"/>
        <w:rPr>
          <w:rFonts w:eastAsia="仿宋_GB2312"/>
          <w:sz w:val="28"/>
          <w:szCs w:val="28"/>
        </w:rPr>
      </w:pPr>
      <w:r>
        <w:rPr>
          <w:rFonts w:hint="eastAsia" w:eastAsia="仿宋_GB2312"/>
          <w:sz w:val="28"/>
          <w:szCs w:val="28"/>
        </w:rPr>
        <w:t>2.本估价报告仅适用于报告所列明之估价目的使用；</w:t>
      </w:r>
    </w:p>
    <w:p>
      <w:pPr>
        <w:spacing w:line="480" w:lineRule="exact"/>
        <w:ind w:firstLine="560" w:firstLineChars="200"/>
        <w:rPr>
          <w:rFonts w:eastAsia="仿宋_GB2312"/>
          <w:sz w:val="28"/>
          <w:szCs w:val="28"/>
        </w:rPr>
      </w:pPr>
      <w:r>
        <w:rPr>
          <w:rFonts w:hint="eastAsia" w:eastAsia="仿宋_GB2312"/>
          <w:sz w:val="28"/>
          <w:szCs w:val="28"/>
        </w:rPr>
        <w:t>3.本估价报告及附件须同时完整使用方为有效，本公司不对仅使用报告中部分内容或不同时使用所可能导致的任何损失承担责任；</w:t>
      </w:r>
    </w:p>
    <w:p>
      <w:pPr>
        <w:spacing w:line="480" w:lineRule="exact"/>
        <w:ind w:firstLine="560" w:firstLineChars="200"/>
        <w:rPr>
          <w:rFonts w:eastAsia="仿宋_GB2312"/>
          <w:sz w:val="28"/>
          <w:szCs w:val="28"/>
        </w:rPr>
      </w:pPr>
      <w:r>
        <w:rPr>
          <w:rFonts w:hint="eastAsia" w:eastAsia="仿宋_GB2312"/>
          <w:sz w:val="28"/>
          <w:szCs w:val="28"/>
        </w:rPr>
        <w:t>4.本估价报告使用期限应自估价报告出具之日起计算，根据估价目的和预计估价对象的市场价格变化程度确定，不宜超过一年；</w:t>
      </w:r>
    </w:p>
    <w:p>
      <w:pPr>
        <w:spacing w:line="480" w:lineRule="exact"/>
        <w:ind w:firstLine="560" w:firstLineChars="200"/>
        <w:rPr>
          <w:rFonts w:eastAsia="仿宋_GB2312"/>
          <w:sz w:val="28"/>
          <w:szCs w:val="28"/>
        </w:rPr>
      </w:pPr>
      <w:r>
        <w:rPr>
          <w:rFonts w:hint="eastAsia" w:eastAsia="仿宋_GB2312"/>
          <w:sz w:val="28"/>
          <w:szCs w:val="28"/>
        </w:rPr>
        <w:t>5.本报告解释权属本公司所有，有关本估价报告的全部或部分内容不得传阅给除使用人以及估价行业管理部门以外的个人或机构</w:t>
      </w:r>
      <w:bookmarkStart w:id="27" w:name="_Toc12340"/>
      <w:r>
        <w:rPr>
          <w:rFonts w:hint="eastAsia" w:eastAsia="仿宋_GB2312"/>
          <w:sz w:val="28"/>
          <w:szCs w:val="28"/>
        </w:rPr>
        <w:t>，但人民法院网拍除外。</w:t>
      </w:r>
    </w:p>
    <w:p>
      <w:pPr>
        <w:spacing w:line="480" w:lineRule="exact"/>
        <w:ind w:firstLine="723" w:firstLineChars="200"/>
        <w:jc w:val="center"/>
        <w:outlineLvl w:val="0"/>
        <w:rPr>
          <w:rFonts w:eastAsia="黑体"/>
          <w:b/>
          <w:sz w:val="36"/>
        </w:rPr>
      </w:pPr>
    </w:p>
    <w:p>
      <w:pPr>
        <w:spacing w:line="480" w:lineRule="exact"/>
        <w:ind w:firstLine="723" w:firstLineChars="200"/>
        <w:jc w:val="center"/>
        <w:outlineLvl w:val="0"/>
        <w:rPr>
          <w:rFonts w:eastAsia="黑体"/>
          <w:b/>
          <w:sz w:val="36"/>
        </w:rPr>
      </w:pPr>
    </w:p>
    <w:p>
      <w:pPr>
        <w:spacing w:line="480" w:lineRule="exact"/>
        <w:ind w:firstLine="723" w:firstLineChars="200"/>
        <w:jc w:val="center"/>
        <w:outlineLvl w:val="0"/>
        <w:rPr>
          <w:rFonts w:eastAsia="黑体"/>
          <w:b/>
          <w:sz w:val="36"/>
        </w:rPr>
      </w:pPr>
    </w:p>
    <w:p>
      <w:pPr>
        <w:spacing w:line="480" w:lineRule="exact"/>
        <w:ind w:firstLine="723" w:firstLineChars="200"/>
        <w:jc w:val="center"/>
        <w:outlineLvl w:val="0"/>
        <w:rPr>
          <w:rFonts w:eastAsia="黑体"/>
          <w:b/>
          <w:sz w:val="36"/>
        </w:rPr>
      </w:pPr>
    </w:p>
    <w:p>
      <w:pPr>
        <w:spacing w:line="480" w:lineRule="exact"/>
        <w:ind w:firstLine="723" w:firstLineChars="200"/>
        <w:jc w:val="center"/>
        <w:outlineLvl w:val="0"/>
        <w:rPr>
          <w:rFonts w:hint="eastAsia" w:eastAsia="仿宋_GB2312"/>
          <w:b/>
          <w:sz w:val="36"/>
          <w:szCs w:val="22"/>
        </w:rPr>
      </w:pPr>
    </w:p>
    <w:p>
      <w:pPr>
        <w:spacing w:line="480" w:lineRule="exact"/>
        <w:ind w:firstLine="723" w:firstLineChars="200"/>
        <w:jc w:val="center"/>
        <w:outlineLvl w:val="0"/>
        <w:rPr>
          <w:rFonts w:eastAsia="仿宋_GB2312"/>
          <w:b/>
          <w:sz w:val="36"/>
          <w:szCs w:val="22"/>
        </w:rPr>
      </w:pPr>
      <w:r>
        <w:rPr>
          <w:rFonts w:hint="eastAsia" w:eastAsia="仿宋_GB2312"/>
          <w:b/>
          <w:sz w:val="36"/>
          <w:szCs w:val="22"/>
        </w:rPr>
        <w:t>四、房地产估价结果报告</w:t>
      </w:r>
      <w:bookmarkEnd w:id="23"/>
      <w:bookmarkEnd w:id="24"/>
      <w:bookmarkEnd w:id="27"/>
    </w:p>
    <w:bookmarkEnd w:id="25"/>
    <w:bookmarkEnd w:id="26"/>
    <w:p>
      <w:pPr>
        <w:snapToGrid w:val="0"/>
        <w:spacing w:line="560" w:lineRule="exact"/>
        <w:outlineLvl w:val="1"/>
        <w:rPr>
          <w:rFonts w:eastAsia="仿宋_GB2312"/>
          <w:b/>
          <w:sz w:val="28"/>
          <w:szCs w:val="28"/>
        </w:rPr>
      </w:pPr>
      <w:bookmarkStart w:id="28" w:name="_Hlt91515901"/>
      <w:bookmarkEnd w:id="28"/>
      <w:bookmarkStart w:id="29" w:name="_Toc172481238"/>
      <w:bookmarkStart w:id="30" w:name="_Toc40186489"/>
      <w:bookmarkStart w:id="31" w:name="_Toc165264279"/>
      <w:bookmarkStart w:id="32" w:name="_Toc13856"/>
      <w:r>
        <w:rPr>
          <w:rFonts w:hint="eastAsia" w:eastAsia="仿宋_GB2312"/>
          <w:b/>
          <w:sz w:val="28"/>
          <w:szCs w:val="28"/>
        </w:rPr>
        <w:t>（一）委托</w:t>
      </w:r>
      <w:bookmarkEnd w:id="29"/>
      <w:bookmarkEnd w:id="30"/>
      <w:bookmarkEnd w:id="31"/>
      <w:r>
        <w:rPr>
          <w:rFonts w:hint="eastAsia" w:eastAsia="仿宋_GB2312"/>
          <w:b/>
          <w:sz w:val="28"/>
          <w:szCs w:val="28"/>
        </w:rPr>
        <w:t>人</w:t>
      </w:r>
      <w:bookmarkEnd w:id="32"/>
    </w:p>
    <w:p>
      <w:pPr>
        <w:snapToGrid w:val="0"/>
        <w:spacing w:line="560" w:lineRule="exact"/>
        <w:ind w:left="480"/>
        <w:rPr>
          <w:rFonts w:eastAsia="仿宋_GB2312"/>
          <w:sz w:val="28"/>
          <w:szCs w:val="28"/>
        </w:rPr>
      </w:pPr>
      <w:r>
        <w:rPr>
          <w:rFonts w:hint="eastAsia" w:eastAsia="仿宋_GB2312"/>
          <w:sz w:val="28"/>
          <w:szCs w:val="28"/>
        </w:rPr>
        <w:t>名    称：佛山市高明区人民法院</w:t>
      </w:r>
    </w:p>
    <w:p>
      <w:pPr>
        <w:snapToGrid w:val="0"/>
        <w:spacing w:line="560" w:lineRule="exact"/>
        <w:outlineLvl w:val="1"/>
        <w:rPr>
          <w:rFonts w:eastAsia="仿宋_GB2312"/>
          <w:b/>
          <w:sz w:val="28"/>
          <w:szCs w:val="28"/>
        </w:rPr>
      </w:pPr>
      <w:bookmarkStart w:id="33" w:name="_Toc172481239"/>
      <w:bookmarkStart w:id="34" w:name="_Toc512132720"/>
      <w:bookmarkStart w:id="35" w:name="_Toc494703318"/>
      <w:bookmarkStart w:id="36" w:name="_Toc467923303"/>
      <w:bookmarkStart w:id="37" w:name="_Toc40186490"/>
      <w:bookmarkStart w:id="38" w:name="_Toc165264280"/>
      <w:bookmarkStart w:id="39" w:name="_Toc1477"/>
      <w:r>
        <w:rPr>
          <w:rFonts w:hint="eastAsia" w:eastAsia="仿宋_GB2312"/>
          <w:b/>
          <w:sz w:val="28"/>
          <w:szCs w:val="28"/>
        </w:rPr>
        <w:t>（二）估价</w:t>
      </w:r>
      <w:bookmarkEnd w:id="33"/>
      <w:bookmarkEnd w:id="34"/>
      <w:bookmarkEnd w:id="35"/>
      <w:bookmarkEnd w:id="36"/>
      <w:bookmarkEnd w:id="37"/>
      <w:bookmarkEnd w:id="38"/>
      <w:r>
        <w:rPr>
          <w:rFonts w:hint="eastAsia" w:eastAsia="仿宋_GB2312"/>
          <w:b/>
          <w:sz w:val="28"/>
          <w:szCs w:val="28"/>
        </w:rPr>
        <w:t>机构</w:t>
      </w:r>
      <w:bookmarkEnd w:id="39"/>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1、评估机构全称：广东浩宇房地产土地资产评估有限公司</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2、法定代表人：郑敏</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3、资格等级：壹级</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4、资格证书编号：</w:t>
      </w:r>
      <w:r>
        <w:rPr>
          <w:rFonts w:hint="eastAsia" w:ascii="仿宋_GB2312" w:eastAsia="仿宋_GB2312"/>
          <w:sz w:val="28"/>
          <w:szCs w:val="22"/>
          <w:lang w:val="zh-CN"/>
        </w:rPr>
        <w:t>粤房估备字壹1300007</w:t>
      </w:r>
    </w:p>
    <w:p>
      <w:pPr>
        <w:snapToGrid w:val="0"/>
        <w:spacing w:line="560" w:lineRule="exact"/>
        <w:outlineLvl w:val="1"/>
        <w:rPr>
          <w:rFonts w:eastAsia="仿宋_GB2312"/>
          <w:b/>
          <w:sz w:val="28"/>
          <w:szCs w:val="28"/>
        </w:rPr>
      </w:pPr>
      <w:bookmarkStart w:id="40" w:name="_Toc10125"/>
      <w:r>
        <w:rPr>
          <w:rFonts w:hint="eastAsia" w:eastAsia="仿宋_GB2312"/>
          <w:b/>
          <w:sz w:val="28"/>
          <w:szCs w:val="28"/>
        </w:rPr>
        <w:t>（三）估价目的</w:t>
      </w:r>
      <w:bookmarkEnd w:id="40"/>
    </w:p>
    <w:p>
      <w:pPr>
        <w:tabs>
          <w:tab w:val="left" w:pos="5160"/>
        </w:tabs>
        <w:wordWrap w:val="0"/>
        <w:overflowPunct w:val="0"/>
        <w:snapToGrid w:val="0"/>
        <w:spacing w:line="500" w:lineRule="exact"/>
        <w:ind w:firstLine="560" w:firstLineChars="200"/>
        <w:rPr>
          <w:rFonts w:ascii="仿宋_GB2312" w:eastAsia="仿宋_GB2312"/>
          <w:sz w:val="28"/>
          <w:szCs w:val="22"/>
        </w:rPr>
      </w:pPr>
      <w:bookmarkStart w:id="41" w:name="OLE_LINK4"/>
      <w:r>
        <w:rPr>
          <w:rFonts w:hint="eastAsia" w:ascii="仿宋_GB2312" w:eastAsia="仿宋_GB2312"/>
          <w:sz w:val="28"/>
          <w:szCs w:val="22"/>
        </w:rPr>
        <w:t>为人民法院确定财产处置价提供参考依据</w:t>
      </w:r>
    </w:p>
    <w:bookmarkEnd w:id="41"/>
    <w:p>
      <w:pPr>
        <w:snapToGrid w:val="0"/>
        <w:spacing w:line="560" w:lineRule="exact"/>
        <w:outlineLvl w:val="1"/>
        <w:rPr>
          <w:rFonts w:eastAsia="仿宋_GB2312"/>
          <w:b/>
          <w:sz w:val="28"/>
          <w:szCs w:val="28"/>
        </w:rPr>
      </w:pPr>
      <w:bookmarkStart w:id="42" w:name="_Toc12608"/>
      <w:r>
        <w:rPr>
          <w:rFonts w:hint="eastAsia" w:eastAsia="仿宋_GB2312"/>
          <w:b/>
          <w:sz w:val="28"/>
          <w:szCs w:val="28"/>
        </w:rPr>
        <w:t>（四）价值时点</w:t>
      </w:r>
      <w:bookmarkEnd w:id="42"/>
    </w:p>
    <w:p>
      <w:pPr>
        <w:tabs>
          <w:tab w:val="left" w:pos="5160"/>
        </w:tabs>
        <w:wordWrap w:val="0"/>
        <w:overflowPunct w:val="0"/>
        <w:snapToGrid w:val="0"/>
        <w:spacing w:line="500" w:lineRule="exact"/>
        <w:ind w:firstLine="560" w:firstLineChars="200"/>
        <w:rPr>
          <w:rFonts w:ascii="仿宋_GB2312" w:eastAsia="仿宋_GB2312"/>
          <w:sz w:val="28"/>
          <w:szCs w:val="22"/>
        </w:rPr>
      </w:pPr>
      <w:bookmarkStart w:id="43" w:name="_Toc9073"/>
      <w:r>
        <w:rPr>
          <w:rFonts w:hint="eastAsia" w:ascii="仿宋_GB2312" w:eastAsia="仿宋_GB2312"/>
          <w:sz w:val="28"/>
          <w:szCs w:val="22"/>
        </w:rPr>
        <w:t>2022年3月11日（现场勘查时间）</w:t>
      </w:r>
    </w:p>
    <w:p>
      <w:pPr>
        <w:snapToGrid w:val="0"/>
        <w:spacing w:line="560" w:lineRule="exact"/>
        <w:outlineLvl w:val="1"/>
        <w:rPr>
          <w:rFonts w:eastAsia="仿宋_GB2312"/>
          <w:b/>
          <w:sz w:val="28"/>
          <w:szCs w:val="28"/>
        </w:rPr>
      </w:pPr>
      <w:r>
        <w:rPr>
          <w:rFonts w:hint="eastAsia" w:eastAsia="仿宋_GB2312"/>
          <w:b/>
          <w:sz w:val="28"/>
          <w:szCs w:val="28"/>
        </w:rPr>
        <w:t>（五）价值类型</w:t>
      </w:r>
      <w:bookmarkEnd w:id="43"/>
    </w:p>
    <w:p>
      <w:pPr>
        <w:tabs>
          <w:tab w:val="left" w:pos="5160"/>
        </w:tabs>
        <w:wordWrap w:val="0"/>
        <w:overflowPunct w:val="0"/>
        <w:snapToGrid w:val="0"/>
        <w:spacing w:line="500" w:lineRule="exact"/>
        <w:ind w:firstLine="560" w:firstLineChars="200"/>
        <w:rPr>
          <w:rFonts w:ascii="仿宋_GB2312" w:eastAsia="仿宋_GB2312"/>
          <w:sz w:val="28"/>
          <w:szCs w:val="22"/>
        </w:rPr>
      </w:pPr>
      <w:bookmarkStart w:id="44" w:name="_Toc18864"/>
      <w:bookmarkStart w:id="45" w:name="_Toc494703320"/>
      <w:r>
        <w:rPr>
          <w:rFonts w:hint="eastAsia" w:ascii="仿宋_GB2312" w:eastAsia="仿宋_GB2312"/>
          <w:sz w:val="28"/>
          <w:szCs w:val="22"/>
        </w:rPr>
        <w:t>1.价值名称：房地产市场价值。</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2.价值定义或内涵</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本报告估价结果是估价对象在维持现状前提，已最高最佳利用状况下，于估价日期的涉执房地产处置价即市场价值，估价前提采用被迫转让前提。</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市场价值：是指估价对象在经适当营销后，有熟悉情况、谨慎行事且不受强迫的交易双方，以公平交易方式在价值时点自愿进行交易的金额。</w:t>
      </w:r>
    </w:p>
    <w:p>
      <w:pPr>
        <w:numPr>
          <w:ilvl w:val="0"/>
          <w:numId w:val="1"/>
        </w:numPr>
        <w:snapToGrid w:val="0"/>
        <w:spacing w:line="560" w:lineRule="exact"/>
        <w:outlineLvl w:val="1"/>
        <w:rPr>
          <w:rFonts w:eastAsia="仿宋_GB2312"/>
          <w:b/>
          <w:sz w:val="28"/>
          <w:szCs w:val="28"/>
        </w:rPr>
      </w:pPr>
      <w:r>
        <w:rPr>
          <w:rFonts w:hint="eastAsia" w:eastAsia="仿宋_GB2312"/>
          <w:b/>
          <w:sz w:val="28"/>
          <w:szCs w:val="28"/>
        </w:rPr>
        <w:t>估价对象</w:t>
      </w:r>
    </w:p>
    <w:p>
      <w:pPr>
        <w:tabs>
          <w:tab w:val="left" w:pos="5160"/>
        </w:tabs>
        <w:wordWrap w:val="0"/>
        <w:overflowPunct w:val="0"/>
        <w:snapToGrid w:val="0"/>
        <w:spacing w:line="500" w:lineRule="exact"/>
        <w:ind w:firstLine="560" w:firstLineChars="200"/>
        <w:rPr>
          <w:rFonts w:ascii="仿宋_GB2312" w:eastAsia="仿宋_GB2312"/>
          <w:sz w:val="28"/>
          <w:szCs w:val="22"/>
        </w:rPr>
      </w:pPr>
      <w:r>
        <w:rPr>
          <w:rFonts w:hint="eastAsia" w:ascii="仿宋_GB2312" w:eastAsia="仿宋_GB2312"/>
          <w:sz w:val="28"/>
          <w:szCs w:val="22"/>
        </w:rPr>
        <w:t>佛山市高明区荷城街道中山路218号二期地下车库57号小汽车位，建筑面积27.31㎡，专有建筑面积：13.49㎡，用途：城镇住宅用地/非住宅，权利性质：出让/市场化商品房，权利类型：国有建设用地使用权/房屋（构筑物）所有权。</w:t>
      </w:r>
    </w:p>
    <w:p>
      <w:pPr>
        <w:tabs>
          <w:tab w:val="left" w:pos="5160"/>
        </w:tabs>
        <w:wordWrap w:val="0"/>
        <w:overflowPunct w:val="0"/>
        <w:snapToGrid w:val="0"/>
        <w:spacing w:line="500" w:lineRule="exact"/>
        <w:ind w:firstLine="560" w:firstLineChars="200"/>
        <w:rPr>
          <w:rFonts w:ascii="仿宋_GB2312" w:eastAsia="仿宋_GB2312"/>
          <w:sz w:val="28"/>
          <w:szCs w:val="22"/>
        </w:rPr>
      </w:pPr>
    </w:p>
    <w:p>
      <w:pPr>
        <w:snapToGrid w:val="0"/>
        <w:spacing w:line="500" w:lineRule="atLeast"/>
        <w:outlineLvl w:val="1"/>
        <w:rPr>
          <w:rFonts w:eastAsia="仿宋_GB2312"/>
          <w:b/>
          <w:sz w:val="28"/>
          <w:szCs w:val="28"/>
        </w:rPr>
      </w:pPr>
      <w:r>
        <w:rPr>
          <w:rFonts w:hint="eastAsia" w:eastAsia="仿宋_GB2312"/>
          <w:b/>
          <w:sz w:val="28"/>
          <w:szCs w:val="28"/>
        </w:rPr>
        <w:t>1.实物状况描述与分析</w:t>
      </w:r>
      <w:bookmarkEnd w:id="44"/>
    </w:p>
    <w:p>
      <w:pPr>
        <w:snapToGrid w:val="0"/>
        <w:spacing w:line="500" w:lineRule="exact"/>
        <w:ind w:firstLine="560" w:firstLineChars="200"/>
        <w:outlineLvl w:val="1"/>
        <w:rPr>
          <w:rFonts w:ascii="华文楷体" w:hAnsi="华文楷体" w:eastAsia="华文楷体" w:cs="华文楷体"/>
          <w:color w:val="FFFF00"/>
          <w:sz w:val="28"/>
          <w:szCs w:val="28"/>
        </w:rPr>
      </w:pPr>
      <w:r>
        <w:rPr>
          <w:rFonts w:hint="eastAsia" w:ascii="华文楷体" w:hAnsi="华文楷体" w:eastAsia="华文楷体" w:cs="华文楷体"/>
          <w:sz w:val="28"/>
          <w:szCs w:val="28"/>
        </w:rPr>
        <w:t>估价对象位于佛山市高明区荷城街道中山路218号二期地下车库57号小汽车位，正常使用房地产。</w:t>
      </w:r>
    </w:p>
    <w:p>
      <w:pPr>
        <w:snapToGrid w:val="0"/>
        <w:spacing w:line="500" w:lineRule="atLeast"/>
        <w:outlineLvl w:val="1"/>
        <w:rPr>
          <w:rFonts w:eastAsia="仿宋_GB2312"/>
          <w:b/>
          <w:sz w:val="28"/>
          <w:szCs w:val="28"/>
        </w:rPr>
      </w:pPr>
      <w:bookmarkStart w:id="46" w:name="_Toc8309"/>
      <w:r>
        <w:rPr>
          <w:rFonts w:hint="eastAsia" w:eastAsia="仿宋_GB2312"/>
          <w:b/>
          <w:sz w:val="28"/>
          <w:szCs w:val="28"/>
        </w:rPr>
        <w:t>2.权益状况描述与分析</w:t>
      </w:r>
      <w:bookmarkEnd w:id="45"/>
      <w:bookmarkEnd w:id="46"/>
      <w:bookmarkStart w:id="47" w:name="_Toc40186493"/>
      <w:r>
        <w:rPr>
          <w:rFonts w:hint="eastAsia" w:eastAsia="仿宋_GB2312"/>
          <w:b/>
          <w:sz w:val="28"/>
          <w:szCs w:val="28"/>
        </w:rPr>
        <w:t xml:space="preserve">                                   </w:t>
      </w:r>
    </w:p>
    <w:tbl>
      <w:tblPr>
        <w:tblStyle w:val="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2443"/>
        <w:gridCol w:w="209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估价对象</w:t>
            </w:r>
          </w:p>
        </w:tc>
        <w:tc>
          <w:tcPr>
            <w:tcW w:w="7433" w:type="dxa"/>
            <w:gridSpan w:val="3"/>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Cs/>
                <w:sz w:val="24"/>
                <w:szCs w:val="24"/>
              </w:rPr>
              <w:t>佛山市高明区荷城街道中山路218号二期地下车库57号小汽车位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93"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权利人</w:t>
            </w:r>
          </w:p>
        </w:tc>
        <w:tc>
          <w:tcPr>
            <w:tcW w:w="2443" w:type="dxa"/>
            <w:vAlign w:val="center"/>
          </w:tcPr>
          <w:p>
            <w:pPr>
              <w:jc w:val="center"/>
              <w:rPr>
                <w:rFonts w:ascii="华文楷体" w:hAnsi="华文楷体" w:eastAsia="华文楷体" w:cs="华文楷体"/>
                <w:bCs/>
                <w:szCs w:val="21"/>
              </w:rPr>
            </w:pPr>
            <w:r>
              <w:rPr>
                <w:rFonts w:hint="eastAsia" w:eastAsia="仿宋_GB2312" w:cs="宋体"/>
                <w:kern w:val="0"/>
                <w:szCs w:val="21"/>
              </w:rPr>
              <w:t>吴勇浪</w:t>
            </w:r>
          </w:p>
        </w:tc>
        <w:tc>
          <w:tcPr>
            <w:tcW w:w="2095"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房屋用途</w:t>
            </w:r>
          </w:p>
        </w:tc>
        <w:tc>
          <w:tcPr>
            <w:tcW w:w="2895" w:type="dxa"/>
            <w:vAlign w:val="center"/>
          </w:tcPr>
          <w:p>
            <w:pPr>
              <w:jc w:val="center"/>
              <w:rPr>
                <w:rFonts w:ascii="华文楷体" w:hAnsi="华文楷体" w:eastAsia="华文楷体" w:cs="华文楷体"/>
                <w:bCs/>
                <w:szCs w:val="21"/>
              </w:rPr>
            </w:pPr>
            <w:r>
              <w:rPr>
                <w:rFonts w:hint="eastAsia" w:eastAsia="仿宋_GB2312" w:cs="宋体"/>
                <w:kern w:val="0"/>
                <w:szCs w:val="21"/>
              </w:rPr>
              <w:t>汽车位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493"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建筑面积（㎡）</w:t>
            </w:r>
          </w:p>
        </w:tc>
        <w:tc>
          <w:tcPr>
            <w:tcW w:w="2443" w:type="dxa"/>
            <w:vAlign w:val="center"/>
          </w:tcPr>
          <w:p>
            <w:pPr>
              <w:jc w:val="center"/>
              <w:rPr>
                <w:rFonts w:ascii="华文楷体" w:hAnsi="华文楷体" w:eastAsia="华文楷体" w:cs="华文楷体"/>
                <w:bCs/>
                <w:szCs w:val="21"/>
              </w:rPr>
            </w:pPr>
            <w:r>
              <w:rPr>
                <w:rFonts w:hint="eastAsia" w:eastAsia="仿宋_GB2312" w:cs="宋体"/>
                <w:kern w:val="0"/>
                <w:szCs w:val="21"/>
              </w:rPr>
              <w:t>27.31</w:t>
            </w:r>
          </w:p>
        </w:tc>
        <w:tc>
          <w:tcPr>
            <w:tcW w:w="2095"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专有建筑面积（㎡）</w:t>
            </w:r>
          </w:p>
        </w:tc>
        <w:tc>
          <w:tcPr>
            <w:tcW w:w="2895" w:type="dxa"/>
            <w:vAlign w:val="center"/>
          </w:tcPr>
          <w:p>
            <w:pPr>
              <w:jc w:val="center"/>
              <w:rPr>
                <w:rFonts w:ascii="华文楷体" w:hAnsi="华文楷体" w:eastAsia="华文楷体" w:cs="华文楷体"/>
                <w:bCs/>
                <w:szCs w:val="21"/>
              </w:rPr>
            </w:pPr>
          </w:p>
          <w:p>
            <w:pPr>
              <w:jc w:val="center"/>
              <w:rPr>
                <w:rFonts w:ascii="华文楷体" w:hAnsi="华文楷体" w:eastAsia="华文楷体" w:cs="华文楷体"/>
                <w:bCs/>
                <w:szCs w:val="21"/>
              </w:rPr>
            </w:pPr>
            <w:r>
              <w:rPr>
                <w:rFonts w:hint="eastAsia" w:eastAsia="仿宋_GB2312" w:cs="宋体"/>
                <w:kern w:val="0"/>
                <w:szCs w:val="21"/>
              </w:rPr>
              <w:t>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93"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结构</w:t>
            </w:r>
          </w:p>
        </w:tc>
        <w:tc>
          <w:tcPr>
            <w:tcW w:w="2443" w:type="dxa"/>
            <w:vAlign w:val="center"/>
          </w:tcPr>
          <w:p>
            <w:pPr>
              <w:jc w:val="center"/>
              <w:rPr>
                <w:rFonts w:ascii="华文楷体" w:hAnsi="华文楷体" w:eastAsia="华文楷体" w:cs="华文楷体"/>
                <w:bCs/>
                <w:szCs w:val="21"/>
              </w:rPr>
            </w:pPr>
            <w:r>
              <w:rPr>
                <w:rFonts w:hint="eastAsia" w:eastAsia="仿宋_GB2312" w:cs="宋体"/>
                <w:kern w:val="0"/>
                <w:szCs w:val="21"/>
              </w:rPr>
              <w:t>钢筋混</w:t>
            </w:r>
          </w:p>
        </w:tc>
        <w:tc>
          <w:tcPr>
            <w:tcW w:w="2095" w:type="dxa"/>
            <w:vAlign w:val="center"/>
          </w:tcPr>
          <w:p>
            <w:pPr>
              <w:spacing w:line="520" w:lineRule="exact"/>
              <w:jc w:val="center"/>
              <w:outlineLvl w:val="1"/>
              <w:rPr>
                <w:rFonts w:ascii="华文楷体" w:hAnsi="华文楷体" w:eastAsia="华文楷体" w:cs="华文楷体"/>
                <w:b/>
                <w:color w:val="000000"/>
                <w:sz w:val="28"/>
                <w:szCs w:val="28"/>
              </w:rPr>
            </w:pPr>
            <w:r>
              <w:rPr>
                <w:rFonts w:hint="eastAsia" w:ascii="华文楷体" w:hAnsi="华文楷体" w:eastAsia="华文楷体" w:cs="华文楷体"/>
                <w:b/>
                <w:bCs/>
                <w:color w:val="000000"/>
                <w:kern w:val="0"/>
                <w:szCs w:val="21"/>
              </w:rPr>
              <w:t>所在层数</w:t>
            </w:r>
          </w:p>
        </w:tc>
        <w:tc>
          <w:tcPr>
            <w:tcW w:w="2895" w:type="dxa"/>
            <w:vAlign w:val="center"/>
          </w:tcPr>
          <w:p>
            <w:pPr>
              <w:ind w:firstLine="840" w:firstLineChars="400"/>
              <w:jc w:val="center"/>
              <w:rPr>
                <w:rFonts w:ascii="华文楷体" w:hAnsi="华文楷体" w:eastAsia="仿宋_GB2312" w:cs="华文楷体"/>
                <w:bCs/>
                <w:szCs w:val="21"/>
              </w:rPr>
            </w:pPr>
            <w:r>
              <w:rPr>
                <w:rFonts w:hint="eastAsia" w:eastAsia="仿宋_GB2312"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93" w:type="dxa"/>
            <w:vAlign w:val="center"/>
          </w:tcPr>
          <w:p>
            <w:pPr>
              <w:spacing w:line="520" w:lineRule="exact"/>
              <w:jc w:val="center"/>
              <w:outlineLvl w:val="1"/>
              <w:rPr>
                <w:rFonts w:ascii="华文楷体" w:hAnsi="华文楷体" w:eastAsia="华文楷体" w:cs="华文楷体"/>
                <w:b/>
                <w:bCs/>
                <w:color w:val="000000"/>
                <w:kern w:val="0"/>
                <w:szCs w:val="21"/>
              </w:rPr>
            </w:pPr>
            <w:bookmarkStart w:id="48" w:name="_Toc16334"/>
            <w:r>
              <w:rPr>
                <w:rFonts w:hint="eastAsia" w:ascii="华文楷体" w:hAnsi="华文楷体" w:eastAsia="华文楷体" w:cs="华文楷体"/>
                <w:b/>
                <w:bCs/>
                <w:color w:val="000000"/>
                <w:kern w:val="0"/>
                <w:szCs w:val="21"/>
              </w:rPr>
              <w:t>房屋权属情况</w:t>
            </w:r>
          </w:p>
        </w:tc>
        <w:tc>
          <w:tcPr>
            <w:tcW w:w="2443" w:type="dxa"/>
            <w:vAlign w:val="center"/>
          </w:tcPr>
          <w:p>
            <w:pPr>
              <w:jc w:val="center"/>
              <w:rPr>
                <w:rFonts w:ascii="华文楷体" w:hAnsi="华文楷体" w:eastAsia="华文楷体" w:cs="华文楷体"/>
                <w:bCs/>
                <w:szCs w:val="21"/>
              </w:rPr>
            </w:pPr>
            <w:r>
              <w:rPr>
                <w:rFonts w:hint="eastAsia" w:eastAsia="仿宋_GB2312" w:cs="宋体"/>
                <w:kern w:val="0"/>
                <w:szCs w:val="21"/>
              </w:rPr>
              <w:t>单独所有</w:t>
            </w:r>
          </w:p>
        </w:tc>
        <w:tc>
          <w:tcPr>
            <w:tcW w:w="2095" w:type="dxa"/>
            <w:vAlign w:val="center"/>
          </w:tcPr>
          <w:p>
            <w:pPr>
              <w:spacing w:line="520" w:lineRule="exact"/>
              <w:jc w:val="center"/>
              <w:outlineLvl w:val="1"/>
              <w:rPr>
                <w:rFonts w:ascii="华文楷体" w:hAnsi="华文楷体" w:eastAsia="华文楷体" w:cs="华文楷体"/>
                <w:b/>
                <w:bCs/>
                <w:color w:val="000000"/>
                <w:kern w:val="0"/>
                <w:szCs w:val="21"/>
              </w:rPr>
            </w:pPr>
            <w:r>
              <w:rPr>
                <w:rFonts w:hint="eastAsia" w:ascii="华文楷体" w:hAnsi="华文楷体" w:eastAsia="华文楷体" w:cs="华文楷体"/>
                <w:b/>
                <w:bCs/>
                <w:color w:val="000000"/>
                <w:kern w:val="0"/>
                <w:szCs w:val="21"/>
              </w:rPr>
              <w:t>权利类型</w:t>
            </w:r>
          </w:p>
        </w:tc>
        <w:tc>
          <w:tcPr>
            <w:tcW w:w="2895" w:type="dxa"/>
            <w:vAlign w:val="center"/>
          </w:tcPr>
          <w:p>
            <w:pPr>
              <w:jc w:val="center"/>
              <w:rPr>
                <w:rFonts w:ascii="华文楷体" w:hAnsi="华文楷体" w:eastAsia="华文楷体" w:cs="华文楷体"/>
                <w:bCs/>
                <w:szCs w:val="21"/>
              </w:rPr>
            </w:pPr>
            <w:r>
              <w:rPr>
                <w:rFonts w:hint="eastAsia" w:eastAsia="仿宋_GB2312" w:cs="宋体"/>
                <w:kern w:val="0"/>
                <w:szCs w:val="21"/>
              </w:rPr>
              <w:t>国有建设用地使用权/房屋（构筑物）所有权</w:t>
            </w:r>
          </w:p>
        </w:tc>
      </w:tr>
    </w:tbl>
    <w:p>
      <w:pPr>
        <w:snapToGrid w:val="0"/>
        <w:spacing w:line="500" w:lineRule="atLeast"/>
        <w:outlineLvl w:val="1"/>
        <w:rPr>
          <w:rFonts w:eastAsia="仿宋_GB2312"/>
          <w:b/>
          <w:sz w:val="28"/>
          <w:szCs w:val="28"/>
        </w:rPr>
      </w:pPr>
      <w:r>
        <w:rPr>
          <w:rFonts w:hint="eastAsia" w:eastAsia="仿宋_GB2312"/>
          <w:b/>
          <w:sz w:val="28"/>
          <w:szCs w:val="28"/>
        </w:rPr>
        <w:t>3、区位状况描述与分析</w:t>
      </w:r>
      <w:bookmarkEnd w:id="48"/>
    </w:p>
    <w:bookmarkEnd w:id="47"/>
    <w:tbl>
      <w:tblPr>
        <w:tblStyle w:val="7"/>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712"/>
        <w:gridCol w:w="2163"/>
        <w:gridCol w:w="2284"/>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91" w:type="dxa"/>
            <w:vMerge w:val="restart"/>
            <w:vAlign w:val="center"/>
          </w:tcPr>
          <w:p>
            <w:pPr>
              <w:jc w:val="center"/>
              <w:rPr>
                <w:rFonts w:ascii="华文楷体" w:hAnsi="华文楷体" w:eastAsia="华文楷体" w:cs="华文楷体"/>
                <w:b/>
                <w:bCs/>
              </w:rPr>
            </w:pPr>
            <w:bookmarkStart w:id="49" w:name="_Toc8704"/>
            <w:bookmarkStart w:id="50" w:name="_Toc40186496"/>
            <w:bookmarkStart w:id="51" w:name="_Toc165264286"/>
            <w:bookmarkStart w:id="52" w:name="_Toc172481244"/>
            <w:bookmarkStart w:id="53" w:name="_Toc102185279"/>
          </w:p>
          <w:p>
            <w:pPr>
              <w:jc w:val="center"/>
              <w:rPr>
                <w:rFonts w:ascii="华文楷体" w:hAnsi="华文楷体" w:eastAsia="华文楷体" w:cs="华文楷体"/>
                <w:b/>
                <w:bCs/>
              </w:rPr>
            </w:pPr>
          </w:p>
          <w:p>
            <w:pPr>
              <w:jc w:val="center"/>
              <w:rPr>
                <w:rFonts w:ascii="华文楷体" w:hAnsi="华文楷体" w:eastAsia="华文楷体" w:cs="华文楷体"/>
                <w:b/>
                <w:bCs/>
              </w:rPr>
            </w:pPr>
            <w:r>
              <w:rPr>
                <w:rFonts w:hint="eastAsia" w:ascii="华文楷体" w:hAnsi="华文楷体" w:eastAsia="华文楷体" w:cs="华文楷体"/>
                <w:b/>
                <w:bCs/>
              </w:rPr>
              <w:t>居住区状况</w:t>
            </w:r>
          </w:p>
        </w:tc>
        <w:tc>
          <w:tcPr>
            <w:tcW w:w="1712"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小区名称</w:t>
            </w:r>
          </w:p>
        </w:tc>
        <w:tc>
          <w:tcPr>
            <w:tcW w:w="2163" w:type="dxa"/>
            <w:vAlign w:val="center"/>
          </w:tcPr>
          <w:p>
            <w:pPr>
              <w:jc w:val="center"/>
              <w:rPr>
                <w:rFonts w:ascii="华文楷体" w:hAnsi="华文楷体" w:eastAsia="华文楷体" w:cs="华文楷体"/>
                <w:sz w:val="24"/>
                <w:szCs w:val="21"/>
              </w:rPr>
            </w:pPr>
            <w:r>
              <w:rPr>
                <w:rFonts w:hint="eastAsia" w:eastAsia="仿宋_GB2312" w:cs="宋体"/>
                <w:kern w:val="0"/>
                <w:szCs w:val="21"/>
              </w:rPr>
              <w:t>中山广场</w:t>
            </w:r>
          </w:p>
        </w:tc>
        <w:tc>
          <w:tcPr>
            <w:tcW w:w="2284"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物业管理类型</w:t>
            </w:r>
          </w:p>
        </w:tc>
        <w:tc>
          <w:tcPr>
            <w:tcW w:w="1470" w:type="dxa"/>
            <w:vAlign w:val="center"/>
          </w:tcPr>
          <w:p>
            <w:pPr>
              <w:jc w:val="center"/>
              <w:rPr>
                <w:rFonts w:ascii="华文楷体" w:hAnsi="华文楷体" w:eastAsia="华文楷体" w:cs="华文楷体"/>
                <w:bCs/>
                <w:szCs w:val="21"/>
              </w:rPr>
            </w:pPr>
            <w:r>
              <w:rPr>
                <w:rFonts w:hint="eastAsia" w:eastAsia="仿宋_GB2312" w:cs="宋体"/>
                <w:kern w:val="0"/>
                <w:szCs w:val="21"/>
              </w:rPr>
              <w:t>封闭化管理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291" w:type="dxa"/>
            <w:vMerge w:val="continue"/>
            <w:vAlign w:val="center"/>
          </w:tcPr>
          <w:p>
            <w:pPr>
              <w:jc w:val="center"/>
              <w:rPr>
                <w:rFonts w:ascii="华文楷体" w:hAnsi="华文楷体" w:eastAsia="华文楷体" w:cs="华文楷体"/>
                <w:b/>
                <w:bCs/>
              </w:rPr>
            </w:pPr>
          </w:p>
        </w:tc>
        <w:tc>
          <w:tcPr>
            <w:tcW w:w="1712"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绿化率</w:t>
            </w:r>
          </w:p>
        </w:tc>
        <w:tc>
          <w:tcPr>
            <w:tcW w:w="2163" w:type="dxa"/>
            <w:vAlign w:val="center"/>
          </w:tcPr>
          <w:p>
            <w:pPr>
              <w:jc w:val="center"/>
              <w:rPr>
                <w:rFonts w:ascii="华文楷体" w:hAnsi="华文楷体" w:eastAsia="华文楷体" w:cs="华文楷体"/>
                <w:bCs/>
                <w:szCs w:val="21"/>
              </w:rPr>
            </w:pPr>
            <w:r>
              <w:rPr>
                <w:rFonts w:hint="eastAsia" w:eastAsia="仿宋_GB2312" w:cs="宋体"/>
                <w:kern w:val="0"/>
                <w:szCs w:val="21"/>
              </w:rPr>
              <w:t>一般</w:t>
            </w:r>
          </w:p>
        </w:tc>
        <w:tc>
          <w:tcPr>
            <w:tcW w:w="2284"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建筑密度</w:t>
            </w:r>
          </w:p>
        </w:tc>
        <w:tc>
          <w:tcPr>
            <w:tcW w:w="1470" w:type="dxa"/>
            <w:vAlign w:val="center"/>
          </w:tcPr>
          <w:p>
            <w:pPr>
              <w:jc w:val="center"/>
              <w:rPr>
                <w:rFonts w:ascii="华文楷体" w:hAnsi="华文楷体" w:eastAsia="华文楷体" w:cs="华文楷体"/>
                <w:bCs/>
                <w:szCs w:val="21"/>
              </w:rPr>
            </w:pPr>
            <w:r>
              <w:rPr>
                <w:rFonts w:hint="eastAsia" w:eastAsia="仿宋_GB2312" w:cs="宋体"/>
                <w:kern w:val="0"/>
                <w:szCs w:val="21"/>
              </w:rPr>
              <w:t>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91" w:type="dxa"/>
            <w:vMerge w:val="continue"/>
            <w:vAlign w:val="center"/>
          </w:tcPr>
          <w:p>
            <w:pPr>
              <w:jc w:val="center"/>
              <w:rPr>
                <w:rFonts w:ascii="华文楷体" w:hAnsi="华文楷体" w:eastAsia="华文楷体" w:cs="华文楷体"/>
                <w:b/>
                <w:bCs/>
              </w:rPr>
            </w:pPr>
          </w:p>
        </w:tc>
        <w:tc>
          <w:tcPr>
            <w:tcW w:w="1712"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停车位状况</w:t>
            </w:r>
          </w:p>
        </w:tc>
        <w:tc>
          <w:tcPr>
            <w:tcW w:w="2163" w:type="dxa"/>
            <w:vAlign w:val="center"/>
          </w:tcPr>
          <w:p>
            <w:pPr>
              <w:jc w:val="center"/>
              <w:rPr>
                <w:rFonts w:ascii="华文楷体" w:hAnsi="华文楷体" w:eastAsia="华文楷体" w:cs="华文楷体"/>
                <w:bCs/>
                <w:szCs w:val="21"/>
              </w:rPr>
            </w:pPr>
            <w:r>
              <w:rPr>
                <w:rFonts w:hint="eastAsia" w:eastAsia="仿宋_GB2312" w:cs="宋体"/>
                <w:kern w:val="0"/>
                <w:szCs w:val="21"/>
              </w:rPr>
              <w:t>地下停车位充足</w:t>
            </w:r>
          </w:p>
        </w:tc>
        <w:tc>
          <w:tcPr>
            <w:tcW w:w="2284"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居住人群</w:t>
            </w:r>
          </w:p>
        </w:tc>
        <w:tc>
          <w:tcPr>
            <w:tcW w:w="1470" w:type="dxa"/>
            <w:vAlign w:val="center"/>
          </w:tcPr>
          <w:p>
            <w:pPr>
              <w:jc w:val="center"/>
              <w:rPr>
                <w:rFonts w:ascii="华文楷体" w:hAnsi="华文楷体" w:eastAsia="华文楷体" w:cs="华文楷体"/>
                <w:bCs/>
                <w:szCs w:val="21"/>
              </w:rPr>
            </w:pPr>
            <w:r>
              <w:rPr>
                <w:rFonts w:hint="eastAsia" w:eastAsia="仿宋_GB2312" w:cs="宋体"/>
                <w:kern w:val="0"/>
                <w:szCs w:val="21"/>
              </w:rPr>
              <w:t>城镇居民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91" w:type="dxa"/>
            <w:vMerge w:val="continue"/>
            <w:vAlign w:val="center"/>
          </w:tcPr>
          <w:p>
            <w:pPr>
              <w:jc w:val="center"/>
              <w:rPr>
                <w:rFonts w:ascii="华文楷体" w:hAnsi="华文楷体" w:eastAsia="华文楷体" w:cs="华文楷体"/>
                <w:b/>
                <w:bCs/>
              </w:rPr>
            </w:pPr>
          </w:p>
        </w:tc>
        <w:tc>
          <w:tcPr>
            <w:tcW w:w="1712"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出行便利程度</w:t>
            </w:r>
          </w:p>
        </w:tc>
        <w:tc>
          <w:tcPr>
            <w:tcW w:w="2163" w:type="dxa"/>
            <w:vAlign w:val="center"/>
          </w:tcPr>
          <w:p>
            <w:pPr>
              <w:jc w:val="center"/>
              <w:rPr>
                <w:rFonts w:ascii="华文楷体" w:hAnsi="华文楷体" w:eastAsia="华文楷体" w:cs="华文楷体"/>
                <w:bCs/>
                <w:szCs w:val="21"/>
              </w:rPr>
            </w:pPr>
            <w:r>
              <w:rPr>
                <w:rFonts w:hint="eastAsia" w:eastAsia="仿宋_GB2312" w:cs="宋体"/>
                <w:kern w:val="0"/>
                <w:szCs w:val="21"/>
              </w:rPr>
              <w:t>便利</w:t>
            </w:r>
          </w:p>
        </w:tc>
        <w:tc>
          <w:tcPr>
            <w:tcW w:w="2284"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噪音</w:t>
            </w:r>
          </w:p>
        </w:tc>
        <w:tc>
          <w:tcPr>
            <w:tcW w:w="1470" w:type="dxa"/>
            <w:vAlign w:val="center"/>
          </w:tcPr>
          <w:p>
            <w:pPr>
              <w:jc w:val="center"/>
              <w:rPr>
                <w:rFonts w:ascii="华文楷体" w:hAnsi="华文楷体" w:eastAsia="华文楷体" w:cs="华文楷体"/>
                <w:bCs/>
                <w:szCs w:val="21"/>
              </w:rPr>
            </w:pPr>
            <w:r>
              <w:rPr>
                <w:rFonts w:hint="eastAsia" w:eastAsia="仿宋_GB2312" w:cs="宋体"/>
                <w:kern w:val="0"/>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学校</w:t>
            </w:r>
          </w:p>
        </w:tc>
        <w:tc>
          <w:tcPr>
            <w:tcW w:w="7629" w:type="dxa"/>
            <w:gridSpan w:val="4"/>
            <w:vAlign w:val="center"/>
          </w:tcPr>
          <w:p>
            <w:pPr>
              <w:jc w:val="left"/>
              <w:rPr>
                <w:rFonts w:eastAsia="仿宋_GB2312" w:cs="宋体"/>
                <w:kern w:val="0"/>
                <w:szCs w:val="21"/>
              </w:rPr>
            </w:pPr>
            <w:r>
              <w:rPr>
                <w:rFonts w:hint="eastAsia" w:eastAsia="仿宋_GB2312" w:cs="宋体"/>
                <w:kern w:val="0"/>
                <w:szCs w:val="21"/>
              </w:rPr>
              <w:t>高明区沧江中学附属小学、沛明实验小学、佛山市高明区第一中学、佛山市高明区第一中学附属小学、荷城中学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公共交通</w:t>
            </w:r>
          </w:p>
        </w:tc>
        <w:tc>
          <w:tcPr>
            <w:tcW w:w="7629" w:type="dxa"/>
            <w:gridSpan w:val="4"/>
            <w:vAlign w:val="center"/>
          </w:tcPr>
          <w:p>
            <w:pPr>
              <w:jc w:val="left"/>
              <w:rPr>
                <w:rFonts w:eastAsia="仿宋_GB2312" w:cs="宋体"/>
                <w:kern w:val="0"/>
                <w:szCs w:val="21"/>
              </w:rPr>
            </w:pPr>
            <w:r>
              <w:rPr>
                <w:rFonts w:hint="eastAsia" w:eastAsia="仿宋_GB2312" w:cs="宋体"/>
                <w:kern w:val="0"/>
                <w:szCs w:val="21"/>
              </w:rPr>
              <w:t>中山广场 - 公交站途经公交车： 502路 504路短线 530路、区交通综合执法支队 - 公交站途经公交车： 502路 504路短线 530路、中港广场 - 公交站 途经公交车： 501路 502A路 503路 509路 523路 530路 535路 H590A路 佛505B路、永安新村 - 公交站途经公交车： 客运巴士、永安新村 - 公交站途经公交车： 客运巴士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公园</w:t>
            </w:r>
          </w:p>
        </w:tc>
        <w:tc>
          <w:tcPr>
            <w:tcW w:w="7629" w:type="dxa"/>
            <w:gridSpan w:val="4"/>
            <w:vAlign w:val="center"/>
          </w:tcPr>
          <w:p>
            <w:pPr>
              <w:rPr>
                <w:rFonts w:ascii="华文楷体" w:hAnsi="华文楷体" w:eastAsia="华文楷体" w:cs="华文楷体"/>
                <w:bCs/>
                <w:szCs w:val="21"/>
              </w:rPr>
            </w:pPr>
            <w:r>
              <w:rPr>
                <w:rFonts w:hint="eastAsia" w:eastAsia="仿宋_GB2312" w:cs="宋体"/>
                <w:kern w:val="0"/>
                <w:szCs w:val="21"/>
              </w:rPr>
              <w:t>七星岗公园、飞马公园、交通公园、海滨公园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商场、市场</w:t>
            </w:r>
          </w:p>
        </w:tc>
        <w:tc>
          <w:tcPr>
            <w:tcW w:w="7629" w:type="dxa"/>
            <w:gridSpan w:val="4"/>
            <w:vAlign w:val="center"/>
          </w:tcPr>
          <w:p>
            <w:pPr>
              <w:rPr>
                <w:rFonts w:ascii="华文楷体" w:hAnsi="华文楷体" w:eastAsia="华文楷体" w:cs="华文楷体"/>
                <w:bCs/>
                <w:szCs w:val="21"/>
              </w:rPr>
            </w:pPr>
            <w:r>
              <w:rPr>
                <w:rFonts w:hint="eastAsia" w:eastAsia="仿宋_GB2312" w:cs="宋体"/>
                <w:kern w:val="0"/>
                <w:szCs w:val="21"/>
              </w:rPr>
              <w:t>时代广场(文昌路店)、京柏城、物业广场、新金叶(沧江路店) ；成功广场兴华市场、东升市场(碧玉街)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金融服务</w:t>
            </w:r>
          </w:p>
        </w:tc>
        <w:tc>
          <w:tcPr>
            <w:tcW w:w="7629" w:type="dxa"/>
            <w:gridSpan w:val="4"/>
            <w:vAlign w:val="center"/>
          </w:tcPr>
          <w:p>
            <w:pPr>
              <w:jc w:val="center"/>
              <w:rPr>
                <w:rFonts w:eastAsia="仿宋_GB2312" w:cs="宋体"/>
                <w:kern w:val="0"/>
                <w:szCs w:val="21"/>
              </w:rPr>
            </w:pPr>
            <w:r>
              <w:rPr>
                <w:rFonts w:hint="eastAsia" w:eastAsia="仿宋_GB2312" w:cs="宋体"/>
                <w:kern w:val="0"/>
                <w:szCs w:val="21"/>
              </w:rPr>
              <w:t>广发银行(佛山分行荷城支行)、广发银行24小时自助银行(佛山分行荷城支行)</w:t>
            </w:r>
          </w:p>
          <w:p>
            <w:pPr>
              <w:jc w:val="left"/>
              <w:rPr>
                <w:rFonts w:ascii="华文楷体" w:hAnsi="华文楷体" w:eastAsia="华文楷体" w:cs="华文楷体"/>
                <w:szCs w:val="21"/>
              </w:rPr>
            </w:pPr>
            <w:r>
              <w:rPr>
                <w:rFonts w:hint="eastAsia" w:eastAsia="仿宋_GB2312" w:cs="宋体"/>
                <w:kern w:val="0"/>
                <w:szCs w:val="21"/>
              </w:rPr>
              <w:t>、佛山农村商业银行24小时自助银行(高明中山支行)、佛山农村商业银行(高明中山支行)、中国邮政储蓄银行(佛山市高明支行)、中国邮政储蓄银行24小时自助银行(高明支行)等。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道路状况</w:t>
            </w:r>
          </w:p>
        </w:tc>
        <w:tc>
          <w:tcPr>
            <w:tcW w:w="7629" w:type="dxa"/>
            <w:gridSpan w:val="4"/>
            <w:vAlign w:val="center"/>
          </w:tcPr>
          <w:p>
            <w:pPr>
              <w:rPr>
                <w:rFonts w:ascii="华文楷体" w:hAnsi="华文楷体" w:eastAsia="华文楷体" w:cs="华文楷体"/>
                <w:bCs/>
                <w:szCs w:val="21"/>
              </w:rPr>
            </w:pPr>
            <w:r>
              <w:rPr>
                <w:rFonts w:hint="eastAsia" w:eastAsia="仿宋_GB2312" w:cs="宋体"/>
                <w:kern w:val="0"/>
                <w:szCs w:val="21"/>
              </w:rPr>
              <w:t>中山路、沧江路等。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291" w:type="dxa"/>
            <w:vAlign w:val="center"/>
          </w:tcPr>
          <w:p>
            <w:pPr>
              <w:jc w:val="center"/>
              <w:rPr>
                <w:rFonts w:ascii="华文楷体" w:hAnsi="华文楷体" w:eastAsia="华文楷体" w:cs="华文楷体"/>
                <w:b/>
                <w:bCs/>
              </w:rPr>
            </w:pPr>
            <w:r>
              <w:rPr>
                <w:rFonts w:hint="eastAsia" w:ascii="华文楷体" w:hAnsi="华文楷体" w:eastAsia="华文楷体" w:cs="华文楷体"/>
                <w:b/>
                <w:bCs/>
              </w:rPr>
              <w:t>周边同类型物业</w:t>
            </w:r>
          </w:p>
        </w:tc>
        <w:tc>
          <w:tcPr>
            <w:tcW w:w="7629" w:type="dxa"/>
            <w:gridSpan w:val="4"/>
            <w:vAlign w:val="center"/>
          </w:tcPr>
          <w:p>
            <w:pPr>
              <w:rPr>
                <w:rFonts w:ascii="华文楷体" w:hAnsi="华文楷体" w:eastAsia="华文楷体" w:cs="华文楷体"/>
                <w:bCs/>
                <w:szCs w:val="21"/>
              </w:rPr>
            </w:pPr>
            <w:r>
              <w:rPr>
                <w:rFonts w:hint="eastAsia" w:eastAsia="仿宋_GB2312" w:cs="宋体"/>
                <w:kern w:val="0"/>
                <w:szCs w:val="21"/>
              </w:rPr>
              <w:t>千彩花园、锦华花园、鸿福花园、君逸湾、名仕居、喜溢华府等。</w:t>
            </w:r>
            <w:r>
              <w:rPr>
                <w:rFonts w:hint="eastAsia" w:ascii="华文楷体" w:hAnsi="华文楷体" w:eastAsia="华文楷体" w:cs="华文楷体"/>
                <w:bCs/>
                <w:szCs w:val="21"/>
              </w:rPr>
              <w:t xml:space="preserve"> </w:t>
            </w:r>
          </w:p>
        </w:tc>
      </w:tr>
    </w:tbl>
    <w:p>
      <w:pPr>
        <w:pStyle w:val="13"/>
        <w:tabs>
          <w:tab w:val="left" w:pos="2721"/>
        </w:tabs>
        <w:snapToGrid w:val="0"/>
        <w:spacing w:line="560" w:lineRule="atLeast"/>
        <w:outlineLvl w:val="1"/>
        <w:rPr>
          <w:rFonts w:ascii="华文楷体" w:hAnsi="华文楷体" w:eastAsia="华文楷体" w:cs="华文楷体"/>
        </w:rPr>
      </w:pPr>
    </w:p>
    <w:p>
      <w:pPr>
        <w:pStyle w:val="13"/>
        <w:tabs>
          <w:tab w:val="left" w:pos="2721"/>
        </w:tabs>
        <w:snapToGrid w:val="0"/>
        <w:spacing w:line="560" w:lineRule="atLeast"/>
        <w:outlineLvl w:val="1"/>
        <w:rPr>
          <w:rFonts w:eastAsia="仿宋_GB2312"/>
        </w:rPr>
      </w:pPr>
      <w:r>
        <w:rPr>
          <w:rFonts w:hint="eastAsia" w:eastAsia="仿宋_GB2312"/>
        </w:rPr>
        <w:t>（七）估价依据</w:t>
      </w:r>
      <w:bookmarkEnd w:id="49"/>
      <w:bookmarkEnd w:id="50"/>
      <w:bookmarkEnd w:id="51"/>
      <w:bookmarkEnd w:id="52"/>
      <w:bookmarkEnd w:id="53"/>
      <w:r>
        <w:rPr>
          <w:rFonts w:hint="eastAsia" w:eastAsia="仿宋_GB2312"/>
        </w:rPr>
        <w:tab/>
      </w:r>
    </w:p>
    <w:p>
      <w:pPr>
        <w:snapToGrid w:val="0"/>
        <w:spacing w:line="560" w:lineRule="atLeast"/>
        <w:ind w:firstLine="560" w:firstLineChars="200"/>
        <w:rPr>
          <w:rFonts w:eastAsia="仿宋_GB2312"/>
          <w:sz w:val="28"/>
          <w:szCs w:val="28"/>
        </w:rPr>
      </w:pPr>
      <w:bookmarkStart w:id="54" w:name="_Toc40186497"/>
      <w:bookmarkStart w:id="55" w:name="_Toc172481245"/>
      <w:bookmarkStart w:id="56" w:name="_Toc165264287"/>
      <w:bookmarkStart w:id="57" w:name="_Toc102185280"/>
      <w:r>
        <w:rPr>
          <w:rFonts w:hint="eastAsia" w:eastAsia="仿宋_GB2312"/>
          <w:sz w:val="28"/>
          <w:szCs w:val="28"/>
        </w:rPr>
        <w:t>1、法律法规依据</w:t>
      </w:r>
    </w:p>
    <w:p>
      <w:pPr>
        <w:snapToGrid w:val="0"/>
        <w:spacing w:line="560" w:lineRule="atLeast"/>
        <w:ind w:firstLine="560" w:firstLineChars="200"/>
        <w:rPr>
          <w:rFonts w:eastAsia="仿宋_GB2312"/>
          <w:sz w:val="28"/>
          <w:szCs w:val="28"/>
        </w:rPr>
      </w:pPr>
      <w:r>
        <w:rPr>
          <w:rFonts w:hint="eastAsia" w:eastAsia="仿宋_GB2312"/>
          <w:sz w:val="28"/>
          <w:szCs w:val="28"/>
        </w:rPr>
        <w:t>（1）《中华人民共和国物权法》；</w:t>
      </w:r>
    </w:p>
    <w:p>
      <w:pPr>
        <w:snapToGrid w:val="0"/>
        <w:spacing w:line="560" w:lineRule="atLeast"/>
        <w:ind w:firstLine="560" w:firstLineChars="200"/>
        <w:rPr>
          <w:rFonts w:eastAsia="仿宋_GB2312"/>
          <w:sz w:val="28"/>
          <w:szCs w:val="28"/>
        </w:rPr>
      </w:pPr>
      <w:r>
        <w:rPr>
          <w:rFonts w:hint="eastAsia" w:eastAsia="仿宋_GB2312"/>
          <w:sz w:val="28"/>
          <w:szCs w:val="28"/>
        </w:rPr>
        <w:t>（2）《中华人民共和国城市房地产管理法》；</w:t>
      </w:r>
    </w:p>
    <w:p>
      <w:pPr>
        <w:snapToGrid w:val="0"/>
        <w:spacing w:line="560" w:lineRule="atLeast"/>
        <w:ind w:firstLine="560" w:firstLineChars="200"/>
        <w:rPr>
          <w:rFonts w:eastAsia="仿宋_GB2312"/>
          <w:sz w:val="28"/>
          <w:szCs w:val="28"/>
        </w:rPr>
      </w:pPr>
      <w:r>
        <w:rPr>
          <w:rFonts w:hint="eastAsia" w:eastAsia="仿宋_GB2312"/>
          <w:sz w:val="28"/>
          <w:szCs w:val="28"/>
        </w:rPr>
        <w:t>（3）《中华人民共和国土地管理法》；</w:t>
      </w:r>
    </w:p>
    <w:p>
      <w:pPr>
        <w:snapToGrid w:val="0"/>
        <w:spacing w:line="560" w:lineRule="atLeast"/>
        <w:ind w:firstLine="560" w:firstLineChars="200"/>
        <w:rPr>
          <w:rFonts w:eastAsia="仿宋_GB2312"/>
          <w:sz w:val="28"/>
          <w:szCs w:val="28"/>
        </w:rPr>
      </w:pPr>
      <w:r>
        <w:rPr>
          <w:rFonts w:hint="eastAsia" w:eastAsia="仿宋_GB2312"/>
          <w:sz w:val="28"/>
          <w:szCs w:val="28"/>
        </w:rPr>
        <w:t>（4）《中华人民共和国城市规划法》；</w:t>
      </w:r>
    </w:p>
    <w:p>
      <w:pPr>
        <w:snapToGrid w:val="0"/>
        <w:spacing w:line="560" w:lineRule="atLeast"/>
        <w:ind w:firstLine="560" w:firstLineChars="200"/>
        <w:rPr>
          <w:rFonts w:eastAsia="仿宋_GB2312"/>
          <w:sz w:val="28"/>
          <w:szCs w:val="28"/>
        </w:rPr>
      </w:pPr>
      <w:r>
        <w:rPr>
          <w:rFonts w:hint="eastAsia" w:eastAsia="仿宋_GB2312"/>
          <w:sz w:val="28"/>
          <w:szCs w:val="28"/>
        </w:rPr>
        <w:t>（5）《城市房地产转让管理规定》（建设部令第96号）；</w:t>
      </w:r>
    </w:p>
    <w:p>
      <w:pPr>
        <w:snapToGrid w:val="0"/>
        <w:spacing w:line="560" w:lineRule="atLeast"/>
        <w:ind w:firstLine="560" w:firstLineChars="200"/>
        <w:rPr>
          <w:rFonts w:eastAsia="仿宋_GB2312"/>
          <w:sz w:val="28"/>
          <w:szCs w:val="28"/>
        </w:rPr>
      </w:pPr>
      <w:r>
        <w:rPr>
          <w:rFonts w:hint="eastAsia" w:eastAsia="仿宋_GB2312"/>
          <w:sz w:val="28"/>
          <w:szCs w:val="28"/>
        </w:rPr>
        <w:t>（6）国家标准《房地产估价规范》（GB/T50291-2015）和《房地产估价基本术语标准》GB/T50899-2013;</w:t>
      </w:r>
    </w:p>
    <w:p>
      <w:pPr>
        <w:snapToGrid w:val="0"/>
        <w:spacing w:line="560" w:lineRule="atLeast"/>
        <w:ind w:firstLine="560" w:firstLineChars="200"/>
        <w:rPr>
          <w:rFonts w:eastAsia="仿宋_GB2312"/>
          <w:sz w:val="28"/>
          <w:szCs w:val="28"/>
        </w:rPr>
      </w:pPr>
      <w:r>
        <w:rPr>
          <w:rFonts w:hint="eastAsia" w:eastAsia="仿宋_GB2312"/>
          <w:sz w:val="28"/>
          <w:szCs w:val="28"/>
        </w:rPr>
        <w:t>（7）关于印发《涉执房地产处置司法评估指导意见（试行）》的通知（中房学〔2021〕37号）</w:t>
      </w:r>
    </w:p>
    <w:p>
      <w:pPr>
        <w:snapToGrid w:val="0"/>
        <w:spacing w:line="560" w:lineRule="atLeast"/>
        <w:ind w:firstLine="560" w:firstLineChars="200"/>
        <w:rPr>
          <w:rFonts w:eastAsia="仿宋_GB2312"/>
          <w:sz w:val="28"/>
          <w:szCs w:val="28"/>
        </w:rPr>
      </w:pPr>
      <w:r>
        <w:rPr>
          <w:rFonts w:hint="eastAsia" w:eastAsia="仿宋_GB2312"/>
          <w:sz w:val="28"/>
          <w:szCs w:val="28"/>
        </w:rPr>
        <w:t>（8）《人民法院委托评估专业技术评审工作规范》（法办〔2019〕364号）；</w:t>
      </w:r>
    </w:p>
    <w:p>
      <w:pPr>
        <w:snapToGrid w:val="0"/>
        <w:spacing w:line="560" w:lineRule="atLeast"/>
        <w:ind w:firstLine="560" w:firstLineChars="200"/>
        <w:rPr>
          <w:rFonts w:eastAsia="仿宋_GB2312"/>
          <w:sz w:val="28"/>
          <w:szCs w:val="28"/>
        </w:rPr>
      </w:pPr>
      <w:r>
        <w:rPr>
          <w:rFonts w:hint="eastAsia" w:eastAsia="仿宋_GB2312"/>
          <w:sz w:val="28"/>
          <w:szCs w:val="28"/>
        </w:rPr>
        <w:t>（9）《人民法院委托评估工作规范》法办〔2018〕273号</w:t>
      </w:r>
    </w:p>
    <w:p>
      <w:pPr>
        <w:snapToGrid w:val="0"/>
        <w:spacing w:line="560" w:lineRule="atLeast"/>
        <w:ind w:firstLine="560" w:firstLineChars="200"/>
        <w:rPr>
          <w:rFonts w:eastAsia="仿宋_GB2312"/>
          <w:sz w:val="28"/>
          <w:szCs w:val="28"/>
        </w:rPr>
      </w:pPr>
      <w:r>
        <w:rPr>
          <w:rFonts w:hint="eastAsia" w:eastAsia="仿宋_GB2312"/>
          <w:sz w:val="28"/>
          <w:szCs w:val="28"/>
        </w:rPr>
        <w:t>（10）《最高人民法院关于人民法院确定财产处置参考价若干问题的规定》法释〔2018〕15号。</w:t>
      </w:r>
    </w:p>
    <w:p>
      <w:pPr>
        <w:snapToGrid w:val="0"/>
        <w:spacing w:line="560" w:lineRule="atLeast"/>
        <w:ind w:firstLine="560" w:firstLineChars="200"/>
        <w:rPr>
          <w:rFonts w:eastAsia="仿宋_GB2312"/>
          <w:sz w:val="28"/>
          <w:szCs w:val="28"/>
        </w:rPr>
      </w:pPr>
      <w:r>
        <w:rPr>
          <w:rFonts w:hint="eastAsia" w:eastAsia="仿宋_GB2312"/>
          <w:sz w:val="28"/>
          <w:szCs w:val="28"/>
        </w:rPr>
        <w:t>2、委托方提供的相关权属资料复印件及其他有关资料复印件</w:t>
      </w:r>
    </w:p>
    <w:p>
      <w:pPr>
        <w:snapToGrid w:val="0"/>
        <w:spacing w:line="560" w:lineRule="atLeast"/>
        <w:ind w:firstLine="560" w:firstLineChars="200"/>
        <w:rPr>
          <w:rFonts w:eastAsia="仿宋_GB2312"/>
          <w:sz w:val="28"/>
          <w:szCs w:val="28"/>
        </w:rPr>
      </w:pPr>
      <w:r>
        <w:rPr>
          <w:rFonts w:hint="eastAsia" w:eastAsia="仿宋_GB2312"/>
          <w:sz w:val="28"/>
          <w:szCs w:val="28"/>
        </w:rPr>
        <w:t>（1）佛山市高明区人民法院委托评估书复印件；</w:t>
      </w:r>
    </w:p>
    <w:p>
      <w:pPr>
        <w:snapToGrid w:val="0"/>
        <w:spacing w:line="560" w:lineRule="atLeast"/>
        <w:ind w:firstLine="560" w:firstLineChars="200"/>
        <w:rPr>
          <w:rFonts w:eastAsia="仿宋_GB2312"/>
          <w:sz w:val="28"/>
          <w:szCs w:val="28"/>
        </w:rPr>
      </w:pPr>
      <w:r>
        <w:rPr>
          <w:rFonts w:hint="eastAsia" w:eastAsia="仿宋_GB2312"/>
          <w:sz w:val="28"/>
          <w:szCs w:val="28"/>
        </w:rPr>
        <w:t>（2）房屋权属资料复印件（1套）；</w:t>
      </w:r>
    </w:p>
    <w:p>
      <w:pPr>
        <w:snapToGrid w:val="0"/>
        <w:spacing w:line="560" w:lineRule="atLeast"/>
        <w:ind w:firstLine="560" w:firstLineChars="200"/>
        <w:rPr>
          <w:rFonts w:eastAsia="仿宋_GB2312"/>
          <w:sz w:val="28"/>
          <w:szCs w:val="28"/>
        </w:rPr>
      </w:pPr>
      <w:r>
        <w:rPr>
          <w:rFonts w:hint="eastAsia" w:eastAsia="仿宋_GB2312"/>
          <w:sz w:val="28"/>
          <w:szCs w:val="28"/>
        </w:rPr>
        <w:t>3、估价机构和估价人员掌握和搜集的有关资料</w:t>
      </w:r>
    </w:p>
    <w:p>
      <w:pPr>
        <w:snapToGrid w:val="0"/>
        <w:spacing w:line="560" w:lineRule="atLeast"/>
        <w:ind w:firstLine="560" w:firstLineChars="200"/>
        <w:rPr>
          <w:rFonts w:eastAsia="仿宋_GB2312"/>
          <w:sz w:val="28"/>
          <w:szCs w:val="28"/>
        </w:rPr>
      </w:pPr>
      <w:r>
        <w:rPr>
          <w:rFonts w:hint="eastAsia" w:eastAsia="仿宋_GB2312"/>
          <w:sz w:val="28"/>
          <w:szCs w:val="28"/>
        </w:rPr>
        <w:t>（1）估价人员市场调查所得的转让、租赁案例等交易资料；</w:t>
      </w:r>
    </w:p>
    <w:p>
      <w:pPr>
        <w:snapToGrid w:val="0"/>
        <w:spacing w:line="560" w:lineRule="atLeast"/>
        <w:ind w:firstLine="560" w:firstLineChars="200"/>
        <w:rPr>
          <w:rFonts w:eastAsia="仿宋_GB2312"/>
          <w:sz w:val="28"/>
          <w:szCs w:val="28"/>
        </w:rPr>
      </w:pPr>
      <w:r>
        <w:rPr>
          <w:rFonts w:hint="eastAsia" w:eastAsia="仿宋_GB2312"/>
          <w:sz w:val="28"/>
          <w:szCs w:val="28"/>
        </w:rPr>
        <w:t>（2）估价机构掌握和估价人员实地勘查资料；</w:t>
      </w:r>
    </w:p>
    <w:p>
      <w:pPr>
        <w:snapToGrid w:val="0"/>
        <w:spacing w:line="560" w:lineRule="atLeast"/>
        <w:ind w:firstLine="560" w:firstLineChars="200"/>
        <w:rPr>
          <w:rFonts w:eastAsia="仿宋_GB2312"/>
          <w:sz w:val="28"/>
          <w:szCs w:val="28"/>
        </w:rPr>
      </w:pPr>
      <w:r>
        <w:rPr>
          <w:rFonts w:hint="eastAsia" w:eastAsia="仿宋_GB2312"/>
          <w:sz w:val="28"/>
          <w:szCs w:val="28"/>
        </w:rPr>
        <w:t>（3）本公司收集的房地产市场信息、基准地价、建筑工程造价信息等资料。</w:t>
      </w:r>
    </w:p>
    <w:p>
      <w:pPr>
        <w:pStyle w:val="13"/>
        <w:snapToGrid w:val="0"/>
        <w:spacing w:before="0" w:beforeLines="0" w:line="560" w:lineRule="atLeast"/>
        <w:outlineLvl w:val="1"/>
        <w:rPr>
          <w:rFonts w:eastAsia="仿宋_GB2312"/>
          <w:bCs/>
        </w:rPr>
      </w:pPr>
      <w:bookmarkStart w:id="58" w:name="_Toc18222"/>
      <w:r>
        <w:rPr>
          <w:rFonts w:hint="eastAsia" w:eastAsia="仿宋_GB2312"/>
          <w:bCs/>
        </w:rPr>
        <w:t>（八）估价原则</w:t>
      </w:r>
      <w:bookmarkEnd w:id="54"/>
      <w:bookmarkEnd w:id="55"/>
      <w:bookmarkEnd w:id="56"/>
      <w:bookmarkEnd w:id="57"/>
      <w:bookmarkEnd w:id="58"/>
    </w:p>
    <w:p>
      <w:pPr>
        <w:tabs>
          <w:tab w:val="left" w:pos="900"/>
        </w:tabs>
        <w:snapToGrid w:val="0"/>
        <w:spacing w:line="540" w:lineRule="atLeast"/>
        <w:ind w:left="539"/>
        <w:rPr>
          <w:rFonts w:ascii="仿宋_GB2312" w:eastAsia="仿宋_GB2312"/>
          <w:sz w:val="28"/>
          <w:szCs w:val="22"/>
        </w:rPr>
      </w:pPr>
      <w:bookmarkStart w:id="59" w:name="_Toc172481246"/>
      <w:bookmarkStart w:id="60" w:name="_Toc102185281"/>
      <w:bookmarkStart w:id="61" w:name="_Toc165264288"/>
      <w:bookmarkStart w:id="62" w:name="_Toc40186498"/>
      <w:r>
        <w:rPr>
          <w:rFonts w:hint="eastAsia" w:ascii="仿宋_GB2312" w:eastAsia="仿宋_GB2312"/>
          <w:sz w:val="28"/>
          <w:szCs w:val="22"/>
        </w:rPr>
        <w:t>拍卖评估房地产市场价值应遵循下列原则：</w:t>
      </w:r>
    </w:p>
    <w:p>
      <w:pPr>
        <w:tabs>
          <w:tab w:val="left" w:pos="900"/>
        </w:tabs>
        <w:snapToGrid w:val="0"/>
        <w:spacing w:line="540" w:lineRule="atLeast"/>
        <w:ind w:left="539"/>
        <w:rPr>
          <w:rFonts w:ascii="仿宋_GB2312" w:eastAsia="仿宋_GB2312"/>
          <w:sz w:val="28"/>
          <w:szCs w:val="22"/>
        </w:rPr>
      </w:pPr>
      <w:r>
        <w:rPr>
          <w:rFonts w:hint="eastAsia" w:ascii="仿宋_GB2312" w:eastAsia="仿宋_GB2312"/>
          <w:sz w:val="28"/>
          <w:szCs w:val="22"/>
        </w:rPr>
        <w:t>1.独立、客观、公正原则，要求房地产估价机构和注册房地产估价师站在中立的立场上评估出对各方估价利害关系人都是公平合理的价值或价格。</w:t>
      </w:r>
    </w:p>
    <w:p>
      <w:pPr>
        <w:tabs>
          <w:tab w:val="left" w:pos="900"/>
        </w:tabs>
        <w:snapToGrid w:val="0"/>
        <w:spacing w:line="540" w:lineRule="atLeast"/>
        <w:ind w:left="539"/>
        <w:rPr>
          <w:rFonts w:ascii="仿宋_GB2312" w:eastAsia="仿宋_GB2312"/>
          <w:sz w:val="28"/>
          <w:szCs w:val="22"/>
        </w:rPr>
      </w:pPr>
      <w:r>
        <w:rPr>
          <w:rFonts w:hint="eastAsia" w:ascii="仿宋_GB2312" w:eastAsia="仿宋_GB2312"/>
          <w:sz w:val="28"/>
          <w:szCs w:val="22"/>
        </w:rPr>
        <w:t>2.遵循合法原则，要求估价结果是在依法判定的估价对象状况下的价值或价格。</w:t>
      </w:r>
    </w:p>
    <w:p>
      <w:pPr>
        <w:tabs>
          <w:tab w:val="left" w:pos="900"/>
        </w:tabs>
        <w:snapToGrid w:val="0"/>
        <w:spacing w:line="540" w:lineRule="atLeast"/>
        <w:ind w:left="539"/>
        <w:rPr>
          <w:rFonts w:ascii="仿宋_GB2312" w:eastAsia="仿宋_GB2312"/>
          <w:sz w:val="28"/>
          <w:szCs w:val="22"/>
        </w:rPr>
      </w:pPr>
      <w:r>
        <w:rPr>
          <w:rFonts w:hint="eastAsia" w:ascii="仿宋_GB2312" w:eastAsia="仿宋_GB2312"/>
          <w:sz w:val="28"/>
          <w:szCs w:val="22"/>
        </w:rPr>
        <w:t>3.遵循最高最佳利用原则，要求估价结果是在估价对象最高最佳利用状况下的价值或价格。</w:t>
      </w:r>
    </w:p>
    <w:p>
      <w:pPr>
        <w:tabs>
          <w:tab w:val="left" w:pos="900"/>
        </w:tabs>
        <w:snapToGrid w:val="0"/>
        <w:spacing w:line="540" w:lineRule="atLeast"/>
        <w:ind w:left="539"/>
        <w:rPr>
          <w:rFonts w:ascii="仿宋_GB2312" w:eastAsia="仿宋_GB2312"/>
          <w:sz w:val="28"/>
          <w:szCs w:val="22"/>
        </w:rPr>
      </w:pPr>
      <w:r>
        <w:rPr>
          <w:rFonts w:hint="eastAsia" w:ascii="仿宋_GB2312" w:eastAsia="仿宋_GB2312"/>
          <w:sz w:val="28"/>
          <w:szCs w:val="22"/>
        </w:rPr>
        <w:t>4.遵循替代原则，要求估价结果不得无理偏离类似房地产在同等条件下的价值或价格。</w:t>
      </w:r>
    </w:p>
    <w:p>
      <w:pPr>
        <w:tabs>
          <w:tab w:val="left" w:pos="900"/>
        </w:tabs>
        <w:snapToGrid w:val="0"/>
        <w:spacing w:line="540" w:lineRule="atLeast"/>
        <w:ind w:left="565" w:leftChars="200" w:hanging="145" w:hangingChars="52"/>
        <w:rPr>
          <w:rFonts w:ascii="仿宋_GB2312" w:eastAsia="仿宋_GB2312"/>
          <w:sz w:val="28"/>
          <w:szCs w:val="22"/>
        </w:rPr>
      </w:pPr>
      <w:r>
        <w:rPr>
          <w:rFonts w:hint="eastAsia" w:ascii="仿宋_GB2312" w:eastAsia="仿宋_GB2312"/>
          <w:sz w:val="28"/>
          <w:szCs w:val="22"/>
        </w:rPr>
        <w:t xml:space="preserve"> 5.遵循价值日期原则，要求估价结果是在由估价目的决定的某个特定日期的价值或价格。</w:t>
      </w:r>
    </w:p>
    <w:p>
      <w:pPr>
        <w:pStyle w:val="13"/>
        <w:snapToGrid w:val="0"/>
        <w:spacing w:before="0" w:beforeLines="0" w:line="480" w:lineRule="exact"/>
        <w:outlineLvl w:val="1"/>
        <w:rPr>
          <w:rFonts w:eastAsia="仿宋_GB2312"/>
        </w:rPr>
      </w:pPr>
      <w:bookmarkStart w:id="63" w:name="_Toc23119"/>
      <w:r>
        <w:rPr>
          <w:rFonts w:hint="eastAsia" w:eastAsia="仿宋_GB2312"/>
        </w:rPr>
        <w:t>（九）估价方法</w:t>
      </w:r>
      <w:bookmarkEnd w:id="59"/>
      <w:bookmarkEnd w:id="60"/>
      <w:bookmarkEnd w:id="61"/>
      <w:bookmarkEnd w:id="62"/>
      <w:bookmarkEnd w:id="63"/>
    </w:p>
    <w:p>
      <w:pPr>
        <w:snapToGrid w:val="0"/>
        <w:spacing w:line="480" w:lineRule="exact"/>
        <w:ind w:firstLine="560" w:firstLineChars="200"/>
        <w:rPr>
          <w:rFonts w:eastAsia="仿宋_GB2312"/>
          <w:sz w:val="28"/>
          <w:szCs w:val="28"/>
        </w:rPr>
      </w:pPr>
      <w:bookmarkStart w:id="64" w:name="_Toc102185282"/>
      <w:bookmarkStart w:id="65" w:name="_Toc165264289"/>
      <w:bookmarkStart w:id="66" w:name="_Toc172481247"/>
      <w:bookmarkStart w:id="67" w:name="_Toc40186499"/>
      <w:r>
        <w:rPr>
          <w:rFonts w:hint="eastAsia" w:eastAsia="仿宋_GB2312"/>
          <w:sz w:val="28"/>
          <w:szCs w:val="28"/>
        </w:rPr>
        <w:t>估价对象为房地产，同一供求圈内同类房地产销售、转让交易比较频繁，宜采用比较法，通过比较法确定估价对象的公开市场价值。</w:t>
      </w:r>
    </w:p>
    <w:p>
      <w:pPr>
        <w:snapToGrid w:val="0"/>
        <w:spacing w:line="480" w:lineRule="exact"/>
        <w:ind w:firstLine="560" w:firstLineChars="200"/>
        <w:rPr>
          <w:rFonts w:eastAsia="仿宋_GB2312"/>
          <w:sz w:val="28"/>
          <w:szCs w:val="28"/>
        </w:rPr>
      </w:pPr>
      <w:r>
        <w:rPr>
          <w:rFonts w:hint="eastAsia" w:eastAsia="仿宋_GB2312"/>
          <w:sz w:val="28"/>
          <w:szCs w:val="28"/>
        </w:rPr>
        <w:t>比较法，是将估价对象房地产与在价值时点近期已发生了交易的类似房地产进行比较对照，对这些类似房地产的已知价格做适当调整，以此推算估价对象客观合理价格的估价方法。比较法基本公式：评估对象价格＝可比实例成交价格×交易情况修正系数×市场状况调整系数×房地产状况修正系数</w:t>
      </w:r>
    </w:p>
    <w:p>
      <w:pPr>
        <w:pStyle w:val="13"/>
        <w:snapToGrid w:val="0"/>
        <w:spacing w:before="0" w:beforeLines="0" w:line="560" w:lineRule="exact"/>
        <w:outlineLvl w:val="1"/>
        <w:rPr>
          <w:rFonts w:eastAsia="仿宋_GB2312"/>
        </w:rPr>
      </w:pPr>
      <w:r>
        <w:rPr>
          <w:rFonts w:hint="eastAsia" w:eastAsia="仿宋_GB2312"/>
        </w:rPr>
        <w:t>（十）</w:t>
      </w:r>
      <w:bookmarkStart w:id="68" w:name="_Toc8606"/>
      <w:r>
        <w:rPr>
          <w:rFonts w:hint="eastAsia" w:eastAsia="仿宋_GB2312"/>
        </w:rPr>
        <w:t>估价结果</w:t>
      </w:r>
      <w:bookmarkEnd w:id="64"/>
      <w:bookmarkEnd w:id="65"/>
      <w:bookmarkEnd w:id="66"/>
      <w:bookmarkEnd w:id="67"/>
      <w:bookmarkEnd w:id="68"/>
      <w:bookmarkStart w:id="69" w:name="_Toc40186500"/>
    </w:p>
    <w:p>
      <w:pPr>
        <w:snapToGrid w:val="0"/>
        <w:spacing w:line="480" w:lineRule="exact"/>
        <w:ind w:firstLine="560" w:firstLineChars="200"/>
        <w:rPr>
          <w:rFonts w:eastAsia="仿宋_GB2312"/>
          <w:sz w:val="28"/>
          <w:szCs w:val="28"/>
        </w:rPr>
      </w:pPr>
      <w:bookmarkStart w:id="70" w:name="_Toc102185283"/>
      <w:bookmarkStart w:id="71" w:name="_Toc165264290"/>
      <w:bookmarkStart w:id="72" w:name="_Toc172481248"/>
      <w:r>
        <w:rPr>
          <w:rFonts w:hint="eastAsia" w:eastAsia="仿宋_GB2312"/>
          <w:sz w:val="28"/>
          <w:szCs w:val="28"/>
        </w:rPr>
        <w:t>估价人员根据估价目的，遵循估价原则，按照估价程序，在认真分析现有资料的基础上，采用科学的估价方法，经过周密准确的测算，并结合估价经验及对影响房地产价格因素的分析、判断，确定估价对象于价值时点土地使用权国有出让条件下的市场价值：</w:t>
      </w:r>
    </w:p>
    <w:p>
      <w:pPr>
        <w:spacing w:line="520" w:lineRule="exact"/>
        <w:ind w:firstLine="482" w:firstLineChars="200"/>
        <w:rPr>
          <w:rFonts w:ascii="华文楷体" w:hAnsi="华文楷体" w:eastAsia="华文楷体" w:cs="华文楷体"/>
          <w:spacing w:val="-6"/>
          <w:szCs w:val="21"/>
        </w:rPr>
      </w:pPr>
      <w:r>
        <w:rPr>
          <w:rFonts w:hint="eastAsia" w:eastAsia="仿宋_GB2312"/>
          <w:b/>
          <w:sz w:val="24"/>
          <w:szCs w:val="24"/>
        </w:rPr>
        <w:t xml:space="preserve"> </w:t>
      </w:r>
      <w:r>
        <w:rPr>
          <w:rFonts w:hint="eastAsia" w:eastAsia="仿宋_GB2312"/>
          <w:b/>
          <w:bCs/>
          <w:sz w:val="28"/>
          <w:szCs w:val="28"/>
        </w:rPr>
        <w:t>总价:人民币壹拾伍万元整（</w:t>
      </w:r>
      <w:r>
        <w:rPr>
          <w:rFonts w:hint="eastAsia" w:eastAsia="仿宋_GB2312"/>
          <w:b/>
          <w:bCs/>
          <w:sz w:val="28"/>
          <w:szCs w:val="28"/>
        </w:rPr>
        <w:sym w:font="等线 Light" w:char="00A5"/>
      </w:r>
      <w:r>
        <w:rPr>
          <w:rFonts w:hint="eastAsia" w:eastAsia="仿宋_GB2312"/>
          <w:b/>
          <w:bCs/>
          <w:sz w:val="28"/>
          <w:szCs w:val="28"/>
        </w:rPr>
        <w:t>150,000.00元）</w:t>
      </w:r>
      <w:r>
        <w:rPr>
          <w:rFonts w:hint="eastAsia" w:ascii="华文楷体" w:hAnsi="华文楷体" w:eastAsia="华文楷体" w:cs="华文楷体"/>
          <w:spacing w:val="-6"/>
          <w:szCs w:val="21"/>
        </w:rPr>
        <w:t>（详见估价结果一览表）。</w:t>
      </w:r>
      <w:bookmarkStart w:id="73" w:name="_Toc28559"/>
    </w:p>
    <w:p>
      <w:pPr>
        <w:pStyle w:val="13"/>
        <w:tabs>
          <w:tab w:val="left" w:pos="6321"/>
        </w:tabs>
        <w:spacing w:before="93" w:beforeLines="30" w:after="312" w:afterLines="100" w:line="520" w:lineRule="exact"/>
        <w:outlineLvl w:val="1"/>
        <w:rPr>
          <w:rFonts w:ascii="华文楷体" w:hAnsi="华文楷体" w:eastAsia="华文楷体" w:cs="华文楷体"/>
        </w:rPr>
      </w:pPr>
      <w:r>
        <w:rPr>
          <w:rFonts w:hint="eastAsia" w:eastAsia="仿宋_GB2312"/>
        </w:rPr>
        <w:t>（十一）</w:t>
      </w:r>
      <w:bookmarkEnd w:id="69"/>
      <w:bookmarkEnd w:id="70"/>
      <w:bookmarkEnd w:id="71"/>
      <w:bookmarkEnd w:id="72"/>
      <w:bookmarkEnd w:id="73"/>
      <w:r>
        <w:rPr>
          <w:rFonts w:hint="eastAsia" w:eastAsia="仿宋_GB2312"/>
        </w:rPr>
        <w:t>参加估价的注册房地产估价师</w:t>
      </w:r>
      <w:r>
        <w:rPr>
          <w:rFonts w:hint="eastAsia" w:ascii="华文楷体" w:hAnsi="华文楷体" w:eastAsia="华文楷体" w:cs="华文楷体"/>
        </w:rPr>
        <w:tab/>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114"/>
        <w:gridCol w:w="2105"/>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115" w:type="dxa"/>
            <w:vAlign w:val="center"/>
          </w:tcPr>
          <w:p>
            <w:pPr>
              <w:spacing w:before="30" w:after="30" w:line="480" w:lineRule="exact"/>
              <w:ind w:right="28"/>
              <w:jc w:val="center"/>
              <w:rPr>
                <w:rFonts w:eastAsia="仿宋_GB2312"/>
                <w:b/>
                <w:color w:val="000000"/>
                <w:sz w:val="28"/>
                <w:szCs w:val="28"/>
              </w:rPr>
            </w:pPr>
            <w:bookmarkStart w:id="74" w:name="_Toc172481249"/>
            <w:bookmarkStart w:id="75" w:name="_Toc102185284"/>
            <w:bookmarkStart w:id="76" w:name="_Toc165264291"/>
            <w:bookmarkStart w:id="77" w:name="_Toc40186501"/>
            <w:r>
              <w:rPr>
                <w:rFonts w:hint="eastAsia" w:eastAsia="仿宋_GB2312"/>
                <w:b/>
                <w:color w:val="000000"/>
                <w:sz w:val="28"/>
                <w:szCs w:val="28"/>
              </w:rPr>
              <w:t>姓名</w:t>
            </w:r>
          </w:p>
        </w:tc>
        <w:tc>
          <w:tcPr>
            <w:tcW w:w="2114" w:type="dxa"/>
            <w:vAlign w:val="center"/>
          </w:tcPr>
          <w:p>
            <w:pPr>
              <w:spacing w:before="30" w:after="30" w:line="480" w:lineRule="exact"/>
              <w:ind w:right="28"/>
              <w:jc w:val="center"/>
              <w:rPr>
                <w:rFonts w:eastAsia="仿宋_GB2312"/>
                <w:b/>
                <w:color w:val="000000"/>
                <w:sz w:val="28"/>
                <w:szCs w:val="28"/>
              </w:rPr>
            </w:pPr>
            <w:r>
              <w:rPr>
                <w:rFonts w:hint="eastAsia" w:eastAsia="仿宋_GB2312"/>
                <w:b/>
                <w:color w:val="000000"/>
                <w:sz w:val="28"/>
                <w:szCs w:val="28"/>
              </w:rPr>
              <w:t>注册号</w:t>
            </w:r>
          </w:p>
        </w:tc>
        <w:tc>
          <w:tcPr>
            <w:tcW w:w="2105" w:type="dxa"/>
            <w:vAlign w:val="center"/>
          </w:tcPr>
          <w:p>
            <w:pPr>
              <w:spacing w:before="30" w:after="30" w:line="480" w:lineRule="exact"/>
              <w:ind w:right="28"/>
              <w:jc w:val="center"/>
              <w:rPr>
                <w:rFonts w:eastAsia="仿宋_GB2312"/>
                <w:b/>
                <w:color w:val="000000"/>
                <w:sz w:val="28"/>
                <w:szCs w:val="28"/>
              </w:rPr>
            </w:pPr>
            <w:r>
              <w:rPr>
                <w:rFonts w:hint="eastAsia" w:eastAsia="仿宋_GB2312"/>
                <w:b/>
                <w:color w:val="000000"/>
                <w:sz w:val="28"/>
                <w:szCs w:val="28"/>
              </w:rPr>
              <w:t>签名</w:t>
            </w:r>
          </w:p>
        </w:tc>
        <w:tc>
          <w:tcPr>
            <w:tcW w:w="2424" w:type="dxa"/>
            <w:vAlign w:val="center"/>
          </w:tcPr>
          <w:p>
            <w:pPr>
              <w:spacing w:before="30" w:after="30" w:line="480" w:lineRule="exact"/>
              <w:ind w:right="28"/>
              <w:jc w:val="center"/>
              <w:rPr>
                <w:rFonts w:eastAsia="仿宋_GB2312"/>
                <w:b/>
                <w:color w:val="000000"/>
                <w:sz w:val="28"/>
                <w:szCs w:val="28"/>
              </w:rPr>
            </w:pPr>
            <w:r>
              <w:rPr>
                <w:rFonts w:hint="eastAsia" w:eastAsia="仿宋_GB2312"/>
                <w:b/>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15" w:type="dxa"/>
            <w:vAlign w:val="center"/>
          </w:tcPr>
          <w:p>
            <w:pPr>
              <w:spacing w:before="30" w:after="30" w:line="480" w:lineRule="exact"/>
              <w:ind w:right="28"/>
              <w:jc w:val="center"/>
              <w:rPr>
                <w:rFonts w:eastAsia="仿宋_GB2312"/>
                <w:bCs/>
                <w:color w:val="000000"/>
                <w:sz w:val="28"/>
                <w:szCs w:val="28"/>
              </w:rPr>
            </w:pPr>
            <w:r>
              <w:rPr>
                <w:rFonts w:hint="eastAsia" w:eastAsia="仿宋_GB2312"/>
                <w:bCs/>
                <w:color w:val="000000"/>
                <w:sz w:val="28"/>
                <w:szCs w:val="28"/>
              </w:rPr>
              <w:t>郑敏</w:t>
            </w:r>
          </w:p>
        </w:tc>
        <w:tc>
          <w:tcPr>
            <w:tcW w:w="2114" w:type="dxa"/>
            <w:vAlign w:val="center"/>
          </w:tcPr>
          <w:p>
            <w:pPr>
              <w:spacing w:before="30" w:after="30" w:line="480" w:lineRule="exact"/>
              <w:ind w:right="28"/>
              <w:jc w:val="center"/>
              <w:rPr>
                <w:rFonts w:eastAsia="仿宋_GB2312"/>
                <w:bCs/>
                <w:color w:val="000000"/>
                <w:sz w:val="28"/>
                <w:szCs w:val="28"/>
              </w:rPr>
            </w:pPr>
            <w:r>
              <w:rPr>
                <w:rFonts w:hint="eastAsia" w:eastAsia="仿宋_GB2312"/>
                <w:bCs/>
                <w:color w:val="000000"/>
                <w:sz w:val="28"/>
                <w:szCs w:val="28"/>
              </w:rPr>
              <w:t>4420000164</w:t>
            </w:r>
          </w:p>
        </w:tc>
        <w:tc>
          <w:tcPr>
            <w:tcW w:w="2105" w:type="dxa"/>
            <w:vAlign w:val="center"/>
          </w:tcPr>
          <w:p>
            <w:pPr>
              <w:spacing w:before="30" w:after="30" w:line="480" w:lineRule="exact"/>
              <w:ind w:right="28"/>
              <w:jc w:val="center"/>
              <w:rPr>
                <w:rFonts w:eastAsia="仿宋_GB2312"/>
                <w:bCs/>
                <w:color w:val="000000"/>
                <w:sz w:val="28"/>
                <w:szCs w:val="28"/>
              </w:rPr>
            </w:pPr>
          </w:p>
        </w:tc>
        <w:tc>
          <w:tcPr>
            <w:tcW w:w="2424" w:type="dxa"/>
            <w:vAlign w:val="center"/>
          </w:tcPr>
          <w:p>
            <w:pPr>
              <w:spacing w:before="30" w:after="30" w:line="480" w:lineRule="exact"/>
              <w:ind w:right="28"/>
              <w:jc w:val="center"/>
              <w:rPr>
                <w:rFonts w:eastAsia="仿宋_GB2312"/>
                <w:bCs/>
                <w:color w:val="000000"/>
                <w:sz w:val="28"/>
                <w:szCs w:val="28"/>
              </w:rPr>
            </w:pPr>
            <w:r>
              <w:rPr>
                <w:rFonts w:hint="eastAsia" w:eastAsia="仿宋_GB2312"/>
                <w:bCs/>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115" w:type="dxa"/>
            <w:vAlign w:val="center"/>
          </w:tcPr>
          <w:p>
            <w:pPr>
              <w:spacing w:before="30" w:after="30" w:line="480" w:lineRule="exact"/>
              <w:ind w:right="28"/>
              <w:jc w:val="center"/>
              <w:rPr>
                <w:rFonts w:eastAsia="仿宋_GB2312"/>
                <w:bCs/>
                <w:color w:val="000000"/>
                <w:sz w:val="28"/>
                <w:szCs w:val="28"/>
              </w:rPr>
            </w:pPr>
            <w:r>
              <w:rPr>
                <w:rFonts w:hint="eastAsia" w:eastAsia="仿宋_GB2312"/>
                <w:bCs/>
                <w:color w:val="000000"/>
                <w:sz w:val="28"/>
                <w:szCs w:val="28"/>
              </w:rPr>
              <w:t>武守君</w:t>
            </w:r>
          </w:p>
        </w:tc>
        <w:tc>
          <w:tcPr>
            <w:tcW w:w="2114" w:type="dxa"/>
            <w:vAlign w:val="center"/>
          </w:tcPr>
          <w:p>
            <w:pPr>
              <w:spacing w:before="30" w:after="30" w:line="480" w:lineRule="exact"/>
              <w:ind w:right="28"/>
              <w:jc w:val="center"/>
              <w:rPr>
                <w:rFonts w:eastAsia="仿宋_GB2312"/>
                <w:bCs/>
                <w:color w:val="000000"/>
                <w:sz w:val="28"/>
                <w:szCs w:val="28"/>
              </w:rPr>
            </w:pPr>
            <w:r>
              <w:rPr>
                <w:rFonts w:hint="eastAsia" w:eastAsia="仿宋_GB2312"/>
                <w:bCs/>
                <w:color w:val="000000"/>
                <w:sz w:val="28"/>
                <w:szCs w:val="28"/>
              </w:rPr>
              <w:t>2319970029</w:t>
            </w:r>
          </w:p>
        </w:tc>
        <w:tc>
          <w:tcPr>
            <w:tcW w:w="2105" w:type="dxa"/>
            <w:vAlign w:val="center"/>
          </w:tcPr>
          <w:p>
            <w:pPr>
              <w:spacing w:before="30" w:after="30" w:line="480" w:lineRule="exact"/>
              <w:ind w:right="28"/>
              <w:jc w:val="center"/>
              <w:rPr>
                <w:rFonts w:eastAsia="仿宋_GB2312"/>
                <w:bCs/>
                <w:color w:val="000000"/>
                <w:sz w:val="28"/>
                <w:szCs w:val="28"/>
              </w:rPr>
            </w:pPr>
          </w:p>
        </w:tc>
        <w:tc>
          <w:tcPr>
            <w:tcW w:w="2424" w:type="dxa"/>
            <w:vAlign w:val="center"/>
          </w:tcPr>
          <w:p>
            <w:pPr>
              <w:spacing w:before="30" w:after="30" w:line="480" w:lineRule="exact"/>
              <w:ind w:right="28"/>
              <w:jc w:val="center"/>
              <w:rPr>
                <w:rFonts w:eastAsia="仿宋_GB2312"/>
                <w:bCs/>
                <w:color w:val="000000"/>
                <w:sz w:val="28"/>
                <w:szCs w:val="28"/>
              </w:rPr>
            </w:pPr>
            <w:r>
              <w:rPr>
                <w:rFonts w:hint="eastAsia" w:eastAsia="仿宋_GB2312"/>
                <w:bCs/>
                <w:color w:val="000000"/>
                <w:sz w:val="28"/>
                <w:szCs w:val="28"/>
              </w:rPr>
              <w:t xml:space="preserve">    年  月  日</w:t>
            </w:r>
          </w:p>
        </w:tc>
      </w:tr>
      <w:bookmarkEnd w:id="74"/>
    </w:tbl>
    <w:p>
      <w:pPr>
        <w:pStyle w:val="13"/>
        <w:spacing w:line="700" w:lineRule="exact"/>
        <w:outlineLvl w:val="1"/>
        <w:rPr>
          <w:rFonts w:ascii="华文楷体" w:hAnsi="华文楷体" w:eastAsia="华文楷体" w:cs="华文楷体"/>
        </w:rPr>
      </w:pPr>
      <w:bookmarkStart w:id="78" w:name="_Toc172481250"/>
      <w:bookmarkStart w:id="79" w:name="_Toc11189"/>
      <w:r>
        <w:rPr>
          <w:rFonts w:hint="eastAsia" w:ascii="华文楷体" w:hAnsi="华文楷体" w:eastAsia="华文楷体" w:cs="华文楷体"/>
        </w:rPr>
        <w:t>（十</w:t>
      </w:r>
      <w:r>
        <w:rPr>
          <w:rFonts w:hint="eastAsia" w:ascii="华文楷体" w:hAnsi="华文楷体" w:eastAsia="华文楷体" w:cs="华文楷体"/>
          <w:color w:val="000000"/>
          <w:kern w:val="0"/>
        </w:rPr>
        <w:t>二</w:t>
      </w:r>
      <w:r>
        <w:rPr>
          <w:rFonts w:hint="eastAsia" w:ascii="华文楷体" w:hAnsi="华文楷体" w:eastAsia="华文楷体" w:cs="华文楷体"/>
        </w:rPr>
        <w:t xml:space="preserve">）估价现场勘查日期    </w:t>
      </w:r>
    </w:p>
    <w:p>
      <w:pPr>
        <w:spacing w:line="700" w:lineRule="exact"/>
        <w:rPr>
          <w:rFonts w:ascii="华文楷体" w:hAnsi="华文楷体" w:eastAsia="华文楷体" w:cs="华文楷体"/>
          <w:sz w:val="28"/>
          <w:szCs w:val="28"/>
        </w:rPr>
      </w:pPr>
      <w:r>
        <w:rPr>
          <w:rFonts w:hint="eastAsia" w:ascii="华文楷体" w:hAnsi="华文楷体" w:eastAsia="华文楷体" w:cs="华文楷体"/>
          <w:sz w:val="28"/>
          <w:szCs w:val="28"/>
        </w:rPr>
        <w:t xml:space="preserve"> 2022年3月11日</w:t>
      </w:r>
    </w:p>
    <w:p>
      <w:pPr>
        <w:spacing w:line="700" w:lineRule="exact"/>
        <w:jc w:val="left"/>
        <w:outlineLvl w:val="1"/>
        <w:rPr>
          <w:rFonts w:ascii="华文楷体" w:hAnsi="华文楷体" w:eastAsia="华文楷体" w:cs="华文楷体"/>
          <w:b/>
          <w:color w:val="000000"/>
          <w:kern w:val="0"/>
          <w:sz w:val="28"/>
          <w:szCs w:val="28"/>
        </w:rPr>
      </w:pPr>
      <w:bookmarkStart w:id="80" w:name="_Toc26706"/>
      <w:r>
        <w:rPr>
          <w:rFonts w:hint="eastAsia" w:ascii="华文楷体" w:hAnsi="华文楷体" w:eastAsia="华文楷体" w:cs="华文楷体"/>
          <w:b/>
          <w:color w:val="000000"/>
          <w:kern w:val="0"/>
          <w:sz w:val="28"/>
          <w:szCs w:val="28"/>
        </w:rPr>
        <w:t>（十三）估价作业日期</w:t>
      </w:r>
      <w:bookmarkEnd w:id="80"/>
    </w:p>
    <w:p>
      <w:pPr>
        <w:spacing w:line="700" w:lineRule="exact"/>
        <w:rPr>
          <w:rFonts w:ascii="华文楷体" w:hAnsi="华文楷体" w:eastAsia="华文楷体" w:cs="华文楷体"/>
          <w:sz w:val="28"/>
          <w:szCs w:val="28"/>
        </w:rPr>
      </w:pPr>
      <w:r>
        <w:rPr>
          <w:rFonts w:hint="eastAsia" w:ascii="华文楷体" w:hAnsi="华文楷体" w:eastAsia="华文楷体" w:cs="华文楷体"/>
          <w:sz w:val="28"/>
          <w:szCs w:val="28"/>
        </w:rPr>
        <w:t>本次估价的作业日期为202</w:t>
      </w:r>
      <w:r>
        <w:rPr>
          <w:rFonts w:ascii="华文楷体" w:hAnsi="华文楷体" w:eastAsia="华文楷体" w:cs="华文楷体"/>
          <w:sz w:val="28"/>
          <w:szCs w:val="28"/>
        </w:rPr>
        <w:t>1</w:t>
      </w:r>
      <w:r>
        <w:rPr>
          <w:rFonts w:hint="eastAsia" w:ascii="华文楷体" w:hAnsi="华文楷体" w:eastAsia="华文楷体" w:cs="华文楷体"/>
          <w:sz w:val="28"/>
          <w:szCs w:val="28"/>
        </w:rPr>
        <w:t>年</w:t>
      </w:r>
      <w:r>
        <w:rPr>
          <w:rFonts w:ascii="华文楷体" w:hAnsi="华文楷体" w:eastAsia="华文楷体" w:cs="华文楷体"/>
          <w:sz w:val="28"/>
          <w:szCs w:val="28"/>
        </w:rPr>
        <w:t>11</w:t>
      </w:r>
      <w:r>
        <w:rPr>
          <w:rFonts w:hint="eastAsia" w:ascii="华文楷体" w:hAnsi="华文楷体" w:eastAsia="华文楷体" w:cs="华文楷体"/>
          <w:sz w:val="28"/>
          <w:szCs w:val="28"/>
        </w:rPr>
        <w:t>月</w:t>
      </w:r>
      <w:r>
        <w:rPr>
          <w:rFonts w:ascii="华文楷体" w:hAnsi="华文楷体" w:eastAsia="华文楷体" w:cs="华文楷体"/>
          <w:sz w:val="28"/>
          <w:szCs w:val="28"/>
        </w:rPr>
        <w:t>23</w:t>
      </w:r>
      <w:r>
        <w:rPr>
          <w:rFonts w:hint="eastAsia" w:ascii="华文楷体" w:hAnsi="华文楷体" w:eastAsia="华文楷体" w:cs="华文楷体"/>
          <w:sz w:val="28"/>
          <w:szCs w:val="28"/>
        </w:rPr>
        <w:t>日至2022年3月12日</w:t>
      </w:r>
    </w:p>
    <w:bookmarkEnd w:id="75"/>
    <w:bookmarkEnd w:id="76"/>
    <w:bookmarkEnd w:id="77"/>
    <w:bookmarkEnd w:id="78"/>
    <w:bookmarkEnd w:id="79"/>
    <w:p>
      <w:pPr>
        <w:spacing w:line="700" w:lineRule="exact"/>
        <w:ind w:right="-6"/>
        <w:jc w:val="center"/>
        <w:rPr>
          <w:rFonts w:eastAsia="黑体"/>
          <w:sz w:val="28"/>
          <w:szCs w:val="28"/>
        </w:rPr>
      </w:pPr>
    </w:p>
    <w:p>
      <w:pPr>
        <w:spacing w:line="360" w:lineRule="auto"/>
        <w:ind w:right="-6"/>
        <w:jc w:val="center"/>
        <w:rPr>
          <w:rFonts w:ascii="华文楷体" w:hAnsi="华文楷体" w:eastAsia="华文楷体" w:cs="华文楷体"/>
          <w:sz w:val="28"/>
          <w:szCs w:val="28"/>
        </w:rPr>
      </w:pPr>
    </w:p>
    <w:p>
      <w:pPr>
        <w:spacing w:line="360" w:lineRule="auto"/>
        <w:ind w:right="-6"/>
        <w:jc w:val="right"/>
        <w:rPr>
          <w:rFonts w:ascii="华文楷体" w:hAnsi="华文楷体" w:eastAsia="华文楷体" w:cs="华文楷体"/>
          <w:b/>
          <w:bCs/>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b/>
          <w:bCs/>
          <w:sz w:val="28"/>
          <w:szCs w:val="28"/>
        </w:rPr>
        <w:t>广东浩宇房地产土地资产评估有限公司</w:t>
      </w:r>
    </w:p>
    <w:p>
      <w:pPr>
        <w:spacing w:before="31" w:beforeLines="10" w:after="31" w:afterLines="10" w:line="300" w:lineRule="exact"/>
        <w:jc w:val="right"/>
        <w:rPr>
          <w:rFonts w:ascii="华文楷体" w:hAnsi="华文楷体" w:eastAsia="华文楷体" w:cs="华文楷体"/>
          <w:b/>
          <w:bCs/>
          <w:sz w:val="32"/>
          <w:szCs w:val="32"/>
        </w:rPr>
      </w:pPr>
      <w:r>
        <w:rPr>
          <w:rFonts w:hint="eastAsia" w:ascii="华文楷体" w:hAnsi="华文楷体" w:eastAsia="华文楷体" w:cs="华文楷体"/>
          <w:b/>
          <w:bCs/>
          <w:color w:val="000000"/>
          <w:sz w:val="28"/>
          <w:szCs w:val="28"/>
        </w:rPr>
        <w:t xml:space="preserve">  二〇二二年三月十二日</w:t>
      </w: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pStyle w:val="2"/>
        <w:spacing w:before="0" w:after="0" w:line="400" w:lineRule="exact"/>
        <w:jc w:val="center"/>
        <w:rPr>
          <w:rFonts w:eastAsia="黑体"/>
          <w:bCs/>
          <w:sz w:val="36"/>
        </w:rPr>
      </w:pPr>
    </w:p>
    <w:p>
      <w:pPr>
        <w:rPr>
          <w:rFonts w:eastAsia="黑体"/>
          <w:bCs/>
          <w:sz w:val="36"/>
        </w:rPr>
      </w:pPr>
    </w:p>
    <w:p>
      <w:pPr>
        <w:rPr>
          <w:rFonts w:eastAsia="黑体"/>
          <w:bCs/>
          <w:sz w:val="36"/>
        </w:rPr>
      </w:pPr>
    </w:p>
    <w:p>
      <w:pPr>
        <w:rPr>
          <w:rFonts w:eastAsia="黑体"/>
          <w:bCs/>
          <w:sz w:val="36"/>
        </w:rPr>
      </w:pPr>
    </w:p>
    <w:p>
      <w:pPr>
        <w:pStyle w:val="2"/>
        <w:spacing w:before="0" w:after="0" w:line="400" w:lineRule="exact"/>
        <w:jc w:val="center"/>
        <w:rPr>
          <w:rFonts w:eastAsia="黑体"/>
          <w:bCs/>
          <w:sz w:val="36"/>
        </w:rPr>
      </w:pPr>
    </w:p>
    <w:p/>
    <w:p/>
    <w:p/>
    <w:p>
      <w:pPr>
        <w:spacing w:before="312" w:beforeLines="100" w:line="700" w:lineRule="exact"/>
        <w:ind w:firstLine="1446" w:firstLineChars="400"/>
        <w:jc w:val="both"/>
        <w:outlineLvl w:val="0"/>
        <w:rPr>
          <w:rFonts w:eastAsia="仿宋_GB2312"/>
          <w:b/>
          <w:sz w:val="36"/>
          <w:szCs w:val="22"/>
        </w:rPr>
      </w:pPr>
      <w:r>
        <w:rPr>
          <w:rFonts w:hint="eastAsia" w:eastAsia="仿宋_GB2312"/>
          <w:b/>
          <w:sz w:val="36"/>
          <w:szCs w:val="22"/>
        </w:rPr>
        <w:t>五、关于评估报告使用的特别提示</w:t>
      </w:r>
    </w:p>
    <w:p>
      <w:pPr>
        <w:spacing w:after="93" w:afterLines="30" w:line="320" w:lineRule="exact"/>
        <w:rPr>
          <w:rFonts w:ascii="华文楷体" w:hAnsi="华文楷体" w:eastAsia="华文楷体" w:cs="华文楷体"/>
          <w:b/>
          <w:bCs/>
          <w:sz w:val="28"/>
          <w:szCs w:val="28"/>
        </w:rPr>
      </w:pPr>
    </w:p>
    <w:p>
      <w:pPr>
        <w:spacing w:line="520" w:lineRule="exact"/>
        <w:rPr>
          <w:rFonts w:eastAsia="仿宋_GB2312"/>
          <w:b/>
          <w:bCs/>
          <w:sz w:val="28"/>
          <w:szCs w:val="28"/>
        </w:rPr>
      </w:pPr>
      <w:r>
        <w:rPr>
          <w:rFonts w:hint="eastAsia" w:eastAsia="仿宋_GB2312"/>
          <w:b/>
          <w:bCs/>
          <w:sz w:val="28"/>
          <w:szCs w:val="28"/>
        </w:rPr>
        <w:t>评估报告和评估结果使用的特别提示：</w:t>
      </w:r>
    </w:p>
    <w:p>
      <w:pPr>
        <w:spacing w:line="520" w:lineRule="exact"/>
        <w:ind w:firstLine="560" w:firstLineChars="200"/>
        <w:rPr>
          <w:rFonts w:eastAsia="仿宋_GB2312"/>
          <w:sz w:val="28"/>
          <w:szCs w:val="28"/>
        </w:rPr>
      </w:pPr>
      <w:r>
        <w:rPr>
          <w:rFonts w:hint="eastAsia" w:eastAsia="仿宋_GB2312"/>
          <w:sz w:val="28"/>
          <w:szCs w:val="28"/>
        </w:rPr>
        <w:t>（一）应当按照法律规定和评估报告载明的用途、使用人、使用期限等使用范围使用评估报告。否则，房地产估价机构和注册房地产估价师依法不承担责任；</w:t>
      </w:r>
    </w:p>
    <w:p>
      <w:pPr>
        <w:spacing w:line="520" w:lineRule="exact"/>
        <w:ind w:firstLine="560" w:firstLineChars="200"/>
        <w:rPr>
          <w:rFonts w:eastAsia="仿宋_GB2312"/>
          <w:sz w:val="28"/>
          <w:szCs w:val="28"/>
        </w:rPr>
      </w:pPr>
      <w:r>
        <w:rPr>
          <w:rFonts w:hint="eastAsia" w:eastAsia="仿宋_GB2312"/>
          <w:sz w:val="28"/>
          <w:szCs w:val="28"/>
        </w:rPr>
        <w:t>（二）评估结果仅为人民法院确定财产处置参考价服务，不是评估对象处置可实现的成交价格，也不应当被视为对评估对象处置成交价格的保证；</w:t>
      </w:r>
    </w:p>
    <w:p>
      <w:pPr>
        <w:spacing w:line="520" w:lineRule="exact"/>
        <w:ind w:firstLine="560" w:firstLineChars="200"/>
        <w:rPr>
          <w:rFonts w:eastAsia="仿宋_GB2312"/>
          <w:sz w:val="28"/>
          <w:szCs w:val="28"/>
        </w:rPr>
      </w:pPr>
      <w:r>
        <w:rPr>
          <w:rFonts w:hint="eastAsia" w:eastAsia="仿宋_GB2312"/>
          <w:sz w:val="28"/>
          <w:szCs w:val="28"/>
        </w:rPr>
        <w:t>（三）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520" w:lineRule="exact"/>
        <w:ind w:firstLine="560" w:firstLineChars="200"/>
        <w:rPr>
          <w:rFonts w:eastAsia="仿宋_GB2312"/>
          <w:sz w:val="28"/>
          <w:szCs w:val="28"/>
        </w:rPr>
      </w:pPr>
      <w:r>
        <w:rPr>
          <w:rFonts w:hint="eastAsia" w:eastAsia="仿宋_GB2312"/>
          <w:sz w:val="28"/>
          <w:szCs w:val="28"/>
        </w:rPr>
        <w:t>（四）在评估报告使用期限或者评估结果有效期内，评估报告或者评估结果未使用之前，如果评估对象状况或者房地产市场状况发生明显变化的，评估结果应当进行相应调整后才可使用；</w:t>
      </w:r>
    </w:p>
    <w:p>
      <w:pPr>
        <w:spacing w:line="520" w:lineRule="exact"/>
        <w:ind w:firstLine="560" w:firstLineChars="200"/>
        <w:rPr>
          <w:rFonts w:eastAsia="仿宋_GB2312"/>
          <w:sz w:val="28"/>
          <w:szCs w:val="28"/>
        </w:rPr>
      </w:pPr>
      <w:r>
        <w:rPr>
          <w:rFonts w:hint="eastAsia" w:eastAsia="仿宋_GB2312"/>
          <w:sz w:val="28"/>
          <w:szCs w:val="28"/>
        </w:rPr>
        <w:t>（五）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520" w:lineRule="exact"/>
        <w:ind w:firstLine="560" w:firstLineChars="200"/>
        <w:rPr>
          <w:rFonts w:eastAsia="仿宋_GB2312"/>
          <w:sz w:val="28"/>
          <w:szCs w:val="28"/>
        </w:rPr>
      </w:pPr>
    </w:p>
    <w:p>
      <w:pPr>
        <w:spacing w:line="520" w:lineRule="exact"/>
        <w:ind w:firstLine="560" w:firstLineChars="200"/>
        <w:rPr>
          <w:rFonts w:eastAsia="仿宋_GB2312"/>
          <w:sz w:val="28"/>
          <w:szCs w:val="28"/>
        </w:rPr>
      </w:pPr>
    </w:p>
    <w:p>
      <w:pPr>
        <w:spacing w:line="520" w:lineRule="exact"/>
        <w:ind w:firstLine="560" w:firstLineChars="200"/>
        <w:rPr>
          <w:rFonts w:eastAsia="仿宋_GB2312"/>
          <w:sz w:val="28"/>
          <w:szCs w:val="28"/>
        </w:rPr>
      </w:pPr>
    </w:p>
    <w:p>
      <w:pPr>
        <w:spacing w:line="520" w:lineRule="exact"/>
        <w:ind w:firstLine="560" w:firstLineChars="200"/>
        <w:rPr>
          <w:rFonts w:eastAsia="仿宋_GB2312"/>
          <w:sz w:val="28"/>
          <w:szCs w:val="28"/>
        </w:rPr>
      </w:pPr>
    </w:p>
    <w:p>
      <w:pPr>
        <w:spacing w:line="520" w:lineRule="exact"/>
        <w:ind w:firstLine="560" w:firstLineChars="200"/>
        <w:rPr>
          <w:rFonts w:eastAsia="仿宋_GB2312"/>
          <w:sz w:val="28"/>
          <w:szCs w:val="28"/>
        </w:rPr>
      </w:pPr>
    </w:p>
    <w:p>
      <w:pPr>
        <w:spacing w:line="520" w:lineRule="exact"/>
        <w:ind w:firstLine="560" w:firstLineChars="200"/>
        <w:rPr>
          <w:rFonts w:eastAsia="仿宋_GB2312"/>
          <w:sz w:val="28"/>
          <w:szCs w:val="28"/>
        </w:rPr>
      </w:pPr>
    </w:p>
    <w:p>
      <w:pPr>
        <w:spacing w:after="93" w:afterLines="30" w:line="320" w:lineRule="exact"/>
        <w:rPr>
          <w:rFonts w:eastAsia="黑体"/>
          <w:b/>
          <w:sz w:val="32"/>
          <w:szCs w:val="32"/>
        </w:rPr>
      </w:pPr>
    </w:p>
    <w:p>
      <w:pPr>
        <w:spacing w:after="93" w:afterLines="30" w:line="320" w:lineRule="exact"/>
        <w:rPr>
          <w:rFonts w:eastAsia="黑体"/>
          <w:b/>
          <w:sz w:val="32"/>
          <w:szCs w:val="32"/>
        </w:rPr>
      </w:pPr>
    </w:p>
    <w:p>
      <w:pPr>
        <w:spacing w:after="93" w:afterLines="30" w:line="500" w:lineRule="exact"/>
        <w:jc w:val="center"/>
        <w:rPr>
          <w:rFonts w:eastAsia="仿宋_GB2312"/>
          <w:b/>
          <w:sz w:val="32"/>
          <w:szCs w:val="32"/>
        </w:rPr>
      </w:pPr>
      <w:r>
        <w:rPr>
          <w:rFonts w:hint="eastAsia" w:eastAsia="仿宋_GB2312"/>
          <w:b/>
          <w:sz w:val="32"/>
          <w:szCs w:val="32"/>
        </w:rPr>
        <w:t>附件一：估价对象房地产实物照片</w:t>
      </w:r>
    </w:p>
    <w:p>
      <w:pPr>
        <w:tabs>
          <w:tab w:val="left" w:pos="1050"/>
          <w:tab w:val="left" w:pos="5478"/>
        </w:tabs>
        <w:rPr>
          <w:rFonts w:eastAsia="黑体"/>
        </w:rPr>
      </w:pPr>
      <w:r>
        <w:rPr>
          <w:rFonts w:hint="eastAsia" w:eastAsia="黑体"/>
        </w:rPr>
        <w:t xml:space="preserve">    </w:t>
      </w:r>
      <w:r>
        <w:t xml:space="preserve">  </w:t>
      </w:r>
      <w:r>
        <w:drawing>
          <wp:inline distT="0" distB="0" distL="0" distR="0">
            <wp:extent cx="2400300" cy="1799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00741" cy="1800000"/>
                    </a:xfrm>
                    <a:prstGeom prst="rect">
                      <a:avLst/>
                    </a:prstGeom>
                    <a:noFill/>
                    <a:ln>
                      <a:noFill/>
                    </a:ln>
                  </pic:spPr>
                </pic:pic>
              </a:graphicData>
            </a:graphic>
          </wp:inline>
        </w:drawing>
      </w:r>
      <w:r>
        <w:t xml:space="preserve">   </w:t>
      </w:r>
      <w:r>
        <w:drawing>
          <wp:inline distT="0" distB="0" distL="0" distR="0">
            <wp:extent cx="2400300" cy="17995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00741" cy="1800000"/>
                    </a:xfrm>
                    <a:prstGeom prst="rect">
                      <a:avLst/>
                    </a:prstGeom>
                    <a:noFill/>
                    <a:ln>
                      <a:noFill/>
                    </a:ln>
                  </pic:spPr>
                </pic:pic>
              </a:graphicData>
            </a:graphic>
          </wp:inline>
        </w:drawing>
      </w:r>
      <w:r>
        <w:t xml:space="preserve">    </w:t>
      </w:r>
    </w:p>
    <w:p>
      <w:pPr>
        <w:tabs>
          <w:tab w:val="left" w:pos="945"/>
          <w:tab w:val="left" w:pos="6090"/>
        </w:tabs>
        <w:spacing w:before="31" w:beforeLines="10" w:after="31" w:afterLines="10" w:line="240" w:lineRule="exact"/>
        <w:ind w:firstLine="1050" w:firstLineChars="500"/>
        <w:rPr>
          <w:rFonts w:eastAsia="仿宋_GB2312"/>
          <w:szCs w:val="22"/>
        </w:rPr>
      </w:pPr>
      <w:r>
        <w:rPr>
          <w:rFonts w:hint="eastAsia" w:eastAsia="仿宋_GB2312"/>
          <w:szCs w:val="22"/>
        </w:rPr>
        <w:t>照片一：</w:t>
      </w:r>
      <w:r>
        <w:rPr>
          <w:rFonts w:hint="eastAsia" w:eastAsia="仿宋_GB2312"/>
          <w:szCs w:val="22"/>
          <w:lang w:eastAsia="zh-CN"/>
        </w:rPr>
        <w:t>估价对象小区</w:t>
      </w:r>
      <w:r>
        <w:rPr>
          <w:rFonts w:hint="eastAsia" w:eastAsia="仿宋_GB2312"/>
          <w:szCs w:val="22"/>
        </w:rPr>
        <w:t xml:space="preserve">门口状况 </w:t>
      </w:r>
      <w:r>
        <w:rPr>
          <w:rFonts w:hint="eastAsia" w:eastAsia="黑体"/>
        </w:rPr>
        <w:t xml:space="preserve">              </w:t>
      </w:r>
      <w:r>
        <w:rPr>
          <w:rFonts w:hint="eastAsia" w:eastAsia="仿宋_GB2312"/>
          <w:szCs w:val="22"/>
        </w:rPr>
        <w:t xml:space="preserve"> 照片二：估价对象状况</w:t>
      </w:r>
    </w:p>
    <w:p>
      <w:pPr>
        <w:rPr>
          <w:rFonts w:eastAsia="黑体"/>
        </w:rPr>
      </w:pPr>
      <w:r>
        <w:rPr>
          <w:rFonts w:hint="eastAsia" w:eastAsia="黑体"/>
        </w:rPr>
        <w:t xml:space="preserve">  </w:t>
      </w:r>
      <w:r>
        <w:rPr>
          <w:rFonts w:eastAsia="黑体"/>
        </w:rPr>
        <w:t xml:space="preserve">    </w:t>
      </w:r>
      <w:r>
        <w:drawing>
          <wp:inline distT="0" distB="0" distL="0" distR="0">
            <wp:extent cx="2400300" cy="17995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00741" cy="1800000"/>
                    </a:xfrm>
                    <a:prstGeom prst="rect">
                      <a:avLst/>
                    </a:prstGeom>
                    <a:noFill/>
                    <a:ln>
                      <a:noFill/>
                    </a:ln>
                  </pic:spPr>
                </pic:pic>
              </a:graphicData>
            </a:graphic>
          </wp:inline>
        </w:drawing>
      </w:r>
      <w:r>
        <w:rPr>
          <w:rFonts w:eastAsia="黑体"/>
        </w:rPr>
        <w:t xml:space="preserve">    </w:t>
      </w:r>
      <w:r>
        <w:drawing>
          <wp:inline distT="0" distB="0" distL="0" distR="0">
            <wp:extent cx="2400300" cy="1799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00741" cy="1800000"/>
                    </a:xfrm>
                    <a:prstGeom prst="rect">
                      <a:avLst/>
                    </a:prstGeom>
                    <a:noFill/>
                    <a:ln>
                      <a:noFill/>
                    </a:ln>
                  </pic:spPr>
                </pic:pic>
              </a:graphicData>
            </a:graphic>
          </wp:inline>
        </w:drawing>
      </w:r>
    </w:p>
    <w:p>
      <w:pPr>
        <w:spacing w:before="31" w:beforeLines="10" w:after="31" w:afterLines="10" w:line="240" w:lineRule="exact"/>
        <w:ind w:firstLine="514" w:firstLineChars="245"/>
        <w:rPr>
          <w:rFonts w:eastAsia="仿宋_GB2312"/>
          <w:szCs w:val="22"/>
        </w:rPr>
      </w:pPr>
      <w:r>
        <w:rPr>
          <w:rFonts w:hint="eastAsia" w:eastAsia="黑体"/>
        </w:rPr>
        <w:t xml:space="preserve">    </w:t>
      </w:r>
      <w:r>
        <w:rPr>
          <w:rFonts w:eastAsia="黑体"/>
        </w:rPr>
        <w:t xml:space="preserve">  </w:t>
      </w:r>
      <w:r>
        <w:rPr>
          <w:rFonts w:hint="eastAsia" w:eastAsia="仿宋_GB2312"/>
          <w:szCs w:val="22"/>
        </w:rPr>
        <w:t xml:space="preserve">照片三：地下车库环境状况  </w:t>
      </w:r>
      <w:r>
        <w:rPr>
          <w:rFonts w:hint="eastAsia" w:eastAsia="黑体"/>
        </w:rPr>
        <w:t xml:space="preserve">               </w:t>
      </w:r>
      <w:r>
        <w:rPr>
          <w:rFonts w:hint="eastAsia" w:eastAsia="仿宋_GB2312"/>
          <w:szCs w:val="22"/>
        </w:rPr>
        <w:t>照片四：地下车库环境状况</w:t>
      </w:r>
    </w:p>
    <w:p>
      <w:pPr>
        <w:rPr>
          <w:rFonts w:eastAsia="黑体"/>
        </w:rPr>
      </w:pPr>
      <w:r>
        <w:rPr>
          <w:rFonts w:hint="eastAsia" w:eastAsia="黑体"/>
        </w:rPr>
        <w:t xml:space="preserve">   </w:t>
      </w:r>
      <w:r>
        <w:rPr>
          <w:rFonts w:eastAsia="黑体"/>
        </w:rPr>
        <w:t xml:space="preserve">   </w:t>
      </w:r>
      <w:r>
        <w:drawing>
          <wp:inline distT="0" distB="0" distL="0" distR="0">
            <wp:extent cx="2400300" cy="17995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00741" cy="1800000"/>
                    </a:xfrm>
                    <a:prstGeom prst="rect">
                      <a:avLst/>
                    </a:prstGeom>
                    <a:noFill/>
                    <a:ln>
                      <a:noFill/>
                    </a:ln>
                  </pic:spPr>
                </pic:pic>
              </a:graphicData>
            </a:graphic>
          </wp:inline>
        </w:drawing>
      </w:r>
      <w:r>
        <w:rPr>
          <w:rFonts w:eastAsia="黑体"/>
        </w:rPr>
        <w:t xml:space="preserve">    </w:t>
      </w:r>
      <w:r>
        <w:drawing>
          <wp:inline distT="0" distB="0" distL="0" distR="0">
            <wp:extent cx="2400300" cy="1799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00741" cy="1800000"/>
                    </a:xfrm>
                    <a:prstGeom prst="rect">
                      <a:avLst/>
                    </a:prstGeom>
                    <a:noFill/>
                    <a:ln>
                      <a:noFill/>
                    </a:ln>
                  </pic:spPr>
                </pic:pic>
              </a:graphicData>
            </a:graphic>
          </wp:inline>
        </w:drawing>
      </w:r>
    </w:p>
    <w:p>
      <w:pPr>
        <w:tabs>
          <w:tab w:val="left" w:pos="1365"/>
          <w:tab w:val="left" w:pos="6510"/>
        </w:tabs>
        <w:spacing w:before="31" w:beforeLines="10" w:after="31" w:afterLines="10" w:line="240" w:lineRule="exact"/>
        <w:rPr>
          <w:rFonts w:eastAsia="仿宋_GB2312"/>
          <w:szCs w:val="22"/>
        </w:rPr>
      </w:pPr>
      <w:r>
        <w:rPr>
          <w:rFonts w:hint="eastAsia" w:eastAsia="黑体"/>
        </w:rPr>
        <w:t xml:space="preserve">          </w:t>
      </w:r>
      <w:r>
        <w:rPr>
          <w:rFonts w:hint="eastAsia" w:eastAsia="仿宋_GB2312"/>
          <w:szCs w:val="22"/>
        </w:rPr>
        <w:t xml:space="preserve">照片五：车库环境状况    </w:t>
      </w:r>
      <w:r>
        <w:rPr>
          <w:rFonts w:hint="eastAsia" w:eastAsia="黑体"/>
        </w:rPr>
        <w:t xml:space="preserve">                </w:t>
      </w:r>
      <w:r>
        <w:rPr>
          <w:rFonts w:eastAsia="黑体"/>
        </w:rPr>
        <w:t xml:space="preserve">  </w:t>
      </w:r>
      <w:r>
        <w:rPr>
          <w:rFonts w:hint="eastAsia" w:eastAsia="黑体"/>
        </w:rPr>
        <w:t xml:space="preserve"> </w:t>
      </w:r>
      <w:r>
        <w:rPr>
          <w:rFonts w:hint="eastAsia" w:eastAsia="仿宋_GB2312"/>
          <w:szCs w:val="22"/>
        </w:rPr>
        <w:t>照片六：地下入口状况</w:t>
      </w:r>
    </w:p>
    <w:p>
      <w:pPr>
        <w:tabs>
          <w:tab w:val="center" w:pos="4153"/>
        </w:tabs>
        <w:rPr>
          <w:rFonts w:eastAsia="黑体"/>
        </w:rPr>
      </w:pPr>
      <w:r>
        <w:rPr>
          <w:rFonts w:hint="eastAsia" w:eastAsia="黑体"/>
        </w:rPr>
        <w:t xml:space="preserve">    </w:t>
      </w:r>
      <w:r>
        <w:rPr>
          <w:rFonts w:eastAsia="黑体"/>
        </w:rPr>
        <w:t xml:space="preserve">            </w:t>
      </w:r>
    </w:p>
    <w:p>
      <w:pPr>
        <w:tabs>
          <w:tab w:val="left" w:pos="1365"/>
          <w:tab w:val="left" w:pos="6510"/>
        </w:tabs>
        <w:spacing w:before="31" w:beforeLines="10" w:after="31" w:afterLines="10" w:line="240" w:lineRule="exact"/>
        <w:rPr>
          <w:rFonts w:hint="eastAsia" w:eastAsia="黑体"/>
        </w:rPr>
      </w:pPr>
      <w:r>
        <w:rPr>
          <w:rFonts w:hint="eastAsia" w:eastAsia="黑体"/>
        </w:rPr>
        <w:t xml:space="preserve">         </w:t>
      </w:r>
    </w:p>
    <w:p>
      <w:pPr>
        <w:spacing w:line="360" w:lineRule="auto"/>
        <w:rPr>
          <w:rFonts w:eastAsia="仿宋_GB2312"/>
          <w:sz w:val="24"/>
          <w:szCs w:val="22"/>
        </w:rPr>
      </w:pPr>
      <w:r>
        <w:rPr>
          <w:rFonts w:hint="eastAsia" w:eastAsia="仿宋_GB2312"/>
          <w:sz w:val="24"/>
          <w:szCs w:val="22"/>
        </w:rPr>
        <w:t xml:space="preserve">权利人：吴勇浪       </w:t>
      </w:r>
    </w:p>
    <w:p>
      <w:pPr>
        <w:spacing w:line="360" w:lineRule="auto"/>
        <w:rPr>
          <w:rFonts w:eastAsia="仿宋_GB2312"/>
          <w:sz w:val="24"/>
          <w:szCs w:val="22"/>
        </w:rPr>
      </w:pPr>
      <w:r>
        <w:rPr>
          <w:rFonts w:hint="eastAsia" w:eastAsia="仿宋_GB2312"/>
          <w:sz w:val="24"/>
          <w:szCs w:val="22"/>
        </w:rPr>
        <w:t>不动产权证号：10501077254</w:t>
      </w:r>
    </w:p>
    <w:p>
      <w:pPr>
        <w:spacing w:line="360" w:lineRule="auto"/>
        <w:rPr>
          <w:rFonts w:hint="eastAsia" w:eastAsia="仿宋_GB2312"/>
          <w:sz w:val="24"/>
          <w:szCs w:val="22"/>
        </w:rPr>
      </w:pPr>
      <w:r>
        <w:rPr>
          <w:rFonts w:hint="eastAsia" w:eastAsia="仿宋_GB2312"/>
          <w:sz w:val="24"/>
          <w:szCs w:val="22"/>
        </w:rPr>
        <w:t>估价对象：佛山市高明区荷城街道中山路218号二期地下车库57号小汽车</w:t>
      </w:r>
    </w:p>
    <w:p>
      <w:pPr>
        <w:spacing w:line="360" w:lineRule="auto"/>
        <w:rPr>
          <w:rFonts w:eastAsia="黑体"/>
          <w:sz w:val="24"/>
        </w:rPr>
      </w:pPr>
    </w:p>
    <w:p>
      <w:pPr>
        <w:spacing w:line="360" w:lineRule="auto"/>
        <w:rPr>
          <w:rFonts w:eastAsia="黑体"/>
          <w:sz w:val="24"/>
        </w:rPr>
      </w:pPr>
    </w:p>
    <w:p>
      <w:pPr>
        <w:spacing w:after="93" w:afterLines="30" w:line="500" w:lineRule="exact"/>
        <w:jc w:val="center"/>
        <w:rPr>
          <w:rFonts w:eastAsia="仿宋_GB2312"/>
          <w:b/>
          <w:sz w:val="32"/>
          <w:szCs w:val="32"/>
        </w:rPr>
      </w:pPr>
      <w:r>
        <w:rPr>
          <w:rFonts w:hint="eastAsia" w:eastAsia="仿宋_GB2312"/>
          <w:b/>
          <w:sz w:val="32"/>
          <w:szCs w:val="32"/>
        </w:rPr>
        <w:t>附件二：估价对象位置示意图(截图)</w:t>
      </w:r>
    </w:p>
    <w:p>
      <w:pPr>
        <w:spacing w:line="360" w:lineRule="auto"/>
        <w:rPr>
          <w:rFonts w:eastAsia="黑体"/>
          <w:sz w:val="24"/>
        </w:rPr>
      </w:pPr>
    </w:p>
    <w:p>
      <w:pPr>
        <w:spacing w:line="360" w:lineRule="auto"/>
        <w:rPr>
          <w:rFonts w:eastAsia="黑体"/>
          <w:sz w:val="24"/>
        </w:rPr>
      </w:pPr>
      <w:r>
        <w:rPr>
          <w:rFonts w:eastAsia="黑体"/>
          <w:sz w:val="24"/>
        </w:rPr>
        <w:drawing>
          <wp:anchor distT="0" distB="0" distL="0" distR="0" simplePos="0" relativeHeight="251662336" behindDoc="0" locked="0" layoutInCell="1" allowOverlap="1">
            <wp:simplePos x="0" y="0"/>
            <wp:positionH relativeFrom="column">
              <wp:posOffset>289560</wp:posOffset>
            </wp:positionH>
            <wp:positionV relativeFrom="paragraph">
              <wp:posOffset>45720</wp:posOffset>
            </wp:positionV>
            <wp:extent cx="5135880" cy="5250180"/>
            <wp:effectExtent l="0" t="0" r="0" b="762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135880" cy="5250180"/>
                    </a:xfrm>
                    <a:prstGeom prst="rect">
                      <a:avLst/>
                    </a:prstGeom>
                  </pic:spPr>
                </pic:pic>
              </a:graphicData>
            </a:graphic>
          </wp:anchor>
        </w:drawing>
      </w:r>
    </w:p>
    <w:p>
      <w:pPr>
        <w:spacing w:line="360" w:lineRule="auto"/>
        <w:rPr>
          <w:rFonts w:eastAsia="黑体"/>
          <w:sz w:val="24"/>
        </w:rPr>
      </w:pPr>
    </w:p>
    <w:p>
      <w:pPr>
        <w:spacing w:line="360" w:lineRule="auto"/>
        <w:rPr>
          <w:rFonts w:eastAsia="仿宋_GB2312"/>
          <w:sz w:val="24"/>
          <w:szCs w:val="22"/>
        </w:rPr>
      </w:pPr>
      <w:r>
        <w:rPr>
          <w:rFonts w:hint="eastAsia" w:eastAsia="仿宋_GB2312"/>
          <w:sz w:val="24"/>
          <w:szCs w:val="22"/>
        </w:rPr>
        <w:t xml:space="preserve">权利人：吴勇浪       </w:t>
      </w:r>
    </w:p>
    <w:p>
      <w:pPr>
        <w:spacing w:line="360" w:lineRule="auto"/>
        <w:rPr>
          <w:rFonts w:eastAsia="仿宋_GB2312"/>
          <w:sz w:val="24"/>
          <w:szCs w:val="22"/>
        </w:rPr>
      </w:pPr>
      <w:r>
        <w:rPr>
          <w:rFonts w:hint="eastAsia" w:eastAsia="仿宋_GB2312"/>
          <w:sz w:val="24"/>
          <w:szCs w:val="22"/>
        </w:rPr>
        <w:t>不动产权证号：10501077254</w:t>
      </w:r>
    </w:p>
    <w:p>
      <w:pPr>
        <w:spacing w:line="360" w:lineRule="auto"/>
        <w:rPr>
          <w:rFonts w:eastAsia="仿宋_GB2312"/>
          <w:sz w:val="24"/>
          <w:szCs w:val="22"/>
        </w:rPr>
      </w:pPr>
      <w:r>
        <w:rPr>
          <w:rFonts w:hint="eastAsia" w:eastAsia="仿宋_GB2312"/>
          <w:sz w:val="24"/>
          <w:szCs w:val="22"/>
        </w:rPr>
        <w:t>估价对象：佛山市高明区荷城街道中山路218号二期地下车库57号小汽车位</w:t>
      </w:r>
    </w:p>
    <w:p>
      <w:pPr>
        <w:spacing w:line="360" w:lineRule="auto"/>
        <w:rPr>
          <w:rFonts w:eastAsia="仿宋_GB2312"/>
          <w:sz w:val="24"/>
          <w:szCs w:val="22"/>
        </w:rPr>
      </w:pPr>
    </w:p>
    <w:sectPr>
      <w:footerReference r:id="rId9" w:type="default"/>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仿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大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创艺简仿宋" w:hAnsi="创艺简仿宋"/>
        <w:color w:val="808080"/>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align>top</wp:align>
              </wp:positionV>
              <wp:extent cx="5998210" cy="842010"/>
              <wp:effectExtent l="0" t="0" r="254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998210" cy="842010"/>
                      </a:xfrm>
                      <a:prstGeom prst="rect">
                        <a:avLst/>
                      </a:prstGeom>
                      <a:noFill/>
                      <a:ln>
                        <a:noFill/>
                      </a:ln>
                    </wps:spPr>
                    <wps:txbx>
                      <w:txbxContent>
                        <w:p>
                          <w:pPr>
                            <w:pStyle w:val="3"/>
                            <w:ind w:right="360"/>
                            <w:rPr>
                              <w:rFonts w:ascii="创艺简仿宋" w:hAnsi="创艺简仿宋"/>
                              <w:color w:val="4D4D4D"/>
                            </w:rPr>
                          </w:pPr>
                        </w:p>
                        <w:p>
                          <w:pPr>
                            <w:pStyle w:val="3"/>
                            <w:ind w:right="360"/>
                          </w:pPr>
                          <w:r>
                            <w:rPr>
                              <w:rFonts w:hint="eastAsia" w:ascii="创艺简仿宋" w:hAnsi="创艺简仿宋"/>
                              <w:color w:val="4D4D4D"/>
                            </w:rPr>
                            <w:t xml:space="preserve">  机构地址：佛山市顺德区容桂小黄圃群联路31号4楼   邮箱：haoyupg@126.com         联系电话： 0757—22806623</w:t>
                          </w:r>
                          <w:r>
                            <w:rPr>
                              <w:rFonts w:hint="eastAsia" w:ascii="创艺简仿宋" w:hAnsi="创艺简仿宋"/>
                              <w:color w:val="808080"/>
                            </w:rPr>
                            <w:t xml:space="preserve">  </w:t>
                          </w:r>
                          <w:r>
                            <w:rPr>
                              <w:rFonts w:hint="eastAsia" w:ascii="黑体" w:eastAsia="黑体"/>
                              <w:color w:val="4D4D4D"/>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height:66.3pt;width:472.3pt;mso-position-horizontal:right;mso-position-horizontal-relative:margin;mso-position-vertical:top;z-index:251659264;mso-width-relative:page;mso-height-relative:page;" filled="f" stroked="f" coordsize="21600,21600" o:gfxdata="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m1HvNUAAAAFAQAADwAAAAAAAAABACAAAAAi&#10;AAAAZHJzL2Rvd25yZXYueG1sUEsBAhQAFAAAAAgAh07iQE8nFx0NAgAABwQAAA4AAAAAAAAAAQAg&#10;AAAAJAEAAGRycy9lMm9Eb2MueG1sUEsFBgAAAAAGAAYAWQEAAKMFAAAAAA==&#10;">
              <v:fill on="f" focussize="0,0"/>
              <v:stroke on="f"/>
              <v:imagedata o:title=""/>
              <o:lock v:ext="edit" aspectratio="f"/>
              <v:textbox inset="0mm,0mm,0mm,0mm">
                <w:txbxContent>
                  <w:p>
                    <w:pPr>
                      <w:pStyle w:val="3"/>
                      <w:ind w:right="360"/>
                      <w:rPr>
                        <w:rFonts w:ascii="创艺简仿宋" w:hAnsi="创艺简仿宋"/>
                        <w:color w:val="4D4D4D"/>
                      </w:rPr>
                    </w:pPr>
                  </w:p>
                  <w:p>
                    <w:pPr>
                      <w:pStyle w:val="3"/>
                      <w:ind w:right="360"/>
                    </w:pPr>
                    <w:r>
                      <w:rPr>
                        <w:rFonts w:hint="eastAsia" w:ascii="创艺简仿宋" w:hAnsi="创艺简仿宋"/>
                        <w:color w:val="4D4D4D"/>
                      </w:rPr>
                      <w:t xml:space="preserve">  机构地址：佛山市顺德区容桂小黄圃群联路31号4楼   邮箱：haoyupg@126.com         联系电话： 0757—22806623</w:t>
                    </w:r>
                    <w:r>
                      <w:rPr>
                        <w:rFonts w:hint="eastAsia" w:ascii="创艺简仿宋" w:hAnsi="创艺简仿宋"/>
                        <w:color w:val="808080"/>
                      </w:rPr>
                      <w:t xml:space="preserve">  </w:t>
                    </w:r>
                    <w:r>
                      <w:rPr>
                        <w:rFonts w:hint="eastAsia" w:ascii="黑体" w:eastAsia="黑体"/>
                        <w:color w:val="4D4D4D"/>
                      </w:rPr>
                      <w:t xml:space="preserve">   </w:t>
                    </w:r>
                  </w:p>
                </w:txbxContent>
              </v:textbox>
            </v:shape>
          </w:pict>
        </mc:Fallback>
      </mc:AlternateContent>
    </w:r>
  </w:p>
  <w:p>
    <w:pPr>
      <w:pStyle w:val="3"/>
      <w:rPr>
        <w:rFonts w:ascii="黑体" w:eastAsia="黑体"/>
        <w:color w:val="4D4D4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创艺简仿宋" w:hAnsi="创艺简仿宋"/>
        <w:color w:val="808080"/>
      </w:rPr>
    </w:pPr>
    <w:r>
      <w:rPr>
        <w:rFonts w:hint="eastAsia" w:ascii="创艺简仿宋" w:hAnsi="创艺简仿宋"/>
        <w:color w:val="4D4D4D"/>
      </w:rPr>
      <w:t xml:space="preserve">机构地址：佛山市顺德区容桂小黄圃联群路31号4楼邮箱：haoyupg@126.com 联系电话： 0757—22806623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创艺简仿宋" w:hAnsi="创艺简仿宋"/>
        <w:color w:val="808080"/>
      </w:rP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71MbGgkCAAAUBAAADgAAAAAAAAABACAAAAAeAQAAZHJz&#10;L2Uyb0RvYy54bWxQSwUGAAAAAAYABgBZAQAAm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align>top</wp:align>
              </wp:positionV>
              <wp:extent cx="5998210" cy="842010"/>
              <wp:effectExtent l="0" t="0" r="254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998210" cy="842010"/>
                      </a:xfrm>
                      <a:prstGeom prst="rect">
                        <a:avLst/>
                      </a:prstGeom>
                      <a:noFill/>
                      <a:ln>
                        <a:noFill/>
                      </a:ln>
                    </wps:spPr>
                    <wps:txbx>
                      <w:txbxContent>
                        <w:p>
                          <w:pPr>
                            <w:pStyle w:val="3"/>
                            <w:ind w:right="360"/>
                            <w:rPr>
                              <w:rFonts w:ascii="创艺简仿宋" w:hAnsi="创艺简仿宋"/>
                              <w:color w:val="4D4D4D"/>
                            </w:rPr>
                          </w:pPr>
                        </w:p>
                        <w:p>
                          <w:pPr>
                            <w:pStyle w:val="3"/>
                            <w:ind w:right="360"/>
                            <w:rPr>
                              <w:rFonts w:ascii="创艺简仿宋" w:hAnsi="创艺简仿宋"/>
                              <w:color w:val="4D4D4D"/>
                            </w:rPr>
                          </w:pPr>
                          <w:r>
                            <w:rPr>
                              <w:rFonts w:hint="eastAsia" w:ascii="创艺简仿宋" w:hAnsi="创艺简仿宋"/>
                              <w:color w:val="4D4D4D"/>
                            </w:rPr>
                            <w:t xml:space="preserve">             机构地址：佛山市顺德区容桂小黄圃群联路31号4楼               邮箱： haoyupg@126.com               </w:t>
                          </w:r>
                        </w:p>
                        <w:p>
                          <w:pPr>
                            <w:pStyle w:val="3"/>
                            <w:ind w:right="360"/>
                          </w:pPr>
                          <w:r>
                            <w:rPr>
                              <w:rFonts w:hint="eastAsia" w:ascii="创艺简仿宋" w:hAnsi="创艺简仿宋"/>
                              <w:color w:val="4D4D4D"/>
                            </w:rPr>
                            <w:t xml:space="preserve">             联系电话： 0757—22806623</w:t>
                          </w:r>
                          <w:r>
                            <w:rPr>
                              <w:rFonts w:hint="eastAsia" w:ascii="创艺简仿宋" w:hAnsi="创艺简仿宋"/>
                              <w:color w:val="808080"/>
                            </w:rPr>
                            <w:t xml:space="preserve">  </w:t>
                          </w:r>
                          <w:r>
                            <w:rPr>
                              <w:rFonts w:hint="eastAsia" w:ascii="黑体" w:eastAsia="黑体"/>
                              <w:color w:val="4D4D4D"/>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height:66.3pt;width:472.3pt;mso-position-horizontal:right;mso-position-horizontal-relative:margin;mso-position-vertical:top;z-index:251661312;mso-width-relative:page;mso-height-relative:page;" filled="f" stroked="f" coordsize="21600,21600" o:gfxdata="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m1HvNUAAAAFAQAADwAAAAAAAAABACAAAAAi&#10;AAAAZHJzL2Rvd25yZXYueG1sUEsBAhQAFAAAAAgAh07iQHY6zzENAgAABwQAAA4AAAAAAAAAAQAg&#10;AAAAJAEAAGRycy9lMm9Eb2MueG1sUEsFBgAAAAAGAAYAWQEAAKMFAAAAAA==&#10;">
              <v:fill on="f" focussize="0,0"/>
              <v:stroke on="f"/>
              <v:imagedata o:title=""/>
              <o:lock v:ext="edit" aspectratio="f"/>
              <v:textbox inset="0mm,0mm,0mm,0mm">
                <w:txbxContent>
                  <w:p>
                    <w:pPr>
                      <w:pStyle w:val="3"/>
                      <w:ind w:right="360"/>
                      <w:rPr>
                        <w:rFonts w:ascii="创艺简仿宋" w:hAnsi="创艺简仿宋"/>
                        <w:color w:val="4D4D4D"/>
                      </w:rPr>
                    </w:pPr>
                  </w:p>
                  <w:p>
                    <w:pPr>
                      <w:pStyle w:val="3"/>
                      <w:ind w:right="360"/>
                      <w:rPr>
                        <w:rFonts w:ascii="创艺简仿宋" w:hAnsi="创艺简仿宋"/>
                        <w:color w:val="4D4D4D"/>
                      </w:rPr>
                    </w:pPr>
                    <w:r>
                      <w:rPr>
                        <w:rFonts w:hint="eastAsia" w:ascii="创艺简仿宋" w:hAnsi="创艺简仿宋"/>
                        <w:color w:val="4D4D4D"/>
                      </w:rPr>
                      <w:t xml:space="preserve">             机构地址：佛山市顺德区容桂小黄圃群联路31号4楼               邮箱： haoyupg@126.com               </w:t>
                    </w:r>
                  </w:p>
                  <w:p>
                    <w:pPr>
                      <w:pStyle w:val="3"/>
                      <w:ind w:right="360"/>
                    </w:pPr>
                    <w:r>
                      <w:rPr>
                        <w:rFonts w:hint="eastAsia" w:ascii="创艺简仿宋" w:hAnsi="创艺简仿宋"/>
                        <w:color w:val="4D4D4D"/>
                      </w:rPr>
                      <w:t xml:space="preserve">             联系电话： 0757—22806623</w:t>
                    </w:r>
                    <w:r>
                      <w:rPr>
                        <w:rFonts w:hint="eastAsia" w:ascii="创艺简仿宋" w:hAnsi="创艺简仿宋"/>
                        <w:color w:val="808080"/>
                      </w:rPr>
                      <w:t xml:space="preserve">  </w:t>
                    </w:r>
                    <w:r>
                      <w:rPr>
                        <w:rFonts w:hint="eastAsia" w:ascii="黑体" w:eastAsia="黑体"/>
                        <w:color w:val="4D4D4D"/>
                      </w:rPr>
                      <w:t xml:space="preserve">   </w:t>
                    </w:r>
                  </w:p>
                </w:txbxContent>
              </v:textbox>
            </v:shape>
          </w:pict>
        </mc:Fallback>
      </mc:AlternateContent>
    </w:r>
  </w:p>
  <w:p>
    <w:pPr>
      <w:pStyle w:val="3"/>
      <w:rPr>
        <w:rFonts w:ascii="黑体" w:eastAsia="黑体"/>
        <w:color w:val="4D4D4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创艺简仿宋" w:hAnsi="创艺简仿宋"/>
        <w:color w:val="808080"/>
      </w:rPr>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Casr3oCAIAABQEAAAOAAAAAAAAAAEAIAAAAB4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ascii="创艺简仿宋" w:hAnsi="创艺简仿宋"/>
        <w:color w:val="4D4D4D"/>
      </w:rPr>
      <w:t xml:space="preserve">机构地址：佛山市顺德区容桂小黄圃联群路31号4楼邮箱： haoyupg@126.com   联系电话： 0757—22806623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创艺简仿宋" w:hAnsi="创艺简仿宋"/>
        <w:color w:val="808080"/>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align>top</wp:align>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height:144pt;width:144pt;mso-position-horizontal:right;mso-position-horizontal-relative:margin;mso-position-vertical:top;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ql5uc8AAAAFAQAADwAAAAAAAAABACAAAAAiAAAAZHJzL2Rv&#10;d25yZXYueG1sUEsBAhQAFAAAAAgAh07iQABBVnwKAgAAFAQAAA4AAAAAAAAAAQAgAAAAHgEAAGRy&#10;cy9lMm9Eb2MueG1sUEsFBgAAAAAGAAYAWQEAAJ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align>top</wp:align>
              </wp:positionV>
              <wp:extent cx="5998210" cy="842010"/>
              <wp:effectExtent l="0" t="0" r="254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998210" cy="842010"/>
                      </a:xfrm>
                      <a:prstGeom prst="rect">
                        <a:avLst/>
                      </a:prstGeom>
                      <a:noFill/>
                      <a:ln>
                        <a:noFill/>
                      </a:ln>
                    </wps:spPr>
                    <wps:txbx>
                      <w:txbxContent>
                        <w:p>
                          <w:pPr>
                            <w:pStyle w:val="3"/>
                            <w:ind w:right="360"/>
                            <w:rPr>
                              <w:rFonts w:ascii="创艺简仿宋" w:hAnsi="创艺简仿宋"/>
                              <w:color w:val="4D4D4D"/>
                            </w:rPr>
                          </w:pPr>
                        </w:p>
                        <w:p>
                          <w:pPr>
                            <w:pStyle w:val="3"/>
                            <w:ind w:right="360"/>
                          </w:pPr>
                          <w:r>
                            <w:rPr>
                              <w:rFonts w:hint="eastAsia" w:ascii="创艺简仿宋" w:hAnsi="创艺简仿宋"/>
                              <w:color w:val="4D4D4D"/>
                            </w:rPr>
                            <w:t xml:space="preserve"> 机构地址：佛山市顺德区容桂小黄圃联群路31号4楼邮箱：haoyupg@126.com   联系电话： 0757—22806623</w:t>
                          </w:r>
                          <w:r>
                            <w:rPr>
                              <w:rFonts w:hint="eastAsia" w:ascii="创艺简仿宋" w:hAnsi="创艺简仿宋"/>
                              <w:color w:val="808080"/>
                            </w:rPr>
                            <w:t xml:space="preserve">  </w:t>
                          </w:r>
                          <w:r>
                            <w:rPr>
                              <w:rFonts w:hint="eastAsia" w:ascii="黑体" w:eastAsia="黑体"/>
                              <w:color w:val="4D4D4D"/>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height:66.3pt;width:472.3pt;mso-position-horizontal:right;mso-position-horizontal-relative:margin;mso-position-vertical:top;z-index:251660288;mso-width-relative:page;mso-height-relative:page;" filled="f" stroked="f" coordsize="21600,21600" o:gfxdata="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ZtR7zVAAAABQEAAA8AAAAAAAAAAQAgAAAAIgAA&#10;AGRycy9kb3ducmV2LnhtbFBLAQIUABQAAAAIAIdO4kDKtxvKCwIAAAcEAAAOAAAAAAAAAAEAIAAA&#10;ACQBAABkcnMvZTJvRG9jLnhtbFBLBQYAAAAABgAGAFkBAAChBQAAAAA=&#10;">
              <v:fill on="f" focussize="0,0"/>
              <v:stroke on="f"/>
              <v:imagedata o:title=""/>
              <o:lock v:ext="edit" aspectratio="f"/>
              <v:textbox inset="0mm,0mm,0mm,0mm">
                <w:txbxContent>
                  <w:p>
                    <w:pPr>
                      <w:pStyle w:val="3"/>
                      <w:ind w:right="360"/>
                      <w:rPr>
                        <w:rFonts w:ascii="创艺简仿宋" w:hAnsi="创艺简仿宋"/>
                        <w:color w:val="4D4D4D"/>
                      </w:rPr>
                    </w:pPr>
                  </w:p>
                  <w:p>
                    <w:pPr>
                      <w:pStyle w:val="3"/>
                      <w:ind w:right="360"/>
                    </w:pPr>
                    <w:r>
                      <w:rPr>
                        <w:rFonts w:hint="eastAsia" w:ascii="创艺简仿宋" w:hAnsi="创艺简仿宋"/>
                        <w:color w:val="4D4D4D"/>
                      </w:rPr>
                      <w:t xml:space="preserve"> 机构地址：佛山市顺德区容桂小黄圃联群路31号4楼邮箱：haoyupg@126.com   联系电话： 0757—22806623</w:t>
                    </w:r>
                    <w:r>
                      <w:rPr>
                        <w:rFonts w:hint="eastAsia" w:ascii="创艺简仿宋" w:hAnsi="创艺简仿宋"/>
                        <w:color w:val="808080"/>
                      </w:rPr>
                      <w:t xml:space="preserve">  </w:t>
                    </w:r>
                    <w:r>
                      <w:rPr>
                        <w:rFonts w:hint="eastAsia" w:ascii="黑体" w:eastAsia="黑体"/>
                        <w:color w:val="4D4D4D"/>
                      </w:rPr>
                      <w:t xml:space="preserve">   </w:t>
                    </w:r>
                  </w:p>
                </w:txbxContent>
              </v:textbox>
            </v:shape>
          </w:pict>
        </mc:Fallback>
      </mc:AlternateContent>
    </w:r>
  </w:p>
  <w:p>
    <w:pPr>
      <w:pStyle w:val="3"/>
      <w:rPr>
        <w:rFonts w:ascii="黑体" w:eastAsia="黑体"/>
        <w:color w:val="4D4D4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广东浩宇房地产土地资产评估有限公司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2CD47"/>
    <w:multiLevelType w:val="singleLevel"/>
    <w:tmpl w:val="D632CD47"/>
    <w:lvl w:ilvl="0" w:tentative="0">
      <w:start w:val="6"/>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9E"/>
    <w:rsid w:val="000056B4"/>
    <w:rsid w:val="000351F7"/>
    <w:rsid w:val="000C3647"/>
    <w:rsid w:val="000C7725"/>
    <w:rsid w:val="000D0660"/>
    <w:rsid w:val="002470E0"/>
    <w:rsid w:val="0032032A"/>
    <w:rsid w:val="00394B4E"/>
    <w:rsid w:val="00401E58"/>
    <w:rsid w:val="0044462E"/>
    <w:rsid w:val="004472B6"/>
    <w:rsid w:val="00457365"/>
    <w:rsid w:val="004D6F99"/>
    <w:rsid w:val="00590077"/>
    <w:rsid w:val="005E0700"/>
    <w:rsid w:val="006228FB"/>
    <w:rsid w:val="00674985"/>
    <w:rsid w:val="00693364"/>
    <w:rsid w:val="00742B84"/>
    <w:rsid w:val="007A612A"/>
    <w:rsid w:val="007D731C"/>
    <w:rsid w:val="00933690"/>
    <w:rsid w:val="00993B99"/>
    <w:rsid w:val="009C154F"/>
    <w:rsid w:val="00A2469E"/>
    <w:rsid w:val="00A3091A"/>
    <w:rsid w:val="00AB265A"/>
    <w:rsid w:val="00AC468D"/>
    <w:rsid w:val="00B44234"/>
    <w:rsid w:val="00C06E0F"/>
    <w:rsid w:val="00C34F53"/>
    <w:rsid w:val="00CD4319"/>
    <w:rsid w:val="00D04490"/>
    <w:rsid w:val="00D60C6D"/>
    <w:rsid w:val="00DA5375"/>
    <w:rsid w:val="00DB4156"/>
    <w:rsid w:val="00E06622"/>
    <w:rsid w:val="00E32878"/>
    <w:rsid w:val="00E65764"/>
    <w:rsid w:val="00E7515A"/>
    <w:rsid w:val="00EE5975"/>
    <w:rsid w:val="00F33F4F"/>
    <w:rsid w:val="00F50368"/>
    <w:rsid w:val="00F53240"/>
    <w:rsid w:val="00F621F6"/>
    <w:rsid w:val="01292CCF"/>
    <w:rsid w:val="02DB50E6"/>
    <w:rsid w:val="037A7B76"/>
    <w:rsid w:val="03D82E5F"/>
    <w:rsid w:val="05C87C54"/>
    <w:rsid w:val="07431CDC"/>
    <w:rsid w:val="07480DD7"/>
    <w:rsid w:val="07E30DF6"/>
    <w:rsid w:val="096F1771"/>
    <w:rsid w:val="09F55876"/>
    <w:rsid w:val="0D1A094C"/>
    <w:rsid w:val="0DF8189F"/>
    <w:rsid w:val="0EED2DE9"/>
    <w:rsid w:val="0F792803"/>
    <w:rsid w:val="0F987947"/>
    <w:rsid w:val="101A6C1E"/>
    <w:rsid w:val="10AD4163"/>
    <w:rsid w:val="134C3B87"/>
    <w:rsid w:val="13611558"/>
    <w:rsid w:val="13886F5F"/>
    <w:rsid w:val="15FF3780"/>
    <w:rsid w:val="172E5460"/>
    <w:rsid w:val="17B60BFE"/>
    <w:rsid w:val="1B3C1150"/>
    <w:rsid w:val="1D5F74D6"/>
    <w:rsid w:val="1FBF25C2"/>
    <w:rsid w:val="20783EFB"/>
    <w:rsid w:val="219C6F9B"/>
    <w:rsid w:val="229A30B6"/>
    <w:rsid w:val="23A114CD"/>
    <w:rsid w:val="24004573"/>
    <w:rsid w:val="2594030D"/>
    <w:rsid w:val="27EE2254"/>
    <w:rsid w:val="2826602C"/>
    <w:rsid w:val="2B051AD1"/>
    <w:rsid w:val="2F555DC4"/>
    <w:rsid w:val="300F17C8"/>
    <w:rsid w:val="302A09BA"/>
    <w:rsid w:val="302B06D5"/>
    <w:rsid w:val="30E4716F"/>
    <w:rsid w:val="31821745"/>
    <w:rsid w:val="31D96B2B"/>
    <w:rsid w:val="31F93C30"/>
    <w:rsid w:val="320F0CFF"/>
    <w:rsid w:val="346B6643"/>
    <w:rsid w:val="35073183"/>
    <w:rsid w:val="360E16E9"/>
    <w:rsid w:val="363D5044"/>
    <w:rsid w:val="37156892"/>
    <w:rsid w:val="37583344"/>
    <w:rsid w:val="38135DEC"/>
    <w:rsid w:val="3B645D74"/>
    <w:rsid w:val="3BE13004"/>
    <w:rsid w:val="3BE54AEC"/>
    <w:rsid w:val="3C164A93"/>
    <w:rsid w:val="3D3C77EA"/>
    <w:rsid w:val="3E4E7CBD"/>
    <w:rsid w:val="3E883ACF"/>
    <w:rsid w:val="3EA761B5"/>
    <w:rsid w:val="3EBE2738"/>
    <w:rsid w:val="3FEF320E"/>
    <w:rsid w:val="41B55D9D"/>
    <w:rsid w:val="4236669A"/>
    <w:rsid w:val="4395595E"/>
    <w:rsid w:val="45586E5F"/>
    <w:rsid w:val="458648DE"/>
    <w:rsid w:val="47392EB7"/>
    <w:rsid w:val="48591E48"/>
    <w:rsid w:val="48F15704"/>
    <w:rsid w:val="4D694940"/>
    <w:rsid w:val="4DC57049"/>
    <w:rsid w:val="4E013D16"/>
    <w:rsid w:val="50231951"/>
    <w:rsid w:val="503A09F2"/>
    <w:rsid w:val="512B4830"/>
    <w:rsid w:val="51A3017D"/>
    <w:rsid w:val="522B753B"/>
    <w:rsid w:val="531010A0"/>
    <w:rsid w:val="531605CE"/>
    <w:rsid w:val="55D13135"/>
    <w:rsid w:val="55E94A89"/>
    <w:rsid w:val="57A3569A"/>
    <w:rsid w:val="57C62393"/>
    <w:rsid w:val="5A65336E"/>
    <w:rsid w:val="5D6A3508"/>
    <w:rsid w:val="5EAE0B3A"/>
    <w:rsid w:val="5EB414F5"/>
    <w:rsid w:val="5EB52ACA"/>
    <w:rsid w:val="5F02766A"/>
    <w:rsid w:val="5F4B02BA"/>
    <w:rsid w:val="5F576FF5"/>
    <w:rsid w:val="5FA81C45"/>
    <w:rsid w:val="6081640C"/>
    <w:rsid w:val="60A26ACC"/>
    <w:rsid w:val="617E6CAD"/>
    <w:rsid w:val="61FC2B9D"/>
    <w:rsid w:val="625C3FE5"/>
    <w:rsid w:val="635511F0"/>
    <w:rsid w:val="64B159D9"/>
    <w:rsid w:val="65616FE4"/>
    <w:rsid w:val="690024F8"/>
    <w:rsid w:val="6D2055D1"/>
    <w:rsid w:val="6E9B534E"/>
    <w:rsid w:val="6FD162E7"/>
    <w:rsid w:val="70C47D96"/>
    <w:rsid w:val="70F21898"/>
    <w:rsid w:val="73BD51E6"/>
    <w:rsid w:val="75AD2442"/>
    <w:rsid w:val="780C3E55"/>
    <w:rsid w:val="783A1334"/>
    <w:rsid w:val="7B725B70"/>
    <w:rsid w:val="7C2B5C66"/>
    <w:rsid w:val="7C82430E"/>
    <w:rsid w:val="7CFB3660"/>
    <w:rsid w:val="7DC03330"/>
    <w:rsid w:val="7E2E5D57"/>
    <w:rsid w:val="7F174DCB"/>
    <w:rsid w:val="7F212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9"/>
    <w:pPr>
      <w:keepNext/>
      <w:keepLines/>
      <w:adjustRightInd w:val="0"/>
      <w:spacing w:before="340" w:after="330" w:line="578" w:lineRule="atLeast"/>
      <w:textAlignment w:val="baseline"/>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pPr>
      <w:tabs>
        <w:tab w:val="right" w:leader="dot" w:pos="9344"/>
      </w:tabs>
      <w:spacing w:line="460" w:lineRule="exact"/>
      <w:ind w:left="198"/>
    </w:pPr>
    <w:rPr>
      <w:sz w:val="24"/>
    </w:rPr>
  </w:style>
  <w:style w:type="paragraph" w:styleId="6">
    <w:name w:val="toc 2"/>
    <w:basedOn w:val="1"/>
    <w:next w:val="1"/>
    <w:unhideWhenUsed/>
    <w:uiPriority w:val="39"/>
    <w:pPr>
      <w:tabs>
        <w:tab w:val="left" w:pos="1680"/>
        <w:tab w:val="right" w:leader="dot" w:pos="9344"/>
      </w:tabs>
      <w:spacing w:line="340" w:lineRule="exact"/>
      <w:ind w:left="840" w:leftChars="400"/>
    </w:pPr>
    <w:rPr>
      <w:rFonts w:eastAsia="创艺简仿宋"/>
      <w:b/>
      <w:sz w:val="24"/>
    </w:rPr>
  </w:style>
  <w:style w:type="character" w:styleId="9">
    <w:name w:val="Hyperlink"/>
    <w:unhideWhenUsed/>
    <w:qFormat/>
    <w:uiPriority w:val="99"/>
    <w:rPr>
      <w:color w:val="0000FF"/>
      <w:u w:val="single"/>
    </w:rPr>
  </w:style>
  <w:style w:type="character" w:customStyle="1" w:styleId="10">
    <w:name w:val="页眉 字符"/>
    <w:basedOn w:val="8"/>
    <w:link w:val="4"/>
    <w:uiPriority w:val="0"/>
    <w:rPr>
      <w:sz w:val="18"/>
      <w:szCs w:val="18"/>
    </w:rPr>
  </w:style>
  <w:style w:type="character" w:customStyle="1" w:styleId="11">
    <w:name w:val="页脚 字符"/>
    <w:basedOn w:val="8"/>
    <w:link w:val="3"/>
    <w:uiPriority w:val="0"/>
    <w:rPr>
      <w:sz w:val="18"/>
      <w:szCs w:val="18"/>
    </w:rPr>
  </w:style>
  <w:style w:type="character" w:customStyle="1" w:styleId="12">
    <w:name w:val="标题 1 字符"/>
    <w:basedOn w:val="8"/>
    <w:link w:val="2"/>
    <w:qFormat/>
    <w:uiPriority w:val="9"/>
    <w:rPr>
      <w:rFonts w:ascii="Times New Roman" w:hAnsi="Times New Roman" w:eastAsia="宋体" w:cs="Times New Roman"/>
      <w:b/>
      <w:kern w:val="44"/>
      <w:sz w:val="44"/>
      <w:szCs w:val="20"/>
    </w:rPr>
  </w:style>
  <w:style w:type="paragraph" w:customStyle="1" w:styleId="13">
    <w:name w:val="样式6"/>
    <w:basedOn w:val="1"/>
    <w:qFormat/>
    <w:uiPriority w:val="0"/>
    <w:pPr>
      <w:spacing w:before="156" w:beforeLines="50"/>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81715F-F612-41F2-A546-F04A521397BE}">
  <ds:schemaRefs/>
</ds:datastoreItem>
</file>

<file path=docProps/app.xml><?xml version="1.0" encoding="utf-8"?>
<Properties xmlns="http://schemas.openxmlformats.org/officeDocument/2006/extended-properties" xmlns:vt="http://schemas.openxmlformats.org/officeDocument/2006/docPropsVTypes">
  <Template>Normal</Template>
  <Pages>16</Pages>
  <Words>960</Words>
  <Characters>5478</Characters>
  <Lines>45</Lines>
  <Paragraphs>12</Paragraphs>
  <TotalTime>323</TotalTime>
  <ScaleCrop>false</ScaleCrop>
  <LinksUpToDate>false</LinksUpToDate>
  <CharactersWithSpaces>6426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2021-11-25T07:34:00Z</dcterms:created>
  <dc:creator>wu shoujun</dc:creator>
  <cp:lastModifiedBy>广东浩宇评估</cp:lastModifiedBy>
  <cp:lastPrinted>2022-03-14T06:09:20Z</cp:lastPrinted>
  <dcterms:modified xsi:type="dcterms:W3CDTF">2022-03-14T06:32:07Z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07667B36356E4C9CA5A74352761FA099</vt:lpwstr>
  </property>
</Properties>
</file>