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center" w:pos="7931"/>
        </w:tabs>
        <w:autoSpaceDE w:val="0"/>
        <w:autoSpaceDN w:val="0"/>
        <w:spacing w:line="360" w:lineRule="exact"/>
        <w:textAlignment w:val="bottom"/>
        <w:rPr>
          <w:rFonts w:hint="eastAsia" w:ascii="宋体"/>
          <w:b/>
          <w:szCs w:val="21"/>
        </w:rPr>
      </w:pPr>
      <w:r>
        <w:rPr>
          <w:rFonts w:hint="eastAsia" w:ascii="宋体"/>
          <w:b/>
          <w:szCs w:val="21"/>
        </w:rPr>
        <w:t>本报告依据中国资产评估准则编制</w:t>
      </w:r>
    </w:p>
    <w:p>
      <w:pPr>
        <w:tabs>
          <w:tab w:val="center" w:pos="7931"/>
        </w:tabs>
        <w:autoSpaceDE w:val="0"/>
        <w:autoSpaceDN w:val="0"/>
        <w:spacing w:line="360" w:lineRule="exact"/>
        <w:textAlignment w:val="bottom"/>
        <w:rPr>
          <w:rFonts w:hint="eastAsia" w:ascii="宋体"/>
          <w:b/>
          <w:szCs w:val="21"/>
        </w:rPr>
      </w:pPr>
      <w:r>
        <w:rPr>
          <w:rFonts w:hint="eastAsia" w:ascii="宋体"/>
          <w:b/>
          <w:szCs w:val="21"/>
        </w:rPr>
        <w:t>人民法院委托司法执行财产处置参考价目的资产评估报告</w:t>
      </w:r>
    </w:p>
    <w:p>
      <w:pPr>
        <w:pStyle w:val="46"/>
        <w:autoSpaceDE w:val="0"/>
        <w:autoSpaceDN w:val="0"/>
        <w:spacing w:before="120" w:line="360" w:lineRule="exact"/>
        <w:textAlignment w:val="bottom"/>
        <w:rPr>
          <w:rFonts w:hint="eastAsia" w:ascii="宋体" w:hAnsi="Times New Roman"/>
        </w:rPr>
      </w:pPr>
    </w:p>
    <w:p>
      <w:pPr>
        <w:pStyle w:val="46"/>
        <w:autoSpaceDE w:val="0"/>
        <w:autoSpaceDN w:val="0"/>
        <w:spacing w:before="120" w:line="360" w:lineRule="exact"/>
        <w:textAlignment w:val="bottom"/>
        <w:rPr>
          <w:rFonts w:hint="eastAsia" w:ascii="宋体" w:hAnsi="Times New Roman"/>
        </w:rPr>
      </w:pPr>
    </w:p>
    <w:p>
      <w:pPr>
        <w:spacing w:before="60" w:after="60" w:line="360" w:lineRule="auto"/>
        <w:jc w:val="center"/>
        <w:rPr>
          <w:rFonts w:hint="eastAsia" w:ascii="宋体"/>
          <w:b/>
          <w:sz w:val="32"/>
          <w:szCs w:val="32"/>
        </w:rPr>
      </w:pPr>
      <w:r>
        <w:rPr>
          <w:rFonts w:hint="eastAsia" w:ascii="宋体"/>
          <w:b/>
          <w:sz w:val="32"/>
          <w:szCs w:val="32"/>
        </w:rPr>
        <w:t>河南省汝州市人民法院委托司法执行财产处置</w:t>
      </w:r>
    </w:p>
    <w:p>
      <w:pPr>
        <w:spacing w:before="60" w:after="60" w:line="360" w:lineRule="auto"/>
        <w:jc w:val="center"/>
        <w:rPr>
          <w:rFonts w:hint="eastAsia" w:ascii="宋体"/>
          <w:b/>
          <w:sz w:val="32"/>
          <w:szCs w:val="32"/>
        </w:rPr>
      </w:pPr>
      <w:r>
        <w:rPr>
          <w:rFonts w:hint="eastAsia" w:ascii="宋体"/>
          <w:b/>
          <w:sz w:val="32"/>
          <w:szCs w:val="32"/>
        </w:rPr>
        <w:t>所涉及的汝州市风穴路皇家府邸4号楼中单元102房产价值</w:t>
      </w:r>
    </w:p>
    <w:p>
      <w:pPr>
        <w:spacing w:before="60" w:after="60" w:line="360" w:lineRule="auto"/>
        <w:jc w:val="center"/>
        <w:rPr>
          <w:rFonts w:hint="eastAsia" w:ascii="宋体"/>
          <w:b/>
          <w:spacing w:val="26"/>
          <w:sz w:val="40"/>
          <w:szCs w:val="48"/>
        </w:rPr>
      </w:pPr>
      <w:r>
        <w:rPr>
          <w:rFonts w:hint="eastAsia" w:ascii="宋体"/>
          <w:b/>
          <w:spacing w:val="26"/>
          <w:sz w:val="40"/>
          <w:szCs w:val="48"/>
        </w:rPr>
        <w:t>资产评估报告</w:t>
      </w:r>
    </w:p>
    <w:p>
      <w:pPr>
        <w:autoSpaceDE w:val="0"/>
        <w:autoSpaceDN w:val="0"/>
        <w:snapToGrid w:val="0"/>
        <w:spacing w:line="360" w:lineRule="auto"/>
        <w:ind w:firstLine="280" w:firstLineChars="100"/>
        <w:jc w:val="center"/>
        <w:textAlignment w:val="bottom"/>
        <w:rPr>
          <w:rFonts w:hint="eastAsia" w:ascii="宋体"/>
          <w:sz w:val="28"/>
          <w:szCs w:val="28"/>
        </w:rPr>
      </w:pPr>
      <w:r>
        <w:rPr>
          <w:rFonts w:hint="eastAsia" w:ascii="宋体"/>
          <w:sz w:val="28"/>
          <w:szCs w:val="28"/>
        </w:rPr>
        <w:t>豫中达信资评报字</w:t>
      </w:r>
      <w:r>
        <w:rPr>
          <w:rFonts w:ascii="宋体"/>
          <w:sz w:val="28"/>
          <w:szCs w:val="28"/>
        </w:rPr>
        <w:t>(</w:t>
      </w:r>
      <w:r>
        <w:rPr>
          <w:rFonts w:hint="eastAsia" w:ascii="宋体"/>
          <w:sz w:val="28"/>
          <w:szCs w:val="28"/>
        </w:rPr>
        <w:t>2021</w:t>
      </w:r>
      <w:r>
        <w:rPr>
          <w:rFonts w:ascii="宋体"/>
          <w:sz w:val="28"/>
          <w:szCs w:val="28"/>
        </w:rPr>
        <w:t>)</w:t>
      </w:r>
      <w:r>
        <w:rPr>
          <w:rFonts w:hint="eastAsia" w:ascii="宋体"/>
          <w:sz w:val="28"/>
          <w:szCs w:val="28"/>
        </w:rPr>
        <w:t>第0801号</w:t>
      </w:r>
    </w:p>
    <w:p>
      <w:pPr>
        <w:pStyle w:val="53"/>
        <w:adjustRightInd/>
        <w:spacing w:before="120"/>
        <w:textAlignment w:val="bottom"/>
        <w:rPr>
          <w:rFonts w:ascii="宋体" w:eastAsia="宋体"/>
          <w:spacing w:val="120"/>
          <w:szCs w:val="24"/>
        </w:rPr>
      </w:pPr>
    </w:p>
    <w:p>
      <w:pPr>
        <w:autoSpaceDE w:val="0"/>
        <w:autoSpaceDN w:val="0"/>
        <w:spacing w:before="120" w:line="360" w:lineRule="exact"/>
        <w:textAlignment w:val="bottom"/>
        <w:rPr>
          <w:rFonts w:hint="eastAsia" w:ascii="宋体"/>
          <w:spacing w:val="120"/>
          <w:sz w:val="24"/>
        </w:rPr>
      </w:pPr>
    </w:p>
    <w:p>
      <w:pPr>
        <w:pStyle w:val="46"/>
        <w:autoSpaceDE w:val="0"/>
        <w:autoSpaceDN w:val="0"/>
        <w:spacing w:before="120" w:line="360" w:lineRule="auto"/>
        <w:textAlignment w:val="bottom"/>
        <w:rPr>
          <w:rFonts w:hint="eastAsia" w:ascii="宋体" w:hAnsi="Times New Roman"/>
          <w:spacing w:val="120"/>
        </w:rPr>
      </w:pPr>
    </w:p>
    <w:p>
      <w:pPr>
        <w:pStyle w:val="46"/>
        <w:autoSpaceDE w:val="0"/>
        <w:autoSpaceDN w:val="0"/>
        <w:spacing w:before="120" w:line="360" w:lineRule="auto"/>
        <w:textAlignment w:val="bottom"/>
        <w:rPr>
          <w:rFonts w:hint="eastAsia" w:ascii="宋体" w:hAnsi="Times New Roman"/>
          <w:spacing w:val="120"/>
        </w:rPr>
      </w:pPr>
    </w:p>
    <w:p>
      <w:pPr>
        <w:autoSpaceDE w:val="0"/>
        <w:autoSpaceDN w:val="0"/>
        <w:spacing w:before="120" w:line="360" w:lineRule="auto"/>
        <w:jc w:val="center"/>
        <w:textAlignment w:val="bottom"/>
        <w:rPr>
          <w:rFonts w:hint="eastAsia" w:ascii="宋体"/>
          <w:spacing w:val="120"/>
          <w:sz w:val="24"/>
        </w:rPr>
      </w:pPr>
      <w:r>
        <w:rPr>
          <w:rFonts w:hint="eastAsia" w:ascii="宋体"/>
          <w:spacing w:val="120"/>
          <w:sz w:val="24"/>
        </w:rPr>
        <w:drawing>
          <wp:inline distT="0" distB="0" distL="114300" distR="114300">
            <wp:extent cx="1132840" cy="1122680"/>
            <wp:effectExtent l="0" t="0" r="10160" b="7620"/>
            <wp:docPr id="1" name="图片 1" descr="微信图片_20180611154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611154321"/>
                    <pic:cNvPicPr>
                      <a:picLocks noChangeAspect="1"/>
                    </pic:cNvPicPr>
                  </pic:nvPicPr>
                  <pic:blipFill>
                    <a:blip r:embed="rId8"/>
                    <a:stretch>
                      <a:fillRect/>
                    </a:stretch>
                  </pic:blipFill>
                  <pic:spPr>
                    <a:xfrm>
                      <a:off x="0" y="0"/>
                      <a:ext cx="1132840" cy="1122680"/>
                    </a:xfrm>
                    <a:prstGeom prst="rect">
                      <a:avLst/>
                    </a:prstGeom>
                    <a:noFill/>
                    <a:ln>
                      <a:noFill/>
                    </a:ln>
                  </pic:spPr>
                </pic:pic>
              </a:graphicData>
            </a:graphic>
          </wp:inline>
        </w:drawing>
      </w:r>
    </w:p>
    <w:p>
      <w:pPr>
        <w:autoSpaceDE w:val="0"/>
        <w:autoSpaceDN w:val="0"/>
        <w:spacing w:before="120" w:line="360" w:lineRule="auto"/>
        <w:textAlignment w:val="bottom"/>
        <w:rPr>
          <w:rFonts w:ascii="宋体"/>
          <w:spacing w:val="120"/>
          <w:sz w:val="24"/>
        </w:rPr>
      </w:pPr>
    </w:p>
    <w:p>
      <w:pPr>
        <w:autoSpaceDE w:val="0"/>
        <w:autoSpaceDN w:val="0"/>
        <w:spacing w:before="120" w:after="120" w:line="360" w:lineRule="exact"/>
        <w:textAlignment w:val="bottom"/>
        <w:outlineLvl w:val="0"/>
        <w:rPr>
          <w:rFonts w:hint="eastAsia" w:ascii="宋体"/>
          <w:spacing w:val="5"/>
          <w:sz w:val="24"/>
        </w:rPr>
      </w:pPr>
    </w:p>
    <w:p>
      <w:pPr>
        <w:autoSpaceDE w:val="0"/>
        <w:autoSpaceDN w:val="0"/>
        <w:spacing w:before="120" w:after="120" w:line="360" w:lineRule="exact"/>
        <w:textAlignment w:val="bottom"/>
        <w:outlineLvl w:val="0"/>
        <w:rPr>
          <w:rFonts w:hint="eastAsia" w:ascii="宋体"/>
          <w:spacing w:val="5"/>
          <w:sz w:val="24"/>
        </w:rPr>
      </w:pPr>
    </w:p>
    <w:p>
      <w:pPr>
        <w:autoSpaceDE w:val="0"/>
        <w:autoSpaceDN w:val="0"/>
        <w:spacing w:before="120" w:after="120" w:line="360" w:lineRule="exact"/>
        <w:textAlignment w:val="bottom"/>
        <w:outlineLvl w:val="0"/>
        <w:rPr>
          <w:rFonts w:hint="eastAsia" w:ascii="宋体"/>
          <w:spacing w:val="5"/>
          <w:sz w:val="24"/>
        </w:rPr>
      </w:pPr>
    </w:p>
    <w:p>
      <w:pPr>
        <w:autoSpaceDE w:val="0"/>
        <w:autoSpaceDN w:val="0"/>
        <w:spacing w:before="120" w:after="120" w:line="360" w:lineRule="exact"/>
        <w:textAlignment w:val="bottom"/>
        <w:outlineLvl w:val="0"/>
        <w:rPr>
          <w:rFonts w:hint="eastAsia" w:ascii="宋体"/>
          <w:spacing w:val="5"/>
          <w:sz w:val="24"/>
        </w:rPr>
      </w:pPr>
    </w:p>
    <w:p>
      <w:pPr>
        <w:autoSpaceDE w:val="0"/>
        <w:autoSpaceDN w:val="0"/>
        <w:spacing w:before="120" w:after="120" w:line="360" w:lineRule="exact"/>
        <w:jc w:val="center"/>
        <w:textAlignment w:val="bottom"/>
        <w:outlineLvl w:val="0"/>
        <w:rPr>
          <w:rFonts w:ascii="宋体"/>
          <w:b/>
          <w:spacing w:val="5"/>
          <w:sz w:val="30"/>
        </w:rPr>
      </w:pPr>
      <w:r>
        <w:rPr>
          <w:rFonts w:hint="eastAsia" w:ascii="宋体"/>
          <w:b/>
          <w:spacing w:val="5"/>
          <w:sz w:val="30"/>
        </w:rPr>
        <w:t>河南中达信资产评估有限公司</w:t>
      </w:r>
    </w:p>
    <w:p>
      <w:pPr>
        <w:autoSpaceDE w:val="0"/>
        <w:autoSpaceDN w:val="0"/>
        <w:spacing w:before="120" w:line="360" w:lineRule="exact"/>
        <w:jc w:val="center"/>
        <w:textAlignment w:val="bottom"/>
        <w:rPr>
          <w:rFonts w:ascii="宋体"/>
          <w:b/>
          <w:spacing w:val="5"/>
          <w:sz w:val="24"/>
        </w:rPr>
      </w:pPr>
      <w:r>
        <w:rPr>
          <w:rFonts w:hint="eastAsia" w:ascii="宋体"/>
          <w:b/>
          <w:spacing w:val="5"/>
          <w:sz w:val="30"/>
        </w:rPr>
        <w:t>二〇二一年八月二日</w:t>
      </w:r>
      <w:r>
        <w:rPr>
          <w:rFonts w:ascii="宋体"/>
          <w:b/>
          <w:spacing w:val="5"/>
          <w:sz w:val="24"/>
        </w:rPr>
        <w:br w:type="page"/>
      </w:r>
    </w:p>
    <w:p>
      <w:pPr>
        <w:autoSpaceDE w:val="0"/>
        <w:autoSpaceDN w:val="0"/>
        <w:spacing w:before="120" w:line="360" w:lineRule="exact"/>
        <w:jc w:val="center"/>
        <w:textAlignment w:val="bottom"/>
        <w:outlineLvl w:val="0"/>
        <w:rPr>
          <w:rFonts w:ascii="宋体"/>
          <w:b/>
          <w:spacing w:val="5"/>
          <w:sz w:val="32"/>
        </w:rPr>
      </w:pPr>
      <w:r>
        <w:rPr>
          <w:rFonts w:hint="eastAsia" w:ascii="宋体"/>
          <w:b/>
          <w:spacing w:val="5"/>
          <w:sz w:val="32"/>
        </w:rPr>
        <w:t>资产评估报告目录</w:t>
      </w:r>
    </w:p>
    <w:p>
      <w:pPr>
        <w:autoSpaceDE w:val="0"/>
        <w:autoSpaceDN w:val="0"/>
        <w:spacing w:before="120" w:line="360" w:lineRule="exact"/>
        <w:textAlignment w:val="bottom"/>
        <w:rPr>
          <w:rFonts w:ascii="宋体"/>
          <w:b/>
          <w:spacing w:val="5"/>
          <w:sz w:val="24"/>
        </w:rPr>
      </w:pPr>
    </w:p>
    <w:p>
      <w:pPr>
        <w:pStyle w:val="21"/>
        <w:rPr>
          <w:rFonts w:ascii="Calibri" w:hAnsi="Calibri"/>
          <w:b w:val="0"/>
          <w:sz w:val="21"/>
          <w:szCs w:val="22"/>
          <w:lang w:val="en-US" w:eastAsia="zh-CN"/>
        </w:rPr>
      </w:pPr>
      <w:r>
        <w:rPr>
          <w:rFonts w:hAnsi="宋体"/>
          <w:b w:val="0"/>
          <w:szCs w:val="24"/>
        </w:rPr>
        <w:fldChar w:fldCharType="begin"/>
      </w:r>
      <w:r>
        <w:rPr>
          <w:rFonts w:hAnsi="宋体"/>
          <w:b w:val="0"/>
          <w:szCs w:val="24"/>
        </w:rPr>
        <w:instrText xml:space="preserve"> TOC \o "1-3" </w:instrText>
      </w:r>
      <w:r>
        <w:rPr>
          <w:rFonts w:hAnsi="宋体"/>
          <w:b w:val="0"/>
          <w:szCs w:val="24"/>
        </w:rPr>
        <w:fldChar w:fldCharType="separate"/>
      </w:r>
      <w:r>
        <w:rPr>
          <w:rFonts w:hint="eastAsia"/>
        </w:rPr>
        <w:t>声</w:t>
      </w:r>
      <w:r>
        <w:rPr>
          <w:rFonts w:hint="eastAsia"/>
          <w:lang w:eastAsia="zh-CN"/>
        </w:rPr>
        <w:t xml:space="preserve">    </w:t>
      </w:r>
      <w:r>
        <w:rPr>
          <w:rFonts w:hint="eastAsia"/>
        </w:rPr>
        <w:t>明</w:t>
      </w:r>
      <w:r>
        <w:tab/>
      </w:r>
      <w:r>
        <w:fldChar w:fldCharType="begin"/>
      </w:r>
      <w:r>
        <w:instrText xml:space="preserve"> PAGEREF _Toc529183752 \h </w:instrText>
      </w:r>
      <w:r>
        <w:fldChar w:fldCharType="separate"/>
      </w:r>
      <w:r>
        <w:t>1</w:t>
      </w:r>
      <w:r>
        <w:fldChar w:fldCharType="end"/>
      </w:r>
    </w:p>
    <w:p>
      <w:pPr>
        <w:pStyle w:val="21"/>
        <w:rPr>
          <w:rFonts w:ascii="Calibri" w:hAnsi="Calibri"/>
          <w:b w:val="0"/>
          <w:sz w:val="21"/>
          <w:szCs w:val="22"/>
          <w:lang w:val="en-US" w:eastAsia="zh-CN"/>
        </w:rPr>
      </w:pPr>
      <w:r>
        <w:rPr>
          <w:rFonts w:hint="eastAsia"/>
        </w:rPr>
        <w:t>资产评估报告摘要</w:t>
      </w:r>
      <w:r>
        <w:tab/>
      </w:r>
      <w:r>
        <w:fldChar w:fldCharType="begin"/>
      </w:r>
      <w:r>
        <w:instrText xml:space="preserve"> PAGEREF _Toc529183753 \h </w:instrText>
      </w:r>
      <w:r>
        <w:fldChar w:fldCharType="separate"/>
      </w:r>
      <w:r>
        <w:t>2</w:t>
      </w:r>
      <w:r>
        <w:fldChar w:fldCharType="end"/>
      </w:r>
    </w:p>
    <w:p>
      <w:pPr>
        <w:pStyle w:val="21"/>
        <w:rPr>
          <w:rFonts w:ascii="Calibri" w:hAnsi="Calibri"/>
          <w:b w:val="0"/>
          <w:sz w:val="21"/>
          <w:szCs w:val="22"/>
          <w:lang w:val="en-US" w:eastAsia="zh-CN"/>
        </w:rPr>
      </w:pPr>
      <w:r>
        <w:rPr>
          <w:rFonts w:hint="eastAsia"/>
        </w:rPr>
        <w:t>资产评估报告正文</w:t>
      </w:r>
      <w:r>
        <w:tab/>
      </w:r>
      <w:r>
        <w:fldChar w:fldCharType="begin"/>
      </w:r>
      <w:r>
        <w:instrText xml:space="preserve"> PAGEREF _Toc529183754 \h </w:instrText>
      </w:r>
      <w:r>
        <w:fldChar w:fldCharType="separate"/>
      </w:r>
      <w:r>
        <w:t>3</w:t>
      </w:r>
      <w:r>
        <w:fldChar w:fldCharType="end"/>
      </w:r>
    </w:p>
    <w:p>
      <w:pPr>
        <w:pStyle w:val="21"/>
        <w:rPr>
          <w:rFonts w:ascii="Calibri" w:hAnsi="Calibri"/>
          <w:b w:val="0"/>
          <w:sz w:val="21"/>
          <w:szCs w:val="22"/>
          <w:lang w:val="en-US" w:eastAsia="zh-CN"/>
        </w:rPr>
      </w:pPr>
      <w:r>
        <w:rPr>
          <w:rFonts w:hint="eastAsia"/>
        </w:rPr>
        <w:t>一、</w:t>
      </w:r>
      <w:r>
        <w:rPr>
          <w:rFonts w:ascii="Calibri" w:hAnsi="Calibri"/>
          <w:b w:val="0"/>
          <w:sz w:val="21"/>
          <w:szCs w:val="22"/>
          <w:lang w:val="en-US" w:eastAsia="zh-CN"/>
        </w:rPr>
        <w:tab/>
      </w:r>
      <w:r>
        <w:rPr>
          <w:rFonts w:hint="eastAsia"/>
        </w:rPr>
        <w:t>委托人及其他资产评估报告使用人</w:t>
      </w:r>
      <w:r>
        <w:tab/>
      </w:r>
      <w:r>
        <w:fldChar w:fldCharType="begin"/>
      </w:r>
      <w:r>
        <w:instrText xml:space="preserve"> PAGEREF _Toc529183755 \h </w:instrText>
      </w:r>
      <w:r>
        <w:fldChar w:fldCharType="separate"/>
      </w:r>
      <w:r>
        <w:t>3</w:t>
      </w:r>
      <w:r>
        <w:fldChar w:fldCharType="end"/>
      </w:r>
    </w:p>
    <w:p>
      <w:pPr>
        <w:pStyle w:val="21"/>
        <w:rPr>
          <w:rFonts w:ascii="Calibri" w:hAnsi="Calibri"/>
          <w:b w:val="0"/>
          <w:sz w:val="21"/>
          <w:szCs w:val="22"/>
          <w:lang w:val="en-US" w:eastAsia="zh-CN"/>
        </w:rPr>
      </w:pPr>
      <w:r>
        <w:rPr>
          <w:rFonts w:hint="eastAsia"/>
        </w:rPr>
        <w:t>二、</w:t>
      </w:r>
      <w:r>
        <w:rPr>
          <w:rFonts w:ascii="Calibri" w:hAnsi="Calibri"/>
          <w:b w:val="0"/>
          <w:sz w:val="21"/>
          <w:szCs w:val="22"/>
          <w:lang w:val="en-US" w:eastAsia="zh-CN"/>
        </w:rPr>
        <w:tab/>
      </w:r>
      <w:r>
        <w:rPr>
          <w:rFonts w:hint="eastAsia"/>
        </w:rPr>
        <w:t>评估目的</w:t>
      </w:r>
      <w:r>
        <w:tab/>
      </w:r>
      <w:r>
        <w:fldChar w:fldCharType="begin"/>
      </w:r>
      <w:r>
        <w:instrText xml:space="preserve"> PAGEREF _Toc529183756 \h </w:instrText>
      </w:r>
      <w:r>
        <w:fldChar w:fldCharType="separate"/>
      </w:r>
      <w:r>
        <w:t>3</w:t>
      </w:r>
      <w:r>
        <w:fldChar w:fldCharType="end"/>
      </w:r>
    </w:p>
    <w:p>
      <w:pPr>
        <w:pStyle w:val="21"/>
        <w:rPr>
          <w:rFonts w:ascii="Calibri" w:hAnsi="Calibri"/>
          <w:b w:val="0"/>
          <w:sz w:val="21"/>
          <w:szCs w:val="22"/>
          <w:lang w:val="en-US" w:eastAsia="zh-CN"/>
        </w:rPr>
      </w:pPr>
      <w:r>
        <w:rPr>
          <w:rFonts w:hint="eastAsia"/>
        </w:rPr>
        <w:t>三、</w:t>
      </w:r>
      <w:r>
        <w:rPr>
          <w:rFonts w:ascii="Calibri" w:hAnsi="Calibri"/>
          <w:b w:val="0"/>
          <w:sz w:val="21"/>
          <w:szCs w:val="22"/>
          <w:lang w:val="en-US" w:eastAsia="zh-CN"/>
        </w:rPr>
        <w:tab/>
      </w:r>
      <w:r>
        <w:rPr>
          <w:rFonts w:hint="eastAsia"/>
        </w:rPr>
        <w:t>评估对象和评估范围</w:t>
      </w:r>
      <w:r>
        <w:tab/>
      </w:r>
      <w:r>
        <w:fldChar w:fldCharType="begin"/>
      </w:r>
      <w:r>
        <w:instrText xml:space="preserve"> PAGEREF _Toc529183757 \h </w:instrText>
      </w:r>
      <w:r>
        <w:fldChar w:fldCharType="separate"/>
      </w:r>
      <w:r>
        <w:t>4</w:t>
      </w:r>
      <w:r>
        <w:fldChar w:fldCharType="end"/>
      </w:r>
    </w:p>
    <w:p>
      <w:pPr>
        <w:pStyle w:val="21"/>
        <w:rPr>
          <w:rFonts w:ascii="Calibri" w:hAnsi="Calibri"/>
          <w:b w:val="0"/>
          <w:sz w:val="21"/>
          <w:szCs w:val="22"/>
          <w:lang w:val="en-US" w:eastAsia="zh-CN"/>
        </w:rPr>
      </w:pPr>
      <w:r>
        <w:rPr>
          <w:rFonts w:hint="eastAsia"/>
        </w:rPr>
        <w:t>四、</w:t>
      </w:r>
      <w:r>
        <w:rPr>
          <w:rFonts w:ascii="Calibri" w:hAnsi="Calibri"/>
          <w:b w:val="0"/>
          <w:sz w:val="21"/>
          <w:szCs w:val="22"/>
          <w:lang w:val="en-US" w:eastAsia="zh-CN"/>
        </w:rPr>
        <w:tab/>
      </w:r>
      <w:r>
        <w:rPr>
          <w:rFonts w:hint="eastAsia"/>
        </w:rPr>
        <w:t>价值类型</w:t>
      </w:r>
      <w:r>
        <w:tab/>
      </w:r>
      <w:r>
        <w:fldChar w:fldCharType="begin"/>
      </w:r>
      <w:r>
        <w:instrText xml:space="preserve"> PAGEREF _Toc529183758 \h </w:instrText>
      </w:r>
      <w:r>
        <w:fldChar w:fldCharType="separate"/>
      </w:r>
      <w:r>
        <w:t>4</w:t>
      </w:r>
      <w:r>
        <w:fldChar w:fldCharType="end"/>
      </w:r>
    </w:p>
    <w:p>
      <w:pPr>
        <w:pStyle w:val="21"/>
        <w:rPr>
          <w:rFonts w:ascii="Calibri" w:hAnsi="Calibri"/>
          <w:b w:val="0"/>
          <w:sz w:val="21"/>
          <w:szCs w:val="22"/>
          <w:lang w:val="en-US" w:eastAsia="zh-CN"/>
        </w:rPr>
      </w:pPr>
      <w:r>
        <w:rPr>
          <w:rFonts w:hint="eastAsia"/>
        </w:rPr>
        <w:t>五、</w:t>
      </w:r>
      <w:r>
        <w:rPr>
          <w:rFonts w:ascii="Calibri" w:hAnsi="Calibri"/>
          <w:b w:val="0"/>
          <w:sz w:val="21"/>
          <w:szCs w:val="22"/>
          <w:lang w:val="en-US" w:eastAsia="zh-CN"/>
        </w:rPr>
        <w:tab/>
      </w:r>
      <w:r>
        <w:rPr>
          <w:rFonts w:hint="eastAsia"/>
        </w:rPr>
        <w:t>评估基准日</w:t>
      </w:r>
      <w:r>
        <w:tab/>
      </w:r>
      <w:r>
        <w:fldChar w:fldCharType="begin"/>
      </w:r>
      <w:r>
        <w:instrText xml:space="preserve"> PAGEREF _Toc529183759 \h </w:instrText>
      </w:r>
      <w:r>
        <w:fldChar w:fldCharType="separate"/>
      </w:r>
      <w:r>
        <w:t>4</w:t>
      </w:r>
      <w:r>
        <w:fldChar w:fldCharType="end"/>
      </w:r>
    </w:p>
    <w:p>
      <w:pPr>
        <w:pStyle w:val="21"/>
        <w:rPr>
          <w:rFonts w:ascii="Calibri" w:hAnsi="Calibri"/>
          <w:b w:val="0"/>
          <w:sz w:val="21"/>
          <w:szCs w:val="22"/>
          <w:lang w:val="en-US" w:eastAsia="zh-CN"/>
        </w:rPr>
      </w:pPr>
      <w:r>
        <w:rPr>
          <w:rFonts w:hint="eastAsia"/>
        </w:rPr>
        <w:t>六、</w:t>
      </w:r>
      <w:r>
        <w:rPr>
          <w:rFonts w:ascii="Calibri" w:hAnsi="Calibri"/>
          <w:b w:val="0"/>
          <w:sz w:val="21"/>
          <w:szCs w:val="22"/>
          <w:lang w:val="en-US" w:eastAsia="zh-CN"/>
        </w:rPr>
        <w:tab/>
      </w:r>
      <w:r>
        <w:rPr>
          <w:rFonts w:hint="eastAsia"/>
        </w:rPr>
        <w:t>评估依据</w:t>
      </w:r>
      <w:r>
        <w:tab/>
      </w:r>
      <w:r>
        <w:fldChar w:fldCharType="begin"/>
      </w:r>
      <w:r>
        <w:instrText xml:space="preserve"> PAGEREF _Toc529183760 \h </w:instrText>
      </w:r>
      <w:r>
        <w:fldChar w:fldCharType="separate"/>
      </w:r>
      <w:r>
        <w:t>5</w:t>
      </w:r>
      <w:r>
        <w:fldChar w:fldCharType="end"/>
      </w:r>
    </w:p>
    <w:p>
      <w:pPr>
        <w:pStyle w:val="21"/>
        <w:rPr>
          <w:rFonts w:ascii="Calibri" w:hAnsi="Calibri"/>
          <w:b w:val="0"/>
          <w:sz w:val="21"/>
          <w:szCs w:val="22"/>
          <w:lang w:val="en-US" w:eastAsia="zh-CN"/>
        </w:rPr>
      </w:pPr>
      <w:r>
        <w:rPr>
          <w:rFonts w:hint="eastAsia"/>
        </w:rPr>
        <w:t>七、</w:t>
      </w:r>
      <w:r>
        <w:rPr>
          <w:rFonts w:ascii="Calibri" w:hAnsi="Calibri"/>
          <w:b w:val="0"/>
          <w:sz w:val="21"/>
          <w:szCs w:val="22"/>
          <w:lang w:val="en-US" w:eastAsia="zh-CN"/>
        </w:rPr>
        <w:tab/>
      </w:r>
      <w:r>
        <w:rPr>
          <w:rFonts w:hint="eastAsia"/>
        </w:rPr>
        <w:t>评估方法</w:t>
      </w:r>
      <w:r>
        <w:tab/>
      </w:r>
      <w:r>
        <w:fldChar w:fldCharType="begin"/>
      </w:r>
      <w:r>
        <w:instrText xml:space="preserve"> PAGEREF _Toc529183761 \h </w:instrText>
      </w:r>
      <w:r>
        <w:fldChar w:fldCharType="separate"/>
      </w:r>
      <w:r>
        <w:t>6</w:t>
      </w:r>
      <w:r>
        <w:fldChar w:fldCharType="end"/>
      </w:r>
    </w:p>
    <w:p>
      <w:pPr>
        <w:pStyle w:val="21"/>
        <w:rPr>
          <w:rFonts w:ascii="Calibri" w:hAnsi="Calibri"/>
          <w:b w:val="0"/>
          <w:sz w:val="21"/>
          <w:szCs w:val="22"/>
          <w:lang w:val="en-US" w:eastAsia="zh-CN"/>
        </w:rPr>
      </w:pPr>
      <w:r>
        <w:rPr>
          <w:rFonts w:hint="eastAsia"/>
        </w:rPr>
        <w:t>八、</w:t>
      </w:r>
      <w:r>
        <w:rPr>
          <w:rFonts w:ascii="Calibri" w:hAnsi="Calibri"/>
          <w:b w:val="0"/>
          <w:sz w:val="21"/>
          <w:szCs w:val="22"/>
          <w:lang w:val="en-US" w:eastAsia="zh-CN"/>
        </w:rPr>
        <w:tab/>
      </w:r>
      <w:r>
        <w:rPr>
          <w:rFonts w:hint="eastAsia"/>
        </w:rPr>
        <w:t>评估程序实施过程和情况</w:t>
      </w:r>
      <w:r>
        <w:tab/>
      </w:r>
      <w:r>
        <w:fldChar w:fldCharType="begin"/>
      </w:r>
      <w:r>
        <w:instrText xml:space="preserve"> PAGEREF _Toc529183762 \h </w:instrText>
      </w:r>
      <w:r>
        <w:fldChar w:fldCharType="separate"/>
      </w:r>
      <w:r>
        <w:t>7</w:t>
      </w:r>
      <w:r>
        <w:fldChar w:fldCharType="end"/>
      </w:r>
    </w:p>
    <w:p>
      <w:pPr>
        <w:pStyle w:val="21"/>
        <w:rPr>
          <w:rFonts w:ascii="Calibri" w:hAnsi="Calibri"/>
          <w:b w:val="0"/>
          <w:sz w:val="21"/>
          <w:szCs w:val="22"/>
          <w:lang w:val="en-US" w:eastAsia="zh-CN"/>
        </w:rPr>
      </w:pPr>
      <w:r>
        <w:rPr>
          <w:rFonts w:hint="eastAsia"/>
        </w:rPr>
        <w:t>九、</w:t>
      </w:r>
      <w:r>
        <w:rPr>
          <w:rFonts w:ascii="Calibri" w:hAnsi="Calibri"/>
          <w:b w:val="0"/>
          <w:sz w:val="21"/>
          <w:szCs w:val="22"/>
          <w:lang w:val="en-US" w:eastAsia="zh-CN"/>
        </w:rPr>
        <w:tab/>
      </w:r>
      <w:r>
        <w:rPr>
          <w:rFonts w:hint="eastAsia"/>
        </w:rPr>
        <w:t>评估假设</w:t>
      </w:r>
      <w:r>
        <w:tab/>
      </w:r>
      <w:r>
        <w:fldChar w:fldCharType="begin"/>
      </w:r>
      <w:r>
        <w:instrText xml:space="preserve"> PAGEREF _Toc529183763 \h </w:instrText>
      </w:r>
      <w:r>
        <w:fldChar w:fldCharType="separate"/>
      </w:r>
      <w:r>
        <w:t>8</w:t>
      </w:r>
      <w:r>
        <w:fldChar w:fldCharType="end"/>
      </w:r>
    </w:p>
    <w:p>
      <w:pPr>
        <w:pStyle w:val="21"/>
        <w:rPr>
          <w:rFonts w:ascii="Calibri" w:hAnsi="Calibri"/>
          <w:b w:val="0"/>
          <w:sz w:val="21"/>
          <w:szCs w:val="22"/>
          <w:lang w:val="en-US" w:eastAsia="zh-CN"/>
        </w:rPr>
      </w:pPr>
      <w:r>
        <w:rPr>
          <w:rFonts w:hint="eastAsia"/>
        </w:rPr>
        <w:t>十、</w:t>
      </w:r>
      <w:r>
        <w:rPr>
          <w:rFonts w:ascii="Calibri" w:hAnsi="Calibri"/>
          <w:b w:val="0"/>
          <w:sz w:val="21"/>
          <w:szCs w:val="22"/>
          <w:lang w:val="en-US" w:eastAsia="zh-CN"/>
        </w:rPr>
        <w:tab/>
      </w:r>
      <w:r>
        <w:rPr>
          <w:rFonts w:hint="eastAsia"/>
        </w:rPr>
        <w:t>评估结论</w:t>
      </w:r>
      <w:r>
        <w:tab/>
      </w:r>
      <w:r>
        <w:fldChar w:fldCharType="begin"/>
      </w:r>
      <w:r>
        <w:instrText xml:space="preserve"> PAGEREF _Toc529183764 \h </w:instrText>
      </w:r>
      <w:r>
        <w:fldChar w:fldCharType="separate"/>
      </w:r>
      <w:r>
        <w:t>8</w:t>
      </w:r>
      <w:r>
        <w:fldChar w:fldCharType="end"/>
      </w:r>
    </w:p>
    <w:p>
      <w:pPr>
        <w:pStyle w:val="21"/>
        <w:rPr>
          <w:rFonts w:ascii="Calibri" w:hAnsi="Calibri"/>
          <w:b w:val="0"/>
          <w:sz w:val="21"/>
          <w:szCs w:val="22"/>
          <w:lang w:val="en-US" w:eastAsia="zh-CN"/>
        </w:rPr>
      </w:pPr>
      <w:r>
        <w:rPr>
          <w:rFonts w:hint="eastAsia"/>
        </w:rPr>
        <w:t>十一、特别事项说明</w:t>
      </w:r>
      <w:r>
        <w:tab/>
      </w:r>
      <w:r>
        <w:fldChar w:fldCharType="begin"/>
      </w:r>
      <w:r>
        <w:instrText xml:space="preserve"> PAGEREF _Toc529183765 \h </w:instrText>
      </w:r>
      <w:r>
        <w:fldChar w:fldCharType="separate"/>
      </w:r>
      <w:r>
        <w:t>9</w:t>
      </w:r>
      <w:r>
        <w:fldChar w:fldCharType="end"/>
      </w:r>
    </w:p>
    <w:p>
      <w:pPr>
        <w:pStyle w:val="21"/>
        <w:rPr>
          <w:rFonts w:hint="default" w:ascii="Calibri" w:hAnsi="Calibri"/>
          <w:b w:val="0"/>
          <w:sz w:val="21"/>
          <w:szCs w:val="22"/>
          <w:lang w:val="en-US" w:eastAsia="zh-CN"/>
        </w:rPr>
      </w:pPr>
      <w:r>
        <w:rPr>
          <w:rFonts w:hint="eastAsia"/>
        </w:rPr>
        <w:t>十二、资产评估报告使用限制说明</w:t>
      </w:r>
      <w:r>
        <w:tab/>
      </w:r>
      <w:r>
        <w:rPr>
          <w:rFonts w:hint="eastAsia"/>
          <w:lang w:val="en-US" w:eastAsia="zh-CN"/>
        </w:rPr>
        <w:t>10</w:t>
      </w:r>
    </w:p>
    <w:p>
      <w:pPr>
        <w:pStyle w:val="21"/>
        <w:rPr>
          <w:rFonts w:ascii="Calibri" w:hAnsi="Calibri"/>
          <w:b w:val="0"/>
          <w:sz w:val="21"/>
          <w:szCs w:val="22"/>
          <w:lang w:val="en-US" w:eastAsia="zh-CN"/>
        </w:rPr>
      </w:pPr>
      <w:r>
        <w:rPr>
          <w:rFonts w:hint="eastAsia"/>
        </w:rPr>
        <w:t>十三、资产评估报告日</w:t>
      </w:r>
      <w:r>
        <w:tab/>
      </w:r>
      <w:r>
        <w:fldChar w:fldCharType="begin"/>
      </w:r>
      <w:r>
        <w:instrText xml:space="preserve"> PAGEREF _Toc529183767 \h </w:instrText>
      </w:r>
      <w:r>
        <w:fldChar w:fldCharType="separate"/>
      </w:r>
      <w:r>
        <w:t>10</w:t>
      </w:r>
      <w:r>
        <w:fldChar w:fldCharType="end"/>
      </w:r>
    </w:p>
    <w:p>
      <w:pPr>
        <w:pStyle w:val="21"/>
        <w:rPr>
          <w:rFonts w:ascii="Calibri" w:hAnsi="Calibri"/>
          <w:b w:val="0"/>
          <w:sz w:val="21"/>
          <w:szCs w:val="22"/>
          <w:lang w:val="en-US" w:eastAsia="zh-CN"/>
        </w:rPr>
      </w:pPr>
      <w:r>
        <w:rPr>
          <w:rFonts w:hint="eastAsia"/>
        </w:rPr>
        <w:t>十四、资产评估师签名和资产评估机构印章</w:t>
      </w:r>
      <w:r>
        <w:tab/>
      </w:r>
      <w:r>
        <w:fldChar w:fldCharType="begin"/>
      </w:r>
      <w:r>
        <w:instrText xml:space="preserve"> PAGEREF _Toc529183768 \h </w:instrText>
      </w:r>
      <w:r>
        <w:fldChar w:fldCharType="separate"/>
      </w:r>
      <w:r>
        <w:t>10</w:t>
      </w:r>
      <w:r>
        <w:fldChar w:fldCharType="end"/>
      </w:r>
    </w:p>
    <w:p>
      <w:pPr>
        <w:tabs>
          <w:tab w:val="left" w:pos="7200"/>
        </w:tabs>
        <w:autoSpaceDE w:val="0"/>
        <w:autoSpaceDN w:val="0"/>
        <w:spacing w:before="60" w:after="60" w:line="360" w:lineRule="auto"/>
        <w:textAlignment w:val="bottom"/>
        <w:rPr>
          <w:rFonts w:hint="eastAsia" w:ascii="宋体"/>
          <w:sz w:val="24"/>
        </w:rPr>
      </w:pPr>
      <w:r>
        <w:rPr>
          <w:rFonts w:ascii="宋体" w:hAnsi="宋体"/>
          <w:sz w:val="24"/>
          <w:szCs w:val="24"/>
        </w:rPr>
        <w:fldChar w:fldCharType="end"/>
      </w:r>
      <w:r>
        <w:rPr>
          <w:rFonts w:hint="eastAsia" w:ascii="宋体" w:hAnsi="Wingdings"/>
          <w:sz w:val="24"/>
        </w:rPr>
        <w:t>附件</w:t>
      </w:r>
    </w:p>
    <w:p>
      <w:pPr>
        <w:autoSpaceDE w:val="0"/>
        <w:autoSpaceDN w:val="0"/>
        <w:spacing w:before="120" w:line="360" w:lineRule="exact"/>
        <w:textAlignment w:val="bottom"/>
        <w:rPr>
          <w:rFonts w:ascii="宋体"/>
          <w:b/>
          <w:spacing w:val="5"/>
          <w:sz w:val="24"/>
        </w:rPr>
      </w:pPr>
    </w:p>
    <w:p>
      <w:pPr>
        <w:autoSpaceDE w:val="0"/>
        <w:autoSpaceDN w:val="0"/>
        <w:spacing w:before="120" w:line="360" w:lineRule="exact"/>
        <w:textAlignment w:val="bottom"/>
        <w:rPr>
          <w:rFonts w:ascii="宋体"/>
          <w:spacing w:val="5"/>
          <w:sz w:val="24"/>
        </w:rPr>
      </w:pPr>
    </w:p>
    <w:p>
      <w:pPr>
        <w:rPr>
          <w:rFonts w:ascii="宋体"/>
          <w:sz w:val="24"/>
        </w:rPr>
      </w:pPr>
    </w:p>
    <w:p>
      <w:pPr>
        <w:rPr>
          <w:rFonts w:ascii="宋体"/>
          <w:sz w:val="24"/>
        </w:rPr>
      </w:pPr>
    </w:p>
    <w:p>
      <w:pPr>
        <w:rPr>
          <w:rFonts w:ascii="宋体"/>
          <w:sz w:val="24"/>
        </w:rPr>
      </w:pPr>
    </w:p>
    <w:p>
      <w:pPr>
        <w:tabs>
          <w:tab w:val="left" w:pos="3070"/>
        </w:tabs>
        <w:rPr>
          <w:rFonts w:ascii="宋体"/>
          <w:sz w:val="24"/>
        </w:rPr>
      </w:pPr>
      <w:r>
        <w:rPr>
          <w:rFonts w:ascii="宋体"/>
          <w:sz w:val="24"/>
        </w:rPr>
        <w:tab/>
      </w:r>
    </w:p>
    <w:p>
      <w:pPr>
        <w:tabs>
          <w:tab w:val="left" w:pos="3070"/>
        </w:tabs>
        <w:rPr>
          <w:rFonts w:ascii="宋体"/>
          <w:sz w:val="24"/>
        </w:rPr>
        <w:sectPr>
          <w:footerReference r:id="rId5" w:type="first"/>
          <w:headerReference r:id="rId3" w:type="default"/>
          <w:footerReference r:id="rId4" w:type="default"/>
          <w:type w:val="continuous"/>
          <w:pgSz w:w="11907" w:h="16840"/>
          <w:pgMar w:top="1440" w:right="850" w:bottom="1440" w:left="1797" w:header="936" w:footer="709" w:gutter="0"/>
          <w:pgNumType w:start="1"/>
          <w:cols w:space="720" w:num="1"/>
          <w:titlePg/>
        </w:sectPr>
      </w:pPr>
      <w:r>
        <w:rPr>
          <w:rFonts w:ascii="宋体"/>
          <w:sz w:val="24"/>
        </w:rPr>
        <w:tab/>
      </w:r>
    </w:p>
    <w:p>
      <w:pPr>
        <w:pStyle w:val="2"/>
        <w:spacing w:before="0" w:after="0" w:line="360" w:lineRule="exact"/>
        <w:jc w:val="center"/>
        <w:rPr>
          <w:rFonts w:hint="eastAsia"/>
          <w:kern w:val="2"/>
          <w:sz w:val="32"/>
          <w:szCs w:val="32"/>
        </w:rPr>
      </w:pPr>
      <w:bookmarkStart w:id="0" w:name="_Toc529183752"/>
      <w:r>
        <w:rPr>
          <w:rFonts w:hint="eastAsia"/>
          <w:kern w:val="2"/>
          <w:sz w:val="32"/>
          <w:szCs w:val="32"/>
        </w:rPr>
        <w:t>声  明</w:t>
      </w:r>
      <w:bookmarkEnd w:id="0"/>
    </w:p>
    <w:p>
      <w:pPr>
        <w:autoSpaceDE w:val="0"/>
        <w:autoSpaceDN w:val="0"/>
        <w:spacing w:before="60" w:after="60" w:line="360" w:lineRule="exact"/>
        <w:ind w:firstLine="482"/>
        <w:textAlignment w:val="bottom"/>
        <w:rPr>
          <w:rFonts w:hint="eastAsia" w:ascii="宋体"/>
          <w:sz w:val="24"/>
        </w:rPr>
      </w:pPr>
    </w:p>
    <w:p>
      <w:pPr>
        <w:tabs>
          <w:tab w:val="left" w:pos="1276"/>
        </w:tabs>
        <w:spacing w:line="360" w:lineRule="auto"/>
        <w:ind w:firstLine="424" w:firstLineChars="177"/>
        <w:rPr>
          <w:rFonts w:ascii="宋体" w:hAnsi="宋体"/>
          <w:sz w:val="24"/>
          <w:szCs w:val="24"/>
        </w:rPr>
      </w:pPr>
      <w:r>
        <w:rPr>
          <w:rFonts w:hint="eastAsia" w:ascii="宋体" w:hAnsi="宋体"/>
          <w:sz w:val="24"/>
          <w:szCs w:val="24"/>
        </w:rPr>
        <w:t>一、本资产评估报告依据财政部发布的资产评估基本准则和中国资产评估协会发布的资产评估执业准则和职业道德准则编制</w:t>
      </w:r>
      <w:r>
        <w:rPr>
          <w:rFonts w:ascii="宋体" w:hAnsi="宋体"/>
          <w:sz w:val="24"/>
          <w:szCs w:val="24"/>
        </w:rPr>
        <w:t>。</w:t>
      </w:r>
    </w:p>
    <w:p>
      <w:pPr>
        <w:tabs>
          <w:tab w:val="left" w:pos="1276"/>
        </w:tabs>
        <w:spacing w:line="360" w:lineRule="auto"/>
        <w:ind w:firstLine="424" w:firstLineChars="177"/>
        <w:rPr>
          <w:rFonts w:ascii="宋体" w:hAnsi="宋体"/>
          <w:sz w:val="24"/>
          <w:szCs w:val="24"/>
        </w:rPr>
      </w:pPr>
      <w:r>
        <w:rPr>
          <w:rFonts w:hint="eastAsia" w:ascii="宋体" w:hAnsi="宋体"/>
          <w:sz w:val="24"/>
          <w:szCs w:val="24"/>
        </w:rPr>
        <w:t>二、委托人或者其他资产评估报告使用人应当按照法律、行政法规规定和资产评估报告载明的使用范围使用资产评估报告；委托人或者其他资产评估报告使用人违反前述规定使用资产评估报告的，资产评估机构及其资产评估专业人员不承担责任</w:t>
      </w:r>
      <w:r>
        <w:rPr>
          <w:rFonts w:ascii="宋体" w:hAnsi="宋体"/>
          <w:sz w:val="24"/>
          <w:szCs w:val="24"/>
        </w:rPr>
        <w:t>。</w:t>
      </w:r>
    </w:p>
    <w:p>
      <w:pPr>
        <w:spacing w:line="360" w:lineRule="auto"/>
        <w:ind w:firstLine="480" w:firstLineChars="200"/>
        <w:rPr>
          <w:rFonts w:ascii="Arial Narrow" w:hAnsi="Arial Narrow"/>
          <w:sz w:val="24"/>
          <w:szCs w:val="24"/>
        </w:rPr>
      </w:pPr>
      <w:r>
        <w:rPr>
          <w:rFonts w:hint="eastAsia" w:ascii="Arial Narrow" w:hAnsi="Arial Narrow"/>
          <w:sz w:val="24"/>
          <w:szCs w:val="24"/>
        </w:rPr>
        <w:t>本资产评估报告仅供委托人、案件当事人、法律、行政法规规定的资产评估报告使用人使用；除此之外，其他任何机构和个人不能成为资产评估报告的使用人。</w:t>
      </w:r>
    </w:p>
    <w:p>
      <w:pPr>
        <w:tabs>
          <w:tab w:val="left" w:pos="1276"/>
        </w:tabs>
        <w:spacing w:line="360" w:lineRule="auto"/>
        <w:ind w:firstLine="424" w:firstLineChars="177"/>
        <w:rPr>
          <w:rFonts w:hint="eastAsia" w:ascii="宋体" w:hAnsi="宋体"/>
          <w:sz w:val="24"/>
          <w:szCs w:val="24"/>
        </w:rPr>
      </w:pPr>
      <w:r>
        <w:rPr>
          <w:rFonts w:hint="eastAsia" w:ascii="宋体" w:hAnsi="宋体"/>
          <w:sz w:val="24"/>
          <w:szCs w:val="24"/>
        </w:rPr>
        <w:t>三、本资产评估机构及资产评估师遵守法律、行政法规、司法解释、资产评估准则的规定， 坚持独立、客观和公正的原则，并对所出具的资产评估报告依法承担责任。</w:t>
      </w:r>
    </w:p>
    <w:p>
      <w:pPr>
        <w:tabs>
          <w:tab w:val="left" w:pos="1276"/>
        </w:tabs>
        <w:spacing w:line="360" w:lineRule="auto"/>
        <w:ind w:firstLine="424" w:firstLineChars="177"/>
        <w:rPr>
          <w:rFonts w:ascii="宋体" w:hAnsi="宋体"/>
          <w:sz w:val="24"/>
          <w:szCs w:val="24"/>
        </w:rPr>
      </w:pPr>
      <w:r>
        <w:rPr>
          <w:rFonts w:hint="eastAsia" w:ascii="宋体" w:hAnsi="宋体"/>
          <w:sz w:val="24"/>
          <w:szCs w:val="24"/>
        </w:rPr>
        <w:t>四、本资产评估报告是根据人民法院及相关当事人提供的资料和信息出具，资料和信息的真实性、完整性、合法性对评估结论构成影响，依据同一标的资产的其他资料或者信息可能得出与本报告不一致的评估结论。资产评估报告使用人应当正确理解评估结论，评估结论不等同于评估对象可实现价格，评估结论不应当被认为是对评估对象可实现价格的保证。</w:t>
      </w:r>
    </w:p>
    <w:p>
      <w:pPr>
        <w:tabs>
          <w:tab w:val="left" w:pos="1276"/>
        </w:tabs>
        <w:spacing w:line="360" w:lineRule="auto"/>
        <w:ind w:firstLine="424" w:firstLineChars="177"/>
        <w:rPr>
          <w:rFonts w:ascii="宋体" w:hAnsi="宋体"/>
          <w:sz w:val="24"/>
          <w:szCs w:val="24"/>
        </w:rPr>
      </w:pPr>
      <w:r>
        <w:rPr>
          <w:rFonts w:hint="eastAsia" w:ascii="宋体" w:hAnsi="宋体"/>
          <w:sz w:val="24"/>
          <w:szCs w:val="24"/>
        </w:rPr>
        <w:t>五、本资产评估机构及资产评估师与资产评估报告中的评估对象没有现存或者预期的利益关系；与相关当事人没有现存或者预期的利益关系，对相关当事人不存在偏见。</w:t>
      </w:r>
    </w:p>
    <w:p>
      <w:pPr>
        <w:tabs>
          <w:tab w:val="left" w:pos="1276"/>
        </w:tabs>
        <w:spacing w:line="360" w:lineRule="auto"/>
        <w:ind w:firstLine="424" w:firstLineChars="177"/>
        <w:rPr>
          <w:rFonts w:ascii="宋体" w:hAnsi="宋体"/>
          <w:sz w:val="24"/>
          <w:szCs w:val="24"/>
        </w:rPr>
      </w:pPr>
      <w:r>
        <w:rPr>
          <w:rFonts w:hint="eastAsia" w:ascii="宋体" w:hAnsi="宋体"/>
          <w:sz w:val="24"/>
          <w:szCs w:val="24"/>
        </w:rPr>
        <w:t>六、资产评估师已经对资产评估报告中的评估对象及其所涉及资产进行现场调查；已经对评估对象及其所涉及资产的法律权属状况给予必要的关注，对评估对象及其所涉及资产的法律权属资料进行了查验，对已经发现的问题进行了如实披露。</w:t>
      </w:r>
    </w:p>
    <w:p>
      <w:pPr>
        <w:tabs>
          <w:tab w:val="left" w:pos="1276"/>
        </w:tabs>
        <w:spacing w:line="360" w:lineRule="auto"/>
        <w:ind w:firstLine="424" w:firstLineChars="177"/>
        <w:rPr>
          <w:rFonts w:hint="eastAsia" w:ascii="宋体" w:hAnsi="宋体"/>
          <w:sz w:val="24"/>
          <w:szCs w:val="24"/>
        </w:rPr>
      </w:pPr>
      <w:r>
        <w:rPr>
          <w:rFonts w:hint="eastAsia" w:ascii="宋体" w:hAnsi="宋体"/>
          <w:sz w:val="24"/>
          <w:szCs w:val="24"/>
        </w:rPr>
        <w:t>七、本资产评估机构出具的资产评估报告中的分析、判断和结果受资产评估报告中假设和限制条件的限制，资产评估报告使用人应当充分考虑资产评估报告中载明的假设、限制条件、特别事项说明及其对评估结论的影响。</w:t>
      </w:r>
    </w:p>
    <w:p>
      <w:pPr>
        <w:autoSpaceDE w:val="0"/>
        <w:autoSpaceDN w:val="0"/>
        <w:spacing w:before="60" w:after="60" w:line="360" w:lineRule="auto"/>
        <w:textAlignment w:val="bottom"/>
        <w:rPr>
          <w:rFonts w:hint="eastAsia" w:ascii="宋体"/>
          <w:spacing w:val="5"/>
          <w:sz w:val="24"/>
        </w:rPr>
      </w:pPr>
    </w:p>
    <w:p>
      <w:pPr>
        <w:spacing w:before="60" w:after="60" w:line="360" w:lineRule="auto"/>
        <w:jc w:val="center"/>
        <w:rPr>
          <w:rFonts w:hint="eastAsia" w:ascii="宋体"/>
          <w:b/>
          <w:sz w:val="32"/>
          <w:szCs w:val="32"/>
        </w:rPr>
      </w:pPr>
      <w:r>
        <w:rPr>
          <w:rFonts w:ascii="宋体"/>
          <w:b/>
          <w:spacing w:val="5"/>
          <w:sz w:val="32"/>
        </w:rPr>
        <w:br w:type="page"/>
      </w:r>
      <w:bookmarkStart w:id="1" w:name="_Toc529183753"/>
      <w:bookmarkStart w:id="2" w:name="_Toc189466859"/>
      <w:bookmarkStart w:id="3" w:name="_Toc133051028"/>
      <w:r>
        <w:rPr>
          <w:rFonts w:hint="eastAsia" w:ascii="宋体"/>
          <w:b/>
          <w:sz w:val="32"/>
          <w:szCs w:val="32"/>
        </w:rPr>
        <w:t>河南省汝州市人民法院委托司法执行财产处置</w:t>
      </w:r>
    </w:p>
    <w:p>
      <w:pPr>
        <w:spacing w:before="60" w:after="60" w:line="360" w:lineRule="auto"/>
        <w:jc w:val="center"/>
        <w:rPr>
          <w:rFonts w:hint="eastAsia" w:ascii="宋体"/>
          <w:b/>
          <w:spacing w:val="5"/>
          <w:sz w:val="32"/>
        </w:rPr>
      </w:pPr>
      <w:r>
        <w:rPr>
          <w:rFonts w:hint="eastAsia" w:ascii="宋体"/>
          <w:b/>
          <w:sz w:val="32"/>
          <w:szCs w:val="32"/>
        </w:rPr>
        <w:t>所涉及的汝州市风穴路皇家府邸4号楼中单元102房产价值</w:t>
      </w:r>
    </w:p>
    <w:p>
      <w:pPr>
        <w:autoSpaceDE w:val="0"/>
        <w:autoSpaceDN w:val="0"/>
        <w:spacing w:line="360" w:lineRule="auto"/>
        <w:ind w:left="210" w:leftChars="100"/>
        <w:jc w:val="center"/>
        <w:textAlignment w:val="bottom"/>
        <w:outlineLvl w:val="0"/>
        <w:rPr>
          <w:rFonts w:hint="eastAsia"/>
          <w:b/>
          <w:sz w:val="32"/>
          <w:szCs w:val="30"/>
        </w:rPr>
      </w:pPr>
      <w:r>
        <w:rPr>
          <w:rFonts w:hint="eastAsia"/>
          <w:b/>
          <w:sz w:val="32"/>
          <w:szCs w:val="30"/>
        </w:rPr>
        <w:t>资产评估报告摘要</w:t>
      </w:r>
      <w:bookmarkEnd w:id="1"/>
      <w:bookmarkEnd w:id="2"/>
      <w:bookmarkEnd w:id="3"/>
    </w:p>
    <w:p>
      <w:pPr>
        <w:autoSpaceDE w:val="0"/>
        <w:autoSpaceDN w:val="0"/>
        <w:spacing w:line="360" w:lineRule="auto"/>
        <w:jc w:val="center"/>
        <w:textAlignment w:val="bottom"/>
        <w:rPr>
          <w:rFonts w:hint="eastAsia" w:ascii="宋体"/>
          <w:spacing w:val="5"/>
          <w:sz w:val="24"/>
          <w:szCs w:val="24"/>
        </w:rPr>
      </w:pPr>
      <w:r>
        <w:rPr>
          <w:rFonts w:hint="eastAsia" w:ascii="宋体"/>
          <w:spacing w:val="5"/>
          <w:sz w:val="24"/>
          <w:szCs w:val="24"/>
        </w:rPr>
        <w:t>豫中达信资评报字（2021）第0801号</w:t>
      </w:r>
    </w:p>
    <w:p>
      <w:pPr>
        <w:autoSpaceDE w:val="0"/>
        <w:autoSpaceDN w:val="0"/>
        <w:spacing w:line="360" w:lineRule="auto"/>
        <w:jc w:val="center"/>
        <w:textAlignment w:val="bottom"/>
        <w:rPr>
          <w:rFonts w:hint="eastAsia" w:ascii="宋体"/>
          <w:spacing w:val="5"/>
          <w:sz w:val="24"/>
          <w:szCs w:val="24"/>
        </w:rPr>
      </w:pPr>
    </w:p>
    <w:p>
      <w:pPr>
        <w:pStyle w:val="14"/>
        <w:spacing w:line="360" w:lineRule="auto"/>
        <w:ind w:right="-126" w:rightChars="-60"/>
        <w:rPr>
          <w:rFonts w:hint="eastAsia" w:hAnsi="Times New Roman"/>
          <w:sz w:val="24"/>
        </w:rPr>
      </w:pPr>
      <w:r>
        <w:rPr>
          <w:rFonts w:hint="eastAsia" w:hAnsi="Times New Roman"/>
          <w:sz w:val="24"/>
        </w:rPr>
        <w:t xml:space="preserve">    河南中达信资产评估有限公司接受河南省汝州市人民法院的委托，遵守法律、行政法规、司法解释、资产评估准则的规定，坚持独立、客观、公正的原则，采用公认的评估方法，按照必要的评估程序，对河南省汝州市人民法院拟执行财产处置所涉及</w:t>
      </w:r>
    </w:p>
    <w:p>
      <w:pPr>
        <w:pStyle w:val="14"/>
        <w:spacing w:line="360" w:lineRule="auto"/>
        <w:ind w:right="-126" w:rightChars="-60"/>
        <w:rPr>
          <w:rFonts w:hint="eastAsia" w:hAnsi="Times New Roman"/>
          <w:sz w:val="24"/>
        </w:rPr>
      </w:pPr>
      <w:r>
        <w:rPr>
          <w:rFonts w:hint="eastAsia" w:hAnsi="Times New Roman"/>
          <w:sz w:val="24"/>
        </w:rPr>
        <w:t>的汝州市风穴路皇家府邸4号楼中单元102房产在评估基准日2021年6月28日的市场价值进行了评估。现将评估报告摘要如下：</w:t>
      </w:r>
    </w:p>
    <w:p>
      <w:pPr>
        <w:pStyle w:val="14"/>
        <w:spacing w:line="360" w:lineRule="auto"/>
        <w:ind w:right="-126" w:rightChars="-60" w:firstLine="480" w:firstLineChars="200"/>
        <w:rPr>
          <w:rFonts w:hint="eastAsia" w:hAnsi="Times New Roman"/>
          <w:sz w:val="24"/>
        </w:rPr>
      </w:pPr>
      <w:r>
        <w:rPr>
          <w:rFonts w:hint="eastAsia" w:hAnsi="Times New Roman"/>
          <w:sz w:val="24"/>
        </w:rPr>
        <w:t>一、评估目的：确定委估的汝州市风穴路皇家府邸4号楼中单元102房产在评估基准日2021年6月28日的市场价值，为委托人执行财产处置提供价值参考意见。</w:t>
      </w:r>
    </w:p>
    <w:p>
      <w:pPr>
        <w:pStyle w:val="14"/>
        <w:spacing w:line="360" w:lineRule="auto"/>
        <w:ind w:right="-126" w:rightChars="-60" w:firstLine="480" w:firstLineChars="200"/>
        <w:rPr>
          <w:rFonts w:hint="eastAsia" w:hAnsi="Times New Roman"/>
          <w:sz w:val="24"/>
        </w:rPr>
      </w:pPr>
      <w:r>
        <w:rPr>
          <w:rFonts w:hint="eastAsia" w:hAnsi="Times New Roman"/>
          <w:sz w:val="24"/>
        </w:rPr>
        <w:t>二、评估对象和评估范围：</w:t>
      </w:r>
      <w:r>
        <w:rPr>
          <w:rFonts w:hAnsi="Times New Roman"/>
          <w:sz w:val="24"/>
        </w:rPr>
        <w:t>评估</w:t>
      </w:r>
      <w:r>
        <w:rPr>
          <w:rFonts w:hint="eastAsia" w:hAnsi="Times New Roman"/>
          <w:sz w:val="24"/>
        </w:rPr>
        <w:t>对象为汝州市人民法院依法查封的何幸军名下汝州市风穴路皇家府邸4号楼中单元102房产。评估范围为评估对象所对应的资产，具体为位于汝州市风穴路皇家府邸4号楼中单元102房产，面积128.75㎡，</w:t>
      </w:r>
      <w:bookmarkStart w:id="45" w:name="_GoBack"/>
      <w:bookmarkEnd w:id="45"/>
      <w:r>
        <w:rPr>
          <w:rFonts w:hint="eastAsia" w:hAnsi="Times New Roman"/>
          <w:sz w:val="24"/>
          <w:lang w:eastAsia="zh-CN"/>
        </w:rPr>
        <w:t>房屋登记簿所有权证号为2015001500</w:t>
      </w:r>
      <w:r>
        <w:rPr>
          <w:rFonts w:hint="eastAsia" w:hAnsi="Times New Roman"/>
          <w:sz w:val="24"/>
        </w:rPr>
        <w:t>。</w:t>
      </w:r>
    </w:p>
    <w:p>
      <w:pPr>
        <w:pStyle w:val="14"/>
        <w:spacing w:line="360" w:lineRule="auto"/>
        <w:ind w:right="-126" w:rightChars="-60" w:firstLine="480" w:firstLineChars="200"/>
        <w:rPr>
          <w:rFonts w:hint="eastAsia" w:hAnsi="Times New Roman"/>
          <w:sz w:val="24"/>
        </w:rPr>
      </w:pPr>
      <w:r>
        <w:rPr>
          <w:rFonts w:hint="eastAsia" w:hAnsi="Times New Roman"/>
          <w:sz w:val="24"/>
        </w:rPr>
        <w:t>三、价值类型：市场价值。</w:t>
      </w:r>
    </w:p>
    <w:p>
      <w:pPr>
        <w:pStyle w:val="14"/>
        <w:spacing w:line="360" w:lineRule="auto"/>
        <w:ind w:right="-126" w:rightChars="-60" w:firstLine="480" w:firstLineChars="200"/>
        <w:rPr>
          <w:rFonts w:hint="eastAsia" w:hAnsi="Times New Roman"/>
          <w:sz w:val="24"/>
        </w:rPr>
      </w:pPr>
      <w:r>
        <w:rPr>
          <w:rFonts w:hint="eastAsia" w:hAnsi="Times New Roman"/>
          <w:sz w:val="24"/>
        </w:rPr>
        <w:t>四、评估基准日：2021年6月28日。</w:t>
      </w:r>
    </w:p>
    <w:p>
      <w:pPr>
        <w:pStyle w:val="14"/>
        <w:spacing w:line="360" w:lineRule="auto"/>
        <w:ind w:right="-126" w:rightChars="-60" w:firstLine="480" w:firstLineChars="200"/>
        <w:rPr>
          <w:rFonts w:hint="eastAsia" w:hAnsi="Times New Roman"/>
          <w:sz w:val="24"/>
        </w:rPr>
      </w:pPr>
      <w:r>
        <w:rPr>
          <w:rFonts w:hint="eastAsia" w:hAnsi="Times New Roman"/>
          <w:sz w:val="24"/>
        </w:rPr>
        <w:t>五、评估结论有效期：自2021年6月28日至2022年6月27日之间有效。</w:t>
      </w:r>
    </w:p>
    <w:p>
      <w:pPr>
        <w:pStyle w:val="14"/>
        <w:spacing w:line="360" w:lineRule="auto"/>
        <w:ind w:right="-126" w:rightChars="-60" w:firstLine="480" w:firstLineChars="200"/>
        <w:rPr>
          <w:rFonts w:hint="eastAsia" w:hAnsi="Times New Roman"/>
          <w:sz w:val="24"/>
        </w:rPr>
      </w:pPr>
      <w:r>
        <w:rPr>
          <w:rFonts w:hint="eastAsia" w:hAnsi="Times New Roman"/>
          <w:sz w:val="24"/>
        </w:rPr>
        <w:t>六、评估方法：市场法。</w:t>
      </w:r>
    </w:p>
    <w:p>
      <w:pPr>
        <w:pStyle w:val="14"/>
        <w:spacing w:line="360" w:lineRule="auto"/>
        <w:ind w:right="-126" w:rightChars="-60" w:firstLine="480" w:firstLineChars="200"/>
        <w:rPr>
          <w:rFonts w:hint="eastAsia" w:hAnsi="Times New Roman"/>
          <w:sz w:val="24"/>
        </w:rPr>
      </w:pPr>
      <w:r>
        <w:rPr>
          <w:rFonts w:hint="eastAsia" w:hAnsi="Times New Roman"/>
          <w:sz w:val="24"/>
        </w:rPr>
        <w:t>七、评估结论：委托评估的何幸军名下汝州市风穴路皇家府邸4号楼中单元102房产评估价值为</w:t>
      </w:r>
      <w:r>
        <w:rPr>
          <w:rFonts w:hint="eastAsia" w:ascii="Arial Narrow" w:hAnsi="Arial Narrow"/>
          <w:b/>
          <w:sz w:val="24"/>
        </w:rPr>
        <w:t>5</w:t>
      </w:r>
      <w:r>
        <w:rPr>
          <w:rFonts w:hint="eastAsia" w:ascii="Arial Narrow" w:hAnsi="Arial Narrow"/>
          <w:b/>
          <w:sz w:val="24"/>
          <w:lang w:val="en-US" w:eastAsia="zh-CN"/>
        </w:rPr>
        <w:t>6</w:t>
      </w:r>
      <w:r>
        <w:rPr>
          <w:rFonts w:hint="eastAsia" w:ascii="Arial Narrow" w:hAnsi="Arial Narrow"/>
          <w:b/>
          <w:sz w:val="24"/>
        </w:rPr>
        <w:t>.</w:t>
      </w:r>
      <w:r>
        <w:rPr>
          <w:rFonts w:hint="eastAsia" w:ascii="Arial Narrow" w:hAnsi="Arial Narrow"/>
          <w:b/>
          <w:sz w:val="24"/>
          <w:lang w:val="en-US" w:eastAsia="zh-CN"/>
        </w:rPr>
        <w:t>73</w:t>
      </w:r>
      <w:r>
        <w:rPr>
          <w:rFonts w:hint="eastAsia" w:hAnsi="Times New Roman"/>
          <w:sz w:val="24"/>
        </w:rPr>
        <w:t>万元（人民币大写伍拾</w:t>
      </w:r>
      <w:r>
        <w:rPr>
          <w:rFonts w:hint="eastAsia" w:hAnsi="Times New Roman"/>
          <w:sz w:val="24"/>
          <w:lang w:val="en-US" w:eastAsia="zh-CN"/>
        </w:rPr>
        <w:t>陆</w:t>
      </w:r>
      <w:r>
        <w:rPr>
          <w:rFonts w:hint="eastAsia" w:hAnsi="Times New Roman"/>
          <w:sz w:val="24"/>
        </w:rPr>
        <w:t>万</w:t>
      </w:r>
      <w:r>
        <w:rPr>
          <w:rFonts w:hint="eastAsia" w:hAnsi="Times New Roman"/>
          <w:sz w:val="24"/>
          <w:lang w:val="en-US" w:eastAsia="zh-CN"/>
        </w:rPr>
        <w:t>柒</w:t>
      </w:r>
      <w:r>
        <w:rPr>
          <w:rFonts w:hint="eastAsia" w:hAnsi="Times New Roman"/>
          <w:sz w:val="24"/>
        </w:rPr>
        <w:t>仟</w:t>
      </w:r>
      <w:r>
        <w:rPr>
          <w:rFonts w:hint="eastAsia" w:hAnsi="Times New Roman"/>
          <w:sz w:val="24"/>
          <w:lang w:val="en-US" w:eastAsia="zh-CN"/>
        </w:rPr>
        <w:t>叁</w:t>
      </w:r>
      <w:r>
        <w:rPr>
          <w:rFonts w:hint="eastAsia" w:hAnsi="Times New Roman"/>
          <w:sz w:val="24"/>
        </w:rPr>
        <w:t>佰元整）。</w:t>
      </w:r>
    </w:p>
    <w:p>
      <w:pPr>
        <w:pStyle w:val="14"/>
        <w:spacing w:line="360" w:lineRule="auto"/>
        <w:ind w:right="-126" w:rightChars="-60" w:firstLine="480" w:firstLineChars="200"/>
        <w:rPr>
          <w:rFonts w:hint="eastAsia" w:hAnsi="Times New Roman"/>
          <w:sz w:val="24"/>
        </w:rPr>
      </w:pPr>
      <w:r>
        <w:rPr>
          <w:rFonts w:hint="eastAsia" w:hAnsi="Times New Roman"/>
          <w:sz w:val="24"/>
        </w:rPr>
        <w:t>评估结论详细情况见评估明细表。</w:t>
      </w:r>
    </w:p>
    <w:p>
      <w:pPr>
        <w:tabs>
          <w:tab w:val="left" w:pos="960"/>
        </w:tabs>
        <w:snapToGrid w:val="0"/>
        <w:spacing w:before="60" w:after="60" w:line="360" w:lineRule="exact"/>
        <w:ind w:firstLine="482"/>
        <w:rPr>
          <w:rFonts w:hint="eastAsia" w:ascii="宋体"/>
          <w:sz w:val="24"/>
        </w:rPr>
      </w:pPr>
    </w:p>
    <w:p>
      <w:pPr>
        <w:tabs>
          <w:tab w:val="left" w:pos="960"/>
        </w:tabs>
        <w:snapToGrid w:val="0"/>
        <w:spacing w:before="60" w:after="60" w:line="360" w:lineRule="auto"/>
        <w:ind w:firstLine="482"/>
        <w:rPr>
          <w:rFonts w:hint="eastAsia" w:ascii="华文仿宋" w:eastAsia="华文仿宋"/>
          <w:b/>
          <w:bCs/>
          <w:kern w:val="0"/>
          <w:sz w:val="30"/>
          <w:szCs w:val="30"/>
        </w:rPr>
      </w:pPr>
      <w:r>
        <w:rPr>
          <w:rFonts w:hint="eastAsia" w:ascii="宋体"/>
          <w:sz w:val="24"/>
        </w:rPr>
        <w:t xml:space="preserve"> </w:t>
      </w:r>
      <w:r>
        <w:rPr>
          <w:rFonts w:hint="eastAsia" w:ascii="宋体"/>
          <w:b/>
          <w:bCs/>
          <w:sz w:val="24"/>
          <w:szCs w:val="24"/>
        </w:rPr>
        <w:t xml:space="preserve">以上内容摘自评估报告正文，欲了解本评估项目的详细情况和合理理解评估结论，应当认真阅读评估报告正文。并提请评估报告使用人关注评估报告中载明的假设、限定条件、特别事项说明及其对评估结论的影响。 </w:t>
      </w:r>
    </w:p>
    <w:p>
      <w:pPr>
        <w:autoSpaceDE w:val="0"/>
        <w:autoSpaceDN w:val="0"/>
        <w:spacing w:line="360" w:lineRule="auto"/>
        <w:jc w:val="center"/>
        <w:textAlignment w:val="bottom"/>
        <w:outlineLvl w:val="0"/>
        <w:rPr>
          <w:rFonts w:hint="eastAsia" w:ascii="宋体"/>
          <w:b/>
          <w:sz w:val="30"/>
          <w:szCs w:val="30"/>
        </w:rPr>
      </w:pPr>
    </w:p>
    <w:p>
      <w:pPr>
        <w:autoSpaceDE w:val="0"/>
        <w:autoSpaceDN w:val="0"/>
        <w:spacing w:line="360" w:lineRule="auto"/>
        <w:ind w:left="210" w:leftChars="100"/>
        <w:jc w:val="center"/>
        <w:textAlignment w:val="bottom"/>
        <w:outlineLvl w:val="0"/>
        <w:rPr>
          <w:rFonts w:hint="eastAsia" w:ascii="宋体"/>
          <w:b/>
          <w:spacing w:val="5"/>
          <w:sz w:val="32"/>
        </w:rPr>
      </w:pPr>
      <w:bookmarkStart w:id="4" w:name="_Toc529183754"/>
      <w:r>
        <w:rPr>
          <w:rFonts w:hint="eastAsia" w:ascii="宋体"/>
          <w:b/>
          <w:spacing w:val="5"/>
          <w:sz w:val="32"/>
        </w:rPr>
        <w:t>河南省汝州市人民法院委托司法执行财产处置</w:t>
      </w:r>
    </w:p>
    <w:p>
      <w:pPr>
        <w:autoSpaceDE w:val="0"/>
        <w:autoSpaceDN w:val="0"/>
        <w:spacing w:line="360" w:lineRule="auto"/>
        <w:ind w:left="210" w:leftChars="100"/>
        <w:jc w:val="center"/>
        <w:textAlignment w:val="bottom"/>
        <w:outlineLvl w:val="0"/>
        <w:rPr>
          <w:rFonts w:hint="eastAsia" w:ascii="宋体"/>
          <w:b/>
          <w:spacing w:val="5"/>
          <w:sz w:val="32"/>
        </w:rPr>
      </w:pPr>
      <w:r>
        <w:rPr>
          <w:rFonts w:hint="eastAsia" w:ascii="宋体"/>
          <w:b/>
          <w:spacing w:val="5"/>
          <w:sz w:val="32"/>
        </w:rPr>
        <w:t>所涉及的</w:t>
      </w:r>
      <w:r>
        <w:rPr>
          <w:rFonts w:hint="eastAsia" w:ascii="宋体"/>
          <w:b/>
          <w:sz w:val="32"/>
          <w:szCs w:val="32"/>
        </w:rPr>
        <w:t>汝州市风穴路皇家府邸4号楼中单元102</w:t>
      </w:r>
      <w:r>
        <w:rPr>
          <w:rFonts w:hint="eastAsia" w:ascii="宋体"/>
          <w:b/>
          <w:spacing w:val="5"/>
          <w:sz w:val="32"/>
        </w:rPr>
        <w:t>房产价值</w:t>
      </w:r>
    </w:p>
    <w:p>
      <w:pPr>
        <w:pStyle w:val="2"/>
        <w:tabs>
          <w:tab w:val="left" w:pos="1030"/>
        </w:tabs>
        <w:spacing w:before="0" w:after="0" w:line="360" w:lineRule="auto"/>
        <w:jc w:val="center"/>
        <w:rPr>
          <w:rFonts w:hint="eastAsia"/>
          <w:sz w:val="32"/>
          <w:szCs w:val="32"/>
        </w:rPr>
      </w:pPr>
      <w:r>
        <w:rPr>
          <w:rFonts w:hint="eastAsia"/>
          <w:sz w:val="32"/>
          <w:szCs w:val="32"/>
        </w:rPr>
        <w:t>资产评估报告</w:t>
      </w:r>
      <w:bookmarkEnd w:id="4"/>
    </w:p>
    <w:p>
      <w:pPr>
        <w:autoSpaceDE w:val="0"/>
        <w:autoSpaceDN w:val="0"/>
        <w:spacing w:line="360" w:lineRule="auto"/>
        <w:jc w:val="center"/>
        <w:textAlignment w:val="bottom"/>
        <w:rPr>
          <w:rFonts w:hint="eastAsia" w:ascii="宋体"/>
          <w:spacing w:val="5"/>
          <w:sz w:val="24"/>
          <w:szCs w:val="24"/>
        </w:rPr>
      </w:pPr>
      <w:r>
        <w:rPr>
          <w:rFonts w:hint="eastAsia" w:ascii="宋体"/>
          <w:spacing w:val="5"/>
          <w:sz w:val="24"/>
          <w:szCs w:val="24"/>
        </w:rPr>
        <w:t xml:space="preserve"> 豫中达信资评报字（2021）第0801号</w:t>
      </w:r>
    </w:p>
    <w:p>
      <w:pPr>
        <w:autoSpaceDE w:val="0"/>
        <w:autoSpaceDN w:val="0"/>
        <w:spacing w:line="360" w:lineRule="auto"/>
        <w:jc w:val="center"/>
        <w:textAlignment w:val="bottom"/>
        <w:rPr>
          <w:rFonts w:hint="eastAsia" w:ascii="宋体"/>
          <w:spacing w:val="5"/>
          <w:sz w:val="24"/>
          <w:szCs w:val="24"/>
        </w:rPr>
      </w:pPr>
    </w:p>
    <w:p>
      <w:pPr>
        <w:pStyle w:val="14"/>
        <w:spacing w:line="360" w:lineRule="auto"/>
        <w:ind w:right="-126" w:rightChars="-60"/>
        <w:rPr>
          <w:rFonts w:hAnsi="Times New Roman"/>
          <w:sz w:val="24"/>
        </w:rPr>
      </w:pPr>
      <w:r>
        <w:rPr>
          <w:rFonts w:hint="eastAsia" w:hAnsi="Times New Roman"/>
          <w:sz w:val="24"/>
        </w:rPr>
        <w:t>河南省汝州市人民法院：</w:t>
      </w:r>
    </w:p>
    <w:p>
      <w:pPr>
        <w:pStyle w:val="14"/>
        <w:spacing w:line="360" w:lineRule="auto"/>
        <w:ind w:right="-126" w:rightChars="-60" w:firstLine="480" w:firstLineChars="200"/>
        <w:rPr>
          <w:rFonts w:hint="eastAsia" w:hAnsi="Times New Roman"/>
          <w:sz w:val="24"/>
        </w:rPr>
      </w:pPr>
      <w:r>
        <w:rPr>
          <w:rFonts w:hAnsi="Times New Roman"/>
          <w:sz w:val="24"/>
        </w:rPr>
        <w:t>河南中达信资产评估有限公司</w:t>
      </w:r>
      <w:r>
        <w:rPr>
          <w:rFonts w:hint="eastAsia" w:hAnsi="Times New Roman"/>
          <w:sz w:val="24"/>
        </w:rPr>
        <w:t>接受贵院（以下简称“委托人”）的委托</w:t>
      </w:r>
      <w:r>
        <w:rPr>
          <w:rFonts w:hAnsi="Times New Roman"/>
          <w:sz w:val="24"/>
        </w:rPr>
        <w:t>，</w:t>
      </w:r>
      <w:r>
        <w:rPr>
          <w:rFonts w:hint="eastAsia" w:hAnsi="Times New Roman"/>
          <w:sz w:val="24"/>
        </w:rPr>
        <w:t>遵守法律、行政法规、司法解释、资产评估准则的规定</w:t>
      </w:r>
      <w:r>
        <w:rPr>
          <w:rFonts w:hAnsi="Times New Roman"/>
          <w:sz w:val="24"/>
        </w:rPr>
        <w:t>，</w:t>
      </w:r>
      <w:r>
        <w:rPr>
          <w:rFonts w:hint="eastAsia" w:hAnsi="Times New Roman"/>
          <w:sz w:val="24"/>
        </w:rPr>
        <w:t>坚持</w:t>
      </w:r>
      <w:r>
        <w:rPr>
          <w:rFonts w:hAnsi="Times New Roman"/>
          <w:sz w:val="24"/>
        </w:rPr>
        <w:t>独立、客观、公正的原则，运用法定或公允的方法及程序，</w:t>
      </w:r>
      <w:r>
        <w:rPr>
          <w:rFonts w:hint="eastAsia" w:hAnsi="Times New Roman"/>
          <w:sz w:val="24"/>
        </w:rPr>
        <w:t>对贵院委托司法执行财产处置所涉及的汝州市风穴路皇家府邸4号楼中单元102房产在评估基准日的市场价值进行了评估</w:t>
      </w:r>
      <w:r>
        <w:rPr>
          <w:rFonts w:hAnsi="Times New Roman"/>
          <w:sz w:val="24"/>
        </w:rPr>
        <w:t>。</w:t>
      </w:r>
      <w:r>
        <w:rPr>
          <w:rFonts w:hint="eastAsia" w:hAnsi="Times New Roman"/>
          <w:sz w:val="24"/>
        </w:rPr>
        <w:t>现将资产评估情况及评估结果报告如下：</w:t>
      </w:r>
    </w:p>
    <w:p>
      <w:pPr>
        <w:pStyle w:val="2"/>
        <w:numPr>
          <w:ilvl w:val="0"/>
          <w:numId w:val="1"/>
        </w:numPr>
        <w:tabs>
          <w:tab w:val="left" w:pos="0"/>
          <w:tab w:val="clear" w:pos="906"/>
        </w:tabs>
        <w:spacing w:before="60" w:after="60" w:line="360" w:lineRule="exact"/>
        <w:ind w:left="0" w:firstLine="426"/>
        <w:rPr>
          <w:rFonts w:hint="eastAsia"/>
          <w:kern w:val="2"/>
          <w:sz w:val="24"/>
        </w:rPr>
      </w:pPr>
      <w:bookmarkStart w:id="5" w:name="_Toc386285476"/>
      <w:bookmarkStart w:id="6" w:name="_Toc529183755"/>
      <w:r>
        <w:rPr>
          <w:rFonts w:hint="eastAsia"/>
          <w:kern w:val="2"/>
          <w:sz w:val="24"/>
        </w:rPr>
        <w:t>委托人</w:t>
      </w:r>
      <w:bookmarkEnd w:id="5"/>
      <w:r>
        <w:rPr>
          <w:rFonts w:hint="eastAsia"/>
          <w:kern w:val="2"/>
          <w:sz w:val="24"/>
        </w:rPr>
        <w:t>及其他资产评估报告使用人</w:t>
      </w:r>
      <w:bookmarkEnd w:id="6"/>
    </w:p>
    <w:p>
      <w:pPr>
        <w:autoSpaceDE w:val="0"/>
        <w:autoSpaceDN w:val="0"/>
        <w:adjustRightInd w:val="0"/>
        <w:spacing w:line="360" w:lineRule="auto"/>
        <w:ind w:firstLine="480" w:firstLineChars="200"/>
        <w:textAlignment w:val="bottom"/>
        <w:rPr>
          <w:rFonts w:hint="eastAsia" w:ascii="宋体"/>
          <w:sz w:val="24"/>
        </w:rPr>
      </w:pPr>
      <w:r>
        <w:rPr>
          <w:rFonts w:hint="eastAsia" w:ascii="宋体"/>
          <w:sz w:val="24"/>
        </w:rPr>
        <w:t xml:space="preserve">（一）委托人： </w:t>
      </w:r>
    </w:p>
    <w:p>
      <w:pPr>
        <w:autoSpaceDE w:val="0"/>
        <w:autoSpaceDN w:val="0"/>
        <w:adjustRightInd w:val="0"/>
        <w:spacing w:line="360" w:lineRule="auto"/>
        <w:ind w:firstLine="480" w:firstLineChars="200"/>
        <w:textAlignment w:val="bottom"/>
        <w:rPr>
          <w:rFonts w:hint="eastAsia" w:ascii="宋体"/>
          <w:sz w:val="24"/>
        </w:rPr>
      </w:pPr>
      <w:r>
        <w:rPr>
          <w:rFonts w:hint="eastAsia" w:ascii="宋体"/>
          <w:sz w:val="24"/>
        </w:rPr>
        <w:t>本评估项目的委托人为河南省汝州市人民法院。</w:t>
      </w:r>
    </w:p>
    <w:p>
      <w:pPr>
        <w:autoSpaceDE w:val="0"/>
        <w:autoSpaceDN w:val="0"/>
        <w:adjustRightInd w:val="0"/>
        <w:spacing w:line="360" w:lineRule="auto"/>
        <w:ind w:firstLine="480" w:firstLineChars="200"/>
        <w:textAlignment w:val="bottom"/>
        <w:rPr>
          <w:rFonts w:hint="eastAsia" w:ascii="宋体"/>
          <w:sz w:val="24"/>
        </w:rPr>
      </w:pPr>
      <w:r>
        <w:rPr>
          <w:rFonts w:hint="eastAsia" w:ascii="宋体"/>
          <w:sz w:val="24"/>
        </w:rPr>
        <w:t>（二）申请人、被申请人：</w:t>
      </w:r>
    </w:p>
    <w:p>
      <w:pPr>
        <w:autoSpaceDE w:val="0"/>
        <w:autoSpaceDN w:val="0"/>
        <w:adjustRightInd w:val="0"/>
        <w:spacing w:line="360" w:lineRule="auto"/>
        <w:ind w:firstLine="480" w:firstLineChars="200"/>
        <w:textAlignment w:val="bottom"/>
        <w:rPr>
          <w:rFonts w:hint="eastAsia" w:ascii="宋体"/>
          <w:sz w:val="24"/>
        </w:rPr>
      </w:pPr>
      <w:r>
        <w:rPr>
          <w:rFonts w:hint="eastAsia" w:ascii="宋体"/>
          <w:sz w:val="24"/>
        </w:rPr>
        <w:t>申请人：霍大伟，1987年1月22日生，汉族，住河南省汝州市望嵩中路29号，身份证号：410482198701220014。</w:t>
      </w:r>
    </w:p>
    <w:p>
      <w:pPr>
        <w:autoSpaceDE w:val="0"/>
        <w:autoSpaceDN w:val="0"/>
        <w:adjustRightInd w:val="0"/>
        <w:spacing w:line="360" w:lineRule="auto"/>
        <w:ind w:firstLine="480" w:firstLineChars="200"/>
        <w:textAlignment w:val="bottom"/>
        <w:rPr>
          <w:rFonts w:hint="eastAsia" w:ascii="宋体"/>
          <w:sz w:val="24"/>
        </w:rPr>
      </w:pPr>
      <w:r>
        <w:rPr>
          <w:rFonts w:hint="eastAsia" w:ascii="宋体"/>
          <w:sz w:val="24"/>
        </w:rPr>
        <w:t>被申请人：何幸军，男，1975年8月21日生，汉族，住汝州市东关街1号，身份证号：410482197508210514。</w:t>
      </w:r>
    </w:p>
    <w:p>
      <w:pPr>
        <w:autoSpaceDE w:val="0"/>
        <w:autoSpaceDN w:val="0"/>
        <w:adjustRightInd w:val="0"/>
        <w:spacing w:line="360" w:lineRule="auto"/>
        <w:ind w:firstLine="480" w:firstLineChars="200"/>
        <w:textAlignment w:val="bottom"/>
        <w:rPr>
          <w:rFonts w:hint="eastAsia" w:ascii="宋体"/>
          <w:sz w:val="24"/>
        </w:rPr>
      </w:pPr>
      <w:r>
        <w:rPr>
          <w:rFonts w:hint="eastAsia" w:ascii="宋体"/>
          <w:sz w:val="24"/>
        </w:rPr>
        <w:t>（三）其他评估报告使用人</w:t>
      </w:r>
    </w:p>
    <w:p>
      <w:pPr>
        <w:autoSpaceDE w:val="0"/>
        <w:autoSpaceDN w:val="0"/>
        <w:adjustRightInd w:val="0"/>
        <w:spacing w:line="360" w:lineRule="auto"/>
        <w:ind w:firstLine="480" w:firstLineChars="200"/>
        <w:textAlignment w:val="bottom"/>
        <w:rPr>
          <w:rFonts w:hint="eastAsia" w:ascii="宋体"/>
          <w:sz w:val="24"/>
        </w:rPr>
      </w:pPr>
      <w:r>
        <w:rPr>
          <w:rFonts w:hint="eastAsia" w:ascii="宋体"/>
          <w:sz w:val="24"/>
        </w:rPr>
        <w:t>除委托人之外，其他评估报告使用人包括案件当事人及法律法规规定的其他评估报告使用人。除国家法律法规另有规定外，任何未经评估机构和委托人确认的机构或个人不能由于得到评估报告而成为评估报告使用人。</w:t>
      </w:r>
    </w:p>
    <w:p>
      <w:pPr>
        <w:pStyle w:val="2"/>
        <w:numPr>
          <w:ilvl w:val="0"/>
          <w:numId w:val="1"/>
        </w:numPr>
        <w:tabs>
          <w:tab w:val="left" w:pos="1050"/>
        </w:tabs>
        <w:spacing w:before="60" w:after="60" w:line="360" w:lineRule="exact"/>
        <w:rPr>
          <w:rFonts w:hint="eastAsia"/>
          <w:sz w:val="24"/>
        </w:rPr>
      </w:pPr>
      <w:bookmarkStart w:id="7" w:name="_Toc250888185"/>
      <w:bookmarkStart w:id="8" w:name="_Toc529183756"/>
      <w:bookmarkStart w:id="9" w:name="_Toc386285478"/>
      <w:r>
        <w:rPr>
          <w:rFonts w:hint="eastAsia"/>
          <w:sz w:val="24"/>
        </w:rPr>
        <w:t>评估目的</w:t>
      </w:r>
      <w:bookmarkEnd w:id="7"/>
      <w:bookmarkEnd w:id="8"/>
      <w:bookmarkEnd w:id="9"/>
    </w:p>
    <w:p>
      <w:pPr>
        <w:spacing w:line="360" w:lineRule="auto"/>
        <w:ind w:firstLine="480" w:firstLineChars="200"/>
        <w:rPr>
          <w:rFonts w:hint="eastAsia" w:ascii="宋体"/>
          <w:sz w:val="24"/>
        </w:rPr>
      </w:pPr>
      <w:r>
        <w:rPr>
          <w:rFonts w:hint="eastAsia" w:ascii="宋体"/>
          <w:sz w:val="24"/>
        </w:rPr>
        <w:t>确定委估的汝州市风穴路皇家府邸4号楼中单元102房产在评估基准日2021年6月28日的市场价值，为委托人执行财产处置提供价值参考意见。</w:t>
      </w:r>
    </w:p>
    <w:p>
      <w:pPr>
        <w:spacing w:line="360" w:lineRule="auto"/>
        <w:ind w:firstLine="480" w:firstLineChars="200"/>
        <w:rPr>
          <w:rFonts w:ascii="宋体"/>
          <w:sz w:val="24"/>
        </w:rPr>
      </w:pPr>
      <w:r>
        <w:rPr>
          <w:rFonts w:hint="eastAsia" w:ascii="宋体"/>
          <w:sz w:val="24"/>
        </w:rPr>
        <w:t>2019年1月30日，河南省汝州市人民法院民事裁定书（2019）豫0482财保596号“对被申请人何幸军名下所有的位于汝州市风穴路皇家府邸4号楼中单元102的房产予以查封，限额51788元。”</w:t>
      </w:r>
    </w:p>
    <w:p>
      <w:pPr>
        <w:spacing w:line="360" w:lineRule="auto"/>
        <w:ind w:firstLine="480" w:firstLineChars="200"/>
        <w:rPr>
          <w:rFonts w:hint="eastAsia" w:ascii="宋体"/>
          <w:sz w:val="24"/>
        </w:rPr>
      </w:pPr>
      <w:r>
        <w:rPr>
          <w:rFonts w:hint="eastAsia" w:ascii="宋体"/>
          <w:sz w:val="24"/>
        </w:rPr>
        <w:t>2021年6月28日，河南省汝州市人民法院下达(2021)豫0482司辅执053号《司法鉴定委托书》，委托河南中达信资产评估有限公司对被执行人何幸军所有的位于汝州市风穴路皇家府邸4号楼中单元102的房产价值进行评估。</w:t>
      </w:r>
    </w:p>
    <w:p>
      <w:pPr>
        <w:pStyle w:val="2"/>
        <w:numPr>
          <w:ilvl w:val="0"/>
          <w:numId w:val="1"/>
        </w:numPr>
        <w:tabs>
          <w:tab w:val="left" w:pos="1050"/>
        </w:tabs>
        <w:spacing w:before="60" w:after="60" w:line="360" w:lineRule="exact"/>
        <w:rPr>
          <w:rFonts w:hint="eastAsia"/>
          <w:sz w:val="24"/>
        </w:rPr>
      </w:pPr>
      <w:bookmarkStart w:id="10" w:name="_Toc529183757"/>
      <w:bookmarkStart w:id="11" w:name="_Toc250888186"/>
      <w:bookmarkStart w:id="12" w:name="_Toc386285479"/>
      <w:r>
        <w:rPr>
          <w:rFonts w:hint="eastAsia"/>
          <w:sz w:val="24"/>
        </w:rPr>
        <w:t>评估对象和评估范围</w:t>
      </w:r>
      <w:bookmarkEnd w:id="10"/>
      <w:bookmarkEnd w:id="11"/>
      <w:bookmarkEnd w:id="12"/>
    </w:p>
    <w:p>
      <w:pPr>
        <w:pStyle w:val="14"/>
        <w:spacing w:line="360" w:lineRule="auto"/>
        <w:ind w:right="-126" w:rightChars="-60" w:firstLine="480" w:firstLineChars="200"/>
        <w:rPr>
          <w:rFonts w:hint="eastAsia" w:hAnsi="Times New Roman"/>
          <w:sz w:val="24"/>
        </w:rPr>
      </w:pPr>
      <w:r>
        <w:rPr>
          <w:rFonts w:hint="eastAsia" w:hAnsi="Times New Roman"/>
          <w:sz w:val="24"/>
        </w:rPr>
        <w:t>（一）评估对象和评估范围</w:t>
      </w:r>
    </w:p>
    <w:p>
      <w:pPr>
        <w:pStyle w:val="14"/>
        <w:spacing w:line="360" w:lineRule="auto"/>
        <w:ind w:right="-126" w:rightChars="-60" w:firstLine="480" w:firstLineChars="200"/>
        <w:rPr>
          <w:sz w:val="24"/>
        </w:rPr>
      </w:pPr>
      <w:r>
        <w:rPr>
          <w:rFonts w:hint="eastAsia" w:hAnsi="Times New Roman"/>
          <w:sz w:val="24"/>
        </w:rPr>
        <w:t>本次评估对象为汝州市人民法院依法查封的何幸军名下汝州市风穴路皇家府邸4号楼中单元102房产。评估范围为评估对象所对应的资产，具体为位于汝州市风穴路皇家府邸4号楼中单元102房产，面积128.75㎡，</w:t>
      </w:r>
      <w:r>
        <w:rPr>
          <w:rFonts w:hint="eastAsia" w:hAnsi="Times New Roman"/>
          <w:sz w:val="24"/>
          <w:lang w:eastAsia="zh-CN"/>
        </w:rPr>
        <w:t>房屋登记簿所有权证号为2015001500</w:t>
      </w:r>
      <w:r>
        <w:rPr>
          <w:rFonts w:hint="eastAsia" w:hAnsi="Times New Roman"/>
          <w:sz w:val="24"/>
        </w:rPr>
        <w:t>。</w:t>
      </w:r>
      <w:r>
        <w:rPr>
          <w:rFonts w:hint="eastAsia"/>
          <w:sz w:val="24"/>
        </w:rPr>
        <w:t>评估范围详见下表：</w:t>
      </w:r>
    </w:p>
    <w:tbl>
      <w:tblPr>
        <w:tblStyle w:val="29"/>
        <w:tblW w:w="4914" w:type="pct"/>
        <w:tblInd w:w="0" w:type="dxa"/>
        <w:tblLayout w:type="fixed"/>
        <w:tblCellMar>
          <w:top w:w="0" w:type="dxa"/>
          <w:left w:w="108" w:type="dxa"/>
          <w:bottom w:w="0" w:type="dxa"/>
          <w:right w:w="108" w:type="dxa"/>
        </w:tblCellMar>
      </w:tblPr>
      <w:tblGrid>
        <w:gridCol w:w="617"/>
        <w:gridCol w:w="1910"/>
        <w:gridCol w:w="1552"/>
        <w:gridCol w:w="711"/>
        <w:gridCol w:w="849"/>
        <w:gridCol w:w="849"/>
        <w:gridCol w:w="709"/>
        <w:gridCol w:w="709"/>
        <w:gridCol w:w="849"/>
      </w:tblGrid>
      <w:tr>
        <w:tblPrEx>
          <w:tblCellMar>
            <w:top w:w="0" w:type="dxa"/>
            <w:left w:w="108" w:type="dxa"/>
            <w:bottom w:w="0" w:type="dxa"/>
            <w:right w:w="108" w:type="dxa"/>
          </w:tblCellMar>
        </w:tblPrEx>
        <w:trPr>
          <w:trHeight w:val="315" w:hRule="atLeast"/>
        </w:trPr>
        <w:tc>
          <w:tcPr>
            <w:tcW w:w="352"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6"/>
                <w:szCs w:val="20"/>
              </w:rPr>
            </w:pPr>
            <w:r>
              <w:rPr>
                <w:rFonts w:hint="eastAsia" w:ascii="宋体" w:hAnsi="宋体" w:cs="宋体"/>
                <w:kern w:val="0"/>
                <w:sz w:val="16"/>
                <w:szCs w:val="20"/>
              </w:rPr>
              <w:t>序号</w:t>
            </w:r>
          </w:p>
        </w:tc>
        <w:tc>
          <w:tcPr>
            <w:tcW w:w="109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Arial Narrow" w:hAnsi="Arial Narrow" w:cs="宋体"/>
                <w:kern w:val="0"/>
                <w:sz w:val="16"/>
                <w:szCs w:val="20"/>
              </w:rPr>
            </w:pPr>
            <w:r>
              <w:rPr>
                <w:rFonts w:hint="eastAsia" w:ascii="宋体" w:hAnsi="宋体" w:cs="宋体"/>
                <w:kern w:val="0"/>
                <w:sz w:val="16"/>
                <w:szCs w:val="20"/>
              </w:rPr>
              <w:t>建筑物名称</w:t>
            </w:r>
          </w:p>
        </w:tc>
        <w:tc>
          <w:tcPr>
            <w:tcW w:w="886"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Arial Narrow" w:hAnsi="Arial Narrow" w:cs="宋体"/>
                <w:kern w:val="0"/>
                <w:sz w:val="16"/>
                <w:szCs w:val="20"/>
              </w:rPr>
            </w:pPr>
            <w:r>
              <w:rPr>
                <w:rFonts w:hint="default" w:ascii="Arial" w:hAnsi="Arial" w:cs="Arial"/>
                <w:kern w:val="0"/>
                <w:sz w:val="16"/>
                <w:szCs w:val="20"/>
              </w:rPr>
              <w:t>地址</w:t>
            </w:r>
          </w:p>
        </w:tc>
        <w:tc>
          <w:tcPr>
            <w:tcW w:w="40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Arial Narrow" w:hAnsi="Arial Narrow" w:cs="宋体"/>
                <w:kern w:val="0"/>
                <w:sz w:val="16"/>
                <w:szCs w:val="20"/>
              </w:rPr>
            </w:pPr>
            <w:r>
              <w:rPr>
                <w:rFonts w:hint="eastAsia" w:ascii="宋体" w:hAnsi="宋体" w:cs="宋体"/>
                <w:kern w:val="0"/>
                <w:sz w:val="16"/>
                <w:szCs w:val="20"/>
              </w:rPr>
              <w:t>结构</w:t>
            </w:r>
          </w:p>
        </w:tc>
        <w:tc>
          <w:tcPr>
            <w:tcW w:w="485"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6"/>
                <w:szCs w:val="20"/>
              </w:rPr>
            </w:pPr>
            <w:r>
              <w:rPr>
                <w:rFonts w:hint="eastAsia" w:ascii="宋体" w:hAnsi="宋体" w:cs="宋体"/>
                <w:kern w:val="0"/>
                <w:sz w:val="16"/>
                <w:szCs w:val="20"/>
              </w:rPr>
              <w:t>总层数</w:t>
            </w:r>
          </w:p>
        </w:tc>
        <w:tc>
          <w:tcPr>
            <w:tcW w:w="485" w:type="pct"/>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6"/>
                <w:szCs w:val="20"/>
              </w:rPr>
            </w:pPr>
            <w:r>
              <w:rPr>
                <w:rFonts w:hint="eastAsia" w:ascii="宋体" w:hAnsi="宋体" w:cs="宋体"/>
                <w:kern w:val="0"/>
                <w:sz w:val="16"/>
                <w:szCs w:val="20"/>
              </w:rPr>
              <w:t>所处楼层</w:t>
            </w:r>
          </w:p>
        </w:tc>
        <w:tc>
          <w:tcPr>
            <w:tcW w:w="405"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6"/>
                <w:szCs w:val="20"/>
              </w:rPr>
            </w:pPr>
            <w:r>
              <w:rPr>
                <w:rFonts w:hint="eastAsia" w:ascii="宋体" w:hAnsi="宋体" w:cs="宋体"/>
                <w:kern w:val="0"/>
                <w:sz w:val="16"/>
                <w:szCs w:val="20"/>
              </w:rPr>
              <w:t>用途</w:t>
            </w:r>
          </w:p>
        </w:tc>
        <w:tc>
          <w:tcPr>
            <w:tcW w:w="405"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Arial Narrow" w:hAnsi="Arial Narrow" w:cs="宋体"/>
                <w:kern w:val="0"/>
                <w:sz w:val="16"/>
                <w:szCs w:val="20"/>
              </w:rPr>
            </w:pPr>
            <w:r>
              <w:rPr>
                <w:rFonts w:hint="eastAsia" w:ascii="宋体" w:hAnsi="宋体" w:cs="宋体"/>
                <w:kern w:val="0"/>
                <w:sz w:val="16"/>
                <w:szCs w:val="20"/>
              </w:rPr>
              <w:t>计量单位</w:t>
            </w:r>
          </w:p>
        </w:tc>
        <w:tc>
          <w:tcPr>
            <w:tcW w:w="485"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6"/>
                <w:szCs w:val="20"/>
              </w:rPr>
            </w:pPr>
            <w:r>
              <w:rPr>
                <w:rFonts w:hint="eastAsia" w:ascii="宋体" w:hAnsi="宋体" w:cs="宋体"/>
                <w:kern w:val="0"/>
                <w:sz w:val="16"/>
                <w:szCs w:val="20"/>
              </w:rPr>
              <w:t>建筑面积</w:t>
            </w:r>
          </w:p>
        </w:tc>
      </w:tr>
      <w:tr>
        <w:tblPrEx>
          <w:tblCellMar>
            <w:top w:w="0" w:type="dxa"/>
            <w:left w:w="108" w:type="dxa"/>
            <w:bottom w:w="0" w:type="dxa"/>
            <w:right w:w="108" w:type="dxa"/>
          </w:tblCellMar>
        </w:tblPrEx>
        <w:trPr>
          <w:trHeight w:val="312" w:hRule="atLeast"/>
        </w:trPr>
        <w:tc>
          <w:tcPr>
            <w:tcW w:w="352"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6"/>
                <w:szCs w:val="20"/>
              </w:rPr>
            </w:pPr>
          </w:p>
        </w:tc>
        <w:tc>
          <w:tcPr>
            <w:tcW w:w="10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Arial Narrow" w:hAnsi="Arial Narrow" w:cs="宋体"/>
                <w:kern w:val="0"/>
                <w:sz w:val="16"/>
                <w:szCs w:val="20"/>
              </w:rPr>
            </w:pPr>
          </w:p>
        </w:tc>
        <w:tc>
          <w:tcPr>
            <w:tcW w:w="8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Arial Narrow" w:hAnsi="Arial Narrow" w:cs="宋体"/>
                <w:kern w:val="0"/>
                <w:sz w:val="16"/>
                <w:szCs w:val="20"/>
              </w:rPr>
            </w:pPr>
          </w:p>
        </w:tc>
        <w:tc>
          <w:tcPr>
            <w:tcW w:w="40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Arial Narrow" w:hAnsi="Arial Narrow" w:cs="宋体"/>
                <w:kern w:val="0"/>
                <w:sz w:val="16"/>
                <w:szCs w:val="20"/>
              </w:rPr>
            </w:pPr>
          </w:p>
        </w:tc>
        <w:tc>
          <w:tcPr>
            <w:tcW w:w="48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6"/>
                <w:szCs w:val="20"/>
              </w:rPr>
            </w:pPr>
          </w:p>
        </w:tc>
        <w:tc>
          <w:tcPr>
            <w:tcW w:w="485" w:type="pct"/>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6"/>
                <w:szCs w:val="20"/>
              </w:rPr>
            </w:pPr>
          </w:p>
        </w:tc>
        <w:tc>
          <w:tcPr>
            <w:tcW w:w="40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6"/>
                <w:szCs w:val="20"/>
              </w:rPr>
            </w:pPr>
          </w:p>
        </w:tc>
        <w:tc>
          <w:tcPr>
            <w:tcW w:w="40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Arial Narrow" w:hAnsi="Arial Narrow" w:cs="宋体"/>
                <w:kern w:val="0"/>
                <w:sz w:val="16"/>
                <w:szCs w:val="20"/>
              </w:rPr>
            </w:pPr>
          </w:p>
        </w:tc>
        <w:tc>
          <w:tcPr>
            <w:tcW w:w="48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6"/>
                <w:szCs w:val="20"/>
              </w:rPr>
            </w:pPr>
          </w:p>
        </w:tc>
      </w:tr>
      <w:tr>
        <w:tblPrEx>
          <w:tblCellMar>
            <w:top w:w="0" w:type="dxa"/>
            <w:left w:w="108" w:type="dxa"/>
            <w:bottom w:w="0" w:type="dxa"/>
            <w:right w:w="108" w:type="dxa"/>
          </w:tblCellMar>
        </w:tblPrEx>
        <w:trPr>
          <w:trHeight w:val="70" w:hRule="atLeast"/>
        </w:trPr>
        <w:tc>
          <w:tcPr>
            <w:tcW w:w="35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Arial Narrow" w:hAnsi="Arial Narrow" w:cs="宋体"/>
                <w:kern w:val="0"/>
                <w:sz w:val="16"/>
                <w:szCs w:val="20"/>
              </w:rPr>
            </w:pPr>
            <w:r>
              <w:rPr>
                <w:rFonts w:hint="default" w:ascii="Arial Narrow" w:hAnsi="Arial Narrow" w:cs="宋体"/>
                <w:kern w:val="0"/>
                <w:sz w:val="16"/>
                <w:szCs w:val="20"/>
              </w:rPr>
              <w:t>1</w:t>
            </w:r>
          </w:p>
        </w:tc>
        <w:tc>
          <w:tcPr>
            <w:tcW w:w="109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Arial Narrow" w:hAnsi="Arial Narrow" w:cs="宋体"/>
                <w:kern w:val="0"/>
                <w:sz w:val="16"/>
                <w:szCs w:val="20"/>
              </w:rPr>
            </w:pPr>
            <w:r>
              <w:rPr>
                <w:rFonts w:hint="eastAsia" w:ascii="宋体" w:hAnsi="宋体" w:cs="宋体"/>
                <w:kern w:val="0"/>
                <w:sz w:val="16"/>
                <w:szCs w:val="20"/>
              </w:rPr>
              <w:t>河南省汝州市风穴路皇家府邸4号楼中单元102</w:t>
            </w:r>
          </w:p>
        </w:tc>
        <w:tc>
          <w:tcPr>
            <w:tcW w:w="886"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6"/>
                <w:szCs w:val="20"/>
              </w:rPr>
            </w:pPr>
            <w:r>
              <w:rPr>
                <w:rFonts w:hint="eastAsia" w:ascii="Times New Roman" w:hAnsi="Times New Roman" w:cs="Times New Roman"/>
                <w:sz w:val="16"/>
                <w:szCs w:val="20"/>
              </w:rPr>
              <w:t>汝州市风穴路皇家府邸4号楼中单元102</w:t>
            </w:r>
          </w:p>
        </w:tc>
        <w:tc>
          <w:tcPr>
            <w:tcW w:w="40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16"/>
                <w:szCs w:val="20"/>
              </w:rPr>
            </w:pPr>
            <w:r>
              <w:rPr>
                <w:rFonts w:hint="eastAsia" w:ascii="宋体" w:hAnsi="宋体" w:cs="宋体"/>
                <w:kern w:val="0"/>
                <w:sz w:val="16"/>
                <w:szCs w:val="20"/>
              </w:rPr>
              <w:t>混合</w:t>
            </w:r>
          </w:p>
        </w:tc>
        <w:tc>
          <w:tcPr>
            <w:tcW w:w="48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Arial Narrow" w:hAnsi="Arial Narrow" w:eastAsia="宋体" w:cs="宋体"/>
                <w:kern w:val="0"/>
                <w:sz w:val="16"/>
                <w:szCs w:val="20"/>
                <w:lang w:val="en-US" w:eastAsia="zh-CN"/>
              </w:rPr>
            </w:pPr>
            <w:r>
              <w:rPr>
                <w:rFonts w:hint="eastAsia" w:ascii="Arial Narrow" w:hAnsi="Arial Narrow" w:cs="宋体"/>
                <w:kern w:val="0"/>
                <w:sz w:val="16"/>
                <w:szCs w:val="20"/>
                <w:lang w:val="en-US" w:eastAsia="zh-CN"/>
              </w:rPr>
              <w:t>7</w:t>
            </w:r>
          </w:p>
        </w:tc>
        <w:tc>
          <w:tcPr>
            <w:tcW w:w="48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Arial Narrow" w:hAnsi="Arial Narrow" w:cs="宋体"/>
                <w:kern w:val="0"/>
                <w:sz w:val="16"/>
                <w:szCs w:val="20"/>
              </w:rPr>
            </w:pPr>
            <w:r>
              <w:rPr>
                <w:rFonts w:hint="eastAsia" w:ascii="Arial Narrow" w:hAnsi="Arial Narrow" w:cs="宋体"/>
                <w:kern w:val="0"/>
                <w:sz w:val="16"/>
                <w:szCs w:val="20"/>
              </w:rPr>
              <w:t>2</w:t>
            </w:r>
          </w:p>
        </w:tc>
        <w:tc>
          <w:tcPr>
            <w:tcW w:w="405" w:type="pct"/>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6"/>
                <w:szCs w:val="20"/>
              </w:rPr>
            </w:pPr>
            <w:r>
              <w:rPr>
                <w:rFonts w:hint="eastAsia" w:ascii="宋体" w:hAnsi="宋体" w:cs="宋体"/>
                <w:kern w:val="0"/>
                <w:sz w:val="16"/>
                <w:szCs w:val="20"/>
              </w:rPr>
              <w:t>住宅</w:t>
            </w:r>
          </w:p>
        </w:tc>
        <w:tc>
          <w:tcPr>
            <w:tcW w:w="40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Arial Narrow" w:hAnsi="Arial Narrow" w:cs="宋体"/>
                <w:kern w:val="0"/>
                <w:sz w:val="16"/>
                <w:szCs w:val="20"/>
              </w:rPr>
            </w:pPr>
            <w:r>
              <w:rPr>
                <w:rFonts w:hint="default" w:ascii="Arial Narrow" w:hAnsi="Arial Narrow" w:cs="宋体"/>
                <w:kern w:val="0"/>
                <w:sz w:val="16"/>
                <w:szCs w:val="20"/>
              </w:rPr>
              <w:t>M</w:t>
            </w:r>
            <w:r>
              <w:rPr>
                <w:rFonts w:hint="default" w:ascii="Arial Narrow" w:hAnsi="Arial Narrow" w:cs="宋体"/>
                <w:kern w:val="0"/>
                <w:sz w:val="16"/>
                <w:szCs w:val="20"/>
                <w:vertAlign w:val="superscript"/>
              </w:rPr>
              <w:t>2</w:t>
            </w:r>
          </w:p>
        </w:tc>
        <w:tc>
          <w:tcPr>
            <w:tcW w:w="485" w:type="pct"/>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eastAsia" w:ascii="Arial Narrow" w:hAnsi="Arial Narrow" w:cs="宋体"/>
                <w:kern w:val="0"/>
                <w:sz w:val="16"/>
                <w:szCs w:val="20"/>
              </w:rPr>
            </w:pPr>
            <w:r>
              <w:rPr>
                <w:rFonts w:hint="eastAsia" w:ascii="Arial Narrow" w:hAnsi="Arial Narrow" w:cs="宋体"/>
                <w:kern w:val="0"/>
                <w:sz w:val="16"/>
                <w:szCs w:val="20"/>
              </w:rPr>
              <w:t>128.75</w:t>
            </w:r>
          </w:p>
        </w:tc>
      </w:tr>
    </w:tbl>
    <w:p>
      <w:pPr>
        <w:pStyle w:val="14"/>
        <w:spacing w:line="360" w:lineRule="auto"/>
        <w:ind w:right="-126" w:rightChars="-60" w:firstLine="480" w:firstLineChars="200"/>
        <w:rPr>
          <w:rFonts w:hint="eastAsia"/>
          <w:sz w:val="24"/>
        </w:rPr>
      </w:pPr>
      <w:r>
        <w:rPr>
          <w:rFonts w:hint="eastAsia"/>
          <w:sz w:val="24"/>
        </w:rPr>
        <w:t>委托评估对象和评估范围与经济行为涉及的评估对象与评估范围一致。</w:t>
      </w:r>
    </w:p>
    <w:p>
      <w:pPr>
        <w:pStyle w:val="14"/>
        <w:spacing w:line="360" w:lineRule="auto"/>
        <w:ind w:right="-126" w:rightChars="-60" w:firstLine="480" w:firstLineChars="200"/>
        <w:rPr>
          <w:rFonts w:hint="eastAsia"/>
          <w:sz w:val="24"/>
        </w:rPr>
      </w:pPr>
      <w:r>
        <w:rPr>
          <w:rFonts w:hint="eastAsia"/>
          <w:sz w:val="24"/>
        </w:rPr>
        <w:t>（二）资产概况</w:t>
      </w:r>
    </w:p>
    <w:p>
      <w:pPr>
        <w:pStyle w:val="14"/>
        <w:spacing w:line="360" w:lineRule="auto"/>
        <w:ind w:right="-126" w:rightChars="-60" w:firstLine="480" w:firstLineChars="200"/>
        <w:rPr>
          <w:rFonts w:hint="eastAsia"/>
          <w:sz w:val="24"/>
        </w:rPr>
      </w:pPr>
      <w:r>
        <w:rPr>
          <w:rFonts w:hint="eastAsia"/>
          <w:sz w:val="24"/>
        </w:rPr>
        <w:t>经现场调查，</w:t>
      </w:r>
      <w:r>
        <w:rPr>
          <w:rFonts w:hint="eastAsia"/>
          <w:sz w:val="24"/>
          <w:szCs w:val="24"/>
        </w:rPr>
        <w:t>委估房产为民用住宅，</w:t>
      </w:r>
      <w:r>
        <w:rPr>
          <w:rFonts w:hint="eastAsia"/>
          <w:sz w:val="24"/>
          <w:szCs w:val="24"/>
          <w:lang w:val="en-US" w:eastAsia="zh-CN"/>
        </w:rPr>
        <w:t>建造于2014年，</w:t>
      </w:r>
      <w:r>
        <w:rPr>
          <w:rFonts w:hint="eastAsia"/>
          <w:sz w:val="24"/>
          <w:szCs w:val="24"/>
        </w:rPr>
        <w:t>位于7层住宅楼的第2层。入室防盗门，防盗窗，木质地板，墙面贴壁纸，</w:t>
      </w:r>
      <w:r>
        <w:rPr>
          <w:rFonts w:hint="eastAsia"/>
          <w:sz w:val="24"/>
        </w:rPr>
        <w:t>配套设施：水、电、天然气等设施齐全。委估房产现处于闲置状态，室内清洁度良好，维护保养较好。</w:t>
      </w:r>
    </w:p>
    <w:p>
      <w:pPr>
        <w:pStyle w:val="2"/>
        <w:numPr>
          <w:ilvl w:val="0"/>
          <w:numId w:val="1"/>
        </w:numPr>
        <w:tabs>
          <w:tab w:val="left" w:pos="1050"/>
        </w:tabs>
        <w:spacing w:before="60" w:after="60" w:line="360" w:lineRule="exact"/>
        <w:rPr>
          <w:rFonts w:hint="eastAsia"/>
          <w:sz w:val="24"/>
        </w:rPr>
      </w:pPr>
      <w:bookmarkStart w:id="13" w:name="_Toc250888187"/>
      <w:bookmarkStart w:id="14" w:name="_Toc529183758"/>
      <w:bookmarkStart w:id="15" w:name="_Toc386285480"/>
      <w:r>
        <w:rPr>
          <w:rFonts w:hint="eastAsia"/>
          <w:sz w:val="24"/>
        </w:rPr>
        <w:t>价值类型</w:t>
      </w:r>
      <w:bookmarkEnd w:id="13"/>
      <w:bookmarkEnd w:id="14"/>
      <w:bookmarkEnd w:id="15"/>
    </w:p>
    <w:p>
      <w:pPr>
        <w:pStyle w:val="14"/>
        <w:spacing w:line="360" w:lineRule="auto"/>
        <w:ind w:right="-126" w:rightChars="-60" w:firstLine="480" w:firstLineChars="200"/>
        <w:rPr>
          <w:rFonts w:hint="eastAsia" w:hAnsi="Times New Roman"/>
          <w:sz w:val="24"/>
        </w:rPr>
      </w:pPr>
      <w:r>
        <w:rPr>
          <w:rFonts w:hint="eastAsia" w:hAnsi="Times New Roman"/>
          <w:sz w:val="24"/>
        </w:rPr>
        <w:t>根据评估目的实现的要求，结合评估对象自身的功能、使用方式和利用状态等条件的制约，加之评估中收集的资料均来自市场，因此，本次评估价值类型选用市场价值。</w:t>
      </w:r>
    </w:p>
    <w:p>
      <w:pPr>
        <w:pStyle w:val="14"/>
        <w:spacing w:line="360" w:lineRule="auto"/>
        <w:ind w:right="-126" w:rightChars="-60" w:firstLine="480" w:firstLineChars="200"/>
        <w:rPr>
          <w:rFonts w:hint="eastAsia" w:hAnsi="Times New Roman"/>
          <w:sz w:val="24"/>
        </w:rPr>
      </w:pPr>
      <w:r>
        <w:rPr>
          <w:rFonts w:hint="eastAsia" w:hAnsi="Times New Roman"/>
          <w:sz w:val="24"/>
        </w:rPr>
        <w:t>市场价值是指自愿买方和自愿卖方在各自理性行事且未受任何强迫压制的情况下，评估对象在评估基准日进行正常公平交易的价值估计数额。</w:t>
      </w:r>
    </w:p>
    <w:p>
      <w:pPr>
        <w:pStyle w:val="2"/>
        <w:numPr>
          <w:ilvl w:val="0"/>
          <w:numId w:val="1"/>
        </w:numPr>
        <w:tabs>
          <w:tab w:val="left" w:pos="1050"/>
        </w:tabs>
        <w:spacing w:before="60" w:after="60" w:line="360" w:lineRule="exact"/>
        <w:rPr>
          <w:sz w:val="24"/>
        </w:rPr>
      </w:pPr>
      <w:bookmarkStart w:id="16" w:name="_Toc529183759"/>
      <w:bookmarkStart w:id="17" w:name="_Toc528375936"/>
      <w:bookmarkStart w:id="18" w:name="_Toc386285481"/>
      <w:r>
        <w:rPr>
          <w:rFonts w:hint="eastAsia"/>
          <w:sz w:val="24"/>
        </w:rPr>
        <w:t>评估基准日</w:t>
      </w:r>
      <w:bookmarkEnd w:id="16"/>
      <w:bookmarkEnd w:id="17"/>
      <w:bookmarkEnd w:id="18"/>
    </w:p>
    <w:p>
      <w:pPr>
        <w:pStyle w:val="14"/>
        <w:spacing w:line="360" w:lineRule="auto"/>
        <w:ind w:right="-126" w:rightChars="-60" w:firstLine="480" w:firstLineChars="200"/>
        <w:rPr>
          <w:rFonts w:hint="eastAsia" w:hAnsi="Times New Roman"/>
          <w:sz w:val="24"/>
        </w:rPr>
      </w:pPr>
      <w:r>
        <w:rPr>
          <w:rFonts w:hint="eastAsia" w:hAnsi="Times New Roman"/>
          <w:sz w:val="24"/>
        </w:rPr>
        <w:t>本项目评估基准日是2021年6月28日。</w:t>
      </w:r>
    </w:p>
    <w:p>
      <w:pPr>
        <w:pStyle w:val="14"/>
        <w:spacing w:line="360" w:lineRule="auto"/>
        <w:ind w:right="-126" w:rightChars="-60" w:firstLine="480" w:firstLineChars="200"/>
        <w:rPr>
          <w:rFonts w:hint="eastAsia" w:hAnsi="Times New Roman"/>
          <w:sz w:val="24"/>
        </w:rPr>
      </w:pPr>
      <w:r>
        <w:rPr>
          <w:rFonts w:hint="eastAsia" w:hAnsi="Times New Roman"/>
          <w:sz w:val="24"/>
        </w:rPr>
        <w:t>按照评估基准日尽可能与资产评估应对的经济行为实现日接近的原则，经与委托人协商，本项目将司法鉴定委托书委托日期确定为评估基准日。</w:t>
      </w:r>
    </w:p>
    <w:p>
      <w:pPr>
        <w:pStyle w:val="14"/>
        <w:spacing w:line="360" w:lineRule="auto"/>
        <w:ind w:right="-126" w:rightChars="-60" w:firstLine="480" w:firstLineChars="200"/>
        <w:rPr>
          <w:rFonts w:hint="eastAsia" w:hAnsi="宋体"/>
          <w:sz w:val="24"/>
          <w:szCs w:val="24"/>
        </w:rPr>
      </w:pPr>
      <w:r>
        <w:rPr>
          <w:rFonts w:hint="eastAsia" w:hAnsi="Times New Roman"/>
          <w:sz w:val="24"/>
        </w:rPr>
        <w:t>本报告书中一切取价标准均为评估基准日有效的价格标准</w:t>
      </w:r>
      <w:r>
        <w:rPr>
          <w:rFonts w:hint="eastAsia" w:hAnsi="宋体"/>
          <w:sz w:val="24"/>
          <w:szCs w:val="24"/>
        </w:rPr>
        <w:t>。</w:t>
      </w:r>
    </w:p>
    <w:p>
      <w:pPr>
        <w:pStyle w:val="2"/>
        <w:numPr>
          <w:ilvl w:val="0"/>
          <w:numId w:val="1"/>
        </w:numPr>
        <w:tabs>
          <w:tab w:val="left" w:pos="1050"/>
        </w:tabs>
        <w:spacing w:before="60" w:after="60" w:line="360" w:lineRule="exact"/>
        <w:rPr>
          <w:rFonts w:hint="eastAsia"/>
          <w:sz w:val="24"/>
        </w:rPr>
      </w:pPr>
      <w:bookmarkStart w:id="19" w:name="_Toc529183760"/>
      <w:bookmarkStart w:id="20" w:name="_Toc386285482"/>
      <w:bookmarkStart w:id="21" w:name="_Toc528375938"/>
      <w:r>
        <w:rPr>
          <w:rFonts w:hint="eastAsia"/>
          <w:sz w:val="24"/>
        </w:rPr>
        <w:t>评估依据</w:t>
      </w:r>
      <w:bookmarkEnd w:id="19"/>
      <w:bookmarkEnd w:id="20"/>
      <w:bookmarkEnd w:id="21"/>
    </w:p>
    <w:p>
      <w:pPr>
        <w:widowControl/>
        <w:spacing w:line="360" w:lineRule="auto"/>
        <w:ind w:firstLine="424" w:firstLineChars="177"/>
        <w:jc w:val="left"/>
        <w:rPr>
          <w:rFonts w:hint="eastAsia" w:ascii="宋体"/>
          <w:sz w:val="24"/>
        </w:rPr>
      </w:pPr>
      <w:r>
        <w:rPr>
          <w:rFonts w:hint="eastAsia" w:ascii="宋体"/>
          <w:sz w:val="24"/>
        </w:rPr>
        <w:t>评估机构及评估人员在评估过程中主要遵守以下依据：</w:t>
      </w:r>
    </w:p>
    <w:p>
      <w:pPr>
        <w:widowControl/>
        <w:spacing w:line="360" w:lineRule="auto"/>
        <w:ind w:firstLine="424" w:firstLineChars="177"/>
        <w:jc w:val="left"/>
        <w:rPr>
          <w:rFonts w:hint="eastAsia" w:ascii="宋体"/>
          <w:sz w:val="24"/>
        </w:rPr>
      </w:pPr>
      <w:r>
        <w:rPr>
          <w:rFonts w:hint="eastAsia" w:ascii="宋体"/>
          <w:sz w:val="24"/>
        </w:rPr>
        <w:t>（一）行为依据</w:t>
      </w:r>
    </w:p>
    <w:p>
      <w:pPr>
        <w:widowControl/>
        <w:spacing w:line="360" w:lineRule="auto"/>
        <w:ind w:firstLine="424" w:firstLineChars="177"/>
        <w:jc w:val="left"/>
        <w:rPr>
          <w:rFonts w:hint="eastAsia" w:ascii="宋体"/>
          <w:sz w:val="24"/>
        </w:rPr>
      </w:pPr>
      <w:r>
        <w:rPr>
          <w:rFonts w:hint="eastAsia" w:ascii="宋体"/>
          <w:sz w:val="24"/>
        </w:rPr>
        <w:t>1、河南省汝州市人民法院《司法鉴定委托书》(（2021）豫0482司辅执053号</w:t>
      </w:r>
      <w:r>
        <w:rPr>
          <w:rFonts w:hint="eastAsia" w:ascii="宋体"/>
          <w:kern w:val="0"/>
          <w:sz w:val="24"/>
          <w:szCs w:val="30"/>
        </w:rPr>
        <w:t>)</w:t>
      </w:r>
      <w:r>
        <w:rPr>
          <w:rFonts w:hint="eastAsia" w:ascii="宋体"/>
          <w:sz w:val="24"/>
        </w:rPr>
        <w:t>。</w:t>
      </w:r>
    </w:p>
    <w:p>
      <w:pPr>
        <w:widowControl/>
        <w:spacing w:line="360" w:lineRule="auto"/>
        <w:ind w:firstLine="424" w:firstLineChars="177"/>
        <w:jc w:val="left"/>
        <w:rPr>
          <w:rFonts w:hint="eastAsia" w:ascii="宋体"/>
          <w:sz w:val="24"/>
        </w:rPr>
      </w:pPr>
      <w:r>
        <w:rPr>
          <w:rFonts w:hint="eastAsia" w:ascii="宋体"/>
          <w:sz w:val="24"/>
        </w:rPr>
        <w:t xml:space="preserve">（二）法律、法规依据 </w:t>
      </w:r>
    </w:p>
    <w:p>
      <w:pPr>
        <w:widowControl/>
        <w:spacing w:line="360" w:lineRule="auto"/>
        <w:ind w:firstLine="480"/>
        <w:jc w:val="left"/>
        <w:rPr>
          <w:rFonts w:hint="eastAsia" w:ascii="宋体"/>
          <w:sz w:val="24"/>
        </w:rPr>
      </w:pPr>
      <w:r>
        <w:rPr>
          <w:rFonts w:hint="eastAsia" w:ascii="宋体"/>
          <w:sz w:val="24"/>
        </w:rPr>
        <w:t>1、《中华人民共和国资产评估法》（2016年7月2日中华人民共和国主席令第46号；</w:t>
      </w:r>
    </w:p>
    <w:p>
      <w:pPr>
        <w:widowControl/>
        <w:spacing w:line="360" w:lineRule="auto"/>
        <w:ind w:firstLine="480"/>
        <w:jc w:val="left"/>
        <w:rPr>
          <w:rFonts w:hint="eastAsia" w:ascii="宋体"/>
          <w:sz w:val="24"/>
        </w:rPr>
      </w:pPr>
      <w:r>
        <w:rPr>
          <w:rFonts w:hint="eastAsia" w:ascii="宋体"/>
          <w:sz w:val="24"/>
        </w:rPr>
        <w:t>2、《司法鉴定程序通则》（司法部令第132号）；</w:t>
      </w:r>
    </w:p>
    <w:p>
      <w:pPr>
        <w:widowControl/>
        <w:spacing w:line="360" w:lineRule="auto"/>
        <w:ind w:firstLine="480"/>
        <w:jc w:val="left"/>
        <w:rPr>
          <w:rFonts w:hint="eastAsia" w:ascii="宋体"/>
          <w:sz w:val="24"/>
        </w:rPr>
      </w:pPr>
      <w:r>
        <w:rPr>
          <w:rFonts w:hint="eastAsia" w:ascii="宋体"/>
          <w:sz w:val="24"/>
        </w:rPr>
        <w:t>3、《最高人民法院关于人民法院确定财产处置参考价若干问题的规定》（法释〔2018〕15号）；</w:t>
      </w:r>
    </w:p>
    <w:p>
      <w:pPr>
        <w:widowControl/>
        <w:spacing w:line="360" w:lineRule="auto"/>
        <w:ind w:firstLine="480"/>
        <w:jc w:val="left"/>
        <w:rPr>
          <w:rFonts w:hint="eastAsia" w:ascii="宋体"/>
          <w:sz w:val="24"/>
        </w:rPr>
      </w:pPr>
      <w:r>
        <w:rPr>
          <w:rFonts w:hint="eastAsia" w:ascii="宋体"/>
          <w:sz w:val="24"/>
        </w:rPr>
        <w:t>4、《关于印发&lt;人民法院委托评估工作规范&gt;的通知》(法办〔2018〕273号)；</w:t>
      </w:r>
    </w:p>
    <w:p>
      <w:pPr>
        <w:widowControl/>
        <w:spacing w:line="360" w:lineRule="auto"/>
        <w:ind w:firstLine="480"/>
        <w:jc w:val="left"/>
        <w:rPr>
          <w:rFonts w:hint="eastAsia" w:ascii="宋体"/>
          <w:sz w:val="24"/>
        </w:rPr>
      </w:pPr>
      <w:r>
        <w:rPr>
          <w:rFonts w:hint="eastAsia" w:ascii="宋体"/>
          <w:sz w:val="24"/>
        </w:rPr>
        <w:t>5、《房地产估价规范》（GB/T52091-2015）；</w:t>
      </w:r>
    </w:p>
    <w:p>
      <w:pPr>
        <w:widowControl/>
        <w:spacing w:line="360" w:lineRule="auto"/>
        <w:ind w:firstLine="480"/>
        <w:jc w:val="left"/>
        <w:rPr>
          <w:rFonts w:hint="eastAsia" w:ascii="宋体"/>
          <w:sz w:val="24"/>
        </w:rPr>
      </w:pPr>
      <w:r>
        <w:rPr>
          <w:rFonts w:hint="eastAsia" w:ascii="宋体"/>
          <w:sz w:val="24"/>
        </w:rPr>
        <w:t>6、《中华人民共和国城市房地产管理法》（2007年8月30日第十届全国人民代表大会常务委员会第二十九次会议通过）；</w:t>
      </w:r>
    </w:p>
    <w:p>
      <w:pPr>
        <w:widowControl/>
        <w:spacing w:line="360" w:lineRule="auto"/>
        <w:ind w:firstLine="480"/>
        <w:jc w:val="left"/>
        <w:rPr>
          <w:rFonts w:hint="eastAsia" w:ascii="宋体"/>
          <w:sz w:val="24"/>
        </w:rPr>
      </w:pPr>
      <w:r>
        <w:rPr>
          <w:rFonts w:hint="eastAsia" w:ascii="宋体"/>
          <w:sz w:val="24"/>
        </w:rPr>
        <w:t>7、《中华人民共和国民法典》（2020年5月2日第十三届全国人民代表大会常务委员会第三次会议通过）。</w:t>
      </w:r>
    </w:p>
    <w:p>
      <w:pPr>
        <w:widowControl/>
        <w:spacing w:line="360" w:lineRule="auto"/>
        <w:jc w:val="left"/>
        <w:rPr>
          <w:rFonts w:ascii="宋体"/>
          <w:sz w:val="24"/>
        </w:rPr>
      </w:pPr>
      <w:r>
        <w:rPr>
          <w:rFonts w:hint="eastAsia" w:ascii="宋体"/>
          <w:sz w:val="24"/>
        </w:rPr>
        <w:t xml:space="preserve">    （三）准则</w:t>
      </w:r>
      <w:r>
        <w:rPr>
          <w:rFonts w:ascii="宋体"/>
          <w:sz w:val="24"/>
        </w:rPr>
        <w:t>依据</w:t>
      </w:r>
    </w:p>
    <w:p>
      <w:pPr>
        <w:widowControl/>
        <w:spacing w:line="360" w:lineRule="auto"/>
        <w:ind w:firstLine="480" w:firstLineChars="200"/>
        <w:jc w:val="left"/>
        <w:rPr>
          <w:rFonts w:hint="eastAsia" w:ascii="宋体"/>
          <w:sz w:val="24"/>
        </w:rPr>
      </w:pPr>
      <w:r>
        <w:rPr>
          <w:rFonts w:hint="eastAsia" w:ascii="宋体"/>
          <w:sz w:val="24"/>
        </w:rPr>
        <w:t>1、《资产评估基本准则》（财资〔2017〕43号）；</w:t>
      </w:r>
    </w:p>
    <w:p>
      <w:pPr>
        <w:widowControl/>
        <w:spacing w:line="360" w:lineRule="auto"/>
        <w:ind w:firstLine="480" w:firstLineChars="200"/>
        <w:jc w:val="left"/>
        <w:rPr>
          <w:rFonts w:hint="eastAsia" w:ascii="宋体"/>
          <w:sz w:val="24"/>
        </w:rPr>
      </w:pPr>
      <w:r>
        <w:rPr>
          <w:rFonts w:hint="eastAsia" w:ascii="宋体"/>
          <w:sz w:val="24"/>
        </w:rPr>
        <w:t>2、《资产评估职业道德准则》（中评协〔2017〕30号）；</w:t>
      </w:r>
    </w:p>
    <w:p>
      <w:pPr>
        <w:widowControl/>
        <w:spacing w:line="360" w:lineRule="auto"/>
        <w:ind w:firstLine="480" w:firstLineChars="200"/>
        <w:jc w:val="left"/>
        <w:rPr>
          <w:rFonts w:hint="eastAsia" w:ascii="宋体"/>
          <w:sz w:val="24"/>
        </w:rPr>
      </w:pPr>
      <w:r>
        <w:rPr>
          <w:rFonts w:hint="eastAsia" w:ascii="宋体"/>
          <w:sz w:val="24"/>
        </w:rPr>
        <w:t>3、《资产评估执业准则——资产评估程序》（中评协〔2018〕36号）；</w:t>
      </w:r>
    </w:p>
    <w:p>
      <w:pPr>
        <w:widowControl/>
        <w:spacing w:line="360" w:lineRule="auto"/>
        <w:ind w:firstLine="480" w:firstLineChars="200"/>
        <w:jc w:val="left"/>
        <w:rPr>
          <w:rFonts w:hint="eastAsia" w:ascii="宋体"/>
          <w:sz w:val="24"/>
        </w:rPr>
      </w:pPr>
      <w:r>
        <w:rPr>
          <w:rFonts w:hint="eastAsia" w:ascii="宋体"/>
          <w:sz w:val="24"/>
        </w:rPr>
        <w:t>4、《资产评估执业准则——资产评估报告》（中评协〔2018〕35号）；</w:t>
      </w:r>
    </w:p>
    <w:p>
      <w:pPr>
        <w:widowControl/>
        <w:spacing w:line="360" w:lineRule="auto"/>
        <w:ind w:firstLine="480" w:firstLineChars="200"/>
        <w:jc w:val="left"/>
        <w:rPr>
          <w:rFonts w:hint="eastAsia" w:ascii="宋体"/>
          <w:sz w:val="24"/>
        </w:rPr>
      </w:pPr>
      <w:r>
        <w:rPr>
          <w:rFonts w:hint="eastAsia" w:ascii="宋体"/>
          <w:sz w:val="24"/>
        </w:rPr>
        <w:t>5、《资产评估执业准则——不动产》（中评协〔2017〕38号）；</w:t>
      </w:r>
    </w:p>
    <w:p>
      <w:pPr>
        <w:widowControl/>
        <w:spacing w:line="360" w:lineRule="auto"/>
        <w:ind w:firstLine="480" w:firstLineChars="200"/>
        <w:jc w:val="left"/>
        <w:rPr>
          <w:rFonts w:hint="eastAsia" w:ascii="宋体"/>
          <w:sz w:val="24"/>
        </w:rPr>
      </w:pPr>
      <w:r>
        <w:rPr>
          <w:rFonts w:hint="eastAsia" w:ascii="宋体"/>
          <w:sz w:val="24"/>
        </w:rPr>
        <w:t>6、《人民法院委托司法执行财产处置资产评估指导意见》（中评协〔2019〕14号）；</w:t>
      </w:r>
    </w:p>
    <w:p>
      <w:pPr>
        <w:widowControl/>
        <w:spacing w:line="360" w:lineRule="auto"/>
        <w:ind w:firstLine="480" w:firstLineChars="200"/>
        <w:jc w:val="left"/>
        <w:rPr>
          <w:rFonts w:hint="eastAsia" w:ascii="宋体"/>
          <w:sz w:val="24"/>
        </w:rPr>
      </w:pPr>
      <w:r>
        <w:rPr>
          <w:rFonts w:hint="eastAsia" w:ascii="宋体"/>
          <w:sz w:val="24"/>
        </w:rPr>
        <w:t>7、《</w:t>
      </w:r>
      <w:r>
        <w:rPr>
          <w:rFonts w:hint="eastAsia" w:ascii="宋体" w:hAnsi="宋体"/>
          <w:sz w:val="24"/>
          <w:szCs w:val="24"/>
        </w:rPr>
        <w:t>资产评估执业准则——资产评估方法》（中评协〔2019〕35号）</w:t>
      </w:r>
      <w:r>
        <w:rPr>
          <w:rFonts w:hint="eastAsia" w:ascii="宋体"/>
          <w:sz w:val="24"/>
        </w:rPr>
        <w:t>；</w:t>
      </w:r>
    </w:p>
    <w:p>
      <w:pPr>
        <w:widowControl/>
        <w:spacing w:line="360" w:lineRule="auto"/>
        <w:ind w:firstLine="480" w:firstLineChars="200"/>
        <w:jc w:val="left"/>
        <w:rPr>
          <w:rFonts w:hint="eastAsia" w:ascii="宋体"/>
          <w:sz w:val="24"/>
        </w:rPr>
      </w:pPr>
      <w:r>
        <w:rPr>
          <w:rFonts w:hint="eastAsia" w:ascii="宋体"/>
          <w:sz w:val="24"/>
        </w:rPr>
        <w:t>8、《资产评估机构业务质量控制指南》（中评协〔2017〕46号）；</w:t>
      </w:r>
    </w:p>
    <w:p>
      <w:pPr>
        <w:widowControl/>
        <w:spacing w:line="360" w:lineRule="auto"/>
        <w:ind w:firstLine="480" w:firstLineChars="200"/>
        <w:jc w:val="left"/>
        <w:rPr>
          <w:rFonts w:hint="eastAsia" w:ascii="宋体"/>
          <w:sz w:val="24"/>
        </w:rPr>
      </w:pPr>
      <w:r>
        <w:rPr>
          <w:rFonts w:hint="eastAsia" w:ascii="宋体"/>
          <w:sz w:val="24"/>
        </w:rPr>
        <w:t>9、《资产评估价值类型指导意见》（中评协〔2017〕47号）；</w:t>
      </w:r>
    </w:p>
    <w:p>
      <w:pPr>
        <w:widowControl/>
        <w:spacing w:line="360" w:lineRule="auto"/>
        <w:ind w:firstLine="480" w:firstLineChars="200"/>
        <w:jc w:val="left"/>
        <w:rPr>
          <w:rFonts w:hint="eastAsia" w:ascii="宋体"/>
          <w:sz w:val="24"/>
        </w:rPr>
      </w:pPr>
      <w:r>
        <w:rPr>
          <w:rFonts w:hint="eastAsia" w:ascii="宋体"/>
          <w:sz w:val="24"/>
        </w:rPr>
        <w:t>10、《资产评估对象法律权属指导意见》（中评协〔2017〕48号）；</w:t>
      </w:r>
    </w:p>
    <w:p>
      <w:pPr>
        <w:widowControl/>
        <w:spacing w:line="360" w:lineRule="auto"/>
        <w:ind w:firstLine="480" w:firstLineChars="200"/>
        <w:jc w:val="left"/>
        <w:rPr>
          <w:rFonts w:hint="eastAsia" w:ascii="宋体"/>
          <w:sz w:val="24"/>
          <w:highlight w:val="none"/>
        </w:rPr>
      </w:pPr>
      <w:r>
        <w:rPr>
          <w:rFonts w:hint="eastAsia" w:ascii="宋体"/>
          <w:sz w:val="24"/>
          <w:highlight w:val="none"/>
        </w:rPr>
        <w:t>11、《资产评估执业准则——资产评估方法》（中评协〔2019〕35号）；</w:t>
      </w:r>
    </w:p>
    <w:p>
      <w:pPr>
        <w:widowControl/>
        <w:spacing w:line="360" w:lineRule="auto"/>
        <w:ind w:firstLine="480" w:firstLineChars="200"/>
        <w:jc w:val="left"/>
        <w:rPr>
          <w:rFonts w:hint="eastAsia" w:ascii="宋体"/>
          <w:sz w:val="24"/>
        </w:rPr>
      </w:pPr>
      <w:r>
        <w:rPr>
          <w:rFonts w:hint="eastAsia" w:ascii="宋体"/>
          <w:sz w:val="24"/>
          <w:highlight w:val="none"/>
        </w:rPr>
        <w:t>12、《资产评估准则术语2020》（中评协〔2020〕31号）</w:t>
      </w:r>
      <w:r>
        <w:rPr>
          <w:rFonts w:hint="eastAsia" w:ascii="宋体"/>
          <w:sz w:val="24"/>
        </w:rPr>
        <w:t>。</w:t>
      </w:r>
    </w:p>
    <w:p>
      <w:pPr>
        <w:widowControl/>
        <w:spacing w:line="360" w:lineRule="auto"/>
        <w:ind w:firstLine="480" w:firstLineChars="200"/>
        <w:jc w:val="left"/>
        <w:rPr>
          <w:rFonts w:hint="eastAsia" w:ascii="宋体"/>
          <w:sz w:val="24"/>
        </w:rPr>
      </w:pPr>
      <w:r>
        <w:rPr>
          <w:rFonts w:hint="eastAsia" w:ascii="宋体"/>
          <w:sz w:val="24"/>
        </w:rPr>
        <w:t>（四）取价依据</w:t>
      </w:r>
    </w:p>
    <w:p>
      <w:pPr>
        <w:widowControl/>
        <w:spacing w:line="360" w:lineRule="auto"/>
        <w:ind w:firstLine="480" w:firstLineChars="200"/>
        <w:jc w:val="left"/>
        <w:rPr>
          <w:rFonts w:hint="eastAsia" w:ascii="宋体"/>
          <w:sz w:val="24"/>
        </w:rPr>
      </w:pPr>
      <w:r>
        <w:rPr>
          <w:rFonts w:hint="eastAsia" w:ascii="宋体"/>
          <w:sz w:val="24"/>
        </w:rPr>
        <w:t>1、全国资产评估参数资料选编（财政部财产评估司）；</w:t>
      </w:r>
    </w:p>
    <w:p>
      <w:pPr>
        <w:widowControl/>
        <w:tabs>
          <w:tab w:val="left" w:pos="315"/>
          <w:tab w:val="left" w:pos="360"/>
          <w:tab w:val="left" w:pos="945"/>
        </w:tabs>
        <w:spacing w:line="360" w:lineRule="auto"/>
        <w:ind w:firstLine="480" w:firstLineChars="200"/>
        <w:rPr>
          <w:rFonts w:hint="eastAsia" w:ascii="新宋体" w:hAnsi="新宋体" w:eastAsia="新宋体"/>
          <w:spacing w:val="10"/>
          <w:sz w:val="24"/>
        </w:rPr>
      </w:pPr>
      <w:r>
        <w:rPr>
          <w:rFonts w:hint="eastAsia" w:ascii="宋体"/>
          <w:sz w:val="24"/>
        </w:rPr>
        <w:t>2、58同城、安居客、贝壳网等</w:t>
      </w:r>
      <w:r>
        <w:rPr>
          <w:rFonts w:hint="eastAsia" w:ascii="新宋体" w:hAnsi="新宋体" w:eastAsia="新宋体"/>
          <w:spacing w:val="10"/>
          <w:sz w:val="24"/>
        </w:rPr>
        <w:t>房地产交易平台；</w:t>
      </w:r>
    </w:p>
    <w:p>
      <w:pPr>
        <w:widowControl/>
        <w:tabs>
          <w:tab w:val="left" w:pos="315"/>
          <w:tab w:val="left" w:pos="360"/>
          <w:tab w:val="left" w:pos="945"/>
        </w:tabs>
        <w:spacing w:line="360" w:lineRule="auto"/>
        <w:ind w:firstLine="480" w:firstLineChars="200"/>
        <w:rPr>
          <w:rFonts w:hint="eastAsia" w:ascii="新宋体" w:hAnsi="新宋体" w:eastAsia="新宋体"/>
          <w:spacing w:val="10"/>
          <w:sz w:val="24"/>
        </w:rPr>
      </w:pPr>
      <w:r>
        <w:rPr>
          <w:rFonts w:hint="eastAsia" w:ascii="宋体"/>
          <w:sz w:val="24"/>
        </w:rPr>
        <w:t>3、评估人员现场勘察记录及收集的其他相关估价信息资料；</w:t>
      </w:r>
    </w:p>
    <w:p>
      <w:pPr>
        <w:widowControl/>
        <w:tabs>
          <w:tab w:val="left" w:pos="315"/>
          <w:tab w:val="left" w:pos="360"/>
          <w:tab w:val="left" w:pos="945"/>
        </w:tabs>
        <w:spacing w:line="360" w:lineRule="auto"/>
        <w:rPr>
          <w:rFonts w:hint="eastAsia" w:ascii="宋体"/>
          <w:sz w:val="24"/>
        </w:rPr>
      </w:pPr>
      <w:r>
        <w:rPr>
          <w:rFonts w:hint="eastAsia" w:ascii="宋体"/>
          <w:sz w:val="24"/>
        </w:rPr>
        <w:t xml:space="preserve">    4、本公司在评估过程中搜集的其他相关资料。</w:t>
      </w:r>
      <w:bookmarkStart w:id="22" w:name="_Toc528375939"/>
    </w:p>
    <w:p>
      <w:pPr>
        <w:pStyle w:val="2"/>
        <w:numPr>
          <w:ilvl w:val="0"/>
          <w:numId w:val="1"/>
        </w:numPr>
        <w:tabs>
          <w:tab w:val="left" w:pos="1050"/>
        </w:tabs>
        <w:spacing w:before="60" w:after="60" w:line="360" w:lineRule="exact"/>
        <w:rPr>
          <w:sz w:val="24"/>
        </w:rPr>
      </w:pPr>
      <w:bookmarkStart w:id="23" w:name="_Toc529183761"/>
      <w:bookmarkStart w:id="24" w:name="_Toc250888190"/>
      <w:bookmarkStart w:id="25" w:name="_Toc386285483"/>
      <w:r>
        <w:rPr>
          <w:rFonts w:hint="eastAsia"/>
          <w:sz w:val="24"/>
        </w:rPr>
        <w:t>评估方法</w:t>
      </w:r>
      <w:bookmarkEnd w:id="22"/>
      <w:bookmarkEnd w:id="23"/>
      <w:bookmarkEnd w:id="24"/>
      <w:bookmarkEnd w:id="25"/>
    </w:p>
    <w:p>
      <w:pPr>
        <w:pStyle w:val="14"/>
        <w:spacing w:line="360" w:lineRule="auto"/>
        <w:ind w:right="-126" w:rightChars="-60" w:firstLine="480" w:firstLineChars="200"/>
        <w:rPr>
          <w:rFonts w:hint="eastAsia" w:hAnsi="Times New Roman"/>
          <w:sz w:val="24"/>
        </w:rPr>
      </w:pPr>
      <w:r>
        <w:rPr>
          <w:rFonts w:hint="eastAsia" w:hAnsi="Times New Roman"/>
          <w:sz w:val="24"/>
        </w:rPr>
        <w:t>根据资产评估准则，可供选择的评估方法有：市场法、收益法、成本法。</w:t>
      </w:r>
    </w:p>
    <w:p>
      <w:pPr>
        <w:pStyle w:val="14"/>
        <w:spacing w:line="360" w:lineRule="auto"/>
        <w:ind w:right="-126" w:rightChars="-60" w:firstLine="480" w:firstLineChars="200"/>
        <w:rPr>
          <w:rFonts w:hint="eastAsia" w:hAnsi="Times New Roman"/>
          <w:sz w:val="24"/>
        </w:rPr>
      </w:pPr>
      <w:r>
        <w:rPr>
          <w:rFonts w:hint="eastAsia" w:hAnsi="Times New Roman"/>
          <w:sz w:val="24"/>
        </w:rPr>
        <w:t>市场法，是指通过比较被评估资产与最近售出类似资产的异同，并将类似的市场价格进行调整，从而确定被评估资产价值的一种评估方法。</w:t>
      </w:r>
    </w:p>
    <w:p>
      <w:pPr>
        <w:pStyle w:val="14"/>
        <w:spacing w:line="360" w:lineRule="auto"/>
        <w:ind w:right="-126" w:rightChars="-60" w:firstLine="480" w:firstLineChars="200"/>
        <w:rPr>
          <w:rFonts w:hint="eastAsia" w:hAnsi="Times New Roman"/>
          <w:sz w:val="24"/>
        </w:rPr>
      </w:pPr>
      <w:r>
        <w:rPr>
          <w:rFonts w:hint="eastAsia" w:hAnsi="Times New Roman"/>
          <w:sz w:val="24"/>
        </w:rPr>
        <w:t>收益法是指通过估算被评估资产的未来预期收益并折算成现值，借以确定被评估的资产价值的方法。</w:t>
      </w:r>
    </w:p>
    <w:p>
      <w:pPr>
        <w:pStyle w:val="14"/>
        <w:spacing w:line="360" w:lineRule="auto"/>
        <w:ind w:right="-126" w:rightChars="-60" w:firstLine="480" w:firstLineChars="200"/>
        <w:rPr>
          <w:rFonts w:hint="eastAsia" w:hAnsi="Times New Roman"/>
          <w:sz w:val="24"/>
        </w:rPr>
      </w:pPr>
      <w:r>
        <w:rPr>
          <w:rFonts w:hint="eastAsia" w:hAnsi="Times New Roman"/>
          <w:sz w:val="24"/>
        </w:rPr>
        <w:t>成本法是指首先估测被评估资产的重置成本，然后估测被评估资产已存在的各种贬值因素，并将其从重置成本中予以扣除而得到被评估资产价值的各种评估方法的总称。</w:t>
      </w:r>
    </w:p>
    <w:p>
      <w:pPr>
        <w:pStyle w:val="14"/>
        <w:spacing w:line="360" w:lineRule="auto"/>
        <w:ind w:right="-126" w:rightChars="-60" w:firstLine="480" w:firstLineChars="200"/>
        <w:rPr>
          <w:rFonts w:hint="eastAsia" w:hAnsi="Times New Roman"/>
          <w:sz w:val="24"/>
        </w:rPr>
      </w:pPr>
      <w:r>
        <w:rPr>
          <w:rFonts w:hint="eastAsia" w:hAnsi="Times New Roman"/>
          <w:sz w:val="24"/>
        </w:rPr>
        <w:t>根据评估对象的特点和评估目的，以及评估人员对</w:t>
      </w:r>
      <w:r>
        <w:rPr>
          <w:rFonts w:hint="eastAsia" w:hAnsi="Times New Roman"/>
          <w:sz w:val="24"/>
          <w:highlight w:val="none"/>
          <w:lang w:val="en-US" w:eastAsia="zh-CN"/>
        </w:rPr>
        <w:t>汝州</w:t>
      </w:r>
      <w:r>
        <w:rPr>
          <w:rFonts w:hint="eastAsia" w:hAnsi="Times New Roman"/>
          <w:sz w:val="24"/>
          <w:highlight w:val="none"/>
        </w:rPr>
        <w:t>市房地产市场状况</w:t>
      </w:r>
      <w:r>
        <w:rPr>
          <w:rFonts w:hint="eastAsia" w:hAnsi="Times New Roman"/>
          <w:sz w:val="24"/>
        </w:rPr>
        <w:t>的调查和对评估对象的实地勘察，并遵循资产评估的基本原则，选取市场法作为本次评估的基本方法。</w:t>
      </w:r>
    </w:p>
    <w:p>
      <w:pPr>
        <w:pStyle w:val="14"/>
        <w:spacing w:line="360" w:lineRule="auto"/>
        <w:ind w:right="-126" w:rightChars="-60" w:firstLine="480" w:firstLineChars="200"/>
        <w:rPr>
          <w:rFonts w:hint="eastAsia" w:hAnsi="Times New Roman"/>
          <w:sz w:val="24"/>
        </w:rPr>
      </w:pPr>
      <w:r>
        <w:rPr>
          <w:rFonts w:hint="eastAsia" w:hAnsi="Times New Roman"/>
          <w:sz w:val="24"/>
        </w:rPr>
        <w:t>选择理由如下：由于委估房产处于闲置状态，无经营收益，另外周边同类型住宅租金难以取得，未来收益期限难确定，因此不采用收益法进行评估；因房屋的建造成本与市场价值差距较大，成本法不能反映房屋的市场情况，也不宜采用成本法；而当地目前房地产二手市场较为活跃，可咨询到相近或相似的房屋价格，且由此得到的评估价值反映了市场情况，故采用市场法进行评估。</w:t>
      </w:r>
    </w:p>
    <w:p>
      <w:pPr>
        <w:pStyle w:val="14"/>
        <w:spacing w:line="360" w:lineRule="auto"/>
        <w:ind w:right="-126" w:rightChars="-60" w:firstLine="480" w:firstLineChars="200"/>
        <w:rPr>
          <w:rFonts w:hint="eastAsia" w:hAnsi="Times New Roman"/>
          <w:sz w:val="24"/>
        </w:rPr>
      </w:pPr>
      <w:r>
        <w:rPr>
          <w:rFonts w:hint="eastAsia" w:hAnsi="Times New Roman"/>
          <w:sz w:val="24"/>
        </w:rPr>
        <w:t>评估人员按照国家有关法律、法规及资产评估操作规范的要求，结合被评估资产的特点，将评估对象与在评估基准日近期有过交易的类似房产进行比较，对这些类似房产的已知价格作适当修正，以此估算评估对象的客观合理价格或价值。</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1、市场法的概念</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市场法又称市场比较法，是将估价对象与在估价时点近期交易的类似房产进行比较，对这些类似房产的成交价格做适当的修正和调整，以此求取估价对象的客观合理价格或价值的方法。</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2、市场法的估价思路</w:t>
      </w:r>
    </w:p>
    <w:p>
      <w:pPr>
        <w:tabs>
          <w:tab w:val="left" w:pos="0"/>
        </w:tabs>
        <w:spacing w:line="360" w:lineRule="auto"/>
        <w:ind w:firstLine="424" w:firstLineChars="177"/>
        <w:rPr>
          <w:rFonts w:hint="eastAsia" w:ascii="宋体" w:hAnsi="宋体"/>
          <w:sz w:val="24"/>
          <w:szCs w:val="24"/>
        </w:rPr>
      </w:pPr>
      <w:r>
        <w:rPr>
          <w:rFonts w:hint="eastAsia" w:ascii="宋体" w:hAnsi="宋体"/>
          <w:sz w:val="24"/>
          <w:szCs w:val="24"/>
        </w:rPr>
        <w:t>（1）搜集交易实例</w:t>
      </w:r>
    </w:p>
    <w:p>
      <w:pPr>
        <w:tabs>
          <w:tab w:val="left" w:pos="0"/>
        </w:tabs>
        <w:spacing w:line="360" w:lineRule="auto"/>
        <w:ind w:firstLine="424" w:firstLineChars="177"/>
        <w:rPr>
          <w:rFonts w:hint="eastAsia" w:ascii="宋体" w:hAnsi="宋体"/>
          <w:sz w:val="24"/>
          <w:szCs w:val="24"/>
        </w:rPr>
      </w:pPr>
      <w:r>
        <w:rPr>
          <w:rFonts w:hint="eastAsia" w:ascii="宋体" w:hAnsi="宋体"/>
          <w:sz w:val="24"/>
          <w:szCs w:val="24"/>
        </w:rPr>
        <w:t>（2）选取可比实例</w:t>
      </w:r>
    </w:p>
    <w:p>
      <w:pPr>
        <w:tabs>
          <w:tab w:val="left" w:pos="0"/>
        </w:tabs>
        <w:spacing w:line="360" w:lineRule="auto"/>
        <w:ind w:firstLine="424" w:firstLineChars="177"/>
        <w:rPr>
          <w:rFonts w:hint="eastAsia" w:ascii="宋体" w:hAnsi="宋体"/>
          <w:sz w:val="24"/>
          <w:szCs w:val="24"/>
        </w:rPr>
      </w:pPr>
      <w:r>
        <w:rPr>
          <w:rFonts w:hint="eastAsia" w:ascii="宋体" w:hAnsi="宋体"/>
          <w:sz w:val="24"/>
          <w:szCs w:val="24"/>
        </w:rPr>
        <w:t>（3）建立价格可比基础</w:t>
      </w:r>
    </w:p>
    <w:p>
      <w:pPr>
        <w:tabs>
          <w:tab w:val="left" w:pos="0"/>
        </w:tabs>
        <w:spacing w:line="360" w:lineRule="auto"/>
        <w:ind w:firstLine="424" w:firstLineChars="177"/>
        <w:rPr>
          <w:rFonts w:hint="eastAsia" w:ascii="宋体" w:hAnsi="宋体"/>
          <w:sz w:val="24"/>
          <w:szCs w:val="24"/>
        </w:rPr>
      </w:pPr>
      <w:r>
        <w:rPr>
          <w:rFonts w:hint="eastAsia" w:ascii="宋体" w:hAnsi="宋体"/>
          <w:sz w:val="24"/>
          <w:szCs w:val="24"/>
        </w:rPr>
        <w:t>（4）进行交易情况修正</w:t>
      </w:r>
    </w:p>
    <w:p>
      <w:pPr>
        <w:tabs>
          <w:tab w:val="left" w:pos="0"/>
        </w:tabs>
        <w:spacing w:line="360" w:lineRule="auto"/>
        <w:ind w:firstLine="424" w:firstLineChars="177"/>
        <w:rPr>
          <w:rFonts w:hint="eastAsia" w:ascii="宋体" w:hAnsi="宋体"/>
          <w:sz w:val="24"/>
          <w:szCs w:val="24"/>
        </w:rPr>
      </w:pPr>
      <w:r>
        <w:rPr>
          <w:rFonts w:hint="eastAsia" w:ascii="宋体" w:hAnsi="宋体"/>
          <w:sz w:val="24"/>
          <w:szCs w:val="24"/>
        </w:rPr>
        <w:t xml:space="preserve">（5）进行交易日期调整 </w:t>
      </w:r>
    </w:p>
    <w:p>
      <w:pPr>
        <w:tabs>
          <w:tab w:val="left" w:pos="0"/>
        </w:tabs>
        <w:spacing w:line="360" w:lineRule="auto"/>
        <w:ind w:firstLine="424" w:firstLineChars="177"/>
        <w:rPr>
          <w:rFonts w:hint="eastAsia" w:ascii="宋体" w:hAnsi="宋体"/>
          <w:sz w:val="24"/>
          <w:szCs w:val="24"/>
        </w:rPr>
      </w:pPr>
      <w:r>
        <w:rPr>
          <w:rFonts w:hint="eastAsia" w:ascii="宋体" w:hAnsi="宋体"/>
          <w:sz w:val="24"/>
          <w:szCs w:val="24"/>
        </w:rPr>
        <w:t>（6）进行房产状况调整</w:t>
      </w:r>
    </w:p>
    <w:p>
      <w:pPr>
        <w:tabs>
          <w:tab w:val="left" w:pos="0"/>
        </w:tabs>
        <w:spacing w:line="360" w:lineRule="auto"/>
        <w:ind w:firstLine="424" w:firstLineChars="177"/>
        <w:rPr>
          <w:rFonts w:hint="eastAsia" w:ascii="宋体" w:hAnsi="宋体"/>
          <w:sz w:val="24"/>
          <w:szCs w:val="24"/>
        </w:rPr>
      </w:pPr>
      <w:r>
        <w:rPr>
          <w:rFonts w:hint="eastAsia" w:ascii="宋体" w:hAnsi="宋体"/>
          <w:sz w:val="24"/>
          <w:szCs w:val="24"/>
        </w:rPr>
        <w:t xml:space="preserve">（7）求取比准价格 </w:t>
      </w:r>
    </w:p>
    <w:p>
      <w:pPr>
        <w:tabs>
          <w:tab w:val="left" w:pos="0"/>
        </w:tabs>
        <w:spacing w:line="360" w:lineRule="auto"/>
        <w:ind w:firstLine="424" w:firstLineChars="177"/>
        <w:rPr>
          <w:rFonts w:hint="eastAsia" w:ascii="宋体" w:hAnsi="宋体"/>
          <w:sz w:val="24"/>
          <w:szCs w:val="24"/>
        </w:rPr>
      </w:pPr>
      <w:r>
        <w:rPr>
          <w:rFonts w:hint="eastAsia" w:ascii="宋体" w:hAnsi="宋体"/>
          <w:sz w:val="24"/>
          <w:szCs w:val="24"/>
        </w:rPr>
        <w:t>（8）求取委评资产价值</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市场比较法评估值＝可比实例成交价格×交易时间修正系数×交易情况修正系数×房产状况因素修正系数</w:t>
      </w:r>
      <w:r>
        <w:rPr>
          <w:rFonts w:hint="eastAsia"/>
          <w:sz w:val="24"/>
        </w:rPr>
        <w:t>。</w:t>
      </w:r>
    </w:p>
    <w:p>
      <w:pPr>
        <w:pStyle w:val="2"/>
        <w:numPr>
          <w:ilvl w:val="0"/>
          <w:numId w:val="1"/>
        </w:numPr>
        <w:tabs>
          <w:tab w:val="left" w:pos="1050"/>
        </w:tabs>
        <w:spacing w:before="60" w:after="60" w:line="360" w:lineRule="exact"/>
        <w:rPr>
          <w:rFonts w:hint="eastAsia"/>
          <w:sz w:val="24"/>
        </w:rPr>
      </w:pPr>
      <w:bookmarkStart w:id="26" w:name="_Toc528375940"/>
      <w:bookmarkStart w:id="27" w:name="_Toc529183762"/>
      <w:bookmarkStart w:id="28" w:name="_Toc386285484"/>
      <w:r>
        <w:rPr>
          <w:rFonts w:hint="eastAsia"/>
          <w:sz w:val="24"/>
        </w:rPr>
        <w:t>评估程序实施过程</w:t>
      </w:r>
      <w:bookmarkEnd w:id="26"/>
      <w:r>
        <w:rPr>
          <w:rFonts w:hint="eastAsia"/>
          <w:sz w:val="24"/>
        </w:rPr>
        <w:t>和情况</w:t>
      </w:r>
      <w:bookmarkEnd w:id="27"/>
      <w:bookmarkEnd w:id="28"/>
      <w:bookmarkStart w:id="29" w:name="_Toc202931384"/>
      <w:bookmarkStart w:id="30" w:name="_Toc386285485"/>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本次评估程序实施过程介绍如下：</w:t>
      </w:r>
    </w:p>
    <w:p>
      <w:pPr>
        <w:tabs>
          <w:tab w:val="left" w:pos="0"/>
        </w:tabs>
        <w:spacing w:line="360" w:lineRule="auto"/>
        <w:ind w:left="480"/>
        <w:rPr>
          <w:rFonts w:hint="eastAsia" w:ascii="宋体" w:hAnsi="宋体"/>
          <w:sz w:val="24"/>
          <w:szCs w:val="24"/>
        </w:rPr>
      </w:pPr>
      <w:r>
        <w:rPr>
          <w:rFonts w:hint="eastAsia" w:ascii="宋体" w:hAnsi="宋体"/>
          <w:sz w:val="24"/>
          <w:szCs w:val="24"/>
        </w:rPr>
        <w:t>（一）接受委托</w:t>
      </w:r>
    </w:p>
    <w:p>
      <w:pPr>
        <w:tabs>
          <w:tab w:val="left" w:pos="0"/>
        </w:tabs>
        <w:spacing w:line="360" w:lineRule="auto"/>
        <w:ind w:firstLine="424" w:firstLineChars="177"/>
        <w:rPr>
          <w:rFonts w:hint="eastAsia" w:ascii="宋体" w:hAnsi="宋体"/>
          <w:sz w:val="24"/>
          <w:szCs w:val="24"/>
        </w:rPr>
      </w:pPr>
      <w:r>
        <w:rPr>
          <w:rFonts w:hint="eastAsia" w:ascii="宋体" w:hAnsi="宋体"/>
          <w:sz w:val="24"/>
          <w:szCs w:val="24"/>
        </w:rPr>
        <w:t>2021年6月28日，河南省汝州市人民法院向本公司出具了司法鉴定委托书，明确了委托司法鉴定的有关事项。</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（二）明确评估业务基本事项</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根据司法鉴定委托书就评估目的、评估对象与评估范围、价值类型、评估基准日、评估报告提交时间及方式等重要事项进行了解、协商，予以明确。</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（三）编制评估计划</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根据评估项目的具体情况，指派项目经理和评估小组成员。由项目经理编制评估计划，对评估项目的具体实施程序、时间要求、人员分工做出安排，并将评估计划报经部门经理和总经理审核批准。</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（四）现场调查</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根据批准的评估计划，评估人员会同委托人、当事方共同到评估对象实地进行现场调查，向相关当事人了解评估范围内资产的使用、维护等基本情况。</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（五）收集评估资料</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根据评估工作的需要，评估人员收集、分析、验证和整理与本次评估相关的各种资料与信息，包括评估对象的市场价格信息、行业信息等。</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（六）评定估算</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根据评估对象的实际状况和特点、收集整理出的评估资料，制定具体评估方法，对评估范围内的资产进行评估测算，初步确定评估价值。</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（七）编制和提交评估报告</w:t>
      </w:r>
    </w:p>
    <w:p>
      <w:pPr>
        <w:pStyle w:val="14"/>
        <w:spacing w:line="360" w:lineRule="auto"/>
        <w:ind w:right="-126" w:rightChars="-60" w:firstLine="480" w:firstLineChars="200"/>
        <w:rPr>
          <w:rFonts w:hint="eastAsia" w:hAnsi="Times New Roman"/>
          <w:sz w:val="24"/>
        </w:rPr>
      </w:pPr>
      <w:r>
        <w:rPr>
          <w:rFonts w:hint="eastAsia" w:hAnsi="宋体"/>
          <w:sz w:val="24"/>
          <w:szCs w:val="24"/>
        </w:rPr>
        <w:t>项目经理召集评估小组成员对评估结论初步意见进行分析，并由项目经理撰写评估报告初稿，经与委托人沟通后补充、完善评估报告，再经公司内部项目经理、部门经理、执业质量控制委员会三级审核后，由总经理签发向委托人提交资产评估报告</w:t>
      </w:r>
      <w:r>
        <w:rPr>
          <w:rFonts w:hint="eastAsia" w:hAnsi="Times New Roman"/>
          <w:sz w:val="24"/>
        </w:rPr>
        <w:t>。</w:t>
      </w:r>
    </w:p>
    <w:p>
      <w:pPr>
        <w:pStyle w:val="2"/>
        <w:numPr>
          <w:ilvl w:val="0"/>
          <w:numId w:val="1"/>
        </w:numPr>
        <w:tabs>
          <w:tab w:val="left" w:pos="1050"/>
        </w:tabs>
        <w:spacing w:before="60" w:after="60" w:line="360" w:lineRule="exact"/>
        <w:rPr>
          <w:rFonts w:hint="eastAsia"/>
          <w:sz w:val="24"/>
        </w:rPr>
      </w:pPr>
      <w:bookmarkStart w:id="31" w:name="_Toc529183763"/>
      <w:r>
        <w:rPr>
          <w:rFonts w:hint="eastAsia"/>
          <w:sz w:val="24"/>
        </w:rPr>
        <w:t>评估假设</w:t>
      </w:r>
      <w:bookmarkEnd w:id="29"/>
      <w:bookmarkEnd w:id="30"/>
      <w:bookmarkEnd w:id="31"/>
    </w:p>
    <w:p>
      <w:pPr>
        <w:pStyle w:val="14"/>
        <w:spacing w:line="360" w:lineRule="auto"/>
        <w:ind w:right="-126" w:rightChars="-60" w:firstLine="480" w:firstLineChars="200"/>
        <w:rPr>
          <w:rFonts w:hint="eastAsia" w:hAnsi="Times New Roman"/>
          <w:sz w:val="24"/>
        </w:rPr>
      </w:pPr>
      <w:bookmarkStart w:id="32" w:name="_Toc528375941"/>
      <w:bookmarkStart w:id="33" w:name="_Toc386285486"/>
      <w:r>
        <w:rPr>
          <w:rFonts w:hint="eastAsia" w:hAnsi="Times New Roman"/>
          <w:sz w:val="24"/>
        </w:rPr>
        <w:t>在资产评估中，评估人员基于以下假设做出了专业判断：</w:t>
      </w:r>
    </w:p>
    <w:p>
      <w:pPr>
        <w:pStyle w:val="14"/>
        <w:spacing w:line="360" w:lineRule="auto"/>
        <w:ind w:right="-126" w:rightChars="-60" w:firstLine="480" w:firstLineChars="200"/>
        <w:rPr>
          <w:rFonts w:hint="eastAsia" w:hAnsi="Times New Roman"/>
          <w:sz w:val="24"/>
        </w:rPr>
      </w:pPr>
      <w:r>
        <w:rPr>
          <w:rFonts w:hint="eastAsia" w:hAnsi="Times New Roman"/>
          <w:sz w:val="24"/>
        </w:rPr>
        <w:t>（一）宏观及外部环境假设</w:t>
      </w:r>
    </w:p>
    <w:p>
      <w:pPr>
        <w:pStyle w:val="14"/>
        <w:spacing w:line="360" w:lineRule="auto"/>
        <w:ind w:right="-126" w:rightChars="-60" w:firstLine="480" w:firstLineChars="200"/>
        <w:rPr>
          <w:rFonts w:hint="eastAsia" w:hAnsi="Times New Roman"/>
          <w:sz w:val="24"/>
        </w:rPr>
      </w:pPr>
      <w:r>
        <w:rPr>
          <w:rFonts w:hint="eastAsia" w:hAnsi="Times New Roman"/>
          <w:sz w:val="24"/>
        </w:rPr>
        <w:t>1、假设国家宏观经济形势及现行的有关法律、法规、政策，无重大变化；本次交易双方所处地区的政治、经济和社会环境无重大变化。</w:t>
      </w:r>
    </w:p>
    <w:p>
      <w:pPr>
        <w:pStyle w:val="14"/>
        <w:spacing w:line="360" w:lineRule="auto"/>
        <w:ind w:right="-126" w:rightChars="-60" w:firstLine="480" w:firstLineChars="200"/>
        <w:rPr>
          <w:rFonts w:hint="eastAsia" w:hAnsi="Times New Roman"/>
          <w:sz w:val="24"/>
        </w:rPr>
      </w:pPr>
      <w:r>
        <w:rPr>
          <w:rFonts w:hint="eastAsia" w:hAnsi="Times New Roman"/>
          <w:sz w:val="24"/>
        </w:rPr>
        <w:t>2、假设国家有关信贷利率、汇率、赋税基准及税率、政策性征收费用等不发生重大变化。</w:t>
      </w:r>
    </w:p>
    <w:p>
      <w:pPr>
        <w:pStyle w:val="14"/>
        <w:spacing w:line="360" w:lineRule="auto"/>
        <w:ind w:right="-126" w:rightChars="-60" w:firstLine="480" w:firstLineChars="200"/>
        <w:rPr>
          <w:rFonts w:hint="eastAsia" w:hAnsi="Times New Roman"/>
          <w:sz w:val="24"/>
        </w:rPr>
      </w:pPr>
      <w:r>
        <w:rPr>
          <w:rFonts w:hint="eastAsia" w:hAnsi="Times New Roman"/>
          <w:sz w:val="24"/>
        </w:rPr>
        <w:t>（二）交易假设</w:t>
      </w:r>
    </w:p>
    <w:p>
      <w:pPr>
        <w:pStyle w:val="14"/>
        <w:spacing w:line="360" w:lineRule="auto"/>
        <w:ind w:right="-126" w:rightChars="-60" w:firstLine="480" w:firstLineChars="200"/>
        <w:rPr>
          <w:rFonts w:hint="eastAsia" w:hAnsi="Times New Roman"/>
          <w:sz w:val="24"/>
        </w:rPr>
      </w:pPr>
      <w:r>
        <w:rPr>
          <w:rFonts w:hint="eastAsia" w:hAnsi="Times New Roman"/>
          <w:sz w:val="24"/>
        </w:rPr>
        <w:t>1、公开市场假设：即假设在市场上交易的资产或拟在市场上交易的资产，资产交易双方彼此地位平等，彼此都有获取足够市场信息的机会和时间，资产交易双方的交易行为都是在自愿的、理智的而非强制或不受限制的条件下进行的；</w:t>
      </w:r>
    </w:p>
    <w:p>
      <w:pPr>
        <w:pStyle w:val="14"/>
        <w:spacing w:line="360" w:lineRule="auto"/>
        <w:ind w:right="-126" w:rightChars="-60" w:firstLine="480" w:firstLineChars="200"/>
        <w:rPr>
          <w:rFonts w:hint="eastAsia" w:hAnsi="Times New Roman"/>
          <w:sz w:val="24"/>
        </w:rPr>
      </w:pPr>
      <w:r>
        <w:rPr>
          <w:rFonts w:hint="eastAsia" w:hAnsi="Times New Roman"/>
          <w:sz w:val="24"/>
        </w:rPr>
        <w:t>2、交易原则假设：即假设所有待评资产已经处在交易过程中，资产评估师根据待估资产的交易条件等模拟市场进行估价。</w:t>
      </w:r>
    </w:p>
    <w:p>
      <w:pPr>
        <w:pStyle w:val="14"/>
        <w:spacing w:line="360" w:lineRule="auto"/>
        <w:ind w:right="-126" w:rightChars="-60" w:firstLine="480" w:firstLineChars="200"/>
        <w:rPr>
          <w:rFonts w:hint="eastAsia" w:hAnsi="Times New Roman"/>
          <w:sz w:val="24"/>
        </w:rPr>
      </w:pPr>
      <w:r>
        <w:rPr>
          <w:rFonts w:hint="eastAsia" w:hAnsi="Times New Roman"/>
          <w:sz w:val="24"/>
        </w:rPr>
        <w:t>3、假设委托人提供的资料真实可靠；委估资产不存在产权瑕疵,不涉及任何抵押权、留置权或担保事宜，不存在其它其他限制交易事项。</w:t>
      </w:r>
    </w:p>
    <w:p>
      <w:pPr>
        <w:pStyle w:val="14"/>
        <w:spacing w:line="360" w:lineRule="auto"/>
        <w:ind w:right="-126" w:rightChars="-60" w:firstLine="480" w:firstLineChars="200"/>
        <w:rPr>
          <w:rFonts w:hint="eastAsia" w:hAnsi="Times New Roman"/>
          <w:sz w:val="24"/>
        </w:rPr>
      </w:pPr>
      <w:r>
        <w:rPr>
          <w:rFonts w:hint="eastAsia" w:hAnsi="Times New Roman"/>
          <w:sz w:val="24"/>
        </w:rPr>
        <w:t>（三）特定假设</w:t>
      </w:r>
    </w:p>
    <w:p>
      <w:pPr>
        <w:pStyle w:val="14"/>
        <w:spacing w:line="360" w:lineRule="auto"/>
        <w:ind w:right="-126" w:rightChars="-60" w:firstLine="480" w:firstLineChars="200"/>
        <w:rPr>
          <w:rFonts w:hint="eastAsia" w:hAnsi="Times New Roman"/>
          <w:sz w:val="24"/>
        </w:rPr>
      </w:pPr>
      <w:r>
        <w:rPr>
          <w:rFonts w:hint="eastAsia" w:hAnsi="Times New Roman"/>
          <w:sz w:val="24"/>
        </w:rPr>
        <w:t>1、假设委托人所提供的一般资料、产权资料、政策文件等相关材料真实、有效。</w:t>
      </w:r>
    </w:p>
    <w:p>
      <w:pPr>
        <w:pStyle w:val="14"/>
        <w:spacing w:line="360" w:lineRule="auto"/>
        <w:ind w:right="-126" w:rightChars="-60" w:firstLine="480" w:firstLineChars="200"/>
        <w:rPr>
          <w:rFonts w:hint="eastAsia" w:hAnsi="Times New Roman"/>
          <w:sz w:val="24"/>
        </w:rPr>
      </w:pPr>
      <w:r>
        <w:rPr>
          <w:rFonts w:hint="eastAsia" w:hAnsi="Times New Roman"/>
          <w:sz w:val="24"/>
        </w:rPr>
        <w:t>2、假设评估对象所涉及资产的购置、取得均符合国家有关法律法规规定。</w:t>
      </w:r>
    </w:p>
    <w:p>
      <w:pPr>
        <w:pStyle w:val="14"/>
        <w:spacing w:line="360" w:lineRule="auto"/>
        <w:ind w:right="-126" w:rightChars="-60" w:firstLine="480" w:firstLineChars="200"/>
        <w:rPr>
          <w:rFonts w:hint="eastAsia" w:hAnsi="Times New Roman"/>
          <w:sz w:val="24"/>
        </w:rPr>
      </w:pPr>
      <w:r>
        <w:rPr>
          <w:rFonts w:hint="eastAsia" w:hAnsi="Times New Roman"/>
          <w:sz w:val="24"/>
        </w:rPr>
        <w:t>3、假设评估对象所涉及的实物资产无影响其持续使用的重大质量缺陷。</w:t>
      </w:r>
    </w:p>
    <w:p>
      <w:pPr>
        <w:pStyle w:val="14"/>
        <w:spacing w:line="360" w:lineRule="auto"/>
        <w:ind w:right="-126" w:rightChars="-60" w:firstLine="480" w:firstLineChars="200"/>
        <w:rPr>
          <w:rFonts w:hint="eastAsia" w:hAnsi="Times New Roman"/>
          <w:sz w:val="24"/>
        </w:rPr>
      </w:pPr>
      <w:r>
        <w:rPr>
          <w:rFonts w:hint="eastAsia" w:hAnsi="Times New Roman"/>
          <w:sz w:val="24"/>
        </w:rPr>
        <w:t>当出现与前述假设条件不一致的事项发生时，本评估结果一般会失效。</w:t>
      </w:r>
    </w:p>
    <w:p>
      <w:pPr>
        <w:pStyle w:val="2"/>
        <w:numPr>
          <w:ilvl w:val="0"/>
          <w:numId w:val="1"/>
        </w:numPr>
        <w:tabs>
          <w:tab w:val="left" w:pos="1050"/>
        </w:tabs>
        <w:spacing w:before="60" w:after="60" w:line="360" w:lineRule="exact"/>
        <w:rPr>
          <w:rFonts w:hint="eastAsia"/>
          <w:sz w:val="24"/>
        </w:rPr>
      </w:pPr>
      <w:bookmarkStart w:id="34" w:name="_Toc529183764"/>
      <w:r>
        <w:rPr>
          <w:rFonts w:hint="eastAsia"/>
          <w:sz w:val="24"/>
        </w:rPr>
        <w:t>评估结论</w:t>
      </w:r>
      <w:bookmarkEnd w:id="32"/>
      <w:bookmarkEnd w:id="33"/>
      <w:bookmarkEnd w:id="34"/>
    </w:p>
    <w:p>
      <w:pPr>
        <w:pStyle w:val="14"/>
        <w:spacing w:line="360" w:lineRule="auto"/>
        <w:ind w:right="-126" w:rightChars="-60" w:firstLine="480" w:firstLineChars="200"/>
        <w:rPr>
          <w:rFonts w:hAnsi="Times New Roman"/>
          <w:sz w:val="24"/>
        </w:rPr>
      </w:pPr>
      <w:r>
        <w:rPr>
          <w:rFonts w:hint="eastAsia" w:hAnsi="Times New Roman"/>
          <w:sz w:val="24"/>
        </w:rPr>
        <w:t>根据以上评估工作，在评估前提和假设条件充分实现的条件下，委托评估的汝州市风穴路皇家府邸4号楼中单元102房产评估价值为</w:t>
      </w:r>
      <w:r>
        <w:rPr>
          <w:rFonts w:hint="eastAsia" w:ascii="Arial Narrow" w:hAnsi="Arial Narrow"/>
          <w:b/>
          <w:sz w:val="24"/>
        </w:rPr>
        <w:t>5</w:t>
      </w:r>
      <w:r>
        <w:rPr>
          <w:rFonts w:hint="eastAsia" w:ascii="Arial Narrow" w:hAnsi="Arial Narrow"/>
          <w:b/>
          <w:sz w:val="24"/>
          <w:lang w:val="en-US" w:eastAsia="zh-CN"/>
        </w:rPr>
        <w:t>6</w:t>
      </w:r>
      <w:r>
        <w:rPr>
          <w:rFonts w:hint="eastAsia" w:ascii="Arial Narrow" w:hAnsi="Arial Narrow"/>
          <w:b/>
          <w:sz w:val="24"/>
        </w:rPr>
        <w:t>.</w:t>
      </w:r>
      <w:r>
        <w:rPr>
          <w:rFonts w:hint="eastAsia" w:ascii="Arial Narrow" w:hAnsi="Arial Narrow"/>
          <w:b/>
          <w:sz w:val="24"/>
          <w:lang w:val="en-US" w:eastAsia="zh-CN"/>
        </w:rPr>
        <w:t>73</w:t>
      </w:r>
      <w:r>
        <w:rPr>
          <w:rFonts w:hint="eastAsia" w:hAnsi="Times New Roman"/>
          <w:sz w:val="24"/>
        </w:rPr>
        <w:t>万元（人民币大写伍拾</w:t>
      </w:r>
      <w:r>
        <w:rPr>
          <w:rFonts w:hint="eastAsia" w:hAnsi="Times New Roman"/>
          <w:sz w:val="24"/>
          <w:lang w:val="en-US" w:eastAsia="zh-CN"/>
        </w:rPr>
        <w:t>陆</w:t>
      </w:r>
      <w:r>
        <w:rPr>
          <w:rFonts w:hint="eastAsia" w:hAnsi="Times New Roman"/>
          <w:sz w:val="24"/>
        </w:rPr>
        <w:t>万</w:t>
      </w:r>
      <w:r>
        <w:rPr>
          <w:rFonts w:hint="eastAsia" w:hAnsi="Times New Roman"/>
          <w:sz w:val="24"/>
          <w:lang w:val="en-US" w:eastAsia="zh-CN"/>
        </w:rPr>
        <w:t>柒</w:t>
      </w:r>
      <w:r>
        <w:rPr>
          <w:rFonts w:hint="eastAsia" w:hAnsi="Times New Roman"/>
          <w:sz w:val="24"/>
        </w:rPr>
        <w:t>仟</w:t>
      </w:r>
      <w:r>
        <w:rPr>
          <w:rFonts w:hint="eastAsia" w:hAnsi="Times New Roman"/>
          <w:sz w:val="24"/>
          <w:lang w:val="en-US" w:eastAsia="zh-CN"/>
        </w:rPr>
        <w:t>叁</w:t>
      </w:r>
      <w:r>
        <w:rPr>
          <w:rFonts w:hint="eastAsia" w:hAnsi="Times New Roman"/>
          <w:sz w:val="24"/>
        </w:rPr>
        <w:t>佰元整）。评估结论详见下表：</w:t>
      </w:r>
    </w:p>
    <w:tbl>
      <w:tblPr>
        <w:tblStyle w:val="29"/>
        <w:tblW w:w="5183" w:type="pct"/>
        <w:tblInd w:w="0" w:type="dxa"/>
        <w:tblLayout w:type="fixed"/>
        <w:tblCellMar>
          <w:top w:w="0" w:type="dxa"/>
          <w:left w:w="108" w:type="dxa"/>
          <w:bottom w:w="0" w:type="dxa"/>
          <w:right w:w="108" w:type="dxa"/>
        </w:tblCellMar>
      </w:tblPr>
      <w:tblGrid>
        <w:gridCol w:w="682"/>
        <w:gridCol w:w="1737"/>
        <w:gridCol w:w="1382"/>
        <w:gridCol w:w="716"/>
        <w:gridCol w:w="649"/>
        <w:gridCol w:w="646"/>
        <w:gridCol w:w="779"/>
        <w:gridCol w:w="648"/>
        <w:gridCol w:w="776"/>
        <w:gridCol w:w="1219"/>
      </w:tblGrid>
      <w:tr>
        <w:tblPrEx>
          <w:tblCellMar>
            <w:top w:w="0" w:type="dxa"/>
            <w:left w:w="108" w:type="dxa"/>
            <w:bottom w:w="0" w:type="dxa"/>
            <w:right w:w="108" w:type="dxa"/>
          </w:tblCellMar>
        </w:tblPrEx>
        <w:trPr>
          <w:trHeight w:val="620" w:hRule="atLeast"/>
        </w:trPr>
        <w:tc>
          <w:tcPr>
            <w:tcW w:w="36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0"/>
                <w:szCs w:val="20"/>
                <w:highlight w:val="none"/>
              </w:rPr>
            </w:pPr>
            <w:r>
              <w:rPr>
                <w:rFonts w:hint="eastAsia" w:ascii="宋体" w:hAnsi="宋体" w:cs="宋体"/>
                <w:color w:val="auto"/>
                <w:kern w:val="0"/>
                <w:sz w:val="20"/>
                <w:szCs w:val="20"/>
                <w:highlight w:val="none"/>
              </w:rPr>
              <w:t>序号</w:t>
            </w:r>
          </w:p>
        </w:tc>
        <w:tc>
          <w:tcPr>
            <w:tcW w:w="93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Arial Narrow" w:hAnsi="Arial Narrow" w:cs="宋体"/>
                <w:color w:val="auto"/>
                <w:kern w:val="0"/>
                <w:sz w:val="20"/>
                <w:szCs w:val="20"/>
                <w:highlight w:val="none"/>
              </w:rPr>
            </w:pPr>
            <w:r>
              <w:rPr>
                <w:rFonts w:hint="eastAsia" w:ascii="宋体" w:hAnsi="宋体" w:cs="宋体"/>
                <w:color w:val="auto"/>
                <w:kern w:val="0"/>
                <w:sz w:val="20"/>
                <w:szCs w:val="20"/>
                <w:highlight w:val="none"/>
              </w:rPr>
              <w:t>建筑物名称</w:t>
            </w:r>
          </w:p>
        </w:tc>
        <w:tc>
          <w:tcPr>
            <w:tcW w:w="74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Arial Narrow" w:hAnsi="Arial Narrow" w:cs="宋体"/>
                <w:color w:val="auto"/>
                <w:kern w:val="0"/>
                <w:sz w:val="20"/>
                <w:szCs w:val="20"/>
                <w:highlight w:val="none"/>
              </w:rPr>
            </w:pPr>
            <w:r>
              <w:rPr>
                <w:rFonts w:hint="default" w:ascii="Arial" w:hAnsi="Arial" w:cs="Arial"/>
                <w:color w:val="auto"/>
                <w:kern w:val="0"/>
                <w:sz w:val="20"/>
                <w:szCs w:val="20"/>
                <w:highlight w:val="none"/>
              </w:rPr>
              <w:t>地址</w:t>
            </w:r>
          </w:p>
        </w:tc>
        <w:tc>
          <w:tcPr>
            <w:tcW w:w="3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Arial Narrow" w:hAnsi="Arial Narrow" w:cs="宋体"/>
                <w:color w:val="auto"/>
                <w:kern w:val="0"/>
                <w:sz w:val="20"/>
                <w:szCs w:val="20"/>
                <w:highlight w:val="none"/>
              </w:rPr>
            </w:pPr>
            <w:r>
              <w:rPr>
                <w:rFonts w:hint="eastAsia" w:ascii="宋体" w:hAnsi="宋体" w:cs="宋体"/>
                <w:color w:val="auto"/>
                <w:kern w:val="0"/>
                <w:sz w:val="20"/>
                <w:szCs w:val="20"/>
                <w:highlight w:val="none"/>
              </w:rPr>
              <w:t>结构</w:t>
            </w:r>
          </w:p>
        </w:tc>
        <w:tc>
          <w:tcPr>
            <w:tcW w:w="35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0"/>
                <w:szCs w:val="20"/>
                <w:highlight w:val="none"/>
              </w:rPr>
            </w:pPr>
            <w:r>
              <w:rPr>
                <w:rFonts w:hint="eastAsia" w:ascii="宋体" w:hAnsi="宋体" w:cs="宋体"/>
                <w:color w:val="auto"/>
                <w:kern w:val="0"/>
                <w:sz w:val="20"/>
                <w:szCs w:val="20"/>
                <w:highlight w:val="none"/>
              </w:rPr>
              <w:t>总层数</w:t>
            </w:r>
          </w:p>
        </w:tc>
        <w:tc>
          <w:tcPr>
            <w:tcW w:w="350" w:type="pct"/>
            <w:tcBorders>
              <w:top w:val="single" w:color="auto" w:sz="4" w:space="0"/>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0"/>
                <w:szCs w:val="20"/>
                <w:highlight w:val="none"/>
              </w:rPr>
            </w:pPr>
            <w:r>
              <w:rPr>
                <w:rFonts w:hint="eastAsia" w:ascii="宋体" w:hAnsi="宋体" w:cs="宋体"/>
                <w:color w:val="auto"/>
                <w:kern w:val="0"/>
                <w:sz w:val="20"/>
                <w:szCs w:val="20"/>
                <w:highlight w:val="none"/>
              </w:rPr>
              <w:t>所处楼层</w:t>
            </w:r>
          </w:p>
        </w:tc>
        <w:tc>
          <w:tcPr>
            <w:tcW w:w="4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0"/>
                <w:szCs w:val="20"/>
                <w:highlight w:val="none"/>
              </w:rPr>
            </w:pPr>
            <w:r>
              <w:rPr>
                <w:rFonts w:hint="eastAsia" w:ascii="宋体" w:hAnsi="宋体" w:cs="宋体"/>
                <w:color w:val="auto"/>
                <w:kern w:val="0"/>
                <w:sz w:val="20"/>
                <w:szCs w:val="20"/>
                <w:highlight w:val="none"/>
              </w:rPr>
              <w:t>用途</w:t>
            </w:r>
          </w:p>
        </w:tc>
        <w:tc>
          <w:tcPr>
            <w:tcW w:w="35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Arial Narrow" w:hAnsi="Arial Narrow" w:cs="宋体"/>
                <w:color w:val="auto"/>
                <w:kern w:val="0"/>
                <w:sz w:val="20"/>
                <w:szCs w:val="20"/>
                <w:highlight w:val="none"/>
              </w:rPr>
            </w:pPr>
            <w:r>
              <w:rPr>
                <w:rFonts w:hint="eastAsia" w:ascii="宋体" w:hAnsi="宋体" w:cs="宋体"/>
                <w:color w:val="auto"/>
                <w:kern w:val="0"/>
                <w:sz w:val="20"/>
                <w:szCs w:val="20"/>
                <w:highlight w:val="none"/>
              </w:rPr>
              <w:t>计量单位</w:t>
            </w:r>
          </w:p>
        </w:tc>
        <w:tc>
          <w:tcPr>
            <w:tcW w:w="4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0"/>
                <w:szCs w:val="20"/>
                <w:highlight w:val="none"/>
              </w:rPr>
            </w:pPr>
            <w:r>
              <w:rPr>
                <w:rFonts w:hint="eastAsia" w:ascii="宋体" w:hAnsi="宋体" w:cs="宋体"/>
                <w:color w:val="auto"/>
                <w:kern w:val="0"/>
                <w:sz w:val="20"/>
                <w:szCs w:val="20"/>
                <w:highlight w:val="none"/>
              </w:rPr>
              <w:t>建筑面积</w:t>
            </w:r>
          </w:p>
        </w:tc>
        <w:tc>
          <w:tcPr>
            <w:tcW w:w="65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0"/>
                <w:szCs w:val="20"/>
                <w:highlight w:val="none"/>
              </w:rPr>
            </w:pPr>
            <w:r>
              <w:rPr>
                <w:rFonts w:hint="eastAsia" w:ascii="宋体" w:hAnsi="宋体" w:cs="宋体"/>
                <w:color w:val="auto"/>
                <w:kern w:val="0"/>
                <w:sz w:val="20"/>
                <w:szCs w:val="20"/>
                <w:highlight w:val="none"/>
              </w:rPr>
              <w:t>评估价值</w:t>
            </w:r>
          </w:p>
        </w:tc>
      </w:tr>
      <w:tr>
        <w:tblPrEx>
          <w:tblCellMar>
            <w:top w:w="0" w:type="dxa"/>
            <w:left w:w="108" w:type="dxa"/>
            <w:bottom w:w="0" w:type="dxa"/>
            <w:right w:w="108" w:type="dxa"/>
          </w:tblCellMar>
        </w:tblPrEx>
        <w:trPr>
          <w:trHeight w:val="935" w:hRule="atLeast"/>
        </w:trPr>
        <w:tc>
          <w:tcPr>
            <w:tcW w:w="36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Arial Narrow" w:hAnsi="Arial Narrow" w:cs="宋体"/>
                <w:color w:val="auto"/>
                <w:kern w:val="0"/>
                <w:sz w:val="20"/>
                <w:szCs w:val="20"/>
                <w:highlight w:val="none"/>
              </w:rPr>
            </w:pPr>
            <w:r>
              <w:rPr>
                <w:rFonts w:hint="default" w:ascii="Arial Narrow" w:hAnsi="Arial Narrow" w:cs="宋体"/>
                <w:color w:val="auto"/>
                <w:kern w:val="0"/>
                <w:sz w:val="20"/>
                <w:szCs w:val="20"/>
                <w:highlight w:val="none"/>
              </w:rPr>
              <w:t>1</w:t>
            </w:r>
          </w:p>
        </w:tc>
        <w:tc>
          <w:tcPr>
            <w:tcW w:w="93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Arial Narrow" w:hAnsi="Arial Narrow" w:cs="宋体"/>
                <w:color w:val="auto"/>
                <w:kern w:val="0"/>
                <w:sz w:val="20"/>
                <w:szCs w:val="20"/>
                <w:highlight w:val="none"/>
              </w:rPr>
            </w:pPr>
            <w:r>
              <w:rPr>
                <w:rFonts w:hint="eastAsia" w:ascii="宋体" w:hAnsi="宋体" w:cs="宋体"/>
                <w:color w:val="auto"/>
                <w:kern w:val="0"/>
                <w:sz w:val="20"/>
                <w:szCs w:val="20"/>
                <w:highlight w:val="none"/>
              </w:rPr>
              <w:t>河南省汝州市风穴路皇家府邸4号楼中单元102</w:t>
            </w:r>
          </w:p>
        </w:tc>
        <w:tc>
          <w:tcPr>
            <w:tcW w:w="747"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0"/>
                <w:szCs w:val="20"/>
                <w:highlight w:val="none"/>
              </w:rPr>
            </w:pPr>
            <w:r>
              <w:rPr>
                <w:rFonts w:hint="eastAsia" w:ascii="宋体" w:hAnsi="宋体" w:cs="宋体"/>
                <w:color w:val="auto"/>
                <w:kern w:val="0"/>
                <w:sz w:val="20"/>
                <w:szCs w:val="20"/>
                <w:highlight w:val="none"/>
              </w:rPr>
              <w:t>河南省汝州市风穴路皇家府邸4号楼中单元102</w:t>
            </w:r>
          </w:p>
        </w:tc>
        <w:tc>
          <w:tcPr>
            <w:tcW w:w="387"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混合</w:t>
            </w:r>
          </w:p>
        </w:tc>
        <w:tc>
          <w:tcPr>
            <w:tcW w:w="351"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Arial Narrow" w:hAnsi="Arial Narrow" w:eastAsia="宋体" w:cs="宋体"/>
                <w:color w:val="auto"/>
                <w:kern w:val="0"/>
                <w:sz w:val="20"/>
                <w:szCs w:val="20"/>
                <w:highlight w:val="none"/>
                <w:lang w:val="en-US" w:eastAsia="zh-CN"/>
              </w:rPr>
            </w:pPr>
            <w:r>
              <w:rPr>
                <w:rFonts w:hint="eastAsia" w:ascii="Arial Narrow" w:hAnsi="Arial Narrow" w:cs="宋体"/>
                <w:color w:val="auto"/>
                <w:kern w:val="0"/>
                <w:sz w:val="20"/>
                <w:szCs w:val="20"/>
                <w:highlight w:val="none"/>
                <w:lang w:val="en-US" w:eastAsia="zh-CN"/>
              </w:rPr>
              <w:t>7</w:t>
            </w:r>
          </w:p>
        </w:tc>
        <w:tc>
          <w:tcPr>
            <w:tcW w:w="35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Arial Narrow" w:hAnsi="Arial Narrow" w:eastAsia="宋体" w:cs="宋体"/>
                <w:color w:val="auto"/>
                <w:kern w:val="0"/>
                <w:sz w:val="20"/>
                <w:szCs w:val="20"/>
                <w:highlight w:val="none"/>
                <w:lang w:val="en-US" w:eastAsia="zh-CN"/>
              </w:rPr>
            </w:pPr>
            <w:r>
              <w:rPr>
                <w:rFonts w:hint="eastAsia" w:ascii="Arial Narrow" w:hAnsi="Arial Narrow" w:cs="宋体"/>
                <w:color w:val="auto"/>
                <w:kern w:val="0"/>
                <w:sz w:val="20"/>
                <w:szCs w:val="20"/>
                <w:highlight w:val="none"/>
                <w:lang w:val="en-US" w:eastAsia="zh-CN"/>
              </w:rPr>
              <w:t>2</w:t>
            </w:r>
          </w:p>
        </w:tc>
        <w:tc>
          <w:tcPr>
            <w:tcW w:w="422" w:type="pct"/>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351"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Arial Narrow" w:hAnsi="Arial Narrow" w:cs="宋体"/>
                <w:color w:val="auto"/>
                <w:kern w:val="0"/>
                <w:sz w:val="20"/>
                <w:szCs w:val="20"/>
                <w:highlight w:val="none"/>
              </w:rPr>
            </w:pPr>
            <w:r>
              <w:rPr>
                <w:rFonts w:hint="default" w:ascii="Arial Narrow" w:hAnsi="Arial Narrow" w:cs="宋体"/>
                <w:color w:val="auto"/>
                <w:kern w:val="0"/>
                <w:sz w:val="20"/>
                <w:szCs w:val="20"/>
                <w:highlight w:val="none"/>
              </w:rPr>
              <w:t>M</w:t>
            </w:r>
            <w:r>
              <w:rPr>
                <w:rFonts w:hint="default" w:ascii="Arial Narrow" w:hAnsi="Arial Narrow" w:cs="宋体"/>
                <w:color w:val="auto"/>
                <w:kern w:val="0"/>
                <w:sz w:val="20"/>
                <w:szCs w:val="20"/>
                <w:highlight w:val="none"/>
                <w:vertAlign w:val="superscript"/>
              </w:rPr>
              <w:t>2</w:t>
            </w:r>
          </w:p>
        </w:tc>
        <w:tc>
          <w:tcPr>
            <w:tcW w:w="420" w:type="pct"/>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eastAsia" w:ascii="Arial Narrow" w:hAnsi="Arial Narrow" w:cs="宋体"/>
                <w:color w:val="auto"/>
                <w:kern w:val="0"/>
                <w:sz w:val="20"/>
                <w:szCs w:val="20"/>
                <w:highlight w:val="none"/>
              </w:rPr>
            </w:pPr>
            <w:r>
              <w:rPr>
                <w:rFonts w:hint="eastAsia" w:ascii="Arial Narrow" w:hAnsi="Arial Narrow" w:cs="宋体"/>
                <w:color w:val="auto"/>
                <w:kern w:val="0"/>
                <w:sz w:val="20"/>
                <w:szCs w:val="20"/>
                <w:highlight w:val="none"/>
              </w:rPr>
              <w:t>128.75</w:t>
            </w:r>
          </w:p>
        </w:tc>
        <w:tc>
          <w:tcPr>
            <w:tcW w:w="659" w:type="pct"/>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ascii="Arial Narrow" w:hAnsi="Arial Narrow" w:cs="宋体"/>
                <w:color w:val="auto"/>
                <w:kern w:val="0"/>
                <w:sz w:val="20"/>
                <w:szCs w:val="20"/>
                <w:highlight w:val="none"/>
              </w:rPr>
            </w:pPr>
            <w:r>
              <w:rPr>
                <w:rFonts w:hint="eastAsia" w:ascii="Arial Narrow" w:hAnsi="Arial Narrow" w:cs="宋体"/>
                <w:color w:val="auto"/>
                <w:kern w:val="0"/>
                <w:sz w:val="20"/>
                <w:szCs w:val="20"/>
                <w:highlight w:val="none"/>
              </w:rPr>
              <w:t>5</w:t>
            </w:r>
            <w:r>
              <w:rPr>
                <w:rFonts w:hint="eastAsia" w:ascii="Arial Narrow" w:hAnsi="Arial Narrow" w:cs="宋体"/>
                <w:color w:val="auto"/>
                <w:kern w:val="0"/>
                <w:sz w:val="20"/>
                <w:szCs w:val="20"/>
                <w:highlight w:val="none"/>
                <w:lang w:val="en-US" w:eastAsia="zh-CN"/>
              </w:rPr>
              <w:t>67</w:t>
            </w:r>
            <w:r>
              <w:rPr>
                <w:rFonts w:hint="eastAsia" w:ascii="Arial Narrow" w:hAnsi="Arial Narrow" w:cs="宋体"/>
                <w:color w:val="auto"/>
                <w:kern w:val="0"/>
                <w:sz w:val="20"/>
                <w:szCs w:val="20"/>
                <w:highlight w:val="none"/>
              </w:rPr>
              <w:t>,</w:t>
            </w:r>
            <w:r>
              <w:rPr>
                <w:rFonts w:hint="eastAsia" w:ascii="Arial Narrow" w:hAnsi="Arial Narrow" w:cs="宋体"/>
                <w:color w:val="auto"/>
                <w:kern w:val="0"/>
                <w:sz w:val="20"/>
                <w:szCs w:val="20"/>
                <w:highlight w:val="none"/>
                <w:lang w:val="en-US" w:eastAsia="zh-CN"/>
              </w:rPr>
              <w:t>3</w:t>
            </w:r>
            <w:r>
              <w:rPr>
                <w:rFonts w:hint="eastAsia" w:ascii="Arial Narrow" w:hAnsi="Arial Narrow" w:cs="宋体"/>
                <w:color w:val="auto"/>
                <w:kern w:val="0"/>
                <w:sz w:val="20"/>
                <w:szCs w:val="20"/>
                <w:highlight w:val="none"/>
              </w:rPr>
              <w:t>00.00</w:t>
            </w:r>
          </w:p>
        </w:tc>
      </w:tr>
    </w:tbl>
    <w:p>
      <w:pPr>
        <w:pStyle w:val="14"/>
        <w:spacing w:line="360" w:lineRule="auto"/>
        <w:ind w:right="-126" w:rightChars="-60"/>
        <w:rPr>
          <w:rFonts w:hAnsi="Times New Roman"/>
          <w:sz w:val="24"/>
        </w:rPr>
      </w:pPr>
    </w:p>
    <w:p>
      <w:pPr>
        <w:pStyle w:val="2"/>
        <w:numPr>
          <w:ilvl w:val="0"/>
          <w:numId w:val="1"/>
        </w:numPr>
        <w:tabs>
          <w:tab w:val="left" w:pos="1050"/>
        </w:tabs>
        <w:spacing w:before="60" w:after="60" w:line="360" w:lineRule="exact"/>
        <w:rPr>
          <w:rFonts w:hint="eastAsia"/>
          <w:sz w:val="24"/>
        </w:rPr>
      </w:pPr>
      <w:bookmarkStart w:id="35" w:name="_Toc386285487"/>
      <w:bookmarkStart w:id="36" w:name="_Toc529183765"/>
      <w:r>
        <w:rPr>
          <w:rFonts w:hint="eastAsia"/>
          <w:sz w:val="24"/>
        </w:rPr>
        <w:t>特别事项说明</w:t>
      </w:r>
      <w:bookmarkEnd w:id="35"/>
      <w:bookmarkEnd w:id="36"/>
    </w:p>
    <w:p>
      <w:pPr>
        <w:pStyle w:val="14"/>
        <w:spacing w:line="360" w:lineRule="auto"/>
        <w:ind w:right="-126" w:rightChars="-60" w:firstLine="480" w:firstLineChars="200"/>
        <w:rPr>
          <w:rFonts w:hint="eastAsia" w:hAnsi="Times New Roman"/>
          <w:sz w:val="24"/>
        </w:rPr>
      </w:pPr>
      <w:r>
        <w:rPr>
          <w:rFonts w:hint="eastAsia" w:hAnsi="Times New Roman"/>
          <w:sz w:val="24"/>
        </w:rPr>
        <w:t>以下为在评估过程中已发现可能影响评估结论但非评估人员执业水平和能力所能评定估算的有关事项：</w:t>
      </w:r>
    </w:p>
    <w:p>
      <w:pPr>
        <w:pStyle w:val="14"/>
        <w:spacing w:line="360" w:lineRule="auto"/>
        <w:ind w:right="-126" w:rightChars="-60" w:firstLine="480" w:firstLineChars="200"/>
        <w:rPr>
          <w:rFonts w:hint="eastAsia" w:hAnsi="Times New Roman"/>
          <w:sz w:val="24"/>
        </w:rPr>
      </w:pPr>
      <w:bookmarkStart w:id="37" w:name="OLE_LINK2"/>
      <w:r>
        <w:rPr>
          <w:rFonts w:hint="eastAsia" w:hAnsi="Times New Roman"/>
          <w:sz w:val="24"/>
        </w:rPr>
        <w:t>（一）本评估报告是在独立、客观、公正的原则下做出的，遵循了有关的法律、法规和资产评估准则的规定。我公司及所有参加评估的人员与委托人及有关当事人之间无任何特殊利害关系，评估人员在整个评估过程中，始终恪守职业道德和规范。</w:t>
      </w:r>
    </w:p>
    <w:p>
      <w:pPr>
        <w:pStyle w:val="14"/>
        <w:spacing w:line="360" w:lineRule="auto"/>
        <w:ind w:right="-126" w:rightChars="-60" w:firstLine="480" w:firstLineChars="200"/>
        <w:rPr>
          <w:rFonts w:hint="eastAsia" w:hAnsi="Times New Roman" w:eastAsia="宋体"/>
          <w:sz w:val="24"/>
          <w:highlight w:val="yellow"/>
          <w:lang w:eastAsia="zh-CN"/>
        </w:rPr>
      </w:pPr>
      <w:r>
        <w:rPr>
          <w:rFonts w:hint="eastAsia" w:hAnsi="Times New Roman"/>
          <w:sz w:val="24"/>
        </w:rPr>
        <w:t>（二）现场勘查中，由河南省汝州市人民法院、申请人及评估机构共同进行</w:t>
      </w:r>
      <w:r>
        <w:rPr>
          <w:rFonts w:hint="eastAsia" w:hAnsi="Times New Roman"/>
          <w:sz w:val="24"/>
          <w:lang w:eastAsia="zh-CN"/>
        </w:rPr>
        <w:t>。</w:t>
      </w:r>
    </w:p>
    <w:p>
      <w:pPr>
        <w:pStyle w:val="14"/>
        <w:spacing w:line="360" w:lineRule="auto"/>
        <w:ind w:right="-126" w:rightChars="-60" w:firstLine="480" w:firstLineChars="200"/>
        <w:rPr>
          <w:rFonts w:hint="eastAsia" w:hAnsi="Times New Roman"/>
          <w:sz w:val="24"/>
        </w:rPr>
      </w:pPr>
      <w:r>
        <w:rPr>
          <w:rFonts w:hint="eastAsia" w:hAnsi="Times New Roman"/>
          <w:sz w:val="24"/>
        </w:rPr>
        <w:t>（三）本评估结果是反映评估对象在本次评估目的下，根据公开市场原则确定的现行价格，未考虑国家宏观经济政策发生以及遇有自然力和其他不可抗力对资产价格的影响。</w:t>
      </w:r>
    </w:p>
    <w:p>
      <w:pPr>
        <w:pStyle w:val="14"/>
        <w:spacing w:line="360" w:lineRule="auto"/>
        <w:ind w:right="-126" w:rightChars="-60" w:firstLine="480" w:firstLineChars="200"/>
        <w:rPr>
          <w:rFonts w:hint="eastAsia" w:hAnsi="Times New Roman"/>
          <w:sz w:val="24"/>
        </w:rPr>
      </w:pPr>
      <w:r>
        <w:rPr>
          <w:rFonts w:hint="eastAsia" w:hAnsi="Times New Roman"/>
          <w:sz w:val="24"/>
        </w:rPr>
        <w:t>（四）本评估结果未考虑评估对象在处置过程中产生的拍卖费、诉讼费、律师费以及交易税费等。</w:t>
      </w:r>
    </w:p>
    <w:p>
      <w:pPr>
        <w:pStyle w:val="14"/>
        <w:spacing w:line="360" w:lineRule="auto"/>
        <w:ind w:right="-126" w:rightChars="-60" w:firstLine="480" w:firstLineChars="200"/>
        <w:rPr>
          <w:rFonts w:hint="eastAsia" w:hAnsi="Times New Roman"/>
          <w:sz w:val="24"/>
        </w:rPr>
      </w:pPr>
      <w:r>
        <w:rPr>
          <w:rFonts w:hint="eastAsia" w:hAnsi="Times New Roman"/>
          <w:sz w:val="24"/>
        </w:rPr>
        <w:t>（五）需要说明的其他问题</w:t>
      </w:r>
    </w:p>
    <w:p>
      <w:pPr>
        <w:pStyle w:val="14"/>
        <w:spacing w:line="360" w:lineRule="auto"/>
        <w:ind w:right="-126" w:rightChars="-60" w:firstLine="480" w:firstLineChars="200"/>
        <w:rPr>
          <w:rFonts w:hint="eastAsia" w:hAnsi="Times New Roman"/>
          <w:sz w:val="24"/>
        </w:rPr>
      </w:pPr>
      <w:r>
        <w:rPr>
          <w:rFonts w:hint="eastAsia" w:hAnsi="Times New Roman"/>
          <w:sz w:val="24"/>
        </w:rPr>
        <w:t>1、对评估对象存在的可能影响资产评估价值的瑕疵事项，在委托人委托时未作特殊说明而评估人员已履行评估程序仍无法获知的情况下，评估机构及评估人员不承担相关责任。</w:t>
      </w:r>
    </w:p>
    <w:p>
      <w:pPr>
        <w:pStyle w:val="14"/>
        <w:spacing w:line="360" w:lineRule="auto"/>
        <w:ind w:right="-126" w:rightChars="-60" w:firstLine="480" w:firstLineChars="200"/>
        <w:rPr>
          <w:rFonts w:hint="eastAsia" w:hAnsi="Times New Roman"/>
          <w:sz w:val="24"/>
        </w:rPr>
      </w:pPr>
      <w:r>
        <w:rPr>
          <w:rFonts w:hint="eastAsia" w:hAnsi="Times New Roman"/>
          <w:sz w:val="24"/>
        </w:rPr>
        <w:t>2、本评估报告只对结论本身符合职业规范要求负责，而不对经济业务定价决策负责，资产评估结论不应该被认为是对评估对象可实现价格的保证。评估结论不作为相关交易及其它经济行为的唯一依据，仅作为有关当事人经济行为价值参考。</w:t>
      </w:r>
    </w:p>
    <w:p>
      <w:pPr>
        <w:pStyle w:val="14"/>
        <w:spacing w:line="360" w:lineRule="auto"/>
        <w:ind w:right="-126" w:rightChars="-60" w:firstLine="480" w:firstLineChars="200"/>
        <w:rPr>
          <w:rFonts w:hint="eastAsia" w:hAnsi="Times New Roman"/>
          <w:sz w:val="24"/>
        </w:rPr>
      </w:pPr>
      <w:r>
        <w:rPr>
          <w:rFonts w:hint="eastAsia" w:hAnsi="Times New Roman"/>
          <w:sz w:val="24"/>
        </w:rPr>
        <w:t>3、评估报告附件与报告正文配套使用方为有效。</w:t>
      </w:r>
    </w:p>
    <w:p>
      <w:pPr>
        <w:pStyle w:val="14"/>
        <w:spacing w:line="360" w:lineRule="auto"/>
        <w:ind w:right="-126" w:rightChars="-60" w:firstLine="480" w:firstLineChars="200"/>
        <w:rPr>
          <w:rFonts w:hint="eastAsia" w:hAnsi="Times New Roman"/>
          <w:sz w:val="24"/>
        </w:rPr>
      </w:pPr>
      <w:r>
        <w:rPr>
          <w:rFonts w:hint="eastAsia" w:hAnsi="Times New Roman"/>
          <w:sz w:val="24"/>
        </w:rPr>
        <w:t>提请评估报告使用人关注评估报告特别事项说明及可能对评估结论产生的影响。</w:t>
      </w:r>
    </w:p>
    <w:p>
      <w:pPr>
        <w:pStyle w:val="2"/>
        <w:tabs>
          <w:tab w:val="left" w:pos="1030"/>
        </w:tabs>
        <w:spacing w:before="120" w:after="120" w:line="360" w:lineRule="exact"/>
        <w:ind w:firstLine="525" w:firstLineChars="218"/>
        <w:rPr>
          <w:rFonts w:hint="eastAsia"/>
          <w:sz w:val="24"/>
        </w:rPr>
      </w:pPr>
      <w:bookmarkStart w:id="38" w:name="_Toc131480030"/>
      <w:bookmarkStart w:id="39" w:name="_Toc250888195"/>
      <w:bookmarkStart w:id="40" w:name="_Toc386285488"/>
      <w:bookmarkStart w:id="41" w:name="_Toc529183766"/>
      <w:r>
        <w:rPr>
          <w:rFonts w:hint="eastAsia"/>
          <w:sz w:val="24"/>
        </w:rPr>
        <w:t>十二、资产评估</w:t>
      </w:r>
      <w:bookmarkEnd w:id="38"/>
      <w:r>
        <w:rPr>
          <w:rFonts w:hint="eastAsia"/>
          <w:sz w:val="24"/>
        </w:rPr>
        <w:t>报告使用限制说明</w:t>
      </w:r>
      <w:bookmarkEnd w:id="39"/>
      <w:bookmarkEnd w:id="40"/>
      <w:bookmarkEnd w:id="41"/>
    </w:p>
    <w:p>
      <w:pPr>
        <w:pStyle w:val="14"/>
        <w:spacing w:line="360" w:lineRule="auto"/>
        <w:ind w:right="-126" w:rightChars="-60" w:firstLine="480" w:firstLineChars="200"/>
        <w:rPr>
          <w:rFonts w:hint="eastAsia" w:hAnsi="Times New Roman"/>
          <w:sz w:val="24"/>
        </w:rPr>
      </w:pPr>
      <w:r>
        <w:rPr>
          <w:rFonts w:hint="eastAsia" w:hAnsi="Times New Roman"/>
          <w:sz w:val="24"/>
        </w:rPr>
        <w:t>（一）本报告只能用于评估报告所载明的评估目的和用途，本公司不对报告使用人运用本报告于本次评估目的以外的经济行为所产生的后果负责。</w:t>
      </w:r>
    </w:p>
    <w:p>
      <w:pPr>
        <w:pStyle w:val="14"/>
        <w:spacing w:line="360" w:lineRule="auto"/>
        <w:ind w:right="-126" w:rightChars="-60" w:firstLine="480" w:firstLineChars="200"/>
        <w:rPr>
          <w:rFonts w:hint="eastAsia" w:hAnsi="Times New Roman"/>
          <w:sz w:val="24"/>
        </w:rPr>
      </w:pPr>
      <w:r>
        <w:rPr>
          <w:rFonts w:hint="eastAsia" w:hAnsi="Times New Roman"/>
          <w:sz w:val="24"/>
        </w:rPr>
        <w:t>（二）评估报告只能由评估报告载明的评估报告使用人使用。</w:t>
      </w:r>
    </w:p>
    <w:p>
      <w:pPr>
        <w:pStyle w:val="14"/>
        <w:spacing w:line="360" w:lineRule="auto"/>
        <w:ind w:right="-126" w:rightChars="-60" w:firstLine="480" w:firstLineChars="200"/>
        <w:rPr>
          <w:rFonts w:hint="eastAsia" w:hAnsi="Times New Roman"/>
          <w:sz w:val="24"/>
        </w:rPr>
      </w:pPr>
      <w:r>
        <w:rPr>
          <w:rFonts w:hint="eastAsia" w:hAnsi="Times New Roman"/>
          <w:sz w:val="24"/>
        </w:rPr>
        <w:t>（三）资产评估报告使用人应当正确理解评估结论。评估结论不等同于评估对象可实现价格，评估结论不应当被认为是对评估对象可实现价格的保证。</w:t>
      </w:r>
    </w:p>
    <w:p>
      <w:pPr>
        <w:pStyle w:val="14"/>
        <w:spacing w:line="360" w:lineRule="auto"/>
        <w:ind w:right="-126" w:rightChars="-60" w:firstLine="480" w:firstLineChars="200"/>
        <w:rPr>
          <w:rFonts w:hint="eastAsia" w:hAnsi="Times New Roman"/>
          <w:sz w:val="24"/>
        </w:rPr>
      </w:pPr>
      <w:r>
        <w:rPr>
          <w:rFonts w:hint="eastAsia" w:hAnsi="Times New Roman"/>
          <w:sz w:val="24"/>
        </w:rPr>
        <w:t>（四）本评估结论使用有效期为自评估基准日起1年，即从2021年6月28日至2022年6月27日止的期限内有效，超过1年有效期需重新进行评估。</w:t>
      </w:r>
    </w:p>
    <w:p>
      <w:pPr>
        <w:pStyle w:val="14"/>
        <w:spacing w:line="360" w:lineRule="auto"/>
        <w:ind w:right="-126" w:rightChars="-60" w:firstLine="480" w:firstLineChars="200"/>
        <w:rPr>
          <w:rFonts w:hint="eastAsia" w:hAnsi="Times New Roman"/>
          <w:sz w:val="24"/>
        </w:rPr>
      </w:pPr>
      <w:r>
        <w:rPr>
          <w:rFonts w:hint="eastAsia" w:hAnsi="Times New Roman"/>
          <w:sz w:val="24"/>
        </w:rPr>
        <w:t>（五）评估报告的全部或者部分内容被摘抄、引用或者披露于公开媒体，需评估机构审阅相关内容并征得本公司书面同意，法律、法规规定以及相关当事方另有约定的除外。</w:t>
      </w:r>
    </w:p>
    <w:p>
      <w:pPr>
        <w:pStyle w:val="14"/>
        <w:spacing w:line="360" w:lineRule="auto"/>
        <w:ind w:right="-126" w:rightChars="-60" w:firstLine="480" w:firstLineChars="200"/>
        <w:rPr>
          <w:rFonts w:hint="eastAsia" w:hAnsi="Times New Roman"/>
          <w:sz w:val="24"/>
        </w:rPr>
      </w:pPr>
      <w:r>
        <w:rPr>
          <w:rFonts w:hint="eastAsia" w:hAnsi="Times New Roman"/>
          <w:sz w:val="24"/>
        </w:rPr>
        <w:t>（六）本报告复印无效，未加盖本公司骑缝章无效。</w:t>
      </w:r>
    </w:p>
    <w:p>
      <w:pPr>
        <w:pStyle w:val="2"/>
        <w:tabs>
          <w:tab w:val="left" w:pos="1030"/>
        </w:tabs>
        <w:spacing w:before="120" w:after="120" w:line="360" w:lineRule="exact"/>
        <w:ind w:firstLine="569" w:firstLineChars="236"/>
        <w:rPr>
          <w:rFonts w:hint="eastAsia"/>
          <w:bCs/>
          <w:spacing w:val="5"/>
          <w:sz w:val="24"/>
          <w:szCs w:val="24"/>
        </w:rPr>
      </w:pPr>
      <w:bookmarkStart w:id="42" w:name="_Toc529183767"/>
      <w:bookmarkStart w:id="43" w:name="_Toc250888196"/>
      <w:r>
        <w:rPr>
          <w:rFonts w:hint="eastAsia"/>
          <w:sz w:val="24"/>
        </w:rPr>
        <w:t>十三、资产评估报告日</w:t>
      </w:r>
      <w:bookmarkEnd w:id="42"/>
      <w:bookmarkEnd w:id="43"/>
    </w:p>
    <w:bookmarkEnd w:id="37"/>
    <w:p>
      <w:pPr>
        <w:autoSpaceDE w:val="0"/>
        <w:autoSpaceDN w:val="0"/>
        <w:snapToGrid w:val="0"/>
        <w:spacing w:before="60" w:after="60" w:line="360" w:lineRule="exact"/>
        <w:ind w:firstLine="482"/>
        <w:textAlignment w:val="bottom"/>
        <w:rPr>
          <w:rFonts w:hint="eastAsia" w:ascii="宋体"/>
          <w:sz w:val="24"/>
        </w:rPr>
      </w:pPr>
      <w:r>
        <w:rPr>
          <w:rFonts w:hint="eastAsia" w:ascii="宋体"/>
          <w:sz w:val="24"/>
        </w:rPr>
        <w:t>本评估报告正式提出日期为2021年8月2日。</w:t>
      </w:r>
    </w:p>
    <w:p>
      <w:pPr>
        <w:pStyle w:val="2"/>
        <w:tabs>
          <w:tab w:val="left" w:pos="1030"/>
        </w:tabs>
        <w:spacing w:before="120" w:after="120" w:line="360" w:lineRule="auto"/>
        <w:ind w:firstLine="569" w:firstLineChars="236"/>
        <w:rPr>
          <w:rFonts w:hint="eastAsia"/>
          <w:sz w:val="24"/>
        </w:rPr>
      </w:pPr>
      <w:bookmarkStart w:id="44" w:name="_Toc529183768"/>
      <w:r>
        <w:rPr>
          <w:sz w:val="24"/>
        </w:rPr>
        <w:t>十四、</w:t>
      </w:r>
      <w:r>
        <w:rPr>
          <w:rFonts w:hint="eastAsia"/>
          <w:sz w:val="24"/>
        </w:rPr>
        <w:t>资产评估师签名和资产评估机构印章</w:t>
      </w:r>
      <w:bookmarkEnd w:id="44"/>
    </w:p>
    <w:p>
      <w:pPr>
        <w:tabs>
          <w:tab w:val="left" w:pos="2880"/>
          <w:tab w:val="left" w:pos="5280"/>
        </w:tabs>
        <w:autoSpaceDE w:val="0"/>
        <w:autoSpaceDN w:val="0"/>
        <w:spacing w:before="60" w:after="60" w:line="360" w:lineRule="exact"/>
        <w:ind w:firstLine="482"/>
        <w:textAlignment w:val="bottom"/>
        <w:rPr>
          <w:rFonts w:hint="eastAsia"/>
          <w:sz w:val="24"/>
        </w:rPr>
      </w:pPr>
    </w:p>
    <w:p>
      <w:pPr>
        <w:tabs>
          <w:tab w:val="left" w:pos="2880"/>
          <w:tab w:val="left" w:pos="5280"/>
        </w:tabs>
        <w:autoSpaceDE w:val="0"/>
        <w:autoSpaceDN w:val="0"/>
        <w:spacing w:before="60" w:after="60" w:line="360" w:lineRule="exact"/>
        <w:ind w:firstLine="482"/>
        <w:textAlignment w:val="bottom"/>
        <w:rPr>
          <w:rFonts w:hint="eastAsia"/>
          <w:sz w:val="24"/>
        </w:rPr>
      </w:pPr>
    </w:p>
    <w:p>
      <w:pPr>
        <w:autoSpaceDE w:val="0"/>
        <w:autoSpaceDN w:val="0"/>
        <w:snapToGrid w:val="0"/>
        <w:spacing w:before="60" w:after="60" w:line="360" w:lineRule="exact"/>
        <w:ind w:firstLine="482"/>
        <w:textAlignment w:val="bottom"/>
        <w:rPr>
          <w:rFonts w:hint="eastAsia" w:ascii="宋体"/>
          <w:sz w:val="24"/>
        </w:rPr>
      </w:pPr>
      <w:r>
        <w:rPr>
          <w:rFonts w:hint="eastAsia" w:ascii="宋体"/>
          <w:sz w:val="24"/>
        </w:rPr>
        <w:t>资产评估师</w:t>
      </w:r>
    </w:p>
    <w:p>
      <w:pPr>
        <w:tabs>
          <w:tab w:val="left" w:pos="4305"/>
          <w:tab w:val="left" w:pos="4725"/>
          <w:tab w:val="left" w:pos="7200"/>
        </w:tabs>
        <w:autoSpaceDE w:val="0"/>
        <w:autoSpaceDN w:val="0"/>
        <w:spacing w:line="360" w:lineRule="exact"/>
        <w:ind w:firstLine="412"/>
        <w:textAlignment w:val="bottom"/>
        <w:rPr>
          <w:rFonts w:ascii="宋体"/>
          <w:sz w:val="24"/>
        </w:rPr>
      </w:pPr>
      <w:r>
        <w:rPr>
          <w:rFonts w:ascii="宋体"/>
          <w:sz w:val="24"/>
        </w:rPr>
        <w:tab/>
      </w:r>
      <w:r>
        <w:rPr>
          <w:rFonts w:ascii="宋体"/>
          <w:sz w:val="24"/>
        </w:rPr>
        <w:tab/>
      </w:r>
      <w:r>
        <w:rPr>
          <w:rFonts w:hint="eastAsia" w:ascii="宋体"/>
          <w:sz w:val="24"/>
        </w:rPr>
        <w:t>──────────</w:t>
      </w:r>
    </w:p>
    <w:p>
      <w:pPr>
        <w:autoSpaceDE w:val="0"/>
        <w:autoSpaceDN w:val="0"/>
        <w:snapToGrid w:val="0"/>
        <w:spacing w:before="60" w:after="60" w:line="360" w:lineRule="exact"/>
        <w:ind w:firstLine="482"/>
        <w:textAlignment w:val="bottom"/>
        <w:rPr>
          <w:rFonts w:hint="eastAsia" w:ascii="宋体"/>
          <w:sz w:val="24"/>
        </w:rPr>
      </w:pPr>
    </w:p>
    <w:p>
      <w:pPr>
        <w:autoSpaceDE w:val="0"/>
        <w:autoSpaceDN w:val="0"/>
        <w:snapToGrid w:val="0"/>
        <w:spacing w:before="60" w:after="60" w:line="360" w:lineRule="exact"/>
        <w:ind w:firstLine="482"/>
        <w:textAlignment w:val="bottom"/>
        <w:rPr>
          <w:rFonts w:hint="eastAsia" w:ascii="宋体"/>
          <w:sz w:val="24"/>
        </w:rPr>
      </w:pPr>
    </w:p>
    <w:p>
      <w:pPr>
        <w:autoSpaceDE w:val="0"/>
        <w:autoSpaceDN w:val="0"/>
        <w:snapToGrid w:val="0"/>
        <w:spacing w:before="60" w:after="60" w:line="360" w:lineRule="exact"/>
        <w:ind w:firstLine="482"/>
        <w:textAlignment w:val="bottom"/>
        <w:rPr>
          <w:rFonts w:hint="eastAsia" w:ascii="宋体"/>
          <w:sz w:val="24"/>
        </w:rPr>
      </w:pPr>
    </w:p>
    <w:p>
      <w:pPr>
        <w:autoSpaceDE w:val="0"/>
        <w:autoSpaceDN w:val="0"/>
        <w:snapToGrid w:val="0"/>
        <w:spacing w:before="60" w:after="60" w:line="360" w:lineRule="exact"/>
        <w:ind w:firstLine="482"/>
        <w:textAlignment w:val="bottom"/>
        <w:rPr>
          <w:rFonts w:hint="eastAsia" w:ascii="宋体"/>
          <w:sz w:val="24"/>
        </w:rPr>
      </w:pPr>
      <w:r>
        <w:rPr>
          <w:rFonts w:hint="eastAsia" w:ascii="宋体"/>
          <w:sz w:val="24"/>
        </w:rPr>
        <w:t>资产评估师</w:t>
      </w:r>
    </w:p>
    <w:p>
      <w:pPr>
        <w:tabs>
          <w:tab w:val="left" w:pos="4725"/>
          <w:tab w:val="left" w:pos="7200"/>
        </w:tabs>
        <w:autoSpaceDE w:val="0"/>
        <w:autoSpaceDN w:val="0"/>
        <w:spacing w:line="360" w:lineRule="exact"/>
        <w:ind w:firstLine="412"/>
        <w:textAlignment w:val="bottom"/>
        <w:rPr>
          <w:rFonts w:hint="eastAsia" w:ascii="宋体"/>
          <w:sz w:val="24"/>
        </w:rPr>
      </w:pPr>
      <w:r>
        <w:rPr>
          <w:rFonts w:ascii="宋体"/>
          <w:sz w:val="24"/>
        </w:rPr>
        <w:tab/>
      </w:r>
      <w:r>
        <w:rPr>
          <w:rFonts w:hint="eastAsia" w:ascii="宋体"/>
          <w:sz w:val="24"/>
        </w:rPr>
        <w:t>──────────</w:t>
      </w:r>
    </w:p>
    <w:p>
      <w:pPr>
        <w:autoSpaceDE w:val="0"/>
        <w:autoSpaceDN w:val="0"/>
        <w:spacing w:before="120" w:after="120"/>
        <w:ind w:firstLine="3960"/>
        <w:textAlignment w:val="bottom"/>
        <w:outlineLvl w:val="0"/>
        <w:rPr>
          <w:rFonts w:hint="eastAsia" w:ascii="宋体"/>
          <w:sz w:val="24"/>
        </w:rPr>
      </w:pPr>
      <w:r>
        <w:rPr>
          <w:rFonts w:ascii="宋体"/>
          <w:sz w:val="24"/>
        </w:rPr>
        <w:t xml:space="preserve"> </w:t>
      </w:r>
    </w:p>
    <w:p>
      <w:pPr>
        <w:autoSpaceDE w:val="0"/>
        <w:autoSpaceDN w:val="0"/>
        <w:spacing w:before="120" w:after="120"/>
        <w:ind w:firstLine="3960"/>
        <w:textAlignment w:val="bottom"/>
        <w:outlineLvl w:val="0"/>
        <w:rPr>
          <w:rFonts w:hint="eastAsia" w:ascii="宋体"/>
          <w:sz w:val="24"/>
        </w:rPr>
      </w:pPr>
    </w:p>
    <w:p>
      <w:pPr>
        <w:autoSpaceDE w:val="0"/>
        <w:autoSpaceDN w:val="0"/>
        <w:spacing w:before="120" w:after="120"/>
        <w:ind w:firstLine="3960"/>
        <w:textAlignment w:val="bottom"/>
        <w:outlineLvl w:val="0"/>
        <w:rPr>
          <w:rFonts w:hint="eastAsia" w:ascii="宋体"/>
          <w:sz w:val="24"/>
        </w:rPr>
      </w:pPr>
    </w:p>
    <w:p>
      <w:pPr>
        <w:autoSpaceDE w:val="0"/>
        <w:autoSpaceDN w:val="0"/>
        <w:spacing w:before="120" w:after="120"/>
        <w:ind w:firstLine="3960"/>
        <w:jc w:val="right"/>
        <w:textAlignment w:val="bottom"/>
        <w:outlineLvl w:val="0"/>
        <w:rPr>
          <w:rFonts w:hint="eastAsia" w:ascii="宋体"/>
          <w:sz w:val="24"/>
        </w:rPr>
      </w:pPr>
      <w:r>
        <w:rPr>
          <w:rFonts w:hint="eastAsia" w:ascii="宋体"/>
          <w:sz w:val="24"/>
        </w:rPr>
        <w:t xml:space="preserve">      河南中达信资产评估有限公司</w:t>
      </w:r>
    </w:p>
    <w:p>
      <w:pPr>
        <w:autoSpaceDE w:val="0"/>
        <w:autoSpaceDN w:val="0"/>
        <w:spacing w:before="120" w:after="120"/>
        <w:ind w:firstLine="3960"/>
        <w:jc w:val="right"/>
        <w:textAlignment w:val="bottom"/>
        <w:rPr>
          <w:rFonts w:hint="eastAsia" w:ascii="宋体"/>
          <w:sz w:val="24"/>
          <w:highlight w:val="yellow"/>
        </w:rPr>
      </w:pPr>
      <w:r>
        <w:rPr>
          <w:rFonts w:hint="eastAsia" w:ascii="宋体"/>
          <w:sz w:val="24"/>
        </w:rPr>
        <w:t xml:space="preserve">            2021年8月2日</w:t>
      </w:r>
    </w:p>
    <w:p>
      <w:pPr>
        <w:autoSpaceDE w:val="0"/>
        <w:autoSpaceDN w:val="0"/>
        <w:spacing w:before="120" w:after="120" w:line="360" w:lineRule="auto"/>
        <w:jc w:val="center"/>
        <w:textAlignment w:val="bottom"/>
        <w:rPr>
          <w:rFonts w:ascii="宋体"/>
          <w:b/>
          <w:spacing w:val="14"/>
          <w:sz w:val="32"/>
        </w:rPr>
      </w:pPr>
      <w:r>
        <w:rPr>
          <w:rFonts w:ascii="宋体"/>
          <w:sz w:val="24"/>
        </w:rPr>
        <w:br w:type="page"/>
      </w:r>
      <w:r>
        <w:rPr>
          <w:rFonts w:hint="eastAsia" w:ascii="宋体"/>
          <w:b/>
          <w:spacing w:val="14"/>
          <w:sz w:val="32"/>
        </w:rPr>
        <w:t>附  件</w:t>
      </w:r>
    </w:p>
    <w:p>
      <w:pPr>
        <w:autoSpaceDE w:val="0"/>
        <w:autoSpaceDN w:val="0"/>
        <w:spacing w:line="360" w:lineRule="exact"/>
        <w:textAlignment w:val="bottom"/>
        <w:rPr>
          <w:rFonts w:ascii="宋体"/>
          <w:sz w:val="24"/>
        </w:rPr>
      </w:pPr>
    </w:p>
    <w:p>
      <w:pPr>
        <w:numPr>
          <w:ilvl w:val="0"/>
          <w:numId w:val="2"/>
        </w:numPr>
        <w:autoSpaceDE w:val="0"/>
        <w:autoSpaceDN w:val="0"/>
        <w:spacing w:before="120" w:line="360" w:lineRule="exact"/>
        <w:ind w:left="515" w:firstLine="412"/>
        <w:textAlignment w:val="bottom"/>
        <w:rPr>
          <w:rFonts w:hint="eastAsia" w:ascii="宋体"/>
          <w:kern w:val="0"/>
          <w:sz w:val="24"/>
          <w:szCs w:val="30"/>
        </w:rPr>
      </w:pPr>
      <w:r>
        <w:rPr>
          <w:rFonts w:hint="eastAsia" w:ascii="宋体"/>
          <w:kern w:val="0"/>
          <w:sz w:val="24"/>
          <w:szCs w:val="30"/>
        </w:rPr>
        <w:t>河南省汝州市人民法院《司法鉴定委托书》；</w:t>
      </w:r>
    </w:p>
    <w:p>
      <w:pPr>
        <w:numPr>
          <w:ilvl w:val="0"/>
          <w:numId w:val="2"/>
        </w:numPr>
        <w:autoSpaceDE w:val="0"/>
        <w:autoSpaceDN w:val="0"/>
        <w:spacing w:before="120" w:line="360" w:lineRule="exact"/>
        <w:ind w:left="515" w:firstLine="412"/>
        <w:textAlignment w:val="bottom"/>
        <w:rPr>
          <w:rFonts w:hint="eastAsia" w:ascii="宋体"/>
          <w:kern w:val="0"/>
          <w:sz w:val="24"/>
          <w:szCs w:val="30"/>
        </w:rPr>
      </w:pPr>
      <w:r>
        <w:rPr>
          <w:rFonts w:hint="eastAsia" w:ascii="宋体"/>
          <w:kern w:val="0"/>
          <w:sz w:val="24"/>
          <w:szCs w:val="30"/>
        </w:rPr>
        <w:t>签字资产评估师的承诺函；</w:t>
      </w:r>
    </w:p>
    <w:p>
      <w:pPr>
        <w:numPr>
          <w:ilvl w:val="0"/>
          <w:numId w:val="2"/>
        </w:numPr>
        <w:autoSpaceDE w:val="0"/>
        <w:autoSpaceDN w:val="0"/>
        <w:spacing w:before="120" w:line="360" w:lineRule="exact"/>
        <w:ind w:left="515" w:firstLine="412"/>
        <w:textAlignment w:val="bottom"/>
        <w:rPr>
          <w:rFonts w:hint="eastAsia" w:ascii="宋体"/>
          <w:kern w:val="0"/>
          <w:sz w:val="24"/>
          <w:szCs w:val="30"/>
        </w:rPr>
      </w:pPr>
      <w:r>
        <w:rPr>
          <w:rFonts w:hint="eastAsia" w:ascii="宋体"/>
          <w:kern w:val="0"/>
          <w:sz w:val="24"/>
          <w:szCs w:val="30"/>
        </w:rPr>
        <w:t>评估机构法人营业执照副本复印件；</w:t>
      </w:r>
    </w:p>
    <w:p>
      <w:pPr>
        <w:numPr>
          <w:ilvl w:val="0"/>
          <w:numId w:val="2"/>
        </w:numPr>
        <w:autoSpaceDE w:val="0"/>
        <w:autoSpaceDN w:val="0"/>
        <w:spacing w:before="120" w:line="360" w:lineRule="exact"/>
        <w:ind w:left="515" w:firstLine="412"/>
        <w:textAlignment w:val="bottom"/>
        <w:rPr>
          <w:rFonts w:hint="eastAsia" w:ascii="宋体"/>
          <w:kern w:val="0"/>
          <w:sz w:val="24"/>
          <w:szCs w:val="30"/>
        </w:rPr>
      </w:pPr>
      <w:r>
        <w:rPr>
          <w:rFonts w:hint="eastAsia" w:ascii="宋体"/>
          <w:kern w:val="0"/>
          <w:sz w:val="24"/>
          <w:szCs w:val="30"/>
        </w:rPr>
        <w:t>资产评估师职业资格证书登记卡复印件；</w:t>
      </w:r>
    </w:p>
    <w:p>
      <w:pPr>
        <w:numPr>
          <w:ilvl w:val="0"/>
          <w:numId w:val="2"/>
        </w:numPr>
        <w:autoSpaceDE w:val="0"/>
        <w:autoSpaceDN w:val="0"/>
        <w:spacing w:before="120" w:line="360" w:lineRule="exact"/>
        <w:ind w:left="515" w:firstLine="412"/>
        <w:textAlignment w:val="bottom"/>
        <w:rPr>
          <w:rFonts w:hint="eastAsia" w:ascii="宋体"/>
          <w:sz w:val="24"/>
        </w:rPr>
      </w:pPr>
      <w:r>
        <w:rPr>
          <w:rFonts w:hint="eastAsia" w:ascii="宋体"/>
          <w:kern w:val="0"/>
          <w:sz w:val="24"/>
          <w:szCs w:val="30"/>
        </w:rPr>
        <w:t>资产评估结果明细表。</w:t>
      </w:r>
    </w:p>
    <w:p>
      <w:pPr>
        <w:autoSpaceDE w:val="0"/>
        <w:autoSpaceDN w:val="0"/>
        <w:spacing w:before="120" w:line="360" w:lineRule="exact"/>
        <w:ind w:left="515"/>
        <w:textAlignment w:val="bottom"/>
        <w:rPr>
          <w:rFonts w:hint="eastAsia" w:ascii="宋体"/>
          <w:sz w:val="24"/>
        </w:rPr>
      </w:pPr>
    </w:p>
    <w:p>
      <w:pPr>
        <w:autoSpaceDE w:val="0"/>
        <w:autoSpaceDN w:val="0"/>
        <w:spacing w:before="120" w:line="360" w:lineRule="exact"/>
        <w:textAlignment w:val="bottom"/>
        <w:rPr>
          <w:rFonts w:hint="eastAsia" w:ascii="宋体"/>
          <w:sz w:val="24"/>
        </w:rPr>
      </w:pPr>
    </w:p>
    <w:p>
      <w:pPr>
        <w:autoSpaceDE w:val="0"/>
        <w:autoSpaceDN w:val="0"/>
        <w:spacing w:before="120" w:line="360" w:lineRule="exact"/>
        <w:textAlignment w:val="bottom"/>
        <w:rPr>
          <w:rFonts w:hint="eastAsia" w:ascii="宋体"/>
          <w:sz w:val="24"/>
        </w:rPr>
      </w:pPr>
    </w:p>
    <w:p>
      <w:pPr>
        <w:autoSpaceDE w:val="0"/>
        <w:autoSpaceDN w:val="0"/>
        <w:spacing w:before="120" w:line="360" w:lineRule="exact"/>
        <w:textAlignment w:val="bottom"/>
        <w:rPr>
          <w:rFonts w:hint="eastAsia" w:ascii="宋体"/>
          <w:sz w:val="24"/>
        </w:rPr>
      </w:pPr>
    </w:p>
    <w:p>
      <w:pPr>
        <w:tabs>
          <w:tab w:val="left" w:pos="960"/>
          <w:tab w:val="left" w:pos="2730"/>
          <w:tab w:val="left" w:pos="6600"/>
        </w:tabs>
        <w:autoSpaceDE w:val="0"/>
        <w:autoSpaceDN w:val="0"/>
        <w:spacing w:before="120" w:line="360" w:lineRule="exact"/>
        <w:textAlignment w:val="bottom"/>
        <w:rPr>
          <w:rFonts w:hint="eastAsia" w:ascii="宋体"/>
          <w:spacing w:val="20"/>
          <w:sz w:val="24"/>
        </w:rPr>
      </w:pPr>
    </w:p>
    <w:p>
      <w:pPr>
        <w:tabs>
          <w:tab w:val="left" w:pos="960"/>
          <w:tab w:val="left" w:pos="2730"/>
          <w:tab w:val="left" w:pos="6600"/>
        </w:tabs>
        <w:autoSpaceDE w:val="0"/>
        <w:autoSpaceDN w:val="0"/>
        <w:spacing w:before="120" w:line="360" w:lineRule="exact"/>
        <w:textAlignment w:val="bottom"/>
        <w:rPr>
          <w:rFonts w:hint="eastAsia" w:ascii="宋体"/>
          <w:spacing w:val="20"/>
          <w:sz w:val="24"/>
        </w:rPr>
      </w:pPr>
    </w:p>
    <w:p>
      <w:pPr>
        <w:tabs>
          <w:tab w:val="left" w:pos="960"/>
          <w:tab w:val="left" w:pos="2730"/>
          <w:tab w:val="left" w:pos="6600"/>
        </w:tabs>
        <w:autoSpaceDE w:val="0"/>
        <w:autoSpaceDN w:val="0"/>
        <w:spacing w:before="120" w:line="360" w:lineRule="exact"/>
        <w:textAlignment w:val="bottom"/>
        <w:rPr>
          <w:rFonts w:hint="eastAsia" w:ascii="宋体"/>
          <w:spacing w:val="20"/>
          <w:sz w:val="24"/>
        </w:rPr>
      </w:pPr>
    </w:p>
    <w:p>
      <w:pPr>
        <w:tabs>
          <w:tab w:val="left" w:pos="960"/>
          <w:tab w:val="left" w:pos="2730"/>
          <w:tab w:val="left" w:pos="6600"/>
        </w:tabs>
        <w:autoSpaceDE w:val="0"/>
        <w:autoSpaceDN w:val="0"/>
        <w:spacing w:before="120" w:line="360" w:lineRule="exact"/>
        <w:textAlignment w:val="bottom"/>
        <w:rPr>
          <w:rFonts w:hint="eastAsia" w:ascii="宋体"/>
          <w:spacing w:val="20"/>
          <w:sz w:val="24"/>
        </w:rPr>
      </w:pPr>
    </w:p>
    <w:p>
      <w:pPr>
        <w:tabs>
          <w:tab w:val="left" w:pos="960"/>
          <w:tab w:val="left" w:pos="2730"/>
          <w:tab w:val="left" w:pos="6600"/>
        </w:tabs>
        <w:autoSpaceDE w:val="0"/>
        <w:autoSpaceDN w:val="0"/>
        <w:spacing w:before="120" w:line="360" w:lineRule="exact"/>
        <w:textAlignment w:val="bottom"/>
        <w:rPr>
          <w:rFonts w:hint="eastAsia" w:ascii="宋体"/>
          <w:spacing w:val="20"/>
          <w:sz w:val="24"/>
        </w:rPr>
      </w:pPr>
    </w:p>
    <w:p>
      <w:pPr>
        <w:tabs>
          <w:tab w:val="left" w:pos="960"/>
          <w:tab w:val="left" w:pos="2730"/>
          <w:tab w:val="left" w:pos="6600"/>
        </w:tabs>
        <w:autoSpaceDE w:val="0"/>
        <w:autoSpaceDN w:val="0"/>
        <w:spacing w:before="120" w:line="360" w:lineRule="exact"/>
        <w:textAlignment w:val="bottom"/>
        <w:rPr>
          <w:rFonts w:hint="eastAsia" w:ascii="宋体"/>
          <w:spacing w:val="20"/>
          <w:sz w:val="24"/>
        </w:rPr>
      </w:pPr>
    </w:p>
    <w:p>
      <w:pPr>
        <w:tabs>
          <w:tab w:val="left" w:pos="960"/>
          <w:tab w:val="left" w:pos="2730"/>
          <w:tab w:val="left" w:pos="6600"/>
        </w:tabs>
        <w:autoSpaceDE w:val="0"/>
        <w:autoSpaceDN w:val="0"/>
        <w:spacing w:before="120" w:line="360" w:lineRule="exact"/>
        <w:textAlignment w:val="bottom"/>
        <w:rPr>
          <w:rFonts w:hint="eastAsia" w:ascii="宋体"/>
          <w:spacing w:val="20"/>
          <w:sz w:val="24"/>
        </w:rPr>
      </w:pPr>
    </w:p>
    <w:p>
      <w:pPr>
        <w:tabs>
          <w:tab w:val="left" w:pos="960"/>
          <w:tab w:val="left" w:pos="2730"/>
          <w:tab w:val="left" w:pos="6600"/>
        </w:tabs>
        <w:autoSpaceDE w:val="0"/>
        <w:autoSpaceDN w:val="0"/>
        <w:spacing w:before="120" w:line="360" w:lineRule="exact"/>
        <w:textAlignment w:val="bottom"/>
        <w:rPr>
          <w:rFonts w:hint="eastAsia" w:ascii="宋体"/>
          <w:spacing w:val="20"/>
          <w:sz w:val="24"/>
        </w:rPr>
      </w:pPr>
    </w:p>
    <w:p>
      <w:pPr>
        <w:tabs>
          <w:tab w:val="left" w:pos="960"/>
          <w:tab w:val="left" w:pos="2730"/>
          <w:tab w:val="left" w:pos="6600"/>
        </w:tabs>
        <w:autoSpaceDE w:val="0"/>
        <w:autoSpaceDN w:val="0"/>
        <w:spacing w:before="120" w:line="360" w:lineRule="exact"/>
        <w:textAlignment w:val="bottom"/>
        <w:rPr>
          <w:rFonts w:hint="eastAsia" w:ascii="宋体"/>
          <w:spacing w:val="20"/>
          <w:sz w:val="24"/>
        </w:rPr>
      </w:pPr>
    </w:p>
    <w:p>
      <w:pPr>
        <w:tabs>
          <w:tab w:val="left" w:pos="960"/>
          <w:tab w:val="left" w:pos="2730"/>
          <w:tab w:val="left" w:pos="6600"/>
        </w:tabs>
        <w:autoSpaceDE w:val="0"/>
        <w:autoSpaceDN w:val="0"/>
        <w:spacing w:before="120" w:line="360" w:lineRule="exact"/>
        <w:textAlignment w:val="bottom"/>
        <w:rPr>
          <w:rFonts w:hint="eastAsia" w:ascii="宋体"/>
          <w:spacing w:val="20"/>
          <w:sz w:val="24"/>
        </w:rPr>
      </w:pPr>
    </w:p>
    <w:p>
      <w:pPr>
        <w:tabs>
          <w:tab w:val="left" w:pos="960"/>
          <w:tab w:val="left" w:pos="2730"/>
          <w:tab w:val="left" w:pos="6600"/>
        </w:tabs>
        <w:autoSpaceDE w:val="0"/>
        <w:autoSpaceDN w:val="0"/>
        <w:spacing w:before="120" w:line="360" w:lineRule="exact"/>
        <w:textAlignment w:val="bottom"/>
        <w:rPr>
          <w:rFonts w:hint="eastAsia" w:ascii="宋体"/>
          <w:spacing w:val="20"/>
          <w:sz w:val="24"/>
        </w:rPr>
      </w:pPr>
    </w:p>
    <w:sectPr>
      <w:footerReference r:id="rId6" w:type="default"/>
      <w:pgSz w:w="11907" w:h="16840"/>
      <w:pgMar w:top="1440" w:right="1418" w:bottom="1440" w:left="1797" w:header="794"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0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single" w:color="auto" w:sz="4" w:space="1"/>
      </w:pBdr>
      <w:rPr>
        <w:rFonts w:hint="eastAsia"/>
      </w:rPr>
    </w:pPr>
    <w:r>
      <w:rPr>
        <w:rFonts w:hint="eastAsia"/>
      </w:rPr>
      <w:t xml:space="preserve">河南中达信资产评估有限公司    地址：郑州市农业路兴业大厦A座14楼      电话：0371-56763377      56799260        </w:t>
    </w:r>
  </w:p>
  <w:p>
    <w:pPr>
      <w:pStyle w:val="19"/>
      <w:pBdr>
        <w:top w:val="single" w:color="auto" w:sz="4" w:space="1"/>
      </w:pBd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autoSpaceDE w:val="0"/>
      <w:autoSpaceDN w:val="0"/>
      <w:textAlignment w:val="bottom"/>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single" w:color="auto" w:sz="4" w:space="1"/>
      </w:pBdr>
      <w:rPr>
        <w:rFonts w:hint="eastAsia"/>
      </w:rPr>
    </w:pPr>
    <w:r>
      <w:rPr>
        <w:rFonts w:hint="eastAsia"/>
      </w:rPr>
      <w:t xml:space="preserve"> 地址：郑州市农业路兴业大厦A座14楼      电话：0371-56763377     56799260            第</w:t>
    </w:r>
    <w:r>
      <w:fldChar w:fldCharType="begin"/>
    </w:r>
    <w:r>
      <w:rPr>
        <w:rStyle w:val="33"/>
      </w:rPr>
      <w:instrText xml:space="preserve"> PAGE </w:instrText>
    </w:r>
    <w:r>
      <w:fldChar w:fldCharType="separate"/>
    </w:r>
    <w:r>
      <w:rPr>
        <w:rStyle w:val="33"/>
      </w:rPr>
      <w:t>5</w:t>
    </w:r>
    <w:r>
      <w:fldChar w:fldCharType="end"/>
    </w:r>
    <w: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rPr>
      <w:t>河南省汝州市人民法院委托司法执行财产处置所涉及的汝州市风穴路皇家府邸4号楼中单元102房产价值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CE7A9B"/>
    <w:multiLevelType w:val="multilevel"/>
    <w:tmpl w:val="6CCE7A9B"/>
    <w:lvl w:ilvl="0" w:tentative="0">
      <w:start w:val="1"/>
      <w:numFmt w:val="japaneseCounting"/>
      <w:lvlText w:val="%1、"/>
      <w:lvlJc w:val="left"/>
      <w:pPr>
        <w:tabs>
          <w:tab w:val="left" w:pos="906"/>
        </w:tabs>
        <w:ind w:left="906" w:hanging="480"/>
      </w:pPr>
      <w:rPr>
        <w:rFonts w:hint="eastAsia"/>
        <w:lang w:val="en-US"/>
      </w:rPr>
    </w:lvl>
    <w:lvl w:ilvl="1" w:tentative="0">
      <w:start w:val="1"/>
      <w:numFmt w:val="decimal"/>
      <w:lvlText w:val="%2、"/>
      <w:lvlJc w:val="left"/>
      <w:pPr>
        <w:tabs>
          <w:tab w:val="left" w:pos="1305"/>
        </w:tabs>
        <w:ind w:left="1305" w:hanging="360"/>
      </w:pPr>
      <w:rPr>
        <w:rFonts w:hint="default"/>
      </w:rPr>
    </w:lvl>
    <w:lvl w:ilvl="2" w:tentative="0">
      <w:start w:val="3"/>
      <w:numFmt w:val="decimal"/>
      <w:lvlText w:val="%3．"/>
      <w:lvlJc w:val="left"/>
      <w:pPr>
        <w:tabs>
          <w:tab w:val="left" w:pos="1682"/>
        </w:tabs>
        <w:ind w:left="1682" w:hanging="360"/>
      </w:pPr>
      <w:rPr>
        <w:rFonts w:hint="default"/>
      </w:r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1">
    <w:nsid w:val="7BC338AA"/>
    <w:multiLevelType w:val="singleLevel"/>
    <w:tmpl w:val="7BC338AA"/>
    <w:lvl w:ilvl="0" w:tentative="0">
      <w:start w:val="6"/>
      <w:numFmt w:val="bullet"/>
      <w:lvlText w:val=""/>
      <w:lvlJc w:val="left"/>
      <w:pPr>
        <w:tabs>
          <w:tab w:val="left" w:pos="420"/>
        </w:tabs>
        <w:ind w:left="420" w:hanging="420"/>
      </w:pPr>
      <w:rPr>
        <w:rFonts w:hint="default" w:ascii="Wingdings" w:hAnsi="Wingdings" w:eastAsia="宋体"/>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AC"/>
    <w:rsid w:val="00004A1C"/>
    <w:rsid w:val="00007A38"/>
    <w:rsid w:val="00010739"/>
    <w:rsid w:val="00011BFF"/>
    <w:rsid w:val="000132EE"/>
    <w:rsid w:val="00015F7B"/>
    <w:rsid w:val="0002071F"/>
    <w:rsid w:val="000230B8"/>
    <w:rsid w:val="000256E1"/>
    <w:rsid w:val="00025AE0"/>
    <w:rsid w:val="00026C9C"/>
    <w:rsid w:val="00027A2E"/>
    <w:rsid w:val="00033BA4"/>
    <w:rsid w:val="000354BA"/>
    <w:rsid w:val="000378C8"/>
    <w:rsid w:val="00037D37"/>
    <w:rsid w:val="00040E6D"/>
    <w:rsid w:val="00041739"/>
    <w:rsid w:val="00041B21"/>
    <w:rsid w:val="0004373B"/>
    <w:rsid w:val="00043EC1"/>
    <w:rsid w:val="00045AD9"/>
    <w:rsid w:val="000474EF"/>
    <w:rsid w:val="00057A73"/>
    <w:rsid w:val="00061838"/>
    <w:rsid w:val="00063F56"/>
    <w:rsid w:val="0006690F"/>
    <w:rsid w:val="00072D82"/>
    <w:rsid w:val="000736F0"/>
    <w:rsid w:val="00077360"/>
    <w:rsid w:val="000802B7"/>
    <w:rsid w:val="00081D21"/>
    <w:rsid w:val="00084D86"/>
    <w:rsid w:val="00084F8D"/>
    <w:rsid w:val="000863D1"/>
    <w:rsid w:val="00087AF1"/>
    <w:rsid w:val="000908E3"/>
    <w:rsid w:val="00090AF0"/>
    <w:rsid w:val="00091981"/>
    <w:rsid w:val="00092111"/>
    <w:rsid w:val="00097A13"/>
    <w:rsid w:val="000A0574"/>
    <w:rsid w:val="000B01F6"/>
    <w:rsid w:val="000B16F6"/>
    <w:rsid w:val="000B45D2"/>
    <w:rsid w:val="000B719A"/>
    <w:rsid w:val="000B7506"/>
    <w:rsid w:val="000C51EB"/>
    <w:rsid w:val="000D0B6C"/>
    <w:rsid w:val="000D2A0C"/>
    <w:rsid w:val="000D2DB1"/>
    <w:rsid w:val="000D457D"/>
    <w:rsid w:val="000D650A"/>
    <w:rsid w:val="000D765E"/>
    <w:rsid w:val="000D793A"/>
    <w:rsid w:val="000E039E"/>
    <w:rsid w:val="000E479C"/>
    <w:rsid w:val="000E48A4"/>
    <w:rsid w:val="000E5CB2"/>
    <w:rsid w:val="000E7BE8"/>
    <w:rsid w:val="000E7E9D"/>
    <w:rsid w:val="000F0864"/>
    <w:rsid w:val="000F0C94"/>
    <w:rsid w:val="000F0F6B"/>
    <w:rsid w:val="000F3BE4"/>
    <w:rsid w:val="000F41CC"/>
    <w:rsid w:val="00100404"/>
    <w:rsid w:val="00100B7E"/>
    <w:rsid w:val="00102251"/>
    <w:rsid w:val="00102515"/>
    <w:rsid w:val="00104659"/>
    <w:rsid w:val="001047E2"/>
    <w:rsid w:val="001063F2"/>
    <w:rsid w:val="001074C0"/>
    <w:rsid w:val="0010757B"/>
    <w:rsid w:val="00113537"/>
    <w:rsid w:val="0011423A"/>
    <w:rsid w:val="001149A4"/>
    <w:rsid w:val="00115F1A"/>
    <w:rsid w:val="00117AD9"/>
    <w:rsid w:val="00121B7B"/>
    <w:rsid w:val="00121F8C"/>
    <w:rsid w:val="00122206"/>
    <w:rsid w:val="00126A0A"/>
    <w:rsid w:val="00127639"/>
    <w:rsid w:val="00130656"/>
    <w:rsid w:val="00131922"/>
    <w:rsid w:val="00133662"/>
    <w:rsid w:val="00136A8C"/>
    <w:rsid w:val="00136EAB"/>
    <w:rsid w:val="001373A9"/>
    <w:rsid w:val="0014119D"/>
    <w:rsid w:val="001427F0"/>
    <w:rsid w:val="00142FF2"/>
    <w:rsid w:val="0015193E"/>
    <w:rsid w:val="001540B9"/>
    <w:rsid w:val="00163572"/>
    <w:rsid w:val="00164154"/>
    <w:rsid w:val="00164442"/>
    <w:rsid w:val="001651DA"/>
    <w:rsid w:val="00166318"/>
    <w:rsid w:val="00171C8A"/>
    <w:rsid w:val="00172756"/>
    <w:rsid w:val="001757C9"/>
    <w:rsid w:val="00175B7B"/>
    <w:rsid w:val="00176614"/>
    <w:rsid w:val="00176E5B"/>
    <w:rsid w:val="001801EE"/>
    <w:rsid w:val="001806D2"/>
    <w:rsid w:val="00181238"/>
    <w:rsid w:val="00182706"/>
    <w:rsid w:val="0018456F"/>
    <w:rsid w:val="001862BF"/>
    <w:rsid w:val="00187389"/>
    <w:rsid w:val="0018788B"/>
    <w:rsid w:val="00187AA6"/>
    <w:rsid w:val="00190044"/>
    <w:rsid w:val="00191641"/>
    <w:rsid w:val="001929EB"/>
    <w:rsid w:val="001937A8"/>
    <w:rsid w:val="0019479D"/>
    <w:rsid w:val="0019487C"/>
    <w:rsid w:val="00195387"/>
    <w:rsid w:val="00195BCA"/>
    <w:rsid w:val="00197227"/>
    <w:rsid w:val="001A0674"/>
    <w:rsid w:val="001A1A19"/>
    <w:rsid w:val="001A2D18"/>
    <w:rsid w:val="001A4664"/>
    <w:rsid w:val="001A46D7"/>
    <w:rsid w:val="001B31C4"/>
    <w:rsid w:val="001B31CC"/>
    <w:rsid w:val="001B5667"/>
    <w:rsid w:val="001C12EC"/>
    <w:rsid w:val="001C3BBA"/>
    <w:rsid w:val="001C3D73"/>
    <w:rsid w:val="001C7E50"/>
    <w:rsid w:val="001D226E"/>
    <w:rsid w:val="001D2393"/>
    <w:rsid w:val="001D2F75"/>
    <w:rsid w:val="001D3ADC"/>
    <w:rsid w:val="001D4178"/>
    <w:rsid w:val="001D41B3"/>
    <w:rsid w:val="001D5510"/>
    <w:rsid w:val="001D638C"/>
    <w:rsid w:val="001D6DD7"/>
    <w:rsid w:val="001D6E6E"/>
    <w:rsid w:val="001E0BDE"/>
    <w:rsid w:val="001E3229"/>
    <w:rsid w:val="001F03C1"/>
    <w:rsid w:val="001F111C"/>
    <w:rsid w:val="001F3D3E"/>
    <w:rsid w:val="002006F7"/>
    <w:rsid w:val="00201BBD"/>
    <w:rsid w:val="00201BDD"/>
    <w:rsid w:val="00201DAA"/>
    <w:rsid w:val="00201EFF"/>
    <w:rsid w:val="0020796A"/>
    <w:rsid w:val="00210153"/>
    <w:rsid w:val="00211832"/>
    <w:rsid w:val="00212490"/>
    <w:rsid w:val="00213821"/>
    <w:rsid w:val="00215297"/>
    <w:rsid w:val="002153BD"/>
    <w:rsid w:val="00216A26"/>
    <w:rsid w:val="0022195A"/>
    <w:rsid w:val="00222F24"/>
    <w:rsid w:val="0022489D"/>
    <w:rsid w:val="00225EDE"/>
    <w:rsid w:val="002265AB"/>
    <w:rsid w:val="002273BB"/>
    <w:rsid w:val="002275BB"/>
    <w:rsid w:val="002301C1"/>
    <w:rsid w:val="002348FD"/>
    <w:rsid w:val="00236FAF"/>
    <w:rsid w:val="00242B4E"/>
    <w:rsid w:val="00242EDB"/>
    <w:rsid w:val="00243A7C"/>
    <w:rsid w:val="00243F41"/>
    <w:rsid w:val="0024567D"/>
    <w:rsid w:val="002502A6"/>
    <w:rsid w:val="0025233B"/>
    <w:rsid w:val="0025378F"/>
    <w:rsid w:val="00254942"/>
    <w:rsid w:val="00257ED2"/>
    <w:rsid w:val="00260073"/>
    <w:rsid w:val="0026466D"/>
    <w:rsid w:val="00265FD8"/>
    <w:rsid w:val="00267915"/>
    <w:rsid w:val="00267E46"/>
    <w:rsid w:val="00267F86"/>
    <w:rsid w:val="0027191F"/>
    <w:rsid w:val="00271B84"/>
    <w:rsid w:val="00272413"/>
    <w:rsid w:val="00276065"/>
    <w:rsid w:val="002866BE"/>
    <w:rsid w:val="0028772E"/>
    <w:rsid w:val="00291A73"/>
    <w:rsid w:val="00295D7A"/>
    <w:rsid w:val="002A0486"/>
    <w:rsid w:val="002A0DE9"/>
    <w:rsid w:val="002A343A"/>
    <w:rsid w:val="002A4811"/>
    <w:rsid w:val="002A4E37"/>
    <w:rsid w:val="002A533D"/>
    <w:rsid w:val="002A6D7F"/>
    <w:rsid w:val="002A713C"/>
    <w:rsid w:val="002A73FE"/>
    <w:rsid w:val="002B1289"/>
    <w:rsid w:val="002B29F2"/>
    <w:rsid w:val="002B722A"/>
    <w:rsid w:val="002C1A59"/>
    <w:rsid w:val="002C3757"/>
    <w:rsid w:val="002C3F29"/>
    <w:rsid w:val="002C60D0"/>
    <w:rsid w:val="002D0BE8"/>
    <w:rsid w:val="002D0C7E"/>
    <w:rsid w:val="002E520A"/>
    <w:rsid w:val="002E6091"/>
    <w:rsid w:val="002F0D3A"/>
    <w:rsid w:val="002F0DF7"/>
    <w:rsid w:val="002F4EEE"/>
    <w:rsid w:val="002F5E78"/>
    <w:rsid w:val="002F678E"/>
    <w:rsid w:val="002F7F3C"/>
    <w:rsid w:val="003054A6"/>
    <w:rsid w:val="00311195"/>
    <w:rsid w:val="0031239D"/>
    <w:rsid w:val="003136CF"/>
    <w:rsid w:val="00313810"/>
    <w:rsid w:val="00324EF0"/>
    <w:rsid w:val="00327771"/>
    <w:rsid w:val="00327DD0"/>
    <w:rsid w:val="0033563B"/>
    <w:rsid w:val="00335F37"/>
    <w:rsid w:val="00336801"/>
    <w:rsid w:val="00336FF2"/>
    <w:rsid w:val="00337B3F"/>
    <w:rsid w:val="00337B48"/>
    <w:rsid w:val="00344B58"/>
    <w:rsid w:val="00345AFF"/>
    <w:rsid w:val="003504E8"/>
    <w:rsid w:val="003538AB"/>
    <w:rsid w:val="00353D65"/>
    <w:rsid w:val="00354589"/>
    <w:rsid w:val="0036682D"/>
    <w:rsid w:val="0036758F"/>
    <w:rsid w:val="003702AD"/>
    <w:rsid w:val="00371932"/>
    <w:rsid w:val="00371CCE"/>
    <w:rsid w:val="00373794"/>
    <w:rsid w:val="003737B7"/>
    <w:rsid w:val="00373C1F"/>
    <w:rsid w:val="003741FA"/>
    <w:rsid w:val="00375807"/>
    <w:rsid w:val="003774EC"/>
    <w:rsid w:val="003841D1"/>
    <w:rsid w:val="00384ACA"/>
    <w:rsid w:val="00385CE0"/>
    <w:rsid w:val="00386C6B"/>
    <w:rsid w:val="00386C7E"/>
    <w:rsid w:val="0039261D"/>
    <w:rsid w:val="003935E2"/>
    <w:rsid w:val="00393AEB"/>
    <w:rsid w:val="003945D1"/>
    <w:rsid w:val="00395A80"/>
    <w:rsid w:val="003A0042"/>
    <w:rsid w:val="003A08B6"/>
    <w:rsid w:val="003A2A7F"/>
    <w:rsid w:val="003A5755"/>
    <w:rsid w:val="003A7496"/>
    <w:rsid w:val="003A7A7B"/>
    <w:rsid w:val="003B0466"/>
    <w:rsid w:val="003B26E3"/>
    <w:rsid w:val="003B29B5"/>
    <w:rsid w:val="003B6462"/>
    <w:rsid w:val="003B7270"/>
    <w:rsid w:val="003B7E44"/>
    <w:rsid w:val="003B7EA5"/>
    <w:rsid w:val="003C22C1"/>
    <w:rsid w:val="003D0079"/>
    <w:rsid w:val="003D5196"/>
    <w:rsid w:val="003D53F1"/>
    <w:rsid w:val="003E016F"/>
    <w:rsid w:val="003E1473"/>
    <w:rsid w:val="003E194A"/>
    <w:rsid w:val="003E1E40"/>
    <w:rsid w:val="003E69AE"/>
    <w:rsid w:val="003E7418"/>
    <w:rsid w:val="003F04B9"/>
    <w:rsid w:val="003F266D"/>
    <w:rsid w:val="003F3F78"/>
    <w:rsid w:val="003F5866"/>
    <w:rsid w:val="003F77CF"/>
    <w:rsid w:val="00402851"/>
    <w:rsid w:val="00402C25"/>
    <w:rsid w:val="004032E4"/>
    <w:rsid w:val="004076E6"/>
    <w:rsid w:val="00410BB1"/>
    <w:rsid w:val="004143C7"/>
    <w:rsid w:val="004143D5"/>
    <w:rsid w:val="00415474"/>
    <w:rsid w:val="0041569F"/>
    <w:rsid w:val="004159D1"/>
    <w:rsid w:val="0041777A"/>
    <w:rsid w:val="00420754"/>
    <w:rsid w:val="00420D81"/>
    <w:rsid w:val="0042688F"/>
    <w:rsid w:val="00427D01"/>
    <w:rsid w:val="004313DD"/>
    <w:rsid w:val="00431891"/>
    <w:rsid w:val="00433615"/>
    <w:rsid w:val="00435DBC"/>
    <w:rsid w:val="00442B22"/>
    <w:rsid w:val="00443957"/>
    <w:rsid w:val="00443C87"/>
    <w:rsid w:val="00443E54"/>
    <w:rsid w:val="004528A9"/>
    <w:rsid w:val="00453434"/>
    <w:rsid w:val="0045354B"/>
    <w:rsid w:val="004629A5"/>
    <w:rsid w:val="00463A8C"/>
    <w:rsid w:val="004646F0"/>
    <w:rsid w:val="00465B13"/>
    <w:rsid w:val="00465C3F"/>
    <w:rsid w:val="004660D0"/>
    <w:rsid w:val="0046690B"/>
    <w:rsid w:val="00467E05"/>
    <w:rsid w:val="00471342"/>
    <w:rsid w:val="00471B3B"/>
    <w:rsid w:val="00472E05"/>
    <w:rsid w:val="00473031"/>
    <w:rsid w:val="00473D88"/>
    <w:rsid w:val="00475FD2"/>
    <w:rsid w:val="004767D7"/>
    <w:rsid w:val="004774BB"/>
    <w:rsid w:val="00477586"/>
    <w:rsid w:val="004778EB"/>
    <w:rsid w:val="004779BA"/>
    <w:rsid w:val="00477FBE"/>
    <w:rsid w:val="00480004"/>
    <w:rsid w:val="004809EF"/>
    <w:rsid w:val="00480B6A"/>
    <w:rsid w:val="004810A7"/>
    <w:rsid w:val="004819EA"/>
    <w:rsid w:val="00481CC9"/>
    <w:rsid w:val="0048388B"/>
    <w:rsid w:val="00483C4F"/>
    <w:rsid w:val="004857B8"/>
    <w:rsid w:val="00485A36"/>
    <w:rsid w:val="00486DB6"/>
    <w:rsid w:val="00486F33"/>
    <w:rsid w:val="00492D6D"/>
    <w:rsid w:val="00493B5E"/>
    <w:rsid w:val="00494261"/>
    <w:rsid w:val="004959AC"/>
    <w:rsid w:val="004A4B6D"/>
    <w:rsid w:val="004A4B8C"/>
    <w:rsid w:val="004A728A"/>
    <w:rsid w:val="004B13F8"/>
    <w:rsid w:val="004B4027"/>
    <w:rsid w:val="004B43C5"/>
    <w:rsid w:val="004B4B0D"/>
    <w:rsid w:val="004B5004"/>
    <w:rsid w:val="004B578A"/>
    <w:rsid w:val="004B6413"/>
    <w:rsid w:val="004B7B3E"/>
    <w:rsid w:val="004C0010"/>
    <w:rsid w:val="004C35C1"/>
    <w:rsid w:val="004C4953"/>
    <w:rsid w:val="004D0657"/>
    <w:rsid w:val="004D0819"/>
    <w:rsid w:val="004D1272"/>
    <w:rsid w:val="004D335B"/>
    <w:rsid w:val="004D53B3"/>
    <w:rsid w:val="004E214F"/>
    <w:rsid w:val="004E354F"/>
    <w:rsid w:val="004E38EE"/>
    <w:rsid w:val="004E3925"/>
    <w:rsid w:val="004E3BB3"/>
    <w:rsid w:val="004E4F29"/>
    <w:rsid w:val="004E7785"/>
    <w:rsid w:val="004F3118"/>
    <w:rsid w:val="004F324A"/>
    <w:rsid w:val="004F5159"/>
    <w:rsid w:val="004F574B"/>
    <w:rsid w:val="005053BD"/>
    <w:rsid w:val="005072F4"/>
    <w:rsid w:val="0051058C"/>
    <w:rsid w:val="00511CB0"/>
    <w:rsid w:val="0051224C"/>
    <w:rsid w:val="00512763"/>
    <w:rsid w:val="00512DA3"/>
    <w:rsid w:val="005178DC"/>
    <w:rsid w:val="0052070A"/>
    <w:rsid w:val="00522EC2"/>
    <w:rsid w:val="00522EDA"/>
    <w:rsid w:val="00527949"/>
    <w:rsid w:val="00530674"/>
    <w:rsid w:val="0053104F"/>
    <w:rsid w:val="00531CC5"/>
    <w:rsid w:val="00535913"/>
    <w:rsid w:val="00535EC6"/>
    <w:rsid w:val="00540F29"/>
    <w:rsid w:val="0055072B"/>
    <w:rsid w:val="005513CB"/>
    <w:rsid w:val="005541EF"/>
    <w:rsid w:val="005550AA"/>
    <w:rsid w:val="00557AC5"/>
    <w:rsid w:val="005647FF"/>
    <w:rsid w:val="00564969"/>
    <w:rsid w:val="00566449"/>
    <w:rsid w:val="00566C01"/>
    <w:rsid w:val="00566FE7"/>
    <w:rsid w:val="00567235"/>
    <w:rsid w:val="00567626"/>
    <w:rsid w:val="00576D5E"/>
    <w:rsid w:val="00581DC6"/>
    <w:rsid w:val="005873B1"/>
    <w:rsid w:val="005878B5"/>
    <w:rsid w:val="005903E1"/>
    <w:rsid w:val="0059136E"/>
    <w:rsid w:val="00592007"/>
    <w:rsid w:val="0059489C"/>
    <w:rsid w:val="0059508E"/>
    <w:rsid w:val="00596408"/>
    <w:rsid w:val="005A13D1"/>
    <w:rsid w:val="005A160A"/>
    <w:rsid w:val="005A3696"/>
    <w:rsid w:val="005A6806"/>
    <w:rsid w:val="005A69CE"/>
    <w:rsid w:val="005A6A8B"/>
    <w:rsid w:val="005B1904"/>
    <w:rsid w:val="005B681B"/>
    <w:rsid w:val="005B6BDC"/>
    <w:rsid w:val="005C1F08"/>
    <w:rsid w:val="005C27AE"/>
    <w:rsid w:val="005C47BC"/>
    <w:rsid w:val="005C4ACB"/>
    <w:rsid w:val="005C5AFD"/>
    <w:rsid w:val="005C6FBB"/>
    <w:rsid w:val="005C74A5"/>
    <w:rsid w:val="005D053B"/>
    <w:rsid w:val="005D0F81"/>
    <w:rsid w:val="005D2EAC"/>
    <w:rsid w:val="005D373C"/>
    <w:rsid w:val="005D5A89"/>
    <w:rsid w:val="005D61EA"/>
    <w:rsid w:val="005D6772"/>
    <w:rsid w:val="005D67AE"/>
    <w:rsid w:val="005D6835"/>
    <w:rsid w:val="005E0EE3"/>
    <w:rsid w:val="005E53BF"/>
    <w:rsid w:val="005E713A"/>
    <w:rsid w:val="005F3C22"/>
    <w:rsid w:val="005F52C4"/>
    <w:rsid w:val="00605B8A"/>
    <w:rsid w:val="00606127"/>
    <w:rsid w:val="00606537"/>
    <w:rsid w:val="006118FE"/>
    <w:rsid w:val="00614D22"/>
    <w:rsid w:val="00614EC4"/>
    <w:rsid w:val="00615BF3"/>
    <w:rsid w:val="006203CE"/>
    <w:rsid w:val="00624782"/>
    <w:rsid w:val="00627329"/>
    <w:rsid w:val="00631E58"/>
    <w:rsid w:val="00633017"/>
    <w:rsid w:val="00633AAE"/>
    <w:rsid w:val="006343D1"/>
    <w:rsid w:val="00637D2E"/>
    <w:rsid w:val="00643DC0"/>
    <w:rsid w:val="006444E2"/>
    <w:rsid w:val="00644CC3"/>
    <w:rsid w:val="006454AA"/>
    <w:rsid w:val="006460E2"/>
    <w:rsid w:val="00647BFC"/>
    <w:rsid w:val="00652265"/>
    <w:rsid w:val="00652414"/>
    <w:rsid w:val="00653849"/>
    <w:rsid w:val="00660E73"/>
    <w:rsid w:val="00661287"/>
    <w:rsid w:val="006614E6"/>
    <w:rsid w:val="00661CA8"/>
    <w:rsid w:val="00663FF3"/>
    <w:rsid w:val="00665650"/>
    <w:rsid w:val="0066606C"/>
    <w:rsid w:val="00666C25"/>
    <w:rsid w:val="00666D95"/>
    <w:rsid w:val="0067069C"/>
    <w:rsid w:val="00671933"/>
    <w:rsid w:val="006774CC"/>
    <w:rsid w:val="006807CB"/>
    <w:rsid w:val="006824B7"/>
    <w:rsid w:val="0068339D"/>
    <w:rsid w:val="00684080"/>
    <w:rsid w:val="0069167B"/>
    <w:rsid w:val="00691EE2"/>
    <w:rsid w:val="00692422"/>
    <w:rsid w:val="00692B91"/>
    <w:rsid w:val="006A0A97"/>
    <w:rsid w:val="006A1445"/>
    <w:rsid w:val="006A21AF"/>
    <w:rsid w:val="006A4B73"/>
    <w:rsid w:val="006A6829"/>
    <w:rsid w:val="006A6FDA"/>
    <w:rsid w:val="006B56B2"/>
    <w:rsid w:val="006B5762"/>
    <w:rsid w:val="006B7BA8"/>
    <w:rsid w:val="006C0712"/>
    <w:rsid w:val="006C12E7"/>
    <w:rsid w:val="006C3C47"/>
    <w:rsid w:val="006C4A05"/>
    <w:rsid w:val="006C5C51"/>
    <w:rsid w:val="006C5EA5"/>
    <w:rsid w:val="006C7434"/>
    <w:rsid w:val="006D28D2"/>
    <w:rsid w:val="006D56B1"/>
    <w:rsid w:val="006D6CD2"/>
    <w:rsid w:val="006E20E7"/>
    <w:rsid w:val="006E3D23"/>
    <w:rsid w:val="006E3FC5"/>
    <w:rsid w:val="006E4A27"/>
    <w:rsid w:val="006F0444"/>
    <w:rsid w:val="006F1922"/>
    <w:rsid w:val="006F1E33"/>
    <w:rsid w:val="006F4126"/>
    <w:rsid w:val="006F4B2E"/>
    <w:rsid w:val="007009E4"/>
    <w:rsid w:val="00701BF7"/>
    <w:rsid w:val="00701F4A"/>
    <w:rsid w:val="0070222D"/>
    <w:rsid w:val="00702B4D"/>
    <w:rsid w:val="00702CF0"/>
    <w:rsid w:val="007073D5"/>
    <w:rsid w:val="00712328"/>
    <w:rsid w:val="00712AA3"/>
    <w:rsid w:val="007155CB"/>
    <w:rsid w:val="00716210"/>
    <w:rsid w:val="00716E21"/>
    <w:rsid w:val="00717302"/>
    <w:rsid w:val="00717F90"/>
    <w:rsid w:val="007251C8"/>
    <w:rsid w:val="00725FA0"/>
    <w:rsid w:val="00727CD1"/>
    <w:rsid w:val="00732174"/>
    <w:rsid w:val="00732541"/>
    <w:rsid w:val="00733487"/>
    <w:rsid w:val="00734782"/>
    <w:rsid w:val="0073643C"/>
    <w:rsid w:val="007413F4"/>
    <w:rsid w:val="0075101B"/>
    <w:rsid w:val="0075320E"/>
    <w:rsid w:val="007554FC"/>
    <w:rsid w:val="00760FC2"/>
    <w:rsid w:val="00762218"/>
    <w:rsid w:val="00766CEA"/>
    <w:rsid w:val="007701CF"/>
    <w:rsid w:val="00770387"/>
    <w:rsid w:val="0077186C"/>
    <w:rsid w:val="00772D63"/>
    <w:rsid w:val="0077314E"/>
    <w:rsid w:val="00775194"/>
    <w:rsid w:val="0077713C"/>
    <w:rsid w:val="00777D6F"/>
    <w:rsid w:val="007902BB"/>
    <w:rsid w:val="007908AF"/>
    <w:rsid w:val="007909D1"/>
    <w:rsid w:val="007914B3"/>
    <w:rsid w:val="00792FD8"/>
    <w:rsid w:val="00797364"/>
    <w:rsid w:val="007A1D2C"/>
    <w:rsid w:val="007A2927"/>
    <w:rsid w:val="007A2949"/>
    <w:rsid w:val="007B0966"/>
    <w:rsid w:val="007B0E36"/>
    <w:rsid w:val="007B37FD"/>
    <w:rsid w:val="007B4B4E"/>
    <w:rsid w:val="007B6AF7"/>
    <w:rsid w:val="007B72DC"/>
    <w:rsid w:val="007B758E"/>
    <w:rsid w:val="007C042D"/>
    <w:rsid w:val="007C21AD"/>
    <w:rsid w:val="007C37E4"/>
    <w:rsid w:val="007C3C8B"/>
    <w:rsid w:val="007C59B9"/>
    <w:rsid w:val="007C66F4"/>
    <w:rsid w:val="007D0C7B"/>
    <w:rsid w:val="007D23AD"/>
    <w:rsid w:val="007D2BB6"/>
    <w:rsid w:val="007D406B"/>
    <w:rsid w:val="007D5186"/>
    <w:rsid w:val="007D6EB4"/>
    <w:rsid w:val="007D740E"/>
    <w:rsid w:val="007E0B90"/>
    <w:rsid w:val="007E2EEE"/>
    <w:rsid w:val="007F5885"/>
    <w:rsid w:val="008006D4"/>
    <w:rsid w:val="008036F2"/>
    <w:rsid w:val="008145AB"/>
    <w:rsid w:val="008164BC"/>
    <w:rsid w:val="00817C3B"/>
    <w:rsid w:val="00817CA6"/>
    <w:rsid w:val="00821614"/>
    <w:rsid w:val="00822671"/>
    <w:rsid w:val="00823B37"/>
    <w:rsid w:val="00824156"/>
    <w:rsid w:val="00824A9E"/>
    <w:rsid w:val="00826390"/>
    <w:rsid w:val="008263A4"/>
    <w:rsid w:val="0082749E"/>
    <w:rsid w:val="008305C8"/>
    <w:rsid w:val="00833BB8"/>
    <w:rsid w:val="0083455A"/>
    <w:rsid w:val="00835466"/>
    <w:rsid w:val="00835DFC"/>
    <w:rsid w:val="00841738"/>
    <w:rsid w:val="00841C5C"/>
    <w:rsid w:val="00846403"/>
    <w:rsid w:val="0085361D"/>
    <w:rsid w:val="008539BA"/>
    <w:rsid w:val="00855605"/>
    <w:rsid w:val="0085576B"/>
    <w:rsid w:val="00857FE7"/>
    <w:rsid w:val="00860DE5"/>
    <w:rsid w:val="00861966"/>
    <w:rsid w:val="0086217D"/>
    <w:rsid w:val="008622C3"/>
    <w:rsid w:val="00862B93"/>
    <w:rsid w:val="008646C4"/>
    <w:rsid w:val="0086509C"/>
    <w:rsid w:val="008677EE"/>
    <w:rsid w:val="00871ED3"/>
    <w:rsid w:val="0087290F"/>
    <w:rsid w:val="00873F10"/>
    <w:rsid w:val="00875E76"/>
    <w:rsid w:val="00876445"/>
    <w:rsid w:val="00883B6B"/>
    <w:rsid w:val="0088482D"/>
    <w:rsid w:val="00891A33"/>
    <w:rsid w:val="0089554F"/>
    <w:rsid w:val="008956ED"/>
    <w:rsid w:val="00895FDE"/>
    <w:rsid w:val="00897D1E"/>
    <w:rsid w:val="008A3B26"/>
    <w:rsid w:val="008A41CC"/>
    <w:rsid w:val="008A5306"/>
    <w:rsid w:val="008B01DE"/>
    <w:rsid w:val="008B143A"/>
    <w:rsid w:val="008B1485"/>
    <w:rsid w:val="008B21E2"/>
    <w:rsid w:val="008B48C2"/>
    <w:rsid w:val="008B6A68"/>
    <w:rsid w:val="008B7BA1"/>
    <w:rsid w:val="008C1648"/>
    <w:rsid w:val="008C1869"/>
    <w:rsid w:val="008C3F6F"/>
    <w:rsid w:val="008C47AE"/>
    <w:rsid w:val="008D1B70"/>
    <w:rsid w:val="008D44E1"/>
    <w:rsid w:val="008D548A"/>
    <w:rsid w:val="008D5E51"/>
    <w:rsid w:val="008D73C3"/>
    <w:rsid w:val="008E0ADB"/>
    <w:rsid w:val="008E17EF"/>
    <w:rsid w:val="008E1FD0"/>
    <w:rsid w:val="008E3507"/>
    <w:rsid w:val="008E3A15"/>
    <w:rsid w:val="008F382E"/>
    <w:rsid w:val="008F434B"/>
    <w:rsid w:val="008F6087"/>
    <w:rsid w:val="00900E67"/>
    <w:rsid w:val="00901DCB"/>
    <w:rsid w:val="0090298F"/>
    <w:rsid w:val="009029D7"/>
    <w:rsid w:val="00903094"/>
    <w:rsid w:val="009044A2"/>
    <w:rsid w:val="0090593E"/>
    <w:rsid w:val="00905977"/>
    <w:rsid w:val="00912959"/>
    <w:rsid w:val="00915310"/>
    <w:rsid w:val="009157CA"/>
    <w:rsid w:val="00915E9A"/>
    <w:rsid w:val="00915F6A"/>
    <w:rsid w:val="009215B7"/>
    <w:rsid w:val="00922367"/>
    <w:rsid w:val="00923676"/>
    <w:rsid w:val="00925B9D"/>
    <w:rsid w:val="00932A5C"/>
    <w:rsid w:val="00933BF7"/>
    <w:rsid w:val="00934ACB"/>
    <w:rsid w:val="00941093"/>
    <w:rsid w:val="009412C0"/>
    <w:rsid w:val="00941989"/>
    <w:rsid w:val="009434E8"/>
    <w:rsid w:val="00946914"/>
    <w:rsid w:val="00947975"/>
    <w:rsid w:val="00952626"/>
    <w:rsid w:val="00953919"/>
    <w:rsid w:val="0095556D"/>
    <w:rsid w:val="00955935"/>
    <w:rsid w:val="009577BF"/>
    <w:rsid w:val="00962884"/>
    <w:rsid w:val="009629E6"/>
    <w:rsid w:val="00962C76"/>
    <w:rsid w:val="00966A8B"/>
    <w:rsid w:val="009673D4"/>
    <w:rsid w:val="00971C31"/>
    <w:rsid w:val="00971F5F"/>
    <w:rsid w:val="00972546"/>
    <w:rsid w:val="00973D0B"/>
    <w:rsid w:val="00973F32"/>
    <w:rsid w:val="00976057"/>
    <w:rsid w:val="00976103"/>
    <w:rsid w:val="0098148A"/>
    <w:rsid w:val="00981637"/>
    <w:rsid w:val="00981682"/>
    <w:rsid w:val="00981D81"/>
    <w:rsid w:val="00983936"/>
    <w:rsid w:val="00984F1A"/>
    <w:rsid w:val="00985DF6"/>
    <w:rsid w:val="00992D07"/>
    <w:rsid w:val="00997BF2"/>
    <w:rsid w:val="009A138D"/>
    <w:rsid w:val="009A2138"/>
    <w:rsid w:val="009A3A14"/>
    <w:rsid w:val="009A598D"/>
    <w:rsid w:val="009A5E63"/>
    <w:rsid w:val="009A77D4"/>
    <w:rsid w:val="009B1E16"/>
    <w:rsid w:val="009B498E"/>
    <w:rsid w:val="009B4DC1"/>
    <w:rsid w:val="009C219A"/>
    <w:rsid w:val="009C3DFF"/>
    <w:rsid w:val="009C4DC6"/>
    <w:rsid w:val="009C5C6B"/>
    <w:rsid w:val="009D0077"/>
    <w:rsid w:val="009D3E6F"/>
    <w:rsid w:val="009D43BB"/>
    <w:rsid w:val="009D4C73"/>
    <w:rsid w:val="009D4ED8"/>
    <w:rsid w:val="009E289E"/>
    <w:rsid w:val="009E3CB3"/>
    <w:rsid w:val="009E4E10"/>
    <w:rsid w:val="009E5B68"/>
    <w:rsid w:val="009F02D4"/>
    <w:rsid w:val="009F1786"/>
    <w:rsid w:val="009F17BA"/>
    <w:rsid w:val="009F2E48"/>
    <w:rsid w:val="009F3D48"/>
    <w:rsid w:val="009F4B34"/>
    <w:rsid w:val="00A011D4"/>
    <w:rsid w:val="00A04E89"/>
    <w:rsid w:val="00A07E48"/>
    <w:rsid w:val="00A13290"/>
    <w:rsid w:val="00A13F7B"/>
    <w:rsid w:val="00A16963"/>
    <w:rsid w:val="00A211D8"/>
    <w:rsid w:val="00A212EE"/>
    <w:rsid w:val="00A24BD5"/>
    <w:rsid w:val="00A25927"/>
    <w:rsid w:val="00A26ADC"/>
    <w:rsid w:val="00A27FA3"/>
    <w:rsid w:val="00A30326"/>
    <w:rsid w:val="00A3121B"/>
    <w:rsid w:val="00A342C4"/>
    <w:rsid w:val="00A43080"/>
    <w:rsid w:val="00A432EA"/>
    <w:rsid w:val="00A43A20"/>
    <w:rsid w:val="00A45335"/>
    <w:rsid w:val="00A469CA"/>
    <w:rsid w:val="00A517C4"/>
    <w:rsid w:val="00A53458"/>
    <w:rsid w:val="00A55680"/>
    <w:rsid w:val="00A55E2B"/>
    <w:rsid w:val="00A62BB1"/>
    <w:rsid w:val="00A70758"/>
    <w:rsid w:val="00A73308"/>
    <w:rsid w:val="00A7520A"/>
    <w:rsid w:val="00A76EB0"/>
    <w:rsid w:val="00A80AD4"/>
    <w:rsid w:val="00A81FA3"/>
    <w:rsid w:val="00A81FD8"/>
    <w:rsid w:val="00A9049D"/>
    <w:rsid w:val="00A90B76"/>
    <w:rsid w:val="00A90DC2"/>
    <w:rsid w:val="00A91882"/>
    <w:rsid w:val="00A93A43"/>
    <w:rsid w:val="00A97985"/>
    <w:rsid w:val="00AA0992"/>
    <w:rsid w:val="00AA5934"/>
    <w:rsid w:val="00AB09A8"/>
    <w:rsid w:val="00AB568D"/>
    <w:rsid w:val="00AC2601"/>
    <w:rsid w:val="00AC7615"/>
    <w:rsid w:val="00AC7903"/>
    <w:rsid w:val="00AD130B"/>
    <w:rsid w:val="00AD57A2"/>
    <w:rsid w:val="00AD6C43"/>
    <w:rsid w:val="00AD6C4A"/>
    <w:rsid w:val="00AD7B34"/>
    <w:rsid w:val="00AE0572"/>
    <w:rsid w:val="00AE2CC3"/>
    <w:rsid w:val="00AE3FA9"/>
    <w:rsid w:val="00AE45A6"/>
    <w:rsid w:val="00AE593E"/>
    <w:rsid w:val="00AE5BB4"/>
    <w:rsid w:val="00AE637C"/>
    <w:rsid w:val="00AE6395"/>
    <w:rsid w:val="00AF0F00"/>
    <w:rsid w:val="00AF0FD9"/>
    <w:rsid w:val="00AF48D7"/>
    <w:rsid w:val="00AF4D9B"/>
    <w:rsid w:val="00AF55BB"/>
    <w:rsid w:val="00B0049B"/>
    <w:rsid w:val="00B01686"/>
    <w:rsid w:val="00B037BA"/>
    <w:rsid w:val="00B04495"/>
    <w:rsid w:val="00B04767"/>
    <w:rsid w:val="00B05E19"/>
    <w:rsid w:val="00B0772A"/>
    <w:rsid w:val="00B11308"/>
    <w:rsid w:val="00B13C38"/>
    <w:rsid w:val="00B1431B"/>
    <w:rsid w:val="00B16E02"/>
    <w:rsid w:val="00B17EAA"/>
    <w:rsid w:val="00B25C64"/>
    <w:rsid w:val="00B27711"/>
    <w:rsid w:val="00B279BE"/>
    <w:rsid w:val="00B303E4"/>
    <w:rsid w:val="00B316D0"/>
    <w:rsid w:val="00B335A8"/>
    <w:rsid w:val="00B41341"/>
    <w:rsid w:val="00B423DE"/>
    <w:rsid w:val="00B4636F"/>
    <w:rsid w:val="00B4645B"/>
    <w:rsid w:val="00B4708C"/>
    <w:rsid w:val="00B47EC6"/>
    <w:rsid w:val="00B557BA"/>
    <w:rsid w:val="00B55A04"/>
    <w:rsid w:val="00B57D76"/>
    <w:rsid w:val="00B611A4"/>
    <w:rsid w:val="00B635BC"/>
    <w:rsid w:val="00B66696"/>
    <w:rsid w:val="00B733B3"/>
    <w:rsid w:val="00B73551"/>
    <w:rsid w:val="00B73FDF"/>
    <w:rsid w:val="00B7668B"/>
    <w:rsid w:val="00B80651"/>
    <w:rsid w:val="00B84ABC"/>
    <w:rsid w:val="00B862E1"/>
    <w:rsid w:val="00B864CF"/>
    <w:rsid w:val="00B906C0"/>
    <w:rsid w:val="00B9166D"/>
    <w:rsid w:val="00B94785"/>
    <w:rsid w:val="00B96C6E"/>
    <w:rsid w:val="00B9704E"/>
    <w:rsid w:val="00BA068D"/>
    <w:rsid w:val="00BA18F8"/>
    <w:rsid w:val="00BA3CEE"/>
    <w:rsid w:val="00BA49FE"/>
    <w:rsid w:val="00BA5BE2"/>
    <w:rsid w:val="00BA75DC"/>
    <w:rsid w:val="00BA7AD4"/>
    <w:rsid w:val="00BA7D9A"/>
    <w:rsid w:val="00BB1F4A"/>
    <w:rsid w:val="00BB37CC"/>
    <w:rsid w:val="00BB5B5C"/>
    <w:rsid w:val="00BB6309"/>
    <w:rsid w:val="00BB74A4"/>
    <w:rsid w:val="00BC09AF"/>
    <w:rsid w:val="00BC19AB"/>
    <w:rsid w:val="00BC317E"/>
    <w:rsid w:val="00BC3BB0"/>
    <w:rsid w:val="00BC5115"/>
    <w:rsid w:val="00BC56DB"/>
    <w:rsid w:val="00BC6232"/>
    <w:rsid w:val="00BC65C5"/>
    <w:rsid w:val="00BC7969"/>
    <w:rsid w:val="00BD2288"/>
    <w:rsid w:val="00BD295F"/>
    <w:rsid w:val="00BD7364"/>
    <w:rsid w:val="00BE3AB5"/>
    <w:rsid w:val="00BF0D1C"/>
    <w:rsid w:val="00BF30CD"/>
    <w:rsid w:val="00C02B91"/>
    <w:rsid w:val="00C0468A"/>
    <w:rsid w:val="00C04E89"/>
    <w:rsid w:val="00C102FF"/>
    <w:rsid w:val="00C16C0B"/>
    <w:rsid w:val="00C17783"/>
    <w:rsid w:val="00C22125"/>
    <w:rsid w:val="00C2647C"/>
    <w:rsid w:val="00C273AA"/>
    <w:rsid w:val="00C342CB"/>
    <w:rsid w:val="00C35290"/>
    <w:rsid w:val="00C359AF"/>
    <w:rsid w:val="00C35D04"/>
    <w:rsid w:val="00C377C6"/>
    <w:rsid w:val="00C37EE5"/>
    <w:rsid w:val="00C41229"/>
    <w:rsid w:val="00C430B5"/>
    <w:rsid w:val="00C448CB"/>
    <w:rsid w:val="00C4539B"/>
    <w:rsid w:val="00C45D47"/>
    <w:rsid w:val="00C504B9"/>
    <w:rsid w:val="00C510D9"/>
    <w:rsid w:val="00C52B6E"/>
    <w:rsid w:val="00C55741"/>
    <w:rsid w:val="00C602F6"/>
    <w:rsid w:val="00C63AEE"/>
    <w:rsid w:val="00C65E79"/>
    <w:rsid w:val="00C667B3"/>
    <w:rsid w:val="00C66E95"/>
    <w:rsid w:val="00C67AC4"/>
    <w:rsid w:val="00C752C1"/>
    <w:rsid w:val="00C809CF"/>
    <w:rsid w:val="00C845C0"/>
    <w:rsid w:val="00C85F33"/>
    <w:rsid w:val="00C87587"/>
    <w:rsid w:val="00C95474"/>
    <w:rsid w:val="00CA1BCB"/>
    <w:rsid w:val="00CA260A"/>
    <w:rsid w:val="00CA4EE0"/>
    <w:rsid w:val="00CA5793"/>
    <w:rsid w:val="00CA73F3"/>
    <w:rsid w:val="00CB07D5"/>
    <w:rsid w:val="00CB6C6F"/>
    <w:rsid w:val="00CB77CA"/>
    <w:rsid w:val="00CB77D6"/>
    <w:rsid w:val="00CB7E2D"/>
    <w:rsid w:val="00CC111A"/>
    <w:rsid w:val="00CC240C"/>
    <w:rsid w:val="00CC62EF"/>
    <w:rsid w:val="00CC7BB0"/>
    <w:rsid w:val="00CD11EF"/>
    <w:rsid w:val="00CD2E3E"/>
    <w:rsid w:val="00CD5361"/>
    <w:rsid w:val="00CE1362"/>
    <w:rsid w:val="00CE3B41"/>
    <w:rsid w:val="00CF303E"/>
    <w:rsid w:val="00CF5989"/>
    <w:rsid w:val="00CF6200"/>
    <w:rsid w:val="00CF6889"/>
    <w:rsid w:val="00CF6972"/>
    <w:rsid w:val="00CF70D6"/>
    <w:rsid w:val="00CF77DE"/>
    <w:rsid w:val="00D00D15"/>
    <w:rsid w:val="00D01E6C"/>
    <w:rsid w:val="00D02E52"/>
    <w:rsid w:val="00D03128"/>
    <w:rsid w:val="00D055B1"/>
    <w:rsid w:val="00D05CF4"/>
    <w:rsid w:val="00D105A5"/>
    <w:rsid w:val="00D105C3"/>
    <w:rsid w:val="00D10904"/>
    <w:rsid w:val="00D10C71"/>
    <w:rsid w:val="00D10FD4"/>
    <w:rsid w:val="00D137FE"/>
    <w:rsid w:val="00D13BA8"/>
    <w:rsid w:val="00D14449"/>
    <w:rsid w:val="00D17584"/>
    <w:rsid w:val="00D17EB6"/>
    <w:rsid w:val="00D17FDD"/>
    <w:rsid w:val="00D2081C"/>
    <w:rsid w:val="00D244FA"/>
    <w:rsid w:val="00D265DC"/>
    <w:rsid w:val="00D26D43"/>
    <w:rsid w:val="00D30B70"/>
    <w:rsid w:val="00D30FB2"/>
    <w:rsid w:val="00D35CCF"/>
    <w:rsid w:val="00D40161"/>
    <w:rsid w:val="00D40F8D"/>
    <w:rsid w:val="00D44536"/>
    <w:rsid w:val="00D44E90"/>
    <w:rsid w:val="00D50E11"/>
    <w:rsid w:val="00D50F06"/>
    <w:rsid w:val="00D51262"/>
    <w:rsid w:val="00D53940"/>
    <w:rsid w:val="00D54221"/>
    <w:rsid w:val="00D54C22"/>
    <w:rsid w:val="00D62A34"/>
    <w:rsid w:val="00D669D0"/>
    <w:rsid w:val="00D66ADA"/>
    <w:rsid w:val="00D66E73"/>
    <w:rsid w:val="00D71438"/>
    <w:rsid w:val="00D742FE"/>
    <w:rsid w:val="00D77D5A"/>
    <w:rsid w:val="00D80524"/>
    <w:rsid w:val="00D81E9F"/>
    <w:rsid w:val="00D82D62"/>
    <w:rsid w:val="00D83431"/>
    <w:rsid w:val="00D854DC"/>
    <w:rsid w:val="00D859A8"/>
    <w:rsid w:val="00D86F98"/>
    <w:rsid w:val="00D86FCC"/>
    <w:rsid w:val="00D87A2B"/>
    <w:rsid w:val="00D90FBE"/>
    <w:rsid w:val="00D915B7"/>
    <w:rsid w:val="00D9556A"/>
    <w:rsid w:val="00D96110"/>
    <w:rsid w:val="00DA0F8E"/>
    <w:rsid w:val="00DA4BAD"/>
    <w:rsid w:val="00DA5099"/>
    <w:rsid w:val="00DB2320"/>
    <w:rsid w:val="00DB42FE"/>
    <w:rsid w:val="00DB5E2E"/>
    <w:rsid w:val="00DB6123"/>
    <w:rsid w:val="00DB65DA"/>
    <w:rsid w:val="00DC2D2E"/>
    <w:rsid w:val="00DC41F0"/>
    <w:rsid w:val="00DC678B"/>
    <w:rsid w:val="00DC6995"/>
    <w:rsid w:val="00DD14A8"/>
    <w:rsid w:val="00DD1FFE"/>
    <w:rsid w:val="00DD39CD"/>
    <w:rsid w:val="00DD43A5"/>
    <w:rsid w:val="00DD5CE3"/>
    <w:rsid w:val="00DD66D6"/>
    <w:rsid w:val="00DE039E"/>
    <w:rsid w:val="00DE271A"/>
    <w:rsid w:val="00DE7B54"/>
    <w:rsid w:val="00DF1037"/>
    <w:rsid w:val="00DF1087"/>
    <w:rsid w:val="00DF5584"/>
    <w:rsid w:val="00E00DFB"/>
    <w:rsid w:val="00E028FA"/>
    <w:rsid w:val="00E03F51"/>
    <w:rsid w:val="00E04960"/>
    <w:rsid w:val="00E0617B"/>
    <w:rsid w:val="00E06556"/>
    <w:rsid w:val="00E1049A"/>
    <w:rsid w:val="00E11789"/>
    <w:rsid w:val="00E1246E"/>
    <w:rsid w:val="00E1329D"/>
    <w:rsid w:val="00E1762B"/>
    <w:rsid w:val="00E21D24"/>
    <w:rsid w:val="00E23EF7"/>
    <w:rsid w:val="00E2620A"/>
    <w:rsid w:val="00E27629"/>
    <w:rsid w:val="00E301BF"/>
    <w:rsid w:val="00E34913"/>
    <w:rsid w:val="00E404D9"/>
    <w:rsid w:val="00E426B6"/>
    <w:rsid w:val="00E42A2B"/>
    <w:rsid w:val="00E42E8C"/>
    <w:rsid w:val="00E44B5D"/>
    <w:rsid w:val="00E51B30"/>
    <w:rsid w:val="00E53A8E"/>
    <w:rsid w:val="00E54298"/>
    <w:rsid w:val="00E54D38"/>
    <w:rsid w:val="00E55F94"/>
    <w:rsid w:val="00E60A91"/>
    <w:rsid w:val="00E60B69"/>
    <w:rsid w:val="00E63B86"/>
    <w:rsid w:val="00E65795"/>
    <w:rsid w:val="00E67574"/>
    <w:rsid w:val="00E67D33"/>
    <w:rsid w:val="00E72A49"/>
    <w:rsid w:val="00E748C4"/>
    <w:rsid w:val="00E81ED1"/>
    <w:rsid w:val="00E8311D"/>
    <w:rsid w:val="00E838E7"/>
    <w:rsid w:val="00E86694"/>
    <w:rsid w:val="00E8726C"/>
    <w:rsid w:val="00E8798D"/>
    <w:rsid w:val="00E90BAE"/>
    <w:rsid w:val="00E926DB"/>
    <w:rsid w:val="00EA292B"/>
    <w:rsid w:val="00EA6B42"/>
    <w:rsid w:val="00EB1B1A"/>
    <w:rsid w:val="00EB1B49"/>
    <w:rsid w:val="00EB30CB"/>
    <w:rsid w:val="00EB36F1"/>
    <w:rsid w:val="00EB63B7"/>
    <w:rsid w:val="00EB6B5E"/>
    <w:rsid w:val="00EB7CC8"/>
    <w:rsid w:val="00EC01DC"/>
    <w:rsid w:val="00EC26A9"/>
    <w:rsid w:val="00EC27CC"/>
    <w:rsid w:val="00EC6DFC"/>
    <w:rsid w:val="00ED03C0"/>
    <w:rsid w:val="00ED09DD"/>
    <w:rsid w:val="00ED0DAC"/>
    <w:rsid w:val="00ED259F"/>
    <w:rsid w:val="00ED7298"/>
    <w:rsid w:val="00EE03E0"/>
    <w:rsid w:val="00EE052F"/>
    <w:rsid w:val="00EE137D"/>
    <w:rsid w:val="00EE72D9"/>
    <w:rsid w:val="00EF3BB1"/>
    <w:rsid w:val="00EF74EC"/>
    <w:rsid w:val="00F008B9"/>
    <w:rsid w:val="00F016B2"/>
    <w:rsid w:val="00F0553E"/>
    <w:rsid w:val="00F10207"/>
    <w:rsid w:val="00F11E86"/>
    <w:rsid w:val="00F177BC"/>
    <w:rsid w:val="00F23A9D"/>
    <w:rsid w:val="00F27688"/>
    <w:rsid w:val="00F30E9A"/>
    <w:rsid w:val="00F32064"/>
    <w:rsid w:val="00F3208A"/>
    <w:rsid w:val="00F32A16"/>
    <w:rsid w:val="00F3354E"/>
    <w:rsid w:val="00F412CF"/>
    <w:rsid w:val="00F42863"/>
    <w:rsid w:val="00F428BB"/>
    <w:rsid w:val="00F42D16"/>
    <w:rsid w:val="00F43C5D"/>
    <w:rsid w:val="00F44840"/>
    <w:rsid w:val="00F44B75"/>
    <w:rsid w:val="00F52040"/>
    <w:rsid w:val="00F52154"/>
    <w:rsid w:val="00F53ECD"/>
    <w:rsid w:val="00F57875"/>
    <w:rsid w:val="00F57BE4"/>
    <w:rsid w:val="00F602AD"/>
    <w:rsid w:val="00F60777"/>
    <w:rsid w:val="00F60BDE"/>
    <w:rsid w:val="00F64CB1"/>
    <w:rsid w:val="00F6668F"/>
    <w:rsid w:val="00F75B3B"/>
    <w:rsid w:val="00F770C8"/>
    <w:rsid w:val="00F77798"/>
    <w:rsid w:val="00F821C5"/>
    <w:rsid w:val="00F82246"/>
    <w:rsid w:val="00F822AF"/>
    <w:rsid w:val="00F85CDB"/>
    <w:rsid w:val="00F85EF3"/>
    <w:rsid w:val="00F86870"/>
    <w:rsid w:val="00F9123C"/>
    <w:rsid w:val="00F91BEA"/>
    <w:rsid w:val="00F926C7"/>
    <w:rsid w:val="00F948DD"/>
    <w:rsid w:val="00FA0EA2"/>
    <w:rsid w:val="00FA6F10"/>
    <w:rsid w:val="00FB1699"/>
    <w:rsid w:val="00FB1E0F"/>
    <w:rsid w:val="00FB52EB"/>
    <w:rsid w:val="00FB5F58"/>
    <w:rsid w:val="00FC1E01"/>
    <w:rsid w:val="00FC2CAC"/>
    <w:rsid w:val="00FC4899"/>
    <w:rsid w:val="00FC78B3"/>
    <w:rsid w:val="00FD13A1"/>
    <w:rsid w:val="00FD182E"/>
    <w:rsid w:val="00FD2F39"/>
    <w:rsid w:val="00FD331D"/>
    <w:rsid w:val="00FD5608"/>
    <w:rsid w:val="00FD7BA0"/>
    <w:rsid w:val="00FF0775"/>
    <w:rsid w:val="00FF0954"/>
    <w:rsid w:val="00FF2FBF"/>
    <w:rsid w:val="00FF41AC"/>
    <w:rsid w:val="00FF4CF4"/>
    <w:rsid w:val="00FF5BC8"/>
    <w:rsid w:val="011C07DF"/>
    <w:rsid w:val="01813D87"/>
    <w:rsid w:val="01CC5508"/>
    <w:rsid w:val="01DD6A5C"/>
    <w:rsid w:val="02F8486D"/>
    <w:rsid w:val="034858F1"/>
    <w:rsid w:val="03EF7B20"/>
    <w:rsid w:val="04122DBB"/>
    <w:rsid w:val="04EC5FA1"/>
    <w:rsid w:val="05D172CF"/>
    <w:rsid w:val="05D569D1"/>
    <w:rsid w:val="06DE4725"/>
    <w:rsid w:val="077101A4"/>
    <w:rsid w:val="07B332B2"/>
    <w:rsid w:val="07B903AD"/>
    <w:rsid w:val="0840705E"/>
    <w:rsid w:val="09DF25C2"/>
    <w:rsid w:val="09E46A49"/>
    <w:rsid w:val="09F46CE4"/>
    <w:rsid w:val="0A836F5D"/>
    <w:rsid w:val="0ACE4D1C"/>
    <w:rsid w:val="0B116A78"/>
    <w:rsid w:val="0B3550F2"/>
    <w:rsid w:val="0B6B6BAE"/>
    <w:rsid w:val="0BA35725"/>
    <w:rsid w:val="0BB43441"/>
    <w:rsid w:val="0D0D07DF"/>
    <w:rsid w:val="0D693D8C"/>
    <w:rsid w:val="0DBC0FFE"/>
    <w:rsid w:val="0DE7465B"/>
    <w:rsid w:val="0E503E7A"/>
    <w:rsid w:val="0EBB3739"/>
    <w:rsid w:val="0EC904D1"/>
    <w:rsid w:val="0EF8408C"/>
    <w:rsid w:val="0F553938"/>
    <w:rsid w:val="0FCC6DFA"/>
    <w:rsid w:val="116976C0"/>
    <w:rsid w:val="139560BD"/>
    <w:rsid w:val="13EF07C3"/>
    <w:rsid w:val="149403CA"/>
    <w:rsid w:val="14A511EB"/>
    <w:rsid w:val="15023B03"/>
    <w:rsid w:val="166E405A"/>
    <w:rsid w:val="16D37197"/>
    <w:rsid w:val="174D36C8"/>
    <w:rsid w:val="1859341D"/>
    <w:rsid w:val="19D96275"/>
    <w:rsid w:val="1A1C7FE3"/>
    <w:rsid w:val="1B3B043B"/>
    <w:rsid w:val="1B6202FA"/>
    <w:rsid w:val="1C97632D"/>
    <w:rsid w:val="1CC65522"/>
    <w:rsid w:val="1DF42BB2"/>
    <w:rsid w:val="1E3929BE"/>
    <w:rsid w:val="1E52514A"/>
    <w:rsid w:val="20902354"/>
    <w:rsid w:val="20AC5329"/>
    <w:rsid w:val="20B46EB2"/>
    <w:rsid w:val="20FD492D"/>
    <w:rsid w:val="21035D38"/>
    <w:rsid w:val="215F7647"/>
    <w:rsid w:val="21B84562"/>
    <w:rsid w:val="2204335C"/>
    <w:rsid w:val="22E92984"/>
    <w:rsid w:val="22F32C57"/>
    <w:rsid w:val="23102595"/>
    <w:rsid w:val="237B6AFE"/>
    <w:rsid w:val="25AA7CDA"/>
    <w:rsid w:val="26234C6F"/>
    <w:rsid w:val="268F1252"/>
    <w:rsid w:val="2855533A"/>
    <w:rsid w:val="29791D61"/>
    <w:rsid w:val="29C8521C"/>
    <w:rsid w:val="2A5F6179"/>
    <w:rsid w:val="2A706602"/>
    <w:rsid w:val="2A827ECE"/>
    <w:rsid w:val="2C43541C"/>
    <w:rsid w:val="2C570D4D"/>
    <w:rsid w:val="2C855925"/>
    <w:rsid w:val="2C9269E6"/>
    <w:rsid w:val="2D1039D4"/>
    <w:rsid w:val="2D285D48"/>
    <w:rsid w:val="2D9A5EE2"/>
    <w:rsid w:val="2E7A5550"/>
    <w:rsid w:val="2F540736"/>
    <w:rsid w:val="30D808B2"/>
    <w:rsid w:val="31476967"/>
    <w:rsid w:val="317716B5"/>
    <w:rsid w:val="31BE111A"/>
    <w:rsid w:val="326D6447"/>
    <w:rsid w:val="327D01B0"/>
    <w:rsid w:val="32AA00CD"/>
    <w:rsid w:val="32FF4A9D"/>
    <w:rsid w:val="33EB774D"/>
    <w:rsid w:val="33F971D5"/>
    <w:rsid w:val="34380EB8"/>
    <w:rsid w:val="349302CD"/>
    <w:rsid w:val="36327D7A"/>
    <w:rsid w:val="363422DD"/>
    <w:rsid w:val="364B2EA2"/>
    <w:rsid w:val="365F7944"/>
    <w:rsid w:val="36622AC7"/>
    <w:rsid w:val="36A25B9D"/>
    <w:rsid w:val="36E2469A"/>
    <w:rsid w:val="36E72D20"/>
    <w:rsid w:val="37A37C96"/>
    <w:rsid w:val="37C028D9"/>
    <w:rsid w:val="387D08B6"/>
    <w:rsid w:val="3937687A"/>
    <w:rsid w:val="3A305BAB"/>
    <w:rsid w:val="3A3736AD"/>
    <w:rsid w:val="3A6238E9"/>
    <w:rsid w:val="3A7007C2"/>
    <w:rsid w:val="3AFF08D7"/>
    <w:rsid w:val="3B0B4574"/>
    <w:rsid w:val="3BCB4B28"/>
    <w:rsid w:val="3BF7503E"/>
    <w:rsid w:val="3C477D6D"/>
    <w:rsid w:val="3C623151"/>
    <w:rsid w:val="3CEE3985"/>
    <w:rsid w:val="3E807895"/>
    <w:rsid w:val="3EE853EA"/>
    <w:rsid w:val="40213FAC"/>
    <w:rsid w:val="40597C93"/>
    <w:rsid w:val="407F0D1F"/>
    <w:rsid w:val="42271493"/>
    <w:rsid w:val="425917DF"/>
    <w:rsid w:val="42B50BEA"/>
    <w:rsid w:val="434A0471"/>
    <w:rsid w:val="43FD5AEB"/>
    <w:rsid w:val="44197845"/>
    <w:rsid w:val="441D41EF"/>
    <w:rsid w:val="442D1D69"/>
    <w:rsid w:val="44492560"/>
    <w:rsid w:val="460A70D8"/>
    <w:rsid w:val="46821C92"/>
    <w:rsid w:val="48644951"/>
    <w:rsid w:val="49191913"/>
    <w:rsid w:val="492363B4"/>
    <w:rsid w:val="4A6B72A5"/>
    <w:rsid w:val="4AE72F0D"/>
    <w:rsid w:val="4CF27F48"/>
    <w:rsid w:val="4D515C7C"/>
    <w:rsid w:val="4D517068"/>
    <w:rsid w:val="4DEE01EB"/>
    <w:rsid w:val="4E462DF8"/>
    <w:rsid w:val="4E7F7046"/>
    <w:rsid w:val="4EC201C3"/>
    <w:rsid w:val="4F713925"/>
    <w:rsid w:val="4F835AD9"/>
    <w:rsid w:val="4FB51F16"/>
    <w:rsid w:val="4FBD38DE"/>
    <w:rsid w:val="50F23CDB"/>
    <w:rsid w:val="51210F56"/>
    <w:rsid w:val="51506273"/>
    <w:rsid w:val="525513A4"/>
    <w:rsid w:val="525A1FA9"/>
    <w:rsid w:val="52A31197"/>
    <w:rsid w:val="531F686F"/>
    <w:rsid w:val="53235275"/>
    <w:rsid w:val="534526F4"/>
    <w:rsid w:val="54EB0B5C"/>
    <w:rsid w:val="55822F75"/>
    <w:rsid w:val="55951476"/>
    <w:rsid w:val="562654E2"/>
    <w:rsid w:val="570B22DC"/>
    <w:rsid w:val="570C4356"/>
    <w:rsid w:val="574D2D46"/>
    <w:rsid w:val="58104096"/>
    <w:rsid w:val="58906A64"/>
    <w:rsid w:val="59AD4E2E"/>
    <w:rsid w:val="59B24BEE"/>
    <w:rsid w:val="59DD7B7C"/>
    <w:rsid w:val="5A031FBA"/>
    <w:rsid w:val="5A9C6CB5"/>
    <w:rsid w:val="5ACF6CC1"/>
    <w:rsid w:val="5B241534"/>
    <w:rsid w:val="5C17630B"/>
    <w:rsid w:val="5DD56503"/>
    <w:rsid w:val="5E176F6C"/>
    <w:rsid w:val="5ECC1F13"/>
    <w:rsid w:val="5EE04437"/>
    <w:rsid w:val="5EE74E78"/>
    <w:rsid w:val="619A726A"/>
    <w:rsid w:val="61A96968"/>
    <w:rsid w:val="61F76301"/>
    <w:rsid w:val="62667D8C"/>
    <w:rsid w:val="642E206A"/>
    <w:rsid w:val="64730ED4"/>
    <w:rsid w:val="649F3623"/>
    <w:rsid w:val="657D778E"/>
    <w:rsid w:val="65A42ED0"/>
    <w:rsid w:val="668115BA"/>
    <w:rsid w:val="66B52D0D"/>
    <w:rsid w:val="67352362"/>
    <w:rsid w:val="67907C92"/>
    <w:rsid w:val="67D625D6"/>
    <w:rsid w:val="684450E6"/>
    <w:rsid w:val="68B22B53"/>
    <w:rsid w:val="690C1F68"/>
    <w:rsid w:val="69F81A7E"/>
    <w:rsid w:val="6B204FA6"/>
    <w:rsid w:val="6C120F5B"/>
    <w:rsid w:val="6C542837"/>
    <w:rsid w:val="6C762E7E"/>
    <w:rsid w:val="6D124381"/>
    <w:rsid w:val="6E2A477E"/>
    <w:rsid w:val="6E5A7B9C"/>
    <w:rsid w:val="6FAD5397"/>
    <w:rsid w:val="6FD166DB"/>
    <w:rsid w:val="703C22B0"/>
    <w:rsid w:val="705A3ECE"/>
    <w:rsid w:val="70A873E0"/>
    <w:rsid w:val="70BB478A"/>
    <w:rsid w:val="71D52652"/>
    <w:rsid w:val="744246C9"/>
    <w:rsid w:val="74504CE3"/>
    <w:rsid w:val="74FD79C3"/>
    <w:rsid w:val="74FE4721"/>
    <w:rsid w:val="756979AE"/>
    <w:rsid w:val="75743D46"/>
    <w:rsid w:val="76A673B6"/>
    <w:rsid w:val="76E92A08"/>
    <w:rsid w:val="773943F7"/>
    <w:rsid w:val="773C312D"/>
    <w:rsid w:val="779B69C9"/>
    <w:rsid w:val="779D2101"/>
    <w:rsid w:val="78023DEF"/>
    <w:rsid w:val="7865313C"/>
    <w:rsid w:val="78671595"/>
    <w:rsid w:val="78D032F6"/>
    <w:rsid w:val="78D74A03"/>
    <w:rsid w:val="79AD76AE"/>
    <w:rsid w:val="7A645B58"/>
    <w:rsid w:val="7ADB489D"/>
    <w:rsid w:val="7AEE52F3"/>
    <w:rsid w:val="7B62387C"/>
    <w:rsid w:val="7C096594"/>
    <w:rsid w:val="7C2F774D"/>
    <w:rsid w:val="7CAE5A9D"/>
    <w:rsid w:val="7CEB7B00"/>
    <w:rsid w:val="7DE42296"/>
    <w:rsid w:val="7DEC5124"/>
    <w:rsid w:val="7E0B59D9"/>
    <w:rsid w:val="7EAF6054"/>
    <w:rsid w:val="7F143C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8"/>
    <w:qFormat/>
    <w:uiPriority w:val="0"/>
    <w:pPr>
      <w:keepNext/>
      <w:keepLines/>
      <w:adjustRightInd w:val="0"/>
      <w:spacing w:before="340" w:after="330" w:line="578" w:lineRule="atLeast"/>
      <w:textAlignment w:val="baseline"/>
      <w:outlineLvl w:val="0"/>
    </w:pPr>
    <w:rPr>
      <w:rFonts w:ascii="宋体"/>
      <w:b/>
      <w:kern w:val="0"/>
      <w:sz w:val="44"/>
    </w:rPr>
  </w:style>
  <w:style w:type="paragraph" w:styleId="3">
    <w:name w:val="heading 2"/>
    <w:basedOn w:val="1"/>
    <w:next w:val="4"/>
    <w:qFormat/>
    <w:uiPriority w:val="0"/>
    <w:pPr>
      <w:keepNext/>
      <w:autoSpaceDE w:val="0"/>
      <w:autoSpaceDN w:val="0"/>
      <w:spacing w:before="60" w:after="60" w:line="360" w:lineRule="exact"/>
      <w:jc w:val="center"/>
      <w:textAlignment w:val="bottom"/>
      <w:outlineLvl w:val="1"/>
    </w:pPr>
    <w:rPr>
      <w:rFonts w:ascii="宋体"/>
      <w:sz w:val="28"/>
    </w:rPr>
  </w:style>
  <w:style w:type="character" w:default="1" w:styleId="31">
    <w:name w:val="Default Paragraph Font"/>
    <w:semiHidden/>
    <w:qFormat/>
    <w:uiPriority w:val="0"/>
  </w:style>
  <w:style w:type="table" w:default="1" w:styleId="2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Normal Indent"/>
    <w:basedOn w:val="1"/>
    <w:link w:val="39"/>
    <w:uiPriority w:val="0"/>
    <w:pPr>
      <w:adjustRightInd w:val="0"/>
      <w:ind w:firstLine="420"/>
      <w:textAlignment w:val="baseline"/>
    </w:pPr>
    <w:rPr>
      <w:rFonts w:ascii="宋体"/>
      <w:kern w:val="0"/>
    </w:rPr>
  </w:style>
  <w:style w:type="paragraph" w:styleId="5">
    <w:name w:val="List 3"/>
    <w:basedOn w:val="1"/>
    <w:uiPriority w:val="0"/>
    <w:pPr>
      <w:ind w:left="1260" w:hanging="420"/>
    </w:pPr>
  </w:style>
  <w:style w:type="paragraph" w:styleId="6">
    <w:name w:val="toc 7"/>
    <w:basedOn w:val="1"/>
    <w:next w:val="1"/>
    <w:semiHidden/>
    <w:uiPriority w:val="0"/>
    <w:pPr>
      <w:ind w:left="2520"/>
    </w:pPr>
  </w:style>
  <w:style w:type="paragraph" w:styleId="7">
    <w:name w:val="Document Map"/>
    <w:basedOn w:val="1"/>
    <w:semiHidden/>
    <w:qFormat/>
    <w:uiPriority w:val="0"/>
    <w:pPr>
      <w:shd w:val="clear" w:color="auto" w:fill="000080"/>
    </w:pPr>
  </w:style>
  <w:style w:type="paragraph" w:styleId="8">
    <w:name w:val="annotation text"/>
    <w:basedOn w:val="1"/>
    <w:semiHidden/>
    <w:qFormat/>
    <w:uiPriority w:val="0"/>
    <w:pPr>
      <w:jc w:val="left"/>
    </w:pPr>
  </w:style>
  <w:style w:type="paragraph" w:styleId="9">
    <w:name w:val="Body Text 3"/>
    <w:basedOn w:val="1"/>
    <w:link w:val="40"/>
    <w:qFormat/>
    <w:uiPriority w:val="0"/>
    <w:pPr>
      <w:spacing w:after="120"/>
    </w:pPr>
    <w:rPr>
      <w:sz w:val="16"/>
      <w:szCs w:val="16"/>
    </w:rPr>
  </w:style>
  <w:style w:type="paragraph" w:styleId="10">
    <w:name w:val="Body Text"/>
    <w:basedOn w:val="1"/>
    <w:qFormat/>
    <w:uiPriority w:val="0"/>
    <w:pPr>
      <w:spacing w:after="120"/>
    </w:pPr>
  </w:style>
  <w:style w:type="paragraph" w:styleId="11">
    <w:name w:val="Body Text Indent"/>
    <w:basedOn w:val="1"/>
    <w:qFormat/>
    <w:uiPriority w:val="0"/>
    <w:pPr>
      <w:autoSpaceDE w:val="0"/>
      <w:autoSpaceDN w:val="0"/>
      <w:spacing w:before="60" w:after="60"/>
      <w:ind w:firstLine="600"/>
      <w:textAlignment w:val="bottom"/>
    </w:pPr>
    <w:rPr>
      <w:color w:val="FF0000"/>
      <w:sz w:val="28"/>
    </w:rPr>
  </w:style>
  <w:style w:type="paragraph" w:styleId="12">
    <w:name w:val="toc 5"/>
    <w:basedOn w:val="1"/>
    <w:next w:val="1"/>
    <w:semiHidden/>
    <w:qFormat/>
    <w:uiPriority w:val="0"/>
    <w:pPr>
      <w:ind w:left="1680"/>
    </w:pPr>
  </w:style>
  <w:style w:type="paragraph" w:styleId="13">
    <w:name w:val="toc 3"/>
    <w:basedOn w:val="1"/>
    <w:next w:val="1"/>
    <w:semiHidden/>
    <w:qFormat/>
    <w:uiPriority w:val="0"/>
    <w:pPr>
      <w:ind w:left="840"/>
    </w:pPr>
  </w:style>
  <w:style w:type="paragraph" w:styleId="14">
    <w:name w:val="Plain Text"/>
    <w:basedOn w:val="1"/>
    <w:qFormat/>
    <w:uiPriority w:val="0"/>
    <w:rPr>
      <w:rFonts w:ascii="宋体" w:hAnsi="Courier New"/>
    </w:rPr>
  </w:style>
  <w:style w:type="paragraph" w:styleId="15">
    <w:name w:val="toc 8"/>
    <w:basedOn w:val="1"/>
    <w:next w:val="1"/>
    <w:semiHidden/>
    <w:qFormat/>
    <w:uiPriority w:val="0"/>
    <w:pPr>
      <w:ind w:left="2940"/>
    </w:pPr>
  </w:style>
  <w:style w:type="paragraph" w:styleId="16">
    <w:name w:val="Date"/>
    <w:basedOn w:val="1"/>
    <w:next w:val="1"/>
    <w:qFormat/>
    <w:uiPriority w:val="0"/>
    <w:rPr>
      <w:sz w:val="28"/>
    </w:rPr>
  </w:style>
  <w:style w:type="paragraph" w:styleId="17">
    <w:name w:val="Body Text Indent 2"/>
    <w:basedOn w:val="1"/>
    <w:qFormat/>
    <w:uiPriority w:val="0"/>
    <w:pPr>
      <w:autoSpaceDE w:val="0"/>
      <w:autoSpaceDN w:val="0"/>
      <w:spacing w:before="60" w:after="60"/>
      <w:ind w:firstLine="600"/>
      <w:textAlignment w:val="bottom"/>
    </w:pPr>
    <w:rPr>
      <w:sz w:val="28"/>
    </w:rPr>
  </w:style>
  <w:style w:type="paragraph" w:styleId="18">
    <w:name w:val="Balloon Text"/>
    <w:basedOn w:val="1"/>
    <w:semiHidden/>
    <w:qFormat/>
    <w:uiPriority w:val="0"/>
    <w:rPr>
      <w:sz w:val="18"/>
      <w:szCs w:val="18"/>
    </w:rPr>
  </w:style>
  <w:style w:type="paragraph" w:styleId="19">
    <w:name w:val="footer"/>
    <w:basedOn w:val="1"/>
    <w:qFormat/>
    <w:uiPriority w:val="0"/>
    <w:pPr>
      <w:tabs>
        <w:tab w:val="center" w:pos="4153"/>
        <w:tab w:val="right" w:pos="8306"/>
      </w:tabs>
      <w:adjustRightInd w:val="0"/>
      <w:spacing w:line="240" w:lineRule="atLeast"/>
      <w:textAlignment w:val="baseline"/>
    </w:pPr>
    <w:rPr>
      <w:rFonts w:ascii="宋体"/>
      <w:kern w:val="0"/>
      <w:sz w:val="18"/>
    </w:rPr>
  </w:style>
  <w:style w:type="paragraph" w:styleId="20">
    <w:name w:val="header"/>
    <w:basedOn w:val="1"/>
    <w:link w:val="41"/>
    <w:qFormat/>
    <w:uiPriority w:val="99"/>
    <w:pPr>
      <w:pBdr>
        <w:bottom w:val="single" w:color="auto" w:sz="6" w:space="1"/>
      </w:pBdr>
      <w:tabs>
        <w:tab w:val="center" w:pos="4153"/>
        <w:tab w:val="right" w:pos="8306"/>
      </w:tabs>
      <w:adjustRightInd w:val="0"/>
      <w:spacing w:line="240" w:lineRule="atLeast"/>
      <w:textAlignment w:val="baseline"/>
    </w:pPr>
    <w:rPr>
      <w:rFonts w:ascii="宋体"/>
      <w:kern w:val="0"/>
      <w:sz w:val="18"/>
    </w:rPr>
  </w:style>
  <w:style w:type="paragraph" w:styleId="21">
    <w:name w:val="toc 1"/>
    <w:basedOn w:val="1"/>
    <w:next w:val="1"/>
    <w:qFormat/>
    <w:uiPriority w:val="39"/>
    <w:pPr>
      <w:tabs>
        <w:tab w:val="left" w:pos="515"/>
        <w:tab w:val="left" w:pos="824"/>
        <w:tab w:val="right" w:leader="dot" w:pos="9157"/>
      </w:tabs>
      <w:spacing w:line="360" w:lineRule="auto"/>
    </w:pPr>
    <w:rPr>
      <w:rFonts w:ascii="宋体"/>
      <w:b/>
      <w:sz w:val="24"/>
    </w:rPr>
  </w:style>
  <w:style w:type="paragraph" w:styleId="22">
    <w:name w:val="toc 4"/>
    <w:basedOn w:val="1"/>
    <w:next w:val="1"/>
    <w:semiHidden/>
    <w:qFormat/>
    <w:uiPriority w:val="0"/>
    <w:pPr>
      <w:ind w:left="1260"/>
    </w:pPr>
  </w:style>
  <w:style w:type="paragraph" w:styleId="23">
    <w:name w:val="toc 6"/>
    <w:basedOn w:val="1"/>
    <w:next w:val="1"/>
    <w:semiHidden/>
    <w:qFormat/>
    <w:uiPriority w:val="0"/>
    <w:pPr>
      <w:ind w:left="2100"/>
    </w:pPr>
  </w:style>
  <w:style w:type="paragraph" w:styleId="24">
    <w:name w:val="Body Text Indent 3"/>
    <w:basedOn w:val="1"/>
    <w:qFormat/>
    <w:uiPriority w:val="0"/>
    <w:pPr>
      <w:autoSpaceDE w:val="0"/>
      <w:autoSpaceDN w:val="0"/>
      <w:adjustRightInd w:val="0"/>
      <w:spacing w:line="360" w:lineRule="auto"/>
      <w:ind w:firstLine="540"/>
      <w:jc w:val="left"/>
      <w:textAlignment w:val="bottom"/>
    </w:pPr>
    <w:rPr>
      <w:rFonts w:ascii="楷体_GB2312" w:eastAsia="楷体_GB2312"/>
      <w:kern w:val="0"/>
      <w:sz w:val="28"/>
    </w:rPr>
  </w:style>
  <w:style w:type="paragraph" w:styleId="25">
    <w:name w:val="toc 2"/>
    <w:basedOn w:val="1"/>
    <w:next w:val="1"/>
    <w:semiHidden/>
    <w:qFormat/>
    <w:uiPriority w:val="0"/>
    <w:pPr>
      <w:ind w:left="420"/>
    </w:pPr>
  </w:style>
  <w:style w:type="paragraph" w:styleId="26">
    <w:name w:val="toc 9"/>
    <w:basedOn w:val="1"/>
    <w:next w:val="1"/>
    <w:semiHidden/>
    <w:qFormat/>
    <w:uiPriority w:val="0"/>
    <w:pPr>
      <w:ind w:left="3360"/>
    </w:pPr>
  </w:style>
  <w:style w:type="paragraph" w:styleId="27">
    <w:name w:val="annotation subject"/>
    <w:basedOn w:val="8"/>
    <w:next w:val="8"/>
    <w:semiHidden/>
    <w:qFormat/>
    <w:uiPriority w:val="0"/>
    <w:rPr>
      <w:b/>
      <w:bCs/>
    </w:rPr>
  </w:style>
  <w:style w:type="paragraph" w:styleId="28">
    <w:name w:val="Body Text First Indent"/>
    <w:basedOn w:val="10"/>
    <w:qFormat/>
    <w:uiPriority w:val="0"/>
    <w:pPr>
      <w:ind w:firstLine="420"/>
    </w:p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0"/>
  </w:style>
  <w:style w:type="character" w:styleId="33">
    <w:name w:val="page number"/>
    <w:qFormat/>
    <w:uiPriority w:val="0"/>
  </w:style>
  <w:style w:type="character" w:styleId="34">
    <w:name w:val="FollowedHyperlink"/>
    <w:qFormat/>
    <w:uiPriority w:val="0"/>
    <w:rPr>
      <w:color w:val="0000CC"/>
      <w:u w:val="single"/>
    </w:rPr>
  </w:style>
  <w:style w:type="character" w:styleId="35">
    <w:name w:val="Emphasis"/>
    <w:qFormat/>
    <w:uiPriority w:val="0"/>
  </w:style>
  <w:style w:type="character" w:styleId="36">
    <w:name w:val="Hyperlink"/>
    <w:qFormat/>
    <w:uiPriority w:val="0"/>
    <w:rPr>
      <w:color w:val="0000CC"/>
      <w:u w:val="single"/>
    </w:rPr>
  </w:style>
  <w:style w:type="character" w:styleId="37">
    <w:name w:val="annotation reference"/>
    <w:semiHidden/>
    <w:qFormat/>
    <w:uiPriority w:val="0"/>
    <w:rPr>
      <w:sz w:val="21"/>
    </w:rPr>
  </w:style>
  <w:style w:type="character" w:customStyle="1" w:styleId="38">
    <w:name w:val="标题 1 Char"/>
    <w:link w:val="2"/>
    <w:qFormat/>
    <w:uiPriority w:val="0"/>
    <w:rPr>
      <w:rFonts w:ascii="宋体"/>
      <w:b/>
      <w:sz w:val="44"/>
    </w:rPr>
  </w:style>
  <w:style w:type="character" w:customStyle="1" w:styleId="39">
    <w:name w:val="正文缩进 Char"/>
    <w:link w:val="4"/>
    <w:qFormat/>
    <w:uiPriority w:val="0"/>
    <w:rPr>
      <w:rFonts w:ascii="宋体" w:eastAsia="宋体"/>
      <w:sz w:val="21"/>
      <w:lang w:val="en-US" w:eastAsia="zh-CN" w:bidi="ar-SA"/>
    </w:rPr>
  </w:style>
  <w:style w:type="character" w:customStyle="1" w:styleId="40">
    <w:name w:val="正文文本 3 Char"/>
    <w:link w:val="9"/>
    <w:qFormat/>
    <w:uiPriority w:val="0"/>
    <w:rPr>
      <w:kern w:val="2"/>
      <w:sz w:val="16"/>
      <w:szCs w:val="16"/>
    </w:rPr>
  </w:style>
  <w:style w:type="character" w:customStyle="1" w:styleId="41">
    <w:name w:val="页眉 Char"/>
    <w:link w:val="20"/>
    <w:qFormat/>
    <w:uiPriority w:val="99"/>
    <w:rPr>
      <w:rFonts w:ascii="宋体"/>
      <w:sz w:val="18"/>
    </w:rPr>
  </w:style>
  <w:style w:type="character" w:customStyle="1" w:styleId="42">
    <w:name w:val="zcjy"/>
    <w:uiPriority w:val="0"/>
    <w:rPr>
      <w:shd w:val="clear" w:color="auto" w:fill="266EB4"/>
    </w:rPr>
  </w:style>
  <w:style w:type="character" w:customStyle="1" w:styleId="43">
    <w:name w:val="ydx"/>
    <w:qFormat/>
    <w:uiPriority w:val="0"/>
    <w:rPr>
      <w:shd w:val="clear" w:color="auto" w:fill="CC6600"/>
    </w:rPr>
  </w:style>
  <w:style w:type="character" w:customStyle="1" w:styleId="44">
    <w:name w:val="批注文字 Char"/>
    <w:semiHidden/>
    <w:uiPriority w:val="0"/>
    <w:rPr>
      <w:kern w:val="2"/>
      <w:sz w:val="21"/>
    </w:rPr>
  </w:style>
  <w:style w:type="paragraph" w:customStyle="1" w:styleId="45">
    <w:name w:val="Char Char Char Char"/>
    <w:basedOn w:val="1"/>
    <w:qFormat/>
    <w:uiPriority w:val="0"/>
    <w:rPr>
      <w:szCs w:val="24"/>
    </w:rPr>
  </w:style>
  <w:style w:type="paragraph" w:customStyle="1" w:styleId="46">
    <w:name w:val=" Char"/>
    <w:basedOn w:val="1"/>
    <w:uiPriority w:val="0"/>
    <w:rPr>
      <w:rFonts w:ascii="Tahoma" w:hAnsi="Tahoma"/>
      <w:sz w:val="24"/>
    </w:rPr>
  </w:style>
  <w:style w:type="paragraph" w:customStyle="1" w:styleId="47">
    <w:name w:val="_Style 46"/>
    <w:semiHidden/>
    <w:uiPriority w:val="0"/>
    <w:rPr>
      <w:rFonts w:ascii="Times New Roman" w:hAnsi="Times New Roman" w:eastAsia="宋体" w:cs="Times New Roman"/>
      <w:kern w:val="2"/>
      <w:sz w:val="21"/>
      <w:lang w:val="en-US" w:eastAsia="zh-CN" w:bidi="ar-SA"/>
    </w:rPr>
  </w:style>
  <w:style w:type="paragraph" w:customStyle="1" w:styleId="48">
    <w:name w:val="Body Text 2"/>
    <w:basedOn w:val="1"/>
    <w:qFormat/>
    <w:uiPriority w:val="0"/>
    <w:pPr>
      <w:adjustRightInd w:val="0"/>
      <w:spacing w:before="120" w:line="312" w:lineRule="atLeast"/>
      <w:textAlignment w:val="baseline"/>
    </w:pPr>
    <w:rPr>
      <w:rFonts w:ascii="楷体_GB2312" w:eastAsia="楷体_GB2312"/>
      <w:kern w:val="0"/>
      <w:sz w:val="28"/>
    </w:rPr>
  </w:style>
  <w:style w:type="paragraph" w:customStyle="1" w:styleId="49">
    <w:name w:val="默认段落字体 Para Char"/>
    <w:basedOn w:val="1"/>
    <w:uiPriority w:val="0"/>
    <w:pPr>
      <w:spacing w:line="360" w:lineRule="auto"/>
      <w:ind w:firstLine="200" w:firstLineChars="200"/>
    </w:pPr>
    <w:rPr>
      <w:rFonts w:ascii="仿宋_GB2312" w:eastAsia="仿宋_GB2312"/>
      <w:b/>
      <w:sz w:val="28"/>
      <w:szCs w:val="28"/>
    </w:rPr>
  </w:style>
  <w:style w:type="paragraph" w:customStyle="1" w:styleId="50">
    <w:name w:val="zw"/>
    <w:basedOn w:val="1"/>
    <w:uiPriority w:val="0"/>
    <w:pPr>
      <w:adjustRightInd w:val="0"/>
      <w:spacing w:line="360" w:lineRule="auto"/>
      <w:ind w:firstLine="482"/>
      <w:textAlignment w:val="baseline"/>
    </w:pPr>
    <w:rPr>
      <w:rFonts w:ascii="Arial Narrow" w:hAnsi="Arial Narrow" w:eastAsia="楷体_GB2312"/>
      <w:kern w:val="0"/>
      <w:sz w:val="24"/>
    </w:rPr>
  </w:style>
  <w:style w:type="paragraph" w:customStyle="1" w:styleId="51">
    <w:name w:val=" Char Char Char Char Char Char Char1 Char"/>
    <w:basedOn w:val="1"/>
    <w:uiPriority w:val="0"/>
    <w:pPr>
      <w:widowControl/>
      <w:spacing w:after="160" w:line="240" w:lineRule="exact"/>
      <w:jc w:val="left"/>
    </w:pPr>
    <w:rPr>
      <w:rFonts w:ascii="Verdana" w:hAnsi="Verdana"/>
      <w:kern w:val="0"/>
      <w:sz w:val="20"/>
      <w:lang w:eastAsia="en-US"/>
    </w:rPr>
  </w:style>
  <w:style w:type="paragraph" w:styleId="52">
    <w:name w:val="List Paragraph"/>
    <w:basedOn w:val="1"/>
    <w:qFormat/>
    <w:uiPriority w:val="34"/>
    <w:pPr>
      <w:ind w:firstLine="420" w:firstLineChars="200"/>
    </w:pPr>
    <w:rPr>
      <w:rFonts w:ascii="Calibri" w:hAnsi="Calibri" w:eastAsia="宋体" w:cs="Times New Roman"/>
      <w:szCs w:val="22"/>
    </w:rPr>
  </w:style>
  <w:style w:type="paragraph" w:customStyle="1" w:styleId="53">
    <w:name w:val="标准"/>
    <w:basedOn w:val="1"/>
    <w:uiPriority w:val="0"/>
    <w:pPr>
      <w:autoSpaceDE w:val="0"/>
      <w:autoSpaceDN w:val="0"/>
      <w:adjustRightInd w:val="0"/>
      <w:spacing w:line="360" w:lineRule="auto"/>
      <w:jc w:val="center"/>
      <w:textAlignment w:val="baseline"/>
    </w:pPr>
    <w:rPr>
      <w:rFonts w:ascii="仿宋_GB2312" w:eastAsia="仿宋_GB2312"/>
      <w:sz w:val="24"/>
    </w:rPr>
  </w:style>
  <w:style w:type="paragraph" w:customStyle="1" w:styleId="54">
    <w:name w:val="默认段落字体 Para Char Char Char Char Char Char Char"/>
    <w:basedOn w:val="1"/>
    <w:uiPriority w:val="0"/>
    <w:rPr>
      <w:rFonts w:ascii="Tahoma" w:hAnsi="Tahoma" w:cs="Tahoma"/>
      <w:sz w:val="24"/>
      <w:szCs w:val="24"/>
    </w:rPr>
  </w:style>
  <w:style w:type="paragraph" w:customStyle="1" w:styleId="55">
    <w:name w:val="Date"/>
    <w:basedOn w:val="1"/>
    <w:next w:val="1"/>
    <w:qFormat/>
    <w:uiPriority w:val="0"/>
    <w:pPr>
      <w:adjustRightInd w:val="0"/>
      <w:spacing w:line="312" w:lineRule="atLeast"/>
      <w:textAlignment w:val="baseline"/>
    </w:pPr>
    <w:rPr>
      <w:rFonts w:ascii="宋体"/>
      <w:kern w:val="0"/>
      <w:sz w:val="28"/>
    </w:rPr>
  </w:style>
  <w:style w:type="paragraph" w:customStyle="1" w:styleId="56">
    <w:name w:val=" Char Char Char"/>
    <w:basedOn w:val="1"/>
    <w:uiPriority w:val="0"/>
    <w:rPr>
      <w:rFonts w:ascii="Tahoma" w:hAnsi="Tahoma"/>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jpyang\&#35780;&#20272;&#19987;&#29992;\&#25216;&#26415;&#25991;&#20214;\&#35780;&#20272;&#25253;&#21578;&#33539;&#2641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评估报告范本</Template>
  <Company> </Company>
  <Pages>13</Pages>
  <Words>1212</Words>
  <Characters>6915</Characters>
  <Lines>57</Lines>
  <Paragraphs>16</Paragraphs>
  <TotalTime>72</TotalTime>
  <ScaleCrop>false</ScaleCrop>
  <LinksUpToDate>false</LinksUpToDate>
  <CharactersWithSpaces>8111</CharactersWithSpaces>
  <Application>WPS Office_11.1.0.10695_F1E327BC-269C-435d-A152-05C5408002CA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2010-01-09T04:27:00Z</dcterms:created>
  <dc:creator>zdx</dc:creator>
  <cp:lastModifiedBy>lenovo</cp:lastModifiedBy>
  <cp:lastPrinted>2021-08-02T08:28:48Z</cp:lastPrinted>
  <dcterms:modified xsi:type="dcterms:W3CDTF">2021-08-02T09:02:44Z</dcterms:modified>
  <dc:title>		</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2052-11.1.0.10695</vt:lpwstr>
  </property>
  <property fmtid="{D5CDD505-2E9C-101B-9397-08002B2CF9AE}" pid="3" name="ICV">
    <vt:lpwstr>B037BFDB5E2F445BAAC4B6F57569D5BF</vt:lpwstr>
  </property>
</Properties>
</file>