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eastAsia="宋体" w:cs="宋体"/>
          <w:b/>
          <w:sz w:val="56"/>
          <w:szCs w:val="56"/>
        </w:rPr>
      </w:pPr>
      <w:bookmarkStart w:id="0" w:name="_Toc386011000"/>
      <w:bookmarkStart w:id="1" w:name="_Toc29413"/>
      <w:bookmarkStart w:id="2" w:name="_Toc4218"/>
      <w:bookmarkStart w:id="3" w:name="_Toc457460265"/>
      <w:bookmarkStart w:id="4" w:name="_Toc13744"/>
      <w:bookmarkStart w:id="5" w:name="_Toc4967"/>
      <w:bookmarkStart w:id="137" w:name="_GoBack"/>
      <w:bookmarkEnd w:id="137"/>
    </w:p>
    <w:p>
      <w:pPr>
        <w:jc w:val="center"/>
        <w:rPr>
          <w:rFonts w:hint="eastAsia" w:ascii="宋体" w:hAnsi="宋体" w:eastAsia="宋体" w:cs="宋体"/>
          <w:b/>
          <w:sz w:val="56"/>
          <w:szCs w:val="56"/>
        </w:rPr>
      </w:pPr>
      <w:r>
        <w:rPr>
          <w:rFonts w:hint="eastAsia" w:ascii="宋体" w:hAnsi="宋体" w:eastAsia="宋体" w:cs="宋体"/>
          <w:b/>
          <w:sz w:val="56"/>
          <w:szCs w:val="56"/>
        </w:rPr>
        <w:t>涉执房地产处置司法估价报告</w:t>
      </w: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spacing w:before="312" w:beforeLines="100"/>
        <w:jc w:val="left"/>
        <w:rPr>
          <w:rFonts w:hint="eastAsia" w:ascii="仿宋" w:hAnsi="仿宋" w:eastAsia="仿宋" w:cs="仿宋"/>
          <w:b w:val="0"/>
          <w:bCs/>
          <w:color w:val="000000"/>
          <w:sz w:val="28"/>
          <w:szCs w:val="28"/>
          <w:lang w:eastAsia="zh-CN"/>
        </w:rPr>
      </w:pPr>
      <w:r>
        <w:rPr>
          <w:rFonts w:hint="eastAsia" w:ascii="仿宋" w:hAnsi="仿宋" w:eastAsia="仿宋" w:cs="仿宋"/>
          <w:b/>
          <w:sz w:val="28"/>
          <w:szCs w:val="28"/>
        </w:rPr>
        <w:t>估价报告编号：</w:t>
      </w:r>
      <w:r>
        <w:rPr>
          <w:rFonts w:hint="eastAsia" w:ascii="仿宋" w:hAnsi="仿宋" w:eastAsia="仿宋" w:cs="仿宋"/>
          <w:b w:val="0"/>
          <w:bCs/>
          <w:sz w:val="28"/>
          <w:szCs w:val="28"/>
          <w:lang w:eastAsia="zh-CN"/>
        </w:rPr>
        <w:t>黔昊远房估字（2022）05034号</w:t>
      </w:r>
    </w:p>
    <w:p>
      <w:pPr>
        <w:spacing w:before="312" w:beforeLines="100"/>
        <w:ind w:left="1940" w:hanging="1940" w:hangingChars="690"/>
        <w:jc w:val="left"/>
        <w:rPr>
          <w:rFonts w:hint="default" w:ascii="Times New Roman" w:hAnsi="Times New Roman" w:eastAsia="仿宋" w:cs="Times New Roman"/>
          <w:b/>
          <w:sz w:val="28"/>
          <w:szCs w:val="28"/>
        </w:rPr>
      </w:pPr>
      <w:r>
        <w:rPr>
          <w:rFonts w:hint="eastAsia" w:ascii="仿宋" w:hAnsi="仿宋" w:eastAsia="仿宋" w:cs="仿宋"/>
          <w:b/>
          <w:sz w:val="28"/>
          <w:szCs w:val="28"/>
        </w:rPr>
        <w:t>估价项目名称：</w:t>
      </w:r>
      <w:r>
        <w:rPr>
          <w:rFonts w:hint="eastAsia" w:eastAsia="仿宋" w:cs="Times New Roman"/>
          <w:b w:val="0"/>
          <w:bCs/>
          <w:sz w:val="28"/>
          <w:szCs w:val="28"/>
          <w:lang w:val="en-US" w:eastAsia="zh-CN"/>
        </w:rPr>
        <w:t>范茂全</w:t>
      </w:r>
      <w:r>
        <w:rPr>
          <w:rFonts w:hint="eastAsia" w:ascii="Times New Roman" w:hAnsi="Times New Roman" w:eastAsia="仿宋" w:cs="Times New Roman"/>
          <w:b w:val="0"/>
          <w:bCs/>
          <w:sz w:val="28"/>
          <w:szCs w:val="28"/>
          <w:lang w:val="en-US" w:eastAsia="zh-CN"/>
        </w:rPr>
        <w:t>所属位于</w:t>
      </w:r>
      <w:r>
        <w:rPr>
          <w:rFonts w:hint="eastAsia" w:eastAsia="仿宋" w:cs="Times New Roman"/>
          <w:b w:val="0"/>
          <w:bCs/>
          <w:sz w:val="28"/>
          <w:szCs w:val="28"/>
          <w:lang w:eastAsia="zh-CN"/>
        </w:rPr>
        <w:t>贵州省六盘水市双水新区钟山东路南侧、水城大道西侧卡达凯斯·山水城G幢1单元17层17-03号</w:t>
      </w:r>
      <w:r>
        <w:rPr>
          <w:rFonts w:hint="eastAsia" w:ascii="Times New Roman" w:hAnsi="Times New Roman" w:eastAsia="仿宋" w:cs="Times New Roman"/>
          <w:b w:val="0"/>
          <w:bCs/>
          <w:sz w:val="28"/>
          <w:szCs w:val="28"/>
          <w:lang w:val="en-US" w:eastAsia="zh-CN"/>
        </w:rPr>
        <w:t>住宅</w:t>
      </w:r>
      <w:r>
        <w:rPr>
          <w:rFonts w:hint="default" w:ascii="Times New Roman" w:hAnsi="Times New Roman" w:eastAsia="仿宋" w:cs="Times New Roman"/>
          <w:b w:val="0"/>
          <w:bCs/>
          <w:sz w:val="28"/>
          <w:szCs w:val="28"/>
          <w:lang w:val="en-US" w:eastAsia="zh-CN"/>
        </w:rPr>
        <w:t>用房房地产市场价值评估</w:t>
      </w:r>
    </w:p>
    <w:p>
      <w:pPr>
        <w:spacing w:before="312" w:beforeLines="100"/>
        <w:jc w:val="left"/>
        <w:rPr>
          <w:rFonts w:hint="eastAsia" w:ascii="仿宋" w:hAnsi="仿宋" w:eastAsia="仿宋" w:cs="仿宋"/>
          <w:b/>
          <w:sz w:val="28"/>
          <w:szCs w:val="28"/>
          <w:lang w:val="en-US" w:eastAsia="zh-CN"/>
        </w:rPr>
      </w:pPr>
      <w:r>
        <w:rPr>
          <w:rFonts w:hint="eastAsia" w:ascii="仿宋" w:hAnsi="仿宋" w:eastAsia="仿宋" w:cs="仿宋"/>
          <w:b/>
          <w:sz w:val="28"/>
          <w:szCs w:val="28"/>
        </w:rPr>
        <w:t>估价委托</w:t>
      </w:r>
      <w:r>
        <w:rPr>
          <w:rFonts w:hint="eastAsia" w:ascii="仿宋" w:hAnsi="仿宋" w:eastAsia="仿宋" w:cs="仿宋"/>
          <w:b/>
          <w:sz w:val="28"/>
          <w:szCs w:val="28"/>
          <w:lang w:val="en-US" w:eastAsia="zh-CN"/>
        </w:rPr>
        <w:t>人</w:t>
      </w:r>
      <w:r>
        <w:rPr>
          <w:rFonts w:hint="eastAsia" w:ascii="仿宋" w:hAnsi="仿宋" w:eastAsia="仿宋" w:cs="仿宋"/>
          <w:b/>
          <w:sz w:val="28"/>
          <w:szCs w:val="28"/>
        </w:rPr>
        <w:t>：</w:t>
      </w:r>
      <w:r>
        <w:rPr>
          <w:rFonts w:hint="eastAsia" w:ascii="仿宋" w:hAnsi="仿宋" w:eastAsia="仿宋" w:cs="仿宋"/>
          <w:b w:val="0"/>
          <w:bCs/>
          <w:sz w:val="28"/>
          <w:szCs w:val="28"/>
          <w:lang w:val="en-US" w:eastAsia="zh-CN"/>
        </w:rPr>
        <w:t>六盘水市钟山区人民法院</w:t>
      </w:r>
    </w:p>
    <w:p>
      <w:pPr>
        <w:spacing w:before="312" w:beforeLines="100"/>
        <w:jc w:val="left"/>
        <w:rPr>
          <w:rFonts w:hint="eastAsia" w:ascii="仿宋" w:hAnsi="仿宋" w:eastAsia="仿宋" w:cs="仿宋"/>
          <w:b/>
          <w:sz w:val="28"/>
          <w:szCs w:val="28"/>
        </w:rPr>
      </w:pPr>
      <w:r>
        <w:rPr>
          <w:rFonts w:hint="eastAsia" w:ascii="仿宋" w:hAnsi="仿宋" w:eastAsia="仿宋" w:cs="仿宋"/>
          <w:b/>
          <w:sz w:val="28"/>
          <w:szCs w:val="28"/>
        </w:rPr>
        <w:t>房地产估价机构：</w:t>
      </w:r>
      <w:r>
        <w:rPr>
          <w:rFonts w:hint="eastAsia" w:ascii="仿宋" w:hAnsi="仿宋" w:eastAsia="仿宋" w:cs="仿宋"/>
          <w:b w:val="0"/>
          <w:bCs/>
          <w:sz w:val="28"/>
          <w:szCs w:val="28"/>
        </w:rPr>
        <w:t>贵州昊远房地产土地评估有限公司</w:t>
      </w:r>
    </w:p>
    <w:p>
      <w:pPr>
        <w:spacing w:before="312" w:beforeLines="100"/>
        <w:jc w:val="left"/>
        <w:rPr>
          <w:rFonts w:hint="eastAsia" w:ascii="仿宋" w:hAnsi="仿宋" w:eastAsia="仿宋" w:cs="仿宋"/>
          <w:b w:val="0"/>
          <w:bCs/>
          <w:sz w:val="28"/>
          <w:szCs w:val="28"/>
        </w:rPr>
      </w:pPr>
      <w:r>
        <w:rPr>
          <w:rFonts w:hint="eastAsia" w:ascii="仿宋" w:hAnsi="仿宋" w:eastAsia="仿宋" w:cs="仿宋"/>
          <w:b/>
          <w:sz w:val="28"/>
          <w:szCs w:val="28"/>
        </w:rPr>
        <w:t>注册房地产估价师：</w:t>
      </w:r>
      <w:r>
        <w:rPr>
          <w:rFonts w:hint="eastAsia" w:ascii="仿宋" w:hAnsi="仿宋" w:eastAsia="仿宋" w:cs="仿宋"/>
          <w:b w:val="0"/>
          <w:bCs/>
          <w:sz w:val="28"/>
          <w:szCs w:val="28"/>
          <w:lang w:val="en-US" w:eastAsia="zh-CN"/>
        </w:rPr>
        <w:t>覃  剑（注册号：</w:t>
      </w:r>
      <w:r>
        <w:rPr>
          <w:rFonts w:hint="eastAsia" w:eastAsia="仿宋_GB2312"/>
          <w:b w:val="0"/>
          <w:bCs/>
          <w:color w:val="000000"/>
          <w:sz w:val="28"/>
          <w:szCs w:val="28"/>
          <w:lang w:val="en-US" w:eastAsia="zh-CN"/>
        </w:rPr>
        <w:t>5220040052</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lang w:eastAsia="zh-CN"/>
        </w:rPr>
        <w:t>杨青钢</w:t>
      </w:r>
      <w:r>
        <w:rPr>
          <w:rFonts w:hint="eastAsia" w:ascii="仿宋" w:hAnsi="仿宋" w:eastAsia="仿宋" w:cs="仿宋"/>
          <w:b w:val="0"/>
          <w:bCs/>
          <w:sz w:val="28"/>
          <w:szCs w:val="28"/>
          <w:lang w:val="en-US" w:eastAsia="zh-CN"/>
        </w:rPr>
        <w:t>（注册号：</w:t>
      </w:r>
      <w:r>
        <w:rPr>
          <w:rFonts w:hint="eastAsia" w:eastAsia="仿宋_GB2312"/>
          <w:b w:val="0"/>
          <w:bCs/>
          <w:color w:val="000000"/>
          <w:sz w:val="28"/>
          <w:szCs w:val="28"/>
          <w:lang w:val="en-US" w:eastAsia="zh-CN"/>
        </w:rPr>
        <w:t>5220200026</w:t>
      </w:r>
      <w:r>
        <w:rPr>
          <w:rFonts w:hint="eastAsia" w:ascii="仿宋" w:hAnsi="仿宋" w:eastAsia="仿宋" w:cs="仿宋"/>
          <w:b w:val="0"/>
          <w:bCs/>
          <w:sz w:val="28"/>
          <w:szCs w:val="28"/>
          <w:lang w:val="en-US" w:eastAsia="zh-CN"/>
        </w:rPr>
        <w:t>）</w:t>
      </w:r>
    </w:p>
    <w:p>
      <w:pPr>
        <w:spacing w:before="312" w:beforeLines="100"/>
        <w:jc w:val="left"/>
        <w:rPr>
          <w:rFonts w:hint="eastAsia" w:eastAsia="仿宋_GB2312"/>
          <w:b/>
          <w:bCs/>
          <w:color w:val="000000"/>
          <w:sz w:val="26"/>
          <w:szCs w:val="26"/>
          <w:lang w:val="en-US" w:eastAsia="zh-CN"/>
        </w:rPr>
      </w:pPr>
      <w:r>
        <w:rPr>
          <w:rFonts w:hint="eastAsia" w:ascii="仿宋" w:hAnsi="仿宋" w:eastAsia="仿宋" w:cs="仿宋"/>
          <w:b/>
          <w:sz w:val="28"/>
          <w:szCs w:val="28"/>
        </w:rPr>
        <w:t>估价报告出具日期：</w:t>
      </w:r>
      <w:r>
        <w:rPr>
          <w:rFonts w:hint="eastAsia" w:eastAsia="仿宋_GB2312"/>
          <w:b w:val="0"/>
          <w:bCs w:val="0"/>
          <w:color w:val="000000"/>
          <w:sz w:val="28"/>
          <w:szCs w:val="28"/>
          <w:lang w:val="en-US" w:eastAsia="zh-CN"/>
        </w:rPr>
        <w:t>2022年05月11日</w:t>
      </w:r>
    </w:p>
    <w:p>
      <w:pPr>
        <w:jc w:val="center"/>
        <w:rPr>
          <w:rFonts w:hint="eastAsia" w:ascii="仿宋" w:hAnsi="仿宋" w:eastAsia="仿宋" w:cs="仿宋"/>
          <w:b/>
          <w:sz w:val="28"/>
          <w:szCs w:val="28"/>
        </w:rPr>
      </w:pPr>
    </w:p>
    <w:p>
      <w:pPr>
        <w:spacing w:line="360" w:lineRule="auto"/>
        <w:jc w:val="left"/>
        <w:rPr>
          <w:rFonts w:hint="eastAsia" w:ascii="仿宋" w:hAnsi="仿宋" w:eastAsia="仿宋" w:cs="仿宋"/>
          <w:b/>
          <w:sz w:val="28"/>
          <w:szCs w:val="28"/>
        </w:rPr>
        <w:sectPr>
          <w:headerReference r:id="rId3" w:type="default"/>
          <w:footerReference r:id="rId4" w:type="default"/>
          <w:endnotePr>
            <w:numFmt w:val="decimal"/>
          </w:endnotePr>
          <w:pgSz w:w="11906" w:h="16838"/>
          <w:pgMar w:top="1440" w:right="1080" w:bottom="1440" w:left="1080" w:header="851" w:footer="992" w:gutter="0"/>
          <w:pgNumType w:chapStyle="1"/>
          <w:cols w:space="720" w:num="1"/>
          <w:docGrid w:type="lines" w:linePitch="312" w:charSpace="0"/>
        </w:sectPr>
      </w:pPr>
    </w:p>
    <w:p>
      <w:pPr>
        <w:jc w:val="center"/>
        <w:rPr>
          <w:rFonts w:hint="eastAsia" w:ascii="仿宋" w:hAnsi="仿宋" w:eastAsia="仿宋" w:cs="仿宋"/>
          <w:b/>
          <w:sz w:val="52"/>
          <w:szCs w:val="52"/>
        </w:rPr>
      </w:pPr>
      <w:r>
        <w:rPr>
          <w:rFonts w:hint="eastAsia" w:ascii="仿宋" w:hAnsi="仿宋" w:eastAsia="仿宋" w:cs="仿宋"/>
          <w:b/>
          <w:sz w:val="52"/>
          <w:szCs w:val="52"/>
        </w:rPr>
        <w:t>致估价委托</w:t>
      </w:r>
      <w:r>
        <w:rPr>
          <w:rFonts w:hint="eastAsia" w:ascii="仿宋" w:hAnsi="仿宋" w:eastAsia="仿宋" w:cs="仿宋"/>
          <w:b/>
          <w:sz w:val="52"/>
          <w:szCs w:val="52"/>
          <w:lang w:val="en-US" w:eastAsia="zh-CN"/>
        </w:rPr>
        <w:t>人</w:t>
      </w:r>
      <w:r>
        <w:rPr>
          <w:rFonts w:hint="eastAsia" w:ascii="仿宋" w:hAnsi="仿宋" w:eastAsia="仿宋" w:cs="仿宋"/>
          <w:b/>
          <w:sz w:val="52"/>
          <w:szCs w:val="52"/>
        </w:rPr>
        <w:t>函</w:t>
      </w:r>
    </w:p>
    <w:p>
      <w:pPr>
        <w:keepNext w:val="0"/>
        <w:keepLines w:val="0"/>
        <w:pageBreakBefore w:val="0"/>
        <w:widowControl w:val="0"/>
        <w:kinsoku/>
        <w:wordWrap/>
        <w:overflowPunct/>
        <w:topLinePunct w:val="0"/>
        <w:autoSpaceDE/>
        <w:autoSpaceDN/>
        <w:bidi w:val="0"/>
        <w:adjustRightInd/>
        <w:snapToGrid/>
        <w:spacing w:before="312" w:beforeLines="100" w:line="460" w:lineRule="exact"/>
        <w:jc w:val="left"/>
        <w:textAlignment w:val="auto"/>
        <w:rPr>
          <w:rFonts w:hint="eastAsia" w:ascii="仿宋" w:hAnsi="仿宋" w:eastAsia="仿宋" w:cs="仿宋"/>
          <w:bCs/>
          <w:color w:val="0000FF"/>
          <w:sz w:val="24"/>
        </w:rPr>
      </w:pPr>
      <w:r>
        <w:rPr>
          <w:rFonts w:hint="eastAsia" w:ascii="仿宋" w:hAnsi="仿宋" w:eastAsia="仿宋" w:cs="仿宋"/>
          <w:b/>
          <w:sz w:val="28"/>
          <w:szCs w:val="28"/>
          <w:lang w:val="en-US" w:eastAsia="zh-CN"/>
        </w:rPr>
        <w:t>六盘水市钟山区人民法院</w:t>
      </w:r>
      <w:r>
        <w:rPr>
          <w:rFonts w:hint="eastAsia" w:ascii="仿宋" w:hAnsi="仿宋" w:eastAsia="仿宋" w:cs="仿宋"/>
          <w:b/>
          <w:sz w:val="28"/>
          <w:szCs w:val="28"/>
        </w:rPr>
        <w:t>：</w:t>
      </w:r>
      <w:r>
        <w:rPr>
          <w:rFonts w:hint="eastAsia" w:ascii="仿宋" w:hAnsi="仿宋" w:eastAsia="仿宋" w:cs="仿宋"/>
          <w:bCs/>
          <w:color w:val="0000FF"/>
          <w:sz w:val="24"/>
        </w:rPr>
        <w:t xml:space="preserve">  </w:t>
      </w:r>
    </w:p>
    <w:p>
      <w:pPr>
        <w:keepNext w:val="0"/>
        <w:keepLines w:val="0"/>
        <w:pageBreakBefore w:val="0"/>
        <w:widowControl w:val="0"/>
        <w:kinsoku/>
        <w:wordWrap/>
        <w:overflowPunct/>
        <w:topLinePunct w:val="0"/>
        <w:autoSpaceDE/>
        <w:autoSpaceDN/>
        <w:bidi w:val="0"/>
        <w:adjustRightInd/>
        <w:snapToGrid/>
        <w:spacing w:before="312" w:beforeLines="100" w:line="440" w:lineRule="exact"/>
        <w:ind w:right="168" w:rightChars="80" w:firstLine="520" w:firstLineChars="200"/>
        <w:jc w:val="left"/>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受贵院的委托，我公司对贵院委托的位于贵州省六盘水市双水新区钟山东路南侧、水城大道西侧卡达凯斯·山水城G幢1单元17层17-03号住宅用途房地产（权利人为：范茂全，建筑面积125.72平方米）进行估价；</w:t>
      </w:r>
      <w:r>
        <w:rPr>
          <w:rFonts w:hint="eastAsia" w:eastAsia="仿宋_GB2312"/>
          <w:sz w:val="26"/>
          <w:szCs w:val="26"/>
        </w:rPr>
        <w:t>本次估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包含房屋价值、相应分摊的土地使用权价值、不可分离的设施设备及装修价值</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color w:val="000000"/>
          <w:sz w:val="26"/>
          <w:szCs w:val="26"/>
          <w:lang w:val="en-US" w:eastAsia="zh-CN"/>
        </w:rPr>
        <w:t>；估价目的是为人民法院确定财产处置参考价提供参考依据而评估房地产市场价值；</w:t>
      </w:r>
      <w:r>
        <w:rPr>
          <w:rFonts w:hint="eastAsia" w:eastAsia="仿宋_GB2312"/>
          <w:color w:val="000000"/>
          <w:sz w:val="26"/>
          <w:szCs w:val="26"/>
        </w:rPr>
        <w:t>价值时点</w:t>
      </w:r>
      <w:r>
        <w:rPr>
          <w:rFonts w:hint="eastAsia" w:eastAsia="仿宋_GB2312"/>
          <w:color w:val="000000"/>
          <w:sz w:val="26"/>
          <w:szCs w:val="26"/>
          <w:lang w:val="en-US" w:eastAsia="zh-CN"/>
        </w:rPr>
        <w:t>为2022年04月18日。</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sz w:val="26"/>
          <w:szCs w:val="26"/>
          <w:lang w:val="en-US" w:eastAsia="zh-CN"/>
        </w:rPr>
      </w:pPr>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并结合估价经验和对影响价值因素的分析，在满足本次估价的假设和限制条件下，确定估价对象于价值时点2022年04月18日的市场价值合计为</w:t>
      </w:r>
      <w:r>
        <w:rPr>
          <w:rFonts w:hint="default" w:ascii="Times New Roman" w:hAnsi="Times New Roman" w:eastAsia="仿宋_GB2312" w:cs="Times New Roman"/>
          <w:b/>
          <w:bCs/>
          <w:color w:val="000000"/>
          <w:sz w:val="26"/>
          <w:szCs w:val="26"/>
          <w:lang w:val="en-US" w:eastAsia="zh-CN"/>
        </w:rPr>
        <w:t>人民币</w:t>
      </w:r>
      <w:r>
        <w:rPr>
          <w:rFonts w:hint="eastAsia" w:ascii="Times New Roman" w:hAnsi="Times New Roman" w:eastAsia="仿宋_GB2312" w:cs="Times New Roman"/>
          <w:b/>
          <w:bCs/>
          <w:color w:val="000000"/>
          <w:sz w:val="26"/>
          <w:szCs w:val="26"/>
          <w:lang w:val="en-US" w:eastAsia="zh-CN"/>
        </w:rPr>
        <w:fldChar w:fldCharType="begin"/>
      </w:r>
      <w:r>
        <w:rPr>
          <w:rFonts w:hint="eastAsia" w:ascii="Times New Roman" w:hAnsi="Times New Roman" w:eastAsia="仿宋_GB2312" w:cs="Times New Roman"/>
          <w:b/>
          <w:bCs/>
          <w:color w:val="000000"/>
          <w:sz w:val="26"/>
          <w:szCs w:val="26"/>
          <w:lang w:val="en-US" w:eastAsia="zh-CN"/>
        </w:rPr>
        <w:instrText xml:space="preserve"> = 532200 \* CHINESENUM2 \* MERGEFORMAT </w:instrText>
      </w:r>
      <w:r>
        <w:rPr>
          <w:rFonts w:hint="eastAsia" w:ascii="Times New Roman" w:hAnsi="Times New Roman" w:eastAsia="仿宋_GB2312" w:cs="Times New Roman"/>
          <w:b/>
          <w:bCs/>
          <w:color w:val="000000"/>
          <w:sz w:val="26"/>
          <w:szCs w:val="26"/>
          <w:lang w:val="en-US" w:eastAsia="zh-CN"/>
        </w:rPr>
        <w:fldChar w:fldCharType="separate"/>
      </w:r>
      <w:r>
        <w:rPr>
          <w:rFonts w:hint="default" w:ascii="Times New Roman" w:hAnsi="Times New Roman" w:eastAsia="仿宋_GB2312" w:cs="Times New Roman"/>
          <w:b/>
          <w:bCs/>
          <w:color w:val="000000"/>
          <w:sz w:val="26"/>
          <w:szCs w:val="26"/>
          <w:lang w:val="en-US" w:eastAsia="zh-CN"/>
        </w:rPr>
        <w:t>伍拾叁万贰仟贰佰</w:t>
      </w:r>
      <w:r>
        <w:rPr>
          <w:rFonts w:hint="eastAsia" w:ascii="Times New Roman" w:hAnsi="Times New Roman" w:eastAsia="仿宋_GB2312" w:cs="Times New Roman"/>
          <w:b/>
          <w:bCs/>
          <w:color w:val="000000"/>
          <w:sz w:val="26"/>
          <w:szCs w:val="26"/>
          <w:lang w:val="en-US" w:eastAsia="zh-CN"/>
        </w:rPr>
        <w:fldChar w:fldCharType="end"/>
      </w:r>
      <w:r>
        <w:rPr>
          <w:rFonts w:hint="default" w:ascii="Times New Roman" w:hAnsi="Times New Roman" w:eastAsia="仿宋_GB2312" w:cs="Times New Roman"/>
          <w:b/>
          <w:bCs/>
          <w:color w:val="000000"/>
          <w:sz w:val="26"/>
          <w:szCs w:val="26"/>
          <w:lang w:val="en-US" w:eastAsia="zh-CN"/>
        </w:rPr>
        <w:t>元整</w:t>
      </w:r>
      <w:r>
        <w:rPr>
          <w:rFonts w:hint="eastAsia" w:ascii="Times New Roman" w:hAnsi="Times New Roman" w:eastAsia="仿宋_GB2312" w:cs="Times New Roman"/>
          <w:b/>
          <w:bCs/>
          <w:color w:val="000000"/>
          <w:sz w:val="26"/>
          <w:szCs w:val="26"/>
          <w:lang w:val="en-US" w:eastAsia="zh-CN"/>
        </w:rPr>
        <w:t>（¥</w:t>
      </w:r>
      <w:r>
        <w:rPr>
          <w:rFonts w:hint="eastAsia" w:eastAsia="仿宋_GB2312" w:cs="Times New Roman"/>
          <w:b/>
          <w:bCs/>
          <w:color w:val="000000"/>
          <w:sz w:val="26"/>
          <w:szCs w:val="26"/>
          <w:lang w:val="en-US" w:eastAsia="zh-CN"/>
        </w:rPr>
        <w:t>53.22</w:t>
      </w:r>
      <w:r>
        <w:rPr>
          <w:rFonts w:hint="eastAsia" w:ascii="Times New Roman" w:hAnsi="Times New Roman" w:eastAsia="仿宋_GB2312" w:cs="Times New Roman"/>
          <w:b/>
          <w:bCs/>
          <w:color w:val="000000"/>
          <w:sz w:val="26"/>
          <w:szCs w:val="26"/>
          <w:lang w:val="en-US" w:eastAsia="zh-CN"/>
        </w:rPr>
        <w:t>万元）</w:t>
      </w:r>
      <w:r>
        <w:rPr>
          <w:rFonts w:hint="eastAsia" w:eastAsia="仿宋_GB2312"/>
          <w:color w:val="000000"/>
          <w:sz w:val="26"/>
          <w:szCs w:val="26"/>
          <w:lang w:val="en-US" w:eastAsia="zh-CN"/>
        </w:rPr>
        <w:t>。详见下表：</w:t>
      </w:r>
    </w:p>
    <w:tbl>
      <w:tblPr>
        <w:tblStyle w:val="2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4"/>
        <w:gridCol w:w="1163"/>
        <w:gridCol w:w="1650"/>
        <w:gridCol w:w="1995"/>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9620" w:type="dxa"/>
            <w:gridSpan w:val="5"/>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680" w:lineRule="exact"/>
              <w:jc w:val="center"/>
              <w:textAlignment w:val="auto"/>
              <w:outlineLvl w:val="9"/>
              <w:rPr>
                <w:rFonts w:hint="eastAsia" w:ascii="仿宋" w:hAnsi="仿宋" w:eastAsia="仿宋" w:cs="仿宋"/>
                <w:color w:val="000000"/>
                <w:sz w:val="28"/>
                <w:szCs w:val="28"/>
                <w:vertAlign w:val="baseline"/>
                <w:lang w:val="en-US" w:eastAsia="zh-CN"/>
              </w:rPr>
            </w:pPr>
            <w:r>
              <w:rPr>
                <w:rFonts w:hint="eastAsia" w:ascii="仿宋" w:hAnsi="仿宋" w:eastAsia="仿宋" w:cs="仿宋"/>
                <w:b/>
                <w:i w:val="0"/>
                <w:color w:val="000000"/>
                <w:kern w:val="0"/>
                <w:sz w:val="28"/>
                <w:szCs w:val="28"/>
                <w:u w:val="none"/>
                <w:lang w:val="en-US" w:eastAsia="zh-CN" w:bidi="ar"/>
              </w:rPr>
              <w:t>房地产估价结果汇总表</w:t>
            </w:r>
          </w:p>
        </w:tc>
      </w:tr>
      <w:tr>
        <w:trPr>
          <w:trHeight w:val="505" w:hRule="atLeast"/>
          <w:jc w:val="center"/>
        </w:trPr>
        <w:tc>
          <w:tcPr>
            <w:tcW w:w="9620" w:type="dxa"/>
            <w:gridSpan w:val="5"/>
            <w:tcBorders>
              <w:top w:val="nil"/>
              <w:left w:val="nil"/>
              <w:bottom w:val="single"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680" w:lineRule="exact"/>
              <w:jc w:val="center"/>
              <w:textAlignment w:val="auto"/>
              <w:outlineLvl w:val="9"/>
              <w:rPr>
                <w:rFonts w:hint="eastAsia" w:ascii="仿宋" w:hAnsi="仿宋" w:eastAsia="仿宋" w:cs="仿宋"/>
                <w:color w:val="000000"/>
                <w:sz w:val="28"/>
                <w:szCs w:val="28"/>
                <w:vertAlign w:val="baseline"/>
                <w:lang w:val="en-US" w:eastAsia="zh-CN"/>
              </w:rPr>
            </w:pPr>
            <w:r>
              <w:rPr>
                <w:rFonts w:hint="eastAsia" w:ascii="仿宋" w:hAnsi="仿宋" w:eastAsia="仿宋" w:cs="仿宋"/>
                <w:b/>
                <w:bCs/>
                <w:color w:val="000000"/>
                <w:kern w:val="0"/>
                <w:sz w:val="24"/>
                <w:lang w:val="en-US" w:eastAsia="zh-CN"/>
              </w:rPr>
              <w:t xml:space="preserve">                                                         </w:t>
            </w:r>
            <w:r>
              <w:rPr>
                <w:rFonts w:hint="eastAsia" w:ascii="仿宋" w:hAnsi="仿宋" w:eastAsia="仿宋" w:cs="仿宋"/>
                <w:b/>
                <w:bCs/>
                <w:color w:val="000000"/>
                <w:kern w:val="0"/>
                <w:sz w:val="24"/>
              </w:rPr>
              <w:t>币种：人民币</w:t>
            </w:r>
            <w:r>
              <w:rPr>
                <w:rFonts w:hint="eastAsia" w:ascii="仿宋" w:hAnsi="仿宋" w:eastAsia="仿宋" w:cs="仿宋"/>
                <w:b/>
                <w:bCs/>
                <w:color w:val="000000"/>
                <w:kern w:val="0"/>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jc w:val="center"/>
        </w:trPr>
        <w:tc>
          <w:tcPr>
            <w:tcW w:w="5797" w:type="dxa"/>
            <w:gridSpan w:val="3"/>
            <w:tcBorders>
              <w:top w:val="single" w:color="auto" w:sz="4" w:space="0"/>
            </w:tcBorders>
            <w:noWrap w:val="0"/>
            <w:vAlign w:val="top"/>
            <mc:AlternateContent>
              <mc:Choice Requires="wpsCustomData">
                <wpsCustomData:diagonals>
                  <wpsCustomData:diagonal from="30000" to="10000">
                    <wpsCustomData:border w:val="single" w:color="auto" w:sz="4" w:space="0"/>
                  </wpsCustomData:diagonal>
                </wpsCustomData:diagonals>
              </mc:Choice>
            </mc:AlternateContent>
          </w:tcPr>
          <w:p>
            <w:pPr>
              <w:widowControl/>
              <w:jc w:val="center"/>
              <w:rPr>
                <w:rFonts w:hint="eastAsia" w:ascii="仿宋" w:hAnsi="仿宋" w:eastAsia="仿宋" w:cs="仿宋"/>
                <w:b/>
                <w:bCs/>
                <w:color w:val="000000"/>
                <w:kern w:val="0"/>
                <w:szCs w:val="21"/>
                <w:lang w:val="en-US" w:eastAsia="zh-CN"/>
              </w:rPr>
            </w:pPr>
          </w:p>
          <w:p>
            <w:pPr>
              <w:widowControl/>
              <w:jc w:val="both"/>
              <mc:AlternateContent>
                <mc:Choice Requires="wpsCustomData">
                  <wpsCustomData:diagonalParaType/>
                </mc:Choice>
              </mc:AlternateContent>
              <w:rPr>
                <w:rFonts w:hint="eastAsia"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估价对象及结果</w:t>
            </w:r>
          </w:p>
          <w:p>
            <w:pPr>
              <w:widowControl/>
              <w:jc w:val="center"/>
              <w:rPr>
                <w:rFonts w:hint="eastAsia"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 xml:space="preserve">         估价方法及结果</w:t>
            </w:r>
          </w:p>
          <w:p>
            <w:pPr>
              <w:widowControl/>
              <w:jc w:val="center"/>
              <w:rPr>
                <w:rFonts w:hint="eastAsia" w:ascii="仿宋" w:hAnsi="仿宋" w:eastAsia="仿宋" w:cs="仿宋"/>
                <w:b/>
                <w:bCs/>
                <w:color w:val="000000"/>
                <w:kern w:val="0"/>
                <w:szCs w:val="21"/>
                <w:lang w:val="en-US" w:eastAsia="zh-CN"/>
              </w:rPr>
            </w:pPr>
          </w:p>
          <w:p>
            <w:pPr>
              <w:widowControl/>
              <w:jc w:val="center"/>
              <w:rPr>
                <w:rFonts w:hint="eastAsia" w:ascii="仿宋" w:hAnsi="仿宋" w:eastAsia="仿宋" w:cs="仿宋"/>
                <w:b/>
                <w:bCs/>
                <w:color w:val="000000"/>
                <w:kern w:val="0"/>
                <w:szCs w:val="21"/>
                <w:lang w:val="en-US" w:eastAsia="zh-CN"/>
              </w:rPr>
            </w:pPr>
          </w:p>
        </w:tc>
        <w:tc>
          <w:tcPr>
            <w:tcW w:w="1995" w:type="dxa"/>
            <w:tcBorders>
              <w:top w:val="single" w:color="auto" w:sz="4" w:space="0"/>
            </w:tcBorders>
            <w:noWrap w:val="0"/>
            <w:vAlign w:val="center"/>
          </w:tcPr>
          <w:p>
            <w:pPr>
              <w:widowControl/>
              <w:jc w:val="center"/>
              <w:rPr>
                <w:rFonts w:hint="default"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比较法</w:t>
            </w:r>
          </w:p>
        </w:tc>
        <w:tc>
          <w:tcPr>
            <w:tcW w:w="1828" w:type="dxa"/>
            <w:tcBorders>
              <w:top w:val="single" w:color="auto" w:sz="4" w:space="0"/>
            </w:tcBorders>
            <w:noWrap w:val="0"/>
            <w:vAlign w:val="center"/>
          </w:tcPr>
          <w:p>
            <w:pPr>
              <w:widowControl/>
              <w:jc w:val="center"/>
              <w:rPr>
                <w:rFonts w:hint="eastAsia"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估价结果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2984"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eastAsia" w:eastAsia="楷体" w:cs="Times New Roman"/>
                <w:b/>
                <w:bCs/>
                <w:color w:val="000000"/>
                <w:kern w:val="0"/>
                <w:sz w:val="21"/>
                <w:szCs w:val="21"/>
                <w:lang w:eastAsia="zh-CN" w:bidi="ar"/>
              </w:rPr>
              <w:t>贵州省六盘水市双水新区钟山东路南侧、水城大道西侧卡达凯斯·山水城G幢1单元17层17-03号</w:t>
            </w:r>
          </w:p>
        </w:tc>
        <w:tc>
          <w:tcPr>
            <w:tcW w:w="1163"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建筑面积</w:t>
            </w:r>
            <w:r>
              <w:rPr>
                <w:rFonts w:hint="eastAsia" w:cs="Times New Roman"/>
                <w:b/>
                <w:bCs/>
                <w:color w:val="000000"/>
                <w:sz w:val="21"/>
                <w:szCs w:val="21"/>
                <w:lang w:val="en-US" w:eastAsia="zh-CN"/>
              </w:rPr>
              <w:t>125.72</w:t>
            </w:r>
            <w:r>
              <w:rPr>
                <w:rFonts w:hint="default" w:ascii="Times New Roman" w:hAnsi="Times New Roman" w:eastAsia="仿宋" w:cs="Times New Roman"/>
                <w:b/>
                <w:bCs/>
                <w:color w:val="000000"/>
                <w:kern w:val="0"/>
                <w:sz w:val="21"/>
                <w:szCs w:val="21"/>
                <w:lang w:val="en-US" w:eastAsia="zh-CN"/>
              </w:rPr>
              <w:t>㎡</w:t>
            </w: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总价（万元）</w:t>
            </w:r>
          </w:p>
        </w:tc>
        <w:tc>
          <w:tcPr>
            <w:tcW w:w="199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53.22</w:t>
            </w:r>
          </w:p>
        </w:tc>
        <w:tc>
          <w:tcPr>
            <w:tcW w:w="18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0" w:firstLineChars="0"/>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53.22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2984" w:type="dxa"/>
            <w:vMerge w:val="continue"/>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p>
        </w:tc>
        <w:tc>
          <w:tcPr>
            <w:tcW w:w="1163" w:type="dxa"/>
            <w:vMerge w:val="continue"/>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单价（元/㎡）</w:t>
            </w:r>
          </w:p>
        </w:tc>
        <w:tc>
          <w:tcPr>
            <w:tcW w:w="199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4233</w:t>
            </w:r>
          </w:p>
        </w:tc>
        <w:tc>
          <w:tcPr>
            <w:tcW w:w="18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0" w:firstLineChars="0"/>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4233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2984"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汇总评估价值</w:t>
            </w:r>
          </w:p>
        </w:tc>
        <w:tc>
          <w:tcPr>
            <w:tcW w:w="1163"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eastAsia" w:eastAsia="仿宋" w:cs="Times New Roman"/>
                <w:b/>
                <w:bCs/>
                <w:color w:val="000000"/>
                <w:kern w:val="0"/>
                <w:sz w:val="21"/>
                <w:szCs w:val="21"/>
                <w:lang w:val="en-US" w:eastAsia="zh-CN"/>
              </w:rPr>
              <w:t>125.72</w:t>
            </w:r>
            <w:r>
              <w:rPr>
                <w:rFonts w:hint="default" w:ascii="Times New Roman" w:hAnsi="Times New Roman" w:eastAsia="仿宋" w:cs="Times New Roman"/>
                <w:b/>
                <w:bCs/>
                <w:color w:val="000000"/>
                <w:kern w:val="0"/>
                <w:sz w:val="21"/>
                <w:szCs w:val="21"/>
                <w:lang w:val="en-US" w:eastAsia="zh-CN"/>
              </w:rPr>
              <w:t>㎡</w:t>
            </w: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总值(万元）</w:t>
            </w:r>
          </w:p>
        </w:tc>
        <w:tc>
          <w:tcPr>
            <w:tcW w:w="3823" w:type="dxa"/>
            <w:gridSpan w:val="2"/>
            <w:noWrap w:val="0"/>
            <w:vAlign w:val="center"/>
          </w:tcPr>
          <w:p>
            <w:pPr>
              <w:keepNext w:val="0"/>
              <w:keepLines w:val="0"/>
              <w:widowControl/>
              <w:suppressLineNumbers w:val="0"/>
              <w:jc w:val="center"/>
              <w:textAlignment w:val="center"/>
              <w:rPr>
                <w:rFonts w:hint="default" w:ascii="Times New Roman" w:hAnsi="Times New Roman" w:eastAsia="仿宋" w:cs="Times New Roman"/>
                <w:b/>
                <w:bCs/>
                <w:color w:val="000000"/>
                <w:kern w:val="0"/>
                <w:sz w:val="21"/>
                <w:szCs w:val="21"/>
                <w:lang w:val="en-US" w:eastAsia="zh-CN"/>
              </w:rPr>
            </w:pPr>
            <w:r>
              <w:rPr>
                <w:rFonts w:hint="eastAsia" w:eastAsia="仿宋" w:cs="Times New Roman"/>
                <w:b/>
                <w:bCs/>
                <w:color w:val="000000"/>
                <w:kern w:val="0"/>
                <w:sz w:val="21"/>
                <w:szCs w:val="21"/>
                <w:lang w:val="en-US" w:eastAsia="zh-CN"/>
              </w:rPr>
              <w:t>53.22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2984" w:type="dxa"/>
            <w:vMerge w:val="continue"/>
            <w:noWrap w:val="0"/>
            <w:vAlign w:val="top"/>
          </w:tcPr>
          <w:p>
            <w:pPr>
              <w:widowControl/>
              <w:jc w:val="center"/>
              <w:rPr>
                <w:rFonts w:hint="default" w:ascii="Times New Roman" w:hAnsi="Times New Roman" w:eastAsia="仿宋" w:cs="Times New Roman"/>
                <w:b/>
                <w:bCs/>
                <w:color w:val="000000"/>
                <w:kern w:val="0"/>
                <w:sz w:val="21"/>
                <w:szCs w:val="21"/>
                <w:lang w:val="en-US" w:eastAsia="zh-CN"/>
              </w:rPr>
            </w:pPr>
          </w:p>
        </w:tc>
        <w:tc>
          <w:tcPr>
            <w:tcW w:w="1163" w:type="dxa"/>
            <w:vMerge w:val="continue"/>
            <w:noWrap w:val="0"/>
            <w:vAlign w:val="top"/>
          </w:tcPr>
          <w:p>
            <w:pPr>
              <w:widowControl/>
              <w:jc w:val="center"/>
              <w:rPr>
                <w:rFonts w:hint="default" w:ascii="Times New Roman" w:hAnsi="Times New Roman" w:eastAsia="仿宋" w:cs="Times New Roman"/>
                <w:b/>
                <w:bCs/>
                <w:color w:val="000000"/>
                <w:kern w:val="0"/>
                <w:sz w:val="21"/>
                <w:szCs w:val="21"/>
                <w:lang w:val="en-US" w:eastAsia="zh-CN"/>
              </w:rPr>
            </w:pP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大写金额</w:t>
            </w:r>
          </w:p>
        </w:tc>
        <w:tc>
          <w:tcPr>
            <w:tcW w:w="3823" w:type="dxa"/>
            <w:gridSpan w:val="2"/>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人民币</w:t>
            </w:r>
            <w:r>
              <w:rPr>
                <w:rFonts w:hint="eastAsia" w:ascii="Times New Roman" w:hAnsi="Times New Roman" w:eastAsia="仿宋" w:cs="Times New Roman"/>
                <w:b/>
                <w:bCs/>
                <w:color w:val="000000"/>
                <w:kern w:val="0"/>
                <w:sz w:val="21"/>
                <w:szCs w:val="21"/>
                <w:lang w:val="en-US" w:eastAsia="zh-CN"/>
              </w:rPr>
              <w:fldChar w:fldCharType="begin"/>
            </w:r>
            <w:r>
              <w:rPr>
                <w:rFonts w:hint="eastAsia" w:ascii="Times New Roman" w:hAnsi="Times New Roman" w:eastAsia="仿宋" w:cs="Times New Roman"/>
                <w:b/>
                <w:bCs/>
                <w:color w:val="000000"/>
                <w:kern w:val="0"/>
                <w:sz w:val="21"/>
                <w:szCs w:val="21"/>
                <w:lang w:val="en-US" w:eastAsia="zh-CN"/>
              </w:rPr>
              <w:instrText xml:space="preserve"> = 532200 \* CHINESENUM2 \* MERGEFORMAT </w:instrText>
            </w:r>
            <w:r>
              <w:rPr>
                <w:rFonts w:hint="eastAsia" w:ascii="Times New Roman" w:hAnsi="Times New Roman" w:eastAsia="仿宋" w:cs="Times New Roman"/>
                <w:b/>
                <w:bCs/>
                <w:color w:val="000000"/>
                <w:kern w:val="0"/>
                <w:sz w:val="21"/>
                <w:szCs w:val="21"/>
                <w:lang w:val="en-US" w:eastAsia="zh-CN"/>
              </w:rPr>
              <w:fldChar w:fldCharType="separate"/>
            </w:r>
            <w:r>
              <w:rPr>
                <w:rFonts w:hint="default" w:ascii="Times New Roman" w:hAnsi="Times New Roman" w:eastAsia="仿宋" w:cs="Times New Roman"/>
                <w:b/>
                <w:bCs/>
                <w:color w:val="000000"/>
                <w:kern w:val="0"/>
                <w:sz w:val="21"/>
                <w:szCs w:val="21"/>
                <w:lang w:val="en-US" w:eastAsia="zh-CN"/>
              </w:rPr>
              <w:t>伍拾叁万贰仟贰佰</w:t>
            </w:r>
            <w:r>
              <w:rPr>
                <w:rFonts w:hint="eastAsia" w:ascii="Times New Roman" w:hAnsi="Times New Roman" w:eastAsia="仿宋" w:cs="Times New Roman"/>
                <w:b/>
                <w:bCs/>
                <w:color w:val="000000"/>
                <w:kern w:val="0"/>
                <w:sz w:val="21"/>
                <w:szCs w:val="21"/>
                <w:lang w:val="en-US" w:eastAsia="zh-CN"/>
              </w:rPr>
              <w:fldChar w:fldCharType="end"/>
            </w:r>
            <w:r>
              <w:rPr>
                <w:rFonts w:hint="default" w:ascii="Times New Roman" w:hAnsi="Times New Roman" w:eastAsia="仿宋" w:cs="Times New Roman"/>
                <w:b/>
                <w:bCs/>
                <w:color w:val="000000"/>
                <w:kern w:val="0"/>
                <w:sz w:val="21"/>
                <w:szCs w:val="21"/>
                <w:lang w:val="en-US" w:eastAsia="zh-CN"/>
              </w:rPr>
              <w:t>元整</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1、因财产拍卖（或者变卖）日期与价值时点不一致，估价对象状况或者房地产市场状况的变化会对估价结果产生影响；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default" w:ascii="仿宋" w:hAnsi="仿宋" w:eastAsia="仿宋" w:cs="仿宋"/>
          <w:b/>
          <w:bCs w:val="0"/>
          <w:sz w:val="24"/>
          <w:szCs w:val="24"/>
          <w:lang w:val="en-US" w:eastAsia="zh-CN"/>
        </w:rPr>
        <w:t>2</w:t>
      </w:r>
      <w:r>
        <w:rPr>
          <w:rFonts w:hint="eastAsia" w:ascii="仿宋" w:hAnsi="仿宋" w:eastAsia="仿宋" w:cs="仿宋"/>
          <w:b/>
          <w:bCs w:val="0"/>
          <w:sz w:val="24"/>
          <w:szCs w:val="24"/>
          <w:lang w:val="en-US" w:eastAsia="zh-CN"/>
        </w:rPr>
        <w:t>、在估价结果有效期内，估价对象状况或者房地产市场发生明显变化的，估价结果应当进行相应调整；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3、委托人或者估价报告使用人应当按照法律规定和估价报告载明的使用范围使用估价报告，违反该规定使用估价报告的，房地产估价机构和注册房地产估价师依法不承担责任；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4、估价结果不等于估价对象处置可实现的成交价，不应被认为是估价对象处置成交价的保证；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5、本次估价估价对象交易税费，按照法律法规规定，转让方和受让方各自负担；</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6、本机构提醒报告使用方在使用本估价结论时，应认真阅读本报告书全文，提请关注本报告各种假设和限制条件等对该估价结果的影响。</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贵州昊远房地产土地评估有限公司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 xml:space="preserve">法定代表人：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sz w:val="28"/>
          <w:szCs w:val="28"/>
          <w:lang w:eastAsia="zh-CN"/>
        </w:rPr>
      </w:pPr>
      <w:r>
        <w:rPr>
          <w:rFonts w:hint="eastAsia" w:ascii="仿宋" w:hAnsi="仿宋" w:eastAsia="仿宋" w:cs="仿宋"/>
          <w:b/>
          <w:bCs/>
          <w:sz w:val="28"/>
          <w:szCs w:val="28"/>
          <w:lang w:val="en-US" w:eastAsia="zh-CN"/>
        </w:rPr>
        <w:t xml:space="preserve">                      二〇二二年五月十一日</w:t>
      </w:r>
    </w:p>
    <w:p>
      <w:pPr>
        <w:jc w:val="center"/>
        <w:rPr>
          <w:rFonts w:hint="eastAsia" w:ascii="仿宋" w:hAnsi="仿宋" w:eastAsia="仿宋" w:cs="仿宋"/>
          <w:b/>
          <w:sz w:val="28"/>
          <w:szCs w:val="28"/>
        </w:rPr>
        <w:sectPr>
          <w:endnotePr>
            <w:numFmt w:val="decimal"/>
          </w:endnotePr>
          <w:pgSz w:w="11906" w:h="16838"/>
          <w:pgMar w:top="1440" w:right="1080" w:bottom="1440" w:left="1080" w:header="851" w:footer="992" w:gutter="0"/>
          <w:pgNumType w:chapStyle="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 w:hAnsi="仿宋" w:eastAsia="仿宋" w:cs="仿宋"/>
          <w:b/>
          <w:bCs/>
          <w:kern w:val="0"/>
          <w:sz w:val="52"/>
          <w:szCs w:val="52"/>
        </w:rPr>
      </w:pPr>
      <w:r>
        <w:rPr>
          <w:rFonts w:hint="eastAsia" w:ascii="仿宋" w:hAnsi="仿宋" w:eastAsia="仿宋" w:cs="仿宋"/>
          <w:b/>
          <w:bCs/>
          <w:kern w:val="0"/>
          <w:sz w:val="52"/>
          <w:szCs w:val="52"/>
        </w:rPr>
        <w:t>目   录</w:t>
      </w:r>
    </w:p>
    <w:p>
      <w:pPr>
        <w:pStyle w:val="16"/>
        <w:tabs>
          <w:tab w:val="right" w:leader="dot" w:pos="9746"/>
        </w:tabs>
      </w:pPr>
      <w:bookmarkStart w:id="6" w:name="_Toc286074107"/>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szCs w:val="24"/>
        </w:rPr>
        <w:fldChar w:fldCharType="begin"/>
      </w:r>
      <w:r>
        <w:rPr>
          <w:rFonts w:hint="eastAsia" w:ascii="仿宋" w:hAnsi="仿宋" w:eastAsia="仿宋" w:cs="仿宋"/>
          <w:szCs w:val="24"/>
        </w:rPr>
        <w:instrText xml:space="preserve"> HYPERLINK \l _Toc29176 </w:instrText>
      </w:r>
      <w:r>
        <w:rPr>
          <w:rFonts w:hint="eastAsia" w:ascii="仿宋" w:hAnsi="仿宋" w:eastAsia="仿宋" w:cs="仿宋"/>
          <w:szCs w:val="24"/>
        </w:rPr>
        <w:fldChar w:fldCharType="separate"/>
      </w:r>
      <w:r>
        <w:rPr>
          <w:rFonts w:hint="eastAsia" w:ascii="仿宋" w:hAnsi="仿宋" w:eastAsia="仿宋" w:cs="仿宋"/>
          <w:bCs/>
          <w:kern w:val="0"/>
          <w:szCs w:val="52"/>
        </w:rPr>
        <w:t>估价师声明</w:t>
      </w:r>
      <w:r>
        <w:tab/>
      </w:r>
      <w:r>
        <w:fldChar w:fldCharType="begin"/>
      </w:r>
      <w:r>
        <w:instrText xml:space="preserve"> PAGEREF _Toc29176 \h </w:instrText>
      </w:r>
      <w:r>
        <w:fldChar w:fldCharType="separate"/>
      </w:r>
      <w:r>
        <w:t>2</w:t>
      </w:r>
      <w:r>
        <w:fldChar w:fldCharType="end"/>
      </w:r>
      <w:r>
        <w:rPr>
          <w:rFonts w:hint="eastAsia" w:ascii="仿宋" w:hAnsi="仿宋" w:eastAsia="仿宋" w:cs="仿宋"/>
          <w:szCs w:val="24"/>
        </w:rPr>
        <w:fldChar w:fldCharType="end"/>
      </w:r>
    </w:p>
    <w:p>
      <w:pPr>
        <w:pStyle w:val="16"/>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_Toc24961 </w:instrText>
      </w:r>
      <w:r>
        <w:rPr>
          <w:rFonts w:hint="eastAsia" w:ascii="仿宋" w:hAnsi="仿宋" w:eastAsia="仿宋" w:cs="仿宋"/>
          <w:szCs w:val="24"/>
        </w:rPr>
        <w:fldChar w:fldCharType="separate"/>
      </w:r>
      <w:r>
        <w:rPr>
          <w:rFonts w:hint="eastAsia" w:ascii="仿宋" w:hAnsi="仿宋" w:eastAsia="仿宋" w:cs="仿宋"/>
          <w:bCs/>
          <w:kern w:val="0"/>
          <w:szCs w:val="52"/>
        </w:rPr>
        <w:t>估价的假设和限制条件</w:t>
      </w:r>
      <w:r>
        <w:tab/>
      </w:r>
      <w:r>
        <w:fldChar w:fldCharType="begin"/>
      </w:r>
      <w:r>
        <w:instrText xml:space="preserve"> PAGEREF _Toc24961 \h </w:instrText>
      </w:r>
      <w:r>
        <w:fldChar w:fldCharType="separate"/>
      </w:r>
      <w:r>
        <w:t>3</w:t>
      </w:r>
      <w:r>
        <w:fldChar w:fldCharType="end"/>
      </w:r>
      <w:r>
        <w:rPr>
          <w:rFonts w:hint="eastAsia" w:ascii="仿宋" w:hAnsi="仿宋" w:eastAsia="仿宋" w:cs="仿宋"/>
          <w:szCs w:val="24"/>
        </w:rPr>
        <w:fldChar w:fldCharType="end"/>
      </w:r>
    </w:p>
    <w:p>
      <w:pPr>
        <w:pStyle w:val="16"/>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_Toc253 </w:instrText>
      </w:r>
      <w:r>
        <w:rPr>
          <w:rFonts w:hint="eastAsia" w:ascii="仿宋" w:hAnsi="仿宋" w:eastAsia="仿宋" w:cs="仿宋"/>
          <w:szCs w:val="24"/>
        </w:rPr>
        <w:fldChar w:fldCharType="separate"/>
      </w:r>
      <w:r>
        <w:rPr>
          <w:rFonts w:hint="eastAsia" w:ascii="仿宋" w:hAnsi="仿宋" w:eastAsia="仿宋" w:cs="仿宋"/>
          <w:bCs/>
          <w:kern w:val="0"/>
          <w:szCs w:val="52"/>
        </w:rPr>
        <w:t>估价结果报告</w:t>
      </w:r>
      <w:r>
        <w:tab/>
      </w:r>
      <w:r>
        <w:fldChar w:fldCharType="begin"/>
      </w:r>
      <w:r>
        <w:instrText xml:space="preserve"> PAGEREF _Toc253 \h </w:instrText>
      </w:r>
      <w:r>
        <w:fldChar w:fldCharType="separate"/>
      </w:r>
      <w:r>
        <w:t>5</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_Toc20403 </w:instrText>
      </w:r>
      <w:r>
        <w:rPr>
          <w:rFonts w:hint="eastAsia" w:ascii="仿宋" w:hAnsi="仿宋" w:eastAsia="仿宋" w:cs="仿宋"/>
          <w:szCs w:val="24"/>
        </w:rPr>
        <w:fldChar w:fldCharType="separate"/>
      </w:r>
      <w:r>
        <w:rPr>
          <w:rFonts w:hint="eastAsia" w:ascii="仿宋" w:hAnsi="仿宋" w:eastAsia="仿宋" w:cs="仿宋"/>
          <w:kern w:val="0"/>
          <w:szCs w:val="32"/>
        </w:rPr>
        <w:t>一、估价委托方</w:t>
      </w:r>
      <w:r>
        <w:tab/>
      </w:r>
      <w:r>
        <w:fldChar w:fldCharType="begin"/>
      </w:r>
      <w:r>
        <w:instrText xml:space="preserve"> PAGEREF _Toc20403 \h </w:instrText>
      </w:r>
      <w:r>
        <w:fldChar w:fldCharType="separate"/>
      </w:r>
      <w:r>
        <w:t>5</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_Toc13760 </w:instrText>
      </w:r>
      <w:r>
        <w:rPr>
          <w:rFonts w:hint="eastAsia" w:ascii="仿宋" w:hAnsi="仿宋" w:eastAsia="仿宋" w:cs="仿宋"/>
          <w:szCs w:val="24"/>
        </w:rPr>
        <w:fldChar w:fldCharType="separate"/>
      </w:r>
      <w:r>
        <w:rPr>
          <w:rFonts w:hint="eastAsia" w:ascii="仿宋" w:hAnsi="仿宋" w:eastAsia="仿宋" w:cs="仿宋"/>
          <w:bCs/>
          <w:kern w:val="0"/>
          <w:szCs w:val="32"/>
        </w:rPr>
        <w:t>二、房地产估价机构</w:t>
      </w:r>
      <w:r>
        <w:tab/>
      </w:r>
      <w:r>
        <w:fldChar w:fldCharType="begin"/>
      </w:r>
      <w:r>
        <w:instrText xml:space="preserve"> PAGEREF _Toc13760 \h </w:instrText>
      </w:r>
      <w:r>
        <w:fldChar w:fldCharType="separate"/>
      </w:r>
      <w:r>
        <w:t>5</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_Toc16378 </w:instrText>
      </w:r>
      <w:r>
        <w:rPr>
          <w:rFonts w:hint="eastAsia" w:ascii="仿宋" w:hAnsi="仿宋" w:eastAsia="仿宋" w:cs="仿宋"/>
          <w:szCs w:val="24"/>
        </w:rPr>
        <w:fldChar w:fldCharType="separate"/>
      </w:r>
      <w:r>
        <w:rPr>
          <w:rFonts w:hint="eastAsia" w:ascii="仿宋" w:hAnsi="仿宋" w:eastAsia="仿宋" w:cs="仿宋"/>
          <w:bCs/>
          <w:kern w:val="0"/>
          <w:szCs w:val="32"/>
        </w:rPr>
        <w:t>三、估价目的</w:t>
      </w:r>
      <w:r>
        <w:tab/>
      </w:r>
      <w:r>
        <w:fldChar w:fldCharType="begin"/>
      </w:r>
      <w:r>
        <w:instrText xml:space="preserve"> PAGEREF _Toc16378 \h </w:instrText>
      </w:r>
      <w:r>
        <w:fldChar w:fldCharType="separate"/>
      </w:r>
      <w:r>
        <w:t>5</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_Toc4955 </w:instrText>
      </w:r>
      <w:r>
        <w:rPr>
          <w:rFonts w:hint="eastAsia" w:ascii="仿宋" w:hAnsi="仿宋" w:eastAsia="仿宋" w:cs="仿宋"/>
          <w:szCs w:val="24"/>
        </w:rPr>
        <w:fldChar w:fldCharType="separate"/>
      </w:r>
      <w:r>
        <w:rPr>
          <w:rFonts w:hint="eastAsia" w:ascii="仿宋" w:hAnsi="仿宋" w:eastAsia="仿宋" w:cs="仿宋"/>
          <w:bCs/>
          <w:kern w:val="0"/>
          <w:szCs w:val="32"/>
        </w:rPr>
        <w:t>四、估价对象</w:t>
      </w:r>
      <w:r>
        <w:tab/>
      </w:r>
      <w:r>
        <w:fldChar w:fldCharType="begin"/>
      </w:r>
      <w:r>
        <w:instrText xml:space="preserve"> PAGEREF _Toc4955 \h </w:instrText>
      </w:r>
      <w:r>
        <w:fldChar w:fldCharType="separate"/>
      </w:r>
      <w:r>
        <w:t>5</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_Toc3448 </w:instrText>
      </w:r>
      <w:r>
        <w:rPr>
          <w:rFonts w:hint="eastAsia" w:ascii="仿宋" w:hAnsi="仿宋" w:eastAsia="仿宋" w:cs="仿宋"/>
          <w:szCs w:val="24"/>
        </w:rPr>
        <w:fldChar w:fldCharType="separate"/>
      </w:r>
      <w:r>
        <w:rPr>
          <w:rFonts w:hint="eastAsia" w:ascii="仿宋" w:hAnsi="仿宋" w:eastAsia="仿宋" w:cs="仿宋"/>
          <w:bCs/>
          <w:kern w:val="0"/>
          <w:szCs w:val="32"/>
        </w:rPr>
        <w:t>五、 价值时点</w:t>
      </w:r>
      <w:r>
        <w:tab/>
      </w:r>
      <w:r>
        <w:fldChar w:fldCharType="begin"/>
      </w:r>
      <w:r>
        <w:instrText xml:space="preserve"> PAGEREF _Toc3448 \h </w:instrText>
      </w:r>
      <w:r>
        <w:fldChar w:fldCharType="separate"/>
      </w:r>
      <w:r>
        <w:t>8</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_Toc8978 </w:instrText>
      </w:r>
      <w:r>
        <w:rPr>
          <w:rFonts w:hint="eastAsia" w:ascii="仿宋" w:hAnsi="仿宋" w:eastAsia="仿宋" w:cs="仿宋"/>
          <w:szCs w:val="24"/>
        </w:rPr>
        <w:fldChar w:fldCharType="separate"/>
      </w:r>
      <w:r>
        <w:rPr>
          <w:rFonts w:hint="eastAsia" w:ascii="仿宋" w:hAnsi="仿宋" w:eastAsia="仿宋" w:cs="仿宋"/>
          <w:bCs/>
          <w:kern w:val="0"/>
          <w:szCs w:val="32"/>
        </w:rPr>
        <w:t>六、价值类型</w:t>
      </w:r>
      <w:r>
        <w:tab/>
      </w:r>
      <w:r>
        <w:fldChar w:fldCharType="begin"/>
      </w:r>
      <w:r>
        <w:instrText xml:space="preserve"> PAGEREF _Toc8978 \h </w:instrText>
      </w:r>
      <w:r>
        <w:fldChar w:fldCharType="separate"/>
      </w:r>
      <w:r>
        <w:t>8</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_Toc29800 </w:instrText>
      </w:r>
      <w:r>
        <w:rPr>
          <w:rFonts w:hint="eastAsia" w:ascii="仿宋" w:hAnsi="仿宋" w:eastAsia="仿宋" w:cs="仿宋"/>
          <w:szCs w:val="24"/>
        </w:rPr>
        <w:fldChar w:fldCharType="separate"/>
      </w:r>
      <w:r>
        <w:rPr>
          <w:rFonts w:hint="eastAsia" w:ascii="仿宋" w:hAnsi="仿宋" w:eastAsia="仿宋" w:cs="仿宋"/>
          <w:bCs/>
          <w:kern w:val="0"/>
          <w:szCs w:val="32"/>
        </w:rPr>
        <w:t>七、估价原则</w:t>
      </w:r>
      <w:r>
        <w:tab/>
      </w:r>
      <w:r>
        <w:fldChar w:fldCharType="begin"/>
      </w:r>
      <w:r>
        <w:instrText xml:space="preserve"> PAGEREF _Toc29800 \h </w:instrText>
      </w:r>
      <w:r>
        <w:fldChar w:fldCharType="separate"/>
      </w:r>
      <w:r>
        <w:t>8</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_Toc12329 </w:instrText>
      </w:r>
      <w:r>
        <w:rPr>
          <w:rFonts w:hint="eastAsia" w:ascii="仿宋" w:hAnsi="仿宋" w:eastAsia="仿宋" w:cs="仿宋"/>
          <w:szCs w:val="24"/>
        </w:rPr>
        <w:fldChar w:fldCharType="separate"/>
      </w:r>
      <w:r>
        <w:rPr>
          <w:rFonts w:hint="eastAsia" w:ascii="仿宋" w:hAnsi="仿宋" w:eastAsia="仿宋" w:cs="仿宋"/>
          <w:bCs/>
          <w:kern w:val="0"/>
          <w:szCs w:val="32"/>
        </w:rPr>
        <w:t>八、估价依据</w:t>
      </w:r>
      <w:r>
        <w:tab/>
      </w:r>
      <w:r>
        <w:fldChar w:fldCharType="begin"/>
      </w:r>
      <w:r>
        <w:instrText xml:space="preserve"> PAGEREF _Toc12329 \h </w:instrText>
      </w:r>
      <w:r>
        <w:fldChar w:fldCharType="separate"/>
      </w:r>
      <w:r>
        <w:t>9</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_Toc31496 </w:instrText>
      </w:r>
      <w:r>
        <w:rPr>
          <w:rFonts w:hint="eastAsia" w:ascii="仿宋" w:hAnsi="仿宋" w:eastAsia="仿宋" w:cs="仿宋"/>
          <w:szCs w:val="24"/>
        </w:rPr>
        <w:fldChar w:fldCharType="separate"/>
      </w:r>
      <w:r>
        <w:rPr>
          <w:rFonts w:hint="eastAsia" w:ascii="仿宋" w:hAnsi="仿宋" w:eastAsia="仿宋" w:cs="仿宋"/>
          <w:bCs/>
          <w:kern w:val="0"/>
          <w:szCs w:val="32"/>
        </w:rPr>
        <w:t>九、估价方法</w:t>
      </w:r>
      <w:r>
        <w:tab/>
      </w:r>
      <w:r>
        <w:fldChar w:fldCharType="begin"/>
      </w:r>
      <w:r>
        <w:instrText xml:space="preserve"> PAGEREF _Toc31496 \h </w:instrText>
      </w:r>
      <w:r>
        <w:fldChar w:fldCharType="separate"/>
      </w:r>
      <w:r>
        <w:t>10</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_Toc14260 </w:instrText>
      </w:r>
      <w:r>
        <w:rPr>
          <w:rFonts w:hint="eastAsia" w:ascii="仿宋" w:hAnsi="仿宋" w:eastAsia="仿宋" w:cs="仿宋"/>
          <w:szCs w:val="24"/>
        </w:rPr>
        <w:fldChar w:fldCharType="separate"/>
      </w:r>
      <w:r>
        <w:rPr>
          <w:rFonts w:hint="eastAsia" w:ascii="仿宋" w:hAnsi="仿宋" w:eastAsia="仿宋" w:cs="仿宋"/>
          <w:bCs/>
          <w:kern w:val="0"/>
          <w:szCs w:val="32"/>
          <w:lang w:val="en-US" w:eastAsia="zh-CN"/>
        </w:rPr>
        <w:t>十、</w:t>
      </w:r>
      <w:r>
        <w:rPr>
          <w:rFonts w:hint="eastAsia" w:ascii="仿宋" w:hAnsi="仿宋" w:eastAsia="仿宋" w:cs="仿宋"/>
          <w:bCs/>
          <w:kern w:val="0"/>
          <w:szCs w:val="32"/>
        </w:rPr>
        <w:t>估价结果</w:t>
      </w:r>
      <w:r>
        <w:tab/>
      </w:r>
      <w:r>
        <w:fldChar w:fldCharType="begin"/>
      </w:r>
      <w:r>
        <w:instrText xml:space="preserve"> PAGEREF _Toc14260 \h </w:instrText>
      </w:r>
      <w:r>
        <w:fldChar w:fldCharType="separate"/>
      </w:r>
      <w:r>
        <w:t>11</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_Toc8902 </w:instrText>
      </w:r>
      <w:r>
        <w:rPr>
          <w:rFonts w:hint="eastAsia" w:ascii="仿宋" w:hAnsi="仿宋" w:eastAsia="仿宋" w:cs="仿宋"/>
          <w:szCs w:val="24"/>
        </w:rPr>
        <w:fldChar w:fldCharType="separate"/>
      </w:r>
      <w:r>
        <w:rPr>
          <w:rFonts w:hint="eastAsia" w:ascii="仿宋" w:hAnsi="仿宋" w:eastAsia="仿宋" w:cs="仿宋"/>
          <w:bCs/>
          <w:kern w:val="0"/>
          <w:szCs w:val="32"/>
          <w:lang w:val="en-US" w:eastAsia="zh-CN"/>
        </w:rPr>
        <w:t>十一、</w:t>
      </w:r>
      <w:r>
        <w:rPr>
          <w:rFonts w:hint="eastAsia" w:ascii="仿宋" w:hAnsi="仿宋" w:eastAsia="仿宋" w:cs="仿宋"/>
          <w:kern w:val="0"/>
        </w:rPr>
        <w:t>注册房地产估价师</w:t>
      </w:r>
      <w:r>
        <w:tab/>
      </w:r>
      <w:r>
        <w:fldChar w:fldCharType="begin"/>
      </w:r>
      <w:r>
        <w:instrText xml:space="preserve"> PAGEREF _Toc8902 \h </w:instrText>
      </w:r>
      <w:r>
        <w:fldChar w:fldCharType="separate"/>
      </w:r>
      <w:r>
        <w:t>12</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_Toc21381 </w:instrText>
      </w:r>
      <w:r>
        <w:rPr>
          <w:rFonts w:hint="eastAsia" w:ascii="仿宋" w:hAnsi="仿宋" w:eastAsia="仿宋" w:cs="仿宋"/>
          <w:szCs w:val="24"/>
        </w:rPr>
        <w:fldChar w:fldCharType="separate"/>
      </w:r>
      <w:r>
        <w:rPr>
          <w:rFonts w:hint="eastAsia" w:ascii="仿宋" w:hAnsi="仿宋" w:eastAsia="仿宋" w:cs="仿宋"/>
          <w:bCs/>
          <w:kern w:val="0"/>
        </w:rPr>
        <w:t>十二、实地查勘期</w:t>
      </w:r>
      <w:r>
        <w:tab/>
      </w:r>
      <w:r>
        <w:fldChar w:fldCharType="begin"/>
      </w:r>
      <w:r>
        <w:instrText xml:space="preserve"> PAGEREF _Toc21381 \h </w:instrText>
      </w:r>
      <w:r>
        <w:fldChar w:fldCharType="separate"/>
      </w:r>
      <w:r>
        <w:t>12</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_Toc11222 </w:instrText>
      </w:r>
      <w:r>
        <w:rPr>
          <w:rFonts w:hint="eastAsia" w:ascii="仿宋" w:hAnsi="仿宋" w:eastAsia="仿宋" w:cs="仿宋"/>
          <w:szCs w:val="24"/>
        </w:rPr>
        <w:fldChar w:fldCharType="separate"/>
      </w:r>
      <w:r>
        <w:rPr>
          <w:rFonts w:hint="eastAsia" w:ascii="仿宋" w:hAnsi="仿宋" w:eastAsia="仿宋" w:cs="仿宋"/>
          <w:bCs/>
          <w:kern w:val="0"/>
        </w:rPr>
        <w:t>十三、估价作业日期</w:t>
      </w:r>
      <w:r>
        <w:tab/>
      </w:r>
      <w:r>
        <w:fldChar w:fldCharType="begin"/>
      </w:r>
      <w:r>
        <w:instrText xml:space="preserve"> PAGEREF _Toc11222 \h </w:instrText>
      </w:r>
      <w:r>
        <w:fldChar w:fldCharType="separate"/>
      </w:r>
      <w:r>
        <w:t>12</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_Toc25060 </w:instrText>
      </w:r>
      <w:r>
        <w:rPr>
          <w:rFonts w:hint="eastAsia" w:ascii="仿宋" w:hAnsi="仿宋" w:eastAsia="仿宋" w:cs="仿宋"/>
          <w:szCs w:val="24"/>
        </w:rPr>
        <w:fldChar w:fldCharType="separate"/>
      </w:r>
      <w:r>
        <w:rPr>
          <w:rFonts w:hint="eastAsia" w:ascii="仿宋" w:hAnsi="仿宋" w:eastAsia="仿宋" w:cs="仿宋"/>
          <w:bCs/>
          <w:kern w:val="0"/>
        </w:rPr>
        <w:t>十</w:t>
      </w:r>
      <w:r>
        <w:rPr>
          <w:rFonts w:hint="eastAsia" w:ascii="仿宋" w:hAnsi="仿宋" w:eastAsia="仿宋" w:cs="仿宋"/>
          <w:bCs/>
          <w:kern w:val="0"/>
          <w:lang w:val="en-US" w:eastAsia="zh-CN"/>
        </w:rPr>
        <w:t>四</w:t>
      </w:r>
      <w:r>
        <w:rPr>
          <w:rFonts w:hint="eastAsia" w:ascii="仿宋" w:hAnsi="仿宋" w:eastAsia="仿宋" w:cs="仿宋"/>
          <w:bCs/>
          <w:kern w:val="0"/>
        </w:rPr>
        <w:t>、估价报告应用的有效期</w:t>
      </w:r>
      <w:r>
        <w:tab/>
      </w:r>
      <w:r>
        <w:fldChar w:fldCharType="begin"/>
      </w:r>
      <w:r>
        <w:instrText xml:space="preserve"> PAGEREF _Toc25060 \h </w:instrText>
      </w:r>
      <w:r>
        <w:fldChar w:fldCharType="separate"/>
      </w:r>
      <w:r>
        <w:t>12</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_Toc18090 </w:instrText>
      </w:r>
      <w:r>
        <w:rPr>
          <w:rFonts w:hint="eastAsia" w:ascii="仿宋" w:hAnsi="仿宋" w:eastAsia="仿宋" w:cs="仿宋"/>
          <w:szCs w:val="24"/>
        </w:rPr>
        <w:fldChar w:fldCharType="separate"/>
      </w:r>
      <w:r>
        <w:rPr>
          <w:rFonts w:hint="eastAsia" w:ascii="仿宋" w:hAnsi="仿宋" w:eastAsia="仿宋" w:cs="仿宋"/>
          <w:bCs/>
          <w:kern w:val="0"/>
        </w:rPr>
        <w:t>十五、其它需要特别说明的事项</w:t>
      </w:r>
      <w:r>
        <w:tab/>
      </w:r>
      <w:r>
        <w:fldChar w:fldCharType="begin"/>
      </w:r>
      <w:r>
        <w:instrText xml:space="preserve"> PAGEREF _Toc18090 \h </w:instrText>
      </w:r>
      <w:r>
        <w:fldChar w:fldCharType="separate"/>
      </w:r>
      <w:r>
        <w:t>13</w:t>
      </w:r>
      <w:r>
        <w:fldChar w:fldCharType="end"/>
      </w:r>
      <w:r>
        <w:rPr>
          <w:rFonts w:hint="eastAsia" w:ascii="仿宋" w:hAnsi="仿宋" w:eastAsia="仿宋" w:cs="仿宋"/>
          <w:szCs w:val="24"/>
        </w:rPr>
        <w:fldChar w:fldCharType="end"/>
      </w:r>
    </w:p>
    <w:p>
      <w:pPr>
        <w:pStyle w:val="16"/>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_Toc30648 </w:instrText>
      </w:r>
      <w:r>
        <w:rPr>
          <w:rFonts w:hint="eastAsia" w:ascii="仿宋" w:hAnsi="仿宋" w:eastAsia="仿宋" w:cs="仿宋"/>
          <w:szCs w:val="24"/>
        </w:rPr>
        <w:fldChar w:fldCharType="separate"/>
      </w:r>
      <w:r>
        <w:rPr>
          <w:rFonts w:eastAsia="仿宋_GB2312"/>
          <w:szCs w:val="48"/>
        </w:rPr>
        <w:t>房地产估价技术报告</w:t>
      </w:r>
      <w:r>
        <w:tab/>
      </w:r>
      <w:r>
        <w:fldChar w:fldCharType="begin"/>
      </w:r>
      <w:r>
        <w:instrText xml:space="preserve"> PAGEREF _Toc30648 \h </w:instrText>
      </w:r>
      <w:r>
        <w:fldChar w:fldCharType="separate"/>
      </w:r>
      <w:r>
        <w:t>14</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_Toc10713 </w:instrText>
      </w:r>
      <w:r>
        <w:rPr>
          <w:rFonts w:hint="eastAsia" w:ascii="仿宋" w:hAnsi="仿宋" w:eastAsia="仿宋" w:cs="仿宋"/>
          <w:szCs w:val="24"/>
        </w:rPr>
        <w:fldChar w:fldCharType="separate"/>
      </w:r>
      <w:r>
        <w:rPr>
          <w:rFonts w:hint="eastAsia" w:ascii="Times New Roman" w:hAnsi="Times New Roman" w:eastAsia="仿宋_GB2312"/>
          <w:szCs w:val="30"/>
        </w:rPr>
        <w:t xml:space="preserve">一、 </w:t>
      </w:r>
      <w:r>
        <w:rPr>
          <w:rFonts w:ascii="Times New Roman" w:hAnsi="Times New Roman" w:eastAsia="仿宋_GB2312"/>
          <w:szCs w:val="30"/>
        </w:rPr>
        <w:t>实物状况描述与分析状况</w:t>
      </w:r>
      <w:r>
        <w:tab/>
      </w:r>
      <w:r>
        <w:fldChar w:fldCharType="begin"/>
      </w:r>
      <w:r>
        <w:instrText xml:space="preserve"> PAGEREF _Toc10713 \h </w:instrText>
      </w:r>
      <w:r>
        <w:fldChar w:fldCharType="separate"/>
      </w:r>
      <w:r>
        <w:t>14</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_Toc22857 </w:instrText>
      </w:r>
      <w:r>
        <w:rPr>
          <w:rFonts w:hint="eastAsia" w:ascii="仿宋" w:hAnsi="仿宋" w:eastAsia="仿宋" w:cs="仿宋"/>
          <w:szCs w:val="24"/>
        </w:rPr>
        <w:fldChar w:fldCharType="separate"/>
      </w:r>
      <w:r>
        <w:rPr>
          <w:rFonts w:hint="eastAsia" w:ascii="Times New Roman" w:hAnsi="Times New Roman" w:eastAsia="仿宋_GB2312"/>
          <w:szCs w:val="30"/>
        </w:rPr>
        <w:t>二、</w:t>
      </w:r>
      <w:r>
        <w:rPr>
          <w:rFonts w:ascii="Times New Roman" w:hAnsi="Times New Roman" w:eastAsia="仿宋_GB2312"/>
          <w:szCs w:val="30"/>
        </w:rPr>
        <w:t>权益状况描述与分析</w:t>
      </w:r>
      <w:r>
        <w:tab/>
      </w:r>
      <w:r>
        <w:fldChar w:fldCharType="begin"/>
      </w:r>
      <w:r>
        <w:instrText xml:space="preserve"> PAGEREF _Toc22857 \h </w:instrText>
      </w:r>
      <w:r>
        <w:fldChar w:fldCharType="separate"/>
      </w:r>
      <w:r>
        <w:t>15</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_Toc30832 </w:instrText>
      </w:r>
      <w:r>
        <w:rPr>
          <w:rFonts w:hint="eastAsia" w:ascii="仿宋" w:hAnsi="仿宋" w:eastAsia="仿宋" w:cs="仿宋"/>
          <w:szCs w:val="24"/>
        </w:rPr>
        <w:fldChar w:fldCharType="separate"/>
      </w:r>
      <w:r>
        <w:rPr>
          <w:rFonts w:hint="eastAsia" w:ascii="Times New Roman" w:hAnsi="Times New Roman" w:eastAsia="仿宋_GB2312"/>
          <w:szCs w:val="30"/>
        </w:rPr>
        <w:t>三</w:t>
      </w:r>
      <w:r>
        <w:rPr>
          <w:rFonts w:ascii="Times New Roman" w:hAnsi="Times New Roman" w:eastAsia="仿宋_GB2312"/>
          <w:szCs w:val="30"/>
        </w:rPr>
        <w:t>、区</w:t>
      </w:r>
      <w:r>
        <w:rPr>
          <w:rFonts w:hint="eastAsia" w:ascii="Times New Roman" w:hAnsi="Times New Roman" w:eastAsia="仿宋_GB2312"/>
          <w:szCs w:val="30"/>
        </w:rPr>
        <w:t>位</w:t>
      </w:r>
      <w:r>
        <w:rPr>
          <w:rFonts w:ascii="Times New Roman" w:hAnsi="Times New Roman" w:eastAsia="仿宋_GB2312"/>
          <w:szCs w:val="30"/>
        </w:rPr>
        <w:t>状况描述与分析</w:t>
      </w:r>
      <w:r>
        <w:tab/>
      </w:r>
      <w:r>
        <w:fldChar w:fldCharType="begin"/>
      </w:r>
      <w:r>
        <w:instrText xml:space="preserve"> PAGEREF _Toc30832 \h </w:instrText>
      </w:r>
      <w:r>
        <w:fldChar w:fldCharType="separate"/>
      </w:r>
      <w:r>
        <w:t>15</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_Toc21958 </w:instrText>
      </w:r>
      <w:r>
        <w:rPr>
          <w:rFonts w:hint="eastAsia" w:ascii="仿宋" w:hAnsi="仿宋" w:eastAsia="仿宋" w:cs="仿宋"/>
          <w:szCs w:val="24"/>
        </w:rPr>
        <w:fldChar w:fldCharType="separate"/>
      </w:r>
      <w:r>
        <w:rPr>
          <w:rFonts w:hint="eastAsia" w:ascii="Times New Roman" w:hAnsi="Times New Roman" w:eastAsia="仿宋_GB2312"/>
          <w:szCs w:val="30"/>
        </w:rPr>
        <w:t>四</w:t>
      </w:r>
      <w:r>
        <w:rPr>
          <w:rFonts w:ascii="Times New Roman" w:hAnsi="Times New Roman" w:eastAsia="仿宋_GB2312"/>
          <w:szCs w:val="30"/>
        </w:rPr>
        <w:t>、市场背景</w:t>
      </w:r>
      <w:r>
        <w:rPr>
          <w:rFonts w:hint="eastAsia" w:ascii="Times New Roman" w:hAnsi="Times New Roman" w:eastAsia="仿宋_GB2312"/>
          <w:szCs w:val="30"/>
        </w:rPr>
        <w:t>描述与</w:t>
      </w:r>
      <w:r>
        <w:rPr>
          <w:rFonts w:ascii="Times New Roman" w:hAnsi="Times New Roman" w:eastAsia="仿宋_GB2312"/>
          <w:szCs w:val="30"/>
        </w:rPr>
        <w:t>分析</w:t>
      </w:r>
      <w:r>
        <w:tab/>
      </w:r>
      <w:r>
        <w:fldChar w:fldCharType="begin"/>
      </w:r>
      <w:r>
        <w:instrText xml:space="preserve"> PAGEREF _Toc21958 \h </w:instrText>
      </w:r>
      <w:r>
        <w:fldChar w:fldCharType="separate"/>
      </w:r>
      <w:r>
        <w:t>16</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_Toc980 </w:instrText>
      </w:r>
      <w:r>
        <w:rPr>
          <w:rFonts w:hint="eastAsia" w:ascii="仿宋" w:hAnsi="仿宋" w:eastAsia="仿宋" w:cs="仿宋"/>
          <w:szCs w:val="24"/>
        </w:rPr>
        <w:fldChar w:fldCharType="separate"/>
      </w:r>
      <w:r>
        <w:rPr>
          <w:rFonts w:hint="eastAsia" w:ascii="Times New Roman" w:hAnsi="Times New Roman" w:eastAsia="仿宋_GB2312"/>
          <w:szCs w:val="30"/>
        </w:rPr>
        <w:t>五</w:t>
      </w:r>
      <w:r>
        <w:rPr>
          <w:rFonts w:ascii="Times New Roman" w:hAnsi="Times New Roman" w:eastAsia="仿宋_GB2312"/>
          <w:szCs w:val="30"/>
        </w:rPr>
        <w:t>、最高最佳</w:t>
      </w:r>
      <w:r>
        <w:rPr>
          <w:rFonts w:hint="eastAsia" w:ascii="Times New Roman" w:hAnsi="Times New Roman" w:eastAsia="仿宋_GB2312"/>
          <w:szCs w:val="30"/>
        </w:rPr>
        <w:t>利用</w:t>
      </w:r>
      <w:r>
        <w:rPr>
          <w:rFonts w:ascii="Times New Roman" w:hAnsi="Times New Roman" w:eastAsia="仿宋_GB2312"/>
          <w:szCs w:val="30"/>
        </w:rPr>
        <w:t>分析</w:t>
      </w:r>
      <w:r>
        <w:tab/>
      </w:r>
      <w:r>
        <w:fldChar w:fldCharType="begin"/>
      </w:r>
      <w:r>
        <w:instrText xml:space="preserve"> PAGEREF _Toc980 \h </w:instrText>
      </w:r>
      <w:r>
        <w:fldChar w:fldCharType="separate"/>
      </w:r>
      <w:r>
        <w:t>19</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_Toc1066 </w:instrText>
      </w:r>
      <w:r>
        <w:rPr>
          <w:rFonts w:hint="eastAsia" w:ascii="仿宋" w:hAnsi="仿宋" w:eastAsia="仿宋" w:cs="仿宋"/>
          <w:szCs w:val="24"/>
        </w:rPr>
        <w:fldChar w:fldCharType="separate"/>
      </w:r>
      <w:r>
        <w:rPr>
          <w:rFonts w:hint="eastAsia" w:ascii="Times New Roman" w:hAnsi="Times New Roman" w:eastAsia="仿宋_GB2312"/>
          <w:szCs w:val="30"/>
        </w:rPr>
        <w:t>六</w:t>
      </w:r>
      <w:r>
        <w:rPr>
          <w:rFonts w:ascii="Times New Roman" w:hAnsi="Times New Roman" w:eastAsia="仿宋_GB2312"/>
          <w:szCs w:val="30"/>
        </w:rPr>
        <w:t>、估价方法</w:t>
      </w:r>
      <w:r>
        <w:rPr>
          <w:rFonts w:hint="eastAsia" w:ascii="Times New Roman" w:hAnsi="Times New Roman" w:eastAsia="仿宋_GB2312"/>
          <w:szCs w:val="30"/>
        </w:rPr>
        <w:t>适用性分析</w:t>
      </w:r>
      <w:r>
        <w:tab/>
      </w:r>
      <w:r>
        <w:fldChar w:fldCharType="begin"/>
      </w:r>
      <w:r>
        <w:instrText xml:space="preserve"> PAGEREF _Toc1066 \h </w:instrText>
      </w:r>
      <w:r>
        <w:fldChar w:fldCharType="separate"/>
      </w:r>
      <w:r>
        <w:t>20</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_Toc3477 </w:instrText>
      </w:r>
      <w:r>
        <w:rPr>
          <w:rFonts w:hint="eastAsia" w:ascii="仿宋" w:hAnsi="仿宋" w:eastAsia="仿宋" w:cs="仿宋"/>
          <w:szCs w:val="24"/>
        </w:rPr>
        <w:fldChar w:fldCharType="separate"/>
      </w:r>
      <w:r>
        <w:rPr>
          <w:rFonts w:hint="eastAsia" w:ascii="Times New Roman" w:hAnsi="Times New Roman" w:eastAsia="仿宋_GB2312"/>
          <w:szCs w:val="30"/>
        </w:rPr>
        <w:t>七</w:t>
      </w:r>
      <w:r>
        <w:rPr>
          <w:rFonts w:ascii="Times New Roman" w:hAnsi="Times New Roman" w:eastAsia="仿宋_GB2312"/>
          <w:szCs w:val="30"/>
        </w:rPr>
        <w:t>、估价测算过程</w:t>
      </w:r>
      <w:r>
        <w:tab/>
      </w:r>
      <w:r>
        <w:fldChar w:fldCharType="begin"/>
      </w:r>
      <w:r>
        <w:instrText xml:space="preserve"> PAGEREF _Toc3477 \h </w:instrText>
      </w:r>
      <w:r>
        <w:fldChar w:fldCharType="separate"/>
      </w:r>
      <w:r>
        <w:t>22</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_Toc5187 </w:instrText>
      </w:r>
      <w:r>
        <w:rPr>
          <w:rFonts w:hint="eastAsia" w:ascii="仿宋" w:hAnsi="仿宋" w:eastAsia="仿宋" w:cs="仿宋"/>
          <w:szCs w:val="24"/>
        </w:rPr>
        <w:fldChar w:fldCharType="separate"/>
      </w:r>
      <w:r>
        <w:rPr>
          <w:rFonts w:hint="eastAsia" w:ascii="Times New Roman" w:hAnsi="Times New Roman" w:eastAsia="仿宋_GB2312"/>
          <w:szCs w:val="30"/>
          <w:lang w:val="en-US" w:eastAsia="zh-CN"/>
        </w:rPr>
        <w:t>八</w:t>
      </w:r>
      <w:r>
        <w:rPr>
          <w:rFonts w:hint="eastAsia" w:ascii="Times New Roman" w:hAnsi="Times New Roman" w:eastAsia="仿宋_GB2312"/>
          <w:szCs w:val="30"/>
        </w:rPr>
        <w:t>、</w:t>
      </w:r>
      <w:r>
        <w:rPr>
          <w:rFonts w:ascii="Times New Roman" w:hAnsi="Times New Roman" w:eastAsia="仿宋_GB2312"/>
          <w:szCs w:val="30"/>
        </w:rPr>
        <w:t>估价结果确定</w:t>
      </w:r>
      <w:r>
        <w:tab/>
      </w:r>
      <w:r>
        <w:fldChar w:fldCharType="begin"/>
      </w:r>
      <w:r>
        <w:instrText xml:space="preserve"> PAGEREF _Toc5187 \h </w:instrText>
      </w:r>
      <w:r>
        <w:fldChar w:fldCharType="separate"/>
      </w:r>
      <w:r>
        <w:t>27</w:t>
      </w:r>
      <w:r>
        <w:fldChar w:fldCharType="end"/>
      </w:r>
      <w:r>
        <w:rPr>
          <w:rFonts w:hint="eastAsia" w:ascii="仿宋" w:hAnsi="仿宋" w:eastAsia="仿宋" w:cs="仿宋"/>
          <w:szCs w:val="24"/>
        </w:rPr>
        <w:fldChar w:fldCharType="end"/>
      </w:r>
    </w:p>
    <w:p>
      <w:pPr>
        <w:pStyle w:val="19"/>
        <w:tabs>
          <w:tab w:val="right" w:leader="dot" w:pos="9746"/>
          <w:tab w:val="clear" w:pos="989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_Toc4315 </w:instrText>
      </w:r>
      <w:r>
        <w:rPr>
          <w:rFonts w:hint="eastAsia" w:ascii="仿宋" w:hAnsi="仿宋" w:eastAsia="仿宋" w:cs="仿宋"/>
          <w:szCs w:val="24"/>
        </w:rPr>
        <w:fldChar w:fldCharType="separate"/>
      </w:r>
      <w:r>
        <w:rPr>
          <w:rFonts w:hint="eastAsia" w:ascii="仿宋" w:hAnsi="仿宋" w:eastAsia="仿宋" w:cs="仿宋"/>
          <w:bCs/>
          <w:kern w:val="0"/>
          <w:szCs w:val="44"/>
        </w:rPr>
        <w:t>附     件</w:t>
      </w:r>
      <w:r>
        <w:tab/>
      </w:r>
      <w:r>
        <w:fldChar w:fldCharType="begin"/>
      </w:r>
      <w:r>
        <w:instrText xml:space="preserve"> PAGEREF _Toc4315 \h </w:instrText>
      </w:r>
      <w:r>
        <w:fldChar w:fldCharType="separate"/>
      </w:r>
      <w:r>
        <w:t>29</w:t>
      </w:r>
      <w:r>
        <w:fldChar w:fldCharType="end"/>
      </w:r>
      <w:r>
        <w:rPr>
          <w:rFonts w:hint="eastAsia" w:ascii="仿宋" w:hAnsi="仿宋" w:eastAsia="仿宋" w:cs="仿宋"/>
          <w:szCs w:val="24"/>
        </w:rPr>
        <w:fldChar w:fldCharType="end"/>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outlineLvl w:val="9"/>
        <w:rPr>
          <w:rFonts w:hint="eastAsia" w:ascii="仿宋" w:hAnsi="仿宋" w:eastAsia="仿宋" w:cs="仿宋"/>
          <w:szCs w:val="24"/>
        </w:rPr>
      </w:pPr>
      <w:r>
        <w:rPr>
          <w:rFonts w:hint="eastAsia" w:ascii="仿宋" w:hAnsi="仿宋" w:eastAsia="仿宋" w:cs="仿宋"/>
          <w:szCs w:val="24"/>
        </w:rPr>
        <w:fldChar w:fldCharType="end"/>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仿宋" w:hAnsi="仿宋" w:eastAsia="仿宋" w:cs="仿宋"/>
          <w:szCs w:val="24"/>
        </w:rPr>
      </w:pPr>
    </w:p>
    <w:bookmarkEnd w:id="6"/>
    <w:p>
      <w:pPr>
        <w:pStyle w:val="2"/>
        <w:spacing w:before="0" w:after="0"/>
        <w:jc w:val="center"/>
        <w:rPr>
          <w:rFonts w:hint="eastAsia" w:ascii="仿宋" w:hAnsi="仿宋" w:eastAsia="仿宋" w:cs="仿宋"/>
          <w:b/>
          <w:bCs/>
          <w:kern w:val="0"/>
          <w:sz w:val="52"/>
          <w:szCs w:val="52"/>
        </w:rPr>
      </w:pPr>
      <w:bookmarkStart w:id="7" w:name="_Toc29176"/>
      <w:bookmarkStart w:id="8" w:name="_Toc17730"/>
      <w:r>
        <w:rPr>
          <w:rFonts w:hint="eastAsia" w:ascii="仿宋" w:hAnsi="仿宋" w:eastAsia="仿宋" w:cs="仿宋"/>
          <w:b/>
          <w:bCs/>
          <w:kern w:val="0"/>
          <w:sz w:val="52"/>
          <w:szCs w:val="52"/>
        </w:rPr>
        <w:t>估价师声明</w:t>
      </w:r>
      <w:bookmarkEnd w:id="7"/>
      <w:bookmarkEnd w:id="8"/>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所有参加估价的注册房地产估价师郑重申明：</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一、注册房地产估价师在执行估价业务中，严格遵循相关法律法规和估价规范对注册房地产估价师的估价职业道德要求。</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 xml:space="preserve">二、注册房地产估价师具备估价业务所需的专业胜任能力。 </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三、注册房地产估价师估价业务中勤勉尽责，搜集合法、真实、准确、完整的估价所需资料，对搜集的估价所需资料进行检查，并对估价对象进行实地查勘。</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四、注册房地产估价师在估价报告中对事实的说明是真实和准确的，没有虚假记载、误导性陈述和重大遗漏。</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五、估价报告中的分析、意见和结论是注册房地产估价师独立、客观、公正的专业分析、意见和结论，但受到估价报告中已说明的估价假设和限制条件的限制。</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六、注册房地产估价师与估价报告中的估价对象没有现实或潜在的利益，与估价委托方及估价利害关系人没有利害关系，也对估价对象、估价委托方及估价利害关系人没有偏见。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七、注册房地产估价师是按照《房地产估价规范》GB/T50291-2015、《房地产估价基本术语标准》GB/T50899—2013、等房地产估价标准的规定进行估价工作，撰写估价报告。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八、本估价报告没有专业帮助、未依据相关专业意见。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p>
    <w:tbl>
      <w:tblPr>
        <w:tblStyle w:val="23"/>
        <w:tblW w:w="0" w:type="auto"/>
        <w:jc w:val="center"/>
        <w:tblLayout w:type="fixed"/>
        <w:tblCellMar>
          <w:top w:w="0" w:type="dxa"/>
          <w:left w:w="108" w:type="dxa"/>
          <w:bottom w:w="0" w:type="dxa"/>
          <w:right w:w="108" w:type="dxa"/>
        </w:tblCellMar>
      </w:tblPr>
      <w:tblGrid>
        <w:gridCol w:w="2928"/>
        <w:gridCol w:w="3540"/>
        <w:gridCol w:w="3452"/>
      </w:tblGrid>
      <w:tr>
        <w:trPr>
          <w:trHeight w:val="768" w:hRule="atLeast"/>
          <w:jc w:val="center"/>
        </w:trPr>
        <w:tc>
          <w:tcPr>
            <w:tcW w:w="292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姓   名</w:t>
            </w:r>
          </w:p>
        </w:tc>
        <w:tc>
          <w:tcPr>
            <w:tcW w:w="354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45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rPr>
          <w:trHeight w:val="798" w:hRule="atLeast"/>
          <w:jc w:val="center"/>
        </w:trPr>
        <w:tc>
          <w:tcPr>
            <w:tcW w:w="292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354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452"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r>
        <w:trPr>
          <w:trHeight w:val="814" w:hRule="atLeast"/>
          <w:jc w:val="center"/>
        </w:trPr>
        <w:tc>
          <w:tcPr>
            <w:tcW w:w="292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354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452"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bl>
    <w:p>
      <w:pPr>
        <w:overflowPunct w:val="0"/>
        <w:topLinePunct/>
        <w:adjustRightInd w:val="0"/>
        <w:snapToGrid w:val="0"/>
        <w:spacing w:line="300" w:lineRule="auto"/>
        <w:ind w:firstLine="560" w:firstLineChars="200"/>
        <w:jc w:val="left"/>
        <w:rPr>
          <w:rFonts w:hint="eastAsia" w:ascii="仿宋" w:hAnsi="仿宋" w:eastAsia="仿宋" w:cs="仿宋"/>
          <w:bCs/>
          <w:sz w:val="28"/>
        </w:rPr>
      </w:pPr>
      <w:r>
        <w:rPr>
          <w:rFonts w:hint="eastAsia" w:ascii="仿宋" w:hAnsi="仿宋" w:eastAsia="仿宋" w:cs="仿宋"/>
          <w:bCs/>
          <w:sz w:val="28"/>
        </w:rPr>
        <w:t xml:space="preserve">    </w:t>
      </w: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pStyle w:val="2"/>
        <w:spacing w:before="0" w:after="0"/>
        <w:jc w:val="center"/>
        <w:rPr>
          <w:rFonts w:hint="eastAsia" w:ascii="仿宋" w:hAnsi="仿宋" w:eastAsia="仿宋" w:cs="仿宋"/>
          <w:b/>
          <w:bCs/>
          <w:kern w:val="0"/>
          <w:sz w:val="52"/>
          <w:szCs w:val="52"/>
        </w:rPr>
      </w:pPr>
      <w:bookmarkStart w:id="9" w:name="_Toc461005127"/>
      <w:bookmarkStart w:id="10" w:name="_Toc24961"/>
      <w:bookmarkStart w:id="11" w:name="_Toc826"/>
      <w:bookmarkStart w:id="12" w:name="_Toc522795031"/>
      <w:r>
        <w:rPr>
          <w:rFonts w:hint="eastAsia" w:ascii="仿宋" w:hAnsi="仿宋" w:eastAsia="仿宋" w:cs="仿宋"/>
          <w:b/>
          <w:bCs/>
          <w:kern w:val="0"/>
          <w:sz w:val="52"/>
          <w:szCs w:val="52"/>
        </w:rPr>
        <w:t>估价的假设和限制条件</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一、一般性假设</w:t>
      </w:r>
      <w:bookmarkEnd w:id="12"/>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（一）假设估价对象能够持续正常使用；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注册房地产估价师对估价所依据的估价对象的权属、面积、用途等资料进行了检查，无理由怀疑其合法性、真实性、准确性和完整性且未予以核实，假定估价对象的权属、面积、用途等资料是合法、真实、准确和完整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（三）注册房地产估价师对房屋安全、环境污染等影响估价对象价值或价格的重大因素给予了关注，无理由怀疑估价对象存在安全隐患且无相应的专业机构进行鉴定、检测，假定估价对象不存在房屋安全隐患。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（四）公开市场假设。公开市场是形成市场价格的市场，市场价格是在价值时点预期能够成交的正常价格。它们依据了如下假设：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1、交易双方是自愿地进行交易的；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2、交易双方是出于利己动机进行交易的；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3、买卖双方的交易行为都是精明和谨慎的；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4、交易双方有较充裕的时间进行交易；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5、在此周期内，市场状况和价格水平是静止不动的；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6、不考虑特殊买家的附加出价，也未考虑国家宏观经济政策发生变化以及遇有自然力和其他不可抗力对资产价格的影响。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ascii="仿宋" w:hAnsi="仿宋" w:eastAsia="仿宋" w:cs="仿宋"/>
          <w:color w:val="000000"/>
          <w:kern w:val="0"/>
          <w:sz w:val="28"/>
          <w:szCs w:val="28"/>
        </w:rPr>
      </w:pPr>
      <w:r>
        <w:rPr>
          <w:rFonts w:hint="eastAsia" w:eastAsia="仿宋_GB2312"/>
          <w:color w:val="000000"/>
          <w:sz w:val="26"/>
          <w:szCs w:val="26"/>
          <w:lang w:val="en-US" w:eastAsia="zh-CN"/>
        </w:rPr>
        <w:t>7、当前述条件情况发生变动时，估价结果一般会失效。</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rPr>
      </w:pPr>
      <w:bookmarkStart w:id="13" w:name="_Toc522795032"/>
      <w:r>
        <w:rPr>
          <w:rFonts w:hint="eastAsia" w:ascii="仿宋" w:hAnsi="仿宋" w:eastAsia="仿宋" w:cs="仿宋"/>
          <w:b/>
          <w:bCs/>
          <w:color w:val="000000"/>
          <w:sz w:val="28"/>
          <w:szCs w:val="28"/>
        </w:rPr>
        <w:t>二、未定事项假设</w:t>
      </w:r>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无未定事项假设。</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lang w:val="en-US" w:eastAsia="zh-CN"/>
        </w:rPr>
      </w:pPr>
      <w:bookmarkStart w:id="14" w:name="_Toc522795033"/>
      <w:r>
        <w:rPr>
          <w:rFonts w:hint="eastAsia" w:ascii="仿宋" w:hAnsi="仿宋" w:eastAsia="仿宋" w:cs="仿宋"/>
          <w:b/>
          <w:bCs/>
          <w:color w:val="000000"/>
          <w:sz w:val="28"/>
          <w:szCs w:val="28"/>
        </w:rPr>
        <w:t>三、背离事实假设</w:t>
      </w:r>
      <w:bookmarkEnd w:id="14"/>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根据《房地产估价规范》(GB/T50291-2015)5.4.2.2条规定，结合本次估价目的是为人民法院确定财产处置参考价提供参考依据而评估房地产市场价值，故不考虑估价对象可能存在的抵押、查封、欠款等事项的影响。</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rPr>
      </w:pPr>
      <w:bookmarkStart w:id="15" w:name="_Toc522795034"/>
      <w:r>
        <w:rPr>
          <w:rFonts w:hint="eastAsia" w:ascii="仿宋" w:hAnsi="仿宋" w:eastAsia="仿宋" w:cs="仿宋"/>
          <w:b/>
          <w:bCs/>
          <w:color w:val="000000"/>
          <w:sz w:val="28"/>
          <w:szCs w:val="28"/>
        </w:rPr>
        <w:t>四、不相一致假设</w:t>
      </w:r>
      <w:bookmarkEnd w:id="15"/>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无不相一致假设。</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lang w:val="en-US" w:eastAsia="zh-CN"/>
        </w:rPr>
      </w:pPr>
      <w:bookmarkStart w:id="16" w:name="_Toc522795035"/>
      <w:r>
        <w:rPr>
          <w:rFonts w:hint="eastAsia" w:ascii="仿宋" w:hAnsi="仿宋" w:eastAsia="仿宋" w:cs="仿宋"/>
          <w:b/>
          <w:bCs/>
          <w:color w:val="000000"/>
          <w:sz w:val="28"/>
          <w:szCs w:val="28"/>
          <w:lang w:val="en-US" w:eastAsia="zh-CN"/>
        </w:rPr>
        <w:t>五、依据不足假设</w:t>
      </w:r>
      <w:bookmarkEnd w:id="16"/>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bookmarkStart w:id="17" w:name="_Toc522795036"/>
      <w:r>
        <w:rPr>
          <w:rFonts w:hint="eastAsia" w:eastAsia="仿宋_GB2312"/>
          <w:color w:val="000000"/>
          <w:sz w:val="26"/>
          <w:szCs w:val="26"/>
          <w:lang w:val="en-US" w:eastAsia="zh-CN"/>
        </w:rPr>
        <w:t>委托人未提供估价对象的《房屋所有权证》或《不动产权证》，估价对象的权属、建筑面积、用途等，是根据委托方提供的《贵州省不动产登记查询结果》所得，若估价对象的实际面积、用途等与相关产权管理部门最终核定的不一致，应以相关产权部门核定的为准，并相应的调整评估价值。</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六、估价报告使用限制</w:t>
      </w:r>
      <w:bookmarkEnd w:id="17"/>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（一）本估价报告及估价结果仅用于报告载明之估价目的使用，不得用于报告载明估价目的之外的用途使用。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非为法律、行政法规的需要，报告及附件的全部或部分内容不得向委托方和评估审查部门以外的单位和个人提供，未经委托单位许可，不得见诸于公开媒体、复制或引证。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因使用不当产生的后果，与本估价机构及注册房地产估价师无关。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（二）本估价报告有效期限为一年，从估价报告出具日期之日起计算，估价目的在报告有效期内实现的，可以本估价报告及估价结果作参考。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估价目的在报告有限期之后实现的，不能以本估价报告及估价结果作参考，应重新进行估价。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价值时点后估价报告有效期以内若估价对象数量或价格水平发生重大变化，对估价结果产生明显影响时，委托方或相关当事方应及时聘请估价机构重新确定估价结果。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报告使用者包括委托方、估价目的涉及的估价报告使用者以及国家法律法规明确的估价报告使用者。除国家法律、法规另有规定外，任何未经估价机构和委托方确认的机构或个人不能由于得到估价报告成为估价报告使用者。</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 w:hAnsi="仿宋" w:eastAsia="仿宋" w:cs="仿宋"/>
          <w:b/>
          <w:bCs/>
          <w:sz w:val="28"/>
          <w:szCs w:val="28"/>
          <w:lang w:val="en-US" w:eastAsia="zh-CN"/>
        </w:rPr>
      </w:pPr>
      <w:bookmarkStart w:id="18" w:name="_Toc522795037"/>
      <w:r>
        <w:rPr>
          <w:rFonts w:hint="eastAsia" w:ascii="仿宋" w:hAnsi="仿宋" w:eastAsia="仿宋" w:cs="仿宋"/>
          <w:b/>
          <w:bCs/>
          <w:sz w:val="28"/>
          <w:szCs w:val="28"/>
          <w:lang w:val="en-US" w:eastAsia="zh-CN"/>
        </w:rPr>
        <w:t>七、使用估价报告和估价结果时需要注意的其他事项</w:t>
      </w:r>
      <w:bookmarkEnd w:id="18"/>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（一）本估价报告提供的估价结果是在假设和限制条件及特殊说明事项下于价值时点的公开市场价格（包含建筑物应分摊的土地使用权价值）。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（二）本估价报告的估价目的为委托方案件执行提供价值参考依据，报告形成的估价结果，仅供相关方参考。相关数额由相关双方根据市场风险、兑现难易和政府有关税费缴纳规定等情况确定。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（三）本报告的估价结果是估价对象在价值时点现状利用状况下的价值，并不是房地产开发完成后的价值或售价，在此提请估价报告使用方注意。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四）本公司注册房地产估价师已对本估价报告中的估价对象进行了实地查勘，但仅限于对估价对象建筑外观及目前使用状况。我们不承担对估价对象建筑结构、质量进行调查、核实的责任，也不承担对被遮盖、未暴露及难以接触到的部分进行检视的责任。</w:t>
      </w:r>
    </w:p>
    <w:p>
      <w:pPr>
        <w:rPr>
          <w:rFonts w:hint="eastAsia"/>
        </w:rPr>
      </w:pPr>
      <w:bookmarkStart w:id="19" w:name="_Toc286074109"/>
      <w:bookmarkStart w:id="20" w:name="_Toc522795038"/>
    </w:p>
    <w:p>
      <w:pPr>
        <w:rPr>
          <w:rFonts w:hint="eastAsia"/>
        </w:rPr>
      </w:pPr>
    </w:p>
    <w:p>
      <w:pPr>
        <w:rPr>
          <w:rFonts w:hint="eastAsia"/>
        </w:rPr>
      </w:pPr>
    </w:p>
    <w:p>
      <w:pPr>
        <w:rPr>
          <w:rFonts w:hint="eastAsia"/>
        </w:rPr>
      </w:pPr>
    </w:p>
    <w:p>
      <w:pPr>
        <w:pStyle w:val="2"/>
        <w:pageBreakBefore w:val="0"/>
        <w:kinsoku/>
        <w:wordWrap/>
        <w:overflowPunct/>
        <w:topLinePunct w:val="0"/>
        <w:autoSpaceDE/>
        <w:autoSpaceDN/>
        <w:bidi w:val="0"/>
        <w:adjustRightInd/>
        <w:snapToGrid/>
        <w:spacing w:before="0" w:after="0" w:line="500" w:lineRule="exact"/>
        <w:jc w:val="center"/>
        <w:textAlignment w:val="auto"/>
        <w:rPr>
          <w:rFonts w:hint="eastAsia" w:ascii="仿宋" w:hAnsi="仿宋" w:eastAsia="仿宋" w:cs="仿宋"/>
          <w:b/>
          <w:bCs/>
          <w:kern w:val="0"/>
          <w:sz w:val="52"/>
          <w:szCs w:val="52"/>
        </w:rPr>
      </w:pPr>
      <w:bookmarkStart w:id="21" w:name="_Toc25223"/>
      <w:bookmarkStart w:id="22" w:name="_Toc253"/>
      <w:r>
        <w:rPr>
          <w:rFonts w:hint="eastAsia" w:ascii="仿宋" w:hAnsi="仿宋" w:eastAsia="仿宋" w:cs="仿宋"/>
          <w:b/>
          <w:bCs/>
          <w:kern w:val="0"/>
          <w:sz w:val="52"/>
          <w:szCs w:val="52"/>
        </w:rPr>
        <w:t>估价结果报告</w:t>
      </w:r>
      <w:bookmarkEnd w:id="19"/>
      <w:bookmarkEnd w:id="20"/>
      <w:bookmarkEnd w:id="21"/>
      <w:bookmarkEnd w:id="22"/>
    </w:p>
    <w:p>
      <w:pPr>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Cs w:val="21"/>
          <w:lang w:eastAsia="zh-CN"/>
        </w:rPr>
      </w:pPr>
      <w:r>
        <w:rPr>
          <w:rFonts w:hint="eastAsia" w:ascii="仿宋" w:hAnsi="仿宋" w:eastAsia="仿宋" w:cs="仿宋"/>
          <w:b/>
          <w:bCs/>
          <w:szCs w:val="21"/>
          <w:lang w:eastAsia="zh-CN"/>
        </w:rPr>
        <w:t>黔昊远房估字（2022）05034号</w:t>
      </w:r>
    </w:p>
    <w:p>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00" w:lineRule="exact"/>
        <w:textAlignment w:val="auto"/>
        <w:rPr>
          <w:rFonts w:hint="eastAsia" w:ascii="仿宋" w:hAnsi="仿宋" w:eastAsia="仿宋" w:cs="仿宋"/>
          <w:color w:val="464646"/>
          <w:kern w:val="0"/>
          <w:sz w:val="28"/>
          <w:szCs w:val="28"/>
        </w:rPr>
      </w:pP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kern w:val="0"/>
          <w:sz w:val="32"/>
          <w:szCs w:val="32"/>
          <w:lang w:eastAsia="zh-CN"/>
        </w:rPr>
      </w:pPr>
      <w:bookmarkStart w:id="23" w:name="_Toc522795039"/>
      <w:bookmarkStart w:id="24" w:name="_Toc20403"/>
      <w:bookmarkStart w:id="25" w:name="_Toc2672"/>
      <w:bookmarkStart w:id="26" w:name="_Toc286074110"/>
      <w:r>
        <w:rPr>
          <w:rFonts w:hint="eastAsia" w:ascii="仿宋" w:hAnsi="仿宋" w:eastAsia="仿宋" w:cs="仿宋"/>
          <w:kern w:val="0"/>
          <w:sz w:val="32"/>
          <w:szCs w:val="32"/>
        </w:rPr>
        <w:t>一、估价委托</w:t>
      </w:r>
      <w:bookmarkEnd w:id="23"/>
      <w:bookmarkEnd w:id="24"/>
      <w:bookmarkEnd w:id="25"/>
      <w:bookmarkEnd w:id="26"/>
      <w:r>
        <w:rPr>
          <w:rFonts w:hint="eastAsia" w:ascii="仿宋" w:hAnsi="仿宋" w:eastAsia="仿宋" w:cs="仿宋"/>
          <w:kern w:val="0"/>
          <w:sz w:val="32"/>
          <w:szCs w:val="32"/>
          <w:lang w:val="en-US" w:eastAsia="zh-CN"/>
        </w:rPr>
        <w:t>人</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单位名称：六盘水市钟山区人民法院</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承 办 人：罗法官                          联系电话：8730093</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联 系 人：贵州尚大正和拍卖有限公司        联系电话：13518582028</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地    址：六盘水市钟山区人民法院</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27" w:name="_Toc13760"/>
      <w:bookmarkStart w:id="28" w:name="_Toc522795040"/>
      <w:bookmarkStart w:id="29" w:name="_Toc19705"/>
      <w:r>
        <w:rPr>
          <w:rFonts w:hint="eastAsia" w:ascii="仿宋" w:hAnsi="仿宋" w:eastAsia="仿宋" w:cs="仿宋"/>
          <w:b/>
          <w:bCs/>
          <w:kern w:val="0"/>
          <w:sz w:val="32"/>
          <w:szCs w:val="32"/>
        </w:rPr>
        <w:t>二、房地产估价机构</w:t>
      </w:r>
      <w:bookmarkEnd w:id="27"/>
      <w:bookmarkEnd w:id="28"/>
      <w:bookmarkEnd w:id="29"/>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名      称：贵州昊远房地产土地评估有限公司</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住      所：贵阳市云岩区新添大道南段金耀华庭商住楼1单元7层6号</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法定代表人：覃剑</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统一社会信用代码：915201030590702657</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经 营 范 围：房地产评估，宗地地价评估，地价咨询(涉及许可证的凭证经营)</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房地产估价机构备案等级：贰级</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房地产估价机构备案证书编号：筑房评估字：A2013013</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0" w:name="_Toc16378"/>
      <w:bookmarkStart w:id="31" w:name="_Toc522795041"/>
      <w:bookmarkStart w:id="32" w:name="_Toc29573"/>
      <w:r>
        <w:rPr>
          <w:rFonts w:hint="eastAsia" w:ascii="仿宋" w:hAnsi="仿宋" w:eastAsia="仿宋" w:cs="仿宋"/>
          <w:b/>
          <w:bCs/>
          <w:kern w:val="0"/>
          <w:sz w:val="32"/>
          <w:szCs w:val="32"/>
        </w:rPr>
        <w:t>三、估价目的</w:t>
      </w:r>
      <w:bookmarkEnd w:id="30"/>
      <w:bookmarkEnd w:id="31"/>
      <w:bookmarkEnd w:id="32"/>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本次估价目的是为人民法院确定财产处置参考价提供参考依据而评估房地产市场价值。</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3" w:name="_Toc286074112"/>
      <w:bookmarkStart w:id="34" w:name="_Toc7831"/>
      <w:bookmarkStart w:id="35" w:name="_Toc522795042"/>
      <w:bookmarkStart w:id="36" w:name="_Toc4955"/>
      <w:r>
        <w:rPr>
          <w:rFonts w:hint="eastAsia" w:ascii="仿宋" w:hAnsi="仿宋" w:eastAsia="仿宋" w:cs="仿宋"/>
          <w:b/>
          <w:bCs/>
          <w:kern w:val="0"/>
          <w:sz w:val="32"/>
          <w:szCs w:val="32"/>
        </w:rPr>
        <w:t>四、</w:t>
      </w:r>
      <w:bookmarkEnd w:id="33"/>
      <w:r>
        <w:rPr>
          <w:rFonts w:hint="eastAsia" w:ascii="仿宋" w:hAnsi="仿宋" w:eastAsia="仿宋" w:cs="仿宋"/>
          <w:b/>
          <w:bCs/>
          <w:kern w:val="0"/>
          <w:sz w:val="32"/>
          <w:szCs w:val="32"/>
        </w:rPr>
        <w:t>估价对象</w:t>
      </w:r>
      <w:bookmarkEnd w:id="34"/>
      <w:bookmarkEnd w:id="35"/>
      <w:bookmarkEnd w:id="36"/>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bookmarkStart w:id="37" w:name="_Toc286074113"/>
      <w:r>
        <w:rPr>
          <w:rFonts w:hint="eastAsia" w:ascii="仿宋" w:hAnsi="仿宋" w:eastAsia="仿宋" w:cs="仿宋"/>
          <w:sz w:val="28"/>
          <w:szCs w:val="28"/>
        </w:rPr>
        <w:t>（一）估价对象范围及用途</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估价对象：位于贵州省六盘水市双水新区钟山东路南侧、水城大道西侧卡达凯斯·山水城G幢1单元17层17-03号的住宅用房，建筑面积为125.72平方米，用途为：住宅，产权人为：范茂全；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sz w:val="26"/>
          <w:szCs w:val="26"/>
        </w:rPr>
        <w:t>本次估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包含房屋价值、相应分摊的土地使用权价值、不可分离的设施设备及装修价值</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color w:val="000000"/>
          <w:sz w:val="26"/>
          <w:szCs w:val="26"/>
          <w:lang w:eastAsia="zh-CN"/>
        </w:rPr>
        <w:t>。</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rPr>
        <w:t>（二）估价对象权益状况</w:t>
      </w:r>
    </w:p>
    <w:p>
      <w:pPr>
        <w:pStyle w:val="5"/>
        <w:keepNext/>
        <w:keepLines/>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val="en-US" w:eastAsia="zh-CN"/>
        </w:rPr>
        <w:t>估价对象建筑物</w:t>
      </w:r>
      <w:r>
        <w:rPr>
          <w:rFonts w:hint="eastAsia" w:ascii="仿宋" w:hAnsi="仿宋" w:eastAsia="仿宋" w:cs="仿宋"/>
          <w:color w:val="auto"/>
        </w:rPr>
        <w:t>权益状况</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根据委托人提供的《贵州省不动产登记查询结果》，估价对象的权益状况如下：</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auto"/>
          <w:sz w:val="26"/>
          <w:szCs w:val="26"/>
          <w:lang w:val="en-US" w:eastAsia="zh-CN"/>
        </w:rPr>
        <w:t>1.1权利人：</w:t>
      </w:r>
      <w:r>
        <w:rPr>
          <w:rFonts w:hint="eastAsia" w:eastAsia="仿宋_GB2312"/>
          <w:color w:val="000000"/>
          <w:sz w:val="26"/>
          <w:szCs w:val="26"/>
          <w:lang w:val="en-US" w:eastAsia="zh-CN"/>
        </w:rPr>
        <w:t>范茂全；</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1.2证件号：520221198610070059；</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1.3不动产权证书/证明号：黔（2018）水城县不动产权第0000047号；</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1.4不动产单元号：520221001007GB00034F00010052；</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1.5坐落：贵州省六盘水市双水新区钟山东路南侧、水城大道西侧卡达凯斯·山水城G幢1单元17层17-03号；</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1.6用途：住宅；</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1.7建筑面积：125.72平方米；</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1.8共有情况：单独所有；</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1.9登记时间：2018年01月30日。</w:t>
      </w:r>
    </w:p>
    <w:p>
      <w:pPr>
        <w:pStyle w:val="5"/>
        <w:keepNext/>
        <w:keepLines/>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lang w:val="en-US" w:eastAsia="zh-CN"/>
        </w:rPr>
      </w:pPr>
      <w:r>
        <w:rPr>
          <w:rFonts w:hint="eastAsia" w:ascii="仿宋" w:hAnsi="仿宋" w:eastAsia="仿宋" w:cs="仿宋"/>
          <w:color w:val="auto"/>
        </w:rPr>
        <w:t>2、土地使用权权益状况</w:t>
      </w:r>
      <w:r>
        <w:rPr>
          <w:rFonts w:hint="eastAsia" w:ascii="仿宋" w:hAnsi="仿宋" w:eastAsia="仿宋" w:cs="仿宋"/>
          <w:color w:val="auto"/>
          <w:lang w:val="en-US" w:eastAsia="zh-CN"/>
        </w:rPr>
        <w:t xml:space="preserve"> </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auto"/>
          <w:sz w:val="26"/>
          <w:szCs w:val="26"/>
          <w:lang w:val="en-US" w:eastAsia="zh-CN"/>
        </w:rPr>
      </w:pPr>
      <w:r>
        <w:rPr>
          <w:rFonts w:hint="eastAsia" w:eastAsia="仿宋_GB2312"/>
          <w:color w:val="auto"/>
          <w:sz w:val="26"/>
          <w:szCs w:val="26"/>
          <w:lang w:val="en-US" w:eastAsia="zh-CN"/>
        </w:rPr>
        <w:t>委托人未提供估价对象的《国有土地使用权证》或《不动产权证》；</w:t>
      </w:r>
    </w:p>
    <w:p>
      <w:pPr>
        <w:pStyle w:val="5"/>
        <w:keepNext/>
        <w:keepLines/>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eastAsia="宋体"/>
          <w:lang w:val="en-US" w:eastAsia="zh-CN"/>
        </w:rPr>
      </w:pPr>
      <w:r>
        <w:rPr>
          <w:rFonts w:hint="eastAsia" w:ascii="仿宋" w:hAnsi="仿宋" w:eastAsia="仿宋" w:cs="仿宋"/>
          <w:color w:val="auto"/>
          <w:lang w:val="en-US" w:eastAsia="zh-CN"/>
        </w:rPr>
        <w:t>3、</w:t>
      </w:r>
      <w:r>
        <w:rPr>
          <w:rFonts w:hint="eastAsia" w:ascii="仿宋" w:hAnsi="仿宋" w:eastAsia="仿宋" w:cs="仿宋"/>
          <w:color w:val="auto"/>
        </w:rPr>
        <w:t>他项权利设立状况</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3.1查封信息</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3.1.1查封机关：六盘水市钟山区人民法院；</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3.1.2查封文号：（2022）黔0201执266号；</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3.1.3查封期限：2022年02月18日起2025年02月18日止；</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3.1.4登记时间：2022年02月18日</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3.2抵押信息</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3.2.1抵押权人：中国邮政储蓄银行股份有限公司六盘水市荷城东路支行</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3.2.2不动产登记证明号：黔（2018）水城县不动产证明第0000127号</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3.2.3抵押金额（万元）：24</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3.2.4抵押方式：一般抵押</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3.2.5抵押期限：2018年01月31日起2028年01月31日止</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3.2.6登记时间:2018年02月07日</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根据估价目的，本次估价仅是为人民法院确定财产处置参考价提供参考依据而评估房地产市场价值。因此本次评估未考虑估价对象存在的法定优先受偿款情况，但是在处置该房地产时，会涉及到法定优先受偿款，会影响到房产受让方收益价值；在此提请估价报告使用方注意。</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w:t>
      </w:r>
      <w:r>
        <w:rPr>
          <w:rFonts w:hint="eastAsia" w:ascii="仿宋" w:hAnsi="仿宋" w:eastAsia="仿宋" w:cs="仿宋"/>
          <w:sz w:val="28"/>
          <w:szCs w:val="28"/>
        </w:rPr>
        <w:t>估价对象实物状况</w:t>
      </w:r>
    </w:p>
    <w:p>
      <w:pPr>
        <w:numPr>
          <w:ilvl w:val="0"/>
          <w:numId w:val="0"/>
        </w:numPr>
        <w:adjustRightInd w:val="0"/>
        <w:snapToGrid w:val="0"/>
        <w:spacing w:line="440" w:lineRule="exact"/>
        <w:ind w:firstLine="520" w:firstLineChars="200"/>
        <w:rPr>
          <w:rFonts w:hint="eastAsia" w:ascii="仿宋" w:hAnsi="仿宋" w:eastAsia="仿宋" w:cs="仿宋"/>
          <w:b/>
          <w:bCs/>
          <w:kern w:val="2"/>
          <w:sz w:val="28"/>
          <w:szCs w:val="28"/>
          <w:lang w:val="en-US" w:eastAsia="zh-CN" w:bidi="ar-SA"/>
        </w:rPr>
      </w:pPr>
      <w:r>
        <w:rPr>
          <w:rFonts w:hint="default" w:ascii="Times New Roman" w:hAnsi="Times New Roman" w:eastAsia="仿宋_GB2312" w:cs="Times New Roman"/>
          <w:color w:val="000000"/>
          <w:sz w:val="26"/>
          <w:szCs w:val="26"/>
          <w:lang w:val="en-US" w:eastAsia="zh-CN"/>
        </w:rPr>
        <w:t>估价对象基本情况：估价对象</w:t>
      </w:r>
      <w:r>
        <w:rPr>
          <w:rFonts w:hint="eastAsia" w:ascii="Times New Roman" w:hAnsi="Times New Roman" w:eastAsia="仿宋_GB2312" w:cs="Times New Roman"/>
          <w:color w:val="000000"/>
          <w:sz w:val="26"/>
          <w:szCs w:val="26"/>
          <w:lang w:val="en-US" w:eastAsia="zh-CN"/>
        </w:rPr>
        <w:t>位于</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default" w:ascii="Times New Roman" w:hAnsi="Times New Roman"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估价对象所在楼栋共</w:t>
      </w:r>
      <w:r>
        <w:rPr>
          <w:rFonts w:hint="eastAsia" w:eastAsia="仿宋_GB2312" w:cs="Times New Roman"/>
          <w:color w:val="000000"/>
          <w:sz w:val="26"/>
          <w:szCs w:val="26"/>
          <w:lang w:val="en-US" w:eastAsia="zh-CN"/>
        </w:rPr>
        <w:t>18层</w:t>
      </w:r>
      <w:r>
        <w:rPr>
          <w:rFonts w:hint="eastAsia" w:ascii="Times New Roman" w:hAnsi="Times New Roman" w:eastAsia="仿宋_GB2312" w:cs="Times New Roman"/>
          <w:color w:val="000000"/>
          <w:sz w:val="26"/>
          <w:szCs w:val="26"/>
          <w:lang w:val="en-US" w:eastAsia="zh-CN"/>
        </w:rPr>
        <w:t>，</w:t>
      </w:r>
      <w:r>
        <w:rPr>
          <w:rFonts w:hint="eastAsia" w:eastAsia="仿宋_GB2312" w:cs="Times New Roman"/>
          <w:color w:val="000000"/>
          <w:sz w:val="26"/>
          <w:szCs w:val="26"/>
          <w:lang w:val="en-US" w:eastAsia="zh-CN"/>
        </w:rPr>
        <w:t>地上17层，地下1层，</w:t>
      </w:r>
      <w:r>
        <w:rPr>
          <w:rFonts w:hint="eastAsia" w:ascii="Times New Roman" w:hAnsi="Times New Roman" w:eastAsia="仿宋_GB2312" w:cs="Times New Roman"/>
          <w:color w:val="000000"/>
          <w:sz w:val="26"/>
          <w:szCs w:val="26"/>
          <w:lang w:val="en-US" w:eastAsia="zh-CN"/>
        </w:rPr>
        <w:t>估价对象位于第</w:t>
      </w:r>
      <w:r>
        <w:rPr>
          <w:rFonts w:hint="eastAsia" w:eastAsia="仿宋_GB2312" w:cs="Times New Roman"/>
          <w:color w:val="000000"/>
          <w:sz w:val="26"/>
          <w:szCs w:val="26"/>
          <w:lang w:val="en-US" w:eastAsia="zh-CN"/>
        </w:rPr>
        <w:t>17层</w:t>
      </w:r>
      <w:r>
        <w:rPr>
          <w:rFonts w:hint="eastAsia" w:ascii="Times New Roman" w:hAnsi="Times New Roman" w:eastAsia="仿宋_GB2312" w:cs="Times New Roman"/>
          <w:color w:val="000000"/>
          <w:sz w:val="26"/>
          <w:szCs w:val="26"/>
          <w:lang w:val="en-US" w:eastAsia="zh-CN"/>
        </w:rPr>
        <w:t>；外观形象新颖；</w:t>
      </w:r>
      <w:r>
        <w:rPr>
          <w:rFonts w:hint="default" w:ascii="Times New Roman" w:hAnsi="Times New Roman" w:eastAsia="仿宋_GB2312" w:cs="Times New Roman"/>
          <w:color w:val="000000"/>
          <w:sz w:val="26"/>
          <w:szCs w:val="26"/>
          <w:lang w:val="en-US" w:eastAsia="zh-CN"/>
        </w:rPr>
        <w:t>水、电</w:t>
      </w:r>
      <w:r>
        <w:rPr>
          <w:rFonts w:hint="eastAsia" w:ascii="Times New Roman" w:hAnsi="Times New Roman" w:eastAsia="仿宋_GB2312" w:cs="Times New Roman"/>
          <w:color w:val="000000"/>
          <w:sz w:val="26"/>
          <w:szCs w:val="26"/>
          <w:lang w:val="en-US" w:eastAsia="zh-CN"/>
        </w:rPr>
        <w:t>、</w:t>
      </w:r>
      <w:r>
        <w:rPr>
          <w:rFonts w:hint="eastAsia" w:eastAsia="仿宋_GB2312"/>
          <w:color w:val="000000"/>
          <w:sz w:val="26"/>
          <w:szCs w:val="26"/>
          <w:lang w:val="en-US" w:eastAsia="zh-CN"/>
        </w:rPr>
        <w:t>消防</w:t>
      </w:r>
      <w:r>
        <w:rPr>
          <w:rFonts w:hint="eastAsia" w:ascii="Times New Roman" w:hAnsi="Times New Roman" w:eastAsia="仿宋_GB2312" w:cs="Times New Roman"/>
          <w:color w:val="000000"/>
          <w:sz w:val="26"/>
          <w:szCs w:val="26"/>
          <w:lang w:val="en-US" w:eastAsia="zh-CN"/>
        </w:rPr>
        <w:t>；</w:t>
      </w:r>
      <w:r>
        <w:rPr>
          <w:rFonts w:hint="default" w:ascii="Times New Roman" w:hAnsi="Times New Roman" w:eastAsia="仿宋_GB2312" w:cs="Times New Roman"/>
          <w:color w:val="000000"/>
          <w:sz w:val="26"/>
          <w:szCs w:val="26"/>
          <w:lang w:val="en-US" w:eastAsia="zh-CN"/>
        </w:rPr>
        <w:t>周围道路硬化及绿化</w:t>
      </w:r>
      <w:r>
        <w:rPr>
          <w:rFonts w:hint="eastAsia" w:ascii="Times New Roman" w:hAnsi="Times New Roman" w:eastAsia="仿宋_GB2312" w:cs="Times New Roman"/>
          <w:color w:val="000000"/>
          <w:sz w:val="26"/>
          <w:szCs w:val="26"/>
          <w:lang w:val="en-US" w:eastAsia="zh-CN"/>
        </w:rPr>
        <w:t>环境一般</w:t>
      </w:r>
      <w:r>
        <w:rPr>
          <w:rFonts w:hint="default" w:ascii="Times New Roman" w:hAnsi="Times New Roman"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周围基础设施以及物业管理水平一般</w:t>
      </w:r>
      <w:r>
        <w:rPr>
          <w:rFonts w:hint="default" w:ascii="Times New Roman" w:hAnsi="Times New Roman" w:eastAsia="仿宋_GB2312" w:cs="Times New Roman"/>
          <w:color w:val="000000"/>
          <w:sz w:val="26"/>
          <w:szCs w:val="26"/>
          <w:lang w:val="en-US" w:eastAsia="zh-CN"/>
        </w:rPr>
        <w:t>。</w:t>
      </w:r>
    </w:p>
    <w:p>
      <w:pPr>
        <w:numPr>
          <w:ilvl w:val="0"/>
          <w:numId w:val="0"/>
        </w:numPr>
        <w:adjustRightInd w:val="0"/>
        <w:snapToGrid w:val="0"/>
        <w:spacing w:line="440" w:lineRule="exact"/>
        <w:ind w:firstLine="562" w:firstLineChars="200"/>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1估价对象土地使用权实体状况</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1.1名称：</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eastAsia" w:ascii="Times New Roman" w:hAnsi="Times New Roman" w:eastAsia="仿宋_GB2312" w:cs="Times New Roman"/>
          <w:color w:val="000000"/>
          <w:sz w:val="26"/>
          <w:szCs w:val="26"/>
          <w:lang w:val="en-US" w:eastAsia="zh-CN"/>
        </w:rPr>
        <w:t>住宅楼。</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1.2四至及临街状况：</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eastAsia" w:ascii="Times New Roman" w:hAnsi="Times New Roman" w:eastAsia="仿宋_GB2312" w:cs="Times New Roman"/>
          <w:color w:val="000000"/>
          <w:sz w:val="26"/>
          <w:szCs w:val="26"/>
          <w:lang w:val="en-US" w:eastAsia="zh-CN"/>
        </w:rPr>
        <w:t>住宅楼</w:t>
      </w:r>
      <w:r>
        <w:rPr>
          <w:rFonts w:hint="eastAsia" w:eastAsia="仿宋_GB2312"/>
          <w:color w:val="000000"/>
          <w:sz w:val="26"/>
          <w:szCs w:val="26"/>
          <w:lang w:val="en-US" w:eastAsia="zh-CN"/>
        </w:rPr>
        <w:t>项目，估价对象项目地处</w:t>
      </w:r>
      <w:r>
        <w:rPr>
          <w:rFonts w:hint="eastAsia" w:eastAsia="仿宋_GB2312" w:cs="Times New Roman"/>
          <w:color w:val="000000"/>
          <w:sz w:val="26"/>
          <w:szCs w:val="26"/>
          <w:lang w:val="en-US" w:eastAsia="zh-CN"/>
        </w:rPr>
        <w:t>钟山大道与水城大道470米交汇处</w:t>
      </w:r>
      <w:r>
        <w:rPr>
          <w:rFonts w:hint="eastAsia" w:eastAsia="仿宋_GB2312"/>
          <w:color w:val="000000"/>
          <w:sz w:val="26"/>
          <w:szCs w:val="26"/>
          <w:lang w:val="en-US" w:eastAsia="zh-CN"/>
        </w:rPr>
        <w:t>，东距水城大道约470米、南临腾庆路、西临小区内楼栋及道路、北临钟山大道。</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1.3用途：住宅</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1.4形状：较规则</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1.5地形地势：地势较平坦</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1.6地质：地基承载力一般，地质条件一般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1.7土壤：无污染</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1.8土地开发程度：土地开发程度为“五通一平”（通路、通上水、通下水、通电、通讯、土地平整）</w:t>
      </w:r>
    </w:p>
    <w:p>
      <w:pPr>
        <w:numPr>
          <w:ilvl w:val="0"/>
          <w:numId w:val="0"/>
        </w:numPr>
        <w:adjustRightInd w:val="0"/>
        <w:snapToGrid w:val="0"/>
        <w:spacing w:line="440" w:lineRule="exact"/>
        <w:ind w:firstLine="562" w:firstLineChars="200"/>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2估价对象建筑物实物状况</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2.1名称：</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eastAsia" w:ascii="Times New Roman" w:hAnsi="Times New Roman" w:eastAsia="仿宋_GB2312" w:cs="Times New Roman"/>
          <w:color w:val="000000"/>
          <w:sz w:val="26"/>
          <w:szCs w:val="26"/>
          <w:lang w:val="en-US" w:eastAsia="zh-CN"/>
        </w:rPr>
        <w:t>住宅楼；</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2.2建筑规模：建筑面积125.72平方米；</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2.3层数：总层数为18层</w:t>
      </w:r>
      <w:r>
        <w:rPr>
          <w:rFonts w:hint="eastAsia" w:ascii="Times New Roman" w:hAnsi="Times New Roman" w:eastAsia="仿宋_GB2312" w:cs="Times New Roman"/>
          <w:color w:val="000000"/>
          <w:sz w:val="26"/>
          <w:szCs w:val="26"/>
          <w:lang w:val="en-US" w:eastAsia="zh-CN"/>
        </w:rPr>
        <w:t>，</w:t>
      </w:r>
      <w:r>
        <w:rPr>
          <w:rFonts w:hint="eastAsia" w:eastAsia="仿宋_GB2312" w:cs="Times New Roman"/>
          <w:color w:val="000000"/>
          <w:sz w:val="26"/>
          <w:szCs w:val="26"/>
          <w:lang w:val="en-US" w:eastAsia="zh-CN"/>
        </w:rPr>
        <w:t>地上17层，地下1层，</w:t>
      </w:r>
      <w:r>
        <w:rPr>
          <w:rFonts w:hint="eastAsia" w:ascii="Times New Roman" w:hAnsi="Times New Roman" w:eastAsia="仿宋_GB2312" w:cs="Times New Roman"/>
          <w:color w:val="000000"/>
          <w:sz w:val="26"/>
          <w:szCs w:val="26"/>
          <w:lang w:val="en-US" w:eastAsia="zh-CN"/>
        </w:rPr>
        <w:t>估价对象位于第</w:t>
      </w:r>
      <w:r>
        <w:rPr>
          <w:rFonts w:hint="eastAsia" w:eastAsia="仿宋_GB2312" w:cs="Times New Roman"/>
          <w:color w:val="000000"/>
          <w:sz w:val="26"/>
          <w:szCs w:val="26"/>
          <w:lang w:val="en-US" w:eastAsia="zh-CN"/>
        </w:rPr>
        <w:t>17层</w:t>
      </w:r>
      <w:r>
        <w:rPr>
          <w:rFonts w:hint="eastAsia" w:eastAsia="仿宋_GB2312"/>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2.4建筑结构：框混结构。</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2.5层高：室内层高约3米。</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2.6空间布局：复式楼，整体使用。</w:t>
      </w:r>
    </w:p>
    <w:p>
      <w:pPr>
        <w:numPr>
          <w:ilvl w:val="0"/>
          <w:numId w:val="0"/>
        </w:numPr>
        <w:adjustRightInd w:val="0"/>
        <w:snapToGrid w:val="0"/>
        <w:spacing w:line="440" w:lineRule="exact"/>
        <w:ind w:firstLine="520" w:firstLineChars="200"/>
        <w:rPr>
          <w:rFonts w:hint="default" w:ascii="Times New Roman" w:hAnsi="Times New Roman" w:eastAsia="仿宋_GB2312" w:cs="Times New Roman"/>
          <w:color w:val="000000"/>
          <w:sz w:val="26"/>
          <w:szCs w:val="26"/>
          <w:lang w:val="en-US" w:eastAsia="zh-CN"/>
        </w:rPr>
      </w:pPr>
      <w:r>
        <w:rPr>
          <w:rFonts w:hint="eastAsia" w:eastAsia="仿宋_GB2312"/>
          <w:color w:val="000000"/>
          <w:sz w:val="26"/>
          <w:szCs w:val="26"/>
          <w:lang w:val="en-US" w:eastAsia="zh-CN"/>
        </w:rPr>
        <w:t>2.7装饰装修：</w:t>
      </w:r>
      <w:r>
        <w:rPr>
          <w:rFonts w:hint="eastAsia" w:ascii="Times New Roman" w:hAnsi="Times New Roman" w:eastAsia="仿宋_GB2312" w:cs="Times New Roman"/>
          <w:color w:val="000000"/>
          <w:sz w:val="26"/>
          <w:szCs w:val="26"/>
          <w:lang w:val="en-US" w:eastAsia="zh-CN"/>
        </w:rPr>
        <w:t>估价对象外墙</w:t>
      </w:r>
      <w:r>
        <w:rPr>
          <w:rFonts w:hint="eastAsia" w:eastAsia="仿宋_GB2312" w:cs="Times New Roman"/>
          <w:color w:val="000000"/>
          <w:sz w:val="26"/>
          <w:szCs w:val="26"/>
          <w:lang w:val="en-US" w:eastAsia="zh-CN"/>
        </w:rPr>
        <w:t>涂涂料</w:t>
      </w:r>
      <w:r>
        <w:rPr>
          <w:rFonts w:hint="eastAsia" w:ascii="Times New Roman" w:hAnsi="Times New Roman" w:eastAsia="仿宋_GB2312" w:cs="Times New Roman"/>
          <w:color w:val="000000"/>
          <w:sz w:val="26"/>
          <w:szCs w:val="26"/>
          <w:lang w:val="en-US" w:eastAsia="zh-CN"/>
        </w:rPr>
        <w:t>；室内户型：</w:t>
      </w:r>
      <w:r>
        <w:rPr>
          <w:rFonts w:hint="eastAsia" w:eastAsia="仿宋_GB2312" w:cs="Times New Roman"/>
          <w:color w:val="000000"/>
          <w:sz w:val="26"/>
          <w:szCs w:val="26"/>
          <w:lang w:val="en-US" w:eastAsia="zh-CN"/>
        </w:rPr>
        <w:t>室内第1层为</w:t>
      </w:r>
      <w:r>
        <w:rPr>
          <w:rFonts w:hint="eastAsia" w:ascii="Times New Roman" w:hAnsi="Times New Roman" w:eastAsia="仿宋_GB2312" w:cs="Times New Roman"/>
          <w:color w:val="000000"/>
          <w:sz w:val="26"/>
          <w:szCs w:val="26"/>
          <w:lang w:val="en-US" w:eastAsia="zh-CN"/>
        </w:rPr>
        <w:t>3室1厅1厨</w:t>
      </w:r>
      <w:r>
        <w:rPr>
          <w:rFonts w:hint="eastAsia" w:eastAsia="仿宋_GB2312" w:cs="Times New Roman"/>
          <w:color w:val="000000"/>
          <w:sz w:val="26"/>
          <w:szCs w:val="26"/>
          <w:lang w:val="en-US" w:eastAsia="zh-CN"/>
        </w:rPr>
        <w:t>1</w:t>
      </w:r>
      <w:r>
        <w:rPr>
          <w:rFonts w:hint="eastAsia" w:ascii="Times New Roman" w:hAnsi="Times New Roman" w:eastAsia="仿宋_GB2312" w:cs="Times New Roman"/>
          <w:color w:val="000000"/>
          <w:sz w:val="26"/>
          <w:szCs w:val="26"/>
          <w:lang w:val="en-US" w:eastAsia="zh-CN"/>
        </w:rPr>
        <w:t>卫；</w:t>
      </w:r>
      <w:r>
        <w:rPr>
          <w:rFonts w:hint="eastAsia" w:eastAsia="仿宋_GB2312" w:cs="Times New Roman"/>
          <w:color w:val="000000"/>
          <w:sz w:val="26"/>
          <w:szCs w:val="26"/>
          <w:lang w:val="en-US" w:eastAsia="zh-CN"/>
        </w:rPr>
        <w:t>室内第2层为</w:t>
      </w:r>
      <w:r>
        <w:rPr>
          <w:rFonts w:hint="eastAsia" w:ascii="Times New Roman" w:hAnsi="Times New Roman" w:eastAsia="仿宋_GB2312" w:cs="Times New Roman"/>
          <w:color w:val="000000"/>
          <w:sz w:val="26"/>
          <w:szCs w:val="26"/>
          <w:lang w:val="en-US" w:eastAsia="zh-CN"/>
        </w:rPr>
        <w:t>3室1厅1厨</w:t>
      </w:r>
      <w:r>
        <w:rPr>
          <w:rFonts w:hint="eastAsia" w:eastAsia="仿宋_GB2312" w:cs="Times New Roman"/>
          <w:color w:val="000000"/>
          <w:sz w:val="26"/>
          <w:szCs w:val="26"/>
          <w:lang w:val="en-US" w:eastAsia="zh-CN"/>
        </w:rPr>
        <w:t>1</w:t>
      </w:r>
      <w:r>
        <w:rPr>
          <w:rFonts w:hint="eastAsia" w:ascii="Times New Roman" w:hAnsi="Times New Roman" w:eastAsia="仿宋_GB2312" w:cs="Times New Roman"/>
          <w:color w:val="000000"/>
          <w:sz w:val="26"/>
          <w:szCs w:val="26"/>
          <w:lang w:val="en-US" w:eastAsia="zh-CN"/>
        </w:rPr>
        <w:t>卫</w:t>
      </w:r>
      <w:r>
        <w:rPr>
          <w:rFonts w:hint="eastAsia"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入户门为防盗门，</w:t>
      </w:r>
      <w:r>
        <w:rPr>
          <w:rFonts w:hint="eastAsia" w:eastAsia="仿宋_GB2312" w:cs="Times New Roman"/>
          <w:color w:val="000000"/>
          <w:sz w:val="26"/>
          <w:szCs w:val="26"/>
          <w:lang w:val="en-US" w:eastAsia="zh-CN"/>
        </w:rPr>
        <w:t>估价对象室内未装修，为毛坯房，但水、电已安装。</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2.8设施设备；估价对象水、电、消防。</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2.9物业管理：物业管理一般。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3.0维护及完损状况：房屋地基稳固，基础完好；无墙体开裂，地面凸起、凹陷，门窗破损等现象；外观成新状况较优，维护情况较优，现场勘查为九成新。</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四</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估价对象区位状况</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4.1位置状况：估价对象位于</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eastAsia" w:eastAsia="仿宋_GB2312"/>
          <w:color w:val="000000"/>
          <w:sz w:val="26"/>
          <w:szCs w:val="26"/>
          <w:lang w:val="en-US" w:eastAsia="zh-CN"/>
        </w:rPr>
        <w:t>，与所在区域内商场、医院、学校、银行等重要设施服务半径短；</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4.2交通状况：估价对象所在位置外联道路有</w:t>
      </w:r>
      <w:r>
        <w:rPr>
          <w:rFonts w:hint="eastAsia" w:eastAsia="仿宋_GB2312" w:cs="Times New Roman"/>
          <w:color w:val="000000"/>
          <w:sz w:val="26"/>
          <w:szCs w:val="26"/>
          <w:lang w:val="en-US" w:eastAsia="zh-CN"/>
        </w:rPr>
        <w:t>钟山大道、水城大道</w:t>
      </w:r>
      <w:r>
        <w:rPr>
          <w:rFonts w:hint="eastAsia" w:eastAsia="仿宋_GB2312"/>
          <w:color w:val="000000"/>
          <w:sz w:val="26"/>
          <w:szCs w:val="26"/>
          <w:lang w:val="en-US" w:eastAsia="zh-CN"/>
        </w:rPr>
        <w:t>、腾庆路，道路状况较优，通达度较优；</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4.3出行可利用交通工具：附近有3条及以上公交线路，1路、3路、21路、30路、40路、41路，有城市出租车、大巴途径周边区域；</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4.4环境状况：周边自然环境一般，空气噪声污染一般，治安状况一般，人文环境一般，区域内有公园、休闲广场、购物场所等；</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4.5外部配套设施状况：估价对象所在区域道路、给排水、电力、电讯等基础设施较完备，周边金融机构：中国邮政储蓄银行、凉都村镇银行；教育机构：水城区第二小学，水城区一小；医疗机构：水城区人民医院；区域内金融机构、教育机构、医疗机构、行政事业机构较完善；</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4.6区位状况优劣度分析：估价对象所在区域基础设施及公共设施较完善，繁华度一般，人流量一般，交通便捷度较好，区位状况一般。</w:t>
      </w:r>
    </w:p>
    <w:p>
      <w:pPr>
        <w:pStyle w:val="3"/>
        <w:keepNext/>
        <w:keepLines/>
        <w:pageBreakBefore w:val="0"/>
        <w:widowControl w:val="0"/>
        <w:numPr>
          <w:ilvl w:val="0"/>
          <w:numId w:val="1"/>
        </w:numPr>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8" w:name="_Toc3448"/>
      <w:bookmarkStart w:id="39" w:name="_Toc17838"/>
      <w:bookmarkStart w:id="40" w:name="_Toc522795047"/>
      <w:r>
        <w:rPr>
          <w:rFonts w:hint="eastAsia" w:ascii="仿宋" w:hAnsi="仿宋" w:eastAsia="仿宋" w:cs="仿宋"/>
          <w:b/>
          <w:bCs/>
          <w:kern w:val="0"/>
          <w:sz w:val="32"/>
          <w:szCs w:val="32"/>
        </w:rPr>
        <w:t>价值时点</w:t>
      </w:r>
      <w:bookmarkEnd w:id="38"/>
      <w:bookmarkEnd w:id="39"/>
      <w:bookmarkEnd w:id="40"/>
    </w:p>
    <w:p>
      <w:pPr>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本次价值时点为2022年04月18日，</w:t>
      </w:r>
      <w:r>
        <w:rPr>
          <w:rFonts w:hint="eastAsia" w:eastAsia="仿宋_GB2312"/>
          <w:color w:val="auto"/>
          <w:sz w:val="26"/>
          <w:szCs w:val="26"/>
          <w:lang w:val="en-US" w:eastAsia="zh-CN"/>
        </w:rPr>
        <w:t>为完成估价对象实地查勘之日</w:t>
      </w:r>
      <w:r>
        <w:rPr>
          <w:rFonts w:hint="eastAsia" w:eastAsia="仿宋_GB2312"/>
          <w:color w:val="000000"/>
          <w:sz w:val="26"/>
          <w:szCs w:val="26"/>
          <w:lang w:val="en-US" w:eastAsia="zh-CN"/>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41" w:name="_Toc522795048"/>
      <w:bookmarkStart w:id="42" w:name="_Toc2610"/>
      <w:bookmarkStart w:id="43" w:name="_Toc8978"/>
      <w:r>
        <w:rPr>
          <w:rFonts w:hint="eastAsia" w:ascii="仿宋" w:hAnsi="仿宋" w:eastAsia="仿宋" w:cs="仿宋"/>
          <w:b/>
          <w:bCs/>
          <w:kern w:val="0"/>
          <w:sz w:val="32"/>
          <w:szCs w:val="32"/>
        </w:rPr>
        <w:t>六、价值类型</w:t>
      </w:r>
      <w:bookmarkEnd w:id="37"/>
      <w:bookmarkEnd w:id="41"/>
      <w:bookmarkEnd w:id="42"/>
      <w:bookmarkEnd w:id="43"/>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本报告估价结果是反映估价对象在价值时点的公开</w:t>
      </w:r>
      <w:bookmarkStart w:id="44" w:name="OLE_LINK6"/>
      <w:r>
        <w:rPr>
          <w:rFonts w:hint="eastAsia" w:eastAsia="仿宋_GB2312"/>
          <w:color w:val="000000"/>
          <w:sz w:val="26"/>
          <w:szCs w:val="26"/>
          <w:lang w:val="en-US" w:eastAsia="zh-CN"/>
        </w:rPr>
        <w:t>市场价值</w:t>
      </w:r>
      <w:bookmarkEnd w:id="44"/>
      <w:r>
        <w:rPr>
          <w:rFonts w:hint="eastAsia" w:eastAsia="仿宋_GB2312"/>
          <w:color w:val="000000"/>
          <w:sz w:val="26"/>
          <w:szCs w:val="26"/>
          <w:lang w:val="en-US" w:eastAsia="zh-CN"/>
        </w:rPr>
        <w:t>（包含应分摊的土地使用权价格）。</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公开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他性。</w:t>
      </w:r>
    </w:p>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643" w:firstLineChars="200"/>
        <w:textAlignment w:val="auto"/>
        <w:outlineLvl w:val="1"/>
        <w:rPr>
          <w:rFonts w:hint="eastAsia" w:ascii="仿宋" w:hAnsi="仿宋" w:eastAsia="仿宋" w:cs="仿宋"/>
          <w:b/>
          <w:bCs/>
          <w:kern w:val="0"/>
          <w:sz w:val="32"/>
          <w:szCs w:val="32"/>
        </w:rPr>
      </w:pPr>
      <w:bookmarkStart w:id="45" w:name="_Toc29800"/>
      <w:bookmarkStart w:id="46" w:name="_Toc522795049"/>
      <w:bookmarkStart w:id="47" w:name="_Toc14138"/>
      <w:r>
        <w:rPr>
          <w:rFonts w:hint="eastAsia" w:ascii="仿宋" w:hAnsi="仿宋" w:eastAsia="仿宋" w:cs="仿宋"/>
          <w:b/>
          <w:bCs/>
          <w:kern w:val="0"/>
          <w:sz w:val="32"/>
          <w:szCs w:val="32"/>
        </w:rPr>
        <w:t>七、估价原则</w:t>
      </w:r>
      <w:bookmarkEnd w:id="45"/>
      <w:bookmarkEnd w:id="46"/>
      <w:bookmarkEnd w:id="47"/>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bookmarkStart w:id="48" w:name="_Toc286074115"/>
      <w:r>
        <w:rPr>
          <w:rFonts w:eastAsia="仿宋_GB2312"/>
          <w:sz w:val="26"/>
          <w:szCs w:val="26"/>
        </w:rPr>
        <w:t>本次估价遵循了独立、客观、公正原则、合法原则、最高最佳使用原则、替代原则、价值时点原则。</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kern w:val="0"/>
          <w:sz w:val="26"/>
          <w:szCs w:val="26"/>
        </w:rPr>
      </w:pPr>
      <w:r>
        <w:rPr>
          <w:rFonts w:hint="eastAsia" w:eastAsia="仿宋_GB2312"/>
          <w:kern w:val="0"/>
          <w:sz w:val="26"/>
          <w:szCs w:val="26"/>
        </w:rPr>
        <w:t>1、</w:t>
      </w:r>
      <w:r>
        <w:rPr>
          <w:rFonts w:eastAsia="仿宋_GB2312"/>
          <w:sz w:val="26"/>
          <w:szCs w:val="26"/>
        </w:rPr>
        <w:t>独立、客观、公正原则：</w:t>
      </w:r>
      <w:r>
        <w:rPr>
          <w:rFonts w:hint="eastAsia" w:eastAsia="仿宋_GB2312"/>
          <w:sz w:val="26"/>
          <w:szCs w:val="26"/>
        </w:rPr>
        <w:t>要求站在中立的立场上，实事求是、公平正直地评估出对各方估价利害关系人均是公平合理的价值或价格的原则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r>
        <w:rPr>
          <w:rFonts w:hint="eastAsia" w:eastAsia="仿宋_GB2312"/>
          <w:kern w:val="0"/>
          <w:sz w:val="26"/>
          <w:szCs w:val="26"/>
        </w:rPr>
        <w:t>2、</w:t>
      </w:r>
      <w:r>
        <w:rPr>
          <w:rFonts w:eastAsia="仿宋_GB2312"/>
          <w:sz w:val="26"/>
          <w:szCs w:val="26"/>
        </w:rPr>
        <w:t>合法原则：</w:t>
      </w:r>
      <w:r>
        <w:rPr>
          <w:rFonts w:hint="eastAsia" w:eastAsia="仿宋_GB2312"/>
          <w:sz w:val="26"/>
          <w:szCs w:val="26"/>
        </w:rPr>
        <w:t>要求估价结果是在依法判定的估价对象状况下的价值或价格的原则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hint="eastAsia" w:eastAsia="仿宋_GB2312"/>
          <w:sz w:val="26"/>
          <w:szCs w:val="26"/>
        </w:rPr>
      </w:pPr>
      <w:r>
        <w:rPr>
          <w:rFonts w:hint="eastAsia" w:eastAsia="仿宋_GB2312"/>
          <w:kern w:val="0"/>
          <w:sz w:val="26"/>
          <w:szCs w:val="26"/>
        </w:rPr>
        <w:t>3、</w:t>
      </w:r>
      <w:r>
        <w:rPr>
          <w:rFonts w:hint="eastAsia" w:eastAsia="仿宋_GB2312"/>
          <w:sz w:val="26"/>
          <w:szCs w:val="26"/>
        </w:rPr>
        <w:t>价值时点原则</w:t>
      </w:r>
      <w:r>
        <w:rPr>
          <w:rFonts w:eastAsia="仿宋_GB2312"/>
          <w:sz w:val="26"/>
          <w:szCs w:val="26"/>
        </w:rPr>
        <w:t>：</w:t>
      </w:r>
      <w:r>
        <w:rPr>
          <w:rFonts w:hint="eastAsia" w:eastAsia="仿宋_GB2312"/>
          <w:sz w:val="26"/>
          <w:szCs w:val="26"/>
        </w:rPr>
        <w:t>要求估价结果是在根据估价目的确定的某一特定时间的价值或价格的原则</w:t>
      </w:r>
      <w:r>
        <w:rPr>
          <w:rFonts w:eastAsia="仿宋_GB2312"/>
          <w:sz w:val="26"/>
          <w:szCs w:val="26"/>
        </w:rPr>
        <w:t>。</w:t>
      </w:r>
    </w:p>
    <w:p>
      <w:pPr>
        <w:spacing w:line="440" w:lineRule="exact"/>
        <w:ind w:firstLine="520" w:firstLineChars="200"/>
        <w:rPr>
          <w:rFonts w:hint="eastAsia" w:eastAsia="仿宋_GB2312"/>
          <w:sz w:val="26"/>
          <w:szCs w:val="26"/>
        </w:rPr>
      </w:pPr>
      <w:r>
        <w:rPr>
          <w:rFonts w:hint="eastAsia" w:eastAsia="仿宋_GB2312"/>
          <w:sz w:val="26"/>
          <w:szCs w:val="26"/>
        </w:rPr>
        <w:t>4、</w:t>
      </w:r>
      <w:r>
        <w:rPr>
          <w:rFonts w:eastAsia="仿宋_GB2312"/>
          <w:sz w:val="26"/>
          <w:szCs w:val="26"/>
        </w:rPr>
        <w:t>替代原则：</w:t>
      </w:r>
      <w:r>
        <w:rPr>
          <w:rFonts w:hint="eastAsia" w:eastAsia="仿宋_GB2312"/>
          <w:sz w:val="26"/>
          <w:szCs w:val="26"/>
        </w:rPr>
        <w:t>要求估价结果与估价对象的类似房地产在同等条件下的价值或价格偏差在合理范围内的原则。</w:t>
      </w:r>
    </w:p>
    <w:p>
      <w:pPr>
        <w:spacing w:line="440" w:lineRule="exact"/>
        <w:ind w:firstLine="520" w:firstLineChars="200"/>
        <w:rPr>
          <w:rFonts w:hint="eastAsia" w:eastAsia="仿宋_GB2312"/>
          <w:color w:val="000000"/>
          <w:sz w:val="26"/>
          <w:szCs w:val="26"/>
          <w:lang w:val="en-US" w:eastAsia="zh-CN"/>
        </w:rPr>
      </w:pPr>
      <w:r>
        <w:rPr>
          <w:rFonts w:hint="eastAsia" w:eastAsia="仿宋_GB2312"/>
          <w:sz w:val="26"/>
          <w:szCs w:val="26"/>
        </w:rPr>
        <w:t>5、</w:t>
      </w:r>
      <w:r>
        <w:rPr>
          <w:rFonts w:eastAsia="仿宋_GB2312"/>
          <w:sz w:val="26"/>
          <w:szCs w:val="26"/>
        </w:rPr>
        <w:t>最高最佳使用原则：</w:t>
      </w:r>
      <w:r>
        <w:rPr>
          <w:rFonts w:hint="eastAsia" w:eastAsia="仿宋_GB2312"/>
          <w:sz w:val="26"/>
          <w:szCs w:val="26"/>
        </w:rPr>
        <w:t>要求估价结果是在估价对象最高最佳利用状况下的价值或价格的原则；最高最佳利用：房地产在法律上允许、技术上可能、财务上可行并使价值最大的合理、可能的利用，包括最佳的用途、规模、档次等</w:t>
      </w:r>
      <w:r>
        <w:rPr>
          <w:rFonts w:eastAsia="仿宋_GB2312"/>
          <w:sz w:val="26"/>
          <w:szCs w:val="26"/>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560" w:lineRule="exact"/>
        <w:ind w:firstLine="643" w:firstLineChars="200"/>
        <w:textAlignment w:val="auto"/>
        <w:outlineLvl w:val="1"/>
        <w:rPr>
          <w:rFonts w:hint="eastAsia" w:ascii="仿宋" w:hAnsi="仿宋" w:eastAsia="仿宋" w:cs="仿宋"/>
          <w:b/>
          <w:bCs/>
          <w:kern w:val="0"/>
          <w:sz w:val="32"/>
          <w:szCs w:val="32"/>
        </w:rPr>
      </w:pPr>
      <w:bookmarkStart w:id="49" w:name="_Toc12329"/>
      <w:bookmarkStart w:id="50" w:name="_Toc2198"/>
      <w:bookmarkStart w:id="51" w:name="_Toc522795050"/>
      <w:r>
        <w:rPr>
          <w:rFonts w:hint="eastAsia" w:ascii="仿宋" w:hAnsi="仿宋" w:eastAsia="仿宋" w:cs="仿宋"/>
          <w:b/>
          <w:bCs/>
          <w:kern w:val="0"/>
          <w:sz w:val="32"/>
          <w:szCs w:val="32"/>
        </w:rPr>
        <w:t>八、估价依据</w:t>
      </w:r>
      <w:bookmarkEnd w:id="48"/>
      <w:bookmarkEnd w:id="49"/>
      <w:bookmarkEnd w:id="50"/>
      <w:bookmarkEnd w:id="51"/>
    </w:p>
    <w:p>
      <w:pPr>
        <w:pStyle w:val="10"/>
        <w:spacing w:line="440" w:lineRule="exact"/>
        <w:ind w:left="0" w:firstLine="520" w:firstLineChars="200"/>
        <w:rPr>
          <w:rFonts w:hint="eastAsia" w:eastAsia="仿宋_GB2312"/>
          <w:color w:val="auto"/>
          <w:kern w:val="2"/>
          <w:sz w:val="26"/>
          <w:szCs w:val="26"/>
          <w:lang w:val="en-US" w:eastAsia="zh-CN" w:bidi="ar-SA"/>
        </w:rPr>
      </w:pPr>
      <w:bookmarkStart w:id="52" w:name="_Toc286074116"/>
      <w:r>
        <w:rPr>
          <w:rFonts w:hint="eastAsia" w:eastAsia="仿宋_GB2312"/>
          <w:color w:val="auto"/>
          <w:kern w:val="2"/>
          <w:sz w:val="26"/>
          <w:szCs w:val="26"/>
          <w:lang w:val="en-US" w:eastAsia="zh-CN" w:bidi="ar-SA"/>
        </w:rPr>
        <w:t>（一）本次估价所依据的有关法律、法规和部门规章</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1、《中华人民共和国资产评估法》【主席令第46号】（2016年7月2日第十二届全国人民代表大会第二十一次会议通过，自2016年12月1日起实施）；</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w:t>
      </w:r>
      <w:r>
        <w:rPr>
          <w:rFonts w:hint="eastAsia" w:eastAsia="仿宋_GB2312"/>
          <w:color w:val="000000"/>
          <w:kern w:val="2"/>
          <w:sz w:val="26"/>
          <w:szCs w:val="26"/>
          <w:lang w:val="en-US" w:eastAsia="zh-CN" w:bidi="ar-SA"/>
        </w:rPr>
        <w:t>《中华</w:t>
      </w:r>
      <w:r>
        <w:rPr>
          <w:rFonts w:hint="eastAsia" w:eastAsia="仿宋_GB2312"/>
          <w:color w:val="auto"/>
          <w:kern w:val="2"/>
          <w:sz w:val="26"/>
          <w:szCs w:val="26"/>
          <w:lang w:val="en-US" w:eastAsia="zh-CN" w:bidi="ar-SA"/>
        </w:rPr>
        <w:t>人民共和国民法典》（2020年5月28日第十三届全国人民代表大会第三次会议通过，自2021年1月1日起实施）；</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3、全国人民代表大会常务委员会关于修改《中华人民共和国城市房地产管理法》的决定【主席令第72号】（中华人民共和国第十届全国人民代表大会常务委员会第二十九次会议于2007年8月30日通过并发布）；</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4、《中华人民共和国土地管理法》（根据2004年8月28日第十届全国人民代表大会常务委员会第十一次会议《关于修改‹中华人民共和国土地管理法›的决定第二次修正》）；</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5、《最高人民法院关于人民法院确定财产处置参考价若干问题的规定 》（法释〔2018〕15号）；</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6、《人民法院委托评估工作规范》（法办[</w:t>
      </w:r>
      <w:r>
        <w:rPr>
          <w:rFonts w:hint="default" w:eastAsia="仿宋_GB2312"/>
          <w:color w:val="auto"/>
          <w:kern w:val="2"/>
          <w:sz w:val="26"/>
          <w:szCs w:val="26"/>
          <w:lang w:val="en-US" w:eastAsia="zh-CN" w:bidi="ar-SA"/>
        </w:rPr>
        <w:t>2018]273</w:t>
      </w:r>
      <w:r>
        <w:rPr>
          <w:rFonts w:hint="eastAsia" w:eastAsia="仿宋_GB2312"/>
          <w:color w:val="auto"/>
          <w:kern w:val="2"/>
          <w:sz w:val="26"/>
          <w:szCs w:val="26"/>
          <w:lang w:val="en-US" w:eastAsia="zh-CN" w:bidi="ar-SA"/>
        </w:rPr>
        <w:t>号）；</w:t>
      </w:r>
    </w:p>
    <w:p>
      <w:pPr>
        <w:widowControl w:val="0"/>
        <w:spacing w:line="460" w:lineRule="exact"/>
        <w:ind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7、法释〔2004〕16号《最高人民法院关于人民法院民事执行中拍卖、变卖财产的规定》（于2004年10月26日由最高人民法院审判委员会第1330次会议通过，自2005年1月1日起施行）；</w:t>
      </w:r>
    </w:p>
    <w:p>
      <w:pPr>
        <w:widowControl w:val="0"/>
        <w:spacing w:line="460" w:lineRule="exact"/>
        <w:ind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8、法办发〔2007〕5号《最高人民法院对外委托鉴定、评估、拍卖等工作管理规定》（2007年8月23日公布，自2007年9月1日起施行）；</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9、法释〔2009〕16号《最高人民法院关于人民法院委托评估、拍卖和变卖工作的若干规定》（于2009年8月24日由最高人民法院审判委员会第1472次会议通过，自2009年11月20日起施行）；</w:t>
      </w:r>
    </w:p>
    <w:p>
      <w:pPr>
        <w:pStyle w:val="10"/>
        <w:spacing w:line="440" w:lineRule="exact"/>
        <w:ind w:left="0" w:firstLine="520" w:firstLineChars="200"/>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10、《中华人民共和国增值税暂行条例》（2017年11月19日公布）；</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11、国务院、建设部、贵州省人民政府及有关部门颁布的有关政策、法规文件。</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（二）本次估价采用的技术规程</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1、中华人民共和国国家标准《房地产估价规范》（GB/T50291-2015）；</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2、《房地产估价基本术语标准》(GB/T50899-2013)；</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（三）估价委托人提供的有关资料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1、《贵州省六盘水市钟山区人民法院委托书》；</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2、《贵州省不动产登记查询结果》（复印件）；</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（四）估价机构和估价人员所搜集掌握的有关资料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1、现场调查资料；</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auto"/>
          <w:kern w:val="2"/>
          <w:sz w:val="26"/>
          <w:szCs w:val="26"/>
          <w:lang w:val="en-US" w:eastAsia="zh-CN" w:bidi="ar-SA"/>
        </w:rPr>
        <w:t>2、当地房地产市场行情；</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sz w:val="32"/>
          <w:szCs w:val="32"/>
        </w:rPr>
      </w:pPr>
      <w:bookmarkStart w:id="53" w:name="_Toc31496"/>
      <w:bookmarkStart w:id="54" w:name="_Toc522795051"/>
      <w:bookmarkStart w:id="55" w:name="_Toc29338"/>
      <w:r>
        <w:rPr>
          <w:rFonts w:hint="eastAsia" w:ascii="仿宋" w:hAnsi="仿宋" w:eastAsia="仿宋" w:cs="仿宋"/>
          <w:b/>
          <w:bCs/>
          <w:kern w:val="0"/>
          <w:sz w:val="32"/>
          <w:szCs w:val="32"/>
        </w:rPr>
        <w:t>九、估价方法</w:t>
      </w:r>
      <w:bookmarkEnd w:id="52"/>
      <w:bookmarkEnd w:id="53"/>
      <w:bookmarkEnd w:id="54"/>
      <w:bookmarkEnd w:id="55"/>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bookmarkStart w:id="56" w:name="_Toc522795052"/>
      <w:r>
        <w:rPr>
          <w:rFonts w:hint="eastAsia" w:eastAsia="仿宋_GB2312"/>
          <w:color w:val="auto"/>
          <w:sz w:val="26"/>
          <w:szCs w:val="26"/>
          <w:lang w:val="en-US" w:eastAsia="zh-CN"/>
        </w:rPr>
        <w:t>(一)估价方法适用性分析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根据《房地产估价规范》，选用估价方法时，应根据估价对象及其所在的房地产市场状况等客观条件，对比较法、收益法、成本法、假设开发法等估价方法进行适用性分析。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比较法适用于房地产市场成熟，近期同类房地产交易案例较多的估价；收益法适用于有收益或潜在收益的房地产估价；成本法适用于房地产市场不成熟或市场依据不充分而不适宜采用比较法、收益法及假设开发法的房地产估价；假设开发法适用于具有投资开发或再开发潜力的房地产的估价。</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（二）估价方法的选择</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求取房地产市场价值时，主要的估价方法有比较法、成本法、收益法、假设开发法等，比较法适用于市场发达、交易活跃、有充足的具有替代性房地产的评估，成本法适用于无市场依据或市场依据不充分而不易采用比较法、收益法、假设开发法进行评估情况下的房地产评估，收益法适用于有现实收益或潜在收益的房地产评估，假设开发法适用于具有投资开发或有开发潜力的房地产评估。需根据特定的估价目的、估价对象状况、交易市场情况等选择适宜的估价方法。方法选择思路：</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理论上不适用的估价方法：估价对象为住宅用途房地产，根据房地产估价规范理论上不适合采用假设开发法，因为现状为正在使用且短期内重新开发或改扩建增加价值的可能性不大，故不适合采用假设开发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2、理论上适用，但客观条件不具备的估价方法：估价对象位于较繁华区域，周边基础设施、公共配套设施较齐备，交通条件较好；其区位状况较好，而选用成本法测算时无法考虑区位效应、城市附加值等影响，测算结果不能客观、合理反映估价对象的市场价值；因此不适合使用成本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default" w:eastAsia="仿宋_GB2312"/>
          <w:color w:val="0000FF"/>
          <w:sz w:val="26"/>
          <w:szCs w:val="26"/>
          <w:lang w:val="en-US" w:eastAsia="zh-CN"/>
        </w:rPr>
      </w:pPr>
      <w:r>
        <w:rPr>
          <w:rFonts w:hint="eastAsia" w:eastAsia="仿宋_GB2312"/>
          <w:color w:val="000000"/>
          <w:sz w:val="26"/>
          <w:szCs w:val="26"/>
          <w:lang w:val="en-US" w:eastAsia="zh-CN"/>
        </w:rPr>
        <w:t>3、理论上适用，但客观条件不具备的估价方法：估价对象为住宅用途房地产，虽然可以出租取得收益，但周边类似物业租金案例较少，住宅租金交易不活跃，因此未能选用收益法进行评估；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4、适用的估价方法：比较法适用于区域内同类房地产市场交易案例较多，交易较为频繁的估价方法，近期与估价对象同区域、同类的房地产市场交易案例较多、且容易收集，交易市场活跃，比较法是比较合适的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000000"/>
          <w:sz w:val="26"/>
          <w:szCs w:val="26"/>
          <w:lang w:val="en-US" w:eastAsia="zh-CN"/>
        </w:rPr>
        <w:t>综上所述，估价人员在认真分析所掌握的资料并对邻近类似房地产进行实地查看调查后，根据估价对象的特点及本次估价目的，遵照国家有关法律、法规、估价技术标准，对估价对象采用比较法进行评估。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（三）估价方法简介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比较法，是指将估价对象与在价值时点近期有过交易的类似房地产进行比较，对这些类似房地产的已知价格作适当的修正，以此估算估价对象的客观合理价格或价值的方法。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000000"/>
          <w:sz w:val="26"/>
          <w:szCs w:val="26"/>
          <w:lang w:val="en-US" w:eastAsia="zh-CN"/>
        </w:rPr>
        <w:t>房地产价值＝可比实例成交价格×交易情况修正系数×市场状况调整系数×房地产状况调整系数</w:t>
      </w:r>
      <w:r>
        <w:rPr>
          <w:rFonts w:hint="eastAsia" w:eastAsia="仿宋_GB2312"/>
          <w:color w:val="auto"/>
          <w:sz w:val="26"/>
          <w:szCs w:val="26"/>
          <w:lang w:val="en-US" w:eastAsia="zh-CN"/>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00" w:lineRule="exact"/>
        <w:ind w:firstLine="643" w:firstLineChars="200"/>
        <w:textAlignment w:val="auto"/>
        <w:outlineLvl w:val="1"/>
        <w:rPr>
          <w:rFonts w:hint="eastAsia" w:ascii="仿宋" w:hAnsi="仿宋" w:eastAsia="仿宋" w:cs="仿宋"/>
          <w:b/>
          <w:bCs/>
          <w:kern w:val="0"/>
          <w:sz w:val="32"/>
          <w:szCs w:val="32"/>
        </w:rPr>
      </w:pPr>
      <w:bookmarkStart w:id="57" w:name="_Toc14260"/>
      <w:bookmarkStart w:id="58" w:name="_Toc9208"/>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rPr>
        <w:t>估价结果</w:t>
      </w:r>
      <w:bookmarkEnd w:id="56"/>
      <w:bookmarkEnd w:id="57"/>
      <w:bookmarkEnd w:id="58"/>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sz w:val="26"/>
          <w:szCs w:val="26"/>
          <w:lang w:val="en-US" w:eastAsia="zh-CN"/>
        </w:rPr>
      </w:pPr>
      <w:bookmarkStart w:id="59" w:name="_Toc286074118"/>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并结合估价经验和对影响价值因素的分析，在满足本次估价的假设和限制条件下，确定估价对象于价值时点2022年04月18日的市场价值合计为</w:t>
      </w:r>
      <w:r>
        <w:rPr>
          <w:rFonts w:hint="default" w:ascii="Times New Roman" w:hAnsi="Times New Roman" w:eastAsia="仿宋_GB2312" w:cs="Times New Roman"/>
          <w:b/>
          <w:bCs/>
          <w:color w:val="000000"/>
          <w:sz w:val="26"/>
          <w:szCs w:val="26"/>
          <w:lang w:val="en-US" w:eastAsia="zh-CN"/>
        </w:rPr>
        <w:t>人民币</w:t>
      </w:r>
      <w:r>
        <w:rPr>
          <w:rFonts w:hint="eastAsia" w:ascii="Times New Roman" w:hAnsi="Times New Roman" w:eastAsia="仿宋_GB2312" w:cs="Times New Roman"/>
          <w:b/>
          <w:bCs/>
          <w:color w:val="000000"/>
          <w:sz w:val="26"/>
          <w:szCs w:val="26"/>
          <w:lang w:val="en-US" w:eastAsia="zh-CN"/>
        </w:rPr>
        <w:fldChar w:fldCharType="begin"/>
      </w:r>
      <w:r>
        <w:rPr>
          <w:rFonts w:hint="eastAsia" w:ascii="Times New Roman" w:hAnsi="Times New Roman" w:eastAsia="仿宋_GB2312" w:cs="Times New Roman"/>
          <w:b/>
          <w:bCs/>
          <w:color w:val="000000"/>
          <w:sz w:val="26"/>
          <w:szCs w:val="26"/>
          <w:lang w:val="en-US" w:eastAsia="zh-CN"/>
        </w:rPr>
        <w:instrText xml:space="preserve"> = 532200 \* CHINESENUM2 \* MERGEFORMAT </w:instrText>
      </w:r>
      <w:r>
        <w:rPr>
          <w:rFonts w:hint="eastAsia" w:ascii="Times New Roman" w:hAnsi="Times New Roman" w:eastAsia="仿宋_GB2312" w:cs="Times New Roman"/>
          <w:b/>
          <w:bCs/>
          <w:color w:val="000000"/>
          <w:sz w:val="26"/>
          <w:szCs w:val="26"/>
          <w:lang w:val="en-US" w:eastAsia="zh-CN"/>
        </w:rPr>
        <w:fldChar w:fldCharType="separate"/>
      </w:r>
      <w:r>
        <w:rPr>
          <w:rFonts w:hint="default" w:ascii="Times New Roman" w:hAnsi="Times New Roman" w:eastAsia="仿宋_GB2312" w:cs="Times New Roman"/>
          <w:b/>
          <w:bCs/>
          <w:color w:val="000000"/>
          <w:sz w:val="26"/>
          <w:szCs w:val="26"/>
          <w:lang w:val="en-US" w:eastAsia="zh-CN"/>
        </w:rPr>
        <w:t>伍拾叁万贰仟贰佰</w:t>
      </w:r>
      <w:r>
        <w:rPr>
          <w:rFonts w:hint="eastAsia" w:ascii="Times New Roman" w:hAnsi="Times New Roman" w:eastAsia="仿宋_GB2312" w:cs="Times New Roman"/>
          <w:b/>
          <w:bCs/>
          <w:color w:val="000000"/>
          <w:sz w:val="26"/>
          <w:szCs w:val="26"/>
          <w:lang w:val="en-US" w:eastAsia="zh-CN"/>
        </w:rPr>
        <w:fldChar w:fldCharType="end"/>
      </w:r>
      <w:r>
        <w:rPr>
          <w:rFonts w:hint="default" w:ascii="Times New Roman" w:hAnsi="Times New Roman" w:eastAsia="仿宋_GB2312" w:cs="Times New Roman"/>
          <w:b/>
          <w:bCs/>
          <w:color w:val="000000"/>
          <w:sz w:val="26"/>
          <w:szCs w:val="26"/>
          <w:lang w:val="en-US" w:eastAsia="zh-CN"/>
        </w:rPr>
        <w:t>元整</w:t>
      </w:r>
      <w:r>
        <w:rPr>
          <w:rFonts w:hint="eastAsia" w:ascii="Times New Roman" w:hAnsi="Times New Roman" w:eastAsia="仿宋_GB2312" w:cs="Times New Roman"/>
          <w:b/>
          <w:bCs/>
          <w:color w:val="000000"/>
          <w:sz w:val="26"/>
          <w:szCs w:val="26"/>
          <w:lang w:val="en-US" w:eastAsia="zh-CN"/>
        </w:rPr>
        <w:t>（¥</w:t>
      </w:r>
      <w:r>
        <w:rPr>
          <w:rFonts w:hint="eastAsia" w:eastAsia="仿宋_GB2312" w:cs="Times New Roman"/>
          <w:b/>
          <w:bCs/>
          <w:color w:val="000000"/>
          <w:sz w:val="26"/>
          <w:szCs w:val="26"/>
          <w:lang w:val="en-US" w:eastAsia="zh-CN"/>
        </w:rPr>
        <w:t>53.22</w:t>
      </w:r>
      <w:r>
        <w:rPr>
          <w:rFonts w:hint="eastAsia" w:ascii="Times New Roman" w:hAnsi="Times New Roman" w:eastAsia="仿宋_GB2312" w:cs="Times New Roman"/>
          <w:b/>
          <w:bCs/>
          <w:color w:val="000000"/>
          <w:sz w:val="26"/>
          <w:szCs w:val="26"/>
          <w:lang w:val="en-US" w:eastAsia="zh-CN"/>
        </w:rPr>
        <w:t>万元）</w:t>
      </w:r>
      <w:r>
        <w:rPr>
          <w:rFonts w:hint="eastAsia" w:eastAsia="仿宋_GB2312"/>
          <w:color w:val="000000"/>
          <w:sz w:val="26"/>
          <w:szCs w:val="26"/>
          <w:lang w:val="en-US" w:eastAsia="zh-CN"/>
        </w:rPr>
        <w:t>。详见下表：</w:t>
      </w:r>
    </w:p>
    <w:tbl>
      <w:tblPr>
        <w:tblStyle w:val="2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4"/>
        <w:gridCol w:w="1163"/>
        <w:gridCol w:w="1650"/>
        <w:gridCol w:w="1995"/>
        <w:gridCol w:w="1828"/>
      </w:tblGrid>
      <w:tr>
        <w:trPr>
          <w:trHeight w:val="500" w:hRule="atLeast"/>
          <w:jc w:val="center"/>
        </w:trPr>
        <w:tc>
          <w:tcPr>
            <w:tcW w:w="9620" w:type="dxa"/>
            <w:gridSpan w:val="5"/>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680" w:lineRule="exact"/>
              <w:jc w:val="center"/>
              <w:textAlignment w:val="auto"/>
              <w:outlineLvl w:val="9"/>
              <w:rPr>
                <w:rFonts w:hint="eastAsia" w:ascii="仿宋" w:hAnsi="仿宋" w:eastAsia="仿宋" w:cs="仿宋"/>
                <w:color w:val="000000"/>
                <w:sz w:val="28"/>
                <w:szCs w:val="28"/>
                <w:vertAlign w:val="baseline"/>
                <w:lang w:val="en-US" w:eastAsia="zh-CN"/>
              </w:rPr>
            </w:pPr>
            <w:r>
              <w:rPr>
                <w:rFonts w:hint="eastAsia" w:ascii="仿宋" w:hAnsi="仿宋" w:eastAsia="仿宋" w:cs="仿宋"/>
                <w:b/>
                <w:i w:val="0"/>
                <w:color w:val="000000"/>
                <w:kern w:val="0"/>
                <w:sz w:val="28"/>
                <w:szCs w:val="28"/>
                <w:u w:val="none"/>
                <w:lang w:val="en-US" w:eastAsia="zh-CN" w:bidi="ar"/>
              </w:rPr>
              <w:t>房地产估价结果汇总表</w:t>
            </w:r>
          </w:p>
        </w:tc>
      </w:tr>
      <w:tr>
        <w:trPr>
          <w:trHeight w:val="505" w:hRule="atLeast"/>
          <w:jc w:val="center"/>
        </w:trPr>
        <w:tc>
          <w:tcPr>
            <w:tcW w:w="9620" w:type="dxa"/>
            <w:gridSpan w:val="5"/>
            <w:tcBorders>
              <w:top w:val="nil"/>
              <w:left w:val="nil"/>
              <w:bottom w:val="single"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680" w:lineRule="exact"/>
              <w:jc w:val="center"/>
              <w:textAlignment w:val="auto"/>
              <w:outlineLvl w:val="9"/>
              <w:rPr>
                <w:rFonts w:hint="eastAsia" w:ascii="仿宋" w:hAnsi="仿宋" w:eastAsia="仿宋" w:cs="仿宋"/>
                <w:color w:val="000000"/>
                <w:sz w:val="28"/>
                <w:szCs w:val="28"/>
                <w:vertAlign w:val="baseline"/>
                <w:lang w:val="en-US" w:eastAsia="zh-CN"/>
              </w:rPr>
            </w:pPr>
            <w:r>
              <w:rPr>
                <w:rFonts w:hint="eastAsia" w:ascii="仿宋" w:hAnsi="仿宋" w:eastAsia="仿宋" w:cs="仿宋"/>
                <w:b/>
                <w:bCs/>
                <w:color w:val="000000"/>
                <w:kern w:val="0"/>
                <w:sz w:val="24"/>
                <w:lang w:val="en-US" w:eastAsia="zh-CN"/>
              </w:rPr>
              <w:t xml:space="preserve">                                                         </w:t>
            </w:r>
            <w:r>
              <w:rPr>
                <w:rFonts w:hint="eastAsia" w:ascii="仿宋" w:hAnsi="仿宋" w:eastAsia="仿宋" w:cs="仿宋"/>
                <w:b/>
                <w:bCs/>
                <w:color w:val="000000"/>
                <w:kern w:val="0"/>
                <w:sz w:val="24"/>
              </w:rPr>
              <w:t>币种：人民币</w:t>
            </w:r>
            <w:r>
              <w:rPr>
                <w:rFonts w:hint="eastAsia" w:ascii="仿宋" w:hAnsi="仿宋" w:eastAsia="仿宋" w:cs="仿宋"/>
                <w:b/>
                <w:bCs/>
                <w:color w:val="000000"/>
                <w:kern w:val="0"/>
                <w:sz w:val="24"/>
                <w:lang w:val="en-US" w:eastAsia="zh-CN"/>
              </w:rPr>
              <w:t xml:space="preserve">                                                                                                     </w:t>
            </w:r>
          </w:p>
        </w:tc>
      </w:tr>
      <w:tr>
        <w:trPr>
          <w:trHeight w:val="612" w:hRule="atLeast"/>
          <w:jc w:val="center"/>
        </w:trPr>
        <w:tc>
          <w:tcPr>
            <w:tcW w:w="5797" w:type="dxa"/>
            <w:gridSpan w:val="3"/>
            <w:tcBorders>
              <w:top w:val="single" w:color="auto" w:sz="4" w:space="0"/>
            </w:tcBorders>
            <w:noWrap w:val="0"/>
            <w:vAlign w:val="top"/>
            <mc:AlternateContent>
              <mc:Choice Requires="wpsCustomData">
                <wpsCustomData:diagonals>
                  <wpsCustomData:diagonal from="30000" to="10000">
                    <wpsCustomData:border w:val="single" w:color="auto" w:sz="4" w:space="0"/>
                  </wpsCustomData:diagonal>
                </wpsCustomData:diagonals>
              </mc:Choice>
            </mc:AlternateContent>
          </w:tcPr>
          <w:p>
            <w:pPr>
              <w:widowControl/>
              <w:jc w:val="center"/>
              <w:rPr>
                <w:rFonts w:hint="eastAsia" w:ascii="仿宋" w:hAnsi="仿宋" w:eastAsia="仿宋" w:cs="仿宋"/>
                <w:b/>
                <w:bCs/>
                <w:color w:val="000000"/>
                <w:kern w:val="0"/>
                <w:szCs w:val="21"/>
                <w:lang w:val="en-US" w:eastAsia="zh-CN"/>
              </w:rPr>
            </w:pPr>
          </w:p>
          <w:p>
            <w:pPr>
              <w:widowControl/>
              <w:jc w:val="both"/>
              <mc:AlternateContent>
                <mc:Choice Requires="wpsCustomData">
                  <wpsCustomData:diagonalParaType/>
                </mc:Choice>
              </mc:AlternateContent>
              <w:rPr>
                <w:rFonts w:hint="eastAsia"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估价对象及结果</w:t>
            </w:r>
          </w:p>
          <w:p>
            <w:pPr>
              <w:widowControl/>
              <w:jc w:val="center"/>
              <w:rPr>
                <w:rFonts w:hint="eastAsia"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 xml:space="preserve">         估价方法及结果</w:t>
            </w:r>
          </w:p>
          <w:p>
            <w:pPr>
              <w:widowControl/>
              <w:jc w:val="center"/>
              <w:rPr>
                <w:rFonts w:hint="eastAsia" w:ascii="仿宋" w:hAnsi="仿宋" w:eastAsia="仿宋" w:cs="仿宋"/>
                <w:b/>
                <w:bCs/>
                <w:color w:val="000000"/>
                <w:kern w:val="0"/>
                <w:szCs w:val="21"/>
                <w:lang w:val="en-US" w:eastAsia="zh-CN"/>
              </w:rPr>
            </w:pPr>
          </w:p>
          <w:p>
            <w:pPr>
              <w:widowControl/>
              <w:jc w:val="center"/>
              <w:rPr>
                <w:rFonts w:hint="eastAsia" w:ascii="仿宋" w:hAnsi="仿宋" w:eastAsia="仿宋" w:cs="仿宋"/>
                <w:b/>
                <w:bCs/>
                <w:color w:val="000000"/>
                <w:kern w:val="0"/>
                <w:szCs w:val="21"/>
                <w:lang w:val="en-US" w:eastAsia="zh-CN"/>
              </w:rPr>
            </w:pPr>
          </w:p>
        </w:tc>
        <w:tc>
          <w:tcPr>
            <w:tcW w:w="1995" w:type="dxa"/>
            <w:tcBorders>
              <w:top w:val="single" w:color="auto" w:sz="4" w:space="0"/>
            </w:tcBorders>
            <w:noWrap w:val="0"/>
            <w:vAlign w:val="center"/>
          </w:tcPr>
          <w:p>
            <w:pPr>
              <w:widowControl/>
              <w:jc w:val="center"/>
              <w:rPr>
                <w:rFonts w:hint="default"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比较法</w:t>
            </w:r>
          </w:p>
        </w:tc>
        <w:tc>
          <w:tcPr>
            <w:tcW w:w="1828" w:type="dxa"/>
            <w:tcBorders>
              <w:top w:val="single" w:color="auto" w:sz="4" w:space="0"/>
            </w:tcBorders>
            <w:noWrap w:val="0"/>
            <w:vAlign w:val="center"/>
          </w:tcPr>
          <w:p>
            <w:pPr>
              <w:widowControl/>
              <w:jc w:val="center"/>
              <w:rPr>
                <w:rFonts w:hint="eastAsia"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估价结果</w:t>
            </w:r>
          </w:p>
        </w:tc>
      </w:tr>
      <w:tr>
        <w:trPr>
          <w:trHeight w:val="455" w:hRule="atLeast"/>
          <w:jc w:val="center"/>
        </w:trPr>
        <w:tc>
          <w:tcPr>
            <w:tcW w:w="2984"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eastAsia" w:eastAsia="楷体" w:cs="Times New Roman"/>
                <w:b/>
                <w:bCs/>
                <w:color w:val="000000"/>
                <w:kern w:val="0"/>
                <w:sz w:val="21"/>
                <w:szCs w:val="21"/>
                <w:lang w:eastAsia="zh-CN" w:bidi="ar"/>
              </w:rPr>
              <w:t>贵州省六盘水市双水新区钟山东路南侧、水城大道西侧卡达凯斯·山水城G幢1单元17层17-03号</w:t>
            </w:r>
          </w:p>
        </w:tc>
        <w:tc>
          <w:tcPr>
            <w:tcW w:w="1163"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建筑面积</w:t>
            </w:r>
            <w:r>
              <w:rPr>
                <w:rFonts w:hint="eastAsia" w:cs="Times New Roman"/>
                <w:b/>
                <w:bCs/>
                <w:color w:val="000000"/>
                <w:sz w:val="21"/>
                <w:szCs w:val="21"/>
                <w:lang w:val="en-US" w:eastAsia="zh-CN"/>
              </w:rPr>
              <w:t>125.72</w:t>
            </w:r>
            <w:r>
              <w:rPr>
                <w:rFonts w:hint="default" w:ascii="Times New Roman" w:hAnsi="Times New Roman" w:eastAsia="仿宋" w:cs="Times New Roman"/>
                <w:b/>
                <w:bCs/>
                <w:color w:val="000000"/>
                <w:kern w:val="0"/>
                <w:sz w:val="21"/>
                <w:szCs w:val="21"/>
                <w:lang w:val="en-US" w:eastAsia="zh-CN"/>
              </w:rPr>
              <w:t>㎡</w:t>
            </w: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总价（万元）</w:t>
            </w:r>
          </w:p>
        </w:tc>
        <w:tc>
          <w:tcPr>
            <w:tcW w:w="199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53.22</w:t>
            </w:r>
          </w:p>
        </w:tc>
        <w:tc>
          <w:tcPr>
            <w:tcW w:w="18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0" w:firstLineChars="0"/>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53.22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2984" w:type="dxa"/>
            <w:vMerge w:val="continue"/>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p>
        </w:tc>
        <w:tc>
          <w:tcPr>
            <w:tcW w:w="1163" w:type="dxa"/>
            <w:vMerge w:val="continue"/>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单价（元/㎡）</w:t>
            </w:r>
          </w:p>
        </w:tc>
        <w:tc>
          <w:tcPr>
            <w:tcW w:w="199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4233</w:t>
            </w:r>
          </w:p>
        </w:tc>
        <w:tc>
          <w:tcPr>
            <w:tcW w:w="18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0" w:firstLineChars="0"/>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4233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2984"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汇总评估价值</w:t>
            </w:r>
          </w:p>
        </w:tc>
        <w:tc>
          <w:tcPr>
            <w:tcW w:w="1163"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eastAsia" w:eastAsia="仿宋" w:cs="Times New Roman"/>
                <w:b/>
                <w:bCs/>
                <w:color w:val="000000"/>
                <w:kern w:val="0"/>
                <w:sz w:val="21"/>
                <w:szCs w:val="21"/>
                <w:lang w:val="en-US" w:eastAsia="zh-CN"/>
              </w:rPr>
              <w:t>125.72</w:t>
            </w:r>
            <w:r>
              <w:rPr>
                <w:rFonts w:hint="default" w:ascii="Times New Roman" w:hAnsi="Times New Roman" w:eastAsia="仿宋" w:cs="Times New Roman"/>
                <w:b/>
                <w:bCs/>
                <w:color w:val="000000"/>
                <w:kern w:val="0"/>
                <w:sz w:val="21"/>
                <w:szCs w:val="21"/>
                <w:lang w:val="en-US" w:eastAsia="zh-CN"/>
              </w:rPr>
              <w:t>㎡</w:t>
            </w: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总值(万元）</w:t>
            </w:r>
          </w:p>
        </w:tc>
        <w:tc>
          <w:tcPr>
            <w:tcW w:w="3823" w:type="dxa"/>
            <w:gridSpan w:val="2"/>
            <w:noWrap w:val="0"/>
            <w:vAlign w:val="center"/>
          </w:tcPr>
          <w:p>
            <w:pPr>
              <w:keepNext w:val="0"/>
              <w:keepLines w:val="0"/>
              <w:widowControl/>
              <w:suppressLineNumbers w:val="0"/>
              <w:jc w:val="center"/>
              <w:textAlignment w:val="center"/>
              <w:rPr>
                <w:rFonts w:hint="default" w:ascii="Times New Roman" w:hAnsi="Times New Roman" w:eastAsia="仿宋" w:cs="Times New Roman"/>
                <w:b/>
                <w:bCs/>
                <w:color w:val="000000"/>
                <w:kern w:val="0"/>
                <w:sz w:val="21"/>
                <w:szCs w:val="21"/>
                <w:lang w:val="en-US" w:eastAsia="zh-CN"/>
              </w:rPr>
            </w:pPr>
            <w:r>
              <w:rPr>
                <w:rFonts w:hint="eastAsia" w:eastAsia="仿宋" w:cs="Times New Roman"/>
                <w:b/>
                <w:bCs/>
                <w:color w:val="000000"/>
                <w:kern w:val="0"/>
                <w:sz w:val="21"/>
                <w:szCs w:val="21"/>
                <w:lang w:val="en-US" w:eastAsia="zh-CN"/>
              </w:rPr>
              <w:t>53.22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2984" w:type="dxa"/>
            <w:vMerge w:val="continue"/>
            <w:noWrap w:val="0"/>
            <w:vAlign w:val="top"/>
          </w:tcPr>
          <w:p>
            <w:pPr>
              <w:widowControl/>
              <w:jc w:val="center"/>
              <w:rPr>
                <w:rFonts w:hint="default" w:ascii="Times New Roman" w:hAnsi="Times New Roman" w:eastAsia="仿宋" w:cs="Times New Roman"/>
                <w:b/>
                <w:bCs/>
                <w:color w:val="000000"/>
                <w:kern w:val="0"/>
                <w:sz w:val="21"/>
                <w:szCs w:val="21"/>
                <w:lang w:val="en-US" w:eastAsia="zh-CN"/>
              </w:rPr>
            </w:pPr>
          </w:p>
        </w:tc>
        <w:tc>
          <w:tcPr>
            <w:tcW w:w="1163" w:type="dxa"/>
            <w:vMerge w:val="continue"/>
            <w:noWrap w:val="0"/>
            <w:vAlign w:val="top"/>
          </w:tcPr>
          <w:p>
            <w:pPr>
              <w:widowControl/>
              <w:jc w:val="center"/>
              <w:rPr>
                <w:rFonts w:hint="default" w:ascii="Times New Roman" w:hAnsi="Times New Roman" w:eastAsia="仿宋" w:cs="Times New Roman"/>
                <w:b/>
                <w:bCs/>
                <w:color w:val="000000"/>
                <w:kern w:val="0"/>
                <w:sz w:val="21"/>
                <w:szCs w:val="21"/>
                <w:lang w:val="en-US" w:eastAsia="zh-CN"/>
              </w:rPr>
            </w:pP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大写金额</w:t>
            </w:r>
          </w:p>
        </w:tc>
        <w:tc>
          <w:tcPr>
            <w:tcW w:w="3823" w:type="dxa"/>
            <w:gridSpan w:val="2"/>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人民币</w:t>
            </w:r>
            <w:r>
              <w:rPr>
                <w:rFonts w:hint="eastAsia" w:ascii="Times New Roman" w:hAnsi="Times New Roman" w:eastAsia="仿宋" w:cs="Times New Roman"/>
                <w:b/>
                <w:bCs/>
                <w:color w:val="000000"/>
                <w:kern w:val="0"/>
                <w:sz w:val="21"/>
                <w:szCs w:val="21"/>
                <w:lang w:val="en-US" w:eastAsia="zh-CN"/>
              </w:rPr>
              <w:fldChar w:fldCharType="begin"/>
            </w:r>
            <w:r>
              <w:rPr>
                <w:rFonts w:hint="eastAsia" w:ascii="Times New Roman" w:hAnsi="Times New Roman" w:eastAsia="仿宋" w:cs="Times New Roman"/>
                <w:b/>
                <w:bCs/>
                <w:color w:val="000000"/>
                <w:kern w:val="0"/>
                <w:sz w:val="21"/>
                <w:szCs w:val="21"/>
                <w:lang w:val="en-US" w:eastAsia="zh-CN"/>
              </w:rPr>
              <w:instrText xml:space="preserve"> = 532200 \* CHINESENUM2 \* MERGEFORMAT </w:instrText>
            </w:r>
            <w:r>
              <w:rPr>
                <w:rFonts w:hint="eastAsia" w:ascii="Times New Roman" w:hAnsi="Times New Roman" w:eastAsia="仿宋" w:cs="Times New Roman"/>
                <w:b/>
                <w:bCs/>
                <w:color w:val="000000"/>
                <w:kern w:val="0"/>
                <w:sz w:val="21"/>
                <w:szCs w:val="21"/>
                <w:lang w:val="en-US" w:eastAsia="zh-CN"/>
              </w:rPr>
              <w:fldChar w:fldCharType="separate"/>
            </w:r>
            <w:r>
              <w:rPr>
                <w:rFonts w:hint="default" w:ascii="Times New Roman" w:hAnsi="Times New Roman" w:eastAsia="仿宋" w:cs="Times New Roman"/>
                <w:b/>
                <w:bCs/>
                <w:color w:val="000000"/>
                <w:kern w:val="0"/>
                <w:sz w:val="21"/>
                <w:szCs w:val="21"/>
                <w:lang w:val="en-US" w:eastAsia="zh-CN"/>
              </w:rPr>
              <w:t>伍拾叁万贰仟贰佰</w:t>
            </w:r>
            <w:r>
              <w:rPr>
                <w:rFonts w:hint="eastAsia" w:ascii="Times New Roman" w:hAnsi="Times New Roman" w:eastAsia="仿宋" w:cs="Times New Roman"/>
                <w:b/>
                <w:bCs/>
                <w:color w:val="000000"/>
                <w:kern w:val="0"/>
                <w:sz w:val="21"/>
                <w:szCs w:val="21"/>
                <w:lang w:val="en-US" w:eastAsia="zh-CN"/>
              </w:rPr>
              <w:fldChar w:fldCharType="end"/>
            </w:r>
            <w:r>
              <w:rPr>
                <w:rFonts w:hint="default" w:ascii="Times New Roman" w:hAnsi="Times New Roman" w:eastAsia="仿宋" w:cs="Times New Roman"/>
                <w:b/>
                <w:bCs/>
                <w:color w:val="000000"/>
                <w:kern w:val="0"/>
                <w:sz w:val="21"/>
                <w:szCs w:val="21"/>
                <w:lang w:val="en-US" w:eastAsia="zh-CN"/>
              </w:rPr>
              <w:t>元整</w:t>
            </w:r>
          </w:p>
        </w:tc>
      </w:tr>
    </w:tbl>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321" w:firstLineChars="100"/>
        <w:textAlignment w:val="auto"/>
        <w:outlineLvl w:val="1"/>
        <w:rPr>
          <w:rFonts w:hint="eastAsia" w:ascii="仿宋" w:hAnsi="仿宋" w:eastAsia="仿宋" w:cs="仿宋"/>
          <w:kern w:val="0"/>
        </w:rPr>
      </w:pPr>
      <w:bookmarkStart w:id="60" w:name="_Toc8902"/>
      <w:bookmarkStart w:id="61" w:name="_Toc25738"/>
      <w:r>
        <w:rPr>
          <w:rFonts w:hint="eastAsia" w:ascii="仿宋" w:hAnsi="仿宋" w:eastAsia="仿宋" w:cs="仿宋"/>
          <w:b/>
          <w:bCs/>
          <w:kern w:val="0"/>
          <w:sz w:val="32"/>
          <w:szCs w:val="32"/>
          <w:lang w:val="en-US" w:eastAsia="zh-CN"/>
        </w:rPr>
        <w:t>十一、</w:t>
      </w:r>
      <w:r>
        <w:rPr>
          <w:rFonts w:hint="eastAsia" w:ascii="仿宋" w:hAnsi="仿宋" w:eastAsia="仿宋" w:cs="仿宋"/>
          <w:kern w:val="0"/>
        </w:rPr>
        <w:t>注册房地产估价师</w:t>
      </w:r>
      <w:bookmarkEnd w:id="59"/>
      <w:bookmarkEnd w:id="60"/>
      <w:bookmarkEnd w:id="61"/>
    </w:p>
    <w:tbl>
      <w:tblPr>
        <w:tblStyle w:val="23"/>
        <w:tblW w:w="0" w:type="auto"/>
        <w:jc w:val="center"/>
        <w:tblLayout w:type="fixed"/>
        <w:tblCellMar>
          <w:top w:w="0" w:type="dxa"/>
          <w:left w:w="108" w:type="dxa"/>
          <w:bottom w:w="0" w:type="dxa"/>
          <w:right w:w="108" w:type="dxa"/>
        </w:tblCellMar>
      </w:tblPr>
      <w:tblGrid>
        <w:gridCol w:w="2662"/>
        <w:gridCol w:w="3195"/>
        <w:gridCol w:w="3771"/>
      </w:tblGrid>
      <w:tr>
        <w:trPr>
          <w:trHeight w:val="768" w:hRule="atLeast"/>
          <w:jc w:val="center"/>
        </w:trPr>
        <w:tc>
          <w:tcPr>
            <w:tcW w:w="266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bookmarkStart w:id="62" w:name="_Toc522795054"/>
            <w:bookmarkStart w:id="63" w:name="_Toc286074119"/>
            <w:r>
              <w:rPr>
                <w:rFonts w:hint="eastAsia" w:ascii="仿宋" w:hAnsi="仿宋" w:eastAsia="仿宋" w:cs="仿宋"/>
                <w:color w:val="000000"/>
                <w:kern w:val="0"/>
                <w:sz w:val="28"/>
                <w:szCs w:val="28"/>
              </w:rPr>
              <w:t>姓   名</w:t>
            </w:r>
          </w:p>
        </w:tc>
        <w:tc>
          <w:tcPr>
            <w:tcW w:w="319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77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rPr>
          <w:trHeight w:val="768" w:hRule="atLeast"/>
          <w:jc w:val="center"/>
        </w:trPr>
        <w:tc>
          <w:tcPr>
            <w:tcW w:w="2662"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319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771"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r>
        <w:trPr>
          <w:trHeight w:val="814" w:hRule="atLeast"/>
          <w:jc w:val="center"/>
        </w:trPr>
        <w:tc>
          <w:tcPr>
            <w:tcW w:w="2662"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319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771"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bookmarkEnd w:id="62"/>
      <w:bookmarkEnd w:id="63"/>
    </w:tbl>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64" w:name="_Toc21381"/>
      <w:bookmarkStart w:id="65" w:name="_Toc461005140"/>
      <w:bookmarkStart w:id="66" w:name="_Toc31746"/>
      <w:bookmarkStart w:id="67" w:name="_Toc286074121"/>
      <w:bookmarkStart w:id="68" w:name="_Toc522795056"/>
      <w:r>
        <w:rPr>
          <w:rFonts w:hint="eastAsia" w:ascii="仿宋" w:hAnsi="仿宋" w:eastAsia="仿宋" w:cs="仿宋"/>
          <w:b/>
          <w:bCs/>
          <w:kern w:val="0"/>
        </w:rPr>
        <w:t>十二、实地查勘期</w:t>
      </w:r>
      <w:bookmarkEnd w:id="64"/>
      <w:bookmarkEnd w:id="65"/>
      <w:bookmarkEnd w:id="66"/>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本次实地勘查日期是2022年04月18日。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69" w:name="_Toc11222"/>
      <w:bookmarkStart w:id="70" w:name="_Toc461005141"/>
      <w:bookmarkStart w:id="71" w:name="_Toc25734"/>
      <w:r>
        <w:rPr>
          <w:rFonts w:hint="eastAsia" w:ascii="仿宋" w:hAnsi="仿宋" w:eastAsia="仿宋" w:cs="仿宋"/>
          <w:b/>
          <w:bCs/>
          <w:kern w:val="0"/>
        </w:rPr>
        <w:t>十三、估价作业日期</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420" w:lineRule="exact"/>
        <w:ind w:firstLine="520" w:firstLineChars="200"/>
        <w:textAlignment w:val="auto"/>
        <w:outlineLvl w:val="9"/>
        <w:rPr>
          <w:rFonts w:hint="eastAsia" w:ascii="仿宋" w:hAnsi="仿宋" w:eastAsia="仿宋" w:cs="仿宋"/>
          <w:color w:val="auto"/>
          <w:sz w:val="28"/>
          <w:szCs w:val="28"/>
        </w:rPr>
      </w:pPr>
      <w:r>
        <w:rPr>
          <w:rFonts w:hint="eastAsia" w:eastAsia="仿宋_GB2312"/>
          <w:color w:val="000000"/>
          <w:sz w:val="26"/>
          <w:szCs w:val="26"/>
          <w:lang w:val="en-US" w:eastAsia="zh-CN"/>
        </w:rPr>
        <w:t>本次估价的作业日期是2022年04月18日至2022年05月11日。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72" w:name="_Toc12004"/>
      <w:bookmarkStart w:id="73" w:name="_Toc25060"/>
      <w:r>
        <w:rPr>
          <w:rFonts w:hint="eastAsia" w:ascii="仿宋" w:hAnsi="仿宋" w:eastAsia="仿宋" w:cs="仿宋"/>
          <w:b/>
          <w:bCs/>
          <w:kern w:val="0"/>
        </w:rPr>
        <w:t>十</w:t>
      </w:r>
      <w:r>
        <w:rPr>
          <w:rFonts w:hint="eastAsia" w:ascii="仿宋" w:hAnsi="仿宋" w:eastAsia="仿宋" w:cs="仿宋"/>
          <w:b/>
          <w:bCs/>
          <w:kern w:val="0"/>
          <w:lang w:val="en-US" w:eastAsia="zh-CN"/>
        </w:rPr>
        <w:t>四</w:t>
      </w:r>
      <w:r>
        <w:rPr>
          <w:rFonts w:hint="eastAsia" w:ascii="仿宋" w:hAnsi="仿宋" w:eastAsia="仿宋" w:cs="仿宋"/>
          <w:b/>
          <w:bCs/>
          <w:kern w:val="0"/>
        </w:rPr>
        <w:t>、估价报告</w:t>
      </w:r>
      <w:bookmarkEnd w:id="67"/>
      <w:r>
        <w:rPr>
          <w:rFonts w:hint="eastAsia" w:ascii="仿宋" w:hAnsi="仿宋" w:eastAsia="仿宋" w:cs="仿宋"/>
          <w:b/>
          <w:bCs/>
          <w:kern w:val="0"/>
        </w:rPr>
        <w:t>应用的有效期</w:t>
      </w:r>
      <w:bookmarkEnd w:id="68"/>
      <w:bookmarkEnd w:id="72"/>
      <w:bookmarkEnd w:id="73"/>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本估价报告有效期限为一年，从估价报告出具日期之日起计算，即：2022年05月11日至2023年05月10日。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74" w:name="_Toc451421812"/>
      <w:bookmarkStart w:id="75" w:name="_Toc18090"/>
      <w:bookmarkStart w:id="76" w:name="_Toc20985"/>
      <w:r>
        <w:rPr>
          <w:rFonts w:hint="eastAsia" w:ascii="仿宋" w:hAnsi="仿宋" w:eastAsia="仿宋" w:cs="仿宋"/>
          <w:b/>
          <w:bCs/>
          <w:kern w:val="0"/>
        </w:rPr>
        <w:t>十五、其它需要特别说明的事项</w:t>
      </w:r>
      <w:bookmarkEnd w:id="74"/>
      <w:bookmarkEnd w:id="75"/>
      <w:bookmarkEnd w:id="76"/>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1、本报告结果及附件仅供委托方用于估价目的所载明的用途，不对其它用途负责，不能作为估价对象权属界定的依据。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报告中提示的估价对象的市场价值是专业人员在一系列假设条件下模拟市场交易得出的价值结果，而交易价格往往受到交易时种种条件的限制，实际交易的情形也极难于与价值时点的假设条件保持一致，因此，估价结果仅供估价委托人参考，而不是对价格实现的一种保证。</w:t>
      </w: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color w:val="000000"/>
          <w:kern w:val="0"/>
          <w:sz w:val="28"/>
          <w:szCs w:val="28"/>
        </w:rPr>
      </w:pP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贵州昊远房地产土地评估有限公司</w:t>
      </w:r>
    </w:p>
    <w:p>
      <w:pPr>
        <w:jc w:val="right"/>
        <w:rPr>
          <w:rFonts w:hint="eastAsia" w:ascii="仿宋" w:hAnsi="仿宋" w:eastAsia="仿宋" w:cs="仿宋"/>
          <w:b/>
          <w:bCs/>
          <w:kern w:val="0"/>
          <w:sz w:val="44"/>
          <w:szCs w:val="44"/>
        </w:rPr>
      </w:pPr>
      <w:r>
        <w:rPr>
          <w:rFonts w:hint="eastAsia" w:ascii="仿宋" w:hAnsi="仿宋" w:eastAsia="仿宋" w:cs="仿宋"/>
          <w:b/>
          <w:bCs/>
          <w:sz w:val="28"/>
          <w:szCs w:val="28"/>
          <w:lang w:val="en-US" w:eastAsia="zh-CN"/>
        </w:rPr>
        <w:t>二〇二二年五月十一日</w:t>
      </w: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p>
    <w:p>
      <w:pPr>
        <w:rPr>
          <w:rFonts w:hint="eastAsia" w:ascii="仿宋" w:hAnsi="仿宋" w:eastAsia="仿宋" w:cs="仿宋"/>
          <w:b/>
          <w:bCs/>
          <w:kern w:val="0"/>
          <w:sz w:val="44"/>
          <w:szCs w:val="44"/>
        </w:rPr>
      </w:pPr>
      <w:r>
        <w:rPr>
          <w:rFonts w:hint="eastAsia" w:ascii="仿宋" w:hAnsi="仿宋" w:eastAsia="仿宋" w:cs="仿宋"/>
          <w:b/>
          <w:bCs/>
          <w:kern w:val="0"/>
          <w:sz w:val="44"/>
          <w:szCs w:val="44"/>
        </w:rPr>
        <w:br w:type="page"/>
      </w:r>
    </w:p>
    <w:p>
      <w:pPr>
        <w:pStyle w:val="2"/>
        <w:spacing w:line="240" w:lineRule="auto"/>
        <w:jc w:val="center"/>
        <w:rPr>
          <w:rFonts w:eastAsia="仿宋_GB2312"/>
          <w:sz w:val="48"/>
          <w:szCs w:val="48"/>
        </w:rPr>
      </w:pPr>
      <w:bookmarkStart w:id="77" w:name="_Toc30648"/>
      <w:r>
        <w:rPr>
          <w:rFonts w:eastAsia="仿宋_GB2312"/>
          <w:sz w:val="48"/>
          <w:szCs w:val="48"/>
        </w:rPr>
        <w:t>房地产估价技术报告</w:t>
      </w:r>
      <w:bookmarkEnd w:id="0"/>
      <w:bookmarkEnd w:id="1"/>
      <w:bookmarkEnd w:id="2"/>
      <w:bookmarkEnd w:id="3"/>
      <w:bookmarkEnd w:id="4"/>
      <w:bookmarkEnd w:id="5"/>
      <w:bookmarkEnd w:id="77"/>
    </w:p>
    <w:p>
      <w:pPr>
        <w:pStyle w:val="3"/>
        <w:numPr>
          <w:ilvl w:val="0"/>
          <w:numId w:val="2"/>
        </w:numPr>
        <w:spacing w:line="240" w:lineRule="auto"/>
        <w:rPr>
          <w:rFonts w:ascii="Times New Roman" w:hAnsi="Times New Roman" w:eastAsia="仿宋_GB2312"/>
          <w:sz w:val="30"/>
          <w:szCs w:val="30"/>
        </w:rPr>
      </w:pPr>
      <w:bookmarkStart w:id="78" w:name="_Toc886"/>
      <w:bookmarkStart w:id="79" w:name="_Toc457460266"/>
      <w:bookmarkStart w:id="80" w:name="_Toc416"/>
      <w:bookmarkStart w:id="81" w:name="_Toc7375"/>
      <w:bookmarkStart w:id="82" w:name="_Toc10249"/>
      <w:bookmarkStart w:id="83" w:name="_Toc10713"/>
      <w:r>
        <w:rPr>
          <w:rFonts w:ascii="Times New Roman" w:hAnsi="Times New Roman" w:eastAsia="仿宋_GB2312"/>
          <w:sz w:val="30"/>
          <w:szCs w:val="30"/>
        </w:rPr>
        <w:t>实物状况描述与分析状况</w:t>
      </w:r>
      <w:bookmarkEnd w:id="78"/>
      <w:bookmarkEnd w:id="79"/>
      <w:bookmarkEnd w:id="80"/>
      <w:bookmarkEnd w:id="81"/>
      <w:bookmarkEnd w:id="82"/>
      <w:bookmarkEnd w:id="83"/>
    </w:p>
    <w:p>
      <w:pPr>
        <w:numPr>
          <w:ilvl w:val="0"/>
          <w:numId w:val="0"/>
        </w:numPr>
        <w:adjustRightInd w:val="0"/>
        <w:snapToGrid w:val="0"/>
        <w:spacing w:line="440" w:lineRule="exact"/>
        <w:ind w:firstLine="520" w:firstLineChars="200"/>
        <w:rPr>
          <w:rFonts w:hint="default" w:ascii="Times New Roman" w:hAnsi="Times New Roman" w:eastAsia="仿宋_GB2312" w:cs="Times New Roman"/>
          <w:color w:val="000000"/>
          <w:sz w:val="26"/>
          <w:szCs w:val="26"/>
          <w:lang w:val="en-US" w:eastAsia="zh-CN"/>
        </w:rPr>
      </w:pPr>
      <w:bookmarkStart w:id="84" w:name="_Toc1754"/>
      <w:bookmarkStart w:id="85" w:name="_Toc3435"/>
      <w:bookmarkStart w:id="86" w:name="_Toc20643"/>
      <w:bookmarkStart w:id="87" w:name="_Toc5738"/>
      <w:bookmarkStart w:id="88" w:name="_Toc457460267"/>
      <w:r>
        <w:rPr>
          <w:rFonts w:hint="default" w:ascii="Times New Roman" w:hAnsi="Times New Roman" w:eastAsia="仿宋_GB2312" w:cs="Times New Roman"/>
          <w:color w:val="000000"/>
          <w:sz w:val="26"/>
          <w:szCs w:val="26"/>
          <w:lang w:val="en-US" w:eastAsia="zh-CN"/>
        </w:rPr>
        <w:t>估价对象基本情况：估价对象</w:t>
      </w:r>
      <w:r>
        <w:rPr>
          <w:rFonts w:hint="eastAsia" w:ascii="Times New Roman" w:hAnsi="Times New Roman" w:eastAsia="仿宋_GB2312" w:cs="Times New Roman"/>
          <w:color w:val="000000"/>
          <w:sz w:val="26"/>
          <w:szCs w:val="26"/>
          <w:lang w:val="en-US" w:eastAsia="zh-CN"/>
        </w:rPr>
        <w:t>位于</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default" w:ascii="Times New Roman" w:hAnsi="Times New Roman"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估价对象所在楼栋共</w:t>
      </w:r>
      <w:r>
        <w:rPr>
          <w:rFonts w:hint="eastAsia" w:eastAsia="仿宋_GB2312" w:cs="Times New Roman"/>
          <w:color w:val="000000"/>
          <w:sz w:val="26"/>
          <w:szCs w:val="26"/>
          <w:lang w:val="en-US" w:eastAsia="zh-CN"/>
        </w:rPr>
        <w:t>31层</w:t>
      </w:r>
      <w:r>
        <w:rPr>
          <w:rFonts w:hint="eastAsia" w:ascii="Times New Roman" w:hAnsi="Times New Roman" w:eastAsia="仿宋_GB2312" w:cs="Times New Roman"/>
          <w:color w:val="000000"/>
          <w:sz w:val="26"/>
          <w:szCs w:val="26"/>
          <w:lang w:val="en-US" w:eastAsia="zh-CN"/>
        </w:rPr>
        <w:t>，</w:t>
      </w:r>
      <w:r>
        <w:rPr>
          <w:rFonts w:hint="eastAsia" w:eastAsia="仿宋_GB2312" w:cs="Times New Roman"/>
          <w:color w:val="000000"/>
          <w:sz w:val="26"/>
          <w:szCs w:val="26"/>
          <w:lang w:val="en-US" w:eastAsia="zh-CN"/>
        </w:rPr>
        <w:t>地上28层，地下3层，</w:t>
      </w:r>
      <w:r>
        <w:rPr>
          <w:rFonts w:hint="eastAsia" w:ascii="Times New Roman" w:hAnsi="Times New Roman" w:eastAsia="仿宋_GB2312" w:cs="Times New Roman"/>
          <w:color w:val="000000"/>
          <w:sz w:val="26"/>
          <w:szCs w:val="26"/>
          <w:lang w:val="en-US" w:eastAsia="zh-CN"/>
        </w:rPr>
        <w:t>估价对象位于第</w:t>
      </w:r>
      <w:r>
        <w:rPr>
          <w:rFonts w:hint="eastAsia" w:eastAsia="仿宋_GB2312" w:cs="Times New Roman"/>
          <w:color w:val="000000"/>
          <w:sz w:val="26"/>
          <w:szCs w:val="26"/>
          <w:lang w:val="en-US" w:eastAsia="zh-CN"/>
        </w:rPr>
        <w:t>15层</w:t>
      </w:r>
      <w:r>
        <w:rPr>
          <w:rFonts w:hint="eastAsia" w:ascii="Times New Roman" w:hAnsi="Times New Roman" w:eastAsia="仿宋_GB2312" w:cs="Times New Roman"/>
          <w:color w:val="000000"/>
          <w:sz w:val="26"/>
          <w:szCs w:val="26"/>
          <w:lang w:val="en-US" w:eastAsia="zh-CN"/>
        </w:rPr>
        <w:t>；约建于</w:t>
      </w:r>
      <w:r>
        <w:rPr>
          <w:rFonts w:hint="eastAsia" w:eastAsia="仿宋_GB2312" w:cs="Times New Roman"/>
          <w:color w:val="000000"/>
          <w:sz w:val="26"/>
          <w:szCs w:val="26"/>
          <w:lang w:val="en-US" w:eastAsia="zh-CN"/>
        </w:rPr>
        <w:t>2018年</w:t>
      </w:r>
      <w:r>
        <w:rPr>
          <w:rFonts w:hint="eastAsia" w:ascii="Times New Roman" w:hAnsi="Times New Roman" w:eastAsia="仿宋_GB2312" w:cs="Times New Roman"/>
          <w:color w:val="000000"/>
          <w:sz w:val="26"/>
          <w:szCs w:val="26"/>
          <w:lang w:val="en-US" w:eastAsia="zh-CN"/>
        </w:rPr>
        <w:t>，外观形象新颖；</w:t>
      </w:r>
      <w:r>
        <w:rPr>
          <w:rFonts w:hint="default" w:ascii="Times New Roman" w:hAnsi="Times New Roman" w:eastAsia="仿宋_GB2312" w:cs="Times New Roman"/>
          <w:color w:val="000000"/>
          <w:sz w:val="26"/>
          <w:szCs w:val="26"/>
          <w:lang w:val="en-US" w:eastAsia="zh-CN"/>
        </w:rPr>
        <w:t>水、电</w:t>
      </w:r>
      <w:r>
        <w:rPr>
          <w:rFonts w:hint="eastAsia" w:ascii="Times New Roman" w:hAnsi="Times New Roman" w:eastAsia="仿宋_GB2312" w:cs="Times New Roman"/>
          <w:color w:val="000000"/>
          <w:sz w:val="26"/>
          <w:szCs w:val="26"/>
          <w:lang w:val="en-US" w:eastAsia="zh-CN"/>
        </w:rPr>
        <w:t>、</w:t>
      </w:r>
      <w:r>
        <w:rPr>
          <w:rFonts w:hint="eastAsia" w:eastAsia="仿宋_GB2312"/>
          <w:color w:val="000000"/>
          <w:sz w:val="26"/>
          <w:szCs w:val="26"/>
          <w:lang w:val="en-US" w:eastAsia="zh-CN"/>
        </w:rPr>
        <w:t>消防</w:t>
      </w:r>
      <w:r>
        <w:rPr>
          <w:rFonts w:hint="eastAsia" w:ascii="Times New Roman" w:hAnsi="Times New Roman" w:eastAsia="仿宋_GB2312" w:cs="Times New Roman"/>
          <w:color w:val="000000"/>
          <w:sz w:val="26"/>
          <w:szCs w:val="26"/>
          <w:lang w:val="en-US" w:eastAsia="zh-CN"/>
        </w:rPr>
        <w:t>；</w:t>
      </w:r>
      <w:r>
        <w:rPr>
          <w:rFonts w:hint="default" w:ascii="Times New Roman" w:hAnsi="Times New Roman" w:eastAsia="仿宋_GB2312" w:cs="Times New Roman"/>
          <w:color w:val="000000"/>
          <w:sz w:val="26"/>
          <w:szCs w:val="26"/>
          <w:lang w:val="en-US" w:eastAsia="zh-CN"/>
        </w:rPr>
        <w:t>周围道路硬化及绿化</w:t>
      </w:r>
      <w:r>
        <w:rPr>
          <w:rFonts w:hint="eastAsia" w:ascii="Times New Roman" w:hAnsi="Times New Roman" w:eastAsia="仿宋_GB2312" w:cs="Times New Roman"/>
          <w:color w:val="000000"/>
          <w:sz w:val="26"/>
          <w:szCs w:val="26"/>
          <w:lang w:val="en-US" w:eastAsia="zh-CN"/>
        </w:rPr>
        <w:t>环境一般</w:t>
      </w:r>
      <w:r>
        <w:rPr>
          <w:rFonts w:hint="default" w:ascii="Times New Roman" w:hAnsi="Times New Roman"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周围基础设施以及物业管理水平一般</w:t>
      </w:r>
      <w:r>
        <w:rPr>
          <w:rFonts w:hint="default" w:ascii="Times New Roman" w:hAnsi="Times New Roman" w:eastAsia="仿宋_GB2312" w:cs="Times New Roman"/>
          <w:color w:val="000000"/>
          <w:sz w:val="26"/>
          <w:szCs w:val="26"/>
          <w:lang w:val="en-US" w:eastAsia="zh-CN"/>
        </w:rPr>
        <w:t>。</w:t>
      </w:r>
    </w:p>
    <w:p>
      <w:pPr>
        <w:numPr>
          <w:ilvl w:val="0"/>
          <w:numId w:val="0"/>
        </w:numPr>
        <w:adjustRightInd w:val="0"/>
        <w:snapToGrid w:val="0"/>
        <w:spacing w:line="440" w:lineRule="exact"/>
        <w:ind w:firstLine="562" w:firstLineChars="200"/>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1估价对象土地使用权实体状况</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1.1名称：</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eastAsia" w:ascii="Times New Roman" w:hAnsi="Times New Roman" w:eastAsia="仿宋_GB2312" w:cs="Times New Roman"/>
          <w:color w:val="000000"/>
          <w:sz w:val="26"/>
          <w:szCs w:val="26"/>
          <w:lang w:val="en-US" w:eastAsia="zh-CN"/>
        </w:rPr>
        <w:t>住宅楼。</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1.2四至及临街状况：</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eastAsia" w:ascii="Times New Roman" w:hAnsi="Times New Roman" w:eastAsia="仿宋_GB2312" w:cs="Times New Roman"/>
          <w:color w:val="000000"/>
          <w:sz w:val="26"/>
          <w:szCs w:val="26"/>
          <w:lang w:val="en-US" w:eastAsia="zh-CN"/>
        </w:rPr>
        <w:t>住宅楼</w:t>
      </w:r>
      <w:r>
        <w:rPr>
          <w:rFonts w:hint="eastAsia" w:eastAsia="仿宋_GB2312"/>
          <w:color w:val="000000"/>
          <w:sz w:val="26"/>
          <w:szCs w:val="26"/>
          <w:lang w:val="en-US" w:eastAsia="zh-CN"/>
        </w:rPr>
        <w:t>项目，估价对象项目地处</w:t>
      </w:r>
      <w:r>
        <w:rPr>
          <w:rFonts w:hint="eastAsia" w:eastAsia="仿宋_GB2312" w:cs="Times New Roman"/>
          <w:color w:val="000000"/>
          <w:sz w:val="26"/>
          <w:szCs w:val="26"/>
          <w:lang w:val="en-US" w:eastAsia="zh-CN"/>
        </w:rPr>
        <w:t>碧阳大道北侧</w:t>
      </w:r>
      <w:r>
        <w:rPr>
          <w:rFonts w:hint="eastAsia" w:eastAsia="仿宋_GB2312"/>
          <w:color w:val="000000"/>
          <w:sz w:val="26"/>
          <w:szCs w:val="26"/>
          <w:lang w:val="en-US" w:eastAsia="zh-CN"/>
        </w:rPr>
        <w:t>，东临小区内道路、南临碧阳大道，西临小区内道路，北临小区内道路估价对象一面临街，临碧阳大道。</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1.3用途：住宅</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1.4形状：较规则</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1.5地形地势：地势较平坦</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1.6地质：地基承载力一般，地质条件一般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1.7土壤：无污染</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1.8土地开发程度：土地开发程度为“五通一平”（通路、通上水、通下水、通电、通讯、土地平整）</w:t>
      </w:r>
    </w:p>
    <w:p>
      <w:pPr>
        <w:numPr>
          <w:ilvl w:val="0"/>
          <w:numId w:val="0"/>
        </w:numPr>
        <w:adjustRightInd w:val="0"/>
        <w:snapToGrid w:val="0"/>
        <w:spacing w:line="440" w:lineRule="exact"/>
        <w:ind w:firstLine="562" w:firstLineChars="200"/>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2估价对象建筑物实物状况</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2.1名称：</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eastAsia" w:ascii="Times New Roman" w:hAnsi="Times New Roman" w:eastAsia="仿宋_GB2312" w:cs="Times New Roman"/>
          <w:color w:val="000000"/>
          <w:sz w:val="26"/>
          <w:szCs w:val="26"/>
          <w:lang w:val="en-US" w:eastAsia="zh-CN"/>
        </w:rPr>
        <w:t>住宅楼；</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2.2建筑规模：建筑面积125.72平方米；</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2.3层数：总层数为31层</w:t>
      </w:r>
      <w:r>
        <w:rPr>
          <w:rFonts w:hint="eastAsia" w:ascii="Times New Roman" w:hAnsi="Times New Roman" w:eastAsia="仿宋_GB2312" w:cs="Times New Roman"/>
          <w:color w:val="000000"/>
          <w:sz w:val="26"/>
          <w:szCs w:val="26"/>
          <w:lang w:val="en-US" w:eastAsia="zh-CN"/>
        </w:rPr>
        <w:t>，</w:t>
      </w:r>
      <w:r>
        <w:rPr>
          <w:rFonts w:hint="eastAsia" w:eastAsia="仿宋_GB2312" w:cs="Times New Roman"/>
          <w:color w:val="000000"/>
          <w:sz w:val="26"/>
          <w:szCs w:val="26"/>
          <w:lang w:val="en-US" w:eastAsia="zh-CN"/>
        </w:rPr>
        <w:t>地上28层，地下3层，</w:t>
      </w:r>
      <w:r>
        <w:rPr>
          <w:rFonts w:hint="eastAsia" w:ascii="Times New Roman" w:hAnsi="Times New Roman" w:eastAsia="仿宋_GB2312" w:cs="Times New Roman"/>
          <w:color w:val="000000"/>
          <w:sz w:val="26"/>
          <w:szCs w:val="26"/>
          <w:lang w:val="en-US" w:eastAsia="zh-CN"/>
        </w:rPr>
        <w:t>估价对象位于第</w:t>
      </w:r>
      <w:r>
        <w:rPr>
          <w:rFonts w:hint="eastAsia" w:eastAsia="仿宋_GB2312" w:cs="Times New Roman"/>
          <w:color w:val="000000"/>
          <w:sz w:val="26"/>
          <w:szCs w:val="26"/>
          <w:lang w:val="en-US" w:eastAsia="zh-CN"/>
        </w:rPr>
        <w:t>15层</w:t>
      </w:r>
      <w:r>
        <w:rPr>
          <w:rFonts w:hint="eastAsia" w:eastAsia="仿宋_GB2312"/>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2.4建筑结构：混合结构。</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2.5层高：室内层高约3米。</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2.6空间布局：平面布局，整体使用。</w:t>
      </w:r>
    </w:p>
    <w:p>
      <w:pPr>
        <w:numPr>
          <w:ilvl w:val="0"/>
          <w:numId w:val="0"/>
        </w:numPr>
        <w:adjustRightInd w:val="0"/>
        <w:snapToGrid w:val="0"/>
        <w:spacing w:line="440" w:lineRule="exact"/>
        <w:ind w:firstLine="520" w:firstLineChars="200"/>
        <w:rPr>
          <w:rFonts w:hint="default" w:ascii="Times New Roman" w:hAnsi="Times New Roman" w:eastAsia="仿宋_GB2312" w:cs="Times New Roman"/>
          <w:color w:val="000000"/>
          <w:sz w:val="26"/>
          <w:szCs w:val="26"/>
          <w:lang w:val="en-US" w:eastAsia="zh-CN"/>
        </w:rPr>
      </w:pPr>
      <w:r>
        <w:rPr>
          <w:rFonts w:hint="eastAsia" w:eastAsia="仿宋_GB2312"/>
          <w:color w:val="000000"/>
          <w:sz w:val="26"/>
          <w:szCs w:val="26"/>
          <w:lang w:val="en-US" w:eastAsia="zh-CN"/>
        </w:rPr>
        <w:t>2.7装饰装修：</w:t>
      </w:r>
      <w:r>
        <w:rPr>
          <w:rFonts w:hint="eastAsia" w:ascii="Times New Roman" w:hAnsi="Times New Roman" w:eastAsia="仿宋_GB2312" w:cs="Times New Roman"/>
          <w:color w:val="000000"/>
          <w:sz w:val="26"/>
          <w:szCs w:val="26"/>
          <w:lang w:val="en-US" w:eastAsia="zh-CN"/>
        </w:rPr>
        <w:t>估价对象外墙</w:t>
      </w:r>
      <w:r>
        <w:rPr>
          <w:rFonts w:hint="eastAsia" w:eastAsia="仿宋_GB2312" w:cs="Times New Roman"/>
          <w:color w:val="000000"/>
          <w:sz w:val="26"/>
          <w:szCs w:val="26"/>
          <w:lang w:val="en-US" w:eastAsia="zh-CN"/>
        </w:rPr>
        <w:t>涂涂料</w:t>
      </w:r>
      <w:r>
        <w:rPr>
          <w:rFonts w:hint="eastAsia" w:ascii="Times New Roman" w:hAnsi="Times New Roman" w:eastAsia="仿宋_GB2312" w:cs="Times New Roman"/>
          <w:color w:val="000000"/>
          <w:sz w:val="26"/>
          <w:szCs w:val="26"/>
          <w:lang w:val="en-US" w:eastAsia="zh-CN"/>
        </w:rPr>
        <w:t>；室内户型：3室1厅1厨</w:t>
      </w:r>
      <w:r>
        <w:rPr>
          <w:rFonts w:hint="eastAsia" w:eastAsia="仿宋_GB2312" w:cs="Times New Roman"/>
          <w:color w:val="000000"/>
          <w:sz w:val="26"/>
          <w:szCs w:val="26"/>
          <w:lang w:val="en-US" w:eastAsia="zh-CN"/>
        </w:rPr>
        <w:t>2</w:t>
      </w:r>
      <w:r>
        <w:rPr>
          <w:rFonts w:hint="eastAsia" w:ascii="Times New Roman" w:hAnsi="Times New Roman" w:eastAsia="仿宋_GB2312" w:cs="Times New Roman"/>
          <w:color w:val="000000"/>
          <w:sz w:val="26"/>
          <w:szCs w:val="26"/>
          <w:lang w:val="en-US" w:eastAsia="zh-CN"/>
        </w:rPr>
        <w:t>卫；入户门为防盗门，</w:t>
      </w:r>
      <w:r>
        <w:rPr>
          <w:rFonts w:hint="eastAsia" w:eastAsia="仿宋_GB2312" w:cs="Times New Roman"/>
          <w:color w:val="000000"/>
          <w:sz w:val="26"/>
          <w:szCs w:val="26"/>
          <w:lang w:val="en-US" w:eastAsia="zh-CN"/>
        </w:rPr>
        <w:t>室内客厅地面铺木地板，墙面刷乳胶漆及贴墙纸，顶面石膏层板灯光吊顶，墙壁安装壁柜；厨房、卫生间铺地砖，墙面贴墙砖至顶，顶面铝扣板吊顶，厨房安置壁柜；整体为精装修。</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2.8设施设备；估价对象水、电、消防。</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2.9物业管理：物业管理一般。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3.0维护及完损状况：房屋地基稳固，基础完好；无墙体开裂，地面凸起、凹陷，门窗破损等现象；外观成新状况较优，维护情况较优，现场勘查为九成新。</w:t>
      </w:r>
    </w:p>
    <w:p>
      <w:pPr>
        <w:pStyle w:val="3"/>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sz w:val="30"/>
          <w:szCs w:val="30"/>
        </w:rPr>
      </w:pPr>
      <w:bookmarkStart w:id="89" w:name="_Toc22857"/>
      <w:r>
        <w:rPr>
          <w:rFonts w:hint="eastAsia" w:ascii="Times New Roman" w:hAnsi="Times New Roman" w:eastAsia="仿宋_GB2312"/>
          <w:sz w:val="30"/>
          <w:szCs w:val="30"/>
        </w:rPr>
        <w:t>二、</w:t>
      </w:r>
      <w:r>
        <w:rPr>
          <w:rFonts w:ascii="Times New Roman" w:hAnsi="Times New Roman" w:eastAsia="仿宋_GB2312"/>
          <w:sz w:val="30"/>
          <w:szCs w:val="30"/>
        </w:rPr>
        <w:t>权益状况描述与分析</w:t>
      </w:r>
      <w:bookmarkEnd w:id="84"/>
      <w:bookmarkEnd w:id="85"/>
      <w:bookmarkEnd w:id="86"/>
      <w:bookmarkEnd w:id="87"/>
      <w:bookmarkEnd w:id="88"/>
      <w:bookmarkEnd w:id="89"/>
    </w:p>
    <w:p>
      <w:pPr>
        <w:pStyle w:val="5"/>
        <w:keepNext/>
        <w:keepLines/>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rPr>
      </w:pPr>
      <w:bookmarkStart w:id="90" w:name="_Toc457460268"/>
      <w:bookmarkStart w:id="91" w:name="_Toc4929"/>
      <w:bookmarkStart w:id="92" w:name="_Toc3013"/>
      <w:bookmarkStart w:id="93" w:name="_Toc24219"/>
      <w:bookmarkStart w:id="94" w:name="_Toc10529"/>
      <w:bookmarkStart w:id="95" w:name="_Toc386011002"/>
      <w:r>
        <w:rPr>
          <w:rFonts w:hint="eastAsia" w:ascii="仿宋" w:hAnsi="仿宋" w:eastAsia="仿宋" w:cs="仿宋"/>
          <w:color w:val="auto"/>
        </w:rPr>
        <w:t>1、</w:t>
      </w:r>
      <w:r>
        <w:rPr>
          <w:rFonts w:hint="eastAsia" w:ascii="仿宋" w:hAnsi="仿宋" w:eastAsia="仿宋" w:cs="仿宋"/>
          <w:color w:val="auto"/>
          <w:lang w:val="en-US" w:eastAsia="zh-CN"/>
        </w:rPr>
        <w:t>估价对象建筑物</w:t>
      </w:r>
      <w:r>
        <w:rPr>
          <w:rFonts w:hint="eastAsia" w:ascii="仿宋" w:hAnsi="仿宋" w:eastAsia="仿宋" w:cs="仿宋"/>
          <w:color w:val="auto"/>
        </w:rPr>
        <w:t>权益状况</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bookmarkStart w:id="96" w:name="_Toc30832"/>
      <w:r>
        <w:rPr>
          <w:rFonts w:hint="eastAsia" w:eastAsia="仿宋_GB2312"/>
          <w:color w:val="auto"/>
          <w:sz w:val="26"/>
          <w:szCs w:val="26"/>
          <w:lang w:val="en-US" w:eastAsia="zh-CN"/>
        </w:rPr>
        <w:t>根据委托人提供的《贵州省不动产登记查询结果》，估价对象的权益状况如下：</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auto"/>
          <w:sz w:val="26"/>
          <w:szCs w:val="26"/>
          <w:lang w:val="en-US" w:eastAsia="zh-CN"/>
        </w:rPr>
        <w:t>1.1权利人：</w:t>
      </w:r>
      <w:r>
        <w:rPr>
          <w:rFonts w:hint="eastAsia" w:eastAsia="仿宋_GB2312"/>
          <w:color w:val="000000"/>
          <w:sz w:val="26"/>
          <w:szCs w:val="26"/>
          <w:lang w:val="en-US" w:eastAsia="zh-CN"/>
        </w:rPr>
        <w:t>范茂全；</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1.2证件号：520201199211064857；</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1.3不动产权证书/证明号：0048284；</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1.4不动产单元号：520201 001021 GB00257 F00040172；</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1.5坐落：贵州省六盘水市双水新区钟山东路南侧、水城大道西侧卡达凯斯·山水城G幢1单元17层17-03号；</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1.6用途：住宅；</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1.7建筑面积：125.72平方米；</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1.8登记状态：预告、预抵、查封；</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1.9登记时间：2018年12月27日。</w:t>
      </w:r>
    </w:p>
    <w:p>
      <w:pPr>
        <w:pStyle w:val="5"/>
        <w:keepNext/>
        <w:keepLines/>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lang w:val="en-US" w:eastAsia="zh-CN"/>
        </w:rPr>
      </w:pPr>
      <w:r>
        <w:rPr>
          <w:rFonts w:hint="eastAsia" w:ascii="仿宋" w:hAnsi="仿宋" w:eastAsia="仿宋" w:cs="仿宋"/>
          <w:color w:val="auto"/>
        </w:rPr>
        <w:t>2、土地使用权权益状况</w:t>
      </w:r>
      <w:r>
        <w:rPr>
          <w:rFonts w:hint="eastAsia" w:ascii="仿宋" w:hAnsi="仿宋" w:eastAsia="仿宋" w:cs="仿宋"/>
          <w:color w:val="auto"/>
          <w:lang w:val="en-US" w:eastAsia="zh-CN"/>
        </w:rPr>
        <w:t xml:space="preserve"> </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auto"/>
          <w:sz w:val="26"/>
          <w:szCs w:val="26"/>
          <w:lang w:val="en-US" w:eastAsia="zh-CN"/>
        </w:rPr>
      </w:pPr>
      <w:r>
        <w:rPr>
          <w:rFonts w:hint="eastAsia" w:eastAsia="仿宋_GB2312"/>
          <w:color w:val="auto"/>
          <w:sz w:val="26"/>
          <w:szCs w:val="26"/>
          <w:lang w:val="en-US" w:eastAsia="zh-CN"/>
        </w:rPr>
        <w:t>委托人未提供估价对象的《国有土地使用权证》或《不动产权证》；</w:t>
      </w:r>
    </w:p>
    <w:p>
      <w:pPr>
        <w:pStyle w:val="5"/>
        <w:keepNext/>
        <w:keepLines/>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eastAsia="宋体"/>
          <w:lang w:val="en-US" w:eastAsia="zh-CN"/>
        </w:rPr>
      </w:pPr>
      <w:r>
        <w:rPr>
          <w:rFonts w:hint="eastAsia" w:ascii="仿宋" w:hAnsi="仿宋" w:eastAsia="仿宋" w:cs="仿宋"/>
          <w:color w:val="auto"/>
          <w:lang w:val="en-US" w:eastAsia="zh-CN"/>
        </w:rPr>
        <w:t>3、</w:t>
      </w:r>
      <w:r>
        <w:rPr>
          <w:rFonts w:hint="eastAsia" w:ascii="仿宋" w:hAnsi="仿宋" w:eastAsia="仿宋" w:cs="仿宋"/>
          <w:color w:val="auto"/>
        </w:rPr>
        <w:t>他项权利设立状况</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3.1查封信息</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3.1.1查封机关：钟山区人民法院；</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3.1.2查封文号：（2020）黔0201执保362号；</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3.1.3查封期限：2020年09月01日起2023年08月31日止；</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根据估价目的，本次估价仅是为人民法院确定财产处置参考价提供参考依据而评估房地产市场价值。因此本次评估未考虑估价对象存在的法定优先受偿款情况，但是在处置该房地产时，会涉及到法定优先受偿款，会影响到房产受让方收益价值；在此提请估价报告使用方注意。</w:t>
      </w:r>
    </w:p>
    <w:p>
      <w:pPr>
        <w:pStyle w:val="3"/>
        <w:spacing w:line="240" w:lineRule="auto"/>
        <w:rPr>
          <w:rFonts w:ascii="Times New Roman" w:hAnsi="Times New Roman" w:eastAsia="仿宋_GB2312"/>
          <w:sz w:val="30"/>
          <w:szCs w:val="30"/>
        </w:rPr>
      </w:pPr>
      <w:r>
        <w:rPr>
          <w:rFonts w:hint="eastAsia" w:ascii="Times New Roman" w:hAnsi="Times New Roman" w:eastAsia="仿宋_GB2312"/>
          <w:sz w:val="30"/>
          <w:szCs w:val="30"/>
        </w:rPr>
        <w:t>三</w:t>
      </w:r>
      <w:r>
        <w:rPr>
          <w:rFonts w:ascii="Times New Roman" w:hAnsi="Times New Roman" w:eastAsia="仿宋_GB2312"/>
          <w:sz w:val="30"/>
          <w:szCs w:val="30"/>
        </w:rPr>
        <w:t>、区</w:t>
      </w:r>
      <w:r>
        <w:rPr>
          <w:rFonts w:hint="eastAsia" w:ascii="Times New Roman" w:hAnsi="Times New Roman" w:eastAsia="仿宋_GB2312"/>
          <w:sz w:val="30"/>
          <w:szCs w:val="30"/>
        </w:rPr>
        <w:t>位</w:t>
      </w:r>
      <w:r>
        <w:rPr>
          <w:rFonts w:ascii="Times New Roman" w:hAnsi="Times New Roman" w:eastAsia="仿宋_GB2312"/>
          <w:sz w:val="30"/>
          <w:szCs w:val="30"/>
        </w:rPr>
        <w:t>状况描述与分析</w:t>
      </w:r>
      <w:bookmarkEnd w:id="90"/>
      <w:bookmarkEnd w:id="91"/>
      <w:bookmarkEnd w:id="92"/>
      <w:bookmarkEnd w:id="93"/>
      <w:bookmarkEnd w:id="94"/>
      <w:bookmarkEnd w:id="95"/>
      <w:bookmarkEnd w:id="96"/>
    </w:p>
    <w:p>
      <w:pPr>
        <w:tabs>
          <w:tab w:val="left" w:pos="1260"/>
          <w:tab w:val="left" w:pos="1440"/>
        </w:tabs>
        <w:spacing w:line="440" w:lineRule="exact"/>
        <w:ind w:firstLine="520" w:firstLineChars="200"/>
        <w:rPr>
          <w:rFonts w:eastAsia="仿宋_GB2312"/>
          <w:color w:val="000000"/>
          <w:kern w:val="0"/>
          <w:sz w:val="26"/>
          <w:szCs w:val="26"/>
        </w:rPr>
      </w:pPr>
      <w:bookmarkStart w:id="97" w:name="_Toc386011003"/>
      <w:r>
        <w:rPr>
          <w:rFonts w:hint="eastAsia" w:eastAsia="仿宋_GB2312"/>
          <w:color w:val="000000"/>
          <w:kern w:val="0"/>
          <w:sz w:val="26"/>
          <w:szCs w:val="26"/>
          <w:lang w:val="en-US" w:eastAsia="zh-CN"/>
        </w:rPr>
        <w:t>1</w:t>
      </w:r>
      <w:r>
        <w:rPr>
          <w:rFonts w:eastAsia="仿宋_GB2312"/>
          <w:color w:val="000000"/>
          <w:kern w:val="0"/>
          <w:sz w:val="26"/>
          <w:szCs w:val="26"/>
        </w:rPr>
        <w:t>区域概况</w:t>
      </w:r>
    </w:p>
    <w:p>
      <w:pPr>
        <w:numPr>
          <w:ilvl w:val="0"/>
          <w:numId w:val="0"/>
        </w:numPr>
        <w:adjustRightInd w:val="0"/>
        <w:snapToGrid w:val="0"/>
        <w:spacing w:line="440" w:lineRule="exact"/>
        <w:ind w:firstLine="520" w:firstLineChars="200"/>
        <w:rPr>
          <w:rFonts w:hint="eastAsia" w:ascii="Times New Roman" w:hAnsi="Times New Roman" w:eastAsia="仿宋_GB2312" w:cs="Times New Roman"/>
          <w:color w:val="000000"/>
          <w:sz w:val="26"/>
          <w:szCs w:val="26"/>
          <w:lang w:val="en-US" w:eastAsia="zh-CN"/>
        </w:rPr>
      </w:pPr>
      <w:bookmarkStart w:id="98" w:name="_Toc457460269"/>
      <w:bookmarkStart w:id="99" w:name="_Toc16955"/>
      <w:bookmarkStart w:id="100" w:name="_Toc28156"/>
      <w:bookmarkStart w:id="101" w:name="_Toc29003"/>
      <w:bookmarkStart w:id="102" w:name="_Toc3350"/>
      <w:bookmarkStart w:id="103" w:name="_Toc21958"/>
      <w:r>
        <w:rPr>
          <w:rFonts w:hint="eastAsia" w:ascii="Times New Roman" w:hAnsi="Times New Roman" w:eastAsia="仿宋_GB2312" w:cs="Times New Roman"/>
          <w:color w:val="000000"/>
          <w:sz w:val="26"/>
          <w:szCs w:val="26"/>
          <w:lang w:val="en-US" w:eastAsia="zh-CN"/>
        </w:rPr>
        <w:t>钟山区隶属于贵州省六盘水市，1988年3月经国务院批准建区，后经国务院批准，原水城县所属五乡镇于2020年7月17日划转钟山区行政管辖。现国土总面积1065平方公里，辖5镇3乡9街道，101个城市社区、79个行政村，常住人口79.51万人，居住有汉、彝、苗、白、布依、仡佬等31个民族。</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2位置状况：估价对象位于</w:t>
      </w:r>
      <w:r>
        <w:rPr>
          <w:rFonts w:hint="eastAsia" w:eastAsia="仿宋_GB2312" w:cs="Times New Roman"/>
          <w:color w:val="000000"/>
          <w:sz w:val="26"/>
          <w:szCs w:val="26"/>
          <w:lang w:val="en-US" w:eastAsia="zh-CN"/>
        </w:rPr>
        <w:t>贵州省六盘水市双水新区钟山东路南侧、水城大道西侧卡达凯斯·山水城G幢1单元17层17-03号</w:t>
      </w:r>
      <w:r>
        <w:rPr>
          <w:rFonts w:hint="eastAsia" w:eastAsia="仿宋_GB2312"/>
          <w:color w:val="000000"/>
          <w:sz w:val="26"/>
          <w:szCs w:val="26"/>
          <w:lang w:val="en-US" w:eastAsia="zh-CN"/>
        </w:rPr>
        <w:t>，与所在区域内商场、医院、学校、银行等重要设施服务半径短；</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3交通状况：估价对象所在位置外联道路有凉都大道、明湖路、康乐南路，道路状况较优，通达度较优；</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4出行可利用交通工具：附近有3条及以上公交线路，1路、13路、23路，有城市出租车、大巴途径周边区域；</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5环境状况：周边自然环境一般，空气噪声污染一般，治安状况一般，人文环境一般，区域内有公园、休闲广场、购物场所等；</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6外部配套设施状况：估价对象所在区域道路、给排水、电力、电讯等基础设施较完备，周边金融机构：贵阳银行（六盘水钟山支行）、中国工商银行（明湖路支行）；教育机构：周围300米内有钟山区二小、六盘水市第十七中学；医疗机构：六盘水市人民医院、六盘水市中医院；区域内金融机构、教育机构、医疗机构、行政事业机构较完善；</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7区位状况优劣度分析：估价对象所在区域基础设施及公共设施较完善，繁华度一般，人流量一般，交通便捷度较好，区位状况一般。</w:t>
      </w:r>
    </w:p>
    <w:p>
      <w:pPr>
        <w:pStyle w:val="3"/>
        <w:spacing w:line="240" w:lineRule="auto"/>
        <w:rPr>
          <w:rFonts w:ascii="Times New Roman" w:hAnsi="Times New Roman" w:eastAsia="仿宋_GB2312"/>
          <w:color w:val="000000"/>
          <w:sz w:val="30"/>
          <w:szCs w:val="30"/>
        </w:rPr>
      </w:pPr>
      <w:r>
        <w:rPr>
          <w:rFonts w:hint="eastAsia" w:ascii="Times New Roman" w:hAnsi="Times New Roman" w:eastAsia="仿宋_GB2312"/>
          <w:color w:val="000000"/>
          <w:sz w:val="30"/>
          <w:szCs w:val="30"/>
        </w:rPr>
        <w:t>四</w:t>
      </w:r>
      <w:r>
        <w:rPr>
          <w:rFonts w:ascii="Times New Roman" w:hAnsi="Times New Roman" w:eastAsia="仿宋_GB2312"/>
          <w:color w:val="000000"/>
          <w:sz w:val="30"/>
          <w:szCs w:val="30"/>
        </w:rPr>
        <w:t>、市场背景</w:t>
      </w:r>
      <w:r>
        <w:rPr>
          <w:rFonts w:hint="eastAsia" w:ascii="Times New Roman" w:hAnsi="Times New Roman" w:eastAsia="仿宋_GB2312"/>
          <w:color w:val="000000"/>
          <w:sz w:val="30"/>
          <w:szCs w:val="30"/>
        </w:rPr>
        <w:t>描述与</w:t>
      </w:r>
      <w:r>
        <w:rPr>
          <w:rFonts w:ascii="Times New Roman" w:hAnsi="Times New Roman" w:eastAsia="仿宋_GB2312"/>
          <w:color w:val="000000"/>
          <w:sz w:val="30"/>
          <w:szCs w:val="30"/>
        </w:rPr>
        <w:t>分析</w:t>
      </w:r>
      <w:bookmarkEnd w:id="97"/>
      <w:bookmarkEnd w:id="98"/>
      <w:bookmarkEnd w:id="99"/>
      <w:bookmarkEnd w:id="100"/>
      <w:bookmarkEnd w:id="101"/>
      <w:bookmarkEnd w:id="102"/>
      <w:bookmarkEnd w:id="103"/>
    </w:p>
    <w:p>
      <w:pPr>
        <w:numPr>
          <w:ilvl w:val="0"/>
          <w:numId w:val="0"/>
        </w:numPr>
        <w:adjustRightInd w:val="0"/>
        <w:snapToGrid w:val="0"/>
        <w:spacing w:line="440" w:lineRule="exact"/>
        <w:rPr>
          <w:rFonts w:eastAsia="仿宋_GB2312"/>
          <w:color w:val="000000"/>
          <w:sz w:val="26"/>
          <w:szCs w:val="26"/>
        </w:rPr>
      </w:pPr>
      <w:bookmarkStart w:id="104" w:name="_Toc386011004"/>
      <w:r>
        <w:rPr>
          <w:rFonts w:eastAsia="仿宋_GB2312"/>
          <w:color w:val="000000"/>
          <w:sz w:val="26"/>
          <w:szCs w:val="26"/>
        </w:rPr>
        <w:t>1</w:t>
      </w:r>
      <w:r>
        <w:rPr>
          <w:rFonts w:hint="eastAsia" w:eastAsia="仿宋_GB2312"/>
          <w:color w:val="000000"/>
          <w:sz w:val="26"/>
          <w:szCs w:val="26"/>
        </w:rPr>
        <w:t>、宏观区位分析：</w:t>
      </w:r>
    </w:p>
    <w:p>
      <w:pPr>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钟山区位于川、滇、黔、桂结合部，贵阳-昆明两大城市中心点，东接贵阳、西出云南通往东南亚、北上四川重庆、南下广西,与贵阳、昆明、成都、重庆、南宁五个省会城市的距离仅300-500公里，北连三秦、东达百越、南可下海、西能入滇，为“西部旱码头”、“四省立交桥”，是西南通江达海的咽喉要塞。钟山区处于“泛珠三角区域”中心地带，是南方最大的煤炭——钢铁原材料生产基地，国家“攀西-六盘水资源综合开发区”和“南-贵-昆”经济区、“毕-水-兴”经济带的重要组成部分。</w:t>
      </w:r>
    </w:p>
    <w:p>
      <w:pPr>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根据钟山区生产总值统一核算结果，2020年全区地区生产总值309.17亿元，比上年增长2.7%。按产业分，第一产业增加值7.60亿元，增长5.8%；第二产业增加值103.90亿元，增长1.5%，其中工业增加值86.94亿元，增长2.5%；第三产业增加值197.67亿元，增长3.3%。第一产业、第二产业、第三产业增加值占地区生产总值的比重分别为2.5%、33.6%和63.9%。与上年相比，第一产业和第三产业占比分别提高0.1个和1个百分点，第二产业下降1.1个百分点。（数据来源-钟山区统计局）</w:t>
      </w:r>
    </w:p>
    <w:p>
      <w:pPr>
        <w:spacing w:line="440" w:lineRule="exact"/>
        <w:ind w:firstLine="520" w:firstLineChars="200"/>
        <w:rPr>
          <w:rFonts w:hint="eastAsia" w:eastAsia="仿宋_GB2312"/>
          <w:color w:val="000000"/>
          <w:sz w:val="26"/>
          <w:szCs w:val="26"/>
        </w:rPr>
      </w:pPr>
      <w:r>
        <w:rPr>
          <w:rFonts w:hint="eastAsia" w:eastAsia="仿宋_GB2312"/>
          <w:color w:val="000000"/>
          <w:sz w:val="26"/>
          <w:szCs w:val="26"/>
        </w:rPr>
        <w:t>2017年</w:t>
      </w:r>
      <w:r>
        <w:rPr>
          <w:rFonts w:hint="eastAsia" w:eastAsia="仿宋_GB2312"/>
          <w:color w:val="000000"/>
          <w:sz w:val="26"/>
          <w:szCs w:val="26"/>
          <w:lang w:val="en-US" w:eastAsia="zh-CN"/>
        </w:rPr>
        <w:t>以来</w:t>
      </w:r>
      <w:r>
        <w:rPr>
          <w:rFonts w:hint="eastAsia" w:eastAsia="仿宋_GB2312"/>
          <w:color w:val="000000"/>
          <w:sz w:val="26"/>
          <w:szCs w:val="26"/>
        </w:rPr>
        <w:t>，</w:t>
      </w:r>
      <w:r>
        <w:rPr>
          <w:rFonts w:hint="eastAsia" w:eastAsia="仿宋_GB2312"/>
          <w:color w:val="000000"/>
          <w:sz w:val="26"/>
          <w:szCs w:val="26"/>
          <w:lang w:val="en-US" w:eastAsia="zh-CN"/>
        </w:rPr>
        <w:t>全国</w:t>
      </w:r>
      <w:r>
        <w:rPr>
          <w:rFonts w:hint="eastAsia" w:eastAsia="仿宋_GB2312"/>
          <w:color w:val="000000"/>
          <w:sz w:val="26"/>
          <w:szCs w:val="26"/>
        </w:rPr>
        <w:t>房地产政策坚持“房子是用来住的，不是用来炒的”基调，地方以城市群为调控场，从传统的需求端抑制向供给侧增加进行转变，限购限贷限售叠加土拍收紧，供应结构优化，调控效果逐步显现。同时短期调控与长效机制的衔接更为紧密，大力培育发展住房租赁市场、深化发展共有产权住房试点，在控制房价水平的同时，完善多层次住房供应体系，构建租购并举的房地产制度，推动长效机制的建立健全。</w:t>
      </w:r>
    </w:p>
    <w:p>
      <w:pPr>
        <w:pStyle w:val="21"/>
        <w:keepNext w:val="0"/>
        <w:keepLines w:val="0"/>
        <w:pageBreakBefore w:val="0"/>
        <w:widowControl/>
        <w:suppressLineNumbers w:val="0"/>
        <w:shd w:val="clear" w:color="auto" w:fill="FFFFFF"/>
        <w:kinsoku/>
        <w:wordWrap/>
        <w:overflowPunct/>
        <w:topLinePunct w:val="0"/>
        <w:autoSpaceDE/>
        <w:autoSpaceDN/>
        <w:bidi w:val="0"/>
        <w:adjustRightInd/>
        <w:snapToGrid/>
        <w:spacing w:line="440" w:lineRule="exact"/>
        <w:ind w:left="0" w:right="147" w:firstLine="482"/>
        <w:textAlignment w:val="auto"/>
        <w:rPr>
          <w:rFonts w:hint="eastAsia" w:ascii="Times New Roman" w:hAnsi="Times New Roman" w:eastAsia="仿宋_GB2312" w:cs="Times New Roman"/>
          <w:color w:val="000000"/>
          <w:kern w:val="2"/>
          <w:sz w:val="26"/>
          <w:szCs w:val="26"/>
          <w:lang w:val="en-US" w:eastAsia="zh-CN" w:bidi="ar-SA"/>
        </w:rPr>
      </w:pPr>
      <w:r>
        <w:rPr>
          <w:rFonts w:hint="eastAsia" w:ascii="Times New Roman" w:hAnsi="Times New Roman" w:eastAsia="仿宋_GB2312" w:cs="Times New Roman"/>
          <w:color w:val="000000"/>
          <w:kern w:val="2"/>
          <w:sz w:val="26"/>
          <w:szCs w:val="26"/>
          <w:lang w:val="en-US" w:eastAsia="zh-CN" w:bidi="ar-SA"/>
        </w:rPr>
        <w:t>2020年，全国商品房销售面积176086万平方米，比上年增长2.6%，增速比1—11月份提高1.3个百分点，上年为下降0.1%。其中，住宅销售面积增长3.2%，办公楼销售面积下降10.4%，商业营业用房销售面积下降8.7%。商品房销售额173613亿元，增长8.7%，增速比1—11月份提高1.5个百分点，比上年提高2.2个百分点。其中，住宅销售额增长10.8%，办公楼销售额下降5.3%，商业营业用房销售额下降11.2%。</w:t>
      </w:r>
    </w:p>
    <w:p>
      <w:pPr>
        <w:keepNext w:val="0"/>
        <w:keepLines w:val="0"/>
        <w:widowControl/>
        <w:suppressLineNumbers w:val="0"/>
        <w:shd w:val="clear" w:color="auto" w:fill="FFFFFF"/>
        <w:ind w:left="0" w:firstLine="0"/>
        <w:jc w:val="center"/>
        <w:rPr>
          <w:rFonts w:hint="eastAsia" w:ascii="Times New Roman" w:hAnsi="Times New Roman" w:eastAsia="仿宋_GB2312" w:cs="Times New Roman"/>
          <w:color w:val="000000"/>
          <w:kern w:val="2"/>
          <w:sz w:val="26"/>
          <w:szCs w:val="26"/>
          <w:lang w:val="en-US" w:eastAsia="zh-CN" w:bidi="ar-SA"/>
        </w:rPr>
      </w:pPr>
      <w:r>
        <w:rPr>
          <w:rFonts w:hint="eastAsia" w:ascii="微软雅黑" w:hAnsi="微软雅黑" w:eastAsia="微软雅黑" w:cs="微软雅黑"/>
          <w:i w:val="0"/>
          <w:iCs w:val="0"/>
          <w:caps w:val="0"/>
          <w:color w:val="000000"/>
          <w:spacing w:val="0"/>
          <w:kern w:val="0"/>
          <w:sz w:val="24"/>
          <w:szCs w:val="24"/>
          <w:shd w:val="clear" w:color="auto" w:fill="FFFFFF"/>
          <w:lang w:val="en-US" w:eastAsia="zh-CN" w:bidi="ar"/>
        </w:rPr>
        <w:fldChar w:fldCharType="begin"/>
      </w:r>
      <w:r>
        <w:instrText xml:space="preserve"> INCLUDEPICTURE "C:/Users/lenovo/AppData/Local/Temp/picturecompress_20211227172815/output_1.png" \*MERGEFORMAT \d \* MERGEFORMAT</w:instrText>
      </w:r>
      <w:r>
        <w:rPr>
          <w:rFonts w:hint="eastAsia" w:ascii="微软雅黑" w:hAnsi="微软雅黑" w:eastAsia="微软雅黑" w:cs="微软雅黑"/>
          <w:i w:val="0"/>
          <w:iCs w:val="0"/>
          <w:caps w:val="0"/>
          <w:color w:val="000000"/>
          <w:spacing w:val="0"/>
          <w:kern w:val="0"/>
          <w:sz w:val="24"/>
          <w:szCs w:val="24"/>
          <w:shd w:val="clear" w:color="auto" w:fill="FFFFFF"/>
          <w:lang w:val="en-US" w:eastAsia="zh-CN" w:bidi="ar"/>
        </w:rPr>
        <w:fldChar w:fldCharType="separate"/>
      </w:r>
      <w:r>
        <w:rPr>
          <w:rFonts w:hint="eastAsia" w:ascii="微软雅黑" w:hAnsi="微软雅黑" w:eastAsia="微软雅黑" w:cs="微软雅黑"/>
          <w:i w:val="0"/>
          <w:iCs w:val="0"/>
          <w:caps w:val="0"/>
          <w:color w:val="000000"/>
          <w:spacing w:val="0"/>
          <w:kern w:val="0"/>
          <w:sz w:val="24"/>
          <w:szCs w:val="24"/>
          <w:shd w:val="clear" w:color="auto" w:fill="FFFFFF"/>
          <w:lang w:val="en-US" w:eastAsia="zh-CN" w:bidi="ar"/>
        </w:rPr>
        <w:drawing>
          <wp:inline distT="0" distB="0" distL="114300" distR="114300">
            <wp:extent cx="6075680" cy="2262505"/>
            <wp:effectExtent l="0" t="0" r="1270" b="4445"/>
            <wp:docPr id="22" name="图片 1" descr="C:/Users/lenovo/AppData/Local/Temp/picturecompress_2021122717281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lenovo/AppData/Local/Temp/picturecompress_20211227172815/output_1.pngoutput_1"/>
                    <pic:cNvPicPr>
                      <a:picLocks noChangeAspect="1"/>
                    </pic:cNvPicPr>
                  </pic:nvPicPr>
                  <pic:blipFill>
                    <a:blip r:embed="rId8"/>
                    <a:stretch>
                      <a:fillRect/>
                    </a:stretch>
                  </pic:blipFill>
                  <pic:spPr>
                    <a:xfrm>
                      <a:off x="0" y="0"/>
                      <a:ext cx="6075680" cy="2262505"/>
                    </a:xfrm>
                    <a:prstGeom prst="rect">
                      <a:avLst/>
                    </a:prstGeom>
                    <a:noFill/>
                    <a:ln>
                      <a:noFill/>
                    </a:ln>
                  </pic:spPr>
                </pic:pic>
              </a:graphicData>
            </a:graphic>
          </wp:inline>
        </w:drawing>
      </w:r>
      <w:r>
        <w:rPr>
          <w:rFonts w:hint="eastAsia" w:ascii="微软雅黑" w:hAnsi="微软雅黑" w:eastAsia="微软雅黑" w:cs="微软雅黑"/>
          <w:i w:val="0"/>
          <w:iCs w:val="0"/>
          <w:caps w:val="0"/>
          <w:color w:val="000000"/>
          <w:spacing w:val="0"/>
          <w:kern w:val="0"/>
          <w:sz w:val="24"/>
          <w:szCs w:val="24"/>
          <w:shd w:val="clear" w:color="auto" w:fill="FFFFFF"/>
          <w:lang w:val="en-US" w:eastAsia="zh-CN" w:bidi="ar"/>
        </w:rPr>
        <w:fldChar w:fldCharType="end"/>
      </w:r>
    </w:p>
    <w:p>
      <w:pPr>
        <w:pStyle w:val="21"/>
        <w:keepNext w:val="0"/>
        <w:keepLines w:val="0"/>
        <w:pageBreakBefore w:val="0"/>
        <w:widowControl/>
        <w:suppressLineNumbers w:val="0"/>
        <w:shd w:val="clear" w:color="auto" w:fill="FFFFFF"/>
        <w:kinsoku/>
        <w:wordWrap/>
        <w:overflowPunct/>
        <w:topLinePunct w:val="0"/>
        <w:autoSpaceDE/>
        <w:autoSpaceDN/>
        <w:bidi w:val="0"/>
        <w:adjustRightInd/>
        <w:snapToGrid/>
        <w:spacing w:line="440" w:lineRule="exact"/>
        <w:ind w:left="0" w:right="147" w:firstLine="482"/>
        <w:textAlignment w:val="auto"/>
        <w:rPr>
          <w:rFonts w:hint="eastAsia" w:ascii="Times New Roman" w:hAnsi="Times New Roman" w:eastAsia="仿宋_GB2312" w:cs="Times New Roman"/>
          <w:color w:val="000000"/>
          <w:kern w:val="2"/>
          <w:sz w:val="26"/>
          <w:szCs w:val="26"/>
          <w:lang w:val="en-US" w:eastAsia="zh-CN" w:bidi="ar-SA"/>
        </w:rPr>
      </w:pPr>
      <w:r>
        <w:rPr>
          <w:rFonts w:hint="eastAsia" w:ascii="Times New Roman" w:hAnsi="Times New Roman" w:eastAsia="仿宋_GB2312" w:cs="Times New Roman"/>
          <w:color w:val="000000"/>
          <w:kern w:val="2"/>
          <w:sz w:val="26"/>
          <w:szCs w:val="26"/>
          <w:lang w:val="en-US" w:eastAsia="zh-CN" w:bidi="ar-SA"/>
        </w:rPr>
        <w:t>2020年，东部地区商品房销售面积71311万平方米，比上年增长7.1%，增速比1—11月份提高1.8个百分点；销售额95690亿元，增长14.1%，增速提高1.5个百分点。中部地区商品房销售面积49078万平方米，下降1.9%，降幅收窄1.4个百分点；销售额35854亿元，增长1.0%，1—11月份为下降1.4%。西部地区商品房销售面积48628万平方米，增长2.6%，增速提高0.7个百分点；销售额36257亿元，增长5.1%，增速提高0.7个百分点。东北地区商品房销售面积7069万平方米，下降5.8%，降幅收窄1.7个百分点；销售额5812亿元，下降1.5%，降幅收窄1.7个百分点。</w:t>
      </w:r>
    </w:p>
    <w:p>
      <w:pPr>
        <w:pStyle w:val="21"/>
        <w:keepNext w:val="0"/>
        <w:keepLines w:val="0"/>
        <w:pageBreakBefore w:val="0"/>
        <w:widowControl/>
        <w:suppressLineNumbers w:val="0"/>
        <w:shd w:val="clear" w:color="auto" w:fill="FFFFFF"/>
        <w:kinsoku/>
        <w:wordWrap/>
        <w:overflowPunct/>
        <w:topLinePunct w:val="0"/>
        <w:autoSpaceDE/>
        <w:autoSpaceDN/>
        <w:bidi w:val="0"/>
        <w:adjustRightInd/>
        <w:snapToGrid/>
        <w:spacing w:line="440" w:lineRule="exact"/>
        <w:ind w:left="0" w:right="147" w:firstLine="482"/>
        <w:textAlignment w:val="auto"/>
        <w:rPr>
          <w:rFonts w:hint="eastAsia" w:ascii="Times New Roman" w:hAnsi="Times New Roman" w:eastAsia="仿宋_GB2312" w:cs="Times New Roman"/>
          <w:color w:val="000000"/>
          <w:kern w:val="2"/>
          <w:sz w:val="26"/>
          <w:szCs w:val="26"/>
          <w:lang w:val="en-US" w:eastAsia="zh-CN" w:bidi="ar-SA"/>
        </w:rPr>
      </w:pPr>
      <w:r>
        <w:rPr>
          <w:rFonts w:hint="eastAsia" w:ascii="Times New Roman" w:hAnsi="Times New Roman" w:eastAsia="仿宋_GB2312" w:cs="Times New Roman"/>
          <w:color w:val="000000"/>
          <w:kern w:val="2"/>
          <w:sz w:val="26"/>
          <w:szCs w:val="26"/>
          <w:lang w:val="en-US" w:eastAsia="zh-CN" w:bidi="ar-SA"/>
        </w:rPr>
        <w:t>2020年末，商品房待售面积49850万平方米，比11月末增加563万平方米，比上年末增加29万平方米。其中，住宅待售面积比11月末增加312万平方米，办公楼待售面积增加33万平方米，商业营业用房待售面积减少10万平方米（数据来源国家统计局）。</w:t>
      </w:r>
    </w:p>
    <w:p>
      <w:pPr>
        <w:spacing w:line="440" w:lineRule="exact"/>
        <w:ind w:firstLine="520" w:firstLineChars="200"/>
        <w:rPr>
          <w:rFonts w:hint="eastAsia" w:eastAsia="仿宋_GB2312" w:cs="Times New Roman"/>
          <w:color w:val="000000"/>
          <w:sz w:val="26"/>
          <w:szCs w:val="26"/>
          <w:lang w:val="en-US" w:eastAsia="zh-CN"/>
        </w:rPr>
      </w:pPr>
      <w:r>
        <w:rPr>
          <w:rFonts w:hint="eastAsia" w:ascii="Times New Roman" w:hAnsi="Times New Roman" w:eastAsia="仿宋_GB2312" w:cs="Times New Roman"/>
          <w:color w:val="000000"/>
          <w:sz w:val="26"/>
          <w:szCs w:val="26"/>
          <w:lang w:val="en-US" w:eastAsia="zh-CN"/>
        </w:rPr>
        <w:t>区域方面，</w:t>
      </w:r>
      <w:r>
        <w:rPr>
          <w:rFonts w:hint="eastAsia" w:eastAsia="仿宋_GB2312" w:cs="Times New Roman"/>
          <w:color w:val="000000"/>
          <w:sz w:val="26"/>
          <w:szCs w:val="26"/>
          <w:lang w:val="en-US" w:eastAsia="zh-CN"/>
        </w:rPr>
        <w:t>2020年全年500万元及以上固定资产投资比上年增长5.2%；房地产开发投资增长16.1%。商品房销售面积80.52万平方米，增长1.5%；商品房销售额45.90亿元，增长0.4%。</w:t>
      </w:r>
    </w:p>
    <w:p>
      <w:pPr>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2020年末，市辖区金融机构人民币各项存款余额为803.82亿元，比年初增加43.75亿元，同比增长5.8%，其中住户存款408.45亿元，比年初增加27.19亿元，同比增长7.1%。金融机构人民币各项贷款余额为935.90亿元，比年初增加76.18亿元，同比增长8.9%，其中住户贷款248.67亿元，比年初增加37.24亿元，同比增长17.6%。</w:t>
      </w:r>
    </w:p>
    <w:p>
      <w:pPr>
        <w:keepNext w:val="0"/>
        <w:keepLines w:val="0"/>
        <w:pageBreakBefore w:val="0"/>
        <w:widowControl w:val="0"/>
        <w:kinsoku/>
        <w:wordWrap/>
        <w:overflowPunct/>
        <w:topLinePunct w:val="0"/>
        <w:autoSpaceDE/>
        <w:autoSpaceDN/>
        <w:bidi w:val="0"/>
        <w:adjustRightInd/>
        <w:snapToGrid/>
        <w:spacing w:line="440" w:lineRule="exact"/>
        <w:ind w:firstLine="520" w:firstLineChars="200"/>
        <w:textAlignment w:val="auto"/>
        <w:rPr>
          <w:rFonts w:hint="eastAsia" w:ascii="Times New Roman" w:hAnsi="Times New Roman" w:eastAsia="仿宋_GB2312" w:cs="Times New Roman"/>
          <w:color w:val="000000"/>
          <w:sz w:val="26"/>
          <w:szCs w:val="26"/>
          <w:lang w:val="en-US" w:eastAsia="zh-CN"/>
        </w:rPr>
      </w:pPr>
      <w:r>
        <w:rPr>
          <w:rFonts w:hint="eastAsia" w:ascii="Times New Roman" w:hAnsi="Times New Roman" w:eastAsia="仿宋_GB2312" w:cs="Times New Roman"/>
          <w:color w:val="000000"/>
          <w:kern w:val="2"/>
          <w:sz w:val="26"/>
          <w:szCs w:val="26"/>
          <w:lang w:val="en-US" w:eastAsia="zh-CN" w:bidi="ar-SA"/>
        </w:rPr>
        <w:t>2020年，城乡居民收入继续增长。全区城镇居民人均可支配收入36760元，比上年增长4.8%；农村居民人均可支配收入15639元，比上年增长8.5%。</w:t>
      </w:r>
      <w:r>
        <w:rPr>
          <w:rFonts w:hint="eastAsia" w:eastAsia="仿宋_GB2312" w:cs="Times New Roman"/>
          <w:color w:val="000000"/>
          <w:sz w:val="26"/>
          <w:szCs w:val="26"/>
          <w:lang w:val="en-US" w:eastAsia="zh-CN"/>
        </w:rPr>
        <w:t>（数据来源-钟山区统计局）</w:t>
      </w:r>
    </w:p>
    <w:p>
      <w:pPr>
        <w:spacing w:line="440" w:lineRule="exact"/>
        <w:ind w:firstLine="2080" w:firstLineChars="800"/>
        <w:rPr>
          <w:rFonts w:hint="eastAsia" w:ascii="楷体" w:hAnsi="楷体" w:eastAsia="楷体" w:cs="楷体"/>
          <w:color w:val="000000"/>
          <w:sz w:val="26"/>
          <w:szCs w:val="26"/>
          <w:lang w:val="en-US" w:eastAsia="zh-CN"/>
        </w:rPr>
      </w:pPr>
      <w:r>
        <w:rPr>
          <w:rFonts w:hint="eastAsia" w:eastAsia="仿宋_GB2312"/>
          <w:color w:val="000000"/>
          <w:sz w:val="26"/>
          <w:szCs w:val="26"/>
          <w:lang w:val="en-US" w:eastAsia="zh-CN"/>
        </w:rPr>
        <w:t>2021年钟山区二手房房价趋势图 ，如下表</w:t>
      </w:r>
      <w:r>
        <w:rPr>
          <w:rFonts w:hint="eastAsia" w:ascii="楷体" w:hAnsi="楷体" w:eastAsia="楷体" w:cs="楷体"/>
          <w:color w:val="000000"/>
          <w:sz w:val="26"/>
          <w:szCs w:val="26"/>
          <w:lang w:val="en-US" w:eastAsia="zh-CN"/>
        </w:rPr>
        <w:t>：</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ind w:left="0" w:right="0" w:firstLine="0"/>
        <w:jc w:val="center"/>
        <w:rPr>
          <w:rFonts w:hint="eastAsia" w:ascii="微软雅黑" w:hAnsi="微软雅黑" w:eastAsia="微软雅黑" w:cs="微软雅黑"/>
          <w:i w:val="0"/>
          <w:caps w:val="0"/>
          <w:color w:val="0000FF"/>
          <w:spacing w:val="0"/>
          <w:sz w:val="24"/>
          <w:szCs w:val="24"/>
          <w:lang w:eastAsia="zh-CN"/>
        </w:rPr>
      </w:pPr>
      <w:r>
        <w:rPr>
          <w:rFonts w:hint="eastAsia" w:ascii="微软雅黑" w:hAnsi="微软雅黑" w:eastAsia="微软雅黑" w:cs="微软雅黑"/>
          <w:i w:val="0"/>
          <w:caps w:val="0"/>
          <w:color w:val="0000FF"/>
          <w:spacing w:val="0"/>
          <w:sz w:val="24"/>
          <w:szCs w:val="24"/>
          <w:lang w:eastAsia="zh-CN"/>
        </w:rPr>
        <w:drawing>
          <wp:inline distT="0" distB="0" distL="114300" distR="114300">
            <wp:extent cx="5722620" cy="2482215"/>
            <wp:effectExtent l="0" t="0" r="11430" b="13335"/>
            <wp:docPr id="23" name="图片 2" descr="C:/Users/lenovo/AppData/Local/Temp/picturecompress_20211227172815/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C:/Users/lenovo/AppData/Local/Temp/picturecompress_20211227172815/output_2.jpgoutput_2"/>
                    <pic:cNvPicPr>
                      <a:picLocks noChangeAspect="1"/>
                    </pic:cNvPicPr>
                  </pic:nvPicPr>
                  <pic:blipFill>
                    <a:blip r:embed="rId9"/>
                    <a:srcRect/>
                    <a:stretch>
                      <a:fillRect/>
                    </a:stretch>
                  </pic:blipFill>
                  <pic:spPr>
                    <a:xfrm>
                      <a:off x="0" y="0"/>
                      <a:ext cx="5722620" cy="24822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20" w:firstLineChars="200"/>
        <w:textAlignment w:val="auto"/>
        <w:rPr>
          <w:rFonts w:hint="default" w:eastAsia="仿宋_GB2312"/>
          <w:color w:val="000000"/>
          <w:sz w:val="26"/>
          <w:szCs w:val="26"/>
          <w:lang w:val="en-US" w:eastAsia="zh-CN"/>
        </w:rPr>
      </w:pPr>
      <w:r>
        <w:rPr>
          <w:rFonts w:hint="eastAsia" w:ascii="Times New Roman" w:hAnsi="Times New Roman" w:eastAsia="仿宋_GB2312" w:cs="Times New Roman"/>
          <w:color w:val="000000"/>
          <w:kern w:val="2"/>
          <w:sz w:val="26"/>
          <w:szCs w:val="26"/>
          <w:lang w:val="en-US" w:eastAsia="zh-CN" w:bidi="ar-SA"/>
        </w:rPr>
        <w:t>随着疫情防控形势逐渐向好，</w:t>
      </w:r>
      <w:r>
        <w:rPr>
          <w:rFonts w:hint="eastAsia" w:eastAsia="仿宋_GB2312" w:cs="Times New Roman"/>
          <w:color w:val="000000"/>
          <w:kern w:val="2"/>
          <w:sz w:val="26"/>
          <w:szCs w:val="26"/>
          <w:lang w:val="en-US" w:eastAsia="zh-CN" w:bidi="ar-SA"/>
        </w:rPr>
        <w:t>钟山区</w:t>
      </w:r>
      <w:r>
        <w:rPr>
          <w:rFonts w:hint="eastAsia" w:ascii="Times New Roman" w:hAnsi="Times New Roman" w:eastAsia="仿宋_GB2312" w:cs="Times New Roman"/>
          <w:color w:val="000000"/>
          <w:kern w:val="2"/>
          <w:sz w:val="26"/>
          <w:szCs w:val="26"/>
          <w:lang w:val="en-US" w:eastAsia="zh-CN" w:bidi="ar-SA"/>
        </w:rPr>
        <w:t>房地产市场逐渐复苏</w:t>
      </w:r>
      <w:r>
        <w:rPr>
          <w:rFonts w:hint="eastAsia" w:eastAsia="仿宋_GB2312"/>
          <w:color w:val="000000"/>
          <w:sz w:val="26"/>
          <w:szCs w:val="26"/>
          <w:lang w:val="en-US" w:eastAsia="zh-CN"/>
        </w:rPr>
        <w:t>，销售量也在逐渐增加。</w:t>
      </w:r>
    </w:p>
    <w:p>
      <w:pPr>
        <w:keepNext w:val="0"/>
        <w:keepLines w:val="0"/>
        <w:pageBreakBefore w:val="0"/>
        <w:widowControl w:val="0"/>
        <w:kinsoku/>
        <w:wordWrap/>
        <w:overflowPunct/>
        <w:topLinePunct w:val="0"/>
        <w:autoSpaceDE/>
        <w:autoSpaceDN/>
        <w:bidi w:val="0"/>
        <w:adjustRightInd/>
        <w:snapToGrid/>
        <w:spacing w:line="440" w:lineRule="exact"/>
        <w:ind w:firstLine="520" w:firstLineChars="200"/>
        <w:textAlignment w:val="auto"/>
        <w:rPr>
          <w:rFonts w:hint="default" w:eastAsia="仿宋_GB2312"/>
          <w:color w:val="0000FF"/>
          <w:sz w:val="26"/>
          <w:szCs w:val="26"/>
          <w:lang w:val="en-US" w:eastAsia="zh-CN"/>
        </w:rPr>
      </w:pPr>
      <w:r>
        <w:rPr>
          <w:rFonts w:hint="eastAsia" w:eastAsia="仿宋_GB2312"/>
          <w:color w:val="000000"/>
          <w:sz w:val="26"/>
          <w:szCs w:val="26"/>
        </w:rPr>
        <w:t>以上数据说明，</w:t>
      </w:r>
      <w:r>
        <w:rPr>
          <w:rFonts w:hint="eastAsia" w:eastAsia="仿宋_GB2312" w:cs="Times New Roman"/>
          <w:color w:val="000000"/>
          <w:kern w:val="2"/>
          <w:sz w:val="26"/>
          <w:szCs w:val="26"/>
          <w:lang w:val="en-US" w:eastAsia="zh-CN" w:bidi="ar-SA"/>
        </w:rPr>
        <w:t>钟山区</w:t>
      </w:r>
      <w:r>
        <w:rPr>
          <w:rFonts w:hint="eastAsia" w:eastAsia="仿宋_GB2312"/>
          <w:color w:val="000000"/>
          <w:sz w:val="26"/>
          <w:szCs w:val="26"/>
        </w:rPr>
        <w:t>整体经济状况</w:t>
      </w:r>
      <w:r>
        <w:rPr>
          <w:rFonts w:hint="eastAsia" w:eastAsia="仿宋_GB2312"/>
          <w:color w:val="000000"/>
          <w:sz w:val="26"/>
          <w:szCs w:val="26"/>
          <w:lang w:val="en-US" w:eastAsia="zh-CN"/>
        </w:rPr>
        <w:t>一般</w:t>
      </w:r>
      <w:r>
        <w:rPr>
          <w:rFonts w:hint="eastAsia" w:eastAsia="仿宋_GB2312"/>
          <w:color w:val="000000"/>
          <w:sz w:val="26"/>
          <w:szCs w:val="26"/>
        </w:rPr>
        <w:t>，房地产业发展</w:t>
      </w:r>
      <w:r>
        <w:rPr>
          <w:rFonts w:hint="eastAsia" w:eastAsia="仿宋_GB2312"/>
          <w:color w:val="000000"/>
          <w:sz w:val="26"/>
          <w:szCs w:val="26"/>
          <w:lang w:val="en-US" w:eastAsia="zh-CN"/>
        </w:rPr>
        <w:t>一般</w:t>
      </w:r>
      <w:r>
        <w:rPr>
          <w:rFonts w:hint="eastAsia" w:eastAsia="仿宋_GB2312"/>
          <w:color w:val="000000"/>
          <w:sz w:val="26"/>
          <w:szCs w:val="26"/>
        </w:rPr>
        <w:t>。结合估价对象类型房地产市场分析，</w:t>
      </w:r>
      <w:r>
        <w:rPr>
          <w:rFonts w:hint="eastAsia" w:eastAsia="仿宋_GB2312"/>
          <w:color w:val="000000"/>
          <w:sz w:val="26"/>
          <w:szCs w:val="26"/>
          <w:lang w:val="en-US" w:eastAsia="zh-CN"/>
        </w:rPr>
        <w:t>随着</w:t>
      </w:r>
      <w:r>
        <w:rPr>
          <w:rFonts w:hint="eastAsia" w:eastAsia="仿宋_GB2312"/>
          <w:color w:val="000000"/>
          <w:sz w:val="26"/>
          <w:szCs w:val="26"/>
        </w:rPr>
        <w:t>购房个人收入逐步提高，购房的能力和信心将不断增强</w:t>
      </w:r>
      <w:r>
        <w:rPr>
          <w:rFonts w:hint="eastAsia" w:eastAsia="仿宋_GB2312"/>
          <w:color w:val="000000"/>
          <w:sz w:val="26"/>
          <w:szCs w:val="26"/>
          <w:lang w:eastAsia="zh-CN"/>
        </w:rPr>
        <w:t>，</w:t>
      </w:r>
      <w:r>
        <w:rPr>
          <w:rFonts w:hint="eastAsia" w:eastAsia="仿宋_GB2312"/>
          <w:color w:val="000000"/>
          <w:sz w:val="26"/>
          <w:szCs w:val="26"/>
          <w:lang w:val="en-US" w:eastAsia="zh-CN"/>
        </w:rPr>
        <w:t>对住宅房地产的需求在增加，但相对于别墅类型的房地产，大部份消费者都还是持谨慎状态</w:t>
      </w:r>
      <w:r>
        <w:rPr>
          <w:rFonts w:hint="eastAsia" w:eastAsia="仿宋_GB2312"/>
          <w:color w:val="000000"/>
          <w:sz w:val="26"/>
          <w:szCs w:val="26"/>
        </w:rPr>
        <w:t>，短期内的房价若没有特殊的国内与本地大的政策与经济环境变动，估价对象所在区域</w:t>
      </w:r>
      <w:r>
        <w:rPr>
          <w:rFonts w:hint="eastAsia" w:eastAsia="仿宋_GB2312"/>
          <w:color w:val="000000"/>
          <w:sz w:val="26"/>
          <w:szCs w:val="26"/>
          <w:lang w:val="en-US" w:eastAsia="zh-CN"/>
        </w:rPr>
        <w:t>住宅</w:t>
      </w:r>
      <w:r>
        <w:rPr>
          <w:rFonts w:hint="eastAsia" w:eastAsia="仿宋_GB2312"/>
          <w:color w:val="000000"/>
          <w:sz w:val="26"/>
          <w:szCs w:val="26"/>
        </w:rPr>
        <w:t>用房变化趋势在小幅增长中基本保持平稳</w:t>
      </w:r>
      <w:r>
        <w:rPr>
          <w:rFonts w:hint="eastAsia" w:eastAsia="仿宋_GB2312"/>
          <w:color w:val="0000FF"/>
          <w:sz w:val="26"/>
          <w:szCs w:val="26"/>
          <w:lang w:val="en-US" w:eastAsia="zh-CN"/>
        </w:rPr>
        <w:t>。</w:t>
      </w:r>
    </w:p>
    <w:p>
      <w:pPr>
        <w:pStyle w:val="3"/>
        <w:spacing w:line="240" w:lineRule="auto"/>
        <w:rPr>
          <w:rFonts w:ascii="Times New Roman" w:hAnsi="Times New Roman" w:eastAsia="仿宋_GB2312"/>
          <w:sz w:val="30"/>
          <w:szCs w:val="30"/>
        </w:rPr>
      </w:pPr>
      <w:bookmarkStart w:id="105" w:name="_Toc4922"/>
      <w:bookmarkStart w:id="106" w:name="_Toc31958"/>
      <w:bookmarkStart w:id="107" w:name="_Toc21789"/>
      <w:bookmarkStart w:id="108" w:name="_Toc457460270"/>
      <w:bookmarkStart w:id="109" w:name="_Toc980"/>
      <w:bookmarkStart w:id="110" w:name="_Toc14458"/>
      <w:r>
        <w:rPr>
          <w:rFonts w:hint="eastAsia" w:ascii="Times New Roman" w:hAnsi="Times New Roman" w:eastAsia="仿宋_GB2312"/>
          <w:sz w:val="30"/>
          <w:szCs w:val="30"/>
        </w:rPr>
        <w:t>五</w:t>
      </w:r>
      <w:r>
        <w:rPr>
          <w:rFonts w:ascii="Times New Roman" w:hAnsi="Times New Roman" w:eastAsia="仿宋_GB2312"/>
          <w:sz w:val="30"/>
          <w:szCs w:val="30"/>
        </w:rPr>
        <w:t>、最高最佳</w:t>
      </w:r>
      <w:r>
        <w:rPr>
          <w:rFonts w:hint="eastAsia" w:ascii="Times New Roman" w:hAnsi="Times New Roman" w:eastAsia="仿宋_GB2312"/>
          <w:sz w:val="30"/>
          <w:szCs w:val="30"/>
        </w:rPr>
        <w:t>利用</w:t>
      </w:r>
      <w:r>
        <w:rPr>
          <w:rFonts w:ascii="Times New Roman" w:hAnsi="Times New Roman" w:eastAsia="仿宋_GB2312"/>
          <w:sz w:val="30"/>
          <w:szCs w:val="30"/>
        </w:rPr>
        <w:t>分析</w:t>
      </w:r>
      <w:bookmarkEnd w:id="104"/>
      <w:bookmarkEnd w:id="105"/>
      <w:bookmarkEnd w:id="106"/>
      <w:bookmarkEnd w:id="107"/>
      <w:bookmarkEnd w:id="108"/>
      <w:bookmarkEnd w:id="109"/>
      <w:bookmarkEnd w:id="110"/>
    </w:p>
    <w:p>
      <w:pPr>
        <w:spacing w:line="440" w:lineRule="exact"/>
        <w:ind w:firstLine="520" w:firstLineChars="200"/>
        <w:rPr>
          <w:rFonts w:eastAsia="仿宋_GB2312"/>
          <w:sz w:val="26"/>
          <w:szCs w:val="26"/>
        </w:rPr>
      </w:pPr>
      <w:r>
        <w:rPr>
          <w:rFonts w:eastAsia="仿宋_GB2312"/>
          <w:sz w:val="26"/>
          <w:szCs w:val="26"/>
        </w:rPr>
        <w:t>估价对象应以最高最佳使用为前提估价，最高最佳使用，是指法律上允许、技术上可能、经济上可行，经过充分合理的论证，能够使估价对象的价值达到最大化的一种最可能的使用。最高最佳使用分析真正体现了估价的客观性。衡量、判断的标准如下：</w:t>
      </w:r>
    </w:p>
    <w:p>
      <w:pPr>
        <w:spacing w:line="440" w:lineRule="exact"/>
        <w:ind w:firstLine="520" w:firstLineChars="200"/>
        <w:rPr>
          <w:rFonts w:hint="eastAsia" w:eastAsia="仿宋_GB2312"/>
          <w:sz w:val="26"/>
          <w:szCs w:val="26"/>
        </w:rPr>
      </w:pPr>
      <w:r>
        <w:rPr>
          <w:rFonts w:hint="eastAsia" w:eastAsia="仿宋_GB2312"/>
          <w:sz w:val="26"/>
          <w:szCs w:val="26"/>
        </w:rPr>
        <w:t>1、合法性分析</w:t>
      </w:r>
    </w:p>
    <w:p>
      <w:pPr>
        <w:spacing w:line="440" w:lineRule="exact"/>
        <w:ind w:firstLine="520" w:firstLineChars="200"/>
        <w:rPr>
          <w:rFonts w:hint="eastAsia" w:eastAsia="仿宋_GB2312"/>
          <w:color w:val="000000"/>
          <w:sz w:val="26"/>
          <w:szCs w:val="26"/>
        </w:rPr>
      </w:pPr>
      <w:r>
        <w:rPr>
          <w:rFonts w:hint="eastAsia" w:eastAsia="仿宋_GB2312"/>
          <w:color w:val="000000"/>
          <w:sz w:val="26"/>
          <w:szCs w:val="26"/>
        </w:rPr>
        <w:t>估价对象的房屋所有权及土地使用权，</w:t>
      </w:r>
      <w:r>
        <w:rPr>
          <w:rFonts w:hint="eastAsia" w:eastAsia="仿宋_GB2312"/>
          <w:color w:val="auto"/>
          <w:sz w:val="26"/>
          <w:szCs w:val="26"/>
          <w:lang w:val="en-US" w:eastAsia="zh-CN"/>
        </w:rPr>
        <w:t>根据委托方提供的《贵州省不动产登记查询结果》显示，估价对象已在六盘水市钟山区自然资源和规划管理局进行了不动产登记</w:t>
      </w:r>
      <w:r>
        <w:rPr>
          <w:rFonts w:hint="eastAsia" w:eastAsia="仿宋_GB2312"/>
          <w:color w:val="000000"/>
          <w:sz w:val="26"/>
          <w:szCs w:val="26"/>
          <w:lang w:eastAsia="zh-CN"/>
        </w:rPr>
        <w:t>，</w:t>
      </w:r>
      <w:r>
        <w:rPr>
          <w:rFonts w:hint="eastAsia" w:eastAsia="仿宋_GB2312"/>
          <w:color w:val="000000"/>
          <w:sz w:val="26"/>
          <w:szCs w:val="26"/>
          <w:lang w:val="en-US" w:eastAsia="zh-CN"/>
        </w:rPr>
        <w:t>其</w:t>
      </w:r>
      <w:r>
        <w:rPr>
          <w:rFonts w:hint="eastAsia" w:eastAsia="仿宋_GB2312"/>
          <w:color w:val="000000"/>
          <w:sz w:val="26"/>
          <w:szCs w:val="26"/>
        </w:rPr>
        <w:t>估价对象用途和土地利用方式</w:t>
      </w:r>
      <w:r>
        <w:rPr>
          <w:rFonts w:hint="eastAsia" w:eastAsia="仿宋_GB2312"/>
          <w:color w:val="000000"/>
          <w:sz w:val="26"/>
          <w:szCs w:val="26"/>
          <w:lang w:val="en-US" w:eastAsia="zh-CN"/>
        </w:rPr>
        <w:t>等</w:t>
      </w:r>
      <w:r>
        <w:rPr>
          <w:rFonts w:hint="eastAsia" w:eastAsia="仿宋_GB2312"/>
          <w:color w:val="000000"/>
          <w:sz w:val="26"/>
          <w:szCs w:val="26"/>
        </w:rPr>
        <w:t>符合城市规划的要求。</w:t>
      </w:r>
    </w:p>
    <w:p>
      <w:pPr>
        <w:spacing w:line="440" w:lineRule="exact"/>
        <w:ind w:firstLine="520" w:firstLineChars="200"/>
        <w:rPr>
          <w:rFonts w:hint="eastAsia" w:eastAsia="仿宋_GB2312"/>
          <w:color w:val="000000"/>
          <w:sz w:val="26"/>
          <w:szCs w:val="26"/>
        </w:rPr>
      </w:pPr>
      <w:r>
        <w:rPr>
          <w:rFonts w:hint="eastAsia" w:eastAsia="仿宋_GB2312"/>
          <w:color w:val="000000"/>
          <w:sz w:val="26"/>
          <w:szCs w:val="26"/>
        </w:rPr>
        <w:t>2、技术可能性分析</w:t>
      </w:r>
    </w:p>
    <w:p>
      <w:pPr>
        <w:spacing w:line="440" w:lineRule="exact"/>
        <w:ind w:firstLine="520" w:firstLineChars="200"/>
        <w:rPr>
          <w:rFonts w:hint="eastAsia" w:eastAsia="仿宋_GB2312"/>
          <w:sz w:val="26"/>
          <w:szCs w:val="26"/>
        </w:rPr>
      </w:pPr>
      <w:r>
        <w:rPr>
          <w:rFonts w:hint="eastAsia" w:eastAsia="仿宋_GB2312"/>
          <w:sz w:val="26"/>
          <w:szCs w:val="26"/>
        </w:rPr>
        <w:t>《房地产估价规范》规定，当估价对象已做了某种使用，估价时应根据最高最佳利用原则对估价前提作出下列之一的判断和选择，并应在估价报告中予以说明：</w:t>
      </w:r>
    </w:p>
    <w:p>
      <w:pPr>
        <w:spacing w:line="440" w:lineRule="exact"/>
        <w:ind w:firstLine="520" w:firstLineChars="200"/>
        <w:rPr>
          <w:rFonts w:hint="eastAsia" w:eastAsia="仿宋_GB2312"/>
          <w:sz w:val="26"/>
          <w:szCs w:val="26"/>
        </w:rPr>
      </w:pPr>
      <w:r>
        <w:rPr>
          <w:rFonts w:hint="eastAsia" w:eastAsia="仿宋_GB2312"/>
          <w:sz w:val="26"/>
          <w:szCs w:val="26"/>
        </w:rPr>
        <w:t>2.1保持现状前提：认为保持现状继续利用最为有利时，应以保持现状继续利用为前提估价；</w:t>
      </w:r>
    </w:p>
    <w:p>
      <w:pPr>
        <w:spacing w:line="440" w:lineRule="exact"/>
        <w:ind w:firstLine="520" w:firstLineChars="200"/>
        <w:rPr>
          <w:rFonts w:hint="eastAsia" w:eastAsia="仿宋_GB2312"/>
          <w:sz w:val="26"/>
          <w:szCs w:val="26"/>
        </w:rPr>
      </w:pPr>
      <w:r>
        <w:rPr>
          <w:rFonts w:hint="eastAsia" w:eastAsia="仿宋_GB2312"/>
          <w:sz w:val="26"/>
          <w:szCs w:val="26"/>
        </w:rPr>
        <w:t>2.2转换用途前提：认为转换用途再予以利用最为有利时，应以转换用途后再予以利用为前提估价；</w:t>
      </w:r>
    </w:p>
    <w:p>
      <w:pPr>
        <w:spacing w:line="440" w:lineRule="exact"/>
        <w:ind w:firstLine="520" w:firstLineChars="200"/>
        <w:rPr>
          <w:rFonts w:hint="eastAsia" w:eastAsia="仿宋_GB2312"/>
          <w:sz w:val="26"/>
          <w:szCs w:val="26"/>
        </w:rPr>
      </w:pPr>
      <w:r>
        <w:rPr>
          <w:rFonts w:hint="eastAsia" w:eastAsia="仿宋_GB2312"/>
          <w:sz w:val="26"/>
          <w:szCs w:val="26"/>
        </w:rPr>
        <w:t>2.3装修改造前提：认为装修改造但不转换用途再予以利用最为有利时，应以装修改造但不转换用途再予以利用为前提估价；</w:t>
      </w:r>
    </w:p>
    <w:p>
      <w:pPr>
        <w:spacing w:line="440" w:lineRule="exact"/>
        <w:ind w:firstLine="520" w:firstLineChars="200"/>
        <w:rPr>
          <w:rFonts w:hint="eastAsia" w:eastAsia="仿宋_GB2312"/>
          <w:sz w:val="26"/>
          <w:szCs w:val="26"/>
        </w:rPr>
      </w:pPr>
      <w:r>
        <w:rPr>
          <w:rFonts w:hint="eastAsia" w:eastAsia="仿宋_GB2312"/>
          <w:sz w:val="26"/>
          <w:szCs w:val="26"/>
        </w:rPr>
        <w:t>2.4重新利用前提：认为拆除现有建筑物再予以利用最为有利时，应以拆除建筑物后再予以利用为前提估价；</w:t>
      </w:r>
    </w:p>
    <w:p>
      <w:pPr>
        <w:spacing w:line="440" w:lineRule="exact"/>
        <w:ind w:firstLine="520" w:firstLineChars="200"/>
        <w:rPr>
          <w:rFonts w:hint="eastAsia" w:eastAsia="仿宋_GB2312"/>
          <w:sz w:val="26"/>
          <w:szCs w:val="26"/>
        </w:rPr>
      </w:pPr>
      <w:r>
        <w:rPr>
          <w:rFonts w:hint="eastAsia" w:eastAsia="仿宋_GB2312"/>
          <w:sz w:val="26"/>
          <w:szCs w:val="26"/>
        </w:rPr>
        <w:t>2.5上述情形的某种组合。</w:t>
      </w:r>
    </w:p>
    <w:p>
      <w:pPr>
        <w:spacing w:line="440" w:lineRule="exact"/>
        <w:ind w:firstLine="520" w:firstLineChars="200"/>
        <w:rPr>
          <w:rFonts w:hint="eastAsia" w:eastAsia="仿宋_GB2312"/>
          <w:sz w:val="26"/>
          <w:szCs w:val="26"/>
        </w:rPr>
      </w:pPr>
      <w:r>
        <w:rPr>
          <w:rFonts w:hint="eastAsia" w:eastAsia="仿宋_GB2312"/>
          <w:sz w:val="26"/>
          <w:szCs w:val="26"/>
        </w:rPr>
        <w:t>在价值时点，估价对象房屋</w:t>
      </w:r>
      <w:r>
        <w:rPr>
          <w:rFonts w:hint="eastAsia" w:eastAsia="仿宋_GB2312"/>
          <w:sz w:val="26"/>
          <w:szCs w:val="26"/>
          <w:lang w:val="en-US" w:eastAsia="zh-CN"/>
        </w:rPr>
        <w:t>九</w:t>
      </w:r>
      <w:r>
        <w:rPr>
          <w:rFonts w:hint="eastAsia" w:eastAsia="仿宋_GB2312"/>
          <w:sz w:val="26"/>
          <w:szCs w:val="26"/>
        </w:rPr>
        <w:t>成新，估价对象所在区域的房地产市场发育稳定，现有房地产价值大于重新开发的房地产价值减去将现有房地产改变为新房地产所必要的费用，所以，我们认为保持现状继续利用最为有利，应以保持现状继续利用作为前提估价。</w:t>
      </w:r>
    </w:p>
    <w:p>
      <w:pPr>
        <w:spacing w:line="440" w:lineRule="exact"/>
        <w:ind w:firstLine="520" w:firstLineChars="200"/>
        <w:rPr>
          <w:rFonts w:hint="eastAsia" w:eastAsia="仿宋_GB2312"/>
          <w:sz w:val="26"/>
          <w:szCs w:val="26"/>
        </w:rPr>
      </w:pPr>
      <w:r>
        <w:rPr>
          <w:rFonts w:hint="eastAsia" w:eastAsia="仿宋_GB2312"/>
          <w:sz w:val="26"/>
          <w:szCs w:val="26"/>
        </w:rPr>
        <w:t>3、经济可行性分析</w:t>
      </w:r>
    </w:p>
    <w:p>
      <w:pPr>
        <w:spacing w:line="440" w:lineRule="exact"/>
        <w:ind w:firstLine="520" w:firstLineChars="200"/>
        <w:rPr>
          <w:rFonts w:hint="eastAsia" w:eastAsia="仿宋_GB2312"/>
          <w:sz w:val="26"/>
          <w:szCs w:val="26"/>
        </w:rPr>
      </w:pPr>
      <w:r>
        <w:rPr>
          <w:rFonts w:hint="eastAsia" w:eastAsia="仿宋_GB2312"/>
          <w:sz w:val="26"/>
          <w:szCs w:val="26"/>
        </w:rPr>
        <w:t>3.1收益递增递减原理：揭示的是两种投入产出关系（投入产出关系是指投入量的变动与相应产出量的变动之间的关系）：一种是在一种投入量变动而其他投入量固定的情况下的投入产出关系；另一种是在所有的投入量都变动的情况下的投入产出关系。</w:t>
      </w:r>
    </w:p>
    <w:p>
      <w:pPr>
        <w:spacing w:line="440" w:lineRule="exact"/>
        <w:ind w:firstLine="520" w:firstLineChars="200"/>
        <w:rPr>
          <w:rFonts w:hint="eastAsia" w:eastAsia="仿宋_GB2312"/>
          <w:sz w:val="26"/>
          <w:szCs w:val="26"/>
        </w:rPr>
      </w:pPr>
      <w:r>
        <w:rPr>
          <w:rFonts w:hint="eastAsia" w:eastAsia="仿宋_GB2312"/>
          <w:sz w:val="26"/>
          <w:szCs w:val="26"/>
        </w:rPr>
        <w:t>3.2均衡原理：以估价对象的内部各构成要素的组合是否均衡，来判定估价对象是否为最高最佳利用。它可以帮助我们确定估价对象的最佳集约度和最佳规模。</w:t>
      </w:r>
    </w:p>
    <w:p>
      <w:pPr>
        <w:spacing w:line="440" w:lineRule="exact"/>
        <w:ind w:firstLine="520" w:firstLineChars="200"/>
        <w:rPr>
          <w:rFonts w:hint="eastAsia" w:eastAsia="仿宋_GB2312"/>
          <w:sz w:val="26"/>
          <w:szCs w:val="26"/>
        </w:rPr>
      </w:pPr>
      <w:r>
        <w:rPr>
          <w:rFonts w:hint="eastAsia" w:eastAsia="仿宋_GB2312"/>
          <w:sz w:val="26"/>
          <w:szCs w:val="26"/>
        </w:rPr>
        <w:t>3.3适合原理：以估价对象与其外部环境是否协调，来判定估价对象是否为最高最佳利用。它可以帮助我们确定估价对象的最佳用途。</w:t>
      </w:r>
    </w:p>
    <w:p>
      <w:pPr>
        <w:spacing w:line="440" w:lineRule="exact"/>
        <w:ind w:firstLine="520" w:firstLineChars="200"/>
        <w:rPr>
          <w:rFonts w:hint="eastAsia" w:eastAsia="仿宋_GB2312"/>
          <w:sz w:val="26"/>
          <w:szCs w:val="26"/>
        </w:rPr>
      </w:pPr>
      <w:r>
        <w:rPr>
          <w:rFonts w:hint="eastAsia" w:eastAsia="仿宋_GB2312"/>
          <w:sz w:val="26"/>
          <w:szCs w:val="26"/>
        </w:rPr>
        <w:t>适合原理加上均衡原理以及收益递增递减原理，即当估价对象与其外部环境最为协调，同时其内部各构成要素的组合最为均衡时，便为最高最佳利用。</w:t>
      </w:r>
    </w:p>
    <w:p>
      <w:pPr>
        <w:spacing w:line="440" w:lineRule="exact"/>
        <w:ind w:firstLine="520" w:firstLineChars="200"/>
        <w:rPr>
          <w:rFonts w:hint="eastAsia" w:eastAsia="仿宋_GB2312"/>
          <w:sz w:val="26"/>
          <w:szCs w:val="26"/>
        </w:rPr>
      </w:pPr>
      <w:r>
        <w:rPr>
          <w:rFonts w:hint="eastAsia" w:eastAsia="仿宋_GB2312"/>
          <w:sz w:val="26"/>
          <w:szCs w:val="26"/>
        </w:rPr>
        <w:t>4、最高最佳利用方式分析</w:t>
      </w:r>
    </w:p>
    <w:p>
      <w:pPr>
        <w:spacing w:line="440" w:lineRule="exact"/>
        <w:ind w:firstLine="520" w:firstLineChars="200"/>
        <w:rPr>
          <w:rFonts w:hint="eastAsia" w:eastAsia="仿宋_GB2312"/>
          <w:sz w:val="26"/>
          <w:szCs w:val="26"/>
        </w:rPr>
      </w:pPr>
      <w:r>
        <w:rPr>
          <w:rFonts w:hint="eastAsia" w:eastAsia="仿宋_GB2312"/>
          <w:sz w:val="26"/>
          <w:szCs w:val="26"/>
        </w:rPr>
        <w:t>最高最佳利用必须同时满足以下4个条件：法律上允许、技术上可能、财务上可行、价值最大化。</w:t>
      </w:r>
    </w:p>
    <w:p>
      <w:pPr>
        <w:spacing w:line="440" w:lineRule="exact"/>
        <w:ind w:firstLine="520" w:firstLineChars="200"/>
        <w:rPr>
          <w:rFonts w:hint="eastAsia" w:eastAsia="仿宋_GB2312"/>
          <w:color w:val="000000"/>
          <w:sz w:val="26"/>
          <w:szCs w:val="26"/>
        </w:rPr>
      </w:pPr>
      <w:r>
        <w:rPr>
          <w:rFonts w:hint="eastAsia" w:eastAsia="仿宋_GB2312"/>
          <w:color w:val="000000"/>
          <w:sz w:val="26"/>
          <w:szCs w:val="26"/>
        </w:rPr>
        <w:t>4.1法律上的允许：估价对象已依法</w:t>
      </w:r>
      <w:r>
        <w:rPr>
          <w:rFonts w:hint="eastAsia" w:eastAsia="仿宋_GB2312"/>
          <w:color w:val="000000"/>
          <w:sz w:val="26"/>
          <w:szCs w:val="26"/>
          <w:lang w:val="en-US" w:eastAsia="zh-CN"/>
        </w:rPr>
        <w:t>进行登记</w:t>
      </w:r>
      <w:r>
        <w:rPr>
          <w:rFonts w:hint="eastAsia" w:eastAsia="仿宋_GB2312"/>
          <w:color w:val="000000"/>
          <w:sz w:val="26"/>
          <w:szCs w:val="26"/>
        </w:rPr>
        <w:t>，登记用途为</w:t>
      </w:r>
      <w:r>
        <w:rPr>
          <w:rFonts w:hint="eastAsia" w:eastAsia="仿宋_GB2312"/>
          <w:color w:val="000000"/>
          <w:sz w:val="26"/>
          <w:szCs w:val="26"/>
          <w:lang w:val="en-US" w:eastAsia="zh-CN"/>
        </w:rPr>
        <w:t>住宅用房</w:t>
      </w:r>
      <w:r>
        <w:rPr>
          <w:rFonts w:hint="eastAsia" w:eastAsia="仿宋_GB2312"/>
          <w:color w:val="000000"/>
          <w:sz w:val="26"/>
          <w:szCs w:val="26"/>
        </w:rPr>
        <w:t>，估价对象作为</w:t>
      </w:r>
      <w:r>
        <w:rPr>
          <w:rFonts w:hint="eastAsia" w:eastAsia="仿宋_GB2312"/>
          <w:color w:val="000000"/>
          <w:sz w:val="26"/>
          <w:szCs w:val="26"/>
          <w:lang w:val="en-US" w:eastAsia="zh-CN"/>
        </w:rPr>
        <w:t>住宅</w:t>
      </w:r>
      <w:r>
        <w:rPr>
          <w:rFonts w:hint="eastAsia" w:eastAsia="仿宋_GB2312"/>
          <w:color w:val="000000"/>
          <w:sz w:val="26"/>
          <w:szCs w:val="26"/>
        </w:rPr>
        <w:t>用房在法律上是允许的。</w:t>
      </w:r>
    </w:p>
    <w:p>
      <w:pPr>
        <w:spacing w:line="440" w:lineRule="exact"/>
        <w:ind w:firstLine="520" w:firstLineChars="200"/>
        <w:rPr>
          <w:rFonts w:hint="eastAsia" w:eastAsia="仿宋_GB2312"/>
          <w:sz w:val="26"/>
          <w:szCs w:val="26"/>
        </w:rPr>
      </w:pPr>
      <w:r>
        <w:rPr>
          <w:rFonts w:hint="eastAsia" w:eastAsia="仿宋_GB2312"/>
          <w:sz w:val="26"/>
          <w:szCs w:val="26"/>
        </w:rPr>
        <w:t>4.2技术上的可能：估价对象建筑物设计用途为</w:t>
      </w:r>
      <w:r>
        <w:rPr>
          <w:rFonts w:hint="eastAsia" w:eastAsia="仿宋_GB2312"/>
          <w:sz w:val="26"/>
          <w:szCs w:val="26"/>
          <w:lang w:val="en-US" w:eastAsia="zh-CN"/>
        </w:rPr>
        <w:t>住宅</w:t>
      </w:r>
      <w:r>
        <w:rPr>
          <w:rFonts w:hint="eastAsia" w:eastAsia="仿宋_GB2312"/>
          <w:sz w:val="26"/>
          <w:szCs w:val="26"/>
        </w:rPr>
        <w:t>，在价值时点已建成并正常投入使用，该房地产的建设符合房地产物理属性、区位属性和环境属性，在技术上已经实现。</w:t>
      </w:r>
    </w:p>
    <w:p>
      <w:pPr>
        <w:spacing w:line="440" w:lineRule="exact"/>
        <w:ind w:firstLine="520" w:firstLineChars="200"/>
        <w:rPr>
          <w:rFonts w:hint="eastAsia" w:eastAsia="仿宋_GB2312"/>
          <w:sz w:val="26"/>
          <w:szCs w:val="26"/>
        </w:rPr>
      </w:pPr>
      <w:r>
        <w:rPr>
          <w:rFonts w:hint="eastAsia" w:eastAsia="仿宋_GB2312"/>
          <w:sz w:val="26"/>
          <w:szCs w:val="26"/>
        </w:rPr>
        <w:t>4.3财务上的可行：估价对象建成后由房屋所有权人通过正常的市场交易购入，且已投入使用，说明该房地产建设在财务上是可行的。</w:t>
      </w:r>
    </w:p>
    <w:p>
      <w:pPr>
        <w:spacing w:line="440" w:lineRule="exact"/>
        <w:ind w:firstLine="520" w:firstLineChars="200"/>
        <w:rPr>
          <w:rFonts w:hint="eastAsia" w:eastAsia="仿宋_GB2312"/>
          <w:sz w:val="26"/>
          <w:szCs w:val="26"/>
        </w:rPr>
      </w:pPr>
      <w:r>
        <w:rPr>
          <w:rFonts w:hint="eastAsia" w:eastAsia="仿宋_GB2312"/>
          <w:sz w:val="26"/>
          <w:szCs w:val="26"/>
        </w:rPr>
        <w:t>4.4价值最大化</w:t>
      </w:r>
    </w:p>
    <w:p>
      <w:pPr>
        <w:spacing w:line="440" w:lineRule="exact"/>
        <w:ind w:firstLine="520" w:firstLineChars="200"/>
        <w:rPr>
          <w:rFonts w:hint="eastAsia" w:eastAsia="仿宋_GB2312"/>
          <w:sz w:val="26"/>
          <w:szCs w:val="26"/>
        </w:rPr>
      </w:pPr>
      <w:r>
        <w:rPr>
          <w:rFonts w:hint="eastAsia" w:eastAsia="仿宋_GB2312"/>
          <w:sz w:val="26"/>
          <w:szCs w:val="26"/>
        </w:rPr>
        <w:t>在所有具有经济可行性的利用方式中，能使估价对象的价值达到最大化的利用方式，才是最高最佳的利用方式。估价对象所在区域的土地利用类型以商业、住宅为主，估价对象作为</w:t>
      </w:r>
      <w:r>
        <w:rPr>
          <w:rFonts w:hint="eastAsia" w:eastAsia="仿宋_GB2312"/>
          <w:sz w:val="26"/>
          <w:szCs w:val="26"/>
          <w:lang w:val="en-US" w:eastAsia="zh-CN"/>
        </w:rPr>
        <w:t>住宅</w:t>
      </w:r>
      <w:r>
        <w:rPr>
          <w:rFonts w:hint="eastAsia" w:eastAsia="仿宋_GB2312"/>
          <w:sz w:val="26"/>
          <w:szCs w:val="26"/>
        </w:rPr>
        <w:t>，与周围外部环境最为协调，同时所在建筑内部各构成要素的组合最为均衡，故受其楼层、设计布局与外部环境等限制，不宜改为工业</w:t>
      </w:r>
      <w:r>
        <w:rPr>
          <w:rFonts w:hint="eastAsia" w:eastAsia="仿宋_GB2312"/>
          <w:sz w:val="26"/>
          <w:szCs w:val="26"/>
          <w:lang w:eastAsia="zh-CN"/>
        </w:rPr>
        <w:t>、</w:t>
      </w:r>
      <w:r>
        <w:rPr>
          <w:rFonts w:hint="eastAsia" w:eastAsia="仿宋_GB2312"/>
          <w:sz w:val="26"/>
          <w:szCs w:val="26"/>
          <w:lang w:val="en-US" w:eastAsia="zh-CN"/>
        </w:rPr>
        <w:t>商业</w:t>
      </w:r>
      <w:r>
        <w:rPr>
          <w:rFonts w:hint="eastAsia" w:eastAsia="仿宋_GB2312"/>
          <w:sz w:val="26"/>
          <w:szCs w:val="26"/>
        </w:rPr>
        <w:t>用途使用，所以估价对象作为</w:t>
      </w:r>
      <w:r>
        <w:rPr>
          <w:rFonts w:hint="eastAsia" w:eastAsia="仿宋_GB2312"/>
          <w:sz w:val="26"/>
          <w:szCs w:val="26"/>
          <w:lang w:val="en-US" w:eastAsia="zh-CN"/>
        </w:rPr>
        <w:t>住宅</w:t>
      </w:r>
      <w:r>
        <w:rPr>
          <w:rFonts w:hint="eastAsia" w:eastAsia="仿宋_GB2312"/>
          <w:sz w:val="26"/>
          <w:szCs w:val="26"/>
        </w:rPr>
        <w:t>使用，是其价值最大化的利用。</w:t>
      </w:r>
    </w:p>
    <w:p>
      <w:pPr>
        <w:pStyle w:val="3"/>
        <w:pageBreakBefore w:val="0"/>
        <w:widowControl w:val="0"/>
        <w:kinsoku/>
        <w:wordWrap/>
        <w:overflowPunct/>
        <w:topLinePunct w:val="0"/>
        <w:autoSpaceDE/>
        <w:autoSpaceDN/>
        <w:bidi w:val="0"/>
        <w:spacing w:line="420" w:lineRule="exact"/>
        <w:textAlignment w:val="auto"/>
        <w:rPr>
          <w:rFonts w:ascii="Times New Roman" w:hAnsi="Times New Roman" w:eastAsia="仿宋_GB2312"/>
          <w:sz w:val="30"/>
          <w:szCs w:val="30"/>
        </w:rPr>
      </w:pPr>
      <w:bookmarkStart w:id="111" w:name="_Toc1066"/>
      <w:bookmarkStart w:id="112" w:name="_Toc28467"/>
      <w:bookmarkStart w:id="113" w:name="_Toc457460271"/>
      <w:bookmarkStart w:id="114" w:name="_Toc32586"/>
      <w:bookmarkStart w:id="115" w:name="_Toc19180"/>
      <w:bookmarkStart w:id="116" w:name="_Toc386011005"/>
      <w:bookmarkStart w:id="117" w:name="_Toc5218"/>
      <w:r>
        <w:rPr>
          <w:rFonts w:hint="eastAsia" w:ascii="Times New Roman" w:hAnsi="Times New Roman" w:eastAsia="仿宋_GB2312"/>
          <w:sz w:val="30"/>
          <w:szCs w:val="30"/>
        </w:rPr>
        <w:t>六</w:t>
      </w:r>
      <w:r>
        <w:rPr>
          <w:rFonts w:ascii="Times New Roman" w:hAnsi="Times New Roman" w:eastAsia="仿宋_GB2312"/>
          <w:sz w:val="30"/>
          <w:szCs w:val="30"/>
        </w:rPr>
        <w:t>、估价方法</w:t>
      </w:r>
      <w:r>
        <w:rPr>
          <w:rFonts w:hint="eastAsia" w:ascii="Times New Roman" w:hAnsi="Times New Roman" w:eastAsia="仿宋_GB2312"/>
          <w:sz w:val="30"/>
          <w:szCs w:val="30"/>
        </w:rPr>
        <w:t>适用性分析</w:t>
      </w:r>
      <w:bookmarkEnd w:id="111"/>
      <w:bookmarkEnd w:id="112"/>
      <w:bookmarkEnd w:id="113"/>
      <w:bookmarkEnd w:id="114"/>
      <w:bookmarkEnd w:id="115"/>
      <w:bookmarkEnd w:id="116"/>
      <w:bookmarkEnd w:id="117"/>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bookmarkStart w:id="118" w:name="_Toc386011006"/>
      <w:r>
        <w:rPr>
          <w:rFonts w:hint="eastAsia" w:eastAsia="仿宋_GB2312"/>
          <w:color w:val="auto"/>
          <w:sz w:val="26"/>
          <w:szCs w:val="26"/>
          <w:lang w:val="en-US" w:eastAsia="zh-CN"/>
        </w:rPr>
        <w:t>求取房地产市场价值时，主要的估价方法有比较法、成本法、收益法、假设开发法等，比较法适用于市场发达、交易活跃、有充足的具有替代性房地产的评估，成本法适用于无市场依据或市场依据不充分而不易采用比较法、收益法、假设开发法进行评估情况下的房地产评估，收益法适用于有现实收益或潜在收益的房地产评估，假设开发法适用于具有投资开发或有开发潜力的房地产评估。需根据特定的估价目的、估价对象状况、交易市场情况等选择适宜的估价方法。方法选择思路：</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理论上不适用的估价方法：估价对象为住宅用途房地产，根据房地产估价规范理论上不适合采用假设开发法，因为现状为正在使用且短期内重新开发或改扩建增加价值的可能性不大，故不适合采用假设开发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2、理论上适用，但客观条件不具备的估价方法：估价对象位于较繁华区域，周边基础设施、公共配套设施较齐备，交通条件较好；其区位状况较好，而选用成本法测算时无法考虑区位效应、城市附加值等影响，测算结果不能客观、合理反映估价对象的市场价值；因此不适合使用成本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default" w:eastAsia="仿宋_GB2312"/>
          <w:color w:val="0000FF"/>
          <w:sz w:val="26"/>
          <w:szCs w:val="26"/>
          <w:lang w:val="en-US" w:eastAsia="zh-CN"/>
        </w:rPr>
      </w:pPr>
      <w:r>
        <w:rPr>
          <w:rFonts w:hint="eastAsia" w:eastAsia="仿宋_GB2312"/>
          <w:color w:val="000000"/>
          <w:sz w:val="26"/>
          <w:szCs w:val="26"/>
          <w:lang w:val="en-US" w:eastAsia="zh-CN"/>
        </w:rPr>
        <w:t>3、理论上适用，但客观条件不具备的估价方法：估价对象为住宅用途房地产，虽然可以出租取得收益，但周边类似物业租金案例较少，住宅租金交易不活跃，因此未能选用收益法进行评估；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4、适用的估价方法：市场比较法适用于区域内同类房地产市场交易案例较多，交易较为频繁的估价方法，近期与估价对象同区域、同类的房地产市场交易案例较多、且容易收集，交易市场活跃，比较法是比较合适的方法。</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综上所述，估价人员在认真分析所掌握的资料并对邻近类似房地产进行实地查看调查后，根据估价对象的特点及本次估价目的，遵照国家有关法律、法规、估价技术标准，对估价对象采用比较法进行评估。</w:t>
      </w:r>
    </w:p>
    <w:p>
      <w:pPr>
        <w:pageBreakBefore w:val="0"/>
        <w:widowControl w:val="0"/>
        <w:kinsoku/>
        <w:wordWrap/>
        <w:overflowPunct/>
        <w:topLinePunct w:val="0"/>
        <w:autoSpaceDE/>
        <w:autoSpaceDN/>
        <w:bidi w:val="0"/>
        <w:spacing w:line="420" w:lineRule="exact"/>
        <w:ind w:firstLine="522" w:firstLineChars="200"/>
        <w:textAlignment w:val="auto"/>
        <w:rPr>
          <w:rFonts w:eastAsia="仿宋_GB2312"/>
          <w:color w:val="FF0000"/>
          <w:sz w:val="26"/>
          <w:szCs w:val="26"/>
        </w:rPr>
      </w:pPr>
      <w:r>
        <w:rPr>
          <w:rFonts w:hint="eastAsia" w:eastAsia="仿宋_GB2312"/>
          <w:b/>
          <w:sz w:val="26"/>
          <w:szCs w:val="26"/>
          <w:lang w:val="en-US" w:eastAsia="zh-CN"/>
        </w:rPr>
        <w:t>比较</w:t>
      </w:r>
      <w:r>
        <w:rPr>
          <w:rFonts w:eastAsia="仿宋_GB2312"/>
          <w:b/>
          <w:sz w:val="26"/>
          <w:szCs w:val="26"/>
        </w:rPr>
        <w:t>法：</w:t>
      </w:r>
      <w:r>
        <w:rPr>
          <w:rFonts w:hint="eastAsia" w:eastAsia="仿宋_GB2312"/>
          <w:color w:val="000000"/>
          <w:sz w:val="26"/>
          <w:szCs w:val="26"/>
          <w:lang w:val="en-US" w:eastAsia="zh-CN"/>
        </w:rPr>
        <w:t>是将估价对象与在价值时点近期有过交易的类似房地产进行比较，对这些类似房地产的已知价格作适当的修正，以此估算估价对象的客观合理价格或价值的方法</w:t>
      </w:r>
      <w:r>
        <w:rPr>
          <w:rFonts w:eastAsia="仿宋_GB2312"/>
          <w:color w:val="000000"/>
          <w:sz w:val="26"/>
          <w:szCs w:val="26"/>
        </w:rPr>
        <w:t>。技术路线如下：</w:t>
      </w:r>
    </w:p>
    <w:p>
      <w:pPr>
        <w:spacing w:line="440" w:lineRule="exact"/>
        <w:ind w:firstLine="520" w:firstLineChars="200"/>
        <w:rPr>
          <w:rFonts w:eastAsia="仿宋_GB2312"/>
          <w:sz w:val="26"/>
          <w:szCs w:val="26"/>
        </w:rPr>
      </w:pPr>
      <w:r>
        <w:rPr>
          <w:rFonts w:eastAsia="仿宋_GB2312"/>
          <w:sz w:val="26"/>
          <w:szCs w:val="26"/>
        </w:rPr>
        <w:t>1、在同一供需圈内搜集房地产交易实例</w:t>
      </w:r>
      <w:r>
        <w:rPr>
          <w:rFonts w:hint="eastAsia" w:eastAsia="仿宋_GB2312"/>
          <w:sz w:val="26"/>
          <w:szCs w:val="26"/>
        </w:rPr>
        <w:t>，即从现实的房地产市场中搜集大量的实际成交的房地产及其成交日期、成交价格、付款方式等情况</w:t>
      </w:r>
    </w:p>
    <w:p>
      <w:pPr>
        <w:spacing w:line="440" w:lineRule="exact"/>
        <w:ind w:firstLine="520" w:firstLineChars="200"/>
        <w:rPr>
          <w:rFonts w:eastAsia="仿宋_GB2312"/>
          <w:sz w:val="26"/>
          <w:szCs w:val="26"/>
        </w:rPr>
      </w:pPr>
      <w:r>
        <w:rPr>
          <w:rFonts w:eastAsia="仿宋_GB2312"/>
          <w:sz w:val="26"/>
          <w:szCs w:val="26"/>
        </w:rPr>
        <w:t>2、选取可比实例，具体条件如下：</w:t>
      </w:r>
    </w:p>
    <w:p>
      <w:pPr>
        <w:spacing w:line="440" w:lineRule="exact"/>
        <w:ind w:firstLine="520" w:firstLineChars="200"/>
        <w:rPr>
          <w:rFonts w:eastAsia="仿宋_GB2312"/>
          <w:sz w:val="26"/>
          <w:szCs w:val="26"/>
        </w:rPr>
      </w:pPr>
      <w:r>
        <w:rPr>
          <w:rFonts w:hint="eastAsia" w:ascii="宋体" w:hAnsi="宋体" w:cs="宋体"/>
          <w:kern w:val="0"/>
          <w:sz w:val="26"/>
          <w:szCs w:val="26"/>
        </w:rPr>
        <w:t>◆</w:t>
      </w:r>
      <w:r>
        <w:rPr>
          <w:rFonts w:eastAsia="仿宋_GB2312"/>
          <w:sz w:val="26"/>
          <w:szCs w:val="26"/>
        </w:rPr>
        <w:t>与待估房地产用途相同的交易案例</w:t>
      </w:r>
    </w:p>
    <w:p>
      <w:pPr>
        <w:spacing w:line="440" w:lineRule="exact"/>
        <w:ind w:firstLine="520" w:firstLineChars="200"/>
        <w:rPr>
          <w:rFonts w:eastAsia="仿宋_GB2312"/>
          <w:sz w:val="26"/>
          <w:szCs w:val="26"/>
        </w:rPr>
      </w:pPr>
      <w:r>
        <w:rPr>
          <w:rFonts w:hint="eastAsia" w:ascii="宋体" w:hAnsi="宋体" w:cs="宋体"/>
          <w:sz w:val="26"/>
          <w:szCs w:val="26"/>
        </w:rPr>
        <w:t>◆</w:t>
      </w:r>
      <w:r>
        <w:rPr>
          <w:rFonts w:eastAsia="仿宋_GB2312"/>
          <w:sz w:val="26"/>
          <w:szCs w:val="26"/>
        </w:rPr>
        <w:t>交易案例价格类型与待估房地产的估价目</w:t>
      </w:r>
      <w:r>
        <w:rPr>
          <w:rFonts w:hint="eastAsia" w:eastAsia="仿宋_GB2312"/>
          <w:sz w:val="26"/>
          <w:szCs w:val="26"/>
          <w:lang w:val="en-US" w:eastAsia="zh-CN"/>
        </w:rPr>
        <w:t>的</w:t>
      </w:r>
      <w:r>
        <w:rPr>
          <w:rFonts w:eastAsia="仿宋_GB2312"/>
          <w:sz w:val="26"/>
          <w:szCs w:val="26"/>
        </w:rPr>
        <w:t>相匹配</w:t>
      </w:r>
    </w:p>
    <w:p>
      <w:pPr>
        <w:spacing w:line="440" w:lineRule="exact"/>
        <w:ind w:firstLine="520" w:firstLineChars="200"/>
        <w:rPr>
          <w:rFonts w:eastAsia="仿宋_GB2312"/>
          <w:sz w:val="26"/>
          <w:szCs w:val="26"/>
        </w:rPr>
      </w:pPr>
      <w:r>
        <w:rPr>
          <w:rFonts w:hint="eastAsia" w:ascii="宋体" w:hAnsi="宋体" w:cs="宋体"/>
          <w:sz w:val="26"/>
          <w:szCs w:val="26"/>
        </w:rPr>
        <w:t>◆</w:t>
      </w:r>
      <w:r>
        <w:rPr>
          <w:rFonts w:eastAsia="仿宋_GB2312"/>
          <w:sz w:val="26"/>
          <w:szCs w:val="26"/>
        </w:rPr>
        <w:t>交易案例是正常交易，或可修正为正常交易</w:t>
      </w:r>
    </w:p>
    <w:p>
      <w:pPr>
        <w:spacing w:line="440" w:lineRule="exact"/>
        <w:ind w:firstLine="520" w:firstLineChars="200"/>
        <w:rPr>
          <w:rFonts w:eastAsia="仿宋_GB2312"/>
          <w:sz w:val="26"/>
          <w:szCs w:val="26"/>
        </w:rPr>
      </w:pPr>
      <w:r>
        <w:rPr>
          <w:rFonts w:hint="eastAsia" w:ascii="宋体" w:hAnsi="宋体" w:cs="宋体"/>
          <w:sz w:val="26"/>
          <w:szCs w:val="26"/>
        </w:rPr>
        <w:t>◆</w:t>
      </w:r>
      <w:r>
        <w:rPr>
          <w:rFonts w:eastAsia="仿宋_GB2312"/>
          <w:sz w:val="26"/>
          <w:szCs w:val="26"/>
        </w:rPr>
        <w:t>交易案例与待估房地产的建筑结构相同，或可修正</w:t>
      </w:r>
    </w:p>
    <w:p>
      <w:pPr>
        <w:spacing w:line="440" w:lineRule="exact"/>
        <w:ind w:firstLine="520" w:firstLineChars="200"/>
        <w:rPr>
          <w:rFonts w:eastAsia="仿宋_GB2312"/>
          <w:sz w:val="26"/>
          <w:szCs w:val="26"/>
        </w:rPr>
      </w:pPr>
      <w:r>
        <w:rPr>
          <w:rFonts w:hint="eastAsia" w:ascii="宋体" w:hAnsi="宋体" w:cs="宋体"/>
          <w:sz w:val="26"/>
          <w:szCs w:val="26"/>
        </w:rPr>
        <w:t>◆</w:t>
      </w:r>
      <w:r>
        <w:rPr>
          <w:rFonts w:eastAsia="仿宋_GB2312"/>
          <w:sz w:val="26"/>
          <w:szCs w:val="26"/>
        </w:rPr>
        <w:t>交易案例的交易日期与待估房地产的价格时点较接近</w:t>
      </w:r>
    </w:p>
    <w:p>
      <w:pPr>
        <w:spacing w:line="440" w:lineRule="exact"/>
        <w:ind w:firstLine="520" w:firstLineChars="200"/>
        <w:rPr>
          <w:rFonts w:eastAsia="仿宋_GB2312"/>
          <w:sz w:val="26"/>
          <w:szCs w:val="26"/>
        </w:rPr>
      </w:pPr>
      <w:r>
        <w:rPr>
          <w:rFonts w:eastAsia="仿宋_GB2312"/>
          <w:sz w:val="26"/>
          <w:szCs w:val="26"/>
        </w:rPr>
        <w:t>3、建立价格可比基础</w:t>
      </w:r>
    </w:p>
    <w:p>
      <w:pPr>
        <w:spacing w:line="440" w:lineRule="exact"/>
        <w:ind w:firstLine="520" w:firstLineChars="200"/>
        <w:rPr>
          <w:rFonts w:eastAsia="仿宋_GB2312"/>
          <w:sz w:val="26"/>
          <w:szCs w:val="26"/>
        </w:rPr>
      </w:pPr>
      <w:r>
        <w:rPr>
          <w:rFonts w:eastAsia="仿宋_GB2312"/>
          <w:sz w:val="26"/>
          <w:szCs w:val="26"/>
        </w:rPr>
        <w:t>4、进行交易情况</w:t>
      </w:r>
      <w:r>
        <w:rPr>
          <w:rFonts w:hint="eastAsia" w:eastAsia="仿宋_GB2312"/>
          <w:sz w:val="26"/>
          <w:szCs w:val="26"/>
        </w:rPr>
        <w:t>修正</w:t>
      </w:r>
      <w:r>
        <w:rPr>
          <w:rFonts w:eastAsia="仿宋_GB2312"/>
          <w:sz w:val="26"/>
          <w:szCs w:val="26"/>
        </w:rPr>
        <w:t>、</w:t>
      </w:r>
      <w:r>
        <w:rPr>
          <w:rFonts w:hint="eastAsia" w:eastAsia="仿宋_GB2312"/>
          <w:sz w:val="26"/>
          <w:szCs w:val="26"/>
        </w:rPr>
        <w:t>市场状况调整</w:t>
      </w:r>
      <w:r>
        <w:rPr>
          <w:rFonts w:eastAsia="仿宋_GB2312"/>
          <w:sz w:val="26"/>
          <w:szCs w:val="26"/>
        </w:rPr>
        <w:t>、</w:t>
      </w:r>
      <w:r>
        <w:rPr>
          <w:rFonts w:hint="eastAsia" w:eastAsia="仿宋_GB2312"/>
          <w:sz w:val="26"/>
          <w:szCs w:val="26"/>
        </w:rPr>
        <w:t>房地产状况调整</w:t>
      </w:r>
    </w:p>
    <w:p>
      <w:pPr>
        <w:spacing w:line="440" w:lineRule="exact"/>
        <w:ind w:firstLine="520" w:firstLineChars="200"/>
        <w:rPr>
          <w:rFonts w:eastAsia="仿宋_GB2312"/>
          <w:sz w:val="26"/>
          <w:szCs w:val="26"/>
        </w:rPr>
      </w:pPr>
      <w:r>
        <w:rPr>
          <w:rFonts w:eastAsia="仿宋_GB2312"/>
          <w:sz w:val="26"/>
          <w:szCs w:val="26"/>
        </w:rPr>
        <w:t>5、计算得出比较</w:t>
      </w:r>
      <w:r>
        <w:rPr>
          <w:rFonts w:hint="eastAsia" w:eastAsia="仿宋_GB2312"/>
          <w:sz w:val="26"/>
          <w:szCs w:val="26"/>
        </w:rPr>
        <w:t>价值，即把对多个可比实例的成交价格进行处理所得到的多个价格综合成一个价格。</w:t>
      </w:r>
    </w:p>
    <w:p>
      <w:pPr>
        <w:spacing w:line="440" w:lineRule="exact"/>
        <w:ind w:firstLine="520" w:firstLineChars="200"/>
        <w:rPr>
          <w:rFonts w:eastAsia="仿宋_GB2312"/>
          <w:sz w:val="26"/>
          <w:szCs w:val="26"/>
        </w:rPr>
      </w:pPr>
      <w:r>
        <w:rPr>
          <w:rFonts w:eastAsia="仿宋_GB2312"/>
          <w:sz w:val="26"/>
          <w:szCs w:val="26"/>
        </w:rPr>
        <w:t>比较价格＝可比实例</w:t>
      </w:r>
      <w:r>
        <w:rPr>
          <w:rFonts w:hint="eastAsia" w:eastAsia="仿宋_GB2312"/>
          <w:sz w:val="26"/>
          <w:szCs w:val="26"/>
        </w:rPr>
        <w:t>成交</w:t>
      </w:r>
      <w:r>
        <w:rPr>
          <w:rFonts w:eastAsia="仿宋_GB2312"/>
          <w:sz w:val="26"/>
          <w:szCs w:val="26"/>
        </w:rPr>
        <w:t>价格×交易情况修正系数×</w:t>
      </w:r>
      <w:r>
        <w:rPr>
          <w:rFonts w:hint="eastAsia" w:eastAsia="仿宋_GB2312"/>
          <w:sz w:val="26"/>
          <w:szCs w:val="26"/>
        </w:rPr>
        <w:t>市场状况调整</w:t>
      </w:r>
      <w:r>
        <w:rPr>
          <w:rFonts w:eastAsia="仿宋_GB2312"/>
          <w:sz w:val="26"/>
          <w:szCs w:val="26"/>
        </w:rPr>
        <w:t>系数×</w:t>
      </w:r>
      <w:r>
        <w:rPr>
          <w:rFonts w:hint="eastAsia" w:eastAsia="仿宋_GB2312"/>
          <w:sz w:val="26"/>
          <w:szCs w:val="26"/>
        </w:rPr>
        <w:t>房地产状况调整</w:t>
      </w:r>
      <w:r>
        <w:rPr>
          <w:rFonts w:eastAsia="仿宋_GB2312"/>
          <w:sz w:val="26"/>
          <w:szCs w:val="26"/>
        </w:rPr>
        <w:t>系数</w:t>
      </w:r>
    </w:p>
    <w:p>
      <w:pPr>
        <w:pStyle w:val="3"/>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仿宋_GB2312"/>
          <w:sz w:val="30"/>
          <w:szCs w:val="30"/>
        </w:rPr>
      </w:pPr>
      <w:bookmarkStart w:id="119" w:name="_Toc21929"/>
      <w:bookmarkStart w:id="120" w:name="_Toc30747"/>
      <w:bookmarkStart w:id="121" w:name="_Toc6984"/>
      <w:bookmarkStart w:id="122" w:name="_Toc3477"/>
      <w:bookmarkStart w:id="123" w:name="_Toc10598"/>
      <w:bookmarkStart w:id="124" w:name="_Toc457460272"/>
      <w:r>
        <w:rPr>
          <w:rFonts w:hint="eastAsia" w:ascii="Times New Roman" w:hAnsi="Times New Roman" w:eastAsia="仿宋_GB2312"/>
          <w:sz w:val="30"/>
          <w:szCs w:val="30"/>
        </w:rPr>
        <w:t>七</w:t>
      </w:r>
      <w:r>
        <w:rPr>
          <w:rFonts w:ascii="Times New Roman" w:hAnsi="Times New Roman" w:eastAsia="仿宋_GB2312"/>
          <w:color w:val="000000"/>
          <w:sz w:val="30"/>
          <w:szCs w:val="30"/>
        </w:rPr>
        <w:t>、估价测算过程</w:t>
      </w:r>
      <w:bookmarkEnd w:id="118"/>
      <w:bookmarkEnd w:id="119"/>
      <w:bookmarkEnd w:id="120"/>
      <w:bookmarkEnd w:id="121"/>
      <w:bookmarkEnd w:id="122"/>
      <w:bookmarkEnd w:id="123"/>
      <w:bookmarkEnd w:id="124"/>
    </w:p>
    <w:p>
      <w:pPr>
        <w:spacing w:line="440" w:lineRule="exact"/>
        <w:ind w:firstLine="520" w:firstLineChars="200"/>
        <w:rPr>
          <w:rFonts w:hint="eastAsia" w:eastAsia="仿宋_GB2312"/>
          <w:sz w:val="26"/>
          <w:szCs w:val="26"/>
        </w:rPr>
      </w:pPr>
      <w:bookmarkStart w:id="125" w:name="_Toc7148"/>
      <w:bookmarkStart w:id="126" w:name="_Toc4197"/>
      <w:bookmarkStart w:id="127" w:name="_Toc3670"/>
      <w:bookmarkStart w:id="128" w:name="_Toc386011007"/>
      <w:bookmarkStart w:id="129" w:name="_Toc32223"/>
      <w:bookmarkStart w:id="130" w:name="_Toc457460274"/>
      <w:r>
        <w:rPr>
          <w:rFonts w:hint="eastAsia" w:eastAsia="仿宋_GB2312"/>
          <w:sz w:val="26"/>
          <w:szCs w:val="26"/>
        </w:rPr>
        <w:t>1、</w:t>
      </w:r>
      <w:r>
        <w:rPr>
          <w:rFonts w:eastAsia="仿宋_GB2312"/>
          <w:sz w:val="26"/>
          <w:szCs w:val="26"/>
        </w:rPr>
        <w:t>选取可比实例</w:t>
      </w:r>
    </w:p>
    <w:p>
      <w:pPr>
        <w:spacing w:line="440" w:lineRule="exact"/>
        <w:ind w:firstLine="520" w:firstLineChars="200"/>
        <w:rPr>
          <w:rFonts w:hint="eastAsia" w:eastAsia="仿宋_GB2312"/>
          <w:sz w:val="26"/>
          <w:szCs w:val="26"/>
        </w:rPr>
      </w:pPr>
      <w:r>
        <w:rPr>
          <w:rFonts w:eastAsia="仿宋_GB2312"/>
          <w:sz w:val="26"/>
          <w:szCs w:val="26"/>
        </w:rPr>
        <w:t>根据评估人员进行的市场调查和公司所掌握的市场信息，通过对周边地区近期发生过交易的物业进行收集整理分析，挑选出三个交易案例作为</w:t>
      </w:r>
      <w:r>
        <w:rPr>
          <w:rFonts w:hint="eastAsia" w:eastAsia="仿宋_GB2312"/>
          <w:sz w:val="26"/>
          <w:szCs w:val="26"/>
        </w:rPr>
        <w:t>可比实例</w:t>
      </w:r>
      <w:r>
        <w:rPr>
          <w:rFonts w:eastAsia="仿宋_GB2312"/>
          <w:sz w:val="26"/>
          <w:szCs w:val="26"/>
        </w:rPr>
        <w:t>。</w:t>
      </w:r>
    </w:p>
    <w:p>
      <w:pPr>
        <w:spacing w:line="440" w:lineRule="exact"/>
        <w:ind w:firstLine="520" w:firstLineChars="200"/>
        <w:rPr>
          <w:rFonts w:hint="eastAsia" w:eastAsia="仿宋_GB2312"/>
          <w:sz w:val="26"/>
          <w:szCs w:val="26"/>
        </w:rPr>
      </w:pPr>
      <w:r>
        <w:rPr>
          <w:rFonts w:hint="eastAsia" w:eastAsia="仿宋_GB2312"/>
          <w:sz w:val="26"/>
          <w:szCs w:val="26"/>
        </w:rPr>
        <w:t>2、建立价格比较基础</w:t>
      </w:r>
    </w:p>
    <w:p>
      <w:pPr>
        <w:spacing w:line="440" w:lineRule="exact"/>
        <w:ind w:firstLine="520" w:firstLineChars="200"/>
        <w:rPr>
          <w:rFonts w:hint="eastAsia" w:eastAsia="仿宋_GB2312"/>
          <w:sz w:val="26"/>
          <w:szCs w:val="26"/>
        </w:rPr>
      </w:pPr>
      <w:r>
        <w:rPr>
          <w:rFonts w:hint="eastAsia" w:eastAsia="仿宋_GB2312"/>
          <w:sz w:val="26"/>
          <w:szCs w:val="26"/>
        </w:rPr>
        <w:t>选取了可比实例之后，需要先对这些可比实例的成交价格进行换算处理，使他们之间的内涵一致、形式相同、相互可比，并统一到需要求取的估价对象的价格单位上来，为后续的有关比较、修正和调整建立一个共同的基础。</w:t>
      </w:r>
    </w:p>
    <w:p>
      <w:pPr>
        <w:spacing w:line="440" w:lineRule="exact"/>
        <w:ind w:firstLine="520" w:firstLineChars="200"/>
        <w:rPr>
          <w:rFonts w:hint="eastAsia" w:eastAsia="仿宋_GB2312"/>
          <w:sz w:val="26"/>
          <w:szCs w:val="26"/>
        </w:rPr>
      </w:pPr>
      <w:r>
        <w:rPr>
          <w:rFonts w:hint="eastAsia" w:eastAsia="仿宋_GB2312"/>
          <w:sz w:val="26"/>
          <w:szCs w:val="26"/>
        </w:rPr>
        <w:t>建立价格比较基础一般包括5个方面：1）统一付款方式；2）统一采用单价；3）统一币种和货币单位；4）统一面积内涵；5）统一面积单位；6）统一税费承担。</w:t>
      </w:r>
    </w:p>
    <w:p>
      <w:pPr>
        <w:spacing w:line="440" w:lineRule="exact"/>
        <w:ind w:firstLine="520" w:firstLineChars="200"/>
        <w:rPr>
          <w:rFonts w:hint="eastAsia" w:eastAsia="仿宋_GB2312"/>
          <w:sz w:val="26"/>
          <w:szCs w:val="26"/>
        </w:rPr>
      </w:pPr>
      <w:r>
        <w:rPr>
          <w:rFonts w:hint="eastAsia" w:eastAsia="仿宋_GB2312"/>
          <w:sz w:val="26"/>
          <w:szCs w:val="26"/>
        </w:rPr>
        <w:t>建立价格比较基础后的各可比实例见可比实例价格表：</w:t>
      </w:r>
    </w:p>
    <w:tbl>
      <w:tblPr>
        <w:tblStyle w:val="23"/>
        <w:tblW w:w="7376" w:type="dxa"/>
        <w:jc w:val="center"/>
        <w:tblLayout w:type="autofit"/>
        <w:tblCellMar>
          <w:top w:w="0" w:type="dxa"/>
          <w:left w:w="108" w:type="dxa"/>
          <w:bottom w:w="0" w:type="dxa"/>
          <w:right w:w="108" w:type="dxa"/>
        </w:tblCellMar>
      </w:tblPr>
      <w:tblGrid>
        <w:gridCol w:w="2286"/>
        <w:gridCol w:w="1962"/>
        <w:gridCol w:w="1564"/>
        <w:gridCol w:w="1564"/>
      </w:tblGrid>
      <w:tr>
        <w:trPr>
          <w:trHeight w:val="525" w:hRule="atLeast"/>
          <w:jc w:val="center"/>
        </w:trPr>
        <w:tc>
          <w:tcPr>
            <w:tcW w:w="7376" w:type="dxa"/>
            <w:gridSpan w:val="4"/>
            <w:tcBorders>
              <w:top w:val="nil"/>
              <w:left w:val="nil"/>
              <w:bottom w:val="single" w:color="auto" w:sz="12" w:space="0"/>
              <w:right w:val="nil"/>
            </w:tcBorders>
            <w:noWrap/>
            <w:vAlign w:val="center"/>
          </w:tcPr>
          <w:p>
            <w:pPr>
              <w:widowControl/>
              <w:jc w:val="center"/>
              <w:rPr>
                <w:rFonts w:ascii="仿宋_GB2312" w:hAnsi="宋体" w:eastAsia="仿宋_GB2312" w:cs="宋体"/>
                <w:b/>
                <w:bCs/>
                <w:kern w:val="0"/>
                <w:sz w:val="23"/>
                <w:szCs w:val="23"/>
              </w:rPr>
            </w:pPr>
            <w:r>
              <w:rPr>
                <w:rFonts w:hint="eastAsia" w:ascii="仿宋_GB2312" w:hAnsi="宋体" w:eastAsia="仿宋_GB2312" w:cs="宋体"/>
                <w:b/>
                <w:bCs/>
                <w:kern w:val="0"/>
                <w:sz w:val="23"/>
                <w:szCs w:val="23"/>
              </w:rPr>
              <w:t>可比实例调查表</w:t>
            </w:r>
          </w:p>
        </w:tc>
      </w:tr>
      <w:tr>
        <w:trPr>
          <w:trHeight w:val="360" w:hRule="atLeast"/>
          <w:jc w:val="center"/>
        </w:trPr>
        <w:tc>
          <w:tcPr>
            <w:tcW w:w="2286" w:type="dxa"/>
            <w:tcBorders>
              <w:top w:val="single" w:color="auto" w:sz="12" w:space="0"/>
              <w:left w:val="single" w:color="auto" w:sz="12" w:space="0"/>
              <w:bottom w:val="single" w:color="auto" w:sz="4" w:space="0"/>
              <w:right w:val="single" w:color="auto" w:sz="4" w:space="0"/>
            </w:tcBorders>
            <w:noWrap/>
            <w:vAlign w:val="center"/>
          </w:tcPr>
          <w:p>
            <w:pPr>
              <w:widowControl/>
              <w:jc w:val="center"/>
              <w:rPr>
                <w:rFonts w:ascii="仿宋_GB2312" w:hAnsi="宋体" w:eastAsia="仿宋_GB2312" w:cs="宋体"/>
                <w:b/>
                <w:bCs/>
                <w:kern w:val="0"/>
                <w:sz w:val="20"/>
                <w:szCs w:val="20"/>
              </w:rPr>
            </w:pPr>
            <w:r>
              <w:rPr>
                <w:rFonts w:hint="eastAsia" w:eastAsia="仿宋_GB2312"/>
                <w:b/>
                <w:bCs/>
                <w:kern w:val="0"/>
                <w:sz w:val="20"/>
                <w:szCs w:val="20"/>
              </w:rPr>
              <w:t>项目</w:t>
            </w:r>
          </w:p>
        </w:tc>
        <w:tc>
          <w:tcPr>
            <w:tcW w:w="1962" w:type="dxa"/>
            <w:tcBorders>
              <w:top w:val="single" w:color="auto" w:sz="12" w:space="0"/>
              <w:left w:val="nil"/>
              <w:bottom w:val="single" w:color="auto" w:sz="4" w:space="0"/>
              <w:right w:val="single" w:color="auto" w:sz="4" w:space="0"/>
            </w:tcBorders>
            <w:noWrap/>
            <w:vAlign w:val="center"/>
          </w:tcPr>
          <w:p>
            <w:pPr>
              <w:widowControl/>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可比实例A</w:t>
            </w:r>
          </w:p>
        </w:tc>
        <w:tc>
          <w:tcPr>
            <w:tcW w:w="1564" w:type="dxa"/>
            <w:tcBorders>
              <w:top w:val="single" w:color="auto" w:sz="12" w:space="0"/>
              <w:left w:val="nil"/>
              <w:bottom w:val="single" w:color="auto" w:sz="4" w:space="0"/>
              <w:right w:val="single" w:color="auto" w:sz="4" w:space="0"/>
            </w:tcBorders>
            <w:noWrap/>
            <w:vAlign w:val="center"/>
          </w:tcPr>
          <w:p>
            <w:pPr>
              <w:widowControl/>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可比实例B</w:t>
            </w:r>
          </w:p>
        </w:tc>
        <w:tc>
          <w:tcPr>
            <w:tcW w:w="1564" w:type="dxa"/>
            <w:tcBorders>
              <w:top w:val="single" w:color="auto" w:sz="12" w:space="0"/>
              <w:left w:val="nil"/>
              <w:bottom w:val="single" w:color="auto" w:sz="4" w:space="0"/>
              <w:right w:val="single" w:color="auto" w:sz="12" w:space="0"/>
            </w:tcBorders>
            <w:noWrap/>
            <w:vAlign w:val="center"/>
          </w:tcPr>
          <w:p>
            <w:pPr>
              <w:widowControl/>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可比实例C</w:t>
            </w:r>
          </w:p>
        </w:tc>
      </w:tr>
      <w:tr>
        <w:trPr>
          <w:trHeight w:val="360" w:hRule="atLeast"/>
          <w:jc w:val="center"/>
        </w:trPr>
        <w:tc>
          <w:tcPr>
            <w:tcW w:w="2286" w:type="dxa"/>
            <w:tcBorders>
              <w:top w:val="nil"/>
              <w:left w:val="single" w:color="auto" w:sz="12"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付款方式</w:t>
            </w:r>
          </w:p>
        </w:tc>
        <w:tc>
          <w:tcPr>
            <w:tcW w:w="196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一次性付清</w:t>
            </w:r>
          </w:p>
        </w:tc>
        <w:tc>
          <w:tcPr>
            <w:tcW w:w="156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一次性付清</w:t>
            </w:r>
          </w:p>
        </w:tc>
        <w:tc>
          <w:tcPr>
            <w:tcW w:w="1564" w:type="dxa"/>
            <w:tcBorders>
              <w:top w:val="nil"/>
              <w:left w:val="nil"/>
              <w:bottom w:val="single" w:color="auto" w:sz="4" w:space="0"/>
              <w:right w:val="single" w:color="auto" w:sz="12"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一次性付清</w:t>
            </w:r>
          </w:p>
        </w:tc>
      </w:tr>
      <w:tr>
        <w:trPr>
          <w:trHeight w:val="360" w:hRule="atLeast"/>
          <w:jc w:val="center"/>
        </w:trPr>
        <w:tc>
          <w:tcPr>
            <w:tcW w:w="2286" w:type="dxa"/>
            <w:tcBorders>
              <w:top w:val="nil"/>
              <w:left w:val="single" w:color="auto" w:sz="12" w:space="0"/>
              <w:bottom w:val="single" w:color="auto" w:sz="4" w:space="0"/>
              <w:right w:val="single" w:color="auto" w:sz="4" w:space="0"/>
            </w:tcBorders>
            <w:noWrap/>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rPr>
              <w:t>单价</w:t>
            </w:r>
            <w:r>
              <w:rPr>
                <w:rFonts w:hint="eastAsia" w:ascii="宋体" w:hAnsi="宋体" w:cs="宋体"/>
                <w:color w:val="000000"/>
                <w:kern w:val="0"/>
                <w:sz w:val="22"/>
                <w:szCs w:val="22"/>
                <w:lang w:eastAsia="zh-CN"/>
              </w:rPr>
              <w:t>（元</w:t>
            </w:r>
            <w:r>
              <w:rPr>
                <w:rFonts w:hint="eastAsia" w:ascii="宋体" w:hAnsi="宋体" w:cs="宋体"/>
                <w:color w:val="000000"/>
                <w:kern w:val="0"/>
                <w:sz w:val="22"/>
                <w:szCs w:val="22"/>
                <w:lang w:val="en-US" w:eastAsia="zh-CN"/>
              </w:rPr>
              <w:t>/㎡</w:t>
            </w:r>
            <w:r>
              <w:rPr>
                <w:rFonts w:hint="eastAsia" w:ascii="宋体" w:hAnsi="宋体" w:cs="宋体"/>
                <w:color w:val="000000"/>
                <w:kern w:val="0"/>
                <w:sz w:val="22"/>
                <w:szCs w:val="22"/>
                <w:lang w:eastAsia="zh-CN"/>
              </w:rPr>
              <w:t>）</w:t>
            </w:r>
          </w:p>
        </w:tc>
        <w:tc>
          <w:tcPr>
            <w:tcW w:w="1962"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cs="宋体"/>
                <w:color w:val="000000"/>
                <w:kern w:val="0"/>
                <w:sz w:val="22"/>
                <w:szCs w:val="22"/>
                <w:lang w:val="en-US"/>
              </w:rPr>
            </w:pPr>
            <w:r>
              <w:rPr>
                <w:rFonts w:hint="default" w:ascii="Times New Roman" w:hAnsi="Times New Roman" w:eastAsia="宋体" w:cs="Times New Roman"/>
                <w:i w:val="0"/>
                <w:iCs w:val="0"/>
                <w:color w:val="000000"/>
                <w:kern w:val="0"/>
                <w:sz w:val="22"/>
                <w:szCs w:val="22"/>
                <w:u w:val="none"/>
                <w:lang w:val="en-US" w:eastAsia="zh-CN" w:bidi="ar"/>
              </w:rPr>
              <w:t>5417</w:t>
            </w:r>
          </w:p>
        </w:tc>
        <w:tc>
          <w:tcPr>
            <w:tcW w:w="1564"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cs="宋体"/>
                <w:color w:val="000000"/>
                <w:kern w:val="0"/>
                <w:sz w:val="22"/>
                <w:szCs w:val="22"/>
                <w:lang w:val="en-US"/>
              </w:rPr>
            </w:pPr>
            <w:r>
              <w:rPr>
                <w:rFonts w:hint="default" w:ascii="Times New Roman" w:hAnsi="Times New Roman" w:eastAsia="宋体" w:cs="Times New Roman"/>
                <w:i w:val="0"/>
                <w:iCs w:val="0"/>
                <w:color w:val="000000"/>
                <w:kern w:val="0"/>
                <w:sz w:val="22"/>
                <w:szCs w:val="22"/>
                <w:u w:val="none"/>
                <w:lang w:val="en-US" w:eastAsia="zh-CN" w:bidi="ar"/>
              </w:rPr>
              <w:t>4667</w:t>
            </w:r>
          </w:p>
        </w:tc>
        <w:tc>
          <w:tcPr>
            <w:tcW w:w="1564" w:type="dxa"/>
            <w:tcBorders>
              <w:top w:val="nil"/>
              <w:left w:val="nil"/>
              <w:bottom w:val="single" w:color="auto" w:sz="4" w:space="0"/>
              <w:right w:val="single" w:color="auto" w:sz="12" w:space="0"/>
            </w:tcBorders>
            <w:noWrap/>
            <w:vAlign w:val="center"/>
          </w:tcPr>
          <w:p>
            <w:pPr>
              <w:keepNext w:val="0"/>
              <w:keepLines w:val="0"/>
              <w:widowControl/>
              <w:suppressLineNumbers w:val="0"/>
              <w:jc w:val="center"/>
              <w:textAlignment w:val="center"/>
              <w:rPr>
                <w:rFonts w:hint="default" w:ascii="宋体" w:hAnsi="宋体" w:cs="宋体"/>
                <w:color w:val="000000"/>
                <w:kern w:val="0"/>
                <w:sz w:val="22"/>
                <w:szCs w:val="22"/>
                <w:lang w:val="en-US"/>
              </w:rPr>
            </w:pPr>
            <w:r>
              <w:rPr>
                <w:rFonts w:hint="default" w:ascii="Times New Roman" w:hAnsi="Times New Roman" w:eastAsia="宋体" w:cs="Times New Roman"/>
                <w:i w:val="0"/>
                <w:iCs w:val="0"/>
                <w:color w:val="000000"/>
                <w:kern w:val="0"/>
                <w:sz w:val="22"/>
                <w:szCs w:val="22"/>
                <w:u w:val="none"/>
                <w:lang w:val="en-US" w:eastAsia="zh-CN" w:bidi="ar"/>
              </w:rPr>
              <w:t>5820</w:t>
            </w:r>
          </w:p>
        </w:tc>
      </w:tr>
      <w:tr>
        <w:trPr>
          <w:trHeight w:val="360" w:hRule="atLeast"/>
          <w:jc w:val="center"/>
        </w:trPr>
        <w:tc>
          <w:tcPr>
            <w:tcW w:w="2286" w:type="dxa"/>
            <w:tcBorders>
              <w:top w:val="nil"/>
              <w:left w:val="single" w:color="auto" w:sz="12"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币种/单位</w:t>
            </w:r>
          </w:p>
        </w:tc>
        <w:tc>
          <w:tcPr>
            <w:tcW w:w="196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人民币/元</w:t>
            </w:r>
          </w:p>
        </w:tc>
        <w:tc>
          <w:tcPr>
            <w:tcW w:w="156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人民币/元</w:t>
            </w:r>
          </w:p>
        </w:tc>
        <w:tc>
          <w:tcPr>
            <w:tcW w:w="1564" w:type="dxa"/>
            <w:tcBorders>
              <w:top w:val="nil"/>
              <w:left w:val="nil"/>
              <w:bottom w:val="single" w:color="auto" w:sz="4" w:space="0"/>
              <w:right w:val="single" w:color="auto" w:sz="12"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人民币/元</w:t>
            </w:r>
          </w:p>
        </w:tc>
      </w:tr>
      <w:tr>
        <w:trPr>
          <w:trHeight w:val="360" w:hRule="atLeast"/>
          <w:jc w:val="center"/>
        </w:trPr>
        <w:tc>
          <w:tcPr>
            <w:tcW w:w="2286" w:type="dxa"/>
            <w:tcBorders>
              <w:top w:val="nil"/>
              <w:left w:val="single" w:color="auto" w:sz="12"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面积内涵</w:t>
            </w:r>
          </w:p>
        </w:tc>
        <w:tc>
          <w:tcPr>
            <w:tcW w:w="196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建筑面积</w:t>
            </w:r>
          </w:p>
        </w:tc>
        <w:tc>
          <w:tcPr>
            <w:tcW w:w="156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建筑面积</w:t>
            </w:r>
          </w:p>
        </w:tc>
        <w:tc>
          <w:tcPr>
            <w:tcW w:w="1564" w:type="dxa"/>
            <w:tcBorders>
              <w:top w:val="nil"/>
              <w:left w:val="nil"/>
              <w:bottom w:val="single" w:color="auto" w:sz="4" w:space="0"/>
              <w:right w:val="single" w:color="auto" w:sz="12"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建筑面积</w:t>
            </w:r>
          </w:p>
        </w:tc>
      </w:tr>
      <w:tr>
        <w:trPr>
          <w:trHeight w:val="360" w:hRule="atLeast"/>
          <w:jc w:val="center"/>
        </w:trPr>
        <w:tc>
          <w:tcPr>
            <w:tcW w:w="2286" w:type="dxa"/>
            <w:tcBorders>
              <w:top w:val="nil"/>
              <w:left w:val="single" w:color="auto" w:sz="12"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面积单位</w:t>
            </w:r>
          </w:p>
        </w:tc>
        <w:tc>
          <w:tcPr>
            <w:tcW w:w="196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平方米</w:t>
            </w:r>
          </w:p>
        </w:tc>
        <w:tc>
          <w:tcPr>
            <w:tcW w:w="156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平方米</w:t>
            </w:r>
          </w:p>
        </w:tc>
        <w:tc>
          <w:tcPr>
            <w:tcW w:w="1564" w:type="dxa"/>
            <w:tcBorders>
              <w:top w:val="nil"/>
              <w:left w:val="nil"/>
              <w:bottom w:val="single" w:color="auto" w:sz="4" w:space="0"/>
              <w:right w:val="single" w:color="auto" w:sz="12"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平方米</w:t>
            </w:r>
          </w:p>
        </w:tc>
      </w:tr>
      <w:tr>
        <w:trPr>
          <w:trHeight w:val="360" w:hRule="atLeast"/>
          <w:jc w:val="center"/>
        </w:trPr>
        <w:tc>
          <w:tcPr>
            <w:tcW w:w="2286" w:type="dxa"/>
            <w:tcBorders>
              <w:top w:val="nil"/>
              <w:left w:val="single" w:color="auto" w:sz="12" w:space="0"/>
              <w:bottom w:val="single" w:color="auto" w:sz="12"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税费承担</w:t>
            </w:r>
          </w:p>
        </w:tc>
        <w:tc>
          <w:tcPr>
            <w:tcW w:w="1962" w:type="dxa"/>
            <w:tcBorders>
              <w:top w:val="nil"/>
              <w:left w:val="nil"/>
              <w:bottom w:val="single" w:color="auto" w:sz="12"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各自</w:t>
            </w:r>
            <w:r>
              <w:rPr>
                <w:rFonts w:hint="eastAsia" w:ascii="宋体" w:hAnsi="宋体" w:cs="宋体"/>
                <w:color w:val="000000"/>
                <w:kern w:val="0"/>
                <w:sz w:val="22"/>
                <w:szCs w:val="22"/>
              </w:rPr>
              <w:t>承担</w:t>
            </w:r>
          </w:p>
        </w:tc>
        <w:tc>
          <w:tcPr>
            <w:tcW w:w="1564" w:type="dxa"/>
            <w:tcBorders>
              <w:top w:val="nil"/>
              <w:left w:val="nil"/>
              <w:bottom w:val="single" w:color="auto" w:sz="12"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各自</w:t>
            </w:r>
            <w:r>
              <w:rPr>
                <w:rFonts w:hint="eastAsia" w:ascii="宋体" w:hAnsi="宋体" w:cs="宋体"/>
                <w:color w:val="000000"/>
                <w:kern w:val="0"/>
                <w:sz w:val="22"/>
                <w:szCs w:val="22"/>
              </w:rPr>
              <w:t>承担</w:t>
            </w:r>
          </w:p>
        </w:tc>
        <w:tc>
          <w:tcPr>
            <w:tcW w:w="1564" w:type="dxa"/>
            <w:tcBorders>
              <w:top w:val="nil"/>
              <w:left w:val="nil"/>
              <w:bottom w:val="single" w:color="auto" w:sz="12" w:space="0"/>
              <w:right w:val="single" w:color="auto" w:sz="12"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各自</w:t>
            </w:r>
            <w:r>
              <w:rPr>
                <w:rFonts w:hint="eastAsia" w:ascii="宋体" w:hAnsi="宋体" w:cs="宋体"/>
                <w:color w:val="000000"/>
                <w:kern w:val="0"/>
                <w:sz w:val="22"/>
                <w:szCs w:val="22"/>
              </w:rPr>
              <w:t>承担</w:t>
            </w:r>
          </w:p>
        </w:tc>
      </w:tr>
    </w:tbl>
    <w:p>
      <w:pPr>
        <w:spacing w:line="440" w:lineRule="exact"/>
        <w:ind w:firstLine="520" w:firstLineChars="200"/>
        <w:rPr>
          <w:rFonts w:hint="eastAsia" w:eastAsia="仿宋_GB2312"/>
          <w:sz w:val="26"/>
          <w:szCs w:val="26"/>
        </w:rPr>
      </w:pPr>
      <w:r>
        <w:rPr>
          <w:rFonts w:eastAsia="仿宋_GB2312"/>
          <w:sz w:val="26"/>
          <w:szCs w:val="26"/>
        </w:rPr>
        <w:t>3、比较因素条件说明</w:t>
      </w:r>
    </w:p>
    <w:p>
      <w:pPr>
        <w:spacing w:line="440" w:lineRule="exact"/>
        <w:ind w:firstLine="520" w:firstLineChars="200"/>
        <w:rPr>
          <w:rFonts w:hint="eastAsia" w:eastAsia="仿宋_GB2312"/>
          <w:sz w:val="26"/>
          <w:szCs w:val="26"/>
        </w:rPr>
      </w:pPr>
      <w:r>
        <w:rPr>
          <w:rFonts w:hint="eastAsia" w:eastAsia="仿宋_GB2312"/>
          <w:sz w:val="26"/>
          <w:szCs w:val="26"/>
        </w:rPr>
        <w:t>通过对房地产市场的分析，根据</w:t>
      </w:r>
      <w:r>
        <w:rPr>
          <w:rFonts w:hint="eastAsia" w:eastAsia="仿宋_GB2312"/>
          <w:sz w:val="26"/>
          <w:szCs w:val="26"/>
          <w:lang w:val="en-US" w:eastAsia="zh-CN"/>
        </w:rPr>
        <w:t>住宅</w:t>
      </w:r>
      <w:r>
        <w:rPr>
          <w:rFonts w:hint="eastAsia" w:eastAsia="仿宋_GB2312"/>
          <w:sz w:val="26"/>
          <w:szCs w:val="26"/>
        </w:rPr>
        <w:t>用房的主要影响因素确定比较因素。结合估价师收集的资料，参照交易实例的交易情况、市场状况、区域、实物及权益状况等差异，本次评估选择下列因素作为比较因素。</w:t>
      </w:r>
    </w:p>
    <w:p>
      <w:pPr>
        <w:spacing w:line="440" w:lineRule="exact"/>
        <w:ind w:firstLine="520" w:firstLineChars="200"/>
        <w:rPr>
          <w:rFonts w:hint="eastAsia" w:eastAsia="仿宋_GB2312"/>
          <w:sz w:val="26"/>
          <w:szCs w:val="26"/>
        </w:rPr>
      </w:pPr>
      <w:r>
        <w:rPr>
          <w:rFonts w:hint="eastAsia" w:eastAsia="仿宋_GB2312"/>
          <w:sz w:val="26"/>
          <w:szCs w:val="26"/>
        </w:rPr>
        <w:t>3.1交易情况修正：使可比实例的非正常成交价格成为正常价格的处理。</w:t>
      </w:r>
    </w:p>
    <w:p>
      <w:pPr>
        <w:spacing w:line="440" w:lineRule="exact"/>
        <w:ind w:firstLine="520" w:firstLineChars="200"/>
        <w:rPr>
          <w:rFonts w:hint="eastAsia" w:eastAsia="仿宋_GB2312"/>
          <w:sz w:val="26"/>
          <w:szCs w:val="26"/>
        </w:rPr>
      </w:pPr>
      <w:r>
        <w:rPr>
          <w:rFonts w:hint="eastAsia" w:eastAsia="仿宋_GB2312"/>
          <w:sz w:val="26"/>
          <w:szCs w:val="26"/>
        </w:rPr>
        <w:t>3.2市场状况调整：使可比实例在其成交日期的价格成为在价值时点的价格的处理。</w:t>
      </w:r>
    </w:p>
    <w:p>
      <w:pPr>
        <w:spacing w:line="440" w:lineRule="exact"/>
        <w:ind w:firstLine="520" w:firstLineChars="200"/>
        <w:rPr>
          <w:rFonts w:hint="eastAsia" w:eastAsia="仿宋_GB2312"/>
          <w:sz w:val="26"/>
          <w:szCs w:val="26"/>
        </w:rPr>
      </w:pPr>
      <w:r>
        <w:rPr>
          <w:rFonts w:hint="eastAsia" w:eastAsia="仿宋_GB2312"/>
          <w:sz w:val="26"/>
          <w:szCs w:val="26"/>
        </w:rPr>
        <w:t>3.3房地产状况调整：使可比实例在自身状况下的价格成为在估价对象状况下的价格的处理。包括区位状况调整，实物状况调整和权益状况调整。</w:t>
      </w:r>
    </w:p>
    <w:p>
      <w:pPr>
        <w:spacing w:line="440" w:lineRule="exact"/>
        <w:ind w:firstLine="520" w:firstLineChars="200"/>
        <w:rPr>
          <w:rFonts w:eastAsia="仿宋_GB2312"/>
          <w:sz w:val="26"/>
          <w:szCs w:val="26"/>
        </w:rPr>
      </w:pPr>
      <w:r>
        <w:rPr>
          <w:rFonts w:eastAsia="仿宋_GB2312"/>
          <w:sz w:val="26"/>
          <w:szCs w:val="26"/>
        </w:rPr>
        <w:t>根据选取的可比实例，重点分析影响房地产价格的主要因素，编制比较因素条件说明表：</w:t>
      </w:r>
    </w:p>
    <w:tbl>
      <w:tblPr>
        <w:tblStyle w:val="23"/>
        <w:tblW w:w="91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425"/>
        <w:gridCol w:w="1455"/>
        <w:gridCol w:w="1530"/>
        <w:gridCol w:w="1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9135" w:type="dxa"/>
            <w:gridSpan w:val="7"/>
            <w:tcBorders>
              <w:top w:val="nil"/>
              <w:left w:val="nil"/>
              <w:bottom w:val="single" w:color="000000" w:sz="12" w:space="0"/>
              <w:right w:val="nil"/>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3"/>
                <w:szCs w:val="23"/>
                <w:u w:val="none"/>
              </w:rPr>
            </w:pPr>
            <w:r>
              <w:rPr>
                <w:rFonts w:hint="default" w:ascii="仿宋_GB2312" w:hAnsi="宋体" w:eastAsia="仿宋_GB2312" w:cs="仿宋_GB2312"/>
                <w:b/>
                <w:bCs/>
                <w:i w:val="0"/>
                <w:iCs w:val="0"/>
                <w:color w:val="000000"/>
                <w:kern w:val="0"/>
                <w:sz w:val="23"/>
                <w:szCs w:val="23"/>
                <w:u w:val="none"/>
                <w:lang w:val="en-US" w:eastAsia="zh-CN" w:bidi="ar"/>
              </w:rPr>
              <w:t>比较因素条件说明表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3240" w:type="dxa"/>
            <w:gridSpan w:val="3"/>
            <w:tcBorders>
              <w:top w:val="single" w:color="000000" w:sz="12"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比较因素</w:t>
            </w:r>
          </w:p>
        </w:tc>
        <w:tc>
          <w:tcPr>
            <w:tcW w:w="1425"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估价对象</w:t>
            </w:r>
          </w:p>
        </w:tc>
        <w:tc>
          <w:tcPr>
            <w:tcW w:w="1455"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A</w:t>
            </w:r>
          </w:p>
        </w:tc>
        <w:tc>
          <w:tcPr>
            <w:tcW w:w="1530"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B</w:t>
            </w:r>
          </w:p>
        </w:tc>
        <w:tc>
          <w:tcPr>
            <w:tcW w:w="1485" w:type="dxa"/>
            <w:tcBorders>
              <w:top w:val="single" w:color="000000" w:sz="12" w:space="0"/>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5" w:hRule="atLeast"/>
          <w:jc w:val="center"/>
        </w:trPr>
        <w:tc>
          <w:tcPr>
            <w:tcW w:w="3240" w:type="dxa"/>
            <w:gridSpan w:val="3"/>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房地产名称</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中屹·悦园花岸</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宝隆国际</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宝隆国际</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宝隆国际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3240" w:type="dxa"/>
            <w:gridSpan w:val="3"/>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用途</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住宅</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住宅</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住宅</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3240" w:type="dxa"/>
            <w:gridSpan w:val="3"/>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5417</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4667</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3240" w:type="dxa"/>
            <w:gridSpan w:val="3"/>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交易情况</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正常</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正常</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正常</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3240" w:type="dxa"/>
            <w:gridSpan w:val="3"/>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市场状况</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2021.10 </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2021.12</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jc w:val="center"/>
        </w:trPr>
        <w:tc>
          <w:tcPr>
            <w:tcW w:w="108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区域状况</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位置状况</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方位及距离</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凉都大道与明湖路交汇处西北侧</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新世纪广场-钟山西路36号</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新世纪广场-钟山西路36号</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新世纪广场-钟山西路36号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距六盘水市政府交通距离约1.6km</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距六盘水市政府交通距离约1.6km</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距六盘水市政府交通距离约1.6km</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距六盘水市政府交通距离约1.6km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朝向</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朝南</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朝东北</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朝西</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朝东北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楼层</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15/31</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中层/32</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低层</w:t>
            </w:r>
            <w:r>
              <w:rPr>
                <w:rFonts w:hint="default" w:ascii="Times New Roman" w:hAnsi="Times New Roman" w:eastAsia="宋体" w:cs="Times New Roman"/>
                <w:i w:val="0"/>
                <w:iCs w:val="0"/>
                <w:color w:val="000000"/>
                <w:kern w:val="0"/>
                <w:sz w:val="22"/>
                <w:szCs w:val="22"/>
                <w:u w:val="none"/>
                <w:lang w:val="en-US" w:eastAsia="zh-CN" w:bidi="ar"/>
              </w:rPr>
              <w:t>/30</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高层/32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居住聚集程度</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居住聚集程度较高</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居住聚集程度较高</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居住聚集程度较高</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居住聚集程度较高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交通情况</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道路状况</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主干道为主，次干道为辅，道路状况较优</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主干道为主，次干道为辅，道路状况较优</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主干道为主，次干道为辅，道路状况较优</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主干道为主，次干道为辅，道路状况较优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9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出入可利用交通工具</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附近有3条以上公交线路，附近有出租车及大巴通过</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附近有3条以上公交线路，附近有出租车及大巴通过</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附近有3条以上公交线路，附近有出租车及大巴通过</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附近有3条以上公交线路，附近有出租车及大巴通过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交通管制情况</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交通管制</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交通管制</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交通管制</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交通管制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停车方便程度</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有地上、地下停车位，停车方便程度较优</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有地上、地下停车位，停车方便程度较优</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有地上、地下停车位，停车方便程度较优</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有地上、地下停车位，停车方便程度较优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环境状况</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自然环境</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区域内基本无污染，自然环境质量较优</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区域内基本无污染，自然环境质量较优</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区域内基本无污染，自然环境质量较优</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区域内基本无污染，自然环境质量较优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9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人文环境</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居住集中区，治安状况良好，人文环境较优</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居住集中区，治安状况良好，人文环境较优</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居住集中区，治安状况良好，人文环境较优</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居住集中区，治安状况良好，人文环境较优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景观</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附近有广场、小区景观绿化等，景观较优</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附近有广场、小区景观绿化等，景观较优</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附近有广场、小区景观绿化等，景观较优</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附近有广场、小区景观绿化等，景观较优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外部配套设施</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基础设施</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五通</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五通</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五通</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6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公共服务设施</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周边学校、商场、超市、菜场、医院等公共配套设施较齐全</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周边学校、商场、超市、菜场、医院等公共配套设施较齐全</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周边学校、商场、超市、菜场、医院等公共配套设施较齐全</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周边学校、商场、超市、菜场、医院等公共配套设施较齐全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center"/>
        </w:trPr>
        <w:tc>
          <w:tcPr>
            <w:tcW w:w="108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实物状况</w:t>
            </w: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建筑结构</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混合</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混合</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混合</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建成年代</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2018</w:t>
            </w:r>
            <w:r>
              <w:rPr>
                <w:rFonts w:hint="eastAsia" w:ascii="宋体" w:hAnsi="宋体" w:eastAsia="宋体" w:cs="宋体"/>
                <w:i w:val="0"/>
                <w:iCs w:val="0"/>
                <w:color w:val="000000"/>
                <w:kern w:val="0"/>
                <w:sz w:val="22"/>
                <w:szCs w:val="22"/>
                <w:u w:val="none"/>
                <w:lang w:val="en-US" w:eastAsia="zh-CN" w:bidi="ar"/>
              </w:rPr>
              <w:t>年</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2012</w:t>
            </w:r>
            <w:r>
              <w:rPr>
                <w:rFonts w:hint="eastAsia" w:ascii="宋体" w:hAnsi="宋体" w:eastAsia="宋体" w:cs="宋体"/>
                <w:i w:val="0"/>
                <w:iCs w:val="0"/>
                <w:color w:val="000000"/>
                <w:kern w:val="0"/>
                <w:sz w:val="22"/>
                <w:szCs w:val="22"/>
                <w:u w:val="none"/>
                <w:lang w:val="en-US" w:eastAsia="zh-CN" w:bidi="ar"/>
              </w:rPr>
              <w:t>年</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2015</w:t>
            </w:r>
            <w:r>
              <w:rPr>
                <w:rFonts w:hint="eastAsia" w:ascii="宋体" w:hAnsi="宋体" w:eastAsia="宋体" w:cs="宋体"/>
                <w:i w:val="0"/>
                <w:iCs w:val="0"/>
                <w:color w:val="000000"/>
                <w:kern w:val="0"/>
                <w:sz w:val="22"/>
                <w:szCs w:val="22"/>
                <w:u w:val="none"/>
                <w:lang w:val="en-US" w:eastAsia="zh-CN" w:bidi="ar"/>
              </w:rPr>
              <w:t>年</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2012</w:t>
            </w:r>
            <w:r>
              <w:rPr>
                <w:rFonts w:hint="eastAsia" w:ascii="宋体" w:hAnsi="宋体" w:eastAsia="宋体" w:cs="宋体"/>
                <w:i w:val="0"/>
                <w:iCs w:val="0"/>
                <w:color w:val="000000"/>
                <w:kern w:val="0"/>
                <w:sz w:val="22"/>
                <w:szCs w:val="22"/>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建筑面积（㎡）</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111.44</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144</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150</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层高（</w:t>
            </w:r>
            <w:r>
              <w:rPr>
                <w:rFonts w:hint="default" w:ascii="Times New Roman" w:hAnsi="Times New Roman" w:eastAsia="宋体" w:cs="Times New Roman"/>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lang w:val="en-US" w:eastAsia="zh-CN" w:bidi="ar"/>
              </w:rPr>
              <w:t>）</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外观形象</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整体建筑式样较新颖美观，亮化程度较高</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整体建筑式样较新颖美观，亮化程度较高</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整体建筑式样较新颖美观，亮化程度较高</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整体建筑式样较新颖美观，亮化程度较高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装修</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毛坯</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毛坯</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简装</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设施设备</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较齐全</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较齐全</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较齐全</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较齐全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空间布局及建筑功能</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较优</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较优</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较优</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维护、保养</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较好</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较好</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较好</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108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物业管理</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好</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好</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好</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1080" w:type="dxa"/>
            <w:vMerge w:val="restart"/>
            <w:tcBorders>
              <w:top w:val="single" w:color="000000" w:sz="8" w:space="0"/>
              <w:left w:val="single" w:color="000000" w:sz="12" w:space="0"/>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权益状况</w:t>
            </w: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土地使用权性质</w:t>
            </w:r>
          </w:p>
        </w:tc>
        <w:tc>
          <w:tcPr>
            <w:tcW w:w="14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国有出让</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国有出让</w:t>
            </w:r>
          </w:p>
        </w:tc>
        <w:tc>
          <w:tcPr>
            <w:tcW w:w="15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国有出让</w:t>
            </w:r>
          </w:p>
        </w:tc>
        <w:tc>
          <w:tcPr>
            <w:tcW w:w="1485"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国有出让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jc w:val="center"/>
        </w:trPr>
        <w:tc>
          <w:tcPr>
            <w:tcW w:w="1080" w:type="dxa"/>
            <w:vMerge w:val="continue"/>
            <w:tcBorders>
              <w:top w:val="single" w:color="000000" w:sz="8" w:space="0"/>
              <w:left w:val="single" w:color="000000" w:sz="12" w:space="0"/>
              <w:bottom w:val="single" w:color="000000" w:sz="12"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土地使用年限</w:t>
            </w:r>
          </w:p>
        </w:tc>
        <w:tc>
          <w:tcPr>
            <w:tcW w:w="5895" w:type="dxa"/>
            <w:gridSpan w:val="4"/>
            <w:tcBorders>
              <w:top w:val="single" w:color="000000" w:sz="8" w:space="0"/>
              <w:left w:val="single" w:color="000000" w:sz="8" w:space="0"/>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比较实例</w:t>
            </w: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B</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与估价对象为同一小区，故设定土地使用年限一致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jc w:val="center"/>
        </w:trPr>
        <w:tc>
          <w:tcPr>
            <w:tcW w:w="1080" w:type="dxa"/>
            <w:vMerge w:val="continue"/>
            <w:tcBorders>
              <w:top w:val="single" w:color="000000" w:sz="8" w:space="0"/>
              <w:left w:val="single" w:color="000000" w:sz="12" w:space="0"/>
              <w:bottom w:val="single" w:color="000000" w:sz="12"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规划条件</w:t>
            </w:r>
          </w:p>
        </w:tc>
        <w:tc>
          <w:tcPr>
            <w:tcW w:w="5895" w:type="dxa"/>
            <w:gridSpan w:val="4"/>
            <w:tcBorders>
              <w:top w:val="single" w:color="000000" w:sz="8" w:space="0"/>
              <w:left w:val="single" w:color="000000" w:sz="8" w:space="0"/>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比较实例</w:t>
            </w: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B</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与估价对象为同一小区，故设定规划条件一致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1080" w:type="dxa"/>
            <w:vMerge w:val="continue"/>
            <w:tcBorders>
              <w:top w:val="single" w:color="000000" w:sz="8" w:space="0"/>
              <w:left w:val="single" w:color="000000" w:sz="12" w:space="0"/>
              <w:bottom w:val="single" w:color="000000" w:sz="12"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60" w:type="dxa"/>
            <w:gridSpan w:val="2"/>
            <w:tcBorders>
              <w:top w:val="single" w:color="000000" w:sz="8" w:space="0"/>
              <w:left w:val="single" w:color="000000" w:sz="8" w:space="0"/>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他项权利</w:t>
            </w:r>
          </w:p>
        </w:tc>
        <w:tc>
          <w:tcPr>
            <w:tcW w:w="1425" w:type="dxa"/>
            <w:tcBorders>
              <w:top w:val="nil"/>
              <w:left w:val="nil"/>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未设定</w:t>
            </w:r>
          </w:p>
        </w:tc>
        <w:tc>
          <w:tcPr>
            <w:tcW w:w="1455" w:type="dxa"/>
            <w:tcBorders>
              <w:top w:val="nil"/>
              <w:left w:val="nil"/>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未设定</w:t>
            </w:r>
          </w:p>
        </w:tc>
        <w:tc>
          <w:tcPr>
            <w:tcW w:w="1530" w:type="dxa"/>
            <w:tcBorders>
              <w:top w:val="nil"/>
              <w:left w:val="nil"/>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未设定</w:t>
            </w:r>
          </w:p>
        </w:tc>
        <w:tc>
          <w:tcPr>
            <w:tcW w:w="1485" w:type="dxa"/>
            <w:tcBorders>
              <w:top w:val="nil"/>
              <w:left w:val="nil"/>
              <w:bottom w:val="single" w:color="000000" w:sz="12" w:space="0"/>
              <w:right w:val="single" w:color="000000"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未设定</w:t>
            </w:r>
          </w:p>
        </w:tc>
      </w:tr>
    </w:tbl>
    <w:p>
      <w:pPr>
        <w:spacing w:line="440" w:lineRule="exact"/>
        <w:ind w:firstLine="520" w:firstLineChars="200"/>
        <w:rPr>
          <w:rFonts w:eastAsia="仿宋_GB2312"/>
          <w:color w:val="000000"/>
          <w:sz w:val="26"/>
          <w:szCs w:val="26"/>
        </w:rPr>
      </w:pPr>
      <w:r>
        <w:rPr>
          <w:rFonts w:eastAsia="仿宋_GB2312"/>
          <w:color w:val="000000"/>
          <w:sz w:val="26"/>
          <w:szCs w:val="26"/>
        </w:rPr>
        <w:t>4</w:t>
      </w:r>
      <w:r>
        <w:rPr>
          <w:rFonts w:hint="eastAsia" w:eastAsia="仿宋_GB2312"/>
          <w:color w:val="000000"/>
          <w:sz w:val="26"/>
          <w:szCs w:val="26"/>
          <w:lang w:eastAsia="zh-CN"/>
        </w:rPr>
        <w:t>、</w:t>
      </w:r>
      <w:r>
        <w:rPr>
          <w:rFonts w:eastAsia="仿宋_GB2312"/>
          <w:color w:val="000000"/>
          <w:sz w:val="26"/>
          <w:szCs w:val="26"/>
        </w:rPr>
        <w:t>确定比较因素条件指数</w:t>
      </w:r>
    </w:p>
    <w:p>
      <w:pPr>
        <w:spacing w:line="440" w:lineRule="exact"/>
        <w:ind w:firstLine="520" w:firstLineChars="200"/>
        <w:rPr>
          <w:rFonts w:hint="eastAsia" w:eastAsia="仿宋_GB2312"/>
          <w:color w:val="000000"/>
          <w:sz w:val="26"/>
          <w:szCs w:val="26"/>
          <w:lang w:eastAsia="zh-CN"/>
        </w:rPr>
      </w:pPr>
      <w:r>
        <w:rPr>
          <w:rFonts w:hint="eastAsia" w:eastAsia="仿宋_GB2312"/>
          <w:color w:val="000000"/>
          <w:sz w:val="26"/>
          <w:szCs w:val="26"/>
          <w:lang w:val="en-US" w:eastAsia="zh-CN"/>
        </w:rPr>
        <w:t>比较因素条件说明：</w:t>
      </w:r>
      <w:r>
        <w:rPr>
          <w:rFonts w:eastAsia="仿宋_GB2312"/>
          <w:color w:val="000000"/>
          <w:sz w:val="26"/>
          <w:szCs w:val="26"/>
        </w:rPr>
        <w:t>以估价对象为100，比较实例每上升或下降一个等级，分值上升或下降2</w:t>
      </w:r>
      <w:r>
        <w:rPr>
          <w:rFonts w:hint="eastAsia" w:eastAsia="仿宋_GB2312"/>
          <w:color w:val="000000"/>
          <w:sz w:val="26"/>
          <w:szCs w:val="26"/>
          <w:lang w:eastAsia="zh-CN"/>
        </w:rPr>
        <w:t>。</w:t>
      </w:r>
    </w:p>
    <w:tbl>
      <w:tblPr>
        <w:tblStyle w:val="23"/>
        <w:tblW w:w="81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7"/>
        <w:gridCol w:w="1009"/>
        <w:gridCol w:w="1187"/>
        <w:gridCol w:w="1241"/>
        <w:gridCol w:w="1483"/>
        <w:gridCol w:w="1469"/>
        <w:gridCol w:w="14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8130" w:type="dxa"/>
            <w:gridSpan w:val="7"/>
            <w:tcBorders>
              <w:top w:val="nil"/>
              <w:left w:val="nil"/>
              <w:bottom w:val="single" w:color="000000" w:sz="12" w:space="0"/>
              <w:right w:val="nil"/>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3"/>
                <w:szCs w:val="23"/>
                <w:u w:val="none"/>
              </w:rPr>
            </w:pPr>
            <w:r>
              <w:rPr>
                <w:rFonts w:hint="default" w:ascii="仿宋_GB2312" w:hAnsi="宋体" w:eastAsia="仿宋_GB2312" w:cs="仿宋_GB2312"/>
                <w:b/>
                <w:bCs/>
                <w:i w:val="0"/>
                <w:iCs w:val="0"/>
                <w:color w:val="000000"/>
                <w:kern w:val="0"/>
                <w:sz w:val="23"/>
                <w:szCs w:val="23"/>
                <w:u w:val="none"/>
                <w:lang w:val="en-US" w:eastAsia="zh-CN" w:bidi="ar"/>
              </w:rPr>
              <w:t>比较因素条件指数表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gridSpan w:val="3"/>
            <w:tcBorders>
              <w:top w:val="single" w:color="000000" w:sz="12" w:space="0"/>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比较因素</w:t>
            </w:r>
          </w:p>
        </w:tc>
        <w:tc>
          <w:tcPr>
            <w:tcW w:w="0" w:type="auto"/>
            <w:tcBorders>
              <w:top w:val="single" w:color="000000" w:sz="12"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估价对象</w:t>
            </w:r>
          </w:p>
        </w:tc>
        <w:tc>
          <w:tcPr>
            <w:tcW w:w="0" w:type="auto"/>
            <w:tcBorders>
              <w:top w:val="single" w:color="000000" w:sz="12"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A</w:t>
            </w:r>
          </w:p>
        </w:tc>
        <w:tc>
          <w:tcPr>
            <w:tcW w:w="0" w:type="auto"/>
            <w:tcBorders>
              <w:top w:val="single" w:color="000000" w:sz="12"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B</w:t>
            </w:r>
          </w:p>
        </w:tc>
        <w:tc>
          <w:tcPr>
            <w:tcW w:w="0" w:type="auto"/>
            <w:tcBorders>
              <w:top w:val="single" w:color="000000" w:sz="12" w:space="0"/>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gridSpan w:val="3"/>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可比实例价格（元）</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5417</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4667</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gridSpan w:val="3"/>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交易情况修正</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gridSpan w:val="3"/>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市场状况调整</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5" w:hRule="atLeast"/>
          <w:jc w:val="center"/>
        </w:trPr>
        <w:tc>
          <w:tcPr>
            <w:tcW w:w="1080" w:type="dxa"/>
            <w:vMerge w:val="restart"/>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区域状况调整</w:t>
            </w:r>
          </w:p>
        </w:tc>
        <w:tc>
          <w:tcPr>
            <w:tcW w:w="87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位置状况</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方位及距离</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朝向</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楼层</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居住聚集程度</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交通情况</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道路状况</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出入可利用交通工具</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交通管制情况</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停车方便程度</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环境状况</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自然环境</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人文环境</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景观</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外部配套设施</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基础设施</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公共服务设施</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restart"/>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实物状况调整</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建筑结构</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建成年代</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建筑面积（㎡）</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层高（</w:t>
            </w:r>
            <w:r>
              <w:rPr>
                <w:rFonts w:hint="default" w:ascii="Times New Roman" w:hAnsi="Times New Roman" w:eastAsia="宋体" w:cs="Times New Roman"/>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外观形象</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装修</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102</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设施设备</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空间布局及建筑功能</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维护、保养</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物业管理</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restart"/>
            <w:tcBorders>
              <w:top w:val="nil"/>
              <w:left w:val="single" w:color="000000" w:sz="12" w:space="0"/>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权益状况调整</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土地使用权性质</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12"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土地使用年限</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12"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规划条件</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12"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他项权利</w:t>
            </w:r>
          </w:p>
        </w:tc>
        <w:tc>
          <w:tcPr>
            <w:tcW w:w="0" w:type="auto"/>
            <w:tcBorders>
              <w:top w:val="nil"/>
              <w:left w:val="nil"/>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12"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bl>
    <w:p>
      <w:pPr>
        <w:spacing w:line="440" w:lineRule="exact"/>
        <w:ind w:firstLine="520" w:firstLineChars="200"/>
        <w:rPr>
          <w:rFonts w:hint="eastAsia" w:eastAsia="仿宋_GB2312"/>
          <w:color w:val="000000"/>
          <w:sz w:val="26"/>
          <w:szCs w:val="26"/>
        </w:rPr>
      </w:pPr>
      <w:r>
        <w:rPr>
          <w:rFonts w:eastAsia="仿宋_GB2312"/>
          <w:color w:val="000000"/>
          <w:sz w:val="26"/>
          <w:szCs w:val="26"/>
        </w:rPr>
        <w:t>5、</w:t>
      </w:r>
      <w:r>
        <w:rPr>
          <w:rFonts w:hint="eastAsia" w:eastAsia="仿宋_GB2312"/>
          <w:color w:val="000000"/>
          <w:sz w:val="26"/>
          <w:szCs w:val="26"/>
        </w:rPr>
        <w:t>因素修正</w:t>
      </w:r>
    </w:p>
    <w:p>
      <w:pPr>
        <w:spacing w:line="440" w:lineRule="exact"/>
        <w:ind w:firstLine="520" w:firstLineChars="200"/>
        <w:rPr>
          <w:rFonts w:hint="eastAsia" w:eastAsia="仿宋_GB2312"/>
          <w:color w:val="000000"/>
          <w:sz w:val="26"/>
          <w:szCs w:val="26"/>
        </w:rPr>
      </w:pPr>
      <w:r>
        <w:rPr>
          <w:rFonts w:hint="eastAsia" w:eastAsia="仿宋_GB2312"/>
          <w:color w:val="000000"/>
          <w:sz w:val="26"/>
          <w:szCs w:val="26"/>
        </w:rPr>
        <w:t>在因素条件指数表的基础上，将估价对象的因素条件指数与可比实例的因素条件进行比较，得到各比较因素修正系数：</w:t>
      </w:r>
    </w:p>
    <w:tbl>
      <w:tblPr>
        <w:tblStyle w:val="23"/>
        <w:tblW w:w="77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9"/>
        <w:gridCol w:w="1761"/>
        <w:gridCol w:w="1110"/>
        <w:gridCol w:w="697"/>
        <w:gridCol w:w="626"/>
        <w:gridCol w:w="697"/>
        <w:gridCol w:w="626"/>
        <w:gridCol w:w="697"/>
        <w:gridCol w:w="6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7710" w:type="dxa"/>
            <w:gridSpan w:val="9"/>
            <w:tcBorders>
              <w:top w:val="nil"/>
              <w:left w:val="nil"/>
              <w:bottom w:val="single" w:color="000000" w:sz="12" w:space="0"/>
              <w:right w:val="nil"/>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3"/>
                <w:szCs w:val="23"/>
                <w:u w:val="none"/>
              </w:rPr>
            </w:pPr>
            <w:r>
              <w:rPr>
                <w:rFonts w:hint="default" w:ascii="仿宋_GB2312" w:hAnsi="宋体" w:eastAsia="仿宋_GB2312" w:cs="仿宋_GB2312"/>
                <w:b/>
                <w:bCs/>
                <w:i w:val="0"/>
                <w:iCs w:val="0"/>
                <w:color w:val="000000"/>
                <w:kern w:val="0"/>
                <w:sz w:val="23"/>
                <w:szCs w:val="23"/>
                <w:u w:val="none"/>
                <w:lang w:val="en-US" w:eastAsia="zh-CN" w:bidi="ar"/>
              </w:rPr>
              <w:t>比较因素修正计算表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gridSpan w:val="3"/>
            <w:tcBorders>
              <w:top w:val="single" w:color="000000" w:sz="12" w:space="0"/>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比较因素</w:t>
            </w:r>
          </w:p>
        </w:tc>
        <w:tc>
          <w:tcPr>
            <w:tcW w:w="0" w:type="auto"/>
            <w:gridSpan w:val="2"/>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A</w:t>
            </w:r>
          </w:p>
        </w:tc>
        <w:tc>
          <w:tcPr>
            <w:tcW w:w="0" w:type="auto"/>
            <w:gridSpan w:val="2"/>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B</w:t>
            </w:r>
          </w:p>
        </w:tc>
        <w:tc>
          <w:tcPr>
            <w:tcW w:w="0" w:type="auto"/>
            <w:gridSpan w:val="2"/>
            <w:tcBorders>
              <w:top w:val="single" w:color="000000" w:sz="12" w:space="0"/>
              <w:left w:val="single" w:color="000000" w:sz="8" w:space="0"/>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gridSpan w:val="3"/>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可比实例价格（元）</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5417</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4667</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gridSpan w:val="3"/>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交易情况修正</w:t>
            </w: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gridSpan w:val="3"/>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市场状况调整</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restart"/>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区域状况调整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位置状况</w:t>
            </w: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方位及距离</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朝向</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楼层</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居住聚集程度</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交通情况</w:t>
            </w: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道路状况</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出入可利用交通工具</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交通管制情况</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停车方便程度</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环境状况</w:t>
            </w: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自然环境</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人文环境</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景观</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外部配套设施</w:t>
            </w: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基础设施</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公共服务设施</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restart"/>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实物状况调整</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建筑结构</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建成年代</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建筑面积（㎡）</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层高（</w:t>
            </w:r>
            <w:r>
              <w:rPr>
                <w:rFonts w:hint="default" w:ascii="Times New Roman" w:hAnsi="Times New Roman" w:eastAsia="宋体" w:cs="Times New Roman"/>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lang w:val="en-US" w:eastAsia="zh-CN" w:bidi="ar"/>
              </w:rPr>
              <w:t>）</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外观形象</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装修</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102</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设施设备</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空间布局及建筑功能</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维护、保养</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物业管理</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restart"/>
            <w:tcBorders>
              <w:top w:val="nil"/>
              <w:left w:val="single" w:color="000000" w:sz="12" w:space="0"/>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权益状况调整</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土地使用权性质</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12"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土地使用年限</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12"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规划条件</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1080" w:type="dxa"/>
            <w:vMerge w:val="continue"/>
            <w:tcBorders>
              <w:top w:val="nil"/>
              <w:left w:val="single" w:color="000000" w:sz="12" w:space="0"/>
              <w:bottom w:val="single" w:color="000000" w:sz="12"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gridSpan w:val="2"/>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他项权利</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bl>
    <w:p>
      <w:pPr>
        <w:spacing w:line="440" w:lineRule="exact"/>
        <w:ind w:firstLine="520" w:firstLineChars="200"/>
        <w:rPr>
          <w:rFonts w:hint="eastAsia" w:eastAsia="仿宋_GB2312"/>
          <w:color w:val="000000"/>
          <w:sz w:val="26"/>
          <w:szCs w:val="26"/>
        </w:rPr>
      </w:pPr>
      <w:r>
        <w:rPr>
          <w:rFonts w:hint="eastAsia" w:eastAsia="仿宋_GB2312"/>
          <w:sz w:val="26"/>
          <w:szCs w:val="26"/>
        </w:rPr>
        <w:t>6、</w:t>
      </w:r>
      <w:r>
        <w:rPr>
          <w:rFonts w:hint="eastAsia" w:eastAsia="仿宋_GB2312"/>
          <w:color w:val="000000"/>
          <w:sz w:val="26"/>
          <w:szCs w:val="26"/>
        </w:rPr>
        <w:t>确定估价对象比</w:t>
      </w:r>
      <w:r>
        <w:rPr>
          <w:rFonts w:eastAsia="仿宋_GB2312"/>
          <w:sz w:val="26"/>
          <w:szCs w:val="26"/>
        </w:rPr>
        <w:t>较</w:t>
      </w:r>
      <w:r>
        <w:rPr>
          <w:rFonts w:hint="eastAsia" w:eastAsia="仿宋_GB2312"/>
          <w:color w:val="000000"/>
          <w:sz w:val="26"/>
          <w:szCs w:val="26"/>
        </w:rPr>
        <w:t>价格</w:t>
      </w:r>
    </w:p>
    <w:p>
      <w:pPr>
        <w:spacing w:line="440" w:lineRule="exact"/>
        <w:ind w:firstLine="520" w:firstLineChars="200"/>
        <w:rPr>
          <w:rFonts w:hint="eastAsia" w:eastAsia="仿宋_GB2312"/>
          <w:color w:val="000000"/>
          <w:sz w:val="26"/>
          <w:szCs w:val="26"/>
          <w:lang w:val="en-US" w:eastAsia="zh-CN"/>
        </w:rPr>
      </w:pPr>
      <w:r>
        <w:rPr>
          <w:rFonts w:eastAsia="仿宋_GB2312"/>
          <w:sz w:val="26"/>
          <w:szCs w:val="26"/>
        </w:rPr>
        <w:t>比较价格＝可比实例</w:t>
      </w:r>
      <w:r>
        <w:rPr>
          <w:rFonts w:hint="eastAsia" w:eastAsia="仿宋_GB2312"/>
          <w:sz w:val="26"/>
          <w:szCs w:val="26"/>
        </w:rPr>
        <w:t>成交</w:t>
      </w:r>
      <w:r>
        <w:rPr>
          <w:rFonts w:eastAsia="仿宋_GB2312"/>
          <w:sz w:val="26"/>
          <w:szCs w:val="26"/>
        </w:rPr>
        <w:t>价格×交易情况修正系数×</w:t>
      </w:r>
      <w:r>
        <w:rPr>
          <w:rFonts w:hint="eastAsia" w:eastAsia="仿宋_GB2312"/>
          <w:sz w:val="26"/>
          <w:szCs w:val="26"/>
        </w:rPr>
        <w:t>市场状况调整</w:t>
      </w:r>
      <w:r>
        <w:rPr>
          <w:rFonts w:eastAsia="仿宋_GB2312"/>
          <w:sz w:val="26"/>
          <w:szCs w:val="26"/>
        </w:rPr>
        <w:t>系数×</w:t>
      </w:r>
      <w:r>
        <w:rPr>
          <w:rFonts w:hint="eastAsia" w:eastAsia="仿宋_GB2312"/>
          <w:sz w:val="26"/>
          <w:szCs w:val="26"/>
        </w:rPr>
        <w:t>房地产状况调整</w:t>
      </w:r>
      <w:r>
        <w:rPr>
          <w:rFonts w:eastAsia="仿宋_GB2312"/>
          <w:sz w:val="26"/>
          <w:szCs w:val="26"/>
        </w:rPr>
        <w:t>系数</w:t>
      </w:r>
    </w:p>
    <w:tbl>
      <w:tblPr>
        <w:tblStyle w:val="23"/>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53"/>
        <w:gridCol w:w="1823"/>
        <w:gridCol w:w="1806"/>
        <w:gridCol w:w="18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8505" w:type="dxa"/>
            <w:gridSpan w:val="4"/>
            <w:tcBorders>
              <w:top w:val="nil"/>
              <w:left w:val="nil"/>
              <w:bottom w:val="single" w:color="000000" w:sz="12" w:space="0"/>
              <w:right w:val="nil"/>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3"/>
                <w:szCs w:val="23"/>
                <w:u w:val="none"/>
              </w:rPr>
            </w:pPr>
            <w:r>
              <w:rPr>
                <w:rFonts w:hint="default" w:ascii="仿宋_GB2312" w:hAnsi="宋体" w:eastAsia="仿宋_GB2312" w:cs="仿宋_GB2312"/>
                <w:b/>
                <w:bCs/>
                <w:i w:val="0"/>
                <w:iCs w:val="0"/>
                <w:color w:val="000000"/>
                <w:kern w:val="0"/>
                <w:sz w:val="23"/>
                <w:szCs w:val="23"/>
                <w:u w:val="none"/>
                <w:lang w:val="en-US" w:eastAsia="zh-CN" w:bidi="ar"/>
              </w:rPr>
              <w:t>比较因素修正系数表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single" w:color="000000" w:sz="12" w:space="0"/>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p>
        </w:tc>
        <w:tc>
          <w:tcPr>
            <w:tcW w:w="0" w:type="auto"/>
            <w:tcBorders>
              <w:top w:val="single" w:color="000000" w:sz="12"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A</w:t>
            </w:r>
          </w:p>
        </w:tc>
        <w:tc>
          <w:tcPr>
            <w:tcW w:w="0" w:type="auto"/>
            <w:tcBorders>
              <w:top w:val="single" w:color="000000" w:sz="12"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B</w:t>
            </w:r>
          </w:p>
        </w:tc>
        <w:tc>
          <w:tcPr>
            <w:tcW w:w="0" w:type="auto"/>
            <w:tcBorders>
              <w:top w:val="single" w:color="000000" w:sz="12" w:space="0"/>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可比实例</w:t>
            </w:r>
            <w:r>
              <w:rPr>
                <w:rFonts w:hint="default" w:ascii="Times New Roman" w:hAnsi="Times New Roman" w:eastAsia="宋体" w:cs="Times New Roman"/>
                <w:b/>
                <w:bCs/>
                <w:i w:val="0"/>
                <w:iCs w:val="0"/>
                <w:color w:val="000000"/>
                <w:kern w:val="0"/>
                <w:sz w:val="22"/>
                <w:szCs w:val="22"/>
                <w:u w:val="none"/>
                <w:lang w:val="en-US" w:eastAsia="zh-CN" w:bidi="ar"/>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可比实例价格（元）</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5417</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4667</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交易情况修正系数</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 </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 </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市场状况调整系数</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 </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 </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区域状况调整系数</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1.0204</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实物状况调整系数</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1.052</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1.0208</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权益状况调整系数</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比较价格</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5699</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4861</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权重</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 1/3</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 1/3</w:t>
            </w:r>
          </w:p>
        </w:tc>
        <w:tc>
          <w:tcPr>
            <w:tcW w:w="0" w:type="auto"/>
            <w:tcBorders>
              <w:top w:val="nil"/>
              <w:left w:val="nil"/>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 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单价（元/平方米）</w:t>
            </w:r>
          </w:p>
        </w:tc>
        <w:tc>
          <w:tcPr>
            <w:tcW w:w="0" w:type="auto"/>
            <w:gridSpan w:val="3"/>
            <w:tcBorders>
              <w:top w:val="single" w:color="000000" w:sz="8" w:space="0"/>
              <w:left w:val="single" w:color="000000" w:sz="8" w:space="0"/>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建筑面积（平方米）</w:t>
            </w:r>
          </w:p>
        </w:tc>
        <w:tc>
          <w:tcPr>
            <w:tcW w:w="0" w:type="auto"/>
            <w:gridSpan w:val="3"/>
            <w:tcBorders>
              <w:top w:val="single" w:color="000000" w:sz="8" w:space="0"/>
              <w:left w:val="single" w:color="000000" w:sz="8" w:space="0"/>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0" w:type="auto"/>
            <w:tcBorders>
              <w:top w:val="nil"/>
              <w:left w:val="single" w:color="000000" w:sz="12"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总值（万元）</w:t>
            </w:r>
          </w:p>
        </w:tc>
        <w:tc>
          <w:tcPr>
            <w:tcW w:w="0" w:type="auto"/>
            <w:gridSpan w:val="3"/>
            <w:tcBorders>
              <w:top w:val="single" w:color="000000" w:sz="8" w:space="0"/>
              <w:left w:val="single" w:color="000000" w:sz="8" w:space="0"/>
              <w:bottom w:val="single" w:color="000000" w:sz="8"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62.19</w:t>
            </w:r>
          </w:p>
        </w:tc>
      </w:tr>
    </w:tbl>
    <w:p>
      <w:pPr>
        <w:pStyle w:val="30"/>
        <w:keepNext w:val="0"/>
        <w:keepLines w:val="0"/>
        <w:pageBreakBefore w:val="0"/>
        <w:widowControl w:val="0"/>
        <w:tabs>
          <w:tab w:val="left" w:pos="1260"/>
          <w:tab w:val="left" w:pos="1620"/>
        </w:tabs>
        <w:kinsoku/>
        <w:wordWrap/>
        <w:overflowPunct/>
        <w:topLinePunct w:val="0"/>
        <w:autoSpaceDE/>
        <w:autoSpaceDN/>
        <w:bidi w:val="0"/>
        <w:spacing w:line="500" w:lineRule="exact"/>
        <w:ind w:left="0" w:firstLine="520" w:firstLineChars="200"/>
        <w:textAlignment w:val="auto"/>
        <w:rPr>
          <w:rFonts w:hint="eastAsia" w:ascii="Times New Roman" w:eastAsia="仿宋_GB2312" w:cs="Times New Roman"/>
          <w:sz w:val="26"/>
          <w:szCs w:val="26"/>
        </w:rPr>
      </w:pPr>
      <w:r>
        <w:rPr>
          <w:rFonts w:hint="eastAsia" w:ascii="Times New Roman" w:eastAsia="仿宋_GB2312" w:cs="Times New Roman"/>
          <w:sz w:val="26"/>
          <w:szCs w:val="26"/>
        </w:rPr>
        <w:t>7、估价对象价值的确定</w:t>
      </w:r>
    </w:p>
    <w:p>
      <w:pPr>
        <w:pStyle w:val="30"/>
        <w:keepNext w:val="0"/>
        <w:keepLines w:val="0"/>
        <w:pageBreakBefore w:val="0"/>
        <w:widowControl w:val="0"/>
        <w:tabs>
          <w:tab w:val="left" w:pos="1260"/>
          <w:tab w:val="left" w:pos="1620"/>
        </w:tabs>
        <w:kinsoku/>
        <w:wordWrap/>
        <w:overflowPunct/>
        <w:topLinePunct w:val="0"/>
        <w:autoSpaceDE/>
        <w:autoSpaceDN/>
        <w:bidi w:val="0"/>
        <w:spacing w:line="500" w:lineRule="exact"/>
        <w:ind w:left="0" w:firstLine="520" w:firstLineChars="200"/>
        <w:textAlignment w:val="auto"/>
        <w:rPr>
          <w:rFonts w:hint="eastAsia" w:ascii="Times New Roman" w:eastAsia="仿宋_GB2312" w:cs="Times New Roman"/>
          <w:sz w:val="26"/>
          <w:szCs w:val="26"/>
        </w:rPr>
      </w:pPr>
      <w:r>
        <w:rPr>
          <w:rFonts w:hint="eastAsia" w:ascii="Times New Roman" w:eastAsia="仿宋_GB2312" w:cs="Times New Roman"/>
          <w:sz w:val="26"/>
          <w:szCs w:val="26"/>
        </w:rPr>
        <w:t>可比实例与估价对象类型基本相同，且上述三个案例经比较修正后价格相差不大，故取三者的平均值作为估价对象房屋的</w:t>
      </w:r>
      <w:r>
        <w:rPr>
          <w:rFonts w:hint="eastAsia" w:ascii="Times New Roman" w:eastAsia="仿宋_GB2312" w:cs="Times New Roman"/>
          <w:sz w:val="26"/>
          <w:szCs w:val="26"/>
          <w:lang w:val="en-US" w:eastAsia="zh-CN"/>
        </w:rPr>
        <w:t>评估</w:t>
      </w:r>
      <w:r>
        <w:rPr>
          <w:rFonts w:hint="eastAsia" w:ascii="Times New Roman" w:eastAsia="仿宋_GB2312" w:cs="Times New Roman"/>
          <w:sz w:val="26"/>
          <w:szCs w:val="26"/>
        </w:rPr>
        <w:t>单价，即</w:t>
      </w:r>
      <w:r>
        <w:rPr>
          <w:rFonts w:ascii="Times New Roman" w:eastAsia="仿宋_GB2312" w:cs="Times New Roman"/>
          <w:sz w:val="26"/>
          <w:szCs w:val="26"/>
        </w:rPr>
        <w:t>：</w:t>
      </w:r>
    </w:p>
    <w:p>
      <w:pPr>
        <w:pStyle w:val="30"/>
        <w:keepNext w:val="0"/>
        <w:keepLines w:val="0"/>
        <w:pageBreakBefore w:val="0"/>
        <w:widowControl w:val="0"/>
        <w:tabs>
          <w:tab w:val="left" w:pos="1260"/>
          <w:tab w:val="left" w:pos="1620"/>
        </w:tabs>
        <w:kinsoku/>
        <w:wordWrap/>
        <w:overflowPunct/>
        <w:topLinePunct w:val="0"/>
        <w:autoSpaceDE/>
        <w:autoSpaceDN/>
        <w:bidi w:val="0"/>
        <w:spacing w:line="500" w:lineRule="exact"/>
        <w:ind w:left="0" w:firstLine="520" w:firstLineChars="200"/>
        <w:textAlignment w:val="auto"/>
        <w:rPr>
          <w:rFonts w:hint="eastAsia" w:ascii="Times New Roman" w:eastAsia="仿宋_GB2312" w:cs="Times New Roman"/>
          <w:sz w:val="26"/>
          <w:szCs w:val="26"/>
          <w:lang w:val="en-US" w:eastAsia="zh-CN"/>
        </w:rPr>
      </w:pPr>
      <w:r>
        <w:rPr>
          <w:rFonts w:hint="eastAsia" w:ascii="Times New Roman" w:eastAsia="仿宋_GB2312" w:cs="Times New Roman"/>
          <w:sz w:val="26"/>
          <w:szCs w:val="26"/>
          <w:lang w:val="en-US" w:eastAsia="zh-CN"/>
        </w:rPr>
        <w:t>评估</w:t>
      </w:r>
      <w:r>
        <w:rPr>
          <w:rFonts w:ascii="Times New Roman" w:eastAsia="仿宋_GB2312" w:cs="Times New Roman"/>
          <w:sz w:val="26"/>
          <w:szCs w:val="26"/>
        </w:rPr>
        <w:t>单价=</w:t>
      </w:r>
      <w:r>
        <w:rPr>
          <w:rFonts w:hint="eastAsia" w:ascii="Times New Roman" w:eastAsia="仿宋_GB2312" w:cs="Times New Roman"/>
          <w:sz w:val="26"/>
          <w:szCs w:val="26"/>
          <w:lang w:val="en-US" w:eastAsia="zh-CN"/>
        </w:rPr>
        <w:t>（5699+4861+6184）÷3</w:t>
      </w:r>
    </w:p>
    <w:p>
      <w:pPr>
        <w:pStyle w:val="30"/>
        <w:keepNext w:val="0"/>
        <w:keepLines w:val="0"/>
        <w:pageBreakBefore w:val="0"/>
        <w:widowControl w:val="0"/>
        <w:tabs>
          <w:tab w:val="left" w:pos="1260"/>
          <w:tab w:val="left" w:pos="1620"/>
        </w:tabs>
        <w:kinsoku/>
        <w:wordWrap/>
        <w:overflowPunct/>
        <w:topLinePunct w:val="0"/>
        <w:autoSpaceDE/>
        <w:autoSpaceDN/>
        <w:bidi w:val="0"/>
        <w:spacing w:line="500" w:lineRule="exact"/>
        <w:ind w:left="0" w:firstLine="1560" w:firstLineChars="600"/>
        <w:textAlignment w:val="auto"/>
        <w:rPr>
          <w:rFonts w:ascii="Times New Roman" w:eastAsia="仿宋_GB2312" w:cs="Times New Roman"/>
          <w:sz w:val="26"/>
          <w:szCs w:val="26"/>
        </w:rPr>
      </w:pPr>
      <w:r>
        <w:rPr>
          <w:rFonts w:ascii="Times New Roman" w:eastAsia="仿宋_GB2312" w:cs="Times New Roman"/>
          <w:sz w:val="26"/>
          <w:szCs w:val="26"/>
        </w:rPr>
        <w:t>=</w:t>
      </w:r>
      <w:r>
        <w:rPr>
          <w:rFonts w:hint="eastAsia" w:ascii="Times New Roman" w:eastAsia="仿宋_GB2312" w:cs="Times New Roman"/>
          <w:sz w:val="26"/>
          <w:szCs w:val="26"/>
          <w:lang w:val="en-US" w:eastAsia="zh-CN"/>
        </w:rPr>
        <w:t>5581</w:t>
      </w:r>
      <w:r>
        <w:rPr>
          <w:rFonts w:ascii="Times New Roman" w:eastAsia="仿宋_GB2312" w:cs="Times New Roman"/>
          <w:sz w:val="26"/>
          <w:szCs w:val="26"/>
        </w:rPr>
        <w:t>元/平方米</w:t>
      </w:r>
    </w:p>
    <w:p>
      <w:pPr>
        <w:pStyle w:val="30"/>
        <w:keepNext w:val="0"/>
        <w:keepLines w:val="0"/>
        <w:pageBreakBefore w:val="0"/>
        <w:widowControl w:val="0"/>
        <w:tabs>
          <w:tab w:val="left" w:pos="1260"/>
          <w:tab w:val="left" w:pos="1620"/>
        </w:tabs>
        <w:kinsoku/>
        <w:wordWrap/>
        <w:overflowPunct/>
        <w:topLinePunct w:val="0"/>
        <w:autoSpaceDE/>
        <w:autoSpaceDN/>
        <w:bidi w:val="0"/>
        <w:spacing w:line="500" w:lineRule="exact"/>
        <w:ind w:left="0" w:firstLine="520" w:firstLineChars="200"/>
        <w:textAlignment w:val="auto"/>
        <w:rPr>
          <w:rFonts w:ascii="Times New Roman" w:eastAsia="仿宋_GB2312" w:cs="Times New Roman"/>
          <w:sz w:val="26"/>
          <w:szCs w:val="26"/>
        </w:rPr>
      </w:pPr>
      <w:r>
        <w:rPr>
          <w:rFonts w:hint="eastAsia" w:ascii="Times New Roman" w:eastAsia="仿宋_GB2312" w:cs="Times New Roman"/>
          <w:sz w:val="26"/>
          <w:szCs w:val="26"/>
          <w:lang w:val="en-US" w:eastAsia="zh-CN"/>
        </w:rPr>
        <w:t>评估价值</w:t>
      </w:r>
      <w:r>
        <w:rPr>
          <w:rFonts w:ascii="Times New Roman" w:eastAsia="仿宋_GB2312" w:cs="Times New Roman"/>
          <w:sz w:val="26"/>
          <w:szCs w:val="26"/>
        </w:rPr>
        <w:t>=</w:t>
      </w:r>
      <w:r>
        <w:rPr>
          <w:rFonts w:hint="eastAsia" w:ascii="Times New Roman" w:eastAsia="仿宋_GB2312" w:cs="Times New Roman"/>
          <w:sz w:val="26"/>
          <w:szCs w:val="26"/>
          <w:lang w:val="en-US" w:eastAsia="zh-CN"/>
        </w:rPr>
        <w:t>125.72</w:t>
      </w:r>
      <w:r>
        <w:rPr>
          <w:rFonts w:ascii="Times New Roman" w:eastAsia="仿宋_GB2312" w:cs="Times New Roman"/>
          <w:sz w:val="26"/>
          <w:szCs w:val="26"/>
        </w:rPr>
        <w:t>平方米×</w:t>
      </w:r>
      <w:r>
        <w:rPr>
          <w:rFonts w:hint="eastAsia" w:ascii="Times New Roman" w:eastAsia="仿宋_GB2312" w:cs="Times New Roman"/>
          <w:sz w:val="26"/>
          <w:szCs w:val="26"/>
          <w:lang w:val="en-US" w:eastAsia="zh-CN"/>
        </w:rPr>
        <w:t>5581</w:t>
      </w:r>
      <w:r>
        <w:rPr>
          <w:rFonts w:ascii="Times New Roman" w:eastAsia="仿宋_GB2312" w:cs="Times New Roman"/>
          <w:sz w:val="26"/>
          <w:szCs w:val="26"/>
        </w:rPr>
        <w:t>元/平方米</w:t>
      </w:r>
    </w:p>
    <w:p>
      <w:pPr>
        <w:keepNext w:val="0"/>
        <w:keepLines w:val="0"/>
        <w:pageBreakBefore w:val="0"/>
        <w:widowControl w:val="0"/>
        <w:kinsoku/>
        <w:wordWrap/>
        <w:overflowPunct/>
        <w:topLinePunct w:val="0"/>
        <w:autoSpaceDE/>
        <w:autoSpaceDN/>
        <w:bidi w:val="0"/>
        <w:spacing w:line="500" w:lineRule="exact"/>
        <w:ind w:firstLine="1560" w:firstLineChars="600"/>
        <w:textAlignment w:val="auto"/>
        <w:rPr>
          <w:rFonts w:hint="eastAsia" w:eastAsia="仿宋_GB2312"/>
          <w:sz w:val="26"/>
          <w:szCs w:val="26"/>
        </w:rPr>
      </w:pPr>
      <w:r>
        <w:rPr>
          <w:rFonts w:eastAsia="仿宋_GB2312"/>
          <w:sz w:val="26"/>
          <w:szCs w:val="26"/>
        </w:rPr>
        <w:t>=</w:t>
      </w:r>
      <w:r>
        <w:rPr>
          <w:rFonts w:hint="eastAsia" w:eastAsia="仿宋_GB2312"/>
          <w:sz w:val="26"/>
          <w:szCs w:val="26"/>
          <w:lang w:val="en-US" w:eastAsia="zh-CN"/>
        </w:rPr>
        <w:t>62.19</w:t>
      </w:r>
      <w:r>
        <w:rPr>
          <w:rFonts w:eastAsia="仿宋_GB2312"/>
          <w:sz w:val="26"/>
          <w:szCs w:val="26"/>
        </w:rPr>
        <w:t>万元（取整）</w:t>
      </w:r>
    </w:p>
    <w:p>
      <w:pPr>
        <w:spacing w:line="440" w:lineRule="exact"/>
        <w:rPr>
          <w:rFonts w:hint="eastAsia" w:eastAsia="仿宋_GB2312"/>
          <w:sz w:val="26"/>
          <w:szCs w:val="26"/>
        </w:rPr>
      </w:pPr>
      <w:r>
        <w:rPr>
          <w:rFonts w:hint="eastAsia" w:eastAsia="仿宋_GB2312"/>
          <w:sz w:val="26"/>
          <w:szCs w:val="26"/>
        </w:rPr>
        <w:t>故估价对象市场价值</w:t>
      </w:r>
      <w:r>
        <w:rPr>
          <w:rFonts w:hint="eastAsia" w:eastAsia="仿宋_GB2312"/>
          <w:sz w:val="26"/>
          <w:szCs w:val="26"/>
          <w:lang w:val="en-US" w:eastAsia="zh-CN"/>
        </w:rPr>
        <w:t>62.19</w:t>
      </w:r>
      <w:r>
        <w:rPr>
          <w:rFonts w:hint="eastAsia" w:eastAsia="仿宋_GB2312"/>
          <w:sz w:val="26"/>
          <w:szCs w:val="26"/>
        </w:rPr>
        <w:t>万元。</w:t>
      </w:r>
    </w:p>
    <w:p>
      <w:pPr>
        <w:pStyle w:val="3"/>
        <w:spacing w:line="400" w:lineRule="exact"/>
        <w:rPr>
          <w:rFonts w:ascii="Times New Roman" w:hAnsi="Times New Roman" w:eastAsia="仿宋_GB2312"/>
          <w:sz w:val="30"/>
          <w:szCs w:val="30"/>
        </w:rPr>
      </w:pPr>
      <w:bookmarkStart w:id="131" w:name="_Toc5187"/>
      <w:r>
        <w:rPr>
          <w:rFonts w:hint="eastAsia" w:ascii="Times New Roman" w:hAnsi="Times New Roman" w:eastAsia="仿宋_GB2312"/>
          <w:sz w:val="30"/>
          <w:szCs w:val="30"/>
          <w:lang w:val="en-US" w:eastAsia="zh-CN"/>
        </w:rPr>
        <w:t>八</w:t>
      </w:r>
      <w:r>
        <w:rPr>
          <w:rFonts w:hint="eastAsia" w:ascii="Times New Roman" w:hAnsi="Times New Roman" w:eastAsia="仿宋_GB2312"/>
          <w:sz w:val="30"/>
          <w:szCs w:val="30"/>
        </w:rPr>
        <w:t>、</w:t>
      </w:r>
      <w:r>
        <w:rPr>
          <w:rFonts w:ascii="Times New Roman" w:hAnsi="Times New Roman" w:eastAsia="仿宋_GB2312"/>
          <w:sz w:val="30"/>
          <w:szCs w:val="30"/>
        </w:rPr>
        <w:t>估价结果确定</w:t>
      </w:r>
      <w:bookmarkEnd w:id="125"/>
      <w:bookmarkEnd w:id="126"/>
      <w:bookmarkEnd w:id="127"/>
      <w:bookmarkEnd w:id="128"/>
      <w:bookmarkEnd w:id="129"/>
      <w:bookmarkEnd w:id="130"/>
      <w:bookmarkEnd w:id="131"/>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sz w:val="26"/>
          <w:szCs w:val="26"/>
          <w:lang w:val="en-US" w:eastAsia="zh-CN"/>
        </w:rPr>
      </w:pPr>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并结合估价经验和对影响价值因素的分析，在满足本次估价的假设和限制条件下，确定估价对象于价值时点2022年04月18日的市场价值合计为</w:t>
      </w:r>
      <w:r>
        <w:rPr>
          <w:rFonts w:hint="default" w:ascii="Times New Roman" w:hAnsi="Times New Roman" w:eastAsia="仿宋_GB2312" w:cs="Times New Roman"/>
          <w:b/>
          <w:bCs/>
          <w:color w:val="000000"/>
          <w:sz w:val="26"/>
          <w:szCs w:val="26"/>
          <w:lang w:val="en-US" w:eastAsia="zh-CN"/>
        </w:rPr>
        <w:t>人民币</w:t>
      </w:r>
      <w:r>
        <w:rPr>
          <w:rFonts w:hint="eastAsia" w:ascii="Times New Roman" w:hAnsi="Times New Roman" w:eastAsia="仿宋_GB2312" w:cs="Times New Roman"/>
          <w:b/>
          <w:bCs/>
          <w:color w:val="000000"/>
          <w:sz w:val="26"/>
          <w:szCs w:val="26"/>
          <w:lang w:val="en-US" w:eastAsia="zh-CN"/>
        </w:rPr>
        <w:fldChar w:fldCharType="begin"/>
      </w:r>
      <w:r>
        <w:rPr>
          <w:rFonts w:hint="eastAsia" w:ascii="Times New Roman" w:hAnsi="Times New Roman" w:eastAsia="仿宋_GB2312" w:cs="Times New Roman"/>
          <w:b/>
          <w:bCs/>
          <w:color w:val="000000"/>
          <w:sz w:val="26"/>
          <w:szCs w:val="26"/>
          <w:lang w:val="en-US" w:eastAsia="zh-CN"/>
        </w:rPr>
        <w:instrText xml:space="preserve"> = 453000 \* CHINESENUM2 \* MERGEFORMAT </w:instrText>
      </w:r>
      <w:r>
        <w:rPr>
          <w:rFonts w:hint="eastAsia" w:ascii="Times New Roman" w:hAnsi="Times New Roman" w:eastAsia="仿宋_GB2312" w:cs="Times New Roman"/>
          <w:b/>
          <w:bCs/>
          <w:color w:val="000000"/>
          <w:sz w:val="26"/>
          <w:szCs w:val="26"/>
          <w:lang w:val="en-US" w:eastAsia="zh-CN"/>
        </w:rPr>
        <w:fldChar w:fldCharType="separate"/>
      </w:r>
      <w:r>
        <w:rPr>
          <w:rFonts w:hint="eastAsia" w:eastAsia="仿宋_GB2312" w:cs="Times New Roman"/>
          <w:b/>
          <w:bCs/>
          <w:color w:val="000000"/>
          <w:sz w:val="26"/>
          <w:szCs w:val="26"/>
          <w:lang w:val="en-US" w:eastAsia="zh-CN"/>
        </w:rPr>
        <w:t>陆拾贰万壹仟玖佰</w:t>
      </w:r>
      <w:r>
        <w:rPr>
          <w:rFonts w:hint="eastAsia" w:ascii="Times New Roman" w:hAnsi="Times New Roman" w:eastAsia="仿宋_GB2312" w:cs="Times New Roman"/>
          <w:b/>
          <w:bCs/>
          <w:color w:val="000000"/>
          <w:sz w:val="26"/>
          <w:szCs w:val="26"/>
          <w:lang w:val="en-US" w:eastAsia="zh-CN"/>
        </w:rPr>
        <w:fldChar w:fldCharType="end"/>
      </w:r>
      <w:r>
        <w:rPr>
          <w:rFonts w:hint="default" w:ascii="Times New Roman" w:hAnsi="Times New Roman" w:eastAsia="仿宋_GB2312" w:cs="Times New Roman"/>
          <w:b/>
          <w:bCs/>
          <w:color w:val="000000"/>
          <w:sz w:val="26"/>
          <w:szCs w:val="26"/>
          <w:lang w:val="en-US" w:eastAsia="zh-CN"/>
        </w:rPr>
        <w:t>元整</w:t>
      </w:r>
      <w:r>
        <w:rPr>
          <w:rFonts w:hint="eastAsia" w:ascii="Times New Roman" w:hAnsi="Times New Roman" w:eastAsia="仿宋_GB2312" w:cs="Times New Roman"/>
          <w:b/>
          <w:bCs/>
          <w:color w:val="000000"/>
          <w:sz w:val="26"/>
          <w:szCs w:val="26"/>
          <w:lang w:val="en-US" w:eastAsia="zh-CN"/>
        </w:rPr>
        <w:t>（¥</w:t>
      </w:r>
      <w:r>
        <w:rPr>
          <w:rFonts w:hint="eastAsia" w:eastAsia="仿宋_GB2312" w:cs="Times New Roman"/>
          <w:b/>
          <w:bCs/>
          <w:color w:val="000000"/>
          <w:sz w:val="26"/>
          <w:szCs w:val="26"/>
          <w:lang w:val="en-US" w:eastAsia="zh-CN"/>
        </w:rPr>
        <w:t>62.19</w:t>
      </w:r>
      <w:r>
        <w:rPr>
          <w:rFonts w:hint="eastAsia" w:ascii="Times New Roman" w:hAnsi="Times New Roman" w:eastAsia="仿宋_GB2312" w:cs="Times New Roman"/>
          <w:b/>
          <w:bCs/>
          <w:color w:val="000000"/>
          <w:sz w:val="26"/>
          <w:szCs w:val="26"/>
          <w:lang w:val="en-US" w:eastAsia="zh-CN"/>
        </w:rPr>
        <w:t>万元）</w:t>
      </w:r>
      <w:r>
        <w:rPr>
          <w:rFonts w:hint="eastAsia" w:eastAsia="仿宋_GB2312"/>
          <w:color w:val="000000"/>
          <w:sz w:val="26"/>
          <w:szCs w:val="26"/>
          <w:lang w:val="en-US" w:eastAsia="zh-CN"/>
        </w:rPr>
        <w:t>。详见下表：</w:t>
      </w:r>
    </w:p>
    <w:tbl>
      <w:tblPr>
        <w:tblStyle w:val="2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4"/>
        <w:gridCol w:w="1163"/>
        <w:gridCol w:w="1650"/>
        <w:gridCol w:w="1995"/>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9620" w:type="dxa"/>
            <w:gridSpan w:val="5"/>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680" w:lineRule="exact"/>
              <w:jc w:val="center"/>
              <w:textAlignment w:val="auto"/>
              <w:outlineLvl w:val="9"/>
              <w:rPr>
                <w:rFonts w:hint="eastAsia" w:ascii="仿宋" w:hAnsi="仿宋" w:eastAsia="仿宋" w:cs="仿宋"/>
                <w:color w:val="000000"/>
                <w:sz w:val="28"/>
                <w:szCs w:val="28"/>
                <w:vertAlign w:val="baseline"/>
                <w:lang w:val="en-US" w:eastAsia="zh-CN"/>
              </w:rPr>
            </w:pPr>
            <w:r>
              <w:rPr>
                <w:rFonts w:hint="eastAsia" w:ascii="仿宋" w:hAnsi="仿宋" w:eastAsia="仿宋" w:cs="仿宋"/>
                <w:b/>
                <w:i w:val="0"/>
                <w:color w:val="000000"/>
                <w:kern w:val="0"/>
                <w:sz w:val="28"/>
                <w:szCs w:val="28"/>
                <w:u w:val="none"/>
                <w:lang w:val="en-US" w:eastAsia="zh-CN" w:bidi="ar"/>
              </w:rPr>
              <w:t>房地产估价结果汇总表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9620" w:type="dxa"/>
            <w:gridSpan w:val="5"/>
            <w:tcBorders>
              <w:top w:val="nil"/>
              <w:left w:val="nil"/>
              <w:bottom w:val="single"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680" w:lineRule="exact"/>
              <w:jc w:val="center"/>
              <w:textAlignment w:val="auto"/>
              <w:outlineLvl w:val="9"/>
              <w:rPr>
                <w:rFonts w:hint="eastAsia" w:ascii="仿宋" w:hAnsi="仿宋" w:eastAsia="仿宋" w:cs="仿宋"/>
                <w:color w:val="000000"/>
                <w:sz w:val="28"/>
                <w:szCs w:val="28"/>
                <w:vertAlign w:val="baseline"/>
                <w:lang w:val="en-US" w:eastAsia="zh-CN"/>
              </w:rPr>
            </w:pPr>
            <w:r>
              <w:rPr>
                <w:rFonts w:hint="eastAsia" w:ascii="仿宋" w:hAnsi="仿宋" w:eastAsia="仿宋" w:cs="仿宋"/>
                <w:b/>
                <w:bCs/>
                <w:color w:val="000000"/>
                <w:kern w:val="0"/>
                <w:sz w:val="24"/>
                <w:lang w:val="en-US" w:eastAsia="zh-CN"/>
              </w:rPr>
              <w:t xml:space="preserve">                                                         </w:t>
            </w:r>
            <w:r>
              <w:rPr>
                <w:rFonts w:hint="eastAsia" w:ascii="仿宋" w:hAnsi="仿宋" w:eastAsia="仿宋" w:cs="仿宋"/>
                <w:b/>
                <w:bCs/>
                <w:color w:val="000000"/>
                <w:kern w:val="0"/>
                <w:sz w:val="24"/>
              </w:rPr>
              <w:t>币种：人民币</w:t>
            </w:r>
            <w:r>
              <w:rPr>
                <w:rFonts w:hint="eastAsia" w:ascii="仿宋" w:hAnsi="仿宋" w:eastAsia="仿宋" w:cs="仿宋"/>
                <w:b/>
                <w:bCs/>
                <w:color w:val="000000"/>
                <w:kern w:val="0"/>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jc w:val="center"/>
        </w:trPr>
        <w:tc>
          <w:tcPr>
            <w:tcW w:w="5797" w:type="dxa"/>
            <w:gridSpan w:val="3"/>
            <w:tcBorders>
              <w:top w:val="single" w:color="auto" w:sz="4" w:space="0"/>
            </w:tcBorders>
            <w:noWrap w:val="0"/>
            <w:vAlign w:val="top"/>
            <mc:AlternateContent>
              <mc:Choice Requires="wpsCustomData">
                <wpsCustomData:diagonals>
                  <wpsCustomData:diagonal from="30000" to="10000">
                    <wpsCustomData:border w:val="single" w:color="auto" w:sz="4" w:space="0"/>
                  </wpsCustomData:diagonal>
                </wpsCustomData:diagonals>
              </mc:Choice>
            </mc:AlternateContent>
          </w:tcPr>
          <w:p>
            <w:pPr>
              <w:widowControl/>
              <w:jc w:val="center"/>
              <w:rPr>
                <w:rFonts w:hint="eastAsia" w:ascii="仿宋" w:hAnsi="仿宋" w:eastAsia="仿宋" w:cs="仿宋"/>
                <w:b/>
                <w:bCs/>
                <w:color w:val="000000"/>
                <w:kern w:val="0"/>
                <w:szCs w:val="21"/>
                <w:lang w:val="en-US" w:eastAsia="zh-CN"/>
              </w:rPr>
            </w:pPr>
          </w:p>
          <w:p>
            <w:pPr>
              <w:widowControl/>
              <w:jc w:val="both"/>
              <mc:AlternateContent>
                <mc:Choice Requires="wpsCustomData">
                  <wpsCustomData:diagonalParaType/>
                </mc:Choice>
              </mc:AlternateContent>
              <w:rPr>
                <w:rFonts w:hint="eastAsia"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估价对象及结果</w:t>
            </w:r>
          </w:p>
          <w:p>
            <w:pPr>
              <w:widowControl/>
              <w:jc w:val="center"/>
              <w:rPr>
                <w:rFonts w:hint="eastAsia"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 xml:space="preserve">         估价方法及结果</w:t>
            </w:r>
          </w:p>
          <w:p>
            <w:pPr>
              <w:widowControl/>
              <w:jc w:val="center"/>
              <w:rPr>
                <w:rFonts w:hint="eastAsia" w:ascii="仿宋" w:hAnsi="仿宋" w:eastAsia="仿宋" w:cs="仿宋"/>
                <w:b/>
                <w:bCs/>
                <w:color w:val="000000"/>
                <w:kern w:val="0"/>
                <w:szCs w:val="21"/>
                <w:lang w:val="en-US" w:eastAsia="zh-CN"/>
              </w:rPr>
            </w:pPr>
          </w:p>
          <w:p>
            <w:pPr>
              <w:widowControl/>
              <w:jc w:val="center"/>
              <w:rPr>
                <w:rFonts w:hint="eastAsia" w:ascii="仿宋" w:hAnsi="仿宋" w:eastAsia="仿宋" w:cs="仿宋"/>
                <w:b/>
                <w:bCs/>
                <w:color w:val="000000"/>
                <w:kern w:val="0"/>
                <w:szCs w:val="21"/>
                <w:lang w:val="en-US" w:eastAsia="zh-CN"/>
              </w:rPr>
            </w:pPr>
          </w:p>
        </w:tc>
        <w:tc>
          <w:tcPr>
            <w:tcW w:w="1995" w:type="dxa"/>
            <w:tcBorders>
              <w:top w:val="single" w:color="auto" w:sz="4" w:space="0"/>
            </w:tcBorders>
            <w:noWrap w:val="0"/>
            <w:vAlign w:val="center"/>
          </w:tcPr>
          <w:p>
            <w:pPr>
              <w:widowControl/>
              <w:jc w:val="center"/>
              <w:rPr>
                <w:rFonts w:hint="default"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比较法</w:t>
            </w:r>
          </w:p>
        </w:tc>
        <w:tc>
          <w:tcPr>
            <w:tcW w:w="1828" w:type="dxa"/>
            <w:tcBorders>
              <w:top w:val="single" w:color="auto" w:sz="4" w:space="0"/>
            </w:tcBorders>
            <w:noWrap w:val="0"/>
            <w:vAlign w:val="center"/>
          </w:tcPr>
          <w:p>
            <w:pPr>
              <w:widowControl/>
              <w:jc w:val="center"/>
              <w:rPr>
                <w:rFonts w:hint="eastAsia" w:ascii="仿宋" w:hAnsi="仿宋" w:eastAsia="仿宋" w:cs="仿宋"/>
                <w:b/>
                <w:bCs/>
                <w:color w:val="000000"/>
                <w:kern w:val="0"/>
                <w:szCs w:val="21"/>
                <w:lang w:val="en-US" w:eastAsia="zh-CN"/>
              </w:rPr>
            </w:pPr>
            <w:r>
              <w:rPr>
                <w:rFonts w:hint="eastAsia" w:ascii="仿宋" w:hAnsi="仿宋" w:eastAsia="仿宋" w:cs="仿宋"/>
                <w:b/>
                <w:bCs/>
                <w:color w:val="000000"/>
                <w:kern w:val="0"/>
                <w:szCs w:val="21"/>
                <w:lang w:val="en-US" w:eastAsia="zh-CN"/>
              </w:rPr>
              <w:t>估价结果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2984"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eastAsia" w:eastAsia="楷体" w:cs="Times New Roman"/>
                <w:b/>
                <w:bCs/>
                <w:color w:val="000000"/>
                <w:kern w:val="0"/>
                <w:sz w:val="21"/>
                <w:szCs w:val="21"/>
                <w:lang w:eastAsia="zh-CN" w:bidi="ar"/>
              </w:rPr>
              <w:t>贵州省六盘水市双水新区钟山东路南侧、水城大道西侧卡达凯斯·山水城G幢1单元17层17-03号</w:t>
            </w:r>
          </w:p>
        </w:tc>
        <w:tc>
          <w:tcPr>
            <w:tcW w:w="1163"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建筑面积</w:t>
            </w:r>
            <w:r>
              <w:rPr>
                <w:rFonts w:hint="eastAsia" w:cs="Times New Roman"/>
                <w:b/>
                <w:bCs/>
                <w:color w:val="000000"/>
                <w:sz w:val="21"/>
                <w:szCs w:val="21"/>
                <w:lang w:val="en-US" w:eastAsia="zh-CN"/>
              </w:rPr>
              <w:t>125.72</w:t>
            </w:r>
            <w:r>
              <w:rPr>
                <w:rFonts w:hint="default" w:ascii="Times New Roman" w:hAnsi="Times New Roman" w:eastAsia="仿宋" w:cs="Times New Roman"/>
                <w:b/>
                <w:bCs/>
                <w:color w:val="000000"/>
                <w:kern w:val="0"/>
                <w:sz w:val="21"/>
                <w:szCs w:val="21"/>
                <w:lang w:val="en-US" w:eastAsia="zh-CN"/>
              </w:rPr>
              <w:t>㎡</w:t>
            </w: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总价（万元）</w:t>
            </w:r>
          </w:p>
        </w:tc>
        <w:tc>
          <w:tcPr>
            <w:tcW w:w="199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62.19</w:t>
            </w:r>
          </w:p>
        </w:tc>
        <w:tc>
          <w:tcPr>
            <w:tcW w:w="18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0" w:firstLineChars="0"/>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2984" w:type="dxa"/>
            <w:vMerge w:val="continue"/>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p>
        </w:tc>
        <w:tc>
          <w:tcPr>
            <w:tcW w:w="1163" w:type="dxa"/>
            <w:vMerge w:val="continue"/>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单价（元/㎡）</w:t>
            </w:r>
          </w:p>
        </w:tc>
        <w:tc>
          <w:tcPr>
            <w:tcW w:w="199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5581</w:t>
            </w:r>
          </w:p>
        </w:tc>
        <w:tc>
          <w:tcPr>
            <w:tcW w:w="18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0" w:firstLineChars="0"/>
              <w:jc w:val="center"/>
              <w:textAlignment w:val="auto"/>
              <w:rPr>
                <w:rFonts w:hint="default" w:ascii="Times New Roman" w:hAnsi="Times New Roman" w:eastAsia="仿宋_GB2312" w:cs="Times New Roman"/>
                <w:b/>
                <w:bCs/>
                <w:color w:val="000000"/>
                <w:sz w:val="21"/>
                <w:szCs w:val="21"/>
                <w:lang w:val="en-US" w:eastAsia="zh-CN"/>
              </w:rPr>
            </w:pPr>
            <w:r>
              <w:rPr>
                <w:rFonts w:hint="eastAsia" w:eastAsia="仿宋_GB2312" w:cs="Times New Roman"/>
                <w:b/>
                <w:bCs/>
                <w:color w:val="000000"/>
                <w:sz w:val="21"/>
                <w:szCs w:val="21"/>
                <w:lang w:val="en-US" w:eastAsia="zh-CN"/>
              </w:rPr>
              <w:t>5581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2984"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汇总评估价值</w:t>
            </w:r>
          </w:p>
        </w:tc>
        <w:tc>
          <w:tcPr>
            <w:tcW w:w="1163" w:type="dxa"/>
            <w:vMerge w:val="restart"/>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eastAsia" w:eastAsia="仿宋" w:cs="Times New Roman"/>
                <w:b/>
                <w:bCs/>
                <w:color w:val="000000"/>
                <w:kern w:val="0"/>
                <w:sz w:val="21"/>
                <w:szCs w:val="21"/>
                <w:lang w:val="en-US" w:eastAsia="zh-CN"/>
              </w:rPr>
              <w:t>125.72</w:t>
            </w:r>
            <w:r>
              <w:rPr>
                <w:rFonts w:hint="default" w:ascii="Times New Roman" w:hAnsi="Times New Roman" w:eastAsia="仿宋" w:cs="Times New Roman"/>
                <w:b/>
                <w:bCs/>
                <w:color w:val="000000"/>
                <w:kern w:val="0"/>
                <w:sz w:val="21"/>
                <w:szCs w:val="21"/>
                <w:lang w:val="en-US" w:eastAsia="zh-CN"/>
              </w:rPr>
              <w:t>㎡</w:t>
            </w: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总值(万元）</w:t>
            </w:r>
          </w:p>
        </w:tc>
        <w:tc>
          <w:tcPr>
            <w:tcW w:w="3823" w:type="dxa"/>
            <w:gridSpan w:val="2"/>
            <w:noWrap w:val="0"/>
            <w:vAlign w:val="center"/>
          </w:tcPr>
          <w:p>
            <w:pPr>
              <w:keepNext w:val="0"/>
              <w:keepLines w:val="0"/>
              <w:widowControl/>
              <w:suppressLineNumbers w:val="0"/>
              <w:jc w:val="center"/>
              <w:textAlignment w:val="center"/>
              <w:rPr>
                <w:rFonts w:hint="default" w:ascii="Times New Roman" w:hAnsi="Times New Roman" w:eastAsia="仿宋" w:cs="Times New Roman"/>
                <w:b/>
                <w:bCs/>
                <w:color w:val="000000"/>
                <w:kern w:val="0"/>
                <w:sz w:val="21"/>
                <w:szCs w:val="21"/>
                <w:lang w:val="en-US" w:eastAsia="zh-CN"/>
              </w:rPr>
            </w:pPr>
            <w:r>
              <w:rPr>
                <w:rFonts w:hint="eastAsia" w:eastAsia="仿宋" w:cs="Times New Roman"/>
                <w:b/>
                <w:bCs/>
                <w:color w:val="000000"/>
                <w:kern w:val="0"/>
                <w:sz w:val="21"/>
                <w:szCs w:val="21"/>
                <w:lang w:val="en-US" w:eastAsia="zh-CN"/>
              </w:rPr>
              <w:t>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2984" w:type="dxa"/>
            <w:vMerge w:val="continue"/>
            <w:noWrap w:val="0"/>
            <w:vAlign w:val="top"/>
          </w:tcPr>
          <w:p>
            <w:pPr>
              <w:widowControl/>
              <w:jc w:val="center"/>
              <w:rPr>
                <w:rFonts w:hint="default" w:ascii="Times New Roman" w:hAnsi="Times New Roman" w:eastAsia="仿宋" w:cs="Times New Roman"/>
                <w:b/>
                <w:bCs/>
                <w:color w:val="000000"/>
                <w:kern w:val="0"/>
                <w:sz w:val="21"/>
                <w:szCs w:val="21"/>
                <w:lang w:val="en-US" w:eastAsia="zh-CN"/>
              </w:rPr>
            </w:pPr>
          </w:p>
        </w:tc>
        <w:tc>
          <w:tcPr>
            <w:tcW w:w="1163" w:type="dxa"/>
            <w:vMerge w:val="continue"/>
            <w:noWrap w:val="0"/>
            <w:vAlign w:val="top"/>
          </w:tcPr>
          <w:p>
            <w:pPr>
              <w:widowControl/>
              <w:jc w:val="center"/>
              <w:rPr>
                <w:rFonts w:hint="default" w:ascii="Times New Roman" w:hAnsi="Times New Roman" w:eastAsia="仿宋" w:cs="Times New Roman"/>
                <w:b/>
                <w:bCs/>
                <w:color w:val="000000"/>
                <w:kern w:val="0"/>
                <w:sz w:val="21"/>
                <w:szCs w:val="21"/>
                <w:lang w:val="en-US" w:eastAsia="zh-CN"/>
              </w:rPr>
            </w:pPr>
          </w:p>
        </w:tc>
        <w:tc>
          <w:tcPr>
            <w:tcW w:w="1650" w:type="dxa"/>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大写金额</w:t>
            </w:r>
          </w:p>
        </w:tc>
        <w:tc>
          <w:tcPr>
            <w:tcW w:w="3823" w:type="dxa"/>
            <w:gridSpan w:val="2"/>
            <w:noWrap w:val="0"/>
            <w:vAlign w:val="center"/>
          </w:tcPr>
          <w:p>
            <w:pPr>
              <w:widowControl/>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eastAsia="仿宋" w:cs="Times New Roman"/>
                <w:b/>
                <w:bCs/>
                <w:color w:val="000000"/>
                <w:kern w:val="0"/>
                <w:sz w:val="21"/>
                <w:szCs w:val="21"/>
                <w:lang w:val="en-US" w:eastAsia="zh-CN"/>
              </w:rPr>
              <w:t>人民币</w:t>
            </w:r>
            <w:r>
              <w:rPr>
                <w:rFonts w:hint="eastAsia" w:ascii="Times New Roman" w:hAnsi="Times New Roman" w:eastAsia="仿宋" w:cs="Times New Roman"/>
                <w:b/>
                <w:bCs/>
                <w:color w:val="000000"/>
                <w:kern w:val="0"/>
                <w:sz w:val="21"/>
                <w:szCs w:val="21"/>
                <w:lang w:val="en-US" w:eastAsia="zh-CN"/>
              </w:rPr>
              <w:fldChar w:fldCharType="begin"/>
            </w:r>
            <w:r>
              <w:rPr>
                <w:rFonts w:hint="eastAsia" w:ascii="Times New Roman" w:hAnsi="Times New Roman" w:eastAsia="仿宋" w:cs="Times New Roman"/>
                <w:b/>
                <w:bCs/>
                <w:color w:val="000000"/>
                <w:kern w:val="0"/>
                <w:sz w:val="21"/>
                <w:szCs w:val="21"/>
                <w:lang w:val="en-US" w:eastAsia="zh-CN"/>
              </w:rPr>
              <w:instrText xml:space="preserve"> = 453000 \* CHINESENUM2 \* MERGEFORMAT </w:instrText>
            </w:r>
            <w:r>
              <w:rPr>
                <w:rFonts w:hint="eastAsia" w:ascii="Times New Roman" w:hAnsi="Times New Roman" w:eastAsia="仿宋" w:cs="Times New Roman"/>
                <w:b/>
                <w:bCs/>
                <w:color w:val="000000"/>
                <w:kern w:val="0"/>
                <w:sz w:val="21"/>
                <w:szCs w:val="21"/>
                <w:lang w:val="en-US" w:eastAsia="zh-CN"/>
              </w:rPr>
              <w:fldChar w:fldCharType="separate"/>
            </w:r>
            <w:r>
              <w:rPr>
                <w:rFonts w:hint="eastAsia" w:eastAsia="仿宋" w:cs="Times New Roman"/>
                <w:b/>
                <w:bCs/>
                <w:color w:val="000000"/>
                <w:kern w:val="0"/>
                <w:sz w:val="21"/>
                <w:szCs w:val="21"/>
                <w:lang w:val="en-US" w:eastAsia="zh-CN"/>
              </w:rPr>
              <w:t>陆拾贰万壹仟玖佰</w:t>
            </w:r>
            <w:r>
              <w:rPr>
                <w:rFonts w:hint="eastAsia" w:ascii="Times New Roman" w:hAnsi="Times New Roman" w:eastAsia="仿宋" w:cs="Times New Roman"/>
                <w:b/>
                <w:bCs/>
                <w:color w:val="000000"/>
                <w:kern w:val="0"/>
                <w:sz w:val="21"/>
                <w:szCs w:val="21"/>
                <w:lang w:val="en-US" w:eastAsia="zh-CN"/>
              </w:rPr>
              <w:fldChar w:fldCharType="end"/>
            </w:r>
            <w:r>
              <w:rPr>
                <w:rFonts w:hint="default" w:ascii="Times New Roman" w:hAnsi="Times New Roman" w:eastAsia="仿宋" w:cs="Times New Roman"/>
                <w:b/>
                <w:bCs/>
                <w:color w:val="000000"/>
                <w:kern w:val="0"/>
                <w:sz w:val="21"/>
                <w:szCs w:val="21"/>
                <w:lang w:val="en-US" w:eastAsia="zh-CN"/>
              </w:rPr>
              <w:t>元整</w:t>
            </w:r>
          </w:p>
        </w:tc>
      </w:tr>
    </w:tbl>
    <w:p>
      <w:pPr>
        <w:spacing w:before="312" w:beforeLines="100"/>
        <w:ind w:firstLine="2811" w:firstLineChars="1000"/>
        <w:jc w:val="left"/>
        <w:rPr>
          <w:rFonts w:hint="eastAsia" w:ascii="仿宋" w:hAnsi="仿宋" w:eastAsia="仿宋" w:cs="仿宋"/>
          <w:b/>
          <w:sz w:val="28"/>
          <w:szCs w:val="28"/>
        </w:rPr>
      </w:pPr>
    </w:p>
    <w:p>
      <w:pPr>
        <w:spacing w:before="312" w:beforeLines="100"/>
        <w:ind w:firstLine="2811" w:firstLineChars="1000"/>
        <w:jc w:val="left"/>
        <w:rPr>
          <w:rFonts w:hint="eastAsia" w:ascii="仿宋" w:hAnsi="仿宋" w:eastAsia="仿宋" w:cs="仿宋"/>
          <w:b/>
          <w:sz w:val="28"/>
          <w:szCs w:val="28"/>
        </w:rPr>
      </w:pPr>
      <w:r>
        <w:rPr>
          <w:rFonts w:hint="eastAsia" w:ascii="仿宋" w:hAnsi="仿宋" w:eastAsia="仿宋" w:cs="仿宋"/>
          <w:b/>
          <w:sz w:val="28"/>
          <w:szCs w:val="28"/>
        </w:rPr>
        <w:t>房地产估价机构：贵州昊远房地产土地评估有限公司</w:t>
      </w:r>
    </w:p>
    <w:p>
      <w:pPr>
        <w:keepNext w:val="0"/>
        <w:keepLines w:val="0"/>
        <w:pageBreakBefore w:val="0"/>
        <w:widowControl w:val="0"/>
        <w:kinsoku/>
        <w:wordWrap/>
        <w:overflowPunct/>
        <w:topLinePunct w:val="0"/>
        <w:autoSpaceDE/>
        <w:autoSpaceDN/>
        <w:bidi w:val="0"/>
        <w:adjustRightInd/>
        <w:snapToGrid/>
        <w:spacing w:line="680" w:lineRule="exact"/>
        <w:ind w:firstLine="6465" w:firstLineChars="2300"/>
        <w:textAlignment w:val="auto"/>
        <w:outlineLvl w:val="9"/>
        <w:rPr>
          <w:rFonts w:hint="eastAsia" w:ascii="楷体" w:hAnsi="楷体" w:eastAsia="楷体" w:cs="楷体"/>
          <w:sz w:val="28"/>
          <w:szCs w:val="28"/>
          <w:lang w:val="en-US" w:eastAsia="zh-CN"/>
        </w:rPr>
      </w:pPr>
      <w:r>
        <w:rPr>
          <w:rFonts w:hint="eastAsia" w:eastAsia="仿宋_GB2312"/>
          <w:b/>
          <w:bCs/>
          <w:color w:val="000000"/>
          <w:sz w:val="28"/>
          <w:szCs w:val="28"/>
          <w:lang w:val="en-US" w:eastAsia="zh-CN"/>
        </w:rPr>
        <w:t>2022年05月11日</w:t>
      </w:r>
    </w:p>
    <w:p>
      <w:pPr>
        <w:spacing w:before="312" w:beforeLines="100"/>
        <w:jc w:val="left"/>
        <w:rPr>
          <w:rFonts w:hint="eastAsia" w:ascii="仿宋" w:hAnsi="仿宋" w:eastAsia="仿宋" w:cs="仿宋"/>
          <w:b/>
          <w:sz w:val="28"/>
          <w:szCs w:val="28"/>
        </w:rPr>
      </w:pPr>
    </w:p>
    <w:p>
      <w:pPr>
        <w:spacing w:before="312" w:beforeLines="100"/>
        <w:jc w:val="left"/>
        <w:rPr>
          <w:rFonts w:hint="default" w:ascii="仿宋" w:hAnsi="仿宋" w:eastAsia="仿宋" w:cs="仿宋"/>
          <w:b/>
          <w:sz w:val="28"/>
          <w:szCs w:val="28"/>
          <w:lang w:val="en-US" w:eastAsia="zh-CN"/>
        </w:rPr>
      </w:pPr>
      <w:r>
        <w:rPr>
          <w:rFonts w:hint="eastAsia" w:ascii="仿宋" w:hAnsi="仿宋" w:eastAsia="仿宋" w:cs="仿宋"/>
          <w:b/>
          <w:sz w:val="28"/>
          <w:szCs w:val="28"/>
        </w:rPr>
        <w:t>注册</w:t>
      </w:r>
      <w:r>
        <w:rPr>
          <w:rFonts w:hint="eastAsia" w:ascii="仿宋" w:hAnsi="仿宋" w:eastAsia="仿宋" w:cs="仿宋"/>
          <w:b/>
          <w:sz w:val="28"/>
          <w:szCs w:val="28"/>
          <w:lang w:val="en-US" w:eastAsia="zh-CN"/>
        </w:rPr>
        <w:t>房地产估价师</w:t>
      </w:r>
    </w:p>
    <w:tbl>
      <w:tblPr>
        <w:tblStyle w:val="23"/>
        <w:tblW w:w="0" w:type="auto"/>
        <w:jc w:val="center"/>
        <w:tblLayout w:type="fixed"/>
        <w:tblCellMar>
          <w:top w:w="0" w:type="dxa"/>
          <w:left w:w="108" w:type="dxa"/>
          <w:bottom w:w="0" w:type="dxa"/>
          <w:right w:w="108" w:type="dxa"/>
        </w:tblCellMar>
      </w:tblPr>
      <w:tblGrid>
        <w:gridCol w:w="2238"/>
        <w:gridCol w:w="2480"/>
        <w:gridCol w:w="2274"/>
        <w:gridCol w:w="2636"/>
      </w:tblGrid>
      <w:tr>
        <w:trPr>
          <w:trHeight w:val="768" w:hRule="atLeast"/>
          <w:jc w:val="center"/>
        </w:trPr>
        <w:tc>
          <w:tcPr>
            <w:tcW w:w="223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姓   名</w:t>
            </w:r>
          </w:p>
        </w:tc>
        <w:tc>
          <w:tcPr>
            <w:tcW w:w="248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227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c>
          <w:tcPr>
            <w:tcW w:w="263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签名日期</w:t>
            </w:r>
          </w:p>
        </w:tc>
      </w:tr>
      <w:tr>
        <w:trPr>
          <w:trHeight w:val="768" w:hRule="atLeast"/>
          <w:jc w:val="center"/>
        </w:trPr>
        <w:tc>
          <w:tcPr>
            <w:tcW w:w="223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248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2274"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　</w:t>
            </w:r>
          </w:p>
        </w:tc>
        <w:tc>
          <w:tcPr>
            <w:tcW w:w="263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p>
        </w:tc>
      </w:tr>
      <w:tr>
        <w:trPr>
          <w:trHeight w:val="814" w:hRule="atLeast"/>
          <w:jc w:val="center"/>
        </w:trPr>
        <w:tc>
          <w:tcPr>
            <w:tcW w:w="223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248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2274"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　</w:t>
            </w:r>
          </w:p>
        </w:tc>
        <w:tc>
          <w:tcPr>
            <w:tcW w:w="263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p>
        </w:tc>
      </w:tr>
    </w:tbl>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bookmarkStart w:id="132" w:name="_Toc28412"/>
      <w:bookmarkStart w:id="133" w:name="_Toc6478"/>
      <w:bookmarkStart w:id="134" w:name="_Toc24116"/>
      <w:bookmarkStart w:id="135" w:name="_Toc19408"/>
    </w:p>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p>
    <w:p>
      <w:pPr>
        <w:rPr>
          <w:rFonts w:hint="eastAsia" w:ascii="仿宋" w:hAnsi="仿宋" w:eastAsia="仿宋" w:cs="仿宋"/>
          <w:b/>
          <w:bCs/>
          <w:kern w:val="0"/>
          <w:sz w:val="44"/>
          <w:szCs w:val="44"/>
        </w:rPr>
      </w:pPr>
      <w:r>
        <w:rPr>
          <w:rFonts w:hint="eastAsia" w:ascii="仿宋" w:hAnsi="仿宋" w:eastAsia="仿宋" w:cs="仿宋"/>
          <w:b/>
          <w:bCs/>
          <w:kern w:val="0"/>
          <w:sz w:val="44"/>
          <w:szCs w:val="44"/>
        </w:rPr>
        <w:br w:type="page"/>
      </w:r>
    </w:p>
    <w:bookmarkEnd w:id="132"/>
    <w:bookmarkEnd w:id="133"/>
    <w:bookmarkEnd w:id="134"/>
    <w:bookmarkEnd w:id="135"/>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p>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bookmarkStart w:id="136" w:name="_Toc4315"/>
      <w:r>
        <w:rPr>
          <w:rFonts w:hint="eastAsia" w:ascii="仿宋" w:hAnsi="仿宋" w:eastAsia="仿宋" w:cs="仿宋"/>
          <w:b/>
          <w:bCs/>
          <w:kern w:val="0"/>
          <w:sz w:val="44"/>
          <w:szCs w:val="44"/>
        </w:rPr>
        <w:t>附     件</w:t>
      </w:r>
      <w:bookmarkEnd w:id="136"/>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color w:val="auto"/>
          <w:sz w:val="28"/>
          <w:szCs w:val="28"/>
        </w:rPr>
      </w:pPr>
    </w:p>
    <w:p>
      <w:pPr>
        <w:keepNext w:val="0"/>
        <w:keepLines w:val="0"/>
        <w:pageBreakBefore w:val="0"/>
        <w:widowControl w:val="0"/>
        <w:numPr>
          <w:ilvl w:val="0"/>
          <w:numId w:val="3"/>
        </w:numPr>
        <w:kinsoku/>
        <w:wordWrap/>
        <w:overflowPunct/>
        <w:topLinePunct w:val="0"/>
        <w:autoSpaceDE/>
        <w:autoSpaceDN/>
        <w:bidi w:val="0"/>
        <w:adjustRightInd/>
        <w:snapToGrid/>
        <w:spacing w:line="680" w:lineRule="exact"/>
        <w:ind w:left="1119" w:leftChars="266" w:hanging="560" w:hanging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估价对象现状照片及位置图复印件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二、《贵州省六盘水市钟山区人民法院委托书》复印件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三、《贵州省不动产登记查询结果》复印件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四、估价机构营业执照复印件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五、估价机构房地产估价备案证书复印件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六、房地产估价师注册证书复印件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p>
      <w:pPr>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br w:type="page"/>
      </w:r>
    </w:p>
    <w:p>
      <w:pPr>
        <w:jc w:val="center"/>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估价对象现状照片</w:t>
      </w: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265680" cy="3356610"/>
                  <wp:effectExtent l="0" t="0" r="1270" b="15240"/>
                  <wp:docPr id="3" name="图片 450" descr="C:/Users/lenovo/AppData/Local/Temp/picturecompress_20211227172815/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50" descr="C:/Users/lenovo/AppData/Local/Temp/picturecompress_20211227172815/output_3.jpgoutput_3"/>
                          <pic:cNvPicPr>
                            <a:picLocks noChangeAspect="1"/>
                          </pic:cNvPicPr>
                        </pic:nvPicPr>
                        <pic:blipFill>
                          <a:blip r:embed="rId10"/>
                          <a:srcRect/>
                          <a:stretch>
                            <a:fillRect/>
                          </a:stretch>
                        </pic:blipFill>
                        <pic:spPr>
                          <a:xfrm>
                            <a:off x="0" y="0"/>
                            <a:ext cx="2265680" cy="3356610"/>
                          </a:xfrm>
                          <a:prstGeom prst="rect">
                            <a:avLst/>
                          </a:prstGeom>
                          <a:noFill/>
                          <a:ln>
                            <a:noFill/>
                          </a:ln>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302510" cy="3411855"/>
                  <wp:effectExtent l="0" t="0" r="2540" b="17145"/>
                  <wp:docPr id="4" name="图片 451" descr="C:/Users/lenovo/AppData/Local/Temp/picturecompress_20211227172815/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51" descr="C:/Users/lenovo/AppData/Local/Temp/picturecompress_20211227172815/output_4.jpgoutput_4"/>
                          <pic:cNvPicPr>
                            <a:picLocks noChangeAspect="1"/>
                          </pic:cNvPicPr>
                        </pic:nvPicPr>
                        <pic:blipFill>
                          <a:blip r:embed="rId11"/>
                          <a:srcRect/>
                          <a:stretch>
                            <a:fillRect/>
                          </a:stretch>
                        </pic:blipFill>
                        <pic:spPr>
                          <a:xfrm>
                            <a:off x="0" y="0"/>
                            <a:ext cx="2302510" cy="3411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估价对象楼栋</w:t>
            </w:r>
          </w:p>
        </w:tc>
        <w:tc>
          <w:tcPr>
            <w:tcW w:w="4976" w:type="dxa"/>
            <w:tcBorders>
              <w:top w:val="nil"/>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估价对象楼栋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6"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173605" cy="3220720"/>
                  <wp:effectExtent l="0" t="0" r="17145" b="17780"/>
                  <wp:docPr id="5" name="图片 452" descr="C:/Users/lenovo/AppData/Local/Temp/picturecompress_20211227172815/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52" descr="C:/Users/lenovo/AppData/Local/Temp/picturecompress_20211227172815/output_5.jpgoutput_5"/>
                          <pic:cNvPicPr>
                            <a:picLocks noChangeAspect="1"/>
                          </pic:cNvPicPr>
                        </pic:nvPicPr>
                        <pic:blipFill>
                          <a:blip r:embed="rId12"/>
                          <a:srcRect/>
                          <a:stretch>
                            <a:fillRect/>
                          </a:stretch>
                        </pic:blipFill>
                        <pic:spPr>
                          <a:xfrm>
                            <a:off x="0" y="0"/>
                            <a:ext cx="2173605" cy="3220720"/>
                          </a:xfrm>
                          <a:prstGeom prst="rect">
                            <a:avLst/>
                          </a:prstGeom>
                          <a:noFill/>
                          <a:ln>
                            <a:noFill/>
                          </a:ln>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147570" cy="3181985"/>
                  <wp:effectExtent l="0" t="0" r="5080" b="18415"/>
                  <wp:docPr id="6" name="图片 453" descr="C:/Users/lenovo/AppData/Local/Temp/picturecompress_20211227172815/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3" descr="C:/Users/lenovo/AppData/Local/Temp/picturecompress_20211227172815/output_6.jpgoutput_6"/>
                          <pic:cNvPicPr>
                            <a:picLocks noChangeAspect="1"/>
                          </pic:cNvPicPr>
                        </pic:nvPicPr>
                        <pic:blipFill>
                          <a:blip r:embed="rId13"/>
                          <a:srcRect/>
                          <a:stretch>
                            <a:fillRect/>
                          </a:stretch>
                        </pic:blipFill>
                        <pic:spPr>
                          <a:xfrm>
                            <a:off x="0" y="0"/>
                            <a:ext cx="2147570" cy="31819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7" w:hRule="atLeast"/>
        </w:trPr>
        <w:tc>
          <w:tcPr>
            <w:tcW w:w="4683" w:type="dxa"/>
            <w:tcBorders>
              <w:top w:val="single" w:color="auto" w:sz="4" w:space="0"/>
            </w:tcBorders>
            <w:noWrap w:val="0"/>
            <w:vAlign w:val="center"/>
          </w:tcPr>
          <w:p>
            <w:pPr>
              <w:jc w:val="center"/>
              <w:rPr>
                <w:rFonts w:hint="eastAsia" w:ascii="楷体" w:hAnsi="楷体" w:eastAsia="楷体"/>
              </w:rPr>
            </w:pPr>
            <w:r>
              <w:rPr>
                <w:rFonts w:hint="eastAsia" w:ascii="楷体" w:hAnsi="楷体" w:eastAsia="楷体"/>
                <w:lang w:val="en-US" w:eastAsia="zh-CN"/>
              </w:rPr>
              <w:t>估价对象入户门</w:t>
            </w:r>
          </w:p>
        </w:tc>
        <w:tc>
          <w:tcPr>
            <w:tcW w:w="4976" w:type="dxa"/>
            <w:tcBorders>
              <w:top w:val="single" w:color="auto" w:sz="4" w:space="0"/>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244090" cy="3324860"/>
                  <wp:effectExtent l="0" t="0" r="3810" b="8890"/>
                  <wp:docPr id="7" name="图片 454" descr="C:/Users/lenovo/AppData/Local/Temp/picturecompress_20211227172815/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4" descr="C:/Users/lenovo/AppData/Local/Temp/picturecompress_20211227172815/output_7.jpgoutput_7"/>
                          <pic:cNvPicPr>
                            <a:picLocks noChangeAspect="1"/>
                          </pic:cNvPicPr>
                        </pic:nvPicPr>
                        <pic:blipFill>
                          <a:blip r:embed="rId14"/>
                          <a:srcRect/>
                          <a:stretch>
                            <a:fillRect/>
                          </a:stretch>
                        </pic:blipFill>
                        <pic:spPr>
                          <a:xfrm>
                            <a:off x="0" y="0"/>
                            <a:ext cx="2244090" cy="3324860"/>
                          </a:xfrm>
                          <a:prstGeom prst="rect">
                            <a:avLst/>
                          </a:prstGeom>
                          <a:noFill/>
                          <a:ln>
                            <a:noFill/>
                          </a:ln>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218690" cy="3287395"/>
                  <wp:effectExtent l="0" t="0" r="10160" b="8255"/>
                  <wp:docPr id="8" name="图片 455" descr="C:/Users/lenovo/AppData/Local/Temp/picturecompress_20211227172815/output_8.jp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5" descr="C:/Users/lenovo/AppData/Local/Temp/picturecompress_20211227172815/output_8.jpgoutput_8"/>
                          <pic:cNvPicPr>
                            <a:picLocks noChangeAspect="1"/>
                          </pic:cNvPicPr>
                        </pic:nvPicPr>
                        <pic:blipFill>
                          <a:blip r:embed="rId15"/>
                          <a:srcRect/>
                          <a:stretch>
                            <a:fillRect/>
                          </a:stretch>
                        </pic:blipFill>
                        <pic:spPr>
                          <a:xfrm>
                            <a:off x="0" y="0"/>
                            <a:ext cx="2218690" cy="32873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2"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062480" cy="3056255"/>
                  <wp:effectExtent l="0" t="0" r="13970" b="10795"/>
                  <wp:docPr id="9" name="图片 456" descr="C:/Users/lenovo/AppData/Local/Temp/picturecompress_20211227172815/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56" descr="C:/Users/lenovo/AppData/Local/Temp/picturecompress_20211227172815/output_9.jpgoutput_9"/>
                          <pic:cNvPicPr>
                            <a:picLocks noChangeAspect="1"/>
                          </pic:cNvPicPr>
                        </pic:nvPicPr>
                        <pic:blipFill>
                          <a:blip r:embed="rId16"/>
                          <a:srcRect/>
                          <a:stretch>
                            <a:fillRect/>
                          </a:stretch>
                        </pic:blipFill>
                        <pic:spPr>
                          <a:xfrm>
                            <a:off x="0" y="0"/>
                            <a:ext cx="2062480" cy="3056255"/>
                          </a:xfrm>
                          <a:prstGeom prst="rect">
                            <a:avLst/>
                          </a:prstGeom>
                          <a:noFill/>
                          <a:ln>
                            <a:noFill/>
                          </a:ln>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1999615" cy="2962910"/>
                  <wp:effectExtent l="0" t="0" r="635" b="8890"/>
                  <wp:docPr id="10" name="图片 457" descr="C:/Users/lenovo/AppData/Local/Temp/picturecompress_20211227172815/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7" descr="C:/Users/lenovo/AppData/Local/Temp/picturecompress_20211227172815/output_10.jpgoutput_10"/>
                          <pic:cNvPicPr>
                            <a:picLocks noChangeAspect="1"/>
                          </pic:cNvPicPr>
                        </pic:nvPicPr>
                        <pic:blipFill>
                          <a:blip r:embed="rId17"/>
                          <a:srcRect/>
                          <a:stretch>
                            <a:fillRect/>
                          </a:stretch>
                        </pic:blipFill>
                        <pic:spPr>
                          <a:xfrm>
                            <a:off x="0" y="0"/>
                            <a:ext cx="1999615" cy="29629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9"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231390" cy="3306445"/>
                  <wp:effectExtent l="0" t="0" r="16510" b="8255"/>
                  <wp:docPr id="11" name="图片 458" descr="C:/Users/lenovo/AppData/Local/Temp/picturecompress_20211227172815/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58" descr="C:/Users/lenovo/AppData/Local/Temp/picturecompress_20211227172815/output_11.jpgoutput_11"/>
                          <pic:cNvPicPr>
                            <a:picLocks noChangeAspect="1"/>
                          </pic:cNvPicPr>
                        </pic:nvPicPr>
                        <pic:blipFill>
                          <a:blip r:embed="rId18"/>
                          <a:srcRect/>
                          <a:stretch>
                            <a:fillRect/>
                          </a:stretch>
                        </pic:blipFill>
                        <pic:spPr>
                          <a:xfrm>
                            <a:off x="0" y="0"/>
                            <a:ext cx="2231390" cy="3306445"/>
                          </a:xfrm>
                          <a:prstGeom prst="rect">
                            <a:avLst/>
                          </a:prstGeom>
                          <a:noFill/>
                          <a:ln>
                            <a:noFill/>
                          </a:ln>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242185" cy="3323590"/>
                  <wp:effectExtent l="0" t="0" r="5715" b="10160"/>
                  <wp:docPr id="12" name="图片 459" descr="C:/Users/lenovo/AppData/Local/Temp/picturecompress_20211227172815/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59" descr="C:/Users/lenovo/AppData/Local/Temp/picturecompress_20211227172815/output_12.jpgoutput_12"/>
                          <pic:cNvPicPr>
                            <a:picLocks noChangeAspect="1"/>
                          </pic:cNvPicPr>
                        </pic:nvPicPr>
                        <pic:blipFill>
                          <a:blip r:embed="rId19"/>
                          <a:srcRect/>
                          <a:stretch>
                            <a:fillRect/>
                          </a:stretch>
                        </pic:blipFill>
                        <pic:spPr>
                          <a:xfrm>
                            <a:off x="0" y="0"/>
                            <a:ext cx="2242185" cy="3323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8"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033905" cy="3013710"/>
                  <wp:effectExtent l="0" t="0" r="4445" b="15240"/>
                  <wp:docPr id="13" name="图片 460" descr="C:/Users/lenovo/AppData/Local/Temp/picturecompress_20211227172815/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60" descr="C:/Users/lenovo/AppData/Local/Temp/picturecompress_20211227172815/output_13.jpgoutput_13"/>
                          <pic:cNvPicPr>
                            <a:picLocks noChangeAspect="1"/>
                          </pic:cNvPicPr>
                        </pic:nvPicPr>
                        <pic:blipFill>
                          <a:blip r:embed="rId20"/>
                          <a:srcRect/>
                          <a:stretch>
                            <a:fillRect/>
                          </a:stretch>
                        </pic:blipFill>
                        <pic:spPr>
                          <a:xfrm>
                            <a:off x="0" y="0"/>
                            <a:ext cx="2033905" cy="3013710"/>
                          </a:xfrm>
                          <a:prstGeom prst="rect">
                            <a:avLst/>
                          </a:prstGeom>
                          <a:noFill/>
                          <a:ln>
                            <a:noFill/>
                          </a:ln>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018665" cy="2991485"/>
                  <wp:effectExtent l="0" t="0" r="635" b="18415"/>
                  <wp:docPr id="14" name="图片 461" descr="C:/Users/lenovo/AppData/Local/Temp/picturecompress_20211227172815/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1" descr="C:/Users/lenovo/AppData/Local/Temp/picturecompress_20211227172815/output_14.jpgoutput_14"/>
                          <pic:cNvPicPr>
                            <a:picLocks noChangeAspect="1"/>
                          </pic:cNvPicPr>
                        </pic:nvPicPr>
                        <pic:blipFill>
                          <a:blip r:embed="rId21"/>
                          <a:srcRect/>
                          <a:stretch>
                            <a:fillRect/>
                          </a:stretch>
                        </pic:blipFill>
                        <pic:spPr>
                          <a:xfrm>
                            <a:off x="0" y="0"/>
                            <a:ext cx="2018665" cy="29914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479040" cy="3305175"/>
                  <wp:effectExtent l="0" t="0" r="16510" b="9525"/>
                  <wp:docPr id="15" name="图片 458" descr="C:/Users/lenovo/AppData/Local/Temp/picturecompress_20211227172815/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58" descr="C:/Users/lenovo/AppData/Local/Temp/picturecompress_20211227172815/output_15.jpgoutput_15"/>
                          <pic:cNvPicPr>
                            <a:picLocks noChangeAspect="1"/>
                          </pic:cNvPicPr>
                        </pic:nvPicPr>
                        <pic:blipFill>
                          <a:blip r:embed="rId22"/>
                          <a:srcRect/>
                          <a:stretch>
                            <a:fillRect/>
                          </a:stretch>
                        </pic:blipFill>
                        <pic:spPr>
                          <a:xfrm>
                            <a:off x="0" y="0"/>
                            <a:ext cx="2479040" cy="3305175"/>
                          </a:xfrm>
                          <a:prstGeom prst="rect">
                            <a:avLst/>
                          </a:prstGeom>
                          <a:noFill/>
                          <a:ln>
                            <a:noFill/>
                          </a:ln>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191385" cy="3247390"/>
                  <wp:effectExtent l="0" t="0" r="18415" b="10160"/>
                  <wp:docPr id="17" name="图片 459" descr="C:/Users/lenovo/AppData/Local/Temp/picturecompress_20211227172815/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59" descr="C:/Users/lenovo/AppData/Local/Temp/picturecompress_20211227172815/output_16.jpgoutput_16"/>
                          <pic:cNvPicPr>
                            <a:picLocks noChangeAspect="1"/>
                          </pic:cNvPicPr>
                        </pic:nvPicPr>
                        <pic:blipFill>
                          <a:blip r:embed="rId23"/>
                          <a:srcRect/>
                          <a:stretch>
                            <a:fillRect/>
                          </a:stretch>
                        </pic:blipFill>
                        <pic:spPr>
                          <a:xfrm>
                            <a:off x="0" y="0"/>
                            <a:ext cx="2191385" cy="32473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8"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29535" cy="1774825"/>
                  <wp:effectExtent l="0" t="0" r="18415" b="15875"/>
                  <wp:docPr id="18" name="图片 460" descr="C:/Users/lenovo/AppData/Local/Temp/picturecompress_20211227172815/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0" descr="C:/Users/lenovo/AppData/Local/Temp/picturecompress_20211227172815/output_17.jpgoutput_17"/>
                          <pic:cNvPicPr>
                            <a:picLocks noChangeAspect="1"/>
                          </pic:cNvPicPr>
                        </pic:nvPicPr>
                        <pic:blipFill>
                          <a:blip r:embed="rId24"/>
                          <a:srcRect/>
                          <a:stretch>
                            <a:fillRect/>
                          </a:stretch>
                        </pic:blipFill>
                        <pic:spPr>
                          <a:xfrm>
                            <a:off x="0" y="0"/>
                            <a:ext cx="2629535" cy="1774825"/>
                          </a:xfrm>
                          <a:prstGeom prst="rect">
                            <a:avLst/>
                          </a:prstGeom>
                          <a:noFill/>
                          <a:ln>
                            <a:noFill/>
                          </a:ln>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539365" cy="1713865"/>
                  <wp:effectExtent l="0" t="0" r="13335" b="635"/>
                  <wp:docPr id="24" name="图片 461" descr="C:/Users/lenovo/AppData/Local/Temp/picturecompress_20211227172815/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1" descr="C:/Users/lenovo/AppData/Local/Temp/picturecompress_20211227172815/output_18.jpgoutput_18"/>
                          <pic:cNvPicPr>
                            <a:picLocks noChangeAspect="1"/>
                          </pic:cNvPicPr>
                        </pic:nvPicPr>
                        <pic:blipFill>
                          <a:blip r:embed="rId25"/>
                          <a:srcRect/>
                          <a:stretch>
                            <a:fillRect/>
                          </a:stretch>
                        </pic:blipFill>
                        <pic:spPr>
                          <a:xfrm>
                            <a:off x="0" y="0"/>
                            <a:ext cx="2539365" cy="17138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估价对象周边</w:t>
            </w:r>
          </w:p>
        </w:tc>
        <w:tc>
          <w:tcPr>
            <w:tcW w:w="4976" w:type="dxa"/>
            <w:tcBorders>
              <w:top w:val="single" w:color="auto" w:sz="4" w:space="0"/>
            </w:tcBorders>
            <w:noWrap w:val="0"/>
            <w:vAlign w:val="center"/>
          </w:tcPr>
          <w:p>
            <w:pPr>
              <w:jc w:val="center"/>
              <w:rPr>
                <w:rFonts w:hint="eastAsia" w:ascii="楷体" w:hAnsi="楷体" w:eastAsia="楷体"/>
              </w:rPr>
            </w:pPr>
            <w:r>
              <w:rPr>
                <w:rFonts w:hint="eastAsia" w:ascii="楷体" w:hAnsi="楷体" w:eastAsia="楷体"/>
                <w:lang w:val="en-US" w:eastAsia="zh-CN"/>
              </w:rPr>
              <w:t>估价对象周边</w:t>
            </w:r>
          </w:p>
        </w:tc>
      </w:tr>
    </w:tbl>
    <w:p>
      <w:pPr>
        <w:jc w:val="both"/>
        <w:rPr>
          <w:rFonts w:hint="eastAsia" w:ascii="仿宋" w:hAnsi="仿宋" w:eastAsia="仿宋" w:cs="仿宋"/>
          <w:b/>
          <w:bCs/>
          <w:color w:val="000000"/>
          <w:kern w:val="0"/>
          <w:sz w:val="28"/>
          <w:szCs w:val="28"/>
          <w:lang w:val="en-US" w:eastAsia="zh-CN"/>
        </w:rPr>
      </w:pPr>
    </w:p>
    <w:p>
      <w:pPr>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br w:type="page"/>
      </w:r>
    </w:p>
    <w:p>
      <w:pPr>
        <w:jc w:val="center"/>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估价对象位置图</w:t>
      </w:r>
    </w:p>
    <w:p>
      <w:pPr>
        <w:jc w:val="center"/>
        <w:rPr>
          <w:rFonts w:hint="eastAsia" w:ascii="仿宋" w:hAnsi="仿宋" w:eastAsia="仿宋" w:cs="仿宋"/>
          <w:b/>
          <w:bCs/>
          <w:color w:val="000000"/>
          <w:kern w:val="0"/>
          <w:sz w:val="28"/>
          <w:szCs w:val="28"/>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2613025</wp:posOffset>
                </wp:positionH>
                <wp:positionV relativeFrom="paragraph">
                  <wp:posOffset>3533140</wp:posOffset>
                </wp:positionV>
                <wp:extent cx="182245" cy="186690"/>
                <wp:effectExtent l="7620" t="7620" r="19685" b="15240"/>
                <wp:wrapNone/>
                <wp:docPr id="1" name="椭圆 36"/>
                <wp:cNvGraphicFramePr/>
                <a:graphic xmlns:a="http://schemas.openxmlformats.org/drawingml/2006/main">
                  <a:graphicData uri="http://schemas.microsoft.com/office/word/2010/wordprocessingShape">
                    <wps:wsp>
                      <wps:cNvSpPr/>
                      <wps:spPr>
                        <a:xfrm>
                          <a:off x="0" y="0"/>
                          <a:ext cx="182245" cy="186690"/>
                        </a:xfrm>
                        <a:prstGeom prst="ellipse">
                          <a:avLst/>
                        </a:prstGeom>
                        <a:solidFill>
                          <a:srgbClr val="000000"/>
                        </a:solidFill>
                        <a:ln w="15875" cap="flat" cmpd="sng">
                          <a:solidFill>
                            <a:srgbClr val="000000"/>
                          </a:solidFill>
                          <a:prstDash val="solid"/>
                          <a:headEnd type="none" w="med" len="med"/>
                          <a:tailEnd type="none" w="med" len="med"/>
                        </a:ln>
                      </wps:spPr>
                      <wps:txbx>
                        <w:txbxContent>
                          <w:p/>
                        </w:txbxContent>
                      </wps:txbx>
                      <wps:bodyPr wrap="square" upright="1"/>
                    </wps:wsp>
                  </a:graphicData>
                </a:graphic>
              </wp:anchor>
            </w:drawing>
          </mc:Choice>
          <mc:Fallback>
            <w:pict>
              <v:shape id="椭圆 36" o:spid="_x0000_s1026" o:spt="3" type="#_x0000_t3" style="position:absolute;left:0pt;margin-left:205.75pt;margin-top:278.2pt;height:14.7pt;width:14.35pt;z-index:251659264;mso-width-relative:page;mso-height-relative:page;" fillcolor="#000000" filled="t" stroked="t" coordsize="21600,21600" o:gfxdata="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5fy1+2QAAAAsB&#10;AAAPAAAAAAAAAAEAIAAAADgAAABkcnMvZG93bnJldi54bWxQSwECFAAUAAAACACHTuJAVVRK7gQC&#10;AAAxBAAADgAAAAAAAAABACAAAAA+AQAAZHJzL2Uyb0RvYy54bWxQSwUGAAAAAAYABgBZAQAAtAUA&#10;AAAA&#10;">
                <v:fill on="t" focussize="0,0"/>
                <v:stroke weight="1.25pt" color="#000000" joinstyle="round"/>
                <v:imagedata o:title=""/>
                <o:lock v:ext="edit" aspectratio="f"/>
                <v:textbox>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2704465</wp:posOffset>
                </wp:positionH>
                <wp:positionV relativeFrom="paragraph">
                  <wp:posOffset>3719830</wp:posOffset>
                </wp:positionV>
                <wp:extent cx="680720" cy="3933190"/>
                <wp:effectExtent l="36195" t="0" r="26035" b="10160"/>
                <wp:wrapNone/>
                <wp:docPr id="2" name="直线 35"/>
                <wp:cNvGraphicFramePr/>
                <a:graphic xmlns:a="http://schemas.openxmlformats.org/drawingml/2006/main">
                  <a:graphicData uri="http://schemas.microsoft.com/office/word/2010/wordprocessingShape">
                    <wps:wsp>
                      <wps:cNvCnPr>
                        <a:endCxn id="1" idx="4"/>
                      </wps:cNvCnPr>
                      <wps:spPr>
                        <a:xfrm flipH="1" flipV="1">
                          <a:off x="0" y="0"/>
                          <a:ext cx="680720" cy="393319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直线 35" o:spid="_x0000_s1026" o:spt="20" style="position:absolute;left:0pt;flip:x y;margin-left:212.95pt;margin-top:292.9pt;height:309.7pt;width:53.6pt;z-index:251660288;mso-width-relative:page;mso-height-relative:page;" filled="f" stroked="t" coordsize="21600,21600" o:gfxdata="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acw692QAAAAwBAAAPAAAAAAAAAAEAIAAAADgAAABkcnMvZG93bnJldi54bWxQSwECFAAUAAAA&#10;CACHTuJAVUGTLBACAAAeBAAADgAAAAAAAAABACAAAAA+AQAAZHJzL2Uyb0RvYy54bWxQSwUGAAAA&#10;AAYABgBZAQAAwAUAAAAA&#10;">
                <v:fill on="f" focussize="0,0"/>
                <v:stroke weight="1.25pt" color="#000000" joinstyle="round" endarrow="open"/>
                <v:imagedata o:title=""/>
                <o:lock v:ext="edit" aspectratio="f"/>
              </v:line>
            </w:pict>
          </mc:Fallback>
        </mc:AlternateContent>
      </w:r>
      <w:r>
        <w:rPr>
          <w:rFonts w:hint="eastAsia" w:ascii="仿宋" w:hAnsi="仿宋" w:eastAsia="仿宋" w:cs="仿宋"/>
          <w:b/>
          <w:bCs/>
          <w:color w:val="000000"/>
          <w:kern w:val="0"/>
          <w:sz w:val="28"/>
          <w:szCs w:val="28"/>
          <w:lang w:val="en-US" w:eastAsia="zh-CN"/>
        </w:rPr>
        <w:drawing>
          <wp:inline distT="0" distB="0" distL="114300" distR="114300">
            <wp:extent cx="3220720" cy="7086600"/>
            <wp:effectExtent l="0" t="0" r="17780" b="0"/>
            <wp:docPr id="19" name="图片 467" descr="C:/Users/lenovo/AppData/Local/Temp/picturecompress_20211227172815/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67" descr="C:/Users/lenovo/AppData/Local/Temp/picturecompress_20211227172815/output_19.jpgoutput_19"/>
                    <pic:cNvPicPr>
                      <a:picLocks noChangeAspect="1"/>
                    </pic:cNvPicPr>
                  </pic:nvPicPr>
                  <pic:blipFill>
                    <a:blip r:embed="rId26"/>
                    <a:srcRect/>
                    <a:stretch>
                      <a:fillRect/>
                    </a:stretch>
                  </pic:blipFill>
                  <pic:spPr>
                    <a:xfrm>
                      <a:off x="0" y="0"/>
                      <a:ext cx="3220720" cy="7086600"/>
                    </a:xfrm>
                    <a:prstGeom prst="rect">
                      <a:avLst/>
                    </a:prstGeom>
                    <a:noFill/>
                    <a:ln>
                      <a:noFill/>
                    </a:ln>
                  </pic:spPr>
                </pic:pic>
              </a:graphicData>
            </a:graphic>
          </wp:inline>
        </w:drawing>
      </w:r>
    </w:p>
    <w:p>
      <w:pPr>
        <w:jc w:val="center"/>
        <w:rPr>
          <w:rFonts w:hint="eastAsia" w:ascii="仿宋" w:hAnsi="仿宋" w:eastAsia="仿宋" w:cs="仿宋"/>
          <w:b/>
          <w:bCs/>
          <w:color w:val="000000"/>
          <w:kern w:val="0"/>
          <w:sz w:val="28"/>
          <w:szCs w:val="28"/>
          <w:lang w:val="en-US" w:eastAsia="zh-CN"/>
        </w:rPr>
      </w:pPr>
    </w:p>
    <w:p>
      <w:pPr>
        <w:jc w:val="center"/>
        <w:rPr>
          <w:rFonts w:hint="eastAsia" w:ascii="仿宋_GB2312" w:eastAsia="仿宋_GB2312"/>
          <w:sz w:val="32"/>
          <w:szCs w:val="32"/>
        </w:rPr>
      </w:pPr>
      <w:r>
        <w:rPr>
          <w:rFonts w:hint="eastAsia" w:ascii="仿宋_GB2312" w:eastAsia="仿宋_GB2312"/>
          <w:sz w:val="32"/>
          <w:szCs w:val="32"/>
        </w:rPr>
        <w:t>估价对象所在位置</w:t>
      </w:r>
    </w:p>
    <w:p>
      <w:pPr>
        <w:jc w:val="center"/>
        <w:rPr>
          <w:rFonts w:hint="eastAsia" w:ascii="仿宋_GB2312" w:eastAsia="仿宋_GB2312"/>
          <w:sz w:val="28"/>
          <w:szCs w:val="28"/>
          <w:lang w:val="en-US" w:eastAsia="zh-CN"/>
        </w:rPr>
      </w:pPr>
    </w:p>
    <w:sectPr>
      <w:headerReference r:id="rId5" w:type="default"/>
      <w:footerReference r:id="rId6" w:type="default"/>
      <w:endnotePr>
        <w:numFmt w:val="decimal"/>
      </w:endnotePr>
      <w:pgSz w:w="11906" w:h="16838"/>
      <w:pgMar w:top="1440" w:right="1080" w:bottom="1440" w:left="1080" w:header="851" w:footer="992" w:gutter="0"/>
      <w:pgNumType w:start="1"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00000000" w:usb1="00000000" w:usb2="00000000" w:usb3="00000000" w:csb0="00000000" w:csb1="00000000"/>
  </w:font>
  <w:font w:name="宋体">
    <w:altName w:val="汉仪书宋二KW"/>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仿宋_GB2312">
    <w:altName w:val="方正仿宋_GBK"/>
    <w:panose1 w:val="00000000000000000000"/>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0" w:usb1="00000000" w:usb2="00000000" w:usb3="00000000" w:csb0="00160000" w:csb1="00000000"/>
  </w:font>
  <w:font w:name="Cambria">
    <w:altName w:val="苹方-简"/>
    <w:panose1 w:val="02040503050406030204"/>
    <w:charset w:val="00"/>
    <w:family w:val="roman"/>
    <w:pitch w:val="default"/>
    <w:sig w:usb0="00000000" w:usb1="00000000" w:usb2="02000000" w:usb3="00000000" w:csb0="2000019F" w:csb1="00000000"/>
  </w:font>
  <w:font w:name="苹方-简">
    <w:panose1 w:val="020B0400000000000000"/>
    <w:charset w:val="86"/>
    <w:family w:val="auto"/>
    <w:pitch w:val="default"/>
    <w:sig w:usb0="00000000" w:usb1="00000000" w:usb2="00000000" w:usb3="00000000" w:csb0="00160000" w:csb1="00000000"/>
  </w:font>
  <w:font w:name="华文细黑">
    <w:altName w:val="黑体-简"/>
    <w:panose1 w:val="02010600040101010101"/>
    <w:charset w:val="86"/>
    <w:family w:val="auto"/>
    <w:pitch w:val="default"/>
    <w:sig w:usb0="00000000" w:usb1="00000000" w:usb2="00000000" w:usb3="00000000" w:csb0="0004009F" w:csb1="DFD70000"/>
  </w:font>
  <w:font w:name="黑体-简">
    <w:panose1 w:val="02000000000000000000"/>
    <w:charset w:val="86"/>
    <w:family w:val="auto"/>
    <w:pitch w:val="default"/>
    <w:sig w:usb0="00000000" w:usb1="00000000" w:usb2="00000000" w:usb3="00000000" w:csb0="00160000" w:csb1="00000000"/>
  </w:font>
  <w:font w:name="Arial Narrow">
    <w:panose1 w:val="020B0606020202030204"/>
    <w:charset w:val="00"/>
    <w:family w:val="swiss"/>
    <w:pitch w:val="default"/>
    <w:sig w:usb0="00000000" w:usb1="00000000" w:usb2="00000000" w:usb3="00000000" w:csb0="00000000" w:csb1="00000000"/>
  </w:font>
  <w:font w:name="仿宋">
    <w:altName w:val="方正仿宋_GBK"/>
    <w:panose1 w:val="02010609060101010101"/>
    <w:charset w:val="86"/>
    <w:family w:val="auto"/>
    <w:pitch w:val="default"/>
    <w:sig w:usb0="00000000" w:usb1="00000000" w:usb2="00000016" w:usb3="00000000" w:csb0="00040001" w:csb1="00000000"/>
  </w:font>
  <w:font w:name="楷体">
    <w:altName w:val="汉仪楷体KW"/>
    <w:panose1 w:val="02010609060101010101"/>
    <w:charset w:val="86"/>
    <w:family w:val="auto"/>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宋体-简">
    <w:panose1 w:val="02010600040101010101"/>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57835" cy="147955"/>
              <wp:effectExtent l="0" t="0" r="0" b="0"/>
              <wp:wrapNone/>
              <wp:docPr id="20" name="文本框 7"/>
              <wp:cNvGraphicFramePr/>
              <a:graphic xmlns:a="http://schemas.openxmlformats.org/drawingml/2006/main">
                <a:graphicData uri="http://schemas.microsoft.com/office/word/2010/wordprocessingShape">
                  <wps:wsp>
                    <wps:cNvSpPr txBox="1"/>
                    <wps:spPr>
                      <a:xfrm>
                        <a:off x="0" y="0"/>
                        <a:ext cx="457835" cy="147955"/>
                      </a:xfrm>
                      <a:prstGeom prst="rect">
                        <a:avLst/>
                      </a:prstGeom>
                      <a:noFill/>
                      <a:ln w="15875">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1.65pt;width:36.05pt;mso-position-horizontal:center;mso-position-horizontal-relative:margin;mso-wrap-style:none;z-index:251661312;mso-width-relative:page;mso-height-relative:page;" filled="f" stroked="f" coordsize="21600,21600" o:gfxdata="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I46j&#10;WdUAAAADAQAADwAAAAAAAAABACAAAAA4AAAAZHJzL2Rvd25yZXYueG1sUEsBAhQAFAAAAAgAh07i&#10;QN2o7yrWAQAAogMAAA4AAAAAAAAAAQAgAAAAOgEAAGRycy9lMm9Eb2MueG1sUEsFBgAAAAAGAAYA&#10;WQEAAIIFAAAAAA==&#10;">
              <v:fill on="f" focussize="0,0"/>
              <v:stroke on="f" weight="1.25pt"/>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_x0000_s4101" o:spid="_x0000_s4101" o:spt="136" type="#_x0000_t136" style="position:absolute;left:0pt;margin-left:-31.55pt;margin-top:265.35pt;height:152.85pt;width:536.25pt;mso-position-horizontal-relative:margin;mso-position-vertical-relative:margin;rotation:-2949120f;z-index:-251654144;mso-width-relative:page;mso-height-relative:page;" fillcolor="#C0C0C0" filled="t" stroked="f" coordsize="21600,21600" adj="10800">
          <v:path/>
          <v:fill on="t" opacity="32112f" focussize="0,0"/>
          <v:stroke on="f"/>
          <v:imagedata o:title=""/>
          <o:lock v:ext="edit" aspectratio="t"/>
          <v:textpath on="t" fitshape="t" fitpath="t" trim="t" xscale="f" string="昊远评估" style="font-family:楷体;font-size:36pt;v-same-letter-heights:f;v-text-align:center;"/>
        </v:shape>
      </w:pict>
    </w:r>
    <w:r>
      <w:rPr>
        <w:sz w:val="18"/>
      </w:rPr>
      <w:pict>
        <v:shape id="_x0000_s4102" o:spid="_x0000_s4102" o:spt="136" type="#_x0000_t136" style="position:absolute;left:0pt;height:135.55pt;width:415.3pt;mso-position-horizontal:center;mso-position-horizontal-relative:margin;mso-position-vertical:center;mso-position-vertical-relative:margin;z-index:-251653120;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16"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_x0000_s4097" o:spid="_x0000_s4097" o:spt="136" type="#_x0000_t136" style="position:absolute;left:0pt;margin-left:-31.55pt;margin-top:265.35pt;height:152.85pt;width:536.25pt;mso-position-horizontal-relative:margin;mso-position-vertical-relative:margin;rotation:-2949120f;z-index:-251657216;mso-width-relative:page;mso-height-relative:page;" fillcolor="#C0C0C0" filled="t" stroked="f" coordsize="21600,21600" adj="10800">
          <v:path/>
          <v:fill on="t" opacity="32112f" focussize="0,0"/>
          <v:stroke on="f"/>
          <v:imagedata o:title=""/>
          <o:lock v:ext="edit" aspectratio="t"/>
          <v:textpath on="t" fitshape="t" fitpath="t" trim="t" xscale="f" string="昊远评估" style="font-family:楷体;font-size:36pt;v-same-letter-heights:f;v-text-align:center;"/>
        </v:shape>
      </w:pict>
    </w:r>
    <w:r>
      <w:rPr>
        <w:sz w:val="18"/>
      </w:rPr>
      <w:pict>
        <v:shape id="PowerPlusWaterMarkObject18075" o:spid="_x0000_s4098" o:spt="136" type="#_x0000_t136" style="position:absolute;left:0pt;height:135.55pt;width:415.3pt;mso-position-horizontal:center;mso-position-horizontal-relative:margin;mso-position-vertical:center;mso-position-vertical-relative:margin;z-index:-251656192;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21"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2C1826"/>
    <w:multiLevelType w:val="singleLevel"/>
    <w:tmpl w:val="A62C1826"/>
    <w:lvl w:ilvl="0" w:tentative="0">
      <w:start w:val="1"/>
      <w:numFmt w:val="chineseCounting"/>
      <w:suff w:val="nothing"/>
      <w:lvlText w:val="%1、"/>
      <w:lvlJc w:val="left"/>
      <w:rPr>
        <w:rFonts w:hint="eastAsia"/>
      </w:rPr>
    </w:lvl>
  </w:abstractNum>
  <w:abstractNum w:abstractNumId="1">
    <w:nsid w:val="AF306EC4"/>
    <w:multiLevelType w:val="singleLevel"/>
    <w:tmpl w:val="AF306EC4"/>
    <w:lvl w:ilvl="0" w:tentative="0">
      <w:start w:val="1"/>
      <w:numFmt w:val="chineseCounting"/>
      <w:suff w:val="nothing"/>
      <w:lvlText w:val="%1、"/>
      <w:lvlJc w:val="left"/>
      <w:rPr>
        <w:rFonts w:hint="eastAsia"/>
      </w:rPr>
    </w:lvl>
  </w:abstractNum>
  <w:abstractNum w:abstractNumId="2">
    <w:nsid w:val="CDCC788E"/>
    <w:multiLevelType w:val="singleLevel"/>
    <w:tmpl w:val="CDCC788E"/>
    <w:lvl w:ilvl="0" w:tentative="0">
      <w:start w:val="5"/>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endnotePr>
    <w:numFmt w:val="decimal"/>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785"/>
    <w:rsid w:val="00001314"/>
    <w:rsid w:val="000054AC"/>
    <w:rsid w:val="00011D71"/>
    <w:rsid w:val="000133BC"/>
    <w:rsid w:val="0002501F"/>
    <w:rsid w:val="00027245"/>
    <w:rsid w:val="00032B13"/>
    <w:rsid w:val="00037C47"/>
    <w:rsid w:val="000405B0"/>
    <w:rsid w:val="000477AB"/>
    <w:rsid w:val="00054007"/>
    <w:rsid w:val="0005680F"/>
    <w:rsid w:val="00056F13"/>
    <w:rsid w:val="00057532"/>
    <w:rsid w:val="000625EE"/>
    <w:rsid w:val="0006407F"/>
    <w:rsid w:val="00070C6F"/>
    <w:rsid w:val="00072E7E"/>
    <w:rsid w:val="00080F9A"/>
    <w:rsid w:val="000812F8"/>
    <w:rsid w:val="000818E1"/>
    <w:rsid w:val="00086367"/>
    <w:rsid w:val="000937A5"/>
    <w:rsid w:val="000A561B"/>
    <w:rsid w:val="000A7259"/>
    <w:rsid w:val="000B4494"/>
    <w:rsid w:val="000C4ABC"/>
    <w:rsid w:val="000D0309"/>
    <w:rsid w:val="000D104B"/>
    <w:rsid w:val="000E27AD"/>
    <w:rsid w:val="000E4B62"/>
    <w:rsid w:val="000E547C"/>
    <w:rsid w:val="000E7CBA"/>
    <w:rsid w:val="000F118D"/>
    <w:rsid w:val="000F154F"/>
    <w:rsid w:val="000F276D"/>
    <w:rsid w:val="000F2B44"/>
    <w:rsid w:val="000F4C8A"/>
    <w:rsid w:val="00101D24"/>
    <w:rsid w:val="00110750"/>
    <w:rsid w:val="00110B93"/>
    <w:rsid w:val="00117143"/>
    <w:rsid w:val="0011719F"/>
    <w:rsid w:val="00117E23"/>
    <w:rsid w:val="001235FA"/>
    <w:rsid w:val="001251AF"/>
    <w:rsid w:val="001261CA"/>
    <w:rsid w:val="00127090"/>
    <w:rsid w:val="00127643"/>
    <w:rsid w:val="0013305A"/>
    <w:rsid w:val="0013768A"/>
    <w:rsid w:val="00141C6A"/>
    <w:rsid w:val="00150639"/>
    <w:rsid w:val="001510D4"/>
    <w:rsid w:val="001545E0"/>
    <w:rsid w:val="00155998"/>
    <w:rsid w:val="00157448"/>
    <w:rsid w:val="00162158"/>
    <w:rsid w:val="0016497E"/>
    <w:rsid w:val="00172A51"/>
    <w:rsid w:val="001746ED"/>
    <w:rsid w:val="00174DCD"/>
    <w:rsid w:val="001752F5"/>
    <w:rsid w:val="001760D3"/>
    <w:rsid w:val="0017690A"/>
    <w:rsid w:val="00181633"/>
    <w:rsid w:val="00182FB0"/>
    <w:rsid w:val="00184906"/>
    <w:rsid w:val="0018638F"/>
    <w:rsid w:val="00186D90"/>
    <w:rsid w:val="0019158A"/>
    <w:rsid w:val="001932E1"/>
    <w:rsid w:val="001A05D7"/>
    <w:rsid w:val="001A0603"/>
    <w:rsid w:val="001A4C5D"/>
    <w:rsid w:val="001A6146"/>
    <w:rsid w:val="001A66F4"/>
    <w:rsid w:val="001A6E8F"/>
    <w:rsid w:val="001B02C3"/>
    <w:rsid w:val="001B7D68"/>
    <w:rsid w:val="001C27ED"/>
    <w:rsid w:val="001C2CAB"/>
    <w:rsid w:val="001C3DF5"/>
    <w:rsid w:val="001C4459"/>
    <w:rsid w:val="001C6F9E"/>
    <w:rsid w:val="001D0E59"/>
    <w:rsid w:val="001D4993"/>
    <w:rsid w:val="001D52EB"/>
    <w:rsid w:val="001F18F7"/>
    <w:rsid w:val="002010ED"/>
    <w:rsid w:val="00205644"/>
    <w:rsid w:val="0020600C"/>
    <w:rsid w:val="00212CE0"/>
    <w:rsid w:val="00216511"/>
    <w:rsid w:val="0022408B"/>
    <w:rsid w:val="00224439"/>
    <w:rsid w:val="0023095D"/>
    <w:rsid w:val="00235B9E"/>
    <w:rsid w:val="00242DBB"/>
    <w:rsid w:val="0024491F"/>
    <w:rsid w:val="0025255F"/>
    <w:rsid w:val="00254C01"/>
    <w:rsid w:val="0026049A"/>
    <w:rsid w:val="00273598"/>
    <w:rsid w:val="00277123"/>
    <w:rsid w:val="00277556"/>
    <w:rsid w:val="00282BE3"/>
    <w:rsid w:val="0028357B"/>
    <w:rsid w:val="00284589"/>
    <w:rsid w:val="00293653"/>
    <w:rsid w:val="002A0859"/>
    <w:rsid w:val="002B5ABB"/>
    <w:rsid w:val="002C0551"/>
    <w:rsid w:val="002C3093"/>
    <w:rsid w:val="002D05FB"/>
    <w:rsid w:val="002D2198"/>
    <w:rsid w:val="002D3ECD"/>
    <w:rsid w:val="002D3EE9"/>
    <w:rsid w:val="002D6883"/>
    <w:rsid w:val="002E4381"/>
    <w:rsid w:val="002E479C"/>
    <w:rsid w:val="002E6F62"/>
    <w:rsid w:val="002E71EF"/>
    <w:rsid w:val="002E7FC1"/>
    <w:rsid w:val="002F1EAE"/>
    <w:rsid w:val="00306298"/>
    <w:rsid w:val="00311B2F"/>
    <w:rsid w:val="00331F97"/>
    <w:rsid w:val="00350509"/>
    <w:rsid w:val="003562A0"/>
    <w:rsid w:val="003569E4"/>
    <w:rsid w:val="00361CA9"/>
    <w:rsid w:val="003729B9"/>
    <w:rsid w:val="00372A5F"/>
    <w:rsid w:val="00373AE8"/>
    <w:rsid w:val="0037795B"/>
    <w:rsid w:val="0038039F"/>
    <w:rsid w:val="003832B8"/>
    <w:rsid w:val="003864E8"/>
    <w:rsid w:val="00391AF0"/>
    <w:rsid w:val="00395E12"/>
    <w:rsid w:val="003A4F70"/>
    <w:rsid w:val="003A796F"/>
    <w:rsid w:val="003B1853"/>
    <w:rsid w:val="003B2DFB"/>
    <w:rsid w:val="003B4FE6"/>
    <w:rsid w:val="003B6DCE"/>
    <w:rsid w:val="003C5064"/>
    <w:rsid w:val="003D57AF"/>
    <w:rsid w:val="003D637B"/>
    <w:rsid w:val="003D7B2B"/>
    <w:rsid w:val="003E0379"/>
    <w:rsid w:val="003E03A4"/>
    <w:rsid w:val="003E0AC3"/>
    <w:rsid w:val="003E24DE"/>
    <w:rsid w:val="003F5181"/>
    <w:rsid w:val="00410697"/>
    <w:rsid w:val="00412092"/>
    <w:rsid w:val="00426631"/>
    <w:rsid w:val="004339DB"/>
    <w:rsid w:val="00434B99"/>
    <w:rsid w:val="0043639B"/>
    <w:rsid w:val="004371DC"/>
    <w:rsid w:val="00437302"/>
    <w:rsid w:val="00437475"/>
    <w:rsid w:val="004409D5"/>
    <w:rsid w:val="0044199E"/>
    <w:rsid w:val="004439BF"/>
    <w:rsid w:val="004439D7"/>
    <w:rsid w:val="0045022E"/>
    <w:rsid w:val="00460AF9"/>
    <w:rsid w:val="00461B4A"/>
    <w:rsid w:val="00463BA0"/>
    <w:rsid w:val="00464BE7"/>
    <w:rsid w:val="00466FD9"/>
    <w:rsid w:val="00467327"/>
    <w:rsid w:val="00475BEE"/>
    <w:rsid w:val="0048149C"/>
    <w:rsid w:val="004875CE"/>
    <w:rsid w:val="00497E18"/>
    <w:rsid w:val="004A1012"/>
    <w:rsid w:val="004A25A1"/>
    <w:rsid w:val="004A3A18"/>
    <w:rsid w:val="004A4241"/>
    <w:rsid w:val="004A445E"/>
    <w:rsid w:val="004B6781"/>
    <w:rsid w:val="004B6838"/>
    <w:rsid w:val="004B6C13"/>
    <w:rsid w:val="004C0B70"/>
    <w:rsid w:val="004C703C"/>
    <w:rsid w:val="004C78E6"/>
    <w:rsid w:val="004D7090"/>
    <w:rsid w:val="004E18BE"/>
    <w:rsid w:val="004E3A3C"/>
    <w:rsid w:val="004F22E6"/>
    <w:rsid w:val="004F3531"/>
    <w:rsid w:val="004F3F58"/>
    <w:rsid w:val="004F438B"/>
    <w:rsid w:val="004F529C"/>
    <w:rsid w:val="004F5AB6"/>
    <w:rsid w:val="00505EFC"/>
    <w:rsid w:val="00512545"/>
    <w:rsid w:val="00512F7A"/>
    <w:rsid w:val="00517E18"/>
    <w:rsid w:val="0052380E"/>
    <w:rsid w:val="0052698D"/>
    <w:rsid w:val="00526D19"/>
    <w:rsid w:val="00531AC3"/>
    <w:rsid w:val="00531ACB"/>
    <w:rsid w:val="00541E05"/>
    <w:rsid w:val="00543327"/>
    <w:rsid w:val="00543396"/>
    <w:rsid w:val="0055059D"/>
    <w:rsid w:val="0055627E"/>
    <w:rsid w:val="005577FD"/>
    <w:rsid w:val="00562F85"/>
    <w:rsid w:val="00565B34"/>
    <w:rsid w:val="00570555"/>
    <w:rsid w:val="00574319"/>
    <w:rsid w:val="00583081"/>
    <w:rsid w:val="00593F44"/>
    <w:rsid w:val="0059666E"/>
    <w:rsid w:val="005A003B"/>
    <w:rsid w:val="005A0C71"/>
    <w:rsid w:val="005A1D4B"/>
    <w:rsid w:val="005A68AB"/>
    <w:rsid w:val="005B0F20"/>
    <w:rsid w:val="005B5048"/>
    <w:rsid w:val="005B69B2"/>
    <w:rsid w:val="005B7B10"/>
    <w:rsid w:val="005C267C"/>
    <w:rsid w:val="005D0E34"/>
    <w:rsid w:val="005D5268"/>
    <w:rsid w:val="005D5BF9"/>
    <w:rsid w:val="005E0677"/>
    <w:rsid w:val="005E2964"/>
    <w:rsid w:val="005E379F"/>
    <w:rsid w:val="005E7947"/>
    <w:rsid w:val="005F14ED"/>
    <w:rsid w:val="005F3CB9"/>
    <w:rsid w:val="005F56B5"/>
    <w:rsid w:val="00600C34"/>
    <w:rsid w:val="00605E94"/>
    <w:rsid w:val="00606209"/>
    <w:rsid w:val="00607FEB"/>
    <w:rsid w:val="00610F05"/>
    <w:rsid w:val="00614FD5"/>
    <w:rsid w:val="00620B5B"/>
    <w:rsid w:val="0062312A"/>
    <w:rsid w:val="00623B5A"/>
    <w:rsid w:val="006240AC"/>
    <w:rsid w:val="0062444F"/>
    <w:rsid w:val="006253C9"/>
    <w:rsid w:val="0062702C"/>
    <w:rsid w:val="00627B48"/>
    <w:rsid w:val="0063184C"/>
    <w:rsid w:val="0064316D"/>
    <w:rsid w:val="00644347"/>
    <w:rsid w:val="0064663D"/>
    <w:rsid w:val="00650720"/>
    <w:rsid w:val="00651778"/>
    <w:rsid w:val="00653162"/>
    <w:rsid w:val="00657BCA"/>
    <w:rsid w:val="006616DE"/>
    <w:rsid w:val="00662466"/>
    <w:rsid w:val="00662CD7"/>
    <w:rsid w:val="00664DB0"/>
    <w:rsid w:val="00666437"/>
    <w:rsid w:val="006671B9"/>
    <w:rsid w:val="00671791"/>
    <w:rsid w:val="00671BA5"/>
    <w:rsid w:val="006738A3"/>
    <w:rsid w:val="00680E2C"/>
    <w:rsid w:val="006810F9"/>
    <w:rsid w:val="0068621D"/>
    <w:rsid w:val="006943AC"/>
    <w:rsid w:val="00694E04"/>
    <w:rsid w:val="006A3184"/>
    <w:rsid w:val="006A3A42"/>
    <w:rsid w:val="006A5B79"/>
    <w:rsid w:val="006A5D9D"/>
    <w:rsid w:val="006A630B"/>
    <w:rsid w:val="006A715D"/>
    <w:rsid w:val="006B2957"/>
    <w:rsid w:val="006B3292"/>
    <w:rsid w:val="006B4356"/>
    <w:rsid w:val="006B4F60"/>
    <w:rsid w:val="006B617F"/>
    <w:rsid w:val="006B7F87"/>
    <w:rsid w:val="006C0D75"/>
    <w:rsid w:val="006C150E"/>
    <w:rsid w:val="006C4A14"/>
    <w:rsid w:val="006C6EA5"/>
    <w:rsid w:val="006C7E53"/>
    <w:rsid w:val="006D32EC"/>
    <w:rsid w:val="006D4539"/>
    <w:rsid w:val="006D776E"/>
    <w:rsid w:val="006E7C19"/>
    <w:rsid w:val="006F24FB"/>
    <w:rsid w:val="006F2B18"/>
    <w:rsid w:val="006F505E"/>
    <w:rsid w:val="006F5720"/>
    <w:rsid w:val="006F6076"/>
    <w:rsid w:val="006F659A"/>
    <w:rsid w:val="006F6D22"/>
    <w:rsid w:val="006F745F"/>
    <w:rsid w:val="006F772C"/>
    <w:rsid w:val="00701DA4"/>
    <w:rsid w:val="00715129"/>
    <w:rsid w:val="00724088"/>
    <w:rsid w:val="00724322"/>
    <w:rsid w:val="007244B6"/>
    <w:rsid w:val="00726DC8"/>
    <w:rsid w:val="007318D7"/>
    <w:rsid w:val="00732584"/>
    <w:rsid w:val="00732CD0"/>
    <w:rsid w:val="00733BF1"/>
    <w:rsid w:val="00735B55"/>
    <w:rsid w:val="007377B7"/>
    <w:rsid w:val="007433E3"/>
    <w:rsid w:val="00746F63"/>
    <w:rsid w:val="007470CC"/>
    <w:rsid w:val="007522C8"/>
    <w:rsid w:val="0075262A"/>
    <w:rsid w:val="0075326F"/>
    <w:rsid w:val="00757B3C"/>
    <w:rsid w:val="00760517"/>
    <w:rsid w:val="00762A88"/>
    <w:rsid w:val="0076659B"/>
    <w:rsid w:val="007747FE"/>
    <w:rsid w:val="0077631C"/>
    <w:rsid w:val="007838D5"/>
    <w:rsid w:val="00790159"/>
    <w:rsid w:val="00790AFB"/>
    <w:rsid w:val="007942ED"/>
    <w:rsid w:val="00797189"/>
    <w:rsid w:val="007A57D1"/>
    <w:rsid w:val="007B0873"/>
    <w:rsid w:val="007B0D2A"/>
    <w:rsid w:val="007B1EB6"/>
    <w:rsid w:val="007B4929"/>
    <w:rsid w:val="007B70D5"/>
    <w:rsid w:val="007C2891"/>
    <w:rsid w:val="007C3AB5"/>
    <w:rsid w:val="007C46B3"/>
    <w:rsid w:val="007D257F"/>
    <w:rsid w:val="007D282A"/>
    <w:rsid w:val="007D73CC"/>
    <w:rsid w:val="007E21BC"/>
    <w:rsid w:val="007F081A"/>
    <w:rsid w:val="007F0B5F"/>
    <w:rsid w:val="007F1807"/>
    <w:rsid w:val="008003A8"/>
    <w:rsid w:val="0080367F"/>
    <w:rsid w:val="00803BBC"/>
    <w:rsid w:val="00805043"/>
    <w:rsid w:val="00810056"/>
    <w:rsid w:val="0081056B"/>
    <w:rsid w:val="008110B7"/>
    <w:rsid w:val="00812712"/>
    <w:rsid w:val="0081562D"/>
    <w:rsid w:val="0081601F"/>
    <w:rsid w:val="00822525"/>
    <w:rsid w:val="00822CF6"/>
    <w:rsid w:val="008230E3"/>
    <w:rsid w:val="008249CA"/>
    <w:rsid w:val="008254CF"/>
    <w:rsid w:val="008274AB"/>
    <w:rsid w:val="008333DE"/>
    <w:rsid w:val="00840268"/>
    <w:rsid w:val="00840CFF"/>
    <w:rsid w:val="00845EE4"/>
    <w:rsid w:val="00847384"/>
    <w:rsid w:val="00856AFB"/>
    <w:rsid w:val="00856B42"/>
    <w:rsid w:val="00861785"/>
    <w:rsid w:val="00862566"/>
    <w:rsid w:val="00864CE7"/>
    <w:rsid w:val="00871EB2"/>
    <w:rsid w:val="00872EC0"/>
    <w:rsid w:val="00873937"/>
    <w:rsid w:val="00873DA5"/>
    <w:rsid w:val="00875B3B"/>
    <w:rsid w:val="00881008"/>
    <w:rsid w:val="00886289"/>
    <w:rsid w:val="00886C70"/>
    <w:rsid w:val="0089170A"/>
    <w:rsid w:val="008921BE"/>
    <w:rsid w:val="00893B47"/>
    <w:rsid w:val="00893EE0"/>
    <w:rsid w:val="008943C6"/>
    <w:rsid w:val="008A1F91"/>
    <w:rsid w:val="008A3B7F"/>
    <w:rsid w:val="008A4DE2"/>
    <w:rsid w:val="008A5B79"/>
    <w:rsid w:val="008A67DC"/>
    <w:rsid w:val="008A710A"/>
    <w:rsid w:val="008B6401"/>
    <w:rsid w:val="008C5A67"/>
    <w:rsid w:val="008D33E3"/>
    <w:rsid w:val="008D7063"/>
    <w:rsid w:val="008D7F2C"/>
    <w:rsid w:val="008E1490"/>
    <w:rsid w:val="008E2988"/>
    <w:rsid w:val="008F1609"/>
    <w:rsid w:val="008F179A"/>
    <w:rsid w:val="008F254A"/>
    <w:rsid w:val="008F40B1"/>
    <w:rsid w:val="0090093C"/>
    <w:rsid w:val="009100A6"/>
    <w:rsid w:val="00911EF7"/>
    <w:rsid w:val="00916171"/>
    <w:rsid w:val="009242DE"/>
    <w:rsid w:val="00924A6A"/>
    <w:rsid w:val="0093208E"/>
    <w:rsid w:val="00935C50"/>
    <w:rsid w:val="009367A3"/>
    <w:rsid w:val="00936899"/>
    <w:rsid w:val="00936A89"/>
    <w:rsid w:val="009409CB"/>
    <w:rsid w:val="009427BD"/>
    <w:rsid w:val="00942BEC"/>
    <w:rsid w:val="009444BE"/>
    <w:rsid w:val="009449F2"/>
    <w:rsid w:val="00950BBB"/>
    <w:rsid w:val="00954FD6"/>
    <w:rsid w:val="009557FA"/>
    <w:rsid w:val="0095763B"/>
    <w:rsid w:val="00957C61"/>
    <w:rsid w:val="00961411"/>
    <w:rsid w:val="009639D5"/>
    <w:rsid w:val="009746F1"/>
    <w:rsid w:val="0097623E"/>
    <w:rsid w:val="00983384"/>
    <w:rsid w:val="00986E96"/>
    <w:rsid w:val="0099170E"/>
    <w:rsid w:val="0099397D"/>
    <w:rsid w:val="009A0D2F"/>
    <w:rsid w:val="009A3D28"/>
    <w:rsid w:val="009A58A5"/>
    <w:rsid w:val="009A594C"/>
    <w:rsid w:val="009B03F0"/>
    <w:rsid w:val="009B3394"/>
    <w:rsid w:val="009C4C01"/>
    <w:rsid w:val="009C7529"/>
    <w:rsid w:val="009D286C"/>
    <w:rsid w:val="009E0263"/>
    <w:rsid w:val="009F4684"/>
    <w:rsid w:val="009F6CA3"/>
    <w:rsid w:val="00A01AB8"/>
    <w:rsid w:val="00A023F2"/>
    <w:rsid w:val="00A04E62"/>
    <w:rsid w:val="00A1006E"/>
    <w:rsid w:val="00A11B85"/>
    <w:rsid w:val="00A1445C"/>
    <w:rsid w:val="00A17B76"/>
    <w:rsid w:val="00A21B39"/>
    <w:rsid w:val="00A258DB"/>
    <w:rsid w:val="00A27F38"/>
    <w:rsid w:val="00A31ECD"/>
    <w:rsid w:val="00A321AD"/>
    <w:rsid w:val="00A4049C"/>
    <w:rsid w:val="00A46F92"/>
    <w:rsid w:val="00A47FE6"/>
    <w:rsid w:val="00A519A1"/>
    <w:rsid w:val="00A61795"/>
    <w:rsid w:val="00A62CDF"/>
    <w:rsid w:val="00A63BD1"/>
    <w:rsid w:val="00A70971"/>
    <w:rsid w:val="00A752F4"/>
    <w:rsid w:val="00A76DE1"/>
    <w:rsid w:val="00A81F1A"/>
    <w:rsid w:val="00A82595"/>
    <w:rsid w:val="00A828CD"/>
    <w:rsid w:val="00A95732"/>
    <w:rsid w:val="00A978FB"/>
    <w:rsid w:val="00AA3208"/>
    <w:rsid w:val="00AA45F9"/>
    <w:rsid w:val="00AA5502"/>
    <w:rsid w:val="00AB0F1F"/>
    <w:rsid w:val="00AB32F8"/>
    <w:rsid w:val="00AB3C38"/>
    <w:rsid w:val="00AB5E10"/>
    <w:rsid w:val="00AB6882"/>
    <w:rsid w:val="00AD2047"/>
    <w:rsid w:val="00AD5DB4"/>
    <w:rsid w:val="00AD6DB9"/>
    <w:rsid w:val="00AE0D78"/>
    <w:rsid w:val="00AE77BE"/>
    <w:rsid w:val="00AF0112"/>
    <w:rsid w:val="00AF1B95"/>
    <w:rsid w:val="00AF285E"/>
    <w:rsid w:val="00AF3F96"/>
    <w:rsid w:val="00AF4DEB"/>
    <w:rsid w:val="00B05FE4"/>
    <w:rsid w:val="00B06056"/>
    <w:rsid w:val="00B0658E"/>
    <w:rsid w:val="00B1070B"/>
    <w:rsid w:val="00B11A49"/>
    <w:rsid w:val="00B1449C"/>
    <w:rsid w:val="00B146D5"/>
    <w:rsid w:val="00B15FF8"/>
    <w:rsid w:val="00B163B8"/>
    <w:rsid w:val="00B24404"/>
    <w:rsid w:val="00B25C3B"/>
    <w:rsid w:val="00B277CF"/>
    <w:rsid w:val="00B33FB9"/>
    <w:rsid w:val="00B36A5D"/>
    <w:rsid w:val="00B401D3"/>
    <w:rsid w:val="00B40C7D"/>
    <w:rsid w:val="00B46F22"/>
    <w:rsid w:val="00B4771C"/>
    <w:rsid w:val="00B51EE2"/>
    <w:rsid w:val="00B537CD"/>
    <w:rsid w:val="00B5612B"/>
    <w:rsid w:val="00B57DA9"/>
    <w:rsid w:val="00B617B4"/>
    <w:rsid w:val="00B61958"/>
    <w:rsid w:val="00B6306D"/>
    <w:rsid w:val="00B72B0D"/>
    <w:rsid w:val="00B82834"/>
    <w:rsid w:val="00B90155"/>
    <w:rsid w:val="00B92FB1"/>
    <w:rsid w:val="00B954A2"/>
    <w:rsid w:val="00BA2F86"/>
    <w:rsid w:val="00BA32E8"/>
    <w:rsid w:val="00BA57A4"/>
    <w:rsid w:val="00BB1109"/>
    <w:rsid w:val="00BB1F4E"/>
    <w:rsid w:val="00BC252E"/>
    <w:rsid w:val="00BC3171"/>
    <w:rsid w:val="00BC3F70"/>
    <w:rsid w:val="00BD001A"/>
    <w:rsid w:val="00BD0CF2"/>
    <w:rsid w:val="00BD1173"/>
    <w:rsid w:val="00BD153C"/>
    <w:rsid w:val="00BD1F0A"/>
    <w:rsid w:val="00BD2847"/>
    <w:rsid w:val="00BD4582"/>
    <w:rsid w:val="00BD6BAD"/>
    <w:rsid w:val="00BD7571"/>
    <w:rsid w:val="00BE0712"/>
    <w:rsid w:val="00BE4F5B"/>
    <w:rsid w:val="00BE4FE3"/>
    <w:rsid w:val="00BE59B1"/>
    <w:rsid w:val="00BE5DB5"/>
    <w:rsid w:val="00BE60C1"/>
    <w:rsid w:val="00BE6FAB"/>
    <w:rsid w:val="00BF0901"/>
    <w:rsid w:val="00BF59E6"/>
    <w:rsid w:val="00BF6546"/>
    <w:rsid w:val="00C039CA"/>
    <w:rsid w:val="00C03E46"/>
    <w:rsid w:val="00C044B6"/>
    <w:rsid w:val="00C07CC4"/>
    <w:rsid w:val="00C14E7C"/>
    <w:rsid w:val="00C333E8"/>
    <w:rsid w:val="00C345C7"/>
    <w:rsid w:val="00C35A0E"/>
    <w:rsid w:val="00C37355"/>
    <w:rsid w:val="00C41DB4"/>
    <w:rsid w:val="00C46135"/>
    <w:rsid w:val="00C50590"/>
    <w:rsid w:val="00C510AE"/>
    <w:rsid w:val="00C5498C"/>
    <w:rsid w:val="00C54C9A"/>
    <w:rsid w:val="00C55683"/>
    <w:rsid w:val="00C564FB"/>
    <w:rsid w:val="00C56A06"/>
    <w:rsid w:val="00C61963"/>
    <w:rsid w:val="00C64F7D"/>
    <w:rsid w:val="00C66FA8"/>
    <w:rsid w:val="00C70190"/>
    <w:rsid w:val="00C70CBB"/>
    <w:rsid w:val="00C76623"/>
    <w:rsid w:val="00C81D06"/>
    <w:rsid w:val="00C81D3C"/>
    <w:rsid w:val="00C820DE"/>
    <w:rsid w:val="00C82ABE"/>
    <w:rsid w:val="00C86391"/>
    <w:rsid w:val="00C93FBD"/>
    <w:rsid w:val="00C944F0"/>
    <w:rsid w:val="00C9769D"/>
    <w:rsid w:val="00CA57C4"/>
    <w:rsid w:val="00CA6424"/>
    <w:rsid w:val="00CA6D4D"/>
    <w:rsid w:val="00CB1408"/>
    <w:rsid w:val="00CB1629"/>
    <w:rsid w:val="00CB1C4D"/>
    <w:rsid w:val="00CC2A8A"/>
    <w:rsid w:val="00CD1AF1"/>
    <w:rsid w:val="00CD27DA"/>
    <w:rsid w:val="00CD35DA"/>
    <w:rsid w:val="00CE1391"/>
    <w:rsid w:val="00CE2985"/>
    <w:rsid w:val="00CE68D9"/>
    <w:rsid w:val="00CF0EB8"/>
    <w:rsid w:val="00CF0F69"/>
    <w:rsid w:val="00CF1D8C"/>
    <w:rsid w:val="00D02553"/>
    <w:rsid w:val="00D12CBE"/>
    <w:rsid w:val="00D1410C"/>
    <w:rsid w:val="00D160DD"/>
    <w:rsid w:val="00D16785"/>
    <w:rsid w:val="00D327D9"/>
    <w:rsid w:val="00D32A8F"/>
    <w:rsid w:val="00D3413C"/>
    <w:rsid w:val="00D34C86"/>
    <w:rsid w:val="00D4016F"/>
    <w:rsid w:val="00D41546"/>
    <w:rsid w:val="00D43731"/>
    <w:rsid w:val="00D438BF"/>
    <w:rsid w:val="00D449DF"/>
    <w:rsid w:val="00D47842"/>
    <w:rsid w:val="00D60F43"/>
    <w:rsid w:val="00D61011"/>
    <w:rsid w:val="00D708EF"/>
    <w:rsid w:val="00D71CCE"/>
    <w:rsid w:val="00D71FC1"/>
    <w:rsid w:val="00D72448"/>
    <w:rsid w:val="00D8156B"/>
    <w:rsid w:val="00D8381B"/>
    <w:rsid w:val="00D85843"/>
    <w:rsid w:val="00D86420"/>
    <w:rsid w:val="00DA08AD"/>
    <w:rsid w:val="00DA0EFF"/>
    <w:rsid w:val="00DB2441"/>
    <w:rsid w:val="00DB640B"/>
    <w:rsid w:val="00DB7E71"/>
    <w:rsid w:val="00DC00C6"/>
    <w:rsid w:val="00DC3584"/>
    <w:rsid w:val="00DE1BD3"/>
    <w:rsid w:val="00DE1FF1"/>
    <w:rsid w:val="00DE7705"/>
    <w:rsid w:val="00DF369B"/>
    <w:rsid w:val="00DF71C0"/>
    <w:rsid w:val="00E07FE4"/>
    <w:rsid w:val="00E10D0A"/>
    <w:rsid w:val="00E12BD9"/>
    <w:rsid w:val="00E1749F"/>
    <w:rsid w:val="00E21602"/>
    <w:rsid w:val="00E21A3E"/>
    <w:rsid w:val="00E24F7F"/>
    <w:rsid w:val="00E25AB7"/>
    <w:rsid w:val="00E3037E"/>
    <w:rsid w:val="00E31B6F"/>
    <w:rsid w:val="00E36992"/>
    <w:rsid w:val="00E410A0"/>
    <w:rsid w:val="00E45C57"/>
    <w:rsid w:val="00E47F9D"/>
    <w:rsid w:val="00E5648E"/>
    <w:rsid w:val="00E603A5"/>
    <w:rsid w:val="00E624EB"/>
    <w:rsid w:val="00E64A3A"/>
    <w:rsid w:val="00E6598F"/>
    <w:rsid w:val="00E86BF7"/>
    <w:rsid w:val="00E87A7C"/>
    <w:rsid w:val="00E90DB2"/>
    <w:rsid w:val="00E92020"/>
    <w:rsid w:val="00E94434"/>
    <w:rsid w:val="00EA091D"/>
    <w:rsid w:val="00EA19B4"/>
    <w:rsid w:val="00EA777F"/>
    <w:rsid w:val="00EB2C6F"/>
    <w:rsid w:val="00EB3AE5"/>
    <w:rsid w:val="00EB3C46"/>
    <w:rsid w:val="00EB72D8"/>
    <w:rsid w:val="00EB73DB"/>
    <w:rsid w:val="00EC65DD"/>
    <w:rsid w:val="00ED1F4E"/>
    <w:rsid w:val="00ED2150"/>
    <w:rsid w:val="00ED30DF"/>
    <w:rsid w:val="00ED6372"/>
    <w:rsid w:val="00EE4BC6"/>
    <w:rsid w:val="00EE56BD"/>
    <w:rsid w:val="00EE75D7"/>
    <w:rsid w:val="00EF3C9D"/>
    <w:rsid w:val="00F013F6"/>
    <w:rsid w:val="00F06334"/>
    <w:rsid w:val="00F24AF9"/>
    <w:rsid w:val="00F27D0E"/>
    <w:rsid w:val="00F33756"/>
    <w:rsid w:val="00F34C6B"/>
    <w:rsid w:val="00F36F51"/>
    <w:rsid w:val="00F4120C"/>
    <w:rsid w:val="00F42C94"/>
    <w:rsid w:val="00F43627"/>
    <w:rsid w:val="00F50362"/>
    <w:rsid w:val="00F5175A"/>
    <w:rsid w:val="00F5645A"/>
    <w:rsid w:val="00F56DA4"/>
    <w:rsid w:val="00F619A3"/>
    <w:rsid w:val="00F63969"/>
    <w:rsid w:val="00F700B1"/>
    <w:rsid w:val="00F7028A"/>
    <w:rsid w:val="00F70E89"/>
    <w:rsid w:val="00F75A1C"/>
    <w:rsid w:val="00F769D4"/>
    <w:rsid w:val="00F82929"/>
    <w:rsid w:val="00F84821"/>
    <w:rsid w:val="00F91D2D"/>
    <w:rsid w:val="00F92844"/>
    <w:rsid w:val="00F96F76"/>
    <w:rsid w:val="00FA0E2D"/>
    <w:rsid w:val="00FA4F63"/>
    <w:rsid w:val="00FA617A"/>
    <w:rsid w:val="00FA637D"/>
    <w:rsid w:val="00FA6717"/>
    <w:rsid w:val="00FB4AB1"/>
    <w:rsid w:val="00FB58FF"/>
    <w:rsid w:val="00FB6D72"/>
    <w:rsid w:val="00FC1C50"/>
    <w:rsid w:val="00FD7A82"/>
    <w:rsid w:val="00FE0066"/>
    <w:rsid w:val="00FE1553"/>
    <w:rsid w:val="00FE2F66"/>
    <w:rsid w:val="00FE474F"/>
    <w:rsid w:val="00FE4BDD"/>
    <w:rsid w:val="00FF3BD7"/>
    <w:rsid w:val="00FF566F"/>
    <w:rsid w:val="00FF60FA"/>
    <w:rsid w:val="00FF6E0B"/>
    <w:rsid w:val="0115131B"/>
    <w:rsid w:val="01451970"/>
    <w:rsid w:val="014D58C2"/>
    <w:rsid w:val="0159332C"/>
    <w:rsid w:val="01813AAA"/>
    <w:rsid w:val="019649D3"/>
    <w:rsid w:val="01B81F98"/>
    <w:rsid w:val="023B604C"/>
    <w:rsid w:val="024B59EF"/>
    <w:rsid w:val="025B0F77"/>
    <w:rsid w:val="026B583F"/>
    <w:rsid w:val="02770B3C"/>
    <w:rsid w:val="028739E5"/>
    <w:rsid w:val="028C3ABD"/>
    <w:rsid w:val="034172A0"/>
    <w:rsid w:val="034B31FD"/>
    <w:rsid w:val="038E36B4"/>
    <w:rsid w:val="03B1218E"/>
    <w:rsid w:val="04144EF7"/>
    <w:rsid w:val="041B7772"/>
    <w:rsid w:val="044B17E7"/>
    <w:rsid w:val="048B7513"/>
    <w:rsid w:val="04952CB3"/>
    <w:rsid w:val="04F2372E"/>
    <w:rsid w:val="052C7305"/>
    <w:rsid w:val="053C2829"/>
    <w:rsid w:val="05740722"/>
    <w:rsid w:val="05B568E2"/>
    <w:rsid w:val="05CC0AE5"/>
    <w:rsid w:val="060A449F"/>
    <w:rsid w:val="064C5F5A"/>
    <w:rsid w:val="065A1F87"/>
    <w:rsid w:val="06A13635"/>
    <w:rsid w:val="06BA346B"/>
    <w:rsid w:val="070C60B7"/>
    <w:rsid w:val="07244646"/>
    <w:rsid w:val="07362BEF"/>
    <w:rsid w:val="07601CD7"/>
    <w:rsid w:val="078F26D1"/>
    <w:rsid w:val="07904AA3"/>
    <w:rsid w:val="07AD68D1"/>
    <w:rsid w:val="07CC7DE6"/>
    <w:rsid w:val="0848689E"/>
    <w:rsid w:val="08870650"/>
    <w:rsid w:val="088965EF"/>
    <w:rsid w:val="088C503A"/>
    <w:rsid w:val="08B4188C"/>
    <w:rsid w:val="08CB2ADD"/>
    <w:rsid w:val="08CE008F"/>
    <w:rsid w:val="092A33AA"/>
    <w:rsid w:val="092D4C97"/>
    <w:rsid w:val="09346B93"/>
    <w:rsid w:val="09CD4512"/>
    <w:rsid w:val="0A017571"/>
    <w:rsid w:val="0A14374B"/>
    <w:rsid w:val="0A661610"/>
    <w:rsid w:val="0A826D5D"/>
    <w:rsid w:val="0A875395"/>
    <w:rsid w:val="0A9009E6"/>
    <w:rsid w:val="0AFB0037"/>
    <w:rsid w:val="0B1157F3"/>
    <w:rsid w:val="0B50064E"/>
    <w:rsid w:val="0B5E759C"/>
    <w:rsid w:val="0BED1444"/>
    <w:rsid w:val="0C4F5947"/>
    <w:rsid w:val="0CA91733"/>
    <w:rsid w:val="0CCD4B8E"/>
    <w:rsid w:val="0D452C96"/>
    <w:rsid w:val="0D626BAE"/>
    <w:rsid w:val="0D6860CB"/>
    <w:rsid w:val="0DA82032"/>
    <w:rsid w:val="0E01162D"/>
    <w:rsid w:val="0E3A4ED3"/>
    <w:rsid w:val="0E623A90"/>
    <w:rsid w:val="0E72755E"/>
    <w:rsid w:val="0E8B05DA"/>
    <w:rsid w:val="0EB119A7"/>
    <w:rsid w:val="0ECA2587"/>
    <w:rsid w:val="0EF82DCB"/>
    <w:rsid w:val="0F1512DF"/>
    <w:rsid w:val="0F226E34"/>
    <w:rsid w:val="0F256317"/>
    <w:rsid w:val="0F31706E"/>
    <w:rsid w:val="0F352D45"/>
    <w:rsid w:val="0F9018B7"/>
    <w:rsid w:val="0FC0315E"/>
    <w:rsid w:val="0FDB7B77"/>
    <w:rsid w:val="0FE05625"/>
    <w:rsid w:val="0FFE1AF1"/>
    <w:rsid w:val="108D32F4"/>
    <w:rsid w:val="10CF2E2E"/>
    <w:rsid w:val="10E80264"/>
    <w:rsid w:val="10EA0DF2"/>
    <w:rsid w:val="10FC45FF"/>
    <w:rsid w:val="11542028"/>
    <w:rsid w:val="11E070B4"/>
    <w:rsid w:val="11EE45FC"/>
    <w:rsid w:val="11F13A77"/>
    <w:rsid w:val="120E38D2"/>
    <w:rsid w:val="123840C9"/>
    <w:rsid w:val="124C5059"/>
    <w:rsid w:val="1294187C"/>
    <w:rsid w:val="12B66128"/>
    <w:rsid w:val="12B83F1E"/>
    <w:rsid w:val="12D27BEC"/>
    <w:rsid w:val="13254F30"/>
    <w:rsid w:val="13514766"/>
    <w:rsid w:val="136D599B"/>
    <w:rsid w:val="139F1C36"/>
    <w:rsid w:val="13C847C3"/>
    <w:rsid w:val="13CB6984"/>
    <w:rsid w:val="143F51D0"/>
    <w:rsid w:val="144633BC"/>
    <w:rsid w:val="14613B33"/>
    <w:rsid w:val="148C5809"/>
    <w:rsid w:val="149E4757"/>
    <w:rsid w:val="14BD37FB"/>
    <w:rsid w:val="155B190B"/>
    <w:rsid w:val="15BF7D50"/>
    <w:rsid w:val="15DA1D43"/>
    <w:rsid w:val="15F916EF"/>
    <w:rsid w:val="160B4677"/>
    <w:rsid w:val="162829A0"/>
    <w:rsid w:val="163D21EC"/>
    <w:rsid w:val="16832508"/>
    <w:rsid w:val="16D50A48"/>
    <w:rsid w:val="1704143E"/>
    <w:rsid w:val="17A72E68"/>
    <w:rsid w:val="17ED2531"/>
    <w:rsid w:val="18104A18"/>
    <w:rsid w:val="18185F71"/>
    <w:rsid w:val="188F546D"/>
    <w:rsid w:val="18B5230D"/>
    <w:rsid w:val="18C7151D"/>
    <w:rsid w:val="19175CFE"/>
    <w:rsid w:val="191C4A58"/>
    <w:rsid w:val="1943210F"/>
    <w:rsid w:val="196D25FA"/>
    <w:rsid w:val="198F2FD2"/>
    <w:rsid w:val="19A2603D"/>
    <w:rsid w:val="19B57547"/>
    <w:rsid w:val="19DE2470"/>
    <w:rsid w:val="19E27E66"/>
    <w:rsid w:val="19ED6B46"/>
    <w:rsid w:val="1A6B762A"/>
    <w:rsid w:val="1A917D47"/>
    <w:rsid w:val="1ABC3C5A"/>
    <w:rsid w:val="1B245A93"/>
    <w:rsid w:val="1B2653EF"/>
    <w:rsid w:val="1B385B8A"/>
    <w:rsid w:val="1B642683"/>
    <w:rsid w:val="1B9E1DD0"/>
    <w:rsid w:val="1BE45BB3"/>
    <w:rsid w:val="1C311E08"/>
    <w:rsid w:val="1C321825"/>
    <w:rsid w:val="1C4A069C"/>
    <w:rsid w:val="1C7B6309"/>
    <w:rsid w:val="1C887521"/>
    <w:rsid w:val="1C9261C5"/>
    <w:rsid w:val="1CDF5A48"/>
    <w:rsid w:val="1CE9117E"/>
    <w:rsid w:val="1CF139D8"/>
    <w:rsid w:val="1CFA2A91"/>
    <w:rsid w:val="1CFD0A7C"/>
    <w:rsid w:val="1CFE51AF"/>
    <w:rsid w:val="1D132CA0"/>
    <w:rsid w:val="1D39162D"/>
    <w:rsid w:val="1D6E3522"/>
    <w:rsid w:val="1DC64F19"/>
    <w:rsid w:val="1DFF7DDB"/>
    <w:rsid w:val="1E037A41"/>
    <w:rsid w:val="1E1E082B"/>
    <w:rsid w:val="1E526437"/>
    <w:rsid w:val="1E6860FF"/>
    <w:rsid w:val="1E766728"/>
    <w:rsid w:val="1E8D40EC"/>
    <w:rsid w:val="1E9909AA"/>
    <w:rsid w:val="1EB03B3B"/>
    <w:rsid w:val="1ECC5E73"/>
    <w:rsid w:val="1F56289E"/>
    <w:rsid w:val="1F606764"/>
    <w:rsid w:val="1F884B54"/>
    <w:rsid w:val="1F8C78AB"/>
    <w:rsid w:val="1FBE4D2D"/>
    <w:rsid w:val="1FD10D03"/>
    <w:rsid w:val="1FE01D12"/>
    <w:rsid w:val="1FE55B40"/>
    <w:rsid w:val="1FEB2C88"/>
    <w:rsid w:val="200333AE"/>
    <w:rsid w:val="20381819"/>
    <w:rsid w:val="20411FCE"/>
    <w:rsid w:val="20414CA1"/>
    <w:rsid w:val="20475D93"/>
    <w:rsid w:val="20AB3983"/>
    <w:rsid w:val="20CD7A3D"/>
    <w:rsid w:val="20D85CA1"/>
    <w:rsid w:val="212539AB"/>
    <w:rsid w:val="214D5C56"/>
    <w:rsid w:val="217E7D47"/>
    <w:rsid w:val="218F5BBA"/>
    <w:rsid w:val="21CE6BFC"/>
    <w:rsid w:val="22243595"/>
    <w:rsid w:val="22BF5778"/>
    <w:rsid w:val="22F95C5D"/>
    <w:rsid w:val="23145A01"/>
    <w:rsid w:val="234A19DF"/>
    <w:rsid w:val="23C7793E"/>
    <w:rsid w:val="23C90742"/>
    <w:rsid w:val="24405175"/>
    <w:rsid w:val="24476679"/>
    <w:rsid w:val="24607BD2"/>
    <w:rsid w:val="247D1A44"/>
    <w:rsid w:val="248A6F0B"/>
    <w:rsid w:val="24D1264B"/>
    <w:rsid w:val="24D50BFC"/>
    <w:rsid w:val="24FA1742"/>
    <w:rsid w:val="25175258"/>
    <w:rsid w:val="255652B4"/>
    <w:rsid w:val="257D3351"/>
    <w:rsid w:val="25974067"/>
    <w:rsid w:val="25F03271"/>
    <w:rsid w:val="25F84015"/>
    <w:rsid w:val="262F3A3E"/>
    <w:rsid w:val="26526135"/>
    <w:rsid w:val="26723EA0"/>
    <w:rsid w:val="26AE5C66"/>
    <w:rsid w:val="26C848AF"/>
    <w:rsid w:val="26D31172"/>
    <w:rsid w:val="26D64D76"/>
    <w:rsid w:val="27062977"/>
    <w:rsid w:val="27571C87"/>
    <w:rsid w:val="276B1E8B"/>
    <w:rsid w:val="277108CB"/>
    <w:rsid w:val="27844867"/>
    <w:rsid w:val="27892169"/>
    <w:rsid w:val="27920855"/>
    <w:rsid w:val="27B4132B"/>
    <w:rsid w:val="28157C40"/>
    <w:rsid w:val="281B5375"/>
    <w:rsid w:val="2824542C"/>
    <w:rsid w:val="28372084"/>
    <w:rsid w:val="28622E06"/>
    <w:rsid w:val="286B2565"/>
    <w:rsid w:val="287C6C3A"/>
    <w:rsid w:val="28886D57"/>
    <w:rsid w:val="28A705B3"/>
    <w:rsid w:val="28CA5658"/>
    <w:rsid w:val="29130A27"/>
    <w:rsid w:val="29210099"/>
    <w:rsid w:val="29220923"/>
    <w:rsid w:val="29485363"/>
    <w:rsid w:val="294D0D20"/>
    <w:rsid w:val="295C5ABC"/>
    <w:rsid w:val="29A10357"/>
    <w:rsid w:val="29DD674E"/>
    <w:rsid w:val="29EB6CDD"/>
    <w:rsid w:val="29EE7698"/>
    <w:rsid w:val="29EF250D"/>
    <w:rsid w:val="29F42CFB"/>
    <w:rsid w:val="2A470FAA"/>
    <w:rsid w:val="2A874242"/>
    <w:rsid w:val="2A901110"/>
    <w:rsid w:val="2AC97927"/>
    <w:rsid w:val="2AF25235"/>
    <w:rsid w:val="2AF376AF"/>
    <w:rsid w:val="2B21574D"/>
    <w:rsid w:val="2B330C07"/>
    <w:rsid w:val="2B4443B7"/>
    <w:rsid w:val="2B8C7347"/>
    <w:rsid w:val="2B946EED"/>
    <w:rsid w:val="2BB136A6"/>
    <w:rsid w:val="2BC82084"/>
    <w:rsid w:val="2BD86057"/>
    <w:rsid w:val="2C073947"/>
    <w:rsid w:val="2C67792A"/>
    <w:rsid w:val="2CB32213"/>
    <w:rsid w:val="2CB54ADF"/>
    <w:rsid w:val="2CB80CCC"/>
    <w:rsid w:val="2CD51023"/>
    <w:rsid w:val="2CF310AD"/>
    <w:rsid w:val="2D040DC1"/>
    <w:rsid w:val="2D281A9A"/>
    <w:rsid w:val="2D5013D0"/>
    <w:rsid w:val="2D6512CA"/>
    <w:rsid w:val="2E1D72D7"/>
    <w:rsid w:val="2E2C3D01"/>
    <w:rsid w:val="2E525A73"/>
    <w:rsid w:val="2ECF58EF"/>
    <w:rsid w:val="2ED607E7"/>
    <w:rsid w:val="2EF44867"/>
    <w:rsid w:val="2EF6166D"/>
    <w:rsid w:val="2F7C4D40"/>
    <w:rsid w:val="2F9C6A30"/>
    <w:rsid w:val="2FC82575"/>
    <w:rsid w:val="300D47EE"/>
    <w:rsid w:val="302B173A"/>
    <w:rsid w:val="302E220D"/>
    <w:rsid w:val="306B7794"/>
    <w:rsid w:val="30BA5AC0"/>
    <w:rsid w:val="30E60283"/>
    <w:rsid w:val="30EA0F4A"/>
    <w:rsid w:val="310D3CC2"/>
    <w:rsid w:val="313913A9"/>
    <w:rsid w:val="31746C95"/>
    <w:rsid w:val="3176757A"/>
    <w:rsid w:val="318F5DEE"/>
    <w:rsid w:val="31E15046"/>
    <w:rsid w:val="31E1598D"/>
    <w:rsid w:val="32100829"/>
    <w:rsid w:val="32196698"/>
    <w:rsid w:val="32405F03"/>
    <w:rsid w:val="32716071"/>
    <w:rsid w:val="32C33527"/>
    <w:rsid w:val="32C67A65"/>
    <w:rsid w:val="32CD2A23"/>
    <w:rsid w:val="336269FF"/>
    <w:rsid w:val="33A65DCF"/>
    <w:rsid w:val="33AE2461"/>
    <w:rsid w:val="33E763F3"/>
    <w:rsid w:val="3412053D"/>
    <w:rsid w:val="346678A3"/>
    <w:rsid w:val="348C1FF6"/>
    <w:rsid w:val="34AF1930"/>
    <w:rsid w:val="34CC6012"/>
    <w:rsid w:val="34E168DE"/>
    <w:rsid w:val="35306661"/>
    <w:rsid w:val="35E05AAE"/>
    <w:rsid w:val="360959BC"/>
    <w:rsid w:val="36634751"/>
    <w:rsid w:val="36A43530"/>
    <w:rsid w:val="36C66276"/>
    <w:rsid w:val="36D63D7C"/>
    <w:rsid w:val="36DC31ED"/>
    <w:rsid w:val="36E36896"/>
    <w:rsid w:val="36E972ED"/>
    <w:rsid w:val="37442F41"/>
    <w:rsid w:val="3791079A"/>
    <w:rsid w:val="37D748F2"/>
    <w:rsid w:val="382F54A4"/>
    <w:rsid w:val="383E027C"/>
    <w:rsid w:val="384B5EED"/>
    <w:rsid w:val="38621CD0"/>
    <w:rsid w:val="387A1725"/>
    <w:rsid w:val="388C4040"/>
    <w:rsid w:val="388F36C6"/>
    <w:rsid w:val="389C44C3"/>
    <w:rsid w:val="38A1711E"/>
    <w:rsid w:val="38B274D8"/>
    <w:rsid w:val="38B54060"/>
    <w:rsid w:val="38BB74A5"/>
    <w:rsid w:val="38C57299"/>
    <w:rsid w:val="38ED6BC0"/>
    <w:rsid w:val="39B70744"/>
    <w:rsid w:val="39F23E80"/>
    <w:rsid w:val="39F30C61"/>
    <w:rsid w:val="3A041B49"/>
    <w:rsid w:val="3A0F55A5"/>
    <w:rsid w:val="3A4F097E"/>
    <w:rsid w:val="3A7B1CFB"/>
    <w:rsid w:val="3A873175"/>
    <w:rsid w:val="3A8C65F2"/>
    <w:rsid w:val="3A9A338F"/>
    <w:rsid w:val="3AF23B2F"/>
    <w:rsid w:val="3B037B06"/>
    <w:rsid w:val="3B144472"/>
    <w:rsid w:val="3B517BFC"/>
    <w:rsid w:val="3B5B6AE1"/>
    <w:rsid w:val="3B622A0E"/>
    <w:rsid w:val="3B6A7FB0"/>
    <w:rsid w:val="3B8C7056"/>
    <w:rsid w:val="3B922130"/>
    <w:rsid w:val="3C10747F"/>
    <w:rsid w:val="3C744FEC"/>
    <w:rsid w:val="3C9B0CF0"/>
    <w:rsid w:val="3C9B6998"/>
    <w:rsid w:val="3D3217C4"/>
    <w:rsid w:val="3D565E19"/>
    <w:rsid w:val="3D634E6F"/>
    <w:rsid w:val="3D78440A"/>
    <w:rsid w:val="3D8E4EAA"/>
    <w:rsid w:val="3D912FAC"/>
    <w:rsid w:val="3E3B7740"/>
    <w:rsid w:val="3E766BEA"/>
    <w:rsid w:val="3E8E17EB"/>
    <w:rsid w:val="3E9952A1"/>
    <w:rsid w:val="3EAE620B"/>
    <w:rsid w:val="3F007DB2"/>
    <w:rsid w:val="3F050B2F"/>
    <w:rsid w:val="3F384209"/>
    <w:rsid w:val="3F4970F3"/>
    <w:rsid w:val="3F4F67B1"/>
    <w:rsid w:val="3F6C7B7F"/>
    <w:rsid w:val="3FB64604"/>
    <w:rsid w:val="3FBF609A"/>
    <w:rsid w:val="3FC10F40"/>
    <w:rsid w:val="3FD85092"/>
    <w:rsid w:val="3FE57A00"/>
    <w:rsid w:val="40072154"/>
    <w:rsid w:val="400B27A9"/>
    <w:rsid w:val="40622D52"/>
    <w:rsid w:val="40735A5A"/>
    <w:rsid w:val="40EB749F"/>
    <w:rsid w:val="40F433E9"/>
    <w:rsid w:val="41091EB8"/>
    <w:rsid w:val="4120496E"/>
    <w:rsid w:val="4125590F"/>
    <w:rsid w:val="414C4489"/>
    <w:rsid w:val="419F64A4"/>
    <w:rsid w:val="41E03B8B"/>
    <w:rsid w:val="41EF444F"/>
    <w:rsid w:val="420B4BF7"/>
    <w:rsid w:val="42894D66"/>
    <w:rsid w:val="42BC2C5E"/>
    <w:rsid w:val="42C63105"/>
    <w:rsid w:val="42D6387C"/>
    <w:rsid w:val="42EE75EE"/>
    <w:rsid w:val="43AD6043"/>
    <w:rsid w:val="43BD7FAA"/>
    <w:rsid w:val="44451492"/>
    <w:rsid w:val="44762741"/>
    <w:rsid w:val="44E93695"/>
    <w:rsid w:val="450B1B80"/>
    <w:rsid w:val="453E5D70"/>
    <w:rsid w:val="4541013D"/>
    <w:rsid w:val="458D615F"/>
    <w:rsid w:val="459F3A4A"/>
    <w:rsid w:val="45E05A77"/>
    <w:rsid w:val="461131A2"/>
    <w:rsid w:val="473501ED"/>
    <w:rsid w:val="473B28B7"/>
    <w:rsid w:val="47623F9D"/>
    <w:rsid w:val="476C5FC3"/>
    <w:rsid w:val="477F61B7"/>
    <w:rsid w:val="478A61EF"/>
    <w:rsid w:val="47970092"/>
    <w:rsid w:val="47D241C3"/>
    <w:rsid w:val="4824501D"/>
    <w:rsid w:val="48653CF8"/>
    <w:rsid w:val="488B2F1F"/>
    <w:rsid w:val="48A2108A"/>
    <w:rsid w:val="48CC5108"/>
    <w:rsid w:val="48CF5A98"/>
    <w:rsid w:val="48FD337D"/>
    <w:rsid w:val="49354868"/>
    <w:rsid w:val="499C7FD1"/>
    <w:rsid w:val="4A655AF5"/>
    <w:rsid w:val="4A692455"/>
    <w:rsid w:val="4AB673B1"/>
    <w:rsid w:val="4AD928D8"/>
    <w:rsid w:val="4ADD3489"/>
    <w:rsid w:val="4B5235B5"/>
    <w:rsid w:val="4B84043E"/>
    <w:rsid w:val="4B941D86"/>
    <w:rsid w:val="4BA10349"/>
    <w:rsid w:val="4BA24089"/>
    <w:rsid w:val="4BDF4747"/>
    <w:rsid w:val="4C037D97"/>
    <w:rsid w:val="4CA94164"/>
    <w:rsid w:val="4CAE1D99"/>
    <w:rsid w:val="4CC343EB"/>
    <w:rsid w:val="4D7953E7"/>
    <w:rsid w:val="4D903C41"/>
    <w:rsid w:val="4DA46DA9"/>
    <w:rsid w:val="4DC76A97"/>
    <w:rsid w:val="4E990870"/>
    <w:rsid w:val="4E9A2DF5"/>
    <w:rsid w:val="4EA12DFD"/>
    <w:rsid w:val="4EA166BA"/>
    <w:rsid w:val="4EC35483"/>
    <w:rsid w:val="4ED6006A"/>
    <w:rsid w:val="4F16188A"/>
    <w:rsid w:val="4F184C3D"/>
    <w:rsid w:val="4F452E1D"/>
    <w:rsid w:val="4F4A3053"/>
    <w:rsid w:val="4F576C2C"/>
    <w:rsid w:val="4F5F0EA0"/>
    <w:rsid w:val="4F907069"/>
    <w:rsid w:val="4FCD241A"/>
    <w:rsid w:val="4FE97E3B"/>
    <w:rsid w:val="501F3220"/>
    <w:rsid w:val="50206A85"/>
    <w:rsid w:val="502A7555"/>
    <w:rsid w:val="50866A4B"/>
    <w:rsid w:val="50BB4459"/>
    <w:rsid w:val="50FD3C07"/>
    <w:rsid w:val="511740CA"/>
    <w:rsid w:val="51F35963"/>
    <w:rsid w:val="52193066"/>
    <w:rsid w:val="522254E6"/>
    <w:rsid w:val="52382EED"/>
    <w:rsid w:val="526A2E49"/>
    <w:rsid w:val="52725003"/>
    <w:rsid w:val="52766651"/>
    <w:rsid w:val="529334A7"/>
    <w:rsid w:val="52D07A71"/>
    <w:rsid w:val="52E30664"/>
    <w:rsid w:val="533943B2"/>
    <w:rsid w:val="53811452"/>
    <w:rsid w:val="539A08F8"/>
    <w:rsid w:val="53E41FF1"/>
    <w:rsid w:val="53F779B6"/>
    <w:rsid w:val="54192FA1"/>
    <w:rsid w:val="546F7693"/>
    <w:rsid w:val="54721C30"/>
    <w:rsid w:val="547649B7"/>
    <w:rsid w:val="548C13AB"/>
    <w:rsid w:val="54D166AD"/>
    <w:rsid w:val="54E7739C"/>
    <w:rsid w:val="551A1F2C"/>
    <w:rsid w:val="551F3ADD"/>
    <w:rsid w:val="55751470"/>
    <w:rsid w:val="55AF464C"/>
    <w:rsid w:val="55C26DB0"/>
    <w:rsid w:val="55E07638"/>
    <w:rsid w:val="55E66DDB"/>
    <w:rsid w:val="560C2A07"/>
    <w:rsid w:val="563077C6"/>
    <w:rsid w:val="563A251E"/>
    <w:rsid w:val="5651378C"/>
    <w:rsid w:val="565C1F74"/>
    <w:rsid w:val="567B6358"/>
    <w:rsid w:val="56CD0356"/>
    <w:rsid w:val="573E2C8E"/>
    <w:rsid w:val="57464959"/>
    <w:rsid w:val="575D6DFA"/>
    <w:rsid w:val="57966590"/>
    <w:rsid w:val="57A80F1F"/>
    <w:rsid w:val="57C250CD"/>
    <w:rsid w:val="57D17353"/>
    <w:rsid w:val="57EB47D7"/>
    <w:rsid w:val="58940EA6"/>
    <w:rsid w:val="58A745BD"/>
    <w:rsid w:val="58FC17D8"/>
    <w:rsid w:val="59390453"/>
    <w:rsid w:val="59412F93"/>
    <w:rsid w:val="596A753E"/>
    <w:rsid w:val="59836980"/>
    <w:rsid w:val="598D717D"/>
    <w:rsid w:val="59DB34A5"/>
    <w:rsid w:val="59F20C97"/>
    <w:rsid w:val="5A1A62BA"/>
    <w:rsid w:val="5A202D14"/>
    <w:rsid w:val="5A5E6FEE"/>
    <w:rsid w:val="5A780E60"/>
    <w:rsid w:val="5AB67BC0"/>
    <w:rsid w:val="5ABD25F5"/>
    <w:rsid w:val="5AC47F38"/>
    <w:rsid w:val="5AE3482C"/>
    <w:rsid w:val="5B110410"/>
    <w:rsid w:val="5B8D6933"/>
    <w:rsid w:val="5BAD5DB5"/>
    <w:rsid w:val="5BB44C0B"/>
    <w:rsid w:val="5C33638D"/>
    <w:rsid w:val="5C4464A4"/>
    <w:rsid w:val="5C666FAF"/>
    <w:rsid w:val="5C713B9F"/>
    <w:rsid w:val="5C945C92"/>
    <w:rsid w:val="5CA8352B"/>
    <w:rsid w:val="5CAA121A"/>
    <w:rsid w:val="5CC16747"/>
    <w:rsid w:val="5CD17B32"/>
    <w:rsid w:val="5CED7F03"/>
    <w:rsid w:val="5D4E0D63"/>
    <w:rsid w:val="5D9064E3"/>
    <w:rsid w:val="5DA1314A"/>
    <w:rsid w:val="5DCC18DD"/>
    <w:rsid w:val="5E3B0298"/>
    <w:rsid w:val="5E547B2C"/>
    <w:rsid w:val="5F006B77"/>
    <w:rsid w:val="5F122B0D"/>
    <w:rsid w:val="5F3673C4"/>
    <w:rsid w:val="5F4D5752"/>
    <w:rsid w:val="5F711E6C"/>
    <w:rsid w:val="5F9E2966"/>
    <w:rsid w:val="5FC75223"/>
    <w:rsid w:val="5FCC0E64"/>
    <w:rsid w:val="5FCC2EBA"/>
    <w:rsid w:val="5FDF588C"/>
    <w:rsid w:val="5FE404A3"/>
    <w:rsid w:val="601A2EBA"/>
    <w:rsid w:val="603D58F4"/>
    <w:rsid w:val="60584ABC"/>
    <w:rsid w:val="60644EBB"/>
    <w:rsid w:val="60893661"/>
    <w:rsid w:val="609453AD"/>
    <w:rsid w:val="60CB4552"/>
    <w:rsid w:val="60E52D9E"/>
    <w:rsid w:val="60EE376F"/>
    <w:rsid w:val="6118431B"/>
    <w:rsid w:val="611C3B9A"/>
    <w:rsid w:val="613B6DE6"/>
    <w:rsid w:val="6176003A"/>
    <w:rsid w:val="617C7665"/>
    <w:rsid w:val="61A2606A"/>
    <w:rsid w:val="61EA3517"/>
    <w:rsid w:val="61F34E34"/>
    <w:rsid w:val="61FB0E28"/>
    <w:rsid w:val="625859ED"/>
    <w:rsid w:val="63091660"/>
    <w:rsid w:val="630D6C77"/>
    <w:rsid w:val="637F0CC9"/>
    <w:rsid w:val="639D432A"/>
    <w:rsid w:val="63AA00CE"/>
    <w:rsid w:val="63AC1A31"/>
    <w:rsid w:val="64637862"/>
    <w:rsid w:val="647743EC"/>
    <w:rsid w:val="64931174"/>
    <w:rsid w:val="64D0514B"/>
    <w:rsid w:val="64D61CC2"/>
    <w:rsid w:val="65090347"/>
    <w:rsid w:val="65116D11"/>
    <w:rsid w:val="65143E54"/>
    <w:rsid w:val="651B0FA8"/>
    <w:rsid w:val="651B7001"/>
    <w:rsid w:val="651E0213"/>
    <w:rsid w:val="6538132E"/>
    <w:rsid w:val="654229A8"/>
    <w:rsid w:val="65577B31"/>
    <w:rsid w:val="661F281A"/>
    <w:rsid w:val="665F0915"/>
    <w:rsid w:val="669811DF"/>
    <w:rsid w:val="669B03C2"/>
    <w:rsid w:val="669E20D0"/>
    <w:rsid w:val="66AB21A4"/>
    <w:rsid w:val="66D478D1"/>
    <w:rsid w:val="670A7CEA"/>
    <w:rsid w:val="672B33F4"/>
    <w:rsid w:val="672F7A3B"/>
    <w:rsid w:val="6765510A"/>
    <w:rsid w:val="676807F4"/>
    <w:rsid w:val="67900CA7"/>
    <w:rsid w:val="67916247"/>
    <w:rsid w:val="679166C8"/>
    <w:rsid w:val="67B92AF5"/>
    <w:rsid w:val="67F764AE"/>
    <w:rsid w:val="6808075C"/>
    <w:rsid w:val="685D6012"/>
    <w:rsid w:val="68BE4EAA"/>
    <w:rsid w:val="68BF7818"/>
    <w:rsid w:val="68E43F16"/>
    <w:rsid w:val="69192C19"/>
    <w:rsid w:val="69224D70"/>
    <w:rsid w:val="69763FA3"/>
    <w:rsid w:val="697C3AD9"/>
    <w:rsid w:val="69DB133C"/>
    <w:rsid w:val="6A396658"/>
    <w:rsid w:val="6A7E5DCC"/>
    <w:rsid w:val="6AA449A0"/>
    <w:rsid w:val="6ADC5EB8"/>
    <w:rsid w:val="6BEC234B"/>
    <w:rsid w:val="6BF24D4D"/>
    <w:rsid w:val="6C0A4383"/>
    <w:rsid w:val="6D0903F9"/>
    <w:rsid w:val="6D970019"/>
    <w:rsid w:val="6DDC138F"/>
    <w:rsid w:val="6DDD105B"/>
    <w:rsid w:val="6DDF4F64"/>
    <w:rsid w:val="6DE547A4"/>
    <w:rsid w:val="6DED2DB3"/>
    <w:rsid w:val="6E116410"/>
    <w:rsid w:val="6E272B41"/>
    <w:rsid w:val="6E540848"/>
    <w:rsid w:val="6E743A34"/>
    <w:rsid w:val="6E762F66"/>
    <w:rsid w:val="6EDA75F6"/>
    <w:rsid w:val="6F345300"/>
    <w:rsid w:val="6F376CB0"/>
    <w:rsid w:val="6F3B13A9"/>
    <w:rsid w:val="6F58017B"/>
    <w:rsid w:val="6F8C55C2"/>
    <w:rsid w:val="70133765"/>
    <w:rsid w:val="707C4C46"/>
    <w:rsid w:val="70AB511A"/>
    <w:rsid w:val="70B5611C"/>
    <w:rsid w:val="71382996"/>
    <w:rsid w:val="717D50F2"/>
    <w:rsid w:val="71F010C5"/>
    <w:rsid w:val="71F80774"/>
    <w:rsid w:val="72346B14"/>
    <w:rsid w:val="723B732C"/>
    <w:rsid w:val="72456A8C"/>
    <w:rsid w:val="724645D5"/>
    <w:rsid w:val="726222EF"/>
    <w:rsid w:val="72645038"/>
    <w:rsid w:val="727F150A"/>
    <w:rsid w:val="72AA268A"/>
    <w:rsid w:val="72BB2028"/>
    <w:rsid w:val="72E24FC8"/>
    <w:rsid w:val="72E43286"/>
    <w:rsid w:val="734C2308"/>
    <w:rsid w:val="736035B8"/>
    <w:rsid w:val="73A86BFD"/>
    <w:rsid w:val="73CC2843"/>
    <w:rsid w:val="74465535"/>
    <w:rsid w:val="74C13C71"/>
    <w:rsid w:val="750003AD"/>
    <w:rsid w:val="75051E92"/>
    <w:rsid w:val="751B5276"/>
    <w:rsid w:val="751F6CE6"/>
    <w:rsid w:val="754360E2"/>
    <w:rsid w:val="75455030"/>
    <w:rsid w:val="757B0BF0"/>
    <w:rsid w:val="7585471D"/>
    <w:rsid w:val="75B67DE5"/>
    <w:rsid w:val="75EE293E"/>
    <w:rsid w:val="75F20FBA"/>
    <w:rsid w:val="76546942"/>
    <w:rsid w:val="765D5115"/>
    <w:rsid w:val="76906275"/>
    <w:rsid w:val="76C10112"/>
    <w:rsid w:val="76EB40B7"/>
    <w:rsid w:val="76FF7967"/>
    <w:rsid w:val="776C0423"/>
    <w:rsid w:val="776C7498"/>
    <w:rsid w:val="77814A0A"/>
    <w:rsid w:val="77F175D1"/>
    <w:rsid w:val="780249E8"/>
    <w:rsid w:val="78104FA2"/>
    <w:rsid w:val="78256105"/>
    <w:rsid w:val="78542E38"/>
    <w:rsid w:val="787142DD"/>
    <w:rsid w:val="78985F3D"/>
    <w:rsid w:val="79004A91"/>
    <w:rsid w:val="79325F08"/>
    <w:rsid w:val="79EA549E"/>
    <w:rsid w:val="79EC31CA"/>
    <w:rsid w:val="79F605B8"/>
    <w:rsid w:val="79F61EB2"/>
    <w:rsid w:val="7A0E76C4"/>
    <w:rsid w:val="7A115B00"/>
    <w:rsid w:val="7A350B7E"/>
    <w:rsid w:val="7A5A4D3B"/>
    <w:rsid w:val="7A737AD4"/>
    <w:rsid w:val="7A7C2D1A"/>
    <w:rsid w:val="7A964349"/>
    <w:rsid w:val="7AC450B7"/>
    <w:rsid w:val="7ADB720F"/>
    <w:rsid w:val="7B141557"/>
    <w:rsid w:val="7B5C27F8"/>
    <w:rsid w:val="7B790DE1"/>
    <w:rsid w:val="7BB35E60"/>
    <w:rsid w:val="7C2C2D2D"/>
    <w:rsid w:val="7C816BF4"/>
    <w:rsid w:val="7CCC1ED0"/>
    <w:rsid w:val="7D276F00"/>
    <w:rsid w:val="7D7C58C3"/>
    <w:rsid w:val="7D894643"/>
    <w:rsid w:val="7DB976CA"/>
    <w:rsid w:val="7DE94AE5"/>
    <w:rsid w:val="7DF44DB3"/>
    <w:rsid w:val="7E080A34"/>
    <w:rsid w:val="7E271FAB"/>
    <w:rsid w:val="7E3B567F"/>
    <w:rsid w:val="7EC17485"/>
    <w:rsid w:val="7EFF4A83"/>
    <w:rsid w:val="7F210833"/>
    <w:rsid w:val="7F4027DF"/>
    <w:rsid w:val="7F9775B9"/>
    <w:rsid w:val="7FA94856"/>
    <w:rsid w:val="7FB12A57"/>
    <w:rsid w:val="7FC4122B"/>
    <w:rsid w:val="7FCD5D98"/>
    <w:rsid w:val="7FD4725B"/>
    <w:rsid w:val="BFEF2B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napToGrid w:val="0"/>
      <w:spacing w:line="360" w:lineRule="auto"/>
      <w:ind w:firstLine="567"/>
    </w:pPr>
    <w:rPr>
      <w:sz w:val="28"/>
    </w:rPr>
  </w:style>
  <w:style w:type="paragraph" w:styleId="7">
    <w:name w:val="annotation text"/>
    <w:basedOn w:val="1"/>
    <w:link w:val="38"/>
    <w:qFormat/>
    <w:uiPriority w:val="0"/>
    <w:pPr>
      <w:jc w:val="left"/>
    </w:pPr>
  </w:style>
  <w:style w:type="paragraph" w:styleId="8">
    <w:name w:val="Salutation"/>
    <w:basedOn w:val="1"/>
    <w:next w:val="1"/>
    <w:link w:val="47"/>
    <w:qFormat/>
    <w:uiPriority w:val="0"/>
    <w:rPr>
      <w:rFonts w:ascii="仿宋_GB2312" w:eastAsia="仿宋_GB2312"/>
      <w:sz w:val="28"/>
      <w:szCs w:val="28"/>
    </w:rPr>
  </w:style>
  <w:style w:type="paragraph" w:styleId="9">
    <w:name w:val="Body Text"/>
    <w:basedOn w:val="1"/>
    <w:qFormat/>
    <w:uiPriority w:val="0"/>
    <w:rPr>
      <w:rFonts w:hint="eastAsia" w:ascii="仿宋_GB2312" w:eastAsia="仿宋_GB2312"/>
      <w:sz w:val="28"/>
      <w:szCs w:val="20"/>
    </w:rPr>
  </w:style>
  <w:style w:type="paragraph" w:styleId="10">
    <w:name w:val="Body Text Indent"/>
    <w:basedOn w:val="1"/>
    <w:qFormat/>
    <w:uiPriority w:val="0"/>
    <w:pPr>
      <w:ind w:left="1050"/>
    </w:pPr>
    <w:rPr>
      <w:szCs w:val="20"/>
    </w:rPr>
  </w:style>
  <w:style w:type="paragraph" w:styleId="11">
    <w:name w:val="Plain Text"/>
    <w:basedOn w:val="1"/>
    <w:qFormat/>
    <w:uiPriority w:val="0"/>
    <w:rPr>
      <w:rFonts w:ascii="宋体" w:hAnsi="Courier New"/>
      <w:sz w:val="21"/>
    </w:rPr>
  </w:style>
  <w:style w:type="paragraph" w:styleId="12">
    <w:name w:val="Date"/>
    <w:basedOn w:val="1"/>
    <w:next w:val="1"/>
    <w:qFormat/>
    <w:uiPriority w:val="0"/>
    <w:pPr>
      <w:ind w:left="100" w:leftChars="25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Subtitle"/>
    <w:basedOn w:val="1"/>
    <w:next w:val="1"/>
    <w:qFormat/>
    <w:uiPriority w:val="0"/>
    <w:pPr>
      <w:spacing w:before="240" w:beforeLines="0" w:after="60" w:afterLines="0" w:line="312" w:lineRule="auto"/>
      <w:jc w:val="center"/>
      <w:outlineLvl w:val="1"/>
    </w:pPr>
    <w:rPr>
      <w:rFonts w:ascii="Cambria" w:hAnsi="Cambria" w:eastAsia="宋体" w:cs="Times New Roman"/>
      <w:b/>
      <w:bCs/>
      <w:kern w:val="28"/>
      <w:sz w:val="32"/>
      <w:szCs w:val="32"/>
    </w:rPr>
  </w:style>
  <w:style w:type="paragraph" w:styleId="18">
    <w:name w:val="footnote text"/>
    <w:basedOn w:val="1"/>
    <w:link w:val="35"/>
    <w:qFormat/>
    <w:uiPriority w:val="0"/>
    <w:pPr>
      <w:snapToGrid w:val="0"/>
      <w:jc w:val="left"/>
    </w:pPr>
    <w:rPr>
      <w:sz w:val="18"/>
      <w:szCs w:val="18"/>
    </w:rPr>
  </w:style>
  <w:style w:type="paragraph" w:styleId="19">
    <w:name w:val="toc 2"/>
    <w:basedOn w:val="1"/>
    <w:next w:val="1"/>
    <w:qFormat/>
    <w:uiPriority w:val="39"/>
    <w:pPr>
      <w:tabs>
        <w:tab w:val="right" w:leader="dot" w:pos="9890"/>
      </w:tabs>
      <w:spacing w:line="360" w:lineRule="auto"/>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18"/>
      <w:szCs w:val="18"/>
    </w:rPr>
  </w:style>
  <w:style w:type="paragraph" w:styleId="21">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22">
    <w:name w:val="annotation subject"/>
    <w:basedOn w:val="7"/>
    <w:next w:val="7"/>
    <w:link w:val="45"/>
    <w:qFormat/>
    <w:uiPriority w:val="0"/>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qFormat/>
    <w:uiPriority w:val="99"/>
    <w:rPr>
      <w:color w:val="0000FF"/>
      <w:u w:val="single"/>
    </w:rPr>
  </w:style>
  <w:style w:type="character" w:styleId="28">
    <w:name w:val="annotation reference"/>
    <w:qFormat/>
    <w:uiPriority w:val="0"/>
    <w:rPr>
      <w:sz w:val="21"/>
      <w:szCs w:val="21"/>
    </w:rPr>
  </w:style>
  <w:style w:type="character" w:styleId="29">
    <w:name w:val="footnote reference"/>
    <w:qFormat/>
    <w:uiPriority w:val="0"/>
    <w:rPr>
      <w:vertAlign w:val="superscript"/>
    </w:rPr>
  </w:style>
  <w:style w:type="paragraph" w:customStyle="1" w:styleId="30">
    <w:name w:val="报告正文 Char Char Char"/>
    <w:basedOn w:val="1"/>
    <w:qFormat/>
    <w:uiPriority w:val="0"/>
    <w:pPr>
      <w:adjustRightInd w:val="0"/>
      <w:snapToGrid w:val="0"/>
      <w:spacing w:line="336" w:lineRule="auto"/>
      <w:ind w:left="2603"/>
    </w:pPr>
    <w:rPr>
      <w:rFonts w:ascii="华文细黑" w:eastAsia="华文细黑" w:cs="宋体"/>
      <w:sz w:val="22"/>
      <w:szCs w:val="20"/>
    </w:rPr>
  </w:style>
  <w:style w:type="paragraph" w:customStyle="1" w:styleId="31">
    <w:name w:val="先河正文"/>
    <w:basedOn w:val="1"/>
    <w:qFormat/>
    <w:uiPriority w:val="0"/>
    <w:pPr>
      <w:ind w:firstLine="550" w:firstLineChars="200"/>
    </w:pPr>
    <w:rPr>
      <w:sz w:val="28"/>
      <w:lang w:bidi="he-IL"/>
    </w:rPr>
  </w:style>
  <w:style w:type="paragraph" w:customStyle="1" w:styleId="32">
    <w:name w:val="列出段落1"/>
    <w:basedOn w:val="1"/>
    <w:qFormat/>
    <w:uiPriority w:val="34"/>
    <w:pPr>
      <w:ind w:firstLine="420" w:firstLineChars="200"/>
    </w:pPr>
    <w:rPr>
      <w:rFonts w:ascii="Calibri" w:hAnsi="Calibri" w:eastAsia="宋体" w:cs="Times New Roman"/>
      <w:szCs w:val="22"/>
    </w:rPr>
  </w:style>
  <w:style w:type="paragraph" w:customStyle="1" w:styleId="33">
    <w:name w:val="zw"/>
    <w:basedOn w:val="1"/>
    <w:qFormat/>
    <w:uiPriority w:val="0"/>
    <w:pPr>
      <w:autoSpaceDE w:val="0"/>
      <w:autoSpaceDN w:val="0"/>
      <w:adjustRightInd w:val="0"/>
      <w:spacing w:line="360" w:lineRule="auto"/>
      <w:ind w:firstLine="482"/>
      <w:textAlignment w:val="bottom"/>
    </w:pPr>
    <w:rPr>
      <w:rFonts w:ascii="Arial Narrow" w:hAnsi="Arial Narrow" w:eastAsia="仿宋_GB2312"/>
      <w:kern w:val="0"/>
      <w:sz w:val="24"/>
      <w:szCs w:val="20"/>
    </w:rPr>
  </w:style>
  <w:style w:type="character" w:customStyle="1" w:styleId="34">
    <w:name w:val="font21"/>
    <w:qFormat/>
    <w:uiPriority w:val="0"/>
    <w:rPr>
      <w:rFonts w:hint="eastAsia" w:ascii="宋体" w:hAnsi="宋体" w:eastAsia="宋体" w:cs="宋体"/>
      <w:color w:val="000000"/>
      <w:sz w:val="22"/>
      <w:szCs w:val="22"/>
      <w:u w:val="none"/>
    </w:rPr>
  </w:style>
  <w:style w:type="character" w:customStyle="1" w:styleId="35">
    <w:name w:val="脚注文本 字符"/>
    <w:link w:val="18"/>
    <w:qFormat/>
    <w:uiPriority w:val="0"/>
    <w:rPr>
      <w:kern w:val="2"/>
      <w:sz w:val="18"/>
      <w:szCs w:val="18"/>
    </w:rPr>
  </w:style>
  <w:style w:type="character" w:customStyle="1" w:styleId="36">
    <w:name w:val="font71"/>
    <w:qFormat/>
    <w:uiPriority w:val="0"/>
    <w:rPr>
      <w:rFonts w:hint="eastAsia" w:ascii="宋体" w:hAnsi="宋体" w:eastAsia="宋体" w:cs="宋体"/>
      <w:color w:val="000000"/>
      <w:sz w:val="24"/>
      <w:szCs w:val="24"/>
      <w:u w:val="none"/>
    </w:rPr>
  </w:style>
  <w:style w:type="character" w:customStyle="1" w:styleId="37">
    <w:name w:val="font11"/>
    <w:basedOn w:val="25"/>
    <w:qFormat/>
    <w:uiPriority w:val="0"/>
    <w:rPr>
      <w:rFonts w:hint="eastAsia" w:ascii="仿宋" w:hAnsi="仿宋" w:eastAsia="仿宋" w:cs="仿宋"/>
      <w:color w:val="000000"/>
      <w:sz w:val="24"/>
      <w:szCs w:val="24"/>
      <w:u w:val="none"/>
      <w:vertAlign w:val="superscript"/>
    </w:rPr>
  </w:style>
  <w:style w:type="character" w:customStyle="1" w:styleId="38">
    <w:name w:val="批注文字 字符"/>
    <w:link w:val="7"/>
    <w:qFormat/>
    <w:uiPriority w:val="0"/>
    <w:rPr>
      <w:kern w:val="2"/>
      <w:sz w:val="21"/>
      <w:szCs w:val="24"/>
    </w:rPr>
  </w:style>
  <w:style w:type="character" w:customStyle="1" w:styleId="39">
    <w:name w:val="font41"/>
    <w:qFormat/>
    <w:uiPriority w:val="0"/>
    <w:rPr>
      <w:rFonts w:hint="default" w:ascii="Times New Roman" w:hAnsi="Times New Roman" w:cs="Times New Roman"/>
      <w:color w:val="000000"/>
      <w:sz w:val="22"/>
      <w:szCs w:val="22"/>
      <w:u w:val="none"/>
    </w:rPr>
  </w:style>
  <w:style w:type="character" w:customStyle="1" w:styleId="40">
    <w:name w:val="font51"/>
    <w:basedOn w:val="25"/>
    <w:qFormat/>
    <w:uiPriority w:val="0"/>
    <w:rPr>
      <w:rFonts w:hint="eastAsia" w:ascii="仿宋" w:hAnsi="仿宋" w:eastAsia="仿宋" w:cs="仿宋"/>
      <w:color w:val="000000"/>
      <w:sz w:val="24"/>
      <w:szCs w:val="24"/>
      <w:u w:val="none"/>
    </w:rPr>
  </w:style>
  <w:style w:type="character" w:customStyle="1" w:styleId="41">
    <w:name w:val="font131"/>
    <w:qFormat/>
    <w:uiPriority w:val="0"/>
    <w:rPr>
      <w:rFonts w:hint="default" w:ascii="Times New Roman" w:hAnsi="Times New Roman" w:cs="Times New Roman"/>
      <w:color w:val="000000"/>
      <w:sz w:val="22"/>
      <w:szCs w:val="22"/>
      <w:u w:val="none"/>
    </w:rPr>
  </w:style>
  <w:style w:type="character" w:customStyle="1" w:styleId="42">
    <w:name w:val="font81"/>
    <w:qFormat/>
    <w:uiPriority w:val="0"/>
    <w:rPr>
      <w:rFonts w:hint="default" w:ascii="Times New Roman" w:hAnsi="Times New Roman" w:cs="Times New Roman"/>
      <w:color w:val="000000"/>
      <w:sz w:val="24"/>
      <w:szCs w:val="24"/>
      <w:u w:val="none"/>
    </w:rPr>
  </w:style>
  <w:style w:type="character" w:customStyle="1" w:styleId="43">
    <w:name w:val="font31"/>
    <w:qFormat/>
    <w:uiPriority w:val="0"/>
    <w:rPr>
      <w:rFonts w:hint="default" w:ascii="Times New Roman" w:hAnsi="Times New Roman" w:cs="Times New Roman"/>
      <w:color w:val="000000"/>
      <w:sz w:val="24"/>
      <w:szCs w:val="24"/>
      <w:u w:val="none"/>
    </w:rPr>
  </w:style>
  <w:style w:type="character" w:customStyle="1" w:styleId="44">
    <w:name w:val="font61"/>
    <w:qFormat/>
    <w:uiPriority w:val="0"/>
    <w:rPr>
      <w:rFonts w:hint="eastAsia" w:ascii="黑体" w:hAnsi="宋体" w:eastAsia="黑体" w:cs="黑体"/>
      <w:color w:val="000000"/>
      <w:sz w:val="40"/>
      <w:szCs w:val="40"/>
      <w:u w:val="none"/>
    </w:rPr>
  </w:style>
  <w:style w:type="character" w:customStyle="1" w:styleId="45">
    <w:name w:val="批注主题 字符"/>
    <w:link w:val="22"/>
    <w:qFormat/>
    <w:uiPriority w:val="0"/>
    <w:rPr>
      <w:b/>
      <w:bCs/>
      <w:kern w:val="2"/>
      <w:sz w:val="21"/>
      <w:szCs w:val="24"/>
    </w:rPr>
  </w:style>
  <w:style w:type="character" w:customStyle="1" w:styleId="46">
    <w:name w:val="font01"/>
    <w:basedOn w:val="25"/>
    <w:qFormat/>
    <w:uiPriority w:val="0"/>
    <w:rPr>
      <w:rFonts w:hint="eastAsia" w:ascii="楷体" w:hAnsi="楷体" w:eastAsia="楷体" w:cs="楷体"/>
      <w:color w:val="000000"/>
      <w:sz w:val="20"/>
      <w:szCs w:val="20"/>
      <w:u w:val="none"/>
      <w:vertAlign w:val="superscript"/>
    </w:rPr>
  </w:style>
  <w:style w:type="character" w:customStyle="1" w:styleId="47">
    <w:name w:val="称呼 字符"/>
    <w:link w:val="8"/>
    <w:qFormat/>
    <w:uiPriority w:val="0"/>
    <w:rPr>
      <w:rFonts w:ascii="仿宋_GB2312" w:eastAsia="仿宋_GB2312"/>
      <w:kern w:val="2"/>
      <w:sz w:val="28"/>
      <w:szCs w:val="28"/>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101"/>
    <customShpInfo spid="_x0000_s4102"/>
    <customShpInfo spid="_x0000_s4097"/>
    <customShpInfo spid="_x0000_s409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1044</Words>
  <Characters>5956</Characters>
  <Lines>49</Lines>
  <Paragraphs>13</Paragraphs>
  <TotalTime>0</TotalTime>
  <ScaleCrop>false</ScaleCrop>
  <LinksUpToDate>false</LinksUpToDate>
  <CharactersWithSpaces>6987</CharactersWithSpaces>
  <Application>WPS Office_4.2.2.6882_F1E327BC-269C-435d-A152-05C5408002CA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2014-04-24T17:17:00Z</dcterms:created>
  <dc:creator>雨林木风</dc:creator>
  <cp:lastModifiedBy>ElK.</cp:lastModifiedBy>
  <cp:lastPrinted>2021-07-28T16:39:00Z</cp:lastPrinted>
  <dcterms:modified xsi:type="dcterms:W3CDTF">2022-06-10T15:09:37Z</dcterms:modified>
  <dc:title>中国注册资产评估师声明</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2052-4.2.2.6882</vt:lpwstr>
  </property>
  <property fmtid="{D5CDD505-2E9C-101B-9397-08002B2CF9AE}" pid="3" name="ICV">
    <vt:lpwstr>86C818ABD0132ACF31EEA26277C79691</vt:lpwstr>
  </property>
</Properties>
</file>